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56" w:type="dxa"/>
        <w:tblInd w:w="108" w:type="dxa"/>
        <w:tblLayout w:type="fixed"/>
        <w:tblLook w:val="01E0" w:firstRow="1" w:lastRow="1" w:firstColumn="1" w:lastColumn="1" w:noHBand="0" w:noVBand="0"/>
      </w:tblPr>
      <w:tblGrid>
        <w:gridCol w:w="4513"/>
        <w:gridCol w:w="4337"/>
        <w:gridCol w:w="506"/>
      </w:tblGrid>
      <w:tr w:rsidR="005C6ABD" w:rsidRPr="008B2CC1" w:rsidTr="00233D6F">
        <w:tc>
          <w:tcPr>
            <w:tcW w:w="4513" w:type="dxa"/>
            <w:tcBorders>
              <w:bottom w:val="single" w:sz="4" w:space="0" w:color="auto"/>
            </w:tcBorders>
            <w:tcMar>
              <w:bottom w:w="170" w:type="dxa"/>
            </w:tcMar>
          </w:tcPr>
          <w:p w:rsidR="005C6ABD" w:rsidRPr="008B2CC1" w:rsidRDefault="005C6ABD" w:rsidP="00233D6F">
            <w:bookmarkStart w:id="0" w:name="_Toc327875008"/>
          </w:p>
        </w:tc>
        <w:tc>
          <w:tcPr>
            <w:tcW w:w="4337" w:type="dxa"/>
            <w:tcBorders>
              <w:bottom w:val="single" w:sz="4" w:space="0" w:color="auto"/>
            </w:tcBorders>
            <w:tcMar>
              <w:left w:w="0" w:type="dxa"/>
              <w:right w:w="0" w:type="dxa"/>
            </w:tcMar>
          </w:tcPr>
          <w:p w:rsidR="005C6ABD" w:rsidRPr="008B2CC1" w:rsidRDefault="005C6ABD" w:rsidP="00233D6F">
            <w:r>
              <w:rPr>
                <w:noProof/>
              </w:rPr>
              <w:drawing>
                <wp:inline distT="0" distB="0" distL="0" distR="0" wp14:anchorId="320DCC27" wp14:editId="565DD067">
                  <wp:extent cx="1809750" cy="1343025"/>
                  <wp:effectExtent l="0" t="0" r="0" b="9525"/>
                  <wp:docPr id="18" name="Рисунок 2" descr="Описание: WIPO-R-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WIPO-R-B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9750" cy="1343025"/>
                          </a:xfrm>
                          <a:prstGeom prst="rect">
                            <a:avLst/>
                          </a:prstGeom>
                          <a:noFill/>
                          <a:ln>
                            <a:noFill/>
                          </a:ln>
                        </pic:spPr>
                      </pic:pic>
                    </a:graphicData>
                  </a:graphic>
                </wp:inline>
              </w:drawing>
            </w:r>
          </w:p>
        </w:tc>
        <w:tc>
          <w:tcPr>
            <w:tcW w:w="425" w:type="dxa"/>
            <w:tcBorders>
              <w:bottom w:val="single" w:sz="4" w:space="0" w:color="auto"/>
            </w:tcBorders>
            <w:tcMar>
              <w:left w:w="0" w:type="dxa"/>
              <w:right w:w="0" w:type="dxa"/>
            </w:tcMar>
          </w:tcPr>
          <w:p w:rsidR="005C6ABD" w:rsidRPr="008B2CC1" w:rsidRDefault="005C6ABD" w:rsidP="00233D6F">
            <w:pPr>
              <w:jc w:val="right"/>
            </w:pPr>
            <w:r>
              <w:rPr>
                <w:b/>
                <w:sz w:val="40"/>
                <w:szCs w:val="40"/>
              </w:rPr>
              <w:t>R</w:t>
            </w:r>
          </w:p>
        </w:tc>
      </w:tr>
      <w:tr w:rsidR="005C6ABD" w:rsidRPr="001832A6" w:rsidTr="00233D6F">
        <w:trPr>
          <w:trHeight w:hRule="exact" w:val="340"/>
        </w:trPr>
        <w:tc>
          <w:tcPr>
            <w:tcW w:w="9356" w:type="dxa"/>
            <w:gridSpan w:val="3"/>
            <w:tcBorders>
              <w:top w:val="single" w:sz="4" w:space="0" w:color="auto"/>
            </w:tcBorders>
            <w:tcMar>
              <w:top w:w="170" w:type="dxa"/>
              <w:left w:w="0" w:type="dxa"/>
              <w:right w:w="0" w:type="dxa"/>
            </w:tcMar>
            <w:vAlign w:val="bottom"/>
          </w:tcPr>
          <w:p w:rsidR="005C6ABD" w:rsidRPr="0090731E" w:rsidRDefault="005C6ABD" w:rsidP="00233D6F">
            <w:pPr>
              <w:jc w:val="right"/>
              <w:rPr>
                <w:rFonts w:ascii="Arial Black" w:hAnsi="Arial Black"/>
                <w:caps/>
                <w:sz w:val="15"/>
              </w:rPr>
            </w:pPr>
            <w:r>
              <w:rPr>
                <w:rFonts w:ascii="Arial Black" w:hAnsi="Arial Black"/>
                <w:caps/>
                <w:sz w:val="15"/>
              </w:rPr>
              <w:t>A/56/</w:t>
            </w:r>
            <w:bookmarkStart w:id="1" w:name="Code"/>
            <w:bookmarkEnd w:id="1"/>
            <w:r>
              <w:rPr>
                <w:rFonts w:ascii="Arial Black" w:hAnsi="Arial Black"/>
                <w:caps/>
                <w:sz w:val="15"/>
              </w:rPr>
              <w:t xml:space="preserve">5 </w:t>
            </w:r>
            <w:r w:rsidRPr="0090731E">
              <w:rPr>
                <w:rFonts w:ascii="Arial Black" w:hAnsi="Arial Black"/>
                <w:caps/>
                <w:sz w:val="15"/>
              </w:rPr>
              <w:t xml:space="preserve">   </w:t>
            </w:r>
          </w:p>
        </w:tc>
      </w:tr>
      <w:tr w:rsidR="005C6ABD" w:rsidRPr="001832A6" w:rsidTr="00233D6F">
        <w:trPr>
          <w:trHeight w:hRule="exact" w:val="170"/>
        </w:trPr>
        <w:tc>
          <w:tcPr>
            <w:tcW w:w="9356" w:type="dxa"/>
            <w:gridSpan w:val="3"/>
            <w:noWrap/>
            <w:tcMar>
              <w:left w:w="0" w:type="dxa"/>
              <w:right w:w="0" w:type="dxa"/>
            </w:tcMar>
            <w:vAlign w:val="bottom"/>
          </w:tcPr>
          <w:p w:rsidR="005C6ABD" w:rsidRPr="005C6ABD" w:rsidRDefault="005C6ABD" w:rsidP="005C6ABD">
            <w:pPr>
              <w:jc w:val="right"/>
              <w:rPr>
                <w:rFonts w:ascii="Arial Black" w:hAnsi="Arial Black"/>
                <w:caps/>
                <w:sz w:val="15"/>
                <w:lang w:val="ru-RU"/>
              </w:rPr>
            </w:pPr>
            <w:r>
              <w:rPr>
                <w:rFonts w:ascii="Arial Black" w:hAnsi="Arial Black"/>
                <w:caps/>
                <w:sz w:val="15"/>
                <w:lang w:val="ru-RU"/>
              </w:rPr>
              <w:t>оригинал</w:t>
            </w:r>
            <w:r w:rsidRPr="0090731E">
              <w:rPr>
                <w:rFonts w:ascii="Arial Black" w:hAnsi="Arial Black"/>
                <w:caps/>
                <w:sz w:val="15"/>
              </w:rPr>
              <w:t xml:space="preserve">: </w:t>
            </w:r>
            <w:bookmarkStart w:id="2" w:name="Original"/>
            <w:bookmarkEnd w:id="2"/>
            <w:r>
              <w:rPr>
                <w:rFonts w:ascii="Arial Black" w:hAnsi="Arial Black"/>
                <w:caps/>
                <w:sz w:val="15"/>
                <w:lang w:val="ru-RU"/>
              </w:rPr>
              <w:t>английский</w:t>
            </w:r>
          </w:p>
        </w:tc>
      </w:tr>
      <w:tr w:rsidR="005C6ABD" w:rsidRPr="001832A6" w:rsidTr="00233D6F">
        <w:trPr>
          <w:trHeight w:hRule="exact" w:val="198"/>
        </w:trPr>
        <w:tc>
          <w:tcPr>
            <w:tcW w:w="9356" w:type="dxa"/>
            <w:gridSpan w:val="3"/>
            <w:tcMar>
              <w:left w:w="0" w:type="dxa"/>
              <w:right w:w="0" w:type="dxa"/>
            </w:tcMar>
            <w:vAlign w:val="bottom"/>
          </w:tcPr>
          <w:p w:rsidR="005C6ABD" w:rsidRPr="005C6ABD" w:rsidRDefault="005C6ABD" w:rsidP="005C6ABD">
            <w:pPr>
              <w:jc w:val="right"/>
              <w:rPr>
                <w:rFonts w:ascii="Arial Black" w:hAnsi="Arial Black"/>
                <w:caps/>
                <w:sz w:val="15"/>
                <w:lang w:val="ru-RU"/>
              </w:rPr>
            </w:pPr>
            <w:r>
              <w:rPr>
                <w:rFonts w:ascii="Arial Black" w:hAnsi="Arial Black"/>
                <w:caps/>
                <w:sz w:val="15"/>
                <w:lang w:val="ru-RU"/>
              </w:rPr>
              <w:t>дата</w:t>
            </w:r>
            <w:r w:rsidRPr="0090731E">
              <w:rPr>
                <w:rFonts w:ascii="Arial Black" w:hAnsi="Arial Black"/>
                <w:caps/>
                <w:sz w:val="15"/>
              </w:rPr>
              <w:t xml:space="preserve">: </w:t>
            </w:r>
            <w:bookmarkStart w:id="3" w:name="Date"/>
            <w:bookmarkEnd w:id="3"/>
            <w:r>
              <w:rPr>
                <w:rFonts w:ascii="Arial Black" w:hAnsi="Arial Black"/>
                <w:caps/>
                <w:sz w:val="15"/>
              </w:rPr>
              <w:t>2</w:t>
            </w:r>
            <w:r>
              <w:rPr>
                <w:rFonts w:ascii="Arial Black" w:hAnsi="Arial Black"/>
                <w:caps/>
                <w:sz w:val="15"/>
                <w:lang w:val="ru-RU"/>
              </w:rPr>
              <w:t xml:space="preserve"> августа</w:t>
            </w:r>
            <w:r>
              <w:rPr>
                <w:rFonts w:ascii="Arial Black" w:hAnsi="Arial Black"/>
                <w:caps/>
                <w:sz w:val="15"/>
              </w:rPr>
              <w:t xml:space="preserve"> 2016</w:t>
            </w:r>
            <w:r>
              <w:rPr>
                <w:rFonts w:ascii="Arial Black" w:hAnsi="Arial Black"/>
                <w:caps/>
                <w:sz w:val="15"/>
                <w:lang w:val="ru-RU"/>
              </w:rPr>
              <w:t xml:space="preserve"> г.</w:t>
            </w:r>
          </w:p>
        </w:tc>
      </w:tr>
    </w:tbl>
    <w:p w:rsidR="005C6ABD" w:rsidRPr="008B2CC1" w:rsidRDefault="005C6ABD" w:rsidP="005C6ABD"/>
    <w:p w:rsidR="005C6ABD" w:rsidRPr="008B2CC1" w:rsidRDefault="005C6ABD" w:rsidP="005C6ABD"/>
    <w:p w:rsidR="005C6ABD" w:rsidRPr="008B2CC1" w:rsidRDefault="005C6ABD" w:rsidP="005C6ABD"/>
    <w:p w:rsidR="005C6ABD" w:rsidRPr="008B2CC1" w:rsidRDefault="005C6ABD" w:rsidP="005C6ABD"/>
    <w:p w:rsidR="005C6ABD" w:rsidRPr="008B2CC1" w:rsidRDefault="005C6ABD" w:rsidP="005C6ABD"/>
    <w:p w:rsidR="005C6ABD" w:rsidRPr="00B1546C" w:rsidRDefault="005C6ABD" w:rsidP="005C6ABD">
      <w:pPr>
        <w:rPr>
          <w:rFonts w:eastAsia="SimSun" w:cs="Arial"/>
          <w:b/>
          <w:sz w:val="28"/>
          <w:szCs w:val="28"/>
          <w:lang w:val="ru-RU" w:eastAsia="zh-CN"/>
        </w:rPr>
      </w:pPr>
      <w:r w:rsidRPr="000D33D0">
        <w:rPr>
          <w:rFonts w:eastAsia="SimSun" w:cs="Arial"/>
          <w:b/>
          <w:sz w:val="28"/>
          <w:szCs w:val="28"/>
          <w:lang w:val="ru-RU" w:eastAsia="zh-CN"/>
        </w:rPr>
        <w:t>Ассамблеи государств-членов ВОИС</w:t>
      </w:r>
    </w:p>
    <w:p w:rsidR="005C6ABD" w:rsidRPr="00B1546C" w:rsidRDefault="005C6ABD" w:rsidP="005C6ABD">
      <w:pPr>
        <w:rPr>
          <w:rFonts w:eastAsia="SimSun" w:cs="Arial"/>
          <w:lang w:val="ru-RU" w:eastAsia="zh-CN"/>
        </w:rPr>
      </w:pPr>
    </w:p>
    <w:p w:rsidR="005C6ABD" w:rsidRPr="00B1546C" w:rsidRDefault="005C6ABD" w:rsidP="005C6ABD">
      <w:pPr>
        <w:rPr>
          <w:rFonts w:eastAsia="SimSun" w:cs="Arial"/>
          <w:b/>
          <w:sz w:val="24"/>
          <w:lang w:val="ru-RU" w:eastAsia="zh-CN"/>
        </w:rPr>
      </w:pPr>
      <w:r>
        <w:rPr>
          <w:rFonts w:eastAsia="SimSun" w:cs="Arial"/>
          <w:b/>
          <w:sz w:val="24"/>
          <w:lang w:val="ru-RU" w:eastAsia="zh-CN"/>
        </w:rPr>
        <w:t>Пятьдесят шестая серия заседаний</w:t>
      </w:r>
    </w:p>
    <w:p w:rsidR="005C6ABD" w:rsidRPr="007C68B6" w:rsidRDefault="005C6ABD" w:rsidP="005C6ABD">
      <w:pPr>
        <w:rPr>
          <w:b/>
          <w:sz w:val="24"/>
        </w:rPr>
      </w:pPr>
      <w:r w:rsidRPr="000D33D0">
        <w:rPr>
          <w:rFonts w:eastAsia="SimSun" w:cs="Arial"/>
          <w:b/>
          <w:sz w:val="24"/>
          <w:lang w:val="ru-RU" w:eastAsia="zh-CN"/>
        </w:rPr>
        <w:t xml:space="preserve">Женева, </w:t>
      </w:r>
      <w:r>
        <w:rPr>
          <w:rFonts w:eastAsia="SimSun" w:cs="Arial"/>
          <w:b/>
          <w:sz w:val="24"/>
          <w:lang w:val="ru-RU" w:eastAsia="zh-CN"/>
        </w:rPr>
        <w:t>3</w:t>
      </w:r>
      <w:r w:rsidRPr="000D33D0">
        <w:rPr>
          <w:rFonts w:eastAsia="SimSun" w:cs="Arial"/>
          <w:b/>
          <w:sz w:val="24"/>
          <w:lang w:val="ru-RU" w:eastAsia="zh-CN"/>
        </w:rPr>
        <w:t xml:space="preserve"> – </w:t>
      </w:r>
      <w:r>
        <w:rPr>
          <w:rFonts w:eastAsia="SimSun" w:cs="Arial"/>
          <w:b/>
          <w:sz w:val="24"/>
          <w:lang w:val="ru-RU" w:eastAsia="zh-CN"/>
        </w:rPr>
        <w:t>11</w:t>
      </w:r>
      <w:r w:rsidRPr="000D33D0">
        <w:rPr>
          <w:rFonts w:eastAsia="SimSun" w:cs="Arial"/>
          <w:b/>
          <w:sz w:val="24"/>
          <w:lang w:val="ru-RU" w:eastAsia="zh-CN"/>
        </w:rPr>
        <w:t xml:space="preserve"> </w:t>
      </w:r>
      <w:r>
        <w:rPr>
          <w:rFonts w:eastAsia="SimSun" w:cs="Arial"/>
          <w:b/>
          <w:sz w:val="24"/>
          <w:lang w:val="ru-RU" w:eastAsia="zh-CN"/>
        </w:rPr>
        <w:t>октября</w:t>
      </w:r>
      <w:r w:rsidRPr="000D33D0">
        <w:rPr>
          <w:rFonts w:eastAsia="SimSun" w:cs="Arial"/>
          <w:b/>
          <w:sz w:val="24"/>
          <w:lang w:val="ru-RU" w:eastAsia="zh-CN"/>
        </w:rPr>
        <w:t xml:space="preserve"> 2016 г.</w:t>
      </w:r>
    </w:p>
    <w:p w:rsidR="005C6ABD" w:rsidRPr="008B2CC1" w:rsidRDefault="005C6ABD" w:rsidP="005C6ABD"/>
    <w:p w:rsidR="005C6ABD" w:rsidRPr="008B2CC1" w:rsidRDefault="005C6ABD" w:rsidP="005C6ABD"/>
    <w:p w:rsidR="005C6ABD" w:rsidRPr="008B2CC1" w:rsidRDefault="005C6ABD" w:rsidP="005C6ABD"/>
    <w:p w:rsidR="005C6ABD" w:rsidRPr="005C6ABD" w:rsidRDefault="005C6ABD" w:rsidP="005C6ABD">
      <w:pPr>
        <w:rPr>
          <w:caps/>
          <w:sz w:val="24"/>
          <w:lang w:val="ru-RU"/>
        </w:rPr>
      </w:pPr>
      <w:bookmarkStart w:id="4" w:name="TitleOfDoc"/>
      <w:bookmarkEnd w:id="4"/>
      <w:r>
        <w:rPr>
          <w:caps/>
          <w:sz w:val="24"/>
          <w:lang w:val="ru-RU"/>
        </w:rPr>
        <w:t>отчет о реализации программы за 2014-2015 гг.</w:t>
      </w:r>
      <w:bookmarkStart w:id="5" w:name="_GoBack"/>
      <w:bookmarkEnd w:id="5"/>
    </w:p>
    <w:p w:rsidR="005C6ABD" w:rsidRPr="005C6ABD" w:rsidRDefault="005C6ABD" w:rsidP="005C6ABD">
      <w:pPr>
        <w:rPr>
          <w:lang w:val="ru-RU"/>
        </w:rPr>
      </w:pPr>
    </w:p>
    <w:p w:rsidR="005C6ABD" w:rsidRPr="005C6ABD" w:rsidRDefault="005C6ABD" w:rsidP="005C6ABD">
      <w:pPr>
        <w:rPr>
          <w:i/>
          <w:lang w:val="ru-RU"/>
        </w:rPr>
      </w:pPr>
      <w:r>
        <w:rPr>
          <w:i/>
          <w:lang w:val="ru-RU"/>
        </w:rPr>
        <w:t>представлен Генеральным директором</w:t>
      </w:r>
    </w:p>
    <w:p w:rsidR="005C6ABD" w:rsidRDefault="005C6ABD" w:rsidP="005C6ABD"/>
    <w:p w:rsidR="005C6ABD" w:rsidRDefault="005C6ABD" w:rsidP="005C6ABD"/>
    <w:p w:rsidR="005C6ABD" w:rsidRDefault="005C6ABD" w:rsidP="005C6ABD"/>
    <w:p w:rsidR="005C6ABD" w:rsidRDefault="005C6ABD" w:rsidP="005C6ABD"/>
    <w:p w:rsidR="005C6ABD" w:rsidRPr="008F7B65" w:rsidRDefault="005C6ABD" w:rsidP="005C6ABD">
      <w:pPr>
        <w:rPr>
          <w:szCs w:val="22"/>
        </w:rPr>
      </w:pPr>
    </w:p>
    <w:p w:rsidR="005C6ABD" w:rsidRPr="005C6ABD" w:rsidRDefault="005C6ABD" w:rsidP="005C6ABD">
      <w:pPr>
        <w:pStyle w:val="ListParagraph"/>
        <w:numPr>
          <w:ilvl w:val="0"/>
          <w:numId w:val="137"/>
        </w:numPr>
        <w:ind w:left="0" w:firstLine="0"/>
        <w:contextualSpacing/>
        <w:rPr>
          <w:rFonts w:cs="Arial"/>
          <w:sz w:val="22"/>
          <w:szCs w:val="22"/>
          <w:lang w:val="ru-RU"/>
        </w:rPr>
      </w:pPr>
      <w:r>
        <w:rPr>
          <w:rFonts w:cs="Arial"/>
          <w:sz w:val="22"/>
          <w:szCs w:val="22"/>
          <w:lang w:val="ru-RU"/>
        </w:rPr>
        <w:t>В настоящем документе содержится отчет о реализации программы за 2014-2015 гг.</w:t>
      </w:r>
      <w:r w:rsidRPr="005C6ABD">
        <w:rPr>
          <w:rFonts w:cs="Arial"/>
          <w:sz w:val="22"/>
          <w:szCs w:val="22"/>
          <w:lang w:val="ru-RU"/>
        </w:rPr>
        <w:t xml:space="preserve"> (</w:t>
      </w:r>
      <w:r>
        <w:rPr>
          <w:rFonts w:cs="Arial"/>
          <w:sz w:val="22"/>
          <w:szCs w:val="22"/>
          <w:lang w:val="ru-RU"/>
        </w:rPr>
        <w:t>документ</w:t>
      </w:r>
      <w:r w:rsidRPr="008F7B65">
        <w:rPr>
          <w:rFonts w:cs="Arial"/>
          <w:sz w:val="22"/>
          <w:szCs w:val="22"/>
        </w:rPr>
        <w:t> WO</w:t>
      </w:r>
      <w:r w:rsidRPr="005C6ABD">
        <w:rPr>
          <w:rFonts w:cs="Arial"/>
          <w:sz w:val="22"/>
          <w:szCs w:val="22"/>
          <w:lang w:val="ru-RU"/>
        </w:rPr>
        <w:t>/</w:t>
      </w:r>
      <w:r w:rsidRPr="008F7B65">
        <w:rPr>
          <w:rFonts w:cs="Arial"/>
          <w:sz w:val="22"/>
          <w:szCs w:val="22"/>
        </w:rPr>
        <w:t>PBC</w:t>
      </w:r>
      <w:r w:rsidRPr="005C6ABD">
        <w:rPr>
          <w:rFonts w:cs="Arial"/>
          <w:sz w:val="22"/>
          <w:szCs w:val="22"/>
          <w:lang w:val="ru-RU"/>
        </w:rPr>
        <w:t xml:space="preserve">/25/7), </w:t>
      </w:r>
      <w:r w:rsidRPr="005C6ABD">
        <w:rPr>
          <w:rFonts w:eastAsia="SimSun" w:cs="Arial"/>
          <w:sz w:val="22"/>
          <w:szCs w:val="22"/>
          <w:lang w:val="ru-RU" w:eastAsia="zh-CN"/>
        </w:rPr>
        <w:t>который был представлен Комитету ВОИС по программе и бюджету (КПБ) на его двадцать пятой сессии (29 августа – 2 сентября 2016</w:t>
      </w:r>
      <w:r w:rsidRPr="005C6ABD">
        <w:rPr>
          <w:rFonts w:eastAsia="SimSun" w:cs="Arial"/>
          <w:sz w:val="22"/>
          <w:szCs w:val="22"/>
          <w:lang w:eastAsia="zh-CN"/>
        </w:rPr>
        <w:t> </w:t>
      </w:r>
      <w:r w:rsidRPr="005C6ABD">
        <w:rPr>
          <w:rFonts w:eastAsia="SimSun" w:cs="Arial"/>
          <w:sz w:val="22"/>
          <w:szCs w:val="22"/>
          <w:lang w:val="ru-RU" w:eastAsia="zh-CN"/>
        </w:rPr>
        <w:t>г.)</w:t>
      </w:r>
      <w:r w:rsidRPr="005C6ABD">
        <w:rPr>
          <w:rFonts w:cs="Arial"/>
          <w:sz w:val="22"/>
          <w:szCs w:val="22"/>
          <w:lang w:val="ru-RU"/>
        </w:rPr>
        <w:t>.</w:t>
      </w:r>
    </w:p>
    <w:p w:rsidR="005C6ABD" w:rsidRPr="005C6ABD" w:rsidRDefault="005C6ABD" w:rsidP="005C6ABD">
      <w:pPr>
        <w:pStyle w:val="ListParagraph"/>
        <w:ind w:left="0"/>
        <w:rPr>
          <w:rFonts w:cs="Arial"/>
          <w:sz w:val="22"/>
          <w:szCs w:val="22"/>
          <w:lang w:val="ru-RU"/>
        </w:rPr>
      </w:pPr>
      <w:r w:rsidRPr="005C6ABD">
        <w:rPr>
          <w:rFonts w:cs="Arial"/>
          <w:sz w:val="22"/>
          <w:szCs w:val="22"/>
          <w:lang w:val="ru-RU"/>
        </w:rPr>
        <w:t xml:space="preserve">  </w:t>
      </w:r>
    </w:p>
    <w:p w:rsidR="005C6ABD" w:rsidRPr="005C6ABD" w:rsidRDefault="005C6ABD" w:rsidP="005C6ABD">
      <w:pPr>
        <w:pStyle w:val="ListParagraph"/>
        <w:numPr>
          <w:ilvl w:val="0"/>
          <w:numId w:val="137"/>
        </w:numPr>
        <w:ind w:left="0" w:firstLine="0"/>
        <w:contextualSpacing/>
        <w:rPr>
          <w:rFonts w:cs="Arial"/>
          <w:sz w:val="22"/>
          <w:szCs w:val="22"/>
          <w:lang w:val="ru-RU"/>
        </w:rPr>
      </w:pPr>
      <w:r w:rsidRPr="005C6ABD">
        <w:rPr>
          <w:rFonts w:eastAsia="SimSun" w:cs="Arial"/>
          <w:sz w:val="22"/>
          <w:szCs w:val="22"/>
          <w:lang w:val="ru-RU" w:eastAsia="zh-CN"/>
        </w:rPr>
        <w:t xml:space="preserve">Все решения КПБ в отношении этого документа отражены в «Решениях, принятых Комитетом по программе и бюджету» (документ </w:t>
      </w:r>
      <w:r w:rsidRPr="005C6ABD">
        <w:rPr>
          <w:rFonts w:eastAsia="SimSun" w:cs="Arial"/>
          <w:sz w:val="22"/>
          <w:szCs w:val="22"/>
          <w:lang w:eastAsia="zh-CN"/>
        </w:rPr>
        <w:t>A</w:t>
      </w:r>
      <w:r w:rsidRPr="005C6ABD">
        <w:rPr>
          <w:rFonts w:eastAsia="SimSun" w:cs="Arial"/>
          <w:sz w:val="22"/>
          <w:szCs w:val="22"/>
          <w:lang w:val="ru-RU" w:eastAsia="zh-CN"/>
        </w:rPr>
        <w:t>/56/12).</w:t>
      </w:r>
    </w:p>
    <w:p w:rsidR="005C6ABD" w:rsidRPr="005C6ABD" w:rsidRDefault="005C6ABD" w:rsidP="005C6ABD">
      <w:pPr>
        <w:pStyle w:val="ListParagraph"/>
        <w:rPr>
          <w:rFonts w:cs="Arial"/>
          <w:sz w:val="22"/>
          <w:szCs w:val="22"/>
          <w:lang w:val="ru-RU"/>
        </w:rPr>
      </w:pPr>
    </w:p>
    <w:p w:rsidR="005C6ABD" w:rsidRPr="005C6ABD" w:rsidRDefault="005C6ABD" w:rsidP="005C6ABD">
      <w:pPr>
        <w:pStyle w:val="ListParagraph"/>
        <w:rPr>
          <w:rFonts w:cs="Arial"/>
          <w:sz w:val="22"/>
          <w:szCs w:val="22"/>
          <w:lang w:val="ru-RU"/>
        </w:rPr>
      </w:pPr>
    </w:p>
    <w:p w:rsidR="005C6ABD" w:rsidRPr="005C6ABD" w:rsidRDefault="005C6ABD" w:rsidP="005C6ABD">
      <w:pPr>
        <w:rPr>
          <w:szCs w:val="22"/>
          <w:lang w:val="ru-RU"/>
        </w:rPr>
      </w:pPr>
    </w:p>
    <w:p w:rsidR="005C6ABD" w:rsidRPr="008F7B65" w:rsidRDefault="005C6ABD" w:rsidP="005C6ABD">
      <w:pPr>
        <w:pStyle w:val="Endofdocument-Annex"/>
        <w:rPr>
          <w:szCs w:val="22"/>
          <w:lang w:val="en-IN"/>
        </w:rPr>
      </w:pPr>
      <w:r w:rsidRPr="008F7B65">
        <w:rPr>
          <w:szCs w:val="22"/>
          <w:lang w:val="en-IN"/>
        </w:rPr>
        <w:t>[</w:t>
      </w:r>
      <w:r>
        <w:rPr>
          <w:szCs w:val="22"/>
          <w:lang w:val="ru-RU"/>
        </w:rPr>
        <w:t>Документ</w:t>
      </w:r>
      <w:r w:rsidRPr="008F7B65">
        <w:rPr>
          <w:szCs w:val="22"/>
          <w:lang w:val="en-IN"/>
        </w:rPr>
        <w:t xml:space="preserve"> WO/PBC/2</w:t>
      </w:r>
      <w:r>
        <w:rPr>
          <w:szCs w:val="22"/>
          <w:lang w:val="en-IN"/>
        </w:rPr>
        <w:t>5</w:t>
      </w:r>
      <w:r w:rsidRPr="008F7B65">
        <w:rPr>
          <w:szCs w:val="22"/>
          <w:lang w:val="en-IN"/>
        </w:rPr>
        <w:t>/</w:t>
      </w:r>
      <w:r>
        <w:rPr>
          <w:szCs w:val="22"/>
          <w:lang w:val="en-IN"/>
        </w:rPr>
        <w:t>7</w:t>
      </w:r>
      <w:r w:rsidRPr="008F7B65">
        <w:rPr>
          <w:szCs w:val="22"/>
          <w:lang w:val="en-IN"/>
        </w:rPr>
        <w:t xml:space="preserve"> </w:t>
      </w:r>
      <w:r>
        <w:rPr>
          <w:szCs w:val="22"/>
          <w:lang w:val="ru-RU"/>
        </w:rPr>
        <w:t>следует</w:t>
      </w:r>
      <w:r w:rsidRPr="008F7B65">
        <w:rPr>
          <w:szCs w:val="22"/>
          <w:lang w:val="en-IN"/>
        </w:rPr>
        <w:t>]</w:t>
      </w:r>
    </w:p>
    <w:p w:rsidR="005C6ABD" w:rsidRDefault="005C6ABD" w:rsidP="005C6ABD"/>
    <w:p w:rsidR="005C6ABD" w:rsidRDefault="005C6ABD" w:rsidP="0052593C"/>
    <w:p w:rsidR="005C6ABD" w:rsidRDefault="005C6ABD" w:rsidP="0052593C"/>
    <w:p w:rsidR="005C6ABD" w:rsidRDefault="005C6ABD" w:rsidP="0052593C"/>
    <w:p w:rsidR="005C6ABD" w:rsidRDefault="005C6ABD" w:rsidP="0052593C"/>
    <w:p w:rsidR="005C6ABD" w:rsidRDefault="005C6ABD" w:rsidP="0052593C">
      <w:pPr>
        <w:sectPr w:rsidR="005C6ABD" w:rsidSect="00E31A65">
          <w:headerReference w:type="even" r:id="rId10"/>
          <w:headerReference w:type="default" r:id="rId11"/>
          <w:footerReference w:type="even" r:id="rId12"/>
          <w:footerReference w:type="default" r:id="rId13"/>
          <w:pgSz w:w="11907" w:h="16840" w:code="9"/>
          <w:pgMar w:top="426" w:right="1134" w:bottom="1418" w:left="1418" w:header="567" w:footer="1021" w:gutter="0"/>
          <w:pgNumType w:start="1"/>
          <w:cols w:space="720"/>
          <w:titlePg/>
          <w:docGrid w:linePitch="272"/>
        </w:sectPr>
      </w:pPr>
    </w:p>
    <w:tbl>
      <w:tblPr>
        <w:tblW w:w="9356" w:type="dxa"/>
        <w:tblInd w:w="108" w:type="dxa"/>
        <w:tblLayout w:type="fixed"/>
        <w:tblLook w:val="01E0" w:firstRow="1" w:lastRow="1" w:firstColumn="1" w:lastColumn="1" w:noHBand="0" w:noVBand="0"/>
      </w:tblPr>
      <w:tblGrid>
        <w:gridCol w:w="4513"/>
        <w:gridCol w:w="4337"/>
        <w:gridCol w:w="506"/>
      </w:tblGrid>
      <w:tr w:rsidR="0076666B" w:rsidRPr="008B2CC1" w:rsidTr="0076666B">
        <w:tc>
          <w:tcPr>
            <w:tcW w:w="4513" w:type="dxa"/>
            <w:tcBorders>
              <w:bottom w:val="single" w:sz="4" w:space="0" w:color="auto"/>
            </w:tcBorders>
            <w:tcMar>
              <w:bottom w:w="170" w:type="dxa"/>
            </w:tcMar>
          </w:tcPr>
          <w:p w:rsidR="0076666B" w:rsidRPr="008B2CC1" w:rsidRDefault="00431F4C" w:rsidP="0052593C">
            <w:r>
              <w:t xml:space="preserve"> </w:t>
            </w:r>
          </w:p>
        </w:tc>
        <w:tc>
          <w:tcPr>
            <w:tcW w:w="4337" w:type="dxa"/>
            <w:tcBorders>
              <w:bottom w:val="single" w:sz="4" w:space="0" w:color="auto"/>
            </w:tcBorders>
            <w:tcMar>
              <w:left w:w="0" w:type="dxa"/>
              <w:right w:w="0" w:type="dxa"/>
            </w:tcMar>
          </w:tcPr>
          <w:p w:rsidR="0076666B" w:rsidRPr="008B2CC1" w:rsidRDefault="000B7997" w:rsidP="0052593C">
            <w:r>
              <w:rPr>
                <w:noProof/>
              </w:rPr>
              <w:drawing>
                <wp:inline distT="0" distB="0" distL="0" distR="0" wp14:anchorId="45BE3EEA" wp14:editId="2E807D83">
                  <wp:extent cx="1809750" cy="1343025"/>
                  <wp:effectExtent l="0" t="0" r="0" b="9525"/>
                  <wp:docPr id="87" name="Рисунок 2" descr="Описание: WIPO-R-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WIPO-R-B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9750" cy="1343025"/>
                          </a:xfrm>
                          <a:prstGeom prst="rect">
                            <a:avLst/>
                          </a:prstGeom>
                          <a:noFill/>
                          <a:ln>
                            <a:noFill/>
                          </a:ln>
                        </pic:spPr>
                      </pic:pic>
                    </a:graphicData>
                  </a:graphic>
                </wp:inline>
              </w:drawing>
            </w:r>
          </w:p>
        </w:tc>
        <w:tc>
          <w:tcPr>
            <w:tcW w:w="506" w:type="dxa"/>
            <w:tcBorders>
              <w:bottom w:val="single" w:sz="4" w:space="0" w:color="auto"/>
            </w:tcBorders>
            <w:tcMar>
              <w:left w:w="0" w:type="dxa"/>
              <w:right w:w="0" w:type="dxa"/>
            </w:tcMar>
          </w:tcPr>
          <w:p w:rsidR="0076666B" w:rsidRPr="008B2CC1" w:rsidRDefault="000B7997" w:rsidP="0052593C">
            <w:pPr>
              <w:jc w:val="right"/>
            </w:pPr>
            <w:r>
              <w:rPr>
                <w:b/>
                <w:sz w:val="40"/>
                <w:szCs w:val="40"/>
              </w:rPr>
              <w:t>R</w:t>
            </w:r>
          </w:p>
        </w:tc>
      </w:tr>
      <w:tr w:rsidR="0076666B" w:rsidRPr="001832A6" w:rsidTr="0052593C">
        <w:trPr>
          <w:trHeight w:hRule="exact" w:val="340"/>
        </w:trPr>
        <w:tc>
          <w:tcPr>
            <w:tcW w:w="9356" w:type="dxa"/>
            <w:gridSpan w:val="3"/>
            <w:tcBorders>
              <w:top w:val="single" w:sz="4" w:space="0" w:color="auto"/>
            </w:tcBorders>
            <w:tcMar>
              <w:top w:w="170" w:type="dxa"/>
              <w:left w:w="0" w:type="dxa"/>
              <w:right w:w="0" w:type="dxa"/>
            </w:tcMar>
            <w:vAlign w:val="bottom"/>
          </w:tcPr>
          <w:p w:rsidR="0076666B" w:rsidRPr="0090731E" w:rsidRDefault="0076666B" w:rsidP="0052593C">
            <w:pPr>
              <w:jc w:val="right"/>
              <w:rPr>
                <w:rFonts w:ascii="Arial Black" w:hAnsi="Arial Black"/>
                <w:caps/>
                <w:sz w:val="15"/>
              </w:rPr>
            </w:pPr>
            <w:r>
              <w:rPr>
                <w:rFonts w:ascii="Arial Black" w:hAnsi="Arial Black"/>
                <w:caps/>
                <w:sz w:val="15"/>
              </w:rPr>
              <w:t>WO/PBC/25/7</w:t>
            </w:r>
            <w:r w:rsidRPr="0090731E">
              <w:rPr>
                <w:rFonts w:ascii="Arial Black" w:hAnsi="Arial Black"/>
                <w:caps/>
                <w:sz w:val="15"/>
              </w:rPr>
              <w:t xml:space="preserve"> </w:t>
            </w:r>
          </w:p>
        </w:tc>
      </w:tr>
      <w:tr w:rsidR="0076666B" w:rsidRPr="001832A6" w:rsidTr="0052593C">
        <w:trPr>
          <w:trHeight w:hRule="exact" w:val="170"/>
        </w:trPr>
        <w:tc>
          <w:tcPr>
            <w:tcW w:w="9356" w:type="dxa"/>
            <w:gridSpan w:val="3"/>
            <w:noWrap/>
            <w:tcMar>
              <w:left w:w="0" w:type="dxa"/>
              <w:right w:w="0" w:type="dxa"/>
            </w:tcMar>
            <w:vAlign w:val="bottom"/>
          </w:tcPr>
          <w:p w:rsidR="0076666B" w:rsidRPr="000B7997" w:rsidRDefault="000B7997" w:rsidP="000B7997">
            <w:pPr>
              <w:jc w:val="right"/>
              <w:rPr>
                <w:rFonts w:ascii="Arial Black" w:hAnsi="Arial Black"/>
                <w:caps/>
                <w:sz w:val="15"/>
                <w:lang w:val="ru-RU"/>
              </w:rPr>
            </w:pPr>
            <w:r>
              <w:rPr>
                <w:rFonts w:ascii="Arial Black" w:hAnsi="Arial Black"/>
                <w:caps/>
                <w:sz w:val="15"/>
                <w:lang w:val="ru-RU"/>
              </w:rPr>
              <w:t>оригинал</w:t>
            </w:r>
            <w:r w:rsidR="0076666B" w:rsidRPr="0090731E">
              <w:rPr>
                <w:rFonts w:ascii="Arial Black" w:hAnsi="Arial Black"/>
                <w:caps/>
                <w:sz w:val="15"/>
              </w:rPr>
              <w:t xml:space="preserve">: </w:t>
            </w:r>
            <w:r>
              <w:rPr>
                <w:rFonts w:ascii="Arial Black" w:hAnsi="Arial Black"/>
                <w:caps/>
                <w:sz w:val="15"/>
                <w:lang w:val="ru-RU"/>
              </w:rPr>
              <w:t>английский</w:t>
            </w:r>
          </w:p>
        </w:tc>
      </w:tr>
      <w:tr w:rsidR="0076666B" w:rsidRPr="001832A6" w:rsidTr="0052593C">
        <w:trPr>
          <w:trHeight w:hRule="exact" w:val="198"/>
        </w:trPr>
        <w:tc>
          <w:tcPr>
            <w:tcW w:w="9356" w:type="dxa"/>
            <w:gridSpan w:val="3"/>
            <w:tcMar>
              <w:left w:w="0" w:type="dxa"/>
              <w:right w:w="0" w:type="dxa"/>
            </w:tcMar>
            <w:vAlign w:val="bottom"/>
          </w:tcPr>
          <w:p w:rsidR="0076666B" w:rsidRPr="000B7997" w:rsidRDefault="000B7997" w:rsidP="00BE018E">
            <w:pPr>
              <w:jc w:val="right"/>
              <w:rPr>
                <w:rFonts w:ascii="Arial Black" w:hAnsi="Arial Black"/>
                <w:caps/>
                <w:sz w:val="15"/>
                <w:lang w:val="ru-RU"/>
              </w:rPr>
            </w:pPr>
            <w:r>
              <w:rPr>
                <w:rFonts w:ascii="Arial Black" w:hAnsi="Arial Black"/>
                <w:caps/>
                <w:sz w:val="15"/>
                <w:lang w:val="ru-RU"/>
              </w:rPr>
              <w:t>дата</w:t>
            </w:r>
            <w:r w:rsidR="0076666B" w:rsidRPr="0090731E">
              <w:rPr>
                <w:rFonts w:ascii="Arial Black" w:hAnsi="Arial Black"/>
                <w:caps/>
                <w:sz w:val="15"/>
              </w:rPr>
              <w:t xml:space="preserve">: </w:t>
            </w:r>
            <w:r w:rsidR="00BE018E">
              <w:rPr>
                <w:rFonts w:ascii="Arial Black" w:hAnsi="Arial Black"/>
                <w:caps/>
                <w:sz w:val="15"/>
                <w:lang w:val="ru-RU"/>
              </w:rPr>
              <w:t>27</w:t>
            </w:r>
            <w:r w:rsidRPr="000B7997">
              <w:rPr>
                <w:rFonts w:ascii="Arial Black" w:hAnsi="Arial Black"/>
                <w:caps/>
                <w:sz w:val="15"/>
              </w:rPr>
              <w:t xml:space="preserve"> </w:t>
            </w:r>
            <w:r>
              <w:rPr>
                <w:rFonts w:ascii="Arial Black" w:hAnsi="Arial Black"/>
                <w:caps/>
                <w:sz w:val="15"/>
                <w:lang w:val="ru-RU"/>
              </w:rPr>
              <w:t>ию</w:t>
            </w:r>
            <w:r w:rsidR="00BE018E">
              <w:rPr>
                <w:rFonts w:ascii="Arial Black" w:hAnsi="Arial Black"/>
                <w:caps/>
                <w:sz w:val="15"/>
                <w:lang w:val="ru-RU"/>
              </w:rPr>
              <w:t>н</w:t>
            </w:r>
            <w:r>
              <w:rPr>
                <w:rFonts w:ascii="Arial Black" w:hAnsi="Arial Black"/>
                <w:caps/>
                <w:sz w:val="15"/>
                <w:lang w:val="ru-RU"/>
              </w:rPr>
              <w:t>я</w:t>
            </w:r>
            <w:r w:rsidR="0076666B">
              <w:rPr>
                <w:rFonts w:ascii="Arial Black" w:hAnsi="Arial Black"/>
                <w:caps/>
                <w:sz w:val="15"/>
              </w:rPr>
              <w:t xml:space="preserve"> 2016</w:t>
            </w:r>
            <w:r>
              <w:rPr>
                <w:rFonts w:ascii="Arial Black" w:hAnsi="Arial Black"/>
                <w:caps/>
                <w:sz w:val="15"/>
                <w:lang w:val="ru-RU"/>
              </w:rPr>
              <w:t xml:space="preserve"> г.</w:t>
            </w:r>
          </w:p>
        </w:tc>
      </w:tr>
    </w:tbl>
    <w:p w:rsidR="0076666B" w:rsidRPr="008B2CC1" w:rsidRDefault="0076666B" w:rsidP="0052593C"/>
    <w:p w:rsidR="0076666B" w:rsidRPr="008B2CC1" w:rsidRDefault="0076666B" w:rsidP="0052593C"/>
    <w:p w:rsidR="0076666B" w:rsidRPr="008B2CC1" w:rsidRDefault="0076666B" w:rsidP="0052593C"/>
    <w:p w:rsidR="0076666B" w:rsidRPr="008B2CC1" w:rsidRDefault="0076666B" w:rsidP="0052593C"/>
    <w:p w:rsidR="0076666B" w:rsidRPr="008B2CC1" w:rsidRDefault="0076666B" w:rsidP="0052593C"/>
    <w:p w:rsidR="0076666B" w:rsidRPr="000B7997" w:rsidRDefault="000B7997" w:rsidP="0052593C">
      <w:pPr>
        <w:rPr>
          <w:b/>
          <w:sz w:val="28"/>
          <w:szCs w:val="28"/>
          <w:lang w:val="ru-RU"/>
        </w:rPr>
      </w:pPr>
      <w:r>
        <w:rPr>
          <w:b/>
          <w:sz w:val="28"/>
          <w:szCs w:val="28"/>
          <w:lang w:val="ru-RU"/>
        </w:rPr>
        <w:t>Комитет по программе и бюджету</w:t>
      </w:r>
    </w:p>
    <w:p w:rsidR="0076666B" w:rsidRDefault="0076666B" w:rsidP="0052593C"/>
    <w:p w:rsidR="0076666B" w:rsidRDefault="0076666B" w:rsidP="0052593C"/>
    <w:p w:rsidR="0076666B" w:rsidRPr="000B7997" w:rsidRDefault="000B7997" w:rsidP="0052593C">
      <w:pPr>
        <w:rPr>
          <w:b/>
          <w:sz w:val="24"/>
          <w:lang w:val="ru-RU"/>
        </w:rPr>
      </w:pPr>
      <w:r>
        <w:rPr>
          <w:b/>
          <w:sz w:val="24"/>
          <w:lang w:val="ru-RU"/>
        </w:rPr>
        <w:t>Двадцать пятая сессия</w:t>
      </w:r>
    </w:p>
    <w:p w:rsidR="0076666B" w:rsidRPr="000B7997" w:rsidRDefault="000B7997" w:rsidP="0052593C">
      <w:pPr>
        <w:rPr>
          <w:b/>
          <w:sz w:val="24"/>
          <w:lang w:val="ru-RU"/>
        </w:rPr>
      </w:pPr>
      <w:r>
        <w:rPr>
          <w:b/>
          <w:sz w:val="24"/>
          <w:lang w:val="ru-RU"/>
        </w:rPr>
        <w:t>Женева</w:t>
      </w:r>
      <w:r w:rsidR="0076666B">
        <w:rPr>
          <w:b/>
          <w:sz w:val="24"/>
        </w:rPr>
        <w:t xml:space="preserve">, 29 </w:t>
      </w:r>
      <w:r>
        <w:rPr>
          <w:b/>
          <w:sz w:val="24"/>
          <w:lang w:val="ru-RU"/>
        </w:rPr>
        <w:t>августа –</w:t>
      </w:r>
      <w:r w:rsidR="0076666B">
        <w:rPr>
          <w:b/>
          <w:sz w:val="24"/>
        </w:rPr>
        <w:t xml:space="preserve"> </w:t>
      </w:r>
      <w:r>
        <w:rPr>
          <w:b/>
          <w:sz w:val="24"/>
        </w:rPr>
        <w:t>2</w:t>
      </w:r>
      <w:r>
        <w:rPr>
          <w:b/>
          <w:sz w:val="24"/>
          <w:lang w:val="ru-RU"/>
        </w:rPr>
        <w:t xml:space="preserve"> сентября</w:t>
      </w:r>
      <w:r w:rsidR="0076666B">
        <w:rPr>
          <w:b/>
          <w:sz w:val="24"/>
        </w:rPr>
        <w:t xml:space="preserve"> 2016</w:t>
      </w:r>
      <w:r>
        <w:rPr>
          <w:b/>
          <w:sz w:val="24"/>
          <w:lang w:val="ru-RU"/>
        </w:rPr>
        <w:t xml:space="preserve"> г.</w:t>
      </w:r>
    </w:p>
    <w:p w:rsidR="0076666B" w:rsidRPr="008B2CC1" w:rsidRDefault="0076666B" w:rsidP="0052593C"/>
    <w:p w:rsidR="0076666B" w:rsidRPr="008B2CC1" w:rsidRDefault="0076666B" w:rsidP="0052593C"/>
    <w:p w:rsidR="0076666B" w:rsidRPr="008B2CC1" w:rsidRDefault="0076666B" w:rsidP="0052593C"/>
    <w:p w:rsidR="0076666B" w:rsidRPr="000B7997" w:rsidRDefault="000B7997" w:rsidP="0052593C">
      <w:pPr>
        <w:rPr>
          <w:caps/>
          <w:sz w:val="24"/>
          <w:lang w:val="ru-RU"/>
        </w:rPr>
      </w:pPr>
      <w:r>
        <w:rPr>
          <w:caps/>
          <w:sz w:val="24"/>
          <w:lang w:val="ru-RU"/>
        </w:rPr>
        <w:t xml:space="preserve">отчет о реализации программы за </w:t>
      </w:r>
      <w:r w:rsidRPr="000B7997">
        <w:rPr>
          <w:caps/>
          <w:sz w:val="24"/>
          <w:lang w:val="ru-RU"/>
        </w:rPr>
        <w:t>2014</w:t>
      </w:r>
      <w:r>
        <w:rPr>
          <w:caps/>
          <w:sz w:val="24"/>
          <w:lang w:val="ru-RU"/>
        </w:rPr>
        <w:t>-20</w:t>
      </w:r>
      <w:r w:rsidR="0076666B" w:rsidRPr="000B7997">
        <w:rPr>
          <w:caps/>
          <w:sz w:val="24"/>
          <w:lang w:val="ru-RU"/>
        </w:rPr>
        <w:t>15</w:t>
      </w:r>
      <w:r>
        <w:rPr>
          <w:caps/>
          <w:sz w:val="24"/>
          <w:lang w:val="ru-RU"/>
        </w:rPr>
        <w:t xml:space="preserve"> гг.</w:t>
      </w:r>
    </w:p>
    <w:p w:rsidR="0076666B" w:rsidRPr="000B7997" w:rsidRDefault="0076666B" w:rsidP="0052593C">
      <w:pPr>
        <w:rPr>
          <w:lang w:val="ru-RU"/>
        </w:rPr>
      </w:pPr>
    </w:p>
    <w:p w:rsidR="0076666B" w:rsidRPr="000B7997" w:rsidRDefault="000B7997" w:rsidP="0052593C">
      <w:pPr>
        <w:rPr>
          <w:i/>
          <w:lang w:val="ru-RU"/>
        </w:rPr>
      </w:pPr>
      <w:bookmarkStart w:id="6" w:name="Prepared"/>
      <w:bookmarkEnd w:id="6"/>
      <w:r>
        <w:rPr>
          <w:i/>
          <w:lang w:val="ru-RU"/>
        </w:rPr>
        <w:t>представлен Генеральным директором</w:t>
      </w:r>
    </w:p>
    <w:p w:rsidR="0076666B" w:rsidRPr="000B7997" w:rsidRDefault="0076666B">
      <w:pPr>
        <w:rPr>
          <w:lang w:val="ru-RU"/>
        </w:rPr>
      </w:pPr>
    </w:p>
    <w:p w:rsidR="0076666B" w:rsidRPr="000B7997" w:rsidRDefault="0076666B">
      <w:pPr>
        <w:rPr>
          <w:lang w:val="ru-RU"/>
        </w:rPr>
      </w:pPr>
    </w:p>
    <w:p w:rsidR="0076666B" w:rsidRPr="000B7997" w:rsidRDefault="0076666B">
      <w:pPr>
        <w:rPr>
          <w:lang w:val="ru-RU"/>
        </w:rPr>
      </w:pPr>
    </w:p>
    <w:p w:rsidR="0076666B" w:rsidRPr="000B7997" w:rsidRDefault="0076666B" w:rsidP="0052593C">
      <w:pPr>
        <w:rPr>
          <w:lang w:val="ru-RU"/>
        </w:rPr>
      </w:pPr>
    </w:p>
    <w:p w:rsidR="0076666B" w:rsidRPr="000B7997" w:rsidRDefault="0076666B">
      <w:pPr>
        <w:rPr>
          <w:lang w:val="ru-RU"/>
        </w:rPr>
      </w:pPr>
    </w:p>
    <w:p w:rsidR="0076666B" w:rsidRPr="00BA61D2" w:rsidRDefault="0076666B" w:rsidP="0076666B">
      <w:pPr>
        <w:rPr>
          <w:sz w:val="22"/>
          <w:szCs w:val="22"/>
          <w:lang w:val="ru-RU"/>
        </w:rPr>
      </w:pPr>
      <w:r w:rsidRPr="00BA61D2">
        <w:rPr>
          <w:sz w:val="22"/>
          <w:szCs w:val="22"/>
          <w:lang w:val="ru-RU"/>
        </w:rPr>
        <w:t>1.</w:t>
      </w:r>
      <w:r w:rsidRPr="00BA61D2">
        <w:rPr>
          <w:sz w:val="22"/>
          <w:szCs w:val="22"/>
          <w:lang w:val="ru-RU"/>
        </w:rPr>
        <w:tab/>
      </w:r>
      <w:r w:rsidR="001420E3" w:rsidRPr="00CB2698">
        <w:rPr>
          <w:sz w:val="22"/>
          <w:szCs w:val="22"/>
          <w:lang w:val="ru-RU"/>
        </w:rPr>
        <w:t>Отчет о реализации программы (ОРП) за 201</w:t>
      </w:r>
      <w:r w:rsidR="001420E3">
        <w:rPr>
          <w:sz w:val="22"/>
          <w:szCs w:val="22"/>
          <w:lang w:val="ru-RU"/>
        </w:rPr>
        <w:t>4</w:t>
      </w:r>
      <w:r w:rsidR="001420E3" w:rsidRPr="00CB2698">
        <w:rPr>
          <w:sz w:val="22"/>
          <w:szCs w:val="22"/>
          <w:lang w:val="ru-RU"/>
        </w:rPr>
        <w:t>-201</w:t>
      </w:r>
      <w:r w:rsidR="001420E3">
        <w:rPr>
          <w:sz w:val="22"/>
          <w:szCs w:val="22"/>
          <w:lang w:val="ru-RU"/>
        </w:rPr>
        <w:t>5</w:t>
      </w:r>
      <w:r w:rsidR="001420E3" w:rsidRPr="00CB2698">
        <w:rPr>
          <w:sz w:val="22"/>
          <w:szCs w:val="22"/>
          <w:lang w:val="ru-RU"/>
        </w:rPr>
        <w:t> гг. подготовлен в соответствии с</w:t>
      </w:r>
      <w:r w:rsidR="001420E3" w:rsidRPr="0075097C">
        <w:rPr>
          <w:sz w:val="22"/>
          <w:szCs w:val="22"/>
          <w:lang w:val="ru-RU"/>
        </w:rPr>
        <w:t xml:space="preserve"> </w:t>
      </w:r>
      <w:r w:rsidR="001420E3" w:rsidRPr="00CB2698">
        <w:rPr>
          <w:sz w:val="22"/>
          <w:szCs w:val="22"/>
          <w:lang w:val="ru-RU"/>
        </w:rPr>
        <w:t>о</w:t>
      </w:r>
      <w:r w:rsidR="001420E3">
        <w:rPr>
          <w:sz w:val="22"/>
          <w:szCs w:val="22"/>
          <w:lang w:val="ru-RU"/>
        </w:rPr>
        <w:t>сновополагающими принципами</w:t>
      </w:r>
      <w:r w:rsidR="001420E3" w:rsidRPr="00CB2698">
        <w:rPr>
          <w:sz w:val="22"/>
          <w:szCs w:val="22"/>
          <w:lang w:val="ru-RU"/>
        </w:rPr>
        <w:t xml:space="preserve"> управления ВОИС, ориентированно</w:t>
      </w:r>
      <w:r w:rsidR="001420E3">
        <w:rPr>
          <w:sz w:val="22"/>
          <w:szCs w:val="22"/>
          <w:lang w:val="ru-RU"/>
        </w:rPr>
        <w:t>го</w:t>
      </w:r>
      <w:r w:rsidR="001420E3" w:rsidRPr="00CB2698">
        <w:rPr>
          <w:sz w:val="22"/>
          <w:szCs w:val="22"/>
          <w:lang w:val="ru-RU"/>
        </w:rPr>
        <w:t xml:space="preserve"> на конечный результат.  Он о</w:t>
      </w:r>
      <w:r w:rsidR="001420E3">
        <w:rPr>
          <w:sz w:val="22"/>
          <w:szCs w:val="22"/>
          <w:lang w:val="ru-RU"/>
        </w:rPr>
        <w:t>пирается на критерии</w:t>
      </w:r>
      <w:r w:rsidR="001420E3" w:rsidRPr="00CB2698">
        <w:rPr>
          <w:sz w:val="22"/>
          <w:szCs w:val="22"/>
          <w:lang w:val="ru-RU"/>
        </w:rPr>
        <w:t xml:space="preserve"> оценки </w:t>
      </w:r>
      <w:r w:rsidR="001420E3">
        <w:rPr>
          <w:sz w:val="22"/>
          <w:szCs w:val="22"/>
          <w:lang w:val="ru-RU"/>
        </w:rPr>
        <w:t>результативности</w:t>
      </w:r>
      <w:r w:rsidR="001420E3" w:rsidRPr="00CB2698">
        <w:rPr>
          <w:sz w:val="22"/>
          <w:szCs w:val="22"/>
          <w:lang w:val="ru-RU"/>
        </w:rPr>
        <w:t>, предложенн</w:t>
      </w:r>
      <w:r w:rsidR="001420E3">
        <w:rPr>
          <w:sz w:val="22"/>
          <w:szCs w:val="22"/>
          <w:lang w:val="ru-RU"/>
        </w:rPr>
        <w:t>ые</w:t>
      </w:r>
      <w:r w:rsidR="001420E3" w:rsidRPr="00CB2698">
        <w:rPr>
          <w:sz w:val="22"/>
          <w:szCs w:val="22"/>
          <w:lang w:val="ru-RU"/>
        </w:rPr>
        <w:t xml:space="preserve"> в Программе и </w:t>
      </w:r>
      <w:r w:rsidR="001420E3">
        <w:rPr>
          <w:sz w:val="22"/>
          <w:szCs w:val="22"/>
          <w:lang w:val="ru-RU"/>
        </w:rPr>
        <w:t>б</w:t>
      </w:r>
      <w:r w:rsidR="001420E3" w:rsidRPr="00CB2698">
        <w:rPr>
          <w:sz w:val="22"/>
          <w:szCs w:val="22"/>
          <w:lang w:val="ru-RU"/>
        </w:rPr>
        <w:t>юджете на двухлетний период 201</w:t>
      </w:r>
      <w:r w:rsidR="001420E3">
        <w:rPr>
          <w:sz w:val="22"/>
          <w:szCs w:val="22"/>
          <w:lang w:val="ru-RU"/>
        </w:rPr>
        <w:t>4</w:t>
      </w:r>
      <w:r w:rsidR="001420E3" w:rsidRPr="00CB2698">
        <w:rPr>
          <w:sz w:val="22"/>
          <w:szCs w:val="22"/>
          <w:lang w:val="ru-RU"/>
        </w:rPr>
        <w:t>-1</w:t>
      </w:r>
      <w:r w:rsidR="001420E3">
        <w:rPr>
          <w:sz w:val="22"/>
          <w:szCs w:val="22"/>
          <w:lang w:val="ru-RU"/>
        </w:rPr>
        <w:t>5</w:t>
      </w:r>
      <w:r w:rsidR="001420E3" w:rsidRPr="00CB2698">
        <w:rPr>
          <w:sz w:val="22"/>
          <w:szCs w:val="22"/>
          <w:lang w:val="ru-RU"/>
        </w:rPr>
        <w:t xml:space="preserve"> гг. и одобренны</w:t>
      </w:r>
      <w:r w:rsidR="001420E3">
        <w:rPr>
          <w:sz w:val="22"/>
          <w:szCs w:val="22"/>
          <w:lang w:val="ru-RU"/>
        </w:rPr>
        <w:t>е</w:t>
      </w:r>
      <w:r w:rsidR="001420E3" w:rsidRPr="00CB2698">
        <w:rPr>
          <w:sz w:val="22"/>
          <w:szCs w:val="22"/>
          <w:lang w:val="ru-RU"/>
        </w:rPr>
        <w:t xml:space="preserve"> </w:t>
      </w:r>
      <w:r w:rsidR="001420E3">
        <w:rPr>
          <w:sz w:val="22"/>
          <w:szCs w:val="22"/>
          <w:lang w:val="ru-RU"/>
        </w:rPr>
        <w:t>Ассамблеями</w:t>
      </w:r>
      <w:r w:rsidR="001420E3" w:rsidRPr="00CB2698">
        <w:rPr>
          <w:sz w:val="22"/>
          <w:szCs w:val="22"/>
          <w:lang w:val="ru-RU"/>
        </w:rPr>
        <w:t xml:space="preserve"> государств-членов ВОИС в </w:t>
      </w:r>
      <w:r w:rsidR="001420E3">
        <w:rPr>
          <w:sz w:val="22"/>
          <w:szCs w:val="22"/>
          <w:lang w:val="ru-RU"/>
        </w:rPr>
        <w:t>декабре</w:t>
      </w:r>
      <w:r w:rsidR="001420E3" w:rsidRPr="00CB2698">
        <w:rPr>
          <w:sz w:val="22"/>
          <w:szCs w:val="22"/>
          <w:lang w:val="ru-RU"/>
        </w:rPr>
        <w:t xml:space="preserve"> 201</w:t>
      </w:r>
      <w:r w:rsidR="001420E3">
        <w:rPr>
          <w:sz w:val="22"/>
          <w:szCs w:val="22"/>
          <w:lang w:val="ru-RU"/>
        </w:rPr>
        <w:t>3</w:t>
      </w:r>
      <w:r w:rsidR="001420E3" w:rsidRPr="00CB2698">
        <w:rPr>
          <w:sz w:val="22"/>
          <w:szCs w:val="22"/>
          <w:lang w:val="ru-RU"/>
        </w:rPr>
        <w:t> г.</w:t>
      </w:r>
      <w:r w:rsidR="001420E3" w:rsidRPr="00BA61D2">
        <w:rPr>
          <w:sz w:val="22"/>
          <w:szCs w:val="22"/>
          <w:lang w:val="ru-RU"/>
        </w:rPr>
        <w:t xml:space="preserve"> (</w:t>
      </w:r>
      <w:r w:rsidR="001420E3">
        <w:rPr>
          <w:sz w:val="22"/>
          <w:szCs w:val="22"/>
          <w:lang w:val="ru-RU"/>
        </w:rPr>
        <w:t>публикация</w:t>
      </w:r>
      <w:r w:rsidR="001420E3" w:rsidRPr="00BA61D2">
        <w:rPr>
          <w:sz w:val="22"/>
          <w:szCs w:val="22"/>
          <w:lang w:val="ru-RU"/>
        </w:rPr>
        <w:t xml:space="preserve"> </w:t>
      </w:r>
      <w:r w:rsidR="001420E3" w:rsidRPr="00FE0B36">
        <w:rPr>
          <w:sz w:val="22"/>
          <w:szCs w:val="22"/>
        </w:rPr>
        <w:t>No</w:t>
      </w:r>
      <w:r w:rsidR="001420E3" w:rsidRPr="00BA61D2">
        <w:rPr>
          <w:sz w:val="22"/>
          <w:szCs w:val="22"/>
          <w:lang w:val="ru-RU"/>
        </w:rPr>
        <w:t>.</w:t>
      </w:r>
      <w:r w:rsidR="001420E3" w:rsidRPr="00FE0B36">
        <w:rPr>
          <w:sz w:val="22"/>
          <w:szCs w:val="22"/>
        </w:rPr>
        <w:t> </w:t>
      </w:r>
      <w:r w:rsidR="001420E3" w:rsidRPr="00BA61D2">
        <w:rPr>
          <w:sz w:val="22"/>
          <w:szCs w:val="22"/>
          <w:lang w:val="ru-RU"/>
        </w:rPr>
        <w:t>360</w:t>
      </w:r>
      <w:r w:rsidR="001420E3" w:rsidRPr="00FE0B36">
        <w:rPr>
          <w:sz w:val="22"/>
          <w:szCs w:val="22"/>
        </w:rPr>
        <w:t>E</w:t>
      </w:r>
      <w:r w:rsidR="001420E3" w:rsidRPr="00BA61D2">
        <w:rPr>
          <w:sz w:val="22"/>
          <w:szCs w:val="22"/>
          <w:lang w:val="ru-RU"/>
        </w:rPr>
        <w:t>/</w:t>
      </w:r>
      <w:r w:rsidR="001420E3" w:rsidRPr="00FE0B36">
        <w:rPr>
          <w:sz w:val="22"/>
          <w:szCs w:val="22"/>
        </w:rPr>
        <w:t>PB</w:t>
      </w:r>
      <w:r w:rsidR="001420E3" w:rsidRPr="00BA61D2">
        <w:rPr>
          <w:sz w:val="22"/>
          <w:szCs w:val="22"/>
          <w:lang w:val="ru-RU"/>
        </w:rPr>
        <w:t>14/15).</w:t>
      </w:r>
      <w:r w:rsidRPr="00BA61D2">
        <w:rPr>
          <w:sz w:val="22"/>
          <w:szCs w:val="22"/>
          <w:lang w:val="ru-RU"/>
        </w:rPr>
        <w:t xml:space="preserve">  </w:t>
      </w:r>
    </w:p>
    <w:p w:rsidR="001040AD" w:rsidRPr="00BA61D2" w:rsidRDefault="001040AD" w:rsidP="0076666B">
      <w:pPr>
        <w:rPr>
          <w:sz w:val="22"/>
          <w:szCs w:val="22"/>
          <w:lang w:val="ru-RU"/>
        </w:rPr>
      </w:pPr>
    </w:p>
    <w:p w:rsidR="001040AD" w:rsidRPr="001420E3" w:rsidRDefault="001040AD" w:rsidP="0076666B">
      <w:pPr>
        <w:rPr>
          <w:sz w:val="22"/>
          <w:szCs w:val="22"/>
          <w:lang w:val="ru-RU"/>
        </w:rPr>
      </w:pPr>
      <w:r w:rsidRPr="001420E3">
        <w:rPr>
          <w:sz w:val="22"/>
          <w:szCs w:val="22"/>
          <w:lang w:val="ru-RU"/>
        </w:rPr>
        <w:t>2.</w:t>
      </w:r>
      <w:r w:rsidRPr="001420E3">
        <w:rPr>
          <w:sz w:val="22"/>
          <w:szCs w:val="22"/>
          <w:lang w:val="ru-RU"/>
        </w:rPr>
        <w:tab/>
      </w:r>
      <w:r w:rsidR="000B7997">
        <w:rPr>
          <w:sz w:val="22"/>
          <w:szCs w:val="22"/>
          <w:lang w:val="ru-RU"/>
        </w:rPr>
        <w:t>Предлагается</w:t>
      </w:r>
      <w:r w:rsidR="000B7997" w:rsidRPr="001420E3">
        <w:rPr>
          <w:sz w:val="22"/>
          <w:szCs w:val="22"/>
          <w:lang w:val="ru-RU"/>
        </w:rPr>
        <w:t xml:space="preserve"> </w:t>
      </w:r>
      <w:r w:rsidR="000B7997">
        <w:rPr>
          <w:sz w:val="22"/>
          <w:szCs w:val="22"/>
          <w:lang w:val="ru-RU"/>
        </w:rPr>
        <w:t>следующий</w:t>
      </w:r>
      <w:r w:rsidR="000B7997" w:rsidRPr="001420E3">
        <w:rPr>
          <w:sz w:val="22"/>
          <w:szCs w:val="22"/>
          <w:lang w:val="ru-RU"/>
        </w:rPr>
        <w:t xml:space="preserve"> </w:t>
      </w:r>
      <w:r w:rsidR="001420E3">
        <w:rPr>
          <w:sz w:val="22"/>
          <w:szCs w:val="22"/>
          <w:lang w:val="ru-RU"/>
        </w:rPr>
        <w:t xml:space="preserve">постановляющий </w:t>
      </w:r>
      <w:r w:rsidR="000B7997">
        <w:rPr>
          <w:sz w:val="22"/>
          <w:szCs w:val="22"/>
          <w:lang w:val="ru-RU"/>
        </w:rPr>
        <w:t>пункт</w:t>
      </w:r>
      <w:r w:rsidRPr="001420E3">
        <w:rPr>
          <w:sz w:val="22"/>
          <w:szCs w:val="22"/>
          <w:lang w:val="ru-RU"/>
        </w:rPr>
        <w:t>.</w:t>
      </w:r>
    </w:p>
    <w:p w:rsidR="0076666B" w:rsidRPr="001420E3" w:rsidRDefault="0076666B" w:rsidP="0076666B">
      <w:pPr>
        <w:rPr>
          <w:color w:val="000000"/>
          <w:sz w:val="22"/>
          <w:szCs w:val="22"/>
          <w:lang w:val="ru-RU"/>
        </w:rPr>
      </w:pPr>
    </w:p>
    <w:p w:rsidR="0076666B" w:rsidRPr="001420E3" w:rsidRDefault="001040AD" w:rsidP="0076666B">
      <w:pPr>
        <w:pStyle w:val="ListParagraph"/>
        <w:tabs>
          <w:tab w:val="left" w:pos="1134"/>
          <w:tab w:val="left" w:pos="6660"/>
        </w:tabs>
        <w:ind w:left="6120"/>
        <w:contextualSpacing/>
        <w:rPr>
          <w:rFonts w:cs="Arial"/>
          <w:i/>
          <w:sz w:val="22"/>
          <w:szCs w:val="22"/>
          <w:lang w:val="ru-RU"/>
        </w:rPr>
      </w:pPr>
      <w:r w:rsidRPr="001420E3">
        <w:rPr>
          <w:i/>
          <w:sz w:val="22"/>
          <w:szCs w:val="22"/>
          <w:lang w:val="ru-RU"/>
        </w:rPr>
        <w:t>3</w:t>
      </w:r>
      <w:r w:rsidR="0076666B" w:rsidRPr="001420E3">
        <w:rPr>
          <w:i/>
          <w:sz w:val="22"/>
          <w:szCs w:val="22"/>
          <w:lang w:val="ru-RU"/>
        </w:rPr>
        <w:t>.</w:t>
      </w:r>
      <w:r w:rsidR="0076666B" w:rsidRPr="001420E3">
        <w:rPr>
          <w:sz w:val="22"/>
          <w:szCs w:val="22"/>
          <w:lang w:val="ru-RU"/>
        </w:rPr>
        <w:tab/>
      </w:r>
      <w:r w:rsidR="001420E3" w:rsidRPr="00BA2B83">
        <w:rPr>
          <w:i/>
          <w:sz w:val="22"/>
          <w:szCs w:val="22"/>
          <w:lang w:val="ru-RU"/>
        </w:rPr>
        <w:t>Комитет по программе и бюджету (КПБ), проанализировав отчет о реализации программы (ОРП) за 2014-2015</w:t>
      </w:r>
      <w:r w:rsidR="001420E3" w:rsidRPr="00BA2B83">
        <w:rPr>
          <w:i/>
          <w:sz w:val="22"/>
          <w:szCs w:val="22"/>
        </w:rPr>
        <w:t> </w:t>
      </w:r>
      <w:r w:rsidR="001420E3" w:rsidRPr="00BA2B83">
        <w:rPr>
          <w:i/>
          <w:sz w:val="22"/>
          <w:szCs w:val="22"/>
          <w:lang w:val="ru-RU"/>
        </w:rPr>
        <w:t>гг. (документ</w:t>
      </w:r>
      <w:r w:rsidR="001420E3" w:rsidRPr="00BA2B83">
        <w:rPr>
          <w:i/>
          <w:sz w:val="22"/>
          <w:szCs w:val="22"/>
        </w:rPr>
        <w:t> WO</w:t>
      </w:r>
      <w:r w:rsidR="001420E3" w:rsidRPr="00BA2B83">
        <w:rPr>
          <w:i/>
          <w:sz w:val="22"/>
          <w:szCs w:val="22"/>
          <w:lang w:val="ru-RU"/>
        </w:rPr>
        <w:t>/</w:t>
      </w:r>
      <w:r w:rsidR="001420E3" w:rsidRPr="00BA2B83">
        <w:rPr>
          <w:i/>
          <w:sz w:val="22"/>
          <w:szCs w:val="22"/>
        </w:rPr>
        <w:t>PBC</w:t>
      </w:r>
      <w:r w:rsidR="001420E3" w:rsidRPr="00BA2B83">
        <w:rPr>
          <w:i/>
          <w:sz w:val="22"/>
          <w:szCs w:val="22"/>
          <w:lang w:val="ru-RU"/>
        </w:rPr>
        <w:t xml:space="preserve">/25/7) и признавая то, что он по </w:t>
      </w:r>
      <w:r w:rsidR="001420E3">
        <w:rPr>
          <w:i/>
          <w:sz w:val="22"/>
          <w:szCs w:val="22"/>
          <w:lang w:val="ru-RU"/>
        </w:rPr>
        <w:t xml:space="preserve">своей </w:t>
      </w:r>
      <w:r w:rsidR="001420E3" w:rsidRPr="00BA2B83">
        <w:rPr>
          <w:i/>
          <w:sz w:val="22"/>
          <w:szCs w:val="22"/>
          <w:lang w:val="ru-RU"/>
        </w:rPr>
        <w:t xml:space="preserve">сути </w:t>
      </w:r>
      <w:r w:rsidR="001420E3">
        <w:rPr>
          <w:i/>
          <w:sz w:val="22"/>
          <w:szCs w:val="22"/>
          <w:lang w:val="ru-RU"/>
        </w:rPr>
        <w:t>является</w:t>
      </w:r>
      <w:r w:rsidR="001420E3" w:rsidRPr="00BA2B83">
        <w:rPr>
          <w:i/>
          <w:sz w:val="22"/>
          <w:szCs w:val="22"/>
          <w:lang w:val="ru-RU"/>
        </w:rPr>
        <w:t xml:space="preserve"> самооценк</w:t>
      </w:r>
      <w:r w:rsidR="001420E3">
        <w:rPr>
          <w:i/>
          <w:sz w:val="22"/>
          <w:szCs w:val="22"/>
          <w:lang w:val="ru-RU"/>
        </w:rPr>
        <w:t>ой</w:t>
      </w:r>
      <w:r w:rsidR="001420E3" w:rsidRPr="00BA2B83">
        <w:rPr>
          <w:i/>
          <w:sz w:val="22"/>
          <w:szCs w:val="22"/>
          <w:lang w:val="ru-RU"/>
        </w:rPr>
        <w:t xml:space="preserve"> Секретариата, рекомендовал Ассамблеям государств-члено</w:t>
      </w:r>
      <w:r w:rsidR="001420E3">
        <w:rPr>
          <w:i/>
          <w:sz w:val="22"/>
          <w:szCs w:val="22"/>
          <w:lang w:val="ru-RU"/>
        </w:rPr>
        <w:t>в ВОИС принять к сведению вклад реализуемых программ</w:t>
      </w:r>
      <w:r w:rsidR="001420E3" w:rsidRPr="00BA2B83">
        <w:rPr>
          <w:i/>
          <w:sz w:val="22"/>
          <w:szCs w:val="22"/>
          <w:lang w:val="ru-RU"/>
        </w:rPr>
        <w:t xml:space="preserve"> в достижение ожидаемых результатов в 2014-2015 гг.</w:t>
      </w:r>
    </w:p>
    <w:p w:rsidR="0076666B" w:rsidRPr="001420E3" w:rsidRDefault="0076666B" w:rsidP="0076666B">
      <w:pPr>
        <w:pStyle w:val="DecisionInvitingPara"/>
        <w:ind w:left="6237" w:hanging="703"/>
        <w:rPr>
          <w:sz w:val="22"/>
          <w:szCs w:val="22"/>
          <w:lang w:val="ru-RU"/>
        </w:rPr>
      </w:pPr>
    </w:p>
    <w:p w:rsidR="0076666B" w:rsidRPr="00BA61D2" w:rsidRDefault="0076666B" w:rsidP="0076666B">
      <w:pPr>
        <w:pStyle w:val="DecisionInvitingPara"/>
        <w:ind w:left="5529"/>
        <w:rPr>
          <w:i w:val="0"/>
          <w:iCs/>
          <w:sz w:val="22"/>
          <w:szCs w:val="22"/>
          <w:lang w:val="ru-RU"/>
        </w:rPr>
      </w:pPr>
      <w:r w:rsidRPr="00BA61D2">
        <w:rPr>
          <w:i w:val="0"/>
          <w:iCs/>
          <w:sz w:val="22"/>
          <w:szCs w:val="22"/>
          <w:lang w:val="ru-RU"/>
        </w:rPr>
        <w:t>[</w:t>
      </w:r>
      <w:r w:rsidR="00BA61D2">
        <w:rPr>
          <w:i w:val="0"/>
          <w:iCs/>
          <w:sz w:val="22"/>
          <w:szCs w:val="22"/>
          <w:lang w:val="ru-RU"/>
        </w:rPr>
        <w:t>Отчет о реализации программы за 2014-2015 гг. следует</w:t>
      </w:r>
      <w:r w:rsidRPr="00BA61D2">
        <w:rPr>
          <w:i w:val="0"/>
          <w:iCs/>
          <w:sz w:val="22"/>
          <w:szCs w:val="22"/>
          <w:lang w:val="ru-RU"/>
        </w:rPr>
        <w:t>]</w:t>
      </w:r>
    </w:p>
    <w:p w:rsidR="007F6F24" w:rsidRPr="00BA61D2" w:rsidRDefault="007F6F24" w:rsidP="007F6F24">
      <w:pPr>
        <w:pStyle w:val="ONUME"/>
        <w:rPr>
          <w:lang w:val="ru-RU"/>
        </w:rPr>
      </w:pPr>
    </w:p>
    <w:p w:rsidR="0076666B" w:rsidRPr="00BA61D2" w:rsidRDefault="0076666B" w:rsidP="007F6F24">
      <w:pPr>
        <w:pStyle w:val="ONUME"/>
        <w:rPr>
          <w:lang w:val="ru-RU"/>
        </w:rPr>
      </w:pPr>
    </w:p>
    <w:p w:rsidR="0076666B" w:rsidRPr="00BA61D2" w:rsidRDefault="0076666B" w:rsidP="007F6F24">
      <w:pPr>
        <w:pStyle w:val="ONUME"/>
        <w:rPr>
          <w:lang w:val="ru-RU"/>
        </w:rPr>
      </w:pPr>
    </w:p>
    <w:p w:rsidR="0076666B" w:rsidRPr="00BA61D2" w:rsidRDefault="0076666B" w:rsidP="007F6F24">
      <w:pPr>
        <w:pStyle w:val="ONUME"/>
        <w:rPr>
          <w:lang w:val="ru-RU"/>
        </w:rPr>
      </w:pPr>
    </w:p>
    <w:p w:rsidR="007F6F24" w:rsidRPr="00BA61D2" w:rsidRDefault="007F6F24" w:rsidP="007F6F24">
      <w:pPr>
        <w:pStyle w:val="ONUME"/>
        <w:rPr>
          <w:lang w:val="ru-RU"/>
        </w:rPr>
        <w:sectPr w:rsidR="007F6F24" w:rsidRPr="00BA61D2" w:rsidSect="00E31A65">
          <w:pgSz w:w="11907" w:h="16840" w:code="9"/>
          <w:pgMar w:top="426" w:right="1134" w:bottom="1418" w:left="1418" w:header="567" w:footer="1021" w:gutter="0"/>
          <w:pgNumType w:start="1"/>
          <w:cols w:space="720"/>
          <w:titlePg/>
          <w:docGrid w:linePitch="272"/>
        </w:sectPr>
      </w:pPr>
    </w:p>
    <w:p w:rsidR="007F6F24" w:rsidRPr="000B7997" w:rsidRDefault="000B7997" w:rsidP="00D339EC">
      <w:pPr>
        <w:pStyle w:val="ONUME"/>
        <w:jc w:val="center"/>
        <w:rPr>
          <w:b/>
          <w:sz w:val="22"/>
          <w:lang w:val="ru-RU"/>
        </w:rPr>
      </w:pPr>
      <w:r>
        <w:rPr>
          <w:b/>
          <w:sz w:val="22"/>
          <w:lang w:val="ru-RU"/>
        </w:rPr>
        <w:lastRenderedPageBreak/>
        <w:t xml:space="preserve">ОТЧЕТ О РЕАЛИЗАЦИИ ПРОГРАММЫ ЗА 2014-2015 ГГ. </w:t>
      </w:r>
    </w:p>
    <w:p w:rsidR="007F6F24" w:rsidRPr="000B7997" w:rsidRDefault="007F6F24">
      <w:pPr>
        <w:rPr>
          <w:rFonts w:asciiTheme="majorHAnsi" w:eastAsiaTheme="majorEastAsia" w:hAnsiTheme="majorHAnsi" w:cstheme="majorBidi"/>
          <w:b/>
          <w:bCs/>
          <w:sz w:val="22"/>
          <w:szCs w:val="28"/>
          <w:lang w:val="ru-RU" w:eastAsia="ja-JP"/>
        </w:rPr>
      </w:pPr>
    </w:p>
    <w:p w:rsidR="007F6F24" w:rsidRPr="000B7997" w:rsidRDefault="000B7997" w:rsidP="00D339EC">
      <w:pPr>
        <w:jc w:val="center"/>
        <w:rPr>
          <w:rFonts w:eastAsiaTheme="majorEastAsia" w:cs="Arial"/>
          <w:bCs/>
          <w:sz w:val="22"/>
          <w:szCs w:val="28"/>
          <w:lang w:val="ru-RU" w:eastAsia="ja-JP"/>
        </w:rPr>
      </w:pPr>
      <w:r>
        <w:rPr>
          <w:rFonts w:eastAsiaTheme="majorEastAsia" w:cs="Arial"/>
          <w:bCs/>
          <w:sz w:val="22"/>
          <w:szCs w:val="28"/>
          <w:lang w:val="ru-RU" w:eastAsia="ja-JP"/>
        </w:rPr>
        <w:t>СОДЕРЖАНИЕ</w:t>
      </w:r>
    </w:p>
    <w:p w:rsidR="007F6F24" w:rsidRPr="00F838C5" w:rsidRDefault="007F6F24">
      <w:pPr>
        <w:rPr>
          <w:rFonts w:eastAsiaTheme="majorEastAsia" w:cs="Arial"/>
          <w:b/>
          <w:bCs/>
          <w:sz w:val="16"/>
          <w:szCs w:val="28"/>
          <w:lang w:eastAsia="ja-JP"/>
        </w:rPr>
      </w:pPr>
    </w:p>
    <w:p w:rsidR="00EE0D83" w:rsidRDefault="007F6F24">
      <w:pPr>
        <w:pStyle w:val="TOC1"/>
        <w:rPr>
          <w:rFonts w:asciiTheme="minorHAnsi" w:eastAsiaTheme="minorEastAsia" w:hAnsiTheme="minorHAnsi" w:cstheme="minorBidi"/>
          <w:b w:val="0"/>
          <w:bCs w:val="0"/>
          <w:caps w:val="0"/>
          <w:sz w:val="22"/>
          <w:szCs w:val="22"/>
        </w:rPr>
      </w:pPr>
      <w:r w:rsidRPr="00F838C5">
        <w:fldChar w:fldCharType="begin"/>
      </w:r>
      <w:r w:rsidRPr="00F838C5">
        <w:instrText xml:space="preserve"> TOC \o "1-3" \h \z \u </w:instrText>
      </w:r>
      <w:r w:rsidRPr="00F838C5">
        <w:fldChar w:fldCharType="separate"/>
      </w:r>
      <w:hyperlink w:anchor="_Toc455388094" w:history="1">
        <w:r w:rsidR="00EE0D83" w:rsidRPr="00582F03">
          <w:rPr>
            <w:rStyle w:val="Hyperlink"/>
          </w:rPr>
          <w:t>I.</w:t>
        </w:r>
        <w:r w:rsidR="00EE0D83">
          <w:rPr>
            <w:rFonts w:asciiTheme="minorHAnsi" w:eastAsiaTheme="minorEastAsia" w:hAnsiTheme="minorHAnsi" w:cstheme="minorBidi"/>
            <w:b w:val="0"/>
            <w:bCs w:val="0"/>
            <w:caps w:val="0"/>
            <w:sz w:val="22"/>
            <w:szCs w:val="22"/>
          </w:rPr>
          <w:tab/>
        </w:r>
        <w:r w:rsidR="00EE0D83" w:rsidRPr="00582F03">
          <w:rPr>
            <w:rStyle w:val="Hyperlink"/>
          </w:rPr>
          <w:t>ВВЕДЕНИЕ</w:t>
        </w:r>
        <w:r w:rsidR="00EE0D83">
          <w:rPr>
            <w:webHidden/>
          </w:rPr>
          <w:tab/>
        </w:r>
        <w:r w:rsidR="00EE0D83">
          <w:rPr>
            <w:webHidden/>
          </w:rPr>
          <w:fldChar w:fldCharType="begin"/>
        </w:r>
        <w:r w:rsidR="00EE0D83">
          <w:rPr>
            <w:webHidden/>
          </w:rPr>
          <w:instrText xml:space="preserve"> PAGEREF _Toc455388094 \h </w:instrText>
        </w:r>
        <w:r w:rsidR="00EE0D83">
          <w:rPr>
            <w:webHidden/>
          </w:rPr>
        </w:r>
        <w:r w:rsidR="00EE0D83">
          <w:rPr>
            <w:webHidden/>
          </w:rPr>
          <w:fldChar w:fldCharType="separate"/>
        </w:r>
        <w:r w:rsidR="00EE0D83">
          <w:rPr>
            <w:webHidden/>
          </w:rPr>
          <w:t>3</w:t>
        </w:r>
        <w:r w:rsidR="00EE0D83">
          <w:rPr>
            <w:webHidden/>
          </w:rPr>
          <w:fldChar w:fldCharType="end"/>
        </w:r>
      </w:hyperlink>
    </w:p>
    <w:p w:rsidR="00EE0D83" w:rsidRDefault="005C6ABD">
      <w:pPr>
        <w:pStyle w:val="TOC1"/>
        <w:rPr>
          <w:rFonts w:asciiTheme="minorHAnsi" w:eastAsiaTheme="minorEastAsia" w:hAnsiTheme="minorHAnsi" w:cstheme="minorBidi"/>
          <w:b w:val="0"/>
          <w:bCs w:val="0"/>
          <w:caps w:val="0"/>
          <w:sz w:val="22"/>
          <w:szCs w:val="22"/>
        </w:rPr>
      </w:pPr>
      <w:hyperlink w:anchor="_Toc455388095" w:history="1">
        <w:r w:rsidR="00EE0D83" w:rsidRPr="00582F03">
          <w:rPr>
            <w:rStyle w:val="Hyperlink"/>
            <w:lang w:val="ru-RU"/>
          </w:rPr>
          <w:t>II.</w:t>
        </w:r>
        <w:r w:rsidR="00EE0D83">
          <w:rPr>
            <w:rFonts w:asciiTheme="minorHAnsi" w:eastAsiaTheme="minorEastAsia" w:hAnsiTheme="minorHAnsi" w:cstheme="minorBidi"/>
            <w:b w:val="0"/>
            <w:bCs w:val="0"/>
            <w:caps w:val="0"/>
            <w:sz w:val="22"/>
            <w:szCs w:val="22"/>
          </w:rPr>
          <w:tab/>
        </w:r>
        <w:r w:rsidR="00EE0D83" w:rsidRPr="00582F03">
          <w:rPr>
            <w:rStyle w:val="Hyperlink"/>
            <w:lang w:val="ru-RU"/>
          </w:rPr>
          <w:t>КРАТКИЙ ОБЗОР ДОСТИЖЕНИЙ В 2014–2015</w:t>
        </w:r>
        <w:r w:rsidR="00EE0D83" w:rsidRPr="00582F03">
          <w:rPr>
            <w:rStyle w:val="Hyperlink"/>
          </w:rPr>
          <w:t> </w:t>
        </w:r>
        <w:r w:rsidR="00EE0D83" w:rsidRPr="00582F03">
          <w:rPr>
            <w:rStyle w:val="Hyperlink"/>
            <w:lang w:val="ru-RU"/>
          </w:rPr>
          <w:t>гг.</w:t>
        </w:r>
        <w:r w:rsidR="00EE0D83">
          <w:rPr>
            <w:webHidden/>
          </w:rPr>
          <w:tab/>
        </w:r>
        <w:r w:rsidR="00EE0D83">
          <w:rPr>
            <w:webHidden/>
          </w:rPr>
          <w:fldChar w:fldCharType="begin"/>
        </w:r>
        <w:r w:rsidR="00EE0D83">
          <w:rPr>
            <w:webHidden/>
          </w:rPr>
          <w:instrText xml:space="preserve"> PAGEREF _Toc455388095 \h </w:instrText>
        </w:r>
        <w:r w:rsidR="00EE0D83">
          <w:rPr>
            <w:webHidden/>
          </w:rPr>
        </w:r>
        <w:r w:rsidR="00EE0D83">
          <w:rPr>
            <w:webHidden/>
          </w:rPr>
          <w:fldChar w:fldCharType="separate"/>
        </w:r>
        <w:r w:rsidR="00EE0D83">
          <w:rPr>
            <w:webHidden/>
          </w:rPr>
          <w:t>4</w:t>
        </w:r>
        <w:r w:rsidR="00EE0D83">
          <w:rPr>
            <w:webHidden/>
          </w:rPr>
          <w:fldChar w:fldCharType="end"/>
        </w:r>
      </w:hyperlink>
    </w:p>
    <w:p w:rsidR="00EE0D83" w:rsidRDefault="005C6ABD">
      <w:pPr>
        <w:pStyle w:val="TOC1"/>
        <w:rPr>
          <w:rFonts w:asciiTheme="minorHAnsi" w:eastAsiaTheme="minorEastAsia" w:hAnsiTheme="minorHAnsi" w:cstheme="minorBidi"/>
          <w:b w:val="0"/>
          <w:bCs w:val="0"/>
          <w:caps w:val="0"/>
          <w:sz w:val="22"/>
          <w:szCs w:val="22"/>
        </w:rPr>
      </w:pPr>
      <w:hyperlink w:anchor="_Toc455388096" w:history="1">
        <w:r w:rsidR="00EE0D83" w:rsidRPr="00582F03">
          <w:rPr>
            <w:rStyle w:val="Hyperlink"/>
            <w:lang w:val="ru-RU"/>
          </w:rPr>
          <w:t>III.</w:t>
        </w:r>
        <w:r w:rsidR="00EE0D83">
          <w:rPr>
            <w:rFonts w:asciiTheme="minorHAnsi" w:eastAsiaTheme="minorEastAsia" w:hAnsiTheme="minorHAnsi" w:cstheme="minorBidi"/>
            <w:b w:val="0"/>
            <w:bCs w:val="0"/>
            <w:caps w:val="0"/>
            <w:sz w:val="22"/>
            <w:szCs w:val="22"/>
          </w:rPr>
          <w:tab/>
        </w:r>
        <w:r w:rsidR="00EE0D83" w:rsidRPr="00582F03">
          <w:rPr>
            <w:rStyle w:val="Hyperlink"/>
            <w:lang w:val="ru-RU"/>
          </w:rPr>
          <w:t>КОНСОЛИДИРОВАННЫЙ БЮДЖЕТ И ФАКТИЧЕСКИЕ РАСХОДЫ ЗА ПЕРИОД 2014-2015 ГГ.</w:t>
        </w:r>
        <w:r w:rsidR="00EE0D83">
          <w:rPr>
            <w:webHidden/>
          </w:rPr>
          <w:tab/>
        </w:r>
        <w:r w:rsidR="00EE0D83">
          <w:rPr>
            <w:webHidden/>
          </w:rPr>
          <w:fldChar w:fldCharType="begin"/>
        </w:r>
        <w:r w:rsidR="00EE0D83">
          <w:rPr>
            <w:webHidden/>
          </w:rPr>
          <w:instrText xml:space="preserve"> PAGEREF _Toc455388096 \h </w:instrText>
        </w:r>
        <w:r w:rsidR="00EE0D83">
          <w:rPr>
            <w:webHidden/>
          </w:rPr>
        </w:r>
        <w:r w:rsidR="00EE0D83">
          <w:rPr>
            <w:webHidden/>
          </w:rPr>
          <w:fldChar w:fldCharType="separate"/>
        </w:r>
        <w:r w:rsidR="00EE0D83">
          <w:rPr>
            <w:webHidden/>
          </w:rPr>
          <w:t>24</w:t>
        </w:r>
        <w:r w:rsidR="00EE0D83">
          <w:rPr>
            <w:webHidden/>
          </w:rPr>
          <w:fldChar w:fldCharType="end"/>
        </w:r>
      </w:hyperlink>
    </w:p>
    <w:p w:rsidR="00EE0D83" w:rsidRDefault="005C6ABD">
      <w:pPr>
        <w:pStyle w:val="TOC1"/>
        <w:rPr>
          <w:rFonts w:asciiTheme="minorHAnsi" w:eastAsiaTheme="minorEastAsia" w:hAnsiTheme="minorHAnsi" w:cstheme="minorBidi"/>
          <w:b w:val="0"/>
          <w:bCs w:val="0"/>
          <w:caps w:val="0"/>
          <w:sz w:val="22"/>
          <w:szCs w:val="22"/>
        </w:rPr>
      </w:pPr>
      <w:hyperlink w:anchor="_Toc455388097" w:history="1">
        <w:r w:rsidR="00EE0D83" w:rsidRPr="00582F03">
          <w:rPr>
            <w:rStyle w:val="Hyperlink"/>
            <w:lang w:val="ru-RU"/>
          </w:rPr>
          <w:t>IV.</w:t>
        </w:r>
        <w:r w:rsidR="00EE0D83">
          <w:rPr>
            <w:rFonts w:asciiTheme="minorHAnsi" w:eastAsiaTheme="minorEastAsia" w:hAnsiTheme="minorHAnsi" w:cstheme="minorBidi"/>
            <w:b w:val="0"/>
            <w:bCs w:val="0"/>
            <w:caps w:val="0"/>
            <w:sz w:val="22"/>
            <w:szCs w:val="22"/>
          </w:rPr>
          <w:tab/>
        </w:r>
        <w:r w:rsidR="00EE0D83" w:rsidRPr="00582F03">
          <w:rPr>
            <w:rStyle w:val="Hyperlink"/>
            <w:lang w:val="ru-RU"/>
          </w:rPr>
          <w:t>ОТЧЕТ О РАСХОДАХ НА ЦЕЛИ РАЗВИТИЯ В 2014-2015 ГГ.</w:t>
        </w:r>
        <w:r w:rsidR="00EE0D83">
          <w:rPr>
            <w:webHidden/>
          </w:rPr>
          <w:tab/>
        </w:r>
        <w:r w:rsidR="00EE0D83">
          <w:rPr>
            <w:webHidden/>
          </w:rPr>
          <w:fldChar w:fldCharType="begin"/>
        </w:r>
        <w:r w:rsidR="00EE0D83">
          <w:rPr>
            <w:webHidden/>
          </w:rPr>
          <w:instrText xml:space="preserve"> PAGEREF _Toc455388097 \h </w:instrText>
        </w:r>
        <w:r w:rsidR="00EE0D83">
          <w:rPr>
            <w:webHidden/>
          </w:rPr>
        </w:r>
        <w:r w:rsidR="00EE0D83">
          <w:rPr>
            <w:webHidden/>
          </w:rPr>
          <w:fldChar w:fldCharType="separate"/>
        </w:r>
        <w:r w:rsidR="00EE0D83">
          <w:rPr>
            <w:webHidden/>
          </w:rPr>
          <w:t>26</w:t>
        </w:r>
        <w:r w:rsidR="00EE0D83">
          <w:rPr>
            <w:webHidden/>
          </w:rPr>
          <w:fldChar w:fldCharType="end"/>
        </w:r>
      </w:hyperlink>
    </w:p>
    <w:p w:rsidR="00EE0D83" w:rsidRDefault="005C6ABD">
      <w:pPr>
        <w:pStyle w:val="TOC1"/>
        <w:rPr>
          <w:rFonts w:asciiTheme="minorHAnsi" w:eastAsiaTheme="minorEastAsia" w:hAnsiTheme="minorHAnsi" w:cstheme="minorBidi"/>
          <w:b w:val="0"/>
          <w:bCs w:val="0"/>
          <w:caps w:val="0"/>
          <w:sz w:val="22"/>
          <w:szCs w:val="22"/>
        </w:rPr>
      </w:pPr>
      <w:hyperlink w:anchor="_Toc455388098" w:history="1">
        <w:r w:rsidR="00EE0D83" w:rsidRPr="00582F03">
          <w:rPr>
            <w:rStyle w:val="Hyperlink"/>
            <w:lang w:val="ru-RU"/>
          </w:rPr>
          <w:t>V.</w:t>
        </w:r>
        <w:r w:rsidR="00EE0D83">
          <w:rPr>
            <w:rFonts w:asciiTheme="minorHAnsi" w:eastAsiaTheme="minorEastAsia" w:hAnsiTheme="minorHAnsi" w:cstheme="minorBidi"/>
            <w:b w:val="0"/>
            <w:bCs w:val="0"/>
            <w:caps w:val="0"/>
            <w:sz w:val="22"/>
            <w:szCs w:val="22"/>
          </w:rPr>
          <w:tab/>
        </w:r>
        <w:r w:rsidR="00EE0D83" w:rsidRPr="00582F03">
          <w:rPr>
            <w:rStyle w:val="Hyperlink"/>
            <w:rFonts w:eastAsiaTheme="minorHAnsi"/>
            <w:lang w:val="ru-RU"/>
          </w:rPr>
          <w:t>ОТЧЕТ О РЕАЛИЗАЦИИ МЕР ПО ОБЕСПЕЧЕНИЮ ЭКОНОМИЧЕСКОЙ ЭФФЕКТИВНОСТИ В ТЕЧЕНИЕ ДВУХГОДИЧНОГО ПЕРИОДА 2014–2015</w:t>
        </w:r>
        <w:r w:rsidR="00EE0D83" w:rsidRPr="00582F03">
          <w:rPr>
            <w:rStyle w:val="Hyperlink"/>
            <w:rFonts w:eastAsiaTheme="minorHAnsi"/>
          </w:rPr>
          <w:t> </w:t>
        </w:r>
        <w:r w:rsidR="00EE0D83" w:rsidRPr="00582F03">
          <w:rPr>
            <w:rStyle w:val="Hyperlink"/>
            <w:rFonts w:eastAsiaTheme="minorHAnsi"/>
            <w:lang w:val="ru-RU"/>
          </w:rPr>
          <w:t>ГГ.</w:t>
        </w:r>
        <w:r w:rsidR="00EE0D83">
          <w:rPr>
            <w:webHidden/>
          </w:rPr>
          <w:tab/>
        </w:r>
        <w:r w:rsidR="00EE0D83">
          <w:rPr>
            <w:webHidden/>
          </w:rPr>
          <w:fldChar w:fldCharType="begin"/>
        </w:r>
        <w:r w:rsidR="00EE0D83">
          <w:rPr>
            <w:webHidden/>
          </w:rPr>
          <w:instrText xml:space="preserve"> PAGEREF _Toc455388098 \h </w:instrText>
        </w:r>
        <w:r w:rsidR="00EE0D83">
          <w:rPr>
            <w:webHidden/>
          </w:rPr>
        </w:r>
        <w:r w:rsidR="00EE0D83">
          <w:rPr>
            <w:webHidden/>
          </w:rPr>
          <w:fldChar w:fldCharType="separate"/>
        </w:r>
        <w:r w:rsidR="00EE0D83">
          <w:rPr>
            <w:webHidden/>
          </w:rPr>
          <w:t>29</w:t>
        </w:r>
        <w:r w:rsidR="00EE0D83">
          <w:rPr>
            <w:webHidden/>
          </w:rPr>
          <w:fldChar w:fldCharType="end"/>
        </w:r>
      </w:hyperlink>
    </w:p>
    <w:p w:rsidR="00EE0D83" w:rsidRDefault="005C6ABD">
      <w:pPr>
        <w:pStyle w:val="TOC1"/>
        <w:rPr>
          <w:rFonts w:asciiTheme="minorHAnsi" w:eastAsiaTheme="minorEastAsia" w:hAnsiTheme="minorHAnsi" w:cstheme="minorBidi"/>
          <w:b w:val="0"/>
          <w:bCs w:val="0"/>
          <w:caps w:val="0"/>
          <w:sz w:val="22"/>
          <w:szCs w:val="22"/>
        </w:rPr>
      </w:pPr>
      <w:hyperlink w:anchor="_Toc455388099" w:history="1">
        <w:r w:rsidR="00EE0D83" w:rsidRPr="00582F03">
          <w:rPr>
            <w:rStyle w:val="Hyperlink"/>
            <w:lang w:val="ru-RU"/>
          </w:rPr>
          <w:t>VI.</w:t>
        </w:r>
        <w:r w:rsidR="00EE0D83">
          <w:rPr>
            <w:rFonts w:asciiTheme="minorHAnsi" w:eastAsiaTheme="minorEastAsia" w:hAnsiTheme="minorHAnsi" w:cstheme="minorBidi"/>
            <w:b w:val="0"/>
            <w:bCs w:val="0"/>
            <w:caps w:val="0"/>
            <w:sz w:val="22"/>
            <w:szCs w:val="22"/>
          </w:rPr>
          <w:tab/>
        </w:r>
        <w:r w:rsidR="00EE0D83" w:rsidRPr="00582F03">
          <w:rPr>
            <w:rStyle w:val="Hyperlink"/>
            <w:lang w:val="ru-RU"/>
          </w:rPr>
          <w:t>ОБЗОР ДОСТИЖЕНИЙ В 2014-2015 ГГ. В РАЗБИВКЕ ПО СТРАТЕГИЧЕСКИМ ЦЕЛЯМ</w:t>
        </w:r>
        <w:r w:rsidR="00EE0D83">
          <w:rPr>
            <w:webHidden/>
          </w:rPr>
          <w:tab/>
        </w:r>
        <w:r w:rsidR="00EE0D83">
          <w:rPr>
            <w:webHidden/>
          </w:rPr>
          <w:fldChar w:fldCharType="begin"/>
        </w:r>
        <w:r w:rsidR="00EE0D83">
          <w:rPr>
            <w:webHidden/>
          </w:rPr>
          <w:instrText xml:space="preserve"> PAGEREF _Toc455388099 \h </w:instrText>
        </w:r>
        <w:r w:rsidR="00EE0D83">
          <w:rPr>
            <w:webHidden/>
          </w:rPr>
        </w:r>
        <w:r w:rsidR="00EE0D83">
          <w:rPr>
            <w:webHidden/>
          </w:rPr>
          <w:fldChar w:fldCharType="separate"/>
        </w:r>
        <w:r w:rsidR="00EE0D83">
          <w:rPr>
            <w:webHidden/>
          </w:rPr>
          <w:t>37</w:t>
        </w:r>
        <w:r w:rsidR="00EE0D83">
          <w:rPr>
            <w:webHidden/>
          </w:rPr>
          <w:fldChar w:fldCharType="end"/>
        </w:r>
      </w:hyperlink>
    </w:p>
    <w:p w:rsidR="00EE0D83" w:rsidRDefault="005C6ABD" w:rsidP="00EE0D83">
      <w:pPr>
        <w:pStyle w:val="TOC2"/>
        <w:rPr>
          <w:rFonts w:eastAsiaTheme="minorEastAsia" w:cstheme="minorBidi"/>
          <w:noProof/>
          <w:sz w:val="22"/>
          <w:szCs w:val="22"/>
        </w:rPr>
      </w:pPr>
      <w:hyperlink w:anchor="_Toc455388100" w:history="1">
        <w:r w:rsidR="00EE0D83" w:rsidRPr="00582F03">
          <w:rPr>
            <w:rStyle w:val="Hyperlink"/>
            <w:rFonts w:ascii="Arial" w:hAnsi="Arial"/>
            <w:noProof/>
            <w:lang w:val="ru-RU"/>
          </w:rPr>
          <w:t xml:space="preserve">СТРАТЕГИЧЕСКАЯ ЦЕЛЬ </w:t>
        </w:r>
        <w:r w:rsidR="00EE0D83" w:rsidRPr="00582F03">
          <w:rPr>
            <w:rStyle w:val="Hyperlink"/>
            <w:rFonts w:ascii="Arial" w:hAnsi="Arial"/>
            <w:noProof/>
          </w:rPr>
          <w:t>I</w:t>
        </w:r>
        <w:r w:rsidR="00EE0D83">
          <w:rPr>
            <w:noProof/>
            <w:webHidden/>
          </w:rPr>
          <w:tab/>
        </w:r>
        <w:r w:rsidR="00EE0D83">
          <w:rPr>
            <w:noProof/>
            <w:webHidden/>
          </w:rPr>
          <w:fldChar w:fldCharType="begin"/>
        </w:r>
        <w:r w:rsidR="00EE0D83">
          <w:rPr>
            <w:noProof/>
            <w:webHidden/>
          </w:rPr>
          <w:instrText xml:space="preserve"> PAGEREF _Toc455388100 \h </w:instrText>
        </w:r>
        <w:r w:rsidR="00EE0D83">
          <w:rPr>
            <w:noProof/>
            <w:webHidden/>
          </w:rPr>
        </w:r>
        <w:r w:rsidR="00EE0D83">
          <w:rPr>
            <w:noProof/>
            <w:webHidden/>
          </w:rPr>
          <w:fldChar w:fldCharType="separate"/>
        </w:r>
        <w:r w:rsidR="00EE0D83">
          <w:rPr>
            <w:noProof/>
            <w:webHidden/>
          </w:rPr>
          <w:t>37</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01" w:history="1">
        <w:r w:rsidR="00EE0D83" w:rsidRPr="00582F03">
          <w:rPr>
            <w:rStyle w:val="Hyperlink"/>
            <w:noProof/>
            <w:lang w:val="ru-RU"/>
          </w:rPr>
          <w:t>ПРОГРАММА 1</w:t>
        </w:r>
        <w:r w:rsidR="00EE0D83">
          <w:rPr>
            <w:rFonts w:eastAsiaTheme="minorEastAsia" w:cstheme="minorBidi"/>
            <w:noProof/>
            <w:sz w:val="22"/>
            <w:szCs w:val="22"/>
          </w:rPr>
          <w:tab/>
        </w:r>
        <w:r w:rsidR="00EE0D83" w:rsidRPr="00582F03">
          <w:rPr>
            <w:rStyle w:val="Hyperlink"/>
            <w:noProof/>
            <w:lang w:val="ru-RU"/>
          </w:rPr>
          <w:t>ПАТЕНТНОЕ ПРАВО</w:t>
        </w:r>
        <w:r w:rsidR="00EE0D83">
          <w:rPr>
            <w:noProof/>
            <w:webHidden/>
          </w:rPr>
          <w:tab/>
        </w:r>
        <w:r w:rsidR="00EE0D83">
          <w:rPr>
            <w:noProof/>
            <w:webHidden/>
          </w:rPr>
          <w:fldChar w:fldCharType="begin"/>
        </w:r>
        <w:r w:rsidR="00EE0D83">
          <w:rPr>
            <w:noProof/>
            <w:webHidden/>
          </w:rPr>
          <w:instrText xml:space="preserve"> PAGEREF _Toc455388101 \h </w:instrText>
        </w:r>
        <w:r w:rsidR="00EE0D83">
          <w:rPr>
            <w:noProof/>
            <w:webHidden/>
          </w:rPr>
        </w:r>
        <w:r w:rsidR="00EE0D83">
          <w:rPr>
            <w:noProof/>
            <w:webHidden/>
          </w:rPr>
          <w:fldChar w:fldCharType="separate"/>
        </w:r>
        <w:r w:rsidR="00EE0D83">
          <w:rPr>
            <w:noProof/>
            <w:webHidden/>
          </w:rPr>
          <w:t>40</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02" w:history="1">
        <w:r w:rsidR="00EE0D83" w:rsidRPr="00582F03">
          <w:rPr>
            <w:rStyle w:val="Hyperlink"/>
            <w:noProof/>
            <w:lang w:val="ru-RU"/>
          </w:rPr>
          <w:t>ПРОГРАММА 2</w:t>
        </w:r>
        <w:r w:rsidR="00EE0D83">
          <w:rPr>
            <w:rFonts w:eastAsiaTheme="minorEastAsia" w:cstheme="minorBidi"/>
            <w:noProof/>
            <w:sz w:val="22"/>
            <w:szCs w:val="22"/>
          </w:rPr>
          <w:tab/>
        </w:r>
        <w:r w:rsidR="00EE0D83" w:rsidRPr="00582F03">
          <w:rPr>
            <w:rStyle w:val="Hyperlink"/>
            <w:noProof/>
            <w:lang w:val="ru-RU"/>
          </w:rPr>
          <w:t>ТОВАРНЫЕ ЗНАКИ, ПРОМЫШЛЕННЫЕ ОБРАЗЦЫ И ГЕОГРАФИЧЕСКИЕ УКАЗАНИЯ</w:t>
        </w:r>
        <w:r w:rsidR="00EE0D83">
          <w:rPr>
            <w:noProof/>
            <w:webHidden/>
          </w:rPr>
          <w:tab/>
        </w:r>
        <w:r w:rsidR="00EE0D83">
          <w:rPr>
            <w:noProof/>
            <w:webHidden/>
          </w:rPr>
          <w:fldChar w:fldCharType="begin"/>
        </w:r>
        <w:r w:rsidR="00EE0D83">
          <w:rPr>
            <w:noProof/>
            <w:webHidden/>
          </w:rPr>
          <w:instrText xml:space="preserve"> PAGEREF _Toc455388102 \h </w:instrText>
        </w:r>
        <w:r w:rsidR="00EE0D83">
          <w:rPr>
            <w:noProof/>
            <w:webHidden/>
          </w:rPr>
        </w:r>
        <w:r w:rsidR="00EE0D83">
          <w:rPr>
            <w:noProof/>
            <w:webHidden/>
          </w:rPr>
          <w:fldChar w:fldCharType="separate"/>
        </w:r>
        <w:r w:rsidR="00EE0D83">
          <w:rPr>
            <w:noProof/>
            <w:webHidden/>
          </w:rPr>
          <w:t>44</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03" w:history="1">
        <w:r w:rsidR="00EE0D83" w:rsidRPr="00582F03">
          <w:rPr>
            <w:rStyle w:val="Hyperlink"/>
            <w:noProof/>
            <w:lang w:val="ru-RU"/>
          </w:rPr>
          <w:t>ПРОГРАММА 3</w:t>
        </w:r>
        <w:r w:rsidR="00EE0D83">
          <w:rPr>
            <w:rFonts w:eastAsiaTheme="minorEastAsia" w:cstheme="minorBidi"/>
            <w:noProof/>
            <w:sz w:val="22"/>
            <w:szCs w:val="22"/>
          </w:rPr>
          <w:tab/>
        </w:r>
        <w:r w:rsidR="00EE0D83" w:rsidRPr="00582F03">
          <w:rPr>
            <w:rStyle w:val="Hyperlink"/>
            <w:noProof/>
            <w:lang w:val="ru-RU"/>
          </w:rPr>
          <w:t xml:space="preserve"> АВТОРСКОЕ ПРАВО И СМЕЖНЫЕ ПРАВА</w:t>
        </w:r>
        <w:r w:rsidR="00EE0D83">
          <w:rPr>
            <w:noProof/>
            <w:webHidden/>
          </w:rPr>
          <w:tab/>
        </w:r>
        <w:r w:rsidR="00EE0D83">
          <w:rPr>
            <w:noProof/>
            <w:webHidden/>
          </w:rPr>
          <w:fldChar w:fldCharType="begin"/>
        </w:r>
        <w:r w:rsidR="00EE0D83">
          <w:rPr>
            <w:noProof/>
            <w:webHidden/>
          </w:rPr>
          <w:instrText xml:space="preserve"> PAGEREF _Toc455388103 \h </w:instrText>
        </w:r>
        <w:r w:rsidR="00EE0D83">
          <w:rPr>
            <w:noProof/>
            <w:webHidden/>
          </w:rPr>
        </w:r>
        <w:r w:rsidR="00EE0D83">
          <w:rPr>
            <w:noProof/>
            <w:webHidden/>
          </w:rPr>
          <w:fldChar w:fldCharType="separate"/>
        </w:r>
        <w:r w:rsidR="00EE0D83">
          <w:rPr>
            <w:noProof/>
            <w:webHidden/>
          </w:rPr>
          <w:t>50</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04" w:history="1">
        <w:r w:rsidR="00EE0D83" w:rsidRPr="00582F03">
          <w:rPr>
            <w:rStyle w:val="Hyperlink"/>
            <w:noProof/>
            <w:lang w:val="ru-RU"/>
          </w:rPr>
          <w:t>ПРОГРАММА 4</w:t>
        </w:r>
        <w:r w:rsidR="00EE0D83">
          <w:rPr>
            <w:rFonts w:eastAsiaTheme="minorEastAsia" w:cstheme="minorBidi"/>
            <w:noProof/>
            <w:sz w:val="22"/>
            <w:szCs w:val="22"/>
          </w:rPr>
          <w:tab/>
        </w:r>
        <w:r w:rsidR="00EE0D83" w:rsidRPr="00582F03">
          <w:rPr>
            <w:rStyle w:val="Hyperlink"/>
            <w:noProof/>
            <w:lang w:val="ru-RU"/>
          </w:rPr>
          <w:t xml:space="preserve">ТРАДИЦИОННЫЕ ЗНАНИЯ, ТРАДИЦИОННЫЕ ВЫРАЖЕНИЯ КУЛЬТУРЫ </w:t>
        </w:r>
        <w:r w:rsidR="00EE0D83">
          <w:rPr>
            <w:rStyle w:val="Hyperlink"/>
            <w:noProof/>
          </w:rPr>
          <w:br/>
        </w:r>
        <w:r w:rsidR="00EE0D83" w:rsidRPr="00582F03">
          <w:rPr>
            <w:rStyle w:val="Hyperlink"/>
            <w:noProof/>
            <w:lang w:val="ru-RU"/>
          </w:rPr>
          <w:t>И ГЕНЕТИЧЕСКИЕ РЕСУРСЫ</w:t>
        </w:r>
        <w:r w:rsidR="00EE0D83">
          <w:rPr>
            <w:noProof/>
            <w:webHidden/>
          </w:rPr>
          <w:tab/>
        </w:r>
        <w:r w:rsidR="00EE0D83">
          <w:rPr>
            <w:noProof/>
            <w:webHidden/>
          </w:rPr>
          <w:fldChar w:fldCharType="begin"/>
        </w:r>
        <w:r w:rsidR="00EE0D83">
          <w:rPr>
            <w:noProof/>
            <w:webHidden/>
          </w:rPr>
          <w:instrText xml:space="preserve"> PAGEREF _Toc455388104 \h </w:instrText>
        </w:r>
        <w:r w:rsidR="00EE0D83">
          <w:rPr>
            <w:noProof/>
            <w:webHidden/>
          </w:rPr>
        </w:r>
        <w:r w:rsidR="00EE0D83">
          <w:rPr>
            <w:noProof/>
            <w:webHidden/>
          </w:rPr>
          <w:fldChar w:fldCharType="separate"/>
        </w:r>
        <w:r w:rsidR="00EE0D83">
          <w:rPr>
            <w:noProof/>
            <w:webHidden/>
          </w:rPr>
          <w:t>61</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05" w:history="1">
        <w:r w:rsidR="00EE0D83" w:rsidRPr="00582F03">
          <w:rPr>
            <w:rStyle w:val="Hyperlink"/>
            <w:rFonts w:ascii="Arial" w:hAnsi="Arial"/>
            <w:noProof/>
            <w:lang w:val="ru-RU"/>
          </w:rPr>
          <w:t xml:space="preserve">СТРАТЕГИЧЕСКАЯ ЦЕЛЬ </w:t>
        </w:r>
        <w:r w:rsidR="00EE0D83" w:rsidRPr="00582F03">
          <w:rPr>
            <w:rStyle w:val="Hyperlink"/>
            <w:rFonts w:ascii="Arial" w:hAnsi="Arial"/>
            <w:noProof/>
          </w:rPr>
          <w:t>II</w:t>
        </w:r>
        <w:r w:rsidR="00EE0D83">
          <w:rPr>
            <w:noProof/>
            <w:webHidden/>
          </w:rPr>
          <w:tab/>
        </w:r>
        <w:r w:rsidR="00EE0D83">
          <w:rPr>
            <w:noProof/>
            <w:webHidden/>
          </w:rPr>
          <w:fldChar w:fldCharType="begin"/>
        </w:r>
        <w:r w:rsidR="00EE0D83">
          <w:rPr>
            <w:noProof/>
            <w:webHidden/>
          </w:rPr>
          <w:instrText xml:space="preserve"> PAGEREF _Toc455388105 \h </w:instrText>
        </w:r>
        <w:r w:rsidR="00EE0D83">
          <w:rPr>
            <w:noProof/>
            <w:webHidden/>
          </w:rPr>
        </w:r>
        <w:r w:rsidR="00EE0D83">
          <w:rPr>
            <w:noProof/>
            <w:webHidden/>
          </w:rPr>
          <w:fldChar w:fldCharType="separate"/>
        </w:r>
        <w:r w:rsidR="00EE0D83">
          <w:rPr>
            <w:noProof/>
            <w:webHidden/>
          </w:rPr>
          <w:t>66</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06" w:history="1">
        <w:r w:rsidR="00EE0D83" w:rsidRPr="00582F03">
          <w:rPr>
            <w:rStyle w:val="Hyperlink"/>
            <w:noProof/>
            <w:lang w:val="ru-RU"/>
          </w:rPr>
          <w:t>ПРОГРАММА 5</w:t>
        </w:r>
        <w:r w:rsidR="00EE0D83">
          <w:rPr>
            <w:rFonts w:eastAsiaTheme="minorEastAsia" w:cstheme="minorBidi"/>
            <w:noProof/>
            <w:sz w:val="22"/>
            <w:szCs w:val="22"/>
          </w:rPr>
          <w:tab/>
        </w:r>
        <w:r w:rsidR="00EE0D83" w:rsidRPr="00582F03">
          <w:rPr>
            <w:rStyle w:val="Hyperlink"/>
            <w:noProof/>
            <w:lang w:val="ru-RU"/>
          </w:rPr>
          <w:t>СИСТЕМА РСТ</w:t>
        </w:r>
        <w:r w:rsidR="00EE0D83">
          <w:rPr>
            <w:noProof/>
            <w:webHidden/>
          </w:rPr>
          <w:tab/>
        </w:r>
        <w:r w:rsidR="00EE0D83">
          <w:rPr>
            <w:noProof/>
            <w:webHidden/>
          </w:rPr>
          <w:fldChar w:fldCharType="begin"/>
        </w:r>
        <w:r w:rsidR="00EE0D83">
          <w:rPr>
            <w:noProof/>
            <w:webHidden/>
          </w:rPr>
          <w:instrText xml:space="preserve"> PAGEREF _Toc455388106 \h </w:instrText>
        </w:r>
        <w:r w:rsidR="00EE0D83">
          <w:rPr>
            <w:noProof/>
            <w:webHidden/>
          </w:rPr>
        </w:r>
        <w:r w:rsidR="00EE0D83">
          <w:rPr>
            <w:noProof/>
            <w:webHidden/>
          </w:rPr>
          <w:fldChar w:fldCharType="separate"/>
        </w:r>
        <w:r w:rsidR="00EE0D83">
          <w:rPr>
            <w:noProof/>
            <w:webHidden/>
          </w:rPr>
          <w:t>70</w:t>
        </w:r>
        <w:r w:rsidR="00EE0D83">
          <w:rPr>
            <w:noProof/>
            <w:webHidden/>
          </w:rPr>
          <w:fldChar w:fldCharType="end"/>
        </w:r>
      </w:hyperlink>
    </w:p>
    <w:p w:rsidR="00EE0D83" w:rsidRDefault="005C6ABD">
      <w:pPr>
        <w:pStyle w:val="TOC3"/>
        <w:rPr>
          <w:rFonts w:eastAsiaTheme="minorEastAsia" w:cstheme="minorBidi"/>
          <w:i w:val="0"/>
          <w:iCs w:val="0"/>
          <w:sz w:val="22"/>
          <w:szCs w:val="22"/>
          <w:lang w:val="en-US"/>
        </w:rPr>
      </w:pPr>
      <w:hyperlink w:anchor="_Toc455388107" w:history="1">
        <w:r w:rsidR="00EE0D83" w:rsidRPr="00EE0D83">
          <w:rPr>
            <w:rStyle w:val="Hyperlink"/>
          </w:rPr>
          <w:t>Приложение к программе 5</w:t>
        </w:r>
        <w:r w:rsidR="00932DA9">
          <w:rPr>
            <w:rStyle w:val="Hyperlink"/>
          </w:rPr>
          <w:t>:</w:t>
        </w:r>
        <w:r w:rsidR="00EE0D83" w:rsidRPr="00EE0D83">
          <w:rPr>
            <w:rFonts w:eastAsiaTheme="minorEastAsia" w:cstheme="minorBidi"/>
            <w:i w:val="0"/>
            <w:iCs w:val="0"/>
            <w:sz w:val="22"/>
            <w:szCs w:val="22"/>
            <w:lang w:val="en-US"/>
          </w:rPr>
          <w:tab/>
        </w:r>
        <w:r w:rsidR="00EE0D83" w:rsidRPr="00EE0D83">
          <w:rPr>
            <w:rStyle w:val="Hyperlink"/>
          </w:rPr>
          <w:t>Показатели функционирования системы РС</w:t>
        </w:r>
        <w:r w:rsidR="00EE0D83" w:rsidRPr="00582F03">
          <w:rPr>
            <w:rStyle w:val="Hyperlink"/>
            <w:b/>
          </w:rPr>
          <w:t>Т</w:t>
        </w:r>
        <w:r w:rsidR="00EE0D83">
          <w:rPr>
            <w:webHidden/>
          </w:rPr>
          <w:tab/>
        </w:r>
        <w:r w:rsidR="00EE0D83">
          <w:rPr>
            <w:webHidden/>
          </w:rPr>
          <w:fldChar w:fldCharType="begin"/>
        </w:r>
        <w:r w:rsidR="00EE0D83">
          <w:rPr>
            <w:webHidden/>
          </w:rPr>
          <w:instrText xml:space="preserve"> PAGEREF _Toc455388107 \h </w:instrText>
        </w:r>
        <w:r w:rsidR="00EE0D83">
          <w:rPr>
            <w:webHidden/>
          </w:rPr>
        </w:r>
        <w:r w:rsidR="00EE0D83">
          <w:rPr>
            <w:webHidden/>
          </w:rPr>
          <w:fldChar w:fldCharType="separate"/>
        </w:r>
        <w:r w:rsidR="00EE0D83">
          <w:rPr>
            <w:webHidden/>
          </w:rPr>
          <w:t>77</w:t>
        </w:r>
        <w:r w:rsidR="00EE0D83">
          <w:rPr>
            <w:webHidden/>
          </w:rPr>
          <w:fldChar w:fldCharType="end"/>
        </w:r>
      </w:hyperlink>
    </w:p>
    <w:p w:rsidR="00EE0D83" w:rsidRDefault="005C6ABD" w:rsidP="00EE0D83">
      <w:pPr>
        <w:pStyle w:val="TOC2"/>
        <w:rPr>
          <w:rFonts w:eastAsiaTheme="minorEastAsia" w:cstheme="minorBidi"/>
          <w:noProof/>
          <w:sz w:val="22"/>
          <w:szCs w:val="22"/>
        </w:rPr>
      </w:pPr>
      <w:hyperlink w:anchor="_Toc455388108" w:history="1">
        <w:r w:rsidR="00EE0D83" w:rsidRPr="00582F03">
          <w:rPr>
            <w:rStyle w:val="Hyperlink"/>
            <w:noProof/>
            <w:lang w:val="ru-RU"/>
          </w:rPr>
          <w:t>ПРОГРАММА 6</w:t>
        </w:r>
        <w:r w:rsidR="00EE0D83">
          <w:rPr>
            <w:rFonts w:eastAsiaTheme="minorEastAsia" w:cstheme="minorBidi"/>
            <w:noProof/>
            <w:sz w:val="22"/>
            <w:szCs w:val="22"/>
          </w:rPr>
          <w:tab/>
        </w:r>
        <w:r w:rsidR="00EE0D83" w:rsidRPr="00582F03">
          <w:rPr>
            <w:rStyle w:val="Hyperlink"/>
            <w:noProof/>
            <w:lang w:val="ru-RU"/>
          </w:rPr>
          <w:t>МАДРИДСКАЯ И ЛИССАБОНСКАЯ СИСТЕМЫ</w:t>
        </w:r>
        <w:r w:rsidR="00EE0D83">
          <w:rPr>
            <w:noProof/>
            <w:webHidden/>
          </w:rPr>
          <w:tab/>
        </w:r>
        <w:r w:rsidR="00EE0D83">
          <w:rPr>
            <w:noProof/>
            <w:webHidden/>
          </w:rPr>
          <w:fldChar w:fldCharType="begin"/>
        </w:r>
        <w:r w:rsidR="00EE0D83">
          <w:rPr>
            <w:noProof/>
            <w:webHidden/>
          </w:rPr>
          <w:instrText xml:space="preserve"> PAGEREF _Toc455388108 \h </w:instrText>
        </w:r>
        <w:r w:rsidR="00EE0D83">
          <w:rPr>
            <w:noProof/>
            <w:webHidden/>
          </w:rPr>
        </w:r>
        <w:r w:rsidR="00EE0D83">
          <w:rPr>
            <w:noProof/>
            <w:webHidden/>
          </w:rPr>
          <w:fldChar w:fldCharType="separate"/>
        </w:r>
        <w:r w:rsidR="00EE0D83">
          <w:rPr>
            <w:noProof/>
            <w:webHidden/>
          </w:rPr>
          <w:t>90</w:t>
        </w:r>
        <w:r w:rsidR="00EE0D83">
          <w:rPr>
            <w:noProof/>
            <w:webHidden/>
          </w:rPr>
          <w:fldChar w:fldCharType="end"/>
        </w:r>
      </w:hyperlink>
    </w:p>
    <w:p w:rsidR="00EE0D83" w:rsidRDefault="005C6ABD">
      <w:pPr>
        <w:pStyle w:val="TOC3"/>
        <w:rPr>
          <w:rFonts w:eastAsiaTheme="minorEastAsia" w:cstheme="minorBidi"/>
          <w:i w:val="0"/>
          <w:iCs w:val="0"/>
          <w:sz w:val="22"/>
          <w:szCs w:val="22"/>
          <w:lang w:val="en-US"/>
        </w:rPr>
      </w:pPr>
      <w:hyperlink w:anchor="_Toc455388109" w:history="1">
        <w:r w:rsidR="00932DA9">
          <w:rPr>
            <w:rStyle w:val="Hyperlink"/>
          </w:rPr>
          <w:t>Приложение к программе 6:</w:t>
        </w:r>
        <w:r w:rsidR="00932DA9">
          <w:rPr>
            <w:rStyle w:val="Hyperlink"/>
          </w:rPr>
          <w:tab/>
        </w:r>
        <w:r w:rsidR="00EE0D83" w:rsidRPr="00EE0D83">
          <w:rPr>
            <w:rStyle w:val="Hyperlink"/>
          </w:rPr>
          <w:t>Показатели функционирования Мадридской системы</w:t>
        </w:r>
        <w:r w:rsidR="00EE0D83">
          <w:rPr>
            <w:webHidden/>
          </w:rPr>
          <w:tab/>
        </w:r>
        <w:r w:rsidR="00EE0D83">
          <w:rPr>
            <w:webHidden/>
          </w:rPr>
          <w:fldChar w:fldCharType="begin"/>
        </w:r>
        <w:r w:rsidR="00EE0D83">
          <w:rPr>
            <w:webHidden/>
          </w:rPr>
          <w:instrText xml:space="preserve"> PAGEREF _Toc455388109 \h </w:instrText>
        </w:r>
        <w:r w:rsidR="00EE0D83">
          <w:rPr>
            <w:webHidden/>
          </w:rPr>
        </w:r>
        <w:r w:rsidR="00EE0D83">
          <w:rPr>
            <w:webHidden/>
          </w:rPr>
          <w:fldChar w:fldCharType="separate"/>
        </w:r>
        <w:r w:rsidR="00EE0D83">
          <w:rPr>
            <w:webHidden/>
          </w:rPr>
          <w:t>98</w:t>
        </w:r>
        <w:r w:rsidR="00EE0D83">
          <w:rPr>
            <w:webHidden/>
          </w:rPr>
          <w:fldChar w:fldCharType="end"/>
        </w:r>
      </w:hyperlink>
    </w:p>
    <w:p w:rsidR="00EE0D83" w:rsidRDefault="005C6ABD" w:rsidP="00EE0D83">
      <w:pPr>
        <w:pStyle w:val="TOC2"/>
        <w:rPr>
          <w:rFonts w:eastAsiaTheme="minorEastAsia" w:cstheme="minorBidi"/>
          <w:noProof/>
          <w:sz w:val="22"/>
          <w:szCs w:val="22"/>
        </w:rPr>
      </w:pPr>
      <w:hyperlink w:anchor="_Toc455388110" w:history="1">
        <w:r w:rsidR="00EE0D83" w:rsidRPr="00582F03">
          <w:rPr>
            <w:rStyle w:val="Hyperlink"/>
            <w:noProof/>
            <w:lang w:val="ru-RU"/>
          </w:rPr>
          <w:t>ПРОГРАММА 31</w:t>
        </w:r>
        <w:r w:rsidR="00EE0D83">
          <w:rPr>
            <w:rFonts w:eastAsiaTheme="minorEastAsia" w:cstheme="minorBidi"/>
            <w:noProof/>
            <w:sz w:val="22"/>
            <w:szCs w:val="22"/>
          </w:rPr>
          <w:tab/>
        </w:r>
        <w:r w:rsidR="00EE0D83" w:rsidRPr="00582F03">
          <w:rPr>
            <w:rStyle w:val="Hyperlink"/>
            <w:noProof/>
            <w:lang w:val="ru-RU"/>
          </w:rPr>
          <w:t>ГААГСКАЯ СИСТЕМА</w:t>
        </w:r>
        <w:r w:rsidR="00EE0D83">
          <w:rPr>
            <w:noProof/>
            <w:webHidden/>
          </w:rPr>
          <w:tab/>
        </w:r>
        <w:r w:rsidR="00EE0D83">
          <w:rPr>
            <w:noProof/>
            <w:webHidden/>
          </w:rPr>
          <w:fldChar w:fldCharType="begin"/>
        </w:r>
        <w:r w:rsidR="00EE0D83">
          <w:rPr>
            <w:noProof/>
            <w:webHidden/>
          </w:rPr>
          <w:instrText xml:space="preserve"> PAGEREF _Toc455388110 \h </w:instrText>
        </w:r>
        <w:r w:rsidR="00EE0D83">
          <w:rPr>
            <w:noProof/>
            <w:webHidden/>
          </w:rPr>
        </w:r>
        <w:r w:rsidR="00EE0D83">
          <w:rPr>
            <w:noProof/>
            <w:webHidden/>
          </w:rPr>
          <w:fldChar w:fldCharType="separate"/>
        </w:r>
        <w:r w:rsidR="00EE0D83">
          <w:rPr>
            <w:noProof/>
            <w:webHidden/>
          </w:rPr>
          <w:t>116</w:t>
        </w:r>
        <w:r w:rsidR="00EE0D83">
          <w:rPr>
            <w:noProof/>
            <w:webHidden/>
          </w:rPr>
          <w:fldChar w:fldCharType="end"/>
        </w:r>
      </w:hyperlink>
    </w:p>
    <w:p w:rsidR="00EE0D83" w:rsidRDefault="005C6ABD">
      <w:pPr>
        <w:pStyle w:val="TOC3"/>
        <w:rPr>
          <w:rFonts w:eastAsiaTheme="minorEastAsia" w:cstheme="minorBidi"/>
          <w:i w:val="0"/>
          <w:iCs w:val="0"/>
          <w:sz w:val="22"/>
          <w:szCs w:val="22"/>
          <w:lang w:val="en-US"/>
        </w:rPr>
      </w:pPr>
      <w:hyperlink w:anchor="_Toc455388111" w:history="1">
        <w:r w:rsidR="00932DA9">
          <w:rPr>
            <w:rStyle w:val="Hyperlink"/>
          </w:rPr>
          <w:t>Приложение к программе 31:</w:t>
        </w:r>
        <w:r w:rsidR="00EE0D83" w:rsidRPr="00EE0D83">
          <w:rPr>
            <w:rFonts w:eastAsiaTheme="minorEastAsia" w:cstheme="minorBidi"/>
            <w:i w:val="0"/>
            <w:iCs w:val="0"/>
            <w:sz w:val="22"/>
            <w:szCs w:val="22"/>
            <w:lang w:val="en-US"/>
          </w:rPr>
          <w:tab/>
        </w:r>
        <w:r w:rsidR="00EE0D83" w:rsidRPr="00EE0D83">
          <w:rPr>
            <w:rStyle w:val="Hyperlink"/>
          </w:rPr>
          <w:t>Показатели функционирования Гаагской системы</w:t>
        </w:r>
        <w:r w:rsidR="00EE0D83">
          <w:rPr>
            <w:webHidden/>
          </w:rPr>
          <w:tab/>
        </w:r>
        <w:r w:rsidR="00EE0D83">
          <w:rPr>
            <w:webHidden/>
          </w:rPr>
          <w:fldChar w:fldCharType="begin"/>
        </w:r>
        <w:r w:rsidR="00EE0D83">
          <w:rPr>
            <w:webHidden/>
          </w:rPr>
          <w:instrText xml:space="preserve"> PAGEREF _Toc455388111 \h </w:instrText>
        </w:r>
        <w:r w:rsidR="00EE0D83">
          <w:rPr>
            <w:webHidden/>
          </w:rPr>
        </w:r>
        <w:r w:rsidR="00EE0D83">
          <w:rPr>
            <w:webHidden/>
          </w:rPr>
          <w:fldChar w:fldCharType="separate"/>
        </w:r>
        <w:r w:rsidR="00EE0D83">
          <w:rPr>
            <w:webHidden/>
          </w:rPr>
          <w:t>121</w:t>
        </w:r>
        <w:r w:rsidR="00EE0D83">
          <w:rPr>
            <w:webHidden/>
          </w:rPr>
          <w:fldChar w:fldCharType="end"/>
        </w:r>
      </w:hyperlink>
    </w:p>
    <w:p w:rsidR="00EE0D83" w:rsidRDefault="005C6ABD" w:rsidP="00EE0D83">
      <w:pPr>
        <w:pStyle w:val="TOC2"/>
        <w:rPr>
          <w:rFonts w:eastAsiaTheme="minorEastAsia" w:cstheme="minorBidi"/>
          <w:noProof/>
          <w:sz w:val="22"/>
          <w:szCs w:val="22"/>
        </w:rPr>
      </w:pPr>
      <w:hyperlink w:anchor="_Toc455388112" w:history="1">
        <w:r w:rsidR="00EE0D83" w:rsidRPr="00582F03">
          <w:rPr>
            <w:rStyle w:val="Hyperlink"/>
            <w:noProof/>
            <w:lang w:val="ru-RU"/>
          </w:rPr>
          <w:t>ПРОГРАММА 7</w:t>
        </w:r>
        <w:r w:rsidR="00EE0D83">
          <w:rPr>
            <w:rFonts w:eastAsiaTheme="minorEastAsia" w:cstheme="minorBidi"/>
            <w:noProof/>
            <w:sz w:val="22"/>
            <w:szCs w:val="22"/>
          </w:rPr>
          <w:tab/>
        </w:r>
        <w:r w:rsidR="00EE0D83" w:rsidRPr="00582F03">
          <w:rPr>
            <w:rStyle w:val="Hyperlink"/>
            <w:noProof/>
            <w:lang w:val="ru-RU"/>
          </w:rPr>
          <w:t>АРБИТРАЖ, ПОСРЕДНИЧЕСТВО И ДОМЕННЫЕ ИМЕНА</w:t>
        </w:r>
        <w:r w:rsidR="00EE0D83">
          <w:rPr>
            <w:noProof/>
            <w:webHidden/>
          </w:rPr>
          <w:tab/>
        </w:r>
        <w:r w:rsidR="00EE0D83">
          <w:rPr>
            <w:noProof/>
            <w:webHidden/>
          </w:rPr>
          <w:fldChar w:fldCharType="begin"/>
        </w:r>
        <w:r w:rsidR="00EE0D83">
          <w:rPr>
            <w:noProof/>
            <w:webHidden/>
          </w:rPr>
          <w:instrText xml:space="preserve"> PAGEREF _Toc455388112 \h </w:instrText>
        </w:r>
        <w:r w:rsidR="00EE0D83">
          <w:rPr>
            <w:noProof/>
            <w:webHidden/>
          </w:rPr>
        </w:r>
        <w:r w:rsidR="00EE0D83">
          <w:rPr>
            <w:noProof/>
            <w:webHidden/>
          </w:rPr>
          <w:fldChar w:fldCharType="separate"/>
        </w:r>
        <w:r w:rsidR="00EE0D83">
          <w:rPr>
            <w:noProof/>
            <w:webHidden/>
          </w:rPr>
          <w:t>130</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13" w:history="1">
        <w:r w:rsidR="00EE0D83" w:rsidRPr="00582F03">
          <w:rPr>
            <w:rStyle w:val="Hyperlink"/>
            <w:rFonts w:ascii="Arial" w:hAnsi="Arial"/>
            <w:noProof/>
            <w:lang w:val="ru-RU"/>
          </w:rPr>
          <w:t xml:space="preserve">СТРАТЕГИЧЕСКАЯ ЦЕЛЬ </w:t>
        </w:r>
        <w:r w:rsidR="00EE0D83" w:rsidRPr="00582F03">
          <w:rPr>
            <w:rStyle w:val="Hyperlink"/>
            <w:rFonts w:ascii="Arial" w:hAnsi="Arial"/>
            <w:noProof/>
          </w:rPr>
          <w:t>III</w:t>
        </w:r>
        <w:r w:rsidR="00EE0D83">
          <w:rPr>
            <w:noProof/>
            <w:webHidden/>
          </w:rPr>
          <w:tab/>
        </w:r>
        <w:r w:rsidR="00EE0D83">
          <w:rPr>
            <w:noProof/>
            <w:webHidden/>
          </w:rPr>
          <w:fldChar w:fldCharType="begin"/>
        </w:r>
        <w:r w:rsidR="00EE0D83">
          <w:rPr>
            <w:noProof/>
            <w:webHidden/>
          </w:rPr>
          <w:instrText xml:space="preserve"> PAGEREF _Toc455388113 \h </w:instrText>
        </w:r>
        <w:r w:rsidR="00EE0D83">
          <w:rPr>
            <w:noProof/>
            <w:webHidden/>
          </w:rPr>
        </w:r>
        <w:r w:rsidR="00EE0D83">
          <w:rPr>
            <w:noProof/>
            <w:webHidden/>
          </w:rPr>
          <w:fldChar w:fldCharType="separate"/>
        </w:r>
        <w:r w:rsidR="00EE0D83">
          <w:rPr>
            <w:noProof/>
            <w:webHidden/>
          </w:rPr>
          <w:t>136</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14"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8</w:t>
        </w:r>
        <w:r w:rsidR="00EE0D83">
          <w:rPr>
            <w:rFonts w:eastAsiaTheme="minorEastAsia" w:cstheme="minorBidi"/>
            <w:noProof/>
            <w:sz w:val="22"/>
            <w:szCs w:val="22"/>
          </w:rPr>
          <w:tab/>
        </w:r>
        <w:r w:rsidR="00EE0D83" w:rsidRPr="00582F03">
          <w:rPr>
            <w:rStyle w:val="Hyperlink"/>
            <w:noProof/>
            <w:lang w:val="ru-RU"/>
          </w:rPr>
          <w:t>КООРДИНАЦИЯ ДЕЯТЕЛЬНОСТИ В РАМКАХ ПДР</w:t>
        </w:r>
        <w:r w:rsidR="00EE0D83">
          <w:rPr>
            <w:noProof/>
            <w:webHidden/>
          </w:rPr>
          <w:tab/>
        </w:r>
        <w:r w:rsidR="00EE0D83">
          <w:rPr>
            <w:noProof/>
            <w:webHidden/>
          </w:rPr>
          <w:fldChar w:fldCharType="begin"/>
        </w:r>
        <w:r w:rsidR="00EE0D83">
          <w:rPr>
            <w:noProof/>
            <w:webHidden/>
          </w:rPr>
          <w:instrText xml:space="preserve"> PAGEREF _Toc455388114 \h </w:instrText>
        </w:r>
        <w:r w:rsidR="00EE0D83">
          <w:rPr>
            <w:noProof/>
            <w:webHidden/>
          </w:rPr>
        </w:r>
        <w:r w:rsidR="00EE0D83">
          <w:rPr>
            <w:noProof/>
            <w:webHidden/>
          </w:rPr>
          <w:fldChar w:fldCharType="separate"/>
        </w:r>
        <w:r w:rsidR="00EE0D83">
          <w:rPr>
            <w:noProof/>
            <w:webHidden/>
          </w:rPr>
          <w:t>140</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15" w:history="1">
        <w:r w:rsidR="00EE0D83" w:rsidRPr="00582F03">
          <w:rPr>
            <w:rStyle w:val="Hyperlink"/>
            <w:noProof/>
            <w:lang w:val="ru-RU"/>
          </w:rPr>
          <w:t>ПРОГРАММА 9</w:t>
        </w:r>
        <w:r w:rsidR="00EE0D83">
          <w:rPr>
            <w:rFonts w:eastAsiaTheme="minorEastAsia" w:cstheme="minorBidi"/>
            <w:noProof/>
            <w:sz w:val="22"/>
            <w:szCs w:val="22"/>
          </w:rPr>
          <w:tab/>
        </w:r>
        <w:r w:rsidR="00EE0D83" w:rsidRPr="00582F03">
          <w:rPr>
            <w:rStyle w:val="Hyperlink"/>
            <w:noProof/>
            <w:lang w:val="ru-RU"/>
          </w:rPr>
          <w:t>АФРИКА, АРАБСКИЕ СТРАНЫ, АЗИЯ И ТИХООКЕАНСКИЙ РЕГИОН, ЛАТИНСКАЯ АМЕРИКА И СТРАНЫ КАРИБСКОГО БАССЕЙНА, НАИМЕНЕЕ РАЗВИТЫЕ СТРАНЫ</w:t>
        </w:r>
        <w:r w:rsidR="00EE0D83">
          <w:rPr>
            <w:noProof/>
            <w:webHidden/>
          </w:rPr>
          <w:tab/>
        </w:r>
        <w:r w:rsidR="00EE0D83">
          <w:rPr>
            <w:noProof/>
            <w:webHidden/>
          </w:rPr>
          <w:fldChar w:fldCharType="begin"/>
        </w:r>
        <w:r w:rsidR="00EE0D83">
          <w:rPr>
            <w:noProof/>
            <w:webHidden/>
          </w:rPr>
          <w:instrText xml:space="preserve"> PAGEREF _Toc455388115 \h </w:instrText>
        </w:r>
        <w:r w:rsidR="00EE0D83">
          <w:rPr>
            <w:noProof/>
            <w:webHidden/>
          </w:rPr>
        </w:r>
        <w:r w:rsidR="00EE0D83">
          <w:rPr>
            <w:noProof/>
            <w:webHidden/>
          </w:rPr>
          <w:fldChar w:fldCharType="separate"/>
        </w:r>
        <w:r w:rsidR="00EE0D83">
          <w:rPr>
            <w:noProof/>
            <w:webHidden/>
          </w:rPr>
          <w:t>145</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16" w:history="1">
        <w:r w:rsidR="00EE0D83" w:rsidRPr="00582F03">
          <w:rPr>
            <w:rStyle w:val="Hyperlink"/>
            <w:noProof/>
            <w:lang w:val="ru-RU"/>
          </w:rPr>
          <w:t>ПРОГРАММА 10</w:t>
        </w:r>
        <w:r w:rsidR="00EE0D83">
          <w:rPr>
            <w:rFonts w:eastAsiaTheme="minorEastAsia" w:cstheme="minorBidi"/>
            <w:noProof/>
            <w:sz w:val="22"/>
            <w:szCs w:val="22"/>
          </w:rPr>
          <w:tab/>
        </w:r>
        <w:r w:rsidR="00EE0D83" w:rsidRPr="00582F03">
          <w:rPr>
            <w:rStyle w:val="Hyperlink"/>
            <w:noProof/>
            <w:lang w:val="ru-RU"/>
          </w:rPr>
          <w:t>СОТРУДНИЧЕСТВО С НЕКОТОРЫМИ СТРАНАМИ ЕВРОПЫ И АЗИИ</w:t>
        </w:r>
        <w:r w:rsidR="00EE0D83">
          <w:rPr>
            <w:noProof/>
            <w:webHidden/>
          </w:rPr>
          <w:tab/>
        </w:r>
        <w:r w:rsidR="00EE0D83">
          <w:rPr>
            <w:noProof/>
            <w:webHidden/>
          </w:rPr>
          <w:fldChar w:fldCharType="begin"/>
        </w:r>
        <w:r w:rsidR="00EE0D83">
          <w:rPr>
            <w:noProof/>
            <w:webHidden/>
          </w:rPr>
          <w:instrText xml:space="preserve"> PAGEREF _Toc455388116 \h </w:instrText>
        </w:r>
        <w:r w:rsidR="00EE0D83">
          <w:rPr>
            <w:noProof/>
            <w:webHidden/>
          </w:rPr>
        </w:r>
        <w:r w:rsidR="00EE0D83">
          <w:rPr>
            <w:noProof/>
            <w:webHidden/>
          </w:rPr>
          <w:fldChar w:fldCharType="separate"/>
        </w:r>
        <w:r w:rsidR="00EE0D83">
          <w:rPr>
            <w:noProof/>
            <w:webHidden/>
          </w:rPr>
          <w:t>157</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17" w:history="1">
        <w:r w:rsidR="00EE0D83" w:rsidRPr="00582F03">
          <w:rPr>
            <w:rStyle w:val="Hyperlink"/>
            <w:noProof/>
            <w:lang w:val="ru-RU"/>
          </w:rPr>
          <w:t>ПРОГРАММА 11</w:t>
        </w:r>
        <w:r w:rsidR="00EE0D83">
          <w:rPr>
            <w:rFonts w:eastAsiaTheme="minorEastAsia" w:cstheme="minorBidi"/>
            <w:noProof/>
            <w:sz w:val="22"/>
            <w:szCs w:val="22"/>
          </w:rPr>
          <w:tab/>
        </w:r>
        <w:r w:rsidR="00EE0D83" w:rsidRPr="00582F03">
          <w:rPr>
            <w:rStyle w:val="Hyperlink"/>
            <w:noProof/>
            <w:lang w:val="ru-RU"/>
          </w:rPr>
          <w:t>АКАДЕМИЯ ВОИС</w:t>
        </w:r>
        <w:r w:rsidR="00EE0D83">
          <w:rPr>
            <w:noProof/>
            <w:webHidden/>
          </w:rPr>
          <w:tab/>
        </w:r>
        <w:r w:rsidR="00EE0D83">
          <w:rPr>
            <w:noProof/>
            <w:webHidden/>
          </w:rPr>
          <w:fldChar w:fldCharType="begin"/>
        </w:r>
        <w:r w:rsidR="00EE0D83">
          <w:rPr>
            <w:noProof/>
            <w:webHidden/>
          </w:rPr>
          <w:instrText xml:space="preserve"> PAGEREF _Toc455388117 \h </w:instrText>
        </w:r>
        <w:r w:rsidR="00EE0D83">
          <w:rPr>
            <w:noProof/>
            <w:webHidden/>
          </w:rPr>
        </w:r>
        <w:r w:rsidR="00EE0D83">
          <w:rPr>
            <w:noProof/>
            <w:webHidden/>
          </w:rPr>
          <w:fldChar w:fldCharType="separate"/>
        </w:r>
        <w:r w:rsidR="00EE0D83">
          <w:rPr>
            <w:noProof/>
            <w:webHidden/>
          </w:rPr>
          <w:t>166</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18" w:history="1">
        <w:r w:rsidR="00EE0D83" w:rsidRPr="00582F03">
          <w:rPr>
            <w:rStyle w:val="Hyperlink"/>
            <w:noProof/>
            <w:lang w:val="ru-RU"/>
          </w:rPr>
          <w:t>ПРОГРАММА 30</w:t>
        </w:r>
        <w:r w:rsidR="00EE0D83">
          <w:rPr>
            <w:rFonts w:eastAsiaTheme="minorEastAsia" w:cstheme="minorBidi"/>
            <w:noProof/>
            <w:sz w:val="22"/>
            <w:szCs w:val="22"/>
          </w:rPr>
          <w:tab/>
        </w:r>
        <w:r w:rsidR="00EE0D83" w:rsidRPr="00582F03">
          <w:rPr>
            <w:rStyle w:val="Hyperlink"/>
            <w:noProof/>
            <w:lang w:val="ru-RU"/>
          </w:rPr>
          <w:t>МАЛЫЕ И СРЕДНИЕ ПРЕДПРИЯТИЯ (МСП) И ИННОВАЦИИ</w:t>
        </w:r>
        <w:r w:rsidR="00EE0D83">
          <w:rPr>
            <w:noProof/>
            <w:webHidden/>
          </w:rPr>
          <w:tab/>
        </w:r>
        <w:r w:rsidR="00EE0D83">
          <w:rPr>
            <w:noProof/>
            <w:webHidden/>
          </w:rPr>
          <w:fldChar w:fldCharType="begin"/>
        </w:r>
        <w:r w:rsidR="00EE0D83">
          <w:rPr>
            <w:noProof/>
            <w:webHidden/>
          </w:rPr>
          <w:instrText xml:space="preserve"> PAGEREF _Toc455388118 \h </w:instrText>
        </w:r>
        <w:r w:rsidR="00EE0D83">
          <w:rPr>
            <w:noProof/>
            <w:webHidden/>
          </w:rPr>
        </w:r>
        <w:r w:rsidR="00EE0D83">
          <w:rPr>
            <w:noProof/>
            <w:webHidden/>
          </w:rPr>
          <w:fldChar w:fldCharType="separate"/>
        </w:r>
        <w:r w:rsidR="00EE0D83">
          <w:rPr>
            <w:noProof/>
            <w:webHidden/>
          </w:rPr>
          <w:t>174</w:t>
        </w:r>
        <w:r w:rsidR="00EE0D83">
          <w:rPr>
            <w:noProof/>
            <w:webHidden/>
          </w:rPr>
          <w:fldChar w:fldCharType="end"/>
        </w:r>
      </w:hyperlink>
    </w:p>
    <w:p w:rsidR="00EE0D83" w:rsidRPr="00EE0D83" w:rsidRDefault="005C6ABD" w:rsidP="00EE0D83">
      <w:pPr>
        <w:pStyle w:val="TOC2"/>
        <w:rPr>
          <w:rFonts w:ascii="Arial" w:eastAsiaTheme="minorEastAsia" w:hAnsi="Arial" w:cs="Arial"/>
          <w:noProof/>
          <w:sz w:val="22"/>
          <w:szCs w:val="22"/>
        </w:rPr>
      </w:pPr>
      <w:hyperlink w:anchor="_Toc455388119" w:history="1">
        <w:r w:rsidR="00EE0D83" w:rsidRPr="00EE0D83">
          <w:rPr>
            <w:rStyle w:val="Hyperlink"/>
            <w:rFonts w:ascii="Arial" w:hAnsi="Arial" w:cs="Arial"/>
            <w:noProof/>
            <w:lang w:val="ru-RU"/>
          </w:rPr>
          <w:t>СТРАТЕГИЧЕСКАЯ ЦЕЛЬ IV</w:t>
        </w:r>
        <w:r w:rsidR="00EE0D83" w:rsidRPr="00EE0D83">
          <w:rPr>
            <w:rFonts w:ascii="Arial" w:hAnsi="Arial" w:cs="Arial"/>
            <w:noProof/>
            <w:webHidden/>
          </w:rPr>
          <w:tab/>
        </w:r>
        <w:r w:rsidR="00EE0D83" w:rsidRPr="00EE0D83">
          <w:rPr>
            <w:rFonts w:ascii="Arial" w:hAnsi="Arial" w:cs="Arial"/>
            <w:noProof/>
            <w:webHidden/>
          </w:rPr>
          <w:fldChar w:fldCharType="begin"/>
        </w:r>
        <w:r w:rsidR="00EE0D83" w:rsidRPr="00EE0D83">
          <w:rPr>
            <w:rFonts w:ascii="Arial" w:hAnsi="Arial" w:cs="Arial"/>
            <w:noProof/>
            <w:webHidden/>
          </w:rPr>
          <w:instrText xml:space="preserve"> PAGEREF _Toc455388119 \h </w:instrText>
        </w:r>
        <w:r w:rsidR="00EE0D83" w:rsidRPr="00EE0D83">
          <w:rPr>
            <w:rFonts w:ascii="Arial" w:hAnsi="Arial" w:cs="Arial"/>
            <w:noProof/>
            <w:webHidden/>
          </w:rPr>
        </w:r>
        <w:r w:rsidR="00EE0D83" w:rsidRPr="00EE0D83">
          <w:rPr>
            <w:rFonts w:ascii="Arial" w:hAnsi="Arial" w:cs="Arial"/>
            <w:noProof/>
            <w:webHidden/>
          </w:rPr>
          <w:fldChar w:fldCharType="separate"/>
        </w:r>
        <w:r w:rsidR="00EE0D83" w:rsidRPr="00EE0D83">
          <w:rPr>
            <w:rFonts w:ascii="Arial" w:hAnsi="Arial" w:cs="Arial"/>
            <w:noProof/>
            <w:webHidden/>
          </w:rPr>
          <w:t>182</w:t>
        </w:r>
        <w:r w:rsidR="00EE0D83" w:rsidRPr="00EE0D83">
          <w:rPr>
            <w:rFonts w:ascii="Arial" w:hAnsi="Arial" w:cs="Arial"/>
            <w:noProof/>
            <w:webHidden/>
          </w:rPr>
          <w:fldChar w:fldCharType="end"/>
        </w:r>
      </w:hyperlink>
    </w:p>
    <w:p w:rsidR="00EE0D83" w:rsidRDefault="005C6ABD" w:rsidP="00EE0D83">
      <w:pPr>
        <w:pStyle w:val="TOC2"/>
        <w:rPr>
          <w:rFonts w:eastAsiaTheme="minorEastAsia" w:cstheme="minorBidi"/>
          <w:noProof/>
          <w:sz w:val="22"/>
          <w:szCs w:val="22"/>
        </w:rPr>
      </w:pPr>
      <w:hyperlink w:anchor="_Toc455388120"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12</w:t>
        </w:r>
        <w:r w:rsidR="00EE0D83">
          <w:rPr>
            <w:rFonts w:eastAsiaTheme="minorEastAsia" w:cstheme="minorBidi"/>
            <w:noProof/>
            <w:sz w:val="22"/>
            <w:szCs w:val="22"/>
          </w:rPr>
          <w:tab/>
        </w:r>
        <w:r w:rsidR="00EE0D83" w:rsidRPr="00582F03">
          <w:rPr>
            <w:rStyle w:val="Hyperlink"/>
            <w:noProof/>
            <w:lang w:val="ru-RU"/>
          </w:rPr>
          <w:t>МЕЖДУНАРОДНЫЕ КЛАССИФИКАЦИИ И СТАНДАРТЫ</w:t>
        </w:r>
        <w:r w:rsidR="00EE0D83">
          <w:rPr>
            <w:noProof/>
            <w:webHidden/>
          </w:rPr>
          <w:tab/>
        </w:r>
        <w:r w:rsidR="00EE0D83">
          <w:rPr>
            <w:noProof/>
            <w:webHidden/>
          </w:rPr>
          <w:fldChar w:fldCharType="begin"/>
        </w:r>
        <w:r w:rsidR="00EE0D83">
          <w:rPr>
            <w:noProof/>
            <w:webHidden/>
          </w:rPr>
          <w:instrText xml:space="preserve"> PAGEREF _Toc455388120 \h </w:instrText>
        </w:r>
        <w:r w:rsidR="00EE0D83">
          <w:rPr>
            <w:noProof/>
            <w:webHidden/>
          </w:rPr>
        </w:r>
        <w:r w:rsidR="00EE0D83">
          <w:rPr>
            <w:noProof/>
            <w:webHidden/>
          </w:rPr>
          <w:fldChar w:fldCharType="separate"/>
        </w:r>
        <w:r w:rsidR="00EE0D83">
          <w:rPr>
            <w:noProof/>
            <w:webHidden/>
          </w:rPr>
          <w:t>185</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21"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13</w:t>
        </w:r>
        <w:r w:rsidR="00EE0D83">
          <w:rPr>
            <w:rFonts w:eastAsiaTheme="minorEastAsia" w:cstheme="minorBidi"/>
            <w:noProof/>
            <w:sz w:val="22"/>
            <w:szCs w:val="22"/>
          </w:rPr>
          <w:tab/>
        </w:r>
        <w:r w:rsidR="00EE0D83" w:rsidRPr="00582F03">
          <w:rPr>
            <w:rStyle w:val="Hyperlink"/>
            <w:noProof/>
            <w:lang w:val="ru-RU"/>
          </w:rPr>
          <w:t>ГЛОБАЛЬНЫЕ БАЗЫ ДАННЫХ</w:t>
        </w:r>
        <w:r w:rsidR="00EE0D83">
          <w:rPr>
            <w:noProof/>
            <w:webHidden/>
          </w:rPr>
          <w:tab/>
        </w:r>
        <w:r w:rsidR="00EE0D83">
          <w:rPr>
            <w:noProof/>
            <w:webHidden/>
          </w:rPr>
          <w:fldChar w:fldCharType="begin"/>
        </w:r>
        <w:r w:rsidR="00EE0D83">
          <w:rPr>
            <w:noProof/>
            <w:webHidden/>
          </w:rPr>
          <w:instrText xml:space="preserve"> PAGEREF _Toc455388121 \h </w:instrText>
        </w:r>
        <w:r w:rsidR="00EE0D83">
          <w:rPr>
            <w:noProof/>
            <w:webHidden/>
          </w:rPr>
        </w:r>
        <w:r w:rsidR="00EE0D83">
          <w:rPr>
            <w:noProof/>
            <w:webHidden/>
          </w:rPr>
          <w:fldChar w:fldCharType="separate"/>
        </w:r>
        <w:r w:rsidR="00EE0D83">
          <w:rPr>
            <w:noProof/>
            <w:webHidden/>
          </w:rPr>
          <w:t>189</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22"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14</w:t>
        </w:r>
        <w:r w:rsidR="00EE0D83">
          <w:rPr>
            <w:rFonts w:eastAsiaTheme="minorEastAsia" w:cstheme="minorBidi"/>
            <w:noProof/>
            <w:sz w:val="22"/>
            <w:szCs w:val="22"/>
          </w:rPr>
          <w:tab/>
        </w:r>
        <w:r w:rsidR="00EE0D83" w:rsidRPr="00582F03">
          <w:rPr>
            <w:rStyle w:val="Hyperlink"/>
            <w:noProof/>
            <w:lang w:val="ru-RU"/>
          </w:rPr>
          <w:t>УСЛУГИ ПО ОБЕСПЕЧЕНИЮ ДОСТУПА К ИНФОРМАЦИИ И ЗНАНИЯМ</w:t>
        </w:r>
        <w:r w:rsidR="00EE0D83">
          <w:rPr>
            <w:noProof/>
            <w:webHidden/>
          </w:rPr>
          <w:tab/>
        </w:r>
        <w:r w:rsidR="00EE0D83">
          <w:rPr>
            <w:noProof/>
            <w:webHidden/>
          </w:rPr>
          <w:fldChar w:fldCharType="begin"/>
        </w:r>
        <w:r w:rsidR="00EE0D83">
          <w:rPr>
            <w:noProof/>
            <w:webHidden/>
          </w:rPr>
          <w:instrText xml:space="preserve"> PAGEREF _Toc455388122 \h </w:instrText>
        </w:r>
        <w:r w:rsidR="00EE0D83">
          <w:rPr>
            <w:noProof/>
            <w:webHidden/>
          </w:rPr>
        </w:r>
        <w:r w:rsidR="00EE0D83">
          <w:rPr>
            <w:noProof/>
            <w:webHidden/>
          </w:rPr>
          <w:fldChar w:fldCharType="separate"/>
        </w:r>
        <w:r w:rsidR="00EE0D83">
          <w:rPr>
            <w:noProof/>
            <w:webHidden/>
          </w:rPr>
          <w:t>194</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23"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15</w:t>
        </w:r>
        <w:r w:rsidR="00EE0D83">
          <w:rPr>
            <w:rFonts w:eastAsiaTheme="minorEastAsia" w:cstheme="minorBidi"/>
            <w:noProof/>
            <w:sz w:val="22"/>
            <w:szCs w:val="22"/>
          </w:rPr>
          <w:tab/>
        </w:r>
        <w:r w:rsidR="00EE0D83" w:rsidRPr="00582F03">
          <w:rPr>
            <w:rStyle w:val="Hyperlink"/>
            <w:noProof/>
            <w:lang w:val="ru-RU"/>
          </w:rPr>
          <w:t>ДЕЛОВЫЕ РЕШЕНИЯ ДЛЯ ВЕДОМСТВ ИС</w:t>
        </w:r>
        <w:r w:rsidR="00EE0D83">
          <w:rPr>
            <w:noProof/>
            <w:webHidden/>
          </w:rPr>
          <w:tab/>
        </w:r>
        <w:r w:rsidR="00EE0D83">
          <w:rPr>
            <w:noProof/>
            <w:webHidden/>
          </w:rPr>
          <w:fldChar w:fldCharType="begin"/>
        </w:r>
        <w:r w:rsidR="00EE0D83">
          <w:rPr>
            <w:noProof/>
            <w:webHidden/>
          </w:rPr>
          <w:instrText xml:space="preserve"> PAGEREF _Toc455388123 \h </w:instrText>
        </w:r>
        <w:r w:rsidR="00EE0D83">
          <w:rPr>
            <w:noProof/>
            <w:webHidden/>
          </w:rPr>
        </w:r>
        <w:r w:rsidR="00EE0D83">
          <w:rPr>
            <w:noProof/>
            <w:webHidden/>
          </w:rPr>
          <w:fldChar w:fldCharType="separate"/>
        </w:r>
        <w:r w:rsidR="00EE0D83">
          <w:rPr>
            <w:noProof/>
            <w:webHidden/>
          </w:rPr>
          <w:t>199</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24" w:history="1">
        <w:r w:rsidR="00EE0D83" w:rsidRPr="00582F03">
          <w:rPr>
            <w:rStyle w:val="Hyperlink"/>
            <w:rFonts w:ascii="Arial" w:hAnsi="Arial" w:cs="Arial"/>
            <w:noProof/>
            <w:lang w:val="ru-RU"/>
          </w:rPr>
          <w:t xml:space="preserve">СТРАТЕГИЧЕСКАЯ ЦЕЛЬ </w:t>
        </w:r>
        <w:r w:rsidR="00EE0D83" w:rsidRPr="00582F03">
          <w:rPr>
            <w:rStyle w:val="Hyperlink"/>
            <w:rFonts w:ascii="Arial" w:hAnsi="Arial" w:cs="Arial"/>
            <w:noProof/>
          </w:rPr>
          <w:t>V</w:t>
        </w:r>
        <w:r w:rsidR="00EE0D83">
          <w:rPr>
            <w:noProof/>
            <w:webHidden/>
          </w:rPr>
          <w:tab/>
        </w:r>
        <w:r w:rsidR="00EE0D83">
          <w:rPr>
            <w:noProof/>
            <w:webHidden/>
          </w:rPr>
          <w:fldChar w:fldCharType="begin"/>
        </w:r>
        <w:r w:rsidR="00EE0D83">
          <w:rPr>
            <w:noProof/>
            <w:webHidden/>
          </w:rPr>
          <w:instrText xml:space="preserve"> PAGEREF _Toc455388124 \h </w:instrText>
        </w:r>
        <w:r w:rsidR="00EE0D83">
          <w:rPr>
            <w:noProof/>
            <w:webHidden/>
          </w:rPr>
        </w:r>
        <w:r w:rsidR="00EE0D83">
          <w:rPr>
            <w:noProof/>
            <w:webHidden/>
          </w:rPr>
          <w:fldChar w:fldCharType="separate"/>
        </w:r>
        <w:r w:rsidR="00EE0D83">
          <w:rPr>
            <w:noProof/>
            <w:webHidden/>
          </w:rPr>
          <w:t>204</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25"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16</w:t>
        </w:r>
        <w:r w:rsidR="00EE0D83">
          <w:rPr>
            <w:rFonts w:eastAsiaTheme="minorEastAsia" w:cstheme="minorBidi"/>
            <w:noProof/>
            <w:sz w:val="22"/>
            <w:szCs w:val="22"/>
          </w:rPr>
          <w:tab/>
        </w:r>
        <w:r w:rsidR="00EE0D83" w:rsidRPr="00582F03">
          <w:rPr>
            <w:rStyle w:val="Hyperlink"/>
            <w:noProof/>
            <w:lang w:val="ru-RU"/>
          </w:rPr>
          <w:t>ЭКОНОМИКА И СТАТИСТИКА</w:t>
        </w:r>
        <w:r w:rsidR="00EE0D83">
          <w:rPr>
            <w:noProof/>
            <w:webHidden/>
          </w:rPr>
          <w:tab/>
        </w:r>
        <w:r w:rsidR="00EE0D83">
          <w:rPr>
            <w:noProof/>
            <w:webHidden/>
          </w:rPr>
          <w:fldChar w:fldCharType="begin"/>
        </w:r>
        <w:r w:rsidR="00EE0D83">
          <w:rPr>
            <w:noProof/>
            <w:webHidden/>
          </w:rPr>
          <w:instrText xml:space="preserve"> PAGEREF _Toc455388125 \h </w:instrText>
        </w:r>
        <w:r w:rsidR="00EE0D83">
          <w:rPr>
            <w:noProof/>
            <w:webHidden/>
          </w:rPr>
        </w:r>
        <w:r w:rsidR="00EE0D83">
          <w:rPr>
            <w:noProof/>
            <w:webHidden/>
          </w:rPr>
          <w:fldChar w:fldCharType="separate"/>
        </w:r>
        <w:r w:rsidR="00EE0D83">
          <w:rPr>
            <w:noProof/>
            <w:webHidden/>
          </w:rPr>
          <w:t>205</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26" w:history="1">
        <w:r w:rsidR="00EE0D83" w:rsidRPr="00582F03">
          <w:rPr>
            <w:rStyle w:val="Hyperlink"/>
            <w:rFonts w:ascii="Arial" w:hAnsi="Arial" w:cs="Arial"/>
            <w:noProof/>
            <w:lang w:val="ru-RU"/>
          </w:rPr>
          <w:t xml:space="preserve">СТРАТЕГИЧЕСКАЯ ЦЕЛЬ </w:t>
        </w:r>
        <w:r w:rsidR="00EE0D83" w:rsidRPr="00582F03">
          <w:rPr>
            <w:rStyle w:val="Hyperlink"/>
            <w:rFonts w:ascii="Arial" w:hAnsi="Arial" w:cs="Arial"/>
            <w:noProof/>
          </w:rPr>
          <w:t>VI</w:t>
        </w:r>
        <w:r w:rsidR="00EE0D83">
          <w:rPr>
            <w:noProof/>
            <w:webHidden/>
          </w:rPr>
          <w:tab/>
        </w:r>
        <w:r w:rsidR="00EE0D83">
          <w:rPr>
            <w:noProof/>
            <w:webHidden/>
          </w:rPr>
          <w:fldChar w:fldCharType="begin"/>
        </w:r>
        <w:r w:rsidR="00EE0D83">
          <w:rPr>
            <w:noProof/>
            <w:webHidden/>
          </w:rPr>
          <w:instrText xml:space="preserve"> PAGEREF _Toc455388126 \h </w:instrText>
        </w:r>
        <w:r w:rsidR="00EE0D83">
          <w:rPr>
            <w:noProof/>
            <w:webHidden/>
          </w:rPr>
        </w:r>
        <w:r w:rsidR="00EE0D83">
          <w:rPr>
            <w:noProof/>
            <w:webHidden/>
          </w:rPr>
          <w:fldChar w:fldCharType="separate"/>
        </w:r>
        <w:r w:rsidR="00EE0D83">
          <w:rPr>
            <w:noProof/>
            <w:webHidden/>
          </w:rPr>
          <w:t>210</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27" w:history="1">
        <w:r w:rsidR="00EE0D83" w:rsidRPr="00582F03">
          <w:rPr>
            <w:rStyle w:val="Hyperlink"/>
            <w:noProof/>
            <w:lang w:val="ru-RU"/>
          </w:rPr>
          <w:t>ПРОГРАММА 17</w:t>
        </w:r>
        <w:r w:rsidR="00EE0D83">
          <w:rPr>
            <w:rFonts w:eastAsiaTheme="minorEastAsia" w:cstheme="minorBidi"/>
            <w:noProof/>
            <w:sz w:val="22"/>
            <w:szCs w:val="22"/>
          </w:rPr>
          <w:tab/>
        </w:r>
        <w:r w:rsidR="00EE0D83" w:rsidRPr="00582F03">
          <w:rPr>
            <w:rStyle w:val="Hyperlink"/>
            <w:noProof/>
            <w:lang w:val="ru-RU"/>
          </w:rPr>
          <w:t>ОБЕСПЕЧЕНИЕ УВАЖЕНИЯ ИС</w:t>
        </w:r>
        <w:r w:rsidR="00EE0D83">
          <w:rPr>
            <w:noProof/>
            <w:webHidden/>
          </w:rPr>
          <w:tab/>
        </w:r>
        <w:r w:rsidR="00EE0D83">
          <w:rPr>
            <w:noProof/>
            <w:webHidden/>
          </w:rPr>
          <w:fldChar w:fldCharType="begin"/>
        </w:r>
        <w:r w:rsidR="00EE0D83">
          <w:rPr>
            <w:noProof/>
            <w:webHidden/>
          </w:rPr>
          <w:instrText xml:space="preserve"> PAGEREF _Toc455388127 \h </w:instrText>
        </w:r>
        <w:r w:rsidR="00EE0D83">
          <w:rPr>
            <w:noProof/>
            <w:webHidden/>
          </w:rPr>
        </w:r>
        <w:r w:rsidR="00EE0D83">
          <w:rPr>
            <w:noProof/>
            <w:webHidden/>
          </w:rPr>
          <w:fldChar w:fldCharType="separate"/>
        </w:r>
        <w:r w:rsidR="00EE0D83">
          <w:rPr>
            <w:noProof/>
            <w:webHidden/>
          </w:rPr>
          <w:t>211</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28" w:history="1">
        <w:r w:rsidR="00EE0D83" w:rsidRPr="00EE0D83">
          <w:rPr>
            <w:rStyle w:val="Hyperlink"/>
            <w:rFonts w:ascii="Arial" w:hAnsi="Arial" w:cs="Arial"/>
            <w:noProof/>
            <w:lang w:val="ru-RU"/>
          </w:rPr>
          <w:t xml:space="preserve">СТРАТЕГИЧЕСКАЯ ЦЕЛЬ </w:t>
        </w:r>
        <w:r w:rsidR="00EE0D83" w:rsidRPr="00EE0D83">
          <w:rPr>
            <w:rStyle w:val="Hyperlink"/>
            <w:rFonts w:ascii="Arial" w:hAnsi="Arial" w:cs="Arial"/>
            <w:noProof/>
          </w:rPr>
          <w:t>VII</w:t>
        </w:r>
        <w:r w:rsidR="00EE0D83">
          <w:rPr>
            <w:noProof/>
            <w:webHidden/>
          </w:rPr>
          <w:tab/>
        </w:r>
        <w:r w:rsidR="00EE0D83">
          <w:rPr>
            <w:noProof/>
            <w:webHidden/>
          </w:rPr>
          <w:fldChar w:fldCharType="begin"/>
        </w:r>
        <w:r w:rsidR="00EE0D83">
          <w:rPr>
            <w:noProof/>
            <w:webHidden/>
          </w:rPr>
          <w:instrText xml:space="preserve"> PAGEREF _Toc455388128 \h </w:instrText>
        </w:r>
        <w:r w:rsidR="00EE0D83">
          <w:rPr>
            <w:noProof/>
            <w:webHidden/>
          </w:rPr>
        </w:r>
        <w:r w:rsidR="00EE0D83">
          <w:rPr>
            <w:noProof/>
            <w:webHidden/>
          </w:rPr>
          <w:fldChar w:fldCharType="separate"/>
        </w:r>
        <w:r w:rsidR="00EE0D83">
          <w:rPr>
            <w:noProof/>
            <w:webHidden/>
          </w:rPr>
          <w:t>217</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29" w:history="1">
        <w:r w:rsidR="00EE0D83" w:rsidRPr="00582F03">
          <w:rPr>
            <w:rStyle w:val="Hyperlink"/>
            <w:noProof/>
            <w:lang w:val="ru-RU"/>
          </w:rPr>
          <w:t>ПРОГРАММА 18</w:t>
        </w:r>
        <w:r w:rsidR="00EE0D83">
          <w:rPr>
            <w:rFonts w:eastAsiaTheme="minorEastAsia" w:cstheme="minorBidi"/>
            <w:noProof/>
            <w:sz w:val="22"/>
            <w:szCs w:val="22"/>
          </w:rPr>
          <w:tab/>
        </w:r>
        <w:r w:rsidR="00EE0D83" w:rsidRPr="00582F03">
          <w:rPr>
            <w:rStyle w:val="Hyperlink"/>
            <w:noProof/>
            <w:lang w:val="ru-RU"/>
          </w:rPr>
          <w:t>ИС И ГЛОБАЛЬНЫЕ ЗАДАЧИ</w:t>
        </w:r>
        <w:r w:rsidR="00EE0D83">
          <w:rPr>
            <w:noProof/>
            <w:webHidden/>
          </w:rPr>
          <w:tab/>
        </w:r>
        <w:r w:rsidR="00EE0D83">
          <w:rPr>
            <w:noProof/>
            <w:webHidden/>
          </w:rPr>
          <w:fldChar w:fldCharType="begin"/>
        </w:r>
        <w:r w:rsidR="00EE0D83">
          <w:rPr>
            <w:noProof/>
            <w:webHidden/>
          </w:rPr>
          <w:instrText xml:space="preserve"> PAGEREF _Toc455388129 \h </w:instrText>
        </w:r>
        <w:r w:rsidR="00EE0D83">
          <w:rPr>
            <w:noProof/>
            <w:webHidden/>
          </w:rPr>
        </w:r>
        <w:r w:rsidR="00EE0D83">
          <w:rPr>
            <w:noProof/>
            <w:webHidden/>
          </w:rPr>
          <w:fldChar w:fldCharType="separate"/>
        </w:r>
        <w:r w:rsidR="00EE0D83">
          <w:rPr>
            <w:noProof/>
            <w:webHidden/>
          </w:rPr>
          <w:t>219</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30" w:history="1">
        <w:r w:rsidR="00EE0D83" w:rsidRPr="00582F03">
          <w:rPr>
            <w:rStyle w:val="Hyperlink"/>
            <w:rFonts w:ascii="Arial" w:hAnsi="Arial" w:cs="Arial"/>
            <w:noProof/>
            <w:lang w:val="ru-RU"/>
          </w:rPr>
          <w:t xml:space="preserve">СТРАТЕГИЧЕСКАЯ ЦЕЛЬ </w:t>
        </w:r>
        <w:r w:rsidR="00EE0D83" w:rsidRPr="00582F03">
          <w:rPr>
            <w:rStyle w:val="Hyperlink"/>
            <w:rFonts w:ascii="Arial" w:hAnsi="Arial" w:cs="Arial"/>
            <w:noProof/>
          </w:rPr>
          <w:t>VIII</w:t>
        </w:r>
        <w:r w:rsidR="00EE0D83">
          <w:rPr>
            <w:noProof/>
            <w:webHidden/>
          </w:rPr>
          <w:tab/>
        </w:r>
        <w:r w:rsidR="00EE0D83">
          <w:rPr>
            <w:noProof/>
            <w:webHidden/>
          </w:rPr>
          <w:fldChar w:fldCharType="begin"/>
        </w:r>
        <w:r w:rsidR="00EE0D83">
          <w:rPr>
            <w:noProof/>
            <w:webHidden/>
          </w:rPr>
          <w:instrText xml:space="preserve"> PAGEREF _Toc455388130 \h </w:instrText>
        </w:r>
        <w:r w:rsidR="00EE0D83">
          <w:rPr>
            <w:noProof/>
            <w:webHidden/>
          </w:rPr>
        </w:r>
        <w:r w:rsidR="00EE0D83">
          <w:rPr>
            <w:noProof/>
            <w:webHidden/>
          </w:rPr>
          <w:fldChar w:fldCharType="separate"/>
        </w:r>
        <w:r w:rsidR="00EE0D83">
          <w:rPr>
            <w:noProof/>
            <w:webHidden/>
          </w:rPr>
          <w:t>227</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31" w:history="1">
        <w:r w:rsidR="00EE0D83" w:rsidRPr="00582F03">
          <w:rPr>
            <w:rStyle w:val="Hyperlink"/>
            <w:noProof/>
            <w:lang w:val="ru-RU"/>
          </w:rPr>
          <w:t>ПРОГРАММА 19</w:t>
        </w:r>
        <w:r w:rsidR="00EE0D83">
          <w:rPr>
            <w:rFonts w:eastAsiaTheme="minorEastAsia" w:cstheme="minorBidi"/>
            <w:noProof/>
            <w:sz w:val="22"/>
            <w:szCs w:val="22"/>
          </w:rPr>
          <w:tab/>
        </w:r>
        <w:r w:rsidR="00EE0D83" w:rsidRPr="00582F03">
          <w:rPr>
            <w:rStyle w:val="Hyperlink"/>
            <w:noProof/>
            <w:lang w:val="ru-RU"/>
          </w:rPr>
          <w:t>КОММУНИКАЦИЯ</w:t>
        </w:r>
        <w:r w:rsidR="00EE0D83">
          <w:rPr>
            <w:noProof/>
            <w:webHidden/>
          </w:rPr>
          <w:tab/>
        </w:r>
        <w:r w:rsidR="00EE0D83">
          <w:rPr>
            <w:noProof/>
            <w:webHidden/>
          </w:rPr>
          <w:fldChar w:fldCharType="begin"/>
        </w:r>
        <w:r w:rsidR="00EE0D83">
          <w:rPr>
            <w:noProof/>
            <w:webHidden/>
          </w:rPr>
          <w:instrText xml:space="preserve"> PAGEREF _Toc455388131 \h </w:instrText>
        </w:r>
        <w:r w:rsidR="00EE0D83">
          <w:rPr>
            <w:noProof/>
            <w:webHidden/>
          </w:rPr>
        </w:r>
        <w:r w:rsidR="00EE0D83">
          <w:rPr>
            <w:noProof/>
            <w:webHidden/>
          </w:rPr>
          <w:fldChar w:fldCharType="separate"/>
        </w:r>
        <w:r w:rsidR="00EE0D83">
          <w:rPr>
            <w:noProof/>
            <w:webHidden/>
          </w:rPr>
          <w:t>230</w:t>
        </w:r>
        <w:r w:rsidR="00EE0D83">
          <w:rPr>
            <w:noProof/>
            <w:webHidden/>
          </w:rPr>
          <w:fldChar w:fldCharType="end"/>
        </w:r>
      </w:hyperlink>
    </w:p>
    <w:p w:rsidR="00EE0D83" w:rsidRPr="00EE0D83" w:rsidRDefault="005C6ABD" w:rsidP="00EE0D83">
      <w:pPr>
        <w:pStyle w:val="TOC2"/>
        <w:rPr>
          <w:rFonts w:ascii="Arial" w:eastAsiaTheme="minorEastAsia" w:hAnsi="Arial" w:cs="Arial"/>
          <w:noProof/>
          <w:sz w:val="22"/>
          <w:szCs w:val="22"/>
        </w:rPr>
      </w:pPr>
      <w:hyperlink w:anchor="_Toc455388132" w:history="1">
        <w:r w:rsidR="00EE0D83" w:rsidRPr="00EE0D83">
          <w:rPr>
            <w:rStyle w:val="Hyperlink"/>
            <w:rFonts w:ascii="Arial" w:hAnsi="Arial" w:cs="Arial"/>
            <w:noProof/>
            <w:lang w:val="ru-RU"/>
          </w:rPr>
          <w:t xml:space="preserve">СТРАТЕГИЧЕСКАЯ ЦЕЛЬ </w:t>
        </w:r>
        <w:r w:rsidR="00EE0D83" w:rsidRPr="00EE0D83">
          <w:rPr>
            <w:rStyle w:val="Hyperlink"/>
            <w:rFonts w:ascii="Arial" w:hAnsi="Arial" w:cs="Arial"/>
            <w:noProof/>
          </w:rPr>
          <w:t>IX</w:t>
        </w:r>
        <w:r w:rsidR="00EE0D83" w:rsidRPr="00EE0D83">
          <w:rPr>
            <w:rFonts w:ascii="Arial" w:hAnsi="Arial" w:cs="Arial"/>
            <w:noProof/>
            <w:webHidden/>
            <w:sz w:val="22"/>
            <w:szCs w:val="22"/>
          </w:rPr>
          <w:tab/>
        </w:r>
        <w:r w:rsidR="00EE0D83" w:rsidRPr="00EE0D83">
          <w:rPr>
            <w:rFonts w:ascii="Arial" w:hAnsi="Arial" w:cs="Arial"/>
            <w:noProof/>
            <w:webHidden/>
            <w:sz w:val="22"/>
            <w:szCs w:val="22"/>
          </w:rPr>
          <w:fldChar w:fldCharType="begin"/>
        </w:r>
        <w:r w:rsidR="00EE0D83" w:rsidRPr="00EE0D83">
          <w:rPr>
            <w:rFonts w:ascii="Arial" w:hAnsi="Arial" w:cs="Arial"/>
            <w:noProof/>
            <w:webHidden/>
            <w:sz w:val="22"/>
            <w:szCs w:val="22"/>
          </w:rPr>
          <w:instrText xml:space="preserve"> PAGEREF _Toc455388132 \h </w:instrText>
        </w:r>
        <w:r w:rsidR="00EE0D83" w:rsidRPr="00EE0D83">
          <w:rPr>
            <w:rFonts w:ascii="Arial" w:hAnsi="Arial" w:cs="Arial"/>
            <w:noProof/>
            <w:webHidden/>
            <w:sz w:val="22"/>
            <w:szCs w:val="22"/>
          </w:rPr>
        </w:r>
        <w:r w:rsidR="00EE0D83" w:rsidRPr="00EE0D83">
          <w:rPr>
            <w:rFonts w:ascii="Arial" w:hAnsi="Arial" w:cs="Arial"/>
            <w:noProof/>
            <w:webHidden/>
            <w:sz w:val="22"/>
            <w:szCs w:val="22"/>
          </w:rPr>
          <w:fldChar w:fldCharType="separate"/>
        </w:r>
        <w:r w:rsidR="00EE0D83" w:rsidRPr="00EE0D83">
          <w:rPr>
            <w:rFonts w:ascii="Arial" w:hAnsi="Arial" w:cs="Arial"/>
            <w:noProof/>
            <w:webHidden/>
            <w:sz w:val="22"/>
            <w:szCs w:val="22"/>
          </w:rPr>
          <w:t>256</w:t>
        </w:r>
        <w:r w:rsidR="00EE0D83" w:rsidRPr="00EE0D83">
          <w:rPr>
            <w:rFonts w:ascii="Arial" w:hAnsi="Arial" w:cs="Arial"/>
            <w:noProof/>
            <w:webHidden/>
            <w:sz w:val="22"/>
            <w:szCs w:val="22"/>
          </w:rPr>
          <w:fldChar w:fldCharType="end"/>
        </w:r>
      </w:hyperlink>
    </w:p>
    <w:p w:rsidR="00EE0D83" w:rsidRDefault="005C6ABD" w:rsidP="00EE0D83">
      <w:pPr>
        <w:pStyle w:val="TOC2"/>
        <w:rPr>
          <w:rFonts w:eastAsiaTheme="minorEastAsia" w:cstheme="minorBidi"/>
          <w:noProof/>
          <w:sz w:val="22"/>
          <w:szCs w:val="22"/>
        </w:rPr>
      </w:pPr>
      <w:hyperlink w:anchor="_Toc455388133"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21</w:t>
        </w:r>
        <w:r w:rsidR="00EE0D83">
          <w:rPr>
            <w:rFonts w:eastAsiaTheme="minorEastAsia" w:cstheme="minorBidi"/>
            <w:noProof/>
            <w:sz w:val="22"/>
            <w:szCs w:val="22"/>
          </w:rPr>
          <w:tab/>
        </w:r>
        <w:r w:rsidR="00EE0D83" w:rsidRPr="00582F03">
          <w:rPr>
            <w:rStyle w:val="Hyperlink"/>
            <w:noProof/>
            <w:lang w:val="ru-RU"/>
          </w:rPr>
          <w:t>ИСПОЛНИТЕЛЬНОЕ РУКОВОДСТВО</w:t>
        </w:r>
        <w:r w:rsidR="00EE0D83">
          <w:rPr>
            <w:noProof/>
            <w:webHidden/>
          </w:rPr>
          <w:tab/>
        </w:r>
        <w:r w:rsidR="00EE0D83">
          <w:rPr>
            <w:noProof/>
            <w:webHidden/>
          </w:rPr>
          <w:fldChar w:fldCharType="begin"/>
        </w:r>
        <w:r w:rsidR="00EE0D83">
          <w:rPr>
            <w:noProof/>
            <w:webHidden/>
          </w:rPr>
          <w:instrText xml:space="preserve"> PAGEREF _Toc455388133 \h </w:instrText>
        </w:r>
        <w:r w:rsidR="00EE0D83">
          <w:rPr>
            <w:noProof/>
            <w:webHidden/>
          </w:rPr>
        </w:r>
        <w:r w:rsidR="00EE0D83">
          <w:rPr>
            <w:noProof/>
            <w:webHidden/>
          </w:rPr>
          <w:fldChar w:fldCharType="separate"/>
        </w:r>
        <w:r w:rsidR="00EE0D83">
          <w:rPr>
            <w:noProof/>
            <w:webHidden/>
          </w:rPr>
          <w:t>261</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34" w:history="1">
        <w:r w:rsidR="00EE0D83" w:rsidRPr="00582F03">
          <w:rPr>
            <w:rStyle w:val="Hyperlink"/>
            <w:noProof/>
            <w:lang w:val="ru-RU"/>
          </w:rPr>
          <w:t>ПРОГРАММА 22</w:t>
        </w:r>
        <w:r w:rsidR="00EE0D83">
          <w:rPr>
            <w:rFonts w:eastAsiaTheme="minorEastAsia" w:cstheme="minorBidi"/>
            <w:noProof/>
            <w:sz w:val="22"/>
            <w:szCs w:val="22"/>
          </w:rPr>
          <w:tab/>
        </w:r>
        <w:r w:rsidR="00EE0D83" w:rsidRPr="00582F03">
          <w:rPr>
            <w:rStyle w:val="Hyperlink"/>
            <w:noProof/>
            <w:lang w:val="ru-RU"/>
          </w:rPr>
          <w:t>УПРАВЛЕНИЕ ПРОГРАММАМИ И РЕСУРСАМИ</w:t>
        </w:r>
        <w:r w:rsidR="00EE0D83">
          <w:rPr>
            <w:noProof/>
            <w:webHidden/>
          </w:rPr>
          <w:tab/>
        </w:r>
        <w:r w:rsidR="00EE0D83">
          <w:rPr>
            <w:noProof/>
            <w:webHidden/>
          </w:rPr>
          <w:fldChar w:fldCharType="begin"/>
        </w:r>
        <w:r w:rsidR="00EE0D83">
          <w:rPr>
            <w:noProof/>
            <w:webHidden/>
          </w:rPr>
          <w:instrText xml:space="preserve"> PAGEREF _Toc455388134 \h </w:instrText>
        </w:r>
        <w:r w:rsidR="00EE0D83">
          <w:rPr>
            <w:noProof/>
            <w:webHidden/>
          </w:rPr>
        </w:r>
        <w:r w:rsidR="00EE0D83">
          <w:rPr>
            <w:noProof/>
            <w:webHidden/>
          </w:rPr>
          <w:fldChar w:fldCharType="separate"/>
        </w:r>
        <w:r w:rsidR="00EE0D83">
          <w:rPr>
            <w:noProof/>
            <w:webHidden/>
          </w:rPr>
          <w:t>269</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35"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23</w:t>
        </w:r>
        <w:r w:rsidR="00EE0D83">
          <w:rPr>
            <w:rFonts w:eastAsiaTheme="minorEastAsia" w:cstheme="minorBidi"/>
            <w:noProof/>
            <w:sz w:val="22"/>
            <w:szCs w:val="22"/>
          </w:rPr>
          <w:tab/>
        </w:r>
        <w:r w:rsidR="00EE0D83" w:rsidRPr="00582F03">
          <w:rPr>
            <w:rStyle w:val="Hyperlink"/>
            <w:noProof/>
            <w:lang w:val="ru-RU"/>
          </w:rPr>
          <w:t xml:space="preserve"> УПРАВЛЕНИЕ ЛЮДСКИМИ РЕСУРСАМИ И ИХ РАЗВИТИЕ</w:t>
        </w:r>
        <w:r w:rsidR="00EE0D83">
          <w:rPr>
            <w:noProof/>
            <w:webHidden/>
          </w:rPr>
          <w:tab/>
        </w:r>
        <w:r w:rsidR="00EE0D83">
          <w:rPr>
            <w:noProof/>
            <w:webHidden/>
          </w:rPr>
          <w:fldChar w:fldCharType="begin"/>
        </w:r>
        <w:r w:rsidR="00EE0D83">
          <w:rPr>
            <w:noProof/>
            <w:webHidden/>
          </w:rPr>
          <w:instrText xml:space="preserve"> PAGEREF _Toc455388135 \h </w:instrText>
        </w:r>
        <w:r w:rsidR="00EE0D83">
          <w:rPr>
            <w:noProof/>
            <w:webHidden/>
          </w:rPr>
        </w:r>
        <w:r w:rsidR="00EE0D83">
          <w:rPr>
            <w:noProof/>
            <w:webHidden/>
          </w:rPr>
          <w:fldChar w:fldCharType="separate"/>
        </w:r>
        <w:r w:rsidR="00EE0D83">
          <w:rPr>
            <w:noProof/>
            <w:webHidden/>
          </w:rPr>
          <w:t>278</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36"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24:</w:t>
        </w:r>
        <w:r w:rsidR="00EE0D83">
          <w:rPr>
            <w:rFonts w:eastAsiaTheme="minorEastAsia" w:cstheme="minorBidi"/>
            <w:noProof/>
            <w:sz w:val="22"/>
            <w:szCs w:val="22"/>
          </w:rPr>
          <w:tab/>
        </w:r>
        <w:r w:rsidR="00EE0D83" w:rsidRPr="00582F03">
          <w:rPr>
            <w:rStyle w:val="Hyperlink"/>
            <w:noProof/>
            <w:lang w:val="ru-RU"/>
          </w:rPr>
          <w:t>СЛУЖБЫ АДМИНИСТРАТИВНОЙ ПОДДЕРЖКИ</w:t>
        </w:r>
        <w:r w:rsidR="00EE0D83">
          <w:rPr>
            <w:noProof/>
            <w:webHidden/>
          </w:rPr>
          <w:tab/>
        </w:r>
        <w:r w:rsidR="00EE0D83">
          <w:rPr>
            <w:noProof/>
            <w:webHidden/>
          </w:rPr>
          <w:fldChar w:fldCharType="begin"/>
        </w:r>
        <w:r w:rsidR="00EE0D83">
          <w:rPr>
            <w:noProof/>
            <w:webHidden/>
          </w:rPr>
          <w:instrText xml:space="preserve"> PAGEREF _Toc455388136 \h </w:instrText>
        </w:r>
        <w:r w:rsidR="00EE0D83">
          <w:rPr>
            <w:noProof/>
            <w:webHidden/>
          </w:rPr>
        </w:r>
        <w:r w:rsidR="00EE0D83">
          <w:rPr>
            <w:noProof/>
            <w:webHidden/>
          </w:rPr>
          <w:fldChar w:fldCharType="separate"/>
        </w:r>
        <w:r w:rsidR="00EE0D83">
          <w:rPr>
            <w:noProof/>
            <w:webHidden/>
          </w:rPr>
          <w:t>286</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37" w:history="1">
        <w:r w:rsidR="00EE0D83" w:rsidRPr="00582F03">
          <w:rPr>
            <w:rStyle w:val="Hyperlink"/>
            <w:noProof/>
            <w:lang w:val="ru-RU"/>
          </w:rPr>
          <w:t>ПРОГРАММА 25</w:t>
        </w:r>
        <w:r w:rsidR="00EE0D83">
          <w:rPr>
            <w:rFonts w:eastAsiaTheme="minorEastAsia" w:cstheme="minorBidi"/>
            <w:noProof/>
            <w:sz w:val="22"/>
            <w:szCs w:val="22"/>
          </w:rPr>
          <w:tab/>
        </w:r>
        <w:r w:rsidR="00EE0D83" w:rsidRPr="00582F03">
          <w:rPr>
            <w:rStyle w:val="Hyperlink"/>
            <w:noProof/>
            <w:lang w:val="ru-RU"/>
          </w:rPr>
          <w:t>ИНФОРМАЦИОННЫЕ И КОММУНИКАЦИОННЫЕ ТЕХНОЛОГИИ</w:t>
        </w:r>
        <w:r w:rsidR="00EE0D83">
          <w:rPr>
            <w:noProof/>
            <w:webHidden/>
          </w:rPr>
          <w:tab/>
        </w:r>
        <w:r w:rsidR="00EE0D83">
          <w:rPr>
            <w:noProof/>
            <w:webHidden/>
          </w:rPr>
          <w:fldChar w:fldCharType="begin"/>
        </w:r>
        <w:r w:rsidR="00EE0D83">
          <w:rPr>
            <w:noProof/>
            <w:webHidden/>
          </w:rPr>
          <w:instrText xml:space="preserve"> PAGEREF _Toc455388137 \h </w:instrText>
        </w:r>
        <w:r w:rsidR="00EE0D83">
          <w:rPr>
            <w:noProof/>
            <w:webHidden/>
          </w:rPr>
        </w:r>
        <w:r w:rsidR="00EE0D83">
          <w:rPr>
            <w:noProof/>
            <w:webHidden/>
          </w:rPr>
          <w:fldChar w:fldCharType="separate"/>
        </w:r>
        <w:r w:rsidR="00EE0D83">
          <w:rPr>
            <w:noProof/>
            <w:webHidden/>
          </w:rPr>
          <w:t>296</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38" w:history="1">
        <w:r w:rsidR="00EE0D83" w:rsidRPr="00582F03">
          <w:rPr>
            <w:rStyle w:val="Hyperlink"/>
            <w:noProof/>
            <w:lang w:val="ru-RU"/>
          </w:rPr>
          <w:t>ПРОГРАММА</w:t>
        </w:r>
        <w:r w:rsidR="00EE0D83" w:rsidRPr="00582F03">
          <w:rPr>
            <w:rStyle w:val="Hyperlink"/>
            <w:noProof/>
          </w:rPr>
          <w:t> </w:t>
        </w:r>
        <w:r w:rsidR="00EE0D83" w:rsidRPr="00582F03">
          <w:rPr>
            <w:rStyle w:val="Hyperlink"/>
            <w:noProof/>
            <w:lang w:val="ru-RU"/>
          </w:rPr>
          <w:t>26</w:t>
        </w:r>
        <w:r w:rsidR="00EE0D83">
          <w:rPr>
            <w:rFonts w:eastAsiaTheme="minorEastAsia" w:cstheme="minorBidi"/>
            <w:noProof/>
            <w:sz w:val="22"/>
            <w:szCs w:val="22"/>
          </w:rPr>
          <w:tab/>
        </w:r>
        <w:r w:rsidR="00EE0D83" w:rsidRPr="00582F03">
          <w:rPr>
            <w:rStyle w:val="Hyperlink"/>
            <w:noProof/>
            <w:lang w:val="ru-RU"/>
          </w:rPr>
          <w:t>ВНУТРЕННИЙ АУДИТ И НАДЗОР</w:t>
        </w:r>
        <w:r w:rsidR="00EE0D83">
          <w:rPr>
            <w:noProof/>
            <w:webHidden/>
          </w:rPr>
          <w:tab/>
        </w:r>
        <w:r w:rsidR="00EE0D83">
          <w:rPr>
            <w:noProof/>
            <w:webHidden/>
          </w:rPr>
          <w:fldChar w:fldCharType="begin"/>
        </w:r>
        <w:r w:rsidR="00EE0D83">
          <w:rPr>
            <w:noProof/>
            <w:webHidden/>
          </w:rPr>
          <w:instrText xml:space="preserve"> PAGEREF _Toc455388138 \h </w:instrText>
        </w:r>
        <w:r w:rsidR="00EE0D83">
          <w:rPr>
            <w:noProof/>
            <w:webHidden/>
          </w:rPr>
        </w:r>
        <w:r w:rsidR="00EE0D83">
          <w:rPr>
            <w:noProof/>
            <w:webHidden/>
          </w:rPr>
          <w:fldChar w:fldCharType="separate"/>
        </w:r>
        <w:r w:rsidR="00EE0D83">
          <w:rPr>
            <w:noProof/>
            <w:webHidden/>
          </w:rPr>
          <w:t>303</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39" w:history="1">
        <w:r w:rsidR="00EE0D83" w:rsidRPr="00582F03">
          <w:rPr>
            <w:rStyle w:val="Hyperlink"/>
            <w:noProof/>
            <w:lang w:val="ru-RU"/>
          </w:rPr>
          <w:t>ПРОГРАММА 27</w:t>
        </w:r>
        <w:r w:rsidR="00EE0D83">
          <w:rPr>
            <w:rFonts w:eastAsiaTheme="minorEastAsia" w:cstheme="minorBidi"/>
            <w:noProof/>
            <w:sz w:val="22"/>
            <w:szCs w:val="22"/>
          </w:rPr>
          <w:tab/>
        </w:r>
        <w:r w:rsidR="00EE0D83" w:rsidRPr="00582F03">
          <w:rPr>
            <w:rStyle w:val="Hyperlink"/>
            <w:noProof/>
            <w:lang w:val="ru-RU"/>
          </w:rPr>
          <w:t>КОНФЕРЕНЦИОННАЯ И ЛИНГВИСТИЧЕСКАЯ СЛУЖБЫ</w:t>
        </w:r>
        <w:r w:rsidR="00EE0D83">
          <w:rPr>
            <w:noProof/>
            <w:webHidden/>
          </w:rPr>
          <w:tab/>
        </w:r>
        <w:r w:rsidR="00EE0D83">
          <w:rPr>
            <w:noProof/>
            <w:webHidden/>
          </w:rPr>
          <w:fldChar w:fldCharType="begin"/>
        </w:r>
        <w:r w:rsidR="00EE0D83">
          <w:rPr>
            <w:noProof/>
            <w:webHidden/>
          </w:rPr>
          <w:instrText xml:space="preserve"> PAGEREF _Toc455388139 \h </w:instrText>
        </w:r>
        <w:r w:rsidR="00EE0D83">
          <w:rPr>
            <w:noProof/>
            <w:webHidden/>
          </w:rPr>
        </w:r>
        <w:r w:rsidR="00EE0D83">
          <w:rPr>
            <w:noProof/>
            <w:webHidden/>
          </w:rPr>
          <w:fldChar w:fldCharType="separate"/>
        </w:r>
        <w:r w:rsidR="00EE0D83">
          <w:rPr>
            <w:noProof/>
            <w:webHidden/>
          </w:rPr>
          <w:t>308</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40" w:history="1">
        <w:r w:rsidR="00EE0D83" w:rsidRPr="00582F03">
          <w:rPr>
            <w:rStyle w:val="Hyperlink"/>
            <w:noProof/>
            <w:lang w:val="ru-RU"/>
          </w:rPr>
          <w:t>ПРОГРАММА 28</w:t>
        </w:r>
        <w:r w:rsidR="00EE0D83">
          <w:rPr>
            <w:rFonts w:eastAsiaTheme="minorEastAsia" w:cstheme="minorBidi"/>
            <w:noProof/>
            <w:sz w:val="22"/>
            <w:szCs w:val="22"/>
          </w:rPr>
          <w:tab/>
        </w:r>
        <w:r w:rsidR="00EE0D83" w:rsidRPr="00582F03">
          <w:rPr>
            <w:rStyle w:val="Hyperlink"/>
            <w:noProof/>
            <w:lang w:val="ru-RU"/>
          </w:rPr>
          <w:t>ОХРАНА И БЕЗОПАСНОСТЬ</w:t>
        </w:r>
        <w:r w:rsidR="00EE0D83">
          <w:rPr>
            <w:noProof/>
            <w:webHidden/>
          </w:rPr>
          <w:tab/>
        </w:r>
        <w:r w:rsidR="00EE0D83">
          <w:rPr>
            <w:noProof/>
            <w:webHidden/>
          </w:rPr>
          <w:fldChar w:fldCharType="begin"/>
        </w:r>
        <w:r w:rsidR="00EE0D83">
          <w:rPr>
            <w:noProof/>
            <w:webHidden/>
          </w:rPr>
          <w:instrText xml:space="preserve"> PAGEREF _Toc455388140 \h </w:instrText>
        </w:r>
        <w:r w:rsidR="00EE0D83">
          <w:rPr>
            <w:noProof/>
            <w:webHidden/>
          </w:rPr>
        </w:r>
        <w:r w:rsidR="00EE0D83">
          <w:rPr>
            <w:noProof/>
            <w:webHidden/>
          </w:rPr>
          <w:fldChar w:fldCharType="separate"/>
        </w:r>
        <w:r w:rsidR="00EE0D83">
          <w:rPr>
            <w:noProof/>
            <w:webHidden/>
          </w:rPr>
          <w:t>314</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41" w:history="1">
        <w:r w:rsidR="00EE0D83" w:rsidRPr="00582F03">
          <w:rPr>
            <w:rStyle w:val="Hyperlink"/>
            <w:noProof/>
            <w:lang w:val="ru-RU"/>
          </w:rPr>
          <w:t>ПРОГРАММА 29</w:t>
        </w:r>
        <w:r w:rsidR="00EE0D83">
          <w:rPr>
            <w:rFonts w:eastAsiaTheme="minorEastAsia" w:cstheme="minorBidi"/>
            <w:noProof/>
            <w:sz w:val="22"/>
            <w:szCs w:val="22"/>
          </w:rPr>
          <w:tab/>
        </w:r>
        <w:r w:rsidR="00EE0D83" w:rsidRPr="00582F03">
          <w:rPr>
            <w:rStyle w:val="Hyperlink"/>
            <w:noProof/>
            <w:lang w:val="ru-RU"/>
          </w:rPr>
          <w:t>СТРОИТЕЛЬНЫЕ ПРОЕКТЫ</w:t>
        </w:r>
        <w:r w:rsidR="00EE0D83">
          <w:rPr>
            <w:noProof/>
            <w:webHidden/>
          </w:rPr>
          <w:tab/>
        </w:r>
        <w:r w:rsidR="00EE0D83">
          <w:rPr>
            <w:noProof/>
            <w:webHidden/>
          </w:rPr>
          <w:fldChar w:fldCharType="begin"/>
        </w:r>
        <w:r w:rsidR="00EE0D83">
          <w:rPr>
            <w:noProof/>
            <w:webHidden/>
          </w:rPr>
          <w:instrText xml:space="preserve"> PAGEREF _Toc455388141 \h </w:instrText>
        </w:r>
        <w:r w:rsidR="00EE0D83">
          <w:rPr>
            <w:noProof/>
            <w:webHidden/>
          </w:rPr>
        </w:r>
        <w:r w:rsidR="00EE0D83">
          <w:rPr>
            <w:noProof/>
            <w:webHidden/>
          </w:rPr>
          <w:fldChar w:fldCharType="separate"/>
        </w:r>
        <w:r w:rsidR="00EE0D83">
          <w:rPr>
            <w:noProof/>
            <w:webHidden/>
          </w:rPr>
          <w:t>318</w:t>
        </w:r>
        <w:r w:rsidR="00EE0D83">
          <w:rPr>
            <w:noProof/>
            <w:webHidden/>
          </w:rPr>
          <w:fldChar w:fldCharType="end"/>
        </w:r>
      </w:hyperlink>
    </w:p>
    <w:p w:rsidR="00EE0D83" w:rsidRDefault="005C6ABD">
      <w:pPr>
        <w:pStyle w:val="TOC1"/>
        <w:rPr>
          <w:rFonts w:asciiTheme="minorHAnsi" w:eastAsiaTheme="minorEastAsia" w:hAnsiTheme="minorHAnsi" w:cstheme="minorBidi"/>
          <w:b w:val="0"/>
          <w:bCs w:val="0"/>
          <w:caps w:val="0"/>
          <w:sz w:val="22"/>
          <w:szCs w:val="22"/>
        </w:rPr>
      </w:pPr>
      <w:hyperlink w:anchor="_Toc455388142" w:history="1">
        <w:r w:rsidR="00EE0D83" w:rsidRPr="00582F03">
          <w:rPr>
            <w:rStyle w:val="Hyperlink"/>
          </w:rPr>
          <w:t>VII.</w:t>
        </w:r>
        <w:r w:rsidR="00EE0D83">
          <w:rPr>
            <w:rFonts w:asciiTheme="minorHAnsi" w:eastAsiaTheme="minorEastAsia" w:hAnsiTheme="minorHAnsi" w:cstheme="minorBidi"/>
            <w:b w:val="0"/>
            <w:bCs w:val="0"/>
            <w:caps w:val="0"/>
            <w:sz w:val="22"/>
            <w:szCs w:val="22"/>
          </w:rPr>
          <w:tab/>
        </w:r>
        <w:r w:rsidR="00EE0D83" w:rsidRPr="00582F03">
          <w:rPr>
            <w:rStyle w:val="Hyperlink"/>
            <w:lang w:val="ru-RU"/>
          </w:rPr>
          <w:t>ДОПОЛНЕНИЯ</w:t>
        </w:r>
        <w:r w:rsidR="00EE0D83">
          <w:rPr>
            <w:webHidden/>
          </w:rPr>
          <w:tab/>
        </w:r>
        <w:r w:rsidR="00EE0D83">
          <w:rPr>
            <w:webHidden/>
          </w:rPr>
          <w:fldChar w:fldCharType="begin"/>
        </w:r>
        <w:r w:rsidR="00EE0D83">
          <w:rPr>
            <w:webHidden/>
          </w:rPr>
          <w:instrText xml:space="preserve"> PAGEREF _Toc455388142 \h </w:instrText>
        </w:r>
        <w:r w:rsidR="00EE0D83">
          <w:rPr>
            <w:webHidden/>
          </w:rPr>
        </w:r>
        <w:r w:rsidR="00EE0D83">
          <w:rPr>
            <w:webHidden/>
          </w:rPr>
          <w:fldChar w:fldCharType="separate"/>
        </w:r>
        <w:r w:rsidR="00EE0D83">
          <w:rPr>
            <w:webHidden/>
          </w:rPr>
          <w:t>323</w:t>
        </w:r>
        <w:r w:rsidR="00EE0D83">
          <w:rPr>
            <w:webHidden/>
          </w:rPr>
          <w:fldChar w:fldCharType="end"/>
        </w:r>
      </w:hyperlink>
    </w:p>
    <w:p w:rsidR="00EE0D83" w:rsidRDefault="005C6ABD" w:rsidP="00EE0D83">
      <w:pPr>
        <w:pStyle w:val="TOC2"/>
        <w:rPr>
          <w:rFonts w:eastAsiaTheme="minorEastAsia" w:cstheme="minorBidi"/>
          <w:noProof/>
          <w:sz w:val="22"/>
          <w:szCs w:val="22"/>
        </w:rPr>
      </w:pPr>
      <w:hyperlink w:anchor="_Toc455388143" w:history="1">
        <w:r w:rsidR="00EE0D83" w:rsidRPr="00582F03">
          <w:rPr>
            <w:rStyle w:val="Hyperlink"/>
            <w:noProof/>
            <w:lang w:val="ru-RU"/>
          </w:rPr>
          <w:t xml:space="preserve">ДОПОЛНЕНИЕ </w:t>
        </w:r>
        <w:r w:rsidR="00EE0D83" w:rsidRPr="00582F03">
          <w:rPr>
            <w:rStyle w:val="Hyperlink"/>
            <w:noProof/>
          </w:rPr>
          <w:t>I</w:t>
        </w:r>
        <w:r w:rsidR="00EE0D83">
          <w:rPr>
            <w:rStyle w:val="Hyperlink"/>
            <w:noProof/>
          </w:rPr>
          <w:tab/>
        </w:r>
        <w:r w:rsidR="00EE0D83" w:rsidRPr="00582F03">
          <w:rPr>
            <w:rStyle w:val="Hyperlink"/>
            <w:noProof/>
            <w:lang w:val="ru-RU"/>
          </w:rPr>
          <w:t>ОЦЕНКА РЕЗУЛЬТАТИВНОСТИ В РАЗБИВКЕ ПО ПРОГРАММАМ</w:t>
        </w:r>
        <w:r w:rsidR="00EE0D83">
          <w:rPr>
            <w:noProof/>
            <w:webHidden/>
          </w:rPr>
          <w:tab/>
        </w:r>
        <w:r w:rsidR="00EE0D83">
          <w:rPr>
            <w:noProof/>
            <w:webHidden/>
          </w:rPr>
          <w:fldChar w:fldCharType="begin"/>
        </w:r>
        <w:r w:rsidR="00EE0D83">
          <w:rPr>
            <w:noProof/>
            <w:webHidden/>
          </w:rPr>
          <w:instrText xml:space="preserve"> PAGEREF _Toc455388143 \h </w:instrText>
        </w:r>
        <w:r w:rsidR="00EE0D83">
          <w:rPr>
            <w:noProof/>
            <w:webHidden/>
          </w:rPr>
        </w:r>
        <w:r w:rsidR="00EE0D83">
          <w:rPr>
            <w:noProof/>
            <w:webHidden/>
          </w:rPr>
          <w:fldChar w:fldCharType="separate"/>
        </w:r>
        <w:r w:rsidR="00EE0D83">
          <w:rPr>
            <w:noProof/>
            <w:webHidden/>
          </w:rPr>
          <w:t>323</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44" w:history="1">
        <w:r w:rsidR="00EE0D83" w:rsidRPr="00582F03">
          <w:rPr>
            <w:rStyle w:val="Hyperlink"/>
            <w:noProof/>
            <w:lang w:val="ru-RU" w:eastAsia="zh-CN"/>
          </w:rPr>
          <w:t>ДОПОЛНЕНИЕ II</w:t>
        </w:r>
        <w:r w:rsidR="00EE0D83">
          <w:rPr>
            <w:rStyle w:val="Hyperlink"/>
            <w:noProof/>
            <w:lang w:eastAsia="zh-CN"/>
          </w:rPr>
          <w:tab/>
        </w:r>
        <w:r w:rsidR="00EE0D83" w:rsidRPr="00582F03">
          <w:rPr>
            <w:rStyle w:val="Hyperlink"/>
            <w:noProof/>
            <w:lang w:val="ru-RU" w:eastAsia="zh-CN"/>
          </w:rPr>
          <w:t>ИСПОЛЬЗОВАНИЕ ЦЕЛЕВЫХ ФОНДОВ В 2015 Г.</w:t>
        </w:r>
        <w:r w:rsidR="00EE0D83">
          <w:rPr>
            <w:noProof/>
            <w:webHidden/>
          </w:rPr>
          <w:tab/>
        </w:r>
        <w:r w:rsidR="00EE0D83">
          <w:rPr>
            <w:noProof/>
            <w:webHidden/>
          </w:rPr>
          <w:fldChar w:fldCharType="begin"/>
        </w:r>
        <w:r w:rsidR="00EE0D83">
          <w:rPr>
            <w:noProof/>
            <w:webHidden/>
          </w:rPr>
          <w:instrText xml:space="preserve"> PAGEREF _Toc455388144 \h </w:instrText>
        </w:r>
        <w:r w:rsidR="00EE0D83">
          <w:rPr>
            <w:noProof/>
            <w:webHidden/>
          </w:rPr>
        </w:r>
        <w:r w:rsidR="00EE0D83">
          <w:rPr>
            <w:noProof/>
            <w:webHidden/>
          </w:rPr>
          <w:fldChar w:fldCharType="separate"/>
        </w:r>
        <w:r w:rsidR="00EE0D83">
          <w:rPr>
            <w:noProof/>
            <w:webHidden/>
          </w:rPr>
          <w:t>325</w:t>
        </w:r>
        <w:r w:rsidR="00EE0D83">
          <w:rPr>
            <w:noProof/>
            <w:webHidden/>
          </w:rPr>
          <w:fldChar w:fldCharType="end"/>
        </w:r>
      </w:hyperlink>
    </w:p>
    <w:p w:rsidR="00EE0D83" w:rsidRDefault="005C6ABD" w:rsidP="00EE0D83">
      <w:pPr>
        <w:pStyle w:val="TOC2"/>
        <w:rPr>
          <w:rFonts w:eastAsiaTheme="minorEastAsia" w:cstheme="minorBidi"/>
          <w:noProof/>
          <w:sz w:val="22"/>
          <w:szCs w:val="22"/>
        </w:rPr>
      </w:pPr>
      <w:hyperlink w:anchor="_Toc455388145" w:history="1">
        <w:r w:rsidR="00EE0D83" w:rsidRPr="00582F03">
          <w:rPr>
            <w:rStyle w:val="Hyperlink"/>
            <w:noProof/>
            <w:lang w:val="ru-RU"/>
          </w:rPr>
          <w:t xml:space="preserve">ДОПОЛНЕНИЕ </w:t>
        </w:r>
        <w:r w:rsidR="00EE0D83" w:rsidRPr="00582F03">
          <w:rPr>
            <w:rStyle w:val="Hyperlink"/>
            <w:noProof/>
          </w:rPr>
          <w:t>III</w:t>
        </w:r>
        <w:r w:rsidR="00EE0D83">
          <w:rPr>
            <w:rStyle w:val="Hyperlink"/>
            <w:noProof/>
          </w:rPr>
          <w:tab/>
        </w:r>
        <w:r w:rsidR="00EE0D83" w:rsidRPr="00582F03">
          <w:rPr>
            <w:rStyle w:val="Hyperlink"/>
            <w:rFonts w:eastAsia="SimSun"/>
            <w:noProof/>
            <w:lang w:val="ru-RU"/>
          </w:rPr>
          <w:t xml:space="preserve">ОТЧЕТ О ХОДЕ РЕАЛИЗАЦИИ ГЕНЕРАЛЬНОГО ПЛАНА КАПИТАЛЬНОГО </w:t>
        </w:r>
        <w:r w:rsidR="00EE0D83">
          <w:rPr>
            <w:rStyle w:val="Hyperlink"/>
            <w:rFonts w:eastAsia="SimSun"/>
            <w:noProof/>
          </w:rPr>
          <w:br/>
        </w:r>
        <w:r w:rsidR="00EE0D83" w:rsidRPr="00582F03">
          <w:rPr>
            <w:rStyle w:val="Hyperlink"/>
            <w:rFonts w:eastAsia="SimSun"/>
            <w:noProof/>
            <w:lang w:val="ru-RU"/>
          </w:rPr>
          <w:t>РЕМОНТА (ГПКР) В 2014-2015 ГГ.</w:t>
        </w:r>
        <w:r w:rsidR="00EE0D83">
          <w:rPr>
            <w:noProof/>
            <w:webHidden/>
          </w:rPr>
          <w:tab/>
        </w:r>
        <w:r w:rsidR="00EE0D83">
          <w:rPr>
            <w:noProof/>
            <w:webHidden/>
          </w:rPr>
          <w:fldChar w:fldCharType="begin"/>
        </w:r>
        <w:r w:rsidR="00EE0D83">
          <w:rPr>
            <w:noProof/>
            <w:webHidden/>
          </w:rPr>
          <w:instrText xml:space="preserve"> PAGEREF _Toc455388145 \h </w:instrText>
        </w:r>
        <w:r w:rsidR="00EE0D83">
          <w:rPr>
            <w:noProof/>
            <w:webHidden/>
          </w:rPr>
        </w:r>
        <w:r w:rsidR="00EE0D83">
          <w:rPr>
            <w:noProof/>
            <w:webHidden/>
          </w:rPr>
          <w:fldChar w:fldCharType="separate"/>
        </w:r>
        <w:r w:rsidR="00EE0D83">
          <w:rPr>
            <w:noProof/>
            <w:webHidden/>
          </w:rPr>
          <w:t>355</w:t>
        </w:r>
        <w:r w:rsidR="00EE0D83">
          <w:rPr>
            <w:noProof/>
            <w:webHidden/>
          </w:rPr>
          <w:fldChar w:fldCharType="end"/>
        </w:r>
      </w:hyperlink>
    </w:p>
    <w:p w:rsidR="00EE0D83" w:rsidRDefault="005C6ABD">
      <w:pPr>
        <w:pStyle w:val="TOC3"/>
        <w:rPr>
          <w:rFonts w:eastAsiaTheme="minorEastAsia" w:cstheme="minorBidi"/>
          <w:i w:val="0"/>
          <w:iCs w:val="0"/>
          <w:sz w:val="22"/>
          <w:szCs w:val="22"/>
          <w:lang w:val="en-US"/>
        </w:rPr>
      </w:pPr>
      <w:hyperlink w:anchor="_Toc455388146" w:history="1">
        <w:r w:rsidR="00EE0D83" w:rsidRPr="00EE0D83">
          <w:rPr>
            <w:rStyle w:val="Hyperlink"/>
          </w:rPr>
          <w:t>ПРОЕКТ 1:</w:t>
        </w:r>
        <w:r w:rsidR="00EE0D83" w:rsidRPr="00EE0D83">
          <w:rPr>
            <w:rFonts w:eastAsiaTheme="minorEastAsia" w:cstheme="minorBidi"/>
            <w:i w:val="0"/>
            <w:iCs w:val="0"/>
            <w:sz w:val="22"/>
            <w:szCs w:val="22"/>
            <w:lang w:val="en-US"/>
          </w:rPr>
          <w:tab/>
        </w:r>
        <w:r w:rsidR="00EE0D83" w:rsidRPr="00EE0D83">
          <w:rPr>
            <w:rStyle w:val="Hyperlink"/>
          </w:rPr>
          <w:t>ПОВЫШЕНИЕ УРОВНЯ БЕЗОПАСНОСТИ:  ШИФРОВАНИЕ ДАННЫХ И УПРАВЛЕНИЕ ПРАВАМИ ПОЛЬЗОВАТЕЛЕЙ (ГПКР-1)</w:t>
        </w:r>
        <w:r w:rsidR="00EE0D83">
          <w:rPr>
            <w:webHidden/>
          </w:rPr>
          <w:tab/>
        </w:r>
        <w:r w:rsidR="00EE0D83">
          <w:rPr>
            <w:webHidden/>
          </w:rPr>
          <w:fldChar w:fldCharType="begin"/>
        </w:r>
        <w:r w:rsidR="00EE0D83">
          <w:rPr>
            <w:webHidden/>
          </w:rPr>
          <w:instrText xml:space="preserve"> PAGEREF _Toc455388146 \h </w:instrText>
        </w:r>
        <w:r w:rsidR="00EE0D83">
          <w:rPr>
            <w:webHidden/>
          </w:rPr>
        </w:r>
        <w:r w:rsidR="00EE0D83">
          <w:rPr>
            <w:webHidden/>
          </w:rPr>
          <w:fldChar w:fldCharType="separate"/>
        </w:r>
        <w:r w:rsidR="00EE0D83">
          <w:rPr>
            <w:webHidden/>
          </w:rPr>
          <w:t>357</w:t>
        </w:r>
        <w:r w:rsidR="00EE0D83">
          <w:rPr>
            <w:webHidden/>
          </w:rPr>
          <w:fldChar w:fldCharType="end"/>
        </w:r>
      </w:hyperlink>
    </w:p>
    <w:p w:rsidR="00EE0D83" w:rsidRDefault="005C6ABD">
      <w:pPr>
        <w:pStyle w:val="TOC3"/>
        <w:rPr>
          <w:rFonts w:eastAsiaTheme="minorEastAsia" w:cstheme="minorBidi"/>
          <w:i w:val="0"/>
          <w:iCs w:val="0"/>
          <w:sz w:val="22"/>
          <w:szCs w:val="22"/>
          <w:lang w:val="en-US"/>
        </w:rPr>
      </w:pPr>
      <w:hyperlink w:anchor="_Toc455388147" w:history="1">
        <w:r w:rsidR="00EE0D83" w:rsidRPr="00EE0D83">
          <w:rPr>
            <w:rStyle w:val="Hyperlink"/>
          </w:rPr>
          <w:t>ПРОЕКТ 2</w:t>
        </w:r>
        <w:r w:rsidR="00EE0D83" w:rsidRPr="00EE0D83">
          <w:rPr>
            <w:rFonts w:eastAsiaTheme="minorEastAsia" w:cstheme="minorBidi"/>
            <w:i w:val="0"/>
            <w:iCs w:val="0"/>
            <w:sz w:val="22"/>
            <w:szCs w:val="22"/>
            <w:lang w:val="en-US"/>
          </w:rPr>
          <w:tab/>
        </w:r>
        <w:r w:rsidR="00EE0D83" w:rsidRPr="00EE0D83">
          <w:rPr>
            <w:rStyle w:val="Hyperlink"/>
          </w:rPr>
          <w:t>РЕАЛИЗАЦИЯ СИСТЕМЫ УПРАВЛЕНИЯ ОБЩЕОРГАНИЗАЦИОННЫМ ИНФОРМАЦИОННЫМ КОНТЕНТОМ (УОИК) (ГПКР-2)</w:t>
        </w:r>
        <w:r w:rsidR="00EE0D83">
          <w:rPr>
            <w:webHidden/>
          </w:rPr>
          <w:tab/>
        </w:r>
        <w:r w:rsidR="00EE0D83">
          <w:rPr>
            <w:webHidden/>
          </w:rPr>
          <w:fldChar w:fldCharType="begin"/>
        </w:r>
        <w:r w:rsidR="00EE0D83">
          <w:rPr>
            <w:webHidden/>
          </w:rPr>
          <w:instrText xml:space="preserve"> PAGEREF _Toc455388147 \h </w:instrText>
        </w:r>
        <w:r w:rsidR="00EE0D83">
          <w:rPr>
            <w:webHidden/>
          </w:rPr>
        </w:r>
        <w:r w:rsidR="00EE0D83">
          <w:rPr>
            <w:webHidden/>
          </w:rPr>
          <w:fldChar w:fldCharType="separate"/>
        </w:r>
        <w:r w:rsidR="00EE0D83">
          <w:rPr>
            <w:webHidden/>
          </w:rPr>
          <w:t>361</w:t>
        </w:r>
        <w:r w:rsidR="00EE0D83">
          <w:rPr>
            <w:webHidden/>
          </w:rPr>
          <w:fldChar w:fldCharType="end"/>
        </w:r>
      </w:hyperlink>
    </w:p>
    <w:p w:rsidR="00EE0D83" w:rsidRDefault="005C6ABD">
      <w:pPr>
        <w:pStyle w:val="TOC3"/>
        <w:rPr>
          <w:rFonts w:eastAsiaTheme="minorEastAsia" w:cstheme="minorBidi"/>
          <w:i w:val="0"/>
          <w:iCs w:val="0"/>
          <w:sz w:val="22"/>
          <w:szCs w:val="22"/>
          <w:lang w:val="en-US"/>
        </w:rPr>
      </w:pPr>
      <w:hyperlink w:anchor="_Toc455388148" w:history="1">
        <w:r w:rsidR="00EE0D83" w:rsidRPr="00EE0D83">
          <w:rPr>
            <w:rStyle w:val="Hyperlink"/>
          </w:rPr>
          <w:t>ПРОЕКТ 3</w:t>
        </w:r>
        <w:r w:rsidR="00EE0D83" w:rsidRPr="00EE0D83">
          <w:rPr>
            <w:rFonts w:eastAsiaTheme="minorEastAsia" w:cstheme="minorBidi"/>
            <w:i w:val="0"/>
            <w:iCs w:val="0"/>
            <w:sz w:val="22"/>
            <w:szCs w:val="22"/>
            <w:lang w:val="en-US"/>
          </w:rPr>
          <w:tab/>
        </w:r>
        <w:r w:rsidR="00EE0D83" w:rsidRPr="00EE0D83">
          <w:rPr>
            <w:rStyle w:val="Hyperlink"/>
          </w:rPr>
          <w:t>РЕКОНСТРУКЦИЯ ФАСАДОВ И УСТАНОВКА ОБОРУДОВАНИЯ ОХЛАЖДЕНИЯ/ОТОПИТЕЛЬНОГО ОБОРУДОВАНИЯ В ЗДАНИИ РСТ (ГПКР-3)</w:t>
        </w:r>
        <w:r w:rsidR="00EE0D83">
          <w:rPr>
            <w:webHidden/>
          </w:rPr>
          <w:tab/>
        </w:r>
        <w:r w:rsidR="00EE0D83">
          <w:rPr>
            <w:webHidden/>
          </w:rPr>
          <w:fldChar w:fldCharType="begin"/>
        </w:r>
        <w:r w:rsidR="00EE0D83">
          <w:rPr>
            <w:webHidden/>
          </w:rPr>
          <w:instrText xml:space="preserve"> PAGEREF _Toc455388148 \h </w:instrText>
        </w:r>
        <w:r w:rsidR="00EE0D83">
          <w:rPr>
            <w:webHidden/>
          </w:rPr>
        </w:r>
        <w:r w:rsidR="00EE0D83">
          <w:rPr>
            <w:webHidden/>
          </w:rPr>
          <w:fldChar w:fldCharType="separate"/>
        </w:r>
        <w:r w:rsidR="00EE0D83">
          <w:rPr>
            <w:webHidden/>
          </w:rPr>
          <w:t>369</w:t>
        </w:r>
        <w:r w:rsidR="00EE0D83">
          <w:rPr>
            <w:webHidden/>
          </w:rPr>
          <w:fldChar w:fldCharType="end"/>
        </w:r>
      </w:hyperlink>
    </w:p>
    <w:p w:rsidR="00EE0D83" w:rsidRDefault="005C6ABD">
      <w:pPr>
        <w:pStyle w:val="TOC3"/>
        <w:rPr>
          <w:rFonts w:eastAsiaTheme="minorEastAsia" w:cstheme="minorBidi"/>
          <w:i w:val="0"/>
          <w:iCs w:val="0"/>
          <w:sz w:val="22"/>
          <w:szCs w:val="22"/>
          <w:lang w:val="en-US"/>
        </w:rPr>
      </w:pPr>
      <w:hyperlink w:anchor="_Toc455388149" w:history="1">
        <w:r w:rsidR="00EE0D83" w:rsidRPr="00EE0D83">
          <w:rPr>
            <w:rStyle w:val="Hyperlink"/>
          </w:rPr>
          <w:t>ПРОЕКТ 4</w:t>
        </w:r>
        <w:r w:rsidR="00EE0D83" w:rsidRPr="00EE0D83">
          <w:rPr>
            <w:rFonts w:eastAsiaTheme="minorEastAsia" w:cstheme="minorBidi"/>
            <w:i w:val="0"/>
            <w:iCs w:val="0"/>
            <w:sz w:val="22"/>
            <w:szCs w:val="22"/>
            <w:lang w:val="en-US"/>
          </w:rPr>
          <w:tab/>
        </w:r>
        <w:r w:rsidR="00EE0D83" w:rsidRPr="00EE0D83">
          <w:rPr>
            <w:rStyle w:val="Hyperlink"/>
          </w:rPr>
          <w:t xml:space="preserve">УСТАНОВКА СИСТЕМЫ ОХЛАЖДЕНИЯ «ВОДА ЖЕНЕВСКОГО ОЗЕРА» («GLN») </w:t>
        </w:r>
        <w:r w:rsidR="00EE0D83">
          <w:rPr>
            <w:rStyle w:val="Hyperlink"/>
          </w:rPr>
          <w:br/>
        </w:r>
        <w:r w:rsidR="00EE0D83" w:rsidRPr="00EE0D83">
          <w:rPr>
            <w:rStyle w:val="Hyperlink"/>
          </w:rPr>
          <w:t>В ЗДАНИЯХ АБ И PCT (ГПКР 4)</w:t>
        </w:r>
        <w:r w:rsidR="00EE0D83">
          <w:rPr>
            <w:webHidden/>
          </w:rPr>
          <w:tab/>
        </w:r>
        <w:r w:rsidR="00EE0D83">
          <w:rPr>
            <w:webHidden/>
          </w:rPr>
          <w:fldChar w:fldCharType="begin"/>
        </w:r>
        <w:r w:rsidR="00EE0D83">
          <w:rPr>
            <w:webHidden/>
          </w:rPr>
          <w:instrText xml:space="preserve"> PAGEREF _Toc455388149 \h </w:instrText>
        </w:r>
        <w:r w:rsidR="00EE0D83">
          <w:rPr>
            <w:webHidden/>
          </w:rPr>
        </w:r>
        <w:r w:rsidR="00EE0D83">
          <w:rPr>
            <w:webHidden/>
          </w:rPr>
          <w:fldChar w:fldCharType="separate"/>
        </w:r>
        <w:r w:rsidR="00EE0D83">
          <w:rPr>
            <w:webHidden/>
          </w:rPr>
          <w:t>373</w:t>
        </w:r>
        <w:r w:rsidR="00EE0D83">
          <w:rPr>
            <w:webHidden/>
          </w:rPr>
          <w:fldChar w:fldCharType="end"/>
        </w:r>
      </w:hyperlink>
    </w:p>
    <w:p w:rsidR="00EE0D83" w:rsidRDefault="005C6ABD">
      <w:pPr>
        <w:pStyle w:val="TOC3"/>
        <w:rPr>
          <w:rFonts w:eastAsiaTheme="minorEastAsia" w:cstheme="minorBidi"/>
          <w:i w:val="0"/>
          <w:iCs w:val="0"/>
          <w:sz w:val="22"/>
          <w:szCs w:val="22"/>
          <w:lang w:val="en-US"/>
        </w:rPr>
      </w:pPr>
      <w:hyperlink w:anchor="_Toc455388150" w:history="1">
        <w:r w:rsidR="00EE0D83" w:rsidRPr="00EE0D83">
          <w:rPr>
            <w:rStyle w:val="Hyperlink"/>
          </w:rPr>
          <w:t>ПРОЕКТ 5</w:t>
        </w:r>
        <w:r w:rsidR="00EE0D83" w:rsidRPr="00EE0D83">
          <w:rPr>
            <w:rFonts w:eastAsiaTheme="minorEastAsia" w:cstheme="minorBidi"/>
            <w:i w:val="0"/>
            <w:iCs w:val="0"/>
            <w:sz w:val="22"/>
            <w:szCs w:val="22"/>
            <w:lang w:val="en-US"/>
          </w:rPr>
          <w:tab/>
        </w:r>
        <w:r w:rsidR="00EE0D83" w:rsidRPr="00EE0D83">
          <w:rPr>
            <w:rStyle w:val="Hyperlink"/>
          </w:rPr>
          <w:t>ЗДАНИЕ АРПАД БОГШ: 1-Й ЭТАП РЕКОНСТРУКЦИИ ЦОКОЛЬНОГО ЭТАЖА (ИЗМЕНЕНИЕ ПЛОЩАДИ ИНФОРМАЦИОННОГО ЦЕНТРА И РЕКОНСТРУКЦИЯ ТИПОГРАФИИ) (ГПКР-5)</w:t>
        </w:r>
        <w:r w:rsidR="00EE0D83">
          <w:rPr>
            <w:webHidden/>
          </w:rPr>
          <w:tab/>
        </w:r>
        <w:r w:rsidR="00EE0D83">
          <w:rPr>
            <w:webHidden/>
          </w:rPr>
          <w:fldChar w:fldCharType="begin"/>
        </w:r>
        <w:r w:rsidR="00EE0D83">
          <w:rPr>
            <w:webHidden/>
          </w:rPr>
          <w:instrText xml:space="preserve"> PAGEREF _Toc455388150 \h </w:instrText>
        </w:r>
        <w:r w:rsidR="00EE0D83">
          <w:rPr>
            <w:webHidden/>
          </w:rPr>
        </w:r>
        <w:r w:rsidR="00EE0D83">
          <w:rPr>
            <w:webHidden/>
          </w:rPr>
          <w:fldChar w:fldCharType="separate"/>
        </w:r>
        <w:r w:rsidR="00EE0D83">
          <w:rPr>
            <w:webHidden/>
          </w:rPr>
          <w:t>377</w:t>
        </w:r>
        <w:r w:rsidR="00EE0D83">
          <w:rPr>
            <w:webHidden/>
          </w:rPr>
          <w:fldChar w:fldCharType="end"/>
        </w:r>
      </w:hyperlink>
    </w:p>
    <w:p w:rsidR="00EE0D83" w:rsidRDefault="005C6ABD">
      <w:pPr>
        <w:pStyle w:val="TOC3"/>
        <w:rPr>
          <w:rFonts w:eastAsiaTheme="minorEastAsia" w:cstheme="minorBidi"/>
          <w:i w:val="0"/>
          <w:iCs w:val="0"/>
          <w:sz w:val="22"/>
          <w:szCs w:val="22"/>
          <w:lang w:val="en-US"/>
        </w:rPr>
      </w:pPr>
      <w:hyperlink w:anchor="_Toc455388151" w:history="1">
        <w:r w:rsidR="00EE0D83" w:rsidRPr="00EE0D83">
          <w:rPr>
            <w:rStyle w:val="Hyperlink"/>
          </w:rPr>
          <w:t>ПРОЕКТ 6</w:t>
        </w:r>
        <w:r w:rsidR="00EE0D83" w:rsidRPr="00EE0D83">
          <w:rPr>
            <w:rFonts w:eastAsiaTheme="minorEastAsia" w:cstheme="minorBidi"/>
            <w:i w:val="0"/>
            <w:iCs w:val="0"/>
            <w:sz w:val="22"/>
            <w:szCs w:val="22"/>
            <w:lang w:val="en-US"/>
          </w:rPr>
          <w:tab/>
        </w:r>
        <w:r w:rsidR="00EE0D83" w:rsidRPr="00EE0D83">
          <w:rPr>
            <w:rStyle w:val="Hyperlink"/>
          </w:rPr>
          <w:t>ЗДАНИЕ АРПАД БОГШ: ЗАМЕНА НЕКОТОРЫХ ОКОН (ГПКР-6)</w:t>
        </w:r>
        <w:r w:rsidR="00EE0D83">
          <w:rPr>
            <w:webHidden/>
          </w:rPr>
          <w:tab/>
        </w:r>
        <w:r w:rsidR="00EE0D83">
          <w:rPr>
            <w:webHidden/>
          </w:rPr>
          <w:fldChar w:fldCharType="begin"/>
        </w:r>
        <w:r w:rsidR="00EE0D83">
          <w:rPr>
            <w:webHidden/>
          </w:rPr>
          <w:instrText xml:space="preserve"> PAGEREF _Toc455388151 \h </w:instrText>
        </w:r>
        <w:r w:rsidR="00EE0D83">
          <w:rPr>
            <w:webHidden/>
          </w:rPr>
        </w:r>
        <w:r w:rsidR="00EE0D83">
          <w:rPr>
            <w:webHidden/>
          </w:rPr>
          <w:fldChar w:fldCharType="separate"/>
        </w:r>
        <w:r w:rsidR="00EE0D83">
          <w:rPr>
            <w:webHidden/>
          </w:rPr>
          <w:t>380</w:t>
        </w:r>
        <w:r w:rsidR="00EE0D83">
          <w:rPr>
            <w:webHidden/>
          </w:rPr>
          <w:fldChar w:fldCharType="end"/>
        </w:r>
      </w:hyperlink>
    </w:p>
    <w:p w:rsidR="00EE0D83" w:rsidRDefault="005C6ABD">
      <w:pPr>
        <w:pStyle w:val="TOC3"/>
        <w:rPr>
          <w:rFonts w:eastAsiaTheme="minorEastAsia" w:cstheme="minorBidi"/>
          <w:i w:val="0"/>
          <w:iCs w:val="0"/>
          <w:sz w:val="22"/>
          <w:szCs w:val="22"/>
          <w:lang w:val="en-US"/>
        </w:rPr>
      </w:pPr>
      <w:hyperlink w:anchor="_Toc455388152" w:history="1">
        <w:r w:rsidR="00EE0D83" w:rsidRPr="00EE0D83">
          <w:rPr>
            <w:rStyle w:val="Hyperlink"/>
          </w:rPr>
          <w:t>ПРОЕКТ 7</w:t>
        </w:r>
        <w:r w:rsidR="00EE0D83" w:rsidRPr="00EE0D83">
          <w:rPr>
            <w:rFonts w:eastAsiaTheme="minorEastAsia" w:cstheme="minorBidi"/>
            <w:i w:val="0"/>
            <w:iCs w:val="0"/>
            <w:sz w:val="22"/>
            <w:szCs w:val="22"/>
            <w:lang w:val="en-US"/>
          </w:rPr>
          <w:tab/>
        </w:r>
        <w:r w:rsidR="00EE0D83" w:rsidRPr="00EE0D83">
          <w:rPr>
            <w:rStyle w:val="Hyperlink"/>
          </w:rPr>
          <w:t>МЕРЫ ОБЕСПЕЧЕНИЯ ФИЗИЧЕСКОЙ И ПОЖАРНОЙ БЕЗОПАСНОСТИ  (ГПКР-7)</w:t>
        </w:r>
        <w:r w:rsidR="00EE0D83">
          <w:rPr>
            <w:webHidden/>
          </w:rPr>
          <w:tab/>
        </w:r>
        <w:r w:rsidR="00EE0D83">
          <w:rPr>
            <w:webHidden/>
          </w:rPr>
          <w:fldChar w:fldCharType="begin"/>
        </w:r>
        <w:r w:rsidR="00EE0D83">
          <w:rPr>
            <w:webHidden/>
          </w:rPr>
          <w:instrText xml:space="preserve"> PAGEREF _Toc455388152 \h </w:instrText>
        </w:r>
        <w:r w:rsidR="00EE0D83">
          <w:rPr>
            <w:webHidden/>
          </w:rPr>
        </w:r>
        <w:r w:rsidR="00EE0D83">
          <w:rPr>
            <w:webHidden/>
          </w:rPr>
          <w:fldChar w:fldCharType="separate"/>
        </w:r>
        <w:r w:rsidR="00EE0D83">
          <w:rPr>
            <w:webHidden/>
          </w:rPr>
          <w:t>384</w:t>
        </w:r>
        <w:r w:rsidR="00EE0D83">
          <w:rPr>
            <w:webHidden/>
          </w:rPr>
          <w:fldChar w:fldCharType="end"/>
        </w:r>
      </w:hyperlink>
    </w:p>
    <w:p w:rsidR="00EE0D83" w:rsidRDefault="005C6ABD" w:rsidP="00EE0D83">
      <w:pPr>
        <w:pStyle w:val="TOC2"/>
        <w:rPr>
          <w:rFonts w:eastAsiaTheme="minorEastAsia" w:cstheme="minorBidi"/>
          <w:noProof/>
          <w:sz w:val="22"/>
          <w:szCs w:val="22"/>
        </w:rPr>
      </w:pPr>
      <w:hyperlink w:anchor="_Toc455388153" w:history="1">
        <w:r w:rsidR="00EE0D83" w:rsidRPr="00582F03">
          <w:rPr>
            <w:rStyle w:val="Hyperlink"/>
            <w:noProof/>
            <w:lang w:val="ru-RU" w:eastAsia="zh-CN"/>
          </w:rPr>
          <w:t xml:space="preserve">ДОПОЛНЕНИЕ </w:t>
        </w:r>
        <w:r w:rsidR="00EE0D83" w:rsidRPr="00582F03">
          <w:rPr>
            <w:rStyle w:val="Hyperlink"/>
            <w:noProof/>
            <w:lang w:eastAsia="zh-CN"/>
          </w:rPr>
          <w:t>IV</w:t>
        </w:r>
        <w:r w:rsidR="00EE0D83">
          <w:rPr>
            <w:rStyle w:val="Hyperlink"/>
            <w:noProof/>
            <w:lang w:eastAsia="zh-CN"/>
          </w:rPr>
          <w:tab/>
        </w:r>
        <w:r w:rsidR="00EE0D83" w:rsidRPr="00582F03">
          <w:rPr>
            <w:rStyle w:val="Hyperlink"/>
            <w:noProof/>
            <w:lang w:val="ru-RU"/>
          </w:rPr>
          <w:t>АКРОНИМЫ</w:t>
        </w:r>
        <w:r w:rsidR="00EE0D83" w:rsidRPr="00582F03">
          <w:rPr>
            <w:rStyle w:val="Hyperlink"/>
            <w:caps/>
            <w:noProof/>
            <w:lang w:val="ru-RU"/>
          </w:rPr>
          <w:t xml:space="preserve"> И СОКРАЩЕНИЯ, ИСПОЛЬЗУЕМЫЕ В НАСТОЯЩЕМ ДОКУМЕНТЕ</w:t>
        </w:r>
        <w:r w:rsidR="00EE0D83">
          <w:rPr>
            <w:noProof/>
            <w:webHidden/>
          </w:rPr>
          <w:tab/>
        </w:r>
        <w:r w:rsidR="00EE0D83">
          <w:rPr>
            <w:noProof/>
            <w:webHidden/>
          </w:rPr>
          <w:fldChar w:fldCharType="begin"/>
        </w:r>
        <w:r w:rsidR="00EE0D83">
          <w:rPr>
            <w:noProof/>
            <w:webHidden/>
          </w:rPr>
          <w:instrText xml:space="preserve"> PAGEREF _Toc455388153 \h </w:instrText>
        </w:r>
        <w:r w:rsidR="00EE0D83">
          <w:rPr>
            <w:noProof/>
            <w:webHidden/>
          </w:rPr>
        </w:r>
        <w:r w:rsidR="00EE0D83">
          <w:rPr>
            <w:noProof/>
            <w:webHidden/>
          </w:rPr>
          <w:fldChar w:fldCharType="separate"/>
        </w:r>
        <w:r w:rsidR="00EE0D83">
          <w:rPr>
            <w:noProof/>
            <w:webHidden/>
          </w:rPr>
          <w:t>388</w:t>
        </w:r>
        <w:r w:rsidR="00EE0D83">
          <w:rPr>
            <w:noProof/>
            <w:webHidden/>
          </w:rPr>
          <w:fldChar w:fldCharType="end"/>
        </w:r>
      </w:hyperlink>
    </w:p>
    <w:p w:rsidR="007F6F24" w:rsidRDefault="007F6F24">
      <w:r w:rsidRPr="00F838C5">
        <w:rPr>
          <w:rFonts w:cs="Arial"/>
        </w:rPr>
        <w:fldChar w:fldCharType="end"/>
      </w:r>
    </w:p>
    <w:p w:rsidR="007F6F24" w:rsidRDefault="007F6F24"/>
    <w:p w:rsidR="007F6F24" w:rsidRDefault="007F6F24"/>
    <w:p w:rsidR="007F6F24" w:rsidRDefault="007F6F24"/>
    <w:p w:rsidR="007F6F24" w:rsidRDefault="007F6F24">
      <w:r>
        <w:br w:type="page"/>
      </w:r>
    </w:p>
    <w:p w:rsidR="00BF61DC" w:rsidRPr="00507918" w:rsidRDefault="00BF61DC" w:rsidP="00BF61DC">
      <w:pPr>
        <w:pStyle w:val="Heading1"/>
        <w:tabs>
          <w:tab w:val="clear" w:pos="284"/>
          <w:tab w:val="left" w:pos="360"/>
        </w:tabs>
        <w:spacing w:before="0" w:after="0"/>
        <w:ind w:left="0" w:firstLine="0"/>
        <w:jc w:val="left"/>
        <w:rPr>
          <w:szCs w:val="22"/>
        </w:rPr>
      </w:pPr>
      <w:bookmarkStart w:id="7" w:name="_Toc327875005"/>
      <w:bookmarkStart w:id="8" w:name="_Toc420582483"/>
      <w:bookmarkStart w:id="9" w:name="_Toc455388094"/>
      <w:r>
        <w:t>ВВЕДЕНИЕ</w:t>
      </w:r>
      <w:bookmarkEnd w:id="7"/>
      <w:bookmarkEnd w:id="8"/>
      <w:bookmarkEnd w:id="9"/>
    </w:p>
    <w:p w:rsidR="00BF61DC" w:rsidRPr="00812B04" w:rsidRDefault="00BF61DC" w:rsidP="00BF61DC">
      <w:pPr>
        <w:jc w:val="both"/>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Отчет о реализации программы (ОРП) – это основная форма отчетности, используемая для информирования государств-членов о результатах деятельности Организации, а также неотъемлемая часть системы управления ВОИС, ориентированной на конечный результат (УКР).  Кроме того, Отчет является важным аналитическим инструментом, гарантирующим, что извлеченные из опыта уроки усвоены и должным образом используются в дальнейшей работе ВОИС.  ОРП является самооценкой, проводимой руководителями программ на основе схемы результатов, одобренных государствами-членами.  Как и в 2014</w:t>
      </w:r>
      <w:r>
        <w:t> </w:t>
      </w:r>
      <w:r w:rsidRPr="00BF61DC">
        <w:rPr>
          <w:lang w:val="ru-RU"/>
        </w:rPr>
        <w:t>г., оценка реализации Повестки дня в области развития (ПДР) была включена и интегрирована в Обзор достижений за двухлетний период 2014–2015</w:t>
      </w:r>
      <w:r>
        <w:t> </w:t>
      </w:r>
      <w:r w:rsidRPr="00BF61DC">
        <w:rPr>
          <w:lang w:val="ru-RU"/>
        </w:rPr>
        <w:t>гг., а не рассмотрена в отдельном разделе.  В рамках стремления ВОИС к укреплению своей системы управления рисками ОРП 2014–2015</w:t>
      </w:r>
      <w:r>
        <w:t> </w:t>
      </w:r>
      <w:r w:rsidRPr="00BF61DC">
        <w:rPr>
          <w:lang w:val="ru-RU"/>
        </w:rPr>
        <w:t>гг. был усовершенствован, и в него впервые включен специальный раздел «Отчет о рисках в двухлетний период».  Для повышения достоверности информации, содержащейся в ОРП, Отдел внутреннего надзора (ОВН) на двухгодичной основе проводит проверку данных о показателях результативности работы. Отчет о проверке достоверности информации, представленной в ОРП 2014–2015</w:t>
      </w:r>
      <w:r>
        <w:t> </w:t>
      </w:r>
      <w:r w:rsidRPr="00BF61DC">
        <w:rPr>
          <w:lang w:val="ru-RU"/>
        </w:rPr>
        <w:t xml:space="preserve">гг., содержится в документе </w:t>
      </w:r>
      <w:r>
        <w:t>WO</w:t>
      </w:r>
      <w:r w:rsidRPr="00BF61DC">
        <w:rPr>
          <w:lang w:val="ru-RU"/>
        </w:rPr>
        <w:t>/</w:t>
      </w:r>
      <w:r>
        <w:t>PBC</w:t>
      </w:r>
      <w:r w:rsidRPr="00BF61DC">
        <w:rPr>
          <w:lang w:val="ru-RU"/>
        </w:rPr>
        <w:t xml:space="preserve">/25/8.  </w:t>
      </w:r>
    </w:p>
    <w:p w:rsidR="00BF61DC" w:rsidRPr="00BF61DC" w:rsidRDefault="00BF61DC" w:rsidP="00BF61DC">
      <w:pPr>
        <w:jc w:val="both"/>
        <w:rPr>
          <w:lang w:val="ru-RU"/>
        </w:rPr>
      </w:pPr>
    </w:p>
    <w:p w:rsidR="00BF61DC" w:rsidRPr="00812B04" w:rsidRDefault="00BF61DC" w:rsidP="00BF61DC">
      <w:pPr>
        <w:pStyle w:val="ListParagraph"/>
        <w:numPr>
          <w:ilvl w:val="0"/>
          <w:numId w:val="136"/>
        </w:numPr>
        <w:tabs>
          <w:tab w:val="left" w:pos="567"/>
        </w:tabs>
        <w:ind w:left="0" w:firstLine="0"/>
        <w:jc w:val="both"/>
      </w:pPr>
      <w:r w:rsidRPr="00BF61DC">
        <w:rPr>
          <w:lang w:val="ru-RU"/>
        </w:rPr>
        <w:t>ОРП 2014–2015</w:t>
      </w:r>
      <w:r>
        <w:t> </w:t>
      </w:r>
      <w:r w:rsidRPr="00BF61DC">
        <w:rPr>
          <w:lang w:val="ru-RU"/>
        </w:rPr>
        <w:t>гг. представляет собой отчет по состоянию на конец двухлетнего периода и содержит оценку прогресса в достижении ожидаемых результатов, который измеряется с помощью показателей результативности работы, и в использовании ресурсов, утвержденных в Программе и Бюджете на 2014–2015</w:t>
      </w:r>
      <w:r>
        <w:t> </w:t>
      </w:r>
      <w:r w:rsidRPr="00BF61DC">
        <w:rPr>
          <w:lang w:val="ru-RU"/>
        </w:rPr>
        <w:t>гг.</w:t>
      </w:r>
      <w:r>
        <w:rPr>
          <w:rStyle w:val="FootnoteReference"/>
        </w:rPr>
        <w:footnoteReference w:id="1"/>
      </w:r>
      <w:r w:rsidRPr="00BF61DC">
        <w:rPr>
          <w:lang w:val="ru-RU"/>
        </w:rPr>
        <w:t xml:space="preserve">  Показатель результативности может определяться по нескольким целям.  В подобных случаях указываются значения по каждой цели и в результате приводится несколько оценок.  </w:t>
      </w:r>
      <w:r>
        <w:t>Для целей ОРП 2014–2015 гг. были использованы следующие критерии оценки:</w:t>
      </w:r>
    </w:p>
    <w:p w:rsidR="00BF61DC" w:rsidRPr="00812B04" w:rsidRDefault="00BF61DC" w:rsidP="00BF61DC">
      <w:pPr>
        <w:jc w:val="both"/>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Указатель обозначений сигнальной системы (СС):</w:t>
      </w:r>
    </w:p>
    <w:p w:rsidR="00BF61DC" w:rsidRPr="00BF61DC" w:rsidRDefault="00BF61DC" w:rsidP="00BF61DC">
      <w:pPr>
        <w:pStyle w:val="BodyText"/>
        <w:widowControl w:val="0"/>
        <w:autoSpaceDE w:val="0"/>
        <w:autoSpaceDN w:val="0"/>
        <w:adjustRightInd w:val="0"/>
        <w:ind w:left="144"/>
        <w:jc w:val="both"/>
        <w:rPr>
          <w:lang w:val="ru-RU"/>
        </w:rPr>
      </w:pPr>
    </w:p>
    <w:p w:rsidR="00BF61DC" w:rsidRPr="00BF61DC" w:rsidRDefault="00BF61DC" w:rsidP="00BF61DC">
      <w:pPr>
        <w:numPr>
          <w:ilvl w:val="0"/>
          <w:numId w:val="131"/>
        </w:numPr>
        <w:ind w:left="806" w:hanging="403"/>
        <w:jc w:val="both"/>
        <w:rPr>
          <w:szCs w:val="20"/>
          <w:lang w:val="ru-RU"/>
        </w:rPr>
      </w:pPr>
      <w:r w:rsidRPr="00BF61DC">
        <w:rPr>
          <w:b/>
          <w:color w:val="008000"/>
          <w:lang w:val="ru-RU"/>
        </w:rPr>
        <w:t>«Полностью выполнено»</w:t>
      </w:r>
      <w:r w:rsidRPr="00BF61DC">
        <w:rPr>
          <w:lang w:val="ru-RU"/>
        </w:rPr>
        <w:t xml:space="preserve"> применяется в случаях, если данные о результативности в 2014–2015 гг. свидетельствуют о том, что показатели достигнуты на 80 или более процентов.</w:t>
      </w:r>
    </w:p>
    <w:p w:rsidR="00BF61DC" w:rsidRPr="00BF61DC" w:rsidRDefault="00BF61DC" w:rsidP="00BF61DC">
      <w:pPr>
        <w:numPr>
          <w:ilvl w:val="0"/>
          <w:numId w:val="131"/>
        </w:numPr>
        <w:spacing w:before="120"/>
        <w:ind w:left="806" w:hanging="403"/>
        <w:jc w:val="both"/>
        <w:rPr>
          <w:lang w:val="ru-RU"/>
        </w:rPr>
      </w:pPr>
      <w:r w:rsidRPr="00BF61DC">
        <w:rPr>
          <w:b/>
          <w:color w:val="E26B0A"/>
          <w:lang w:val="ru-RU"/>
        </w:rPr>
        <w:t xml:space="preserve">«Частично выполнено» </w:t>
      </w:r>
      <w:r w:rsidRPr="00BF61DC">
        <w:rPr>
          <w:lang w:val="ru-RU"/>
        </w:rPr>
        <w:t xml:space="preserve">применяется в случаях, если данные о результативности в 2014–2015 гг. свидетельствуют о том, что показатели достигнуты на 30–80 процентов.  </w:t>
      </w:r>
    </w:p>
    <w:p w:rsidR="00BF61DC" w:rsidRPr="00BF61DC" w:rsidRDefault="00BF61DC" w:rsidP="00BF61DC">
      <w:pPr>
        <w:numPr>
          <w:ilvl w:val="0"/>
          <w:numId w:val="131"/>
        </w:numPr>
        <w:spacing w:before="120"/>
        <w:ind w:left="806" w:hanging="403"/>
        <w:jc w:val="both"/>
        <w:rPr>
          <w:lang w:val="ru-RU"/>
        </w:rPr>
      </w:pPr>
      <w:r w:rsidRPr="00BF61DC">
        <w:rPr>
          <w:b/>
          <w:color w:val="FF0000"/>
          <w:lang w:val="ru-RU"/>
        </w:rPr>
        <w:t>«Не выполнено»</w:t>
      </w:r>
      <w:r w:rsidRPr="00BF61DC">
        <w:rPr>
          <w:lang w:val="ru-RU"/>
        </w:rPr>
        <w:t xml:space="preserve"> применяется в случаях, когда данные о результативности в 2012–2013</w:t>
      </w:r>
      <w:r>
        <w:t> </w:t>
      </w:r>
      <w:r w:rsidRPr="00BF61DC">
        <w:rPr>
          <w:lang w:val="ru-RU"/>
        </w:rPr>
        <w:t xml:space="preserve">гг. свидетельствуют о том, что показатели не достигли 30 процентов. </w:t>
      </w:r>
    </w:p>
    <w:p w:rsidR="00BF61DC" w:rsidRPr="00BF61DC" w:rsidRDefault="00BF61DC" w:rsidP="00BF61DC">
      <w:pPr>
        <w:numPr>
          <w:ilvl w:val="0"/>
          <w:numId w:val="131"/>
        </w:numPr>
        <w:spacing w:before="120"/>
        <w:ind w:left="806" w:hanging="403"/>
        <w:jc w:val="both"/>
        <w:rPr>
          <w:color w:val="A6A6A6" w:themeColor="background1" w:themeShade="A6"/>
          <w:szCs w:val="20"/>
          <w:lang w:val="ru-RU"/>
        </w:rPr>
      </w:pPr>
      <w:r w:rsidRPr="00BF61DC">
        <w:rPr>
          <w:b/>
          <w:color w:val="A6A6A6" w:themeColor="background1" w:themeShade="A6"/>
          <w:lang w:val="ru-RU"/>
        </w:rPr>
        <w:t>«Не подлежит оценке»</w:t>
      </w:r>
      <w:r>
        <w:rPr>
          <w:rStyle w:val="FootnoteReference"/>
          <w:b/>
          <w:color w:val="7F7F7F" w:themeColor="text1" w:themeTint="80"/>
        </w:rPr>
        <w:footnoteReference w:id="2"/>
      </w:r>
      <w:r w:rsidRPr="00BF61DC">
        <w:rPr>
          <w:lang w:val="ru-RU"/>
        </w:rPr>
        <w:t xml:space="preserve">  применяется в том случае, если осуществление оценки деятельности не является целесообразным, так как целевые показатели не определены должным образом или данных по результативности деятельности недостаточно для присвоения категории в рамках СС.</w:t>
      </w:r>
    </w:p>
    <w:p w:rsidR="00BF61DC" w:rsidRPr="00BF61DC" w:rsidRDefault="00BF61DC" w:rsidP="00BF61DC">
      <w:pPr>
        <w:numPr>
          <w:ilvl w:val="0"/>
          <w:numId w:val="131"/>
        </w:numPr>
        <w:spacing w:before="120"/>
        <w:ind w:left="806" w:hanging="403"/>
        <w:jc w:val="both"/>
        <w:rPr>
          <w:szCs w:val="20"/>
          <w:lang w:val="ru-RU"/>
        </w:rPr>
      </w:pPr>
      <w:r w:rsidRPr="00BF61DC">
        <w:rPr>
          <w:lang w:val="ru-RU"/>
        </w:rPr>
        <w:t xml:space="preserve">Пометка </w:t>
      </w:r>
      <w:r w:rsidRPr="00BF61DC">
        <w:rPr>
          <w:b/>
          <w:lang w:val="ru-RU"/>
        </w:rPr>
        <w:t>«отменено»</w:t>
      </w:r>
      <w:r w:rsidRPr="00BF61DC">
        <w:rPr>
          <w:lang w:val="ru-RU"/>
        </w:rPr>
        <w:t xml:space="preserve"> применяется в том случае, если показатель результативности работы больше не используется для оценки результативности программы.  </w:t>
      </w:r>
    </w:p>
    <w:p w:rsidR="00BF61DC" w:rsidRPr="00BF61DC" w:rsidRDefault="00BF61DC" w:rsidP="00BF61DC">
      <w:pPr>
        <w:jc w:val="both"/>
        <w:rPr>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Из в общей сложности 394</w:t>
      </w:r>
      <w:r>
        <w:t> </w:t>
      </w:r>
      <w:r w:rsidRPr="00BF61DC">
        <w:rPr>
          <w:lang w:val="ru-RU"/>
        </w:rPr>
        <w:t>показателей результативности в Программе и бюджете за 2014–2045</w:t>
      </w:r>
      <w:r>
        <w:t> </w:t>
      </w:r>
      <w:r w:rsidRPr="00BF61DC">
        <w:rPr>
          <w:lang w:val="ru-RU"/>
        </w:rPr>
        <w:t>гг. задачи по 286 показателям (72</w:t>
      </w:r>
      <w:r>
        <w:t> </w:t>
      </w:r>
      <w:r w:rsidRPr="00BF61DC">
        <w:rPr>
          <w:lang w:val="ru-RU"/>
        </w:rPr>
        <w:t>процента) были оценены как «выполненные».  Задачи по 19 показателям результативности (пять процентов) были оценены как «частично выполненные», а по 46</w:t>
      </w:r>
      <w:r>
        <w:t> </w:t>
      </w:r>
      <w:r w:rsidRPr="00BF61DC">
        <w:rPr>
          <w:lang w:val="ru-RU"/>
        </w:rPr>
        <w:t>показателям (12</w:t>
      </w:r>
      <w:r>
        <w:t> </w:t>
      </w:r>
      <w:r w:rsidRPr="00BF61DC">
        <w:rPr>
          <w:lang w:val="ru-RU"/>
        </w:rPr>
        <w:t>процентов) – как «невыполненные».  Не подлежали оценке примерно 35 показателей результативности, или девять</w:t>
      </w:r>
      <w:r>
        <w:t> </w:t>
      </w:r>
      <w:r w:rsidRPr="00BF61DC">
        <w:rPr>
          <w:lang w:val="ru-RU"/>
        </w:rPr>
        <w:t>процентов, а восемь показателя (или два</w:t>
      </w:r>
      <w:r>
        <w:t> </w:t>
      </w:r>
      <w:r w:rsidRPr="00BF61DC">
        <w:rPr>
          <w:lang w:val="ru-RU"/>
        </w:rPr>
        <w:t xml:space="preserve">процента) были отменены.   </w:t>
      </w:r>
    </w:p>
    <w:p w:rsidR="00BF61DC" w:rsidRPr="00BF61DC" w:rsidRDefault="00BF61DC" w:rsidP="00BF61DC">
      <w:pPr>
        <w:jc w:val="center"/>
        <w:rPr>
          <w:noProof/>
          <w:lang w:val="ru-RU"/>
        </w:rPr>
      </w:pPr>
    </w:p>
    <w:p w:rsidR="00BF61DC" w:rsidRDefault="00BF61DC" w:rsidP="00BF61DC">
      <w:pPr>
        <w:jc w:val="center"/>
      </w:pPr>
      <w:r>
        <w:rPr>
          <w:noProof/>
        </w:rPr>
        <w:drawing>
          <wp:inline distT="0" distB="0" distL="0" distR="0" wp14:anchorId="3EEBCF3F" wp14:editId="777A6825">
            <wp:extent cx="4794837" cy="2749172"/>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94185" cy="2748798"/>
                    </a:xfrm>
                    <a:prstGeom prst="rect">
                      <a:avLst/>
                    </a:prstGeom>
                    <a:noFill/>
                    <a:ln>
                      <a:noFill/>
                    </a:ln>
                  </pic:spPr>
                </pic:pic>
              </a:graphicData>
            </a:graphic>
          </wp:inline>
        </w:drawing>
      </w:r>
    </w:p>
    <w:p w:rsidR="00BF61DC" w:rsidRPr="00525F0B" w:rsidRDefault="00BF61DC" w:rsidP="00BF61DC">
      <w:pPr>
        <w:jc w:val="center"/>
        <w:rPr>
          <w:lang w:val="ru-RU"/>
        </w:rPr>
      </w:pPr>
    </w:p>
    <w:p w:rsidR="00475AE7" w:rsidRDefault="00475AE7" w:rsidP="00547ACE">
      <w:pPr>
        <w:jc w:val="center"/>
      </w:pPr>
    </w:p>
    <w:p w:rsidR="00BF61DC" w:rsidRPr="00BF61DC" w:rsidRDefault="00BF61DC" w:rsidP="00BF61DC">
      <w:pPr>
        <w:pStyle w:val="Heading1"/>
        <w:tabs>
          <w:tab w:val="left" w:pos="284"/>
        </w:tabs>
        <w:spacing w:before="0" w:after="0"/>
        <w:ind w:left="0" w:firstLine="0"/>
        <w:jc w:val="left"/>
        <w:rPr>
          <w:lang w:val="ru-RU"/>
        </w:rPr>
      </w:pPr>
      <w:bookmarkStart w:id="10" w:name="_Toc382905012"/>
      <w:bookmarkStart w:id="11" w:name="_Toc420582484"/>
      <w:bookmarkStart w:id="12" w:name="_Toc455388095"/>
      <w:r w:rsidRPr="00BF61DC">
        <w:rPr>
          <w:lang w:val="ru-RU"/>
        </w:rPr>
        <w:t xml:space="preserve">КРАТКИЙ ОБЗОР ДОСТИЖЕНИЙ В </w:t>
      </w:r>
      <w:bookmarkEnd w:id="10"/>
      <w:r w:rsidRPr="00BF61DC">
        <w:rPr>
          <w:lang w:val="ru-RU"/>
        </w:rPr>
        <w:t>2014</w:t>
      </w:r>
      <w:bookmarkEnd w:id="11"/>
      <w:r w:rsidRPr="00BF61DC">
        <w:rPr>
          <w:lang w:val="ru-RU"/>
        </w:rPr>
        <w:t>–2015</w:t>
      </w:r>
      <w:r>
        <w:t> </w:t>
      </w:r>
      <w:r w:rsidRPr="00BF61DC">
        <w:rPr>
          <w:lang w:val="ru-RU"/>
        </w:rPr>
        <w:t>гг.</w:t>
      </w:r>
      <w:bookmarkEnd w:id="12"/>
    </w:p>
    <w:p w:rsidR="00BF61DC" w:rsidRPr="00BF61DC" w:rsidRDefault="00BF61DC" w:rsidP="00BF61DC">
      <w:pPr>
        <w:rPr>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ОРП 2014–2015</w:t>
      </w:r>
      <w:r>
        <w:t> </w:t>
      </w:r>
      <w:r w:rsidRPr="00BF61DC">
        <w:rPr>
          <w:lang w:val="ru-RU"/>
        </w:rPr>
        <w:t>гг. включает в себя сводные таблицы показателей результативности по каждой из девяти стратегических целей (СГ), давая наглядное представление о достижениях 2014–2015</w:t>
      </w:r>
      <w:r>
        <w:t> </w:t>
      </w:r>
      <w:r w:rsidRPr="00BF61DC">
        <w:rPr>
          <w:lang w:val="ru-RU"/>
        </w:rPr>
        <w:t>гг., измеряемых показателями результативности работы по программам, которые связаны с достижением той или иной Стратегической цели.  В ходе оценки результативности впервые на уровне отдельных программ был проведен глубокий анализ рисков, указанных в Программе и бюджете 2014–2015</w:t>
      </w:r>
      <w:r>
        <w:t> </w:t>
      </w:r>
      <w:r w:rsidRPr="00BF61DC">
        <w:rPr>
          <w:lang w:val="ru-RU"/>
        </w:rPr>
        <w:t xml:space="preserve">гг. Он включает в себя оценку эволюции рисков в двухлетний период, в том числе ответ на вопрос о том, реализовался ли риск, описание использованных стратегий снижения риска, а также характер влияния на реализацию программы с точки зрения достижения ожидаемых результатов.  Краткая информация об укреплении в ВОИС процедур управления рисками содержится в разделах, посвященных Стратегической цели </w:t>
      </w:r>
      <w:r>
        <w:t>IX</w:t>
      </w:r>
      <w:r w:rsidRPr="00BF61DC">
        <w:rPr>
          <w:lang w:val="ru-RU"/>
        </w:rPr>
        <w:t xml:space="preserve"> и программе 22.</w:t>
      </w:r>
    </w:p>
    <w:p w:rsidR="00BF61DC" w:rsidRPr="00BF61DC" w:rsidRDefault="00BF61DC" w:rsidP="00BF61DC">
      <w:pPr>
        <w:jc w:val="both"/>
        <w:rPr>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Ниже в сжатой форме отображены результаты проведенной в 2014–2015</w:t>
      </w:r>
      <w:r>
        <w:t> </w:t>
      </w:r>
      <w:r w:rsidRPr="00BF61DC">
        <w:rPr>
          <w:lang w:val="ru-RU"/>
        </w:rPr>
        <w:t>гг. работы по достижению девяти стратегических целей.</w:t>
      </w:r>
    </w:p>
    <w:p w:rsidR="00BF61DC" w:rsidRPr="00BF61DC" w:rsidRDefault="00BF61DC" w:rsidP="00BF61DC">
      <w:pPr>
        <w:jc w:val="both"/>
        <w:rPr>
          <w:lang w:val="ru-RU"/>
        </w:rPr>
      </w:pPr>
    </w:p>
    <w:p w:rsidR="00BF61DC" w:rsidRPr="00BF61DC" w:rsidRDefault="00BF61DC" w:rsidP="00BF61DC">
      <w:pPr>
        <w:jc w:val="center"/>
        <w:rPr>
          <w:b/>
          <w:sz w:val="18"/>
          <w:szCs w:val="18"/>
          <w:lang w:val="ru-RU"/>
        </w:rPr>
      </w:pPr>
      <w:r w:rsidRPr="00BF61DC">
        <w:rPr>
          <w:b/>
          <w:sz w:val="18"/>
          <w:lang w:val="ru-RU"/>
        </w:rPr>
        <w:t>Общий обзор хода достижения ожидаемых результатов в двухлетний период 2014–2015</w:t>
      </w:r>
      <w:r>
        <w:rPr>
          <w:b/>
          <w:sz w:val="18"/>
        </w:rPr>
        <w:t> </w:t>
      </w:r>
      <w:r w:rsidRPr="00BF61DC">
        <w:rPr>
          <w:b/>
          <w:sz w:val="18"/>
          <w:lang w:val="ru-RU"/>
        </w:rPr>
        <w:t>гг. в разбивке по стратегическим целям</w:t>
      </w:r>
    </w:p>
    <w:p w:rsidR="00BF61DC" w:rsidRPr="00BF61DC" w:rsidRDefault="00BF61DC" w:rsidP="00BF61DC">
      <w:pPr>
        <w:jc w:val="center"/>
        <w:rPr>
          <w:b/>
          <w:sz w:val="18"/>
          <w:szCs w:val="18"/>
          <w:lang w:val="ru-RU"/>
        </w:rPr>
      </w:pPr>
    </w:p>
    <w:p w:rsidR="00BF61DC" w:rsidRDefault="00BF61DC" w:rsidP="00BF61DC">
      <w:pPr>
        <w:jc w:val="center"/>
        <w:rPr>
          <w:b/>
          <w:iCs/>
        </w:rPr>
      </w:pPr>
      <w:r>
        <w:rPr>
          <w:b/>
          <w:iCs/>
          <w:noProof/>
        </w:rPr>
        <w:drawing>
          <wp:inline distT="0" distB="0" distL="0" distR="0" wp14:anchorId="2DFA3F7D" wp14:editId="74627566">
            <wp:extent cx="5017674" cy="3010604"/>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16992" cy="3010195"/>
                    </a:xfrm>
                    <a:prstGeom prst="rect">
                      <a:avLst/>
                    </a:prstGeom>
                    <a:noFill/>
                    <a:ln>
                      <a:noFill/>
                    </a:ln>
                  </pic:spPr>
                </pic:pic>
              </a:graphicData>
            </a:graphic>
          </wp:inline>
        </w:drawing>
      </w:r>
    </w:p>
    <w:p w:rsidR="00BF61DC" w:rsidRPr="00BF61DC" w:rsidRDefault="00BF61DC" w:rsidP="00BF61DC">
      <w:pPr>
        <w:jc w:val="center"/>
        <w:rPr>
          <w:b/>
          <w:iCs/>
          <w:lang w:val="ru-RU"/>
        </w:rPr>
      </w:pPr>
      <w:r w:rsidRPr="00BF61DC">
        <w:rPr>
          <w:b/>
          <w:lang w:val="ru-RU"/>
        </w:rPr>
        <w:t xml:space="preserve">Стратегическая цель </w:t>
      </w:r>
      <w:r>
        <w:rPr>
          <w:b/>
        </w:rPr>
        <w:t>I</w:t>
      </w:r>
      <w:r w:rsidR="00975156" w:rsidRPr="00975156">
        <w:rPr>
          <w:b/>
          <w:lang w:val="ru-RU"/>
        </w:rPr>
        <w:t xml:space="preserve">: </w:t>
      </w:r>
      <w:r w:rsidRPr="00BF61DC">
        <w:rPr>
          <w:b/>
          <w:lang w:val="ru-RU"/>
        </w:rPr>
        <w:t xml:space="preserve"> Сбалансированное развитие международной нормативной базы ИС</w:t>
      </w:r>
    </w:p>
    <w:p w:rsidR="00BF61DC" w:rsidRDefault="00BF61DC" w:rsidP="00BF61DC">
      <w:pPr>
        <w:jc w:val="center"/>
        <w:rPr>
          <w:b/>
          <w:iCs/>
        </w:rPr>
      </w:pPr>
      <w:r>
        <w:rPr>
          <w:b/>
          <w:iCs/>
          <w:noProof/>
        </w:rPr>
        <w:drawing>
          <wp:inline distT="0" distB="0" distL="0" distR="0" wp14:anchorId="003EC5D7" wp14:editId="03387F48">
            <wp:extent cx="5731510" cy="2773565"/>
            <wp:effectExtent l="0" t="0" r="2540" b="825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1510" cy="2773565"/>
                    </a:xfrm>
                    <a:prstGeom prst="rect">
                      <a:avLst/>
                    </a:prstGeom>
                    <a:noFill/>
                    <a:ln>
                      <a:noFill/>
                    </a:ln>
                  </pic:spPr>
                </pic:pic>
              </a:graphicData>
            </a:graphic>
          </wp:inline>
        </w:drawing>
      </w:r>
    </w:p>
    <w:p w:rsidR="00BF61DC" w:rsidRDefault="00BF61DC" w:rsidP="00BF61DC">
      <w:pPr>
        <w:rPr>
          <w:b/>
          <w:iCs/>
        </w:rPr>
      </w:pPr>
    </w:p>
    <w:p w:rsidR="00BF61DC" w:rsidRPr="00975156" w:rsidRDefault="00BF61DC" w:rsidP="00BF61DC">
      <w:pPr>
        <w:jc w:val="center"/>
        <w:rPr>
          <w:b/>
          <w:iCs/>
          <w:szCs w:val="20"/>
          <w:lang w:val="ru-RU"/>
        </w:rPr>
      </w:pPr>
      <w:r w:rsidRPr="00975156">
        <w:rPr>
          <w:b/>
          <w:szCs w:val="20"/>
          <w:lang w:val="ru-RU"/>
        </w:rPr>
        <w:t>Краткий обзор достижений в разбивке по ожидаемым результатам</w:t>
      </w:r>
    </w:p>
    <w:p w:rsidR="00BF61DC" w:rsidRDefault="00BF61DC" w:rsidP="00BF61DC">
      <w:pPr>
        <w:jc w:val="center"/>
        <w:rPr>
          <w:b/>
          <w:iCs/>
        </w:rPr>
      </w:pPr>
      <w:r>
        <w:rPr>
          <w:b/>
          <w:iCs/>
          <w:noProof/>
        </w:rPr>
        <w:drawing>
          <wp:inline distT="0" distB="0" distL="0" distR="0" wp14:anchorId="2977AD26" wp14:editId="6F3A514C">
            <wp:extent cx="5731510" cy="2059122"/>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1510" cy="2059122"/>
                    </a:xfrm>
                    <a:prstGeom prst="rect">
                      <a:avLst/>
                    </a:prstGeom>
                    <a:noFill/>
                    <a:ln>
                      <a:noFill/>
                    </a:ln>
                  </pic:spPr>
                </pic:pic>
              </a:graphicData>
            </a:graphic>
          </wp:inline>
        </w:drawing>
      </w:r>
    </w:p>
    <w:p w:rsidR="00BF61DC" w:rsidRPr="00661287" w:rsidRDefault="00BF61DC" w:rsidP="00BF61DC">
      <w:pPr>
        <w:ind w:hanging="90"/>
        <w:jc w:val="center"/>
        <w:rPr>
          <w:iCs/>
        </w:rPr>
      </w:pPr>
    </w:p>
    <w:p w:rsidR="00BF61DC" w:rsidRPr="00BF61DC" w:rsidRDefault="00BF61DC" w:rsidP="00BF61DC">
      <w:pPr>
        <w:pStyle w:val="ListParagraph"/>
        <w:numPr>
          <w:ilvl w:val="0"/>
          <w:numId w:val="136"/>
        </w:numPr>
        <w:tabs>
          <w:tab w:val="left" w:pos="567"/>
        </w:tabs>
        <w:ind w:left="0" w:firstLine="0"/>
        <w:jc w:val="both"/>
        <w:rPr>
          <w:rFonts w:cs="Arial"/>
          <w:color w:val="000000"/>
          <w:lang w:val="ru-RU"/>
        </w:rPr>
      </w:pPr>
      <w:r w:rsidRPr="00BF61DC">
        <w:rPr>
          <w:color w:val="000000"/>
          <w:lang w:val="ru-RU"/>
        </w:rPr>
        <w:t>В 2014–2015</w:t>
      </w:r>
      <w:r>
        <w:rPr>
          <w:color w:val="000000"/>
        </w:rPr>
        <w:t> </w:t>
      </w:r>
      <w:r w:rsidRPr="00BF61DC">
        <w:rPr>
          <w:color w:val="000000"/>
          <w:lang w:val="ru-RU"/>
        </w:rPr>
        <w:t xml:space="preserve">гг. </w:t>
      </w:r>
      <w:r w:rsidRPr="00BF61DC">
        <w:rPr>
          <w:lang w:val="ru-RU"/>
        </w:rPr>
        <w:t>продолжалась</w:t>
      </w:r>
      <w:r w:rsidRPr="00BF61DC">
        <w:rPr>
          <w:color w:val="000000"/>
          <w:lang w:val="ru-RU"/>
        </w:rPr>
        <w:t xml:space="preserve"> работа по достижению этой стратегической цели, хотя и чуть медленнее, чем ожидалось.  По состоянию на конец двухлетнего периода в повестке дня постоянных комитетов все еще оставался ряд нерешенных вопросов.</w:t>
      </w:r>
    </w:p>
    <w:p w:rsidR="00BF61DC" w:rsidRPr="00BF61DC" w:rsidRDefault="00BF61DC" w:rsidP="00BF61DC">
      <w:pPr>
        <w:pStyle w:val="ListParagraph"/>
        <w:tabs>
          <w:tab w:val="left" w:pos="0"/>
          <w:tab w:val="left" w:pos="709"/>
        </w:tabs>
        <w:ind w:left="0"/>
        <w:jc w:val="both"/>
        <w:rPr>
          <w:rFonts w:cs="Arial"/>
          <w:color w:val="000000"/>
          <w:lang w:val="ru-RU"/>
        </w:rPr>
      </w:pPr>
    </w:p>
    <w:p w:rsidR="00BF61DC" w:rsidRPr="00F70686" w:rsidRDefault="00BF61DC" w:rsidP="00BF61DC">
      <w:pPr>
        <w:pStyle w:val="ListParagraph"/>
        <w:numPr>
          <w:ilvl w:val="0"/>
          <w:numId w:val="136"/>
        </w:numPr>
        <w:tabs>
          <w:tab w:val="left" w:pos="567"/>
        </w:tabs>
        <w:ind w:left="0" w:firstLine="0"/>
        <w:jc w:val="both"/>
        <w:rPr>
          <w:rFonts w:eastAsia="SimSun" w:cs="Arial"/>
          <w:bCs/>
        </w:rPr>
      </w:pPr>
      <w:r w:rsidRPr="00BF61DC">
        <w:rPr>
          <w:lang w:val="ru-RU"/>
        </w:rPr>
        <w:t>В 2014</w:t>
      </w:r>
      <w:r>
        <w:t> </w:t>
      </w:r>
      <w:r w:rsidRPr="00BF61DC">
        <w:rPr>
          <w:lang w:val="ru-RU"/>
        </w:rPr>
        <w:t>г. и 2015</w:t>
      </w:r>
      <w:r>
        <w:t> </w:t>
      </w:r>
      <w:r w:rsidRPr="00BF61DC">
        <w:rPr>
          <w:lang w:val="ru-RU"/>
        </w:rPr>
        <w:t>г. был отмечен дальнейший прогресс на пути к вступлению в силу двух новых соглашений в области авторского права.  Еще восемь стран (Чили, Китай, Япония, Катар, Республика Молдова, Российская Федерация, Словакия и Объединенные Арабские Эмираты) ратифицировали Пекинский договор по аудиовизуальным исполнениям (Пекинский договор) или присоединились к нему, и теперь таких стран 10 (для вступления данного договора в силу их должно быть 30).  Марракешский договор об облегчении доступа слепых и лиц с нарушениями зрения или иными ограниченными способностями воспринимать печатную информацию к опубликованным произведениям (Марракешский договор о ЛНЗ) был подписан в общей сложности 80 странами к моменту истечения в июне 2014</w:t>
      </w:r>
      <w:r>
        <w:t> </w:t>
      </w:r>
      <w:r w:rsidRPr="00BF61DC">
        <w:rPr>
          <w:lang w:val="ru-RU"/>
        </w:rPr>
        <w:t>г. установленного срока.  Тринадцать стран ратифицировали Марракешский договор о ЛНЗ или присоединились к нему (Аргентина, Австралия, Бразилия, Сальвадор, Индия, Мали, Мексика, Монголия, Парагвай, Республика Корея, Сингапур, Объединенные Арабские Эмираты и Уругвай). Для его вступления в силу таких стран должно быть</w:t>
      </w:r>
      <w:r>
        <w:t> </w:t>
      </w:r>
      <w:r w:rsidRPr="00BF61DC">
        <w:rPr>
          <w:lang w:val="ru-RU"/>
        </w:rPr>
        <w:t xml:space="preserve">20.  Хотя целевые показатели по ратификации/ присоединению к этим договорам, которые были поставлены на двадцатой сессии Комитета по программе и бюджету, были достаточно амбициозными, учитывая необходимость сохранять выделение ресурсов в установленных пределах, в рамках программы удалось частично их достичь благодаря тому, что оказание содействия государствам-членам в области присоединения к договорам стало одним из приоритетов.  </w:t>
      </w:r>
      <w:r>
        <w:t xml:space="preserve">Применение этого подхода продолжится в двухлетний период 2016–2017 гг.     </w:t>
      </w:r>
    </w:p>
    <w:p w:rsidR="00BF61DC" w:rsidRPr="00B31E85" w:rsidRDefault="00BF61DC" w:rsidP="00BF61DC">
      <w:pPr>
        <w:jc w:val="both"/>
        <w:rPr>
          <w:rFonts w:eastAsia="SimSun" w:cs="Arial"/>
          <w:bCs/>
          <w:highlight w:val="yellow"/>
        </w:rPr>
      </w:pPr>
    </w:p>
    <w:p w:rsidR="00BF61DC" w:rsidRPr="00BF61DC" w:rsidRDefault="00BF61DC" w:rsidP="00BF61DC">
      <w:pPr>
        <w:pStyle w:val="ListParagraph"/>
        <w:numPr>
          <w:ilvl w:val="0"/>
          <w:numId w:val="136"/>
        </w:numPr>
        <w:tabs>
          <w:tab w:val="left" w:pos="567"/>
        </w:tabs>
        <w:ind w:left="0" w:firstLine="0"/>
        <w:jc w:val="both"/>
        <w:rPr>
          <w:rFonts w:eastAsia="SimSun"/>
          <w:lang w:val="ru-RU"/>
        </w:rPr>
      </w:pPr>
      <w:r w:rsidRPr="00BF61DC">
        <w:rPr>
          <w:lang w:val="ru-RU"/>
        </w:rPr>
        <w:t>В ходе пяти сессий ПКАП, состоявшихся в апреле</w:t>
      </w:r>
      <w:r>
        <w:t> </w:t>
      </w:r>
      <w:r w:rsidRPr="00BF61DC">
        <w:rPr>
          <w:lang w:val="ru-RU"/>
        </w:rPr>
        <w:t>– мае 2014</w:t>
      </w:r>
      <w:r>
        <w:t> </w:t>
      </w:r>
      <w:r w:rsidRPr="00BF61DC">
        <w:rPr>
          <w:lang w:val="ru-RU"/>
        </w:rPr>
        <w:t>г., июне</w:t>
      </w:r>
      <w:r>
        <w:t> </w:t>
      </w:r>
      <w:r w:rsidRPr="00BF61DC">
        <w:rPr>
          <w:lang w:val="ru-RU"/>
        </w:rPr>
        <w:t>– июле 2014</w:t>
      </w:r>
      <w:r>
        <w:t> </w:t>
      </w:r>
      <w:r w:rsidRPr="00BF61DC">
        <w:rPr>
          <w:lang w:val="ru-RU"/>
        </w:rPr>
        <w:t>г., декабре 2014</w:t>
      </w:r>
      <w:r>
        <w:t> </w:t>
      </w:r>
      <w:r w:rsidRPr="00BF61DC">
        <w:rPr>
          <w:lang w:val="ru-RU"/>
        </w:rPr>
        <w:t>г., июне</w:t>
      </w:r>
      <w:r>
        <w:t> </w:t>
      </w:r>
      <w:r w:rsidRPr="00BF61DC">
        <w:rPr>
          <w:lang w:val="ru-RU"/>
        </w:rPr>
        <w:t>– июле 2015</w:t>
      </w:r>
      <w:r>
        <w:t> </w:t>
      </w:r>
      <w:r w:rsidRPr="00BF61DC">
        <w:rPr>
          <w:lang w:val="ru-RU"/>
        </w:rPr>
        <w:t>г. и декабре 2015</w:t>
      </w:r>
      <w:r>
        <w:t> </w:t>
      </w:r>
      <w:r w:rsidRPr="00BF61DC">
        <w:rPr>
          <w:lang w:val="ru-RU"/>
        </w:rPr>
        <w:t xml:space="preserve">г., имело место дальнейшее обсуждение вопросов на повестке дня ПКАП. </w:t>
      </w:r>
      <w:r>
        <w:t> </w:t>
      </w:r>
      <w:r w:rsidRPr="00BF61DC">
        <w:rPr>
          <w:lang w:val="ru-RU"/>
        </w:rPr>
        <w:t xml:space="preserve"> Обсуждение в рамках ПКАП касалось предлагаемого договора о правах вещательных организаций и ограничений и исключений в интересах библиотек и архивов, образовательных и научно-исследовательских учреждений и лиц с другими ограниченными способностями (помимо тех, которые охвачены Марракешским договором по ЛНЗ). </w:t>
      </w:r>
      <w:r>
        <w:t> </w:t>
      </w:r>
      <w:r w:rsidRPr="00BF61DC">
        <w:rPr>
          <w:lang w:val="ru-RU"/>
        </w:rPr>
        <w:t xml:space="preserve"> Кроме того, на сессии, состоявшейся в декабре 2015</w:t>
      </w:r>
      <w:r>
        <w:t> </w:t>
      </w:r>
      <w:r w:rsidRPr="00BF61DC">
        <w:rPr>
          <w:lang w:val="ru-RU"/>
        </w:rPr>
        <w:t>г., в ПКАП поступило два предложения по новым пунктам повестки дня: один из них касался анализа авторского права, связанного с цифровой средой, а другой – права долевого участия.  Цель, связанная с проведением дипломатической конференции и разработкой нового договора, не была достигнута; государства-члены попросили исключить ее из числа целевых показателей на двухлетний период 2016–2017</w:t>
      </w:r>
      <w:r>
        <w:t> </w:t>
      </w:r>
      <w:r w:rsidRPr="00BF61DC">
        <w:rPr>
          <w:lang w:val="ru-RU"/>
        </w:rPr>
        <w:t>гг.</w:t>
      </w:r>
    </w:p>
    <w:p w:rsidR="00BF61DC" w:rsidRPr="00BF61DC" w:rsidRDefault="00BF61DC" w:rsidP="00BF61DC">
      <w:pPr>
        <w:jc w:val="both"/>
        <w:rPr>
          <w:rFonts w:eastAsia="SimSun" w:cs="Arial"/>
          <w:bCs/>
          <w:highlight w:val="yellow"/>
          <w:lang w:val="ru-RU"/>
        </w:rPr>
      </w:pPr>
    </w:p>
    <w:p w:rsidR="00BF61DC" w:rsidRPr="00BF61DC" w:rsidRDefault="00BF61DC" w:rsidP="00BF61DC">
      <w:pPr>
        <w:pStyle w:val="ListParagraph"/>
        <w:numPr>
          <w:ilvl w:val="0"/>
          <w:numId w:val="136"/>
        </w:numPr>
        <w:tabs>
          <w:tab w:val="left" w:pos="567"/>
        </w:tabs>
        <w:ind w:left="0" w:firstLine="0"/>
        <w:jc w:val="both"/>
        <w:rPr>
          <w:bCs/>
          <w:lang w:val="ru-RU"/>
        </w:rPr>
      </w:pPr>
      <w:r w:rsidRPr="00BF61DC">
        <w:rPr>
          <w:lang w:val="ru-RU"/>
        </w:rPr>
        <w:t>В рассматриваемый двухлетний период Постоянный комитет по законодательству в области товарных знаков, промышленных образцов и географических указаний (ПКТЗ) с тридцать первой по тридцать четвертую сессию продолжал работу над проектом Договора о законах по образцам, который должен быть принят на дипломатической конференции.  Вопрос о созыве такой дипломатической конференции был рассмотрен Генеральной Ассамблеей ВОИС на ее сорок седьмой (22-й очередной) сессии в октябре 2015</w:t>
      </w:r>
      <w:r>
        <w:t> </w:t>
      </w:r>
      <w:r w:rsidRPr="00BF61DC">
        <w:rPr>
          <w:lang w:val="ru-RU"/>
        </w:rPr>
        <w:t xml:space="preserve">г., на которой она приняла решение «созвать дипломатическую конференцию для принятия Договора о законах по образцам в конце первой половины 2017 г. только в том случае, если обсуждение вопросов оказания технической помощи и раскрытия будет завершено на тридцать четвертой и тридцать пятой сессиях ПКТЗ».  ПКТЗ продолжил работу над охраной названий стран и принял Справочный документ по охране названий стран от регистрации и использования в качестве товарных знаков (документ </w:t>
      </w:r>
      <w:r>
        <w:t>WIPO</w:t>
      </w:r>
      <w:r w:rsidRPr="00BF61DC">
        <w:rPr>
          <w:lang w:val="ru-RU"/>
        </w:rPr>
        <w:t>/</w:t>
      </w:r>
      <w:r>
        <w:t>Strad</w:t>
      </w:r>
      <w:r w:rsidRPr="00BF61DC">
        <w:rPr>
          <w:lang w:val="ru-RU"/>
        </w:rPr>
        <w:t>/</w:t>
      </w:r>
      <w:r>
        <w:t>INF</w:t>
      </w:r>
      <w:r w:rsidRPr="00BF61DC">
        <w:rPr>
          <w:lang w:val="ru-RU"/>
        </w:rPr>
        <w:t xml:space="preserve">/7).  Кроме того, несколько делегаций внесли предложения по вопросам работы ПКТЗ в области географических указаний.  </w:t>
      </w:r>
    </w:p>
    <w:p w:rsidR="00BF61DC" w:rsidRPr="00BF61DC" w:rsidRDefault="00BF61DC" w:rsidP="00BF61DC">
      <w:pPr>
        <w:pStyle w:val="ListParagraph"/>
        <w:tabs>
          <w:tab w:val="left" w:pos="709"/>
        </w:tabs>
        <w:autoSpaceDE w:val="0"/>
        <w:autoSpaceDN w:val="0"/>
        <w:ind w:left="0"/>
        <w:jc w:val="both"/>
        <w:rPr>
          <w:rFonts w:cs="Arial"/>
          <w:color w:val="000000"/>
          <w:highlight w:val="yellow"/>
          <w:lang w:val="ru-RU"/>
        </w:rPr>
      </w:pPr>
    </w:p>
    <w:p w:rsidR="00BF61DC" w:rsidRPr="00BF61DC" w:rsidRDefault="00BF61DC" w:rsidP="00BF61DC">
      <w:pPr>
        <w:pStyle w:val="ListParagraph"/>
        <w:numPr>
          <w:ilvl w:val="0"/>
          <w:numId w:val="136"/>
        </w:numPr>
        <w:tabs>
          <w:tab w:val="left" w:pos="567"/>
        </w:tabs>
        <w:ind w:left="0" w:firstLine="0"/>
        <w:jc w:val="both"/>
        <w:rPr>
          <w:rFonts w:cs="Arial"/>
          <w:color w:val="000000" w:themeColor="text1"/>
          <w:lang w:val="ru-RU"/>
        </w:rPr>
      </w:pPr>
      <w:r w:rsidRPr="00BF61DC">
        <w:rPr>
          <w:lang w:val="ru-RU"/>
        </w:rPr>
        <w:t>В соответствии с обновленным мандатом на двухлетний период, утвержденным Генеральной Ассамблеей ВОИС в октябре 2013</w:t>
      </w:r>
      <w:r>
        <w:t> </w:t>
      </w:r>
      <w:r w:rsidRPr="00BF61DC">
        <w:rPr>
          <w:lang w:val="ru-RU"/>
        </w:rPr>
        <w:t>г., и согласованной программой работы на 2014</w:t>
      </w:r>
      <w:r>
        <w:t> </w:t>
      </w:r>
      <w:r w:rsidRPr="00BF61DC">
        <w:rPr>
          <w:lang w:val="ru-RU"/>
        </w:rPr>
        <w:t>г., Межправительственный комитет ВОИС по интеллектуальной собственности, генетическим ресурсам, традиционным знаниям и фольклору провел три сессии в 2014</w:t>
      </w:r>
      <w:r>
        <w:t> </w:t>
      </w:r>
      <w:r w:rsidRPr="00BF61DC">
        <w:rPr>
          <w:lang w:val="ru-RU"/>
        </w:rPr>
        <w:t>г. (26-ю, 27-ю и 28-ю).</w:t>
      </w:r>
      <w:r w:rsidRPr="00BF61DC">
        <w:rPr>
          <w:color w:val="000000" w:themeColor="text1"/>
          <w:lang w:val="ru-RU"/>
        </w:rPr>
        <w:t xml:space="preserve">  В рамках 26-й сессии МКГР была проведена встреча на уровне послов/старших должностных лиц, базирующихся в столицах.  К концу 28-й сессии МКГР удалось доработать сводный текст по генетическим ресурсам (ГР) и добиться дальнейшего прогресса в работе над текстами по традиционным знаниям (ТЗ) и традиционным выражениям культуры (ТВК).  Дальнейшей активизации этого процесса способствовало проведение в 2014</w:t>
      </w:r>
      <w:r>
        <w:rPr>
          <w:color w:val="000000" w:themeColor="text1"/>
        </w:rPr>
        <w:t> </w:t>
      </w:r>
      <w:r w:rsidRPr="00BF61DC">
        <w:rPr>
          <w:color w:val="000000" w:themeColor="text1"/>
          <w:lang w:val="ru-RU"/>
        </w:rPr>
        <w:t>г. межсессионного совещания, организованного одним из государств-членов за пределами Женевы.  Содействуя осуществлению процесса, Секретариат, как и прежде, стремился выступать в роли нейтрального, профессионально и эффективно действующего координатора и проводил работу по дальнейшему повышению качества услуг, оказываемых участникам сессии МКГР в порядке выполнения рекомендаций по итогам оценки, которая проводилась Отделом внутреннего надзора (ОВН) ВОИС в 2013</w:t>
      </w:r>
      <w:r>
        <w:rPr>
          <w:color w:val="000000" w:themeColor="text1"/>
        </w:rPr>
        <w:t> </w:t>
      </w:r>
      <w:r w:rsidRPr="00BF61DC">
        <w:rPr>
          <w:color w:val="000000" w:themeColor="text1"/>
          <w:lang w:val="ru-RU"/>
        </w:rPr>
        <w:t>г. и показала высокий (96%) уровень удовлетворенности участников сессии МКГР качеством предоставляемых услуг. Хотя Секретариат продолжал прилагать все возможные усилия, чтобы обеспечить более широкое участие в работе МКГР представителей коренных народов и местных сообществ, объем средств Добровольного фонда ВОИС для аккредитованных представителей коренных и местных общин оставался очень низким.  При рассмотрении подготовленных текстов и достигнутых результатов Генеральная Ассамблея ВОИС, состоявшаяся в октябре 2014 г., не смогла согласовать программу работы МКГР на 2015</w:t>
      </w:r>
      <w:r>
        <w:rPr>
          <w:color w:val="000000" w:themeColor="text1"/>
        </w:rPr>
        <w:t> </w:t>
      </w:r>
      <w:r w:rsidRPr="00BF61DC">
        <w:rPr>
          <w:color w:val="000000" w:themeColor="text1"/>
          <w:lang w:val="ru-RU"/>
        </w:rPr>
        <w:t>г.  На Генеральной Ассамблее ВОИС, состоявшейся в октябре 2015</w:t>
      </w:r>
      <w:r>
        <w:rPr>
          <w:color w:val="000000" w:themeColor="text1"/>
        </w:rPr>
        <w:t> </w:t>
      </w:r>
      <w:r w:rsidRPr="00BF61DC">
        <w:rPr>
          <w:color w:val="000000" w:themeColor="text1"/>
          <w:lang w:val="ru-RU"/>
        </w:rPr>
        <w:t>г., был утвержден обновленный мандат МКГР на двухлетний период 2016–2017</w:t>
      </w:r>
      <w:r>
        <w:rPr>
          <w:color w:val="000000" w:themeColor="text1"/>
        </w:rPr>
        <w:t> </w:t>
      </w:r>
      <w:r w:rsidRPr="00BF61DC">
        <w:rPr>
          <w:color w:val="000000" w:themeColor="text1"/>
          <w:lang w:val="ru-RU"/>
        </w:rPr>
        <w:t>гг.</w:t>
      </w:r>
    </w:p>
    <w:p w:rsidR="00BF61DC" w:rsidRPr="00BF61DC" w:rsidRDefault="00BF61DC" w:rsidP="00BF61DC">
      <w:pPr>
        <w:rPr>
          <w:rFonts w:eastAsia="SimSun" w:cs="Arial"/>
          <w:bCs/>
          <w:highlight w:val="yellow"/>
          <w:lang w:val="ru-RU"/>
        </w:rPr>
      </w:pPr>
      <w:r w:rsidRPr="00BF61DC">
        <w:rPr>
          <w:highlight w:val="yellow"/>
          <w:lang w:val="ru-RU"/>
        </w:rPr>
        <w:t xml:space="preserve"> </w:t>
      </w:r>
    </w:p>
    <w:p w:rsidR="00BF61DC" w:rsidRPr="00BF61DC" w:rsidRDefault="00BF61DC" w:rsidP="00BF61DC">
      <w:pPr>
        <w:pStyle w:val="ListParagraph"/>
        <w:numPr>
          <w:ilvl w:val="0"/>
          <w:numId w:val="136"/>
        </w:numPr>
        <w:tabs>
          <w:tab w:val="left" w:pos="567"/>
        </w:tabs>
        <w:ind w:left="0" w:firstLine="0"/>
        <w:jc w:val="both"/>
        <w:rPr>
          <w:color w:val="000000"/>
          <w:lang w:val="ru-RU"/>
        </w:rPr>
      </w:pPr>
      <w:r w:rsidRPr="00BF61DC">
        <w:rPr>
          <w:color w:val="000000"/>
          <w:lang w:val="ru-RU"/>
        </w:rPr>
        <w:t xml:space="preserve">В рамках </w:t>
      </w:r>
      <w:r w:rsidRPr="00BF61DC">
        <w:rPr>
          <w:lang w:val="ru-RU"/>
        </w:rPr>
        <w:t>активизации</w:t>
      </w:r>
      <w:r w:rsidRPr="00BF61DC">
        <w:rPr>
          <w:color w:val="000000"/>
          <w:lang w:val="ru-RU"/>
        </w:rPr>
        <w:t xml:space="preserve"> сотрудничества между государствами-членами, направленного на дальнейшее развитие сбалансированной политики и нормативных систем, обеспечивающих функционирование международной патентной системы, в январе и ноябре 2014</w:t>
      </w:r>
      <w:r>
        <w:rPr>
          <w:color w:val="000000"/>
        </w:rPr>
        <w:t> </w:t>
      </w:r>
      <w:r w:rsidRPr="00BF61DC">
        <w:rPr>
          <w:color w:val="000000"/>
          <w:lang w:val="ru-RU"/>
        </w:rPr>
        <w:t>г., а также в июле и декабре 2015</w:t>
      </w:r>
      <w:r>
        <w:rPr>
          <w:color w:val="000000"/>
        </w:rPr>
        <w:t> </w:t>
      </w:r>
      <w:r w:rsidRPr="00BF61DC">
        <w:rPr>
          <w:color w:val="000000"/>
          <w:lang w:val="ru-RU"/>
        </w:rPr>
        <w:t>г. были проведены, соответственно, двадцатая, двадцать первая, двадцать вторая и двадцать третья сессии Постоянного комитета по патентному праву (ПКПП).  ПКПП продолжил рассмотрение пяти пунктов своей повестки дня, а именно: (</w:t>
      </w:r>
      <w:r>
        <w:rPr>
          <w:color w:val="000000"/>
        </w:rPr>
        <w:t>i</w:t>
      </w:r>
      <w:r w:rsidRPr="00BF61DC">
        <w:rPr>
          <w:color w:val="000000"/>
          <w:lang w:val="ru-RU"/>
        </w:rPr>
        <w:t>)</w:t>
      </w:r>
      <w:r>
        <w:rPr>
          <w:color w:val="000000"/>
        </w:rPr>
        <w:t> </w:t>
      </w:r>
      <w:r w:rsidRPr="00BF61DC">
        <w:rPr>
          <w:color w:val="000000"/>
          <w:lang w:val="ru-RU"/>
        </w:rPr>
        <w:t>ограничения и исключения из патентных прав; (</w:t>
      </w:r>
      <w:r>
        <w:rPr>
          <w:color w:val="000000"/>
        </w:rPr>
        <w:t>ii</w:t>
      </w:r>
      <w:r w:rsidRPr="00BF61DC">
        <w:rPr>
          <w:color w:val="000000"/>
          <w:lang w:val="ru-RU"/>
        </w:rPr>
        <w:t>)</w:t>
      </w:r>
      <w:r>
        <w:rPr>
          <w:color w:val="000000"/>
        </w:rPr>
        <w:t> </w:t>
      </w:r>
      <w:r w:rsidRPr="00BF61DC">
        <w:rPr>
          <w:color w:val="000000"/>
          <w:lang w:val="ru-RU"/>
        </w:rPr>
        <w:t>качество патентов, включая системы возражения; (</w:t>
      </w:r>
      <w:r>
        <w:rPr>
          <w:color w:val="000000"/>
        </w:rPr>
        <w:t>iii</w:t>
      </w:r>
      <w:r w:rsidRPr="00BF61DC">
        <w:rPr>
          <w:color w:val="000000"/>
          <w:lang w:val="ru-RU"/>
        </w:rPr>
        <w:t>)</w:t>
      </w:r>
      <w:r>
        <w:rPr>
          <w:color w:val="000000"/>
        </w:rPr>
        <w:t> </w:t>
      </w:r>
      <w:r w:rsidRPr="00BF61DC">
        <w:rPr>
          <w:color w:val="000000"/>
          <w:lang w:val="ru-RU"/>
        </w:rPr>
        <w:t>патенты и здравоохранение; (</w:t>
      </w:r>
      <w:r>
        <w:rPr>
          <w:color w:val="000000"/>
        </w:rPr>
        <w:t>iv</w:t>
      </w:r>
      <w:r w:rsidRPr="00BF61DC">
        <w:rPr>
          <w:color w:val="000000"/>
          <w:lang w:val="ru-RU"/>
        </w:rPr>
        <w:t>)</w:t>
      </w:r>
      <w:r>
        <w:rPr>
          <w:color w:val="000000"/>
        </w:rPr>
        <w:t> </w:t>
      </w:r>
      <w:r w:rsidRPr="00BF61DC">
        <w:rPr>
          <w:color w:val="000000"/>
          <w:lang w:val="ru-RU"/>
        </w:rPr>
        <w:t>обеспечение конфиденциальности обмена информацией между клиентом и патентным поверенным; и (</w:t>
      </w:r>
      <w:r>
        <w:rPr>
          <w:color w:val="000000"/>
        </w:rPr>
        <w:t>v</w:t>
      </w:r>
      <w:r w:rsidRPr="00BF61DC">
        <w:rPr>
          <w:color w:val="000000"/>
          <w:lang w:val="ru-RU"/>
        </w:rPr>
        <w:t>)</w:t>
      </w:r>
      <w:r>
        <w:rPr>
          <w:color w:val="000000"/>
        </w:rPr>
        <w:t> </w:t>
      </w:r>
      <w:r w:rsidRPr="00BF61DC">
        <w:rPr>
          <w:color w:val="000000"/>
          <w:lang w:val="ru-RU"/>
        </w:rPr>
        <w:t>передача технологий.</w:t>
      </w:r>
    </w:p>
    <w:p w:rsidR="00BF61DC" w:rsidRPr="00BF61DC" w:rsidRDefault="00BF61DC" w:rsidP="00BF61DC">
      <w:pPr>
        <w:rPr>
          <w:rFonts w:eastAsia="SimSun" w:cs="Arial"/>
          <w:bCs/>
          <w:lang w:val="ru-RU"/>
        </w:rPr>
      </w:pPr>
    </w:p>
    <w:p w:rsidR="00975156" w:rsidRDefault="00975156">
      <w:pPr>
        <w:rPr>
          <w:b/>
          <w:lang w:val="ru-RU"/>
        </w:rPr>
      </w:pPr>
      <w:r>
        <w:rPr>
          <w:b/>
          <w:lang w:val="ru-RU"/>
        </w:rPr>
        <w:br w:type="page"/>
      </w:r>
    </w:p>
    <w:p w:rsidR="00BF61DC" w:rsidRPr="00BF61DC" w:rsidRDefault="00BF61DC" w:rsidP="00BF61DC">
      <w:pPr>
        <w:jc w:val="center"/>
        <w:rPr>
          <w:b/>
          <w:lang w:val="ru-RU"/>
        </w:rPr>
      </w:pPr>
      <w:r w:rsidRPr="00BF61DC">
        <w:rPr>
          <w:b/>
          <w:lang w:val="ru-RU"/>
        </w:rPr>
        <w:t xml:space="preserve">Стратегическая цель </w:t>
      </w:r>
      <w:r>
        <w:rPr>
          <w:b/>
        </w:rPr>
        <w:t>II</w:t>
      </w:r>
      <w:r w:rsidR="00975156">
        <w:rPr>
          <w:b/>
          <w:lang w:val="ru-RU"/>
        </w:rPr>
        <w:t xml:space="preserve">: </w:t>
      </w:r>
      <w:r w:rsidRPr="00BF61DC">
        <w:rPr>
          <w:b/>
          <w:lang w:val="ru-RU"/>
        </w:rPr>
        <w:t xml:space="preserve"> Предоставление высококачественных услуг в глобальных системах охраны ИС</w:t>
      </w:r>
    </w:p>
    <w:p w:rsidR="00BF61DC" w:rsidRPr="00BF61DC" w:rsidRDefault="00BF61DC" w:rsidP="00BF61DC">
      <w:pPr>
        <w:jc w:val="center"/>
        <w:rPr>
          <w:b/>
          <w:iCs/>
          <w:lang w:val="ru-RU"/>
        </w:rPr>
      </w:pPr>
    </w:p>
    <w:p w:rsidR="00BF61DC" w:rsidRPr="006D6B52" w:rsidRDefault="00BF61DC" w:rsidP="00BF61DC">
      <w:pPr>
        <w:jc w:val="center"/>
        <w:rPr>
          <w:b/>
          <w:iCs/>
        </w:rPr>
      </w:pPr>
      <w:r>
        <w:rPr>
          <w:b/>
          <w:iCs/>
          <w:noProof/>
        </w:rPr>
        <w:drawing>
          <wp:inline distT="0" distB="0" distL="0" distR="0" wp14:anchorId="2B4DCE01" wp14:editId="62E4C21F">
            <wp:extent cx="4823209" cy="240233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836211" cy="2408812"/>
                    </a:xfrm>
                    <a:prstGeom prst="rect">
                      <a:avLst/>
                    </a:prstGeom>
                    <a:noFill/>
                    <a:ln>
                      <a:noFill/>
                    </a:ln>
                  </pic:spPr>
                </pic:pic>
              </a:graphicData>
            </a:graphic>
          </wp:inline>
        </w:drawing>
      </w:r>
    </w:p>
    <w:p w:rsidR="00BF61DC" w:rsidRDefault="00BF61DC" w:rsidP="00BF61DC">
      <w:pPr>
        <w:rPr>
          <w:b/>
          <w:sz w:val="18"/>
          <w:szCs w:val="18"/>
        </w:rPr>
      </w:pPr>
    </w:p>
    <w:p w:rsidR="00BF61DC" w:rsidRPr="00975156" w:rsidRDefault="00BF61DC" w:rsidP="00BF61DC">
      <w:pPr>
        <w:jc w:val="center"/>
        <w:rPr>
          <w:b/>
          <w:iCs/>
          <w:szCs w:val="20"/>
          <w:lang w:val="ru-RU"/>
        </w:rPr>
      </w:pPr>
      <w:r w:rsidRPr="00975156">
        <w:rPr>
          <w:b/>
          <w:szCs w:val="20"/>
          <w:lang w:val="ru-RU"/>
        </w:rPr>
        <w:t>Краткий обзор достижений в разбивке по ожидаемым результатам</w:t>
      </w:r>
    </w:p>
    <w:p w:rsidR="00BF61DC" w:rsidRDefault="00BF61DC" w:rsidP="00BF61DC">
      <w:pPr>
        <w:jc w:val="center"/>
        <w:rPr>
          <w:b/>
          <w:sz w:val="18"/>
          <w:szCs w:val="18"/>
        </w:rPr>
      </w:pPr>
      <w:r>
        <w:rPr>
          <w:b/>
          <w:noProof/>
          <w:sz w:val="18"/>
          <w:szCs w:val="18"/>
        </w:rPr>
        <w:drawing>
          <wp:inline distT="0" distB="0" distL="0" distR="0" wp14:anchorId="7CF7FD38" wp14:editId="50BA4501">
            <wp:extent cx="4971028" cy="3340526"/>
            <wp:effectExtent l="0" t="0" r="127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78648" cy="3345647"/>
                    </a:xfrm>
                    <a:prstGeom prst="rect">
                      <a:avLst/>
                    </a:prstGeom>
                    <a:noFill/>
                    <a:ln>
                      <a:noFill/>
                    </a:ln>
                  </pic:spPr>
                </pic:pic>
              </a:graphicData>
            </a:graphic>
          </wp:inline>
        </w:drawing>
      </w:r>
    </w:p>
    <w:p w:rsidR="00BF61DC" w:rsidRPr="00975156" w:rsidRDefault="00BF61DC" w:rsidP="00BF61DC">
      <w:pPr>
        <w:jc w:val="center"/>
        <w:rPr>
          <w:rFonts w:cs="Arial"/>
          <w:sz w:val="18"/>
          <w:szCs w:val="18"/>
        </w:rPr>
      </w:pPr>
    </w:p>
    <w:p w:rsidR="00BF61DC" w:rsidRPr="00975156" w:rsidRDefault="00BF61DC" w:rsidP="00BF61DC">
      <w:pPr>
        <w:pStyle w:val="ListParagraph"/>
        <w:numPr>
          <w:ilvl w:val="0"/>
          <w:numId w:val="136"/>
        </w:numPr>
        <w:tabs>
          <w:tab w:val="left" w:pos="567"/>
        </w:tabs>
        <w:ind w:left="0" w:firstLine="0"/>
        <w:jc w:val="both"/>
        <w:rPr>
          <w:rFonts w:cs="Arial"/>
          <w:sz w:val="18"/>
          <w:szCs w:val="18"/>
          <w:lang w:val="ru-RU"/>
        </w:rPr>
      </w:pPr>
      <w:r w:rsidRPr="00975156">
        <w:rPr>
          <w:rFonts w:cs="Arial"/>
          <w:lang w:val="ru-RU"/>
        </w:rPr>
        <w:t xml:space="preserve">В рассматриваемый двухлетний период, несмотря на сохраняющуюся неустойчивую ситуацию в мировой экономике, на протяжении пятого и шестого года подряд наблюдалось значительное расширение объемов деятельности в рамках международных регистрационных систем.  </w:t>
      </w:r>
    </w:p>
    <w:p w:rsidR="00BF61DC" w:rsidRPr="00975156" w:rsidRDefault="00BF61DC" w:rsidP="00BF61DC">
      <w:pPr>
        <w:jc w:val="both"/>
        <w:rPr>
          <w:rFonts w:cs="Arial"/>
          <w:highlight w:val="yellow"/>
          <w:lang w:val="ru-RU"/>
        </w:rPr>
      </w:pPr>
    </w:p>
    <w:p w:rsidR="00BF61DC" w:rsidRPr="00975156" w:rsidRDefault="00BF61DC" w:rsidP="00BF61DC">
      <w:pPr>
        <w:pStyle w:val="ListParagraph"/>
        <w:numPr>
          <w:ilvl w:val="0"/>
          <w:numId w:val="136"/>
        </w:numPr>
        <w:tabs>
          <w:tab w:val="left" w:pos="567"/>
        </w:tabs>
        <w:ind w:left="0" w:firstLine="0"/>
        <w:jc w:val="both"/>
        <w:rPr>
          <w:rFonts w:cs="Arial"/>
          <w:lang w:val="ru-RU"/>
        </w:rPr>
      </w:pPr>
      <w:r w:rsidRPr="00975156">
        <w:rPr>
          <w:rFonts w:cs="Arial"/>
          <w:lang w:val="ru-RU"/>
        </w:rPr>
        <w:t>Сохранялся устойчивый рост числа международных патентных заявок, поданных в рамках Договора о патентной кооперации (</w:t>
      </w:r>
      <w:r w:rsidRPr="00975156">
        <w:rPr>
          <w:rFonts w:cs="Arial"/>
        </w:rPr>
        <w:t>PCT</w:t>
      </w:r>
      <w:r w:rsidRPr="00975156">
        <w:rPr>
          <w:rFonts w:cs="Arial"/>
          <w:lang w:val="ru-RU"/>
        </w:rPr>
        <w:t>) как в 2014</w:t>
      </w:r>
      <w:r w:rsidRPr="00975156">
        <w:rPr>
          <w:rFonts w:cs="Arial"/>
        </w:rPr>
        <w:t> </w:t>
      </w:r>
      <w:r w:rsidRPr="00975156">
        <w:rPr>
          <w:rFonts w:cs="Arial"/>
          <w:lang w:val="ru-RU"/>
        </w:rPr>
        <w:t>г. (214</w:t>
      </w:r>
      <w:r w:rsidRPr="00975156">
        <w:rPr>
          <w:rFonts w:cs="Arial"/>
        </w:rPr>
        <w:t> </w:t>
      </w:r>
      <w:r w:rsidRPr="00975156">
        <w:rPr>
          <w:rFonts w:cs="Arial"/>
          <w:lang w:val="ru-RU"/>
        </w:rPr>
        <w:t>500 заявок, что на 4,5</w:t>
      </w:r>
      <w:r w:rsidRPr="00975156">
        <w:rPr>
          <w:rFonts w:cs="Arial"/>
        </w:rPr>
        <w:t> </w:t>
      </w:r>
      <w:r w:rsidRPr="00975156">
        <w:rPr>
          <w:rFonts w:cs="Arial"/>
          <w:lang w:val="ru-RU"/>
        </w:rPr>
        <w:t>процента больше, чем в 2013</w:t>
      </w:r>
      <w:r w:rsidRPr="00975156">
        <w:rPr>
          <w:rFonts w:cs="Arial"/>
        </w:rPr>
        <w:t> </w:t>
      </w:r>
      <w:r w:rsidRPr="00975156">
        <w:rPr>
          <w:rFonts w:cs="Arial"/>
          <w:lang w:val="ru-RU"/>
        </w:rPr>
        <w:t>г.), так и в 2015</w:t>
      </w:r>
      <w:r w:rsidRPr="00975156">
        <w:rPr>
          <w:rFonts w:cs="Arial"/>
        </w:rPr>
        <w:t> </w:t>
      </w:r>
      <w:r w:rsidRPr="00975156">
        <w:rPr>
          <w:rFonts w:cs="Arial"/>
          <w:lang w:val="ru-RU"/>
        </w:rPr>
        <w:t>г. (218</w:t>
      </w:r>
      <w:r w:rsidRPr="00975156">
        <w:rPr>
          <w:rFonts w:cs="Arial"/>
        </w:rPr>
        <w:t> </w:t>
      </w:r>
      <w:r w:rsidRPr="00975156">
        <w:rPr>
          <w:rFonts w:cs="Arial"/>
          <w:lang w:val="ru-RU"/>
        </w:rPr>
        <w:t>000</w:t>
      </w:r>
      <w:r w:rsidRPr="00975156">
        <w:rPr>
          <w:rFonts w:cs="Arial"/>
        </w:rPr>
        <w:t> </w:t>
      </w:r>
      <w:r w:rsidRPr="00975156">
        <w:rPr>
          <w:rFonts w:cs="Arial"/>
          <w:lang w:val="ru-RU"/>
        </w:rPr>
        <w:t>заявок, что на 1,7</w:t>
      </w:r>
      <w:r w:rsidRPr="00975156">
        <w:rPr>
          <w:rFonts w:cs="Arial"/>
        </w:rPr>
        <w:t> </w:t>
      </w:r>
      <w:r w:rsidRPr="00975156">
        <w:rPr>
          <w:rFonts w:cs="Arial"/>
          <w:lang w:val="ru-RU"/>
        </w:rPr>
        <w:t>процента больше, чем в 2014</w:t>
      </w:r>
      <w:r w:rsidRPr="00975156">
        <w:rPr>
          <w:rFonts w:cs="Arial"/>
        </w:rPr>
        <w:t> </w:t>
      </w:r>
      <w:r w:rsidRPr="00975156">
        <w:rPr>
          <w:rFonts w:cs="Arial"/>
          <w:lang w:val="ru-RU"/>
        </w:rPr>
        <w:t>г.).  В 2015</w:t>
      </w:r>
      <w:r w:rsidRPr="00975156">
        <w:rPr>
          <w:rFonts w:cs="Arial"/>
        </w:rPr>
        <w:t> </w:t>
      </w:r>
      <w:r w:rsidRPr="00975156">
        <w:rPr>
          <w:rFonts w:cs="Arial"/>
          <w:lang w:val="ru-RU"/>
        </w:rPr>
        <w:t>г. был поставлен новый рекорд по числу поданных за год патентных заявок.  Ведущие позиции в сфере подачи международных патентных заявок оба года рассматриваемого двухлетнего периода занимали три гигантских телекоммуникационных компании из Китая и Соединенных Штатах Америки.</w:t>
      </w:r>
    </w:p>
    <w:p w:rsidR="00BF61DC" w:rsidRPr="00BF61DC" w:rsidRDefault="00BF61DC" w:rsidP="00BF61DC">
      <w:pPr>
        <w:shd w:val="clear" w:color="auto" w:fill="FFFFFF"/>
        <w:jc w:val="both"/>
        <w:rPr>
          <w:highlight w:val="yellow"/>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На своей седьмой и восьмой сессиях, проведенных в 2014</w:t>
      </w:r>
      <w:r>
        <w:t> </w:t>
      </w:r>
      <w:r w:rsidRPr="00BF61DC">
        <w:rPr>
          <w:lang w:val="ru-RU"/>
        </w:rPr>
        <w:t>г. и 2015</w:t>
      </w:r>
      <w:r>
        <w:t> </w:t>
      </w:r>
      <w:r w:rsidRPr="00BF61DC">
        <w:rPr>
          <w:lang w:val="ru-RU"/>
        </w:rPr>
        <w:t xml:space="preserve">г., Рабочая группа </w:t>
      </w:r>
      <w:r>
        <w:t>PCT</w:t>
      </w:r>
      <w:r w:rsidRPr="00BF61DC">
        <w:rPr>
          <w:lang w:val="ru-RU"/>
        </w:rPr>
        <w:t xml:space="preserve"> продолжила обсуждение ряда предложений по совершенствованию механизма функционирования системы РСТ.  Обсуждения проходили в соответствии с рекомендациями, утвержденными Рабочей группой на ее третьей сессии, среди которых были рекомендации по поводу того, как можно увязать будущее развитие РСТ с выполнением соответствующих рекомендаций ПДР, в частности рекомендаций кластеров А и С.  В 2014</w:t>
      </w:r>
      <w:r>
        <w:t> </w:t>
      </w:r>
      <w:r w:rsidRPr="00BF61DC">
        <w:rPr>
          <w:lang w:val="ru-RU"/>
        </w:rPr>
        <w:t>г. были достигнуты следующие заметные успехи: (</w:t>
      </w:r>
      <w:r>
        <w:t>i</w:t>
      </w:r>
      <w:r w:rsidRPr="00BF61DC">
        <w:rPr>
          <w:lang w:val="ru-RU"/>
        </w:rPr>
        <w:t>)</w:t>
      </w:r>
      <w:r>
        <w:t> </w:t>
      </w:r>
      <w:r w:rsidRPr="00BF61DC">
        <w:rPr>
          <w:lang w:val="ru-RU"/>
        </w:rPr>
        <w:t>согласование новых критериев получения права на сокращение пошлин для заявителей из некоторых стран, что позволило расширить число развивающихся стран и НРС, на которые распространяется такой порядок сокращения пошлин; (</w:t>
      </w:r>
      <w:r>
        <w:t>ii</w:t>
      </w:r>
      <w:r w:rsidRPr="00BF61DC">
        <w:rPr>
          <w:lang w:val="ru-RU"/>
        </w:rPr>
        <w:t>)</w:t>
      </w:r>
      <w:r>
        <w:t> </w:t>
      </w:r>
      <w:r w:rsidRPr="00BF61DC">
        <w:rPr>
          <w:lang w:val="ru-RU"/>
        </w:rPr>
        <w:t>пересмотр процедуры назначения новых международных поисковых органов и органов предварительной экспертизы в целях обеспечения наличия у потенциальных органов инфраструктуры и ресурсов, необходимых для выполнения таких функций.  В 2015</w:t>
      </w:r>
      <w:r>
        <w:t> </w:t>
      </w:r>
      <w:r w:rsidRPr="00BF61DC">
        <w:rPr>
          <w:lang w:val="ru-RU"/>
        </w:rPr>
        <w:t>г. были достигнуты следующие заметные успехи: (</w:t>
      </w:r>
      <w:r>
        <w:t>i</w:t>
      </w:r>
      <w:r w:rsidRPr="00BF61DC">
        <w:rPr>
          <w:lang w:val="ru-RU"/>
        </w:rPr>
        <w:t>)</w:t>
      </w:r>
      <w:r>
        <w:t> </w:t>
      </w:r>
      <w:r w:rsidRPr="00BF61DC">
        <w:rPr>
          <w:lang w:val="ru-RU"/>
        </w:rPr>
        <w:t>достижение договоренности о передаче результатов поиска и классификации по более ранним заявкам международным поисковым органам в целях повышения эффективности и содействия повышению качества международного поиска; (</w:t>
      </w:r>
      <w:r>
        <w:t>ii</w:t>
      </w:r>
      <w:r w:rsidRPr="00BF61DC">
        <w:rPr>
          <w:lang w:val="ru-RU"/>
        </w:rPr>
        <w:t>)</w:t>
      </w:r>
      <w:r>
        <w:t> </w:t>
      </w:r>
      <w:r w:rsidRPr="00BF61DC">
        <w:rPr>
          <w:lang w:val="ru-RU"/>
        </w:rPr>
        <w:t xml:space="preserve">достижение договоренности, согласно которой указанное ведомство должно своевременно направлять информацию в МБ по заявкам на национальной фазе, что позволит существенно повысить качество данных по рассматриваемым и выданным национальным патентам.  МБ также представило оценки того, насколько количество заявок </w:t>
      </w:r>
      <w:r>
        <w:t>PCT</w:t>
      </w:r>
      <w:r w:rsidRPr="00BF61DC">
        <w:rPr>
          <w:lang w:val="ru-RU"/>
        </w:rPr>
        <w:t xml:space="preserve"> зависит от изменений международной пошлины за подачу, показав на моделях, какое влияние может оказать потенциальное снижение пошлины на число заявок, подаваемых университетами и государственными исследовательскими учреждениями как в развитых, так и в развивающихся странах.</w:t>
      </w:r>
    </w:p>
    <w:p w:rsidR="00BF61DC" w:rsidRPr="00BF61DC" w:rsidRDefault="00BF61DC" w:rsidP="00BF61DC">
      <w:pPr>
        <w:pStyle w:val="ListParagraph"/>
        <w:tabs>
          <w:tab w:val="left" w:pos="0"/>
          <w:tab w:val="left" w:pos="567"/>
        </w:tabs>
        <w:ind w:left="0"/>
        <w:jc w:val="both"/>
        <w:rPr>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В 2014</w:t>
      </w:r>
      <w:r>
        <w:t> </w:t>
      </w:r>
      <w:r w:rsidRPr="00BF61DC">
        <w:rPr>
          <w:lang w:val="ru-RU"/>
        </w:rPr>
        <w:t>г. активность использования Мадридской системы возросла на 2,3</w:t>
      </w:r>
      <w:r>
        <w:t> </w:t>
      </w:r>
      <w:r w:rsidRPr="00BF61DC">
        <w:rPr>
          <w:lang w:val="ru-RU"/>
        </w:rPr>
        <w:t>процента по сравнению с 2013</w:t>
      </w:r>
      <w:r>
        <w:t> </w:t>
      </w:r>
      <w:r w:rsidRPr="00BF61DC">
        <w:rPr>
          <w:lang w:val="ru-RU"/>
        </w:rPr>
        <w:t>г., а общее число полученных заявок достигло 47</w:t>
      </w:r>
      <w:r>
        <w:t> </w:t>
      </w:r>
      <w:r w:rsidRPr="00BF61DC">
        <w:rPr>
          <w:lang w:val="ru-RU"/>
        </w:rPr>
        <w:t>885.  В 2014</w:t>
      </w:r>
      <w:r>
        <w:t> </w:t>
      </w:r>
      <w:r w:rsidRPr="00BF61DC">
        <w:rPr>
          <w:lang w:val="ru-RU"/>
        </w:rPr>
        <w:t>г. Соединенные Штаты Америки обошли Германию, став крупнейшим пользователем Мадридской системы, что стало свидетельством ее географической трансформации.  В 2015</w:t>
      </w:r>
      <w:r>
        <w:t> </w:t>
      </w:r>
      <w:r w:rsidRPr="00BF61DC">
        <w:rPr>
          <w:lang w:val="ru-RU"/>
        </w:rPr>
        <w:t>г. было получено в общей сложности 49</w:t>
      </w:r>
      <w:r>
        <w:t> </w:t>
      </w:r>
      <w:r w:rsidRPr="00BF61DC">
        <w:rPr>
          <w:lang w:val="ru-RU"/>
        </w:rPr>
        <w:t>273 заявки, на 2,9</w:t>
      </w:r>
      <w:r>
        <w:t> </w:t>
      </w:r>
      <w:r w:rsidRPr="00BF61DC">
        <w:rPr>
          <w:lang w:val="ru-RU"/>
        </w:rPr>
        <w:t>процента больше, чем в 2014</w:t>
      </w:r>
      <w:r>
        <w:t> </w:t>
      </w:r>
      <w:r w:rsidRPr="00BF61DC">
        <w:rPr>
          <w:lang w:val="ru-RU"/>
        </w:rPr>
        <w:t>г.  Это подтверждает уверенный рост на протяжении двухлетнего периода, особенно учитывая, что из-за удорожания швейцарского франка в 2015</w:t>
      </w:r>
      <w:r>
        <w:t> </w:t>
      </w:r>
      <w:r w:rsidRPr="00BF61DC">
        <w:rPr>
          <w:lang w:val="ru-RU"/>
        </w:rPr>
        <w:t>г. использование Мадридской системы стало дороже для заявителей из целого ряда стран, где подается большое число заявок.  В рассматриваемый двухлетний период наблюдалось расширение географического охвата Мадридской системы.  В 2014</w:t>
      </w:r>
      <w:r>
        <w:t> </w:t>
      </w:r>
      <w:r w:rsidRPr="00BF61DC">
        <w:rPr>
          <w:lang w:val="ru-RU"/>
        </w:rPr>
        <w:t>г. к Мадридскому протоколу присоединились Зимбабве и Африканская организация интеллектуальной собственности (АОИС).  Поскольку АОИС является межправительственной организацией, в состав которой входят 17 стран, только в результате этих двух присоединений число стран, в которых пользователи имеют возможность в централизованном порядке через Мадридскую систему обеспечивать охрану своих товарных знаков и управлять ими, возросло с 94 до 110 только за 2014</w:t>
      </w:r>
      <w:r>
        <w:t> </w:t>
      </w:r>
      <w:r w:rsidRPr="00BF61DC">
        <w:rPr>
          <w:lang w:val="ru-RU"/>
        </w:rPr>
        <w:t>г.  В 2015</w:t>
      </w:r>
      <w:r>
        <w:t> </w:t>
      </w:r>
      <w:r w:rsidRPr="00BF61DC">
        <w:rPr>
          <w:lang w:val="ru-RU"/>
        </w:rPr>
        <w:t>г. Алжир, Камбоджа, Гамбия и Лаосская Народно-Демократическая Республика также присоединились к Протоколу, в результате чего к концу двухлетнего периода общее число Договаривающихся сторон достигло 97, охватив 113</w:t>
      </w:r>
      <w:r>
        <w:t> </w:t>
      </w:r>
      <w:r w:rsidRPr="00BF61DC">
        <w:rPr>
          <w:lang w:val="ru-RU"/>
        </w:rPr>
        <w:t>стран.  Поскольку Алжир был последней Договаривающейся стороной Мадридского союза, которая была членом только Мадридского соглашения, теперь Мадридская система в практических целях функционирует как единая договорная система.</w:t>
      </w:r>
    </w:p>
    <w:p w:rsidR="00BF61DC" w:rsidRPr="00BF61DC" w:rsidRDefault="00BF61DC" w:rsidP="00BF61DC">
      <w:pPr>
        <w:pStyle w:val="ListParagraph"/>
        <w:tabs>
          <w:tab w:val="left" w:pos="709"/>
        </w:tabs>
        <w:ind w:left="0"/>
        <w:jc w:val="both"/>
        <w:rPr>
          <w:rFonts w:cs="Arial"/>
          <w:highlight w:val="yellow"/>
          <w:lang w:val="ru-RU"/>
        </w:rPr>
      </w:pPr>
    </w:p>
    <w:p w:rsidR="00BF61DC" w:rsidRPr="00975156" w:rsidRDefault="00BF61DC" w:rsidP="00BF61DC">
      <w:pPr>
        <w:pStyle w:val="ListParagraph"/>
        <w:numPr>
          <w:ilvl w:val="0"/>
          <w:numId w:val="136"/>
        </w:numPr>
        <w:tabs>
          <w:tab w:val="left" w:pos="567"/>
        </w:tabs>
        <w:ind w:left="0" w:firstLine="0"/>
        <w:jc w:val="both"/>
        <w:rPr>
          <w:rFonts w:cs="Arial"/>
          <w:lang w:val="ru-RU"/>
        </w:rPr>
      </w:pPr>
      <w:r w:rsidRPr="00BF61DC">
        <w:rPr>
          <w:lang w:val="ru-RU"/>
        </w:rPr>
        <w:t>В 2014–2015</w:t>
      </w:r>
      <w:r>
        <w:t> </w:t>
      </w:r>
      <w:r w:rsidRPr="00BF61DC">
        <w:rPr>
          <w:lang w:val="ru-RU"/>
        </w:rPr>
        <w:t>гг. Гаагская система активно развивалась.  В 2014</w:t>
      </w:r>
      <w:r>
        <w:t> </w:t>
      </w:r>
      <w:r w:rsidRPr="00BF61DC">
        <w:rPr>
          <w:lang w:val="ru-RU"/>
        </w:rPr>
        <w:t>г. участником Женевского акта (1999</w:t>
      </w:r>
      <w:r>
        <w:t> </w:t>
      </w:r>
      <w:r w:rsidRPr="00BF61DC">
        <w:rPr>
          <w:lang w:val="ru-RU"/>
        </w:rPr>
        <w:t>г.) Гаагского соглашения о международной регистрации промышленных образцов (далее именуемого «Акт 1999 г.») стала Республика Корея, а в 2015</w:t>
      </w:r>
      <w:r>
        <w:t> </w:t>
      </w:r>
      <w:r w:rsidRPr="00BF61DC">
        <w:rPr>
          <w:lang w:val="ru-RU"/>
        </w:rPr>
        <w:t>г. – Япония, Туркменистан и Соединенные Штаты Америки.  В результате число Договаривающихся сторон этого Акта достигло 50.  Хотя целевые показатели не были достигнуты, присоединение Республики Корея, Соединенных Штатов Америки и Японии (которые соответственно занимают третье, четвертое и пятое место в мире среди юрисдикций, где подается наибольшее число заявок на регистрацию образцов) значительно повысило уровень привлекательности Гаагской системы.  В результате число международных заявок увеличилось более чем на 40</w:t>
      </w:r>
      <w:r>
        <w:t> </w:t>
      </w:r>
      <w:r w:rsidRPr="00BF61DC">
        <w:rPr>
          <w:lang w:val="ru-RU"/>
        </w:rPr>
        <w:t>процентов в 2015</w:t>
      </w:r>
      <w:r>
        <w:t> </w:t>
      </w:r>
      <w:r w:rsidRPr="00BF61DC">
        <w:rPr>
          <w:lang w:val="ru-RU"/>
        </w:rPr>
        <w:t>г. по сравнению с 2014</w:t>
      </w:r>
      <w:r>
        <w:t> </w:t>
      </w:r>
      <w:r w:rsidRPr="00BF61DC">
        <w:rPr>
          <w:lang w:val="ru-RU"/>
        </w:rPr>
        <w:t>г., что было существенно больше, чем ожидалось.  Кроме того, благодаря такому расширению к концу двухлетнего периода появились убедительные признаки заинтересованности в присоединении со стороны другие потенциальных Договаривающихся сторон, в том числе тех стран, которые являются сторонами более ранних актов.  В этой связи по состоянию на конец 2015</w:t>
      </w:r>
      <w:r>
        <w:t> </w:t>
      </w:r>
      <w:r w:rsidRPr="00BF61DC">
        <w:rPr>
          <w:lang w:val="ru-RU"/>
        </w:rPr>
        <w:t>г. для прекращения действия Акта 1934 г. по-прежнему требовалось согласие еще двух участников, а четыре Договаривающиеся стороны, не входящие в Европейский союз (ЕС) и Африканскую организацию интеллектуальной собственности (АОИС), все еще были связаны только положениями Акта 1960</w:t>
      </w:r>
      <w:r>
        <w:t> </w:t>
      </w:r>
      <w:r w:rsidRPr="00BF61DC">
        <w:rPr>
          <w:lang w:val="ru-RU"/>
        </w:rPr>
        <w:t>г.</w:t>
      </w:r>
    </w:p>
    <w:p w:rsidR="00975156" w:rsidRPr="00BF61DC" w:rsidRDefault="00975156" w:rsidP="00975156">
      <w:pPr>
        <w:pStyle w:val="ListParagraph"/>
        <w:tabs>
          <w:tab w:val="left" w:pos="567"/>
        </w:tabs>
        <w:ind w:left="0"/>
        <w:jc w:val="both"/>
        <w:rPr>
          <w:rFonts w:cs="Arial"/>
          <w:lang w:val="ru-RU"/>
        </w:rPr>
      </w:pPr>
    </w:p>
    <w:p w:rsidR="00BF61DC" w:rsidRPr="00BF61DC" w:rsidRDefault="00BF61DC" w:rsidP="00975156">
      <w:pPr>
        <w:pStyle w:val="ListParagraph"/>
        <w:numPr>
          <w:ilvl w:val="0"/>
          <w:numId w:val="136"/>
        </w:numPr>
        <w:tabs>
          <w:tab w:val="left" w:pos="567"/>
        </w:tabs>
        <w:ind w:left="0" w:firstLine="0"/>
        <w:jc w:val="both"/>
        <w:rPr>
          <w:rFonts w:cs="Arial"/>
          <w:lang w:val="ru-RU"/>
        </w:rPr>
      </w:pPr>
      <w:r w:rsidRPr="00BF61DC">
        <w:rPr>
          <w:lang w:val="ru-RU"/>
        </w:rPr>
        <w:t>В 2009</w:t>
      </w:r>
      <w:r>
        <w:t> </w:t>
      </w:r>
      <w:r w:rsidRPr="00BF61DC">
        <w:rPr>
          <w:lang w:val="ru-RU"/>
        </w:rPr>
        <w:t>г. Ассамблея Лиссабонского союза поручила Рабочей группе по развитию Лиссабонской системы провести ее полномасштабный анализ в целях повышения привлекательности системы для пользователей и потенциальных новых членов при одновременном соблюдении принципов и целей Лиссабонского соглашения.  Учитывая прогресс, которого удалось добиться Рабочей группе, Ассамблея Лиссабонского союза приняла в 2013</w:t>
      </w:r>
      <w:r>
        <w:t> </w:t>
      </w:r>
      <w:r w:rsidRPr="00BF61DC">
        <w:rPr>
          <w:lang w:val="ru-RU"/>
        </w:rPr>
        <w:t>г. решение созвать в 2015</w:t>
      </w:r>
      <w:r>
        <w:t> </w:t>
      </w:r>
      <w:r w:rsidRPr="00BF61DC">
        <w:rPr>
          <w:lang w:val="ru-RU"/>
        </w:rPr>
        <w:t>г. дипломатическую конференцию для принятия пересмотренного текста Лиссабонского соглашения об охране наименований мест происхождения и географических указаний.  В октябре 2014</w:t>
      </w:r>
      <w:r>
        <w:t> </w:t>
      </w:r>
      <w:r w:rsidRPr="00BF61DC">
        <w:rPr>
          <w:lang w:val="ru-RU"/>
        </w:rPr>
        <w:t>г. Рабочая группа завершила подготовительную работу.  С 11 по 21</w:t>
      </w:r>
      <w:r>
        <w:t> </w:t>
      </w:r>
      <w:r w:rsidRPr="00BF61DC">
        <w:rPr>
          <w:lang w:val="ru-RU"/>
        </w:rPr>
        <w:t>мая 2015</w:t>
      </w:r>
      <w:r>
        <w:t> </w:t>
      </w:r>
      <w:r w:rsidRPr="00BF61DC">
        <w:rPr>
          <w:lang w:val="ru-RU"/>
        </w:rPr>
        <w:t>г. в Женеве прошла дипломатическая конференция для принятия Нового акта Лиссабонского соглашения, и 20</w:t>
      </w:r>
      <w:r>
        <w:t> </w:t>
      </w:r>
      <w:r w:rsidRPr="00BF61DC">
        <w:rPr>
          <w:lang w:val="ru-RU"/>
        </w:rPr>
        <w:t>мая 2015</w:t>
      </w:r>
      <w:r>
        <w:t> </w:t>
      </w:r>
      <w:r w:rsidRPr="00BF61DC">
        <w:rPr>
          <w:lang w:val="ru-RU"/>
        </w:rPr>
        <w:t>г. был принят Женевский акт Лиссабонского соглашения о наименованиях мест происхождения и географических указаниях.</w:t>
      </w:r>
    </w:p>
    <w:p w:rsidR="00BF61DC" w:rsidRPr="00BF61DC" w:rsidRDefault="00BF61DC" w:rsidP="00BF61DC">
      <w:pPr>
        <w:pStyle w:val="ListParagraph"/>
        <w:tabs>
          <w:tab w:val="left" w:pos="709"/>
        </w:tabs>
        <w:ind w:left="0"/>
        <w:jc w:val="both"/>
        <w:rPr>
          <w:rFonts w:cs="Arial"/>
          <w:highlight w:val="yellow"/>
          <w:lang w:val="ru-RU"/>
        </w:rPr>
      </w:pPr>
    </w:p>
    <w:p w:rsidR="00BF61DC" w:rsidRPr="00BF61DC" w:rsidRDefault="00BF61DC" w:rsidP="00BF61DC">
      <w:pPr>
        <w:pStyle w:val="ListParagraph"/>
        <w:numPr>
          <w:ilvl w:val="0"/>
          <w:numId w:val="136"/>
        </w:numPr>
        <w:tabs>
          <w:tab w:val="left" w:pos="567"/>
        </w:tabs>
        <w:ind w:left="0" w:firstLine="0"/>
        <w:jc w:val="both"/>
        <w:rPr>
          <w:bCs/>
          <w:lang w:val="ru-RU"/>
        </w:rPr>
      </w:pPr>
      <w:r w:rsidRPr="00BF61DC">
        <w:rPr>
          <w:lang w:val="ru-RU"/>
        </w:rPr>
        <w:t>Опираясь на выводы Международного обследования Центра ВОИС «Урегулирование споров в международных технологических сделках», проведенного в 2013</w:t>
      </w:r>
      <w:r>
        <w:t> </w:t>
      </w:r>
      <w:r w:rsidRPr="00BF61DC">
        <w:rPr>
          <w:lang w:val="ru-RU"/>
        </w:rPr>
        <w:t>г., в 2014–2015</w:t>
      </w:r>
      <w:r>
        <w:t> </w:t>
      </w:r>
      <w:r w:rsidRPr="00BF61DC">
        <w:rPr>
          <w:lang w:val="ru-RU"/>
        </w:rPr>
        <w:t>гг. Центр ВОИС проводил работу по повышению соответствия его процедур нуждам правообладателей и пользователей ИС.  В 2014</w:t>
      </w:r>
      <w:r>
        <w:t> </w:t>
      </w:r>
      <w:r w:rsidRPr="00BF61DC">
        <w:rPr>
          <w:lang w:val="ru-RU"/>
        </w:rPr>
        <w:t>г. исполнилось 15 лет применения разработанной ВОИС ЕПУС.  С момента, когда Центр ВОИС рассмотрел в 1999</w:t>
      </w:r>
      <w:r>
        <w:t> </w:t>
      </w:r>
      <w:r w:rsidRPr="00BF61DC">
        <w:rPr>
          <w:lang w:val="ru-RU"/>
        </w:rPr>
        <w:t>г. первый спор на основании норм ЕПУС, общее число заявлений о рассмотрении споров, поданных в ВОИС, превысило отметку в 33</w:t>
      </w:r>
      <w:r>
        <w:t> </w:t>
      </w:r>
      <w:r w:rsidRPr="00BF61DC">
        <w:rPr>
          <w:lang w:val="ru-RU"/>
        </w:rPr>
        <w:t>000</w:t>
      </w:r>
      <w:r>
        <w:rPr>
          <w:rStyle w:val="FootnoteReference"/>
        </w:rPr>
        <w:footnoteReference w:id="3"/>
      </w:r>
      <w:r w:rsidRPr="00BF61DC">
        <w:rPr>
          <w:lang w:val="ru-RU"/>
        </w:rPr>
        <w:t>, и такие заявления касались более 61</w:t>
      </w:r>
      <w:r>
        <w:t> </w:t>
      </w:r>
      <w:r w:rsidRPr="00BF61DC">
        <w:rPr>
          <w:lang w:val="ru-RU"/>
        </w:rPr>
        <w:t>000 доменных имен.  В 2014 г. число поданных в ВОИС заявлений о рассмотрении дел о киберсквоттинге, поданных владельцами товарных знаков, заявлявших о злоупотреблении их знаками, возросло на 1,9% относительно уровня 2013</w:t>
      </w:r>
      <w:r>
        <w:t> </w:t>
      </w:r>
      <w:r w:rsidRPr="00BF61DC">
        <w:rPr>
          <w:lang w:val="ru-RU"/>
        </w:rPr>
        <w:t>г., а в 2015</w:t>
      </w:r>
      <w:r>
        <w:t> </w:t>
      </w:r>
      <w:r w:rsidRPr="00BF61DC">
        <w:rPr>
          <w:lang w:val="ru-RU"/>
        </w:rPr>
        <w:t>г. – на 4,6% относительно уровня 2014</w:t>
      </w:r>
      <w:r>
        <w:t> </w:t>
      </w:r>
      <w:r w:rsidRPr="00BF61DC">
        <w:rPr>
          <w:lang w:val="ru-RU"/>
        </w:rPr>
        <w:t>г.  В это число вошли первые споры, принятые к рассмотрению по процедуре ЕПУС в отношении регистрации новых рДВУ, которые составляли 6,8</w:t>
      </w:r>
      <w:r>
        <w:t> </w:t>
      </w:r>
      <w:r w:rsidRPr="00BF61DC">
        <w:rPr>
          <w:lang w:val="ru-RU"/>
        </w:rPr>
        <w:t>процентов оспариваемых доменных имен в 2014–2015</w:t>
      </w:r>
      <w:r>
        <w:t> </w:t>
      </w:r>
      <w:r w:rsidRPr="00BF61DC">
        <w:rPr>
          <w:lang w:val="ru-RU"/>
        </w:rPr>
        <w:t>гг.  Рассмотренные в рамках ЕПУС дела касались сторон из 108</w:t>
      </w:r>
      <w:r>
        <w:t> </w:t>
      </w:r>
      <w:r w:rsidRPr="00BF61DC">
        <w:rPr>
          <w:lang w:val="ru-RU"/>
        </w:rPr>
        <w:t>стран в 2014</w:t>
      </w:r>
      <w:r>
        <w:t> </w:t>
      </w:r>
      <w:r w:rsidRPr="00BF61DC">
        <w:rPr>
          <w:lang w:val="ru-RU"/>
        </w:rPr>
        <w:t>г. и из 113</w:t>
      </w:r>
      <w:r>
        <w:t> </w:t>
      </w:r>
      <w:r w:rsidRPr="00BF61DC">
        <w:rPr>
          <w:lang w:val="ru-RU"/>
        </w:rPr>
        <w:t>стран в 2015</w:t>
      </w:r>
      <w:r>
        <w:t> </w:t>
      </w:r>
      <w:r w:rsidRPr="00BF61DC">
        <w:rPr>
          <w:lang w:val="ru-RU"/>
        </w:rPr>
        <w:t>г.  Среди первой пятерки стран, наиболее активно использующих эту систему, наибольший рост числа направленных на рассмотрение дел наблюдался из Соединенных Штатов Америки (14,3</w:t>
      </w:r>
      <w:r>
        <w:t> </w:t>
      </w:r>
      <w:r w:rsidRPr="00BF61DC">
        <w:rPr>
          <w:lang w:val="ru-RU"/>
        </w:rPr>
        <w:t>процента) в 2014</w:t>
      </w:r>
      <w:r>
        <w:t> </w:t>
      </w:r>
      <w:r w:rsidRPr="00BF61DC">
        <w:rPr>
          <w:lang w:val="ru-RU"/>
        </w:rPr>
        <w:t>г. и из Германии (43,6</w:t>
      </w:r>
      <w:r>
        <w:t> </w:t>
      </w:r>
      <w:r w:rsidRPr="00BF61DC">
        <w:rPr>
          <w:lang w:val="ru-RU"/>
        </w:rPr>
        <w:t>процента) в 2015</w:t>
      </w:r>
      <w:r>
        <w:t> </w:t>
      </w:r>
      <w:r w:rsidRPr="00BF61DC">
        <w:rPr>
          <w:lang w:val="ru-RU"/>
        </w:rPr>
        <w:t>г.  В секторальном разрезе первые три места по числу исков занимали розничная торговля (13</w:t>
      </w:r>
      <w:r>
        <w:t> </w:t>
      </w:r>
      <w:r w:rsidRPr="00BF61DC">
        <w:rPr>
          <w:lang w:val="ru-RU"/>
        </w:rPr>
        <w:t>процентов), сектор банковских и финансовых учреждений (11</w:t>
      </w:r>
      <w:r>
        <w:t> </w:t>
      </w:r>
      <w:r w:rsidRPr="00BF61DC">
        <w:rPr>
          <w:lang w:val="ru-RU"/>
        </w:rPr>
        <w:t>процентов) и индустрия моды (10</w:t>
      </w:r>
      <w:r>
        <w:t> </w:t>
      </w:r>
      <w:r w:rsidRPr="00BF61DC">
        <w:rPr>
          <w:lang w:val="ru-RU"/>
        </w:rPr>
        <w:t>процентов) в 2014</w:t>
      </w:r>
      <w:r>
        <w:t> </w:t>
      </w:r>
      <w:r w:rsidRPr="00BF61DC">
        <w:rPr>
          <w:lang w:val="ru-RU"/>
        </w:rPr>
        <w:t>г., а в 2015</w:t>
      </w:r>
      <w:r>
        <w:t> </w:t>
      </w:r>
      <w:r w:rsidRPr="00BF61DC">
        <w:rPr>
          <w:lang w:val="ru-RU"/>
        </w:rPr>
        <w:t>г. индустрия моды (10</w:t>
      </w:r>
      <w:r>
        <w:t> </w:t>
      </w:r>
      <w:r w:rsidRPr="00BF61DC">
        <w:rPr>
          <w:lang w:val="ru-RU"/>
        </w:rPr>
        <w:t>процентов), сектор банковских и финансовых учреждений (девять процентов), а также интернет и ИТ (девять процентов).</w:t>
      </w:r>
    </w:p>
    <w:p w:rsidR="00BF61DC" w:rsidRPr="00BF61DC" w:rsidRDefault="00BF61DC" w:rsidP="00BF61DC">
      <w:pPr>
        <w:pStyle w:val="Header"/>
        <w:keepNext/>
        <w:keepLines/>
        <w:widowControl w:val="0"/>
        <w:tabs>
          <w:tab w:val="right" w:pos="9000"/>
        </w:tabs>
        <w:autoSpaceDE w:val="0"/>
        <w:autoSpaceDN w:val="0"/>
        <w:adjustRightInd w:val="0"/>
        <w:jc w:val="both"/>
        <w:rPr>
          <w:rFonts w:cs="Arial"/>
          <w:lang w:val="ru-RU"/>
        </w:rPr>
      </w:pPr>
    </w:p>
    <w:p w:rsidR="00BF61DC" w:rsidRPr="00BF61DC" w:rsidRDefault="00BF61DC" w:rsidP="00BF61DC">
      <w:pPr>
        <w:rPr>
          <w:b/>
          <w:iCs/>
          <w:lang w:val="ru-RU"/>
        </w:rPr>
      </w:pPr>
    </w:p>
    <w:p w:rsidR="00BF61DC" w:rsidRPr="00BF61DC" w:rsidRDefault="00BF61DC" w:rsidP="00BF61DC">
      <w:pPr>
        <w:jc w:val="center"/>
        <w:rPr>
          <w:b/>
          <w:lang w:val="ru-RU"/>
        </w:rPr>
      </w:pPr>
      <w:r w:rsidRPr="00BF61DC">
        <w:rPr>
          <w:b/>
          <w:lang w:val="ru-RU"/>
        </w:rPr>
        <w:t xml:space="preserve">Стратегическая цель </w:t>
      </w:r>
      <w:r>
        <w:rPr>
          <w:b/>
        </w:rPr>
        <w:t>III</w:t>
      </w:r>
      <w:r w:rsidR="00975156">
        <w:rPr>
          <w:b/>
          <w:lang w:val="ru-RU"/>
        </w:rPr>
        <w:t xml:space="preserve">: </w:t>
      </w:r>
      <w:r w:rsidRPr="00BF61DC">
        <w:rPr>
          <w:b/>
          <w:lang w:val="ru-RU"/>
        </w:rPr>
        <w:t xml:space="preserve"> Содействие использованию ИС в интересах развития</w:t>
      </w:r>
    </w:p>
    <w:p w:rsidR="00BF61DC" w:rsidRPr="00BF61DC" w:rsidRDefault="00BF61DC" w:rsidP="00BF61DC">
      <w:pPr>
        <w:jc w:val="center"/>
        <w:rPr>
          <w:b/>
          <w:iCs/>
          <w:lang w:val="ru-RU"/>
        </w:rPr>
      </w:pPr>
    </w:p>
    <w:p w:rsidR="00BF61DC" w:rsidRDefault="00BF61DC" w:rsidP="00BF61DC">
      <w:pPr>
        <w:jc w:val="center"/>
        <w:rPr>
          <w:b/>
          <w:iCs/>
        </w:rPr>
      </w:pPr>
      <w:r>
        <w:rPr>
          <w:b/>
          <w:iCs/>
          <w:noProof/>
        </w:rPr>
        <w:drawing>
          <wp:inline distT="0" distB="0" distL="0" distR="0" wp14:anchorId="14F6145A" wp14:editId="3F778422">
            <wp:extent cx="5426110" cy="2731419"/>
            <wp:effectExtent l="0" t="0" r="317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47932" cy="2742404"/>
                    </a:xfrm>
                    <a:prstGeom prst="rect">
                      <a:avLst/>
                    </a:prstGeom>
                    <a:noFill/>
                    <a:ln>
                      <a:noFill/>
                    </a:ln>
                  </pic:spPr>
                </pic:pic>
              </a:graphicData>
            </a:graphic>
          </wp:inline>
        </w:drawing>
      </w:r>
    </w:p>
    <w:p w:rsidR="00BF61DC" w:rsidRDefault="00BF61DC" w:rsidP="00BF61DC">
      <w:pPr>
        <w:jc w:val="center"/>
        <w:rPr>
          <w:b/>
          <w:iCs/>
        </w:rPr>
      </w:pPr>
    </w:p>
    <w:p w:rsidR="00BF61DC" w:rsidRDefault="00BF61DC" w:rsidP="00BF61DC">
      <w:pPr>
        <w:rPr>
          <w:b/>
          <w:sz w:val="18"/>
        </w:rPr>
      </w:pPr>
      <w:r>
        <w:rPr>
          <w:b/>
          <w:sz w:val="18"/>
        </w:rPr>
        <w:br w:type="page"/>
      </w:r>
    </w:p>
    <w:p w:rsidR="00BF61DC" w:rsidRPr="00975156" w:rsidRDefault="00BF61DC" w:rsidP="00BF61DC">
      <w:pPr>
        <w:jc w:val="center"/>
        <w:rPr>
          <w:b/>
          <w:szCs w:val="20"/>
          <w:lang w:val="ru-RU"/>
        </w:rPr>
      </w:pPr>
      <w:r w:rsidRPr="00975156">
        <w:rPr>
          <w:b/>
          <w:szCs w:val="20"/>
          <w:lang w:val="ru-RU"/>
        </w:rPr>
        <w:t>Краткий обзор достижений в разбивке по ожидаемым результатам</w:t>
      </w:r>
    </w:p>
    <w:p w:rsidR="00975156" w:rsidRPr="00BF61DC" w:rsidRDefault="00975156" w:rsidP="00BF61DC">
      <w:pPr>
        <w:jc w:val="center"/>
        <w:rPr>
          <w:b/>
          <w:iCs/>
          <w:lang w:val="ru-RU"/>
        </w:rPr>
      </w:pPr>
    </w:p>
    <w:p w:rsidR="00BF61DC" w:rsidRDefault="00BF61DC" w:rsidP="00BF61DC">
      <w:pPr>
        <w:jc w:val="center"/>
      </w:pPr>
      <w:r>
        <w:rPr>
          <w:noProof/>
        </w:rPr>
        <w:drawing>
          <wp:inline distT="0" distB="0" distL="0" distR="0" wp14:anchorId="6714D21C" wp14:editId="24CD5A22">
            <wp:extent cx="4833022" cy="3112033"/>
            <wp:effectExtent l="0" t="0" r="5715"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35961" cy="3113926"/>
                    </a:xfrm>
                    <a:prstGeom prst="rect">
                      <a:avLst/>
                    </a:prstGeom>
                    <a:noFill/>
                    <a:ln>
                      <a:noFill/>
                    </a:ln>
                  </pic:spPr>
                </pic:pic>
              </a:graphicData>
            </a:graphic>
          </wp:inline>
        </w:drawing>
      </w: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 xml:space="preserve">Приоритетной задачей в двухлетний период оставалось содействие использованию ИС в целях развития и расширения прав и возможностей развивающихся стран и НРС в интересах наращивания потенциала и расширения возможностей для инновационной деятельности.  </w:t>
      </w:r>
    </w:p>
    <w:p w:rsidR="00BF61DC" w:rsidRPr="00BF61DC" w:rsidRDefault="00BF61DC" w:rsidP="00BF61DC">
      <w:pPr>
        <w:jc w:val="both"/>
        <w:rPr>
          <w:highlight w:val="yellow"/>
          <w:lang w:val="ru-RU"/>
        </w:rPr>
      </w:pPr>
    </w:p>
    <w:p w:rsidR="00BF61DC" w:rsidRPr="00BF61DC" w:rsidRDefault="00BF61DC" w:rsidP="00BF61DC">
      <w:pPr>
        <w:pStyle w:val="ListParagraph"/>
        <w:numPr>
          <w:ilvl w:val="0"/>
          <w:numId w:val="136"/>
        </w:numPr>
        <w:tabs>
          <w:tab w:val="left" w:pos="567"/>
        </w:tabs>
        <w:ind w:left="0" w:firstLine="0"/>
        <w:jc w:val="both"/>
        <w:rPr>
          <w:bCs/>
          <w:lang w:val="ru-RU"/>
        </w:rPr>
      </w:pPr>
      <w:r w:rsidRPr="00BF61DC">
        <w:rPr>
          <w:lang w:val="ru-RU"/>
        </w:rPr>
        <w:t>ВОИС продолжала оказывать помощь развивающимся странам и НРС в формулировании, разработке и реализации национальных стратегий в области ИС, соответствующих их общим планам в области развития и способствующих инновациям и творчеству.  Эта деятельность осуществлялась на основе применения стандартизированной и в то же время гибкой методологии и комплекса практических инструментов разработки национальных стратегий и планов в области ИС, выработанных в 2012</w:t>
      </w:r>
      <w:r>
        <w:t> </w:t>
      </w:r>
      <w:r w:rsidRPr="00BF61DC">
        <w:rPr>
          <w:lang w:val="ru-RU"/>
        </w:rPr>
        <w:t>г. в рамках проекта ПДР «Совершенствование национального, субрегионального и регионального потенциала в области институционального развития и использования ИС».  В результате этих усилий 15 стран (шесть в Африке, пять в Азиатско-Тихоокеанском регионе и четыре в регионе Латинской Америки и Карибского бассейна) приступили к разработке национальных стратегий и планов развития в области ИС, и в 13</w:t>
      </w:r>
      <w:r>
        <w:t> </w:t>
      </w:r>
      <w:r w:rsidRPr="00BF61DC">
        <w:rPr>
          <w:lang w:val="ru-RU"/>
        </w:rPr>
        <w:t>странах (четырех в Африке, трех в Арабском регионе, двух в Азиатско-Тихоокеанском регионе и четырех в регионе Латинской Америки и Карибского бассейна) по состоянию на конец 2014</w:t>
      </w:r>
      <w:r>
        <w:t> </w:t>
      </w:r>
      <w:r w:rsidRPr="00BF61DC">
        <w:rPr>
          <w:lang w:val="ru-RU"/>
        </w:rPr>
        <w:t>г. работа по составлению и/или принятию таких стратегий и планов еще продолжалась.  В конце 2014–2015</w:t>
      </w:r>
      <w:r>
        <w:t> </w:t>
      </w:r>
      <w:r w:rsidRPr="00BF61DC">
        <w:rPr>
          <w:lang w:val="ru-RU"/>
        </w:rPr>
        <w:t>гг. национальные стратегии ИС/планы развития были приняты и/или находились на стадии реализации в общей сложности в 44</w:t>
      </w:r>
      <w:r>
        <w:t> </w:t>
      </w:r>
      <w:r w:rsidRPr="00BF61DC">
        <w:rPr>
          <w:lang w:val="ru-RU"/>
        </w:rPr>
        <w:t xml:space="preserve">странах (в 26 странах в Африке, двух странах в Арабском регионе, восьми странах в Азиатско-Тихоокеанском регионе и восьми странах в регионе Латинской Америки и Карибского бассейна), 19 из которых являются НРС. </w:t>
      </w:r>
    </w:p>
    <w:p w:rsidR="00BF61DC" w:rsidRPr="00BF61DC" w:rsidRDefault="00BF61DC" w:rsidP="00BF61DC">
      <w:pPr>
        <w:pStyle w:val="ListParagraph"/>
        <w:ind w:left="0"/>
        <w:contextualSpacing/>
        <w:jc w:val="both"/>
        <w:rPr>
          <w:bCs/>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В соответствии с планами сотрудничества и национальными стратегиями в области ИС и по итогам мероприятий по оказанию помощи, проводившихся ВОИС, включая разъяснительные мероприятия, следующие девять стран внесли поправки в свое национальное законодательство в области ИС и/или присоединились в договорам, административные функции в отношении которых выполняет ВОИС:  Казахстан, Кыргызстан, Латвия, Литва, Черногория, Республика Молдова, Российская Федерация, Таджикистан и Туркменистан. Приоритетными задачами в 2014–2015</w:t>
      </w:r>
      <w:r>
        <w:t> </w:t>
      </w:r>
      <w:r w:rsidRPr="00BF61DC">
        <w:rPr>
          <w:lang w:val="ru-RU"/>
        </w:rPr>
        <w:t>гг. оставалось разъяснение важности долгосрочных и комплексных национальных стратегий в области ИС, отвечающих потребностям государств-членов и/или содействие в разработке и реализации таких стратегий.  Шесть стран (Болгария, Словения, Таджикистан, Турция, Туркменистан и Украина) утвердили национальные стратегии в области ИС, и четыре страны (Албания, Грузия, Латвия и Польша) приступили к разработке новой стратегии.</w:t>
      </w:r>
    </w:p>
    <w:p w:rsidR="00BF61DC" w:rsidRPr="00BF61DC" w:rsidRDefault="00BF61DC" w:rsidP="00BF61DC">
      <w:pPr>
        <w:pStyle w:val="ListParagraph"/>
        <w:numPr>
          <w:ilvl w:val="0"/>
          <w:numId w:val="136"/>
        </w:numPr>
        <w:tabs>
          <w:tab w:val="left" w:pos="567"/>
        </w:tabs>
        <w:ind w:left="0" w:firstLine="0"/>
        <w:jc w:val="both"/>
        <w:rPr>
          <w:rFonts w:eastAsiaTheme="minorHAnsi" w:cs="Arial"/>
          <w:color w:val="000000"/>
          <w:lang w:val="ru-RU"/>
        </w:rPr>
      </w:pPr>
      <w:r w:rsidRPr="00BF61DC">
        <w:rPr>
          <w:rFonts w:eastAsiaTheme="minorHAnsi"/>
          <w:color w:val="000000"/>
          <w:lang w:val="ru-RU"/>
        </w:rPr>
        <w:t>В 2014–2015</w:t>
      </w:r>
      <w:r>
        <w:rPr>
          <w:rFonts w:eastAsiaTheme="minorHAnsi"/>
          <w:color w:val="000000"/>
        </w:rPr>
        <w:t> </w:t>
      </w:r>
      <w:r w:rsidRPr="00BF61DC">
        <w:rPr>
          <w:rFonts w:eastAsiaTheme="minorHAnsi"/>
          <w:color w:val="000000"/>
          <w:lang w:val="ru-RU"/>
        </w:rPr>
        <w:t xml:space="preserve">гг. </w:t>
      </w:r>
      <w:r w:rsidRPr="00BF61DC">
        <w:rPr>
          <w:lang w:val="ru-RU"/>
        </w:rPr>
        <w:t>Академия</w:t>
      </w:r>
      <w:r w:rsidRPr="00BF61DC">
        <w:rPr>
          <w:rFonts w:eastAsiaTheme="minorHAnsi"/>
          <w:color w:val="000000"/>
          <w:lang w:val="ru-RU"/>
        </w:rPr>
        <w:t xml:space="preserve"> ВОИС начала процесс реформирования и утверждения своей роли как основного подразделения ВОИС в области проведения профессиональной подготовки, образования и создания потенциала в сфере ИС для сотрудников государственных учреждений и других заинтересованных сторон.  В ходе этого процесса Академия ВОИС стремилась сохранить количество, качество и периодичность своих регулярно проводимых учебных курсов для выполнения сохраняющихся обязательств перед партнерами в области обучения, отзываться на новые и срочные запросы государств-членов и иных заинтересованных сторон в области обучения и обеспечивать преемственность реализуемых ею программ обучения.  В рассматриваемый двухлетний период в ее программах и мероприятиях приняли участие около 80</w:t>
      </w:r>
      <w:r>
        <w:rPr>
          <w:rFonts w:eastAsiaTheme="minorHAnsi"/>
          <w:color w:val="000000"/>
        </w:rPr>
        <w:t> </w:t>
      </w:r>
      <w:r w:rsidRPr="00BF61DC">
        <w:rPr>
          <w:rFonts w:eastAsiaTheme="minorHAnsi"/>
          <w:color w:val="000000"/>
          <w:lang w:val="ru-RU"/>
        </w:rPr>
        <w:t>000</w:t>
      </w:r>
      <w:r>
        <w:rPr>
          <w:rFonts w:eastAsiaTheme="minorHAnsi"/>
          <w:color w:val="000000"/>
        </w:rPr>
        <w:t> </w:t>
      </w:r>
      <w:r w:rsidRPr="00BF61DC">
        <w:rPr>
          <w:rFonts w:eastAsiaTheme="minorHAnsi"/>
          <w:color w:val="000000"/>
          <w:lang w:val="ru-RU"/>
        </w:rPr>
        <w:t xml:space="preserve">человек.  </w:t>
      </w:r>
    </w:p>
    <w:p w:rsidR="00BF61DC" w:rsidRPr="00BF61DC" w:rsidRDefault="00BF61DC" w:rsidP="00BF61DC">
      <w:pPr>
        <w:pStyle w:val="ListParagraph"/>
        <w:tabs>
          <w:tab w:val="left" w:pos="709"/>
        </w:tabs>
        <w:autoSpaceDE w:val="0"/>
        <w:autoSpaceDN w:val="0"/>
        <w:adjustRightInd w:val="0"/>
        <w:ind w:left="0"/>
        <w:jc w:val="both"/>
        <w:rPr>
          <w:rFonts w:eastAsiaTheme="minorHAnsi" w:cs="Arial"/>
          <w:color w:val="000000"/>
          <w:lang w:val="ru-RU"/>
        </w:rPr>
      </w:pPr>
    </w:p>
    <w:p w:rsidR="00BF61DC" w:rsidRPr="00BF61DC" w:rsidRDefault="00BF61DC" w:rsidP="00BF61DC">
      <w:pPr>
        <w:pStyle w:val="ListParagraph"/>
        <w:numPr>
          <w:ilvl w:val="0"/>
          <w:numId w:val="136"/>
        </w:numPr>
        <w:tabs>
          <w:tab w:val="left" w:pos="567"/>
        </w:tabs>
        <w:ind w:left="0" w:firstLine="0"/>
        <w:jc w:val="both"/>
        <w:rPr>
          <w:rFonts w:eastAsiaTheme="minorHAnsi" w:cs="Arial"/>
          <w:color w:val="000000"/>
          <w:lang w:val="ru-RU"/>
        </w:rPr>
      </w:pPr>
      <w:r w:rsidRPr="00BF61DC">
        <w:rPr>
          <w:rFonts w:eastAsiaTheme="minorHAnsi"/>
          <w:color w:val="000000"/>
          <w:lang w:val="ru-RU"/>
        </w:rPr>
        <w:t xml:space="preserve">В рамках </w:t>
      </w:r>
      <w:r w:rsidRPr="00BF61DC">
        <w:rPr>
          <w:lang w:val="ru-RU"/>
        </w:rPr>
        <w:t>программы</w:t>
      </w:r>
      <w:r w:rsidRPr="00BF61DC">
        <w:rPr>
          <w:rFonts w:eastAsiaTheme="minorHAnsi"/>
          <w:color w:val="000000"/>
          <w:lang w:val="ru-RU"/>
        </w:rPr>
        <w:t xml:space="preserve"> повышения квалификации (ППК) были организованы 35</w:t>
      </w:r>
      <w:r>
        <w:rPr>
          <w:rFonts w:eastAsiaTheme="minorHAnsi"/>
          <w:color w:val="000000"/>
        </w:rPr>
        <w:t> </w:t>
      </w:r>
      <w:r w:rsidRPr="00BF61DC">
        <w:rPr>
          <w:rFonts w:eastAsiaTheme="minorHAnsi"/>
          <w:color w:val="000000"/>
          <w:lang w:val="ru-RU"/>
        </w:rPr>
        <w:t>учебных курсов совместно с 22</w:t>
      </w:r>
      <w:r>
        <w:rPr>
          <w:rFonts w:eastAsiaTheme="minorHAnsi"/>
          <w:color w:val="000000"/>
        </w:rPr>
        <w:t> </w:t>
      </w:r>
      <w:r w:rsidRPr="00BF61DC">
        <w:rPr>
          <w:rFonts w:eastAsiaTheme="minorHAnsi"/>
          <w:color w:val="000000"/>
          <w:lang w:val="ru-RU"/>
        </w:rPr>
        <w:t>учреждениями-партнерами в Алжире, Австрии, Бразилии, Камеруне, Канаде, Коста-Рике, Финляндии, Франции, Германии, Индонезии, Израиле, Малайзии, Мексике, Марокко, Норвегии, Парагвае, Перу, Испании, Швейцарии и Соединенном Королевстве, а также совместно со Всемирной торговой организацией (ВТО) и Центром международных исследований проблем интеллектуальной собственности (</w:t>
      </w:r>
      <w:r>
        <w:rPr>
          <w:rFonts w:eastAsiaTheme="minorHAnsi"/>
          <w:color w:val="000000"/>
        </w:rPr>
        <w:t>CEIPI</w:t>
      </w:r>
      <w:r w:rsidRPr="00BF61DC">
        <w:rPr>
          <w:rFonts w:eastAsiaTheme="minorHAnsi"/>
          <w:color w:val="000000"/>
          <w:lang w:val="ru-RU"/>
        </w:rPr>
        <w:t>) (Страсбург, Франция).  Программа дистанционного обучения (ДО) по-прежнему привлекала участников из самых разных заинтересованных сторон.  В 2014–2015</w:t>
      </w:r>
      <w:r>
        <w:rPr>
          <w:rFonts w:eastAsiaTheme="minorHAnsi"/>
          <w:color w:val="000000"/>
        </w:rPr>
        <w:t> </w:t>
      </w:r>
      <w:r w:rsidRPr="00BF61DC">
        <w:rPr>
          <w:rFonts w:eastAsiaTheme="minorHAnsi"/>
          <w:color w:val="000000"/>
          <w:lang w:val="ru-RU"/>
        </w:rPr>
        <w:t>гг. возможностями усовершенствованной платформы Центра электронного обучения (</w:t>
      </w:r>
      <w:r>
        <w:rPr>
          <w:rFonts w:eastAsiaTheme="minorHAnsi"/>
          <w:color w:val="000000"/>
        </w:rPr>
        <w:t>WeLC</w:t>
      </w:r>
      <w:r w:rsidRPr="00BF61DC">
        <w:rPr>
          <w:rFonts w:eastAsiaTheme="minorHAnsi"/>
          <w:color w:val="000000"/>
          <w:lang w:val="ru-RU"/>
        </w:rPr>
        <w:t>) воспользовались 78</w:t>
      </w:r>
      <w:r>
        <w:rPr>
          <w:rFonts w:eastAsiaTheme="minorHAnsi"/>
          <w:color w:val="000000"/>
        </w:rPr>
        <w:t> </w:t>
      </w:r>
      <w:r w:rsidRPr="00BF61DC">
        <w:rPr>
          <w:rFonts w:eastAsiaTheme="minorHAnsi"/>
          <w:color w:val="000000"/>
          <w:lang w:val="ru-RU"/>
        </w:rPr>
        <w:t>551</w:t>
      </w:r>
      <w:r>
        <w:rPr>
          <w:rFonts w:eastAsiaTheme="minorHAnsi"/>
          <w:color w:val="000000"/>
        </w:rPr>
        <w:t> </w:t>
      </w:r>
      <w:r w:rsidRPr="00BF61DC">
        <w:rPr>
          <w:rFonts w:eastAsiaTheme="minorHAnsi"/>
          <w:color w:val="000000"/>
          <w:lang w:val="ru-RU"/>
        </w:rPr>
        <w:t>человек из 193</w:t>
      </w:r>
      <w:r>
        <w:rPr>
          <w:rFonts w:eastAsiaTheme="minorHAnsi"/>
          <w:color w:val="000000"/>
        </w:rPr>
        <w:t> </w:t>
      </w:r>
      <w:r w:rsidRPr="00BF61DC">
        <w:rPr>
          <w:rFonts w:eastAsiaTheme="minorHAnsi"/>
          <w:color w:val="000000"/>
          <w:lang w:val="ru-RU"/>
        </w:rPr>
        <w:t>стран (67</w:t>
      </w:r>
      <w:r>
        <w:rPr>
          <w:rFonts w:eastAsiaTheme="minorHAnsi"/>
          <w:color w:val="000000"/>
        </w:rPr>
        <w:t> </w:t>
      </w:r>
      <w:r w:rsidRPr="00BF61DC">
        <w:rPr>
          <w:rFonts w:eastAsiaTheme="minorHAnsi"/>
          <w:color w:val="000000"/>
          <w:lang w:val="ru-RU"/>
        </w:rPr>
        <w:t>809</w:t>
      </w:r>
      <w:r>
        <w:rPr>
          <w:rFonts w:eastAsiaTheme="minorHAnsi"/>
          <w:color w:val="000000"/>
        </w:rPr>
        <w:t> </w:t>
      </w:r>
      <w:r w:rsidRPr="00BF61DC">
        <w:rPr>
          <w:rFonts w:eastAsiaTheme="minorHAnsi"/>
          <w:color w:val="000000"/>
          <w:lang w:val="ru-RU"/>
        </w:rPr>
        <w:t>человек прослушали общие курсы, 10</w:t>
      </w:r>
      <w:r>
        <w:rPr>
          <w:rFonts w:eastAsiaTheme="minorHAnsi"/>
          <w:color w:val="000000"/>
        </w:rPr>
        <w:t> </w:t>
      </w:r>
      <w:r w:rsidRPr="00BF61DC">
        <w:rPr>
          <w:rFonts w:eastAsiaTheme="minorHAnsi"/>
          <w:color w:val="000000"/>
          <w:lang w:val="ru-RU"/>
        </w:rPr>
        <w:t>742 – углубленные курсы), что на 3,6</w:t>
      </w:r>
      <w:r>
        <w:rPr>
          <w:rFonts w:eastAsiaTheme="minorHAnsi"/>
          <w:color w:val="000000"/>
        </w:rPr>
        <w:t> </w:t>
      </w:r>
      <w:r w:rsidRPr="00BF61DC">
        <w:rPr>
          <w:rFonts w:eastAsiaTheme="minorHAnsi"/>
          <w:color w:val="000000"/>
          <w:lang w:val="ru-RU"/>
        </w:rPr>
        <w:t>процента меньше, чем в 2012–2013</w:t>
      </w:r>
      <w:r>
        <w:rPr>
          <w:rFonts w:eastAsiaTheme="minorHAnsi"/>
          <w:color w:val="000000"/>
        </w:rPr>
        <w:t> </w:t>
      </w:r>
      <w:r w:rsidRPr="00BF61DC">
        <w:rPr>
          <w:rFonts w:eastAsiaTheme="minorHAnsi"/>
          <w:color w:val="000000"/>
          <w:lang w:val="ru-RU"/>
        </w:rPr>
        <w:t>гг.  Особо следует отметить, что спрос на углубленные курсы со стороны ведомств ИС, других государственных органов, экспериментальных академий ИС и ЦПТИ в развивающихся странах и НРС возрос на 138</w:t>
      </w:r>
      <w:r>
        <w:rPr>
          <w:rFonts w:eastAsiaTheme="minorHAnsi"/>
          <w:color w:val="000000"/>
        </w:rPr>
        <w:t> </w:t>
      </w:r>
      <w:r w:rsidRPr="00BF61DC">
        <w:rPr>
          <w:rFonts w:eastAsiaTheme="minorHAnsi"/>
          <w:color w:val="000000"/>
          <w:lang w:val="ru-RU"/>
        </w:rPr>
        <w:t>процентов</w:t>
      </w:r>
      <w:r>
        <w:rPr>
          <w:rFonts w:eastAsiaTheme="minorHAnsi"/>
          <w:color w:val="000000"/>
          <w:vertAlign w:val="superscript"/>
        </w:rPr>
        <w:footnoteReference w:id="4"/>
      </w:r>
      <w:r w:rsidRPr="00BF61DC">
        <w:rPr>
          <w:rFonts w:eastAsiaTheme="minorHAnsi"/>
          <w:color w:val="000000"/>
          <w:lang w:val="ru-RU"/>
        </w:rPr>
        <w:t>, достигнув абсолютного максимума (6</w:t>
      </w:r>
      <w:r>
        <w:rPr>
          <w:rFonts w:eastAsiaTheme="minorHAnsi"/>
          <w:color w:val="000000"/>
        </w:rPr>
        <w:t> </w:t>
      </w:r>
      <w:r w:rsidRPr="00BF61DC">
        <w:rPr>
          <w:rFonts w:eastAsiaTheme="minorHAnsi"/>
          <w:color w:val="000000"/>
          <w:lang w:val="ru-RU"/>
        </w:rPr>
        <w:t>926</w:t>
      </w:r>
      <w:r>
        <w:rPr>
          <w:rFonts w:eastAsiaTheme="minorHAnsi"/>
          <w:color w:val="000000"/>
        </w:rPr>
        <w:t> </w:t>
      </w:r>
      <w:r w:rsidRPr="00BF61DC">
        <w:rPr>
          <w:rFonts w:eastAsiaTheme="minorHAnsi"/>
          <w:color w:val="000000"/>
          <w:lang w:val="ru-RU"/>
        </w:rPr>
        <w:t>участников), тогда как в предыдущий двухлетний период этот показатель составлял 2</w:t>
      </w:r>
      <w:r>
        <w:rPr>
          <w:rFonts w:eastAsiaTheme="minorHAnsi"/>
          <w:color w:val="000000"/>
        </w:rPr>
        <w:t> </w:t>
      </w:r>
      <w:r w:rsidRPr="00BF61DC">
        <w:rPr>
          <w:rFonts w:eastAsiaTheme="minorHAnsi"/>
          <w:color w:val="000000"/>
          <w:lang w:val="ru-RU"/>
        </w:rPr>
        <w:t>907</w:t>
      </w:r>
      <w:r>
        <w:rPr>
          <w:rFonts w:eastAsiaTheme="minorHAnsi"/>
          <w:color w:val="000000"/>
        </w:rPr>
        <w:t> </w:t>
      </w:r>
      <w:r w:rsidRPr="00BF61DC">
        <w:rPr>
          <w:rFonts w:eastAsiaTheme="minorHAnsi"/>
          <w:color w:val="000000"/>
          <w:lang w:val="ru-RU"/>
        </w:rPr>
        <w:t xml:space="preserve">участников. </w:t>
      </w:r>
    </w:p>
    <w:p w:rsidR="00BF61DC" w:rsidRPr="00BF61DC" w:rsidRDefault="00BF61DC" w:rsidP="00BF61DC">
      <w:pPr>
        <w:pStyle w:val="ListParagraph"/>
        <w:tabs>
          <w:tab w:val="left" w:pos="709"/>
        </w:tabs>
        <w:autoSpaceDE w:val="0"/>
        <w:autoSpaceDN w:val="0"/>
        <w:adjustRightInd w:val="0"/>
        <w:ind w:left="0"/>
        <w:jc w:val="both"/>
        <w:rPr>
          <w:rFonts w:eastAsiaTheme="minorHAnsi" w:cs="Arial"/>
          <w:color w:val="000000"/>
          <w:lang w:val="ru-RU"/>
        </w:rPr>
      </w:pPr>
    </w:p>
    <w:p w:rsidR="00BF61DC" w:rsidRPr="00BF61DC" w:rsidRDefault="00BF61DC" w:rsidP="00BF61DC">
      <w:pPr>
        <w:pStyle w:val="ListParagraph"/>
        <w:numPr>
          <w:ilvl w:val="0"/>
          <w:numId w:val="136"/>
        </w:numPr>
        <w:tabs>
          <w:tab w:val="left" w:pos="567"/>
        </w:tabs>
        <w:ind w:left="0" w:firstLine="0"/>
        <w:jc w:val="both"/>
        <w:rPr>
          <w:rFonts w:eastAsiaTheme="minorHAnsi" w:cs="Arial"/>
          <w:color w:val="000000"/>
          <w:lang w:val="ru-RU"/>
        </w:rPr>
      </w:pPr>
      <w:r w:rsidRPr="00BF61DC">
        <w:rPr>
          <w:rFonts w:eastAsiaTheme="minorHAnsi"/>
          <w:color w:val="000000"/>
          <w:lang w:val="ru-RU"/>
        </w:rPr>
        <w:t>В 2014</w:t>
      </w:r>
      <w:r>
        <w:rPr>
          <w:rFonts w:eastAsiaTheme="minorHAnsi"/>
          <w:color w:val="000000"/>
        </w:rPr>
        <w:t> </w:t>
      </w:r>
      <w:r w:rsidRPr="00BF61DC">
        <w:rPr>
          <w:rFonts w:eastAsiaTheme="minorHAnsi"/>
          <w:color w:val="000000"/>
          <w:lang w:val="ru-RU"/>
        </w:rPr>
        <w:t xml:space="preserve">г. </w:t>
      </w:r>
      <w:r w:rsidRPr="00BF61DC">
        <w:rPr>
          <w:lang w:val="ru-RU"/>
        </w:rPr>
        <w:t>проект</w:t>
      </w:r>
      <w:r w:rsidRPr="00BF61DC">
        <w:rPr>
          <w:rFonts w:eastAsiaTheme="minorHAnsi"/>
          <w:color w:val="000000"/>
          <w:lang w:val="ru-RU"/>
        </w:rPr>
        <w:t xml:space="preserve"> экспериментальных академий ИС был включен в регулярную программу Академии ВОИС после одобрения на четырнадцатой сессии КРИС независимой оценки этого проекта.  В ходе двухлетнего периода сотрудничество продолжалось, и на стадии проекта КРИС были основаны шесть академий ИС (в Колумбии, Доминиканской Республике, Египте, Эфиопии, Перу и Тунисе).  Соглашения о создании национальных центров подготовки в области ИС (экспериментальных академий) были подписаны </w:t>
      </w:r>
      <w:r>
        <w:rPr>
          <w:rFonts w:eastAsiaTheme="minorHAnsi"/>
          <w:color w:val="000000"/>
        </w:rPr>
        <w:t>c</w:t>
      </w:r>
      <w:r w:rsidRPr="00BF61DC">
        <w:rPr>
          <w:rFonts w:eastAsiaTheme="minorHAnsi"/>
          <w:color w:val="000000"/>
          <w:lang w:val="ru-RU"/>
        </w:rPr>
        <w:t xml:space="preserve"> правительствами Азербайджана, Камбоджи, Коста-Рики, Эквадора, Сальвадора, Грузии и Турции.  В 2014–2015</w:t>
      </w:r>
      <w:r>
        <w:rPr>
          <w:rFonts w:eastAsiaTheme="minorHAnsi"/>
          <w:color w:val="000000"/>
        </w:rPr>
        <w:t> </w:t>
      </w:r>
      <w:r w:rsidRPr="00BF61DC">
        <w:rPr>
          <w:rFonts w:eastAsiaTheme="minorHAnsi"/>
          <w:color w:val="000000"/>
          <w:lang w:val="ru-RU"/>
        </w:rPr>
        <w:t>гг. были получены новые запросы от государств-членов о предоставлении содействия в создании национальных центров подготовки в области ИС, и эти запросы будут рассмотрены в 2016–2017</w:t>
      </w:r>
      <w:r>
        <w:rPr>
          <w:rFonts w:eastAsiaTheme="minorHAnsi"/>
          <w:color w:val="000000"/>
        </w:rPr>
        <w:t> </w:t>
      </w:r>
      <w:r w:rsidRPr="00BF61DC">
        <w:rPr>
          <w:rFonts w:eastAsiaTheme="minorHAnsi"/>
          <w:color w:val="000000"/>
          <w:lang w:val="ru-RU"/>
        </w:rPr>
        <w:t xml:space="preserve">гг. </w:t>
      </w:r>
    </w:p>
    <w:p w:rsidR="00BF61DC" w:rsidRPr="00975156" w:rsidRDefault="00BF61DC" w:rsidP="00BF61DC">
      <w:pPr>
        <w:autoSpaceDE w:val="0"/>
        <w:autoSpaceDN w:val="0"/>
        <w:adjustRightInd w:val="0"/>
        <w:jc w:val="both"/>
        <w:rPr>
          <w:rFonts w:cs="Arial"/>
          <w:szCs w:val="20"/>
          <w:lang w:val="ru-RU"/>
        </w:rPr>
      </w:pPr>
    </w:p>
    <w:p w:rsidR="00BF61DC" w:rsidRPr="00975156" w:rsidRDefault="00BF61DC" w:rsidP="00BF61DC">
      <w:pPr>
        <w:pStyle w:val="ListParagraph"/>
        <w:numPr>
          <w:ilvl w:val="0"/>
          <w:numId w:val="136"/>
        </w:numPr>
        <w:tabs>
          <w:tab w:val="left" w:pos="567"/>
        </w:tabs>
        <w:ind w:left="0" w:firstLine="0"/>
        <w:jc w:val="both"/>
        <w:rPr>
          <w:rFonts w:eastAsiaTheme="minorHAnsi" w:cs="Arial"/>
        </w:rPr>
      </w:pPr>
      <w:r w:rsidRPr="00975156">
        <w:rPr>
          <w:lang w:val="ru-RU"/>
        </w:rPr>
        <w:t xml:space="preserve">Приоритетным направлением работы в рассматриваемый двухлетний период оставалось укрепление кадрового потенциала, позволяющего выполнять широкий спектр требований в отношении эффективного использования ИС в целях развития и поощрения инноваций и творчества.  Были проведены целевые программы по наращиванию потенциала и развитию навыков, адресованные конкретным целевым группам, таким как официальные должностные лица, директивные органы, специалисты, исследователи и ученые, предприниматели и промышленники, чья работа связана с ИС, а также для МСП на национальном, субрегиональном и региональном уровнях.  </w:t>
      </w:r>
      <w:r w:rsidRPr="00975156">
        <w:rPr>
          <w:color w:val="000000"/>
          <w:lang w:val="ru-RU"/>
        </w:rPr>
        <w:t>Было организовано 33</w:t>
      </w:r>
      <w:r w:rsidRPr="00975156">
        <w:rPr>
          <w:color w:val="000000"/>
        </w:rPr>
        <w:t> </w:t>
      </w:r>
      <w:r w:rsidRPr="00975156">
        <w:rPr>
          <w:color w:val="000000"/>
          <w:lang w:val="ru-RU"/>
        </w:rPr>
        <w:t xml:space="preserve">программы для МСП по теме «Эффективное управление активами ИС», чтобы обеспечить наличие достаточного числа преподавателей в отдельных странах, обладающих необходимыми знаниями, навыками и опытом для оказания МСП базовой помощи в вопросах управления интеллектуальными активами. </w:t>
      </w:r>
      <w:r w:rsidRPr="00975156">
        <w:rPr>
          <w:color w:val="000000"/>
        </w:rPr>
        <w:t>Обучение по этим программам прошли в общей сложности 700 человек.</w:t>
      </w:r>
    </w:p>
    <w:p w:rsidR="00BF61DC" w:rsidRPr="00975156" w:rsidRDefault="00BF61DC" w:rsidP="00BF61DC">
      <w:pPr>
        <w:autoSpaceDE w:val="0"/>
        <w:autoSpaceDN w:val="0"/>
        <w:adjustRightInd w:val="0"/>
        <w:jc w:val="both"/>
        <w:rPr>
          <w:rFonts w:eastAsiaTheme="minorHAnsi" w:cs="Arial"/>
          <w:szCs w:val="20"/>
        </w:rPr>
      </w:pPr>
    </w:p>
    <w:p w:rsidR="00BF61DC" w:rsidRPr="00975156" w:rsidRDefault="00BF61DC" w:rsidP="00BF61DC">
      <w:pPr>
        <w:pStyle w:val="ListParagraph"/>
        <w:numPr>
          <w:ilvl w:val="0"/>
          <w:numId w:val="136"/>
        </w:numPr>
        <w:tabs>
          <w:tab w:val="left" w:pos="567"/>
        </w:tabs>
        <w:ind w:left="0" w:firstLine="0"/>
        <w:jc w:val="both"/>
        <w:rPr>
          <w:bCs/>
          <w:lang w:val="ru-RU"/>
        </w:rPr>
      </w:pPr>
      <w:r w:rsidRPr="00975156">
        <w:rPr>
          <w:lang w:val="ru-RU"/>
        </w:rPr>
        <w:t>ВОИС также занималась укреплением сотрудничества с НРС в целях создания механизма разработки национальных стратегий в области инноваций, оценки потребностей в технических навыках, содействия доступу к глобальным научно-технологическим и информационным платформам, создания инфраструктуры поддержки инноваций, содействия разработке реестров и наращиванию потенциала в сфере традиционных знаний.  В рамках второй фазы осуществления проекта ПДР «Создание потенциала по использованию надлежащей и конкретной для данной технологии научно-технической информации в качестве решения идентифицированных проблем развития» были подписаны МоВ с четырьмя НРС (Эфиопией, Руандой, Объединенной Республикой Танзания и Угандой), а к концу 2015</w:t>
      </w:r>
      <w:r w:rsidRPr="00975156">
        <w:t> </w:t>
      </w:r>
      <w:r w:rsidRPr="00975156">
        <w:rPr>
          <w:lang w:val="ru-RU"/>
        </w:rPr>
        <w:t xml:space="preserve">г. реализация проекта началась в трех НРС (в Эфиопии, Руанде и Объединенной Республике Танзания).   </w:t>
      </w:r>
    </w:p>
    <w:p w:rsidR="00BF61DC" w:rsidRPr="00BF61DC" w:rsidRDefault="00BF61DC" w:rsidP="00BF61DC">
      <w:pPr>
        <w:pStyle w:val="ListParagraph"/>
        <w:tabs>
          <w:tab w:val="left" w:pos="709"/>
        </w:tabs>
        <w:ind w:left="0"/>
        <w:contextualSpacing/>
        <w:jc w:val="both"/>
        <w:rPr>
          <w:bCs/>
          <w:lang w:val="ru-RU"/>
        </w:rPr>
      </w:pPr>
    </w:p>
    <w:p w:rsidR="00BF61DC" w:rsidRPr="00BF61DC" w:rsidRDefault="00BF61DC" w:rsidP="00BF61DC">
      <w:pPr>
        <w:pStyle w:val="ListParagraph"/>
        <w:numPr>
          <w:ilvl w:val="0"/>
          <w:numId w:val="136"/>
        </w:numPr>
        <w:tabs>
          <w:tab w:val="left" w:pos="567"/>
        </w:tabs>
        <w:ind w:left="0" w:firstLine="0"/>
        <w:jc w:val="both"/>
        <w:rPr>
          <w:bCs/>
          <w:lang w:val="ru-RU"/>
        </w:rPr>
      </w:pPr>
      <w:r w:rsidRPr="00BF61DC">
        <w:rPr>
          <w:lang w:val="ru-RU"/>
        </w:rPr>
        <w:t>При этом ВОИС активно взаимодействовала с Высоким представителем Организации Объединенных Наций по наименее развитым странам, развивающимся странам, не имеющим выхода к морю, и малым островным развивающимся государствам в контексте осуществления Стамбульской программы действий.  В 2014</w:t>
      </w:r>
      <w:r>
        <w:t> </w:t>
      </w:r>
      <w:r w:rsidRPr="00BF61DC">
        <w:rPr>
          <w:lang w:val="ru-RU"/>
        </w:rPr>
        <w:t>г. по случаю проведения Министерской конференции НРС в Бенине ВОИС провела межрегиональную программу партнерства совместно с Международным союзом электросвязи (МСЭ), Фондом капитального развития Организации Объединенных Наций (ФКРООН) и Организацией Объединенных Наций по промышленному развитию (ЮНИДО).  В 2015</w:t>
      </w:r>
      <w:r>
        <w:t> </w:t>
      </w:r>
      <w:r w:rsidRPr="00BF61DC">
        <w:rPr>
          <w:lang w:val="ru-RU"/>
        </w:rPr>
        <w:t>г. были созданы два новых форума партнерства и сотрудничества совместно с Экономической и социальной комиссией ООН для Азии и Тихого океана (ЭСКАТО) и Экономической комиссией для Африки (ЭКА).  На основе сотрудничества с ЭСКАТО ООН было предложено подписать МоВ между двумя организациями.  Основное внимание уделялось созданию потенциала и укреплению институтов НРС из Африки и Азии.</w:t>
      </w:r>
    </w:p>
    <w:p w:rsidR="00BF61DC" w:rsidRPr="00BF61DC" w:rsidRDefault="00BF61DC" w:rsidP="00BF61DC">
      <w:pPr>
        <w:autoSpaceDE w:val="0"/>
        <w:autoSpaceDN w:val="0"/>
        <w:adjustRightInd w:val="0"/>
        <w:jc w:val="both"/>
        <w:rPr>
          <w:rFonts w:cs="Tahoma"/>
          <w:highlight w:val="yellow"/>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В двухлетний период КРИС рассматривал и обсуждал различные документы и исследования. В частности, Комитет утвердил предложения о переходе ко второму этапу двух завершенных и прошедших оценку проектов, три новых предложения по проектам и новые виды деятельности, связанные с использованием авторского права в целях содействия доступу к информационному и творческому контенту.  Комитет одобрил круг ведения для проведения независимого обзора выполнения рекомендаций Повестки дня в области развития и принял решение о созыве международной конференции по интеллектуальной собственности и развитию.</w:t>
      </w:r>
    </w:p>
    <w:p w:rsidR="00BF61DC" w:rsidRPr="00BF61DC" w:rsidRDefault="00BF61DC" w:rsidP="00BF61DC">
      <w:pPr>
        <w:jc w:val="both"/>
        <w:rPr>
          <w:b/>
          <w:iCs/>
          <w:lang w:val="ru-RU"/>
        </w:rPr>
      </w:pPr>
    </w:p>
    <w:p w:rsidR="00BF61DC" w:rsidRPr="00BF61DC" w:rsidRDefault="00BF61DC" w:rsidP="00BF61DC">
      <w:pPr>
        <w:rPr>
          <w:b/>
          <w:iCs/>
          <w:lang w:val="ru-RU"/>
        </w:rPr>
      </w:pPr>
    </w:p>
    <w:p w:rsidR="00BF61DC" w:rsidRPr="00BF61DC" w:rsidRDefault="00BF61DC" w:rsidP="00BF61DC">
      <w:pPr>
        <w:jc w:val="center"/>
        <w:rPr>
          <w:b/>
          <w:iCs/>
          <w:lang w:val="ru-RU"/>
        </w:rPr>
      </w:pPr>
      <w:r w:rsidRPr="00BF61DC">
        <w:rPr>
          <w:b/>
          <w:lang w:val="ru-RU"/>
        </w:rPr>
        <w:t xml:space="preserve">Стратегическая цель </w:t>
      </w:r>
      <w:r>
        <w:rPr>
          <w:b/>
        </w:rPr>
        <w:t>IV</w:t>
      </w:r>
      <w:r w:rsidRPr="00BF61DC">
        <w:rPr>
          <w:b/>
          <w:lang w:val="ru-RU"/>
        </w:rPr>
        <w:t>:  Координация и развитие глобальной инфраструктуры ИС</w:t>
      </w:r>
    </w:p>
    <w:p w:rsidR="00BF61DC" w:rsidRPr="00BF61DC" w:rsidRDefault="00BF61DC" w:rsidP="00BF61DC">
      <w:pPr>
        <w:jc w:val="center"/>
        <w:rPr>
          <w:b/>
          <w:noProof/>
          <w:sz w:val="18"/>
          <w:szCs w:val="18"/>
          <w:lang w:val="ru-RU"/>
        </w:rPr>
      </w:pPr>
    </w:p>
    <w:p w:rsidR="00BF61DC" w:rsidRDefault="00BF61DC" w:rsidP="00BF61DC">
      <w:pPr>
        <w:jc w:val="center"/>
        <w:rPr>
          <w:b/>
          <w:sz w:val="18"/>
          <w:szCs w:val="18"/>
        </w:rPr>
      </w:pPr>
      <w:r>
        <w:rPr>
          <w:b/>
          <w:noProof/>
          <w:sz w:val="18"/>
          <w:szCs w:val="18"/>
        </w:rPr>
        <w:drawing>
          <wp:inline distT="0" distB="0" distL="0" distR="0" wp14:anchorId="75079BA5" wp14:editId="3FEB0C37">
            <wp:extent cx="4608223" cy="2528047"/>
            <wp:effectExtent l="0" t="0" r="1905" b="5715"/>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10434" cy="2529260"/>
                    </a:xfrm>
                    <a:prstGeom prst="rect">
                      <a:avLst/>
                    </a:prstGeom>
                    <a:noFill/>
                    <a:ln>
                      <a:noFill/>
                    </a:ln>
                  </pic:spPr>
                </pic:pic>
              </a:graphicData>
            </a:graphic>
          </wp:inline>
        </w:drawing>
      </w:r>
    </w:p>
    <w:p w:rsidR="00BF61DC" w:rsidRDefault="00BF61DC" w:rsidP="00BF61DC">
      <w:pPr>
        <w:jc w:val="center"/>
        <w:rPr>
          <w:b/>
          <w:sz w:val="18"/>
          <w:szCs w:val="18"/>
        </w:rPr>
      </w:pPr>
    </w:p>
    <w:p w:rsidR="00BF61DC" w:rsidRPr="00975156" w:rsidRDefault="00BF61DC" w:rsidP="00BF61DC">
      <w:pPr>
        <w:jc w:val="center"/>
        <w:rPr>
          <w:b/>
          <w:szCs w:val="20"/>
          <w:lang w:val="ru-RU"/>
        </w:rPr>
      </w:pPr>
      <w:r w:rsidRPr="00975156">
        <w:rPr>
          <w:b/>
          <w:szCs w:val="20"/>
          <w:lang w:val="ru-RU"/>
        </w:rPr>
        <w:t>Краткий обзор достижений в разбивке по ожидаемым результатам</w:t>
      </w:r>
    </w:p>
    <w:p w:rsidR="00975156" w:rsidRPr="00BF61DC" w:rsidRDefault="00975156" w:rsidP="00BF61DC">
      <w:pPr>
        <w:jc w:val="center"/>
        <w:rPr>
          <w:b/>
          <w:iCs/>
          <w:lang w:val="ru-RU"/>
        </w:rPr>
      </w:pPr>
    </w:p>
    <w:p w:rsidR="00BF61DC" w:rsidRDefault="00BF61DC" w:rsidP="00BF61DC">
      <w:pPr>
        <w:jc w:val="center"/>
        <w:rPr>
          <w:b/>
          <w:noProof/>
          <w:sz w:val="18"/>
          <w:szCs w:val="18"/>
        </w:rPr>
      </w:pPr>
      <w:r>
        <w:rPr>
          <w:b/>
          <w:noProof/>
          <w:sz w:val="18"/>
          <w:szCs w:val="18"/>
        </w:rPr>
        <w:drawing>
          <wp:inline distT="0" distB="0" distL="0" distR="0" wp14:anchorId="37407CD0" wp14:editId="40010171">
            <wp:extent cx="4973333" cy="2635623"/>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976982" cy="2637557"/>
                    </a:xfrm>
                    <a:prstGeom prst="rect">
                      <a:avLst/>
                    </a:prstGeom>
                    <a:noFill/>
                    <a:ln>
                      <a:noFill/>
                    </a:ln>
                  </pic:spPr>
                </pic:pic>
              </a:graphicData>
            </a:graphic>
          </wp:inline>
        </w:drawing>
      </w:r>
    </w:p>
    <w:p w:rsidR="00BF61DC" w:rsidRDefault="00BF61DC" w:rsidP="00BF61DC">
      <w:pPr>
        <w:jc w:val="center"/>
        <w:rPr>
          <w:b/>
          <w:sz w:val="18"/>
          <w:szCs w:val="18"/>
        </w:rPr>
      </w:pPr>
    </w:p>
    <w:p w:rsidR="00BF61DC" w:rsidRPr="00BF61DC" w:rsidRDefault="00BF61DC" w:rsidP="00BF61DC">
      <w:pPr>
        <w:pStyle w:val="ListParagraph"/>
        <w:numPr>
          <w:ilvl w:val="0"/>
          <w:numId w:val="136"/>
        </w:numPr>
        <w:tabs>
          <w:tab w:val="left" w:pos="567"/>
        </w:tabs>
        <w:ind w:left="0" w:firstLine="0"/>
        <w:jc w:val="both"/>
        <w:rPr>
          <w:bCs/>
          <w:lang w:val="ru-RU"/>
        </w:rPr>
      </w:pPr>
      <w:r w:rsidRPr="00BF61DC">
        <w:rPr>
          <w:lang w:val="ru-RU"/>
        </w:rPr>
        <w:t>В 2014–2015</w:t>
      </w:r>
      <w:r>
        <w:t> </w:t>
      </w:r>
      <w:r w:rsidRPr="00BF61DC">
        <w:rPr>
          <w:lang w:val="ru-RU"/>
        </w:rPr>
        <w:t xml:space="preserve">гг. в рамках усилий по укреплению глобальной инфраструктуры ИС для содействия удовлетворению растущего мирового спроса на услуги системы ИС и облегчения участия в ней развивающихся стран и НРС значительный прогресс был достигнут в развитии глобальных баз данных по ИС и классификаций, модернизации ведомств ИС и создании ЦПТИ. </w:t>
      </w:r>
    </w:p>
    <w:p w:rsidR="00BF61DC" w:rsidRPr="00BF61DC" w:rsidRDefault="00BF61DC" w:rsidP="00BF61DC">
      <w:pPr>
        <w:autoSpaceDE w:val="0"/>
        <w:autoSpaceDN w:val="0"/>
        <w:adjustRightInd w:val="0"/>
        <w:jc w:val="both"/>
        <w:rPr>
          <w:bCs/>
          <w:szCs w:val="20"/>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В 2014–2015</w:t>
      </w:r>
      <w:r>
        <w:t> </w:t>
      </w:r>
      <w:r w:rsidRPr="00BF61DC">
        <w:rPr>
          <w:lang w:val="ru-RU"/>
        </w:rPr>
        <w:t xml:space="preserve">гг. продолжалось укрепление системы </w:t>
      </w:r>
      <w:r>
        <w:t>PATENTSCOPE</w:t>
      </w:r>
      <w:r w:rsidRPr="00BF61DC">
        <w:rPr>
          <w:lang w:val="ru-RU"/>
        </w:rPr>
        <w:t xml:space="preserve">; при этом значительный акцент был сделан на улучшении доступа к системе в тех регионах, где существует проблема слишком длительного времени ожидания отклика системы.  Были также достигнуты значительные улучшения в работе с пользователями из Азии.  В Систему межъязыкового поиска </w:t>
      </w:r>
      <w:r>
        <w:t>CLIR</w:t>
      </w:r>
      <w:r w:rsidRPr="00BF61DC">
        <w:rPr>
          <w:lang w:val="ru-RU"/>
        </w:rPr>
        <w:t xml:space="preserve"> были добавлены еще два языка, в результате чего к концу двухлетнего периода общее число языков достигло 14.  Была расширена разработанная специалистами ВОИС система статистического машинного перевода наименований и рефератов патентов </w:t>
      </w:r>
      <w:r>
        <w:t>WIPO</w:t>
      </w:r>
      <w:r w:rsidRPr="00BF61DC">
        <w:rPr>
          <w:lang w:val="ru-RU"/>
        </w:rPr>
        <w:t xml:space="preserve"> </w:t>
      </w:r>
      <w:r>
        <w:t>Translate</w:t>
      </w:r>
      <w:r>
        <w:rPr>
          <w:rStyle w:val="FootnoteReference"/>
        </w:rPr>
        <w:footnoteReference w:id="5"/>
      </w:r>
      <w:r w:rsidRPr="00BF61DC">
        <w:rPr>
          <w:lang w:val="ru-RU"/>
        </w:rPr>
        <w:t>, и к концу двухлетнего периода в нее были включены еще три сложные языковые пары: английский и корейский, английский и русский, а также английский и испанский, в результате чего общее число языковых пар достигло семи. Кроме того, был расширен охват языковой пары английский – китайский, и в нее были включены описания и формулы изобретения.</w:t>
      </w:r>
    </w:p>
    <w:p w:rsidR="00BF61DC" w:rsidRPr="00BF61DC" w:rsidRDefault="00BF61DC" w:rsidP="00BF61DC">
      <w:pPr>
        <w:pStyle w:val="ListParagraph"/>
        <w:tabs>
          <w:tab w:val="left" w:pos="709"/>
        </w:tabs>
        <w:ind w:left="0"/>
        <w:jc w:val="both"/>
        <w:rPr>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 xml:space="preserve">Сервис </w:t>
      </w:r>
      <w:r>
        <w:t>PATENTSCOPE</w:t>
      </w:r>
      <w:r w:rsidRPr="00BF61DC">
        <w:rPr>
          <w:lang w:val="ru-RU"/>
        </w:rPr>
        <w:t xml:space="preserve"> продолжал пользоваться большой популярностью: среднее число просмотров уникальными посетителями составляло 500</w:t>
      </w:r>
      <w:r>
        <w:t> </w:t>
      </w:r>
      <w:r w:rsidRPr="00BF61DC">
        <w:rPr>
          <w:lang w:val="ru-RU"/>
        </w:rPr>
        <w:t xml:space="preserve">000 в день.  Уровень использования </w:t>
      </w:r>
      <w:r>
        <w:t>PATENTSCOPE</w:t>
      </w:r>
      <w:r w:rsidRPr="00BF61DC">
        <w:rPr>
          <w:lang w:val="ru-RU"/>
        </w:rPr>
        <w:t xml:space="preserve"> был стабильным: к концу двухлетнего периода среднее число посетителей за квартал составляло 221</w:t>
      </w:r>
      <w:r>
        <w:t> </w:t>
      </w:r>
      <w:r w:rsidRPr="00BF61DC">
        <w:rPr>
          <w:lang w:val="ru-RU"/>
        </w:rPr>
        <w:t xml:space="preserve">000. Это говорит о том, что уровень обслуживания, обеспечиваемый поисковой системой </w:t>
      </w:r>
      <w:r>
        <w:t>PATENTSCOPE</w:t>
      </w:r>
      <w:r w:rsidRPr="00BF61DC">
        <w:rPr>
          <w:lang w:val="ru-RU"/>
        </w:rPr>
        <w:t xml:space="preserve">, в настоящее время достаточно высок, из-за чего темпы роста ее эффективности снижаются.  Число фондов в </w:t>
      </w:r>
      <w:r>
        <w:t>PATENTSCOPE</w:t>
      </w:r>
      <w:r w:rsidRPr="00BF61DC">
        <w:rPr>
          <w:lang w:val="ru-RU"/>
        </w:rPr>
        <w:t xml:space="preserve"> также увеличилось на 19</w:t>
      </w:r>
      <w:r>
        <w:t> </w:t>
      </w:r>
      <w:r w:rsidRPr="00BF61DC">
        <w:rPr>
          <w:lang w:val="ru-RU"/>
        </w:rPr>
        <w:t>% по сравнению с 2013</w:t>
      </w:r>
      <w:r>
        <w:t> </w:t>
      </w:r>
      <w:r w:rsidRPr="00BF61DC">
        <w:rPr>
          <w:lang w:val="ru-RU"/>
        </w:rPr>
        <w:t>г., в результате чего общее число национальных и региональных фондов (указанных как «Другие источники» на графике ниже) составило 43 (тогда как в конце 2013 г. их было 36), а общее число записей превысило 50</w:t>
      </w:r>
      <w:r>
        <w:t> </w:t>
      </w:r>
      <w:r w:rsidRPr="00BF61DC">
        <w:rPr>
          <w:lang w:val="ru-RU"/>
        </w:rPr>
        <w:t>миллионов (тогда как в конце 2013</w:t>
      </w:r>
      <w:r>
        <w:t> </w:t>
      </w:r>
      <w:r w:rsidRPr="00BF61DC">
        <w:rPr>
          <w:lang w:val="ru-RU"/>
        </w:rPr>
        <w:t>г. их было 34</w:t>
      </w:r>
      <w:r>
        <w:t> </w:t>
      </w:r>
      <w:r w:rsidRPr="00BF61DC">
        <w:rPr>
          <w:lang w:val="ru-RU"/>
        </w:rPr>
        <w:t>миллиона), что на 47% больше, чем в 2013</w:t>
      </w:r>
      <w:r>
        <w:t> </w:t>
      </w:r>
      <w:r w:rsidRPr="00BF61DC">
        <w:rPr>
          <w:lang w:val="ru-RU"/>
        </w:rPr>
        <w:t>г.</w:t>
      </w:r>
    </w:p>
    <w:p w:rsidR="00BF61DC" w:rsidRPr="00BF61DC" w:rsidRDefault="00BF61DC" w:rsidP="00BF61DC">
      <w:pPr>
        <w:autoSpaceDE w:val="0"/>
        <w:autoSpaceDN w:val="0"/>
        <w:adjustRightInd w:val="0"/>
        <w:jc w:val="both"/>
        <w:rPr>
          <w:szCs w:val="20"/>
          <w:lang w:val="ru-RU"/>
        </w:rPr>
      </w:pPr>
    </w:p>
    <w:p w:rsidR="00BF61DC" w:rsidRPr="00BF61DC" w:rsidRDefault="00BF61DC" w:rsidP="00BF61DC">
      <w:pPr>
        <w:pStyle w:val="ListParagraph"/>
        <w:numPr>
          <w:ilvl w:val="0"/>
          <w:numId w:val="136"/>
        </w:numPr>
        <w:tabs>
          <w:tab w:val="left" w:pos="567"/>
        </w:tabs>
        <w:ind w:left="0" w:firstLine="0"/>
        <w:jc w:val="both"/>
        <w:rPr>
          <w:bCs/>
          <w:lang w:val="ru-RU"/>
        </w:rPr>
      </w:pPr>
      <w:r w:rsidRPr="00BF61DC">
        <w:rPr>
          <w:lang w:val="ru-RU"/>
        </w:rPr>
        <w:t>В результате внедрения мощной функции поиска схожих изображений активность использования Глобальной базы данных по брендам в 2014–2015</w:t>
      </w:r>
      <w:r>
        <w:t> </w:t>
      </w:r>
      <w:r w:rsidRPr="00BF61DC">
        <w:rPr>
          <w:lang w:val="ru-RU"/>
        </w:rPr>
        <w:t>гг. превзошла все ожидания: число уникальных посетителей за квартал увеличилось в четыре раза: с 23</w:t>
      </w:r>
      <w:r>
        <w:t> </w:t>
      </w:r>
      <w:r w:rsidRPr="00BF61DC">
        <w:rPr>
          <w:lang w:val="ru-RU"/>
        </w:rPr>
        <w:t>000 в 2013</w:t>
      </w:r>
      <w:r>
        <w:t> </w:t>
      </w:r>
      <w:r w:rsidRPr="00BF61DC">
        <w:rPr>
          <w:lang w:val="ru-RU"/>
        </w:rPr>
        <w:t>г. до более 80</w:t>
      </w:r>
      <w:r>
        <w:t> </w:t>
      </w:r>
      <w:r w:rsidRPr="00BF61DC">
        <w:rPr>
          <w:lang w:val="ru-RU"/>
        </w:rPr>
        <w:t>000.  Число национальных фондов увеличилось более чем в два раза с 12 в конце 2013</w:t>
      </w:r>
      <w:r>
        <w:t> </w:t>
      </w:r>
      <w:r w:rsidRPr="00BF61DC">
        <w:rPr>
          <w:lang w:val="ru-RU"/>
        </w:rPr>
        <w:t>г. до 26 в конце 2015</w:t>
      </w:r>
      <w:r>
        <w:t> </w:t>
      </w:r>
      <w:r w:rsidRPr="00BF61DC">
        <w:rPr>
          <w:lang w:val="ru-RU"/>
        </w:rPr>
        <w:t>г.  Точно так же общее число записей, содержащихся в системе, увеличилось более чем вдвое в 2014–2015</w:t>
      </w:r>
      <w:r>
        <w:t> </w:t>
      </w:r>
      <w:r w:rsidRPr="00BF61DC">
        <w:rPr>
          <w:lang w:val="ru-RU"/>
        </w:rPr>
        <w:t>гг.: с 12 миллионов до 24</w:t>
      </w:r>
      <w:r>
        <w:t> </w:t>
      </w:r>
      <w:r w:rsidRPr="00BF61DC">
        <w:rPr>
          <w:lang w:val="ru-RU"/>
        </w:rPr>
        <w:t>миллионов.</w:t>
      </w:r>
    </w:p>
    <w:p w:rsidR="00BF61DC" w:rsidRPr="00BF61DC" w:rsidRDefault="00BF61DC" w:rsidP="00BF61DC">
      <w:pPr>
        <w:jc w:val="both"/>
        <w:rPr>
          <w:bCs/>
          <w:szCs w:val="20"/>
          <w:lang w:val="ru-RU"/>
        </w:rPr>
      </w:pPr>
    </w:p>
    <w:p w:rsidR="00BF61DC" w:rsidRPr="00BF61DC" w:rsidRDefault="00BF61DC" w:rsidP="00BF61DC">
      <w:pPr>
        <w:pStyle w:val="ListParagraph"/>
        <w:numPr>
          <w:ilvl w:val="0"/>
          <w:numId w:val="136"/>
        </w:numPr>
        <w:tabs>
          <w:tab w:val="left" w:pos="567"/>
        </w:tabs>
        <w:ind w:left="0" w:firstLine="0"/>
        <w:jc w:val="both"/>
        <w:rPr>
          <w:rFonts w:eastAsia="MS Mincho"/>
          <w:lang w:val="ru-RU"/>
        </w:rPr>
      </w:pPr>
      <w:r w:rsidRPr="00BF61DC">
        <w:rPr>
          <w:lang w:val="ru-RU"/>
        </w:rPr>
        <w:t>В качестве одного из достижений отчетного периода следует особо отметить запуск нового сервиса – Глобальной базы данных по промышленным образцам, которая начала действовать в январе 2015</w:t>
      </w:r>
      <w:r>
        <w:t> </w:t>
      </w:r>
      <w:r w:rsidRPr="00BF61DC">
        <w:rPr>
          <w:lang w:val="ru-RU"/>
        </w:rPr>
        <w:t>г.  К концу 2015</w:t>
      </w:r>
      <w:r>
        <w:t> </w:t>
      </w:r>
      <w:r w:rsidRPr="00BF61DC">
        <w:rPr>
          <w:lang w:val="ru-RU"/>
        </w:rPr>
        <w:t>г., всего через год после начала работы, число уникальных посетителей Глобальной базы данных по образцам за квартал достигло впечатляющего уровня в 14</w:t>
      </w:r>
      <w:r>
        <w:t> </w:t>
      </w:r>
      <w:r w:rsidRPr="00BF61DC">
        <w:rPr>
          <w:lang w:val="ru-RU"/>
        </w:rPr>
        <w:t>000.  Кроме того, число национальных фондов (на графике ниже они обозначены как «Другие источники») достигло пяти, а число содержащихся в них документов об образцах – 1,5</w:t>
      </w:r>
      <w:r>
        <w:t> </w:t>
      </w:r>
      <w:r w:rsidRPr="00BF61DC">
        <w:rPr>
          <w:lang w:val="ru-RU"/>
        </w:rPr>
        <w:t xml:space="preserve">миллиона. </w:t>
      </w:r>
    </w:p>
    <w:p w:rsidR="00BF61DC" w:rsidRPr="00BF61DC" w:rsidRDefault="00BF61DC" w:rsidP="00BF61DC">
      <w:pPr>
        <w:jc w:val="both"/>
        <w:rPr>
          <w:bCs/>
          <w:szCs w:val="20"/>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Несмотря на неравномерный прогресс в 2014</w:t>
      </w:r>
      <w:r>
        <w:t> </w:t>
      </w:r>
      <w:r w:rsidRPr="00BF61DC">
        <w:rPr>
          <w:lang w:val="ru-RU"/>
        </w:rPr>
        <w:t>г., ситуация в сфере международных классификаций и стандартов ВОИС в области ИС значительно улучшилась в 2015</w:t>
      </w:r>
      <w:r>
        <w:t> </w:t>
      </w:r>
      <w:r w:rsidRPr="00BF61DC">
        <w:rPr>
          <w:lang w:val="ru-RU"/>
        </w:rPr>
        <w:t>г.: в некоторых областях результаты превзошли ожидания, хотя в других областях наблюдалось отставание.  Что касается Ниццкой классификации (</w:t>
      </w:r>
      <w:r>
        <w:t>NCL</w:t>
      </w:r>
      <w:r w:rsidRPr="00BF61DC">
        <w:rPr>
          <w:lang w:val="ru-RU"/>
        </w:rPr>
        <w:t>), то в рассматриваемый двухлетний период было внесено в общей сложности 1</w:t>
      </w:r>
      <w:r>
        <w:t> </w:t>
      </w:r>
      <w:r w:rsidRPr="00BF61DC">
        <w:rPr>
          <w:lang w:val="ru-RU"/>
        </w:rPr>
        <w:t>480</w:t>
      </w:r>
      <w:r>
        <w:t> </w:t>
      </w:r>
      <w:r w:rsidRPr="00BF61DC">
        <w:rPr>
          <w:lang w:val="ru-RU"/>
        </w:rPr>
        <w:t>новых поправок и 25</w:t>
      </w:r>
      <w:r>
        <w:t> </w:t>
      </w:r>
      <w:r w:rsidRPr="00BF61DC">
        <w:rPr>
          <w:lang w:val="ru-RU"/>
        </w:rPr>
        <w:t>информационных дополнений.  По сравнению с 2012–2013</w:t>
      </w:r>
      <w:r>
        <w:t> </w:t>
      </w:r>
      <w:r w:rsidRPr="00BF61DC">
        <w:rPr>
          <w:lang w:val="ru-RU"/>
        </w:rPr>
        <w:t>гг. число поправок возросло на 94%.  Что МПК, то в апреле 2014</w:t>
      </w:r>
      <w:r>
        <w:t> </w:t>
      </w:r>
      <w:r w:rsidRPr="00BF61DC">
        <w:rPr>
          <w:lang w:val="ru-RU"/>
        </w:rPr>
        <w:t>г. в целях содействия использованию этой системы была запущена новая платформа для публикаций, включающая в себя новый инструмент поиска и опцию параллельного просмотра МПК/СПК/</w:t>
      </w:r>
      <w:r>
        <w:t>FI</w:t>
      </w:r>
      <w:r w:rsidRPr="00BF61DC">
        <w:rPr>
          <w:lang w:val="ru-RU"/>
        </w:rPr>
        <w:t>.  В связи с увеличением числа проектов по пересмотру МПК, инициированных ведомствами группы «</w:t>
      </w:r>
      <w:r>
        <w:t>IP</w:t>
      </w:r>
      <w:r w:rsidRPr="00BF61DC">
        <w:rPr>
          <w:lang w:val="ru-RU"/>
        </w:rPr>
        <w:t>5» и сообществом МПК, число новых подразделов, введенных в 2015</w:t>
      </w:r>
      <w:r>
        <w:t> </w:t>
      </w:r>
      <w:r w:rsidRPr="00BF61DC">
        <w:rPr>
          <w:lang w:val="ru-RU"/>
        </w:rPr>
        <w:t>г. (1</w:t>
      </w:r>
      <w:r>
        <w:t> </w:t>
      </w:r>
      <w:r w:rsidRPr="00BF61DC">
        <w:rPr>
          <w:lang w:val="ru-RU"/>
        </w:rPr>
        <w:t>031) превысило ежегодные целевые показатели на 28 процентов, что свидетельствовало о восстановлении после снижения в 2014</w:t>
      </w:r>
      <w:r>
        <w:t> </w:t>
      </w:r>
      <w:r w:rsidRPr="00BF61DC">
        <w:rPr>
          <w:lang w:val="ru-RU"/>
        </w:rPr>
        <w:t>г. и позволило достичь целевых показателей.  Комитету по стандартам ВОИС (КСВ) на своей четвертой сессии не удалось утвердить повестку дня, вследствие чего неофициально согласованные решения официально приняты не были.  Несмотря на такое затруднение, в 2014</w:t>
      </w:r>
      <w:r>
        <w:t> </w:t>
      </w:r>
      <w:r w:rsidRPr="00BF61DC">
        <w:rPr>
          <w:lang w:val="ru-RU"/>
        </w:rPr>
        <w:t>г. был принят один новый стандарт, и один стандарт был пересмотрен в неофициальном порядке.  Эта тупиковая ситуация сохранилась и в 2015</w:t>
      </w:r>
      <w:r>
        <w:t> </w:t>
      </w:r>
      <w:r w:rsidRPr="00BF61DC">
        <w:rPr>
          <w:lang w:val="ru-RU"/>
        </w:rPr>
        <w:t>г., из-за чего не удалось обеспечить официальное утверждение новых стандартов.  Тем не менее неофициальная работа по решению конкретных задач продолжалась в рамках целевых групп, групп, состоящих из экспертов, которые были назначены членами КСВ и наблюдателями.  Ожидается, что несколько стандартов будут утверждены после возобновления работы КСВ в 2016</w:t>
      </w:r>
      <w:r>
        <w:t> </w:t>
      </w:r>
      <w:r w:rsidRPr="00BF61DC">
        <w:rPr>
          <w:lang w:val="ru-RU"/>
        </w:rPr>
        <w:t>г.  Благодаря включению пересмотренных классификаций и новых инструментальных средств стабильно расширялось использование средств Интернета для получения доступа к классификациям и стандартам, причем число посетителей платформы публикаций МПК возросло значительно (на 107</w:t>
      </w:r>
      <w:r>
        <w:t> </w:t>
      </w:r>
      <w:r w:rsidRPr="00BF61DC">
        <w:rPr>
          <w:lang w:val="ru-RU"/>
        </w:rPr>
        <w:t>процент по сравнению с 2013</w:t>
      </w:r>
      <w:r>
        <w:t> </w:t>
      </w:r>
      <w:r w:rsidRPr="00BF61DC">
        <w:rPr>
          <w:lang w:val="ru-RU"/>
        </w:rPr>
        <w:t>г.).</w:t>
      </w:r>
    </w:p>
    <w:p w:rsidR="00BF61DC" w:rsidRPr="00BF61DC" w:rsidRDefault="00BF61DC" w:rsidP="00BF61DC">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jc w:val="both"/>
        <w:rPr>
          <w:szCs w:val="20"/>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В двухлетний период 2014–2015</w:t>
      </w:r>
      <w:r>
        <w:t> </w:t>
      </w:r>
      <w:r w:rsidRPr="00BF61DC">
        <w:rPr>
          <w:lang w:val="ru-RU"/>
        </w:rPr>
        <w:t>гг. еще 11</w:t>
      </w:r>
      <w:r>
        <w:t> </w:t>
      </w:r>
      <w:r w:rsidRPr="00BF61DC">
        <w:rPr>
          <w:lang w:val="ru-RU"/>
        </w:rPr>
        <w:t>стран создали сети Центров поддержки технологий и инноваций (ЦПТИ), и общее число таких стран достигло 50 (на 28</w:t>
      </w:r>
      <w:r>
        <w:t> </w:t>
      </w:r>
      <w:r w:rsidRPr="00BF61DC">
        <w:rPr>
          <w:lang w:val="ru-RU"/>
        </w:rPr>
        <w:t>процентов больше, чем в 2012–2013</w:t>
      </w:r>
      <w:r>
        <w:t> </w:t>
      </w:r>
      <w:r w:rsidRPr="00BF61DC">
        <w:rPr>
          <w:lang w:val="ru-RU"/>
        </w:rPr>
        <w:t>гг.).  Работа по этому направлению была нацелена на укрепление долговременной устойчивости данных сетей, и к концу 2015</w:t>
      </w:r>
      <w:r>
        <w:t> </w:t>
      </w:r>
      <w:r w:rsidRPr="00BF61DC">
        <w:rPr>
          <w:lang w:val="ru-RU"/>
        </w:rPr>
        <w:t xml:space="preserve">г. к категории устойчивых было отнесено 25 ЦПТИ.  Платформа управления знаниями </w:t>
      </w:r>
      <w:r>
        <w:t>eTISC</w:t>
      </w:r>
      <w:r w:rsidRPr="00BF61DC">
        <w:rPr>
          <w:lang w:val="ru-RU"/>
        </w:rPr>
        <w:t xml:space="preserve"> продолжала активно развиваться, и число ее членов увеличилось более чем в два раза (к концу 2015</w:t>
      </w:r>
      <w:r>
        <w:t> </w:t>
      </w:r>
      <w:r w:rsidRPr="00BF61DC">
        <w:rPr>
          <w:lang w:val="ru-RU"/>
        </w:rPr>
        <w:t>г. в ней было почти 1</w:t>
      </w:r>
      <w:r>
        <w:t> </w:t>
      </w:r>
      <w:r w:rsidRPr="00BF61DC">
        <w:rPr>
          <w:lang w:val="ru-RU"/>
        </w:rPr>
        <w:t>500</w:t>
      </w:r>
      <w:r>
        <w:t> </w:t>
      </w:r>
      <w:r w:rsidRPr="00BF61DC">
        <w:rPr>
          <w:lang w:val="ru-RU"/>
        </w:rPr>
        <w:t>членов из 115</w:t>
      </w:r>
      <w:r>
        <w:t> </w:t>
      </w:r>
      <w:r w:rsidRPr="00BF61DC">
        <w:rPr>
          <w:lang w:val="ru-RU"/>
        </w:rPr>
        <w:t xml:space="preserve">стран, тогда как в конце предыдущего двухлетнего периода – 700).  В программу </w:t>
      </w:r>
      <w:r>
        <w:t>eTISC</w:t>
      </w:r>
      <w:r w:rsidRPr="00BF61DC">
        <w:rPr>
          <w:lang w:val="ru-RU"/>
        </w:rPr>
        <w:t xml:space="preserve"> было дополнительно включено 16</w:t>
      </w:r>
      <w:r>
        <w:t> </w:t>
      </w:r>
      <w:r w:rsidRPr="00BF61DC">
        <w:rPr>
          <w:lang w:val="ru-RU"/>
        </w:rPr>
        <w:t>учебных вебинаров и на этой платформе в режиме реального времени было проведено десять сессий вопросов и ответов с участием специалистов по поддержке инновационной деятельности.</w:t>
      </w:r>
    </w:p>
    <w:p w:rsidR="00BF61DC" w:rsidRPr="00BF61DC" w:rsidRDefault="00BF61DC" w:rsidP="00BF61DC">
      <w:pPr>
        <w:pStyle w:val="ListParagraph"/>
        <w:tabs>
          <w:tab w:val="left" w:pos="0"/>
          <w:tab w:val="left" w:pos="709"/>
        </w:tabs>
        <w:ind w:left="0"/>
        <w:jc w:val="both"/>
        <w:rPr>
          <w:rFonts w:cs="Arial"/>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В целях удовлетворения растущего спроса МБ продолжало разработку продуктов для обеспечения основных деловых процессов ведомств ИС, в частности Автоматизированной системы промышленной собственности ВОИС (</w:t>
      </w:r>
      <w:r>
        <w:t>IPAS</w:t>
      </w:r>
      <w:r w:rsidRPr="00BF61DC">
        <w:rPr>
          <w:lang w:val="ru-RU"/>
        </w:rPr>
        <w:t xml:space="preserve">) и поддерживающих модулей.  Среди основных новых функций, внедренных в рассматриваемый двухлетний период, можно выделить более эффективную поддержку управления электронными документами и поддержку двуязычных операций, особенно для ведомств, ведущих работу на арабском языке.  Два новых модуля были разработаны и испытаны в нескольких ведомствах ИС: </w:t>
      </w:r>
    </w:p>
    <w:p w:rsidR="00BF61DC" w:rsidRPr="00BF61DC" w:rsidRDefault="00BF61DC" w:rsidP="00BF61DC">
      <w:pPr>
        <w:jc w:val="both"/>
        <w:rPr>
          <w:rFonts w:cs="Arial"/>
          <w:szCs w:val="20"/>
          <w:lang w:val="ru-RU"/>
        </w:rPr>
      </w:pPr>
    </w:p>
    <w:p w:rsidR="00BF61DC" w:rsidRPr="00BF61DC" w:rsidRDefault="00BF61DC" w:rsidP="00BF61DC">
      <w:pPr>
        <w:pStyle w:val="ListParagraph"/>
        <w:numPr>
          <w:ilvl w:val="0"/>
          <w:numId w:val="7"/>
        </w:numPr>
        <w:ind w:left="1134" w:hanging="425"/>
        <w:jc w:val="both"/>
        <w:rPr>
          <w:rFonts w:cs="Arial"/>
          <w:lang w:val="ru-RU"/>
        </w:rPr>
      </w:pPr>
      <w:r w:rsidRPr="00BF61DC">
        <w:rPr>
          <w:lang w:val="ru-RU"/>
        </w:rPr>
        <w:t xml:space="preserve">Была разработана система </w:t>
      </w:r>
      <w:r>
        <w:t>WIPO</w:t>
      </w:r>
      <w:r w:rsidRPr="00BF61DC">
        <w:rPr>
          <w:lang w:val="ru-RU"/>
        </w:rPr>
        <w:t xml:space="preserve"> </w:t>
      </w:r>
      <w:r>
        <w:t>Publish</w:t>
      </w:r>
      <w:r w:rsidRPr="00BF61DC">
        <w:rPr>
          <w:lang w:val="ru-RU"/>
        </w:rPr>
        <w:t xml:space="preserve">, предназначенная для удовлетворения потребностей ведомств в области онлайновой публикации данных об ИС, документов, информации о правовом статусе и досье, а также потребностей в обмене данными (включая обмен данными для глобальных баз данных ВОИС).  Она была внедрена для внутреннего пользования в более чем 10 ведомствах, а еще в нескольких ведомствах – для распространения информации по ИС через интернет. </w:t>
      </w:r>
    </w:p>
    <w:p w:rsidR="00BF61DC" w:rsidRPr="00BF61DC" w:rsidRDefault="00BF61DC" w:rsidP="00BF61DC">
      <w:pPr>
        <w:pStyle w:val="ListParagraph"/>
        <w:jc w:val="both"/>
        <w:rPr>
          <w:rFonts w:cs="Arial"/>
          <w:lang w:val="ru-RU"/>
        </w:rPr>
      </w:pPr>
    </w:p>
    <w:p w:rsidR="00BF61DC" w:rsidRPr="00BF61DC" w:rsidRDefault="00BF61DC" w:rsidP="00BF61DC">
      <w:pPr>
        <w:pStyle w:val="ListParagraph"/>
        <w:numPr>
          <w:ilvl w:val="0"/>
          <w:numId w:val="7"/>
        </w:numPr>
        <w:ind w:left="1134" w:hanging="425"/>
        <w:jc w:val="both"/>
        <w:rPr>
          <w:rFonts w:cs="Arial"/>
          <w:lang w:val="ru-RU"/>
        </w:rPr>
      </w:pPr>
      <w:r w:rsidRPr="00BF61DC">
        <w:rPr>
          <w:lang w:val="ru-RU"/>
        </w:rPr>
        <w:t xml:space="preserve">Система </w:t>
      </w:r>
      <w:r>
        <w:t>WIPO</w:t>
      </w:r>
      <w:r w:rsidRPr="00BF61DC">
        <w:rPr>
          <w:lang w:val="ru-RU"/>
        </w:rPr>
        <w:t xml:space="preserve"> </w:t>
      </w:r>
      <w:r>
        <w:t>File</w:t>
      </w:r>
      <w:r w:rsidRPr="00BF61DC">
        <w:rPr>
          <w:lang w:val="ru-RU"/>
        </w:rPr>
        <w:t xml:space="preserve"> была разработана как решение для онлайновой подачи заявок небольшими и средними ведомствами; система обладает большой гибкостью, позволяющей адаптировать ее к местным условиям (например, к местным платежным системам).  Система </w:t>
      </w:r>
      <w:r>
        <w:t>WIPO</w:t>
      </w:r>
      <w:r w:rsidRPr="00BF61DC">
        <w:rPr>
          <w:lang w:val="ru-RU"/>
        </w:rPr>
        <w:t xml:space="preserve"> </w:t>
      </w:r>
      <w:r>
        <w:t>File</w:t>
      </w:r>
      <w:r w:rsidRPr="00BF61DC">
        <w:rPr>
          <w:lang w:val="ru-RU"/>
        </w:rPr>
        <w:t xml:space="preserve"> была успешно испытана в одном ведомстве ИС и в настоящее время используется для онлайновой подачи в этом ведомстве.</w:t>
      </w:r>
    </w:p>
    <w:p w:rsidR="00BF61DC" w:rsidRPr="00BF61DC" w:rsidRDefault="00BF61DC" w:rsidP="00BF61DC">
      <w:pPr>
        <w:shd w:val="clear" w:color="auto" w:fill="FFFFFF"/>
        <w:jc w:val="both"/>
        <w:rPr>
          <w:bCs/>
          <w:szCs w:val="20"/>
          <w:lang w:val="ru-RU"/>
        </w:rPr>
      </w:pPr>
    </w:p>
    <w:p w:rsidR="00BF61DC" w:rsidRPr="00BF61DC" w:rsidRDefault="00BF61DC" w:rsidP="00BF61DC">
      <w:pPr>
        <w:pStyle w:val="ListParagraph"/>
        <w:numPr>
          <w:ilvl w:val="0"/>
          <w:numId w:val="136"/>
        </w:numPr>
        <w:tabs>
          <w:tab w:val="left" w:pos="567"/>
        </w:tabs>
        <w:ind w:left="0" w:firstLine="0"/>
        <w:jc w:val="both"/>
        <w:rPr>
          <w:rFonts w:cs="Arial"/>
          <w:color w:val="282828"/>
          <w:lang w:val="ru-RU"/>
        </w:rPr>
      </w:pPr>
      <w:r w:rsidRPr="00BF61DC">
        <w:rPr>
          <w:color w:val="282828"/>
          <w:lang w:val="ru-RU"/>
        </w:rPr>
        <w:t xml:space="preserve">Проект </w:t>
      </w:r>
      <w:r>
        <w:rPr>
          <w:color w:val="282828"/>
        </w:rPr>
        <w:t>WIPO</w:t>
      </w:r>
      <w:r w:rsidRPr="00BF61DC">
        <w:rPr>
          <w:color w:val="282828"/>
          <w:lang w:val="ru-RU"/>
        </w:rPr>
        <w:t xml:space="preserve"> </w:t>
      </w:r>
      <w:r w:rsidRPr="007402F6">
        <w:t>Copyright</w:t>
      </w:r>
      <w:r w:rsidRPr="00BF61DC">
        <w:rPr>
          <w:color w:val="282828"/>
          <w:lang w:val="ru-RU"/>
        </w:rPr>
        <w:t xml:space="preserve"> </w:t>
      </w:r>
      <w:r>
        <w:rPr>
          <w:color w:val="282828"/>
        </w:rPr>
        <w:t>Connection</w:t>
      </w:r>
      <w:r w:rsidRPr="00BF61DC">
        <w:rPr>
          <w:color w:val="282828"/>
          <w:lang w:val="ru-RU"/>
        </w:rPr>
        <w:t xml:space="preserve"> (</w:t>
      </w:r>
      <w:r>
        <w:rPr>
          <w:color w:val="282828"/>
        </w:rPr>
        <w:t>WCC</w:t>
      </w:r>
      <w:r w:rsidRPr="00BF61DC">
        <w:rPr>
          <w:color w:val="282828"/>
          <w:lang w:val="ru-RU"/>
        </w:rPr>
        <w:t xml:space="preserve">) (который пришел на смену </w:t>
      </w:r>
      <w:r>
        <w:rPr>
          <w:color w:val="282828"/>
        </w:rPr>
        <w:t>WIPOCOS</w:t>
      </w:r>
      <w:r w:rsidRPr="00BF61DC">
        <w:rPr>
          <w:color w:val="282828"/>
          <w:lang w:val="ru-RU"/>
        </w:rPr>
        <w:t>) был также начат 2014</w:t>
      </w:r>
      <w:r>
        <w:rPr>
          <w:color w:val="282828"/>
        </w:rPr>
        <w:t> </w:t>
      </w:r>
      <w:r w:rsidRPr="00BF61DC">
        <w:rPr>
          <w:color w:val="282828"/>
          <w:lang w:val="ru-RU"/>
        </w:rPr>
        <w:t>г.; его цель заключается в разработке взаимосвязанной системы управления авторским правом и смежными правами.  В конце двухлетнего периода 2014–2015</w:t>
      </w:r>
      <w:r>
        <w:rPr>
          <w:color w:val="282828"/>
        </w:rPr>
        <w:t> </w:t>
      </w:r>
      <w:r w:rsidRPr="00BF61DC">
        <w:rPr>
          <w:color w:val="282828"/>
          <w:lang w:val="ru-RU"/>
        </w:rPr>
        <w:t>гг. система находилась на заключительной стадии разработки. Она будет внедряться в ОКУ развивающихся стран и НРС начиная с 2016</w:t>
      </w:r>
      <w:r>
        <w:rPr>
          <w:color w:val="282828"/>
        </w:rPr>
        <w:t> </w:t>
      </w:r>
      <w:r w:rsidRPr="00BF61DC">
        <w:rPr>
          <w:color w:val="282828"/>
          <w:lang w:val="ru-RU"/>
        </w:rPr>
        <w:t>г.</w:t>
      </w:r>
    </w:p>
    <w:p w:rsidR="00BF61DC" w:rsidRPr="00BF61DC" w:rsidRDefault="00BF61DC" w:rsidP="00BF61DC">
      <w:pPr>
        <w:shd w:val="clear" w:color="auto" w:fill="FFFFFF"/>
        <w:jc w:val="both"/>
        <w:rPr>
          <w:rFonts w:cs="Arial"/>
          <w:color w:val="282828"/>
          <w:szCs w:val="20"/>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На основе новых спецификаций и результатов обзора с участием ведомств-партнеров в декабре 2014</w:t>
      </w:r>
      <w:r>
        <w:t> </w:t>
      </w:r>
      <w:r w:rsidRPr="00BF61DC">
        <w:rPr>
          <w:lang w:val="ru-RU"/>
        </w:rPr>
        <w:t>г. была введена в эксплуатацию новая версия портала Службы цифрового доступа (СЦД) для содействия работе пересмотренного механизма СЦД</w:t>
      </w:r>
      <w:r>
        <w:t> </w:t>
      </w:r>
      <w:r w:rsidRPr="00BF61DC">
        <w:rPr>
          <w:lang w:val="ru-RU"/>
        </w:rPr>
        <w:t>2.0.  Число участвующих ведомств не изменилось (11).  В апреле 2014</w:t>
      </w:r>
      <w:r>
        <w:t> </w:t>
      </w:r>
      <w:r w:rsidRPr="00BF61DC">
        <w:rPr>
          <w:lang w:val="ru-RU"/>
        </w:rPr>
        <w:t>г. Система централизованного доступа к поиску и экспертизе ВОИС (</w:t>
      </w:r>
      <w:r>
        <w:t>CASE</w:t>
      </w:r>
      <w:r w:rsidRPr="00BF61DC">
        <w:rPr>
          <w:lang w:val="ru-RU"/>
        </w:rPr>
        <w:t>) была связана с системой единого портала доступа к досье группы «</w:t>
      </w:r>
      <w:r>
        <w:t>IP</w:t>
      </w:r>
      <w:r w:rsidRPr="00BF61DC">
        <w:rPr>
          <w:lang w:val="ru-RU"/>
        </w:rPr>
        <w:t xml:space="preserve">5», что позволило наладить двусторонний обмен информацией по досье между </w:t>
      </w:r>
      <w:r>
        <w:t>CASE</w:t>
      </w:r>
      <w:r w:rsidRPr="00BF61DC">
        <w:rPr>
          <w:lang w:val="ru-RU"/>
        </w:rPr>
        <w:t xml:space="preserve"> и ведомствами группы «</w:t>
      </w:r>
      <w:r>
        <w:t>IP</w:t>
      </w:r>
      <w:r w:rsidRPr="00BF61DC">
        <w:rPr>
          <w:lang w:val="ru-RU"/>
        </w:rPr>
        <w:t xml:space="preserve">5».  В рассматриваемый двухлетний период несколько новых ведомств зарегистрировались, чтобы использовать </w:t>
      </w:r>
      <w:r>
        <w:t>CASE</w:t>
      </w:r>
      <w:r w:rsidRPr="00BF61DC">
        <w:rPr>
          <w:lang w:val="ru-RU"/>
        </w:rPr>
        <w:t xml:space="preserve"> ВОИС. В итоге общее число участвующих ведомств составило 21, 10 из которых согласились предоставлять информацию по своим досье другим ведомствам.</w:t>
      </w:r>
    </w:p>
    <w:p w:rsidR="00BF61DC" w:rsidRPr="00BF61DC" w:rsidRDefault="00BF61DC" w:rsidP="00BF61DC">
      <w:pPr>
        <w:shd w:val="clear" w:color="auto" w:fill="FFFFFF"/>
        <w:jc w:val="both"/>
        <w:rPr>
          <w:rFonts w:cs="Arial"/>
          <w:szCs w:val="20"/>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color w:val="000000"/>
          <w:lang w:val="ru-RU"/>
        </w:rPr>
        <w:t xml:space="preserve">В </w:t>
      </w:r>
      <w:r w:rsidRPr="00BF61DC">
        <w:rPr>
          <w:lang w:val="ru-RU"/>
        </w:rPr>
        <w:t>июне</w:t>
      </w:r>
      <w:r w:rsidRPr="00BF61DC">
        <w:rPr>
          <w:color w:val="000000"/>
          <w:lang w:val="ru-RU"/>
        </w:rPr>
        <w:t xml:space="preserve"> 2014</w:t>
      </w:r>
      <w:r>
        <w:rPr>
          <w:color w:val="000000"/>
        </w:rPr>
        <w:t> </w:t>
      </w:r>
      <w:r w:rsidRPr="00BF61DC">
        <w:rPr>
          <w:color w:val="000000"/>
          <w:lang w:val="ru-RU"/>
        </w:rPr>
        <w:t>г. при участии широкого круга партнеров была создана новая структура, Консорциум доступных книг (</w:t>
      </w:r>
      <w:r>
        <w:rPr>
          <w:color w:val="000000"/>
        </w:rPr>
        <w:t>ABC</w:t>
      </w:r>
      <w:r w:rsidRPr="00BF61DC">
        <w:rPr>
          <w:color w:val="000000"/>
          <w:lang w:val="ru-RU"/>
        </w:rPr>
        <w:t xml:space="preserve">), в целях увеличения числа книг в доступных форматах во всем мире для лиц с ограниченными способностями воспринимать печатную информацию.  </w:t>
      </w:r>
      <w:r w:rsidRPr="00BF61DC">
        <w:rPr>
          <w:lang w:val="ru-RU"/>
        </w:rPr>
        <w:t>Консорциум осуществлял деятельность по трем главным направлениям: (</w:t>
      </w:r>
      <w:r>
        <w:t>i</w:t>
      </w:r>
      <w:r w:rsidRPr="00BF61DC">
        <w:rPr>
          <w:lang w:val="ru-RU"/>
        </w:rPr>
        <w:t>)</w:t>
      </w:r>
      <w:r>
        <w:t> </w:t>
      </w:r>
      <w:r w:rsidRPr="00BF61DC">
        <w:rPr>
          <w:lang w:val="ru-RU"/>
        </w:rPr>
        <w:t>оказание технической помощи в процессе производства доступных книг (эти мероприятия финансировались правительствами Австралии и Республики Корея); (</w:t>
      </w:r>
      <w:r>
        <w:t>ii</w:t>
      </w:r>
      <w:r w:rsidRPr="00BF61DC">
        <w:rPr>
          <w:lang w:val="ru-RU"/>
        </w:rPr>
        <w:t>)</w:t>
      </w:r>
      <w:r>
        <w:t> </w:t>
      </w:r>
      <w:r w:rsidRPr="00BF61DC">
        <w:rPr>
          <w:lang w:val="ru-RU"/>
        </w:rPr>
        <w:t>реализация программы «Инклюзивное книгоиздание», направленной на распространение технологии изначально доступных книг, позволяющей сделать новые книги доступными с самого начала как для зрячих лиц, так и для лиц с ограниченной способностью воспринимать печатную информацию; и (</w:t>
      </w:r>
      <w:r>
        <w:t>iii</w:t>
      </w:r>
      <w:r w:rsidRPr="00BF61DC">
        <w:rPr>
          <w:lang w:val="ru-RU"/>
        </w:rPr>
        <w:t>)</w:t>
      </w:r>
      <w:r>
        <w:t> </w:t>
      </w:r>
      <w:r w:rsidRPr="00BF61DC">
        <w:rPr>
          <w:lang w:val="ru-RU"/>
        </w:rPr>
        <w:t xml:space="preserve">обеспечение функционирования Книжного сервиса </w:t>
      </w:r>
      <w:r>
        <w:t>ABC</w:t>
      </w:r>
      <w:r w:rsidRPr="00BF61DC">
        <w:rPr>
          <w:lang w:val="ru-RU"/>
        </w:rPr>
        <w:t xml:space="preserve">, который получил название </w:t>
      </w:r>
      <w:r>
        <w:t>TIGAR</w:t>
      </w:r>
      <w:r w:rsidRPr="00BF61DC">
        <w:rPr>
          <w:lang w:val="ru-RU"/>
        </w:rPr>
        <w:t>, представляющего собой международную базу данных доступных книг на 55</w:t>
      </w:r>
      <w:r>
        <w:t> </w:t>
      </w:r>
      <w:r w:rsidRPr="00BF61DC">
        <w:rPr>
          <w:lang w:val="ru-RU"/>
        </w:rPr>
        <w:t>языках.</w:t>
      </w:r>
      <w:r w:rsidRPr="00BF61DC">
        <w:rPr>
          <w:color w:val="000000"/>
          <w:lang w:val="ru-RU"/>
        </w:rPr>
        <w:t xml:space="preserve">  В рамках первого направления деятельности консорциум </w:t>
      </w:r>
      <w:r>
        <w:rPr>
          <w:color w:val="000000"/>
        </w:rPr>
        <w:t>ABC</w:t>
      </w:r>
      <w:r w:rsidRPr="00BF61DC">
        <w:rPr>
          <w:color w:val="000000"/>
          <w:lang w:val="ru-RU"/>
        </w:rPr>
        <w:t xml:space="preserve"> выпустил 1</w:t>
      </w:r>
      <w:r>
        <w:rPr>
          <w:color w:val="000000"/>
        </w:rPr>
        <w:t> </w:t>
      </w:r>
      <w:r w:rsidRPr="00BF61DC">
        <w:rPr>
          <w:color w:val="000000"/>
          <w:lang w:val="ru-RU"/>
        </w:rPr>
        <w:t>580 образовательных изданий, которыми смогли воспользоваться 23</w:t>
      </w:r>
      <w:r>
        <w:rPr>
          <w:color w:val="000000"/>
        </w:rPr>
        <w:t> </w:t>
      </w:r>
      <w:r w:rsidRPr="00BF61DC">
        <w:rPr>
          <w:color w:val="000000"/>
          <w:lang w:val="ru-RU"/>
        </w:rPr>
        <w:t xml:space="preserve">500 студентов с ограниченными способностями воспринимать печатную информацию из Бангладеш, Индии, Непала и Шри-Ланки.  В рамках второго направления деятельности консорциум </w:t>
      </w:r>
      <w:r>
        <w:rPr>
          <w:color w:val="000000"/>
        </w:rPr>
        <w:t>ABC</w:t>
      </w:r>
      <w:r w:rsidRPr="00BF61DC">
        <w:rPr>
          <w:color w:val="000000"/>
          <w:lang w:val="ru-RU"/>
        </w:rPr>
        <w:t xml:space="preserve"> поддержал разработку Хартии доступного издательского дела и учреждение Международной премии за высокие достижения в области издания литературы в доступных форматах.</w:t>
      </w:r>
      <w:r w:rsidRPr="00BF61DC">
        <w:rPr>
          <w:i/>
          <w:color w:val="000000"/>
          <w:lang w:val="ru-RU"/>
        </w:rPr>
        <w:t xml:space="preserve">  </w:t>
      </w:r>
      <w:r w:rsidRPr="00BF61DC">
        <w:rPr>
          <w:color w:val="000000"/>
          <w:lang w:val="ru-RU"/>
        </w:rPr>
        <w:t>По состоянию на конец 2015</w:t>
      </w:r>
      <w:r>
        <w:rPr>
          <w:color w:val="000000"/>
        </w:rPr>
        <w:t> </w:t>
      </w:r>
      <w:r w:rsidRPr="00BF61DC">
        <w:rPr>
          <w:color w:val="000000"/>
          <w:lang w:val="ru-RU"/>
        </w:rPr>
        <w:t>г. доступные книги были загружены 4</w:t>
      </w:r>
      <w:r>
        <w:rPr>
          <w:color w:val="000000"/>
        </w:rPr>
        <w:t> </w:t>
      </w:r>
      <w:r w:rsidRPr="00BF61DC">
        <w:rPr>
          <w:color w:val="000000"/>
          <w:lang w:val="ru-RU"/>
        </w:rPr>
        <w:t>208 раз пятнадцатью участвующими в проекте библиотеками и за отчетный период выданы 58</w:t>
      </w:r>
      <w:r>
        <w:rPr>
          <w:color w:val="000000"/>
        </w:rPr>
        <w:t> </w:t>
      </w:r>
      <w:r w:rsidRPr="00BF61DC">
        <w:rPr>
          <w:color w:val="000000"/>
          <w:lang w:val="ru-RU"/>
        </w:rPr>
        <w:t>000 раз лицам с ограниченными способностями воспринимать печатную информацию.</w:t>
      </w:r>
    </w:p>
    <w:p w:rsidR="00BF61DC" w:rsidRPr="00BF61DC" w:rsidRDefault="00BF61DC" w:rsidP="00BF61DC">
      <w:pPr>
        <w:rPr>
          <w:b/>
          <w:iCs/>
          <w:lang w:val="ru-RU"/>
        </w:rPr>
      </w:pPr>
    </w:p>
    <w:p w:rsidR="00BF61DC" w:rsidRPr="00BF61DC" w:rsidRDefault="00BF61DC" w:rsidP="00BF61DC">
      <w:pPr>
        <w:rPr>
          <w:b/>
          <w:iCs/>
          <w:lang w:val="ru-RU"/>
        </w:rPr>
      </w:pPr>
    </w:p>
    <w:p w:rsidR="00BF61DC" w:rsidRPr="00BF61DC" w:rsidRDefault="00BF61DC" w:rsidP="00BF61DC">
      <w:pPr>
        <w:jc w:val="center"/>
        <w:rPr>
          <w:b/>
          <w:lang w:val="ru-RU"/>
        </w:rPr>
      </w:pPr>
      <w:r w:rsidRPr="00BF61DC">
        <w:rPr>
          <w:b/>
          <w:lang w:val="ru-RU"/>
        </w:rPr>
        <w:t xml:space="preserve">Стратегическая цель </w:t>
      </w:r>
      <w:r>
        <w:rPr>
          <w:b/>
        </w:rPr>
        <w:t>V</w:t>
      </w:r>
      <w:r w:rsidR="00975156">
        <w:rPr>
          <w:b/>
          <w:lang w:val="ru-RU"/>
        </w:rPr>
        <w:t>:</w:t>
      </w:r>
      <w:r w:rsidRPr="00BF61DC">
        <w:rPr>
          <w:b/>
          <w:lang w:val="ru-RU"/>
        </w:rPr>
        <w:t xml:space="preserve">  Всемирный источник справочной информации и аналитических данных в области ИС</w:t>
      </w:r>
    </w:p>
    <w:p w:rsidR="00BF61DC" w:rsidRPr="00BF61DC" w:rsidRDefault="00BF61DC" w:rsidP="00BF61DC">
      <w:pPr>
        <w:jc w:val="center"/>
        <w:rPr>
          <w:b/>
          <w:iCs/>
          <w:lang w:val="ru-RU"/>
        </w:rPr>
      </w:pPr>
    </w:p>
    <w:p w:rsidR="00BF61DC" w:rsidRDefault="00BF61DC" w:rsidP="00BF61DC">
      <w:pPr>
        <w:jc w:val="center"/>
        <w:rPr>
          <w:rFonts w:cs="Arial"/>
        </w:rPr>
      </w:pPr>
      <w:r>
        <w:rPr>
          <w:rFonts w:cs="Arial"/>
          <w:noProof/>
        </w:rPr>
        <w:drawing>
          <wp:inline distT="0" distB="0" distL="0" distR="0" wp14:anchorId="01A129A4" wp14:editId="1EC72709">
            <wp:extent cx="5311189" cy="2552281"/>
            <wp:effectExtent l="0" t="0" r="3810" b="635"/>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22990" cy="2557952"/>
                    </a:xfrm>
                    <a:prstGeom prst="rect">
                      <a:avLst/>
                    </a:prstGeom>
                    <a:noFill/>
                    <a:ln>
                      <a:noFill/>
                    </a:ln>
                  </pic:spPr>
                </pic:pic>
              </a:graphicData>
            </a:graphic>
          </wp:inline>
        </w:drawing>
      </w:r>
    </w:p>
    <w:p w:rsidR="00BF61DC" w:rsidRDefault="00BF61DC" w:rsidP="00BF61DC">
      <w:pPr>
        <w:jc w:val="center"/>
        <w:rPr>
          <w:rFonts w:cs="Arial"/>
        </w:rPr>
      </w:pPr>
    </w:p>
    <w:p w:rsidR="00BF61DC" w:rsidRPr="00975156" w:rsidRDefault="00BF61DC" w:rsidP="00BF61DC">
      <w:pPr>
        <w:jc w:val="center"/>
        <w:rPr>
          <w:b/>
          <w:szCs w:val="20"/>
          <w:lang w:val="ru-RU"/>
        </w:rPr>
      </w:pPr>
      <w:r w:rsidRPr="00975156">
        <w:rPr>
          <w:b/>
          <w:szCs w:val="20"/>
          <w:lang w:val="ru-RU"/>
        </w:rPr>
        <w:t>Краткий обзор достижений в разбивке по ожидаемым результатам</w:t>
      </w:r>
    </w:p>
    <w:p w:rsidR="00975156" w:rsidRPr="00BF61DC" w:rsidRDefault="00975156" w:rsidP="00BF61DC">
      <w:pPr>
        <w:jc w:val="center"/>
        <w:rPr>
          <w:b/>
          <w:iCs/>
          <w:lang w:val="ru-RU"/>
        </w:rPr>
      </w:pPr>
    </w:p>
    <w:p w:rsidR="00BF61DC" w:rsidRPr="00EF3FE1" w:rsidRDefault="00BF61DC" w:rsidP="00BF61DC">
      <w:pPr>
        <w:rPr>
          <w:iCs/>
          <w:lang w:val="ru-RU"/>
        </w:rPr>
      </w:pPr>
      <w:r>
        <w:rPr>
          <w:iCs/>
          <w:noProof/>
        </w:rPr>
        <w:drawing>
          <wp:inline distT="0" distB="0" distL="0" distR="0" wp14:anchorId="59314F6C" wp14:editId="53C0CEB1">
            <wp:extent cx="5627077" cy="118506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1574" cy="1188113"/>
                    </a:xfrm>
                    <a:prstGeom prst="rect">
                      <a:avLst/>
                    </a:prstGeom>
                    <a:noFill/>
                    <a:ln>
                      <a:noFill/>
                    </a:ln>
                  </pic:spPr>
                </pic:pic>
              </a:graphicData>
            </a:graphic>
          </wp:inline>
        </w:drawing>
      </w:r>
    </w:p>
    <w:p w:rsidR="00BF61DC" w:rsidRDefault="00BF61DC" w:rsidP="00BF61DC">
      <w:pPr>
        <w:jc w:val="both"/>
        <w:rPr>
          <w:bCs/>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 xml:space="preserve">В рассматриваемый двухлетний период в рамках проводимой ВОИС работы по экономическому анализу был достигнут существенный прогресс в достижении поставленной цели, которая состоит в том, чтобы предоставлять аналитическую информацию высокого качества об экономических вызовах в международной системе ИС и анализировать экономические последствия той или иной политики в области ИС.  Среди важнейших достижений – публикация третьего Доклада о положении дел в сфере интеллектуальной собственности, посвященного революционным инновациям и экономическому росту. После публикации этого доклада в свет вышло более 200 статей в СМИ; также к нему проявили интерес представители директивных органов и академических кругов по всему миру.  Кроме того, ВОИС совместно с Корнельским университетом и школой бизнеса </w:t>
      </w:r>
      <w:r>
        <w:t>INSEAD</w:t>
      </w:r>
      <w:r w:rsidRPr="00BF61DC">
        <w:rPr>
          <w:lang w:val="ru-RU"/>
        </w:rPr>
        <w:t xml:space="preserve"> продолжила публикацию Глобального индекса инноваций (ГИИ).  В 2014–2015</w:t>
      </w:r>
      <w:r>
        <w:t> </w:t>
      </w:r>
      <w:r w:rsidRPr="00BF61DC">
        <w:rPr>
          <w:lang w:val="ru-RU"/>
        </w:rPr>
        <w:t>гг. презентации ГИИ впервые были проведены не в Женеве: в 2014</w:t>
      </w:r>
      <w:r>
        <w:t> </w:t>
      </w:r>
      <w:r w:rsidRPr="00BF61DC">
        <w:rPr>
          <w:lang w:val="ru-RU"/>
        </w:rPr>
        <w:t>г. презентация была организована при участии правительства Австралии, а в 2015</w:t>
      </w:r>
      <w:r>
        <w:t> </w:t>
      </w:r>
      <w:r w:rsidRPr="00BF61DC">
        <w:rPr>
          <w:lang w:val="ru-RU"/>
        </w:rPr>
        <w:t>г. – при участии правительства Соединенного Королевства.  Освещение в СМИ и социальных сетях также проходило активнее, чем в предыдущий двухлетний период.</w:t>
      </w:r>
    </w:p>
    <w:p w:rsidR="00BF61DC" w:rsidRPr="00BF61DC" w:rsidRDefault="00BF61DC" w:rsidP="00BF61DC">
      <w:pPr>
        <w:pStyle w:val="ListParagraph"/>
        <w:tabs>
          <w:tab w:val="left" w:pos="709"/>
        </w:tabs>
        <w:ind w:left="0"/>
        <w:jc w:val="both"/>
        <w:rPr>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Существенные результаты в двухлетний период 2014–2015</w:t>
      </w:r>
      <w:r>
        <w:t> </w:t>
      </w:r>
      <w:r w:rsidRPr="00BF61DC">
        <w:rPr>
          <w:lang w:val="ru-RU"/>
        </w:rPr>
        <w:t>гг. были также достигнуты в области проведения целевых экономических исследований для поддержки работы комитетов ВОИС.  Кроме того, были завершены три проекта Повестки дня в области развития (ПДР): ИС и социально-экономическое развитие; ИС и неформальный сектор экономики; ИС и «утечка умов».  В 2015</w:t>
      </w:r>
      <w:r>
        <w:t> </w:t>
      </w:r>
      <w:r w:rsidRPr="00BF61DC">
        <w:rPr>
          <w:lang w:val="ru-RU"/>
        </w:rPr>
        <w:t>г. также началась реализация второй фазы проекта по ИС и социально-экономическому развитию, в рамках которого проведение соответствующей исследовательской деятельности должно осуществляться в других развивающихся странах.</w:t>
      </w:r>
    </w:p>
    <w:p w:rsidR="00BF61DC" w:rsidRPr="00BF61DC" w:rsidRDefault="00BF61DC" w:rsidP="00BF61DC">
      <w:pPr>
        <w:pStyle w:val="ListParagraph"/>
        <w:tabs>
          <w:tab w:val="left" w:pos="709"/>
        </w:tabs>
        <w:ind w:left="0"/>
        <w:jc w:val="both"/>
        <w:rPr>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Наконец, в ходе статистической работы в двухлетний период 2014–2015</w:t>
      </w:r>
      <w:r>
        <w:t> </w:t>
      </w:r>
      <w:r w:rsidRPr="00BF61DC">
        <w:rPr>
          <w:lang w:val="ru-RU"/>
        </w:rPr>
        <w:t>гг. была также достигнута цель, состоящая в предоставлении точной, всеобъемлющей и своевременно публикуемой статистической информации о функционировании системы ИС в мире.  Что особенно важно, были проведены статистические опросы национальных и региональных ведомств ИС, среднее число ответов на которые увеличилось до 121, тогда так в прошлый двухлетний период этот показатель составил 112.</w:t>
      </w:r>
    </w:p>
    <w:p w:rsidR="00BF61DC" w:rsidRDefault="00BF61DC" w:rsidP="00BF61DC">
      <w:pPr>
        <w:rPr>
          <w:b/>
          <w:iCs/>
          <w:lang w:val="ru-RU"/>
        </w:rPr>
      </w:pPr>
    </w:p>
    <w:p w:rsidR="00975156" w:rsidRPr="00BF61DC" w:rsidRDefault="00975156" w:rsidP="00BF61DC">
      <w:pPr>
        <w:rPr>
          <w:b/>
          <w:iCs/>
          <w:lang w:val="ru-RU"/>
        </w:rPr>
      </w:pPr>
    </w:p>
    <w:p w:rsidR="00BF61DC" w:rsidRPr="00BF61DC" w:rsidRDefault="00BF61DC" w:rsidP="00BF61DC">
      <w:pPr>
        <w:jc w:val="center"/>
        <w:rPr>
          <w:b/>
          <w:lang w:val="ru-RU"/>
        </w:rPr>
      </w:pPr>
      <w:r w:rsidRPr="00BF61DC">
        <w:rPr>
          <w:b/>
          <w:lang w:val="ru-RU"/>
        </w:rPr>
        <w:t xml:space="preserve">Стратегическая цель </w:t>
      </w:r>
      <w:r>
        <w:rPr>
          <w:b/>
        </w:rPr>
        <w:t>VI</w:t>
      </w:r>
      <w:r w:rsidR="00975156">
        <w:rPr>
          <w:b/>
          <w:lang w:val="ru-RU"/>
        </w:rPr>
        <w:t xml:space="preserve">:  </w:t>
      </w:r>
      <w:r w:rsidRPr="00BF61DC">
        <w:rPr>
          <w:b/>
          <w:lang w:val="ru-RU"/>
        </w:rPr>
        <w:t>Международное сотрудничество, направленное на обеспечение уважения ИС</w:t>
      </w:r>
    </w:p>
    <w:p w:rsidR="00BF61DC" w:rsidRPr="00BF61DC" w:rsidRDefault="00BF61DC" w:rsidP="00BF61DC">
      <w:pPr>
        <w:jc w:val="center"/>
        <w:rPr>
          <w:b/>
          <w:iCs/>
          <w:lang w:val="ru-RU"/>
        </w:rPr>
      </w:pPr>
    </w:p>
    <w:p w:rsidR="00BF61DC" w:rsidRDefault="00BF61DC" w:rsidP="00BF61DC">
      <w:pPr>
        <w:jc w:val="center"/>
        <w:rPr>
          <w:b/>
          <w:noProof/>
          <w:sz w:val="18"/>
          <w:szCs w:val="18"/>
        </w:rPr>
      </w:pPr>
      <w:r>
        <w:rPr>
          <w:b/>
          <w:noProof/>
          <w:sz w:val="18"/>
          <w:szCs w:val="18"/>
        </w:rPr>
        <w:drawing>
          <wp:inline distT="0" distB="0" distL="0" distR="0" wp14:anchorId="26C6467A" wp14:editId="1F8A788F">
            <wp:extent cx="5308707" cy="2546998"/>
            <wp:effectExtent l="0" t="0" r="6350" b="5715"/>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29357" cy="2556906"/>
                    </a:xfrm>
                    <a:prstGeom prst="rect">
                      <a:avLst/>
                    </a:prstGeom>
                    <a:noFill/>
                    <a:ln>
                      <a:noFill/>
                    </a:ln>
                  </pic:spPr>
                </pic:pic>
              </a:graphicData>
            </a:graphic>
          </wp:inline>
        </w:drawing>
      </w:r>
    </w:p>
    <w:p w:rsidR="00BF61DC" w:rsidRDefault="00BF61DC" w:rsidP="00BF61DC">
      <w:pPr>
        <w:rPr>
          <w:b/>
          <w:noProof/>
          <w:sz w:val="18"/>
          <w:szCs w:val="18"/>
        </w:rPr>
      </w:pPr>
    </w:p>
    <w:p w:rsidR="00BF61DC" w:rsidRDefault="00BF61DC" w:rsidP="00BF61DC">
      <w:pPr>
        <w:jc w:val="center"/>
        <w:rPr>
          <w:b/>
          <w:szCs w:val="20"/>
          <w:lang w:val="ru-RU"/>
        </w:rPr>
      </w:pPr>
      <w:r w:rsidRPr="00975156">
        <w:rPr>
          <w:b/>
          <w:szCs w:val="20"/>
          <w:lang w:val="ru-RU"/>
        </w:rPr>
        <w:t>Краткий обзор достижений в разбивке по ожидаемым результатам</w:t>
      </w:r>
    </w:p>
    <w:p w:rsidR="00975156" w:rsidRPr="00975156" w:rsidRDefault="00975156" w:rsidP="00BF61DC">
      <w:pPr>
        <w:jc w:val="center"/>
        <w:rPr>
          <w:b/>
          <w:iCs/>
          <w:szCs w:val="20"/>
          <w:lang w:val="ru-RU"/>
        </w:rPr>
      </w:pPr>
    </w:p>
    <w:p w:rsidR="00BF61DC" w:rsidRDefault="00BF61DC" w:rsidP="00BF61DC">
      <w:pPr>
        <w:rPr>
          <w:b/>
          <w:sz w:val="18"/>
          <w:szCs w:val="18"/>
          <w:lang w:val="ru-RU"/>
        </w:rPr>
      </w:pPr>
      <w:r>
        <w:rPr>
          <w:b/>
          <w:noProof/>
          <w:sz w:val="18"/>
          <w:szCs w:val="18"/>
        </w:rPr>
        <w:drawing>
          <wp:inline distT="0" distB="0" distL="0" distR="0" wp14:anchorId="1E3FCF4E" wp14:editId="1100B682">
            <wp:extent cx="5888334" cy="1254108"/>
            <wp:effectExtent l="0" t="0" r="0" b="381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1851" cy="1259117"/>
                    </a:xfrm>
                    <a:prstGeom prst="rect">
                      <a:avLst/>
                    </a:prstGeom>
                    <a:noFill/>
                    <a:ln>
                      <a:noFill/>
                    </a:ln>
                  </pic:spPr>
                </pic:pic>
              </a:graphicData>
            </a:graphic>
          </wp:inline>
        </w:drawing>
      </w:r>
    </w:p>
    <w:p w:rsidR="00975156" w:rsidRPr="00975156" w:rsidRDefault="00975156" w:rsidP="00BF61DC">
      <w:pPr>
        <w:rPr>
          <w:sz w:val="18"/>
          <w:szCs w:val="18"/>
          <w:lang w:val="ru-RU"/>
        </w:rPr>
      </w:pPr>
    </w:p>
    <w:p w:rsidR="00BF61DC" w:rsidRPr="00975156" w:rsidRDefault="00BF61DC" w:rsidP="00BF61DC">
      <w:pPr>
        <w:pStyle w:val="ListParagraph"/>
        <w:numPr>
          <w:ilvl w:val="0"/>
          <w:numId w:val="136"/>
        </w:numPr>
        <w:tabs>
          <w:tab w:val="left" w:pos="567"/>
        </w:tabs>
        <w:ind w:left="0" w:firstLine="0"/>
        <w:jc w:val="both"/>
        <w:rPr>
          <w:iCs/>
          <w:lang w:val="ru-RU"/>
        </w:rPr>
      </w:pPr>
      <w:r w:rsidRPr="00975156">
        <w:rPr>
          <w:lang w:val="ru-RU"/>
        </w:rPr>
        <w:t>В рамках продвижения международного политического диалога между государствами-членами ВОИС по вопросам обеспечения уважения ИС девятая и десятая сессии Консультативного комитета по защите прав (ККЗП) (3-5 марта</w:t>
      </w:r>
      <w:r w:rsidRPr="00975156">
        <w:t> </w:t>
      </w:r>
      <w:r w:rsidRPr="00975156">
        <w:rPr>
          <w:lang w:val="ru-RU"/>
        </w:rPr>
        <w:t>2014 г. и 23–25</w:t>
      </w:r>
      <w:r w:rsidRPr="00975156">
        <w:t> </w:t>
      </w:r>
      <w:r w:rsidRPr="00975156">
        <w:rPr>
          <w:lang w:val="ru-RU"/>
        </w:rPr>
        <w:t>ноября 2015</w:t>
      </w:r>
      <w:r w:rsidRPr="00975156">
        <w:t> </w:t>
      </w:r>
      <w:r w:rsidRPr="00975156">
        <w:rPr>
          <w:lang w:val="ru-RU"/>
        </w:rPr>
        <w:t>г.) стали «ярмаркой идей», создавая предпосылки для обмена национальной практикой и опытом.  Эти трехдневные встречи продемонстрировала растущий интерес к разработке эффективных стратегий предотвращения нарушений прав ИС: от повышения осведомленности, разработки новых операционных моделей и обеспечения надежности логистических цепей до создания альтернативных механизмов разрешения споров по вопросам ИС.  Проведение обеих сессий сопровождалось аудиовизуальными выставками, презентациями общественных кампаний по обеспечению уважения ИС и инструментов повышения информированности молодежи.   Государства-члены приняли решение на своей одиннадцатой сессии провести обмен информацией об опыте стран в следующих четырех областях: (</w:t>
      </w:r>
      <w:r w:rsidRPr="00975156">
        <w:t>i</w:t>
      </w:r>
      <w:r w:rsidRPr="00975156">
        <w:rPr>
          <w:lang w:val="ru-RU"/>
        </w:rPr>
        <w:t>)</w:t>
      </w:r>
      <w:r w:rsidRPr="00975156">
        <w:t> </w:t>
      </w:r>
      <w:r w:rsidRPr="00975156">
        <w:rPr>
          <w:lang w:val="ru-RU"/>
        </w:rPr>
        <w:t>информационно-просветительские кампании и стратегии как способ обеспечения уважения ИС среди широкой общественности, в особенности молодежи, в соответствии с приоритетами государств-членов в области образования и в других областях; (</w:t>
      </w:r>
      <w:r w:rsidRPr="00975156">
        <w:t>ii</w:t>
      </w:r>
      <w:r w:rsidRPr="00975156">
        <w:rPr>
          <w:lang w:val="ru-RU"/>
        </w:rPr>
        <w:t>)</w:t>
      </w:r>
      <w:r w:rsidRPr="00975156">
        <w:t> </w:t>
      </w:r>
      <w:r w:rsidRPr="00975156">
        <w:rPr>
          <w:lang w:val="ru-RU"/>
        </w:rPr>
        <w:t>институциональные механизмы осуществления политики и создания режимов защиты прав ИС, включая механизмы сбалансированного, комплексного и эффективного урегулирования споров по вопросам ИС; (</w:t>
      </w:r>
      <w:r w:rsidRPr="00975156">
        <w:t>iii</w:t>
      </w:r>
      <w:r w:rsidRPr="00975156">
        <w:rPr>
          <w:lang w:val="ru-RU"/>
        </w:rPr>
        <w:t>)</w:t>
      </w:r>
      <w:r w:rsidRPr="00975156">
        <w:t> </w:t>
      </w:r>
      <w:r w:rsidRPr="00975156">
        <w:rPr>
          <w:lang w:val="ru-RU"/>
        </w:rPr>
        <w:t>помощь ВОИС в законодательной области, особенно в подготовке проектов национальных законов о защите прав, обеспечивающих необходимую гибкость и учитывающих уровень развития, различия в правовых традициях и возможные злоупотребления процедурами защиты; и (</w:t>
      </w:r>
      <w:r w:rsidRPr="00975156">
        <w:t>iv</w:t>
      </w:r>
      <w:r w:rsidRPr="00975156">
        <w:rPr>
          <w:lang w:val="ru-RU"/>
        </w:rPr>
        <w:t>)</w:t>
      </w:r>
      <w:r w:rsidRPr="00975156">
        <w:t> </w:t>
      </w:r>
      <w:r w:rsidRPr="00975156">
        <w:rPr>
          <w:lang w:val="ru-RU"/>
        </w:rPr>
        <w:t xml:space="preserve">укрепление потенциала ВОИС и поддержка учебных мероприятий согласно соответствующим рекомендациям Повестки дня в области развития и мандату ККЗП.  </w:t>
      </w:r>
    </w:p>
    <w:p w:rsidR="00BF61DC" w:rsidRPr="00BF61DC" w:rsidRDefault="00BF61DC" w:rsidP="00BF61DC">
      <w:pPr>
        <w:rPr>
          <w:b/>
          <w:iCs/>
          <w:lang w:val="ru-RU"/>
        </w:rPr>
      </w:pPr>
    </w:p>
    <w:p w:rsidR="00BF61DC" w:rsidRPr="00BF61DC" w:rsidRDefault="00BF61DC" w:rsidP="00BF61DC">
      <w:pPr>
        <w:rPr>
          <w:b/>
          <w:iCs/>
          <w:lang w:val="ru-RU"/>
        </w:rPr>
      </w:pPr>
    </w:p>
    <w:p w:rsidR="00BF61DC" w:rsidRPr="00BF61DC" w:rsidRDefault="00BF61DC" w:rsidP="00BF61DC">
      <w:pPr>
        <w:jc w:val="center"/>
        <w:rPr>
          <w:b/>
          <w:iCs/>
          <w:lang w:val="ru-RU"/>
        </w:rPr>
      </w:pPr>
      <w:r w:rsidRPr="00BF61DC">
        <w:rPr>
          <w:b/>
          <w:lang w:val="ru-RU"/>
        </w:rPr>
        <w:t xml:space="preserve">Стратегическая цель </w:t>
      </w:r>
      <w:r>
        <w:rPr>
          <w:b/>
        </w:rPr>
        <w:t>VII</w:t>
      </w:r>
      <w:r w:rsidR="00975156">
        <w:rPr>
          <w:b/>
          <w:lang w:val="ru-RU"/>
        </w:rPr>
        <w:t xml:space="preserve">: </w:t>
      </w:r>
      <w:r w:rsidRPr="00BF61DC">
        <w:rPr>
          <w:b/>
          <w:lang w:val="ru-RU"/>
        </w:rPr>
        <w:t xml:space="preserve"> Решение вопросов ИС в контексте глобальных стратегических задач</w:t>
      </w:r>
    </w:p>
    <w:p w:rsidR="00BF61DC" w:rsidRPr="00BF61DC" w:rsidRDefault="00BF61DC" w:rsidP="00BF61DC">
      <w:pPr>
        <w:jc w:val="center"/>
        <w:rPr>
          <w:rFonts w:cs="Arial"/>
          <w:lang w:val="ru-RU"/>
        </w:rPr>
      </w:pPr>
    </w:p>
    <w:p w:rsidR="00BF61DC" w:rsidRDefault="00BF61DC" w:rsidP="00BF61DC">
      <w:pPr>
        <w:jc w:val="center"/>
        <w:rPr>
          <w:rFonts w:cs="Arial"/>
        </w:rPr>
      </w:pPr>
      <w:r>
        <w:rPr>
          <w:rFonts w:cs="Arial"/>
          <w:noProof/>
        </w:rPr>
        <w:drawing>
          <wp:inline distT="0" distB="0" distL="0" distR="0" wp14:anchorId="63666487" wp14:editId="6A2B7DEF">
            <wp:extent cx="5245239" cy="2650256"/>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38533" cy="2646867"/>
                    </a:xfrm>
                    <a:prstGeom prst="rect">
                      <a:avLst/>
                    </a:prstGeom>
                    <a:noFill/>
                    <a:ln>
                      <a:noFill/>
                    </a:ln>
                  </pic:spPr>
                </pic:pic>
              </a:graphicData>
            </a:graphic>
          </wp:inline>
        </w:drawing>
      </w:r>
    </w:p>
    <w:p w:rsidR="00BF61DC" w:rsidRDefault="00BF61DC" w:rsidP="00BF61DC">
      <w:pPr>
        <w:jc w:val="center"/>
        <w:rPr>
          <w:rFonts w:cs="Arial"/>
        </w:rPr>
      </w:pPr>
    </w:p>
    <w:p w:rsidR="00BF61DC" w:rsidRPr="00975156" w:rsidRDefault="00BF61DC" w:rsidP="00BF61DC">
      <w:pPr>
        <w:jc w:val="center"/>
        <w:rPr>
          <w:b/>
          <w:szCs w:val="20"/>
          <w:lang w:val="ru-RU"/>
        </w:rPr>
      </w:pPr>
      <w:r w:rsidRPr="00975156">
        <w:rPr>
          <w:b/>
          <w:szCs w:val="20"/>
          <w:lang w:val="ru-RU"/>
        </w:rPr>
        <w:t>Краткий обзор достижений в разбивке по ожидаемым результатам</w:t>
      </w:r>
    </w:p>
    <w:p w:rsidR="00975156" w:rsidRPr="00BF61DC" w:rsidRDefault="00975156" w:rsidP="00BF61DC">
      <w:pPr>
        <w:jc w:val="center"/>
        <w:rPr>
          <w:b/>
          <w:iCs/>
          <w:lang w:val="ru-RU"/>
        </w:rPr>
      </w:pPr>
    </w:p>
    <w:p w:rsidR="00BF61DC" w:rsidRDefault="00BF61DC" w:rsidP="00BF61DC">
      <w:pPr>
        <w:jc w:val="center"/>
        <w:rPr>
          <w:rFonts w:cs="Arial"/>
        </w:rPr>
      </w:pPr>
      <w:r>
        <w:rPr>
          <w:rFonts w:cs="Arial"/>
          <w:noProof/>
        </w:rPr>
        <w:drawing>
          <wp:inline distT="0" distB="0" distL="0" distR="0" wp14:anchorId="218B336F" wp14:editId="7440FB98">
            <wp:extent cx="5908851" cy="1517301"/>
            <wp:effectExtent l="0" t="0" r="0" b="6985"/>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4175" cy="1523804"/>
                    </a:xfrm>
                    <a:prstGeom prst="rect">
                      <a:avLst/>
                    </a:prstGeom>
                    <a:noFill/>
                    <a:ln>
                      <a:noFill/>
                    </a:ln>
                  </pic:spPr>
                </pic:pic>
              </a:graphicData>
            </a:graphic>
          </wp:inline>
        </w:drawing>
      </w:r>
    </w:p>
    <w:p w:rsidR="00BF61DC" w:rsidRDefault="00BF61DC" w:rsidP="00BF61DC">
      <w:pPr>
        <w:rPr>
          <w:rFonts w:cs="Arial"/>
        </w:rPr>
      </w:pPr>
    </w:p>
    <w:p w:rsidR="00BF61DC" w:rsidRPr="00975156" w:rsidRDefault="00BF61DC" w:rsidP="00BF61DC">
      <w:pPr>
        <w:pStyle w:val="ListParagraph"/>
        <w:numPr>
          <w:ilvl w:val="0"/>
          <w:numId w:val="136"/>
        </w:numPr>
        <w:tabs>
          <w:tab w:val="left" w:pos="567"/>
        </w:tabs>
        <w:ind w:left="0" w:firstLine="0"/>
        <w:jc w:val="both"/>
        <w:rPr>
          <w:lang w:val="ru-RU"/>
        </w:rPr>
      </w:pPr>
      <w:r w:rsidRPr="00975156">
        <w:rPr>
          <w:lang w:val="ru-RU"/>
        </w:rPr>
        <w:t>На стыке насущных и взаимосвязанных глобальных проблем, таких как здоровье населения мира, изменение климата и продовольственная безопасность, удалось добиться значительного прогресса в обеспечении более глубокого понимания политиками взаимосвязи между глобальными задачами и инновационной деятельностью и ИС.  В рассматриваемый двухлетний период ВОИС упрочила свой авторитет в качестве признанного инструмента поддержки, сотрудничества и источника справочной информации по вопросам взаимосвязи публичной политики и ИС, благодаря чему она продолжала получать приглашения участвовать в форумах, проводимых другими международными и неправительственными организациями, в том числе ВОЗ, ВТО, НПО, организациями частного сектора и университетами.</w:t>
      </w:r>
      <w:r w:rsidRPr="00975156">
        <w:rPr>
          <w:color w:val="000000" w:themeColor="text1"/>
          <w:lang w:val="ru-RU"/>
        </w:rPr>
        <w:t xml:space="preserve">  2014</w:t>
      </w:r>
      <w:r w:rsidRPr="00975156">
        <w:rPr>
          <w:color w:val="000000" w:themeColor="text1"/>
        </w:rPr>
        <w:t> </w:t>
      </w:r>
      <w:r w:rsidRPr="00975156">
        <w:rPr>
          <w:color w:val="000000" w:themeColor="text1"/>
          <w:lang w:val="ru-RU"/>
        </w:rPr>
        <w:t xml:space="preserve">г. стал первым полным годом функционирования платформы </w:t>
      </w:r>
      <w:r w:rsidRPr="00975156">
        <w:rPr>
          <w:color w:val="000000" w:themeColor="text1"/>
        </w:rPr>
        <w:t>WIPO</w:t>
      </w:r>
      <w:r w:rsidRPr="00975156">
        <w:rPr>
          <w:color w:val="000000" w:themeColor="text1"/>
          <w:lang w:val="ru-RU"/>
        </w:rPr>
        <w:t xml:space="preserve"> </w:t>
      </w:r>
      <w:r w:rsidRPr="00975156">
        <w:rPr>
          <w:color w:val="000000" w:themeColor="text1"/>
        </w:rPr>
        <w:t>GREEN</w:t>
      </w:r>
      <w:r w:rsidRPr="00975156">
        <w:rPr>
          <w:color w:val="000000" w:themeColor="text1"/>
          <w:lang w:val="ru-RU"/>
        </w:rPr>
        <w:t>, которая существует с ноября 2013</w:t>
      </w:r>
      <w:r w:rsidRPr="00975156">
        <w:rPr>
          <w:color w:val="000000" w:themeColor="text1"/>
        </w:rPr>
        <w:t> </w:t>
      </w:r>
      <w:r w:rsidRPr="00975156">
        <w:rPr>
          <w:color w:val="000000" w:themeColor="text1"/>
          <w:lang w:val="ru-RU"/>
        </w:rPr>
        <w:t xml:space="preserve">г.  Благодаря осуществлению адресной информационно-пропагандистской кампании существенно возрос авторитет этого проекта.  </w:t>
      </w:r>
      <w:r w:rsidRPr="00975156">
        <w:rPr>
          <w:lang w:val="ru-RU"/>
        </w:rPr>
        <w:t>Сеть партнеров увеличилась с 36 до 54 в 2014</w:t>
      </w:r>
      <w:r w:rsidRPr="00975156">
        <w:t> </w:t>
      </w:r>
      <w:r w:rsidRPr="00975156">
        <w:rPr>
          <w:lang w:val="ru-RU"/>
        </w:rPr>
        <w:t>г. и до 65 в 2015</w:t>
      </w:r>
      <w:r w:rsidRPr="00975156">
        <w:t> </w:t>
      </w:r>
      <w:r w:rsidRPr="00975156">
        <w:rPr>
          <w:lang w:val="ru-RU"/>
        </w:rPr>
        <w:t>г., а число зарегистрированных пользователей утроилось: с 160 в 2013</w:t>
      </w:r>
      <w:r w:rsidRPr="00975156">
        <w:t> </w:t>
      </w:r>
      <w:r w:rsidRPr="00975156">
        <w:rPr>
          <w:lang w:val="ru-RU"/>
        </w:rPr>
        <w:t>г. до 490 в конце 2015</w:t>
      </w:r>
      <w:r w:rsidRPr="00975156">
        <w:t> </w:t>
      </w:r>
      <w:r w:rsidRPr="00975156">
        <w:rPr>
          <w:lang w:val="ru-RU"/>
        </w:rPr>
        <w:t xml:space="preserve">г.  Благодаря заключению соглашений об объединении баз данных и загрузке материалов в индивидуальном порядке размер базы данных </w:t>
      </w:r>
      <w:r w:rsidRPr="00975156">
        <w:t>WIPO</w:t>
      </w:r>
      <w:r w:rsidRPr="00975156">
        <w:rPr>
          <w:lang w:val="ru-RU"/>
        </w:rPr>
        <w:t xml:space="preserve"> </w:t>
      </w:r>
      <w:r w:rsidRPr="00975156">
        <w:t>GREEN</w:t>
      </w:r>
      <w:r w:rsidRPr="00975156">
        <w:rPr>
          <w:lang w:val="ru-RU"/>
        </w:rPr>
        <w:t xml:space="preserve"> вырос более чем в два раза: с 830 позиций в 2013 г. до 2</w:t>
      </w:r>
      <w:r w:rsidRPr="00975156">
        <w:t> </w:t>
      </w:r>
      <w:r w:rsidRPr="00975156">
        <w:rPr>
          <w:lang w:val="ru-RU"/>
        </w:rPr>
        <w:t>181 в 2015</w:t>
      </w:r>
      <w:r w:rsidRPr="00975156">
        <w:t> </w:t>
      </w:r>
      <w:r w:rsidRPr="00975156">
        <w:rPr>
          <w:lang w:val="ru-RU"/>
        </w:rPr>
        <w:t xml:space="preserve">г.  </w:t>
      </w:r>
    </w:p>
    <w:p w:rsidR="00BF61DC" w:rsidRPr="00975156" w:rsidRDefault="00BF61DC" w:rsidP="00BF61DC">
      <w:pPr>
        <w:jc w:val="both"/>
        <w:rPr>
          <w:bCs/>
          <w:iCs/>
          <w:lang w:val="ru-RU"/>
        </w:rPr>
      </w:pPr>
    </w:p>
    <w:p w:rsidR="00BF61DC" w:rsidRPr="00975156" w:rsidRDefault="00BF61DC" w:rsidP="00975156">
      <w:pPr>
        <w:pStyle w:val="ListParagraph"/>
        <w:numPr>
          <w:ilvl w:val="0"/>
          <w:numId w:val="136"/>
        </w:numPr>
        <w:tabs>
          <w:tab w:val="left" w:pos="567"/>
        </w:tabs>
        <w:ind w:left="0" w:firstLine="0"/>
        <w:jc w:val="both"/>
        <w:rPr>
          <w:color w:val="000000" w:themeColor="text1"/>
          <w:lang w:val="ru-RU"/>
        </w:rPr>
      </w:pPr>
      <w:r w:rsidRPr="00975156">
        <w:rPr>
          <w:lang w:val="ru-RU"/>
        </w:rPr>
        <w:t xml:space="preserve">Платформа </w:t>
      </w:r>
      <w:r w:rsidRPr="00975156">
        <w:t>WIPO</w:t>
      </w:r>
      <w:r w:rsidRPr="00975156">
        <w:rPr>
          <w:lang w:val="ru-RU"/>
        </w:rPr>
        <w:t xml:space="preserve"> </w:t>
      </w:r>
      <w:r w:rsidRPr="00975156">
        <w:t>Re</w:t>
      </w:r>
      <w:r w:rsidRPr="00975156">
        <w:rPr>
          <w:lang w:val="ru-RU"/>
        </w:rPr>
        <w:t>:</w:t>
      </w:r>
      <w:r w:rsidRPr="00975156">
        <w:t>Search</w:t>
      </w:r>
      <w:r w:rsidRPr="00975156">
        <w:rPr>
          <w:lang w:val="ru-RU"/>
        </w:rPr>
        <w:t xml:space="preserve"> «Обмен результатами инноваций для борьбы с забытыми тропическими болезнями (</w:t>
      </w:r>
      <w:r w:rsidRPr="00975156">
        <w:t>NTD</w:t>
      </w:r>
      <w:r w:rsidRPr="00975156">
        <w:rPr>
          <w:lang w:val="ru-RU"/>
        </w:rPr>
        <w:t xml:space="preserve">)» завоевала признание в качестве платформы поддержки инноваций и обмена знаниями и технологиями, а также создания потенциала для исследований в области лечения </w:t>
      </w:r>
      <w:r w:rsidRPr="00975156">
        <w:t>NTD</w:t>
      </w:r>
      <w:r w:rsidRPr="00975156">
        <w:rPr>
          <w:lang w:val="ru-RU"/>
        </w:rPr>
        <w:t xml:space="preserve">, туберкулёза и малярии.  В рассматриваемый двухлетний период были созданы еще 52 партнерства между членами </w:t>
      </w:r>
      <w:r w:rsidRPr="00975156">
        <w:t>WIPO</w:t>
      </w:r>
      <w:r w:rsidRPr="00975156">
        <w:rPr>
          <w:lang w:val="ru-RU"/>
        </w:rPr>
        <w:t xml:space="preserve"> </w:t>
      </w:r>
      <w:r w:rsidRPr="00975156">
        <w:t>Re</w:t>
      </w:r>
      <w:r w:rsidRPr="00975156">
        <w:rPr>
          <w:lang w:val="ru-RU"/>
        </w:rPr>
        <w:t>:</w:t>
      </w:r>
      <w:r w:rsidRPr="00975156">
        <w:t>Search</w:t>
      </w:r>
      <w:r w:rsidRPr="00975156">
        <w:rPr>
          <w:lang w:val="ru-RU"/>
        </w:rPr>
        <w:t xml:space="preserve">. Кроме того, у платформы появилось 20 новых членов (шесть из них – из развивающихся стран), в результате чего общее число партнерств составило 96, а общее число членов – 100 (22 из них – из развивающихся стран).  </w:t>
      </w:r>
      <w:r w:rsidRPr="00975156">
        <w:rPr>
          <w:color w:val="000000" w:themeColor="text1"/>
          <w:lang w:val="ru-RU"/>
        </w:rPr>
        <w:t>Кроме того, дополнительным свидетельством потенциала данной платформы в области передачи технологий и активов ИС, в том числе ноу-хау, и опыта из развитых стран в развивающиеся служит продолжающаяся работа по организации для шести африканских ученых академических отпусков в целях проведения научной работы в зарубежных научно-исследовательских учреждениях. Эти научные командировки, начавшиеся в прошлый двухгодичный период, оказались возможны благодаря поддержке со стороны Целевого фонда правительства Австралии; четыре из них были завершены к концу 2014</w:t>
      </w:r>
      <w:r w:rsidRPr="00975156">
        <w:rPr>
          <w:color w:val="000000" w:themeColor="text1"/>
        </w:rPr>
        <w:t> </w:t>
      </w:r>
      <w:r w:rsidRPr="00975156">
        <w:rPr>
          <w:color w:val="000000" w:themeColor="text1"/>
          <w:lang w:val="ru-RU"/>
        </w:rPr>
        <w:t>г.</w:t>
      </w:r>
    </w:p>
    <w:p w:rsidR="00BF61DC" w:rsidRPr="00975156" w:rsidRDefault="00BF61DC" w:rsidP="00BF61DC">
      <w:pPr>
        <w:pStyle w:val="Default"/>
        <w:tabs>
          <w:tab w:val="left" w:pos="567"/>
          <w:tab w:val="left" w:pos="709"/>
        </w:tabs>
        <w:jc w:val="both"/>
        <w:rPr>
          <w:color w:val="000000" w:themeColor="text1"/>
          <w:sz w:val="20"/>
          <w:szCs w:val="20"/>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В 2014–2015</w:t>
      </w:r>
      <w:r>
        <w:t> </w:t>
      </w:r>
      <w:r w:rsidRPr="00BF61DC">
        <w:rPr>
          <w:lang w:val="ru-RU"/>
        </w:rPr>
        <w:t xml:space="preserve">гг. были организованы три семинара ВОИС по глобальным проблемам, которые дали участникам возможность обменяться идеями, опытом и информацией по трем ключевым областям. Кроме того, были опубликованы четыре аналитические записки по глобальным проблемам и три отчета по глобальным проблемам. </w:t>
      </w:r>
    </w:p>
    <w:p w:rsidR="00BF61DC" w:rsidRPr="00BF61DC" w:rsidRDefault="00BF61DC" w:rsidP="00BF61DC">
      <w:pPr>
        <w:pStyle w:val="ListParagraph"/>
        <w:tabs>
          <w:tab w:val="left" w:pos="709"/>
        </w:tabs>
        <w:ind w:left="0"/>
        <w:jc w:val="both"/>
        <w:rPr>
          <w:rFonts w:eastAsia="Batang" w:cs="Arial"/>
          <w:color w:val="000000" w:themeColor="text1"/>
          <w:highlight w:val="yellow"/>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В рамках трехстороннего сотрудничества с ВОЗ и ВТО акцент, как и раньше, делался на обеспечении более глубокого понимания директивными органами взаимосвязанности вопросов здравоохранения, ИС и торговли.  В ноябре 2014</w:t>
      </w:r>
      <w:r>
        <w:t> </w:t>
      </w:r>
      <w:r w:rsidRPr="00BF61DC">
        <w:rPr>
          <w:lang w:val="ru-RU"/>
        </w:rPr>
        <w:t>г. и в октябре 2015</w:t>
      </w:r>
      <w:r>
        <w:t> </w:t>
      </w:r>
      <w:r w:rsidRPr="00BF61DC">
        <w:rPr>
          <w:lang w:val="ru-RU"/>
        </w:rPr>
        <w:t xml:space="preserve">г. в Женеве состоялся четвертый и пятый трехсторонний симпозиум, участники которого обсудили проблемы и возможности инновационной деятельности в области здравоохранения в странах со средним уровнем доходов, а также меры государственной политики, необходимые для обеспечения того, чтобы высокие темпы экономического роста способствовали обеспечению всеобщего доступа к услугам здравоохранения. </w:t>
      </w:r>
    </w:p>
    <w:p w:rsidR="00BF61DC" w:rsidRPr="00BF61DC" w:rsidRDefault="00BF61DC" w:rsidP="00BF61DC">
      <w:pPr>
        <w:pStyle w:val="Default"/>
        <w:tabs>
          <w:tab w:val="left" w:pos="567"/>
          <w:tab w:val="left" w:pos="709"/>
        </w:tabs>
        <w:jc w:val="both"/>
        <w:rPr>
          <w:color w:val="000000" w:themeColor="text1"/>
          <w:sz w:val="20"/>
          <w:szCs w:val="20"/>
          <w:lang w:val="ru-RU"/>
        </w:rPr>
      </w:pPr>
    </w:p>
    <w:p w:rsidR="00BF61DC" w:rsidRPr="00BF61DC" w:rsidRDefault="00BF61DC" w:rsidP="00BF61DC">
      <w:pPr>
        <w:rPr>
          <w:b/>
          <w:iCs/>
          <w:lang w:val="ru-RU"/>
        </w:rPr>
      </w:pPr>
    </w:p>
    <w:p w:rsidR="00BF61DC" w:rsidRDefault="00BF61DC" w:rsidP="00BF61DC">
      <w:pPr>
        <w:jc w:val="center"/>
        <w:rPr>
          <w:b/>
          <w:lang w:val="ru-RU"/>
        </w:rPr>
      </w:pPr>
      <w:r w:rsidRPr="00BF61DC">
        <w:rPr>
          <w:b/>
          <w:lang w:val="ru-RU"/>
        </w:rPr>
        <w:t xml:space="preserve">Стратегическая цель </w:t>
      </w:r>
      <w:r>
        <w:rPr>
          <w:b/>
        </w:rPr>
        <w:t>VIII</w:t>
      </w:r>
      <w:r w:rsidR="00975156">
        <w:rPr>
          <w:b/>
          <w:lang w:val="ru-RU"/>
        </w:rPr>
        <w:t xml:space="preserve">:  </w:t>
      </w:r>
      <w:r w:rsidRPr="00BF61DC">
        <w:rPr>
          <w:b/>
          <w:lang w:val="ru-RU"/>
        </w:rPr>
        <w:t>Обеспечение оперативной связи между ВОИС, ее государствами-членами и всеми заинтересованными сторонами</w:t>
      </w:r>
    </w:p>
    <w:p w:rsidR="00975156" w:rsidRPr="00BF61DC" w:rsidRDefault="00975156" w:rsidP="00BF61DC">
      <w:pPr>
        <w:jc w:val="center"/>
        <w:rPr>
          <w:b/>
          <w:lang w:val="ru-RU"/>
        </w:rPr>
      </w:pPr>
    </w:p>
    <w:p w:rsidR="00BF61DC" w:rsidRDefault="00BF61DC" w:rsidP="00BF61DC">
      <w:pPr>
        <w:jc w:val="center"/>
        <w:rPr>
          <w:b/>
          <w:sz w:val="18"/>
          <w:szCs w:val="18"/>
        </w:rPr>
      </w:pPr>
      <w:r>
        <w:rPr>
          <w:b/>
          <w:noProof/>
          <w:sz w:val="18"/>
          <w:szCs w:val="18"/>
        </w:rPr>
        <w:drawing>
          <wp:inline distT="0" distB="0" distL="0" distR="0" wp14:anchorId="7C00E0FD" wp14:editId="48C443F8">
            <wp:extent cx="5810465" cy="2934119"/>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09842" cy="2933804"/>
                    </a:xfrm>
                    <a:prstGeom prst="rect">
                      <a:avLst/>
                    </a:prstGeom>
                    <a:noFill/>
                    <a:ln>
                      <a:noFill/>
                    </a:ln>
                  </pic:spPr>
                </pic:pic>
              </a:graphicData>
            </a:graphic>
          </wp:inline>
        </w:drawing>
      </w:r>
    </w:p>
    <w:p w:rsidR="00BF61DC" w:rsidRDefault="00BF61DC" w:rsidP="00BF61DC">
      <w:pPr>
        <w:jc w:val="center"/>
        <w:rPr>
          <w:b/>
          <w:sz w:val="18"/>
          <w:szCs w:val="18"/>
        </w:rPr>
      </w:pPr>
    </w:p>
    <w:p w:rsidR="00BF61DC" w:rsidRDefault="00BF61DC" w:rsidP="00BF61DC">
      <w:pPr>
        <w:keepNext/>
        <w:keepLines/>
        <w:jc w:val="center"/>
        <w:rPr>
          <w:b/>
          <w:szCs w:val="20"/>
          <w:lang w:val="ru-RU"/>
        </w:rPr>
      </w:pPr>
      <w:r w:rsidRPr="00975156">
        <w:rPr>
          <w:b/>
          <w:szCs w:val="20"/>
          <w:lang w:val="ru-RU"/>
        </w:rPr>
        <w:t>Краткий обзор достижений в разбивке по ожидаемым результатам</w:t>
      </w:r>
    </w:p>
    <w:p w:rsidR="00975156" w:rsidRPr="00975156" w:rsidRDefault="00975156" w:rsidP="00BF61DC">
      <w:pPr>
        <w:keepNext/>
        <w:keepLines/>
        <w:jc w:val="center"/>
        <w:rPr>
          <w:b/>
          <w:iCs/>
          <w:szCs w:val="20"/>
          <w:lang w:val="ru-RU"/>
        </w:rPr>
      </w:pPr>
    </w:p>
    <w:p w:rsidR="00BF61DC" w:rsidRDefault="00BF61DC" w:rsidP="00BF61DC">
      <w:pPr>
        <w:jc w:val="center"/>
        <w:rPr>
          <w:iCs/>
          <w:lang w:val="ru-RU"/>
        </w:rPr>
      </w:pPr>
      <w:r>
        <w:rPr>
          <w:iCs/>
          <w:noProof/>
        </w:rPr>
        <w:drawing>
          <wp:inline distT="0" distB="0" distL="0" distR="0" wp14:anchorId="2C7056E3" wp14:editId="6CC21B7A">
            <wp:extent cx="5235192" cy="2178621"/>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239962" cy="2180606"/>
                    </a:xfrm>
                    <a:prstGeom prst="rect">
                      <a:avLst/>
                    </a:prstGeom>
                    <a:noFill/>
                    <a:ln>
                      <a:noFill/>
                    </a:ln>
                  </pic:spPr>
                </pic:pic>
              </a:graphicData>
            </a:graphic>
          </wp:inline>
        </w:drawing>
      </w:r>
    </w:p>
    <w:p w:rsidR="00975156" w:rsidRPr="00975156" w:rsidRDefault="00975156" w:rsidP="00BF61DC">
      <w:pPr>
        <w:jc w:val="center"/>
        <w:rPr>
          <w:iCs/>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Приоритетные задачи в рамках этой цели заключались в продолжении работы над созданием актуального высококачественного контента и его распространением, над обеспечением наглядности деятельности ВОИС и понимания общественностью ее сути, а также над укреплением культуры обслуживания в Организации.</w:t>
      </w:r>
    </w:p>
    <w:p w:rsidR="00BF61DC" w:rsidRPr="00BF61DC" w:rsidRDefault="00BF61DC" w:rsidP="00BF61DC">
      <w:pPr>
        <w:pStyle w:val="ListParagraph"/>
        <w:tabs>
          <w:tab w:val="left" w:pos="709"/>
        </w:tabs>
        <w:ind w:left="0"/>
        <w:jc w:val="both"/>
        <w:rPr>
          <w:rFonts w:cs="Arial"/>
          <w:highlight w:val="yellow"/>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 xml:space="preserve">Благодаря созданию более интегрированного контента и медиа-стратегии удалось обеспечить более эффективное воздействие средств коммуникации при проведении крупных мероприятий ВОИС и выпуске новых продуктов.  В Лондоне Глобальный индекс инноваций (ГИИ) получил в </w:t>
      </w:r>
      <w:r>
        <w:t>Twitter</w:t>
      </w:r>
      <w:r w:rsidRPr="00BF61DC">
        <w:rPr>
          <w:lang w:val="ru-RU"/>
        </w:rPr>
        <w:t xml:space="preserve"> статус «</w:t>
      </w:r>
      <w:r>
        <w:t>trending</w:t>
      </w:r>
      <w:r w:rsidRPr="00BF61DC">
        <w:rPr>
          <w:lang w:val="ru-RU"/>
        </w:rPr>
        <w:t>» в день его презентации в Соединенном Королевстве в 2015</w:t>
      </w:r>
      <w:r>
        <w:t> </w:t>
      </w:r>
      <w:r w:rsidRPr="00BF61DC">
        <w:rPr>
          <w:lang w:val="ru-RU"/>
        </w:rPr>
        <w:t>г.  Освещение в наиболее влиятельных мировых СМИ помогло позиционировать ключевые доклады ВОИС по вопросам ИС (ГИИ, Доклад о положении дел в сфере интеллектуальной собственности (</w:t>
      </w:r>
      <w:r>
        <w:t>WIPR</w:t>
      </w:r>
      <w:r w:rsidRPr="00BF61DC">
        <w:rPr>
          <w:lang w:val="ru-RU"/>
        </w:rPr>
        <w:t xml:space="preserve">), ежегодные обзоры работы системы </w:t>
      </w:r>
      <w:r>
        <w:t>PCT</w:t>
      </w:r>
      <w:r w:rsidRPr="00BF61DC">
        <w:rPr>
          <w:lang w:val="ru-RU"/>
        </w:rPr>
        <w:t xml:space="preserve">, Мадридской и Гаагской систем и отчет «Мировые показатели деятельности в области интеллектуальной собственности») в качестве глобального источника справочной информации по ИС и данных об инновациях.  Благодаря работе по продвижению </w:t>
      </w:r>
      <w:r>
        <w:t>WIPR</w:t>
      </w:r>
      <w:r w:rsidRPr="00BF61DC">
        <w:rPr>
          <w:lang w:val="ru-RU"/>
        </w:rPr>
        <w:t>, в течение недели после его выпуска было опубликовано около 200 статей.  Согласованные усилия в работе с прессой и социальными СМИ в целях продвижения Дакарской министерской конференции 2014</w:t>
      </w:r>
      <w:r>
        <w:t> </w:t>
      </w:r>
      <w:r w:rsidRPr="00BF61DC">
        <w:rPr>
          <w:lang w:val="ru-RU"/>
        </w:rPr>
        <w:t>г. позволили обеспечить широкое освещение этого мероприятия на радио и телевидении африканских стран, способствуя повышению общественного интереса к вопросам ИС и развития.  При проведении всех крупных мероприятий создавались веб-страницы на всех шести языках.  В рамках усилий по поддержке Консорциума доступных книг (</w:t>
      </w:r>
      <w:r>
        <w:t>ABC</w:t>
      </w:r>
      <w:r w:rsidRPr="00BF61DC">
        <w:rPr>
          <w:lang w:val="ru-RU"/>
        </w:rPr>
        <w:t xml:space="preserve">) был снят интересный видеоролик о деятельности </w:t>
      </w:r>
      <w:r>
        <w:t>ABC</w:t>
      </w:r>
      <w:r w:rsidRPr="00BF61DC">
        <w:rPr>
          <w:lang w:val="ru-RU"/>
        </w:rPr>
        <w:t xml:space="preserve"> в Индии, направленной на создание потенциала.  </w:t>
      </w:r>
    </w:p>
    <w:p w:rsidR="00BF61DC" w:rsidRPr="00BF61DC" w:rsidRDefault="00BF61DC" w:rsidP="00BF61DC">
      <w:pPr>
        <w:jc w:val="both"/>
        <w:rPr>
          <w:sz w:val="16"/>
          <w:szCs w:val="16"/>
          <w:highlight w:val="yellow"/>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Рекордных масштабов достигло участие государств-членов и общественности в ежегодной кампании, приуроченной к Международному дню интеллектуальной собственности.  Теме «Мировой культ кинематографа» было посвящено свыше 350</w:t>
      </w:r>
      <w:r>
        <w:t> </w:t>
      </w:r>
      <w:r w:rsidRPr="00BF61DC">
        <w:rPr>
          <w:lang w:val="ru-RU"/>
        </w:rPr>
        <w:t>мероприятий в 105</w:t>
      </w:r>
      <w:r>
        <w:t> </w:t>
      </w:r>
      <w:r w:rsidRPr="00BF61DC">
        <w:rPr>
          <w:lang w:val="ru-RU"/>
        </w:rPr>
        <w:t>странах (против 236 мероприятий в 93</w:t>
      </w:r>
      <w:r>
        <w:rPr>
          <w:rStyle w:val="FootnoteReference"/>
        </w:rPr>
        <w:footnoteReference w:id="6"/>
      </w:r>
      <w:r>
        <w:t> </w:t>
      </w:r>
      <w:r w:rsidRPr="00BF61DC">
        <w:rPr>
          <w:lang w:val="ru-RU"/>
        </w:rPr>
        <w:t>странах в 2013 г.).  Число потенциальных просмотров твитов ВОИС с тэгом #</w:t>
      </w:r>
      <w:r>
        <w:t>WorldIPDay</w:t>
      </w:r>
      <w:r w:rsidRPr="00BF61DC">
        <w:rPr>
          <w:lang w:val="ru-RU"/>
        </w:rPr>
        <w:t xml:space="preserve"> в 2015</w:t>
      </w:r>
      <w:r>
        <w:t> </w:t>
      </w:r>
      <w:r w:rsidRPr="00BF61DC">
        <w:rPr>
          <w:lang w:val="ru-RU"/>
        </w:rPr>
        <w:t>г. достигло 5,2</w:t>
      </w:r>
      <w:r>
        <w:t> </w:t>
      </w:r>
      <w:r w:rsidRPr="00BF61DC">
        <w:rPr>
          <w:lang w:val="ru-RU"/>
        </w:rPr>
        <w:t>млн (тогда как в 2013</w:t>
      </w:r>
      <w:r>
        <w:t> </w:t>
      </w:r>
      <w:r w:rsidRPr="00BF61DC">
        <w:rPr>
          <w:lang w:val="ru-RU"/>
        </w:rPr>
        <w:t>г. их число составило 1,55</w:t>
      </w:r>
      <w:r>
        <w:t> </w:t>
      </w:r>
      <w:r w:rsidRPr="00BF61DC">
        <w:rPr>
          <w:lang w:val="ru-RU"/>
        </w:rPr>
        <w:t>млн). Кроме того, было сделано около 900 ретвитов.  Характер участия был действительно глобальным: в 2014</w:t>
      </w:r>
      <w:r>
        <w:t> </w:t>
      </w:r>
      <w:r w:rsidRPr="00BF61DC">
        <w:rPr>
          <w:lang w:val="ru-RU"/>
        </w:rPr>
        <w:t xml:space="preserve">г. число просмотров на китайском языке превысило число просмотров на английском языке, а наибольшее число «лайков» страницы в </w:t>
      </w:r>
      <w:r>
        <w:t>Facebook</w:t>
      </w:r>
      <w:r w:rsidRPr="00BF61DC">
        <w:rPr>
          <w:lang w:val="ru-RU"/>
        </w:rPr>
        <w:t xml:space="preserve"> приходилось (в порядке убывания) на Индию, Соединенные Штаты Америки, Мексику, Египет и Бразилию.</w:t>
      </w:r>
    </w:p>
    <w:p w:rsidR="00BF61DC" w:rsidRPr="00BF61DC" w:rsidRDefault="00BF61DC" w:rsidP="00BF61DC">
      <w:pPr>
        <w:pStyle w:val="ListParagraph"/>
        <w:tabs>
          <w:tab w:val="left" w:pos="709"/>
        </w:tabs>
        <w:ind w:left="0"/>
        <w:jc w:val="both"/>
        <w:rPr>
          <w:rFonts w:cs="Arial"/>
          <w:highlight w:val="yellow"/>
          <w:lang w:val="ru-RU"/>
        </w:rPr>
      </w:pPr>
    </w:p>
    <w:p w:rsidR="00BF61DC" w:rsidRPr="00BF61DC" w:rsidRDefault="00BF61DC" w:rsidP="00BF61DC">
      <w:pPr>
        <w:pStyle w:val="ListParagraph"/>
        <w:numPr>
          <w:ilvl w:val="0"/>
          <w:numId w:val="136"/>
        </w:numPr>
        <w:tabs>
          <w:tab w:val="left" w:pos="567"/>
        </w:tabs>
        <w:ind w:left="0" w:firstLine="0"/>
        <w:jc w:val="both"/>
        <w:rPr>
          <w:rFonts w:cs="Arial"/>
          <w:i/>
          <w:lang w:val="ru-RU"/>
        </w:rPr>
      </w:pPr>
      <w:r w:rsidRPr="00BF61DC">
        <w:rPr>
          <w:lang w:val="ru-RU"/>
        </w:rPr>
        <w:t>Что касается отношений с внешними партнерами, то в 2014–2015</w:t>
      </w:r>
      <w:r>
        <w:t> </w:t>
      </w:r>
      <w:r w:rsidRPr="00BF61DC">
        <w:rPr>
          <w:lang w:val="ru-RU"/>
        </w:rPr>
        <w:t>гг. Организация Объединенных Наций (ООН) и ее государства-члены завершили ряд важных переговорных процессов, актуальных для работы ВОИС, включая принятие Аддис-Абебской программы действий (ААПД) на Третьей международной конференции по финансированию развития (</w:t>
      </w:r>
      <w:r>
        <w:t>FFD</w:t>
      </w:r>
      <w:r w:rsidRPr="00BF61DC">
        <w:rPr>
          <w:lang w:val="ru-RU"/>
        </w:rPr>
        <w:t>3), принятие резолюции «Преобразование нашего мира: Повестка дня в области устойчивого развития на период до 2030 г.» и принятие Парижского соглашения в рамках Рамочной конвенции ООН об изменении климата (РКИКООН).  Как специализированное учреждение ООН и действуя в соответствии со своим мандатом, а также рекомендациями</w:t>
      </w:r>
      <w:r>
        <w:t> </w:t>
      </w:r>
      <w:r w:rsidRPr="00BF61DC">
        <w:rPr>
          <w:lang w:val="ru-RU"/>
        </w:rPr>
        <w:t>30 и</w:t>
      </w:r>
      <w:r>
        <w:t> </w:t>
      </w:r>
      <w:r w:rsidRPr="00BF61DC">
        <w:rPr>
          <w:lang w:val="ru-RU"/>
        </w:rPr>
        <w:t>40 своей Повестки дня в области развития, ВОИС продолжала содействовать этим процессам через стратегическое участие и предоставление сбалансированной и достоверной информации, а также своевременных ответов на конкретные запросы о предоставлении материалов и осуществлении сотрудничества.</w:t>
      </w:r>
    </w:p>
    <w:p w:rsidR="00BF61DC" w:rsidRPr="00BF61DC" w:rsidRDefault="00BF61DC" w:rsidP="00BF61DC">
      <w:pPr>
        <w:pStyle w:val="ListParagraph"/>
        <w:tabs>
          <w:tab w:val="left" w:pos="709"/>
        </w:tabs>
        <w:ind w:left="0"/>
        <w:jc w:val="both"/>
        <w:rPr>
          <w:rFonts w:cs="Arial"/>
          <w:highlight w:val="yellow"/>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Сеть внешних бюро ВОИС стала неотъемлемой частью Организации. Она призвана приблизить к государствам-членам, заинтересованным сторонам и партнерам деятельность по оказанию услуг и осуществлению сотрудничества в интересах повышения эффективности и оперативности мероприятий по реализации программ, а также обеспечения учета конкретных потребностей и приоритетов соответствующих стран и/или регионов.  В 2014</w:t>
      </w:r>
      <w:r>
        <w:t> </w:t>
      </w:r>
      <w:r w:rsidRPr="00BF61DC">
        <w:rPr>
          <w:lang w:val="ru-RU"/>
        </w:rPr>
        <w:t>г. с открытием бюро ВОИС в Китае (</w:t>
      </w:r>
      <w:r>
        <w:t>WCO</w:t>
      </w:r>
      <w:r w:rsidRPr="00BF61DC">
        <w:rPr>
          <w:lang w:val="ru-RU"/>
        </w:rPr>
        <w:t>) и в Российской Федерации (</w:t>
      </w:r>
      <w:r>
        <w:t>WRO</w:t>
      </w:r>
      <w:r w:rsidRPr="00BF61DC">
        <w:rPr>
          <w:lang w:val="ru-RU"/>
        </w:rPr>
        <w:t>) общее число внешних бюро возросло до пяти.  В 2015</w:t>
      </w:r>
      <w:r>
        <w:t> </w:t>
      </w:r>
      <w:r w:rsidRPr="00BF61DC">
        <w:rPr>
          <w:lang w:val="ru-RU"/>
        </w:rPr>
        <w:t>г. исполнилось десять лет с момента основания сингапурского бюро ВОИС.  Результаты, достигнутые в двухлетний период 2014–2015</w:t>
      </w:r>
      <w:r>
        <w:t> </w:t>
      </w:r>
      <w:r w:rsidRPr="00BF61DC">
        <w:rPr>
          <w:lang w:val="ru-RU"/>
        </w:rPr>
        <w:t>гг., в очередной раз показали, какой важный вклад вносят внешние бюро в реализацию мандата Организации.</w:t>
      </w:r>
    </w:p>
    <w:p w:rsidR="00BF61DC" w:rsidRPr="00BF61DC" w:rsidRDefault="00BF61DC" w:rsidP="00BF61DC">
      <w:pPr>
        <w:rPr>
          <w:b/>
          <w:iCs/>
          <w:lang w:val="ru-RU"/>
        </w:rPr>
      </w:pPr>
    </w:p>
    <w:p w:rsidR="00BF61DC" w:rsidRPr="00BF61DC" w:rsidRDefault="00BF61DC" w:rsidP="00BF61DC">
      <w:pPr>
        <w:rPr>
          <w:b/>
          <w:iCs/>
          <w:lang w:val="ru-RU"/>
        </w:rPr>
      </w:pPr>
    </w:p>
    <w:p w:rsidR="00BF61DC" w:rsidRPr="00BF61DC" w:rsidRDefault="00BF61DC" w:rsidP="00BF61DC">
      <w:pPr>
        <w:jc w:val="center"/>
        <w:rPr>
          <w:b/>
          <w:lang w:val="ru-RU"/>
        </w:rPr>
      </w:pPr>
      <w:r w:rsidRPr="00BF61DC">
        <w:rPr>
          <w:b/>
          <w:lang w:val="ru-RU"/>
        </w:rPr>
        <w:t xml:space="preserve">Стратегическая цель </w:t>
      </w:r>
      <w:r>
        <w:rPr>
          <w:b/>
        </w:rPr>
        <w:t>IX</w:t>
      </w:r>
      <w:r w:rsidRPr="00BF61DC">
        <w:rPr>
          <w:b/>
          <w:lang w:val="ru-RU"/>
        </w:rPr>
        <w:t>. Эффективная структура административно-финансовой поддержки</w:t>
      </w:r>
    </w:p>
    <w:p w:rsidR="00BF61DC" w:rsidRPr="00BF61DC" w:rsidRDefault="00BF61DC" w:rsidP="00BF61DC">
      <w:pPr>
        <w:jc w:val="center"/>
        <w:rPr>
          <w:b/>
          <w:iCs/>
          <w:lang w:val="ru-RU"/>
        </w:rPr>
      </w:pPr>
    </w:p>
    <w:p w:rsidR="00BF61DC" w:rsidRDefault="00BF61DC" w:rsidP="00BF61DC">
      <w:pPr>
        <w:jc w:val="center"/>
        <w:rPr>
          <w:noProof/>
        </w:rPr>
      </w:pPr>
      <w:r>
        <w:rPr>
          <w:noProof/>
        </w:rPr>
        <w:drawing>
          <wp:inline distT="0" distB="0" distL="0" distR="0" wp14:anchorId="6DA50F6E" wp14:editId="704DCF64">
            <wp:extent cx="5237243" cy="2783394"/>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43926" cy="2786946"/>
                    </a:xfrm>
                    <a:prstGeom prst="rect">
                      <a:avLst/>
                    </a:prstGeom>
                    <a:noFill/>
                    <a:ln>
                      <a:noFill/>
                    </a:ln>
                  </pic:spPr>
                </pic:pic>
              </a:graphicData>
            </a:graphic>
          </wp:inline>
        </w:drawing>
      </w:r>
    </w:p>
    <w:p w:rsidR="00BF61DC" w:rsidRDefault="00BF61DC" w:rsidP="00BF61DC">
      <w:pPr>
        <w:rPr>
          <w:noProof/>
        </w:rPr>
      </w:pPr>
    </w:p>
    <w:p w:rsidR="00975156" w:rsidRPr="00975156" w:rsidRDefault="00BF61DC" w:rsidP="00BF61DC">
      <w:pPr>
        <w:jc w:val="center"/>
        <w:rPr>
          <w:b/>
          <w:szCs w:val="20"/>
          <w:lang w:val="ru-RU"/>
        </w:rPr>
      </w:pPr>
      <w:r w:rsidRPr="00975156">
        <w:rPr>
          <w:b/>
          <w:szCs w:val="20"/>
          <w:lang w:val="ru-RU"/>
        </w:rPr>
        <w:t>Краткий обзор достижений в разбивке по ожидаемым результатам</w:t>
      </w:r>
    </w:p>
    <w:p w:rsidR="00975156" w:rsidRDefault="00975156" w:rsidP="00BF61DC">
      <w:pPr>
        <w:jc w:val="center"/>
        <w:rPr>
          <w:b/>
          <w:iCs/>
          <w:lang w:val="ru-RU"/>
        </w:rPr>
      </w:pPr>
    </w:p>
    <w:p w:rsidR="00BF61DC" w:rsidRDefault="00BF61DC" w:rsidP="00BF61DC">
      <w:pPr>
        <w:jc w:val="center"/>
      </w:pPr>
      <w:r>
        <w:rPr>
          <w:noProof/>
        </w:rPr>
        <w:drawing>
          <wp:inline distT="0" distB="0" distL="0" distR="0" wp14:anchorId="741A26D6" wp14:editId="2A50D528">
            <wp:extent cx="5731510" cy="2647813"/>
            <wp:effectExtent l="0" t="0" r="254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2647813"/>
                    </a:xfrm>
                    <a:prstGeom prst="rect">
                      <a:avLst/>
                    </a:prstGeom>
                    <a:noFill/>
                    <a:ln>
                      <a:noFill/>
                    </a:ln>
                  </pic:spPr>
                </pic:pic>
              </a:graphicData>
            </a:graphic>
          </wp:inline>
        </w:drawing>
      </w:r>
    </w:p>
    <w:p w:rsidR="00BF61DC" w:rsidRPr="00812B04" w:rsidRDefault="00BF61DC" w:rsidP="00BF61DC"/>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В рассматриваемый двухлетний период продолжалась работа по дальнейшему укреплению системы управления программами и финансами ВОИС в целях повышения эффективности использования ресурсов, а также накопления передового опыта в области административного управления по вопросам планирования, организации, координации и поддержки различных направлений оперативной деятельности в масштабах всей Организации.</w:t>
      </w:r>
    </w:p>
    <w:p w:rsidR="00BF61DC" w:rsidRPr="00BF61DC" w:rsidRDefault="00BF61DC" w:rsidP="00BF61DC">
      <w:pPr>
        <w:jc w:val="both"/>
        <w:rPr>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Несмотря на сохраняющуюся неопределенность экономической ситуации, ВОИС удалось завершить год с положительным общим итогом, и совокупное сальдо баланса за год составило на основе МСУГС 70,3</w:t>
      </w:r>
      <w:r>
        <w:t> </w:t>
      </w:r>
      <w:r w:rsidRPr="00BF61DC">
        <w:rPr>
          <w:lang w:val="ru-RU"/>
        </w:rPr>
        <w:t xml:space="preserve">млн шв. франков. </w:t>
      </w:r>
    </w:p>
    <w:p w:rsidR="00BF61DC" w:rsidRPr="00BF61DC" w:rsidRDefault="00BF61DC" w:rsidP="00BF61DC">
      <w:pPr>
        <w:jc w:val="both"/>
        <w:rPr>
          <w:highlight w:val="yellow"/>
          <w:lang w:val="ru-RU"/>
        </w:rPr>
      </w:pPr>
    </w:p>
    <w:p w:rsidR="00BF61DC" w:rsidRPr="00BF61DC" w:rsidRDefault="00BF61DC" w:rsidP="00BF61DC">
      <w:pPr>
        <w:pStyle w:val="ListParagraph"/>
        <w:numPr>
          <w:ilvl w:val="0"/>
          <w:numId w:val="136"/>
        </w:numPr>
        <w:tabs>
          <w:tab w:val="left" w:pos="567"/>
        </w:tabs>
        <w:ind w:left="0" w:firstLine="0"/>
        <w:jc w:val="both"/>
        <w:rPr>
          <w:bCs/>
          <w:szCs w:val="22"/>
          <w:lang w:val="ru-RU"/>
        </w:rPr>
      </w:pPr>
      <w:r w:rsidRPr="00BF61DC">
        <w:rPr>
          <w:lang w:val="ru-RU"/>
        </w:rPr>
        <w:t>Весной 2014</w:t>
      </w:r>
      <w:r>
        <w:t> </w:t>
      </w:r>
      <w:r w:rsidRPr="00BF61DC">
        <w:rPr>
          <w:lang w:val="ru-RU"/>
        </w:rPr>
        <w:t>г. было завершено комплексное исследование практики финансового управления ВОИС и соответствующих рисков, по итогам которого был вынесен ряд рекомендаций, в том числе в отношении использования методов хеджирования в качестве инструмента снижения риска валютных колебаний в рамках РСТ. В 2015</w:t>
      </w:r>
      <w:r>
        <w:t> </w:t>
      </w:r>
      <w:r w:rsidRPr="00BF61DC">
        <w:rPr>
          <w:lang w:val="ru-RU"/>
        </w:rPr>
        <w:t>г. был проведен комплексный обзор предлагаемой стратегии хеджирования, и в итоге было принято решение о создании модели хеджирования, которая позволит смоделировать воздействие хеджирования на результаты двухлетнего периода 2014–2015</w:t>
      </w:r>
      <w:r>
        <w:t> </w:t>
      </w:r>
      <w:r w:rsidRPr="00BF61DC">
        <w:rPr>
          <w:lang w:val="ru-RU"/>
        </w:rPr>
        <w:t>гг. и 2016</w:t>
      </w:r>
      <w:r>
        <w:t> </w:t>
      </w:r>
      <w:r w:rsidRPr="00BF61DC">
        <w:rPr>
          <w:lang w:val="ru-RU"/>
        </w:rPr>
        <w:t>г.  По итогам проведения обширного исследования условий, предлагаемых различными банками и финансовыми институтами, и изучения различных стратегий инвестирования, используемых в учреждениях системы ООН, в 2015</w:t>
      </w:r>
      <w:r>
        <w:t> </w:t>
      </w:r>
      <w:r w:rsidRPr="00BF61DC">
        <w:rPr>
          <w:lang w:val="ru-RU"/>
        </w:rPr>
        <w:t xml:space="preserve">г. была разработана и утверждена государствами-членами новая инвестиционная политика Организации.  </w:t>
      </w:r>
    </w:p>
    <w:p w:rsidR="00BF61DC" w:rsidRPr="00BF61DC" w:rsidRDefault="00BF61DC" w:rsidP="00BF61DC">
      <w:pPr>
        <w:jc w:val="both"/>
        <w:rPr>
          <w:bCs/>
          <w:szCs w:val="22"/>
          <w:lang w:val="ru-RU"/>
        </w:rPr>
      </w:pPr>
    </w:p>
    <w:p w:rsidR="00BF61DC" w:rsidRPr="00BF61DC" w:rsidRDefault="00BF61DC" w:rsidP="00BF61DC">
      <w:pPr>
        <w:pStyle w:val="ListParagraph"/>
        <w:numPr>
          <w:ilvl w:val="0"/>
          <w:numId w:val="136"/>
        </w:numPr>
        <w:tabs>
          <w:tab w:val="left" w:pos="567"/>
        </w:tabs>
        <w:ind w:left="0" w:firstLine="0"/>
        <w:jc w:val="both"/>
        <w:rPr>
          <w:bCs/>
          <w:szCs w:val="22"/>
          <w:lang w:val="ru-RU"/>
        </w:rPr>
      </w:pPr>
      <w:r w:rsidRPr="00BF61DC">
        <w:rPr>
          <w:lang w:val="ru-RU"/>
        </w:rPr>
        <w:t>Хорошие результаты были достигнуты в двухлетний период в сфере дальнейшего утверждения культуры управления, ориентированного на конкретные результаты, и укрепление цикла управления общеорганизационной деятельностью ВОИС.  Продолжалось совершенствование процессов планирования работы на двухлетний и годичный периоды.  В 2014</w:t>
      </w:r>
      <w:r>
        <w:t> </w:t>
      </w:r>
      <w:r w:rsidRPr="00BF61DC">
        <w:rPr>
          <w:lang w:val="ru-RU"/>
        </w:rPr>
        <w:t>г. было введено планирование штатного расписания, что позволило установить более тесные связи между ожидаемыми результатами программы и отдельным кадровыми задачами. Благодаря этому был повышен уровень транспарентности и точности в сфере распределения и использования кадровых ресурсов.</w:t>
      </w:r>
    </w:p>
    <w:p w:rsidR="00BF61DC" w:rsidRPr="00BF61DC" w:rsidRDefault="00BF61DC" w:rsidP="00BF61DC">
      <w:pPr>
        <w:jc w:val="both"/>
        <w:rPr>
          <w:bCs/>
          <w:szCs w:val="22"/>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В результате проведения в 2014–2015</w:t>
      </w:r>
      <w:r>
        <w:t> </w:t>
      </w:r>
      <w:r w:rsidRPr="00BF61DC">
        <w:rPr>
          <w:lang w:val="ru-RU"/>
        </w:rPr>
        <w:t>гг. дальнейшей работы по интеграции компонентов ПОР были также укреплены механизмы представления отчетов и использования аналитических средств.  В 2014</w:t>
      </w:r>
      <w:r>
        <w:t> </w:t>
      </w:r>
      <w:r w:rsidRPr="00BF61DC">
        <w:rPr>
          <w:lang w:val="ru-RU"/>
        </w:rPr>
        <w:t>г. впервые были объединены финансовая система и система планирования, то есть система управления административной информацией (СУАИ) и система УОД, что позволило усовершенствовать механизм представления отчетов УОД с сопоставлением сметных и фактических расходов.  Кроме того, в январе 2014</w:t>
      </w:r>
      <w:r>
        <w:t> </w:t>
      </w:r>
      <w:r w:rsidRPr="00BF61DC">
        <w:rPr>
          <w:lang w:val="ru-RU"/>
        </w:rPr>
        <w:t>г. в рамках ПОР начала функционировать система управления людскими ресурсами и начисления заработной платы, а в апреле была завершена работа по ее интеграции с системой планирования УОД, в результате чего существенно возросли возможности управления штатным расписанием.  В рассматриваемый двухлетний период продвигалась работа по созданию Информационно-аналитического модуля (</w:t>
      </w:r>
      <w:r>
        <w:t>BI</w:t>
      </w:r>
      <w:r w:rsidRPr="00BF61DC">
        <w:rPr>
          <w:lang w:val="ru-RU"/>
        </w:rPr>
        <w:t>): в 2014</w:t>
      </w:r>
      <w:r>
        <w:t> </w:t>
      </w:r>
      <w:r w:rsidRPr="00BF61DC">
        <w:rPr>
          <w:lang w:val="ru-RU"/>
        </w:rPr>
        <w:t>г. управленческие панели были разработаны и внедрены в ключевых административных областях (ДУЛР, закуски и поездки, а также планирование и финансирование программы), а в 2015</w:t>
      </w:r>
      <w:r>
        <w:t> </w:t>
      </w:r>
      <w:r w:rsidRPr="00BF61DC">
        <w:rPr>
          <w:lang w:val="ru-RU"/>
        </w:rPr>
        <w:t>г. их использование началось во всех подразделениях организации.  В 2015</w:t>
      </w:r>
      <w:r>
        <w:t> </w:t>
      </w:r>
      <w:r w:rsidRPr="00BF61DC">
        <w:rPr>
          <w:lang w:val="ru-RU"/>
        </w:rPr>
        <w:t>г. была также разработана и выпущена панель управления рисками.</w:t>
      </w:r>
    </w:p>
    <w:p w:rsidR="00BF61DC" w:rsidRPr="00BF61DC" w:rsidRDefault="00BF61DC" w:rsidP="00BF61DC">
      <w:pPr>
        <w:jc w:val="both"/>
        <w:rPr>
          <w:bCs/>
          <w:szCs w:val="22"/>
          <w:lang w:val="ru-RU"/>
        </w:rPr>
      </w:pPr>
    </w:p>
    <w:p w:rsidR="00BF61DC" w:rsidRPr="00BF61DC" w:rsidRDefault="00BF61DC" w:rsidP="00BF61DC">
      <w:pPr>
        <w:pStyle w:val="ListParagraph"/>
        <w:numPr>
          <w:ilvl w:val="0"/>
          <w:numId w:val="136"/>
        </w:numPr>
        <w:tabs>
          <w:tab w:val="left" w:pos="567"/>
        </w:tabs>
        <w:ind w:left="0" w:firstLine="0"/>
        <w:jc w:val="both"/>
        <w:rPr>
          <w:bCs/>
          <w:szCs w:val="22"/>
          <w:lang w:val="ru-RU"/>
        </w:rPr>
      </w:pPr>
      <w:r w:rsidRPr="00BF61DC">
        <w:rPr>
          <w:lang w:val="ru-RU"/>
        </w:rPr>
        <w:t xml:space="preserve">В соответствии с дорожной картой по управлению рисками был разработан формализованный и согласованный механизм управления рисками и внутреннего контроля в Организации, включивший в себя систему подотчетности ВОИС, «Заявление ВОИС о параметрах приемлемого риска», создание Группы управления рисками (ГУР), политику по управлению рисками и разработку «Справочника по вопросам управления рисками и внутреннего контроля».  </w:t>
      </w:r>
    </w:p>
    <w:p w:rsidR="00BF61DC" w:rsidRPr="00BF61DC" w:rsidRDefault="00BF61DC" w:rsidP="00BF61DC">
      <w:pPr>
        <w:pStyle w:val="ListParagraph"/>
        <w:tabs>
          <w:tab w:val="left" w:pos="709"/>
        </w:tabs>
        <w:ind w:left="0"/>
        <w:jc w:val="both"/>
        <w:rPr>
          <w:bCs/>
          <w:szCs w:val="22"/>
          <w:lang w:val="ru-RU"/>
        </w:rPr>
      </w:pPr>
    </w:p>
    <w:p w:rsidR="00BF61DC" w:rsidRPr="00BF61DC" w:rsidRDefault="00BF61DC" w:rsidP="00BF61DC">
      <w:pPr>
        <w:pStyle w:val="ListParagraph"/>
        <w:numPr>
          <w:ilvl w:val="0"/>
          <w:numId w:val="136"/>
        </w:numPr>
        <w:tabs>
          <w:tab w:val="left" w:pos="567"/>
        </w:tabs>
        <w:ind w:left="0" w:firstLine="0"/>
        <w:jc w:val="both"/>
        <w:rPr>
          <w:bCs/>
          <w:szCs w:val="22"/>
          <w:lang w:val="ru-RU"/>
        </w:rPr>
      </w:pPr>
      <w:r w:rsidRPr="00BF61DC">
        <w:rPr>
          <w:lang w:val="ru-RU"/>
        </w:rPr>
        <w:t>В целях содействия обеспечению доступа к информации о рисках и средствах контроля в режиме реального времени, оказания поддержки в осуществлении инициативного управления в вопросах рисков и контроля, а также обеспечения оперативной реакции на итоги аудита во втором полугодии 2014</w:t>
      </w:r>
      <w:r>
        <w:t> </w:t>
      </w:r>
      <w:r w:rsidRPr="00BF61DC">
        <w:rPr>
          <w:lang w:val="ru-RU"/>
        </w:rPr>
        <w:t>г. был внедрен механизм общеорганизационного управления рисками (ОУР), который использовался в процессе составления планов работы на 2015</w:t>
      </w:r>
      <w:r>
        <w:t> </w:t>
      </w:r>
      <w:r w:rsidRPr="00BF61DC">
        <w:rPr>
          <w:lang w:val="ru-RU"/>
        </w:rPr>
        <w:t>г., а также при разработке Программы и бюджета на 2016–2017</w:t>
      </w:r>
      <w:r>
        <w:t> </w:t>
      </w:r>
      <w:r w:rsidRPr="00BF61DC">
        <w:rPr>
          <w:lang w:val="ru-RU"/>
        </w:rPr>
        <w:t>гг.</w:t>
      </w:r>
    </w:p>
    <w:p w:rsidR="00BF61DC" w:rsidRPr="00BF61DC" w:rsidRDefault="00BF61DC" w:rsidP="00BF61DC">
      <w:pPr>
        <w:jc w:val="both"/>
        <w:rPr>
          <w:highlight w:val="yellow"/>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Период 2014–2015 годов стал первым двухлетним периодом осуществления утвержденной государствами-членами в 2013</w:t>
      </w:r>
      <w:r>
        <w:t> </w:t>
      </w:r>
      <w:r w:rsidRPr="00BF61DC">
        <w:rPr>
          <w:lang w:val="ru-RU"/>
        </w:rPr>
        <w:t>г. Стратегии в области людских ресурсов (ЛР).  Кроме того, продолжалась работа по совершенствованию организационной структуры и кадрового планирования в качестве полностью интегрированных ключевых направлений деятельности.  В течение двухлетнего периода достигнуты следующие результаты: (</w:t>
      </w:r>
      <w:r>
        <w:t>i</w:t>
      </w:r>
      <w:r w:rsidRPr="00BF61DC">
        <w:rPr>
          <w:lang w:val="ru-RU"/>
        </w:rPr>
        <w:t>) активизировалось участие руководителей в проведении вводных практикумов по кадровому планированию и разработке соответствующих руководящих принципов; (</w:t>
      </w:r>
      <w:r>
        <w:t>ii</w:t>
      </w:r>
      <w:r w:rsidRPr="00BF61DC">
        <w:rPr>
          <w:lang w:val="ru-RU"/>
        </w:rPr>
        <w:t>) разработаны планы действий в отношении кадров на 2014–2015</w:t>
      </w:r>
      <w:r>
        <w:t> </w:t>
      </w:r>
      <w:r w:rsidRPr="00BF61DC">
        <w:rPr>
          <w:lang w:val="ru-RU"/>
        </w:rPr>
        <w:t>годы в каждом организационном подразделении в целях выявления основных действий, связанных с персоналом, и удовлетворения рабочих потребностей; (</w:t>
      </w:r>
      <w:r>
        <w:t>iii</w:t>
      </w:r>
      <w:r w:rsidRPr="00BF61DC">
        <w:rPr>
          <w:lang w:val="ru-RU"/>
        </w:rPr>
        <w:t>) проведена общеорганизационная работа по обновлению всех должностных инструкций, с тем чтобы они точно отражали приоритеты деятельности; (</w:t>
      </w:r>
      <w:r>
        <w:t>iv</w:t>
      </w:r>
      <w:r w:rsidRPr="00BF61DC">
        <w:rPr>
          <w:lang w:val="ru-RU"/>
        </w:rPr>
        <w:t xml:space="preserve">) проведена работа по систематизации и обеспечению взаимоувязанности должностных инструкций и ежегодных планов работы.  В рамках учебных мероприятий по кадровому планированию руководителям было рекомендовано определить оптимальную структуру ресурсов, которая позволит эффективно удовлетворять рабочие потребности.  </w:t>
      </w:r>
    </w:p>
    <w:p w:rsidR="00BF61DC" w:rsidRPr="00975156" w:rsidRDefault="00BF61DC" w:rsidP="00BF61DC">
      <w:pPr>
        <w:pStyle w:val="ListParagraph"/>
        <w:tabs>
          <w:tab w:val="left" w:pos="709"/>
        </w:tabs>
        <w:ind w:left="0"/>
        <w:jc w:val="both"/>
        <w:rPr>
          <w:rFonts w:cs="Arial"/>
          <w:lang w:val="ru-RU"/>
        </w:rPr>
      </w:pPr>
    </w:p>
    <w:p w:rsidR="00BF61DC" w:rsidRPr="00975156" w:rsidRDefault="00BF61DC" w:rsidP="00BF61DC">
      <w:pPr>
        <w:pStyle w:val="ListParagraph"/>
        <w:numPr>
          <w:ilvl w:val="0"/>
          <w:numId w:val="136"/>
        </w:numPr>
        <w:tabs>
          <w:tab w:val="left" w:pos="567"/>
        </w:tabs>
        <w:ind w:left="0" w:firstLine="0"/>
        <w:jc w:val="both"/>
        <w:rPr>
          <w:rFonts w:cs="Arial"/>
          <w:lang w:val="ru-RU"/>
        </w:rPr>
      </w:pPr>
      <w:r w:rsidRPr="00975156">
        <w:rPr>
          <w:lang w:val="ru-RU"/>
        </w:rPr>
        <w:t>В 2014</w:t>
      </w:r>
      <w:r w:rsidRPr="00975156">
        <w:t> </w:t>
      </w:r>
      <w:r w:rsidRPr="00975156">
        <w:rPr>
          <w:lang w:val="ru-RU"/>
        </w:rPr>
        <w:t>г. была опубликована первая Политика гендерного равенства ВОИС, направленная на увеличение значимости гендерных аспектов в деятельности ВОИС; в ней были намечены сроки достижения гендерного баланса среди сотрудников.  По сравнению с базовым уровнем 2013</w:t>
      </w:r>
      <w:r w:rsidRPr="00975156">
        <w:t> </w:t>
      </w:r>
      <w:r w:rsidRPr="00975156">
        <w:rPr>
          <w:lang w:val="ru-RU"/>
        </w:rPr>
        <w:t>г. доля женщин на должностях категории С4 (46,1</w:t>
      </w:r>
      <w:r w:rsidRPr="00975156">
        <w:t> </w:t>
      </w:r>
      <w:r w:rsidRPr="00975156">
        <w:rPr>
          <w:lang w:val="ru-RU"/>
        </w:rPr>
        <w:t>процента) выросла на 2,7</w:t>
      </w:r>
      <w:r w:rsidRPr="00975156">
        <w:t> </w:t>
      </w:r>
      <w:r w:rsidRPr="00975156">
        <w:rPr>
          <w:lang w:val="ru-RU"/>
        </w:rPr>
        <w:t>процентных пункта, что полностью соответствует целевому показателю, однако в отношении управленческих должностей более высокого уровня достичь целевого уровня гендерного баланса по-прежнему не удавалось.  Назначение женщин на должности С5 и Д1 позволило не допустить увеличения гендерного разрыва после выхода в отставку женщин, занимавших эти должности, однако на уровне Д2 по сравнению с 2013</w:t>
      </w:r>
      <w:r w:rsidRPr="00975156">
        <w:t> </w:t>
      </w:r>
      <w:r w:rsidRPr="00975156">
        <w:rPr>
          <w:lang w:val="ru-RU"/>
        </w:rPr>
        <w:t>г. представленность женщин сократилась на 11,1 процентных пункта.  Тем не менее это самые высокие показатели за всю историю ВОИС.</w:t>
      </w:r>
      <w:r w:rsidRPr="00975156">
        <w:t> </w:t>
      </w:r>
      <w:r w:rsidRPr="00975156">
        <w:rPr>
          <w:lang w:val="ru-RU"/>
        </w:rPr>
        <w:t xml:space="preserve"> В этом контексте была создана сеть координационных пунктов по гендерным вопросам, охватывающая все программы ВОИС; кроме того, ВОИС присоединилась к Женевской сети сторонников гендерных изменений, став таким образом одним из участников коллективных усилий по улучшению положения женщин на рабочем месте.</w:t>
      </w:r>
    </w:p>
    <w:p w:rsidR="00BF61DC" w:rsidRPr="00975156" w:rsidRDefault="00BF61DC" w:rsidP="00BF61DC">
      <w:pPr>
        <w:jc w:val="both"/>
        <w:rPr>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В 2014 г. был завершен процесс урегулирования статуса сотрудников, работающих в течение длительного времени по временным контрактам (СВК): после конкурса в 2014</w:t>
      </w:r>
      <w:r>
        <w:t> </w:t>
      </w:r>
      <w:r w:rsidRPr="00BF61DC">
        <w:rPr>
          <w:lang w:val="ru-RU"/>
        </w:rPr>
        <w:t>г. в штат был зачислен 31 СВК.  Кроме того, в течение двухлетнего периода было объявлено об открытии 40 вакансий на должности по срочным контрактам в целях перевода в штат сотрудников, выполняющих постоянные функции (17 в 2014</w:t>
      </w:r>
      <w:r>
        <w:t> </w:t>
      </w:r>
      <w:r w:rsidRPr="00BF61DC">
        <w:rPr>
          <w:lang w:val="ru-RU"/>
        </w:rPr>
        <w:t>г. и 23 в 2015</w:t>
      </w:r>
      <w:r>
        <w:t> </w:t>
      </w:r>
      <w:r w:rsidRPr="00BF61DC">
        <w:rPr>
          <w:lang w:val="ru-RU"/>
        </w:rPr>
        <w:t>г.), причем 30 из них были заполнены к концу 2015</w:t>
      </w:r>
      <w:r>
        <w:t> </w:t>
      </w:r>
      <w:r w:rsidRPr="00BF61DC">
        <w:rPr>
          <w:lang w:val="ru-RU"/>
        </w:rPr>
        <w:t>года.  В этот период, как и в предыдущий, прием на работу проводился довольно интенсивно, однако средний срок приема на работу в эти два года был продолжительнее, чем в 2012–2013 гг. (16,03 недели), и составил 19,77 недели.  За рассматриваемый период было организовано в общей сложности 255 конкурсов (183 на заполнение должностей со срочными контрактами, что на 29 процентов больше чем в 2012–2013 гг., и 72 на временные должности).  В общей сложности было получено 30</w:t>
      </w:r>
      <w:r>
        <w:t> </w:t>
      </w:r>
      <w:r w:rsidRPr="00BF61DC">
        <w:rPr>
          <w:lang w:val="ru-RU"/>
        </w:rPr>
        <w:t>320 заявок.  Также продолжилась модернизация систем и процессов ОУЛР.  В 2015</w:t>
      </w:r>
      <w:r>
        <w:t> </w:t>
      </w:r>
      <w:r w:rsidRPr="00BF61DC">
        <w:rPr>
          <w:lang w:val="ru-RU"/>
        </w:rPr>
        <w:t xml:space="preserve">г. началась разработка новой интегрированной платформы для приема на работу (на основе </w:t>
      </w:r>
      <w:r>
        <w:t>Taleo</w:t>
      </w:r>
      <w:r w:rsidRPr="00BF61DC">
        <w:rPr>
          <w:lang w:val="ru-RU"/>
        </w:rPr>
        <w:t xml:space="preserve">), задача которой — обеспечить дальнейшее повышение эффективности набора персонала.  </w:t>
      </w:r>
    </w:p>
    <w:p w:rsidR="00BF61DC" w:rsidRPr="00975156" w:rsidRDefault="00BF61DC" w:rsidP="00BF61DC">
      <w:pPr>
        <w:jc w:val="both"/>
        <w:rPr>
          <w:rFonts w:eastAsia="Batang"/>
          <w:bCs/>
          <w:lang w:val="ru-RU"/>
        </w:rPr>
      </w:pPr>
    </w:p>
    <w:p w:rsidR="00BF61DC" w:rsidRPr="00975156" w:rsidRDefault="00BF61DC" w:rsidP="00BF61DC">
      <w:pPr>
        <w:pStyle w:val="ListParagraph"/>
        <w:numPr>
          <w:ilvl w:val="0"/>
          <w:numId w:val="136"/>
        </w:numPr>
        <w:tabs>
          <w:tab w:val="left" w:pos="567"/>
        </w:tabs>
        <w:ind w:left="0" w:firstLine="0"/>
        <w:jc w:val="both"/>
        <w:rPr>
          <w:bCs/>
          <w:color w:val="000000"/>
          <w:lang w:val="ru-RU"/>
        </w:rPr>
      </w:pPr>
      <w:r w:rsidRPr="00975156">
        <w:rPr>
          <w:lang w:val="ru-RU"/>
        </w:rPr>
        <w:t>В 2014–2015</w:t>
      </w:r>
      <w:r w:rsidRPr="00975156">
        <w:t> </w:t>
      </w:r>
      <w:r w:rsidRPr="00975156">
        <w:rPr>
          <w:lang w:val="ru-RU"/>
        </w:rPr>
        <w:t>гг. в области закупок и поездок были достигнуты существенные результаты с точки зрения достижения целевых показателей посредством пакета мер, направленных на оптимизацию расходов ВОИС на закупку товаров и услуг, а также рационализацию процессов: в результате в 2015</w:t>
      </w:r>
      <w:r w:rsidRPr="00975156">
        <w:t> </w:t>
      </w:r>
      <w:r w:rsidRPr="00975156">
        <w:rPr>
          <w:lang w:val="ru-RU"/>
        </w:rPr>
        <w:t>г. общий объем экономии средств составил 3,8</w:t>
      </w:r>
      <w:r w:rsidRPr="00975156">
        <w:t> </w:t>
      </w:r>
      <w:r w:rsidRPr="00975156">
        <w:rPr>
          <w:lang w:val="ru-RU"/>
        </w:rPr>
        <w:t>млн шв. франков, а в 2014 г. – 2,6</w:t>
      </w:r>
      <w:r w:rsidRPr="00975156">
        <w:t> </w:t>
      </w:r>
      <w:r w:rsidRPr="00975156">
        <w:rPr>
          <w:lang w:val="ru-RU"/>
        </w:rPr>
        <w:t xml:space="preserve">млн. шв. франков.  </w:t>
      </w:r>
      <w:r w:rsidRPr="00975156">
        <w:rPr>
          <w:color w:val="000000"/>
          <w:lang w:val="ru-RU"/>
        </w:rPr>
        <w:t>Что касается затрат на поездки, то в 2015</w:t>
      </w:r>
      <w:r w:rsidRPr="00975156">
        <w:rPr>
          <w:color w:val="000000"/>
        </w:rPr>
        <w:t> </w:t>
      </w:r>
      <w:r w:rsidRPr="00975156">
        <w:rPr>
          <w:color w:val="000000"/>
          <w:lang w:val="ru-RU"/>
        </w:rPr>
        <w:t>г. средняя цена авиабилета была снижена на 14</w:t>
      </w:r>
      <w:r w:rsidRPr="00975156">
        <w:rPr>
          <w:color w:val="000000"/>
        </w:rPr>
        <w:t> </w:t>
      </w:r>
      <w:r w:rsidRPr="00975156">
        <w:rPr>
          <w:color w:val="000000"/>
          <w:lang w:val="ru-RU"/>
        </w:rPr>
        <w:t>процентов, достигнув 1</w:t>
      </w:r>
      <w:r w:rsidRPr="00975156">
        <w:rPr>
          <w:color w:val="000000"/>
        </w:rPr>
        <w:t> </w:t>
      </w:r>
      <w:r w:rsidRPr="00975156">
        <w:rPr>
          <w:color w:val="000000"/>
          <w:lang w:val="ru-RU"/>
        </w:rPr>
        <w:t>484</w:t>
      </w:r>
      <w:r w:rsidRPr="00975156">
        <w:rPr>
          <w:color w:val="000000"/>
        </w:rPr>
        <w:t> </w:t>
      </w:r>
      <w:r w:rsidRPr="00975156">
        <w:rPr>
          <w:color w:val="000000"/>
          <w:lang w:val="ru-RU"/>
        </w:rPr>
        <w:t>шв. франков, тогда как в 2013</w:t>
      </w:r>
      <w:r w:rsidRPr="00975156">
        <w:rPr>
          <w:color w:val="000000"/>
        </w:rPr>
        <w:t> </w:t>
      </w:r>
      <w:r w:rsidRPr="00975156">
        <w:rPr>
          <w:color w:val="000000"/>
          <w:lang w:val="ru-RU"/>
        </w:rPr>
        <w:t>г. она составляла 1</w:t>
      </w:r>
      <w:r w:rsidRPr="00975156">
        <w:rPr>
          <w:color w:val="000000"/>
        </w:rPr>
        <w:t> </w:t>
      </w:r>
      <w:r w:rsidRPr="00975156">
        <w:rPr>
          <w:color w:val="000000"/>
          <w:lang w:val="ru-RU"/>
        </w:rPr>
        <w:t>728</w:t>
      </w:r>
      <w:r w:rsidRPr="00975156">
        <w:rPr>
          <w:color w:val="000000"/>
        </w:rPr>
        <w:t> </w:t>
      </w:r>
      <w:r w:rsidRPr="00975156">
        <w:rPr>
          <w:color w:val="000000"/>
          <w:lang w:val="ru-RU"/>
        </w:rPr>
        <w:t xml:space="preserve">шв. франков, что позволило обеспечить существенную экономию в рассматриваемый двухлетний период.  После внедрения новой </w:t>
      </w:r>
      <w:r w:rsidRPr="00975156">
        <w:rPr>
          <w:color w:val="000000"/>
        </w:rPr>
        <w:t>OBT</w:t>
      </w:r>
      <w:r w:rsidRPr="00975156">
        <w:rPr>
          <w:color w:val="000000"/>
          <w:lang w:val="ru-RU"/>
        </w:rPr>
        <w:t xml:space="preserve"> в декабре 2014</w:t>
      </w:r>
      <w:r w:rsidRPr="00975156">
        <w:rPr>
          <w:color w:val="000000"/>
        </w:rPr>
        <w:t> </w:t>
      </w:r>
      <w:r w:rsidRPr="00975156">
        <w:rPr>
          <w:color w:val="000000"/>
          <w:lang w:val="ru-RU"/>
        </w:rPr>
        <w:t>г. общий средний операционный сбор также снизился на 20</w:t>
      </w:r>
      <w:r w:rsidRPr="00975156">
        <w:rPr>
          <w:color w:val="000000"/>
        </w:rPr>
        <w:t> </w:t>
      </w:r>
      <w:r w:rsidRPr="00975156">
        <w:rPr>
          <w:color w:val="000000"/>
          <w:lang w:val="ru-RU"/>
        </w:rPr>
        <w:t>процентов, несмотря на повышение агентского сбора в результате смены поставщика.  Следует отметить также, что в рассматриваемый двухлетний период была проделана существенная работа по сокращению расходов на поездки, в результате которой снизилось как количество выдаваемых билетов, так и количество несвоевременно поданных заявок на поездки.  Благодаря тщательному контролю прохождения административных процедур за последние пять лет удалось вдвое сократить сроки обработки заявок на осуществление закупок, обеспечив при этом повышение эффективности и гибкости процесса приобретения товаров и услуг.  Следует также отметить, что доля закупаемых на месте товаров и услуг для деятельности в интересах развития достигла 57</w:t>
      </w:r>
      <w:r w:rsidRPr="00975156">
        <w:rPr>
          <w:color w:val="000000"/>
        </w:rPr>
        <w:t> </w:t>
      </w:r>
      <w:r w:rsidRPr="00975156">
        <w:rPr>
          <w:color w:val="000000"/>
          <w:lang w:val="ru-RU"/>
        </w:rPr>
        <w:t>процентов в 2015</w:t>
      </w:r>
      <w:r w:rsidRPr="00975156">
        <w:rPr>
          <w:color w:val="000000"/>
        </w:rPr>
        <w:t> </w:t>
      </w:r>
      <w:r w:rsidRPr="00975156">
        <w:rPr>
          <w:color w:val="000000"/>
          <w:lang w:val="ru-RU"/>
        </w:rPr>
        <w:t>г., что на 9 процентов превышает уровень 2013</w:t>
      </w:r>
      <w:r w:rsidRPr="00975156">
        <w:rPr>
          <w:color w:val="000000"/>
        </w:rPr>
        <w:t> </w:t>
      </w:r>
      <w:r w:rsidRPr="00975156">
        <w:rPr>
          <w:color w:val="000000"/>
          <w:lang w:val="ru-RU"/>
        </w:rPr>
        <w:t>г. и на 12 процентов – уровень 2014</w:t>
      </w:r>
      <w:r w:rsidRPr="00975156">
        <w:rPr>
          <w:color w:val="000000"/>
        </w:rPr>
        <w:t> </w:t>
      </w:r>
      <w:r w:rsidRPr="00975156">
        <w:rPr>
          <w:color w:val="000000"/>
          <w:lang w:val="ru-RU"/>
        </w:rPr>
        <w:t>г.</w:t>
      </w:r>
    </w:p>
    <w:p w:rsidR="00BF61DC" w:rsidRPr="00975156" w:rsidRDefault="00BF61DC" w:rsidP="00BF61DC">
      <w:pPr>
        <w:pStyle w:val="Test"/>
        <w:numPr>
          <w:ilvl w:val="0"/>
          <w:numId w:val="0"/>
        </w:numPr>
        <w:jc w:val="both"/>
        <w:rPr>
          <w:sz w:val="20"/>
          <w:szCs w:val="20"/>
          <w:lang w:val="ru-RU"/>
        </w:rPr>
      </w:pPr>
    </w:p>
    <w:p w:rsidR="00BF61DC" w:rsidRPr="00975156" w:rsidRDefault="00BF61DC" w:rsidP="00BF61DC">
      <w:pPr>
        <w:pStyle w:val="ListParagraph"/>
        <w:numPr>
          <w:ilvl w:val="0"/>
          <w:numId w:val="136"/>
        </w:numPr>
        <w:tabs>
          <w:tab w:val="left" w:pos="567"/>
        </w:tabs>
        <w:ind w:left="0" w:firstLine="0"/>
        <w:jc w:val="both"/>
        <w:rPr>
          <w:rFonts w:cs="Arial"/>
          <w:lang w:val="ru-RU"/>
        </w:rPr>
      </w:pPr>
      <w:r w:rsidRPr="00975156">
        <w:rPr>
          <w:lang w:val="ru-RU"/>
        </w:rPr>
        <w:t>Среди достижений в сфере ИКТ, сделанных в 2014–2015</w:t>
      </w:r>
      <w:r w:rsidRPr="00975156">
        <w:t> </w:t>
      </w:r>
      <w:r w:rsidRPr="00975156">
        <w:rPr>
          <w:lang w:val="ru-RU"/>
        </w:rPr>
        <w:t>гг., можно выделить следующие:  пересмотр контрактов на предоставление услуг и операционных процессов в целях обеспечения большей экономической эффективности операций, что позволило сэкономить приблизительно 460</w:t>
      </w:r>
      <w:r w:rsidRPr="00975156">
        <w:t> </w:t>
      </w:r>
      <w:r w:rsidRPr="00975156">
        <w:rPr>
          <w:lang w:val="ru-RU"/>
        </w:rPr>
        <w:t>000</w:t>
      </w:r>
      <w:r w:rsidRPr="00975156">
        <w:t> </w:t>
      </w:r>
      <w:r w:rsidRPr="00975156">
        <w:rPr>
          <w:lang w:val="ru-RU"/>
        </w:rPr>
        <w:t>шв.</w:t>
      </w:r>
      <w:r w:rsidRPr="00975156">
        <w:t> </w:t>
      </w:r>
      <w:r w:rsidRPr="00975156">
        <w:rPr>
          <w:lang w:val="ru-RU"/>
        </w:rPr>
        <w:t>франков по сравнению с 2013</w:t>
      </w:r>
      <w:r w:rsidRPr="00975156">
        <w:t> </w:t>
      </w:r>
      <w:r w:rsidRPr="00975156">
        <w:rPr>
          <w:lang w:val="ru-RU"/>
        </w:rPr>
        <w:t xml:space="preserve">г.;  успешное внедрение и тестирование средств ИКТ высокого уровня для аварийного восстановления системы </w:t>
      </w:r>
      <w:r w:rsidRPr="00975156">
        <w:t>PCT</w:t>
      </w:r>
      <w:r w:rsidRPr="00975156">
        <w:rPr>
          <w:lang w:val="ru-RU"/>
        </w:rPr>
        <w:t>; своевременное завершение работ по созданию инфраструктуры ИКТ для нового конференц-зала ВОИС к открытию двадцать второй сессии КПБ и пятьдесят четвертой серии заседаний Ассамблей ВОИС;  разработка нового решения для ВБ ВОИС под названием Архитектура глобального офиса (</w:t>
      </w:r>
      <w:r w:rsidRPr="00975156">
        <w:t>GOA</w:t>
      </w:r>
      <w:r w:rsidRPr="00975156">
        <w:rPr>
          <w:lang w:val="ru-RU"/>
        </w:rPr>
        <w:t>) в целях обеспечения связи со всеми административными ИТ-системами ВОИС, расположенными в штаб-квартире, а также оказания централизованных и согласованных ИТ-услуг;  разработка соглашений об оказании услуг (СОУ) в целях четкого отражения потребностей в области ИКТ по конкретным направлениям деятельности и обеспечения возможностей для более систематического осуществления функций отслеживания и мониторинга;  внедрение усовершенствованной системы факсимильной связи, которая была полностью интегрирована в компьютерные системы Мадридской системы и внутренние административные системы, благодаря чему удалось добиться повышения эффективности и значительно снизить число ошибок при использовании этого вида связи.</w:t>
      </w:r>
    </w:p>
    <w:p w:rsidR="00BF61DC" w:rsidRPr="00BF61DC" w:rsidRDefault="00BF61DC" w:rsidP="00BF61DC">
      <w:pPr>
        <w:pStyle w:val="Test"/>
        <w:numPr>
          <w:ilvl w:val="0"/>
          <w:numId w:val="0"/>
        </w:numPr>
        <w:jc w:val="both"/>
        <w:rPr>
          <w:sz w:val="20"/>
          <w:szCs w:val="20"/>
          <w:highlight w:val="yellow"/>
          <w:lang w:val="ru-RU"/>
        </w:rPr>
      </w:pPr>
    </w:p>
    <w:p w:rsidR="00BF61DC" w:rsidRPr="00BF61DC" w:rsidRDefault="00BF61DC" w:rsidP="00BF61DC">
      <w:pPr>
        <w:pStyle w:val="ListParagraph"/>
        <w:numPr>
          <w:ilvl w:val="0"/>
          <w:numId w:val="136"/>
        </w:numPr>
        <w:tabs>
          <w:tab w:val="left" w:pos="567"/>
        </w:tabs>
        <w:ind w:left="0" w:firstLine="0"/>
        <w:jc w:val="both"/>
        <w:rPr>
          <w:lang w:val="ru-RU"/>
        </w:rPr>
      </w:pPr>
      <w:r w:rsidRPr="00BF61DC">
        <w:rPr>
          <w:lang w:val="ru-RU"/>
        </w:rPr>
        <w:t>Что касается обеспечения целостности информации, в рамках процесса непрерывного совершенствования на основе стандарта ИСО 27001 в октябре 2014</w:t>
      </w:r>
      <w:r>
        <w:t> </w:t>
      </w:r>
      <w:r w:rsidRPr="00BF61DC">
        <w:rPr>
          <w:lang w:val="ru-RU"/>
        </w:rPr>
        <w:t xml:space="preserve">г. система </w:t>
      </w:r>
      <w:r>
        <w:t>PCT</w:t>
      </w:r>
      <w:r w:rsidRPr="00BF61DC">
        <w:rPr>
          <w:lang w:val="ru-RU"/>
        </w:rPr>
        <w:t xml:space="preserve"> прошла второй этап внешнего аудита для сертификации по ИСО 27001; при этом система </w:t>
      </w:r>
      <w:r w:rsidRPr="007402F6">
        <w:t>PCT</w:t>
      </w:r>
      <w:r w:rsidRPr="00BF61DC">
        <w:rPr>
          <w:lang w:val="ru-RU"/>
        </w:rPr>
        <w:t xml:space="preserve"> перешла с версии 2005</w:t>
      </w:r>
      <w:r w:rsidRPr="007402F6">
        <w:t> </w:t>
      </w:r>
      <w:r w:rsidRPr="00BF61DC">
        <w:rPr>
          <w:lang w:val="ru-RU"/>
        </w:rPr>
        <w:t>г. на новейший стандарт ИСО 27001:2013.</w:t>
      </w:r>
      <w:r w:rsidRPr="007402F6">
        <w:t> </w:t>
      </w:r>
      <w:r w:rsidRPr="00BF61DC">
        <w:rPr>
          <w:lang w:val="ru-RU"/>
        </w:rPr>
        <w:t xml:space="preserve"> В октябре 2015</w:t>
      </w:r>
      <w:r w:rsidRPr="007402F6">
        <w:t> </w:t>
      </w:r>
      <w:r w:rsidRPr="00BF61DC">
        <w:rPr>
          <w:lang w:val="ru-RU"/>
        </w:rPr>
        <w:t xml:space="preserve">г. область сертификации была расширена, и в нее, помимо системы </w:t>
      </w:r>
      <w:r w:rsidRPr="007402F6">
        <w:t>PCT</w:t>
      </w:r>
      <w:r w:rsidRPr="00BF61DC">
        <w:rPr>
          <w:lang w:val="ru-RU"/>
        </w:rPr>
        <w:t>, была включена деятельность в рамках Мадридской и Гаагской систем.  Моделирование ситуации фишинг-мошенничества, которое впервые было проведено в 2014</w:t>
      </w:r>
      <w:r w:rsidRPr="007402F6">
        <w:t> </w:t>
      </w:r>
      <w:r w:rsidRPr="00BF61DC">
        <w:rPr>
          <w:lang w:val="ru-RU"/>
        </w:rPr>
        <w:t>г., продолжало способствовать повышению уровня информированности об угрозах информационной безопасности, что подтверждает резкое увеличение числа пользователей, сообщивших о фишинге (с одного процента в 2014</w:t>
      </w:r>
      <w:r w:rsidRPr="007402F6">
        <w:t> </w:t>
      </w:r>
      <w:r w:rsidRPr="00BF61DC">
        <w:rPr>
          <w:lang w:val="ru-RU"/>
        </w:rPr>
        <w:t>г. до 59</w:t>
      </w:r>
      <w:r w:rsidRPr="007402F6">
        <w:t> </w:t>
      </w:r>
      <w:r w:rsidRPr="00BF61DC">
        <w:rPr>
          <w:lang w:val="ru-RU"/>
        </w:rPr>
        <w:t>процентов в 2015</w:t>
      </w:r>
      <w:r w:rsidRPr="007402F6">
        <w:t> </w:t>
      </w:r>
      <w:r w:rsidRPr="00BF61DC">
        <w:rPr>
          <w:lang w:val="ru-RU"/>
        </w:rPr>
        <w:t>г.), а также снижение на десять процентов числа пользователей, ставших жертвами фишинг-мошенничества (со среднего уровня в 17</w:t>
      </w:r>
      <w:r w:rsidRPr="007402F6">
        <w:t> </w:t>
      </w:r>
      <w:r w:rsidRPr="00BF61DC">
        <w:rPr>
          <w:lang w:val="ru-RU"/>
        </w:rPr>
        <w:t>процентов в 2014</w:t>
      </w:r>
      <w:r w:rsidRPr="007402F6">
        <w:t> </w:t>
      </w:r>
      <w:r w:rsidRPr="00BF61DC">
        <w:rPr>
          <w:lang w:val="ru-RU"/>
        </w:rPr>
        <w:t>г. до в среднем семи процентов в 2015</w:t>
      </w:r>
      <w:r w:rsidRPr="007402F6">
        <w:t> </w:t>
      </w:r>
      <w:r w:rsidRPr="00BF61DC">
        <w:rPr>
          <w:lang w:val="ru-RU"/>
        </w:rPr>
        <w:t>г.).</w:t>
      </w:r>
    </w:p>
    <w:p w:rsidR="00BF61DC" w:rsidRPr="00BF61DC" w:rsidRDefault="00BF61DC" w:rsidP="00BF61DC">
      <w:pPr>
        <w:jc w:val="both"/>
        <w:rPr>
          <w:lang w:val="ru-RU"/>
        </w:rPr>
      </w:pPr>
    </w:p>
    <w:p w:rsidR="00BF61DC" w:rsidRPr="00BF61DC" w:rsidRDefault="00BF61DC" w:rsidP="00BF61DC">
      <w:pPr>
        <w:pStyle w:val="ListParagraph"/>
        <w:numPr>
          <w:ilvl w:val="0"/>
          <w:numId w:val="136"/>
        </w:numPr>
        <w:tabs>
          <w:tab w:val="left" w:pos="567"/>
        </w:tabs>
        <w:ind w:left="0" w:firstLine="0"/>
        <w:jc w:val="both"/>
        <w:rPr>
          <w:rFonts w:cs="Arial"/>
          <w:bCs/>
          <w:lang w:val="ru-RU"/>
        </w:rPr>
      </w:pPr>
      <w:r w:rsidRPr="00BF61DC">
        <w:rPr>
          <w:lang w:val="ru-RU"/>
        </w:rPr>
        <w:t>Продолжалась работа по эффективному осуществлению лингвистической политики ВОИС на основе поэтапного и эффективного с точки зрения затрат распространения правила о переводе на шесть языков на документы рабочих групп.  В 2014–2015</w:t>
      </w:r>
      <w:r w:rsidRPr="007402F6">
        <w:t> </w:t>
      </w:r>
      <w:r w:rsidRPr="00BF61DC">
        <w:rPr>
          <w:lang w:val="ru-RU"/>
        </w:rPr>
        <w:t>гг.</w:t>
      </w:r>
      <w:r w:rsidRPr="007402F6">
        <w:t> </w:t>
      </w:r>
      <w:r w:rsidRPr="00BF61DC">
        <w:rPr>
          <w:lang w:val="ru-RU"/>
        </w:rPr>
        <w:t>согласно графику, установленному государствами-членами, это правило было распространено на: (</w:t>
      </w:r>
      <w:r w:rsidRPr="007402F6">
        <w:t>i</w:t>
      </w:r>
      <w:r w:rsidRPr="00BF61DC">
        <w:rPr>
          <w:lang w:val="ru-RU"/>
        </w:rPr>
        <w:t>)</w:t>
      </w:r>
      <w:r w:rsidRPr="007402F6">
        <w:t> </w:t>
      </w:r>
      <w:r w:rsidRPr="00BF61DC">
        <w:rPr>
          <w:lang w:val="ru-RU"/>
        </w:rPr>
        <w:t xml:space="preserve">Рабочую группу </w:t>
      </w:r>
      <w:r w:rsidRPr="007402F6">
        <w:t>PCT</w:t>
      </w:r>
      <w:r w:rsidRPr="00BF61DC">
        <w:rPr>
          <w:lang w:val="ru-RU"/>
        </w:rPr>
        <w:t>; (</w:t>
      </w:r>
      <w:r w:rsidRPr="007402F6">
        <w:t>ii</w:t>
      </w:r>
      <w:r w:rsidRPr="00BF61DC">
        <w:rPr>
          <w:lang w:val="ru-RU"/>
        </w:rPr>
        <w:t>)</w:t>
      </w:r>
      <w:r w:rsidRPr="007402F6">
        <w:t> </w:t>
      </w:r>
      <w:r w:rsidRPr="00BF61DC">
        <w:rPr>
          <w:lang w:val="ru-RU"/>
        </w:rPr>
        <w:t>Рабочую группа по правовому развитию Гаагской системы международной регистрации промышленных образцов; (</w:t>
      </w:r>
      <w:r w:rsidRPr="007402F6">
        <w:t>iii</w:t>
      </w:r>
      <w:r w:rsidRPr="00BF61DC">
        <w:rPr>
          <w:lang w:val="ru-RU"/>
        </w:rPr>
        <w:t>)</w:t>
      </w:r>
      <w:r w:rsidRPr="007402F6">
        <w:t> </w:t>
      </w:r>
      <w:r w:rsidRPr="00BF61DC">
        <w:rPr>
          <w:lang w:val="ru-RU"/>
        </w:rPr>
        <w:t>Рабочую группу по правовому развитию Мадридской системы международной регистрации знаков и (</w:t>
      </w:r>
      <w:r w:rsidRPr="007402F6">
        <w:t>iv</w:t>
      </w:r>
      <w:r w:rsidRPr="00BF61DC">
        <w:rPr>
          <w:lang w:val="ru-RU"/>
        </w:rPr>
        <w:t>)</w:t>
      </w:r>
      <w:r w:rsidRPr="007402F6">
        <w:t> </w:t>
      </w:r>
      <w:r w:rsidRPr="00BF61DC">
        <w:rPr>
          <w:lang w:val="ru-RU"/>
        </w:rPr>
        <w:t xml:space="preserve">Рабочую группу по пересмотру МПК. </w:t>
      </w:r>
    </w:p>
    <w:p w:rsidR="00BF61DC" w:rsidRPr="00BF61DC" w:rsidRDefault="00BF61DC" w:rsidP="00BF61DC">
      <w:pPr>
        <w:jc w:val="both"/>
        <w:rPr>
          <w:rFonts w:cs="Arial"/>
          <w:bCs/>
          <w:lang w:val="ru-RU"/>
        </w:rPr>
      </w:pPr>
    </w:p>
    <w:p w:rsidR="00BF61DC" w:rsidRPr="00BF61DC" w:rsidRDefault="00BF61DC" w:rsidP="00BF61DC">
      <w:pPr>
        <w:pStyle w:val="ListParagraph"/>
        <w:numPr>
          <w:ilvl w:val="0"/>
          <w:numId w:val="136"/>
        </w:numPr>
        <w:tabs>
          <w:tab w:val="left" w:pos="567"/>
        </w:tabs>
        <w:ind w:left="0" w:firstLine="0"/>
        <w:jc w:val="both"/>
        <w:rPr>
          <w:rFonts w:cs="Arial"/>
          <w:lang w:val="ru-RU"/>
        </w:rPr>
      </w:pPr>
      <w:r w:rsidRPr="00BF61DC">
        <w:rPr>
          <w:lang w:val="ru-RU"/>
        </w:rPr>
        <w:t>Серьезным успехом в 2014–2015</w:t>
      </w:r>
      <w:r w:rsidRPr="00BF61DC">
        <w:t> </w:t>
      </w:r>
      <w:r w:rsidRPr="00BF61DC">
        <w:rPr>
          <w:lang w:val="ru-RU"/>
        </w:rPr>
        <w:t>гг. стало открытие нового конференц-зала ВОИС.  Проект сооружения нового конференц-зала был реализован в несколько этапов, при этом различные технические тесты и испытания систем проводились параллельно, по участкам.  Новый центр доступа был сдан в июле 2014</w:t>
      </w:r>
      <w:r w:rsidRPr="00BF61DC">
        <w:t> </w:t>
      </w:r>
      <w:r w:rsidRPr="00BF61DC">
        <w:rPr>
          <w:lang w:val="ru-RU"/>
        </w:rPr>
        <w:t>г.; работы по устройству внешнего озеленения между новым зданием, новым конференц-залом и зданием АБ были завершены в конце августа 2014</w:t>
      </w:r>
      <w:r w:rsidRPr="00BF61DC">
        <w:t> </w:t>
      </w:r>
      <w:r w:rsidRPr="00BF61DC">
        <w:rPr>
          <w:lang w:val="ru-RU"/>
        </w:rPr>
        <w:t>г.; сам новый конференц-зал был сдан в конце августа, что позволило Организации провести в нем 1-5 сентября 2014</w:t>
      </w:r>
      <w:r w:rsidRPr="00BF61DC">
        <w:t> </w:t>
      </w:r>
      <w:r w:rsidRPr="00BF61DC">
        <w:rPr>
          <w:lang w:val="ru-RU"/>
        </w:rPr>
        <w:t>г. сессию КПБ; весь объем строительных работ, включая как новые, так и реконструированные объекты, по новому конференц-залу и трем этажам здания АБ, был завершен в сентябре 2014 г., и все эти объекты были сданы в эксплуатацию к сессии Ассамблей ВОИС, которая состоялась 22-30 сентября 2014</w:t>
      </w:r>
      <w:r w:rsidRPr="00BF61DC">
        <w:t> </w:t>
      </w:r>
      <w:r w:rsidRPr="00BF61DC">
        <w:rPr>
          <w:lang w:val="ru-RU"/>
        </w:rPr>
        <w:t>г. и, в частности, включала официальное открытие нового конференц-зала ВОИС в первый день сессии в присутствии делегатов государств-членов ВОИС, наблюдателей, должностных лиц принимающей страны (федерального, кантонального и муниципального уровней), представителей других учреждений ООН и около 70 компаний и организаций, участвовавших в строительстве и реализации проекта.  Работы над рядом элементов внешнего озеленения проводились в 2015</w:t>
      </w:r>
      <w:r w:rsidRPr="00BF61DC">
        <w:t> </w:t>
      </w:r>
      <w:r w:rsidRPr="00BF61DC">
        <w:rPr>
          <w:lang w:val="ru-RU"/>
        </w:rPr>
        <w:t>г.  Хотя в связи со сложностью работ, особенно в последние несколько месяцев, завершение проекта было перенесено с апреля на сентябрь 2014 г., он был завершен к моменту начала сессии Ассамблей ВОИС.</w:t>
      </w:r>
    </w:p>
    <w:p w:rsidR="00BF61DC" w:rsidRPr="00BF61DC" w:rsidRDefault="00BF61DC" w:rsidP="00BF61DC">
      <w:pPr>
        <w:jc w:val="both"/>
        <w:rPr>
          <w:rFonts w:cs="Arial"/>
          <w:szCs w:val="20"/>
          <w:highlight w:val="yellow"/>
          <w:lang w:val="ru-RU"/>
        </w:rPr>
      </w:pPr>
    </w:p>
    <w:p w:rsidR="00874089" w:rsidRDefault="00BF61DC" w:rsidP="00975156">
      <w:pPr>
        <w:pStyle w:val="ListParagraph"/>
        <w:numPr>
          <w:ilvl w:val="0"/>
          <w:numId w:val="136"/>
        </w:numPr>
        <w:tabs>
          <w:tab w:val="left" w:pos="567"/>
        </w:tabs>
        <w:ind w:left="0" w:firstLine="0"/>
        <w:jc w:val="both"/>
        <w:rPr>
          <w:lang w:val="ru-RU"/>
        </w:rPr>
      </w:pPr>
      <w:r w:rsidRPr="00BF61DC">
        <w:rPr>
          <w:lang w:val="ru-RU"/>
        </w:rPr>
        <w:t>В двухлетний период 2014–2015</w:t>
      </w:r>
      <w:r>
        <w:t> </w:t>
      </w:r>
      <w:r w:rsidRPr="00BF61DC">
        <w:rPr>
          <w:lang w:val="ru-RU"/>
        </w:rPr>
        <w:t>гг. также была завершена работа по некоторым важным достижениям в области охраны и безопасности, а по некоторым были достигнуты существенные результаты. Среди этих достижений открытие нового Центра доступа в здания комплекса ВОИС (стойка приема и обслуживания в здании АБ) и Операционного центра координации мер безопасности (</w:t>
      </w:r>
      <w:r>
        <w:t>SCOC</w:t>
      </w:r>
      <w:r w:rsidRPr="00BF61DC">
        <w:rPr>
          <w:lang w:val="ru-RU"/>
        </w:rPr>
        <w:t>) вовремя для обеспечения проведения двадцать второй сессии КПБ и Ассамблей ВОИС в 2014</w:t>
      </w:r>
      <w:r>
        <w:t> </w:t>
      </w:r>
      <w:r w:rsidRPr="00BF61DC">
        <w:rPr>
          <w:lang w:val="ru-RU"/>
        </w:rPr>
        <w:t>г., а также более 200 конференций и мероприятий в 2015</w:t>
      </w:r>
      <w:r>
        <w:t> </w:t>
      </w:r>
      <w:r w:rsidRPr="00BF61DC">
        <w:rPr>
          <w:lang w:val="ru-RU"/>
        </w:rPr>
        <w:t>г., в которых приняли участие сотрудники, делегаты, посетители и общественность.  Кроме того, в 2015</w:t>
      </w:r>
      <w:r>
        <w:t> </w:t>
      </w:r>
      <w:r w:rsidRPr="00BF61DC">
        <w:rPr>
          <w:lang w:val="ru-RU"/>
        </w:rPr>
        <w:t>г. был завершен проект «Минимальные оперативные стандарты безопасности штаб-квартиры» (</w:t>
      </w:r>
      <w:r>
        <w:t>H</w:t>
      </w:r>
      <w:r w:rsidRPr="00BF61DC">
        <w:rPr>
          <w:lang w:val="ru-RU"/>
        </w:rPr>
        <w:t>-</w:t>
      </w:r>
      <w:r>
        <w:t>MOSS</w:t>
      </w:r>
      <w:r w:rsidRPr="00BF61DC">
        <w:rPr>
          <w:lang w:val="ru-RU"/>
        </w:rPr>
        <w:t>), благодаря чему были значительно усилены механизмы охраны и безопасности на всей территории комплекса ВОИС.</w:t>
      </w:r>
    </w:p>
    <w:p w:rsidR="00975156" w:rsidRPr="00BF61DC" w:rsidRDefault="00975156" w:rsidP="00975156">
      <w:pPr>
        <w:pStyle w:val="ListParagraph"/>
        <w:tabs>
          <w:tab w:val="left" w:pos="567"/>
        </w:tabs>
        <w:ind w:left="0"/>
        <w:jc w:val="both"/>
        <w:rPr>
          <w:lang w:val="ru-RU"/>
        </w:rPr>
      </w:pPr>
    </w:p>
    <w:p w:rsidR="006221E7" w:rsidRPr="00A336D0" w:rsidRDefault="00915629" w:rsidP="00915629">
      <w:pPr>
        <w:pStyle w:val="Heading1"/>
        <w:tabs>
          <w:tab w:val="clear" w:pos="284"/>
          <w:tab w:val="left" w:pos="567"/>
        </w:tabs>
        <w:ind w:left="567" w:hanging="283"/>
        <w:jc w:val="left"/>
        <w:rPr>
          <w:lang w:val="ru-RU"/>
        </w:rPr>
      </w:pPr>
      <w:bookmarkStart w:id="13" w:name="_Toc392610022"/>
      <w:bookmarkStart w:id="14" w:name="_Toc455388096"/>
      <w:r w:rsidRPr="00A336D0">
        <w:rPr>
          <w:lang w:val="ru-RU"/>
        </w:rPr>
        <w:t>КОНСОЛИДИРОВАННЫЙ БЮДЖЕТ И ФАКТИЧЕСКИЕ РАСХОДЫ ЗА ПЕРИОД 2014-20</w:t>
      </w:r>
      <w:r w:rsidR="006221E7" w:rsidRPr="00A336D0">
        <w:rPr>
          <w:lang w:val="ru-RU"/>
        </w:rPr>
        <w:t>1</w:t>
      </w:r>
      <w:bookmarkEnd w:id="13"/>
      <w:r w:rsidR="006221E7" w:rsidRPr="00A336D0">
        <w:rPr>
          <w:lang w:val="ru-RU"/>
        </w:rPr>
        <w:t>5</w:t>
      </w:r>
      <w:r w:rsidRPr="00A336D0">
        <w:rPr>
          <w:lang w:val="ru-RU"/>
        </w:rPr>
        <w:t xml:space="preserve"> ГГ.</w:t>
      </w:r>
      <w:bookmarkEnd w:id="14"/>
    </w:p>
    <w:p w:rsidR="008F457D" w:rsidRPr="00915629" w:rsidRDefault="008F457D" w:rsidP="008F457D">
      <w:pPr>
        <w:keepNext/>
        <w:widowControl w:val="0"/>
        <w:rPr>
          <w:rFonts w:cs="Arial"/>
          <w:u w:val="single"/>
          <w:lang w:val="ru-RU"/>
        </w:rPr>
      </w:pPr>
    </w:p>
    <w:p w:rsidR="008F457D" w:rsidRPr="00915629" w:rsidRDefault="008F457D" w:rsidP="008F457D">
      <w:pPr>
        <w:keepNext/>
        <w:widowControl w:val="0"/>
        <w:rPr>
          <w:rFonts w:cs="Arial"/>
          <w:u w:val="single"/>
          <w:lang w:val="ru-RU"/>
        </w:rPr>
      </w:pPr>
    </w:p>
    <w:p w:rsidR="008F457D" w:rsidRPr="00975156" w:rsidRDefault="00472727" w:rsidP="008F457D">
      <w:pPr>
        <w:jc w:val="center"/>
        <w:rPr>
          <w:rFonts w:cs="Arial"/>
          <w:b/>
          <w:szCs w:val="20"/>
          <w:lang w:val="ru-RU"/>
        </w:rPr>
      </w:pPr>
      <w:r w:rsidRPr="00975156">
        <w:rPr>
          <w:rFonts w:cs="Arial"/>
          <w:b/>
          <w:szCs w:val="20"/>
          <w:lang w:val="ru-RU"/>
        </w:rPr>
        <w:t>Таблица</w:t>
      </w:r>
      <w:r w:rsidR="008F457D" w:rsidRPr="00975156">
        <w:rPr>
          <w:rFonts w:cs="Arial"/>
          <w:b/>
          <w:szCs w:val="20"/>
          <w:lang w:val="ru-RU"/>
        </w:rPr>
        <w:t xml:space="preserve"> 1:  </w:t>
      </w:r>
      <w:r w:rsidRPr="00975156">
        <w:rPr>
          <w:rFonts w:cs="Arial"/>
          <w:b/>
          <w:szCs w:val="20"/>
          <w:lang w:val="ru-RU"/>
        </w:rPr>
        <w:t xml:space="preserve">Краткий обзор за </w:t>
      </w:r>
      <w:r w:rsidR="00915629" w:rsidRPr="00975156">
        <w:rPr>
          <w:rFonts w:cs="Arial"/>
          <w:b/>
          <w:szCs w:val="20"/>
          <w:lang w:val="ru-RU"/>
        </w:rPr>
        <w:t xml:space="preserve">период </w:t>
      </w:r>
      <w:r w:rsidRPr="00975156">
        <w:rPr>
          <w:rFonts w:cs="Arial"/>
          <w:b/>
          <w:szCs w:val="20"/>
          <w:lang w:val="ru-RU"/>
        </w:rPr>
        <w:t xml:space="preserve">2014-2015 гг. в разбивке по программам </w:t>
      </w:r>
    </w:p>
    <w:p w:rsidR="008F457D" w:rsidRPr="008F457D" w:rsidRDefault="008F457D" w:rsidP="008F457D">
      <w:pPr>
        <w:jc w:val="center"/>
        <w:rPr>
          <w:rFonts w:cs="Arial"/>
          <w:i/>
          <w:sz w:val="18"/>
          <w:szCs w:val="16"/>
        </w:rPr>
      </w:pPr>
      <w:r w:rsidRPr="008F457D">
        <w:rPr>
          <w:rFonts w:cs="Arial"/>
          <w:i/>
          <w:sz w:val="18"/>
          <w:szCs w:val="16"/>
        </w:rPr>
        <w:t>(</w:t>
      </w:r>
      <w:r w:rsidR="00472727">
        <w:rPr>
          <w:rFonts w:cs="Arial"/>
          <w:i/>
          <w:sz w:val="18"/>
          <w:szCs w:val="16"/>
          <w:lang w:val="ru-RU"/>
        </w:rPr>
        <w:t>в</w:t>
      </w:r>
      <w:r w:rsidR="00472727" w:rsidRPr="00472727">
        <w:rPr>
          <w:rFonts w:cs="Arial"/>
          <w:i/>
          <w:sz w:val="18"/>
          <w:szCs w:val="16"/>
        </w:rPr>
        <w:t xml:space="preserve"> </w:t>
      </w:r>
      <w:r w:rsidR="00472727">
        <w:rPr>
          <w:rFonts w:cs="Arial"/>
          <w:i/>
          <w:sz w:val="18"/>
          <w:szCs w:val="16"/>
          <w:lang w:val="ru-RU"/>
        </w:rPr>
        <w:t>тыс</w:t>
      </w:r>
      <w:r w:rsidR="00472727" w:rsidRPr="00472727">
        <w:rPr>
          <w:rFonts w:cs="Arial"/>
          <w:i/>
          <w:sz w:val="18"/>
          <w:szCs w:val="16"/>
        </w:rPr>
        <w:t xml:space="preserve">. </w:t>
      </w:r>
      <w:r w:rsidR="00472727">
        <w:rPr>
          <w:rFonts w:cs="Arial"/>
          <w:i/>
          <w:sz w:val="18"/>
          <w:szCs w:val="16"/>
          <w:lang w:val="ru-RU"/>
        </w:rPr>
        <w:t>шв</w:t>
      </w:r>
      <w:r w:rsidR="00472727" w:rsidRPr="00472727">
        <w:rPr>
          <w:rFonts w:cs="Arial"/>
          <w:i/>
          <w:sz w:val="18"/>
          <w:szCs w:val="16"/>
        </w:rPr>
        <w:t xml:space="preserve">. </w:t>
      </w:r>
      <w:r w:rsidR="00472727">
        <w:rPr>
          <w:rFonts w:cs="Arial"/>
          <w:i/>
          <w:sz w:val="18"/>
          <w:szCs w:val="16"/>
          <w:lang w:val="ru-RU"/>
        </w:rPr>
        <w:t>франков</w:t>
      </w:r>
      <w:r w:rsidRPr="008F457D">
        <w:rPr>
          <w:rFonts w:cs="Arial"/>
          <w:i/>
          <w:sz w:val="18"/>
          <w:szCs w:val="16"/>
        </w:rPr>
        <w:t>)</w:t>
      </w:r>
    </w:p>
    <w:p w:rsidR="008F457D" w:rsidRDefault="008F457D" w:rsidP="008F457D">
      <w:pPr>
        <w:jc w:val="center"/>
        <w:rPr>
          <w:rFonts w:cs="Arial"/>
          <w:i/>
          <w:sz w:val="18"/>
          <w:szCs w:val="18"/>
        </w:rPr>
      </w:pPr>
    </w:p>
    <w:p w:rsidR="008F457D" w:rsidRDefault="00472727" w:rsidP="008F457D">
      <w:pPr>
        <w:jc w:val="center"/>
      </w:pPr>
      <w:r>
        <w:rPr>
          <w:noProof/>
        </w:rPr>
        <w:drawing>
          <wp:inline distT="0" distB="0" distL="0" distR="0" wp14:anchorId="7A0E2B48" wp14:editId="0C9F5B80">
            <wp:extent cx="5940425" cy="5642499"/>
            <wp:effectExtent l="0" t="0" r="317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0425" cy="5642499"/>
                    </a:xfrm>
                    <a:prstGeom prst="rect">
                      <a:avLst/>
                    </a:prstGeom>
                    <a:noFill/>
                    <a:ln>
                      <a:noFill/>
                    </a:ln>
                  </pic:spPr>
                </pic:pic>
              </a:graphicData>
            </a:graphic>
          </wp:inline>
        </w:drawing>
      </w:r>
    </w:p>
    <w:p w:rsidR="008F457D" w:rsidRDefault="008F457D" w:rsidP="008F457D"/>
    <w:p w:rsidR="00E63AD9" w:rsidRDefault="00E63AD9" w:rsidP="008F457D">
      <w:pPr>
        <w:jc w:val="center"/>
        <w:rPr>
          <w:rFonts w:cs="Arial"/>
          <w:b/>
          <w:sz w:val="18"/>
          <w:szCs w:val="18"/>
        </w:rPr>
      </w:pPr>
      <w:r>
        <w:rPr>
          <w:rFonts w:cs="Arial"/>
          <w:b/>
          <w:sz w:val="18"/>
          <w:szCs w:val="18"/>
        </w:rPr>
        <w:br w:type="page"/>
      </w:r>
    </w:p>
    <w:p w:rsidR="00E63AD9" w:rsidRPr="00975156" w:rsidRDefault="00472727" w:rsidP="00E3403E">
      <w:pPr>
        <w:jc w:val="center"/>
        <w:rPr>
          <w:rFonts w:cs="Arial"/>
          <w:b/>
          <w:szCs w:val="20"/>
          <w:lang w:val="ru-RU"/>
        </w:rPr>
      </w:pPr>
      <w:r w:rsidRPr="00975156">
        <w:rPr>
          <w:rFonts w:cs="Arial"/>
          <w:b/>
          <w:szCs w:val="20"/>
          <w:lang w:val="ru-RU"/>
        </w:rPr>
        <w:t>Таблица</w:t>
      </w:r>
      <w:r w:rsidR="008F457D" w:rsidRPr="00975156">
        <w:rPr>
          <w:rFonts w:cs="Arial"/>
          <w:b/>
          <w:szCs w:val="20"/>
          <w:lang w:val="ru-RU"/>
        </w:rPr>
        <w:t xml:space="preserve"> 2:</w:t>
      </w:r>
      <w:r w:rsidR="00E63AD9" w:rsidRPr="00975156">
        <w:rPr>
          <w:rFonts w:cs="Arial"/>
          <w:b/>
          <w:szCs w:val="20"/>
          <w:lang w:val="ru-RU"/>
        </w:rPr>
        <w:t xml:space="preserve"> </w:t>
      </w:r>
      <w:r w:rsidR="008F457D" w:rsidRPr="00975156">
        <w:rPr>
          <w:rFonts w:cs="Arial"/>
          <w:b/>
          <w:szCs w:val="20"/>
          <w:lang w:val="ru-RU"/>
        </w:rPr>
        <w:t xml:space="preserve"> </w:t>
      </w:r>
      <w:r w:rsidRPr="00975156">
        <w:rPr>
          <w:rFonts w:cs="Arial"/>
          <w:b/>
          <w:szCs w:val="20"/>
          <w:lang w:val="ru-RU"/>
        </w:rPr>
        <w:t xml:space="preserve">Краткий обзор за </w:t>
      </w:r>
      <w:r w:rsidR="00915629" w:rsidRPr="00975156">
        <w:rPr>
          <w:rFonts w:cs="Arial"/>
          <w:b/>
          <w:szCs w:val="20"/>
          <w:lang w:val="ru-RU"/>
        </w:rPr>
        <w:t xml:space="preserve">период </w:t>
      </w:r>
      <w:r w:rsidRPr="00975156">
        <w:rPr>
          <w:rFonts w:cs="Arial"/>
          <w:b/>
          <w:szCs w:val="20"/>
          <w:lang w:val="ru-RU"/>
        </w:rPr>
        <w:t>2014-2015 гг.</w:t>
      </w:r>
      <w:r w:rsidR="00E63AD9" w:rsidRPr="00975156">
        <w:rPr>
          <w:rFonts w:cs="Arial"/>
          <w:b/>
          <w:szCs w:val="20"/>
          <w:lang w:val="ru-RU"/>
        </w:rPr>
        <w:t xml:space="preserve"> </w:t>
      </w:r>
      <w:r w:rsidRPr="00975156">
        <w:rPr>
          <w:rFonts w:cs="Arial"/>
          <w:b/>
          <w:szCs w:val="20"/>
          <w:lang w:val="ru-RU"/>
        </w:rPr>
        <w:t>в разбивке по ожидаемым результатам</w:t>
      </w:r>
    </w:p>
    <w:p w:rsidR="00E63AD9" w:rsidRPr="00975156" w:rsidRDefault="00E63AD9" w:rsidP="00E3403E">
      <w:pPr>
        <w:jc w:val="center"/>
        <w:rPr>
          <w:rFonts w:cs="Arial"/>
          <w:i/>
          <w:szCs w:val="20"/>
        </w:rPr>
      </w:pPr>
      <w:r w:rsidRPr="00975156">
        <w:rPr>
          <w:rFonts w:cs="Arial"/>
          <w:i/>
          <w:szCs w:val="20"/>
        </w:rPr>
        <w:t>(</w:t>
      </w:r>
      <w:r w:rsidR="00472727" w:rsidRPr="00975156">
        <w:rPr>
          <w:rFonts w:cs="Arial"/>
          <w:i/>
          <w:szCs w:val="20"/>
          <w:lang w:val="ru-RU"/>
        </w:rPr>
        <w:t>в тыс</w:t>
      </w:r>
      <w:r w:rsidR="00472727" w:rsidRPr="00975156">
        <w:rPr>
          <w:rFonts w:cs="Arial"/>
          <w:i/>
          <w:szCs w:val="20"/>
        </w:rPr>
        <w:t xml:space="preserve">. </w:t>
      </w:r>
      <w:r w:rsidR="00472727" w:rsidRPr="00975156">
        <w:rPr>
          <w:rFonts w:cs="Arial"/>
          <w:i/>
          <w:szCs w:val="20"/>
          <w:lang w:val="ru-RU"/>
        </w:rPr>
        <w:t>шв</w:t>
      </w:r>
      <w:r w:rsidR="00472727" w:rsidRPr="00975156">
        <w:rPr>
          <w:rFonts w:cs="Arial"/>
          <w:i/>
          <w:szCs w:val="20"/>
        </w:rPr>
        <w:t xml:space="preserve">. </w:t>
      </w:r>
      <w:r w:rsidR="00472727" w:rsidRPr="00975156">
        <w:rPr>
          <w:rFonts w:cs="Arial"/>
          <w:i/>
          <w:szCs w:val="20"/>
          <w:lang w:val="ru-RU"/>
        </w:rPr>
        <w:t>франков</w:t>
      </w:r>
      <w:r w:rsidRPr="00975156">
        <w:rPr>
          <w:rFonts w:cs="Arial"/>
          <w:i/>
          <w:szCs w:val="20"/>
        </w:rPr>
        <w:t>)</w:t>
      </w:r>
    </w:p>
    <w:p w:rsidR="008F457D" w:rsidRDefault="00732C8F" w:rsidP="00472727">
      <w:pPr>
        <w:jc w:val="center"/>
        <w:rPr>
          <w:rFonts w:cs="Arial"/>
          <w:i/>
          <w:sz w:val="18"/>
          <w:szCs w:val="18"/>
        </w:rPr>
      </w:pPr>
      <w:r>
        <w:rPr>
          <w:rFonts w:cs="Arial"/>
          <w:i/>
          <w:noProof/>
          <w:sz w:val="18"/>
          <w:szCs w:val="18"/>
        </w:rPr>
        <w:drawing>
          <wp:inline distT="0" distB="0" distL="0" distR="0" wp14:anchorId="5885F805" wp14:editId="2688AC56">
            <wp:extent cx="4933507" cy="8378456"/>
            <wp:effectExtent l="0" t="0" r="635"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41292" cy="8391677"/>
                    </a:xfrm>
                    <a:prstGeom prst="rect">
                      <a:avLst/>
                    </a:prstGeom>
                    <a:noFill/>
                    <a:ln>
                      <a:noFill/>
                    </a:ln>
                  </pic:spPr>
                </pic:pic>
              </a:graphicData>
            </a:graphic>
          </wp:inline>
        </w:drawing>
      </w:r>
      <w:r w:rsidR="008F457D">
        <w:rPr>
          <w:rFonts w:cs="Arial"/>
          <w:i/>
          <w:sz w:val="18"/>
          <w:szCs w:val="18"/>
        </w:rPr>
        <w:br w:type="page"/>
      </w:r>
    </w:p>
    <w:p w:rsidR="0075764F" w:rsidRPr="00915629" w:rsidRDefault="00915629" w:rsidP="00915629">
      <w:pPr>
        <w:pStyle w:val="Heading1"/>
        <w:tabs>
          <w:tab w:val="clear" w:pos="284"/>
          <w:tab w:val="left" w:pos="567"/>
        </w:tabs>
        <w:ind w:left="567" w:hanging="283"/>
        <w:jc w:val="left"/>
        <w:rPr>
          <w:lang w:val="ru-RU"/>
        </w:rPr>
      </w:pPr>
      <w:bookmarkStart w:id="15" w:name="_Toc455388097"/>
      <w:r>
        <w:rPr>
          <w:lang w:val="ru-RU"/>
        </w:rPr>
        <w:t>ОТЧЕТ О РАСХОДАХ НА ЦЕЛИ РАЗВИТИЯ В 2014-2015 ГГ.</w:t>
      </w:r>
      <w:bookmarkEnd w:id="15"/>
    </w:p>
    <w:p w:rsidR="0075764F" w:rsidRPr="00915629" w:rsidRDefault="0075764F" w:rsidP="006221E7">
      <w:pPr>
        <w:jc w:val="both"/>
        <w:rPr>
          <w:lang w:val="ru-RU"/>
        </w:rPr>
      </w:pPr>
    </w:p>
    <w:p w:rsidR="00AF64A5" w:rsidRPr="00915629" w:rsidRDefault="00AF64A5" w:rsidP="006221E7">
      <w:pPr>
        <w:jc w:val="both"/>
        <w:rPr>
          <w:lang w:val="ru-RU"/>
        </w:rPr>
      </w:pPr>
    </w:p>
    <w:p w:rsidR="00915629" w:rsidRPr="000610AF" w:rsidRDefault="00915629" w:rsidP="00975156">
      <w:pPr>
        <w:pStyle w:val="ONUME"/>
        <w:numPr>
          <w:ilvl w:val="0"/>
          <w:numId w:val="90"/>
        </w:numPr>
        <w:jc w:val="both"/>
        <w:rPr>
          <w:rFonts w:eastAsia="MS Mincho"/>
          <w:lang w:val="ru-RU" w:eastAsia="ja-JP" w:bidi="th-TH"/>
        </w:rPr>
      </w:pPr>
      <w:r w:rsidRPr="000610AF">
        <w:rPr>
          <w:rFonts w:eastAsia="MS Mincho"/>
          <w:lang w:val="ru-RU" w:eastAsia="ja-JP" w:bidi="th-TH"/>
        </w:rPr>
        <w:t>В Программе и бюджете на 201</w:t>
      </w:r>
      <w:r>
        <w:rPr>
          <w:rFonts w:eastAsia="MS Mincho"/>
          <w:lang w:val="ru-RU" w:eastAsia="ja-JP" w:bidi="th-TH"/>
        </w:rPr>
        <w:t>4</w:t>
      </w:r>
      <w:r w:rsidRPr="000610AF">
        <w:rPr>
          <w:rFonts w:eastAsia="MS Mincho"/>
          <w:lang w:val="ru-RU" w:eastAsia="ja-JP" w:bidi="th-TH"/>
        </w:rPr>
        <w:t>–201</w:t>
      </w:r>
      <w:r>
        <w:rPr>
          <w:rFonts w:eastAsia="MS Mincho"/>
          <w:lang w:val="ru-RU" w:eastAsia="ja-JP" w:bidi="th-TH"/>
        </w:rPr>
        <w:t>5</w:t>
      </w:r>
      <w:r w:rsidRPr="000610AF">
        <w:rPr>
          <w:rFonts w:eastAsia="MS Mincho"/>
          <w:lang w:val="ru-RU" w:eastAsia="ja-JP" w:bidi="th-TH"/>
        </w:rPr>
        <w:t> гг. (таблица </w:t>
      </w:r>
      <w:r>
        <w:rPr>
          <w:rFonts w:eastAsia="MS Mincho"/>
          <w:lang w:val="ru-RU" w:eastAsia="ja-JP" w:bidi="th-TH"/>
        </w:rPr>
        <w:t>6</w:t>
      </w:r>
      <w:r w:rsidRPr="000610AF">
        <w:rPr>
          <w:rFonts w:eastAsia="MS Mincho"/>
          <w:lang w:val="ru-RU" w:eastAsia="ja-JP" w:bidi="th-TH"/>
        </w:rPr>
        <w:t xml:space="preserve">) представлена оценка расходов на цели развития за </w:t>
      </w:r>
      <w:r>
        <w:rPr>
          <w:rFonts w:eastAsia="MS Mincho"/>
          <w:lang w:val="ru-RU" w:eastAsia="ja-JP" w:bidi="th-TH"/>
        </w:rPr>
        <w:t xml:space="preserve">двухгодичный </w:t>
      </w:r>
      <w:r w:rsidRPr="000610AF">
        <w:rPr>
          <w:rFonts w:eastAsia="MS Mincho"/>
          <w:lang w:val="ru-RU" w:eastAsia="ja-JP" w:bidi="th-TH"/>
        </w:rPr>
        <w:t>период 201</w:t>
      </w:r>
      <w:r>
        <w:rPr>
          <w:rFonts w:eastAsia="MS Mincho"/>
          <w:lang w:val="ru-RU" w:eastAsia="ja-JP" w:bidi="th-TH"/>
        </w:rPr>
        <w:t>4</w:t>
      </w:r>
      <w:r w:rsidRPr="000610AF">
        <w:rPr>
          <w:rFonts w:eastAsia="MS Mincho"/>
          <w:lang w:val="ru-RU" w:eastAsia="ja-JP" w:bidi="th-TH"/>
        </w:rPr>
        <w:t>–201</w:t>
      </w:r>
      <w:r>
        <w:rPr>
          <w:rFonts w:eastAsia="MS Mincho"/>
          <w:lang w:val="ru-RU" w:eastAsia="ja-JP" w:bidi="th-TH"/>
        </w:rPr>
        <w:t>5</w:t>
      </w:r>
      <w:r w:rsidRPr="000610AF">
        <w:rPr>
          <w:rFonts w:eastAsia="MS Mincho"/>
          <w:lang w:val="ru-RU" w:eastAsia="ja-JP" w:bidi="th-TH"/>
        </w:rPr>
        <w:t xml:space="preserve"> гг. </w:t>
      </w:r>
      <w:r>
        <w:rPr>
          <w:rFonts w:eastAsia="MS Mincho"/>
          <w:lang w:val="ru-RU" w:eastAsia="ja-JP" w:bidi="th-TH"/>
        </w:rPr>
        <w:t xml:space="preserve">в разбивке </w:t>
      </w:r>
      <w:r w:rsidRPr="000610AF">
        <w:rPr>
          <w:rFonts w:eastAsia="MS Mincho"/>
          <w:lang w:val="ru-RU" w:eastAsia="ja-JP" w:bidi="th-TH"/>
        </w:rPr>
        <w:t xml:space="preserve">по </w:t>
      </w:r>
      <w:r>
        <w:rPr>
          <w:rFonts w:eastAsia="MS Mincho"/>
          <w:lang w:val="ru-RU" w:eastAsia="ja-JP" w:bidi="th-TH"/>
        </w:rPr>
        <w:t>п</w:t>
      </w:r>
      <w:r w:rsidRPr="000610AF">
        <w:rPr>
          <w:rFonts w:eastAsia="MS Mincho"/>
          <w:lang w:val="ru-RU" w:eastAsia="ja-JP" w:bidi="th-TH"/>
        </w:rPr>
        <w:t>рограмм</w:t>
      </w:r>
      <w:r>
        <w:rPr>
          <w:rFonts w:eastAsia="MS Mincho"/>
          <w:lang w:val="ru-RU" w:eastAsia="ja-JP" w:bidi="th-TH"/>
        </w:rPr>
        <w:t>ам</w:t>
      </w:r>
      <w:r w:rsidRPr="000610AF">
        <w:rPr>
          <w:rFonts w:eastAsia="MS Mincho"/>
          <w:lang w:val="ru-RU" w:eastAsia="ja-JP" w:bidi="th-TH"/>
        </w:rPr>
        <w:t xml:space="preserve"> (Программа и бюджет </w:t>
      </w:r>
      <w:r>
        <w:rPr>
          <w:rFonts w:eastAsia="MS Mincho"/>
          <w:lang w:val="ru-RU" w:eastAsia="ja-JP" w:bidi="th-TH"/>
        </w:rPr>
        <w:t>на</w:t>
      </w:r>
      <w:r w:rsidRPr="000610AF">
        <w:rPr>
          <w:rFonts w:eastAsia="MS Mincho"/>
          <w:lang w:val="ru-RU" w:eastAsia="ja-JP" w:bidi="th-TH"/>
        </w:rPr>
        <w:t xml:space="preserve"> 201</w:t>
      </w:r>
      <w:r>
        <w:rPr>
          <w:rFonts w:eastAsia="MS Mincho"/>
          <w:lang w:val="ru-RU" w:eastAsia="ja-JP" w:bidi="th-TH"/>
        </w:rPr>
        <w:t>4</w:t>
      </w:r>
      <w:r w:rsidRPr="000610AF">
        <w:rPr>
          <w:rFonts w:eastAsia="MS Mincho"/>
          <w:lang w:val="ru-RU" w:eastAsia="ja-JP" w:bidi="th-TH"/>
        </w:rPr>
        <w:t>–201</w:t>
      </w:r>
      <w:r>
        <w:rPr>
          <w:rFonts w:eastAsia="MS Mincho"/>
          <w:lang w:val="ru-RU" w:eastAsia="ja-JP" w:bidi="th-TH"/>
        </w:rPr>
        <w:t>5</w:t>
      </w:r>
      <w:r w:rsidRPr="000610AF">
        <w:rPr>
          <w:rFonts w:eastAsia="MS Mincho"/>
          <w:lang w:val="ru-RU" w:eastAsia="ja-JP" w:bidi="th-TH"/>
        </w:rPr>
        <w:t> гг., таблица </w:t>
      </w:r>
      <w:r>
        <w:rPr>
          <w:rFonts w:eastAsia="MS Mincho"/>
          <w:lang w:val="ru-RU" w:eastAsia="ja-JP" w:bidi="th-TH"/>
        </w:rPr>
        <w:t>6</w:t>
      </w:r>
      <w:r w:rsidRPr="000610AF">
        <w:rPr>
          <w:rFonts w:eastAsia="MS Mincho"/>
          <w:lang w:val="ru-RU" w:eastAsia="ja-JP" w:bidi="th-TH"/>
        </w:rPr>
        <w:t>) и ожидаем</w:t>
      </w:r>
      <w:r>
        <w:rPr>
          <w:rFonts w:eastAsia="MS Mincho"/>
          <w:lang w:val="ru-RU" w:eastAsia="ja-JP" w:bidi="th-TH"/>
        </w:rPr>
        <w:t>ы</w:t>
      </w:r>
      <w:r w:rsidRPr="000610AF">
        <w:rPr>
          <w:rFonts w:eastAsia="MS Mincho"/>
          <w:lang w:val="ru-RU" w:eastAsia="ja-JP" w:bidi="th-TH"/>
        </w:rPr>
        <w:t>м результат</w:t>
      </w:r>
      <w:r>
        <w:rPr>
          <w:rFonts w:eastAsia="MS Mincho"/>
          <w:lang w:val="ru-RU" w:eastAsia="ja-JP" w:bidi="th-TH"/>
        </w:rPr>
        <w:t>ам</w:t>
      </w:r>
      <w:r w:rsidRPr="000610AF">
        <w:rPr>
          <w:rFonts w:eastAsia="MS Mincho"/>
          <w:lang w:val="ru-RU" w:eastAsia="ja-JP" w:bidi="th-TH"/>
        </w:rPr>
        <w:t xml:space="preserve"> (Таблица результатов на странице 1</w:t>
      </w:r>
      <w:r>
        <w:rPr>
          <w:rFonts w:eastAsia="MS Mincho"/>
          <w:lang w:val="ru-RU" w:eastAsia="ja-JP" w:bidi="th-TH"/>
        </w:rPr>
        <w:t>4</w:t>
      </w:r>
      <w:r w:rsidRPr="000610AF">
        <w:rPr>
          <w:rFonts w:eastAsia="MS Mincho"/>
          <w:lang w:val="ru-RU" w:eastAsia="ja-JP" w:bidi="th-TH"/>
        </w:rPr>
        <w:t xml:space="preserve"> (английского текста) в Программе и бюджете </w:t>
      </w:r>
      <w:r>
        <w:rPr>
          <w:rFonts w:eastAsia="MS Mincho"/>
          <w:lang w:val="ru-RU" w:eastAsia="ja-JP" w:bidi="th-TH"/>
        </w:rPr>
        <w:t>на</w:t>
      </w:r>
      <w:r w:rsidRPr="000610AF">
        <w:rPr>
          <w:rFonts w:eastAsia="MS Mincho"/>
          <w:lang w:val="ru-RU" w:eastAsia="ja-JP" w:bidi="th-TH"/>
        </w:rPr>
        <w:t xml:space="preserve"> 201</w:t>
      </w:r>
      <w:r>
        <w:rPr>
          <w:rFonts w:eastAsia="MS Mincho"/>
          <w:lang w:val="ru-RU" w:eastAsia="ja-JP" w:bidi="th-TH"/>
        </w:rPr>
        <w:t>4</w:t>
      </w:r>
      <w:r w:rsidRPr="000610AF">
        <w:rPr>
          <w:rFonts w:eastAsia="MS Mincho"/>
          <w:lang w:val="ru-RU" w:eastAsia="ja-JP" w:bidi="th-TH"/>
        </w:rPr>
        <w:t>–201</w:t>
      </w:r>
      <w:r>
        <w:rPr>
          <w:rFonts w:eastAsia="MS Mincho"/>
          <w:lang w:val="ru-RU" w:eastAsia="ja-JP" w:bidi="th-TH"/>
        </w:rPr>
        <w:t>5 гг.).  В 2014-2015 гг. с</w:t>
      </w:r>
      <w:r w:rsidRPr="000610AF">
        <w:rPr>
          <w:rFonts w:eastAsia="MS Mincho"/>
          <w:lang w:val="ru-RU" w:eastAsia="ja-JP" w:bidi="th-TH"/>
        </w:rPr>
        <w:t>татья расходов может относиться к расходам на цели развития только в том случае, если бенефициаром является развивающаяся страна и если аналогичная статья расходов не предусмотрена для развитых стран. Эти суммы не включают упущенные поступления, связанные с сокращением размера пошлин, предусмотрен</w:t>
      </w:r>
      <w:r>
        <w:rPr>
          <w:rFonts w:eastAsia="MS Mincho"/>
          <w:lang w:val="ru-RU" w:eastAsia="ja-JP" w:bidi="th-TH"/>
        </w:rPr>
        <w:t>ным</w:t>
      </w:r>
      <w:r w:rsidRPr="000610AF">
        <w:rPr>
          <w:rFonts w:eastAsia="MS Mincho"/>
          <w:lang w:val="ru-RU" w:eastAsia="ja-JP" w:bidi="th-TH"/>
        </w:rPr>
        <w:t xml:space="preserve"> в рамках международных регистрационных систем для заявителей из развивающихся стран</w:t>
      </w:r>
      <w:r>
        <w:rPr>
          <w:rStyle w:val="FootnoteReference"/>
          <w:rFonts w:eastAsia="MS Mincho"/>
          <w:lang w:eastAsia="ja-JP" w:bidi="th-TH"/>
        </w:rPr>
        <w:footnoteReference w:id="7"/>
      </w:r>
      <w:r w:rsidRPr="00FB42DD">
        <w:rPr>
          <w:rFonts w:eastAsia="MS Mincho"/>
          <w:lang w:val="ru-RU" w:eastAsia="ja-JP" w:bidi="th-TH"/>
        </w:rPr>
        <w:t>.</w:t>
      </w:r>
      <w:r>
        <w:rPr>
          <w:rFonts w:eastAsia="MS Mincho"/>
          <w:lang w:val="ru-RU" w:eastAsia="ja-JP" w:bidi="th-TH"/>
        </w:rPr>
        <w:t xml:space="preserve">  В данном отчете</w:t>
      </w:r>
      <w:r w:rsidRPr="00FB42DD">
        <w:rPr>
          <w:rFonts w:eastAsia="MS Mincho"/>
          <w:lang w:val="ru-RU" w:eastAsia="ja-JP" w:bidi="th-TH"/>
        </w:rPr>
        <w:t xml:space="preserve"> представ</w:t>
      </w:r>
      <w:r>
        <w:rPr>
          <w:rFonts w:eastAsia="MS Mincho"/>
          <w:lang w:val="ru-RU" w:eastAsia="ja-JP" w:bidi="th-TH"/>
        </w:rPr>
        <w:t>лен обзор</w:t>
      </w:r>
      <w:r w:rsidRPr="00FB42DD">
        <w:rPr>
          <w:rFonts w:eastAsia="MS Mincho"/>
          <w:lang w:val="ru-RU" w:eastAsia="ja-JP" w:bidi="th-TH"/>
        </w:rPr>
        <w:t xml:space="preserve"> фактически</w:t>
      </w:r>
      <w:r>
        <w:rPr>
          <w:rFonts w:eastAsia="MS Mincho"/>
          <w:lang w:val="ru-RU" w:eastAsia="ja-JP" w:bidi="th-TH"/>
        </w:rPr>
        <w:t>х</w:t>
      </w:r>
      <w:r w:rsidRPr="00FB42DD">
        <w:rPr>
          <w:rFonts w:eastAsia="MS Mincho"/>
          <w:lang w:val="ru-RU" w:eastAsia="ja-JP" w:bidi="th-TH"/>
        </w:rPr>
        <w:t xml:space="preserve"> расходов на цели развития за </w:t>
      </w:r>
      <w:r>
        <w:rPr>
          <w:rFonts w:eastAsia="MS Mincho"/>
          <w:lang w:val="ru-RU" w:eastAsia="ja-JP" w:bidi="th-TH"/>
        </w:rPr>
        <w:t xml:space="preserve">двухгодичный </w:t>
      </w:r>
      <w:r w:rsidRPr="00FB42DD">
        <w:rPr>
          <w:rFonts w:eastAsia="MS Mincho"/>
          <w:lang w:val="ru-RU" w:eastAsia="ja-JP" w:bidi="th-TH"/>
        </w:rPr>
        <w:t>период 201</w:t>
      </w:r>
      <w:r>
        <w:rPr>
          <w:rFonts w:eastAsia="MS Mincho"/>
          <w:lang w:val="ru-RU" w:eastAsia="ja-JP" w:bidi="th-TH"/>
        </w:rPr>
        <w:t>4</w:t>
      </w:r>
      <w:r w:rsidRPr="00FB42DD">
        <w:rPr>
          <w:rFonts w:eastAsia="MS Mincho"/>
          <w:lang w:val="ru-RU" w:eastAsia="ja-JP" w:bidi="th-TH"/>
        </w:rPr>
        <w:t>–201</w:t>
      </w:r>
      <w:r>
        <w:rPr>
          <w:rFonts w:eastAsia="MS Mincho"/>
          <w:lang w:val="ru-RU" w:eastAsia="ja-JP" w:bidi="th-TH"/>
        </w:rPr>
        <w:t>5</w:t>
      </w:r>
      <w:r w:rsidRPr="00FB42DD">
        <w:rPr>
          <w:rFonts w:eastAsia="MS Mincho"/>
          <w:lang w:val="ru-RU" w:eastAsia="ja-JP" w:bidi="th-TH"/>
        </w:rPr>
        <w:t> гг.</w:t>
      </w:r>
    </w:p>
    <w:p w:rsidR="00915629" w:rsidRPr="00264305" w:rsidRDefault="00915629" w:rsidP="00BF61DC">
      <w:pPr>
        <w:pStyle w:val="ONUME"/>
        <w:numPr>
          <w:ilvl w:val="0"/>
          <w:numId w:val="90"/>
        </w:numPr>
        <w:rPr>
          <w:lang w:val="ru-RU"/>
        </w:rPr>
      </w:pPr>
      <w:r w:rsidRPr="00FB42DD">
        <w:rPr>
          <w:lang w:val="ru-RU"/>
        </w:rPr>
        <w:t>Следует помнить, что комплексная оценка расходов на цели развития была впервые представлена в пересмотренной Прогр</w:t>
      </w:r>
      <w:r>
        <w:rPr>
          <w:lang w:val="ru-RU"/>
        </w:rPr>
        <w:t xml:space="preserve">амме и бюджете на 2008–2009 гг.  </w:t>
      </w:r>
      <w:r w:rsidRPr="00FB42DD">
        <w:rPr>
          <w:lang w:val="ru-RU"/>
        </w:rPr>
        <w:t>Методология 2010–2011 гг., как и методология 2008–2009 гг.</w:t>
      </w:r>
      <w:r>
        <w:rPr>
          <w:lang w:val="ru-RU"/>
        </w:rPr>
        <w:t>,</w:t>
      </w:r>
      <w:r w:rsidRPr="00FB42DD">
        <w:rPr>
          <w:lang w:val="ru-RU"/>
        </w:rPr>
        <w:t xml:space="preserve"> основ</w:t>
      </w:r>
      <w:r>
        <w:rPr>
          <w:lang w:val="ru-RU"/>
        </w:rPr>
        <w:t>ывалась на</w:t>
      </w:r>
      <w:r w:rsidRPr="00FB42DD">
        <w:rPr>
          <w:lang w:val="ru-RU"/>
        </w:rPr>
        <w:t xml:space="preserve"> </w:t>
      </w:r>
      <w:r>
        <w:rPr>
          <w:lang w:val="ru-RU"/>
        </w:rPr>
        <w:t xml:space="preserve">обобщенных </w:t>
      </w:r>
      <w:r w:rsidRPr="00FB42DD">
        <w:rPr>
          <w:lang w:val="ru-RU"/>
        </w:rPr>
        <w:t>оценках на уровне</w:t>
      </w:r>
      <w:r>
        <w:rPr>
          <w:lang w:val="ru-RU"/>
        </w:rPr>
        <w:t xml:space="preserve"> программ.  В</w:t>
      </w:r>
      <w:r w:rsidRPr="00FB42DD">
        <w:rPr>
          <w:lang w:val="ru-RU"/>
        </w:rPr>
        <w:t xml:space="preserve"> 2012–2013 гг. этот подход был </w:t>
      </w:r>
      <w:r>
        <w:rPr>
          <w:lang w:val="ru-RU"/>
        </w:rPr>
        <w:t>существенно до</w:t>
      </w:r>
      <w:r w:rsidRPr="00FB42DD">
        <w:rPr>
          <w:lang w:val="ru-RU"/>
        </w:rPr>
        <w:t>работан на основе детального «восходящего» подхода с учетом уровня деятельности.</w:t>
      </w:r>
      <w:r>
        <w:rPr>
          <w:lang w:val="ru-RU"/>
        </w:rPr>
        <w:t xml:space="preserve">  Данный пересмотренный подход</w:t>
      </w:r>
      <w:r w:rsidRPr="00FB42DD">
        <w:rPr>
          <w:lang w:val="ru-RU"/>
        </w:rPr>
        <w:t xml:space="preserve">, дополненный </w:t>
      </w:r>
      <w:r>
        <w:rPr>
          <w:lang w:val="ru-RU"/>
        </w:rPr>
        <w:t xml:space="preserve">созданными </w:t>
      </w:r>
      <w:r w:rsidRPr="00FB42DD">
        <w:rPr>
          <w:lang w:val="ru-RU"/>
        </w:rPr>
        <w:t>механизмами отслеживания расходов на цели развити</w:t>
      </w:r>
      <w:r>
        <w:rPr>
          <w:lang w:val="ru-RU"/>
        </w:rPr>
        <w:t>я</w:t>
      </w:r>
      <w:r w:rsidRPr="00FB42DD">
        <w:rPr>
          <w:lang w:val="ru-RU"/>
        </w:rPr>
        <w:t xml:space="preserve"> через </w:t>
      </w:r>
      <w:r>
        <w:rPr>
          <w:lang w:val="ru-RU"/>
        </w:rPr>
        <w:t xml:space="preserve">систему </w:t>
      </w:r>
      <w:r w:rsidRPr="00FB42DD">
        <w:rPr>
          <w:lang w:val="ru-RU"/>
        </w:rPr>
        <w:t xml:space="preserve">ПОР, позволил сделать более точной отчетность по расходам на цели развития. </w:t>
      </w:r>
      <w:r>
        <w:rPr>
          <w:lang w:val="ru-RU"/>
        </w:rPr>
        <w:t xml:space="preserve"> </w:t>
      </w:r>
      <w:r w:rsidRPr="005C7E2F">
        <w:rPr>
          <w:lang w:val="ru-RU"/>
        </w:rPr>
        <w:t xml:space="preserve">Методология, </w:t>
      </w:r>
      <w:r>
        <w:rPr>
          <w:lang w:val="ru-RU"/>
        </w:rPr>
        <w:t>применявшаяся для</w:t>
      </w:r>
      <w:r w:rsidRPr="005C7E2F">
        <w:rPr>
          <w:lang w:val="ru-RU"/>
        </w:rPr>
        <w:t xml:space="preserve"> оценки доли расходов на цели развития</w:t>
      </w:r>
      <w:r>
        <w:rPr>
          <w:lang w:val="ru-RU"/>
        </w:rPr>
        <w:t xml:space="preserve"> в</w:t>
      </w:r>
      <w:r w:rsidRPr="005C7E2F">
        <w:rPr>
          <w:lang w:val="ru-RU"/>
        </w:rPr>
        <w:t xml:space="preserve"> бюджет</w:t>
      </w:r>
      <w:r>
        <w:rPr>
          <w:lang w:val="ru-RU"/>
        </w:rPr>
        <w:t>е</w:t>
      </w:r>
      <w:r w:rsidRPr="005C7E2F">
        <w:rPr>
          <w:lang w:val="ru-RU"/>
        </w:rPr>
        <w:t xml:space="preserve"> на 2014</w:t>
      </w:r>
      <w:r>
        <w:rPr>
          <w:lang w:val="ru-RU"/>
        </w:rPr>
        <w:t>-20</w:t>
      </w:r>
      <w:r w:rsidRPr="005C7E2F">
        <w:rPr>
          <w:lang w:val="ru-RU"/>
        </w:rPr>
        <w:t>15</w:t>
      </w:r>
      <w:r>
        <w:rPr>
          <w:lang w:val="ru-RU"/>
        </w:rPr>
        <w:t xml:space="preserve"> гг.,</w:t>
      </w:r>
      <w:r w:rsidRPr="005C7E2F">
        <w:rPr>
          <w:lang w:val="ru-RU"/>
        </w:rPr>
        <w:t xml:space="preserve"> полностью соответствует методологи</w:t>
      </w:r>
      <w:r>
        <w:rPr>
          <w:lang w:val="ru-RU"/>
        </w:rPr>
        <w:t>и</w:t>
      </w:r>
      <w:r w:rsidRPr="005C7E2F">
        <w:rPr>
          <w:lang w:val="ru-RU"/>
        </w:rPr>
        <w:t>, принятой в 2012</w:t>
      </w:r>
      <w:r>
        <w:rPr>
          <w:lang w:val="ru-RU"/>
        </w:rPr>
        <w:t>-20</w:t>
      </w:r>
      <w:r w:rsidRPr="005C7E2F">
        <w:rPr>
          <w:lang w:val="ru-RU"/>
        </w:rPr>
        <w:t>13</w:t>
      </w:r>
      <w:r>
        <w:rPr>
          <w:lang w:val="ru-RU"/>
        </w:rPr>
        <w:t xml:space="preserve"> гг., и согласуется с ней.  </w:t>
      </w:r>
      <w:r w:rsidRPr="005C7E2F">
        <w:rPr>
          <w:lang w:val="ru-RU"/>
        </w:rPr>
        <w:t xml:space="preserve">Этот механизм </w:t>
      </w:r>
      <w:r>
        <w:rPr>
          <w:lang w:val="ru-RU"/>
        </w:rPr>
        <w:t xml:space="preserve">был </w:t>
      </w:r>
      <w:r w:rsidRPr="005C7E2F">
        <w:rPr>
          <w:lang w:val="ru-RU"/>
        </w:rPr>
        <w:t>дораб</w:t>
      </w:r>
      <w:r>
        <w:rPr>
          <w:lang w:val="ru-RU"/>
        </w:rPr>
        <w:t>отан к двухгодичному периоду</w:t>
      </w:r>
      <w:r w:rsidRPr="005C7E2F">
        <w:rPr>
          <w:lang w:val="ru-RU"/>
        </w:rPr>
        <w:t xml:space="preserve"> 2014</w:t>
      </w:r>
      <w:r>
        <w:rPr>
          <w:lang w:val="ru-RU"/>
        </w:rPr>
        <w:t>-20</w:t>
      </w:r>
      <w:r w:rsidRPr="005C7E2F">
        <w:rPr>
          <w:lang w:val="ru-RU"/>
        </w:rPr>
        <w:t>15</w:t>
      </w:r>
      <w:r>
        <w:rPr>
          <w:lang w:val="ru-RU"/>
        </w:rPr>
        <w:t xml:space="preserve"> гг.</w:t>
      </w:r>
      <w:r w:rsidRPr="005C7E2F">
        <w:rPr>
          <w:lang w:val="ru-RU"/>
        </w:rPr>
        <w:t xml:space="preserve"> с введением более точной методологии распределения кадровых ресурсов на уровне деятельности. </w:t>
      </w:r>
      <w:r>
        <w:rPr>
          <w:lang w:val="ru-RU"/>
        </w:rPr>
        <w:t xml:space="preserve"> Т</w:t>
      </w:r>
      <w:r w:rsidRPr="005C7E2F">
        <w:rPr>
          <w:lang w:val="ru-RU"/>
        </w:rPr>
        <w:t xml:space="preserve">аким образом, </w:t>
      </w:r>
      <w:r>
        <w:rPr>
          <w:lang w:val="ru-RU"/>
        </w:rPr>
        <w:t xml:space="preserve">подборка сметных данных о расходах на цели развития </w:t>
      </w:r>
      <w:r w:rsidRPr="005C7E2F">
        <w:rPr>
          <w:lang w:val="ru-RU"/>
        </w:rPr>
        <w:t>в 2014</w:t>
      </w:r>
      <w:r>
        <w:rPr>
          <w:lang w:val="ru-RU"/>
        </w:rPr>
        <w:t>-20</w:t>
      </w:r>
      <w:r w:rsidRPr="005C7E2F">
        <w:rPr>
          <w:lang w:val="ru-RU"/>
        </w:rPr>
        <w:t>15</w:t>
      </w:r>
      <w:r>
        <w:rPr>
          <w:lang w:val="ru-RU"/>
        </w:rPr>
        <w:t xml:space="preserve"> гг. в разбивке </w:t>
      </w:r>
      <w:r w:rsidRPr="005C7E2F">
        <w:rPr>
          <w:lang w:val="ru-RU"/>
        </w:rPr>
        <w:t>по программ</w:t>
      </w:r>
      <w:r>
        <w:rPr>
          <w:lang w:val="ru-RU"/>
        </w:rPr>
        <w:t>ам</w:t>
      </w:r>
      <w:r w:rsidRPr="005C7E2F">
        <w:rPr>
          <w:lang w:val="ru-RU"/>
        </w:rPr>
        <w:t xml:space="preserve"> </w:t>
      </w:r>
      <w:r>
        <w:rPr>
          <w:lang w:val="ru-RU"/>
        </w:rPr>
        <w:t>составлялась на основе анализа деятельности по программам в разрезе</w:t>
      </w:r>
      <w:r w:rsidRPr="005C7E2F">
        <w:rPr>
          <w:lang w:val="ru-RU"/>
        </w:rPr>
        <w:t xml:space="preserve"> приведенного выше определения расходов на цели развития в тесном </w:t>
      </w:r>
      <w:r>
        <w:rPr>
          <w:lang w:val="ru-RU"/>
        </w:rPr>
        <w:t>взаимодействии</w:t>
      </w:r>
      <w:r w:rsidRPr="005C7E2F">
        <w:rPr>
          <w:lang w:val="ru-RU"/>
        </w:rPr>
        <w:t xml:space="preserve"> с руководителями программ</w:t>
      </w:r>
      <w:r w:rsidRPr="00FB42DD">
        <w:rPr>
          <w:lang w:val="ru-RU"/>
        </w:rPr>
        <w:t>.</w:t>
      </w:r>
      <w:r>
        <w:rPr>
          <w:lang w:val="ru-RU"/>
        </w:rPr>
        <w:t xml:space="preserve"> </w:t>
      </w:r>
    </w:p>
    <w:p w:rsidR="00915629" w:rsidRPr="00565345" w:rsidRDefault="00915629" w:rsidP="00BF61DC">
      <w:pPr>
        <w:pStyle w:val="ONUME"/>
        <w:numPr>
          <w:ilvl w:val="0"/>
          <w:numId w:val="90"/>
        </w:numPr>
        <w:jc w:val="both"/>
        <w:rPr>
          <w:lang w:val="ru-RU"/>
        </w:rPr>
      </w:pPr>
      <w:r w:rsidRPr="00565345">
        <w:rPr>
          <w:lang w:val="ru-RU"/>
        </w:rPr>
        <w:t xml:space="preserve">В таблицах 3 и 4 ниже представлен обзор </w:t>
      </w:r>
      <w:r>
        <w:rPr>
          <w:lang w:val="ru-RU"/>
        </w:rPr>
        <w:t>сметных</w:t>
      </w:r>
      <w:r w:rsidRPr="00565345">
        <w:rPr>
          <w:lang w:val="ru-RU"/>
        </w:rPr>
        <w:t xml:space="preserve"> расходов на</w:t>
      </w:r>
      <w:r>
        <w:rPr>
          <w:lang w:val="ru-RU"/>
        </w:rPr>
        <w:t xml:space="preserve"> цели</w:t>
      </w:r>
      <w:r w:rsidRPr="00565345">
        <w:rPr>
          <w:lang w:val="ru-RU"/>
        </w:rPr>
        <w:t xml:space="preserve"> развития в разбивке по программам и по ожидаем</w:t>
      </w:r>
      <w:r>
        <w:rPr>
          <w:lang w:val="ru-RU"/>
        </w:rPr>
        <w:t>ым</w:t>
      </w:r>
      <w:r w:rsidRPr="00565345">
        <w:rPr>
          <w:lang w:val="ru-RU"/>
        </w:rPr>
        <w:t xml:space="preserve"> результат</w:t>
      </w:r>
      <w:r>
        <w:rPr>
          <w:lang w:val="ru-RU"/>
        </w:rPr>
        <w:t>ам</w:t>
      </w:r>
      <w:r w:rsidRPr="00565345">
        <w:rPr>
          <w:lang w:val="ru-RU"/>
        </w:rPr>
        <w:t xml:space="preserve"> на основе </w:t>
      </w:r>
      <w:r>
        <w:rPr>
          <w:lang w:val="ru-RU"/>
        </w:rPr>
        <w:t>окончательного</w:t>
      </w:r>
      <w:r w:rsidRPr="00565345">
        <w:rPr>
          <w:lang w:val="ru-RU"/>
        </w:rPr>
        <w:t xml:space="preserve"> бюджета после </w:t>
      </w:r>
      <w:r>
        <w:rPr>
          <w:lang w:val="ru-RU"/>
        </w:rPr>
        <w:t>пе</w:t>
      </w:r>
      <w:r w:rsidRPr="00565345">
        <w:rPr>
          <w:lang w:val="ru-RU"/>
        </w:rPr>
        <w:t>р</w:t>
      </w:r>
      <w:r>
        <w:rPr>
          <w:lang w:val="ru-RU"/>
        </w:rPr>
        <w:t>ер</w:t>
      </w:r>
      <w:r w:rsidRPr="00565345">
        <w:rPr>
          <w:lang w:val="ru-RU"/>
        </w:rPr>
        <w:t xml:space="preserve">аспределения средств, </w:t>
      </w:r>
      <w:r>
        <w:rPr>
          <w:lang w:val="ru-RU"/>
        </w:rPr>
        <w:t>а</w:t>
      </w:r>
      <w:r w:rsidRPr="00565345">
        <w:rPr>
          <w:lang w:val="ru-RU"/>
        </w:rPr>
        <w:t xml:space="preserve"> также фактически</w:t>
      </w:r>
      <w:r>
        <w:rPr>
          <w:lang w:val="ru-RU"/>
        </w:rPr>
        <w:t>х</w:t>
      </w:r>
      <w:r w:rsidRPr="00565345">
        <w:rPr>
          <w:lang w:val="ru-RU"/>
        </w:rPr>
        <w:t xml:space="preserve"> расход</w:t>
      </w:r>
      <w:r>
        <w:rPr>
          <w:lang w:val="ru-RU"/>
        </w:rPr>
        <w:t>ов</w:t>
      </w:r>
      <w:r w:rsidRPr="00565345">
        <w:rPr>
          <w:lang w:val="ru-RU"/>
        </w:rPr>
        <w:t xml:space="preserve"> за период 201</w:t>
      </w:r>
      <w:r>
        <w:rPr>
          <w:lang w:val="ru-RU"/>
        </w:rPr>
        <w:t>4</w:t>
      </w:r>
      <w:r w:rsidRPr="00565345">
        <w:rPr>
          <w:lang w:val="ru-RU"/>
        </w:rPr>
        <w:t>–201</w:t>
      </w:r>
      <w:r>
        <w:rPr>
          <w:lang w:val="ru-RU"/>
        </w:rPr>
        <w:t xml:space="preserve">5 гг.  </w:t>
      </w:r>
      <w:r w:rsidRPr="00565345">
        <w:rPr>
          <w:lang w:val="ru-RU"/>
        </w:rPr>
        <w:t xml:space="preserve">Более подробная информация о </w:t>
      </w:r>
      <w:r>
        <w:rPr>
          <w:lang w:val="ru-RU"/>
        </w:rPr>
        <w:t xml:space="preserve">достигнутых </w:t>
      </w:r>
      <w:r w:rsidRPr="00565345">
        <w:rPr>
          <w:lang w:val="ru-RU"/>
        </w:rPr>
        <w:t xml:space="preserve">результатах </w:t>
      </w:r>
      <w:r>
        <w:rPr>
          <w:lang w:val="ru-RU"/>
        </w:rPr>
        <w:t xml:space="preserve">деятельности </w:t>
      </w:r>
      <w:r w:rsidRPr="00565345">
        <w:rPr>
          <w:lang w:val="ru-RU"/>
        </w:rPr>
        <w:t>в области развития и об освоении бюджета в течение этого двухгодичного периода содержится в разделах настоящего доклада</w:t>
      </w:r>
      <w:r>
        <w:rPr>
          <w:lang w:val="ru-RU"/>
        </w:rPr>
        <w:t>, где анализируются показатели реализации</w:t>
      </w:r>
      <w:r w:rsidRPr="00565345">
        <w:rPr>
          <w:lang w:val="ru-RU"/>
        </w:rPr>
        <w:t xml:space="preserve"> отдельны</w:t>
      </w:r>
      <w:r>
        <w:rPr>
          <w:lang w:val="ru-RU"/>
        </w:rPr>
        <w:t>х</w:t>
      </w:r>
      <w:r w:rsidRPr="00565345">
        <w:rPr>
          <w:lang w:val="ru-RU"/>
        </w:rPr>
        <w:t xml:space="preserve"> программ.</w:t>
      </w:r>
    </w:p>
    <w:p w:rsidR="00E63AD9" w:rsidRPr="00915629" w:rsidRDefault="00915629" w:rsidP="00BF61DC">
      <w:pPr>
        <w:pStyle w:val="ONUME"/>
        <w:numPr>
          <w:ilvl w:val="0"/>
          <w:numId w:val="90"/>
        </w:numPr>
        <w:jc w:val="both"/>
        <w:rPr>
          <w:lang w:val="ru-RU"/>
        </w:rPr>
      </w:pPr>
      <w:r w:rsidRPr="00735BD1">
        <w:rPr>
          <w:lang w:val="ru-RU"/>
        </w:rPr>
        <w:t xml:space="preserve">Пояснения различий между утвержденным бюджетом, </w:t>
      </w:r>
      <w:r>
        <w:rPr>
          <w:lang w:val="ru-RU"/>
        </w:rPr>
        <w:t xml:space="preserve">окончательным </w:t>
      </w:r>
      <w:r w:rsidRPr="00735BD1">
        <w:rPr>
          <w:lang w:val="ru-RU"/>
        </w:rPr>
        <w:t xml:space="preserve">бюджетом после </w:t>
      </w:r>
      <w:r>
        <w:rPr>
          <w:lang w:val="ru-RU"/>
        </w:rPr>
        <w:t>пере</w:t>
      </w:r>
      <w:r w:rsidRPr="00735BD1">
        <w:rPr>
          <w:lang w:val="ru-RU"/>
        </w:rPr>
        <w:t xml:space="preserve">распределения средств и фактическими расходами в </w:t>
      </w:r>
      <w:r>
        <w:rPr>
          <w:lang w:val="ru-RU"/>
        </w:rPr>
        <w:t>двухгодичный</w:t>
      </w:r>
      <w:r w:rsidRPr="00735BD1">
        <w:rPr>
          <w:lang w:val="ru-RU"/>
        </w:rPr>
        <w:t xml:space="preserve"> период 201</w:t>
      </w:r>
      <w:r>
        <w:rPr>
          <w:lang w:val="ru-RU"/>
        </w:rPr>
        <w:t>4</w:t>
      </w:r>
      <w:r w:rsidRPr="00735BD1">
        <w:rPr>
          <w:lang w:val="ru-RU"/>
        </w:rPr>
        <w:t>–201</w:t>
      </w:r>
      <w:r>
        <w:rPr>
          <w:lang w:val="ru-RU"/>
        </w:rPr>
        <w:t>5</w:t>
      </w:r>
      <w:r w:rsidRPr="00735BD1">
        <w:rPr>
          <w:lang w:val="ru-RU"/>
        </w:rPr>
        <w:t xml:space="preserve"> гг. представлены в комментариях </w:t>
      </w:r>
      <w:r>
        <w:rPr>
          <w:lang w:val="ru-RU"/>
        </w:rPr>
        <w:t>об освоении ресурсов по</w:t>
      </w:r>
      <w:r w:rsidRPr="00735BD1">
        <w:rPr>
          <w:lang w:val="ru-RU"/>
        </w:rPr>
        <w:t xml:space="preserve"> каждой </w:t>
      </w:r>
      <w:r>
        <w:rPr>
          <w:lang w:val="ru-RU"/>
        </w:rPr>
        <w:t>п</w:t>
      </w:r>
      <w:r w:rsidRPr="00735BD1">
        <w:rPr>
          <w:lang w:val="ru-RU"/>
        </w:rPr>
        <w:t>рограмм</w:t>
      </w:r>
      <w:r>
        <w:rPr>
          <w:lang w:val="ru-RU"/>
        </w:rPr>
        <w:t>е</w:t>
      </w:r>
      <w:r w:rsidRPr="00735BD1">
        <w:rPr>
          <w:lang w:val="ru-RU"/>
        </w:rPr>
        <w:t>.</w:t>
      </w:r>
      <w:r w:rsidR="00E63AD9" w:rsidRPr="00915629">
        <w:rPr>
          <w:lang w:val="ru-RU"/>
        </w:rPr>
        <w:t xml:space="preserve"> </w:t>
      </w:r>
    </w:p>
    <w:p w:rsidR="00E63AD9" w:rsidRPr="00732C8F" w:rsidRDefault="00472727" w:rsidP="00915629">
      <w:pPr>
        <w:keepNext/>
        <w:keepLines/>
        <w:jc w:val="center"/>
        <w:rPr>
          <w:rFonts w:cs="Arial"/>
          <w:b/>
          <w:szCs w:val="20"/>
          <w:lang w:val="ru-RU"/>
        </w:rPr>
      </w:pPr>
      <w:r w:rsidRPr="00732C8F">
        <w:rPr>
          <w:rFonts w:cs="Arial"/>
          <w:b/>
          <w:szCs w:val="20"/>
          <w:lang w:val="ru-RU"/>
        </w:rPr>
        <w:t>Таблица</w:t>
      </w:r>
      <w:r w:rsidR="00E63AD9" w:rsidRPr="00732C8F">
        <w:rPr>
          <w:rFonts w:cs="Arial"/>
          <w:b/>
          <w:szCs w:val="20"/>
          <w:lang w:val="ru-RU"/>
        </w:rPr>
        <w:t xml:space="preserve"> 3:  </w:t>
      </w:r>
      <w:r w:rsidRPr="00732C8F">
        <w:rPr>
          <w:rFonts w:cs="Arial"/>
          <w:b/>
          <w:szCs w:val="20"/>
          <w:lang w:val="ru-RU"/>
        </w:rPr>
        <w:t>Расходы на цели развития в 2014-2015 гг. в разбивке по программам</w:t>
      </w:r>
      <w:r w:rsidR="00E63AD9" w:rsidRPr="00732C8F">
        <w:rPr>
          <w:rFonts w:cs="Arial"/>
          <w:b/>
          <w:szCs w:val="20"/>
          <w:lang w:val="ru-RU"/>
        </w:rPr>
        <w:t xml:space="preserve"> </w:t>
      </w:r>
    </w:p>
    <w:p w:rsidR="00E63AD9" w:rsidRDefault="00E63AD9" w:rsidP="00915629">
      <w:pPr>
        <w:keepNext/>
        <w:keepLines/>
        <w:jc w:val="center"/>
        <w:rPr>
          <w:rFonts w:cs="Arial"/>
          <w:i/>
          <w:sz w:val="18"/>
          <w:szCs w:val="18"/>
        </w:rPr>
      </w:pPr>
      <w:r w:rsidRPr="00FD13E8">
        <w:rPr>
          <w:rFonts w:cs="Arial"/>
          <w:i/>
          <w:sz w:val="18"/>
          <w:szCs w:val="18"/>
        </w:rPr>
        <w:t>(</w:t>
      </w:r>
      <w:r w:rsidR="00472727">
        <w:rPr>
          <w:rFonts w:cs="Arial"/>
          <w:i/>
          <w:sz w:val="18"/>
          <w:szCs w:val="18"/>
          <w:lang w:val="ru-RU"/>
        </w:rPr>
        <w:t>в</w:t>
      </w:r>
      <w:r w:rsidR="00472727" w:rsidRPr="00472727">
        <w:rPr>
          <w:rFonts w:cs="Arial"/>
          <w:i/>
          <w:sz w:val="18"/>
          <w:szCs w:val="18"/>
        </w:rPr>
        <w:t xml:space="preserve"> </w:t>
      </w:r>
      <w:r w:rsidR="00472727">
        <w:rPr>
          <w:rFonts w:cs="Arial"/>
          <w:i/>
          <w:sz w:val="18"/>
          <w:szCs w:val="18"/>
          <w:lang w:val="ru-RU"/>
        </w:rPr>
        <w:t>тыс</w:t>
      </w:r>
      <w:r w:rsidR="00472727" w:rsidRPr="00472727">
        <w:rPr>
          <w:rFonts w:cs="Arial"/>
          <w:i/>
          <w:sz w:val="18"/>
          <w:szCs w:val="18"/>
        </w:rPr>
        <w:t xml:space="preserve">. </w:t>
      </w:r>
      <w:r w:rsidR="00472727">
        <w:rPr>
          <w:rFonts w:cs="Arial"/>
          <w:i/>
          <w:sz w:val="18"/>
          <w:szCs w:val="18"/>
          <w:lang w:val="ru-RU"/>
        </w:rPr>
        <w:t>шв</w:t>
      </w:r>
      <w:r w:rsidR="00472727" w:rsidRPr="00472727">
        <w:rPr>
          <w:rFonts w:cs="Arial"/>
          <w:i/>
          <w:sz w:val="18"/>
          <w:szCs w:val="18"/>
        </w:rPr>
        <w:t xml:space="preserve">. </w:t>
      </w:r>
      <w:r w:rsidR="00472727">
        <w:rPr>
          <w:rFonts w:cs="Arial"/>
          <w:i/>
          <w:sz w:val="18"/>
          <w:szCs w:val="18"/>
          <w:lang w:val="ru-RU"/>
        </w:rPr>
        <w:t>франков</w:t>
      </w:r>
      <w:r w:rsidRPr="00FD13E8">
        <w:rPr>
          <w:rFonts w:cs="Arial"/>
          <w:i/>
          <w:sz w:val="18"/>
          <w:szCs w:val="18"/>
        </w:rPr>
        <w:t>)</w:t>
      </w:r>
    </w:p>
    <w:p w:rsidR="00E63AD9" w:rsidRDefault="00472727" w:rsidP="00E3403E">
      <w:r w:rsidRPr="00472727">
        <w:rPr>
          <w:noProof/>
        </w:rPr>
        <w:drawing>
          <wp:inline distT="0" distB="0" distL="0" distR="0" wp14:anchorId="644834E2" wp14:editId="4121B38B">
            <wp:extent cx="5940425" cy="3702175"/>
            <wp:effectExtent l="0" t="0" r="317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0425" cy="3702175"/>
                    </a:xfrm>
                    <a:prstGeom prst="rect">
                      <a:avLst/>
                    </a:prstGeom>
                    <a:noFill/>
                    <a:ln>
                      <a:noFill/>
                    </a:ln>
                  </pic:spPr>
                </pic:pic>
              </a:graphicData>
            </a:graphic>
          </wp:inline>
        </w:drawing>
      </w:r>
    </w:p>
    <w:p w:rsidR="00E63AD9" w:rsidRPr="00472727" w:rsidRDefault="00E63AD9" w:rsidP="00E3403E">
      <w:pPr>
        <w:rPr>
          <w:rFonts w:cs="Arial"/>
          <w:b/>
          <w:sz w:val="18"/>
          <w:szCs w:val="18"/>
          <w:lang w:val="ru-RU"/>
        </w:rPr>
      </w:pPr>
    </w:p>
    <w:p w:rsidR="00E63AD9" w:rsidRPr="00472727" w:rsidRDefault="00472727" w:rsidP="00E3403E">
      <w:pPr>
        <w:keepNext/>
        <w:keepLines/>
        <w:jc w:val="center"/>
        <w:rPr>
          <w:rFonts w:cs="Arial"/>
          <w:b/>
          <w:sz w:val="18"/>
          <w:szCs w:val="18"/>
          <w:lang w:val="ru-RU"/>
        </w:rPr>
      </w:pPr>
      <w:r>
        <w:rPr>
          <w:rFonts w:cs="Arial"/>
          <w:b/>
          <w:sz w:val="18"/>
          <w:szCs w:val="18"/>
          <w:lang w:val="ru-RU"/>
        </w:rPr>
        <w:t>Таблица</w:t>
      </w:r>
      <w:r w:rsidR="00E63AD9" w:rsidRPr="00472727">
        <w:rPr>
          <w:rFonts w:cs="Arial"/>
          <w:b/>
          <w:sz w:val="18"/>
          <w:szCs w:val="18"/>
          <w:lang w:val="ru-RU"/>
        </w:rPr>
        <w:t xml:space="preserve"> 4:  </w:t>
      </w:r>
      <w:r>
        <w:rPr>
          <w:rFonts w:cs="Arial"/>
          <w:b/>
          <w:sz w:val="18"/>
          <w:szCs w:val="18"/>
          <w:lang w:val="ru-RU"/>
        </w:rPr>
        <w:t>Расходы на цели развития в 2014-2015 гг. в разбивке по ожидаемым результатам</w:t>
      </w:r>
      <w:r w:rsidR="00E63AD9" w:rsidRPr="00472727">
        <w:rPr>
          <w:rFonts w:cs="Arial"/>
          <w:b/>
          <w:sz w:val="18"/>
          <w:szCs w:val="18"/>
          <w:lang w:val="ru-RU"/>
        </w:rPr>
        <w:t>*</w:t>
      </w:r>
    </w:p>
    <w:p w:rsidR="00E63AD9" w:rsidRDefault="00E63AD9" w:rsidP="00E3403E">
      <w:pPr>
        <w:keepNext/>
        <w:keepLines/>
        <w:jc w:val="center"/>
        <w:rPr>
          <w:rFonts w:cs="Arial"/>
          <w:i/>
          <w:sz w:val="18"/>
          <w:szCs w:val="18"/>
        </w:rPr>
      </w:pPr>
      <w:r w:rsidRPr="00FD13E8">
        <w:rPr>
          <w:rFonts w:cs="Arial"/>
          <w:i/>
          <w:sz w:val="18"/>
          <w:szCs w:val="18"/>
        </w:rPr>
        <w:t>(</w:t>
      </w:r>
      <w:r w:rsidR="00472727">
        <w:rPr>
          <w:rFonts w:cs="Arial"/>
          <w:i/>
          <w:sz w:val="18"/>
          <w:szCs w:val="18"/>
          <w:lang w:val="ru-RU"/>
        </w:rPr>
        <w:t>в</w:t>
      </w:r>
      <w:r w:rsidR="00472727" w:rsidRPr="00472727">
        <w:rPr>
          <w:rFonts w:cs="Arial"/>
          <w:i/>
          <w:sz w:val="18"/>
          <w:szCs w:val="18"/>
        </w:rPr>
        <w:t xml:space="preserve"> </w:t>
      </w:r>
      <w:r w:rsidR="00472727">
        <w:rPr>
          <w:rFonts w:cs="Arial"/>
          <w:i/>
          <w:sz w:val="18"/>
          <w:szCs w:val="18"/>
          <w:lang w:val="ru-RU"/>
        </w:rPr>
        <w:t>тыс</w:t>
      </w:r>
      <w:r w:rsidR="00472727" w:rsidRPr="00472727">
        <w:rPr>
          <w:rFonts w:cs="Arial"/>
          <w:i/>
          <w:sz w:val="18"/>
          <w:szCs w:val="18"/>
        </w:rPr>
        <w:t xml:space="preserve">. </w:t>
      </w:r>
      <w:r w:rsidR="00472727">
        <w:rPr>
          <w:rFonts w:cs="Arial"/>
          <w:i/>
          <w:sz w:val="18"/>
          <w:szCs w:val="18"/>
          <w:lang w:val="ru-RU"/>
        </w:rPr>
        <w:t>шв</w:t>
      </w:r>
      <w:r w:rsidR="00472727" w:rsidRPr="00472727">
        <w:rPr>
          <w:rFonts w:cs="Arial"/>
          <w:i/>
          <w:sz w:val="18"/>
          <w:szCs w:val="18"/>
        </w:rPr>
        <w:t xml:space="preserve">. </w:t>
      </w:r>
      <w:r w:rsidR="00472727">
        <w:rPr>
          <w:rFonts w:cs="Arial"/>
          <w:i/>
          <w:sz w:val="18"/>
          <w:szCs w:val="18"/>
          <w:lang w:val="ru-RU"/>
        </w:rPr>
        <w:t>франков</w:t>
      </w:r>
      <w:r w:rsidRPr="00FD13E8">
        <w:rPr>
          <w:rFonts w:cs="Arial"/>
          <w:i/>
          <w:sz w:val="18"/>
          <w:szCs w:val="18"/>
        </w:rPr>
        <w:t>)</w:t>
      </w:r>
    </w:p>
    <w:p w:rsidR="00AF64A5" w:rsidRPr="00472727" w:rsidRDefault="00732C8F" w:rsidP="00472727">
      <w:pPr>
        <w:keepNext/>
        <w:keepLines/>
        <w:jc w:val="center"/>
        <w:rPr>
          <w:rFonts w:cs="Arial"/>
          <w:i/>
          <w:sz w:val="18"/>
          <w:szCs w:val="18"/>
          <w:lang w:val="ru-RU"/>
        </w:rPr>
      </w:pPr>
      <w:r>
        <w:rPr>
          <w:rFonts w:cs="Arial"/>
          <w:i/>
          <w:noProof/>
          <w:sz w:val="18"/>
          <w:szCs w:val="18"/>
        </w:rPr>
        <w:drawing>
          <wp:inline distT="0" distB="0" distL="0" distR="0" wp14:anchorId="44F1B57C" wp14:editId="07CC35A9">
            <wp:extent cx="5103627" cy="8520222"/>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117150" cy="8542798"/>
                    </a:xfrm>
                    <a:prstGeom prst="rect">
                      <a:avLst/>
                    </a:prstGeom>
                    <a:noFill/>
                    <a:ln>
                      <a:noFill/>
                    </a:ln>
                  </pic:spPr>
                </pic:pic>
              </a:graphicData>
            </a:graphic>
          </wp:inline>
        </w:drawing>
      </w:r>
    </w:p>
    <w:p w:rsidR="0075764F" w:rsidRDefault="0075764F">
      <w:r>
        <w:br w:type="page"/>
      </w:r>
    </w:p>
    <w:p w:rsidR="00AF64A5" w:rsidRDefault="00AF64A5"/>
    <w:p w:rsidR="002D647F" w:rsidRPr="00D37AFF" w:rsidRDefault="002D647F" w:rsidP="004105A7">
      <w:pPr>
        <w:pStyle w:val="Heading1"/>
        <w:tabs>
          <w:tab w:val="clear" w:pos="284"/>
          <w:tab w:val="left" w:pos="270"/>
        </w:tabs>
        <w:spacing w:before="0" w:after="0"/>
        <w:ind w:left="270" w:hanging="270"/>
        <w:jc w:val="left"/>
        <w:rPr>
          <w:lang w:val="ru-RU"/>
        </w:rPr>
      </w:pPr>
      <w:bookmarkStart w:id="16" w:name="_Toc455388098"/>
      <w:bookmarkStart w:id="17" w:name="_Toc391987560"/>
      <w:r w:rsidRPr="00D37AFF">
        <w:rPr>
          <w:rFonts w:eastAsiaTheme="minorHAnsi"/>
          <w:lang w:val="ru-RU"/>
        </w:rPr>
        <w:t>ОТЧЕТ О РЕАЛИЗАЦИИ МЕР ПО ОБЕСПЕЧЕНИЮ ЭКОНОМИЧЕСКОЙ ЭФФЕКТИВНОСТИ В ТЕЧЕНИЕ ДВУХГОДИЧНОГО ПЕРИОДА 2014–2015</w:t>
      </w:r>
      <w:r w:rsidRPr="00D37AFF">
        <w:rPr>
          <w:rFonts w:eastAsiaTheme="minorHAnsi"/>
        </w:rPr>
        <w:t> </w:t>
      </w:r>
      <w:r w:rsidRPr="00D37AFF">
        <w:rPr>
          <w:rFonts w:eastAsiaTheme="minorHAnsi"/>
          <w:lang w:val="ru-RU"/>
        </w:rPr>
        <w:t>ГГ.</w:t>
      </w:r>
      <w:bookmarkEnd w:id="16"/>
      <w:r w:rsidRPr="0048186F">
        <w:rPr>
          <w:rFonts w:eastAsiaTheme="minorHAnsi" w:hint="eastAsia"/>
        </w:rPr>
        <w:t> </w:t>
      </w:r>
      <w:bookmarkEnd w:id="17"/>
      <w:r w:rsidRPr="00D37AFF">
        <w:rPr>
          <w:lang w:val="ru-RU"/>
        </w:rPr>
        <w:t xml:space="preserve"> </w:t>
      </w:r>
    </w:p>
    <w:p w:rsidR="002D647F" w:rsidRPr="00D37AFF" w:rsidRDefault="002D647F" w:rsidP="002D647F">
      <w:pPr>
        <w:rPr>
          <w:b/>
          <w:lang w:val="ru-RU"/>
        </w:rPr>
      </w:pPr>
    </w:p>
    <w:p w:rsidR="002D647F" w:rsidRPr="00D37AFF" w:rsidRDefault="002D647F" w:rsidP="002D647F">
      <w:pPr>
        <w:jc w:val="center"/>
        <w:rPr>
          <w:b/>
          <w:lang w:val="ru-RU"/>
        </w:rPr>
      </w:pPr>
    </w:p>
    <w:p w:rsidR="002D647F" w:rsidRPr="00D37AFF" w:rsidRDefault="002D647F" w:rsidP="002D647F">
      <w:pPr>
        <w:jc w:val="center"/>
        <w:rPr>
          <w:b/>
          <w:lang w:val="ru-RU"/>
        </w:rPr>
      </w:pPr>
    </w:p>
    <w:p w:rsidR="002D647F" w:rsidRPr="00D37AFF" w:rsidRDefault="002D647F" w:rsidP="002D647F">
      <w:pPr>
        <w:jc w:val="center"/>
        <w:rPr>
          <w:lang w:val="ru-RU"/>
        </w:rPr>
      </w:pPr>
      <w:r>
        <w:rPr>
          <w:lang w:val="ru-RU"/>
        </w:rPr>
        <w:t xml:space="preserve">ПОВЫШЕНИЕ ЭФФЕКТИВНОСТИ, ДОСТИГНУТОЕ В </w:t>
      </w:r>
      <w:r w:rsidRPr="00D37AFF">
        <w:rPr>
          <w:lang w:val="ru-RU"/>
        </w:rPr>
        <w:t>2014–2015</w:t>
      </w:r>
      <w:r w:rsidRPr="00D37AFF">
        <w:t> </w:t>
      </w:r>
      <w:r w:rsidRPr="00D37AFF">
        <w:rPr>
          <w:lang w:val="ru-RU"/>
        </w:rPr>
        <w:t>ГГ.</w:t>
      </w:r>
      <w:r>
        <w:rPr>
          <w:lang w:val="ru-RU"/>
        </w:rPr>
        <w:t xml:space="preserve"> </w:t>
      </w:r>
    </w:p>
    <w:p w:rsidR="002D647F" w:rsidRPr="00D37AFF" w:rsidRDefault="002D647F" w:rsidP="002D647F">
      <w:pPr>
        <w:rPr>
          <w:lang w:val="ru-RU"/>
        </w:rPr>
      </w:pPr>
    </w:p>
    <w:tbl>
      <w:tblPr>
        <w:tblW w:w="5000" w:type="pct"/>
        <w:tblInd w:w="-176" w:type="dxa"/>
        <w:tblLayout w:type="fixed"/>
        <w:tblCellMar>
          <w:top w:w="85" w:type="dxa"/>
        </w:tblCellMar>
        <w:tblLook w:val="04A0" w:firstRow="1" w:lastRow="0" w:firstColumn="1" w:lastColumn="0" w:noHBand="0" w:noVBand="1"/>
      </w:tblPr>
      <w:tblGrid>
        <w:gridCol w:w="1942"/>
        <w:gridCol w:w="1127"/>
        <w:gridCol w:w="1015"/>
        <w:gridCol w:w="1556"/>
        <w:gridCol w:w="1667"/>
        <w:gridCol w:w="2264"/>
      </w:tblGrid>
      <w:tr w:rsidR="00506508" w:rsidRPr="00506508" w:rsidTr="00506508">
        <w:trPr>
          <w:trHeight w:val="1229"/>
          <w:tblHeader/>
        </w:trPr>
        <w:tc>
          <w:tcPr>
            <w:tcW w:w="1014" w:type="pct"/>
            <w:tcBorders>
              <w:top w:val="single" w:sz="4" w:space="0" w:color="auto"/>
              <w:left w:val="single" w:sz="4" w:space="0" w:color="auto"/>
              <w:bottom w:val="single" w:sz="4" w:space="0" w:color="auto"/>
              <w:right w:val="single" w:sz="4" w:space="0" w:color="auto"/>
            </w:tcBorders>
            <w:shd w:val="clear" w:color="000000" w:fill="8DB4E2"/>
            <w:vAlign w:val="center"/>
            <w:hideMark/>
          </w:tcPr>
          <w:p w:rsidR="002D647F" w:rsidRPr="00506508" w:rsidRDefault="002D647F" w:rsidP="002D647F">
            <w:pPr>
              <w:jc w:val="center"/>
              <w:rPr>
                <w:b/>
                <w:bCs/>
                <w:color w:val="000000"/>
                <w:sz w:val="16"/>
                <w:szCs w:val="16"/>
              </w:rPr>
            </w:pPr>
            <w:r w:rsidRPr="00506508">
              <w:rPr>
                <w:b/>
                <w:bCs/>
                <w:color w:val="000000"/>
                <w:sz w:val="16"/>
                <w:szCs w:val="16"/>
                <w:lang w:val="ru-RU"/>
              </w:rPr>
              <w:t>ПОВЫШЕНИЕ ЭФФЕКТИВНОСТИ</w:t>
            </w:r>
            <w:r w:rsidRPr="00506508">
              <w:rPr>
                <w:b/>
                <w:bCs/>
                <w:color w:val="000000"/>
                <w:sz w:val="16"/>
                <w:szCs w:val="16"/>
              </w:rPr>
              <w:t xml:space="preserve"> </w:t>
            </w:r>
          </w:p>
          <w:p w:rsidR="002D647F" w:rsidRPr="00506508" w:rsidRDefault="002D647F" w:rsidP="002D647F">
            <w:pPr>
              <w:jc w:val="center"/>
              <w:rPr>
                <w:b/>
                <w:bCs/>
                <w:color w:val="000000"/>
                <w:sz w:val="16"/>
                <w:szCs w:val="16"/>
              </w:rPr>
            </w:pPr>
          </w:p>
          <w:p w:rsidR="002D647F" w:rsidRPr="00506508" w:rsidRDefault="002D647F" w:rsidP="002D647F">
            <w:pPr>
              <w:jc w:val="center"/>
              <w:rPr>
                <w:b/>
                <w:bCs/>
                <w:color w:val="000000"/>
                <w:sz w:val="16"/>
                <w:szCs w:val="16"/>
              </w:rPr>
            </w:pPr>
          </w:p>
          <w:p w:rsidR="002D647F" w:rsidRPr="00506508" w:rsidRDefault="002D647F" w:rsidP="002D647F">
            <w:pPr>
              <w:jc w:val="center"/>
              <w:rPr>
                <w:b/>
                <w:bCs/>
                <w:color w:val="000000"/>
                <w:sz w:val="16"/>
                <w:szCs w:val="16"/>
              </w:rPr>
            </w:pPr>
          </w:p>
          <w:p w:rsidR="002D647F" w:rsidRPr="00506508" w:rsidRDefault="002D647F" w:rsidP="002D647F">
            <w:pPr>
              <w:jc w:val="center"/>
              <w:rPr>
                <w:b/>
                <w:bCs/>
                <w:color w:val="000000"/>
                <w:sz w:val="16"/>
                <w:szCs w:val="16"/>
              </w:rPr>
            </w:pPr>
          </w:p>
          <w:p w:rsidR="002D647F" w:rsidRPr="00506508" w:rsidRDefault="002D647F" w:rsidP="002D647F">
            <w:pPr>
              <w:jc w:val="center"/>
              <w:rPr>
                <w:b/>
                <w:bCs/>
                <w:color w:val="000000"/>
                <w:sz w:val="16"/>
                <w:szCs w:val="16"/>
              </w:rPr>
            </w:pPr>
            <w:r w:rsidRPr="00506508">
              <w:rPr>
                <w:b/>
                <w:bCs/>
                <w:color w:val="000000"/>
                <w:sz w:val="16"/>
                <w:szCs w:val="16"/>
              </w:rPr>
              <w:t>A</w:t>
            </w:r>
          </w:p>
        </w:tc>
        <w:tc>
          <w:tcPr>
            <w:tcW w:w="589" w:type="pct"/>
            <w:tcBorders>
              <w:top w:val="single" w:sz="4" w:space="0" w:color="auto"/>
              <w:left w:val="nil"/>
              <w:bottom w:val="single" w:sz="4" w:space="0" w:color="auto"/>
              <w:right w:val="single" w:sz="4" w:space="0" w:color="auto"/>
            </w:tcBorders>
            <w:shd w:val="clear" w:color="000000" w:fill="8DB4E2"/>
            <w:vAlign w:val="center"/>
            <w:hideMark/>
          </w:tcPr>
          <w:p w:rsidR="002D647F" w:rsidRPr="00506508" w:rsidRDefault="002D647F" w:rsidP="002D647F">
            <w:pPr>
              <w:jc w:val="center"/>
              <w:rPr>
                <w:b/>
                <w:bCs/>
                <w:color w:val="000000"/>
                <w:sz w:val="16"/>
                <w:szCs w:val="16"/>
                <w:lang w:val="ru-RU"/>
              </w:rPr>
            </w:pPr>
            <w:r w:rsidRPr="00506508">
              <w:rPr>
                <w:b/>
                <w:bCs/>
                <w:color w:val="000000"/>
                <w:sz w:val="16"/>
                <w:szCs w:val="16"/>
                <w:lang w:val="ru-RU"/>
              </w:rPr>
              <w:t xml:space="preserve">2014 г. </w:t>
            </w:r>
            <w:r w:rsidRPr="00506508">
              <w:rPr>
                <w:b/>
                <w:bCs/>
                <w:color w:val="000000"/>
                <w:sz w:val="16"/>
                <w:szCs w:val="16"/>
                <w:lang w:val="ru-RU"/>
              </w:rPr>
              <w:br/>
              <w:t>Годовая экономия</w:t>
            </w:r>
            <w:r w:rsidRPr="00506508">
              <w:rPr>
                <w:b/>
                <w:bCs/>
                <w:color w:val="000000"/>
                <w:sz w:val="16"/>
                <w:szCs w:val="16"/>
                <w:lang w:val="ru-RU"/>
              </w:rPr>
              <w:br/>
              <w:t>(в шв. фр.)*</w:t>
            </w:r>
          </w:p>
          <w:p w:rsidR="002D647F" w:rsidRPr="00506508" w:rsidRDefault="002D647F" w:rsidP="002D647F">
            <w:pPr>
              <w:jc w:val="center"/>
              <w:rPr>
                <w:b/>
                <w:bCs/>
                <w:color w:val="000000"/>
                <w:sz w:val="16"/>
                <w:szCs w:val="16"/>
                <w:lang w:val="ru-RU"/>
              </w:rPr>
            </w:pPr>
          </w:p>
          <w:p w:rsidR="002D647F" w:rsidRPr="00506508" w:rsidRDefault="002D647F" w:rsidP="002D647F">
            <w:pPr>
              <w:jc w:val="center"/>
              <w:rPr>
                <w:b/>
                <w:bCs/>
                <w:color w:val="000000"/>
                <w:sz w:val="16"/>
                <w:szCs w:val="16"/>
              </w:rPr>
            </w:pPr>
            <w:r w:rsidRPr="00506508">
              <w:rPr>
                <w:b/>
                <w:bCs/>
                <w:color w:val="000000"/>
                <w:sz w:val="16"/>
                <w:szCs w:val="16"/>
              </w:rPr>
              <w:t>B</w:t>
            </w:r>
          </w:p>
        </w:tc>
        <w:tc>
          <w:tcPr>
            <w:tcW w:w="530" w:type="pct"/>
            <w:tcBorders>
              <w:top w:val="single" w:sz="4" w:space="0" w:color="auto"/>
              <w:left w:val="nil"/>
              <w:bottom w:val="single" w:sz="4" w:space="0" w:color="auto"/>
              <w:right w:val="single" w:sz="4" w:space="0" w:color="auto"/>
            </w:tcBorders>
            <w:shd w:val="clear" w:color="000000" w:fill="8DB4E2"/>
            <w:vAlign w:val="center"/>
            <w:hideMark/>
          </w:tcPr>
          <w:p w:rsidR="002D647F" w:rsidRPr="00506508" w:rsidRDefault="002D647F" w:rsidP="002D647F">
            <w:pPr>
              <w:jc w:val="center"/>
              <w:rPr>
                <w:b/>
                <w:bCs/>
                <w:color w:val="000000"/>
                <w:sz w:val="16"/>
                <w:szCs w:val="16"/>
                <w:lang w:val="ru-RU"/>
              </w:rPr>
            </w:pPr>
            <w:r w:rsidRPr="00506508">
              <w:rPr>
                <w:b/>
                <w:bCs/>
                <w:color w:val="000000"/>
                <w:sz w:val="16"/>
                <w:szCs w:val="16"/>
                <w:lang w:val="ru-RU"/>
              </w:rPr>
              <w:t xml:space="preserve">2015 г. </w:t>
            </w:r>
            <w:r w:rsidRPr="00506508">
              <w:rPr>
                <w:b/>
                <w:bCs/>
                <w:color w:val="000000"/>
                <w:sz w:val="16"/>
                <w:szCs w:val="16"/>
                <w:lang w:val="ru-RU"/>
              </w:rPr>
              <w:br/>
              <w:t>Годовая экономия</w:t>
            </w:r>
            <w:r w:rsidRPr="00506508">
              <w:rPr>
                <w:b/>
                <w:bCs/>
                <w:color w:val="000000"/>
                <w:sz w:val="16"/>
                <w:szCs w:val="16"/>
                <w:lang w:val="ru-RU"/>
              </w:rPr>
              <w:br/>
              <w:t>(в шв. фр.)**</w:t>
            </w:r>
          </w:p>
          <w:p w:rsidR="002D647F" w:rsidRPr="00506508" w:rsidRDefault="002D647F" w:rsidP="002D647F">
            <w:pPr>
              <w:jc w:val="center"/>
              <w:rPr>
                <w:b/>
                <w:bCs/>
                <w:color w:val="000000"/>
                <w:sz w:val="16"/>
                <w:szCs w:val="16"/>
                <w:lang w:val="ru-RU"/>
              </w:rPr>
            </w:pPr>
          </w:p>
          <w:p w:rsidR="002D647F" w:rsidRPr="00506508" w:rsidRDefault="002D647F" w:rsidP="002D647F">
            <w:pPr>
              <w:jc w:val="center"/>
              <w:rPr>
                <w:b/>
                <w:bCs/>
                <w:color w:val="000000"/>
                <w:sz w:val="16"/>
                <w:szCs w:val="16"/>
              </w:rPr>
            </w:pPr>
            <w:r w:rsidRPr="00506508">
              <w:rPr>
                <w:b/>
                <w:bCs/>
                <w:color w:val="000000"/>
                <w:sz w:val="16"/>
                <w:szCs w:val="16"/>
              </w:rPr>
              <w:t>C</w:t>
            </w:r>
          </w:p>
        </w:tc>
        <w:tc>
          <w:tcPr>
            <w:tcW w:w="813" w:type="pct"/>
            <w:tcBorders>
              <w:top w:val="single" w:sz="4" w:space="0" w:color="auto"/>
              <w:left w:val="nil"/>
              <w:bottom w:val="single" w:sz="4" w:space="0" w:color="auto"/>
              <w:right w:val="single" w:sz="4" w:space="0" w:color="auto"/>
            </w:tcBorders>
            <w:shd w:val="clear" w:color="000000" w:fill="8DB4E2"/>
            <w:vAlign w:val="center"/>
            <w:hideMark/>
          </w:tcPr>
          <w:p w:rsidR="00506508" w:rsidRDefault="002D647F" w:rsidP="002D647F">
            <w:pPr>
              <w:jc w:val="center"/>
              <w:rPr>
                <w:b/>
                <w:bCs/>
                <w:color w:val="000000"/>
                <w:sz w:val="16"/>
                <w:szCs w:val="16"/>
                <w:lang w:val="ru-RU"/>
              </w:rPr>
            </w:pPr>
            <w:r w:rsidRPr="00506508">
              <w:rPr>
                <w:b/>
                <w:bCs/>
                <w:color w:val="000000"/>
                <w:sz w:val="16"/>
                <w:szCs w:val="16"/>
                <w:lang w:val="ru-RU"/>
              </w:rPr>
              <w:t xml:space="preserve">Снижение удельных издержек </w:t>
            </w:r>
          </w:p>
          <w:p w:rsidR="002D647F" w:rsidRPr="00506508" w:rsidRDefault="002D647F" w:rsidP="002D647F">
            <w:pPr>
              <w:jc w:val="center"/>
              <w:rPr>
                <w:b/>
                <w:bCs/>
                <w:color w:val="000000"/>
                <w:sz w:val="16"/>
                <w:szCs w:val="16"/>
                <w:lang w:val="ru-RU"/>
              </w:rPr>
            </w:pPr>
            <w:r w:rsidRPr="00506508">
              <w:rPr>
                <w:b/>
                <w:bCs/>
                <w:color w:val="000000"/>
                <w:sz w:val="16"/>
                <w:szCs w:val="16"/>
                <w:lang w:val="ru-RU"/>
              </w:rPr>
              <w:t>2014 г.*</w:t>
            </w:r>
            <w:r w:rsidRPr="00506508">
              <w:rPr>
                <w:b/>
                <w:bCs/>
                <w:color w:val="000000"/>
                <w:sz w:val="16"/>
                <w:szCs w:val="16"/>
                <w:lang w:val="ru-RU"/>
              </w:rPr>
              <w:br/>
              <w:t>(в шв. фр.)</w:t>
            </w:r>
          </w:p>
          <w:p w:rsidR="002D647F" w:rsidRPr="00506508" w:rsidRDefault="002D647F" w:rsidP="002D647F">
            <w:pPr>
              <w:jc w:val="center"/>
              <w:rPr>
                <w:b/>
                <w:bCs/>
                <w:color w:val="000000"/>
                <w:sz w:val="16"/>
                <w:szCs w:val="16"/>
                <w:lang w:val="ru-RU"/>
              </w:rPr>
            </w:pPr>
          </w:p>
          <w:p w:rsidR="002D647F" w:rsidRPr="00506508" w:rsidRDefault="002D647F" w:rsidP="002D647F">
            <w:pPr>
              <w:jc w:val="center"/>
              <w:rPr>
                <w:b/>
                <w:bCs/>
                <w:color w:val="000000"/>
                <w:sz w:val="16"/>
                <w:szCs w:val="16"/>
              </w:rPr>
            </w:pPr>
            <w:r w:rsidRPr="00506508">
              <w:rPr>
                <w:b/>
                <w:bCs/>
                <w:color w:val="000000"/>
                <w:sz w:val="16"/>
                <w:szCs w:val="16"/>
              </w:rPr>
              <w:t>D</w:t>
            </w:r>
          </w:p>
        </w:tc>
        <w:tc>
          <w:tcPr>
            <w:tcW w:w="871" w:type="pct"/>
            <w:tcBorders>
              <w:top w:val="single" w:sz="4" w:space="0" w:color="auto"/>
              <w:left w:val="nil"/>
              <w:bottom w:val="single" w:sz="4" w:space="0" w:color="auto"/>
              <w:right w:val="single" w:sz="4" w:space="0" w:color="auto"/>
            </w:tcBorders>
            <w:shd w:val="clear" w:color="000000" w:fill="8DB4E2"/>
            <w:vAlign w:val="center"/>
            <w:hideMark/>
          </w:tcPr>
          <w:p w:rsidR="002D647F" w:rsidRPr="00506508" w:rsidRDefault="002D647F" w:rsidP="002D647F">
            <w:pPr>
              <w:jc w:val="center"/>
              <w:rPr>
                <w:b/>
                <w:bCs/>
                <w:color w:val="000000"/>
                <w:sz w:val="16"/>
                <w:szCs w:val="16"/>
                <w:lang w:val="ru-RU"/>
              </w:rPr>
            </w:pPr>
            <w:r w:rsidRPr="00506508">
              <w:rPr>
                <w:b/>
                <w:bCs/>
                <w:color w:val="000000"/>
                <w:sz w:val="16"/>
                <w:szCs w:val="16"/>
                <w:lang w:val="ru-RU"/>
              </w:rPr>
              <w:t xml:space="preserve">Снижение удельных издержек </w:t>
            </w:r>
          </w:p>
          <w:p w:rsidR="002D647F" w:rsidRPr="00506508" w:rsidRDefault="002D647F" w:rsidP="002D647F">
            <w:pPr>
              <w:jc w:val="center"/>
              <w:rPr>
                <w:b/>
                <w:bCs/>
                <w:color w:val="000000"/>
                <w:sz w:val="16"/>
                <w:szCs w:val="16"/>
                <w:lang w:val="ru-RU"/>
              </w:rPr>
            </w:pPr>
            <w:r w:rsidRPr="00506508">
              <w:rPr>
                <w:b/>
                <w:bCs/>
                <w:color w:val="000000"/>
                <w:sz w:val="16"/>
                <w:szCs w:val="16"/>
                <w:lang w:val="ru-RU"/>
              </w:rPr>
              <w:t>2015 г.</w:t>
            </w:r>
            <w:r w:rsidRPr="00506508">
              <w:rPr>
                <w:b/>
                <w:bCs/>
                <w:color w:val="000000"/>
                <w:sz w:val="16"/>
                <w:szCs w:val="16"/>
                <w:lang w:val="ru-RU"/>
              </w:rPr>
              <w:br/>
              <w:t>(в шв. фр.)</w:t>
            </w:r>
          </w:p>
          <w:p w:rsidR="002D647F" w:rsidRPr="00506508" w:rsidRDefault="002D647F" w:rsidP="002D647F">
            <w:pPr>
              <w:jc w:val="center"/>
              <w:rPr>
                <w:b/>
                <w:bCs/>
                <w:color w:val="000000"/>
                <w:sz w:val="16"/>
                <w:szCs w:val="16"/>
                <w:lang w:val="ru-RU"/>
              </w:rPr>
            </w:pPr>
          </w:p>
          <w:p w:rsidR="002D647F" w:rsidRPr="00506508" w:rsidRDefault="002D647F" w:rsidP="002D647F">
            <w:pPr>
              <w:jc w:val="center"/>
              <w:rPr>
                <w:b/>
                <w:bCs/>
                <w:color w:val="000000"/>
                <w:sz w:val="16"/>
                <w:szCs w:val="16"/>
                <w:lang w:val="ru-RU"/>
              </w:rPr>
            </w:pPr>
          </w:p>
          <w:p w:rsidR="002D647F" w:rsidRPr="00506508" w:rsidRDefault="002D647F" w:rsidP="002D647F">
            <w:pPr>
              <w:jc w:val="center"/>
              <w:rPr>
                <w:b/>
                <w:bCs/>
                <w:color w:val="000000"/>
                <w:sz w:val="16"/>
                <w:szCs w:val="16"/>
                <w:lang w:val="ru-RU"/>
              </w:rPr>
            </w:pPr>
            <w:r w:rsidRPr="00506508">
              <w:rPr>
                <w:b/>
                <w:bCs/>
                <w:color w:val="000000"/>
                <w:sz w:val="16"/>
                <w:szCs w:val="16"/>
              </w:rPr>
              <w:t>E</w:t>
            </w:r>
          </w:p>
        </w:tc>
        <w:tc>
          <w:tcPr>
            <w:tcW w:w="1183" w:type="pct"/>
            <w:tcBorders>
              <w:top w:val="single" w:sz="4" w:space="0" w:color="auto"/>
              <w:left w:val="nil"/>
              <w:bottom w:val="single" w:sz="4" w:space="0" w:color="auto"/>
              <w:right w:val="single" w:sz="4" w:space="0" w:color="auto"/>
            </w:tcBorders>
            <w:shd w:val="clear" w:color="000000" w:fill="8DB4E2"/>
            <w:vAlign w:val="center"/>
            <w:hideMark/>
          </w:tcPr>
          <w:p w:rsidR="002D647F" w:rsidRPr="00506508" w:rsidRDefault="002D647F" w:rsidP="00506508">
            <w:pPr>
              <w:ind w:left="-43"/>
              <w:jc w:val="center"/>
              <w:rPr>
                <w:b/>
                <w:bCs/>
                <w:color w:val="000000"/>
                <w:sz w:val="16"/>
                <w:szCs w:val="16"/>
                <w:lang w:val="ru-RU"/>
              </w:rPr>
            </w:pPr>
            <w:r w:rsidRPr="00506508">
              <w:rPr>
                <w:b/>
                <w:bCs/>
                <w:color w:val="000000"/>
                <w:sz w:val="16"/>
                <w:szCs w:val="16"/>
                <w:lang w:val="ru-RU"/>
              </w:rPr>
              <w:t>Примечания</w:t>
            </w:r>
          </w:p>
          <w:p w:rsidR="002D647F" w:rsidRPr="00506508" w:rsidRDefault="002D647F" w:rsidP="00506508">
            <w:pPr>
              <w:ind w:left="-43"/>
              <w:jc w:val="center"/>
              <w:rPr>
                <w:b/>
                <w:bCs/>
                <w:color w:val="000000"/>
                <w:sz w:val="16"/>
                <w:szCs w:val="16"/>
              </w:rPr>
            </w:pPr>
          </w:p>
          <w:p w:rsidR="002D647F" w:rsidRPr="00506508" w:rsidRDefault="002D647F" w:rsidP="00506508">
            <w:pPr>
              <w:ind w:left="-43"/>
              <w:jc w:val="center"/>
              <w:rPr>
                <w:b/>
                <w:bCs/>
                <w:color w:val="000000"/>
                <w:sz w:val="16"/>
                <w:szCs w:val="16"/>
              </w:rPr>
            </w:pPr>
          </w:p>
          <w:p w:rsidR="002D647F" w:rsidRPr="00506508" w:rsidRDefault="002D647F" w:rsidP="00506508">
            <w:pPr>
              <w:ind w:left="-43"/>
              <w:jc w:val="center"/>
              <w:rPr>
                <w:b/>
                <w:bCs/>
                <w:color w:val="000000"/>
                <w:sz w:val="16"/>
                <w:szCs w:val="16"/>
              </w:rPr>
            </w:pPr>
          </w:p>
          <w:p w:rsidR="002D647F" w:rsidRPr="00506508" w:rsidRDefault="002D647F" w:rsidP="00506508">
            <w:pPr>
              <w:ind w:left="-43"/>
              <w:jc w:val="center"/>
              <w:rPr>
                <w:b/>
                <w:bCs/>
                <w:color w:val="000000"/>
                <w:sz w:val="16"/>
                <w:szCs w:val="16"/>
              </w:rPr>
            </w:pPr>
          </w:p>
          <w:p w:rsidR="002D647F" w:rsidRPr="00506508" w:rsidRDefault="002D647F" w:rsidP="00506508">
            <w:pPr>
              <w:ind w:left="-43"/>
              <w:jc w:val="center"/>
              <w:rPr>
                <w:b/>
                <w:bCs/>
                <w:color w:val="000000"/>
                <w:sz w:val="16"/>
                <w:szCs w:val="16"/>
              </w:rPr>
            </w:pPr>
          </w:p>
          <w:p w:rsidR="002D647F" w:rsidRPr="00506508" w:rsidRDefault="002D647F" w:rsidP="00506508">
            <w:pPr>
              <w:ind w:left="-43"/>
              <w:jc w:val="center"/>
              <w:rPr>
                <w:b/>
                <w:bCs/>
                <w:color w:val="000000"/>
                <w:sz w:val="16"/>
                <w:szCs w:val="16"/>
              </w:rPr>
            </w:pPr>
            <w:r w:rsidRPr="00506508">
              <w:rPr>
                <w:b/>
                <w:bCs/>
                <w:color w:val="000000"/>
                <w:sz w:val="16"/>
                <w:szCs w:val="16"/>
              </w:rPr>
              <w:t>F</w:t>
            </w:r>
          </w:p>
        </w:tc>
      </w:tr>
      <w:tr w:rsidR="00506508" w:rsidRPr="00E37E4A" w:rsidTr="00506508">
        <w:trPr>
          <w:trHeight w:val="2281"/>
        </w:trPr>
        <w:tc>
          <w:tcPr>
            <w:tcW w:w="1014" w:type="pct"/>
            <w:tcBorders>
              <w:top w:val="single" w:sz="4" w:space="0" w:color="auto"/>
              <w:left w:val="single" w:sz="4" w:space="0" w:color="auto"/>
              <w:bottom w:val="single" w:sz="4" w:space="0" w:color="auto"/>
              <w:right w:val="single" w:sz="4" w:space="0" w:color="auto"/>
            </w:tcBorders>
            <w:shd w:val="clear" w:color="auto" w:fill="auto"/>
            <w:hideMark/>
          </w:tcPr>
          <w:p w:rsidR="002D647F" w:rsidRPr="009726AC" w:rsidRDefault="002D647F" w:rsidP="002D647F">
            <w:pPr>
              <w:rPr>
                <w:color w:val="000000"/>
                <w:sz w:val="17"/>
                <w:szCs w:val="17"/>
                <w:lang w:val="ru-RU"/>
              </w:rPr>
            </w:pPr>
            <w:r>
              <w:rPr>
                <w:color w:val="000000"/>
                <w:sz w:val="17"/>
                <w:szCs w:val="17"/>
                <w:lang w:val="ru-RU"/>
              </w:rPr>
              <w:t>Снижение совокупных</w:t>
            </w:r>
            <w:r w:rsidRPr="009726AC">
              <w:rPr>
                <w:color w:val="000000"/>
                <w:sz w:val="17"/>
                <w:szCs w:val="17"/>
                <w:lang w:val="ru-RU"/>
              </w:rPr>
              <w:t xml:space="preserve"> </w:t>
            </w:r>
            <w:r>
              <w:rPr>
                <w:color w:val="000000"/>
                <w:sz w:val="17"/>
                <w:szCs w:val="17"/>
                <w:lang w:val="ru-RU"/>
              </w:rPr>
              <w:t>расходов</w:t>
            </w:r>
            <w:r w:rsidRPr="009726AC">
              <w:rPr>
                <w:color w:val="000000"/>
                <w:sz w:val="17"/>
                <w:szCs w:val="17"/>
                <w:lang w:val="ru-RU"/>
              </w:rPr>
              <w:t xml:space="preserve"> </w:t>
            </w:r>
            <w:r>
              <w:rPr>
                <w:color w:val="000000"/>
                <w:sz w:val="17"/>
                <w:szCs w:val="17"/>
                <w:lang w:val="ru-RU"/>
              </w:rPr>
              <w:t>на</w:t>
            </w:r>
            <w:r w:rsidRPr="009726AC">
              <w:rPr>
                <w:color w:val="000000"/>
                <w:sz w:val="17"/>
                <w:szCs w:val="17"/>
                <w:lang w:val="ru-RU"/>
              </w:rPr>
              <w:t xml:space="preserve"> </w:t>
            </w:r>
            <w:r>
              <w:rPr>
                <w:color w:val="000000"/>
                <w:sz w:val="17"/>
                <w:szCs w:val="17"/>
                <w:lang w:val="ru-RU"/>
              </w:rPr>
              <w:t>обработку</w:t>
            </w:r>
            <w:r w:rsidRPr="009726AC">
              <w:rPr>
                <w:color w:val="000000"/>
                <w:sz w:val="17"/>
                <w:szCs w:val="17"/>
                <w:lang w:val="ru-RU"/>
              </w:rPr>
              <w:t xml:space="preserve"> </w:t>
            </w:r>
            <w:r>
              <w:rPr>
                <w:color w:val="000000"/>
                <w:sz w:val="17"/>
                <w:szCs w:val="17"/>
                <w:lang w:val="ru-RU"/>
              </w:rPr>
              <w:t>опубликованных</w:t>
            </w:r>
            <w:r w:rsidRPr="009726AC">
              <w:rPr>
                <w:color w:val="000000"/>
                <w:sz w:val="17"/>
                <w:szCs w:val="17"/>
                <w:lang w:val="ru-RU"/>
              </w:rPr>
              <w:t xml:space="preserve"> </w:t>
            </w:r>
            <w:r>
              <w:rPr>
                <w:color w:val="000000"/>
                <w:sz w:val="17"/>
                <w:szCs w:val="17"/>
                <w:lang w:val="ru-RU"/>
              </w:rPr>
              <w:t>международных</w:t>
            </w:r>
            <w:r w:rsidRPr="009726AC">
              <w:rPr>
                <w:color w:val="000000"/>
                <w:sz w:val="17"/>
                <w:szCs w:val="17"/>
                <w:lang w:val="ru-RU"/>
              </w:rPr>
              <w:t xml:space="preserve"> </w:t>
            </w:r>
            <w:r>
              <w:rPr>
                <w:color w:val="000000"/>
                <w:sz w:val="17"/>
                <w:szCs w:val="17"/>
                <w:lang w:val="ru-RU"/>
              </w:rPr>
              <w:t>заявок</w:t>
            </w:r>
            <w:r w:rsidRPr="009726AC">
              <w:rPr>
                <w:color w:val="000000"/>
                <w:sz w:val="17"/>
                <w:szCs w:val="17"/>
                <w:lang w:val="ru-RU"/>
              </w:rPr>
              <w:t xml:space="preserve">  </w:t>
            </w:r>
            <w:r w:rsidRPr="00303E4F">
              <w:rPr>
                <w:color w:val="000000"/>
                <w:sz w:val="17"/>
                <w:szCs w:val="17"/>
              </w:rPr>
              <w:t>PCT</w:t>
            </w:r>
            <w:r w:rsidRPr="009726AC">
              <w:rPr>
                <w:color w:val="000000"/>
                <w:sz w:val="17"/>
                <w:szCs w:val="17"/>
                <w:lang w:val="ru-RU"/>
              </w:rPr>
              <w:t xml:space="preserve"> </w:t>
            </w:r>
            <w:r>
              <w:rPr>
                <w:color w:val="000000"/>
                <w:sz w:val="17"/>
                <w:szCs w:val="17"/>
                <w:lang w:val="ru-RU"/>
              </w:rPr>
              <w:t>в</w:t>
            </w:r>
            <w:r w:rsidRPr="009726AC">
              <w:rPr>
                <w:color w:val="000000"/>
                <w:sz w:val="17"/>
                <w:szCs w:val="17"/>
                <w:lang w:val="ru-RU"/>
              </w:rPr>
              <w:t xml:space="preserve"> </w:t>
            </w:r>
            <w:r>
              <w:rPr>
                <w:color w:val="000000"/>
                <w:sz w:val="17"/>
                <w:szCs w:val="17"/>
                <w:lang w:val="ru-RU"/>
              </w:rPr>
              <w:t>результате</w:t>
            </w:r>
            <w:r w:rsidRPr="009726AC">
              <w:rPr>
                <w:color w:val="000000"/>
                <w:sz w:val="17"/>
                <w:szCs w:val="17"/>
                <w:lang w:val="ru-RU"/>
              </w:rPr>
              <w:t xml:space="preserve"> применени</w:t>
            </w:r>
            <w:r>
              <w:rPr>
                <w:color w:val="000000"/>
                <w:sz w:val="17"/>
                <w:szCs w:val="17"/>
                <w:lang w:val="ru-RU"/>
              </w:rPr>
              <w:t>я</w:t>
            </w:r>
            <w:r w:rsidRPr="009726AC">
              <w:rPr>
                <w:color w:val="000000"/>
                <w:sz w:val="17"/>
                <w:szCs w:val="17"/>
                <w:lang w:val="ru-RU"/>
              </w:rPr>
              <w:t xml:space="preserve"> более эффективных методов покрытия финансовых обязательств по оплате услуг перевода, выполняемого на основе аутсорсинга</w:t>
            </w:r>
            <w:r>
              <w:rPr>
                <w:color w:val="000000"/>
                <w:sz w:val="17"/>
                <w:szCs w:val="17"/>
                <w:lang w:val="ru-RU"/>
              </w:rPr>
              <w:t>, и повышения производительности</w:t>
            </w:r>
          </w:p>
        </w:tc>
        <w:tc>
          <w:tcPr>
            <w:tcW w:w="589" w:type="pct"/>
            <w:tcBorders>
              <w:top w:val="single" w:sz="4" w:space="0" w:color="auto"/>
              <w:left w:val="nil"/>
              <w:bottom w:val="single" w:sz="4" w:space="0" w:color="auto"/>
              <w:right w:val="single" w:sz="4" w:space="0" w:color="auto"/>
            </w:tcBorders>
            <w:shd w:val="clear" w:color="auto" w:fill="auto"/>
            <w:hideMark/>
          </w:tcPr>
          <w:p w:rsidR="002D647F" w:rsidRPr="009726AC" w:rsidRDefault="002D647F" w:rsidP="002D647F">
            <w:pPr>
              <w:spacing w:after="240"/>
              <w:rPr>
                <w:color w:val="000000"/>
                <w:sz w:val="17"/>
                <w:szCs w:val="17"/>
                <w:lang w:val="ru-RU"/>
              </w:rPr>
            </w:pPr>
          </w:p>
        </w:tc>
        <w:tc>
          <w:tcPr>
            <w:tcW w:w="530" w:type="pct"/>
            <w:tcBorders>
              <w:top w:val="single" w:sz="4" w:space="0" w:color="auto"/>
              <w:left w:val="nil"/>
              <w:bottom w:val="single" w:sz="4" w:space="0" w:color="auto"/>
              <w:right w:val="single" w:sz="4" w:space="0" w:color="auto"/>
            </w:tcBorders>
            <w:shd w:val="clear" w:color="auto" w:fill="auto"/>
            <w:hideMark/>
          </w:tcPr>
          <w:p w:rsidR="002D647F" w:rsidRPr="009726AC" w:rsidRDefault="002D647F" w:rsidP="002D647F">
            <w:pPr>
              <w:rPr>
                <w:color w:val="000000"/>
                <w:sz w:val="17"/>
                <w:szCs w:val="17"/>
                <w:lang w:val="ru-RU"/>
              </w:rPr>
            </w:pPr>
            <w:r w:rsidRPr="00303E4F">
              <w:rPr>
                <w:color w:val="000000"/>
                <w:sz w:val="17"/>
                <w:szCs w:val="17"/>
              </w:rPr>
              <w:t> </w:t>
            </w:r>
          </w:p>
        </w:tc>
        <w:tc>
          <w:tcPr>
            <w:tcW w:w="813" w:type="pct"/>
            <w:tcBorders>
              <w:top w:val="single" w:sz="4" w:space="0" w:color="auto"/>
              <w:left w:val="nil"/>
              <w:bottom w:val="single" w:sz="4" w:space="0" w:color="auto"/>
              <w:right w:val="single" w:sz="4" w:space="0" w:color="auto"/>
            </w:tcBorders>
            <w:shd w:val="clear" w:color="auto" w:fill="auto"/>
            <w:hideMark/>
          </w:tcPr>
          <w:p w:rsidR="002D647F" w:rsidRPr="004105A7" w:rsidRDefault="002D647F" w:rsidP="004105A7">
            <w:pPr>
              <w:rPr>
                <w:color w:val="000000"/>
                <w:sz w:val="17"/>
                <w:szCs w:val="17"/>
                <w:lang w:val="ru-RU"/>
              </w:rPr>
            </w:pPr>
            <w:r>
              <w:rPr>
                <w:color w:val="000000"/>
                <w:sz w:val="17"/>
                <w:szCs w:val="17"/>
                <w:lang w:val="ru-RU"/>
              </w:rPr>
              <w:t>Снижение</w:t>
            </w:r>
            <w:r w:rsidRPr="00F46A6C">
              <w:rPr>
                <w:color w:val="000000"/>
                <w:sz w:val="17"/>
                <w:szCs w:val="17"/>
                <w:lang w:val="ru-RU"/>
              </w:rPr>
              <w:t xml:space="preserve"> </w:t>
            </w:r>
            <w:r>
              <w:rPr>
                <w:color w:val="000000"/>
                <w:sz w:val="17"/>
                <w:szCs w:val="17"/>
                <w:lang w:val="ru-RU"/>
              </w:rPr>
              <w:t>с</w:t>
            </w:r>
            <w:r w:rsidRPr="00F46A6C">
              <w:rPr>
                <w:color w:val="000000"/>
                <w:sz w:val="17"/>
                <w:szCs w:val="17"/>
                <w:lang w:val="ru-RU"/>
              </w:rPr>
              <w:t xml:space="preserve"> 722</w:t>
            </w:r>
            <w:r w:rsidR="004105A7">
              <w:rPr>
                <w:color w:val="000000"/>
                <w:sz w:val="17"/>
                <w:szCs w:val="17"/>
                <w:lang w:val="ru-RU"/>
              </w:rPr>
              <w:t> </w:t>
            </w:r>
            <w:r>
              <w:rPr>
                <w:color w:val="000000"/>
                <w:sz w:val="17"/>
                <w:szCs w:val="17"/>
                <w:lang w:val="ru-RU"/>
              </w:rPr>
              <w:t>шв</w:t>
            </w:r>
            <w:r w:rsidRPr="00F46A6C">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F46A6C">
              <w:rPr>
                <w:color w:val="000000"/>
                <w:sz w:val="17"/>
                <w:szCs w:val="17"/>
                <w:lang w:val="ru-RU"/>
              </w:rPr>
              <w:t xml:space="preserve"> </w:t>
            </w:r>
            <w:r>
              <w:rPr>
                <w:color w:val="000000"/>
                <w:sz w:val="17"/>
                <w:szCs w:val="17"/>
                <w:lang w:val="ru-RU"/>
              </w:rPr>
              <w:t>в</w:t>
            </w:r>
            <w:r w:rsidRPr="00F46A6C">
              <w:rPr>
                <w:color w:val="000000"/>
                <w:sz w:val="17"/>
                <w:szCs w:val="17"/>
                <w:lang w:val="ru-RU"/>
              </w:rPr>
              <w:t xml:space="preserve"> 2013</w:t>
            </w:r>
            <w:r>
              <w:rPr>
                <w:color w:val="000000"/>
                <w:sz w:val="17"/>
                <w:szCs w:val="17"/>
                <w:lang w:val="ru-RU"/>
              </w:rPr>
              <w:t xml:space="preserve"> г. до</w:t>
            </w:r>
            <w:r w:rsidRPr="00F46A6C">
              <w:rPr>
                <w:color w:val="000000"/>
                <w:sz w:val="17"/>
                <w:szCs w:val="17"/>
                <w:lang w:val="ru-RU"/>
              </w:rPr>
              <w:t xml:space="preserve"> 662</w:t>
            </w:r>
            <w:r w:rsidR="004105A7">
              <w:rPr>
                <w:color w:val="000000"/>
                <w:sz w:val="17"/>
                <w:szCs w:val="17"/>
                <w:lang w:val="ru-RU"/>
              </w:rPr>
              <w:t> </w:t>
            </w:r>
            <w:r>
              <w:rPr>
                <w:color w:val="000000"/>
                <w:sz w:val="17"/>
                <w:szCs w:val="17"/>
                <w:lang w:val="ru-RU"/>
              </w:rPr>
              <w:t>шв</w:t>
            </w:r>
            <w:r w:rsidRPr="00F46A6C">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F46A6C">
              <w:rPr>
                <w:color w:val="000000"/>
                <w:sz w:val="17"/>
                <w:szCs w:val="17"/>
                <w:lang w:val="ru-RU"/>
              </w:rPr>
              <w:t xml:space="preserve"> </w:t>
            </w:r>
            <w:r>
              <w:rPr>
                <w:color w:val="000000"/>
                <w:sz w:val="17"/>
                <w:szCs w:val="17"/>
                <w:lang w:val="ru-RU"/>
              </w:rPr>
              <w:t>в</w:t>
            </w:r>
            <w:r w:rsidRPr="00F46A6C">
              <w:rPr>
                <w:color w:val="000000"/>
                <w:sz w:val="17"/>
                <w:szCs w:val="17"/>
                <w:lang w:val="ru-RU"/>
              </w:rPr>
              <w:t xml:space="preserve"> 2014</w:t>
            </w:r>
            <w:r>
              <w:rPr>
                <w:color w:val="000000"/>
                <w:sz w:val="17"/>
                <w:szCs w:val="17"/>
                <w:lang w:val="ru-RU"/>
              </w:rPr>
              <w:t xml:space="preserve"> г.</w:t>
            </w:r>
            <w:r w:rsidRPr="00F46A6C">
              <w:rPr>
                <w:color w:val="000000"/>
                <w:sz w:val="17"/>
                <w:szCs w:val="17"/>
                <w:lang w:val="ru-RU"/>
              </w:rPr>
              <w:t xml:space="preserve"> </w:t>
            </w:r>
            <w:r w:rsidRPr="004105A7">
              <w:rPr>
                <w:color w:val="000000"/>
                <w:sz w:val="17"/>
                <w:szCs w:val="17"/>
                <w:lang w:val="ru-RU"/>
              </w:rPr>
              <w:t>(</w:t>
            </w:r>
            <w:r>
              <w:rPr>
                <w:color w:val="000000"/>
                <w:sz w:val="17"/>
                <w:szCs w:val="17"/>
                <w:lang w:val="ru-RU"/>
              </w:rPr>
              <w:t>т</w:t>
            </w:r>
            <w:r w:rsidRPr="004105A7">
              <w:rPr>
                <w:color w:val="000000"/>
                <w:sz w:val="17"/>
                <w:szCs w:val="17"/>
                <w:lang w:val="ru-RU"/>
              </w:rPr>
              <w:t>.</w:t>
            </w:r>
            <w:r>
              <w:rPr>
                <w:color w:val="000000"/>
                <w:sz w:val="17"/>
                <w:szCs w:val="17"/>
                <w:lang w:val="ru-RU"/>
              </w:rPr>
              <w:t>е</w:t>
            </w:r>
            <w:r w:rsidRPr="004105A7">
              <w:rPr>
                <w:color w:val="000000"/>
                <w:sz w:val="17"/>
                <w:szCs w:val="17"/>
                <w:lang w:val="ru-RU"/>
              </w:rPr>
              <w:t xml:space="preserve">. </w:t>
            </w:r>
            <w:r>
              <w:rPr>
                <w:color w:val="000000"/>
                <w:sz w:val="17"/>
                <w:szCs w:val="17"/>
                <w:lang w:val="ru-RU"/>
              </w:rPr>
              <w:t>на</w:t>
            </w:r>
            <w:r w:rsidRPr="004105A7">
              <w:rPr>
                <w:color w:val="000000"/>
                <w:sz w:val="17"/>
                <w:szCs w:val="17"/>
                <w:lang w:val="ru-RU"/>
              </w:rPr>
              <w:t xml:space="preserve"> 60</w:t>
            </w:r>
            <w:r w:rsidR="004105A7">
              <w:rPr>
                <w:color w:val="000000"/>
                <w:sz w:val="17"/>
                <w:szCs w:val="17"/>
                <w:lang w:val="ru-RU"/>
              </w:rPr>
              <w:t> </w:t>
            </w:r>
            <w:r>
              <w:rPr>
                <w:color w:val="000000"/>
                <w:sz w:val="17"/>
                <w:szCs w:val="17"/>
                <w:lang w:val="ru-RU"/>
              </w:rPr>
              <w:t>шв</w:t>
            </w:r>
            <w:r w:rsidRPr="004105A7">
              <w:rPr>
                <w:color w:val="000000"/>
                <w:sz w:val="17"/>
                <w:szCs w:val="17"/>
                <w:lang w:val="ru-RU"/>
              </w:rPr>
              <w:t xml:space="preserve">. </w:t>
            </w:r>
            <w:r>
              <w:rPr>
                <w:color w:val="000000"/>
                <w:sz w:val="17"/>
                <w:szCs w:val="17"/>
                <w:lang w:val="ru-RU"/>
              </w:rPr>
              <w:t>фр</w:t>
            </w:r>
            <w:r w:rsidR="004105A7">
              <w:rPr>
                <w:color w:val="000000"/>
                <w:sz w:val="17"/>
                <w:szCs w:val="17"/>
                <w:lang w:val="ru-RU"/>
              </w:rPr>
              <w:t>.</w:t>
            </w:r>
            <w:r>
              <w:rPr>
                <w:color w:val="000000"/>
                <w:sz w:val="17"/>
                <w:szCs w:val="17"/>
                <w:lang w:val="ru-RU"/>
              </w:rPr>
              <w:t>,</w:t>
            </w:r>
            <w:r w:rsidRPr="004105A7">
              <w:rPr>
                <w:color w:val="000000"/>
                <w:sz w:val="17"/>
                <w:szCs w:val="17"/>
                <w:lang w:val="ru-RU"/>
              </w:rPr>
              <w:t xml:space="preserve"> </w:t>
            </w:r>
            <w:r>
              <w:rPr>
                <w:color w:val="000000"/>
                <w:sz w:val="17"/>
                <w:szCs w:val="17"/>
                <w:lang w:val="ru-RU"/>
              </w:rPr>
              <w:t>или на</w:t>
            </w:r>
            <w:r w:rsidRPr="004105A7">
              <w:rPr>
                <w:color w:val="000000"/>
                <w:sz w:val="17"/>
                <w:szCs w:val="17"/>
                <w:lang w:val="ru-RU"/>
              </w:rPr>
              <w:t xml:space="preserve"> 8</w:t>
            </w:r>
            <w:r>
              <w:rPr>
                <w:color w:val="000000"/>
                <w:sz w:val="17"/>
                <w:szCs w:val="17"/>
                <w:lang w:val="ru-RU"/>
              </w:rPr>
              <w:t>,</w:t>
            </w:r>
            <w:r w:rsidRPr="004105A7">
              <w:rPr>
                <w:color w:val="000000"/>
                <w:sz w:val="17"/>
                <w:szCs w:val="17"/>
                <w:lang w:val="ru-RU"/>
              </w:rPr>
              <w:t>3%)</w:t>
            </w:r>
          </w:p>
        </w:tc>
        <w:tc>
          <w:tcPr>
            <w:tcW w:w="871" w:type="pct"/>
            <w:tcBorders>
              <w:top w:val="single" w:sz="4" w:space="0" w:color="auto"/>
              <w:left w:val="nil"/>
              <w:bottom w:val="single" w:sz="4" w:space="0" w:color="auto"/>
              <w:right w:val="single" w:sz="4" w:space="0" w:color="auto"/>
            </w:tcBorders>
            <w:shd w:val="clear" w:color="auto" w:fill="auto"/>
            <w:hideMark/>
          </w:tcPr>
          <w:p w:rsidR="002D647F" w:rsidRPr="00F46A6C" w:rsidRDefault="002D647F" w:rsidP="004105A7">
            <w:pPr>
              <w:rPr>
                <w:color w:val="000000"/>
                <w:sz w:val="17"/>
                <w:szCs w:val="17"/>
                <w:lang w:val="ru-RU"/>
              </w:rPr>
            </w:pPr>
            <w:r>
              <w:rPr>
                <w:color w:val="000000"/>
                <w:sz w:val="17"/>
                <w:szCs w:val="17"/>
                <w:lang w:val="ru-RU"/>
              </w:rPr>
              <w:t>Рост с</w:t>
            </w:r>
            <w:r w:rsidRPr="00F46A6C">
              <w:rPr>
                <w:color w:val="000000"/>
                <w:sz w:val="17"/>
                <w:szCs w:val="17"/>
                <w:lang w:val="ru-RU"/>
              </w:rPr>
              <w:t xml:space="preserve"> 662</w:t>
            </w:r>
            <w:r w:rsidR="004105A7">
              <w:rPr>
                <w:color w:val="000000"/>
                <w:sz w:val="17"/>
                <w:szCs w:val="17"/>
                <w:lang w:val="ru-RU"/>
              </w:rPr>
              <w:t> </w:t>
            </w:r>
            <w:r>
              <w:rPr>
                <w:color w:val="000000"/>
                <w:sz w:val="17"/>
                <w:szCs w:val="17"/>
                <w:lang w:val="ru-RU"/>
              </w:rPr>
              <w:t>шв</w:t>
            </w:r>
            <w:r w:rsidRPr="00F46A6C">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F46A6C">
              <w:rPr>
                <w:color w:val="000000"/>
                <w:sz w:val="17"/>
                <w:szCs w:val="17"/>
                <w:lang w:val="ru-RU"/>
              </w:rPr>
              <w:t xml:space="preserve"> </w:t>
            </w:r>
            <w:r>
              <w:rPr>
                <w:color w:val="000000"/>
                <w:sz w:val="17"/>
                <w:szCs w:val="17"/>
                <w:lang w:val="ru-RU"/>
              </w:rPr>
              <w:t>в</w:t>
            </w:r>
            <w:r w:rsidRPr="00F46A6C">
              <w:rPr>
                <w:color w:val="000000"/>
                <w:sz w:val="17"/>
                <w:szCs w:val="17"/>
                <w:lang w:val="ru-RU"/>
              </w:rPr>
              <w:t xml:space="preserve"> 2014</w:t>
            </w:r>
            <w:r>
              <w:rPr>
                <w:color w:val="000000"/>
                <w:sz w:val="17"/>
                <w:szCs w:val="17"/>
                <w:lang w:val="ru-RU"/>
              </w:rPr>
              <w:t xml:space="preserve"> г.</w:t>
            </w:r>
            <w:r w:rsidRPr="00F46A6C">
              <w:rPr>
                <w:color w:val="000000"/>
                <w:sz w:val="17"/>
                <w:szCs w:val="17"/>
                <w:lang w:val="ru-RU"/>
              </w:rPr>
              <w:t xml:space="preserve"> </w:t>
            </w:r>
            <w:r>
              <w:rPr>
                <w:color w:val="000000"/>
                <w:sz w:val="17"/>
                <w:szCs w:val="17"/>
                <w:lang w:val="ru-RU"/>
              </w:rPr>
              <w:t>до</w:t>
            </w:r>
            <w:r w:rsidRPr="00F46A6C">
              <w:rPr>
                <w:color w:val="000000"/>
                <w:sz w:val="17"/>
                <w:szCs w:val="17"/>
                <w:lang w:val="ru-RU"/>
              </w:rPr>
              <w:t xml:space="preserve"> 735</w:t>
            </w:r>
            <w:r w:rsidR="004105A7">
              <w:rPr>
                <w:lang w:val="ru-RU"/>
              </w:rPr>
              <w:t> </w:t>
            </w:r>
            <w:r>
              <w:rPr>
                <w:color w:val="000000"/>
                <w:sz w:val="17"/>
                <w:szCs w:val="17"/>
                <w:lang w:val="ru-RU"/>
              </w:rPr>
              <w:t>шв</w:t>
            </w:r>
            <w:r w:rsidRPr="00F46A6C">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F46A6C">
              <w:rPr>
                <w:color w:val="000000"/>
                <w:sz w:val="17"/>
                <w:szCs w:val="17"/>
                <w:lang w:val="ru-RU"/>
              </w:rPr>
              <w:t xml:space="preserve"> </w:t>
            </w:r>
            <w:r>
              <w:rPr>
                <w:color w:val="000000"/>
                <w:sz w:val="17"/>
                <w:szCs w:val="17"/>
                <w:lang w:val="ru-RU"/>
              </w:rPr>
              <w:t>в</w:t>
            </w:r>
            <w:r w:rsidRPr="00F46A6C">
              <w:rPr>
                <w:color w:val="000000"/>
                <w:sz w:val="17"/>
                <w:szCs w:val="17"/>
                <w:lang w:val="ru-RU"/>
              </w:rPr>
              <w:t xml:space="preserve"> 2015</w:t>
            </w:r>
            <w:r>
              <w:rPr>
                <w:color w:val="000000"/>
                <w:sz w:val="17"/>
                <w:szCs w:val="17"/>
                <w:lang w:val="ru-RU"/>
              </w:rPr>
              <w:t xml:space="preserve"> г.</w:t>
            </w:r>
            <w:r w:rsidRPr="00F46A6C">
              <w:rPr>
                <w:color w:val="000000"/>
                <w:sz w:val="17"/>
                <w:szCs w:val="17"/>
                <w:lang w:val="ru-RU"/>
              </w:rPr>
              <w:t xml:space="preserve"> (</w:t>
            </w:r>
            <w:r>
              <w:rPr>
                <w:color w:val="000000"/>
                <w:sz w:val="17"/>
                <w:szCs w:val="17"/>
                <w:lang w:val="ru-RU"/>
              </w:rPr>
              <w:t>т.е. на</w:t>
            </w:r>
            <w:r w:rsidRPr="00F46A6C">
              <w:rPr>
                <w:color w:val="000000"/>
                <w:sz w:val="17"/>
                <w:szCs w:val="17"/>
                <w:lang w:val="ru-RU"/>
              </w:rPr>
              <w:t xml:space="preserve"> 73</w:t>
            </w:r>
            <w:r w:rsidR="004105A7">
              <w:rPr>
                <w:color w:val="000000"/>
                <w:sz w:val="17"/>
                <w:szCs w:val="17"/>
                <w:lang w:val="ru-RU"/>
              </w:rPr>
              <w:t> </w:t>
            </w:r>
            <w:r>
              <w:rPr>
                <w:color w:val="000000"/>
                <w:sz w:val="17"/>
                <w:szCs w:val="17"/>
                <w:lang w:val="ru-RU"/>
              </w:rPr>
              <w:t>шв. фр</w:t>
            </w:r>
            <w:r w:rsidR="004105A7">
              <w:rPr>
                <w:color w:val="000000"/>
                <w:sz w:val="17"/>
                <w:szCs w:val="17"/>
                <w:lang w:val="ru-RU"/>
              </w:rPr>
              <w:t>.</w:t>
            </w:r>
            <w:r>
              <w:rPr>
                <w:color w:val="000000"/>
                <w:sz w:val="17"/>
                <w:szCs w:val="17"/>
                <w:lang w:val="ru-RU"/>
              </w:rPr>
              <w:t>,</w:t>
            </w:r>
            <w:r w:rsidRPr="00F46A6C">
              <w:rPr>
                <w:color w:val="000000"/>
                <w:sz w:val="17"/>
                <w:szCs w:val="17"/>
                <w:lang w:val="ru-RU"/>
              </w:rPr>
              <w:t xml:space="preserve"> </w:t>
            </w:r>
            <w:r>
              <w:rPr>
                <w:color w:val="000000"/>
                <w:sz w:val="17"/>
                <w:szCs w:val="17"/>
                <w:lang w:val="ru-RU"/>
              </w:rPr>
              <w:t>или на</w:t>
            </w:r>
            <w:r w:rsidR="004105A7">
              <w:rPr>
                <w:color w:val="000000"/>
                <w:sz w:val="17"/>
                <w:szCs w:val="17"/>
                <w:lang w:val="ru-RU"/>
              </w:rPr>
              <w:t> </w:t>
            </w:r>
            <w:r w:rsidRPr="00F46A6C">
              <w:rPr>
                <w:color w:val="000000"/>
                <w:sz w:val="17"/>
                <w:szCs w:val="17"/>
                <w:lang w:val="ru-RU"/>
              </w:rPr>
              <w:t>11%)</w:t>
            </w:r>
          </w:p>
        </w:tc>
        <w:tc>
          <w:tcPr>
            <w:tcW w:w="1183" w:type="pct"/>
            <w:tcBorders>
              <w:top w:val="single" w:sz="4" w:space="0" w:color="auto"/>
              <w:left w:val="nil"/>
              <w:bottom w:val="single" w:sz="4" w:space="0" w:color="auto"/>
              <w:right w:val="single" w:sz="4" w:space="0" w:color="auto"/>
            </w:tcBorders>
            <w:shd w:val="clear" w:color="auto" w:fill="auto"/>
            <w:hideMark/>
          </w:tcPr>
          <w:p w:rsidR="002D647F" w:rsidRPr="00E37E4A" w:rsidRDefault="002D647F" w:rsidP="00506508">
            <w:pPr>
              <w:ind w:left="-43"/>
              <w:rPr>
                <w:color w:val="000000"/>
                <w:sz w:val="17"/>
                <w:szCs w:val="17"/>
                <w:lang w:val="ru-RU"/>
              </w:rPr>
            </w:pPr>
            <w:r>
              <w:rPr>
                <w:sz w:val="17"/>
                <w:szCs w:val="17"/>
                <w:lang w:val="ru-RU"/>
              </w:rPr>
              <w:t>Удельные издержки определяются как средняя стоимость производства единицы продукции.</w:t>
            </w:r>
            <w:r w:rsidRPr="00663519">
              <w:rPr>
                <w:sz w:val="17"/>
                <w:szCs w:val="17"/>
                <w:lang w:val="ru-RU"/>
              </w:rPr>
              <w:t xml:space="preserve">  </w:t>
            </w:r>
            <w:r>
              <w:rPr>
                <w:sz w:val="17"/>
                <w:szCs w:val="17"/>
                <w:lang w:val="ru-RU"/>
              </w:rPr>
              <w:t>При</w:t>
            </w:r>
            <w:r w:rsidRPr="00CA259F">
              <w:rPr>
                <w:sz w:val="17"/>
                <w:szCs w:val="17"/>
                <w:lang w:val="ru-RU"/>
              </w:rPr>
              <w:t xml:space="preserve"> </w:t>
            </w:r>
            <w:r>
              <w:rPr>
                <w:sz w:val="17"/>
                <w:szCs w:val="17"/>
                <w:lang w:val="ru-RU"/>
              </w:rPr>
              <w:t>расчете</w:t>
            </w:r>
            <w:r w:rsidRPr="00CA259F">
              <w:rPr>
                <w:sz w:val="17"/>
                <w:szCs w:val="17"/>
                <w:lang w:val="ru-RU"/>
              </w:rPr>
              <w:t xml:space="preserve"> </w:t>
            </w:r>
            <w:r>
              <w:rPr>
                <w:sz w:val="17"/>
                <w:szCs w:val="17"/>
                <w:lang w:val="ru-RU"/>
              </w:rPr>
              <w:t>удельных</w:t>
            </w:r>
            <w:r w:rsidRPr="00CA259F">
              <w:rPr>
                <w:sz w:val="17"/>
                <w:szCs w:val="17"/>
                <w:lang w:val="ru-RU"/>
              </w:rPr>
              <w:t xml:space="preserve"> </w:t>
            </w:r>
            <w:r>
              <w:rPr>
                <w:sz w:val="17"/>
                <w:szCs w:val="17"/>
                <w:lang w:val="ru-RU"/>
              </w:rPr>
              <w:t>издержек</w:t>
            </w:r>
            <w:r w:rsidRPr="00CA259F">
              <w:rPr>
                <w:sz w:val="17"/>
                <w:szCs w:val="17"/>
                <w:lang w:val="ru-RU"/>
              </w:rPr>
              <w:t xml:space="preserve"> </w:t>
            </w:r>
            <w:r>
              <w:rPr>
                <w:sz w:val="17"/>
                <w:szCs w:val="17"/>
                <w:lang w:val="ru-RU"/>
              </w:rPr>
              <w:t>учитываются</w:t>
            </w:r>
            <w:r w:rsidRPr="00CA259F">
              <w:rPr>
                <w:sz w:val="17"/>
                <w:szCs w:val="17"/>
                <w:lang w:val="ru-RU"/>
              </w:rPr>
              <w:t xml:space="preserve"> </w:t>
            </w:r>
            <w:r>
              <w:rPr>
                <w:sz w:val="17"/>
                <w:szCs w:val="17"/>
                <w:lang w:val="ru-RU"/>
              </w:rPr>
              <w:t>совокупные</w:t>
            </w:r>
            <w:r w:rsidRPr="00CA259F">
              <w:rPr>
                <w:sz w:val="17"/>
                <w:szCs w:val="17"/>
                <w:lang w:val="ru-RU"/>
              </w:rPr>
              <w:t xml:space="preserve"> </w:t>
            </w:r>
            <w:r>
              <w:rPr>
                <w:sz w:val="17"/>
                <w:szCs w:val="17"/>
                <w:lang w:val="ru-RU"/>
              </w:rPr>
              <w:t>издержки</w:t>
            </w:r>
            <w:r w:rsidRPr="00CA259F">
              <w:rPr>
                <w:sz w:val="17"/>
                <w:szCs w:val="17"/>
                <w:lang w:val="ru-RU"/>
              </w:rPr>
              <w:t xml:space="preserve"> </w:t>
            </w:r>
            <w:r>
              <w:rPr>
                <w:sz w:val="17"/>
                <w:szCs w:val="17"/>
                <w:lang w:val="ru-RU"/>
              </w:rPr>
              <w:t>производства</w:t>
            </w:r>
            <w:r w:rsidRPr="00CA259F">
              <w:rPr>
                <w:sz w:val="17"/>
                <w:szCs w:val="17"/>
                <w:lang w:val="ru-RU"/>
              </w:rPr>
              <w:t xml:space="preserve">, </w:t>
            </w:r>
            <w:r>
              <w:rPr>
                <w:sz w:val="17"/>
                <w:szCs w:val="17"/>
                <w:lang w:val="ru-RU"/>
              </w:rPr>
              <w:t xml:space="preserve">включающие расходы, касающиеся исключительно системы </w:t>
            </w:r>
            <w:r w:rsidRPr="00303E4F">
              <w:rPr>
                <w:sz w:val="17"/>
                <w:szCs w:val="17"/>
              </w:rPr>
              <w:t>PCT</w:t>
            </w:r>
            <w:r>
              <w:rPr>
                <w:sz w:val="17"/>
                <w:szCs w:val="17"/>
                <w:lang w:val="ru-RU"/>
              </w:rPr>
              <w:t xml:space="preserve">, и расходы на деятельность в поддержку данной системы. </w:t>
            </w:r>
            <w:r w:rsidRPr="00CA259F">
              <w:rPr>
                <w:sz w:val="17"/>
                <w:szCs w:val="17"/>
                <w:lang w:val="ru-RU"/>
              </w:rPr>
              <w:t xml:space="preserve"> </w:t>
            </w:r>
            <w:r w:rsidRPr="00E37E4A">
              <w:rPr>
                <w:color w:val="000000"/>
                <w:sz w:val="17"/>
                <w:szCs w:val="17"/>
                <w:lang w:val="ru-RU"/>
              </w:rPr>
              <w:t>(</w:t>
            </w:r>
            <w:r>
              <w:rPr>
                <w:color w:val="000000"/>
                <w:sz w:val="17"/>
                <w:szCs w:val="17"/>
                <w:lang w:val="ru-RU"/>
              </w:rPr>
              <w:t>Подробнее</w:t>
            </w:r>
            <w:r w:rsidRPr="00E37E4A">
              <w:rPr>
                <w:color w:val="000000"/>
                <w:sz w:val="17"/>
                <w:szCs w:val="17"/>
                <w:lang w:val="ru-RU"/>
              </w:rPr>
              <w:t xml:space="preserve"> </w:t>
            </w:r>
            <w:r>
              <w:rPr>
                <w:color w:val="000000"/>
                <w:sz w:val="17"/>
                <w:szCs w:val="17"/>
                <w:lang w:val="ru-RU"/>
              </w:rPr>
              <w:t>см</w:t>
            </w:r>
            <w:r w:rsidRPr="00E37E4A">
              <w:rPr>
                <w:color w:val="000000"/>
                <w:sz w:val="17"/>
                <w:szCs w:val="17"/>
                <w:lang w:val="ru-RU"/>
              </w:rPr>
              <w:t>.</w:t>
            </w:r>
            <w:r>
              <w:rPr>
                <w:color w:val="000000"/>
                <w:sz w:val="17"/>
                <w:szCs w:val="17"/>
                <w:lang w:val="ru-RU"/>
              </w:rPr>
              <w:t xml:space="preserve"> ОРП за</w:t>
            </w:r>
            <w:r w:rsidRPr="00E37E4A">
              <w:rPr>
                <w:color w:val="000000"/>
                <w:sz w:val="17"/>
                <w:szCs w:val="17"/>
                <w:lang w:val="ru-RU"/>
              </w:rPr>
              <w:t xml:space="preserve"> 2014</w:t>
            </w:r>
            <w:r>
              <w:rPr>
                <w:color w:val="000000"/>
                <w:sz w:val="17"/>
                <w:szCs w:val="17"/>
                <w:lang w:val="ru-RU"/>
              </w:rPr>
              <w:t>-20</w:t>
            </w:r>
            <w:r w:rsidRPr="00E37E4A">
              <w:rPr>
                <w:color w:val="000000"/>
                <w:sz w:val="17"/>
                <w:szCs w:val="17"/>
                <w:lang w:val="ru-RU"/>
              </w:rPr>
              <w:t>15</w:t>
            </w:r>
            <w:r>
              <w:rPr>
                <w:color w:val="000000"/>
                <w:sz w:val="17"/>
                <w:szCs w:val="17"/>
                <w:lang w:val="ru-RU"/>
              </w:rPr>
              <w:t xml:space="preserve"> гг.</w:t>
            </w:r>
            <w:r w:rsidRPr="00E37E4A">
              <w:rPr>
                <w:color w:val="000000"/>
                <w:sz w:val="17"/>
                <w:szCs w:val="17"/>
                <w:lang w:val="ru-RU"/>
              </w:rPr>
              <w:t xml:space="preserve">).  </w:t>
            </w:r>
          </w:p>
          <w:p w:rsidR="002D647F" w:rsidRPr="00E37E4A" w:rsidRDefault="002D647F" w:rsidP="00506508">
            <w:pPr>
              <w:ind w:left="-43"/>
              <w:rPr>
                <w:color w:val="000000"/>
                <w:sz w:val="17"/>
                <w:szCs w:val="17"/>
                <w:lang w:val="ru-RU"/>
              </w:rPr>
            </w:pPr>
          </w:p>
        </w:tc>
      </w:tr>
      <w:tr w:rsidR="00506508" w:rsidRPr="00BE62B6" w:rsidTr="00506508">
        <w:trPr>
          <w:trHeight w:val="1256"/>
        </w:trPr>
        <w:tc>
          <w:tcPr>
            <w:tcW w:w="1014" w:type="pct"/>
            <w:tcBorders>
              <w:top w:val="nil"/>
              <w:left w:val="single" w:sz="4" w:space="0" w:color="auto"/>
              <w:bottom w:val="single" w:sz="4" w:space="0" w:color="auto"/>
              <w:right w:val="single" w:sz="4" w:space="0" w:color="auto"/>
            </w:tcBorders>
            <w:shd w:val="clear" w:color="auto" w:fill="auto"/>
          </w:tcPr>
          <w:p w:rsidR="002D647F" w:rsidRPr="00CA259F" w:rsidRDefault="002D647F" w:rsidP="002D647F">
            <w:pPr>
              <w:rPr>
                <w:color w:val="000000"/>
                <w:sz w:val="17"/>
                <w:szCs w:val="17"/>
                <w:lang w:val="ru-RU"/>
              </w:rPr>
            </w:pPr>
            <w:r>
              <w:rPr>
                <w:color w:val="000000"/>
                <w:sz w:val="17"/>
                <w:szCs w:val="17"/>
                <w:lang w:val="ru-RU"/>
              </w:rPr>
              <w:t>Снижение</w:t>
            </w:r>
            <w:r w:rsidRPr="00CA259F">
              <w:rPr>
                <w:color w:val="000000"/>
                <w:sz w:val="17"/>
                <w:szCs w:val="17"/>
                <w:lang w:val="ru-RU"/>
              </w:rPr>
              <w:t xml:space="preserve"> </w:t>
            </w:r>
            <w:r>
              <w:rPr>
                <w:color w:val="000000"/>
                <w:sz w:val="17"/>
                <w:szCs w:val="17"/>
                <w:lang w:val="ru-RU"/>
              </w:rPr>
              <w:t>расходов</w:t>
            </w:r>
            <w:r w:rsidRPr="00CA259F">
              <w:rPr>
                <w:color w:val="000000"/>
                <w:sz w:val="17"/>
                <w:szCs w:val="17"/>
                <w:lang w:val="ru-RU"/>
              </w:rPr>
              <w:t xml:space="preserve"> на обработку  нов</w:t>
            </w:r>
            <w:r>
              <w:rPr>
                <w:color w:val="000000"/>
                <w:sz w:val="17"/>
                <w:szCs w:val="17"/>
                <w:lang w:val="ru-RU"/>
              </w:rPr>
              <w:t>ых/</w:t>
            </w:r>
            <w:r w:rsidRPr="00CA259F">
              <w:rPr>
                <w:color w:val="000000"/>
                <w:sz w:val="17"/>
                <w:szCs w:val="17"/>
                <w:lang w:val="ru-RU"/>
              </w:rPr>
              <w:t xml:space="preserve"> продленн</w:t>
            </w:r>
            <w:r>
              <w:rPr>
                <w:color w:val="000000"/>
                <w:sz w:val="17"/>
                <w:szCs w:val="17"/>
                <w:lang w:val="ru-RU"/>
              </w:rPr>
              <w:t>ых</w:t>
            </w:r>
            <w:r w:rsidRPr="00CA259F">
              <w:rPr>
                <w:color w:val="000000"/>
                <w:sz w:val="17"/>
                <w:szCs w:val="17"/>
                <w:lang w:val="ru-RU"/>
              </w:rPr>
              <w:t xml:space="preserve"> международн</w:t>
            </w:r>
            <w:r>
              <w:rPr>
                <w:color w:val="000000"/>
                <w:sz w:val="17"/>
                <w:szCs w:val="17"/>
                <w:lang w:val="ru-RU"/>
              </w:rPr>
              <w:t>ых</w:t>
            </w:r>
            <w:r w:rsidRPr="00CA259F">
              <w:rPr>
                <w:color w:val="000000"/>
                <w:sz w:val="17"/>
                <w:szCs w:val="17"/>
                <w:lang w:val="ru-RU"/>
              </w:rPr>
              <w:t xml:space="preserve"> регистраци</w:t>
            </w:r>
            <w:r>
              <w:rPr>
                <w:color w:val="000000"/>
                <w:sz w:val="17"/>
                <w:szCs w:val="17"/>
                <w:lang w:val="ru-RU"/>
              </w:rPr>
              <w:t>й в рамках Мадридской системы</w:t>
            </w:r>
          </w:p>
        </w:tc>
        <w:tc>
          <w:tcPr>
            <w:tcW w:w="589" w:type="pct"/>
            <w:tcBorders>
              <w:top w:val="nil"/>
              <w:left w:val="nil"/>
              <w:bottom w:val="single" w:sz="4" w:space="0" w:color="auto"/>
              <w:right w:val="single" w:sz="4" w:space="0" w:color="auto"/>
            </w:tcBorders>
            <w:shd w:val="clear" w:color="auto" w:fill="auto"/>
          </w:tcPr>
          <w:p w:rsidR="002D647F" w:rsidRPr="00CA259F" w:rsidRDefault="002D647F" w:rsidP="002D647F">
            <w:pPr>
              <w:rPr>
                <w:color w:val="000000"/>
                <w:sz w:val="17"/>
                <w:szCs w:val="17"/>
                <w:lang w:val="ru-RU"/>
              </w:rPr>
            </w:pPr>
          </w:p>
        </w:tc>
        <w:tc>
          <w:tcPr>
            <w:tcW w:w="530" w:type="pct"/>
            <w:tcBorders>
              <w:top w:val="nil"/>
              <w:left w:val="nil"/>
              <w:bottom w:val="single" w:sz="4" w:space="0" w:color="auto"/>
              <w:right w:val="single" w:sz="4" w:space="0" w:color="auto"/>
            </w:tcBorders>
            <w:shd w:val="clear" w:color="auto" w:fill="auto"/>
          </w:tcPr>
          <w:p w:rsidR="002D647F" w:rsidRPr="00CA259F" w:rsidRDefault="002D647F" w:rsidP="002D647F">
            <w:pPr>
              <w:rPr>
                <w:color w:val="000000"/>
                <w:sz w:val="17"/>
                <w:szCs w:val="17"/>
                <w:lang w:val="ru-RU"/>
              </w:rPr>
            </w:pPr>
          </w:p>
        </w:tc>
        <w:tc>
          <w:tcPr>
            <w:tcW w:w="813" w:type="pct"/>
            <w:tcBorders>
              <w:top w:val="nil"/>
              <w:left w:val="nil"/>
              <w:bottom w:val="single" w:sz="4" w:space="0" w:color="auto"/>
              <w:right w:val="single" w:sz="4" w:space="0" w:color="auto"/>
            </w:tcBorders>
            <w:shd w:val="clear" w:color="auto" w:fill="auto"/>
          </w:tcPr>
          <w:p w:rsidR="002D647F" w:rsidRPr="00CA259F" w:rsidRDefault="002D647F" w:rsidP="002D647F">
            <w:pPr>
              <w:rPr>
                <w:color w:val="000000"/>
                <w:sz w:val="17"/>
                <w:szCs w:val="17"/>
                <w:lang w:val="ru-RU"/>
              </w:rPr>
            </w:pPr>
          </w:p>
        </w:tc>
        <w:tc>
          <w:tcPr>
            <w:tcW w:w="871" w:type="pct"/>
            <w:tcBorders>
              <w:top w:val="nil"/>
              <w:left w:val="nil"/>
              <w:bottom w:val="single" w:sz="4" w:space="0" w:color="auto"/>
              <w:right w:val="single" w:sz="4" w:space="0" w:color="auto"/>
            </w:tcBorders>
            <w:shd w:val="clear" w:color="auto" w:fill="auto"/>
          </w:tcPr>
          <w:p w:rsidR="002D647F" w:rsidRPr="00CA259F" w:rsidRDefault="002D647F" w:rsidP="005C3CF6">
            <w:pPr>
              <w:rPr>
                <w:color w:val="000000"/>
                <w:sz w:val="17"/>
                <w:szCs w:val="17"/>
                <w:lang w:val="ru-RU"/>
              </w:rPr>
            </w:pPr>
            <w:r>
              <w:rPr>
                <w:color w:val="000000"/>
                <w:sz w:val="17"/>
                <w:szCs w:val="17"/>
                <w:lang w:val="ru-RU"/>
              </w:rPr>
              <w:t>Снижение с</w:t>
            </w:r>
            <w:r w:rsidRPr="00CA259F">
              <w:rPr>
                <w:color w:val="000000"/>
                <w:sz w:val="17"/>
                <w:szCs w:val="17"/>
                <w:lang w:val="ru-RU"/>
              </w:rPr>
              <w:t xml:space="preserve"> 837</w:t>
            </w:r>
            <w:r w:rsidR="004105A7">
              <w:rPr>
                <w:color w:val="000000"/>
                <w:sz w:val="17"/>
                <w:szCs w:val="17"/>
                <w:lang w:val="ru-RU"/>
              </w:rPr>
              <w:t> </w:t>
            </w:r>
            <w:r>
              <w:rPr>
                <w:color w:val="000000"/>
                <w:sz w:val="17"/>
                <w:szCs w:val="17"/>
                <w:lang w:val="ru-RU"/>
              </w:rPr>
              <w:t>шв</w:t>
            </w:r>
            <w:r w:rsidRPr="00CA259F">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CA259F">
              <w:rPr>
                <w:color w:val="000000"/>
                <w:sz w:val="17"/>
                <w:szCs w:val="17"/>
                <w:lang w:val="ru-RU"/>
              </w:rPr>
              <w:t xml:space="preserve"> </w:t>
            </w:r>
            <w:r>
              <w:rPr>
                <w:color w:val="000000"/>
                <w:sz w:val="17"/>
                <w:szCs w:val="17"/>
                <w:lang w:val="ru-RU"/>
              </w:rPr>
              <w:t>в</w:t>
            </w:r>
            <w:r w:rsidRPr="00CA259F">
              <w:rPr>
                <w:color w:val="000000"/>
                <w:sz w:val="17"/>
                <w:szCs w:val="17"/>
                <w:lang w:val="ru-RU"/>
              </w:rPr>
              <w:t xml:space="preserve"> 2014</w:t>
            </w:r>
            <w:r>
              <w:rPr>
                <w:color w:val="000000"/>
                <w:sz w:val="17"/>
                <w:szCs w:val="17"/>
                <w:lang w:val="ru-RU"/>
              </w:rPr>
              <w:t xml:space="preserve"> г. до</w:t>
            </w:r>
            <w:r w:rsidRPr="00CA259F">
              <w:rPr>
                <w:color w:val="000000"/>
                <w:sz w:val="17"/>
                <w:szCs w:val="17"/>
                <w:lang w:val="ru-RU"/>
              </w:rPr>
              <w:t xml:space="preserve"> 743</w:t>
            </w:r>
            <w:r w:rsidR="004105A7">
              <w:rPr>
                <w:color w:val="000000"/>
                <w:sz w:val="17"/>
                <w:szCs w:val="17"/>
                <w:lang w:val="ru-RU"/>
              </w:rPr>
              <w:t> </w:t>
            </w:r>
            <w:r>
              <w:rPr>
                <w:color w:val="000000"/>
                <w:sz w:val="17"/>
                <w:szCs w:val="17"/>
                <w:lang w:val="ru-RU"/>
              </w:rPr>
              <w:t>шв</w:t>
            </w:r>
            <w:r w:rsidRPr="00CA259F">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CA259F">
              <w:rPr>
                <w:color w:val="000000"/>
                <w:sz w:val="17"/>
                <w:szCs w:val="17"/>
                <w:lang w:val="ru-RU"/>
              </w:rPr>
              <w:t xml:space="preserve"> </w:t>
            </w:r>
            <w:r>
              <w:rPr>
                <w:color w:val="000000"/>
                <w:sz w:val="17"/>
                <w:szCs w:val="17"/>
                <w:lang w:val="ru-RU"/>
              </w:rPr>
              <w:t>в</w:t>
            </w:r>
            <w:r w:rsidRPr="00CA259F">
              <w:rPr>
                <w:color w:val="000000"/>
                <w:sz w:val="17"/>
                <w:szCs w:val="17"/>
                <w:lang w:val="ru-RU"/>
              </w:rPr>
              <w:t xml:space="preserve"> 2015</w:t>
            </w:r>
            <w:r>
              <w:rPr>
                <w:color w:val="000000"/>
                <w:sz w:val="17"/>
                <w:szCs w:val="17"/>
                <w:lang w:val="ru-RU"/>
              </w:rPr>
              <w:t xml:space="preserve"> г.</w:t>
            </w:r>
            <w:r w:rsidRPr="00CA259F">
              <w:rPr>
                <w:color w:val="000000"/>
                <w:sz w:val="17"/>
                <w:szCs w:val="17"/>
                <w:lang w:val="ru-RU"/>
              </w:rPr>
              <w:t xml:space="preserve"> (</w:t>
            </w:r>
            <w:r>
              <w:rPr>
                <w:color w:val="000000"/>
                <w:sz w:val="17"/>
                <w:szCs w:val="17"/>
                <w:lang w:val="ru-RU"/>
              </w:rPr>
              <w:t>т.е. на</w:t>
            </w:r>
            <w:r w:rsidRPr="00CA259F">
              <w:rPr>
                <w:color w:val="000000"/>
                <w:sz w:val="17"/>
                <w:szCs w:val="17"/>
                <w:lang w:val="ru-RU"/>
              </w:rPr>
              <w:t xml:space="preserve"> 94</w:t>
            </w:r>
            <w:r w:rsidR="004105A7">
              <w:rPr>
                <w:color w:val="000000"/>
                <w:sz w:val="17"/>
                <w:szCs w:val="17"/>
                <w:lang w:val="ru-RU"/>
              </w:rPr>
              <w:t> </w:t>
            </w:r>
            <w:r>
              <w:rPr>
                <w:color w:val="000000"/>
                <w:sz w:val="17"/>
                <w:szCs w:val="17"/>
                <w:lang w:val="ru-RU"/>
              </w:rPr>
              <w:t>шв</w:t>
            </w:r>
            <w:r w:rsidRPr="00CA259F">
              <w:rPr>
                <w:color w:val="000000"/>
                <w:sz w:val="17"/>
                <w:szCs w:val="17"/>
                <w:lang w:val="ru-RU"/>
              </w:rPr>
              <w:t xml:space="preserve">. </w:t>
            </w:r>
            <w:r>
              <w:rPr>
                <w:color w:val="000000"/>
                <w:sz w:val="17"/>
                <w:szCs w:val="17"/>
                <w:lang w:val="ru-RU"/>
              </w:rPr>
              <w:t>фр</w:t>
            </w:r>
            <w:r w:rsidR="005C3CF6">
              <w:rPr>
                <w:color w:val="000000"/>
                <w:sz w:val="17"/>
                <w:szCs w:val="17"/>
                <w:lang w:val="ru-RU"/>
              </w:rPr>
              <w:t>.</w:t>
            </w:r>
            <w:r>
              <w:rPr>
                <w:color w:val="000000"/>
                <w:sz w:val="17"/>
                <w:szCs w:val="17"/>
                <w:lang w:val="ru-RU"/>
              </w:rPr>
              <w:t>, или на</w:t>
            </w:r>
            <w:r w:rsidR="004105A7">
              <w:rPr>
                <w:color w:val="000000"/>
                <w:sz w:val="17"/>
                <w:szCs w:val="17"/>
                <w:lang w:val="ru-RU"/>
              </w:rPr>
              <w:t xml:space="preserve"> </w:t>
            </w:r>
            <w:r w:rsidRPr="00CA259F">
              <w:rPr>
                <w:color w:val="000000"/>
                <w:sz w:val="17"/>
                <w:szCs w:val="17"/>
                <w:lang w:val="ru-RU"/>
              </w:rPr>
              <w:t>11%)</w:t>
            </w:r>
          </w:p>
        </w:tc>
        <w:tc>
          <w:tcPr>
            <w:tcW w:w="1183" w:type="pct"/>
            <w:tcBorders>
              <w:top w:val="nil"/>
              <w:left w:val="nil"/>
              <w:bottom w:val="single" w:sz="4" w:space="0" w:color="auto"/>
              <w:right w:val="single" w:sz="4" w:space="0" w:color="auto"/>
            </w:tcBorders>
            <w:shd w:val="clear" w:color="auto" w:fill="auto"/>
          </w:tcPr>
          <w:p w:rsidR="002D647F" w:rsidRPr="00303E4F" w:rsidRDefault="002D647F" w:rsidP="00506508">
            <w:pPr>
              <w:ind w:left="-43"/>
              <w:rPr>
                <w:color w:val="000000"/>
                <w:sz w:val="17"/>
                <w:szCs w:val="17"/>
              </w:rPr>
            </w:pPr>
            <w:r>
              <w:rPr>
                <w:color w:val="000000"/>
                <w:sz w:val="17"/>
                <w:szCs w:val="17"/>
                <w:lang w:val="ru-RU"/>
              </w:rPr>
              <w:t>Подробнее</w:t>
            </w:r>
            <w:r w:rsidRPr="00C02754">
              <w:rPr>
                <w:color w:val="000000"/>
                <w:sz w:val="17"/>
                <w:szCs w:val="17"/>
                <w:lang w:val="ru-RU"/>
              </w:rPr>
              <w:t xml:space="preserve"> </w:t>
            </w:r>
            <w:r>
              <w:rPr>
                <w:color w:val="000000"/>
                <w:sz w:val="17"/>
                <w:szCs w:val="17"/>
                <w:lang w:val="ru-RU"/>
              </w:rPr>
              <w:t>об</w:t>
            </w:r>
            <w:r w:rsidRPr="00C02754">
              <w:rPr>
                <w:color w:val="000000"/>
                <w:sz w:val="17"/>
                <w:szCs w:val="17"/>
                <w:lang w:val="ru-RU"/>
              </w:rPr>
              <w:t xml:space="preserve"> </w:t>
            </w:r>
            <w:r>
              <w:rPr>
                <w:color w:val="000000"/>
                <w:sz w:val="17"/>
                <w:szCs w:val="17"/>
                <w:lang w:val="ru-RU"/>
              </w:rPr>
              <w:t>операциях</w:t>
            </w:r>
            <w:r w:rsidRPr="00C02754">
              <w:rPr>
                <w:color w:val="000000"/>
                <w:sz w:val="17"/>
                <w:szCs w:val="17"/>
                <w:lang w:val="ru-RU"/>
              </w:rPr>
              <w:t xml:space="preserve"> </w:t>
            </w:r>
            <w:r>
              <w:rPr>
                <w:color w:val="000000"/>
                <w:sz w:val="17"/>
                <w:szCs w:val="17"/>
                <w:lang w:val="ru-RU"/>
              </w:rPr>
              <w:t xml:space="preserve">в рамках Мадридской системы </w:t>
            </w:r>
            <w:r w:rsidRPr="00C02754">
              <w:rPr>
                <w:color w:val="000000"/>
                <w:sz w:val="17"/>
                <w:szCs w:val="17"/>
                <w:lang w:val="ru-RU"/>
              </w:rPr>
              <w:t>см.  ОРП</w:t>
            </w:r>
            <w:r w:rsidRPr="00C02754">
              <w:rPr>
                <w:color w:val="000000"/>
                <w:sz w:val="17"/>
                <w:szCs w:val="17"/>
              </w:rPr>
              <w:t xml:space="preserve"> </w:t>
            </w:r>
            <w:r w:rsidRPr="00C02754">
              <w:rPr>
                <w:color w:val="000000"/>
                <w:sz w:val="17"/>
                <w:szCs w:val="17"/>
                <w:lang w:val="ru-RU"/>
              </w:rPr>
              <w:t>за</w:t>
            </w:r>
            <w:r w:rsidRPr="00C02754">
              <w:rPr>
                <w:color w:val="000000"/>
                <w:sz w:val="17"/>
                <w:szCs w:val="17"/>
              </w:rPr>
              <w:t xml:space="preserve"> 2014-2015 </w:t>
            </w:r>
            <w:r w:rsidRPr="00C02754">
              <w:rPr>
                <w:color w:val="000000"/>
                <w:sz w:val="17"/>
                <w:szCs w:val="17"/>
                <w:lang w:val="ru-RU"/>
              </w:rPr>
              <w:t>гг</w:t>
            </w:r>
            <w:r w:rsidRPr="00C02754">
              <w:rPr>
                <w:color w:val="000000"/>
                <w:sz w:val="17"/>
                <w:szCs w:val="17"/>
              </w:rPr>
              <w:t>.</w:t>
            </w:r>
            <w:r>
              <w:rPr>
                <w:color w:val="000000"/>
                <w:sz w:val="17"/>
                <w:szCs w:val="17"/>
              </w:rPr>
              <w:t xml:space="preserve"> </w:t>
            </w:r>
            <w:r w:rsidRPr="00303E4F">
              <w:rPr>
                <w:color w:val="000000"/>
                <w:sz w:val="17"/>
                <w:szCs w:val="17"/>
              </w:rPr>
              <w:t xml:space="preserve"> </w:t>
            </w:r>
          </w:p>
        </w:tc>
      </w:tr>
      <w:tr w:rsidR="00506508" w:rsidRPr="005C6ABD" w:rsidTr="00506508">
        <w:trPr>
          <w:trHeight w:val="1020"/>
        </w:trPr>
        <w:tc>
          <w:tcPr>
            <w:tcW w:w="1014" w:type="pct"/>
            <w:tcBorders>
              <w:top w:val="single" w:sz="4" w:space="0" w:color="auto"/>
              <w:left w:val="single" w:sz="4" w:space="0" w:color="auto"/>
              <w:bottom w:val="single" w:sz="4" w:space="0" w:color="auto"/>
              <w:right w:val="single" w:sz="4" w:space="0" w:color="auto"/>
            </w:tcBorders>
            <w:shd w:val="clear" w:color="auto" w:fill="auto"/>
            <w:hideMark/>
          </w:tcPr>
          <w:p w:rsidR="002D647F" w:rsidRPr="00C02754" w:rsidRDefault="002D647F" w:rsidP="002D647F">
            <w:pPr>
              <w:rPr>
                <w:color w:val="000000"/>
                <w:sz w:val="17"/>
                <w:szCs w:val="17"/>
                <w:lang w:val="ru-RU"/>
              </w:rPr>
            </w:pPr>
            <w:r>
              <w:rPr>
                <w:color w:val="000000"/>
                <w:sz w:val="17"/>
                <w:szCs w:val="17"/>
                <w:lang w:val="ru-RU"/>
              </w:rPr>
              <w:t>Сокращение</w:t>
            </w:r>
            <w:r w:rsidRPr="00C02754">
              <w:rPr>
                <w:color w:val="000000"/>
                <w:sz w:val="17"/>
                <w:szCs w:val="17"/>
                <w:lang w:val="ru-RU"/>
              </w:rPr>
              <w:t xml:space="preserve"> </w:t>
            </w:r>
            <w:r>
              <w:rPr>
                <w:color w:val="000000"/>
                <w:sz w:val="17"/>
                <w:szCs w:val="17"/>
                <w:lang w:val="ru-RU"/>
              </w:rPr>
              <w:t>расходов</w:t>
            </w:r>
            <w:r w:rsidRPr="00C02754">
              <w:rPr>
                <w:color w:val="000000"/>
                <w:sz w:val="17"/>
                <w:szCs w:val="17"/>
                <w:lang w:val="ru-RU"/>
              </w:rPr>
              <w:t xml:space="preserve"> </w:t>
            </w:r>
            <w:r>
              <w:rPr>
                <w:color w:val="000000"/>
                <w:sz w:val="17"/>
                <w:szCs w:val="17"/>
                <w:lang w:val="ru-RU"/>
              </w:rPr>
              <w:t>на</w:t>
            </w:r>
            <w:r w:rsidRPr="00C02754">
              <w:rPr>
                <w:color w:val="000000"/>
                <w:sz w:val="17"/>
                <w:szCs w:val="17"/>
                <w:lang w:val="ru-RU"/>
              </w:rPr>
              <w:t xml:space="preserve"> </w:t>
            </w:r>
            <w:r>
              <w:rPr>
                <w:color w:val="000000"/>
                <w:sz w:val="17"/>
                <w:szCs w:val="17"/>
                <w:lang w:val="ru-RU"/>
              </w:rPr>
              <w:t>поездки в связи с отпуском на родину в результате осуществления новой политики организации таких поездок (служебная инструкция</w:t>
            </w:r>
            <w:r w:rsidRPr="00C02754">
              <w:rPr>
                <w:color w:val="000000"/>
                <w:sz w:val="17"/>
                <w:szCs w:val="17"/>
                <w:lang w:val="ru-RU"/>
              </w:rPr>
              <w:t xml:space="preserve"> 22/2014)</w:t>
            </w:r>
          </w:p>
        </w:tc>
        <w:tc>
          <w:tcPr>
            <w:tcW w:w="589" w:type="pct"/>
            <w:tcBorders>
              <w:top w:val="single" w:sz="4" w:space="0" w:color="auto"/>
              <w:left w:val="nil"/>
              <w:bottom w:val="single" w:sz="4" w:space="0" w:color="auto"/>
              <w:right w:val="single" w:sz="4" w:space="0" w:color="auto"/>
            </w:tcBorders>
            <w:shd w:val="clear" w:color="auto" w:fill="auto"/>
            <w:hideMark/>
          </w:tcPr>
          <w:p w:rsidR="002D647F" w:rsidRPr="00C02754" w:rsidRDefault="002D647F" w:rsidP="002D647F">
            <w:pPr>
              <w:rPr>
                <w:color w:val="000000"/>
                <w:sz w:val="17"/>
                <w:szCs w:val="17"/>
                <w:lang w:val="ru-RU"/>
              </w:rPr>
            </w:pPr>
            <w:r>
              <w:rPr>
                <w:color w:val="000000"/>
                <w:sz w:val="17"/>
                <w:szCs w:val="17"/>
                <w:lang w:val="ru-RU"/>
              </w:rPr>
              <w:t>Нет данных</w:t>
            </w:r>
          </w:p>
        </w:tc>
        <w:tc>
          <w:tcPr>
            <w:tcW w:w="530"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 267</w:t>
            </w:r>
            <w:r>
              <w:rPr>
                <w:color w:val="000000"/>
                <w:sz w:val="17"/>
                <w:szCs w:val="17"/>
                <w:lang w:val="ru-RU"/>
              </w:rPr>
              <w:t xml:space="preserve"> </w:t>
            </w:r>
            <w:r w:rsidRPr="00303E4F">
              <w:rPr>
                <w:color w:val="000000"/>
                <w:sz w:val="17"/>
                <w:szCs w:val="17"/>
              </w:rPr>
              <w:t>000</w:t>
            </w:r>
          </w:p>
        </w:tc>
        <w:tc>
          <w:tcPr>
            <w:tcW w:w="813"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p>
        </w:tc>
        <w:tc>
          <w:tcPr>
            <w:tcW w:w="871"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p>
        </w:tc>
        <w:tc>
          <w:tcPr>
            <w:tcW w:w="1183" w:type="pct"/>
            <w:tcBorders>
              <w:top w:val="single" w:sz="4" w:space="0" w:color="auto"/>
              <w:left w:val="nil"/>
              <w:bottom w:val="single" w:sz="4" w:space="0" w:color="auto"/>
              <w:right w:val="single" w:sz="4" w:space="0" w:color="auto"/>
            </w:tcBorders>
            <w:shd w:val="clear" w:color="auto" w:fill="auto"/>
            <w:hideMark/>
          </w:tcPr>
          <w:p w:rsidR="002D647F" w:rsidRPr="00C02754" w:rsidRDefault="002D647F" w:rsidP="00506508">
            <w:pPr>
              <w:ind w:left="-43"/>
              <w:rPr>
                <w:color w:val="000000"/>
                <w:sz w:val="17"/>
                <w:szCs w:val="17"/>
                <w:lang w:val="ru-RU"/>
              </w:rPr>
            </w:pPr>
            <w:r>
              <w:rPr>
                <w:color w:val="000000"/>
                <w:sz w:val="17"/>
                <w:szCs w:val="17"/>
                <w:lang w:val="ru-RU"/>
              </w:rPr>
              <w:t>О</w:t>
            </w:r>
            <w:r w:rsidRPr="00C02754">
              <w:rPr>
                <w:color w:val="000000"/>
                <w:sz w:val="17"/>
                <w:szCs w:val="17"/>
                <w:lang w:val="ru-RU"/>
              </w:rPr>
              <w:t>существлени</w:t>
            </w:r>
            <w:r>
              <w:rPr>
                <w:color w:val="000000"/>
                <w:sz w:val="17"/>
                <w:szCs w:val="17"/>
                <w:lang w:val="ru-RU"/>
              </w:rPr>
              <w:t>е</w:t>
            </w:r>
            <w:r w:rsidRPr="00C02754">
              <w:rPr>
                <w:color w:val="000000"/>
                <w:sz w:val="17"/>
                <w:szCs w:val="17"/>
                <w:lang w:val="ru-RU"/>
              </w:rPr>
              <w:t xml:space="preserve"> новой политики организации поезд</w:t>
            </w:r>
            <w:r>
              <w:rPr>
                <w:color w:val="000000"/>
                <w:sz w:val="17"/>
                <w:szCs w:val="17"/>
                <w:lang w:val="ru-RU"/>
              </w:rPr>
              <w:t>ок</w:t>
            </w:r>
            <w:r w:rsidRPr="00C02754">
              <w:rPr>
                <w:color w:val="000000"/>
                <w:sz w:val="17"/>
                <w:szCs w:val="17"/>
                <w:lang w:val="ru-RU"/>
              </w:rPr>
              <w:t xml:space="preserve"> в связи с отпуском на родину </w:t>
            </w:r>
            <w:r>
              <w:rPr>
                <w:color w:val="000000"/>
                <w:sz w:val="17"/>
                <w:szCs w:val="17"/>
                <w:lang w:val="ru-RU"/>
              </w:rPr>
              <w:t>начато в</w:t>
            </w:r>
            <w:r w:rsidRPr="00C02754">
              <w:rPr>
                <w:color w:val="000000"/>
                <w:sz w:val="17"/>
                <w:szCs w:val="17"/>
                <w:lang w:val="ru-RU"/>
              </w:rPr>
              <w:t xml:space="preserve"> 2015</w:t>
            </w:r>
            <w:r>
              <w:rPr>
                <w:color w:val="000000"/>
                <w:sz w:val="17"/>
                <w:szCs w:val="17"/>
                <w:lang w:val="ru-RU"/>
              </w:rPr>
              <w:t xml:space="preserve"> г</w:t>
            </w:r>
            <w:r w:rsidRPr="00C02754">
              <w:rPr>
                <w:color w:val="000000"/>
                <w:sz w:val="17"/>
                <w:szCs w:val="17"/>
                <w:lang w:val="ru-RU"/>
              </w:rPr>
              <w:t xml:space="preserve">.  </w:t>
            </w:r>
          </w:p>
        </w:tc>
      </w:tr>
      <w:tr w:rsidR="00506508" w:rsidRPr="005C6ABD" w:rsidTr="00506508">
        <w:trPr>
          <w:trHeight w:val="2040"/>
        </w:trPr>
        <w:tc>
          <w:tcPr>
            <w:tcW w:w="1014" w:type="pct"/>
            <w:tcBorders>
              <w:top w:val="nil"/>
              <w:left w:val="single" w:sz="4" w:space="0" w:color="auto"/>
              <w:bottom w:val="single" w:sz="4" w:space="0" w:color="auto"/>
              <w:right w:val="single" w:sz="4" w:space="0" w:color="auto"/>
            </w:tcBorders>
            <w:shd w:val="clear" w:color="auto" w:fill="auto"/>
          </w:tcPr>
          <w:p w:rsidR="002D647F" w:rsidRPr="00F54B6D" w:rsidRDefault="002D647F" w:rsidP="002D647F">
            <w:pPr>
              <w:rPr>
                <w:color w:val="000000"/>
                <w:sz w:val="17"/>
                <w:szCs w:val="17"/>
                <w:lang w:val="ru-RU"/>
              </w:rPr>
            </w:pPr>
            <w:r>
              <w:rPr>
                <w:color w:val="000000"/>
                <w:sz w:val="17"/>
                <w:szCs w:val="17"/>
                <w:lang w:val="ru-RU"/>
              </w:rPr>
              <w:t>Снижение</w:t>
            </w:r>
            <w:r w:rsidRPr="00F54B6D">
              <w:rPr>
                <w:color w:val="000000"/>
                <w:sz w:val="17"/>
                <w:szCs w:val="17"/>
                <w:lang w:val="ru-RU"/>
              </w:rPr>
              <w:t xml:space="preserve"> </w:t>
            </w:r>
            <w:r>
              <w:rPr>
                <w:color w:val="000000"/>
                <w:sz w:val="17"/>
                <w:szCs w:val="17"/>
                <w:lang w:val="ru-RU"/>
              </w:rPr>
              <w:t>средних</w:t>
            </w:r>
            <w:r w:rsidRPr="00F54B6D">
              <w:rPr>
                <w:color w:val="000000"/>
                <w:sz w:val="17"/>
                <w:szCs w:val="17"/>
                <w:lang w:val="ru-RU"/>
              </w:rPr>
              <w:t xml:space="preserve"> </w:t>
            </w:r>
            <w:r>
              <w:rPr>
                <w:color w:val="000000"/>
                <w:sz w:val="17"/>
                <w:szCs w:val="17"/>
                <w:lang w:val="ru-RU"/>
              </w:rPr>
              <w:t>цен</w:t>
            </w:r>
            <w:r w:rsidRPr="00F54B6D">
              <w:rPr>
                <w:color w:val="000000"/>
                <w:sz w:val="17"/>
                <w:szCs w:val="17"/>
                <w:lang w:val="ru-RU"/>
              </w:rPr>
              <w:t xml:space="preserve"> </w:t>
            </w:r>
            <w:r>
              <w:rPr>
                <w:color w:val="000000"/>
                <w:sz w:val="17"/>
                <w:szCs w:val="17"/>
                <w:lang w:val="ru-RU"/>
              </w:rPr>
              <w:t>авиабилетов</w:t>
            </w:r>
            <w:r w:rsidRPr="00F54B6D">
              <w:rPr>
                <w:color w:val="000000"/>
                <w:sz w:val="17"/>
                <w:szCs w:val="17"/>
                <w:lang w:val="ru-RU"/>
              </w:rPr>
              <w:t xml:space="preserve"> </w:t>
            </w:r>
            <w:r>
              <w:rPr>
                <w:color w:val="000000"/>
                <w:sz w:val="17"/>
                <w:szCs w:val="17"/>
                <w:lang w:val="ru-RU"/>
              </w:rPr>
              <w:t>в</w:t>
            </w:r>
            <w:r w:rsidRPr="00F54B6D">
              <w:rPr>
                <w:color w:val="000000"/>
                <w:sz w:val="17"/>
                <w:szCs w:val="17"/>
                <w:lang w:val="ru-RU"/>
              </w:rPr>
              <w:t xml:space="preserve"> </w:t>
            </w:r>
            <w:r>
              <w:rPr>
                <w:color w:val="000000"/>
                <w:sz w:val="17"/>
                <w:szCs w:val="17"/>
                <w:lang w:val="ru-RU"/>
              </w:rPr>
              <w:t>результате</w:t>
            </w:r>
            <w:r w:rsidRPr="00F54B6D">
              <w:rPr>
                <w:color w:val="000000"/>
                <w:sz w:val="17"/>
                <w:szCs w:val="17"/>
                <w:lang w:val="ru-RU"/>
              </w:rPr>
              <w:t xml:space="preserve"> </w:t>
            </w:r>
            <w:r>
              <w:rPr>
                <w:color w:val="000000"/>
                <w:sz w:val="17"/>
                <w:szCs w:val="17"/>
                <w:lang w:val="ru-RU"/>
              </w:rPr>
              <w:t>внедрения</w:t>
            </w:r>
            <w:r w:rsidRPr="00F54B6D">
              <w:rPr>
                <w:color w:val="000000"/>
                <w:sz w:val="17"/>
                <w:szCs w:val="17"/>
                <w:lang w:val="ru-RU"/>
              </w:rPr>
              <w:t xml:space="preserve"> </w:t>
            </w:r>
            <w:r>
              <w:rPr>
                <w:color w:val="000000"/>
                <w:sz w:val="17"/>
                <w:szCs w:val="17"/>
                <w:lang w:val="ru-RU"/>
              </w:rPr>
              <w:t>инструментов</w:t>
            </w:r>
            <w:r w:rsidRPr="00F54B6D">
              <w:rPr>
                <w:color w:val="000000"/>
                <w:sz w:val="17"/>
                <w:szCs w:val="17"/>
                <w:lang w:val="ru-RU"/>
              </w:rPr>
              <w:t xml:space="preserve"> </w:t>
            </w:r>
            <w:r>
              <w:rPr>
                <w:color w:val="000000"/>
                <w:sz w:val="17"/>
                <w:szCs w:val="17"/>
                <w:lang w:val="ru-RU"/>
              </w:rPr>
              <w:t>организации</w:t>
            </w:r>
            <w:r w:rsidRPr="00F54B6D">
              <w:rPr>
                <w:color w:val="000000"/>
                <w:sz w:val="17"/>
                <w:szCs w:val="17"/>
                <w:lang w:val="ru-RU"/>
              </w:rPr>
              <w:t xml:space="preserve"> </w:t>
            </w:r>
            <w:r>
              <w:rPr>
                <w:color w:val="000000"/>
                <w:sz w:val="17"/>
                <w:szCs w:val="17"/>
                <w:lang w:val="ru-RU"/>
              </w:rPr>
              <w:t>поездок</w:t>
            </w:r>
            <w:r w:rsidRPr="00F54B6D">
              <w:rPr>
                <w:color w:val="000000"/>
                <w:sz w:val="17"/>
                <w:szCs w:val="17"/>
                <w:lang w:val="ru-RU"/>
              </w:rPr>
              <w:t xml:space="preserve"> </w:t>
            </w:r>
            <w:r>
              <w:rPr>
                <w:color w:val="000000"/>
                <w:sz w:val="17"/>
                <w:szCs w:val="17"/>
                <w:lang w:val="ru-RU"/>
              </w:rPr>
              <w:t>на</w:t>
            </w:r>
            <w:r w:rsidRPr="00F54B6D">
              <w:rPr>
                <w:color w:val="000000"/>
                <w:sz w:val="17"/>
                <w:szCs w:val="17"/>
                <w:lang w:val="ru-RU"/>
              </w:rPr>
              <w:t xml:space="preserve"> </w:t>
            </w:r>
            <w:r>
              <w:rPr>
                <w:color w:val="000000"/>
                <w:sz w:val="17"/>
                <w:szCs w:val="17"/>
                <w:lang w:val="ru-RU"/>
              </w:rPr>
              <w:t>базе</w:t>
            </w:r>
            <w:r w:rsidRPr="00F54B6D">
              <w:rPr>
                <w:color w:val="000000"/>
                <w:sz w:val="17"/>
                <w:szCs w:val="17"/>
                <w:lang w:val="ru-RU"/>
              </w:rPr>
              <w:t xml:space="preserve"> </w:t>
            </w:r>
            <w:r>
              <w:rPr>
                <w:color w:val="000000"/>
                <w:sz w:val="17"/>
                <w:szCs w:val="17"/>
                <w:lang w:val="ru-RU"/>
              </w:rPr>
              <w:t>новых</w:t>
            </w:r>
            <w:r w:rsidRPr="00F54B6D">
              <w:rPr>
                <w:color w:val="000000"/>
                <w:sz w:val="17"/>
                <w:szCs w:val="17"/>
                <w:lang w:val="ru-RU"/>
              </w:rPr>
              <w:t xml:space="preserve"> </w:t>
            </w:r>
            <w:r>
              <w:rPr>
                <w:color w:val="000000"/>
                <w:sz w:val="17"/>
                <w:szCs w:val="17"/>
                <w:lang w:val="ru-RU"/>
              </w:rPr>
              <w:t>технологий</w:t>
            </w:r>
            <w:r w:rsidRPr="00F54B6D">
              <w:rPr>
                <w:color w:val="000000"/>
                <w:sz w:val="17"/>
                <w:szCs w:val="17"/>
                <w:lang w:val="ru-RU"/>
              </w:rPr>
              <w:t xml:space="preserve">, </w:t>
            </w:r>
            <w:r>
              <w:rPr>
                <w:color w:val="000000"/>
                <w:sz w:val="17"/>
                <w:szCs w:val="17"/>
                <w:lang w:val="ru-RU"/>
              </w:rPr>
              <w:t>которые</w:t>
            </w:r>
            <w:r w:rsidRPr="00F54B6D">
              <w:rPr>
                <w:color w:val="000000"/>
                <w:sz w:val="17"/>
                <w:szCs w:val="17"/>
                <w:lang w:val="ru-RU"/>
              </w:rPr>
              <w:t xml:space="preserve"> </w:t>
            </w:r>
            <w:r>
              <w:rPr>
                <w:color w:val="000000"/>
                <w:sz w:val="17"/>
                <w:szCs w:val="17"/>
                <w:lang w:val="ru-RU"/>
              </w:rPr>
              <w:t>позволяют</w:t>
            </w:r>
            <w:r w:rsidRPr="00F54B6D">
              <w:rPr>
                <w:color w:val="000000"/>
                <w:sz w:val="17"/>
                <w:szCs w:val="17"/>
                <w:lang w:val="ru-RU"/>
              </w:rPr>
              <w:t xml:space="preserve"> </w:t>
            </w:r>
            <w:r>
              <w:rPr>
                <w:color w:val="000000"/>
                <w:sz w:val="17"/>
                <w:szCs w:val="17"/>
                <w:lang w:val="ru-RU"/>
              </w:rPr>
              <w:t>использовать</w:t>
            </w:r>
            <w:r w:rsidRPr="00F54B6D">
              <w:rPr>
                <w:color w:val="000000"/>
                <w:sz w:val="17"/>
                <w:szCs w:val="17"/>
                <w:lang w:val="ru-RU"/>
              </w:rPr>
              <w:t xml:space="preserve"> более экономичные тарифы (</w:t>
            </w:r>
            <w:r>
              <w:rPr>
                <w:color w:val="000000"/>
                <w:sz w:val="17"/>
                <w:szCs w:val="17"/>
                <w:lang w:val="ru-RU"/>
              </w:rPr>
              <w:t>с ограничениями или на безвозвратной основе</w:t>
            </w:r>
            <w:r w:rsidRPr="00F54B6D">
              <w:rPr>
                <w:color w:val="000000"/>
                <w:sz w:val="17"/>
                <w:szCs w:val="17"/>
                <w:lang w:val="ru-RU"/>
              </w:rPr>
              <w:t xml:space="preserve">) </w:t>
            </w:r>
            <w:r>
              <w:rPr>
                <w:color w:val="000000"/>
                <w:sz w:val="17"/>
                <w:szCs w:val="17"/>
                <w:lang w:val="ru-RU"/>
              </w:rPr>
              <w:t xml:space="preserve">в полном соответствии с политикой ВОИС по вопросам поездок </w:t>
            </w:r>
            <w:r w:rsidRPr="00F54B6D">
              <w:rPr>
                <w:color w:val="000000"/>
                <w:sz w:val="17"/>
                <w:szCs w:val="17"/>
                <w:lang w:val="ru-RU"/>
              </w:rPr>
              <w:t xml:space="preserve"> </w:t>
            </w:r>
            <w:r>
              <w:rPr>
                <w:color w:val="000000"/>
                <w:sz w:val="17"/>
                <w:szCs w:val="17"/>
                <w:lang w:val="ru-RU"/>
              </w:rPr>
              <w:t>и влияют на порядок предварительного бронирования билетов</w:t>
            </w:r>
            <w:r w:rsidRPr="00F54B6D">
              <w:rPr>
                <w:color w:val="000000"/>
                <w:sz w:val="17"/>
                <w:szCs w:val="17"/>
                <w:lang w:val="ru-RU"/>
              </w:rPr>
              <w:t xml:space="preserve">.  </w:t>
            </w:r>
          </w:p>
        </w:tc>
        <w:tc>
          <w:tcPr>
            <w:tcW w:w="589" w:type="pct"/>
            <w:tcBorders>
              <w:top w:val="nil"/>
              <w:left w:val="nil"/>
              <w:bottom w:val="single" w:sz="4" w:space="0" w:color="auto"/>
              <w:right w:val="single" w:sz="4" w:space="0" w:color="auto"/>
            </w:tcBorders>
            <w:shd w:val="clear" w:color="auto" w:fill="auto"/>
          </w:tcPr>
          <w:p w:rsidR="002D647F" w:rsidRPr="00F54B6D" w:rsidRDefault="002D647F" w:rsidP="002D647F">
            <w:pPr>
              <w:rPr>
                <w:color w:val="000000"/>
                <w:sz w:val="17"/>
                <w:szCs w:val="17"/>
                <w:lang w:val="ru-RU"/>
              </w:rPr>
            </w:pPr>
          </w:p>
        </w:tc>
        <w:tc>
          <w:tcPr>
            <w:tcW w:w="530" w:type="pct"/>
            <w:tcBorders>
              <w:top w:val="nil"/>
              <w:left w:val="nil"/>
              <w:bottom w:val="single" w:sz="4" w:space="0" w:color="auto"/>
              <w:right w:val="single" w:sz="4" w:space="0" w:color="auto"/>
            </w:tcBorders>
            <w:shd w:val="clear" w:color="auto" w:fill="auto"/>
          </w:tcPr>
          <w:p w:rsidR="002D647F" w:rsidRPr="00F54B6D" w:rsidRDefault="002D647F" w:rsidP="002D647F">
            <w:pPr>
              <w:rPr>
                <w:color w:val="000000"/>
                <w:sz w:val="17"/>
                <w:szCs w:val="17"/>
                <w:lang w:val="ru-RU"/>
              </w:rPr>
            </w:pPr>
            <w:r w:rsidRPr="00303E4F">
              <w:rPr>
                <w:color w:val="000000"/>
                <w:sz w:val="17"/>
                <w:szCs w:val="17"/>
              </w:rPr>
              <w:t> </w:t>
            </w:r>
          </w:p>
        </w:tc>
        <w:tc>
          <w:tcPr>
            <w:tcW w:w="813" w:type="pct"/>
            <w:tcBorders>
              <w:top w:val="nil"/>
              <w:left w:val="nil"/>
              <w:bottom w:val="single" w:sz="4" w:space="0" w:color="auto"/>
              <w:right w:val="single" w:sz="4" w:space="0" w:color="auto"/>
            </w:tcBorders>
            <w:shd w:val="clear" w:color="auto" w:fill="auto"/>
          </w:tcPr>
          <w:p w:rsidR="002D647F" w:rsidRPr="00F54B6D" w:rsidRDefault="002D647F" w:rsidP="004105A7">
            <w:pPr>
              <w:rPr>
                <w:color w:val="000000"/>
                <w:sz w:val="17"/>
                <w:szCs w:val="17"/>
                <w:lang w:val="ru-RU"/>
              </w:rPr>
            </w:pPr>
            <w:r>
              <w:rPr>
                <w:color w:val="000000"/>
                <w:sz w:val="17"/>
                <w:szCs w:val="17"/>
                <w:lang w:val="ru-RU"/>
              </w:rPr>
              <w:t xml:space="preserve">Снижение с </w:t>
            </w:r>
            <w:r w:rsidRPr="00F54B6D">
              <w:rPr>
                <w:color w:val="000000"/>
                <w:sz w:val="17"/>
                <w:szCs w:val="17"/>
                <w:lang w:val="ru-RU"/>
              </w:rPr>
              <w:t>1</w:t>
            </w:r>
            <w:r w:rsidR="004105A7">
              <w:rPr>
                <w:color w:val="000000"/>
                <w:sz w:val="17"/>
                <w:szCs w:val="17"/>
                <w:lang w:val="ru-RU"/>
              </w:rPr>
              <w:t> </w:t>
            </w:r>
            <w:r w:rsidRPr="00F54B6D">
              <w:rPr>
                <w:color w:val="000000"/>
                <w:sz w:val="17"/>
                <w:szCs w:val="17"/>
                <w:lang w:val="ru-RU"/>
              </w:rPr>
              <w:t xml:space="preserve">728 </w:t>
            </w:r>
            <w:r>
              <w:rPr>
                <w:color w:val="000000"/>
                <w:sz w:val="17"/>
                <w:szCs w:val="17"/>
                <w:lang w:val="ru-RU"/>
              </w:rPr>
              <w:t>шв</w:t>
            </w:r>
            <w:r w:rsidRPr="00F54B6D">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F54B6D">
              <w:rPr>
                <w:color w:val="000000"/>
                <w:sz w:val="17"/>
                <w:szCs w:val="17"/>
                <w:lang w:val="ru-RU"/>
              </w:rPr>
              <w:t xml:space="preserve"> </w:t>
            </w:r>
            <w:r>
              <w:rPr>
                <w:color w:val="000000"/>
                <w:sz w:val="17"/>
                <w:szCs w:val="17"/>
                <w:lang w:val="ru-RU"/>
              </w:rPr>
              <w:t>в</w:t>
            </w:r>
            <w:r w:rsidRPr="00F54B6D">
              <w:rPr>
                <w:color w:val="000000"/>
                <w:sz w:val="17"/>
                <w:szCs w:val="17"/>
                <w:lang w:val="ru-RU"/>
              </w:rPr>
              <w:t xml:space="preserve"> 2013</w:t>
            </w:r>
            <w:r>
              <w:rPr>
                <w:color w:val="000000"/>
                <w:sz w:val="17"/>
                <w:szCs w:val="17"/>
                <w:lang w:val="ru-RU"/>
              </w:rPr>
              <w:t xml:space="preserve"> г. до</w:t>
            </w:r>
            <w:r w:rsidRPr="00F54B6D">
              <w:rPr>
                <w:color w:val="000000"/>
                <w:sz w:val="17"/>
                <w:szCs w:val="17"/>
                <w:lang w:val="ru-RU"/>
              </w:rPr>
              <w:t xml:space="preserve"> </w:t>
            </w:r>
            <w:r>
              <w:rPr>
                <w:color w:val="000000"/>
                <w:sz w:val="17"/>
                <w:szCs w:val="17"/>
                <w:lang w:val="ru-RU"/>
              </w:rPr>
              <w:t>1</w:t>
            </w:r>
            <w:r w:rsidR="004105A7">
              <w:rPr>
                <w:color w:val="000000"/>
                <w:sz w:val="17"/>
                <w:szCs w:val="17"/>
                <w:lang w:val="ru-RU"/>
              </w:rPr>
              <w:t> </w:t>
            </w:r>
            <w:r w:rsidRPr="00F54B6D">
              <w:rPr>
                <w:color w:val="000000"/>
                <w:sz w:val="17"/>
                <w:szCs w:val="17"/>
                <w:lang w:val="ru-RU"/>
              </w:rPr>
              <w:t xml:space="preserve">598 </w:t>
            </w:r>
            <w:r>
              <w:rPr>
                <w:color w:val="000000"/>
                <w:sz w:val="17"/>
                <w:szCs w:val="17"/>
                <w:lang w:val="ru-RU"/>
              </w:rPr>
              <w:t>шв</w:t>
            </w:r>
            <w:r w:rsidRPr="00F54B6D">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F54B6D">
              <w:rPr>
                <w:color w:val="000000"/>
                <w:sz w:val="17"/>
                <w:szCs w:val="17"/>
                <w:lang w:val="ru-RU"/>
              </w:rPr>
              <w:t xml:space="preserve"> </w:t>
            </w:r>
            <w:r>
              <w:rPr>
                <w:color w:val="000000"/>
                <w:sz w:val="17"/>
                <w:szCs w:val="17"/>
                <w:lang w:val="ru-RU"/>
              </w:rPr>
              <w:t>в</w:t>
            </w:r>
            <w:r w:rsidRPr="00F54B6D">
              <w:rPr>
                <w:color w:val="000000"/>
                <w:sz w:val="17"/>
                <w:szCs w:val="17"/>
                <w:lang w:val="ru-RU"/>
              </w:rPr>
              <w:t xml:space="preserve"> 2014</w:t>
            </w:r>
            <w:r>
              <w:rPr>
                <w:color w:val="000000"/>
                <w:sz w:val="17"/>
                <w:szCs w:val="17"/>
                <w:lang w:val="ru-RU"/>
              </w:rPr>
              <w:t xml:space="preserve"> г.</w:t>
            </w:r>
            <w:r w:rsidRPr="00F54B6D">
              <w:rPr>
                <w:color w:val="000000"/>
                <w:sz w:val="17"/>
                <w:szCs w:val="17"/>
                <w:lang w:val="ru-RU"/>
              </w:rPr>
              <w:t xml:space="preserve"> (</w:t>
            </w:r>
            <w:r>
              <w:rPr>
                <w:color w:val="000000"/>
                <w:sz w:val="17"/>
                <w:szCs w:val="17"/>
                <w:lang w:val="ru-RU"/>
              </w:rPr>
              <w:t xml:space="preserve">на </w:t>
            </w:r>
            <w:r w:rsidRPr="00F54B6D">
              <w:rPr>
                <w:color w:val="000000"/>
                <w:sz w:val="17"/>
                <w:szCs w:val="17"/>
                <w:lang w:val="ru-RU"/>
              </w:rPr>
              <w:t>7.5%</w:t>
            </w:r>
            <w:r>
              <w:rPr>
                <w:color w:val="000000"/>
                <w:sz w:val="17"/>
                <w:szCs w:val="17"/>
                <w:lang w:val="ru-RU"/>
              </w:rPr>
              <w:t xml:space="preserve"> </w:t>
            </w:r>
            <w:r w:rsidR="004105A7">
              <w:rPr>
                <w:color w:val="000000"/>
                <w:sz w:val="17"/>
                <w:szCs w:val="17"/>
                <w:lang w:val="ru-RU"/>
              </w:rPr>
              <w:t>по сравнению с </w:t>
            </w:r>
            <w:r w:rsidRPr="00F54B6D">
              <w:rPr>
                <w:color w:val="000000"/>
                <w:sz w:val="17"/>
                <w:szCs w:val="17"/>
                <w:lang w:val="ru-RU"/>
              </w:rPr>
              <w:t>2013</w:t>
            </w:r>
            <w:r>
              <w:rPr>
                <w:color w:val="000000"/>
                <w:sz w:val="17"/>
                <w:szCs w:val="17"/>
                <w:lang w:val="ru-RU"/>
              </w:rPr>
              <w:t xml:space="preserve"> г.</w:t>
            </w:r>
            <w:r w:rsidRPr="00F54B6D">
              <w:rPr>
                <w:color w:val="000000"/>
                <w:sz w:val="17"/>
                <w:szCs w:val="17"/>
                <w:lang w:val="ru-RU"/>
              </w:rPr>
              <w:t>)</w:t>
            </w:r>
          </w:p>
        </w:tc>
        <w:tc>
          <w:tcPr>
            <w:tcW w:w="871" w:type="pct"/>
            <w:tcBorders>
              <w:top w:val="nil"/>
              <w:left w:val="nil"/>
              <w:bottom w:val="single" w:sz="4" w:space="0" w:color="auto"/>
              <w:right w:val="single" w:sz="4" w:space="0" w:color="auto"/>
            </w:tcBorders>
            <w:shd w:val="clear" w:color="auto" w:fill="auto"/>
          </w:tcPr>
          <w:p w:rsidR="002D647F" w:rsidRPr="00F54B6D" w:rsidRDefault="002D647F" w:rsidP="005C3CF6">
            <w:pPr>
              <w:rPr>
                <w:color w:val="000000"/>
                <w:sz w:val="17"/>
                <w:szCs w:val="17"/>
                <w:lang w:val="ru-RU"/>
              </w:rPr>
            </w:pPr>
            <w:r>
              <w:rPr>
                <w:color w:val="000000"/>
                <w:sz w:val="17"/>
                <w:szCs w:val="17"/>
                <w:lang w:val="ru-RU"/>
              </w:rPr>
              <w:t>Дополнительное</w:t>
            </w:r>
            <w:r w:rsidRPr="00F54B6D">
              <w:rPr>
                <w:color w:val="000000"/>
                <w:sz w:val="17"/>
                <w:szCs w:val="17"/>
                <w:lang w:val="ru-RU"/>
              </w:rPr>
              <w:t xml:space="preserve"> </w:t>
            </w:r>
            <w:r>
              <w:rPr>
                <w:color w:val="000000"/>
                <w:sz w:val="17"/>
                <w:szCs w:val="17"/>
                <w:lang w:val="ru-RU"/>
              </w:rPr>
              <w:t>снижение</w:t>
            </w:r>
            <w:r w:rsidRPr="00F54B6D">
              <w:rPr>
                <w:color w:val="000000"/>
                <w:sz w:val="17"/>
                <w:szCs w:val="17"/>
                <w:lang w:val="ru-RU"/>
              </w:rPr>
              <w:t xml:space="preserve"> </w:t>
            </w:r>
            <w:r>
              <w:rPr>
                <w:color w:val="000000"/>
                <w:sz w:val="17"/>
                <w:szCs w:val="17"/>
                <w:lang w:val="ru-RU"/>
              </w:rPr>
              <w:t>до</w:t>
            </w:r>
            <w:r w:rsidRPr="00F54B6D">
              <w:rPr>
                <w:color w:val="000000"/>
                <w:sz w:val="17"/>
                <w:szCs w:val="17"/>
                <w:lang w:val="ru-RU"/>
              </w:rPr>
              <w:t xml:space="preserve"> 1</w:t>
            </w:r>
            <w:r w:rsidR="004105A7">
              <w:rPr>
                <w:color w:val="000000"/>
                <w:sz w:val="17"/>
                <w:szCs w:val="17"/>
                <w:lang w:val="ru-RU"/>
              </w:rPr>
              <w:t> </w:t>
            </w:r>
            <w:r w:rsidRPr="00F54B6D">
              <w:rPr>
                <w:color w:val="000000"/>
                <w:sz w:val="17"/>
                <w:szCs w:val="17"/>
                <w:lang w:val="ru-RU"/>
              </w:rPr>
              <w:t xml:space="preserve">481 </w:t>
            </w:r>
            <w:r>
              <w:rPr>
                <w:color w:val="000000"/>
                <w:sz w:val="17"/>
                <w:szCs w:val="17"/>
                <w:lang w:val="ru-RU"/>
              </w:rPr>
              <w:t>шв</w:t>
            </w:r>
            <w:r w:rsidRPr="00F54B6D">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F54B6D">
              <w:rPr>
                <w:color w:val="000000"/>
                <w:sz w:val="17"/>
                <w:szCs w:val="17"/>
                <w:lang w:val="ru-RU"/>
              </w:rPr>
              <w:t xml:space="preserve"> </w:t>
            </w:r>
            <w:r>
              <w:rPr>
                <w:color w:val="000000"/>
                <w:sz w:val="17"/>
                <w:szCs w:val="17"/>
                <w:lang w:val="ru-RU"/>
              </w:rPr>
              <w:t>в</w:t>
            </w:r>
            <w:r w:rsidRPr="00F54B6D">
              <w:rPr>
                <w:color w:val="000000"/>
                <w:sz w:val="17"/>
                <w:szCs w:val="17"/>
                <w:lang w:val="ru-RU"/>
              </w:rPr>
              <w:t xml:space="preserve"> 2015 </w:t>
            </w:r>
            <w:r>
              <w:rPr>
                <w:color w:val="000000"/>
                <w:sz w:val="17"/>
                <w:szCs w:val="17"/>
                <w:lang w:val="ru-RU"/>
              </w:rPr>
              <w:t>г</w:t>
            </w:r>
            <w:r w:rsidRPr="00F54B6D">
              <w:rPr>
                <w:color w:val="000000"/>
                <w:sz w:val="17"/>
                <w:szCs w:val="17"/>
                <w:lang w:val="ru-RU"/>
              </w:rPr>
              <w:t>. (</w:t>
            </w:r>
            <w:r>
              <w:rPr>
                <w:color w:val="000000"/>
                <w:sz w:val="17"/>
                <w:szCs w:val="17"/>
                <w:lang w:val="ru-RU"/>
              </w:rPr>
              <w:t>на</w:t>
            </w:r>
            <w:r w:rsidRPr="00F54B6D">
              <w:rPr>
                <w:color w:val="000000"/>
                <w:sz w:val="17"/>
                <w:szCs w:val="17"/>
                <w:lang w:val="ru-RU"/>
              </w:rPr>
              <w:t xml:space="preserve"> 7.3% </w:t>
            </w:r>
            <w:r>
              <w:rPr>
                <w:color w:val="000000"/>
                <w:sz w:val="17"/>
                <w:szCs w:val="17"/>
                <w:lang w:val="ru-RU"/>
              </w:rPr>
              <w:t>по</w:t>
            </w:r>
            <w:r w:rsidRPr="00F54B6D">
              <w:rPr>
                <w:color w:val="000000"/>
                <w:sz w:val="17"/>
                <w:szCs w:val="17"/>
                <w:lang w:val="ru-RU"/>
              </w:rPr>
              <w:t xml:space="preserve"> </w:t>
            </w:r>
            <w:r>
              <w:rPr>
                <w:color w:val="000000"/>
                <w:sz w:val="17"/>
                <w:szCs w:val="17"/>
                <w:lang w:val="ru-RU"/>
              </w:rPr>
              <w:t>сравнению</w:t>
            </w:r>
            <w:r w:rsidRPr="00F54B6D">
              <w:rPr>
                <w:color w:val="000000"/>
                <w:sz w:val="17"/>
                <w:szCs w:val="17"/>
                <w:lang w:val="ru-RU"/>
              </w:rPr>
              <w:t xml:space="preserve"> </w:t>
            </w:r>
            <w:r>
              <w:rPr>
                <w:color w:val="000000"/>
                <w:sz w:val="17"/>
                <w:szCs w:val="17"/>
                <w:lang w:val="ru-RU"/>
              </w:rPr>
              <w:t>с</w:t>
            </w:r>
            <w:r w:rsidR="004105A7">
              <w:rPr>
                <w:color w:val="000000"/>
                <w:sz w:val="17"/>
                <w:szCs w:val="17"/>
                <w:lang w:val="ru-RU"/>
              </w:rPr>
              <w:t> </w:t>
            </w:r>
            <w:r w:rsidRPr="00F54B6D">
              <w:rPr>
                <w:color w:val="000000"/>
                <w:sz w:val="17"/>
                <w:szCs w:val="17"/>
                <w:lang w:val="ru-RU"/>
              </w:rPr>
              <w:t xml:space="preserve">2014 </w:t>
            </w:r>
            <w:r>
              <w:rPr>
                <w:color w:val="000000"/>
                <w:sz w:val="17"/>
                <w:szCs w:val="17"/>
                <w:lang w:val="ru-RU"/>
              </w:rPr>
              <w:t>г</w:t>
            </w:r>
            <w:r w:rsidRPr="00F54B6D">
              <w:rPr>
                <w:color w:val="000000"/>
                <w:sz w:val="17"/>
                <w:szCs w:val="17"/>
                <w:lang w:val="ru-RU"/>
              </w:rPr>
              <w:t xml:space="preserve">.) </w:t>
            </w:r>
          </w:p>
        </w:tc>
        <w:tc>
          <w:tcPr>
            <w:tcW w:w="1183" w:type="pct"/>
            <w:tcBorders>
              <w:top w:val="nil"/>
              <w:left w:val="nil"/>
              <w:bottom w:val="single" w:sz="4" w:space="0" w:color="auto"/>
              <w:right w:val="single" w:sz="4" w:space="0" w:color="auto"/>
            </w:tcBorders>
            <w:shd w:val="clear" w:color="auto" w:fill="auto"/>
          </w:tcPr>
          <w:p w:rsidR="002D647F" w:rsidRPr="006F495A" w:rsidRDefault="002D647F" w:rsidP="00506508">
            <w:pPr>
              <w:ind w:left="-43"/>
              <w:rPr>
                <w:color w:val="000000"/>
                <w:sz w:val="17"/>
                <w:szCs w:val="17"/>
                <w:lang w:val="ru-RU"/>
              </w:rPr>
            </w:pPr>
            <w:r w:rsidRPr="006F495A">
              <w:rPr>
                <w:color w:val="000000"/>
                <w:sz w:val="17"/>
                <w:szCs w:val="17"/>
                <w:lang w:val="ru-RU"/>
              </w:rPr>
              <w:t xml:space="preserve">2014 </w:t>
            </w:r>
            <w:r>
              <w:rPr>
                <w:color w:val="000000"/>
                <w:sz w:val="17"/>
                <w:szCs w:val="17"/>
                <w:lang w:val="ru-RU"/>
              </w:rPr>
              <w:t>г</w:t>
            </w:r>
            <w:r w:rsidRPr="006F495A">
              <w:rPr>
                <w:color w:val="000000"/>
                <w:sz w:val="17"/>
                <w:szCs w:val="17"/>
                <w:lang w:val="ru-RU"/>
              </w:rPr>
              <w:t xml:space="preserve">.: </w:t>
            </w:r>
            <w:r>
              <w:rPr>
                <w:color w:val="000000"/>
                <w:sz w:val="17"/>
                <w:szCs w:val="17"/>
                <w:lang w:val="ru-RU"/>
              </w:rPr>
              <w:t>Была</w:t>
            </w:r>
            <w:r w:rsidRPr="006F495A">
              <w:rPr>
                <w:color w:val="000000"/>
                <w:sz w:val="17"/>
                <w:szCs w:val="17"/>
                <w:lang w:val="ru-RU"/>
              </w:rPr>
              <w:t xml:space="preserve"> </w:t>
            </w:r>
            <w:r>
              <w:rPr>
                <w:color w:val="000000"/>
                <w:sz w:val="17"/>
                <w:szCs w:val="17"/>
                <w:lang w:val="ru-RU"/>
              </w:rPr>
              <w:t>проведена</w:t>
            </w:r>
            <w:r w:rsidRPr="006F495A">
              <w:rPr>
                <w:color w:val="000000"/>
                <w:sz w:val="17"/>
                <w:szCs w:val="17"/>
                <w:lang w:val="ru-RU"/>
              </w:rPr>
              <w:t xml:space="preserve"> </w:t>
            </w:r>
            <w:r>
              <w:rPr>
                <w:color w:val="000000"/>
                <w:sz w:val="17"/>
                <w:szCs w:val="17"/>
                <w:lang w:val="ru-RU"/>
              </w:rPr>
              <w:t>значительная</w:t>
            </w:r>
            <w:r w:rsidRPr="006F495A">
              <w:rPr>
                <w:color w:val="000000"/>
                <w:sz w:val="17"/>
                <w:szCs w:val="17"/>
                <w:lang w:val="ru-RU"/>
              </w:rPr>
              <w:t xml:space="preserve"> </w:t>
            </w:r>
            <w:r>
              <w:rPr>
                <w:color w:val="000000"/>
                <w:sz w:val="17"/>
                <w:szCs w:val="17"/>
                <w:lang w:val="ru-RU"/>
              </w:rPr>
              <w:t>работа</w:t>
            </w:r>
            <w:r w:rsidRPr="006F495A">
              <w:rPr>
                <w:color w:val="000000"/>
                <w:sz w:val="17"/>
                <w:szCs w:val="17"/>
                <w:lang w:val="ru-RU"/>
              </w:rPr>
              <w:t xml:space="preserve"> </w:t>
            </w:r>
            <w:r>
              <w:rPr>
                <w:color w:val="000000"/>
                <w:sz w:val="17"/>
                <w:szCs w:val="17"/>
                <w:lang w:val="ru-RU"/>
              </w:rPr>
              <w:t>по</w:t>
            </w:r>
            <w:r w:rsidRPr="006F495A">
              <w:rPr>
                <w:color w:val="000000"/>
                <w:sz w:val="17"/>
                <w:szCs w:val="17"/>
                <w:lang w:val="ru-RU"/>
              </w:rPr>
              <w:t xml:space="preserve"> </w:t>
            </w:r>
            <w:r>
              <w:rPr>
                <w:color w:val="000000"/>
                <w:sz w:val="17"/>
                <w:szCs w:val="17"/>
                <w:lang w:val="ru-RU"/>
              </w:rPr>
              <w:t>сокращению</w:t>
            </w:r>
            <w:r w:rsidRPr="006F495A">
              <w:rPr>
                <w:color w:val="000000"/>
                <w:sz w:val="17"/>
                <w:szCs w:val="17"/>
                <w:lang w:val="ru-RU"/>
              </w:rPr>
              <w:t xml:space="preserve"> </w:t>
            </w:r>
            <w:r>
              <w:rPr>
                <w:color w:val="000000"/>
                <w:sz w:val="17"/>
                <w:szCs w:val="17"/>
                <w:lang w:val="ru-RU"/>
              </w:rPr>
              <w:t>расходов</w:t>
            </w:r>
            <w:r w:rsidRPr="006F495A">
              <w:rPr>
                <w:color w:val="000000"/>
                <w:sz w:val="17"/>
                <w:szCs w:val="17"/>
                <w:lang w:val="ru-RU"/>
              </w:rPr>
              <w:t xml:space="preserve"> </w:t>
            </w:r>
            <w:r>
              <w:rPr>
                <w:color w:val="000000"/>
                <w:sz w:val="17"/>
                <w:szCs w:val="17"/>
                <w:lang w:val="ru-RU"/>
              </w:rPr>
              <w:t>на</w:t>
            </w:r>
            <w:r w:rsidRPr="006F495A">
              <w:rPr>
                <w:color w:val="000000"/>
                <w:sz w:val="17"/>
                <w:szCs w:val="17"/>
                <w:lang w:val="ru-RU"/>
              </w:rPr>
              <w:t xml:space="preserve"> </w:t>
            </w:r>
            <w:r>
              <w:rPr>
                <w:color w:val="000000"/>
                <w:sz w:val="17"/>
                <w:szCs w:val="17"/>
                <w:lang w:val="ru-RU"/>
              </w:rPr>
              <w:t>поездки</w:t>
            </w:r>
            <w:r w:rsidRPr="006F495A">
              <w:rPr>
                <w:color w:val="000000"/>
                <w:sz w:val="17"/>
                <w:szCs w:val="17"/>
                <w:lang w:val="ru-RU"/>
              </w:rPr>
              <w:t xml:space="preserve">, </w:t>
            </w:r>
            <w:r>
              <w:rPr>
                <w:color w:val="000000"/>
                <w:sz w:val="17"/>
                <w:szCs w:val="17"/>
                <w:lang w:val="ru-RU"/>
              </w:rPr>
              <w:t>в</w:t>
            </w:r>
            <w:r w:rsidRPr="006F495A">
              <w:rPr>
                <w:color w:val="000000"/>
                <w:sz w:val="17"/>
                <w:szCs w:val="17"/>
                <w:lang w:val="ru-RU"/>
              </w:rPr>
              <w:t xml:space="preserve"> </w:t>
            </w:r>
            <w:r>
              <w:rPr>
                <w:color w:val="000000"/>
                <w:sz w:val="17"/>
                <w:szCs w:val="17"/>
                <w:lang w:val="ru-RU"/>
              </w:rPr>
              <w:t>результате</w:t>
            </w:r>
            <w:r w:rsidRPr="006F495A">
              <w:rPr>
                <w:color w:val="000000"/>
                <w:sz w:val="17"/>
                <w:szCs w:val="17"/>
                <w:lang w:val="ru-RU"/>
              </w:rPr>
              <w:t xml:space="preserve"> </w:t>
            </w:r>
            <w:r>
              <w:rPr>
                <w:color w:val="000000"/>
                <w:sz w:val="17"/>
                <w:szCs w:val="17"/>
                <w:lang w:val="ru-RU"/>
              </w:rPr>
              <w:t xml:space="preserve">чего сократилось </w:t>
            </w:r>
            <w:r w:rsidRPr="00AE3691">
              <w:rPr>
                <w:bCs/>
                <w:color w:val="000000"/>
                <w:sz w:val="17"/>
                <w:szCs w:val="17"/>
                <w:lang w:val="ru-RU"/>
              </w:rPr>
              <w:t>как количество выдаваемых билетов, так и количество несвоевременно поданных заявок на поездки</w:t>
            </w:r>
            <w:r>
              <w:rPr>
                <w:color w:val="000000"/>
                <w:sz w:val="17"/>
                <w:szCs w:val="17"/>
                <w:lang w:val="ru-RU"/>
              </w:rPr>
              <w:t xml:space="preserve">. </w:t>
            </w:r>
          </w:p>
          <w:p w:rsidR="002D647F" w:rsidRPr="006F495A" w:rsidRDefault="002D647F" w:rsidP="00506508">
            <w:pPr>
              <w:ind w:left="-43"/>
              <w:rPr>
                <w:color w:val="000000"/>
                <w:sz w:val="17"/>
                <w:szCs w:val="17"/>
                <w:lang w:val="ru-RU"/>
              </w:rPr>
            </w:pPr>
          </w:p>
          <w:p w:rsidR="002D647F" w:rsidRPr="00642D01" w:rsidRDefault="002D647F" w:rsidP="00506508">
            <w:pPr>
              <w:ind w:left="-43"/>
              <w:rPr>
                <w:color w:val="000000"/>
                <w:sz w:val="17"/>
                <w:szCs w:val="17"/>
                <w:lang w:val="ru-RU"/>
              </w:rPr>
            </w:pPr>
            <w:r w:rsidRPr="00642D01">
              <w:rPr>
                <w:color w:val="000000"/>
                <w:sz w:val="17"/>
                <w:szCs w:val="17"/>
                <w:lang w:val="ru-RU"/>
              </w:rPr>
              <w:t xml:space="preserve">2015 </w:t>
            </w:r>
            <w:r>
              <w:rPr>
                <w:color w:val="000000"/>
                <w:sz w:val="17"/>
                <w:szCs w:val="17"/>
                <w:lang w:val="ru-RU"/>
              </w:rPr>
              <w:t>г</w:t>
            </w:r>
            <w:r w:rsidRPr="00642D01">
              <w:rPr>
                <w:color w:val="000000"/>
                <w:sz w:val="17"/>
                <w:szCs w:val="17"/>
                <w:lang w:val="ru-RU"/>
              </w:rPr>
              <w:t xml:space="preserve">.: </w:t>
            </w:r>
            <w:r>
              <w:rPr>
                <w:color w:val="000000"/>
                <w:sz w:val="17"/>
                <w:szCs w:val="17"/>
                <w:lang w:val="ru-RU"/>
              </w:rPr>
              <w:t>Внедрение</w:t>
            </w:r>
            <w:r w:rsidRPr="00642D01">
              <w:rPr>
                <w:color w:val="000000"/>
                <w:sz w:val="17"/>
                <w:szCs w:val="17"/>
                <w:lang w:val="ru-RU"/>
              </w:rPr>
              <w:t xml:space="preserve"> </w:t>
            </w:r>
            <w:r>
              <w:rPr>
                <w:color w:val="000000"/>
                <w:sz w:val="17"/>
                <w:szCs w:val="17"/>
                <w:lang w:val="ru-RU"/>
              </w:rPr>
              <w:t>о</w:t>
            </w:r>
            <w:r w:rsidRPr="00642D01">
              <w:rPr>
                <w:color w:val="000000"/>
                <w:sz w:val="17"/>
                <w:szCs w:val="17"/>
                <w:lang w:val="ru-RU"/>
              </w:rPr>
              <w:t>нлайнов</w:t>
            </w:r>
            <w:r>
              <w:rPr>
                <w:color w:val="000000"/>
                <w:sz w:val="17"/>
                <w:szCs w:val="17"/>
                <w:lang w:val="ru-RU"/>
              </w:rPr>
              <w:t>ой</w:t>
            </w:r>
            <w:r w:rsidRPr="00642D01">
              <w:rPr>
                <w:color w:val="000000"/>
                <w:sz w:val="17"/>
                <w:szCs w:val="17"/>
                <w:lang w:val="ru-RU"/>
              </w:rPr>
              <w:t xml:space="preserve"> систем</w:t>
            </w:r>
            <w:r>
              <w:rPr>
                <w:color w:val="000000"/>
                <w:sz w:val="17"/>
                <w:szCs w:val="17"/>
                <w:lang w:val="ru-RU"/>
              </w:rPr>
              <w:t>ы</w:t>
            </w:r>
            <w:r w:rsidRPr="00642D01">
              <w:rPr>
                <w:color w:val="000000"/>
                <w:sz w:val="17"/>
                <w:szCs w:val="17"/>
                <w:lang w:val="ru-RU"/>
              </w:rPr>
              <w:t xml:space="preserve"> бронирования (</w:t>
            </w:r>
            <w:r w:rsidRPr="00303E4F">
              <w:rPr>
                <w:color w:val="000000"/>
                <w:sz w:val="17"/>
                <w:szCs w:val="17"/>
              </w:rPr>
              <w:t>OBT</w:t>
            </w:r>
            <w:r w:rsidRPr="00642D01">
              <w:rPr>
                <w:color w:val="000000"/>
                <w:sz w:val="17"/>
                <w:szCs w:val="17"/>
                <w:lang w:val="ru-RU"/>
              </w:rPr>
              <w:t xml:space="preserve">) </w:t>
            </w:r>
            <w:r>
              <w:rPr>
                <w:color w:val="000000"/>
                <w:sz w:val="17"/>
                <w:szCs w:val="17"/>
                <w:lang w:val="ru-RU"/>
              </w:rPr>
              <w:t>и</w:t>
            </w:r>
            <w:r w:rsidRPr="00642D01">
              <w:rPr>
                <w:color w:val="000000"/>
                <w:sz w:val="17"/>
                <w:szCs w:val="17"/>
                <w:lang w:val="ru-RU"/>
              </w:rPr>
              <w:t xml:space="preserve"> </w:t>
            </w:r>
            <w:r>
              <w:rPr>
                <w:color w:val="000000"/>
                <w:sz w:val="17"/>
                <w:szCs w:val="17"/>
                <w:lang w:val="ru-RU"/>
              </w:rPr>
              <w:t>представление</w:t>
            </w:r>
            <w:r w:rsidRPr="00642D01">
              <w:rPr>
                <w:color w:val="000000"/>
                <w:sz w:val="17"/>
                <w:szCs w:val="17"/>
                <w:lang w:val="ru-RU"/>
              </w:rPr>
              <w:t xml:space="preserve"> </w:t>
            </w:r>
            <w:r>
              <w:rPr>
                <w:color w:val="000000"/>
                <w:sz w:val="17"/>
                <w:szCs w:val="17"/>
                <w:lang w:val="ru-RU"/>
              </w:rPr>
              <w:t>отчетов</w:t>
            </w:r>
            <w:r w:rsidRPr="00642D01">
              <w:rPr>
                <w:color w:val="000000"/>
                <w:sz w:val="17"/>
                <w:szCs w:val="17"/>
                <w:lang w:val="ru-RU"/>
              </w:rPr>
              <w:t xml:space="preserve"> </w:t>
            </w:r>
            <w:r>
              <w:rPr>
                <w:color w:val="000000"/>
                <w:sz w:val="17"/>
                <w:szCs w:val="17"/>
                <w:lang w:val="ru-RU"/>
              </w:rPr>
              <w:t>о</w:t>
            </w:r>
            <w:r w:rsidRPr="00642D01">
              <w:rPr>
                <w:color w:val="000000"/>
                <w:sz w:val="17"/>
                <w:szCs w:val="17"/>
                <w:lang w:val="ru-RU"/>
              </w:rPr>
              <w:t xml:space="preserve"> </w:t>
            </w:r>
            <w:r>
              <w:rPr>
                <w:color w:val="000000"/>
                <w:sz w:val="17"/>
                <w:szCs w:val="17"/>
                <w:lang w:val="ru-RU"/>
              </w:rPr>
              <w:t>поданных</w:t>
            </w:r>
            <w:r w:rsidRPr="00642D01">
              <w:rPr>
                <w:color w:val="000000"/>
                <w:sz w:val="17"/>
                <w:szCs w:val="17"/>
                <w:lang w:val="ru-RU"/>
              </w:rPr>
              <w:t xml:space="preserve"> </w:t>
            </w:r>
            <w:r>
              <w:rPr>
                <w:color w:val="000000"/>
                <w:sz w:val="17"/>
                <w:szCs w:val="17"/>
                <w:lang w:val="ru-RU"/>
              </w:rPr>
              <w:t>с</w:t>
            </w:r>
            <w:r w:rsidRPr="00642D01">
              <w:rPr>
                <w:color w:val="000000"/>
                <w:sz w:val="17"/>
                <w:szCs w:val="17"/>
                <w:lang w:val="ru-RU"/>
              </w:rPr>
              <w:t xml:space="preserve"> </w:t>
            </w:r>
            <w:r>
              <w:rPr>
                <w:color w:val="000000"/>
                <w:sz w:val="17"/>
                <w:szCs w:val="17"/>
                <w:lang w:val="ru-RU"/>
              </w:rPr>
              <w:t>опозданием</w:t>
            </w:r>
            <w:r w:rsidRPr="00642D01">
              <w:rPr>
                <w:color w:val="000000"/>
                <w:sz w:val="17"/>
                <w:szCs w:val="17"/>
                <w:lang w:val="ru-RU"/>
              </w:rPr>
              <w:t xml:space="preserve"> </w:t>
            </w:r>
            <w:r>
              <w:rPr>
                <w:color w:val="000000"/>
                <w:sz w:val="17"/>
                <w:szCs w:val="17"/>
                <w:lang w:val="ru-RU"/>
              </w:rPr>
              <w:t>заявок</w:t>
            </w:r>
            <w:r w:rsidRPr="00642D01">
              <w:rPr>
                <w:color w:val="000000"/>
                <w:sz w:val="17"/>
                <w:szCs w:val="17"/>
                <w:lang w:val="ru-RU"/>
              </w:rPr>
              <w:t xml:space="preserve"> </w:t>
            </w:r>
            <w:r>
              <w:rPr>
                <w:color w:val="000000"/>
                <w:sz w:val="17"/>
                <w:szCs w:val="17"/>
                <w:lang w:val="ru-RU"/>
              </w:rPr>
              <w:t>на</w:t>
            </w:r>
            <w:r w:rsidRPr="00642D01">
              <w:rPr>
                <w:color w:val="000000"/>
                <w:sz w:val="17"/>
                <w:szCs w:val="17"/>
                <w:lang w:val="ru-RU"/>
              </w:rPr>
              <w:t xml:space="preserve"> </w:t>
            </w:r>
            <w:r>
              <w:rPr>
                <w:color w:val="000000"/>
                <w:sz w:val="17"/>
                <w:szCs w:val="17"/>
                <w:lang w:val="ru-RU"/>
              </w:rPr>
              <w:t>получение</w:t>
            </w:r>
            <w:r w:rsidRPr="00642D01">
              <w:rPr>
                <w:color w:val="000000"/>
                <w:sz w:val="17"/>
                <w:szCs w:val="17"/>
                <w:lang w:val="ru-RU"/>
              </w:rPr>
              <w:t xml:space="preserve"> </w:t>
            </w:r>
            <w:r>
              <w:rPr>
                <w:color w:val="000000"/>
                <w:sz w:val="17"/>
                <w:szCs w:val="17"/>
                <w:lang w:val="ru-RU"/>
              </w:rPr>
              <w:t>разрешения</w:t>
            </w:r>
            <w:r w:rsidRPr="00642D01">
              <w:rPr>
                <w:color w:val="000000"/>
                <w:sz w:val="17"/>
                <w:szCs w:val="17"/>
                <w:lang w:val="ru-RU"/>
              </w:rPr>
              <w:t xml:space="preserve"> </w:t>
            </w:r>
            <w:r>
              <w:rPr>
                <w:color w:val="000000"/>
                <w:sz w:val="17"/>
                <w:szCs w:val="17"/>
                <w:lang w:val="ru-RU"/>
              </w:rPr>
              <w:t>на</w:t>
            </w:r>
            <w:r w:rsidRPr="00642D01">
              <w:rPr>
                <w:color w:val="000000"/>
                <w:sz w:val="17"/>
                <w:szCs w:val="17"/>
                <w:lang w:val="ru-RU"/>
              </w:rPr>
              <w:t xml:space="preserve"> </w:t>
            </w:r>
            <w:r>
              <w:rPr>
                <w:color w:val="000000"/>
                <w:sz w:val="17"/>
                <w:szCs w:val="17"/>
                <w:lang w:val="ru-RU"/>
              </w:rPr>
              <w:t>поездку</w:t>
            </w:r>
            <w:r w:rsidRPr="00642D01">
              <w:rPr>
                <w:color w:val="000000"/>
                <w:sz w:val="17"/>
                <w:szCs w:val="17"/>
                <w:lang w:val="ru-RU"/>
              </w:rPr>
              <w:t xml:space="preserve"> (</w:t>
            </w:r>
            <w:r>
              <w:rPr>
                <w:color w:val="000000"/>
                <w:sz w:val="17"/>
                <w:szCs w:val="17"/>
                <w:lang w:val="ru-RU"/>
              </w:rPr>
              <w:t>т</w:t>
            </w:r>
            <w:r w:rsidRPr="00642D01">
              <w:rPr>
                <w:color w:val="000000"/>
                <w:sz w:val="17"/>
                <w:szCs w:val="17"/>
                <w:lang w:val="ru-RU"/>
              </w:rPr>
              <w:t>.</w:t>
            </w:r>
            <w:r>
              <w:rPr>
                <w:color w:val="000000"/>
                <w:sz w:val="17"/>
                <w:szCs w:val="17"/>
                <w:lang w:val="ru-RU"/>
              </w:rPr>
              <w:t>е</w:t>
            </w:r>
            <w:r w:rsidRPr="00642D01">
              <w:rPr>
                <w:color w:val="000000"/>
                <w:sz w:val="17"/>
                <w:szCs w:val="17"/>
                <w:lang w:val="ru-RU"/>
              </w:rPr>
              <w:t xml:space="preserve">. </w:t>
            </w:r>
            <w:r>
              <w:rPr>
                <w:color w:val="000000"/>
                <w:sz w:val="17"/>
                <w:szCs w:val="17"/>
                <w:lang w:val="ru-RU"/>
              </w:rPr>
              <w:t>за</w:t>
            </w:r>
            <w:r w:rsidRPr="00642D01">
              <w:rPr>
                <w:color w:val="000000"/>
                <w:sz w:val="17"/>
                <w:szCs w:val="17"/>
                <w:lang w:val="ru-RU"/>
              </w:rPr>
              <w:t xml:space="preserve"> 16 </w:t>
            </w:r>
            <w:r>
              <w:rPr>
                <w:color w:val="000000"/>
                <w:sz w:val="17"/>
                <w:szCs w:val="17"/>
                <w:lang w:val="ru-RU"/>
              </w:rPr>
              <w:t>дней</w:t>
            </w:r>
            <w:r w:rsidRPr="00642D01">
              <w:rPr>
                <w:color w:val="000000"/>
                <w:sz w:val="17"/>
                <w:szCs w:val="17"/>
                <w:lang w:val="ru-RU"/>
              </w:rPr>
              <w:t xml:space="preserve"> </w:t>
            </w:r>
            <w:r>
              <w:rPr>
                <w:color w:val="000000"/>
                <w:sz w:val="17"/>
                <w:szCs w:val="17"/>
                <w:lang w:val="ru-RU"/>
              </w:rPr>
              <w:t>до</w:t>
            </w:r>
            <w:r w:rsidRPr="00642D01">
              <w:rPr>
                <w:color w:val="000000"/>
                <w:sz w:val="17"/>
                <w:szCs w:val="17"/>
                <w:lang w:val="ru-RU"/>
              </w:rPr>
              <w:t xml:space="preserve"> </w:t>
            </w:r>
            <w:r>
              <w:rPr>
                <w:color w:val="000000"/>
                <w:sz w:val="17"/>
                <w:szCs w:val="17"/>
                <w:lang w:val="ru-RU"/>
              </w:rPr>
              <w:t>отъезда) позволило шире использовать раннее бронирование и соответственно имеющиеся на рынке более дешевые тарифы (при расчете средней цены билета учитываются билеты, полученные через турагента и ПРООН  и приобретенные самостоятельно)</w:t>
            </w:r>
            <w:r w:rsidRPr="00642D01">
              <w:rPr>
                <w:color w:val="000000"/>
                <w:sz w:val="17"/>
                <w:szCs w:val="17"/>
                <w:lang w:val="ru-RU"/>
              </w:rPr>
              <w:t xml:space="preserve">.  </w:t>
            </w:r>
          </w:p>
        </w:tc>
      </w:tr>
      <w:tr w:rsidR="00506508" w:rsidRPr="005C6ABD" w:rsidTr="00506508">
        <w:trPr>
          <w:trHeight w:val="1711"/>
        </w:trPr>
        <w:tc>
          <w:tcPr>
            <w:tcW w:w="1014" w:type="pct"/>
            <w:tcBorders>
              <w:top w:val="nil"/>
              <w:left w:val="single" w:sz="4" w:space="0" w:color="auto"/>
              <w:bottom w:val="single" w:sz="4" w:space="0" w:color="auto"/>
              <w:right w:val="single" w:sz="4" w:space="0" w:color="auto"/>
            </w:tcBorders>
            <w:shd w:val="clear" w:color="auto" w:fill="auto"/>
          </w:tcPr>
          <w:p w:rsidR="002D647F" w:rsidRPr="00642D01" w:rsidRDefault="002D647F" w:rsidP="002D647F">
            <w:pPr>
              <w:rPr>
                <w:color w:val="000000"/>
                <w:sz w:val="17"/>
                <w:szCs w:val="17"/>
                <w:lang w:val="ru-RU"/>
              </w:rPr>
            </w:pPr>
            <w:r>
              <w:rPr>
                <w:color w:val="000000"/>
                <w:sz w:val="17"/>
                <w:szCs w:val="17"/>
                <w:lang w:val="ru-RU"/>
              </w:rPr>
              <w:t>Снижение</w:t>
            </w:r>
            <w:r w:rsidRPr="00642D01">
              <w:rPr>
                <w:color w:val="000000"/>
                <w:sz w:val="17"/>
                <w:szCs w:val="17"/>
                <w:lang w:val="ru-RU"/>
              </w:rPr>
              <w:t xml:space="preserve"> </w:t>
            </w:r>
            <w:r>
              <w:rPr>
                <w:color w:val="000000"/>
                <w:sz w:val="17"/>
                <w:szCs w:val="17"/>
                <w:lang w:val="ru-RU"/>
              </w:rPr>
              <w:t>среднего</w:t>
            </w:r>
            <w:r w:rsidRPr="00642D01">
              <w:rPr>
                <w:color w:val="000000"/>
                <w:sz w:val="17"/>
                <w:szCs w:val="17"/>
                <w:lang w:val="ru-RU"/>
              </w:rPr>
              <w:t xml:space="preserve"> </w:t>
            </w:r>
            <w:r>
              <w:rPr>
                <w:color w:val="000000"/>
                <w:sz w:val="17"/>
                <w:szCs w:val="17"/>
                <w:lang w:val="ru-RU"/>
              </w:rPr>
              <w:t>размера</w:t>
            </w:r>
            <w:r w:rsidRPr="00642D01">
              <w:rPr>
                <w:color w:val="000000"/>
                <w:sz w:val="17"/>
                <w:szCs w:val="17"/>
                <w:lang w:val="ru-RU"/>
              </w:rPr>
              <w:t xml:space="preserve"> </w:t>
            </w:r>
            <w:r>
              <w:rPr>
                <w:color w:val="000000"/>
                <w:sz w:val="17"/>
                <w:szCs w:val="17"/>
                <w:lang w:val="ru-RU"/>
              </w:rPr>
              <w:t>всех</w:t>
            </w:r>
            <w:r w:rsidRPr="00642D01">
              <w:rPr>
                <w:color w:val="000000"/>
                <w:sz w:val="17"/>
                <w:szCs w:val="17"/>
                <w:lang w:val="ru-RU"/>
              </w:rPr>
              <w:t xml:space="preserve"> </w:t>
            </w:r>
            <w:r>
              <w:rPr>
                <w:color w:val="000000"/>
                <w:sz w:val="17"/>
                <w:szCs w:val="17"/>
                <w:lang w:val="ru-RU"/>
              </w:rPr>
              <w:t>комиссионных</w:t>
            </w:r>
            <w:r w:rsidRPr="00642D01">
              <w:rPr>
                <w:color w:val="000000"/>
                <w:sz w:val="17"/>
                <w:szCs w:val="17"/>
                <w:lang w:val="ru-RU"/>
              </w:rPr>
              <w:t xml:space="preserve">, </w:t>
            </w:r>
            <w:r>
              <w:rPr>
                <w:color w:val="000000"/>
                <w:sz w:val="17"/>
                <w:szCs w:val="17"/>
                <w:lang w:val="ru-RU"/>
              </w:rPr>
              <w:t>уплачиваемых</w:t>
            </w:r>
            <w:r w:rsidRPr="00642D01">
              <w:rPr>
                <w:color w:val="000000"/>
                <w:sz w:val="17"/>
                <w:szCs w:val="17"/>
                <w:lang w:val="ru-RU"/>
              </w:rPr>
              <w:t xml:space="preserve"> </w:t>
            </w:r>
            <w:r>
              <w:rPr>
                <w:color w:val="000000"/>
                <w:sz w:val="17"/>
                <w:szCs w:val="17"/>
                <w:lang w:val="ru-RU"/>
              </w:rPr>
              <w:t>турагенту, ПРООН и по линии онлайновой системы бронирования.</w:t>
            </w:r>
          </w:p>
        </w:tc>
        <w:tc>
          <w:tcPr>
            <w:tcW w:w="589" w:type="pct"/>
            <w:tcBorders>
              <w:top w:val="nil"/>
              <w:left w:val="nil"/>
              <w:bottom w:val="single" w:sz="4" w:space="0" w:color="auto"/>
              <w:right w:val="single" w:sz="4" w:space="0" w:color="auto"/>
            </w:tcBorders>
            <w:shd w:val="clear" w:color="auto" w:fill="auto"/>
          </w:tcPr>
          <w:p w:rsidR="002D647F" w:rsidRPr="00642D01" w:rsidRDefault="002D647F" w:rsidP="002D647F">
            <w:pPr>
              <w:rPr>
                <w:color w:val="000000"/>
                <w:sz w:val="17"/>
                <w:szCs w:val="17"/>
                <w:lang w:val="ru-RU"/>
              </w:rPr>
            </w:pPr>
          </w:p>
        </w:tc>
        <w:tc>
          <w:tcPr>
            <w:tcW w:w="530" w:type="pct"/>
            <w:tcBorders>
              <w:top w:val="nil"/>
              <w:left w:val="nil"/>
              <w:bottom w:val="single" w:sz="4" w:space="0" w:color="auto"/>
              <w:right w:val="single" w:sz="4" w:space="0" w:color="auto"/>
            </w:tcBorders>
            <w:shd w:val="clear" w:color="auto" w:fill="auto"/>
          </w:tcPr>
          <w:p w:rsidR="002D647F" w:rsidRPr="00642D01" w:rsidRDefault="002D647F" w:rsidP="002D647F">
            <w:pPr>
              <w:rPr>
                <w:color w:val="000000"/>
                <w:sz w:val="17"/>
                <w:szCs w:val="17"/>
                <w:lang w:val="ru-RU"/>
              </w:rPr>
            </w:pPr>
          </w:p>
        </w:tc>
        <w:tc>
          <w:tcPr>
            <w:tcW w:w="813" w:type="pct"/>
            <w:tcBorders>
              <w:top w:val="nil"/>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r w:rsidRPr="00303E4F">
              <w:rPr>
                <w:color w:val="000000"/>
                <w:sz w:val="17"/>
                <w:szCs w:val="17"/>
              </w:rPr>
              <w:t>119</w:t>
            </w:r>
          </w:p>
        </w:tc>
        <w:tc>
          <w:tcPr>
            <w:tcW w:w="871" w:type="pct"/>
            <w:tcBorders>
              <w:top w:val="nil"/>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r w:rsidRPr="00303E4F">
              <w:rPr>
                <w:color w:val="000000"/>
                <w:sz w:val="17"/>
                <w:szCs w:val="17"/>
              </w:rPr>
              <w:t>95</w:t>
            </w:r>
          </w:p>
        </w:tc>
        <w:tc>
          <w:tcPr>
            <w:tcW w:w="1183" w:type="pct"/>
            <w:tcBorders>
              <w:top w:val="nil"/>
              <w:left w:val="nil"/>
              <w:bottom w:val="single" w:sz="4" w:space="0" w:color="auto"/>
              <w:right w:val="single" w:sz="4" w:space="0" w:color="auto"/>
            </w:tcBorders>
            <w:shd w:val="clear" w:color="auto" w:fill="auto"/>
          </w:tcPr>
          <w:p w:rsidR="002D647F" w:rsidRPr="002D647F" w:rsidRDefault="002D647F" w:rsidP="00506508">
            <w:pPr>
              <w:ind w:left="-43"/>
              <w:rPr>
                <w:color w:val="000000"/>
                <w:sz w:val="17"/>
                <w:szCs w:val="17"/>
                <w:lang w:val="ru-RU"/>
              </w:rPr>
            </w:pPr>
            <w:r>
              <w:rPr>
                <w:color w:val="000000"/>
                <w:sz w:val="17"/>
                <w:szCs w:val="17"/>
                <w:lang w:val="ru-RU"/>
              </w:rPr>
              <w:t>В</w:t>
            </w:r>
            <w:r w:rsidRPr="004D583E">
              <w:rPr>
                <w:color w:val="000000"/>
                <w:sz w:val="17"/>
                <w:szCs w:val="17"/>
                <w:lang w:val="ru-RU"/>
              </w:rPr>
              <w:t xml:space="preserve"> </w:t>
            </w:r>
            <w:r>
              <w:rPr>
                <w:color w:val="000000"/>
                <w:sz w:val="17"/>
                <w:szCs w:val="17"/>
                <w:lang w:val="ru-RU"/>
              </w:rPr>
              <w:t>результате</w:t>
            </w:r>
            <w:r w:rsidRPr="004D583E">
              <w:rPr>
                <w:color w:val="000000"/>
                <w:sz w:val="17"/>
                <w:szCs w:val="17"/>
                <w:lang w:val="ru-RU"/>
              </w:rPr>
              <w:t xml:space="preserve"> </w:t>
            </w:r>
            <w:r>
              <w:rPr>
                <w:color w:val="000000"/>
                <w:sz w:val="17"/>
                <w:szCs w:val="17"/>
                <w:lang w:val="ru-RU"/>
              </w:rPr>
              <w:t>введения</w:t>
            </w:r>
            <w:r w:rsidRPr="004D583E">
              <w:rPr>
                <w:color w:val="000000"/>
                <w:sz w:val="17"/>
                <w:szCs w:val="17"/>
                <w:lang w:val="ru-RU"/>
              </w:rPr>
              <w:t xml:space="preserve"> </w:t>
            </w:r>
            <w:r>
              <w:rPr>
                <w:color w:val="000000"/>
                <w:sz w:val="17"/>
                <w:szCs w:val="17"/>
                <w:lang w:val="ru-RU"/>
              </w:rPr>
              <w:t>требования</w:t>
            </w:r>
            <w:r w:rsidRPr="004D583E">
              <w:rPr>
                <w:color w:val="000000"/>
                <w:sz w:val="17"/>
                <w:szCs w:val="17"/>
                <w:lang w:val="ru-RU"/>
              </w:rPr>
              <w:t xml:space="preserve"> </w:t>
            </w:r>
            <w:r>
              <w:rPr>
                <w:color w:val="000000"/>
                <w:sz w:val="17"/>
                <w:szCs w:val="17"/>
                <w:lang w:val="ru-RU"/>
              </w:rPr>
              <w:t>об</w:t>
            </w:r>
            <w:r w:rsidRPr="004D583E">
              <w:rPr>
                <w:color w:val="000000"/>
                <w:sz w:val="17"/>
                <w:szCs w:val="17"/>
                <w:lang w:val="ru-RU"/>
              </w:rPr>
              <w:t xml:space="preserve"> </w:t>
            </w:r>
            <w:r>
              <w:rPr>
                <w:color w:val="000000"/>
                <w:sz w:val="17"/>
                <w:szCs w:val="17"/>
                <w:lang w:val="ru-RU"/>
              </w:rPr>
              <w:t>использовании</w:t>
            </w:r>
            <w:r w:rsidRPr="004D583E">
              <w:rPr>
                <w:color w:val="000000"/>
                <w:sz w:val="17"/>
                <w:szCs w:val="17"/>
                <w:lang w:val="ru-RU"/>
              </w:rPr>
              <w:t xml:space="preserve"> </w:t>
            </w:r>
            <w:r>
              <w:rPr>
                <w:color w:val="000000"/>
                <w:sz w:val="17"/>
                <w:szCs w:val="17"/>
                <w:lang w:val="ru-RU"/>
              </w:rPr>
              <w:t>системы</w:t>
            </w:r>
            <w:r w:rsidRPr="004D583E">
              <w:rPr>
                <w:color w:val="000000"/>
                <w:sz w:val="17"/>
                <w:szCs w:val="17"/>
                <w:lang w:val="ru-RU"/>
              </w:rPr>
              <w:t xml:space="preserve"> </w:t>
            </w:r>
            <w:r w:rsidRPr="00303E4F">
              <w:rPr>
                <w:color w:val="000000"/>
                <w:sz w:val="17"/>
                <w:szCs w:val="17"/>
              </w:rPr>
              <w:t>OBT</w:t>
            </w:r>
            <w:r w:rsidRPr="004D583E">
              <w:rPr>
                <w:color w:val="000000"/>
                <w:sz w:val="17"/>
                <w:szCs w:val="17"/>
                <w:lang w:val="ru-RU"/>
              </w:rPr>
              <w:t xml:space="preserve"> </w:t>
            </w:r>
            <w:r>
              <w:rPr>
                <w:color w:val="000000"/>
                <w:sz w:val="17"/>
                <w:szCs w:val="17"/>
                <w:lang w:val="ru-RU"/>
              </w:rPr>
              <w:t>для</w:t>
            </w:r>
            <w:r w:rsidRPr="004D583E">
              <w:rPr>
                <w:color w:val="000000"/>
                <w:sz w:val="17"/>
                <w:szCs w:val="17"/>
                <w:lang w:val="ru-RU"/>
              </w:rPr>
              <w:t xml:space="preserve"> </w:t>
            </w:r>
            <w:r>
              <w:rPr>
                <w:color w:val="000000"/>
                <w:sz w:val="17"/>
                <w:szCs w:val="17"/>
                <w:lang w:val="ru-RU"/>
              </w:rPr>
              <w:t>организации</w:t>
            </w:r>
            <w:r w:rsidRPr="004D583E">
              <w:rPr>
                <w:color w:val="000000"/>
                <w:sz w:val="17"/>
                <w:szCs w:val="17"/>
                <w:lang w:val="ru-RU"/>
              </w:rPr>
              <w:t xml:space="preserve"> </w:t>
            </w:r>
            <w:r>
              <w:rPr>
                <w:color w:val="000000"/>
                <w:sz w:val="17"/>
                <w:szCs w:val="17"/>
                <w:lang w:val="ru-RU"/>
              </w:rPr>
              <w:t>всех</w:t>
            </w:r>
            <w:r w:rsidRPr="004D583E">
              <w:rPr>
                <w:color w:val="000000"/>
                <w:sz w:val="17"/>
                <w:szCs w:val="17"/>
                <w:lang w:val="ru-RU"/>
              </w:rPr>
              <w:t xml:space="preserve"> </w:t>
            </w:r>
            <w:r>
              <w:rPr>
                <w:color w:val="000000"/>
                <w:sz w:val="17"/>
                <w:szCs w:val="17"/>
                <w:lang w:val="ru-RU"/>
              </w:rPr>
              <w:t>простых</w:t>
            </w:r>
            <w:r w:rsidRPr="004D583E">
              <w:rPr>
                <w:color w:val="000000"/>
                <w:sz w:val="17"/>
                <w:szCs w:val="17"/>
                <w:lang w:val="ru-RU"/>
              </w:rPr>
              <w:t xml:space="preserve"> </w:t>
            </w:r>
            <w:r>
              <w:rPr>
                <w:color w:val="000000"/>
                <w:sz w:val="17"/>
                <w:szCs w:val="17"/>
                <w:lang w:val="ru-RU"/>
              </w:rPr>
              <w:t>поездок</w:t>
            </w:r>
            <w:r w:rsidRPr="004D583E">
              <w:rPr>
                <w:color w:val="000000"/>
                <w:sz w:val="17"/>
                <w:szCs w:val="17"/>
                <w:lang w:val="ru-RU"/>
              </w:rPr>
              <w:t xml:space="preserve"> (</w:t>
            </w:r>
            <w:r>
              <w:rPr>
                <w:color w:val="000000"/>
                <w:sz w:val="17"/>
                <w:szCs w:val="17"/>
                <w:lang w:val="ru-RU"/>
              </w:rPr>
              <w:t>с</w:t>
            </w:r>
            <w:r w:rsidRPr="004D583E">
              <w:rPr>
                <w:color w:val="000000"/>
                <w:sz w:val="17"/>
                <w:szCs w:val="17"/>
                <w:lang w:val="ru-RU"/>
              </w:rPr>
              <w:t xml:space="preserve"> </w:t>
            </w:r>
            <w:r>
              <w:rPr>
                <w:color w:val="000000"/>
                <w:sz w:val="17"/>
                <w:szCs w:val="17"/>
                <w:lang w:val="ru-RU"/>
              </w:rPr>
              <w:t>одним</w:t>
            </w:r>
            <w:r w:rsidRPr="004D583E">
              <w:rPr>
                <w:color w:val="000000"/>
                <w:sz w:val="17"/>
                <w:szCs w:val="17"/>
                <w:lang w:val="ru-RU"/>
              </w:rPr>
              <w:t xml:space="preserve"> </w:t>
            </w:r>
            <w:r>
              <w:rPr>
                <w:color w:val="000000"/>
                <w:sz w:val="17"/>
                <w:szCs w:val="17"/>
                <w:lang w:val="ru-RU"/>
              </w:rPr>
              <w:t>пунктом</w:t>
            </w:r>
            <w:r w:rsidRPr="004D583E">
              <w:rPr>
                <w:color w:val="000000"/>
                <w:sz w:val="17"/>
                <w:szCs w:val="17"/>
                <w:lang w:val="ru-RU"/>
              </w:rPr>
              <w:t xml:space="preserve"> </w:t>
            </w:r>
            <w:r>
              <w:rPr>
                <w:color w:val="000000"/>
                <w:sz w:val="17"/>
                <w:szCs w:val="17"/>
                <w:lang w:val="ru-RU"/>
              </w:rPr>
              <w:t>назначения</w:t>
            </w:r>
            <w:r w:rsidRPr="004D583E">
              <w:rPr>
                <w:color w:val="000000"/>
                <w:sz w:val="17"/>
                <w:szCs w:val="17"/>
                <w:lang w:val="ru-RU"/>
              </w:rPr>
              <w:t xml:space="preserve">)  69% </w:t>
            </w:r>
            <w:r>
              <w:rPr>
                <w:color w:val="000000"/>
                <w:sz w:val="17"/>
                <w:szCs w:val="17"/>
                <w:lang w:val="ru-RU"/>
              </w:rPr>
              <w:t>от</w:t>
            </w:r>
            <w:r w:rsidRPr="004D583E">
              <w:rPr>
                <w:color w:val="000000"/>
                <w:sz w:val="17"/>
                <w:szCs w:val="17"/>
                <w:lang w:val="ru-RU"/>
              </w:rPr>
              <w:t xml:space="preserve"> </w:t>
            </w:r>
            <w:r>
              <w:rPr>
                <w:color w:val="000000"/>
                <w:sz w:val="17"/>
                <w:szCs w:val="17"/>
                <w:lang w:val="ru-RU"/>
              </w:rPr>
              <w:t>общего</w:t>
            </w:r>
            <w:r w:rsidRPr="004D583E">
              <w:rPr>
                <w:color w:val="000000"/>
                <w:sz w:val="17"/>
                <w:szCs w:val="17"/>
                <w:lang w:val="ru-RU"/>
              </w:rPr>
              <w:t xml:space="preserve"> </w:t>
            </w:r>
            <w:r>
              <w:rPr>
                <w:color w:val="000000"/>
                <w:sz w:val="17"/>
                <w:szCs w:val="17"/>
                <w:lang w:val="ru-RU"/>
              </w:rPr>
              <w:t>числа</w:t>
            </w:r>
            <w:r w:rsidRPr="004D583E">
              <w:rPr>
                <w:color w:val="000000"/>
                <w:sz w:val="17"/>
                <w:szCs w:val="17"/>
                <w:lang w:val="ru-RU"/>
              </w:rPr>
              <w:t xml:space="preserve"> </w:t>
            </w:r>
            <w:r>
              <w:rPr>
                <w:color w:val="000000"/>
                <w:sz w:val="17"/>
                <w:szCs w:val="17"/>
                <w:lang w:val="ru-RU"/>
              </w:rPr>
              <w:t>билетов</w:t>
            </w:r>
            <w:r w:rsidRPr="004D583E">
              <w:rPr>
                <w:color w:val="000000"/>
                <w:sz w:val="17"/>
                <w:szCs w:val="17"/>
                <w:lang w:val="ru-RU"/>
              </w:rPr>
              <w:t xml:space="preserve"> </w:t>
            </w:r>
            <w:r>
              <w:rPr>
                <w:color w:val="000000"/>
                <w:sz w:val="17"/>
                <w:szCs w:val="17"/>
                <w:lang w:val="ru-RU"/>
              </w:rPr>
              <w:t>выписывается</w:t>
            </w:r>
            <w:r w:rsidRPr="004D583E">
              <w:rPr>
                <w:color w:val="000000"/>
                <w:sz w:val="17"/>
                <w:szCs w:val="17"/>
                <w:lang w:val="ru-RU"/>
              </w:rPr>
              <w:t xml:space="preserve"> </w:t>
            </w:r>
            <w:r>
              <w:rPr>
                <w:color w:val="000000"/>
                <w:sz w:val="17"/>
                <w:szCs w:val="17"/>
                <w:lang w:val="ru-RU"/>
              </w:rPr>
              <w:t>компанией</w:t>
            </w:r>
            <w:r w:rsidRPr="004D583E">
              <w:rPr>
                <w:color w:val="000000"/>
                <w:sz w:val="17"/>
                <w:szCs w:val="17"/>
                <w:lang w:val="ru-RU"/>
              </w:rPr>
              <w:t>-</w:t>
            </w:r>
            <w:r>
              <w:rPr>
                <w:color w:val="000000"/>
                <w:sz w:val="17"/>
                <w:szCs w:val="17"/>
                <w:lang w:val="ru-RU"/>
              </w:rPr>
              <w:t>турагентом</w:t>
            </w:r>
            <w:r w:rsidRPr="004D583E">
              <w:rPr>
                <w:color w:val="000000"/>
                <w:sz w:val="17"/>
                <w:szCs w:val="17"/>
                <w:lang w:val="ru-RU"/>
              </w:rPr>
              <w:t xml:space="preserve"> </w:t>
            </w:r>
            <w:r>
              <w:rPr>
                <w:color w:val="000000"/>
                <w:sz w:val="17"/>
                <w:szCs w:val="17"/>
                <w:lang w:val="ru-RU"/>
              </w:rPr>
              <w:t>и</w:t>
            </w:r>
            <w:r w:rsidRPr="004D583E">
              <w:rPr>
                <w:color w:val="000000"/>
                <w:sz w:val="17"/>
                <w:szCs w:val="17"/>
                <w:lang w:val="ru-RU"/>
              </w:rPr>
              <w:t xml:space="preserve"> </w:t>
            </w:r>
            <w:r>
              <w:rPr>
                <w:color w:val="000000"/>
                <w:sz w:val="17"/>
                <w:szCs w:val="17"/>
                <w:lang w:val="ru-RU"/>
              </w:rPr>
              <w:t>снизился</w:t>
            </w:r>
            <w:r w:rsidRPr="004D583E">
              <w:rPr>
                <w:color w:val="000000"/>
                <w:sz w:val="17"/>
                <w:szCs w:val="17"/>
                <w:lang w:val="ru-RU"/>
              </w:rPr>
              <w:t xml:space="preserve"> </w:t>
            </w:r>
            <w:r>
              <w:rPr>
                <w:color w:val="000000"/>
                <w:sz w:val="17"/>
                <w:szCs w:val="17"/>
                <w:lang w:val="ru-RU"/>
              </w:rPr>
              <w:t>средний</w:t>
            </w:r>
            <w:r w:rsidRPr="004D583E">
              <w:rPr>
                <w:color w:val="000000"/>
                <w:sz w:val="17"/>
                <w:szCs w:val="17"/>
                <w:lang w:val="ru-RU"/>
              </w:rPr>
              <w:t xml:space="preserve"> </w:t>
            </w:r>
            <w:r>
              <w:rPr>
                <w:color w:val="000000"/>
                <w:sz w:val="17"/>
                <w:szCs w:val="17"/>
                <w:lang w:val="ru-RU"/>
              </w:rPr>
              <w:t>размер</w:t>
            </w:r>
            <w:r w:rsidRPr="004D583E">
              <w:rPr>
                <w:color w:val="000000"/>
                <w:sz w:val="17"/>
                <w:szCs w:val="17"/>
                <w:lang w:val="ru-RU"/>
              </w:rPr>
              <w:t xml:space="preserve"> </w:t>
            </w:r>
            <w:r>
              <w:rPr>
                <w:color w:val="000000"/>
                <w:sz w:val="17"/>
                <w:szCs w:val="17"/>
                <w:lang w:val="ru-RU"/>
              </w:rPr>
              <w:t>комиссионного</w:t>
            </w:r>
            <w:r w:rsidRPr="004D583E">
              <w:rPr>
                <w:color w:val="000000"/>
                <w:sz w:val="17"/>
                <w:szCs w:val="17"/>
                <w:lang w:val="ru-RU"/>
              </w:rPr>
              <w:t xml:space="preserve"> </w:t>
            </w:r>
            <w:r>
              <w:rPr>
                <w:color w:val="000000"/>
                <w:sz w:val="17"/>
                <w:szCs w:val="17"/>
                <w:lang w:val="ru-RU"/>
              </w:rPr>
              <w:t>сбора</w:t>
            </w:r>
            <w:r w:rsidRPr="004D583E">
              <w:rPr>
                <w:color w:val="000000"/>
                <w:sz w:val="17"/>
                <w:szCs w:val="17"/>
                <w:lang w:val="ru-RU"/>
              </w:rPr>
              <w:t>.</w:t>
            </w:r>
            <w:r>
              <w:rPr>
                <w:color w:val="000000"/>
                <w:sz w:val="17"/>
                <w:szCs w:val="17"/>
                <w:lang w:val="ru-RU"/>
              </w:rPr>
              <w:t xml:space="preserve"> </w:t>
            </w:r>
          </w:p>
        </w:tc>
      </w:tr>
      <w:tr w:rsidR="00506508" w:rsidRPr="005C6ABD" w:rsidTr="00506508">
        <w:trPr>
          <w:trHeight w:val="2040"/>
        </w:trPr>
        <w:tc>
          <w:tcPr>
            <w:tcW w:w="1014" w:type="pct"/>
            <w:tcBorders>
              <w:top w:val="nil"/>
              <w:left w:val="single" w:sz="4" w:space="0" w:color="auto"/>
              <w:bottom w:val="single" w:sz="4" w:space="0" w:color="auto"/>
              <w:right w:val="single" w:sz="4" w:space="0" w:color="auto"/>
            </w:tcBorders>
            <w:shd w:val="clear" w:color="auto" w:fill="auto"/>
          </w:tcPr>
          <w:p w:rsidR="002D647F" w:rsidRPr="004D583E" w:rsidRDefault="002D647F" w:rsidP="002D647F">
            <w:pPr>
              <w:rPr>
                <w:color w:val="000000"/>
                <w:sz w:val="17"/>
                <w:szCs w:val="17"/>
                <w:lang w:val="ru-RU"/>
              </w:rPr>
            </w:pPr>
            <w:r w:rsidRPr="004D583E">
              <w:rPr>
                <w:bCs/>
                <w:color w:val="000000"/>
                <w:sz w:val="17"/>
                <w:szCs w:val="17"/>
                <w:lang w:val="ru-RU" w:bidi="ru-RU"/>
              </w:rPr>
              <w:t>Экономия расходов на закупку товаров и услуг ВОИС</w:t>
            </w:r>
          </w:p>
        </w:tc>
        <w:tc>
          <w:tcPr>
            <w:tcW w:w="589" w:type="pct"/>
            <w:tcBorders>
              <w:top w:val="nil"/>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r>
              <w:rPr>
                <w:color w:val="000000"/>
                <w:sz w:val="17"/>
                <w:szCs w:val="17"/>
              </w:rPr>
              <w:t xml:space="preserve">2 </w:t>
            </w:r>
            <w:r w:rsidRPr="00303E4F">
              <w:rPr>
                <w:color w:val="000000"/>
                <w:sz w:val="17"/>
                <w:szCs w:val="17"/>
              </w:rPr>
              <w:t>663</w:t>
            </w:r>
            <w:r>
              <w:rPr>
                <w:color w:val="000000"/>
                <w:sz w:val="17"/>
                <w:szCs w:val="17"/>
              </w:rPr>
              <w:t xml:space="preserve"> </w:t>
            </w:r>
            <w:r w:rsidRPr="00303E4F">
              <w:rPr>
                <w:color w:val="000000"/>
                <w:sz w:val="17"/>
                <w:szCs w:val="17"/>
              </w:rPr>
              <w:t>000</w:t>
            </w:r>
          </w:p>
        </w:tc>
        <w:tc>
          <w:tcPr>
            <w:tcW w:w="530" w:type="pct"/>
            <w:tcBorders>
              <w:top w:val="nil"/>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r>
              <w:rPr>
                <w:color w:val="000000"/>
                <w:sz w:val="17"/>
                <w:szCs w:val="17"/>
              </w:rPr>
              <w:t xml:space="preserve">3 826 </w:t>
            </w:r>
            <w:r w:rsidRPr="00303E4F">
              <w:rPr>
                <w:color w:val="000000"/>
                <w:sz w:val="17"/>
                <w:szCs w:val="17"/>
              </w:rPr>
              <w:t xml:space="preserve">361 </w:t>
            </w:r>
          </w:p>
        </w:tc>
        <w:tc>
          <w:tcPr>
            <w:tcW w:w="813" w:type="pct"/>
            <w:tcBorders>
              <w:top w:val="nil"/>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p>
        </w:tc>
        <w:tc>
          <w:tcPr>
            <w:tcW w:w="871" w:type="pct"/>
            <w:tcBorders>
              <w:top w:val="nil"/>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p>
        </w:tc>
        <w:tc>
          <w:tcPr>
            <w:tcW w:w="1183" w:type="pct"/>
            <w:tcBorders>
              <w:top w:val="nil"/>
              <w:left w:val="nil"/>
              <w:bottom w:val="single" w:sz="4" w:space="0" w:color="auto"/>
              <w:right w:val="single" w:sz="4" w:space="0" w:color="auto"/>
            </w:tcBorders>
            <w:shd w:val="clear" w:color="auto" w:fill="auto"/>
          </w:tcPr>
          <w:p w:rsidR="002D647F" w:rsidRPr="0076450E" w:rsidRDefault="002D647F" w:rsidP="00506508">
            <w:pPr>
              <w:ind w:left="-43"/>
              <w:rPr>
                <w:color w:val="000000"/>
                <w:sz w:val="17"/>
                <w:szCs w:val="17"/>
                <w:lang w:val="ru-RU"/>
              </w:rPr>
            </w:pPr>
            <w:r w:rsidRPr="0076450E">
              <w:rPr>
                <w:bCs/>
                <w:sz w:val="17"/>
                <w:szCs w:val="17"/>
                <w:lang w:val="ru-RU"/>
              </w:rPr>
              <w:t xml:space="preserve">2014 </w:t>
            </w:r>
            <w:r>
              <w:rPr>
                <w:bCs/>
                <w:sz w:val="17"/>
                <w:szCs w:val="17"/>
                <w:lang w:val="ru-RU"/>
              </w:rPr>
              <w:t>г</w:t>
            </w:r>
            <w:r w:rsidRPr="0076450E">
              <w:rPr>
                <w:bCs/>
                <w:sz w:val="17"/>
                <w:szCs w:val="17"/>
                <w:lang w:val="ru-RU"/>
              </w:rPr>
              <w:t xml:space="preserve">.: </w:t>
            </w:r>
            <w:r>
              <w:rPr>
                <w:bCs/>
                <w:sz w:val="17"/>
                <w:szCs w:val="17"/>
                <w:lang w:val="ru-RU"/>
              </w:rPr>
              <w:t>экономия</w:t>
            </w:r>
            <w:r w:rsidRPr="0076450E">
              <w:rPr>
                <w:bCs/>
                <w:sz w:val="17"/>
                <w:szCs w:val="17"/>
                <w:lang w:val="ru-RU"/>
              </w:rPr>
              <w:t xml:space="preserve"> </w:t>
            </w:r>
            <w:r>
              <w:rPr>
                <w:bCs/>
                <w:sz w:val="17"/>
                <w:szCs w:val="17"/>
                <w:lang w:val="ru-RU"/>
              </w:rPr>
              <w:t>в</w:t>
            </w:r>
            <w:r w:rsidRPr="0076450E">
              <w:rPr>
                <w:bCs/>
                <w:sz w:val="17"/>
                <w:szCs w:val="17"/>
                <w:lang w:val="ru-RU"/>
              </w:rPr>
              <w:t xml:space="preserve"> </w:t>
            </w:r>
            <w:r>
              <w:rPr>
                <w:bCs/>
                <w:sz w:val="17"/>
                <w:szCs w:val="17"/>
                <w:lang w:val="ru-RU"/>
              </w:rPr>
              <w:t>размере</w:t>
            </w:r>
            <w:r w:rsidR="005C3CF6">
              <w:rPr>
                <w:bCs/>
                <w:sz w:val="17"/>
                <w:szCs w:val="17"/>
                <w:lang w:val="ru-RU"/>
              </w:rPr>
              <w:t xml:space="preserve"> 1 598 </w:t>
            </w:r>
            <w:r w:rsidRPr="0076450E">
              <w:rPr>
                <w:bCs/>
                <w:sz w:val="17"/>
                <w:szCs w:val="17"/>
                <w:lang w:val="ru-RU"/>
              </w:rPr>
              <w:t>000</w:t>
            </w:r>
            <w:r w:rsidR="005C3CF6">
              <w:rPr>
                <w:bCs/>
                <w:sz w:val="17"/>
                <w:szCs w:val="17"/>
                <w:lang w:val="ru-RU"/>
              </w:rPr>
              <w:t> </w:t>
            </w:r>
            <w:r>
              <w:rPr>
                <w:color w:val="000000"/>
                <w:sz w:val="17"/>
                <w:szCs w:val="17"/>
                <w:lang w:val="ru-RU"/>
              </w:rPr>
              <w:t>шв</w:t>
            </w:r>
            <w:r w:rsidRPr="0076450E">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76450E">
              <w:rPr>
                <w:bCs/>
                <w:sz w:val="17"/>
                <w:szCs w:val="17"/>
                <w:lang w:val="ru-RU"/>
              </w:rPr>
              <w:t xml:space="preserve"> </w:t>
            </w:r>
            <w:r>
              <w:rPr>
                <w:bCs/>
                <w:sz w:val="17"/>
                <w:szCs w:val="17"/>
                <w:lang w:val="ru-RU"/>
              </w:rPr>
              <w:t>достигнута</w:t>
            </w:r>
            <w:r w:rsidRPr="0076450E">
              <w:rPr>
                <w:bCs/>
                <w:sz w:val="17"/>
                <w:szCs w:val="17"/>
                <w:lang w:val="ru-RU"/>
              </w:rPr>
              <w:t xml:space="preserve"> </w:t>
            </w:r>
            <w:r>
              <w:rPr>
                <w:bCs/>
                <w:sz w:val="17"/>
                <w:szCs w:val="17"/>
                <w:lang w:val="ru-RU"/>
              </w:rPr>
              <w:t>по</w:t>
            </w:r>
            <w:r w:rsidRPr="0076450E">
              <w:rPr>
                <w:bCs/>
                <w:sz w:val="17"/>
                <w:szCs w:val="17"/>
                <w:lang w:val="ru-RU"/>
              </w:rPr>
              <w:t xml:space="preserve"> </w:t>
            </w:r>
            <w:r>
              <w:rPr>
                <w:bCs/>
                <w:sz w:val="17"/>
                <w:szCs w:val="17"/>
                <w:lang w:val="ru-RU"/>
              </w:rPr>
              <w:t>линии</w:t>
            </w:r>
            <w:r w:rsidRPr="0076450E">
              <w:rPr>
                <w:bCs/>
                <w:sz w:val="17"/>
                <w:szCs w:val="17"/>
                <w:lang w:val="ru-RU"/>
              </w:rPr>
              <w:t xml:space="preserve"> Групп</w:t>
            </w:r>
            <w:r>
              <w:rPr>
                <w:bCs/>
                <w:sz w:val="17"/>
                <w:szCs w:val="17"/>
                <w:lang w:val="ru-RU"/>
              </w:rPr>
              <w:t>ы</w:t>
            </w:r>
            <w:r w:rsidRPr="0076450E">
              <w:rPr>
                <w:bCs/>
                <w:sz w:val="17"/>
                <w:szCs w:val="17"/>
                <w:lang w:val="ru-RU"/>
              </w:rPr>
              <w:t xml:space="preserve"> по совместной закупочной деятельности (ГСЗД) </w:t>
            </w:r>
            <w:r>
              <w:rPr>
                <w:bCs/>
                <w:sz w:val="17"/>
                <w:szCs w:val="17"/>
                <w:lang w:val="ru-RU"/>
              </w:rPr>
              <w:t>и</w:t>
            </w:r>
            <w:r w:rsidRPr="0076450E">
              <w:rPr>
                <w:bCs/>
                <w:sz w:val="17"/>
                <w:szCs w:val="17"/>
                <w:lang w:val="ru-RU"/>
              </w:rPr>
              <w:t xml:space="preserve"> </w:t>
            </w:r>
            <w:r>
              <w:rPr>
                <w:bCs/>
                <w:sz w:val="17"/>
                <w:szCs w:val="17"/>
                <w:lang w:val="ru-RU"/>
              </w:rPr>
              <w:t>в</w:t>
            </w:r>
            <w:r w:rsidRPr="0076450E">
              <w:rPr>
                <w:bCs/>
                <w:sz w:val="17"/>
                <w:szCs w:val="17"/>
                <w:lang w:val="ru-RU"/>
              </w:rPr>
              <w:t xml:space="preserve"> </w:t>
            </w:r>
            <w:r>
              <w:rPr>
                <w:bCs/>
                <w:sz w:val="17"/>
                <w:szCs w:val="17"/>
                <w:lang w:val="ru-RU"/>
              </w:rPr>
              <w:t xml:space="preserve">размере </w:t>
            </w:r>
            <w:r w:rsidR="004105A7">
              <w:rPr>
                <w:bCs/>
                <w:sz w:val="17"/>
                <w:szCs w:val="17"/>
                <w:lang w:val="ru-RU"/>
              </w:rPr>
              <w:t>1 </w:t>
            </w:r>
            <w:r w:rsidRPr="0076450E">
              <w:rPr>
                <w:bCs/>
                <w:sz w:val="17"/>
                <w:szCs w:val="17"/>
                <w:lang w:val="ru-RU"/>
              </w:rPr>
              <w:t>064</w:t>
            </w:r>
            <w:r w:rsidR="004105A7">
              <w:rPr>
                <w:bCs/>
                <w:sz w:val="17"/>
                <w:szCs w:val="17"/>
                <w:lang w:val="ru-RU"/>
              </w:rPr>
              <w:t> </w:t>
            </w:r>
            <w:r w:rsidRPr="0076450E">
              <w:rPr>
                <w:bCs/>
                <w:sz w:val="17"/>
                <w:szCs w:val="17"/>
                <w:lang w:val="ru-RU"/>
              </w:rPr>
              <w:t>000</w:t>
            </w:r>
            <w:r w:rsidR="004105A7">
              <w:rPr>
                <w:bCs/>
                <w:sz w:val="17"/>
                <w:szCs w:val="17"/>
                <w:lang w:val="ru-RU"/>
              </w:rPr>
              <w:t> </w:t>
            </w:r>
            <w:r>
              <w:rPr>
                <w:color w:val="000000"/>
                <w:sz w:val="17"/>
                <w:szCs w:val="17"/>
                <w:lang w:val="ru-RU"/>
              </w:rPr>
              <w:t>шв</w:t>
            </w:r>
            <w:r w:rsidRPr="0076450E">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76450E">
              <w:rPr>
                <w:color w:val="000000"/>
                <w:sz w:val="17"/>
                <w:szCs w:val="17"/>
                <w:lang w:val="ru-RU"/>
              </w:rPr>
              <w:t xml:space="preserve"> – </w:t>
            </w:r>
            <w:r w:rsidRPr="0076450E">
              <w:rPr>
                <w:bCs/>
                <w:sz w:val="17"/>
                <w:szCs w:val="17"/>
                <w:lang w:val="ru-RU"/>
              </w:rPr>
              <w:t xml:space="preserve"> </w:t>
            </w:r>
            <w:r>
              <w:rPr>
                <w:bCs/>
                <w:sz w:val="17"/>
                <w:szCs w:val="17"/>
                <w:lang w:val="ru-RU"/>
              </w:rPr>
              <w:t>в результате переговоров, проведенных ВОИС по конкурсным заявкам или с единственными поставщиками</w:t>
            </w:r>
            <w:r w:rsidRPr="0076450E">
              <w:rPr>
                <w:bCs/>
                <w:sz w:val="17"/>
                <w:szCs w:val="17"/>
                <w:lang w:val="ru-RU"/>
              </w:rPr>
              <w:t>.</w:t>
            </w:r>
          </w:p>
          <w:p w:rsidR="002D647F" w:rsidRPr="0076450E" w:rsidRDefault="002D647F" w:rsidP="00506508">
            <w:pPr>
              <w:ind w:left="-43"/>
              <w:rPr>
                <w:color w:val="000000"/>
                <w:sz w:val="17"/>
                <w:szCs w:val="17"/>
                <w:lang w:val="ru-RU"/>
              </w:rPr>
            </w:pPr>
          </w:p>
          <w:p w:rsidR="002D647F" w:rsidRPr="0076450E" w:rsidRDefault="002D647F" w:rsidP="00506508">
            <w:pPr>
              <w:ind w:left="-43"/>
              <w:rPr>
                <w:color w:val="000000"/>
                <w:sz w:val="17"/>
                <w:szCs w:val="17"/>
                <w:lang w:val="ru-RU"/>
              </w:rPr>
            </w:pPr>
            <w:r w:rsidRPr="0076450E">
              <w:rPr>
                <w:color w:val="000000"/>
                <w:sz w:val="17"/>
                <w:szCs w:val="17"/>
                <w:lang w:val="ru-RU"/>
              </w:rPr>
              <w:t xml:space="preserve">2015 </w:t>
            </w:r>
            <w:r>
              <w:rPr>
                <w:color w:val="000000"/>
                <w:sz w:val="17"/>
                <w:szCs w:val="17"/>
                <w:lang w:val="ru-RU"/>
              </w:rPr>
              <w:t>г</w:t>
            </w:r>
            <w:r w:rsidRPr="0076450E">
              <w:rPr>
                <w:color w:val="000000"/>
                <w:sz w:val="17"/>
                <w:szCs w:val="17"/>
                <w:lang w:val="ru-RU"/>
              </w:rPr>
              <w:t xml:space="preserve">.: </w:t>
            </w:r>
            <w:r w:rsidRPr="0076450E">
              <w:rPr>
                <w:bCs/>
                <w:color w:val="000000"/>
                <w:sz w:val="17"/>
                <w:szCs w:val="17"/>
                <w:lang w:val="ru-RU"/>
              </w:rPr>
              <w:t xml:space="preserve">экономия в размере </w:t>
            </w:r>
            <w:r>
              <w:rPr>
                <w:bCs/>
                <w:color w:val="000000"/>
                <w:sz w:val="17"/>
                <w:szCs w:val="17"/>
                <w:lang w:val="ru-RU"/>
              </w:rPr>
              <w:t xml:space="preserve">1 316 </w:t>
            </w:r>
            <w:r w:rsidRPr="0076450E">
              <w:rPr>
                <w:bCs/>
                <w:color w:val="000000"/>
                <w:sz w:val="17"/>
                <w:szCs w:val="17"/>
                <w:lang w:val="ru-RU"/>
              </w:rPr>
              <w:t xml:space="preserve">919  </w:t>
            </w:r>
            <w:r w:rsidRPr="0076450E">
              <w:rPr>
                <w:color w:val="000000"/>
                <w:sz w:val="17"/>
                <w:szCs w:val="17"/>
                <w:lang w:val="ru-RU"/>
              </w:rPr>
              <w:t>шв. фр</w:t>
            </w:r>
            <w:r w:rsidR="00293714">
              <w:rPr>
                <w:color w:val="000000"/>
                <w:sz w:val="17"/>
                <w:szCs w:val="17"/>
                <w:lang w:val="ru-RU"/>
              </w:rPr>
              <w:t>.</w:t>
            </w:r>
            <w:r w:rsidRPr="0076450E">
              <w:rPr>
                <w:bCs/>
                <w:color w:val="000000"/>
                <w:sz w:val="17"/>
                <w:szCs w:val="17"/>
                <w:lang w:val="ru-RU"/>
              </w:rPr>
              <w:t xml:space="preserve"> достигнута по линии Группы по совместной закупочной деятельности (ГСЗД) и в размере </w:t>
            </w:r>
            <w:r>
              <w:rPr>
                <w:bCs/>
                <w:color w:val="000000"/>
                <w:sz w:val="17"/>
                <w:szCs w:val="17"/>
                <w:lang w:val="ru-RU"/>
              </w:rPr>
              <w:t>2</w:t>
            </w:r>
            <w:r w:rsidR="004105A7">
              <w:rPr>
                <w:bCs/>
                <w:color w:val="000000"/>
                <w:sz w:val="17"/>
                <w:szCs w:val="17"/>
                <w:lang w:val="ru-RU"/>
              </w:rPr>
              <w:t> </w:t>
            </w:r>
            <w:r w:rsidRPr="0076450E">
              <w:rPr>
                <w:bCs/>
                <w:color w:val="000000"/>
                <w:sz w:val="17"/>
                <w:szCs w:val="17"/>
                <w:lang w:val="ru-RU"/>
              </w:rPr>
              <w:t>509</w:t>
            </w:r>
            <w:r w:rsidR="004105A7">
              <w:rPr>
                <w:bCs/>
                <w:color w:val="000000"/>
                <w:sz w:val="17"/>
                <w:szCs w:val="17"/>
                <w:lang w:val="ru-RU"/>
              </w:rPr>
              <w:t> 442 </w:t>
            </w:r>
            <w:r w:rsidRPr="0076450E">
              <w:rPr>
                <w:color w:val="000000"/>
                <w:sz w:val="17"/>
                <w:szCs w:val="17"/>
                <w:lang w:val="ru-RU"/>
              </w:rPr>
              <w:t>шв. фр</w:t>
            </w:r>
            <w:r w:rsidR="004105A7">
              <w:rPr>
                <w:color w:val="000000"/>
                <w:sz w:val="17"/>
                <w:szCs w:val="17"/>
                <w:lang w:val="ru-RU"/>
              </w:rPr>
              <w:t>.</w:t>
            </w:r>
            <w:r w:rsidRPr="0076450E">
              <w:rPr>
                <w:color w:val="000000"/>
                <w:sz w:val="17"/>
                <w:szCs w:val="17"/>
                <w:lang w:val="ru-RU"/>
              </w:rPr>
              <w:t xml:space="preserve"> – </w:t>
            </w:r>
            <w:r w:rsidRPr="0076450E">
              <w:rPr>
                <w:bCs/>
                <w:color w:val="000000"/>
                <w:sz w:val="17"/>
                <w:szCs w:val="17"/>
                <w:lang w:val="ru-RU"/>
              </w:rPr>
              <w:t>в результате переговоров, проведенных ВОИС по конкурсным заявкам или с единственными поставщиками.</w:t>
            </w:r>
          </w:p>
        </w:tc>
      </w:tr>
      <w:tr w:rsidR="00506508" w:rsidRPr="005C6ABD" w:rsidTr="00506508">
        <w:trPr>
          <w:trHeight w:val="719"/>
        </w:trPr>
        <w:tc>
          <w:tcPr>
            <w:tcW w:w="1014" w:type="pct"/>
            <w:tcBorders>
              <w:top w:val="nil"/>
              <w:left w:val="single" w:sz="4" w:space="0" w:color="auto"/>
              <w:bottom w:val="single" w:sz="4" w:space="0" w:color="auto"/>
              <w:right w:val="single" w:sz="4" w:space="0" w:color="auto"/>
            </w:tcBorders>
            <w:shd w:val="clear" w:color="auto" w:fill="auto"/>
            <w:hideMark/>
          </w:tcPr>
          <w:p w:rsidR="002D647F" w:rsidRPr="002D647F" w:rsidRDefault="002D647F" w:rsidP="002D647F">
            <w:pPr>
              <w:rPr>
                <w:color w:val="000000"/>
                <w:sz w:val="17"/>
                <w:szCs w:val="17"/>
                <w:lang w:val="ru-RU"/>
              </w:rPr>
            </w:pPr>
            <w:r>
              <w:rPr>
                <w:color w:val="000000"/>
                <w:sz w:val="17"/>
                <w:szCs w:val="17"/>
                <w:lang w:val="ru-RU"/>
              </w:rPr>
              <w:t>Сокращение</w:t>
            </w:r>
            <w:r w:rsidRPr="006C3766">
              <w:rPr>
                <w:color w:val="000000"/>
                <w:sz w:val="17"/>
                <w:szCs w:val="17"/>
                <w:lang w:val="ru-RU"/>
              </w:rPr>
              <w:t xml:space="preserve"> </w:t>
            </w:r>
            <w:r>
              <w:rPr>
                <w:color w:val="000000"/>
                <w:sz w:val="17"/>
                <w:szCs w:val="17"/>
                <w:lang w:val="ru-RU"/>
              </w:rPr>
              <w:t>энергопотребления</w:t>
            </w:r>
            <w:r w:rsidRPr="006C3766">
              <w:rPr>
                <w:color w:val="000000"/>
                <w:sz w:val="17"/>
                <w:szCs w:val="17"/>
                <w:lang w:val="ru-RU"/>
              </w:rPr>
              <w:t xml:space="preserve"> </w:t>
            </w:r>
            <w:r>
              <w:rPr>
                <w:color w:val="000000"/>
                <w:sz w:val="17"/>
                <w:szCs w:val="17"/>
                <w:lang w:val="ru-RU"/>
              </w:rPr>
              <w:t>при</w:t>
            </w:r>
            <w:r w:rsidRPr="006C3766">
              <w:rPr>
                <w:color w:val="000000"/>
                <w:sz w:val="17"/>
                <w:szCs w:val="17"/>
                <w:lang w:val="ru-RU"/>
              </w:rPr>
              <w:t xml:space="preserve"> </w:t>
            </w:r>
            <w:r>
              <w:rPr>
                <w:color w:val="000000"/>
                <w:sz w:val="17"/>
                <w:szCs w:val="17"/>
                <w:lang w:val="ru-RU"/>
              </w:rPr>
              <w:t>функционировании</w:t>
            </w:r>
            <w:r w:rsidRPr="006C3766">
              <w:rPr>
                <w:color w:val="000000"/>
                <w:sz w:val="17"/>
                <w:szCs w:val="17"/>
                <w:lang w:val="ru-RU"/>
              </w:rPr>
              <w:t xml:space="preserve"> </w:t>
            </w:r>
            <w:r>
              <w:rPr>
                <w:color w:val="000000"/>
                <w:sz w:val="17"/>
                <w:szCs w:val="17"/>
                <w:lang w:val="ru-RU"/>
              </w:rPr>
              <w:t>системы</w:t>
            </w:r>
            <w:r w:rsidRPr="006C3766">
              <w:rPr>
                <w:color w:val="000000"/>
                <w:sz w:val="17"/>
                <w:szCs w:val="17"/>
                <w:lang w:val="ru-RU"/>
              </w:rPr>
              <w:t xml:space="preserve"> </w:t>
            </w:r>
            <w:r>
              <w:rPr>
                <w:color w:val="000000"/>
                <w:sz w:val="17"/>
                <w:szCs w:val="17"/>
                <w:lang w:val="ru-RU"/>
              </w:rPr>
              <w:t>охлаждения</w:t>
            </w:r>
            <w:r w:rsidRPr="006C3766">
              <w:rPr>
                <w:color w:val="000000"/>
                <w:sz w:val="17"/>
                <w:szCs w:val="17"/>
                <w:lang w:val="ru-RU"/>
              </w:rPr>
              <w:t xml:space="preserve"> </w:t>
            </w:r>
            <w:r>
              <w:rPr>
                <w:color w:val="000000"/>
                <w:sz w:val="17"/>
                <w:szCs w:val="17"/>
                <w:lang w:val="ru-RU"/>
              </w:rPr>
              <w:t>за</w:t>
            </w:r>
            <w:r w:rsidRPr="006C3766">
              <w:rPr>
                <w:color w:val="000000"/>
                <w:sz w:val="17"/>
                <w:szCs w:val="17"/>
                <w:lang w:val="ru-RU"/>
              </w:rPr>
              <w:t xml:space="preserve"> </w:t>
            </w:r>
            <w:r>
              <w:rPr>
                <w:color w:val="000000"/>
                <w:sz w:val="17"/>
                <w:szCs w:val="17"/>
                <w:lang w:val="ru-RU"/>
              </w:rPr>
              <w:t>счет</w:t>
            </w:r>
            <w:r w:rsidRPr="006C3766">
              <w:rPr>
                <w:color w:val="000000"/>
                <w:sz w:val="17"/>
                <w:szCs w:val="17"/>
                <w:lang w:val="ru-RU"/>
              </w:rPr>
              <w:t xml:space="preserve"> </w:t>
            </w:r>
            <w:r>
              <w:rPr>
                <w:color w:val="000000"/>
                <w:sz w:val="17"/>
                <w:szCs w:val="17"/>
                <w:lang w:val="ru-RU"/>
              </w:rPr>
              <w:t>использования</w:t>
            </w:r>
            <w:r w:rsidRPr="006C3766">
              <w:rPr>
                <w:color w:val="000000"/>
                <w:sz w:val="17"/>
                <w:szCs w:val="17"/>
                <w:lang w:val="ru-RU"/>
              </w:rPr>
              <w:t xml:space="preserve"> </w:t>
            </w:r>
            <w:r>
              <w:rPr>
                <w:color w:val="000000"/>
                <w:sz w:val="17"/>
                <w:szCs w:val="17"/>
                <w:lang w:val="ru-RU"/>
              </w:rPr>
              <w:t>воды</w:t>
            </w:r>
            <w:r w:rsidRPr="006C3766">
              <w:rPr>
                <w:color w:val="000000"/>
                <w:sz w:val="17"/>
                <w:szCs w:val="17"/>
                <w:lang w:val="ru-RU"/>
              </w:rPr>
              <w:t xml:space="preserve"> </w:t>
            </w:r>
            <w:r>
              <w:rPr>
                <w:color w:val="000000"/>
                <w:sz w:val="17"/>
                <w:szCs w:val="17"/>
                <w:lang w:val="ru-RU"/>
              </w:rPr>
              <w:t>из</w:t>
            </w:r>
            <w:r w:rsidRPr="006C3766">
              <w:rPr>
                <w:color w:val="000000"/>
                <w:sz w:val="17"/>
                <w:szCs w:val="17"/>
                <w:lang w:val="ru-RU"/>
              </w:rPr>
              <w:t xml:space="preserve"> </w:t>
            </w:r>
            <w:r>
              <w:rPr>
                <w:color w:val="000000"/>
                <w:sz w:val="17"/>
                <w:szCs w:val="17"/>
                <w:lang w:val="ru-RU"/>
              </w:rPr>
              <w:t>Женевского</w:t>
            </w:r>
            <w:r w:rsidRPr="006C3766">
              <w:rPr>
                <w:color w:val="000000"/>
                <w:sz w:val="17"/>
                <w:szCs w:val="17"/>
                <w:lang w:val="ru-RU"/>
              </w:rPr>
              <w:t xml:space="preserve"> </w:t>
            </w:r>
            <w:r>
              <w:rPr>
                <w:color w:val="000000"/>
                <w:sz w:val="17"/>
                <w:szCs w:val="17"/>
                <w:lang w:val="ru-RU"/>
              </w:rPr>
              <w:t>озера</w:t>
            </w:r>
            <w:r w:rsidRPr="006C3766">
              <w:rPr>
                <w:color w:val="000000"/>
                <w:sz w:val="17"/>
                <w:szCs w:val="17"/>
                <w:lang w:val="ru-RU"/>
              </w:rPr>
              <w:t xml:space="preserve">, </w:t>
            </w:r>
            <w:r>
              <w:rPr>
                <w:color w:val="000000"/>
                <w:sz w:val="17"/>
                <w:szCs w:val="17"/>
                <w:lang w:val="ru-RU"/>
              </w:rPr>
              <w:t>а</w:t>
            </w:r>
            <w:r w:rsidRPr="006C3766">
              <w:rPr>
                <w:color w:val="000000"/>
                <w:sz w:val="17"/>
                <w:szCs w:val="17"/>
                <w:lang w:val="ru-RU"/>
              </w:rPr>
              <w:t xml:space="preserve"> </w:t>
            </w:r>
            <w:r>
              <w:rPr>
                <w:color w:val="000000"/>
                <w:sz w:val="17"/>
                <w:szCs w:val="17"/>
                <w:lang w:val="ru-RU"/>
              </w:rPr>
              <w:t>не</w:t>
            </w:r>
            <w:r w:rsidRPr="006C3766">
              <w:rPr>
                <w:color w:val="000000"/>
                <w:sz w:val="17"/>
                <w:szCs w:val="17"/>
                <w:lang w:val="ru-RU"/>
              </w:rPr>
              <w:t xml:space="preserve"> </w:t>
            </w:r>
            <w:r>
              <w:rPr>
                <w:color w:val="000000"/>
                <w:sz w:val="17"/>
                <w:szCs w:val="17"/>
                <w:lang w:val="ru-RU"/>
              </w:rPr>
              <w:t>городской</w:t>
            </w:r>
            <w:r w:rsidRPr="006C3766">
              <w:rPr>
                <w:color w:val="000000"/>
                <w:sz w:val="17"/>
                <w:szCs w:val="17"/>
                <w:lang w:val="ru-RU"/>
              </w:rPr>
              <w:t xml:space="preserve"> </w:t>
            </w:r>
            <w:r>
              <w:rPr>
                <w:color w:val="000000"/>
                <w:sz w:val="17"/>
                <w:szCs w:val="17"/>
                <w:lang w:val="ru-RU"/>
              </w:rPr>
              <w:t>водопроводной</w:t>
            </w:r>
            <w:r w:rsidRPr="006C3766">
              <w:rPr>
                <w:color w:val="000000"/>
                <w:sz w:val="17"/>
                <w:szCs w:val="17"/>
                <w:lang w:val="ru-RU"/>
              </w:rPr>
              <w:t xml:space="preserve"> </w:t>
            </w:r>
            <w:r>
              <w:rPr>
                <w:color w:val="000000"/>
                <w:sz w:val="17"/>
                <w:szCs w:val="17"/>
                <w:lang w:val="ru-RU"/>
              </w:rPr>
              <w:t xml:space="preserve">системы; при этом не нужно использовать машинное оборудование для снижения температуры воды, что позволяет экономить электричество и воду, потребляемые при работе системы охлаждения.  </w:t>
            </w:r>
          </w:p>
        </w:tc>
        <w:tc>
          <w:tcPr>
            <w:tcW w:w="589" w:type="pct"/>
            <w:tcBorders>
              <w:top w:val="nil"/>
              <w:left w:val="nil"/>
              <w:bottom w:val="single" w:sz="4" w:space="0" w:color="auto"/>
              <w:right w:val="single" w:sz="4" w:space="0" w:color="auto"/>
            </w:tcBorders>
            <w:shd w:val="clear" w:color="auto" w:fill="auto"/>
            <w:hideMark/>
          </w:tcPr>
          <w:p w:rsidR="002D647F" w:rsidRPr="006C3766" w:rsidRDefault="002D647F" w:rsidP="002D647F">
            <w:pPr>
              <w:rPr>
                <w:color w:val="000000"/>
                <w:sz w:val="17"/>
                <w:szCs w:val="17"/>
                <w:lang w:val="ru-RU"/>
              </w:rPr>
            </w:pPr>
            <w:r>
              <w:rPr>
                <w:color w:val="000000"/>
                <w:sz w:val="17"/>
                <w:szCs w:val="17"/>
                <w:lang w:val="ru-RU"/>
              </w:rPr>
              <w:t xml:space="preserve">35 </w:t>
            </w:r>
            <w:r w:rsidRPr="006C3766">
              <w:rPr>
                <w:color w:val="000000"/>
                <w:sz w:val="17"/>
                <w:szCs w:val="17"/>
                <w:lang w:val="ru-RU"/>
              </w:rPr>
              <w:t>000</w:t>
            </w:r>
          </w:p>
        </w:tc>
        <w:tc>
          <w:tcPr>
            <w:tcW w:w="530" w:type="pct"/>
            <w:tcBorders>
              <w:top w:val="nil"/>
              <w:left w:val="nil"/>
              <w:bottom w:val="single" w:sz="4" w:space="0" w:color="auto"/>
              <w:right w:val="single" w:sz="4" w:space="0" w:color="auto"/>
            </w:tcBorders>
            <w:shd w:val="clear" w:color="auto" w:fill="auto"/>
            <w:hideMark/>
          </w:tcPr>
          <w:p w:rsidR="002D647F" w:rsidRPr="006C3766" w:rsidRDefault="002D647F" w:rsidP="002D647F">
            <w:pPr>
              <w:rPr>
                <w:color w:val="000000"/>
                <w:sz w:val="17"/>
                <w:szCs w:val="17"/>
                <w:lang w:val="ru-RU"/>
              </w:rPr>
            </w:pPr>
            <w:r w:rsidRPr="00303E4F">
              <w:rPr>
                <w:color w:val="000000"/>
                <w:sz w:val="17"/>
                <w:szCs w:val="17"/>
              </w:rPr>
              <w:t> </w:t>
            </w:r>
            <w:r>
              <w:rPr>
                <w:color w:val="000000"/>
                <w:sz w:val="17"/>
                <w:szCs w:val="17"/>
                <w:lang w:val="ru-RU"/>
              </w:rPr>
              <w:t xml:space="preserve">75 </w:t>
            </w:r>
            <w:r w:rsidRPr="006C3766">
              <w:rPr>
                <w:color w:val="000000"/>
                <w:sz w:val="17"/>
                <w:szCs w:val="17"/>
                <w:lang w:val="ru-RU"/>
              </w:rPr>
              <w:t>000</w:t>
            </w:r>
          </w:p>
        </w:tc>
        <w:tc>
          <w:tcPr>
            <w:tcW w:w="813" w:type="pct"/>
            <w:tcBorders>
              <w:top w:val="nil"/>
              <w:left w:val="nil"/>
              <w:bottom w:val="single" w:sz="4" w:space="0" w:color="auto"/>
              <w:right w:val="single" w:sz="4" w:space="0" w:color="auto"/>
            </w:tcBorders>
            <w:shd w:val="clear" w:color="auto" w:fill="auto"/>
            <w:hideMark/>
          </w:tcPr>
          <w:p w:rsidR="002D647F" w:rsidRPr="006C3766" w:rsidRDefault="002D647F" w:rsidP="002D647F">
            <w:pPr>
              <w:rPr>
                <w:color w:val="000000"/>
                <w:sz w:val="17"/>
                <w:szCs w:val="17"/>
                <w:lang w:val="ru-RU"/>
              </w:rPr>
            </w:pPr>
            <w:r w:rsidRPr="00303E4F">
              <w:rPr>
                <w:color w:val="000000"/>
                <w:sz w:val="17"/>
                <w:szCs w:val="17"/>
              </w:rPr>
              <w:t> </w:t>
            </w:r>
          </w:p>
        </w:tc>
        <w:tc>
          <w:tcPr>
            <w:tcW w:w="871" w:type="pct"/>
            <w:tcBorders>
              <w:top w:val="nil"/>
              <w:left w:val="nil"/>
              <w:bottom w:val="single" w:sz="4" w:space="0" w:color="auto"/>
              <w:right w:val="single" w:sz="4" w:space="0" w:color="auto"/>
            </w:tcBorders>
            <w:shd w:val="clear" w:color="auto" w:fill="auto"/>
            <w:hideMark/>
          </w:tcPr>
          <w:p w:rsidR="002D647F" w:rsidRPr="006C3766" w:rsidRDefault="002D647F" w:rsidP="002D647F">
            <w:pPr>
              <w:rPr>
                <w:color w:val="000000"/>
                <w:sz w:val="17"/>
                <w:szCs w:val="17"/>
                <w:lang w:val="ru-RU"/>
              </w:rPr>
            </w:pPr>
            <w:r w:rsidRPr="00303E4F">
              <w:rPr>
                <w:color w:val="000000"/>
                <w:sz w:val="17"/>
                <w:szCs w:val="17"/>
              </w:rPr>
              <w:t> </w:t>
            </w:r>
          </w:p>
        </w:tc>
        <w:tc>
          <w:tcPr>
            <w:tcW w:w="1183" w:type="pct"/>
            <w:tcBorders>
              <w:top w:val="nil"/>
              <w:left w:val="nil"/>
              <w:bottom w:val="single" w:sz="4" w:space="0" w:color="auto"/>
              <w:right w:val="single" w:sz="4" w:space="0" w:color="auto"/>
            </w:tcBorders>
            <w:shd w:val="clear" w:color="auto" w:fill="auto"/>
            <w:hideMark/>
          </w:tcPr>
          <w:p w:rsidR="002D647F" w:rsidRPr="006C3766" w:rsidRDefault="002D647F" w:rsidP="00506508">
            <w:pPr>
              <w:ind w:left="-43"/>
              <w:rPr>
                <w:color w:val="000000"/>
                <w:sz w:val="17"/>
                <w:szCs w:val="17"/>
                <w:lang w:val="ru-RU"/>
              </w:rPr>
            </w:pPr>
            <w:r w:rsidRPr="006C3766">
              <w:rPr>
                <w:color w:val="000000"/>
                <w:sz w:val="17"/>
                <w:szCs w:val="17"/>
                <w:lang w:val="ru-RU"/>
              </w:rPr>
              <w:t xml:space="preserve">2014 </w:t>
            </w:r>
            <w:r>
              <w:rPr>
                <w:color w:val="000000"/>
                <w:sz w:val="17"/>
                <w:szCs w:val="17"/>
                <w:lang w:val="ru-RU"/>
              </w:rPr>
              <w:t>г</w:t>
            </w:r>
            <w:r w:rsidRPr="006C3766">
              <w:rPr>
                <w:color w:val="000000"/>
                <w:sz w:val="17"/>
                <w:szCs w:val="17"/>
                <w:lang w:val="ru-RU"/>
              </w:rPr>
              <w:t xml:space="preserve">.: </w:t>
            </w:r>
            <w:r>
              <w:rPr>
                <w:color w:val="000000"/>
                <w:sz w:val="17"/>
                <w:szCs w:val="17"/>
                <w:lang w:val="ru-RU"/>
              </w:rPr>
              <w:t>Здание</w:t>
            </w:r>
            <w:r w:rsidRPr="006C3766">
              <w:rPr>
                <w:color w:val="000000"/>
                <w:sz w:val="17"/>
                <w:szCs w:val="17"/>
                <w:lang w:val="ru-RU"/>
              </w:rPr>
              <w:t xml:space="preserve"> </w:t>
            </w:r>
            <w:r w:rsidRPr="00303E4F">
              <w:rPr>
                <w:color w:val="000000"/>
                <w:sz w:val="17"/>
                <w:szCs w:val="17"/>
              </w:rPr>
              <w:t>AB</w:t>
            </w:r>
            <w:r>
              <w:rPr>
                <w:color w:val="000000"/>
                <w:sz w:val="17"/>
                <w:szCs w:val="17"/>
                <w:lang w:val="ru-RU"/>
              </w:rPr>
              <w:t xml:space="preserve">: </w:t>
            </w:r>
            <w:r w:rsidR="00293714">
              <w:rPr>
                <w:color w:val="000000"/>
                <w:sz w:val="17"/>
                <w:szCs w:val="17"/>
                <w:lang w:val="ru-RU"/>
              </w:rPr>
              <w:t xml:space="preserve"> </w:t>
            </w:r>
            <w:r>
              <w:rPr>
                <w:color w:val="000000"/>
                <w:sz w:val="17"/>
                <w:szCs w:val="17"/>
                <w:lang w:val="ru-RU"/>
              </w:rPr>
              <w:t>снижение потребления электричества и воды благодаря подключению к системе охлаждения.  Работы по подключению были завершены в середине года, поэтому экономия была получена только во втором полугодии.</w:t>
            </w:r>
          </w:p>
          <w:p w:rsidR="002D647F" w:rsidRPr="006C3766" w:rsidRDefault="002D647F" w:rsidP="00506508">
            <w:pPr>
              <w:ind w:left="-43"/>
              <w:rPr>
                <w:color w:val="000000"/>
                <w:sz w:val="17"/>
                <w:szCs w:val="17"/>
                <w:lang w:val="ru-RU"/>
              </w:rPr>
            </w:pPr>
          </w:p>
          <w:p w:rsidR="002D647F" w:rsidRPr="006C3766" w:rsidRDefault="002D647F" w:rsidP="00506508">
            <w:pPr>
              <w:ind w:left="-43"/>
              <w:rPr>
                <w:color w:val="000000"/>
                <w:sz w:val="17"/>
                <w:szCs w:val="17"/>
                <w:lang w:val="ru-RU"/>
              </w:rPr>
            </w:pPr>
            <w:r w:rsidRPr="006C3766">
              <w:rPr>
                <w:color w:val="000000"/>
                <w:sz w:val="17"/>
                <w:szCs w:val="17"/>
                <w:lang w:val="ru-RU"/>
              </w:rPr>
              <w:t xml:space="preserve">2015 </w:t>
            </w:r>
            <w:r>
              <w:rPr>
                <w:color w:val="000000"/>
                <w:sz w:val="17"/>
                <w:szCs w:val="17"/>
                <w:lang w:val="ru-RU"/>
              </w:rPr>
              <w:t>г</w:t>
            </w:r>
            <w:r w:rsidRPr="006C3766">
              <w:rPr>
                <w:color w:val="000000"/>
                <w:sz w:val="17"/>
                <w:szCs w:val="17"/>
                <w:lang w:val="ru-RU"/>
              </w:rPr>
              <w:t xml:space="preserve">.: </w:t>
            </w:r>
            <w:r>
              <w:rPr>
                <w:color w:val="000000"/>
                <w:sz w:val="17"/>
                <w:szCs w:val="17"/>
                <w:lang w:val="ru-RU"/>
              </w:rPr>
              <w:t>Здание</w:t>
            </w:r>
            <w:r w:rsidRPr="006C3766">
              <w:rPr>
                <w:color w:val="000000"/>
                <w:sz w:val="17"/>
                <w:szCs w:val="17"/>
                <w:lang w:val="ru-RU"/>
              </w:rPr>
              <w:t xml:space="preserve"> </w:t>
            </w:r>
            <w:r>
              <w:rPr>
                <w:color w:val="000000"/>
                <w:sz w:val="17"/>
                <w:szCs w:val="17"/>
              </w:rPr>
              <w:t>AB</w:t>
            </w:r>
            <w:r w:rsidRPr="006C3766">
              <w:rPr>
                <w:color w:val="000000"/>
                <w:sz w:val="17"/>
                <w:szCs w:val="17"/>
                <w:lang w:val="ru-RU"/>
              </w:rPr>
              <w:t xml:space="preserve">: </w:t>
            </w:r>
            <w:r w:rsidR="00293714">
              <w:rPr>
                <w:color w:val="000000"/>
                <w:sz w:val="17"/>
                <w:szCs w:val="17"/>
                <w:lang w:val="ru-RU"/>
              </w:rPr>
              <w:t xml:space="preserve"> </w:t>
            </w:r>
            <w:r>
              <w:rPr>
                <w:color w:val="000000"/>
                <w:sz w:val="17"/>
                <w:szCs w:val="17"/>
                <w:lang w:val="ru-RU"/>
              </w:rPr>
              <w:t>средства сэкономлены за весь год</w:t>
            </w:r>
            <w:r w:rsidRPr="006C3766">
              <w:rPr>
                <w:color w:val="000000"/>
                <w:sz w:val="17"/>
                <w:szCs w:val="17"/>
                <w:lang w:val="ru-RU"/>
              </w:rPr>
              <w:t xml:space="preserve"> (70</w:t>
            </w:r>
            <w:r w:rsidR="005C3CF6">
              <w:rPr>
                <w:color w:val="000000"/>
                <w:sz w:val="17"/>
                <w:szCs w:val="17"/>
                <w:lang w:val="ru-RU"/>
              </w:rPr>
              <w:t> 000 </w:t>
            </w:r>
            <w:r>
              <w:rPr>
                <w:color w:val="000000"/>
                <w:sz w:val="17"/>
                <w:szCs w:val="17"/>
                <w:lang w:val="ru-RU"/>
              </w:rPr>
              <w:t>шв</w:t>
            </w:r>
            <w:r w:rsidRPr="006C3766">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6C3766">
              <w:rPr>
                <w:color w:val="000000"/>
                <w:sz w:val="17"/>
                <w:szCs w:val="17"/>
                <w:lang w:val="ru-RU"/>
              </w:rPr>
              <w:t xml:space="preserve">).  </w:t>
            </w:r>
          </w:p>
          <w:p w:rsidR="002D647F" w:rsidRPr="006C3766" w:rsidRDefault="002D647F" w:rsidP="00506508">
            <w:pPr>
              <w:ind w:left="-43"/>
              <w:rPr>
                <w:color w:val="000000"/>
                <w:sz w:val="17"/>
                <w:szCs w:val="17"/>
                <w:lang w:val="ru-RU"/>
              </w:rPr>
            </w:pPr>
          </w:p>
          <w:p w:rsidR="002D647F" w:rsidRPr="006C3766" w:rsidRDefault="002D647F" w:rsidP="00506508">
            <w:pPr>
              <w:ind w:left="-43"/>
              <w:rPr>
                <w:color w:val="000000"/>
                <w:sz w:val="17"/>
                <w:szCs w:val="17"/>
                <w:lang w:val="ru-RU"/>
              </w:rPr>
            </w:pPr>
            <w:r w:rsidRPr="006C3766">
              <w:rPr>
                <w:color w:val="000000"/>
                <w:sz w:val="17"/>
                <w:szCs w:val="17"/>
                <w:lang w:val="ru-RU"/>
              </w:rPr>
              <w:t xml:space="preserve">2015 </w:t>
            </w:r>
            <w:r>
              <w:rPr>
                <w:color w:val="000000"/>
                <w:sz w:val="17"/>
                <w:szCs w:val="17"/>
                <w:lang w:val="ru-RU"/>
              </w:rPr>
              <w:t>г</w:t>
            </w:r>
            <w:r w:rsidRPr="006C3766">
              <w:rPr>
                <w:color w:val="000000"/>
                <w:sz w:val="17"/>
                <w:szCs w:val="17"/>
                <w:lang w:val="ru-RU"/>
              </w:rPr>
              <w:t xml:space="preserve">.: </w:t>
            </w:r>
            <w:r>
              <w:rPr>
                <w:color w:val="000000"/>
                <w:sz w:val="17"/>
                <w:szCs w:val="17"/>
                <w:lang w:val="ru-RU"/>
              </w:rPr>
              <w:t>Здание</w:t>
            </w:r>
            <w:r w:rsidRPr="006C3766">
              <w:rPr>
                <w:color w:val="000000"/>
                <w:sz w:val="17"/>
                <w:szCs w:val="17"/>
                <w:lang w:val="ru-RU"/>
              </w:rPr>
              <w:t xml:space="preserve"> </w:t>
            </w:r>
            <w:r w:rsidRPr="00303E4F">
              <w:rPr>
                <w:color w:val="000000"/>
                <w:sz w:val="17"/>
                <w:szCs w:val="17"/>
              </w:rPr>
              <w:t>PCT</w:t>
            </w:r>
            <w:r w:rsidRPr="006C3766">
              <w:rPr>
                <w:color w:val="000000"/>
                <w:sz w:val="17"/>
                <w:szCs w:val="17"/>
                <w:lang w:val="ru-RU"/>
              </w:rPr>
              <w:t xml:space="preserve">:  </w:t>
            </w:r>
            <w:r>
              <w:rPr>
                <w:color w:val="000000"/>
                <w:sz w:val="17"/>
                <w:szCs w:val="17"/>
                <w:lang w:val="ru-RU"/>
              </w:rPr>
              <w:t>подключено к системе охлаждения с использованием воды из Женевского озера с ноября 2015 г. (соответственно за</w:t>
            </w:r>
            <w:r w:rsidR="004105A7">
              <w:rPr>
                <w:color w:val="000000"/>
                <w:sz w:val="17"/>
                <w:szCs w:val="17"/>
                <w:lang w:val="ru-RU"/>
              </w:rPr>
              <w:t xml:space="preserve"> два месяца сэкономлено 5 000 </w:t>
            </w:r>
            <w:r w:rsidRPr="00F46A6C">
              <w:rPr>
                <w:color w:val="000000"/>
                <w:sz w:val="17"/>
                <w:szCs w:val="17"/>
                <w:lang w:val="ru-RU"/>
              </w:rPr>
              <w:t>шв</w:t>
            </w:r>
            <w:r w:rsidR="004105A7">
              <w:rPr>
                <w:color w:val="000000"/>
                <w:sz w:val="17"/>
                <w:szCs w:val="17"/>
                <w:lang w:val="ru-RU"/>
              </w:rPr>
              <w:t>. </w:t>
            </w:r>
            <w:r w:rsidRPr="00F46A6C">
              <w:rPr>
                <w:color w:val="000000"/>
                <w:sz w:val="17"/>
                <w:szCs w:val="17"/>
                <w:lang w:val="ru-RU"/>
              </w:rPr>
              <w:t>фр</w:t>
            </w:r>
            <w:r w:rsidR="004105A7">
              <w:rPr>
                <w:color w:val="000000"/>
                <w:sz w:val="17"/>
                <w:szCs w:val="17"/>
                <w:lang w:val="ru-RU"/>
              </w:rPr>
              <w:t>.</w:t>
            </w:r>
            <w:r>
              <w:rPr>
                <w:color w:val="000000"/>
                <w:sz w:val="17"/>
                <w:szCs w:val="17"/>
                <w:lang w:val="ru-RU"/>
              </w:rPr>
              <w:t>).</w:t>
            </w:r>
            <w:r w:rsidRPr="006C3766">
              <w:rPr>
                <w:color w:val="000000"/>
                <w:sz w:val="17"/>
                <w:szCs w:val="17"/>
                <w:lang w:val="ru-RU"/>
              </w:rPr>
              <w:t xml:space="preserve"> </w:t>
            </w:r>
          </w:p>
        </w:tc>
      </w:tr>
      <w:tr w:rsidR="00506508" w:rsidRPr="005C6ABD" w:rsidTr="00506508">
        <w:trPr>
          <w:trHeight w:val="2903"/>
        </w:trPr>
        <w:tc>
          <w:tcPr>
            <w:tcW w:w="1014" w:type="pct"/>
            <w:tcBorders>
              <w:top w:val="nil"/>
              <w:left w:val="single" w:sz="4" w:space="0" w:color="auto"/>
              <w:bottom w:val="single" w:sz="4" w:space="0" w:color="auto"/>
              <w:right w:val="single" w:sz="4" w:space="0" w:color="auto"/>
            </w:tcBorders>
            <w:shd w:val="clear" w:color="auto" w:fill="auto"/>
            <w:hideMark/>
          </w:tcPr>
          <w:p w:rsidR="002D647F" w:rsidRPr="008E0253" w:rsidRDefault="002D647F" w:rsidP="002D647F">
            <w:pPr>
              <w:rPr>
                <w:color w:val="000000"/>
                <w:sz w:val="17"/>
                <w:szCs w:val="17"/>
                <w:lang w:val="ru-RU"/>
              </w:rPr>
            </w:pPr>
            <w:r w:rsidRPr="008E0253">
              <w:rPr>
                <w:color w:val="000000"/>
                <w:sz w:val="17"/>
                <w:szCs w:val="17"/>
                <w:lang w:val="ru-RU"/>
              </w:rPr>
              <w:t xml:space="preserve">Снижение потребления электроэнергии во всех зданиях ВОИС в результате установки </w:t>
            </w:r>
            <w:r w:rsidRPr="008E0253">
              <w:rPr>
                <w:bCs/>
                <w:color w:val="000000"/>
                <w:sz w:val="17"/>
                <w:szCs w:val="17"/>
                <w:lang w:val="ru-RU"/>
              </w:rPr>
              <w:t>датчик</w:t>
            </w:r>
            <w:r>
              <w:rPr>
                <w:bCs/>
                <w:color w:val="000000"/>
                <w:sz w:val="17"/>
                <w:szCs w:val="17"/>
                <w:lang w:val="ru-RU"/>
              </w:rPr>
              <w:t>ов</w:t>
            </w:r>
            <w:r w:rsidRPr="008E0253">
              <w:rPr>
                <w:color w:val="000000"/>
                <w:sz w:val="17"/>
                <w:szCs w:val="17"/>
                <w:lang w:val="ru-RU"/>
              </w:rPr>
              <w:t xml:space="preserve"> </w:t>
            </w:r>
            <w:r w:rsidRPr="008E0253">
              <w:rPr>
                <w:bCs/>
                <w:color w:val="000000"/>
                <w:sz w:val="17"/>
                <w:szCs w:val="17"/>
                <w:lang w:val="ru-RU"/>
              </w:rPr>
              <w:t>присутствия</w:t>
            </w:r>
            <w:r w:rsidRPr="008E0253">
              <w:rPr>
                <w:color w:val="000000"/>
                <w:sz w:val="17"/>
                <w:szCs w:val="17"/>
                <w:lang w:val="ru-RU"/>
              </w:rPr>
              <w:t xml:space="preserve"> для включения света, энергосберегающих ламп, </w:t>
            </w:r>
            <w:r>
              <w:rPr>
                <w:color w:val="000000"/>
                <w:sz w:val="17"/>
                <w:szCs w:val="17"/>
                <w:lang w:val="ru-RU"/>
              </w:rPr>
              <w:t xml:space="preserve">системы таймеров для освещения автостоянки </w:t>
            </w:r>
            <w:r w:rsidRPr="008E0253">
              <w:rPr>
                <w:color w:val="000000"/>
                <w:sz w:val="17"/>
                <w:szCs w:val="17"/>
                <w:lang w:val="ru-RU"/>
              </w:rPr>
              <w:t>и новых более эффективных электр</w:t>
            </w:r>
            <w:r>
              <w:rPr>
                <w:color w:val="000000"/>
                <w:sz w:val="17"/>
                <w:szCs w:val="17"/>
                <w:lang w:val="ru-RU"/>
              </w:rPr>
              <w:t>ошкафов д</w:t>
            </w:r>
            <w:r w:rsidRPr="008E0253">
              <w:rPr>
                <w:color w:val="000000"/>
                <w:sz w:val="17"/>
                <w:szCs w:val="17"/>
                <w:lang w:val="ru-RU"/>
              </w:rPr>
              <w:t xml:space="preserve">ля эксплуатации электрических установок </w:t>
            </w:r>
            <w:r>
              <w:rPr>
                <w:color w:val="000000"/>
                <w:sz w:val="17"/>
                <w:szCs w:val="17"/>
                <w:lang w:val="ru-RU"/>
              </w:rPr>
              <w:t>на</w:t>
            </w:r>
            <w:r w:rsidRPr="008E0253">
              <w:rPr>
                <w:color w:val="000000"/>
                <w:sz w:val="17"/>
                <w:szCs w:val="17"/>
                <w:lang w:val="ru-RU"/>
              </w:rPr>
              <w:t xml:space="preserve"> всех этажах всех зданий.</w:t>
            </w:r>
          </w:p>
        </w:tc>
        <w:tc>
          <w:tcPr>
            <w:tcW w:w="589"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15</w:t>
            </w:r>
            <w:r>
              <w:rPr>
                <w:color w:val="000000"/>
                <w:sz w:val="17"/>
                <w:szCs w:val="17"/>
                <w:lang w:val="ru-RU"/>
              </w:rPr>
              <w:t xml:space="preserve"> </w:t>
            </w:r>
            <w:r w:rsidRPr="00303E4F">
              <w:rPr>
                <w:color w:val="000000"/>
                <w:sz w:val="17"/>
                <w:szCs w:val="17"/>
              </w:rPr>
              <w:t>000</w:t>
            </w:r>
          </w:p>
        </w:tc>
        <w:tc>
          <w:tcPr>
            <w:tcW w:w="530"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 45</w:t>
            </w:r>
            <w:r>
              <w:rPr>
                <w:color w:val="000000"/>
                <w:sz w:val="17"/>
                <w:szCs w:val="17"/>
                <w:lang w:val="ru-RU"/>
              </w:rPr>
              <w:t xml:space="preserve"> </w:t>
            </w:r>
            <w:r w:rsidRPr="00303E4F">
              <w:rPr>
                <w:color w:val="000000"/>
                <w:sz w:val="17"/>
                <w:szCs w:val="17"/>
              </w:rPr>
              <w:t>000</w:t>
            </w:r>
          </w:p>
        </w:tc>
        <w:tc>
          <w:tcPr>
            <w:tcW w:w="813"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 </w:t>
            </w:r>
          </w:p>
        </w:tc>
        <w:tc>
          <w:tcPr>
            <w:tcW w:w="871"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 </w:t>
            </w:r>
          </w:p>
        </w:tc>
        <w:tc>
          <w:tcPr>
            <w:tcW w:w="1183" w:type="pct"/>
            <w:tcBorders>
              <w:top w:val="nil"/>
              <w:left w:val="nil"/>
              <w:bottom w:val="single" w:sz="4" w:space="0" w:color="auto"/>
              <w:right w:val="single" w:sz="4" w:space="0" w:color="auto"/>
            </w:tcBorders>
            <w:shd w:val="clear" w:color="auto" w:fill="auto"/>
            <w:hideMark/>
          </w:tcPr>
          <w:p w:rsidR="002D647F" w:rsidRPr="00DB64FA" w:rsidRDefault="002D647F" w:rsidP="00506508">
            <w:pPr>
              <w:ind w:left="-43"/>
              <w:rPr>
                <w:sz w:val="17"/>
                <w:szCs w:val="17"/>
                <w:lang w:val="ru-RU"/>
              </w:rPr>
            </w:pPr>
            <w:r>
              <w:rPr>
                <w:sz w:val="17"/>
                <w:szCs w:val="17"/>
                <w:lang w:val="ru-RU"/>
              </w:rPr>
              <w:t>За</w:t>
            </w:r>
            <w:r w:rsidRPr="00DB64FA">
              <w:rPr>
                <w:sz w:val="17"/>
                <w:szCs w:val="17"/>
                <w:lang w:val="ru-RU"/>
              </w:rPr>
              <w:t xml:space="preserve"> </w:t>
            </w:r>
            <w:r>
              <w:rPr>
                <w:sz w:val="17"/>
                <w:szCs w:val="17"/>
                <w:lang w:val="ru-RU"/>
              </w:rPr>
              <w:t>счет</w:t>
            </w:r>
            <w:r w:rsidRPr="00DB64FA">
              <w:rPr>
                <w:sz w:val="17"/>
                <w:szCs w:val="17"/>
                <w:lang w:val="ru-RU"/>
              </w:rPr>
              <w:t xml:space="preserve"> </w:t>
            </w:r>
            <w:r>
              <w:rPr>
                <w:sz w:val="17"/>
                <w:szCs w:val="17"/>
                <w:lang w:val="ru-RU"/>
              </w:rPr>
              <w:t>мероприятий</w:t>
            </w:r>
            <w:r w:rsidRPr="00DB64FA">
              <w:rPr>
                <w:sz w:val="17"/>
                <w:szCs w:val="17"/>
                <w:lang w:val="ru-RU"/>
              </w:rPr>
              <w:t xml:space="preserve">, </w:t>
            </w:r>
            <w:r>
              <w:rPr>
                <w:sz w:val="17"/>
                <w:szCs w:val="17"/>
                <w:lang w:val="ru-RU"/>
              </w:rPr>
              <w:t>осуществленных</w:t>
            </w:r>
            <w:r w:rsidRPr="00DB64FA">
              <w:rPr>
                <w:sz w:val="17"/>
                <w:szCs w:val="17"/>
                <w:lang w:val="ru-RU"/>
              </w:rPr>
              <w:t xml:space="preserve"> </w:t>
            </w:r>
            <w:r>
              <w:rPr>
                <w:sz w:val="17"/>
                <w:szCs w:val="17"/>
                <w:lang w:val="ru-RU"/>
              </w:rPr>
              <w:t>в</w:t>
            </w:r>
            <w:r w:rsidR="00293714">
              <w:rPr>
                <w:sz w:val="17"/>
                <w:szCs w:val="17"/>
                <w:lang w:val="ru-RU"/>
              </w:rPr>
              <w:t xml:space="preserve"> 2014 </w:t>
            </w:r>
            <w:r>
              <w:rPr>
                <w:sz w:val="17"/>
                <w:szCs w:val="17"/>
                <w:lang w:val="ru-RU"/>
              </w:rPr>
              <w:t>г</w:t>
            </w:r>
            <w:r w:rsidRPr="00DB64FA">
              <w:rPr>
                <w:sz w:val="17"/>
                <w:szCs w:val="17"/>
                <w:lang w:val="ru-RU"/>
              </w:rPr>
              <w:t xml:space="preserve">., </w:t>
            </w:r>
            <w:r>
              <w:rPr>
                <w:sz w:val="17"/>
                <w:szCs w:val="17"/>
                <w:lang w:val="ru-RU"/>
              </w:rPr>
              <w:t>сэкономлено</w:t>
            </w:r>
            <w:r w:rsidR="004105A7">
              <w:rPr>
                <w:sz w:val="17"/>
                <w:szCs w:val="17"/>
                <w:lang w:val="ru-RU"/>
              </w:rPr>
              <w:t xml:space="preserve"> 15 </w:t>
            </w:r>
            <w:r w:rsidRPr="00DB64FA">
              <w:rPr>
                <w:sz w:val="17"/>
                <w:szCs w:val="17"/>
                <w:lang w:val="ru-RU"/>
              </w:rPr>
              <w:t>000</w:t>
            </w:r>
            <w:r w:rsidR="004105A7">
              <w:rPr>
                <w:sz w:val="17"/>
                <w:szCs w:val="17"/>
                <w:lang w:val="ru-RU"/>
              </w:rPr>
              <w:t> </w:t>
            </w:r>
            <w:r>
              <w:rPr>
                <w:color w:val="000000"/>
                <w:sz w:val="17"/>
                <w:szCs w:val="17"/>
                <w:lang w:val="ru-RU"/>
              </w:rPr>
              <w:t>шв</w:t>
            </w:r>
            <w:r w:rsidRPr="00DB64FA">
              <w:rPr>
                <w:color w:val="000000"/>
                <w:sz w:val="17"/>
                <w:szCs w:val="17"/>
                <w:lang w:val="ru-RU"/>
              </w:rPr>
              <w:t xml:space="preserve">. </w:t>
            </w:r>
            <w:r>
              <w:rPr>
                <w:color w:val="000000"/>
                <w:sz w:val="17"/>
                <w:szCs w:val="17"/>
                <w:lang w:val="ru-RU"/>
              </w:rPr>
              <w:t>фр</w:t>
            </w:r>
            <w:r w:rsidR="004105A7">
              <w:rPr>
                <w:color w:val="000000"/>
                <w:sz w:val="17"/>
                <w:szCs w:val="17"/>
                <w:lang w:val="ru-RU"/>
              </w:rPr>
              <w:t>.</w:t>
            </w:r>
            <w:r w:rsidRPr="00DB64FA">
              <w:rPr>
                <w:sz w:val="17"/>
                <w:szCs w:val="17"/>
                <w:lang w:val="ru-RU"/>
              </w:rPr>
              <w:t xml:space="preserve"> </w:t>
            </w:r>
            <w:r>
              <w:rPr>
                <w:sz w:val="17"/>
                <w:szCs w:val="17"/>
                <w:lang w:val="ru-RU"/>
              </w:rPr>
              <w:t>в</w:t>
            </w:r>
            <w:r w:rsidRPr="00DB64FA">
              <w:rPr>
                <w:sz w:val="17"/>
                <w:szCs w:val="17"/>
                <w:lang w:val="ru-RU"/>
              </w:rPr>
              <w:t xml:space="preserve"> 2014 </w:t>
            </w:r>
            <w:r>
              <w:rPr>
                <w:sz w:val="17"/>
                <w:szCs w:val="17"/>
                <w:lang w:val="ru-RU"/>
              </w:rPr>
              <w:t>г</w:t>
            </w:r>
            <w:r w:rsidRPr="00DB64FA">
              <w:rPr>
                <w:sz w:val="17"/>
                <w:szCs w:val="17"/>
                <w:lang w:val="ru-RU"/>
              </w:rPr>
              <w:t xml:space="preserve">. </w:t>
            </w:r>
            <w:r>
              <w:rPr>
                <w:sz w:val="17"/>
                <w:szCs w:val="17"/>
                <w:lang w:val="ru-RU"/>
              </w:rPr>
              <w:t>и</w:t>
            </w:r>
            <w:r w:rsidRPr="00DB64FA">
              <w:rPr>
                <w:sz w:val="17"/>
                <w:szCs w:val="17"/>
                <w:lang w:val="ru-RU"/>
              </w:rPr>
              <w:t xml:space="preserve"> 30</w:t>
            </w:r>
            <w:r w:rsidR="004105A7">
              <w:rPr>
                <w:sz w:val="17"/>
                <w:szCs w:val="17"/>
                <w:lang w:val="ru-RU"/>
              </w:rPr>
              <w:t> </w:t>
            </w:r>
            <w:r w:rsidRPr="00DB64FA">
              <w:rPr>
                <w:sz w:val="17"/>
                <w:szCs w:val="17"/>
                <w:lang w:val="ru-RU"/>
              </w:rPr>
              <w:t>000</w:t>
            </w:r>
            <w:r w:rsidR="004105A7">
              <w:rPr>
                <w:sz w:val="17"/>
                <w:szCs w:val="17"/>
                <w:lang w:val="ru-RU"/>
              </w:rPr>
              <w:t> </w:t>
            </w:r>
            <w:r>
              <w:rPr>
                <w:color w:val="000000"/>
                <w:sz w:val="17"/>
                <w:szCs w:val="17"/>
                <w:lang w:val="ru-RU"/>
              </w:rPr>
              <w:t>шв</w:t>
            </w:r>
            <w:r w:rsidR="004105A7">
              <w:rPr>
                <w:color w:val="000000"/>
                <w:sz w:val="17"/>
                <w:szCs w:val="17"/>
                <w:lang w:val="ru-RU"/>
              </w:rPr>
              <w:t>. </w:t>
            </w:r>
            <w:r>
              <w:rPr>
                <w:color w:val="000000"/>
                <w:sz w:val="17"/>
                <w:szCs w:val="17"/>
                <w:lang w:val="ru-RU"/>
              </w:rPr>
              <w:t>фр</w:t>
            </w:r>
            <w:r w:rsidR="004105A7">
              <w:rPr>
                <w:color w:val="000000"/>
                <w:sz w:val="17"/>
                <w:szCs w:val="17"/>
                <w:lang w:val="ru-RU"/>
              </w:rPr>
              <w:t>.</w:t>
            </w:r>
            <w:r w:rsidRPr="00DB64FA">
              <w:rPr>
                <w:sz w:val="17"/>
                <w:szCs w:val="17"/>
                <w:lang w:val="ru-RU"/>
              </w:rPr>
              <w:t xml:space="preserve"> </w:t>
            </w:r>
            <w:r>
              <w:rPr>
                <w:sz w:val="17"/>
                <w:szCs w:val="17"/>
                <w:lang w:val="ru-RU"/>
              </w:rPr>
              <w:t>в</w:t>
            </w:r>
            <w:r w:rsidRPr="00DB64FA">
              <w:rPr>
                <w:sz w:val="17"/>
                <w:szCs w:val="17"/>
                <w:lang w:val="ru-RU"/>
              </w:rPr>
              <w:t xml:space="preserve"> 2015</w:t>
            </w:r>
            <w:r>
              <w:rPr>
                <w:sz w:val="17"/>
                <w:szCs w:val="17"/>
                <w:lang w:val="ru-RU"/>
              </w:rPr>
              <w:t xml:space="preserve"> г</w:t>
            </w:r>
            <w:r w:rsidRPr="00DB64FA">
              <w:rPr>
                <w:sz w:val="17"/>
                <w:szCs w:val="17"/>
                <w:lang w:val="ru-RU"/>
              </w:rPr>
              <w:t>.</w:t>
            </w:r>
          </w:p>
          <w:p w:rsidR="002D647F" w:rsidRPr="00DB64FA" w:rsidRDefault="002D647F" w:rsidP="00506508">
            <w:pPr>
              <w:ind w:left="-43"/>
              <w:rPr>
                <w:sz w:val="17"/>
                <w:szCs w:val="17"/>
                <w:lang w:val="ru-RU"/>
              </w:rPr>
            </w:pPr>
          </w:p>
          <w:p w:rsidR="002D647F" w:rsidRPr="00DB64FA" w:rsidRDefault="002D647F" w:rsidP="00506508">
            <w:pPr>
              <w:ind w:left="-43"/>
              <w:rPr>
                <w:color w:val="000000"/>
                <w:sz w:val="17"/>
                <w:szCs w:val="17"/>
                <w:lang w:val="ru-RU"/>
              </w:rPr>
            </w:pPr>
            <w:r>
              <w:rPr>
                <w:sz w:val="17"/>
                <w:szCs w:val="17"/>
                <w:lang w:val="ru-RU"/>
              </w:rPr>
              <w:t>Продолжается работа на других этажах и территориях зданий комплекса ВОИС, которая позволила сэкономить в 2015 г. 15</w:t>
            </w:r>
            <w:r w:rsidR="004105A7">
              <w:rPr>
                <w:lang w:val="ru-RU"/>
              </w:rPr>
              <w:t> </w:t>
            </w:r>
            <w:r w:rsidRPr="00DB64FA">
              <w:rPr>
                <w:sz w:val="17"/>
                <w:szCs w:val="17"/>
                <w:lang w:val="ru-RU"/>
              </w:rPr>
              <w:t>000</w:t>
            </w:r>
            <w:r w:rsidR="004105A7">
              <w:rPr>
                <w:sz w:val="17"/>
                <w:szCs w:val="17"/>
                <w:lang w:val="ru-RU"/>
              </w:rPr>
              <w:t> </w:t>
            </w:r>
            <w:r>
              <w:rPr>
                <w:color w:val="000000"/>
                <w:sz w:val="17"/>
                <w:szCs w:val="17"/>
                <w:lang w:val="ru-RU"/>
              </w:rPr>
              <w:t>шв</w:t>
            </w:r>
            <w:r w:rsidRPr="00DB64FA">
              <w:rPr>
                <w:color w:val="000000"/>
                <w:sz w:val="17"/>
                <w:szCs w:val="17"/>
                <w:lang w:val="ru-RU"/>
              </w:rPr>
              <w:t xml:space="preserve">. </w:t>
            </w:r>
            <w:r>
              <w:rPr>
                <w:color w:val="000000"/>
                <w:sz w:val="17"/>
                <w:szCs w:val="17"/>
                <w:lang w:val="ru-RU"/>
              </w:rPr>
              <w:t>фр</w:t>
            </w:r>
            <w:r w:rsidR="004105A7">
              <w:rPr>
                <w:color w:val="000000"/>
                <w:sz w:val="17"/>
                <w:szCs w:val="17"/>
                <w:lang w:val="ru-RU"/>
              </w:rPr>
              <w:t>.</w:t>
            </w:r>
          </w:p>
        </w:tc>
      </w:tr>
      <w:tr w:rsidR="00506508" w:rsidRPr="004105A7" w:rsidTr="00506508">
        <w:trPr>
          <w:trHeight w:val="1154"/>
        </w:trPr>
        <w:tc>
          <w:tcPr>
            <w:tcW w:w="1014" w:type="pct"/>
            <w:tcBorders>
              <w:top w:val="nil"/>
              <w:left w:val="single" w:sz="4" w:space="0" w:color="auto"/>
              <w:bottom w:val="single" w:sz="4" w:space="0" w:color="auto"/>
              <w:right w:val="single" w:sz="4" w:space="0" w:color="auto"/>
            </w:tcBorders>
            <w:shd w:val="clear" w:color="auto" w:fill="auto"/>
            <w:hideMark/>
          </w:tcPr>
          <w:p w:rsidR="002D647F" w:rsidRPr="006A3557" w:rsidRDefault="002D647F" w:rsidP="002D647F">
            <w:pPr>
              <w:rPr>
                <w:color w:val="000000"/>
                <w:sz w:val="17"/>
                <w:szCs w:val="17"/>
                <w:lang w:val="ru-RU"/>
              </w:rPr>
            </w:pPr>
            <w:r>
              <w:rPr>
                <w:color w:val="000000"/>
                <w:sz w:val="17"/>
                <w:szCs w:val="17"/>
                <w:lang w:val="ru-RU"/>
              </w:rPr>
              <w:t>Снижение</w:t>
            </w:r>
            <w:r w:rsidRPr="006A3557">
              <w:rPr>
                <w:color w:val="000000"/>
                <w:sz w:val="17"/>
                <w:szCs w:val="17"/>
                <w:lang w:val="ru-RU"/>
              </w:rPr>
              <w:t xml:space="preserve"> </w:t>
            </w:r>
            <w:r>
              <w:rPr>
                <w:color w:val="000000"/>
                <w:sz w:val="17"/>
                <w:szCs w:val="17"/>
                <w:lang w:val="ru-RU"/>
              </w:rPr>
              <w:t>водопотребления</w:t>
            </w:r>
            <w:r w:rsidRPr="006A3557">
              <w:rPr>
                <w:color w:val="000000"/>
                <w:sz w:val="17"/>
                <w:szCs w:val="17"/>
                <w:lang w:val="ru-RU"/>
              </w:rPr>
              <w:t xml:space="preserve">, </w:t>
            </w:r>
            <w:r>
              <w:rPr>
                <w:color w:val="000000"/>
                <w:sz w:val="17"/>
                <w:szCs w:val="17"/>
                <w:lang w:val="ru-RU"/>
              </w:rPr>
              <w:t>в</w:t>
            </w:r>
            <w:r w:rsidRPr="006A3557">
              <w:rPr>
                <w:color w:val="000000"/>
                <w:sz w:val="17"/>
                <w:szCs w:val="17"/>
                <w:lang w:val="ru-RU"/>
              </w:rPr>
              <w:t xml:space="preserve"> </w:t>
            </w:r>
            <w:r>
              <w:rPr>
                <w:color w:val="000000"/>
                <w:sz w:val="17"/>
                <w:szCs w:val="17"/>
                <w:lang w:val="ru-RU"/>
              </w:rPr>
              <w:t>частности</w:t>
            </w:r>
            <w:r w:rsidRPr="006A3557">
              <w:rPr>
                <w:color w:val="000000"/>
                <w:sz w:val="17"/>
                <w:szCs w:val="17"/>
                <w:lang w:val="ru-RU"/>
              </w:rPr>
              <w:t xml:space="preserve"> </w:t>
            </w:r>
            <w:r>
              <w:rPr>
                <w:color w:val="000000"/>
                <w:sz w:val="17"/>
                <w:szCs w:val="17"/>
                <w:lang w:val="ru-RU"/>
              </w:rPr>
              <w:t>за</w:t>
            </w:r>
            <w:r w:rsidRPr="006A3557">
              <w:rPr>
                <w:color w:val="000000"/>
                <w:sz w:val="17"/>
                <w:szCs w:val="17"/>
                <w:lang w:val="ru-RU"/>
              </w:rPr>
              <w:t xml:space="preserve"> </w:t>
            </w:r>
            <w:r>
              <w:rPr>
                <w:color w:val="000000"/>
                <w:sz w:val="17"/>
                <w:szCs w:val="17"/>
                <w:lang w:val="ru-RU"/>
              </w:rPr>
              <w:t>счет</w:t>
            </w:r>
            <w:r w:rsidRPr="006A3557">
              <w:rPr>
                <w:color w:val="000000"/>
                <w:sz w:val="17"/>
                <w:szCs w:val="17"/>
                <w:lang w:val="ru-RU"/>
              </w:rPr>
              <w:t xml:space="preserve"> </w:t>
            </w:r>
            <w:r>
              <w:rPr>
                <w:color w:val="000000"/>
                <w:sz w:val="17"/>
                <w:szCs w:val="17"/>
                <w:lang w:val="ru-RU"/>
              </w:rPr>
              <w:t>использования</w:t>
            </w:r>
            <w:r w:rsidRPr="006A3557">
              <w:rPr>
                <w:color w:val="000000"/>
                <w:sz w:val="17"/>
                <w:szCs w:val="17"/>
                <w:lang w:val="ru-RU"/>
              </w:rPr>
              <w:t xml:space="preserve"> </w:t>
            </w:r>
            <w:r>
              <w:rPr>
                <w:color w:val="000000"/>
                <w:sz w:val="17"/>
                <w:szCs w:val="17"/>
                <w:lang w:val="ru-RU"/>
              </w:rPr>
              <w:t>не</w:t>
            </w:r>
            <w:r w:rsidRPr="006A3557">
              <w:rPr>
                <w:color w:val="000000"/>
                <w:sz w:val="17"/>
                <w:szCs w:val="17"/>
                <w:lang w:val="ru-RU"/>
              </w:rPr>
              <w:t xml:space="preserve"> </w:t>
            </w:r>
            <w:r>
              <w:rPr>
                <w:color w:val="000000"/>
                <w:sz w:val="17"/>
                <w:szCs w:val="17"/>
                <w:lang w:val="ru-RU"/>
              </w:rPr>
              <w:t>водопроводной</w:t>
            </w:r>
            <w:r w:rsidRPr="006A3557">
              <w:rPr>
                <w:color w:val="000000"/>
                <w:sz w:val="17"/>
                <w:szCs w:val="17"/>
                <w:lang w:val="ru-RU"/>
              </w:rPr>
              <w:t xml:space="preserve">, </w:t>
            </w:r>
            <w:r>
              <w:rPr>
                <w:color w:val="000000"/>
                <w:sz w:val="17"/>
                <w:szCs w:val="17"/>
                <w:lang w:val="ru-RU"/>
              </w:rPr>
              <w:t>а</w:t>
            </w:r>
            <w:r w:rsidRPr="006A3557">
              <w:rPr>
                <w:color w:val="000000"/>
                <w:sz w:val="17"/>
                <w:szCs w:val="17"/>
                <w:lang w:val="ru-RU"/>
              </w:rPr>
              <w:t xml:space="preserve"> </w:t>
            </w:r>
            <w:r>
              <w:rPr>
                <w:color w:val="000000"/>
                <w:sz w:val="17"/>
                <w:szCs w:val="17"/>
                <w:lang w:val="ru-RU"/>
              </w:rPr>
              <w:t>озерной</w:t>
            </w:r>
            <w:r w:rsidRPr="006A3557">
              <w:rPr>
                <w:color w:val="000000"/>
                <w:sz w:val="17"/>
                <w:szCs w:val="17"/>
                <w:lang w:val="ru-RU"/>
              </w:rPr>
              <w:t xml:space="preserve"> </w:t>
            </w:r>
            <w:r>
              <w:rPr>
                <w:color w:val="000000"/>
                <w:sz w:val="17"/>
                <w:szCs w:val="17"/>
                <w:lang w:val="ru-RU"/>
              </w:rPr>
              <w:t>воды</w:t>
            </w:r>
            <w:r w:rsidRPr="006A3557">
              <w:rPr>
                <w:color w:val="000000"/>
                <w:sz w:val="17"/>
                <w:szCs w:val="17"/>
                <w:lang w:val="ru-RU"/>
              </w:rPr>
              <w:t>.</w:t>
            </w:r>
          </w:p>
        </w:tc>
        <w:tc>
          <w:tcPr>
            <w:tcW w:w="589" w:type="pct"/>
            <w:tcBorders>
              <w:top w:val="nil"/>
              <w:left w:val="nil"/>
              <w:bottom w:val="single" w:sz="4" w:space="0" w:color="auto"/>
              <w:right w:val="single" w:sz="4" w:space="0" w:color="auto"/>
            </w:tcBorders>
            <w:shd w:val="clear" w:color="auto" w:fill="auto"/>
            <w:hideMark/>
          </w:tcPr>
          <w:p w:rsidR="002D647F" w:rsidRPr="004105A7" w:rsidRDefault="002D647F" w:rsidP="002D647F">
            <w:pPr>
              <w:rPr>
                <w:color w:val="000000"/>
                <w:sz w:val="17"/>
                <w:szCs w:val="17"/>
                <w:lang w:val="ru-RU"/>
              </w:rPr>
            </w:pPr>
            <w:r w:rsidRPr="004105A7">
              <w:rPr>
                <w:color w:val="000000"/>
                <w:sz w:val="17"/>
                <w:szCs w:val="17"/>
                <w:lang w:val="ru-RU"/>
              </w:rPr>
              <w:t>19 500</w:t>
            </w:r>
          </w:p>
        </w:tc>
        <w:tc>
          <w:tcPr>
            <w:tcW w:w="530" w:type="pct"/>
            <w:tcBorders>
              <w:top w:val="nil"/>
              <w:left w:val="nil"/>
              <w:bottom w:val="single" w:sz="4" w:space="0" w:color="auto"/>
              <w:right w:val="single" w:sz="4" w:space="0" w:color="auto"/>
            </w:tcBorders>
            <w:shd w:val="clear" w:color="auto" w:fill="auto"/>
            <w:hideMark/>
          </w:tcPr>
          <w:p w:rsidR="002D647F" w:rsidRPr="004105A7" w:rsidRDefault="002D647F" w:rsidP="002D647F">
            <w:pPr>
              <w:rPr>
                <w:color w:val="000000"/>
                <w:sz w:val="17"/>
                <w:szCs w:val="17"/>
                <w:lang w:val="ru-RU"/>
              </w:rPr>
            </w:pPr>
            <w:r>
              <w:rPr>
                <w:color w:val="000000"/>
                <w:sz w:val="17"/>
                <w:szCs w:val="17"/>
              </w:rPr>
              <w:t> </w:t>
            </w:r>
            <w:r w:rsidRPr="004105A7">
              <w:rPr>
                <w:color w:val="000000"/>
                <w:sz w:val="17"/>
                <w:szCs w:val="17"/>
                <w:lang w:val="ru-RU"/>
              </w:rPr>
              <w:t>125 500</w:t>
            </w:r>
          </w:p>
        </w:tc>
        <w:tc>
          <w:tcPr>
            <w:tcW w:w="813" w:type="pct"/>
            <w:tcBorders>
              <w:top w:val="nil"/>
              <w:left w:val="nil"/>
              <w:bottom w:val="single" w:sz="4" w:space="0" w:color="auto"/>
              <w:right w:val="single" w:sz="4" w:space="0" w:color="auto"/>
            </w:tcBorders>
            <w:shd w:val="clear" w:color="auto" w:fill="auto"/>
            <w:hideMark/>
          </w:tcPr>
          <w:p w:rsidR="002D647F" w:rsidRPr="004105A7" w:rsidRDefault="002D647F" w:rsidP="002D647F">
            <w:pPr>
              <w:rPr>
                <w:color w:val="000000"/>
                <w:sz w:val="17"/>
                <w:szCs w:val="17"/>
                <w:lang w:val="ru-RU"/>
              </w:rPr>
            </w:pPr>
            <w:r w:rsidRPr="00303E4F">
              <w:rPr>
                <w:color w:val="000000"/>
                <w:sz w:val="17"/>
                <w:szCs w:val="17"/>
              </w:rPr>
              <w:t> </w:t>
            </w:r>
          </w:p>
        </w:tc>
        <w:tc>
          <w:tcPr>
            <w:tcW w:w="871" w:type="pct"/>
            <w:tcBorders>
              <w:top w:val="nil"/>
              <w:left w:val="nil"/>
              <w:bottom w:val="single" w:sz="4" w:space="0" w:color="auto"/>
              <w:right w:val="single" w:sz="4" w:space="0" w:color="auto"/>
            </w:tcBorders>
            <w:shd w:val="clear" w:color="auto" w:fill="auto"/>
            <w:hideMark/>
          </w:tcPr>
          <w:p w:rsidR="002D647F" w:rsidRPr="004105A7" w:rsidRDefault="002D647F" w:rsidP="002D647F">
            <w:pPr>
              <w:rPr>
                <w:color w:val="000000"/>
                <w:sz w:val="17"/>
                <w:szCs w:val="17"/>
                <w:lang w:val="ru-RU"/>
              </w:rPr>
            </w:pPr>
            <w:r w:rsidRPr="00303E4F">
              <w:rPr>
                <w:color w:val="000000"/>
                <w:sz w:val="17"/>
                <w:szCs w:val="17"/>
              </w:rPr>
              <w:t> </w:t>
            </w:r>
          </w:p>
        </w:tc>
        <w:tc>
          <w:tcPr>
            <w:tcW w:w="1183" w:type="pct"/>
            <w:tcBorders>
              <w:top w:val="nil"/>
              <w:left w:val="nil"/>
              <w:bottom w:val="single" w:sz="4" w:space="0" w:color="auto"/>
              <w:right w:val="single" w:sz="4" w:space="0" w:color="auto"/>
            </w:tcBorders>
            <w:shd w:val="clear" w:color="auto" w:fill="auto"/>
            <w:hideMark/>
          </w:tcPr>
          <w:p w:rsidR="002D647F" w:rsidRPr="004105A7" w:rsidRDefault="002D647F" w:rsidP="00506508">
            <w:pPr>
              <w:ind w:left="-43"/>
              <w:rPr>
                <w:color w:val="000000"/>
                <w:sz w:val="17"/>
                <w:szCs w:val="17"/>
                <w:lang w:val="ru-RU"/>
              </w:rPr>
            </w:pPr>
          </w:p>
        </w:tc>
      </w:tr>
      <w:tr w:rsidR="00506508" w:rsidRPr="005C6ABD" w:rsidTr="00506508">
        <w:trPr>
          <w:trHeight w:val="1020"/>
        </w:trPr>
        <w:tc>
          <w:tcPr>
            <w:tcW w:w="1014" w:type="pct"/>
            <w:tcBorders>
              <w:top w:val="single" w:sz="4" w:space="0" w:color="auto"/>
              <w:left w:val="single" w:sz="4" w:space="0" w:color="auto"/>
              <w:bottom w:val="single" w:sz="4" w:space="0" w:color="auto"/>
              <w:right w:val="single" w:sz="4" w:space="0" w:color="auto"/>
            </w:tcBorders>
            <w:shd w:val="clear" w:color="auto" w:fill="auto"/>
          </w:tcPr>
          <w:p w:rsidR="002D647F" w:rsidRPr="006A3557" w:rsidRDefault="002D647F" w:rsidP="002D647F">
            <w:pPr>
              <w:rPr>
                <w:color w:val="000000"/>
                <w:sz w:val="17"/>
                <w:szCs w:val="17"/>
                <w:lang w:val="ru-RU"/>
              </w:rPr>
            </w:pPr>
            <w:r>
              <w:rPr>
                <w:color w:val="000000"/>
                <w:sz w:val="17"/>
                <w:szCs w:val="17"/>
                <w:lang w:val="ru-RU"/>
              </w:rPr>
              <w:t>Снижение тарифа на электроэнергию в результате заключения договора с новым поставщиком после проведения конкурса совместно с другими учреждениями системы ООН в Женеве.</w:t>
            </w:r>
          </w:p>
        </w:tc>
        <w:tc>
          <w:tcPr>
            <w:tcW w:w="589" w:type="pct"/>
            <w:tcBorders>
              <w:top w:val="single" w:sz="4" w:space="0" w:color="auto"/>
              <w:left w:val="nil"/>
              <w:bottom w:val="single" w:sz="4" w:space="0" w:color="auto"/>
              <w:right w:val="single" w:sz="4" w:space="0" w:color="auto"/>
            </w:tcBorders>
            <w:shd w:val="clear" w:color="auto" w:fill="auto"/>
          </w:tcPr>
          <w:p w:rsidR="002D647F" w:rsidRPr="00DB64FA" w:rsidRDefault="002D647F" w:rsidP="002D647F">
            <w:pPr>
              <w:rPr>
                <w:color w:val="000000"/>
                <w:sz w:val="17"/>
                <w:szCs w:val="17"/>
                <w:lang w:val="ru-RU"/>
              </w:rPr>
            </w:pPr>
            <w:r>
              <w:rPr>
                <w:color w:val="000000"/>
                <w:sz w:val="17"/>
                <w:szCs w:val="17"/>
                <w:lang w:val="ru-RU"/>
              </w:rPr>
              <w:t>Нет данных</w:t>
            </w:r>
          </w:p>
        </w:tc>
        <w:tc>
          <w:tcPr>
            <w:tcW w:w="530" w:type="pct"/>
            <w:tcBorders>
              <w:top w:val="single" w:sz="4" w:space="0" w:color="auto"/>
              <w:left w:val="nil"/>
              <w:bottom w:val="single" w:sz="4" w:space="0" w:color="auto"/>
              <w:right w:val="single" w:sz="4" w:space="0" w:color="auto"/>
            </w:tcBorders>
            <w:shd w:val="clear" w:color="auto" w:fill="auto"/>
          </w:tcPr>
          <w:p w:rsidR="002D647F" w:rsidRPr="00303E4F" w:rsidRDefault="002D647F" w:rsidP="002D647F">
            <w:pPr>
              <w:rPr>
                <w:sz w:val="17"/>
                <w:szCs w:val="17"/>
              </w:rPr>
            </w:pPr>
            <w:r w:rsidRPr="00303E4F">
              <w:rPr>
                <w:color w:val="000000"/>
                <w:sz w:val="17"/>
                <w:szCs w:val="17"/>
              </w:rPr>
              <w:t> </w:t>
            </w:r>
            <w:r>
              <w:rPr>
                <w:sz w:val="17"/>
                <w:szCs w:val="17"/>
              </w:rPr>
              <w:t>164</w:t>
            </w:r>
            <w:r>
              <w:rPr>
                <w:sz w:val="17"/>
                <w:szCs w:val="17"/>
                <w:lang w:val="ru-RU"/>
              </w:rPr>
              <w:t xml:space="preserve"> </w:t>
            </w:r>
            <w:r w:rsidRPr="00303E4F">
              <w:rPr>
                <w:sz w:val="17"/>
                <w:szCs w:val="17"/>
              </w:rPr>
              <w:t>000</w:t>
            </w:r>
          </w:p>
          <w:p w:rsidR="002D647F" w:rsidRPr="00303E4F" w:rsidRDefault="002D647F" w:rsidP="002D647F">
            <w:pPr>
              <w:rPr>
                <w:color w:val="000000"/>
                <w:sz w:val="17"/>
                <w:szCs w:val="17"/>
              </w:rPr>
            </w:pPr>
          </w:p>
        </w:tc>
        <w:tc>
          <w:tcPr>
            <w:tcW w:w="813" w:type="pct"/>
            <w:tcBorders>
              <w:top w:val="single" w:sz="4" w:space="0" w:color="auto"/>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p>
        </w:tc>
        <w:tc>
          <w:tcPr>
            <w:tcW w:w="871" w:type="pct"/>
            <w:tcBorders>
              <w:top w:val="single" w:sz="4" w:space="0" w:color="auto"/>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p>
        </w:tc>
        <w:tc>
          <w:tcPr>
            <w:tcW w:w="1183" w:type="pct"/>
            <w:tcBorders>
              <w:top w:val="single" w:sz="4" w:space="0" w:color="auto"/>
              <w:left w:val="nil"/>
              <w:bottom w:val="single" w:sz="4" w:space="0" w:color="auto"/>
              <w:right w:val="single" w:sz="4" w:space="0" w:color="auto"/>
            </w:tcBorders>
            <w:shd w:val="clear" w:color="auto" w:fill="auto"/>
          </w:tcPr>
          <w:p w:rsidR="002D647F" w:rsidRPr="006A3557" w:rsidRDefault="002D647F" w:rsidP="00506508">
            <w:pPr>
              <w:ind w:left="-43"/>
              <w:rPr>
                <w:color w:val="000000"/>
                <w:sz w:val="17"/>
                <w:szCs w:val="17"/>
                <w:lang w:val="ru-RU"/>
              </w:rPr>
            </w:pPr>
            <w:r>
              <w:rPr>
                <w:color w:val="000000"/>
                <w:sz w:val="17"/>
                <w:szCs w:val="17"/>
                <w:lang w:val="ru-RU"/>
              </w:rPr>
              <w:t>Договор</w:t>
            </w:r>
            <w:r w:rsidRPr="006A3557">
              <w:rPr>
                <w:color w:val="000000"/>
                <w:sz w:val="17"/>
                <w:szCs w:val="17"/>
                <w:lang w:val="ru-RU"/>
              </w:rPr>
              <w:t xml:space="preserve"> </w:t>
            </w:r>
            <w:r>
              <w:rPr>
                <w:color w:val="000000"/>
                <w:sz w:val="17"/>
                <w:szCs w:val="17"/>
                <w:lang w:val="ru-RU"/>
              </w:rPr>
              <w:t>с</w:t>
            </w:r>
            <w:r w:rsidRPr="006A3557">
              <w:rPr>
                <w:color w:val="000000"/>
                <w:sz w:val="17"/>
                <w:szCs w:val="17"/>
                <w:lang w:val="ru-RU"/>
              </w:rPr>
              <w:t xml:space="preserve"> </w:t>
            </w:r>
            <w:r>
              <w:rPr>
                <w:color w:val="000000"/>
                <w:sz w:val="17"/>
                <w:szCs w:val="17"/>
                <w:lang w:val="ru-RU"/>
              </w:rPr>
              <w:t>новым</w:t>
            </w:r>
            <w:r w:rsidRPr="006A3557">
              <w:rPr>
                <w:color w:val="000000"/>
                <w:sz w:val="17"/>
                <w:szCs w:val="17"/>
                <w:lang w:val="ru-RU"/>
              </w:rPr>
              <w:t xml:space="preserve"> </w:t>
            </w:r>
            <w:r>
              <w:rPr>
                <w:color w:val="000000"/>
                <w:sz w:val="17"/>
                <w:szCs w:val="17"/>
                <w:lang w:val="ru-RU"/>
              </w:rPr>
              <w:t>поставщиком</w:t>
            </w:r>
            <w:r w:rsidRPr="006A3557">
              <w:rPr>
                <w:color w:val="000000"/>
                <w:sz w:val="17"/>
                <w:szCs w:val="17"/>
                <w:lang w:val="ru-RU"/>
              </w:rPr>
              <w:t xml:space="preserve"> </w:t>
            </w:r>
            <w:r>
              <w:rPr>
                <w:color w:val="000000"/>
                <w:sz w:val="17"/>
                <w:szCs w:val="17"/>
                <w:lang w:val="ru-RU"/>
              </w:rPr>
              <w:t>вступил</w:t>
            </w:r>
            <w:r w:rsidRPr="006A3557">
              <w:rPr>
                <w:color w:val="000000"/>
                <w:sz w:val="17"/>
                <w:szCs w:val="17"/>
                <w:lang w:val="ru-RU"/>
              </w:rPr>
              <w:t xml:space="preserve"> </w:t>
            </w:r>
            <w:r>
              <w:rPr>
                <w:color w:val="000000"/>
                <w:sz w:val="17"/>
                <w:szCs w:val="17"/>
                <w:lang w:val="ru-RU"/>
              </w:rPr>
              <w:t>в</w:t>
            </w:r>
            <w:r w:rsidRPr="006A3557">
              <w:rPr>
                <w:color w:val="000000"/>
                <w:sz w:val="17"/>
                <w:szCs w:val="17"/>
                <w:lang w:val="ru-RU"/>
              </w:rPr>
              <w:t xml:space="preserve"> </w:t>
            </w:r>
            <w:r>
              <w:rPr>
                <w:color w:val="000000"/>
                <w:sz w:val="17"/>
                <w:szCs w:val="17"/>
                <w:lang w:val="ru-RU"/>
              </w:rPr>
              <w:t>силу</w:t>
            </w:r>
            <w:r w:rsidRPr="006A3557">
              <w:rPr>
                <w:color w:val="000000"/>
                <w:sz w:val="17"/>
                <w:szCs w:val="17"/>
                <w:lang w:val="ru-RU"/>
              </w:rPr>
              <w:t xml:space="preserve"> 1 </w:t>
            </w:r>
            <w:r>
              <w:rPr>
                <w:color w:val="000000"/>
                <w:sz w:val="17"/>
                <w:szCs w:val="17"/>
                <w:lang w:val="ru-RU"/>
              </w:rPr>
              <w:t>января</w:t>
            </w:r>
            <w:r w:rsidRPr="006A3557">
              <w:rPr>
                <w:color w:val="000000"/>
                <w:sz w:val="17"/>
                <w:szCs w:val="17"/>
                <w:lang w:val="ru-RU"/>
              </w:rPr>
              <w:t xml:space="preserve"> 2015 </w:t>
            </w:r>
            <w:r>
              <w:rPr>
                <w:color w:val="000000"/>
                <w:sz w:val="17"/>
                <w:szCs w:val="17"/>
                <w:lang w:val="ru-RU"/>
              </w:rPr>
              <w:t>г</w:t>
            </w:r>
            <w:r w:rsidRPr="006A3557">
              <w:rPr>
                <w:color w:val="000000"/>
                <w:sz w:val="17"/>
                <w:szCs w:val="17"/>
                <w:lang w:val="ru-RU"/>
              </w:rPr>
              <w:t>.</w:t>
            </w:r>
          </w:p>
        </w:tc>
      </w:tr>
      <w:tr w:rsidR="00506508" w:rsidRPr="005C6ABD" w:rsidTr="00506508">
        <w:trPr>
          <w:trHeight w:val="552"/>
        </w:trPr>
        <w:tc>
          <w:tcPr>
            <w:tcW w:w="1014" w:type="pct"/>
            <w:tcBorders>
              <w:top w:val="single" w:sz="4" w:space="0" w:color="auto"/>
              <w:left w:val="single" w:sz="4" w:space="0" w:color="auto"/>
              <w:bottom w:val="single" w:sz="4" w:space="0" w:color="auto"/>
              <w:right w:val="single" w:sz="4" w:space="0" w:color="auto"/>
            </w:tcBorders>
            <w:shd w:val="clear" w:color="auto" w:fill="auto"/>
            <w:hideMark/>
          </w:tcPr>
          <w:p w:rsidR="002D647F" w:rsidRPr="006A3557" w:rsidRDefault="002D647F" w:rsidP="002D647F">
            <w:pPr>
              <w:rPr>
                <w:sz w:val="17"/>
                <w:szCs w:val="17"/>
                <w:lang w:val="ru-RU"/>
              </w:rPr>
            </w:pPr>
            <w:r>
              <w:rPr>
                <w:color w:val="000000"/>
                <w:sz w:val="17"/>
                <w:szCs w:val="17"/>
                <w:lang w:val="ru-RU"/>
              </w:rPr>
              <w:t>Расторжение договоров на аренду складских территорий</w:t>
            </w:r>
          </w:p>
          <w:p w:rsidR="002D647F" w:rsidRPr="006A3557" w:rsidRDefault="002D647F" w:rsidP="002D647F">
            <w:pPr>
              <w:rPr>
                <w:color w:val="000000"/>
                <w:sz w:val="17"/>
                <w:szCs w:val="17"/>
                <w:lang w:val="ru-RU"/>
              </w:rPr>
            </w:pPr>
          </w:p>
        </w:tc>
        <w:tc>
          <w:tcPr>
            <w:tcW w:w="589" w:type="pct"/>
            <w:tcBorders>
              <w:top w:val="single" w:sz="4" w:space="0" w:color="auto"/>
              <w:left w:val="nil"/>
              <w:bottom w:val="single" w:sz="4" w:space="0" w:color="auto"/>
              <w:right w:val="single" w:sz="4" w:space="0" w:color="auto"/>
            </w:tcBorders>
            <w:shd w:val="clear" w:color="auto" w:fill="auto"/>
            <w:hideMark/>
          </w:tcPr>
          <w:p w:rsidR="00293714" w:rsidRDefault="00293714" w:rsidP="002D647F">
            <w:pPr>
              <w:rPr>
                <w:color w:val="000000"/>
                <w:sz w:val="17"/>
                <w:szCs w:val="17"/>
                <w:lang w:val="ru-RU"/>
              </w:rPr>
            </w:pPr>
            <w:r>
              <w:rPr>
                <w:color w:val="000000"/>
                <w:sz w:val="17"/>
                <w:szCs w:val="17"/>
                <w:lang w:val="ru-RU"/>
              </w:rPr>
              <w:t>12 178 шв</w:t>
            </w:r>
            <w:r w:rsidRPr="006A3557">
              <w:rPr>
                <w:color w:val="000000"/>
                <w:sz w:val="17"/>
                <w:szCs w:val="17"/>
                <w:lang w:val="ru-RU"/>
              </w:rPr>
              <w:t xml:space="preserve">. </w:t>
            </w:r>
            <w:r>
              <w:rPr>
                <w:color w:val="000000"/>
                <w:sz w:val="17"/>
                <w:szCs w:val="17"/>
                <w:lang w:val="ru-RU"/>
              </w:rPr>
              <w:t>фр.</w:t>
            </w:r>
          </w:p>
          <w:p w:rsidR="002D647F" w:rsidRPr="006A3557" w:rsidRDefault="00293714" w:rsidP="002D647F">
            <w:pPr>
              <w:rPr>
                <w:color w:val="000000"/>
                <w:sz w:val="17"/>
                <w:szCs w:val="17"/>
                <w:lang w:val="ru-RU"/>
              </w:rPr>
            </w:pPr>
            <w:r>
              <w:rPr>
                <w:color w:val="000000"/>
                <w:sz w:val="17"/>
                <w:szCs w:val="17"/>
                <w:lang w:val="ru-RU"/>
              </w:rPr>
              <w:t>(7 845 </w:t>
            </w:r>
            <w:r w:rsidR="002D647F">
              <w:rPr>
                <w:color w:val="000000"/>
                <w:sz w:val="17"/>
                <w:szCs w:val="17"/>
                <w:lang w:val="ru-RU"/>
              </w:rPr>
              <w:t>шв</w:t>
            </w:r>
            <w:r w:rsidR="002D647F" w:rsidRPr="006A3557">
              <w:rPr>
                <w:color w:val="000000"/>
                <w:sz w:val="17"/>
                <w:szCs w:val="17"/>
                <w:lang w:val="ru-RU"/>
              </w:rPr>
              <w:t xml:space="preserve">. </w:t>
            </w:r>
            <w:r w:rsidR="002D647F">
              <w:rPr>
                <w:color w:val="000000"/>
                <w:sz w:val="17"/>
                <w:szCs w:val="17"/>
                <w:lang w:val="ru-RU"/>
              </w:rPr>
              <w:t>фр</w:t>
            </w:r>
            <w:r>
              <w:rPr>
                <w:color w:val="000000"/>
                <w:sz w:val="17"/>
                <w:szCs w:val="17"/>
                <w:lang w:val="ru-RU"/>
              </w:rPr>
              <w:t>.</w:t>
            </w:r>
            <w:r w:rsidR="002D647F" w:rsidRPr="006A3557">
              <w:rPr>
                <w:color w:val="000000"/>
                <w:sz w:val="17"/>
                <w:szCs w:val="17"/>
                <w:lang w:val="ru-RU"/>
              </w:rPr>
              <w:t xml:space="preserve"> </w:t>
            </w:r>
            <w:r w:rsidR="002D647F">
              <w:rPr>
                <w:color w:val="000000"/>
                <w:sz w:val="17"/>
                <w:szCs w:val="17"/>
                <w:lang w:val="ru-RU"/>
              </w:rPr>
              <w:t xml:space="preserve">по объекту </w:t>
            </w:r>
            <w:r w:rsidR="002D647F" w:rsidRPr="00303E4F">
              <w:rPr>
                <w:color w:val="000000"/>
                <w:sz w:val="17"/>
                <w:szCs w:val="17"/>
              </w:rPr>
              <w:t>Meyrin</w:t>
            </w:r>
            <w:r w:rsidR="002D647F" w:rsidRPr="006A3557">
              <w:rPr>
                <w:color w:val="000000"/>
                <w:sz w:val="17"/>
                <w:szCs w:val="17"/>
                <w:lang w:val="ru-RU"/>
              </w:rPr>
              <w:t xml:space="preserve"> </w:t>
            </w:r>
            <w:r w:rsidR="002D647F" w:rsidRPr="00303E4F">
              <w:rPr>
                <w:color w:val="000000"/>
                <w:sz w:val="17"/>
                <w:szCs w:val="17"/>
              </w:rPr>
              <w:t>IV</w:t>
            </w:r>
            <w:r w:rsidR="002D647F" w:rsidRPr="006A3557">
              <w:rPr>
                <w:color w:val="000000"/>
                <w:sz w:val="17"/>
                <w:szCs w:val="17"/>
                <w:lang w:val="ru-RU"/>
              </w:rPr>
              <w:t xml:space="preserve"> </w:t>
            </w:r>
            <w:r w:rsidR="002D647F">
              <w:rPr>
                <w:color w:val="000000"/>
                <w:sz w:val="17"/>
                <w:szCs w:val="17"/>
                <w:lang w:val="ru-RU"/>
              </w:rPr>
              <w:t>и</w:t>
            </w:r>
            <w:r w:rsidR="002D647F" w:rsidRPr="006A3557">
              <w:rPr>
                <w:color w:val="000000"/>
                <w:sz w:val="17"/>
                <w:szCs w:val="17"/>
                <w:lang w:val="ru-RU"/>
              </w:rPr>
              <w:t xml:space="preserve"> </w:t>
            </w:r>
          </w:p>
          <w:p w:rsidR="00293714" w:rsidRDefault="00293714" w:rsidP="002D647F">
            <w:pPr>
              <w:rPr>
                <w:color w:val="000000"/>
                <w:sz w:val="17"/>
                <w:szCs w:val="17"/>
                <w:lang w:val="ru-RU"/>
              </w:rPr>
            </w:pPr>
            <w:r>
              <w:rPr>
                <w:color w:val="000000"/>
                <w:sz w:val="17"/>
                <w:szCs w:val="17"/>
                <w:lang w:val="ru-RU"/>
              </w:rPr>
              <w:t>4 </w:t>
            </w:r>
            <w:r w:rsidR="002D647F" w:rsidRPr="006A3557">
              <w:rPr>
                <w:color w:val="000000"/>
                <w:sz w:val="17"/>
                <w:szCs w:val="17"/>
                <w:lang w:val="ru-RU"/>
              </w:rPr>
              <w:t xml:space="preserve">333 </w:t>
            </w:r>
            <w:r w:rsidR="002D647F">
              <w:rPr>
                <w:color w:val="000000"/>
                <w:sz w:val="17"/>
                <w:szCs w:val="17"/>
                <w:lang w:val="ru-RU"/>
              </w:rPr>
              <w:t>шв</w:t>
            </w:r>
            <w:r w:rsidR="002D647F" w:rsidRPr="006A3557">
              <w:rPr>
                <w:color w:val="000000"/>
                <w:sz w:val="17"/>
                <w:szCs w:val="17"/>
                <w:lang w:val="ru-RU"/>
              </w:rPr>
              <w:t xml:space="preserve">. </w:t>
            </w:r>
            <w:r w:rsidR="002D647F">
              <w:rPr>
                <w:color w:val="000000"/>
                <w:sz w:val="17"/>
                <w:szCs w:val="17"/>
                <w:lang w:val="ru-RU"/>
              </w:rPr>
              <w:t>фр</w:t>
            </w:r>
            <w:r>
              <w:rPr>
                <w:color w:val="000000"/>
                <w:sz w:val="17"/>
                <w:szCs w:val="17"/>
                <w:lang w:val="ru-RU"/>
              </w:rPr>
              <w:t>.</w:t>
            </w:r>
            <w:r w:rsidR="002D647F" w:rsidRPr="006A3557">
              <w:rPr>
                <w:color w:val="000000"/>
                <w:sz w:val="17"/>
                <w:szCs w:val="17"/>
                <w:lang w:val="ru-RU"/>
              </w:rPr>
              <w:t xml:space="preserve"> </w:t>
            </w:r>
            <w:r w:rsidR="002D647F">
              <w:rPr>
                <w:color w:val="000000"/>
                <w:sz w:val="17"/>
                <w:szCs w:val="17"/>
                <w:lang w:val="ru-RU"/>
              </w:rPr>
              <w:t xml:space="preserve">по объекту </w:t>
            </w:r>
          </w:p>
          <w:p w:rsidR="002D647F" w:rsidRPr="006A3557" w:rsidRDefault="002D647F" w:rsidP="002D647F">
            <w:pPr>
              <w:rPr>
                <w:sz w:val="17"/>
                <w:szCs w:val="17"/>
                <w:lang w:val="ru-RU"/>
              </w:rPr>
            </w:pPr>
            <w:r w:rsidRPr="00F46A6C">
              <w:rPr>
                <w:color w:val="000000"/>
                <w:sz w:val="17"/>
                <w:szCs w:val="17"/>
                <w:lang w:val="fr-CH"/>
              </w:rPr>
              <w:t>La</w:t>
            </w:r>
            <w:r w:rsidRPr="006A3557">
              <w:rPr>
                <w:color w:val="000000"/>
                <w:sz w:val="17"/>
                <w:szCs w:val="17"/>
                <w:lang w:val="ru-RU"/>
              </w:rPr>
              <w:t xml:space="preserve"> </w:t>
            </w:r>
            <w:r w:rsidRPr="00F46A6C">
              <w:rPr>
                <w:color w:val="000000"/>
                <w:sz w:val="17"/>
                <w:szCs w:val="17"/>
                <w:lang w:val="fr-CH"/>
              </w:rPr>
              <w:t>Praille</w:t>
            </w:r>
            <w:r w:rsidRPr="006A3557">
              <w:rPr>
                <w:color w:val="000000"/>
                <w:sz w:val="17"/>
                <w:szCs w:val="17"/>
                <w:lang w:val="ru-RU"/>
              </w:rPr>
              <w:t>)</w:t>
            </w:r>
          </w:p>
          <w:p w:rsidR="002D647F" w:rsidRPr="006A3557" w:rsidRDefault="002D647F" w:rsidP="002D647F">
            <w:pPr>
              <w:rPr>
                <w:color w:val="000000"/>
                <w:sz w:val="17"/>
                <w:szCs w:val="17"/>
                <w:lang w:val="ru-RU"/>
              </w:rPr>
            </w:pPr>
          </w:p>
        </w:tc>
        <w:tc>
          <w:tcPr>
            <w:tcW w:w="530" w:type="pct"/>
            <w:tcBorders>
              <w:top w:val="single" w:sz="4" w:space="0" w:color="auto"/>
              <w:left w:val="nil"/>
              <w:bottom w:val="single" w:sz="4" w:space="0" w:color="auto"/>
              <w:right w:val="single" w:sz="4" w:space="0" w:color="auto"/>
            </w:tcBorders>
            <w:shd w:val="clear" w:color="auto" w:fill="auto"/>
            <w:hideMark/>
          </w:tcPr>
          <w:p w:rsidR="00293714" w:rsidRDefault="002D647F" w:rsidP="002D647F">
            <w:pPr>
              <w:rPr>
                <w:color w:val="000000"/>
                <w:sz w:val="17"/>
                <w:szCs w:val="17"/>
                <w:lang w:val="ru-RU"/>
              </w:rPr>
            </w:pPr>
            <w:r w:rsidRPr="00F46A6C">
              <w:rPr>
                <w:color w:val="000000"/>
                <w:sz w:val="17"/>
                <w:szCs w:val="17"/>
                <w:lang w:val="fr-CH"/>
              </w:rPr>
              <w:t> </w:t>
            </w:r>
            <w:r w:rsidRPr="006A3557">
              <w:rPr>
                <w:color w:val="000000"/>
                <w:sz w:val="17"/>
                <w:szCs w:val="17"/>
                <w:lang w:val="ru-RU"/>
              </w:rPr>
              <w:t>54</w:t>
            </w:r>
            <w:r w:rsidR="00293714">
              <w:rPr>
                <w:color w:val="000000"/>
                <w:sz w:val="17"/>
                <w:szCs w:val="17"/>
                <w:lang w:val="ru-RU"/>
              </w:rPr>
              <w:t> </w:t>
            </w:r>
            <w:r w:rsidRPr="006A3557">
              <w:rPr>
                <w:color w:val="000000"/>
                <w:sz w:val="17"/>
                <w:szCs w:val="17"/>
                <w:lang w:val="ru-RU"/>
              </w:rPr>
              <w:t>150</w:t>
            </w:r>
            <w:r w:rsidR="00293714">
              <w:rPr>
                <w:color w:val="000000"/>
                <w:sz w:val="17"/>
                <w:szCs w:val="17"/>
                <w:lang w:val="ru-RU"/>
              </w:rPr>
              <w:t> шв</w:t>
            </w:r>
            <w:r w:rsidR="00293714" w:rsidRPr="006A3557">
              <w:rPr>
                <w:color w:val="000000"/>
                <w:sz w:val="17"/>
                <w:szCs w:val="17"/>
                <w:lang w:val="ru-RU"/>
              </w:rPr>
              <w:t xml:space="preserve">. </w:t>
            </w:r>
            <w:r w:rsidR="00293714">
              <w:rPr>
                <w:color w:val="000000"/>
                <w:sz w:val="17"/>
                <w:szCs w:val="17"/>
                <w:lang w:val="ru-RU"/>
              </w:rPr>
              <w:t>фр.</w:t>
            </w:r>
          </w:p>
          <w:p w:rsidR="002D647F" w:rsidRPr="006A3557" w:rsidRDefault="002D647F" w:rsidP="002D647F">
            <w:pPr>
              <w:rPr>
                <w:color w:val="000000"/>
                <w:sz w:val="17"/>
                <w:szCs w:val="17"/>
                <w:lang w:val="ru-RU"/>
              </w:rPr>
            </w:pPr>
            <w:r w:rsidRPr="006A3557">
              <w:rPr>
                <w:color w:val="000000"/>
                <w:sz w:val="17"/>
                <w:szCs w:val="17"/>
                <w:lang w:val="ru-RU"/>
              </w:rPr>
              <w:t>(31</w:t>
            </w:r>
            <w:r w:rsidR="00293714">
              <w:rPr>
                <w:color w:val="000000"/>
                <w:sz w:val="17"/>
                <w:szCs w:val="17"/>
                <w:lang w:val="ru-RU"/>
              </w:rPr>
              <w:t> </w:t>
            </w:r>
            <w:r w:rsidRPr="006A3557">
              <w:rPr>
                <w:color w:val="000000"/>
                <w:sz w:val="17"/>
                <w:szCs w:val="17"/>
                <w:lang w:val="ru-RU"/>
              </w:rPr>
              <w:t>380</w:t>
            </w:r>
            <w:r w:rsidR="00293714">
              <w:rPr>
                <w:color w:val="000000"/>
                <w:sz w:val="17"/>
                <w:szCs w:val="17"/>
                <w:lang w:val="ru-RU"/>
              </w:rPr>
              <w:t> </w:t>
            </w:r>
            <w:r>
              <w:rPr>
                <w:color w:val="000000"/>
                <w:sz w:val="17"/>
                <w:szCs w:val="17"/>
                <w:lang w:val="ru-RU"/>
              </w:rPr>
              <w:t>шв</w:t>
            </w:r>
            <w:r w:rsidRPr="006A3557">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6A3557">
              <w:rPr>
                <w:color w:val="000000"/>
                <w:sz w:val="17"/>
                <w:szCs w:val="17"/>
                <w:lang w:val="ru-RU"/>
              </w:rPr>
              <w:t xml:space="preserve"> по объекту </w:t>
            </w:r>
            <w:r w:rsidRPr="00303E4F">
              <w:rPr>
                <w:color w:val="000000"/>
                <w:sz w:val="17"/>
                <w:szCs w:val="17"/>
              </w:rPr>
              <w:t>Meyrin</w:t>
            </w:r>
            <w:r w:rsidRPr="006A3557">
              <w:rPr>
                <w:color w:val="000000"/>
                <w:sz w:val="17"/>
                <w:szCs w:val="17"/>
                <w:lang w:val="ru-RU"/>
              </w:rPr>
              <w:t xml:space="preserve"> </w:t>
            </w:r>
            <w:r w:rsidRPr="00303E4F">
              <w:rPr>
                <w:color w:val="000000"/>
                <w:sz w:val="17"/>
                <w:szCs w:val="17"/>
              </w:rPr>
              <w:t>IV</w:t>
            </w:r>
            <w:r w:rsidRPr="006A3557">
              <w:rPr>
                <w:color w:val="000000"/>
                <w:sz w:val="17"/>
                <w:szCs w:val="17"/>
                <w:lang w:val="ru-RU"/>
              </w:rPr>
              <w:t xml:space="preserve">, </w:t>
            </w:r>
          </w:p>
          <w:p w:rsidR="00293714" w:rsidRDefault="00293714" w:rsidP="002D647F">
            <w:pPr>
              <w:rPr>
                <w:color w:val="000000"/>
                <w:sz w:val="17"/>
                <w:szCs w:val="17"/>
                <w:lang w:val="ru-RU"/>
              </w:rPr>
            </w:pPr>
            <w:r>
              <w:rPr>
                <w:color w:val="000000"/>
                <w:sz w:val="17"/>
                <w:szCs w:val="17"/>
                <w:lang w:val="ru-RU"/>
              </w:rPr>
              <w:t>15 000 </w:t>
            </w:r>
            <w:r w:rsidR="002D647F">
              <w:rPr>
                <w:color w:val="000000"/>
                <w:sz w:val="17"/>
                <w:szCs w:val="17"/>
                <w:lang w:val="ru-RU"/>
              </w:rPr>
              <w:t>шв</w:t>
            </w:r>
            <w:r w:rsidR="002D647F" w:rsidRPr="006A3557">
              <w:rPr>
                <w:color w:val="000000"/>
                <w:sz w:val="17"/>
                <w:szCs w:val="17"/>
                <w:lang w:val="ru-RU"/>
              </w:rPr>
              <w:t xml:space="preserve">. </w:t>
            </w:r>
            <w:r w:rsidR="002D647F">
              <w:rPr>
                <w:color w:val="000000"/>
                <w:sz w:val="17"/>
                <w:szCs w:val="17"/>
                <w:lang w:val="ru-RU"/>
              </w:rPr>
              <w:t>фр</w:t>
            </w:r>
            <w:r>
              <w:rPr>
                <w:color w:val="000000"/>
                <w:sz w:val="17"/>
                <w:szCs w:val="17"/>
                <w:lang w:val="ru-RU"/>
              </w:rPr>
              <w:t>.</w:t>
            </w:r>
            <w:r w:rsidR="002D647F" w:rsidRPr="006A3557">
              <w:rPr>
                <w:color w:val="000000"/>
                <w:sz w:val="17"/>
                <w:szCs w:val="17"/>
                <w:lang w:val="ru-RU"/>
              </w:rPr>
              <w:t xml:space="preserve"> </w:t>
            </w:r>
            <w:r w:rsidR="002D647F">
              <w:rPr>
                <w:color w:val="000000"/>
                <w:sz w:val="17"/>
                <w:szCs w:val="17"/>
                <w:lang w:val="ru-RU"/>
              </w:rPr>
              <w:t>по объекту</w:t>
            </w:r>
            <w:r w:rsidR="002D647F" w:rsidRPr="006A3557">
              <w:rPr>
                <w:color w:val="000000"/>
                <w:sz w:val="17"/>
                <w:szCs w:val="17"/>
                <w:lang w:val="ru-RU"/>
              </w:rPr>
              <w:t xml:space="preserve"> </w:t>
            </w:r>
            <w:r w:rsidR="002D647F" w:rsidRPr="00303E4F">
              <w:rPr>
                <w:color w:val="000000"/>
                <w:sz w:val="17"/>
                <w:szCs w:val="17"/>
              </w:rPr>
              <w:t>La</w:t>
            </w:r>
            <w:r w:rsidR="002D647F" w:rsidRPr="006A3557">
              <w:rPr>
                <w:color w:val="000000"/>
                <w:sz w:val="17"/>
                <w:szCs w:val="17"/>
                <w:lang w:val="ru-RU"/>
              </w:rPr>
              <w:t xml:space="preserve"> </w:t>
            </w:r>
            <w:r w:rsidR="002D647F" w:rsidRPr="00303E4F">
              <w:rPr>
                <w:color w:val="000000"/>
                <w:sz w:val="17"/>
                <w:szCs w:val="17"/>
              </w:rPr>
              <w:t>Praille</w:t>
            </w:r>
            <w:r w:rsidR="002D647F" w:rsidRPr="006A3557">
              <w:rPr>
                <w:color w:val="000000"/>
                <w:sz w:val="17"/>
                <w:szCs w:val="17"/>
                <w:lang w:val="ru-RU"/>
              </w:rPr>
              <w:t xml:space="preserve"> </w:t>
            </w:r>
            <w:r w:rsidR="002D647F">
              <w:rPr>
                <w:color w:val="000000"/>
                <w:sz w:val="17"/>
                <w:szCs w:val="17"/>
                <w:lang w:val="ru-RU"/>
              </w:rPr>
              <w:t>и</w:t>
            </w:r>
          </w:p>
          <w:p w:rsidR="002D647F" w:rsidRPr="006A3557" w:rsidRDefault="002D647F" w:rsidP="002D647F">
            <w:pPr>
              <w:rPr>
                <w:sz w:val="17"/>
                <w:szCs w:val="17"/>
                <w:lang w:val="ru-RU"/>
              </w:rPr>
            </w:pPr>
            <w:r>
              <w:rPr>
                <w:color w:val="000000"/>
                <w:sz w:val="17"/>
                <w:szCs w:val="17"/>
                <w:lang w:val="ru-RU"/>
              </w:rPr>
              <w:t>7</w:t>
            </w:r>
            <w:r w:rsidR="00293714">
              <w:rPr>
                <w:color w:val="000000"/>
                <w:sz w:val="17"/>
                <w:szCs w:val="17"/>
                <w:lang w:val="ru-RU"/>
              </w:rPr>
              <w:t> </w:t>
            </w:r>
            <w:r w:rsidRPr="006A3557">
              <w:rPr>
                <w:color w:val="000000"/>
                <w:sz w:val="17"/>
                <w:szCs w:val="17"/>
                <w:lang w:val="ru-RU"/>
              </w:rPr>
              <w:t>770</w:t>
            </w:r>
            <w:r w:rsidR="00293714">
              <w:rPr>
                <w:color w:val="000000"/>
                <w:sz w:val="17"/>
                <w:szCs w:val="17"/>
                <w:lang w:val="ru-RU"/>
              </w:rPr>
              <w:t> </w:t>
            </w:r>
            <w:r>
              <w:rPr>
                <w:color w:val="000000"/>
                <w:sz w:val="17"/>
                <w:szCs w:val="17"/>
                <w:lang w:val="ru-RU"/>
              </w:rPr>
              <w:t>шв</w:t>
            </w:r>
            <w:r w:rsidRPr="006A3557">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6A3557">
              <w:rPr>
                <w:color w:val="000000"/>
                <w:sz w:val="17"/>
                <w:szCs w:val="17"/>
                <w:lang w:val="ru-RU"/>
              </w:rPr>
              <w:t xml:space="preserve"> </w:t>
            </w:r>
            <w:r>
              <w:rPr>
                <w:color w:val="000000"/>
                <w:sz w:val="17"/>
                <w:szCs w:val="17"/>
                <w:lang w:val="ru-RU"/>
              </w:rPr>
              <w:t>по объекту</w:t>
            </w:r>
            <w:r w:rsidRPr="006A3557">
              <w:rPr>
                <w:color w:val="000000"/>
                <w:sz w:val="17"/>
                <w:szCs w:val="17"/>
                <w:lang w:val="ru-RU"/>
              </w:rPr>
              <w:t xml:space="preserve"> </w:t>
            </w:r>
            <w:r w:rsidRPr="00303E4F">
              <w:rPr>
                <w:color w:val="000000"/>
                <w:sz w:val="17"/>
                <w:szCs w:val="17"/>
                <w:lang w:val="fr-CH"/>
              </w:rPr>
              <w:t>Meyrin</w:t>
            </w:r>
            <w:r w:rsidRPr="006A3557">
              <w:rPr>
                <w:color w:val="000000"/>
                <w:sz w:val="17"/>
                <w:szCs w:val="17"/>
                <w:lang w:val="ru-RU"/>
              </w:rPr>
              <w:t xml:space="preserve"> </w:t>
            </w:r>
            <w:r w:rsidRPr="00303E4F">
              <w:rPr>
                <w:color w:val="000000"/>
                <w:sz w:val="17"/>
                <w:szCs w:val="17"/>
                <w:lang w:val="fr-CH"/>
              </w:rPr>
              <w:t>II</w:t>
            </w:r>
            <w:r w:rsidRPr="006A3557">
              <w:rPr>
                <w:color w:val="000000"/>
                <w:sz w:val="17"/>
                <w:szCs w:val="17"/>
                <w:lang w:val="ru-RU"/>
              </w:rPr>
              <w:t>)</w:t>
            </w:r>
          </w:p>
          <w:p w:rsidR="002D647F" w:rsidRPr="006A3557" w:rsidRDefault="002D647F" w:rsidP="002D647F">
            <w:pPr>
              <w:rPr>
                <w:color w:val="000000"/>
                <w:sz w:val="17"/>
                <w:szCs w:val="17"/>
                <w:lang w:val="ru-RU"/>
              </w:rPr>
            </w:pPr>
          </w:p>
        </w:tc>
        <w:tc>
          <w:tcPr>
            <w:tcW w:w="813" w:type="pct"/>
            <w:tcBorders>
              <w:top w:val="single" w:sz="4" w:space="0" w:color="auto"/>
              <w:left w:val="nil"/>
              <w:bottom w:val="single" w:sz="4" w:space="0" w:color="auto"/>
              <w:right w:val="single" w:sz="4" w:space="0" w:color="auto"/>
            </w:tcBorders>
            <w:shd w:val="clear" w:color="auto" w:fill="auto"/>
            <w:hideMark/>
          </w:tcPr>
          <w:p w:rsidR="002D647F" w:rsidRPr="006A3557" w:rsidRDefault="002D647F" w:rsidP="002D647F">
            <w:pPr>
              <w:rPr>
                <w:color w:val="000000"/>
                <w:sz w:val="17"/>
                <w:szCs w:val="17"/>
                <w:lang w:val="ru-RU"/>
              </w:rPr>
            </w:pPr>
          </w:p>
        </w:tc>
        <w:tc>
          <w:tcPr>
            <w:tcW w:w="871" w:type="pct"/>
            <w:tcBorders>
              <w:top w:val="single" w:sz="4" w:space="0" w:color="auto"/>
              <w:left w:val="nil"/>
              <w:bottom w:val="single" w:sz="4" w:space="0" w:color="auto"/>
              <w:right w:val="single" w:sz="4" w:space="0" w:color="auto"/>
            </w:tcBorders>
            <w:shd w:val="clear" w:color="auto" w:fill="auto"/>
            <w:hideMark/>
          </w:tcPr>
          <w:p w:rsidR="002D647F" w:rsidRPr="006A3557" w:rsidRDefault="002D647F" w:rsidP="002D647F">
            <w:pPr>
              <w:rPr>
                <w:color w:val="000000"/>
                <w:sz w:val="17"/>
                <w:szCs w:val="17"/>
                <w:lang w:val="ru-RU"/>
              </w:rPr>
            </w:pPr>
          </w:p>
        </w:tc>
        <w:tc>
          <w:tcPr>
            <w:tcW w:w="1183" w:type="pct"/>
            <w:tcBorders>
              <w:top w:val="single" w:sz="4" w:space="0" w:color="auto"/>
              <w:left w:val="nil"/>
              <w:bottom w:val="single" w:sz="4" w:space="0" w:color="auto"/>
              <w:right w:val="single" w:sz="4" w:space="0" w:color="auto"/>
            </w:tcBorders>
            <w:shd w:val="clear" w:color="auto" w:fill="auto"/>
            <w:hideMark/>
          </w:tcPr>
          <w:p w:rsidR="002D647F" w:rsidRPr="009A1D76" w:rsidRDefault="002D647F" w:rsidP="00506508">
            <w:pPr>
              <w:ind w:left="-43"/>
              <w:rPr>
                <w:color w:val="000000"/>
                <w:sz w:val="17"/>
                <w:szCs w:val="17"/>
                <w:lang w:val="ru-RU"/>
              </w:rPr>
            </w:pPr>
            <w:r>
              <w:rPr>
                <w:color w:val="000000"/>
                <w:sz w:val="17"/>
                <w:szCs w:val="17"/>
                <w:lang w:val="ru-RU"/>
              </w:rPr>
              <w:t>Договор</w:t>
            </w:r>
            <w:r w:rsidRPr="006A3557">
              <w:rPr>
                <w:color w:val="000000"/>
                <w:sz w:val="17"/>
                <w:szCs w:val="17"/>
                <w:lang w:val="ru-RU"/>
              </w:rPr>
              <w:t xml:space="preserve"> </w:t>
            </w:r>
            <w:r>
              <w:rPr>
                <w:color w:val="000000"/>
                <w:sz w:val="17"/>
                <w:szCs w:val="17"/>
                <w:lang w:val="ru-RU"/>
              </w:rPr>
              <w:t>на</w:t>
            </w:r>
            <w:r w:rsidRPr="006A3557">
              <w:rPr>
                <w:color w:val="000000"/>
                <w:sz w:val="17"/>
                <w:szCs w:val="17"/>
                <w:lang w:val="ru-RU"/>
              </w:rPr>
              <w:t xml:space="preserve"> </w:t>
            </w:r>
            <w:r>
              <w:rPr>
                <w:color w:val="000000"/>
                <w:sz w:val="17"/>
                <w:szCs w:val="17"/>
                <w:lang w:val="ru-RU"/>
              </w:rPr>
              <w:t>аренду</w:t>
            </w:r>
            <w:r w:rsidRPr="006A3557">
              <w:rPr>
                <w:color w:val="000000"/>
                <w:sz w:val="17"/>
                <w:szCs w:val="17"/>
                <w:lang w:val="ru-RU"/>
              </w:rPr>
              <w:t xml:space="preserve"> </w:t>
            </w:r>
            <w:r>
              <w:rPr>
                <w:color w:val="000000"/>
                <w:sz w:val="17"/>
                <w:szCs w:val="17"/>
                <w:lang w:val="ru-RU"/>
              </w:rPr>
              <w:t>склада</w:t>
            </w:r>
            <w:r w:rsidRPr="006A3557">
              <w:rPr>
                <w:color w:val="000000"/>
                <w:sz w:val="17"/>
                <w:szCs w:val="17"/>
                <w:lang w:val="ru-RU"/>
              </w:rPr>
              <w:t xml:space="preserve"> </w:t>
            </w:r>
            <w:r w:rsidRPr="00303E4F">
              <w:rPr>
                <w:color w:val="000000"/>
                <w:sz w:val="17"/>
                <w:szCs w:val="17"/>
              </w:rPr>
              <w:t>Meyrin</w:t>
            </w:r>
            <w:r w:rsidRPr="006A3557">
              <w:rPr>
                <w:color w:val="000000"/>
                <w:sz w:val="17"/>
                <w:szCs w:val="17"/>
                <w:lang w:val="ru-RU"/>
              </w:rPr>
              <w:t xml:space="preserve"> </w:t>
            </w:r>
            <w:r w:rsidRPr="00303E4F">
              <w:rPr>
                <w:color w:val="000000"/>
                <w:sz w:val="17"/>
                <w:szCs w:val="17"/>
              </w:rPr>
              <w:t>IV</w:t>
            </w:r>
            <w:r w:rsidRPr="006A3557">
              <w:rPr>
                <w:color w:val="000000"/>
                <w:sz w:val="17"/>
                <w:szCs w:val="17"/>
                <w:lang w:val="ru-RU"/>
              </w:rPr>
              <w:t xml:space="preserve"> </w:t>
            </w:r>
            <w:r>
              <w:rPr>
                <w:color w:val="000000"/>
                <w:sz w:val="17"/>
                <w:szCs w:val="17"/>
                <w:lang w:val="ru-RU"/>
              </w:rPr>
              <w:t>расторгнут 30 сентября 2014 г.  Договор на аренду склада</w:t>
            </w:r>
            <w:r w:rsidRPr="006A3557">
              <w:rPr>
                <w:color w:val="000000"/>
                <w:sz w:val="17"/>
                <w:szCs w:val="17"/>
                <w:lang w:val="ru-RU"/>
              </w:rPr>
              <w:t xml:space="preserve"> </w:t>
            </w:r>
            <w:r w:rsidRPr="006A3557">
              <w:rPr>
                <w:color w:val="000000"/>
                <w:sz w:val="17"/>
                <w:szCs w:val="17"/>
                <w:lang w:val="ru-RU"/>
              </w:rPr>
              <w:br w:type="page"/>
            </w:r>
            <w:r w:rsidRPr="00303E4F">
              <w:rPr>
                <w:color w:val="000000"/>
                <w:sz w:val="17"/>
                <w:szCs w:val="17"/>
              </w:rPr>
              <w:t>La</w:t>
            </w:r>
            <w:r w:rsidRPr="009A1D76">
              <w:rPr>
                <w:color w:val="000000"/>
                <w:sz w:val="17"/>
                <w:szCs w:val="17"/>
                <w:lang w:val="ru-RU"/>
              </w:rPr>
              <w:t xml:space="preserve"> </w:t>
            </w:r>
            <w:r w:rsidRPr="00303E4F">
              <w:rPr>
                <w:color w:val="000000"/>
                <w:sz w:val="17"/>
                <w:szCs w:val="17"/>
              </w:rPr>
              <w:t>Praille</w:t>
            </w:r>
            <w:r w:rsidRPr="009A1D76">
              <w:rPr>
                <w:color w:val="000000"/>
                <w:sz w:val="17"/>
                <w:szCs w:val="17"/>
                <w:lang w:val="ru-RU"/>
              </w:rPr>
              <w:t xml:space="preserve"> </w:t>
            </w:r>
            <w:r>
              <w:rPr>
                <w:color w:val="000000"/>
                <w:sz w:val="17"/>
                <w:szCs w:val="17"/>
                <w:lang w:val="ru-RU"/>
              </w:rPr>
              <w:t>расторгнут в ноябре  2014 г.</w:t>
            </w:r>
          </w:p>
          <w:p w:rsidR="002D647F" w:rsidRPr="009A1D76" w:rsidRDefault="002D647F" w:rsidP="00506508">
            <w:pPr>
              <w:ind w:left="-43"/>
              <w:rPr>
                <w:color w:val="000000"/>
                <w:sz w:val="17"/>
                <w:szCs w:val="17"/>
                <w:lang w:val="ru-RU"/>
              </w:rPr>
            </w:pPr>
          </w:p>
          <w:p w:rsidR="002D647F" w:rsidRPr="009A1D76" w:rsidRDefault="002D647F" w:rsidP="00506508">
            <w:pPr>
              <w:ind w:left="-43"/>
              <w:rPr>
                <w:sz w:val="17"/>
                <w:szCs w:val="17"/>
                <w:lang w:val="ru-RU"/>
              </w:rPr>
            </w:pPr>
            <w:r>
              <w:rPr>
                <w:color w:val="000000"/>
                <w:sz w:val="17"/>
                <w:szCs w:val="17"/>
                <w:lang w:val="ru-RU"/>
              </w:rPr>
              <w:t>В</w:t>
            </w:r>
            <w:r w:rsidRPr="009A1D76">
              <w:rPr>
                <w:color w:val="000000"/>
                <w:sz w:val="17"/>
                <w:szCs w:val="17"/>
                <w:lang w:val="ru-RU"/>
              </w:rPr>
              <w:t xml:space="preserve"> 2015 </w:t>
            </w:r>
            <w:r>
              <w:rPr>
                <w:color w:val="000000"/>
                <w:sz w:val="17"/>
                <w:szCs w:val="17"/>
                <w:lang w:val="ru-RU"/>
              </w:rPr>
              <w:t>г</w:t>
            </w:r>
            <w:r w:rsidRPr="009A1D76">
              <w:rPr>
                <w:color w:val="000000"/>
                <w:sz w:val="17"/>
                <w:szCs w:val="17"/>
                <w:lang w:val="ru-RU"/>
              </w:rPr>
              <w:t xml:space="preserve">. </w:t>
            </w:r>
            <w:r>
              <w:rPr>
                <w:color w:val="000000"/>
                <w:sz w:val="17"/>
                <w:szCs w:val="17"/>
                <w:lang w:val="ru-RU"/>
              </w:rPr>
              <w:t>был</w:t>
            </w:r>
            <w:r w:rsidRPr="009A1D76">
              <w:rPr>
                <w:color w:val="000000"/>
                <w:sz w:val="17"/>
                <w:szCs w:val="17"/>
                <w:lang w:val="ru-RU"/>
              </w:rPr>
              <w:t xml:space="preserve"> </w:t>
            </w:r>
            <w:r>
              <w:rPr>
                <w:color w:val="000000"/>
                <w:sz w:val="17"/>
                <w:szCs w:val="17"/>
                <w:lang w:val="ru-RU"/>
              </w:rPr>
              <w:t>досрочно</w:t>
            </w:r>
            <w:r w:rsidRPr="009A1D76">
              <w:rPr>
                <w:color w:val="000000"/>
                <w:sz w:val="17"/>
                <w:szCs w:val="17"/>
                <w:lang w:val="ru-RU"/>
              </w:rPr>
              <w:t xml:space="preserve"> </w:t>
            </w:r>
            <w:r>
              <w:rPr>
                <w:color w:val="000000"/>
                <w:sz w:val="17"/>
                <w:szCs w:val="17"/>
                <w:lang w:val="ru-RU"/>
              </w:rPr>
              <w:t>расторгнут</w:t>
            </w:r>
            <w:r w:rsidRPr="009A1D76">
              <w:rPr>
                <w:color w:val="000000"/>
                <w:sz w:val="17"/>
                <w:szCs w:val="17"/>
                <w:lang w:val="ru-RU"/>
              </w:rPr>
              <w:t xml:space="preserve"> </w:t>
            </w:r>
            <w:r>
              <w:rPr>
                <w:color w:val="000000"/>
                <w:sz w:val="17"/>
                <w:szCs w:val="17"/>
                <w:lang w:val="ru-RU"/>
              </w:rPr>
              <w:t>договор</w:t>
            </w:r>
            <w:r w:rsidRPr="009A1D76">
              <w:rPr>
                <w:color w:val="000000"/>
                <w:sz w:val="17"/>
                <w:szCs w:val="17"/>
                <w:lang w:val="ru-RU"/>
              </w:rPr>
              <w:t xml:space="preserve"> </w:t>
            </w:r>
            <w:r>
              <w:rPr>
                <w:color w:val="000000"/>
                <w:sz w:val="17"/>
                <w:szCs w:val="17"/>
                <w:lang w:val="ru-RU"/>
              </w:rPr>
              <w:t>на</w:t>
            </w:r>
            <w:r w:rsidRPr="009A1D76">
              <w:rPr>
                <w:color w:val="000000"/>
                <w:sz w:val="17"/>
                <w:szCs w:val="17"/>
                <w:lang w:val="ru-RU"/>
              </w:rPr>
              <w:t xml:space="preserve"> </w:t>
            </w:r>
            <w:r>
              <w:rPr>
                <w:color w:val="000000"/>
                <w:sz w:val="17"/>
                <w:szCs w:val="17"/>
                <w:lang w:val="ru-RU"/>
              </w:rPr>
              <w:t>аренду</w:t>
            </w:r>
            <w:r w:rsidRPr="009A1D76">
              <w:rPr>
                <w:color w:val="000000"/>
                <w:sz w:val="17"/>
                <w:szCs w:val="17"/>
                <w:lang w:val="ru-RU"/>
              </w:rPr>
              <w:t xml:space="preserve"> </w:t>
            </w:r>
            <w:r>
              <w:rPr>
                <w:color w:val="000000"/>
                <w:sz w:val="17"/>
                <w:szCs w:val="17"/>
                <w:lang w:val="ru-RU"/>
              </w:rPr>
              <w:t>склада</w:t>
            </w:r>
            <w:r w:rsidRPr="009A1D76">
              <w:rPr>
                <w:color w:val="000000"/>
                <w:sz w:val="17"/>
                <w:szCs w:val="17"/>
                <w:lang w:val="ru-RU"/>
              </w:rPr>
              <w:t xml:space="preserve"> </w:t>
            </w:r>
            <w:r w:rsidRPr="00303E4F">
              <w:rPr>
                <w:color w:val="000000"/>
                <w:sz w:val="17"/>
                <w:szCs w:val="17"/>
              </w:rPr>
              <w:t>Meyrin</w:t>
            </w:r>
            <w:r w:rsidRPr="009A1D76">
              <w:rPr>
                <w:color w:val="000000"/>
                <w:sz w:val="17"/>
                <w:szCs w:val="17"/>
                <w:lang w:val="ru-RU"/>
              </w:rPr>
              <w:t xml:space="preserve"> </w:t>
            </w:r>
            <w:r w:rsidRPr="00303E4F">
              <w:rPr>
                <w:color w:val="000000"/>
                <w:sz w:val="17"/>
                <w:szCs w:val="17"/>
              </w:rPr>
              <w:t>II</w:t>
            </w:r>
            <w:r w:rsidRPr="009A1D76">
              <w:rPr>
                <w:color w:val="000000"/>
                <w:sz w:val="17"/>
                <w:szCs w:val="17"/>
                <w:lang w:val="ru-RU"/>
              </w:rPr>
              <w:t xml:space="preserve"> (</w:t>
            </w:r>
            <w:r>
              <w:rPr>
                <w:color w:val="000000"/>
                <w:sz w:val="17"/>
                <w:szCs w:val="17"/>
                <w:lang w:val="ru-RU"/>
              </w:rPr>
              <w:t>до</w:t>
            </w:r>
            <w:r w:rsidRPr="009A1D76">
              <w:rPr>
                <w:color w:val="000000"/>
                <w:sz w:val="17"/>
                <w:szCs w:val="17"/>
                <w:lang w:val="ru-RU"/>
              </w:rPr>
              <w:t xml:space="preserve"> </w:t>
            </w:r>
            <w:r>
              <w:rPr>
                <w:color w:val="000000"/>
                <w:sz w:val="17"/>
                <w:szCs w:val="17"/>
                <w:lang w:val="ru-RU"/>
              </w:rPr>
              <w:t>истечения</w:t>
            </w:r>
            <w:r w:rsidRPr="009A1D76">
              <w:rPr>
                <w:color w:val="000000"/>
                <w:sz w:val="17"/>
                <w:szCs w:val="17"/>
                <w:lang w:val="ru-RU"/>
              </w:rPr>
              <w:t xml:space="preserve"> </w:t>
            </w:r>
            <w:r>
              <w:rPr>
                <w:color w:val="000000"/>
                <w:sz w:val="17"/>
                <w:szCs w:val="17"/>
                <w:lang w:val="ru-RU"/>
              </w:rPr>
              <w:t>срока</w:t>
            </w:r>
            <w:r w:rsidRPr="009A1D76">
              <w:rPr>
                <w:color w:val="000000"/>
                <w:sz w:val="17"/>
                <w:szCs w:val="17"/>
                <w:lang w:val="ru-RU"/>
              </w:rPr>
              <w:t xml:space="preserve"> </w:t>
            </w:r>
            <w:r>
              <w:rPr>
                <w:color w:val="000000"/>
                <w:sz w:val="17"/>
                <w:szCs w:val="17"/>
                <w:lang w:val="ru-RU"/>
              </w:rPr>
              <w:t>договора</w:t>
            </w:r>
            <w:r w:rsidRPr="009A1D76">
              <w:rPr>
                <w:color w:val="000000"/>
                <w:sz w:val="17"/>
                <w:szCs w:val="17"/>
                <w:lang w:val="ru-RU"/>
              </w:rPr>
              <w:t xml:space="preserve"> </w:t>
            </w:r>
            <w:r>
              <w:rPr>
                <w:color w:val="000000"/>
                <w:sz w:val="17"/>
                <w:szCs w:val="17"/>
                <w:lang w:val="ru-RU"/>
              </w:rPr>
              <w:t>в</w:t>
            </w:r>
            <w:r w:rsidRPr="009A1D76">
              <w:rPr>
                <w:color w:val="000000"/>
                <w:sz w:val="17"/>
                <w:szCs w:val="17"/>
                <w:lang w:val="ru-RU"/>
              </w:rPr>
              <w:t xml:space="preserve"> </w:t>
            </w:r>
            <w:r>
              <w:rPr>
                <w:color w:val="000000"/>
                <w:sz w:val="17"/>
                <w:szCs w:val="17"/>
                <w:lang w:val="ru-RU"/>
              </w:rPr>
              <w:t>конце</w:t>
            </w:r>
            <w:r w:rsidRPr="009A1D76">
              <w:rPr>
                <w:color w:val="000000"/>
                <w:sz w:val="17"/>
                <w:szCs w:val="17"/>
                <w:lang w:val="ru-RU"/>
              </w:rPr>
              <w:t xml:space="preserve"> </w:t>
            </w:r>
            <w:r>
              <w:rPr>
                <w:color w:val="000000"/>
                <w:sz w:val="17"/>
                <w:szCs w:val="17"/>
                <w:lang w:val="ru-RU"/>
              </w:rPr>
              <w:t>января</w:t>
            </w:r>
            <w:r w:rsidRPr="009A1D76">
              <w:rPr>
                <w:color w:val="000000"/>
                <w:sz w:val="17"/>
                <w:szCs w:val="17"/>
                <w:lang w:val="ru-RU"/>
              </w:rPr>
              <w:t xml:space="preserve"> 2016 </w:t>
            </w:r>
            <w:r>
              <w:rPr>
                <w:color w:val="000000"/>
                <w:sz w:val="17"/>
                <w:szCs w:val="17"/>
                <w:lang w:val="ru-RU"/>
              </w:rPr>
              <w:t>г</w:t>
            </w:r>
            <w:r w:rsidRPr="009A1D76">
              <w:rPr>
                <w:color w:val="000000"/>
                <w:sz w:val="17"/>
                <w:szCs w:val="17"/>
                <w:lang w:val="ru-RU"/>
              </w:rPr>
              <w:t xml:space="preserve">. </w:t>
            </w:r>
            <w:r>
              <w:rPr>
                <w:color w:val="000000"/>
                <w:sz w:val="17"/>
                <w:szCs w:val="17"/>
                <w:lang w:val="ru-RU"/>
              </w:rPr>
              <w:t>и по соглашению с последующим съемщиком)</w:t>
            </w:r>
            <w:r w:rsidRPr="009A1D76">
              <w:rPr>
                <w:color w:val="000000"/>
                <w:sz w:val="17"/>
                <w:szCs w:val="17"/>
                <w:lang w:val="ru-RU"/>
              </w:rPr>
              <w:t>.</w:t>
            </w:r>
          </w:p>
        </w:tc>
      </w:tr>
      <w:tr w:rsidR="00506508" w:rsidRPr="009A1D76" w:rsidTr="00506508">
        <w:trPr>
          <w:trHeight w:val="1020"/>
        </w:trPr>
        <w:tc>
          <w:tcPr>
            <w:tcW w:w="1014" w:type="pct"/>
            <w:tcBorders>
              <w:top w:val="nil"/>
              <w:left w:val="single" w:sz="4" w:space="0" w:color="auto"/>
              <w:bottom w:val="single" w:sz="4" w:space="0" w:color="auto"/>
              <w:right w:val="single" w:sz="4" w:space="0" w:color="auto"/>
            </w:tcBorders>
            <w:shd w:val="clear" w:color="auto" w:fill="auto"/>
            <w:hideMark/>
          </w:tcPr>
          <w:p w:rsidR="002D647F" w:rsidRPr="009A1D76" w:rsidRDefault="002D647F" w:rsidP="002D647F">
            <w:pPr>
              <w:rPr>
                <w:color w:val="000000"/>
                <w:sz w:val="17"/>
                <w:szCs w:val="17"/>
                <w:lang w:val="ru-RU"/>
              </w:rPr>
            </w:pPr>
            <w:r>
              <w:rPr>
                <w:color w:val="000000"/>
                <w:sz w:val="17"/>
                <w:szCs w:val="17"/>
                <w:lang w:val="ru-RU"/>
              </w:rPr>
              <w:t>Аннулирование</w:t>
            </w:r>
            <w:r w:rsidRPr="009A1D76">
              <w:rPr>
                <w:color w:val="000000"/>
                <w:sz w:val="17"/>
                <w:szCs w:val="17"/>
                <w:lang w:val="ru-RU"/>
              </w:rPr>
              <w:t xml:space="preserve"> 32 </w:t>
            </w:r>
            <w:r>
              <w:rPr>
                <w:color w:val="000000"/>
                <w:sz w:val="17"/>
                <w:szCs w:val="17"/>
                <w:lang w:val="ru-RU"/>
              </w:rPr>
              <w:t>абонементов на использование автостоянки «</w:t>
            </w:r>
            <w:r w:rsidRPr="00303E4F">
              <w:rPr>
                <w:color w:val="000000"/>
                <w:sz w:val="17"/>
                <w:szCs w:val="17"/>
              </w:rPr>
              <w:t>Parking</w:t>
            </w:r>
            <w:r w:rsidRPr="009A1D76">
              <w:rPr>
                <w:color w:val="000000"/>
                <w:sz w:val="17"/>
                <w:szCs w:val="17"/>
                <w:lang w:val="ru-RU"/>
              </w:rPr>
              <w:t xml:space="preserve"> </w:t>
            </w:r>
            <w:r w:rsidRPr="00303E4F">
              <w:rPr>
                <w:color w:val="000000"/>
                <w:sz w:val="17"/>
                <w:szCs w:val="17"/>
              </w:rPr>
              <w:t>des</w:t>
            </w:r>
            <w:r w:rsidRPr="009A1D76">
              <w:rPr>
                <w:color w:val="000000"/>
                <w:sz w:val="17"/>
                <w:szCs w:val="17"/>
                <w:lang w:val="ru-RU"/>
              </w:rPr>
              <w:t xml:space="preserve"> </w:t>
            </w:r>
            <w:r w:rsidRPr="00303E4F">
              <w:rPr>
                <w:color w:val="000000"/>
                <w:sz w:val="17"/>
                <w:szCs w:val="17"/>
              </w:rPr>
              <w:t>Nations</w:t>
            </w:r>
            <w:r>
              <w:rPr>
                <w:color w:val="000000"/>
                <w:sz w:val="17"/>
                <w:szCs w:val="17"/>
                <w:lang w:val="ru-RU"/>
              </w:rPr>
              <w:t>» в несколько этапов за период с августа по декабрь 2014.</w:t>
            </w:r>
          </w:p>
        </w:tc>
        <w:tc>
          <w:tcPr>
            <w:tcW w:w="589" w:type="pct"/>
            <w:tcBorders>
              <w:top w:val="nil"/>
              <w:left w:val="nil"/>
              <w:bottom w:val="single" w:sz="4" w:space="0" w:color="auto"/>
              <w:right w:val="single" w:sz="4" w:space="0" w:color="auto"/>
            </w:tcBorders>
            <w:shd w:val="clear" w:color="auto" w:fill="auto"/>
            <w:hideMark/>
          </w:tcPr>
          <w:p w:rsidR="002D647F" w:rsidRPr="009A1D76" w:rsidRDefault="002D647F" w:rsidP="002D647F">
            <w:pPr>
              <w:rPr>
                <w:color w:val="000000"/>
                <w:sz w:val="17"/>
                <w:szCs w:val="17"/>
                <w:lang w:val="ru-RU"/>
              </w:rPr>
            </w:pPr>
            <w:r>
              <w:rPr>
                <w:color w:val="000000"/>
                <w:sz w:val="17"/>
                <w:szCs w:val="17"/>
                <w:lang w:val="ru-RU"/>
              </w:rPr>
              <w:t xml:space="preserve">3 </w:t>
            </w:r>
            <w:r w:rsidRPr="009A1D76">
              <w:rPr>
                <w:color w:val="000000"/>
                <w:sz w:val="17"/>
                <w:szCs w:val="17"/>
                <w:lang w:val="ru-RU"/>
              </w:rPr>
              <w:t>404</w:t>
            </w:r>
          </w:p>
        </w:tc>
        <w:tc>
          <w:tcPr>
            <w:tcW w:w="530" w:type="pct"/>
            <w:tcBorders>
              <w:top w:val="nil"/>
              <w:left w:val="nil"/>
              <w:bottom w:val="single" w:sz="4" w:space="0" w:color="auto"/>
              <w:right w:val="single" w:sz="4" w:space="0" w:color="auto"/>
            </w:tcBorders>
            <w:shd w:val="clear" w:color="auto" w:fill="auto"/>
            <w:hideMark/>
          </w:tcPr>
          <w:p w:rsidR="002D647F" w:rsidRPr="009A1D76" w:rsidRDefault="002D647F" w:rsidP="002D647F">
            <w:pPr>
              <w:rPr>
                <w:sz w:val="17"/>
                <w:szCs w:val="17"/>
                <w:lang w:val="ru-RU"/>
              </w:rPr>
            </w:pPr>
            <w:r w:rsidRPr="00303E4F">
              <w:rPr>
                <w:color w:val="000000"/>
                <w:sz w:val="17"/>
                <w:szCs w:val="17"/>
              </w:rPr>
              <w:t>  </w:t>
            </w:r>
            <w:r w:rsidRPr="009A1D76">
              <w:rPr>
                <w:color w:val="000000"/>
                <w:sz w:val="17"/>
                <w:szCs w:val="17"/>
                <w:lang w:val="ru-RU"/>
              </w:rPr>
              <w:t>61</w:t>
            </w:r>
            <w:r>
              <w:rPr>
                <w:color w:val="000000"/>
                <w:sz w:val="17"/>
                <w:szCs w:val="17"/>
                <w:lang w:val="ru-RU"/>
              </w:rPr>
              <w:t xml:space="preserve"> </w:t>
            </w:r>
            <w:r w:rsidRPr="009A1D76">
              <w:rPr>
                <w:color w:val="000000"/>
                <w:sz w:val="17"/>
                <w:szCs w:val="17"/>
                <w:lang w:val="ru-RU"/>
              </w:rPr>
              <w:t>440</w:t>
            </w:r>
          </w:p>
          <w:p w:rsidR="002D647F" w:rsidRPr="009A1D76" w:rsidRDefault="002D647F" w:rsidP="002D647F">
            <w:pPr>
              <w:rPr>
                <w:color w:val="000000"/>
                <w:sz w:val="17"/>
                <w:szCs w:val="17"/>
                <w:lang w:val="ru-RU"/>
              </w:rPr>
            </w:pPr>
          </w:p>
        </w:tc>
        <w:tc>
          <w:tcPr>
            <w:tcW w:w="813" w:type="pct"/>
            <w:tcBorders>
              <w:top w:val="nil"/>
              <w:left w:val="nil"/>
              <w:bottom w:val="single" w:sz="4" w:space="0" w:color="auto"/>
              <w:right w:val="single" w:sz="4" w:space="0" w:color="auto"/>
            </w:tcBorders>
            <w:shd w:val="clear" w:color="auto" w:fill="auto"/>
            <w:hideMark/>
          </w:tcPr>
          <w:p w:rsidR="002D647F" w:rsidRPr="009A1D76" w:rsidRDefault="002D647F" w:rsidP="002D647F">
            <w:pPr>
              <w:rPr>
                <w:color w:val="000000"/>
                <w:sz w:val="17"/>
                <w:szCs w:val="17"/>
                <w:lang w:val="ru-RU"/>
              </w:rPr>
            </w:pPr>
            <w:r w:rsidRPr="00303E4F">
              <w:rPr>
                <w:color w:val="000000"/>
                <w:sz w:val="17"/>
                <w:szCs w:val="17"/>
              </w:rPr>
              <w:t> </w:t>
            </w:r>
          </w:p>
        </w:tc>
        <w:tc>
          <w:tcPr>
            <w:tcW w:w="871" w:type="pct"/>
            <w:tcBorders>
              <w:top w:val="nil"/>
              <w:left w:val="nil"/>
              <w:bottom w:val="single" w:sz="4" w:space="0" w:color="auto"/>
              <w:right w:val="single" w:sz="4" w:space="0" w:color="auto"/>
            </w:tcBorders>
            <w:shd w:val="clear" w:color="auto" w:fill="auto"/>
            <w:hideMark/>
          </w:tcPr>
          <w:p w:rsidR="002D647F" w:rsidRPr="009A1D76" w:rsidRDefault="002D647F" w:rsidP="002D647F">
            <w:pPr>
              <w:rPr>
                <w:color w:val="000000"/>
                <w:sz w:val="17"/>
                <w:szCs w:val="17"/>
                <w:lang w:val="ru-RU"/>
              </w:rPr>
            </w:pPr>
            <w:r w:rsidRPr="00303E4F">
              <w:rPr>
                <w:color w:val="000000"/>
                <w:sz w:val="17"/>
                <w:szCs w:val="17"/>
              </w:rPr>
              <w:t> </w:t>
            </w:r>
          </w:p>
        </w:tc>
        <w:tc>
          <w:tcPr>
            <w:tcW w:w="1183" w:type="pct"/>
            <w:tcBorders>
              <w:top w:val="nil"/>
              <w:left w:val="nil"/>
              <w:bottom w:val="single" w:sz="4" w:space="0" w:color="auto"/>
              <w:right w:val="single" w:sz="4" w:space="0" w:color="auto"/>
            </w:tcBorders>
            <w:shd w:val="clear" w:color="auto" w:fill="auto"/>
            <w:hideMark/>
          </w:tcPr>
          <w:p w:rsidR="002D647F" w:rsidRPr="009A1D76" w:rsidRDefault="002D647F" w:rsidP="00506508">
            <w:pPr>
              <w:ind w:left="-43"/>
              <w:rPr>
                <w:sz w:val="17"/>
                <w:szCs w:val="17"/>
                <w:lang w:val="ru-RU"/>
              </w:rPr>
            </w:pPr>
          </w:p>
          <w:p w:rsidR="002D647F" w:rsidRPr="009A1D76" w:rsidRDefault="002D647F" w:rsidP="00506508">
            <w:pPr>
              <w:ind w:left="-43"/>
              <w:rPr>
                <w:color w:val="000000"/>
                <w:sz w:val="17"/>
                <w:szCs w:val="17"/>
                <w:lang w:val="ru-RU"/>
              </w:rPr>
            </w:pPr>
          </w:p>
        </w:tc>
      </w:tr>
      <w:tr w:rsidR="00506508" w:rsidRPr="009A1D76" w:rsidTr="00506508">
        <w:trPr>
          <w:trHeight w:val="1363"/>
        </w:trPr>
        <w:tc>
          <w:tcPr>
            <w:tcW w:w="1014" w:type="pct"/>
            <w:tcBorders>
              <w:top w:val="nil"/>
              <w:left w:val="single" w:sz="4" w:space="0" w:color="auto"/>
              <w:bottom w:val="single" w:sz="4" w:space="0" w:color="auto"/>
              <w:right w:val="single" w:sz="4" w:space="0" w:color="auto"/>
            </w:tcBorders>
            <w:shd w:val="clear" w:color="auto" w:fill="auto"/>
          </w:tcPr>
          <w:p w:rsidR="002D647F" w:rsidRPr="009A1D76" w:rsidRDefault="002D647F" w:rsidP="002D647F">
            <w:pPr>
              <w:rPr>
                <w:sz w:val="17"/>
                <w:szCs w:val="17"/>
                <w:lang w:val="ru-RU"/>
              </w:rPr>
            </w:pPr>
            <w:r w:rsidRPr="009A1D76">
              <w:rPr>
                <w:color w:val="000000"/>
                <w:sz w:val="17"/>
                <w:szCs w:val="17"/>
                <w:lang w:val="ru-RU"/>
              </w:rPr>
              <w:t xml:space="preserve">Аннулирование </w:t>
            </w:r>
            <w:r>
              <w:rPr>
                <w:color w:val="000000"/>
                <w:sz w:val="17"/>
                <w:szCs w:val="17"/>
                <w:lang w:val="ru-RU"/>
              </w:rPr>
              <w:t>еще</w:t>
            </w:r>
            <w:r w:rsidRPr="009A1D76">
              <w:rPr>
                <w:color w:val="000000"/>
                <w:sz w:val="17"/>
                <w:szCs w:val="17"/>
                <w:lang w:val="ru-RU"/>
              </w:rPr>
              <w:t xml:space="preserve"> 20 абонементов на использование автостоянки «</w:t>
            </w:r>
            <w:r w:rsidRPr="009A1D76">
              <w:rPr>
                <w:color w:val="000000"/>
                <w:sz w:val="17"/>
                <w:szCs w:val="17"/>
              </w:rPr>
              <w:t>Parking</w:t>
            </w:r>
            <w:r w:rsidRPr="009A1D76">
              <w:rPr>
                <w:color w:val="000000"/>
                <w:sz w:val="17"/>
                <w:szCs w:val="17"/>
                <w:lang w:val="ru-RU"/>
              </w:rPr>
              <w:t xml:space="preserve"> </w:t>
            </w:r>
            <w:r w:rsidRPr="009A1D76">
              <w:rPr>
                <w:color w:val="000000"/>
                <w:sz w:val="17"/>
                <w:szCs w:val="17"/>
              </w:rPr>
              <w:t>des</w:t>
            </w:r>
            <w:r w:rsidRPr="009A1D76">
              <w:rPr>
                <w:color w:val="000000"/>
                <w:sz w:val="17"/>
                <w:szCs w:val="17"/>
                <w:lang w:val="ru-RU"/>
              </w:rPr>
              <w:t xml:space="preserve"> </w:t>
            </w:r>
            <w:r w:rsidRPr="009A1D76">
              <w:rPr>
                <w:color w:val="000000"/>
                <w:sz w:val="17"/>
                <w:szCs w:val="17"/>
              </w:rPr>
              <w:t>Nations</w:t>
            </w:r>
            <w:r w:rsidRPr="009A1D76">
              <w:rPr>
                <w:color w:val="000000"/>
                <w:sz w:val="17"/>
                <w:szCs w:val="17"/>
                <w:lang w:val="ru-RU"/>
              </w:rPr>
              <w:t>» в несколько этапов</w:t>
            </w:r>
            <w:r>
              <w:rPr>
                <w:color w:val="000000"/>
                <w:sz w:val="17"/>
                <w:szCs w:val="17"/>
                <w:lang w:val="ru-RU"/>
              </w:rPr>
              <w:t xml:space="preserve"> в 2015 г.</w:t>
            </w:r>
          </w:p>
          <w:p w:rsidR="002D647F" w:rsidRPr="009A1D76" w:rsidRDefault="002D647F" w:rsidP="002D647F">
            <w:pPr>
              <w:rPr>
                <w:color w:val="000000"/>
                <w:sz w:val="17"/>
                <w:szCs w:val="17"/>
                <w:lang w:val="ru-RU"/>
              </w:rPr>
            </w:pPr>
          </w:p>
        </w:tc>
        <w:tc>
          <w:tcPr>
            <w:tcW w:w="589" w:type="pct"/>
            <w:tcBorders>
              <w:top w:val="nil"/>
              <w:left w:val="nil"/>
              <w:bottom w:val="single" w:sz="4" w:space="0" w:color="auto"/>
              <w:right w:val="single" w:sz="4" w:space="0" w:color="auto"/>
            </w:tcBorders>
            <w:shd w:val="clear" w:color="auto" w:fill="auto"/>
          </w:tcPr>
          <w:p w:rsidR="002D647F" w:rsidRPr="009A1D76" w:rsidRDefault="002D647F" w:rsidP="002D647F">
            <w:pPr>
              <w:rPr>
                <w:sz w:val="17"/>
                <w:szCs w:val="17"/>
                <w:lang w:val="ru-RU"/>
              </w:rPr>
            </w:pPr>
            <w:r w:rsidRPr="009A1D76">
              <w:rPr>
                <w:color w:val="000000"/>
                <w:sz w:val="17"/>
                <w:szCs w:val="17"/>
                <w:lang w:val="ru-RU"/>
              </w:rPr>
              <w:t>Нет данных</w:t>
            </w:r>
          </w:p>
          <w:p w:rsidR="002D647F" w:rsidRPr="009A1D76" w:rsidRDefault="002D647F" w:rsidP="002D647F">
            <w:pPr>
              <w:rPr>
                <w:color w:val="000000"/>
                <w:sz w:val="17"/>
                <w:szCs w:val="17"/>
                <w:lang w:val="ru-RU"/>
              </w:rPr>
            </w:pPr>
          </w:p>
        </w:tc>
        <w:tc>
          <w:tcPr>
            <w:tcW w:w="530" w:type="pct"/>
            <w:tcBorders>
              <w:top w:val="nil"/>
              <w:left w:val="nil"/>
              <w:bottom w:val="single" w:sz="4" w:space="0" w:color="auto"/>
              <w:right w:val="single" w:sz="4" w:space="0" w:color="auto"/>
            </w:tcBorders>
            <w:shd w:val="clear" w:color="auto" w:fill="auto"/>
          </w:tcPr>
          <w:p w:rsidR="002D647F" w:rsidRPr="009A1D76" w:rsidRDefault="002D647F" w:rsidP="002D647F">
            <w:pPr>
              <w:rPr>
                <w:sz w:val="17"/>
                <w:szCs w:val="17"/>
                <w:lang w:val="ru-RU"/>
              </w:rPr>
            </w:pPr>
            <w:r w:rsidRPr="009A1D76">
              <w:rPr>
                <w:color w:val="000000"/>
                <w:sz w:val="17"/>
                <w:szCs w:val="17"/>
                <w:lang w:val="ru-RU"/>
              </w:rPr>
              <w:t>62</w:t>
            </w:r>
            <w:r>
              <w:rPr>
                <w:color w:val="000000"/>
                <w:sz w:val="17"/>
                <w:szCs w:val="17"/>
                <w:lang w:val="ru-RU"/>
              </w:rPr>
              <w:t xml:space="preserve"> </w:t>
            </w:r>
            <w:r w:rsidRPr="009A1D76">
              <w:rPr>
                <w:color w:val="000000"/>
                <w:sz w:val="17"/>
                <w:szCs w:val="17"/>
                <w:lang w:val="ru-RU"/>
              </w:rPr>
              <w:t>052</w:t>
            </w:r>
          </w:p>
          <w:p w:rsidR="002D647F" w:rsidRPr="009A1D76" w:rsidRDefault="002D647F" w:rsidP="002D647F">
            <w:pPr>
              <w:rPr>
                <w:color w:val="000000"/>
                <w:sz w:val="17"/>
                <w:szCs w:val="17"/>
                <w:lang w:val="ru-RU"/>
              </w:rPr>
            </w:pPr>
          </w:p>
          <w:p w:rsidR="002D647F" w:rsidRPr="009A1D76" w:rsidRDefault="002D647F" w:rsidP="002D647F">
            <w:pPr>
              <w:jc w:val="center"/>
              <w:rPr>
                <w:sz w:val="17"/>
                <w:szCs w:val="17"/>
                <w:lang w:val="ru-RU"/>
              </w:rPr>
            </w:pPr>
          </w:p>
        </w:tc>
        <w:tc>
          <w:tcPr>
            <w:tcW w:w="813" w:type="pct"/>
            <w:tcBorders>
              <w:top w:val="nil"/>
              <w:left w:val="nil"/>
              <w:bottom w:val="single" w:sz="4" w:space="0" w:color="auto"/>
              <w:right w:val="single" w:sz="4" w:space="0" w:color="auto"/>
            </w:tcBorders>
            <w:shd w:val="clear" w:color="auto" w:fill="auto"/>
          </w:tcPr>
          <w:p w:rsidR="002D647F" w:rsidRPr="009A1D76" w:rsidRDefault="002D647F" w:rsidP="002D647F">
            <w:pPr>
              <w:rPr>
                <w:color w:val="000000"/>
                <w:sz w:val="17"/>
                <w:szCs w:val="17"/>
                <w:lang w:val="ru-RU"/>
              </w:rPr>
            </w:pPr>
          </w:p>
        </w:tc>
        <w:tc>
          <w:tcPr>
            <w:tcW w:w="871" w:type="pct"/>
            <w:tcBorders>
              <w:top w:val="nil"/>
              <w:left w:val="nil"/>
              <w:bottom w:val="single" w:sz="4" w:space="0" w:color="auto"/>
              <w:right w:val="single" w:sz="4" w:space="0" w:color="auto"/>
            </w:tcBorders>
            <w:shd w:val="clear" w:color="auto" w:fill="auto"/>
          </w:tcPr>
          <w:p w:rsidR="002D647F" w:rsidRPr="009A1D76" w:rsidRDefault="002D647F" w:rsidP="002D647F">
            <w:pPr>
              <w:rPr>
                <w:color w:val="000000"/>
                <w:sz w:val="17"/>
                <w:szCs w:val="17"/>
                <w:lang w:val="ru-RU"/>
              </w:rPr>
            </w:pPr>
          </w:p>
        </w:tc>
        <w:tc>
          <w:tcPr>
            <w:tcW w:w="1183" w:type="pct"/>
            <w:tcBorders>
              <w:top w:val="nil"/>
              <w:left w:val="nil"/>
              <w:bottom w:val="single" w:sz="4" w:space="0" w:color="auto"/>
              <w:right w:val="single" w:sz="4" w:space="0" w:color="auto"/>
            </w:tcBorders>
            <w:shd w:val="clear" w:color="auto" w:fill="auto"/>
          </w:tcPr>
          <w:p w:rsidR="002D647F" w:rsidRPr="009A1D76" w:rsidRDefault="002D647F" w:rsidP="00506508">
            <w:pPr>
              <w:ind w:left="-43"/>
              <w:rPr>
                <w:color w:val="000000"/>
                <w:sz w:val="17"/>
                <w:szCs w:val="17"/>
                <w:lang w:val="ru-RU"/>
              </w:rPr>
            </w:pPr>
          </w:p>
        </w:tc>
      </w:tr>
      <w:tr w:rsidR="00506508" w:rsidRPr="009A1D76" w:rsidTr="00506508">
        <w:trPr>
          <w:trHeight w:val="1075"/>
        </w:trPr>
        <w:tc>
          <w:tcPr>
            <w:tcW w:w="1014" w:type="pct"/>
            <w:tcBorders>
              <w:top w:val="nil"/>
              <w:left w:val="single" w:sz="4" w:space="0" w:color="auto"/>
              <w:bottom w:val="single" w:sz="4" w:space="0" w:color="auto"/>
              <w:right w:val="single" w:sz="4" w:space="0" w:color="auto"/>
            </w:tcBorders>
            <w:shd w:val="clear" w:color="auto" w:fill="auto"/>
          </w:tcPr>
          <w:p w:rsidR="002D647F" w:rsidRPr="009A1D76" w:rsidRDefault="002D647F" w:rsidP="002D647F">
            <w:pPr>
              <w:rPr>
                <w:sz w:val="17"/>
                <w:szCs w:val="17"/>
                <w:lang w:val="ru-RU"/>
              </w:rPr>
            </w:pPr>
            <w:r w:rsidRPr="008603B4">
              <w:rPr>
                <w:color w:val="000000"/>
                <w:sz w:val="17"/>
                <w:szCs w:val="17"/>
                <w:lang w:val="ru-RU"/>
              </w:rPr>
              <w:t xml:space="preserve">Аннулирование </w:t>
            </w:r>
            <w:r>
              <w:rPr>
                <w:color w:val="000000"/>
                <w:sz w:val="17"/>
                <w:szCs w:val="17"/>
                <w:lang w:val="ru-RU"/>
              </w:rPr>
              <w:t xml:space="preserve">5 </w:t>
            </w:r>
            <w:r w:rsidRPr="008603B4">
              <w:rPr>
                <w:color w:val="000000"/>
                <w:sz w:val="17"/>
                <w:szCs w:val="17"/>
                <w:lang w:val="ru-RU"/>
              </w:rPr>
              <w:t>абонементов на использование автостоянки</w:t>
            </w:r>
            <w:r w:rsidRPr="009A1D76">
              <w:rPr>
                <w:color w:val="000000"/>
                <w:sz w:val="17"/>
                <w:szCs w:val="17"/>
                <w:lang w:val="ru-RU"/>
              </w:rPr>
              <w:t xml:space="preserve"> </w:t>
            </w:r>
            <w:r>
              <w:rPr>
                <w:color w:val="000000"/>
                <w:sz w:val="17"/>
                <w:szCs w:val="17"/>
                <w:lang w:val="ru-RU"/>
              </w:rPr>
              <w:t>в здании</w:t>
            </w:r>
            <w:r w:rsidRPr="009A1D76">
              <w:rPr>
                <w:color w:val="000000"/>
                <w:sz w:val="17"/>
                <w:szCs w:val="17"/>
                <w:lang w:val="ru-RU"/>
              </w:rPr>
              <w:t xml:space="preserve"> </w:t>
            </w:r>
            <w:r w:rsidRPr="005A6265">
              <w:rPr>
                <w:color w:val="000000"/>
                <w:sz w:val="17"/>
                <w:szCs w:val="17"/>
                <w:lang w:val="ru-RU"/>
              </w:rPr>
              <w:t>административ</w:t>
            </w:r>
            <w:r>
              <w:rPr>
                <w:color w:val="000000"/>
                <w:sz w:val="17"/>
                <w:szCs w:val="17"/>
                <w:lang w:val="ru-RU"/>
              </w:rPr>
              <w:t>ного</w:t>
            </w:r>
            <w:r w:rsidRPr="005A6265">
              <w:rPr>
                <w:color w:val="000000"/>
                <w:sz w:val="17"/>
                <w:szCs w:val="17"/>
                <w:lang w:val="ru-RU"/>
              </w:rPr>
              <w:t xml:space="preserve"> центр</w:t>
            </w:r>
            <w:r>
              <w:rPr>
                <w:color w:val="000000"/>
                <w:sz w:val="17"/>
                <w:szCs w:val="17"/>
                <w:lang w:val="ru-RU"/>
              </w:rPr>
              <w:t>а</w:t>
            </w:r>
            <w:r w:rsidRPr="005A6265">
              <w:rPr>
                <w:color w:val="000000"/>
                <w:sz w:val="17"/>
                <w:szCs w:val="17"/>
                <w:lang w:val="ru-RU"/>
              </w:rPr>
              <w:t xml:space="preserve"> «Морийон»</w:t>
            </w:r>
            <w:r>
              <w:rPr>
                <w:color w:val="000000"/>
                <w:sz w:val="17"/>
                <w:szCs w:val="17"/>
                <w:lang w:val="ru-RU"/>
              </w:rPr>
              <w:t xml:space="preserve"> в 2015 г.</w:t>
            </w:r>
          </w:p>
          <w:p w:rsidR="002D647F" w:rsidRPr="009A1D76" w:rsidRDefault="002D647F" w:rsidP="002D647F">
            <w:pPr>
              <w:rPr>
                <w:color w:val="000000"/>
                <w:sz w:val="17"/>
                <w:szCs w:val="17"/>
                <w:lang w:val="ru-RU"/>
              </w:rPr>
            </w:pPr>
          </w:p>
        </w:tc>
        <w:tc>
          <w:tcPr>
            <w:tcW w:w="589" w:type="pct"/>
            <w:tcBorders>
              <w:top w:val="nil"/>
              <w:left w:val="nil"/>
              <w:bottom w:val="single" w:sz="4" w:space="0" w:color="auto"/>
              <w:right w:val="single" w:sz="4" w:space="0" w:color="auto"/>
            </w:tcBorders>
            <w:shd w:val="clear" w:color="auto" w:fill="auto"/>
          </w:tcPr>
          <w:p w:rsidR="002D647F" w:rsidRPr="009A1D76" w:rsidRDefault="002D647F" w:rsidP="002D647F">
            <w:pPr>
              <w:rPr>
                <w:sz w:val="17"/>
                <w:szCs w:val="17"/>
                <w:lang w:val="ru-RU"/>
              </w:rPr>
            </w:pPr>
            <w:r w:rsidRPr="009A1D76">
              <w:rPr>
                <w:color w:val="000000"/>
                <w:sz w:val="17"/>
                <w:szCs w:val="17"/>
                <w:lang w:val="ru-RU"/>
              </w:rPr>
              <w:t>Нет данных</w:t>
            </w:r>
          </w:p>
          <w:p w:rsidR="002D647F" w:rsidRPr="009A1D76" w:rsidRDefault="002D647F" w:rsidP="002D647F">
            <w:pPr>
              <w:rPr>
                <w:color w:val="000000"/>
                <w:sz w:val="17"/>
                <w:szCs w:val="17"/>
                <w:lang w:val="ru-RU"/>
              </w:rPr>
            </w:pPr>
          </w:p>
        </w:tc>
        <w:tc>
          <w:tcPr>
            <w:tcW w:w="530" w:type="pct"/>
            <w:tcBorders>
              <w:top w:val="nil"/>
              <w:left w:val="nil"/>
              <w:bottom w:val="single" w:sz="4" w:space="0" w:color="auto"/>
              <w:right w:val="single" w:sz="4" w:space="0" w:color="auto"/>
            </w:tcBorders>
            <w:shd w:val="clear" w:color="auto" w:fill="auto"/>
          </w:tcPr>
          <w:p w:rsidR="002D647F" w:rsidRPr="009A1D76" w:rsidRDefault="002D647F" w:rsidP="002D647F">
            <w:pPr>
              <w:rPr>
                <w:sz w:val="17"/>
                <w:szCs w:val="17"/>
                <w:lang w:val="ru-RU"/>
              </w:rPr>
            </w:pPr>
            <w:r w:rsidRPr="009A1D76">
              <w:rPr>
                <w:color w:val="000000"/>
                <w:sz w:val="17"/>
                <w:szCs w:val="17"/>
                <w:lang w:val="ru-RU"/>
              </w:rPr>
              <w:t>8</w:t>
            </w:r>
            <w:r>
              <w:rPr>
                <w:color w:val="000000"/>
                <w:sz w:val="17"/>
                <w:szCs w:val="17"/>
                <w:lang w:val="ru-RU"/>
              </w:rPr>
              <w:t xml:space="preserve"> </w:t>
            </w:r>
            <w:r w:rsidRPr="009A1D76">
              <w:rPr>
                <w:color w:val="000000"/>
                <w:sz w:val="17"/>
                <w:szCs w:val="17"/>
                <w:lang w:val="ru-RU"/>
              </w:rPr>
              <w:t>340</w:t>
            </w:r>
          </w:p>
          <w:p w:rsidR="002D647F" w:rsidRPr="009A1D76" w:rsidRDefault="002D647F" w:rsidP="002D647F">
            <w:pPr>
              <w:rPr>
                <w:color w:val="000000"/>
                <w:sz w:val="17"/>
                <w:szCs w:val="17"/>
                <w:lang w:val="ru-RU"/>
              </w:rPr>
            </w:pPr>
          </w:p>
        </w:tc>
        <w:tc>
          <w:tcPr>
            <w:tcW w:w="813" w:type="pct"/>
            <w:tcBorders>
              <w:top w:val="nil"/>
              <w:left w:val="nil"/>
              <w:bottom w:val="single" w:sz="4" w:space="0" w:color="auto"/>
              <w:right w:val="single" w:sz="4" w:space="0" w:color="auto"/>
            </w:tcBorders>
            <w:shd w:val="clear" w:color="auto" w:fill="auto"/>
          </w:tcPr>
          <w:p w:rsidR="002D647F" w:rsidRPr="009A1D76" w:rsidRDefault="002D647F" w:rsidP="002D647F">
            <w:pPr>
              <w:rPr>
                <w:color w:val="000000"/>
                <w:sz w:val="17"/>
                <w:szCs w:val="17"/>
                <w:lang w:val="ru-RU"/>
              </w:rPr>
            </w:pPr>
          </w:p>
        </w:tc>
        <w:tc>
          <w:tcPr>
            <w:tcW w:w="871" w:type="pct"/>
            <w:tcBorders>
              <w:top w:val="nil"/>
              <w:left w:val="nil"/>
              <w:bottom w:val="single" w:sz="4" w:space="0" w:color="auto"/>
              <w:right w:val="single" w:sz="4" w:space="0" w:color="auto"/>
            </w:tcBorders>
            <w:shd w:val="clear" w:color="auto" w:fill="auto"/>
          </w:tcPr>
          <w:p w:rsidR="002D647F" w:rsidRPr="009A1D76" w:rsidRDefault="002D647F" w:rsidP="002D647F">
            <w:pPr>
              <w:rPr>
                <w:color w:val="000000"/>
                <w:sz w:val="17"/>
                <w:szCs w:val="17"/>
                <w:lang w:val="ru-RU"/>
              </w:rPr>
            </w:pPr>
          </w:p>
        </w:tc>
        <w:tc>
          <w:tcPr>
            <w:tcW w:w="1183" w:type="pct"/>
            <w:tcBorders>
              <w:top w:val="nil"/>
              <w:left w:val="nil"/>
              <w:bottom w:val="single" w:sz="4" w:space="0" w:color="auto"/>
              <w:right w:val="single" w:sz="4" w:space="0" w:color="auto"/>
            </w:tcBorders>
            <w:shd w:val="clear" w:color="auto" w:fill="auto"/>
          </w:tcPr>
          <w:p w:rsidR="002D647F" w:rsidRPr="009A1D76" w:rsidRDefault="002D647F" w:rsidP="00506508">
            <w:pPr>
              <w:ind w:left="-43"/>
              <w:rPr>
                <w:color w:val="000000"/>
                <w:sz w:val="17"/>
                <w:szCs w:val="17"/>
                <w:lang w:val="ru-RU"/>
              </w:rPr>
            </w:pPr>
          </w:p>
        </w:tc>
      </w:tr>
      <w:tr w:rsidR="00506508" w:rsidRPr="005C6ABD" w:rsidTr="00506508">
        <w:trPr>
          <w:trHeight w:val="765"/>
        </w:trPr>
        <w:tc>
          <w:tcPr>
            <w:tcW w:w="1014" w:type="pct"/>
            <w:tcBorders>
              <w:top w:val="nil"/>
              <w:left w:val="single" w:sz="4" w:space="0" w:color="auto"/>
              <w:bottom w:val="single" w:sz="4" w:space="0" w:color="auto"/>
              <w:right w:val="single" w:sz="4" w:space="0" w:color="auto"/>
            </w:tcBorders>
            <w:shd w:val="clear" w:color="auto" w:fill="auto"/>
            <w:hideMark/>
          </w:tcPr>
          <w:p w:rsidR="002D647F" w:rsidRPr="008603B4" w:rsidRDefault="002D647F" w:rsidP="002D647F">
            <w:pPr>
              <w:rPr>
                <w:color w:val="000000"/>
                <w:sz w:val="17"/>
                <w:szCs w:val="17"/>
                <w:lang w:val="ru-RU"/>
              </w:rPr>
            </w:pPr>
            <w:r>
              <w:rPr>
                <w:color w:val="000000"/>
                <w:sz w:val="17"/>
                <w:szCs w:val="17"/>
                <w:lang w:val="ru-RU"/>
              </w:rPr>
              <w:t>Сокращение</w:t>
            </w:r>
            <w:r w:rsidRPr="008603B4">
              <w:rPr>
                <w:color w:val="000000"/>
                <w:sz w:val="17"/>
                <w:szCs w:val="17"/>
                <w:lang w:val="ru-RU"/>
              </w:rPr>
              <w:t xml:space="preserve"> </w:t>
            </w:r>
            <w:r>
              <w:rPr>
                <w:color w:val="000000"/>
                <w:sz w:val="17"/>
                <w:szCs w:val="17"/>
                <w:lang w:val="ru-RU"/>
              </w:rPr>
              <w:t>потребления</w:t>
            </w:r>
            <w:r w:rsidRPr="008603B4">
              <w:rPr>
                <w:color w:val="000000"/>
                <w:sz w:val="17"/>
                <w:szCs w:val="17"/>
                <w:lang w:val="ru-RU"/>
              </w:rPr>
              <w:t xml:space="preserve">  канцелярских расходных материалов</w:t>
            </w:r>
          </w:p>
        </w:tc>
        <w:tc>
          <w:tcPr>
            <w:tcW w:w="589"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8</w:t>
            </w:r>
            <w:r>
              <w:rPr>
                <w:color w:val="000000"/>
                <w:sz w:val="17"/>
                <w:szCs w:val="17"/>
                <w:lang w:val="ru-RU"/>
              </w:rPr>
              <w:t xml:space="preserve"> </w:t>
            </w:r>
            <w:r w:rsidRPr="00303E4F">
              <w:rPr>
                <w:color w:val="000000"/>
                <w:sz w:val="17"/>
                <w:szCs w:val="17"/>
              </w:rPr>
              <w:t>193</w:t>
            </w:r>
          </w:p>
        </w:tc>
        <w:tc>
          <w:tcPr>
            <w:tcW w:w="530" w:type="pct"/>
            <w:tcBorders>
              <w:top w:val="nil"/>
              <w:left w:val="nil"/>
              <w:bottom w:val="single" w:sz="4" w:space="0" w:color="auto"/>
              <w:right w:val="single" w:sz="4" w:space="0" w:color="auto"/>
            </w:tcBorders>
            <w:shd w:val="clear" w:color="auto" w:fill="auto"/>
            <w:hideMark/>
          </w:tcPr>
          <w:p w:rsidR="002D647F" w:rsidRPr="00303E4F" w:rsidRDefault="002D647F" w:rsidP="002D647F">
            <w:pPr>
              <w:rPr>
                <w:sz w:val="17"/>
                <w:szCs w:val="17"/>
              </w:rPr>
            </w:pPr>
            <w:r>
              <w:rPr>
                <w:color w:val="000000"/>
                <w:sz w:val="17"/>
                <w:szCs w:val="17"/>
              </w:rPr>
              <w:t> 9</w:t>
            </w:r>
            <w:r>
              <w:rPr>
                <w:color w:val="000000"/>
                <w:sz w:val="17"/>
                <w:szCs w:val="17"/>
                <w:lang w:val="ru-RU"/>
              </w:rPr>
              <w:t xml:space="preserve"> </w:t>
            </w:r>
            <w:r w:rsidRPr="00303E4F">
              <w:rPr>
                <w:color w:val="000000"/>
                <w:sz w:val="17"/>
                <w:szCs w:val="17"/>
              </w:rPr>
              <w:t>269</w:t>
            </w:r>
          </w:p>
          <w:p w:rsidR="002D647F" w:rsidRPr="00303E4F" w:rsidRDefault="002D647F" w:rsidP="002D647F">
            <w:pPr>
              <w:rPr>
                <w:color w:val="000000"/>
                <w:sz w:val="17"/>
                <w:szCs w:val="17"/>
              </w:rPr>
            </w:pPr>
          </w:p>
        </w:tc>
        <w:tc>
          <w:tcPr>
            <w:tcW w:w="813"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 </w:t>
            </w:r>
          </w:p>
        </w:tc>
        <w:tc>
          <w:tcPr>
            <w:tcW w:w="871"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 </w:t>
            </w:r>
          </w:p>
        </w:tc>
        <w:tc>
          <w:tcPr>
            <w:tcW w:w="1183" w:type="pct"/>
            <w:tcBorders>
              <w:top w:val="nil"/>
              <w:left w:val="nil"/>
              <w:bottom w:val="single" w:sz="4" w:space="0" w:color="auto"/>
              <w:right w:val="single" w:sz="4" w:space="0" w:color="auto"/>
            </w:tcBorders>
            <w:shd w:val="clear" w:color="auto" w:fill="auto"/>
            <w:hideMark/>
          </w:tcPr>
          <w:p w:rsidR="002D647F" w:rsidRPr="008603B4" w:rsidRDefault="002D647F" w:rsidP="00506508">
            <w:pPr>
              <w:ind w:left="-43"/>
              <w:rPr>
                <w:color w:val="000000"/>
                <w:sz w:val="17"/>
                <w:szCs w:val="17"/>
                <w:lang w:val="ru-RU"/>
              </w:rPr>
            </w:pPr>
            <w:r>
              <w:rPr>
                <w:color w:val="000000"/>
                <w:sz w:val="17"/>
                <w:szCs w:val="17"/>
                <w:lang w:val="ru-RU"/>
              </w:rPr>
              <w:t>Размер</w:t>
            </w:r>
            <w:r w:rsidRPr="008603B4">
              <w:rPr>
                <w:color w:val="000000"/>
                <w:sz w:val="17"/>
                <w:szCs w:val="17"/>
                <w:lang w:val="ru-RU"/>
              </w:rPr>
              <w:t xml:space="preserve"> </w:t>
            </w:r>
            <w:r>
              <w:rPr>
                <w:color w:val="000000"/>
                <w:sz w:val="17"/>
                <w:szCs w:val="17"/>
                <w:lang w:val="ru-RU"/>
              </w:rPr>
              <w:t>экономии</w:t>
            </w:r>
            <w:r w:rsidRPr="008603B4">
              <w:rPr>
                <w:color w:val="000000"/>
                <w:sz w:val="17"/>
                <w:szCs w:val="17"/>
                <w:lang w:val="ru-RU"/>
              </w:rPr>
              <w:t xml:space="preserve">, </w:t>
            </w:r>
            <w:r>
              <w:rPr>
                <w:color w:val="000000"/>
                <w:sz w:val="17"/>
                <w:szCs w:val="17"/>
                <w:lang w:val="ru-RU"/>
              </w:rPr>
              <w:t>достигнутой</w:t>
            </w:r>
            <w:r w:rsidRPr="008603B4">
              <w:rPr>
                <w:color w:val="000000"/>
                <w:sz w:val="17"/>
                <w:szCs w:val="17"/>
                <w:lang w:val="ru-RU"/>
              </w:rPr>
              <w:t xml:space="preserve"> </w:t>
            </w:r>
            <w:r>
              <w:rPr>
                <w:color w:val="000000"/>
                <w:sz w:val="17"/>
                <w:szCs w:val="17"/>
                <w:lang w:val="ru-RU"/>
              </w:rPr>
              <w:t>в</w:t>
            </w:r>
            <w:r w:rsidRPr="008603B4">
              <w:rPr>
                <w:color w:val="000000"/>
                <w:sz w:val="17"/>
                <w:szCs w:val="17"/>
                <w:lang w:val="ru-RU"/>
              </w:rPr>
              <w:t xml:space="preserve"> 2014 </w:t>
            </w:r>
            <w:r>
              <w:rPr>
                <w:color w:val="000000"/>
                <w:sz w:val="17"/>
                <w:szCs w:val="17"/>
                <w:lang w:val="ru-RU"/>
              </w:rPr>
              <w:t>г</w:t>
            </w:r>
            <w:r w:rsidRPr="008603B4">
              <w:rPr>
                <w:color w:val="000000"/>
                <w:sz w:val="17"/>
                <w:szCs w:val="17"/>
                <w:lang w:val="ru-RU"/>
              </w:rPr>
              <w:t>.,</w:t>
            </w:r>
            <w:r>
              <w:rPr>
                <w:color w:val="000000"/>
                <w:sz w:val="17"/>
                <w:szCs w:val="17"/>
                <w:lang w:val="ru-RU"/>
              </w:rPr>
              <w:t xml:space="preserve"> был несколько увеличен в 2015 г.</w:t>
            </w:r>
          </w:p>
        </w:tc>
      </w:tr>
      <w:tr w:rsidR="00506508" w:rsidRPr="005C6ABD" w:rsidTr="00506508">
        <w:trPr>
          <w:trHeight w:val="1283"/>
        </w:trPr>
        <w:tc>
          <w:tcPr>
            <w:tcW w:w="1014" w:type="pct"/>
            <w:tcBorders>
              <w:top w:val="nil"/>
              <w:left w:val="single" w:sz="4" w:space="0" w:color="auto"/>
              <w:bottom w:val="single" w:sz="4" w:space="0" w:color="auto"/>
              <w:right w:val="single" w:sz="4" w:space="0" w:color="auto"/>
            </w:tcBorders>
            <w:shd w:val="clear" w:color="auto" w:fill="auto"/>
            <w:hideMark/>
          </w:tcPr>
          <w:p w:rsidR="002D647F" w:rsidRPr="00506508" w:rsidRDefault="002D647F" w:rsidP="002D647F">
            <w:pPr>
              <w:rPr>
                <w:color w:val="000000"/>
                <w:sz w:val="17"/>
                <w:szCs w:val="17"/>
                <w:lang w:val="ru-RU"/>
              </w:rPr>
            </w:pPr>
            <w:r>
              <w:rPr>
                <w:color w:val="000000"/>
                <w:sz w:val="17"/>
                <w:szCs w:val="17"/>
                <w:lang w:val="ru-RU"/>
              </w:rPr>
              <w:t>Внедрение</w:t>
            </w:r>
            <w:r w:rsidRPr="008603B4">
              <w:rPr>
                <w:color w:val="000000"/>
                <w:sz w:val="17"/>
                <w:szCs w:val="17"/>
                <w:lang w:val="ru-RU"/>
              </w:rPr>
              <w:t xml:space="preserve"> систем</w:t>
            </w:r>
            <w:r>
              <w:rPr>
                <w:color w:val="000000"/>
                <w:sz w:val="17"/>
                <w:szCs w:val="17"/>
                <w:lang w:val="ru-RU"/>
              </w:rPr>
              <w:t>ы</w:t>
            </w:r>
            <w:r w:rsidRPr="008603B4">
              <w:rPr>
                <w:color w:val="000000"/>
                <w:sz w:val="17"/>
                <w:szCs w:val="17"/>
                <w:lang w:val="ru-RU"/>
              </w:rPr>
              <w:t xml:space="preserve"> управления мобильными устройствами (МДМ), </w:t>
            </w:r>
            <w:r>
              <w:rPr>
                <w:color w:val="000000"/>
                <w:sz w:val="17"/>
                <w:szCs w:val="17"/>
                <w:lang w:val="ru-RU"/>
              </w:rPr>
              <w:t>позволяющей</w:t>
            </w:r>
            <w:r w:rsidRPr="008603B4">
              <w:rPr>
                <w:color w:val="000000"/>
                <w:sz w:val="17"/>
                <w:szCs w:val="17"/>
                <w:lang w:val="ru-RU"/>
              </w:rPr>
              <w:t xml:space="preserve"> </w:t>
            </w:r>
            <w:r>
              <w:rPr>
                <w:color w:val="000000"/>
                <w:sz w:val="17"/>
                <w:szCs w:val="17"/>
                <w:lang w:val="ru-RU"/>
              </w:rPr>
              <w:t xml:space="preserve">обеспечить предложение </w:t>
            </w:r>
            <w:r w:rsidRPr="008603B4">
              <w:rPr>
                <w:color w:val="000000"/>
                <w:sz w:val="17"/>
                <w:szCs w:val="17"/>
                <w:lang w:val="ru-RU"/>
              </w:rPr>
              <w:t xml:space="preserve">более полного комплекса услуг при снижении затрат. </w:t>
            </w:r>
            <w:r w:rsidRPr="00506508">
              <w:rPr>
                <w:color w:val="000000"/>
                <w:sz w:val="17"/>
                <w:szCs w:val="17"/>
                <w:lang w:val="ru-RU"/>
              </w:rPr>
              <w:t>(</w:t>
            </w:r>
            <w:r>
              <w:rPr>
                <w:color w:val="000000"/>
                <w:sz w:val="17"/>
                <w:szCs w:val="17"/>
                <w:lang w:val="ru-RU"/>
              </w:rPr>
              <w:t xml:space="preserve">Служебная инструкция </w:t>
            </w:r>
            <w:r w:rsidRPr="00506508">
              <w:rPr>
                <w:color w:val="000000"/>
                <w:sz w:val="17"/>
                <w:szCs w:val="17"/>
                <w:lang w:val="ru-RU"/>
              </w:rPr>
              <w:t>17/2014)</w:t>
            </w:r>
          </w:p>
        </w:tc>
        <w:tc>
          <w:tcPr>
            <w:tcW w:w="589"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112</w:t>
            </w:r>
            <w:r>
              <w:rPr>
                <w:color w:val="000000"/>
                <w:sz w:val="17"/>
                <w:szCs w:val="17"/>
                <w:lang w:val="ru-RU"/>
              </w:rPr>
              <w:t xml:space="preserve"> </w:t>
            </w:r>
            <w:r w:rsidRPr="00303E4F">
              <w:rPr>
                <w:color w:val="000000"/>
                <w:sz w:val="17"/>
                <w:szCs w:val="17"/>
              </w:rPr>
              <w:t>691</w:t>
            </w:r>
          </w:p>
        </w:tc>
        <w:tc>
          <w:tcPr>
            <w:tcW w:w="530"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 277</w:t>
            </w:r>
            <w:r>
              <w:rPr>
                <w:color w:val="000000"/>
                <w:sz w:val="17"/>
                <w:szCs w:val="17"/>
                <w:lang w:val="ru-RU"/>
              </w:rPr>
              <w:t xml:space="preserve"> </w:t>
            </w:r>
            <w:r w:rsidRPr="00303E4F">
              <w:rPr>
                <w:color w:val="000000"/>
                <w:sz w:val="17"/>
                <w:szCs w:val="17"/>
              </w:rPr>
              <w:t>540</w:t>
            </w:r>
          </w:p>
        </w:tc>
        <w:tc>
          <w:tcPr>
            <w:tcW w:w="813" w:type="pct"/>
            <w:tcBorders>
              <w:top w:val="nil"/>
              <w:left w:val="nil"/>
              <w:bottom w:val="single" w:sz="4" w:space="0" w:color="auto"/>
              <w:right w:val="single" w:sz="4" w:space="0" w:color="auto"/>
            </w:tcBorders>
            <w:shd w:val="clear" w:color="auto" w:fill="auto"/>
            <w:hideMark/>
          </w:tcPr>
          <w:p w:rsidR="002D647F" w:rsidRPr="00826727" w:rsidRDefault="002D647F" w:rsidP="00293714">
            <w:pPr>
              <w:rPr>
                <w:color w:val="000000"/>
                <w:sz w:val="17"/>
                <w:szCs w:val="17"/>
                <w:lang w:val="ru-RU"/>
              </w:rPr>
            </w:pPr>
            <w:r>
              <w:rPr>
                <w:color w:val="000000"/>
                <w:sz w:val="17"/>
                <w:szCs w:val="17"/>
                <w:lang w:val="ru-RU"/>
              </w:rPr>
              <w:t>Снижение</w:t>
            </w:r>
            <w:r w:rsidRPr="00826727">
              <w:rPr>
                <w:color w:val="000000"/>
                <w:sz w:val="17"/>
                <w:szCs w:val="17"/>
                <w:lang w:val="ru-RU"/>
              </w:rPr>
              <w:t xml:space="preserve"> </w:t>
            </w:r>
            <w:r>
              <w:rPr>
                <w:color w:val="000000"/>
                <w:sz w:val="17"/>
                <w:szCs w:val="17"/>
                <w:lang w:val="ru-RU"/>
              </w:rPr>
              <w:t>среднемесяч</w:t>
            </w:r>
            <w:r w:rsidRPr="00826727">
              <w:rPr>
                <w:color w:val="000000"/>
                <w:sz w:val="17"/>
                <w:szCs w:val="17"/>
                <w:lang w:val="ru-RU"/>
              </w:rPr>
              <w:t>-</w:t>
            </w:r>
            <w:r>
              <w:rPr>
                <w:color w:val="000000"/>
                <w:sz w:val="17"/>
                <w:szCs w:val="17"/>
                <w:lang w:val="ru-RU"/>
              </w:rPr>
              <w:t>ных</w:t>
            </w:r>
            <w:r w:rsidRPr="00826727">
              <w:rPr>
                <w:color w:val="000000"/>
                <w:sz w:val="17"/>
                <w:szCs w:val="17"/>
                <w:lang w:val="ru-RU"/>
              </w:rPr>
              <w:t xml:space="preserve">  </w:t>
            </w:r>
            <w:r>
              <w:rPr>
                <w:color w:val="000000"/>
                <w:sz w:val="17"/>
                <w:szCs w:val="17"/>
                <w:lang w:val="ru-RU"/>
              </w:rPr>
              <w:t>расходов</w:t>
            </w:r>
            <w:r w:rsidRPr="00826727">
              <w:rPr>
                <w:color w:val="000000"/>
                <w:sz w:val="17"/>
                <w:szCs w:val="17"/>
                <w:lang w:val="ru-RU"/>
              </w:rPr>
              <w:t xml:space="preserve"> </w:t>
            </w:r>
            <w:r>
              <w:rPr>
                <w:color w:val="000000"/>
                <w:sz w:val="17"/>
                <w:szCs w:val="17"/>
                <w:lang w:val="ru-RU"/>
              </w:rPr>
              <w:t>на</w:t>
            </w:r>
            <w:r w:rsidRPr="00826727">
              <w:rPr>
                <w:color w:val="000000"/>
                <w:sz w:val="17"/>
                <w:szCs w:val="17"/>
                <w:lang w:val="ru-RU"/>
              </w:rPr>
              <w:t xml:space="preserve"> </w:t>
            </w:r>
            <w:r>
              <w:rPr>
                <w:color w:val="000000"/>
                <w:sz w:val="17"/>
                <w:szCs w:val="17"/>
                <w:lang w:val="ru-RU"/>
              </w:rPr>
              <w:t>одно устройство</w:t>
            </w:r>
            <w:r w:rsidRPr="00826727">
              <w:rPr>
                <w:color w:val="000000"/>
                <w:sz w:val="17"/>
                <w:szCs w:val="17"/>
                <w:lang w:val="ru-RU"/>
              </w:rPr>
              <w:t xml:space="preserve"> </w:t>
            </w:r>
            <w:r>
              <w:rPr>
                <w:color w:val="000000"/>
                <w:sz w:val="17"/>
                <w:szCs w:val="17"/>
                <w:lang w:val="ru-RU"/>
              </w:rPr>
              <w:t>со</w:t>
            </w:r>
            <w:r w:rsidRPr="00826727">
              <w:rPr>
                <w:color w:val="000000"/>
                <w:sz w:val="17"/>
                <w:szCs w:val="17"/>
                <w:lang w:val="ru-RU"/>
              </w:rPr>
              <w:t xml:space="preserve"> 177</w:t>
            </w:r>
            <w:r w:rsidR="00293714">
              <w:rPr>
                <w:color w:val="000000"/>
                <w:sz w:val="17"/>
                <w:szCs w:val="17"/>
                <w:lang w:val="ru-RU"/>
              </w:rPr>
              <w:t> </w:t>
            </w:r>
            <w:r>
              <w:rPr>
                <w:color w:val="000000"/>
                <w:sz w:val="17"/>
                <w:szCs w:val="17"/>
                <w:lang w:val="ru-RU"/>
              </w:rPr>
              <w:t>шв</w:t>
            </w:r>
            <w:r w:rsidRPr="00826727">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826727">
              <w:rPr>
                <w:color w:val="000000"/>
                <w:sz w:val="17"/>
                <w:szCs w:val="17"/>
                <w:lang w:val="ru-RU"/>
              </w:rPr>
              <w:t xml:space="preserve"> </w:t>
            </w:r>
            <w:r>
              <w:rPr>
                <w:color w:val="000000"/>
                <w:sz w:val="17"/>
                <w:szCs w:val="17"/>
                <w:lang w:val="ru-RU"/>
              </w:rPr>
              <w:t>в</w:t>
            </w:r>
            <w:r w:rsidRPr="00826727">
              <w:rPr>
                <w:color w:val="000000"/>
                <w:sz w:val="17"/>
                <w:szCs w:val="17"/>
                <w:lang w:val="ru-RU"/>
              </w:rPr>
              <w:t xml:space="preserve"> 2013 </w:t>
            </w:r>
            <w:r>
              <w:rPr>
                <w:color w:val="000000"/>
                <w:sz w:val="17"/>
                <w:szCs w:val="17"/>
                <w:lang w:val="ru-RU"/>
              </w:rPr>
              <w:t>г</w:t>
            </w:r>
            <w:r w:rsidRPr="00826727">
              <w:rPr>
                <w:color w:val="000000"/>
                <w:sz w:val="17"/>
                <w:szCs w:val="17"/>
                <w:lang w:val="ru-RU"/>
              </w:rPr>
              <w:t xml:space="preserve">. </w:t>
            </w:r>
            <w:r>
              <w:rPr>
                <w:color w:val="000000"/>
                <w:sz w:val="17"/>
                <w:szCs w:val="17"/>
                <w:lang w:val="ru-RU"/>
              </w:rPr>
              <w:t>до</w:t>
            </w:r>
            <w:r w:rsidRPr="00826727">
              <w:rPr>
                <w:color w:val="000000"/>
                <w:sz w:val="17"/>
                <w:szCs w:val="17"/>
                <w:lang w:val="ru-RU"/>
              </w:rPr>
              <w:t xml:space="preserve"> 111</w:t>
            </w:r>
            <w:r w:rsidR="00293714">
              <w:rPr>
                <w:color w:val="000000"/>
                <w:sz w:val="17"/>
                <w:szCs w:val="17"/>
                <w:lang w:val="ru-RU"/>
              </w:rPr>
              <w:t> </w:t>
            </w:r>
            <w:r>
              <w:rPr>
                <w:color w:val="000000"/>
                <w:sz w:val="17"/>
                <w:szCs w:val="17"/>
                <w:lang w:val="ru-RU"/>
              </w:rPr>
              <w:t>шв</w:t>
            </w:r>
            <w:r w:rsidRPr="00826727">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826727">
              <w:rPr>
                <w:color w:val="000000"/>
                <w:sz w:val="17"/>
                <w:szCs w:val="17"/>
                <w:lang w:val="ru-RU"/>
              </w:rPr>
              <w:t xml:space="preserve"> </w:t>
            </w:r>
            <w:r>
              <w:rPr>
                <w:color w:val="000000"/>
                <w:sz w:val="17"/>
                <w:szCs w:val="17"/>
                <w:lang w:val="ru-RU"/>
              </w:rPr>
              <w:t>в</w:t>
            </w:r>
            <w:r w:rsidRPr="00826727">
              <w:rPr>
                <w:color w:val="000000"/>
                <w:sz w:val="17"/>
                <w:szCs w:val="17"/>
                <w:lang w:val="ru-RU"/>
              </w:rPr>
              <w:t xml:space="preserve"> 2014 </w:t>
            </w:r>
            <w:r>
              <w:rPr>
                <w:color w:val="000000"/>
                <w:sz w:val="17"/>
                <w:szCs w:val="17"/>
                <w:lang w:val="ru-RU"/>
              </w:rPr>
              <w:t>г</w:t>
            </w:r>
            <w:r w:rsidRPr="00826727">
              <w:rPr>
                <w:color w:val="000000"/>
                <w:sz w:val="17"/>
                <w:szCs w:val="17"/>
                <w:lang w:val="ru-RU"/>
              </w:rPr>
              <w:t>. (</w:t>
            </w:r>
            <w:r>
              <w:rPr>
                <w:color w:val="000000"/>
                <w:sz w:val="17"/>
                <w:szCs w:val="17"/>
                <w:lang w:val="ru-RU"/>
              </w:rPr>
              <w:t>на</w:t>
            </w:r>
            <w:r w:rsidR="00293714">
              <w:rPr>
                <w:color w:val="000000"/>
                <w:sz w:val="17"/>
                <w:szCs w:val="17"/>
                <w:lang w:val="ru-RU"/>
              </w:rPr>
              <w:t> </w:t>
            </w:r>
            <w:r w:rsidRPr="00826727">
              <w:rPr>
                <w:color w:val="000000"/>
                <w:sz w:val="17"/>
                <w:szCs w:val="17"/>
                <w:lang w:val="ru-RU"/>
              </w:rPr>
              <w:t>37%</w:t>
            </w:r>
            <w:r>
              <w:rPr>
                <w:color w:val="000000"/>
                <w:sz w:val="17"/>
                <w:szCs w:val="17"/>
                <w:lang w:val="ru-RU"/>
              </w:rPr>
              <w:t>)</w:t>
            </w:r>
          </w:p>
        </w:tc>
        <w:tc>
          <w:tcPr>
            <w:tcW w:w="871" w:type="pct"/>
            <w:tcBorders>
              <w:top w:val="nil"/>
              <w:left w:val="nil"/>
              <w:bottom w:val="single" w:sz="4" w:space="0" w:color="auto"/>
              <w:right w:val="single" w:sz="4" w:space="0" w:color="auto"/>
            </w:tcBorders>
            <w:shd w:val="clear" w:color="auto" w:fill="auto"/>
            <w:hideMark/>
          </w:tcPr>
          <w:p w:rsidR="002D647F" w:rsidRPr="00826727" w:rsidRDefault="002D647F" w:rsidP="00293714">
            <w:pPr>
              <w:rPr>
                <w:color w:val="000000"/>
                <w:sz w:val="17"/>
                <w:szCs w:val="17"/>
                <w:lang w:val="ru-RU"/>
              </w:rPr>
            </w:pPr>
            <w:r>
              <w:rPr>
                <w:color w:val="000000"/>
                <w:sz w:val="17"/>
                <w:szCs w:val="17"/>
                <w:lang w:val="ru-RU"/>
              </w:rPr>
              <w:t>Повышение</w:t>
            </w:r>
            <w:r w:rsidRPr="00826727">
              <w:rPr>
                <w:color w:val="000000"/>
                <w:sz w:val="17"/>
                <w:szCs w:val="17"/>
                <w:lang w:val="ru-RU"/>
              </w:rPr>
              <w:t xml:space="preserve"> среднемесячных  </w:t>
            </w:r>
            <w:r>
              <w:rPr>
                <w:color w:val="000000"/>
                <w:sz w:val="17"/>
                <w:szCs w:val="17"/>
                <w:lang w:val="ru-RU"/>
              </w:rPr>
              <w:t>расходов</w:t>
            </w:r>
            <w:r w:rsidRPr="00826727">
              <w:rPr>
                <w:color w:val="000000"/>
                <w:sz w:val="17"/>
                <w:szCs w:val="17"/>
                <w:lang w:val="ru-RU"/>
              </w:rPr>
              <w:t xml:space="preserve"> на</w:t>
            </w:r>
            <w:r>
              <w:rPr>
                <w:color w:val="000000"/>
                <w:sz w:val="17"/>
                <w:szCs w:val="17"/>
                <w:lang w:val="ru-RU"/>
              </w:rPr>
              <w:t xml:space="preserve"> одно</w:t>
            </w:r>
            <w:r w:rsidRPr="00826727">
              <w:rPr>
                <w:color w:val="000000"/>
                <w:sz w:val="17"/>
                <w:szCs w:val="17"/>
                <w:lang w:val="ru-RU"/>
              </w:rPr>
              <w:t xml:space="preserve"> устройство со 111</w:t>
            </w:r>
            <w:r w:rsidR="00293714">
              <w:rPr>
                <w:color w:val="000000"/>
                <w:sz w:val="17"/>
                <w:szCs w:val="17"/>
                <w:lang w:val="ru-RU"/>
              </w:rPr>
              <w:t> </w:t>
            </w:r>
            <w:r w:rsidRPr="00826727">
              <w:rPr>
                <w:color w:val="000000"/>
                <w:sz w:val="17"/>
                <w:szCs w:val="17"/>
                <w:lang w:val="ru-RU"/>
              </w:rPr>
              <w:t>шв. фр</w:t>
            </w:r>
            <w:r w:rsidR="00293714">
              <w:rPr>
                <w:color w:val="000000"/>
                <w:sz w:val="17"/>
                <w:szCs w:val="17"/>
                <w:lang w:val="ru-RU"/>
              </w:rPr>
              <w:t>.</w:t>
            </w:r>
            <w:r>
              <w:rPr>
                <w:color w:val="000000"/>
                <w:sz w:val="17"/>
                <w:szCs w:val="17"/>
                <w:lang w:val="ru-RU"/>
              </w:rPr>
              <w:t xml:space="preserve"> в</w:t>
            </w:r>
            <w:r w:rsidRPr="00826727">
              <w:rPr>
                <w:color w:val="000000"/>
                <w:sz w:val="17"/>
                <w:szCs w:val="17"/>
                <w:lang w:val="ru-RU"/>
              </w:rPr>
              <w:t xml:space="preserve"> 2014</w:t>
            </w:r>
            <w:r>
              <w:rPr>
                <w:color w:val="000000"/>
                <w:sz w:val="17"/>
                <w:szCs w:val="17"/>
                <w:lang w:val="ru-RU"/>
              </w:rPr>
              <w:t xml:space="preserve"> г. до</w:t>
            </w:r>
            <w:r w:rsidRPr="00826727">
              <w:rPr>
                <w:color w:val="000000"/>
                <w:sz w:val="17"/>
                <w:szCs w:val="17"/>
                <w:lang w:val="ru-RU"/>
              </w:rPr>
              <w:t xml:space="preserve"> 115</w:t>
            </w:r>
            <w:r w:rsidR="00293714">
              <w:rPr>
                <w:color w:val="000000"/>
                <w:sz w:val="17"/>
                <w:szCs w:val="17"/>
                <w:lang w:val="ru-RU"/>
              </w:rPr>
              <w:t> </w:t>
            </w:r>
            <w:r w:rsidRPr="00826727">
              <w:rPr>
                <w:color w:val="000000"/>
                <w:sz w:val="17"/>
                <w:szCs w:val="17"/>
                <w:lang w:val="ru-RU"/>
              </w:rPr>
              <w:t>шв. фр</w:t>
            </w:r>
            <w:r w:rsidR="00293714">
              <w:rPr>
                <w:color w:val="000000"/>
                <w:sz w:val="17"/>
                <w:szCs w:val="17"/>
                <w:lang w:val="ru-RU"/>
              </w:rPr>
              <w:t>.</w:t>
            </w:r>
            <w:r>
              <w:rPr>
                <w:color w:val="000000"/>
                <w:sz w:val="17"/>
                <w:szCs w:val="17"/>
                <w:lang w:val="ru-RU"/>
              </w:rPr>
              <w:t xml:space="preserve"> в</w:t>
            </w:r>
            <w:r w:rsidRPr="00826727">
              <w:rPr>
                <w:color w:val="000000"/>
                <w:sz w:val="17"/>
                <w:szCs w:val="17"/>
                <w:lang w:val="ru-RU"/>
              </w:rPr>
              <w:t xml:space="preserve"> 2015</w:t>
            </w:r>
            <w:r>
              <w:rPr>
                <w:color w:val="000000"/>
                <w:sz w:val="17"/>
                <w:szCs w:val="17"/>
                <w:lang w:val="ru-RU"/>
              </w:rPr>
              <w:t xml:space="preserve"> г. </w:t>
            </w:r>
            <w:r w:rsidRPr="002D647F">
              <w:rPr>
                <w:color w:val="000000"/>
                <w:sz w:val="17"/>
                <w:szCs w:val="17"/>
                <w:lang w:val="ru-RU"/>
              </w:rPr>
              <w:t>(</w:t>
            </w:r>
            <w:r>
              <w:rPr>
                <w:color w:val="000000"/>
                <w:sz w:val="17"/>
                <w:szCs w:val="17"/>
                <w:lang w:val="ru-RU"/>
              </w:rPr>
              <w:t>на</w:t>
            </w:r>
            <w:r w:rsidR="00293714">
              <w:rPr>
                <w:color w:val="000000"/>
                <w:sz w:val="17"/>
                <w:szCs w:val="17"/>
                <w:lang w:val="ru-RU"/>
              </w:rPr>
              <w:t> </w:t>
            </w:r>
            <w:r w:rsidRPr="002D647F">
              <w:rPr>
                <w:color w:val="000000"/>
                <w:sz w:val="17"/>
                <w:szCs w:val="17"/>
                <w:lang w:val="ru-RU"/>
              </w:rPr>
              <w:t xml:space="preserve">3.6%).  </w:t>
            </w:r>
            <w:r>
              <w:rPr>
                <w:color w:val="000000"/>
                <w:sz w:val="17"/>
                <w:szCs w:val="17"/>
                <w:lang w:val="ru-RU"/>
              </w:rPr>
              <w:t>С</w:t>
            </w:r>
            <w:r w:rsidRPr="00826727">
              <w:rPr>
                <w:color w:val="000000"/>
                <w:sz w:val="17"/>
                <w:szCs w:val="17"/>
                <w:lang w:val="ru-RU"/>
              </w:rPr>
              <w:t>реднемесячны</w:t>
            </w:r>
            <w:r>
              <w:rPr>
                <w:color w:val="000000"/>
                <w:sz w:val="17"/>
                <w:szCs w:val="17"/>
                <w:lang w:val="ru-RU"/>
              </w:rPr>
              <w:t>е</w:t>
            </w:r>
            <w:r w:rsidRPr="00826727">
              <w:rPr>
                <w:color w:val="000000"/>
                <w:sz w:val="17"/>
                <w:szCs w:val="17"/>
                <w:lang w:val="ru-RU"/>
              </w:rPr>
              <w:t xml:space="preserve">  </w:t>
            </w:r>
            <w:r>
              <w:rPr>
                <w:color w:val="000000"/>
                <w:sz w:val="17"/>
                <w:szCs w:val="17"/>
                <w:lang w:val="ru-RU"/>
              </w:rPr>
              <w:t>расходы</w:t>
            </w:r>
            <w:r w:rsidRPr="00826727">
              <w:rPr>
                <w:color w:val="000000"/>
                <w:sz w:val="17"/>
                <w:szCs w:val="17"/>
                <w:lang w:val="ru-RU"/>
              </w:rPr>
              <w:t xml:space="preserve"> </w:t>
            </w:r>
            <w:r>
              <w:rPr>
                <w:color w:val="000000"/>
                <w:sz w:val="17"/>
                <w:szCs w:val="17"/>
                <w:lang w:val="ru-RU"/>
              </w:rPr>
              <w:t>в</w:t>
            </w:r>
            <w:r w:rsidRPr="00826727">
              <w:rPr>
                <w:color w:val="000000"/>
                <w:sz w:val="17"/>
                <w:szCs w:val="17"/>
                <w:lang w:val="ru-RU"/>
              </w:rPr>
              <w:t xml:space="preserve"> 2015 </w:t>
            </w:r>
            <w:r>
              <w:rPr>
                <w:color w:val="000000"/>
                <w:sz w:val="17"/>
                <w:szCs w:val="17"/>
                <w:lang w:val="ru-RU"/>
              </w:rPr>
              <w:t>г</w:t>
            </w:r>
            <w:r w:rsidRPr="00826727">
              <w:rPr>
                <w:color w:val="000000"/>
                <w:sz w:val="17"/>
                <w:szCs w:val="17"/>
                <w:lang w:val="ru-RU"/>
              </w:rPr>
              <w:t>.</w:t>
            </w:r>
            <w:r>
              <w:rPr>
                <w:color w:val="000000"/>
                <w:sz w:val="17"/>
                <w:szCs w:val="17"/>
                <w:lang w:val="ru-RU"/>
              </w:rPr>
              <w:t xml:space="preserve"> оставались значительно ниже уровня 2013 г.</w:t>
            </w:r>
          </w:p>
        </w:tc>
        <w:tc>
          <w:tcPr>
            <w:tcW w:w="1183" w:type="pct"/>
            <w:tcBorders>
              <w:top w:val="nil"/>
              <w:left w:val="nil"/>
              <w:bottom w:val="single" w:sz="4" w:space="0" w:color="auto"/>
              <w:right w:val="single" w:sz="4" w:space="0" w:color="auto"/>
            </w:tcBorders>
            <w:shd w:val="clear" w:color="auto" w:fill="auto"/>
            <w:hideMark/>
          </w:tcPr>
          <w:p w:rsidR="002D647F" w:rsidRPr="006C0E26" w:rsidRDefault="002D647F" w:rsidP="00506508">
            <w:pPr>
              <w:ind w:left="-43"/>
              <w:rPr>
                <w:color w:val="000000"/>
                <w:sz w:val="17"/>
                <w:szCs w:val="17"/>
                <w:lang w:val="ru-RU"/>
              </w:rPr>
            </w:pPr>
            <w:r>
              <w:rPr>
                <w:color w:val="000000"/>
                <w:sz w:val="17"/>
                <w:szCs w:val="17"/>
                <w:lang w:val="ru-RU"/>
              </w:rPr>
              <w:t>Совокупный</w:t>
            </w:r>
            <w:r w:rsidRPr="00826727">
              <w:rPr>
                <w:color w:val="000000"/>
                <w:sz w:val="17"/>
                <w:szCs w:val="17"/>
                <w:lang w:val="ru-RU"/>
              </w:rPr>
              <w:t xml:space="preserve"> </w:t>
            </w:r>
            <w:r>
              <w:rPr>
                <w:color w:val="000000"/>
                <w:sz w:val="17"/>
                <w:szCs w:val="17"/>
                <w:lang w:val="ru-RU"/>
              </w:rPr>
              <w:t>объем</w:t>
            </w:r>
            <w:r w:rsidRPr="00826727">
              <w:rPr>
                <w:color w:val="000000"/>
                <w:sz w:val="17"/>
                <w:szCs w:val="17"/>
                <w:lang w:val="ru-RU"/>
              </w:rPr>
              <w:t xml:space="preserve"> </w:t>
            </w:r>
            <w:r>
              <w:rPr>
                <w:color w:val="000000"/>
                <w:sz w:val="17"/>
                <w:szCs w:val="17"/>
                <w:lang w:val="ru-RU"/>
              </w:rPr>
              <w:t>расходов</w:t>
            </w:r>
            <w:r w:rsidRPr="00826727">
              <w:rPr>
                <w:color w:val="000000"/>
                <w:sz w:val="17"/>
                <w:szCs w:val="17"/>
                <w:lang w:val="ru-RU"/>
              </w:rPr>
              <w:t xml:space="preserve"> </w:t>
            </w:r>
            <w:r>
              <w:rPr>
                <w:color w:val="000000"/>
                <w:sz w:val="17"/>
                <w:szCs w:val="17"/>
                <w:lang w:val="ru-RU"/>
              </w:rPr>
              <w:t>в</w:t>
            </w:r>
            <w:r w:rsidRPr="00826727">
              <w:rPr>
                <w:color w:val="000000"/>
                <w:sz w:val="17"/>
                <w:szCs w:val="17"/>
                <w:lang w:val="ru-RU"/>
              </w:rPr>
              <w:t xml:space="preserve"> </w:t>
            </w:r>
            <w:r>
              <w:rPr>
                <w:color w:val="000000"/>
                <w:sz w:val="17"/>
                <w:szCs w:val="17"/>
                <w:lang w:val="ru-RU"/>
              </w:rPr>
              <w:t>связи</w:t>
            </w:r>
            <w:r w:rsidRPr="00826727">
              <w:rPr>
                <w:color w:val="000000"/>
                <w:sz w:val="17"/>
                <w:szCs w:val="17"/>
                <w:lang w:val="ru-RU"/>
              </w:rPr>
              <w:t xml:space="preserve"> </w:t>
            </w:r>
            <w:r>
              <w:rPr>
                <w:color w:val="000000"/>
                <w:sz w:val="17"/>
                <w:szCs w:val="17"/>
                <w:lang w:val="ru-RU"/>
              </w:rPr>
              <w:t>с</w:t>
            </w:r>
            <w:r w:rsidRPr="00826727">
              <w:rPr>
                <w:color w:val="000000"/>
                <w:sz w:val="17"/>
                <w:szCs w:val="17"/>
                <w:lang w:val="ru-RU"/>
              </w:rPr>
              <w:t xml:space="preserve"> </w:t>
            </w:r>
            <w:r>
              <w:rPr>
                <w:color w:val="000000"/>
                <w:sz w:val="17"/>
                <w:szCs w:val="17"/>
                <w:lang w:val="ru-RU"/>
              </w:rPr>
              <w:t>абонементом</w:t>
            </w:r>
            <w:r w:rsidRPr="00826727">
              <w:rPr>
                <w:color w:val="000000"/>
                <w:sz w:val="17"/>
                <w:szCs w:val="17"/>
                <w:lang w:val="ru-RU"/>
              </w:rPr>
              <w:t xml:space="preserve"> </w:t>
            </w:r>
            <w:r w:rsidRPr="00303E4F">
              <w:rPr>
                <w:color w:val="000000"/>
                <w:sz w:val="17"/>
                <w:szCs w:val="17"/>
              </w:rPr>
              <w:t>Swisscom</w:t>
            </w:r>
            <w:r w:rsidRPr="00826727">
              <w:rPr>
                <w:color w:val="000000"/>
                <w:sz w:val="17"/>
                <w:szCs w:val="17"/>
                <w:lang w:val="ru-RU"/>
              </w:rPr>
              <w:t xml:space="preserve"> </w:t>
            </w:r>
            <w:r>
              <w:rPr>
                <w:color w:val="000000"/>
                <w:sz w:val="17"/>
                <w:szCs w:val="17"/>
                <w:lang w:val="ru-RU"/>
              </w:rPr>
              <w:t>снизился</w:t>
            </w:r>
            <w:r w:rsidRPr="00826727">
              <w:rPr>
                <w:color w:val="000000"/>
                <w:sz w:val="17"/>
                <w:szCs w:val="17"/>
                <w:lang w:val="ru-RU"/>
              </w:rPr>
              <w:t xml:space="preserve"> </w:t>
            </w:r>
            <w:r>
              <w:rPr>
                <w:color w:val="000000"/>
                <w:sz w:val="17"/>
                <w:szCs w:val="17"/>
                <w:lang w:val="ru-RU"/>
              </w:rPr>
              <w:t>с</w:t>
            </w:r>
            <w:r w:rsidRPr="00826727">
              <w:rPr>
                <w:color w:val="000000"/>
                <w:sz w:val="17"/>
                <w:szCs w:val="17"/>
                <w:lang w:val="ru-RU"/>
              </w:rPr>
              <w:t xml:space="preserve"> 799</w:t>
            </w:r>
            <w:r w:rsidR="00293714">
              <w:rPr>
                <w:color w:val="000000"/>
                <w:sz w:val="17"/>
                <w:szCs w:val="17"/>
                <w:lang w:val="ru-RU"/>
              </w:rPr>
              <w:t> 815 </w:t>
            </w:r>
            <w:r>
              <w:rPr>
                <w:color w:val="000000"/>
                <w:sz w:val="17"/>
                <w:szCs w:val="17"/>
                <w:lang w:val="ru-RU"/>
              </w:rPr>
              <w:t>шв</w:t>
            </w:r>
            <w:r w:rsidRPr="00826727">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826727">
              <w:rPr>
                <w:color w:val="000000"/>
                <w:sz w:val="17"/>
                <w:szCs w:val="17"/>
                <w:lang w:val="ru-RU"/>
              </w:rPr>
              <w:t xml:space="preserve"> </w:t>
            </w:r>
            <w:r>
              <w:rPr>
                <w:color w:val="000000"/>
                <w:sz w:val="17"/>
                <w:szCs w:val="17"/>
                <w:lang w:val="ru-RU"/>
              </w:rPr>
              <w:t>в</w:t>
            </w:r>
            <w:r w:rsidRPr="00826727">
              <w:rPr>
                <w:color w:val="000000"/>
                <w:sz w:val="17"/>
                <w:szCs w:val="17"/>
                <w:lang w:val="ru-RU"/>
              </w:rPr>
              <w:t xml:space="preserve"> 2013 </w:t>
            </w:r>
            <w:r>
              <w:rPr>
                <w:color w:val="000000"/>
                <w:sz w:val="17"/>
                <w:szCs w:val="17"/>
                <w:lang w:val="ru-RU"/>
              </w:rPr>
              <w:t>г</w:t>
            </w:r>
            <w:r w:rsidRPr="00826727">
              <w:rPr>
                <w:color w:val="000000"/>
                <w:sz w:val="17"/>
                <w:szCs w:val="17"/>
                <w:lang w:val="ru-RU"/>
              </w:rPr>
              <w:t>. (374</w:t>
            </w:r>
            <w:r w:rsidR="00293714">
              <w:rPr>
                <w:color w:val="000000"/>
                <w:sz w:val="17"/>
                <w:szCs w:val="17"/>
                <w:lang w:val="ru-RU"/>
              </w:rPr>
              <w:t> </w:t>
            </w:r>
            <w:r>
              <w:rPr>
                <w:color w:val="000000"/>
                <w:sz w:val="17"/>
                <w:szCs w:val="17"/>
                <w:lang w:val="ru-RU"/>
              </w:rPr>
              <w:t>устройства на конец года</w:t>
            </w:r>
            <w:r w:rsidRPr="00826727">
              <w:rPr>
                <w:color w:val="000000"/>
                <w:sz w:val="17"/>
                <w:szCs w:val="17"/>
                <w:lang w:val="ru-RU"/>
              </w:rPr>
              <w:t xml:space="preserve">) </w:t>
            </w:r>
            <w:r w:rsidR="00293714">
              <w:rPr>
                <w:color w:val="000000"/>
                <w:sz w:val="17"/>
                <w:szCs w:val="17"/>
                <w:lang w:val="ru-RU"/>
              </w:rPr>
              <w:t>до 520 430 </w:t>
            </w:r>
            <w:r>
              <w:rPr>
                <w:color w:val="000000"/>
                <w:sz w:val="17"/>
                <w:szCs w:val="17"/>
                <w:lang w:val="ru-RU"/>
              </w:rPr>
              <w:t>шв</w:t>
            </w:r>
            <w:r w:rsidRPr="00826727">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826727">
              <w:rPr>
                <w:color w:val="000000"/>
                <w:sz w:val="17"/>
                <w:szCs w:val="17"/>
                <w:lang w:val="ru-RU"/>
              </w:rPr>
              <w:t xml:space="preserve"> </w:t>
            </w:r>
            <w:r>
              <w:rPr>
                <w:color w:val="000000"/>
                <w:sz w:val="17"/>
                <w:szCs w:val="17"/>
                <w:lang w:val="ru-RU"/>
              </w:rPr>
              <w:t>в</w:t>
            </w:r>
            <w:r w:rsidRPr="00826727">
              <w:rPr>
                <w:color w:val="000000"/>
                <w:sz w:val="17"/>
                <w:szCs w:val="17"/>
                <w:lang w:val="ru-RU"/>
              </w:rPr>
              <w:t xml:space="preserve"> 2014</w:t>
            </w:r>
            <w:r>
              <w:rPr>
                <w:color w:val="000000"/>
                <w:sz w:val="17"/>
                <w:szCs w:val="17"/>
                <w:lang w:val="ru-RU"/>
              </w:rPr>
              <w:t xml:space="preserve"> г.</w:t>
            </w:r>
            <w:r w:rsidR="00293714">
              <w:rPr>
                <w:color w:val="000000"/>
                <w:sz w:val="17"/>
                <w:szCs w:val="17"/>
                <w:lang w:val="ru-RU"/>
              </w:rPr>
              <w:t xml:space="preserve"> (404 </w:t>
            </w:r>
            <w:r w:rsidRPr="00826727">
              <w:rPr>
                <w:color w:val="000000"/>
                <w:sz w:val="17"/>
                <w:szCs w:val="17"/>
                <w:lang w:val="ru-RU"/>
              </w:rPr>
              <w:t xml:space="preserve">устройства на конец года).  </w:t>
            </w:r>
            <w:r>
              <w:rPr>
                <w:color w:val="000000"/>
                <w:sz w:val="17"/>
                <w:szCs w:val="17"/>
                <w:lang w:val="ru-RU"/>
              </w:rPr>
              <w:t>Единовременные</w:t>
            </w:r>
            <w:r w:rsidRPr="002D647F">
              <w:rPr>
                <w:color w:val="000000"/>
                <w:sz w:val="17"/>
                <w:szCs w:val="17"/>
                <w:lang w:val="ru-RU"/>
              </w:rPr>
              <w:t xml:space="preserve"> </w:t>
            </w:r>
            <w:r>
              <w:rPr>
                <w:color w:val="000000"/>
                <w:sz w:val="17"/>
                <w:szCs w:val="17"/>
                <w:lang w:val="ru-RU"/>
              </w:rPr>
              <w:t>расходы</w:t>
            </w:r>
            <w:r w:rsidRPr="002D647F">
              <w:rPr>
                <w:color w:val="000000"/>
                <w:sz w:val="17"/>
                <w:szCs w:val="17"/>
                <w:lang w:val="ru-RU"/>
              </w:rPr>
              <w:t xml:space="preserve"> </w:t>
            </w:r>
            <w:r>
              <w:rPr>
                <w:color w:val="000000"/>
                <w:sz w:val="17"/>
                <w:szCs w:val="17"/>
                <w:lang w:val="ru-RU"/>
              </w:rPr>
              <w:t>по</w:t>
            </w:r>
            <w:r w:rsidRPr="002D647F">
              <w:rPr>
                <w:color w:val="000000"/>
                <w:sz w:val="17"/>
                <w:szCs w:val="17"/>
                <w:lang w:val="ru-RU"/>
              </w:rPr>
              <w:t xml:space="preserve"> </w:t>
            </w:r>
            <w:r>
              <w:rPr>
                <w:color w:val="000000"/>
                <w:sz w:val="17"/>
                <w:szCs w:val="17"/>
                <w:lang w:val="ru-RU"/>
              </w:rPr>
              <w:t>проекту</w:t>
            </w:r>
            <w:r w:rsidRPr="002D647F">
              <w:rPr>
                <w:color w:val="000000"/>
                <w:sz w:val="17"/>
                <w:szCs w:val="17"/>
                <w:lang w:val="ru-RU"/>
              </w:rPr>
              <w:t xml:space="preserve"> </w:t>
            </w:r>
            <w:r>
              <w:rPr>
                <w:color w:val="000000"/>
                <w:sz w:val="17"/>
                <w:szCs w:val="17"/>
                <w:lang w:val="ru-RU"/>
              </w:rPr>
              <w:t>составили</w:t>
            </w:r>
            <w:r w:rsidRPr="002D647F">
              <w:rPr>
                <w:color w:val="000000"/>
                <w:sz w:val="17"/>
                <w:szCs w:val="17"/>
                <w:lang w:val="ru-RU"/>
              </w:rPr>
              <w:t xml:space="preserve"> </w:t>
            </w:r>
            <w:r>
              <w:rPr>
                <w:color w:val="000000"/>
                <w:sz w:val="17"/>
                <w:szCs w:val="17"/>
                <w:lang w:val="ru-RU"/>
              </w:rPr>
              <w:t>в</w:t>
            </w:r>
            <w:r w:rsidRPr="002D647F">
              <w:rPr>
                <w:color w:val="000000"/>
                <w:sz w:val="17"/>
                <w:szCs w:val="17"/>
                <w:lang w:val="ru-RU"/>
              </w:rPr>
              <w:t xml:space="preserve"> 2014 </w:t>
            </w:r>
            <w:r>
              <w:rPr>
                <w:color w:val="000000"/>
                <w:sz w:val="17"/>
                <w:szCs w:val="17"/>
                <w:lang w:val="ru-RU"/>
              </w:rPr>
              <w:t>г</w:t>
            </w:r>
            <w:r w:rsidRPr="002D647F">
              <w:rPr>
                <w:color w:val="000000"/>
                <w:sz w:val="17"/>
                <w:szCs w:val="17"/>
                <w:lang w:val="ru-RU"/>
              </w:rPr>
              <w:t xml:space="preserve">. </w:t>
            </w:r>
            <w:r w:rsidRPr="00502B48">
              <w:rPr>
                <w:color w:val="000000"/>
                <w:sz w:val="17"/>
                <w:szCs w:val="17"/>
                <w:lang w:val="ru-RU"/>
              </w:rPr>
              <w:t>166</w:t>
            </w:r>
            <w:r w:rsidR="00293714">
              <w:rPr>
                <w:color w:val="000000"/>
                <w:sz w:val="17"/>
                <w:szCs w:val="17"/>
                <w:lang w:val="ru-RU"/>
              </w:rPr>
              <w:t> 784 </w:t>
            </w:r>
            <w:r>
              <w:rPr>
                <w:color w:val="000000"/>
                <w:sz w:val="17"/>
                <w:szCs w:val="17"/>
                <w:lang w:val="ru-RU"/>
              </w:rPr>
              <w:t>шв</w:t>
            </w:r>
            <w:r w:rsidRPr="00502B48">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6C0E26">
              <w:rPr>
                <w:color w:val="000000"/>
                <w:sz w:val="17"/>
                <w:szCs w:val="17"/>
                <w:lang w:val="ru-RU"/>
              </w:rPr>
              <w:t xml:space="preserve"> (</w:t>
            </w:r>
            <w:r>
              <w:rPr>
                <w:color w:val="000000"/>
                <w:sz w:val="17"/>
                <w:szCs w:val="17"/>
                <w:lang w:val="ru-RU"/>
              </w:rPr>
              <w:t>новые</w:t>
            </w:r>
            <w:r w:rsidRPr="006C0E26">
              <w:rPr>
                <w:color w:val="000000"/>
                <w:sz w:val="17"/>
                <w:szCs w:val="17"/>
                <w:lang w:val="ru-RU"/>
              </w:rPr>
              <w:t xml:space="preserve"> </w:t>
            </w:r>
            <w:r>
              <w:rPr>
                <w:color w:val="000000"/>
                <w:sz w:val="17"/>
                <w:szCs w:val="17"/>
                <w:lang w:val="ru-RU"/>
              </w:rPr>
              <w:t>устройства</w:t>
            </w:r>
            <w:r w:rsidRPr="006C0E26">
              <w:rPr>
                <w:color w:val="000000"/>
                <w:sz w:val="17"/>
                <w:szCs w:val="17"/>
                <w:lang w:val="ru-RU"/>
              </w:rPr>
              <w:t xml:space="preserve">, </w:t>
            </w:r>
            <w:r>
              <w:rPr>
                <w:color w:val="000000"/>
                <w:sz w:val="17"/>
                <w:szCs w:val="17"/>
                <w:lang w:val="ru-RU"/>
              </w:rPr>
              <w:t>кредитовое</w:t>
            </w:r>
            <w:r w:rsidRPr="006C0E26">
              <w:rPr>
                <w:color w:val="000000"/>
                <w:sz w:val="17"/>
                <w:szCs w:val="17"/>
                <w:lang w:val="ru-RU"/>
              </w:rPr>
              <w:t xml:space="preserve"> </w:t>
            </w:r>
            <w:r>
              <w:rPr>
                <w:color w:val="000000"/>
                <w:sz w:val="17"/>
                <w:szCs w:val="17"/>
                <w:lang w:val="ru-RU"/>
              </w:rPr>
              <w:t>авизо</w:t>
            </w:r>
            <w:r w:rsidRPr="006C0E26">
              <w:rPr>
                <w:color w:val="000000"/>
                <w:sz w:val="17"/>
                <w:szCs w:val="17"/>
                <w:lang w:val="ru-RU"/>
              </w:rPr>
              <w:t xml:space="preserve"> </w:t>
            </w:r>
            <w:r w:rsidRPr="00303E4F">
              <w:rPr>
                <w:color w:val="000000"/>
                <w:sz w:val="17"/>
                <w:szCs w:val="17"/>
              </w:rPr>
              <w:t>Swisscom</w:t>
            </w:r>
            <w:r w:rsidRPr="006C0E26">
              <w:rPr>
                <w:color w:val="000000"/>
                <w:sz w:val="17"/>
                <w:szCs w:val="17"/>
                <w:lang w:val="ru-RU"/>
              </w:rPr>
              <w:t xml:space="preserve"> </w:t>
            </w:r>
            <w:r>
              <w:rPr>
                <w:color w:val="000000"/>
                <w:sz w:val="17"/>
                <w:szCs w:val="17"/>
                <w:lang w:val="ru-RU"/>
              </w:rPr>
              <w:t>на</w:t>
            </w:r>
            <w:r w:rsidRPr="006C0E26">
              <w:rPr>
                <w:color w:val="000000"/>
                <w:sz w:val="17"/>
                <w:szCs w:val="17"/>
                <w:lang w:val="ru-RU"/>
              </w:rPr>
              <w:t xml:space="preserve"> </w:t>
            </w:r>
            <w:r>
              <w:rPr>
                <w:color w:val="000000"/>
                <w:sz w:val="17"/>
                <w:szCs w:val="17"/>
                <w:lang w:val="ru-RU"/>
              </w:rPr>
              <w:t>закупку</w:t>
            </w:r>
            <w:r w:rsidRPr="006C0E26">
              <w:rPr>
                <w:color w:val="000000"/>
                <w:sz w:val="17"/>
                <w:szCs w:val="17"/>
                <w:lang w:val="ru-RU"/>
              </w:rPr>
              <w:t xml:space="preserve"> </w:t>
            </w:r>
            <w:r>
              <w:rPr>
                <w:color w:val="000000"/>
                <w:sz w:val="17"/>
                <w:szCs w:val="17"/>
                <w:lang w:val="ru-RU"/>
              </w:rPr>
              <w:t>устройств</w:t>
            </w:r>
            <w:r w:rsidRPr="006C0E26">
              <w:rPr>
                <w:color w:val="000000"/>
                <w:sz w:val="17"/>
                <w:szCs w:val="17"/>
                <w:lang w:val="ru-RU"/>
              </w:rPr>
              <w:t xml:space="preserve">, </w:t>
            </w:r>
            <w:r>
              <w:rPr>
                <w:color w:val="000000"/>
                <w:sz w:val="17"/>
                <w:szCs w:val="17"/>
                <w:lang w:val="ru-RU"/>
              </w:rPr>
              <w:t>лицензии</w:t>
            </w:r>
            <w:r w:rsidRPr="006C0E26">
              <w:rPr>
                <w:color w:val="000000"/>
                <w:sz w:val="17"/>
                <w:szCs w:val="17"/>
                <w:lang w:val="ru-RU"/>
              </w:rPr>
              <w:t xml:space="preserve"> </w:t>
            </w:r>
            <w:r>
              <w:rPr>
                <w:color w:val="000000"/>
                <w:sz w:val="17"/>
                <w:szCs w:val="17"/>
                <w:lang w:val="ru-RU"/>
              </w:rPr>
              <w:t>МДМ</w:t>
            </w:r>
            <w:r w:rsidRPr="006C0E26">
              <w:rPr>
                <w:color w:val="000000"/>
                <w:sz w:val="17"/>
                <w:szCs w:val="17"/>
                <w:lang w:val="ru-RU"/>
              </w:rPr>
              <w:t xml:space="preserve"> </w:t>
            </w:r>
            <w:r>
              <w:rPr>
                <w:color w:val="000000"/>
                <w:sz w:val="17"/>
                <w:szCs w:val="17"/>
                <w:lang w:val="ru-RU"/>
              </w:rPr>
              <w:t>и монтаж инфраструктуры МДМ)</w:t>
            </w:r>
            <w:r w:rsidRPr="006C0E26">
              <w:rPr>
                <w:color w:val="000000"/>
                <w:sz w:val="17"/>
                <w:szCs w:val="17"/>
                <w:lang w:val="ru-RU"/>
              </w:rPr>
              <w:t>.</w:t>
            </w:r>
            <w:r>
              <w:rPr>
                <w:color w:val="000000"/>
                <w:sz w:val="17"/>
                <w:szCs w:val="17"/>
                <w:lang w:val="ru-RU"/>
              </w:rPr>
              <w:t xml:space="preserve">  В</w:t>
            </w:r>
            <w:r w:rsidRPr="006C0E26">
              <w:rPr>
                <w:color w:val="000000"/>
                <w:sz w:val="17"/>
                <w:szCs w:val="17"/>
                <w:lang w:val="ru-RU"/>
              </w:rPr>
              <w:t xml:space="preserve"> 2015 </w:t>
            </w:r>
            <w:r>
              <w:rPr>
                <w:color w:val="000000"/>
                <w:sz w:val="17"/>
                <w:szCs w:val="17"/>
                <w:lang w:val="ru-RU"/>
              </w:rPr>
              <w:t>г</w:t>
            </w:r>
            <w:r w:rsidRPr="006C0E26">
              <w:rPr>
                <w:color w:val="000000"/>
                <w:sz w:val="17"/>
                <w:szCs w:val="17"/>
                <w:lang w:val="ru-RU"/>
              </w:rPr>
              <w:t xml:space="preserve">. </w:t>
            </w:r>
            <w:r>
              <w:rPr>
                <w:color w:val="000000"/>
                <w:sz w:val="17"/>
                <w:szCs w:val="17"/>
                <w:lang w:val="ru-RU"/>
              </w:rPr>
              <w:t>общий</w:t>
            </w:r>
            <w:r w:rsidRPr="006C0E26">
              <w:rPr>
                <w:color w:val="000000"/>
                <w:sz w:val="17"/>
                <w:szCs w:val="17"/>
                <w:lang w:val="ru-RU"/>
              </w:rPr>
              <w:t xml:space="preserve"> </w:t>
            </w:r>
            <w:r>
              <w:rPr>
                <w:color w:val="000000"/>
                <w:sz w:val="17"/>
                <w:szCs w:val="17"/>
                <w:lang w:val="ru-RU"/>
              </w:rPr>
              <w:t>объем</w:t>
            </w:r>
            <w:r w:rsidRPr="006C0E26">
              <w:rPr>
                <w:color w:val="000000"/>
                <w:sz w:val="17"/>
                <w:szCs w:val="17"/>
                <w:lang w:val="ru-RU"/>
              </w:rPr>
              <w:t xml:space="preserve"> </w:t>
            </w:r>
            <w:r>
              <w:rPr>
                <w:color w:val="000000"/>
                <w:sz w:val="17"/>
                <w:szCs w:val="17"/>
                <w:lang w:val="ru-RU"/>
              </w:rPr>
              <w:t>расходов</w:t>
            </w:r>
            <w:r w:rsidRPr="006C0E26">
              <w:rPr>
                <w:color w:val="000000"/>
                <w:sz w:val="17"/>
                <w:szCs w:val="17"/>
                <w:lang w:val="ru-RU"/>
              </w:rPr>
              <w:t xml:space="preserve"> </w:t>
            </w:r>
            <w:r>
              <w:rPr>
                <w:color w:val="000000"/>
                <w:sz w:val="17"/>
                <w:szCs w:val="17"/>
                <w:lang w:val="ru-RU"/>
              </w:rPr>
              <w:t>составил</w:t>
            </w:r>
            <w:r w:rsidRPr="006C0E26">
              <w:rPr>
                <w:color w:val="000000"/>
                <w:sz w:val="17"/>
                <w:szCs w:val="17"/>
                <w:lang w:val="ru-RU"/>
              </w:rPr>
              <w:t xml:space="preserve"> 522</w:t>
            </w:r>
            <w:r w:rsidR="00293714">
              <w:rPr>
                <w:color w:val="000000"/>
                <w:sz w:val="17"/>
                <w:szCs w:val="17"/>
                <w:lang w:val="ru-RU"/>
              </w:rPr>
              <w:t> </w:t>
            </w:r>
            <w:r w:rsidRPr="006C0E26">
              <w:rPr>
                <w:color w:val="000000"/>
                <w:sz w:val="17"/>
                <w:szCs w:val="17"/>
                <w:lang w:val="ru-RU"/>
              </w:rPr>
              <w:t>276</w:t>
            </w:r>
            <w:r w:rsidR="00293714">
              <w:rPr>
                <w:color w:val="000000"/>
                <w:sz w:val="17"/>
                <w:szCs w:val="17"/>
                <w:lang w:val="ru-RU"/>
              </w:rPr>
              <w:t> </w:t>
            </w:r>
            <w:r>
              <w:rPr>
                <w:color w:val="000000"/>
                <w:sz w:val="17"/>
                <w:szCs w:val="17"/>
                <w:lang w:val="ru-RU"/>
              </w:rPr>
              <w:t>шв</w:t>
            </w:r>
            <w:r w:rsidRPr="006C0E26">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6C0E26">
              <w:rPr>
                <w:color w:val="000000"/>
                <w:sz w:val="17"/>
                <w:szCs w:val="17"/>
                <w:lang w:val="ru-RU"/>
              </w:rPr>
              <w:t xml:space="preserve"> (364</w:t>
            </w:r>
            <w:r w:rsidR="00293714">
              <w:rPr>
                <w:color w:val="000000"/>
                <w:sz w:val="17"/>
                <w:szCs w:val="17"/>
                <w:lang w:val="ru-RU"/>
              </w:rPr>
              <w:t> </w:t>
            </w:r>
            <w:r>
              <w:rPr>
                <w:color w:val="000000"/>
                <w:sz w:val="17"/>
                <w:szCs w:val="17"/>
                <w:lang w:val="ru-RU"/>
              </w:rPr>
              <w:t>устройства на конец года</w:t>
            </w:r>
            <w:r w:rsidRPr="006C0E26">
              <w:rPr>
                <w:color w:val="000000"/>
                <w:sz w:val="17"/>
                <w:szCs w:val="17"/>
                <w:lang w:val="ru-RU"/>
              </w:rPr>
              <w:t>).</w:t>
            </w:r>
          </w:p>
          <w:p w:rsidR="002D647F" w:rsidRPr="006C0E26" w:rsidRDefault="002D647F" w:rsidP="00506508">
            <w:pPr>
              <w:ind w:left="-43"/>
              <w:rPr>
                <w:color w:val="000000"/>
                <w:sz w:val="17"/>
                <w:szCs w:val="17"/>
                <w:lang w:val="ru-RU"/>
              </w:rPr>
            </w:pPr>
          </w:p>
        </w:tc>
      </w:tr>
      <w:tr w:rsidR="00506508" w:rsidRPr="005C6ABD" w:rsidTr="00506508">
        <w:trPr>
          <w:trHeight w:val="1669"/>
        </w:trPr>
        <w:tc>
          <w:tcPr>
            <w:tcW w:w="1014" w:type="pct"/>
            <w:tcBorders>
              <w:top w:val="single" w:sz="4" w:space="0" w:color="auto"/>
              <w:left w:val="single" w:sz="4" w:space="0" w:color="auto"/>
              <w:bottom w:val="single" w:sz="4" w:space="0" w:color="auto"/>
              <w:right w:val="single" w:sz="4" w:space="0" w:color="auto"/>
            </w:tcBorders>
            <w:shd w:val="clear" w:color="auto" w:fill="auto"/>
          </w:tcPr>
          <w:p w:rsidR="002D647F" w:rsidRPr="006C0E26" w:rsidRDefault="002D647F" w:rsidP="002D647F">
            <w:pPr>
              <w:rPr>
                <w:color w:val="000000"/>
                <w:sz w:val="17"/>
                <w:szCs w:val="17"/>
                <w:lang w:val="ru-RU"/>
              </w:rPr>
            </w:pPr>
            <w:r>
              <w:rPr>
                <w:color w:val="000000"/>
                <w:sz w:val="17"/>
                <w:szCs w:val="17"/>
                <w:lang w:val="ru-RU"/>
              </w:rPr>
              <w:t>Внедрение</w:t>
            </w:r>
            <w:r w:rsidRPr="006C0E26">
              <w:rPr>
                <w:color w:val="000000"/>
                <w:sz w:val="17"/>
                <w:szCs w:val="17"/>
                <w:lang w:val="ru-RU"/>
              </w:rPr>
              <w:t xml:space="preserve"> </w:t>
            </w:r>
            <w:r>
              <w:rPr>
                <w:color w:val="000000"/>
                <w:sz w:val="17"/>
                <w:szCs w:val="17"/>
                <w:lang w:val="ru-RU"/>
              </w:rPr>
              <w:t>с</w:t>
            </w:r>
            <w:r w:rsidRPr="006C0E26">
              <w:rPr>
                <w:color w:val="000000"/>
                <w:sz w:val="17"/>
                <w:szCs w:val="17"/>
                <w:lang w:val="ru-RU"/>
              </w:rPr>
              <w:t xml:space="preserve"> </w:t>
            </w:r>
            <w:r>
              <w:rPr>
                <w:color w:val="000000"/>
                <w:sz w:val="17"/>
                <w:szCs w:val="17"/>
                <w:lang w:val="ru-RU"/>
              </w:rPr>
              <w:t>марта</w:t>
            </w:r>
            <w:r w:rsidRPr="006C0E26">
              <w:rPr>
                <w:color w:val="000000"/>
                <w:sz w:val="17"/>
                <w:szCs w:val="17"/>
                <w:lang w:val="ru-RU"/>
              </w:rPr>
              <w:t xml:space="preserve"> 2015 </w:t>
            </w:r>
            <w:r>
              <w:rPr>
                <w:color w:val="000000"/>
                <w:sz w:val="17"/>
                <w:szCs w:val="17"/>
                <w:lang w:val="ru-RU"/>
              </w:rPr>
              <w:t>г</w:t>
            </w:r>
            <w:r w:rsidRPr="006C0E26">
              <w:rPr>
                <w:color w:val="000000"/>
                <w:sz w:val="17"/>
                <w:szCs w:val="17"/>
                <w:lang w:val="ru-RU"/>
              </w:rPr>
              <w:t xml:space="preserve">. </w:t>
            </w:r>
            <w:r>
              <w:rPr>
                <w:color w:val="000000"/>
                <w:sz w:val="17"/>
                <w:szCs w:val="17"/>
                <w:lang w:val="ru-RU"/>
              </w:rPr>
              <w:t>новой политики регулирования объемов почтовых ящиков электронной почты</w:t>
            </w:r>
          </w:p>
        </w:tc>
        <w:tc>
          <w:tcPr>
            <w:tcW w:w="589" w:type="pct"/>
            <w:tcBorders>
              <w:top w:val="single" w:sz="4" w:space="0" w:color="auto"/>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r>
              <w:rPr>
                <w:color w:val="000000"/>
                <w:sz w:val="17"/>
                <w:szCs w:val="17"/>
              </w:rPr>
              <w:t>Нет данных</w:t>
            </w:r>
          </w:p>
          <w:p w:rsidR="002D647F" w:rsidRPr="00303E4F" w:rsidRDefault="002D647F" w:rsidP="002D647F">
            <w:pPr>
              <w:rPr>
                <w:color w:val="000000"/>
                <w:sz w:val="17"/>
                <w:szCs w:val="17"/>
              </w:rPr>
            </w:pPr>
          </w:p>
        </w:tc>
        <w:tc>
          <w:tcPr>
            <w:tcW w:w="530" w:type="pct"/>
            <w:tcBorders>
              <w:top w:val="single" w:sz="4" w:space="0" w:color="auto"/>
              <w:left w:val="nil"/>
              <w:bottom w:val="single" w:sz="4" w:space="0" w:color="auto"/>
              <w:right w:val="nil"/>
            </w:tcBorders>
            <w:shd w:val="clear" w:color="auto" w:fill="auto"/>
          </w:tcPr>
          <w:p w:rsidR="002D647F" w:rsidRPr="00303E4F" w:rsidRDefault="002D647F" w:rsidP="002D647F">
            <w:pPr>
              <w:rPr>
                <w:color w:val="000000"/>
                <w:sz w:val="17"/>
                <w:szCs w:val="17"/>
              </w:rPr>
            </w:pPr>
            <w:r>
              <w:rPr>
                <w:color w:val="000000"/>
                <w:sz w:val="17"/>
                <w:szCs w:val="17"/>
              </w:rPr>
              <w:t>70</w:t>
            </w:r>
            <w:r>
              <w:rPr>
                <w:color w:val="000000"/>
                <w:sz w:val="17"/>
                <w:szCs w:val="17"/>
                <w:lang w:val="ru-RU"/>
              </w:rPr>
              <w:t xml:space="preserve"> </w:t>
            </w:r>
            <w:r w:rsidRPr="00303E4F">
              <w:rPr>
                <w:color w:val="000000"/>
                <w:sz w:val="17"/>
                <w:szCs w:val="17"/>
              </w:rPr>
              <w:t>000</w:t>
            </w:r>
          </w:p>
        </w:tc>
        <w:tc>
          <w:tcPr>
            <w:tcW w:w="813" w:type="pct"/>
            <w:tcBorders>
              <w:top w:val="single" w:sz="4" w:space="0" w:color="auto"/>
              <w:left w:val="single" w:sz="4" w:space="0" w:color="auto"/>
              <w:bottom w:val="single" w:sz="4" w:space="0" w:color="auto"/>
              <w:right w:val="single" w:sz="4" w:space="0" w:color="auto"/>
            </w:tcBorders>
            <w:shd w:val="clear" w:color="auto" w:fill="auto"/>
          </w:tcPr>
          <w:p w:rsidR="002D647F" w:rsidRPr="00303E4F" w:rsidRDefault="002D647F" w:rsidP="002D647F">
            <w:pPr>
              <w:rPr>
                <w:color w:val="000000"/>
                <w:sz w:val="17"/>
                <w:szCs w:val="17"/>
              </w:rPr>
            </w:pPr>
          </w:p>
        </w:tc>
        <w:tc>
          <w:tcPr>
            <w:tcW w:w="871" w:type="pct"/>
            <w:tcBorders>
              <w:top w:val="single" w:sz="4" w:space="0" w:color="auto"/>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p>
        </w:tc>
        <w:tc>
          <w:tcPr>
            <w:tcW w:w="1183" w:type="pct"/>
            <w:tcBorders>
              <w:top w:val="single" w:sz="4" w:space="0" w:color="auto"/>
              <w:left w:val="nil"/>
              <w:bottom w:val="single" w:sz="4" w:space="0" w:color="auto"/>
              <w:right w:val="single" w:sz="4" w:space="0" w:color="auto"/>
            </w:tcBorders>
            <w:shd w:val="clear" w:color="auto" w:fill="auto"/>
          </w:tcPr>
          <w:p w:rsidR="002D647F" w:rsidRPr="00F63C17" w:rsidRDefault="002D647F" w:rsidP="00506508">
            <w:pPr>
              <w:ind w:left="-43"/>
              <w:rPr>
                <w:color w:val="000000"/>
                <w:sz w:val="17"/>
                <w:szCs w:val="17"/>
                <w:lang w:val="ru-RU"/>
              </w:rPr>
            </w:pPr>
            <w:r>
              <w:rPr>
                <w:color w:val="000000"/>
                <w:sz w:val="17"/>
                <w:szCs w:val="17"/>
                <w:lang w:val="ru-RU"/>
              </w:rPr>
              <w:t>Новая</w:t>
            </w:r>
            <w:r w:rsidRPr="002D647F">
              <w:rPr>
                <w:color w:val="000000"/>
                <w:sz w:val="17"/>
                <w:szCs w:val="17"/>
                <w:lang w:val="ru-RU"/>
              </w:rPr>
              <w:t xml:space="preserve"> </w:t>
            </w:r>
            <w:r>
              <w:rPr>
                <w:color w:val="000000"/>
                <w:sz w:val="17"/>
                <w:szCs w:val="17"/>
                <w:lang w:val="ru-RU"/>
              </w:rPr>
              <w:t>политика</w:t>
            </w:r>
            <w:r w:rsidRPr="002D647F">
              <w:rPr>
                <w:color w:val="000000"/>
                <w:sz w:val="17"/>
                <w:szCs w:val="17"/>
                <w:lang w:val="ru-RU"/>
              </w:rPr>
              <w:t xml:space="preserve"> </w:t>
            </w:r>
            <w:r>
              <w:rPr>
                <w:color w:val="000000"/>
                <w:sz w:val="17"/>
                <w:szCs w:val="17"/>
                <w:lang w:val="ru-RU"/>
              </w:rPr>
              <w:t>позволила</w:t>
            </w:r>
            <w:r w:rsidRPr="002D647F">
              <w:rPr>
                <w:color w:val="000000"/>
                <w:sz w:val="17"/>
                <w:szCs w:val="17"/>
                <w:lang w:val="ru-RU"/>
              </w:rPr>
              <w:t xml:space="preserve"> </w:t>
            </w:r>
            <w:r>
              <w:rPr>
                <w:color w:val="000000"/>
                <w:sz w:val="17"/>
                <w:szCs w:val="17"/>
                <w:lang w:val="ru-RU"/>
              </w:rPr>
              <w:t>за</w:t>
            </w:r>
            <w:r w:rsidRPr="002D647F">
              <w:rPr>
                <w:color w:val="000000"/>
                <w:sz w:val="17"/>
                <w:szCs w:val="17"/>
                <w:lang w:val="ru-RU"/>
              </w:rPr>
              <w:t xml:space="preserve"> 2015 </w:t>
            </w:r>
            <w:r>
              <w:rPr>
                <w:color w:val="000000"/>
                <w:sz w:val="17"/>
                <w:szCs w:val="17"/>
                <w:lang w:val="ru-RU"/>
              </w:rPr>
              <w:t>г</w:t>
            </w:r>
            <w:r w:rsidRPr="002D647F">
              <w:rPr>
                <w:color w:val="000000"/>
                <w:sz w:val="17"/>
                <w:szCs w:val="17"/>
                <w:lang w:val="ru-RU"/>
              </w:rPr>
              <w:t xml:space="preserve">. </w:t>
            </w:r>
            <w:r>
              <w:rPr>
                <w:color w:val="000000"/>
                <w:sz w:val="17"/>
                <w:szCs w:val="17"/>
                <w:lang w:val="ru-RU"/>
              </w:rPr>
              <w:t>архивировать</w:t>
            </w:r>
            <w:r w:rsidRPr="002D647F">
              <w:rPr>
                <w:color w:val="000000"/>
                <w:sz w:val="17"/>
                <w:szCs w:val="17"/>
                <w:lang w:val="ru-RU"/>
              </w:rPr>
              <w:t xml:space="preserve"> </w:t>
            </w:r>
            <w:r>
              <w:rPr>
                <w:color w:val="000000"/>
                <w:sz w:val="17"/>
                <w:szCs w:val="17"/>
                <w:lang w:val="ru-RU"/>
              </w:rPr>
              <w:t>и</w:t>
            </w:r>
            <w:r w:rsidRPr="002D647F">
              <w:rPr>
                <w:color w:val="000000"/>
                <w:sz w:val="17"/>
                <w:szCs w:val="17"/>
                <w:lang w:val="ru-RU"/>
              </w:rPr>
              <w:t xml:space="preserve"> </w:t>
            </w:r>
            <w:r>
              <w:rPr>
                <w:color w:val="000000"/>
                <w:sz w:val="17"/>
                <w:szCs w:val="17"/>
                <w:lang w:val="ru-RU"/>
              </w:rPr>
              <w:t>постепенно</w:t>
            </w:r>
            <w:r w:rsidRPr="002D647F">
              <w:rPr>
                <w:color w:val="000000"/>
                <w:sz w:val="17"/>
                <w:szCs w:val="17"/>
                <w:lang w:val="ru-RU"/>
              </w:rPr>
              <w:t xml:space="preserve"> </w:t>
            </w:r>
            <w:r>
              <w:rPr>
                <w:color w:val="000000"/>
                <w:sz w:val="17"/>
                <w:szCs w:val="17"/>
                <w:lang w:val="ru-RU"/>
              </w:rPr>
              <w:t>привести</w:t>
            </w:r>
            <w:r w:rsidRPr="002D647F">
              <w:rPr>
                <w:color w:val="000000"/>
                <w:sz w:val="17"/>
                <w:szCs w:val="17"/>
                <w:lang w:val="ru-RU"/>
              </w:rPr>
              <w:t xml:space="preserve"> </w:t>
            </w:r>
            <w:r>
              <w:rPr>
                <w:color w:val="000000"/>
                <w:sz w:val="17"/>
                <w:szCs w:val="17"/>
                <w:lang w:val="ru-RU"/>
              </w:rPr>
              <w:t>в</w:t>
            </w:r>
            <w:r w:rsidRPr="002D647F">
              <w:rPr>
                <w:color w:val="000000"/>
                <w:sz w:val="17"/>
                <w:szCs w:val="17"/>
                <w:lang w:val="ru-RU"/>
              </w:rPr>
              <w:t xml:space="preserve"> </w:t>
            </w:r>
            <w:r>
              <w:rPr>
                <w:color w:val="000000"/>
                <w:sz w:val="17"/>
                <w:szCs w:val="17"/>
                <w:lang w:val="ru-RU"/>
              </w:rPr>
              <w:t>порядок</w:t>
            </w:r>
            <w:r w:rsidRPr="002D647F">
              <w:rPr>
                <w:color w:val="000000"/>
                <w:sz w:val="17"/>
                <w:szCs w:val="17"/>
                <w:lang w:val="ru-RU"/>
              </w:rPr>
              <w:t xml:space="preserve"> </w:t>
            </w:r>
            <w:r>
              <w:rPr>
                <w:color w:val="000000"/>
                <w:sz w:val="17"/>
                <w:szCs w:val="17"/>
                <w:lang w:val="ru-RU"/>
              </w:rPr>
              <w:t>свыше</w:t>
            </w:r>
            <w:r w:rsidR="00293714">
              <w:rPr>
                <w:color w:val="000000"/>
                <w:sz w:val="17"/>
                <w:szCs w:val="17"/>
                <w:lang w:val="ru-RU"/>
              </w:rPr>
              <w:t xml:space="preserve"> 1 </w:t>
            </w:r>
            <w:r w:rsidRPr="002D647F">
              <w:rPr>
                <w:color w:val="000000"/>
                <w:sz w:val="17"/>
                <w:szCs w:val="17"/>
                <w:lang w:val="ru-RU"/>
              </w:rPr>
              <w:t>480</w:t>
            </w:r>
            <w:r w:rsidR="00293714">
              <w:rPr>
                <w:color w:val="000000"/>
                <w:sz w:val="17"/>
                <w:szCs w:val="17"/>
                <w:lang w:val="ru-RU"/>
              </w:rPr>
              <w:t> </w:t>
            </w:r>
            <w:r>
              <w:rPr>
                <w:color w:val="000000"/>
                <w:sz w:val="17"/>
                <w:szCs w:val="17"/>
                <w:lang w:val="ru-RU"/>
              </w:rPr>
              <w:t>старых</w:t>
            </w:r>
            <w:r w:rsidRPr="002D647F">
              <w:rPr>
                <w:color w:val="000000"/>
                <w:sz w:val="17"/>
                <w:szCs w:val="17"/>
                <w:lang w:val="ru-RU"/>
              </w:rPr>
              <w:t xml:space="preserve"> </w:t>
            </w:r>
            <w:r>
              <w:rPr>
                <w:color w:val="000000"/>
                <w:sz w:val="17"/>
                <w:szCs w:val="17"/>
                <w:lang w:val="ru-RU"/>
              </w:rPr>
              <w:t>почтовых</w:t>
            </w:r>
            <w:r w:rsidRPr="002D647F">
              <w:rPr>
                <w:color w:val="000000"/>
                <w:sz w:val="17"/>
                <w:szCs w:val="17"/>
                <w:lang w:val="ru-RU"/>
              </w:rPr>
              <w:t xml:space="preserve"> </w:t>
            </w:r>
            <w:r>
              <w:rPr>
                <w:color w:val="000000"/>
                <w:sz w:val="17"/>
                <w:szCs w:val="17"/>
                <w:lang w:val="ru-RU"/>
              </w:rPr>
              <w:t>ящиков</w:t>
            </w:r>
            <w:r w:rsidRPr="002D647F">
              <w:rPr>
                <w:color w:val="000000"/>
                <w:sz w:val="17"/>
                <w:szCs w:val="17"/>
                <w:lang w:val="ru-RU"/>
              </w:rPr>
              <w:t xml:space="preserve">.   </w:t>
            </w:r>
            <w:r>
              <w:rPr>
                <w:color w:val="000000"/>
                <w:sz w:val="17"/>
                <w:szCs w:val="17"/>
                <w:lang w:val="ru-RU"/>
              </w:rPr>
              <w:t>В</w:t>
            </w:r>
            <w:r w:rsidRPr="00F63C17">
              <w:rPr>
                <w:color w:val="000000"/>
                <w:sz w:val="17"/>
                <w:szCs w:val="17"/>
                <w:lang w:val="ru-RU"/>
              </w:rPr>
              <w:t xml:space="preserve"> </w:t>
            </w:r>
            <w:r>
              <w:rPr>
                <w:color w:val="000000"/>
                <w:sz w:val="17"/>
                <w:szCs w:val="17"/>
                <w:lang w:val="ru-RU"/>
              </w:rPr>
              <w:t>двухгодичный</w:t>
            </w:r>
            <w:r w:rsidRPr="00F63C17">
              <w:rPr>
                <w:color w:val="000000"/>
                <w:sz w:val="17"/>
                <w:szCs w:val="17"/>
                <w:lang w:val="ru-RU"/>
              </w:rPr>
              <w:t xml:space="preserve"> </w:t>
            </w:r>
            <w:r>
              <w:rPr>
                <w:color w:val="000000"/>
                <w:sz w:val="17"/>
                <w:szCs w:val="17"/>
                <w:lang w:val="ru-RU"/>
              </w:rPr>
              <w:t>период</w:t>
            </w:r>
            <w:r w:rsidRPr="00F63C17">
              <w:rPr>
                <w:color w:val="000000"/>
                <w:sz w:val="17"/>
                <w:szCs w:val="17"/>
                <w:lang w:val="ru-RU"/>
              </w:rPr>
              <w:t xml:space="preserve"> 2016-2017 </w:t>
            </w:r>
            <w:r>
              <w:rPr>
                <w:color w:val="000000"/>
                <w:sz w:val="17"/>
                <w:szCs w:val="17"/>
                <w:lang w:val="ru-RU"/>
              </w:rPr>
              <w:t>гг</w:t>
            </w:r>
            <w:r w:rsidRPr="00F63C17">
              <w:rPr>
                <w:color w:val="000000"/>
                <w:sz w:val="17"/>
                <w:szCs w:val="17"/>
                <w:lang w:val="ru-RU"/>
              </w:rPr>
              <w:t xml:space="preserve">. </w:t>
            </w:r>
            <w:r>
              <w:rPr>
                <w:color w:val="000000"/>
                <w:sz w:val="17"/>
                <w:szCs w:val="17"/>
                <w:lang w:val="ru-RU"/>
              </w:rPr>
              <w:t>за</w:t>
            </w:r>
            <w:r w:rsidRPr="00F63C17">
              <w:rPr>
                <w:color w:val="000000"/>
                <w:sz w:val="17"/>
                <w:szCs w:val="17"/>
                <w:lang w:val="ru-RU"/>
              </w:rPr>
              <w:t xml:space="preserve"> </w:t>
            </w:r>
            <w:r>
              <w:rPr>
                <w:color w:val="000000"/>
                <w:sz w:val="17"/>
                <w:szCs w:val="17"/>
                <w:lang w:val="ru-RU"/>
              </w:rPr>
              <w:t>счет</w:t>
            </w:r>
            <w:r w:rsidRPr="00F63C17">
              <w:rPr>
                <w:color w:val="000000"/>
                <w:sz w:val="17"/>
                <w:szCs w:val="17"/>
                <w:lang w:val="ru-RU"/>
              </w:rPr>
              <w:t xml:space="preserve"> </w:t>
            </w:r>
            <w:r>
              <w:rPr>
                <w:color w:val="000000"/>
                <w:sz w:val="17"/>
                <w:szCs w:val="17"/>
                <w:lang w:val="ru-RU"/>
              </w:rPr>
              <w:t>возможности</w:t>
            </w:r>
            <w:r w:rsidRPr="00F63C17">
              <w:rPr>
                <w:color w:val="000000"/>
                <w:sz w:val="17"/>
                <w:szCs w:val="17"/>
                <w:lang w:val="ru-RU"/>
              </w:rPr>
              <w:t xml:space="preserve"> </w:t>
            </w:r>
            <w:r>
              <w:rPr>
                <w:color w:val="000000"/>
                <w:sz w:val="17"/>
                <w:szCs w:val="17"/>
                <w:lang w:val="ru-RU"/>
              </w:rPr>
              <w:t>избежать</w:t>
            </w:r>
            <w:r w:rsidRPr="00F63C17">
              <w:rPr>
                <w:color w:val="000000"/>
                <w:sz w:val="17"/>
                <w:szCs w:val="17"/>
                <w:lang w:val="ru-RU"/>
              </w:rPr>
              <w:t xml:space="preserve"> </w:t>
            </w:r>
            <w:r>
              <w:rPr>
                <w:color w:val="000000"/>
                <w:sz w:val="17"/>
                <w:szCs w:val="17"/>
                <w:lang w:val="ru-RU"/>
              </w:rPr>
              <w:t>расходов</w:t>
            </w:r>
            <w:r w:rsidRPr="00F63C17">
              <w:rPr>
                <w:color w:val="000000"/>
                <w:sz w:val="17"/>
                <w:szCs w:val="17"/>
                <w:lang w:val="ru-RU"/>
              </w:rPr>
              <w:t xml:space="preserve"> </w:t>
            </w:r>
            <w:r>
              <w:rPr>
                <w:color w:val="000000"/>
                <w:sz w:val="17"/>
                <w:szCs w:val="17"/>
                <w:lang w:val="ru-RU"/>
              </w:rPr>
              <w:t>чистая экономия по-прежнему</w:t>
            </w:r>
            <w:r w:rsidRPr="00F63C17">
              <w:rPr>
                <w:color w:val="000000"/>
                <w:sz w:val="17"/>
                <w:szCs w:val="17"/>
                <w:lang w:val="ru-RU"/>
              </w:rPr>
              <w:t xml:space="preserve"> </w:t>
            </w:r>
            <w:r>
              <w:rPr>
                <w:color w:val="000000"/>
                <w:sz w:val="17"/>
                <w:szCs w:val="17"/>
                <w:lang w:val="ru-RU"/>
              </w:rPr>
              <w:t>составит</w:t>
            </w:r>
            <w:r w:rsidRPr="00F63C17">
              <w:rPr>
                <w:color w:val="000000"/>
                <w:sz w:val="17"/>
                <w:szCs w:val="17"/>
                <w:lang w:val="ru-RU"/>
              </w:rPr>
              <w:t xml:space="preserve"> </w:t>
            </w:r>
            <w:r>
              <w:rPr>
                <w:color w:val="000000"/>
                <w:sz w:val="17"/>
                <w:szCs w:val="17"/>
                <w:lang w:val="ru-RU"/>
              </w:rPr>
              <w:t>приблизительно</w:t>
            </w:r>
            <w:r w:rsidR="00293714">
              <w:rPr>
                <w:color w:val="000000"/>
                <w:sz w:val="17"/>
                <w:szCs w:val="17"/>
                <w:lang w:val="ru-RU"/>
              </w:rPr>
              <w:t xml:space="preserve"> 113 000 </w:t>
            </w:r>
            <w:r>
              <w:rPr>
                <w:color w:val="000000"/>
                <w:sz w:val="17"/>
                <w:szCs w:val="17"/>
                <w:lang w:val="ru-RU"/>
              </w:rPr>
              <w:t>шв</w:t>
            </w:r>
            <w:r w:rsidRPr="00F63C17">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F63C17">
              <w:rPr>
                <w:color w:val="000000"/>
                <w:sz w:val="17"/>
                <w:szCs w:val="17"/>
                <w:lang w:val="ru-RU"/>
              </w:rPr>
              <w:t xml:space="preserve"> </w:t>
            </w:r>
            <w:r>
              <w:rPr>
                <w:color w:val="000000"/>
                <w:sz w:val="17"/>
                <w:szCs w:val="17"/>
                <w:lang w:val="ru-RU"/>
              </w:rPr>
              <w:t>в год.</w:t>
            </w:r>
            <w:r w:rsidRPr="00F63C17">
              <w:rPr>
                <w:color w:val="000000"/>
                <w:sz w:val="17"/>
                <w:szCs w:val="17"/>
                <w:lang w:val="ru-RU"/>
              </w:rPr>
              <w:t xml:space="preserve"> </w:t>
            </w:r>
          </w:p>
        </w:tc>
      </w:tr>
      <w:tr w:rsidR="00506508" w:rsidRPr="005C6ABD" w:rsidTr="00506508">
        <w:trPr>
          <w:trHeight w:val="1228"/>
        </w:trPr>
        <w:tc>
          <w:tcPr>
            <w:tcW w:w="1014" w:type="pct"/>
            <w:tcBorders>
              <w:top w:val="single" w:sz="4" w:space="0" w:color="auto"/>
              <w:left w:val="single" w:sz="4" w:space="0" w:color="auto"/>
              <w:bottom w:val="single" w:sz="4" w:space="0" w:color="auto"/>
              <w:right w:val="single" w:sz="4" w:space="0" w:color="auto"/>
            </w:tcBorders>
            <w:shd w:val="clear" w:color="auto" w:fill="auto"/>
            <w:hideMark/>
          </w:tcPr>
          <w:p w:rsidR="002D647F" w:rsidRPr="00465984" w:rsidRDefault="002D647F" w:rsidP="002D647F">
            <w:pPr>
              <w:rPr>
                <w:color w:val="000000"/>
                <w:sz w:val="17"/>
                <w:szCs w:val="17"/>
                <w:lang w:val="ru-RU"/>
              </w:rPr>
            </w:pPr>
            <w:r>
              <w:rPr>
                <w:color w:val="000000"/>
                <w:sz w:val="17"/>
                <w:szCs w:val="17"/>
                <w:lang w:val="ru-RU"/>
              </w:rPr>
              <w:t>Снижение</w:t>
            </w:r>
            <w:r w:rsidRPr="00465984">
              <w:rPr>
                <w:color w:val="000000"/>
                <w:sz w:val="17"/>
                <w:szCs w:val="17"/>
                <w:lang w:val="ru-RU"/>
              </w:rPr>
              <w:t xml:space="preserve"> </w:t>
            </w:r>
            <w:r>
              <w:rPr>
                <w:color w:val="000000"/>
                <w:sz w:val="17"/>
                <w:szCs w:val="17"/>
                <w:lang w:val="ru-RU"/>
              </w:rPr>
              <w:t>расходов</w:t>
            </w:r>
            <w:r w:rsidRPr="00465984">
              <w:rPr>
                <w:color w:val="000000"/>
                <w:sz w:val="17"/>
                <w:szCs w:val="17"/>
                <w:lang w:val="ru-RU"/>
              </w:rPr>
              <w:t xml:space="preserve"> </w:t>
            </w:r>
            <w:r>
              <w:rPr>
                <w:color w:val="000000"/>
                <w:sz w:val="17"/>
                <w:szCs w:val="17"/>
                <w:lang w:val="ru-RU"/>
              </w:rPr>
              <w:t>на</w:t>
            </w:r>
            <w:r w:rsidRPr="00465984">
              <w:rPr>
                <w:color w:val="000000"/>
                <w:sz w:val="17"/>
                <w:szCs w:val="17"/>
                <w:lang w:val="ru-RU"/>
              </w:rPr>
              <w:t xml:space="preserve"> </w:t>
            </w:r>
            <w:r>
              <w:rPr>
                <w:color w:val="000000"/>
                <w:sz w:val="17"/>
                <w:szCs w:val="17"/>
                <w:lang w:val="ru-RU"/>
              </w:rPr>
              <w:t>перевод</w:t>
            </w:r>
            <w:r w:rsidRPr="00465984">
              <w:rPr>
                <w:color w:val="000000"/>
                <w:sz w:val="17"/>
                <w:szCs w:val="17"/>
                <w:lang w:val="ru-RU"/>
              </w:rPr>
              <w:t xml:space="preserve"> </w:t>
            </w:r>
            <w:r>
              <w:rPr>
                <w:color w:val="000000"/>
                <w:sz w:val="17"/>
                <w:szCs w:val="17"/>
                <w:lang w:val="ru-RU"/>
              </w:rPr>
              <w:t>документов</w:t>
            </w:r>
            <w:r w:rsidRPr="00465984">
              <w:rPr>
                <w:color w:val="000000"/>
                <w:sz w:val="17"/>
                <w:szCs w:val="17"/>
                <w:lang w:val="ru-RU"/>
              </w:rPr>
              <w:t xml:space="preserve"> </w:t>
            </w:r>
            <w:r>
              <w:rPr>
                <w:color w:val="000000"/>
                <w:sz w:val="17"/>
                <w:szCs w:val="17"/>
                <w:lang w:val="ru-RU"/>
              </w:rPr>
              <w:t>в</w:t>
            </w:r>
            <w:r w:rsidRPr="00465984">
              <w:rPr>
                <w:color w:val="000000"/>
                <w:sz w:val="17"/>
                <w:szCs w:val="17"/>
                <w:lang w:val="ru-RU"/>
              </w:rPr>
              <w:t xml:space="preserve"> </w:t>
            </w:r>
            <w:r>
              <w:rPr>
                <w:color w:val="000000"/>
                <w:sz w:val="17"/>
                <w:szCs w:val="17"/>
                <w:lang w:val="ru-RU"/>
              </w:rPr>
              <w:t>результате</w:t>
            </w:r>
            <w:r w:rsidRPr="00465984">
              <w:rPr>
                <w:color w:val="000000"/>
                <w:sz w:val="17"/>
                <w:szCs w:val="17"/>
                <w:lang w:val="ru-RU"/>
              </w:rPr>
              <w:t xml:space="preserve"> </w:t>
            </w:r>
            <w:r>
              <w:rPr>
                <w:color w:val="000000"/>
                <w:sz w:val="17"/>
                <w:szCs w:val="17"/>
                <w:lang w:val="ru-RU"/>
              </w:rPr>
              <w:t>пересмотра</w:t>
            </w:r>
            <w:r w:rsidRPr="00465984">
              <w:rPr>
                <w:color w:val="000000"/>
                <w:sz w:val="17"/>
                <w:szCs w:val="17"/>
                <w:lang w:val="ru-RU"/>
              </w:rPr>
              <w:t xml:space="preserve"> </w:t>
            </w:r>
            <w:r>
              <w:rPr>
                <w:color w:val="000000"/>
                <w:sz w:val="17"/>
                <w:szCs w:val="17"/>
                <w:lang w:val="ru-RU"/>
              </w:rPr>
              <w:t>договоров</w:t>
            </w:r>
            <w:r w:rsidRPr="00465984">
              <w:rPr>
                <w:color w:val="000000"/>
                <w:sz w:val="17"/>
                <w:szCs w:val="17"/>
                <w:lang w:val="ru-RU"/>
              </w:rPr>
              <w:t xml:space="preserve"> </w:t>
            </w:r>
            <w:r>
              <w:rPr>
                <w:color w:val="000000"/>
                <w:sz w:val="17"/>
                <w:szCs w:val="17"/>
                <w:lang w:val="ru-RU"/>
              </w:rPr>
              <w:t>с</w:t>
            </w:r>
            <w:r w:rsidRPr="00465984">
              <w:rPr>
                <w:color w:val="000000"/>
                <w:sz w:val="17"/>
                <w:szCs w:val="17"/>
                <w:lang w:val="ru-RU"/>
              </w:rPr>
              <w:t xml:space="preserve"> </w:t>
            </w:r>
            <w:r>
              <w:rPr>
                <w:color w:val="000000"/>
                <w:sz w:val="17"/>
                <w:szCs w:val="17"/>
                <w:lang w:val="ru-RU"/>
              </w:rPr>
              <w:t>внешними</w:t>
            </w:r>
            <w:r w:rsidRPr="00465984">
              <w:rPr>
                <w:color w:val="000000"/>
                <w:sz w:val="17"/>
                <w:szCs w:val="17"/>
                <w:lang w:val="ru-RU"/>
              </w:rPr>
              <w:t xml:space="preserve"> </w:t>
            </w:r>
            <w:r>
              <w:rPr>
                <w:color w:val="000000"/>
                <w:sz w:val="17"/>
                <w:szCs w:val="17"/>
                <w:lang w:val="ru-RU"/>
              </w:rPr>
              <w:t>переводчиками</w:t>
            </w:r>
            <w:r w:rsidRPr="00465984">
              <w:rPr>
                <w:color w:val="000000"/>
                <w:sz w:val="17"/>
                <w:szCs w:val="17"/>
                <w:lang w:val="ru-RU"/>
              </w:rPr>
              <w:t xml:space="preserve">,  </w:t>
            </w:r>
            <w:r>
              <w:rPr>
                <w:color w:val="000000"/>
                <w:sz w:val="17"/>
                <w:szCs w:val="17"/>
                <w:lang w:val="ru-RU"/>
              </w:rPr>
              <w:t>проведение</w:t>
            </w:r>
            <w:r w:rsidRPr="00465984">
              <w:rPr>
                <w:color w:val="000000"/>
                <w:sz w:val="17"/>
                <w:szCs w:val="17"/>
                <w:lang w:val="ru-RU"/>
              </w:rPr>
              <w:t xml:space="preserve"> международных конкурсов </w:t>
            </w:r>
            <w:r>
              <w:rPr>
                <w:color w:val="000000"/>
                <w:sz w:val="17"/>
                <w:szCs w:val="17"/>
                <w:lang w:val="ru-RU"/>
              </w:rPr>
              <w:t>по</w:t>
            </w:r>
            <w:r w:rsidRPr="00465984">
              <w:rPr>
                <w:color w:val="000000"/>
                <w:sz w:val="17"/>
                <w:szCs w:val="17"/>
                <w:lang w:val="ru-RU"/>
              </w:rPr>
              <w:t xml:space="preserve"> арабск</w:t>
            </w:r>
            <w:r>
              <w:rPr>
                <w:color w:val="000000"/>
                <w:sz w:val="17"/>
                <w:szCs w:val="17"/>
                <w:lang w:val="ru-RU"/>
              </w:rPr>
              <w:t>ому</w:t>
            </w:r>
            <w:r w:rsidRPr="00465984">
              <w:rPr>
                <w:color w:val="000000"/>
                <w:sz w:val="17"/>
                <w:szCs w:val="17"/>
                <w:lang w:val="ru-RU"/>
              </w:rPr>
              <w:t>, китайск</w:t>
            </w:r>
            <w:r>
              <w:rPr>
                <w:color w:val="000000"/>
                <w:sz w:val="17"/>
                <w:szCs w:val="17"/>
                <w:lang w:val="ru-RU"/>
              </w:rPr>
              <w:t>ому</w:t>
            </w:r>
            <w:r w:rsidRPr="00465984">
              <w:rPr>
                <w:color w:val="000000"/>
                <w:sz w:val="17"/>
                <w:szCs w:val="17"/>
                <w:lang w:val="ru-RU"/>
              </w:rPr>
              <w:t xml:space="preserve"> и русск</w:t>
            </w:r>
            <w:r>
              <w:rPr>
                <w:color w:val="000000"/>
                <w:sz w:val="17"/>
                <w:szCs w:val="17"/>
                <w:lang w:val="ru-RU"/>
              </w:rPr>
              <w:t>ому</w:t>
            </w:r>
            <w:r w:rsidRPr="00465984">
              <w:rPr>
                <w:color w:val="000000"/>
                <w:sz w:val="17"/>
                <w:szCs w:val="17"/>
                <w:lang w:val="ru-RU"/>
              </w:rPr>
              <w:t xml:space="preserve"> язык</w:t>
            </w:r>
            <w:r>
              <w:rPr>
                <w:color w:val="000000"/>
                <w:sz w:val="17"/>
                <w:szCs w:val="17"/>
                <w:lang w:val="ru-RU"/>
              </w:rPr>
              <w:t>ам на</w:t>
            </w:r>
            <w:r w:rsidRPr="00465984">
              <w:rPr>
                <w:color w:val="000000"/>
                <w:sz w:val="17"/>
                <w:szCs w:val="17"/>
                <w:lang w:val="ru-RU"/>
              </w:rPr>
              <w:t xml:space="preserve"> основе опыта аутсорсинга работы по письменному переводу на французский и испанский языки </w:t>
            </w:r>
            <w:r>
              <w:rPr>
                <w:color w:val="000000"/>
                <w:sz w:val="17"/>
                <w:szCs w:val="17"/>
                <w:lang w:val="ru-RU"/>
              </w:rPr>
              <w:t xml:space="preserve">и использование </w:t>
            </w:r>
            <w:r w:rsidRPr="00465984">
              <w:rPr>
                <w:color w:val="000000"/>
                <w:sz w:val="17"/>
                <w:szCs w:val="17"/>
                <w:lang w:val="ru-RU"/>
              </w:rPr>
              <w:t>систем автоматизированного перевода и терминологии (САПТ).</w:t>
            </w:r>
          </w:p>
        </w:tc>
        <w:tc>
          <w:tcPr>
            <w:tcW w:w="589"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306</w:t>
            </w:r>
            <w:r>
              <w:rPr>
                <w:color w:val="000000"/>
                <w:sz w:val="17"/>
                <w:szCs w:val="17"/>
                <w:lang w:val="ru-RU"/>
              </w:rPr>
              <w:t xml:space="preserve"> </w:t>
            </w:r>
            <w:r w:rsidRPr="00303E4F">
              <w:rPr>
                <w:color w:val="000000"/>
                <w:sz w:val="17"/>
                <w:szCs w:val="17"/>
              </w:rPr>
              <w:t>375</w:t>
            </w:r>
          </w:p>
          <w:p w:rsidR="002D647F" w:rsidRPr="00303E4F" w:rsidRDefault="002D647F" w:rsidP="002D647F">
            <w:pPr>
              <w:rPr>
                <w:color w:val="000000"/>
                <w:sz w:val="17"/>
                <w:szCs w:val="17"/>
              </w:rPr>
            </w:pPr>
            <w:r w:rsidRPr="00303E4F">
              <w:rPr>
                <w:color w:val="000000"/>
                <w:sz w:val="17"/>
                <w:szCs w:val="17"/>
              </w:rPr>
              <w:t xml:space="preserve"> </w:t>
            </w:r>
          </w:p>
        </w:tc>
        <w:tc>
          <w:tcPr>
            <w:tcW w:w="530" w:type="pct"/>
            <w:tcBorders>
              <w:top w:val="single" w:sz="4" w:space="0" w:color="auto"/>
              <w:left w:val="nil"/>
              <w:bottom w:val="single" w:sz="4" w:space="0" w:color="auto"/>
              <w:right w:val="nil"/>
            </w:tcBorders>
            <w:shd w:val="clear" w:color="auto" w:fill="auto"/>
            <w:hideMark/>
          </w:tcPr>
          <w:p w:rsidR="002D647F" w:rsidRPr="00303E4F" w:rsidRDefault="002D647F" w:rsidP="002D647F">
            <w:pPr>
              <w:rPr>
                <w:color w:val="000000"/>
                <w:sz w:val="17"/>
                <w:szCs w:val="17"/>
              </w:rPr>
            </w:pPr>
            <w:r>
              <w:rPr>
                <w:color w:val="000000"/>
                <w:sz w:val="17"/>
                <w:szCs w:val="17"/>
              </w:rPr>
              <w:t>601</w:t>
            </w:r>
            <w:r>
              <w:rPr>
                <w:color w:val="000000"/>
                <w:sz w:val="17"/>
                <w:szCs w:val="17"/>
                <w:lang w:val="ru-RU"/>
              </w:rPr>
              <w:t xml:space="preserve"> </w:t>
            </w:r>
            <w:r w:rsidRPr="00303E4F">
              <w:rPr>
                <w:color w:val="000000"/>
                <w:sz w:val="17"/>
                <w:szCs w:val="17"/>
              </w:rPr>
              <w:t>084</w:t>
            </w:r>
          </w:p>
        </w:tc>
        <w:tc>
          <w:tcPr>
            <w:tcW w:w="813" w:type="pct"/>
            <w:tcBorders>
              <w:top w:val="single" w:sz="4" w:space="0" w:color="auto"/>
              <w:left w:val="single" w:sz="4" w:space="0" w:color="auto"/>
              <w:bottom w:val="single" w:sz="4" w:space="0" w:color="auto"/>
              <w:right w:val="single" w:sz="4" w:space="0" w:color="auto"/>
            </w:tcBorders>
            <w:shd w:val="clear" w:color="auto" w:fill="auto"/>
            <w:hideMark/>
          </w:tcPr>
          <w:p w:rsidR="002D647F" w:rsidRPr="00465984" w:rsidRDefault="002D647F" w:rsidP="00293714">
            <w:pPr>
              <w:rPr>
                <w:color w:val="000000"/>
                <w:sz w:val="17"/>
                <w:szCs w:val="17"/>
                <w:lang w:val="ru-RU"/>
              </w:rPr>
            </w:pPr>
            <w:r>
              <w:rPr>
                <w:color w:val="000000"/>
                <w:sz w:val="17"/>
                <w:szCs w:val="17"/>
                <w:lang w:val="ru-RU"/>
              </w:rPr>
              <w:t>Снижение</w:t>
            </w:r>
            <w:r w:rsidRPr="00465984">
              <w:rPr>
                <w:color w:val="000000"/>
                <w:sz w:val="17"/>
                <w:szCs w:val="17"/>
                <w:lang w:val="ru-RU"/>
              </w:rPr>
              <w:t xml:space="preserve"> </w:t>
            </w:r>
            <w:r>
              <w:rPr>
                <w:color w:val="000000"/>
                <w:sz w:val="17"/>
                <w:szCs w:val="17"/>
                <w:lang w:val="ru-RU"/>
              </w:rPr>
              <w:t>стоимости</w:t>
            </w:r>
            <w:r w:rsidRPr="00465984">
              <w:rPr>
                <w:color w:val="000000"/>
                <w:sz w:val="17"/>
                <w:szCs w:val="17"/>
                <w:lang w:val="ru-RU"/>
              </w:rPr>
              <w:t xml:space="preserve"> </w:t>
            </w:r>
            <w:r>
              <w:rPr>
                <w:color w:val="000000"/>
                <w:sz w:val="17"/>
                <w:szCs w:val="17"/>
                <w:lang w:val="ru-RU"/>
              </w:rPr>
              <w:t>перевода</w:t>
            </w:r>
            <w:r w:rsidRPr="00465984">
              <w:rPr>
                <w:color w:val="000000"/>
                <w:sz w:val="17"/>
                <w:szCs w:val="17"/>
                <w:lang w:val="ru-RU"/>
              </w:rPr>
              <w:t xml:space="preserve"> (</w:t>
            </w:r>
            <w:r>
              <w:rPr>
                <w:color w:val="000000"/>
                <w:sz w:val="17"/>
                <w:szCs w:val="17"/>
                <w:lang w:val="ru-RU"/>
              </w:rPr>
              <w:t>цены</w:t>
            </w:r>
            <w:r w:rsidRPr="00465984">
              <w:rPr>
                <w:color w:val="000000"/>
                <w:sz w:val="17"/>
                <w:szCs w:val="17"/>
                <w:lang w:val="ru-RU"/>
              </w:rPr>
              <w:t xml:space="preserve"> </w:t>
            </w:r>
            <w:r>
              <w:rPr>
                <w:color w:val="000000"/>
                <w:sz w:val="17"/>
                <w:szCs w:val="17"/>
                <w:lang w:val="ru-RU"/>
              </w:rPr>
              <w:t>за</w:t>
            </w:r>
            <w:r w:rsidRPr="00465984">
              <w:rPr>
                <w:color w:val="000000"/>
                <w:sz w:val="17"/>
                <w:szCs w:val="17"/>
                <w:lang w:val="ru-RU"/>
              </w:rPr>
              <w:t xml:space="preserve"> </w:t>
            </w:r>
            <w:r>
              <w:rPr>
                <w:color w:val="000000"/>
                <w:sz w:val="17"/>
                <w:szCs w:val="17"/>
                <w:lang w:val="ru-RU"/>
              </w:rPr>
              <w:t>слово</w:t>
            </w:r>
            <w:r w:rsidRPr="00465984">
              <w:rPr>
                <w:color w:val="000000"/>
                <w:sz w:val="17"/>
                <w:szCs w:val="17"/>
                <w:lang w:val="ru-RU"/>
              </w:rPr>
              <w:t xml:space="preserve">) </w:t>
            </w:r>
            <w:r>
              <w:rPr>
                <w:color w:val="000000"/>
                <w:sz w:val="17"/>
                <w:szCs w:val="17"/>
                <w:lang w:val="ru-RU"/>
              </w:rPr>
              <w:t>с</w:t>
            </w:r>
            <w:r w:rsidRPr="00465984">
              <w:rPr>
                <w:color w:val="000000"/>
                <w:sz w:val="17"/>
                <w:szCs w:val="17"/>
                <w:lang w:val="ru-RU"/>
              </w:rPr>
              <w:t xml:space="preserve"> 0,63</w:t>
            </w:r>
            <w:r w:rsidR="00293714">
              <w:rPr>
                <w:color w:val="000000"/>
                <w:sz w:val="17"/>
                <w:szCs w:val="17"/>
                <w:lang w:val="ru-RU"/>
              </w:rPr>
              <w:t> </w:t>
            </w:r>
            <w:r>
              <w:rPr>
                <w:color w:val="000000"/>
                <w:sz w:val="17"/>
                <w:szCs w:val="17"/>
                <w:lang w:val="ru-RU"/>
              </w:rPr>
              <w:t>шв</w:t>
            </w:r>
            <w:r w:rsidRPr="00465984">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465984">
              <w:rPr>
                <w:color w:val="000000"/>
                <w:sz w:val="17"/>
                <w:szCs w:val="17"/>
                <w:lang w:val="ru-RU"/>
              </w:rPr>
              <w:t xml:space="preserve"> </w:t>
            </w:r>
            <w:r>
              <w:rPr>
                <w:color w:val="000000"/>
                <w:sz w:val="17"/>
                <w:szCs w:val="17"/>
                <w:lang w:val="ru-RU"/>
              </w:rPr>
              <w:t>в</w:t>
            </w:r>
            <w:r w:rsidRPr="00465984">
              <w:rPr>
                <w:color w:val="000000"/>
                <w:sz w:val="17"/>
                <w:szCs w:val="17"/>
                <w:lang w:val="ru-RU"/>
              </w:rPr>
              <w:t xml:space="preserve"> 2013 </w:t>
            </w:r>
            <w:r>
              <w:rPr>
                <w:color w:val="000000"/>
                <w:sz w:val="17"/>
                <w:szCs w:val="17"/>
                <w:lang w:val="ru-RU"/>
              </w:rPr>
              <w:t>г</w:t>
            </w:r>
            <w:r w:rsidRPr="00465984">
              <w:rPr>
                <w:color w:val="000000"/>
                <w:sz w:val="17"/>
                <w:szCs w:val="17"/>
                <w:lang w:val="ru-RU"/>
              </w:rPr>
              <w:t xml:space="preserve">. </w:t>
            </w:r>
            <w:r>
              <w:rPr>
                <w:color w:val="000000"/>
                <w:sz w:val="17"/>
                <w:szCs w:val="17"/>
                <w:lang w:val="ru-RU"/>
              </w:rPr>
              <w:t>до</w:t>
            </w:r>
            <w:r w:rsidRPr="00465984">
              <w:rPr>
                <w:color w:val="000000"/>
                <w:sz w:val="17"/>
                <w:szCs w:val="17"/>
                <w:lang w:val="ru-RU"/>
              </w:rPr>
              <w:t xml:space="preserve"> 0,59</w:t>
            </w:r>
            <w:r w:rsidR="00293714">
              <w:rPr>
                <w:color w:val="000000"/>
                <w:sz w:val="17"/>
                <w:szCs w:val="17"/>
                <w:lang w:val="ru-RU"/>
              </w:rPr>
              <w:t> </w:t>
            </w:r>
            <w:r>
              <w:rPr>
                <w:color w:val="000000"/>
                <w:sz w:val="17"/>
                <w:szCs w:val="17"/>
                <w:lang w:val="ru-RU"/>
              </w:rPr>
              <w:t>шв</w:t>
            </w:r>
            <w:r w:rsidRPr="00465984">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465984">
              <w:rPr>
                <w:color w:val="000000"/>
                <w:sz w:val="17"/>
                <w:szCs w:val="17"/>
                <w:lang w:val="ru-RU"/>
              </w:rPr>
              <w:t xml:space="preserve"> </w:t>
            </w:r>
            <w:r>
              <w:rPr>
                <w:color w:val="000000"/>
                <w:sz w:val="17"/>
                <w:szCs w:val="17"/>
                <w:lang w:val="ru-RU"/>
              </w:rPr>
              <w:t>в</w:t>
            </w:r>
            <w:r w:rsidRPr="00465984">
              <w:rPr>
                <w:color w:val="000000"/>
                <w:sz w:val="17"/>
                <w:szCs w:val="17"/>
                <w:lang w:val="ru-RU"/>
              </w:rPr>
              <w:t xml:space="preserve"> 2014 </w:t>
            </w:r>
            <w:r>
              <w:rPr>
                <w:color w:val="000000"/>
                <w:sz w:val="17"/>
                <w:szCs w:val="17"/>
                <w:lang w:val="ru-RU"/>
              </w:rPr>
              <w:t>г</w:t>
            </w:r>
            <w:r w:rsidRPr="00465984">
              <w:rPr>
                <w:color w:val="000000"/>
                <w:sz w:val="17"/>
                <w:szCs w:val="17"/>
                <w:lang w:val="ru-RU"/>
              </w:rPr>
              <w:t>. (</w:t>
            </w:r>
            <w:r>
              <w:rPr>
                <w:color w:val="000000"/>
                <w:sz w:val="17"/>
                <w:szCs w:val="17"/>
                <w:lang w:val="ru-RU"/>
              </w:rPr>
              <w:t>т</w:t>
            </w:r>
            <w:r w:rsidRPr="00465984">
              <w:rPr>
                <w:color w:val="000000"/>
                <w:sz w:val="17"/>
                <w:szCs w:val="17"/>
                <w:lang w:val="ru-RU"/>
              </w:rPr>
              <w:t>.</w:t>
            </w:r>
            <w:r>
              <w:rPr>
                <w:color w:val="000000"/>
                <w:sz w:val="17"/>
                <w:szCs w:val="17"/>
                <w:lang w:val="ru-RU"/>
              </w:rPr>
              <w:t>е</w:t>
            </w:r>
            <w:r w:rsidRPr="00465984">
              <w:rPr>
                <w:color w:val="000000"/>
                <w:sz w:val="17"/>
                <w:szCs w:val="17"/>
                <w:lang w:val="ru-RU"/>
              </w:rPr>
              <w:t xml:space="preserve">. </w:t>
            </w:r>
            <w:r>
              <w:rPr>
                <w:color w:val="000000"/>
                <w:sz w:val="17"/>
                <w:szCs w:val="17"/>
                <w:lang w:val="ru-RU"/>
              </w:rPr>
              <w:t>снижение на</w:t>
            </w:r>
            <w:r w:rsidR="00293714">
              <w:rPr>
                <w:color w:val="000000"/>
                <w:sz w:val="17"/>
                <w:szCs w:val="17"/>
                <w:lang w:val="ru-RU"/>
              </w:rPr>
              <w:t xml:space="preserve"> 0,04 </w:t>
            </w:r>
            <w:r>
              <w:rPr>
                <w:color w:val="000000"/>
                <w:sz w:val="17"/>
                <w:szCs w:val="17"/>
                <w:lang w:val="ru-RU"/>
              </w:rPr>
              <w:t>шв</w:t>
            </w:r>
            <w:r w:rsidRPr="00465984">
              <w:rPr>
                <w:color w:val="000000"/>
                <w:sz w:val="17"/>
                <w:szCs w:val="17"/>
                <w:lang w:val="ru-RU"/>
              </w:rPr>
              <w:t xml:space="preserve">. </w:t>
            </w:r>
            <w:r>
              <w:rPr>
                <w:color w:val="000000"/>
                <w:sz w:val="17"/>
                <w:szCs w:val="17"/>
                <w:lang w:val="ru-RU"/>
              </w:rPr>
              <w:t>фр</w:t>
            </w:r>
            <w:r w:rsidR="00293714">
              <w:rPr>
                <w:color w:val="000000"/>
                <w:sz w:val="17"/>
                <w:szCs w:val="17"/>
                <w:lang w:val="ru-RU"/>
              </w:rPr>
              <w:t>.</w:t>
            </w:r>
            <w:r>
              <w:rPr>
                <w:color w:val="000000"/>
                <w:sz w:val="17"/>
                <w:szCs w:val="17"/>
                <w:lang w:val="ru-RU"/>
              </w:rPr>
              <w:t xml:space="preserve"> за слово</w:t>
            </w:r>
            <w:r w:rsidRPr="00465984">
              <w:rPr>
                <w:color w:val="000000"/>
                <w:sz w:val="17"/>
                <w:szCs w:val="17"/>
                <w:lang w:val="ru-RU"/>
              </w:rPr>
              <w:t>)</w:t>
            </w:r>
          </w:p>
        </w:tc>
        <w:tc>
          <w:tcPr>
            <w:tcW w:w="871" w:type="pct"/>
            <w:tcBorders>
              <w:top w:val="single" w:sz="4" w:space="0" w:color="auto"/>
              <w:left w:val="nil"/>
              <w:bottom w:val="single" w:sz="4" w:space="0" w:color="auto"/>
              <w:right w:val="single" w:sz="4" w:space="0" w:color="auto"/>
            </w:tcBorders>
            <w:shd w:val="clear" w:color="auto" w:fill="auto"/>
            <w:hideMark/>
          </w:tcPr>
          <w:p w:rsidR="002D647F" w:rsidRPr="00465984" w:rsidRDefault="002D647F" w:rsidP="00293714">
            <w:pPr>
              <w:rPr>
                <w:color w:val="000000"/>
                <w:sz w:val="17"/>
                <w:szCs w:val="17"/>
                <w:lang w:val="ru-RU"/>
              </w:rPr>
            </w:pPr>
            <w:r>
              <w:rPr>
                <w:color w:val="000000"/>
                <w:sz w:val="17"/>
                <w:szCs w:val="17"/>
                <w:lang w:val="ru-RU"/>
              </w:rPr>
              <w:t>Дополнительное с</w:t>
            </w:r>
            <w:r w:rsidRPr="00465984">
              <w:rPr>
                <w:color w:val="000000"/>
                <w:sz w:val="17"/>
                <w:szCs w:val="17"/>
                <w:lang w:val="ru-RU"/>
              </w:rPr>
              <w:t>нижение стоимости перевода (цены за слово)</w:t>
            </w:r>
            <w:r>
              <w:rPr>
                <w:color w:val="000000"/>
                <w:sz w:val="17"/>
                <w:szCs w:val="17"/>
                <w:lang w:val="ru-RU"/>
              </w:rPr>
              <w:t xml:space="preserve"> до 0,</w:t>
            </w:r>
            <w:r w:rsidRPr="00465984">
              <w:rPr>
                <w:color w:val="000000"/>
                <w:sz w:val="17"/>
                <w:szCs w:val="17"/>
                <w:lang w:val="ru-RU"/>
              </w:rPr>
              <w:t>57</w:t>
            </w:r>
            <w:r w:rsidR="00293714">
              <w:rPr>
                <w:color w:val="000000"/>
                <w:sz w:val="17"/>
                <w:szCs w:val="17"/>
                <w:lang w:val="ru-RU"/>
              </w:rPr>
              <w:t> </w:t>
            </w:r>
            <w:r>
              <w:rPr>
                <w:color w:val="000000"/>
                <w:sz w:val="17"/>
                <w:szCs w:val="17"/>
                <w:lang w:val="ru-RU"/>
              </w:rPr>
              <w:t>шв</w:t>
            </w:r>
            <w:r w:rsidRPr="00465984">
              <w:rPr>
                <w:color w:val="000000"/>
                <w:sz w:val="17"/>
                <w:szCs w:val="17"/>
                <w:lang w:val="ru-RU"/>
              </w:rPr>
              <w:t xml:space="preserve">. </w:t>
            </w:r>
            <w:r>
              <w:rPr>
                <w:color w:val="000000"/>
                <w:sz w:val="17"/>
                <w:szCs w:val="17"/>
                <w:lang w:val="ru-RU"/>
              </w:rPr>
              <w:t>фр</w:t>
            </w:r>
            <w:r w:rsidR="00293714">
              <w:rPr>
                <w:color w:val="000000"/>
                <w:sz w:val="17"/>
                <w:szCs w:val="17"/>
                <w:lang w:val="ru-RU"/>
              </w:rPr>
              <w:t>.</w:t>
            </w:r>
            <w:r>
              <w:rPr>
                <w:color w:val="000000"/>
                <w:sz w:val="17"/>
                <w:szCs w:val="17"/>
                <w:lang w:val="ru-RU"/>
              </w:rPr>
              <w:t xml:space="preserve"> в</w:t>
            </w:r>
            <w:r w:rsidRPr="00465984">
              <w:rPr>
                <w:color w:val="000000"/>
                <w:sz w:val="17"/>
                <w:szCs w:val="17"/>
                <w:lang w:val="ru-RU"/>
              </w:rPr>
              <w:t xml:space="preserve"> 2015</w:t>
            </w:r>
            <w:r>
              <w:rPr>
                <w:color w:val="000000"/>
                <w:sz w:val="17"/>
                <w:szCs w:val="17"/>
                <w:lang w:val="ru-RU"/>
              </w:rPr>
              <w:t xml:space="preserve"> г.</w:t>
            </w:r>
            <w:r w:rsidRPr="00465984">
              <w:rPr>
                <w:color w:val="000000"/>
                <w:sz w:val="17"/>
                <w:szCs w:val="17"/>
                <w:lang w:val="ru-RU"/>
              </w:rPr>
              <w:t xml:space="preserve"> (</w:t>
            </w:r>
            <w:r>
              <w:rPr>
                <w:color w:val="000000"/>
                <w:sz w:val="17"/>
                <w:szCs w:val="17"/>
                <w:lang w:val="ru-RU"/>
              </w:rPr>
              <w:t>т.е. снижение еще на 0,</w:t>
            </w:r>
            <w:r w:rsidR="00293714">
              <w:rPr>
                <w:color w:val="000000"/>
                <w:sz w:val="17"/>
                <w:szCs w:val="17"/>
                <w:lang w:val="ru-RU"/>
              </w:rPr>
              <w:t>02 </w:t>
            </w:r>
            <w:r>
              <w:rPr>
                <w:color w:val="000000"/>
                <w:sz w:val="17"/>
                <w:szCs w:val="17"/>
                <w:lang w:val="ru-RU"/>
              </w:rPr>
              <w:t>шв</w:t>
            </w:r>
            <w:r w:rsidRPr="00465984">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465984">
              <w:rPr>
                <w:color w:val="000000"/>
                <w:sz w:val="17"/>
                <w:szCs w:val="17"/>
                <w:lang w:val="ru-RU"/>
              </w:rPr>
              <w:t>)</w:t>
            </w:r>
          </w:p>
        </w:tc>
        <w:tc>
          <w:tcPr>
            <w:tcW w:w="1183" w:type="pct"/>
            <w:tcBorders>
              <w:top w:val="single" w:sz="4" w:space="0" w:color="auto"/>
              <w:left w:val="nil"/>
              <w:bottom w:val="single" w:sz="4" w:space="0" w:color="auto"/>
              <w:right w:val="single" w:sz="4" w:space="0" w:color="auto"/>
            </w:tcBorders>
            <w:shd w:val="clear" w:color="auto" w:fill="auto"/>
            <w:hideMark/>
          </w:tcPr>
          <w:p w:rsidR="002D647F" w:rsidRPr="00465984" w:rsidRDefault="002D647F" w:rsidP="00506508">
            <w:pPr>
              <w:ind w:left="-43"/>
              <w:rPr>
                <w:color w:val="000000"/>
                <w:sz w:val="17"/>
                <w:szCs w:val="17"/>
                <w:lang w:val="ru-RU"/>
              </w:rPr>
            </w:pPr>
            <w:r w:rsidRPr="00303E4F">
              <w:rPr>
                <w:color w:val="000000"/>
                <w:sz w:val="17"/>
                <w:szCs w:val="17"/>
              </w:rPr>
              <w:t> </w:t>
            </w:r>
          </w:p>
        </w:tc>
      </w:tr>
      <w:tr w:rsidR="00506508" w:rsidRPr="005C6ABD" w:rsidTr="00506508">
        <w:trPr>
          <w:trHeight w:val="1020"/>
        </w:trPr>
        <w:tc>
          <w:tcPr>
            <w:tcW w:w="1014" w:type="pct"/>
            <w:tcBorders>
              <w:top w:val="single" w:sz="4" w:space="0" w:color="auto"/>
              <w:left w:val="single" w:sz="4" w:space="0" w:color="auto"/>
              <w:bottom w:val="single" w:sz="4" w:space="0" w:color="auto"/>
              <w:right w:val="single" w:sz="4" w:space="0" w:color="auto"/>
            </w:tcBorders>
            <w:shd w:val="clear" w:color="auto" w:fill="auto"/>
            <w:hideMark/>
          </w:tcPr>
          <w:p w:rsidR="002D647F" w:rsidRPr="00AB74A3" w:rsidRDefault="002D647F" w:rsidP="002D647F">
            <w:pPr>
              <w:rPr>
                <w:color w:val="000000"/>
                <w:sz w:val="17"/>
                <w:szCs w:val="17"/>
                <w:lang w:val="ru-RU"/>
              </w:rPr>
            </w:pPr>
            <w:r>
              <w:rPr>
                <w:color w:val="000000"/>
                <w:sz w:val="17"/>
                <w:szCs w:val="17"/>
                <w:lang w:val="ru-RU"/>
              </w:rPr>
              <w:t>Снижение</w:t>
            </w:r>
            <w:r w:rsidRPr="00AB74A3">
              <w:rPr>
                <w:color w:val="000000"/>
                <w:sz w:val="17"/>
                <w:szCs w:val="17"/>
                <w:lang w:val="ru-RU"/>
              </w:rPr>
              <w:t xml:space="preserve"> </w:t>
            </w:r>
            <w:r>
              <w:rPr>
                <w:color w:val="000000"/>
                <w:sz w:val="17"/>
                <w:szCs w:val="17"/>
                <w:lang w:val="ru-RU"/>
              </w:rPr>
              <w:t>расходов</w:t>
            </w:r>
            <w:r w:rsidRPr="00AB74A3">
              <w:rPr>
                <w:color w:val="000000"/>
                <w:sz w:val="17"/>
                <w:szCs w:val="17"/>
                <w:lang w:val="ru-RU"/>
              </w:rPr>
              <w:t xml:space="preserve"> </w:t>
            </w:r>
            <w:r>
              <w:rPr>
                <w:color w:val="000000"/>
                <w:sz w:val="17"/>
                <w:szCs w:val="17"/>
                <w:lang w:val="ru-RU"/>
              </w:rPr>
              <w:t>на</w:t>
            </w:r>
            <w:r w:rsidRPr="00AB74A3">
              <w:rPr>
                <w:color w:val="000000"/>
                <w:sz w:val="17"/>
                <w:szCs w:val="17"/>
                <w:lang w:val="ru-RU"/>
              </w:rPr>
              <w:t xml:space="preserve"> </w:t>
            </w:r>
            <w:r>
              <w:rPr>
                <w:color w:val="000000"/>
                <w:sz w:val="17"/>
                <w:szCs w:val="17"/>
                <w:lang w:val="ru-RU"/>
              </w:rPr>
              <w:t>публикацию документов в результате заключения базового договора на обслуживание печатающих устройств на новых условиях</w:t>
            </w:r>
            <w:r w:rsidRPr="00AB74A3">
              <w:rPr>
                <w:color w:val="000000"/>
                <w:sz w:val="17"/>
                <w:szCs w:val="17"/>
                <w:lang w:val="ru-RU"/>
              </w:rPr>
              <w:t>.</w:t>
            </w:r>
          </w:p>
        </w:tc>
        <w:tc>
          <w:tcPr>
            <w:tcW w:w="589"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243</w:t>
            </w:r>
            <w:r>
              <w:rPr>
                <w:color w:val="000000"/>
                <w:sz w:val="17"/>
                <w:szCs w:val="17"/>
                <w:lang w:val="ru-RU"/>
              </w:rPr>
              <w:t xml:space="preserve"> </w:t>
            </w:r>
            <w:r w:rsidRPr="00303E4F">
              <w:rPr>
                <w:color w:val="000000"/>
                <w:sz w:val="17"/>
                <w:szCs w:val="17"/>
              </w:rPr>
              <w:t>000***</w:t>
            </w:r>
          </w:p>
          <w:p w:rsidR="002D647F" w:rsidRPr="00303E4F" w:rsidRDefault="002D647F" w:rsidP="002D647F">
            <w:pPr>
              <w:rPr>
                <w:color w:val="000000"/>
                <w:sz w:val="17"/>
                <w:szCs w:val="17"/>
              </w:rPr>
            </w:pPr>
          </w:p>
        </w:tc>
        <w:tc>
          <w:tcPr>
            <w:tcW w:w="530"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 399</w:t>
            </w:r>
            <w:r>
              <w:rPr>
                <w:color w:val="000000"/>
                <w:sz w:val="17"/>
                <w:szCs w:val="17"/>
                <w:lang w:val="ru-RU"/>
              </w:rPr>
              <w:t xml:space="preserve"> </w:t>
            </w:r>
            <w:r w:rsidRPr="00303E4F">
              <w:rPr>
                <w:color w:val="000000"/>
                <w:sz w:val="17"/>
                <w:szCs w:val="17"/>
              </w:rPr>
              <w:t>000</w:t>
            </w:r>
          </w:p>
        </w:tc>
        <w:tc>
          <w:tcPr>
            <w:tcW w:w="813" w:type="pct"/>
            <w:tcBorders>
              <w:top w:val="single" w:sz="4" w:space="0" w:color="auto"/>
              <w:left w:val="nil"/>
              <w:bottom w:val="single" w:sz="4" w:space="0" w:color="auto"/>
              <w:right w:val="single" w:sz="4" w:space="0" w:color="auto"/>
            </w:tcBorders>
            <w:shd w:val="clear" w:color="auto" w:fill="auto"/>
            <w:hideMark/>
          </w:tcPr>
          <w:p w:rsidR="002D647F" w:rsidRPr="00AB74A3" w:rsidRDefault="002D647F" w:rsidP="00293714">
            <w:pPr>
              <w:rPr>
                <w:color w:val="000000"/>
                <w:sz w:val="17"/>
                <w:szCs w:val="17"/>
                <w:lang w:val="ru-RU"/>
              </w:rPr>
            </w:pPr>
            <w:r>
              <w:rPr>
                <w:color w:val="000000"/>
                <w:sz w:val="17"/>
                <w:szCs w:val="17"/>
                <w:lang w:val="ru-RU"/>
              </w:rPr>
              <w:t>Снижение</w:t>
            </w:r>
            <w:r w:rsidRPr="00AB74A3">
              <w:rPr>
                <w:color w:val="000000"/>
                <w:sz w:val="17"/>
                <w:szCs w:val="17"/>
                <w:lang w:val="ru-RU"/>
              </w:rPr>
              <w:t xml:space="preserve"> </w:t>
            </w:r>
            <w:r>
              <w:rPr>
                <w:color w:val="000000"/>
                <w:sz w:val="17"/>
                <w:szCs w:val="17"/>
                <w:lang w:val="ru-RU"/>
              </w:rPr>
              <w:t>расходов</w:t>
            </w:r>
            <w:r w:rsidRPr="00AB74A3">
              <w:rPr>
                <w:color w:val="000000"/>
                <w:sz w:val="17"/>
                <w:szCs w:val="17"/>
                <w:lang w:val="ru-RU"/>
              </w:rPr>
              <w:t xml:space="preserve"> </w:t>
            </w:r>
            <w:r>
              <w:rPr>
                <w:color w:val="000000"/>
                <w:sz w:val="17"/>
                <w:szCs w:val="17"/>
                <w:lang w:val="ru-RU"/>
              </w:rPr>
              <w:t>в</w:t>
            </w:r>
            <w:r w:rsidRPr="00AB74A3">
              <w:rPr>
                <w:color w:val="000000"/>
                <w:sz w:val="17"/>
                <w:szCs w:val="17"/>
                <w:lang w:val="ru-RU"/>
              </w:rPr>
              <w:t xml:space="preserve"> </w:t>
            </w:r>
            <w:r>
              <w:rPr>
                <w:color w:val="000000"/>
                <w:sz w:val="17"/>
                <w:szCs w:val="17"/>
                <w:lang w:val="ru-RU"/>
              </w:rPr>
              <w:t>расчете</w:t>
            </w:r>
            <w:r w:rsidRPr="00AB74A3">
              <w:rPr>
                <w:color w:val="000000"/>
                <w:sz w:val="17"/>
                <w:szCs w:val="17"/>
                <w:lang w:val="ru-RU"/>
              </w:rPr>
              <w:t xml:space="preserve"> </w:t>
            </w:r>
            <w:r>
              <w:rPr>
                <w:color w:val="000000"/>
                <w:sz w:val="17"/>
                <w:szCs w:val="17"/>
                <w:lang w:val="ru-RU"/>
              </w:rPr>
              <w:t>на</w:t>
            </w:r>
            <w:r w:rsidRPr="00AB74A3">
              <w:rPr>
                <w:color w:val="000000"/>
                <w:sz w:val="17"/>
                <w:szCs w:val="17"/>
                <w:lang w:val="ru-RU"/>
              </w:rPr>
              <w:t xml:space="preserve"> </w:t>
            </w:r>
            <w:r>
              <w:rPr>
                <w:color w:val="000000"/>
                <w:sz w:val="17"/>
                <w:szCs w:val="17"/>
                <w:lang w:val="ru-RU"/>
              </w:rPr>
              <w:t>одну</w:t>
            </w:r>
            <w:r w:rsidRPr="00AB74A3">
              <w:rPr>
                <w:color w:val="000000"/>
                <w:sz w:val="17"/>
                <w:szCs w:val="17"/>
                <w:lang w:val="ru-RU"/>
              </w:rPr>
              <w:t xml:space="preserve"> </w:t>
            </w:r>
            <w:r>
              <w:rPr>
                <w:color w:val="000000"/>
                <w:sz w:val="17"/>
                <w:szCs w:val="17"/>
                <w:lang w:val="ru-RU"/>
              </w:rPr>
              <w:t>страницу</w:t>
            </w:r>
            <w:r w:rsidRPr="00AB74A3">
              <w:rPr>
                <w:color w:val="000000"/>
                <w:sz w:val="17"/>
                <w:szCs w:val="17"/>
                <w:lang w:val="ru-RU"/>
              </w:rPr>
              <w:t xml:space="preserve"> </w:t>
            </w:r>
            <w:r>
              <w:rPr>
                <w:color w:val="000000"/>
                <w:sz w:val="17"/>
                <w:szCs w:val="17"/>
                <w:lang w:val="ru-RU"/>
              </w:rPr>
              <w:t>с</w:t>
            </w:r>
            <w:r w:rsidRPr="00AB74A3">
              <w:rPr>
                <w:color w:val="000000"/>
                <w:sz w:val="17"/>
                <w:szCs w:val="17"/>
                <w:lang w:val="ru-RU"/>
              </w:rPr>
              <w:t xml:space="preserve"> 0.20</w:t>
            </w:r>
            <w:r w:rsidR="00293714">
              <w:rPr>
                <w:color w:val="000000"/>
                <w:sz w:val="17"/>
                <w:szCs w:val="17"/>
                <w:lang w:val="ru-RU"/>
              </w:rPr>
              <w:t> </w:t>
            </w:r>
            <w:r>
              <w:rPr>
                <w:color w:val="000000"/>
                <w:sz w:val="17"/>
                <w:szCs w:val="17"/>
                <w:lang w:val="ru-RU"/>
              </w:rPr>
              <w:t>шв</w:t>
            </w:r>
            <w:r w:rsidRPr="00AB74A3">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AB74A3">
              <w:rPr>
                <w:color w:val="000000"/>
                <w:sz w:val="17"/>
                <w:szCs w:val="17"/>
                <w:lang w:val="ru-RU"/>
              </w:rPr>
              <w:t xml:space="preserve"> </w:t>
            </w:r>
            <w:r>
              <w:rPr>
                <w:color w:val="000000"/>
                <w:sz w:val="17"/>
                <w:szCs w:val="17"/>
                <w:lang w:val="ru-RU"/>
              </w:rPr>
              <w:t>в</w:t>
            </w:r>
            <w:r w:rsidRPr="00AB74A3">
              <w:rPr>
                <w:color w:val="000000"/>
                <w:sz w:val="17"/>
                <w:szCs w:val="17"/>
                <w:lang w:val="ru-RU"/>
              </w:rPr>
              <w:t xml:space="preserve"> 2013 </w:t>
            </w:r>
            <w:r>
              <w:rPr>
                <w:color w:val="000000"/>
                <w:sz w:val="17"/>
                <w:szCs w:val="17"/>
                <w:lang w:val="ru-RU"/>
              </w:rPr>
              <w:t>г</w:t>
            </w:r>
            <w:r w:rsidRPr="00AB74A3">
              <w:rPr>
                <w:color w:val="000000"/>
                <w:sz w:val="17"/>
                <w:szCs w:val="17"/>
                <w:lang w:val="ru-RU"/>
              </w:rPr>
              <w:t xml:space="preserve">. </w:t>
            </w:r>
            <w:r>
              <w:rPr>
                <w:color w:val="000000"/>
                <w:sz w:val="17"/>
                <w:szCs w:val="17"/>
                <w:lang w:val="ru-RU"/>
              </w:rPr>
              <w:t>до</w:t>
            </w:r>
            <w:r w:rsidR="00293714">
              <w:rPr>
                <w:color w:val="000000"/>
                <w:sz w:val="17"/>
                <w:szCs w:val="17"/>
                <w:lang w:val="ru-RU"/>
              </w:rPr>
              <w:t xml:space="preserve"> 0.15 </w:t>
            </w:r>
            <w:r>
              <w:rPr>
                <w:color w:val="000000"/>
                <w:sz w:val="17"/>
                <w:szCs w:val="17"/>
                <w:lang w:val="ru-RU"/>
              </w:rPr>
              <w:t>шв</w:t>
            </w:r>
            <w:r w:rsidRPr="00AB74A3">
              <w:rPr>
                <w:color w:val="000000"/>
                <w:sz w:val="17"/>
                <w:szCs w:val="17"/>
                <w:lang w:val="ru-RU"/>
              </w:rPr>
              <w:t xml:space="preserve">. </w:t>
            </w:r>
            <w:r>
              <w:rPr>
                <w:color w:val="000000"/>
                <w:sz w:val="17"/>
                <w:szCs w:val="17"/>
                <w:lang w:val="ru-RU"/>
              </w:rPr>
              <w:t>фр</w:t>
            </w:r>
            <w:r w:rsidR="00293714">
              <w:rPr>
                <w:color w:val="000000"/>
                <w:sz w:val="17"/>
                <w:szCs w:val="17"/>
                <w:lang w:val="ru-RU"/>
              </w:rPr>
              <w:t>.</w:t>
            </w:r>
            <w:r w:rsidRPr="00AB74A3">
              <w:rPr>
                <w:color w:val="000000"/>
                <w:sz w:val="17"/>
                <w:szCs w:val="17"/>
                <w:lang w:val="ru-RU"/>
              </w:rPr>
              <w:t xml:space="preserve"> </w:t>
            </w:r>
            <w:r>
              <w:rPr>
                <w:color w:val="000000"/>
                <w:sz w:val="17"/>
                <w:szCs w:val="17"/>
                <w:lang w:val="ru-RU"/>
              </w:rPr>
              <w:t>в</w:t>
            </w:r>
            <w:r w:rsidRPr="00AB74A3">
              <w:rPr>
                <w:color w:val="000000"/>
                <w:sz w:val="17"/>
                <w:szCs w:val="17"/>
                <w:lang w:val="ru-RU"/>
              </w:rPr>
              <w:t xml:space="preserve"> 2014 </w:t>
            </w:r>
            <w:r>
              <w:rPr>
                <w:color w:val="000000"/>
                <w:sz w:val="17"/>
                <w:szCs w:val="17"/>
                <w:lang w:val="ru-RU"/>
              </w:rPr>
              <w:t>г</w:t>
            </w:r>
            <w:r w:rsidRPr="00AB74A3">
              <w:rPr>
                <w:color w:val="000000"/>
                <w:sz w:val="17"/>
                <w:szCs w:val="17"/>
                <w:lang w:val="ru-RU"/>
              </w:rPr>
              <w:t>. (</w:t>
            </w:r>
            <w:r>
              <w:rPr>
                <w:color w:val="000000"/>
                <w:sz w:val="17"/>
                <w:szCs w:val="17"/>
                <w:lang w:val="ru-RU"/>
              </w:rPr>
              <w:t>на</w:t>
            </w:r>
            <w:r w:rsidR="00293714">
              <w:rPr>
                <w:color w:val="000000"/>
                <w:sz w:val="17"/>
                <w:szCs w:val="17"/>
                <w:lang w:val="ru-RU"/>
              </w:rPr>
              <w:t> </w:t>
            </w:r>
            <w:r w:rsidRPr="00AB74A3">
              <w:rPr>
                <w:color w:val="000000"/>
                <w:sz w:val="17"/>
                <w:szCs w:val="17"/>
                <w:lang w:val="ru-RU"/>
              </w:rPr>
              <w:t>26%</w:t>
            </w:r>
            <w:r>
              <w:rPr>
                <w:color w:val="000000"/>
                <w:sz w:val="17"/>
                <w:szCs w:val="17"/>
                <w:lang w:val="ru-RU"/>
              </w:rPr>
              <w:t>)</w:t>
            </w:r>
            <w:r w:rsidRPr="00AB74A3">
              <w:rPr>
                <w:color w:val="000000"/>
                <w:sz w:val="17"/>
                <w:szCs w:val="17"/>
                <w:lang w:val="ru-RU"/>
              </w:rPr>
              <w:t xml:space="preserve">*** </w:t>
            </w:r>
          </w:p>
        </w:tc>
        <w:tc>
          <w:tcPr>
            <w:tcW w:w="871" w:type="pct"/>
            <w:tcBorders>
              <w:top w:val="single" w:sz="4" w:space="0" w:color="auto"/>
              <w:left w:val="nil"/>
              <w:bottom w:val="single" w:sz="4" w:space="0" w:color="auto"/>
              <w:right w:val="single" w:sz="4" w:space="0" w:color="auto"/>
            </w:tcBorders>
            <w:shd w:val="clear" w:color="auto" w:fill="auto"/>
            <w:hideMark/>
          </w:tcPr>
          <w:p w:rsidR="002D647F" w:rsidRPr="00AB74A3" w:rsidRDefault="002D647F" w:rsidP="00293714">
            <w:pPr>
              <w:rPr>
                <w:color w:val="000000"/>
                <w:sz w:val="17"/>
                <w:szCs w:val="17"/>
                <w:lang w:val="ru-RU"/>
              </w:rPr>
            </w:pPr>
            <w:r>
              <w:rPr>
                <w:color w:val="000000"/>
                <w:sz w:val="17"/>
                <w:szCs w:val="17"/>
                <w:lang w:val="ru-RU"/>
              </w:rPr>
              <w:t>Как и в 2014 г., в 2015 г. р</w:t>
            </w:r>
            <w:r w:rsidRPr="00AB74A3">
              <w:rPr>
                <w:color w:val="000000"/>
                <w:sz w:val="17"/>
                <w:szCs w:val="17"/>
                <w:lang w:val="ru-RU"/>
              </w:rPr>
              <w:t>асход</w:t>
            </w:r>
            <w:r>
              <w:rPr>
                <w:color w:val="000000"/>
                <w:sz w:val="17"/>
                <w:szCs w:val="17"/>
                <w:lang w:val="ru-RU"/>
              </w:rPr>
              <w:t>ы</w:t>
            </w:r>
            <w:r w:rsidRPr="00AB74A3">
              <w:rPr>
                <w:color w:val="000000"/>
                <w:sz w:val="17"/>
                <w:szCs w:val="17"/>
                <w:lang w:val="ru-RU"/>
              </w:rPr>
              <w:t xml:space="preserve"> в расчете на одну страницу</w:t>
            </w:r>
            <w:r>
              <w:rPr>
                <w:color w:val="000000"/>
                <w:sz w:val="17"/>
                <w:szCs w:val="17"/>
                <w:lang w:val="ru-RU"/>
              </w:rPr>
              <w:t xml:space="preserve"> составили </w:t>
            </w:r>
            <w:r w:rsidR="00293714">
              <w:rPr>
                <w:color w:val="000000"/>
                <w:sz w:val="17"/>
                <w:szCs w:val="17"/>
                <w:lang w:val="ru-RU"/>
              </w:rPr>
              <w:t>0.15 </w:t>
            </w:r>
            <w:r>
              <w:rPr>
                <w:color w:val="000000"/>
                <w:sz w:val="17"/>
                <w:szCs w:val="17"/>
                <w:lang w:val="ru-RU"/>
              </w:rPr>
              <w:t>шв</w:t>
            </w:r>
            <w:r w:rsidRPr="00AB74A3">
              <w:rPr>
                <w:color w:val="000000"/>
                <w:sz w:val="17"/>
                <w:szCs w:val="17"/>
                <w:lang w:val="ru-RU"/>
              </w:rPr>
              <w:t xml:space="preserve">. </w:t>
            </w:r>
            <w:r>
              <w:rPr>
                <w:color w:val="000000"/>
                <w:sz w:val="17"/>
                <w:szCs w:val="17"/>
                <w:lang w:val="ru-RU"/>
              </w:rPr>
              <w:t>фр</w:t>
            </w:r>
            <w:r w:rsidR="00293714">
              <w:rPr>
                <w:color w:val="000000"/>
                <w:sz w:val="17"/>
                <w:szCs w:val="17"/>
                <w:lang w:val="ru-RU"/>
              </w:rPr>
              <w:t>.</w:t>
            </w:r>
          </w:p>
        </w:tc>
        <w:tc>
          <w:tcPr>
            <w:tcW w:w="1183" w:type="pct"/>
            <w:tcBorders>
              <w:top w:val="single" w:sz="4" w:space="0" w:color="auto"/>
              <w:left w:val="nil"/>
              <w:bottom w:val="single" w:sz="4" w:space="0" w:color="auto"/>
              <w:right w:val="single" w:sz="4" w:space="0" w:color="auto"/>
            </w:tcBorders>
            <w:shd w:val="clear" w:color="auto" w:fill="auto"/>
            <w:hideMark/>
          </w:tcPr>
          <w:p w:rsidR="002D647F" w:rsidRPr="00AB74A3" w:rsidRDefault="002D647F" w:rsidP="00506508">
            <w:pPr>
              <w:ind w:left="-43"/>
              <w:rPr>
                <w:color w:val="000000"/>
                <w:sz w:val="17"/>
                <w:szCs w:val="17"/>
                <w:lang w:val="ru-RU"/>
              </w:rPr>
            </w:pPr>
            <w:r w:rsidRPr="00303E4F">
              <w:rPr>
                <w:color w:val="000000"/>
                <w:sz w:val="17"/>
                <w:szCs w:val="17"/>
              </w:rPr>
              <w:t> </w:t>
            </w:r>
          </w:p>
        </w:tc>
      </w:tr>
      <w:tr w:rsidR="00506508" w:rsidRPr="005C6ABD" w:rsidTr="00506508">
        <w:trPr>
          <w:trHeight w:val="1561"/>
        </w:trPr>
        <w:tc>
          <w:tcPr>
            <w:tcW w:w="1014" w:type="pct"/>
            <w:tcBorders>
              <w:top w:val="nil"/>
              <w:left w:val="single" w:sz="4" w:space="0" w:color="auto"/>
              <w:bottom w:val="single" w:sz="4" w:space="0" w:color="auto"/>
              <w:right w:val="single" w:sz="4" w:space="0" w:color="auto"/>
            </w:tcBorders>
            <w:shd w:val="clear" w:color="auto" w:fill="auto"/>
            <w:hideMark/>
          </w:tcPr>
          <w:p w:rsidR="002D647F" w:rsidRPr="00AB74A3" w:rsidRDefault="002D647F" w:rsidP="002D647F">
            <w:pPr>
              <w:rPr>
                <w:color w:val="000000"/>
                <w:sz w:val="17"/>
                <w:szCs w:val="17"/>
                <w:lang w:val="ru-RU"/>
              </w:rPr>
            </w:pPr>
            <w:r>
              <w:rPr>
                <w:color w:val="000000"/>
                <w:sz w:val="17"/>
                <w:szCs w:val="17"/>
                <w:lang w:val="ru-RU"/>
              </w:rPr>
              <w:t>Снижение</w:t>
            </w:r>
            <w:r w:rsidRPr="00AB74A3">
              <w:rPr>
                <w:color w:val="000000"/>
                <w:sz w:val="17"/>
                <w:szCs w:val="17"/>
                <w:lang w:val="ru-RU"/>
              </w:rPr>
              <w:t xml:space="preserve"> </w:t>
            </w:r>
            <w:r>
              <w:rPr>
                <w:color w:val="000000"/>
                <w:sz w:val="17"/>
                <w:szCs w:val="17"/>
                <w:lang w:val="ru-RU"/>
              </w:rPr>
              <w:t>почтовых</w:t>
            </w:r>
            <w:r w:rsidRPr="00AB74A3">
              <w:rPr>
                <w:color w:val="000000"/>
                <w:sz w:val="17"/>
                <w:szCs w:val="17"/>
                <w:lang w:val="ru-RU"/>
              </w:rPr>
              <w:t xml:space="preserve"> </w:t>
            </w:r>
            <w:r>
              <w:rPr>
                <w:color w:val="000000"/>
                <w:sz w:val="17"/>
                <w:szCs w:val="17"/>
                <w:lang w:val="ru-RU"/>
              </w:rPr>
              <w:t>расходов</w:t>
            </w:r>
            <w:r w:rsidRPr="00AB74A3">
              <w:rPr>
                <w:color w:val="000000"/>
                <w:sz w:val="17"/>
                <w:szCs w:val="17"/>
                <w:lang w:val="ru-RU"/>
              </w:rPr>
              <w:t xml:space="preserve"> </w:t>
            </w:r>
            <w:r>
              <w:rPr>
                <w:color w:val="000000"/>
                <w:sz w:val="17"/>
                <w:szCs w:val="17"/>
                <w:lang w:val="ru-RU"/>
              </w:rPr>
              <w:t>в</w:t>
            </w:r>
            <w:r w:rsidRPr="00AB74A3">
              <w:rPr>
                <w:color w:val="000000"/>
                <w:sz w:val="17"/>
                <w:szCs w:val="17"/>
                <w:lang w:val="ru-RU"/>
              </w:rPr>
              <w:t xml:space="preserve"> </w:t>
            </w:r>
            <w:r>
              <w:rPr>
                <w:color w:val="000000"/>
                <w:sz w:val="17"/>
                <w:szCs w:val="17"/>
                <w:lang w:val="ru-RU"/>
              </w:rPr>
              <w:t>результате</w:t>
            </w:r>
            <w:r w:rsidRPr="00AB74A3">
              <w:rPr>
                <w:color w:val="000000"/>
                <w:sz w:val="17"/>
                <w:szCs w:val="17"/>
                <w:lang w:val="ru-RU"/>
              </w:rPr>
              <w:t xml:space="preserve"> </w:t>
            </w:r>
            <w:r>
              <w:rPr>
                <w:color w:val="000000"/>
                <w:sz w:val="17"/>
                <w:szCs w:val="17"/>
                <w:lang w:val="ru-RU"/>
              </w:rPr>
              <w:t>согласования</w:t>
            </w:r>
            <w:r w:rsidRPr="00AB74A3">
              <w:rPr>
                <w:color w:val="000000"/>
                <w:sz w:val="17"/>
                <w:szCs w:val="17"/>
                <w:lang w:val="ru-RU"/>
              </w:rPr>
              <w:t xml:space="preserve"> </w:t>
            </w:r>
            <w:r>
              <w:rPr>
                <w:color w:val="000000"/>
                <w:sz w:val="17"/>
                <w:szCs w:val="17"/>
                <w:lang w:val="ru-RU"/>
              </w:rPr>
              <w:t>более низких тарифов с внешними поставщиками почтовых услуг и группировки адресов</w:t>
            </w:r>
          </w:p>
        </w:tc>
        <w:tc>
          <w:tcPr>
            <w:tcW w:w="589"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71</w:t>
            </w:r>
            <w:r>
              <w:rPr>
                <w:color w:val="000000"/>
                <w:sz w:val="17"/>
                <w:szCs w:val="17"/>
                <w:lang w:val="ru-RU"/>
              </w:rPr>
              <w:t xml:space="preserve"> </w:t>
            </w:r>
            <w:r w:rsidRPr="00303E4F">
              <w:rPr>
                <w:color w:val="000000"/>
                <w:sz w:val="17"/>
                <w:szCs w:val="17"/>
              </w:rPr>
              <w:t>662***</w:t>
            </w:r>
          </w:p>
          <w:p w:rsidR="002D647F" w:rsidRPr="00303E4F" w:rsidRDefault="002D647F" w:rsidP="002D647F">
            <w:pPr>
              <w:rPr>
                <w:color w:val="000000"/>
                <w:sz w:val="17"/>
                <w:szCs w:val="17"/>
              </w:rPr>
            </w:pPr>
          </w:p>
        </w:tc>
        <w:tc>
          <w:tcPr>
            <w:tcW w:w="530"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 189</w:t>
            </w:r>
            <w:r>
              <w:rPr>
                <w:color w:val="000000"/>
                <w:sz w:val="17"/>
                <w:szCs w:val="17"/>
                <w:lang w:val="ru-RU"/>
              </w:rPr>
              <w:t xml:space="preserve"> </w:t>
            </w:r>
            <w:r w:rsidRPr="00303E4F">
              <w:rPr>
                <w:color w:val="000000"/>
                <w:sz w:val="17"/>
                <w:szCs w:val="17"/>
              </w:rPr>
              <w:t>367</w:t>
            </w:r>
          </w:p>
        </w:tc>
        <w:tc>
          <w:tcPr>
            <w:tcW w:w="813"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 </w:t>
            </w:r>
          </w:p>
        </w:tc>
        <w:tc>
          <w:tcPr>
            <w:tcW w:w="871" w:type="pct"/>
            <w:tcBorders>
              <w:top w:val="nil"/>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 </w:t>
            </w:r>
          </w:p>
        </w:tc>
        <w:tc>
          <w:tcPr>
            <w:tcW w:w="1183" w:type="pct"/>
            <w:tcBorders>
              <w:top w:val="nil"/>
              <w:left w:val="nil"/>
              <w:bottom w:val="single" w:sz="4" w:space="0" w:color="auto"/>
              <w:right w:val="single" w:sz="4" w:space="0" w:color="auto"/>
            </w:tcBorders>
            <w:shd w:val="clear" w:color="auto" w:fill="auto"/>
            <w:hideMark/>
          </w:tcPr>
          <w:p w:rsidR="002D647F" w:rsidRPr="002D647F" w:rsidRDefault="002D647F" w:rsidP="00506508">
            <w:pPr>
              <w:ind w:left="-43"/>
              <w:rPr>
                <w:color w:val="000000"/>
                <w:sz w:val="17"/>
                <w:szCs w:val="17"/>
                <w:lang w:val="ru-RU"/>
              </w:rPr>
            </w:pPr>
            <w:r w:rsidRPr="008B551B">
              <w:rPr>
                <w:color w:val="000000"/>
                <w:sz w:val="17"/>
                <w:szCs w:val="17"/>
                <w:lang w:val="ru-RU"/>
              </w:rPr>
              <w:t>2014</w:t>
            </w:r>
            <w:r>
              <w:rPr>
                <w:color w:val="000000"/>
                <w:sz w:val="17"/>
                <w:szCs w:val="17"/>
                <w:lang w:val="ru-RU"/>
              </w:rPr>
              <w:t>г</w:t>
            </w:r>
            <w:r w:rsidRPr="008B551B">
              <w:rPr>
                <w:color w:val="000000"/>
                <w:sz w:val="17"/>
                <w:szCs w:val="17"/>
                <w:lang w:val="ru-RU"/>
              </w:rPr>
              <w:t xml:space="preserve">.: </w:t>
            </w:r>
            <w:r>
              <w:rPr>
                <w:color w:val="000000"/>
                <w:sz w:val="17"/>
                <w:szCs w:val="17"/>
                <w:lang w:val="ru-RU"/>
              </w:rPr>
              <w:t>Заключение</w:t>
            </w:r>
            <w:r w:rsidRPr="008B551B">
              <w:rPr>
                <w:color w:val="000000"/>
                <w:sz w:val="17"/>
                <w:szCs w:val="17"/>
                <w:lang w:val="ru-RU"/>
              </w:rPr>
              <w:t xml:space="preserve"> </w:t>
            </w:r>
            <w:r>
              <w:rPr>
                <w:color w:val="000000"/>
                <w:sz w:val="17"/>
                <w:szCs w:val="17"/>
                <w:lang w:val="ru-RU"/>
              </w:rPr>
              <w:t>договоров</w:t>
            </w:r>
            <w:r w:rsidRPr="008B551B">
              <w:rPr>
                <w:color w:val="000000"/>
                <w:sz w:val="17"/>
                <w:szCs w:val="17"/>
                <w:lang w:val="ru-RU"/>
              </w:rPr>
              <w:t xml:space="preserve"> </w:t>
            </w:r>
            <w:r>
              <w:rPr>
                <w:color w:val="000000"/>
                <w:sz w:val="17"/>
                <w:szCs w:val="17"/>
                <w:lang w:val="ru-RU"/>
              </w:rPr>
              <w:t>с</w:t>
            </w:r>
            <w:r w:rsidRPr="008B551B">
              <w:rPr>
                <w:color w:val="000000"/>
                <w:sz w:val="17"/>
                <w:szCs w:val="17"/>
                <w:lang w:val="ru-RU"/>
              </w:rPr>
              <w:t xml:space="preserve"> </w:t>
            </w:r>
            <w:r>
              <w:rPr>
                <w:color w:val="000000"/>
                <w:sz w:val="17"/>
                <w:szCs w:val="17"/>
                <w:lang w:val="ru-RU"/>
              </w:rPr>
              <w:t>почтовыми</w:t>
            </w:r>
            <w:r w:rsidRPr="008B551B">
              <w:rPr>
                <w:color w:val="000000"/>
                <w:sz w:val="17"/>
                <w:szCs w:val="17"/>
                <w:lang w:val="ru-RU"/>
              </w:rPr>
              <w:t xml:space="preserve"> </w:t>
            </w:r>
            <w:r>
              <w:rPr>
                <w:color w:val="000000"/>
                <w:sz w:val="17"/>
                <w:szCs w:val="17"/>
                <w:lang w:val="ru-RU"/>
              </w:rPr>
              <w:t>службами</w:t>
            </w:r>
            <w:r w:rsidRPr="008B551B">
              <w:rPr>
                <w:color w:val="000000"/>
                <w:sz w:val="17"/>
                <w:szCs w:val="17"/>
                <w:lang w:val="ru-RU"/>
              </w:rPr>
              <w:t xml:space="preserve"> </w:t>
            </w:r>
            <w:r>
              <w:rPr>
                <w:color w:val="000000"/>
                <w:sz w:val="17"/>
                <w:szCs w:val="17"/>
                <w:lang w:val="ru-RU"/>
              </w:rPr>
              <w:t>на</w:t>
            </w:r>
            <w:r w:rsidRPr="008B551B">
              <w:rPr>
                <w:color w:val="000000"/>
                <w:sz w:val="17"/>
                <w:szCs w:val="17"/>
                <w:lang w:val="ru-RU"/>
              </w:rPr>
              <w:t xml:space="preserve"> </w:t>
            </w:r>
            <w:r>
              <w:rPr>
                <w:color w:val="000000"/>
                <w:sz w:val="17"/>
                <w:szCs w:val="17"/>
                <w:lang w:val="ru-RU"/>
              </w:rPr>
              <w:t>новых</w:t>
            </w:r>
            <w:r w:rsidRPr="008B551B">
              <w:rPr>
                <w:color w:val="000000"/>
                <w:sz w:val="17"/>
                <w:szCs w:val="17"/>
                <w:lang w:val="ru-RU"/>
              </w:rPr>
              <w:t xml:space="preserve"> </w:t>
            </w:r>
            <w:r>
              <w:rPr>
                <w:color w:val="000000"/>
                <w:sz w:val="17"/>
                <w:szCs w:val="17"/>
                <w:lang w:val="ru-RU"/>
              </w:rPr>
              <w:t>условиях</w:t>
            </w:r>
            <w:r w:rsidRPr="008B551B">
              <w:rPr>
                <w:color w:val="000000"/>
                <w:sz w:val="17"/>
                <w:szCs w:val="17"/>
                <w:lang w:val="ru-RU"/>
              </w:rPr>
              <w:t xml:space="preserve"> </w:t>
            </w:r>
            <w:r>
              <w:rPr>
                <w:color w:val="000000"/>
                <w:sz w:val="17"/>
                <w:szCs w:val="17"/>
                <w:lang w:val="ru-RU"/>
              </w:rPr>
              <w:t>позволило</w:t>
            </w:r>
            <w:r w:rsidRPr="008B551B">
              <w:rPr>
                <w:color w:val="000000"/>
                <w:sz w:val="17"/>
                <w:szCs w:val="17"/>
                <w:lang w:val="ru-RU"/>
              </w:rPr>
              <w:t xml:space="preserve"> </w:t>
            </w:r>
            <w:r>
              <w:rPr>
                <w:color w:val="000000"/>
                <w:sz w:val="17"/>
                <w:szCs w:val="17"/>
                <w:lang w:val="ru-RU"/>
              </w:rPr>
              <w:t>добиться общего снижения почтовых расходов по сравнению  с</w:t>
            </w:r>
            <w:r w:rsidRPr="002D647F">
              <w:rPr>
                <w:color w:val="000000"/>
                <w:sz w:val="17"/>
                <w:szCs w:val="17"/>
                <w:lang w:val="ru-RU"/>
              </w:rPr>
              <w:t xml:space="preserve"> 2013 </w:t>
            </w:r>
            <w:r>
              <w:rPr>
                <w:color w:val="000000"/>
                <w:sz w:val="17"/>
                <w:szCs w:val="17"/>
                <w:lang w:val="ru-RU"/>
              </w:rPr>
              <w:t>г</w:t>
            </w:r>
            <w:r w:rsidRPr="002D647F">
              <w:rPr>
                <w:color w:val="000000"/>
                <w:sz w:val="17"/>
                <w:szCs w:val="17"/>
                <w:lang w:val="ru-RU"/>
              </w:rPr>
              <w:t xml:space="preserve">. </w:t>
            </w:r>
            <w:r>
              <w:rPr>
                <w:color w:val="000000"/>
                <w:sz w:val="17"/>
                <w:szCs w:val="17"/>
                <w:lang w:val="ru-RU"/>
              </w:rPr>
              <w:t>на</w:t>
            </w:r>
            <w:r w:rsidRPr="002D647F">
              <w:rPr>
                <w:color w:val="000000"/>
                <w:sz w:val="17"/>
                <w:szCs w:val="17"/>
                <w:lang w:val="ru-RU"/>
              </w:rPr>
              <w:t xml:space="preserve"> 4%.</w:t>
            </w:r>
          </w:p>
          <w:p w:rsidR="002D647F" w:rsidRPr="002D647F" w:rsidRDefault="002D647F" w:rsidP="00506508">
            <w:pPr>
              <w:ind w:left="-43"/>
              <w:rPr>
                <w:color w:val="000000"/>
                <w:sz w:val="17"/>
                <w:szCs w:val="17"/>
                <w:lang w:val="ru-RU"/>
              </w:rPr>
            </w:pPr>
          </w:p>
          <w:p w:rsidR="002D647F" w:rsidRPr="008B551B" w:rsidRDefault="002D647F" w:rsidP="00506508">
            <w:pPr>
              <w:ind w:left="-43"/>
              <w:rPr>
                <w:color w:val="000000"/>
                <w:sz w:val="17"/>
                <w:szCs w:val="17"/>
                <w:lang w:val="ru-RU"/>
              </w:rPr>
            </w:pPr>
            <w:r w:rsidRPr="008B551B">
              <w:rPr>
                <w:color w:val="000000"/>
                <w:sz w:val="17"/>
                <w:szCs w:val="17"/>
                <w:lang w:val="ru-RU"/>
              </w:rPr>
              <w:t xml:space="preserve">2015 </w:t>
            </w:r>
            <w:r>
              <w:rPr>
                <w:color w:val="000000"/>
                <w:sz w:val="17"/>
                <w:szCs w:val="17"/>
                <w:lang w:val="ru-RU"/>
              </w:rPr>
              <w:t>г</w:t>
            </w:r>
            <w:r w:rsidRPr="008B551B">
              <w:rPr>
                <w:color w:val="000000"/>
                <w:sz w:val="17"/>
                <w:szCs w:val="17"/>
                <w:lang w:val="ru-RU"/>
              </w:rPr>
              <w:t xml:space="preserve">.: </w:t>
            </w:r>
            <w:r>
              <w:rPr>
                <w:color w:val="000000"/>
                <w:sz w:val="17"/>
                <w:szCs w:val="17"/>
                <w:lang w:val="ru-RU"/>
              </w:rPr>
              <w:t>Снижение по сравнению с 2013 г. на</w:t>
            </w:r>
            <w:r w:rsidRPr="008B551B">
              <w:rPr>
                <w:color w:val="000000"/>
                <w:sz w:val="17"/>
                <w:szCs w:val="17"/>
                <w:lang w:val="ru-RU"/>
              </w:rPr>
              <w:t xml:space="preserve"> 11%.</w:t>
            </w:r>
          </w:p>
          <w:p w:rsidR="002D647F" w:rsidRPr="008B551B" w:rsidRDefault="002D647F" w:rsidP="00506508">
            <w:pPr>
              <w:ind w:left="-43"/>
              <w:rPr>
                <w:color w:val="000000"/>
                <w:sz w:val="17"/>
                <w:szCs w:val="17"/>
                <w:lang w:val="ru-RU"/>
              </w:rPr>
            </w:pPr>
            <w:r w:rsidRPr="008B551B">
              <w:rPr>
                <w:color w:val="000000"/>
                <w:sz w:val="17"/>
                <w:szCs w:val="17"/>
                <w:lang w:val="ru-RU"/>
              </w:rPr>
              <w:t xml:space="preserve"> </w:t>
            </w:r>
          </w:p>
        </w:tc>
      </w:tr>
      <w:tr w:rsidR="00506508" w:rsidRPr="005C6ABD" w:rsidTr="00506508">
        <w:trPr>
          <w:trHeight w:val="859"/>
        </w:trPr>
        <w:tc>
          <w:tcPr>
            <w:tcW w:w="1014" w:type="pct"/>
            <w:tcBorders>
              <w:top w:val="single" w:sz="4" w:space="0" w:color="auto"/>
              <w:left w:val="single" w:sz="4" w:space="0" w:color="auto"/>
              <w:bottom w:val="single" w:sz="4" w:space="0" w:color="auto"/>
              <w:right w:val="single" w:sz="4" w:space="0" w:color="auto"/>
            </w:tcBorders>
            <w:shd w:val="clear" w:color="auto" w:fill="auto"/>
            <w:hideMark/>
          </w:tcPr>
          <w:p w:rsidR="002D647F" w:rsidRPr="008B551B" w:rsidRDefault="002D647F" w:rsidP="002D647F">
            <w:pPr>
              <w:rPr>
                <w:color w:val="000000"/>
                <w:sz w:val="17"/>
                <w:szCs w:val="17"/>
                <w:lang w:val="ru-RU"/>
              </w:rPr>
            </w:pPr>
            <w:r>
              <w:rPr>
                <w:color w:val="000000"/>
                <w:sz w:val="17"/>
                <w:szCs w:val="17"/>
                <w:lang w:val="ru-RU"/>
              </w:rPr>
              <w:t>Сокращения числа охранников, предоставляемых компанией-подрядчиком, и количества отработанного ими времени</w:t>
            </w:r>
            <w:r w:rsidRPr="008B551B">
              <w:rPr>
                <w:color w:val="000000"/>
                <w:sz w:val="17"/>
                <w:szCs w:val="17"/>
                <w:lang w:val="ru-RU"/>
              </w:rPr>
              <w:t>.</w:t>
            </w:r>
          </w:p>
        </w:tc>
        <w:tc>
          <w:tcPr>
            <w:tcW w:w="589"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331</w:t>
            </w:r>
            <w:r w:rsidRPr="00AB74A3">
              <w:rPr>
                <w:color w:val="000000"/>
                <w:sz w:val="17"/>
                <w:szCs w:val="17"/>
              </w:rPr>
              <w:t xml:space="preserve"> </w:t>
            </w:r>
            <w:r w:rsidRPr="00303E4F">
              <w:rPr>
                <w:color w:val="000000"/>
                <w:sz w:val="17"/>
                <w:szCs w:val="17"/>
              </w:rPr>
              <w:t xml:space="preserve">882*** </w:t>
            </w:r>
          </w:p>
          <w:p w:rsidR="002D647F" w:rsidRPr="00303E4F" w:rsidRDefault="002D647F" w:rsidP="002D647F">
            <w:pPr>
              <w:rPr>
                <w:color w:val="000000"/>
                <w:sz w:val="17"/>
                <w:szCs w:val="17"/>
              </w:rPr>
            </w:pPr>
          </w:p>
          <w:p w:rsidR="002D647F" w:rsidRPr="00303E4F" w:rsidRDefault="002D647F" w:rsidP="002D647F">
            <w:pPr>
              <w:rPr>
                <w:color w:val="000000"/>
                <w:sz w:val="17"/>
                <w:szCs w:val="17"/>
              </w:rPr>
            </w:pPr>
          </w:p>
        </w:tc>
        <w:tc>
          <w:tcPr>
            <w:tcW w:w="530"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Pr>
                <w:color w:val="000000"/>
                <w:sz w:val="17"/>
                <w:szCs w:val="17"/>
              </w:rPr>
              <w:t> 708</w:t>
            </w:r>
            <w:r w:rsidRPr="00AB74A3">
              <w:rPr>
                <w:color w:val="000000"/>
                <w:sz w:val="17"/>
                <w:szCs w:val="17"/>
              </w:rPr>
              <w:t xml:space="preserve"> </w:t>
            </w:r>
            <w:r w:rsidRPr="00303E4F">
              <w:rPr>
                <w:color w:val="000000"/>
                <w:sz w:val="17"/>
                <w:szCs w:val="17"/>
              </w:rPr>
              <w:t>739</w:t>
            </w:r>
          </w:p>
        </w:tc>
        <w:tc>
          <w:tcPr>
            <w:tcW w:w="813"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 </w:t>
            </w:r>
          </w:p>
        </w:tc>
        <w:tc>
          <w:tcPr>
            <w:tcW w:w="871"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rPr>
                <w:color w:val="000000"/>
                <w:sz w:val="17"/>
                <w:szCs w:val="17"/>
              </w:rPr>
            </w:pPr>
            <w:r w:rsidRPr="00303E4F">
              <w:rPr>
                <w:color w:val="000000"/>
                <w:sz w:val="17"/>
                <w:szCs w:val="17"/>
              </w:rPr>
              <w:t> </w:t>
            </w:r>
          </w:p>
        </w:tc>
        <w:tc>
          <w:tcPr>
            <w:tcW w:w="1183" w:type="pct"/>
            <w:tcBorders>
              <w:top w:val="single" w:sz="4" w:space="0" w:color="auto"/>
              <w:left w:val="nil"/>
              <w:bottom w:val="single" w:sz="4" w:space="0" w:color="auto"/>
              <w:right w:val="single" w:sz="4" w:space="0" w:color="auto"/>
            </w:tcBorders>
            <w:shd w:val="clear" w:color="auto" w:fill="auto"/>
            <w:hideMark/>
          </w:tcPr>
          <w:p w:rsidR="002D647F" w:rsidRPr="003F1C06" w:rsidRDefault="002D647F" w:rsidP="00506508">
            <w:pPr>
              <w:ind w:left="-43"/>
              <w:contextualSpacing/>
              <w:rPr>
                <w:sz w:val="17"/>
                <w:szCs w:val="17"/>
                <w:lang w:val="ru-RU"/>
              </w:rPr>
            </w:pPr>
            <w:r w:rsidRPr="003F1C06">
              <w:rPr>
                <w:sz w:val="17"/>
                <w:szCs w:val="17"/>
                <w:lang w:val="ru-RU"/>
              </w:rPr>
              <w:t xml:space="preserve">2014 </w:t>
            </w:r>
            <w:r>
              <w:rPr>
                <w:sz w:val="17"/>
                <w:szCs w:val="17"/>
                <w:lang w:val="ru-RU"/>
              </w:rPr>
              <w:t>г</w:t>
            </w:r>
            <w:r w:rsidRPr="003F1C06">
              <w:rPr>
                <w:sz w:val="17"/>
                <w:szCs w:val="17"/>
                <w:lang w:val="ru-RU"/>
              </w:rPr>
              <w:t xml:space="preserve">.: </w:t>
            </w:r>
            <w:r>
              <w:rPr>
                <w:sz w:val="17"/>
                <w:szCs w:val="17"/>
                <w:lang w:val="ru-RU"/>
              </w:rPr>
              <w:t>Общее</w:t>
            </w:r>
            <w:r w:rsidRPr="003F1C06">
              <w:rPr>
                <w:sz w:val="17"/>
                <w:szCs w:val="17"/>
                <w:lang w:val="ru-RU"/>
              </w:rPr>
              <w:t xml:space="preserve"> </w:t>
            </w:r>
            <w:r>
              <w:rPr>
                <w:sz w:val="17"/>
                <w:szCs w:val="17"/>
                <w:lang w:val="ru-RU"/>
              </w:rPr>
              <w:t>снижение</w:t>
            </w:r>
            <w:r w:rsidRPr="003F1C06">
              <w:rPr>
                <w:sz w:val="17"/>
                <w:szCs w:val="17"/>
                <w:lang w:val="ru-RU"/>
              </w:rPr>
              <w:t xml:space="preserve"> </w:t>
            </w:r>
            <w:r>
              <w:rPr>
                <w:sz w:val="17"/>
                <w:szCs w:val="17"/>
                <w:lang w:val="ru-RU"/>
              </w:rPr>
              <w:t>расходов</w:t>
            </w:r>
            <w:r w:rsidRPr="003F1C06">
              <w:rPr>
                <w:sz w:val="17"/>
                <w:szCs w:val="17"/>
                <w:lang w:val="ru-RU"/>
              </w:rPr>
              <w:t xml:space="preserve"> </w:t>
            </w:r>
            <w:r>
              <w:rPr>
                <w:sz w:val="17"/>
                <w:szCs w:val="17"/>
                <w:lang w:val="ru-RU"/>
              </w:rPr>
              <w:t>на</w:t>
            </w:r>
            <w:r w:rsidRPr="003F1C06">
              <w:rPr>
                <w:sz w:val="17"/>
                <w:szCs w:val="17"/>
                <w:lang w:val="ru-RU"/>
              </w:rPr>
              <w:t xml:space="preserve"> 8</w:t>
            </w:r>
            <w:r w:rsidR="005C3CF6">
              <w:rPr>
                <w:sz w:val="17"/>
                <w:szCs w:val="17"/>
                <w:lang w:val="ru-RU"/>
              </w:rPr>
              <w:t>,4% (331 </w:t>
            </w:r>
            <w:r w:rsidRPr="003F1C06">
              <w:rPr>
                <w:sz w:val="17"/>
                <w:szCs w:val="17"/>
                <w:lang w:val="ru-RU"/>
              </w:rPr>
              <w:t>882</w:t>
            </w:r>
            <w:r w:rsidR="005C3CF6">
              <w:rPr>
                <w:sz w:val="17"/>
                <w:szCs w:val="17"/>
                <w:lang w:val="ru-RU"/>
              </w:rPr>
              <w:t> </w:t>
            </w:r>
            <w:r>
              <w:rPr>
                <w:color w:val="000000"/>
                <w:sz w:val="17"/>
                <w:szCs w:val="17"/>
                <w:lang w:val="ru-RU"/>
              </w:rPr>
              <w:t>шв</w:t>
            </w:r>
            <w:r w:rsidRPr="003F1C06">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3F1C06">
              <w:rPr>
                <w:sz w:val="17"/>
                <w:szCs w:val="17"/>
                <w:lang w:val="ru-RU"/>
              </w:rPr>
              <w:t xml:space="preserve">) </w:t>
            </w:r>
            <w:r>
              <w:rPr>
                <w:sz w:val="17"/>
                <w:szCs w:val="17"/>
                <w:lang w:val="ru-RU"/>
              </w:rPr>
              <w:t>в</w:t>
            </w:r>
            <w:r w:rsidRPr="003F1C06">
              <w:rPr>
                <w:sz w:val="17"/>
                <w:szCs w:val="17"/>
                <w:lang w:val="ru-RU"/>
              </w:rPr>
              <w:t xml:space="preserve"> 2014</w:t>
            </w:r>
            <w:r w:rsidR="005C3CF6">
              <w:rPr>
                <w:sz w:val="17"/>
                <w:szCs w:val="17"/>
                <w:lang w:val="ru-RU"/>
              </w:rPr>
              <w:t> </w:t>
            </w:r>
            <w:r>
              <w:rPr>
                <w:sz w:val="17"/>
                <w:szCs w:val="17"/>
                <w:lang w:val="ru-RU"/>
              </w:rPr>
              <w:t>г</w:t>
            </w:r>
            <w:r w:rsidR="005C3CF6">
              <w:rPr>
                <w:sz w:val="17"/>
                <w:szCs w:val="17"/>
                <w:lang w:val="ru-RU"/>
              </w:rPr>
              <w:t>. (3 611 </w:t>
            </w:r>
            <w:r w:rsidRPr="003F1C06">
              <w:rPr>
                <w:sz w:val="17"/>
                <w:szCs w:val="17"/>
                <w:lang w:val="ru-RU"/>
              </w:rPr>
              <w:t>955</w:t>
            </w:r>
            <w:r w:rsidR="005C3CF6">
              <w:rPr>
                <w:sz w:val="17"/>
                <w:szCs w:val="17"/>
                <w:lang w:val="ru-RU"/>
              </w:rPr>
              <w:t> </w:t>
            </w:r>
            <w:r>
              <w:rPr>
                <w:color w:val="000000"/>
                <w:sz w:val="17"/>
                <w:szCs w:val="17"/>
                <w:lang w:val="ru-RU"/>
              </w:rPr>
              <w:t>шв</w:t>
            </w:r>
            <w:r w:rsidRPr="003F1C06">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3F1C06">
              <w:rPr>
                <w:sz w:val="17"/>
                <w:szCs w:val="17"/>
                <w:lang w:val="ru-RU"/>
              </w:rPr>
              <w:t xml:space="preserve">) </w:t>
            </w:r>
            <w:r>
              <w:rPr>
                <w:sz w:val="17"/>
                <w:szCs w:val="17"/>
                <w:lang w:val="ru-RU"/>
              </w:rPr>
              <w:t>по</w:t>
            </w:r>
            <w:r w:rsidRPr="003F1C06">
              <w:rPr>
                <w:sz w:val="17"/>
                <w:szCs w:val="17"/>
                <w:lang w:val="ru-RU"/>
              </w:rPr>
              <w:t xml:space="preserve"> </w:t>
            </w:r>
            <w:r>
              <w:rPr>
                <w:sz w:val="17"/>
                <w:szCs w:val="17"/>
                <w:lang w:val="ru-RU"/>
              </w:rPr>
              <w:t>сравнению</w:t>
            </w:r>
            <w:r w:rsidRPr="003F1C06">
              <w:rPr>
                <w:sz w:val="17"/>
                <w:szCs w:val="17"/>
                <w:lang w:val="ru-RU"/>
              </w:rPr>
              <w:t xml:space="preserve"> </w:t>
            </w:r>
            <w:r>
              <w:rPr>
                <w:sz w:val="17"/>
                <w:szCs w:val="17"/>
                <w:lang w:val="ru-RU"/>
              </w:rPr>
              <w:t>с</w:t>
            </w:r>
            <w:r w:rsidRPr="003F1C06">
              <w:rPr>
                <w:sz w:val="17"/>
                <w:szCs w:val="17"/>
                <w:lang w:val="ru-RU"/>
              </w:rPr>
              <w:t xml:space="preserve">  2013 </w:t>
            </w:r>
            <w:r>
              <w:rPr>
                <w:sz w:val="17"/>
                <w:szCs w:val="17"/>
                <w:lang w:val="ru-RU"/>
              </w:rPr>
              <w:t>г</w:t>
            </w:r>
            <w:r w:rsidRPr="003F1C06">
              <w:rPr>
                <w:sz w:val="17"/>
                <w:szCs w:val="17"/>
                <w:lang w:val="ru-RU"/>
              </w:rPr>
              <w:t>.</w:t>
            </w:r>
            <w:r w:rsidR="005C3CF6">
              <w:rPr>
                <w:sz w:val="17"/>
                <w:szCs w:val="17"/>
                <w:lang w:val="ru-RU"/>
              </w:rPr>
              <w:t xml:space="preserve"> (3 </w:t>
            </w:r>
            <w:r w:rsidRPr="003F1C06">
              <w:rPr>
                <w:sz w:val="17"/>
                <w:szCs w:val="17"/>
                <w:lang w:val="ru-RU"/>
              </w:rPr>
              <w:t>943</w:t>
            </w:r>
            <w:r w:rsidR="005C3CF6">
              <w:rPr>
                <w:sz w:val="17"/>
                <w:szCs w:val="17"/>
                <w:lang w:val="ru-RU"/>
              </w:rPr>
              <w:t> </w:t>
            </w:r>
            <w:r w:rsidRPr="003F1C06">
              <w:rPr>
                <w:sz w:val="17"/>
                <w:szCs w:val="17"/>
                <w:lang w:val="ru-RU"/>
              </w:rPr>
              <w:t>837</w:t>
            </w:r>
            <w:r w:rsidR="005C3CF6">
              <w:rPr>
                <w:sz w:val="17"/>
                <w:szCs w:val="17"/>
                <w:lang w:val="ru-RU"/>
              </w:rPr>
              <w:t> </w:t>
            </w:r>
            <w:r>
              <w:rPr>
                <w:color w:val="000000"/>
                <w:sz w:val="17"/>
                <w:szCs w:val="17"/>
                <w:lang w:val="ru-RU"/>
              </w:rPr>
              <w:t>шв</w:t>
            </w:r>
            <w:r w:rsidRPr="003F1C06">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3F1C06">
              <w:rPr>
                <w:sz w:val="17"/>
                <w:szCs w:val="17"/>
                <w:lang w:val="ru-RU"/>
              </w:rPr>
              <w:t xml:space="preserve">) </w:t>
            </w:r>
            <w:r>
              <w:rPr>
                <w:sz w:val="17"/>
                <w:szCs w:val="17"/>
                <w:lang w:val="ru-RU"/>
              </w:rPr>
              <w:t>в</w:t>
            </w:r>
            <w:r w:rsidRPr="003F1C06">
              <w:rPr>
                <w:sz w:val="17"/>
                <w:szCs w:val="17"/>
                <w:lang w:val="ru-RU"/>
              </w:rPr>
              <w:t xml:space="preserve"> </w:t>
            </w:r>
            <w:r>
              <w:rPr>
                <w:sz w:val="17"/>
                <w:szCs w:val="17"/>
                <w:lang w:val="ru-RU"/>
              </w:rPr>
              <w:t>результате</w:t>
            </w:r>
            <w:r w:rsidRPr="003F1C06">
              <w:rPr>
                <w:sz w:val="17"/>
                <w:szCs w:val="17"/>
                <w:lang w:val="ru-RU"/>
              </w:rPr>
              <w:t xml:space="preserve"> </w:t>
            </w:r>
            <w:r>
              <w:rPr>
                <w:sz w:val="17"/>
                <w:szCs w:val="17"/>
                <w:lang w:val="ru-RU"/>
              </w:rPr>
              <w:t>сокращения</w:t>
            </w:r>
            <w:r w:rsidRPr="003F1C06">
              <w:rPr>
                <w:sz w:val="17"/>
                <w:szCs w:val="17"/>
                <w:lang w:val="ru-RU"/>
              </w:rPr>
              <w:t xml:space="preserve"> </w:t>
            </w:r>
            <w:r>
              <w:rPr>
                <w:sz w:val="17"/>
                <w:szCs w:val="17"/>
                <w:lang w:val="ru-RU"/>
              </w:rPr>
              <w:t>в</w:t>
            </w:r>
            <w:r w:rsidRPr="003F1C06">
              <w:rPr>
                <w:sz w:val="17"/>
                <w:szCs w:val="17"/>
                <w:lang w:val="ru-RU"/>
              </w:rPr>
              <w:t xml:space="preserve"> 2014 </w:t>
            </w:r>
            <w:r>
              <w:rPr>
                <w:sz w:val="17"/>
                <w:szCs w:val="17"/>
                <w:lang w:val="ru-RU"/>
              </w:rPr>
              <w:t>г</w:t>
            </w:r>
            <w:r w:rsidRPr="003F1C06">
              <w:rPr>
                <w:sz w:val="17"/>
                <w:szCs w:val="17"/>
                <w:lang w:val="ru-RU"/>
              </w:rPr>
              <w:t xml:space="preserve">. </w:t>
            </w:r>
            <w:r>
              <w:rPr>
                <w:sz w:val="17"/>
                <w:szCs w:val="17"/>
                <w:lang w:val="ru-RU"/>
              </w:rPr>
              <w:t>числа</w:t>
            </w:r>
            <w:r w:rsidRPr="003F1C06">
              <w:rPr>
                <w:sz w:val="17"/>
                <w:szCs w:val="17"/>
                <w:lang w:val="ru-RU"/>
              </w:rPr>
              <w:t xml:space="preserve"> </w:t>
            </w:r>
            <w:r>
              <w:rPr>
                <w:sz w:val="17"/>
                <w:szCs w:val="17"/>
                <w:lang w:val="ru-RU"/>
              </w:rPr>
              <w:t>охранников</w:t>
            </w:r>
            <w:r w:rsidRPr="003F1C06">
              <w:rPr>
                <w:sz w:val="17"/>
                <w:szCs w:val="17"/>
                <w:lang w:val="ru-RU"/>
              </w:rPr>
              <w:t xml:space="preserve"> </w:t>
            </w:r>
            <w:r>
              <w:rPr>
                <w:sz w:val="17"/>
                <w:szCs w:val="17"/>
                <w:lang w:val="ru-RU"/>
              </w:rPr>
              <w:t>компании</w:t>
            </w:r>
            <w:r w:rsidRPr="003F1C06">
              <w:rPr>
                <w:sz w:val="17"/>
                <w:szCs w:val="17"/>
                <w:lang w:val="ru-RU"/>
              </w:rPr>
              <w:t xml:space="preserve"> </w:t>
            </w:r>
            <w:r w:rsidRPr="00303E4F">
              <w:rPr>
                <w:sz w:val="17"/>
                <w:szCs w:val="17"/>
              </w:rPr>
              <w:t>ARNDT</w:t>
            </w:r>
            <w:r w:rsidRPr="003F1C06">
              <w:rPr>
                <w:sz w:val="17"/>
                <w:szCs w:val="17"/>
                <w:lang w:val="ru-RU"/>
              </w:rPr>
              <w:t xml:space="preserve"> </w:t>
            </w:r>
            <w:r>
              <w:rPr>
                <w:sz w:val="17"/>
                <w:szCs w:val="17"/>
                <w:lang w:val="ru-RU"/>
              </w:rPr>
              <w:t xml:space="preserve">и уменьшения нормативов быстрого развертывания сил охраны на </w:t>
            </w:r>
            <w:r w:rsidRPr="003F1C06">
              <w:rPr>
                <w:sz w:val="17"/>
                <w:szCs w:val="17"/>
                <w:lang w:val="ru-RU"/>
              </w:rPr>
              <w:t>25%.</w:t>
            </w:r>
            <w:r>
              <w:rPr>
                <w:sz w:val="17"/>
                <w:szCs w:val="17"/>
                <w:lang w:val="ru-RU"/>
              </w:rPr>
              <w:t xml:space="preserve"> </w:t>
            </w:r>
          </w:p>
          <w:p w:rsidR="002D647F" w:rsidRPr="003F1C06" w:rsidRDefault="002D647F" w:rsidP="00506508">
            <w:pPr>
              <w:ind w:left="-43"/>
              <w:contextualSpacing/>
              <w:rPr>
                <w:sz w:val="17"/>
                <w:szCs w:val="17"/>
                <w:lang w:val="ru-RU"/>
              </w:rPr>
            </w:pPr>
          </w:p>
          <w:p w:rsidR="002D647F" w:rsidRPr="00C20D6B" w:rsidRDefault="002D647F" w:rsidP="00506508">
            <w:pPr>
              <w:ind w:left="-43"/>
              <w:contextualSpacing/>
              <w:rPr>
                <w:sz w:val="17"/>
                <w:szCs w:val="17"/>
                <w:lang w:val="ru-RU"/>
              </w:rPr>
            </w:pPr>
            <w:r w:rsidRPr="00C20D6B">
              <w:rPr>
                <w:sz w:val="17"/>
                <w:szCs w:val="17"/>
                <w:lang w:val="ru-RU"/>
              </w:rPr>
              <w:t xml:space="preserve">2015 </w:t>
            </w:r>
            <w:r>
              <w:rPr>
                <w:sz w:val="17"/>
                <w:szCs w:val="17"/>
                <w:lang w:val="ru-RU"/>
              </w:rPr>
              <w:t>г</w:t>
            </w:r>
            <w:r w:rsidRPr="00C20D6B">
              <w:rPr>
                <w:sz w:val="17"/>
                <w:szCs w:val="17"/>
                <w:lang w:val="ru-RU"/>
              </w:rPr>
              <w:t xml:space="preserve">.: </w:t>
            </w:r>
            <w:r w:rsidRPr="003F1C06">
              <w:rPr>
                <w:sz w:val="17"/>
                <w:szCs w:val="17"/>
                <w:lang w:val="ru-RU"/>
              </w:rPr>
              <w:t>Общее</w:t>
            </w:r>
            <w:r w:rsidRPr="00C20D6B">
              <w:rPr>
                <w:sz w:val="17"/>
                <w:szCs w:val="17"/>
                <w:lang w:val="ru-RU"/>
              </w:rPr>
              <w:t xml:space="preserve"> </w:t>
            </w:r>
            <w:r w:rsidRPr="003F1C06">
              <w:rPr>
                <w:sz w:val="17"/>
                <w:szCs w:val="17"/>
                <w:lang w:val="ru-RU"/>
              </w:rPr>
              <w:t>снижение</w:t>
            </w:r>
            <w:r w:rsidRPr="00C20D6B">
              <w:rPr>
                <w:sz w:val="17"/>
                <w:szCs w:val="17"/>
                <w:lang w:val="ru-RU"/>
              </w:rPr>
              <w:t xml:space="preserve"> </w:t>
            </w:r>
            <w:r w:rsidRPr="003F1C06">
              <w:rPr>
                <w:sz w:val="17"/>
                <w:szCs w:val="17"/>
                <w:lang w:val="ru-RU"/>
              </w:rPr>
              <w:t>расходов</w:t>
            </w:r>
            <w:r w:rsidRPr="00C20D6B">
              <w:rPr>
                <w:sz w:val="17"/>
                <w:szCs w:val="17"/>
                <w:lang w:val="ru-RU"/>
              </w:rPr>
              <w:t xml:space="preserve"> </w:t>
            </w:r>
            <w:r w:rsidRPr="003F1C06">
              <w:rPr>
                <w:sz w:val="17"/>
                <w:szCs w:val="17"/>
                <w:lang w:val="ru-RU"/>
              </w:rPr>
              <w:t>на</w:t>
            </w:r>
            <w:r w:rsidRPr="00C20D6B">
              <w:rPr>
                <w:sz w:val="17"/>
                <w:szCs w:val="17"/>
                <w:lang w:val="ru-RU"/>
              </w:rPr>
              <w:t xml:space="preserve"> 17.9% (708</w:t>
            </w:r>
            <w:r w:rsidR="005C3CF6">
              <w:rPr>
                <w:sz w:val="17"/>
                <w:szCs w:val="17"/>
                <w:lang w:val="ru-RU"/>
              </w:rPr>
              <w:t> </w:t>
            </w:r>
            <w:r w:rsidRPr="00C20D6B">
              <w:rPr>
                <w:sz w:val="17"/>
                <w:szCs w:val="17"/>
                <w:lang w:val="ru-RU"/>
              </w:rPr>
              <w:t>739</w:t>
            </w:r>
            <w:r w:rsidR="005C3CF6">
              <w:rPr>
                <w:sz w:val="17"/>
                <w:szCs w:val="17"/>
                <w:lang w:val="ru-RU"/>
              </w:rPr>
              <w:t> </w:t>
            </w:r>
            <w:r>
              <w:rPr>
                <w:color w:val="000000"/>
                <w:sz w:val="17"/>
                <w:szCs w:val="17"/>
                <w:lang w:val="ru-RU"/>
              </w:rPr>
              <w:t>шв</w:t>
            </w:r>
            <w:r w:rsidRPr="00C20D6B">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C20D6B">
              <w:rPr>
                <w:sz w:val="17"/>
                <w:szCs w:val="17"/>
                <w:lang w:val="ru-RU"/>
              </w:rPr>
              <w:t xml:space="preserve">) </w:t>
            </w:r>
            <w:r>
              <w:rPr>
                <w:sz w:val="17"/>
                <w:szCs w:val="17"/>
                <w:lang w:val="ru-RU"/>
              </w:rPr>
              <w:t>в</w:t>
            </w:r>
            <w:r w:rsidR="005C3CF6">
              <w:rPr>
                <w:sz w:val="17"/>
                <w:szCs w:val="17"/>
                <w:lang w:val="ru-RU"/>
              </w:rPr>
              <w:t xml:space="preserve"> 2015 </w:t>
            </w:r>
            <w:r>
              <w:rPr>
                <w:sz w:val="17"/>
                <w:szCs w:val="17"/>
                <w:lang w:val="ru-RU"/>
              </w:rPr>
              <w:t>г</w:t>
            </w:r>
            <w:r w:rsidR="005C3CF6">
              <w:rPr>
                <w:sz w:val="17"/>
                <w:szCs w:val="17"/>
                <w:lang w:val="ru-RU"/>
              </w:rPr>
              <w:t>. (3 235 </w:t>
            </w:r>
            <w:r w:rsidRPr="00C20D6B">
              <w:rPr>
                <w:sz w:val="17"/>
                <w:szCs w:val="17"/>
                <w:lang w:val="ru-RU"/>
              </w:rPr>
              <w:t xml:space="preserve">098 </w:t>
            </w:r>
            <w:r>
              <w:rPr>
                <w:color w:val="000000"/>
                <w:sz w:val="17"/>
                <w:szCs w:val="17"/>
                <w:lang w:val="ru-RU"/>
              </w:rPr>
              <w:t>шв</w:t>
            </w:r>
            <w:r w:rsidRPr="00C20D6B">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C20D6B">
              <w:rPr>
                <w:sz w:val="17"/>
                <w:szCs w:val="17"/>
                <w:lang w:val="ru-RU"/>
              </w:rPr>
              <w:t xml:space="preserve">) </w:t>
            </w:r>
            <w:r>
              <w:rPr>
                <w:sz w:val="17"/>
                <w:szCs w:val="17"/>
                <w:lang w:val="ru-RU"/>
              </w:rPr>
              <w:t>по</w:t>
            </w:r>
            <w:r w:rsidRPr="00C20D6B">
              <w:rPr>
                <w:sz w:val="17"/>
                <w:szCs w:val="17"/>
                <w:lang w:val="ru-RU"/>
              </w:rPr>
              <w:t xml:space="preserve"> </w:t>
            </w:r>
            <w:r>
              <w:rPr>
                <w:sz w:val="17"/>
                <w:szCs w:val="17"/>
                <w:lang w:val="ru-RU"/>
              </w:rPr>
              <w:t>сравнению</w:t>
            </w:r>
            <w:r w:rsidRPr="00C20D6B">
              <w:rPr>
                <w:sz w:val="17"/>
                <w:szCs w:val="17"/>
                <w:lang w:val="ru-RU"/>
              </w:rPr>
              <w:t xml:space="preserve"> </w:t>
            </w:r>
            <w:r>
              <w:rPr>
                <w:sz w:val="17"/>
                <w:szCs w:val="17"/>
                <w:lang w:val="ru-RU"/>
              </w:rPr>
              <w:t>с</w:t>
            </w:r>
            <w:r w:rsidRPr="00C20D6B">
              <w:rPr>
                <w:sz w:val="17"/>
                <w:szCs w:val="17"/>
                <w:lang w:val="ru-RU"/>
              </w:rPr>
              <w:t xml:space="preserve"> 2013</w:t>
            </w:r>
            <w:r w:rsidR="005C3CF6">
              <w:rPr>
                <w:sz w:val="17"/>
                <w:szCs w:val="17"/>
                <w:lang w:val="ru-RU"/>
              </w:rPr>
              <w:t> </w:t>
            </w:r>
            <w:r>
              <w:rPr>
                <w:sz w:val="17"/>
                <w:szCs w:val="17"/>
                <w:lang w:val="ru-RU"/>
              </w:rPr>
              <w:t>г</w:t>
            </w:r>
            <w:r w:rsidRPr="00C20D6B">
              <w:rPr>
                <w:sz w:val="17"/>
                <w:szCs w:val="17"/>
                <w:lang w:val="ru-RU"/>
              </w:rPr>
              <w:t xml:space="preserve">. </w:t>
            </w:r>
            <w:r>
              <w:rPr>
                <w:sz w:val="17"/>
                <w:szCs w:val="17"/>
                <w:lang w:val="ru-RU"/>
              </w:rPr>
              <w:t>за</w:t>
            </w:r>
            <w:r w:rsidRPr="00C20D6B">
              <w:rPr>
                <w:sz w:val="17"/>
                <w:szCs w:val="17"/>
                <w:lang w:val="ru-RU"/>
              </w:rPr>
              <w:t xml:space="preserve"> </w:t>
            </w:r>
            <w:r>
              <w:rPr>
                <w:sz w:val="17"/>
                <w:szCs w:val="17"/>
                <w:lang w:val="ru-RU"/>
              </w:rPr>
              <w:t>счет</w:t>
            </w:r>
            <w:r w:rsidRPr="00C20D6B">
              <w:rPr>
                <w:sz w:val="17"/>
                <w:szCs w:val="17"/>
                <w:lang w:val="ru-RU"/>
              </w:rPr>
              <w:t xml:space="preserve"> </w:t>
            </w:r>
            <w:r>
              <w:rPr>
                <w:sz w:val="17"/>
                <w:szCs w:val="17"/>
                <w:lang w:val="ru-RU"/>
              </w:rPr>
              <w:t>продуманного</w:t>
            </w:r>
            <w:r w:rsidRPr="00C20D6B">
              <w:rPr>
                <w:sz w:val="17"/>
                <w:szCs w:val="17"/>
                <w:lang w:val="ru-RU"/>
              </w:rPr>
              <w:t xml:space="preserve"> </w:t>
            </w:r>
            <w:r>
              <w:rPr>
                <w:sz w:val="17"/>
                <w:szCs w:val="17"/>
                <w:lang w:val="ru-RU"/>
              </w:rPr>
              <w:t>перераспределения</w:t>
            </w:r>
            <w:r w:rsidRPr="00C20D6B">
              <w:rPr>
                <w:sz w:val="17"/>
                <w:szCs w:val="17"/>
                <w:lang w:val="ru-RU"/>
              </w:rPr>
              <w:t xml:space="preserve"> </w:t>
            </w:r>
            <w:r>
              <w:rPr>
                <w:sz w:val="17"/>
                <w:szCs w:val="17"/>
                <w:lang w:val="ru-RU"/>
              </w:rPr>
              <w:t>охранников</w:t>
            </w:r>
            <w:r w:rsidRPr="00C20D6B">
              <w:rPr>
                <w:sz w:val="17"/>
                <w:szCs w:val="17"/>
                <w:lang w:val="ru-RU"/>
              </w:rPr>
              <w:t xml:space="preserve"> </w:t>
            </w:r>
            <w:r>
              <w:rPr>
                <w:sz w:val="17"/>
                <w:szCs w:val="17"/>
                <w:lang w:val="ru-RU"/>
              </w:rPr>
              <w:t>компании</w:t>
            </w:r>
            <w:r w:rsidRPr="00C20D6B">
              <w:rPr>
                <w:sz w:val="17"/>
                <w:szCs w:val="17"/>
                <w:lang w:val="ru-RU"/>
              </w:rPr>
              <w:t xml:space="preserve"> </w:t>
            </w:r>
            <w:r>
              <w:rPr>
                <w:sz w:val="17"/>
                <w:szCs w:val="17"/>
                <w:lang w:val="ru-RU"/>
              </w:rPr>
              <w:t>после</w:t>
            </w:r>
            <w:r w:rsidRPr="00C20D6B">
              <w:rPr>
                <w:sz w:val="17"/>
                <w:szCs w:val="17"/>
                <w:lang w:val="ru-RU"/>
              </w:rPr>
              <w:t xml:space="preserve"> </w:t>
            </w:r>
            <w:r>
              <w:rPr>
                <w:sz w:val="17"/>
                <w:szCs w:val="17"/>
                <w:lang w:val="ru-RU"/>
              </w:rPr>
              <w:t>оборудования</w:t>
            </w:r>
            <w:r w:rsidRPr="00C20D6B">
              <w:rPr>
                <w:sz w:val="17"/>
                <w:szCs w:val="17"/>
                <w:lang w:val="ru-RU"/>
              </w:rPr>
              <w:t xml:space="preserve"> </w:t>
            </w:r>
            <w:r>
              <w:rPr>
                <w:sz w:val="17"/>
                <w:szCs w:val="17"/>
                <w:lang w:val="ru-RU"/>
              </w:rPr>
              <w:t>проходов</w:t>
            </w:r>
            <w:r w:rsidRPr="00C20D6B">
              <w:rPr>
                <w:sz w:val="17"/>
                <w:szCs w:val="17"/>
                <w:lang w:val="ru-RU"/>
              </w:rPr>
              <w:t xml:space="preserve"> </w:t>
            </w:r>
            <w:r>
              <w:rPr>
                <w:sz w:val="17"/>
                <w:szCs w:val="17"/>
                <w:lang w:val="ru-RU"/>
              </w:rPr>
              <w:t>ускоренного</w:t>
            </w:r>
            <w:r w:rsidRPr="00C20D6B">
              <w:rPr>
                <w:sz w:val="17"/>
                <w:szCs w:val="17"/>
                <w:lang w:val="ru-RU"/>
              </w:rPr>
              <w:t xml:space="preserve"> </w:t>
            </w:r>
            <w:r>
              <w:rPr>
                <w:sz w:val="17"/>
                <w:szCs w:val="17"/>
                <w:lang w:val="ru-RU"/>
              </w:rPr>
              <w:t>доступа</w:t>
            </w:r>
            <w:r w:rsidRPr="00C20D6B">
              <w:rPr>
                <w:sz w:val="17"/>
                <w:szCs w:val="17"/>
                <w:lang w:val="ru-RU"/>
              </w:rPr>
              <w:t xml:space="preserve"> </w:t>
            </w:r>
            <w:r>
              <w:rPr>
                <w:sz w:val="17"/>
                <w:szCs w:val="17"/>
                <w:lang w:val="ru-RU"/>
              </w:rPr>
              <w:t>и</w:t>
            </w:r>
            <w:r w:rsidRPr="00C20D6B">
              <w:rPr>
                <w:sz w:val="17"/>
                <w:szCs w:val="17"/>
                <w:lang w:val="ru-RU"/>
              </w:rPr>
              <w:t xml:space="preserve"> </w:t>
            </w:r>
            <w:r>
              <w:rPr>
                <w:sz w:val="17"/>
                <w:szCs w:val="17"/>
                <w:lang w:val="ru-RU"/>
              </w:rPr>
              <w:t>создания</w:t>
            </w:r>
            <w:r w:rsidRPr="00C20D6B">
              <w:rPr>
                <w:sz w:val="17"/>
                <w:szCs w:val="17"/>
                <w:lang w:val="ru-RU"/>
              </w:rPr>
              <w:t xml:space="preserve"> Центр</w:t>
            </w:r>
            <w:r>
              <w:rPr>
                <w:sz w:val="17"/>
                <w:szCs w:val="17"/>
                <w:lang w:val="ru-RU"/>
              </w:rPr>
              <w:t>а</w:t>
            </w:r>
            <w:r w:rsidRPr="00C20D6B">
              <w:rPr>
                <w:sz w:val="17"/>
                <w:szCs w:val="17"/>
                <w:lang w:val="ru-RU"/>
              </w:rPr>
              <w:t xml:space="preserve"> службы безопасности</w:t>
            </w:r>
            <w:r>
              <w:rPr>
                <w:sz w:val="17"/>
                <w:szCs w:val="17"/>
                <w:lang w:val="ru-RU"/>
              </w:rPr>
              <w:t xml:space="preserve"> в рамках проекта</w:t>
            </w:r>
            <w:r w:rsidRPr="00C20D6B">
              <w:rPr>
                <w:sz w:val="17"/>
                <w:szCs w:val="17"/>
                <w:lang w:val="ru-RU"/>
              </w:rPr>
              <w:t xml:space="preserve"> </w:t>
            </w:r>
            <w:r w:rsidRPr="00303E4F">
              <w:rPr>
                <w:sz w:val="17"/>
                <w:szCs w:val="17"/>
              </w:rPr>
              <w:t>H</w:t>
            </w:r>
            <w:r w:rsidRPr="00C20D6B">
              <w:rPr>
                <w:sz w:val="17"/>
                <w:szCs w:val="17"/>
                <w:lang w:val="ru-RU"/>
              </w:rPr>
              <w:t>-</w:t>
            </w:r>
            <w:r w:rsidRPr="00303E4F">
              <w:rPr>
                <w:sz w:val="17"/>
                <w:szCs w:val="17"/>
              </w:rPr>
              <w:t>MOSS</w:t>
            </w:r>
            <w:r>
              <w:rPr>
                <w:sz w:val="17"/>
                <w:szCs w:val="17"/>
                <w:lang w:val="ru-RU"/>
              </w:rPr>
              <w:t>, что позволило сократить общее количество отработанного охранниками времени и понизить</w:t>
            </w:r>
            <w:r w:rsidRPr="00C20D6B">
              <w:rPr>
                <w:sz w:val="17"/>
                <w:szCs w:val="17"/>
                <w:lang w:val="ru-RU"/>
              </w:rPr>
              <w:t xml:space="preserve"> норматив</w:t>
            </w:r>
            <w:r>
              <w:rPr>
                <w:sz w:val="17"/>
                <w:szCs w:val="17"/>
                <w:lang w:val="ru-RU"/>
              </w:rPr>
              <w:t>ы</w:t>
            </w:r>
            <w:r w:rsidRPr="00C20D6B">
              <w:rPr>
                <w:sz w:val="17"/>
                <w:szCs w:val="17"/>
                <w:lang w:val="ru-RU"/>
              </w:rPr>
              <w:t xml:space="preserve"> быстрого развертывания сил охраны на 29%.</w:t>
            </w:r>
          </w:p>
          <w:p w:rsidR="002D647F" w:rsidRPr="00C20D6B" w:rsidRDefault="002D647F" w:rsidP="00506508">
            <w:pPr>
              <w:ind w:left="-43"/>
              <w:rPr>
                <w:color w:val="000000"/>
                <w:sz w:val="17"/>
                <w:szCs w:val="17"/>
                <w:lang w:val="ru-RU"/>
              </w:rPr>
            </w:pPr>
          </w:p>
        </w:tc>
      </w:tr>
      <w:tr w:rsidR="00506508" w:rsidRPr="00BE62B6" w:rsidTr="00506508">
        <w:trPr>
          <w:trHeight w:val="2550"/>
        </w:trPr>
        <w:tc>
          <w:tcPr>
            <w:tcW w:w="1014" w:type="pct"/>
            <w:tcBorders>
              <w:top w:val="single" w:sz="4" w:space="0" w:color="auto"/>
              <w:left w:val="single" w:sz="4" w:space="0" w:color="auto"/>
              <w:bottom w:val="single" w:sz="4" w:space="0" w:color="auto"/>
              <w:right w:val="single" w:sz="4" w:space="0" w:color="auto"/>
            </w:tcBorders>
            <w:shd w:val="clear" w:color="auto" w:fill="auto"/>
            <w:hideMark/>
          </w:tcPr>
          <w:p w:rsidR="002D647F" w:rsidRPr="00C20D6B" w:rsidRDefault="002D647F" w:rsidP="002D647F">
            <w:pPr>
              <w:rPr>
                <w:color w:val="000000"/>
                <w:sz w:val="17"/>
                <w:szCs w:val="17"/>
                <w:lang w:val="ru-RU"/>
              </w:rPr>
            </w:pPr>
            <w:r>
              <w:rPr>
                <w:color w:val="000000"/>
                <w:sz w:val="17"/>
                <w:szCs w:val="17"/>
                <w:lang w:val="ru-RU"/>
              </w:rPr>
              <w:t>Снижение</w:t>
            </w:r>
            <w:r w:rsidRPr="00C20D6B">
              <w:rPr>
                <w:color w:val="000000"/>
                <w:sz w:val="17"/>
                <w:szCs w:val="17"/>
                <w:lang w:val="ru-RU"/>
              </w:rPr>
              <w:t xml:space="preserve"> </w:t>
            </w:r>
            <w:r>
              <w:rPr>
                <w:color w:val="000000"/>
                <w:sz w:val="17"/>
                <w:szCs w:val="17"/>
                <w:lang w:val="ru-RU"/>
              </w:rPr>
              <w:t>общего</w:t>
            </w:r>
            <w:r w:rsidRPr="00C20D6B">
              <w:rPr>
                <w:color w:val="000000"/>
                <w:sz w:val="17"/>
                <w:szCs w:val="17"/>
                <w:lang w:val="ru-RU"/>
              </w:rPr>
              <w:t xml:space="preserve"> </w:t>
            </w:r>
            <w:r>
              <w:rPr>
                <w:color w:val="000000"/>
                <w:sz w:val="17"/>
                <w:szCs w:val="17"/>
                <w:lang w:val="ru-RU"/>
              </w:rPr>
              <w:t>объема</w:t>
            </w:r>
            <w:r w:rsidRPr="00C20D6B">
              <w:rPr>
                <w:color w:val="000000"/>
                <w:sz w:val="17"/>
                <w:szCs w:val="17"/>
                <w:lang w:val="ru-RU"/>
              </w:rPr>
              <w:t xml:space="preserve"> </w:t>
            </w:r>
            <w:r>
              <w:rPr>
                <w:color w:val="000000"/>
                <w:sz w:val="17"/>
                <w:szCs w:val="17"/>
                <w:lang w:val="ru-RU"/>
              </w:rPr>
              <w:t>расходов</w:t>
            </w:r>
            <w:r w:rsidRPr="00C20D6B">
              <w:rPr>
                <w:color w:val="000000"/>
                <w:sz w:val="17"/>
                <w:szCs w:val="17"/>
                <w:lang w:val="ru-RU"/>
              </w:rPr>
              <w:t xml:space="preserve"> </w:t>
            </w:r>
            <w:r>
              <w:rPr>
                <w:color w:val="000000"/>
                <w:sz w:val="17"/>
                <w:szCs w:val="17"/>
                <w:lang w:val="ru-RU"/>
              </w:rPr>
              <w:t>на</w:t>
            </w:r>
            <w:r w:rsidRPr="00C20D6B">
              <w:rPr>
                <w:color w:val="000000"/>
                <w:sz w:val="17"/>
                <w:szCs w:val="17"/>
                <w:lang w:val="ru-RU"/>
              </w:rPr>
              <w:t xml:space="preserve"> </w:t>
            </w:r>
            <w:r>
              <w:rPr>
                <w:color w:val="000000"/>
                <w:sz w:val="17"/>
                <w:szCs w:val="17"/>
                <w:lang w:val="ru-RU"/>
              </w:rPr>
              <w:t>обработку</w:t>
            </w:r>
            <w:r w:rsidRPr="00C20D6B">
              <w:rPr>
                <w:color w:val="000000"/>
                <w:sz w:val="17"/>
                <w:szCs w:val="17"/>
                <w:lang w:val="ru-RU"/>
              </w:rPr>
              <w:t xml:space="preserve"> </w:t>
            </w:r>
            <w:r>
              <w:rPr>
                <w:color w:val="000000"/>
                <w:sz w:val="17"/>
                <w:szCs w:val="17"/>
                <w:lang w:val="ru-RU"/>
              </w:rPr>
              <w:t>международных заявок в рамках Гаагской системы</w:t>
            </w:r>
          </w:p>
        </w:tc>
        <w:tc>
          <w:tcPr>
            <w:tcW w:w="589" w:type="pct"/>
            <w:tcBorders>
              <w:top w:val="single" w:sz="4" w:space="0" w:color="auto"/>
              <w:left w:val="nil"/>
              <w:bottom w:val="single" w:sz="4" w:space="0" w:color="auto"/>
              <w:right w:val="single" w:sz="4" w:space="0" w:color="auto"/>
            </w:tcBorders>
            <w:shd w:val="clear" w:color="auto" w:fill="auto"/>
            <w:hideMark/>
          </w:tcPr>
          <w:p w:rsidR="002D647F" w:rsidRPr="00C20D6B" w:rsidRDefault="002D647F" w:rsidP="002D647F">
            <w:pPr>
              <w:rPr>
                <w:color w:val="000000"/>
                <w:sz w:val="17"/>
                <w:szCs w:val="17"/>
                <w:lang w:val="ru-RU"/>
              </w:rPr>
            </w:pPr>
            <w:r w:rsidRPr="00303E4F">
              <w:rPr>
                <w:color w:val="000000"/>
                <w:sz w:val="17"/>
                <w:szCs w:val="17"/>
              </w:rPr>
              <w:t> </w:t>
            </w:r>
          </w:p>
        </w:tc>
        <w:tc>
          <w:tcPr>
            <w:tcW w:w="530" w:type="pct"/>
            <w:tcBorders>
              <w:top w:val="single" w:sz="4" w:space="0" w:color="auto"/>
              <w:left w:val="nil"/>
              <w:bottom w:val="single" w:sz="4" w:space="0" w:color="auto"/>
              <w:right w:val="single" w:sz="4" w:space="0" w:color="auto"/>
            </w:tcBorders>
            <w:shd w:val="clear" w:color="auto" w:fill="auto"/>
            <w:hideMark/>
          </w:tcPr>
          <w:p w:rsidR="002D647F" w:rsidRPr="00C20D6B" w:rsidRDefault="002D647F" w:rsidP="002D647F">
            <w:pPr>
              <w:rPr>
                <w:color w:val="000000"/>
                <w:sz w:val="17"/>
                <w:szCs w:val="17"/>
                <w:lang w:val="ru-RU"/>
              </w:rPr>
            </w:pPr>
            <w:r w:rsidRPr="00303E4F">
              <w:rPr>
                <w:color w:val="000000"/>
                <w:sz w:val="17"/>
                <w:szCs w:val="17"/>
              </w:rPr>
              <w:t> </w:t>
            </w:r>
          </w:p>
        </w:tc>
        <w:tc>
          <w:tcPr>
            <w:tcW w:w="813" w:type="pct"/>
            <w:tcBorders>
              <w:top w:val="single" w:sz="4" w:space="0" w:color="auto"/>
              <w:left w:val="nil"/>
              <w:bottom w:val="single" w:sz="4" w:space="0" w:color="auto"/>
              <w:right w:val="single" w:sz="4" w:space="0" w:color="auto"/>
            </w:tcBorders>
            <w:shd w:val="clear" w:color="auto" w:fill="auto"/>
            <w:hideMark/>
          </w:tcPr>
          <w:p w:rsidR="002D647F" w:rsidRPr="00E9604A" w:rsidRDefault="002D647F" w:rsidP="005C3CF6">
            <w:pPr>
              <w:rPr>
                <w:color w:val="000000"/>
                <w:sz w:val="17"/>
                <w:szCs w:val="17"/>
                <w:lang w:val="ru-RU"/>
              </w:rPr>
            </w:pPr>
            <w:r>
              <w:rPr>
                <w:color w:val="000000"/>
                <w:sz w:val="17"/>
                <w:szCs w:val="17"/>
                <w:lang w:val="ru-RU"/>
              </w:rPr>
              <w:t>Снижение у</w:t>
            </w:r>
            <w:r w:rsidRPr="00C20D6B">
              <w:rPr>
                <w:color w:val="000000"/>
                <w:sz w:val="17"/>
                <w:szCs w:val="17"/>
                <w:lang w:val="ru-RU"/>
              </w:rPr>
              <w:t>дельн</w:t>
            </w:r>
            <w:r>
              <w:rPr>
                <w:color w:val="000000"/>
                <w:sz w:val="17"/>
                <w:szCs w:val="17"/>
                <w:lang w:val="ru-RU"/>
              </w:rPr>
              <w:t>ой</w:t>
            </w:r>
            <w:r w:rsidRPr="00C20D6B">
              <w:rPr>
                <w:color w:val="000000"/>
                <w:sz w:val="17"/>
                <w:szCs w:val="17"/>
                <w:lang w:val="ru-RU"/>
              </w:rPr>
              <w:t xml:space="preserve"> стоимост</w:t>
            </w:r>
            <w:r>
              <w:rPr>
                <w:color w:val="000000"/>
                <w:sz w:val="17"/>
                <w:szCs w:val="17"/>
                <w:lang w:val="ru-RU"/>
              </w:rPr>
              <w:t>и</w:t>
            </w:r>
            <w:r w:rsidRPr="00C20D6B">
              <w:rPr>
                <w:color w:val="000000"/>
                <w:sz w:val="17"/>
                <w:szCs w:val="17"/>
                <w:lang w:val="ru-RU"/>
              </w:rPr>
              <w:t xml:space="preserve"> в расчете на один новый образец или образец с продленным сроком охраны</w:t>
            </w:r>
            <w:r>
              <w:rPr>
                <w:color w:val="000000"/>
                <w:sz w:val="17"/>
                <w:szCs w:val="17"/>
                <w:lang w:val="ru-RU"/>
              </w:rPr>
              <w:t xml:space="preserve"> с</w:t>
            </w:r>
            <w:r w:rsidR="005C3CF6">
              <w:rPr>
                <w:color w:val="000000"/>
                <w:sz w:val="17"/>
                <w:szCs w:val="17"/>
                <w:lang w:val="ru-RU"/>
              </w:rPr>
              <w:t xml:space="preserve"> 420 </w:t>
            </w:r>
            <w:r>
              <w:rPr>
                <w:color w:val="000000"/>
                <w:sz w:val="17"/>
                <w:szCs w:val="17"/>
                <w:lang w:val="ru-RU"/>
              </w:rPr>
              <w:t>шв</w:t>
            </w:r>
            <w:r w:rsidRPr="00C20D6B">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C20D6B">
              <w:rPr>
                <w:color w:val="000000"/>
                <w:sz w:val="17"/>
                <w:szCs w:val="17"/>
                <w:lang w:val="ru-RU"/>
              </w:rPr>
              <w:t xml:space="preserve"> </w:t>
            </w:r>
            <w:r>
              <w:rPr>
                <w:color w:val="000000"/>
                <w:sz w:val="17"/>
                <w:szCs w:val="17"/>
                <w:lang w:val="ru-RU"/>
              </w:rPr>
              <w:t>в</w:t>
            </w:r>
            <w:r w:rsidRPr="00C20D6B">
              <w:rPr>
                <w:color w:val="000000"/>
                <w:sz w:val="17"/>
                <w:szCs w:val="17"/>
                <w:lang w:val="ru-RU"/>
              </w:rPr>
              <w:t xml:space="preserve"> 2013</w:t>
            </w:r>
            <w:r>
              <w:rPr>
                <w:color w:val="000000"/>
                <w:sz w:val="17"/>
                <w:szCs w:val="17"/>
                <w:lang w:val="ru-RU"/>
              </w:rPr>
              <w:t xml:space="preserve"> г. до</w:t>
            </w:r>
            <w:r w:rsidRPr="00C20D6B">
              <w:rPr>
                <w:color w:val="000000"/>
                <w:sz w:val="17"/>
                <w:szCs w:val="17"/>
                <w:lang w:val="ru-RU"/>
              </w:rPr>
              <w:t xml:space="preserve"> 366 </w:t>
            </w:r>
            <w:r w:rsidR="005C3CF6">
              <w:rPr>
                <w:color w:val="000000"/>
                <w:sz w:val="17"/>
                <w:szCs w:val="17"/>
                <w:lang w:val="ru-RU"/>
              </w:rPr>
              <w:t> </w:t>
            </w:r>
            <w:r>
              <w:rPr>
                <w:color w:val="000000"/>
                <w:sz w:val="17"/>
                <w:szCs w:val="17"/>
                <w:lang w:val="ru-RU"/>
              </w:rPr>
              <w:t>шв</w:t>
            </w:r>
            <w:r w:rsidRPr="00C20D6B">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C20D6B">
              <w:rPr>
                <w:color w:val="000000"/>
                <w:sz w:val="17"/>
                <w:szCs w:val="17"/>
                <w:lang w:val="ru-RU"/>
              </w:rPr>
              <w:t xml:space="preserve"> </w:t>
            </w:r>
            <w:r>
              <w:rPr>
                <w:color w:val="000000"/>
                <w:sz w:val="17"/>
                <w:szCs w:val="17"/>
                <w:lang w:val="ru-RU"/>
              </w:rPr>
              <w:t>в</w:t>
            </w:r>
            <w:r w:rsidRPr="00C20D6B">
              <w:rPr>
                <w:color w:val="000000"/>
                <w:sz w:val="17"/>
                <w:szCs w:val="17"/>
                <w:lang w:val="ru-RU"/>
              </w:rPr>
              <w:t xml:space="preserve"> 2014</w:t>
            </w:r>
            <w:r>
              <w:rPr>
                <w:color w:val="000000"/>
                <w:sz w:val="17"/>
                <w:szCs w:val="17"/>
                <w:lang w:val="ru-RU"/>
              </w:rPr>
              <w:t xml:space="preserve"> г.</w:t>
            </w:r>
            <w:r w:rsidRPr="00C20D6B">
              <w:rPr>
                <w:color w:val="000000"/>
                <w:sz w:val="17"/>
                <w:szCs w:val="17"/>
                <w:lang w:val="ru-RU"/>
              </w:rPr>
              <w:t xml:space="preserve"> (</w:t>
            </w:r>
            <w:r>
              <w:rPr>
                <w:color w:val="000000"/>
                <w:sz w:val="17"/>
                <w:szCs w:val="17"/>
                <w:lang w:val="ru-RU"/>
              </w:rPr>
              <w:t>т.е. на</w:t>
            </w:r>
            <w:r w:rsidR="005C3CF6">
              <w:rPr>
                <w:color w:val="000000"/>
                <w:sz w:val="17"/>
                <w:szCs w:val="17"/>
                <w:lang w:val="ru-RU"/>
              </w:rPr>
              <w:t> </w:t>
            </w:r>
            <w:r w:rsidRPr="00C20D6B">
              <w:rPr>
                <w:color w:val="000000"/>
                <w:sz w:val="17"/>
                <w:szCs w:val="17"/>
                <w:lang w:val="ru-RU"/>
              </w:rPr>
              <w:t xml:space="preserve">54 </w:t>
            </w:r>
            <w:r>
              <w:rPr>
                <w:color w:val="000000"/>
                <w:sz w:val="17"/>
                <w:szCs w:val="17"/>
                <w:lang w:val="ru-RU"/>
              </w:rPr>
              <w:t>шв</w:t>
            </w:r>
            <w:r w:rsidRPr="00C20D6B">
              <w:rPr>
                <w:color w:val="000000"/>
                <w:sz w:val="17"/>
                <w:szCs w:val="17"/>
                <w:lang w:val="ru-RU"/>
              </w:rPr>
              <w:t xml:space="preserve">. </w:t>
            </w:r>
            <w:r>
              <w:rPr>
                <w:color w:val="000000"/>
                <w:sz w:val="17"/>
                <w:szCs w:val="17"/>
                <w:lang w:val="ru-RU"/>
              </w:rPr>
              <w:t>фр</w:t>
            </w:r>
            <w:r w:rsidR="005C3CF6">
              <w:rPr>
                <w:color w:val="000000"/>
                <w:sz w:val="17"/>
                <w:szCs w:val="17"/>
                <w:lang w:val="ru-RU"/>
              </w:rPr>
              <w:t>.</w:t>
            </w:r>
            <w:r>
              <w:rPr>
                <w:color w:val="000000"/>
                <w:sz w:val="17"/>
                <w:szCs w:val="17"/>
                <w:lang w:val="ru-RU"/>
              </w:rPr>
              <w:t>, или на</w:t>
            </w:r>
            <w:r w:rsidRPr="00C20D6B">
              <w:rPr>
                <w:color w:val="000000"/>
                <w:sz w:val="17"/>
                <w:szCs w:val="17"/>
                <w:lang w:val="ru-RU"/>
              </w:rPr>
              <w:t xml:space="preserve"> 13%). </w:t>
            </w:r>
            <w:r w:rsidRPr="00C20D6B">
              <w:rPr>
                <w:color w:val="000000"/>
                <w:sz w:val="17"/>
                <w:szCs w:val="17"/>
                <w:lang w:val="ru-RU"/>
              </w:rPr>
              <w:br w:type="page"/>
              <w:t>Снижение удельной стоимости в расчете на один</w:t>
            </w:r>
            <w:r w:rsidRPr="00E9604A">
              <w:rPr>
                <w:color w:val="000000"/>
                <w:sz w:val="17"/>
                <w:szCs w:val="17"/>
                <w:lang w:val="ru-RU"/>
              </w:rPr>
              <w:t xml:space="preserve"> </w:t>
            </w:r>
            <w:r w:rsidR="00506508">
              <w:rPr>
                <w:color w:val="000000"/>
                <w:sz w:val="17"/>
                <w:szCs w:val="17"/>
                <w:lang w:val="ru-RU"/>
              </w:rPr>
              <w:t>зарегистриро</w:t>
            </w:r>
            <w:r>
              <w:rPr>
                <w:color w:val="000000"/>
                <w:sz w:val="17"/>
                <w:szCs w:val="17"/>
                <w:lang w:val="ru-RU"/>
              </w:rPr>
              <w:t>ва</w:t>
            </w:r>
            <w:r w:rsidR="005C3CF6">
              <w:rPr>
                <w:color w:val="000000"/>
                <w:sz w:val="17"/>
                <w:szCs w:val="17"/>
                <w:lang w:val="ru-RU"/>
              </w:rPr>
              <w:t>нный документ с 1 </w:t>
            </w:r>
            <w:r w:rsidRPr="00E9604A">
              <w:rPr>
                <w:color w:val="000000"/>
                <w:sz w:val="17"/>
                <w:szCs w:val="17"/>
                <w:lang w:val="ru-RU"/>
              </w:rPr>
              <w:t xml:space="preserve">570 </w:t>
            </w:r>
            <w:r>
              <w:rPr>
                <w:color w:val="000000"/>
                <w:sz w:val="17"/>
                <w:szCs w:val="17"/>
                <w:lang w:val="ru-RU"/>
              </w:rPr>
              <w:t>шв</w:t>
            </w:r>
            <w:r w:rsidRPr="00E9604A">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E9604A">
              <w:rPr>
                <w:color w:val="000000"/>
                <w:sz w:val="17"/>
                <w:szCs w:val="17"/>
                <w:lang w:val="ru-RU"/>
              </w:rPr>
              <w:t xml:space="preserve"> </w:t>
            </w:r>
            <w:r>
              <w:rPr>
                <w:color w:val="000000"/>
                <w:sz w:val="17"/>
                <w:szCs w:val="17"/>
                <w:lang w:val="ru-RU"/>
              </w:rPr>
              <w:t xml:space="preserve">в </w:t>
            </w:r>
            <w:r w:rsidRPr="00E9604A">
              <w:rPr>
                <w:color w:val="000000"/>
                <w:sz w:val="17"/>
                <w:szCs w:val="17"/>
                <w:lang w:val="ru-RU"/>
              </w:rPr>
              <w:t xml:space="preserve">2013 </w:t>
            </w:r>
            <w:r>
              <w:rPr>
                <w:color w:val="000000"/>
                <w:sz w:val="17"/>
                <w:szCs w:val="17"/>
                <w:lang w:val="ru-RU"/>
              </w:rPr>
              <w:t>г. до 1</w:t>
            </w:r>
            <w:r w:rsidR="005C3CF6">
              <w:rPr>
                <w:color w:val="000000"/>
                <w:sz w:val="17"/>
                <w:szCs w:val="17"/>
                <w:lang w:val="ru-RU"/>
              </w:rPr>
              <w:t> 483 </w:t>
            </w:r>
            <w:r>
              <w:rPr>
                <w:color w:val="000000"/>
                <w:sz w:val="17"/>
                <w:szCs w:val="17"/>
                <w:lang w:val="ru-RU"/>
              </w:rPr>
              <w:t>шв</w:t>
            </w:r>
            <w:r w:rsidRPr="00E9604A">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E9604A">
              <w:rPr>
                <w:color w:val="000000"/>
                <w:sz w:val="17"/>
                <w:szCs w:val="17"/>
                <w:lang w:val="ru-RU"/>
              </w:rPr>
              <w:t xml:space="preserve"> </w:t>
            </w:r>
            <w:r>
              <w:rPr>
                <w:color w:val="000000"/>
                <w:sz w:val="17"/>
                <w:szCs w:val="17"/>
                <w:lang w:val="ru-RU"/>
              </w:rPr>
              <w:t>в</w:t>
            </w:r>
            <w:r w:rsidRPr="00E9604A">
              <w:rPr>
                <w:color w:val="000000"/>
                <w:sz w:val="17"/>
                <w:szCs w:val="17"/>
                <w:lang w:val="ru-RU"/>
              </w:rPr>
              <w:t xml:space="preserve"> 2014 </w:t>
            </w:r>
            <w:r>
              <w:rPr>
                <w:color w:val="000000"/>
                <w:sz w:val="17"/>
                <w:szCs w:val="17"/>
                <w:lang w:val="ru-RU"/>
              </w:rPr>
              <w:t xml:space="preserve">г. </w:t>
            </w:r>
            <w:r w:rsidRPr="00E9604A">
              <w:rPr>
                <w:color w:val="000000"/>
                <w:sz w:val="17"/>
                <w:szCs w:val="17"/>
                <w:lang w:val="ru-RU"/>
              </w:rPr>
              <w:t>(</w:t>
            </w:r>
            <w:r>
              <w:rPr>
                <w:color w:val="000000"/>
                <w:sz w:val="17"/>
                <w:szCs w:val="17"/>
                <w:lang w:val="ru-RU"/>
              </w:rPr>
              <w:t>т.е. на</w:t>
            </w:r>
            <w:r w:rsidR="005C3CF6">
              <w:rPr>
                <w:color w:val="000000"/>
                <w:sz w:val="17"/>
                <w:szCs w:val="17"/>
                <w:lang w:val="ru-RU"/>
              </w:rPr>
              <w:t xml:space="preserve"> 87 </w:t>
            </w:r>
            <w:r>
              <w:rPr>
                <w:color w:val="000000"/>
                <w:sz w:val="17"/>
                <w:szCs w:val="17"/>
                <w:lang w:val="ru-RU"/>
              </w:rPr>
              <w:t>шв</w:t>
            </w:r>
            <w:r w:rsidRPr="00E9604A">
              <w:rPr>
                <w:color w:val="000000"/>
                <w:sz w:val="17"/>
                <w:szCs w:val="17"/>
                <w:lang w:val="ru-RU"/>
              </w:rPr>
              <w:t xml:space="preserve">. </w:t>
            </w:r>
            <w:r>
              <w:rPr>
                <w:color w:val="000000"/>
                <w:sz w:val="17"/>
                <w:szCs w:val="17"/>
                <w:lang w:val="ru-RU"/>
              </w:rPr>
              <w:t>фр</w:t>
            </w:r>
            <w:r w:rsidR="005C3CF6">
              <w:rPr>
                <w:color w:val="000000"/>
                <w:sz w:val="17"/>
                <w:szCs w:val="17"/>
                <w:lang w:val="ru-RU"/>
              </w:rPr>
              <w:t>.</w:t>
            </w:r>
            <w:r>
              <w:rPr>
                <w:color w:val="000000"/>
                <w:sz w:val="17"/>
                <w:szCs w:val="17"/>
                <w:lang w:val="ru-RU"/>
              </w:rPr>
              <w:t>, или на</w:t>
            </w:r>
            <w:r w:rsidRPr="00E9604A">
              <w:rPr>
                <w:color w:val="000000"/>
                <w:sz w:val="17"/>
                <w:szCs w:val="17"/>
                <w:lang w:val="ru-RU"/>
              </w:rPr>
              <w:t xml:space="preserve"> 5</w:t>
            </w:r>
            <w:r>
              <w:rPr>
                <w:color w:val="000000"/>
                <w:sz w:val="17"/>
                <w:szCs w:val="17"/>
                <w:lang w:val="ru-RU"/>
              </w:rPr>
              <w:t>,</w:t>
            </w:r>
            <w:r w:rsidRPr="00E9604A">
              <w:rPr>
                <w:color w:val="000000"/>
                <w:sz w:val="17"/>
                <w:szCs w:val="17"/>
                <w:lang w:val="ru-RU"/>
              </w:rPr>
              <w:t>5%)</w:t>
            </w:r>
          </w:p>
        </w:tc>
        <w:tc>
          <w:tcPr>
            <w:tcW w:w="871" w:type="pct"/>
            <w:tcBorders>
              <w:top w:val="single" w:sz="4" w:space="0" w:color="auto"/>
              <w:left w:val="nil"/>
              <w:bottom w:val="single" w:sz="4" w:space="0" w:color="auto"/>
              <w:right w:val="single" w:sz="4" w:space="0" w:color="auto"/>
            </w:tcBorders>
            <w:shd w:val="clear" w:color="auto" w:fill="auto"/>
            <w:hideMark/>
          </w:tcPr>
          <w:p w:rsidR="002D647F" w:rsidRPr="00E9604A" w:rsidRDefault="002D647F" w:rsidP="005C3CF6">
            <w:pPr>
              <w:rPr>
                <w:color w:val="000000"/>
                <w:sz w:val="17"/>
                <w:szCs w:val="17"/>
                <w:lang w:val="ru-RU"/>
              </w:rPr>
            </w:pPr>
            <w:r>
              <w:rPr>
                <w:color w:val="000000"/>
                <w:sz w:val="17"/>
                <w:szCs w:val="17"/>
                <w:lang w:val="ru-RU"/>
              </w:rPr>
              <w:t>Дальнейшее с</w:t>
            </w:r>
            <w:r w:rsidRPr="00E9604A">
              <w:rPr>
                <w:color w:val="000000"/>
                <w:sz w:val="17"/>
                <w:szCs w:val="17"/>
                <w:lang w:val="ru-RU"/>
              </w:rPr>
              <w:t>нижение удельной стоимости в расчете на один новый образец или образец с продленным сроком охраны</w:t>
            </w:r>
            <w:r>
              <w:rPr>
                <w:color w:val="000000"/>
                <w:sz w:val="17"/>
                <w:szCs w:val="17"/>
                <w:lang w:val="ru-RU"/>
              </w:rPr>
              <w:t xml:space="preserve"> с</w:t>
            </w:r>
            <w:r w:rsidR="005C3CF6">
              <w:rPr>
                <w:color w:val="000000"/>
                <w:sz w:val="17"/>
                <w:szCs w:val="17"/>
                <w:lang w:val="ru-RU"/>
              </w:rPr>
              <w:t xml:space="preserve"> 366 </w:t>
            </w:r>
            <w:r>
              <w:rPr>
                <w:color w:val="000000"/>
                <w:sz w:val="17"/>
                <w:szCs w:val="17"/>
                <w:lang w:val="ru-RU"/>
              </w:rPr>
              <w:t>шв</w:t>
            </w:r>
            <w:r w:rsidRPr="00E9604A">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E9604A">
              <w:rPr>
                <w:color w:val="000000"/>
                <w:sz w:val="17"/>
                <w:szCs w:val="17"/>
                <w:lang w:val="ru-RU"/>
              </w:rPr>
              <w:t xml:space="preserve"> </w:t>
            </w:r>
            <w:r>
              <w:rPr>
                <w:color w:val="000000"/>
                <w:sz w:val="17"/>
                <w:szCs w:val="17"/>
                <w:lang w:val="ru-RU"/>
              </w:rPr>
              <w:t>в</w:t>
            </w:r>
            <w:r w:rsidRPr="00E9604A">
              <w:rPr>
                <w:color w:val="000000"/>
                <w:sz w:val="17"/>
                <w:szCs w:val="17"/>
                <w:lang w:val="ru-RU"/>
              </w:rPr>
              <w:t xml:space="preserve"> 2014</w:t>
            </w:r>
            <w:r>
              <w:rPr>
                <w:color w:val="000000"/>
                <w:sz w:val="17"/>
                <w:szCs w:val="17"/>
                <w:lang w:val="ru-RU"/>
              </w:rPr>
              <w:t xml:space="preserve"> г. до</w:t>
            </w:r>
            <w:r w:rsidR="005C3CF6">
              <w:rPr>
                <w:color w:val="000000"/>
                <w:sz w:val="17"/>
                <w:szCs w:val="17"/>
                <w:lang w:val="ru-RU"/>
              </w:rPr>
              <w:t xml:space="preserve"> 337 </w:t>
            </w:r>
            <w:r>
              <w:rPr>
                <w:color w:val="000000"/>
                <w:sz w:val="17"/>
                <w:szCs w:val="17"/>
                <w:lang w:val="ru-RU"/>
              </w:rPr>
              <w:t>шв</w:t>
            </w:r>
            <w:r w:rsidRPr="00E9604A">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E9604A">
              <w:rPr>
                <w:color w:val="000000"/>
                <w:sz w:val="17"/>
                <w:szCs w:val="17"/>
                <w:lang w:val="ru-RU"/>
              </w:rPr>
              <w:t xml:space="preserve"> </w:t>
            </w:r>
            <w:r>
              <w:rPr>
                <w:color w:val="000000"/>
                <w:sz w:val="17"/>
                <w:szCs w:val="17"/>
                <w:lang w:val="ru-RU"/>
              </w:rPr>
              <w:t>в</w:t>
            </w:r>
            <w:r w:rsidRPr="00E9604A">
              <w:rPr>
                <w:color w:val="000000"/>
                <w:sz w:val="17"/>
                <w:szCs w:val="17"/>
                <w:lang w:val="ru-RU"/>
              </w:rPr>
              <w:t xml:space="preserve"> 2015</w:t>
            </w:r>
            <w:r>
              <w:rPr>
                <w:color w:val="000000"/>
                <w:sz w:val="17"/>
                <w:szCs w:val="17"/>
                <w:lang w:val="ru-RU"/>
              </w:rPr>
              <w:t xml:space="preserve"> г.</w:t>
            </w:r>
            <w:r w:rsidRPr="00E9604A">
              <w:rPr>
                <w:color w:val="000000"/>
                <w:sz w:val="17"/>
                <w:szCs w:val="17"/>
                <w:lang w:val="ru-RU"/>
              </w:rPr>
              <w:t xml:space="preserve"> (</w:t>
            </w:r>
            <w:r>
              <w:rPr>
                <w:color w:val="000000"/>
                <w:sz w:val="17"/>
                <w:szCs w:val="17"/>
                <w:lang w:val="ru-RU"/>
              </w:rPr>
              <w:t>т.е. на</w:t>
            </w:r>
            <w:r w:rsidRPr="00E9604A">
              <w:rPr>
                <w:color w:val="000000"/>
                <w:sz w:val="17"/>
                <w:szCs w:val="17"/>
                <w:lang w:val="ru-RU"/>
              </w:rPr>
              <w:t xml:space="preserve"> 29</w:t>
            </w:r>
            <w:r w:rsidR="005C3CF6">
              <w:rPr>
                <w:color w:val="000000"/>
                <w:sz w:val="17"/>
                <w:szCs w:val="17"/>
                <w:lang w:val="ru-RU"/>
              </w:rPr>
              <w:t xml:space="preserve"> </w:t>
            </w:r>
            <w:r>
              <w:rPr>
                <w:color w:val="000000"/>
                <w:sz w:val="17"/>
                <w:szCs w:val="17"/>
                <w:lang w:val="ru-RU"/>
              </w:rPr>
              <w:t>шв</w:t>
            </w:r>
            <w:r w:rsidRPr="00E9604A">
              <w:rPr>
                <w:color w:val="000000"/>
                <w:sz w:val="17"/>
                <w:szCs w:val="17"/>
                <w:lang w:val="ru-RU"/>
              </w:rPr>
              <w:t xml:space="preserve">. </w:t>
            </w:r>
            <w:r>
              <w:rPr>
                <w:color w:val="000000"/>
                <w:sz w:val="17"/>
                <w:szCs w:val="17"/>
                <w:lang w:val="ru-RU"/>
              </w:rPr>
              <w:t>фр</w:t>
            </w:r>
            <w:r w:rsidR="005C3CF6">
              <w:rPr>
                <w:color w:val="000000"/>
                <w:sz w:val="17"/>
                <w:szCs w:val="17"/>
                <w:lang w:val="ru-RU"/>
              </w:rPr>
              <w:t>.</w:t>
            </w:r>
            <w:r>
              <w:rPr>
                <w:color w:val="000000"/>
                <w:sz w:val="17"/>
                <w:szCs w:val="17"/>
                <w:lang w:val="ru-RU"/>
              </w:rPr>
              <w:t>, или на 7,9%</w:t>
            </w:r>
            <w:r w:rsidRPr="00E9604A">
              <w:rPr>
                <w:color w:val="000000"/>
                <w:sz w:val="17"/>
                <w:szCs w:val="17"/>
                <w:lang w:val="ru-RU"/>
              </w:rPr>
              <w:t>)</w:t>
            </w:r>
            <w:r w:rsidRPr="00E9604A">
              <w:rPr>
                <w:color w:val="000000"/>
                <w:sz w:val="17"/>
                <w:szCs w:val="17"/>
                <w:lang w:val="ru-RU"/>
              </w:rPr>
              <w:br w:type="page"/>
              <w:t xml:space="preserve">.  </w:t>
            </w:r>
            <w:r>
              <w:rPr>
                <w:color w:val="000000"/>
                <w:sz w:val="17"/>
                <w:szCs w:val="17"/>
                <w:lang w:val="ru-RU"/>
              </w:rPr>
              <w:t>Дальнейшее с</w:t>
            </w:r>
            <w:r w:rsidRPr="00E9604A">
              <w:rPr>
                <w:color w:val="000000"/>
                <w:sz w:val="17"/>
                <w:szCs w:val="17"/>
                <w:lang w:val="ru-RU"/>
              </w:rPr>
              <w:t>нижение удельной стоимости</w:t>
            </w:r>
            <w:r w:rsidR="00506508">
              <w:rPr>
                <w:color w:val="000000"/>
                <w:sz w:val="17"/>
                <w:szCs w:val="17"/>
                <w:lang w:val="ru-RU"/>
              </w:rPr>
              <w:t xml:space="preserve"> в расчете на один зарегистриро</w:t>
            </w:r>
            <w:r w:rsidRPr="00E9604A">
              <w:rPr>
                <w:color w:val="000000"/>
                <w:sz w:val="17"/>
                <w:szCs w:val="17"/>
                <w:lang w:val="ru-RU"/>
              </w:rPr>
              <w:t xml:space="preserve">ванный документ </w:t>
            </w:r>
            <w:r w:rsidR="005C3CF6">
              <w:rPr>
                <w:color w:val="000000"/>
                <w:sz w:val="17"/>
                <w:szCs w:val="17"/>
                <w:lang w:val="ru-RU"/>
              </w:rPr>
              <w:t>с 1 </w:t>
            </w:r>
            <w:r w:rsidRPr="00E9604A">
              <w:rPr>
                <w:color w:val="000000"/>
                <w:sz w:val="17"/>
                <w:szCs w:val="17"/>
                <w:lang w:val="ru-RU"/>
              </w:rPr>
              <w:t>483</w:t>
            </w:r>
            <w:r w:rsidR="005C3CF6">
              <w:rPr>
                <w:color w:val="000000"/>
                <w:sz w:val="17"/>
                <w:szCs w:val="17"/>
                <w:lang w:val="ru-RU"/>
              </w:rPr>
              <w:t> </w:t>
            </w:r>
            <w:r>
              <w:rPr>
                <w:color w:val="000000"/>
                <w:sz w:val="17"/>
                <w:szCs w:val="17"/>
                <w:lang w:val="ru-RU"/>
              </w:rPr>
              <w:t>шв</w:t>
            </w:r>
            <w:r w:rsidRPr="00E9604A">
              <w:rPr>
                <w:color w:val="000000"/>
                <w:sz w:val="17"/>
                <w:szCs w:val="17"/>
                <w:lang w:val="ru-RU"/>
              </w:rPr>
              <w:t xml:space="preserve">. </w:t>
            </w:r>
            <w:r>
              <w:rPr>
                <w:color w:val="000000"/>
                <w:sz w:val="17"/>
                <w:szCs w:val="17"/>
                <w:lang w:val="ru-RU"/>
              </w:rPr>
              <w:t>фр</w:t>
            </w:r>
            <w:r w:rsidR="005C3CF6">
              <w:rPr>
                <w:color w:val="000000"/>
                <w:sz w:val="17"/>
                <w:szCs w:val="17"/>
                <w:lang w:val="ru-RU"/>
              </w:rPr>
              <w:t>.</w:t>
            </w:r>
            <w:r w:rsidRPr="00E9604A">
              <w:rPr>
                <w:color w:val="000000"/>
                <w:sz w:val="17"/>
                <w:szCs w:val="17"/>
                <w:lang w:val="ru-RU"/>
              </w:rPr>
              <w:t xml:space="preserve"> </w:t>
            </w:r>
            <w:r>
              <w:rPr>
                <w:color w:val="000000"/>
                <w:sz w:val="17"/>
                <w:szCs w:val="17"/>
                <w:lang w:val="ru-RU"/>
              </w:rPr>
              <w:t>в</w:t>
            </w:r>
            <w:r w:rsidRPr="00E9604A">
              <w:rPr>
                <w:color w:val="000000"/>
                <w:sz w:val="17"/>
                <w:szCs w:val="17"/>
                <w:lang w:val="ru-RU"/>
              </w:rPr>
              <w:t xml:space="preserve"> 2014</w:t>
            </w:r>
            <w:r>
              <w:rPr>
                <w:color w:val="000000"/>
                <w:sz w:val="17"/>
                <w:szCs w:val="17"/>
                <w:lang w:val="ru-RU"/>
              </w:rPr>
              <w:t xml:space="preserve"> г. до </w:t>
            </w:r>
            <w:r w:rsidRPr="00E9604A">
              <w:rPr>
                <w:color w:val="000000"/>
                <w:sz w:val="17"/>
                <w:szCs w:val="17"/>
                <w:lang w:val="ru-RU"/>
              </w:rPr>
              <w:t>1</w:t>
            </w:r>
            <w:r w:rsidR="005C3CF6">
              <w:rPr>
                <w:color w:val="000000"/>
                <w:sz w:val="17"/>
                <w:szCs w:val="17"/>
                <w:lang w:val="ru-RU"/>
              </w:rPr>
              <w:t> </w:t>
            </w:r>
            <w:r w:rsidRPr="00E9604A">
              <w:rPr>
                <w:color w:val="000000"/>
                <w:sz w:val="17"/>
                <w:szCs w:val="17"/>
                <w:lang w:val="ru-RU"/>
              </w:rPr>
              <w:t>153</w:t>
            </w:r>
            <w:r w:rsidR="005C3CF6">
              <w:rPr>
                <w:color w:val="000000"/>
                <w:sz w:val="17"/>
                <w:szCs w:val="17"/>
                <w:lang w:val="ru-RU"/>
              </w:rPr>
              <w:t> </w:t>
            </w:r>
            <w:r w:rsidRPr="00E9604A">
              <w:rPr>
                <w:color w:val="000000"/>
                <w:sz w:val="17"/>
                <w:szCs w:val="17"/>
                <w:lang w:val="ru-RU"/>
              </w:rPr>
              <w:t>шв. фр</w:t>
            </w:r>
            <w:r w:rsidR="005C3CF6">
              <w:rPr>
                <w:color w:val="000000"/>
                <w:sz w:val="17"/>
                <w:szCs w:val="17"/>
                <w:lang w:val="ru-RU"/>
              </w:rPr>
              <w:t>.</w:t>
            </w:r>
            <w:r>
              <w:rPr>
                <w:color w:val="000000"/>
                <w:sz w:val="17"/>
                <w:szCs w:val="17"/>
                <w:lang w:val="ru-RU"/>
              </w:rPr>
              <w:t xml:space="preserve"> в</w:t>
            </w:r>
            <w:r w:rsidRPr="00E9604A">
              <w:rPr>
                <w:color w:val="000000"/>
                <w:sz w:val="17"/>
                <w:szCs w:val="17"/>
                <w:lang w:val="ru-RU"/>
              </w:rPr>
              <w:t xml:space="preserve"> 2015 </w:t>
            </w:r>
            <w:r>
              <w:rPr>
                <w:color w:val="000000"/>
                <w:sz w:val="17"/>
                <w:szCs w:val="17"/>
                <w:lang w:val="ru-RU"/>
              </w:rPr>
              <w:t xml:space="preserve">г. </w:t>
            </w:r>
            <w:r w:rsidRPr="00E9604A">
              <w:rPr>
                <w:color w:val="000000"/>
                <w:sz w:val="17"/>
                <w:szCs w:val="17"/>
                <w:lang w:val="ru-RU"/>
              </w:rPr>
              <w:t>(</w:t>
            </w:r>
            <w:r>
              <w:rPr>
                <w:color w:val="000000"/>
                <w:sz w:val="17"/>
                <w:szCs w:val="17"/>
                <w:lang w:val="ru-RU"/>
              </w:rPr>
              <w:t>т.е.</w:t>
            </w:r>
            <w:r w:rsidRPr="00E9604A">
              <w:rPr>
                <w:color w:val="000000"/>
                <w:sz w:val="17"/>
                <w:szCs w:val="17"/>
                <w:lang w:val="ru-RU"/>
              </w:rPr>
              <w:t xml:space="preserve"> </w:t>
            </w:r>
            <w:r>
              <w:rPr>
                <w:color w:val="000000"/>
                <w:sz w:val="17"/>
                <w:szCs w:val="17"/>
                <w:lang w:val="ru-RU"/>
              </w:rPr>
              <w:t xml:space="preserve">на </w:t>
            </w:r>
            <w:r w:rsidRPr="00E9604A">
              <w:rPr>
                <w:color w:val="000000"/>
                <w:sz w:val="17"/>
                <w:szCs w:val="17"/>
                <w:lang w:val="ru-RU"/>
              </w:rPr>
              <w:t>330</w:t>
            </w:r>
            <w:r w:rsidR="005C3CF6">
              <w:rPr>
                <w:color w:val="000000"/>
                <w:sz w:val="17"/>
                <w:szCs w:val="17"/>
                <w:lang w:val="ru-RU"/>
              </w:rPr>
              <w:t> </w:t>
            </w:r>
            <w:r w:rsidRPr="00E9604A">
              <w:rPr>
                <w:color w:val="000000"/>
                <w:sz w:val="17"/>
                <w:szCs w:val="17"/>
                <w:lang w:val="ru-RU"/>
              </w:rPr>
              <w:t>шв. фр</w:t>
            </w:r>
            <w:r w:rsidR="005C3CF6">
              <w:rPr>
                <w:color w:val="000000"/>
                <w:sz w:val="17"/>
                <w:szCs w:val="17"/>
                <w:lang w:val="ru-RU"/>
              </w:rPr>
              <w:t>.</w:t>
            </w:r>
            <w:r>
              <w:rPr>
                <w:color w:val="000000"/>
                <w:sz w:val="17"/>
                <w:szCs w:val="17"/>
                <w:lang w:val="ru-RU"/>
              </w:rPr>
              <w:t>, или на</w:t>
            </w:r>
            <w:r w:rsidRPr="00E9604A">
              <w:rPr>
                <w:color w:val="000000"/>
                <w:sz w:val="17"/>
                <w:szCs w:val="17"/>
                <w:lang w:val="ru-RU"/>
              </w:rPr>
              <w:t xml:space="preserve"> 22</w:t>
            </w:r>
            <w:r>
              <w:rPr>
                <w:color w:val="000000"/>
                <w:sz w:val="17"/>
                <w:szCs w:val="17"/>
                <w:lang w:val="ru-RU"/>
              </w:rPr>
              <w:t>,</w:t>
            </w:r>
            <w:r w:rsidRPr="00E9604A">
              <w:rPr>
                <w:color w:val="000000"/>
                <w:sz w:val="17"/>
                <w:szCs w:val="17"/>
                <w:lang w:val="ru-RU"/>
              </w:rPr>
              <w:t>3%)</w:t>
            </w:r>
          </w:p>
        </w:tc>
        <w:tc>
          <w:tcPr>
            <w:tcW w:w="1183"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506508">
            <w:pPr>
              <w:ind w:left="-43"/>
              <w:rPr>
                <w:color w:val="000000"/>
                <w:sz w:val="17"/>
                <w:szCs w:val="17"/>
              </w:rPr>
            </w:pPr>
            <w:r w:rsidRPr="00387C09">
              <w:rPr>
                <w:color w:val="000000"/>
                <w:sz w:val="17"/>
                <w:szCs w:val="17"/>
                <w:lang w:val="ru-RU"/>
              </w:rPr>
              <w:t xml:space="preserve">Подробнее об операциях в рамках </w:t>
            </w:r>
            <w:r>
              <w:rPr>
                <w:color w:val="000000"/>
                <w:sz w:val="17"/>
                <w:szCs w:val="17"/>
                <w:lang w:val="ru-RU"/>
              </w:rPr>
              <w:t>Гаагской</w:t>
            </w:r>
            <w:r w:rsidRPr="00387C09">
              <w:rPr>
                <w:color w:val="000000"/>
                <w:sz w:val="17"/>
                <w:szCs w:val="17"/>
                <w:lang w:val="ru-RU"/>
              </w:rPr>
              <w:t xml:space="preserve"> системы см.  ОРП</w:t>
            </w:r>
            <w:r w:rsidRPr="00387C09">
              <w:rPr>
                <w:color w:val="000000"/>
                <w:sz w:val="17"/>
                <w:szCs w:val="17"/>
              </w:rPr>
              <w:t xml:space="preserve"> </w:t>
            </w:r>
            <w:r w:rsidRPr="00387C09">
              <w:rPr>
                <w:color w:val="000000"/>
                <w:sz w:val="17"/>
                <w:szCs w:val="17"/>
                <w:lang w:val="ru-RU"/>
              </w:rPr>
              <w:t>за</w:t>
            </w:r>
            <w:r w:rsidRPr="00387C09">
              <w:rPr>
                <w:color w:val="000000"/>
                <w:sz w:val="17"/>
                <w:szCs w:val="17"/>
              </w:rPr>
              <w:t xml:space="preserve"> 2014-2015 </w:t>
            </w:r>
            <w:r w:rsidRPr="00387C09">
              <w:rPr>
                <w:color w:val="000000"/>
                <w:sz w:val="17"/>
                <w:szCs w:val="17"/>
                <w:lang w:val="ru-RU"/>
              </w:rPr>
              <w:t>гг</w:t>
            </w:r>
            <w:r w:rsidRPr="00387C09">
              <w:rPr>
                <w:color w:val="000000"/>
                <w:sz w:val="17"/>
                <w:szCs w:val="17"/>
              </w:rPr>
              <w:t xml:space="preserve">. </w:t>
            </w:r>
          </w:p>
        </w:tc>
      </w:tr>
      <w:tr w:rsidR="00506508" w:rsidRPr="000E0D5D" w:rsidTr="00506508">
        <w:trPr>
          <w:trHeight w:val="1579"/>
        </w:trPr>
        <w:tc>
          <w:tcPr>
            <w:tcW w:w="1014" w:type="pct"/>
            <w:tcBorders>
              <w:top w:val="single" w:sz="4" w:space="0" w:color="auto"/>
              <w:left w:val="single" w:sz="4" w:space="0" w:color="auto"/>
              <w:bottom w:val="single" w:sz="4" w:space="0" w:color="auto"/>
              <w:right w:val="single" w:sz="4" w:space="0" w:color="auto"/>
            </w:tcBorders>
            <w:shd w:val="clear" w:color="auto" w:fill="auto"/>
          </w:tcPr>
          <w:p w:rsidR="002D647F" w:rsidRPr="00E9604A" w:rsidRDefault="002D647F" w:rsidP="002D647F">
            <w:pPr>
              <w:rPr>
                <w:color w:val="000000"/>
                <w:sz w:val="17"/>
                <w:szCs w:val="17"/>
                <w:lang w:val="ru-RU"/>
              </w:rPr>
            </w:pPr>
            <w:r>
              <w:rPr>
                <w:color w:val="000000"/>
                <w:sz w:val="17"/>
                <w:szCs w:val="17"/>
                <w:lang w:val="ru-RU"/>
              </w:rPr>
              <w:t>Снижение</w:t>
            </w:r>
            <w:r w:rsidRPr="00E9604A">
              <w:rPr>
                <w:color w:val="000000"/>
                <w:sz w:val="17"/>
                <w:szCs w:val="17"/>
                <w:lang w:val="ru-RU"/>
              </w:rPr>
              <w:t xml:space="preserve"> </w:t>
            </w:r>
            <w:r>
              <w:rPr>
                <w:color w:val="000000"/>
                <w:sz w:val="17"/>
                <w:szCs w:val="17"/>
                <w:lang w:val="ru-RU"/>
              </w:rPr>
              <w:t>ставок</w:t>
            </w:r>
            <w:r w:rsidRPr="00E9604A">
              <w:rPr>
                <w:color w:val="000000"/>
                <w:sz w:val="17"/>
                <w:szCs w:val="17"/>
                <w:lang w:val="ru-RU"/>
              </w:rPr>
              <w:t xml:space="preserve"> </w:t>
            </w:r>
            <w:r>
              <w:rPr>
                <w:color w:val="000000"/>
                <w:sz w:val="17"/>
                <w:szCs w:val="17"/>
                <w:lang w:val="ru-RU"/>
              </w:rPr>
              <w:t>страховых</w:t>
            </w:r>
            <w:r w:rsidRPr="00E9604A">
              <w:rPr>
                <w:color w:val="000000"/>
                <w:sz w:val="17"/>
                <w:szCs w:val="17"/>
                <w:lang w:val="ru-RU"/>
              </w:rPr>
              <w:t xml:space="preserve"> </w:t>
            </w:r>
            <w:r>
              <w:rPr>
                <w:color w:val="000000"/>
                <w:sz w:val="17"/>
                <w:szCs w:val="17"/>
                <w:lang w:val="ru-RU"/>
              </w:rPr>
              <w:t>премий</w:t>
            </w:r>
            <w:r w:rsidRPr="00E9604A">
              <w:rPr>
                <w:color w:val="000000"/>
                <w:sz w:val="17"/>
                <w:szCs w:val="17"/>
                <w:lang w:val="ru-RU"/>
              </w:rPr>
              <w:t xml:space="preserve"> </w:t>
            </w:r>
            <w:r>
              <w:rPr>
                <w:color w:val="000000"/>
                <w:sz w:val="17"/>
                <w:szCs w:val="17"/>
                <w:lang w:val="ru-RU"/>
              </w:rPr>
              <w:t>в</w:t>
            </w:r>
            <w:r w:rsidRPr="00E9604A">
              <w:rPr>
                <w:color w:val="000000"/>
                <w:sz w:val="17"/>
                <w:szCs w:val="17"/>
                <w:lang w:val="ru-RU"/>
              </w:rPr>
              <w:t xml:space="preserve"> </w:t>
            </w:r>
            <w:r>
              <w:rPr>
                <w:color w:val="000000"/>
                <w:sz w:val="17"/>
                <w:szCs w:val="17"/>
                <w:lang w:val="ru-RU"/>
              </w:rPr>
              <w:t>результате</w:t>
            </w:r>
            <w:r w:rsidRPr="00E9604A">
              <w:rPr>
                <w:color w:val="000000"/>
                <w:sz w:val="17"/>
                <w:szCs w:val="17"/>
                <w:lang w:val="ru-RU"/>
              </w:rPr>
              <w:t xml:space="preserve"> </w:t>
            </w:r>
            <w:r>
              <w:rPr>
                <w:color w:val="000000"/>
                <w:sz w:val="17"/>
                <w:szCs w:val="17"/>
                <w:lang w:val="ru-RU"/>
              </w:rPr>
              <w:t>заключения</w:t>
            </w:r>
            <w:r w:rsidRPr="00E9604A">
              <w:rPr>
                <w:color w:val="000000"/>
                <w:sz w:val="17"/>
                <w:szCs w:val="17"/>
                <w:lang w:val="ru-RU"/>
              </w:rPr>
              <w:t xml:space="preserve"> </w:t>
            </w:r>
            <w:r>
              <w:rPr>
                <w:color w:val="000000"/>
                <w:sz w:val="17"/>
                <w:szCs w:val="17"/>
                <w:lang w:val="ru-RU"/>
              </w:rPr>
              <w:t>нового</w:t>
            </w:r>
            <w:r w:rsidRPr="00E9604A">
              <w:rPr>
                <w:color w:val="000000"/>
                <w:sz w:val="17"/>
                <w:szCs w:val="17"/>
                <w:lang w:val="ru-RU"/>
              </w:rPr>
              <w:t xml:space="preserve"> </w:t>
            </w:r>
            <w:r>
              <w:rPr>
                <w:color w:val="000000"/>
                <w:sz w:val="17"/>
                <w:szCs w:val="17"/>
                <w:lang w:val="ru-RU"/>
              </w:rPr>
              <w:t>договора</w:t>
            </w:r>
            <w:r w:rsidRPr="00E9604A">
              <w:rPr>
                <w:color w:val="000000"/>
                <w:sz w:val="17"/>
                <w:szCs w:val="17"/>
                <w:lang w:val="ru-RU"/>
              </w:rPr>
              <w:t xml:space="preserve"> страховани</w:t>
            </w:r>
            <w:r>
              <w:rPr>
                <w:color w:val="000000"/>
                <w:sz w:val="17"/>
                <w:szCs w:val="17"/>
                <w:lang w:val="ru-RU"/>
              </w:rPr>
              <w:t>я</w:t>
            </w:r>
            <w:r w:rsidRPr="00E9604A">
              <w:rPr>
                <w:color w:val="000000"/>
                <w:sz w:val="17"/>
                <w:szCs w:val="17"/>
                <w:lang w:val="ru-RU"/>
              </w:rPr>
              <w:t xml:space="preserve"> от несчастных случаев при выполнении профессиональных обязанностей (</w:t>
            </w:r>
            <w:r w:rsidRPr="00303E4F">
              <w:rPr>
                <w:color w:val="000000"/>
                <w:sz w:val="17"/>
                <w:szCs w:val="17"/>
              </w:rPr>
              <w:t>PAI</w:t>
            </w:r>
            <w:r w:rsidRPr="00E9604A">
              <w:rPr>
                <w:color w:val="000000"/>
                <w:sz w:val="17"/>
                <w:szCs w:val="17"/>
                <w:lang w:val="ru-RU"/>
              </w:rPr>
              <w:t>)</w:t>
            </w:r>
          </w:p>
        </w:tc>
        <w:tc>
          <w:tcPr>
            <w:tcW w:w="589" w:type="pct"/>
            <w:tcBorders>
              <w:top w:val="single" w:sz="4" w:space="0" w:color="auto"/>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r>
              <w:rPr>
                <w:color w:val="000000"/>
                <w:sz w:val="17"/>
                <w:szCs w:val="17"/>
              </w:rPr>
              <w:t>Нет данных</w:t>
            </w:r>
          </w:p>
        </w:tc>
        <w:tc>
          <w:tcPr>
            <w:tcW w:w="530" w:type="pct"/>
            <w:tcBorders>
              <w:top w:val="single" w:sz="4" w:space="0" w:color="auto"/>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r>
              <w:rPr>
                <w:color w:val="000000"/>
                <w:sz w:val="17"/>
                <w:szCs w:val="17"/>
              </w:rPr>
              <w:t>200</w:t>
            </w:r>
            <w:r>
              <w:rPr>
                <w:color w:val="000000"/>
                <w:sz w:val="17"/>
                <w:szCs w:val="17"/>
                <w:lang w:val="ru-RU"/>
              </w:rPr>
              <w:t xml:space="preserve"> </w:t>
            </w:r>
            <w:r w:rsidRPr="00303E4F">
              <w:rPr>
                <w:color w:val="000000"/>
                <w:sz w:val="17"/>
                <w:szCs w:val="17"/>
              </w:rPr>
              <w:t>000</w:t>
            </w:r>
          </w:p>
        </w:tc>
        <w:tc>
          <w:tcPr>
            <w:tcW w:w="813" w:type="pct"/>
            <w:tcBorders>
              <w:top w:val="single" w:sz="4" w:space="0" w:color="auto"/>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p>
        </w:tc>
        <w:tc>
          <w:tcPr>
            <w:tcW w:w="871" w:type="pct"/>
            <w:tcBorders>
              <w:top w:val="single" w:sz="4" w:space="0" w:color="auto"/>
              <w:left w:val="nil"/>
              <w:bottom w:val="single" w:sz="4" w:space="0" w:color="auto"/>
              <w:right w:val="single" w:sz="4" w:space="0" w:color="auto"/>
            </w:tcBorders>
            <w:shd w:val="clear" w:color="auto" w:fill="auto"/>
          </w:tcPr>
          <w:p w:rsidR="002D647F" w:rsidRPr="00303E4F" w:rsidRDefault="002D647F" w:rsidP="002D647F">
            <w:pPr>
              <w:rPr>
                <w:color w:val="000000"/>
                <w:sz w:val="17"/>
                <w:szCs w:val="17"/>
              </w:rPr>
            </w:pPr>
          </w:p>
        </w:tc>
        <w:tc>
          <w:tcPr>
            <w:tcW w:w="1183" w:type="pct"/>
            <w:tcBorders>
              <w:top w:val="single" w:sz="4" w:space="0" w:color="auto"/>
              <w:left w:val="nil"/>
              <w:bottom w:val="single" w:sz="4" w:space="0" w:color="auto"/>
              <w:right w:val="single" w:sz="4" w:space="0" w:color="auto"/>
            </w:tcBorders>
            <w:shd w:val="clear" w:color="auto" w:fill="auto"/>
          </w:tcPr>
          <w:p w:rsidR="002D647F" w:rsidRDefault="002D647F" w:rsidP="00506508">
            <w:pPr>
              <w:ind w:left="-43"/>
              <w:rPr>
                <w:color w:val="000000"/>
                <w:sz w:val="17"/>
                <w:szCs w:val="17"/>
                <w:lang w:val="ru-RU"/>
              </w:rPr>
            </w:pPr>
            <w:r>
              <w:rPr>
                <w:color w:val="000000"/>
                <w:sz w:val="17"/>
                <w:szCs w:val="17"/>
                <w:lang w:val="ru-RU"/>
              </w:rPr>
              <w:t>По</w:t>
            </w:r>
            <w:r w:rsidRPr="000E0D5D">
              <w:rPr>
                <w:color w:val="000000"/>
                <w:sz w:val="17"/>
                <w:szCs w:val="17"/>
                <w:lang w:val="ru-RU"/>
              </w:rPr>
              <w:t xml:space="preserve"> </w:t>
            </w:r>
            <w:r>
              <w:rPr>
                <w:color w:val="000000"/>
                <w:sz w:val="17"/>
                <w:szCs w:val="17"/>
                <w:lang w:val="ru-RU"/>
              </w:rPr>
              <w:t>оценкам</w:t>
            </w:r>
            <w:r w:rsidRPr="000E0D5D">
              <w:rPr>
                <w:color w:val="000000"/>
                <w:sz w:val="17"/>
                <w:szCs w:val="17"/>
                <w:lang w:val="ru-RU"/>
              </w:rPr>
              <w:t xml:space="preserve">, </w:t>
            </w:r>
            <w:r>
              <w:rPr>
                <w:color w:val="000000"/>
                <w:sz w:val="17"/>
                <w:szCs w:val="17"/>
                <w:lang w:val="ru-RU"/>
              </w:rPr>
              <w:t>проведение</w:t>
            </w:r>
            <w:r w:rsidRPr="000E0D5D">
              <w:rPr>
                <w:color w:val="000000"/>
                <w:sz w:val="17"/>
                <w:szCs w:val="17"/>
                <w:lang w:val="ru-RU"/>
              </w:rPr>
              <w:t xml:space="preserve"> </w:t>
            </w:r>
            <w:r>
              <w:rPr>
                <w:color w:val="000000"/>
                <w:sz w:val="17"/>
                <w:szCs w:val="17"/>
                <w:lang w:val="ru-RU"/>
              </w:rPr>
              <w:t>переговоров</w:t>
            </w:r>
            <w:r w:rsidRPr="000E0D5D">
              <w:rPr>
                <w:color w:val="000000"/>
                <w:sz w:val="17"/>
                <w:szCs w:val="17"/>
                <w:lang w:val="ru-RU"/>
              </w:rPr>
              <w:t xml:space="preserve"> </w:t>
            </w:r>
            <w:r>
              <w:rPr>
                <w:color w:val="000000"/>
                <w:sz w:val="17"/>
                <w:szCs w:val="17"/>
                <w:lang w:val="ru-RU"/>
              </w:rPr>
              <w:t>по</w:t>
            </w:r>
            <w:r w:rsidRPr="000E0D5D">
              <w:rPr>
                <w:color w:val="000000"/>
                <w:sz w:val="17"/>
                <w:szCs w:val="17"/>
                <w:lang w:val="ru-RU"/>
              </w:rPr>
              <w:t xml:space="preserve"> </w:t>
            </w:r>
            <w:r>
              <w:rPr>
                <w:color w:val="000000"/>
                <w:sz w:val="17"/>
                <w:szCs w:val="17"/>
                <w:lang w:val="ru-RU"/>
              </w:rPr>
              <w:t>изменению</w:t>
            </w:r>
            <w:r w:rsidRPr="000E0D5D">
              <w:rPr>
                <w:color w:val="000000"/>
                <w:sz w:val="17"/>
                <w:szCs w:val="17"/>
                <w:lang w:val="ru-RU"/>
              </w:rPr>
              <w:t xml:space="preserve"> </w:t>
            </w:r>
            <w:r>
              <w:rPr>
                <w:color w:val="000000"/>
                <w:sz w:val="17"/>
                <w:szCs w:val="17"/>
                <w:lang w:val="ru-RU"/>
              </w:rPr>
              <w:t>условий</w:t>
            </w:r>
            <w:r w:rsidRPr="000E0D5D">
              <w:rPr>
                <w:color w:val="000000"/>
                <w:sz w:val="17"/>
                <w:szCs w:val="17"/>
                <w:lang w:val="ru-RU"/>
              </w:rPr>
              <w:t xml:space="preserve">  </w:t>
            </w:r>
            <w:r w:rsidRPr="00E9604A">
              <w:rPr>
                <w:color w:val="000000"/>
                <w:sz w:val="17"/>
                <w:szCs w:val="17"/>
                <w:lang w:val="ru-RU"/>
              </w:rPr>
              <w:t>страхования</w:t>
            </w:r>
            <w:r w:rsidRPr="000E0D5D">
              <w:rPr>
                <w:color w:val="000000"/>
                <w:sz w:val="17"/>
                <w:szCs w:val="17"/>
                <w:lang w:val="ru-RU"/>
              </w:rPr>
              <w:t xml:space="preserve"> </w:t>
            </w:r>
            <w:r w:rsidRPr="00E9604A">
              <w:rPr>
                <w:color w:val="000000"/>
                <w:sz w:val="17"/>
                <w:szCs w:val="17"/>
                <w:lang w:val="ru-RU"/>
              </w:rPr>
              <w:t>от</w:t>
            </w:r>
            <w:r w:rsidRPr="000E0D5D">
              <w:rPr>
                <w:color w:val="000000"/>
                <w:sz w:val="17"/>
                <w:szCs w:val="17"/>
                <w:lang w:val="ru-RU"/>
              </w:rPr>
              <w:t xml:space="preserve"> </w:t>
            </w:r>
            <w:r w:rsidRPr="00E9604A">
              <w:rPr>
                <w:color w:val="000000"/>
                <w:sz w:val="17"/>
                <w:szCs w:val="17"/>
                <w:lang w:val="ru-RU"/>
              </w:rPr>
              <w:t>несчастных</w:t>
            </w:r>
            <w:r w:rsidRPr="000E0D5D">
              <w:rPr>
                <w:color w:val="000000"/>
                <w:sz w:val="17"/>
                <w:szCs w:val="17"/>
                <w:lang w:val="ru-RU"/>
              </w:rPr>
              <w:t xml:space="preserve"> </w:t>
            </w:r>
            <w:r w:rsidRPr="00E9604A">
              <w:rPr>
                <w:color w:val="000000"/>
                <w:sz w:val="17"/>
                <w:szCs w:val="17"/>
                <w:lang w:val="ru-RU"/>
              </w:rPr>
              <w:t>случаев</w:t>
            </w:r>
            <w:r w:rsidRPr="000E0D5D">
              <w:rPr>
                <w:color w:val="000000"/>
                <w:sz w:val="17"/>
                <w:szCs w:val="17"/>
                <w:lang w:val="ru-RU"/>
              </w:rPr>
              <w:t xml:space="preserve"> </w:t>
            </w:r>
            <w:r w:rsidRPr="00E9604A">
              <w:rPr>
                <w:color w:val="000000"/>
                <w:sz w:val="17"/>
                <w:szCs w:val="17"/>
                <w:lang w:val="ru-RU"/>
              </w:rPr>
              <w:t>при</w:t>
            </w:r>
            <w:r w:rsidRPr="000E0D5D">
              <w:rPr>
                <w:color w:val="000000"/>
                <w:sz w:val="17"/>
                <w:szCs w:val="17"/>
                <w:lang w:val="ru-RU"/>
              </w:rPr>
              <w:t xml:space="preserve"> </w:t>
            </w:r>
            <w:r w:rsidRPr="00E9604A">
              <w:rPr>
                <w:color w:val="000000"/>
                <w:sz w:val="17"/>
                <w:szCs w:val="17"/>
                <w:lang w:val="ru-RU"/>
              </w:rPr>
              <w:t>выполнении</w:t>
            </w:r>
            <w:r w:rsidRPr="000E0D5D">
              <w:rPr>
                <w:color w:val="000000"/>
                <w:sz w:val="17"/>
                <w:szCs w:val="17"/>
                <w:lang w:val="ru-RU"/>
              </w:rPr>
              <w:t xml:space="preserve"> </w:t>
            </w:r>
            <w:r w:rsidRPr="00E9604A">
              <w:rPr>
                <w:color w:val="000000"/>
                <w:sz w:val="17"/>
                <w:szCs w:val="17"/>
                <w:lang w:val="ru-RU"/>
              </w:rPr>
              <w:t>профессиональных</w:t>
            </w:r>
            <w:r w:rsidRPr="000E0D5D">
              <w:rPr>
                <w:color w:val="000000"/>
                <w:sz w:val="17"/>
                <w:szCs w:val="17"/>
                <w:lang w:val="ru-RU"/>
              </w:rPr>
              <w:t xml:space="preserve"> </w:t>
            </w:r>
            <w:r w:rsidRPr="00E9604A">
              <w:rPr>
                <w:color w:val="000000"/>
                <w:sz w:val="17"/>
                <w:szCs w:val="17"/>
                <w:lang w:val="ru-RU"/>
              </w:rPr>
              <w:t>обязанностей</w:t>
            </w:r>
            <w:r w:rsidRPr="000E0D5D">
              <w:rPr>
                <w:color w:val="000000"/>
                <w:sz w:val="17"/>
                <w:szCs w:val="17"/>
                <w:lang w:val="ru-RU"/>
              </w:rPr>
              <w:t xml:space="preserve"> </w:t>
            </w:r>
            <w:r>
              <w:rPr>
                <w:color w:val="000000"/>
                <w:sz w:val="17"/>
                <w:szCs w:val="17"/>
                <w:lang w:val="ru-RU"/>
              </w:rPr>
              <w:t>позволило</w:t>
            </w:r>
            <w:r w:rsidRPr="000E0D5D">
              <w:rPr>
                <w:color w:val="000000"/>
                <w:sz w:val="17"/>
                <w:szCs w:val="17"/>
                <w:lang w:val="ru-RU"/>
              </w:rPr>
              <w:t xml:space="preserve"> </w:t>
            </w:r>
            <w:r>
              <w:rPr>
                <w:color w:val="000000"/>
                <w:sz w:val="17"/>
                <w:szCs w:val="17"/>
                <w:lang w:val="ru-RU"/>
              </w:rPr>
              <w:t>сэкономить</w:t>
            </w:r>
            <w:r w:rsidRPr="000E0D5D">
              <w:rPr>
                <w:color w:val="000000"/>
                <w:sz w:val="17"/>
                <w:szCs w:val="17"/>
                <w:lang w:val="ru-RU"/>
              </w:rPr>
              <w:t xml:space="preserve"> </w:t>
            </w:r>
            <w:r>
              <w:rPr>
                <w:color w:val="000000"/>
                <w:sz w:val="17"/>
                <w:szCs w:val="17"/>
                <w:lang w:val="ru-RU"/>
              </w:rPr>
              <w:t>в</w:t>
            </w:r>
            <w:r w:rsidRPr="000E0D5D">
              <w:rPr>
                <w:color w:val="000000"/>
                <w:sz w:val="17"/>
                <w:szCs w:val="17"/>
                <w:lang w:val="ru-RU"/>
              </w:rPr>
              <w:t xml:space="preserve"> 2015 </w:t>
            </w:r>
            <w:r>
              <w:rPr>
                <w:color w:val="000000"/>
                <w:sz w:val="17"/>
                <w:szCs w:val="17"/>
                <w:lang w:val="ru-RU"/>
              </w:rPr>
              <w:t>г</w:t>
            </w:r>
            <w:r w:rsidRPr="000E0D5D">
              <w:rPr>
                <w:color w:val="000000"/>
                <w:sz w:val="17"/>
                <w:szCs w:val="17"/>
                <w:lang w:val="ru-RU"/>
              </w:rPr>
              <w:t>.</w:t>
            </w:r>
            <w:r>
              <w:rPr>
                <w:color w:val="000000"/>
                <w:sz w:val="17"/>
                <w:szCs w:val="17"/>
                <w:lang w:val="ru-RU"/>
              </w:rPr>
              <w:t xml:space="preserve"> </w:t>
            </w:r>
          </w:p>
          <w:p w:rsidR="002D647F" w:rsidRPr="000E0D5D" w:rsidRDefault="005C3CF6" w:rsidP="00506508">
            <w:pPr>
              <w:ind w:left="-43"/>
              <w:rPr>
                <w:color w:val="000000"/>
                <w:sz w:val="17"/>
                <w:szCs w:val="17"/>
                <w:lang w:val="ru-RU"/>
              </w:rPr>
            </w:pPr>
            <w:r>
              <w:rPr>
                <w:color w:val="000000"/>
                <w:sz w:val="17"/>
                <w:szCs w:val="17"/>
              </w:rPr>
              <w:t>200</w:t>
            </w:r>
            <w:r>
              <w:rPr>
                <w:color w:val="000000"/>
                <w:sz w:val="17"/>
                <w:szCs w:val="17"/>
                <w:lang w:val="ru-RU"/>
              </w:rPr>
              <w:t> </w:t>
            </w:r>
            <w:r>
              <w:rPr>
                <w:color w:val="000000"/>
                <w:sz w:val="17"/>
                <w:szCs w:val="17"/>
              </w:rPr>
              <w:t>000</w:t>
            </w:r>
            <w:r>
              <w:rPr>
                <w:color w:val="000000"/>
                <w:sz w:val="17"/>
                <w:szCs w:val="17"/>
                <w:lang w:val="ru-RU"/>
              </w:rPr>
              <w:t> </w:t>
            </w:r>
            <w:r w:rsidR="002D647F">
              <w:rPr>
                <w:color w:val="000000"/>
                <w:sz w:val="17"/>
                <w:szCs w:val="17"/>
                <w:lang w:val="ru-RU"/>
              </w:rPr>
              <w:t>шв</w:t>
            </w:r>
            <w:r w:rsidR="002D647F" w:rsidRPr="000E0D5D">
              <w:rPr>
                <w:color w:val="000000"/>
                <w:sz w:val="17"/>
                <w:szCs w:val="17"/>
              </w:rPr>
              <w:t xml:space="preserve">. </w:t>
            </w:r>
            <w:r w:rsidR="002D647F">
              <w:rPr>
                <w:color w:val="000000"/>
                <w:sz w:val="17"/>
                <w:szCs w:val="17"/>
                <w:lang w:val="ru-RU"/>
              </w:rPr>
              <w:t>фр</w:t>
            </w:r>
            <w:r>
              <w:rPr>
                <w:color w:val="000000"/>
                <w:sz w:val="17"/>
                <w:szCs w:val="17"/>
                <w:lang w:val="ru-RU"/>
              </w:rPr>
              <w:t>.</w:t>
            </w:r>
          </w:p>
        </w:tc>
      </w:tr>
    </w:tbl>
    <w:p w:rsidR="002D647F" w:rsidRPr="000E0D5D" w:rsidRDefault="002D647F" w:rsidP="002D647F">
      <w:pPr>
        <w:rPr>
          <w:i/>
          <w:sz w:val="18"/>
          <w:szCs w:val="18"/>
        </w:rPr>
      </w:pPr>
    </w:p>
    <w:p w:rsidR="002D647F" w:rsidRDefault="002D647F" w:rsidP="002D647F">
      <w:pPr>
        <w:rPr>
          <w:i/>
          <w:sz w:val="18"/>
          <w:szCs w:val="18"/>
          <w:lang w:val="ru-RU"/>
        </w:rPr>
      </w:pPr>
      <w:r>
        <w:rPr>
          <w:i/>
          <w:sz w:val="18"/>
          <w:szCs w:val="18"/>
          <w:lang w:val="ru-RU"/>
        </w:rPr>
        <w:t>И</w:t>
      </w:r>
      <w:r w:rsidRPr="000E0D5D">
        <w:rPr>
          <w:i/>
          <w:sz w:val="18"/>
          <w:szCs w:val="18"/>
          <w:lang w:val="ru-RU"/>
        </w:rPr>
        <w:t>тоговые суммы могут не сходиться из-за округления.</w:t>
      </w:r>
    </w:p>
    <w:p w:rsidR="002D647F" w:rsidRPr="000E0D5D" w:rsidRDefault="002D647F" w:rsidP="002D647F">
      <w:pPr>
        <w:rPr>
          <w:i/>
          <w:sz w:val="18"/>
          <w:szCs w:val="18"/>
          <w:lang w:val="ru-RU"/>
        </w:rPr>
      </w:pPr>
      <w:r w:rsidRPr="000E0D5D">
        <w:rPr>
          <w:i/>
          <w:sz w:val="18"/>
          <w:szCs w:val="18"/>
          <w:lang w:val="ru-RU"/>
        </w:rPr>
        <w:t xml:space="preserve"> *</w:t>
      </w:r>
      <w:r>
        <w:rPr>
          <w:i/>
          <w:sz w:val="18"/>
          <w:szCs w:val="18"/>
          <w:lang w:val="ru-RU"/>
        </w:rPr>
        <w:t>Если</w:t>
      </w:r>
      <w:r w:rsidRPr="000E0D5D">
        <w:rPr>
          <w:i/>
          <w:sz w:val="18"/>
          <w:szCs w:val="18"/>
          <w:lang w:val="ru-RU"/>
        </w:rPr>
        <w:t xml:space="preserve"> </w:t>
      </w:r>
      <w:r>
        <w:rPr>
          <w:i/>
          <w:sz w:val="18"/>
          <w:szCs w:val="18"/>
          <w:lang w:val="ru-RU"/>
        </w:rPr>
        <w:t>не</w:t>
      </w:r>
      <w:r w:rsidRPr="000E0D5D">
        <w:rPr>
          <w:i/>
          <w:sz w:val="18"/>
          <w:szCs w:val="18"/>
          <w:lang w:val="ru-RU"/>
        </w:rPr>
        <w:t xml:space="preserve"> </w:t>
      </w:r>
      <w:r>
        <w:rPr>
          <w:i/>
          <w:sz w:val="18"/>
          <w:szCs w:val="18"/>
          <w:lang w:val="ru-RU"/>
        </w:rPr>
        <w:t>указано</w:t>
      </w:r>
      <w:r w:rsidRPr="000E0D5D">
        <w:rPr>
          <w:i/>
          <w:sz w:val="18"/>
          <w:szCs w:val="18"/>
          <w:lang w:val="ru-RU"/>
        </w:rPr>
        <w:t xml:space="preserve"> </w:t>
      </w:r>
      <w:r>
        <w:rPr>
          <w:i/>
          <w:sz w:val="18"/>
          <w:szCs w:val="18"/>
          <w:lang w:val="ru-RU"/>
        </w:rPr>
        <w:t>иное</w:t>
      </w:r>
      <w:r w:rsidRPr="000E0D5D">
        <w:rPr>
          <w:i/>
          <w:sz w:val="18"/>
          <w:szCs w:val="18"/>
          <w:lang w:val="ru-RU"/>
        </w:rPr>
        <w:t xml:space="preserve">, </w:t>
      </w:r>
      <w:r>
        <w:rPr>
          <w:i/>
          <w:sz w:val="18"/>
          <w:szCs w:val="18"/>
          <w:lang w:val="ru-RU"/>
        </w:rPr>
        <w:t>информация</w:t>
      </w:r>
      <w:r w:rsidRPr="000E0D5D">
        <w:rPr>
          <w:i/>
          <w:sz w:val="18"/>
          <w:szCs w:val="18"/>
          <w:lang w:val="ru-RU"/>
        </w:rPr>
        <w:t xml:space="preserve"> </w:t>
      </w:r>
      <w:r>
        <w:rPr>
          <w:i/>
          <w:sz w:val="18"/>
          <w:szCs w:val="18"/>
          <w:lang w:val="ru-RU"/>
        </w:rPr>
        <w:t>по</w:t>
      </w:r>
      <w:r w:rsidRPr="000E0D5D">
        <w:rPr>
          <w:i/>
          <w:sz w:val="18"/>
          <w:szCs w:val="18"/>
          <w:lang w:val="ru-RU"/>
        </w:rPr>
        <w:t xml:space="preserve"> </w:t>
      </w:r>
      <w:r>
        <w:rPr>
          <w:i/>
          <w:sz w:val="18"/>
          <w:szCs w:val="18"/>
          <w:lang w:val="ru-RU"/>
        </w:rPr>
        <w:t xml:space="preserve">данным, приведенным в документе </w:t>
      </w:r>
      <w:r w:rsidRPr="00BE62B6">
        <w:rPr>
          <w:i/>
          <w:sz w:val="18"/>
          <w:szCs w:val="18"/>
        </w:rPr>
        <w:t>WO</w:t>
      </w:r>
      <w:r w:rsidRPr="000E0D5D">
        <w:rPr>
          <w:i/>
          <w:sz w:val="18"/>
          <w:szCs w:val="18"/>
          <w:lang w:val="ru-RU"/>
        </w:rPr>
        <w:t>/</w:t>
      </w:r>
      <w:r w:rsidRPr="00BE62B6">
        <w:rPr>
          <w:i/>
          <w:sz w:val="18"/>
          <w:szCs w:val="18"/>
        </w:rPr>
        <w:t>PBC</w:t>
      </w:r>
      <w:r w:rsidRPr="000E0D5D">
        <w:rPr>
          <w:i/>
          <w:sz w:val="18"/>
          <w:szCs w:val="18"/>
          <w:lang w:val="ru-RU"/>
        </w:rPr>
        <w:t>/23/</w:t>
      </w:r>
      <w:r w:rsidRPr="00BE62B6">
        <w:rPr>
          <w:i/>
          <w:sz w:val="18"/>
          <w:szCs w:val="18"/>
        </w:rPr>
        <w:t>COST</w:t>
      </w:r>
      <w:r w:rsidRPr="000E0D5D">
        <w:rPr>
          <w:i/>
          <w:sz w:val="18"/>
          <w:szCs w:val="18"/>
          <w:lang w:val="ru-RU"/>
        </w:rPr>
        <w:t xml:space="preserve"> </w:t>
      </w:r>
      <w:r w:rsidRPr="00BE62B6">
        <w:rPr>
          <w:i/>
          <w:sz w:val="18"/>
          <w:szCs w:val="18"/>
        </w:rPr>
        <w:t>EFFICIENCIES</w:t>
      </w:r>
      <w:r w:rsidRPr="000E0D5D">
        <w:rPr>
          <w:i/>
          <w:sz w:val="18"/>
          <w:szCs w:val="18"/>
          <w:lang w:val="ru-RU"/>
        </w:rPr>
        <w:t xml:space="preserve"> </w:t>
      </w:r>
      <w:r w:rsidRPr="00BE62B6">
        <w:rPr>
          <w:i/>
          <w:sz w:val="18"/>
          <w:szCs w:val="18"/>
        </w:rPr>
        <w:t>REALIZED</w:t>
      </w:r>
      <w:r w:rsidRPr="000E0D5D">
        <w:rPr>
          <w:i/>
          <w:sz w:val="18"/>
          <w:szCs w:val="18"/>
          <w:lang w:val="ru-RU"/>
        </w:rPr>
        <w:t xml:space="preserve"> </w:t>
      </w:r>
      <w:r w:rsidRPr="00BE62B6">
        <w:rPr>
          <w:i/>
          <w:sz w:val="18"/>
          <w:szCs w:val="18"/>
        </w:rPr>
        <w:t>IN</w:t>
      </w:r>
      <w:r w:rsidRPr="000E0D5D">
        <w:rPr>
          <w:i/>
          <w:sz w:val="18"/>
          <w:szCs w:val="18"/>
          <w:lang w:val="ru-RU"/>
        </w:rPr>
        <w:t xml:space="preserve"> 2014</w:t>
      </w:r>
      <w:r>
        <w:rPr>
          <w:i/>
          <w:sz w:val="18"/>
          <w:szCs w:val="18"/>
          <w:lang w:val="ru-RU"/>
        </w:rPr>
        <w:t>.</w:t>
      </w:r>
    </w:p>
    <w:p w:rsidR="002D647F" w:rsidRPr="000E0D5D" w:rsidRDefault="002D647F" w:rsidP="002D647F">
      <w:pPr>
        <w:rPr>
          <w:i/>
          <w:sz w:val="18"/>
          <w:szCs w:val="18"/>
          <w:lang w:val="ru-RU"/>
        </w:rPr>
      </w:pPr>
      <w:r w:rsidRPr="000E0D5D">
        <w:rPr>
          <w:i/>
          <w:sz w:val="18"/>
          <w:szCs w:val="18"/>
          <w:lang w:val="ru-RU"/>
        </w:rPr>
        <w:t>**</w:t>
      </w:r>
      <w:r>
        <w:rPr>
          <w:i/>
          <w:sz w:val="18"/>
          <w:szCs w:val="18"/>
          <w:lang w:val="ru-RU"/>
        </w:rPr>
        <w:t>Годовая</w:t>
      </w:r>
      <w:r w:rsidRPr="000E0D5D">
        <w:rPr>
          <w:i/>
          <w:sz w:val="18"/>
          <w:szCs w:val="18"/>
          <w:lang w:val="ru-RU"/>
        </w:rPr>
        <w:t xml:space="preserve"> </w:t>
      </w:r>
      <w:r>
        <w:rPr>
          <w:i/>
          <w:sz w:val="18"/>
          <w:szCs w:val="18"/>
          <w:lang w:val="ru-RU"/>
        </w:rPr>
        <w:t>экономия</w:t>
      </w:r>
      <w:r w:rsidRPr="000E0D5D">
        <w:rPr>
          <w:i/>
          <w:sz w:val="18"/>
          <w:szCs w:val="18"/>
          <w:lang w:val="ru-RU"/>
        </w:rPr>
        <w:t xml:space="preserve"> </w:t>
      </w:r>
      <w:r>
        <w:rPr>
          <w:i/>
          <w:sz w:val="18"/>
          <w:szCs w:val="18"/>
          <w:lang w:val="ru-RU"/>
        </w:rPr>
        <w:t>в</w:t>
      </w:r>
      <w:r w:rsidRPr="000E0D5D">
        <w:rPr>
          <w:i/>
          <w:sz w:val="18"/>
          <w:szCs w:val="18"/>
          <w:lang w:val="ru-RU"/>
        </w:rPr>
        <w:t xml:space="preserve"> 2015 </w:t>
      </w:r>
      <w:r>
        <w:rPr>
          <w:i/>
          <w:sz w:val="18"/>
          <w:szCs w:val="18"/>
          <w:lang w:val="ru-RU"/>
        </w:rPr>
        <w:t>г</w:t>
      </w:r>
      <w:r w:rsidRPr="000E0D5D">
        <w:rPr>
          <w:i/>
          <w:sz w:val="18"/>
          <w:szCs w:val="18"/>
          <w:lang w:val="ru-RU"/>
        </w:rPr>
        <w:t xml:space="preserve">. </w:t>
      </w:r>
      <w:r>
        <w:rPr>
          <w:i/>
          <w:sz w:val="18"/>
          <w:szCs w:val="18"/>
          <w:lang w:val="ru-RU"/>
        </w:rPr>
        <w:t>по сравнению с 2013 г.</w:t>
      </w:r>
    </w:p>
    <w:p w:rsidR="002D647F" w:rsidRPr="000E0D5D" w:rsidRDefault="002D647F" w:rsidP="002D647F">
      <w:pPr>
        <w:rPr>
          <w:i/>
          <w:sz w:val="18"/>
          <w:szCs w:val="18"/>
          <w:lang w:val="ru-RU"/>
        </w:rPr>
      </w:pPr>
      <w:r w:rsidRPr="000E0D5D">
        <w:rPr>
          <w:i/>
          <w:sz w:val="18"/>
          <w:szCs w:val="18"/>
          <w:lang w:val="ru-RU"/>
        </w:rPr>
        <w:t>***</w:t>
      </w:r>
      <w:r>
        <w:rPr>
          <w:i/>
          <w:sz w:val="18"/>
          <w:szCs w:val="18"/>
          <w:lang w:val="ru-RU"/>
        </w:rPr>
        <w:t>Пересмотренные цифры по состоянию на апрель 2016 г.</w:t>
      </w:r>
    </w:p>
    <w:p w:rsidR="002D647F" w:rsidRPr="000E0D5D" w:rsidRDefault="002D647F" w:rsidP="002D647F">
      <w:pPr>
        <w:jc w:val="center"/>
        <w:rPr>
          <w:b/>
          <w:sz w:val="18"/>
          <w:szCs w:val="18"/>
          <w:lang w:val="ru-RU"/>
        </w:rPr>
      </w:pPr>
    </w:p>
    <w:p w:rsidR="002D647F" w:rsidRPr="000E0D5D" w:rsidRDefault="002D647F" w:rsidP="002D647F">
      <w:pPr>
        <w:jc w:val="center"/>
        <w:rPr>
          <w:b/>
          <w:sz w:val="18"/>
          <w:szCs w:val="18"/>
          <w:lang w:val="ru-RU"/>
        </w:rPr>
      </w:pPr>
    </w:p>
    <w:p w:rsidR="002D647F" w:rsidRPr="000E0D5D" w:rsidRDefault="002D647F" w:rsidP="002D647F">
      <w:pPr>
        <w:jc w:val="center"/>
        <w:rPr>
          <w:b/>
          <w:sz w:val="18"/>
          <w:szCs w:val="18"/>
          <w:lang w:val="ru-RU"/>
        </w:rPr>
      </w:pPr>
    </w:p>
    <w:p w:rsidR="002D647F" w:rsidRPr="000E0D5D" w:rsidRDefault="002D647F" w:rsidP="002D647F">
      <w:pPr>
        <w:keepNext/>
        <w:keepLines/>
        <w:jc w:val="center"/>
        <w:rPr>
          <w:szCs w:val="18"/>
          <w:lang w:val="ru-RU"/>
        </w:rPr>
      </w:pPr>
      <w:r>
        <w:rPr>
          <w:szCs w:val="18"/>
          <w:lang w:val="ru-RU"/>
        </w:rPr>
        <w:t>ВОЗМЕЩЕНИЕ РАСХОДОВ В</w:t>
      </w:r>
      <w:r w:rsidRPr="00303E4F">
        <w:rPr>
          <w:szCs w:val="18"/>
        </w:rPr>
        <w:t xml:space="preserve"> 2014</w:t>
      </w:r>
      <w:r>
        <w:rPr>
          <w:szCs w:val="18"/>
          <w:lang w:val="ru-RU"/>
        </w:rPr>
        <w:t>-20</w:t>
      </w:r>
      <w:r w:rsidRPr="00303E4F">
        <w:rPr>
          <w:szCs w:val="18"/>
        </w:rPr>
        <w:t>15</w:t>
      </w:r>
      <w:r>
        <w:rPr>
          <w:szCs w:val="18"/>
          <w:lang w:val="ru-RU"/>
        </w:rPr>
        <w:t xml:space="preserve"> ГГ.</w:t>
      </w:r>
    </w:p>
    <w:p w:rsidR="002D647F" w:rsidRPr="00303E4F" w:rsidRDefault="002D647F" w:rsidP="002D647F">
      <w:pPr>
        <w:keepNext/>
        <w:keepLines/>
        <w:jc w:val="center"/>
        <w:rPr>
          <w:sz w:val="18"/>
          <w:szCs w:val="18"/>
        </w:rPr>
      </w:pPr>
    </w:p>
    <w:p w:rsidR="002D647F" w:rsidRPr="00BE62B6" w:rsidRDefault="002D647F" w:rsidP="002D647F">
      <w:pPr>
        <w:keepNext/>
        <w:keepLines/>
        <w:jc w:val="center"/>
        <w:rPr>
          <w:b/>
          <w:sz w:val="18"/>
          <w:szCs w:val="18"/>
        </w:rPr>
      </w:pPr>
    </w:p>
    <w:tbl>
      <w:tblPr>
        <w:tblW w:w="5246" w:type="pct"/>
        <w:tblInd w:w="-176" w:type="dxa"/>
        <w:tblLayout w:type="fixed"/>
        <w:tblCellMar>
          <w:top w:w="85" w:type="dxa"/>
        </w:tblCellMar>
        <w:tblLook w:val="04A0" w:firstRow="1" w:lastRow="0" w:firstColumn="1" w:lastColumn="0" w:noHBand="0" w:noVBand="1"/>
      </w:tblPr>
      <w:tblGrid>
        <w:gridCol w:w="1493"/>
        <w:gridCol w:w="1061"/>
        <w:gridCol w:w="993"/>
        <w:gridCol w:w="1987"/>
        <w:gridCol w:w="1558"/>
        <w:gridCol w:w="1416"/>
        <w:gridCol w:w="1534"/>
      </w:tblGrid>
      <w:tr w:rsidR="00506508" w:rsidRPr="00732C8F" w:rsidTr="00506508">
        <w:trPr>
          <w:trHeight w:val="765"/>
          <w:tblHeader/>
        </w:trPr>
        <w:tc>
          <w:tcPr>
            <w:tcW w:w="743" w:type="pct"/>
            <w:tcBorders>
              <w:top w:val="single" w:sz="4" w:space="0" w:color="auto"/>
              <w:left w:val="single" w:sz="4" w:space="0" w:color="auto"/>
              <w:bottom w:val="nil"/>
              <w:right w:val="single" w:sz="4" w:space="0" w:color="auto"/>
            </w:tcBorders>
            <w:shd w:val="clear" w:color="000000" w:fill="8DB4E2"/>
            <w:vAlign w:val="center"/>
            <w:hideMark/>
          </w:tcPr>
          <w:p w:rsidR="002D647F" w:rsidRPr="00732C8F" w:rsidRDefault="002D647F" w:rsidP="002D647F">
            <w:pPr>
              <w:keepNext/>
              <w:keepLines/>
              <w:rPr>
                <w:b/>
                <w:bCs/>
                <w:color w:val="000000"/>
                <w:sz w:val="16"/>
                <w:szCs w:val="16"/>
                <w:lang w:val="ru-RU"/>
              </w:rPr>
            </w:pPr>
            <w:r w:rsidRPr="00732C8F">
              <w:rPr>
                <w:b/>
                <w:bCs/>
                <w:color w:val="000000"/>
                <w:sz w:val="16"/>
                <w:szCs w:val="16"/>
                <w:lang w:val="ru-RU"/>
              </w:rPr>
              <w:t>Возмещение расходов</w:t>
            </w: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r w:rsidRPr="00732C8F">
              <w:rPr>
                <w:b/>
                <w:bCs/>
                <w:color w:val="000000"/>
                <w:sz w:val="16"/>
                <w:szCs w:val="16"/>
              </w:rPr>
              <w:t>A</w:t>
            </w:r>
          </w:p>
        </w:tc>
        <w:tc>
          <w:tcPr>
            <w:tcW w:w="528" w:type="pct"/>
            <w:tcBorders>
              <w:top w:val="single" w:sz="4" w:space="0" w:color="auto"/>
              <w:left w:val="nil"/>
              <w:bottom w:val="nil"/>
              <w:right w:val="single" w:sz="4" w:space="0" w:color="auto"/>
            </w:tcBorders>
            <w:shd w:val="clear" w:color="000000" w:fill="8DB4E2"/>
            <w:vAlign w:val="center"/>
            <w:hideMark/>
          </w:tcPr>
          <w:p w:rsidR="002D647F" w:rsidRPr="00732C8F" w:rsidRDefault="002D647F" w:rsidP="002D647F">
            <w:pPr>
              <w:keepNext/>
              <w:keepLines/>
              <w:jc w:val="center"/>
              <w:rPr>
                <w:b/>
                <w:bCs/>
                <w:color w:val="000000"/>
                <w:sz w:val="16"/>
                <w:szCs w:val="16"/>
                <w:lang w:val="ru-RU"/>
              </w:rPr>
            </w:pPr>
            <w:r w:rsidRPr="00732C8F">
              <w:rPr>
                <w:b/>
                <w:bCs/>
                <w:color w:val="000000"/>
                <w:sz w:val="16"/>
                <w:szCs w:val="16"/>
                <w:lang w:val="ru-RU"/>
              </w:rPr>
              <w:t>2014 г. Годовая экономия*</w:t>
            </w:r>
            <w:r w:rsidRPr="00732C8F">
              <w:rPr>
                <w:b/>
                <w:bCs/>
                <w:color w:val="000000"/>
                <w:sz w:val="16"/>
                <w:szCs w:val="16"/>
                <w:lang w:val="ru-RU"/>
              </w:rPr>
              <w:br/>
              <w:t>(в шв. фр.)</w:t>
            </w:r>
          </w:p>
          <w:p w:rsidR="002D647F" w:rsidRPr="00732C8F" w:rsidRDefault="002D647F" w:rsidP="002D647F">
            <w:pPr>
              <w:keepNext/>
              <w:keepLines/>
              <w:jc w:val="center"/>
              <w:rPr>
                <w:b/>
                <w:bCs/>
                <w:color w:val="000000"/>
                <w:sz w:val="16"/>
                <w:szCs w:val="16"/>
                <w:lang w:val="ru-RU"/>
              </w:rPr>
            </w:pPr>
          </w:p>
          <w:p w:rsidR="002D647F" w:rsidRPr="00732C8F" w:rsidRDefault="002D647F" w:rsidP="002D647F">
            <w:pPr>
              <w:keepNext/>
              <w:keepLines/>
              <w:jc w:val="center"/>
              <w:rPr>
                <w:b/>
                <w:bCs/>
                <w:color w:val="000000"/>
                <w:sz w:val="16"/>
                <w:szCs w:val="16"/>
              </w:rPr>
            </w:pPr>
            <w:r w:rsidRPr="00732C8F">
              <w:rPr>
                <w:b/>
                <w:bCs/>
                <w:color w:val="000000"/>
                <w:sz w:val="16"/>
                <w:szCs w:val="16"/>
              </w:rPr>
              <w:t>B</w:t>
            </w:r>
          </w:p>
        </w:tc>
        <w:tc>
          <w:tcPr>
            <w:tcW w:w="494" w:type="pct"/>
            <w:tcBorders>
              <w:top w:val="single" w:sz="4" w:space="0" w:color="auto"/>
              <w:left w:val="nil"/>
              <w:bottom w:val="nil"/>
              <w:right w:val="single" w:sz="4" w:space="0" w:color="auto"/>
            </w:tcBorders>
            <w:shd w:val="clear" w:color="000000" w:fill="8DB4E2"/>
            <w:vAlign w:val="center"/>
            <w:hideMark/>
          </w:tcPr>
          <w:p w:rsidR="002D647F" w:rsidRPr="00732C8F" w:rsidRDefault="002D647F" w:rsidP="002D647F">
            <w:pPr>
              <w:keepNext/>
              <w:keepLines/>
              <w:jc w:val="center"/>
              <w:rPr>
                <w:b/>
                <w:bCs/>
                <w:color w:val="000000"/>
                <w:sz w:val="16"/>
                <w:szCs w:val="16"/>
                <w:lang w:val="ru-RU"/>
              </w:rPr>
            </w:pPr>
            <w:r w:rsidRPr="00732C8F">
              <w:rPr>
                <w:b/>
                <w:bCs/>
                <w:color w:val="000000"/>
                <w:sz w:val="16"/>
                <w:szCs w:val="16"/>
                <w:lang w:val="ru-RU"/>
              </w:rPr>
              <w:t>2015 г. Годовая экономия</w:t>
            </w:r>
            <w:r w:rsidRPr="00732C8F">
              <w:rPr>
                <w:b/>
                <w:bCs/>
                <w:color w:val="000000"/>
                <w:sz w:val="16"/>
                <w:szCs w:val="16"/>
                <w:lang w:val="ru-RU"/>
              </w:rPr>
              <w:br/>
              <w:t>(в шв. фр.)</w:t>
            </w:r>
          </w:p>
          <w:p w:rsidR="002D647F" w:rsidRPr="00732C8F" w:rsidRDefault="002D647F" w:rsidP="002D647F">
            <w:pPr>
              <w:keepNext/>
              <w:keepLines/>
              <w:jc w:val="center"/>
              <w:rPr>
                <w:b/>
                <w:bCs/>
                <w:color w:val="000000"/>
                <w:sz w:val="16"/>
                <w:szCs w:val="16"/>
                <w:lang w:val="ru-RU"/>
              </w:rPr>
            </w:pPr>
          </w:p>
          <w:p w:rsidR="002D647F" w:rsidRPr="00732C8F" w:rsidRDefault="002D647F" w:rsidP="002D647F">
            <w:pPr>
              <w:keepNext/>
              <w:keepLines/>
              <w:jc w:val="center"/>
              <w:rPr>
                <w:b/>
                <w:bCs/>
                <w:color w:val="000000"/>
                <w:sz w:val="16"/>
                <w:szCs w:val="16"/>
              </w:rPr>
            </w:pPr>
            <w:r w:rsidRPr="00732C8F">
              <w:rPr>
                <w:b/>
                <w:bCs/>
                <w:color w:val="000000"/>
                <w:sz w:val="16"/>
                <w:szCs w:val="16"/>
              </w:rPr>
              <w:t>C</w:t>
            </w:r>
          </w:p>
        </w:tc>
        <w:tc>
          <w:tcPr>
            <w:tcW w:w="989" w:type="pct"/>
            <w:tcBorders>
              <w:top w:val="single" w:sz="4" w:space="0" w:color="auto"/>
              <w:left w:val="nil"/>
              <w:bottom w:val="nil"/>
              <w:right w:val="single" w:sz="4" w:space="0" w:color="auto"/>
            </w:tcBorders>
            <w:shd w:val="clear" w:color="000000" w:fill="8DB4E2"/>
            <w:vAlign w:val="center"/>
            <w:hideMark/>
          </w:tcPr>
          <w:p w:rsidR="002D647F" w:rsidRPr="00732C8F" w:rsidRDefault="002D647F" w:rsidP="00506508">
            <w:pPr>
              <w:keepNext/>
              <w:keepLines/>
              <w:tabs>
                <w:tab w:val="left" w:pos="1592"/>
              </w:tabs>
              <w:jc w:val="center"/>
              <w:rPr>
                <w:b/>
                <w:bCs/>
                <w:color w:val="000000"/>
                <w:sz w:val="16"/>
                <w:szCs w:val="16"/>
                <w:lang w:val="ru-RU"/>
              </w:rPr>
            </w:pPr>
            <w:r w:rsidRPr="00732C8F">
              <w:rPr>
                <w:b/>
                <w:bCs/>
                <w:color w:val="000000"/>
                <w:sz w:val="16"/>
                <w:szCs w:val="16"/>
                <w:lang w:val="ru-RU"/>
              </w:rPr>
              <w:t>Разбивка расходов в 2014 г.*</w:t>
            </w:r>
            <w:r w:rsidRPr="00732C8F">
              <w:rPr>
                <w:b/>
                <w:bCs/>
                <w:color w:val="000000"/>
                <w:sz w:val="16"/>
                <w:szCs w:val="16"/>
                <w:lang w:val="ru-RU"/>
              </w:rPr>
              <w:br/>
              <w:t>(в шв. фр.)</w:t>
            </w:r>
          </w:p>
          <w:p w:rsidR="002D647F" w:rsidRDefault="002D647F" w:rsidP="002D647F">
            <w:pPr>
              <w:keepNext/>
              <w:keepLines/>
              <w:jc w:val="center"/>
              <w:rPr>
                <w:b/>
                <w:bCs/>
                <w:color w:val="000000"/>
                <w:sz w:val="16"/>
                <w:szCs w:val="16"/>
                <w:lang w:val="ru-RU"/>
              </w:rPr>
            </w:pPr>
          </w:p>
          <w:p w:rsidR="00506508" w:rsidRPr="00732C8F" w:rsidRDefault="00506508" w:rsidP="002D647F">
            <w:pPr>
              <w:keepNext/>
              <w:keepLines/>
              <w:jc w:val="center"/>
              <w:rPr>
                <w:b/>
                <w:bCs/>
                <w:color w:val="000000"/>
                <w:sz w:val="16"/>
                <w:szCs w:val="16"/>
                <w:lang w:val="ru-RU"/>
              </w:rPr>
            </w:pPr>
          </w:p>
          <w:p w:rsidR="002D647F" w:rsidRPr="00732C8F" w:rsidRDefault="002D647F" w:rsidP="002D647F">
            <w:pPr>
              <w:keepNext/>
              <w:keepLines/>
              <w:jc w:val="center"/>
              <w:rPr>
                <w:b/>
                <w:bCs/>
                <w:color w:val="000000"/>
                <w:sz w:val="16"/>
                <w:szCs w:val="16"/>
              </w:rPr>
            </w:pPr>
            <w:r w:rsidRPr="00732C8F">
              <w:rPr>
                <w:b/>
                <w:bCs/>
                <w:color w:val="000000"/>
                <w:sz w:val="16"/>
                <w:szCs w:val="16"/>
              </w:rPr>
              <w:t>D</w:t>
            </w:r>
          </w:p>
        </w:tc>
        <w:tc>
          <w:tcPr>
            <w:tcW w:w="775" w:type="pct"/>
            <w:tcBorders>
              <w:top w:val="single" w:sz="4" w:space="0" w:color="auto"/>
              <w:left w:val="nil"/>
              <w:bottom w:val="nil"/>
              <w:right w:val="single" w:sz="4" w:space="0" w:color="auto"/>
            </w:tcBorders>
            <w:shd w:val="clear" w:color="000000" w:fill="8DB4E2"/>
            <w:vAlign w:val="center"/>
            <w:hideMark/>
          </w:tcPr>
          <w:p w:rsidR="002D647F" w:rsidRPr="00732C8F" w:rsidRDefault="002D647F" w:rsidP="002D647F">
            <w:pPr>
              <w:keepNext/>
              <w:keepLines/>
              <w:jc w:val="center"/>
              <w:rPr>
                <w:b/>
                <w:bCs/>
                <w:color w:val="000000"/>
                <w:sz w:val="16"/>
                <w:szCs w:val="16"/>
                <w:lang w:val="ru-RU"/>
              </w:rPr>
            </w:pPr>
            <w:r w:rsidRPr="00732C8F">
              <w:rPr>
                <w:b/>
                <w:bCs/>
                <w:color w:val="000000"/>
                <w:sz w:val="16"/>
                <w:szCs w:val="16"/>
                <w:lang w:val="ru-RU"/>
              </w:rPr>
              <w:t>Разбивка расходов в 2015 г.</w:t>
            </w:r>
            <w:r w:rsidRPr="00732C8F">
              <w:rPr>
                <w:b/>
                <w:bCs/>
                <w:color w:val="000000"/>
                <w:sz w:val="16"/>
                <w:szCs w:val="16"/>
                <w:lang w:val="ru-RU"/>
              </w:rPr>
              <w:br/>
              <w:t>(в шв. фр.)</w:t>
            </w:r>
          </w:p>
          <w:p w:rsidR="002D647F" w:rsidRDefault="002D647F" w:rsidP="002D647F">
            <w:pPr>
              <w:keepNext/>
              <w:keepLines/>
              <w:jc w:val="center"/>
              <w:rPr>
                <w:b/>
                <w:bCs/>
                <w:color w:val="000000"/>
                <w:sz w:val="16"/>
                <w:szCs w:val="16"/>
                <w:lang w:val="ru-RU"/>
              </w:rPr>
            </w:pPr>
          </w:p>
          <w:p w:rsidR="00506508" w:rsidRPr="00732C8F" w:rsidRDefault="00506508" w:rsidP="002D647F">
            <w:pPr>
              <w:keepNext/>
              <w:keepLines/>
              <w:jc w:val="center"/>
              <w:rPr>
                <w:b/>
                <w:bCs/>
                <w:color w:val="000000"/>
                <w:sz w:val="16"/>
                <w:szCs w:val="16"/>
                <w:lang w:val="ru-RU"/>
              </w:rPr>
            </w:pPr>
          </w:p>
          <w:p w:rsidR="002D647F" w:rsidRPr="00732C8F" w:rsidRDefault="002D647F" w:rsidP="002D647F">
            <w:pPr>
              <w:keepNext/>
              <w:keepLines/>
              <w:jc w:val="center"/>
              <w:rPr>
                <w:b/>
                <w:bCs/>
                <w:color w:val="000000"/>
                <w:sz w:val="16"/>
                <w:szCs w:val="16"/>
              </w:rPr>
            </w:pPr>
            <w:r w:rsidRPr="00732C8F">
              <w:rPr>
                <w:b/>
                <w:bCs/>
                <w:color w:val="000000"/>
                <w:sz w:val="16"/>
                <w:szCs w:val="16"/>
              </w:rPr>
              <w:t>E</w:t>
            </w:r>
          </w:p>
        </w:tc>
        <w:tc>
          <w:tcPr>
            <w:tcW w:w="705" w:type="pct"/>
            <w:tcBorders>
              <w:top w:val="single" w:sz="4" w:space="0" w:color="auto"/>
              <w:left w:val="nil"/>
              <w:bottom w:val="nil"/>
              <w:right w:val="single" w:sz="4" w:space="0" w:color="auto"/>
            </w:tcBorders>
            <w:shd w:val="clear" w:color="000000" w:fill="8DB4E2"/>
            <w:vAlign w:val="center"/>
            <w:hideMark/>
          </w:tcPr>
          <w:p w:rsidR="002D647F" w:rsidRPr="00732C8F" w:rsidRDefault="002D647F" w:rsidP="002D647F">
            <w:pPr>
              <w:keepNext/>
              <w:keepLines/>
              <w:jc w:val="center"/>
              <w:rPr>
                <w:b/>
                <w:bCs/>
                <w:color w:val="000000"/>
                <w:sz w:val="16"/>
                <w:szCs w:val="16"/>
                <w:lang w:val="ru-RU"/>
              </w:rPr>
            </w:pPr>
            <w:r w:rsidRPr="00732C8F">
              <w:rPr>
                <w:b/>
                <w:bCs/>
                <w:color w:val="000000"/>
                <w:sz w:val="16"/>
                <w:szCs w:val="16"/>
                <w:lang w:val="ru-RU"/>
              </w:rPr>
              <w:t>Примечания</w:t>
            </w: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r w:rsidRPr="00732C8F">
              <w:rPr>
                <w:b/>
                <w:bCs/>
                <w:color w:val="000000"/>
                <w:sz w:val="16"/>
                <w:szCs w:val="16"/>
              </w:rPr>
              <w:t>F</w:t>
            </w:r>
          </w:p>
        </w:tc>
        <w:tc>
          <w:tcPr>
            <w:tcW w:w="764" w:type="pct"/>
            <w:tcBorders>
              <w:top w:val="single" w:sz="4" w:space="0" w:color="auto"/>
              <w:left w:val="nil"/>
              <w:bottom w:val="nil"/>
              <w:right w:val="single" w:sz="4" w:space="0" w:color="auto"/>
            </w:tcBorders>
            <w:shd w:val="clear" w:color="000000" w:fill="8DB4E2"/>
            <w:vAlign w:val="center"/>
            <w:hideMark/>
          </w:tcPr>
          <w:p w:rsidR="00506508" w:rsidRPr="00506508" w:rsidRDefault="00506508" w:rsidP="00506508">
            <w:pPr>
              <w:keepNext/>
              <w:keepLines/>
              <w:jc w:val="center"/>
              <w:rPr>
                <w:b/>
                <w:bCs/>
                <w:color w:val="000000"/>
                <w:sz w:val="16"/>
                <w:szCs w:val="16"/>
                <w:lang w:val="ru-RU"/>
              </w:rPr>
            </w:pPr>
            <w:r>
              <w:rPr>
                <w:b/>
                <w:bCs/>
                <w:color w:val="000000"/>
                <w:sz w:val="16"/>
                <w:szCs w:val="16"/>
                <w:lang w:val="ru-RU"/>
              </w:rPr>
              <w:t>Ответственное подразделение</w:t>
            </w: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p>
          <w:p w:rsidR="002D647F" w:rsidRPr="00732C8F" w:rsidRDefault="002D647F" w:rsidP="002D647F">
            <w:pPr>
              <w:keepNext/>
              <w:keepLines/>
              <w:jc w:val="center"/>
              <w:rPr>
                <w:b/>
                <w:bCs/>
                <w:color w:val="000000"/>
                <w:sz w:val="16"/>
                <w:szCs w:val="16"/>
              </w:rPr>
            </w:pPr>
            <w:r w:rsidRPr="00732C8F">
              <w:rPr>
                <w:b/>
                <w:bCs/>
                <w:color w:val="000000"/>
                <w:sz w:val="16"/>
                <w:szCs w:val="16"/>
              </w:rPr>
              <w:t>G</w:t>
            </w:r>
          </w:p>
        </w:tc>
      </w:tr>
      <w:tr w:rsidR="00506508" w:rsidRPr="005C6ABD" w:rsidTr="00506508">
        <w:trPr>
          <w:trHeight w:val="1785"/>
        </w:trPr>
        <w:tc>
          <w:tcPr>
            <w:tcW w:w="743" w:type="pct"/>
            <w:tcBorders>
              <w:top w:val="single" w:sz="4" w:space="0" w:color="auto"/>
              <w:left w:val="single" w:sz="4" w:space="0" w:color="auto"/>
              <w:bottom w:val="single" w:sz="4" w:space="0" w:color="auto"/>
              <w:right w:val="single" w:sz="4" w:space="0" w:color="auto"/>
            </w:tcBorders>
            <w:shd w:val="clear" w:color="auto" w:fill="auto"/>
            <w:hideMark/>
          </w:tcPr>
          <w:p w:rsidR="002D647F" w:rsidRPr="00F059BE" w:rsidRDefault="002D647F" w:rsidP="002D647F">
            <w:pPr>
              <w:keepNext/>
              <w:keepLines/>
              <w:rPr>
                <w:color w:val="000000"/>
                <w:sz w:val="17"/>
                <w:szCs w:val="17"/>
                <w:lang w:val="ru-RU"/>
              </w:rPr>
            </w:pPr>
            <w:r>
              <w:rPr>
                <w:color w:val="000000"/>
                <w:sz w:val="17"/>
                <w:szCs w:val="17"/>
                <w:lang w:val="ru-RU"/>
              </w:rPr>
              <w:t>Доход от аренды помещений ВОИС другим учреждениям</w:t>
            </w:r>
            <w:r w:rsidRPr="00F059BE">
              <w:rPr>
                <w:color w:val="000000"/>
                <w:sz w:val="17"/>
                <w:szCs w:val="17"/>
                <w:lang w:val="ru-RU"/>
              </w:rPr>
              <w:t>**</w:t>
            </w:r>
          </w:p>
        </w:tc>
        <w:tc>
          <w:tcPr>
            <w:tcW w:w="528"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keepNext/>
              <w:keepLines/>
              <w:rPr>
                <w:color w:val="000000"/>
                <w:sz w:val="17"/>
                <w:szCs w:val="17"/>
              </w:rPr>
            </w:pPr>
            <w:r>
              <w:rPr>
                <w:color w:val="000000"/>
                <w:sz w:val="17"/>
                <w:szCs w:val="17"/>
              </w:rPr>
              <w:t>195</w:t>
            </w:r>
            <w:r>
              <w:rPr>
                <w:color w:val="000000"/>
                <w:sz w:val="17"/>
                <w:szCs w:val="17"/>
                <w:lang w:val="ru-RU"/>
              </w:rPr>
              <w:t xml:space="preserve"> </w:t>
            </w:r>
            <w:r w:rsidRPr="00303E4F">
              <w:rPr>
                <w:color w:val="000000"/>
                <w:sz w:val="17"/>
                <w:szCs w:val="17"/>
              </w:rPr>
              <w:t>000</w:t>
            </w:r>
          </w:p>
        </w:tc>
        <w:tc>
          <w:tcPr>
            <w:tcW w:w="494" w:type="pct"/>
            <w:tcBorders>
              <w:top w:val="single" w:sz="4" w:space="0" w:color="auto"/>
              <w:left w:val="nil"/>
              <w:bottom w:val="single" w:sz="4" w:space="0" w:color="auto"/>
              <w:right w:val="single" w:sz="4" w:space="0" w:color="auto"/>
            </w:tcBorders>
            <w:shd w:val="clear" w:color="auto" w:fill="auto"/>
            <w:hideMark/>
          </w:tcPr>
          <w:p w:rsidR="002D647F" w:rsidRPr="00303E4F" w:rsidRDefault="002D647F" w:rsidP="002D647F">
            <w:pPr>
              <w:keepNext/>
              <w:keepLines/>
              <w:rPr>
                <w:sz w:val="17"/>
                <w:szCs w:val="17"/>
              </w:rPr>
            </w:pPr>
            <w:r w:rsidRPr="00303E4F">
              <w:rPr>
                <w:color w:val="000000"/>
                <w:sz w:val="17"/>
                <w:szCs w:val="17"/>
              </w:rPr>
              <w:t> 195</w:t>
            </w:r>
            <w:r>
              <w:rPr>
                <w:color w:val="000000"/>
                <w:sz w:val="17"/>
                <w:szCs w:val="17"/>
                <w:lang w:val="ru-RU"/>
              </w:rPr>
              <w:t xml:space="preserve"> </w:t>
            </w:r>
            <w:r w:rsidRPr="00303E4F">
              <w:rPr>
                <w:color w:val="000000"/>
                <w:sz w:val="17"/>
                <w:szCs w:val="17"/>
              </w:rPr>
              <w:t>000</w:t>
            </w:r>
          </w:p>
          <w:p w:rsidR="002D647F" w:rsidRPr="00303E4F" w:rsidRDefault="002D647F" w:rsidP="002D647F">
            <w:pPr>
              <w:keepNext/>
              <w:keepLines/>
              <w:rPr>
                <w:color w:val="000000"/>
                <w:sz w:val="17"/>
                <w:szCs w:val="17"/>
              </w:rPr>
            </w:pPr>
          </w:p>
        </w:tc>
        <w:tc>
          <w:tcPr>
            <w:tcW w:w="989" w:type="pct"/>
            <w:tcBorders>
              <w:top w:val="single" w:sz="4" w:space="0" w:color="auto"/>
              <w:left w:val="nil"/>
              <w:bottom w:val="single" w:sz="4" w:space="0" w:color="auto"/>
              <w:right w:val="single" w:sz="4" w:space="0" w:color="auto"/>
            </w:tcBorders>
            <w:shd w:val="clear" w:color="auto" w:fill="auto"/>
            <w:hideMark/>
          </w:tcPr>
          <w:p w:rsidR="002D647F" w:rsidRPr="004C2486" w:rsidRDefault="002D647F" w:rsidP="002D647F">
            <w:pPr>
              <w:keepNext/>
              <w:keepLines/>
              <w:rPr>
                <w:color w:val="000000"/>
                <w:sz w:val="17"/>
                <w:szCs w:val="17"/>
                <w:lang w:val="ru-RU"/>
              </w:rPr>
            </w:pPr>
            <w:r w:rsidRPr="004C2486">
              <w:rPr>
                <w:color w:val="000000"/>
                <w:sz w:val="17"/>
                <w:szCs w:val="17"/>
                <w:lang w:val="ru-RU"/>
              </w:rPr>
              <w:t xml:space="preserve">124 766 – </w:t>
            </w:r>
            <w:r>
              <w:rPr>
                <w:color w:val="000000"/>
                <w:sz w:val="17"/>
                <w:szCs w:val="17"/>
                <w:lang w:val="ru-RU"/>
              </w:rPr>
              <w:t>МТП</w:t>
            </w:r>
            <w:r w:rsidRPr="004C2486">
              <w:rPr>
                <w:color w:val="000000"/>
                <w:sz w:val="17"/>
                <w:szCs w:val="17"/>
                <w:lang w:val="ru-RU"/>
              </w:rPr>
              <w:br/>
              <w:t xml:space="preserve">17 500 – </w:t>
            </w:r>
            <w:r>
              <w:rPr>
                <w:color w:val="000000"/>
                <w:sz w:val="17"/>
                <w:szCs w:val="17"/>
                <w:lang w:val="ru-RU"/>
              </w:rPr>
              <w:t>антенна</w:t>
            </w:r>
            <w:r w:rsidRPr="004C2486">
              <w:rPr>
                <w:color w:val="000000"/>
                <w:sz w:val="17"/>
                <w:szCs w:val="17"/>
                <w:lang w:val="ru-RU"/>
              </w:rPr>
              <w:t xml:space="preserve"> </w:t>
            </w:r>
            <w:r>
              <w:rPr>
                <w:color w:val="000000"/>
                <w:sz w:val="17"/>
                <w:szCs w:val="17"/>
              </w:rPr>
              <w:t>Swisscom</w:t>
            </w:r>
            <w:r w:rsidRPr="004C2486">
              <w:rPr>
                <w:color w:val="000000"/>
                <w:sz w:val="17"/>
                <w:szCs w:val="17"/>
                <w:lang w:val="ru-RU"/>
              </w:rPr>
              <w:t xml:space="preserve"> </w:t>
            </w:r>
            <w:r w:rsidRPr="004C2486">
              <w:rPr>
                <w:color w:val="000000"/>
                <w:sz w:val="17"/>
                <w:szCs w:val="17"/>
                <w:lang w:val="ru-RU"/>
              </w:rPr>
              <w:br/>
              <w:t xml:space="preserve">32 500 - </w:t>
            </w:r>
            <w:r>
              <w:rPr>
                <w:color w:val="000000"/>
                <w:sz w:val="17"/>
                <w:szCs w:val="17"/>
                <w:lang w:val="ru-RU"/>
              </w:rPr>
              <w:t>антенна</w:t>
            </w:r>
            <w:r w:rsidRPr="004C2486">
              <w:rPr>
                <w:color w:val="000000"/>
                <w:sz w:val="17"/>
                <w:szCs w:val="17"/>
                <w:lang w:val="ru-RU"/>
              </w:rPr>
              <w:t xml:space="preserve"> </w:t>
            </w:r>
            <w:r>
              <w:rPr>
                <w:color w:val="000000"/>
                <w:sz w:val="17"/>
                <w:szCs w:val="17"/>
              </w:rPr>
              <w:t>Orange</w:t>
            </w:r>
            <w:r w:rsidRPr="004C2486">
              <w:rPr>
                <w:color w:val="000000"/>
                <w:sz w:val="17"/>
                <w:szCs w:val="17"/>
                <w:lang w:val="ru-RU"/>
              </w:rPr>
              <w:t xml:space="preserve"> </w:t>
            </w:r>
            <w:r w:rsidRPr="004C2486">
              <w:rPr>
                <w:color w:val="000000"/>
                <w:sz w:val="17"/>
                <w:szCs w:val="17"/>
                <w:lang w:val="ru-RU"/>
              </w:rPr>
              <w:br/>
              <w:t>9 504 – АМФИЭ (</w:t>
            </w:r>
            <w:r>
              <w:rPr>
                <w:color w:val="000000"/>
                <w:sz w:val="17"/>
                <w:szCs w:val="17"/>
                <w:lang w:val="ru-RU"/>
              </w:rPr>
              <w:t>одно</w:t>
            </w:r>
            <w:r w:rsidRPr="004C2486">
              <w:rPr>
                <w:color w:val="000000"/>
                <w:sz w:val="17"/>
                <w:szCs w:val="17"/>
                <w:lang w:val="ru-RU"/>
              </w:rPr>
              <w:t xml:space="preserve"> </w:t>
            </w:r>
            <w:r>
              <w:rPr>
                <w:color w:val="000000"/>
                <w:sz w:val="17"/>
                <w:szCs w:val="17"/>
                <w:lang w:val="ru-RU"/>
              </w:rPr>
              <w:t>типовое</w:t>
            </w:r>
            <w:r w:rsidRPr="004C2486">
              <w:rPr>
                <w:color w:val="000000"/>
                <w:sz w:val="17"/>
                <w:szCs w:val="17"/>
                <w:lang w:val="ru-RU"/>
              </w:rPr>
              <w:t xml:space="preserve"> </w:t>
            </w:r>
            <w:r>
              <w:rPr>
                <w:color w:val="000000"/>
                <w:sz w:val="17"/>
                <w:szCs w:val="17"/>
                <w:lang w:val="ru-RU"/>
              </w:rPr>
              <w:t>бюро</w:t>
            </w:r>
            <w:r w:rsidRPr="004C2486">
              <w:rPr>
                <w:color w:val="000000"/>
                <w:sz w:val="17"/>
                <w:szCs w:val="17"/>
                <w:lang w:val="ru-RU"/>
              </w:rPr>
              <w:t xml:space="preserve"> </w:t>
            </w:r>
            <w:r>
              <w:rPr>
                <w:color w:val="000000"/>
                <w:sz w:val="17"/>
                <w:szCs w:val="17"/>
                <w:lang w:val="ru-RU"/>
              </w:rPr>
              <w:t>в</w:t>
            </w:r>
            <w:r w:rsidRPr="004C2486">
              <w:rPr>
                <w:color w:val="000000"/>
                <w:sz w:val="17"/>
                <w:szCs w:val="17"/>
                <w:lang w:val="ru-RU"/>
              </w:rPr>
              <w:t xml:space="preserve"> </w:t>
            </w:r>
            <w:r w:rsidR="00732C8F">
              <w:rPr>
                <w:color w:val="000000"/>
                <w:sz w:val="17"/>
                <w:szCs w:val="17"/>
                <w:lang w:val="ru-RU"/>
              </w:rPr>
              <w:t>административ</w:t>
            </w:r>
            <w:r>
              <w:rPr>
                <w:color w:val="000000"/>
                <w:sz w:val="17"/>
                <w:szCs w:val="17"/>
                <w:lang w:val="ru-RU"/>
              </w:rPr>
              <w:t>ном</w:t>
            </w:r>
            <w:r w:rsidRPr="004C2486">
              <w:rPr>
                <w:color w:val="000000"/>
                <w:sz w:val="17"/>
                <w:szCs w:val="17"/>
                <w:lang w:val="ru-RU"/>
              </w:rPr>
              <w:t xml:space="preserve"> </w:t>
            </w:r>
            <w:r>
              <w:rPr>
                <w:color w:val="000000"/>
                <w:sz w:val="17"/>
                <w:szCs w:val="17"/>
                <w:lang w:val="ru-RU"/>
              </w:rPr>
              <w:t>центре</w:t>
            </w:r>
            <w:r w:rsidRPr="004C2486">
              <w:rPr>
                <w:color w:val="000000"/>
                <w:sz w:val="17"/>
                <w:szCs w:val="17"/>
                <w:lang w:val="ru-RU"/>
              </w:rPr>
              <w:t xml:space="preserve"> «</w:t>
            </w:r>
            <w:r>
              <w:rPr>
                <w:color w:val="000000"/>
                <w:sz w:val="17"/>
                <w:szCs w:val="17"/>
                <w:lang w:val="ru-RU"/>
              </w:rPr>
              <w:t>Морийон</w:t>
            </w:r>
            <w:r w:rsidRPr="004C2486">
              <w:rPr>
                <w:color w:val="000000"/>
                <w:sz w:val="17"/>
                <w:szCs w:val="17"/>
                <w:lang w:val="ru-RU"/>
              </w:rPr>
              <w:t>»)</w:t>
            </w:r>
            <w:r w:rsidRPr="004C2486">
              <w:rPr>
                <w:color w:val="000000"/>
                <w:sz w:val="17"/>
                <w:szCs w:val="17"/>
                <w:lang w:val="ru-RU"/>
              </w:rPr>
              <w:br/>
              <w:t xml:space="preserve">9 298 – </w:t>
            </w:r>
            <w:r>
              <w:rPr>
                <w:color w:val="000000"/>
                <w:sz w:val="17"/>
                <w:szCs w:val="17"/>
                <w:lang w:val="ru-RU"/>
              </w:rPr>
              <w:t>бюро</w:t>
            </w:r>
            <w:r w:rsidRPr="004C2486">
              <w:rPr>
                <w:color w:val="000000"/>
                <w:sz w:val="17"/>
                <w:szCs w:val="17"/>
                <w:lang w:val="ru-RU"/>
              </w:rPr>
              <w:t xml:space="preserve"> </w:t>
            </w:r>
            <w:r>
              <w:rPr>
                <w:color w:val="000000"/>
                <w:sz w:val="17"/>
                <w:szCs w:val="17"/>
                <w:lang w:val="ru-RU"/>
              </w:rPr>
              <w:t>операциониста</w:t>
            </w:r>
            <w:r w:rsidRPr="004C2486">
              <w:rPr>
                <w:color w:val="000000"/>
                <w:sz w:val="17"/>
                <w:szCs w:val="17"/>
                <w:lang w:val="ru-RU"/>
              </w:rPr>
              <w:t xml:space="preserve"> </w:t>
            </w:r>
            <w:r>
              <w:rPr>
                <w:color w:val="000000"/>
                <w:sz w:val="17"/>
                <w:szCs w:val="17"/>
                <w:lang w:val="ru-RU"/>
              </w:rPr>
              <w:t>банка</w:t>
            </w:r>
            <w:r w:rsidRPr="004C2486">
              <w:rPr>
                <w:color w:val="000000"/>
                <w:sz w:val="17"/>
                <w:szCs w:val="17"/>
                <w:lang w:val="ru-RU"/>
              </w:rPr>
              <w:t xml:space="preserve"> </w:t>
            </w:r>
            <w:r w:rsidRPr="00303E4F">
              <w:rPr>
                <w:color w:val="000000"/>
                <w:sz w:val="17"/>
                <w:szCs w:val="17"/>
              </w:rPr>
              <w:t>UBS</w:t>
            </w:r>
            <w:r w:rsidRPr="004C2486">
              <w:rPr>
                <w:color w:val="000000"/>
                <w:sz w:val="17"/>
                <w:szCs w:val="17"/>
                <w:lang w:val="ru-RU"/>
              </w:rPr>
              <w:t xml:space="preserve"> </w:t>
            </w:r>
            <w:r>
              <w:rPr>
                <w:color w:val="000000"/>
                <w:sz w:val="17"/>
                <w:szCs w:val="17"/>
                <w:lang w:val="ru-RU"/>
              </w:rPr>
              <w:t>в здании</w:t>
            </w:r>
            <w:r w:rsidRPr="004C2486">
              <w:rPr>
                <w:color w:val="000000"/>
                <w:sz w:val="17"/>
                <w:szCs w:val="17"/>
                <w:lang w:val="ru-RU"/>
              </w:rPr>
              <w:t xml:space="preserve"> </w:t>
            </w:r>
            <w:r w:rsidRPr="00303E4F">
              <w:rPr>
                <w:color w:val="000000"/>
                <w:sz w:val="17"/>
                <w:szCs w:val="17"/>
              </w:rPr>
              <w:t>GBI</w:t>
            </w:r>
          </w:p>
        </w:tc>
        <w:tc>
          <w:tcPr>
            <w:tcW w:w="775" w:type="pct"/>
            <w:tcBorders>
              <w:top w:val="single" w:sz="4" w:space="0" w:color="auto"/>
              <w:left w:val="nil"/>
              <w:bottom w:val="single" w:sz="4" w:space="0" w:color="auto"/>
              <w:right w:val="single" w:sz="4" w:space="0" w:color="auto"/>
            </w:tcBorders>
            <w:shd w:val="clear" w:color="auto" w:fill="auto"/>
            <w:hideMark/>
          </w:tcPr>
          <w:p w:rsidR="002D647F" w:rsidRPr="00C73D1E" w:rsidRDefault="002D647F" w:rsidP="002D647F">
            <w:pPr>
              <w:keepNext/>
              <w:keepLines/>
              <w:rPr>
                <w:sz w:val="17"/>
                <w:szCs w:val="17"/>
                <w:lang w:val="ru-RU"/>
              </w:rPr>
            </w:pPr>
            <w:r w:rsidRPr="00C73D1E">
              <w:rPr>
                <w:color w:val="000000"/>
                <w:sz w:val="17"/>
                <w:szCs w:val="17"/>
                <w:lang w:val="ru-RU"/>
              </w:rPr>
              <w:t xml:space="preserve">124 766 – </w:t>
            </w:r>
            <w:r>
              <w:rPr>
                <w:color w:val="000000"/>
                <w:sz w:val="17"/>
                <w:szCs w:val="17"/>
                <w:lang w:val="ru-RU"/>
              </w:rPr>
              <w:t>МТП</w:t>
            </w:r>
            <w:r w:rsidRPr="00C73D1E">
              <w:rPr>
                <w:color w:val="000000"/>
                <w:sz w:val="17"/>
                <w:szCs w:val="17"/>
                <w:lang w:val="ru-RU"/>
              </w:rPr>
              <w:br/>
              <w:t xml:space="preserve">17 500 – </w:t>
            </w:r>
            <w:r>
              <w:rPr>
                <w:color w:val="000000"/>
                <w:sz w:val="17"/>
                <w:szCs w:val="17"/>
                <w:lang w:val="ru-RU"/>
              </w:rPr>
              <w:t>антенна</w:t>
            </w:r>
            <w:r w:rsidRPr="00C73D1E">
              <w:rPr>
                <w:color w:val="000000"/>
                <w:sz w:val="17"/>
                <w:szCs w:val="17"/>
                <w:lang w:val="ru-RU"/>
              </w:rPr>
              <w:t xml:space="preserve"> </w:t>
            </w:r>
            <w:r>
              <w:rPr>
                <w:color w:val="000000"/>
                <w:sz w:val="17"/>
                <w:szCs w:val="17"/>
              </w:rPr>
              <w:t>Swisscom</w:t>
            </w:r>
            <w:r w:rsidRPr="00C73D1E">
              <w:rPr>
                <w:color w:val="000000"/>
                <w:sz w:val="17"/>
                <w:szCs w:val="17"/>
                <w:lang w:val="ru-RU"/>
              </w:rPr>
              <w:t xml:space="preserve"> </w:t>
            </w:r>
            <w:r w:rsidRPr="00C73D1E">
              <w:rPr>
                <w:color w:val="000000"/>
                <w:sz w:val="17"/>
                <w:szCs w:val="17"/>
                <w:lang w:val="ru-RU"/>
              </w:rPr>
              <w:br/>
              <w:t xml:space="preserve">32 500 – </w:t>
            </w:r>
            <w:r>
              <w:rPr>
                <w:color w:val="000000"/>
                <w:sz w:val="17"/>
                <w:szCs w:val="17"/>
                <w:lang w:val="ru-RU"/>
              </w:rPr>
              <w:t>антенна</w:t>
            </w:r>
            <w:r w:rsidRPr="00C73D1E">
              <w:rPr>
                <w:color w:val="000000"/>
                <w:sz w:val="17"/>
                <w:szCs w:val="17"/>
                <w:lang w:val="ru-RU"/>
              </w:rPr>
              <w:t xml:space="preserve"> </w:t>
            </w:r>
            <w:r>
              <w:rPr>
                <w:color w:val="000000"/>
                <w:sz w:val="17"/>
                <w:szCs w:val="17"/>
              </w:rPr>
              <w:t>Orange</w:t>
            </w:r>
            <w:r w:rsidRPr="00C73D1E">
              <w:rPr>
                <w:color w:val="000000"/>
                <w:sz w:val="17"/>
                <w:szCs w:val="17"/>
                <w:lang w:val="ru-RU"/>
              </w:rPr>
              <w:t xml:space="preserve"> </w:t>
            </w:r>
            <w:r w:rsidRPr="00C73D1E">
              <w:rPr>
                <w:color w:val="000000"/>
                <w:sz w:val="17"/>
                <w:szCs w:val="17"/>
                <w:lang w:val="ru-RU"/>
              </w:rPr>
              <w:br/>
              <w:t>9 504 – АМФИЭ (одно типовое бюро в административном центре «Морийон»)</w:t>
            </w:r>
            <w:r w:rsidRPr="00C73D1E">
              <w:rPr>
                <w:color w:val="000000"/>
                <w:sz w:val="17"/>
                <w:szCs w:val="17"/>
                <w:lang w:val="ru-RU"/>
              </w:rPr>
              <w:br/>
              <w:t>9 298</w:t>
            </w:r>
            <w:r>
              <w:rPr>
                <w:color w:val="000000"/>
                <w:sz w:val="17"/>
                <w:szCs w:val="17"/>
                <w:lang w:val="ru-RU"/>
              </w:rPr>
              <w:t xml:space="preserve"> – </w:t>
            </w:r>
            <w:r w:rsidRPr="00C73D1E">
              <w:rPr>
                <w:color w:val="000000"/>
                <w:sz w:val="17"/>
                <w:szCs w:val="17"/>
                <w:lang w:val="ru-RU"/>
              </w:rPr>
              <w:t xml:space="preserve"> бюро операциониста банка </w:t>
            </w:r>
            <w:r w:rsidRPr="00C73D1E">
              <w:rPr>
                <w:color w:val="000000"/>
                <w:sz w:val="17"/>
                <w:szCs w:val="17"/>
              </w:rPr>
              <w:t>UBS</w:t>
            </w:r>
            <w:r w:rsidRPr="00C73D1E">
              <w:rPr>
                <w:color w:val="000000"/>
                <w:sz w:val="17"/>
                <w:szCs w:val="17"/>
                <w:lang w:val="ru-RU"/>
              </w:rPr>
              <w:t xml:space="preserve"> в здании </w:t>
            </w:r>
            <w:r w:rsidRPr="00C73D1E">
              <w:rPr>
                <w:color w:val="000000"/>
                <w:sz w:val="17"/>
                <w:szCs w:val="17"/>
              </w:rPr>
              <w:t>GBI</w:t>
            </w:r>
            <w:r>
              <w:rPr>
                <w:color w:val="000000"/>
                <w:sz w:val="17"/>
                <w:szCs w:val="17"/>
                <w:lang w:val="ru-RU"/>
              </w:rPr>
              <w:t xml:space="preserve"> </w:t>
            </w:r>
          </w:p>
          <w:p w:rsidR="002D647F" w:rsidRPr="00C73D1E" w:rsidRDefault="002D647F" w:rsidP="002D647F">
            <w:pPr>
              <w:keepNext/>
              <w:keepLines/>
              <w:rPr>
                <w:color w:val="000000"/>
                <w:sz w:val="17"/>
                <w:szCs w:val="17"/>
                <w:lang w:val="ru-RU"/>
              </w:rPr>
            </w:pPr>
          </w:p>
        </w:tc>
        <w:tc>
          <w:tcPr>
            <w:tcW w:w="705" w:type="pct"/>
            <w:tcBorders>
              <w:top w:val="single" w:sz="4" w:space="0" w:color="auto"/>
              <w:left w:val="nil"/>
              <w:bottom w:val="single" w:sz="4" w:space="0" w:color="auto"/>
              <w:right w:val="single" w:sz="4" w:space="0" w:color="auto"/>
            </w:tcBorders>
            <w:shd w:val="clear" w:color="auto" w:fill="auto"/>
            <w:hideMark/>
          </w:tcPr>
          <w:p w:rsidR="002D647F" w:rsidRPr="00C73D1E" w:rsidRDefault="002D647F" w:rsidP="002D647F">
            <w:pPr>
              <w:keepNext/>
              <w:keepLines/>
              <w:rPr>
                <w:color w:val="000000"/>
                <w:sz w:val="17"/>
                <w:szCs w:val="17"/>
                <w:lang w:val="ru-RU"/>
              </w:rPr>
            </w:pPr>
            <w:r w:rsidRPr="00303E4F">
              <w:rPr>
                <w:color w:val="000000"/>
                <w:sz w:val="17"/>
                <w:szCs w:val="17"/>
              </w:rPr>
              <w:t> </w:t>
            </w:r>
          </w:p>
        </w:tc>
        <w:tc>
          <w:tcPr>
            <w:tcW w:w="764" w:type="pct"/>
            <w:tcBorders>
              <w:top w:val="single" w:sz="4" w:space="0" w:color="auto"/>
              <w:left w:val="nil"/>
              <w:bottom w:val="single" w:sz="4" w:space="0" w:color="auto"/>
              <w:right w:val="single" w:sz="4" w:space="0" w:color="auto"/>
            </w:tcBorders>
            <w:shd w:val="clear" w:color="auto" w:fill="auto"/>
            <w:hideMark/>
          </w:tcPr>
          <w:p w:rsidR="002D647F" w:rsidRPr="00F059BE" w:rsidRDefault="002D647F" w:rsidP="002D647F">
            <w:pPr>
              <w:keepNext/>
              <w:keepLines/>
              <w:rPr>
                <w:color w:val="000000"/>
                <w:sz w:val="17"/>
                <w:szCs w:val="17"/>
                <w:lang w:val="ru-RU"/>
              </w:rPr>
            </w:pPr>
            <w:r w:rsidRPr="00F059BE">
              <w:rPr>
                <w:color w:val="000000"/>
                <w:sz w:val="17"/>
                <w:szCs w:val="17"/>
                <w:lang w:val="ru-RU"/>
              </w:rPr>
              <w:t>Отдел служебных помещений и инфраструктуры</w:t>
            </w:r>
          </w:p>
        </w:tc>
      </w:tr>
      <w:tr w:rsidR="00506508" w:rsidRPr="005C6ABD" w:rsidTr="00506508">
        <w:trPr>
          <w:trHeight w:val="805"/>
        </w:trPr>
        <w:tc>
          <w:tcPr>
            <w:tcW w:w="743" w:type="pct"/>
            <w:tcBorders>
              <w:top w:val="single" w:sz="4" w:space="0" w:color="auto"/>
              <w:left w:val="single" w:sz="4" w:space="0" w:color="auto"/>
              <w:bottom w:val="single" w:sz="4" w:space="0" w:color="auto"/>
              <w:right w:val="single" w:sz="4" w:space="0" w:color="auto"/>
            </w:tcBorders>
            <w:shd w:val="clear" w:color="auto" w:fill="auto"/>
            <w:hideMark/>
          </w:tcPr>
          <w:p w:rsidR="002D647F" w:rsidRPr="00A43F74" w:rsidRDefault="002D647F" w:rsidP="002D647F">
            <w:pPr>
              <w:rPr>
                <w:color w:val="000000"/>
                <w:sz w:val="17"/>
                <w:szCs w:val="17"/>
                <w:lang w:val="ru-RU"/>
              </w:rPr>
            </w:pPr>
            <w:r w:rsidRPr="00AD08E7">
              <w:rPr>
                <w:color w:val="000000"/>
                <w:sz w:val="17"/>
                <w:szCs w:val="17"/>
                <w:lang w:val="ru-RU"/>
              </w:rPr>
              <w:t>Доход в результате возмещения поставщиком электроэнер</w:t>
            </w:r>
            <w:r>
              <w:rPr>
                <w:color w:val="000000"/>
                <w:sz w:val="17"/>
                <w:szCs w:val="17"/>
                <w:lang w:val="ru-RU"/>
              </w:rPr>
              <w:t>-</w:t>
            </w:r>
            <w:r w:rsidRPr="00AD08E7">
              <w:rPr>
                <w:color w:val="000000"/>
                <w:sz w:val="17"/>
                <w:szCs w:val="17"/>
                <w:lang w:val="ru-RU"/>
              </w:rPr>
              <w:t xml:space="preserve">гии разницы за 2013 и 2014 годы в связи с достижением годового целевого показателя экономии электроэнергии благодаря принятым мерам по экономии электроэнергии и в качестве стимула для дальнейшего снижения </w:t>
            </w:r>
            <w:r>
              <w:rPr>
                <w:color w:val="000000"/>
                <w:sz w:val="17"/>
                <w:szCs w:val="17"/>
                <w:lang w:val="ru-RU"/>
              </w:rPr>
              <w:t xml:space="preserve">ее </w:t>
            </w:r>
            <w:r w:rsidRPr="00AD08E7">
              <w:rPr>
                <w:color w:val="000000"/>
                <w:sz w:val="17"/>
                <w:szCs w:val="17"/>
                <w:lang w:val="ru-RU"/>
              </w:rPr>
              <w:t>потребления.</w:t>
            </w:r>
          </w:p>
        </w:tc>
        <w:tc>
          <w:tcPr>
            <w:tcW w:w="528" w:type="pct"/>
            <w:tcBorders>
              <w:top w:val="single" w:sz="4" w:space="0" w:color="auto"/>
              <w:left w:val="nil"/>
              <w:bottom w:val="single" w:sz="4" w:space="0" w:color="auto"/>
              <w:right w:val="single" w:sz="4" w:space="0" w:color="auto"/>
            </w:tcBorders>
            <w:shd w:val="clear" w:color="auto" w:fill="auto"/>
            <w:hideMark/>
          </w:tcPr>
          <w:p w:rsidR="002D647F" w:rsidRPr="00A43F74" w:rsidRDefault="002D647F" w:rsidP="002D647F">
            <w:pPr>
              <w:rPr>
                <w:color w:val="000000"/>
                <w:sz w:val="17"/>
                <w:szCs w:val="17"/>
                <w:lang w:val="ru-RU"/>
              </w:rPr>
            </w:pPr>
            <w:r w:rsidRPr="00A43F74">
              <w:rPr>
                <w:color w:val="000000"/>
                <w:sz w:val="17"/>
                <w:szCs w:val="17"/>
                <w:lang w:val="ru-RU"/>
              </w:rPr>
              <w:t>21</w:t>
            </w:r>
            <w:r>
              <w:rPr>
                <w:color w:val="000000"/>
                <w:sz w:val="17"/>
                <w:szCs w:val="17"/>
                <w:lang w:val="ru-RU"/>
              </w:rPr>
              <w:t xml:space="preserve"> </w:t>
            </w:r>
            <w:r w:rsidRPr="00A43F74">
              <w:rPr>
                <w:color w:val="000000"/>
                <w:sz w:val="17"/>
                <w:szCs w:val="17"/>
                <w:lang w:val="ru-RU"/>
              </w:rPr>
              <w:t>300</w:t>
            </w:r>
            <w:r>
              <w:rPr>
                <w:color w:val="000000"/>
                <w:sz w:val="17"/>
                <w:szCs w:val="17"/>
                <w:lang w:val="ru-RU"/>
              </w:rPr>
              <w:t xml:space="preserve"> </w:t>
            </w:r>
          </w:p>
        </w:tc>
        <w:tc>
          <w:tcPr>
            <w:tcW w:w="494" w:type="pct"/>
            <w:tcBorders>
              <w:top w:val="single" w:sz="4" w:space="0" w:color="auto"/>
              <w:left w:val="nil"/>
              <w:bottom w:val="single" w:sz="4" w:space="0" w:color="auto"/>
              <w:right w:val="single" w:sz="4" w:space="0" w:color="auto"/>
            </w:tcBorders>
            <w:shd w:val="clear" w:color="auto" w:fill="auto"/>
            <w:hideMark/>
          </w:tcPr>
          <w:p w:rsidR="002D647F" w:rsidRPr="00A43F74" w:rsidRDefault="002D647F" w:rsidP="002D647F">
            <w:pPr>
              <w:rPr>
                <w:sz w:val="17"/>
                <w:szCs w:val="17"/>
                <w:lang w:val="ru-RU"/>
              </w:rPr>
            </w:pPr>
            <w:r w:rsidRPr="00303E4F">
              <w:rPr>
                <w:color w:val="000000"/>
                <w:sz w:val="17"/>
                <w:szCs w:val="17"/>
              </w:rPr>
              <w:t> </w:t>
            </w:r>
            <w:r w:rsidRPr="00A43F74">
              <w:rPr>
                <w:color w:val="000000"/>
                <w:sz w:val="17"/>
                <w:szCs w:val="17"/>
                <w:lang w:val="ru-RU"/>
              </w:rPr>
              <w:t>Нет данных</w:t>
            </w:r>
          </w:p>
          <w:p w:rsidR="002D647F" w:rsidRPr="00A43F74" w:rsidRDefault="002D647F" w:rsidP="002D647F">
            <w:pPr>
              <w:rPr>
                <w:color w:val="000000"/>
                <w:sz w:val="17"/>
                <w:szCs w:val="17"/>
                <w:lang w:val="ru-RU"/>
              </w:rPr>
            </w:pPr>
          </w:p>
        </w:tc>
        <w:tc>
          <w:tcPr>
            <w:tcW w:w="989" w:type="pct"/>
            <w:tcBorders>
              <w:top w:val="single" w:sz="4" w:space="0" w:color="auto"/>
              <w:left w:val="nil"/>
              <w:bottom w:val="single" w:sz="4" w:space="0" w:color="auto"/>
              <w:right w:val="single" w:sz="4" w:space="0" w:color="auto"/>
            </w:tcBorders>
            <w:shd w:val="clear" w:color="auto" w:fill="auto"/>
            <w:hideMark/>
          </w:tcPr>
          <w:p w:rsidR="002D647F" w:rsidRPr="00A43F74" w:rsidRDefault="002D647F" w:rsidP="002D647F">
            <w:pPr>
              <w:rPr>
                <w:color w:val="000000"/>
                <w:sz w:val="17"/>
                <w:szCs w:val="17"/>
                <w:lang w:val="ru-RU"/>
              </w:rPr>
            </w:pPr>
            <w:r>
              <w:rPr>
                <w:color w:val="000000"/>
                <w:sz w:val="17"/>
                <w:szCs w:val="17"/>
                <w:lang w:val="ru-RU"/>
              </w:rPr>
              <w:t>Единовремен-ная выплата, произв</w:t>
            </w:r>
            <w:r w:rsidR="00732C8F">
              <w:rPr>
                <w:color w:val="000000"/>
                <w:sz w:val="17"/>
                <w:szCs w:val="17"/>
                <w:lang w:val="ru-RU"/>
              </w:rPr>
              <w:t>еденная поставщиком электроэнер</w:t>
            </w:r>
            <w:r>
              <w:rPr>
                <w:color w:val="000000"/>
                <w:sz w:val="17"/>
                <w:szCs w:val="17"/>
                <w:lang w:val="ru-RU"/>
              </w:rPr>
              <w:t>гии в конце года</w:t>
            </w:r>
          </w:p>
        </w:tc>
        <w:tc>
          <w:tcPr>
            <w:tcW w:w="775" w:type="pct"/>
            <w:tcBorders>
              <w:top w:val="single" w:sz="4" w:space="0" w:color="auto"/>
              <w:left w:val="nil"/>
              <w:bottom w:val="single" w:sz="4" w:space="0" w:color="auto"/>
              <w:right w:val="single" w:sz="4" w:space="0" w:color="auto"/>
            </w:tcBorders>
            <w:shd w:val="clear" w:color="auto" w:fill="auto"/>
            <w:hideMark/>
          </w:tcPr>
          <w:p w:rsidR="002D647F" w:rsidRPr="00A43F74" w:rsidRDefault="002D647F" w:rsidP="002D647F">
            <w:pPr>
              <w:rPr>
                <w:sz w:val="17"/>
                <w:szCs w:val="17"/>
                <w:lang w:val="ru-RU"/>
              </w:rPr>
            </w:pPr>
            <w:r w:rsidRPr="00A43F74">
              <w:rPr>
                <w:color w:val="000000"/>
                <w:sz w:val="17"/>
                <w:szCs w:val="17"/>
                <w:lang w:val="ru-RU"/>
              </w:rPr>
              <w:t>Нет данных</w:t>
            </w:r>
          </w:p>
          <w:p w:rsidR="002D647F" w:rsidRPr="00A43F74" w:rsidRDefault="002D647F" w:rsidP="002D647F">
            <w:pPr>
              <w:rPr>
                <w:color w:val="000000"/>
                <w:sz w:val="17"/>
                <w:szCs w:val="17"/>
                <w:lang w:val="ru-RU"/>
              </w:rPr>
            </w:pPr>
          </w:p>
        </w:tc>
        <w:tc>
          <w:tcPr>
            <w:tcW w:w="705" w:type="pct"/>
            <w:tcBorders>
              <w:top w:val="single" w:sz="4" w:space="0" w:color="auto"/>
              <w:left w:val="nil"/>
              <w:bottom w:val="single" w:sz="4" w:space="0" w:color="auto"/>
              <w:right w:val="single" w:sz="4" w:space="0" w:color="auto"/>
            </w:tcBorders>
            <w:shd w:val="clear" w:color="auto" w:fill="auto"/>
            <w:hideMark/>
          </w:tcPr>
          <w:p w:rsidR="002D647F" w:rsidRPr="00AD08E7" w:rsidRDefault="002D647F" w:rsidP="002D647F">
            <w:pPr>
              <w:rPr>
                <w:sz w:val="17"/>
                <w:szCs w:val="17"/>
                <w:lang w:val="ru-RU"/>
              </w:rPr>
            </w:pPr>
            <w:r>
              <w:rPr>
                <w:color w:val="000000"/>
                <w:sz w:val="17"/>
                <w:szCs w:val="17"/>
                <w:lang w:val="ru-RU"/>
              </w:rPr>
              <w:t>Данная</w:t>
            </w:r>
            <w:r w:rsidRPr="00AD08E7">
              <w:rPr>
                <w:color w:val="000000"/>
                <w:sz w:val="17"/>
                <w:szCs w:val="17"/>
                <w:lang w:val="ru-RU"/>
              </w:rPr>
              <w:t xml:space="preserve"> </w:t>
            </w:r>
            <w:r>
              <w:rPr>
                <w:color w:val="000000"/>
                <w:sz w:val="17"/>
                <w:szCs w:val="17"/>
                <w:lang w:val="ru-RU"/>
              </w:rPr>
              <w:t>позиция</w:t>
            </w:r>
            <w:r w:rsidRPr="00AD08E7">
              <w:rPr>
                <w:color w:val="000000"/>
                <w:sz w:val="17"/>
                <w:szCs w:val="17"/>
                <w:lang w:val="ru-RU"/>
              </w:rPr>
              <w:t xml:space="preserve"> </w:t>
            </w:r>
            <w:r>
              <w:rPr>
                <w:color w:val="000000"/>
                <w:sz w:val="17"/>
                <w:szCs w:val="17"/>
                <w:lang w:val="ru-RU"/>
              </w:rPr>
              <w:t>в</w:t>
            </w:r>
            <w:r w:rsidRPr="00AD08E7">
              <w:rPr>
                <w:color w:val="000000"/>
                <w:sz w:val="17"/>
                <w:szCs w:val="17"/>
                <w:lang w:val="ru-RU"/>
              </w:rPr>
              <w:t xml:space="preserve"> 2015 </w:t>
            </w:r>
            <w:r>
              <w:rPr>
                <w:color w:val="000000"/>
                <w:sz w:val="17"/>
                <w:szCs w:val="17"/>
                <w:lang w:val="ru-RU"/>
              </w:rPr>
              <w:t>г</w:t>
            </w:r>
            <w:r w:rsidRPr="00AD08E7">
              <w:rPr>
                <w:color w:val="000000"/>
                <w:sz w:val="17"/>
                <w:szCs w:val="17"/>
                <w:lang w:val="ru-RU"/>
              </w:rPr>
              <w:t xml:space="preserve">. </w:t>
            </w:r>
            <w:r>
              <w:rPr>
                <w:color w:val="000000"/>
                <w:sz w:val="17"/>
                <w:szCs w:val="17"/>
                <w:lang w:val="ru-RU"/>
              </w:rPr>
              <w:t>не</w:t>
            </w:r>
            <w:r w:rsidRPr="00AD08E7">
              <w:rPr>
                <w:color w:val="000000"/>
                <w:sz w:val="17"/>
                <w:szCs w:val="17"/>
                <w:lang w:val="ru-RU"/>
              </w:rPr>
              <w:t xml:space="preserve"> </w:t>
            </w:r>
            <w:r>
              <w:rPr>
                <w:color w:val="000000"/>
                <w:sz w:val="17"/>
                <w:szCs w:val="17"/>
                <w:lang w:val="ru-RU"/>
              </w:rPr>
              <w:t>применима</w:t>
            </w:r>
            <w:r w:rsidRPr="00AD08E7">
              <w:rPr>
                <w:color w:val="000000"/>
                <w:sz w:val="17"/>
                <w:szCs w:val="17"/>
                <w:lang w:val="ru-RU"/>
              </w:rPr>
              <w:t xml:space="preserve">, </w:t>
            </w:r>
            <w:r>
              <w:rPr>
                <w:color w:val="000000"/>
                <w:sz w:val="17"/>
                <w:szCs w:val="17"/>
                <w:lang w:val="ru-RU"/>
              </w:rPr>
              <w:t>поскольку</w:t>
            </w:r>
            <w:r w:rsidRPr="00AD08E7">
              <w:rPr>
                <w:color w:val="000000"/>
                <w:sz w:val="17"/>
                <w:szCs w:val="17"/>
                <w:lang w:val="ru-RU"/>
              </w:rPr>
              <w:t xml:space="preserve"> </w:t>
            </w:r>
            <w:r>
              <w:rPr>
                <w:color w:val="000000"/>
                <w:sz w:val="17"/>
                <w:szCs w:val="17"/>
                <w:lang w:val="ru-RU"/>
              </w:rPr>
              <w:t>новый</w:t>
            </w:r>
            <w:r w:rsidRPr="00AD08E7">
              <w:rPr>
                <w:color w:val="000000"/>
                <w:sz w:val="17"/>
                <w:szCs w:val="17"/>
                <w:lang w:val="ru-RU"/>
              </w:rPr>
              <w:t xml:space="preserve"> </w:t>
            </w:r>
            <w:r>
              <w:rPr>
                <w:color w:val="000000"/>
                <w:sz w:val="17"/>
                <w:szCs w:val="17"/>
                <w:lang w:val="ru-RU"/>
              </w:rPr>
              <w:t>поставщик</w:t>
            </w:r>
            <w:r w:rsidRPr="00AD08E7">
              <w:rPr>
                <w:color w:val="000000"/>
                <w:sz w:val="17"/>
                <w:szCs w:val="17"/>
                <w:lang w:val="ru-RU"/>
              </w:rPr>
              <w:t xml:space="preserve"> </w:t>
            </w:r>
            <w:r>
              <w:rPr>
                <w:color w:val="000000"/>
                <w:sz w:val="17"/>
                <w:szCs w:val="17"/>
                <w:lang w:val="ru-RU"/>
              </w:rPr>
              <w:t>электроэнергии</w:t>
            </w:r>
            <w:r w:rsidRPr="00AD08E7">
              <w:rPr>
                <w:color w:val="000000"/>
                <w:sz w:val="17"/>
                <w:szCs w:val="17"/>
                <w:lang w:val="ru-RU"/>
              </w:rPr>
              <w:t xml:space="preserve">, </w:t>
            </w:r>
            <w:r>
              <w:rPr>
                <w:color w:val="000000"/>
                <w:sz w:val="17"/>
                <w:szCs w:val="17"/>
                <w:lang w:val="ru-RU"/>
              </w:rPr>
              <w:t>выбранный по ре</w:t>
            </w:r>
            <w:r w:rsidR="00732C8F">
              <w:rPr>
                <w:color w:val="000000"/>
                <w:sz w:val="17"/>
                <w:szCs w:val="17"/>
                <w:lang w:val="ru-RU"/>
              </w:rPr>
              <w:t>зультатам конкурса, организован</w:t>
            </w:r>
            <w:r>
              <w:rPr>
                <w:color w:val="000000"/>
                <w:sz w:val="17"/>
                <w:szCs w:val="17"/>
                <w:lang w:val="ru-RU"/>
              </w:rPr>
              <w:t>ного учреждени-ями ООН, базирующи-мися в Женеве, не предлагает стимулы такого рода.</w:t>
            </w:r>
          </w:p>
          <w:p w:rsidR="002D647F" w:rsidRPr="00AD08E7" w:rsidRDefault="002D647F" w:rsidP="002D647F">
            <w:pPr>
              <w:rPr>
                <w:color w:val="000000"/>
                <w:sz w:val="17"/>
                <w:szCs w:val="17"/>
                <w:lang w:val="ru-RU"/>
              </w:rPr>
            </w:pPr>
            <w:r w:rsidRPr="00AD08E7">
              <w:rPr>
                <w:color w:val="000000"/>
                <w:sz w:val="17"/>
                <w:szCs w:val="17"/>
                <w:lang w:val="ru-RU"/>
              </w:rPr>
              <w:t xml:space="preserve"> </w:t>
            </w:r>
          </w:p>
          <w:p w:rsidR="002D647F" w:rsidRPr="00AD08E7" w:rsidRDefault="002D647F" w:rsidP="002D647F">
            <w:pPr>
              <w:tabs>
                <w:tab w:val="left" w:pos="1543"/>
              </w:tabs>
              <w:rPr>
                <w:sz w:val="17"/>
                <w:szCs w:val="17"/>
                <w:lang w:val="ru-RU"/>
              </w:rPr>
            </w:pPr>
            <w:r w:rsidRPr="00AD08E7">
              <w:rPr>
                <w:sz w:val="17"/>
                <w:szCs w:val="17"/>
                <w:lang w:val="ru-RU"/>
              </w:rPr>
              <w:tab/>
            </w:r>
          </w:p>
        </w:tc>
        <w:tc>
          <w:tcPr>
            <w:tcW w:w="764" w:type="pct"/>
            <w:tcBorders>
              <w:top w:val="single" w:sz="4" w:space="0" w:color="auto"/>
              <w:left w:val="nil"/>
              <w:bottom w:val="single" w:sz="4" w:space="0" w:color="auto"/>
              <w:right w:val="single" w:sz="4" w:space="0" w:color="auto"/>
            </w:tcBorders>
            <w:shd w:val="clear" w:color="auto" w:fill="auto"/>
            <w:hideMark/>
          </w:tcPr>
          <w:p w:rsidR="002D647F" w:rsidRPr="00F059BE" w:rsidRDefault="002D647F" w:rsidP="002D647F">
            <w:pPr>
              <w:rPr>
                <w:color w:val="000000"/>
                <w:sz w:val="17"/>
                <w:szCs w:val="17"/>
                <w:lang w:val="ru-RU"/>
              </w:rPr>
            </w:pPr>
            <w:r w:rsidRPr="00F059BE">
              <w:rPr>
                <w:color w:val="000000"/>
                <w:sz w:val="17"/>
                <w:szCs w:val="17"/>
                <w:lang w:val="ru-RU"/>
              </w:rPr>
              <w:t>Отдел служебных помещений и инфраструктуры</w:t>
            </w:r>
          </w:p>
        </w:tc>
      </w:tr>
    </w:tbl>
    <w:p w:rsidR="002D647F" w:rsidRPr="00F059BE" w:rsidRDefault="002D647F" w:rsidP="002D647F">
      <w:pPr>
        <w:rPr>
          <w:i/>
          <w:sz w:val="18"/>
          <w:szCs w:val="18"/>
          <w:lang w:val="ru-RU"/>
        </w:rPr>
      </w:pPr>
    </w:p>
    <w:p w:rsidR="002D647F" w:rsidRPr="00F059BE" w:rsidRDefault="002D647F" w:rsidP="002D647F">
      <w:pPr>
        <w:rPr>
          <w:i/>
          <w:sz w:val="18"/>
          <w:szCs w:val="18"/>
          <w:lang w:val="ru-RU"/>
        </w:rPr>
      </w:pPr>
      <w:r w:rsidRPr="00F059BE">
        <w:rPr>
          <w:i/>
          <w:sz w:val="18"/>
          <w:szCs w:val="18"/>
          <w:lang w:val="ru-RU"/>
        </w:rPr>
        <w:t xml:space="preserve">* </w:t>
      </w:r>
      <w:r>
        <w:rPr>
          <w:i/>
          <w:sz w:val="18"/>
          <w:szCs w:val="18"/>
          <w:lang w:val="ru-RU"/>
        </w:rPr>
        <w:t>И</w:t>
      </w:r>
      <w:r w:rsidRPr="00F059BE">
        <w:rPr>
          <w:i/>
          <w:sz w:val="18"/>
          <w:szCs w:val="18"/>
          <w:lang w:val="ru-RU"/>
        </w:rPr>
        <w:t xml:space="preserve">нформация по данным, приведенным в документе </w:t>
      </w:r>
      <w:r w:rsidRPr="00BE62B6">
        <w:rPr>
          <w:i/>
          <w:sz w:val="18"/>
          <w:szCs w:val="18"/>
        </w:rPr>
        <w:t>WO</w:t>
      </w:r>
      <w:r w:rsidRPr="00F059BE">
        <w:rPr>
          <w:i/>
          <w:sz w:val="18"/>
          <w:szCs w:val="18"/>
          <w:lang w:val="ru-RU"/>
        </w:rPr>
        <w:t>/</w:t>
      </w:r>
      <w:r w:rsidRPr="00BE62B6">
        <w:rPr>
          <w:i/>
          <w:sz w:val="18"/>
          <w:szCs w:val="18"/>
        </w:rPr>
        <w:t>PBC</w:t>
      </w:r>
      <w:r w:rsidRPr="00F059BE">
        <w:rPr>
          <w:i/>
          <w:sz w:val="18"/>
          <w:szCs w:val="18"/>
          <w:lang w:val="ru-RU"/>
        </w:rPr>
        <w:t>/23/</w:t>
      </w:r>
      <w:r w:rsidRPr="00BE62B6">
        <w:rPr>
          <w:i/>
          <w:sz w:val="18"/>
          <w:szCs w:val="18"/>
        </w:rPr>
        <w:t>COST</w:t>
      </w:r>
      <w:r w:rsidRPr="00F059BE">
        <w:rPr>
          <w:i/>
          <w:sz w:val="18"/>
          <w:szCs w:val="18"/>
          <w:lang w:val="ru-RU"/>
        </w:rPr>
        <w:t xml:space="preserve"> </w:t>
      </w:r>
      <w:r w:rsidRPr="00BE62B6">
        <w:rPr>
          <w:i/>
          <w:sz w:val="18"/>
          <w:szCs w:val="18"/>
        </w:rPr>
        <w:t>EFFICIENCIES</w:t>
      </w:r>
      <w:r w:rsidRPr="00F059BE">
        <w:rPr>
          <w:i/>
          <w:sz w:val="18"/>
          <w:szCs w:val="18"/>
          <w:lang w:val="ru-RU"/>
        </w:rPr>
        <w:t xml:space="preserve"> </w:t>
      </w:r>
      <w:r w:rsidRPr="00BE62B6">
        <w:rPr>
          <w:i/>
          <w:sz w:val="18"/>
          <w:szCs w:val="18"/>
        </w:rPr>
        <w:t>REALIZED</w:t>
      </w:r>
      <w:r w:rsidRPr="00F059BE">
        <w:rPr>
          <w:i/>
          <w:sz w:val="18"/>
          <w:szCs w:val="18"/>
          <w:lang w:val="ru-RU"/>
        </w:rPr>
        <w:t xml:space="preserve"> </w:t>
      </w:r>
      <w:r w:rsidRPr="00BE62B6">
        <w:rPr>
          <w:i/>
          <w:sz w:val="18"/>
          <w:szCs w:val="18"/>
        </w:rPr>
        <w:t>IN</w:t>
      </w:r>
      <w:r w:rsidRPr="00F059BE">
        <w:rPr>
          <w:i/>
          <w:sz w:val="18"/>
          <w:szCs w:val="18"/>
          <w:lang w:val="ru-RU"/>
        </w:rPr>
        <w:t xml:space="preserve"> 2014</w:t>
      </w:r>
      <w:r>
        <w:rPr>
          <w:i/>
          <w:sz w:val="18"/>
          <w:szCs w:val="18"/>
          <w:lang w:val="ru-RU"/>
        </w:rPr>
        <w:t>.</w:t>
      </w:r>
    </w:p>
    <w:p w:rsidR="002D647F" w:rsidRPr="00AD08E7" w:rsidRDefault="002D647F" w:rsidP="002D647F">
      <w:pPr>
        <w:rPr>
          <w:i/>
          <w:sz w:val="18"/>
          <w:szCs w:val="18"/>
          <w:lang w:val="ru-RU"/>
        </w:rPr>
      </w:pPr>
      <w:r w:rsidRPr="00AD08E7">
        <w:rPr>
          <w:i/>
          <w:sz w:val="18"/>
          <w:szCs w:val="18"/>
          <w:lang w:val="ru-RU"/>
        </w:rPr>
        <w:t>**</w:t>
      </w:r>
      <w:r>
        <w:rPr>
          <w:i/>
          <w:sz w:val="18"/>
          <w:szCs w:val="18"/>
          <w:lang w:val="ru-RU"/>
        </w:rPr>
        <w:t>Годовые</w:t>
      </w:r>
      <w:r w:rsidRPr="00AD08E7">
        <w:rPr>
          <w:i/>
          <w:sz w:val="18"/>
          <w:szCs w:val="18"/>
          <w:lang w:val="ru-RU"/>
        </w:rPr>
        <w:t xml:space="preserve"> </w:t>
      </w:r>
      <w:r>
        <w:rPr>
          <w:i/>
          <w:sz w:val="18"/>
          <w:szCs w:val="18"/>
          <w:lang w:val="ru-RU"/>
        </w:rPr>
        <w:t>цифры</w:t>
      </w:r>
      <w:r w:rsidRPr="00AD08E7">
        <w:rPr>
          <w:i/>
          <w:sz w:val="18"/>
          <w:szCs w:val="18"/>
          <w:lang w:val="ru-RU"/>
        </w:rPr>
        <w:t xml:space="preserve"> </w:t>
      </w:r>
      <w:r>
        <w:rPr>
          <w:i/>
          <w:sz w:val="18"/>
          <w:szCs w:val="18"/>
          <w:lang w:val="ru-RU"/>
        </w:rPr>
        <w:t>дохода</w:t>
      </w:r>
      <w:r w:rsidRPr="00AD08E7">
        <w:rPr>
          <w:i/>
          <w:sz w:val="18"/>
          <w:szCs w:val="18"/>
          <w:lang w:val="ru-RU"/>
        </w:rPr>
        <w:t xml:space="preserve"> </w:t>
      </w:r>
      <w:r>
        <w:rPr>
          <w:i/>
          <w:sz w:val="18"/>
          <w:szCs w:val="18"/>
          <w:lang w:val="ru-RU"/>
        </w:rPr>
        <w:t>в</w:t>
      </w:r>
      <w:r w:rsidRPr="00AD08E7">
        <w:rPr>
          <w:i/>
          <w:sz w:val="18"/>
          <w:szCs w:val="18"/>
          <w:lang w:val="ru-RU"/>
        </w:rPr>
        <w:t xml:space="preserve"> </w:t>
      </w:r>
      <w:r>
        <w:rPr>
          <w:i/>
          <w:sz w:val="18"/>
          <w:szCs w:val="18"/>
          <w:lang w:val="ru-RU"/>
        </w:rPr>
        <w:t>случае</w:t>
      </w:r>
      <w:r w:rsidRPr="00AD08E7">
        <w:rPr>
          <w:i/>
          <w:sz w:val="18"/>
          <w:szCs w:val="18"/>
          <w:lang w:val="ru-RU"/>
        </w:rPr>
        <w:t xml:space="preserve"> </w:t>
      </w:r>
      <w:r>
        <w:rPr>
          <w:i/>
          <w:sz w:val="18"/>
          <w:szCs w:val="18"/>
          <w:lang w:val="ru-RU"/>
        </w:rPr>
        <w:t>МТП</w:t>
      </w:r>
      <w:r w:rsidRPr="00AD08E7">
        <w:rPr>
          <w:i/>
          <w:sz w:val="18"/>
          <w:szCs w:val="18"/>
          <w:lang w:val="ru-RU"/>
        </w:rPr>
        <w:t xml:space="preserve"> </w:t>
      </w:r>
      <w:r>
        <w:rPr>
          <w:i/>
          <w:sz w:val="18"/>
          <w:szCs w:val="18"/>
          <w:lang w:val="ru-RU"/>
        </w:rPr>
        <w:t>показаны</w:t>
      </w:r>
      <w:r w:rsidRPr="00AD08E7">
        <w:rPr>
          <w:i/>
          <w:sz w:val="18"/>
          <w:szCs w:val="18"/>
          <w:lang w:val="ru-RU"/>
        </w:rPr>
        <w:t xml:space="preserve"> </w:t>
      </w:r>
      <w:r>
        <w:rPr>
          <w:i/>
          <w:sz w:val="18"/>
          <w:szCs w:val="18"/>
          <w:lang w:val="ru-RU"/>
        </w:rPr>
        <w:t>в</w:t>
      </w:r>
      <w:r w:rsidRPr="00AD08E7">
        <w:rPr>
          <w:i/>
          <w:sz w:val="18"/>
          <w:szCs w:val="18"/>
          <w:lang w:val="ru-RU"/>
        </w:rPr>
        <w:t xml:space="preserve"> </w:t>
      </w:r>
      <w:r>
        <w:rPr>
          <w:i/>
          <w:sz w:val="18"/>
          <w:szCs w:val="18"/>
          <w:lang w:val="ru-RU"/>
        </w:rPr>
        <w:t>виде</w:t>
      </w:r>
      <w:r w:rsidRPr="00AD08E7">
        <w:rPr>
          <w:i/>
          <w:sz w:val="18"/>
          <w:szCs w:val="18"/>
          <w:lang w:val="ru-RU"/>
        </w:rPr>
        <w:t xml:space="preserve"> </w:t>
      </w:r>
      <w:r>
        <w:rPr>
          <w:i/>
          <w:sz w:val="18"/>
          <w:szCs w:val="18"/>
          <w:lang w:val="ru-RU"/>
        </w:rPr>
        <w:t>валовых</w:t>
      </w:r>
      <w:r w:rsidRPr="00AD08E7">
        <w:rPr>
          <w:i/>
          <w:sz w:val="18"/>
          <w:szCs w:val="18"/>
          <w:lang w:val="ru-RU"/>
        </w:rPr>
        <w:t xml:space="preserve"> </w:t>
      </w:r>
      <w:r>
        <w:rPr>
          <w:i/>
          <w:sz w:val="18"/>
          <w:szCs w:val="18"/>
          <w:lang w:val="ru-RU"/>
        </w:rPr>
        <w:t>показателей</w:t>
      </w:r>
      <w:r w:rsidRPr="00AD08E7">
        <w:rPr>
          <w:i/>
          <w:sz w:val="18"/>
          <w:szCs w:val="18"/>
          <w:lang w:val="ru-RU"/>
        </w:rPr>
        <w:t xml:space="preserve"> </w:t>
      </w:r>
      <w:r>
        <w:rPr>
          <w:i/>
          <w:sz w:val="18"/>
          <w:szCs w:val="18"/>
          <w:lang w:val="ru-RU"/>
        </w:rPr>
        <w:t>без</w:t>
      </w:r>
      <w:r w:rsidRPr="00AD08E7">
        <w:rPr>
          <w:i/>
          <w:sz w:val="18"/>
          <w:szCs w:val="18"/>
          <w:lang w:val="ru-RU"/>
        </w:rPr>
        <w:t xml:space="preserve"> </w:t>
      </w:r>
      <w:r>
        <w:rPr>
          <w:i/>
          <w:sz w:val="18"/>
          <w:szCs w:val="18"/>
          <w:lang w:val="ru-RU"/>
        </w:rPr>
        <w:t>зачета расходов на проведение модернизационных мероприятий на протяжении двухгодичного периода 2014-2015 гг.</w:t>
      </w:r>
    </w:p>
    <w:p w:rsidR="00A44CCE" w:rsidRPr="002D647F" w:rsidRDefault="00A44CCE" w:rsidP="00220419">
      <w:pPr>
        <w:rPr>
          <w:b/>
          <w:sz w:val="18"/>
          <w:szCs w:val="18"/>
          <w:lang w:val="ru-RU"/>
        </w:rPr>
      </w:pPr>
    </w:p>
    <w:p w:rsidR="0075764F" w:rsidRPr="002D647F" w:rsidRDefault="0075764F" w:rsidP="0075764F">
      <w:pPr>
        <w:rPr>
          <w:lang w:val="ru-RU"/>
        </w:rPr>
      </w:pPr>
    </w:p>
    <w:p w:rsidR="0075764F" w:rsidRPr="002D647F" w:rsidRDefault="0075764F" w:rsidP="0075764F">
      <w:pPr>
        <w:rPr>
          <w:lang w:val="ru-RU"/>
        </w:rPr>
      </w:pPr>
    </w:p>
    <w:p w:rsidR="0075764F" w:rsidRPr="002D647F" w:rsidRDefault="0075764F" w:rsidP="0075764F">
      <w:pPr>
        <w:rPr>
          <w:lang w:val="ru-RU"/>
        </w:rPr>
      </w:pPr>
    </w:p>
    <w:p w:rsidR="0075764F" w:rsidRPr="002D647F" w:rsidRDefault="0075764F" w:rsidP="0075764F">
      <w:pPr>
        <w:rPr>
          <w:lang w:val="ru-RU"/>
        </w:rPr>
      </w:pPr>
    </w:p>
    <w:p w:rsidR="0075764F" w:rsidRPr="002D647F" w:rsidRDefault="0075764F" w:rsidP="0075764F">
      <w:pPr>
        <w:rPr>
          <w:lang w:val="ru-RU"/>
        </w:rPr>
      </w:pPr>
    </w:p>
    <w:p w:rsidR="003C6933" w:rsidRPr="002D647F" w:rsidRDefault="003C6933">
      <w:pPr>
        <w:rPr>
          <w:rFonts w:ascii="Arial Bold" w:hAnsi="Arial Bold"/>
          <w:b/>
          <w:bCs/>
          <w:caps/>
          <w:szCs w:val="28"/>
          <w:lang w:val="ru-RU"/>
        </w:rPr>
      </w:pPr>
      <w:r w:rsidRPr="002D647F">
        <w:rPr>
          <w:rFonts w:ascii="Arial Bold" w:hAnsi="Arial Bold"/>
          <w:b/>
          <w:bCs/>
          <w:caps/>
          <w:szCs w:val="28"/>
          <w:lang w:val="ru-RU"/>
        </w:rPr>
        <w:br w:type="page"/>
      </w:r>
    </w:p>
    <w:p w:rsidR="00CE4C9D" w:rsidRPr="002D647F" w:rsidRDefault="00CE4C9D" w:rsidP="00CE4C9D">
      <w:pPr>
        <w:rPr>
          <w:rFonts w:ascii="Arial Bold" w:hAnsi="Arial Bold"/>
          <w:b/>
          <w:bCs/>
          <w:caps/>
          <w:szCs w:val="28"/>
          <w:lang w:val="ru-RU"/>
        </w:rPr>
      </w:pPr>
    </w:p>
    <w:p w:rsidR="007F6F24" w:rsidRPr="002D647F" w:rsidRDefault="002D647F" w:rsidP="00845557">
      <w:pPr>
        <w:pStyle w:val="Heading1"/>
        <w:tabs>
          <w:tab w:val="clear" w:pos="284"/>
        </w:tabs>
        <w:ind w:hanging="578"/>
        <w:jc w:val="left"/>
        <w:rPr>
          <w:lang w:val="ru-RU"/>
        </w:rPr>
      </w:pPr>
      <w:bookmarkStart w:id="18" w:name="_Toc421867752"/>
      <w:bookmarkStart w:id="19" w:name="_Toc421868019"/>
      <w:bookmarkStart w:id="20" w:name="_Toc421868069"/>
      <w:bookmarkStart w:id="21" w:name="_Toc422127323"/>
      <w:bookmarkStart w:id="22" w:name="_Toc422134318"/>
      <w:bookmarkStart w:id="23" w:name="_Toc421867753"/>
      <w:bookmarkStart w:id="24" w:name="_Toc421868020"/>
      <w:bookmarkStart w:id="25" w:name="_Toc421868070"/>
      <w:bookmarkStart w:id="26" w:name="_Toc422127324"/>
      <w:bookmarkStart w:id="27" w:name="_Toc422134319"/>
      <w:bookmarkStart w:id="28" w:name="_Toc421867754"/>
      <w:bookmarkStart w:id="29" w:name="_Toc421868021"/>
      <w:bookmarkStart w:id="30" w:name="_Toc421868071"/>
      <w:bookmarkStart w:id="31" w:name="_Toc422127325"/>
      <w:bookmarkStart w:id="32" w:name="_Toc422134320"/>
      <w:bookmarkStart w:id="33" w:name="_Toc421867755"/>
      <w:bookmarkStart w:id="34" w:name="_Toc421868022"/>
      <w:bookmarkStart w:id="35" w:name="_Toc421868072"/>
      <w:bookmarkStart w:id="36" w:name="_Toc422127326"/>
      <w:bookmarkStart w:id="37" w:name="_Toc422134321"/>
      <w:bookmarkStart w:id="38" w:name="_Toc421867756"/>
      <w:bookmarkStart w:id="39" w:name="_Toc421868023"/>
      <w:bookmarkStart w:id="40" w:name="_Toc421868073"/>
      <w:bookmarkStart w:id="41" w:name="_Toc422127327"/>
      <w:bookmarkStart w:id="42" w:name="_Toc422134322"/>
      <w:bookmarkStart w:id="43" w:name="_Toc421867757"/>
      <w:bookmarkStart w:id="44" w:name="_Toc421868024"/>
      <w:bookmarkStart w:id="45" w:name="_Toc421868074"/>
      <w:bookmarkStart w:id="46" w:name="_Toc422127328"/>
      <w:bookmarkStart w:id="47" w:name="_Toc422134323"/>
      <w:bookmarkStart w:id="48" w:name="_Toc455388099"/>
      <w:bookmarkStart w:id="49" w:name="_Toc294535814"/>
      <w:bookmarkStart w:id="50" w:name="_Toc327875006"/>
      <w:bookmarkStart w:id="51" w:name="_Toc358366918"/>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Pr>
          <w:lang w:val="ru-RU"/>
        </w:rPr>
        <w:t>ОБЗОР</w:t>
      </w:r>
      <w:r w:rsidRPr="002D647F">
        <w:rPr>
          <w:lang w:val="ru-RU"/>
        </w:rPr>
        <w:t xml:space="preserve"> </w:t>
      </w:r>
      <w:r>
        <w:rPr>
          <w:lang w:val="ru-RU"/>
        </w:rPr>
        <w:t>ДОСТИЖЕНИЙ</w:t>
      </w:r>
      <w:r w:rsidRPr="002D647F">
        <w:rPr>
          <w:lang w:val="ru-RU"/>
        </w:rPr>
        <w:t xml:space="preserve"> </w:t>
      </w:r>
      <w:r>
        <w:rPr>
          <w:lang w:val="ru-RU"/>
        </w:rPr>
        <w:t>В</w:t>
      </w:r>
      <w:r w:rsidRPr="002D647F">
        <w:rPr>
          <w:lang w:val="ru-RU"/>
        </w:rPr>
        <w:t xml:space="preserve"> </w:t>
      </w:r>
      <w:r w:rsidR="00D735A1" w:rsidRPr="002D647F">
        <w:rPr>
          <w:lang w:val="ru-RU"/>
        </w:rPr>
        <w:t>2014</w:t>
      </w:r>
      <w:r w:rsidRPr="002D647F">
        <w:rPr>
          <w:lang w:val="ru-RU"/>
        </w:rPr>
        <w:t>-20</w:t>
      </w:r>
      <w:r w:rsidR="008F2BDD" w:rsidRPr="002D647F">
        <w:rPr>
          <w:lang w:val="ru-RU"/>
        </w:rPr>
        <w:t>15</w:t>
      </w:r>
      <w:r w:rsidRPr="002D647F">
        <w:rPr>
          <w:lang w:val="ru-RU"/>
        </w:rPr>
        <w:t xml:space="preserve"> </w:t>
      </w:r>
      <w:r>
        <w:rPr>
          <w:lang w:val="ru-RU"/>
        </w:rPr>
        <w:t>ГГ</w:t>
      </w:r>
      <w:r w:rsidRPr="002D647F">
        <w:rPr>
          <w:lang w:val="ru-RU"/>
        </w:rPr>
        <w:t>.</w:t>
      </w:r>
      <w:r>
        <w:rPr>
          <w:lang w:val="ru-RU"/>
        </w:rPr>
        <w:t xml:space="preserve"> В РАЗБИВКЕ ПО СТРАТЕГИЧЕСКИМ ЦЕЛЯМ</w:t>
      </w:r>
      <w:bookmarkEnd w:id="48"/>
      <w:r w:rsidR="00D735A1" w:rsidRPr="002D647F">
        <w:rPr>
          <w:lang w:val="ru-RU"/>
        </w:rPr>
        <w:t xml:space="preserve"> </w:t>
      </w:r>
      <w:bookmarkEnd w:id="49"/>
      <w:bookmarkEnd w:id="50"/>
      <w:bookmarkEnd w:id="51"/>
    </w:p>
    <w:p w:rsidR="007F6F24" w:rsidRPr="002D647F" w:rsidRDefault="007F6F24" w:rsidP="007F6F24">
      <w:pPr>
        <w:jc w:val="both"/>
        <w:rPr>
          <w:lang w:val="ru-RU"/>
        </w:rPr>
      </w:pPr>
    </w:p>
    <w:p w:rsidR="00A87689" w:rsidRPr="002D647F" w:rsidRDefault="002D647F" w:rsidP="00C1753F">
      <w:pPr>
        <w:pStyle w:val="StyleHeading214ptAuto"/>
        <w:rPr>
          <w:rFonts w:ascii="Arial" w:hAnsi="Arial"/>
          <w:bCs w:val="0"/>
          <w:caps w:val="0"/>
          <w:sz w:val="20"/>
          <w:szCs w:val="24"/>
          <w:lang w:val="ru-RU" w:eastAsia="en-US"/>
        </w:rPr>
      </w:pPr>
      <w:bookmarkStart w:id="52" w:name="_Toc455388100"/>
      <w:r>
        <w:rPr>
          <w:rFonts w:ascii="Arial" w:hAnsi="Arial"/>
          <w:bCs w:val="0"/>
          <w:caps w:val="0"/>
          <w:sz w:val="20"/>
          <w:szCs w:val="24"/>
          <w:lang w:val="ru-RU" w:eastAsia="en-US"/>
        </w:rPr>
        <w:t>СТРАТЕГИЧЕСКАЯ ЦЕЛЬ</w:t>
      </w:r>
      <w:r w:rsidR="00A87689" w:rsidRPr="002D647F">
        <w:rPr>
          <w:rFonts w:ascii="Arial" w:hAnsi="Arial"/>
          <w:bCs w:val="0"/>
          <w:caps w:val="0"/>
          <w:sz w:val="20"/>
          <w:szCs w:val="24"/>
          <w:lang w:val="ru-RU" w:eastAsia="en-US"/>
        </w:rPr>
        <w:t xml:space="preserve"> </w:t>
      </w:r>
      <w:r w:rsidR="00A87689" w:rsidRPr="003A6CAB">
        <w:rPr>
          <w:rFonts w:ascii="Arial" w:hAnsi="Arial"/>
          <w:bCs w:val="0"/>
          <w:caps w:val="0"/>
          <w:sz w:val="20"/>
          <w:szCs w:val="24"/>
          <w:lang w:val="en-US" w:eastAsia="en-US"/>
        </w:rPr>
        <w:t>I</w:t>
      </w:r>
      <w:bookmarkEnd w:id="52"/>
    </w:p>
    <w:p w:rsidR="00A87689" w:rsidRPr="002D647F" w:rsidRDefault="00A87689" w:rsidP="00845557">
      <w:pPr>
        <w:jc w:val="center"/>
        <w:rPr>
          <w:lang w:val="ru-RU"/>
        </w:rPr>
      </w:pPr>
    </w:p>
    <w:p w:rsidR="002D647F" w:rsidRPr="004F6688" w:rsidRDefault="002D647F" w:rsidP="002D647F">
      <w:pPr>
        <w:jc w:val="center"/>
        <w:rPr>
          <w:lang w:val="ru-RU"/>
        </w:rPr>
      </w:pPr>
      <w:r>
        <w:rPr>
          <w:b/>
          <w:lang w:val="ru-RU"/>
        </w:rPr>
        <w:t>СБАЛАНСИРОВАННОЕ РАЗВИТИЕ МЕЖДУНАРОДНОЙ НОРМАТИВНОЙ БАЗЫ ИС</w:t>
      </w:r>
    </w:p>
    <w:p w:rsidR="002D647F" w:rsidRDefault="002D647F" w:rsidP="002D647F">
      <w:pPr>
        <w:jc w:val="center"/>
        <w:rPr>
          <w:b/>
          <w:lang w:val="ru-RU"/>
        </w:rPr>
      </w:pPr>
    </w:p>
    <w:p w:rsidR="002D647F" w:rsidRPr="004F6688" w:rsidRDefault="002D647F" w:rsidP="002D647F">
      <w:pPr>
        <w:jc w:val="center"/>
        <w:rPr>
          <w:b/>
          <w:lang w:val="ru-RU"/>
        </w:rPr>
      </w:pPr>
    </w:p>
    <w:p w:rsidR="002D647F" w:rsidRPr="003A588C" w:rsidRDefault="002D647F" w:rsidP="002D647F">
      <w:pPr>
        <w:jc w:val="center"/>
        <w:rPr>
          <w:b/>
          <w:lang w:val="ru-RU"/>
        </w:rPr>
      </w:pPr>
      <w:r w:rsidRPr="003A588C">
        <w:rPr>
          <w:b/>
          <w:lang w:val="ru-RU"/>
        </w:rPr>
        <w:t xml:space="preserve">Сводная таблица показателей результативности за двухлетний период </w:t>
      </w:r>
    </w:p>
    <w:p w:rsidR="002D647F" w:rsidRPr="003A588C" w:rsidRDefault="002D647F" w:rsidP="002D647F">
      <w:pPr>
        <w:jc w:val="both"/>
        <w:rPr>
          <w:lang w:val="ru-RU"/>
        </w:rPr>
      </w:pPr>
    </w:p>
    <w:p w:rsidR="002D647F" w:rsidRPr="003A588C" w:rsidRDefault="002D647F" w:rsidP="002D647F">
      <w:pPr>
        <w:autoSpaceDE w:val="0"/>
        <w:autoSpaceDN w:val="0"/>
        <w:adjustRightInd w:val="0"/>
        <w:jc w:val="both"/>
        <w:rPr>
          <w:rFonts w:cs="Arial"/>
          <w:lang w:val="ru-RU"/>
        </w:rPr>
      </w:pPr>
      <w:r w:rsidRPr="003A588C">
        <w:rPr>
          <w:rFonts w:cs="Arial"/>
          <w:lang w:val="ru-RU"/>
        </w:rPr>
        <w:t>Приводимая ниже сводная т</w:t>
      </w:r>
      <w:r>
        <w:rPr>
          <w:rFonts w:cs="Arial"/>
          <w:lang w:val="ru-RU"/>
        </w:rPr>
        <w:t>аблица содержит обзор достижений с точки зрения степени реализации</w:t>
      </w:r>
      <w:r w:rsidRPr="003A588C">
        <w:rPr>
          <w:rFonts w:cs="Arial"/>
          <w:lang w:val="ru-RU"/>
        </w:rPr>
        <w:t xml:space="preserve"> ожидаемых результатов в двухлетнем периоде 2014-201</w:t>
      </w:r>
      <w:r>
        <w:rPr>
          <w:rFonts w:cs="Arial"/>
          <w:lang w:val="ru-RU"/>
        </w:rPr>
        <w:t>5</w:t>
      </w:r>
      <w:r w:rsidRPr="003A588C">
        <w:rPr>
          <w:rFonts w:cs="Arial"/>
          <w:lang w:val="ru-RU"/>
        </w:rPr>
        <w:t xml:space="preserve"> гг.</w:t>
      </w:r>
      <w:r>
        <w:rPr>
          <w:rFonts w:cs="Arial"/>
          <w:lang w:val="ru-RU"/>
        </w:rPr>
        <w:t xml:space="preserve"> на основе</w:t>
      </w:r>
      <w:r w:rsidRPr="003A588C">
        <w:rPr>
          <w:rFonts w:cs="Arial"/>
          <w:lang w:val="ru-RU"/>
        </w:rPr>
        <w:t xml:space="preserve"> показател</w:t>
      </w:r>
      <w:r>
        <w:rPr>
          <w:rFonts w:cs="Arial"/>
          <w:lang w:val="ru-RU"/>
        </w:rPr>
        <w:t>ей</w:t>
      </w:r>
      <w:r w:rsidRPr="003A588C">
        <w:rPr>
          <w:rFonts w:cs="Arial"/>
          <w:lang w:val="ru-RU"/>
        </w:rPr>
        <w:t xml:space="preserve"> программ, </w:t>
      </w:r>
      <w:r>
        <w:rPr>
          <w:rFonts w:cs="Arial"/>
          <w:lang w:val="ru-RU"/>
        </w:rPr>
        <w:t>обеспечивающих претворение в жизнь</w:t>
      </w:r>
      <w:r w:rsidRPr="003A588C">
        <w:rPr>
          <w:rFonts w:cs="Arial"/>
          <w:lang w:val="ru-RU"/>
        </w:rPr>
        <w:t xml:space="preserve"> данной стратегической цели.  </w:t>
      </w:r>
    </w:p>
    <w:p w:rsidR="002D647F" w:rsidRDefault="002D647F" w:rsidP="002D647F">
      <w:pPr>
        <w:jc w:val="center"/>
        <w:rPr>
          <w:rFonts w:cs="Arial"/>
        </w:rPr>
      </w:pPr>
      <w:r>
        <w:rPr>
          <w:rFonts w:cs="Arial"/>
          <w:noProof/>
        </w:rPr>
        <w:drawing>
          <wp:inline distT="0" distB="0" distL="0" distR="0" wp14:anchorId="40333F2E" wp14:editId="090B96B0">
            <wp:extent cx="5940425" cy="2871357"/>
            <wp:effectExtent l="0" t="0" r="3175" b="571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40425" cy="2871357"/>
                    </a:xfrm>
                    <a:prstGeom prst="rect">
                      <a:avLst/>
                    </a:prstGeom>
                    <a:noFill/>
                    <a:ln>
                      <a:noFill/>
                    </a:ln>
                  </pic:spPr>
                </pic:pic>
              </a:graphicData>
            </a:graphic>
          </wp:inline>
        </w:drawing>
      </w:r>
    </w:p>
    <w:p w:rsidR="002D647F" w:rsidRDefault="002D647F" w:rsidP="002D647F">
      <w:pPr>
        <w:jc w:val="center"/>
        <w:rPr>
          <w:rFonts w:cs="Arial"/>
        </w:rPr>
      </w:pPr>
    </w:p>
    <w:tbl>
      <w:tblPr>
        <w:tblW w:w="5000" w:type="pct"/>
        <w:tblInd w:w="108" w:type="dxa"/>
        <w:tblBorders>
          <w:top w:val="single" w:sz="4" w:space="0" w:color="auto"/>
          <w:left w:val="single" w:sz="4" w:space="0" w:color="auto"/>
          <w:bottom w:val="single" w:sz="4" w:space="0" w:color="auto"/>
          <w:right w:val="single" w:sz="4" w:space="0" w:color="auto"/>
        </w:tblBorders>
        <w:tblCellMar>
          <w:left w:w="115" w:type="dxa"/>
          <w:right w:w="115" w:type="dxa"/>
        </w:tblCellMar>
        <w:tblLook w:val="0000" w:firstRow="0" w:lastRow="0" w:firstColumn="0" w:lastColumn="0" w:noHBand="0" w:noVBand="0"/>
      </w:tblPr>
      <w:tblGrid>
        <w:gridCol w:w="2405"/>
        <w:gridCol w:w="3630"/>
        <w:gridCol w:w="1968"/>
        <w:gridCol w:w="1582"/>
      </w:tblGrid>
      <w:tr w:rsidR="002D647F" w:rsidRPr="00AF5E7C" w:rsidTr="00165412">
        <w:trPr>
          <w:cantSplit/>
          <w:trHeight w:val="360"/>
          <w:tblHeader/>
        </w:trPr>
        <w:tc>
          <w:tcPr>
            <w:tcW w:w="1581" w:type="pct"/>
            <w:tcBorders>
              <w:top w:val="single" w:sz="4" w:space="0" w:color="auto"/>
              <w:bottom w:val="single" w:sz="4" w:space="0" w:color="auto"/>
            </w:tcBorders>
            <w:shd w:val="clear" w:color="auto" w:fill="B8CCE4" w:themeFill="accent1" w:themeFillTint="66"/>
            <w:tcMar>
              <w:top w:w="113" w:type="dxa"/>
              <w:bottom w:w="113" w:type="dxa"/>
            </w:tcMar>
            <w:vAlign w:val="center"/>
          </w:tcPr>
          <w:p w:rsidR="002D647F" w:rsidRPr="007B07A4" w:rsidRDefault="002D647F" w:rsidP="002D647F">
            <w:pPr>
              <w:spacing w:after="120"/>
              <w:rPr>
                <w:rFonts w:cs="Arial"/>
                <w:b/>
                <w:bCs/>
                <w:sz w:val="18"/>
                <w:szCs w:val="18"/>
              </w:rPr>
            </w:pPr>
            <w:r w:rsidRPr="003A588C">
              <w:rPr>
                <w:rFonts w:cs="Arial"/>
                <w:b/>
                <w:bCs/>
                <w:sz w:val="18"/>
                <w:szCs w:val="18"/>
                <w:lang w:val="ru-RU"/>
              </w:rPr>
              <w:t>Ожидаемые результаты</w:t>
            </w:r>
          </w:p>
        </w:tc>
        <w:tc>
          <w:tcPr>
            <w:tcW w:w="2220" w:type="pct"/>
            <w:tcBorders>
              <w:top w:val="single" w:sz="4" w:space="0" w:color="auto"/>
              <w:bottom w:val="single" w:sz="4" w:space="0" w:color="auto"/>
            </w:tcBorders>
            <w:shd w:val="clear" w:color="auto" w:fill="B8CCE4" w:themeFill="accent1" w:themeFillTint="66"/>
            <w:tcMar>
              <w:top w:w="113" w:type="dxa"/>
              <w:bottom w:w="113" w:type="dxa"/>
            </w:tcMar>
            <w:vAlign w:val="center"/>
          </w:tcPr>
          <w:p w:rsidR="002D647F" w:rsidRPr="007B07A4" w:rsidRDefault="002D647F" w:rsidP="002D647F">
            <w:pPr>
              <w:spacing w:after="120"/>
              <w:rPr>
                <w:rFonts w:cs="Arial"/>
                <w:b/>
                <w:sz w:val="18"/>
                <w:szCs w:val="18"/>
              </w:rPr>
            </w:pPr>
            <w:r w:rsidRPr="003A588C">
              <w:rPr>
                <w:rFonts w:cs="Arial"/>
                <w:b/>
                <w:sz w:val="18"/>
                <w:szCs w:val="18"/>
                <w:lang w:val="ru-RU"/>
              </w:rPr>
              <w:t>Показател</w:t>
            </w:r>
            <w:r>
              <w:rPr>
                <w:rFonts w:cs="Arial"/>
                <w:b/>
                <w:sz w:val="18"/>
                <w:szCs w:val="18"/>
                <w:lang w:val="ru-RU"/>
              </w:rPr>
              <w:t>и</w:t>
            </w:r>
            <w:r w:rsidRPr="003A588C">
              <w:rPr>
                <w:rFonts w:cs="Arial"/>
                <w:b/>
                <w:sz w:val="18"/>
                <w:szCs w:val="18"/>
                <w:lang w:val="ru-RU"/>
              </w:rPr>
              <w:t xml:space="preserve"> результативности</w:t>
            </w:r>
          </w:p>
        </w:tc>
        <w:tc>
          <w:tcPr>
            <w:tcW w:w="765" w:type="pct"/>
            <w:tcBorders>
              <w:top w:val="single" w:sz="4" w:space="0" w:color="auto"/>
              <w:bottom w:val="single" w:sz="4" w:space="0" w:color="auto"/>
            </w:tcBorders>
            <w:shd w:val="clear" w:color="auto" w:fill="B8CCE4" w:themeFill="accent1" w:themeFillTint="66"/>
            <w:tcMar>
              <w:top w:w="113" w:type="dxa"/>
              <w:bottom w:w="113" w:type="dxa"/>
            </w:tcMar>
            <w:vAlign w:val="center"/>
          </w:tcPr>
          <w:p w:rsidR="002D647F" w:rsidRPr="007B07A4" w:rsidRDefault="002D647F" w:rsidP="002D647F">
            <w:pPr>
              <w:spacing w:after="120"/>
              <w:ind w:left="85"/>
              <w:jc w:val="center"/>
              <w:rPr>
                <w:rFonts w:cs="Arial"/>
                <w:sz w:val="18"/>
                <w:szCs w:val="18"/>
              </w:rPr>
            </w:pPr>
            <w:r w:rsidRPr="003A588C">
              <w:rPr>
                <w:rFonts w:cs="Arial"/>
                <w:b/>
                <w:sz w:val="18"/>
                <w:szCs w:val="18"/>
                <w:lang w:val="ru-RU"/>
              </w:rPr>
              <w:t>Соответствующие программы</w:t>
            </w:r>
          </w:p>
        </w:tc>
        <w:tc>
          <w:tcPr>
            <w:tcW w:w="434" w:type="pct"/>
            <w:tcBorders>
              <w:top w:val="single" w:sz="4" w:space="0" w:color="auto"/>
              <w:bottom w:val="single" w:sz="4" w:space="0" w:color="auto"/>
            </w:tcBorders>
            <w:shd w:val="clear" w:color="auto" w:fill="B8CCE4" w:themeFill="accent1" w:themeFillTint="66"/>
            <w:vAlign w:val="center"/>
          </w:tcPr>
          <w:p w:rsidR="002D647F" w:rsidRPr="007B07A4" w:rsidRDefault="002D647F" w:rsidP="002D647F">
            <w:pPr>
              <w:spacing w:after="120"/>
              <w:ind w:left="85"/>
              <w:jc w:val="center"/>
              <w:rPr>
                <w:rFonts w:cs="Arial"/>
                <w:b/>
                <w:bCs/>
                <w:sz w:val="18"/>
                <w:szCs w:val="18"/>
              </w:rPr>
            </w:pPr>
            <w:r w:rsidRPr="003A588C">
              <w:rPr>
                <w:rFonts w:cs="Arial"/>
                <w:b/>
                <w:bCs/>
                <w:sz w:val="18"/>
                <w:szCs w:val="18"/>
                <w:lang w:val="ru-RU"/>
              </w:rPr>
              <w:t>СИГНАЛЬНАЯ СИСТЕМА</w:t>
            </w:r>
          </w:p>
        </w:tc>
      </w:tr>
      <w:tr w:rsidR="002D647F" w:rsidRPr="00AF5E7C" w:rsidTr="002D647F">
        <w:trPr>
          <w:cantSplit/>
          <w:trHeight w:val="360"/>
        </w:trPr>
        <w:tc>
          <w:tcPr>
            <w:tcW w:w="1581" w:type="pct"/>
            <w:vMerge w:val="restart"/>
            <w:tcBorders>
              <w:top w:val="single" w:sz="4" w:space="0" w:color="auto"/>
            </w:tcBorders>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I.1.  Активизация сотрудничества между государствами-членами по вопросам разработки международной нормативной базы для ИС и консенсус по конкретным темам, в отношении которых согласованы международные документы</w:t>
            </w:r>
          </w:p>
        </w:tc>
        <w:tc>
          <w:tcPr>
            <w:tcW w:w="2220" w:type="pct"/>
            <w:tcBorders>
              <w:top w:val="single" w:sz="4" w:space="0" w:color="auto"/>
            </w:tcBorders>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Прогресс в реализации согласованных в рамках ПКПП шагов/планов</w:t>
            </w:r>
          </w:p>
        </w:tc>
        <w:tc>
          <w:tcPr>
            <w:tcW w:w="765" w:type="pct"/>
            <w:tcBorders>
              <w:top w:val="single" w:sz="4" w:space="0" w:color="auto"/>
            </w:tcBorders>
            <w:shd w:val="clear" w:color="auto" w:fill="FFFFFF"/>
            <w:tcMar>
              <w:top w:w="113" w:type="dxa"/>
              <w:bottom w:w="113" w:type="dxa"/>
            </w:tcMar>
          </w:tcPr>
          <w:p w:rsidR="002D647F" w:rsidRPr="00AF5E7C" w:rsidRDefault="002D647F" w:rsidP="002D647F">
            <w:pPr>
              <w:jc w:val="center"/>
              <w:rPr>
                <w:rFonts w:cs="Arial"/>
                <w:sz w:val="16"/>
                <w:szCs w:val="16"/>
              </w:rPr>
            </w:pPr>
            <w:r w:rsidRPr="003A588C">
              <w:rPr>
                <w:rFonts w:cs="Arial"/>
                <w:sz w:val="16"/>
                <w:szCs w:val="16"/>
                <w:lang w:val="ru-RU"/>
              </w:rPr>
              <w:t>Программа 1</w:t>
            </w:r>
            <w:r>
              <w:rPr>
                <w:rFonts w:cs="Arial"/>
                <w:sz w:val="16"/>
                <w:szCs w:val="16"/>
                <w:lang w:val="ru-RU"/>
              </w:rPr>
              <w:t xml:space="preserve"> </w:t>
            </w:r>
          </w:p>
        </w:tc>
        <w:tc>
          <w:tcPr>
            <w:tcW w:w="434" w:type="pct"/>
            <w:tcBorders>
              <w:top w:val="single" w:sz="4" w:space="0" w:color="auto"/>
            </w:tcBorders>
            <w:shd w:val="clear" w:color="auto" w:fill="FFFFFF"/>
          </w:tcPr>
          <w:p w:rsidR="002D647F" w:rsidRPr="00CC3F44" w:rsidRDefault="002D647F" w:rsidP="002D647F">
            <w:pPr>
              <w:spacing w:before="40"/>
              <w:jc w:val="center"/>
              <w:rPr>
                <w:rFonts w:cs="Arial"/>
                <w:color w:val="008000"/>
                <w:sz w:val="22"/>
                <w:szCs w:val="22"/>
              </w:rPr>
            </w:pPr>
            <w:r w:rsidRPr="00CC3F44">
              <w:rPr>
                <w:rFonts w:cs="Arial"/>
                <w:color w:val="008000"/>
                <w:sz w:val="22"/>
                <w:szCs w:val="22"/>
              </w:rPr>
              <w:sym w:font="Wingdings" w:char="F06C"/>
            </w:r>
          </w:p>
        </w:tc>
      </w:tr>
      <w:tr w:rsidR="002D647F" w:rsidRPr="00AF5E7C" w:rsidTr="002D647F">
        <w:trPr>
          <w:cantSplit/>
          <w:trHeight w:val="360"/>
        </w:trPr>
        <w:tc>
          <w:tcPr>
            <w:tcW w:w="1581" w:type="pct"/>
            <w:vMerge/>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Доля (%) участников целевых практикумов/семинаров/конференций по конкретным темам, связанным с патентами, удовлетворенных их результатами</w:t>
            </w:r>
          </w:p>
        </w:tc>
        <w:tc>
          <w:tcPr>
            <w:tcW w:w="765" w:type="pct"/>
            <w:shd w:val="clear" w:color="auto" w:fill="FFFFFF"/>
            <w:tcMar>
              <w:top w:w="113" w:type="dxa"/>
              <w:bottom w:w="113" w:type="dxa"/>
            </w:tcMar>
          </w:tcPr>
          <w:p w:rsidR="002D647F" w:rsidRPr="00AF5E7C" w:rsidRDefault="002D647F" w:rsidP="002D647F">
            <w:pPr>
              <w:jc w:val="center"/>
              <w:rPr>
                <w:rFonts w:cs="Arial"/>
                <w:sz w:val="16"/>
                <w:szCs w:val="16"/>
                <w:lang w:bidi="th-TH"/>
              </w:rPr>
            </w:pPr>
            <w:r w:rsidRPr="003A588C">
              <w:rPr>
                <w:rFonts w:cs="Arial"/>
                <w:sz w:val="16"/>
                <w:szCs w:val="16"/>
                <w:lang w:val="ru-RU" w:bidi="th-TH"/>
              </w:rPr>
              <w:t xml:space="preserve">Программа 1 </w:t>
            </w:r>
          </w:p>
        </w:tc>
        <w:tc>
          <w:tcPr>
            <w:tcW w:w="434"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Согласование нормативной базы, регулующей процедуры регистрации и поддержания в силе промышленных образцов</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2 </w:t>
            </w:r>
          </w:p>
        </w:tc>
        <w:tc>
          <w:tcPr>
            <w:tcW w:w="434" w:type="pct"/>
            <w:shd w:val="clear" w:color="auto" w:fill="FFFFFF"/>
          </w:tcPr>
          <w:p w:rsidR="002D647F" w:rsidRPr="00CC3F44" w:rsidRDefault="002D647F" w:rsidP="002D647F">
            <w:pPr>
              <w:jc w:val="center"/>
            </w:pPr>
            <w:r w:rsidRPr="00CC3F44">
              <w:rPr>
                <w:bCs/>
                <w:color w:val="FF0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bidi="th-TH"/>
              </w:rPr>
            </w:pPr>
            <w:r w:rsidRPr="003A588C">
              <w:rPr>
                <w:rFonts w:cs="Arial"/>
                <w:sz w:val="16"/>
                <w:szCs w:val="16"/>
                <w:lang w:val="ru-RU" w:bidi="th-TH"/>
              </w:rPr>
              <w:t>Продвижение к соглашению по вопросам, стоящим в настоящее время в повестке дня ПКТЗ</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2 </w:t>
            </w:r>
          </w:p>
        </w:tc>
        <w:tc>
          <w:tcPr>
            <w:tcW w:w="434"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стран, ратифицировавших Сингапурский договор или присоединившихся к нему</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2 </w:t>
            </w:r>
          </w:p>
        </w:tc>
        <w:tc>
          <w:tcPr>
            <w:tcW w:w="434"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Прогресс в достижении соглашения по текущим вопросам повестки дня ПКАП</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3 </w:t>
            </w:r>
          </w:p>
        </w:tc>
        <w:tc>
          <w:tcPr>
            <w:tcW w:w="434" w:type="pct"/>
            <w:shd w:val="clear" w:color="auto" w:fill="FFFFFF"/>
          </w:tcPr>
          <w:p w:rsidR="002D647F" w:rsidRPr="00CC3F44" w:rsidRDefault="002D647F" w:rsidP="002D647F">
            <w:pPr>
              <w:jc w:val="center"/>
            </w:pPr>
            <w:r w:rsidRPr="00CC3F44">
              <w:rPr>
                <w:bCs/>
                <w:color w:val="FF0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Соглашение по итогам переговоров в рамках МКГР относительно международно-правового документа (документов) по ТЗ, ТВК и ГР</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4 </w:t>
            </w:r>
          </w:p>
        </w:tc>
        <w:tc>
          <w:tcPr>
            <w:tcW w:w="434" w:type="pct"/>
            <w:shd w:val="clear" w:color="auto" w:fill="FFFFFF"/>
          </w:tcPr>
          <w:p w:rsidR="002D647F" w:rsidRPr="00CC3F44" w:rsidRDefault="002D647F" w:rsidP="002D647F">
            <w:pPr>
              <w:jc w:val="center"/>
            </w:pPr>
            <w:r w:rsidRPr="00CC3F44">
              <w:rPr>
                <w:rFonts w:cs="Arial"/>
                <w:color w:val="FF0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I.2 Целевые и сбалансированные законодательные, регулятивные и политические рамочные положения ИС</w:t>
            </w: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и доля (%) государств-членов, которые сочли полезной предоставленную информацию в отношении правовых принципов и практики патентной системы, включая гибкие возможности, заложенные в эту систему, а также стоящие перед ней проблемы</w:t>
            </w:r>
          </w:p>
        </w:tc>
        <w:tc>
          <w:tcPr>
            <w:tcW w:w="765" w:type="pct"/>
            <w:shd w:val="clear" w:color="auto" w:fill="FFFFFF"/>
            <w:tcMar>
              <w:top w:w="113" w:type="dxa"/>
              <w:bottom w:w="113" w:type="dxa"/>
            </w:tcMar>
          </w:tcPr>
          <w:p w:rsidR="002D647F" w:rsidRPr="00AF5E7C" w:rsidRDefault="002D647F" w:rsidP="002D647F">
            <w:pPr>
              <w:jc w:val="center"/>
              <w:rPr>
                <w:rFonts w:cs="Arial"/>
                <w:sz w:val="16"/>
                <w:szCs w:val="16"/>
                <w:lang w:bidi="th-TH"/>
              </w:rPr>
            </w:pPr>
            <w:r w:rsidRPr="003A588C">
              <w:rPr>
                <w:rFonts w:cs="Arial"/>
                <w:sz w:val="16"/>
                <w:szCs w:val="16"/>
                <w:lang w:val="ru-RU" w:bidi="th-TH"/>
              </w:rPr>
              <w:t xml:space="preserve">Программа 1 </w:t>
            </w:r>
          </w:p>
        </w:tc>
        <w:tc>
          <w:tcPr>
            <w:tcW w:w="434"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AF5E7C" w:rsidTr="002D647F">
        <w:trPr>
          <w:cantSplit/>
          <w:trHeight w:val="360"/>
        </w:trPr>
        <w:tc>
          <w:tcPr>
            <w:tcW w:w="1581" w:type="pct"/>
            <w:vMerge w:val="restart"/>
            <w:shd w:val="clear" w:color="auto" w:fill="auto"/>
            <w:tcMar>
              <w:top w:w="113" w:type="dxa"/>
              <w:bottom w:w="113" w:type="dxa"/>
            </w:tcMar>
          </w:tcPr>
          <w:p w:rsidR="002D647F" w:rsidRPr="00735E14" w:rsidRDefault="002D647F" w:rsidP="002D647F">
            <w:pPr>
              <w:keepNext/>
              <w:rPr>
                <w:rFonts w:cs="Arial"/>
                <w:sz w:val="16"/>
                <w:szCs w:val="16"/>
                <w:lang w:val="ru-RU"/>
              </w:rPr>
            </w:pPr>
          </w:p>
        </w:tc>
        <w:tc>
          <w:tcPr>
            <w:tcW w:w="2220" w:type="pct"/>
            <w:vMerge w:val="restart"/>
            <w:shd w:val="clear" w:color="auto" w:fill="auto"/>
            <w:tcMar>
              <w:top w:w="113" w:type="dxa"/>
              <w:bottom w:w="113" w:type="dxa"/>
            </w:tcMar>
          </w:tcPr>
          <w:p w:rsidR="002D647F" w:rsidRPr="003A588C" w:rsidRDefault="002D647F" w:rsidP="002D647F">
            <w:pPr>
              <w:keepNext/>
              <w:rPr>
                <w:rFonts w:cs="Arial"/>
                <w:sz w:val="16"/>
                <w:szCs w:val="16"/>
                <w:lang w:val="ru-RU"/>
              </w:rPr>
            </w:pPr>
            <w:r w:rsidRPr="003A588C">
              <w:rPr>
                <w:rFonts w:cs="Arial"/>
                <w:sz w:val="16"/>
                <w:szCs w:val="16"/>
                <w:lang w:val="ru-RU"/>
              </w:rPr>
              <w:t>Число и процент государств-членов, удовлетворенных качеством юридических консультаций по вопросам, касающимся патентов, полезных моделей, коммерческой тайны и интегральных микросхем</w:t>
            </w:r>
          </w:p>
        </w:tc>
        <w:tc>
          <w:tcPr>
            <w:tcW w:w="765" w:type="pct"/>
            <w:shd w:val="clear" w:color="auto" w:fill="FFFFFF"/>
            <w:tcMar>
              <w:top w:w="113" w:type="dxa"/>
              <w:bottom w:w="113" w:type="dxa"/>
            </w:tcMar>
          </w:tcPr>
          <w:p w:rsidR="002D647F" w:rsidRPr="00AF5E7C" w:rsidRDefault="002D647F" w:rsidP="002D647F">
            <w:pPr>
              <w:keepNext/>
              <w:jc w:val="center"/>
              <w:rPr>
                <w:rFonts w:cs="Arial"/>
                <w:sz w:val="16"/>
                <w:szCs w:val="16"/>
                <w:lang w:bidi="th-TH"/>
              </w:rPr>
            </w:pPr>
            <w:r w:rsidRPr="003A588C">
              <w:rPr>
                <w:rFonts w:cs="Arial"/>
                <w:sz w:val="16"/>
                <w:szCs w:val="16"/>
                <w:lang w:val="ru-RU" w:bidi="th-TH"/>
              </w:rPr>
              <w:t xml:space="preserve">Программа 1 </w:t>
            </w:r>
          </w:p>
        </w:tc>
        <w:tc>
          <w:tcPr>
            <w:tcW w:w="434" w:type="pct"/>
            <w:shd w:val="clear" w:color="auto" w:fill="FFFFFF"/>
          </w:tcPr>
          <w:p w:rsidR="002D647F" w:rsidRPr="00CC3F44" w:rsidRDefault="002D647F" w:rsidP="002D647F">
            <w:pPr>
              <w:keepNext/>
              <w:spacing w:before="40"/>
              <w:jc w:val="center"/>
              <w:rPr>
                <w:rFonts w:cs="Arial"/>
                <w:color w:val="008000"/>
                <w:sz w:val="22"/>
                <w:szCs w:val="22"/>
              </w:rPr>
            </w:pPr>
            <w:r w:rsidRPr="00CC3F44">
              <w:rPr>
                <w:rFonts w:cs="Arial"/>
                <w:color w:val="008000"/>
                <w:sz w:val="22"/>
                <w:szCs w:val="22"/>
              </w:rPr>
              <w:sym w:font="Wingdings" w:char="F06C"/>
            </w:r>
          </w:p>
        </w:tc>
      </w:tr>
      <w:tr w:rsidR="002D647F" w:rsidRPr="00AF5E7C" w:rsidTr="002D647F">
        <w:trPr>
          <w:cantSplit/>
          <w:trHeight w:val="360"/>
        </w:trPr>
        <w:tc>
          <w:tcPr>
            <w:tcW w:w="1581" w:type="pct"/>
            <w:vMerge/>
            <w:shd w:val="clear" w:color="auto" w:fill="auto"/>
            <w:tcMar>
              <w:top w:w="113" w:type="dxa"/>
              <w:bottom w:w="113" w:type="dxa"/>
            </w:tcMar>
          </w:tcPr>
          <w:p w:rsidR="002D647F" w:rsidRPr="00AF5E7C" w:rsidRDefault="002D647F" w:rsidP="002D647F">
            <w:pPr>
              <w:rPr>
                <w:rFonts w:cs="Arial"/>
                <w:sz w:val="16"/>
                <w:szCs w:val="16"/>
              </w:rPr>
            </w:pPr>
          </w:p>
        </w:tc>
        <w:tc>
          <w:tcPr>
            <w:tcW w:w="2220" w:type="pct"/>
            <w:vMerge/>
            <w:shd w:val="clear" w:color="auto" w:fill="auto"/>
            <w:tcMar>
              <w:top w:w="113" w:type="dxa"/>
              <w:bottom w:w="113" w:type="dxa"/>
            </w:tcMar>
          </w:tcPr>
          <w:p w:rsidR="002D647F" w:rsidRPr="00A27611" w:rsidRDefault="002D647F" w:rsidP="002D647F">
            <w:pPr>
              <w:rPr>
                <w:rFonts w:cs="Arial"/>
                <w:sz w:val="16"/>
                <w:szCs w:val="16"/>
              </w:rPr>
            </w:pP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9 </w:t>
            </w:r>
          </w:p>
        </w:tc>
        <w:tc>
          <w:tcPr>
            <w:tcW w:w="434" w:type="pct"/>
            <w:shd w:val="clear" w:color="auto" w:fill="FFFFFF"/>
          </w:tcPr>
          <w:p w:rsidR="002D647F" w:rsidRPr="00CC3F44" w:rsidRDefault="002D647F" w:rsidP="002D647F">
            <w:pPr>
              <w:spacing w:before="40"/>
              <w:jc w:val="center"/>
              <w:rPr>
                <w:rFonts w:cs="Arial"/>
                <w:color w:val="008000"/>
                <w:sz w:val="22"/>
                <w:szCs w:val="22"/>
              </w:rPr>
            </w:pPr>
            <w:r w:rsidRPr="00CC3F44">
              <w:rPr>
                <w:rFonts w:cs="Arial"/>
                <w:color w:val="008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Прогресс в пересмотре Типового закона о патентах для развивающихся стран и НРС, при условии одобрения государствами-членами</w:t>
            </w:r>
          </w:p>
        </w:tc>
        <w:tc>
          <w:tcPr>
            <w:tcW w:w="765" w:type="pct"/>
            <w:shd w:val="clear" w:color="auto" w:fill="FFFFFF"/>
            <w:tcMar>
              <w:top w:w="113" w:type="dxa"/>
              <w:bottom w:w="113" w:type="dxa"/>
            </w:tcMar>
          </w:tcPr>
          <w:p w:rsidR="002D647F" w:rsidRPr="00AF5E7C" w:rsidRDefault="002D647F" w:rsidP="002D647F">
            <w:pPr>
              <w:jc w:val="center"/>
              <w:rPr>
                <w:rFonts w:cs="Arial"/>
                <w:sz w:val="16"/>
                <w:szCs w:val="16"/>
                <w:lang w:bidi="th-TH"/>
              </w:rPr>
            </w:pPr>
            <w:r w:rsidRPr="003A588C">
              <w:rPr>
                <w:rFonts w:cs="Arial"/>
                <w:sz w:val="16"/>
                <w:szCs w:val="16"/>
                <w:lang w:val="ru-RU" w:bidi="th-TH"/>
              </w:rPr>
              <w:t xml:space="preserve">Программа 1 </w:t>
            </w:r>
          </w:p>
        </w:tc>
        <w:tc>
          <w:tcPr>
            <w:tcW w:w="434" w:type="pct"/>
            <w:shd w:val="clear" w:color="auto" w:fill="FFFFFF"/>
          </w:tcPr>
          <w:p w:rsidR="002D647F" w:rsidRPr="00CC3F44" w:rsidRDefault="002D647F" w:rsidP="002D647F">
            <w:pPr>
              <w:jc w:val="center"/>
              <w:rPr>
                <w:sz w:val="22"/>
                <w:szCs w:val="22"/>
              </w:rPr>
            </w:pPr>
            <w:r w:rsidRPr="00CC3F44">
              <w:rPr>
                <w:bCs/>
                <w:color w:val="FF0000"/>
                <w:sz w:val="22"/>
                <w:szCs w:val="22"/>
              </w:rPr>
              <w:sym w:font="Wingdings" w:char="F06C"/>
            </w:r>
          </w:p>
        </w:tc>
      </w:tr>
      <w:tr w:rsidR="002D647F" w:rsidRPr="00AF5E7C" w:rsidTr="002D647F">
        <w:trPr>
          <w:cantSplit/>
          <w:trHeight w:val="360"/>
        </w:trPr>
        <w:tc>
          <w:tcPr>
            <w:tcW w:w="1581" w:type="pct"/>
            <w:vMerge w:val="restart"/>
            <w:shd w:val="clear" w:color="auto" w:fill="auto"/>
            <w:tcMar>
              <w:top w:w="113" w:type="dxa"/>
              <w:bottom w:w="113" w:type="dxa"/>
            </w:tcMar>
          </w:tcPr>
          <w:p w:rsidR="002D647F" w:rsidRPr="00AF5E7C" w:rsidRDefault="002D647F" w:rsidP="002D647F">
            <w:pPr>
              <w:rPr>
                <w:rFonts w:cs="Arial"/>
                <w:sz w:val="16"/>
                <w:szCs w:val="16"/>
              </w:rPr>
            </w:pPr>
          </w:p>
        </w:tc>
        <w:tc>
          <w:tcPr>
            <w:tcW w:w="2220" w:type="pct"/>
            <w:vMerge w:val="restar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и процент государств-членов/региональных организаций, давших положительные отзывы о предложенных консультациях по вопросам законодательства в области товарных знаков, промышленных образцов и географических указаний</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2 </w:t>
            </w:r>
          </w:p>
        </w:tc>
        <w:tc>
          <w:tcPr>
            <w:tcW w:w="434" w:type="pct"/>
            <w:shd w:val="clear" w:color="auto" w:fill="FFFFFF"/>
          </w:tcPr>
          <w:p w:rsidR="002D647F" w:rsidRPr="00CC3F44" w:rsidRDefault="002D647F" w:rsidP="002D647F">
            <w:pPr>
              <w:spacing w:before="40"/>
              <w:jc w:val="center"/>
              <w:rPr>
                <w:rFonts w:cs="Arial"/>
                <w:color w:val="008000"/>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p>
        </w:tc>
      </w:tr>
      <w:tr w:rsidR="002D647F" w:rsidRPr="00AF5E7C" w:rsidTr="002D647F">
        <w:trPr>
          <w:cantSplit/>
          <w:trHeight w:val="360"/>
        </w:trPr>
        <w:tc>
          <w:tcPr>
            <w:tcW w:w="1581" w:type="pct"/>
            <w:vMerge/>
            <w:shd w:val="clear" w:color="auto" w:fill="auto"/>
            <w:tcMar>
              <w:top w:w="113" w:type="dxa"/>
              <w:bottom w:w="113" w:type="dxa"/>
            </w:tcMar>
          </w:tcPr>
          <w:p w:rsidR="002D647F" w:rsidRPr="00AF5E7C" w:rsidRDefault="002D647F" w:rsidP="002D647F">
            <w:pPr>
              <w:rPr>
                <w:rFonts w:cs="Arial"/>
                <w:sz w:val="16"/>
                <w:szCs w:val="16"/>
              </w:rPr>
            </w:pPr>
          </w:p>
        </w:tc>
        <w:tc>
          <w:tcPr>
            <w:tcW w:w="2220" w:type="pct"/>
            <w:vMerge/>
            <w:shd w:val="clear" w:color="auto" w:fill="auto"/>
            <w:tcMar>
              <w:top w:w="113" w:type="dxa"/>
              <w:bottom w:w="113" w:type="dxa"/>
            </w:tcMar>
          </w:tcPr>
          <w:p w:rsidR="002D647F" w:rsidRPr="007E3F60" w:rsidRDefault="002D647F" w:rsidP="002D647F">
            <w:pPr>
              <w:rPr>
                <w:rFonts w:cs="Arial"/>
                <w:sz w:val="16"/>
                <w:szCs w:val="16"/>
              </w:rPr>
            </w:pP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9 </w:t>
            </w:r>
          </w:p>
        </w:tc>
        <w:tc>
          <w:tcPr>
            <w:tcW w:w="434" w:type="pct"/>
            <w:shd w:val="clear" w:color="auto" w:fill="FFFFFF"/>
          </w:tcPr>
          <w:p w:rsidR="002D647F" w:rsidRPr="00CC3F44" w:rsidRDefault="002D647F" w:rsidP="002D647F">
            <w:pPr>
              <w:spacing w:before="40"/>
              <w:jc w:val="center"/>
              <w:rPr>
                <w:rFonts w:cs="Arial"/>
                <w:color w:val="008000"/>
                <w:sz w:val="22"/>
                <w:szCs w:val="22"/>
              </w:rPr>
            </w:pPr>
            <w:r w:rsidRPr="00CC3F44">
              <w:rPr>
                <w:rFonts w:cs="Arial"/>
                <w:color w:val="008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стран, ратифицировавших Пекинский договор</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3 </w:t>
            </w:r>
          </w:p>
          <w:p w:rsidR="002D647F" w:rsidRPr="003A588C" w:rsidRDefault="002D647F" w:rsidP="002D647F">
            <w:pPr>
              <w:jc w:val="center"/>
              <w:rPr>
                <w:rFonts w:cs="Arial"/>
                <w:sz w:val="16"/>
                <w:szCs w:val="16"/>
                <w:lang w:val="ru-RU" w:bidi="th-TH"/>
              </w:rPr>
            </w:pPr>
          </w:p>
        </w:tc>
        <w:tc>
          <w:tcPr>
            <w:tcW w:w="434" w:type="pct"/>
            <w:shd w:val="clear" w:color="auto" w:fill="FFFFFF"/>
          </w:tcPr>
          <w:p w:rsidR="002D647F" w:rsidRPr="00CC3F44" w:rsidRDefault="002D647F" w:rsidP="002D647F">
            <w:pPr>
              <w:jc w:val="center"/>
              <w:rPr>
                <w:color w:val="E26B0A"/>
              </w:rPr>
            </w:pPr>
            <w:r w:rsidRPr="00CC3F44">
              <w:rPr>
                <w:bCs/>
                <w:color w:val="FF0000"/>
                <w:sz w:val="22"/>
                <w:szCs w:val="22"/>
              </w:rPr>
              <w:sym w:font="Wingdings" w:char="F06C"/>
            </w:r>
          </w:p>
        </w:tc>
      </w:tr>
      <w:tr w:rsidR="002D647F" w:rsidRPr="00AF5E7C" w:rsidTr="002D647F">
        <w:trPr>
          <w:cantSplit/>
          <w:trHeight w:val="360"/>
        </w:trPr>
        <w:tc>
          <w:tcPr>
            <w:tcW w:w="1581" w:type="pct"/>
            <w:vMerge w:val="restart"/>
            <w:shd w:val="clear" w:color="auto" w:fill="auto"/>
            <w:tcMar>
              <w:top w:w="113" w:type="dxa"/>
              <w:bottom w:w="113" w:type="dxa"/>
            </w:tcMar>
          </w:tcPr>
          <w:p w:rsidR="002D647F" w:rsidRPr="00AF5E7C" w:rsidRDefault="002D647F" w:rsidP="002D647F">
            <w:pPr>
              <w:rPr>
                <w:rFonts w:cs="Arial"/>
                <w:sz w:val="16"/>
                <w:szCs w:val="16"/>
              </w:rPr>
            </w:pPr>
          </w:p>
        </w:tc>
        <w:tc>
          <w:tcPr>
            <w:tcW w:w="2220" w:type="pct"/>
            <w:vMerge w:val="restar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и доля (%) стран, представивших положительные отзывы о законодательных рекомендациях ВОИС</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3 </w:t>
            </w:r>
          </w:p>
        </w:tc>
        <w:tc>
          <w:tcPr>
            <w:tcW w:w="434" w:type="pct"/>
            <w:shd w:val="clear" w:color="auto" w:fill="FFFFFF"/>
          </w:tcPr>
          <w:p w:rsidR="002D647F" w:rsidRPr="00CC3F44" w:rsidRDefault="002D647F" w:rsidP="002D647F">
            <w:pPr>
              <w:spacing w:before="40"/>
              <w:jc w:val="center"/>
              <w:rPr>
                <w:rFonts w:cs="Arial"/>
                <w:color w:val="008000"/>
                <w:sz w:val="22"/>
                <w:szCs w:val="22"/>
              </w:rPr>
            </w:pPr>
            <w:r w:rsidRPr="00CC3F44">
              <w:rPr>
                <w:rFonts w:cs="Arial"/>
                <w:color w:val="008000"/>
                <w:sz w:val="22"/>
                <w:szCs w:val="22"/>
              </w:rPr>
              <w:sym w:font="Wingdings" w:char="F06C"/>
            </w:r>
          </w:p>
        </w:tc>
      </w:tr>
      <w:tr w:rsidR="002D647F" w:rsidRPr="00AF5E7C" w:rsidTr="002D647F">
        <w:trPr>
          <w:cantSplit/>
          <w:trHeight w:val="360"/>
        </w:trPr>
        <w:tc>
          <w:tcPr>
            <w:tcW w:w="1581" w:type="pct"/>
            <w:vMerge/>
            <w:shd w:val="clear" w:color="auto" w:fill="auto"/>
            <w:tcMar>
              <w:top w:w="113" w:type="dxa"/>
              <w:bottom w:w="113" w:type="dxa"/>
            </w:tcMar>
          </w:tcPr>
          <w:p w:rsidR="002D647F" w:rsidRPr="00AF5E7C" w:rsidRDefault="002D647F" w:rsidP="002D647F">
            <w:pPr>
              <w:rPr>
                <w:rFonts w:cs="Arial"/>
                <w:sz w:val="16"/>
                <w:szCs w:val="16"/>
              </w:rPr>
            </w:pPr>
          </w:p>
        </w:tc>
        <w:tc>
          <w:tcPr>
            <w:tcW w:w="2220" w:type="pct"/>
            <w:vMerge/>
            <w:shd w:val="clear" w:color="auto" w:fill="auto"/>
            <w:tcMar>
              <w:top w:w="113" w:type="dxa"/>
              <w:bottom w:w="113" w:type="dxa"/>
            </w:tcMar>
          </w:tcPr>
          <w:p w:rsidR="002D647F" w:rsidRPr="001C4104" w:rsidRDefault="002D647F" w:rsidP="002D647F">
            <w:pPr>
              <w:jc w:val="center"/>
              <w:rPr>
                <w:rFonts w:cs="Arial"/>
                <w:sz w:val="16"/>
                <w:szCs w:val="16"/>
              </w:rPr>
            </w:pP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9 </w:t>
            </w:r>
          </w:p>
        </w:tc>
        <w:tc>
          <w:tcPr>
            <w:tcW w:w="434" w:type="pct"/>
            <w:shd w:val="clear" w:color="auto" w:fill="FFFFFF"/>
          </w:tcPr>
          <w:p w:rsidR="002D647F" w:rsidRPr="00CC3F44" w:rsidRDefault="002D647F" w:rsidP="002D647F">
            <w:pPr>
              <w:spacing w:before="40"/>
              <w:jc w:val="center"/>
              <w:rPr>
                <w:rFonts w:cs="Arial"/>
                <w:color w:val="008000"/>
                <w:sz w:val="22"/>
                <w:szCs w:val="22"/>
              </w:rPr>
            </w:pPr>
            <w:r w:rsidRPr="00CC3F44">
              <w:rPr>
                <w:rFonts w:cs="Arial"/>
                <w:color w:val="008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ратификаций договоров ВОИС в области Интернета</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3 </w:t>
            </w:r>
          </w:p>
          <w:p w:rsidR="002D647F" w:rsidRPr="003A588C" w:rsidRDefault="002D647F" w:rsidP="002D647F">
            <w:pPr>
              <w:jc w:val="center"/>
              <w:rPr>
                <w:rFonts w:cs="Arial"/>
                <w:sz w:val="16"/>
                <w:szCs w:val="16"/>
                <w:lang w:val="ru-RU" w:bidi="th-TH"/>
              </w:rPr>
            </w:pPr>
          </w:p>
        </w:tc>
        <w:tc>
          <w:tcPr>
            <w:tcW w:w="434"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стран, ратифицировавших Марракешский договор о ЛНЗ</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3 </w:t>
            </w:r>
          </w:p>
          <w:p w:rsidR="002D647F" w:rsidRPr="003A588C" w:rsidRDefault="002D647F" w:rsidP="002D647F">
            <w:pPr>
              <w:jc w:val="center"/>
              <w:rPr>
                <w:rFonts w:cs="Arial"/>
                <w:sz w:val="16"/>
                <w:szCs w:val="16"/>
                <w:lang w:val="ru-RU" w:bidi="th-TH"/>
              </w:rPr>
            </w:pPr>
          </w:p>
        </w:tc>
        <w:tc>
          <w:tcPr>
            <w:tcW w:w="434" w:type="pct"/>
            <w:shd w:val="clear" w:color="auto" w:fill="FFFFFF"/>
          </w:tcPr>
          <w:p w:rsidR="002D647F" w:rsidRPr="00001FF8" w:rsidRDefault="002D647F" w:rsidP="002D647F">
            <w:pPr>
              <w:jc w:val="center"/>
              <w:rPr>
                <w:color w:val="E26B0A"/>
              </w:rPr>
            </w:pPr>
            <w:r w:rsidRPr="00001FF8">
              <w:rPr>
                <w:rFonts w:cs="Arial"/>
                <w:color w:val="E26B0A"/>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стран с обновленными законами и/или постановлениями</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10 </w:t>
            </w:r>
          </w:p>
        </w:tc>
        <w:tc>
          <w:tcPr>
            <w:tcW w:w="434"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AF5E7C" w:rsidRDefault="002D647F" w:rsidP="002D647F">
            <w:pPr>
              <w:rPr>
                <w:rFonts w:cs="Arial"/>
                <w:sz w:val="16"/>
                <w:szCs w:val="16"/>
              </w:rPr>
            </w:pP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стран, которые получили помощь ВОИС и приняли соответствующие положения или внесли в них изменения (или находятся в процессе принятия этих положений и внесения в них изменений)</w:t>
            </w:r>
          </w:p>
        </w:tc>
        <w:tc>
          <w:tcPr>
            <w:tcW w:w="765" w:type="pct"/>
            <w:shd w:val="clear" w:color="auto" w:fill="FFFFFF"/>
            <w:tcMar>
              <w:top w:w="113" w:type="dxa"/>
              <w:bottom w:w="113" w:type="dxa"/>
            </w:tcMar>
          </w:tcPr>
          <w:p w:rsidR="002D647F" w:rsidRPr="00AF5E7C" w:rsidRDefault="002D647F" w:rsidP="002D647F">
            <w:pPr>
              <w:jc w:val="center"/>
              <w:rPr>
                <w:rFonts w:cs="Arial"/>
                <w:sz w:val="16"/>
                <w:szCs w:val="16"/>
                <w:lang w:bidi="th-TH"/>
              </w:rPr>
            </w:pPr>
            <w:r w:rsidRPr="003A588C">
              <w:rPr>
                <w:rFonts w:cs="Arial"/>
                <w:sz w:val="16"/>
                <w:szCs w:val="16"/>
                <w:lang w:val="ru-RU" w:bidi="th-TH"/>
              </w:rPr>
              <w:t xml:space="preserve">Программа 17 </w:t>
            </w:r>
          </w:p>
        </w:tc>
        <w:tc>
          <w:tcPr>
            <w:tcW w:w="434"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AF5E7C" w:rsidTr="002D647F">
        <w:trPr>
          <w:cantSplit/>
          <w:trHeight w:val="360"/>
        </w:trPr>
        <w:tc>
          <w:tcPr>
            <w:tcW w:w="1581"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I.3.  Усиление охраны государственных гербов и названий и эмблем международных межправительственных организаций</w:t>
            </w:r>
          </w:p>
        </w:tc>
        <w:tc>
          <w:tcPr>
            <w:tcW w:w="2220"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рассмотренных просьб о сообщении в соответствии со статьей 6</w:t>
            </w:r>
            <w:r w:rsidRPr="003A588C">
              <w:rPr>
                <w:rFonts w:cs="Arial"/>
                <w:i/>
                <w:sz w:val="16"/>
                <w:szCs w:val="16"/>
                <w:lang w:val="ru-RU"/>
              </w:rPr>
              <w:t>ter</w:t>
            </w:r>
          </w:p>
        </w:tc>
        <w:tc>
          <w:tcPr>
            <w:tcW w:w="765" w:type="pct"/>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2 </w:t>
            </w:r>
          </w:p>
        </w:tc>
        <w:tc>
          <w:tcPr>
            <w:tcW w:w="434" w:type="pct"/>
            <w:shd w:val="clear" w:color="auto" w:fill="FFFFFF"/>
          </w:tcPr>
          <w:p w:rsidR="002D647F" w:rsidRPr="00001FF8" w:rsidRDefault="002D647F" w:rsidP="002D647F">
            <w:pPr>
              <w:jc w:val="center"/>
              <w:rPr>
                <w:color w:val="E26B0A"/>
              </w:rPr>
            </w:pPr>
            <w:r w:rsidRPr="00001FF8">
              <w:rPr>
                <w:rFonts w:cs="Arial"/>
                <w:color w:val="E26B0A"/>
                <w:sz w:val="22"/>
                <w:szCs w:val="22"/>
              </w:rPr>
              <w:sym w:font="Wingdings" w:char="F06C"/>
            </w:r>
          </w:p>
        </w:tc>
      </w:tr>
      <w:tr w:rsidR="002D647F" w:rsidRPr="00AF5E7C" w:rsidTr="002D647F">
        <w:trPr>
          <w:cantSplit/>
          <w:trHeight w:val="360"/>
        </w:trPr>
        <w:tc>
          <w:tcPr>
            <w:tcW w:w="1581" w:type="pct"/>
            <w:tcBorders>
              <w:bottom w:val="single" w:sz="4" w:space="0" w:color="auto"/>
            </w:tcBorders>
            <w:shd w:val="clear" w:color="auto" w:fill="auto"/>
            <w:tcMar>
              <w:top w:w="113" w:type="dxa"/>
              <w:bottom w:w="113" w:type="dxa"/>
            </w:tcMar>
          </w:tcPr>
          <w:p w:rsidR="002D647F" w:rsidRPr="00AF5E7C" w:rsidRDefault="002D647F" w:rsidP="002D647F">
            <w:pPr>
              <w:rPr>
                <w:rFonts w:cs="Arial"/>
                <w:sz w:val="16"/>
                <w:szCs w:val="16"/>
              </w:rPr>
            </w:pPr>
          </w:p>
        </w:tc>
        <w:tc>
          <w:tcPr>
            <w:tcW w:w="2220" w:type="pct"/>
            <w:tcBorders>
              <w:bottom w:val="single" w:sz="4" w:space="0" w:color="auto"/>
            </w:tcBorders>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знаков, внесенных в базу данных, ведущуюся в порядке выполнения статьи 6</w:t>
            </w:r>
            <w:r w:rsidRPr="003A588C">
              <w:rPr>
                <w:rFonts w:cs="Arial"/>
                <w:i/>
                <w:sz w:val="16"/>
                <w:szCs w:val="16"/>
                <w:lang w:val="ru-RU"/>
              </w:rPr>
              <w:t>ter</w:t>
            </w:r>
          </w:p>
        </w:tc>
        <w:tc>
          <w:tcPr>
            <w:tcW w:w="765" w:type="pct"/>
            <w:tcBorders>
              <w:bottom w:val="single" w:sz="4" w:space="0" w:color="auto"/>
            </w:tcBorders>
            <w:shd w:val="clear" w:color="auto" w:fill="FFFFFF"/>
            <w:tcMar>
              <w:top w:w="113" w:type="dxa"/>
              <w:bottom w:w="113" w:type="dxa"/>
            </w:tcMar>
          </w:tcPr>
          <w:p w:rsidR="002D647F" w:rsidRPr="003A588C" w:rsidRDefault="002D647F" w:rsidP="002D647F">
            <w:pPr>
              <w:jc w:val="center"/>
              <w:rPr>
                <w:rFonts w:cs="Arial"/>
                <w:sz w:val="16"/>
                <w:szCs w:val="16"/>
                <w:lang w:val="ru-RU" w:bidi="th-TH"/>
              </w:rPr>
            </w:pPr>
            <w:r w:rsidRPr="003A588C">
              <w:rPr>
                <w:rFonts w:cs="Arial"/>
                <w:sz w:val="16"/>
                <w:szCs w:val="16"/>
                <w:lang w:val="ru-RU" w:bidi="th-TH"/>
              </w:rPr>
              <w:t xml:space="preserve">Программа 2 </w:t>
            </w:r>
          </w:p>
        </w:tc>
        <w:tc>
          <w:tcPr>
            <w:tcW w:w="434" w:type="pct"/>
            <w:tcBorders>
              <w:bottom w:val="single" w:sz="4" w:space="0" w:color="auto"/>
            </w:tcBorders>
            <w:shd w:val="clear" w:color="auto" w:fill="FFFFFF"/>
          </w:tcPr>
          <w:p w:rsidR="002D647F" w:rsidRPr="00CC3F44" w:rsidRDefault="002D647F" w:rsidP="002D647F">
            <w:pPr>
              <w:jc w:val="center"/>
            </w:pPr>
            <w:r w:rsidRPr="00CC3F44">
              <w:rPr>
                <w:rFonts w:cs="Arial"/>
                <w:color w:val="008000"/>
                <w:sz w:val="22"/>
                <w:szCs w:val="22"/>
              </w:rPr>
              <w:sym w:font="Wingdings" w:char="F06C"/>
            </w:r>
          </w:p>
        </w:tc>
      </w:tr>
    </w:tbl>
    <w:p w:rsidR="002D647F" w:rsidRDefault="002D647F" w:rsidP="002D647F">
      <w:pPr>
        <w:jc w:val="both"/>
      </w:pPr>
    </w:p>
    <w:p w:rsidR="005B2B98" w:rsidRDefault="005B2B98" w:rsidP="005B2B98"/>
    <w:p w:rsidR="005B2B98" w:rsidRDefault="005B2B98" w:rsidP="005B2B98"/>
    <w:p w:rsidR="005B2B98" w:rsidRDefault="005B2B98"/>
    <w:p w:rsidR="005B2B98" w:rsidRDefault="005B2B98"/>
    <w:p w:rsidR="003C6933" w:rsidRDefault="003C6933">
      <w:r>
        <w:br w:type="page"/>
      </w:r>
    </w:p>
    <w:p w:rsidR="00A336D0" w:rsidRPr="00A336D0" w:rsidRDefault="00A336D0" w:rsidP="00A336D0">
      <w:pPr>
        <w:pStyle w:val="Heading2"/>
        <w:tabs>
          <w:tab w:val="clear" w:pos="567"/>
          <w:tab w:val="left" w:pos="1985"/>
        </w:tabs>
        <w:ind w:left="1985" w:hanging="1985"/>
        <w:rPr>
          <w:lang w:val="ru-RU"/>
        </w:rPr>
      </w:pPr>
      <w:bookmarkStart w:id="53" w:name="_Toc422210477"/>
      <w:bookmarkStart w:id="54" w:name="_Toc455388101"/>
      <w:r w:rsidRPr="00A336D0">
        <w:rPr>
          <w:lang w:val="ru-RU"/>
        </w:rPr>
        <w:t>ПРОГРАММА 1</w:t>
      </w:r>
      <w:r w:rsidRPr="00A336D0">
        <w:rPr>
          <w:lang w:val="ru-RU"/>
        </w:rPr>
        <w:tab/>
        <w:t>ПАТЕНТНОЕ ПРАВО</w:t>
      </w:r>
      <w:bookmarkEnd w:id="53"/>
      <w:bookmarkEnd w:id="54"/>
    </w:p>
    <w:p w:rsidR="00A336D0" w:rsidRPr="00A336D0" w:rsidRDefault="00A336D0" w:rsidP="00A336D0">
      <w:pPr>
        <w:rPr>
          <w:szCs w:val="20"/>
          <w:lang w:val="ru-RU"/>
        </w:rPr>
      </w:pPr>
    </w:p>
    <w:p w:rsidR="00A336D0" w:rsidRPr="00D8021C" w:rsidRDefault="00A336D0" w:rsidP="00A336D0">
      <w:pPr>
        <w:tabs>
          <w:tab w:val="left" w:pos="1985"/>
        </w:tabs>
        <w:rPr>
          <w:b/>
          <w:szCs w:val="22"/>
          <w:lang w:val="ru-RU"/>
        </w:rPr>
      </w:pPr>
      <w:r w:rsidRPr="00A336D0">
        <w:rPr>
          <w:b/>
          <w:lang w:val="ru-RU"/>
        </w:rPr>
        <w:t>Руководитель программы:</w:t>
      </w:r>
      <w:r w:rsidRPr="00A336D0">
        <w:rPr>
          <w:lang w:val="ru-RU"/>
        </w:rPr>
        <w:t xml:space="preserve"> </w:t>
      </w:r>
      <w:r w:rsidRPr="00A336D0">
        <w:rPr>
          <w:lang w:val="ru-RU"/>
        </w:rPr>
        <w:tab/>
      </w:r>
      <w:r w:rsidRPr="00A336D0">
        <w:rPr>
          <w:b/>
          <w:lang w:val="ru-RU"/>
        </w:rPr>
        <w:t xml:space="preserve">г-н Дж. </w:t>
      </w:r>
      <w:r w:rsidRPr="00D8021C">
        <w:rPr>
          <w:b/>
          <w:lang w:val="ru-RU"/>
        </w:rPr>
        <w:t>Сэндедж</w:t>
      </w:r>
    </w:p>
    <w:p w:rsidR="00A336D0" w:rsidRPr="00D8021C" w:rsidRDefault="00A336D0" w:rsidP="00A336D0">
      <w:pPr>
        <w:rPr>
          <w:lang w:val="ru-RU"/>
        </w:rPr>
      </w:pPr>
    </w:p>
    <w:p w:rsidR="00A336D0" w:rsidRPr="00D8021C" w:rsidRDefault="00A336D0" w:rsidP="00A336D0">
      <w:pPr>
        <w:rPr>
          <w:szCs w:val="20"/>
          <w:lang w:val="ru-RU"/>
        </w:rPr>
      </w:pPr>
    </w:p>
    <w:p w:rsidR="00A336D0" w:rsidRPr="00A336D0" w:rsidRDefault="00A336D0" w:rsidP="00A336D0">
      <w:pPr>
        <w:rPr>
          <w:bCs/>
          <w:sz w:val="22"/>
          <w:szCs w:val="22"/>
          <w:lang w:val="ru-RU"/>
        </w:rPr>
      </w:pPr>
      <w:r w:rsidRPr="00A336D0">
        <w:rPr>
          <w:sz w:val="22"/>
          <w:lang w:val="ru-RU"/>
        </w:rPr>
        <w:t>ОБЗОР ДОСТИЖЕНИЙ ЗА ДВУХЛЕТНИЙ ПЕРИОД 2014–2015 ГГ.</w:t>
      </w:r>
    </w:p>
    <w:p w:rsidR="00A336D0" w:rsidRPr="00A336D0" w:rsidRDefault="00A336D0" w:rsidP="00A336D0">
      <w:pPr>
        <w:rPr>
          <w:bCs/>
          <w:sz w:val="22"/>
          <w:szCs w:val="22"/>
          <w:lang w:val="ru-RU"/>
        </w:rPr>
      </w:pPr>
    </w:p>
    <w:p w:rsidR="00A336D0" w:rsidRPr="00A336D0" w:rsidRDefault="00A336D0" w:rsidP="00A336D0">
      <w:pPr>
        <w:pStyle w:val="ListParagraph"/>
        <w:numPr>
          <w:ilvl w:val="0"/>
          <w:numId w:val="10"/>
        </w:numPr>
        <w:tabs>
          <w:tab w:val="left" w:pos="0"/>
          <w:tab w:val="left" w:pos="720"/>
        </w:tabs>
        <w:ind w:left="0" w:firstLine="0"/>
        <w:jc w:val="both"/>
        <w:rPr>
          <w:color w:val="000000"/>
          <w:lang w:val="ru-RU"/>
        </w:rPr>
      </w:pPr>
      <w:r w:rsidRPr="00A336D0">
        <w:rPr>
          <w:color w:val="000000"/>
          <w:lang w:val="ru-RU"/>
        </w:rPr>
        <w:t>В рамках активизации сотрудничества между государствами-членами, направленного на дальнейшее развитие сбалансированной политики и нормативных систем, обеспечивающих функционирование международной патентной системы, в январе и ноябре 2014</w:t>
      </w:r>
      <w:r>
        <w:rPr>
          <w:color w:val="000000"/>
        </w:rPr>
        <w:t> </w:t>
      </w:r>
      <w:r w:rsidRPr="00A336D0">
        <w:rPr>
          <w:color w:val="000000"/>
          <w:lang w:val="ru-RU"/>
        </w:rPr>
        <w:t>г., а также в июле и декабре 2015</w:t>
      </w:r>
      <w:r>
        <w:rPr>
          <w:color w:val="000000"/>
        </w:rPr>
        <w:t> </w:t>
      </w:r>
      <w:r w:rsidRPr="00A336D0">
        <w:rPr>
          <w:color w:val="000000"/>
          <w:lang w:val="ru-RU"/>
        </w:rPr>
        <w:t>г. были проведены, соответственно, двадцатая, двадцать первая, двадцать вторая и двадцать третья сессии Постоянного комитета по патентному праву (ПКПП).  ПКПП продолжил рассмотрение пяти пунктов своей повестки дня, а именно: (</w:t>
      </w:r>
      <w:r>
        <w:rPr>
          <w:color w:val="000000"/>
        </w:rPr>
        <w:t>i</w:t>
      </w:r>
      <w:r w:rsidRPr="00A336D0">
        <w:rPr>
          <w:color w:val="000000"/>
          <w:lang w:val="ru-RU"/>
        </w:rPr>
        <w:t>) ограничения и исключения из патентных прав; (</w:t>
      </w:r>
      <w:r>
        <w:rPr>
          <w:color w:val="000000"/>
        </w:rPr>
        <w:t>ii</w:t>
      </w:r>
      <w:r w:rsidRPr="00A336D0">
        <w:rPr>
          <w:color w:val="000000"/>
          <w:lang w:val="ru-RU"/>
        </w:rPr>
        <w:t>) качество патентов, включая системы возражения; (</w:t>
      </w:r>
      <w:r>
        <w:rPr>
          <w:color w:val="000000"/>
        </w:rPr>
        <w:t>iii</w:t>
      </w:r>
      <w:r w:rsidRPr="00A336D0">
        <w:rPr>
          <w:color w:val="000000"/>
          <w:lang w:val="ru-RU"/>
        </w:rPr>
        <w:t>) патенты и здравоохранение; (</w:t>
      </w:r>
      <w:r>
        <w:rPr>
          <w:color w:val="000000"/>
        </w:rPr>
        <w:t>iv</w:t>
      </w:r>
      <w:r w:rsidRPr="00A336D0">
        <w:rPr>
          <w:color w:val="000000"/>
          <w:lang w:val="ru-RU"/>
        </w:rPr>
        <w:t>) обеспечение конфиденциальности обмена информацией между клиентом и патентным поверенным; и (</w:t>
      </w:r>
      <w:r>
        <w:rPr>
          <w:color w:val="000000"/>
        </w:rPr>
        <w:t>v</w:t>
      </w:r>
      <w:r w:rsidRPr="00A336D0">
        <w:rPr>
          <w:color w:val="000000"/>
          <w:lang w:val="ru-RU"/>
        </w:rPr>
        <w:t>) передача технологий.</w:t>
      </w:r>
    </w:p>
    <w:p w:rsidR="00A336D0" w:rsidRPr="00A336D0" w:rsidRDefault="00A336D0" w:rsidP="00A336D0">
      <w:pPr>
        <w:autoSpaceDE w:val="0"/>
        <w:autoSpaceDN w:val="0"/>
        <w:jc w:val="both"/>
        <w:rPr>
          <w:color w:val="000000"/>
          <w:szCs w:val="20"/>
          <w:lang w:val="ru-RU"/>
        </w:rPr>
      </w:pPr>
    </w:p>
    <w:p w:rsidR="00A336D0" w:rsidRPr="00A336D0" w:rsidRDefault="00A336D0" w:rsidP="00A336D0">
      <w:pPr>
        <w:pStyle w:val="ListParagraph"/>
        <w:numPr>
          <w:ilvl w:val="0"/>
          <w:numId w:val="10"/>
        </w:numPr>
        <w:tabs>
          <w:tab w:val="left" w:pos="0"/>
          <w:tab w:val="left" w:pos="720"/>
        </w:tabs>
        <w:ind w:left="0" w:firstLine="0"/>
        <w:jc w:val="both"/>
        <w:rPr>
          <w:color w:val="000000"/>
          <w:lang w:val="ru-RU"/>
        </w:rPr>
      </w:pPr>
      <w:r w:rsidRPr="00A336D0">
        <w:rPr>
          <w:color w:val="000000"/>
          <w:lang w:val="ru-RU"/>
        </w:rPr>
        <w:t>Изучение выводов обширных исследований позволило Комитету провести комплексный анализ текущего состояния патентной системы с учетом потребностей и интересов государств-членов и заинтересованных сторон.  Применение поэтапного подхода позволило расширить единую базу обсуждения рассматриваемых вопросов.  Кроме того, успеху обсуждения вопросов, представляющих общий интерес, в рамках ПКПП способствовало применение Комитетом различных методов работы, включая подготовку справочно-аналитических исследований, проведение семинаров, осуществление обмена информацией по вопросам применения патентного права на национальном уровне и национальным опытом в данной области, а также информацией о трудностях, с которыми сталкиваются страны в ходе этой работы.  В двухлетний период 2014–2015</w:t>
      </w:r>
      <w:r>
        <w:rPr>
          <w:color w:val="000000"/>
        </w:rPr>
        <w:t> </w:t>
      </w:r>
      <w:r w:rsidRPr="00A336D0">
        <w:rPr>
          <w:color w:val="000000"/>
          <w:lang w:val="ru-RU"/>
        </w:rPr>
        <w:t>гг. государства-члены внесли целый ряд предложений по указанным вопросам, продемонстрировав свое стремление придерживаться утвержденных процедур ПКПП.</w:t>
      </w:r>
    </w:p>
    <w:p w:rsidR="00A336D0" w:rsidRPr="00A336D0" w:rsidRDefault="00A336D0" w:rsidP="00A336D0">
      <w:pPr>
        <w:pStyle w:val="ListParagraph"/>
        <w:tabs>
          <w:tab w:val="left" w:pos="0"/>
          <w:tab w:val="left" w:pos="720"/>
        </w:tabs>
        <w:ind w:left="0"/>
        <w:jc w:val="both"/>
        <w:rPr>
          <w:color w:val="000000"/>
          <w:lang w:val="ru-RU"/>
        </w:rPr>
      </w:pPr>
    </w:p>
    <w:p w:rsidR="00A336D0" w:rsidRPr="00A336D0" w:rsidRDefault="00A336D0" w:rsidP="00A336D0">
      <w:pPr>
        <w:pStyle w:val="ListParagraph"/>
        <w:numPr>
          <w:ilvl w:val="0"/>
          <w:numId w:val="10"/>
        </w:numPr>
        <w:tabs>
          <w:tab w:val="left" w:pos="0"/>
          <w:tab w:val="left" w:pos="720"/>
        </w:tabs>
        <w:ind w:left="0" w:firstLine="0"/>
        <w:jc w:val="both"/>
        <w:rPr>
          <w:color w:val="000000"/>
          <w:lang w:val="ru-RU"/>
        </w:rPr>
      </w:pPr>
      <w:r w:rsidRPr="00A336D0">
        <w:rPr>
          <w:color w:val="000000"/>
          <w:lang w:val="ru-RU"/>
        </w:rPr>
        <w:t xml:space="preserve">Что касается договоров в патентной области, административные функции которых выполняет ВОИС, в рассматриваемый двухлетний период к Парижской конвенции присоединилось еще одно государство – Кувейт. </w:t>
      </w:r>
    </w:p>
    <w:p w:rsidR="00A336D0" w:rsidRPr="00A336D0" w:rsidRDefault="00A336D0" w:rsidP="00A336D0">
      <w:pPr>
        <w:pStyle w:val="ListParagraph"/>
        <w:tabs>
          <w:tab w:val="left" w:pos="0"/>
          <w:tab w:val="left" w:pos="720"/>
        </w:tabs>
        <w:ind w:left="0"/>
        <w:jc w:val="both"/>
        <w:rPr>
          <w:color w:val="000000"/>
          <w:lang w:val="ru-RU"/>
        </w:rPr>
      </w:pPr>
    </w:p>
    <w:p w:rsidR="00A336D0" w:rsidRPr="00A336D0" w:rsidRDefault="00A336D0" w:rsidP="00A336D0">
      <w:pPr>
        <w:pStyle w:val="ListParagraph"/>
        <w:numPr>
          <w:ilvl w:val="0"/>
          <w:numId w:val="10"/>
        </w:numPr>
        <w:tabs>
          <w:tab w:val="left" w:pos="0"/>
          <w:tab w:val="left" w:pos="720"/>
        </w:tabs>
        <w:ind w:left="0" w:firstLine="0"/>
        <w:jc w:val="both"/>
        <w:rPr>
          <w:color w:val="000000"/>
          <w:lang w:val="ru-RU"/>
        </w:rPr>
      </w:pPr>
      <w:r w:rsidRPr="00A336D0">
        <w:rPr>
          <w:color w:val="000000"/>
          <w:lang w:val="ru-RU"/>
        </w:rPr>
        <w:t xml:space="preserve">Содействие, которое ВОИС оказывала государствам-членам в области разработки законодательства и политики, последовательно опиралось на существующую многостороннюю </w:t>
      </w:r>
      <w:r w:rsidRPr="00D8021C">
        <w:rPr>
          <w:color w:val="000000"/>
          <w:lang w:val="ru-RU"/>
        </w:rPr>
        <w:t xml:space="preserve">нормативно-правовую базу.  </w:t>
      </w:r>
      <w:r w:rsidRPr="00A336D0">
        <w:rPr>
          <w:color w:val="000000"/>
          <w:lang w:val="ru-RU"/>
        </w:rPr>
        <w:t>Возросла законодательная активность государств-членов, особенно в связи с их участием в процессах региональной экономической интеграции и заключением преференциальных торговых соглашений.  Кроме того, ряд государств-членов пересматривают свое патентное законодательство для учета целей своей государственной политики или в связи с присоединением к многосторонним договорам по патентным вопросам – таким как Договор о патентной кооперации (</w:t>
      </w:r>
      <w:r>
        <w:rPr>
          <w:color w:val="000000"/>
        </w:rPr>
        <w:t>PCT</w:t>
      </w:r>
      <w:r w:rsidRPr="00A336D0">
        <w:rPr>
          <w:color w:val="000000"/>
          <w:lang w:val="ru-RU"/>
        </w:rPr>
        <w:t>), Будапештский договор и Договор о патентном праве (</w:t>
      </w:r>
      <w:r>
        <w:rPr>
          <w:color w:val="000000"/>
        </w:rPr>
        <w:t>PLT</w:t>
      </w:r>
      <w:r w:rsidRPr="00A336D0">
        <w:rPr>
          <w:color w:val="000000"/>
          <w:lang w:val="ru-RU"/>
        </w:rPr>
        <w:t xml:space="preserve">) – или их первичной имплементацией посредством принятия нормативно-правовых актов. Более того, страны, присоединяющиеся к Всемирной торговой организации (ВТО), систематически пересматривают свою нормативную базу.  Соответственно, просьбы стран о предоставлении нормативных консультаций следуют тем же тенденциям. </w:t>
      </w:r>
    </w:p>
    <w:p w:rsidR="00A336D0" w:rsidRPr="00A336D0" w:rsidRDefault="00A336D0" w:rsidP="00A336D0">
      <w:pPr>
        <w:pStyle w:val="ListParagraph"/>
        <w:tabs>
          <w:tab w:val="left" w:pos="0"/>
          <w:tab w:val="left" w:pos="720"/>
        </w:tabs>
        <w:ind w:left="0"/>
        <w:jc w:val="both"/>
        <w:rPr>
          <w:color w:val="000000"/>
          <w:lang w:val="ru-RU"/>
        </w:rPr>
      </w:pPr>
    </w:p>
    <w:p w:rsidR="00A336D0" w:rsidRPr="00A336D0" w:rsidRDefault="00A336D0" w:rsidP="00A336D0">
      <w:pPr>
        <w:pStyle w:val="ListParagraph"/>
        <w:numPr>
          <w:ilvl w:val="0"/>
          <w:numId w:val="10"/>
        </w:numPr>
        <w:tabs>
          <w:tab w:val="left" w:pos="0"/>
          <w:tab w:val="left" w:pos="720"/>
        </w:tabs>
        <w:ind w:left="0" w:firstLine="0"/>
        <w:jc w:val="both"/>
        <w:rPr>
          <w:color w:val="000000"/>
          <w:lang w:val="ru-RU"/>
        </w:rPr>
      </w:pPr>
      <w:r w:rsidRPr="00A336D0">
        <w:rPr>
          <w:color w:val="000000"/>
          <w:lang w:val="ru-RU"/>
        </w:rPr>
        <w:t>Кроме того, в течение двухлетнего периода 2014–2015</w:t>
      </w:r>
      <w:r>
        <w:rPr>
          <w:color w:val="000000"/>
        </w:rPr>
        <w:t> </w:t>
      </w:r>
      <w:r w:rsidRPr="00A336D0">
        <w:rPr>
          <w:color w:val="000000"/>
          <w:lang w:val="ru-RU"/>
        </w:rPr>
        <w:t>гг. Секретариат продолжал вносить свой вклад в повышение осведомленности о правовых принципах и практике патентной системы, предоставляя соответствующую информацию по тематике данной программы межправительственным организациям, органам ООН, неправительственным организациям и другим сторонам.</w:t>
      </w:r>
    </w:p>
    <w:p w:rsidR="00A336D0" w:rsidRPr="00A336D0" w:rsidRDefault="00A336D0" w:rsidP="00A336D0">
      <w:pPr>
        <w:pStyle w:val="ListParagraph"/>
        <w:tabs>
          <w:tab w:val="left" w:pos="0"/>
          <w:tab w:val="left" w:pos="720"/>
        </w:tabs>
        <w:ind w:left="0"/>
        <w:jc w:val="both"/>
        <w:rPr>
          <w:color w:val="000000"/>
          <w:lang w:val="ru-RU"/>
        </w:rPr>
      </w:pPr>
    </w:p>
    <w:p w:rsidR="00A336D0" w:rsidRPr="00A336D0" w:rsidRDefault="00A336D0" w:rsidP="00A336D0">
      <w:pPr>
        <w:pStyle w:val="ListParagraph"/>
        <w:numPr>
          <w:ilvl w:val="0"/>
          <w:numId w:val="10"/>
        </w:numPr>
        <w:tabs>
          <w:tab w:val="left" w:pos="0"/>
          <w:tab w:val="left" w:pos="720"/>
        </w:tabs>
        <w:ind w:left="0" w:firstLine="0"/>
        <w:jc w:val="both"/>
        <w:rPr>
          <w:color w:val="000000"/>
          <w:lang w:val="ru-RU"/>
        </w:rPr>
      </w:pPr>
      <w:r w:rsidRPr="00A336D0">
        <w:rPr>
          <w:color w:val="000000"/>
          <w:lang w:val="ru-RU"/>
        </w:rPr>
        <w:t>Разработка, планирование и осуществление мероприятий соответствовали применимым рекомендациям ПДР.  Обсуждение вопросов дальнейшего развития международной патентной системы в рамках ПКПП по-прежнему проходило на основе широкого участия, инициировалось членами и осуществлялось с учетом различных уровней развития стран и исходя из принципов широкого участия сторон и нейтралитета Секретариата ВОИС (рекомендация 15).  При обсуждении вопросов также учитывались гибкие возможности, предусмотренные международными договорами в области ИС (рекомендация 17).  Работа ПКПП велась на основе открытых и сбалансированных консультаций (рекомендации 21 и 42) и была направлена на поддержку целей развития, принятых ООН (рекомендация 22).  В частности, в духе рекомендации</w:t>
      </w:r>
      <w:r>
        <w:rPr>
          <w:color w:val="000000"/>
        </w:rPr>
        <w:t> </w:t>
      </w:r>
      <w:r w:rsidRPr="00A336D0">
        <w:rPr>
          <w:color w:val="000000"/>
          <w:lang w:val="ru-RU"/>
        </w:rPr>
        <w:t>22 в рабочих документах ПКПП анализировались следующие вопросы: (</w:t>
      </w:r>
      <w:r>
        <w:rPr>
          <w:color w:val="000000"/>
        </w:rPr>
        <w:t>i</w:t>
      </w:r>
      <w:r w:rsidRPr="00A336D0">
        <w:rPr>
          <w:color w:val="000000"/>
          <w:lang w:val="ru-RU"/>
        </w:rPr>
        <w:t>) передача технологий, связанная с патентами; и (</w:t>
      </w:r>
      <w:r>
        <w:rPr>
          <w:color w:val="000000"/>
        </w:rPr>
        <w:t>ii</w:t>
      </w:r>
      <w:r w:rsidRPr="00A336D0">
        <w:rPr>
          <w:color w:val="000000"/>
          <w:lang w:val="ru-RU"/>
        </w:rPr>
        <w:t>) гибкие возможности, исключения и ограничения, которые могут применяться в пользу государств-членов.</w:t>
      </w:r>
    </w:p>
    <w:p w:rsidR="00A336D0" w:rsidRPr="00A336D0" w:rsidRDefault="00A336D0" w:rsidP="00A336D0">
      <w:pPr>
        <w:pStyle w:val="ListParagraph"/>
        <w:tabs>
          <w:tab w:val="left" w:pos="0"/>
          <w:tab w:val="left" w:pos="720"/>
        </w:tabs>
        <w:ind w:left="0"/>
        <w:jc w:val="both"/>
        <w:rPr>
          <w:color w:val="000000"/>
          <w:lang w:val="ru-RU"/>
        </w:rPr>
      </w:pPr>
    </w:p>
    <w:p w:rsidR="00A336D0" w:rsidRPr="00A336D0" w:rsidRDefault="00A336D0" w:rsidP="00A336D0">
      <w:pPr>
        <w:pStyle w:val="ListParagraph"/>
        <w:numPr>
          <w:ilvl w:val="0"/>
          <w:numId w:val="10"/>
        </w:numPr>
        <w:tabs>
          <w:tab w:val="left" w:pos="0"/>
          <w:tab w:val="left" w:pos="720"/>
        </w:tabs>
        <w:ind w:left="0" w:firstLine="0"/>
        <w:jc w:val="both"/>
        <w:rPr>
          <w:color w:val="000000"/>
          <w:lang w:val="ru-RU"/>
        </w:rPr>
      </w:pPr>
      <w:r w:rsidRPr="00A336D0">
        <w:rPr>
          <w:color w:val="000000"/>
          <w:lang w:val="ru-RU"/>
        </w:rPr>
        <w:t>Мероприятия по укреплению потенциала и консультации в области законодательства и разработки политики, предусмотренные в рамках программы, были ориентированы на развитие, обусловлены потребностями стран и предоставлялись в запланированные сроки (рекомендации</w:t>
      </w:r>
      <w:r>
        <w:rPr>
          <w:color w:val="000000"/>
        </w:rPr>
        <w:t> </w:t>
      </w:r>
      <w:r w:rsidRPr="00A336D0">
        <w:rPr>
          <w:color w:val="000000"/>
          <w:lang w:val="ru-RU"/>
        </w:rPr>
        <w:t>1, 13 и 14).  С марта 2015</w:t>
      </w:r>
      <w:r>
        <w:rPr>
          <w:color w:val="000000"/>
        </w:rPr>
        <w:t> </w:t>
      </w:r>
      <w:r w:rsidRPr="00A336D0">
        <w:rPr>
          <w:color w:val="000000"/>
          <w:lang w:val="ru-RU"/>
        </w:rPr>
        <w:t>г. мероприятия по укреплению потенциала в области подготовки патентной документации проводятся на основе разработки эффективных и результативных схем обучения, позволяющих обеспечить синергетическое взаимодействие между различными заинтересованными сторонами.</w:t>
      </w:r>
    </w:p>
    <w:p w:rsidR="00A336D0" w:rsidRPr="00A336D0" w:rsidRDefault="00A336D0" w:rsidP="00A336D0">
      <w:pPr>
        <w:pStyle w:val="ListParagraph"/>
        <w:tabs>
          <w:tab w:val="left" w:pos="0"/>
          <w:tab w:val="left" w:pos="720"/>
        </w:tabs>
        <w:ind w:left="0"/>
        <w:jc w:val="both"/>
        <w:rPr>
          <w:color w:val="000000"/>
          <w:lang w:val="ru-RU"/>
        </w:rPr>
      </w:pPr>
    </w:p>
    <w:p w:rsidR="00A336D0" w:rsidRPr="00A336D0" w:rsidRDefault="00A336D0" w:rsidP="00A336D0">
      <w:pPr>
        <w:pStyle w:val="ListParagraph"/>
        <w:numPr>
          <w:ilvl w:val="0"/>
          <w:numId w:val="10"/>
        </w:numPr>
        <w:tabs>
          <w:tab w:val="left" w:pos="0"/>
          <w:tab w:val="left" w:pos="720"/>
        </w:tabs>
        <w:ind w:left="0" w:firstLine="0"/>
        <w:jc w:val="both"/>
        <w:rPr>
          <w:color w:val="000000"/>
          <w:lang w:val="ru-RU"/>
        </w:rPr>
      </w:pPr>
      <w:r w:rsidRPr="00A336D0">
        <w:rPr>
          <w:color w:val="000000"/>
          <w:lang w:val="ru-RU"/>
        </w:rPr>
        <w:t>Кроме того, в соответствии с рекомендациями 16 и 20, сотрудники программы участвовали в подготовке итоговой оценки выводов проекта ПДР по патентам и общественному достоянию, который был представлен и рассмотрен на тринадцатой сессии Комитета по развитию и интеллектуальной собственности (КРИС), состоявшейся в</w:t>
      </w:r>
      <w:r>
        <w:rPr>
          <w:color w:val="000000"/>
        </w:rPr>
        <w:t> </w:t>
      </w:r>
      <w:r w:rsidRPr="00A336D0">
        <w:rPr>
          <w:color w:val="000000"/>
          <w:lang w:val="ru-RU"/>
        </w:rPr>
        <w:t>мае 2014</w:t>
      </w:r>
      <w:r>
        <w:rPr>
          <w:color w:val="000000"/>
        </w:rPr>
        <w:t> </w:t>
      </w:r>
      <w:r w:rsidRPr="00A336D0">
        <w:rPr>
          <w:color w:val="000000"/>
          <w:lang w:val="ru-RU"/>
        </w:rPr>
        <w:t>г.</w:t>
      </w:r>
    </w:p>
    <w:p w:rsidR="00A336D0" w:rsidRPr="00A336D0" w:rsidRDefault="00A336D0" w:rsidP="00A336D0">
      <w:pPr>
        <w:pStyle w:val="ListParagraph"/>
        <w:tabs>
          <w:tab w:val="left" w:pos="0"/>
          <w:tab w:val="left" w:pos="720"/>
        </w:tabs>
        <w:ind w:left="0"/>
        <w:jc w:val="both"/>
        <w:rPr>
          <w:color w:val="000000"/>
          <w:lang w:val="ru-RU"/>
        </w:rPr>
      </w:pPr>
    </w:p>
    <w:p w:rsidR="00A336D0" w:rsidRPr="00A336D0" w:rsidRDefault="00A336D0" w:rsidP="00A336D0">
      <w:pPr>
        <w:pStyle w:val="ListParagraph"/>
        <w:numPr>
          <w:ilvl w:val="0"/>
          <w:numId w:val="10"/>
        </w:numPr>
        <w:tabs>
          <w:tab w:val="left" w:pos="0"/>
          <w:tab w:val="left" w:pos="720"/>
        </w:tabs>
        <w:ind w:left="0" w:firstLine="0"/>
        <w:jc w:val="both"/>
        <w:rPr>
          <w:color w:val="000000"/>
          <w:lang w:val="ru-RU"/>
        </w:rPr>
      </w:pPr>
      <w:r w:rsidRPr="00A336D0">
        <w:rPr>
          <w:color w:val="000000"/>
          <w:lang w:val="ru-RU"/>
        </w:rPr>
        <w:t xml:space="preserve">В рамках этой программы были также подготовлены документы </w:t>
      </w:r>
      <w:r>
        <w:rPr>
          <w:color w:val="000000"/>
        </w:rPr>
        <w:t>CDIP</w:t>
      </w:r>
      <w:r w:rsidRPr="00A336D0">
        <w:rPr>
          <w:color w:val="000000"/>
          <w:lang w:val="ru-RU"/>
        </w:rPr>
        <w:t xml:space="preserve">/13/10 и </w:t>
      </w:r>
      <w:r>
        <w:rPr>
          <w:color w:val="000000"/>
        </w:rPr>
        <w:t>CDIP</w:t>
      </w:r>
      <w:r w:rsidRPr="00A336D0">
        <w:rPr>
          <w:color w:val="000000"/>
          <w:lang w:val="ru-RU"/>
        </w:rPr>
        <w:t>/15/6, посвященные четырем новым связанным с патентами гибким возможностям. Эти документы обсуждались соответственно на тринадцатой и пятнадцатой сессиях КРИС.  Кроме того, были проведены мероприятия, нацеленные на повышение уровня информированности о практической реализации гибких возможностей на национальном уровне, включая 14</w:t>
      </w:r>
      <w:r>
        <w:rPr>
          <w:color w:val="000000"/>
        </w:rPr>
        <w:t> </w:t>
      </w:r>
      <w:r w:rsidRPr="00A336D0">
        <w:rPr>
          <w:color w:val="000000"/>
          <w:lang w:val="ru-RU"/>
        </w:rPr>
        <w:t xml:space="preserve">национальных и региональных семинаров, а также семинаров-практикумов по вопросам патентной многосторонней нормативно-правовой базы и вопросам государственной политики, включая доступные гибкие возможности.  </w:t>
      </w:r>
    </w:p>
    <w:p w:rsidR="00A336D0" w:rsidRPr="00A336D0" w:rsidRDefault="00A336D0" w:rsidP="00A336D0">
      <w:pPr>
        <w:rPr>
          <w:rFonts w:cs="Arial"/>
          <w:color w:val="000000"/>
          <w:lang w:val="ru-RU"/>
        </w:rPr>
      </w:pPr>
    </w:p>
    <w:p w:rsidR="00A336D0" w:rsidRPr="00A336D0" w:rsidRDefault="00A336D0" w:rsidP="00A336D0">
      <w:pPr>
        <w:rPr>
          <w:rFonts w:cs="Arial"/>
          <w:lang w:val="ru-RU"/>
        </w:rPr>
      </w:pPr>
    </w:p>
    <w:p w:rsidR="00A336D0" w:rsidRDefault="00A336D0" w:rsidP="00A336D0">
      <w:pPr>
        <w:jc w:val="both"/>
        <w:rPr>
          <w:rFonts w:cs="Arial"/>
          <w:sz w:val="22"/>
          <w:szCs w:val="22"/>
        </w:rPr>
      </w:pPr>
      <w:r>
        <w:rPr>
          <w:sz w:val="22"/>
        </w:rPr>
        <w:t>ДАННЫЕ О РЕЗУЛЬТАТИВНОСТИ</w:t>
      </w:r>
    </w:p>
    <w:p w:rsidR="00A336D0" w:rsidRPr="00035B75" w:rsidRDefault="00A336D0" w:rsidP="00A336D0">
      <w:pPr>
        <w:rPr>
          <w:b/>
          <w:szCs w:val="20"/>
        </w:rPr>
      </w:pPr>
    </w:p>
    <w:tbl>
      <w:tblPr>
        <w:tblW w:w="5000"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372"/>
        <w:gridCol w:w="2234"/>
        <w:gridCol w:w="1298"/>
        <w:gridCol w:w="2653"/>
        <w:gridCol w:w="34"/>
        <w:gridCol w:w="944"/>
        <w:gridCol w:w="36"/>
      </w:tblGrid>
      <w:tr w:rsidR="00A336D0" w:rsidRPr="005C6ABD" w:rsidTr="00F053BA">
        <w:trPr>
          <w:trHeight w:val="565"/>
        </w:trPr>
        <w:tc>
          <w:tcPr>
            <w:tcW w:w="5000" w:type="pct"/>
            <w:gridSpan w:val="7"/>
            <w:tcBorders>
              <w:top w:val="single" w:sz="4" w:space="0" w:color="auto"/>
              <w:bottom w:val="single" w:sz="4" w:space="0" w:color="auto"/>
            </w:tcBorders>
            <w:shd w:val="clear" w:color="auto" w:fill="C6D9F1" w:themeFill="text2" w:themeFillTint="33"/>
            <w:vAlign w:val="center"/>
          </w:tcPr>
          <w:p w:rsidR="00A336D0" w:rsidRPr="00A336D0" w:rsidRDefault="00A336D0" w:rsidP="00F053BA">
            <w:pPr>
              <w:keepNext/>
              <w:keepLines/>
              <w:tabs>
                <w:tab w:val="left" w:pos="2160"/>
              </w:tabs>
              <w:ind w:left="2160" w:hanging="2160"/>
              <w:rPr>
                <w:rFonts w:cs="Arial"/>
                <w:b/>
                <w:bCs/>
                <w:sz w:val="16"/>
                <w:szCs w:val="16"/>
                <w:lang w:val="ru-RU"/>
              </w:rPr>
            </w:pPr>
            <w:r w:rsidRPr="00A336D0">
              <w:rPr>
                <w:b/>
                <w:sz w:val="16"/>
                <w:lang w:val="ru-RU"/>
              </w:rPr>
              <w:t xml:space="preserve">Ожидаемый результат: </w:t>
            </w:r>
            <w:r w:rsidRPr="00A336D0">
              <w:rPr>
                <w:lang w:val="ru-RU"/>
              </w:rPr>
              <w:tab/>
            </w:r>
            <w:r w:rsidRPr="00B430D9">
              <w:rPr>
                <w:sz w:val="16"/>
              </w:rPr>
              <w:t>I</w:t>
            </w:r>
            <w:r w:rsidRPr="00A336D0">
              <w:rPr>
                <w:sz w:val="16"/>
                <w:lang w:val="ru-RU"/>
              </w:rPr>
              <w:t>.1. Активизация сотрудничества между государствами-членами по вопросам разработки международной нормативной базы для ИС и консенсус по конкретным темам, в отношении которых согласованы международные документы</w:t>
            </w:r>
          </w:p>
        </w:tc>
      </w:tr>
      <w:tr w:rsidR="00A336D0" w:rsidRPr="00B36F18" w:rsidTr="00F053BA">
        <w:trPr>
          <w:gridAfter w:val="1"/>
          <w:wAfter w:w="17" w:type="pct"/>
        </w:trPr>
        <w:tc>
          <w:tcPr>
            <w:tcW w:w="1239" w:type="pct"/>
            <w:tcBorders>
              <w:top w:val="single" w:sz="4" w:space="0" w:color="auto"/>
              <w:left w:val="single" w:sz="4" w:space="0" w:color="auto"/>
              <w:bottom w:val="nil"/>
              <w:right w:val="nil"/>
            </w:tcBorders>
            <w:shd w:val="clear" w:color="auto" w:fill="auto"/>
            <w:vAlign w:val="center"/>
          </w:tcPr>
          <w:p w:rsidR="00A336D0" w:rsidRPr="00B430D9" w:rsidRDefault="00A336D0" w:rsidP="00F053BA">
            <w:pPr>
              <w:rPr>
                <w:rFonts w:cs="Arial"/>
                <w:sz w:val="16"/>
                <w:szCs w:val="16"/>
              </w:rPr>
            </w:pPr>
            <w:r w:rsidRPr="00B430D9">
              <w:rPr>
                <w:b/>
                <w:sz w:val="16"/>
              </w:rPr>
              <w:t xml:space="preserve">Показатели </w:t>
            </w:r>
            <w:r w:rsidRPr="00B430D9">
              <w:rPr>
                <w:b/>
                <w:sz w:val="16"/>
              </w:rPr>
              <w:br/>
              <w:t>результативности</w:t>
            </w:r>
          </w:p>
        </w:tc>
        <w:tc>
          <w:tcPr>
            <w:tcW w:w="1167" w:type="pct"/>
            <w:tcBorders>
              <w:top w:val="single" w:sz="4" w:space="0" w:color="auto"/>
              <w:left w:val="nil"/>
              <w:bottom w:val="nil"/>
              <w:right w:val="nil"/>
            </w:tcBorders>
            <w:shd w:val="clear" w:color="auto" w:fill="auto"/>
            <w:vAlign w:val="center"/>
          </w:tcPr>
          <w:p w:rsidR="00A336D0" w:rsidRPr="00B36F18" w:rsidRDefault="00A336D0" w:rsidP="00F053BA">
            <w:pPr>
              <w:rPr>
                <w:rFonts w:cs="Arial"/>
                <w:b/>
                <w:bCs/>
                <w:sz w:val="16"/>
                <w:szCs w:val="16"/>
              </w:rPr>
            </w:pPr>
            <w:r>
              <w:rPr>
                <w:b/>
                <w:sz w:val="16"/>
              </w:rPr>
              <w:t>Базовые показатели</w:t>
            </w:r>
          </w:p>
        </w:tc>
        <w:tc>
          <w:tcPr>
            <w:tcW w:w="678" w:type="pct"/>
            <w:tcBorders>
              <w:top w:val="single" w:sz="4" w:space="0" w:color="auto"/>
              <w:left w:val="nil"/>
              <w:bottom w:val="nil"/>
              <w:right w:val="nil"/>
            </w:tcBorders>
            <w:shd w:val="clear" w:color="auto" w:fill="auto"/>
            <w:tcMar>
              <w:top w:w="110" w:type="dxa"/>
            </w:tcMar>
            <w:vAlign w:val="center"/>
          </w:tcPr>
          <w:p w:rsidR="00A336D0" w:rsidRPr="00B36F18" w:rsidRDefault="00A336D0" w:rsidP="00F053BA">
            <w:pPr>
              <w:rPr>
                <w:rFonts w:cs="Arial"/>
                <w:b/>
                <w:sz w:val="16"/>
                <w:szCs w:val="16"/>
              </w:rPr>
            </w:pPr>
            <w:r>
              <w:rPr>
                <w:b/>
                <w:sz w:val="16"/>
              </w:rPr>
              <w:t>Цели</w:t>
            </w:r>
          </w:p>
        </w:tc>
        <w:tc>
          <w:tcPr>
            <w:tcW w:w="1386" w:type="pct"/>
            <w:tcBorders>
              <w:top w:val="single" w:sz="4" w:space="0" w:color="auto"/>
              <w:left w:val="nil"/>
              <w:bottom w:val="nil"/>
              <w:right w:val="nil"/>
            </w:tcBorders>
            <w:shd w:val="clear" w:color="auto" w:fill="FFFFFF"/>
            <w:tcMar>
              <w:top w:w="110" w:type="dxa"/>
            </w:tcMar>
            <w:vAlign w:val="center"/>
          </w:tcPr>
          <w:p w:rsidR="00A336D0" w:rsidRPr="00B36F18" w:rsidRDefault="00A336D0" w:rsidP="00F053BA">
            <w:pPr>
              <w:rPr>
                <w:rFonts w:cs="Arial"/>
                <w:sz w:val="16"/>
                <w:szCs w:val="16"/>
              </w:rPr>
            </w:pPr>
            <w:r>
              <w:rPr>
                <w:b/>
                <w:sz w:val="16"/>
              </w:rPr>
              <w:t>Данные о результативности</w:t>
            </w:r>
          </w:p>
        </w:tc>
        <w:tc>
          <w:tcPr>
            <w:tcW w:w="511" w:type="pct"/>
            <w:gridSpan w:val="2"/>
            <w:tcBorders>
              <w:top w:val="single" w:sz="4" w:space="0" w:color="auto"/>
              <w:left w:val="nil"/>
              <w:bottom w:val="nil"/>
              <w:right w:val="single" w:sz="4" w:space="0" w:color="auto"/>
            </w:tcBorders>
            <w:shd w:val="clear" w:color="auto" w:fill="auto"/>
            <w:tcMar>
              <w:top w:w="110" w:type="dxa"/>
            </w:tcMar>
            <w:vAlign w:val="center"/>
          </w:tcPr>
          <w:p w:rsidR="00A336D0" w:rsidRPr="00B36F18" w:rsidRDefault="00A336D0" w:rsidP="00F053BA">
            <w:pPr>
              <w:keepNext/>
              <w:keepLines/>
              <w:jc w:val="center"/>
              <w:rPr>
                <w:rFonts w:cs="Arial"/>
                <w:b/>
                <w:sz w:val="16"/>
                <w:szCs w:val="16"/>
              </w:rPr>
            </w:pPr>
            <w:r>
              <w:rPr>
                <w:b/>
                <w:sz w:val="16"/>
              </w:rPr>
              <w:t>CC</w:t>
            </w:r>
          </w:p>
        </w:tc>
      </w:tr>
      <w:tr w:rsidR="00A336D0" w:rsidRPr="00B36F18" w:rsidTr="00F053BA">
        <w:trPr>
          <w:gridAfter w:val="1"/>
          <w:wAfter w:w="17" w:type="pct"/>
        </w:trPr>
        <w:tc>
          <w:tcPr>
            <w:tcW w:w="1239" w:type="pct"/>
            <w:tcBorders>
              <w:top w:val="nil"/>
              <w:left w:val="single" w:sz="4" w:space="0" w:color="auto"/>
              <w:bottom w:val="nil"/>
              <w:right w:val="nil"/>
            </w:tcBorders>
            <w:shd w:val="clear" w:color="auto" w:fill="auto"/>
          </w:tcPr>
          <w:p w:rsidR="00A336D0" w:rsidRPr="00A336D0" w:rsidRDefault="00A336D0" w:rsidP="00F053BA">
            <w:pPr>
              <w:rPr>
                <w:rFonts w:cs="Arial"/>
                <w:sz w:val="16"/>
                <w:szCs w:val="16"/>
                <w:lang w:val="ru-RU"/>
              </w:rPr>
            </w:pPr>
            <w:r w:rsidRPr="00A336D0">
              <w:rPr>
                <w:sz w:val="16"/>
                <w:lang w:val="ru-RU"/>
              </w:rPr>
              <w:t>Прогресс в реализации согласованных в рамках ПКПП шагов/планов</w:t>
            </w:r>
          </w:p>
        </w:tc>
        <w:tc>
          <w:tcPr>
            <w:tcW w:w="1167" w:type="pct"/>
            <w:tcBorders>
              <w:top w:val="nil"/>
              <w:left w:val="nil"/>
              <w:bottom w:val="nil"/>
              <w:right w:val="nil"/>
            </w:tcBorders>
            <w:shd w:val="clear" w:color="auto" w:fill="auto"/>
          </w:tcPr>
          <w:p w:rsidR="00A336D0" w:rsidRPr="00A336D0" w:rsidRDefault="00A336D0" w:rsidP="00F053BA">
            <w:pPr>
              <w:rPr>
                <w:rFonts w:cs="Arial"/>
                <w:i/>
                <w:color w:val="002060"/>
                <w:sz w:val="16"/>
                <w:szCs w:val="16"/>
                <w:lang w:val="ru-RU"/>
              </w:rPr>
            </w:pPr>
            <w:r w:rsidRPr="00A336D0">
              <w:rPr>
                <w:i/>
                <w:color w:val="002060"/>
                <w:sz w:val="16"/>
                <w:lang w:val="ru-RU"/>
              </w:rPr>
              <w:t>Обновленные базовые показатели, конец 2013</w:t>
            </w:r>
            <w:r>
              <w:rPr>
                <w:i/>
                <w:color w:val="002060"/>
                <w:sz w:val="16"/>
              </w:rPr>
              <w:t> </w:t>
            </w:r>
            <w:r w:rsidRPr="00A336D0">
              <w:rPr>
                <w:i/>
                <w:color w:val="002060"/>
                <w:sz w:val="16"/>
                <w:lang w:val="ru-RU"/>
              </w:rPr>
              <w:t xml:space="preserve">г.:  </w:t>
            </w:r>
            <w:r w:rsidRPr="00A336D0">
              <w:rPr>
                <w:color w:val="002060"/>
                <w:sz w:val="16"/>
                <w:lang w:val="ru-RU"/>
              </w:rPr>
              <w:t>ПКПП сосредоточил свои усилия на обеспечении прогресса в обсуждении пяти вопросов повестки дня Комитета и активизировал их обсуждение в частности при помощи сбора информации путем рассылки вопросников, проведения исследований и обмена опытом применения норм на национальном уровне между государствами-членами.</w:t>
            </w:r>
          </w:p>
          <w:p w:rsidR="00A336D0" w:rsidRPr="00A336D0" w:rsidRDefault="00A336D0" w:rsidP="00F053BA">
            <w:pPr>
              <w:rPr>
                <w:rFonts w:cs="Arial"/>
                <w:i/>
                <w:sz w:val="8"/>
                <w:szCs w:val="8"/>
                <w:lang w:val="ru-RU"/>
              </w:rPr>
            </w:pPr>
          </w:p>
          <w:p w:rsidR="00A336D0" w:rsidRPr="00A336D0" w:rsidRDefault="00A336D0" w:rsidP="00F053BA">
            <w:pPr>
              <w:rPr>
                <w:rFonts w:cs="Arial"/>
                <w:sz w:val="16"/>
                <w:szCs w:val="16"/>
                <w:lang w:val="ru-RU"/>
              </w:rPr>
            </w:pPr>
            <w:r w:rsidRPr="00A336D0">
              <w:rPr>
                <w:i/>
                <w:sz w:val="16"/>
                <w:lang w:val="ru-RU"/>
              </w:rPr>
              <w:t xml:space="preserve">Исходные базовые показатели ПиБ на 2014–2015 гг.: </w:t>
            </w:r>
            <w:r w:rsidRPr="00A336D0">
              <w:rPr>
                <w:sz w:val="16"/>
                <w:lang w:val="ru-RU"/>
              </w:rPr>
              <w:t>будут определены позднее</w:t>
            </w:r>
          </w:p>
        </w:tc>
        <w:tc>
          <w:tcPr>
            <w:tcW w:w="678" w:type="pct"/>
            <w:tcBorders>
              <w:top w:val="nil"/>
              <w:left w:val="nil"/>
              <w:bottom w:val="nil"/>
              <w:right w:val="nil"/>
            </w:tcBorders>
            <w:shd w:val="clear" w:color="auto" w:fill="auto"/>
            <w:tcMar>
              <w:top w:w="110" w:type="dxa"/>
            </w:tcMar>
          </w:tcPr>
          <w:p w:rsidR="00A336D0" w:rsidRPr="00A336D0" w:rsidRDefault="00A336D0" w:rsidP="00F053BA">
            <w:pPr>
              <w:rPr>
                <w:rFonts w:cs="Arial"/>
                <w:sz w:val="16"/>
                <w:szCs w:val="16"/>
                <w:lang w:val="ru-RU"/>
              </w:rPr>
            </w:pPr>
            <w:r w:rsidRPr="00A336D0">
              <w:rPr>
                <w:sz w:val="16"/>
                <w:lang w:val="ru-RU"/>
              </w:rPr>
              <w:t>Прогресс в обсуждении вопросов, представляющих общий интерес, в рамках ПКПП</w:t>
            </w:r>
          </w:p>
        </w:tc>
        <w:tc>
          <w:tcPr>
            <w:tcW w:w="1386" w:type="pct"/>
            <w:tcBorders>
              <w:top w:val="nil"/>
              <w:left w:val="nil"/>
              <w:bottom w:val="nil"/>
              <w:right w:val="nil"/>
            </w:tcBorders>
            <w:shd w:val="clear" w:color="auto" w:fill="FFFFFF"/>
            <w:tcMar>
              <w:top w:w="110" w:type="dxa"/>
            </w:tcMar>
          </w:tcPr>
          <w:p w:rsidR="00A336D0" w:rsidRPr="00A336D0" w:rsidRDefault="00A336D0" w:rsidP="00F053BA">
            <w:pPr>
              <w:rPr>
                <w:rFonts w:cs="Arial"/>
                <w:sz w:val="16"/>
                <w:szCs w:val="16"/>
                <w:lang w:val="ru-RU"/>
              </w:rPr>
            </w:pPr>
            <w:r w:rsidRPr="00A336D0">
              <w:rPr>
                <w:sz w:val="16"/>
                <w:lang w:val="ru-RU"/>
              </w:rPr>
              <w:t>ПКПП сосредоточил свои усилия на обеспечении прогресса в обсуждении пяти вопросов своей повестки дня и активизировал их обсуждение в частности посредством подготовки исследований, сбора информации о национальном законодательстве и практике, а также обмена национальным опытом между государствами-членами.   Обсуждение проходило на основе предложений делегаций (12) и документов, подготовленных Секретариатом (27) в ходе двухлетнего периода.</w:t>
            </w:r>
          </w:p>
        </w:tc>
        <w:tc>
          <w:tcPr>
            <w:tcW w:w="511" w:type="pct"/>
            <w:gridSpan w:val="2"/>
            <w:tcBorders>
              <w:top w:val="nil"/>
              <w:left w:val="nil"/>
              <w:bottom w:val="nil"/>
              <w:right w:val="single" w:sz="4" w:space="0" w:color="auto"/>
            </w:tcBorders>
            <w:shd w:val="clear" w:color="auto" w:fill="auto"/>
            <w:tcMar>
              <w:top w:w="110" w:type="dxa"/>
            </w:tcMar>
          </w:tcPr>
          <w:p w:rsidR="00A336D0" w:rsidRPr="00AB5747" w:rsidRDefault="00A336D0" w:rsidP="00F053BA">
            <w:pPr>
              <w:keepNext/>
              <w:keepLines/>
              <w:jc w:val="center"/>
              <w:rPr>
                <w:rFonts w:cs="Arial"/>
                <w:color w:val="00B050"/>
                <w:sz w:val="16"/>
                <w:szCs w:val="16"/>
              </w:rPr>
            </w:pPr>
            <w:r>
              <w:rPr>
                <w:b/>
                <w:color w:val="00B050"/>
                <w:sz w:val="16"/>
              </w:rPr>
              <w:t>Выполнено</w:t>
            </w:r>
          </w:p>
        </w:tc>
      </w:tr>
      <w:tr w:rsidR="00A336D0" w:rsidRPr="00B36F18" w:rsidTr="00F053BA">
        <w:trPr>
          <w:gridAfter w:val="1"/>
          <w:wAfter w:w="17" w:type="pct"/>
        </w:trPr>
        <w:tc>
          <w:tcPr>
            <w:tcW w:w="1239" w:type="pct"/>
            <w:tcBorders>
              <w:top w:val="nil"/>
              <w:left w:val="single" w:sz="4" w:space="0" w:color="auto"/>
              <w:bottom w:val="single" w:sz="4" w:space="0" w:color="auto"/>
              <w:right w:val="nil"/>
            </w:tcBorders>
            <w:shd w:val="clear" w:color="auto" w:fill="auto"/>
          </w:tcPr>
          <w:p w:rsidR="00A336D0" w:rsidRPr="00A336D0" w:rsidRDefault="00A336D0" w:rsidP="00F053BA">
            <w:pPr>
              <w:rPr>
                <w:rFonts w:cs="Arial"/>
                <w:sz w:val="16"/>
                <w:szCs w:val="16"/>
                <w:lang w:val="ru-RU"/>
              </w:rPr>
            </w:pPr>
            <w:r w:rsidRPr="00A336D0">
              <w:rPr>
                <w:sz w:val="16"/>
                <w:lang w:val="ru-RU"/>
              </w:rPr>
              <w:t>Доля (%) участников целевых практикумов/семинаров/</w:t>
            </w:r>
            <w:r w:rsidRPr="00A336D0">
              <w:rPr>
                <w:rFonts w:cs="Arial"/>
                <w:sz w:val="16"/>
                <w:szCs w:val="16"/>
                <w:lang w:val="ru-RU"/>
              </w:rPr>
              <w:br/>
            </w:r>
            <w:r w:rsidRPr="00A336D0">
              <w:rPr>
                <w:sz w:val="16"/>
                <w:lang w:val="ru-RU"/>
              </w:rPr>
              <w:t>конференций по конкретным темам, связанным с патентами, удовлетворенных их результатами</w:t>
            </w:r>
          </w:p>
        </w:tc>
        <w:tc>
          <w:tcPr>
            <w:tcW w:w="1167" w:type="pct"/>
            <w:tcBorders>
              <w:top w:val="nil"/>
              <w:left w:val="nil"/>
              <w:bottom w:val="single" w:sz="4" w:space="0" w:color="auto"/>
              <w:right w:val="nil"/>
            </w:tcBorders>
            <w:shd w:val="clear" w:color="auto" w:fill="auto"/>
          </w:tcPr>
          <w:p w:rsidR="00A336D0" w:rsidRPr="00A336D0" w:rsidRDefault="00A336D0" w:rsidP="00F053BA">
            <w:pPr>
              <w:rPr>
                <w:rFonts w:cs="Arial"/>
                <w:color w:val="002060"/>
                <w:sz w:val="16"/>
                <w:szCs w:val="16"/>
                <w:lang w:val="ru-RU"/>
              </w:rPr>
            </w:pPr>
            <w:r w:rsidRPr="00A336D0">
              <w:rPr>
                <w:i/>
                <w:color w:val="002060"/>
                <w:sz w:val="16"/>
                <w:lang w:val="ru-RU"/>
              </w:rPr>
              <w:t>Обновленные базовые показатели, конец 2013</w:t>
            </w:r>
            <w:r>
              <w:rPr>
                <w:i/>
                <w:color w:val="002060"/>
                <w:sz w:val="16"/>
              </w:rPr>
              <w:t> </w:t>
            </w:r>
            <w:r w:rsidRPr="00A336D0">
              <w:rPr>
                <w:i/>
                <w:color w:val="002060"/>
                <w:sz w:val="16"/>
                <w:lang w:val="ru-RU"/>
              </w:rPr>
              <w:t xml:space="preserve">г.:  </w:t>
            </w:r>
            <w:r w:rsidRPr="00A336D0">
              <w:rPr>
                <w:color w:val="002060"/>
                <w:sz w:val="16"/>
                <w:lang w:val="ru-RU"/>
              </w:rPr>
              <w:t>92,5% по данным опроса, проведенного в 2012–2013</w:t>
            </w:r>
            <w:r>
              <w:rPr>
                <w:color w:val="002060"/>
                <w:sz w:val="16"/>
              </w:rPr>
              <w:t> </w:t>
            </w:r>
            <w:r w:rsidRPr="00A336D0">
              <w:rPr>
                <w:color w:val="002060"/>
                <w:sz w:val="16"/>
                <w:lang w:val="ru-RU"/>
              </w:rPr>
              <w:t>гг.</w:t>
            </w:r>
          </w:p>
          <w:p w:rsidR="00A336D0" w:rsidRPr="00A336D0" w:rsidRDefault="00A336D0" w:rsidP="00F053BA">
            <w:pPr>
              <w:rPr>
                <w:rFonts w:cs="Arial"/>
                <w:i/>
                <w:sz w:val="8"/>
                <w:szCs w:val="8"/>
                <w:lang w:val="ru-RU"/>
              </w:rPr>
            </w:pPr>
          </w:p>
          <w:p w:rsidR="00A336D0" w:rsidRPr="00A336D0" w:rsidRDefault="00A336D0" w:rsidP="00F053BA">
            <w:pPr>
              <w:rPr>
                <w:rFonts w:cs="Arial"/>
                <w:i/>
                <w:sz w:val="16"/>
                <w:szCs w:val="16"/>
                <w:lang w:val="ru-RU"/>
              </w:rPr>
            </w:pPr>
            <w:r w:rsidRPr="00A336D0">
              <w:rPr>
                <w:i/>
                <w:sz w:val="16"/>
                <w:lang w:val="ru-RU"/>
              </w:rPr>
              <w:t xml:space="preserve">Исходные базовые показатели ПиБ на 2014–2015 гг.: </w:t>
            </w:r>
            <w:r w:rsidRPr="00A336D0">
              <w:rPr>
                <w:sz w:val="16"/>
                <w:lang w:val="ru-RU"/>
              </w:rPr>
              <w:t>опросы, проведенные в 2012</w:t>
            </w:r>
            <w:r>
              <w:rPr>
                <w:sz w:val="16"/>
              </w:rPr>
              <w:t> </w:t>
            </w:r>
            <w:r w:rsidRPr="00A336D0">
              <w:rPr>
                <w:sz w:val="16"/>
                <w:lang w:val="ru-RU"/>
              </w:rPr>
              <w:t>г.</w:t>
            </w:r>
          </w:p>
          <w:p w:rsidR="00A336D0" w:rsidRPr="00A336D0" w:rsidRDefault="00A336D0" w:rsidP="00F053BA">
            <w:pPr>
              <w:rPr>
                <w:rFonts w:cs="Arial"/>
                <w:sz w:val="16"/>
                <w:szCs w:val="16"/>
                <w:lang w:val="ru-RU"/>
              </w:rPr>
            </w:pPr>
          </w:p>
        </w:tc>
        <w:tc>
          <w:tcPr>
            <w:tcW w:w="678" w:type="pct"/>
            <w:tcBorders>
              <w:top w:val="nil"/>
              <w:left w:val="nil"/>
              <w:bottom w:val="single" w:sz="4" w:space="0" w:color="auto"/>
              <w:right w:val="nil"/>
            </w:tcBorders>
            <w:shd w:val="clear" w:color="auto" w:fill="auto"/>
            <w:tcMar>
              <w:top w:w="110" w:type="dxa"/>
            </w:tcMar>
          </w:tcPr>
          <w:p w:rsidR="00A336D0" w:rsidRPr="00F97C8F" w:rsidRDefault="00A336D0" w:rsidP="00F053BA">
            <w:pPr>
              <w:rPr>
                <w:rFonts w:cs="Arial"/>
                <w:sz w:val="16"/>
                <w:szCs w:val="16"/>
              </w:rPr>
            </w:pPr>
            <w:r>
              <w:rPr>
                <w:sz w:val="16"/>
              </w:rPr>
              <w:t>90%</w:t>
            </w:r>
          </w:p>
        </w:tc>
        <w:tc>
          <w:tcPr>
            <w:tcW w:w="1386" w:type="pct"/>
            <w:tcBorders>
              <w:top w:val="nil"/>
              <w:left w:val="nil"/>
              <w:bottom w:val="single" w:sz="4" w:space="0" w:color="auto"/>
              <w:right w:val="nil"/>
            </w:tcBorders>
            <w:shd w:val="clear" w:color="auto" w:fill="FFFFFF"/>
            <w:tcMar>
              <w:top w:w="110" w:type="dxa"/>
            </w:tcMar>
          </w:tcPr>
          <w:p w:rsidR="00A336D0" w:rsidRPr="00A336D0" w:rsidRDefault="00A336D0" w:rsidP="00F053BA">
            <w:pPr>
              <w:rPr>
                <w:rFonts w:cs="Arial"/>
                <w:sz w:val="16"/>
                <w:szCs w:val="16"/>
                <w:lang w:val="ru-RU"/>
              </w:rPr>
            </w:pPr>
            <w:r w:rsidRPr="00A336D0">
              <w:rPr>
                <w:sz w:val="16"/>
                <w:lang w:val="ru-RU"/>
              </w:rPr>
              <w:t>96,85% согласно данным опросников, заполненных участниками</w:t>
            </w:r>
          </w:p>
        </w:tc>
        <w:tc>
          <w:tcPr>
            <w:tcW w:w="511" w:type="pct"/>
            <w:gridSpan w:val="2"/>
            <w:tcBorders>
              <w:top w:val="nil"/>
              <w:left w:val="nil"/>
              <w:bottom w:val="single" w:sz="4" w:space="0" w:color="auto"/>
              <w:right w:val="single" w:sz="4" w:space="0" w:color="auto"/>
            </w:tcBorders>
            <w:shd w:val="clear" w:color="auto" w:fill="auto"/>
            <w:tcMar>
              <w:top w:w="110" w:type="dxa"/>
            </w:tcMar>
          </w:tcPr>
          <w:p w:rsidR="00A336D0" w:rsidRDefault="00A336D0" w:rsidP="00F053BA">
            <w:pPr>
              <w:keepNext/>
              <w:keepLines/>
              <w:jc w:val="center"/>
              <w:rPr>
                <w:rFonts w:cs="Arial"/>
                <w:color w:val="10862C"/>
                <w:sz w:val="16"/>
                <w:szCs w:val="16"/>
              </w:rPr>
            </w:pPr>
            <w:r>
              <w:rPr>
                <w:b/>
                <w:color w:val="00B050"/>
                <w:sz w:val="16"/>
              </w:rPr>
              <w:t>Выполнено</w:t>
            </w:r>
          </w:p>
        </w:tc>
      </w:tr>
      <w:tr w:rsidR="00A336D0" w:rsidRPr="005C6ABD" w:rsidTr="00A336D0">
        <w:trPr>
          <w:trHeight w:val="431"/>
        </w:trPr>
        <w:tc>
          <w:tcPr>
            <w:tcW w:w="5000" w:type="pct"/>
            <w:gridSpan w:val="7"/>
            <w:tcBorders>
              <w:top w:val="single" w:sz="4" w:space="0" w:color="auto"/>
              <w:bottom w:val="single" w:sz="4" w:space="0" w:color="auto"/>
            </w:tcBorders>
            <w:shd w:val="clear" w:color="auto" w:fill="C6D9F1" w:themeFill="text2" w:themeFillTint="33"/>
            <w:vAlign w:val="center"/>
          </w:tcPr>
          <w:p w:rsidR="00A336D0" w:rsidRPr="00A336D0" w:rsidRDefault="00A336D0" w:rsidP="00F053BA">
            <w:pPr>
              <w:keepNext/>
              <w:keepLines/>
              <w:tabs>
                <w:tab w:val="left" w:pos="2160"/>
              </w:tabs>
              <w:ind w:left="2160" w:hanging="2160"/>
              <w:rPr>
                <w:rFonts w:cs="Arial"/>
                <w:b/>
                <w:bCs/>
                <w:sz w:val="16"/>
                <w:szCs w:val="16"/>
                <w:lang w:val="ru-RU"/>
              </w:rPr>
            </w:pPr>
            <w:r w:rsidRPr="00A336D0">
              <w:rPr>
                <w:b/>
                <w:sz w:val="16"/>
                <w:lang w:val="ru-RU"/>
              </w:rPr>
              <w:t>Ожидаемый результат:</w:t>
            </w:r>
            <w:r w:rsidRPr="00A336D0">
              <w:rPr>
                <w:lang w:val="ru-RU"/>
              </w:rPr>
              <w:tab/>
            </w:r>
            <w:r>
              <w:rPr>
                <w:sz w:val="16"/>
              </w:rPr>
              <w:t>I</w:t>
            </w:r>
            <w:r w:rsidRPr="00A336D0">
              <w:rPr>
                <w:sz w:val="16"/>
                <w:lang w:val="ru-RU"/>
              </w:rPr>
              <w:t>.2. Целевые и сбалансированные законодательные, регулятивные и политические положения ИС</w:t>
            </w:r>
          </w:p>
        </w:tc>
      </w:tr>
      <w:tr w:rsidR="00A336D0" w:rsidRPr="00B36F18" w:rsidTr="00F053BA">
        <w:trPr>
          <w:trHeight w:val="280"/>
        </w:trPr>
        <w:tc>
          <w:tcPr>
            <w:tcW w:w="1239" w:type="pct"/>
            <w:tcBorders>
              <w:top w:val="single" w:sz="4" w:space="0" w:color="auto"/>
            </w:tcBorders>
            <w:shd w:val="clear" w:color="auto" w:fill="auto"/>
            <w:vAlign w:val="center"/>
          </w:tcPr>
          <w:p w:rsidR="00A336D0" w:rsidRPr="00B36F18" w:rsidRDefault="00A336D0" w:rsidP="00F053BA">
            <w:pPr>
              <w:rPr>
                <w:rFonts w:cs="Arial"/>
                <w:sz w:val="16"/>
                <w:szCs w:val="16"/>
              </w:rPr>
            </w:pPr>
            <w:r>
              <w:rPr>
                <w:b/>
                <w:sz w:val="16"/>
              </w:rPr>
              <w:t xml:space="preserve">Показатели </w:t>
            </w:r>
            <w:r>
              <w:rPr>
                <w:b/>
                <w:sz w:val="16"/>
              </w:rPr>
              <w:br/>
              <w:t>результативности</w:t>
            </w:r>
          </w:p>
        </w:tc>
        <w:tc>
          <w:tcPr>
            <w:tcW w:w="1167" w:type="pct"/>
            <w:tcBorders>
              <w:top w:val="single" w:sz="4" w:space="0" w:color="auto"/>
            </w:tcBorders>
            <w:shd w:val="clear" w:color="auto" w:fill="auto"/>
            <w:vAlign w:val="center"/>
          </w:tcPr>
          <w:p w:rsidR="00A336D0" w:rsidRPr="00F97C8F" w:rsidRDefault="00A336D0" w:rsidP="00F053BA">
            <w:pPr>
              <w:rPr>
                <w:rFonts w:cs="Arial"/>
                <w:b/>
                <w:bCs/>
                <w:sz w:val="16"/>
                <w:szCs w:val="16"/>
              </w:rPr>
            </w:pPr>
            <w:r>
              <w:rPr>
                <w:b/>
                <w:sz w:val="16"/>
              </w:rPr>
              <w:t>Базовые показатели</w:t>
            </w:r>
          </w:p>
        </w:tc>
        <w:tc>
          <w:tcPr>
            <w:tcW w:w="678" w:type="pct"/>
            <w:tcBorders>
              <w:top w:val="single" w:sz="4" w:space="0" w:color="auto"/>
            </w:tcBorders>
            <w:shd w:val="clear" w:color="auto" w:fill="auto"/>
            <w:tcMar>
              <w:top w:w="110" w:type="dxa"/>
            </w:tcMar>
            <w:vAlign w:val="center"/>
          </w:tcPr>
          <w:p w:rsidR="00A336D0" w:rsidRPr="00F97C8F" w:rsidRDefault="00A336D0" w:rsidP="00F053BA">
            <w:pPr>
              <w:rPr>
                <w:rFonts w:cs="Arial"/>
                <w:b/>
                <w:sz w:val="16"/>
                <w:szCs w:val="16"/>
              </w:rPr>
            </w:pPr>
            <w:r>
              <w:rPr>
                <w:b/>
                <w:sz w:val="16"/>
              </w:rPr>
              <w:t>Цели</w:t>
            </w:r>
          </w:p>
        </w:tc>
        <w:tc>
          <w:tcPr>
            <w:tcW w:w="1404" w:type="pct"/>
            <w:gridSpan w:val="2"/>
            <w:tcBorders>
              <w:top w:val="single" w:sz="4" w:space="0" w:color="auto"/>
            </w:tcBorders>
            <w:shd w:val="clear" w:color="auto" w:fill="auto"/>
            <w:tcMar>
              <w:top w:w="110" w:type="dxa"/>
            </w:tcMar>
            <w:vAlign w:val="center"/>
          </w:tcPr>
          <w:p w:rsidR="00A336D0" w:rsidRPr="00F97C8F" w:rsidRDefault="00A336D0" w:rsidP="00F053BA">
            <w:pPr>
              <w:rPr>
                <w:rFonts w:cs="Arial"/>
                <w:sz w:val="16"/>
                <w:szCs w:val="16"/>
              </w:rPr>
            </w:pPr>
            <w:r>
              <w:rPr>
                <w:b/>
                <w:sz w:val="16"/>
              </w:rPr>
              <w:t>Данные о результативности</w:t>
            </w:r>
          </w:p>
        </w:tc>
        <w:tc>
          <w:tcPr>
            <w:tcW w:w="511" w:type="pct"/>
            <w:gridSpan w:val="2"/>
            <w:tcBorders>
              <w:top w:val="single" w:sz="4" w:space="0" w:color="auto"/>
            </w:tcBorders>
            <w:shd w:val="clear" w:color="auto" w:fill="auto"/>
            <w:tcMar>
              <w:top w:w="110" w:type="dxa"/>
            </w:tcMar>
            <w:vAlign w:val="center"/>
          </w:tcPr>
          <w:p w:rsidR="00A336D0" w:rsidRPr="00B36F18" w:rsidRDefault="00A336D0" w:rsidP="00F053BA">
            <w:pPr>
              <w:keepNext/>
              <w:keepLines/>
              <w:jc w:val="center"/>
              <w:rPr>
                <w:rFonts w:cs="Arial"/>
                <w:b/>
                <w:sz w:val="16"/>
                <w:szCs w:val="16"/>
              </w:rPr>
            </w:pPr>
            <w:r>
              <w:rPr>
                <w:b/>
                <w:sz w:val="16"/>
              </w:rPr>
              <w:t>CC</w:t>
            </w:r>
          </w:p>
        </w:tc>
      </w:tr>
      <w:tr w:rsidR="00A336D0" w:rsidRPr="00B36F18" w:rsidTr="00F053BA">
        <w:tc>
          <w:tcPr>
            <w:tcW w:w="1239" w:type="pct"/>
            <w:shd w:val="clear" w:color="auto" w:fill="FFFFFF"/>
          </w:tcPr>
          <w:p w:rsidR="00A336D0" w:rsidRPr="00A336D0" w:rsidRDefault="00A336D0" w:rsidP="00F053BA">
            <w:pPr>
              <w:rPr>
                <w:rFonts w:cs="Arial"/>
                <w:sz w:val="16"/>
                <w:szCs w:val="16"/>
                <w:lang w:val="ru-RU"/>
              </w:rPr>
            </w:pPr>
            <w:r w:rsidRPr="00A336D0">
              <w:rPr>
                <w:sz w:val="16"/>
                <w:lang w:val="ru-RU"/>
              </w:rPr>
              <w:t>Число и доля (%) государств-членов, которые сочли полезной предоставленную информацию о правовых принципах и практике патентной системы, в том числе о гибких возможностях, заложенных в эту систему и стоящих перед ней проблемах</w:t>
            </w:r>
          </w:p>
        </w:tc>
        <w:tc>
          <w:tcPr>
            <w:tcW w:w="1167" w:type="pct"/>
            <w:shd w:val="clear" w:color="auto" w:fill="auto"/>
          </w:tcPr>
          <w:p w:rsidR="00A336D0" w:rsidRPr="00A336D0" w:rsidRDefault="00A336D0" w:rsidP="00F053BA">
            <w:pPr>
              <w:rPr>
                <w:rFonts w:cs="Arial"/>
                <w:color w:val="002060"/>
                <w:sz w:val="16"/>
                <w:szCs w:val="16"/>
                <w:lang w:val="ru-RU"/>
              </w:rPr>
            </w:pPr>
            <w:r w:rsidRPr="00A336D0">
              <w:rPr>
                <w:i/>
                <w:color w:val="002060"/>
                <w:sz w:val="16"/>
                <w:lang w:val="ru-RU"/>
              </w:rPr>
              <w:t>Обновленные базовые показатели, конец 2013</w:t>
            </w:r>
            <w:r>
              <w:rPr>
                <w:i/>
                <w:color w:val="002060"/>
                <w:sz w:val="16"/>
              </w:rPr>
              <w:t> </w:t>
            </w:r>
            <w:r w:rsidRPr="00A336D0">
              <w:rPr>
                <w:i/>
                <w:color w:val="002060"/>
                <w:sz w:val="16"/>
                <w:lang w:val="ru-RU"/>
              </w:rPr>
              <w:t xml:space="preserve">г.:  </w:t>
            </w:r>
            <w:r w:rsidRPr="00A336D0">
              <w:rPr>
                <w:color w:val="002060"/>
                <w:sz w:val="16"/>
                <w:lang w:val="ru-RU"/>
              </w:rPr>
              <w:t>90% согласно результатам опроса проведенного ОВН в 2013</w:t>
            </w:r>
            <w:r>
              <w:rPr>
                <w:color w:val="002060"/>
                <w:sz w:val="16"/>
              </w:rPr>
              <w:t> </w:t>
            </w:r>
            <w:r w:rsidRPr="00A336D0">
              <w:rPr>
                <w:color w:val="002060"/>
                <w:sz w:val="16"/>
                <w:lang w:val="ru-RU"/>
              </w:rPr>
              <w:t>г. с участием 47</w:t>
            </w:r>
            <w:r>
              <w:rPr>
                <w:color w:val="002060"/>
                <w:sz w:val="16"/>
              </w:rPr>
              <w:t> </w:t>
            </w:r>
            <w:r w:rsidRPr="00A336D0">
              <w:rPr>
                <w:color w:val="002060"/>
                <w:sz w:val="16"/>
                <w:lang w:val="ru-RU"/>
              </w:rPr>
              <w:t>государств-членов</w:t>
            </w:r>
          </w:p>
          <w:p w:rsidR="00A336D0" w:rsidRPr="00A336D0" w:rsidRDefault="00A336D0" w:rsidP="00F053BA">
            <w:pPr>
              <w:rPr>
                <w:rFonts w:cs="Arial"/>
                <w:i/>
                <w:sz w:val="8"/>
                <w:szCs w:val="8"/>
                <w:lang w:val="ru-RU"/>
              </w:rPr>
            </w:pPr>
          </w:p>
          <w:p w:rsidR="00A336D0" w:rsidRPr="00A336D0" w:rsidRDefault="00A336D0" w:rsidP="00F053BA">
            <w:pPr>
              <w:rPr>
                <w:rFonts w:cs="Arial"/>
                <w:i/>
                <w:sz w:val="16"/>
                <w:szCs w:val="16"/>
                <w:lang w:val="ru-RU"/>
              </w:rPr>
            </w:pPr>
            <w:r w:rsidRPr="00A336D0">
              <w:rPr>
                <w:i/>
                <w:sz w:val="16"/>
                <w:lang w:val="ru-RU"/>
              </w:rPr>
              <w:t xml:space="preserve">Исходные базовые показатели ПиБ на 2014–2015 гг.: </w:t>
            </w:r>
            <w:r w:rsidRPr="00A336D0">
              <w:rPr>
                <w:sz w:val="16"/>
                <w:lang w:val="ru-RU"/>
              </w:rPr>
              <w:t>будут определены позднее</w:t>
            </w:r>
          </w:p>
          <w:p w:rsidR="00A336D0" w:rsidRPr="00A336D0" w:rsidRDefault="00A336D0" w:rsidP="00F053BA">
            <w:pPr>
              <w:rPr>
                <w:rFonts w:cs="Arial"/>
                <w:i/>
                <w:sz w:val="16"/>
                <w:szCs w:val="16"/>
                <w:lang w:val="ru-RU"/>
              </w:rPr>
            </w:pPr>
          </w:p>
        </w:tc>
        <w:tc>
          <w:tcPr>
            <w:tcW w:w="678" w:type="pct"/>
            <w:shd w:val="clear" w:color="auto" w:fill="auto"/>
            <w:tcMar>
              <w:top w:w="110" w:type="dxa"/>
            </w:tcMar>
          </w:tcPr>
          <w:p w:rsidR="00A336D0" w:rsidRPr="00F97C8F" w:rsidRDefault="00A336D0" w:rsidP="00F053BA">
            <w:pPr>
              <w:autoSpaceDE w:val="0"/>
              <w:autoSpaceDN w:val="0"/>
              <w:adjustRightInd w:val="0"/>
              <w:rPr>
                <w:rFonts w:cs="Arial"/>
                <w:sz w:val="16"/>
                <w:szCs w:val="16"/>
              </w:rPr>
            </w:pPr>
            <w:r>
              <w:rPr>
                <w:sz w:val="16"/>
              </w:rPr>
              <w:t>90%</w:t>
            </w:r>
          </w:p>
        </w:tc>
        <w:tc>
          <w:tcPr>
            <w:tcW w:w="1404" w:type="pct"/>
            <w:gridSpan w:val="2"/>
            <w:shd w:val="clear" w:color="auto" w:fill="FFFFFF"/>
            <w:tcMar>
              <w:top w:w="110" w:type="dxa"/>
            </w:tcMar>
          </w:tcPr>
          <w:p w:rsidR="00A336D0" w:rsidRPr="00A336D0" w:rsidRDefault="00A336D0" w:rsidP="00F053BA">
            <w:pPr>
              <w:rPr>
                <w:rFonts w:cs="Arial"/>
                <w:sz w:val="16"/>
                <w:szCs w:val="16"/>
                <w:lang w:val="ru-RU"/>
              </w:rPr>
            </w:pPr>
            <w:r w:rsidRPr="00A336D0">
              <w:rPr>
                <w:sz w:val="16"/>
                <w:lang w:val="ru-RU"/>
              </w:rPr>
              <w:t>95,24% согласно 24 ответам на вопросы опроса</w:t>
            </w:r>
          </w:p>
        </w:tc>
        <w:tc>
          <w:tcPr>
            <w:tcW w:w="511" w:type="pct"/>
            <w:gridSpan w:val="2"/>
            <w:shd w:val="clear" w:color="auto" w:fill="auto"/>
            <w:tcMar>
              <w:top w:w="110" w:type="dxa"/>
            </w:tcMar>
          </w:tcPr>
          <w:p w:rsidR="00A336D0" w:rsidRPr="00DD4B4E" w:rsidRDefault="00A336D0" w:rsidP="00F053BA">
            <w:pPr>
              <w:keepNext/>
              <w:keepLines/>
              <w:jc w:val="center"/>
              <w:rPr>
                <w:b/>
                <w:bCs/>
                <w:color w:val="00B050"/>
                <w:sz w:val="16"/>
                <w:szCs w:val="16"/>
              </w:rPr>
            </w:pPr>
            <w:r>
              <w:rPr>
                <w:b/>
                <w:color w:val="00B050"/>
                <w:sz w:val="16"/>
              </w:rPr>
              <w:t>Выполнено</w:t>
            </w:r>
          </w:p>
        </w:tc>
      </w:tr>
      <w:tr w:rsidR="00A336D0" w:rsidRPr="00B36F18" w:rsidTr="00F053BA">
        <w:tc>
          <w:tcPr>
            <w:tcW w:w="1239" w:type="pct"/>
            <w:shd w:val="clear" w:color="auto" w:fill="FFFFFF"/>
          </w:tcPr>
          <w:p w:rsidR="00A336D0" w:rsidRPr="00A336D0" w:rsidRDefault="00A336D0" w:rsidP="00F053BA">
            <w:pPr>
              <w:rPr>
                <w:rFonts w:cs="Arial"/>
                <w:sz w:val="16"/>
                <w:szCs w:val="16"/>
                <w:lang w:val="ru-RU"/>
              </w:rPr>
            </w:pPr>
            <w:r w:rsidRPr="00A336D0">
              <w:rPr>
                <w:sz w:val="16"/>
                <w:lang w:val="ru-RU"/>
              </w:rPr>
              <w:t>Число и доля (%) государств-членов, удовлетворенных качеством юридических консультаций по вопросам охраны патентов, полезных моделей, коммерческой тайны и интегральных микросхем</w:t>
            </w:r>
          </w:p>
        </w:tc>
        <w:tc>
          <w:tcPr>
            <w:tcW w:w="1167" w:type="pct"/>
            <w:shd w:val="clear" w:color="auto" w:fill="auto"/>
          </w:tcPr>
          <w:p w:rsidR="00A336D0" w:rsidRPr="00A336D0" w:rsidRDefault="00A336D0" w:rsidP="00F053BA">
            <w:pPr>
              <w:rPr>
                <w:rFonts w:cs="Arial"/>
                <w:color w:val="002060"/>
                <w:sz w:val="16"/>
                <w:szCs w:val="16"/>
                <w:lang w:val="ru-RU"/>
              </w:rPr>
            </w:pPr>
            <w:r w:rsidRPr="00A336D0">
              <w:rPr>
                <w:i/>
                <w:color w:val="002060"/>
                <w:sz w:val="16"/>
                <w:lang w:val="ru-RU"/>
              </w:rPr>
              <w:t>Обновленные базовые показатели, конец 2013</w:t>
            </w:r>
            <w:r>
              <w:rPr>
                <w:i/>
                <w:color w:val="002060"/>
                <w:sz w:val="16"/>
              </w:rPr>
              <w:t> </w:t>
            </w:r>
            <w:r w:rsidRPr="00A336D0">
              <w:rPr>
                <w:i/>
                <w:color w:val="002060"/>
                <w:sz w:val="16"/>
                <w:lang w:val="ru-RU"/>
              </w:rPr>
              <w:t xml:space="preserve">г.:  </w:t>
            </w:r>
            <w:r w:rsidRPr="00A336D0">
              <w:rPr>
                <w:color w:val="002060"/>
                <w:sz w:val="16"/>
                <w:lang w:val="ru-RU"/>
              </w:rPr>
              <w:t>девять респондентов (90%), согласно результатам опроса ОВН 2013</w:t>
            </w:r>
            <w:r>
              <w:rPr>
                <w:color w:val="002060"/>
                <w:sz w:val="16"/>
              </w:rPr>
              <w:t> </w:t>
            </w:r>
            <w:r w:rsidRPr="00A336D0">
              <w:rPr>
                <w:color w:val="002060"/>
                <w:sz w:val="16"/>
                <w:lang w:val="ru-RU"/>
              </w:rPr>
              <w:t>г.</w:t>
            </w:r>
          </w:p>
          <w:p w:rsidR="00A336D0" w:rsidRPr="00A336D0" w:rsidRDefault="00A336D0" w:rsidP="00F053BA">
            <w:pPr>
              <w:rPr>
                <w:rFonts w:cs="Arial"/>
                <w:i/>
                <w:sz w:val="8"/>
                <w:szCs w:val="8"/>
                <w:lang w:val="ru-RU"/>
              </w:rPr>
            </w:pPr>
          </w:p>
          <w:p w:rsidR="00A336D0" w:rsidRPr="00A336D0" w:rsidRDefault="00A336D0" w:rsidP="00F053BA">
            <w:pPr>
              <w:rPr>
                <w:rFonts w:cs="Arial"/>
                <w:i/>
                <w:sz w:val="16"/>
                <w:szCs w:val="16"/>
                <w:lang w:val="ru-RU"/>
              </w:rPr>
            </w:pPr>
            <w:r w:rsidRPr="00A336D0">
              <w:rPr>
                <w:i/>
                <w:sz w:val="16"/>
                <w:lang w:val="ru-RU"/>
              </w:rPr>
              <w:t xml:space="preserve">Исходные базовые показатели ПиБ на 2014–2015 гг.: </w:t>
            </w:r>
            <w:r w:rsidRPr="00A336D0">
              <w:rPr>
                <w:sz w:val="16"/>
                <w:lang w:val="ru-RU"/>
              </w:rPr>
              <w:t>опросы, проведенные в 2012</w:t>
            </w:r>
            <w:r>
              <w:rPr>
                <w:sz w:val="16"/>
              </w:rPr>
              <w:t> </w:t>
            </w:r>
            <w:r w:rsidRPr="00A336D0">
              <w:rPr>
                <w:sz w:val="16"/>
                <w:lang w:val="ru-RU"/>
              </w:rPr>
              <w:t>г.</w:t>
            </w:r>
          </w:p>
          <w:p w:rsidR="00A336D0" w:rsidRPr="00A336D0" w:rsidRDefault="00A336D0" w:rsidP="00F053BA">
            <w:pPr>
              <w:keepNext/>
              <w:keepLines/>
              <w:rPr>
                <w:rFonts w:cs="Arial"/>
                <w:sz w:val="16"/>
                <w:szCs w:val="16"/>
                <w:lang w:val="ru-RU"/>
              </w:rPr>
            </w:pPr>
          </w:p>
        </w:tc>
        <w:tc>
          <w:tcPr>
            <w:tcW w:w="678" w:type="pct"/>
            <w:shd w:val="clear" w:color="auto" w:fill="auto"/>
            <w:tcMar>
              <w:top w:w="110" w:type="dxa"/>
            </w:tcMar>
          </w:tcPr>
          <w:p w:rsidR="00A336D0" w:rsidRPr="00F97C8F" w:rsidRDefault="00A336D0" w:rsidP="00F053BA">
            <w:pPr>
              <w:autoSpaceDE w:val="0"/>
              <w:autoSpaceDN w:val="0"/>
              <w:adjustRightInd w:val="0"/>
              <w:rPr>
                <w:rFonts w:cs="Arial"/>
                <w:sz w:val="16"/>
                <w:szCs w:val="16"/>
              </w:rPr>
            </w:pPr>
            <w:r>
              <w:rPr>
                <w:sz w:val="16"/>
              </w:rPr>
              <w:t>90%</w:t>
            </w:r>
          </w:p>
        </w:tc>
        <w:tc>
          <w:tcPr>
            <w:tcW w:w="1404" w:type="pct"/>
            <w:gridSpan w:val="2"/>
            <w:shd w:val="clear" w:color="auto" w:fill="FFFFFF"/>
            <w:tcMar>
              <w:top w:w="110" w:type="dxa"/>
            </w:tcMar>
          </w:tcPr>
          <w:p w:rsidR="00A336D0" w:rsidRPr="00A336D0" w:rsidRDefault="00D8021C" w:rsidP="00D8021C">
            <w:pPr>
              <w:rPr>
                <w:rFonts w:cs="Arial"/>
                <w:sz w:val="16"/>
                <w:szCs w:val="16"/>
                <w:lang w:val="ru-RU"/>
              </w:rPr>
            </w:pPr>
            <w:r>
              <w:rPr>
                <w:sz w:val="16"/>
                <w:lang w:val="ru-RU"/>
              </w:rPr>
              <w:t>В 2014-2015 гг., с</w:t>
            </w:r>
            <w:r w:rsidR="00A336D0" w:rsidRPr="00A336D0">
              <w:rPr>
                <w:sz w:val="16"/>
                <w:lang w:val="ru-RU"/>
              </w:rPr>
              <w:t xml:space="preserve">огласно ответам </w:t>
            </w:r>
            <w:r>
              <w:rPr>
                <w:sz w:val="16"/>
                <w:lang w:val="ru-RU"/>
              </w:rPr>
              <w:t>9</w:t>
            </w:r>
            <w:r w:rsidR="00A336D0" w:rsidRPr="00A336D0">
              <w:rPr>
                <w:sz w:val="16"/>
                <w:lang w:val="ru-RU"/>
              </w:rPr>
              <w:t xml:space="preserve"> респондентов, средний урове</w:t>
            </w:r>
            <w:r>
              <w:rPr>
                <w:sz w:val="16"/>
                <w:lang w:val="ru-RU"/>
              </w:rPr>
              <w:t>нь удовлетворенности составил 94</w:t>
            </w:r>
            <w:r w:rsidR="00A336D0" w:rsidRPr="00A336D0">
              <w:rPr>
                <w:sz w:val="16"/>
                <w:lang w:val="ru-RU"/>
              </w:rPr>
              <w:t xml:space="preserve">% (страны Африки – </w:t>
            </w:r>
            <w:r>
              <w:rPr>
                <w:sz w:val="16"/>
                <w:lang w:val="ru-RU"/>
              </w:rPr>
              <w:t>3</w:t>
            </w:r>
            <w:r w:rsidR="00A336D0" w:rsidRPr="00A336D0">
              <w:rPr>
                <w:sz w:val="16"/>
                <w:lang w:val="ru-RU"/>
              </w:rPr>
              <w:t xml:space="preserve">; арабские страны – </w:t>
            </w:r>
            <w:r>
              <w:rPr>
                <w:sz w:val="16"/>
                <w:lang w:val="ru-RU"/>
              </w:rPr>
              <w:t>1</w:t>
            </w:r>
            <w:r w:rsidR="00A336D0" w:rsidRPr="00A336D0">
              <w:rPr>
                <w:sz w:val="16"/>
                <w:lang w:val="ru-RU"/>
              </w:rPr>
              <w:t xml:space="preserve">, страны Азиатско-Тихоокеанского региона – </w:t>
            </w:r>
            <w:r>
              <w:rPr>
                <w:sz w:val="16"/>
                <w:lang w:val="ru-RU"/>
              </w:rPr>
              <w:t>2</w:t>
            </w:r>
            <w:r w:rsidR="00A336D0" w:rsidRPr="00A336D0">
              <w:rPr>
                <w:sz w:val="16"/>
                <w:lang w:val="ru-RU"/>
              </w:rPr>
              <w:t xml:space="preserve">, некоторые страны Европы и Азии – </w:t>
            </w:r>
            <w:r>
              <w:rPr>
                <w:sz w:val="16"/>
                <w:lang w:val="ru-RU"/>
              </w:rPr>
              <w:t>2</w:t>
            </w:r>
            <w:r w:rsidR="00A336D0" w:rsidRPr="00A336D0">
              <w:rPr>
                <w:sz w:val="16"/>
                <w:lang w:val="ru-RU"/>
              </w:rPr>
              <w:t>, страны Латинской Америки и Карибского бассейна – 1</w:t>
            </w:r>
            <w:r>
              <w:rPr>
                <w:sz w:val="16"/>
                <w:lang w:val="ru-RU"/>
              </w:rPr>
              <w:t>)</w:t>
            </w:r>
            <w:r>
              <w:rPr>
                <w:rStyle w:val="FootnoteReference"/>
                <w:sz w:val="16"/>
                <w:lang w:val="ru-RU"/>
              </w:rPr>
              <w:footnoteReference w:id="8"/>
            </w:r>
            <w:r w:rsidR="00A336D0" w:rsidRPr="00A336D0">
              <w:rPr>
                <w:sz w:val="16"/>
                <w:lang w:val="ru-RU"/>
              </w:rPr>
              <w:t>.</w:t>
            </w:r>
          </w:p>
        </w:tc>
        <w:tc>
          <w:tcPr>
            <w:tcW w:w="511" w:type="pct"/>
            <w:gridSpan w:val="2"/>
            <w:shd w:val="clear" w:color="auto" w:fill="auto"/>
            <w:tcMar>
              <w:top w:w="110" w:type="dxa"/>
            </w:tcMar>
          </w:tcPr>
          <w:p w:rsidR="00A336D0" w:rsidRPr="00AB5747" w:rsidRDefault="00A336D0" w:rsidP="00F053BA">
            <w:pPr>
              <w:keepNext/>
              <w:keepLines/>
              <w:jc w:val="center"/>
              <w:rPr>
                <w:b/>
                <w:bCs/>
                <w:color w:val="00B050"/>
                <w:sz w:val="16"/>
                <w:szCs w:val="16"/>
              </w:rPr>
            </w:pPr>
            <w:r>
              <w:rPr>
                <w:b/>
                <w:color w:val="00B050"/>
                <w:sz w:val="16"/>
              </w:rPr>
              <w:t>Выполнено</w:t>
            </w:r>
          </w:p>
        </w:tc>
      </w:tr>
      <w:tr w:rsidR="00A336D0" w:rsidRPr="00B36F18" w:rsidTr="00F053BA">
        <w:tc>
          <w:tcPr>
            <w:tcW w:w="1239" w:type="pct"/>
            <w:shd w:val="clear" w:color="auto" w:fill="FFFFFF"/>
          </w:tcPr>
          <w:p w:rsidR="00A336D0" w:rsidRPr="00A336D0" w:rsidRDefault="00A336D0" w:rsidP="00F053BA">
            <w:pPr>
              <w:rPr>
                <w:rFonts w:cs="Arial"/>
                <w:sz w:val="16"/>
                <w:szCs w:val="16"/>
                <w:lang w:val="ru-RU"/>
              </w:rPr>
            </w:pPr>
            <w:r w:rsidRPr="00A336D0">
              <w:rPr>
                <w:sz w:val="16"/>
                <w:lang w:val="ru-RU"/>
              </w:rPr>
              <w:t>Прогресс в пересмотре Типового закона о патентах для развивающихся стран и НРС при условии одобрения государствами-членами</w:t>
            </w:r>
          </w:p>
        </w:tc>
        <w:tc>
          <w:tcPr>
            <w:tcW w:w="1167" w:type="pct"/>
            <w:shd w:val="clear" w:color="auto" w:fill="auto"/>
          </w:tcPr>
          <w:p w:rsidR="00A336D0" w:rsidRPr="00A336D0" w:rsidRDefault="00A336D0" w:rsidP="00F053BA">
            <w:pPr>
              <w:rPr>
                <w:rFonts w:cs="Arial"/>
                <w:color w:val="002060"/>
                <w:sz w:val="16"/>
                <w:szCs w:val="16"/>
                <w:lang w:val="ru-RU"/>
              </w:rPr>
            </w:pPr>
            <w:r w:rsidRPr="00A336D0">
              <w:rPr>
                <w:i/>
                <w:color w:val="002060"/>
                <w:sz w:val="16"/>
                <w:lang w:val="ru-RU"/>
              </w:rPr>
              <w:t>Обновленные базовые показатели, конец 2013</w:t>
            </w:r>
            <w:r>
              <w:rPr>
                <w:i/>
                <w:color w:val="002060"/>
                <w:sz w:val="16"/>
              </w:rPr>
              <w:t> </w:t>
            </w:r>
            <w:r w:rsidRPr="00A336D0">
              <w:rPr>
                <w:i/>
                <w:color w:val="002060"/>
                <w:sz w:val="16"/>
                <w:lang w:val="ru-RU"/>
              </w:rPr>
              <w:t xml:space="preserve">г.:  </w:t>
            </w:r>
            <w:r w:rsidRPr="00A336D0">
              <w:rPr>
                <w:color w:val="002060"/>
                <w:sz w:val="16"/>
                <w:lang w:val="ru-RU"/>
              </w:rPr>
              <w:t>одно совещание экспертов</w:t>
            </w:r>
          </w:p>
          <w:p w:rsidR="00A336D0" w:rsidRPr="00A336D0" w:rsidRDefault="00A336D0" w:rsidP="00F053BA">
            <w:pPr>
              <w:rPr>
                <w:rFonts w:cs="Arial"/>
                <w:i/>
                <w:sz w:val="8"/>
                <w:szCs w:val="8"/>
                <w:lang w:val="ru-RU"/>
              </w:rPr>
            </w:pPr>
          </w:p>
          <w:p w:rsidR="00A336D0" w:rsidRPr="00A336D0" w:rsidRDefault="00A336D0" w:rsidP="00F053BA">
            <w:pPr>
              <w:rPr>
                <w:rFonts w:cs="Arial"/>
                <w:sz w:val="16"/>
                <w:szCs w:val="16"/>
                <w:lang w:val="ru-RU"/>
              </w:rPr>
            </w:pPr>
            <w:r w:rsidRPr="00A336D0">
              <w:rPr>
                <w:i/>
                <w:sz w:val="16"/>
                <w:lang w:val="ru-RU"/>
              </w:rPr>
              <w:t xml:space="preserve">Исходные базовые показатели ПиБ на 2014–2015 гг.: </w:t>
            </w:r>
            <w:r w:rsidRPr="00A336D0">
              <w:rPr>
                <w:sz w:val="16"/>
                <w:lang w:val="ru-RU"/>
              </w:rPr>
              <w:t>будут определены позднее</w:t>
            </w:r>
          </w:p>
          <w:p w:rsidR="00A336D0" w:rsidRPr="00A336D0" w:rsidRDefault="00A336D0" w:rsidP="00F053BA">
            <w:pPr>
              <w:rPr>
                <w:rFonts w:cs="Arial"/>
                <w:i/>
                <w:sz w:val="16"/>
                <w:szCs w:val="16"/>
                <w:lang w:val="ru-RU"/>
              </w:rPr>
            </w:pPr>
          </w:p>
        </w:tc>
        <w:tc>
          <w:tcPr>
            <w:tcW w:w="678" w:type="pct"/>
            <w:shd w:val="clear" w:color="auto" w:fill="auto"/>
            <w:tcMar>
              <w:top w:w="110" w:type="dxa"/>
            </w:tcMar>
          </w:tcPr>
          <w:p w:rsidR="00A336D0" w:rsidRPr="00A336D0" w:rsidRDefault="00A336D0" w:rsidP="00F053BA">
            <w:pPr>
              <w:autoSpaceDE w:val="0"/>
              <w:autoSpaceDN w:val="0"/>
              <w:adjustRightInd w:val="0"/>
              <w:rPr>
                <w:rFonts w:cs="Arial"/>
                <w:sz w:val="16"/>
                <w:szCs w:val="16"/>
                <w:lang w:val="ru-RU"/>
              </w:rPr>
            </w:pPr>
            <w:r w:rsidRPr="00A336D0">
              <w:rPr>
                <w:sz w:val="16"/>
                <w:lang w:val="ru-RU"/>
              </w:rPr>
              <w:t>Прогресс в подготовительной работе по обновлению Типового закона ВОИС о патентах</w:t>
            </w:r>
          </w:p>
        </w:tc>
        <w:tc>
          <w:tcPr>
            <w:tcW w:w="1404" w:type="pct"/>
            <w:gridSpan w:val="2"/>
            <w:shd w:val="clear" w:color="auto" w:fill="FFFFFF"/>
            <w:tcMar>
              <w:top w:w="110" w:type="dxa"/>
            </w:tcMar>
          </w:tcPr>
          <w:p w:rsidR="00A336D0" w:rsidRPr="00A336D0" w:rsidRDefault="00A336D0" w:rsidP="00F053BA">
            <w:pPr>
              <w:rPr>
                <w:rFonts w:cs="Arial"/>
                <w:sz w:val="16"/>
                <w:szCs w:val="16"/>
                <w:lang w:val="ru-RU"/>
              </w:rPr>
            </w:pPr>
            <w:r w:rsidRPr="00A336D0">
              <w:rPr>
                <w:sz w:val="16"/>
                <w:lang w:val="ru-RU"/>
              </w:rPr>
              <w:t>ПКПП продолжил обсуждение предложения ГРУЛАК.</w:t>
            </w:r>
          </w:p>
        </w:tc>
        <w:tc>
          <w:tcPr>
            <w:tcW w:w="511" w:type="pct"/>
            <w:gridSpan w:val="2"/>
            <w:shd w:val="clear" w:color="auto" w:fill="auto"/>
            <w:tcMar>
              <w:top w:w="110" w:type="dxa"/>
            </w:tcMar>
          </w:tcPr>
          <w:p w:rsidR="00A336D0" w:rsidRPr="00AB5747" w:rsidRDefault="00A336D0" w:rsidP="00F053BA">
            <w:pPr>
              <w:keepNext/>
              <w:keepLines/>
              <w:jc w:val="center"/>
              <w:rPr>
                <w:rFonts w:cs="Arial"/>
                <w:color w:val="FF0000"/>
                <w:sz w:val="16"/>
                <w:szCs w:val="16"/>
              </w:rPr>
            </w:pPr>
            <w:r>
              <w:rPr>
                <w:b/>
                <w:color w:val="FF0000"/>
                <w:sz w:val="16"/>
              </w:rPr>
              <w:t>Не выполнено</w:t>
            </w:r>
          </w:p>
        </w:tc>
      </w:tr>
    </w:tbl>
    <w:p w:rsidR="00A336D0" w:rsidRDefault="00A336D0" w:rsidP="00A336D0">
      <w:pPr>
        <w:rPr>
          <w:rFonts w:cs="Arial"/>
        </w:rPr>
      </w:pPr>
    </w:p>
    <w:p w:rsidR="00A336D0" w:rsidRDefault="00A336D0" w:rsidP="00A336D0">
      <w:pPr>
        <w:rPr>
          <w:rFonts w:cs="Arial"/>
        </w:rPr>
      </w:pPr>
    </w:p>
    <w:p w:rsidR="00A336D0" w:rsidRPr="00A336D0" w:rsidRDefault="00A336D0" w:rsidP="00A336D0">
      <w:pPr>
        <w:keepNext/>
        <w:keepLines/>
        <w:rPr>
          <w:rFonts w:cs="Arial"/>
          <w:color w:val="000000"/>
          <w:sz w:val="22"/>
          <w:szCs w:val="22"/>
          <w:lang w:val="ru-RU"/>
        </w:rPr>
      </w:pPr>
      <w:r w:rsidRPr="00A336D0">
        <w:rPr>
          <w:color w:val="000000"/>
          <w:sz w:val="22"/>
          <w:lang w:val="ru-RU"/>
        </w:rPr>
        <w:t xml:space="preserve">ОТЧЕТ О РИСКАХ В ДВУХЛЕТНИЙ ПЕРИОД </w:t>
      </w:r>
    </w:p>
    <w:p w:rsidR="00A336D0" w:rsidRPr="00A336D0" w:rsidRDefault="00A336D0" w:rsidP="00A336D0">
      <w:pPr>
        <w:keepNext/>
        <w:keepLines/>
        <w:rPr>
          <w:rFonts w:cs="Arial"/>
          <w:color w:val="000000"/>
          <w:sz w:val="22"/>
          <w:szCs w:val="22"/>
          <w:lang w:val="ru-RU"/>
        </w:rPr>
      </w:pPr>
    </w:p>
    <w:tbl>
      <w:tblPr>
        <w:tblW w:w="0" w:type="auto"/>
        <w:tblInd w:w="108" w:type="dxa"/>
        <w:tblLook w:val="01E0" w:firstRow="1" w:lastRow="1" w:firstColumn="1" w:lastColumn="1" w:noHBand="0" w:noVBand="0"/>
      </w:tblPr>
      <w:tblGrid>
        <w:gridCol w:w="2420"/>
        <w:gridCol w:w="2200"/>
        <w:gridCol w:w="2310"/>
        <w:gridCol w:w="2306"/>
      </w:tblGrid>
      <w:tr w:rsidR="00A336D0" w:rsidTr="00F053BA">
        <w:trPr>
          <w:trHeight w:val="577"/>
        </w:trPr>
        <w:tc>
          <w:tcPr>
            <w:tcW w:w="2420" w:type="dxa"/>
            <w:tcBorders>
              <w:top w:val="single" w:sz="4" w:space="0" w:color="auto"/>
              <w:left w:val="single" w:sz="4" w:space="0" w:color="auto"/>
              <w:bottom w:val="single" w:sz="4" w:space="0" w:color="auto"/>
            </w:tcBorders>
            <w:shd w:val="clear" w:color="auto" w:fill="C6D9F1" w:themeFill="text2" w:themeFillTint="33"/>
            <w:vAlign w:val="center"/>
          </w:tcPr>
          <w:p w:rsidR="00A336D0" w:rsidRPr="00A336D0" w:rsidRDefault="00A336D0" w:rsidP="00F053BA">
            <w:pPr>
              <w:autoSpaceDE w:val="0"/>
              <w:autoSpaceDN w:val="0"/>
              <w:adjustRightInd w:val="0"/>
              <w:ind w:right="-59"/>
              <w:jc w:val="center"/>
              <w:rPr>
                <w:b/>
                <w:bCs/>
                <w:iCs/>
                <w:sz w:val="18"/>
                <w:szCs w:val="18"/>
                <w:lang w:val="ru-RU"/>
              </w:rPr>
            </w:pPr>
            <w:r w:rsidRPr="00A336D0">
              <w:rPr>
                <w:b/>
                <w:sz w:val="18"/>
                <w:lang w:val="ru-RU"/>
              </w:rPr>
              <w:t>Риск (риски) того, что результаты программы не будут достигнуты</w:t>
            </w:r>
          </w:p>
        </w:tc>
        <w:tc>
          <w:tcPr>
            <w:tcW w:w="2200" w:type="dxa"/>
            <w:tcBorders>
              <w:top w:val="single" w:sz="4" w:space="0" w:color="auto"/>
              <w:bottom w:val="single" w:sz="4" w:space="0" w:color="auto"/>
            </w:tcBorders>
            <w:shd w:val="clear" w:color="auto" w:fill="C6D9F1" w:themeFill="text2" w:themeFillTint="33"/>
            <w:vAlign w:val="center"/>
          </w:tcPr>
          <w:p w:rsidR="00A336D0" w:rsidRPr="00A336D0" w:rsidRDefault="00A336D0" w:rsidP="00F053BA">
            <w:pPr>
              <w:autoSpaceDE w:val="0"/>
              <w:autoSpaceDN w:val="0"/>
              <w:adjustRightInd w:val="0"/>
              <w:ind w:right="-59"/>
              <w:jc w:val="center"/>
              <w:rPr>
                <w:b/>
                <w:bCs/>
                <w:iCs/>
                <w:sz w:val="18"/>
                <w:szCs w:val="18"/>
                <w:lang w:val="ru-RU"/>
              </w:rPr>
            </w:pPr>
            <w:r w:rsidRPr="00A336D0">
              <w:rPr>
                <w:b/>
                <w:sz w:val="18"/>
                <w:lang w:val="ru-RU"/>
              </w:rPr>
              <w:t>Действующие или разрабатываемые планы по снижению рисков</w:t>
            </w:r>
          </w:p>
        </w:tc>
        <w:tc>
          <w:tcPr>
            <w:tcW w:w="2310" w:type="dxa"/>
            <w:tcBorders>
              <w:top w:val="single" w:sz="4" w:space="0" w:color="auto"/>
              <w:bottom w:val="single" w:sz="4" w:space="0" w:color="auto"/>
            </w:tcBorders>
            <w:shd w:val="clear" w:color="auto" w:fill="C6D9F1" w:themeFill="text2" w:themeFillTint="33"/>
          </w:tcPr>
          <w:p w:rsidR="00A336D0" w:rsidRPr="00A336D0" w:rsidRDefault="00A336D0" w:rsidP="00F053BA">
            <w:pPr>
              <w:autoSpaceDE w:val="0"/>
              <w:autoSpaceDN w:val="0"/>
              <w:adjustRightInd w:val="0"/>
              <w:ind w:right="-59"/>
              <w:jc w:val="center"/>
              <w:rPr>
                <w:b/>
                <w:bCs/>
                <w:iCs/>
                <w:sz w:val="18"/>
                <w:szCs w:val="18"/>
                <w:lang w:val="ru-RU"/>
              </w:rPr>
            </w:pPr>
            <w:r w:rsidRPr="00A336D0">
              <w:rPr>
                <w:b/>
                <w:sz w:val="18"/>
                <w:lang w:val="ru-RU"/>
              </w:rPr>
              <w:t>Развитие риска (рисков) и стратегий его (их) снижения в двухлетний период</w:t>
            </w:r>
          </w:p>
        </w:tc>
        <w:tc>
          <w:tcPr>
            <w:tcW w:w="2306" w:type="dxa"/>
            <w:tcBorders>
              <w:top w:val="single" w:sz="4" w:space="0" w:color="auto"/>
              <w:bottom w:val="single" w:sz="4" w:space="0" w:color="auto"/>
              <w:right w:val="single" w:sz="4" w:space="0" w:color="auto"/>
            </w:tcBorders>
            <w:shd w:val="clear" w:color="auto" w:fill="C6D9F1" w:themeFill="text2" w:themeFillTint="33"/>
          </w:tcPr>
          <w:p w:rsidR="00A336D0" w:rsidRPr="00F40ED0" w:rsidRDefault="00A336D0" w:rsidP="00F053BA">
            <w:pPr>
              <w:autoSpaceDE w:val="0"/>
              <w:autoSpaceDN w:val="0"/>
              <w:adjustRightInd w:val="0"/>
              <w:ind w:right="-59"/>
              <w:jc w:val="center"/>
              <w:rPr>
                <w:b/>
                <w:bCs/>
                <w:iCs/>
                <w:sz w:val="18"/>
                <w:szCs w:val="18"/>
              </w:rPr>
            </w:pPr>
            <w:r>
              <w:rPr>
                <w:b/>
                <w:sz w:val="18"/>
              </w:rPr>
              <w:t xml:space="preserve">Влияние на </w:t>
            </w:r>
            <w:r>
              <w:rPr>
                <w:b/>
                <w:sz w:val="18"/>
              </w:rPr>
              <w:br/>
              <w:t xml:space="preserve">реализацию </w:t>
            </w:r>
            <w:r>
              <w:rPr>
                <w:b/>
                <w:sz w:val="18"/>
              </w:rPr>
              <w:br/>
              <w:t>программы</w:t>
            </w:r>
          </w:p>
        </w:tc>
      </w:tr>
      <w:tr w:rsidR="00A336D0" w:rsidRPr="005C6ABD" w:rsidTr="00F053BA">
        <w:trPr>
          <w:trHeight w:val="1332"/>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A336D0" w:rsidRPr="00A336D0" w:rsidRDefault="00A336D0" w:rsidP="00F053BA">
            <w:pPr>
              <w:rPr>
                <w:sz w:val="16"/>
                <w:szCs w:val="16"/>
                <w:lang w:val="ru-RU"/>
              </w:rPr>
            </w:pPr>
            <w:r w:rsidRPr="00A336D0">
              <w:rPr>
                <w:sz w:val="16"/>
                <w:lang w:val="ru-RU"/>
              </w:rPr>
              <w:t>Снижение авторитета Постоянного комитета по патентному праву как многостороннего форума.</w:t>
            </w:r>
          </w:p>
          <w:p w:rsidR="00A336D0" w:rsidRPr="00A336D0" w:rsidRDefault="00A336D0" w:rsidP="00F053BA">
            <w:pPr>
              <w:autoSpaceDE w:val="0"/>
              <w:autoSpaceDN w:val="0"/>
              <w:adjustRightInd w:val="0"/>
              <w:ind w:right="-59"/>
              <w:jc w:val="both"/>
              <w:rPr>
                <w:sz w:val="16"/>
                <w:szCs w:val="16"/>
                <w:lang w:val="ru-RU"/>
              </w:rPr>
            </w:pPr>
          </w:p>
        </w:tc>
        <w:tc>
          <w:tcPr>
            <w:tcW w:w="2200" w:type="dxa"/>
            <w:tcBorders>
              <w:top w:val="single" w:sz="4" w:space="0" w:color="auto"/>
              <w:bottom w:val="single" w:sz="4" w:space="0" w:color="auto"/>
            </w:tcBorders>
            <w:shd w:val="clear" w:color="auto" w:fill="auto"/>
            <w:tcMar>
              <w:top w:w="113" w:type="dxa"/>
              <w:bottom w:w="113" w:type="dxa"/>
            </w:tcMar>
          </w:tcPr>
          <w:p w:rsidR="00A336D0" w:rsidRPr="00A336D0" w:rsidRDefault="00A336D0" w:rsidP="00F053BA">
            <w:pPr>
              <w:rPr>
                <w:sz w:val="16"/>
                <w:szCs w:val="16"/>
                <w:lang w:val="ru-RU"/>
              </w:rPr>
            </w:pPr>
            <w:r w:rsidRPr="00A336D0">
              <w:rPr>
                <w:sz w:val="16"/>
                <w:lang w:val="ru-RU"/>
              </w:rPr>
              <w:t>Осуществление объективного и профессионального руководства.</w:t>
            </w:r>
          </w:p>
          <w:p w:rsidR="00A336D0" w:rsidRPr="00A336D0" w:rsidRDefault="00A336D0" w:rsidP="00F053BA">
            <w:pPr>
              <w:rPr>
                <w:sz w:val="16"/>
                <w:szCs w:val="16"/>
                <w:lang w:val="ru-RU"/>
              </w:rPr>
            </w:pPr>
          </w:p>
          <w:p w:rsidR="00A336D0" w:rsidRPr="00A336D0" w:rsidRDefault="00A336D0" w:rsidP="00F053BA">
            <w:pPr>
              <w:rPr>
                <w:sz w:val="16"/>
                <w:szCs w:val="16"/>
                <w:lang w:val="ru-RU"/>
              </w:rPr>
            </w:pPr>
            <w:r w:rsidRPr="00A336D0">
              <w:rPr>
                <w:sz w:val="16"/>
                <w:lang w:val="ru-RU"/>
              </w:rPr>
              <w:t>Обеспечение всеохватывающих и нейтральных условий для диалога между государствами-членами.</w:t>
            </w:r>
          </w:p>
          <w:p w:rsidR="00A336D0" w:rsidRPr="00A336D0" w:rsidRDefault="00A336D0" w:rsidP="00F053BA">
            <w:pPr>
              <w:rPr>
                <w:sz w:val="16"/>
                <w:szCs w:val="16"/>
                <w:lang w:val="ru-RU"/>
              </w:rPr>
            </w:pPr>
          </w:p>
          <w:p w:rsidR="00A336D0" w:rsidRPr="00A336D0" w:rsidRDefault="00A336D0" w:rsidP="00F053BA">
            <w:pPr>
              <w:autoSpaceDE w:val="0"/>
              <w:autoSpaceDN w:val="0"/>
              <w:adjustRightInd w:val="0"/>
              <w:ind w:right="-59"/>
              <w:rPr>
                <w:sz w:val="16"/>
                <w:szCs w:val="16"/>
                <w:lang w:val="ru-RU"/>
              </w:rPr>
            </w:pPr>
            <w:r w:rsidRPr="00A336D0">
              <w:rPr>
                <w:sz w:val="16"/>
                <w:lang w:val="ru-RU"/>
              </w:rPr>
              <w:t>Предоставление государствам-членам необходимой им своевременной, точной и актуальной информации.</w:t>
            </w:r>
          </w:p>
        </w:tc>
        <w:tc>
          <w:tcPr>
            <w:tcW w:w="2310" w:type="dxa"/>
            <w:tcBorders>
              <w:top w:val="single" w:sz="4" w:space="0" w:color="auto"/>
              <w:bottom w:val="single" w:sz="4" w:space="0" w:color="auto"/>
            </w:tcBorders>
          </w:tcPr>
          <w:p w:rsidR="00A336D0" w:rsidRPr="00A336D0" w:rsidRDefault="00A336D0" w:rsidP="00F053BA">
            <w:pPr>
              <w:rPr>
                <w:sz w:val="16"/>
                <w:szCs w:val="16"/>
                <w:lang w:val="ru-RU"/>
              </w:rPr>
            </w:pPr>
            <w:r w:rsidRPr="00A336D0">
              <w:rPr>
                <w:sz w:val="16"/>
                <w:lang w:val="ru-RU"/>
              </w:rPr>
              <w:t xml:space="preserve">Этот риск постоянно присутствует при реализации программы, в том числе в рассматриваемый двухлетний период. Он также был включен в число основных рисков для достижения ожидаемых результатов программы на следующий двухлетний период. </w:t>
            </w:r>
          </w:p>
          <w:p w:rsidR="00A336D0" w:rsidRPr="00A336D0" w:rsidRDefault="00A336D0" w:rsidP="00F053BA">
            <w:pPr>
              <w:rPr>
                <w:sz w:val="16"/>
                <w:szCs w:val="16"/>
                <w:lang w:val="ru-RU"/>
              </w:rPr>
            </w:pPr>
          </w:p>
        </w:tc>
        <w:tc>
          <w:tcPr>
            <w:tcW w:w="2306" w:type="dxa"/>
            <w:tcBorders>
              <w:top w:val="single" w:sz="4" w:space="0" w:color="auto"/>
              <w:bottom w:val="single" w:sz="4" w:space="0" w:color="auto"/>
              <w:right w:val="single" w:sz="4" w:space="0" w:color="auto"/>
            </w:tcBorders>
          </w:tcPr>
          <w:p w:rsidR="00A336D0" w:rsidRPr="00A336D0" w:rsidRDefault="00A336D0" w:rsidP="00F053BA">
            <w:pPr>
              <w:rPr>
                <w:sz w:val="16"/>
                <w:szCs w:val="16"/>
                <w:lang w:val="ru-RU"/>
              </w:rPr>
            </w:pPr>
            <w:r w:rsidRPr="00A336D0">
              <w:rPr>
                <w:sz w:val="16"/>
                <w:lang w:val="ru-RU"/>
              </w:rPr>
              <w:t>Источник этого риска в основном связан с различиями в позициях государств-членов по дальнейшему развитию дискуссий в ПКПП, что стало причиной замедления прогресса в его работе.</w:t>
            </w:r>
          </w:p>
        </w:tc>
      </w:tr>
    </w:tbl>
    <w:p w:rsidR="00A336D0" w:rsidRPr="00A336D0" w:rsidRDefault="00A336D0" w:rsidP="00A336D0">
      <w:pPr>
        <w:keepNext/>
        <w:keepLines/>
        <w:rPr>
          <w:rFonts w:cs="Arial"/>
          <w:color w:val="000000"/>
          <w:sz w:val="22"/>
          <w:szCs w:val="22"/>
          <w:lang w:val="ru-RU"/>
        </w:rPr>
      </w:pPr>
    </w:p>
    <w:p w:rsidR="00A336D0" w:rsidRPr="00A336D0" w:rsidRDefault="00A336D0" w:rsidP="00A336D0">
      <w:pPr>
        <w:keepNext/>
        <w:keepLines/>
        <w:rPr>
          <w:rFonts w:cs="Arial"/>
          <w:color w:val="000000"/>
          <w:sz w:val="22"/>
          <w:szCs w:val="22"/>
          <w:lang w:val="ru-RU"/>
        </w:rPr>
      </w:pPr>
    </w:p>
    <w:p w:rsidR="00A336D0" w:rsidRPr="00D8021C" w:rsidRDefault="00A336D0" w:rsidP="00A336D0">
      <w:pPr>
        <w:keepNext/>
        <w:keepLines/>
        <w:rPr>
          <w:b/>
          <w:sz w:val="18"/>
          <w:szCs w:val="18"/>
          <w:lang w:val="ru-RU"/>
        </w:rPr>
      </w:pPr>
      <w:r w:rsidRPr="00D8021C">
        <w:rPr>
          <w:color w:val="000000"/>
          <w:sz w:val="22"/>
          <w:lang w:val="ru-RU"/>
        </w:rPr>
        <w:t>ИСПОЛЬЗОВАНИЕ РЕСУРСОВ</w:t>
      </w:r>
      <w:r w:rsidRPr="00D8021C">
        <w:rPr>
          <w:lang w:val="ru-RU"/>
        </w:rPr>
        <w:tab/>
      </w:r>
    </w:p>
    <w:p w:rsidR="00A336D0" w:rsidRPr="00D8021C" w:rsidRDefault="00A336D0" w:rsidP="00A336D0">
      <w:pPr>
        <w:keepNext/>
        <w:keepLines/>
        <w:rPr>
          <w:szCs w:val="20"/>
          <w:lang w:val="ru-RU"/>
        </w:rPr>
      </w:pPr>
    </w:p>
    <w:p w:rsidR="00A336D0" w:rsidRPr="00A336D0" w:rsidRDefault="00A336D0" w:rsidP="00A336D0">
      <w:pPr>
        <w:pStyle w:val="NormalWeb"/>
        <w:keepNext/>
        <w:keepLines/>
        <w:spacing w:before="0" w:beforeAutospacing="0" w:after="0" w:afterAutospacing="0"/>
        <w:jc w:val="center"/>
        <w:rPr>
          <w:sz w:val="20"/>
          <w:szCs w:val="20"/>
          <w:lang w:val="ru-RU"/>
        </w:rPr>
      </w:pPr>
      <w:r w:rsidRPr="00A336D0">
        <w:rPr>
          <w:color w:val="000000"/>
          <w:sz w:val="20"/>
          <w:lang w:val="ru-RU"/>
        </w:rPr>
        <w:t xml:space="preserve">Бюджет и фактические расходы (в разбивке по результатам) </w:t>
      </w:r>
    </w:p>
    <w:p w:rsidR="00A336D0" w:rsidRDefault="00A336D0" w:rsidP="00A336D0">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A336D0" w:rsidRPr="00383D2D" w:rsidRDefault="00A336D0" w:rsidP="00A336D0">
      <w:pPr>
        <w:pStyle w:val="NormalWeb"/>
        <w:keepNext/>
        <w:keepLines/>
        <w:spacing w:before="0" w:beforeAutospacing="0" w:after="0" w:afterAutospacing="0"/>
        <w:jc w:val="center"/>
        <w:rPr>
          <w:sz w:val="20"/>
          <w:szCs w:val="20"/>
        </w:rPr>
      </w:pPr>
    </w:p>
    <w:p w:rsidR="00A336D0" w:rsidRPr="00311C88" w:rsidRDefault="00A336D0" w:rsidP="00A336D0">
      <w:pPr>
        <w:jc w:val="center"/>
      </w:pPr>
      <w:r w:rsidRPr="00311C88">
        <w:rPr>
          <w:noProof/>
        </w:rPr>
        <w:drawing>
          <wp:inline distT="0" distB="0" distL="0" distR="0" wp14:anchorId="1CA0A2A6" wp14:editId="598C836F">
            <wp:extent cx="5732145" cy="1969528"/>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2145" cy="1969528"/>
                    </a:xfrm>
                    <a:prstGeom prst="rect">
                      <a:avLst/>
                    </a:prstGeom>
                    <a:noFill/>
                    <a:ln>
                      <a:noFill/>
                    </a:ln>
                  </pic:spPr>
                </pic:pic>
              </a:graphicData>
            </a:graphic>
          </wp:inline>
        </w:drawing>
      </w:r>
    </w:p>
    <w:p w:rsidR="00A336D0" w:rsidRDefault="00A336D0" w:rsidP="00A336D0"/>
    <w:p w:rsidR="00A336D0" w:rsidRDefault="00A336D0" w:rsidP="00A336D0"/>
    <w:p w:rsidR="00A336D0" w:rsidRPr="00A336D0" w:rsidRDefault="00A336D0" w:rsidP="00A336D0">
      <w:pPr>
        <w:pStyle w:val="NormalWeb"/>
        <w:keepNext/>
        <w:keepLines/>
        <w:spacing w:before="0" w:beforeAutospacing="0" w:after="0" w:afterAutospacing="0"/>
        <w:jc w:val="center"/>
        <w:rPr>
          <w:sz w:val="20"/>
          <w:szCs w:val="20"/>
          <w:lang w:val="ru-RU"/>
        </w:rPr>
      </w:pPr>
      <w:r w:rsidRPr="00A336D0">
        <w:rPr>
          <w:color w:val="000000"/>
          <w:sz w:val="20"/>
          <w:lang w:val="ru-RU"/>
        </w:rPr>
        <w:t xml:space="preserve">Бюджет и фактические расходы (по персоналу и не связанные с персоналом) </w:t>
      </w:r>
    </w:p>
    <w:p w:rsidR="00A336D0" w:rsidRPr="00383D2D" w:rsidRDefault="00A336D0" w:rsidP="00A336D0">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A336D0" w:rsidRDefault="00A336D0" w:rsidP="00A336D0">
      <w:pPr>
        <w:pStyle w:val="NormalWeb"/>
        <w:keepNext/>
        <w:keepLines/>
        <w:spacing w:before="0" w:beforeAutospacing="0" w:after="0" w:afterAutospacing="0"/>
        <w:jc w:val="center"/>
      </w:pPr>
    </w:p>
    <w:p w:rsidR="00A336D0" w:rsidRPr="008F4A6D" w:rsidRDefault="00A336D0" w:rsidP="00A336D0">
      <w:pPr>
        <w:widowControl w:val="0"/>
        <w:autoSpaceDE w:val="0"/>
        <w:autoSpaceDN w:val="0"/>
        <w:adjustRightInd w:val="0"/>
        <w:jc w:val="center"/>
        <w:rPr>
          <w:rFonts w:cs="Arial"/>
          <w:szCs w:val="20"/>
        </w:rPr>
      </w:pPr>
      <w:r>
        <w:rPr>
          <w:rFonts w:cs="Arial"/>
          <w:noProof/>
          <w:szCs w:val="20"/>
        </w:rPr>
        <w:drawing>
          <wp:inline distT="0" distB="0" distL="0" distR="0" wp14:anchorId="7E9B1DF3" wp14:editId="1FD8F14F">
            <wp:extent cx="5732145" cy="1295612"/>
            <wp:effectExtent l="0" t="0" r="190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2145" cy="1295612"/>
                    </a:xfrm>
                    <a:prstGeom prst="rect">
                      <a:avLst/>
                    </a:prstGeom>
                    <a:noFill/>
                    <a:ln>
                      <a:noFill/>
                    </a:ln>
                  </pic:spPr>
                </pic:pic>
              </a:graphicData>
            </a:graphic>
          </wp:inline>
        </w:drawing>
      </w:r>
    </w:p>
    <w:p w:rsidR="00A336D0" w:rsidRDefault="00A336D0" w:rsidP="00A336D0">
      <w:pPr>
        <w:rPr>
          <w:rFonts w:cs="Arial"/>
          <w:szCs w:val="20"/>
        </w:rPr>
      </w:pPr>
    </w:p>
    <w:p w:rsidR="00A336D0" w:rsidRDefault="00A336D0" w:rsidP="00A336D0">
      <w:pPr>
        <w:rPr>
          <w:rFonts w:cs="Arial"/>
          <w:szCs w:val="20"/>
        </w:rPr>
      </w:pPr>
    </w:p>
    <w:p w:rsidR="00A336D0" w:rsidRPr="00A336D0" w:rsidRDefault="00A336D0" w:rsidP="00A336D0">
      <w:pPr>
        <w:keepNext/>
        <w:keepLines/>
        <w:rPr>
          <w:rFonts w:cs="Arial"/>
          <w:u w:val="single"/>
          <w:lang w:val="ru-RU"/>
        </w:rPr>
      </w:pPr>
      <w:r>
        <w:t>A</w:t>
      </w:r>
      <w:r w:rsidRPr="00A336D0">
        <w:rPr>
          <w:lang w:val="ru-RU"/>
        </w:rPr>
        <w:t>.</w:t>
      </w:r>
      <w:r w:rsidRPr="00A336D0">
        <w:rPr>
          <w:lang w:val="ru-RU"/>
        </w:rPr>
        <w:tab/>
      </w:r>
      <w:r w:rsidR="00F053BA">
        <w:rPr>
          <w:u w:val="single"/>
          <w:lang w:val="ru-RU"/>
        </w:rPr>
        <w:t>Окончательный</w:t>
      </w:r>
      <w:r w:rsidRPr="00A336D0">
        <w:rPr>
          <w:u w:val="single"/>
          <w:lang w:val="ru-RU"/>
        </w:rPr>
        <w:t xml:space="preserve"> бюджет на 2014–2015 гг. после перераспределения средств </w:t>
      </w:r>
    </w:p>
    <w:p w:rsidR="00A336D0" w:rsidRPr="00A336D0" w:rsidRDefault="00A336D0" w:rsidP="00A336D0">
      <w:pPr>
        <w:keepNext/>
        <w:keepLines/>
        <w:autoSpaceDE w:val="0"/>
        <w:autoSpaceDN w:val="0"/>
        <w:jc w:val="both"/>
        <w:rPr>
          <w:rFonts w:cs="Arial"/>
          <w:szCs w:val="20"/>
          <w:lang w:val="ru-RU"/>
        </w:rPr>
      </w:pPr>
    </w:p>
    <w:p w:rsidR="00A336D0" w:rsidRPr="00A336D0" w:rsidRDefault="00A336D0" w:rsidP="00A336D0">
      <w:pPr>
        <w:pStyle w:val="ListParagraph"/>
        <w:keepNext/>
        <w:keepLines/>
        <w:numPr>
          <w:ilvl w:val="0"/>
          <w:numId w:val="10"/>
        </w:numPr>
        <w:tabs>
          <w:tab w:val="left" w:pos="0"/>
          <w:tab w:val="left" w:pos="709"/>
        </w:tabs>
        <w:ind w:left="0" w:firstLine="0"/>
        <w:jc w:val="both"/>
        <w:rPr>
          <w:rFonts w:cs="Arial"/>
          <w:lang w:val="ru-RU"/>
        </w:rPr>
      </w:pPr>
      <w:r w:rsidRPr="00A336D0">
        <w:rPr>
          <w:lang w:val="ru-RU"/>
        </w:rPr>
        <w:t>Общее увеличение итогового бюджета на 2014–2015</w:t>
      </w:r>
      <w:r>
        <w:t> </w:t>
      </w:r>
      <w:r w:rsidRPr="00A336D0">
        <w:rPr>
          <w:lang w:val="ru-RU"/>
        </w:rPr>
        <w:t>гг. после перераспределения средств было обусловлено главным образом: (</w:t>
      </w:r>
      <w:r>
        <w:t>i</w:t>
      </w:r>
      <w:r w:rsidRPr="00A336D0">
        <w:rPr>
          <w:lang w:val="ru-RU"/>
        </w:rPr>
        <w:t>)</w:t>
      </w:r>
      <w:r>
        <w:t> </w:t>
      </w:r>
      <w:r w:rsidRPr="00A336D0">
        <w:rPr>
          <w:lang w:val="ru-RU"/>
        </w:rPr>
        <w:t>направлением дополнительных ресурсов, связанных с персоналом, на достижение результата</w:t>
      </w:r>
      <w:r>
        <w:t> I</w:t>
      </w:r>
      <w:r w:rsidRPr="00A336D0">
        <w:rPr>
          <w:lang w:val="ru-RU"/>
        </w:rPr>
        <w:t>.2 (рекомендации по нормативным вопросам) для обеспечения более оперативного реагирования на увеличение числа просьб о рекомендациях по нормативным вопросам и (</w:t>
      </w:r>
      <w:r>
        <w:t>ii</w:t>
      </w:r>
      <w:r w:rsidRPr="00A336D0">
        <w:rPr>
          <w:lang w:val="ru-RU"/>
        </w:rPr>
        <w:t>) передачей вопросов подготовки патентной документации из программы</w:t>
      </w:r>
      <w:r>
        <w:t> </w:t>
      </w:r>
      <w:r w:rsidRPr="00A336D0">
        <w:rPr>
          <w:lang w:val="ru-RU"/>
        </w:rPr>
        <w:t>30 в программу</w:t>
      </w:r>
      <w:r>
        <w:t> </w:t>
      </w:r>
      <w:r w:rsidRPr="00A336D0">
        <w:rPr>
          <w:lang w:val="ru-RU"/>
        </w:rPr>
        <w:t xml:space="preserve">1. </w:t>
      </w:r>
    </w:p>
    <w:p w:rsidR="00A336D0" w:rsidRPr="00A336D0" w:rsidRDefault="00A336D0" w:rsidP="00A336D0">
      <w:pPr>
        <w:autoSpaceDE w:val="0"/>
        <w:autoSpaceDN w:val="0"/>
        <w:jc w:val="both"/>
        <w:rPr>
          <w:rFonts w:cs="Arial"/>
          <w:szCs w:val="20"/>
          <w:lang w:val="ru-RU"/>
        </w:rPr>
      </w:pPr>
    </w:p>
    <w:p w:rsidR="00A336D0" w:rsidRPr="00A336D0" w:rsidRDefault="00A336D0" w:rsidP="00A336D0">
      <w:pPr>
        <w:autoSpaceDE w:val="0"/>
        <w:autoSpaceDN w:val="0"/>
        <w:jc w:val="both"/>
        <w:rPr>
          <w:rFonts w:cs="Arial"/>
          <w:szCs w:val="20"/>
          <w:lang w:val="ru-RU"/>
        </w:rPr>
      </w:pPr>
    </w:p>
    <w:p w:rsidR="00A336D0" w:rsidRPr="00A336D0" w:rsidRDefault="00A336D0" w:rsidP="00A336D0">
      <w:pPr>
        <w:jc w:val="both"/>
        <w:rPr>
          <w:rFonts w:cs="Arial"/>
          <w:szCs w:val="20"/>
          <w:u w:val="single"/>
          <w:lang w:val="ru-RU"/>
        </w:rPr>
      </w:pPr>
      <w:r>
        <w:t>B</w:t>
      </w:r>
      <w:r w:rsidRPr="00A336D0">
        <w:rPr>
          <w:lang w:val="ru-RU"/>
        </w:rPr>
        <w:t>.</w:t>
      </w:r>
      <w:r w:rsidRPr="00A336D0">
        <w:rPr>
          <w:lang w:val="ru-RU"/>
        </w:rPr>
        <w:tab/>
      </w:r>
      <w:r w:rsidRPr="00A336D0">
        <w:rPr>
          <w:u w:val="single"/>
          <w:lang w:val="ru-RU"/>
        </w:rPr>
        <w:t xml:space="preserve">Освоение бюджетных средств в 2014–2015 гг. </w:t>
      </w:r>
    </w:p>
    <w:p w:rsidR="00A336D0" w:rsidRPr="00A336D0" w:rsidRDefault="00A336D0" w:rsidP="00A336D0">
      <w:pPr>
        <w:jc w:val="both"/>
        <w:rPr>
          <w:rFonts w:cs="Arial"/>
          <w:szCs w:val="20"/>
          <w:u w:val="single"/>
          <w:lang w:val="ru-RU"/>
        </w:rPr>
      </w:pPr>
    </w:p>
    <w:p w:rsidR="00A336D0" w:rsidRPr="00A336D0" w:rsidRDefault="00A336D0" w:rsidP="00A336D0">
      <w:pPr>
        <w:pStyle w:val="ListParagraph"/>
        <w:numPr>
          <w:ilvl w:val="0"/>
          <w:numId w:val="10"/>
        </w:numPr>
        <w:tabs>
          <w:tab w:val="left" w:pos="0"/>
          <w:tab w:val="left" w:pos="709"/>
        </w:tabs>
        <w:ind w:left="0" w:firstLine="0"/>
        <w:jc w:val="both"/>
        <w:rPr>
          <w:color w:val="000000"/>
          <w:lang w:val="ru-RU"/>
        </w:rPr>
      </w:pPr>
      <w:r w:rsidRPr="00A336D0">
        <w:rPr>
          <w:lang w:val="ru-RU"/>
        </w:rPr>
        <w:tab/>
      </w:r>
      <w:r w:rsidRPr="00A336D0">
        <w:rPr>
          <w:color w:val="000000"/>
          <w:lang w:val="ru-RU"/>
        </w:rPr>
        <w:t>Общий уровень освоения бюджетных средств в двухлетний период 2014–2015</w:t>
      </w:r>
      <w:r>
        <w:rPr>
          <w:color w:val="000000"/>
        </w:rPr>
        <w:t> </w:t>
      </w:r>
      <w:r w:rsidRPr="00A336D0">
        <w:rPr>
          <w:color w:val="000000"/>
          <w:lang w:val="ru-RU"/>
        </w:rPr>
        <w:t>гг. достиг 97</w:t>
      </w:r>
      <w:r>
        <w:rPr>
          <w:color w:val="000000"/>
        </w:rPr>
        <w:t> </w:t>
      </w:r>
      <w:r w:rsidRPr="00A336D0">
        <w:rPr>
          <w:color w:val="000000"/>
          <w:lang w:val="ru-RU"/>
        </w:rPr>
        <w:t>процентов, но некоторые мероприятия, связанные с пересмотром Типового закона о патентах для развивающихся стран и НРС, не были проведены по причине отсутствия единодушия среди государств-членов на заседаниях ПКПП.</w:t>
      </w:r>
    </w:p>
    <w:p w:rsidR="00A336D0" w:rsidRPr="00A336D0" w:rsidRDefault="00A336D0" w:rsidP="00A336D0">
      <w:pPr>
        <w:pStyle w:val="ListParagraph"/>
        <w:tabs>
          <w:tab w:val="left" w:pos="709"/>
        </w:tabs>
        <w:autoSpaceDE w:val="0"/>
        <w:autoSpaceDN w:val="0"/>
        <w:ind w:left="0"/>
        <w:jc w:val="both"/>
        <w:rPr>
          <w:color w:val="000000"/>
          <w:lang w:val="ru-RU"/>
        </w:rPr>
      </w:pPr>
    </w:p>
    <w:p w:rsidR="00F52522" w:rsidRPr="00A336D0" w:rsidRDefault="00F52522" w:rsidP="00A336D0">
      <w:pPr>
        <w:pStyle w:val="ListParagraph"/>
        <w:tabs>
          <w:tab w:val="left" w:pos="0"/>
          <w:tab w:val="left" w:pos="709"/>
        </w:tabs>
        <w:ind w:left="0"/>
        <w:jc w:val="both"/>
        <w:rPr>
          <w:color w:val="000000"/>
          <w:lang w:val="ru-RU" w:eastAsia="zh-CN"/>
        </w:rPr>
      </w:pPr>
    </w:p>
    <w:p w:rsidR="00F52522" w:rsidRPr="00A336D0" w:rsidRDefault="00F52522">
      <w:pPr>
        <w:rPr>
          <w:color w:val="000000"/>
          <w:szCs w:val="20"/>
          <w:lang w:val="ru-RU" w:eastAsia="zh-CN"/>
        </w:rPr>
      </w:pPr>
      <w:r w:rsidRPr="00A336D0">
        <w:rPr>
          <w:color w:val="000000"/>
          <w:lang w:val="ru-RU" w:eastAsia="zh-CN"/>
        </w:rPr>
        <w:br w:type="page"/>
      </w:r>
    </w:p>
    <w:p w:rsidR="00A336D0" w:rsidRPr="00A336D0" w:rsidRDefault="00A336D0" w:rsidP="00A336D0">
      <w:pPr>
        <w:pStyle w:val="Heading2"/>
        <w:tabs>
          <w:tab w:val="clear" w:pos="567"/>
          <w:tab w:val="left" w:pos="1985"/>
        </w:tabs>
        <w:ind w:left="1987" w:hanging="1987"/>
        <w:rPr>
          <w:sz w:val="20"/>
          <w:szCs w:val="20"/>
          <w:lang w:val="ru-RU"/>
        </w:rPr>
      </w:pPr>
      <w:bookmarkStart w:id="55" w:name="_Toc422210478"/>
      <w:bookmarkStart w:id="56" w:name="_Toc455388102"/>
      <w:r w:rsidRPr="00A336D0">
        <w:rPr>
          <w:lang w:val="ru-RU"/>
        </w:rPr>
        <w:t>ПРОГРАММА 2</w:t>
      </w:r>
      <w:r w:rsidRPr="00A336D0">
        <w:rPr>
          <w:lang w:val="ru-RU"/>
        </w:rPr>
        <w:tab/>
        <w:t>ТОВАРНЫЕ ЗНАКИ, ПРОМЫШЛЕННЫЕ ОБРАЗЦЫ И ГЕОГРАФИЧЕСКИЕ УКАЗАНИЯ</w:t>
      </w:r>
      <w:bookmarkEnd w:id="55"/>
      <w:bookmarkEnd w:id="56"/>
    </w:p>
    <w:p w:rsidR="00A336D0" w:rsidRPr="00A336D0" w:rsidRDefault="00A336D0" w:rsidP="00A336D0">
      <w:pPr>
        <w:rPr>
          <w:szCs w:val="20"/>
          <w:lang w:val="ru-RU"/>
        </w:rPr>
      </w:pPr>
    </w:p>
    <w:p w:rsidR="00A336D0" w:rsidRPr="00A336D0" w:rsidRDefault="00A336D0" w:rsidP="00A336D0">
      <w:pPr>
        <w:tabs>
          <w:tab w:val="left" w:pos="1985"/>
        </w:tabs>
        <w:rPr>
          <w:b/>
          <w:szCs w:val="20"/>
          <w:lang w:val="ru-RU"/>
        </w:rPr>
      </w:pPr>
      <w:r w:rsidRPr="00A336D0">
        <w:rPr>
          <w:b/>
          <w:lang w:val="ru-RU"/>
        </w:rPr>
        <w:t xml:space="preserve">Руководитель программы: </w:t>
      </w:r>
      <w:r w:rsidRPr="00A336D0">
        <w:rPr>
          <w:lang w:val="ru-RU"/>
        </w:rPr>
        <w:tab/>
      </w:r>
      <w:r w:rsidRPr="00A336D0">
        <w:rPr>
          <w:b/>
          <w:lang w:val="ru-RU"/>
        </w:rPr>
        <w:t>г-жа Б. Ван</w:t>
      </w:r>
    </w:p>
    <w:p w:rsidR="00A336D0" w:rsidRPr="00A336D0" w:rsidRDefault="00A336D0" w:rsidP="00A336D0">
      <w:pPr>
        <w:tabs>
          <w:tab w:val="left" w:pos="2268"/>
        </w:tabs>
        <w:rPr>
          <w:szCs w:val="20"/>
          <w:lang w:val="ru-RU"/>
        </w:rPr>
      </w:pPr>
    </w:p>
    <w:p w:rsidR="00A336D0" w:rsidRPr="00A336D0" w:rsidRDefault="00A336D0" w:rsidP="00A336D0">
      <w:pPr>
        <w:tabs>
          <w:tab w:val="left" w:pos="2268"/>
        </w:tabs>
        <w:rPr>
          <w:bCs/>
          <w:szCs w:val="20"/>
          <w:lang w:val="ru-RU"/>
        </w:rPr>
      </w:pPr>
    </w:p>
    <w:p w:rsidR="00A336D0" w:rsidRPr="00A336D0" w:rsidRDefault="00A336D0" w:rsidP="00A336D0">
      <w:pPr>
        <w:rPr>
          <w:bCs/>
          <w:szCs w:val="20"/>
          <w:lang w:val="ru-RU"/>
        </w:rPr>
      </w:pPr>
      <w:r w:rsidRPr="00A336D0">
        <w:rPr>
          <w:lang w:val="ru-RU"/>
        </w:rPr>
        <w:t>ОБЗОР ДОСТИЖЕНИЙ ЗА ДВУХЛЕТНИЙ ПЕРИОД 2014–2015 ГГ.</w:t>
      </w:r>
    </w:p>
    <w:p w:rsidR="00A336D0" w:rsidRPr="00A336D0" w:rsidRDefault="00A336D0" w:rsidP="00A336D0">
      <w:pPr>
        <w:rPr>
          <w:bCs/>
          <w:szCs w:val="20"/>
          <w:lang w:val="ru-RU"/>
        </w:rPr>
      </w:pPr>
    </w:p>
    <w:p w:rsidR="00A336D0" w:rsidRPr="00A336D0" w:rsidRDefault="00A336D0" w:rsidP="00A336D0">
      <w:pPr>
        <w:tabs>
          <w:tab w:val="left" w:pos="567"/>
        </w:tabs>
        <w:jc w:val="both"/>
        <w:rPr>
          <w:bCs/>
          <w:szCs w:val="20"/>
          <w:lang w:val="ru-RU"/>
        </w:rPr>
      </w:pPr>
      <w:r w:rsidRPr="00A336D0">
        <w:rPr>
          <w:lang w:val="ru-RU"/>
        </w:rPr>
        <w:t>2.1.</w:t>
      </w:r>
      <w:r w:rsidRPr="00A336D0">
        <w:rPr>
          <w:lang w:val="ru-RU"/>
        </w:rPr>
        <w:tab/>
        <w:t>В рассматриваемый двухлетний период Постоянный комитет по законодательству в области товарных знаков, промышленных образцов и географических указаний (ПКТЗ) с тридцать первой по тридцать четвертую сессию продолжал работу над проектом Договора о законах по образцам, который должен быть принят на дипломатической конференции.  Вопрос о созыве такой дипломатической конференции был рассмотрен Генеральной Ассамблеей ВОИС на ее сорок седьмой (22-й очередной) сессии в октябре 2015</w:t>
      </w:r>
      <w:r>
        <w:t> </w:t>
      </w:r>
      <w:r w:rsidRPr="00A336D0">
        <w:rPr>
          <w:lang w:val="ru-RU"/>
        </w:rPr>
        <w:t xml:space="preserve">г., на которой она приняла решение «созвать дипломатическую конференцию для принятия Договора о законах по образцам в конце первой половины 2017 г. только в том случае, если обсуждение вопросов оказания технической помощи и раскрытия будет завершено на тридцать четвертой и тридцать пятой сессиях ПКТЗ».  ПКТЗ продолжил работу над охраной названий стран и принял Справочный документ по охране названий стран от регистрации и использования в качестве товарных знаков (документ </w:t>
      </w:r>
      <w:r>
        <w:t>WIPO</w:t>
      </w:r>
      <w:r w:rsidRPr="00A336D0">
        <w:rPr>
          <w:lang w:val="ru-RU"/>
        </w:rPr>
        <w:t>/</w:t>
      </w:r>
      <w:r>
        <w:t>Strad</w:t>
      </w:r>
      <w:r w:rsidRPr="00A336D0">
        <w:rPr>
          <w:lang w:val="ru-RU"/>
        </w:rPr>
        <w:t>/</w:t>
      </w:r>
      <w:r>
        <w:t>INF</w:t>
      </w:r>
      <w:r w:rsidRPr="00A336D0">
        <w:rPr>
          <w:lang w:val="ru-RU"/>
        </w:rPr>
        <w:t>/7).  Кроме того, несколько делегаций внесли предложения по вопросам работы ПКТЗ в области географических указаний.  Нормотворческая работа по линии данной программы в рамках ПКТЗ по-прежнему имела открытый характер и осуществлялась по инициативе государств-членов, как это предусмотрено рекомендацией</w:t>
      </w:r>
      <w:r>
        <w:t> </w:t>
      </w:r>
      <w:r w:rsidRPr="00A336D0">
        <w:rPr>
          <w:lang w:val="ru-RU"/>
        </w:rPr>
        <w:t>15 ПДР, а переговоры в рамках ПКТЗ проходили на основе открытых и сбалансированных консультаций, как это предусмотрено рекомендациями</w:t>
      </w:r>
      <w:r>
        <w:t> </w:t>
      </w:r>
      <w:r w:rsidRPr="00A336D0">
        <w:rPr>
          <w:lang w:val="ru-RU"/>
        </w:rPr>
        <w:t>21</w:t>
      </w:r>
      <w:r>
        <w:t> </w:t>
      </w:r>
      <w:r w:rsidRPr="00A336D0">
        <w:rPr>
          <w:lang w:val="ru-RU"/>
        </w:rPr>
        <w:t>и 42</w:t>
      </w:r>
      <w:r>
        <w:t> </w:t>
      </w:r>
      <w:r w:rsidRPr="00A336D0">
        <w:rPr>
          <w:lang w:val="ru-RU"/>
        </w:rPr>
        <w:t>ПДР.</w:t>
      </w:r>
    </w:p>
    <w:p w:rsidR="00A336D0" w:rsidRPr="00A336D0" w:rsidRDefault="00A336D0" w:rsidP="00A336D0">
      <w:pPr>
        <w:tabs>
          <w:tab w:val="left" w:pos="567"/>
        </w:tabs>
        <w:jc w:val="both"/>
        <w:rPr>
          <w:bCs/>
          <w:szCs w:val="20"/>
          <w:lang w:val="ru-RU"/>
        </w:rPr>
      </w:pPr>
    </w:p>
    <w:p w:rsidR="00A336D0" w:rsidRPr="00A336D0" w:rsidRDefault="00A336D0" w:rsidP="00A336D0">
      <w:pPr>
        <w:tabs>
          <w:tab w:val="left" w:pos="567"/>
        </w:tabs>
        <w:jc w:val="both"/>
        <w:rPr>
          <w:bCs/>
          <w:szCs w:val="20"/>
          <w:lang w:val="ru-RU"/>
        </w:rPr>
      </w:pPr>
      <w:r w:rsidRPr="00A336D0">
        <w:rPr>
          <w:lang w:val="ru-RU"/>
        </w:rPr>
        <w:t>2.2.</w:t>
      </w:r>
      <w:r w:rsidRPr="00A336D0">
        <w:rPr>
          <w:lang w:val="ru-RU"/>
        </w:rPr>
        <w:tab/>
        <w:t>В ходе двухлетнего периода Сингапурский договор о законах по товарным знакам ратифицировали и/или к этому договору присоединились семь новых договаривающихся сторон (Беларусь, Бельгия, Организация интеллектуальной собственности стран Бенилюкс (БОИП), Ирак, Люксембург, Нидерланды и Таджикистан), в результате чего общее число его договаривающихся сторон по состоянию на конец 2015</w:t>
      </w:r>
      <w:r>
        <w:t> </w:t>
      </w:r>
      <w:r w:rsidRPr="00A336D0">
        <w:rPr>
          <w:lang w:val="ru-RU"/>
        </w:rPr>
        <w:t>г. составило</w:t>
      </w:r>
      <w:r>
        <w:t> </w:t>
      </w:r>
      <w:r w:rsidRPr="00A336D0">
        <w:rPr>
          <w:lang w:val="ru-RU"/>
        </w:rPr>
        <w:t>38.</w:t>
      </w:r>
    </w:p>
    <w:p w:rsidR="00A336D0" w:rsidRPr="00A336D0" w:rsidRDefault="00A336D0" w:rsidP="00A336D0">
      <w:pPr>
        <w:tabs>
          <w:tab w:val="left" w:pos="567"/>
        </w:tabs>
        <w:jc w:val="both"/>
        <w:rPr>
          <w:bCs/>
          <w:szCs w:val="20"/>
          <w:lang w:val="ru-RU"/>
        </w:rPr>
      </w:pPr>
    </w:p>
    <w:p w:rsidR="00A336D0" w:rsidRPr="00A336D0" w:rsidRDefault="00A336D0" w:rsidP="00A336D0">
      <w:pPr>
        <w:tabs>
          <w:tab w:val="left" w:pos="567"/>
        </w:tabs>
        <w:jc w:val="both"/>
        <w:rPr>
          <w:bCs/>
          <w:szCs w:val="20"/>
          <w:lang w:val="ru-RU"/>
        </w:rPr>
      </w:pPr>
      <w:r w:rsidRPr="00A336D0">
        <w:rPr>
          <w:lang w:val="ru-RU"/>
        </w:rPr>
        <w:t>2.3.</w:t>
      </w:r>
      <w:r w:rsidRPr="00A336D0">
        <w:rPr>
          <w:lang w:val="ru-RU"/>
        </w:rPr>
        <w:tab/>
        <w:t>Что касается повышения уровня охраны государственных гербов и названий и эмблем международных межправительственных организаций, предусмотренной статьей 6</w:t>
      </w:r>
      <w:r>
        <w:rPr>
          <w:i/>
        </w:rPr>
        <w:t>ter</w:t>
      </w:r>
      <w:r w:rsidRPr="00A336D0">
        <w:rPr>
          <w:lang w:val="ru-RU"/>
        </w:rPr>
        <w:t xml:space="preserve"> Парижской конвенции, в рассматриваемый период обеспечивалась своевременная и оперативная обработка сообщений и подготовка ответов на соответствующие просьбы.  Расхождение между целевым показателем числа просьб, подлежащих рассмотрению, и фактическим числом просьб было связано с колебаниями в числе поступающих просьб и тем, что прогнозный целевой показатель был рассчитан на базе средних данных за двухлетний период.  По состоянию на конец 2015</w:t>
      </w:r>
      <w:r>
        <w:t> </w:t>
      </w:r>
      <w:r w:rsidRPr="00A336D0">
        <w:rPr>
          <w:lang w:val="ru-RU"/>
        </w:rPr>
        <w:t>г. база данных, ведущаяся в соответствии с положениями статьи 6</w:t>
      </w:r>
      <w:r>
        <w:rPr>
          <w:i/>
        </w:rPr>
        <w:t>ter</w:t>
      </w:r>
      <w:r w:rsidRPr="00A336D0">
        <w:rPr>
          <w:lang w:val="ru-RU"/>
        </w:rPr>
        <w:t>, содержала в общей сложности 3</w:t>
      </w:r>
      <w:r>
        <w:t> </w:t>
      </w:r>
      <w:r w:rsidRPr="00A336D0">
        <w:rPr>
          <w:lang w:val="ru-RU"/>
        </w:rPr>
        <w:t>157 знаков.</w:t>
      </w:r>
    </w:p>
    <w:p w:rsidR="00A336D0" w:rsidRPr="00A336D0" w:rsidRDefault="00A336D0" w:rsidP="00A336D0">
      <w:pPr>
        <w:tabs>
          <w:tab w:val="left" w:pos="567"/>
        </w:tabs>
        <w:jc w:val="both"/>
        <w:rPr>
          <w:bCs/>
          <w:szCs w:val="20"/>
          <w:lang w:val="ru-RU"/>
        </w:rPr>
      </w:pPr>
    </w:p>
    <w:p w:rsidR="00A336D0" w:rsidRPr="00A336D0" w:rsidRDefault="00A336D0" w:rsidP="00A336D0">
      <w:pPr>
        <w:tabs>
          <w:tab w:val="left" w:pos="567"/>
        </w:tabs>
        <w:jc w:val="both"/>
        <w:rPr>
          <w:bCs/>
          <w:szCs w:val="20"/>
          <w:lang w:val="ru-RU"/>
        </w:rPr>
      </w:pPr>
      <w:r w:rsidRPr="00A336D0">
        <w:rPr>
          <w:lang w:val="ru-RU"/>
        </w:rPr>
        <w:t>2.4.</w:t>
      </w:r>
      <w:r w:rsidRPr="00A336D0">
        <w:rPr>
          <w:lang w:val="ru-RU"/>
        </w:rPr>
        <w:tab/>
        <w:t>Обеспечивая разработку адаптированных к местным особенностям и сбалансированных законодательных, регулятивных и политических положений ИС, сотрудники программы предоставили рекомендации по вопросам законодательства о товарных знаках, промышленных образцах и географических указаниях 31 государствам-членам/межправительственным организациям.  Мероприятия программы в области оказания технической помощи, укрепления потенциала и содействия государствам-членам в разработке законодательства, были направлены на содействие развитию, помощь оказывалась по просьбам стран, а соответствующая отчетность формировалась в течение года, как это предусмотрено рекомендациями</w:t>
      </w:r>
      <w:r>
        <w:t> </w:t>
      </w:r>
      <w:r w:rsidRPr="00A336D0">
        <w:rPr>
          <w:lang w:val="ru-RU"/>
        </w:rPr>
        <w:t>1 и 13</w:t>
      </w:r>
      <w:r>
        <w:t> </w:t>
      </w:r>
      <w:r w:rsidRPr="00A336D0">
        <w:rPr>
          <w:lang w:val="ru-RU"/>
        </w:rPr>
        <w:t xml:space="preserve">ПДР.  </w:t>
      </w:r>
    </w:p>
    <w:p w:rsidR="00A336D0" w:rsidRPr="00A336D0" w:rsidRDefault="00A336D0" w:rsidP="00A336D0">
      <w:pPr>
        <w:tabs>
          <w:tab w:val="left" w:pos="567"/>
        </w:tabs>
        <w:jc w:val="both"/>
        <w:rPr>
          <w:bCs/>
          <w:szCs w:val="20"/>
          <w:lang w:val="ru-RU"/>
        </w:rPr>
      </w:pPr>
    </w:p>
    <w:p w:rsidR="00A336D0" w:rsidRPr="00A336D0" w:rsidRDefault="00A336D0" w:rsidP="00A336D0">
      <w:pPr>
        <w:tabs>
          <w:tab w:val="left" w:pos="567"/>
        </w:tabs>
        <w:jc w:val="both"/>
        <w:rPr>
          <w:bCs/>
          <w:szCs w:val="20"/>
          <w:lang w:val="ru-RU"/>
        </w:rPr>
      </w:pPr>
      <w:r w:rsidRPr="00A336D0">
        <w:rPr>
          <w:lang w:val="ru-RU"/>
        </w:rPr>
        <w:t>2.5.</w:t>
      </w:r>
      <w:r w:rsidRPr="00A336D0">
        <w:rPr>
          <w:lang w:val="ru-RU"/>
        </w:rPr>
        <w:tab/>
        <w:t>Кроме того, в рамках программы в Аргентине и Марокко был реализован пилотный проект ПДР «Работа с ИС и правами на промышленные образцы в интересах развития бизнеса в развивающихся и наименее развитых странах» (</w:t>
      </w:r>
      <w:r>
        <w:t>DA</w:t>
      </w:r>
      <w:r w:rsidRPr="00A336D0">
        <w:rPr>
          <w:lang w:val="ru-RU"/>
        </w:rPr>
        <w:t>_4_10_02).  После официального согласования объема проекта в обеих странах, где проводился пилотный проект, в 2014</w:t>
      </w:r>
      <w:r>
        <w:t> </w:t>
      </w:r>
      <w:r w:rsidRPr="00A336D0">
        <w:rPr>
          <w:lang w:val="ru-RU"/>
        </w:rPr>
        <w:t>г. были разработаны национальные стратегии охраны промышленных образцов, планы информирования общественности и стратегии завершения проекта, а также была запущена целевая национальная программа (</w:t>
      </w:r>
      <w:r>
        <w:rPr>
          <w:i/>
        </w:rPr>
        <w:t>Dise</w:t>
      </w:r>
      <w:r w:rsidRPr="00A336D0">
        <w:rPr>
          <w:i/>
          <w:lang w:val="ru-RU"/>
        </w:rPr>
        <w:t>ñ</w:t>
      </w:r>
      <w:r>
        <w:rPr>
          <w:i/>
        </w:rPr>
        <w:t>ar</w:t>
      </w:r>
      <w:r w:rsidRPr="00A336D0">
        <w:rPr>
          <w:i/>
          <w:lang w:val="ru-RU"/>
        </w:rPr>
        <w:t xml:space="preserve"> </w:t>
      </w:r>
      <w:r w:rsidRPr="00A336D0">
        <w:rPr>
          <w:lang w:val="ru-RU"/>
        </w:rPr>
        <w:t xml:space="preserve">в Аргентине и </w:t>
      </w:r>
      <w:r>
        <w:rPr>
          <w:i/>
        </w:rPr>
        <w:t>Nama</w:t>
      </w:r>
      <w:r>
        <w:t>dij</w:t>
      </w:r>
      <w:r w:rsidRPr="00A336D0">
        <w:rPr>
          <w:lang w:val="ru-RU"/>
        </w:rPr>
        <w:t xml:space="preserve"> в Марокко).  После этого в обеих странах была проведена оценка реализуемости проекта, в результате чего были сначала отобраны 70 МСП-бенефициаров, 68 из которых в итоге продолжили участие в проекте (42 в Аргентине и 26 в Марокко).  В целях оказания помощи МСП-бенефициарам в разработке специальных стратегий охраны образцов и содействия в подготовке заявок на ИС были созданы национальные проектные группы, в состав которых вошли комитеты по управлению проектом, национальные координаторы проекта и восемь экспертов (пять для Аргентины и три для Марокко). </w:t>
      </w:r>
    </w:p>
    <w:p w:rsidR="00A336D0" w:rsidRPr="00A336D0" w:rsidRDefault="00A336D0" w:rsidP="00A336D0">
      <w:pPr>
        <w:tabs>
          <w:tab w:val="left" w:pos="567"/>
        </w:tabs>
        <w:jc w:val="both"/>
        <w:rPr>
          <w:bCs/>
          <w:szCs w:val="20"/>
          <w:lang w:val="ru-RU"/>
        </w:rPr>
      </w:pPr>
    </w:p>
    <w:p w:rsidR="00A336D0" w:rsidRPr="00A336D0" w:rsidRDefault="00A336D0" w:rsidP="00A336D0">
      <w:pPr>
        <w:tabs>
          <w:tab w:val="left" w:pos="567"/>
        </w:tabs>
        <w:jc w:val="both"/>
        <w:rPr>
          <w:bCs/>
          <w:szCs w:val="20"/>
          <w:lang w:val="ru-RU"/>
        </w:rPr>
      </w:pPr>
      <w:r w:rsidRPr="00A336D0">
        <w:rPr>
          <w:lang w:val="ru-RU"/>
        </w:rPr>
        <w:t>2.6.</w:t>
      </w:r>
      <w:r w:rsidRPr="00A336D0">
        <w:rPr>
          <w:lang w:val="ru-RU"/>
        </w:rPr>
        <w:tab/>
        <w:t>Работа продолжилась в 2015</w:t>
      </w:r>
      <w:r>
        <w:t> </w:t>
      </w:r>
      <w:r w:rsidRPr="00A336D0">
        <w:rPr>
          <w:lang w:val="ru-RU"/>
        </w:rPr>
        <w:t>г., когда были подготовлены рекламные материалы и разработан набор инструментов для оказания дальнейшего содействия МСП-бенефициарам в обеспечении стратегической охраны своих образцов в целях развития бизнеса как на местном, так и на международном рынке.  По состоянию на ноябрь 2015</w:t>
      </w:r>
      <w:r>
        <w:t> </w:t>
      </w:r>
      <w:r w:rsidRPr="00A336D0">
        <w:rPr>
          <w:lang w:val="ru-RU"/>
        </w:rPr>
        <w:t>г. участвующие МСП подали или находились в процессе подачи заявок на 32 промышленных образца и 29 товарных знаков в Аргентине и на 77 промышленных образцов в Марокко.  Среди других результатов этого проекта, достигнутых в рассматриваемый двухлетний период, – создание национального комитета по управлению проектом в обеих странах при участии представителей министерств, ассоциаций, торговых палат, учебных заведений и университетов.  В целях активизации участия институциональных партнеров в процессе достижения предусмотренных программой целей ключевые национальные партнеры в каждой стране подписали уставные документы проекта: 7 апреля 2015</w:t>
      </w:r>
      <w:r>
        <w:t> </w:t>
      </w:r>
      <w:r w:rsidRPr="00A336D0">
        <w:rPr>
          <w:lang w:val="ru-RU"/>
        </w:rPr>
        <w:t>г. такие документы были подписаны в Аргентине в присутствии министра промышленности, а в период с 1 апреля по 27 октября 2015</w:t>
      </w:r>
      <w:r>
        <w:t> </w:t>
      </w:r>
      <w:r w:rsidRPr="00A336D0">
        <w:rPr>
          <w:lang w:val="ru-RU"/>
        </w:rPr>
        <w:t>г. – в Марокко.  Секретариат и делегации обеих стран представили результаты проекта государствам-членам на сопутствующем мероприятии в рамках тридцать четвертой сессии ПКТЗ.  Проведенные на настоящий момент опросы подтверждают очень высокий общий уровень удовлетворенности ведущих ведомств и МСП полученной технической помощью и дополнительными преимуществами, которые дал проект с точки зрения развития бизнеса МСП, активно использующих образцы, с помощью стратегического использования ИС.  Проводится обзор стратегий завершения проекта, которые должны быть реализованы в обеих странах в 2016</w:t>
      </w:r>
      <w:r>
        <w:t> </w:t>
      </w:r>
      <w:r w:rsidRPr="00A336D0">
        <w:rPr>
          <w:lang w:val="ru-RU"/>
        </w:rPr>
        <w:t xml:space="preserve">г. Кроме того, будет проведена итоговая оценка проекта.  </w:t>
      </w:r>
    </w:p>
    <w:p w:rsidR="00A336D0" w:rsidRPr="00A336D0" w:rsidRDefault="00A336D0" w:rsidP="00A336D0">
      <w:pPr>
        <w:tabs>
          <w:tab w:val="left" w:pos="567"/>
        </w:tabs>
        <w:jc w:val="both"/>
        <w:rPr>
          <w:szCs w:val="20"/>
          <w:lang w:val="ru-RU"/>
        </w:rPr>
      </w:pPr>
    </w:p>
    <w:p w:rsidR="00A336D0" w:rsidRPr="00A336D0" w:rsidRDefault="00A336D0" w:rsidP="00A336D0">
      <w:pPr>
        <w:jc w:val="both"/>
        <w:rPr>
          <w:szCs w:val="20"/>
          <w:lang w:val="ru-RU"/>
        </w:rPr>
      </w:pPr>
    </w:p>
    <w:p w:rsidR="00A336D0" w:rsidRPr="00CF1045" w:rsidRDefault="00A336D0" w:rsidP="00A336D0">
      <w:pPr>
        <w:tabs>
          <w:tab w:val="left" w:pos="2268"/>
        </w:tabs>
        <w:rPr>
          <w:sz w:val="22"/>
          <w:szCs w:val="22"/>
        </w:rPr>
      </w:pPr>
      <w:r>
        <w:rPr>
          <w:sz w:val="22"/>
        </w:rPr>
        <w:t>ДАННЫЕ О РЕЗУЛЬТАТИВНОСТИ</w:t>
      </w:r>
    </w:p>
    <w:p w:rsidR="00A336D0" w:rsidRPr="007C62B7" w:rsidRDefault="00A336D0" w:rsidP="00A336D0">
      <w:pPr>
        <w:tabs>
          <w:tab w:val="left" w:pos="2268"/>
        </w:tabs>
        <w:rPr>
          <w:b/>
          <w:szCs w:val="22"/>
        </w:rPr>
      </w:pPr>
    </w:p>
    <w:tbl>
      <w:tblPr>
        <w:tblW w:w="5103"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76"/>
        <w:gridCol w:w="2757"/>
        <w:gridCol w:w="1307"/>
        <w:gridCol w:w="21"/>
        <w:gridCol w:w="2286"/>
        <w:gridCol w:w="1221"/>
      </w:tblGrid>
      <w:tr w:rsidR="00A336D0" w:rsidRPr="005C6ABD" w:rsidTr="00F053BA">
        <w:trPr>
          <w:cantSplit/>
          <w:trHeight w:val="534"/>
        </w:trPr>
        <w:tc>
          <w:tcPr>
            <w:tcW w:w="5000" w:type="pct"/>
            <w:gridSpan w:val="6"/>
            <w:tcBorders>
              <w:top w:val="single" w:sz="4" w:space="0" w:color="auto"/>
              <w:bottom w:val="single" w:sz="4" w:space="0" w:color="auto"/>
            </w:tcBorders>
            <w:shd w:val="clear" w:color="auto" w:fill="C6D9F1" w:themeFill="text2" w:themeFillTint="33"/>
            <w:vAlign w:val="center"/>
          </w:tcPr>
          <w:p w:rsidR="00A336D0" w:rsidRPr="00A336D0" w:rsidRDefault="00A336D0" w:rsidP="00165412">
            <w:pPr>
              <w:tabs>
                <w:tab w:val="left" w:pos="2302"/>
              </w:tabs>
              <w:ind w:left="2302" w:hanging="2302"/>
              <w:rPr>
                <w:rFonts w:cs="Arial"/>
                <w:b/>
                <w:bCs/>
                <w:sz w:val="16"/>
                <w:szCs w:val="16"/>
                <w:lang w:val="ru-RU"/>
              </w:rPr>
            </w:pPr>
            <w:r w:rsidRPr="00A336D0">
              <w:rPr>
                <w:b/>
                <w:sz w:val="16"/>
                <w:lang w:val="ru-RU"/>
              </w:rPr>
              <w:t xml:space="preserve">Ожидаемый результат: </w:t>
            </w:r>
            <w:r w:rsidRPr="00A336D0">
              <w:rPr>
                <w:lang w:val="ru-RU"/>
              </w:rPr>
              <w:tab/>
            </w:r>
            <w:r>
              <w:rPr>
                <w:sz w:val="16"/>
              </w:rPr>
              <w:t>I</w:t>
            </w:r>
            <w:r w:rsidRPr="00A336D0">
              <w:rPr>
                <w:sz w:val="16"/>
                <w:lang w:val="ru-RU"/>
              </w:rPr>
              <w:t>.1. Активизация сотрудничества между государствами-членам</w:t>
            </w:r>
            <w:r w:rsidR="00165412">
              <w:rPr>
                <w:sz w:val="16"/>
                <w:lang w:val="ru-RU"/>
              </w:rPr>
              <w:t>и по вопросам разработки между</w:t>
            </w:r>
            <w:r w:rsidRPr="00A336D0">
              <w:rPr>
                <w:sz w:val="16"/>
                <w:lang w:val="ru-RU"/>
              </w:rPr>
              <w:t>народной нормативной базы для ИС и консенсус по конкрет</w:t>
            </w:r>
            <w:r w:rsidR="00165412">
              <w:rPr>
                <w:sz w:val="16"/>
                <w:lang w:val="ru-RU"/>
              </w:rPr>
              <w:t xml:space="preserve">ным темам, в отношении которых </w:t>
            </w:r>
            <w:r w:rsidRPr="00A336D0">
              <w:rPr>
                <w:sz w:val="16"/>
                <w:lang w:val="ru-RU"/>
              </w:rPr>
              <w:t>согласованы международные документы</w:t>
            </w:r>
          </w:p>
        </w:tc>
      </w:tr>
      <w:tr w:rsidR="00A336D0" w:rsidRPr="001A1334" w:rsidTr="00F053BA">
        <w:trPr>
          <w:cantSplit/>
        </w:trPr>
        <w:tc>
          <w:tcPr>
            <w:tcW w:w="1114" w:type="pct"/>
            <w:tcBorders>
              <w:top w:val="single" w:sz="4" w:space="0" w:color="auto"/>
            </w:tcBorders>
            <w:shd w:val="clear" w:color="auto" w:fill="auto"/>
            <w:vAlign w:val="center"/>
          </w:tcPr>
          <w:p w:rsidR="00A336D0" w:rsidRPr="001A1334" w:rsidRDefault="00A336D0" w:rsidP="00F053BA">
            <w:pPr>
              <w:rPr>
                <w:rFonts w:cs="Arial"/>
                <w:sz w:val="16"/>
                <w:szCs w:val="16"/>
              </w:rPr>
            </w:pPr>
            <w:r>
              <w:rPr>
                <w:b/>
                <w:sz w:val="16"/>
              </w:rPr>
              <w:t>Показатели результативности</w:t>
            </w:r>
          </w:p>
        </w:tc>
        <w:tc>
          <w:tcPr>
            <w:tcW w:w="1411" w:type="pct"/>
            <w:tcBorders>
              <w:top w:val="single" w:sz="4" w:space="0" w:color="auto"/>
            </w:tcBorders>
            <w:shd w:val="clear" w:color="auto" w:fill="auto"/>
            <w:vAlign w:val="center"/>
          </w:tcPr>
          <w:p w:rsidR="00A336D0" w:rsidRPr="001A1334" w:rsidRDefault="00A336D0" w:rsidP="00F053BA">
            <w:pPr>
              <w:rPr>
                <w:rFonts w:cs="Arial"/>
                <w:b/>
                <w:bCs/>
                <w:sz w:val="16"/>
                <w:szCs w:val="16"/>
              </w:rPr>
            </w:pPr>
            <w:r>
              <w:rPr>
                <w:b/>
                <w:sz w:val="16"/>
              </w:rPr>
              <w:t>Базовые показатели</w:t>
            </w:r>
          </w:p>
        </w:tc>
        <w:tc>
          <w:tcPr>
            <w:tcW w:w="680" w:type="pct"/>
            <w:gridSpan w:val="2"/>
            <w:tcBorders>
              <w:top w:val="single" w:sz="4" w:space="0" w:color="auto"/>
            </w:tcBorders>
            <w:shd w:val="clear" w:color="auto" w:fill="auto"/>
            <w:tcMar>
              <w:top w:w="110" w:type="dxa"/>
            </w:tcMar>
            <w:vAlign w:val="center"/>
          </w:tcPr>
          <w:p w:rsidR="00A336D0" w:rsidRPr="001A1334" w:rsidRDefault="00A336D0" w:rsidP="00F053BA">
            <w:pPr>
              <w:rPr>
                <w:rFonts w:cs="Arial"/>
                <w:b/>
                <w:sz w:val="16"/>
                <w:szCs w:val="16"/>
              </w:rPr>
            </w:pPr>
            <w:r>
              <w:rPr>
                <w:b/>
                <w:sz w:val="16"/>
              </w:rPr>
              <w:t>Цели</w:t>
            </w:r>
          </w:p>
        </w:tc>
        <w:tc>
          <w:tcPr>
            <w:tcW w:w="1170" w:type="pct"/>
            <w:tcBorders>
              <w:top w:val="single" w:sz="4" w:space="0" w:color="auto"/>
            </w:tcBorders>
            <w:shd w:val="clear" w:color="auto" w:fill="auto"/>
            <w:tcMar>
              <w:top w:w="110" w:type="dxa"/>
            </w:tcMar>
            <w:vAlign w:val="center"/>
          </w:tcPr>
          <w:p w:rsidR="00A336D0" w:rsidRPr="001A1334" w:rsidRDefault="00A336D0" w:rsidP="00F053BA">
            <w:pPr>
              <w:rPr>
                <w:rFonts w:cs="Arial"/>
                <w:sz w:val="16"/>
                <w:szCs w:val="16"/>
              </w:rPr>
            </w:pPr>
            <w:r>
              <w:rPr>
                <w:b/>
                <w:sz w:val="16"/>
              </w:rPr>
              <w:t>Данные о результативности</w:t>
            </w:r>
          </w:p>
        </w:tc>
        <w:tc>
          <w:tcPr>
            <w:tcW w:w="625" w:type="pct"/>
            <w:tcBorders>
              <w:top w:val="single" w:sz="4" w:space="0" w:color="auto"/>
            </w:tcBorders>
            <w:shd w:val="clear" w:color="auto" w:fill="auto"/>
            <w:tcMar>
              <w:top w:w="110" w:type="dxa"/>
            </w:tcMar>
            <w:vAlign w:val="center"/>
          </w:tcPr>
          <w:p w:rsidR="00A336D0" w:rsidRPr="001A1334" w:rsidRDefault="00A336D0" w:rsidP="00F053BA">
            <w:pPr>
              <w:keepNext/>
              <w:keepLines/>
              <w:jc w:val="center"/>
              <w:rPr>
                <w:rFonts w:cs="Arial"/>
                <w:b/>
                <w:bCs/>
                <w:sz w:val="16"/>
                <w:szCs w:val="16"/>
              </w:rPr>
            </w:pPr>
            <w:r>
              <w:rPr>
                <w:b/>
                <w:sz w:val="16"/>
              </w:rPr>
              <w:t>CC</w:t>
            </w:r>
          </w:p>
        </w:tc>
      </w:tr>
      <w:tr w:rsidR="00A336D0" w:rsidRPr="001A1334" w:rsidTr="00F053BA">
        <w:trPr>
          <w:cantSplit/>
        </w:trPr>
        <w:tc>
          <w:tcPr>
            <w:tcW w:w="1114" w:type="pct"/>
            <w:shd w:val="clear" w:color="auto" w:fill="auto"/>
          </w:tcPr>
          <w:p w:rsidR="00A336D0" w:rsidRPr="00A336D0" w:rsidRDefault="00A336D0" w:rsidP="00F053BA">
            <w:pPr>
              <w:rPr>
                <w:rFonts w:cs="Arial"/>
                <w:sz w:val="16"/>
                <w:szCs w:val="16"/>
                <w:lang w:val="ru-RU"/>
              </w:rPr>
            </w:pPr>
            <w:r w:rsidRPr="00A336D0">
              <w:rPr>
                <w:sz w:val="16"/>
                <w:lang w:val="ru-RU"/>
              </w:rPr>
              <w:t>Согласование нормативной базы, регулирующей процедуры регистрации и поддержания в силе промышленных образцов</w:t>
            </w:r>
          </w:p>
        </w:tc>
        <w:tc>
          <w:tcPr>
            <w:tcW w:w="1411" w:type="pct"/>
            <w:shd w:val="clear" w:color="auto" w:fill="auto"/>
          </w:tcPr>
          <w:p w:rsidR="00A336D0" w:rsidRPr="00A336D0" w:rsidRDefault="00A336D0" w:rsidP="00F053BA">
            <w:pPr>
              <w:rPr>
                <w:rFonts w:cs="Arial"/>
                <w:i/>
                <w:color w:val="002060"/>
                <w:sz w:val="16"/>
                <w:szCs w:val="16"/>
                <w:lang w:val="ru-RU"/>
              </w:rPr>
            </w:pPr>
            <w:r w:rsidRPr="00A336D0">
              <w:rPr>
                <w:i/>
                <w:color w:val="002060"/>
                <w:sz w:val="16"/>
                <w:lang w:val="ru-RU"/>
              </w:rPr>
              <w:t>Обновленные базовые показатели, конец 2013</w:t>
            </w:r>
            <w:r>
              <w:rPr>
                <w:i/>
                <w:color w:val="002060"/>
                <w:sz w:val="16"/>
              </w:rPr>
              <w:t> </w:t>
            </w:r>
            <w:r w:rsidRPr="00A336D0">
              <w:rPr>
                <w:i/>
                <w:color w:val="002060"/>
                <w:sz w:val="16"/>
                <w:lang w:val="ru-RU"/>
              </w:rPr>
              <w:t>г.:</w:t>
            </w:r>
            <w:r w:rsidRPr="00A336D0">
              <w:rPr>
                <w:color w:val="002060"/>
                <w:sz w:val="16"/>
                <w:lang w:val="ru-RU"/>
              </w:rPr>
              <w:t xml:space="preserve">  отсутствие нормативной базы, регулирующей процедуры регистрации промышленных образцов</w:t>
            </w:r>
          </w:p>
          <w:p w:rsidR="00A336D0" w:rsidRPr="00A336D0" w:rsidRDefault="00A336D0" w:rsidP="00F053BA">
            <w:pPr>
              <w:rPr>
                <w:rFonts w:cs="Arial"/>
                <w:i/>
                <w:sz w:val="8"/>
                <w:szCs w:val="8"/>
                <w:lang w:val="ru-RU"/>
              </w:rPr>
            </w:pPr>
          </w:p>
          <w:p w:rsidR="00A336D0" w:rsidRPr="00A336D0" w:rsidRDefault="00A336D0" w:rsidP="00F053BA">
            <w:pPr>
              <w:rPr>
                <w:rFonts w:cs="Arial"/>
                <w:sz w:val="16"/>
                <w:szCs w:val="16"/>
                <w:lang w:val="ru-RU"/>
              </w:rPr>
            </w:pPr>
            <w:r w:rsidRPr="00A336D0">
              <w:rPr>
                <w:i/>
                <w:sz w:val="16"/>
                <w:lang w:val="ru-RU"/>
              </w:rPr>
              <w:t>Исходные базовые показатели ПиБ на 2014–2015 гг.:</w:t>
            </w:r>
          </w:p>
          <w:p w:rsidR="00A336D0" w:rsidRPr="00A336D0" w:rsidRDefault="00A336D0" w:rsidP="00F053BA">
            <w:pPr>
              <w:rPr>
                <w:rFonts w:cs="Arial"/>
                <w:sz w:val="16"/>
                <w:szCs w:val="16"/>
                <w:lang w:val="ru-RU"/>
              </w:rPr>
            </w:pPr>
            <w:r w:rsidRPr="00A336D0">
              <w:rPr>
                <w:sz w:val="16"/>
                <w:lang w:val="ru-RU"/>
              </w:rPr>
              <w:t>отсутствие нормативной базы, регулирующей процедуры регистрации и поддержания в силе прав на промышленные образцы</w:t>
            </w:r>
          </w:p>
        </w:tc>
        <w:tc>
          <w:tcPr>
            <w:tcW w:w="680" w:type="pct"/>
            <w:gridSpan w:val="2"/>
            <w:shd w:val="clear" w:color="auto" w:fill="auto"/>
            <w:tcMar>
              <w:top w:w="110" w:type="dxa"/>
            </w:tcMar>
          </w:tcPr>
          <w:p w:rsidR="00A336D0" w:rsidRPr="00A336D0" w:rsidRDefault="00A336D0" w:rsidP="00F053BA">
            <w:pPr>
              <w:autoSpaceDE w:val="0"/>
              <w:autoSpaceDN w:val="0"/>
              <w:adjustRightInd w:val="0"/>
              <w:rPr>
                <w:rFonts w:cs="Arial"/>
                <w:sz w:val="16"/>
                <w:szCs w:val="16"/>
                <w:lang w:val="ru-RU"/>
              </w:rPr>
            </w:pPr>
            <w:r w:rsidRPr="00A336D0">
              <w:rPr>
                <w:sz w:val="16"/>
                <w:lang w:val="ru-RU"/>
              </w:rPr>
              <w:t>Принятие на возможной дипломатической конференции Договора о законах по образцам</w:t>
            </w:r>
          </w:p>
        </w:tc>
        <w:tc>
          <w:tcPr>
            <w:tcW w:w="1170" w:type="pct"/>
            <w:shd w:val="clear" w:color="auto" w:fill="auto"/>
            <w:tcMar>
              <w:top w:w="110" w:type="dxa"/>
            </w:tcMar>
          </w:tcPr>
          <w:p w:rsidR="00A336D0" w:rsidRPr="00A336D0" w:rsidRDefault="00A336D0" w:rsidP="00F053BA">
            <w:pPr>
              <w:rPr>
                <w:rFonts w:cs="Arial"/>
                <w:sz w:val="16"/>
                <w:szCs w:val="16"/>
                <w:lang w:val="ru-RU"/>
              </w:rPr>
            </w:pPr>
            <w:r w:rsidRPr="00A336D0">
              <w:rPr>
                <w:sz w:val="16"/>
                <w:lang w:val="ru-RU"/>
              </w:rPr>
              <w:t>Решение Генеральной Ассамблеи ВОИС созвать дипломатическую конференцию для принятия Договора о законах по образцам в конце первой половины 2017 г. только в том случае, если обсуждение вопросов оказания технической помощи и раскрытия будет завершено на тридцать четвертой и тридцать пятой сессиях ПКТЗ</w:t>
            </w:r>
            <w:r w:rsidR="00751A01">
              <w:rPr>
                <w:rStyle w:val="FootnoteReference"/>
                <w:sz w:val="16"/>
                <w:lang w:val="ru-RU"/>
              </w:rPr>
              <w:footnoteReference w:id="9"/>
            </w:r>
            <w:r w:rsidRPr="00A336D0">
              <w:rPr>
                <w:sz w:val="16"/>
                <w:lang w:val="ru-RU"/>
              </w:rPr>
              <w:t>.</w:t>
            </w:r>
          </w:p>
        </w:tc>
        <w:tc>
          <w:tcPr>
            <w:tcW w:w="625" w:type="pct"/>
            <w:shd w:val="clear" w:color="auto" w:fill="auto"/>
            <w:tcMar>
              <w:top w:w="110" w:type="dxa"/>
            </w:tcMar>
          </w:tcPr>
          <w:p w:rsidR="00A336D0" w:rsidRPr="00727833" w:rsidRDefault="00A336D0" w:rsidP="00F053BA">
            <w:pPr>
              <w:keepNext/>
              <w:keepLines/>
              <w:jc w:val="center"/>
              <w:rPr>
                <w:rFonts w:cs="Arial"/>
                <w:b/>
                <w:bCs/>
                <w:color w:val="808080"/>
                <w:sz w:val="16"/>
                <w:szCs w:val="16"/>
              </w:rPr>
            </w:pPr>
            <w:r>
              <w:rPr>
                <w:b/>
                <w:color w:val="FF0000"/>
                <w:sz w:val="16"/>
              </w:rPr>
              <w:t>Не выполнено</w:t>
            </w:r>
          </w:p>
        </w:tc>
      </w:tr>
      <w:tr w:rsidR="00A336D0" w:rsidRPr="001A1334" w:rsidTr="00F053BA">
        <w:trPr>
          <w:cantSplit/>
        </w:trPr>
        <w:tc>
          <w:tcPr>
            <w:tcW w:w="1114" w:type="pct"/>
            <w:shd w:val="clear" w:color="auto" w:fill="auto"/>
            <w:vAlign w:val="center"/>
          </w:tcPr>
          <w:p w:rsidR="00A336D0" w:rsidRPr="00A823E4" w:rsidRDefault="00A336D0" w:rsidP="00F053BA">
            <w:pPr>
              <w:rPr>
                <w:b/>
                <w:sz w:val="16"/>
              </w:rPr>
            </w:pPr>
            <w:r>
              <w:rPr>
                <w:b/>
                <w:sz w:val="16"/>
              </w:rPr>
              <w:t>Показатели результативности</w:t>
            </w:r>
          </w:p>
        </w:tc>
        <w:tc>
          <w:tcPr>
            <w:tcW w:w="1411" w:type="pct"/>
            <w:shd w:val="clear" w:color="auto" w:fill="auto"/>
            <w:vAlign w:val="center"/>
          </w:tcPr>
          <w:p w:rsidR="00A336D0" w:rsidRPr="001A1334" w:rsidRDefault="00A336D0" w:rsidP="00F053BA">
            <w:pPr>
              <w:rPr>
                <w:rFonts w:cs="Arial"/>
                <w:b/>
                <w:bCs/>
                <w:sz w:val="16"/>
                <w:szCs w:val="16"/>
              </w:rPr>
            </w:pPr>
            <w:r>
              <w:rPr>
                <w:b/>
                <w:sz w:val="16"/>
              </w:rPr>
              <w:t>Базовые показатели</w:t>
            </w:r>
          </w:p>
        </w:tc>
        <w:tc>
          <w:tcPr>
            <w:tcW w:w="680" w:type="pct"/>
            <w:gridSpan w:val="2"/>
            <w:shd w:val="clear" w:color="auto" w:fill="auto"/>
            <w:tcMar>
              <w:top w:w="110" w:type="dxa"/>
            </w:tcMar>
            <w:vAlign w:val="center"/>
          </w:tcPr>
          <w:p w:rsidR="00A336D0" w:rsidRPr="001A1334" w:rsidRDefault="00A336D0" w:rsidP="00F053BA">
            <w:pPr>
              <w:rPr>
                <w:rFonts w:cs="Arial"/>
                <w:b/>
                <w:sz w:val="16"/>
                <w:szCs w:val="16"/>
              </w:rPr>
            </w:pPr>
            <w:r>
              <w:rPr>
                <w:b/>
                <w:sz w:val="16"/>
              </w:rPr>
              <w:t>Цели</w:t>
            </w:r>
          </w:p>
        </w:tc>
        <w:tc>
          <w:tcPr>
            <w:tcW w:w="1170" w:type="pct"/>
            <w:shd w:val="clear" w:color="auto" w:fill="auto"/>
            <w:tcMar>
              <w:top w:w="110" w:type="dxa"/>
            </w:tcMar>
            <w:vAlign w:val="center"/>
          </w:tcPr>
          <w:p w:rsidR="00A336D0" w:rsidRPr="002F0AC5" w:rsidRDefault="00A336D0" w:rsidP="00F053BA">
            <w:pPr>
              <w:rPr>
                <w:rFonts w:cs="Arial"/>
                <w:sz w:val="16"/>
                <w:szCs w:val="16"/>
              </w:rPr>
            </w:pPr>
            <w:r>
              <w:rPr>
                <w:b/>
                <w:sz w:val="16"/>
              </w:rPr>
              <w:t>Данные о результативности</w:t>
            </w:r>
          </w:p>
        </w:tc>
        <w:tc>
          <w:tcPr>
            <w:tcW w:w="625" w:type="pct"/>
            <w:shd w:val="clear" w:color="auto" w:fill="auto"/>
            <w:tcMar>
              <w:top w:w="110" w:type="dxa"/>
            </w:tcMar>
            <w:vAlign w:val="center"/>
          </w:tcPr>
          <w:p w:rsidR="00A336D0" w:rsidRPr="001A1334" w:rsidRDefault="00A336D0" w:rsidP="00F053BA">
            <w:pPr>
              <w:keepNext/>
              <w:keepLines/>
              <w:jc w:val="center"/>
              <w:rPr>
                <w:rFonts w:cs="Arial"/>
                <w:b/>
                <w:bCs/>
                <w:sz w:val="16"/>
                <w:szCs w:val="16"/>
              </w:rPr>
            </w:pPr>
            <w:r>
              <w:rPr>
                <w:b/>
                <w:sz w:val="16"/>
              </w:rPr>
              <w:t>CC</w:t>
            </w:r>
          </w:p>
        </w:tc>
      </w:tr>
      <w:tr w:rsidR="00A336D0" w:rsidRPr="001A1334" w:rsidTr="00F053BA">
        <w:trPr>
          <w:cantSplit/>
        </w:trPr>
        <w:tc>
          <w:tcPr>
            <w:tcW w:w="1114" w:type="pct"/>
            <w:shd w:val="clear" w:color="auto" w:fill="auto"/>
          </w:tcPr>
          <w:p w:rsidR="00A336D0" w:rsidRPr="00A336D0" w:rsidRDefault="00A336D0" w:rsidP="00F053BA">
            <w:pPr>
              <w:rPr>
                <w:rFonts w:cs="Arial"/>
                <w:sz w:val="16"/>
                <w:szCs w:val="16"/>
                <w:lang w:val="ru-RU"/>
              </w:rPr>
            </w:pPr>
            <w:r w:rsidRPr="00A336D0">
              <w:rPr>
                <w:sz w:val="16"/>
                <w:lang w:val="ru-RU"/>
              </w:rPr>
              <w:t>Продвижение к соглашению по вопросам, стоящим в настоящее время в повестке дня ПКТЗ</w:t>
            </w:r>
          </w:p>
        </w:tc>
        <w:tc>
          <w:tcPr>
            <w:tcW w:w="1411" w:type="pct"/>
            <w:shd w:val="clear" w:color="auto" w:fill="auto"/>
          </w:tcPr>
          <w:p w:rsidR="00A336D0" w:rsidRPr="00A336D0" w:rsidRDefault="00A336D0" w:rsidP="00F053BA">
            <w:pPr>
              <w:rPr>
                <w:rFonts w:cs="Arial"/>
                <w:color w:val="002060"/>
                <w:sz w:val="16"/>
                <w:szCs w:val="16"/>
                <w:lang w:val="ru-RU"/>
              </w:rPr>
            </w:pPr>
            <w:r w:rsidRPr="00A336D0">
              <w:rPr>
                <w:i/>
                <w:color w:val="002060"/>
                <w:sz w:val="16"/>
                <w:lang w:val="ru-RU"/>
              </w:rPr>
              <w:t>Обновленные базовые показатели, конец 2013</w:t>
            </w:r>
            <w:r>
              <w:rPr>
                <w:i/>
                <w:color w:val="002060"/>
                <w:sz w:val="16"/>
              </w:rPr>
              <w:t> </w:t>
            </w:r>
            <w:r w:rsidRPr="00A336D0">
              <w:rPr>
                <w:i/>
                <w:color w:val="002060"/>
                <w:sz w:val="16"/>
                <w:lang w:val="ru-RU"/>
              </w:rPr>
              <w:t>г.:</w:t>
            </w:r>
            <w:r w:rsidRPr="00A336D0">
              <w:rPr>
                <w:color w:val="002060"/>
                <w:sz w:val="16"/>
                <w:lang w:val="ru-RU"/>
              </w:rPr>
              <w:t xml:space="preserve">  согласование значительного числа проектов статей и правил Договора о законах по образцам в рамках ПКТЗ. </w:t>
            </w:r>
          </w:p>
          <w:p w:rsidR="00A336D0" w:rsidRPr="00A336D0" w:rsidRDefault="00A336D0" w:rsidP="00F053BA">
            <w:pPr>
              <w:rPr>
                <w:rFonts w:cs="Arial"/>
                <w:color w:val="002060"/>
                <w:sz w:val="16"/>
                <w:szCs w:val="16"/>
                <w:lang w:val="ru-RU"/>
              </w:rPr>
            </w:pPr>
          </w:p>
          <w:p w:rsidR="00A336D0" w:rsidRPr="00A336D0" w:rsidRDefault="00A336D0" w:rsidP="00F053BA">
            <w:pPr>
              <w:rPr>
                <w:rFonts w:cs="Arial"/>
                <w:i/>
                <w:color w:val="002060"/>
                <w:sz w:val="16"/>
                <w:szCs w:val="16"/>
                <w:lang w:val="ru-RU"/>
              </w:rPr>
            </w:pPr>
            <w:r w:rsidRPr="00A336D0">
              <w:rPr>
                <w:color w:val="002060"/>
                <w:sz w:val="16"/>
                <w:lang w:val="ru-RU"/>
              </w:rPr>
              <w:t>Согласование в рамках ПКТЗ порядка дальнейшей работы в области охраны наименований стран.</w:t>
            </w:r>
          </w:p>
          <w:p w:rsidR="00A336D0" w:rsidRPr="00A336D0" w:rsidRDefault="00A336D0" w:rsidP="00F053BA">
            <w:pPr>
              <w:rPr>
                <w:rFonts w:cs="Arial"/>
                <w:i/>
                <w:sz w:val="8"/>
                <w:szCs w:val="8"/>
                <w:lang w:val="ru-RU"/>
              </w:rPr>
            </w:pPr>
          </w:p>
          <w:p w:rsidR="00A336D0" w:rsidRPr="00A336D0" w:rsidRDefault="00A336D0" w:rsidP="00F053BA">
            <w:pPr>
              <w:rPr>
                <w:rFonts w:cs="Arial"/>
                <w:i/>
                <w:color w:val="002060"/>
                <w:sz w:val="16"/>
                <w:szCs w:val="16"/>
                <w:lang w:val="ru-RU"/>
              </w:rPr>
            </w:pPr>
            <w:r w:rsidRPr="00A336D0">
              <w:rPr>
                <w:i/>
                <w:sz w:val="16"/>
                <w:lang w:val="ru-RU"/>
              </w:rPr>
              <w:t xml:space="preserve">Исходные базовые показатели ПиБ на 2014–2015 гг.: </w:t>
            </w:r>
            <w:r w:rsidRPr="00A336D0">
              <w:rPr>
                <w:sz w:val="16"/>
                <w:lang w:val="ru-RU"/>
              </w:rPr>
              <w:t>проект информационно-справочного документа по охране названий стран от регистрации и использования в качестве товарных знаков</w:t>
            </w:r>
          </w:p>
        </w:tc>
        <w:tc>
          <w:tcPr>
            <w:tcW w:w="680" w:type="pct"/>
            <w:gridSpan w:val="2"/>
            <w:shd w:val="clear" w:color="auto" w:fill="auto"/>
            <w:tcMar>
              <w:top w:w="110" w:type="dxa"/>
            </w:tcMar>
          </w:tcPr>
          <w:p w:rsidR="00A336D0" w:rsidRPr="00170242" w:rsidRDefault="00A336D0" w:rsidP="00F053BA">
            <w:pPr>
              <w:autoSpaceDE w:val="0"/>
              <w:autoSpaceDN w:val="0"/>
              <w:adjustRightInd w:val="0"/>
              <w:rPr>
                <w:rFonts w:cs="Arial"/>
                <w:sz w:val="16"/>
                <w:szCs w:val="16"/>
              </w:rPr>
            </w:pPr>
            <w:r>
              <w:rPr>
                <w:sz w:val="16"/>
              </w:rPr>
              <w:t>Выводы, согласованные ПКТЗ</w:t>
            </w:r>
          </w:p>
        </w:tc>
        <w:tc>
          <w:tcPr>
            <w:tcW w:w="1170" w:type="pct"/>
            <w:shd w:val="clear" w:color="auto" w:fill="auto"/>
            <w:tcMar>
              <w:top w:w="110" w:type="dxa"/>
            </w:tcMar>
          </w:tcPr>
          <w:p w:rsidR="00A336D0" w:rsidRPr="00A336D0" w:rsidRDefault="00A336D0" w:rsidP="00F053BA">
            <w:pPr>
              <w:rPr>
                <w:rFonts w:cs="Arial"/>
                <w:sz w:val="16"/>
                <w:szCs w:val="16"/>
                <w:lang w:val="ru-RU"/>
              </w:rPr>
            </w:pPr>
            <w:r w:rsidRPr="00A336D0">
              <w:rPr>
                <w:sz w:val="16"/>
                <w:lang w:val="ru-RU"/>
              </w:rPr>
              <w:t xml:space="preserve">На своей тридцать четвертой сессии ПКТЗ принял Справочный документ по охране названий стран от регистрации и использования в качестве товарных знаков (опубликован в документе </w:t>
            </w:r>
            <w:r>
              <w:rPr>
                <w:sz w:val="16"/>
              </w:rPr>
              <w:t>WIPO</w:t>
            </w:r>
            <w:r w:rsidRPr="00A336D0">
              <w:rPr>
                <w:sz w:val="16"/>
                <w:lang w:val="ru-RU"/>
              </w:rPr>
              <w:t>/</w:t>
            </w:r>
            <w:r>
              <w:rPr>
                <w:sz w:val="16"/>
              </w:rPr>
              <w:t>Strad</w:t>
            </w:r>
            <w:r w:rsidRPr="00A336D0">
              <w:rPr>
                <w:sz w:val="16"/>
                <w:lang w:val="ru-RU"/>
              </w:rPr>
              <w:t>/</w:t>
            </w:r>
            <w:r>
              <w:rPr>
                <w:sz w:val="16"/>
              </w:rPr>
              <w:t>INF</w:t>
            </w:r>
            <w:r w:rsidRPr="00A336D0">
              <w:rPr>
                <w:sz w:val="16"/>
                <w:lang w:val="ru-RU"/>
              </w:rPr>
              <w:t>/7).</w:t>
            </w:r>
          </w:p>
        </w:tc>
        <w:tc>
          <w:tcPr>
            <w:tcW w:w="625" w:type="pct"/>
            <w:shd w:val="clear" w:color="auto" w:fill="auto"/>
            <w:tcMar>
              <w:top w:w="110" w:type="dxa"/>
            </w:tcMar>
          </w:tcPr>
          <w:p w:rsidR="00A336D0" w:rsidRPr="00727833" w:rsidRDefault="00A336D0" w:rsidP="00F053BA">
            <w:pPr>
              <w:keepNext/>
              <w:keepLines/>
              <w:jc w:val="center"/>
              <w:rPr>
                <w:rFonts w:cs="Arial"/>
                <w:b/>
                <w:bCs/>
                <w:color w:val="808080"/>
                <w:sz w:val="16"/>
                <w:szCs w:val="16"/>
              </w:rPr>
            </w:pPr>
            <w:r>
              <w:rPr>
                <w:b/>
                <w:color w:val="00B050"/>
                <w:sz w:val="16"/>
              </w:rPr>
              <w:t>Выполнено</w:t>
            </w:r>
          </w:p>
        </w:tc>
      </w:tr>
      <w:tr w:rsidR="00A336D0" w:rsidRPr="001A1334" w:rsidTr="00F053BA">
        <w:trPr>
          <w:cantSplit/>
        </w:trPr>
        <w:tc>
          <w:tcPr>
            <w:tcW w:w="1114" w:type="pct"/>
            <w:shd w:val="clear" w:color="auto" w:fill="auto"/>
          </w:tcPr>
          <w:p w:rsidR="00A336D0" w:rsidRPr="00A336D0" w:rsidRDefault="00A336D0" w:rsidP="00F053BA">
            <w:pPr>
              <w:rPr>
                <w:rFonts w:cs="Arial"/>
                <w:sz w:val="16"/>
                <w:szCs w:val="16"/>
                <w:lang w:val="ru-RU"/>
              </w:rPr>
            </w:pPr>
            <w:r w:rsidRPr="00A336D0">
              <w:rPr>
                <w:sz w:val="16"/>
                <w:lang w:val="ru-RU"/>
              </w:rPr>
              <w:t>Число ратификаций/присоединений к Сингапурскому договору</w:t>
            </w:r>
          </w:p>
        </w:tc>
        <w:tc>
          <w:tcPr>
            <w:tcW w:w="1411" w:type="pct"/>
            <w:shd w:val="clear" w:color="auto" w:fill="auto"/>
          </w:tcPr>
          <w:p w:rsidR="00A336D0" w:rsidRPr="00A336D0" w:rsidRDefault="00A336D0" w:rsidP="00F053BA">
            <w:pPr>
              <w:rPr>
                <w:rFonts w:cs="Arial"/>
                <w:i/>
                <w:color w:val="002060"/>
                <w:sz w:val="16"/>
                <w:szCs w:val="16"/>
                <w:lang w:val="ru-RU"/>
              </w:rPr>
            </w:pPr>
            <w:r w:rsidRPr="00A336D0">
              <w:rPr>
                <w:i/>
                <w:color w:val="002060"/>
                <w:sz w:val="16"/>
                <w:lang w:val="ru-RU"/>
              </w:rPr>
              <w:t>Обновленные базовые показатели, конец 2013</w:t>
            </w:r>
            <w:r>
              <w:rPr>
                <w:i/>
                <w:color w:val="002060"/>
                <w:sz w:val="16"/>
              </w:rPr>
              <w:t> </w:t>
            </w:r>
            <w:r w:rsidRPr="00A336D0">
              <w:rPr>
                <w:i/>
                <w:color w:val="002060"/>
                <w:sz w:val="16"/>
                <w:lang w:val="ru-RU"/>
              </w:rPr>
              <w:t>г.:</w:t>
            </w:r>
            <w:r w:rsidRPr="00A336D0">
              <w:rPr>
                <w:color w:val="002060"/>
                <w:sz w:val="16"/>
                <w:lang w:val="ru-RU"/>
              </w:rPr>
              <w:t xml:space="preserve">  31</w:t>
            </w:r>
            <w:r>
              <w:rPr>
                <w:color w:val="002060"/>
                <w:sz w:val="16"/>
              </w:rPr>
              <w:t> </w:t>
            </w:r>
            <w:r w:rsidRPr="00A336D0">
              <w:rPr>
                <w:color w:val="002060"/>
                <w:sz w:val="16"/>
                <w:lang w:val="ru-RU"/>
              </w:rPr>
              <w:t>договаривающаяся сторона (по состоянию на конец 2013</w:t>
            </w:r>
            <w:r>
              <w:rPr>
                <w:color w:val="002060"/>
                <w:sz w:val="16"/>
              </w:rPr>
              <w:t> </w:t>
            </w:r>
            <w:r w:rsidRPr="00A336D0">
              <w:rPr>
                <w:color w:val="002060"/>
                <w:sz w:val="16"/>
                <w:lang w:val="ru-RU"/>
              </w:rPr>
              <w:t>г.)</w:t>
            </w:r>
          </w:p>
          <w:p w:rsidR="00A336D0" w:rsidRPr="00A336D0" w:rsidRDefault="00A336D0" w:rsidP="00F053BA">
            <w:pPr>
              <w:rPr>
                <w:rFonts w:cs="Arial"/>
                <w:i/>
                <w:sz w:val="8"/>
                <w:szCs w:val="8"/>
                <w:lang w:val="ru-RU"/>
              </w:rPr>
            </w:pPr>
          </w:p>
          <w:p w:rsidR="00A336D0" w:rsidRPr="00A336D0" w:rsidRDefault="00A336D0" w:rsidP="00F053BA">
            <w:pPr>
              <w:rPr>
                <w:rFonts w:cs="Arial"/>
                <w:sz w:val="16"/>
                <w:szCs w:val="16"/>
                <w:lang w:val="ru-RU"/>
              </w:rPr>
            </w:pPr>
            <w:r w:rsidRPr="00A336D0">
              <w:rPr>
                <w:i/>
                <w:sz w:val="16"/>
                <w:lang w:val="ru-RU"/>
              </w:rPr>
              <w:t>Исходные базовые показатели ПиБ на 2014–2015 гг.:</w:t>
            </w:r>
          </w:p>
          <w:p w:rsidR="00A336D0" w:rsidRPr="00A336D0" w:rsidRDefault="00A336D0" w:rsidP="00F053BA">
            <w:pPr>
              <w:rPr>
                <w:rFonts w:cs="Arial"/>
                <w:sz w:val="16"/>
                <w:szCs w:val="16"/>
                <w:lang w:val="ru-RU"/>
              </w:rPr>
            </w:pPr>
            <w:r w:rsidRPr="00A336D0">
              <w:rPr>
                <w:sz w:val="16"/>
                <w:lang w:val="ru-RU"/>
              </w:rPr>
              <w:t>29</w:t>
            </w:r>
            <w:r>
              <w:rPr>
                <w:sz w:val="16"/>
              </w:rPr>
              <w:t> </w:t>
            </w:r>
            <w:r w:rsidRPr="00A336D0">
              <w:rPr>
                <w:sz w:val="16"/>
                <w:lang w:val="ru-RU"/>
              </w:rPr>
              <w:t>договаривающихся сторон (по состоянию на конец 2012</w:t>
            </w:r>
            <w:r>
              <w:rPr>
                <w:sz w:val="16"/>
              </w:rPr>
              <w:t> </w:t>
            </w:r>
            <w:r w:rsidRPr="00A336D0">
              <w:rPr>
                <w:sz w:val="16"/>
                <w:lang w:val="ru-RU"/>
              </w:rPr>
              <w:t>г.)</w:t>
            </w:r>
          </w:p>
          <w:p w:rsidR="00A336D0" w:rsidRPr="00A336D0" w:rsidRDefault="00A336D0" w:rsidP="00F053BA">
            <w:pPr>
              <w:rPr>
                <w:rFonts w:cs="Arial"/>
                <w:i/>
                <w:color w:val="002060"/>
                <w:sz w:val="16"/>
                <w:szCs w:val="16"/>
                <w:lang w:val="ru-RU"/>
              </w:rPr>
            </w:pPr>
          </w:p>
        </w:tc>
        <w:tc>
          <w:tcPr>
            <w:tcW w:w="680" w:type="pct"/>
            <w:gridSpan w:val="2"/>
            <w:shd w:val="clear" w:color="auto" w:fill="auto"/>
            <w:tcMar>
              <w:top w:w="110" w:type="dxa"/>
            </w:tcMar>
          </w:tcPr>
          <w:p w:rsidR="00A336D0" w:rsidRPr="00A336D0" w:rsidRDefault="00A336D0" w:rsidP="00F053BA">
            <w:pPr>
              <w:autoSpaceDE w:val="0"/>
              <w:autoSpaceDN w:val="0"/>
              <w:adjustRightInd w:val="0"/>
              <w:rPr>
                <w:rFonts w:cs="Arial"/>
                <w:sz w:val="16"/>
                <w:szCs w:val="16"/>
                <w:lang w:val="ru-RU"/>
              </w:rPr>
            </w:pPr>
            <w:r w:rsidRPr="00A336D0">
              <w:rPr>
                <w:sz w:val="16"/>
                <w:lang w:val="ru-RU"/>
              </w:rPr>
              <w:t>Еще 8 ратификаций Договора/ присоединений к Договору</w:t>
            </w:r>
          </w:p>
        </w:tc>
        <w:tc>
          <w:tcPr>
            <w:tcW w:w="1170" w:type="pct"/>
            <w:shd w:val="clear" w:color="auto" w:fill="auto"/>
            <w:tcMar>
              <w:top w:w="110" w:type="dxa"/>
            </w:tcMar>
          </w:tcPr>
          <w:p w:rsidR="00A336D0" w:rsidRPr="00A336D0" w:rsidRDefault="00A336D0" w:rsidP="00F053BA">
            <w:pPr>
              <w:rPr>
                <w:sz w:val="16"/>
                <w:lang w:val="ru-RU"/>
              </w:rPr>
            </w:pPr>
            <w:r w:rsidRPr="00A336D0">
              <w:rPr>
                <w:sz w:val="16"/>
                <w:lang w:val="ru-RU"/>
              </w:rPr>
              <w:t>В ходе двухлетнего периода к числу договаривающихся сторон добавились еще 7 сторон: Беларусь, Бельгия, Организация ИС стран Бенилюкса (БОИП), Ирак, Люксембург, Нидерланды и Таджикистан. Таким образом, в конце 2015</w:t>
            </w:r>
            <w:r>
              <w:rPr>
                <w:sz w:val="16"/>
              </w:rPr>
              <w:t> </w:t>
            </w:r>
            <w:r w:rsidRPr="00A336D0">
              <w:rPr>
                <w:sz w:val="16"/>
                <w:lang w:val="ru-RU"/>
              </w:rPr>
              <w:t>г. общее число договаривающихся сторон составило 38.</w:t>
            </w:r>
          </w:p>
          <w:p w:rsidR="00A336D0" w:rsidRPr="00A336D0" w:rsidRDefault="00A336D0" w:rsidP="00F053BA">
            <w:pPr>
              <w:rPr>
                <w:rFonts w:cs="Arial"/>
                <w:sz w:val="16"/>
                <w:szCs w:val="16"/>
                <w:lang w:val="ru-RU"/>
              </w:rPr>
            </w:pPr>
          </w:p>
        </w:tc>
        <w:tc>
          <w:tcPr>
            <w:tcW w:w="625" w:type="pct"/>
            <w:shd w:val="clear" w:color="auto" w:fill="auto"/>
            <w:tcMar>
              <w:top w:w="110" w:type="dxa"/>
            </w:tcMar>
          </w:tcPr>
          <w:p w:rsidR="00A336D0" w:rsidRPr="00727833" w:rsidRDefault="00A336D0" w:rsidP="00F053BA">
            <w:pPr>
              <w:keepNext/>
              <w:keepLines/>
              <w:jc w:val="center"/>
              <w:rPr>
                <w:rFonts w:cs="Arial"/>
                <w:b/>
                <w:bCs/>
                <w:color w:val="00B050"/>
                <w:sz w:val="16"/>
                <w:szCs w:val="16"/>
              </w:rPr>
            </w:pPr>
            <w:r>
              <w:rPr>
                <w:b/>
                <w:color w:val="00B050"/>
                <w:sz w:val="16"/>
              </w:rPr>
              <w:t>Выполнено</w:t>
            </w:r>
          </w:p>
        </w:tc>
      </w:tr>
      <w:tr w:rsidR="00A336D0" w:rsidRPr="005C6ABD" w:rsidTr="00F053BA">
        <w:trPr>
          <w:cantSplit/>
          <w:trHeight w:val="423"/>
        </w:trPr>
        <w:tc>
          <w:tcPr>
            <w:tcW w:w="5000" w:type="pct"/>
            <w:gridSpan w:val="6"/>
            <w:tcBorders>
              <w:top w:val="single" w:sz="4" w:space="0" w:color="auto"/>
              <w:bottom w:val="single" w:sz="4" w:space="0" w:color="auto"/>
            </w:tcBorders>
            <w:shd w:val="clear" w:color="auto" w:fill="C6D9F1" w:themeFill="text2" w:themeFillTint="33"/>
            <w:vAlign w:val="center"/>
          </w:tcPr>
          <w:p w:rsidR="00A336D0" w:rsidRPr="00A336D0" w:rsidRDefault="00A336D0" w:rsidP="00165412">
            <w:pPr>
              <w:tabs>
                <w:tab w:val="left" w:pos="2302"/>
              </w:tabs>
              <w:ind w:left="2302" w:hanging="2302"/>
              <w:rPr>
                <w:rFonts w:cs="Arial"/>
                <w:b/>
                <w:bCs/>
                <w:sz w:val="16"/>
                <w:szCs w:val="16"/>
                <w:lang w:val="ru-RU"/>
              </w:rPr>
            </w:pPr>
            <w:r w:rsidRPr="00A336D0">
              <w:rPr>
                <w:b/>
                <w:sz w:val="16"/>
                <w:lang w:val="ru-RU"/>
              </w:rPr>
              <w:t xml:space="preserve">Ожидаемый результат: </w:t>
            </w:r>
            <w:r w:rsidRPr="00A336D0">
              <w:rPr>
                <w:lang w:val="ru-RU"/>
              </w:rPr>
              <w:tab/>
            </w:r>
            <w:r>
              <w:rPr>
                <w:sz w:val="16"/>
              </w:rPr>
              <w:t>I</w:t>
            </w:r>
            <w:r w:rsidRPr="00A336D0">
              <w:rPr>
                <w:sz w:val="16"/>
                <w:lang w:val="ru-RU"/>
              </w:rPr>
              <w:t>.2. Целевые и сбалансированные законодательные, регулят</w:t>
            </w:r>
            <w:r w:rsidR="00165412">
              <w:rPr>
                <w:sz w:val="16"/>
                <w:lang w:val="ru-RU"/>
              </w:rPr>
              <w:t xml:space="preserve">ивные и политические положения </w:t>
            </w:r>
            <w:r w:rsidRPr="00A336D0">
              <w:rPr>
                <w:sz w:val="16"/>
                <w:lang w:val="ru-RU"/>
              </w:rPr>
              <w:t>ИС</w:t>
            </w:r>
          </w:p>
        </w:tc>
      </w:tr>
      <w:tr w:rsidR="00A336D0" w:rsidRPr="001A1334" w:rsidTr="00F053BA">
        <w:trPr>
          <w:cantSplit/>
        </w:trPr>
        <w:tc>
          <w:tcPr>
            <w:tcW w:w="1114" w:type="pct"/>
            <w:tcBorders>
              <w:top w:val="single" w:sz="4" w:space="0" w:color="auto"/>
            </w:tcBorders>
            <w:shd w:val="clear" w:color="auto" w:fill="auto"/>
            <w:vAlign w:val="center"/>
          </w:tcPr>
          <w:p w:rsidR="00A336D0" w:rsidRPr="0073663C" w:rsidRDefault="00A336D0" w:rsidP="00F053BA">
            <w:pPr>
              <w:tabs>
                <w:tab w:val="left" w:pos="49"/>
              </w:tabs>
              <w:rPr>
                <w:rFonts w:cs="Arial"/>
                <w:b/>
                <w:sz w:val="16"/>
                <w:szCs w:val="16"/>
              </w:rPr>
            </w:pPr>
            <w:r w:rsidRPr="0073663C">
              <w:rPr>
                <w:b/>
                <w:sz w:val="16"/>
              </w:rPr>
              <w:t>Показатели результативности</w:t>
            </w:r>
          </w:p>
        </w:tc>
        <w:tc>
          <w:tcPr>
            <w:tcW w:w="1411" w:type="pct"/>
            <w:tcBorders>
              <w:top w:val="single" w:sz="4" w:space="0" w:color="auto"/>
            </w:tcBorders>
            <w:shd w:val="clear" w:color="auto" w:fill="auto"/>
            <w:vAlign w:val="center"/>
          </w:tcPr>
          <w:p w:rsidR="00A336D0" w:rsidRPr="001A1334" w:rsidRDefault="00A336D0" w:rsidP="00F053BA">
            <w:pPr>
              <w:keepNext/>
              <w:keepLines/>
              <w:rPr>
                <w:rFonts w:cs="Arial"/>
                <w:b/>
                <w:bCs/>
                <w:sz w:val="16"/>
                <w:szCs w:val="16"/>
              </w:rPr>
            </w:pPr>
            <w:r>
              <w:rPr>
                <w:b/>
                <w:sz w:val="16"/>
              </w:rPr>
              <w:t>Базовые показатели</w:t>
            </w:r>
          </w:p>
        </w:tc>
        <w:tc>
          <w:tcPr>
            <w:tcW w:w="669" w:type="pct"/>
            <w:tcBorders>
              <w:top w:val="single" w:sz="4" w:space="0" w:color="auto"/>
            </w:tcBorders>
            <w:shd w:val="clear" w:color="auto" w:fill="auto"/>
            <w:tcMar>
              <w:top w:w="110" w:type="dxa"/>
            </w:tcMar>
            <w:vAlign w:val="center"/>
          </w:tcPr>
          <w:p w:rsidR="00A336D0" w:rsidRPr="001A1334" w:rsidRDefault="00A336D0" w:rsidP="00F053BA">
            <w:pPr>
              <w:keepNext/>
              <w:keepLines/>
              <w:rPr>
                <w:rFonts w:cs="Arial"/>
                <w:b/>
                <w:sz w:val="16"/>
                <w:szCs w:val="16"/>
              </w:rPr>
            </w:pPr>
            <w:r>
              <w:rPr>
                <w:b/>
                <w:sz w:val="16"/>
              </w:rPr>
              <w:t>Цели</w:t>
            </w:r>
          </w:p>
        </w:tc>
        <w:tc>
          <w:tcPr>
            <w:tcW w:w="1181" w:type="pct"/>
            <w:gridSpan w:val="2"/>
            <w:tcBorders>
              <w:top w:val="single" w:sz="4" w:space="0" w:color="auto"/>
            </w:tcBorders>
            <w:shd w:val="clear" w:color="auto" w:fill="auto"/>
            <w:tcMar>
              <w:top w:w="110" w:type="dxa"/>
            </w:tcMar>
            <w:vAlign w:val="center"/>
          </w:tcPr>
          <w:p w:rsidR="00A336D0" w:rsidRPr="001A1334" w:rsidRDefault="00A336D0" w:rsidP="00F053BA">
            <w:pPr>
              <w:keepNext/>
              <w:keepLines/>
              <w:rPr>
                <w:rFonts w:cs="Arial"/>
                <w:sz w:val="16"/>
                <w:szCs w:val="16"/>
              </w:rPr>
            </w:pPr>
            <w:r>
              <w:rPr>
                <w:b/>
                <w:sz w:val="16"/>
              </w:rPr>
              <w:t>Данные о результативности</w:t>
            </w:r>
          </w:p>
        </w:tc>
        <w:tc>
          <w:tcPr>
            <w:tcW w:w="625" w:type="pct"/>
            <w:tcBorders>
              <w:top w:val="single" w:sz="4" w:space="0" w:color="auto"/>
            </w:tcBorders>
            <w:shd w:val="clear" w:color="auto" w:fill="auto"/>
            <w:tcMar>
              <w:top w:w="110" w:type="dxa"/>
            </w:tcMar>
            <w:vAlign w:val="center"/>
          </w:tcPr>
          <w:p w:rsidR="00A336D0" w:rsidRPr="001A1334" w:rsidRDefault="00A336D0" w:rsidP="00F053BA">
            <w:pPr>
              <w:keepNext/>
              <w:keepLines/>
              <w:jc w:val="center"/>
              <w:rPr>
                <w:rFonts w:cs="Arial"/>
                <w:b/>
                <w:bCs/>
                <w:sz w:val="16"/>
                <w:szCs w:val="16"/>
              </w:rPr>
            </w:pPr>
            <w:r>
              <w:rPr>
                <w:b/>
                <w:sz w:val="16"/>
              </w:rPr>
              <w:t>CC</w:t>
            </w:r>
          </w:p>
        </w:tc>
      </w:tr>
      <w:tr w:rsidR="00A336D0" w:rsidRPr="001A1334" w:rsidTr="00F053BA">
        <w:trPr>
          <w:cantSplit/>
        </w:trPr>
        <w:tc>
          <w:tcPr>
            <w:tcW w:w="1114" w:type="pct"/>
            <w:shd w:val="clear" w:color="auto" w:fill="auto"/>
          </w:tcPr>
          <w:p w:rsidR="00A336D0" w:rsidRPr="00A336D0" w:rsidRDefault="00A336D0" w:rsidP="00F053BA">
            <w:pPr>
              <w:rPr>
                <w:rFonts w:cs="Arial"/>
                <w:sz w:val="16"/>
                <w:szCs w:val="16"/>
                <w:lang w:val="ru-RU"/>
              </w:rPr>
            </w:pPr>
            <w:r w:rsidRPr="00A336D0">
              <w:rPr>
                <w:sz w:val="16"/>
                <w:szCs w:val="16"/>
                <w:lang w:val="ru-RU"/>
              </w:rPr>
              <w:t>Число и доля (%) государств-членов/региональных организаций, положительно оценивших предоставленные им законодательные рекомендации в области охраны товарных знаков, промышленных образцов и географических указаний</w:t>
            </w:r>
          </w:p>
        </w:tc>
        <w:tc>
          <w:tcPr>
            <w:tcW w:w="1411" w:type="pct"/>
            <w:shd w:val="clear" w:color="auto" w:fill="auto"/>
          </w:tcPr>
          <w:p w:rsidR="00A336D0" w:rsidRPr="00A336D0" w:rsidRDefault="00A336D0" w:rsidP="00F053BA">
            <w:pPr>
              <w:keepNext/>
              <w:keepLines/>
              <w:rPr>
                <w:rFonts w:cs="Arial"/>
                <w:color w:val="002060"/>
                <w:sz w:val="16"/>
                <w:szCs w:val="16"/>
                <w:lang w:val="ru-RU"/>
              </w:rPr>
            </w:pPr>
            <w:r w:rsidRPr="00A336D0">
              <w:rPr>
                <w:i/>
                <w:color w:val="002060"/>
                <w:sz w:val="16"/>
                <w:lang w:val="ru-RU"/>
              </w:rPr>
              <w:t>Обновленные базовые показатели, конец 2013</w:t>
            </w:r>
            <w:r>
              <w:rPr>
                <w:i/>
                <w:color w:val="002060"/>
                <w:sz w:val="16"/>
              </w:rPr>
              <w:t> </w:t>
            </w:r>
            <w:r w:rsidRPr="00A336D0">
              <w:rPr>
                <w:i/>
                <w:color w:val="002060"/>
                <w:sz w:val="16"/>
                <w:lang w:val="ru-RU"/>
              </w:rPr>
              <w:t>г.:</w:t>
            </w:r>
            <w:r w:rsidRPr="00A336D0">
              <w:rPr>
                <w:color w:val="002060"/>
                <w:sz w:val="16"/>
                <w:lang w:val="ru-RU"/>
              </w:rPr>
              <w:t xml:space="preserve">  </w:t>
            </w:r>
          </w:p>
          <w:p w:rsidR="00A336D0" w:rsidRPr="00A336D0" w:rsidRDefault="00A336D0" w:rsidP="00F053BA">
            <w:pPr>
              <w:keepNext/>
              <w:keepLines/>
              <w:rPr>
                <w:rFonts w:cs="Arial"/>
                <w:color w:val="002060"/>
                <w:sz w:val="16"/>
                <w:szCs w:val="16"/>
                <w:lang w:val="ru-RU"/>
              </w:rPr>
            </w:pPr>
          </w:p>
          <w:p w:rsidR="00A336D0" w:rsidRPr="00A336D0" w:rsidRDefault="00A336D0" w:rsidP="00F053BA">
            <w:pPr>
              <w:keepNext/>
              <w:keepLines/>
              <w:rPr>
                <w:rFonts w:cs="Arial"/>
                <w:color w:val="002060"/>
                <w:sz w:val="16"/>
                <w:szCs w:val="16"/>
                <w:lang w:val="ru-RU"/>
              </w:rPr>
            </w:pPr>
            <w:r w:rsidRPr="00A336D0">
              <w:rPr>
                <w:color w:val="002060"/>
                <w:sz w:val="16"/>
                <w:lang w:val="ru-RU"/>
              </w:rPr>
              <w:t>2013</w:t>
            </w:r>
            <w:r>
              <w:rPr>
                <w:color w:val="002060"/>
                <w:sz w:val="16"/>
              </w:rPr>
              <w:t> </w:t>
            </w:r>
            <w:r w:rsidRPr="00A336D0">
              <w:rPr>
                <w:color w:val="002060"/>
                <w:sz w:val="16"/>
                <w:lang w:val="ru-RU"/>
              </w:rPr>
              <w:t xml:space="preserve">г.:  рекомендации были предоставлены 13 государствам-членам по 18 конкретным положениям законопроектов </w:t>
            </w:r>
          </w:p>
          <w:p w:rsidR="00A336D0" w:rsidRPr="00A336D0" w:rsidRDefault="00A336D0" w:rsidP="00F053BA">
            <w:pPr>
              <w:keepNext/>
              <w:keepLines/>
              <w:rPr>
                <w:rFonts w:cs="Arial"/>
                <w:color w:val="002060"/>
                <w:sz w:val="16"/>
                <w:szCs w:val="16"/>
                <w:lang w:val="ru-RU"/>
              </w:rPr>
            </w:pPr>
          </w:p>
          <w:p w:rsidR="00A336D0" w:rsidRPr="00A336D0" w:rsidRDefault="00A336D0" w:rsidP="00F053BA">
            <w:pPr>
              <w:keepNext/>
              <w:keepLines/>
              <w:rPr>
                <w:rFonts w:cs="Arial"/>
                <w:i/>
                <w:color w:val="002060"/>
                <w:sz w:val="16"/>
                <w:szCs w:val="16"/>
                <w:lang w:val="ru-RU"/>
              </w:rPr>
            </w:pPr>
            <w:r w:rsidRPr="00A336D0">
              <w:rPr>
                <w:color w:val="002060"/>
                <w:sz w:val="16"/>
                <w:lang w:val="ru-RU"/>
              </w:rPr>
              <w:t xml:space="preserve">Положительные отзывы получены от девяти стран из 13.  Четыре страны не направили отзыв. </w:t>
            </w:r>
          </w:p>
          <w:p w:rsidR="00A336D0" w:rsidRPr="00A336D0" w:rsidRDefault="00A336D0" w:rsidP="00F053BA">
            <w:pPr>
              <w:keepNext/>
              <w:keepLines/>
              <w:rPr>
                <w:rFonts w:cs="Arial"/>
                <w:i/>
                <w:sz w:val="8"/>
                <w:szCs w:val="8"/>
                <w:lang w:val="ru-RU"/>
              </w:rPr>
            </w:pPr>
          </w:p>
          <w:p w:rsidR="00A336D0" w:rsidRPr="00A336D0" w:rsidRDefault="00A336D0" w:rsidP="00F053BA">
            <w:pPr>
              <w:keepNext/>
              <w:keepLines/>
              <w:rPr>
                <w:rFonts w:cs="Arial"/>
                <w:sz w:val="16"/>
                <w:szCs w:val="16"/>
                <w:lang w:val="ru-RU"/>
              </w:rPr>
            </w:pPr>
            <w:r w:rsidRPr="00A336D0">
              <w:rPr>
                <w:i/>
                <w:sz w:val="16"/>
                <w:lang w:val="ru-RU"/>
              </w:rPr>
              <w:t>Исходные базовые показатели ПиБ на 2014–2015 гг.:</w:t>
            </w:r>
          </w:p>
          <w:p w:rsidR="00A336D0" w:rsidRPr="00A336D0" w:rsidRDefault="00A336D0" w:rsidP="00F053BA">
            <w:pPr>
              <w:keepNext/>
              <w:keepLines/>
              <w:rPr>
                <w:rFonts w:cs="Arial"/>
                <w:sz w:val="16"/>
                <w:szCs w:val="16"/>
                <w:lang w:val="ru-RU"/>
              </w:rPr>
            </w:pPr>
            <w:r w:rsidRPr="00A336D0">
              <w:rPr>
                <w:sz w:val="16"/>
                <w:lang w:val="ru-RU"/>
              </w:rPr>
              <w:t>11 государств-членов/региональных организаций получили законодательные рекомендации, при этом положительные отзывы о предложенных законодательных рекомендациях, полученных в 2012 г., представили 3 из них</w:t>
            </w:r>
          </w:p>
          <w:p w:rsidR="00A336D0" w:rsidRPr="00A336D0" w:rsidRDefault="00A336D0" w:rsidP="00F053BA">
            <w:pPr>
              <w:keepNext/>
              <w:keepLines/>
              <w:rPr>
                <w:rFonts w:cs="Arial"/>
                <w:sz w:val="16"/>
                <w:szCs w:val="16"/>
                <w:lang w:val="ru-RU"/>
              </w:rPr>
            </w:pPr>
          </w:p>
        </w:tc>
        <w:tc>
          <w:tcPr>
            <w:tcW w:w="669" w:type="pct"/>
            <w:shd w:val="clear" w:color="auto" w:fill="auto"/>
            <w:tcMar>
              <w:top w:w="110" w:type="dxa"/>
            </w:tcMar>
          </w:tcPr>
          <w:p w:rsidR="00A336D0" w:rsidRPr="00483CBD" w:rsidRDefault="00A336D0" w:rsidP="00F053BA">
            <w:pPr>
              <w:keepNext/>
              <w:keepLines/>
              <w:autoSpaceDE w:val="0"/>
              <w:autoSpaceDN w:val="0"/>
              <w:adjustRightInd w:val="0"/>
              <w:rPr>
                <w:rFonts w:cs="Arial"/>
                <w:sz w:val="16"/>
                <w:szCs w:val="16"/>
              </w:rPr>
            </w:pPr>
            <w:r w:rsidRPr="00A336D0">
              <w:rPr>
                <w:sz w:val="16"/>
                <w:lang w:val="ru-RU"/>
              </w:rPr>
              <w:t>Законодательные рекомендации предоставлены 10</w:t>
            </w:r>
            <w:r>
              <w:rPr>
                <w:sz w:val="16"/>
              </w:rPr>
              <w:t> </w:t>
            </w:r>
            <w:r w:rsidRPr="00A336D0">
              <w:rPr>
                <w:sz w:val="16"/>
                <w:lang w:val="ru-RU"/>
              </w:rPr>
              <w:t xml:space="preserve">государствам-членам/ региональным организациям. </w:t>
            </w:r>
            <w:r>
              <w:rPr>
                <w:sz w:val="16"/>
              </w:rPr>
              <w:t>90% респондентов выразили удовлетворение предоставленными им рекомендациями</w:t>
            </w:r>
          </w:p>
        </w:tc>
        <w:tc>
          <w:tcPr>
            <w:tcW w:w="1181" w:type="pct"/>
            <w:gridSpan w:val="2"/>
            <w:shd w:val="clear" w:color="auto" w:fill="auto"/>
            <w:tcMar>
              <w:top w:w="110" w:type="dxa"/>
            </w:tcMar>
          </w:tcPr>
          <w:p w:rsidR="00A336D0" w:rsidRPr="00A336D0" w:rsidRDefault="00A336D0" w:rsidP="00F053BA">
            <w:pPr>
              <w:keepNext/>
              <w:keepLines/>
              <w:rPr>
                <w:rFonts w:cs="Arial"/>
                <w:sz w:val="16"/>
                <w:szCs w:val="16"/>
                <w:lang w:val="ru-RU"/>
              </w:rPr>
            </w:pPr>
            <w:r w:rsidRPr="00A336D0">
              <w:rPr>
                <w:sz w:val="16"/>
                <w:lang w:val="ru-RU"/>
              </w:rPr>
              <w:t>Рекомендации были предоставлены 31 государству-члену/региональной организации (страны Африки – 8, арабские страны –1, страны Азиатско-Тихоокеанского региона – 14; страны Латинской Америки и Карибского бассейна – 6, некоторые страны Европы и Азии – 1)</w:t>
            </w:r>
          </w:p>
          <w:p w:rsidR="00A336D0" w:rsidRPr="00A336D0" w:rsidRDefault="00A336D0" w:rsidP="00F053BA">
            <w:pPr>
              <w:keepNext/>
              <w:keepLines/>
              <w:rPr>
                <w:rFonts w:cs="Arial"/>
                <w:sz w:val="16"/>
                <w:szCs w:val="16"/>
                <w:lang w:val="ru-RU"/>
              </w:rPr>
            </w:pPr>
          </w:p>
          <w:p w:rsidR="00A336D0" w:rsidRPr="00A336D0" w:rsidRDefault="00A336D0" w:rsidP="00F053BA">
            <w:pPr>
              <w:keepNext/>
              <w:keepLines/>
              <w:rPr>
                <w:rFonts w:cs="Arial"/>
                <w:sz w:val="16"/>
                <w:szCs w:val="16"/>
                <w:lang w:val="ru-RU"/>
              </w:rPr>
            </w:pPr>
            <w:r w:rsidRPr="00A336D0">
              <w:rPr>
                <w:sz w:val="16"/>
                <w:lang w:val="ru-RU"/>
              </w:rPr>
              <w:t>Отзывы получены от 10 респондентов, все они (100%) сообщили об удовлетворенности качеством предоставленных рекомендаций.</w:t>
            </w:r>
          </w:p>
        </w:tc>
        <w:tc>
          <w:tcPr>
            <w:tcW w:w="625" w:type="pct"/>
            <w:shd w:val="clear" w:color="auto" w:fill="auto"/>
            <w:tcMar>
              <w:top w:w="110" w:type="dxa"/>
            </w:tcMar>
          </w:tcPr>
          <w:p w:rsidR="00A336D0" w:rsidRPr="00727833" w:rsidRDefault="00A336D0" w:rsidP="00F053BA">
            <w:pPr>
              <w:keepNext/>
              <w:keepLines/>
              <w:jc w:val="center"/>
              <w:rPr>
                <w:rFonts w:cs="Arial"/>
                <w:b/>
                <w:bCs/>
                <w:color w:val="008000"/>
                <w:sz w:val="16"/>
                <w:szCs w:val="16"/>
              </w:rPr>
            </w:pPr>
            <w:r>
              <w:rPr>
                <w:b/>
                <w:color w:val="008000"/>
                <w:sz w:val="16"/>
              </w:rPr>
              <w:t>Выполнено</w:t>
            </w:r>
          </w:p>
          <w:p w:rsidR="00A336D0" w:rsidRDefault="00A336D0" w:rsidP="00F053BA">
            <w:pPr>
              <w:keepNext/>
              <w:keepLines/>
              <w:jc w:val="center"/>
              <w:rPr>
                <w:rFonts w:cs="Arial"/>
                <w:bCs/>
                <w:color w:val="008000"/>
                <w:sz w:val="16"/>
                <w:szCs w:val="16"/>
              </w:rPr>
            </w:pPr>
          </w:p>
          <w:p w:rsidR="00A336D0" w:rsidRDefault="00A336D0" w:rsidP="00F053BA">
            <w:pPr>
              <w:keepNext/>
              <w:keepLines/>
              <w:jc w:val="center"/>
              <w:rPr>
                <w:rFonts w:cs="Arial"/>
                <w:bCs/>
                <w:color w:val="008000"/>
                <w:sz w:val="16"/>
                <w:szCs w:val="16"/>
              </w:rPr>
            </w:pPr>
          </w:p>
          <w:p w:rsidR="00A336D0" w:rsidRDefault="00A336D0" w:rsidP="00F053BA">
            <w:pPr>
              <w:keepNext/>
              <w:keepLines/>
              <w:rPr>
                <w:rFonts w:cs="Arial"/>
                <w:bCs/>
                <w:color w:val="008000"/>
                <w:sz w:val="16"/>
                <w:szCs w:val="16"/>
              </w:rPr>
            </w:pPr>
          </w:p>
          <w:p w:rsidR="00A336D0" w:rsidRDefault="00A336D0" w:rsidP="00F053BA">
            <w:pPr>
              <w:keepNext/>
              <w:keepLines/>
              <w:rPr>
                <w:rFonts w:cs="Arial"/>
                <w:bCs/>
                <w:color w:val="008000"/>
                <w:sz w:val="16"/>
                <w:szCs w:val="16"/>
              </w:rPr>
            </w:pPr>
          </w:p>
          <w:p w:rsidR="00A336D0" w:rsidRDefault="00A336D0" w:rsidP="00F053BA">
            <w:pPr>
              <w:keepNext/>
              <w:keepLines/>
              <w:rPr>
                <w:rFonts w:cs="Arial"/>
                <w:bCs/>
                <w:color w:val="008000"/>
                <w:sz w:val="16"/>
                <w:szCs w:val="16"/>
              </w:rPr>
            </w:pPr>
            <w:r>
              <w:rPr>
                <w:rFonts w:cs="Arial"/>
                <w:bCs/>
                <w:color w:val="008000"/>
                <w:sz w:val="16"/>
                <w:szCs w:val="16"/>
              </w:rPr>
              <w:br/>
            </w:r>
            <w:r>
              <w:rPr>
                <w:rFonts w:cs="Arial"/>
                <w:bCs/>
                <w:color w:val="008000"/>
                <w:sz w:val="16"/>
                <w:szCs w:val="16"/>
              </w:rPr>
              <w:br/>
            </w:r>
            <w:r>
              <w:rPr>
                <w:rFonts w:cs="Arial"/>
                <w:bCs/>
                <w:color w:val="008000"/>
                <w:sz w:val="16"/>
                <w:szCs w:val="16"/>
              </w:rPr>
              <w:br/>
            </w:r>
          </w:p>
          <w:p w:rsidR="00A336D0" w:rsidRDefault="00A336D0" w:rsidP="00F053BA">
            <w:pPr>
              <w:keepNext/>
              <w:keepLines/>
              <w:rPr>
                <w:rFonts w:cs="Arial"/>
                <w:bCs/>
                <w:color w:val="008000"/>
                <w:sz w:val="16"/>
                <w:szCs w:val="16"/>
              </w:rPr>
            </w:pPr>
          </w:p>
          <w:p w:rsidR="00A336D0" w:rsidRDefault="00A336D0" w:rsidP="00F053BA">
            <w:pPr>
              <w:keepNext/>
              <w:keepLines/>
              <w:rPr>
                <w:rFonts w:cs="Arial"/>
                <w:bCs/>
                <w:color w:val="008000"/>
                <w:sz w:val="16"/>
                <w:szCs w:val="16"/>
              </w:rPr>
            </w:pPr>
          </w:p>
          <w:p w:rsidR="00A336D0" w:rsidRPr="00727833" w:rsidRDefault="00A336D0" w:rsidP="00F053BA">
            <w:pPr>
              <w:keepNext/>
              <w:keepLines/>
              <w:jc w:val="center"/>
              <w:rPr>
                <w:rFonts w:cs="Arial"/>
                <w:b/>
                <w:bCs/>
                <w:color w:val="008000"/>
                <w:sz w:val="16"/>
                <w:szCs w:val="16"/>
              </w:rPr>
            </w:pPr>
            <w:r>
              <w:rPr>
                <w:b/>
                <w:color w:val="008000"/>
                <w:sz w:val="16"/>
              </w:rPr>
              <w:t>Выполнено</w:t>
            </w:r>
          </w:p>
        </w:tc>
      </w:tr>
    </w:tbl>
    <w:p w:rsidR="00A336D0" w:rsidRDefault="00A336D0" w:rsidP="00A336D0">
      <w:r>
        <w:br w:type="page"/>
      </w:r>
    </w:p>
    <w:tbl>
      <w:tblPr>
        <w:tblW w:w="5103"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77"/>
        <w:gridCol w:w="2725"/>
        <w:gridCol w:w="1338"/>
        <w:gridCol w:w="2321"/>
        <w:gridCol w:w="1207"/>
      </w:tblGrid>
      <w:tr w:rsidR="00A336D0" w:rsidRPr="005C6ABD" w:rsidTr="00F053BA">
        <w:trPr>
          <w:cantSplit/>
          <w:trHeight w:val="485"/>
        </w:trPr>
        <w:tc>
          <w:tcPr>
            <w:tcW w:w="5000" w:type="pct"/>
            <w:gridSpan w:val="5"/>
            <w:tcBorders>
              <w:top w:val="single" w:sz="4" w:space="0" w:color="auto"/>
              <w:bottom w:val="single" w:sz="4" w:space="0" w:color="auto"/>
            </w:tcBorders>
            <w:shd w:val="clear" w:color="auto" w:fill="C6D9F1" w:themeFill="text2" w:themeFillTint="33"/>
            <w:vAlign w:val="center"/>
          </w:tcPr>
          <w:p w:rsidR="00A336D0" w:rsidRPr="00A336D0" w:rsidRDefault="00A336D0" w:rsidP="00165412">
            <w:pPr>
              <w:tabs>
                <w:tab w:val="left" w:pos="2160"/>
              </w:tabs>
              <w:ind w:left="2160" w:hanging="2160"/>
              <w:rPr>
                <w:rFonts w:cs="Arial"/>
                <w:b/>
                <w:bCs/>
                <w:sz w:val="16"/>
                <w:szCs w:val="16"/>
                <w:lang w:val="ru-RU"/>
              </w:rPr>
            </w:pPr>
            <w:r w:rsidRPr="00A336D0">
              <w:rPr>
                <w:b/>
                <w:sz w:val="16"/>
                <w:lang w:val="ru-RU"/>
              </w:rPr>
              <w:t>Ожидаемый результат:</w:t>
            </w:r>
            <w:r w:rsidRPr="00A336D0">
              <w:rPr>
                <w:lang w:val="ru-RU"/>
              </w:rPr>
              <w:t xml:space="preserve"> </w:t>
            </w:r>
            <w:r w:rsidRPr="00A336D0">
              <w:rPr>
                <w:lang w:val="ru-RU"/>
              </w:rPr>
              <w:tab/>
            </w:r>
            <w:r>
              <w:rPr>
                <w:sz w:val="16"/>
              </w:rPr>
              <w:t>I</w:t>
            </w:r>
            <w:r w:rsidRPr="00A336D0">
              <w:rPr>
                <w:sz w:val="16"/>
                <w:lang w:val="ru-RU"/>
              </w:rPr>
              <w:t>.3. Совершенствование охраны государственных гербов и н</w:t>
            </w:r>
            <w:r w:rsidR="00165412">
              <w:rPr>
                <w:sz w:val="16"/>
                <w:lang w:val="ru-RU"/>
              </w:rPr>
              <w:t xml:space="preserve">азваний и эмблем международных </w:t>
            </w:r>
            <w:r w:rsidRPr="00A336D0">
              <w:rPr>
                <w:sz w:val="16"/>
                <w:lang w:val="ru-RU"/>
              </w:rPr>
              <w:t>межправительственных организаций</w:t>
            </w:r>
          </w:p>
        </w:tc>
      </w:tr>
      <w:tr w:rsidR="00A336D0" w:rsidRPr="001A1334" w:rsidTr="00F053BA">
        <w:trPr>
          <w:cantSplit/>
        </w:trPr>
        <w:tc>
          <w:tcPr>
            <w:tcW w:w="1114" w:type="pct"/>
            <w:tcBorders>
              <w:top w:val="single" w:sz="4" w:space="0" w:color="auto"/>
              <w:bottom w:val="nil"/>
            </w:tcBorders>
            <w:shd w:val="clear" w:color="auto" w:fill="auto"/>
            <w:vAlign w:val="center"/>
          </w:tcPr>
          <w:p w:rsidR="00A336D0" w:rsidRPr="001A1334" w:rsidRDefault="00A336D0" w:rsidP="00F053BA">
            <w:pPr>
              <w:tabs>
                <w:tab w:val="left" w:pos="49"/>
              </w:tabs>
              <w:rPr>
                <w:rFonts w:cs="Arial"/>
                <w:sz w:val="16"/>
                <w:szCs w:val="16"/>
              </w:rPr>
            </w:pPr>
            <w:r>
              <w:rPr>
                <w:b/>
                <w:sz w:val="16"/>
              </w:rPr>
              <w:t>Показатели результативности</w:t>
            </w:r>
          </w:p>
        </w:tc>
        <w:tc>
          <w:tcPr>
            <w:tcW w:w="1395" w:type="pct"/>
            <w:tcBorders>
              <w:top w:val="single" w:sz="4" w:space="0" w:color="auto"/>
              <w:bottom w:val="nil"/>
            </w:tcBorders>
            <w:shd w:val="clear" w:color="auto" w:fill="auto"/>
            <w:vAlign w:val="center"/>
          </w:tcPr>
          <w:p w:rsidR="00A336D0" w:rsidRPr="001A1334" w:rsidRDefault="00A336D0" w:rsidP="00F053BA">
            <w:pPr>
              <w:keepNext/>
              <w:keepLines/>
              <w:rPr>
                <w:rFonts w:cs="Arial"/>
                <w:b/>
                <w:bCs/>
                <w:sz w:val="16"/>
                <w:szCs w:val="16"/>
              </w:rPr>
            </w:pPr>
            <w:r>
              <w:rPr>
                <w:b/>
                <w:sz w:val="16"/>
              </w:rPr>
              <w:t>Базовые показатели</w:t>
            </w:r>
          </w:p>
        </w:tc>
        <w:tc>
          <w:tcPr>
            <w:tcW w:w="685" w:type="pct"/>
            <w:tcBorders>
              <w:top w:val="single" w:sz="4" w:space="0" w:color="auto"/>
              <w:bottom w:val="nil"/>
            </w:tcBorders>
            <w:shd w:val="clear" w:color="auto" w:fill="auto"/>
            <w:tcMar>
              <w:top w:w="110" w:type="dxa"/>
            </w:tcMar>
            <w:vAlign w:val="center"/>
          </w:tcPr>
          <w:p w:rsidR="00A336D0" w:rsidRPr="001A1334" w:rsidRDefault="00A336D0" w:rsidP="00F053BA">
            <w:pPr>
              <w:keepNext/>
              <w:keepLines/>
              <w:rPr>
                <w:rFonts w:cs="Arial"/>
                <w:b/>
                <w:sz w:val="16"/>
                <w:szCs w:val="16"/>
              </w:rPr>
            </w:pPr>
            <w:r>
              <w:rPr>
                <w:b/>
                <w:sz w:val="16"/>
              </w:rPr>
              <w:t>Цели</w:t>
            </w:r>
          </w:p>
        </w:tc>
        <w:tc>
          <w:tcPr>
            <w:tcW w:w="1188" w:type="pct"/>
            <w:tcBorders>
              <w:top w:val="single" w:sz="4" w:space="0" w:color="auto"/>
              <w:bottom w:val="nil"/>
            </w:tcBorders>
            <w:shd w:val="clear" w:color="auto" w:fill="auto"/>
            <w:tcMar>
              <w:top w:w="110" w:type="dxa"/>
            </w:tcMar>
            <w:vAlign w:val="center"/>
          </w:tcPr>
          <w:p w:rsidR="00A336D0" w:rsidRPr="001A1334" w:rsidRDefault="00A336D0" w:rsidP="00F053BA">
            <w:pPr>
              <w:keepNext/>
              <w:keepLines/>
              <w:rPr>
                <w:rFonts w:cs="Arial"/>
                <w:sz w:val="16"/>
                <w:szCs w:val="16"/>
              </w:rPr>
            </w:pPr>
            <w:r>
              <w:rPr>
                <w:b/>
                <w:sz w:val="16"/>
              </w:rPr>
              <w:t>Данные о результативности</w:t>
            </w:r>
          </w:p>
        </w:tc>
        <w:tc>
          <w:tcPr>
            <w:tcW w:w="618" w:type="pct"/>
            <w:tcBorders>
              <w:top w:val="single" w:sz="4" w:space="0" w:color="auto"/>
              <w:bottom w:val="nil"/>
            </w:tcBorders>
            <w:shd w:val="clear" w:color="auto" w:fill="auto"/>
            <w:tcMar>
              <w:top w:w="110" w:type="dxa"/>
            </w:tcMar>
            <w:vAlign w:val="center"/>
          </w:tcPr>
          <w:p w:rsidR="00A336D0" w:rsidRPr="001A1334" w:rsidRDefault="00A336D0" w:rsidP="00F053BA">
            <w:pPr>
              <w:keepNext/>
              <w:keepLines/>
              <w:jc w:val="center"/>
              <w:rPr>
                <w:rFonts w:cs="Arial"/>
                <w:b/>
                <w:bCs/>
                <w:sz w:val="16"/>
                <w:szCs w:val="16"/>
              </w:rPr>
            </w:pPr>
            <w:r>
              <w:rPr>
                <w:b/>
                <w:sz w:val="16"/>
              </w:rPr>
              <w:t>CC</w:t>
            </w:r>
          </w:p>
        </w:tc>
      </w:tr>
      <w:tr w:rsidR="00A336D0" w:rsidRPr="001A1334" w:rsidTr="00F053BA">
        <w:trPr>
          <w:cantSplit/>
        </w:trPr>
        <w:tc>
          <w:tcPr>
            <w:tcW w:w="1114" w:type="pct"/>
            <w:tcBorders>
              <w:top w:val="nil"/>
              <w:bottom w:val="nil"/>
            </w:tcBorders>
            <w:shd w:val="clear" w:color="auto" w:fill="auto"/>
          </w:tcPr>
          <w:p w:rsidR="00A336D0" w:rsidRPr="00A336D0" w:rsidRDefault="00A336D0" w:rsidP="00F053BA">
            <w:pPr>
              <w:rPr>
                <w:rFonts w:cs="Arial"/>
                <w:sz w:val="16"/>
                <w:szCs w:val="16"/>
                <w:lang w:val="ru-RU"/>
              </w:rPr>
            </w:pPr>
            <w:r w:rsidRPr="00A336D0">
              <w:rPr>
                <w:sz w:val="16"/>
                <w:lang w:val="ru-RU"/>
              </w:rPr>
              <w:t>Число рассмотренных просьб о сообщении в соответствии со статьей</w:t>
            </w:r>
            <w:r>
              <w:rPr>
                <w:sz w:val="16"/>
              </w:rPr>
              <w:t> </w:t>
            </w:r>
            <w:r w:rsidRPr="00A336D0">
              <w:rPr>
                <w:sz w:val="16"/>
                <w:lang w:val="ru-RU"/>
              </w:rPr>
              <w:t>6</w:t>
            </w:r>
            <w:r>
              <w:rPr>
                <w:i/>
                <w:sz w:val="16"/>
              </w:rPr>
              <w:t>te</w:t>
            </w:r>
            <w:r w:rsidRPr="0073663C">
              <w:rPr>
                <w:sz w:val="16"/>
                <w:szCs w:val="16"/>
              </w:rPr>
              <w:t>r</w:t>
            </w:r>
          </w:p>
        </w:tc>
        <w:tc>
          <w:tcPr>
            <w:tcW w:w="1395" w:type="pct"/>
            <w:tcBorders>
              <w:top w:val="nil"/>
              <w:bottom w:val="nil"/>
            </w:tcBorders>
            <w:shd w:val="clear" w:color="auto" w:fill="auto"/>
          </w:tcPr>
          <w:p w:rsidR="00A336D0" w:rsidRPr="00A336D0" w:rsidRDefault="00A336D0" w:rsidP="00F053BA">
            <w:pPr>
              <w:keepNext/>
              <w:keepLines/>
              <w:rPr>
                <w:rFonts w:cs="Arial"/>
                <w:i/>
                <w:color w:val="002060"/>
                <w:sz w:val="16"/>
                <w:szCs w:val="16"/>
                <w:lang w:val="ru-RU"/>
              </w:rPr>
            </w:pPr>
            <w:r w:rsidRPr="00A336D0">
              <w:rPr>
                <w:i/>
                <w:color w:val="002060"/>
                <w:sz w:val="16"/>
                <w:szCs w:val="16"/>
                <w:lang w:val="ru-RU"/>
              </w:rPr>
              <w:t>Обновленные базовые показатели, конец 2013</w:t>
            </w:r>
            <w:r w:rsidRPr="0073663C">
              <w:rPr>
                <w:i/>
                <w:color w:val="002060"/>
                <w:sz w:val="16"/>
                <w:szCs w:val="16"/>
              </w:rPr>
              <w:t> </w:t>
            </w:r>
            <w:r w:rsidRPr="00A336D0">
              <w:rPr>
                <w:i/>
                <w:color w:val="002060"/>
                <w:sz w:val="16"/>
                <w:szCs w:val="16"/>
                <w:lang w:val="ru-RU"/>
              </w:rPr>
              <w:t>г.:</w:t>
            </w:r>
            <w:r w:rsidRPr="00A336D0">
              <w:rPr>
                <w:color w:val="002060"/>
                <w:sz w:val="16"/>
                <w:szCs w:val="16"/>
                <w:lang w:val="ru-RU"/>
              </w:rPr>
              <w:t xml:space="preserve">  к концу 2013 г. рассмотрено 126 просьб о сообщении согласно статье 6</w:t>
            </w:r>
            <w:r w:rsidRPr="0073663C">
              <w:rPr>
                <w:i/>
                <w:color w:val="002060"/>
                <w:sz w:val="16"/>
                <w:szCs w:val="16"/>
              </w:rPr>
              <w:t>ter</w:t>
            </w:r>
            <w:r w:rsidRPr="00A336D0">
              <w:rPr>
                <w:color w:val="002060"/>
                <w:sz w:val="16"/>
                <w:szCs w:val="16"/>
                <w:lang w:val="ru-RU"/>
              </w:rPr>
              <w:t xml:space="preserve"> </w:t>
            </w:r>
          </w:p>
          <w:p w:rsidR="00A336D0" w:rsidRPr="00A336D0" w:rsidRDefault="00A336D0" w:rsidP="00F053BA">
            <w:pPr>
              <w:keepNext/>
              <w:keepLines/>
              <w:rPr>
                <w:rFonts w:cs="Arial"/>
                <w:i/>
                <w:sz w:val="16"/>
                <w:szCs w:val="16"/>
                <w:lang w:val="ru-RU"/>
              </w:rPr>
            </w:pPr>
          </w:p>
          <w:p w:rsidR="00A336D0" w:rsidRPr="00A336D0" w:rsidRDefault="00A336D0" w:rsidP="00F053BA">
            <w:pPr>
              <w:keepNext/>
              <w:keepLines/>
              <w:rPr>
                <w:rFonts w:cs="Arial"/>
                <w:sz w:val="16"/>
                <w:szCs w:val="16"/>
                <w:lang w:val="ru-RU"/>
              </w:rPr>
            </w:pPr>
            <w:r w:rsidRPr="00A336D0">
              <w:rPr>
                <w:i/>
                <w:sz w:val="16"/>
                <w:szCs w:val="16"/>
                <w:lang w:val="ru-RU"/>
              </w:rPr>
              <w:t>Исходные базовые показатели ПиБ на 2014–2015 гг.:</w:t>
            </w:r>
          </w:p>
          <w:p w:rsidR="00A336D0" w:rsidRPr="00A336D0" w:rsidRDefault="00A336D0" w:rsidP="00F053BA">
            <w:pPr>
              <w:keepNext/>
              <w:keepLines/>
              <w:rPr>
                <w:rFonts w:cs="Arial"/>
                <w:sz w:val="16"/>
                <w:szCs w:val="16"/>
                <w:lang w:val="ru-RU"/>
              </w:rPr>
            </w:pPr>
            <w:r w:rsidRPr="00A336D0">
              <w:rPr>
                <w:sz w:val="16"/>
                <w:szCs w:val="16"/>
                <w:lang w:val="ru-RU"/>
              </w:rPr>
              <w:t>в 2012 г. рассмотрено 70 просьб</w:t>
            </w:r>
            <w:r w:rsidRPr="0073663C">
              <w:rPr>
                <w:rStyle w:val="FootnoteReference"/>
                <w:sz w:val="16"/>
                <w:szCs w:val="16"/>
              </w:rPr>
              <w:footnoteReference w:id="10"/>
            </w:r>
            <w:r w:rsidRPr="00A336D0">
              <w:rPr>
                <w:sz w:val="16"/>
                <w:szCs w:val="16"/>
                <w:lang w:val="ru-RU"/>
              </w:rPr>
              <w:t xml:space="preserve"> о сообщении согласно статье</w:t>
            </w:r>
            <w:r w:rsidRPr="0073663C">
              <w:rPr>
                <w:sz w:val="16"/>
                <w:szCs w:val="16"/>
              </w:rPr>
              <w:t> </w:t>
            </w:r>
            <w:r w:rsidRPr="00A336D0">
              <w:rPr>
                <w:sz w:val="16"/>
                <w:szCs w:val="16"/>
                <w:lang w:val="ru-RU"/>
              </w:rPr>
              <w:t>6</w:t>
            </w:r>
            <w:r w:rsidRPr="0073663C">
              <w:rPr>
                <w:i/>
                <w:sz w:val="16"/>
                <w:szCs w:val="16"/>
              </w:rPr>
              <w:t>ter</w:t>
            </w:r>
          </w:p>
        </w:tc>
        <w:tc>
          <w:tcPr>
            <w:tcW w:w="685" w:type="pct"/>
            <w:tcBorders>
              <w:top w:val="nil"/>
              <w:bottom w:val="nil"/>
            </w:tcBorders>
            <w:shd w:val="clear" w:color="auto" w:fill="auto"/>
            <w:tcMar>
              <w:top w:w="110" w:type="dxa"/>
            </w:tcMar>
          </w:tcPr>
          <w:p w:rsidR="00A336D0" w:rsidRPr="00A336D0" w:rsidRDefault="00A336D0" w:rsidP="00F053BA">
            <w:pPr>
              <w:keepNext/>
              <w:keepLines/>
              <w:rPr>
                <w:rFonts w:cs="Arial"/>
                <w:sz w:val="16"/>
                <w:szCs w:val="16"/>
                <w:lang w:val="ru-RU"/>
              </w:rPr>
            </w:pPr>
            <w:r w:rsidRPr="00A336D0">
              <w:rPr>
                <w:sz w:val="16"/>
                <w:lang w:val="ru-RU"/>
              </w:rPr>
              <w:t>Рассмотрение 140 просьб о сообщении в соответствии со статьей</w:t>
            </w:r>
            <w:r>
              <w:rPr>
                <w:sz w:val="16"/>
              </w:rPr>
              <w:t> </w:t>
            </w:r>
            <w:r w:rsidRPr="00A336D0">
              <w:rPr>
                <w:sz w:val="16"/>
                <w:lang w:val="ru-RU"/>
              </w:rPr>
              <w:t>6</w:t>
            </w:r>
            <w:r>
              <w:rPr>
                <w:i/>
                <w:sz w:val="16"/>
              </w:rPr>
              <w:t>ter</w:t>
            </w:r>
          </w:p>
        </w:tc>
        <w:tc>
          <w:tcPr>
            <w:tcW w:w="1188" w:type="pct"/>
            <w:tcBorders>
              <w:top w:val="nil"/>
              <w:bottom w:val="nil"/>
            </w:tcBorders>
            <w:shd w:val="clear" w:color="auto" w:fill="auto"/>
            <w:tcMar>
              <w:top w:w="110" w:type="dxa"/>
            </w:tcMar>
          </w:tcPr>
          <w:p w:rsidR="00A336D0" w:rsidRPr="00A336D0" w:rsidRDefault="00A336D0" w:rsidP="00F053BA">
            <w:pPr>
              <w:keepNext/>
              <w:keepLines/>
              <w:rPr>
                <w:rFonts w:cs="Arial"/>
                <w:sz w:val="16"/>
                <w:szCs w:val="16"/>
                <w:lang w:val="ru-RU"/>
              </w:rPr>
            </w:pPr>
            <w:r w:rsidRPr="00A336D0">
              <w:rPr>
                <w:sz w:val="16"/>
                <w:lang w:val="ru-RU"/>
              </w:rPr>
              <w:t>Получены и рассмотрены 109 просьб о сообщении; 41</w:t>
            </w:r>
            <w:r>
              <w:rPr>
                <w:sz w:val="16"/>
              </w:rPr>
              <w:t> </w:t>
            </w:r>
            <w:r w:rsidRPr="00A336D0">
              <w:rPr>
                <w:sz w:val="16"/>
                <w:lang w:val="ru-RU"/>
              </w:rPr>
              <w:t>из них опубликованы</w:t>
            </w:r>
          </w:p>
        </w:tc>
        <w:tc>
          <w:tcPr>
            <w:tcW w:w="618" w:type="pct"/>
            <w:tcBorders>
              <w:top w:val="nil"/>
              <w:bottom w:val="nil"/>
            </w:tcBorders>
            <w:shd w:val="clear" w:color="auto" w:fill="auto"/>
            <w:tcMar>
              <w:top w:w="110" w:type="dxa"/>
            </w:tcMar>
          </w:tcPr>
          <w:p w:rsidR="00A336D0" w:rsidRPr="00552C90" w:rsidRDefault="00A336D0" w:rsidP="00F053BA">
            <w:pPr>
              <w:keepNext/>
              <w:keepLines/>
              <w:jc w:val="center"/>
              <w:rPr>
                <w:rFonts w:cs="Arial"/>
                <w:b/>
                <w:color w:val="E26B0A"/>
                <w:sz w:val="16"/>
                <w:szCs w:val="16"/>
              </w:rPr>
            </w:pPr>
            <w:r>
              <w:rPr>
                <w:b/>
                <w:color w:val="E26B0A"/>
                <w:sz w:val="16"/>
              </w:rPr>
              <w:t>Частично выполнено</w:t>
            </w:r>
          </w:p>
        </w:tc>
      </w:tr>
      <w:tr w:rsidR="00A336D0" w:rsidRPr="001A1334" w:rsidTr="00F053BA">
        <w:trPr>
          <w:cantSplit/>
        </w:trPr>
        <w:tc>
          <w:tcPr>
            <w:tcW w:w="1114" w:type="pct"/>
            <w:tcBorders>
              <w:top w:val="nil"/>
              <w:left w:val="single" w:sz="4" w:space="0" w:color="auto"/>
              <w:bottom w:val="single" w:sz="4" w:space="0" w:color="auto"/>
              <w:right w:val="nil"/>
            </w:tcBorders>
            <w:shd w:val="clear" w:color="auto" w:fill="auto"/>
          </w:tcPr>
          <w:p w:rsidR="00A336D0" w:rsidRPr="00A336D0" w:rsidRDefault="00A336D0" w:rsidP="00F053BA">
            <w:pPr>
              <w:rPr>
                <w:rFonts w:cs="Arial"/>
                <w:sz w:val="16"/>
                <w:szCs w:val="16"/>
                <w:lang w:val="ru-RU"/>
              </w:rPr>
            </w:pPr>
            <w:r w:rsidRPr="00A336D0">
              <w:rPr>
                <w:sz w:val="16"/>
                <w:lang w:val="ru-RU"/>
              </w:rPr>
              <w:t>Число знаков, внесенных в базу данных, ведущуюся в порядке выполнения статьи</w:t>
            </w:r>
            <w:r>
              <w:rPr>
                <w:sz w:val="16"/>
              </w:rPr>
              <w:t> </w:t>
            </w:r>
            <w:r w:rsidRPr="00A336D0">
              <w:rPr>
                <w:sz w:val="16"/>
                <w:lang w:val="ru-RU"/>
              </w:rPr>
              <w:t>6</w:t>
            </w:r>
            <w:r>
              <w:rPr>
                <w:i/>
                <w:sz w:val="16"/>
              </w:rPr>
              <w:t>ter</w:t>
            </w:r>
          </w:p>
        </w:tc>
        <w:tc>
          <w:tcPr>
            <w:tcW w:w="1395" w:type="pct"/>
            <w:tcBorders>
              <w:top w:val="nil"/>
              <w:left w:val="nil"/>
              <w:bottom w:val="single" w:sz="4" w:space="0" w:color="auto"/>
              <w:right w:val="nil"/>
            </w:tcBorders>
            <w:shd w:val="clear" w:color="auto" w:fill="auto"/>
          </w:tcPr>
          <w:p w:rsidR="00A336D0" w:rsidRPr="00A336D0" w:rsidRDefault="00A336D0" w:rsidP="00F053BA">
            <w:pPr>
              <w:rPr>
                <w:rFonts w:cs="Arial"/>
                <w:i/>
                <w:color w:val="002060"/>
                <w:sz w:val="16"/>
                <w:szCs w:val="16"/>
                <w:lang w:val="ru-RU"/>
              </w:rPr>
            </w:pPr>
            <w:r w:rsidRPr="00A336D0">
              <w:rPr>
                <w:i/>
                <w:color w:val="002060"/>
                <w:sz w:val="16"/>
                <w:szCs w:val="16"/>
                <w:lang w:val="ru-RU"/>
              </w:rPr>
              <w:t>Обновленные базовые показатели, конец 2013</w:t>
            </w:r>
            <w:r w:rsidRPr="0073663C">
              <w:rPr>
                <w:i/>
                <w:color w:val="002060"/>
                <w:sz w:val="16"/>
                <w:szCs w:val="16"/>
              </w:rPr>
              <w:t> </w:t>
            </w:r>
            <w:r w:rsidRPr="00A336D0">
              <w:rPr>
                <w:i/>
                <w:color w:val="002060"/>
                <w:sz w:val="16"/>
                <w:szCs w:val="16"/>
                <w:lang w:val="ru-RU"/>
              </w:rPr>
              <w:t>г.:</w:t>
            </w:r>
            <w:r w:rsidRPr="00A336D0">
              <w:rPr>
                <w:color w:val="002060"/>
                <w:sz w:val="16"/>
                <w:szCs w:val="16"/>
                <w:lang w:val="ru-RU"/>
              </w:rPr>
              <w:t xml:space="preserve">  </w:t>
            </w:r>
            <w:r w:rsidRPr="00A336D0">
              <w:rPr>
                <w:sz w:val="16"/>
                <w:szCs w:val="16"/>
                <w:lang w:val="ru-RU"/>
              </w:rPr>
              <w:t>в 2012–2013 гг. в базу данных, ведущуюся в порядке выполнения статьи</w:t>
            </w:r>
            <w:r w:rsidRPr="0073663C">
              <w:rPr>
                <w:sz w:val="16"/>
                <w:szCs w:val="16"/>
              </w:rPr>
              <w:t> </w:t>
            </w:r>
            <w:r w:rsidRPr="00A336D0">
              <w:rPr>
                <w:sz w:val="16"/>
                <w:szCs w:val="16"/>
                <w:lang w:val="ru-RU"/>
              </w:rPr>
              <w:t>6</w:t>
            </w:r>
            <w:r w:rsidRPr="0073663C">
              <w:rPr>
                <w:i/>
                <w:sz w:val="16"/>
                <w:szCs w:val="16"/>
              </w:rPr>
              <w:t>ter</w:t>
            </w:r>
            <w:r w:rsidRPr="00A336D0">
              <w:rPr>
                <w:sz w:val="16"/>
                <w:szCs w:val="16"/>
                <w:lang w:val="ru-RU"/>
              </w:rPr>
              <w:t>, внесено 132 знака</w:t>
            </w:r>
            <w:r w:rsidRPr="00A336D0">
              <w:rPr>
                <w:color w:val="002060"/>
                <w:sz w:val="16"/>
                <w:szCs w:val="16"/>
                <w:lang w:val="ru-RU"/>
              </w:rPr>
              <w:t xml:space="preserve"> </w:t>
            </w:r>
          </w:p>
          <w:p w:rsidR="00A336D0" w:rsidRPr="00A336D0" w:rsidRDefault="00A336D0" w:rsidP="00F053BA">
            <w:pPr>
              <w:rPr>
                <w:rFonts w:cs="Arial"/>
                <w:i/>
                <w:sz w:val="16"/>
                <w:szCs w:val="16"/>
                <w:lang w:val="ru-RU"/>
              </w:rPr>
            </w:pPr>
          </w:p>
          <w:p w:rsidR="00A336D0" w:rsidRPr="00A336D0" w:rsidRDefault="00A336D0" w:rsidP="00F053BA">
            <w:pPr>
              <w:rPr>
                <w:rFonts w:cs="Arial"/>
                <w:sz w:val="16"/>
                <w:szCs w:val="16"/>
                <w:lang w:val="ru-RU"/>
              </w:rPr>
            </w:pPr>
            <w:r w:rsidRPr="00A336D0">
              <w:rPr>
                <w:i/>
                <w:sz w:val="16"/>
                <w:szCs w:val="16"/>
                <w:lang w:val="ru-RU"/>
              </w:rPr>
              <w:t>Исходные базовые показатели ПиБ на 2014–2015 гг.:</w:t>
            </w:r>
          </w:p>
          <w:p w:rsidR="00A336D0" w:rsidRPr="00A336D0" w:rsidRDefault="00A336D0" w:rsidP="00F053BA">
            <w:pPr>
              <w:rPr>
                <w:rFonts w:cs="Arial"/>
                <w:i/>
                <w:color w:val="002060"/>
                <w:sz w:val="16"/>
                <w:szCs w:val="16"/>
                <w:lang w:val="ru-RU"/>
              </w:rPr>
            </w:pPr>
            <w:r w:rsidRPr="00A336D0">
              <w:rPr>
                <w:sz w:val="16"/>
                <w:szCs w:val="16"/>
                <w:lang w:val="ru-RU"/>
              </w:rPr>
              <w:t>в 2012 г. в базу данных, ведущуюся в порядке выполнения статьи</w:t>
            </w:r>
            <w:r w:rsidRPr="0073663C">
              <w:rPr>
                <w:sz w:val="16"/>
                <w:szCs w:val="16"/>
              </w:rPr>
              <w:t> </w:t>
            </w:r>
            <w:r w:rsidRPr="00A336D0">
              <w:rPr>
                <w:sz w:val="16"/>
                <w:szCs w:val="16"/>
                <w:lang w:val="ru-RU"/>
              </w:rPr>
              <w:t>6</w:t>
            </w:r>
            <w:r w:rsidRPr="0073663C">
              <w:rPr>
                <w:i/>
                <w:sz w:val="16"/>
                <w:szCs w:val="16"/>
              </w:rPr>
              <w:t>ter</w:t>
            </w:r>
            <w:r w:rsidRPr="00A336D0">
              <w:rPr>
                <w:sz w:val="16"/>
                <w:szCs w:val="16"/>
                <w:lang w:val="ru-RU"/>
              </w:rPr>
              <w:t>, внесено 75 знаков</w:t>
            </w:r>
            <w:r w:rsidRPr="0073663C">
              <w:rPr>
                <w:rStyle w:val="FootnoteReference"/>
                <w:sz w:val="16"/>
                <w:szCs w:val="16"/>
              </w:rPr>
              <w:footnoteReference w:id="11"/>
            </w:r>
          </w:p>
        </w:tc>
        <w:tc>
          <w:tcPr>
            <w:tcW w:w="685" w:type="pct"/>
            <w:tcBorders>
              <w:top w:val="nil"/>
              <w:left w:val="nil"/>
              <w:bottom w:val="single" w:sz="4" w:space="0" w:color="auto"/>
              <w:right w:val="nil"/>
            </w:tcBorders>
            <w:shd w:val="clear" w:color="auto" w:fill="auto"/>
            <w:tcMar>
              <w:top w:w="110" w:type="dxa"/>
            </w:tcMar>
          </w:tcPr>
          <w:p w:rsidR="00A336D0" w:rsidRPr="00A336D0" w:rsidRDefault="00A336D0" w:rsidP="00F053BA">
            <w:pPr>
              <w:rPr>
                <w:rFonts w:cs="Arial"/>
                <w:sz w:val="16"/>
                <w:szCs w:val="16"/>
                <w:lang w:val="ru-RU"/>
              </w:rPr>
            </w:pPr>
            <w:r w:rsidRPr="00A336D0">
              <w:rPr>
                <w:sz w:val="16"/>
                <w:lang w:val="ru-RU"/>
              </w:rPr>
              <w:t>Внесение в базу данных, ведущуюся в порядке выполнения статьи</w:t>
            </w:r>
            <w:r>
              <w:rPr>
                <w:sz w:val="16"/>
              </w:rPr>
              <w:t> </w:t>
            </w:r>
            <w:r w:rsidRPr="00A336D0">
              <w:rPr>
                <w:sz w:val="16"/>
                <w:lang w:val="ru-RU"/>
              </w:rPr>
              <w:t>6</w:t>
            </w:r>
            <w:r>
              <w:rPr>
                <w:i/>
                <w:sz w:val="16"/>
              </w:rPr>
              <w:t>ter</w:t>
            </w:r>
            <w:r w:rsidRPr="00A336D0">
              <w:rPr>
                <w:sz w:val="16"/>
                <w:lang w:val="ru-RU"/>
              </w:rPr>
              <w:t>, 150 знаков</w:t>
            </w:r>
            <w:r>
              <w:rPr>
                <w:rStyle w:val="FootnoteReference"/>
                <w:sz w:val="16"/>
              </w:rPr>
              <w:footnoteReference w:id="12"/>
            </w:r>
          </w:p>
        </w:tc>
        <w:tc>
          <w:tcPr>
            <w:tcW w:w="1188" w:type="pct"/>
            <w:tcBorders>
              <w:top w:val="nil"/>
              <w:left w:val="nil"/>
              <w:bottom w:val="single" w:sz="4" w:space="0" w:color="auto"/>
              <w:right w:val="nil"/>
            </w:tcBorders>
            <w:shd w:val="clear" w:color="auto" w:fill="auto"/>
            <w:tcMar>
              <w:top w:w="110" w:type="dxa"/>
            </w:tcMar>
          </w:tcPr>
          <w:p w:rsidR="00A336D0" w:rsidRPr="00A336D0" w:rsidRDefault="00A336D0" w:rsidP="00F053BA">
            <w:pPr>
              <w:rPr>
                <w:rFonts w:cs="Arial"/>
                <w:sz w:val="16"/>
                <w:szCs w:val="16"/>
                <w:lang w:val="ru-RU"/>
              </w:rPr>
            </w:pPr>
            <w:r w:rsidRPr="00A336D0">
              <w:rPr>
                <w:sz w:val="16"/>
                <w:lang w:val="ru-RU"/>
              </w:rPr>
              <w:t>В базу данных внесено 149 новых знаков</w:t>
            </w:r>
          </w:p>
          <w:p w:rsidR="00A336D0" w:rsidRPr="00A336D0" w:rsidRDefault="00A336D0" w:rsidP="00F053BA">
            <w:pPr>
              <w:rPr>
                <w:rFonts w:cs="Arial"/>
                <w:sz w:val="16"/>
                <w:szCs w:val="16"/>
                <w:lang w:val="ru-RU"/>
              </w:rPr>
            </w:pPr>
          </w:p>
          <w:p w:rsidR="00A336D0" w:rsidRPr="00A336D0" w:rsidRDefault="00A336D0" w:rsidP="00F053BA">
            <w:pPr>
              <w:rPr>
                <w:rFonts w:cs="Arial"/>
                <w:sz w:val="16"/>
                <w:szCs w:val="16"/>
                <w:lang w:val="ru-RU"/>
              </w:rPr>
            </w:pPr>
            <w:r w:rsidRPr="00A336D0">
              <w:rPr>
                <w:sz w:val="16"/>
                <w:lang w:val="ru-RU"/>
              </w:rPr>
              <w:t>По состоянию на конец 2015 г. в базе данных, ведущейся в порядке выполнения статьи</w:t>
            </w:r>
            <w:r>
              <w:rPr>
                <w:sz w:val="16"/>
              </w:rPr>
              <w:t> </w:t>
            </w:r>
            <w:r w:rsidRPr="00A336D0">
              <w:rPr>
                <w:sz w:val="16"/>
                <w:lang w:val="ru-RU"/>
              </w:rPr>
              <w:t>6</w:t>
            </w:r>
            <w:r>
              <w:rPr>
                <w:i/>
                <w:sz w:val="16"/>
              </w:rPr>
              <w:t>ter</w:t>
            </w:r>
            <w:r w:rsidRPr="00A336D0">
              <w:rPr>
                <w:sz w:val="16"/>
                <w:lang w:val="ru-RU"/>
              </w:rPr>
              <w:t>, содержалось 3</w:t>
            </w:r>
            <w:r>
              <w:rPr>
                <w:sz w:val="16"/>
              </w:rPr>
              <w:t> </w:t>
            </w:r>
            <w:r w:rsidRPr="00A336D0">
              <w:rPr>
                <w:sz w:val="16"/>
                <w:lang w:val="ru-RU"/>
              </w:rPr>
              <w:t>157 знаков</w:t>
            </w:r>
          </w:p>
        </w:tc>
        <w:tc>
          <w:tcPr>
            <w:tcW w:w="618" w:type="pct"/>
            <w:tcBorders>
              <w:top w:val="nil"/>
              <w:left w:val="nil"/>
              <w:bottom w:val="single" w:sz="4" w:space="0" w:color="auto"/>
              <w:right w:val="single" w:sz="4" w:space="0" w:color="auto"/>
            </w:tcBorders>
            <w:shd w:val="clear" w:color="auto" w:fill="auto"/>
          </w:tcPr>
          <w:p w:rsidR="00A336D0" w:rsidRPr="00552C90" w:rsidRDefault="00A336D0" w:rsidP="00F053BA">
            <w:pPr>
              <w:jc w:val="center"/>
              <w:rPr>
                <w:rFonts w:cs="Arial"/>
                <w:b/>
                <w:color w:val="00B050"/>
                <w:sz w:val="16"/>
                <w:szCs w:val="16"/>
              </w:rPr>
            </w:pPr>
            <w:r w:rsidRPr="00A336D0">
              <w:rPr>
                <w:rFonts w:cs="Arial"/>
                <w:b/>
                <w:bCs/>
                <w:color w:val="FF0000"/>
                <w:sz w:val="16"/>
                <w:szCs w:val="16"/>
                <w:lang w:val="ru-RU"/>
              </w:rPr>
              <w:br/>
            </w:r>
            <w:r>
              <w:rPr>
                <w:b/>
                <w:color w:val="00B050"/>
                <w:sz w:val="16"/>
              </w:rPr>
              <w:t>Выполнено</w:t>
            </w:r>
          </w:p>
        </w:tc>
      </w:tr>
    </w:tbl>
    <w:p w:rsidR="00A336D0" w:rsidRDefault="00A336D0" w:rsidP="00A336D0">
      <w:pPr>
        <w:jc w:val="both"/>
        <w:rPr>
          <w:sz w:val="18"/>
        </w:rPr>
      </w:pPr>
    </w:p>
    <w:p w:rsidR="00A336D0" w:rsidRPr="00CE5351" w:rsidRDefault="00A336D0" w:rsidP="00A336D0">
      <w:pPr>
        <w:jc w:val="both"/>
        <w:rPr>
          <w:sz w:val="18"/>
        </w:rPr>
      </w:pPr>
    </w:p>
    <w:p w:rsidR="00A336D0" w:rsidRPr="00A336D0" w:rsidRDefault="00A336D0" w:rsidP="00A336D0">
      <w:pPr>
        <w:keepNext/>
        <w:keepLines/>
        <w:rPr>
          <w:rFonts w:cs="Arial"/>
          <w:color w:val="000000"/>
          <w:sz w:val="22"/>
          <w:szCs w:val="22"/>
          <w:lang w:val="ru-RU"/>
        </w:rPr>
      </w:pPr>
      <w:r w:rsidRPr="00A336D0">
        <w:rPr>
          <w:color w:val="000000"/>
          <w:sz w:val="22"/>
          <w:lang w:val="ru-RU"/>
        </w:rPr>
        <w:t>ОТЧЕТ О РИСКАХ В ДВУХЛЕТНИЙ ПЕРИОД</w:t>
      </w:r>
    </w:p>
    <w:p w:rsidR="00A336D0" w:rsidRPr="00A336D0" w:rsidRDefault="00A336D0" w:rsidP="00A336D0">
      <w:pPr>
        <w:keepNext/>
        <w:keepLines/>
        <w:rPr>
          <w:rFonts w:cs="Arial"/>
          <w:color w:val="000000"/>
          <w:sz w:val="22"/>
          <w:szCs w:val="22"/>
          <w:lang w:val="ru-RU"/>
        </w:rPr>
      </w:pPr>
    </w:p>
    <w:tbl>
      <w:tblPr>
        <w:tblW w:w="9900" w:type="dxa"/>
        <w:tblInd w:w="108" w:type="dxa"/>
        <w:tblLook w:val="01E0" w:firstRow="1" w:lastRow="1" w:firstColumn="1" w:lastColumn="1" w:noHBand="0" w:noVBand="0"/>
      </w:tblPr>
      <w:tblGrid>
        <w:gridCol w:w="2420"/>
        <w:gridCol w:w="2200"/>
        <w:gridCol w:w="2310"/>
        <w:gridCol w:w="2970"/>
      </w:tblGrid>
      <w:tr w:rsidR="00A336D0" w:rsidRPr="000059C7" w:rsidTr="00F053BA">
        <w:trPr>
          <w:trHeight w:val="314"/>
        </w:trPr>
        <w:tc>
          <w:tcPr>
            <w:tcW w:w="2420" w:type="dxa"/>
            <w:tcBorders>
              <w:top w:val="single" w:sz="4" w:space="0" w:color="auto"/>
              <w:left w:val="single" w:sz="4" w:space="0" w:color="auto"/>
              <w:bottom w:val="single" w:sz="4" w:space="0" w:color="auto"/>
            </w:tcBorders>
            <w:shd w:val="clear" w:color="auto" w:fill="C6D9F1" w:themeFill="text2" w:themeFillTint="33"/>
            <w:tcMar>
              <w:top w:w="113" w:type="dxa"/>
              <w:bottom w:w="113" w:type="dxa"/>
            </w:tcMar>
            <w:vAlign w:val="center"/>
          </w:tcPr>
          <w:p w:rsidR="00A336D0" w:rsidRPr="00A336D0" w:rsidRDefault="00A336D0" w:rsidP="00F053BA">
            <w:pPr>
              <w:autoSpaceDE w:val="0"/>
              <w:autoSpaceDN w:val="0"/>
              <w:adjustRightInd w:val="0"/>
              <w:ind w:right="-59"/>
              <w:jc w:val="center"/>
              <w:rPr>
                <w:rFonts w:cs="Arial"/>
                <w:b/>
                <w:bCs/>
                <w:iCs/>
                <w:sz w:val="18"/>
                <w:szCs w:val="18"/>
                <w:lang w:val="ru-RU"/>
              </w:rPr>
            </w:pPr>
            <w:r w:rsidRPr="00A336D0">
              <w:rPr>
                <w:b/>
                <w:sz w:val="18"/>
                <w:lang w:val="ru-RU"/>
              </w:rPr>
              <w:t>Риск (риски) того, что результаты программы не будут достигнуты</w:t>
            </w:r>
          </w:p>
        </w:tc>
        <w:tc>
          <w:tcPr>
            <w:tcW w:w="2200" w:type="dxa"/>
            <w:tcBorders>
              <w:top w:val="single" w:sz="4" w:space="0" w:color="auto"/>
              <w:bottom w:val="single" w:sz="4" w:space="0" w:color="auto"/>
            </w:tcBorders>
            <w:shd w:val="clear" w:color="auto" w:fill="C6D9F1" w:themeFill="text2" w:themeFillTint="33"/>
            <w:tcMar>
              <w:top w:w="113" w:type="dxa"/>
              <w:bottom w:w="113" w:type="dxa"/>
            </w:tcMar>
            <w:vAlign w:val="center"/>
          </w:tcPr>
          <w:p w:rsidR="00A336D0" w:rsidRPr="00A336D0" w:rsidRDefault="00A336D0" w:rsidP="00F053BA">
            <w:pPr>
              <w:autoSpaceDE w:val="0"/>
              <w:autoSpaceDN w:val="0"/>
              <w:adjustRightInd w:val="0"/>
              <w:ind w:right="-59"/>
              <w:jc w:val="center"/>
              <w:rPr>
                <w:rFonts w:cs="Arial"/>
                <w:b/>
                <w:bCs/>
                <w:iCs/>
                <w:sz w:val="18"/>
                <w:szCs w:val="18"/>
                <w:lang w:val="ru-RU"/>
              </w:rPr>
            </w:pPr>
            <w:r w:rsidRPr="00A336D0">
              <w:rPr>
                <w:b/>
                <w:sz w:val="18"/>
                <w:lang w:val="ru-RU"/>
              </w:rPr>
              <w:t xml:space="preserve">Действующие или разрабатываемые планы по снижению рисков </w:t>
            </w:r>
          </w:p>
        </w:tc>
        <w:tc>
          <w:tcPr>
            <w:tcW w:w="2310" w:type="dxa"/>
            <w:tcBorders>
              <w:top w:val="single" w:sz="4" w:space="0" w:color="auto"/>
              <w:bottom w:val="single" w:sz="4" w:space="0" w:color="auto"/>
            </w:tcBorders>
            <w:shd w:val="clear" w:color="auto" w:fill="C6D9F1" w:themeFill="text2" w:themeFillTint="33"/>
          </w:tcPr>
          <w:p w:rsidR="00A336D0" w:rsidRPr="00A336D0" w:rsidRDefault="00A336D0" w:rsidP="00F053BA">
            <w:pPr>
              <w:jc w:val="center"/>
              <w:rPr>
                <w:rFonts w:cs="Arial"/>
                <w:b/>
                <w:bCs/>
                <w:sz w:val="18"/>
                <w:szCs w:val="18"/>
                <w:lang w:val="ru-RU"/>
              </w:rPr>
            </w:pPr>
            <w:r w:rsidRPr="00A336D0">
              <w:rPr>
                <w:b/>
                <w:sz w:val="18"/>
                <w:lang w:val="ru-RU"/>
              </w:rPr>
              <w:t>Развитие риска (рисков) и стратегий его (их) снижения в двухлетний период</w:t>
            </w:r>
          </w:p>
        </w:tc>
        <w:tc>
          <w:tcPr>
            <w:tcW w:w="2970" w:type="dxa"/>
            <w:tcBorders>
              <w:top w:val="single" w:sz="4" w:space="0" w:color="auto"/>
              <w:bottom w:val="single" w:sz="4" w:space="0" w:color="auto"/>
              <w:right w:val="single" w:sz="4" w:space="0" w:color="auto"/>
            </w:tcBorders>
            <w:shd w:val="clear" w:color="auto" w:fill="C6D9F1" w:themeFill="text2" w:themeFillTint="33"/>
          </w:tcPr>
          <w:p w:rsidR="00A336D0" w:rsidRPr="00C9381E" w:rsidRDefault="00A336D0" w:rsidP="00F053BA">
            <w:pPr>
              <w:jc w:val="center"/>
              <w:rPr>
                <w:b/>
                <w:sz w:val="18"/>
              </w:rPr>
            </w:pPr>
            <w:r w:rsidRPr="00C9381E">
              <w:rPr>
                <w:b/>
                <w:sz w:val="18"/>
              </w:rPr>
              <w:t xml:space="preserve">Влияние на </w:t>
            </w:r>
          </w:p>
          <w:p w:rsidR="00A336D0" w:rsidRPr="00C9381E" w:rsidRDefault="00A336D0" w:rsidP="00F053BA">
            <w:pPr>
              <w:jc w:val="center"/>
              <w:rPr>
                <w:b/>
                <w:sz w:val="18"/>
              </w:rPr>
            </w:pPr>
            <w:r w:rsidRPr="00C9381E">
              <w:rPr>
                <w:b/>
                <w:sz w:val="18"/>
              </w:rPr>
              <w:t xml:space="preserve">реализацию </w:t>
            </w:r>
          </w:p>
          <w:p w:rsidR="00A336D0" w:rsidRPr="000059C7" w:rsidRDefault="00A336D0" w:rsidP="00F053BA">
            <w:pPr>
              <w:jc w:val="center"/>
              <w:rPr>
                <w:rFonts w:cs="Arial"/>
                <w:b/>
                <w:bCs/>
                <w:sz w:val="18"/>
                <w:szCs w:val="18"/>
              </w:rPr>
            </w:pPr>
            <w:r w:rsidRPr="00C9381E">
              <w:rPr>
                <w:b/>
                <w:sz w:val="18"/>
              </w:rPr>
              <w:t>программы</w:t>
            </w:r>
          </w:p>
        </w:tc>
      </w:tr>
      <w:tr w:rsidR="00A336D0" w:rsidRPr="005C6ABD" w:rsidTr="00F053BA">
        <w:trPr>
          <w:trHeight w:val="1219"/>
        </w:trPr>
        <w:tc>
          <w:tcPr>
            <w:tcW w:w="2420" w:type="dxa"/>
            <w:tcBorders>
              <w:top w:val="single" w:sz="4" w:space="0" w:color="auto"/>
              <w:left w:val="single" w:sz="4" w:space="0" w:color="auto"/>
              <w:bottom w:val="single" w:sz="4" w:space="0" w:color="auto"/>
            </w:tcBorders>
            <w:shd w:val="clear" w:color="auto" w:fill="auto"/>
            <w:tcMar>
              <w:top w:w="113" w:type="dxa"/>
              <w:bottom w:w="113" w:type="dxa"/>
            </w:tcMar>
          </w:tcPr>
          <w:p w:rsidR="00A336D0" w:rsidRPr="00A336D0" w:rsidRDefault="00A336D0" w:rsidP="00F053BA">
            <w:pPr>
              <w:rPr>
                <w:rFonts w:cs="Arial"/>
                <w:sz w:val="16"/>
                <w:szCs w:val="16"/>
                <w:lang w:val="ru-RU"/>
              </w:rPr>
            </w:pPr>
            <w:r w:rsidRPr="00A336D0">
              <w:rPr>
                <w:sz w:val="16"/>
                <w:lang w:val="ru-RU"/>
              </w:rPr>
              <w:t>Достижение соглашений на многостороннем уровне по-прежнему представляет собой крайне непростую задачу, и успешное осуществление нормативной деятельности в рамках программы</w:t>
            </w:r>
            <w:r>
              <w:rPr>
                <w:sz w:val="16"/>
              </w:rPr>
              <w:t> </w:t>
            </w:r>
            <w:r w:rsidRPr="00A336D0">
              <w:rPr>
                <w:sz w:val="16"/>
                <w:lang w:val="ru-RU"/>
              </w:rPr>
              <w:t>2 будет в значительной степени зависеть от стремления государств-членов к постановке взаимосогласованных задач.</w:t>
            </w:r>
          </w:p>
        </w:tc>
        <w:tc>
          <w:tcPr>
            <w:tcW w:w="2200" w:type="dxa"/>
            <w:tcBorders>
              <w:top w:val="single" w:sz="4" w:space="0" w:color="auto"/>
              <w:bottom w:val="single" w:sz="4" w:space="0" w:color="auto"/>
            </w:tcBorders>
            <w:shd w:val="clear" w:color="auto" w:fill="auto"/>
            <w:tcMar>
              <w:top w:w="113" w:type="dxa"/>
              <w:bottom w:w="113" w:type="dxa"/>
            </w:tcMar>
          </w:tcPr>
          <w:p w:rsidR="00A336D0" w:rsidRPr="00A336D0" w:rsidRDefault="00A336D0" w:rsidP="00F053BA">
            <w:pPr>
              <w:autoSpaceDE w:val="0"/>
              <w:autoSpaceDN w:val="0"/>
              <w:adjustRightInd w:val="0"/>
              <w:ind w:right="-59"/>
              <w:rPr>
                <w:rFonts w:cs="Arial"/>
                <w:sz w:val="16"/>
                <w:szCs w:val="16"/>
                <w:lang w:val="ru-RU"/>
              </w:rPr>
            </w:pPr>
            <w:r w:rsidRPr="00A336D0">
              <w:rPr>
                <w:sz w:val="16"/>
                <w:lang w:val="ru-RU"/>
              </w:rPr>
              <w:t>Этот риск присущ любой деятельности нормотворческого характера и по определению будет сопутствовать данной программе.  Однако некоторые программные мероприятия, в частности сессии ПКТЗ, обеспечат возможность непрерывного диалога и обмена мнениями с целью определения вопросов, по которым имеется взаимопонимание, и потенциального согласования результатов.</w:t>
            </w:r>
          </w:p>
        </w:tc>
        <w:tc>
          <w:tcPr>
            <w:tcW w:w="2310" w:type="dxa"/>
            <w:tcBorders>
              <w:top w:val="single" w:sz="4" w:space="0" w:color="auto"/>
              <w:bottom w:val="single" w:sz="4" w:space="0" w:color="auto"/>
            </w:tcBorders>
          </w:tcPr>
          <w:p w:rsidR="00A336D0" w:rsidRPr="00A336D0" w:rsidRDefault="00A336D0" w:rsidP="00F053BA">
            <w:pPr>
              <w:autoSpaceDE w:val="0"/>
              <w:autoSpaceDN w:val="0"/>
              <w:adjustRightInd w:val="0"/>
              <w:ind w:right="-59"/>
              <w:rPr>
                <w:rFonts w:cs="Arial"/>
                <w:sz w:val="16"/>
                <w:szCs w:val="16"/>
                <w:lang w:val="ru-RU"/>
              </w:rPr>
            </w:pPr>
            <w:r w:rsidRPr="00A336D0">
              <w:rPr>
                <w:sz w:val="16"/>
                <w:lang w:val="ru-RU"/>
              </w:rPr>
              <w:t>Этот общий связанный с программой риск не претерпел существенных изменений в рассматриваемый двухлетний период, и его можно считать постоянным.  То же самое относится и к реализуемым планам по смягчению риска, которые будут актуальны и в двухлетний период 2016–2017</w:t>
            </w:r>
            <w:r>
              <w:rPr>
                <w:sz w:val="16"/>
              </w:rPr>
              <w:t> </w:t>
            </w:r>
            <w:r w:rsidRPr="00A336D0">
              <w:rPr>
                <w:sz w:val="16"/>
                <w:lang w:val="ru-RU"/>
              </w:rPr>
              <w:t>гг.</w:t>
            </w:r>
          </w:p>
        </w:tc>
        <w:tc>
          <w:tcPr>
            <w:tcW w:w="2970" w:type="dxa"/>
            <w:tcBorders>
              <w:top w:val="single" w:sz="4" w:space="0" w:color="auto"/>
              <w:bottom w:val="single" w:sz="4" w:space="0" w:color="auto"/>
              <w:right w:val="single" w:sz="4" w:space="0" w:color="auto"/>
            </w:tcBorders>
          </w:tcPr>
          <w:p w:rsidR="00A336D0" w:rsidRPr="00A336D0" w:rsidRDefault="00A336D0" w:rsidP="00F053BA">
            <w:pPr>
              <w:autoSpaceDE w:val="0"/>
              <w:autoSpaceDN w:val="0"/>
              <w:adjustRightInd w:val="0"/>
              <w:ind w:right="-59"/>
              <w:rPr>
                <w:rFonts w:cs="Arial"/>
                <w:sz w:val="16"/>
                <w:szCs w:val="16"/>
                <w:lang w:val="ru-RU"/>
              </w:rPr>
            </w:pPr>
            <w:r w:rsidRPr="00A336D0">
              <w:rPr>
                <w:sz w:val="16"/>
                <w:lang w:val="ru-RU"/>
              </w:rPr>
              <w:t xml:space="preserve">Посредством диалога и обмена мнениями, чему способствуют сессии ПКТЗ и Генеральной Ассамблеи ВОИС, осуществляется постоянное смягчение рисков, имманентно присущих нормативно-правовой деятельности в рамках этой программы.  Таким образом, несмотря на то, что основная цель (т.е. заключение Договора о законах по образцам) нормативно-правовой деятельности в рамках программы 2 не была достигнута, удалось добиться существенного прогресса, в частности на сорок седьмой сессии Генеральной Ассамблеи ВОИС. </w:t>
            </w:r>
          </w:p>
        </w:tc>
      </w:tr>
    </w:tbl>
    <w:p w:rsidR="00A336D0" w:rsidRPr="00A336D0" w:rsidRDefault="00A336D0" w:rsidP="00A336D0">
      <w:pPr>
        <w:keepNext/>
        <w:keepLines/>
        <w:rPr>
          <w:color w:val="000000"/>
          <w:sz w:val="22"/>
          <w:lang w:val="ru-RU"/>
        </w:rPr>
      </w:pPr>
    </w:p>
    <w:p w:rsidR="00A336D0" w:rsidRPr="00A336D0" w:rsidRDefault="00A336D0" w:rsidP="00A336D0">
      <w:pPr>
        <w:keepNext/>
        <w:keepLines/>
        <w:rPr>
          <w:b/>
          <w:sz w:val="18"/>
          <w:szCs w:val="18"/>
          <w:lang w:val="ru-RU"/>
        </w:rPr>
      </w:pPr>
      <w:r w:rsidRPr="00A336D0">
        <w:rPr>
          <w:color w:val="000000"/>
          <w:sz w:val="22"/>
          <w:lang w:val="ru-RU"/>
        </w:rPr>
        <w:t>ИСПОЛЬЗОВАНИЕ РЕСУРСОВ</w:t>
      </w:r>
      <w:r w:rsidRPr="00A336D0">
        <w:rPr>
          <w:lang w:val="ru-RU"/>
        </w:rPr>
        <w:tab/>
      </w:r>
    </w:p>
    <w:p w:rsidR="00A336D0" w:rsidRPr="00A336D0" w:rsidRDefault="00A336D0" w:rsidP="00A336D0">
      <w:pPr>
        <w:keepNext/>
        <w:keepLines/>
        <w:rPr>
          <w:szCs w:val="20"/>
          <w:lang w:val="ru-RU"/>
        </w:rPr>
      </w:pPr>
    </w:p>
    <w:p w:rsidR="00A336D0" w:rsidRPr="00A336D0" w:rsidRDefault="00A336D0" w:rsidP="00A336D0">
      <w:pPr>
        <w:pStyle w:val="NormalWeb"/>
        <w:keepNext/>
        <w:keepLines/>
        <w:spacing w:before="0" w:beforeAutospacing="0" w:after="0" w:afterAutospacing="0"/>
        <w:jc w:val="center"/>
        <w:rPr>
          <w:color w:val="000000"/>
          <w:sz w:val="20"/>
          <w:szCs w:val="20"/>
          <w:lang w:val="ru-RU"/>
        </w:rPr>
      </w:pPr>
    </w:p>
    <w:p w:rsidR="00A336D0" w:rsidRPr="00A336D0" w:rsidRDefault="00A336D0" w:rsidP="00A336D0">
      <w:pPr>
        <w:pStyle w:val="NormalWeb"/>
        <w:keepNext/>
        <w:keepLines/>
        <w:spacing w:before="0" w:beforeAutospacing="0" w:after="0" w:afterAutospacing="0"/>
        <w:jc w:val="center"/>
        <w:rPr>
          <w:sz w:val="20"/>
          <w:szCs w:val="20"/>
          <w:lang w:val="ru-RU"/>
        </w:rPr>
      </w:pPr>
      <w:r w:rsidRPr="00A336D0">
        <w:rPr>
          <w:color w:val="000000"/>
          <w:sz w:val="20"/>
          <w:lang w:val="ru-RU"/>
        </w:rPr>
        <w:t xml:space="preserve">Бюджет и фактические расходы (в разбивке по результатам) </w:t>
      </w:r>
    </w:p>
    <w:p w:rsidR="00A336D0" w:rsidRDefault="00A336D0" w:rsidP="00A336D0">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A336D0" w:rsidRPr="00CE5351" w:rsidRDefault="00A336D0" w:rsidP="00A336D0">
      <w:pPr>
        <w:pStyle w:val="NormalWeb"/>
        <w:keepNext/>
        <w:keepLines/>
        <w:spacing w:before="0" w:beforeAutospacing="0" w:after="0" w:afterAutospacing="0"/>
        <w:jc w:val="center"/>
        <w:rPr>
          <w:i/>
          <w:iCs/>
          <w:color w:val="000000"/>
          <w:sz w:val="16"/>
          <w:szCs w:val="20"/>
        </w:rPr>
      </w:pPr>
    </w:p>
    <w:p w:rsidR="00A336D0" w:rsidRDefault="00A336D0" w:rsidP="00A336D0">
      <w:pPr>
        <w:jc w:val="center"/>
      </w:pPr>
      <w:r>
        <w:rPr>
          <w:noProof/>
        </w:rPr>
        <w:drawing>
          <wp:inline distT="0" distB="0" distL="0" distR="0" wp14:anchorId="60AE2B1B" wp14:editId="14B8889F">
            <wp:extent cx="6151880" cy="2856096"/>
            <wp:effectExtent l="0" t="0" r="127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51880" cy="2856096"/>
                    </a:xfrm>
                    <a:prstGeom prst="rect">
                      <a:avLst/>
                    </a:prstGeom>
                    <a:noFill/>
                    <a:ln>
                      <a:noFill/>
                    </a:ln>
                  </pic:spPr>
                </pic:pic>
              </a:graphicData>
            </a:graphic>
          </wp:inline>
        </w:drawing>
      </w:r>
    </w:p>
    <w:p w:rsidR="00A336D0" w:rsidRDefault="00A336D0" w:rsidP="00A336D0"/>
    <w:p w:rsidR="00A336D0" w:rsidRDefault="00A336D0" w:rsidP="00A336D0">
      <w:pPr>
        <w:pStyle w:val="NormalWeb"/>
        <w:keepNext/>
        <w:keepLines/>
        <w:spacing w:before="0" w:beforeAutospacing="0" w:after="0" w:afterAutospacing="0"/>
        <w:jc w:val="center"/>
        <w:rPr>
          <w:color w:val="000000"/>
          <w:sz w:val="20"/>
          <w:szCs w:val="20"/>
        </w:rPr>
      </w:pPr>
    </w:p>
    <w:p w:rsidR="00A336D0" w:rsidRPr="00A336D0" w:rsidRDefault="00A336D0" w:rsidP="00A336D0">
      <w:pPr>
        <w:pStyle w:val="NormalWeb"/>
        <w:keepNext/>
        <w:keepLines/>
        <w:spacing w:before="0" w:beforeAutospacing="0" w:after="0" w:afterAutospacing="0"/>
        <w:jc w:val="center"/>
        <w:rPr>
          <w:sz w:val="20"/>
          <w:szCs w:val="20"/>
          <w:lang w:val="ru-RU"/>
        </w:rPr>
      </w:pPr>
      <w:r w:rsidRPr="00A336D0">
        <w:rPr>
          <w:color w:val="000000"/>
          <w:sz w:val="20"/>
          <w:lang w:val="ru-RU"/>
        </w:rPr>
        <w:t xml:space="preserve">Бюджет и фактические расходы (по персоналу и не связанные с персоналом) </w:t>
      </w:r>
    </w:p>
    <w:p w:rsidR="00A336D0" w:rsidRDefault="00A336D0" w:rsidP="00A336D0">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A336D0" w:rsidRPr="00CE5351" w:rsidRDefault="00A336D0" w:rsidP="00A336D0">
      <w:pPr>
        <w:pStyle w:val="NormalWeb"/>
        <w:keepNext/>
        <w:keepLines/>
        <w:spacing w:before="0" w:beforeAutospacing="0" w:after="0" w:afterAutospacing="0"/>
        <w:jc w:val="center"/>
        <w:rPr>
          <w:i/>
          <w:iCs/>
          <w:color w:val="000000"/>
          <w:sz w:val="16"/>
          <w:szCs w:val="20"/>
        </w:rPr>
      </w:pPr>
    </w:p>
    <w:p w:rsidR="00A336D0" w:rsidRDefault="00A336D0" w:rsidP="00A336D0">
      <w:pPr>
        <w:jc w:val="center"/>
        <w:rPr>
          <w:i/>
          <w:sz w:val="16"/>
          <w:szCs w:val="16"/>
        </w:rPr>
      </w:pPr>
      <w:r>
        <w:rPr>
          <w:i/>
          <w:noProof/>
          <w:sz w:val="16"/>
          <w:szCs w:val="16"/>
        </w:rPr>
        <w:drawing>
          <wp:inline distT="0" distB="0" distL="0" distR="0" wp14:anchorId="065DFF20" wp14:editId="5F112D6A">
            <wp:extent cx="6151880" cy="1270298"/>
            <wp:effectExtent l="0" t="0" r="127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51880" cy="1270298"/>
                    </a:xfrm>
                    <a:prstGeom prst="rect">
                      <a:avLst/>
                    </a:prstGeom>
                    <a:noFill/>
                    <a:ln>
                      <a:noFill/>
                    </a:ln>
                  </pic:spPr>
                </pic:pic>
              </a:graphicData>
            </a:graphic>
          </wp:inline>
        </w:drawing>
      </w:r>
    </w:p>
    <w:p w:rsidR="00A336D0" w:rsidRDefault="00A336D0" w:rsidP="00A336D0">
      <w:pPr>
        <w:rPr>
          <w:sz w:val="16"/>
          <w:szCs w:val="20"/>
        </w:rPr>
      </w:pPr>
    </w:p>
    <w:p w:rsidR="00A336D0" w:rsidRPr="0004128C" w:rsidRDefault="00A336D0" w:rsidP="00A336D0">
      <w:pPr>
        <w:rPr>
          <w:sz w:val="16"/>
          <w:szCs w:val="20"/>
        </w:rPr>
      </w:pPr>
    </w:p>
    <w:p w:rsidR="00A336D0" w:rsidRPr="00A336D0" w:rsidRDefault="00A336D0" w:rsidP="00A336D0">
      <w:pPr>
        <w:rPr>
          <w:rFonts w:cs="Arial"/>
          <w:u w:val="single"/>
          <w:lang w:val="ru-RU"/>
        </w:rPr>
      </w:pPr>
      <w:r>
        <w:t>A</w:t>
      </w:r>
      <w:r w:rsidRPr="00A336D0">
        <w:rPr>
          <w:lang w:val="ru-RU"/>
        </w:rPr>
        <w:t>.</w:t>
      </w:r>
      <w:r w:rsidRPr="00A336D0">
        <w:rPr>
          <w:lang w:val="ru-RU"/>
        </w:rPr>
        <w:tab/>
      </w:r>
      <w:r w:rsidR="00F053BA">
        <w:rPr>
          <w:u w:val="single"/>
          <w:lang w:val="ru-RU"/>
        </w:rPr>
        <w:t>Окончательный</w:t>
      </w:r>
      <w:r w:rsidRPr="00A336D0">
        <w:rPr>
          <w:u w:val="single"/>
          <w:lang w:val="ru-RU"/>
        </w:rPr>
        <w:t xml:space="preserve"> бюджет на 2014–2015</w:t>
      </w:r>
      <w:r>
        <w:rPr>
          <w:u w:val="single"/>
        </w:rPr>
        <w:t> </w:t>
      </w:r>
      <w:r w:rsidRPr="00A336D0">
        <w:rPr>
          <w:u w:val="single"/>
          <w:lang w:val="ru-RU"/>
        </w:rPr>
        <w:t>гг. после перераспределения средств</w:t>
      </w:r>
    </w:p>
    <w:p w:rsidR="00A336D0" w:rsidRPr="00A336D0" w:rsidRDefault="00A336D0" w:rsidP="00A336D0">
      <w:pPr>
        <w:autoSpaceDE w:val="0"/>
        <w:autoSpaceDN w:val="0"/>
        <w:jc w:val="both"/>
        <w:rPr>
          <w:rFonts w:cs="Arial"/>
          <w:szCs w:val="20"/>
          <w:lang w:val="ru-RU"/>
        </w:rPr>
      </w:pPr>
    </w:p>
    <w:p w:rsidR="00A336D0" w:rsidRPr="00A336D0" w:rsidRDefault="00A336D0" w:rsidP="00A336D0">
      <w:pPr>
        <w:pStyle w:val="ListParagraph"/>
        <w:tabs>
          <w:tab w:val="left" w:pos="567"/>
        </w:tabs>
        <w:autoSpaceDE w:val="0"/>
        <w:autoSpaceDN w:val="0"/>
        <w:ind w:left="0"/>
        <w:jc w:val="both"/>
        <w:rPr>
          <w:rFonts w:eastAsia="Batang"/>
          <w:lang w:val="ru-RU"/>
        </w:rPr>
      </w:pPr>
      <w:r w:rsidRPr="00A336D0">
        <w:rPr>
          <w:lang w:val="ru-RU"/>
        </w:rPr>
        <w:t>2.7</w:t>
      </w:r>
      <w:r w:rsidRPr="00A336D0">
        <w:rPr>
          <w:lang w:val="ru-RU"/>
        </w:rPr>
        <w:tab/>
        <w:t>Итоговый бюджет на 2014–2015</w:t>
      </w:r>
      <w:r>
        <w:t> </w:t>
      </w:r>
      <w:r w:rsidRPr="00A336D0">
        <w:rPr>
          <w:lang w:val="ru-RU"/>
        </w:rPr>
        <w:t>гг. после перераспределения средств отражает понижательную корректировку объема средств, направленных на достижение результата</w:t>
      </w:r>
      <w:r>
        <w:t> I</w:t>
      </w:r>
      <w:r w:rsidRPr="00A336D0">
        <w:rPr>
          <w:lang w:val="ru-RU"/>
        </w:rPr>
        <w:t>.1 (разработка сбалансированной международной нормативной базы для ИС), в связи с выводом из программы ресурсов, не связанных с персоналом, первоначально заложенных в бюджет для возможного проведения дипломатической конференции.</w:t>
      </w:r>
    </w:p>
    <w:p w:rsidR="00A336D0" w:rsidRPr="00A336D0" w:rsidRDefault="00A336D0" w:rsidP="00A336D0">
      <w:pPr>
        <w:pStyle w:val="ListParagraph"/>
        <w:tabs>
          <w:tab w:val="left" w:pos="567"/>
        </w:tabs>
        <w:autoSpaceDE w:val="0"/>
        <w:autoSpaceDN w:val="0"/>
        <w:ind w:left="0"/>
        <w:jc w:val="both"/>
        <w:rPr>
          <w:rFonts w:eastAsia="Batang"/>
          <w:lang w:val="ru-RU"/>
        </w:rPr>
      </w:pPr>
    </w:p>
    <w:p w:rsidR="00A336D0" w:rsidRPr="00A336D0" w:rsidRDefault="00A336D0" w:rsidP="00A336D0">
      <w:pPr>
        <w:pStyle w:val="ListParagraph"/>
        <w:tabs>
          <w:tab w:val="left" w:pos="567"/>
        </w:tabs>
        <w:autoSpaceDE w:val="0"/>
        <w:autoSpaceDN w:val="0"/>
        <w:ind w:left="0"/>
        <w:jc w:val="both"/>
        <w:rPr>
          <w:rFonts w:eastAsia="Batang"/>
          <w:lang w:val="ru-RU"/>
        </w:rPr>
      </w:pPr>
      <w:r w:rsidRPr="00A336D0">
        <w:rPr>
          <w:lang w:val="ru-RU"/>
        </w:rPr>
        <w:t>2.8</w:t>
      </w:r>
      <w:r w:rsidRPr="00A336D0">
        <w:rPr>
          <w:lang w:val="ru-RU"/>
        </w:rPr>
        <w:tab/>
        <w:t>Некоторое увеличение бюджета на 2014–2015 гг. после перераспределения средств вызвано реклассификацией одной должности с повышением.</w:t>
      </w:r>
    </w:p>
    <w:p w:rsidR="00A336D0" w:rsidRPr="00A336D0" w:rsidRDefault="00A336D0" w:rsidP="00A336D0">
      <w:pPr>
        <w:pStyle w:val="ListParagraph"/>
        <w:tabs>
          <w:tab w:val="left" w:pos="567"/>
        </w:tabs>
        <w:autoSpaceDE w:val="0"/>
        <w:autoSpaceDN w:val="0"/>
        <w:ind w:left="0"/>
        <w:jc w:val="both"/>
        <w:rPr>
          <w:rFonts w:eastAsia="Batang"/>
          <w:lang w:val="ru-RU"/>
        </w:rPr>
      </w:pPr>
    </w:p>
    <w:p w:rsidR="00A336D0" w:rsidRPr="00A336D0" w:rsidRDefault="00A336D0" w:rsidP="00A336D0">
      <w:pPr>
        <w:pStyle w:val="ListParagraph"/>
        <w:tabs>
          <w:tab w:val="left" w:pos="567"/>
        </w:tabs>
        <w:ind w:left="0"/>
        <w:jc w:val="both"/>
        <w:rPr>
          <w:rFonts w:cs="Arial"/>
          <w:lang w:val="ru-RU"/>
        </w:rPr>
      </w:pPr>
      <w:r w:rsidRPr="00A336D0">
        <w:rPr>
          <w:lang w:val="ru-RU"/>
        </w:rPr>
        <w:t>2.9</w:t>
      </w:r>
      <w:r w:rsidRPr="00A336D0">
        <w:rPr>
          <w:lang w:val="ru-RU"/>
        </w:rPr>
        <w:tab/>
        <w:t>Корректировки перераспределения средств между результатами в бюджете после перераспределения средств на 2014–2015</w:t>
      </w:r>
      <w:r>
        <w:t> </w:t>
      </w:r>
      <w:r w:rsidRPr="00A336D0">
        <w:rPr>
          <w:lang w:val="ru-RU"/>
        </w:rPr>
        <w:t xml:space="preserve">гг. (особенно между результатами </w:t>
      </w:r>
      <w:r>
        <w:t>I</w:t>
      </w:r>
      <w:r w:rsidRPr="00A336D0">
        <w:rPr>
          <w:lang w:val="ru-RU"/>
        </w:rPr>
        <w:t xml:space="preserve">.2 (рекомендации по нормативным вопросам) и </w:t>
      </w:r>
      <w:r>
        <w:t>I</w:t>
      </w:r>
      <w:r w:rsidRPr="00A336D0">
        <w:rPr>
          <w:lang w:val="ru-RU"/>
        </w:rPr>
        <w:t>.3 (совершенствование охраны государственных гербов)) отражают новую и более точную методику распределения ресурсов, связанных с персоналом, ставшую результатом доработки системы планирования УОД в ходе ежегодных мер по планированию работы, принятых в 2014</w:t>
      </w:r>
      <w:r>
        <w:t> </w:t>
      </w:r>
      <w:r w:rsidRPr="00A336D0">
        <w:rPr>
          <w:lang w:val="ru-RU"/>
        </w:rPr>
        <w:t>г. и в 2015</w:t>
      </w:r>
      <w:r>
        <w:t> </w:t>
      </w:r>
      <w:r w:rsidRPr="00A336D0">
        <w:rPr>
          <w:lang w:val="ru-RU"/>
        </w:rPr>
        <w:t xml:space="preserve">г. </w:t>
      </w:r>
    </w:p>
    <w:p w:rsidR="00A336D0" w:rsidRPr="00A336D0" w:rsidRDefault="00A336D0" w:rsidP="00A336D0">
      <w:pPr>
        <w:tabs>
          <w:tab w:val="left" w:pos="567"/>
        </w:tabs>
        <w:autoSpaceDE w:val="0"/>
        <w:autoSpaceDN w:val="0"/>
        <w:jc w:val="both"/>
        <w:rPr>
          <w:rFonts w:cs="Arial"/>
          <w:szCs w:val="20"/>
          <w:lang w:val="ru-RU"/>
        </w:rPr>
      </w:pPr>
    </w:p>
    <w:p w:rsidR="00A336D0" w:rsidRPr="00A336D0" w:rsidRDefault="00A336D0" w:rsidP="00A336D0">
      <w:pPr>
        <w:autoSpaceDE w:val="0"/>
        <w:autoSpaceDN w:val="0"/>
        <w:jc w:val="both"/>
        <w:rPr>
          <w:rFonts w:cs="Arial"/>
          <w:szCs w:val="20"/>
          <w:lang w:val="ru-RU"/>
        </w:rPr>
      </w:pPr>
    </w:p>
    <w:p w:rsidR="00A336D0" w:rsidRPr="00A336D0" w:rsidRDefault="00A336D0" w:rsidP="00A336D0">
      <w:pPr>
        <w:keepNext/>
        <w:keepLines/>
        <w:jc w:val="both"/>
        <w:rPr>
          <w:rFonts w:cs="Arial"/>
          <w:szCs w:val="20"/>
          <w:u w:val="single"/>
          <w:lang w:val="ru-RU"/>
        </w:rPr>
      </w:pPr>
      <w:r>
        <w:t>B</w:t>
      </w:r>
      <w:r w:rsidRPr="00A336D0">
        <w:rPr>
          <w:lang w:val="ru-RU"/>
        </w:rPr>
        <w:t>.</w:t>
      </w:r>
      <w:r w:rsidRPr="00A336D0">
        <w:rPr>
          <w:lang w:val="ru-RU"/>
        </w:rPr>
        <w:tab/>
      </w:r>
      <w:r w:rsidRPr="00A336D0">
        <w:rPr>
          <w:u w:val="single"/>
          <w:lang w:val="ru-RU"/>
        </w:rPr>
        <w:t>Освоение бюджетных средств в 2014–2015 гг.</w:t>
      </w:r>
    </w:p>
    <w:p w:rsidR="00A336D0" w:rsidRPr="00A336D0" w:rsidRDefault="00A336D0" w:rsidP="00A336D0">
      <w:pPr>
        <w:keepNext/>
        <w:keepLines/>
        <w:tabs>
          <w:tab w:val="left" w:pos="709"/>
        </w:tabs>
        <w:jc w:val="both"/>
        <w:rPr>
          <w:rFonts w:cs="Arial"/>
          <w:szCs w:val="20"/>
          <w:u w:val="single"/>
          <w:lang w:val="ru-RU"/>
        </w:rPr>
      </w:pPr>
    </w:p>
    <w:p w:rsidR="00A336D0" w:rsidRPr="00A336D0" w:rsidRDefault="00A336D0" w:rsidP="00A336D0">
      <w:pPr>
        <w:pStyle w:val="ListParagraph"/>
        <w:keepNext/>
        <w:keepLines/>
        <w:tabs>
          <w:tab w:val="left" w:pos="567"/>
        </w:tabs>
        <w:autoSpaceDE w:val="0"/>
        <w:autoSpaceDN w:val="0"/>
        <w:ind w:left="0"/>
        <w:jc w:val="both"/>
        <w:rPr>
          <w:rFonts w:eastAsia="Batang" w:cs="Arial"/>
          <w:lang w:val="ru-RU"/>
        </w:rPr>
      </w:pPr>
      <w:r w:rsidRPr="00A336D0">
        <w:rPr>
          <w:lang w:val="ru-RU"/>
        </w:rPr>
        <w:t>2.10</w:t>
      </w:r>
      <w:r w:rsidRPr="00A336D0">
        <w:rPr>
          <w:lang w:val="ru-RU"/>
        </w:rPr>
        <w:tab/>
        <w:t>Несколько неполное использование ресурсов, не связанных с персоналом, в основном было связано со следующими факторами:</w:t>
      </w:r>
    </w:p>
    <w:p w:rsidR="00A336D0" w:rsidRPr="00A336D0" w:rsidRDefault="00A336D0" w:rsidP="00A336D0">
      <w:pPr>
        <w:pStyle w:val="ListParagraph"/>
        <w:keepNext/>
        <w:keepLines/>
        <w:tabs>
          <w:tab w:val="left" w:pos="709"/>
        </w:tabs>
        <w:autoSpaceDE w:val="0"/>
        <w:autoSpaceDN w:val="0"/>
        <w:ind w:left="0"/>
        <w:jc w:val="both"/>
        <w:rPr>
          <w:rFonts w:eastAsia="Batang" w:cs="Arial"/>
          <w:lang w:val="ru-RU"/>
        </w:rPr>
      </w:pPr>
    </w:p>
    <w:p w:rsidR="00A336D0" w:rsidRPr="00A336D0" w:rsidRDefault="00A336D0" w:rsidP="00A336D0">
      <w:pPr>
        <w:pStyle w:val="ListParagraph"/>
        <w:keepNext/>
        <w:keepLines/>
        <w:numPr>
          <w:ilvl w:val="0"/>
          <w:numId w:val="6"/>
        </w:numPr>
        <w:spacing w:after="120"/>
        <w:ind w:left="1134" w:hanging="567"/>
        <w:jc w:val="both"/>
        <w:rPr>
          <w:lang w:val="ru-RU"/>
        </w:rPr>
      </w:pPr>
      <w:r w:rsidRPr="00A336D0">
        <w:rPr>
          <w:lang w:val="ru-RU"/>
        </w:rPr>
        <w:t xml:space="preserve">перенос сроков проведения дипломатической конференции согласно </w:t>
      </w:r>
      <w:r>
        <w:t>I</w:t>
      </w:r>
      <w:r w:rsidRPr="00A336D0">
        <w:rPr>
          <w:lang w:val="ru-RU"/>
        </w:rPr>
        <w:t>.1 (разработка сбалансированной международной нормативной базы для ИС);</w:t>
      </w:r>
    </w:p>
    <w:p w:rsidR="00A336D0" w:rsidRPr="00A336D0" w:rsidRDefault="00A336D0" w:rsidP="00A336D0">
      <w:pPr>
        <w:pStyle w:val="ListParagraph"/>
        <w:numPr>
          <w:ilvl w:val="0"/>
          <w:numId w:val="6"/>
        </w:numPr>
        <w:spacing w:after="120"/>
        <w:ind w:left="1134" w:hanging="567"/>
        <w:jc w:val="both"/>
        <w:rPr>
          <w:lang w:val="ru-RU"/>
        </w:rPr>
      </w:pPr>
      <w:r w:rsidRPr="00A336D0">
        <w:rPr>
          <w:lang w:val="ru-RU"/>
        </w:rPr>
        <w:t xml:space="preserve">экономия ресурсов в связи с сокращением командировок персонала, связанных с достижением результата </w:t>
      </w:r>
      <w:r>
        <w:t>I</w:t>
      </w:r>
      <w:r w:rsidRPr="00A336D0">
        <w:rPr>
          <w:lang w:val="ru-RU"/>
        </w:rPr>
        <w:t>.2 (рекомендации по нормативным вопросам);</w:t>
      </w:r>
    </w:p>
    <w:p w:rsidR="00A336D0" w:rsidRDefault="00A336D0" w:rsidP="00A336D0">
      <w:pPr>
        <w:pStyle w:val="ListParagraph"/>
        <w:numPr>
          <w:ilvl w:val="0"/>
          <w:numId w:val="6"/>
        </w:numPr>
        <w:ind w:left="1134" w:hanging="567"/>
        <w:jc w:val="both"/>
      </w:pPr>
      <w:r w:rsidRPr="00A336D0">
        <w:rPr>
          <w:lang w:val="ru-RU"/>
        </w:rPr>
        <w:t>отставание в найме руководителя пилотного проекта ПДР «Работа с ИС и правами на промышленные образцы в интересах развития бизнеса в развивающихся и наименее развитых странах», что в итоге привело к некоторому отставанию в осуществлении проекта в рамках достижения результата</w:t>
      </w:r>
      <w:r>
        <w:t> III</w:t>
      </w:r>
      <w:r w:rsidRPr="00A336D0">
        <w:rPr>
          <w:lang w:val="ru-RU"/>
        </w:rPr>
        <w:t xml:space="preserve">.4 (укрепление механизмов и программ сотрудничества, учитывающее потребности развивающихся стран и НРС).  </w:t>
      </w:r>
      <w:r>
        <w:t>Проект планируется завершить в первой половине 2016 г.</w:t>
      </w:r>
    </w:p>
    <w:p w:rsidR="00A336D0" w:rsidRDefault="00A336D0" w:rsidP="00A336D0">
      <w:pPr>
        <w:ind w:left="1134" w:hanging="567"/>
      </w:pPr>
    </w:p>
    <w:p w:rsidR="00F053BA" w:rsidRPr="00F053BA" w:rsidRDefault="00F52522" w:rsidP="00F053BA">
      <w:pPr>
        <w:pStyle w:val="Heading2"/>
        <w:tabs>
          <w:tab w:val="clear" w:pos="567"/>
          <w:tab w:val="left" w:pos="1985"/>
        </w:tabs>
        <w:rPr>
          <w:lang w:val="ru-RU"/>
        </w:rPr>
      </w:pPr>
      <w:r w:rsidRPr="00F053BA">
        <w:rPr>
          <w:lang w:val="ru-RU"/>
        </w:rPr>
        <w:br w:type="page"/>
      </w:r>
      <w:bookmarkStart w:id="57" w:name="_Toc455388103"/>
      <w:r w:rsidR="00F053BA" w:rsidRPr="00F053BA">
        <w:rPr>
          <w:lang w:val="ru-RU"/>
        </w:rPr>
        <w:t>ПРОГРАММА 3</w:t>
      </w:r>
      <w:r w:rsidR="00F053BA" w:rsidRPr="00F053BA">
        <w:rPr>
          <w:lang w:val="ru-RU"/>
        </w:rPr>
        <w:tab/>
      </w:r>
      <w:r w:rsidR="00F053BA" w:rsidRPr="00F053BA">
        <w:rPr>
          <w:lang w:val="ru-RU"/>
        </w:rPr>
        <w:tab/>
        <w:t>АВТОРСКОЕ ПРАВО И СМЕЖНЫЕ ПРАВА</w:t>
      </w:r>
      <w:bookmarkEnd w:id="57"/>
    </w:p>
    <w:p w:rsidR="00F053BA" w:rsidRPr="00F053BA" w:rsidRDefault="00F053BA" w:rsidP="00F053BA">
      <w:pPr>
        <w:rPr>
          <w:szCs w:val="20"/>
          <w:lang w:val="ru-RU"/>
        </w:rPr>
      </w:pPr>
    </w:p>
    <w:p w:rsidR="00F053BA" w:rsidRPr="00751A01" w:rsidRDefault="00F053BA" w:rsidP="00F053BA">
      <w:pPr>
        <w:tabs>
          <w:tab w:val="left" w:pos="1985"/>
        </w:tabs>
        <w:rPr>
          <w:b/>
          <w:szCs w:val="22"/>
          <w:lang w:val="ru-RU"/>
        </w:rPr>
      </w:pPr>
      <w:r w:rsidRPr="00F053BA">
        <w:rPr>
          <w:b/>
          <w:lang w:val="ru-RU"/>
        </w:rPr>
        <w:t>Руководитель программы:</w:t>
      </w:r>
      <w:r w:rsidRPr="00F053BA">
        <w:rPr>
          <w:lang w:val="ru-RU"/>
        </w:rPr>
        <w:t xml:space="preserve"> </w:t>
      </w:r>
      <w:r w:rsidRPr="00F053BA">
        <w:rPr>
          <w:lang w:val="ru-RU"/>
        </w:rPr>
        <w:tab/>
      </w:r>
      <w:r w:rsidRPr="00F053BA">
        <w:rPr>
          <w:b/>
          <w:lang w:val="ru-RU"/>
        </w:rPr>
        <w:t>г-жа М. Вудс</w:t>
      </w:r>
      <w:r w:rsidR="00751A01" w:rsidRPr="00751A01">
        <w:rPr>
          <w:b/>
          <w:lang w:val="ru-RU"/>
        </w:rPr>
        <w:t xml:space="preserve"> (</w:t>
      </w:r>
      <w:r w:rsidR="00751A01">
        <w:rPr>
          <w:b/>
          <w:lang w:val="ru-RU"/>
        </w:rPr>
        <w:t>исполняющая обязанности)</w:t>
      </w:r>
    </w:p>
    <w:p w:rsidR="00F053BA" w:rsidRPr="00F053BA" w:rsidRDefault="00F053BA" w:rsidP="00F053BA">
      <w:pPr>
        <w:rPr>
          <w:szCs w:val="20"/>
          <w:lang w:val="ru-RU"/>
        </w:rPr>
      </w:pPr>
    </w:p>
    <w:p w:rsidR="00F053BA" w:rsidRPr="00F053BA" w:rsidRDefault="00F053BA" w:rsidP="00F053BA">
      <w:pPr>
        <w:rPr>
          <w:szCs w:val="20"/>
          <w:lang w:val="ru-RU"/>
        </w:rPr>
      </w:pPr>
    </w:p>
    <w:p w:rsidR="00F053BA" w:rsidRPr="00F053BA" w:rsidRDefault="00F053BA" w:rsidP="00F053BA">
      <w:pPr>
        <w:rPr>
          <w:bCs/>
          <w:szCs w:val="22"/>
          <w:lang w:val="ru-RU"/>
        </w:rPr>
      </w:pPr>
      <w:r w:rsidRPr="00F053BA">
        <w:rPr>
          <w:lang w:val="ru-RU"/>
        </w:rPr>
        <w:t>ОБЗОР ДОСТИЖЕНИЙ ЗА ДВУХЛЕТНИЙ ПЕРИОД 2014–2015 ГГ.</w:t>
      </w:r>
    </w:p>
    <w:p w:rsidR="00F053BA" w:rsidRPr="00F053BA" w:rsidRDefault="00F053BA" w:rsidP="00F053BA">
      <w:pPr>
        <w:rPr>
          <w:szCs w:val="20"/>
          <w:lang w:val="ru-RU"/>
        </w:rPr>
      </w:pPr>
    </w:p>
    <w:p w:rsidR="00F053BA" w:rsidRPr="00F053BA" w:rsidRDefault="00F053BA" w:rsidP="00F053BA">
      <w:pPr>
        <w:pStyle w:val="ListParagraph"/>
        <w:numPr>
          <w:ilvl w:val="0"/>
          <w:numId w:val="58"/>
        </w:numPr>
        <w:tabs>
          <w:tab w:val="left" w:pos="0"/>
          <w:tab w:val="left" w:pos="709"/>
        </w:tabs>
        <w:ind w:left="0" w:firstLine="0"/>
        <w:jc w:val="both"/>
        <w:rPr>
          <w:rFonts w:cs="Arial"/>
          <w:lang w:val="ru-RU"/>
        </w:rPr>
      </w:pPr>
      <w:r w:rsidRPr="00F053BA">
        <w:rPr>
          <w:lang w:val="ru-RU"/>
        </w:rPr>
        <w:t>Работа, проводившаяся в рамках данной программы в 2014–2015</w:t>
      </w:r>
      <w:r>
        <w:t> </w:t>
      </w:r>
      <w:r w:rsidRPr="00F053BA">
        <w:rPr>
          <w:lang w:val="ru-RU"/>
        </w:rPr>
        <w:t>гг., была ориентирована на достижение ожидаемых результатов в трех широких областях: (</w:t>
      </w:r>
      <w:r>
        <w:t>i</w:t>
      </w:r>
      <w:r w:rsidRPr="00F053BA">
        <w:rPr>
          <w:lang w:val="ru-RU"/>
        </w:rPr>
        <w:t>) содействие нормативной работе Постоянного комитета по авторскому праву и смежным правам (ПКАП) посредством оказания поддержки государствам-членам в присоединении к договорам ВОИС по авторскому праву, (</w:t>
      </w:r>
      <w:r>
        <w:t>ii</w:t>
      </w:r>
      <w:r w:rsidRPr="00F053BA">
        <w:rPr>
          <w:lang w:val="ru-RU"/>
        </w:rPr>
        <w:t>) содействие развитию инфраструктуры в области авторского права и (</w:t>
      </w:r>
      <w:r>
        <w:t>iii</w:t>
      </w:r>
      <w:r w:rsidRPr="00F053BA">
        <w:rPr>
          <w:lang w:val="ru-RU"/>
        </w:rPr>
        <w:t>) укрепление институционального и кадрового потенциала развивающихся стран и НРС для использования системы авторского права в интересах реализации экономического потенциала их культур.  Во всех этих областях был достигнут значительный прогресс, что подтверждают показатели эффективности, о которых пойдет речь ниже.</w:t>
      </w:r>
    </w:p>
    <w:p w:rsidR="00F053BA" w:rsidRPr="00FE7547" w:rsidRDefault="00F053BA" w:rsidP="00F053BA">
      <w:pPr>
        <w:jc w:val="both"/>
        <w:rPr>
          <w:rFonts w:cs="Arial"/>
          <w:szCs w:val="20"/>
          <w:u w:val="single"/>
          <w:lang w:val="ru-RU"/>
        </w:rPr>
      </w:pPr>
    </w:p>
    <w:p w:rsidR="00F053BA" w:rsidRPr="00F053BA" w:rsidRDefault="00F053BA" w:rsidP="00F053BA">
      <w:pPr>
        <w:keepNext/>
        <w:keepLines/>
        <w:jc w:val="both"/>
        <w:rPr>
          <w:rFonts w:eastAsia="SimSun" w:cs="Arial"/>
          <w:bCs/>
          <w:szCs w:val="20"/>
          <w:u w:val="single"/>
          <w:lang w:val="ru-RU"/>
        </w:rPr>
      </w:pPr>
      <w:r w:rsidRPr="00F053BA">
        <w:rPr>
          <w:u w:val="single"/>
          <w:lang w:val="ru-RU"/>
        </w:rPr>
        <w:t>Нормотворческая деятельность и деятельность, связанная с выработкой политики</w:t>
      </w:r>
    </w:p>
    <w:p w:rsidR="00F053BA" w:rsidRPr="00FE7547" w:rsidRDefault="00F053BA" w:rsidP="00F053BA">
      <w:pPr>
        <w:keepNext/>
        <w:keepLines/>
        <w:jc w:val="both"/>
        <w:rPr>
          <w:rFonts w:eastAsia="SimSun" w:cs="Arial"/>
          <w:bCs/>
          <w:szCs w:val="20"/>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lang w:val="ru-RU"/>
        </w:rPr>
        <w:t>В соответствии с рекомендациями ПДР, нормотворческая работа, проводившаяся в рамках программы, имела инклюзивный характер и осуществлялась по инициативе государств-членов (рекомендация 15), надлежащим образом учитывая границы, роль и характеристики общественного достояния (рекомендации</w:t>
      </w:r>
      <w:r>
        <w:t> </w:t>
      </w:r>
      <w:r w:rsidRPr="00F053BA">
        <w:rPr>
          <w:lang w:val="ru-RU"/>
        </w:rPr>
        <w:t>16 и 20), а также гибкие возможности, заложенные в международные договоры по вопросам охраны ИС (рекомендация 17).  Переговоры в рамках ПКАП проходили на базе открытых и сбалансированных консультаций (рекомендации 21 и 42) и были ориентированы на содействие достижению целей ООН в области развития (рекомендация</w:t>
      </w:r>
      <w:r>
        <w:t> </w:t>
      </w:r>
      <w:r w:rsidRPr="00F053BA">
        <w:rPr>
          <w:lang w:val="ru-RU"/>
        </w:rPr>
        <w:t xml:space="preserve">22).  Рекомендации по нормативным вопросам, касающимся авторского права и смежных прав, которые предоставлялись государствам-членам по их запросам, были ориентированы на цели развития, имели сбалансированный характер и были адаптированы к конкретным условиям государств-членов, что соответствовало принципам Повестки дня в области развития (рекомендация 13), и учитывали применимые гибкие возможности, предусмотренные для стран, находящихся на различных уровнях развития (рекомендации 14 и 17). </w:t>
      </w:r>
    </w:p>
    <w:p w:rsidR="00F053BA" w:rsidRPr="00FE7547" w:rsidRDefault="00F053BA" w:rsidP="00F053BA">
      <w:pPr>
        <w:pStyle w:val="ListParagraph"/>
        <w:tabs>
          <w:tab w:val="left" w:pos="0"/>
          <w:tab w:val="left" w:pos="709"/>
        </w:tabs>
        <w:ind w:left="0"/>
        <w:jc w:val="both"/>
        <w:rPr>
          <w:rFonts w:eastAsia="SimSun" w:cs="Arial"/>
          <w:bCs/>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lang w:val="ru-RU"/>
        </w:rPr>
        <w:t>В 2014</w:t>
      </w:r>
      <w:r>
        <w:t> </w:t>
      </w:r>
      <w:r w:rsidRPr="00F053BA">
        <w:rPr>
          <w:lang w:val="ru-RU"/>
        </w:rPr>
        <w:t>г. и 2015</w:t>
      </w:r>
      <w:r>
        <w:t> </w:t>
      </w:r>
      <w:r w:rsidRPr="00F053BA">
        <w:rPr>
          <w:lang w:val="ru-RU"/>
        </w:rPr>
        <w:t>г. был отмечен дальнейший прогресс на пути к вступлению в силу двух новых соглашений в области авторского права.  Еще восемь стран (Чили, Китай, Япония, Катар, Республика Молдова, Российская Федерация, Словакия и Объединенные Арабские Эмираты) ратифицировали Пекинский договор по аудиовизуальным исполнениям (Пекинский договор) или присоединились к нему, и теперь таких стран 10 (для вступления данного договора в силу их должно быть 30).  Марракешский договор об облегчении доступа слепых и лиц с нарушениями зрения или иными ограниченными способностями воспринимать печатную информацию к опубликованным произведениям (Марракешский договор о ЛНЗ) был подписан в общей сложности 80 странами к моменту истечения в июне 2014</w:t>
      </w:r>
      <w:r>
        <w:t> </w:t>
      </w:r>
      <w:r w:rsidRPr="00F053BA">
        <w:rPr>
          <w:lang w:val="ru-RU"/>
        </w:rPr>
        <w:t>г. установленного срока.  Тринадцать стран ратифицировали Марракешский договор о ЛНЗ или присоединились к нему (Аргентина, Австралия, Бразилия, Сальвадор, Индия, Мали, Мексика, Монголия, Парагвай, Республика Корея, Сингапур, Объединенные Арабские Эмираты и Уругвай). Для его вступления в силу таких стран должно быть</w:t>
      </w:r>
      <w:r>
        <w:t> </w:t>
      </w:r>
      <w:r w:rsidRPr="00F053BA">
        <w:rPr>
          <w:lang w:val="ru-RU"/>
        </w:rPr>
        <w:t>20.  Хотя целевые показатели по ратификации/ присоединению к этим договорам, которые были поставлены на двадцатой сессии Комитета по программе и бюджету, были достаточно амбициозными, учитывая необходимость сохранять выделение ресурсов в установленных пределах, в рамках программы удалось частично их достичь благодаря тому, что оказание содействия государствам-членам в области присоединения к договорам стало одним из приоритетов.  Этот подход будет продолжать использоваться в программе в двухлетний период 2016–2017</w:t>
      </w:r>
      <w:r>
        <w:t> </w:t>
      </w:r>
      <w:r w:rsidRPr="00F053BA">
        <w:rPr>
          <w:lang w:val="ru-RU"/>
        </w:rPr>
        <w:t xml:space="preserve">гг.     </w:t>
      </w:r>
    </w:p>
    <w:p w:rsidR="00F053BA" w:rsidRPr="00FE7547" w:rsidRDefault="00F053BA" w:rsidP="00F053BA">
      <w:pPr>
        <w:pStyle w:val="ListParagraph"/>
        <w:tabs>
          <w:tab w:val="left" w:pos="0"/>
          <w:tab w:val="left" w:pos="709"/>
        </w:tabs>
        <w:ind w:left="0"/>
        <w:jc w:val="both"/>
        <w:rPr>
          <w:rFonts w:eastAsia="SimSun" w:cs="Arial"/>
          <w:bCs/>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lang w:val="ru-RU"/>
        </w:rPr>
      </w:pPr>
      <w:r w:rsidRPr="00F053BA">
        <w:rPr>
          <w:lang w:val="ru-RU"/>
        </w:rPr>
        <w:t>В ходе пяти сессий ПКАП, состоявшихся в апреле</w:t>
      </w:r>
      <w:r>
        <w:t> </w:t>
      </w:r>
      <w:r w:rsidRPr="00F053BA">
        <w:rPr>
          <w:lang w:val="ru-RU"/>
        </w:rPr>
        <w:t>– мае 2014</w:t>
      </w:r>
      <w:r>
        <w:t> </w:t>
      </w:r>
      <w:r w:rsidRPr="00F053BA">
        <w:rPr>
          <w:lang w:val="ru-RU"/>
        </w:rPr>
        <w:t>г., июне</w:t>
      </w:r>
      <w:r>
        <w:t> </w:t>
      </w:r>
      <w:r w:rsidRPr="00F053BA">
        <w:rPr>
          <w:lang w:val="ru-RU"/>
        </w:rPr>
        <w:t>– июле 2014</w:t>
      </w:r>
      <w:r>
        <w:t> </w:t>
      </w:r>
      <w:r w:rsidRPr="00F053BA">
        <w:rPr>
          <w:lang w:val="ru-RU"/>
        </w:rPr>
        <w:t>г., декабре 2014</w:t>
      </w:r>
      <w:r>
        <w:t> </w:t>
      </w:r>
      <w:r w:rsidRPr="00F053BA">
        <w:rPr>
          <w:lang w:val="ru-RU"/>
        </w:rPr>
        <w:t>г., июне</w:t>
      </w:r>
      <w:r>
        <w:t> </w:t>
      </w:r>
      <w:r w:rsidRPr="00F053BA">
        <w:rPr>
          <w:lang w:val="ru-RU"/>
        </w:rPr>
        <w:t>– июле 2015</w:t>
      </w:r>
      <w:r>
        <w:t> </w:t>
      </w:r>
      <w:r w:rsidRPr="00F053BA">
        <w:rPr>
          <w:lang w:val="ru-RU"/>
        </w:rPr>
        <w:t>г. и декабре 2015</w:t>
      </w:r>
      <w:r>
        <w:t> </w:t>
      </w:r>
      <w:r w:rsidRPr="00F053BA">
        <w:rPr>
          <w:lang w:val="ru-RU"/>
        </w:rPr>
        <w:t xml:space="preserve">г., имело место дальнейшее обсуждение </w:t>
      </w:r>
      <w:r w:rsidR="00751A01">
        <w:rPr>
          <w:lang w:val="ru-RU"/>
        </w:rPr>
        <w:t xml:space="preserve">тем, стоящих на </w:t>
      </w:r>
      <w:r w:rsidRPr="00F053BA">
        <w:rPr>
          <w:lang w:val="ru-RU"/>
        </w:rPr>
        <w:t>повестк</w:t>
      </w:r>
      <w:r w:rsidR="00751A01">
        <w:rPr>
          <w:lang w:val="ru-RU"/>
        </w:rPr>
        <w:t>е</w:t>
      </w:r>
      <w:r w:rsidRPr="00F053BA">
        <w:rPr>
          <w:lang w:val="ru-RU"/>
        </w:rPr>
        <w:t xml:space="preserve"> дня ПКАП. </w:t>
      </w:r>
      <w:r>
        <w:t> </w:t>
      </w:r>
      <w:r w:rsidRPr="00F053BA">
        <w:rPr>
          <w:lang w:val="ru-RU"/>
        </w:rPr>
        <w:t xml:space="preserve"> В Комитете обсуждался предложенный договор об охране прав организаций эфирного вещания, а также исключения и ограничения, касающиеся библиотек и архивов, образовательных и исследовательских институтов и лиц с другими ограниченными способностями</w:t>
      </w:r>
      <w:r w:rsidR="00751A01">
        <w:rPr>
          <w:lang w:val="ru-RU"/>
        </w:rPr>
        <w:t xml:space="preserve"> (</w:t>
      </w:r>
      <w:r w:rsidR="00FE7547">
        <w:rPr>
          <w:lang w:val="ru-RU"/>
        </w:rPr>
        <w:t>чем те, которые подпадают под действие Марракешского договора по ЛНЗ)</w:t>
      </w:r>
      <w:r w:rsidRPr="00F053BA">
        <w:rPr>
          <w:lang w:val="ru-RU"/>
        </w:rPr>
        <w:t>.</w:t>
      </w:r>
      <w:r>
        <w:t> </w:t>
      </w:r>
      <w:r w:rsidRPr="00F053BA">
        <w:rPr>
          <w:lang w:val="ru-RU"/>
        </w:rPr>
        <w:t xml:space="preserve"> Кроме того, на сессии, состоявшейся в декабре 2015</w:t>
      </w:r>
      <w:r>
        <w:t> </w:t>
      </w:r>
      <w:r w:rsidRPr="00F053BA">
        <w:rPr>
          <w:lang w:val="ru-RU"/>
        </w:rPr>
        <w:t>г., в ПКАП поступило два предложения по новым пунктам повестки дня: один из них касался анализа авторского права, связанного с цифровой средой, а другой – права долевого участия.  Цель, связанная с проведением дипломатической конференции и разработкой нового договора, не была достигнута; государства-члены попросили исключить ее из числа целевых показателей на двухлетний период 2016–2017</w:t>
      </w:r>
      <w:r>
        <w:t> </w:t>
      </w:r>
      <w:r w:rsidRPr="00F053BA">
        <w:rPr>
          <w:lang w:val="ru-RU"/>
        </w:rPr>
        <w:t>гг.</w:t>
      </w:r>
    </w:p>
    <w:p w:rsidR="00F053BA" w:rsidRPr="00FE7547" w:rsidRDefault="00F053BA" w:rsidP="00F053BA">
      <w:pPr>
        <w:pStyle w:val="ListParagraph"/>
        <w:tabs>
          <w:tab w:val="left" w:pos="0"/>
          <w:tab w:val="left" w:pos="709"/>
        </w:tabs>
        <w:ind w:left="0"/>
        <w:jc w:val="both"/>
        <w:rPr>
          <w:rFonts w:eastAsia="SimSun"/>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lang w:val="ru-RU"/>
        </w:rPr>
        <w:t>В 2014–2015 гг. рекомендации по вопросам законодательства были предоставлены 25</w:t>
      </w:r>
      <w:r>
        <w:t> </w:t>
      </w:r>
      <w:r w:rsidRPr="00F053BA">
        <w:rPr>
          <w:lang w:val="ru-RU"/>
        </w:rPr>
        <w:t>государствам-членам из разных регионов.  Число просьб о предоставлении таких рекомендаций выросло в 2014–2015 гг., отчасти в связи с заинтересованностью государств-членов в присоединении к Пекинскому договору и Марракешскому договору по ЛНЗ.  Развивающимся странам и НРС также предоставлялись по их просьбам рекомендации в отношении нового десятилетнего режима Приложения к Бернской конвенции.  Проведенный в 2015</w:t>
      </w:r>
      <w:r>
        <w:t> </w:t>
      </w:r>
      <w:r w:rsidRPr="00F053BA">
        <w:rPr>
          <w:lang w:val="ru-RU"/>
        </w:rPr>
        <w:t xml:space="preserve">г. опрос показал, что государства-члены положительно оценивают услугу предоставления консультаций по вопросам законодательства. </w:t>
      </w:r>
    </w:p>
    <w:p w:rsidR="00F053BA" w:rsidRPr="00FE7547" w:rsidRDefault="00F053BA" w:rsidP="00F053BA">
      <w:pPr>
        <w:pStyle w:val="ListParagraph"/>
        <w:tabs>
          <w:tab w:val="left" w:pos="0"/>
          <w:tab w:val="left" w:pos="709"/>
        </w:tabs>
        <w:ind w:left="0"/>
        <w:jc w:val="both"/>
        <w:rPr>
          <w:rFonts w:eastAsia="SimSun" w:cs="Arial"/>
          <w:bCs/>
          <w:lang w:val="ru-RU"/>
        </w:rPr>
      </w:pPr>
    </w:p>
    <w:p w:rsidR="00F053BA" w:rsidRPr="00FE7547" w:rsidRDefault="00F053BA" w:rsidP="00F053BA">
      <w:pPr>
        <w:pStyle w:val="ListParagraph"/>
        <w:numPr>
          <w:ilvl w:val="0"/>
          <w:numId w:val="58"/>
        </w:numPr>
        <w:tabs>
          <w:tab w:val="left" w:pos="0"/>
          <w:tab w:val="left" w:pos="709"/>
        </w:tabs>
        <w:ind w:left="0" w:firstLine="0"/>
        <w:jc w:val="both"/>
        <w:rPr>
          <w:rFonts w:eastAsia="SimSun" w:cs="Arial"/>
          <w:bCs/>
          <w:sz w:val="16"/>
          <w:szCs w:val="16"/>
          <w:lang w:val="ru-RU"/>
        </w:rPr>
      </w:pPr>
      <w:r w:rsidRPr="00F053BA">
        <w:rPr>
          <w:lang w:val="ru-RU"/>
        </w:rPr>
        <w:t xml:space="preserve">Был также достигнут прогресс в осуществлении ряда проектов, связанных с укреплением роли ВОИС в сфере охраны авторского права в цифровой среде.  Сотрудники программы участвовали в ряде мероприятий, проводившихся в рамках различных форумов, таких как Всемирная встреча на высшем уровне по вопросам информационного общества, Форум по вопросам управления интернетом и Всемирный экономический форум. Они были направлены на повышение уровня осведомленности о соответствующих вопросах авторского права, включая проблему прав на контент, создаваемый пользователями, вопросы ПО с открытым исходным кодом, правовой охраны видеоигр и новых форм лицензирования. </w:t>
      </w:r>
    </w:p>
    <w:p w:rsidR="00FE7547" w:rsidRPr="00FE7547" w:rsidRDefault="00FE7547" w:rsidP="00FE7547">
      <w:pPr>
        <w:pStyle w:val="ListParagraph"/>
        <w:tabs>
          <w:tab w:val="left" w:pos="0"/>
          <w:tab w:val="left" w:pos="709"/>
        </w:tabs>
        <w:ind w:left="0"/>
        <w:jc w:val="both"/>
        <w:rPr>
          <w:rFonts w:eastAsia="SimSun" w:cs="Arial"/>
          <w:bCs/>
          <w:lang w:val="ru-RU"/>
        </w:rPr>
      </w:pPr>
    </w:p>
    <w:p w:rsidR="00FE7547" w:rsidRPr="00FE7547" w:rsidRDefault="00FE7547" w:rsidP="00FE7547">
      <w:pPr>
        <w:pStyle w:val="ListParagraph"/>
        <w:numPr>
          <w:ilvl w:val="0"/>
          <w:numId w:val="58"/>
        </w:numPr>
        <w:tabs>
          <w:tab w:val="left" w:pos="0"/>
          <w:tab w:val="left" w:pos="709"/>
        </w:tabs>
        <w:ind w:left="0" w:firstLine="0"/>
        <w:jc w:val="both"/>
        <w:rPr>
          <w:rFonts w:eastAsia="SimSun" w:cs="Arial"/>
          <w:bCs/>
          <w:sz w:val="16"/>
          <w:szCs w:val="16"/>
          <w:lang w:val="ru-RU"/>
        </w:rPr>
      </w:pPr>
      <w:r w:rsidRPr="00F053BA">
        <w:rPr>
          <w:color w:val="000000"/>
          <w:lang w:val="ru-RU"/>
        </w:rPr>
        <w:t>Кроме того, продолжалась важная работа по нескольким проектам, связанным с Повесткой дня в области развития: в рассматриваемый двухлетний период пилотный проект «Укрепление и развитие аудиовизуального сектора в Буркина-Фасо и некоторых других африканских странах», который также охватывал Кению и Сенегал, был с успехом завершен, и была проведена его оценка.</w:t>
      </w:r>
      <w:r w:rsidRPr="00F053BA">
        <w:rPr>
          <w:lang w:val="ru-RU"/>
        </w:rPr>
        <w:t xml:space="preserve">  Кроме того, на основе обсуждений на двенадцатой сессии КРИС было представлено Пересмотренное предложение по возможной реализации новых видов деятельности ВОИС, связанных с использованием авторского права в целях содействия доступу к информационному и творческому контенту, которое было утверждено на тринадцатой сессии КРИС.  Поскольку этот проект, рассчитанный на полтора года, был утвержден в конце рассматриваемого двухлетнего периода, его реализация начнется в 2016–2017</w:t>
      </w:r>
      <w:r>
        <w:t> </w:t>
      </w:r>
      <w:r w:rsidRPr="00F053BA">
        <w:rPr>
          <w:lang w:val="ru-RU"/>
        </w:rPr>
        <w:t xml:space="preserve">гг.  Сравнительный анализ национальных подходов в вопросах добровольного отказа от авторских прав (документ </w:t>
      </w:r>
      <w:r>
        <w:t>CDIP</w:t>
      </w:r>
      <w:r w:rsidRPr="00F053BA">
        <w:rPr>
          <w:lang w:val="ru-RU"/>
        </w:rPr>
        <w:t>/13/</w:t>
      </w:r>
      <w:r>
        <w:t>INF</w:t>
      </w:r>
      <w:r w:rsidRPr="00F053BA">
        <w:rPr>
          <w:lang w:val="ru-RU"/>
        </w:rPr>
        <w:t>/6) был представлен КРИС в рамках реализации рекомендаций 1</w:t>
      </w:r>
      <w:r>
        <w:t>c</w:t>
      </w:r>
      <w:r w:rsidRPr="00F053BA">
        <w:rPr>
          <w:lang w:val="ru-RU"/>
        </w:rPr>
        <w:t>, 1</w:t>
      </w:r>
      <w:r>
        <w:t>f</w:t>
      </w:r>
      <w:r w:rsidRPr="00F053BA">
        <w:rPr>
          <w:lang w:val="ru-RU"/>
        </w:rPr>
        <w:t xml:space="preserve"> и 2</w:t>
      </w:r>
      <w:r>
        <w:t>a</w:t>
      </w:r>
      <w:r w:rsidRPr="00F053BA">
        <w:rPr>
          <w:lang w:val="ru-RU"/>
        </w:rPr>
        <w:t xml:space="preserve"> обзорного исследования по авторскому праву, смежным правам и общественному достоянию и получил его позитивную оценку.</w:t>
      </w:r>
    </w:p>
    <w:p w:rsidR="00F053BA" w:rsidRPr="00FE7547" w:rsidRDefault="00F053BA" w:rsidP="00F053BA">
      <w:pPr>
        <w:pStyle w:val="ListParagraph"/>
        <w:tabs>
          <w:tab w:val="left" w:pos="0"/>
          <w:tab w:val="left" w:pos="709"/>
        </w:tabs>
        <w:ind w:left="0"/>
        <w:jc w:val="both"/>
        <w:rPr>
          <w:rFonts w:eastAsia="SimSun" w:cs="Arial"/>
          <w:bCs/>
          <w:lang w:val="ru-RU"/>
        </w:rPr>
      </w:pPr>
    </w:p>
    <w:p w:rsidR="00F053BA" w:rsidRPr="00A70846" w:rsidRDefault="00F053BA" w:rsidP="00F053BA">
      <w:pPr>
        <w:jc w:val="both"/>
        <w:rPr>
          <w:rFonts w:cs="Arial"/>
          <w:szCs w:val="20"/>
          <w:u w:val="single"/>
        </w:rPr>
      </w:pPr>
      <w:r>
        <w:rPr>
          <w:u w:val="single"/>
        </w:rPr>
        <w:t>Инфраструктура авторского права</w:t>
      </w:r>
    </w:p>
    <w:p w:rsidR="00F053BA" w:rsidRDefault="00F053BA" w:rsidP="00F053BA">
      <w:pPr>
        <w:pStyle w:val="ListParagraph"/>
        <w:tabs>
          <w:tab w:val="left" w:pos="0"/>
          <w:tab w:val="left" w:pos="709"/>
        </w:tabs>
        <w:ind w:left="0"/>
        <w:jc w:val="both"/>
        <w:rPr>
          <w:rFonts w:eastAsia="SimSun" w:cs="Arial"/>
          <w:bCs/>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lang w:val="ru-RU"/>
        </w:rPr>
        <w:t>Работа в этой области проводилась в соответствии с рекомендациями ПДР, в частности, с рекомендациями 10 (совершенствование национального институционального потенциала в области ИС путем дальнейшего развития инфраструктуры и других компонентов), 11 (укрепление национального потенциала в области охраны национальных произведений) и 35 (проведение исследований в целях оценки экономического, социального и культурного влияния использования системы ИС).</w:t>
      </w:r>
    </w:p>
    <w:p w:rsidR="00F053BA" w:rsidRPr="00F053BA" w:rsidRDefault="00F053BA" w:rsidP="00F053BA">
      <w:pPr>
        <w:tabs>
          <w:tab w:val="left" w:pos="0"/>
          <w:tab w:val="left" w:pos="709"/>
        </w:tabs>
        <w:jc w:val="both"/>
        <w:rPr>
          <w:rFonts w:eastAsia="SimSun" w:cs="Arial"/>
          <w:bCs/>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lang w:val="ru-RU"/>
        </w:rPr>
        <w:t>Был достигнут прогресс в работе по инициативе «</w:t>
      </w:r>
      <w:r>
        <w:t>TAG</w:t>
      </w:r>
      <w:r w:rsidRPr="00F053BA">
        <w:rPr>
          <w:lang w:val="ru-RU"/>
        </w:rPr>
        <w:t xml:space="preserve"> </w:t>
      </w:r>
      <w:r>
        <w:t>of</w:t>
      </w:r>
      <w:r w:rsidRPr="00F053BA">
        <w:rPr>
          <w:lang w:val="ru-RU"/>
        </w:rPr>
        <w:t xml:space="preserve"> </w:t>
      </w:r>
      <w:r>
        <w:t>Excellence</w:t>
      </w:r>
      <w:r w:rsidRPr="00F053BA">
        <w:rPr>
          <w:lang w:val="ru-RU"/>
        </w:rPr>
        <w:t>», цель которой состоит в обеспечении наивысшего уровня транспарентности, подотчетности и управления в работе организаций коллективного управления (ОКУ).  Несколько международных отраслевых ассоциаций совместно с ВОИС сформировали Консорциум, который согласовал Краткое руководство по передовой практике в области коллективного управления авторским правом и смежными правами, и по нему начались консультации.   Эта инициатива получила значительную поддержку со стороны отдельных ОКУ и правительств развивающихся и развитых стран (свою заинтересованность в ее осуществлении в письменном виде выразили правительства 14 стран и 63</w:t>
      </w:r>
      <w:r>
        <w:t> </w:t>
      </w:r>
      <w:r w:rsidRPr="00F053BA">
        <w:rPr>
          <w:lang w:val="ru-RU"/>
        </w:rPr>
        <w:t xml:space="preserve">ОКУ).  </w:t>
      </w:r>
    </w:p>
    <w:p w:rsidR="00F053BA" w:rsidRPr="00F053BA" w:rsidRDefault="00F053BA" w:rsidP="00F053BA">
      <w:pPr>
        <w:pStyle w:val="ListParagraph"/>
        <w:tabs>
          <w:tab w:val="left" w:pos="0"/>
          <w:tab w:val="left" w:pos="709"/>
        </w:tabs>
        <w:ind w:left="0"/>
        <w:jc w:val="both"/>
        <w:rPr>
          <w:rFonts w:eastAsia="SimSun" w:cs="Arial"/>
          <w:bCs/>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lang w:val="ru-RU"/>
        </w:rPr>
        <w:t xml:space="preserve">ВОИС разработала и запустила курс дистанционного обучения, основанный на всем арсенале коммуникационных технологий </w:t>
      </w:r>
      <w:r>
        <w:t>XXI </w:t>
      </w:r>
      <w:r w:rsidRPr="00F053BA">
        <w:rPr>
          <w:lang w:val="ru-RU"/>
        </w:rPr>
        <w:t>в. и призванный стать практическим инструментом в работе по коллективному управлению правами для сотрудников ОКУ, директивных органов и юристов.  Этот курс был впервые проведен в 2014</w:t>
      </w:r>
      <w:r>
        <w:t> </w:t>
      </w:r>
      <w:r w:rsidRPr="00F053BA">
        <w:rPr>
          <w:lang w:val="ru-RU"/>
        </w:rPr>
        <w:t>г. и получил одобрение участников.  В своем окончательном виде курс будет официально запущен в 2016</w:t>
      </w:r>
      <w:r>
        <w:t> </w:t>
      </w:r>
      <w:r w:rsidRPr="00F053BA">
        <w:rPr>
          <w:lang w:val="ru-RU"/>
        </w:rPr>
        <w:t xml:space="preserve">г.  ВОИС также подписала серию МоВ и организовала ряд программ и мероприятий по укреплению потенциала совместно с такими НПО, как </w:t>
      </w:r>
      <w:r w:rsidRPr="00F053BA">
        <w:rPr>
          <w:rStyle w:val="st"/>
          <w:lang w:val="ru-RU"/>
        </w:rPr>
        <w:t>Международная федерация организаций по правам на репрографическое воспроизведение (</w:t>
      </w:r>
      <w:r>
        <w:t>IFRRO</w:t>
      </w:r>
      <w:r w:rsidRPr="00F053BA">
        <w:rPr>
          <w:lang w:val="ru-RU"/>
        </w:rPr>
        <w:t>), Международная федерация фонографической промышленности (</w:t>
      </w:r>
      <w:r>
        <w:t>IFPI</w:t>
      </w:r>
      <w:r w:rsidRPr="00F053BA">
        <w:rPr>
          <w:lang w:val="ru-RU"/>
        </w:rPr>
        <w:t>), Норвежская ассоциация по развитию авторского права (</w:t>
      </w:r>
      <w:r>
        <w:t>NORCODE</w:t>
      </w:r>
      <w:r w:rsidRPr="00F053BA">
        <w:rPr>
          <w:lang w:val="ru-RU"/>
        </w:rPr>
        <w:t xml:space="preserve">), </w:t>
      </w:r>
      <w:r w:rsidRPr="00F053BA">
        <w:rPr>
          <w:rStyle w:val="st"/>
          <w:lang w:val="ru-RU"/>
        </w:rPr>
        <w:t>Совет обществ коллективного управления правами исполнителей (</w:t>
      </w:r>
      <w:r>
        <w:t>SCAPR</w:t>
      </w:r>
      <w:r w:rsidRPr="00F053BA">
        <w:rPr>
          <w:lang w:val="ru-RU"/>
        </w:rPr>
        <w:t>), Институт авторских прав (</w:t>
      </w:r>
      <w:r>
        <w:t>IA</w:t>
      </w:r>
      <w:r w:rsidRPr="00F053BA">
        <w:rPr>
          <w:lang w:val="ru-RU"/>
        </w:rPr>
        <w:t>) и Общество творческих работников Португалии (</w:t>
      </w:r>
      <w:r>
        <w:t>SPA</w:t>
      </w:r>
      <w:r w:rsidRPr="00F053BA">
        <w:rPr>
          <w:lang w:val="ru-RU"/>
        </w:rPr>
        <w:t>), а также с правительствами, в том числе Соединенных Штатов Америки. В рамках этой работы по созданию потенциала продолжалась реализация образовательной программы ВОИС по передаче знаний в области коллективного управления и налаживанию взаимодействия между давно существующими ОКУ и ОКУ, которые только начинают свою деятельность.  Кроме того, в 2014–2015</w:t>
      </w:r>
      <w:r>
        <w:t> </w:t>
      </w:r>
      <w:r w:rsidRPr="00F053BA">
        <w:rPr>
          <w:lang w:val="ru-RU"/>
        </w:rPr>
        <w:t xml:space="preserve">гг. государствам-членам стали доступны шесть образовательных модулей о работе ОКУ. </w:t>
      </w:r>
    </w:p>
    <w:p w:rsidR="00F053BA" w:rsidRPr="00F053BA" w:rsidRDefault="00F053BA" w:rsidP="00F053BA">
      <w:pPr>
        <w:pStyle w:val="ListParagraph"/>
        <w:tabs>
          <w:tab w:val="left" w:pos="0"/>
          <w:tab w:val="left" w:pos="709"/>
        </w:tabs>
        <w:ind w:left="0"/>
        <w:jc w:val="both"/>
        <w:rPr>
          <w:rFonts w:eastAsia="SimSun" w:cs="Arial"/>
          <w:bCs/>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lang w:val="ru-RU"/>
        </w:rPr>
        <w:t xml:space="preserve">Совместно с юридической фирмой </w:t>
      </w:r>
      <w:r>
        <w:t>Baker</w:t>
      </w:r>
      <w:r w:rsidRPr="00F053BA">
        <w:rPr>
          <w:lang w:val="ru-RU"/>
        </w:rPr>
        <w:t xml:space="preserve"> &amp; </w:t>
      </w:r>
      <w:r>
        <w:t>McKenzie</w:t>
      </w:r>
      <w:r w:rsidRPr="000028C6">
        <w:rPr>
          <w:rStyle w:val="FootnoteReference"/>
        </w:rPr>
        <w:footnoteReference w:id="13"/>
      </w:r>
      <w:r w:rsidRPr="00F053BA">
        <w:rPr>
          <w:lang w:val="ru-RU"/>
        </w:rPr>
        <w:t xml:space="preserve"> был подготовлен онлайновый справочник «Общества коллективного управления правами» (издание 2014</w:t>
      </w:r>
      <w:r>
        <w:t> </w:t>
      </w:r>
      <w:r w:rsidRPr="00F053BA">
        <w:rPr>
          <w:lang w:val="ru-RU"/>
        </w:rPr>
        <w:t>г.), содержащий ключевые факты и цифры об ОКУ по всему миру. Он был выпущен в октябре 2014</w:t>
      </w:r>
      <w:r>
        <w:t> </w:t>
      </w:r>
      <w:r w:rsidRPr="00F053BA">
        <w:rPr>
          <w:lang w:val="ru-RU"/>
        </w:rPr>
        <w:t>г., после чего на страницу руководства в среднем заходили 2</w:t>
      </w:r>
      <w:r>
        <w:t> </w:t>
      </w:r>
      <w:r w:rsidRPr="00F053BA">
        <w:rPr>
          <w:lang w:val="ru-RU"/>
        </w:rPr>
        <w:t xml:space="preserve">300 уникальных посетителей в месяц.   </w:t>
      </w:r>
    </w:p>
    <w:p w:rsidR="00F053BA" w:rsidRPr="00F053BA" w:rsidRDefault="00F053BA" w:rsidP="00F053BA">
      <w:pPr>
        <w:pStyle w:val="ListParagraph"/>
        <w:tabs>
          <w:tab w:val="left" w:pos="0"/>
          <w:tab w:val="left" w:pos="709"/>
        </w:tabs>
        <w:ind w:left="0"/>
        <w:jc w:val="both"/>
        <w:rPr>
          <w:rFonts w:eastAsia="SimSun" w:cs="Arial"/>
          <w:bCs/>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lang w:val="ru-RU"/>
        </w:rPr>
        <w:t>В 2014–2015 гг. ВОИС опубликовала четыре национальных экономических исследования, посвященных экономической роли творческих отраслей в Аргентине, Индонезии, Сербии и Турции, а также одно исследование, проведенное в государствах</w:t>
      </w:r>
      <w:r>
        <w:t> </w:t>
      </w:r>
      <w:r w:rsidRPr="00F053BA">
        <w:rPr>
          <w:lang w:val="ru-RU"/>
        </w:rPr>
        <w:t>– членах Организации Восточно-карибских государств (</w:t>
      </w:r>
      <w:r>
        <w:t>OECS</w:t>
      </w:r>
      <w:r w:rsidRPr="00F053BA">
        <w:rPr>
          <w:lang w:val="ru-RU"/>
        </w:rPr>
        <w:t>), и завершила работу над исследованиями по Эфиопии, Франции и Республике Молдова, которые будут опубликованы в начале 2016</w:t>
      </w:r>
      <w:r>
        <w:t> </w:t>
      </w:r>
      <w:r w:rsidRPr="00F053BA">
        <w:rPr>
          <w:lang w:val="ru-RU"/>
        </w:rPr>
        <w:t>г. (и тогда общее число таких исследований составит 49).  Исследования проводились на базе «Справочника ВОИС по исследованию экономической роли творческих отраслей», второе издание которого было выпущено в 2015</w:t>
      </w:r>
      <w:r>
        <w:t> </w:t>
      </w:r>
      <w:r w:rsidRPr="00F053BA">
        <w:rPr>
          <w:lang w:val="ru-RU"/>
        </w:rPr>
        <w:t>г.  Исследования показывают, что в среднем на творческие отрасли приходится 5,16% ВВП и 5,36% совокупной занятости.  Кроме того, ВОИС (</w:t>
      </w:r>
      <w:r>
        <w:t>i</w:t>
      </w:r>
      <w:r w:rsidRPr="00F053BA">
        <w:rPr>
          <w:lang w:val="ru-RU"/>
        </w:rPr>
        <w:t>)</w:t>
      </w:r>
      <w:r>
        <w:t> </w:t>
      </w:r>
      <w:r w:rsidRPr="00F053BA">
        <w:rPr>
          <w:lang w:val="ru-RU"/>
        </w:rPr>
        <w:t>опубликовала (совместно с внешними партнерами) два ежегодных обзора по сборам, взимаемым за охраняемые авторским правом произведения; (</w:t>
      </w:r>
      <w:r>
        <w:t>ii</w:t>
      </w:r>
      <w:r w:rsidRPr="00F053BA">
        <w:rPr>
          <w:lang w:val="ru-RU"/>
        </w:rPr>
        <w:t>)</w:t>
      </w:r>
      <w:r>
        <w:t> </w:t>
      </w:r>
      <w:r w:rsidRPr="00F053BA">
        <w:rPr>
          <w:lang w:val="ru-RU"/>
        </w:rPr>
        <w:t>начала проведение пилотного исследования об общем влиянии норм авторского права в творческих отраслях и (</w:t>
      </w:r>
      <w:r>
        <w:t>iii</w:t>
      </w:r>
      <w:r w:rsidRPr="00F053BA">
        <w:rPr>
          <w:lang w:val="ru-RU"/>
        </w:rPr>
        <w:t>)</w:t>
      </w:r>
      <w:r>
        <w:t> </w:t>
      </w:r>
      <w:r w:rsidRPr="00F053BA">
        <w:rPr>
          <w:lang w:val="ru-RU"/>
        </w:rPr>
        <w:t>завершила исследование, посвященное пиратству.</w:t>
      </w:r>
    </w:p>
    <w:p w:rsidR="00F053BA" w:rsidRPr="00F053BA" w:rsidRDefault="00F053BA" w:rsidP="00F053BA">
      <w:pPr>
        <w:pStyle w:val="ListParagraph"/>
        <w:tabs>
          <w:tab w:val="left" w:pos="0"/>
          <w:tab w:val="left" w:pos="709"/>
        </w:tabs>
        <w:ind w:left="0"/>
        <w:jc w:val="both"/>
        <w:rPr>
          <w:rFonts w:eastAsia="SimSun" w:cs="Arial"/>
          <w:bCs/>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lang w:val="ru-RU"/>
        </w:rPr>
        <w:t>Что касается работы ВОИС с авторами, то в 2014</w:t>
      </w:r>
      <w:r>
        <w:t> </w:t>
      </w:r>
      <w:r w:rsidRPr="00F053BA">
        <w:rPr>
          <w:lang w:val="ru-RU"/>
        </w:rPr>
        <w:t>г. Организация опубликовала два новых справочных материала: «Осваивая правила игры. Коммерческие и правовые вопросы, возникающие при разработке видеоигр» и «Монетизация активов авторского права предприятиями творческих отраслей».  В июле 2014 г. вышло второе издание публикации ВОИС «Как заработать на жизнь музыкой».  Эти инструменты широко использовались в программах по созданию потенциала, а число их загрузок ежегодно в 2014</w:t>
      </w:r>
      <w:r>
        <w:t> </w:t>
      </w:r>
      <w:r w:rsidRPr="00F053BA">
        <w:rPr>
          <w:lang w:val="ru-RU"/>
        </w:rPr>
        <w:t>г. и 2015</w:t>
      </w:r>
      <w:r>
        <w:t> </w:t>
      </w:r>
      <w:r w:rsidRPr="00F053BA">
        <w:rPr>
          <w:lang w:val="ru-RU"/>
        </w:rPr>
        <w:t>г. превысило 100</w:t>
      </w:r>
      <w:r>
        <w:t> </w:t>
      </w:r>
      <w:r w:rsidRPr="00F053BA">
        <w:rPr>
          <w:lang w:val="ru-RU"/>
        </w:rPr>
        <w:t>000.</w:t>
      </w:r>
    </w:p>
    <w:p w:rsidR="00F053BA" w:rsidRPr="00F053BA" w:rsidRDefault="00F053BA" w:rsidP="00F053BA">
      <w:pPr>
        <w:pStyle w:val="ListParagraph"/>
        <w:tabs>
          <w:tab w:val="left" w:pos="0"/>
          <w:tab w:val="left" w:pos="709"/>
        </w:tabs>
        <w:ind w:left="0"/>
        <w:jc w:val="both"/>
        <w:rPr>
          <w:rFonts w:eastAsia="SimSun" w:cs="Arial"/>
          <w:bCs/>
          <w:lang w:val="ru-RU"/>
        </w:rPr>
      </w:pPr>
    </w:p>
    <w:p w:rsidR="00F053BA" w:rsidRPr="00F053BA" w:rsidRDefault="00F053BA" w:rsidP="00F053BA">
      <w:pPr>
        <w:pStyle w:val="ListParagraph"/>
        <w:numPr>
          <w:ilvl w:val="0"/>
          <w:numId w:val="58"/>
        </w:numPr>
        <w:tabs>
          <w:tab w:val="left" w:pos="0"/>
          <w:tab w:val="left" w:pos="709"/>
        </w:tabs>
        <w:ind w:left="0" w:firstLine="0"/>
        <w:jc w:val="both"/>
        <w:rPr>
          <w:rFonts w:eastAsia="SimSun" w:cs="Arial"/>
          <w:bCs/>
          <w:lang w:val="ru-RU"/>
        </w:rPr>
      </w:pPr>
      <w:r w:rsidRPr="00F053BA">
        <w:rPr>
          <w:color w:val="000000"/>
          <w:lang w:val="ru-RU"/>
        </w:rPr>
        <w:t>В июне 2014</w:t>
      </w:r>
      <w:r>
        <w:rPr>
          <w:color w:val="000000"/>
        </w:rPr>
        <w:t> </w:t>
      </w:r>
      <w:r w:rsidRPr="00F053BA">
        <w:rPr>
          <w:color w:val="000000"/>
          <w:lang w:val="ru-RU"/>
        </w:rPr>
        <w:t>г. при участии широкого круга партнеров была создана новая структура, Консорциум доступных книг (</w:t>
      </w:r>
      <w:r>
        <w:rPr>
          <w:color w:val="000000"/>
        </w:rPr>
        <w:t>ABC</w:t>
      </w:r>
      <w:r w:rsidRPr="00F053BA">
        <w:rPr>
          <w:color w:val="000000"/>
          <w:lang w:val="ru-RU"/>
        </w:rPr>
        <w:t>), в целях увеличения числа книг в доступных форматах во всем мире для лиц с ограниченными способностями воспринимать печатную информацию.  Консорциум осуществлял деятельность по трем главным направлениям: (</w:t>
      </w:r>
      <w:r>
        <w:rPr>
          <w:color w:val="000000"/>
        </w:rPr>
        <w:t>i</w:t>
      </w:r>
      <w:r w:rsidRPr="00F053BA">
        <w:rPr>
          <w:color w:val="000000"/>
          <w:lang w:val="ru-RU"/>
        </w:rPr>
        <w:t>)</w:t>
      </w:r>
      <w:r>
        <w:rPr>
          <w:color w:val="000000"/>
        </w:rPr>
        <w:t> </w:t>
      </w:r>
      <w:r w:rsidRPr="00F053BA">
        <w:rPr>
          <w:color w:val="000000"/>
          <w:lang w:val="ru-RU"/>
        </w:rPr>
        <w:t>оказание технической помощи в процессе производства  доступных книг (эти мероприятия финансировались правительствами Австралии и Республики Корея); (</w:t>
      </w:r>
      <w:r>
        <w:rPr>
          <w:color w:val="000000"/>
        </w:rPr>
        <w:t>ii</w:t>
      </w:r>
      <w:r w:rsidRPr="00F053BA">
        <w:rPr>
          <w:color w:val="000000"/>
          <w:lang w:val="ru-RU"/>
        </w:rPr>
        <w:t>)</w:t>
      </w:r>
      <w:r>
        <w:rPr>
          <w:color w:val="000000"/>
        </w:rPr>
        <w:t> </w:t>
      </w:r>
      <w:r w:rsidRPr="00F053BA">
        <w:rPr>
          <w:color w:val="000000"/>
          <w:lang w:val="ru-RU"/>
        </w:rPr>
        <w:t>реализация программы «Инклюзивное книгоиздание», направленной на распространение технологии изначально доступных книг, позволяющей сделать новые книги доступными с самого начала как для зрячих лиц, так и для лиц с ограниченной способностью воспринимать печатную информацию; и (</w:t>
      </w:r>
      <w:r>
        <w:rPr>
          <w:color w:val="000000"/>
        </w:rPr>
        <w:t>iii</w:t>
      </w:r>
      <w:r w:rsidRPr="00F053BA">
        <w:rPr>
          <w:color w:val="000000"/>
          <w:lang w:val="ru-RU"/>
        </w:rPr>
        <w:t>)</w:t>
      </w:r>
      <w:r>
        <w:rPr>
          <w:color w:val="000000"/>
        </w:rPr>
        <w:t> </w:t>
      </w:r>
      <w:r w:rsidRPr="00F053BA">
        <w:rPr>
          <w:color w:val="000000"/>
          <w:lang w:val="ru-RU"/>
        </w:rPr>
        <w:t xml:space="preserve">обеспечение функционирования Книжного сервиса </w:t>
      </w:r>
      <w:r>
        <w:rPr>
          <w:color w:val="000000"/>
        </w:rPr>
        <w:t>ABC</w:t>
      </w:r>
      <w:r w:rsidRPr="00F053BA">
        <w:rPr>
          <w:color w:val="000000"/>
          <w:lang w:val="ru-RU"/>
        </w:rPr>
        <w:t xml:space="preserve">, который получил название </w:t>
      </w:r>
      <w:r>
        <w:rPr>
          <w:color w:val="000000"/>
        </w:rPr>
        <w:t>TIGAR</w:t>
      </w:r>
      <w:r w:rsidRPr="00F053BA">
        <w:rPr>
          <w:color w:val="000000"/>
          <w:lang w:val="ru-RU"/>
        </w:rPr>
        <w:t>, представляющего собой международную базу данных доступных книг на 55</w:t>
      </w:r>
      <w:r>
        <w:rPr>
          <w:color w:val="000000"/>
        </w:rPr>
        <w:t> </w:t>
      </w:r>
      <w:r w:rsidRPr="00F053BA">
        <w:rPr>
          <w:color w:val="000000"/>
          <w:lang w:val="ru-RU"/>
        </w:rPr>
        <w:t xml:space="preserve">языках.   В рамках первого направления деятельности консорциум </w:t>
      </w:r>
      <w:r>
        <w:rPr>
          <w:color w:val="000000"/>
        </w:rPr>
        <w:t>ABC</w:t>
      </w:r>
      <w:r w:rsidRPr="00F053BA">
        <w:rPr>
          <w:color w:val="000000"/>
          <w:lang w:val="ru-RU"/>
        </w:rPr>
        <w:t xml:space="preserve"> выпустил 1</w:t>
      </w:r>
      <w:r>
        <w:rPr>
          <w:color w:val="000000"/>
        </w:rPr>
        <w:t> </w:t>
      </w:r>
      <w:r w:rsidRPr="00F053BA">
        <w:rPr>
          <w:color w:val="000000"/>
          <w:lang w:val="ru-RU"/>
        </w:rPr>
        <w:t>580 образовательных изданий, которыми смогли воспользоваться 23</w:t>
      </w:r>
      <w:r>
        <w:rPr>
          <w:color w:val="000000"/>
        </w:rPr>
        <w:t> </w:t>
      </w:r>
      <w:r w:rsidRPr="00F053BA">
        <w:rPr>
          <w:color w:val="000000"/>
          <w:lang w:val="ru-RU"/>
        </w:rPr>
        <w:t xml:space="preserve">500 студентов с ограниченными способностями воспринимать печатную информацию из Бангладеш, Индии, Непала и Шри-Ланки.  В рамках второго направления деятельности консорциум </w:t>
      </w:r>
      <w:r>
        <w:rPr>
          <w:color w:val="000000"/>
        </w:rPr>
        <w:t>ABC</w:t>
      </w:r>
      <w:r w:rsidRPr="00F053BA">
        <w:rPr>
          <w:color w:val="000000"/>
          <w:lang w:val="ru-RU"/>
        </w:rPr>
        <w:t xml:space="preserve"> поддержал разработку Хартии доступного издательского дела и учреждение Международной премии за высокие достижения в области издания литературы в доступных форматах.</w:t>
      </w:r>
      <w:r w:rsidRPr="00F053BA">
        <w:rPr>
          <w:i/>
          <w:color w:val="000000"/>
          <w:lang w:val="ru-RU"/>
        </w:rPr>
        <w:t xml:space="preserve">  </w:t>
      </w:r>
      <w:r w:rsidR="00FE7547" w:rsidRPr="00FE7547">
        <w:rPr>
          <w:color w:val="000000"/>
          <w:lang w:val="ru-RU"/>
        </w:rPr>
        <w:t>Что касается третьего направления деятельности, то</w:t>
      </w:r>
      <w:r w:rsidR="00FE7547">
        <w:rPr>
          <w:color w:val="000000"/>
          <w:lang w:val="ru-RU"/>
        </w:rPr>
        <w:t xml:space="preserve"> п</w:t>
      </w:r>
      <w:r w:rsidRPr="00FE7547">
        <w:rPr>
          <w:color w:val="000000"/>
          <w:lang w:val="ru-RU"/>
        </w:rPr>
        <w:t>о</w:t>
      </w:r>
      <w:r w:rsidRPr="00F053BA">
        <w:rPr>
          <w:color w:val="000000"/>
          <w:lang w:val="ru-RU"/>
        </w:rPr>
        <w:t xml:space="preserve"> состоянию на конец 2015</w:t>
      </w:r>
      <w:r>
        <w:rPr>
          <w:color w:val="000000"/>
        </w:rPr>
        <w:t> </w:t>
      </w:r>
      <w:r w:rsidRPr="00F053BA">
        <w:rPr>
          <w:color w:val="000000"/>
          <w:lang w:val="ru-RU"/>
        </w:rPr>
        <w:t>г. доступные книги были загружены 4</w:t>
      </w:r>
      <w:r>
        <w:rPr>
          <w:color w:val="000000"/>
        </w:rPr>
        <w:t> </w:t>
      </w:r>
      <w:r w:rsidRPr="00F053BA">
        <w:rPr>
          <w:color w:val="000000"/>
          <w:lang w:val="ru-RU"/>
        </w:rPr>
        <w:t>208 раз пятнадцатью участвующими в проекте библиотеками и выданы 58</w:t>
      </w:r>
      <w:r>
        <w:rPr>
          <w:color w:val="000000"/>
        </w:rPr>
        <w:t> </w:t>
      </w:r>
      <w:r w:rsidRPr="00F053BA">
        <w:rPr>
          <w:color w:val="000000"/>
          <w:lang w:val="ru-RU"/>
        </w:rPr>
        <w:t>000 раз лицам с ограниченными способностями воспринимать печатную информацию.</w:t>
      </w:r>
    </w:p>
    <w:p w:rsidR="00F053BA" w:rsidRPr="00F053BA" w:rsidRDefault="00F053BA" w:rsidP="00F053BA">
      <w:pPr>
        <w:pStyle w:val="ListParagraph"/>
        <w:tabs>
          <w:tab w:val="left" w:pos="0"/>
          <w:tab w:val="left" w:pos="709"/>
        </w:tabs>
        <w:ind w:left="0"/>
        <w:jc w:val="both"/>
        <w:rPr>
          <w:rFonts w:cs="Arial"/>
          <w:color w:val="000000"/>
          <w:lang w:val="ru-RU"/>
        </w:rPr>
      </w:pPr>
    </w:p>
    <w:p w:rsidR="00F053BA" w:rsidRPr="00F053BA" w:rsidRDefault="00F053BA" w:rsidP="00F053BA">
      <w:pPr>
        <w:pStyle w:val="ListParagraph"/>
        <w:numPr>
          <w:ilvl w:val="0"/>
          <w:numId w:val="58"/>
        </w:numPr>
        <w:tabs>
          <w:tab w:val="left" w:pos="0"/>
          <w:tab w:val="left" w:pos="709"/>
        </w:tabs>
        <w:ind w:left="0" w:firstLine="0"/>
        <w:jc w:val="both"/>
        <w:rPr>
          <w:rFonts w:cs="Arial"/>
          <w:color w:val="000000"/>
          <w:lang w:val="ru-RU"/>
        </w:rPr>
      </w:pPr>
      <w:r w:rsidRPr="00F053BA">
        <w:rPr>
          <w:color w:val="000000"/>
          <w:lang w:val="ru-RU"/>
        </w:rPr>
        <w:t xml:space="preserve">В рамках программы продолжалась поддержка системы </w:t>
      </w:r>
      <w:r>
        <w:rPr>
          <w:color w:val="000000"/>
        </w:rPr>
        <w:t>WIPOCOS</w:t>
      </w:r>
      <w:r w:rsidRPr="00F053BA">
        <w:rPr>
          <w:color w:val="000000"/>
          <w:lang w:val="ru-RU"/>
        </w:rPr>
        <w:t xml:space="preserve"> – разработанного ВОИС инструмента управления информацией в области авторского права – вплоть до сентября 2015</w:t>
      </w:r>
      <w:r>
        <w:rPr>
          <w:color w:val="000000"/>
        </w:rPr>
        <w:t> </w:t>
      </w:r>
      <w:r w:rsidRPr="00F053BA">
        <w:rPr>
          <w:color w:val="000000"/>
          <w:lang w:val="ru-RU"/>
        </w:rPr>
        <w:t xml:space="preserve">г., когда эта задача была передана программе 15 (деловые решения для ведомств ИС).  ВОИС считает своей задачей дальнейшую поддержку эксплуатации этой системы до окончательной разработки </w:t>
      </w:r>
      <w:r>
        <w:rPr>
          <w:color w:val="000000"/>
        </w:rPr>
        <w:t>WIPO</w:t>
      </w:r>
      <w:r w:rsidRPr="00F053BA">
        <w:rPr>
          <w:color w:val="000000"/>
          <w:lang w:val="ru-RU"/>
        </w:rPr>
        <w:t xml:space="preserve"> </w:t>
      </w:r>
      <w:r>
        <w:rPr>
          <w:color w:val="000000"/>
        </w:rPr>
        <w:t>Copyright</w:t>
      </w:r>
      <w:r w:rsidRPr="00F053BA">
        <w:rPr>
          <w:color w:val="000000"/>
          <w:lang w:val="ru-RU"/>
        </w:rPr>
        <w:t xml:space="preserve"> </w:t>
      </w:r>
      <w:r>
        <w:rPr>
          <w:color w:val="000000"/>
        </w:rPr>
        <w:t>Connection</w:t>
      </w:r>
      <w:r w:rsidRPr="00F053BA">
        <w:rPr>
          <w:color w:val="000000"/>
          <w:lang w:val="ru-RU"/>
        </w:rPr>
        <w:t xml:space="preserve"> (</w:t>
      </w:r>
      <w:r>
        <w:rPr>
          <w:color w:val="000000"/>
        </w:rPr>
        <w:t>WCC</w:t>
      </w:r>
      <w:r w:rsidRPr="00F053BA">
        <w:rPr>
          <w:color w:val="000000"/>
          <w:lang w:val="ru-RU"/>
        </w:rPr>
        <w:t xml:space="preserve">) – новой системы управления информацией, позволяющей повысить уровень управления глобальными потоками данных и прав в ОКУ, пользующихся такой системой.  </w:t>
      </w:r>
    </w:p>
    <w:p w:rsidR="00F053BA" w:rsidRPr="00F053BA" w:rsidRDefault="00F053BA" w:rsidP="00F053BA">
      <w:pPr>
        <w:pStyle w:val="ListParagraph"/>
        <w:tabs>
          <w:tab w:val="left" w:pos="0"/>
          <w:tab w:val="left" w:pos="709"/>
        </w:tabs>
        <w:ind w:left="0"/>
        <w:jc w:val="both"/>
        <w:rPr>
          <w:rFonts w:eastAsia="SimSun" w:cs="Arial"/>
          <w:bCs/>
          <w:lang w:val="ru-RU"/>
        </w:rPr>
      </w:pPr>
    </w:p>
    <w:p w:rsidR="00F053BA" w:rsidRPr="00F053BA" w:rsidRDefault="00F053BA" w:rsidP="00F053BA">
      <w:pPr>
        <w:tabs>
          <w:tab w:val="left" w:pos="0"/>
          <w:tab w:val="left" w:pos="709"/>
        </w:tabs>
        <w:jc w:val="both"/>
        <w:rPr>
          <w:rFonts w:eastAsia="SimSun" w:cs="Arial"/>
          <w:bCs/>
          <w:szCs w:val="20"/>
          <w:u w:val="single"/>
          <w:lang w:val="ru-RU"/>
        </w:rPr>
      </w:pPr>
      <w:r w:rsidRPr="00F053BA">
        <w:rPr>
          <w:u w:val="single"/>
          <w:lang w:val="ru-RU"/>
        </w:rPr>
        <w:t xml:space="preserve">Техническая помощь развивающимся странам и НРС </w:t>
      </w:r>
    </w:p>
    <w:p w:rsidR="00F053BA" w:rsidRPr="00F053BA" w:rsidRDefault="00F053BA" w:rsidP="00F053BA">
      <w:pPr>
        <w:tabs>
          <w:tab w:val="left" w:pos="0"/>
          <w:tab w:val="left" w:pos="709"/>
        </w:tabs>
        <w:jc w:val="both"/>
        <w:rPr>
          <w:rFonts w:eastAsia="SimSun" w:cs="Arial"/>
          <w:bCs/>
          <w:szCs w:val="20"/>
          <w:lang w:val="ru-RU"/>
        </w:rPr>
      </w:pPr>
    </w:p>
    <w:p w:rsidR="00F053BA" w:rsidRPr="00F053BA" w:rsidRDefault="00F053BA" w:rsidP="00F053BA">
      <w:pPr>
        <w:numPr>
          <w:ilvl w:val="0"/>
          <w:numId w:val="58"/>
        </w:numPr>
        <w:tabs>
          <w:tab w:val="left" w:pos="0"/>
          <w:tab w:val="left" w:pos="709"/>
        </w:tabs>
        <w:ind w:left="0" w:firstLine="0"/>
        <w:jc w:val="both"/>
        <w:rPr>
          <w:rFonts w:eastAsia="SimSun" w:cs="Arial"/>
          <w:bCs/>
          <w:szCs w:val="20"/>
          <w:lang w:val="ru-RU"/>
        </w:rPr>
      </w:pPr>
      <w:r w:rsidRPr="00F053BA">
        <w:rPr>
          <w:lang w:val="ru-RU"/>
        </w:rPr>
        <w:t>В двухлетний период 2014–2015</w:t>
      </w:r>
      <w:r>
        <w:t> </w:t>
      </w:r>
      <w:r w:rsidRPr="00F053BA">
        <w:rPr>
          <w:lang w:val="ru-RU"/>
        </w:rPr>
        <w:t>гг. оказание технической помощи развивающимся странам и НРС в области авторского права и смежных прав по-прежнему было основано на рекомендациях и принципах ПДР, в частности на рекомендациях ПДР 1, 5, 6, 10 и 11.  Соответственно, программы технической помощи были основаны на потребностях, разработаны в рамках тесных консультаций со странами-бенефициарами и реализованы с учетом установленных национальных приоритетов и потребностей в области развития.</w:t>
      </w:r>
    </w:p>
    <w:p w:rsidR="00F053BA" w:rsidRPr="00F053BA" w:rsidRDefault="00F053BA" w:rsidP="00F053BA">
      <w:pPr>
        <w:tabs>
          <w:tab w:val="left" w:pos="0"/>
          <w:tab w:val="left" w:pos="709"/>
        </w:tabs>
        <w:jc w:val="both"/>
        <w:rPr>
          <w:rFonts w:eastAsia="SimSun" w:cs="Arial"/>
          <w:bCs/>
          <w:szCs w:val="20"/>
          <w:lang w:val="ru-RU"/>
        </w:rPr>
      </w:pPr>
    </w:p>
    <w:p w:rsidR="00F053BA" w:rsidRPr="00F053BA" w:rsidRDefault="00F053BA" w:rsidP="00F053BA">
      <w:pPr>
        <w:numPr>
          <w:ilvl w:val="0"/>
          <w:numId w:val="58"/>
        </w:numPr>
        <w:tabs>
          <w:tab w:val="left" w:pos="0"/>
          <w:tab w:val="left" w:pos="709"/>
        </w:tabs>
        <w:ind w:left="0" w:firstLine="0"/>
        <w:jc w:val="both"/>
        <w:rPr>
          <w:rFonts w:eastAsia="SimSun" w:cs="Arial"/>
          <w:bCs/>
          <w:szCs w:val="20"/>
          <w:lang w:val="ru-RU"/>
        </w:rPr>
      </w:pPr>
      <w:r w:rsidRPr="00F053BA">
        <w:rPr>
          <w:lang w:val="ru-RU"/>
        </w:rPr>
        <w:t>Были приложены усилия к тому, чтобы удовлетворить растущий спрос среди развивающихся стран и НРС на техническую помощь в области авторского права и смежных прав.  В ходе рассматриваемого периода были реализованы 95</w:t>
      </w:r>
      <w:r>
        <w:t> </w:t>
      </w:r>
      <w:r w:rsidRPr="00F053BA">
        <w:rPr>
          <w:lang w:val="ru-RU"/>
        </w:rPr>
        <w:t>различных программ оказания технической помощи и создания потенциала на национальном, региональном и межрегиональном уровнях, в которых приняли участие 116</w:t>
      </w:r>
      <w:r>
        <w:t> </w:t>
      </w:r>
      <w:r w:rsidRPr="00F053BA">
        <w:rPr>
          <w:lang w:val="ru-RU"/>
        </w:rPr>
        <w:t>стран и пять региональных межправительственных организаций (Африканская региональная организация интеллектуальной собственности (АРОИС), Региональный центр распространения книги Латинской Америки и Карибского бассейна (</w:t>
      </w:r>
      <w:r>
        <w:t>CERLALC</w:t>
      </w:r>
      <w:r w:rsidRPr="00F053BA">
        <w:rPr>
          <w:lang w:val="ru-RU"/>
        </w:rPr>
        <w:t>), Африканская организация интеллектуальной собственности (АОИС), Лига арабских государств и Секретариат Форума тихоокеанских островов (</w:t>
      </w:r>
      <w:r>
        <w:t>PIFS</w:t>
      </w:r>
      <w:r w:rsidRPr="00F053BA">
        <w:rPr>
          <w:lang w:val="ru-RU"/>
        </w:rPr>
        <w:t xml:space="preserve">)).  </w:t>
      </w:r>
    </w:p>
    <w:p w:rsidR="00F053BA" w:rsidRPr="00F053BA" w:rsidRDefault="00F053BA" w:rsidP="00F053BA">
      <w:pPr>
        <w:ind w:left="720"/>
        <w:rPr>
          <w:rFonts w:eastAsia="SimSun" w:cs="Arial"/>
          <w:bCs/>
          <w:sz w:val="16"/>
          <w:szCs w:val="16"/>
          <w:lang w:val="ru-RU"/>
        </w:rPr>
      </w:pPr>
    </w:p>
    <w:p w:rsidR="00F053BA" w:rsidRPr="00F053BA" w:rsidRDefault="00F053BA" w:rsidP="00F053BA">
      <w:pPr>
        <w:numPr>
          <w:ilvl w:val="0"/>
          <w:numId w:val="58"/>
        </w:numPr>
        <w:tabs>
          <w:tab w:val="left" w:pos="0"/>
          <w:tab w:val="left" w:pos="709"/>
        </w:tabs>
        <w:ind w:left="0" w:firstLine="0"/>
        <w:jc w:val="both"/>
        <w:rPr>
          <w:rFonts w:eastAsia="SimSun" w:cs="Arial"/>
          <w:bCs/>
          <w:szCs w:val="20"/>
          <w:lang w:val="ru-RU"/>
        </w:rPr>
      </w:pPr>
      <w:r w:rsidRPr="00F053BA">
        <w:rPr>
          <w:lang w:val="ru-RU"/>
        </w:rPr>
        <w:t>Эти мероприятия были направлены на повышение информированности и создание потенциала в области авторского права и смежных прав среди руководителей национальных ведомств авторского права, директивных органов и ключевых заинтересованных сторон.  Программы создания потенциала касались как основных принципов авторского права и смежных прав, так и новых тем, имеющих особую важность для развивающихся стран и НРС, включая новые процессы, происходящие на национальном и международном уровне, и способствовали: (</w:t>
      </w:r>
      <w:r>
        <w:t>i</w:t>
      </w:r>
      <w:r w:rsidRPr="00F053BA">
        <w:rPr>
          <w:lang w:val="ru-RU"/>
        </w:rPr>
        <w:t>)</w:t>
      </w:r>
      <w:r>
        <w:t> </w:t>
      </w:r>
      <w:r w:rsidRPr="00F053BA">
        <w:rPr>
          <w:lang w:val="ru-RU"/>
        </w:rPr>
        <w:t>укреплению способности вырабатывать и реализовывать национальную политику и стратегические принципы применения норм авторского права для последовательного и эффективного использования механизмов ИС в интересах устойчивого развития; и (</w:t>
      </w:r>
      <w:r>
        <w:t>ii</w:t>
      </w:r>
      <w:r w:rsidRPr="00F053BA">
        <w:rPr>
          <w:lang w:val="ru-RU"/>
        </w:rPr>
        <w:t>)</w:t>
      </w:r>
      <w:r>
        <w:t> </w:t>
      </w:r>
      <w:r w:rsidRPr="00F053BA">
        <w:rPr>
          <w:lang w:val="ru-RU"/>
        </w:rPr>
        <w:t>укреплению кадрового потенциала и институциональному развитию в целях оказания более качественных услуг соответствующим заинтересованным сторонам; и (</w:t>
      </w:r>
      <w:r>
        <w:t>iii</w:t>
      </w:r>
      <w:r w:rsidRPr="00F053BA">
        <w:rPr>
          <w:lang w:val="ru-RU"/>
        </w:rPr>
        <w:t>)</w:t>
      </w:r>
      <w:r>
        <w:t> </w:t>
      </w:r>
      <w:r w:rsidRPr="00F053BA">
        <w:rPr>
          <w:lang w:val="ru-RU"/>
        </w:rPr>
        <w:t xml:space="preserve">развитию и использованию их национального творческого потенциала. </w:t>
      </w:r>
    </w:p>
    <w:p w:rsidR="00F053BA" w:rsidRPr="00F053BA" w:rsidRDefault="00F053BA" w:rsidP="00F053BA">
      <w:pPr>
        <w:tabs>
          <w:tab w:val="left" w:pos="0"/>
          <w:tab w:val="left" w:pos="709"/>
        </w:tabs>
        <w:jc w:val="both"/>
        <w:rPr>
          <w:rFonts w:eastAsia="SimSun" w:cs="Arial"/>
          <w:bCs/>
          <w:sz w:val="16"/>
          <w:szCs w:val="16"/>
          <w:lang w:val="ru-RU"/>
        </w:rPr>
      </w:pPr>
    </w:p>
    <w:p w:rsidR="00F053BA" w:rsidRPr="00F053BA" w:rsidRDefault="00F053BA" w:rsidP="00F053BA">
      <w:pPr>
        <w:numPr>
          <w:ilvl w:val="0"/>
          <w:numId w:val="58"/>
        </w:numPr>
        <w:tabs>
          <w:tab w:val="left" w:pos="0"/>
          <w:tab w:val="left" w:pos="709"/>
        </w:tabs>
        <w:ind w:left="0" w:firstLine="0"/>
        <w:jc w:val="both"/>
        <w:rPr>
          <w:rFonts w:eastAsia="SimSun" w:cs="Arial"/>
          <w:bCs/>
          <w:szCs w:val="20"/>
          <w:lang w:val="ru-RU"/>
        </w:rPr>
      </w:pPr>
      <w:r w:rsidRPr="00F053BA">
        <w:rPr>
          <w:lang w:val="ru-RU"/>
        </w:rPr>
        <w:t xml:space="preserve">Кроме того, были приняты для повышения экономической эффективности и устойчивости этих мероприятий по оказанию технической помощи, в том числе посредством развития и укрепления сотрудничества между развивающимися странами с помощью обмена знаниями, навыками, опытом и ресурсами для достижения их целей в области развития.  Были также проведены страновые оценки, чтобы повысить уровень подотчетности за результаты.  Согласно этим оценкам, более 80% участников </w:t>
      </w:r>
      <w:r w:rsidR="00FE7547">
        <w:rPr>
          <w:lang w:val="ru-RU"/>
        </w:rPr>
        <w:t>выразили мнение</w:t>
      </w:r>
      <w:r w:rsidRPr="00F053BA">
        <w:rPr>
          <w:lang w:val="ru-RU"/>
        </w:rPr>
        <w:t xml:space="preserve">, что содержание проведенных </w:t>
      </w:r>
      <w:r w:rsidR="00FE7547">
        <w:rPr>
          <w:lang w:val="ru-RU"/>
        </w:rPr>
        <w:t xml:space="preserve">встреч и </w:t>
      </w:r>
      <w:r w:rsidRPr="00F053BA">
        <w:rPr>
          <w:lang w:val="ru-RU"/>
        </w:rPr>
        <w:t>практикумов</w:t>
      </w:r>
      <w:r w:rsidR="00FE7547">
        <w:rPr>
          <w:lang w:val="ru-RU"/>
        </w:rPr>
        <w:t>,направленных на укрепление потенциала,</w:t>
      </w:r>
      <w:r w:rsidRPr="00F053BA">
        <w:rPr>
          <w:lang w:val="ru-RU"/>
        </w:rPr>
        <w:t xml:space="preserve"> важно для выполнения их должностных задач и что они смогут использовать информацию и знания, полученные в ходе этих </w:t>
      </w:r>
      <w:r w:rsidR="00FE7547">
        <w:rPr>
          <w:lang w:val="ru-RU"/>
        </w:rPr>
        <w:t xml:space="preserve">встреч и </w:t>
      </w:r>
      <w:r w:rsidRPr="00F053BA">
        <w:rPr>
          <w:lang w:val="ru-RU"/>
        </w:rPr>
        <w:t>практикумов, в своей работе.</w:t>
      </w:r>
    </w:p>
    <w:p w:rsidR="00F053BA" w:rsidRPr="00F053BA" w:rsidRDefault="00F053BA" w:rsidP="00F053BA">
      <w:pPr>
        <w:tabs>
          <w:tab w:val="left" w:pos="0"/>
          <w:tab w:val="left" w:pos="709"/>
        </w:tabs>
        <w:jc w:val="both"/>
        <w:rPr>
          <w:rFonts w:eastAsia="SimSun" w:cs="Arial"/>
          <w:bCs/>
          <w:szCs w:val="20"/>
          <w:lang w:val="ru-RU"/>
        </w:rPr>
      </w:pPr>
    </w:p>
    <w:p w:rsidR="00F053BA" w:rsidRPr="00F053BA" w:rsidRDefault="00F053BA" w:rsidP="00F053BA">
      <w:pPr>
        <w:rPr>
          <w:rFonts w:cs="Arial"/>
          <w:sz w:val="22"/>
          <w:szCs w:val="22"/>
          <w:lang w:val="ru-RU"/>
        </w:rPr>
      </w:pPr>
    </w:p>
    <w:p w:rsidR="00F053BA" w:rsidRPr="00F053BA" w:rsidRDefault="00F053BA" w:rsidP="00F053BA">
      <w:pPr>
        <w:rPr>
          <w:rFonts w:cs="Arial"/>
          <w:sz w:val="22"/>
          <w:szCs w:val="22"/>
          <w:lang w:val="ru-RU"/>
        </w:rPr>
      </w:pPr>
    </w:p>
    <w:p w:rsidR="00F053BA" w:rsidRPr="00AF7B5A" w:rsidRDefault="00F053BA" w:rsidP="00F053BA">
      <w:pPr>
        <w:keepNext/>
        <w:keepLines/>
        <w:rPr>
          <w:rFonts w:cs="Arial"/>
          <w:szCs w:val="22"/>
        </w:rPr>
      </w:pPr>
      <w:r>
        <w:t>ДАННЫЕ О РЕЗУЛЬТАТИВНОСТИ</w:t>
      </w:r>
    </w:p>
    <w:p w:rsidR="00F053BA" w:rsidRPr="00FC60BC" w:rsidRDefault="00F053BA" w:rsidP="00F053BA">
      <w:pPr>
        <w:keepNext/>
        <w:keepLines/>
        <w:rPr>
          <w:sz w:val="16"/>
          <w:szCs w:val="16"/>
        </w:rPr>
      </w:pPr>
    </w:p>
    <w:tbl>
      <w:tblPr>
        <w:tblW w:w="4924" w:type="pct"/>
        <w:tblInd w:w="108"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000" w:firstRow="0" w:lastRow="0" w:firstColumn="0" w:lastColumn="0" w:noHBand="0" w:noVBand="0"/>
      </w:tblPr>
      <w:tblGrid>
        <w:gridCol w:w="2054"/>
        <w:gridCol w:w="2676"/>
        <w:gridCol w:w="6"/>
        <w:gridCol w:w="1577"/>
        <w:gridCol w:w="9"/>
        <w:gridCol w:w="2036"/>
        <w:gridCol w:w="13"/>
        <w:gridCol w:w="969"/>
        <w:gridCol w:w="15"/>
      </w:tblGrid>
      <w:tr w:rsidR="00F053BA" w:rsidRPr="005C6ABD" w:rsidTr="003A5C2E">
        <w:tc>
          <w:tcPr>
            <w:tcW w:w="5000" w:type="pct"/>
            <w:gridSpan w:val="9"/>
            <w:tcBorders>
              <w:top w:val="single" w:sz="4" w:space="0" w:color="auto"/>
              <w:bottom w:val="single" w:sz="4" w:space="0" w:color="auto"/>
            </w:tcBorders>
            <w:shd w:val="clear" w:color="auto" w:fill="C6D9F1" w:themeFill="text2" w:themeFillTint="33"/>
            <w:vAlign w:val="center"/>
          </w:tcPr>
          <w:p w:rsidR="00F053BA" w:rsidRPr="00F053BA" w:rsidRDefault="00F053BA" w:rsidP="00165412">
            <w:pPr>
              <w:keepNext/>
              <w:keepLines/>
              <w:tabs>
                <w:tab w:val="left" w:pos="2019"/>
              </w:tabs>
              <w:spacing w:before="60" w:after="60"/>
              <w:ind w:left="2019" w:hanging="2019"/>
              <w:rPr>
                <w:rFonts w:cs="Arial"/>
                <w:b/>
                <w:bCs/>
                <w:sz w:val="16"/>
                <w:szCs w:val="16"/>
                <w:lang w:val="ru-RU"/>
              </w:rPr>
            </w:pPr>
            <w:r w:rsidRPr="00F053BA">
              <w:rPr>
                <w:b/>
                <w:sz w:val="16"/>
                <w:szCs w:val="16"/>
                <w:lang w:val="ru-RU"/>
              </w:rPr>
              <w:t>Ожидаемый результат:</w:t>
            </w:r>
            <w:r w:rsidRPr="00F053BA">
              <w:rPr>
                <w:sz w:val="16"/>
                <w:szCs w:val="16"/>
                <w:lang w:val="ru-RU"/>
              </w:rPr>
              <w:t xml:space="preserve"> </w:t>
            </w:r>
            <w:r w:rsidRPr="00F053BA">
              <w:rPr>
                <w:sz w:val="16"/>
                <w:szCs w:val="16"/>
                <w:lang w:val="ru-RU"/>
              </w:rPr>
              <w:tab/>
            </w:r>
            <w:r w:rsidRPr="000028C6">
              <w:rPr>
                <w:sz w:val="16"/>
                <w:szCs w:val="16"/>
              </w:rPr>
              <w:t>I</w:t>
            </w:r>
            <w:r w:rsidRPr="00F053BA">
              <w:rPr>
                <w:sz w:val="16"/>
                <w:szCs w:val="16"/>
                <w:lang w:val="ru-RU"/>
              </w:rPr>
              <w:t>.1. Активизация сотрудничества между государствами-ч</w:t>
            </w:r>
            <w:r w:rsidR="00165412">
              <w:rPr>
                <w:sz w:val="16"/>
                <w:szCs w:val="16"/>
                <w:lang w:val="ru-RU"/>
              </w:rPr>
              <w:t xml:space="preserve">ленами по вопросам разработки </w:t>
            </w:r>
            <w:r w:rsidRPr="00F053BA">
              <w:rPr>
                <w:sz w:val="16"/>
                <w:szCs w:val="16"/>
                <w:lang w:val="ru-RU"/>
              </w:rPr>
              <w:t>международной нормативной базы для ИС и конс</w:t>
            </w:r>
            <w:r w:rsidR="00165412">
              <w:rPr>
                <w:sz w:val="16"/>
                <w:szCs w:val="16"/>
                <w:lang w:val="ru-RU"/>
              </w:rPr>
              <w:t xml:space="preserve">енсус по конкретным темам, в </w:t>
            </w:r>
            <w:r w:rsidRPr="00F053BA">
              <w:rPr>
                <w:sz w:val="16"/>
                <w:szCs w:val="16"/>
                <w:lang w:val="ru-RU"/>
              </w:rPr>
              <w:t>отношении которых согласованы международные документы</w:t>
            </w:r>
          </w:p>
        </w:tc>
      </w:tr>
      <w:tr w:rsidR="00F053BA" w:rsidRPr="000028C6" w:rsidTr="00F053BA">
        <w:tc>
          <w:tcPr>
            <w:tcW w:w="1098" w:type="pct"/>
            <w:tcBorders>
              <w:top w:val="single" w:sz="4" w:space="0" w:color="auto"/>
            </w:tcBorders>
            <w:shd w:val="clear" w:color="auto" w:fill="auto"/>
            <w:vAlign w:val="center"/>
          </w:tcPr>
          <w:p w:rsidR="00F053BA" w:rsidRPr="000028C6" w:rsidRDefault="00F053BA" w:rsidP="00F053BA">
            <w:pPr>
              <w:keepNext/>
              <w:keepLines/>
              <w:rPr>
                <w:rFonts w:cs="Arial"/>
                <w:sz w:val="16"/>
                <w:szCs w:val="16"/>
              </w:rPr>
            </w:pPr>
            <w:r w:rsidRPr="000028C6">
              <w:rPr>
                <w:b/>
                <w:sz w:val="16"/>
                <w:szCs w:val="16"/>
              </w:rPr>
              <w:t>Показатели результативности</w:t>
            </w:r>
          </w:p>
        </w:tc>
        <w:tc>
          <w:tcPr>
            <w:tcW w:w="1433" w:type="pct"/>
            <w:gridSpan w:val="2"/>
            <w:tcBorders>
              <w:top w:val="single" w:sz="4" w:space="0" w:color="auto"/>
            </w:tcBorders>
            <w:shd w:val="clear" w:color="auto" w:fill="auto"/>
            <w:vAlign w:val="center"/>
          </w:tcPr>
          <w:p w:rsidR="00F053BA" w:rsidRPr="000028C6" w:rsidRDefault="00F053BA" w:rsidP="00F053BA">
            <w:pPr>
              <w:keepNext/>
              <w:keepLines/>
              <w:rPr>
                <w:rFonts w:cs="Arial"/>
                <w:b/>
                <w:bCs/>
                <w:sz w:val="16"/>
                <w:szCs w:val="16"/>
              </w:rPr>
            </w:pPr>
            <w:r w:rsidRPr="000028C6">
              <w:rPr>
                <w:b/>
                <w:sz w:val="16"/>
                <w:szCs w:val="16"/>
              </w:rPr>
              <w:t>Базовые показатели</w:t>
            </w:r>
          </w:p>
        </w:tc>
        <w:tc>
          <w:tcPr>
            <w:tcW w:w="848" w:type="pct"/>
            <w:gridSpan w:val="2"/>
            <w:tcBorders>
              <w:top w:val="single" w:sz="4" w:space="0" w:color="auto"/>
            </w:tcBorders>
            <w:shd w:val="clear" w:color="auto" w:fill="auto"/>
            <w:tcMar>
              <w:top w:w="110" w:type="dxa"/>
            </w:tcMar>
            <w:vAlign w:val="center"/>
          </w:tcPr>
          <w:p w:rsidR="00F053BA" w:rsidRPr="000028C6" w:rsidRDefault="00F053BA" w:rsidP="00F053BA">
            <w:pPr>
              <w:keepNext/>
              <w:keepLines/>
              <w:rPr>
                <w:rFonts w:cs="Arial"/>
                <w:b/>
                <w:sz w:val="16"/>
                <w:szCs w:val="16"/>
              </w:rPr>
            </w:pPr>
            <w:r w:rsidRPr="000028C6">
              <w:rPr>
                <w:b/>
                <w:sz w:val="16"/>
                <w:szCs w:val="16"/>
              </w:rPr>
              <w:t>Цели</w:t>
            </w:r>
          </w:p>
        </w:tc>
        <w:tc>
          <w:tcPr>
            <w:tcW w:w="1095" w:type="pct"/>
            <w:gridSpan w:val="2"/>
            <w:tcBorders>
              <w:top w:val="single" w:sz="4" w:space="0" w:color="auto"/>
            </w:tcBorders>
            <w:shd w:val="clear" w:color="auto" w:fill="FFFFFF"/>
            <w:tcMar>
              <w:top w:w="110" w:type="dxa"/>
            </w:tcMar>
            <w:vAlign w:val="center"/>
          </w:tcPr>
          <w:p w:rsidR="00F053BA" w:rsidRPr="000028C6" w:rsidRDefault="00F053BA" w:rsidP="00F053BA">
            <w:pPr>
              <w:keepNext/>
              <w:keepLines/>
              <w:rPr>
                <w:rFonts w:cs="Arial"/>
                <w:sz w:val="16"/>
                <w:szCs w:val="16"/>
              </w:rPr>
            </w:pPr>
            <w:r w:rsidRPr="000028C6">
              <w:rPr>
                <w:b/>
                <w:sz w:val="16"/>
                <w:szCs w:val="16"/>
              </w:rPr>
              <w:t>Данные о результативности</w:t>
            </w:r>
          </w:p>
        </w:tc>
        <w:tc>
          <w:tcPr>
            <w:tcW w:w="526" w:type="pct"/>
            <w:gridSpan w:val="2"/>
            <w:tcBorders>
              <w:top w:val="single" w:sz="4" w:space="0" w:color="auto"/>
            </w:tcBorders>
            <w:shd w:val="clear" w:color="auto" w:fill="auto"/>
            <w:tcMar>
              <w:top w:w="110" w:type="dxa"/>
            </w:tcMar>
            <w:vAlign w:val="center"/>
          </w:tcPr>
          <w:p w:rsidR="00F053BA" w:rsidRPr="000028C6" w:rsidRDefault="00F053BA" w:rsidP="00F053BA">
            <w:pPr>
              <w:keepNext/>
              <w:keepLines/>
              <w:jc w:val="center"/>
              <w:rPr>
                <w:rFonts w:cs="Arial"/>
                <w:b/>
                <w:bCs/>
                <w:sz w:val="16"/>
                <w:szCs w:val="16"/>
              </w:rPr>
            </w:pPr>
            <w:r w:rsidRPr="000028C6">
              <w:rPr>
                <w:b/>
                <w:sz w:val="16"/>
                <w:szCs w:val="16"/>
              </w:rPr>
              <w:t>CC</w:t>
            </w:r>
          </w:p>
        </w:tc>
      </w:tr>
      <w:tr w:rsidR="00F053BA" w:rsidRPr="000028C6" w:rsidTr="003A5C2E">
        <w:tc>
          <w:tcPr>
            <w:tcW w:w="1098" w:type="pct"/>
            <w:tcBorders>
              <w:bottom w:val="single" w:sz="4" w:space="0" w:color="auto"/>
            </w:tcBorders>
            <w:shd w:val="clear" w:color="auto" w:fill="auto"/>
          </w:tcPr>
          <w:p w:rsidR="00F053BA" w:rsidRPr="00F053BA" w:rsidRDefault="00F053BA" w:rsidP="00F053BA">
            <w:pPr>
              <w:keepNext/>
              <w:keepLines/>
              <w:rPr>
                <w:rFonts w:cs="Arial"/>
                <w:sz w:val="16"/>
                <w:szCs w:val="16"/>
                <w:lang w:val="ru-RU"/>
              </w:rPr>
            </w:pPr>
            <w:r w:rsidRPr="00F053BA">
              <w:rPr>
                <w:sz w:val="16"/>
                <w:szCs w:val="16"/>
                <w:lang w:val="ru-RU"/>
              </w:rPr>
              <w:t>Прогресс в достижении соглашения по текущим вопросам повестки дня ПКАП</w:t>
            </w:r>
          </w:p>
        </w:tc>
        <w:tc>
          <w:tcPr>
            <w:tcW w:w="1433" w:type="pct"/>
            <w:gridSpan w:val="2"/>
            <w:tcBorders>
              <w:bottom w:val="single" w:sz="4" w:space="0" w:color="auto"/>
            </w:tcBorders>
            <w:shd w:val="clear" w:color="auto" w:fill="auto"/>
          </w:tcPr>
          <w:p w:rsidR="00F053BA" w:rsidRPr="00F053BA" w:rsidRDefault="00F053BA" w:rsidP="00F053BA">
            <w:pPr>
              <w:keepNext/>
              <w:keepLines/>
              <w:rPr>
                <w:rFonts w:cs="Arial"/>
                <w:i/>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 xml:space="preserve">г.:  </w:t>
            </w:r>
            <w:r w:rsidRPr="00F053BA">
              <w:rPr>
                <w:sz w:val="16"/>
                <w:szCs w:val="16"/>
                <w:lang w:val="ru-RU"/>
              </w:rPr>
              <w:t>в июне 2012</w:t>
            </w:r>
            <w:r w:rsidRPr="000028C6">
              <w:rPr>
                <w:sz w:val="16"/>
                <w:szCs w:val="16"/>
              </w:rPr>
              <w:t> </w:t>
            </w:r>
            <w:r w:rsidRPr="00F053BA">
              <w:rPr>
                <w:sz w:val="16"/>
                <w:szCs w:val="16"/>
                <w:lang w:val="ru-RU"/>
              </w:rPr>
              <w:t>г. был принят текст Пекинского договора.  В июне 2013 г. был принят текст Марракешского договора по ЛНЗ.  Удалось продвинуться вперед по всем пунктам повестки дня в соответствии с планом работы ПКАП.</w:t>
            </w:r>
          </w:p>
          <w:p w:rsidR="00F053BA" w:rsidRPr="00F053BA" w:rsidRDefault="00F053BA" w:rsidP="00F053BA">
            <w:pPr>
              <w:keepNext/>
              <w:keepLines/>
              <w:rPr>
                <w:rFonts w:cs="Arial"/>
                <w:color w:val="002060"/>
                <w:sz w:val="16"/>
                <w:szCs w:val="16"/>
                <w:lang w:val="ru-RU"/>
              </w:rPr>
            </w:pPr>
          </w:p>
          <w:p w:rsidR="00F053BA" w:rsidRPr="000028C6" w:rsidRDefault="00F053BA" w:rsidP="00F053BA">
            <w:pPr>
              <w:keepNext/>
              <w:keepLines/>
              <w:rPr>
                <w:rFonts w:cs="Arial"/>
                <w:sz w:val="16"/>
                <w:szCs w:val="16"/>
              </w:rPr>
            </w:pPr>
            <w:r w:rsidRPr="00F053BA">
              <w:rPr>
                <w:i/>
                <w:sz w:val="16"/>
                <w:szCs w:val="16"/>
                <w:lang w:val="ru-RU"/>
              </w:rPr>
              <w:t>Исходные базовые показатели ПиБ на 2014–2015 гг.:</w:t>
            </w:r>
            <w:r w:rsidRPr="00F053BA">
              <w:rPr>
                <w:sz w:val="16"/>
                <w:szCs w:val="16"/>
                <w:lang w:val="ru-RU"/>
              </w:rPr>
              <w:t xml:space="preserve">  в двухлетний период 2012–2013</w:t>
            </w:r>
            <w:r w:rsidRPr="000028C6">
              <w:rPr>
                <w:sz w:val="16"/>
                <w:szCs w:val="16"/>
              </w:rPr>
              <w:t> </w:t>
            </w:r>
            <w:r w:rsidRPr="00F053BA">
              <w:rPr>
                <w:sz w:val="16"/>
                <w:szCs w:val="16"/>
                <w:lang w:val="ru-RU"/>
              </w:rPr>
              <w:t xml:space="preserve">гг. приняты два договора (на настоящий момент). </w:t>
            </w:r>
            <w:r w:rsidRPr="000028C6">
              <w:rPr>
                <w:sz w:val="16"/>
                <w:szCs w:val="16"/>
              </w:rPr>
              <w:t>В двухлетний период 2012–2013 гг. созваны две дипломатические конференции</w:t>
            </w:r>
            <w:r>
              <w:rPr>
                <w:sz w:val="16"/>
                <w:szCs w:val="16"/>
              </w:rPr>
              <w:t>.</w:t>
            </w:r>
          </w:p>
          <w:p w:rsidR="00F053BA" w:rsidRPr="000028C6" w:rsidRDefault="00F053BA" w:rsidP="00F053BA">
            <w:pPr>
              <w:keepNext/>
              <w:keepLines/>
              <w:rPr>
                <w:rFonts w:cs="Arial"/>
                <w:sz w:val="16"/>
                <w:szCs w:val="16"/>
              </w:rPr>
            </w:pPr>
          </w:p>
        </w:tc>
        <w:tc>
          <w:tcPr>
            <w:tcW w:w="848" w:type="pct"/>
            <w:gridSpan w:val="2"/>
            <w:tcBorders>
              <w:bottom w:val="single" w:sz="4" w:space="0" w:color="auto"/>
            </w:tcBorders>
            <w:shd w:val="clear" w:color="auto" w:fill="auto"/>
            <w:tcMar>
              <w:top w:w="110" w:type="dxa"/>
            </w:tcMar>
          </w:tcPr>
          <w:p w:rsidR="00F053BA" w:rsidRPr="00F053BA" w:rsidRDefault="00F053BA" w:rsidP="00F053BA">
            <w:pPr>
              <w:keepNext/>
              <w:keepLines/>
              <w:rPr>
                <w:rFonts w:cs="Arial"/>
                <w:sz w:val="16"/>
                <w:szCs w:val="16"/>
                <w:lang w:val="ru-RU"/>
              </w:rPr>
            </w:pPr>
            <w:r w:rsidRPr="00F053BA">
              <w:rPr>
                <w:sz w:val="16"/>
                <w:szCs w:val="16"/>
                <w:lang w:val="ru-RU"/>
              </w:rPr>
              <w:t>В двухлетний период 2014–2015</w:t>
            </w:r>
            <w:r w:rsidRPr="000028C6">
              <w:rPr>
                <w:sz w:val="16"/>
                <w:szCs w:val="16"/>
              </w:rPr>
              <w:t> </w:t>
            </w:r>
            <w:r w:rsidRPr="00F053BA">
              <w:rPr>
                <w:sz w:val="16"/>
                <w:szCs w:val="16"/>
                <w:lang w:val="ru-RU"/>
              </w:rPr>
              <w:t>гг. созвана одна дипломатическая конференция и принят один договор</w:t>
            </w:r>
          </w:p>
        </w:tc>
        <w:tc>
          <w:tcPr>
            <w:tcW w:w="1095" w:type="pct"/>
            <w:gridSpan w:val="2"/>
            <w:tcBorders>
              <w:bottom w:val="single" w:sz="4" w:space="0" w:color="auto"/>
            </w:tcBorders>
            <w:shd w:val="clear" w:color="auto" w:fill="FFFFFF"/>
            <w:tcMar>
              <w:top w:w="110" w:type="dxa"/>
            </w:tcMar>
          </w:tcPr>
          <w:p w:rsidR="00F053BA" w:rsidRPr="00F053BA" w:rsidRDefault="00F053BA" w:rsidP="00F053BA">
            <w:pPr>
              <w:keepNext/>
              <w:keepLines/>
              <w:rPr>
                <w:rFonts w:cs="Arial"/>
                <w:sz w:val="16"/>
                <w:szCs w:val="16"/>
                <w:lang w:val="ru-RU"/>
              </w:rPr>
            </w:pPr>
            <w:r w:rsidRPr="00F053BA">
              <w:rPr>
                <w:sz w:val="16"/>
                <w:szCs w:val="16"/>
                <w:lang w:val="ru-RU"/>
              </w:rPr>
              <w:t>ПКАП и Генеральная Ассамблея ВОИС не пришли к соглашению о мерах по созыву дипломатической конференции для принятия Договора по охране прав вещательных организаций.</w:t>
            </w:r>
          </w:p>
        </w:tc>
        <w:tc>
          <w:tcPr>
            <w:tcW w:w="526" w:type="pct"/>
            <w:gridSpan w:val="2"/>
            <w:tcBorders>
              <w:bottom w:val="single" w:sz="4" w:space="0" w:color="auto"/>
            </w:tcBorders>
            <w:shd w:val="clear" w:color="auto" w:fill="auto"/>
            <w:tcMar>
              <w:top w:w="110" w:type="dxa"/>
            </w:tcMar>
          </w:tcPr>
          <w:p w:rsidR="00F053BA" w:rsidRPr="000028C6" w:rsidRDefault="00F053BA" w:rsidP="00F053BA">
            <w:pPr>
              <w:keepNext/>
              <w:keepLines/>
              <w:jc w:val="center"/>
              <w:rPr>
                <w:rFonts w:cs="Arial"/>
                <w:b/>
                <w:bCs/>
                <w:color w:val="FF0000"/>
                <w:sz w:val="16"/>
                <w:szCs w:val="16"/>
              </w:rPr>
            </w:pPr>
            <w:r w:rsidRPr="000028C6">
              <w:rPr>
                <w:b/>
                <w:color w:val="FF0000"/>
                <w:sz w:val="16"/>
                <w:szCs w:val="16"/>
              </w:rPr>
              <w:t>Не выполнено</w:t>
            </w:r>
          </w:p>
        </w:tc>
      </w:tr>
      <w:tr w:rsidR="00F053BA" w:rsidRPr="005C6ABD" w:rsidTr="003A5C2E">
        <w:trPr>
          <w:trHeight w:val="475"/>
        </w:trPr>
        <w:tc>
          <w:tcPr>
            <w:tcW w:w="5000" w:type="pct"/>
            <w:gridSpan w:val="9"/>
            <w:tcBorders>
              <w:top w:val="single" w:sz="4" w:space="0" w:color="auto"/>
              <w:bottom w:val="single" w:sz="4" w:space="0" w:color="auto"/>
            </w:tcBorders>
            <w:shd w:val="clear" w:color="auto" w:fill="C6D9F1" w:themeFill="text2" w:themeFillTint="33"/>
            <w:vAlign w:val="center"/>
          </w:tcPr>
          <w:p w:rsidR="00F053BA" w:rsidRPr="00F053BA" w:rsidRDefault="00F053BA" w:rsidP="00165412">
            <w:pPr>
              <w:keepNext/>
              <w:keepLines/>
              <w:tabs>
                <w:tab w:val="left" w:pos="2019"/>
              </w:tabs>
              <w:ind w:left="2019" w:hanging="1985"/>
              <w:rPr>
                <w:rFonts w:cs="Arial"/>
                <w:b/>
                <w:bCs/>
                <w:sz w:val="16"/>
                <w:szCs w:val="16"/>
                <w:lang w:val="ru-RU"/>
              </w:rPr>
            </w:pPr>
            <w:r w:rsidRPr="00F053BA">
              <w:rPr>
                <w:b/>
                <w:sz w:val="16"/>
                <w:szCs w:val="16"/>
                <w:lang w:val="ru-RU"/>
              </w:rPr>
              <w:t>Ожидаемый результат:</w:t>
            </w:r>
            <w:r w:rsidRPr="00F053BA">
              <w:rPr>
                <w:sz w:val="16"/>
                <w:szCs w:val="16"/>
                <w:lang w:val="ru-RU"/>
              </w:rPr>
              <w:t xml:space="preserve"> </w:t>
            </w:r>
            <w:r w:rsidRPr="00F053BA">
              <w:rPr>
                <w:sz w:val="16"/>
                <w:szCs w:val="16"/>
                <w:lang w:val="ru-RU"/>
              </w:rPr>
              <w:tab/>
            </w:r>
            <w:r w:rsidRPr="000028C6">
              <w:rPr>
                <w:sz w:val="16"/>
                <w:szCs w:val="16"/>
              </w:rPr>
              <w:t>I</w:t>
            </w:r>
            <w:r w:rsidRPr="00F053BA">
              <w:rPr>
                <w:sz w:val="16"/>
                <w:szCs w:val="16"/>
                <w:lang w:val="ru-RU"/>
              </w:rPr>
              <w:t>.2. Целевые и сбалансированные законодательные</w:t>
            </w:r>
            <w:r w:rsidR="00165412">
              <w:rPr>
                <w:sz w:val="16"/>
                <w:szCs w:val="16"/>
                <w:lang w:val="ru-RU"/>
              </w:rPr>
              <w:t xml:space="preserve">, регулятивные и политические </w:t>
            </w:r>
            <w:r w:rsidRPr="00F053BA">
              <w:rPr>
                <w:sz w:val="16"/>
                <w:szCs w:val="16"/>
                <w:lang w:val="ru-RU"/>
              </w:rPr>
              <w:t>положения ИС</w:t>
            </w:r>
          </w:p>
        </w:tc>
      </w:tr>
      <w:tr w:rsidR="00F053BA" w:rsidRPr="000028C6" w:rsidTr="00F053BA">
        <w:tc>
          <w:tcPr>
            <w:tcW w:w="1098" w:type="pct"/>
            <w:tcBorders>
              <w:top w:val="single" w:sz="4" w:space="0" w:color="auto"/>
              <w:left w:val="single" w:sz="4" w:space="0" w:color="auto"/>
              <w:bottom w:val="nil"/>
            </w:tcBorders>
            <w:shd w:val="clear" w:color="auto" w:fill="auto"/>
            <w:vAlign w:val="center"/>
          </w:tcPr>
          <w:p w:rsidR="00F053BA" w:rsidRPr="000028C6" w:rsidRDefault="00F053BA" w:rsidP="00F053BA">
            <w:pPr>
              <w:keepNext/>
              <w:keepLines/>
              <w:rPr>
                <w:rFonts w:cs="Arial"/>
                <w:sz w:val="16"/>
                <w:szCs w:val="16"/>
              </w:rPr>
            </w:pPr>
            <w:r w:rsidRPr="000028C6">
              <w:rPr>
                <w:b/>
                <w:sz w:val="16"/>
                <w:szCs w:val="16"/>
              </w:rPr>
              <w:t>Показатели результативности</w:t>
            </w:r>
          </w:p>
        </w:tc>
        <w:tc>
          <w:tcPr>
            <w:tcW w:w="1433" w:type="pct"/>
            <w:gridSpan w:val="2"/>
            <w:tcBorders>
              <w:top w:val="single" w:sz="4" w:space="0" w:color="auto"/>
              <w:bottom w:val="nil"/>
            </w:tcBorders>
            <w:shd w:val="clear" w:color="auto" w:fill="auto"/>
            <w:vAlign w:val="center"/>
          </w:tcPr>
          <w:p w:rsidR="00F053BA" w:rsidRPr="000028C6" w:rsidRDefault="00F053BA" w:rsidP="00F053BA">
            <w:pPr>
              <w:keepNext/>
              <w:keepLines/>
              <w:rPr>
                <w:rFonts w:cs="Arial"/>
                <w:b/>
                <w:bCs/>
                <w:sz w:val="16"/>
                <w:szCs w:val="16"/>
              </w:rPr>
            </w:pPr>
            <w:r w:rsidRPr="000028C6">
              <w:rPr>
                <w:b/>
                <w:sz w:val="16"/>
                <w:szCs w:val="16"/>
              </w:rPr>
              <w:t>Базовые показатели</w:t>
            </w:r>
          </w:p>
        </w:tc>
        <w:tc>
          <w:tcPr>
            <w:tcW w:w="848" w:type="pct"/>
            <w:gridSpan w:val="2"/>
            <w:tcBorders>
              <w:top w:val="single" w:sz="4" w:space="0" w:color="auto"/>
              <w:bottom w:val="nil"/>
            </w:tcBorders>
            <w:shd w:val="clear" w:color="auto" w:fill="auto"/>
            <w:tcMar>
              <w:top w:w="110" w:type="dxa"/>
            </w:tcMar>
            <w:vAlign w:val="center"/>
          </w:tcPr>
          <w:p w:rsidR="00F053BA" w:rsidRPr="000028C6" w:rsidRDefault="00F053BA" w:rsidP="00F053BA">
            <w:pPr>
              <w:keepNext/>
              <w:keepLines/>
              <w:rPr>
                <w:rFonts w:cs="Arial"/>
                <w:b/>
                <w:sz w:val="16"/>
                <w:szCs w:val="16"/>
              </w:rPr>
            </w:pPr>
            <w:r w:rsidRPr="000028C6">
              <w:rPr>
                <w:b/>
                <w:sz w:val="16"/>
                <w:szCs w:val="16"/>
              </w:rPr>
              <w:t>Цели</w:t>
            </w:r>
          </w:p>
        </w:tc>
        <w:tc>
          <w:tcPr>
            <w:tcW w:w="1095" w:type="pct"/>
            <w:gridSpan w:val="2"/>
            <w:tcBorders>
              <w:top w:val="single" w:sz="4" w:space="0" w:color="auto"/>
              <w:bottom w:val="nil"/>
            </w:tcBorders>
            <w:shd w:val="clear" w:color="auto" w:fill="FFFFFF"/>
            <w:tcMar>
              <w:top w:w="110" w:type="dxa"/>
            </w:tcMar>
            <w:vAlign w:val="center"/>
          </w:tcPr>
          <w:p w:rsidR="00F053BA" w:rsidRPr="000028C6" w:rsidRDefault="00F053BA" w:rsidP="00F053BA">
            <w:pPr>
              <w:keepNext/>
              <w:keepLines/>
              <w:rPr>
                <w:rFonts w:cs="Arial"/>
                <w:sz w:val="16"/>
                <w:szCs w:val="16"/>
              </w:rPr>
            </w:pPr>
            <w:r w:rsidRPr="000028C6">
              <w:rPr>
                <w:b/>
                <w:sz w:val="16"/>
                <w:szCs w:val="16"/>
              </w:rPr>
              <w:t>Данные о результативности</w:t>
            </w:r>
          </w:p>
        </w:tc>
        <w:tc>
          <w:tcPr>
            <w:tcW w:w="526" w:type="pct"/>
            <w:gridSpan w:val="2"/>
            <w:tcBorders>
              <w:top w:val="single" w:sz="4" w:space="0" w:color="auto"/>
              <w:bottom w:val="nil"/>
              <w:right w:val="single" w:sz="4" w:space="0" w:color="auto"/>
            </w:tcBorders>
            <w:shd w:val="clear" w:color="auto" w:fill="auto"/>
            <w:tcMar>
              <w:top w:w="110" w:type="dxa"/>
            </w:tcMar>
            <w:vAlign w:val="center"/>
          </w:tcPr>
          <w:p w:rsidR="00F053BA" w:rsidRPr="000028C6" w:rsidRDefault="00F053BA" w:rsidP="00F053BA">
            <w:pPr>
              <w:keepNext/>
              <w:keepLines/>
              <w:jc w:val="center"/>
              <w:rPr>
                <w:rFonts w:cs="Arial"/>
                <w:b/>
                <w:bCs/>
                <w:sz w:val="16"/>
                <w:szCs w:val="16"/>
              </w:rPr>
            </w:pPr>
            <w:r w:rsidRPr="000028C6">
              <w:rPr>
                <w:b/>
                <w:sz w:val="16"/>
                <w:szCs w:val="16"/>
              </w:rPr>
              <w:t>CC</w:t>
            </w:r>
          </w:p>
        </w:tc>
      </w:tr>
      <w:tr w:rsidR="00F053BA" w:rsidRPr="000028C6" w:rsidTr="00F053BA">
        <w:tc>
          <w:tcPr>
            <w:tcW w:w="1098" w:type="pct"/>
            <w:tcBorders>
              <w:top w:val="nil"/>
              <w:left w:val="single" w:sz="4" w:space="0" w:color="auto"/>
              <w:bottom w:val="nil"/>
            </w:tcBorders>
            <w:shd w:val="clear" w:color="auto" w:fill="FFFFFF"/>
          </w:tcPr>
          <w:p w:rsidR="00F053BA" w:rsidRPr="00F053BA" w:rsidRDefault="00F053BA" w:rsidP="00F053BA">
            <w:pPr>
              <w:keepNext/>
              <w:keepLines/>
              <w:rPr>
                <w:rFonts w:cs="Arial"/>
                <w:sz w:val="16"/>
                <w:szCs w:val="16"/>
                <w:lang w:val="ru-RU"/>
              </w:rPr>
            </w:pPr>
            <w:r w:rsidRPr="00F053BA">
              <w:rPr>
                <w:sz w:val="16"/>
                <w:szCs w:val="16"/>
                <w:lang w:val="ru-RU"/>
              </w:rPr>
              <w:t>Число стран, ратифицировавших Пекинский договор</w:t>
            </w:r>
          </w:p>
        </w:tc>
        <w:tc>
          <w:tcPr>
            <w:tcW w:w="1433" w:type="pct"/>
            <w:gridSpan w:val="2"/>
            <w:tcBorders>
              <w:top w:val="nil"/>
              <w:bottom w:val="nil"/>
            </w:tcBorders>
            <w:shd w:val="clear" w:color="auto" w:fill="auto"/>
          </w:tcPr>
          <w:p w:rsidR="00F053BA" w:rsidRPr="00F053BA" w:rsidRDefault="00F053BA" w:rsidP="00F053BA">
            <w:pPr>
              <w:keepNext/>
              <w:keepLines/>
              <w:rPr>
                <w:rFonts w:cs="Arial"/>
                <w:i/>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 xml:space="preserve">г.:  </w:t>
            </w:r>
            <w:r w:rsidRPr="00F053BA">
              <w:rPr>
                <w:color w:val="002060"/>
                <w:sz w:val="16"/>
                <w:szCs w:val="16"/>
                <w:lang w:val="ru-RU"/>
              </w:rPr>
              <w:t>2 (Ботсвана, Сирийская Арабская Республика)</w:t>
            </w:r>
          </w:p>
          <w:p w:rsidR="00F053BA" w:rsidRPr="00F053BA" w:rsidRDefault="00F053BA" w:rsidP="00F053BA">
            <w:pPr>
              <w:keepNext/>
              <w:keepLines/>
              <w:rPr>
                <w:rFonts w:cs="Arial"/>
                <w:i/>
                <w:sz w:val="16"/>
                <w:szCs w:val="16"/>
                <w:lang w:val="ru-RU"/>
              </w:rPr>
            </w:pPr>
          </w:p>
          <w:p w:rsidR="00F053BA" w:rsidRPr="00F053BA" w:rsidRDefault="00F053BA" w:rsidP="00F053BA">
            <w:pPr>
              <w:keepNext/>
              <w:keepLines/>
              <w:rPr>
                <w:rFonts w:cs="Arial"/>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 xml:space="preserve"> Ни одной</w:t>
            </w:r>
          </w:p>
          <w:p w:rsidR="00F053BA" w:rsidRPr="00F053BA" w:rsidRDefault="00F053BA" w:rsidP="00F053BA">
            <w:pPr>
              <w:keepNext/>
              <w:keepLines/>
              <w:rPr>
                <w:rFonts w:cs="Arial"/>
                <w:sz w:val="16"/>
                <w:szCs w:val="16"/>
                <w:lang w:val="ru-RU"/>
              </w:rPr>
            </w:pPr>
          </w:p>
        </w:tc>
        <w:tc>
          <w:tcPr>
            <w:tcW w:w="848" w:type="pct"/>
            <w:gridSpan w:val="2"/>
            <w:tcBorders>
              <w:top w:val="nil"/>
              <w:bottom w:val="nil"/>
            </w:tcBorders>
            <w:shd w:val="clear" w:color="auto" w:fill="auto"/>
            <w:tcMar>
              <w:top w:w="110" w:type="dxa"/>
            </w:tcMar>
          </w:tcPr>
          <w:p w:rsidR="00F053BA" w:rsidRPr="000028C6" w:rsidRDefault="00F053BA" w:rsidP="00F053BA">
            <w:pPr>
              <w:keepNext/>
              <w:keepLines/>
              <w:rPr>
                <w:rFonts w:cs="Arial"/>
                <w:sz w:val="16"/>
                <w:szCs w:val="16"/>
              </w:rPr>
            </w:pPr>
            <w:r w:rsidRPr="000028C6">
              <w:rPr>
                <w:sz w:val="16"/>
                <w:szCs w:val="16"/>
              </w:rPr>
              <w:t>30 стран (всего)</w:t>
            </w:r>
          </w:p>
        </w:tc>
        <w:tc>
          <w:tcPr>
            <w:tcW w:w="1095" w:type="pct"/>
            <w:gridSpan w:val="2"/>
            <w:tcBorders>
              <w:top w:val="nil"/>
              <w:bottom w:val="nil"/>
            </w:tcBorders>
            <w:shd w:val="clear" w:color="auto" w:fill="FFFFFF"/>
            <w:tcMar>
              <w:top w:w="110" w:type="dxa"/>
            </w:tcMar>
          </w:tcPr>
          <w:p w:rsidR="00F053BA" w:rsidRPr="00F053BA" w:rsidRDefault="00F053BA" w:rsidP="00F053BA">
            <w:pPr>
              <w:keepNext/>
              <w:keepLines/>
              <w:rPr>
                <w:rFonts w:cs="Arial"/>
                <w:sz w:val="16"/>
                <w:szCs w:val="16"/>
                <w:lang w:val="ru-RU"/>
              </w:rPr>
            </w:pPr>
            <w:r w:rsidRPr="00F053BA">
              <w:rPr>
                <w:sz w:val="16"/>
                <w:szCs w:val="16"/>
                <w:lang w:val="ru-RU"/>
              </w:rPr>
              <w:t>Акты ратификации Пекинского договора или присоединения к нему депонировали еще восемь стран (Чили, Китай, Япония, Катар, Республика Молдова, Российская Федерация, Словакия, Объединенные Арабские Эмираты) (всего 10 стран).</w:t>
            </w:r>
          </w:p>
        </w:tc>
        <w:tc>
          <w:tcPr>
            <w:tcW w:w="526" w:type="pct"/>
            <w:gridSpan w:val="2"/>
            <w:tcBorders>
              <w:top w:val="nil"/>
              <w:bottom w:val="nil"/>
              <w:right w:val="single" w:sz="4" w:space="0" w:color="auto"/>
            </w:tcBorders>
            <w:shd w:val="clear" w:color="auto" w:fill="auto"/>
            <w:tcMar>
              <w:top w:w="110" w:type="dxa"/>
            </w:tcMar>
          </w:tcPr>
          <w:p w:rsidR="00F053BA" w:rsidRPr="000028C6" w:rsidRDefault="00F053BA" w:rsidP="00F053BA">
            <w:pPr>
              <w:keepNext/>
              <w:keepLines/>
              <w:jc w:val="center"/>
              <w:rPr>
                <w:rFonts w:cs="Arial"/>
                <w:b/>
                <w:bCs/>
                <w:color w:val="808080"/>
                <w:sz w:val="16"/>
                <w:szCs w:val="16"/>
              </w:rPr>
            </w:pPr>
            <w:r w:rsidRPr="000028C6">
              <w:rPr>
                <w:b/>
                <w:color w:val="FF0000"/>
                <w:sz w:val="16"/>
                <w:szCs w:val="16"/>
              </w:rPr>
              <w:t>Не выполнено</w:t>
            </w:r>
          </w:p>
        </w:tc>
      </w:tr>
      <w:tr w:rsidR="00F053BA" w:rsidRPr="000028C6" w:rsidTr="00F053BA">
        <w:tc>
          <w:tcPr>
            <w:tcW w:w="1098" w:type="pct"/>
            <w:tcBorders>
              <w:top w:val="nil"/>
              <w:left w:val="single" w:sz="4" w:space="0" w:color="auto"/>
              <w:bottom w:val="single" w:sz="4" w:space="0" w:color="auto"/>
            </w:tcBorders>
            <w:shd w:val="clear" w:color="auto" w:fill="auto"/>
          </w:tcPr>
          <w:p w:rsidR="00F053BA" w:rsidRPr="00F053BA" w:rsidRDefault="00F053BA" w:rsidP="00F053BA">
            <w:pPr>
              <w:rPr>
                <w:rFonts w:cs="Arial"/>
                <w:sz w:val="16"/>
                <w:szCs w:val="16"/>
                <w:lang w:val="ru-RU"/>
              </w:rPr>
            </w:pPr>
            <w:r w:rsidRPr="00F053BA">
              <w:rPr>
                <w:color w:val="000000"/>
                <w:sz w:val="16"/>
                <w:szCs w:val="16"/>
                <w:lang w:val="ru-RU"/>
              </w:rPr>
              <w:t>Число и процент стран, представивших положительные отзывы о законодательных рекомендациях ВОИС</w:t>
            </w:r>
          </w:p>
        </w:tc>
        <w:tc>
          <w:tcPr>
            <w:tcW w:w="1433" w:type="pct"/>
            <w:gridSpan w:val="2"/>
            <w:tcBorders>
              <w:top w:val="nil"/>
              <w:bottom w:val="single" w:sz="4" w:space="0" w:color="auto"/>
            </w:tcBorders>
            <w:shd w:val="clear" w:color="auto" w:fill="auto"/>
          </w:tcPr>
          <w:p w:rsidR="00F053BA" w:rsidRPr="000028C6" w:rsidRDefault="00F053BA" w:rsidP="00F053BA">
            <w:pPr>
              <w:keepNext/>
              <w:rPr>
                <w:rFonts w:cs="Arial"/>
                <w:sz w:val="16"/>
                <w:szCs w:val="16"/>
              </w:rPr>
            </w:pPr>
            <w:r w:rsidRPr="000028C6">
              <w:rPr>
                <w:sz w:val="16"/>
                <w:szCs w:val="16"/>
              </w:rPr>
              <w:t>Данные отсутствуют</w:t>
            </w:r>
          </w:p>
          <w:p w:rsidR="00F053BA" w:rsidRPr="000028C6" w:rsidRDefault="00F053BA" w:rsidP="00F053BA">
            <w:pPr>
              <w:rPr>
                <w:rFonts w:cs="Arial"/>
                <w:sz w:val="16"/>
                <w:szCs w:val="16"/>
              </w:rPr>
            </w:pPr>
          </w:p>
        </w:tc>
        <w:tc>
          <w:tcPr>
            <w:tcW w:w="848" w:type="pct"/>
            <w:gridSpan w:val="2"/>
            <w:tcBorders>
              <w:top w:val="nil"/>
              <w:bottom w:val="single" w:sz="4" w:space="0" w:color="auto"/>
            </w:tcBorders>
            <w:shd w:val="clear" w:color="auto" w:fill="auto"/>
            <w:tcMar>
              <w:top w:w="110" w:type="dxa"/>
            </w:tcMar>
          </w:tcPr>
          <w:p w:rsidR="00F053BA" w:rsidRPr="000028C6" w:rsidRDefault="00F053BA" w:rsidP="00F053BA">
            <w:pPr>
              <w:rPr>
                <w:rFonts w:cs="Arial"/>
                <w:sz w:val="16"/>
                <w:szCs w:val="16"/>
                <w:highlight w:val="yellow"/>
              </w:rPr>
            </w:pPr>
            <w:r w:rsidRPr="000028C6">
              <w:rPr>
                <w:sz w:val="16"/>
                <w:szCs w:val="16"/>
              </w:rPr>
              <w:t xml:space="preserve">15 стран </w:t>
            </w:r>
          </w:p>
        </w:tc>
        <w:tc>
          <w:tcPr>
            <w:tcW w:w="1095" w:type="pct"/>
            <w:gridSpan w:val="2"/>
            <w:tcBorders>
              <w:top w:val="nil"/>
              <w:bottom w:val="single" w:sz="4" w:space="0" w:color="auto"/>
            </w:tcBorders>
            <w:shd w:val="clear" w:color="auto" w:fill="FFFFFF"/>
            <w:tcMar>
              <w:top w:w="110" w:type="dxa"/>
            </w:tcMar>
          </w:tcPr>
          <w:p w:rsidR="00F053BA" w:rsidRPr="00F053BA" w:rsidRDefault="00F053BA" w:rsidP="00F053BA">
            <w:pPr>
              <w:rPr>
                <w:rFonts w:cs="Arial"/>
                <w:sz w:val="16"/>
                <w:szCs w:val="16"/>
                <w:lang w:val="ru-RU"/>
              </w:rPr>
            </w:pPr>
            <w:r w:rsidRPr="00F053BA">
              <w:rPr>
                <w:sz w:val="16"/>
                <w:szCs w:val="16"/>
                <w:lang w:val="ru-RU"/>
              </w:rPr>
              <w:t xml:space="preserve">25 стран получили законодательные рекомендации в 2014–2015 гг. (Африка (9), Арабский регион (3), Азиатско-Тихоокеанский регион (5), Латинская Америка и бассейн Карибского моря (6), другие страны (2)). </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sz w:val="16"/>
                <w:szCs w:val="16"/>
                <w:lang w:val="ru-RU"/>
              </w:rPr>
              <w:t xml:space="preserve">В 100% ответов на опрос, достоверность которых была подтверждена, содержалась положительная оценка (5 или 6 по шкале от 1 до 6) оказываемой ВОИС услуги предоставления консультаций по вопросам законодательства в области авторского права. </w:t>
            </w:r>
          </w:p>
        </w:tc>
        <w:tc>
          <w:tcPr>
            <w:tcW w:w="526" w:type="pct"/>
            <w:gridSpan w:val="2"/>
            <w:tcBorders>
              <w:top w:val="nil"/>
              <w:bottom w:val="single" w:sz="4" w:space="0" w:color="auto"/>
              <w:right w:val="single" w:sz="4" w:space="0" w:color="auto"/>
            </w:tcBorders>
            <w:shd w:val="clear" w:color="auto" w:fill="auto"/>
          </w:tcPr>
          <w:p w:rsidR="00F053BA" w:rsidRPr="000028C6" w:rsidRDefault="00F053BA" w:rsidP="00F053BA">
            <w:pPr>
              <w:keepNext/>
              <w:keepLines/>
              <w:jc w:val="center"/>
              <w:rPr>
                <w:rFonts w:cs="Arial"/>
                <w:bCs/>
                <w:color w:val="333333"/>
                <w:sz w:val="16"/>
                <w:szCs w:val="16"/>
              </w:rPr>
            </w:pPr>
            <w:r w:rsidRPr="000028C6">
              <w:rPr>
                <w:b/>
                <w:color w:val="00B050"/>
                <w:sz w:val="16"/>
                <w:szCs w:val="16"/>
              </w:rPr>
              <w:t>Выполнено</w:t>
            </w:r>
          </w:p>
        </w:tc>
      </w:tr>
      <w:tr w:rsidR="00F053BA" w:rsidRPr="000028C6" w:rsidTr="00F053BA">
        <w:tc>
          <w:tcPr>
            <w:tcW w:w="1098" w:type="pct"/>
            <w:tcBorders>
              <w:top w:val="single" w:sz="4" w:space="0" w:color="auto"/>
              <w:left w:val="single" w:sz="4" w:space="0" w:color="auto"/>
              <w:bottom w:val="nil"/>
            </w:tcBorders>
            <w:shd w:val="clear" w:color="auto" w:fill="auto"/>
          </w:tcPr>
          <w:p w:rsidR="00F053BA" w:rsidRPr="00F053BA" w:rsidRDefault="00F053BA" w:rsidP="00F053BA">
            <w:pPr>
              <w:keepNext/>
              <w:keepLines/>
              <w:rPr>
                <w:rFonts w:cs="Arial"/>
                <w:color w:val="000000"/>
                <w:sz w:val="16"/>
                <w:szCs w:val="16"/>
                <w:lang w:val="ru-RU"/>
              </w:rPr>
            </w:pPr>
            <w:r w:rsidRPr="00F053BA">
              <w:rPr>
                <w:color w:val="000000"/>
                <w:sz w:val="16"/>
                <w:szCs w:val="16"/>
                <w:lang w:val="ru-RU"/>
              </w:rPr>
              <w:t>Число ратификаций договоров ВОИС в области Интернета</w:t>
            </w:r>
          </w:p>
        </w:tc>
        <w:tc>
          <w:tcPr>
            <w:tcW w:w="1433" w:type="pct"/>
            <w:gridSpan w:val="2"/>
            <w:tcBorders>
              <w:top w:val="single" w:sz="4" w:space="0" w:color="auto"/>
              <w:bottom w:val="nil"/>
            </w:tcBorders>
            <w:shd w:val="clear" w:color="auto" w:fill="auto"/>
          </w:tcPr>
          <w:p w:rsidR="00F053BA" w:rsidRPr="00F053BA" w:rsidRDefault="00F053BA" w:rsidP="00F053BA">
            <w:pPr>
              <w:keepNext/>
              <w:keepLines/>
              <w:rPr>
                <w:rFonts w:cs="Arial"/>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 xml:space="preserve">г.:  </w:t>
            </w:r>
            <w:r w:rsidRPr="00F053BA">
              <w:rPr>
                <w:color w:val="002060"/>
                <w:sz w:val="16"/>
                <w:szCs w:val="16"/>
                <w:lang w:val="ru-RU"/>
              </w:rPr>
              <w:t xml:space="preserve">184 </w:t>
            </w:r>
          </w:p>
          <w:p w:rsidR="00F053BA" w:rsidRPr="00F053BA" w:rsidRDefault="00F053BA" w:rsidP="00F053BA">
            <w:pPr>
              <w:keepNext/>
              <w:keepLines/>
              <w:rPr>
                <w:rFonts w:cs="Arial"/>
                <w:i/>
                <w:sz w:val="16"/>
                <w:szCs w:val="16"/>
                <w:lang w:val="ru-RU"/>
              </w:rPr>
            </w:pPr>
          </w:p>
          <w:p w:rsidR="00F053BA" w:rsidRPr="00F053BA" w:rsidRDefault="00F053BA" w:rsidP="00F053BA">
            <w:pPr>
              <w:keepNext/>
              <w:keepLines/>
              <w:rPr>
                <w:rFonts w:cs="Arial"/>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 xml:space="preserve"> 181 (на конец 2012</w:t>
            </w:r>
            <w:r w:rsidRPr="000028C6">
              <w:rPr>
                <w:sz w:val="16"/>
                <w:szCs w:val="16"/>
              </w:rPr>
              <w:t> </w:t>
            </w:r>
            <w:r w:rsidRPr="00F053BA">
              <w:rPr>
                <w:sz w:val="16"/>
                <w:szCs w:val="16"/>
                <w:lang w:val="ru-RU"/>
              </w:rPr>
              <w:t>г.)</w:t>
            </w:r>
          </w:p>
        </w:tc>
        <w:tc>
          <w:tcPr>
            <w:tcW w:w="848" w:type="pct"/>
            <w:gridSpan w:val="2"/>
            <w:tcBorders>
              <w:top w:val="single" w:sz="4" w:space="0" w:color="auto"/>
              <w:bottom w:val="nil"/>
            </w:tcBorders>
            <w:shd w:val="clear" w:color="auto" w:fill="auto"/>
            <w:tcMar>
              <w:top w:w="110" w:type="dxa"/>
            </w:tcMar>
          </w:tcPr>
          <w:p w:rsidR="00F053BA" w:rsidRPr="000028C6" w:rsidRDefault="00F053BA" w:rsidP="00F053BA">
            <w:pPr>
              <w:keepNext/>
              <w:keepLines/>
              <w:rPr>
                <w:rFonts w:cs="Arial"/>
                <w:sz w:val="16"/>
                <w:szCs w:val="16"/>
              </w:rPr>
            </w:pPr>
            <w:r w:rsidRPr="000028C6">
              <w:rPr>
                <w:sz w:val="16"/>
                <w:szCs w:val="16"/>
              </w:rPr>
              <w:t>190 (всего)</w:t>
            </w:r>
          </w:p>
        </w:tc>
        <w:tc>
          <w:tcPr>
            <w:tcW w:w="1095" w:type="pct"/>
            <w:gridSpan w:val="2"/>
            <w:tcBorders>
              <w:top w:val="single" w:sz="4" w:space="0" w:color="auto"/>
              <w:bottom w:val="nil"/>
            </w:tcBorders>
            <w:shd w:val="clear" w:color="auto" w:fill="FFFFFF"/>
            <w:tcMar>
              <w:top w:w="110" w:type="dxa"/>
            </w:tcMar>
          </w:tcPr>
          <w:p w:rsidR="00F053BA" w:rsidRPr="00F053BA" w:rsidRDefault="00F053BA" w:rsidP="00F053BA">
            <w:pPr>
              <w:keepNext/>
              <w:keepLines/>
              <w:rPr>
                <w:rFonts w:cs="Arial"/>
                <w:sz w:val="16"/>
                <w:szCs w:val="16"/>
                <w:lang w:val="ru-RU"/>
              </w:rPr>
            </w:pPr>
            <w:r w:rsidRPr="00F053BA">
              <w:rPr>
                <w:sz w:val="16"/>
                <w:szCs w:val="16"/>
                <w:lang w:val="ru-RU"/>
              </w:rPr>
              <w:t>В 2014–2015 гг. депонировано 4 акта ратификации или присоединения (общее число таких актов составило 188):</w:t>
            </w:r>
          </w:p>
          <w:p w:rsidR="00F053BA" w:rsidRPr="00F053BA" w:rsidRDefault="00F053BA" w:rsidP="00F053BA">
            <w:pPr>
              <w:pStyle w:val="ListParagraph"/>
              <w:keepNext/>
              <w:keepLines/>
              <w:numPr>
                <w:ilvl w:val="0"/>
                <w:numId w:val="57"/>
              </w:numPr>
              <w:rPr>
                <w:rFonts w:cs="Arial"/>
                <w:sz w:val="16"/>
                <w:szCs w:val="16"/>
                <w:lang w:val="ru-RU"/>
              </w:rPr>
            </w:pPr>
            <w:r w:rsidRPr="00F053BA">
              <w:rPr>
                <w:sz w:val="16"/>
                <w:szCs w:val="16"/>
                <w:lang w:val="ru-RU"/>
              </w:rPr>
              <w:t>Договор ВОИС по авторскому праву (Канада, Мадагаскар)</w:t>
            </w:r>
          </w:p>
          <w:p w:rsidR="00F053BA" w:rsidRPr="00F053BA" w:rsidRDefault="00F053BA" w:rsidP="00F053BA">
            <w:pPr>
              <w:pStyle w:val="ListParagraph"/>
              <w:keepNext/>
              <w:keepLines/>
              <w:numPr>
                <w:ilvl w:val="0"/>
                <w:numId w:val="57"/>
              </w:numPr>
              <w:rPr>
                <w:rFonts w:cs="Arial"/>
                <w:sz w:val="16"/>
                <w:szCs w:val="16"/>
                <w:lang w:val="ru-RU"/>
              </w:rPr>
            </w:pPr>
            <w:r w:rsidRPr="00F053BA">
              <w:rPr>
                <w:sz w:val="16"/>
                <w:szCs w:val="16"/>
                <w:lang w:val="ru-RU"/>
              </w:rPr>
              <w:t>Договор ВОИС по исполнениям и фонограммам (Канада, Мадагаскар)</w:t>
            </w:r>
          </w:p>
        </w:tc>
        <w:tc>
          <w:tcPr>
            <w:tcW w:w="526" w:type="pct"/>
            <w:gridSpan w:val="2"/>
            <w:tcBorders>
              <w:top w:val="single" w:sz="4" w:space="0" w:color="auto"/>
              <w:bottom w:val="nil"/>
              <w:right w:val="single" w:sz="4" w:space="0" w:color="auto"/>
            </w:tcBorders>
            <w:shd w:val="clear" w:color="auto" w:fill="auto"/>
          </w:tcPr>
          <w:p w:rsidR="00F053BA" w:rsidRPr="000028C6" w:rsidRDefault="00F053BA" w:rsidP="00F053BA">
            <w:pPr>
              <w:keepNext/>
              <w:keepLines/>
              <w:jc w:val="center"/>
              <w:rPr>
                <w:rFonts w:cs="Arial"/>
                <w:b/>
                <w:bCs/>
                <w:color w:val="00B050"/>
                <w:sz w:val="16"/>
                <w:szCs w:val="16"/>
              </w:rPr>
            </w:pPr>
            <w:r w:rsidRPr="00F053BA">
              <w:rPr>
                <w:b/>
                <w:color w:val="00B050"/>
                <w:sz w:val="16"/>
                <w:szCs w:val="16"/>
                <w:lang w:val="ru-RU"/>
              </w:rPr>
              <w:t xml:space="preserve"> </w:t>
            </w:r>
            <w:r w:rsidRPr="000028C6">
              <w:rPr>
                <w:b/>
                <w:color w:val="00B050"/>
                <w:sz w:val="16"/>
                <w:szCs w:val="16"/>
              </w:rPr>
              <w:t>Выполнено</w:t>
            </w:r>
          </w:p>
        </w:tc>
      </w:tr>
      <w:tr w:rsidR="00F053BA" w:rsidRPr="000028C6" w:rsidTr="003A5C2E">
        <w:tc>
          <w:tcPr>
            <w:tcW w:w="1098" w:type="pct"/>
            <w:tcBorders>
              <w:top w:val="nil"/>
              <w:left w:val="single" w:sz="4" w:space="0" w:color="auto"/>
              <w:bottom w:val="single" w:sz="4" w:space="0" w:color="auto"/>
            </w:tcBorders>
            <w:shd w:val="clear" w:color="auto" w:fill="auto"/>
          </w:tcPr>
          <w:p w:rsidR="00F053BA" w:rsidRPr="00F053BA" w:rsidRDefault="00F053BA" w:rsidP="00F053BA">
            <w:pPr>
              <w:rPr>
                <w:rFonts w:cs="Arial"/>
                <w:color w:val="000000"/>
                <w:sz w:val="16"/>
                <w:szCs w:val="16"/>
                <w:lang w:val="ru-RU"/>
              </w:rPr>
            </w:pPr>
            <w:r w:rsidRPr="00F053BA">
              <w:rPr>
                <w:color w:val="000000"/>
                <w:sz w:val="16"/>
                <w:szCs w:val="16"/>
                <w:lang w:val="ru-RU"/>
              </w:rPr>
              <w:t xml:space="preserve">Число стран, ратифицировавших Марракешский договор о ЛНЗ </w:t>
            </w:r>
          </w:p>
        </w:tc>
        <w:tc>
          <w:tcPr>
            <w:tcW w:w="1433" w:type="pct"/>
            <w:gridSpan w:val="2"/>
            <w:tcBorders>
              <w:top w:val="nil"/>
              <w:bottom w:val="single" w:sz="4" w:space="0" w:color="auto"/>
            </w:tcBorders>
            <w:shd w:val="clear" w:color="auto" w:fill="auto"/>
          </w:tcPr>
          <w:p w:rsidR="00F053BA" w:rsidRPr="000028C6" w:rsidRDefault="00F053BA" w:rsidP="00F053BA">
            <w:pPr>
              <w:keepNext/>
              <w:rPr>
                <w:rFonts w:cs="Arial"/>
                <w:sz w:val="16"/>
                <w:szCs w:val="16"/>
              </w:rPr>
            </w:pPr>
            <w:r w:rsidRPr="000028C6">
              <w:rPr>
                <w:sz w:val="16"/>
                <w:szCs w:val="16"/>
              </w:rPr>
              <w:t>Ни одной</w:t>
            </w:r>
          </w:p>
          <w:p w:rsidR="00F053BA" w:rsidRPr="000028C6" w:rsidRDefault="00F053BA" w:rsidP="00F053BA">
            <w:pPr>
              <w:rPr>
                <w:rFonts w:cs="Arial"/>
                <w:i/>
                <w:color w:val="000000"/>
                <w:sz w:val="16"/>
                <w:szCs w:val="16"/>
              </w:rPr>
            </w:pPr>
          </w:p>
        </w:tc>
        <w:tc>
          <w:tcPr>
            <w:tcW w:w="848" w:type="pct"/>
            <w:gridSpan w:val="2"/>
            <w:tcBorders>
              <w:top w:val="nil"/>
              <w:bottom w:val="single" w:sz="4" w:space="0" w:color="auto"/>
            </w:tcBorders>
            <w:shd w:val="clear" w:color="auto" w:fill="auto"/>
            <w:tcMar>
              <w:top w:w="110" w:type="dxa"/>
            </w:tcMar>
          </w:tcPr>
          <w:p w:rsidR="00F053BA" w:rsidRPr="000028C6" w:rsidRDefault="00F053BA" w:rsidP="00F053BA">
            <w:pPr>
              <w:rPr>
                <w:rFonts w:cs="Arial"/>
                <w:sz w:val="16"/>
                <w:szCs w:val="16"/>
              </w:rPr>
            </w:pPr>
            <w:r w:rsidRPr="000028C6">
              <w:rPr>
                <w:sz w:val="16"/>
                <w:szCs w:val="16"/>
              </w:rPr>
              <w:t>20 стран (всего)</w:t>
            </w:r>
          </w:p>
        </w:tc>
        <w:tc>
          <w:tcPr>
            <w:tcW w:w="1095" w:type="pct"/>
            <w:gridSpan w:val="2"/>
            <w:tcBorders>
              <w:top w:val="nil"/>
              <w:bottom w:val="single" w:sz="4" w:space="0" w:color="auto"/>
            </w:tcBorders>
            <w:shd w:val="clear" w:color="auto" w:fill="FFFFFF"/>
            <w:tcMar>
              <w:top w:w="110" w:type="dxa"/>
            </w:tcMar>
          </w:tcPr>
          <w:p w:rsidR="00F053BA" w:rsidRPr="00F053BA" w:rsidRDefault="00F053BA" w:rsidP="00F053BA">
            <w:pPr>
              <w:rPr>
                <w:rFonts w:cs="Arial"/>
                <w:sz w:val="16"/>
                <w:szCs w:val="16"/>
                <w:lang w:val="ru-RU"/>
              </w:rPr>
            </w:pPr>
            <w:r w:rsidRPr="00F053BA">
              <w:rPr>
                <w:sz w:val="16"/>
                <w:szCs w:val="16"/>
                <w:lang w:val="ru-RU"/>
              </w:rPr>
              <w:t>В 2014–2015</w:t>
            </w:r>
            <w:r w:rsidRPr="000028C6">
              <w:rPr>
                <w:sz w:val="16"/>
                <w:szCs w:val="16"/>
              </w:rPr>
              <w:t> </w:t>
            </w:r>
            <w:r w:rsidRPr="00F053BA">
              <w:rPr>
                <w:sz w:val="16"/>
                <w:szCs w:val="16"/>
                <w:lang w:val="ru-RU"/>
              </w:rPr>
              <w:t>гг. было депонировано 13</w:t>
            </w:r>
            <w:r w:rsidRPr="000028C6">
              <w:rPr>
                <w:sz w:val="16"/>
                <w:szCs w:val="16"/>
              </w:rPr>
              <w:t> </w:t>
            </w:r>
            <w:r w:rsidRPr="00F053BA">
              <w:rPr>
                <w:sz w:val="16"/>
                <w:szCs w:val="16"/>
                <w:lang w:val="ru-RU"/>
              </w:rPr>
              <w:t>актов ратификации или присоединения (Аргентина, Австралия, Бразилия, Сальвадор, Индия, Мали, Мексика, Монголия, Парагвай, Республика Корея, Сингапур, Объединенные Арабские Эмираты, Уругвай)</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p>
        </w:tc>
        <w:tc>
          <w:tcPr>
            <w:tcW w:w="526" w:type="pct"/>
            <w:gridSpan w:val="2"/>
            <w:tcBorders>
              <w:top w:val="nil"/>
              <w:bottom w:val="single" w:sz="4" w:space="0" w:color="auto"/>
              <w:right w:val="single" w:sz="4" w:space="0" w:color="auto"/>
            </w:tcBorders>
            <w:shd w:val="clear" w:color="auto" w:fill="auto"/>
          </w:tcPr>
          <w:p w:rsidR="00F053BA" w:rsidRPr="000028C6" w:rsidRDefault="00F053BA" w:rsidP="00F053BA">
            <w:pPr>
              <w:keepNext/>
              <w:keepLines/>
              <w:jc w:val="center"/>
              <w:rPr>
                <w:rFonts w:cs="Arial"/>
                <w:b/>
                <w:bCs/>
                <w:color w:val="00B050"/>
                <w:sz w:val="16"/>
                <w:szCs w:val="16"/>
              </w:rPr>
            </w:pPr>
            <w:r w:rsidRPr="000028C6">
              <w:rPr>
                <w:b/>
                <w:color w:val="E36C0A" w:themeColor="accent6" w:themeShade="BF"/>
                <w:sz w:val="16"/>
                <w:szCs w:val="16"/>
              </w:rPr>
              <w:t>Частично выполнено</w:t>
            </w:r>
          </w:p>
        </w:tc>
      </w:tr>
      <w:tr w:rsidR="00F053BA" w:rsidRPr="005C6ABD" w:rsidTr="003A5C2E">
        <w:trPr>
          <w:trHeight w:val="472"/>
        </w:trPr>
        <w:tc>
          <w:tcPr>
            <w:tcW w:w="5000" w:type="pct"/>
            <w:gridSpan w:val="9"/>
            <w:tcBorders>
              <w:top w:val="single" w:sz="4" w:space="0" w:color="auto"/>
              <w:bottom w:val="single" w:sz="4" w:space="0" w:color="auto"/>
            </w:tcBorders>
            <w:shd w:val="clear" w:color="auto" w:fill="C6D9F1" w:themeFill="text2" w:themeFillTint="33"/>
            <w:vAlign w:val="center"/>
          </w:tcPr>
          <w:p w:rsidR="00F053BA" w:rsidRPr="00F053BA" w:rsidRDefault="00F053BA" w:rsidP="00021681">
            <w:pPr>
              <w:keepNext/>
              <w:tabs>
                <w:tab w:val="left" w:pos="2019"/>
              </w:tabs>
              <w:ind w:left="2019" w:hanging="2019"/>
              <w:rPr>
                <w:rFonts w:cs="Arial"/>
                <w:b/>
                <w:bCs/>
                <w:sz w:val="16"/>
                <w:szCs w:val="16"/>
                <w:lang w:val="ru-RU"/>
              </w:rPr>
            </w:pPr>
            <w:r w:rsidRPr="00F053BA">
              <w:rPr>
                <w:b/>
                <w:sz w:val="16"/>
                <w:szCs w:val="16"/>
                <w:lang w:val="ru-RU"/>
              </w:rPr>
              <w:t>Ожидаемый результат:</w:t>
            </w:r>
            <w:r w:rsidRPr="00F053BA">
              <w:rPr>
                <w:sz w:val="16"/>
                <w:szCs w:val="16"/>
                <w:lang w:val="ru-RU"/>
              </w:rPr>
              <w:t xml:space="preserve"> </w:t>
            </w:r>
            <w:r w:rsidRPr="00F053BA">
              <w:rPr>
                <w:sz w:val="16"/>
                <w:szCs w:val="16"/>
                <w:lang w:val="ru-RU"/>
              </w:rPr>
              <w:tab/>
            </w:r>
            <w:r w:rsidRPr="000028C6">
              <w:rPr>
                <w:sz w:val="16"/>
                <w:szCs w:val="16"/>
              </w:rPr>
              <w:t>III</w:t>
            </w:r>
            <w:r w:rsidRPr="00F053BA">
              <w:rPr>
                <w:sz w:val="16"/>
                <w:szCs w:val="16"/>
                <w:lang w:val="ru-RU"/>
              </w:rPr>
              <w:t>.2. Улучшенный потенциал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F053BA" w:rsidRPr="000028C6" w:rsidTr="00F053BA">
        <w:tc>
          <w:tcPr>
            <w:tcW w:w="1098" w:type="pct"/>
            <w:tcBorders>
              <w:top w:val="single" w:sz="4" w:space="0" w:color="auto"/>
              <w:left w:val="single" w:sz="4" w:space="0" w:color="auto"/>
              <w:bottom w:val="nil"/>
            </w:tcBorders>
            <w:shd w:val="clear" w:color="auto" w:fill="auto"/>
            <w:vAlign w:val="center"/>
          </w:tcPr>
          <w:p w:rsidR="00F053BA" w:rsidRPr="000028C6" w:rsidRDefault="00F053BA" w:rsidP="00F053BA">
            <w:pPr>
              <w:keepNext/>
              <w:rPr>
                <w:rFonts w:cs="Arial"/>
                <w:sz w:val="16"/>
                <w:szCs w:val="16"/>
              </w:rPr>
            </w:pPr>
            <w:r w:rsidRPr="000028C6">
              <w:rPr>
                <w:b/>
                <w:sz w:val="16"/>
                <w:szCs w:val="16"/>
              </w:rPr>
              <w:t>Показатели результативности</w:t>
            </w:r>
          </w:p>
        </w:tc>
        <w:tc>
          <w:tcPr>
            <w:tcW w:w="1433" w:type="pct"/>
            <w:gridSpan w:val="2"/>
            <w:tcBorders>
              <w:top w:val="single" w:sz="4" w:space="0" w:color="auto"/>
              <w:bottom w:val="nil"/>
            </w:tcBorders>
            <w:shd w:val="clear" w:color="auto" w:fill="auto"/>
            <w:vAlign w:val="center"/>
          </w:tcPr>
          <w:p w:rsidR="00F053BA" w:rsidRPr="000028C6" w:rsidRDefault="00F053BA" w:rsidP="00F053BA">
            <w:pPr>
              <w:keepNext/>
              <w:rPr>
                <w:rFonts w:cs="Arial"/>
                <w:b/>
                <w:bCs/>
                <w:sz w:val="16"/>
                <w:szCs w:val="16"/>
              </w:rPr>
            </w:pPr>
            <w:r w:rsidRPr="000028C6">
              <w:rPr>
                <w:b/>
                <w:sz w:val="16"/>
                <w:szCs w:val="16"/>
              </w:rPr>
              <w:t>Базовые показатели</w:t>
            </w:r>
          </w:p>
        </w:tc>
        <w:tc>
          <w:tcPr>
            <w:tcW w:w="848" w:type="pct"/>
            <w:gridSpan w:val="2"/>
            <w:tcBorders>
              <w:top w:val="single" w:sz="4" w:space="0" w:color="auto"/>
              <w:bottom w:val="nil"/>
            </w:tcBorders>
            <w:shd w:val="clear" w:color="auto" w:fill="auto"/>
            <w:tcMar>
              <w:top w:w="110" w:type="dxa"/>
            </w:tcMar>
            <w:vAlign w:val="center"/>
          </w:tcPr>
          <w:p w:rsidR="00F053BA" w:rsidRPr="000028C6" w:rsidRDefault="00F053BA" w:rsidP="00F053BA">
            <w:pPr>
              <w:keepNext/>
              <w:rPr>
                <w:rFonts w:cs="Arial"/>
                <w:b/>
                <w:sz w:val="16"/>
                <w:szCs w:val="16"/>
              </w:rPr>
            </w:pPr>
            <w:r w:rsidRPr="000028C6">
              <w:rPr>
                <w:b/>
                <w:sz w:val="16"/>
                <w:szCs w:val="16"/>
              </w:rPr>
              <w:t>Цели</w:t>
            </w:r>
          </w:p>
        </w:tc>
        <w:tc>
          <w:tcPr>
            <w:tcW w:w="1095" w:type="pct"/>
            <w:gridSpan w:val="2"/>
            <w:tcBorders>
              <w:top w:val="single" w:sz="4" w:space="0" w:color="auto"/>
              <w:bottom w:val="nil"/>
            </w:tcBorders>
            <w:shd w:val="clear" w:color="auto" w:fill="FFFFFF"/>
            <w:tcMar>
              <w:top w:w="110" w:type="dxa"/>
            </w:tcMar>
            <w:vAlign w:val="center"/>
          </w:tcPr>
          <w:p w:rsidR="00F053BA" w:rsidRPr="000028C6" w:rsidRDefault="00F053BA" w:rsidP="00F053BA">
            <w:pPr>
              <w:keepNext/>
              <w:rPr>
                <w:rFonts w:cs="Arial"/>
                <w:sz w:val="16"/>
                <w:szCs w:val="16"/>
              </w:rPr>
            </w:pPr>
            <w:r w:rsidRPr="000028C6">
              <w:rPr>
                <w:b/>
                <w:sz w:val="16"/>
                <w:szCs w:val="16"/>
              </w:rPr>
              <w:t>Данные о результативности</w:t>
            </w:r>
          </w:p>
        </w:tc>
        <w:tc>
          <w:tcPr>
            <w:tcW w:w="526" w:type="pct"/>
            <w:gridSpan w:val="2"/>
            <w:tcBorders>
              <w:top w:val="single" w:sz="4" w:space="0" w:color="auto"/>
              <w:bottom w:val="nil"/>
              <w:right w:val="single" w:sz="4" w:space="0" w:color="auto"/>
            </w:tcBorders>
            <w:shd w:val="clear" w:color="auto" w:fill="auto"/>
            <w:tcMar>
              <w:top w:w="110" w:type="dxa"/>
            </w:tcMar>
            <w:vAlign w:val="center"/>
          </w:tcPr>
          <w:p w:rsidR="00F053BA" w:rsidRPr="000028C6" w:rsidRDefault="00F053BA" w:rsidP="00F053BA">
            <w:pPr>
              <w:keepNext/>
              <w:keepLines/>
              <w:jc w:val="center"/>
              <w:rPr>
                <w:rFonts w:cs="Arial"/>
                <w:b/>
                <w:bCs/>
                <w:sz w:val="16"/>
                <w:szCs w:val="16"/>
              </w:rPr>
            </w:pPr>
            <w:r w:rsidRPr="000028C6">
              <w:rPr>
                <w:b/>
                <w:sz w:val="16"/>
                <w:szCs w:val="16"/>
              </w:rPr>
              <w:t>CC</w:t>
            </w:r>
          </w:p>
        </w:tc>
      </w:tr>
      <w:tr w:rsidR="00F053BA" w:rsidRPr="000028C6" w:rsidTr="00F053BA">
        <w:tc>
          <w:tcPr>
            <w:tcW w:w="1098"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szCs w:val="16"/>
                <w:lang w:val="ru-RU"/>
              </w:rPr>
              <w:t>Число правительств и ОКУ, подписавших с ВОИС соглашение о разработке нового стандарта обеспечения качества в области транспарентности, подотчетности и управления</w:t>
            </w:r>
          </w:p>
        </w:tc>
        <w:tc>
          <w:tcPr>
            <w:tcW w:w="1433" w:type="pct"/>
            <w:gridSpan w:val="2"/>
            <w:tcBorders>
              <w:top w:val="nil"/>
              <w:bottom w:val="nil"/>
            </w:tcBorders>
            <w:shd w:val="clear" w:color="auto" w:fill="auto"/>
          </w:tcPr>
          <w:p w:rsidR="00F053BA" w:rsidRPr="000028C6" w:rsidRDefault="00F053BA" w:rsidP="00F053BA">
            <w:pPr>
              <w:keepNext/>
              <w:rPr>
                <w:rFonts w:cs="Arial"/>
                <w:sz w:val="16"/>
                <w:szCs w:val="16"/>
              </w:rPr>
            </w:pPr>
            <w:r w:rsidRPr="000028C6">
              <w:rPr>
                <w:sz w:val="16"/>
                <w:szCs w:val="16"/>
              </w:rPr>
              <w:t>Данные отсутствуют</w:t>
            </w:r>
          </w:p>
          <w:p w:rsidR="00F053BA" w:rsidRPr="000028C6" w:rsidRDefault="00F053BA" w:rsidP="00F053BA">
            <w:pPr>
              <w:rPr>
                <w:rFonts w:cs="Arial"/>
                <w:sz w:val="16"/>
                <w:szCs w:val="16"/>
              </w:rPr>
            </w:pPr>
          </w:p>
        </w:tc>
        <w:tc>
          <w:tcPr>
            <w:tcW w:w="848" w:type="pct"/>
            <w:gridSpan w:val="2"/>
            <w:tcBorders>
              <w:top w:val="nil"/>
              <w:bottom w:val="nil"/>
            </w:tcBorders>
            <w:shd w:val="clear" w:color="auto" w:fill="auto"/>
            <w:tcMar>
              <w:top w:w="110" w:type="dxa"/>
            </w:tcMar>
          </w:tcPr>
          <w:p w:rsidR="00F053BA" w:rsidRPr="000028C6" w:rsidRDefault="00F053BA" w:rsidP="00F053BA">
            <w:pPr>
              <w:rPr>
                <w:rFonts w:cs="Arial"/>
                <w:sz w:val="16"/>
                <w:szCs w:val="16"/>
              </w:rPr>
            </w:pPr>
            <w:r w:rsidRPr="000028C6">
              <w:rPr>
                <w:sz w:val="16"/>
                <w:szCs w:val="16"/>
              </w:rPr>
              <w:t>Правительства 4</w:t>
            </w:r>
            <w:r>
              <w:rPr>
                <w:sz w:val="16"/>
                <w:szCs w:val="16"/>
              </w:rPr>
              <w:t> </w:t>
            </w:r>
            <w:r w:rsidRPr="000028C6">
              <w:rPr>
                <w:sz w:val="16"/>
                <w:szCs w:val="16"/>
              </w:rPr>
              <w:t>стран и 6 ОКУ</w:t>
            </w:r>
          </w:p>
        </w:tc>
        <w:tc>
          <w:tcPr>
            <w:tcW w:w="1095" w:type="pct"/>
            <w:gridSpan w:val="2"/>
            <w:tcBorders>
              <w:top w:val="nil"/>
              <w:bottom w:val="nil"/>
            </w:tcBorders>
            <w:shd w:val="clear" w:color="auto" w:fill="FFFFFF"/>
            <w:tcMar>
              <w:top w:w="110" w:type="dxa"/>
            </w:tcMar>
          </w:tcPr>
          <w:p w:rsidR="00F053BA" w:rsidRPr="00F053BA" w:rsidRDefault="00F053BA" w:rsidP="00F053BA">
            <w:pPr>
              <w:rPr>
                <w:rFonts w:eastAsia="SimSun" w:cs="Arial"/>
                <w:sz w:val="16"/>
                <w:szCs w:val="16"/>
                <w:lang w:val="ru-RU"/>
              </w:rPr>
            </w:pPr>
            <w:r w:rsidRPr="00F053BA">
              <w:rPr>
                <w:sz w:val="16"/>
                <w:szCs w:val="16"/>
                <w:lang w:val="ru-RU"/>
              </w:rPr>
              <w:t xml:space="preserve">О своем интересе к проекту </w:t>
            </w:r>
            <w:r w:rsidRPr="000028C6">
              <w:rPr>
                <w:sz w:val="16"/>
                <w:szCs w:val="16"/>
              </w:rPr>
              <w:t>TAG</w:t>
            </w:r>
            <w:r w:rsidRPr="00F053BA">
              <w:rPr>
                <w:sz w:val="16"/>
                <w:szCs w:val="16"/>
                <w:lang w:val="ru-RU"/>
              </w:rPr>
              <w:t xml:space="preserve"> письменно заявили правительства 14</w:t>
            </w:r>
            <w:r>
              <w:rPr>
                <w:sz w:val="16"/>
                <w:szCs w:val="16"/>
              </w:rPr>
              <w:t> </w:t>
            </w:r>
            <w:r w:rsidRPr="00F053BA">
              <w:rPr>
                <w:sz w:val="16"/>
                <w:szCs w:val="16"/>
                <w:lang w:val="ru-RU"/>
              </w:rPr>
              <w:t>стран (Бангладеш, Камбоджа, Гамбия, Индонезия, Иордания, Либерия, Малайзия, Маврикий, Намибия, Непал, Нигерия, Филиппины, Шри-Ланка, Тринидад и Тобаго)</w:t>
            </w:r>
            <w:r w:rsidRPr="000028C6">
              <w:rPr>
                <w:rStyle w:val="FootnoteReference"/>
                <w:sz w:val="16"/>
                <w:szCs w:val="16"/>
              </w:rPr>
              <w:footnoteReference w:id="14"/>
            </w:r>
            <w:r w:rsidRPr="00F053BA">
              <w:rPr>
                <w:sz w:val="16"/>
                <w:szCs w:val="16"/>
                <w:lang w:val="ru-RU"/>
              </w:rPr>
              <w:t xml:space="preserve"> и 63 ОКУ.</w:t>
            </w:r>
          </w:p>
        </w:tc>
        <w:tc>
          <w:tcPr>
            <w:tcW w:w="526" w:type="pct"/>
            <w:gridSpan w:val="2"/>
            <w:tcBorders>
              <w:top w:val="nil"/>
              <w:bottom w:val="nil"/>
              <w:right w:val="single" w:sz="4" w:space="0" w:color="auto"/>
            </w:tcBorders>
            <w:shd w:val="clear" w:color="auto" w:fill="auto"/>
            <w:tcMar>
              <w:top w:w="110" w:type="dxa"/>
            </w:tcMar>
          </w:tcPr>
          <w:p w:rsidR="00F053BA" w:rsidRPr="000028C6" w:rsidRDefault="00F053BA" w:rsidP="00F053BA">
            <w:pPr>
              <w:jc w:val="center"/>
              <w:rPr>
                <w:rFonts w:cs="Arial"/>
                <w:bCs/>
                <w:color w:val="008000"/>
                <w:sz w:val="16"/>
                <w:szCs w:val="16"/>
              </w:rPr>
            </w:pPr>
            <w:r w:rsidRPr="000028C6">
              <w:rPr>
                <w:b/>
                <w:color w:val="00B050"/>
                <w:sz w:val="16"/>
                <w:szCs w:val="16"/>
              </w:rPr>
              <w:t>Выполнено</w:t>
            </w:r>
          </w:p>
        </w:tc>
      </w:tr>
      <w:tr w:rsidR="00F053BA" w:rsidRPr="000028C6" w:rsidTr="00F053BA">
        <w:tc>
          <w:tcPr>
            <w:tcW w:w="1098"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szCs w:val="16"/>
                <w:lang w:val="ru-RU"/>
              </w:rPr>
              <w:t>Доля (в %) авторов, выразивших удовлетворение результатами обучения по вопросам использования авторско-правовых данных и информации для эффективного управления их авторскими правами</w:t>
            </w:r>
          </w:p>
        </w:tc>
        <w:tc>
          <w:tcPr>
            <w:tcW w:w="1433" w:type="pct"/>
            <w:gridSpan w:val="2"/>
            <w:tcBorders>
              <w:top w:val="nil"/>
              <w:bottom w:val="nil"/>
            </w:tcBorders>
            <w:shd w:val="clear" w:color="auto" w:fill="auto"/>
          </w:tcPr>
          <w:p w:rsidR="00F053BA" w:rsidRPr="00F053BA" w:rsidRDefault="00F053BA" w:rsidP="00F053BA">
            <w:pPr>
              <w:keepNext/>
              <w:rPr>
                <w:rFonts w:cs="Arial"/>
                <w:i/>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 xml:space="preserve">г.:  </w:t>
            </w:r>
          </w:p>
          <w:p w:rsidR="00F053BA" w:rsidRPr="00F053BA" w:rsidRDefault="00F053BA" w:rsidP="00F053BA">
            <w:pPr>
              <w:keepNext/>
              <w:rPr>
                <w:rFonts w:cs="Arial"/>
                <w:i/>
                <w:sz w:val="16"/>
                <w:szCs w:val="16"/>
                <w:lang w:val="ru-RU"/>
              </w:rPr>
            </w:pPr>
          </w:p>
          <w:p w:rsidR="00F053BA" w:rsidRPr="00F053BA" w:rsidRDefault="00F053BA" w:rsidP="00F053BA">
            <w:pPr>
              <w:keepNext/>
              <w:rPr>
                <w:rFonts w:cs="Arial"/>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 xml:space="preserve"> деятельность еще не началась</w:t>
            </w:r>
          </w:p>
          <w:p w:rsidR="00F053BA" w:rsidRPr="00F053BA" w:rsidRDefault="00F053BA" w:rsidP="00F053BA">
            <w:pPr>
              <w:keepNext/>
              <w:rPr>
                <w:rFonts w:cs="Arial"/>
                <w:i/>
                <w:color w:val="002060"/>
                <w:sz w:val="16"/>
                <w:szCs w:val="16"/>
                <w:lang w:val="ru-RU"/>
              </w:rPr>
            </w:pPr>
          </w:p>
        </w:tc>
        <w:tc>
          <w:tcPr>
            <w:tcW w:w="848" w:type="pct"/>
            <w:gridSpan w:val="2"/>
            <w:tcBorders>
              <w:top w:val="nil"/>
              <w:bottom w:val="nil"/>
            </w:tcBorders>
            <w:shd w:val="clear" w:color="auto" w:fill="auto"/>
            <w:tcMar>
              <w:top w:w="110" w:type="dxa"/>
            </w:tcMar>
          </w:tcPr>
          <w:p w:rsidR="00F053BA" w:rsidRPr="000028C6" w:rsidRDefault="00F053BA" w:rsidP="00F053BA">
            <w:pPr>
              <w:rPr>
                <w:rFonts w:cs="Arial"/>
                <w:sz w:val="16"/>
                <w:szCs w:val="16"/>
              </w:rPr>
            </w:pPr>
            <w:r w:rsidRPr="000028C6">
              <w:rPr>
                <w:sz w:val="16"/>
                <w:szCs w:val="16"/>
              </w:rPr>
              <w:t>60%</w:t>
            </w:r>
          </w:p>
        </w:tc>
        <w:tc>
          <w:tcPr>
            <w:tcW w:w="1095" w:type="pct"/>
            <w:gridSpan w:val="2"/>
            <w:tcBorders>
              <w:top w:val="nil"/>
              <w:bottom w:val="nil"/>
            </w:tcBorders>
            <w:shd w:val="clear" w:color="auto" w:fill="FFFFFF"/>
            <w:tcMar>
              <w:top w:w="110" w:type="dxa"/>
            </w:tcMar>
          </w:tcPr>
          <w:p w:rsidR="00F053BA" w:rsidRPr="000028C6" w:rsidRDefault="00F053BA" w:rsidP="00F053BA">
            <w:pPr>
              <w:rPr>
                <w:rFonts w:eastAsia="SimSun" w:cs="Arial"/>
                <w:sz w:val="16"/>
                <w:szCs w:val="16"/>
              </w:rPr>
            </w:pPr>
            <w:r w:rsidRPr="000028C6">
              <w:rPr>
                <w:sz w:val="16"/>
                <w:szCs w:val="16"/>
              </w:rPr>
              <w:t>90%</w:t>
            </w:r>
          </w:p>
        </w:tc>
        <w:tc>
          <w:tcPr>
            <w:tcW w:w="526" w:type="pct"/>
            <w:gridSpan w:val="2"/>
            <w:tcBorders>
              <w:top w:val="nil"/>
              <w:bottom w:val="nil"/>
              <w:right w:val="single" w:sz="4" w:space="0" w:color="auto"/>
            </w:tcBorders>
            <w:shd w:val="clear" w:color="auto" w:fill="auto"/>
            <w:tcMar>
              <w:top w:w="110" w:type="dxa"/>
            </w:tcMar>
          </w:tcPr>
          <w:p w:rsidR="00F053BA" w:rsidRPr="000028C6" w:rsidRDefault="00F053BA" w:rsidP="00F053BA">
            <w:pPr>
              <w:jc w:val="center"/>
              <w:rPr>
                <w:rFonts w:cs="Arial"/>
                <w:b/>
                <w:bCs/>
                <w:color w:val="00B050"/>
                <w:sz w:val="16"/>
                <w:szCs w:val="16"/>
              </w:rPr>
            </w:pPr>
            <w:r w:rsidRPr="000028C6">
              <w:rPr>
                <w:b/>
                <w:color w:val="00B050"/>
                <w:sz w:val="16"/>
                <w:szCs w:val="16"/>
              </w:rPr>
              <w:t>Выполнено</w:t>
            </w:r>
          </w:p>
        </w:tc>
      </w:tr>
      <w:tr w:rsidR="00F053BA" w:rsidRPr="000028C6" w:rsidTr="00F053BA">
        <w:tc>
          <w:tcPr>
            <w:tcW w:w="1098" w:type="pct"/>
            <w:tcBorders>
              <w:top w:val="nil"/>
              <w:left w:val="single" w:sz="4" w:space="0" w:color="auto"/>
              <w:bottom w:val="single" w:sz="4" w:space="0" w:color="auto"/>
            </w:tcBorders>
            <w:shd w:val="clear" w:color="auto" w:fill="auto"/>
          </w:tcPr>
          <w:p w:rsidR="00F053BA" w:rsidRPr="00F053BA" w:rsidRDefault="00F053BA" w:rsidP="00F053BA">
            <w:pPr>
              <w:rPr>
                <w:rFonts w:cs="Arial"/>
                <w:sz w:val="16"/>
                <w:szCs w:val="16"/>
                <w:lang w:val="ru-RU"/>
              </w:rPr>
            </w:pPr>
            <w:r w:rsidRPr="00F053BA">
              <w:rPr>
                <w:sz w:val="16"/>
                <w:szCs w:val="16"/>
                <w:lang w:val="ru-RU"/>
              </w:rPr>
              <w:t>Доля (%) положительных оценок участников, свидетельствующих о целесообразности проведения совещаний и семинаров по укреплению потенциала в области авторского права</w:t>
            </w:r>
          </w:p>
        </w:tc>
        <w:tc>
          <w:tcPr>
            <w:tcW w:w="1433" w:type="pct"/>
            <w:gridSpan w:val="2"/>
            <w:tcBorders>
              <w:top w:val="nil"/>
              <w:bottom w:val="single" w:sz="4" w:space="0" w:color="auto"/>
            </w:tcBorders>
            <w:shd w:val="clear" w:color="auto" w:fill="auto"/>
          </w:tcPr>
          <w:p w:rsidR="00F053BA" w:rsidRPr="00F053BA" w:rsidRDefault="00F053BA" w:rsidP="00F053BA">
            <w:pPr>
              <w:keepNext/>
              <w:rPr>
                <w:rFonts w:cs="Arial"/>
                <w:i/>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 xml:space="preserve">г.:  </w:t>
            </w:r>
            <w:r w:rsidRPr="00F053BA">
              <w:rPr>
                <w:color w:val="002060"/>
                <w:sz w:val="16"/>
                <w:szCs w:val="16"/>
                <w:lang w:val="ru-RU"/>
              </w:rPr>
              <w:t>более 80% участников программ укрепления потенциала в области авторского права и смежных прав признали такое обучение полезным.</w:t>
            </w:r>
          </w:p>
          <w:p w:rsidR="00F053BA" w:rsidRPr="00F053BA" w:rsidRDefault="00F053BA" w:rsidP="00F053BA">
            <w:pPr>
              <w:keepNext/>
              <w:rPr>
                <w:rFonts w:cs="Arial"/>
                <w:i/>
                <w:sz w:val="16"/>
                <w:szCs w:val="16"/>
                <w:lang w:val="ru-RU"/>
              </w:rPr>
            </w:pPr>
          </w:p>
          <w:p w:rsidR="00F053BA" w:rsidRPr="00F053BA" w:rsidRDefault="00F053BA" w:rsidP="00F053BA">
            <w:pPr>
              <w:keepNext/>
              <w:rPr>
                <w:rFonts w:cs="Arial"/>
                <w:i/>
                <w:color w:val="002060"/>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 xml:space="preserve"> 70% отзывов с оценкой «удовлетворительно»</w:t>
            </w:r>
          </w:p>
        </w:tc>
        <w:tc>
          <w:tcPr>
            <w:tcW w:w="848" w:type="pct"/>
            <w:gridSpan w:val="2"/>
            <w:tcBorders>
              <w:top w:val="nil"/>
              <w:bottom w:val="single" w:sz="4" w:space="0" w:color="auto"/>
            </w:tcBorders>
            <w:shd w:val="clear" w:color="auto" w:fill="auto"/>
            <w:tcMar>
              <w:top w:w="110" w:type="dxa"/>
            </w:tcMar>
          </w:tcPr>
          <w:p w:rsidR="00F053BA" w:rsidRPr="000028C6" w:rsidRDefault="00F053BA" w:rsidP="00F053BA">
            <w:pPr>
              <w:rPr>
                <w:rFonts w:cs="Arial"/>
                <w:sz w:val="16"/>
                <w:szCs w:val="16"/>
              </w:rPr>
            </w:pPr>
            <w:r w:rsidRPr="000028C6">
              <w:rPr>
                <w:sz w:val="16"/>
                <w:szCs w:val="16"/>
              </w:rPr>
              <w:t>70 % поддерживают или решительно поддерживают</w:t>
            </w:r>
          </w:p>
        </w:tc>
        <w:tc>
          <w:tcPr>
            <w:tcW w:w="1095" w:type="pct"/>
            <w:gridSpan w:val="2"/>
            <w:tcBorders>
              <w:top w:val="nil"/>
              <w:bottom w:val="single" w:sz="4" w:space="0" w:color="auto"/>
            </w:tcBorders>
            <w:shd w:val="clear" w:color="auto" w:fill="FFFFFF"/>
            <w:tcMar>
              <w:top w:w="110" w:type="dxa"/>
            </w:tcMar>
          </w:tcPr>
          <w:p w:rsidR="00F053BA" w:rsidRPr="00F053BA" w:rsidRDefault="00F053BA" w:rsidP="00F053BA">
            <w:pPr>
              <w:rPr>
                <w:rFonts w:eastAsia="SimSun" w:cs="Arial"/>
                <w:sz w:val="16"/>
                <w:szCs w:val="16"/>
                <w:lang w:val="ru-RU"/>
              </w:rPr>
            </w:pPr>
            <w:r w:rsidRPr="00F053BA">
              <w:rPr>
                <w:sz w:val="16"/>
                <w:szCs w:val="16"/>
                <w:lang w:val="ru-RU"/>
              </w:rPr>
              <w:t>Согласны или совершенно согласны более 80% участников</w:t>
            </w:r>
          </w:p>
        </w:tc>
        <w:tc>
          <w:tcPr>
            <w:tcW w:w="526" w:type="pct"/>
            <w:gridSpan w:val="2"/>
            <w:tcBorders>
              <w:top w:val="nil"/>
              <w:bottom w:val="single" w:sz="4" w:space="0" w:color="auto"/>
              <w:right w:val="single" w:sz="4" w:space="0" w:color="auto"/>
            </w:tcBorders>
            <w:shd w:val="clear" w:color="auto" w:fill="auto"/>
            <w:tcMar>
              <w:top w:w="110" w:type="dxa"/>
            </w:tcMar>
          </w:tcPr>
          <w:p w:rsidR="00F053BA" w:rsidRPr="000028C6" w:rsidRDefault="00F053BA" w:rsidP="00F053BA">
            <w:pPr>
              <w:jc w:val="center"/>
              <w:rPr>
                <w:rFonts w:cs="Arial"/>
                <w:b/>
                <w:bCs/>
                <w:color w:val="00B050"/>
                <w:sz w:val="16"/>
                <w:szCs w:val="16"/>
              </w:rPr>
            </w:pPr>
            <w:r w:rsidRPr="000028C6">
              <w:rPr>
                <w:b/>
                <w:color w:val="00B050"/>
                <w:sz w:val="16"/>
                <w:szCs w:val="16"/>
              </w:rPr>
              <w:t>Выполнено</w:t>
            </w:r>
          </w:p>
        </w:tc>
      </w:tr>
      <w:tr w:rsidR="00F053BA" w:rsidRPr="000028C6" w:rsidTr="003A5C2E">
        <w:tc>
          <w:tcPr>
            <w:tcW w:w="1098" w:type="pct"/>
            <w:tcBorders>
              <w:top w:val="single" w:sz="4" w:space="0" w:color="auto"/>
              <w:left w:val="single" w:sz="4" w:space="0" w:color="auto"/>
              <w:bottom w:val="single" w:sz="4" w:space="0" w:color="auto"/>
            </w:tcBorders>
            <w:shd w:val="clear" w:color="auto" w:fill="auto"/>
          </w:tcPr>
          <w:p w:rsidR="00F053BA" w:rsidRPr="00F053BA" w:rsidRDefault="00F053BA" w:rsidP="00F053BA">
            <w:pPr>
              <w:keepNext/>
              <w:rPr>
                <w:rFonts w:cs="Arial"/>
                <w:sz w:val="16"/>
                <w:szCs w:val="16"/>
                <w:lang w:val="ru-RU"/>
              </w:rPr>
            </w:pPr>
            <w:r w:rsidRPr="00F053BA">
              <w:rPr>
                <w:sz w:val="16"/>
                <w:szCs w:val="16"/>
                <w:lang w:val="ru-RU"/>
              </w:rPr>
              <w:t>Число государств-членов, реализующих инициативы по совершенствованию путей использования системы авторского права с целью реализации экономического потенциала произведений и изделий в области культуры</w:t>
            </w:r>
          </w:p>
          <w:p w:rsidR="00F053BA" w:rsidRPr="00F053BA" w:rsidRDefault="00F053BA" w:rsidP="00F053BA">
            <w:pPr>
              <w:keepNext/>
              <w:rPr>
                <w:rFonts w:cs="Arial"/>
                <w:sz w:val="16"/>
                <w:szCs w:val="16"/>
                <w:lang w:val="ru-RU"/>
              </w:rPr>
            </w:pPr>
          </w:p>
        </w:tc>
        <w:tc>
          <w:tcPr>
            <w:tcW w:w="1433" w:type="pct"/>
            <w:gridSpan w:val="2"/>
            <w:tcBorders>
              <w:top w:val="single" w:sz="4" w:space="0" w:color="auto"/>
              <w:bottom w:val="single" w:sz="4" w:space="0" w:color="auto"/>
            </w:tcBorders>
            <w:shd w:val="clear" w:color="auto" w:fill="auto"/>
          </w:tcPr>
          <w:p w:rsidR="00F053BA" w:rsidRPr="00F053BA" w:rsidRDefault="00F053BA" w:rsidP="00F053BA">
            <w:pPr>
              <w:keepNext/>
              <w:rPr>
                <w:rFonts w:cs="Arial"/>
                <w:i/>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 xml:space="preserve">г.: </w:t>
            </w:r>
            <w:r w:rsidRPr="00F053BA">
              <w:rPr>
                <w:color w:val="002060"/>
                <w:sz w:val="16"/>
                <w:szCs w:val="16"/>
                <w:lang w:val="ru-RU"/>
              </w:rPr>
              <w:t>60% стран, получивших помощь</w:t>
            </w:r>
            <w:r w:rsidRPr="00F053BA">
              <w:rPr>
                <w:i/>
                <w:color w:val="002060"/>
                <w:sz w:val="16"/>
                <w:szCs w:val="16"/>
                <w:lang w:val="ru-RU"/>
              </w:rPr>
              <w:t xml:space="preserve"> </w:t>
            </w:r>
          </w:p>
          <w:p w:rsidR="00F053BA" w:rsidRPr="00F053BA" w:rsidRDefault="00F053BA" w:rsidP="00F053BA">
            <w:pPr>
              <w:keepNext/>
              <w:rPr>
                <w:rFonts w:cs="Arial"/>
                <w:i/>
                <w:sz w:val="16"/>
                <w:szCs w:val="16"/>
                <w:lang w:val="ru-RU"/>
              </w:rPr>
            </w:pPr>
          </w:p>
          <w:p w:rsidR="00F053BA" w:rsidRPr="00F053BA" w:rsidRDefault="00F053BA" w:rsidP="00F053BA">
            <w:pPr>
              <w:keepNext/>
              <w:rPr>
                <w:rFonts w:cs="Arial"/>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 xml:space="preserve"> 60% стран, подавших запрос на получение технической помощи</w:t>
            </w:r>
          </w:p>
          <w:p w:rsidR="00F053BA" w:rsidRPr="00F053BA" w:rsidRDefault="00F053BA" w:rsidP="00F053BA">
            <w:pPr>
              <w:keepNext/>
              <w:rPr>
                <w:rFonts w:cs="Arial"/>
                <w:i/>
                <w:color w:val="002060"/>
                <w:sz w:val="16"/>
                <w:szCs w:val="16"/>
                <w:lang w:val="ru-RU"/>
              </w:rPr>
            </w:pPr>
          </w:p>
        </w:tc>
        <w:tc>
          <w:tcPr>
            <w:tcW w:w="848" w:type="pct"/>
            <w:gridSpan w:val="2"/>
            <w:tcBorders>
              <w:top w:val="single" w:sz="4" w:space="0" w:color="auto"/>
              <w:bottom w:val="single" w:sz="4" w:space="0" w:color="auto"/>
            </w:tcBorders>
            <w:shd w:val="clear" w:color="auto" w:fill="auto"/>
            <w:tcMar>
              <w:top w:w="110" w:type="dxa"/>
            </w:tcMar>
          </w:tcPr>
          <w:p w:rsidR="00F053BA" w:rsidRPr="000028C6" w:rsidRDefault="00F053BA" w:rsidP="00F053BA">
            <w:pPr>
              <w:rPr>
                <w:rFonts w:cs="Arial"/>
                <w:sz w:val="16"/>
                <w:szCs w:val="16"/>
              </w:rPr>
            </w:pPr>
            <w:r w:rsidRPr="000028C6">
              <w:rPr>
                <w:sz w:val="16"/>
                <w:szCs w:val="16"/>
              </w:rPr>
              <w:t>60% стран, получивших помощь</w:t>
            </w:r>
          </w:p>
        </w:tc>
        <w:tc>
          <w:tcPr>
            <w:tcW w:w="1095" w:type="pct"/>
            <w:gridSpan w:val="2"/>
            <w:tcBorders>
              <w:top w:val="single" w:sz="4" w:space="0" w:color="auto"/>
              <w:bottom w:val="single" w:sz="4" w:space="0" w:color="auto"/>
            </w:tcBorders>
            <w:shd w:val="clear" w:color="auto" w:fill="FFFFFF"/>
            <w:tcMar>
              <w:top w:w="110" w:type="dxa"/>
            </w:tcMar>
          </w:tcPr>
          <w:p w:rsidR="00F053BA" w:rsidRPr="000028C6" w:rsidRDefault="00F053BA" w:rsidP="00F053BA">
            <w:pPr>
              <w:rPr>
                <w:rFonts w:eastAsia="SimSun" w:cs="Arial"/>
                <w:sz w:val="16"/>
                <w:szCs w:val="16"/>
              </w:rPr>
            </w:pPr>
            <w:r w:rsidRPr="000028C6">
              <w:rPr>
                <w:sz w:val="16"/>
                <w:szCs w:val="16"/>
              </w:rPr>
              <w:t>более 60%</w:t>
            </w:r>
          </w:p>
        </w:tc>
        <w:tc>
          <w:tcPr>
            <w:tcW w:w="526" w:type="pct"/>
            <w:gridSpan w:val="2"/>
            <w:tcBorders>
              <w:top w:val="single" w:sz="4" w:space="0" w:color="auto"/>
              <w:bottom w:val="single" w:sz="4" w:space="0" w:color="auto"/>
              <w:right w:val="single" w:sz="4" w:space="0" w:color="auto"/>
            </w:tcBorders>
            <w:shd w:val="clear" w:color="auto" w:fill="auto"/>
            <w:tcMar>
              <w:top w:w="110" w:type="dxa"/>
            </w:tcMar>
          </w:tcPr>
          <w:p w:rsidR="00F053BA" w:rsidRPr="000028C6" w:rsidRDefault="00F053BA" w:rsidP="00F053BA">
            <w:pPr>
              <w:jc w:val="center"/>
              <w:rPr>
                <w:rFonts w:cs="Arial"/>
                <w:b/>
                <w:bCs/>
                <w:color w:val="00B050"/>
                <w:sz w:val="16"/>
                <w:szCs w:val="16"/>
              </w:rPr>
            </w:pPr>
            <w:r w:rsidRPr="000028C6">
              <w:rPr>
                <w:b/>
                <w:color w:val="00B050"/>
                <w:sz w:val="16"/>
                <w:szCs w:val="16"/>
              </w:rPr>
              <w:t>Выполнено</w:t>
            </w:r>
          </w:p>
        </w:tc>
      </w:tr>
      <w:tr w:rsidR="00F053BA" w:rsidRPr="005C6ABD" w:rsidTr="003A5C2E">
        <w:trPr>
          <w:trHeight w:val="526"/>
        </w:trPr>
        <w:tc>
          <w:tcPr>
            <w:tcW w:w="5000" w:type="pct"/>
            <w:gridSpan w:val="9"/>
            <w:tcBorders>
              <w:top w:val="single" w:sz="4" w:space="0" w:color="auto"/>
              <w:bottom w:val="single" w:sz="4" w:space="0" w:color="auto"/>
            </w:tcBorders>
            <w:shd w:val="clear" w:color="auto" w:fill="C6D9F1" w:themeFill="text2" w:themeFillTint="33"/>
            <w:vAlign w:val="center"/>
          </w:tcPr>
          <w:p w:rsidR="00F053BA" w:rsidRPr="00F053BA" w:rsidRDefault="00F053BA" w:rsidP="003A5C2E">
            <w:pPr>
              <w:keepNext/>
              <w:keepLines/>
              <w:tabs>
                <w:tab w:val="left" w:pos="2302"/>
              </w:tabs>
              <w:ind w:left="2302" w:hanging="2302"/>
              <w:rPr>
                <w:rFonts w:cs="Arial"/>
                <w:b/>
                <w:bCs/>
                <w:sz w:val="16"/>
                <w:szCs w:val="16"/>
                <w:lang w:val="ru-RU"/>
              </w:rPr>
            </w:pPr>
            <w:r w:rsidRPr="00F053BA">
              <w:rPr>
                <w:b/>
                <w:sz w:val="16"/>
                <w:szCs w:val="16"/>
                <w:lang w:val="ru-RU"/>
              </w:rPr>
              <w:t>Ожидаемый результат:</w:t>
            </w:r>
            <w:r w:rsidRPr="00F053BA">
              <w:rPr>
                <w:sz w:val="16"/>
                <w:szCs w:val="16"/>
                <w:lang w:val="ru-RU"/>
              </w:rPr>
              <w:t xml:space="preserve"> </w:t>
            </w:r>
            <w:r w:rsidRPr="00F053BA">
              <w:rPr>
                <w:sz w:val="16"/>
                <w:szCs w:val="16"/>
                <w:lang w:val="ru-RU"/>
              </w:rPr>
              <w:tab/>
            </w:r>
            <w:r w:rsidRPr="000028C6">
              <w:rPr>
                <w:sz w:val="16"/>
                <w:szCs w:val="16"/>
              </w:rPr>
              <w:t>IV</w:t>
            </w:r>
            <w:r w:rsidR="003A5C2E">
              <w:rPr>
                <w:sz w:val="16"/>
                <w:szCs w:val="16"/>
                <w:lang w:val="ru-RU"/>
              </w:rPr>
              <w:t xml:space="preserve">.2  </w:t>
            </w:r>
            <w:r w:rsidRPr="00F053BA">
              <w:rPr>
                <w:sz w:val="16"/>
                <w:szCs w:val="16"/>
                <w:lang w:val="ru-RU"/>
              </w:rPr>
              <w:t xml:space="preserve">Расширенный доступ учреждений ИС и широкой </w:t>
            </w:r>
            <w:r w:rsidR="003A5C2E">
              <w:rPr>
                <w:sz w:val="16"/>
                <w:szCs w:val="16"/>
                <w:lang w:val="ru-RU"/>
              </w:rPr>
              <w:t xml:space="preserve">общественности к информации в </w:t>
            </w:r>
            <w:r w:rsidRPr="00F053BA">
              <w:rPr>
                <w:sz w:val="16"/>
                <w:szCs w:val="16"/>
                <w:lang w:val="ru-RU"/>
              </w:rPr>
              <w:t>области ИС и активное использование такой информаци</w:t>
            </w:r>
            <w:r w:rsidR="003A5C2E">
              <w:rPr>
                <w:sz w:val="16"/>
                <w:szCs w:val="16"/>
                <w:lang w:val="ru-RU"/>
              </w:rPr>
              <w:t xml:space="preserve">и в целях поощрения инноваций </w:t>
            </w:r>
            <w:r w:rsidRPr="00F053BA">
              <w:rPr>
                <w:sz w:val="16"/>
                <w:szCs w:val="16"/>
                <w:lang w:val="ru-RU"/>
              </w:rPr>
              <w:t>и творчества</w:t>
            </w:r>
          </w:p>
        </w:tc>
      </w:tr>
      <w:tr w:rsidR="00F053BA" w:rsidRPr="003A5C2E" w:rsidTr="00F053BA">
        <w:tc>
          <w:tcPr>
            <w:tcW w:w="1098" w:type="pct"/>
            <w:tcBorders>
              <w:top w:val="single" w:sz="4" w:space="0" w:color="auto"/>
              <w:left w:val="single" w:sz="4" w:space="0" w:color="auto"/>
              <w:bottom w:val="nil"/>
            </w:tcBorders>
            <w:shd w:val="clear" w:color="auto" w:fill="auto"/>
            <w:vAlign w:val="center"/>
          </w:tcPr>
          <w:p w:rsidR="00F053BA" w:rsidRPr="003A5C2E" w:rsidRDefault="00F053BA" w:rsidP="00F053BA">
            <w:pPr>
              <w:keepNext/>
              <w:keepLines/>
              <w:rPr>
                <w:rFonts w:cs="Arial"/>
                <w:sz w:val="16"/>
                <w:szCs w:val="16"/>
                <w:lang w:val="ru-RU"/>
              </w:rPr>
            </w:pPr>
            <w:r w:rsidRPr="003A5C2E">
              <w:rPr>
                <w:b/>
                <w:sz w:val="16"/>
                <w:szCs w:val="16"/>
                <w:lang w:val="ru-RU"/>
              </w:rPr>
              <w:t>Показатели результативности</w:t>
            </w:r>
          </w:p>
        </w:tc>
        <w:tc>
          <w:tcPr>
            <w:tcW w:w="1433" w:type="pct"/>
            <w:gridSpan w:val="2"/>
            <w:tcBorders>
              <w:top w:val="single" w:sz="4" w:space="0" w:color="auto"/>
              <w:bottom w:val="nil"/>
            </w:tcBorders>
            <w:shd w:val="clear" w:color="auto" w:fill="auto"/>
            <w:vAlign w:val="center"/>
          </w:tcPr>
          <w:p w:rsidR="00F053BA" w:rsidRPr="003A5C2E" w:rsidRDefault="00F053BA" w:rsidP="00F053BA">
            <w:pPr>
              <w:keepNext/>
              <w:keepLines/>
              <w:rPr>
                <w:rFonts w:cs="Arial"/>
                <w:b/>
                <w:bCs/>
                <w:sz w:val="16"/>
                <w:szCs w:val="16"/>
                <w:lang w:val="ru-RU"/>
              </w:rPr>
            </w:pPr>
            <w:r w:rsidRPr="003A5C2E">
              <w:rPr>
                <w:b/>
                <w:sz w:val="16"/>
                <w:szCs w:val="16"/>
                <w:lang w:val="ru-RU"/>
              </w:rPr>
              <w:t>Базовые показатели</w:t>
            </w:r>
          </w:p>
        </w:tc>
        <w:tc>
          <w:tcPr>
            <w:tcW w:w="848" w:type="pct"/>
            <w:gridSpan w:val="2"/>
            <w:tcBorders>
              <w:top w:val="single" w:sz="4" w:space="0" w:color="auto"/>
              <w:bottom w:val="nil"/>
            </w:tcBorders>
            <w:shd w:val="clear" w:color="auto" w:fill="auto"/>
            <w:tcMar>
              <w:top w:w="110" w:type="dxa"/>
            </w:tcMar>
            <w:vAlign w:val="center"/>
          </w:tcPr>
          <w:p w:rsidR="00F053BA" w:rsidRPr="003A5C2E" w:rsidRDefault="00F053BA" w:rsidP="00F053BA">
            <w:pPr>
              <w:keepNext/>
              <w:keepLines/>
              <w:rPr>
                <w:rFonts w:cs="Arial"/>
                <w:b/>
                <w:sz w:val="16"/>
                <w:szCs w:val="16"/>
                <w:lang w:val="ru-RU"/>
              </w:rPr>
            </w:pPr>
            <w:r w:rsidRPr="003A5C2E">
              <w:rPr>
                <w:b/>
                <w:sz w:val="16"/>
                <w:szCs w:val="16"/>
                <w:lang w:val="ru-RU"/>
              </w:rPr>
              <w:t>Цели</w:t>
            </w:r>
          </w:p>
        </w:tc>
        <w:tc>
          <w:tcPr>
            <w:tcW w:w="1095" w:type="pct"/>
            <w:gridSpan w:val="2"/>
            <w:tcBorders>
              <w:top w:val="single" w:sz="4" w:space="0" w:color="auto"/>
              <w:bottom w:val="nil"/>
            </w:tcBorders>
            <w:shd w:val="clear" w:color="auto" w:fill="FFFFFF"/>
            <w:tcMar>
              <w:top w:w="110" w:type="dxa"/>
            </w:tcMar>
            <w:vAlign w:val="center"/>
          </w:tcPr>
          <w:p w:rsidR="00F053BA" w:rsidRPr="003A5C2E" w:rsidRDefault="00F053BA" w:rsidP="00F053BA">
            <w:pPr>
              <w:keepNext/>
              <w:keepLines/>
              <w:rPr>
                <w:rFonts w:cs="Arial"/>
                <w:sz w:val="16"/>
                <w:szCs w:val="16"/>
                <w:lang w:val="ru-RU"/>
              </w:rPr>
            </w:pPr>
            <w:r w:rsidRPr="003A5C2E">
              <w:rPr>
                <w:b/>
                <w:sz w:val="16"/>
                <w:szCs w:val="16"/>
                <w:lang w:val="ru-RU"/>
              </w:rPr>
              <w:t>Данные о результативности</w:t>
            </w:r>
          </w:p>
        </w:tc>
        <w:tc>
          <w:tcPr>
            <w:tcW w:w="526" w:type="pct"/>
            <w:gridSpan w:val="2"/>
            <w:tcBorders>
              <w:top w:val="single" w:sz="4" w:space="0" w:color="auto"/>
              <w:bottom w:val="nil"/>
              <w:right w:val="single" w:sz="4" w:space="0" w:color="auto"/>
            </w:tcBorders>
            <w:shd w:val="clear" w:color="auto" w:fill="auto"/>
            <w:tcMar>
              <w:top w:w="110" w:type="dxa"/>
            </w:tcMar>
            <w:vAlign w:val="center"/>
          </w:tcPr>
          <w:p w:rsidR="00F053BA" w:rsidRPr="003A5C2E" w:rsidRDefault="00F053BA" w:rsidP="00F053BA">
            <w:pPr>
              <w:keepNext/>
              <w:keepLines/>
              <w:jc w:val="center"/>
              <w:rPr>
                <w:rFonts w:cs="Arial"/>
                <w:b/>
                <w:bCs/>
                <w:sz w:val="16"/>
                <w:szCs w:val="16"/>
                <w:lang w:val="ru-RU"/>
              </w:rPr>
            </w:pPr>
            <w:r w:rsidRPr="000028C6">
              <w:rPr>
                <w:b/>
                <w:sz w:val="16"/>
                <w:szCs w:val="16"/>
              </w:rPr>
              <w:t>CC</w:t>
            </w:r>
          </w:p>
        </w:tc>
      </w:tr>
      <w:tr w:rsidR="00F053BA" w:rsidRPr="000028C6" w:rsidTr="00F053BA">
        <w:trPr>
          <w:gridAfter w:val="1"/>
          <w:wAfter w:w="8" w:type="pct"/>
          <w:trHeight w:val="2266"/>
        </w:trPr>
        <w:tc>
          <w:tcPr>
            <w:tcW w:w="1098" w:type="pct"/>
            <w:tcBorders>
              <w:top w:val="nil"/>
              <w:left w:val="single" w:sz="4" w:space="0" w:color="auto"/>
              <w:bottom w:val="nil"/>
            </w:tcBorders>
            <w:shd w:val="clear" w:color="auto" w:fill="auto"/>
          </w:tcPr>
          <w:p w:rsidR="00F053BA" w:rsidRPr="00F053BA" w:rsidRDefault="00F053BA" w:rsidP="00F053BA">
            <w:pPr>
              <w:rPr>
                <w:rFonts w:cs="Arial"/>
                <w:color w:val="000000"/>
                <w:sz w:val="16"/>
                <w:szCs w:val="16"/>
                <w:lang w:val="ru-RU"/>
              </w:rPr>
            </w:pPr>
            <w:r w:rsidRPr="00F053BA">
              <w:rPr>
                <w:color w:val="000000"/>
                <w:sz w:val="16"/>
                <w:szCs w:val="16"/>
                <w:lang w:val="ru-RU"/>
              </w:rPr>
              <w:t xml:space="preserve">Число доверенных посредников (ДП) и правообладателей (ПО), в том числе из развивающихся стран и НРС, ставших участниками сети </w:t>
            </w:r>
            <w:r w:rsidRPr="000028C6">
              <w:rPr>
                <w:color w:val="000000"/>
                <w:sz w:val="16"/>
                <w:szCs w:val="16"/>
              </w:rPr>
              <w:t>TIGAR</w:t>
            </w:r>
          </w:p>
        </w:tc>
        <w:tc>
          <w:tcPr>
            <w:tcW w:w="1430" w:type="pct"/>
            <w:tcBorders>
              <w:top w:val="nil"/>
              <w:bottom w:val="nil"/>
            </w:tcBorders>
            <w:shd w:val="clear" w:color="auto" w:fill="auto"/>
          </w:tcPr>
          <w:p w:rsidR="00F053BA" w:rsidRPr="00F053BA" w:rsidRDefault="00F053BA" w:rsidP="00F053BA">
            <w:pPr>
              <w:keepNext/>
              <w:rPr>
                <w:rFonts w:cs="Arial"/>
                <w:i/>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 xml:space="preserve">г.:  </w:t>
            </w:r>
            <w:r w:rsidRPr="00F053BA">
              <w:rPr>
                <w:sz w:val="16"/>
                <w:szCs w:val="16"/>
                <w:lang w:val="ru-RU"/>
              </w:rPr>
              <w:t xml:space="preserve"> </w:t>
            </w:r>
            <w:r w:rsidRPr="00F053BA">
              <w:rPr>
                <w:color w:val="002060"/>
                <w:sz w:val="16"/>
                <w:szCs w:val="16"/>
                <w:lang w:val="ru-RU"/>
              </w:rPr>
              <w:t xml:space="preserve">к концу 2013 г. Меморандум о взаимопонимании </w:t>
            </w:r>
            <w:r w:rsidRPr="000028C6">
              <w:rPr>
                <w:color w:val="002060"/>
                <w:sz w:val="16"/>
                <w:szCs w:val="16"/>
              </w:rPr>
              <w:t>TIGAR</w:t>
            </w:r>
            <w:r w:rsidRPr="00F053BA">
              <w:rPr>
                <w:color w:val="002060"/>
                <w:sz w:val="16"/>
                <w:szCs w:val="16"/>
                <w:lang w:val="ru-RU"/>
              </w:rPr>
              <w:t xml:space="preserve"> подписали 25 ДП и 45 ПО, включая ДП из развивающихся и наименее развитых стран.  К концу 2013 г. книги в доступных форматах в базу данных </w:t>
            </w:r>
            <w:r w:rsidRPr="000028C6">
              <w:rPr>
                <w:color w:val="002060"/>
                <w:sz w:val="16"/>
                <w:szCs w:val="16"/>
              </w:rPr>
              <w:t>TIGAR</w:t>
            </w:r>
            <w:r w:rsidRPr="00F053BA">
              <w:rPr>
                <w:color w:val="002060"/>
                <w:sz w:val="16"/>
                <w:szCs w:val="16"/>
                <w:lang w:val="ru-RU"/>
              </w:rPr>
              <w:t xml:space="preserve"> загрузили одиннадцать ДП.</w:t>
            </w:r>
          </w:p>
          <w:p w:rsidR="00F053BA" w:rsidRPr="00F053BA" w:rsidRDefault="00F053BA" w:rsidP="00F053BA">
            <w:pPr>
              <w:keepNext/>
              <w:rPr>
                <w:rFonts w:cs="Arial"/>
                <w:i/>
                <w:sz w:val="16"/>
                <w:szCs w:val="16"/>
                <w:lang w:val="ru-RU"/>
              </w:rPr>
            </w:pPr>
          </w:p>
          <w:p w:rsidR="00F053BA" w:rsidRPr="00F053BA" w:rsidRDefault="00F053BA" w:rsidP="00F053BA">
            <w:pPr>
              <w:rPr>
                <w:rFonts w:cs="Arial"/>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 xml:space="preserve"> 19 ДП и 40 ВП</w:t>
            </w:r>
          </w:p>
        </w:tc>
        <w:tc>
          <w:tcPr>
            <w:tcW w:w="846" w:type="pct"/>
            <w:gridSpan w:val="2"/>
            <w:tcBorders>
              <w:top w:val="nil"/>
              <w:bottom w:val="nil"/>
            </w:tcBorders>
            <w:shd w:val="clear" w:color="auto" w:fill="auto"/>
            <w:tcMar>
              <w:top w:w="110" w:type="dxa"/>
            </w:tcMar>
          </w:tcPr>
          <w:p w:rsidR="00F053BA" w:rsidRPr="000028C6" w:rsidRDefault="00F053BA" w:rsidP="00F053BA">
            <w:pPr>
              <w:autoSpaceDE w:val="0"/>
              <w:autoSpaceDN w:val="0"/>
              <w:adjustRightInd w:val="0"/>
              <w:rPr>
                <w:rFonts w:cs="Arial"/>
                <w:sz w:val="16"/>
                <w:szCs w:val="16"/>
              </w:rPr>
            </w:pPr>
            <w:r w:rsidRPr="000028C6">
              <w:rPr>
                <w:sz w:val="16"/>
                <w:szCs w:val="16"/>
              </w:rPr>
              <w:t>24 ДП и 46 ПО (всего)</w:t>
            </w:r>
          </w:p>
        </w:tc>
        <w:tc>
          <w:tcPr>
            <w:tcW w:w="1093" w:type="pct"/>
            <w:gridSpan w:val="2"/>
            <w:tcBorders>
              <w:top w:val="nil"/>
              <w:bottom w:val="nil"/>
            </w:tcBorders>
            <w:shd w:val="clear" w:color="auto" w:fill="FFFFFF"/>
            <w:tcMar>
              <w:top w:w="110" w:type="dxa"/>
            </w:tcMar>
          </w:tcPr>
          <w:p w:rsidR="00F053BA" w:rsidRPr="00F053BA" w:rsidRDefault="00F053BA" w:rsidP="00F053BA">
            <w:pPr>
              <w:rPr>
                <w:rFonts w:cs="Arial"/>
                <w:sz w:val="16"/>
                <w:szCs w:val="16"/>
                <w:lang w:val="ru-RU"/>
              </w:rPr>
            </w:pPr>
            <w:r w:rsidRPr="00F053BA">
              <w:rPr>
                <w:sz w:val="16"/>
                <w:szCs w:val="16"/>
                <w:lang w:val="ru-RU"/>
              </w:rPr>
              <w:t>В настоящее время Партнерская платформа вошла в состав Консорциума «Доступная Книга» (</w:t>
            </w:r>
            <w:r w:rsidRPr="000028C6">
              <w:rPr>
                <w:sz w:val="16"/>
                <w:szCs w:val="16"/>
              </w:rPr>
              <w:t>ABC</w:t>
            </w:r>
            <w:r w:rsidRPr="00F053BA">
              <w:rPr>
                <w:sz w:val="16"/>
                <w:szCs w:val="16"/>
                <w:lang w:val="ru-RU"/>
              </w:rPr>
              <w:t xml:space="preserve">). </w:t>
            </w:r>
          </w:p>
        </w:tc>
        <w:tc>
          <w:tcPr>
            <w:tcW w:w="525" w:type="pct"/>
            <w:gridSpan w:val="2"/>
            <w:tcBorders>
              <w:top w:val="nil"/>
              <w:bottom w:val="nil"/>
              <w:right w:val="single" w:sz="4" w:space="0" w:color="auto"/>
            </w:tcBorders>
            <w:shd w:val="clear" w:color="auto" w:fill="auto"/>
            <w:tcMar>
              <w:top w:w="110" w:type="dxa"/>
            </w:tcMar>
          </w:tcPr>
          <w:p w:rsidR="00F053BA" w:rsidRPr="000028C6" w:rsidRDefault="00F053BA" w:rsidP="00F053BA">
            <w:pPr>
              <w:jc w:val="center"/>
              <w:rPr>
                <w:rFonts w:cs="Arial"/>
                <w:b/>
                <w:bCs/>
                <w:color w:val="808080"/>
                <w:sz w:val="16"/>
                <w:szCs w:val="16"/>
              </w:rPr>
            </w:pPr>
            <w:r w:rsidRPr="000028C6">
              <w:rPr>
                <w:b/>
                <w:sz w:val="16"/>
                <w:szCs w:val="16"/>
              </w:rPr>
              <w:t>Отменено</w:t>
            </w:r>
          </w:p>
          <w:p w:rsidR="00F053BA" w:rsidRPr="000028C6" w:rsidRDefault="00F053BA" w:rsidP="00F053BA">
            <w:pPr>
              <w:rPr>
                <w:rFonts w:cs="Arial"/>
                <w:b/>
                <w:bCs/>
                <w:color w:val="808080"/>
                <w:sz w:val="16"/>
                <w:szCs w:val="16"/>
              </w:rPr>
            </w:pPr>
          </w:p>
        </w:tc>
      </w:tr>
      <w:tr w:rsidR="00F053BA" w:rsidRPr="000028C6" w:rsidTr="00F053BA">
        <w:trPr>
          <w:trHeight w:val="2113"/>
        </w:trPr>
        <w:tc>
          <w:tcPr>
            <w:tcW w:w="1098"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color w:val="000000"/>
                <w:sz w:val="16"/>
                <w:szCs w:val="16"/>
                <w:lang w:val="ru-RU"/>
              </w:rPr>
              <w:t xml:space="preserve">Число охраняемых авторским правом произведений, распространенных через ДП и предоставленных ЛНЗ на трансграничной основе через сеть системы </w:t>
            </w:r>
            <w:r w:rsidRPr="000028C6">
              <w:rPr>
                <w:color w:val="000000"/>
                <w:sz w:val="16"/>
                <w:szCs w:val="16"/>
              </w:rPr>
              <w:t>TIGAR</w:t>
            </w:r>
            <w:r w:rsidRPr="00F053BA">
              <w:rPr>
                <w:color w:val="000000"/>
                <w:sz w:val="16"/>
                <w:szCs w:val="16"/>
                <w:lang w:val="ru-RU"/>
              </w:rPr>
              <w:t xml:space="preserve"> </w:t>
            </w:r>
          </w:p>
        </w:tc>
        <w:tc>
          <w:tcPr>
            <w:tcW w:w="1433" w:type="pct"/>
            <w:gridSpan w:val="2"/>
            <w:tcBorders>
              <w:top w:val="nil"/>
              <w:bottom w:val="nil"/>
            </w:tcBorders>
            <w:shd w:val="clear" w:color="auto" w:fill="auto"/>
          </w:tcPr>
          <w:p w:rsidR="00F053BA" w:rsidRPr="00F053BA" w:rsidRDefault="00F053BA" w:rsidP="00F053BA">
            <w:pPr>
              <w:pStyle w:val="Default"/>
              <w:keepNext/>
              <w:keepLines/>
              <w:rPr>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г.:</w:t>
            </w:r>
            <w:r w:rsidRPr="00F053BA">
              <w:rPr>
                <w:color w:val="002060"/>
                <w:sz w:val="16"/>
                <w:szCs w:val="16"/>
                <w:lang w:val="ru-RU"/>
              </w:rPr>
              <w:t xml:space="preserve">  к концу 2013 г. из базы данных </w:t>
            </w:r>
            <w:r w:rsidRPr="000028C6">
              <w:rPr>
                <w:color w:val="002060"/>
                <w:sz w:val="16"/>
                <w:szCs w:val="16"/>
              </w:rPr>
              <w:t>TIGAR</w:t>
            </w:r>
            <w:r w:rsidRPr="00F053BA">
              <w:rPr>
                <w:color w:val="002060"/>
                <w:sz w:val="16"/>
                <w:szCs w:val="16"/>
                <w:lang w:val="ru-RU"/>
              </w:rPr>
              <w:t xml:space="preserve"> в разных странах было скачано примерно 600 книг в доступных форматах.</w:t>
            </w:r>
          </w:p>
          <w:p w:rsidR="00F053BA" w:rsidRPr="00F053BA" w:rsidRDefault="00F053BA" w:rsidP="00F053BA">
            <w:pPr>
              <w:keepNext/>
              <w:keepLines/>
              <w:rPr>
                <w:rFonts w:cs="Arial"/>
                <w:color w:val="002060"/>
                <w:sz w:val="16"/>
                <w:szCs w:val="16"/>
                <w:lang w:val="ru-RU"/>
              </w:rPr>
            </w:pPr>
          </w:p>
          <w:p w:rsidR="00F053BA" w:rsidRPr="00F053BA" w:rsidRDefault="00F053BA" w:rsidP="00F053BA">
            <w:pPr>
              <w:keepNext/>
              <w:keepLines/>
              <w:rPr>
                <w:rFonts w:cs="Arial"/>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 xml:space="preserve"> 400</w:t>
            </w:r>
          </w:p>
        </w:tc>
        <w:tc>
          <w:tcPr>
            <w:tcW w:w="848" w:type="pct"/>
            <w:gridSpan w:val="2"/>
            <w:tcBorders>
              <w:top w:val="nil"/>
              <w:bottom w:val="nil"/>
            </w:tcBorders>
            <w:shd w:val="clear" w:color="auto" w:fill="auto"/>
            <w:tcMar>
              <w:top w:w="110" w:type="dxa"/>
            </w:tcMar>
          </w:tcPr>
          <w:p w:rsidR="00F053BA" w:rsidRPr="000028C6" w:rsidRDefault="00F053BA" w:rsidP="00F053BA">
            <w:pPr>
              <w:keepNext/>
              <w:keepLines/>
              <w:rPr>
                <w:rFonts w:cs="Arial"/>
                <w:sz w:val="16"/>
                <w:szCs w:val="16"/>
              </w:rPr>
            </w:pPr>
            <w:r w:rsidRPr="000028C6">
              <w:rPr>
                <w:sz w:val="16"/>
                <w:szCs w:val="16"/>
              </w:rPr>
              <w:t>1 000 (всего)</w:t>
            </w:r>
          </w:p>
        </w:tc>
        <w:tc>
          <w:tcPr>
            <w:tcW w:w="1095" w:type="pct"/>
            <w:gridSpan w:val="2"/>
            <w:tcBorders>
              <w:top w:val="nil"/>
              <w:bottom w:val="nil"/>
            </w:tcBorders>
            <w:shd w:val="clear" w:color="auto" w:fill="FFFFFF"/>
            <w:tcMar>
              <w:top w:w="110" w:type="dxa"/>
            </w:tcMar>
          </w:tcPr>
          <w:p w:rsidR="00F053BA" w:rsidRPr="00F053BA" w:rsidRDefault="00F053BA" w:rsidP="00F053BA">
            <w:pPr>
              <w:keepNext/>
              <w:keepLines/>
              <w:rPr>
                <w:rFonts w:cs="Arial"/>
                <w:sz w:val="16"/>
                <w:szCs w:val="16"/>
                <w:lang w:val="ru-RU"/>
              </w:rPr>
            </w:pPr>
            <w:r w:rsidRPr="00F053BA">
              <w:rPr>
                <w:sz w:val="16"/>
                <w:szCs w:val="16"/>
                <w:lang w:val="ru-RU"/>
              </w:rPr>
              <w:t>По состоянию на конец 2015 г. книги в доступном формате были скачаны 4</w:t>
            </w:r>
            <w:r w:rsidRPr="000028C6">
              <w:rPr>
                <w:sz w:val="16"/>
                <w:szCs w:val="16"/>
              </w:rPr>
              <w:t> </w:t>
            </w:r>
            <w:r w:rsidRPr="00F053BA">
              <w:rPr>
                <w:sz w:val="16"/>
                <w:szCs w:val="16"/>
                <w:lang w:val="ru-RU"/>
              </w:rPr>
              <w:t>208 раз пятнадцатью участвующими в проекте библиотеками (всего).</w:t>
            </w: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sz w:val="16"/>
                <w:szCs w:val="16"/>
                <w:lang w:val="ru-RU"/>
              </w:rPr>
            </w:pPr>
            <w:r w:rsidRPr="00F053BA">
              <w:rPr>
                <w:sz w:val="16"/>
                <w:szCs w:val="16"/>
                <w:lang w:val="ru-RU"/>
              </w:rPr>
              <w:t>По состоянию на конец 2015 г. книги в доступных форматах были выданы лицам с ограниченной способностью воспринимать печатную информацию более 58</w:t>
            </w:r>
            <w:r w:rsidRPr="000028C6">
              <w:rPr>
                <w:sz w:val="16"/>
                <w:szCs w:val="16"/>
              </w:rPr>
              <w:t> </w:t>
            </w:r>
            <w:r w:rsidRPr="00F053BA">
              <w:rPr>
                <w:sz w:val="16"/>
                <w:szCs w:val="16"/>
                <w:lang w:val="ru-RU"/>
              </w:rPr>
              <w:t>000 раз.</w:t>
            </w:r>
          </w:p>
        </w:tc>
        <w:tc>
          <w:tcPr>
            <w:tcW w:w="526" w:type="pct"/>
            <w:gridSpan w:val="2"/>
            <w:tcBorders>
              <w:top w:val="nil"/>
              <w:bottom w:val="nil"/>
              <w:right w:val="single" w:sz="4" w:space="0" w:color="auto"/>
            </w:tcBorders>
            <w:shd w:val="clear" w:color="auto" w:fill="auto"/>
          </w:tcPr>
          <w:p w:rsidR="00F053BA" w:rsidRPr="000028C6" w:rsidRDefault="00F053BA" w:rsidP="00F053BA">
            <w:pPr>
              <w:keepNext/>
              <w:keepLines/>
              <w:jc w:val="center"/>
              <w:rPr>
                <w:rFonts w:cs="Arial"/>
                <w:bCs/>
                <w:color w:val="333333"/>
                <w:sz w:val="16"/>
                <w:szCs w:val="16"/>
              </w:rPr>
            </w:pPr>
            <w:r w:rsidRPr="000028C6">
              <w:rPr>
                <w:b/>
                <w:color w:val="00B050"/>
                <w:sz w:val="16"/>
                <w:szCs w:val="16"/>
              </w:rPr>
              <w:t>Выполнено</w:t>
            </w:r>
          </w:p>
        </w:tc>
      </w:tr>
      <w:tr w:rsidR="00F053BA" w:rsidRPr="000028C6" w:rsidTr="00F053BA">
        <w:tc>
          <w:tcPr>
            <w:tcW w:w="1098" w:type="pct"/>
            <w:tcBorders>
              <w:top w:val="nil"/>
              <w:left w:val="single" w:sz="4" w:space="0" w:color="auto"/>
              <w:bottom w:val="nil"/>
            </w:tcBorders>
            <w:shd w:val="clear" w:color="auto" w:fill="auto"/>
          </w:tcPr>
          <w:p w:rsidR="00F053BA" w:rsidRPr="00F053BA" w:rsidRDefault="00F053BA" w:rsidP="00F053BA">
            <w:pPr>
              <w:rPr>
                <w:rFonts w:cs="Arial"/>
                <w:color w:val="000000"/>
                <w:sz w:val="16"/>
                <w:szCs w:val="16"/>
                <w:lang w:val="ru-RU"/>
              </w:rPr>
            </w:pPr>
            <w:r w:rsidRPr="00F053BA">
              <w:rPr>
                <w:color w:val="000000"/>
                <w:sz w:val="16"/>
                <w:szCs w:val="16"/>
                <w:lang w:val="ru-RU"/>
              </w:rPr>
              <w:t xml:space="preserve">Число лиц, удовлетворенных помощью по укреплению потенциала в области инфраструктуры авторского права </w:t>
            </w:r>
          </w:p>
        </w:tc>
        <w:tc>
          <w:tcPr>
            <w:tcW w:w="1433" w:type="pct"/>
            <w:gridSpan w:val="2"/>
            <w:tcBorders>
              <w:top w:val="nil"/>
              <w:bottom w:val="nil"/>
            </w:tcBorders>
            <w:shd w:val="clear" w:color="auto" w:fill="auto"/>
          </w:tcPr>
          <w:p w:rsidR="00F053BA" w:rsidRPr="000028C6" w:rsidRDefault="00F053BA" w:rsidP="00F053BA">
            <w:pPr>
              <w:keepNext/>
              <w:keepLines/>
              <w:rPr>
                <w:rFonts w:cs="Arial"/>
                <w:sz w:val="16"/>
                <w:szCs w:val="16"/>
              </w:rPr>
            </w:pPr>
            <w:r w:rsidRPr="000028C6">
              <w:rPr>
                <w:sz w:val="16"/>
                <w:szCs w:val="16"/>
              </w:rPr>
              <w:t>Деятельность еще не началась</w:t>
            </w:r>
          </w:p>
        </w:tc>
        <w:tc>
          <w:tcPr>
            <w:tcW w:w="848" w:type="pct"/>
            <w:gridSpan w:val="2"/>
            <w:tcBorders>
              <w:top w:val="nil"/>
              <w:bottom w:val="nil"/>
            </w:tcBorders>
            <w:shd w:val="clear" w:color="auto" w:fill="auto"/>
            <w:tcMar>
              <w:top w:w="110" w:type="dxa"/>
            </w:tcMar>
          </w:tcPr>
          <w:p w:rsidR="00F053BA" w:rsidRPr="000028C6" w:rsidRDefault="00F053BA" w:rsidP="00F053BA">
            <w:pPr>
              <w:keepNext/>
              <w:keepLines/>
              <w:rPr>
                <w:rFonts w:cs="Arial"/>
                <w:sz w:val="16"/>
                <w:szCs w:val="16"/>
              </w:rPr>
            </w:pPr>
            <w:r w:rsidRPr="000028C6">
              <w:rPr>
                <w:sz w:val="16"/>
                <w:szCs w:val="16"/>
              </w:rPr>
              <w:t>60%</w:t>
            </w:r>
          </w:p>
        </w:tc>
        <w:tc>
          <w:tcPr>
            <w:tcW w:w="1095" w:type="pct"/>
            <w:gridSpan w:val="2"/>
            <w:tcBorders>
              <w:top w:val="nil"/>
              <w:bottom w:val="nil"/>
            </w:tcBorders>
            <w:shd w:val="clear" w:color="auto" w:fill="FFFFFF"/>
            <w:tcMar>
              <w:top w:w="110" w:type="dxa"/>
            </w:tcMar>
          </w:tcPr>
          <w:p w:rsidR="00F053BA" w:rsidRPr="000028C6" w:rsidRDefault="00F053BA" w:rsidP="00F053BA">
            <w:pPr>
              <w:keepNext/>
              <w:keepLines/>
              <w:rPr>
                <w:rFonts w:cs="Arial"/>
                <w:sz w:val="16"/>
                <w:szCs w:val="16"/>
              </w:rPr>
            </w:pPr>
            <w:r w:rsidRPr="000028C6">
              <w:rPr>
                <w:sz w:val="16"/>
                <w:szCs w:val="16"/>
              </w:rPr>
              <w:t>90%</w:t>
            </w:r>
          </w:p>
        </w:tc>
        <w:tc>
          <w:tcPr>
            <w:tcW w:w="526" w:type="pct"/>
            <w:gridSpan w:val="2"/>
            <w:tcBorders>
              <w:top w:val="nil"/>
              <w:bottom w:val="nil"/>
              <w:right w:val="single" w:sz="4" w:space="0" w:color="auto"/>
            </w:tcBorders>
            <w:shd w:val="clear" w:color="auto" w:fill="auto"/>
          </w:tcPr>
          <w:p w:rsidR="00F053BA" w:rsidRPr="000028C6" w:rsidRDefault="00F053BA" w:rsidP="00F053BA">
            <w:pPr>
              <w:keepNext/>
              <w:keepLines/>
              <w:jc w:val="center"/>
              <w:rPr>
                <w:rFonts w:cs="Arial"/>
                <w:bCs/>
                <w:color w:val="008000"/>
                <w:sz w:val="16"/>
                <w:szCs w:val="16"/>
              </w:rPr>
            </w:pPr>
            <w:r w:rsidRPr="000028C6">
              <w:rPr>
                <w:b/>
                <w:color w:val="00B050"/>
                <w:sz w:val="16"/>
                <w:szCs w:val="16"/>
              </w:rPr>
              <w:t>Выполнено</w:t>
            </w:r>
          </w:p>
        </w:tc>
      </w:tr>
      <w:tr w:rsidR="00F053BA" w:rsidRPr="000028C6" w:rsidTr="00F053BA">
        <w:tc>
          <w:tcPr>
            <w:tcW w:w="1098" w:type="pct"/>
            <w:tcBorders>
              <w:top w:val="nil"/>
              <w:left w:val="single" w:sz="4" w:space="0" w:color="auto"/>
              <w:bottom w:val="single" w:sz="4" w:space="0" w:color="auto"/>
            </w:tcBorders>
            <w:shd w:val="clear" w:color="auto" w:fill="auto"/>
          </w:tcPr>
          <w:p w:rsidR="00F053BA" w:rsidRPr="000028C6" w:rsidRDefault="00F053BA" w:rsidP="00F053BA">
            <w:pPr>
              <w:rPr>
                <w:rFonts w:cs="Arial"/>
                <w:color w:val="000000"/>
                <w:sz w:val="16"/>
                <w:szCs w:val="16"/>
              </w:rPr>
            </w:pPr>
            <w:r w:rsidRPr="000028C6">
              <w:rPr>
                <w:color w:val="000000"/>
                <w:sz w:val="16"/>
                <w:szCs w:val="16"/>
              </w:rPr>
              <w:t>Число учреждений, использующих GDA</w:t>
            </w:r>
          </w:p>
        </w:tc>
        <w:tc>
          <w:tcPr>
            <w:tcW w:w="1433" w:type="pct"/>
            <w:gridSpan w:val="2"/>
            <w:tcBorders>
              <w:top w:val="nil"/>
              <w:bottom w:val="single" w:sz="4" w:space="0" w:color="auto"/>
            </w:tcBorders>
            <w:shd w:val="clear" w:color="auto" w:fill="auto"/>
          </w:tcPr>
          <w:p w:rsidR="00F053BA" w:rsidRPr="00F053BA" w:rsidRDefault="00F053BA" w:rsidP="00F053BA">
            <w:pPr>
              <w:keepNext/>
              <w:keepLines/>
              <w:rPr>
                <w:rFonts w:cs="Arial"/>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г.:</w:t>
            </w:r>
            <w:r w:rsidRPr="00F053BA">
              <w:rPr>
                <w:color w:val="002060"/>
                <w:sz w:val="16"/>
                <w:szCs w:val="16"/>
                <w:lang w:val="ru-RU"/>
              </w:rPr>
              <w:t xml:space="preserve">  15</w:t>
            </w:r>
            <w:r w:rsidRPr="000028C6">
              <w:rPr>
                <w:rStyle w:val="FootnoteReference"/>
                <w:color w:val="002060"/>
                <w:sz w:val="16"/>
                <w:szCs w:val="16"/>
              </w:rPr>
              <w:footnoteReference w:id="15"/>
            </w:r>
            <w:r w:rsidRPr="00F053BA">
              <w:rPr>
                <w:color w:val="002060"/>
                <w:sz w:val="16"/>
                <w:szCs w:val="16"/>
                <w:lang w:val="ru-RU"/>
              </w:rPr>
              <w:t xml:space="preserve"> ведомств авторского права, использующих </w:t>
            </w:r>
            <w:r w:rsidRPr="000028C6">
              <w:rPr>
                <w:color w:val="002060"/>
                <w:sz w:val="16"/>
                <w:szCs w:val="16"/>
              </w:rPr>
              <w:t>GDA</w:t>
            </w:r>
            <w:r w:rsidRPr="00F053BA">
              <w:rPr>
                <w:color w:val="002060"/>
                <w:sz w:val="16"/>
                <w:szCs w:val="16"/>
                <w:lang w:val="ru-RU"/>
              </w:rPr>
              <w:t xml:space="preserve"> (всего)</w:t>
            </w: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i/>
                <w:color w:val="002060"/>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15</w:t>
            </w:r>
          </w:p>
        </w:tc>
        <w:tc>
          <w:tcPr>
            <w:tcW w:w="848" w:type="pct"/>
            <w:gridSpan w:val="2"/>
            <w:tcBorders>
              <w:top w:val="nil"/>
              <w:bottom w:val="single" w:sz="4" w:space="0" w:color="auto"/>
            </w:tcBorders>
            <w:shd w:val="clear" w:color="auto" w:fill="auto"/>
            <w:tcMar>
              <w:top w:w="110" w:type="dxa"/>
            </w:tcMar>
          </w:tcPr>
          <w:p w:rsidR="00F053BA" w:rsidRPr="000028C6" w:rsidRDefault="00F053BA" w:rsidP="00F053BA">
            <w:pPr>
              <w:keepNext/>
              <w:keepLines/>
              <w:rPr>
                <w:rFonts w:cs="Arial"/>
                <w:sz w:val="16"/>
                <w:szCs w:val="16"/>
                <w:highlight w:val="yellow"/>
              </w:rPr>
            </w:pPr>
            <w:r w:rsidRPr="000028C6">
              <w:rPr>
                <w:sz w:val="16"/>
                <w:szCs w:val="16"/>
              </w:rPr>
              <w:t>15</w:t>
            </w:r>
          </w:p>
        </w:tc>
        <w:tc>
          <w:tcPr>
            <w:tcW w:w="1095" w:type="pct"/>
            <w:gridSpan w:val="2"/>
            <w:tcBorders>
              <w:top w:val="nil"/>
              <w:bottom w:val="single" w:sz="4" w:space="0" w:color="auto"/>
            </w:tcBorders>
            <w:shd w:val="clear" w:color="auto" w:fill="FFFFFF"/>
            <w:tcMar>
              <w:top w:w="110" w:type="dxa"/>
            </w:tcMar>
          </w:tcPr>
          <w:p w:rsidR="00F053BA" w:rsidRPr="00F053BA" w:rsidRDefault="00F053BA" w:rsidP="00F053BA">
            <w:pPr>
              <w:keepNext/>
              <w:keepLines/>
              <w:rPr>
                <w:rFonts w:cs="Arial"/>
                <w:sz w:val="16"/>
                <w:szCs w:val="16"/>
                <w:lang w:val="ru-RU"/>
              </w:rPr>
            </w:pPr>
            <w:r w:rsidRPr="00F053BA">
              <w:rPr>
                <w:sz w:val="16"/>
                <w:szCs w:val="16"/>
                <w:lang w:val="ru-RU"/>
              </w:rPr>
              <w:t xml:space="preserve">16 ведомств авторского права, использующих </w:t>
            </w:r>
            <w:r w:rsidRPr="000028C6">
              <w:rPr>
                <w:sz w:val="16"/>
                <w:szCs w:val="16"/>
              </w:rPr>
              <w:t>GDA</w:t>
            </w:r>
            <w:r w:rsidRPr="00F053BA">
              <w:rPr>
                <w:sz w:val="16"/>
                <w:szCs w:val="16"/>
                <w:lang w:val="ru-RU"/>
              </w:rPr>
              <w:t xml:space="preserve"> (всего)</w:t>
            </w: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sz w:val="16"/>
                <w:szCs w:val="16"/>
                <w:highlight w:val="yellow"/>
                <w:lang w:val="ru-RU"/>
              </w:rPr>
            </w:pPr>
            <w:r w:rsidRPr="00F053BA">
              <w:rPr>
                <w:sz w:val="16"/>
                <w:szCs w:val="16"/>
                <w:lang w:val="ru-RU"/>
              </w:rPr>
              <w:t xml:space="preserve">Поддержка системы </w:t>
            </w:r>
            <w:r w:rsidRPr="000028C6">
              <w:rPr>
                <w:sz w:val="16"/>
                <w:szCs w:val="16"/>
              </w:rPr>
              <w:t>GDA</w:t>
            </w:r>
            <w:r w:rsidRPr="00F053BA">
              <w:rPr>
                <w:sz w:val="16"/>
                <w:szCs w:val="16"/>
                <w:lang w:val="ru-RU"/>
              </w:rPr>
              <w:t xml:space="preserve"> со стороны ВОИС была свернута к концу 2015</w:t>
            </w:r>
            <w:r w:rsidRPr="000028C6">
              <w:rPr>
                <w:sz w:val="16"/>
                <w:szCs w:val="16"/>
              </w:rPr>
              <w:t> </w:t>
            </w:r>
            <w:r w:rsidRPr="00F053BA">
              <w:rPr>
                <w:sz w:val="16"/>
                <w:szCs w:val="16"/>
                <w:lang w:val="ru-RU"/>
              </w:rPr>
              <w:t xml:space="preserve">г.  </w:t>
            </w:r>
          </w:p>
        </w:tc>
        <w:tc>
          <w:tcPr>
            <w:tcW w:w="526" w:type="pct"/>
            <w:gridSpan w:val="2"/>
            <w:tcBorders>
              <w:top w:val="nil"/>
              <w:bottom w:val="single" w:sz="4" w:space="0" w:color="auto"/>
              <w:right w:val="single" w:sz="4" w:space="0" w:color="auto"/>
            </w:tcBorders>
            <w:shd w:val="clear" w:color="auto" w:fill="auto"/>
          </w:tcPr>
          <w:p w:rsidR="00F053BA" w:rsidRPr="000028C6" w:rsidRDefault="00F053BA" w:rsidP="00F053BA">
            <w:pPr>
              <w:jc w:val="center"/>
              <w:rPr>
                <w:rFonts w:cs="Arial"/>
                <w:b/>
                <w:bCs/>
                <w:color w:val="808080"/>
                <w:sz w:val="16"/>
                <w:szCs w:val="16"/>
              </w:rPr>
            </w:pPr>
            <w:r w:rsidRPr="000028C6">
              <w:rPr>
                <w:b/>
                <w:sz w:val="16"/>
                <w:szCs w:val="16"/>
              </w:rPr>
              <w:t>Отменено</w:t>
            </w:r>
          </w:p>
        </w:tc>
      </w:tr>
    </w:tbl>
    <w:p w:rsidR="00F053BA" w:rsidRDefault="00F053BA">
      <w:r>
        <w:br w:type="page"/>
      </w:r>
    </w:p>
    <w:tbl>
      <w:tblPr>
        <w:tblW w:w="4924" w:type="pct"/>
        <w:tblInd w:w="108" w:type="dxa"/>
        <w:tblBorders>
          <w:top w:val="single" w:sz="4" w:space="0" w:color="auto"/>
          <w:left w:val="single" w:sz="4" w:space="0" w:color="auto"/>
          <w:bottom w:val="single" w:sz="4" w:space="0" w:color="auto"/>
          <w:right w:val="single" w:sz="4" w:space="0" w:color="auto"/>
        </w:tblBorders>
        <w:tblLayout w:type="fixed"/>
        <w:tblCellMar>
          <w:left w:w="72" w:type="dxa"/>
          <w:right w:w="72" w:type="dxa"/>
        </w:tblCellMar>
        <w:tblLook w:val="0000" w:firstRow="0" w:lastRow="0" w:firstColumn="0" w:lastColumn="0" w:noHBand="0" w:noVBand="0"/>
      </w:tblPr>
      <w:tblGrid>
        <w:gridCol w:w="2054"/>
        <w:gridCol w:w="2681"/>
        <w:gridCol w:w="1587"/>
        <w:gridCol w:w="137"/>
        <w:gridCol w:w="1912"/>
        <w:gridCol w:w="984"/>
      </w:tblGrid>
      <w:tr w:rsidR="00F053BA" w:rsidRPr="000028C6" w:rsidTr="00F053BA">
        <w:tc>
          <w:tcPr>
            <w:tcW w:w="1098" w:type="pct"/>
            <w:tcBorders>
              <w:top w:val="single" w:sz="4" w:space="0" w:color="auto"/>
              <w:left w:val="single" w:sz="4" w:space="0" w:color="auto"/>
              <w:bottom w:val="nil"/>
            </w:tcBorders>
            <w:shd w:val="clear" w:color="auto" w:fill="auto"/>
          </w:tcPr>
          <w:p w:rsidR="00F053BA" w:rsidRPr="00F053BA" w:rsidRDefault="00F053BA" w:rsidP="00F053BA">
            <w:pPr>
              <w:rPr>
                <w:rFonts w:cs="Arial"/>
                <w:color w:val="000000"/>
                <w:sz w:val="16"/>
                <w:szCs w:val="16"/>
                <w:lang w:val="ru-RU"/>
              </w:rPr>
            </w:pPr>
            <w:r w:rsidRPr="00F053BA">
              <w:rPr>
                <w:color w:val="000000"/>
                <w:sz w:val="16"/>
                <w:szCs w:val="16"/>
                <w:lang w:val="ru-RU"/>
              </w:rPr>
              <w:t>Использование справочной базы данных ВОИС по коллективному управлению</w:t>
            </w:r>
          </w:p>
        </w:tc>
        <w:tc>
          <w:tcPr>
            <w:tcW w:w="1433" w:type="pct"/>
            <w:tcBorders>
              <w:top w:val="single" w:sz="4" w:space="0" w:color="auto"/>
              <w:bottom w:val="nil"/>
            </w:tcBorders>
            <w:shd w:val="clear" w:color="auto" w:fill="auto"/>
          </w:tcPr>
          <w:p w:rsidR="00F053BA" w:rsidRPr="000028C6" w:rsidRDefault="00F053BA" w:rsidP="00F053BA">
            <w:pPr>
              <w:keepNext/>
              <w:keepLines/>
              <w:rPr>
                <w:rFonts w:cs="Arial"/>
                <w:i/>
                <w:color w:val="002060"/>
                <w:sz w:val="16"/>
                <w:szCs w:val="16"/>
              </w:rPr>
            </w:pPr>
            <w:r w:rsidRPr="000028C6">
              <w:rPr>
                <w:sz w:val="16"/>
                <w:szCs w:val="16"/>
              </w:rPr>
              <w:t>Деятельность еще не началась</w:t>
            </w:r>
          </w:p>
        </w:tc>
        <w:tc>
          <w:tcPr>
            <w:tcW w:w="848" w:type="pct"/>
            <w:tcBorders>
              <w:top w:val="single" w:sz="4" w:space="0" w:color="auto"/>
              <w:bottom w:val="nil"/>
            </w:tcBorders>
            <w:shd w:val="clear" w:color="auto" w:fill="auto"/>
            <w:tcMar>
              <w:top w:w="110" w:type="dxa"/>
            </w:tcMar>
          </w:tcPr>
          <w:p w:rsidR="00F053BA" w:rsidRPr="000028C6" w:rsidRDefault="00F053BA" w:rsidP="00F053BA">
            <w:pPr>
              <w:keepNext/>
              <w:keepLines/>
              <w:rPr>
                <w:rFonts w:cs="Arial"/>
                <w:sz w:val="16"/>
                <w:szCs w:val="16"/>
              </w:rPr>
            </w:pPr>
            <w:r w:rsidRPr="000028C6">
              <w:rPr>
                <w:sz w:val="16"/>
                <w:szCs w:val="16"/>
              </w:rPr>
              <w:t>100 пользователей</w:t>
            </w:r>
          </w:p>
        </w:tc>
        <w:tc>
          <w:tcPr>
            <w:tcW w:w="1095" w:type="pct"/>
            <w:gridSpan w:val="2"/>
            <w:tcBorders>
              <w:top w:val="single" w:sz="4" w:space="0" w:color="auto"/>
              <w:bottom w:val="nil"/>
            </w:tcBorders>
            <w:shd w:val="clear" w:color="auto" w:fill="FFFFFF"/>
            <w:tcMar>
              <w:top w:w="110" w:type="dxa"/>
            </w:tcMar>
          </w:tcPr>
          <w:p w:rsidR="00F053BA" w:rsidRPr="00F053BA" w:rsidRDefault="00F053BA" w:rsidP="00F053BA">
            <w:pPr>
              <w:keepNext/>
              <w:keepLines/>
              <w:rPr>
                <w:rFonts w:cs="Arial"/>
                <w:sz w:val="16"/>
                <w:szCs w:val="16"/>
                <w:highlight w:val="yellow"/>
                <w:lang w:val="ru-RU"/>
              </w:rPr>
            </w:pPr>
            <w:r w:rsidRPr="00F053BA">
              <w:rPr>
                <w:sz w:val="16"/>
                <w:szCs w:val="16"/>
                <w:lang w:val="ru-RU"/>
              </w:rPr>
              <w:t>С момента размещения на сайте справочника «Общества коллективного управления правами» (издание 2014</w:t>
            </w:r>
            <w:r w:rsidRPr="000028C6">
              <w:rPr>
                <w:sz w:val="16"/>
                <w:szCs w:val="16"/>
              </w:rPr>
              <w:t> </w:t>
            </w:r>
            <w:r w:rsidRPr="00F053BA">
              <w:rPr>
                <w:sz w:val="16"/>
                <w:szCs w:val="16"/>
                <w:lang w:val="ru-RU"/>
              </w:rPr>
              <w:t>г.) по состоянию на октябрь 2014</w:t>
            </w:r>
            <w:r w:rsidRPr="000028C6">
              <w:rPr>
                <w:sz w:val="16"/>
                <w:szCs w:val="16"/>
              </w:rPr>
              <w:t> </w:t>
            </w:r>
            <w:r w:rsidRPr="00F053BA">
              <w:rPr>
                <w:sz w:val="16"/>
                <w:szCs w:val="16"/>
                <w:lang w:val="ru-RU"/>
              </w:rPr>
              <w:t>г. на сайт заходило в среднем 2</w:t>
            </w:r>
            <w:r w:rsidRPr="000028C6">
              <w:rPr>
                <w:sz w:val="16"/>
                <w:szCs w:val="16"/>
              </w:rPr>
              <w:t> </w:t>
            </w:r>
            <w:r w:rsidRPr="00F053BA">
              <w:rPr>
                <w:sz w:val="16"/>
                <w:szCs w:val="16"/>
                <w:lang w:val="ru-RU"/>
              </w:rPr>
              <w:t>300 уникальных посетителей в месяц.</w:t>
            </w:r>
          </w:p>
        </w:tc>
        <w:tc>
          <w:tcPr>
            <w:tcW w:w="526" w:type="pct"/>
            <w:tcBorders>
              <w:top w:val="single" w:sz="4" w:space="0" w:color="auto"/>
              <w:bottom w:val="nil"/>
              <w:right w:val="single" w:sz="4" w:space="0" w:color="auto"/>
            </w:tcBorders>
            <w:shd w:val="clear" w:color="auto" w:fill="auto"/>
          </w:tcPr>
          <w:p w:rsidR="00F053BA" w:rsidRPr="000028C6" w:rsidRDefault="00F053BA" w:rsidP="00F053BA">
            <w:pPr>
              <w:keepNext/>
              <w:keepLines/>
              <w:jc w:val="center"/>
              <w:rPr>
                <w:rFonts w:cs="Arial"/>
                <w:b/>
                <w:bCs/>
                <w:color w:val="00B050"/>
                <w:sz w:val="16"/>
                <w:szCs w:val="16"/>
                <w:highlight w:val="yellow"/>
              </w:rPr>
            </w:pPr>
            <w:r w:rsidRPr="000028C6">
              <w:rPr>
                <w:b/>
                <w:color w:val="00B050"/>
                <w:sz w:val="16"/>
                <w:szCs w:val="16"/>
              </w:rPr>
              <w:t>Выполнено</w:t>
            </w:r>
          </w:p>
        </w:tc>
      </w:tr>
      <w:tr w:rsidR="00F053BA" w:rsidRPr="000028C6" w:rsidTr="003A5C2E">
        <w:tc>
          <w:tcPr>
            <w:tcW w:w="1098" w:type="pct"/>
            <w:tcBorders>
              <w:top w:val="nil"/>
              <w:left w:val="single" w:sz="4" w:space="0" w:color="auto"/>
              <w:bottom w:val="single" w:sz="4" w:space="0" w:color="auto"/>
            </w:tcBorders>
            <w:shd w:val="clear" w:color="auto" w:fill="auto"/>
          </w:tcPr>
          <w:p w:rsidR="00F053BA" w:rsidRPr="00F053BA" w:rsidRDefault="00F053BA" w:rsidP="00F053BA">
            <w:pPr>
              <w:keepNext/>
              <w:keepLines/>
              <w:rPr>
                <w:rFonts w:cs="Arial"/>
                <w:color w:val="000000"/>
                <w:sz w:val="16"/>
                <w:szCs w:val="16"/>
                <w:lang w:val="ru-RU"/>
              </w:rPr>
            </w:pPr>
            <w:r w:rsidRPr="00F053BA">
              <w:rPr>
                <w:color w:val="000000"/>
                <w:sz w:val="16"/>
                <w:szCs w:val="16"/>
                <w:lang w:val="ru-RU"/>
              </w:rPr>
              <w:t>Число правовых документов, руководящих принципов, положений о принципах, помимо договоров, согласованных или утвержденных заинтересованными сторонами в таких областях, как ИС и спорт, а также авторское право в цифровой среде</w:t>
            </w:r>
          </w:p>
          <w:p w:rsidR="00F053BA" w:rsidRPr="00F053BA" w:rsidRDefault="00F053BA" w:rsidP="00F053BA">
            <w:pPr>
              <w:keepNext/>
              <w:keepLines/>
              <w:rPr>
                <w:rFonts w:cs="Arial"/>
                <w:color w:val="000000"/>
                <w:sz w:val="16"/>
                <w:szCs w:val="16"/>
                <w:lang w:val="ru-RU"/>
              </w:rPr>
            </w:pPr>
          </w:p>
        </w:tc>
        <w:tc>
          <w:tcPr>
            <w:tcW w:w="1433" w:type="pct"/>
            <w:tcBorders>
              <w:top w:val="nil"/>
              <w:bottom w:val="single" w:sz="4" w:space="0" w:color="auto"/>
            </w:tcBorders>
            <w:shd w:val="clear" w:color="auto" w:fill="auto"/>
          </w:tcPr>
          <w:p w:rsidR="00F053BA" w:rsidRPr="00F053BA" w:rsidRDefault="00F053BA" w:rsidP="00F053BA">
            <w:pPr>
              <w:keepNext/>
              <w:keepLines/>
              <w:rPr>
                <w:rFonts w:cs="Arial"/>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г.:</w:t>
            </w:r>
            <w:r w:rsidRPr="00F053BA">
              <w:rPr>
                <w:color w:val="002060"/>
                <w:sz w:val="16"/>
                <w:szCs w:val="16"/>
                <w:lang w:val="ru-RU"/>
              </w:rPr>
              <w:t xml:space="preserve">  </w:t>
            </w: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i/>
                <w:color w:val="002060"/>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один (Обзор ВОИС контрактных договоренностей в аудиовизуальном секторе)</w:t>
            </w:r>
          </w:p>
        </w:tc>
        <w:tc>
          <w:tcPr>
            <w:tcW w:w="848" w:type="pct"/>
            <w:tcBorders>
              <w:top w:val="nil"/>
              <w:bottom w:val="single" w:sz="4" w:space="0" w:color="auto"/>
            </w:tcBorders>
            <w:shd w:val="clear" w:color="auto" w:fill="auto"/>
            <w:tcMar>
              <w:top w:w="110" w:type="dxa"/>
            </w:tcMar>
          </w:tcPr>
          <w:p w:rsidR="00F053BA" w:rsidRPr="000028C6" w:rsidRDefault="00F053BA" w:rsidP="00F053BA">
            <w:pPr>
              <w:keepNext/>
              <w:keepLines/>
              <w:rPr>
                <w:rFonts w:cs="Arial"/>
                <w:sz w:val="16"/>
                <w:szCs w:val="16"/>
              </w:rPr>
            </w:pPr>
            <w:r w:rsidRPr="000028C6">
              <w:rPr>
                <w:sz w:val="16"/>
                <w:szCs w:val="16"/>
              </w:rPr>
              <w:t>1</w:t>
            </w:r>
          </w:p>
        </w:tc>
        <w:tc>
          <w:tcPr>
            <w:tcW w:w="1095" w:type="pct"/>
            <w:gridSpan w:val="2"/>
            <w:tcBorders>
              <w:top w:val="nil"/>
              <w:bottom w:val="single" w:sz="4" w:space="0" w:color="auto"/>
            </w:tcBorders>
            <w:shd w:val="clear" w:color="auto" w:fill="FFFFFF"/>
            <w:tcMar>
              <w:top w:w="110" w:type="dxa"/>
            </w:tcMar>
          </w:tcPr>
          <w:p w:rsidR="00F053BA" w:rsidRPr="00F053BA" w:rsidRDefault="00F053BA" w:rsidP="00F053BA">
            <w:pPr>
              <w:keepNext/>
              <w:keepLines/>
              <w:rPr>
                <w:sz w:val="16"/>
                <w:szCs w:val="16"/>
                <w:lang w:val="ru-RU"/>
              </w:rPr>
            </w:pPr>
            <w:r w:rsidRPr="00F053BA">
              <w:rPr>
                <w:sz w:val="16"/>
                <w:szCs w:val="16"/>
                <w:lang w:val="ru-RU"/>
              </w:rPr>
              <w:t xml:space="preserve">В 2014 г. завершена подготовка документа ВОИС «Проект методических рекомендаций по оценке экономического, социального и культурного эффекта применения механизмов авторского права в экономике» (методические рекомендации </w:t>
            </w:r>
            <w:r w:rsidRPr="000028C6">
              <w:rPr>
                <w:sz w:val="16"/>
                <w:szCs w:val="16"/>
              </w:rPr>
              <w:t>ESCIA</w:t>
            </w:r>
            <w:r w:rsidRPr="00F053BA">
              <w:rPr>
                <w:sz w:val="16"/>
                <w:szCs w:val="16"/>
                <w:lang w:val="ru-RU"/>
              </w:rPr>
              <w:t>), начат этап его пилотного применения, который будет завершен к июню 2016</w:t>
            </w:r>
            <w:r w:rsidRPr="000028C6">
              <w:rPr>
                <w:sz w:val="16"/>
                <w:szCs w:val="16"/>
              </w:rPr>
              <w:t> </w:t>
            </w:r>
            <w:r w:rsidRPr="00F053BA">
              <w:rPr>
                <w:sz w:val="16"/>
                <w:szCs w:val="16"/>
                <w:lang w:val="ru-RU"/>
              </w:rPr>
              <w:t>г.</w:t>
            </w:r>
          </w:p>
          <w:p w:rsidR="00F053BA" w:rsidRPr="00F053BA" w:rsidRDefault="00F053BA" w:rsidP="00F053BA">
            <w:pPr>
              <w:keepNext/>
              <w:keepLines/>
              <w:rPr>
                <w:rFonts w:cs="Arial"/>
                <w:sz w:val="16"/>
                <w:szCs w:val="16"/>
                <w:highlight w:val="yellow"/>
                <w:lang w:val="ru-RU"/>
              </w:rPr>
            </w:pPr>
          </w:p>
        </w:tc>
        <w:tc>
          <w:tcPr>
            <w:tcW w:w="526" w:type="pct"/>
            <w:tcBorders>
              <w:top w:val="nil"/>
              <w:bottom w:val="single" w:sz="4" w:space="0" w:color="auto"/>
              <w:right w:val="single" w:sz="4" w:space="0" w:color="auto"/>
            </w:tcBorders>
            <w:shd w:val="clear" w:color="auto" w:fill="auto"/>
          </w:tcPr>
          <w:p w:rsidR="00F053BA" w:rsidRPr="000028C6" w:rsidRDefault="00F053BA" w:rsidP="00F053BA">
            <w:pPr>
              <w:keepNext/>
              <w:keepLines/>
              <w:jc w:val="center"/>
              <w:rPr>
                <w:rFonts w:cs="Arial"/>
                <w:b/>
                <w:bCs/>
                <w:color w:val="00B050"/>
                <w:sz w:val="16"/>
                <w:szCs w:val="16"/>
                <w:highlight w:val="yellow"/>
              </w:rPr>
            </w:pPr>
            <w:r w:rsidRPr="000028C6">
              <w:rPr>
                <w:b/>
                <w:color w:val="00B050"/>
                <w:sz w:val="16"/>
                <w:szCs w:val="16"/>
              </w:rPr>
              <w:t>Выполнено</w:t>
            </w:r>
          </w:p>
        </w:tc>
      </w:tr>
      <w:tr w:rsidR="00F053BA" w:rsidRPr="005C6ABD" w:rsidTr="003A5C2E">
        <w:trPr>
          <w:trHeight w:val="629"/>
        </w:trPr>
        <w:tc>
          <w:tcPr>
            <w:tcW w:w="5000" w:type="pct"/>
            <w:gridSpan w:val="6"/>
            <w:tcBorders>
              <w:top w:val="single" w:sz="4" w:space="0" w:color="auto"/>
              <w:bottom w:val="single" w:sz="4" w:space="0" w:color="auto"/>
            </w:tcBorders>
            <w:shd w:val="clear" w:color="auto" w:fill="C6D9F1" w:themeFill="text2" w:themeFillTint="33"/>
            <w:vAlign w:val="center"/>
          </w:tcPr>
          <w:p w:rsidR="00F053BA" w:rsidRPr="00F053BA" w:rsidRDefault="00F053BA" w:rsidP="00165412">
            <w:pPr>
              <w:tabs>
                <w:tab w:val="left" w:pos="2302"/>
              </w:tabs>
              <w:ind w:left="2302" w:hanging="2302"/>
              <w:rPr>
                <w:rFonts w:cs="Arial"/>
                <w:b/>
                <w:bCs/>
                <w:sz w:val="16"/>
                <w:szCs w:val="16"/>
                <w:lang w:val="ru-RU"/>
              </w:rPr>
            </w:pPr>
            <w:r w:rsidRPr="00F053BA">
              <w:rPr>
                <w:b/>
                <w:sz w:val="16"/>
                <w:szCs w:val="16"/>
                <w:lang w:val="ru-RU"/>
              </w:rPr>
              <w:t>Ожидаемый результат:</w:t>
            </w:r>
            <w:r w:rsidRPr="00F053BA">
              <w:rPr>
                <w:sz w:val="16"/>
                <w:szCs w:val="16"/>
                <w:lang w:val="ru-RU"/>
              </w:rPr>
              <w:t xml:space="preserve"> </w:t>
            </w:r>
            <w:r w:rsidRPr="00F053BA">
              <w:rPr>
                <w:sz w:val="16"/>
                <w:szCs w:val="16"/>
                <w:lang w:val="ru-RU"/>
              </w:rPr>
              <w:tab/>
            </w:r>
            <w:r w:rsidRPr="000028C6">
              <w:rPr>
                <w:sz w:val="16"/>
                <w:szCs w:val="16"/>
              </w:rPr>
              <w:t>IV</w:t>
            </w:r>
            <w:r w:rsidRPr="00F053BA">
              <w:rPr>
                <w:sz w:val="16"/>
                <w:szCs w:val="16"/>
                <w:lang w:val="ru-RU"/>
              </w:rPr>
              <w:t>.4. Совершенствование технической инфраструктур</w:t>
            </w:r>
            <w:r w:rsidR="00165412">
              <w:rPr>
                <w:sz w:val="16"/>
                <w:szCs w:val="16"/>
                <w:lang w:val="ru-RU"/>
              </w:rPr>
              <w:t xml:space="preserve">ы и инфраструктуры знаний для </w:t>
            </w:r>
            <w:r w:rsidRPr="00F053BA">
              <w:rPr>
                <w:sz w:val="16"/>
                <w:szCs w:val="16"/>
                <w:lang w:val="ru-RU"/>
              </w:rPr>
              <w:t>ведомств ИС и других учреждений ИС, ведущее к пр</w:t>
            </w:r>
            <w:r w:rsidR="00165412">
              <w:rPr>
                <w:sz w:val="16"/>
                <w:szCs w:val="16"/>
                <w:lang w:val="ru-RU"/>
              </w:rPr>
              <w:t xml:space="preserve">едоставлению улучшенных услуг </w:t>
            </w:r>
            <w:r w:rsidRPr="00F053BA">
              <w:rPr>
                <w:sz w:val="16"/>
                <w:szCs w:val="16"/>
                <w:lang w:val="ru-RU"/>
              </w:rPr>
              <w:t>(более дешевых, более быстрых, более качественных) их заинтересованным сторонам</w:t>
            </w:r>
          </w:p>
        </w:tc>
      </w:tr>
      <w:tr w:rsidR="00F053BA" w:rsidRPr="000028C6" w:rsidTr="00F053BA">
        <w:tc>
          <w:tcPr>
            <w:tcW w:w="1098" w:type="pct"/>
            <w:tcBorders>
              <w:top w:val="single" w:sz="4" w:space="0" w:color="auto"/>
            </w:tcBorders>
            <w:shd w:val="clear" w:color="auto" w:fill="auto"/>
            <w:vAlign w:val="center"/>
          </w:tcPr>
          <w:p w:rsidR="00F053BA" w:rsidRPr="000028C6" w:rsidRDefault="00F053BA" w:rsidP="00F053BA">
            <w:pPr>
              <w:rPr>
                <w:rFonts w:cs="Arial"/>
                <w:sz w:val="16"/>
                <w:szCs w:val="16"/>
              </w:rPr>
            </w:pPr>
            <w:r w:rsidRPr="000028C6">
              <w:rPr>
                <w:b/>
                <w:sz w:val="16"/>
                <w:szCs w:val="16"/>
              </w:rPr>
              <w:t>Показатели результативности</w:t>
            </w:r>
          </w:p>
        </w:tc>
        <w:tc>
          <w:tcPr>
            <w:tcW w:w="1433" w:type="pct"/>
            <w:tcBorders>
              <w:top w:val="single" w:sz="4" w:space="0" w:color="auto"/>
            </w:tcBorders>
            <w:shd w:val="clear" w:color="auto" w:fill="auto"/>
            <w:vAlign w:val="center"/>
          </w:tcPr>
          <w:p w:rsidR="00F053BA" w:rsidRPr="000028C6" w:rsidRDefault="00F053BA" w:rsidP="00F053BA">
            <w:pPr>
              <w:rPr>
                <w:rFonts w:cs="Arial"/>
                <w:b/>
                <w:bCs/>
                <w:sz w:val="16"/>
                <w:szCs w:val="16"/>
              </w:rPr>
            </w:pPr>
            <w:r w:rsidRPr="000028C6">
              <w:rPr>
                <w:b/>
                <w:sz w:val="16"/>
                <w:szCs w:val="16"/>
              </w:rPr>
              <w:t>Базовые показатели</w:t>
            </w:r>
          </w:p>
        </w:tc>
        <w:tc>
          <w:tcPr>
            <w:tcW w:w="848" w:type="pct"/>
            <w:tcBorders>
              <w:top w:val="single" w:sz="4" w:space="0" w:color="auto"/>
            </w:tcBorders>
            <w:shd w:val="clear" w:color="auto" w:fill="auto"/>
            <w:tcMar>
              <w:top w:w="110" w:type="dxa"/>
            </w:tcMar>
            <w:vAlign w:val="center"/>
          </w:tcPr>
          <w:p w:rsidR="00F053BA" w:rsidRPr="000028C6" w:rsidRDefault="00F053BA" w:rsidP="00F053BA">
            <w:pPr>
              <w:rPr>
                <w:rFonts w:cs="Arial"/>
                <w:b/>
                <w:sz w:val="16"/>
                <w:szCs w:val="16"/>
              </w:rPr>
            </w:pPr>
            <w:r w:rsidRPr="000028C6">
              <w:rPr>
                <w:b/>
                <w:sz w:val="16"/>
                <w:szCs w:val="16"/>
              </w:rPr>
              <w:t>Цели</w:t>
            </w:r>
          </w:p>
        </w:tc>
        <w:tc>
          <w:tcPr>
            <w:tcW w:w="1095" w:type="pct"/>
            <w:gridSpan w:val="2"/>
            <w:tcBorders>
              <w:top w:val="single" w:sz="4" w:space="0" w:color="auto"/>
            </w:tcBorders>
            <w:shd w:val="clear" w:color="auto" w:fill="FFFFFF"/>
            <w:tcMar>
              <w:top w:w="110" w:type="dxa"/>
            </w:tcMar>
            <w:vAlign w:val="center"/>
          </w:tcPr>
          <w:p w:rsidR="00F053BA" w:rsidRPr="000028C6" w:rsidRDefault="00F053BA" w:rsidP="00F053BA">
            <w:pPr>
              <w:rPr>
                <w:rFonts w:cs="Arial"/>
                <w:sz w:val="16"/>
                <w:szCs w:val="16"/>
              </w:rPr>
            </w:pPr>
            <w:r w:rsidRPr="000028C6">
              <w:rPr>
                <w:b/>
                <w:sz w:val="16"/>
                <w:szCs w:val="16"/>
              </w:rPr>
              <w:t>Данные о результативности</w:t>
            </w:r>
          </w:p>
        </w:tc>
        <w:tc>
          <w:tcPr>
            <w:tcW w:w="526" w:type="pct"/>
            <w:tcBorders>
              <w:top w:val="single" w:sz="4" w:space="0" w:color="auto"/>
            </w:tcBorders>
            <w:shd w:val="clear" w:color="auto" w:fill="auto"/>
            <w:tcMar>
              <w:top w:w="110" w:type="dxa"/>
            </w:tcMar>
            <w:vAlign w:val="center"/>
          </w:tcPr>
          <w:p w:rsidR="00F053BA" w:rsidRPr="000028C6" w:rsidRDefault="00F053BA" w:rsidP="00F053BA">
            <w:pPr>
              <w:keepNext/>
              <w:keepLines/>
              <w:jc w:val="center"/>
              <w:rPr>
                <w:rFonts w:cs="Arial"/>
                <w:b/>
                <w:bCs/>
                <w:sz w:val="16"/>
                <w:szCs w:val="16"/>
              </w:rPr>
            </w:pPr>
            <w:r w:rsidRPr="000028C6">
              <w:rPr>
                <w:b/>
                <w:sz w:val="16"/>
                <w:szCs w:val="16"/>
              </w:rPr>
              <w:t>CC</w:t>
            </w:r>
          </w:p>
        </w:tc>
      </w:tr>
      <w:tr w:rsidR="00F053BA" w:rsidRPr="000028C6" w:rsidTr="00F053BA">
        <w:tc>
          <w:tcPr>
            <w:tcW w:w="1098" w:type="pct"/>
            <w:shd w:val="clear" w:color="auto" w:fill="auto"/>
          </w:tcPr>
          <w:p w:rsidR="00F053BA" w:rsidRPr="00F053BA" w:rsidRDefault="00F053BA" w:rsidP="00F053BA">
            <w:pPr>
              <w:rPr>
                <w:rFonts w:cs="Arial"/>
                <w:sz w:val="16"/>
                <w:szCs w:val="16"/>
                <w:lang w:val="ru-RU"/>
              </w:rPr>
            </w:pPr>
            <w:r w:rsidRPr="00F053BA">
              <w:rPr>
                <w:sz w:val="16"/>
                <w:szCs w:val="16"/>
                <w:lang w:val="ru-RU"/>
              </w:rPr>
              <w:t xml:space="preserve">Число правительств и ОКУ, подписавших соглашение с ВОИС о реорганизации </w:t>
            </w:r>
            <w:r w:rsidRPr="000028C6">
              <w:rPr>
                <w:sz w:val="16"/>
                <w:szCs w:val="16"/>
              </w:rPr>
              <w:t>WIPOCOS</w:t>
            </w:r>
          </w:p>
        </w:tc>
        <w:tc>
          <w:tcPr>
            <w:tcW w:w="1433" w:type="pct"/>
            <w:shd w:val="clear" w:color="auto" w:fill="auto"/>
          </w:tcPr>
          <w:p w:rsidR="00F053BA" w:rsidRPr="000028C6" w:rsidRDefault="00F053BA" w:rsidP="00F053BA">
            <w:pPr>
              <w:rPr>
                <w:rFonts w:cs="Arial"/>
                <w:sz w:val="16"/>
                <w:szCs w:val="16"/>
              </w:rPr>
            </w:pPr>
            <w:r w:rsidRPr="000028C6">
              <w:rPr>
                <w:sz w:val="16"/>
                <w:szCs w:val="16"/>
              </w:rPr>
              <w:t>Деятельность еще не началась</w:t>
            </w:r>
          </w:p>
        </w:tc>
        <w:tc>
          <w:tcPr>
            <w:tcW w:w="848" w:type="pct"/>
            <w:shd w:val="clear" w:color="auto" w:fill="auto"/>
            <w:tcMar>
              <w:top w:w="110" w:type="dxa"/>
            </w:tcMar>
          </w:tcPr>
          <w:p w:rsidR="00F053BA" w:rsidRPr="000028C6" w:rsidRDefault="00F053BA" w:rsidP="00F053BA">
            <w:pPr>
              <w:pStyle w:val="Default"/>
              <w:rPr>
                <w:color w:val="auto"/>
                <w:sz w:val="16"/>
                <w:szCs w:val="16"/>
              </w:rPr>
            </w:pPr>
            <w:r w:rsidRPr="000028C6">
              <w:rPr>
                <w:color w:val="auto"/>
                <w:sz w:val="16"/>
                <w:szCs w:val="16"/>
              </w:rPr>
              <w:t>Правительства 4</w:t>
            </w:r>
            <w:r>
              <w:rPr>
                <w:color w:val="auto"/>
                <w:sz w:val="16"/>
                <w:szCs w:val="16"/>
              </w:rPr>
              <w:t> </w:t>
            </w:r>
            <w:r w:rsidRPr="000028C6">
              <w:rPr>
                <w:color w:val="auto"/>
                <w:sz w:val="16"/>
                <w:szCs w:val="16"/>
              </w:rPr>
              <w:t>стран и 5 НПО</w:t>
            </w:r>
          </w:p>
        </w:tc>
        <w:tc>
          <w:tcPr>
            <w:tcW w:w="1095" w:type="pct"/>
            <w:gridSpan w:val="2"/>
            <w:shd w:val="clear" w:color="auto" w:fill="auto"/>
            <w:tcMar>
              <w:top w:w="110" w:type="dxa"/>
            </w:tcMar>
          </w:tcPr>
          <w:p w:rsidR="00F053BA" w:rsidRPr="00F053BA" w:rsidRDefault="00F053BA" w:rsidP="00F053BA">
            <w:pPr>
              <w:rPr>
                <w:rFonts w:cs="Arial"/>
                <w:sz w:val="16"/>
                <w:szCs w:val="16"/>
                <w:lang w:val="ru-RU"/>
              </w:rPr>
            </w:pPr>
            <w:r w:rsidRPr="00F053BA">
              <w:rPr>
                <w:sz w:val="16"/>
                <w:szCs w:val="16"/>
                <w:lang w:val="ru-RU"/>
              </w:rPr>
              <w:t>Правительства семи стран (Чад, Демократической Республики Конго, Малайзии, Мали, Непала, Филиппин, Уганды) и 43 ОКУ</w:t>
            </w:r>
          </w:p>
        </w:tc>
        <w:tc>
          <w:tcPr>
            <w:tcW w:w="526" w:type="pct"/>
            <w:shd w:val="clear" w:color="auto" w:fill="auto"/>
            <w:tcMar>
              <w:top w:w="110" w:type="dxa"/>
            </w:tcMar>
          </w:tcPr>
          <w:p w:rsidR="00F053BA" w:rsidRPr="000028C6" w:rsidRDefault="00F053BA" w:rsidP="00F053BA">
            <w:pPr>
              <w:jc w:val="center"/>
              <w:rPr>
                <w:rFonts w:cs="Arial"/>
                <w:bCs/>
                <w:color w:val="008000"/>
                <w:sz w:val="16"/>
                <w:szCs w:val="16"/>
                <w:highlight w:val="yellow"/>
              </w:rPr>
            </w:pPr>
            <w:r w:rsidRPr="000028C6">
              <w:rPr>
                <w:b/>
                <w:color w:val="00B050"/>
                <w:sz w:val="16"/>
                <w:szCs w:val="16"/>
              </w:rPr>
              <w:t>Выполнено</w:t>
            </w:r>
          </w:p>
        </w:tc>
      </w:tr>
      <w:tr w:rsidR="00F053BA" w:rsidRPr="000028C6" w:rsidTr="00F053BA">
        <w:tc>
          <w:tcPr>
            <w:tcW w:w="1098" w:type="pct"/>
            <w:tcBorders>
              <w:bottom w:val="nil"/>
            </w:tcBorders>
            <w:shd w:val="clear" w:color="auto" w:fill="auto"/>
          </w:tcPr>
          <w:p w:rsidR="00F053BA" w:rsidRPr="00F053BA" w:rsidRDefault="00F053BA" w:rsidP="00F053BA">
            <w:pPr>
              <w:rPr>
                <w:rFonts w:cs="Arial"/>
                <w:sz w:val="16"/>
                <w:szCs w:val="16"/>
                <w:lang w:val="ru-RU"/>
              </w:rPr>
            </w:pPr>
            <w:r w:rsidRPr="00F053BA">
              <w:rPr>
                <w:sz w:val="16"/>
                <w:szCs w:val="16"/>
                <w:lang w:val="ru-RU"/>
              </w:rPr>
              <w:t>Число ОКУ в развивающихся странах и НРС, участвующих в региональных и глобальных сетевых проектах, пользующихся поддержкой ВОИС</w:t>
            </w:r>
          </w:p>
        </w:tc>
        <w:tc>
          <w:tcPr>
            <w:tcW w:w="1433" w:type="pct"/>
            <w:tcBorders>
              <w:bottom w:val="nil"/>
            </w:tcBorders>
            <w:shd w:val="clear" w:color="auto" w:fill="auto"/>
          </w:tcPr>
          <w:p w:rsidR="00F053BA" w:rsidRPr="000028C6" w:rsidRDefault="00F053BA" w:rsidP="00F053BA">
            <w:pPr>
              <w:autoSpaceDE w:val="0"/>
              <w:autoSpaceDN w:val="0"/>
              <w:adjustRightInd w:val="0"/>
              <w:rPr>
                <w:rFonts w:cs="Arial"/>
                <w:sz w:val="16"/>
                <w:szCs w:val="16"/>
              </w:rPr>
            </w:pPr>
            <w:r w:rsidRPr="000028C6">
              <w:rPr>
                <w:sz w:val="16"/>
                <w:szCs w:val="16"/>
              </w:rPr>
              <w:t xml:space="preserve">0 (ноль) </w:t>
            </w:r>
          </w:p>
        </w:tc>
        <w:tc>
          <w:tcPr>
            <w:tcW w:w="848" w:type="pct"/>
            <w:tcBorders>
              <w:bottom w:val="nil"/>
            </w:tcBorders>
            <w:shd w:val="clear" w:color="auto" w:fill="auto"/>
            <w:tcMar>
              <w:top w:w="110" w:type="dxa"/>
            </w:tcMar>
          </w:tcPr>
          <w:p w:rsidR="00F053BA" w:rsidRPr="000028C6" w:rsidRDefault="00F053BA" w:rsidP="00F053BA">
            <w:pPr>
              <w:rPr>
                <w:rFonts w:cs="Arial"/>
                <w:sz w:val="16"/>
                <w:szCs w:val="16"/>
              </w:rPr>
            </w:pPr>
            <w:r w:rsidRPr="000028C6">
              <w:rPr>
                <w:sz w:val="16"/>
                <w:szCs w:val="16"/>
              </w:rPr>
              <w:t>10</w:t>
            </w:r>
          </w:p>
        </w:tc>
        <w:tc>
          <w:tcPr>
            <w:tcW w:w="1095" w:type="pct"/>
            <w:gridSpan w:val="2"/>
            <w:tcBorders>
              <w:bottom w:val="nil"/>
            </w:tcBorders>
            <w:shd w:val="clear" w:color="auto" w:fill="auto"/>
            <w:tcMar>
              <w:top w:w="110" w:type="dxa"/>
            </w:tcMar>
          </w:tcPr>
          <w:p w:rsidR="00F053BA" w:rsidRPr="000028C6" w:rsidRDefault="00F053BA" w:rsidP="00F053BA">
            <w:pPr>
              <w:rPr>
                <w:rFonts w:cs="Arial"/>
                <w:sz w:val="16"/>
                <w:szCs w:val="16"/>
              </w:rPr>
            </w:pPr>
            <w:r w:rsidRPr="000028C6">
              <w:rPr>
                <w:sz w:val="16"/>
                <w:szCs w:val="16"/>
              </w:rPr>
              <w:t>13</w:t>
            </w:r>
          </w:p>
        </w:tc>
        <w:tc>
          <w:tcPr>
            <w:tcW w:w="526" w:type="pct"/>
            <w:tcBorders>
              <w:bottom w:val="nil"/>
            </w:tcBorders>
            <w:shd w:val="clear" w:color="auto" w:fill="auto"/>
          </w:tcPr>
          <w:p w:rsidR="00F053BA" w:rsidRPr="000028C6" w:rsidRDefault="00F053BA" w:rsidP="00F053BA">
            <w:pPr>
              <w:jc w:val="center"/>
              <w:rPr>
                <w:rFonts w:cs="Arial"/>
                <w:bCs/>
                <w:color w:val="333333"/>
                <w:sz w:val="16"/>
                <w:szCs w:val="16"/>
                <w:highlight w:val="yellow"/>
              </w:rPr>
            </w:pPr>
            <w:r w:rsidRPr="000028C6">
              <w:rPr>
                <w:b/>
                <w:color w:val="00B050"/>
                <w:sz w:val="16"/>
                <w:szCs w:val="16"/>
              </w:rPr>
              <w:t>Выполнено</w:t>
            </w:r>
          </w:p>
        </w:tc>
      </w:tr>
      <w:tr w:rsidR="00F053BA" w:rsidRPr="000028C6" w:rsidTr="003A5C2E">
        <w:tc>
          <w:tcPr>
            <w:tcW w:w="1098" w:type="pct"/>
            <w:tcBorders>
              <w:top w:val="nil"/>
              <w:bottom w:val="single" w:sz="4" w:space="0" w:color="auto"/>
            </w:tcBorders>
            <w:shd w:val="clear" w:color="auto" w:fill="auto"/>
          </w:tcPr>
          <w:p w:rsidR="00F053BA" w:rsidRPr="00F053BA" w:rsidRDefault="00F053BA" w:rsidP="00F053BA">
            <w:pPr>
              <w:rPr>
                <w:rFonts w:cs="Arial"/>
                <w:sz w:val="16"/>
                <w:szCs w:val="16"/>
                <w:lang w:val="ru-RU"/>
              </w:rPr>
            </w:pPr>
            <w:r w:rsidRPr="00F053BA">
              <w:rPr>
                <w:sz w:val="16"/>
                <w:szCs w:val="16"/>
                <w:lang w:val="ru-RU"/>
              </w:rPr>
              <w:t>Доля (%) правительств, положительно отозвавшихся о повышении эффективности (и совершенствовании управления) ведомств авторского права и других учреждений страны</w:t>
            </w:r>
          </w:p>
        </w:tc>
        <w:tc>
          <w:tcPr>
            <w:tcW w:w="1433" w:type="pct"/>
            <w:tcBorders>
              <w:top w:val="nil"/>
              <w:bottom w:val="single" w:sz="4" w:space="0" w:color="auto"/>
            </w:tcBorders>
            <w:shd w:val="clear" w:color="auto" w:fill="auto"/>
          </w:tcPr>
          <w:p w:rsidR="00F053BA" w:rsidRPr="00F053BA" w:rsidRDefault="00F053BA" w:rsidP="00F053BA">
            <w:pPr>
              <w:rPr>
                <w:rFonts w:cs="Arial"/>
                <w:i/>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г.:</w:t>
            </w:r>
            <w:r w:rsidRPr="00F053BA">
              <w:rPr>
                <w:color w:val="002060"/>
                <w:sz w:val="16"/>
                <w:szCs w:val="16"/>
                <w:lang w:val="ru-RU"/>
              </w:rPr>
              <w:t xml:space="preserve">  более 70% правительств стран, получивших помощь, дали положительные отзывы и отметили повышение эффективности и качества управления в соответствующих учреждениях в своих странах после обучения.</w:t>
            </w:r>
          </w:p>
          <w:p w:rsidR="00F053BA" w:rsidRPr="00F053BA" w:rsidRDefault="00F053BA" w:rsidP="00F053BA">
            <w:pPr>
              <w:rPr>
                <w:rFonts w:cs="Arial"/>
                <w:i/>
                <w:sz w:val="16"/>
                <w:szCs w:val="16"/>
                <w:lang w:val="ru-RU"/>
              </w:rPr>
            </w:pPr>
          </w:p>
          <w:p w:rsidR="00F053BA" w:rsidRPr="00F053BA" w:rsidRDefault="00F053BA" w:rsidP="00F053BA">
            <w:pPr>
              <w:pStyle w:val="Default"/>
              <w:rPr>
                <w:sz w:val="16"/>
                <w:szCs w:val="16"/>
                <w:lang w:val="ru-RU"/>
              </w:rPr>
            </w:pPr>
            <w:r w:rsidRPr="00F053BA">
              <w:rPr>
                <w:i/>
                <w:sz w:val="16"/>
                <w:szCs w:val="16"/>
                <w:lang w:val="ru-RU"/>
              </w:rPr>
              <w:t xml:space="preserve">Исходные базовые показатели ПиБ на 2014–2015 гг.: </w:t>
            </w:r>
            <w:r w:rsidRPr="00F053BA">
              <w:rPr>
                <w:sz w:val="16"/>
                <w:szCs w:val="16"/>
                <w:lang w:val="ru-RU"/>
              </w:rPr>
              <w:t xml:space="preserve">уровень удовлетворенности составил 80% </w:t>
            </w:r>
          </w:p>
          <w:p w:rsidR="00F053BA" w:rsidRPr="00F053BA" w:rsidRDefault="00F053BA" w:rsidP="00F053BA">
            <w:pPr>
              <w:pStyle w:val="Default"/>
              <w:rPr>
                <w:i/>
                <w:color w:val="002060"/>
                <w:sz w:val="16"/>
                <w:szCs w:val="16"/>
                <w:lang w:val="ru-RU"/>
              </w:rPr>
            </w:pPr>
          </w:p>
        </w:tc>
        <w:tc>
          <w:tcPr>
            <w:tcW w:w="848" w:type="pct"/>
            <w:tcBorders>
              <w:top w:val="nil"/>
              <w:bottom w:val="single" w:sz="4" w:space="0" w:color="auto"/>
            </w:tcBorders>
            <w:shd w:val="clear" w:color="auto" w:fill="auto"/>
            <w:tcMar>
              <w:top w:w="110" w:type="dxa"/>
            </w:tcMar>
          </w:tcPr>
          <w:p w:rsidR="00F053BA" w:rsidRPr="000028C6" w:rsidRDefault="00F053BA" w:rsidP="00F053BA">
            <w:pPr>
              <w:rPr>
                <w:rFonts w:eastAsia="Batang" w:cs="Arial"/>
                <w:sz w:val="16"/>
                <w:szCs w:val="16"/>
              </w:rPr>
            </w:pPr>
            <w:r w:rsidRPr="000028C6">
              <w:rPr>
                <w:sz w:val="16"/>
                <w:szCs w:val="16"/>
              </w:rPr>
              <w:t>80% стран, получивших техническую помощь</w:t>
            </w:r>
          </w:p>
        </w:tc>
        <w:tc>
          <w:tcPr>
            <w:tcW w:w="1095" w:type="pct"/>
            <w:gridSpan w:val="2"/>
            <w:tcBorders>
              <w:top w:val="nil"/>
              <w:bottom w:val="single" w:sz="4" w:space="0" w:color="auto"/>
            </w:tcBorders>
            <w:shd w:val="clear" w:color="auto" w:fill="FFFFFF"/>
            <w:tcMar>
              <w:top w:w="110" w:type="dxa"/>
            </w:tcMar>
          </w:tcPr>
          <w:p w:rsidR="00F053BA" w:rsidRPr="000028C6" w:rsidRDefault="00F053BA" w:rsidP="00F053BA">
            <w:pPr>
              <w:rPr>
                <w:rFonts w:cs="Arial"/>
                <w:sz w:val="16"/>
                <w:szCs w:val="16"/>
              </w:rPr>
            </w:pPr>
            <w:r w:rsidRPr="000028C6">
              <w:rPr>
                <w:sz w:val="16"/>
                <w:szCs w:val="16"/>
              </w:rPr>
              <w:t>80% стран, получивших техническую помощь</w:t>
            </w:r>
          </w:p>
        </w:tc>
        <w:tc>
          <w:tcPr>
            <w:tcW w:w="526" w:type="pct"/>
            <w:tcBorders>
              <w:top w:val="nil"/>
              <w:bottom w:val="single" w:sz="4" w:space="0" w:color="auto"/>
            </w:tcBorders>
            <w:shd w:val="clear" w:color="auto" w:fill="auto"/>
          </w:tcPr>
          <w:p w:rsidR="00F053BA" w:rsidRPr="000028C6" w:rsidRDefault="00F053BA" w:rsidP="00F053BA">
            <w:pPr>
              <w:jc w:val="center"/>
              <w:rPr>
                <w:rFonts w:cs="Arial"/>
                <w:b/>
                <w:bCs/>
                <w:color w:val="00B050"/>
                <w:sz w:val="16"/>
                <w:szCs w:val="16"/>
              </w:rPr>
            </w:pPr>
            <w:r w:rsidRPr="000028C6">
              <w:rPr>
                <w:b/>
                <w:color w:val="00B050"/>
                <w:sz w:val="16"/>
                <w:szCs w:val="16"/>
              </w:rPr>
              <w:t>Выполнено</w:t>
            </w:r>
          </w:p>
        </w:tc>
      </w:tr>
      <w:tr w:rsidR="00F053BA" w:rsidRPr="005C6ABD" w:rsidTr="003A5C2E">
        <w:trPr>
          <w:trHeight w:val="430"/>
        </w:trPr>
        <w:tc>
          <w:tcPr>
            <w:tcW w:w="5000" w:type="pct"/>
            <w:gridSpan w:val="6"/>
            <w:tcBorders>
              <w:top w:val="single" w:sz="4" w:space="0" w:color="auto"/>
              <w:bottom w:val="single" w:sz="4" w:space="0" w:color="auto"/>
            </w:tcBorders>
            <w:shd w:val="clear" w:color="auto" w:fill="C6D9F1" w:themeFill="text2" w:themeFillTint="33"/>
            <w:vAlign w:val="center"/>
          </w:tcPr>
          <w:p w:rsidR="00F053BA" w:rsidRPr="00F053BA" w:rsidRDefault="00F053BA" w:rsidP="00165412">
            <w:pPr>
              <w:keepNext/>
              <w:keepLines/>
              <w:tabs>
                <w:tab w:val="left" w:pos="2160"/>
              </w:tabs>
              <w:ind w:left="2160" w:hanging="2160"/>
              <w:rPr>
                <w:rFonts w:cs="Arial"/>
                <w:b/>
                <w:bCs/>
                <w:sz w:val="16"/>
                <w:szCs w:val="16"/>
                <w:lang w:val="ru-RU"/>
              </w:rPr>
            </w:pPr>
            <w:r w:rsidRPr="00F053BA">
              <w:rPr>
                <w:b/>
                <w:sz w:val="16"/>
                <w:szCs w:val="16"/>
                <w:lang w:val="ru-RU"/>
              </w:rPr>
              <w:t>Ожидаемый результат:</w:t>
            </w:r>
            <w:r w:rsidRPr="00F053BA">
              <w:rPr>
                <w:sz w:val="16"/>
                <w:szCs w:val="16"/>
                <w:lang w:val="ru-RU"/>
              </w:rPr>
              <w:t xml:space="preserve"> </w:t>
            </w:r>
            <w:r w:rsidRPr="00F053BA">
              <w:rPr>
                <w:sz w:val="16"/>
                <w:szCs w:val="16"/>
                <w:lang w:val="ru-RU"/>
              </w:rPr>
              <w:tab/>
            </w:r>
            <w:r w:rsidRPr="000028C6">
              <w:rPr>
                <w:color w:val="000000"/>
                <w:sz w:val="16"/>
                <w:szCs w:val="16"/>
              </w:rPr>
              <w:t>V</w:t>
            </w:r>
            <w:r w:rsidRPr="00F053BA">
              <w:rPr>
                <w:color w:val="000000"/>
                <w:sz w:val="16"/>
                <w:szCs w:val="16"/>
                <w:lang w:val="ru-RU"/>
              </w:rPr>
              <w:t>.2. Более широкое и эффективное использование эк</w:t>
            </w:r>
            <w:r w:rsidR="00165412">
              <w:rPr>
                <w:color w:val="000000"/>
                <w:sz w:val="16"/>
                <w:szCs w:val="16"/>
                <w:lang w:val="ru-RU"/>
              </w:rPr>
              <w:t xml:space="preserve">ономического анализа ВОИС при </w:t>
            </w:r>
            <w:r w:rsidRPr="00F053BA">
              <w:rPr>
                <w:color w:val="000000"/>
                <w:sz w:val="16"/>
                <w:szCs w:val="16"/>
                <w:lang w:val="ru-RU"/>
              </w:rPr>
              <w:t>разработке политики</w:t>
            </w:r>
          </w:p>
        </w:tc>
      </w:tr>
      <w:tr w:rsidR="00F053BA" w:rsidRPr="000028C6" w:rsidTr="00F053BA">
        <w:tc>
          <w:tcPr>
            <w:tcW w:w="1098" w:type="pct"/>
            <w:tcBorders>
              <w:top w:val="single" w:sz="4" w:space="0" w:color="auto"/>
            </w:tcBorders>
            <w:shd w:val="clear" w:color="auto" w:fill="auto"/>
            <w:vAlign w:val="center"/>
          </w:tcPr>
          <w:p w:rsidR="00F053BA" w:rsidRPr="000028C6" w:rsidRDefault="00F053BA" w:rsidP="00F053BA">
            <w:pPr>
              <w:keepNext/>
              <w:keepLines/>
              <w:rPr>
                <w:rFonts w:cs="Arial"/>
                <w:sz w:val="16"/>
                <w:szCs w:val="16"/>
              </w:rPr>
            </w:pPr>
            <w:r w:rsidRPr="000028C6">
              <w:rPr>
                <w:b/>
                <w:sz w:val="16"/>
                <w:szCs w:val="16"/>
              </w:rPr>
              <w:t>Показатели результативности</w:t>
            </w:r>
          </w:p>
        </w:tc>
        <w:tc>
          <w:tcPr>
            <w:tcW w:w="1433" w:type="pct"/>
            <w:tcBorders>
              <w:top w:val="single" w:sz="4" w:space="0" w:color="auto"/>
            </w:tcBorders>
            <w:shd w:val="clear" w:color="auto" w:fill="auto"/>
            <w:vAlign w:val="center"/>
          </w:tcPr>
          <w:p w:rsidR="00F053BA" w:rsidRPr="000028C6" w:rsidRDefault="00F053BA" w:rsidP="00F053BA">
            <w:pPr>
              <w:keepNext/>
              <w:keepLines/>
              <w:rPr>
                <w:rFonts w:cs="Arial"/>
                <w:b/>
                <w:bCs/>
                <w:sz w:val="16"/>
                <w:szCs w:val="16"/>
              </w:rPr>
            </w:pPr>
            <w:r w:rsidRPr="000028C6">
              <w:rPr>
                <w:b/>
                <w:sz w:val="16"/>
                <w:szCs w:val="16"/>
              </w:rPr>
              <w:t>Базовые показатели</w:t>
            </w:r>
          </w:p>
        </w:tc>
        <w:tc>
          <w:tcPr>
            <w:tcW w:w="921" w:type="pct"/>
            <w:gridSpan w:val="2"/>
            <w:tcBorders>
              <w:top w:val="single" w:sz="4" w:space="0" w:color="auto"/>
            </w:tcBorders>
            <w:shd w:val="clear" w:color="auto" w:fill="auto"/>
            <w:tcMar>
              <w:top w:w="110" w:type="dxa"/>
            </w:tcMar>
            <w:vAlign w:val="center"/>
          </w:tcPr>
          <w:p w:rsidR="00F053BA" w:rsidRPr="000028C6" w:rsidRDefault="00F053BA" w:rsidP="00F053BA">
            <w:pPr>
              <w:keepNext/>
              <w:keepLines/>
              <w:rPr>
                <w:rFonts w:cs="Arial"/>
                <w:b/>
                <w:sz w:val="16"/>
                <w:szCs w:val="16"/>
              </w:rPr>
            </w:pPr>
            <w:r w:rsidRPr="000028C6">
              <w:rPr>
                <w:b/>
                <w:sz w:val="16"/>
                <w:szCs w:val="16"/>
              </w:rPr>
              <w:t>Цели</w:t>
            </w:r>
          </w:p>
        </w:tc>
        <w:tc>
          <w:tcPr>
            <w:tcW w:w="1022" w:type="pct"/>
            <w:tcBorders>
              <w:top w:val="single" w:sz="4" w:space="0" w:color="auto"/>
            </w:tcBorders>
            <w:shd w:val="clear" w:color="auto" w:fill="FFFFFF"/>
            <w:tcMar>
              <w:top w:w="110" w:type="dxa"/>
            </w:tcMar>
            <w:vAlign w:val="center"/>
          </w:tcPr>
          <w:p w:rsidR="00F053BA" w:rsidRPr="000028C6" w:rsidRDefault="00F053BA" w:rsidP="00F053BA">
            <w:pPr>
              <w:keepNext/>
              <w:keepLines/>
              <w:rPr>
                <w:rFonts w:cs="Arial"/>
                <w:sz w:val="16"/>
                <w:szCs w:val="16"/>
              </w:rPr>
            </w:pPr>
            <w:r w:rsidRPr="000028C6">
              <w:rPr>
                <w:b/>
                <w:sz w:val="16"/>
                <w:szCs w:val="16"/>
              </w:rPr>
              <w:t>Данные о результативности</w:t>
            </w:r>
          </w:p>
        </w:tc>
        <w:tc>
          <w:tcPr>
            <w:tcW w:w="526" w:type="pct"/>
            <w:tcBorders>
              <w:top w:val="single" w:sz="4" w:space="0" w:color="auto"/>
            </w:tcBorders>
            <w:shd w:val="clear" w:color="auto" w:fill="auto"/>
            <w:tcMar>
              <w:top w:w="110" w:type="dxa"/>
            </w:tcMar>
            <w:vAlign w:val="center"/>
          </w:tcPr>
          <w:p w:rsidR="00F053BA" w:rsidRPr="000028C6" w:rsidRDefault="00F053BA" w:rsidP="00F053BA">
            <w:pPr>
              <w:keepNext/>
              <w:keepLines/>
              <w:jc w:val="center"/>
              <w:rPr>
                <w:rFonts w:cs="Arial"/>
                <w:b/>
                <w:bCs/>
                <w:sz w:val="16"/>
                <w:szCs w:val="16"/>
              </w:rPr>
            </w:pPr>
            <w:r w:rsidRPr="000028C6">
              <w:rPr>
                <w:b/>
                <w:sz w:val="16"/>
                <w:szCs w:val="16"/>
              </w:rPr>
              <w:t>CC</w:t>
            </w:r>
          </w:p>
        </w:tc>
      </w:tr>
      <w:tr w:rsidR="00F053BA" w:rsidRPr="000028C6" w:rsidTr="00F053BA">
        <w:tc>
          <w:tcPr>
            <w:tcW w:w="1098" w:type="pct"/>
            <w:shd w:val="clear" w:color="auto" w:fill="auto"/>
          </w:tcPr>
          <w:p w:rsidR="00F053BA" w:rsidRPr="00F053BA" w:rsidRDefault="00F053BA" w:rsidP="00F053BA">
            <w:pPr>
              <w:keepNext/>
              <w:keepLines/>
              <w:rPr>
                <w:rFonts w:cs="Arial"/>
                <w:sz w:val="16"/>
                <w:szCs w:val="16"/>
                <w:lang w:val="ru-RU"/>
              </w:rPr>
            </w:pPr>
            <w:r w:rsidRPr="00F053BA">
              <w:rPr>
                <w:sz w:val="16"/>
                <w:szCs w:val="16"/>
                <w:lang w:val="ru-RU"/>
              </w:rPr>
              <w:t>Использование правительствами и НПО результатов экономических исследований ВОИС по вопросам авторского права при принятии решений</w:t>
            </w:r>
          </w:p>
        </w:tc>
        <w:tc>
          <w:tcPr>
            <w:tcW w:w="1433" w:type="pct"/>
            <w:shd w:val="clear" w:color="auto" w:fill="auto"/>
          </w:tcPr>
          <w:p w:rsidR="00F053BA" w:rsidRPr="00F053BA" w:rsidRDefault="00F053BA" w:rsidP="00F053BA">
            <w:pPr>
              <w:keepNext/>
              <w:keepLines/>
              <w:rPr>
                <w:rFonts w:cs="Arial"/>
                <w:color w:val="002060"/>
                <w:sz w:val="16"/>
                <w:szCs w:val="16"/>
                <w:lang w:val="ru-RU"/>
              </w:rPr>
            </w:pPr>
            <w:r w:rsidRPr="00F053BA">
              <w:rPr>
                <w:i/>
                <w:color w:val="002060"/>
                <w:sz w:val="16"/>
                <w:szCs w:val="16"/>
                <w:lang w:val="ru-RU"/>
              </w:rPr>
              <w:t>Обновленные базовые показатели, конец 2013</w:t>
            </w:r>
            <w:r w:rsidRPr="000028C6">
              <w:rPr>
                <w:i/>
                <w:color w:val="002060"/>
                <w:sz w:val="16"/>
                <w:szCs w:val="16"/>
              </w:rPr>
              <w:t> </w:t>
            </w:r>
            <w:r w:rsidRPr="00F053BA">
              <w:rPr>
                <w:i/>
                <w:color w:val="002060"/>
                <w:sz w:val="16"/>
                <w:szCs w:val="16"/>
                <w:lang w:val="ru-RU"/>
              </w:rPr>
              <w:t>г.:</w:t>
            </w:r>
          </w:p>
          <w:p w:rsidR="00F053BA" w:rsidRPr="00F053BA" w:rsidRDefault="00F053BA" w:rsidP="00F053BA">
            <w:pPr>
              <w:keepNext/>
              <w:keepLines/>
              <w:rPr>
                <w:rFonts w:cs="Arial"/>
                <w:color w:val="002060"/>
                <w:sz w:val="16"/>
                <w:szCs w:val="16"/>
                <w:lang w:val="ru-RU"/>
              </w:rPr>
            </w:pPr>
            <w:r w:rsidRPr="00F053BA">
              <w:rPr>
                <w:color w:val="002060"/>
                <w:sz w:val="16"/>
                <w:szCs w:val="16"/>
                <w:lang w:val="ru-RU"/>
              </w:rPr>
              <w:t>10 стран в 2012–2013</w:t>
            </w:r>
            <w:r w:rsidRPr="000028C6">
              <w:rPr>
                <w:color w:val="002060"/>
                <w:sz w:val="16"/>
                <w:szCs w:val="16"/>
              </w:rPr>
              <w:t> </w:t>
            </w:r>
            <w:r w:rsidRPr="00F053BA">
              <w:rPr>
                <w:color w:val="002060"/>
                <w:sz w:val="16"/>
                <w:szCs w:val="16"/>
                <w:lang w:val="ru-RU"/>
              </w:rPr>
              <w:t xml:space="preserve">гг.:  Болгария, Китай, Хорватия, Ямайка, Кения, Малайзия, Объединенная Республика Танзания, Таиланд и Тринидад и Тобаго. </w:t>
            </w:r>
            <w:r w:rsidRPr="00F053BA">
              <w:rPr>
                <w:i/>
                <w:color w:val="002060"/>
                <w:sz w:val="16"/>
                <w:szCs w:val="16"/>
                <w:lang w:val="ru-RU"/>
              </w:rPr>
              <w:t xml:space="preserve"> </w:t>
            </w:r>
            <w:r w:rsidRPr="00F053BA">
              <w:rPr>
                <w:color w:val="002060"/>
                <w:sz w:val="16"/>
                <w:szCs w:val="16"/>
                <w:lang w:val="ru-RU"/>
              </w:rPr>
              <w:t xml:space="preserve"> </w:t>
            </w: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правительства восьми стран или НПО используют исследования ВОИС</w:t>
            </w:r>
          </w:p>
          <w:p w:rsidR="00F053BA" w:rsidRPr="00F053BA" w:rsidRDefault="00F053BA" w:rsidP="00F053BA">
            <w:pPr>
              <w:keepNext/>
              <w:keepLines/>
              <w:rPr>
                <w:rFonts w:cs="Arial"/>
                <w:sz w:val="16"/>
                <w:szCs w:val="16"/>
                <w:lang w:val="ru-RU"/>
              </w:rPr>
            </w:pPr>
          </w:p>
        </w:tc>
        <w:tc>
          <w:tcPr>
            <w:tcW w:w="921" w:type="pct"/>
            <w:gridSpan w:val="2"/>
            <w:shd w:val="clear" w:color="auto" w:fill="auto"/>
            <w:tcMar>
              <w:top w:w="110" w:type="dxa"/>
            </w:tcMar>
          </w:tcPr>
          <w:p w:rsidR="00F053BA" w:rsidRPr="00F053BA" w:rsidRDefault="00F053BA" w:rsidP="00F053BA">
            <w:pPr>
              <w:keepNext/>
              <w:keepLines/>
              <w:rPr>
                <w:rFonts w:cs="Arial"/>
                <w:sz w:val="16"/>
                <w:szCs w:val="16"/>
                <w:lang w:val="ru-RU"/>
              </w:rPr>
            </w:pPr>
            <w:r w:rsidRPr="00F053BA">
              <w:rPr>
                <w:sz w:val="16"/>
                <w:szCs w:val="16"/>
                <w:lang w:val="ru-RU"/>
              </w:rPr>
              <w:t>Результаты исследований ВОИС используют 12 правительств или НПО (всего)</w:t>
            </w:r>
          </w:p>
        </w:tc>
        <w:tc>
          <w:tcPr>
            <w:tcW w:w="1022" w:type="pct"/>
            <w:shd w:val="clear" w:color="auto" w:fill="FFFFFF"/>
            <w:tcMar>
              <w:top w:w="110" w:type="dxa"/>
            </w:tcMar>
          </w:tcPr>
          <w:p w:rsidR="00F053BA" w:rsidRPr="00F053BA" w:rsidRDefault="00F053BA" w:rsidP="00F053BA">
            <w:pPr>
              <w:keepNext/>
              <w:keepLines/>
              <w:rPr>
                <w:rFonts w:cs="Arial"/>
                <w:sz w:val="16"/>
                <w:szCs w:val="16"/>
                <w:lang w:val="ru-RU"/>
              </w:rPr>
            </w:pPr>
            <w:r w:rsidRPr="00F053BA">
              <w:rPr>
                <w:sz w:val="16"/>
                <w:szCs w:val="16"/>
                <w:lang w:val="ru-RU"/>
              </w:rPr>
              <w:t xml:space="preserve">Результаты исследований ВОИС используют еще 13 стран и НПО (Финляндия, Индонезия, Латвия, Литва, Малави, Молдова, Нидерланды, Филиппины, Республика Корея, Сербия, Соединенные Штаты Америки, </w:t>
            </w:r>
            <w:r w:rsidRPr="000028C6">
              <w:rPr>
                <w:sz w:val="16"/>
                <w:szCs w:val="16"/>
              </w:rPr>
              <w:t>CERLALC</w:t>
            </w:r>
            <w:r w:rsidRPr="00F053BA">
              <w:rPr>
                <w:sz w:val="16"/>
                <w:szCs w:val="16"/>
                <w:lang w:val="ru-RU"/>
              </w:rPr>
              <w:t xml:space="preserve"> и </w:t>
            </w:r>
            <w:r w:rsidRPr="000028C6">
              <w:rPr>
                <w:sz w:val="16"/>
                <w:szCs w:val="16"/>
              </w:rPr>
              <w:t>SERCI</w:t>
            </w:r>
            <w:r w:rsidRPr="00F053BA">
              <w:rPr>
                <w:sz w:val="16"/>
                <w:szCs w:val="16"/>
                <w:lang w:val="ru-RU"/>
              </w:rPr>
              <w:t>).</w:t>
            </w:r>
          </w:p>
          <w:p w:rsidR="00F053BA" w:rsidRPr="00F053BA" w:rsidRDefault="00F053BA" w:rsidP="00F053BA">
            <w:pPr>
              <w:keepNext/>
              <w:keepLines/>
              <w:rPr>
                <w:rFonts w:cs="Arial"/>
                <w:sz w:val="16"/>
                <w:szCs w:val="16"/>
                <w:lang w:val="ru-RU"/>
              </w:rPr>
            </w:pPr>
          </w:p>
          <w:p w:rsidR="00F053BA" w:rsidRPr="000028C6" w:rsidRDefault="00F053BA" w:rsidP="00F053BA">
            <w:pPr>
              <w:keepNext/>
              <w:keepLines/>
              <w:rPr>
                <w:rFonts w:cs="Arial"/>
                <w:sz w:val="16"/>
                <w:szCs w:val="16"/>
              </w:rPr>
            </w:pPr>
            <w:r w:rsidRPr="000028C6">
              <w:rPr>
                <w:sz w:val="16"/>
                <w:szCs w:val="16"/>
              </w:rPr>
              <w:t>23 страны и НПО (всего)</w:t>
            </w:r>
          </w:p>
        </w:tc>
        <w:tc>
          <w:tcPr>
            <w:tcW w:w="526" w:type="pct"/>
            <w:shd w:val="clear" w:color="auto" w:fill="auto"/>
            <w:tcMar>
              <w:top w:w="110" w:type="dxa"/>
            </w:tcMar>
          </w:tcPr>
          <w:p w:rsidR="00F053BA" w:rsidRPr="000028C6" w:rsidRDefault="00F053BA" w:rsidP="00F053BA">
            <w:pPr>
              <w:keepNext/>
              <w:keepLines/>
              <w:jc w:val="center"/>
              <w:rPr>
                <w:rFonts w:cs="Arial"/>
                <w:sz w:val="16"/>
                <w:szCs w:val="16"/>
              </w:rPr>
            </w:pPr>
            <w:r w:rsidRPr="000028C6">
              <w:rPr>
                <w:b/>
                <w:color w:val="00B050"/>
                <w:sz w:val="16"/>
                <w:szCs w:val="16"/>
              </w:rPr>
              <w:t>Выполнено</w:t>
            </w:r>
          </w:p>
        </w:tc>
      </w:tr>
      <w:tr w:rsidR="00F053BA" w:rsidRPr="000028C6" w:rsidTr="00F053BA">
        <w:tc>
          <w:tcPr>
            <w:tcW w:w="1098" w:type="pct"/>
            <w:tcBorders>
              <w:bottom w:val="single" w:sz="4" w:space="0" w:color="auto"/>
            </w:tcBorders>
            <w:shd w:val="clear" w:color="auto" w:fill="auto"/>
          </w:tcPr>
          <w:p w:rsidR="00F053BA" w:rsidRPr="00F053BA" w:rsidRDefault="00F053BA" w:rsidP="00F053BA">
            <w:pPr>
              <w:rPr>
                <w:rFonts w:cs="Arial"/>
                <w:sz w:val="16"/>
                <w:szCs w:val="16"/>
                <w:lang w:val="ru-RU"/>
              </w:rPr>
            </w:pPr>
            <w:r w:rsidRPr="00F053BA">
              <w:rPr>
                <w:sz w:val="16"/>
                <w:szCs w:val="16"/>
                <w:lang w:val="ru-RU"/>
              </w:rPr>
              <w:t xml:space="preserve">Национальные инициативы по разработке дополнительных статистических показателей по творческим отраслям, основанные на результатах работы ВОИС в данной области </w:t>
            </w:r>
          </w:p>
        </w:tc>
        <w:tc>
          <w:tcPr>
            <w:tcW w:w="1433" w:type="pct"/>
            <w:shd w:val="clear" w:color="auto" w:fill="auto"/>
          </w:tcPr>
          <w:p w:rsidR="00F053BA" w:rsidRPr="00F053BA" w:rsidRDefault="00F053BA" w:rsidP="00F053BA">
            <w:pPr>
              <w:rPr>
                <w:rFonts w:cs="Arial"/>
                <w:sz w:val="16"/>
                <w:szCs w:val="16"/>
                <w:lang w:val="ru-RU"/>
              </w:rPr>
            </w:pPr>
            <w:r w:rsidRPr="00F053BA">
              <w:rPr>
                <w:sz w:val="16"/>
                <w:szCs w:val="16"/>
                <w:lang w:val="ru-RU"/>
              </w:rPr>
              <w:t>10 национальных инициатив (Болгария, Китай, Колумбия, Хорватия, Ямайка, Кения, Малайзия, Таиланд, Тринидад и Тобаго, Объединенная Республика Танзания).</w:t>
            </w:r>
          </w:p>
          <w:p w:rsidR="00F053BA" w:rsidRPr="00F053BA" w:rsidRDefault="00F053BA" w:rsidP="00F053BA">
            <w:pPr>
              <w:rPr>
                <w:rFonts w:cs="Arial"/>
                <w:sz w:val="16"/>
                <w:szCs w:val="16"/>
                <w:lang w:val="ru-RU"/>
              </w:rPr>
            </w:pPr>
          </w:p>
        </w:tc>
        <w:tc>
          <w:tcPr>
            <w:tcW w:w="921" w:type="pct"/>
            <w:gridSpan w:val="2"/>
            <w:shd w:val="clear" w:color="auto" w:fill="auto"/>
            <w:tcMar>
              <w:top w:w="110" w:type="dxa"/>
            </w:tcMar>
          </w:tcPr>
          <w:p w:rsidR="00F053BA" w:rsidRPr="000028C6" w:rsidRDefault="00F053BA" w:rsidP="00F053BA">
            <w:pPr>
              <w:pStyle w:val="Default"/>
              <w:rPr>
                <w:color w:val="auto"/>
                <w:sz w:val="16"/>
                <w:szCs w:val="16"/>
              </w:rPr>
            </w:pPr>
            <w:r w:rsidRPr="000028C6">
              <w:rPr>
                <w:color w:val="auto"/>
                <w:sz w:val="16"/>
                <w:szCs w:val="16"/>
              </w:rPr>
              <w:t>15 национальных инициатив (всего)</w:t>
            </w:r>
          </w:p>
        </w:tc>
        <w:tc>
          <w:tcPr>
            <w:tcW w:w="1022" w:type="pct"/>
            <w:shd w:val="clear" w:color="auto" w:fill="FFFFFF"/>
            <w:tcMar>
              <w:top w:w="110" w:type="dxa"/>
            </w:tcMar>
          </w:tcPr>
          <w:p w:rsidR="00F053BA" w:rsidRPr="00F053BA" w:rsidRDefault="00F053BA" w:rsidP="00F053BA">
            <w:pPr>
              <w:rPr>
                <w:rFonts w:cs="Arial"/>
                <w:sz w:val="16"/>
                <w:szCs w:val="16"/>
                <w:lang w:val="ru-RU"/>
              </w:rPr>
            </w:pPr>
            <w:r w:rsidRPr="00F053BA">
              <w:rPr>
                <w:sz w:val="16"/>
                <w:szCs w:val="16"/>
                <w:lang w:val="ru-RU"/>
              </w:rPr>
              <w:t>еще одна национальная инициатива (Финляндия) в 2014</w:t>
            </w:r>
            <w:r>
              <w:rPr>
                <w:sz w:val="16"/>
                <w:szCs w:val="16"/>
              </w:rPr>
              <w:t> </w:t>
            </w:r>
            <w:r w:rsidRPr="00F053BA">
              <w:rPr>
                <w:sz w:val="16"/>
                <w:szCs w:val="16"/>
                <w:lang w:val="ru-RU"/>
              </w:rPr>
              <w:t>г.; работа в этой области была прекращена в 2015</w:t>
            </w:r>
            <w:r w:rsidRPr="000028C6">
              <w:rPr>
                <w:sz w:val="16"/>
                <w:szCs w:val="16"/>
              </w:rPr>
              <w:t> </w:t>
            </w:r>
            <w:r w:rsidRPr="00F053BA">
              <w:rPr>
                <w:sz w:val="16"/>
                <w:szCs w:val="16"/>
                <w:lang w:val="ru-RU"/>
              </w:rPr>
              <w:t>г.</w:t>
            </w:r>
          </w:p>
          <w:p w:rsidR="00F053BA" w:rsidRPr="00F053BA" w:rsidRDefault="00F053BA" w:rsidP="00F053BA">
            <w:pPr>
              <w:rPr>
                <w:rFonts w:cs="Arial"/>
                <w:sz w:val="16"/>
                <w:szCs w:val="16"/>
                <w:lang w:val="ru-RU"/>
              </w:rPr>
            </w:pPr>
          </w:p>
          <w:p w:rsidR="00F053BA" w:rsidRPr="000028C6" w:rsidRDefault="00F053BA" w:rsidP="00F053BA">
            <w:pPr>
              <w:rPr>
                <w:rFonts w:cs="Arial"/>
                <w:sz w:val="16"/>
                <w:szCs w:val="16"/>
              </w:rPr>
            </w:pPr>
            <w:r w:rsidRPr="000028C6">
              <w:rPr>
                <w:sz w:val="16"/>
                <w:szCs w:val="16"/>
              </w:rPr>
              <w:t>11 национальных инициатив (всего)</w:t>
            </w:r>
          </w:p>
          <w:p w:rsidR="00F053BA" w:rsidRPr="000028C6" w:rsidRDefault="00F053BA" w:rsidP="00F053BA">
            <w:pPr>
              <w:rPr>
                <w:rFonts w:cs="Arial"/>
                <w:sz w:val="16"/>
                <w:szCs w:val="16"/>
              </w:rPr>
            </w:pPr>
          </w:p>
        </w:tc>
        <w:tc>
          <w:tcPr>
            <w:tcW w:w="526" w:type="pct"/>
            <w:shd w:val="clear" w:color="auto" w:fill="auto"/>
          </w:tcPr>
          <w:p w:rsidR="00F053BA" w:rsidRPr="000028C6" w:rsidRDefault="00F053BA" w:rsidP="00F053BA">
            <w:pPr>
              <w:jc w:val="center"/>
              <w:rPr>
                <w:rFonts w:cs="Arial"/>
                <w:b/>
                <w:bCs/>
                <w:color w:val="808080"/>
                <w:sz w:val="16"/>
                <w:szCs w:val="16"/>
              </w:rPr>
            </w:pPr>
            <w:r w:rsidRPr="000028C6">
              <w:rPr>
                <w:b/>
                <w:sz w:val="16"/>
                <w:szCs w:val="16"/>
              </w:rPr>
              <w:t>Отменено</w:t>
            </w:r>
          </w:p>
          <w:p w:rsidR="00F053BA" w:rsidRPr="000028C6" w:rsidRDefault="00F053BA" w:rsidP="00F053BA">
            <w:pPr>
              <w:tabs>
                <w:tab w:val="center" w:pos="4536"/>
                <w:tab w:val="right" w:pos="9072"/>
              </w:tabs>
              <w:jc w:val="center"/>
              <w:rPr>
                <w:rFonts w:cs="Arial"/>
                <w:sz w:val="16"/>
                <w:szCs w:val="16"/>
              </w:rPr>
            </w:pPr>
          </w:p>
        </w:tc>
      </w:tr>
    </w:tbl>
    <w:p w:rsidR="00F053BA" w:rsidRPr="00383D2D" w:rsidRDefault="00F053BA" w:rsidP="00F053BA">
      <w:pPr>
        <w:rPr>
          <w:szCs w:val="20"/>
        </w:rPr>
      </w:pPr>
    </w:p>
    <w:p w:rsidR="00F053BA" w:rsidRDefault="00F053BA" w:rsidP="00F053BA">
      <w:pPr>
        <w:keepNext/>
        <w:keepLines/>
        <w:rPr>
          <w:rFonts w:cs="Arial"/>
          <w:color w:val="000000"/>
          <w:sz w:val="22"/>
          <w:szCs w:val="22"/>
        </w:rPr>
      </w:pPr>
    </w:p>
    <w:p w:rsidR="00F053BA" w:rsidRPr="00F053BA" w:rsidRDefault="00F053BA" w:rsidP="00F053BA">
      <w:pPr>
        <w:keepNext/>
        <w:keepLines/>
        <w:rPr>
          <w:rFonts w:cs="Arial"/>
          <w:color w:val="000000"/>
          <w:szCs w:val="22"/>
          <w:lang w:val="ru-RU"/>
        </w:rPr>
      </w:pPr>
      <w:r w:rsidRPr="00F053BA">
        <w:rPr>
          <w:color w:val="000000"/>
          <w:lang w:val="ru-RU"/>
        </w:rPr>
        <w:t>ОТЧЕТ О РИСКАХ В ДВУХЛЕТНИЙ ПЕРИОД</w:t>
      </w:r>
    </w:p>
    <w:p w:rsidR="00F053BA" w:rsidRPr="00F053BA" w:rsidRDefault="00F053BA" w:rsidP="00F053BA">
      <w:pPr>
        <w:rPr>
          <w:rFonts w:cs="Arial"/>
          <w:color w:val="000000"/>
          <w:sz w:val="22"/>
          <w:szCs w:val="22"/>
          <w:lang w:val="ru-RU"/>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20"/>
        <w:gridCol w:w="2200"/>
        <w:gridCol w:w="2310"/>
        <w:gridCol w:w="2426"/>
      </w:tblGrid>
      <w:tr w:rsidR="00F053BA" w:rsidTr="00F053BA">
        <w:trPr>
          <w:trHeight w:val="417"/>
        </w:trPr>
        <w:tc>
          <w:tcPr>
            <w:tcW w:w="2420" w:type="dxa"/>
            <w:tcBorders>
              <w:top w:val="single" w:sz="4" w:space="0" w:color="auto"/>
              <w:left w:val="single" w:sz="4" w:space="0" w:color="auto"/>
              <w:bottom w:val="single" w:sz="4" w:space="0" w:color="auto"/>
              <w:right w:val="nil"/>
            </w:tcBorders>
            <w:shd w:val="clear" w:color="auto" w:fill="C6D9F1" w:themeFill="text2" w:themeFillTint="33"/>
            <w:tcMar>
              <w:top w:w="113" w:type="dxa"/>
              <w:left w:w="108" w:type="dxa"/>
              <w:bottom w:w="113" w:type="dxa"/>
              <w:right w:w="108" w:type="dxa"/>
            </w:tcMar>
            <w:vAlign w:val="center"/>
            <w:hideMark/>
          </w:tcPr>
          <w:p w:rsidR="00F053BA" w:rsidRPr="00F053BA" w:rsidRDefault="00F053BA" w:rsidP="00F053BA">
            <w:pPr>
              <w:autoSpaceDE w:val="0"/>
              <w:autoSpaceDN w:val="0"/>
              <w:adjustRightInd w:val="0"/>
              <w:spacing w:line="276" w:lineRule="auto"/>
              <w:ind w:right="-59"/>
              <w:jc w:val="center"/>
              <w:rPr>
                <w:b/>
                <w:sz w:val="18"/>
                <w:szCs w:val="18"/>
                <w:lang w:val="ru-RU"/>
              </w:rPr>
            </w:pPr>
            <w:r w:rsidRPr="00F053BA">
              <w:rPr>
                <w:b/>
                <w:sz w:val="18"/>
                <w:lang w:val="ru-RU"/>
              </w:rPr>
              <w:t>Риск (риски) того, что результаты программы не будут достигнуты</w:t>
            </w:r>
          </w:p>
        </w:tc>
        <w:tc>
          <w:tcPr>
            <w:tcW w:w="2200" w:type="dxa"/>
            <w:tcBorders>
              <w:top w:val="single" w:sz="4" w:space="0" w:color="auto"/>
              <w:left w:val="nil"/>
              <w:bottom w:val="single" w:sz="4" w:space="0" w:color="auto"/>
              <w:right w:val="nil"/>
            </w:tcBorders>
            <w:shd w:val="clear" w:color="auto" w:fill="C6D9F1" w:themeFill="text2" w:themeFillTint="33"/>
            <w:tcMar>
              <w:top w:w="113" w:type="dxa"/>
              <w:left w:w="108" w:type="dxa"/>
              <w:bottom w:w="113" w:type="dxa"/>
              <w:right w:w="108" w:type="dxa"/>
            </w:tcMar>
            <w:vAlign w:val="center"/>
            <w:hideMark/>
          </w:tcPr>
          <w:p w:rsidR="00F053BA" w:rsidRPr="00F053BA" w:rsidRDefault="00F053BA" w:rsidP="00F053BA">
            <w:pPr>
              <w:autoSpaceDE w:val="0"/>
              <w:autoSpaceDN w:val="0"/>
              <w:adjustRightInd w:val="0"/>
              <w:spacing w:line="276" w:lineRule="auto"/>
              <w:ind w:right="-59"/>
              <w:jc w:val="center"/>
              <w:rPr>
                <w:b/>
                <w:sz w:val="18"/>
                <w:szCs w:val="18"/>
                <w:lang w:val="ru-RU"/>
              </w:rPr>
            </w:pPr>
            <w:r w:rsidRPr="00F053BA">
              <w:rPr>
                <w:b/>
                <w:sz w:val="18"/>
                <w:lang w:val="ru-RU"/>
              </w:rPr>
              <w:t xml:space="preserve">Действующие или разрабатываемые планы по снижению рисков </w:t>
            </w:r>
          </w:p>
        </w:tc>
        <w:tc>
          <w:tcPr>
            <w:tcW w:w="2310" w:type="dxa"/>
            <w:tcBorders>
              <w:top w:val="single" w:sz="4" w:space="0" w:color="auto"/>
              <w:left w:val="nil"/>
              <w:bottom w:val="single" w:sz="4" w:space="0" w:color="auto"/>
              <w:right w:val="nil"/>
            </w:tcBorders>
            <w:shd w:val="clear" w:color="auto" w:fill="C6D9F1" w:themeFill="text2" w:themeFillTint="33"/>
            <w:hideMark/>
          </w:tcPr>
          <w:p w:rsidR="00F053BA" w:rsidRPr="00F053BA" w:rsidRDefault="00F053BA" w:rsidP="00F053BA">
            <w:pPr>
              <w:spacing w:line="276" w:lineRule="auto"/>
              <w:jc w:val="center"/>
              <w:rPr>
                <w:b/>
                <w:bCs/>
                <w:sz w:val="18"/>
                <w:szCs w:val="18"/>
                <w:lang w:val="ru-RU"/>
              </w:rPr>
            </w:pPr>
            <w:r w:rsidRPr="00F053BA">
              <w:rPr>
                <w:b/>
                <w:sz w:val="18"/>
                <w:lang w:val="ru-RU"/>
              </w:rPr>
              <w:t>Развитие риска (рисков) и стратегий его (их) снижения в двухлетний период</w:t>
            </w:r>
          </w:p>
        </w:tc>
        <w:tc>
          <w:tcPr>
            <w:tcW w:w="2426" w:type="dxa"/>
            <w:tcBorders>
              <w:top w:val="single" w:sz="4" w:space="0" w:color="auto"/>
              <w:left w:val="nil"/>
              <w:bottom w:val="single" w:sz="4" w:space="0" w:color="auto"/>
              <w:right w:val="single" w:sz="4" w:space="0" w:color="auto"/>
            </w:tcBorders>
            <w:shd w:val="clear" w:color="auto" w:fill="C6D9F1" w:themeFill="text2" w:themeFillTint="33"/>
            <w:hideMark/>
          </w:tcPr>
          <w:p w:rsidR="00F053BA" w:rsidRDefault="00F053BA" w:rsidP="00F053BA">
            <w:pPr>
              <w:spacing w:line="276" w:lineRule="auto"/>
              <w:jc w:val="center"/>
              <w:rPr>
                <w:b/>
                <w:sz w:val="18"/>
              </w:rPr>
            </w:pPr>
            <w:r>
              <w:rPr>
                <w:b/>
                <w:sz w:val="18"/>
              </w:rPr>
              <w:t xml:space="preserve">Влияние </w:t>
            </w:r>
          </w:p>
          <w:p w:rsidR="00F053BA" w:rsidRDefault="00F053BA" w:rsidP="00F053BA">
            <w:pPr>
              <w:spacing w:line="276" w:lineRule="auto"/>
              <w:jc w:val="center"/>
              <w:rPr>
                <w:b/>
                <w:sz w:val="18"/>
              </w:rPr>
            </w:pPr>
            <w:r>
              <w:rPr>
                <w:b/>
                <w:sz w:val="18"/>
              </w:rPr>
              <w:t xml:space="preserve">на реализацию </w:t>
            </w:r>
          </w:p>
          <w:p w:rsidR="00F053BA" w:rsidRDefault="00F053BA" w:rsidP="00F053BA">
            <w:pPr>
              <w:spacing w:line="276" w:lineRule="auto"/>
              <w:jc w:val="center"/>
              <w:rPr>
                <w:b/>
                <w:bCs/>
                <w:sz w:val="18"/>
                <w:szCs w:val="18"/>
              </w:rPr>
            </w:pPr>
            <w:r>
              <w:rPr>
                <w:b/>
                <w:sz w:val="18"/>
              </w:rPr>
              <w:t>программы</w:t>
            </w:r>
          </w:p>
        </w:tc>
      </w:tr>
      <w:tr w:rsidR="00F053BA" w:rsidRPr="005C6ABD" w:rsidTr="00F053BA">
        <w:trPr>
          <w:trHeight w:val="744"/>
        </w:trPr>
        <w:tc>
          <w:tcPr>
            <w:tcW w:w="2420" w:type="dxa"/>
            <w:tcBorders>
              <w:top w:val="single" w:sz="4" w:space="0" w:color="auto"/>
              <w:left w:val="single" w:sz="4" w:space="0" w:color="auto"/>
              <w:bottom w:val="single" w:sz="4" w:space="0" w:color="auto"/>
              <w:right w:val="nil"/>
            </w:tcBorders>
            <w:tcMar>
              <w:top w:w="113" w:type="dxa"/>
              <w:left w:w="108" w:type="dxa"/>
              <w:bottom w:w="113" w:type="dxa"/>
              <w:right w:w="108" w:type="dxa"/>
            </w:tcMar>
            <w:hideMark/>
          </w:tcPr>
          <w:p w:rsidR="00F053BA" w:rsidRPr="00F053BA" w:rsidRDefault="00F053BA" w:rsidP="002A7E6B">
            <w:pPr>
              <w:tabs>
                <w:tab w:val="left" w:pos="1170"/>
              </w:tabs>
              <w:rPr>
                <w:sz w:val="16"/>
                <w:szCs w:val="16"/>
                <w:lang w:val="ru-RU"/>
              </w:rPr>
            </w:pPr>
            <w:r w:rsidRPr="00F053BA">
              <w:rPr>
                <w:sz w:val="16"/>
                <w:lang w:val="ru-RU"/>
              </w:rPr>
              <w:t>Технологии и инновации: неспособность системы авторского права адаптироваться к стремительным изменениям в сфере технологий и массовой информации может поставить под сомнение актуальность системы авторского права.</w:t>
            </w:r>
          </w:p>
        </w:tc>
        <w:tc>
          <w:tcPr>
            <w:tcW w:w="2200" w:type="dxa"/>
            <w:tcBorders>
              <w:top w:val="single" w:sz="4" w:space="0" w:color="auto"/>
              <w:left w:val="nil"/>
              <w:bottom w:val="single" w:sz="4" w:space="0" w:color="auto"/>
              <w:right w:val="nil"/>
            </w:tcBorders>
            <w:tcMar>
              <w:top w:w="113" w:type="dxa"/>
              <w:left w:w="108" w:type="dxa"/>
              <w:bottom w:w="113" w:type="dxa"/>
              <w:right w:w="108" w:type="dxa"/>
            </w:tcMar>
            <w:hideMark/>
          </w:tcPr>
          <w:p w:rsidR="00F053BA" w:rsidRPr="00F053BA" w:rsidRDefault="00F053BA" w:rsidP="002A7E6B">
            <w:pPr>
              <w:autoSpaceDE w:val="0"/>
              <w:autoSpaceDN w:val="0"/>
              <w:adjustRightInd w:val="0"/>
              <w:ind w:right="-59"/>
              <w:rPr>
                <w:sz w:val="16"/>
                <w:szCs w:val="16"/>
                <w:lang w:val="ru-RU"/>
              </w:rPr>
            </w:pPr>
            <w:r w:rsidRPr="00F053BA">
              <w:rPr>
                <w:sz w:val="16"/>
                <w:lang w:val="ru-RU"/>
              </w:rPr>
              <w:t>Непрерывная деятельность по информированию общественности, призванная продемонстрировать важную роль авторского права, подтвердить его ценность и способность «вписаться» в меняющийся технологический ландшафт.</w:t>
            </w:r>
          </w:p>
        </w:tc>
        <w:tc>
          <w:tcPr>
            <w:tcW w:w="2310" w:type="dxa"/>
            <w:tcBorders>
              <w:top w:val="single" w:sz="4" w:space="0" w:color="auto"/>
              <w:left w:val="nil"/>
              <w:bottom w:val="single" w:sz="4" w:space="0" w:color="auto"/>
              <w:right w:val="nil"/>
            </w:tcBorders>
          </w:tcPr>
          <w:p w:rsidR="00F053BA" w:rsidRPr="00F053BA" w:rsidRDefault="00F053BA" w:rsidP="002A7E6B">
            <w:pPr>
              <w:autoSpaceDE w:val="0"/>
              <w:autoSpaceDN w:val="0"/>
              <w:adjustRightInd w:val="0"/>
              <w:ind w:right="-59"/>
              <w:rPr>
                <w:rFonts w:cs="Arial"/>
                <w:sz w:val="16"/>
                <w:szCs w:val="16"/>
                <w:lang w:val="ru-RU"/>
              </w:rPr>
            </w:pPr>
            <w:r w:rsidRPr="00F053BA">
              <w:rPr>
                <w:sz w:val="16"/>
                <w:lang w:val="ru-RU"/>
              </w:rPr>
              <w:t xml:space="preserve">Технологии развивались и изменялись, а значит продолжалось быстрое технологическое развитие; поэтому сам риск и стратегии его снижения не претерпели существенных изменений в рассматриваемый двухлетний период. </w:t>
            </w:r>
          </w:p>
        </w:tc>
        <w:tc>
          <w:tcPr>
            <w:tcW w:w="2426" w:type="dxa"/>
            <w:tcBorders>
              <w:top w:val="single" w:sz="4" w:space="0" w:color="auto"/>
              <w:left w:val="nil"/>
              <w:bottom w:val="single" w:sz="4" w:space="0" w:color="auto"/>
              <w:right w:val="single" w:sz="4" w:space="0" w:color="auto"/>
            </w:tcBorders>
          </w:tcPr>
          <w:p w:rsidR="00F053BA" w:rsidRPr="00F053BA" w:rsidRDefault="00F053BA" w:rsidP="002A7E6B">
            <w:pPr>
              <w:autoSpaceDE w:val="0"/>
              <w:autoSpaceDN w:val="0"/>
              <w:adjustRightInd w:val="0"/>
              <w:ind w:right="-59"/>
              <w:rPr>
                <w:sz w:val="16"/>
                <w:szCs w:val="16"/>
                <w:lang w:val="ru-RU"/>
              </w:rPr>
            </w:pPr>
            <w:r w:rsidRPr="00F053BA">
              <w:rPr>
                <w:sz w:val="16"/>
                <w:lang w:val="ru-RU"/>
              </w:rPr>
              <w:t>Стратегию снижения этого риска можно назвать успешной, так как в рассматриваемый двухлетний период многие государства</w:t>
            </w:r>
            <w:r>
              <w:rPr>
                <w:sz w:val="16"/>
              </w:rPr>
              <w:t> </w:t>
            </w:r>
            <w:r w:rsidRPr="00F053BA">
              <w:rPr>
                <w:sz w:val="16"/>
                <w:lang w:val="ru-RU"/>
              </w:rPr>
              <w:t>– члены ВОИС направили запрос на получении помощи, тем самым продемонстрировав важность системы авторского права, особенно для национальной экономики.  В рамках программы такие запросы удовлетворялись по мере возможности и с учетом ограниченности ресурсов на практике. В ходе рассматриваемого периода этот риск не оказал существенного воздействия на реализацию программы.</w:t>
            </w:r>
          </w:p>
        </w:tc>
      </w:tr>
    </w:tbl>
    <w:p w:rsidR="00F053BA" w:rsidRPr="00F053BA" w:rsidRDefault="00F053BA" w:rsidP="00F053BA">
      <w:pPr>
        <w:rPr>
          <w:rFonts w:cs="Arial"/>
          <w:color w:val="000000"/>
          <w:sz w:val="22"/>
          <w:szCs w:val="22"/>
          <w:lang w:val="ru-RU"/>
        </w:rPr>
      </w:pPr>
    </w:p>
    <w:p w:rsidR="00F053BA" w:rsidRPr="00F053BA" w:rsidRDefault="00F053BA" w:rsidP="00F053BA">
      <w:pPr>
        <w:rPr>
          <w:rFonts w:cs="Arial"/>
          <w:color w:val="000000"/>
          <w:sz w:val="22"/>
          <w:szCs w:val="22"/>
          <w:lang w:val="ru-RU"/>
        </w:rPr>
      </w:pPr>
    </w:p>
    <w:p w:rsidR="00F053BA" w:rsidRPr="00F053BA" w:rsidRDefault="00F053BA" w:rsidP="00F053BA">
      <w:pPr>
        <w:rPr>
          <w:rFonts w:cs="Arial"/>
          <w:color w:val="000000"/>
          <w:sz w:val="22"/>
          <w:szCs w:val="22"/>
          <w:lang w:val="ru-RU"/>
        </w:rPr>
      </w:pPr>
    </w:p>
    <w:p w:rsidR="00F053BA" w:rsidRPr="00F053BA" w:rsidRDefault="00F053BA" w:rsidP="00F053BA">
      <w:pPr>
        <w:keepNext/>
        <w:keepLines/>
        <w:rPr>
          <w:b/>
          <w:sz w:val="16"/>
          <w:szCs w:val="18"/>
          <w:lang w:val="ru-RU"/>
        </w:rPr>
      </w:pPr>
      <w:r w:rsidRPr="00F053BA">
        <w:rPr>
          <w:color w:val="000000"/>
          <w:lang w:val="ru-RU"/>
        </w:rPr>
        <w:t>ИСПОЛЬЗОВАНИЕ РЕСУРСОВ</w:t>
      </w:r>
    </w:p>
    <w:p w:rsidR="00F053BA" w:rsidRPr="00F053BA" w:rsidRDefault="00F053BA" w:rsidP="00F053BA">
      <w:pPr>
        <w:keepNext/>
        <w:keepLines/>
        <w:rPr>
          <w:sz w:val="18"/>
          <w:szCs w:val="20"/>
          <w:lang w:val="ru-RU"/>
        </w:rPr>
      </w:pPr>
    </w:p>
    <w:p w:rsidR="00F053BA" w:rsidRPr="00F053BA" w:rsidRDefault="00F053BA" w:rsidP="00F053BA">
      <w:pPr>
        <w:pStyle w:val="NormalWeb"/>
        <w:keepNext/>
        <w:keepLines/>
        <w:spacing w:before="0" w:beforeAutospacing="0" w:after="0" w:afterAutospacing="0"/>
        <w:jc w:val="center"/>
        <w:rPr>
          <w:sz w:val="20"/>
          <w:szCs w:val="20"/>
          <w:lang w:val="ru-RU"/>
        </w:rPr>
      </w:pPr>
      <w:r w:rsidRPr="00F053BA">
        <w:rPr>
          <w:color w:val="000000"/>
          <w:sz w:val="20"/>
          <w:lang w:val="ru-RU"/>
        </w:rPr>
        <w:t xml:space="preserve">Бюджет и фактические расходы (в разбивке по результатам) </w:t>
      </w:r>
    </w:p>
    <w:p w:rsidR="00F053BA" w:rsidRDefault="00F053BA" w:rsidP="00F053B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053BA" w:rsidRPr="00AF7B5A" w:rsidRDefault="00F053BA" w:rsidP="00F053BA">
      <w:pPr>
        <w:pStyle w:val="NormalWeb"/>
        <w:keepNext/>
        <w:keepLines/>
        <w:spacing w:before="0" w:beforeAutospacing="0" w:after="0" w:afterAutospacing="0"/>
        <w:jc w:val="center"/>
        <w:rPr>
          <w:szCs w:val="20"/>
        </w:rPr>
      </w:pPr>
    </w:p>
    <w:p w:rsidR="00F053BA" w:rsidRDefault="00F053BA" w:rsidP="00F053BA">
      <w:pPr>
        <w:keepNext/>
        <w:keepLines/>
        <w:jc w:val="center"/>
      </w:pPr>
      <w:r>
        <w:rPr>
          <w:noProof/>
        </w:rPr>
        <w:drawing>
          <wp:inline distT="0" distB="0" distL="0" distR="0" wp14:anchorId="31081D97" wp14:editId="1F63FAC8">
            <wp:extent cx="5940425" cy="4618991"/>
            <wp:effectExtent l="0" t="0" r="317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0425" cy="4618991"/>
                    </a:xfrm>
                    <a:prstGeom prst="rect">
                      <a:avLst/>
                    </a:prstGeom>
                    <a:noFill/>
                    <a:ln>
                      <a:noFill/>
                    </a:ln>
                  </pic:spPr>
                </pic:pic>
              </a:graphicData>
            </a:graphic>
          </wp:inline>
        </w:drawing>
      </w:r>
    </w:p>
    <w:p w:rsidR="00F053BA" w:rsidRPr="00AF7B5A" w:rsidRDefault="00F053BA" w:rsidP="00F053BA">
      <w:pPr>
        <w:jc w:val="center"/>
        <w:rPr>
          <w:sz w:val="18"/>
        </w:rPr>
      </w:pPr>
    </w:p>
    <w:p w:rsidR="00F053BA" w:rsidRPr="00AF7B5A" w:rsidRDefault="00F053BA" w:rsidP="00F053BA">
      <w:pPr>
        <w:rPr>
          <w:sz w:val="18"/>
        </w:rPr>
      </w:pPr>
    </w:p>
    <w:p w:rsidR="00F053BA" w:rsidRPr="00F053BA" w:rsidRDefault="00F053BA" w:rsidP="00F053BA">
      <w:pPr>
        <w:pStyle w:val="NormalWeb"/>
        <w:keepNext/>
        <w:keepLines/>
        <w:spacing w:before="0" w:beforeAutospacing="0" w:after="0" w:afterAutospacing="0"/>
        <w:jc w:val="center"/>
        <w:rPr>
          <w:sz w:val="20"/>
          <w:szCs w:val="20"/>
          <w:lang w:val="ru-RU"/>
        </w:rPr>
      </w:pPr>
      <w:r w:rsidRPr="00F053BA">
        <w:rPr>
          <w:color w:val="000000"/>
          <w:sz w:val="20"/>
          <w:lang w:val="ru-RU"/>
        </w:rPr>
        <w:t xml:space="preserve">Бюджет и фактические расходы (по персоналу и не связанные с персоналом) </w:t>
      </w:r>
    </w:p>
    <w:p w:rsidR="00F053BA" w:rsidRPr="00383D2D" w:rsidRDefault="00F053BA" w:rsidP="00F053B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053BA" w:rsidRPr="00AF7B5A" w:rsidRDefault="00F053BA" w:rsidP="00F053BA">
      <w:pPr>
        <w:pStyle w:val="NormalWeb"/>
        <w:keepNext/>
        <w:keepLines/>
        <w:spacing w:before="0" w:beforeAutospacing="0" w:after="0" w:afterAutospacing="0"/>
        <w:jc w:val="center"/>
        <w:rPr>
          <w:sz w:val="16"/>
        </w:rPr>
      </w:pPr>
    </w:p>
    <w:p w:rsidR="00F053BA" w:rsidRDefault="00F053BA" w:rsidP="00F053BA">
      <w:pPr>
        <w:jc w:val="center"/>
        <w:rPr>
          <w:noProof/>
        </w:rPr>
      </w:pPr>
      <w:r>
        <w:rPr>
          <w:noProof/>
        </w:rPr>
        <w:drawing>
          <wp:inline distT="0" distB="0" distL="0" distR="0" wp14:anchorId="599884B9" wp14:editId="4B28A4A4">
            <wp:extent cx="5940425" cy="1247959"/>
            <wp:effectExtent l="0" t="0" r="317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40425" cy="1247959"/>
                    </a:xfrm>
                    <a:prstGeom prst="rect">
                      <a:avLst/>
                    </a:prstGeom>
                    <a:noFill/>
                    <a:ln>
                      <a:noFill/>
                    </a:ln>
                  </pic:spPr>
                </pic:pic>
              </a:graphicData>
            </a:graphic>
          </wp:inline>
        </w:drawing>
      </w:r>
    </w:p>
    <w:p w:rsidR="00F053BA" w:rsidRPr="00AF7B5A" w:rsidRDefault="00F053BA" w:rsidP="00F053BA">
      <w:pPr>
        <w:jc w:val="center"/>
        <w:rPr>
          <w:noProof/>
          <w:sz w:val="18"/>
        </w:rPr>
      </w:pPr>
    </w:p>
    <w:p w:rsidR="00F053BA" w:rsidRPr="00AF7B5A" w:rsidRDefault="00F053BA" w:rsidP="00F053BA">
      <w:pPr>
        <w:jc w:val="both"/>
        <w:rPr>
          <w:sz w:val="18"/>
        </w:rPr>
      </w:pPr>
    </w:p>
    <w:p w:rsidR="00F053BA" w:rsidRPr="00F053BA" w:rsidRDefault="00F053BA" w:rsidP="00F053BA">
      <w:pPr>
        <w:pStyle w:val="ListParagraph"/>
        <w:numPr>
          <w:ilvl w:val="0"/>
          <w:numId w:val="59"/>
        </w:numPr>
        <w:jc w:val="both"/>
        <w:rPr>
          <w:u w:val="single"/>
          <w:lang w:val="ru-RU"/>
        </w:rPr>
      </w:pPr>
      <w:r>
        <w:rPr>
          <w:u w:val="single"/>
          <w:lang w:val="ru-RU"/>
        </w:rPr>
        <w:t>Окончательный</w:t>
      </w:r>
      <w:r w:rsidRPr="00F053BA">
        <w:rPr>
          <w:u w:val="single"/>
          <w:lang w:val="ru-RU"/>
        </w:rPr>
        <w:t xml:space="preserve"> бюджет на 2014–2015 гг. после перераспределения средств </w:t>
      </w:r>
    </w:p>
    <w:p w:rsidR="00F053BA" w:rsidRPr="00F053BA" w:rsidRDefault="00F053BA" w:rsidP="00F053BA">
      <w:pPr>
        <w:jc w:val="both"/>
        <w:rPr>
          <w:sz w:val="18"/>
          <w:u w:val="single"/>
          <w:lang w:val="ru-RU"/>
        </w:rPr>
      </w:pPr>
    </w:p>
    <w:p w:rsidR="00F053BA" w:rsidRPr="00F053BA" w:rsidRDefault="00F053BA" w:rsidP="00F053BA">
      <w:pPr>
        <w:numPr>
          <w:ilvl w:val="0"/>
          <w:numId w:val="58"/>
        </w:numPr>
        <w:tabs>
          <w:tab w:val="left" w:pos="0"/>
          <w:tab w:val="left" w:pos="709"/>
        </w:tabs>
        <w:ind w:left="0" w:firstLine="0"/>
        <w:jc w:val="both"/>
        <w:rPr>
          <w:rFonts w:eastAsia="SimSun" w:cs="Arial"/>
          <w:bCs/>
          <w:szCs w:val="20"/>
          <w:lang w:val="ru-RU"/>
        </w:rPr>
      </w:pPr>
      <w:r w:rsidRPr="00F053BA">
        <w:rPr>
          <w:lang w:val="ru-RU"/>
        </w:rPr>
        <w:t>Перераспределение ресурсов в пользу ожидаемого результата</w:t>
      </w:r>
      <w:r>
        <w:t> I</w:t>
      </w:r>
      <w:r w:rsidRPr="00F053BA">
        <w:rPr>
          <w:lang w:val="ru-RU"/>
        </w:rPr>
        <w:t xml:space="preserve">.2 (целевые и сбалансированные законодательные, регулятивные и политические положения ИС) за счет ожидаемого результата </w:t>
      </w:r>
      <w:r>
        <w:t>I</w:t>
      </w:r>
      <w:r w:rsidRPr="00F053BA">
        <w:rPr>
          <w:lang w:val="ru-RU"/>
        </w:rPr>
        <w:t>.1 (активизация сотрудничества между государствами-членами) в итоговом бюджете 2014–2015</w:t>
      </w:r>
      <w:r>
        <w:t> </w:t>
      </w:r>
      <w:r w:rsidRPr="00F053BA">
        <w:rPr>
          <w:lang w:val="ru-RU"/>
        </w:rPr>
        <w:t xml:space="preserve">гг. после перераспределения средств было обусловлено выделением дополнительного персонала и ресурсов, не связанных с персоналом, на осуществление деятельности по оказанию помощи в области ратификации и имплементации Марракешского и Пекинского договоров. </w:t>
      </w:r>
    </w:p>
    <w:p w:rsidR="00F053BA" w:rsidRPr="00F053BA" w:rsidRDefault="00F053BA" w:rsidP="00F053BA">
      <w:pPr>
        <w:tabs>
          <w:tab w:val="left" w:pos="0"/>
          <w:tab w:val="left" w:pos="709"/>
        </w:tabs>
        <w:jc w:val="both"/>
        <w:rPr>
          <w:rFonts w:eastAsia="SimSun" w:cs="Arial"/>
          <w:bCs/>
          <w:sz w:val="18"/>
          <w:szCs w:val="20"/>
          <w:lang w:val="ru-RU"/>
        </w:rPr>
      </w:pPr>
    </w:p>
    <w:p w:rsidR="00F053BA" w:rsidRPr="00F053BA" w:rsidRDefault="00F053BA" w:rsidP="00F053BA">
      <w:pPr>
        <w:numPr>
          <w:ilvl w:val="0"/>
          <w:numId w:val="58"/>
        </w:numPr>
        <w:tabs>
          <w:tab w:val="left" w:pos="0"/>
          <w:tab w:val="left" w:pos="709"/>
        </w:tabs>
        <w:ind w:left="0" w:firstLine="0"/>
        <w:jc w:val="both"/>
        <w:rPr>
          <w:rFonts w:eastAsia="SimSun" w:cs="Arial"/>
          <w:bCs/>
          <w:szCs w:val="20"/>
          <w:lang w:val="ru-RU"/>
        </w:rPr>
      </w:pPr>
      <w:r w:rsidRPr="00F053BA">
        <w:rPr>
          <w:lang w:val="ru-RU"/>
        </w:rPr>
        <w:t xml:space="preserve">Увеличение объема ресурсов по ожидаемому результату </w:t>
      </w:r>
      <w:r>
        <w:t>IV</w:t>
      </w:r>
      <w:r w:rsidRPr="00F053BA">
        <w:rPr>
          <w:lang w:val="ru-RU"/>
        </w:rPr>
        <w:t xml:space="preserve">.2 (расширенный доступ к информации в области ИС и ее использование) было в основном связано с более активным осуществлением связанных с консорциумом </w:t>
      </w:r>
      <w:r>
        <w:t>ABC</w:t>
      </w:r>
      <w:r w:rsidRPr="00F053BA">
        <w:rPr>
          <w:lang w:val="ru-RU"/>
        </w:rPr>
        <w:t xml:space="preserve"> мероприятий. </w:t>
      </w:r>
    </w:p>
    <w:p w:rsidR="00F053BA" w:rsidRPr="00F053BA" w:rsidRDefault="00F053BA" w:rsidP="00F053BA">
      <w:pPr>
        <w:tabs>
          <w:tab w:val="left" w:pos="0"/>
          <w:tab w:val="left" w:pos="709"/>
        </w:tabs>
        <w:jc w:val="both"/>
        <w:rPr>
          <w:rFonts w:eastAsia="SimSun" w:cs="Arial"/>
          <w:bCs/>
          <w:sz w:val="18"/>
          <w:szCs w:val="20"/>
          <w:lang w:val="ru-RU"/>
        </w:rPr>
      </w:pPr>
    </w:p>
    <w:p w:rsidR="00F053BA" w:rsidRPr="00F053BA" w:rsidRDefault="00F053BA" w:rsidP="00F053BA">
      <w:pPr>
        <w:numPr>
          <w:ilvl w:val="0"/>
          <w:numId w:val="58"/>
        </w:numPr>
        <w:tabs>
          <w:tab w:val="left" w:pos="0"/>
          <w:tab w:val="left" w:pos="709"/>
        </w:tabs>
        <w:ind w:left="0" w:firstLine="0"/>
        <w:jc w:val="both"/>
        <w:rPr>
          <w:rFonts w:eastAsia="SimSun" w:cs="Arial"/>
          <w:bCs/>
          <w:szCs w:val="20"/>
          <w:lang w:val="ru-RU"/>
        </w:rPr>
      </w:pPr>
      <w:r w:rsidRPr="00F053BA">
        <w:rPr>
          <w:lang w:val="ru-RU"/>
        </w:rPr>
        <w:t xml:space="preserve">Снижение объема ресурсов по ожидаемому результату </w:t>
      </w:r>
      <w:r>
        <w:t>IV</w:t>
      </w:r>
      <w:r w:rsidRPr="00F053BA">
        <w:rPr>
          <w:lang w:val="ru-RU"/>
        </w:rPr>
        <w:t xml:space="preserve">.4 (более широкое и эффективное использование экономического анализа ВОИС) было связано с переводом некоторых мероприятий, касающихся </w:t>
      </w:r>
      <w:r>
        <w:t>WIPOCOS</w:t>
      </w:r>
      <w:r w:rsidRPr="00F053BA">
        <w:rPr>
          <w:lang w:val="ru-RU"/>
        </w:rPr>
        <w:t>, в программу 15 (деловые решения для ведомств ИС) в целях консолидации в рамках этой программы связанных с ОКУ систем управления данными.</w:t>
      </w:r>
    </w:p>
    <w:p w:rsidR="00F053BA" w:rsidRPr="00F053BA" w:rsidRDefault="00F053BA" w:rsidP="00F053BA">
      <w:pPr>
        <w:jc w:val="both"/>
        <w:rPr>
          <w:sz w:val="18"/>
          <w:u w:val="single"/>
          <w:lang w:val="ru-RU"/>
        </w:rPr>
      </w:pPr>
    </w:p>
    <w:p w:rsidR="00F053BA" w:rsidRPr="00F053BA" w:rsidRDefault="00F053BA" w:rsidP="00F053BA">
      <w:pPr>
        <w:jc w:val="both"/>
        <w:rPr>
          <w:u w:val="single"/>
          <w:lang w:val="ru-RU"/>
        </w:rPr>
      </w:pPr>
      <w:r>
        <w:t>B</w:t>
      </w:r>
      <w:r w:rsidRPr="00F053BA">
        <w:rPr>
          <w:lang w:val="ru-RU"/>
        </w:rPr>
        <w:t>.</w:t>
      </w:r>
      <w:r w:rsidRPr="00F053BA">
        <w:rPr>
          <w:lang w:val="ru-RU"/>
        </w:rPr>
        <w:tab/>
      </w:r>
      <w:r w:rsidRPr="00F053BA">
        <w:rPr>
          <w:u w:val="single"/>
          <w:lang w:val="ru-RU"/>
        </w:rPr>
        <w:t xml:space="preserve">Освоение бюджетных средств в 2014–2015 гг. </w:t>
      </w:r>
    </w:p>
    <w:p w:rsidR="00F053BA" w:rsidRPr="00F053BA" w:rsidRDefault="00F053BA" w:rsidP="00F053BA">
      <w:pPr>
        <w:jc w:val="both"/>
        <w:rPr>
          <w:sz w:val="18"/>
          <w:u w:val="single"/>
          <w:lang w:val="ru-RU"/>
        </w:rPr>
      </w:pPr>
    </w:p>
    <w:p w:rsidR="00F053BA" w:rsidRDefault="00F053BA" w:rsidP="00F053BA">
      <w:pPr>
        <w:numPr>
          <w:ilvl w:val="0"/>
          <w:numId w:val="58"/>
        </w:numPr>
        <w:tabs>
          <w:tab w:val="left" w:pos="0"/>
          <w:tab w:val="left" w:pos="709"/>
        </w:tabs>
        <w:ind w:left="0" w:firstLine="0"/>
        <w:jc w:val="both"/>
        <w:rPr>
          <w:lang w:val="ru-RU"/>
        </w:rPr>
      </w:pPr>
      <w:r w:rsidRPr="00F053BA">
        <w:rPr>
          <w:lang w:val="ru-RU"/>
        </w:rPr>
        <w:t>Снижение расходов по ожидаемому результату IV.2 (расширенный доступ к информации в области ИС и ее использование) было в основном связано с тем, что были отложены некоторые мероприятия по проекту Повестки дня в области развития, связанному с использованием авторского права для содействия доступу к информации и творческому контенту.  Небольшое снижение расходов по ожидаемому результату I.2 (целевые и сбалансированные законодательные, регулятивные и политические положения ИС) было связано с тем, что было отложено проведение некоторых мероприятий, связанных с продвижением Марракешского и Пекинского договоров, в частности в Африке и Латинской Америке.</w:t>
      </w:r>
      <w:r w:rsidR="00F838C5" w:rsidRPr="00F053BA">
        <w:rPr>
          <w:lang w:val="ru-RU"/>
        </w:rPr>
        <w:t xml:space="preserve"> </w:t>
      </w:r>
    </w:p>
    <w:p w:rsidR="00F053BA" w:rsidRDefault="00F053BA">
      <w:pPr>
        <w:rPr>
          <w:lang w:val="ru-RU"/>
        </w:rPr>
      </w:pPr>
      <w:r>
        <w:rPr>
          <w:lang w:val="ru-RU"/>
        </w:rPr>
        <w:br w:type="page"/>
      </w:r>
    </w:p>
    <w:p w:rsidR="00F838C5" w:rsidRPr="00F053BA" w:rsidRDefault="00F838C5" w:rsidP="00F053BA">
      <w:pPr>
        <w:tabs>
          <w:tab w:val="left" w:pos="0"/>
          <w:tab w:val="left" w:pos="709"/>
        </w:tabs>
        <w:jc w:val="both"/>
        <w:rPr>
          <w:lang w:val="ru-RU"/>
        </w:rPr>
      </w:pPr>
    </w:p>
    <w:p w:rsidR="00F053BA" w:rsidRPr="00F053BA" w:rsidRDefault="00F053BA" w:rsidP="00F053BA">
      <w:pPr>
        <w:pStyle w:val="Heading2"/>
        <w:tabs>
          <w:tab w:val="clear" w:pos="567"/>
        </w:tabs>
        <w:ind w:left="1985" w:hanging="1985"/>
        <w:rPr>
          <w:color w:val="000000" w:themeColor="text1"/>
          <w:lang w:val="ru-RU"/>
        </w:rPr>
      </w:pPr>
      <w:bookmarkStart w:id="58" w:name="_Toc422210480"/>
      <w:bookmarkStart w:id="59" w:name="_Toc455388104"/>
      <w:r w:rsidRPr="00F053BA">
        <w:rPr>
          <w:lang w:val="ru-RU"/>
        </w:rPr>
        <w:t>ПРОГРАММА 4</w:t>
      </w:r>
      <w:r w:rsidRPr="00F053BA">
        <w:rPr>
          <w:lang w:val="ru-RU"/>
        </w:rPr>
        <w:tab/>
        <w:t>ТРАДИЦИОННЫЕ ЗНАНИЯ, ТРАДИЦИОННЫЕ ВЫРАЖЕНИЯ КУЛЬТУРЫ И ГЕНЕТИЧЕСКИЕ РЕСУРСЫ</w:t>
      </w:r>
      <w:bookmarkEnd w:id="58"/>
      <w:bookmarkEnd w:id="59"/>
    </w:p>
    <w:p w:rsidR="00F053BA" w:rsidRPr="00F053BA" w:rsidRDefault="00F053BA" w:rsidP="00F053BA">
      <w:pPr>
        <w:rPr>
          <w:rFonts w:cs="Arial"/>
          <w:color w:val="000000" w:themeColor="text1"/>
          <w:szCs w:val="20"/>
          <w:lang w:val="ru-RU"/>
        </w:rPr>
      </w:pPr>
    </w:p>
    <w:p w:rsidR="00F053BA" w:rsidRPr="00F053BA" w:rsidRDefault="00F053BA" w:rsidP="00F053BA">
      <w:pPr>
        <w:tabs>
          <w:tab w:val="left" w:pos="1985"/>
        </w:tabs>
        <w:rPr>
          <w:rFonts w:cs="Arial"/>
          <w:b/>
          <w:color w:val="000000" w:themeColor="text1"/>
          <w:szCs w:val="22"/>
          <w:lang w:val="ru-RU"/>
        </w:rPr>
      </w:pPr>
      <w:r w:rsidRPr="00F053BA">
        <w:rPr>
          <w:b/>
          <w:color w:val="000000" w:themeColor="text1"/>
          <w:lang w:val="ru-RU"/>
        </w:rPr>
        <w:t>Руководитель программы:</w:t>
      </w:r>
      <w:r w:rsidRPr="00F053BA">
        <w:rPr>
          <w:lang w:val="ru-RU"/>
        </w:rPr>
        <w:t xml:space="preserve"> </w:t>
      </w:r>
      <w:r w:rsidRPr="00F053BA">
        <w:rPr>
          <w:lang w:val="ru-RU"/>
        </w:rPr>
        <w:tab/>
      </w:r>
      <w:r w:rsidRPr="00F053BA">
        <w:rPr>
          <w:b/>
          <w:color w:val="000000" w:themeColor="text1"/>
          <w:lang w:val="ru-RU"/>
        </w:rPr>
        <w:t>г-н М. А. Гетахун</w:t>
      </w:r>
    </w:p>
    <w:p w:rsidR="00F053BA" w:rsidRPr="00F053BA" w:rsidRDefault="00F053BA" w:rsidP="00F053BA">
      <w:pPr>
        <w:rPr>
          <w:rFonts w:cs="Arial"/>
          <w:color w:val="000000" w:themeColor="text1"/>
          <w:szCs w:val="20"/>
          <w:lang w:val="ru-RU"/>
        </w:rPr>
      </w:pPr>
    </w:p>
    <w:p w:rsidR="00F053BA" w:rsidRPr="00F053BA" w:rsidRDefault="00F053BA" w:rsidP="00F053BA">
      <w:pPr>
        <w:rPr>
          <w:rFonts w:cs="Arial"/>
          <w:color w:val="000000" w:themeColor="text1"/>
          <w:szCs w:val="20"/>
          <w:lang w:val="ru-RU"/>
        </w:rPr>
      </w:pPr>
    </w:p>
    <w:p w:rsidR="00F053BA" w:rsidRPr="00F053BA" w:rsidRDefault="00F053BA" w:rsidP="00F053BA">
      <w:pPr>
        <w:rPr>
          <w:rFonts w:cs="Arial"/>
          <w:bCs/>
          <w:color w:val="000000" w:themeColor="text1"/>
          <w:szCs w:val="20"/>
          <w:lang w:val="ru-RU"/>
        </w:rPr>
      </w:pPr>
      <w:r w:rsidRPr="00F053BA">
        <w:rPr>
          <w:color w:val="000000" w:themeColor="text1"/>
          <w:lang w:val="ru-RU"/>
        </w:rPr>
        <w:t>ОБЗОР ДОСТИЖЕНИЙ ЗА ДВУХЛЕТНИЙ ПЕРИОД 2014–2015 ГГ.</w:t>
      </w:r>
    </w:p>
    <w:p w:rsidR="00F053BA" w:rsidRPr="00F053BA" w:rsidRDefault="00F053BA" w:rsidP="00F053BA">
      <w:pPr>
        <w:rPr>
          <w:rFonts w:cs="Arial"/>
          <w:color w:val="000000" w:themeColor="text1"/>
          <w:szCs w:val="20"/>
          <w:lang w:val="ru-RU"/>
        </w:rPr>
      </w:pPr>
    </w:p>
    <w:p w:rsidR="00F053BA" w:rsidRPr="00F053BA" w:rsidRDefault="00F053BA" w:rsidP="00F053BA">
      <w:pPr>
        <w:pStyle w:val="ListParagraph"/>
        <w:numPr>
          <w:ilvl w:val="0"/>
          <w:numId w:val="11"/>
        </w:numPr>
        <w:tabs>
          <w:tab w:val="left" w:pos="567"/>
        </w:tabs>
        <w:ind w:left="0" w:firstLine="0"/>
        <w:jc w:val="both"/>
        <w:rPr>
          <w:rFonts w:cs="Arial"/>
          <w:color w:val="000000" w:themeColor="text1"/>
          <w:lang w:val="ru-RU"/>
        </w:rPr>
      </w:pPr>
      <w:r w:rsidRPr="00F053BA">
        <w:rPr>
          <w:lang w:val="ru-RU"/>
        </w:rPr>
        <w:t>В соответствии с обновленным мандатом на двухлетний период, утвержденным Генеральной Ассамблеей ВОИС в октябре 2013</w:t>
      </w:r>
      <w:r>
        <w:t> </w:t>
      </w:r>
      <w:r w:rsidRPr="00F053BA">
        <w:rPr>
          <w:lang w:val="ru-RU"/>
        </w:rPr>
        <w:t>г., и согласованной программой работы на 2014</w:t>
      </w:r>
      <w:r>
        <w:t> </w:t>
      </w:r>
      <w:r w:rsidRPr="00F053BA">
        <w:rPr>
          <w:lang w:val="ru-RU"/>
        </w:rPr>
        <w:t>г., Межправительственный комитет ВОИС по интеллектуальной собственности, генетическим ресурсам, традиционным знаниям и фольклору провел три сессии в 2014</w:t>
      </w:r>
      <w:r>
        <w:t> </w:t>
      </w:r>
      <w:r w:rsidRPr="00F053BA">
        <w:rPr>
          <w:lang w:val="ru-RU"/>
        </w:rPr>
        <w:t>г. (26-ю, 27-ю и 28-ю).</w:t>
      </w:r>
      <w:r w:rsidRPr="00F053BA">
        <w:rPr>
          <w:color w:val="000000" w:themeColor="text1"/>
          <w:lang w:val="ru-RU"/>
        </w:rPr>
        <w:t xml:space="preserve">  В рамках 26-й сессии МКГР была проведена встреча на уровне послов/старших должностных лиц, базирующихся в столицах.  К концу 28-й сессии МКГР удалось доработать сводный текст по генетическим ресурсам (ГР) и добиться дальнейшего прогресса в работе над текстами по традиционным знаниям (ТЗ) и традиционным выражениям культуры (ТВК).  Дальнейшей активизации этого процесса способствовало проведение в 2014</w:t>
      </w:r>
      <w:r>
        <w:rPr>
          <w:color w:val="000000" w:themeColor="text1"/>
        </w:rPr>
        <w:t> </w:t>
      </w:r>
      <w:r w:rsidRPr="00F053BA">
        <w:rPr>
          <w:color w:val="000000" w:themeColor="text1"/>
          <w:lang w:val="ru-RU"/>
        </w:rPr>
        <w:t>г. межсессионного совещания, организованного одним из государств-членов за пределами Женевы.  Содействуя осуществлению процесса, Секретариат, как и прежде, стремился выступать в роли нейтрального, профессионально и эффективно действующего координатора и проводил работу по дальнейшему повышению качества услуг, оказываемых участникам сессии МКГР в порядке выполнения рекомендаций по итогам оценки, которая проводилась Отделом внутреннего надзора (ОВН) ВОИС в 2013</w:t>
      </w:r>
      <w:r>
        <w:rPr>
          <w:color w:val="000000" w:themeColor="text1"/>
        </w:rPr>
        <w:t> </w:t>
      </w:r>
      <w:r w:rsidRPr="00F053BA">
        <w:rPr>
          <w:color w:val="000000" w:themeColor="text1"/>
          <w:lang w:val="ru-RU"/>
        </w:rPr>
        <w:t>г. и показала высокий (96%) уровень удовлетворенности участников сессии МКГР качеством предоставляемых услуг. Хотя Секретариат продолжал прилагать все возможные усилия, чтобы обеспечить более широкое участие в работе МКГР представителей коренных народов и местных сообществ, объем средств Добровольного фонда ВОИС для аккредитованных представителей коренных и местных общин оставался очень низким.  При рассмотрении подготовленных текстов и достигнутых результатов Генеральная Ассамблея ВОИС, состоявшаяся в октябре 2014 г., не смогла согласовать программу работы МКГР на 2015</w:t>
      </w:r>
      <w:r>
        <w:rPr>
          <w:color w:val="000000" w:themeColor="text1"/>
        </w:rPr>
        <w:t> </w:t>
      </w:r>
      <w:r w:rsidRPr="00F053BA">
        <w:rPr>
          <w:color w:val="000000" w:themeColor="text1"/>
          <w:lang w:val="ru-RU"/>
        </w:rPr>
        <w:t>г.  На Генеральной Ассамблее ВОИС, состоявшейся в октябре 2015</w:t>
      </w:r>
      <w:r>
        <w:rPr>
          <w:color w:val="000000" w:themeColor="text1"/>
        </w:rPr>
        <w:t> </w:t>
      </w:r>
      <w:r w:rsidRPr="00F053BA">
        <w:rPr>
          <w:color w:val="000000" w:themeColor="text1"/>
          <w:lang w:val="ru-RU"/>
        </w:rPr>
        <w:t>г., был утвержден обновленный мандат МКГР на двухлетний период 2016–2017</w:t>
      </w:r>
      <w:r>
        <w:rPr>
          <w:color w:val="000000" w:themeColor="text1"/>
        </w:rPr>
        <w:t> </w:t>
      </w:r>
      <w:r w:rsidRPr="00F053BA">
        <w:rPr>
          <w:color w:val="000000" w:themeColor="text1"/>
          <w:lang w:val="ru-RU"/>
        </w:rPr>
        <w:t>гг.</w:t>
      </w:r>
    </w:p>
    <w:p w:rsidR="00F053BA" w:rsidRPr="00F053BA" w:rsidRDefault="00F053BA" w:rsidP="00F053BA">
      <w:pPr>
        <w:jc w:val="both"/>
        <w:rPr>
          <w:rFonts w:cs="Arial"/>
          <w:color w:val="000000" w:themeColor="text1"/>
          <w:lang w:val="ru-RU"/>
        </w:rPr>
      </w:pPr>
    </w:p>
    <w:p w:rsidR="00F053BA" w:rsidRPr="00F053BA" w:rsidRDefault="00F053BA" w:rsidP="00F053BA">
      <w:pPr>
        <w:pStyle w:val="ListParagraph"/>
        <w:numPr>
          <w:ilvl w:val="0"/>
          <w:numId w:val="11"/>
        </w:numPr>
        <w:tabs>
          <w:tab w:val="left" w:pos="567"/>
        </w:tabs>
        <w:ind w:left="0" w:firstLine="0"/>
        <w:jc w:val="both"/>
        <w:rPr>
          <w:rFonts w:cs="Arial"/>
          <w:color w:val="000000" w:themeColor="text1"/>
          <w:lang w:val="ru-RU"/>
        </w:rPr>
      </w:pPr>
      <w:r w:rsidRPr="00F053BA">
        <w:rPr>
          <w:color w:val="000000" w:themeColor="text1"/>
          <w:lang w:val="ru-RU"/>
        </w:rPr>
        <w:t>Завершению переговоров в МКГР посвящена рекомендация 18 ПДР, согласно которой Комитету следует «ускорить процесс охраны ГР, ТЗ и фольклора, не исключая ни один результат, в том числе и возможную подготовку международно-правового документа или документов».  Нормативная работа по программе, которая осуществлялась в рамках МКГР, по-прежнему носила открытый характер, осуществлялась по инициативе государств-членов и была основана на открытых и сбалансированных консультациях с участием представителей гражданского общества в целом (рекомендации</w:t>
      </w:r>
      <w:r>
        <w:rPr>
          <w:color w:val="000000" w:themeColor="text1"/>
        </w:rPr>
        <w:t> </w:t>
      </w:r>
      <w:r w:rsidRPr="00F053BA">
        <w:rPr>
          <w:color w:val="000000" w:themeColor="text1"/>
          <w:lang w:val="ru-RU"/>
        </w:rPr>
        <w:t>15, 21 и 42), учитывая общественное достояние (рекомендации 16 и 20) и гибкие возможности, предусмотренные международными договорами по ИС (рекомендации</w:t>
      </w:r>
      <w:r>
        <w:rPr>
          <w:color w:val="000000" w:themeColor="text1"/>
        </w:rPr>
        <w:t> </w:t>
      </w:r>
      <w:r w:rsidRPr="00F053BA">
        <w:rPr>
          <w:color w:val="000000" w:themeColor="text1"/>
          <w:lang w:val="ru-RU"/>
        </w:rPr>
        <w:t>14 и 17).  Переговоры в рамках МКГР способствовали интеграции вопросов развития в основную деятельность Организации и были ориентированы на содействие достижению целей ООН в области развития (рекомендации</w:t>
      </w:r>
      <w:r>
        <w:rPr>
          <w:color w:val="000000" w:themeColor="text1"/>
        </w:rPr>
        <w:t> </w:t>
      </w:r>
      <w:r w:rsidRPr="00F053BA">
        <w:rPr>
          <w:color w:val="000000" w:themeColor="text1"/>
          <w:lang w:val="ru-RU"/>
        </w:rPr>
        <w:t>12 и 22).</w:t>
      </w:r>
    </w:p>
    <w:p w:rsidR="00F053BA" w:rsidRPr="00F053BA" w:rsidRDefault="00F053BA" w:rsidP="00F053BA">
      <w:pPr>
        <w:jc w:val="both"/>
        <w:rPr>
          <w:rFonts w:cs="Arial"/>
          <w:color w:val="000000" w:themeColor="text1"/>
          <w:lang w:val="ru-RU"/>
        </w:rPr>
      </w:pPr>
    </w:p>
    <w:p w:rsidR="00F053BA" w:rsidRPr="00F053BA" w:rsidRDefault="00F053BA" w:rsidP="00F053BA">
      <w:pPr>
        <w:pStyle w:val="ListParagraph"/>
        <w:numPr>
          <w:ilvl w:val="0"/>
          <w:numId w:val="11"/>
        </w:numPr>
        <w:tabs>
          <w:tab w:val="left" w:pos="567"/>
        </w:tabs>
        <w:ind w:left="0" w:firstLine="0"/>
        <w:jc w:val="both"/>
        <w:rPr>
          <w:rFonts w:cs="Arial"/>
          <w:color w:val="000000" w:themeColor="text1"/>
          <w:lang w:val="ru-RU"/>
        </w:rPr>
      </w:pPr>
      <w:r w:rsidRPr="00F053BA">
        <w:rPr>
          <w:color w:val="000000" w:themeColor="text1"/>
          <w:lang w:val="ru-RU"/>
        </w:rPr>
        <w:t>В области укрепления потенциала и повышения осведомленности продолжалась информационно-разъяснительная работа среди коренных народов и местных сообществ, направленная на их ознакомление с системой ИС и содействие их эффективному участию в работе МКГР, оказание им по запросу поддержки в разработке национального и регионального законодательства и политики, а также выработка практических решений на всех уровнях на основе более ясного понимания проблем и вариантов действий.  В 2015</w:t>
      </w:r>
      <w:r>
        <w:rPr>
          <w:color w:val="000000" w:themeColor="text1"/>
        </w:rPr>
        <w:t> </w:t>
      </w:r>
      <w:r w:rsidRPr="00F053BA">
        <w:rPr>
          <w:color w:val="000000" w:themeColor="text1"/>
          <w:lang w:val="ru-RU"/>
        </w:rPr>
        <w:t>г. Секретариат организовал в Женеве два международных семинара по ИС, ГР, ТЗ и ТВК, участие в которых могли принять все государства-члены и наблюдатели.  На этих семинарах состоялся обмен региональным, национальным и местным опытом. Кроме того, страны и другие заинтересованные стороны смогли обсудить вопросы политики в более неформальной обстановке.  В рассматриваемый двухлетний период Секретариат положительно ответил почти на 80 запросов государств-членов, НПО, коренных народов и местных общин, промышленных ассоциаций и университетов о проведении семинаров-практикумов, брифингов и других презентаций как в Женеве, так и за ее пределами.  Помощь в разработке законодательства и политики была оказана шести странам по их просьбе.  В 2014</w:t>
      </w:r>
      <w:r>
        <w:rPr>
          <w:color w:val="000000" w:themeColor="text1"/>
        </w:rPr>
        <w:t> </w:t>
      </w:r>
      <w:r w:rsidRPr="00F053BA">
        <w:rPr>
          <w:color w:val="000000" w:themeColor="text1"/>
          <w:lang w:val="ru-RU"/>
        </w:rPr>
        <w:t>г. и 2015</w:t>
      </w:r>
      <w:r>
        <w:rPr>
          <w:color w:val="000000" w:themeColor="text1"/>
        </w:rPr>
        <w:t> </w:t>
      </w:r>
      <w:r w:rsidRPr="00F053BA">
        <w:rPr>
          <w:color w:val="000000" w:themeColor="text1"/>
          <w:lang w:val="ru-RU"/>
        </w:rPr>
        <w:t>г. была проведена серия практических семинаров в целях обмена знаниями, формирования взаимопонимания и налаживания сотрудничества. В рамках этой серии семинаров состоялись мероприятия в Женеве (декабрь 2014</w:t>
      </w:r>
      <w:r>
        <w:rPr>
          <w:color w:val="000000" w:themeColor="text1"/>
        </w:rPr>
        <w:t> </w:t>
      </w:r>
      <w:r w:rsidRPr="00F053BA">
        <w:rPr>
          <w:color w:val="000000" w:themeColor="text1"/>
          <w:lang w:val="ru-RU"/>
        </w:rPr>
        <w:t>г.), Виндхуке, Намибия (август 2015</w:t>
      </w:r>
      <w:r>
        <w:rPr>
          <w:color w:val="000000" w:themeColor="text1"/>
        </w:rPr>
        <w:t> </w:t>
      </w:r>
      <w:r w:rsidRPr="00F053BA">
        <w:rPr>
          <w:color w:val="000000" w:themeColor="text1"/>
          <w:lang w:val="ru-RU"/>
        </w:rPr>
        <w:t>г.), г.</w:t>
      </w:r>
      <w:r>
        <w:rPr>
          <w:color w:val="000000" w:themeColor="text1"/>
        </w:rPr>
        <w:t> </w:t>
      </w:r>
      <w:r w:rsidRPr="00F053BA">
        <w:rPr>
          <w:color w:val="000000" w:themeColor="text1"/>
          <w:lang w:val="ru-RU"/>
        </w:rPr>
        <w:t>Панама, Панама (ноябрь 2015</w:t>
      </w:r>
      <w:r>
        <w:rPr>
          <w:color w:val="000000" w:themeColor="text1"/>
        </w:rPr>
        <w:t> </w:t>
      </w:r>
      <w:r w:rsidRPr="00F053BA">
        <w:rPr>
          <w:color w:val="000000" w:themeColor="text1"/>
          <w:lang w:val="ru-RU"/>
        </w:rPr>
        <w:t>г.) и в г. Апиа, Самоа (декабрь 2015</w:t>
      </w:r>
      <w:r>
        <w:rPr>
          <w:color w:val="000000" w:themeColor="text1"/>
        </w:rPr>
        <w:t> </w:t>
      </w:r>
      <w:r w:rsidRPr="00F053BA">
        <w:rPr>
          <w:color w:val="000000" w:themeColor="text1"/>
          <w:lang w:val="ru-RU"/>
        </w:rPr>
        <w:t>г.)  ВОИС продолжала вносить свой вклад в качестве технического партнера в осуществление региональных проектов в странах Африки, Азиатско-Тихоокеанского региона и в странах Латинской Америки и Карибского бассейна.  ВОИС также продолжала свою серию кратких, доступных публикаций по ключевым вопросам и в 2014</w:t>
      </w:r>
      <w:r>
        <w:rPr>
          <w:color w:val="000000" w:themeColor="text1"/>
        </w:rPr>
        <w:t> </w:t>
      </w:r>
      <w:r w:rsidRPr="00F053BA">
        <w:rPr>
          <w:color w:val="000000" w:themeColor="text1"/>
          <w:lang w:val="ru-RU"/>
        </w:rPr>
        <w:t>г. выпустила практическое руководство на тему «Интеллектуальная собственность и фестивали народного творчества и культуры»</w:t>
      </w:r>
      <w:r>
        <w:rPr>
          <w:rStyle w:val="FootnoteReference"/>
          <w:color w:val="000000" w:themeColor="text1"/>
        </w:rPr>
        <w:footnoteReference w:id="16"/>
      </w:r>
      <w:r w:rsidRPr="00F053BA">
        <w:rPr>
          <w:color w:val="000000" w:themeColor="text1"/>
          <w:lang w:val="ru-RU"/>
        </w:rPr>
        <w:t>.  На основе сотрудничества с Академией ВОИС в апреле 2015</w:t>
      </w:r>
      <w:r>
        <w:rPr>
          <w:color w:val="000000" w:themeColor="text1"/>
        </w:rPr>
        <w:t> </w:t>
      </w:r>
      <w:r w:rsidRPr="00F053BA">
        <w:rPr>
          <w:color w:val="000000" w:themeColor="text1"/>
          <w:lang w:val="ru-RU"/>
        </w:rPr>
        <w:t>г. был запущен дистанционный образовательный курс по ИС, ТЗ и ТВК.</w:t>
      </w:r>
    </w:p>
    <w:p w:rsidR="00F053BA" w:rsidRPr="00F053BA" w:rsidRDefault="00F053BA" w:rsidP="00F053BA">
      <w:pPr>
        <w:jc w:val="both"/>
        <w:rPr>
          <w:rFonts w:cs="Arial"/>
          <w:color w:val="000000" w:themeColor="text1"/>
          <w:lang w:val="ru-RU"/>
        </w:rPr>
      </w:pPr>
    </w:p>
    <w:p w:rsidR="00F053BA" w:rsidRPr="00F053BA" w:rsidRDefault="00F053BA" w:rsidP="00F053BA">
      <w:pPr>
        <w:pStyle w:val="ListParagraph"/>
        <w:numPr>
          <w:ilvl w:val="0"/>
          <w:numId w:val="11"/>
        </w:numPr>
        <w:tabs>
          <w:tab w:val="left" w:pos="567"/>
        </w:tabs>
        <w:ind w:left="0" w:firstLine="0"/>
        <w:jc w:val="both"/>
        <w:rPr>
          <w:rFonts w:cs="Arial"/>
          <w:color w:val="000000" w:themeColor="text1"/>
          <w:lang w:val="ru-RU"/>
        </w:rPr>
      </w:pPr>
      <w:r w:rsidRPr="00F053BA">
        <w:rPr>
          <w:color w:val="000000" w:themeColor="text1"/>
          <w:lang w:val="ru-RU"/>
        </w:rPr>
        <w:t>В рамках обеспечения взаимодействия с другими профильными межправительственными организациями и форумами Секретариат еще более тесно сотрудничал с Секретариатом Конвенции о биологическом разнообразии (КБР) и Нагойского протокола о регулировании доступа к генетическим ресурсам и совместного использования на справедливой и равной основе выгод от их применения, в том числе путем совместной организации практикумов для должностных лиц организаций и представителей коренных и местных общин. Секретариат работал с Постоянным форумом ООН по вопросам коренных народов (ПФКН) и участвовал в его 13-й и 14-й сессиях в 2014</w:t>
      </w:r>
      <w:r>
        <w:rPr>
          <w:color w:val="000000" w:themeColor="text1"/>
        </w:rPr>
        <w:t> </w:t>
      </w:r>
      <w:r w:rsidRPr="00F053BA">
        <w:rPr>
          <w:color w:val="000000" w:themeColor="text1"/>
          <w:lang w:val="ru-RU"/>
        </w:rPr>
        <w:t>г. и 2015 г. соответственно, а также в работе Всемирной конференции по делам коренных народов в сентябре 2014 г., стремясь активнее взаимодействовать с организациями коренных и местных сообществ и другими организациями системы ООН.  По просьбе Секретариата ПФКН Секретариат ВОИС оказал финансовую поддержку подготовке экспертом</w:t>
      </w:r>
      <w:r>
        <w:rPr>
          <w:color w:val="000000" w:themeColor="text1"/>
        </w:rPr>
        <w:t> </w:t>
      </w:r>
      <w:r w:rsidRPr="00F053BA">
        <w:rPr>
          <w:color w:val="000000" w:themeColor="text1"/>
          <w:lang w:val="ru-RU"/>
        </w:rPr>
        <w:t>– представителем коренной народности технической рецензии текстов МКГР для ПФКН с точки зрения соблюдения прав человека.</w:t>
      </w:r>
    </w:p>
    <w:p w:rsidR="00F053BA" w:rsidRPr="00F053BA" w:rsidRDefault="00F053BA" w:rsidP="00F053BA">
      <w:pPr>
        <w:jc w:val="both"/>
        <w:rPr>
          <w:rFonts w:cs="Arial"/>
          <w:color w:val="000000" w:themeColor="text1"/>
          <w:lang w:val="ru-RU"/>
        </w:rPr>
      </w:pPr>
    </w:p>
    <w:p w:rsidR="00F053BA" w:rsidRPr="00F053BA" w:rsidRDefault="00F053BA" w:rsidP="00F053BA">
      <w:pPr>
        <w:pStyle w:val="ListParagraph"/>
        <w:numPr>
          <w:ilvl w:val="0"/>
          <w:numId w:val="11"/>
        </w:numPr>
        <w:tabs>
          <w:tab w:val="left" w:pos="567"/>
        </w:tabs>
        <w:ind w:left="0" w:firstLine="0"/>
        <w:jc w:val="both"/>
        <w:rPr>
          <w:lang w:val="ru-RU"/>
        </w:rPr>
      </w:pPr>
      <w:r w:rsidRPr="00F053BA">
        <w:rPr>
          <w:color w:val="000000" w:themeColor="text1"/>
          <w:lang w:val="ru-RU"/>
        </w:rPr>
        <w:t>Мероприятия по оказанию технической помощи, укреплению потенциала и содействию в нормотворческой работе, проводившиеся в рамках программы, напрямую способствовали выполнению других рекомендаций ПДР, обеспечивая, в частности, оказание технической помощи, ориентированной на цели развития и оказываемой по просьбам стран (рекомендации</w:t>
      </w:r>
      <w:r>
        <w:rPr>
          <w:color w:val="000000" w:themeColor="text1"/>
        </w:rPr>
        <w:t> </w:t>
      </w:r>
      <w:r w:rsidRPr="00F053BA">
        <w:rPr>
          <w:color w:val="000000" w:themeColor="text1"/>
          <w:lang w:val="ru-RU"/>
        </w:rPr>
        <w:t>1 и</w:t>
      </w:r>
      <w:r>
        <w:rPr>
          <w:color w:val="000000" w:themeColor="text1"/>
        </w:rPr>
        <w:t> </w:t>
      </w:r>
      <w:r w:rsidRPr="00F053BA">
        <w:rPr>
          <w:color w:val="000000" w:themeColor="text1"/>
          <w:lang w:val="ru-RU"/>
        </w:rPr>
        <w:t>12), предоставление странам рекомендаций по разработке национального законодательства и политики (рекомендации</w:t>
      </w:r>
      <w:r>
        <w:rPr>
          <w:color w:val="000000" w:themeColor="text1"/>
        </w:rPr>
        <w:t> </w:t>
      </w:r>
      <w:r w:rsidRPr="00F053BA">
        <w:rPr>
          <w:color w:val="000000" w:themeColor="text1"/>
          <w:lang w:val="ru-RU"/>
        </w:rPr>
        <w:t>11, 13 и</w:t>
      </w:r>
      <w:r>
        <w:rPr>
          <w:color w:val="000000" w:themeColor="text1"/>
        </w:rPr>
        <w:t> </w:t>
      </w:r>
      <w:r w:rsidRPr="00F053BA">
        <w:rPr>
          <w:color w:val="000000" w:themeColor="text1"/>
          <w:lang w:val="ru-RU"/>
        </w:rPr>
        <w:t>14), повышение осведомленности в отношении вопросов ИС, связанных с ТЗ, ТВК и ГР (рекомендация</w:t>
      </w:r>
      <w:r>
        <w:rPr>
          <w:color w:val="000000" w:themeColor="text1"/>
        </w:rPr>
        <w:t> </w:t>
      </w:r>
      <w:r w:rsidRPr="00F053BA">
        <w:rPr>
          <w:color w:val="000000" w:themeColor="text1"/>
          <w:lang w:val="ru-RU"/>
        </w:rPr>
        <w:t>3) и сотрудничество по вопросам, касающимся ИС, с другими организациями ООН (рекомендация</w:t>
      </w:r>
      <w:r>
        <w:rPr>
          <w:color w:val="000000" w:themeColor="text1"/>
        </w:rPr>
        <w:t> </w:t>
      </w:r>
      <w:r w:rsidRPr="00F053BA">
        <w:rPr>
          <w:color w:val="000000" w:themeColor="text1"/>
          <w:lang w:val="ru-RU"/>
        </w:rPr>
        <w:t>40).</w:t>
      </w:r>
    </w:p>
    <w:p w:rsidR="00F053BA" w:rsidRPr="00F053BA" w:rsidRDefault="00F053BA" w:rsidP="00F053BA">
      <w:pPr>
        <w:jc w:val="both"/>
        <w:rPr>
          <w:rFonts w:cs="Arial"/>
          <w:bCs/>
          <w:sz w:val="22"/>
          <w:szCs w:val="22"/>
          <w:lang w:val="ru-RU"/>
        </w:rPr>
      </w:pPr>
    </w:p>
    <w:p w:rsidR="00F053BA" w:rsidRPr="00F053BA" w:rsidRDefault="00F053BA" w:rsidP="00F053BA">
      <w:pPr>
        <w:rPr>
          <w:rFonts w:cs="Arial"/>
          <w:bCs/>
          <w:sz w:val="22"/>
          <w:szCs w:val="22"/>
          <w:lang w:val="ru-RU"/>
        </w:rPr>
      </w:pPr>
    </w:p>
    <w:p w:rsidR="00F053BA" w:rsidRPr="00F053BA" w:rsidRDefault="00F053BA" w:rsidP="00F053BA">
      <w:pPr>
        <w:spacing w:after="200" w:line="276" w:lineRule="auto"/>
        <w:rPr>
          <w:lang w:val="ru-RU"/>
        </w:rPr>
      </w:pPr>
      <w:r w:rsidRPr="00F053BA">
        <w:rPr>
          <w:lang w:val="ru-RU"/>
        </w:rPr>
        <w:br w:type="page"/>
      </w:r>
    </w:p>
    <w:p w:rsidR="00F053BA" w:rsidRDefault="00F053BA" w:rsidP="00F053BA">
      <w:pPr>
        <w:rPr>
          <w:rFonts w:eastAsia="MS Mincho"/>
        </w:rPr>
      </w:pPr>
      <w:r>
        <w:t>ДАННЫЕ О РЕЗУЛЬТАТИВНОСТИ</w:t>
      </w:r>
    </w:p>
    <w:p w:rsidR="00F053BA" w:rsidRPr="00A8525E" w:rsidRDefault="00F053BA" w:rsidP="00F053BA"/>
    <w:tbl>
      <w:tblPr>
        <w:tblW w:w="4934"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28"/>
        <w:gridCol w:w="2639"/>
        <w:gridCol w:w="1421"/>
        <w:gridCol w:w="2269"/>
        <w:gridCol w:w="988"/>
      </w:tblGrid>
      <w:tr w:rsidR="00F053BA" w:rsidRPr="005C6ABD" w:rsidTr="00F053BA">
        <w:trPr>
          <w:cantSplit/>
          <w:trHeight w:val="480"/>
        </w:trPr>
        <w:tc>
          <w:tcPr>
            <w:tcW w:w="5000" w:type="pct"/>
            <w:gridSpan w:val="5"/>
            <w:tcBorders>
              <w:top w:val="single" w:sz="4" w:space="0" w:color="auto"/>
              <w:bottom w:val="nil"/>
            </w:tcBorders>
            <w:shd w:val="clear" w:color="auto" w:fill="C6D9F1" w:themeFill="text2" w:themeFillTint="33"/>
            <w:vAlign w:val="center"/>
          </w:tcPr>
          <w:p w:rsidR="00F053BA" w:rsidRPr="00F053BA" w:rsidRDefault="00F053BA" w:rsidP="00F053BA">
            <w:pPr>
              <w:keepNext/>
              <w:keepLines/>
              <w:tabs>
                <w:tab w:val="left" w:pos="1452"/>
              </w:tabs>
              <w:ind w:left="1452" w:hanging="1452"/>
              <w:rPr>
                <w:rFonts w:cs="Arial"/>
                <w:b/>
                <w:bCs/>
                <w:sz w:val="16"/>
                <w:szCs w:val="16"/>
                <w:lang w:val="ru-RU"/>
              </w:rPr>
            </w:pPr>
            <w:r w:rsidRPr="00F053BA">
              <w:rPr>
                <w:b/>
                <w:sz w:val="16"/>
                <w:lang w:val="ru-RU"/>
              </w:rPr>
              <w:t>Ожидаемый результат:</w:t>
            </w:r>
            <w:r w:rsidRPr="00F053BA">
              <w:rPr>
                <w:lang w:val="ru-RU"/>
              </w:rPr>
              <w:t xml:space="preserve"> </w:t>
            </w:r>
            <w:r w:rsidRPr="00F053BA">
              <w:rPr>
                <w:lang w:val="ru-RU"/>
              </w:rPr>
              <w:tab/>
            </w:r>
            <w:r>
              <w:rPr>
                <w:sz w:val="16"/>
              </w:rPr>
              <w:t>I</w:t>
            </w:r>
            <w:r w:rsidRPr="00F053BA">
              <w:rPr>
                <w:sz w:val="16"/>
                <w:lang w:val="ru-RU"/>
              </w:rPr>
              <w:t xml:space="preserve">.1. Активизация сотрудничества между государствами-членами по вопросам разработки </w:t>
            </w:r>
            <w:r w:rsidRPr="00F053BA">
              <w:rPr>
                <w:sz w:val="16"/>
                <w:lang w:val="ru-RU"/>
              </w:rPr>
              <w:tab/>
              <w:t xml:space="preserve">международной нормативной базы для ИС и консенсус по конкретным темам, в </w:t>
            </w:r>
            <w:r w:rsidRPr="00F053BA">
              <w:rPr>
                <w:sz w:val="16"/>
                <w:lang w:val="ru-RU"/>
              </w:rPr>
              <w:tab/>
              <w:t>отношении которых согласованы международные документы</w:t>
            </w:r>
          </w:p>
        </w:tc>
      </w:tr>
      <w:tr w:rsidR="00F053BA" w:rsidRPr="00806461" w:rsidTr="00F053BA">
        <w:trPr>
          <w:cantSplit/>
        </w:trPr>
        <w:tc>
          <w:tcPr>
            <w:tcW w:w="1127" w:type="pct"/>
            <w:tcBorders>
              <w:top w:val="single" w:sz="4" w:space="0" w:color="auto"/>
              <w:bottom w:val="nil"/>
            </w:tcBorders>
            <w:vAlign w:val="center"/>
          </w:tcPr>
          <w:p w:rsidR="00F053BA" w:rsidRPr="00806461" w:rsidRDefault="00F053BA" w:rsidP="00F053BA">
            <w:pPr>
              <w:rPr>
                <w:rFonts w:cs="Arial"/>
                <w:sz w:val="16"/>
                <w:szCs w:val="16"/>
              </w:rPr>
            </w:pPr>
            <w:r>
              <w:rPr>
                <w:b/>
                <w:sz w:val="16"/>
              </w:rPr>
              <w:t>Показатели результативности</w:t>
            </w:r>
          </w:p>
        </w:tc>
        <w:tc>
          <w:tcPr>
            <w:tcW w:w="1397" w:type="pct"/>
            <w:tcBorders>
              <w:top w:val="single" w:sz="4" w:space="0" w:color="auto"/>
              <w:bottom w:val="nil"/>
            </w:tcBorders>
            <w:shd w:val="clear" w:color="auto" w:fill="auto"/>
            <w:vAlign w:val="center"/>
          </w:tcPr>
          <w:p w:rsidR="00F053BA" w:rsidRPr="00806461" w:rsidRDefault="00F053BA" w:rsidP="00F053BA">
            <w:pPr>
              <w:rPr>
                <w:rFonts w:cs="Arial"/>
                <w:b/>
                <w:bCs/>
                <w:sz w:val="16"/>
                <w:szCs w:val="16"/>
              </w:rPr>
            </w:pPr>
            <w:r>
              <w:rPr>
                <w:b/>
                <w:sz w:val="16"/>
              </w:rPr>
              <w:t>Базовые показатели</w:t>
            </w:r>
          </w:p>
        </w:tc>
        <w:tc>
          <w:tcPr>
            <w:tcW w:w="752" w:type="pct"/>
            <w:tcBorders>
              <w:top w:val="single" w:sz="4" w:space="0" w:color="auto"/>
              <w:bottom w:val="nil"/>
            </w:tcBorders>
            <w:tcMar>
              <w:top w:w="110" w:type="dxa"/>
            </w:tcMar>
            <w:vAlign w:val="center"/>
          </w:tcPr>
          <w:p w:rsidR="00F053BA" w:rsidRPr="00806461" w:rsidRDefault="00F053BA" w:rsidP="00F053BA">
            <w:pPr>
              <w:rPr>
                <w:rFonts w:cs="Arial"/>
                <w:b/>
                <w:sz w:val="16"/>
                <w:szCs w:val="16"/>
              </w:rPr>
            </w:pPr>
            <w:r>
              <w:rPr>
                <w:b/>
                <w:sz w:val="16"/>
              </w:rPr>
              <w:t>Цели</w:t>
            </w:r>
          </w:p>
        </w:tc>
        <w:tc>
          <w:tcPr>
            <w:tcW w:w="1201" w:type="pct"/>
            <w:tcBorders>
              <w:top w:val="single" w:sz="4" w:space="0" w:color="auto"/>
              <w:bottom w:val="nil"/>
            </w:tcBorders>
            <w:shd w:val="clear" w:color="auto" w:fill="FFFFFF"/>
            <w:tcMar>
              <w:top w:w="110" w:type="dxa"/>
            </w:tcMar>
            <w:vAlign w:val="center"/>
          </w:tcPr>
          <w:p w:rsidR="00F053BA" w:rsidRPr="00806461" w:rsidRDefault="00F053BA" w:rsidP="00F053BA">
            <w:pPr>
              <w:rPr>
                <w:rFonts w:cs="Arial"/>
                <w:sz w:val="16"/>
                <w:szCs w:val="16"/>
              </w:rPr>
            </w:pPr>
            <w:r>
              <w:rPr>
                <w:b/>
                <w:sz w:val="16"/>
              </w:rPr>
              <w:t>Данные о результативности</w:t>
            </w:r>
          </w:p>
        </w:tc>
        <w:tc>
          <w:tcPr>
            <w:tcW w:w="524" w:type="pct"/>
            <w:tcBorders>
              <w:top w:val="single" w:sz="4" w:space="0" w:color="auto"/>
              <w:bottom w:val="nil"/>
            </w:tcBorders>
            <w:tcMar>
              <w:top w:w="110" w:type="dxa"/>
            </w:tcMar>
            <w:vAlign w:val="center"/>
          </w:tcPr>
          <w:p w:rsidR="00F053BA" w:rsidRPr="00F654CF" w:rsidRDefault="00F053BA" w:rsidP="00F053BA">
            <w:pPr>
              <w:keepNext/>
              <w:keepLines/>
              <w:jc w:val="center"/>
              <w:rPr>
                <w:rFonts w:cs="Arial"/>
                <w:b/>
                <w:bCs/>
                <w:sz w:val="16"/>
                <w:szCs w:val="16"/>
              </w:rPr>
            </w:pPr>
            <w:r>
              <w:rPr>
                <w:b/>
                <w:sz w:val="16"/>
              </w:rPr>
              <w:t>CC</w:t>
            </w:r>
          </w:p>
        </w:tc>
      </w:tr>
      <w:tr w:rsidR="00F053BA" w:rsidRPr="00806461" w:rsidTr="00F053BA">
        <w:trPr>
          <w:cantSplit/>
        </w:trPr>
        <w:tc>
          <w:tcPr>
            <w:tcW w:w="1127" w:type="pct"/>
            <w:tcBorders>
              <w:top w:val="nil"/>
              <w:bottom w:val="single" w:sz="4" w:space="0" w:color="auto"/>
            </w:tcBorders>
          </w:tcPr>
          <w:p w:rsidR="00F053BA" w:rsidRPr="00F053BA" w:rsidRDefault="00F053BA" w:rsidP="00F053BA">
            <w:pPr>
              <w:rPr>
                <w:rFonts w:cs="Arial"/>
                <w:sz w:val="16"/>
                <w:szCs w:val="16"/>
                <w:lang w:val="ru-RU"/>
              </w:rPr>
            </w:pPr>
            <w:r w:rsidRPr="00F053BA">
              <w:rPr>
                <w:sz w:val="16"/>
                <w:lang w:val="ru-RU"/>
              </w:rPr>
              <w:t>Соглашение по итогам переговоров в рамках МКГР относительно международно-правового документа (документов) по ТЗ, ТВК и ГР</w:t>
            </w:r>
          </w:p>
        </w:tc>
        <w:tc>
          <w:tcPr>
            <w:tcW w:w="1397" w:type="pct"/>
            <w:tcBorders>
              <w:top w:val="nil"/>
              <w:bottom w:val="single" w:sz="4" w:space="0" w:color="auto"/>
            </w:tcBorders>
            <w:shd w:val="clear" w:color="auto" w:fill="auto"/>
          </w:tcPr>
          <w:p w:rsidR="00F053BA" w:rsidRPr="00F053BA" w:rsidRDefault="00F053BA" w:rsidP="00F053BA">
            <w:pPr>
              <w:rPr>
                <w:rFonts w:cs="Arial"/>
                <w:i/>
                <w:color w:val="002060"/>
                <w:sz w:val="16"/>
                <w:szCs w:val="16"/>
                <w:highlight w:val="yellow"/>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 xml:space="preserve">г.:  </w:t>
            </w:r>
            <w:r w:rsidRPr="00F053BA">
              <w:rPr>
                <w:color w:val="002060"/>
                <w:sz w:val="16"/>
                <w:lang w:val="ru-RU"/>
              </w:rPr>
              <w:t>в</w:t>
            </w:r>
            <w:r>
              <w:rPr>
                <w:color w:val="002060"/>
                <w:sz w:val="16"/>
              </w:rPr>
              <w:t> </w:t>
            </w:r>
            <w:r w:rsidRPr="00F053BA">
              <w:rPr>
                <w:color w:val="002060"/>
                <w:sz w:val="16"/>
                <w:lang w:val="ru-RU"/>
              </w:rPr>
              <w:t>октябре 2013</w:t>
            </w:r>
            <w:r>
              <w:rPr>
                <w:color w:val="002060"/>
                <w:sz w:val="16"/>
              </w:rPr>
              <w:t> </w:t>
            </w:r>
            <w:r w:rsidRPr="00F053BA">
              <w:rPr>
                <w:color w:val="002060"/>
                <w:sz w:val="16"/>
                <w:lang w:val="ru-RU"/>
              </w:rPr>
              <w:t>г. Генеральная Ассамблея ВОИС согласовала обновленный мандат МКГР на 2014–2015</w:t>
            </w:r>
            <w:r>
              <w:rPr>
                <w:color w:val="002060"/>
                <w:sz w:val="16"/>
              </w:rPr>
              <w:t> </w:t>
            </w:r>
            <w:r w:rsidRPr="00F053BA">
              <w:rPr>
                <w:color w:val="002060"/>
                <w:sz w:val="16"/>
                <w:lang w:val="ru-RU"/>
              </w:rPr>
              <w:t>гг. и его программу работы на 2014</w:t>
            </w:r>
            <w:r>
              <w:rPr>
                <w:color w:val="002060"/>
                <w:sz w:val="16"/>
              </w:rPr>
              <w:t> </w:t>
            </w:r>
            <w:r w:rsidRPr="00F053BA">
              <w:rPr>
                <w:color w:val="002060"/>
                <w:sz w:val="16"/>
                <w:lang w:val="ru-RU"/>
              </w:rPr>
              <w:t>г.</w:t>
            </w:r>
          </w:p>
          <w:p w:rsidR="00F053BA" w:rsidRPr="00F053BA" w:rsidRDefault="00F053BA" w:rsidP="00F053BA">
            <w:pPr>
              <w:rPr>
                <w:rFonts w:cs="Arial"/>
                <w:i/>
                <w:color w:val="002060"/>
                <w:sz w:val="8"/>
                <w:szCs w:val="8"/>
                <w:highlight w:val="yellow"/>
                <w:lang w:val="ru-RU"/>
              </w:rPr>
            </w:pP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i/>
                <w:sz w:val="16"/>
                <w:lang w:val="ru-RU"/>
              </w:rPr>
              <w:t>Исходные базовые показатели ПиБ на 2014–2015</w:t>
            </w:r>
            <w:r>
              <w:rPr>
                <w:i/>
                <w:sz w:val="16"/>
              </w:rPr>
              <w:t> </w:t>
            </w:r>
            <w:r w:rsidRPr="00F053BA">
              <w:rPr>
                <w:i/>
                <w:sz w:val="16"/>
                <w:lang w:val="ru-RU"/>
              </w:rPr>
              <w:t>гг.:</w:t>
            </w:r>
          </w:p>
          <w:p w:rsidR="00F053BA" w:rsidRPr="00F053BA" w:rsidRDefault="00F053BA" w:rsidP="00F053BA">
            <w:pPr>
              <w:rPr>
                <w:rFonts w:cs="Arial"/>
                <w:sz w:val="16"/>
                <w:szCs w:val="16"/>
                <w:lang w:val="ru-RU"/>
              </w:rPr>
            </w:pPr>
            <w:r w:rsidRPr="00F053BA">
              <w:rPr>
                <w:sz w:val="16"/>
                <w:lang w:val="ru-RU"/>
              </w:rPr>
              <w:t>в настоящее время переговоры в Комитете идут на базе мандата МКГР на 2012–2013</w:t>
            </w:r>
            <w:r>
              <w:rPr>
                <w:sz w:val="16"/>
              </w:rPr>
              <w:t> </w:t>
            </w:r>
            <w:r w:rsidRPr="00F053BA">
              <w:rPr>
                <w:sz w:val="16"/>
                <w:lang w:val="ru-RU"/>
              </w:rPr>
              <w:t>гг. и программы работы на 2013</w:t>
            </w:r>
            <w:r>
              <w:rPr>
                <w:sz w:val="16"/>
              </w:rPr>
              <w:t> </w:t>
            </w:r>
            <w:r w:rsidRPr="00F053BA">
              <w:rPr>
                <w:sz w:val="16"/>
                <w:lang w:val="ru-RU"/>
              </w:rPr>
              <w:t>г.</w:t>
            </w:r>
          </w:p>
          <w:p w:rsidR="00F053BA" w:rsidRPr="00F053BA" w:rsidRDefault="00F053BA" w:rsidP="00F053BA">
            <w:pPr>
              <w:rPr>
                <w:rFonts w:cs="Arial"/>
                <w:sz w:val="16"/>
                <w:szCs w:val="16"/>
                <w:lang w:val="ru-RU"/>
              </w:rPr>
            </w:pPr>
          </w:p>
        </w:tc>
        <w:tc>
          <w:tcPr>
            <w:tcW w:w="752" w:type="pct"/>
            <w:tcBorders>
              <w:top w:val="nil"/>
              <w:bottom w:val="single" w:sz="4" w:space="0" w:color="auto"/>
            </w:tcBorders>
            <w:tcMar>
              <w:top w:w="110" w:type="dxa"/>
            </w:tcMar>
          </w:tcPr>
          <w:p w:rsidR="00F053BA" w:rsidRPr="00F053BA" w:rsidRDefault="00F053BA" w:rsidP="00F053BA">
            <w:pPr>
              <w:autoSpaceDE w:val="0"/>
              <w:autoSpaceDN w:val="0"/>
              <w:adjustRightInd w:val="0"/>
              <w:rPr>
                <w:rFonts w:cs="Arial"/>
                <w:sz w:val="16"/>
                <w:szCs w:val="16"/>
                <w:lang w:val="ru-RU"/>
              </w:rPr>
            </w:pPr>
            <w:r w:rsidRPr="00F053BA">
              <w:rPr>
                <w:sz w:val="16"/>
                <w:lang w:val="ru-RU"/>
              </w:rPr>
              <w:t>Принятие Дипломатической конференцией международно-правового документа (документов)</w:t>
            </w:r>
          </w:p>
        </w:tc>
        <w:tc>
          <w:tcPr>
            <w:tcW w:w="1201" w:type="pct"/>
            <w:tcBorders>
              <w:top w:val="nil"/>
              <w:bottom w:val="single" w:sz="4" w:space="0" w:color="auto"/>
            </w:tcBorders>
            <w:shd w:val="clear" w:color="auto" w:fill="FFFFFF"/>
            <w:tcMar>
              <w:top w:w="110" w:type="dxa"/>
            </w:tcMar>
          </w:tcPr>
          <w:p w:rsidR="00F053BA" w:rsidRPr="00F053BA" w:rsidRDefault="00F053BA" w:rsidP="00F053BA">
            <w:pPr>
              <w:rPr>
                <w:color w:val="000000" w:themeColor="text1"/>
                <w:sz w:val="16"/>
                <w:lang w:val="ru-RU"/>
              </w:rPr>
            </w:pPr>
            <w:r w:rsidRPr="00F053BA">
              <w:rPr>
                <w:sz w:val="16"/>
                <w:lang w:val="ru-RU"/>
              </w:rPr>
              <w:t>По итогам проведения трех последующих сессий в 2014</w:t>
            </w:r>
            <w:r>
              <w:rPr>
                <w:sz w:val="16"/>
              </w:rPr>
              <w:t> </w:t>
            </w:r>
            <w:r w:rsidRPr="00F053BA">
              <w:rPr>
                <w:sz w:val="16"/>
                <w:lang w:val="ru-RU"/>
              </w:rPr>
              <w:t>г. МКГР продвинулся вперед в переговорах на основе текста в соответствии со своим мандатом.  Генеральная Ассамблея ВОИС, состоявшаяся в октябре 2014 г., не пришла к согласию в отношении программы работы МКГР на 2015</w:t>
            </w:r>
            <w:r>
              <w:rPr>
                <w:sz w:val="16"/>
              </w:rPr>
              <w:t> </w:t>
            </w:r>
            <w:r w:rsidRPr="00F053BA">
              <w:rPr>
                <w:sz w:val="16"/>
                <w:lang w:val="ru-RU"/>
              </w:rPr>
              <w:t>г.</w:t>
            </w:r>
            <w:r w:rsidRPr="00F053BA">
              <w:rPr>
                <w:color w:val="000000" w:themeColor="text1"/>
                <w:sz w:val="16"/>
                <w:lang w:val="ru-RU"/>
              </w:rPr>
              <w:t xml:space="preserve">  На Генеральной Ассамблее ВОИС, состоявшейся в октябре 2015</w:t>
            </w:r>
            <w:r>
              <w:rPr>
                <w:color w:val="000000" w:themeColor="text1"/>
                <w:sz w:val="16"/>
              </w:rPr>
              <w:t> </w:t>
            </w:r>
            <w:r w:rsidRPr="00F053BA">
              <w:rPr>
                <w:color w:val="000000" w:themeColor="text1"/>
                <w:sz w:val="16"/>
                <w:lang w:val="ru-RU"/>
              </w:rPr>
              <w:t>г., был утвержден обновленный мандат МКГР на двухлетний период 2016–2017</w:t>
            </w:r>
            <w:r>
              <w:rPr>
                <w:color w:val="000000" w:themeColor="text1"/>
                <w:sz w:val="16"/>
              </w:rPr>
              <w:t> </w:t>
            </w:r>
            <w:r w:rsidRPr="00F053BA">
              <w:rPr>
                <w:color w:val="000000" w:themeColor="text1"/>
                <w:sz w:val="16"/>
                <w:lang w:val="ru-RU"/>
              </w:rPr>
              <w:t>гг.</w:t>
            </w:r>
          </w:p>
          <w:p w:rsidR="00F053BA" w:rsidRPr="00F053BA" w:rsidRDefault="00F053BA" w:rsidP="00F053BA">
            <w:pPr>
              <w:rPr>
                <w:rFonts w:cs="Arial"/>
                <w:sz w:val="16"/>
                <w:szCs w:val="16"/>
                <w:lang w:val="ru-RU"/>
              </w:rPr>
            </w:pPr>
          </w:p>
        </w:tc>
        <w:tc>
          <w:tcPr>
            <w:tcW w:w="524" w:type="pct"/>
            <w:tcBorders>
              <w:top w:val="nil"/>
              <w:bottom w:val="single" w:sz="4" w:space="0" w:color="auto"/>
            </w:tcBorders>
            <w:tcMar>
              <w:top w:w="110" w:type="dxa"/>
            </w:tcMar>
          </w:tcPr>
          <w:p w:rsidR="00F053BA" w:rsidRPr="006C543C" w:rsidRDefault="00F053BA" w:rsidP="00F053BA">
            <w:pPr>
              <w:keepNext/>
              <w:keepLines/>
              <w:jc w:val="center"/>
              <w:rPr>
                <w:b/>
                <w:bCs/>
                <w:color w:val="FF0000"/>
                <w:sz w:val="16"/>
                <w:szCs w:val="16"/>
              </w:rPr>
            </w:pPr>
            <w:r>
              <w:rPr>
                <w:b/>
                <w:color w:val="FF0000"/>
                <w:sz w:val="16"/>
              </w:rPr>
              <w:t>Не выполнено</w:t>
            </w:r>
          </w:p>
        </w:tc>
      </w:tr>
      <w:tr w:rsidR="00F053BA" w:rsidRPr="005C6ABD" w:rsidTr="00F053BA">
        <w:trPr>
          <w:cantSplit/>
          <w:trHeight w:val="563"/>
        </w:trPr>
        <w:tc>
          <w:tcPr>
            <w:tcW w:w="5000" w:type="pct"/>
            <w:gridSpan w:val="5"/>
            <w:tcBorders>
              <w:top w:val="single" w:sz="4" w:space="0" w:color="auto"/>
              <w:bottom w:val="single" w:sz="4" w:space="0" w:color="auto"/>
            </w:tcBorders>
            <w:shd w:val="clear" w:color="auto" w:fill="C6D9F1" w:themeFill="text2" w:themeFillTint="33"/>
            <w:vAlign w:val="center"/>
          </w:tcPr>
          <w:p w:rsidR="00F053BA" w:rsidRPr="00F053BA" w:rsidRDefault="00F053BA" w:rsidP="003A5C2E">
            <w:pPr>
              <w:keepNext/>
              <w:keepLines/>
              <w:tabs>
                <w:tab w:val="left" w:pos="2019"/>
              </w:tabs>
              <w:ind w:left="2019" w:hanging="2019"/>
              <w:rPr>
                <w:rFonts w:cs="Arial"/>
                <w:b/>
                <w:bCs/>
                <w:sz w:val="16"/>
                <w:szCs w:val="16"/>
                <w:lang w:val="ru-RU"/>
              </w:rPr>
            </w:pPr>
            <w:r w:rsidRPr="00F053BA">
              <w:rPr>
                <w:b/>
                <w:sz w:val="16"/>
                <w:lang w:val="ru-RU"/>
              </w:rPr>
              <w:t>Ожидаемый результат:</w:t>
            </w:r>
            <w:r w:rsidRPr="00F053BA">
              <w:rPr>
                <w:lang w:val="ru-RU"/>
              </w:rPr>
              <w:t xml:space="preserve"> </w:t>
            </w:r>
            <w:r w:rsidRPr="00F053BA">
              <w:rPr>
                <w:lang w:val="ru-RU"/>
              </w:rPr>
              <w:tab/>
            </w:r>
            <w:r>
              <w:rPr>
                <w:sz w:val="16"/>
              </w:rPr>
              <w:t>III</w:t>
            </w:r>
            <w:r w:rsidRPr="00F053BA">
              <w:rPr>
                <w:sz w:val="16"/>
                <w:lang w:val="ru-RU"/>
              </w:rPr>
              <w:t>.2. Повышение квалификации людских ресурсов для ре</w:t>
            </w:r>
            <w:r w:rsidR="003A5C2E">
              <w:rPr>
                <w:sz w:val="16"/>
                <w:lang w:val="ru-RU"/>
              </w:rPr>
              <w:t xml:space="preserve">шения широкого круга вопросов, </w:t>
            </w:r>
            <w:r w:rsidRPr="00F053BA">
              <w:rPr>
                <w:sz w:val="16"/>
                <w:lang w:val="ru-RU"/>
              </w:rPr>
              <w:t>связанных с эффективным использованием ИС для целей раз</w:t>
            </w:r>
            <w:r w:rsidR="003A5C2E">
              <w:rPr>
                <w:sz w:val="16"/>
                <w:lang w:val="ru-RU"/>
              </w:rPr>
              <w:t xml:space="preserve">вития в развивающихся странах, </w:t>
            </w:r>
            <w:r w:rsidRPr="00F053BA">
              <w:rPr>
                <w:sz w:val="16"/>
                <w:lang w:val="ru-RU"/>
              </w:rPr>
              <w:t>наименее развитых странах и странах с переходной экономикой</w:t>
            </w:r>
          </w:p>
        </w:tc>
      </w:tr>
      <w:tr w:rsidR="00F053BA" w:rsidRPr="00806461" w:rsidTr="00F053BA">
        <w:trPr>
          <w:cantSplit/>
        </w:trPr>
        <w:tc>
          <w:tcPr>
            <w:tcW w:w="1127" w:type="pct"/>
            <w:tcBorders>
              <w:top w:val="single" w:sz="4" w:space="0" w:color="auto"/>
              <w:bottom w:val="nil"/>
            </w:tcBorders>
            <w:vAlign w:val="center"/>
          </w:tcPr>
          <w:p w:rsidR="00F053BA" w:rsidRPr="00806461" w:rsidRDefault="00F053BA" w:rsidP="00F053BA">
            <w:pPr>
              <w:keepNext/>
              <w:keepLines/>
              <w:rPr>
                <w:rFonts w:cs="Arial"/>
                <w:sz w:val="16"/>
                <w:szCs w:val="16"/>
              </w:rPr>
            </w:pPr>
            <w:r>
              <w:rPr>
                <w:b/>
                <w:sz w:val="16"/>
              </w:rPr>
              <w:t>Показатели результативности</w:t>
            </w:r>
          </w:p>
        </w:tc>
        <w:tc>
          <w:tcPr>
            <w:tcW w:w="1397" w:type="pct"/>
            <w:tcBorders>
              <w:top w:val="single" w:sz="4" w:space="0" w:color="auto"/>
              <w:bottom w:val="nil"/>
            </w:tcBorders>
            <w:shd w:val="clear" w:color="auto" w:fill="auto"/>
            <w:vAlign w:val="center"/>
          </w:tcPr>
          <w:p w:rsidR="00F053BA" w:rsidRPr="00806461" w:rsidRDefault="00F053BA" w:rsidP="00F053BA">
            <w:pPr>
              <w:keepNext/>
              <w:keepLines/>
              <w:rPr>
                <w:rFonts w:cs="Arial"/>
                <w:b/>
                <w:bCs/>
                <w:sz w:val="16"/>
                <w:szCs w:val="16"/>
              </w:rPr>
            </w:pPr>
            <w:r>
              <w:rPr>
                <w:b/>
                <w:sz w:val="16"/>
              </w:rPr>
              <w:t>Базовые показатели</w:t>
            </w:r>
          </w:p>
        </w:tc>
        <w:tc>
          <w:tcPr>
            <w:tcW w:w="752" w:type="pct"/>
            <w:tcBorders>
              <w:top w:val="single" w:sz="4" w:space="0" w:color="auto"/>
              <w:bottom w:val="nil"/>
            </w:tcBorders>
            <w:tcMar>
              <w:top w:w="110" w:type="dxa"/>
            </w:tcMar>
            <w:vAlign w:val="center"/>
          </w:tcPr>
          <w:p w:rsidR="00F053BA" w:rsidRPr="00806461" w:rsidRDefault="00F053BA" w:rsidP="00F053BA">
            <w:pPr>
              <w:keepNext/>
              <w:keepLines/>
              <w:rPr>
                <w:rFonts w:cs="Arial"/>
                <w:b/>
                <w:sz w:val="16"/>
                <w:szCs w:val="16"/>
              </w:rPr>
            </w:pPr>
            <w:r>
              <w:rPr>
                <w:b/>
                <w:sz w:val="16"/>
              </w:rPr>
              <w:t>Цели</w:t>
            </w:r>
          </w:p>
        </w:tc>
        <w:tc>
          <w:tcPr>
            <w:tcW w:w="1201" w:type="pct"/>
            <w:tcBorders>
              <w:top w:val="single" w:sz="4" w:space="0" w:color="auto"/>
              <w:bottom w:val="nil"/>
            </w:tcBorders>
            <w:shd w:val="clear" w:color="auto" w:fill="FFFFFF"/>
            <w:tcMar>
              <w:top w:w="110" w:type="dxa"/>
            </w:tcMar>
            <w:vAlign w:val="center"/>
          </w:tcPr>
          <w:p w:rsidR="00F053BA" w:rsidRPr="00806461" w:rsidRDefault="00F053BA" w:rsidP="00F053BA">
            <w:pPr>
              <w:keepNext/>
              <w:keepLines/>
              <w:rPr>
                <w:rFonts w:cs="Arial"/>
                <w:sz w:val="16"/>
                <w:szCs w:val="16"/>
              </w:rPr>
            </w:pPr>
            <w:r>
              <w:rPr>
                <w:b/>
                <w:sz w:val="16"/>
              </w:rPr>
              <w:t>Данные о результативности</w:t>
            </w:r>
          </w:p>
        </w:tc>
        <w:tc>
          <w:tcPr>
            <w:tcW w:w="524" w:type="pct"/>
            <w:tcBorders>
              <w:top w:val="single" w:sz="4" w:space="0" w:color="auto"/>
              <w:bottom w:val="nil"/>
            </w:tcBorders>
            <w:tcMar>
              <w:top w:w="110" w:type="dxa"/>
            </w:tcMar>
            <w:vAlign w:val="center"/>
          </w:tcPr>
          <w:p w:rsidR="00F053BA" w:rsidRPr="00806461" w:rsidRDefault="00F053BA" w:rsidP="00F053BA">
            <w:pPr>
              <w:keepNext/>
              <w:keepLines/>
              <w:jc w:val="center"/>
              <w:rPr>
                <w:rFonts w:cs="Arial"/>
                <w:b/>
                <w:bCs/>
                <w:sz w:val="16"/>
                <w:szCs w:val="16"/>
              </w:rPr>
            </w:pPr>
            <w:r>
              <w:rPr>
                <w:b/>
                <w:sz w:val="16"/>
              </w:rPr>
              <w:t>CC</w:t>
            </w:r>
          </w:p>
        </w:tc>
      </w:tr>
      <w:tr w:rsidR="00F053BA" w:rsidRPr="00806461" w:rsidTr="00F053BA">
        <w:trPr>
          <w:cantSplit/>
        </w:trPr>
        <w:tc>
          <w:tcPr>
            <w:tcW w:w="1127" w:type="pct"/>
            <w:tcBorders>
              <w:top w:val="nil"/>
              <w:bottom w:val="single" w:sz="4" w:space="0" w:color="auto"/>
            </w:tcBorders>
            <w:shd w:val="clear" w:color="auto" w:fill="FFFFFF"/>
          </w:tcPr>
          <w:p w:rsidR="00F053BA" w:rsidRPr="00F053BA" w:rsidRDefault="00F053BA" w:rsidP="00F053BA">
            <w:pPr>
              <w:rPr>
                <w:rFonts w:cs="Arial"/>
                <w:sz w:val="16"/>
                <w:szCs w:val="16"/>
                <w:lang w:val="ru-RU"/>
              </w:rPr>
            </w:pPr>
            <w:r w:rsidRPr="00F053BA">
              <w:rPr>
                <w:sz w:val="16"/>
                <w:lang w:val="ru-RU"/>
              </w:rPr>
              <w:t>Доля (%) участников мероприятий ВОИС, которые отмечают расширение своих возможностей в области понимания и использования принципов, систем и инструментов ИС для охраны ТЗ и ТВК, а также управления взаимосвязью между ИС и ГР</w:t>
            </w:r>
          </w:p>
        </w:tc>
        <w:tc>
          <w:tcPr>
            <w:tcW w:w="1397" w:type="pct"/>
            <w:tcBorders>
              <w:top w:val="nil"/>
              <w:bottom w:val="single" w:sz="4" w:space="0" w:color="auto"/>
            </w:tcBorders>
            <w:shd w:val="clear" w:color="auto" w:fill="auto"/>
          </w:tcPr>
          <w:p w:rsidR="00F053BA" w:rsidRPr="00F053BA" w:rsidRDefault="00F053BA" w:rsidP="00F053BA">
            <w:pPr>
              <w:rPr>
                <w:rFonts w:cs="Arial"/>
                <w:i/>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 xml:space="preserve">г.:  </w:t>
            </w:r>
          </w:p>
          <w:p w:rsidR="00F053BA" w:rsidRPr="00F053BA" w:rsidRDefault="00F053BA" w:rsidP="00F053BA">
            <w:pPr>
              <w:rPr>
                <w:rFonts w:cs="Arial"/>
                <w:color w:val="002060"/>
                <w:sz w:val="16"/>
                <w:szCs w:val="16"/>
                <w:lang w:val="ru-RU"/>
              </w:rPr>
            </w:pPr>
            <w:r w:rsidRPr="00F053BA">
              <w:rPr>
                <w:color w:val="002060"/>
                <w:sz w:val="16"/>
                <w:lang w:val="ru-RU"/>
              </w:rPr>
              <w:t>95% (79 из 83) участников дали позитивные отзывы (вопросник для сбора отзывов распространялся по итогам пяти мероприятий, организованных отделом ТЗ в 2012–2013</w:t>
            </w:r>
            <w:r>
              <w:rPr>
                <w:color w:val="002060"/>
                <w:sz w:val="16"/>
              </w:rPr>
              <w:t> </w:t>
            </w:r>
            <w:r w:rsidRPr="00F053BA">
              <w:rPr>
                <w:color w:val="002060"/>
                <w:sz w:val="16"/>
                <w:lang w:val="ru-RU"/>
              </w:rPr>
              <w:t>гг.)</w:t>
            </w:r>
          </w:p>
          <w:p w:rsidR="00F053BA" w:rsidRPr="00F053BA" w:rsidRDefault="00F053BA" w:rsidP="00F053BA">
            <w:pPr>
              <w:rPr>
                <w:rFonts w:cs="Arial"/>
                <w:i/>
                <w:color w:val="002060"/>
                <w:sz w:val="8"/>
                <w:szCs w:val="8"/>
                <w:highlight w:val="yellow"/>
                <w:lang w:val="ru-RU"/>
              </w:rPr>
            </w:pPr>
          </w:p>
          <w:p w:rsidR="00F053BA" w:rsidRPr="00F053BA" w:rsidRDefault="00F053BA" w:rsidP="00F053BA">
            <w:pPr>
              <w:rPr>
                <w:rFonts w:cs="Arial"/>
                <w:sz w:val="16"/>
                <w:szCs w:val="16"/>
                <w:lang w:val="ru-RU"/>
              </w:rPr>
            </w:pPr>
            <w:r w:rsidRPr="00F053BA">
              <w:rPr>
                <w:i/>
                <w:sz w:val="16"/>
                <w:lang w:val="ru-RU"/>
              </w:rPr>
              <w:t>Исходные базовые показатели ПиБ на 2014–2015 гг.:</w:t>
            </w:r>
          </w:p>
          <w:p w:rsidR="00F053BA" w:rsidRPr="00F053BA" w:rsidRDefault="00F053BA" w:rsidP="00F053BA">
            <w:pPr>
              <w:rPr>
                <w:rFonts w:cs="Arial"/>
                <w:sz w:val="16"/>
                <w:szCs w:val="16"/>
                <w:lang w:val="ru-RU"/>
              </w:rPr>
            </w:pPr>
            <w:r w:rsidRPr="00F053BA">
              <w:rPr>
                <w:sz w:val="16"/>
                <w:lang w:val="ru-RU"/>
              </w:rPr>
              <w:t>в настоящее время данные отсутствуют</w:t>
            </w:r>
          </w:p>
        </w:tc>
        <w:tc>
          <w:tcPr>
            <w:tcW w:w="752" w:type="pct"/>
            <w:tcBorders>
              <w:top w:val="nil"/>
              <w:bottom w:val="single" w:sz="4" w:space="0" w:color="auto"/>
            </w:tcBorders>
            <w:tcMar>
              <w:top w:w="110" w:type="dxa"/>
            </w:tcMar>
          </w:tcPr>
          <w:p w:rsidR="00F053BA" w:rsidRPr="00806461" w:rsidRDefault="00F053BA" w:rsidP="00F053BA">
            <w:pPr>
              <w:rPr>
                <w:rFonts w:cs="Arial"/>
                <w:sz w:val="16"/>
                <w:szCs w:val="16"/>
              </w:rPr>
            </w:pPr>
            <w:r>
              <w:rPr>
                <w:sz w:val="16"/>
              </w:rPr>
              <w:t>80%</w:t>
            </w:r>
          </w:p>
        </w:tc>
        <w:tc>
          <w:tcPr>
            <w:tcW w:w="1201" w:type="pct"/>
            <w:tcBorders>
              <w:top w:val="nil"/>
              <w:bottom w:val="single" w:sz="4" w:space="0" w:color="auto"/>
            </w:tcBorders>
            <w:shd w:val="clear" w:color="auto" w:fill="FFFFFF"/>
            <w:tcMar>
              <w:top w:w="110" w:type="dxa"/>
            </w:tcMar>
          </w:tcPr>
          <w:p w:rsidR="00F053BA" w:rsidRPr="00F053BA" w:rsidRDefault="00F053BA" w:rsidP="00F053BA">
            <w:pPr>
              <w:rPr>
                <w:rFonts w:cs="Arial"/>
                <w:sz w:val="16"/>
                <w:szCs w:val="16"/>
                <w:lang w:val="ru-RU"/>
              </w:rPr>
            </w:pPr>
            <w:r w:rsidRPr="00F053BA">
              <w:rPr>
                <w:sz w:val="16"/>
                <w:lang w:val="ru-RU"/>
              </w:rPr>
              <w:t>92% (370 из 398) участников дали позитивные отзывы (вопросник для сбора отзывов распространялся по итогам проведения пятнадцати мероприятий, организованных отделом ТЗ в 2014–2015</w:t>
            </w:r>
            <w:r>
              <w:rPr>
                <w:sz w:val="16"/>
              </w:rPr>
              <w:t> </w:t>
            </w:r>
            <w:r w:rsidRPr="00F053BA">
              <w:rPr>
                <w:sz w:val="16"/>
                <w:lang w:val="ru-RU"/>
              </w:rPr>
              <w:t>гг.)</w:t>
            </w:r>
          </w:p>
        </w:tc>
        <w:tc>
          <w:tcPr>
            <w:tcW w:w="524" w:type="pct"/>
            <w:tcBorders>
              <w:top w:val="nil"/>
              <w:bottom w:val="single" w:sz="4" w:space="0" w:color="auto"/>
            </w:tcBorders>
            <w:tcMar>
              <w:top w:w="110" w:type="dxa"/>
            </w:tcMar>
          </w:tcPr>
          <w:p w:rsidR="00F053BA" w:rsidRPr="006C543C" w:rsidRDefault="00F053BA" w:rsidP="00F053BA">
            <w:pPr>
              <w:keepNext/>
              <w:keepLines/>
              <w:jc w:val="center"/>
              <w:rPr>
                <w:rFonts w:cs="Arial"/>
                <w:b/>
                <w:bCs/>
                <w:color w:val="00B050"/>
                <w:sz w:val="16"/>
                <w:szCs w:val="16"/>
              </w:rPr>
            </w:pPr>
            <w:r>
              <w:rPr>
                <w:b/>
                <w:color w:val="00B050"/>
                <w:sz w:val="16"/>
              </w:rPr>
              <w:t>Выполнено</w:t>
            </w:r>
          </w:p>
        </w:tc>
      </w:tr>
    </w:tbl>
    <w:p w:rsidR="00F053BA" w:rsidRDefault="00F053BA" w:rsidP="00F053BA">
      <w:pPr>
        <w:rPr>
          <w:rFonts w:cs="Arial"/>
          <w:color w:val="000000"/>
          <w:sz w:val="22"/>
          <w:szCs w:val="22"/>
        </w:rPr>
      </w:pPr>
    </w:p>
    <w:p w:rsidR="00F053BA" w:rsidRDefault="00F053BA" w:rsidP="00F053BA">
      <w:pPr>
        <w:rPr>
          <w:rFonts w:cs="Arial"/>
          <w:color w:val="000000"/>
          <w:sz w:val="22"/>
          <w:szCs w:val="22"/>
        </w:rPr>
      </w:pPr>
    </w:p>
    <w:p w:rsidR="00F053BA" w:rsidRPr="00F053BA" w:rsidRDefault="00F053BA" w:rsidP="00F053BA">
      <w:pPr>
        <w:keepNext/>
        <w:keepLines/>
        <w:rPr>
          <w:rFonts w:cs="Arial"/>
          <w:color w:val="000000"/>
          <w:sz w:val="22"/>
          <w:szCs w:val="22"/>
          <w:lang w:val="ru-RU"/>
        </w:rPr>
      </w:pPr>
      <w:r w:rsidRPr="00F053BA">
        <w:rPr>
          <w:color w:val="000000"/>
          <w:sz w:val="22"/>
          <w:lang w:val="ru-RU"/>
        </w:rPr>
        <w:t>ОТЧЕТ О РИСКАХ В ДВУХЛЕТНИЙ ПЕРИОД</w:t>
      </w:r>
    </w:p>
    <w:p w:rsidR="00F053BA" w:rsidRPr="00F053BA" w:rsidRDefault="00F053BA" w:rsidP="00F053BA">
      <w:pPr>
        <w:rPr>
          <w:rFonts w:cs="Arial"/>
          <w:color w:val="000000"/>
          <w:sz w:val="22"/>
          <w:szCs w:val="22"/>
          <w:lang w:val="ru-RU"/>
        </w:rPr>
      </w:pPr>
    </w:p>
    <w:tbl>
      <w:tblPr>
        <w:tblW w:w="10052"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20"/>
        <w:gridCol w:w="2417"/>
        <w:gridCol w:w="2647"/>
        <w:gridCol w:w="2568"/>
      </w:tblGrid>
      <w:tr w:rsidR="00F053BA" w:rsidRPr="003C527B" w:rsidTr="00F053BA">
        <w:trPr>
          <w:trHeight w:val="458"/>
        </w:trPr>
        <w:tc>
          <w:tcPr>
            <w:tcW w:w="2420" w:type="dxa"/>
            <w:tcBorders>
              <w:top w:val="single" w:sz="4" w:space="0" w:color="auto"/>
              <w:bottom w:val="single" w:sz="4" w:space="0" w:color="auto"/>
            </w:tcBorders>
            <w:shd w:val="clear" w:color="auto" w:fill="C6D9F1" w:themeFill="text2" w:themeFillTint="33"/>
            <w:tcMar>
              <w:top w:w="113" w:type="dxa"/>
            </w:tcMar>
            <w:vAlign w:val="center"/>
          </w:tcPr>
          <w:p w:rsidR="00F053BA" w:rsidRPr="00F053BA" w:rsidRDefault="00F053BA" w:rsidP="00F053BA">
            <w:pPr>
              <w:jc w:val="center"/>
              <w:rPr>
                <w:b/>
                <w:bCs/>
                <w:iCs/>
                <w:szCs w:val="18"/>
                <w:lang w:val="ru-RU"/>
              </w:rPr>
            </w:pPr>
            <w:r w:rsidRPr="00F053BA">
              <w:rPr>
                <w:b/>
                <w:lang w:val="ru-RU"/>
              </w:rPr>
              <w:t>Риск (риски) того, что результаты программы не будут достигнуты</w:t>
            </w:r>
          </w:p>
        </w:tc>
        <w:tc>
          <w:tcPr>
            <w:tcW w:w="2417" w:type="dxa"/>
            <w:tcBorders>
              <w:top w:val="single" w:sz="4" w:space="0" w:color="auto"/>
              <w:bottom w:val="single" w:sz="4" w:space="0" w:color="auto"/>
            </w:tcBorders>
            <w:shd w:val="clear" w:color="auto" w:fill="C6D9F1" w:themeFill="text2" w:themeFillTint="33"/>
            <w:tcMar>
              <w:top w:w="113" w:type="dxa"/>
            </w:tcMar>
            <w:vAlign w:val="center"/>
          </w:tcPr>
          <w:p w:rsidR="00F053BA" w:rsidRPr="00F053BA" w:rsidRDefault="00F053BA" w:rsidP="00F053BA">
            <w:pPr>
              <w:keepNext/>
              <w:keepLines/>
              <w:autoSpaceDE w:val="0"/>
              <w:autoSpaceDN w:val="0"/>
              <w:adjustRightInd w:val="0"/>
              <w:ind w:right="-59"/>
              <w:jc w:val="center"/>
              <w:rPr>
                <w:b/>
                <w:bCs/>
                <w:iCs/>
                <w:sz w:val="18"/>
                <w:szCs w:val="18"/>
                <w:lang w:val="ru-RU"/>
              </w:rPr>
            </w:pPr>
            <w:r w:rsidRPr="00F053BA">
              <w:rPr>
                <w:b/>
                <w:sz w:val="18"/>
                <w:lang w:val="ru-RU"/>
              </w:rPr>
              <w:t>Действующие или разрабатываемые планы по снижению рисков</w:t>
            </w:r>
          </w:p>
        </w:tc>
        <w:tc>
          <w:tcPr>
            <w:tcW w:w="2647" w:type="dxa"/>
            <w:tcBorders>
              <w:top w:val="single" w:sz="4" w:space="0" w:color="auto"/>
              <w:bottom w:val="single" w:sz="4" w:space="0" w:color="auto"/>
            </w:tcBorders>
            <w:shd w:val="clear" w:color="auto" w:fill="C6D9F1" w:themeFill="text2" w:themeFillTint="33"/>
          </w:tcPr>
          <w:p w:rsidR="00F053BA" w:rsidRPr="00F053BA" w:rsidRDefault="00F053BA" w:rsidP="00F053BA">
            <w:pPr>
              <w:jc w:val="center"/>
              <w:rPr>
                <w:b/>
                <w:bCs/>
                <w:sz w:val="18"/>
                <w:szCs w:val="18"/>
                <w:lang w:val="ru-RU"/>
              </w:rPr>
            </w:pPr>
            <w:r w:rsidRPr="00F053BA">
              <w:rPr>
                <w:b/>
                <w:sz w:val="18"/>
                <w:lang w:val="ru-RU"/>
              </w:rPr>
              <w:t>Развитие риска (рисков) и стратегий его (их) снижения в двухлетний период</w:t>
            </w:r>
          </w:p>
        </w:tc>
        <w:tc>
          <w:tcPr>
            <w:tcW w:w="2568" w:type="dxa"/>
            <w:tcBorders>
              <w:top w:val="single" w:sz="4" w:space="0" w:color="auto"/>
              <w:bottom w:val="single" w:sz="4" w:space="0" w:color="auto"/>
            </w:tcBorders>
            <w:shd w:val="clear" w:color="auto" w:fill="C6D9F1" w:themeFill="text2" w:themeFillTint="33"/>
          </w:tcPr>
          <w:p w:rsidR="00F053BA" w:rsidRPr="003C527B" w:rsidRDefault="00F053BA" w:rsidP="00F053BA">
            <w:pPr>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F053BA" w:rsidRPr="005C6ABD" w:rsidTr="002A7E6B">
        <w:trPr>
          <w:trHeight w:val="388"/>
        </w:trPr>
        <w:tc>
          <w:tcPr>
            <w:tcW w:w="2420" w:type="dxa"/>
            <w:tcBorders>
              <w:top w:val="single" w:sz="4" w:space="0" w:color="auto"/>
            </w:tcBorders>
            <w:shd w:val="clear" w:color="auto" w:fill="auto"/>
            <w:tcMar>
              <w:top w:w="113" w:type="dxa"/>
            </w:tcMar>
          </w:tcPr>
          <w:p w:rsidR="00F053BA" w:rsidRPr="00F053BA" w:rsidRDefault="00F053BA" w:rsidP="00F053BA">
            <w:pPr>
              <w:rPr>
                <w:szCs w:val="16"/>
                <w:lang w:val="ru-RU"/>
              </w:rPr>
            </w:pPr>
            <w:r w:rsidRPr="00F053BA">
              <w:rPr>
                <w:sz w:val="16"/>
                <w:lang w:val="ru-RU"/>
              </w:rPr>
              <w:t>МКГР не сможет достичь согласия по поводу международно-правового документа (или документов).</w:t>
            </w:r>
          </w:p>
        </w:tc>
        <w:tc>
          <w:tcPr>
            <w:tcW w:w="2417" w:type="dxa"/>
            <w:tcBorders>
              <w:top w:val="single" w:sz="4" w:space="0" w:color="auto"/>
            </w:tcBorders>
            <w:shd w:val="clear" w:color="auto" w:fill="auto"/>
            <w:tcMar>
              <w:top w:w="113" w:type="dxa"/>
            </w:tcMar>
          </w:tcPr>
          <w:p w:rsidR="00F053BA" w:rsidRPr="003C527B" w:rsidRDefault="00F053BA" w:rsidP="00F053BA">
            <w:pPr>
              <w:keepNext/>
              <w:keepLines/>
              <w:autoSpaceDE w:val="0"/>
              <w:autoSpaceDN w:val="0"/>
              <w:adjustRightInd w:val="0"/>
              <w:ind w:right="-59"/>
              <w:rPr>
                <w:sz w:val="16"/>
                <w:szCs w:val="16"/>
              </w:rPr>
            </w:pPr>
            <w:r w:rsidRPr="00F053BA">
              <w:rPr>
                <w:sz w:val="16"/>
                <w:lang w:val="ru-RU"/>
              </w:rPr>
              <w:t xml:space="preserve">Секретариат в пределах располагаемых им ресурсов готов оказывать содействие и создавать благоприятные условия для ведения переговоров, в частности, путем предоставления четкой и объективной информации по обсуждаемым в рамках МКГР вопросам, а также оказания эффективных услуг с сохранением нейтралитета Секретариата и оказания Председателю </w:t>
            </w:r>
            <w:r>
              <w:rPr>
                <w:sz w:val="16"/>
              </w:rPr>
              <w:t>МКГР действенной поддержки с соблюдением нейтралитета.</w:t>
            </w:r>
          </w:p>
        </w:tc>
        <w:tc>
          <w:tcPr>
            <w:tcW w:w="2647" w:type="dxa"/>
            <w:tcBorders>
              <w:top w:val="single" w:sz="4" w:space="0" w:color="auto"/>
            </w:tcBorders>
          </w:tcPr>
          <w:p w:rsidR="00F053BA" w:rsidRPr="000B7D2F" w:rsidRDefault="00F053BA" w:rsidP="00F053BA">
            <w:pPr>
              <w:keepNext/>
              <w:keepLines/>
              <w:autoSpaceDE w:val="0"/>
              <w:autoSpaceDN w:val="0"/>
              <w:adjustRightInd w:val="0"/>
              <w:ind w:right="-59"/>
              <w:rPr>
                <w:bCs/>
                <w:sz w:val="16"/>
                <w:szCs w:val="16"/>
              </w:rPr>
            </w:pPr>
            <w:r w:rsidRPr="00F053BA">
              <w:rPr>
                <w:sz w:val="16"/>
                <w:lang w:val="ru-RU"/>
              </w:rPr>
              <w:t>Отмечая отсутствие решения государств-членов по поводу плана работы на 2015</w:t>
            </w:r>
            <w:r>
              <w:rPr>
                <w:sz w:val="16"/>
              </w:rPr>
              <w:t> </w:t>
            </w:r>
            <w:r w:rsidRPr="00F053BA">
              <w:rPr>
                <w:sz w:val="16"/>
                <w:lang w:val="ru-RU"/>
              </w:rPr>
              <w:t>г. и несмотря на обновление мандата МКГР в сентябре 2015</w:t>
            </w:r>
            <w:r>
              <w:rPr>
                <w:sz w:val="16"/>
              </w:rPr>
              <w:t> </w:t>
            </w:r>
            <w:r w:rsidRPr="00F053BA">
              <w:rPr>
                <w:sz w:val="16"/>
                <w:lang w:val="ru-RU"/>
              </w:rPr>
              <w:t xml:space="preserve">г., риск того, что государства-члены не смогут согласовать международно-правовой инструмент(ы), будет актуален и в ходе следующего двухлетнего периода.  Стратегия его снижения тоже останется прежней, т.е. она будет заключаться в оказании эффективной и нейтральной поддержки процессу в целом и Председателю </w:t>
            </w:r>
            <w:r>
              <w:rPr>
                <w:sz w:val="16"/>
              </w:rPr>
              <w:t>МКГР в частности.</w:t>
            </w:r>
          </w:p>
        </w:tc>
        <w:tc>
          <w:tcPr>
            <w:tcW w:w="2568" w:type="dxa"/>
            <w:tcBorders>
              <w:top w:val="single" w:sz="4" w:space="0" w:color="auto"/>
            </w:tcBorders>
          </w:tcPr>
          <w:p w:rsidR="00F053BA" w:rsidRPr="00F053BA" w:rsidRDefault="00F053BA" w:rsidP="00F053BA">
            <w:pPr>
              <w:keepNext/>
              <w:keepLines/>
              <w:autoSpaceDE w:val="0"/>
              <w:autoSpaceDN w:val="0"/>
              <w:adjustRightInd w:val="0"/>
              <w:ind w:right="-59"/>
              <w:rPr>
                <w:bCs/>
                <w:sz w:val="16"/>
                <w:szCs w:val="16"/>
                <w:lang w:val="ru-RU"/>
              </w:rPr>
            </w:pPr>
            <w:r w:rsidRPr="00F053BA">
              <w:rPr>
                <w:sz w:val="16"/>
                <w:lang w:val="ru-RU"/>
              </w:rPr>
              <w:t>Эволюция этого риска оказывает непосредственное влияние на согласование государствами-членами международно-правового инструмента (-ов).</w:t>
            </w:r>
          </w:p>
        </w:tc>
      </w:tr>
      <w:tr w:rsidR="00F053BA" w:rsidRPr="005C6ABD" w:rsidTr="00F053BA">
        <w:trPr>
          <w:trHeight w:val="3113"/>
        </w:trPr>
        <w:tc>
          <w:tcPr>
            <w:tcW w:w="2420" w:type="dxa"/>
            <w:shd w:val="clear" w:color="auto" w:fill="auto"/>
            <w:tcMar>
              <w:top w:w="113" w:type="dxa"/>
            </w:tcMar>
          </w:tcPr>
          <w:p w:rsidR="00F053BA" w:rsidRPr="00F053BA" w:rsidRDefault="00F053BA" w:rsidP="00F053BA">
            <w:pPr>
              <w:rPr>
                <w:bCs/>
                <w:szCs w:val="16"/>
                <w:lang w:val="ru-RU"/>
              </w:rPr>
            </w:pPr>
            <w:r w:rsidRPr="00F053BA">
              <w:rPr>
                <w:sz w:val="16"/>
                <w:lang w:val="ru-RU"/>
              </w:rPr>
              <w:t>Если государства-члены пересмотрят свое отношение к ТЗ, ТВК и ГР как к вопросам, имеющим приоритетное значение для ИС, и/или сочтут более целесообразным обратиться к другим форумам для достижения желаемых результатов, актуальность МКГР будет утрачена.</w:t>
            </w:r>
          </w:p>
        </w:tc>
        <w:tc>
          <w:tcPr>
            <w:tcW w:w="2417" w:type="dxa"/>
            <w:shd w:val="clear" w:color="auto" w:fill="auto"/>
            <w:tcMar>
              <w:top w:w="113" w:type="dxa"/>
            </w:tcMar>
          </w:tcPr>
          <w:p w:rsidR="00F053BA" w:rsidRPr="00F053BA" w:rsidRDefault="00F053BA" w:rsidP="00F053BA">
            <w:pPr>
              <w:keepNext/>
              <w:keepLines/>
              <w:autoSpaceDE w:val="0"/>
              <w:autoSpaceDN w:val="0"/>
              <w:adjustRightInd w:val="0"/>
              <w:ind w:right="-59"/>
              <w:rPr>
                <w:bCs/>
                <w:sz w:val="16"/>
                <w:szCs w:val="16"/>
                <w:lang w:val="ru-RU"/>
              </w:rPr>
            </w:pPr>
            <w:r w:rsidRPr="00F053BA">
              <w:rPr>
                <w:sz w:val="16"/>
                <w:lang w:val="ru-RU"/>
              </w:rPr>
              <w:t>Секретариат проводит работу с целью обеспечения более глубокого осознания важной роли политики в области ИС по вопросам ТЗ, ТВК и ГР.  Секретариат внимательно следит за переговорами в рамках других форумов для обеспечения готовности предоставить непредвзятую информацию об МКГР государствам-членам, участвующим в работе этих форумов, и осуществляет координацию усилий с другими секретариатами во избежание дублирования усилий, что может вызвать замешательство у государств-членов.</w:t>
            </w:r>
          </w:p>
        </w:tc>
        <w:tc>
          <w:tcPr>
            <w:tcW w:w="2647" w:type="dxa"/>
          </w:tcPr>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В ходе Генеральной Ассамблеи 2015</w:t>
            </w:r>
            <w:r>
              <w:rPr>
                <w:sz w:val="16"/>
              </w:rPr>
              <w:t> </w:t>
            </w:r>
            <w:r w:rsidRPr="00F053BA">
              <w:rPr>
                <w:sz w:val="16"/>
                <w:lang w:val="ru-RU"/>
              </w:rPr>
              <w:t>г. государства-члены активно поддержали процесс МКГР и программу</w:t>
            </w:r>
            <w:r>
              <w:rPr>
                <w:sz w:val="16"/>
              </w:rPr>
              <w:t> </w:t>
            </w:r>
            <w:r w:rsidRPr="00F053BA">
              <w:rPr>
                <w:sz w:val="16"/>
                <w:lang w:val="ru-RU"/>
              </w:rPr>
              <w:t>4 в целом, несмотря на перерыв в работе МКГР в 2015</w:t>
            </w:r>
            <w:r>
              <w:rPr>
                <w:sz w:val="16"/>
              </w:rPr>
              <w:t> </w:t>
            </w:r>
            <w:r w:rsidRPr="00F053BA">
              <w:rPr>
                <w:sz w:val="16"/>
                <w:lang w:val="ru-RU"/>
              </w:rPr>
              <w:t>г.  Учитывая обновление мандата МКГР, такая поддержка говорит о том, что риск утраты актуальности в некоторой степени снизился.  Секретариат продолжил работу по распространению информации о важности и актуальности вопросов ГР, ТЗ и ТВК для формулирования политики в области ИС.</w:t>
            </w:r>
          </w:p>
        </w:tc>
        <w:tc>
          <w:tcPr>
            <w:tcW w:w="2568" w:type="dxa"/>
          </w:tcPr>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 xml:space="preserve">Развитие риска не оказало существенного воздействия на реализацию программы. </w:t>
            </w:r>
          </w:p>
        </w:tc>
      </w:tr>
    </w:tbl>
    <w:p w:rsidR="00F053BA" w:rsidRPr="00F053BA" w:rsidRDefault="00F053BA" w:rsidP="00F053BA">
      <w:pPr>
        <w:rPr>
          <w:rFonts w:cs="Arial"/>
          <w:color w:val="000000"/>
          <w:sz w:val="22"/>
          <w:szCs w:val="22"/>
          <w:lang w:val="ru-RU"/>
        </w:rPr>
      </w:pPr>
    </w:p>
    <w:p w:rsidR="00F053BA" w:rsidRPr="00F053BA" w:rsidRDefault="00F053BA" w:rsidP="00F053BA">
      <w:pPr>
        <w:rPr>
          <w:rFonts w:cs="Arial"/>
          <w:color w:val="000000"/>
          <w:szCs w:val="20"/>
          <w:lang w:val="ru-RU"/>
        </w:rPr>
      </w:pPr>
    </w:p>
    <w:p w:rsidR="00F053BA" w:rsidRPr="00F053BA" w:rsidRDefault="00F053BA" w:rsidP="00F053BA">
      <w:pPr>
        <w:rPr>
          <w:rFonts w:cs="Arial"/>
          <w:szCs w:val="20"/>
          <w:lang w:val="ru-RU"/>
        </w:rPr>
      </w:pPr>
      <w:r w:rsidRPr="00F053BA">
        <w:rPr>
          <w:szCs w:val="20"/>
          <w:lang w:val="ru-RU"/>
        </w:rPr>
        <w:t>ИСПОЛЬЗОВАНИЕ РЕСУРСОВ</w:t>
      </w:r>
    </w:p>
    <w:p w:rsidR="00F053BA" w:rsidRPr="00F053BA" w:rsidRDefault="00F053BA" w:rsidP="00F053BA">
      <w:pPr>
        <w:keepNext/>
        <w:keepLines/>
        <w:jc w:val="center"/>
        <w:rPr>
          <w:szCs w:val="20"/>
          <w:lang w:val="ru-RU"/>
        </w:rPr>
      </w:pPr>
    </w:p>
    <w:p w:rsidR="00F053BA" w:rsidRPr="00F053BA" w:rsidRDefault="00F053BA" w:rsidP="00F053BA">
      <w:pPr>
        <w:jc w:val="center"/>
        <w:rPr>
          <w:szCs w:val="20"/>
          <w:lang w:val="ru-RU"/>
        </w:rPr>
      </w:pPr>
      <w:r w:rsidRPr="00F053BA">
        <w:rPr>
          <w:lang w:val="ru-RU"/>
        </w:rPr>
        <w:t>Бюджет и фактические расходы (в разбивке по результатам)</w:t>
      </w:r>
    </w:p>
    <w:p w:rsidR="00F053BA" w:rsidRDefault="00F053BA" w:rsidP="00F053BA">
      <w:pPr>
        <w:jc w:val="center"/>
        <w:rPr>
          <w:iCs/>
          <w:szCs w:val="20"/>
        </w:rPr>
      </w:pPr>
      <w:r>
        <w:t>(в тыс. шв. франков)</w:t>
      </w:r>
    </w:p>
    <w:p w:rsidR="00F053BA" w:rsidRPr="00383D2D" w:rsidRDefault="00F053BA" w:rsidP="00F053BA">
      <w:pPr>
        <w:pStyle w:val="NormalWeb"/>
        <w:keepNext/>
        <w:keepLines/>
        <w:spacing w:before="0" w:beforeAutospacing="0" w:after="0" w:afterAutospacing="0"/>
        <w:jc w:val="center"/>
        <w:rPr>
          <w:sz w:val="20"/>
          <w:szCs w:val="20"/>
        </w:rPr>
      </w:pPr>
    </w:p>
    <w:p w:rsidR="00F053BA" w:rsidRDefault="00F053BA" w:rsidP="00F053BA">
      <w:pPr>
        <w:keepNext/>
        <w:keepLines/>
        <w:jc w:val="center"/>
      </w:pPr>
      <w:r>
        <w:rPr>
          <w:noProof/>
        </w:rPr>
        <w:drawing>
          <wp:inline distT="0" distB="0" distL="0" distR="0" wp14:anchorId="714115F2" wp14:editId="68F3D41B">
            <wp:extent cx="6172200" cy="3269293"/>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72200" cy="3269293"/>
                    </a:xfrm>
                    <a:prstGeom prst="rect">
                      <a:avLst/>
                    </a:prstGeom>
                    <a:noFill/>
                    <a:ln>
                      <a:noFill/>
                    </a:ln>
                  </pic:spPr>
                </pic:pic>
              </a:graphicData>
            </a:graphic>
          </wp:inline>
        </w:drawing>
      </w:r>
    </w:p>
    <w:p w:rsidR="00F053BA" w:rsidRDefault="00F053BA" w:rsidP="00F053BA">
      <w:pPr>
        <w:keepNext/>
        <w:keepLines/>
      </w:pPr>
    </w:p>
    <w:p w:rsidR="00F053BA" w:rsidRDefault="00F053BA" w:rsidP="00F053BA"/>
    <w:p w:rsidR="00F053BA" w:rsidRPr="00F053BA" w:rsidRDefault="00F053BA" w:rsidP="00F053BA">
      <w:pPr>
        <w:pStyle w:val="NormalWeb"/>
        <w:keepNext/>
        <w:keepLines/>
        <w:spacing w:before="0" w:beforeAutospacing="0" w:after="0" w:afterAutospacing="0"/>
        <w:jc w:val="center"/>
        <w:rPr>
          <w:sz w:val="20"/>
          <w:szCs w:val="20"/>
          <w:lang w:val="ru-RU"/>
        </w:rPr>
      </w:pPr>
      <w:r w:rsidRPr="00F053BA">
        <w:rPr>
          <w:color w:val="000000"/>
          <w:sz w:val="20"/>
          <w:lang w:val="ru-RU"/>
        </w:rPr>
        <w:t xml:space="preserve">Бюджет и фактические расходы (по персоналу и не связанные с персоналом) </w:t>
      </w:r>
    </w:p>
    <w:p w:rsidR="00F053BA" w:rsidRDefault="00F053BA" w:rsidP="00F053B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053BA" w:rsidRPr="00383D2D" w:rsidRDefault="00F053BA" w:rsidP="00F053BA">
      <w:pPr>
        <w:pStyle w:val="NormalWeb"/>
        <w:keepNext/>
        <w:keepLines/>
        <w:spacing w:before="0" w:beforeAutospacing="0" w:after="0" w:afterAutospacing="0"/>
        <w:jc w:val="center"/>
        <w:rPr>
          <w:i/>
          <w:iCs/>
          <w:color w:val="000000"/>
          <w:sz w:val="20"/>
          <w:szCs w:val="20"/>
        </w:rPr>
      </w:pPr>
    </w:p>
    <w:p w:rsidR="00F053BA" w:rsidRDefault="00F053BA" w:rsidP="00F053BA">
      <w:pPr>
        <w:pStyle w:val="NormalWeb"/>
        <w:keepNext/>
        <w:keepLines/>
        <w:spacing w:before="0" w:beforeAutospacing="0" w:after="0" w:afterAutospacing="0"/>
        <w:jc w:val="center"/>
      </w:pPr>
      <w:r>
        <w:rPr>
          <w:noProof/>
        </w:rPr>
        <w:drawing>
          <wp:inline distT="0" distB="0" distL="0" distR="0" wp14:anchorId="6D1CFEED" wp14:editId="0C6CB240">
            <wp:extent cx="6172200" cy="132092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72200" cy="1320929"/>
                    </a:xfrm>
                    <a:prstGeom prst="rect">
                      <a:avLst/>
                    </a:prstGeom>
                    <a:noFill/>
                    <a:ln>
                      <a:noFill/>
                    </a:ln>
                  </pic:spPr>
                </pic:pic>
              </a:graphicData>
            </a:graphic>
          </wp:inline>
        </w:drawing>
      </w:r>
    </w:p>
    <w:p w:rsidR="00F053BA" w:rsidRDefault="00F053BA" w:rsidP="00F053BA">
      <w:pPr>
        <w:widowControl w:val="0"/>
        <w:autoSpaceDE w:val="0"/>
        <w:autoSpaceDN w:val="0"/>
        <w:adjustRightInd w:val="0"/>
        <w:rPr>
          <w:rFonts w:cs="Arial"/>
          <w:szCs w:val="20"/>
        </w:rPr>
      </w:pPr>
    </w:p>
    <w:p w:rsidR="00F053BA" w:rsidRPr="001C6F4D" w:rsidRDefault="00F053BA" w:rsidP="00F053BA">
      <w:pPr>
        <w:widowControl w:val="0"/>
        <w:autoSpaceDE w:val="0"/>
        <w:autoSpaceDN w:val="0"/>
        <w:adjustRightInd w:val="0"/>
        <w:rPr>
          <w:rFonts w:cs="Arial"/>
          <w:szCs w:val="20"/>
        </w:rPr>
      </w:pPr>
    </w:p>
    <w:p w:rsidR="00F053BA" w:rsidRPr="00F053BA" w:rsidRDefault="00F053BA" w:rsidP="00F053BA">
      <w:pPr>
        <w:rPr>
          <w:rFonts w:cs="Arial"/>
          <w:u w:val="single"/>
          <w:lang w:val="ru-RU"/>
        </w:rPr>
      </w:pPr>
      <w:r>
        <w:t>A</w:t>
      </w:r>
      <w:r w:rsidRPr="00F053BA">
        <w:rPr>
          <w:lang w:val="ru-RU"/>
        </w:rPr>
        <w:t>.</w:t>
      </w:r>
      <w:r w:rsidRPr="00F053BA">
        <w:rPr>
          <w:lang w:val="ru-RU"/>
        </w:rPr>
        <w:tab/>
      </w:r>
      <w:r w:rsidRPr="00F053BA">
        <w:rPr>
          <w:u w:val="single"/>
          <w:lang w:val="ru-RU"/>
        </w:rPr>
        <w:t>Окончательный бюджет на 2014–2015</w:t>
      </w:r>
      <w:r>
        <w:rPr>
          <w:u w:val="single"/>
        </w:rPr>
        <w:t> </w:t>
      </w:r>
      <w:r w:rsidRPr="00F053BA">
        <w:rPr>
          <w:u w:val="single"/>
          <w:lang w:val="ru-RU"/>
        </w:rPr>
        <w:t xml:space="preserve">гг. после перераспределения средств </w:t>
      </w:r>
    </w:p>
    <w:p w:rsidR="00F053BA" w:rsidRPr="00F053BA" w:rsidRDefault="00F053BA" w:rsidP="00F053BA">
      <w:pPr>
        <w:autoSpaceDE w:val="0"/>
        <w:autoSpaceDN w:val="0"/>
        <w:rPr>
          <w:lang w:val="ru-RU"/>
        </w:rPr>
      </w:pPr>
    </w:p>
    <w:p w:rsidR="00F053BA" w:rsidRPr="00F053BA" w:rsidRDefault="00F053BA" w:rsidP="00F053BA">
      <w:pPr>
        <w:pStyle w:val="ListParagraph"/>
        <w:numPr>
          <w:ilvl w:val="0"/>
          <w:numId w:val="11"/>
        </w:numPr>
        <w:tabs>
          <w:tab w:val="left" w:pos="567"/>
        </w:tabs>
        <w:ind w:left="0" w:firstLine="0"/>
        <w:jc w:val="both"/>
        <w:rPr>
          <w:lang w:val="ru-RU"/>
        </w:rPr>
      </w:pPr>
      <w:r w:rsidRPr="00F053BA">
        <w:rPr>
          <w:lang w:val="ru-RU"/>
        </w:rPr>
        <w:t xml:space="preserve">Уменьшение размера итогового бюджета на 2014–2015 гг. после перераспределения средств по результату </w:t>
      </w:r>
      <w:r>
        <w:t>I</w:t>
      </w:r>
      <w:r w:rsidRPr="00F053BA">
        <w:rPr>
          <w:lang w:val="ru-RU"/>
        </w:rPr>
        <w:t>.1 (разработка сбалансированной международной нормативной базы ИС) отражает сокращение изначально запланированного объема ресурсов, выделенных на организацию дипломатической конференции для подписания договора в области ИС и генетических ресурсов, традиционных знаний и фольклора (МКГР).</w:t>
      </w:r>
    </w:p>
    <w:p w:rsidR="00F053BA" w:rsidRPr="00F053BA" w:rsidRDefault="00F053BA" w:rsidP="00F053BA">
      <w:pPr>
        <w:autoSpaceDE w:val="0"/>
        <w:autoSpaceDN w:val="0"/>
        <w:jc w:val="both"/>
        <w:rPr>
          <w:lang w:val="ru-RU"/>
        </w:rPr>
      </w:pPr>
    </w:p>
    <w:p w:rsidR="00F053BA" w:rsidRPr="00F053BA" w:rsidRDefault="00F053BA" w:rsidP="00F053BA">
      <w:pPr>
        <w:pStyle w:val="ListParagraph"/>
        <w:numPr>
          <w:ilvl w:val="0"/>
          <w:numId w:val="11"/>
        </w:numPr>
        <w:tabs>
          <w:tab w:val="left" w:pos="567"/>
        </w:tabs>
        <w:ind w:left="0" w:firstLine="0"/>
        <w:jc w:val="both"/>
        <w:rPr>
          <w:color w:val="000000"/>
          <w:lang w:val="ru-RU"/>
        </w:rPr>
      </w:pPr>
      <w:r w:rsidRPr="00F053BA">
        <w:rPr>
          <w:color w:val="000000" w:themeColor="text1"/>
          <w:lang w:val="ru-RU"/>
        </w:rPr>
        <w:t>В показателях программы</w:t>
      </w:r>
      <w:r>
        <w:rPr>
          <w:color w:val="000000" w:themeColor="text1"/>
        </w:rPr>
        <w:t> </w:t>
      </w:r>
      <w:r w:rsidRPr="00F053BA">
        <w:rPr>
          <w:color w:val="000000" w:themeColor="text1"/>
          <w:lang w:val="ru-RU"/>
        </w:rPr>
        <w:t xml:space="preserve">4 указаны ресурсы, направляемые на деятельность Департамента традиционных знаний и глобальных задач, связанную с достижением ожидаемого результата </w:t>
      </w:r>
      <w:r>
        <w:rPr>
          <w:color w:val="000000" w:themeColor="text1"/>
        </w:rPr>
        <w:t>VII</w:t>
      </w:r>
      <w:r w:rsidRPr="00F053BA">
        <w:rPr>
          <w:color w:val="000000" w:themeColor="text1"/>
          <w:lang w:val="ru-RU"/>
        </w:rPr>
        <w:t>.2.</w:t>
      </w:r>
    </w:p>
    <w:p w:rsidR="00F053BA" w:rsidRPr="00F053BA" w:rsidRDefault="00F053BA" w:rsidP="00F053BA">
      <w:pPr>
        <w:autoSpaceDE w:val="0"/>
        <w:autoSpaceDN w:val="0"/>
        <w:jc w:val="both"/>
        <w:rPr>
          <w:lang w:val="ru-RU"/>
        </w:rPr>
      </w:pPr>
    </w:p>
    <w:p w:rsidR="00F053BA" w:rsidRPr="00F053BA" w:rsidRDefault="00F053BA" w:rsidP="00F053BA">
      <w:pPr>
        <w:autoSpaceDE w:val="0"/>
        <w:autoSpaceDN w:val="0"/>
        <w:jc w:val="both"/>
        <w:rPr>
          <w:lang w:val="ru-RU"/>
        </w:rPr>
      </w:pPr>
    </w:p>
    <w:p w:rsidR="00F053BA" w:rsidRPr="00F053BA" w:rsidRDefault="00F053BA" w:rsidP="00F053BA">
      <w:pPr>
        <w:jc w:val="both"/>
        <w:rPr>
          <w:rFonts w:cs="Arial"/>
          <w:szCs w:val="20"/>
          <w:u w:val="single"/>
          <w:lang w:val="ru-RU"/>
        </w:rPr>
      </w:pPr>
      <w:r>
        <w:t>B</w:t>
      </w:r>
      <w:r w:rsidRPr="00F053BA">
        <w:rPr>
          <w:lang w:val="ru-RU"/>
        </w:rPr>
        <w:t>.</w:t>
      </w:r>
      <w:r w:rsidRPr="00F053BA">
        <w:rPr>
          <w:lang w:val="ru-RU"/>
        </w:rPr>
        <w:tab/>
      </w:r>
      <w:r w:rsidRPr="00F053BA">
        <w:rPr>
          <w:u w:val="single"/>
          <w:lang w:val="ru-RU"/>
        </w:rPr>
        <w:t xml:space="preserve">Освоение бюджетных средств в 2014–2015 гг. </w:t>
      </w:r>
    </w:p>
    <w:p w:rsidR="00F053BA" w:rsidRPr="00F053BA" w:rsidRDefault="00F053BA" w:rsidP="00F053BA">
      <w:pPr>
        <w:tabs>
          <w:tab w:val="left" w:pos="709"/>
        </w:tabs>
        <w:jc w:val="both"/>
        <w:rPr>
          <w:rFonts w:cs="Arial"/>
          <w:szCs w:val="20"/>
          <w:u w:val="single"/>
          <w:lang w:val="ru-RU"/>
        </w:rPr>
      </w:pPr>
    </w:p>
    <w:p w:rsidR="00F053BA" w:rsidRPr="00F053BA" w:rsidRDefault="00F053BA" w:rsidP="00F053BA">
      <w:pPr>
        <w:pStyle w:val="ListParagraph"/>
        <w:numPr>
          <w:ilvl w:val="0"/>
          <w:numId w:val="11"/>
        </w:numPr>
        <w:tabs>
          <w:tab w:val="left" w:pos="567"/>
        </w:tabs>
        <w:ind w:left="0" w:firstLine="0"/>
        <w:jc w:val="both"/>
        <w:rPr>
          <w:lang w:val="ru-RU"/>
        </w:rPr>
      </w:pPr>
      <w:r w:rsidRPr="00F053BA">
        <w:rPr>
          <w:lang w:val="ru-RU"/>
        </w:rPr>
        <w:t>Уровень освоения бюджетных средств, не связанных с персоналом, по линии программы составил 67% итогового бюджета после перераспределения средств.  Неполное использование ресурсов, не связанных с персоналом, в основном было обусловлено тем, что Генеральная Ассамблея ВОИС, состоявшаяся в октябре 2014</w:t>
      </w:r>
      <w:r>
        <w:t> </w:t>
      </w:r>
      <w:r w:rsidRPr="00F053BA">
        <w:rPr>
          <w:lang w:val="ru-RU"/>
        </w:rPr>
        <w:t>г., не смогла согласовать программу работы МКГР на 2015</w:t>
      </w:r>
      <w:r>
        <w:t> </w:t>
      </w:r>
      <w:r w:rsidRPr="00F053BA">
        <w:rPr>
          <w:lang w:val="ru-RU"/>
        </w:rPr>
        <w:t>г., из-за чего сессии МКГР в 2015</w:t>
      </w:r>
      <w:r>
        <w:t> </w:t>
      </w:r>
      <w:r w:rsidRPr="00F053BA">
        <w:rPr>
          <w:lang w:val="ru-RU"/>
        </w:rPr>
        <w:t>г. не проводились.</w:t>
      </w:r>
      <w:r w:rsidRPr="00F053BA">
        <w:rPr>
          <w:color w:val="000000" w:themeColor="text1"/>
          <w:lang w:val="ru-RU"/>
        </w:rPr>
        <w:t xml:space="preserve">  Поскольку значительная часть бюджета программы приходится на работу МКГР, в 2015</w:t>
      </w:r>
      <w:r>
        <w:rPr>
          <w:color w:val="000000" w:themeColor="text1"/>
        </w:rPr>
        <w:t> </w:t>
      </w:r>
      <w:r w:rsidRPr="00F053BA">
        <w:rPr>
          <w:color w:val="000000" w:themeColor="text1"/>
          <w:lang w:val="ru-RU"/>
        </w:rPr>
        <w:t>г. часть бюджета МКГР была использована для оказания технической помощи и укрепления потенциала.</w:t>
      </w:r>
    </w:p>
    <w:p w:rsidR="000E6F6E" w:rsidRPr="00F053BA" w:rsidRDefault="000E6F6E" w:rsidP="00F053BA">
      <w:pPr>
        <w:pStyle w:val="ListParagraph"/>
        <w:tabs>
          <w:tab w:val="left" w:pos="709"/>
        </w:tabs>
        <w:ind w:left="0"/>
        <w:jc w:val="both"/>
        <w:rPr>
          <w:lang w:val="ru-RU"/>
        </w:rPr>
      </w:pPr>
    </w:p>
    <w:p w:rsidR="00F52522" w:rsidRPr="00F053BA" w:rsidRDefault="00F52522">
      <w:pPr>
        <w:rPr>
          <w:lang w:val="ru-RU"/>
        </w:rPr>
      </w:pPr>
    </w:p>
    <w:p w:rsidR="00FA1FCD" w:rsidRPr="00F053BA" w:rsidRDefault="00FA1FCD">
      <w:pPr>
        <w:rPr>
          <w:lang w:val="ru-RU"/>
        </w:rPr>
      </w:pPr>
      <w:r w:rsidRPr="00F053BA">
        <w:rPr>
          <w:lang w:val="ru-RU"/>
        </w:rPr>
        <w:br w:type="page"/>
      </w:r>
    </w:p>
    <w:p w:rsidR="00FA1FCD" w:rsidRPr="002D647F" w:rsidRDefault="002D647F" w:rsidP="00C1753F">
      <w:pPr>
        <w:pStyle w:val="StyleHeading214ptAuto"/>
        <w:rPr>
          <w:rFonts w:ascii="Arial" w:hAnsi="Arial"/>
          <w:bCs w:val="0"/>
          <w:caps w:val="0"/>
          <w:sz w:val="20"/>
          <w:szCs w:val="24"/>
          <w:lang w:val="ru-RU" w:eastAsia="en-US"/>
        </w:rPr>
      </w:pPr>
      <w:bookmarkStart w:id="60" w:name="_Toc455388105"/>
      <w:bookmarkStart w:id="61" w:name="_Toc367350576"/>
      <w:r>
        <w:rPr>
          <w:rFonts w:ascii="Arial" w:hAnsi="Arial"/>
          <w:bCs w:val="0"/>
          <w:caps w:val="0"/>
          <w:sz w:val="20"/>
          <w:szCs w:val="24"/>
          <w:lang w:val="ru-RU" w:eastAsia="en-US"/>
        </w:rPr>
        <w:t>СТРАТЕГИЧЕСКАЯ ЦЕЛЬ</w:t>
      </w:r>
      <w:r w:rsidR="00FA1FCD" w:rsidRPr="002D647F">
        <w:rPr>
          <w:rFonts w:ascii="Arial" w:hAnsi="Arial"/>
          <w:bCs w:val="0"/>
          <w:caps w:val="0"/>
          <w:sz w:val="20"/>
          <w:szCs w:val="24"/>
          <w:lang w:val="ru-RU" w:eastAsia="en-US"/>
        </w:rPr>
        <w:t xml:space="preserve"> </w:t>
      </w:r>
      <w:r w:rsidR="00FA1FCD" w:rsidRPr="00E07FBB">
        <w:rPr>
          <w:rFonts w:ascii="Arial" w:hAnsi="Arial"/>
          <w:bCs w:val="0"/>
          <w:caps w:val="0"/>
          <w:sz w:val="20"/>
          <w:szCs w:val="24"/>
          <w:lang w:val="en-US" w:eastAsia="en-US"/>
        </w:rPr>
        <w:t>II</w:t>
      </w:r>
      <w:bookmarkEnd w:id="60"/>
    </w:p>
    <w:p w:rsidR="00FA1FCD" w:rsidRPr="002D647F" w:rsidRDefault="00FA1FCD" w:rsidP="003E2D93">
      <w:pPr>
        <w:jc w:val="center"/>
        <w:rPr>
          <w:bCs/>
          <w:caps/>
          <w:lang w:val="ru-RU"/>
        </w:rPr>
      </w:pPr>
    </w:p>
    <w:bookmarkEnd w:id="61"/>
    <w:p w:rsidR="002D647F" w:rsidRPr="00735E14" w:rsidRDefault="002D647F" w:rsidP="002D647F">
      <w:pPr>
        <w:jc w:val="center"/>
        <w:rPr>
          <w:b/>
          <w:bCs/>
          <w:caps/>
          <w:lang w:val="ru-RU"/>
        </w:rPr>
      </w:pPr>
      <w:r w:rsidRPr="00735E14">
        <w:rPr>
          <w:b/>
          <w:bCs/>
          <w:caps/>
          <w:lang w:val="ru-RU"/>
        </w:rPr>
        <w:t xml:space="preserve">Предоставление высококачественных услуг </w:t>
      </w:r>
      <w:r>
        <w:rPr>
          <w:b/>
          <w:bCs/>
          <w:caps/>
          <w:lang w:val="ru-RU"/>
        </w:rPr>
        <w:br/>
      </w:r>
      <w:r w:rsidRPr="00735E14">
        <w:rPr>
          <w:b/>
          <w:bCs/>
          <w:caps/>
          <w:lang w:val="ru-RU"/>
        </w:rPr>
        <w:t>в глобальных системах охраны ис</w:t>
      </w:r>
    </w:p>
    <w:p w:rsidR="002D647F" w:rsidRDefault="002D647F" w:rsidP="002D647F">
      <w:pPr>
        <w:jc w:val="center"/>
        <w:rPr>
          <w:bCs/>
          <w:caps/>
          <w:lang w:val="ru-RU"/>
        </w:rPr>
      </w:pPr>
    </w:p>
    <w:p w:rsidR="002D647F" w:rsidRPr="003A588C" w:rsidRDefault="002D647F" w:rsidP="002D647F">
      <w:pPr>
        <w:jc w:val="center"/>
        <w:rPr>
          <w:bCs/>
          <w:caps/>
          <w:lang w:val="ru-RU"/>
        </w:rPr>
      </w:pPr>
    </w:p>
    <w:p w:rsidR="002D647F" w:rsidRPr="003A588C" w:rsidRDefault="002D647F" w:rsidP="002D647F">
      <w:pPr>
        <w:jc w:val="center"/>
        <w:rPr>
          <w:b/>
          <w:lang w:val="ru-RU"/>
        </w:rPr>
      </w:pPr>
      <w:r w:rsidRPr="003A588C">
        <w:rPr>
          <w:b/>
          <w:lang w:val="ru-RU"/>
        </w:rPr>
        <w:t xml:space="preserve">Сводная таблица показателей результативности за двухлетний период </w:t>
      </w:r>
    </w:p>
    <w:p w:rsidR="002D647F" w:rsidRPr="003A588C" w:rsidRDefault="002D647F" w:rsidP="002D647F">
      <w:pPr>
        <w:jc w:val="center"/>
        <w:rPr>
          <w:b/>
          <w:lang w:val="ru-RU"/>
        </w:rPr>
      </w:pPr>
    </w:p>
    <w:p w:rsidR="002D647F" w:rsidRPr="003A588C" w:rsidRDefault="002D647F" w:rsidP="002D647F">
      <w:pPr>
        <w:autoSpaceDE w:val="0"/>
        <w:autoSpaceDN w:val="0"/>
        <w:adjustRightInd w:val="0"/>
        <w:jc w:val="both"/>
        <w:rPr>
          <w:rFonts w:cs="Arial"/>
          <w:lang w:val="ru-RU"/>
        </w:rPr>
      </w:pPr>
      <w:r w:rsidRPr="003A588C">
        <w:rPr>
          <w:rFonts w:cs="Arial"/>
          <w:lang w:val="ru-RU"/>
        </w:rPr>
        <w:t>Приводимая ниже сводная т</w:t>
      </w:r>
      <w:r>
        <w:rPr>
          <w:rFonts w:cs="Arial"/>
          <w:lang w:val="ru-RU"/>
        </w:rPr>
        <w:t>аблица содержит обзор достижений с точки зрения степени реализации</w:t>
      </w:r>
      <w:r w:rsidRPr="003A588C">
        <w:rPr>
          <w:rFonts w:cs="Arial"/>
          <w:lang w:val="ru-RU"/>
        </w:rPr>
        <w:t xml:space="preserve"> ожидаемых результатов в двухлетнем периоде 2014-201</w:t>
      </w:r>
      <w:r>
        <w:rPr>
          <w:rFonts w:cs="Arial"/>
          <w:lang w:val="ru-RU"/>
        </w:rPr>
        <w:t>5</w:t>
      </w:r>
      <w:r w:rsidRPr="003A588C">
        <w:rPr>
          <w:rFonts w:cs="Arial"/>
          <w:lang w:val="ru-RU"/>
        </w:rPr>
        <w:t xml:space="preserve"> гг.</w:t>
      </w:r>
      <w:r>
        <w:rPr>
          <w:rFonts w:cs="Arial"/>
          <w:lang w:val="ru-RU"/>
        </w:rPr>
        <w:t xml:space="preserve"> на основе</w:t>
      </w:r>
      <w:r w:rsidRPr="003A588C">
        <w:rPr>
          <w:rFonts w:cs="Arial"/>
          <w:lang w:val="ru-RU"/>
        </w:rPr>
        <w:t xml:space="preserve"> показател</w:t>
      </w:r>
      <w:r>
        <w:rPr>
          <w:rFonts w:cs="Arial"/>
          <w:lang w:val="ru-RU"/>
        </w:rPr>
        <w:t>ей</w:t>
      </w:r>
      <w:r w:rsidRPr="003A588C">
        <w:rPr>
          <w:rFonts w:cs="Arial"/>
          <w:lang w:val="ru-RU"/>
        </w:rPr>
        <w:t xml:space="preserve"> программ, </w:t>
      </w:r>
      <w:r>
        <w:rPr>
          <w:rFonts w:cs="Arial"/>
          <w:lang w:val="ru-RU"/>
        </w:rPr>
        <w:t>обеспечивающих претворение в жизнь</w:t>
      </w:r>
      <w:r w:rsidRPr="003A588C">
        <w:rPr>
          <w:rFonts w:cs="Arial"/>
          <w:lang w:val="ru-RU"/>
        </w:rPr>
        <w:t xml:space="preserve"> данной стратегической цели.  </w:t>
      </w:r>
    </w:p>
    <w:p w:rsidR="002D647F" w:rsidRPr="003A588C" w:rsidRDefault="002D647F" w:rsidP="002D647F">
      <w:pPr>
        <w:rPr>
          <w:lang w:val="ru-RU"/>
        </w:rPr>
      </w:pPr>
    </w:p>
    <w:p w:rsidR="002D647F" w:rsidRDefault="002D647F" w:rsidP="002D647F">
      <w:pPr>
        <w:jc w:val="center"/>
      </w:pPr>
      <w:r>
        <w:rPr>
          <w:noProof/>
        </w:rPr>
        <w:drawing>
          <wp:inline distT="0" distB="0" distL="0" distR="0" wp14:anchorId="40FF0729" wp14:editId="12C2756E">
            <wp:extent cx="5940425" cy="2955461"/>
            <wp:effectExtent l="0" t="0" r="317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0425" cy="2955461"/>
                    </a:xfrm>
                    <a:prstGeom prst="rect">
                      <a:avLst/>
                    </a:prstGeom>
                    <a:noFill/>
                    <a:ln>
                      <a:noFill/>
                    </a:ln>
                  </pic:spPr>
                </pic:pic>
              </a:graphicData>
            </a:graphic>
          </wp:inline>
        </w:drawing>
      </w:r>
    </w:p>
    <w:p w:rsidR="002D647F" w:rsidRPr="003A6CAB" w:rsidRDefault="002D647F" w:rsidP="002D647F"/>
    <w:tbl>
      <w:tblPr>
        <w:tblW w:w="4942"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90"/>
        <w:gridCol w:w="3748"/>
        <w:gridCol w:w="1954"/>
        <w:gridCol w:w="1568"/>
      </w:tblGrid>
      <w:tr w:rsidR="002D647F" w:rsidRPr="0096319C" w:rsidTr="003A5C2E">
        <w:trPr>
          <w:cantSplit/>
          <w:tblHeader/>
        </w:trPr>
        <w:tc>
          <w:tcPr>
            <w:tcW w:w="1424" w:type="pct"/>
            <w:tcBorders>
              <w:top w:val="single" w:sz="4" w:space="0" w:color="auto"/>
              <w:bottom w:val="single" w:sz="4" w:space="0" w:color="auto"/>
            </w:tcBorders>
            <w:shd w:val="clear" w:color="auto" w:fill="C6D9F1" w:themeFill="text2" w:themeFillTint="33"/>
            <w:tcMar>
              <w:top w:w="113" w:type="dxa"/>
              <w:bottom w:w="113" w:type="dxa"/>
            </w:tcMar>
            <w:vAlign w:val="center"/>
          </w:tcPr>
          <w:p w:rsidR="002D647F" w:rsidRPr="0040645B" w:rsidRDefault="002D647F" w:rsidP="002D647F">
            <w:pPr>
              <w:spacing w:after="120"/>
              <w:rPr>
                <w:rFonts w:cs="Arial"/>
                <w:b/>
                <w:bCs/>
                <w:sz w:val="18"/>
                <w:szCs w:val="18"/>
              </w:rPr>
            </w:pPr>
            <w:r w:rsidRPr="003A588C">
              <w:rPr>
                <w:rFonts w:cs="Arial"/>
                <w:b/>
                <w:bCs/>
                <w:sz w:val="18"/>
                <w:szCs w:val="18"/>
                <w:lang w:val="ru-RU"/>
              </w:rPr>
              <w:t>Ожидаемые результаты</w:t>
            </w:r>
          </w:p>
        </w:tc>
        <w:tc>
          <w:tcPr>
            <w:tcW w:w="2247" w:type="pct"/>
            <w:tcBorders>
              <w:top w:val="single" w:sz="4" w:space="0" w:color="auto"/>
              <w:bottom w:val="single" w:sz="4" w:space="0" w:color="auto"/>
            </w:tcBorders>
            <w:shd w:val="clear" w:color="auto" w:fill="C6D9F1" w:themeFill="text2" w:themeFillTint="33"/>
            <w:tcMar>
              <w:top w:w="113" w:type="dxa"/>
              <w:bottom w:w="113" w:type="dxa"/>
            </w:tcMar>
            <w:vAlign w:val="center"/>
          </w:tcPr>
          <w:p w:rsidR="002D647F" w:rsidRPr="0040645B" w:rsidRDefault="002D647F" w:rsidP="002D647F">
            <w:pPr>
              <w:spacing w:after="120"/>
              <w:rPr>
                <w:rFonts w:cs="Arial"/>
                <w:b/>
                <w:sz w:val="18"/>
                <w:szCs w:val="18"/>
              </w:rPr>
            </w:pPr>
            <w:r>
              <w:rPr>
                <w:rFonts w:cs="Arial"/>
                <w:b/>
                <w:sz w:val="18"/>
                <w:szCs w:val="18"/>
                <w:lang w:val="ru-RU"/>
              </w:rPr>
              <w:t>Показатели</w:t>
            </w:r>
            <w:r w:rsidRPr="003A588C">
              <w:rPr>
                <w:rFonts w:cs="Arial"/>
                <w:b/>
                <w:sz w:val="18"/>
                <w:szCs w:val="18"/>
                <w:lang w:val="ru-RU"/>
              </w:rPr>
              <w:t xml:space="preserve"> результативности</w:t>
            </w:r>
          </w:p>
        </w:tc>
        <w:tc>
          <w:tcPr>
            <w:tcW w:w="854" w:type="pct"/>
            <w:tcBorders>
              <w:top w:val="single" w:sz="4" w:space="0" w:color="auto"/>
              <w:bottom w:val="single" w:sz="4" w:space="0" w:color="auto"/>
            </w:tcBorders>
            <w:shd w:val="clear" w:color="auto" w:fill="C6D9F1" w:themeFill="text2" w:themeFillTint="33"/>
            <w:tcMar>
              <w:top w:w="113" w:type="dxa"/>
              <w:bottom w:w="113" w:type="dxa"/>
            </w:tcMar>
            <w:vAlign w:val="center"/>
          </w:tcPr>
          <w:p w:rsidR="002D647F" w:rsidRPr="0040645B" w:rsidRDefault="002D647F" w:rsidP="002D647F">
            <w:pPr>
              <w:spacing w:after="120"/>
              <w:ind w:left="85"/>
              <w:jc w:val="center"/>
              <w:rPr>
                <w:rFonts w:cs="Arial"/>
                <w:sz w:val="18"/>
                <w:szCs w:val="18"/>
              </w:rPr>
            </w:pPr>
            <w:r w:rsidRPr="003A588C">
              <w:rPr>
                <w:rFonts w:cs="Arial"/>
                <w:b/>
                <w:sz w:val="18"/>
                <w:szCs w:val="18"/>
                <w:lang w:val="ru-RU"/>
              </w:rPr>
              <w:t>Соответствующие программы</w:t>
            </w:r>
          </w:p>
        </w:tc>
        <w:tc>
          <w:tcPr>
            <w:tcW w:w="475" w:type="pct"/>
            <w:tcBorders>
              <w:top w:val="single" w:sz="4" w:space="0" w:color="auto"/>
              <w:bottom w:val="single" w:sz="4" w:space="0" w:color="auto"/>
            </w:tcBorders>
            <w:shd w:val="clear" w:color="auto" w:fill="C6D9F1" w:themeFill="text2" w:themeFillTint="33"/>
            <w:vAlign w:val="center"/>
          </w:tcPr>
          <w:p w:rsidR="002D647F" w:rsidRPr="007B07A4" w:rsidRDefault="002D647F" w:rsidP="002D647F">
            <w:pPr>
              <w:spacing w:after="120"/>
              <w:ind w:left="85"/>
              <w:jc w:val="center"/>
              <w:rPr>
                <w:rFonts w:cs="Arial"/>
                <w:b/>
                <w:bCs/>
                <w:sz w:val="18"/>
                <w:szCs w:val="18"/>
              </w:rPr>
            </w:pPr>
            <w:r w:rsidRPr="003A588C">
              <w:rPr>
                <w:rFonts w:cs="Arial"/>
                <w:b/>
                <w:bCs/>
                <w:sz w:val="18"/>
                <w:szCs w:val="18"/>
                <w:lang w:val="ru-RU"/>
              </w:rPr>
              <w:t>СИГНАЛЬНАЯ СИСТЕМА</w:t>
            </w:r>
          </w:p>
        </w:tc>
      </w:tr>
      <w:tr w:rsidR="002D647F" w:rsidRPr="00811500" w:rsidTr="002D647F">
        <w:trPr>
          <w:cantSplit/>
        </w:trPr>
        <w:tc>
          <w:tcPr>
            <w:tcW w:w="1424"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II.1.  Более широкое использование возможностей PCT для подачи международных патентных заявок</w:t>
            </w:r>
          </w:p>
        </w:tc>
        <w:tc>
          <w:tcPr>
            <w:tcW w:w="2247" w:type="pct"/>
            <w:shd w:val="clear" w:color="auto" w:fill="auto"/>
            <w:tcMar>
              <w:top w:w="113" w:type="dxa"/>
              <w:bottom w:w="113" w:type="dxa"/>
            </w:tcMar>
          </w:tcPr>
          <w:p w:rsidR="002D647F" w:rsidRPr="004F6688" w:rsidRDefault="002D647F" w:rsidP="002D647F">
            <w:pPr>
              <w:rPr>
                <w:rFonts w:cs="Arial"/>
                <w:sz w:val="16"/>
                <w:szCs w:val="16"/>
                <w:highlight w:val="yellow"/>
                <w:lang w:val="ru-RU"/>
              </w:rPr>
            </w:pPr>
            <w:r w:rsidRPr="004F6688">
              <w:rPr>
                <w:rFonts w:cs="Arial"/>
                <w:sz w:val="16"/>
                <w:szCs w:val="16"/>
                <w:lang w:val="ru-RU"/>
              </w:rPr>
              <w:t xml:space="preserve">Степень </w:t>
            </w:r>
            <w:r>
              <w:rPr>
                <w:rFonts w:cs="Arial"/>
                <w:sz w:val="16"/>
                <w:szCs w:val="16"/>
                <w:lang w:val="ru-RU"/>
              </w:rPr>
              <w:t>удовлетворенности пользователей РСТ качеством информации для пользователей и услуг по обучению</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rPr>
            </w:pPr>
            <w:r w:rsidRPr="003A588C">
              <w:rPr>
                <w:rFonts w:cs="Arial"/>
                <w:sz w:val="16"/>
                <w:szCs w:val="16"/>
                <w:lang w:val="ru-RU"/>
              </w:rPr>
              <w:t xml:space="preserve">Программа 5 </w:t>
            </w:r>
          </w:p>
        </w:tc>
        <w:tc>
          <w:tcPr>
            <w:tcW w:w="475" w:type="pct"/>
            <w:shd w:val="clear" w:color="auto" w:fill="FFFFFF"/>
          </w:tcPr>
          <w:p w:rsidR="002D647F" w:rsidRPr="00CC3F44" w:rsidRDefault="002D647F" w:rsidP="002D647F">
            <w:pPr>
              <w:jc w:val="center"/>
              <w:rPr>
                <w:rFonts w:cs="Arial"/>
                <w:color w:val="008000"/>
                <w:sz w:val="22"/>
                <w:szCs w:val="22"/>
              </w:rPr>
            </w:pPr>
            <w:r w:rsidRPr="00CC3F44">
              <w:rPr>
                <w:rFonts w:cs="Arial"/>
                <w:color w:val="008000"/>
                <w:sz w:val="22"/>
                <w:szCs w:val="22"/>
              </w:rPr>
              <w:sym w:font="Wingdings" w:char="F06C"/>
            </w:r>
          </w:p>
        </w:tc>
      </w:tr>
      <w:tr w:rsidR="002D647F" w:rsidRPr="00811500" w:rsidTr="002D647F">
        <w:trPr>
          <w:cantSplit/>
          <w:trHeight w:val="112"/>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Доля ведомств и Международных органов, удовлетворенных мероприятиями по сотрудничеству в рамках PCT</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5 </w:t>
            </w:r>
          </w:p>
        </w:tc>
        <w:tc>
          <w:tcPr>
            <w:tcW w:w="475" w:type="pct"/>
            <w:shd w:val="clear" w:color="auto" w:fill="FFFFFF"/>
          </w:tcPr>
          <w:p w:rsidR="002D647F" w:rsidRPr="00CC3F44" w:rsidRDefault="002D647F" w:rsidP="002D647F">
            <w:pPr>
              <w:jc w:val="center"/>
              <w:rPr>
                <w:rFonts w:cs="Arial"/>
                <w:color w:val="008000"/>
                <w:sz w:val="22"/>
                <w:szCs w:val="22"/>
              </w:rPr>
            </w:pPr>
            <w:r w:rsidRPr="00CC3F44">
              <w:rPr>
                <w:rFonts w:cs="Arial"/>
                <w:color w:val="008000"/>
                <w:sz w:val="22"/>
                <w:szCs w:val="22"/>
              </w:rPr>
              <w:sym w:font="Wingdings" w:char="F06C"/>
            </w:r>
          </w:p>
        </w:tc>
      </w:tr>
      <w:tr w:rsidR="002D647F" w:rsidRPr="00811500" w:rsidTr="002D647F">
        <w:trPr>
          <w:cantSplit/>
          <w:trHeight w:val="311"/>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заявок РСТ из стран с переходной экономикой и развитых стран</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10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22"/>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Доля (%) заявок, поданных по процедуре РСТ</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Pr="00CC3F44" w:rsidRDefault="002D647F" w:rsidP="002D647F">
            <w:pPr>
              <w:jc w:val="center"/>
            </w:pPr>
            <w:r w:rsidRPr="00CC3F44">
              <w:rPr>
                <w:rFonts w:cs="Arial"/>
                <w:color w:val="FF0000"/>
                <w:sz w:val="22"/>
                <w:szCs w:val="22"/>
              </w:rPr>
              <w:sym w:font="Wingdings" w:char="F06C"/>
            </w:r>
            <w:r w:rsidRPr="00CC3F44">
              <w:rPr>
                <w:rFonts w:cs="Arial"/>
                <w:color w:val="FF0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672"/>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Доля (%) лиц, ответственных за разработку политики, государственных должностных лиц, практикующих специалистов в сфере ИС и участников целевых семинаров, выработавших более глубокое понимание системы РСТ и связанных с ней вопросов</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518"/>
        </w:trPr>
        <w:tc>
          <w:tcPr>
            <w:tcW w:w="1424" w:type="pct"/>
            <w:shd w:val="clear" w:color="auto" w:fill="auto"/>
            <w:tcMar>
              <w:top w:w="113" w:type="dxa"/>
              <w:bottom w:w="113" w:type="dxa"/>
            </w:tcMar>
          </w:tcPr>
          <w:p w:rsidR="002D647F" w:rsidRDefault="002D647F" w:rsidP="002D647F">
            <w:pPr>
              <w:autoSpaceDE w:val="0"/>
              <w:autoSpaceDN w:val="0"/>
              <w:adjustRightInd w:val="0"/>
              <w:rPr>
                <w:rFonts w:cs="Arial"/>
                <w:sz w:val="16"/>
                <w:szCs w:val="16"/>
                <w:lang w:eastAsia="zh-CN" w:bidi="th-TH"/>
              </w:rPr>
            </w:pPr>
            <w:r w:rsidRPr="003A588C">
              <w:rPr>
                <w:rFonts w:cs="Arial"/>
                <w:sz w:val="16"/>
                <w:szCs w:val="16"/>
                <w:lang w:val="ru-RU" w:eastAsia="zh-CN" w:bidi="th-TH"/>
              </w:rPr>
              <w:t>II.2.  Совершенствование системы PCT</w:t>
            </w:r>
            <w:r w:rsidRPr="00811500">
              <w:rPr>
                <w:rFonts w:cs="Arial"/>
                <w:sz w:val="16"/>
                <w:szCs w:val="16"/>
                <w:lang w:eastAsia="zh-CN" w:bidi="th-TH"/>
              </w:rPr>
              <w:t xml:space="preserve"> </w:t>
            </w:r>
          </w:p>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Дальнейшее развитие системы РСТ, в частности выполнение рекомендаций «дорожной карты» для системы РСТ, одобренных государствами – участниками РСТ</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5 </w:t>
            </w:r>
          </w:p>
        </w:tc>
        <w:tc>
          <w:tcPr>
            <w:tcW w:w="475"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811500" w:rsidTr="002D647F">
        <w:trPr>
          <w:cantSplit/>
          <w:trHeight w:val="221"/>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Усовершенствованные электронные услуги для заявителей, третьих лиц, ведомств и органов</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5 </w:t>
            </w:r>
          </w:p>
        </w:tc>
        <w:tc>
          <w:tcPr>
            <w:tcW w:w="475"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811500" w:rsidTr="002D647F">
        <w:trPr>
          <w:cantSplit/>
          <w:trHeight w:val="45"/>
        </w:trPr>
        <w:tc>
          <w:tcPr>
            <w:tcW w:w="1424"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II.3. Повышение производительности и качества услуг в рамках операций PCT</w:t>
            </w: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 xml:space="preserve">Расходы на обработку одной заявки </w:t>
            </w:r>
          </w:p>
          <w:p w:rsidR="002D647F" w:rsidRPr="003A588C" w:rsidRDefault="002D647F" w:rsidP="002D647F">
            <w:pPr>
              <w:rPr>
                <w:rFonts w:cs="Arial"/>
                <w:sz w:val="16"/>
                <w:szCs w:val="16"/>
                <w:lang w:val="ru-RU"/>
              </w:rPr>
            </w:pPr>
          </w:p>
          <w:p w:rsidR="002D647F" w:rsidRPr="003A588C" w:rsidRDefault="002D647F" w:rsidP="002D647F">
            <w:pPr>
              <w:rPr>
                <w:rFonts w:cs="Arial"/>
                <w:sz w:val="16"/>
                <w:szCs w:val="16"/>
                <w:lang w:val="ru-RU"/>
              </w:rPr>
            </w:pPr>
            <w:r w:rsidRPr="003A588C">
              <w:rPr>
                <w:rFonts w:cs="Arial"/>
                <w:sz w:val="16"/>
                <w:szCs w:val="16"/>
                <w:lang w:val="ru-RU"/>
              </w:rPr>
              <w:t>Агрегатный показатель качества экспертизы по формальным признакам (включая своевременность подачи)</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5 </w:t>
            </w:r>
          </w:p>
          <w:p w:rsidR="002D647F" w:rsidRPr="003A588C" w:rsidRDefault="002D647F" w:rsidP="002D647F">
            <w:pPr>
              <w:ind w:left="441" w:hanging="413"/>
              <w:jc w:val="center"/>
              <w:rPr>
                <w:rFonts w:cs="Arial"/>
                <w:sz w:val="16"/>
                <w:szCs w:val="16"/>
                <w:lang w:val="ru-RU" w:bidi="th-TH"/>
              </w:rPr>
            </w:pPr>
          </w:p>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5 </w:t>
            </w:r>
          </w:p>
        </w:tc>
        <w:tc>
          <w:tcPr>
            <w:tcW w:w="475" w:type="pct"/>
            <w:shd w:val="clear" w:color="auto" w:fill="FFFFFF"/>
          </w:tcPr>
          <w:p w:rsidR="002D647F" w:rsidRDefault="002D647F" w:rsidP="002D647F">
            <w:pPr>
              <w:spacing w:before="40"/>
              <w:jc w:val="center"/>
              <w:rPr>
                <w:rFonts w:cs="Arial"/>
                <w:color w:val="008000"/>
                <w:sz w:val="22"/>
                <w:szCs w:val="22"/>
              </w:rPr>
            </w:pPr>
            <w:r w:rsidRPr="00CC3F44">
              <w:rPr>
                <w:rFonts w:cs="Arial"/>
                <w:color w:val="008000"/>
                <w:sz w:val="22"/>
                <w:szCs w:val="22"/>
              </w:rPr>
              <w:sym w:font="Wingdings" w:char="F06C"/>
            </w:r>
            <w:r w:rsidRPr="00CC3F44">
              <w:rPr>
                <w:rFonts w:cs="Arial"/>
                <w:color w:val="FF0000"/>
                <w:sz w:val="22"/>
                <w:szCs w:val="22"/>
              </w:rPr>
              <w:sym w:font="Wingdings" w:char="F06C"/>
            </w:r>
            <w:r w:rsidRPr="00CC3F44">
              <w:rPr>
                <w:rFonts w:cs="Arial"/>
                <w:color w:val="008000"/>
                <w:sz w:val="22"/>
                <w:szCs w:val="22"/>
              </w:rPr>
              <w:sym w:font="Wingdings" w:char="F06C"/>
            </w:r>
          </w:p>
          <w:p w:rsidR="002D647F" w:rsidRPr="00CC3F44" w:rsidRDefault="002D647F" w:rsidP="002D647F">
            <w:pPr>
              <w:spacing w:before="40"/>
              <w:jc w:val="center"/>
            </w:pPr>
            <w:r w:rsidRPr="00CC3F44">
              <w:rPr>
                <w:rFonts w:cs="Arial"/>
                <w:color w:val="008000"/>
                <w:sz w:val="22"/>
                <w:szCs w:val="22"/>
              </w:rPr>
              <w:sym w:font="Wingdings" w:char="F06C"/>
            </w:r>
          </w:p>
        </w:tc>
      </w:tr>
      <w:tr w:rsidR="002D647F" w:rsidRPr="00811500" w:rsidTr="002D647F">
        <w:trPr>
          <w:cantSplit/>
          <w:trHeight w:val="201"/>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811500" w:rsidRDefault="002D647F" w:rsidP="002D647F">
            <w:pPr>
              <w:rPr>
                <w:rFonts w:cs="Arial"/>
                <w:sz w:val="16"/>
                <w:szCs w:val="16"/>
              </w:rPr>
            </w:pPr>
            <w:r w:rsidRPr="003A588C">
              <w:rPr>
                <w:rFonts w:cs="Arial"/>
                <w:sz w:val="16"/>
                <w:szCs w:val="16"/>
                <w:lang w:val="ru-RU"/>
              </w:rPr>
              <w:t>Качество перевода</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5 </w:t>
            </w:r>
          </w:p>
        </w:tc>
        <w:tc>
          <w:tcPr>
            <w:tcW w:w="475"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811500" w:rsidTr="002D647F">
        <w:trPr>
          <w:cantSplit/>
          <w:trHeight w:val="225"/>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57" w:type="dxa"/>
              <w:bottom w:w="57" w:type="dxa"/>
            </w:tcMar>
          </w:tcPr>
          <w:p w:rsidR="002D647F" w:rsidRPr="00811500" w:rsidRDefault="002D647F" w:rsidP="002D647F">
            <w:pPr>
              <w:tabs>
                <w:tab w:val="left" w:pos="1860"/>
              </w:tabs>
              <w:rPr>
                <w:rFonts w:cs="Arial"/>
                <w:sz w:val="16"/>
                <w:szCs w:val="16"/>
              </w:rPr>
            </w:pPr>
            <w:r w:rsidRPr="003A588C">
              <w:rPr>
                <w:rFonts w:cs="Arial"/>
                <w:sz w:val="16"/>
                <w:szCs w:val="16"/>
                <w:lang w:val="ru-RU"/>
              </w:rPr>
              <w:t>Показатель своевременности переводов отчетов</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5 </w:t>
            </w:r>
          </w:p>
        </w:tc>
        <w:tc>
          <w:tcPr>
            <w:tcW w:w="475"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811500" w:rsidTr="002D647F">
        <w:trPr>
          <w:cantSplit/>
          <w:trHeight w:val="133"/>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57" w:type="dxa"/>
              <w:bottom w:w="57" w:type="dxa"/>
            </w:tcMar>
          </w:tcPr>
          <w:p w:rsidR="002D647F" w:rsidRPr="003A588C" w:rsidRDefault="002D647F" w:rsidP="002D647F">
            <w:pPr>
              <w:rPr>
                <w:rFonts w:cs="Arial"/>
                <w:sz w:val="16"/>
                <w:szCs w:val="16"/>
                <w:lang w:val="ru-RU"/>
              </w:rPr>
            </w:pPr>
            <w:r w:rsidRPr="003A588C">
              <w:rPr>
                <w:rFonts w:cs="Arial"/>
                <w:sz w:val="16"/>
                <w:szCs w:val="16"/>
                <w:lang w:val="ru-RU"/>
              </w:rPr>
              <w:t>Качество разработки программного обеспечения (КПО)</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5 </w:t>
            </w:r>
          </w:p>
        </w:tc>
        <w:tc>
          <w:tcPr>
            <w:tcW w:w="475"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811500" w:rsidTr="002D647F">
        <w:trPr>
          <w:cantSplit/>
          <w:trHeight w:val="40"/>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57" w:type="dxa"/>
              <w:bottom w:w="57" w:type="dxa"/>
            </w:tcMar>
          </w:tcPr>
          <w:p w:rsidR="002D647F" w:rsidRPr="00811500" w:rsidRDefault="002D647F" w:rsidP="002D647F">
            <w:pPr>
              <w:rPr>
                <w:rFonts w:cs="Arial"/>
                <w:sz w:val="16"/>
                <w:szCs w:val="16"/>
              </w:rPr>
            </w:pPr>
            <w:r w:rsidRPr="003A588C">
              <w:rPr>
                <w:rFonts w:cs="Arial"/>
                <w:sz w:val="16"/>
                <w:szCs w:val="16"/>
                <w:lang w:val="ru-RU"/>
              </w:rPr>
              <w:t>Уровни обслуживания информационных систем</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5 </w:t>
            </w:r>
          </w:p>
        </w:tc>
        <w:tc>
          <w:tcPr>
            <w:tcW w:w="475" w:type="pct"/>
            <w:shd w:val="clear" w:color="auto" w:fill="FFFFFF"/>
          </w:tcPr>
          <w:p w:rsidR="002D647F" w:rsidRPr="00CC3F44" w:rsidRDefault="002D647F" w:rsidP="002D647F">
            <w:pPr>
              <w:spacing w:before="40"/>
              <w:jc w:val="center"/>
            </w:pPr>
            <w:r w:rsidRPr="00CC3F44">
              <w:rPr>
                <w:rFonts w:cs="Arial"/>
                <w:color w:val="008000"/>
                <w:sz w:val="22"/>
                <w:szCs w:val="22"/>
              </w:rPr>
              <w:sym w:font="Wingdings" w:char="F06C"/>
            </w:r>
          </w:p>
        </w:tc>
      </w:tr>
      <w:tr w:rsidR="002D647F" w:rsidRPr="00811500" w:rsidTr="002D647F">
        <w:trPr>
          <w:cantSplit/>
          <w:trHeight w:val="180"/>
        </w:trPr>
        <w:tc>
          <w:tcPr>
            <w:tcW w:w="1424"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II.4 Более широкое и более эффективное использование Гаагской системы, в том числе развивающимися странами и НРС</w:t>
            </w:r>
          </w:p>
        </w:tc>
        <w:tc>
          <w:tcPr>
            <w:tcW w:w="2247" w:type="pct"/>
            <w:shd w:val="clear" w:color="auto" w:fill="auto"/>
            <w:tcMar>
              <w:top w:w="57" w:type="dxa"/>
              <w:bottom w:w="57" w:type="dxa"/>
            </w:tcMar>
          </w:tcPr>
          <w:p w:rsidR="002D647F" w:rsidRPr="003A588C" w:rsidRDefault="002D647F" w:rsidP="002D647F">
            <w:pPr>
              <w:rPr>
                <w:rFonts w:cs="Arial"/>
                <w:sz w:val="16"/>
                <w:szCs w:val="16"/>
                <w:lang w:val="ru-RU"/>
              </w:rPr>
            </w:pPr>
            <w:r w:rsidRPr="003A588C">
              <w:rPr>
                <w:rFonts w:cs="Arial"/>
                <w:sz w:val="16"/>
                <w:szCs w:val="16"/>
                <w:lang w:val="ru-RU"/>
              </w:rPr>
              <w:t xml:space="preserve">Число заявителей в рамках Гаагской системы из стран с переходной экономикой и развитых стран </w:t>
            </w:r>
          </w:p>
          <w:p w:rsidR="002D647F" w:rsidRPr="003A588C" w:rsidRDefault="002D647F" w:rsidP="002D647F">
            <w:pPr>
              <w:rPr>
                <w:rFonts w:cs="Arial"/>
                <w:sz w:val="16"/>
                <w:szCs w:val="16"/>
                <w:lang w:val="ru-RU"/>
              </w:rPr>
            </w:pPr>
          </w:p>
          <w:p w:rsidR="002D647F" w:rsidRPr="003A588C" w:rsidRDefault="002D647F" w:rsidP="002D647F">
            <w:pPr>
              <w:rPr>
                <w:rFonts w:cs="Arial"/>
                <w:sz w:val="16"/>
                <w:szCs w:val="16"/>
                <w:lang w:val="ru-RU"/>
              </w:rPr>
            </w:pPr>
            <w:r w:rsidRPr="003A588C">
              <w:rPr>
                <w:rFonts w:cs="Arial"/>
                <w:sz w:val="16"/>
                <w:szCs w:val="16"/>
                <w:lang w:val="ru-RU"/>
              </w:rPr>
              <w:t>Число стран, выработавших политику по вопросу об их присоединении к Гаагскому соглашению и/или реализующих такую политику</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10 </w:t>
            </w:r>
          </w:p>
          <w:p w:rsidR="002D647F" w:rsidRPr="003A588C" w:rsidRDefault="002D647F" w:rsidP="002D647F">
            <w:pPr>
              <w:ind w:left="441" w:hanging="413"/>
              <w:jc w:val="center"/>
              <w:rPr>
                <w:rFonts w:cs="Arial"/>
                <w:sz w:val="16"/>
                <w:szCs w:val="16"/>
                <w:lang w:val="ru-RU" w:bidi="th-TH"/>
              </w:rPr>
            </w:pPr>
          </w:p>
          <w:p w:rsidR="002D647F" w:rsidRDefault="002D647F" w:rsidP="002D647F">
            <w:pPr>
              <w:ind w:left="441" w:hanging="413"/>
              <w:jc w:val="center"/>
              <w:rPr>
                <w:rFonts w:cs="Arial"/>
                <w:sz w:val="16"/>
                <w:szCs w:val="16"/>
                <w:lang w:val="ru-RU" w:bidi="th-TH"/>
              </w:rPr>
            </w:pPr>
          </w:p>
          <w:p w:rsidR="002D647F" w:rsidRPr="003A588C" w:rsidRDefault="002D647F" w:rsidP="002D647F">
            <w:pPr>
              <w:ind w:left="441" w:hanging="413"/>
              <w:jc w:val="center"/>
              <w:rPr>
                <w:rFonts w:cs="Arial"/>
                <w:sz w:val="16"/>
                <w:szCs w:val="16"/>
                <w:lang w:val="ru-RU" w:bidi="th-TH"/>
              </w:rPr>
            </w:pPr>
          </w:p>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Default="002D647F" w:rsidP="002D647F">
            <w:pPr>
              <w:jc w:val="center"/>
              <w:rPr>
                <w:rFonts w:cs="Arial"/>
                <w:color w:val="008000"/>
                <w:sz w:val="22"/>
                <w:szCs w:val="22"/>
              </w:rPr>
            </w:pPr>
            <w:r w:rsidRPr="00CC3F44">
              <w:rPr>
                <w:rFonts w:cs="Arial"/>
                <w:color w:val="008000"/>
                <w:sz w:val="22"/>
                <w:szCs w:val="22"/>
              </w:rPr>
              <w:sym w:font="Wingdings" w:char="F06C"/>
            </w:r>
          </w:p>
          <w:p w:rsidR="002D647F" w:rsidRDefault="002D647F" w:rsidP="002D647F">
            <w:pPr>
              <w:jc w:val="center"/>
              <w:rPr>
                <w:rFonts w:cs="Arial"/>
                <w:color w:val="A6A6A6" w:themeColor="background1" w:themeShade="A6"/>
                <w:sz w:val="22"/>
                <w:szCs w:val="22"/>
              </w:rPr>
            </w:pPr>
          </w:p>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696"/>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57" w:type="dxa"/>
              <w:bottom w:w="57" w:type="dxa"/>
            </w:tcMar>
          </w:tcPr>
          <w:p w:rsidR="002D647F" w:rsidRPr="003A588C" w:rsidRDefault="002D647F" w:rsidP="002D647F">
            <w:pPr>
              <w:rPr>
                <w:rFonts w:cs="Arial"/>
                <w:sz w:val="16"/>
                <w:szCs w:val="16"/>
                <w:lang w:val="ru-RU"/>
              </w:rPr>
            </w:pPr>
            <w:r w:rsidRPr="003A588C">
              <w:rPr>
                <w:rFonts w:cs="Arial"/>
                <w:sz w:val="16"/>
                <w:szCs w:val="16"/>
                <w:lang w:val="ru-RU"/>
              </w:rPr>
              <w:t>Доля (%) руководителей директивного уровня, государственных должностных лиц, специалистов-практиков в области ИС и участников целевых семинаров, углубивших свое понимание Гаагской системы</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156"/>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57" w:type="dxa"/>
              <w:bottom w:w="57" w:type="dxa"/>
            </w:tcMar>
          </w:tcPr>
          <w:p w:rsidR="002D647F" w:rsidRPr="003A588C" w:rsidRDefault="002D647F" w:rsidP="002D647F">
            <w:pPr>
              <w:rPr>
                <w:rFonts w:cs="Arial"/>
                <w:sz w:val="16"/>
                <w:szCs w:val="16"/>
                <w:lang w:val="ru-RU"/>
              </w:rPr>
            </w:pPr>
            <w:r w:rsidRPr="003A588C">
              <w:rPr>
                <w:rFonts w:cs="Arial"/>
                <w:sz w:val="16"/>
                <w:szCs w:val="16"/>
                <w:lang w:val="ru-RU"/>
              </w:rPr>
              <w:t>Число Договаривающихся сторон Гаагского соглашения в Азиатско-Тихоокеанском регионе</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Pr="00CC3F44" w:rsidRDefault="002D647F" w:rsidP="002D647F">
            <w:pPr>
              <w:jc w:val="center"/>
              <w:rPr>
                <w:rFonts w:cs="Arial"/>
                <w:color w:val="FF0000"/>
                <w:sz w:val="22"/>
                <w:szCs w:val="22"/>
              </w:rPr>
            </w:pPr>
            <w:r w:rsidRPr="00CC3F44">
              <w:rPr>
                <w:rFonts w:cs="Arial"/>
                <w:color w:val="008000"/>
                <w:sz w:val="22"/>
                <w:szCs w:val="22"/>
              </w:rPr>
              <w:sym w:font="Wingdings" w:char="F06C"/>
            </w:r>
            <w:r w:rsidRPr="00CC3F44">
              <w:rPr>
                <w:rFonts w:cs="Arial"/>
                <w:color w:val="FF0000"/>
                <w:sz w:val="22"/>
                <w:szCs w:val="22"/>
              </w:rPr>
              <w:sym w:font="Wingdings" w:char="F06C"/>
            </w:r>
          </w:p>
        </w:tc>
      </w:tr>
      <w:tr w:rsidR="002D647F" w:rsidRPr="00811500" w:rsidTr="002D647F">
        <w:trPr>
          <w:cantSplit/>
          <w:trHeight w:val="332"/>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57" w:type="dxa"/>
              <w:bottom w:w="57" w:type="dxa"/>
            </w:tcMar>
          </w:tcPr>
          <w:p w:rsidR="002D647F" w:rsidRPr="003A588C" w:rsidRDefault="002D647F" w:rsidP="002D647F">
            <w:pPr>
              <w:rPr>
                <w:rFonts w:cs="Arial"/>
                <w:sz w:val="16"/>
                <w:szCs w:val="16"/>
                <w:lang w:val="ru-RU"/>
              </w:rPr>
            </w:pPr>
            <w:r w:rsidRPr="003A588C">
              <w:rPr>
                <w:rFonts w:cs="Arial"/>
                <w:sz w:val="16"/>
                <w:szCs w:val="16"/>
                <w:lang w:val="ru-RU"/>
              </w:rPr>
              <w:t>Число участников Женевского акта (1999 г.)</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31 </w:t>
            </w:r>
          </w:p>
        </w:tc>
        <w:tc>
          <w:tcPr>
            <w:tcW w:w="475" w:type="pct"/>
            <w:shd w:val="clear" w:color="auto" w:fill="FFFFFF"/>
          </w:tcPr>
          <w:p w:rsidR="002D647F" w:rsidRPr="00CC3F44" w:rsidRDefault="002D647F" w:rsidP="002D647F">
            <w:pPr>
              <w:jc w:val="center"/>
            </w:pPr>
            <w:r w:rsidRPr="00CC3F44">
              <w:rPr>
                <w:rFonts w:cs="Arial"/>
                <w:color w:val="E26B0A"/>
                <w:sz w:val="22"/>
                <w:szCs w:val="22"/>
              </w:rPr>
              <w:sym w:font="Wingdings" w:char="F06C"/>
            </w:r>
          </w:p>
        </w:tc>
      </w:tr>
      <w:tr w:rsidR="002D647F" w:rsidRPr="00811500" w:rsidTr="002D647F">
        <w:trPr>
          <w:cantSplit/>
          <w:trHeight w:val="178"/>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 xml:space="preserve">Доля заинтересованных ведомств, предоставляющих информацию по Гаагской системе </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31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22"/>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Поданные заявки и продления регистрации в рамках Гаагской системы</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31 </w:t>
            </w:r>
          </w:p>
        </w:tc>
        <w:tc>
          <w:tcPr>
            <w:tcW w:w="475" w:type="pct"/>
            <w:shd w:val="clear" w:color="auto" w:fill="FFFFFF"/>
          </w:tcPr>
          <w:p w:rsidR="002D647F" w:rsidRDefault="002D647F" w:rsidP="002D647F">
            <w:pPr>
              <w:jc w:val="center"/>
              <w:rPr>
                <w:bCs/>
                <w:color w:val="E26B0A"/>
                <w:sz w:val="22"/>
                <w:szCs w:val="22"/>
              </w:rPr>
            </w:pPr>
            <w:r w:rsidRPr="00CC3F44">
              <w:rPr>
                <w:rFonts w:cs="Arial"/>
                <w:color w:val="FF0000"/>
                <w:sz w:val="22"/>
                <w:szCs w:val="22"/>
              </w:rPr>
              <w:sym w:font="Wingdings" w:char="F06C"/>
            </w:r>
            <w:r w:rsidRPr="00CC3F44">
              <w:rPr>
                <w:rFonts w:cs="Arial"/>
                <w:color w:val="FF0000"/>
                <w:sz w:val="22"/>
                <w:szCs w:val="22"/>
              </w:rPr>
              <w:sym w:font="Wingdings" w:char="F06C"/>
            </w:r>
            <w:r w:rsidRPr="00CC3F44">
              <w:rPr>
                <w:rFonts w:cs="Arial"/>
                <w:color w:val="E26B0A"/>
                <w:sz w:val="22"/>
                <w:szCs w:val="22"/>
              </w:rPr>
              <w:sym w:font="Wingdings" w:char="F06C"/>
            </w:r>
          </w:p>
          <w:p w:rsidR="002D647F" w:rsidRPr="00CC3F44" w:rsidRDefault="002D647F" w:rsidP="002D647F">
            <w:pPr>
              <w:jc w:val="center"/>
            </w:pPr>
            <w:r w:rsidRPr="00CC3F44">
              <w:rPr>
                <w:rFonts w:cs="Arial"/>
                <w:color w:val="FF0000"/>
                <w:sz w:val="22"/>
                <w:szCs w:val="22"/>
              </w:rPr>
              <w:sym w:font="Wingdings" w:char="F06C"/>
            </w:r>
            <w:r w:rsidRPr="00CC3F44">
              <w:rPr>
                <w:rFonts w:cs="Arial"/>
                <w:color w:val="FF0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495"/>
        </w:trPr>
        <w:tc>
          <w:tcPr>
            <w:tcW w:w="1424" w:type="pct"/>
            <w:shd w:val="clear" w:color="auto" w:fill="auto"/>
            <w:tcMar>
              <w:top w:w="113" w:type="dxa"/>
              <w:bottom w:w="113" w:type="dxa"/>
            </w:tcMar>
          </w:tcPr>
          <w:p w:rsidR="002D647F" w:rsidRPr="003A588C" w:rsidRDefault="002D647F" w:rsidP="002D647F">
            <w:pPr>
              <w:tabs>
                <w:tab w:val="right" w:pos="2835"/>
              </w:tabs>
              <w:spacing w:after="60"/>
              <w:rPr>
                <w:rFonts w:cs="Arial"/>
                <w:sz w:val="16"/>
                <w:szCs w:val="16"/>
                <w:lang w:val="ru-RU"/>
              </w:rPr>
            </w:pPr>
            <w:r w:rsidRPr="003A588C">
              <w:rPr>
                <w:rFonts w:cs="Arial"/>
                <w:sz w:val="16"/>
                <w:szCs w:val="16"/>
                <w:lang w:val="ru-RU"/>
              </w:rPr>
              <w:t>II.5 Повышение производительности и качества услуг в рамках операций Гаагской системы</w:t>
            </w: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Доминирование Женевского акта (1999 г.) в Гаагской системе</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31 </w:t>
            </w:r>
          </w:p>
        </w:tc>
        <w:tc>
          <w:tcPr>
            <w:tcW w:w="475" w:type="pct"/>
            <w:shd w:val="clear" w:color="auto" w:fill="FFFFFF"/>
          </w:tcPr>
          <w:p w:rsidR="002D647F" w:rsidRPr="00CC3F44" w:rsidRDefault="002D647F" w:rsidP="002D647F">
            <w:pPr>
              <w:jc w:val="center"/>
            </w:pPr>
            <w:r w:rsidRPr="00CC3F44">
              <w:rPr>
                <w:rFonts w:cs="Arial"/>
                <w:color w:val="FF0000"/>
                <w:sz w:val="22"/>
                <w:szCs w:val="22"/>
              </w:rPr>
              <w:sym w:font="Wingdings" w:char="F06C"/>
            </w:r>
          </w:p>
        </w:tc>
      </w:tr>
      <w:tr w:rsidR="002D647F" w:rsidRPr="00811500" w:rsidTr="002D647F">
        <w:trPr>
          <w:cantSplit/>
          <w:trHeight w:val="344"/>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Прогресс в деле совершенствования правовой базы</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31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324"/>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Гибкость данных, заносимых в Международный реестр</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31 </w:t>
            </w:r>
          </w:p>
        </w:tc>
        <w:tc>
          <w:tcPr>
            <w:tcW w:w="475" w:type="pct"/>
            <w:shd w:val="clear" w:color="auto" w:fill="FFFFFF"/>
          </w:tcPr>
          <w:p w:rsidR="002D647F" w:rsidRPr="00CC3F44" w:rsidRDefault="002D647F" w:rsidP="002D647F">
            <w:pPr>
              <w:jc w:val="center"/>
            </w:pPr>
            <w:r w:rsidRPr="00CC3F44">
              <w:rPr>
                <w:rFonts w:cs="Arial"/>
                <w:color w:val="FF0000"/>
                <w:sz w:val="22"/>
                <w:szCs w:val="22"/>
              </w:rPr>
              <w:sym w:font="Wingdings" w:char="F06C"/>
            </w:r>
          </w:p>
        </w:tc>
      </w:tr>
      <w:tr w:rsidR="002D647F" w:rsidRPr="00811500" w:rsidTr="002D647F">
        <w:trPr>
          <w:cantSplit/>
          <w:trHeight w:val="149"/>
        </w:trPr>
        <w:tc>
          <w:tcPr>
            <w:tcW w:w="1424" w:type="pct"/>
            <w:shd w:val="clear" w:color="auto" w:fill="auto"/>
            <w:tcMar>
              <w:top w:w="113" w:type="dxa"/>
              <w:bottom w:w="113" w:type="dxa"/>
            </w:tcMar>
          </w:tcPr>
          <w:p w:rsidR="002D647F" w:rsidRDefault="002D647F" w:rsidP="002D647F">
            <w:pPr>
              <w:rPr>
                <w:rFonts w:cs="Arial"/>
                <w:sz w:val="16"/>
                <w:szCs w:val="16"/>
                <w:lang w:val="ru-RU"/>
              </w:rPr>
            </w:pPr>
          </w:p>
          <w:p w:rsidR="00495A3D" w:rsidRDefault="00495A3D" w:rsidP="002D647F">
            <w:pPr>
              <w:rPr>
                <w:rFonts w:cs="Arial"/>
                <w:sz w:val="16"/>
                <w:szCs w:val="16"/>
                <w:lang w:val="ru-RU"/>
              </w:rPr>
            </w:pPr>
          </w:p>
          <w:p w:rsidR="00495A3D" w:rsidRPr="00495A3D" w:rsidRDefault="00495A3D" w:rsidP="002D647F">
            <w:pPr>
              <w:rPr>
                <w:rFonts w:cs="Arial"/>
                <w:sz w:val="16"/>
                <w:szCs w:val="16"/>
                <w:lang w:val="ru-RU"/>
              </w:rPr>
            </w:pPr>
          </w:p>
        </w:tc>
        <w:tc>
          <w:tcPr>
            <w:tcW w:w="2247" w:type="pct"/>
            <w:shd w:val="clear" w:color="auto" w:fill="auto"/>
            <w:tcMar>
              <w:top w:w="113" w:type="dxa"/>
              <w:bottom w:w="113" w:type="dxa"/>
            </w:tcMar>
          </w:tcPr>
          <w:p w:rsidR="002D647F" w:rsidRPr="00811500" w:rsidRDefault="002D647F" w:rsidP="002D647F">
            <w:pPr>
              <w:rPr>
                <w:rFonts w:cs="Arial"/>
                <w:sz w:val="16"/>
                <w:szCs w:val="16"/>
              </w:rPr>
            </w:pPr>
            <w:r w:rsidRPr="003A588C">
              <w:rPr>
                <w:rFonts w:cs="Arial"/>
                <w:sz w:val="16"/>
                <w:szCs w:val="16"/>
                <w:lang w:val="ru-RU"/>
              </w:rPr>
              <w:t>Число автоматизированных процессов</w:t>
            </w:r>
          </w:p>
        </w:tc>
        <w:tc>
          <w:tcPr>
            <w:tcW w:w="854" w:type="pct"/>
            <w:shd w:val="clear" w:color="auto" w:fill="FFFFFF"/>
            <w:tcMar>
              <w:top w:w="113" w:type="dxa"/>
              <w:bottom w:w="113" w:type="dxa"/>
            </w:tcMar>
          </w:tcPr>
          <w:p w:rsidR="002D647F" w:rsidRPr="00811500" w:rsidRDefault="002D647F" w:rsidP="002D647F">
            <w:pPr>
              <w:ind w:left="441" w:hanging="413"/>
              <w:jc w:val="center"/>
              <w:rPr>
                <w:rFonts w:cs="Arial"/>
                <w:sz w:val="16"/>
                <w:szCs w:val="16"/>
                <w:lang w:bidi="th-TH"/>
              </w:rPr>
            </w:pPr>
            <w:r w:rsidRPr="003A588C">
              <w:rPr>
                <w:rFonts w:cs="Arial"/>
                <w:sz w:val="16"/>
                <w:szCs w:val="16"/>
                <w:lang w:val="ru-RU" w:bidi="th-TH"/>
              </w:rPr>
              <w:t xml:space="preserve">Программа 31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283"/>
        </w:trPr>
        <w:tc>
          <w:tcPr>
            <w:tcW w:w="1424" w:type="pct"/>
            <w:vMerge w:val="restar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II.6.  Более широкое и эффективное использование Мадридской и Лиссабонской систем, в том числе развивающимися странами и НРС</w:t>
            </w: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Расширение географическ</w:t>
            </w:r>
            <w:r>
              <w:rPr>
                <w:rFonts w:cs="Arial"/>
                <w:sz w:val="16"/>
                <w:szCs w:val="16"/>
                <w:lang w:val="ru-RU"/>
              </w:rPr>
              <w:t>го</w:t>
            </w:r>
            <w:r w:rsidRPr="003A588C">
              <w:rPr>
                <w:rFonts w:cs="Arial"/>
                <w:sz w:val="16"/>
                <w:szCs w:val="16"/>
                <w:lang w:val="ru-RU"/>
              </w:rPr>
              <w:t xml:space="preserve"> охвата (Мадридская система)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rPr>
                <w:rFonts w:cs="Arial"/>
                <w:color w:val="008000"/>
                <w:sz w:val="22"/>
                <w:szCs w:val="22"/>
              </w:rPr>
            </w:pPr>
            <w:r w:rsidRPr="00CC3F44">
              <w:rPr>
                <w:rFonts w:cs="Arial"/>
                <w:color w:val="008000"/>
                <w:sz w:val="22"/>
                <w:szCs w:val="22"/>
              </w:rPr>
              <w:sym w:font="Wingdings" w:char="F06C"/>
            </w:r>
          </w:p>
        </w:tc>
      </w:tr>
      <w:tr w:rsidR="002D647F" w:rsidRPr="00811500" w:rsidTr="002D647F">
        <w:trPr>
          <w:cantSplit/>
          <w:trHeight w:val="231"/>
        </w:trPr>
        <w:tc>
          <w:tcPr>
            <w:tcW w:w="1424" w:type="pct"/>
            <w:vMerge/>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Расширение географической сферы охвата (Лиссабонская система)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rPr>
                <w:rFonts w:cs="Arial"/>
                <w:color w:val="008000"/>
                <w:sz w:val="22"/>
                <w:szCs w:val="22"/>
              </w:rPr>
            </w:pPr>
            <w:r w:rsidRPr="00CC3F44">
              <w:rPr>
                <w:rFonts w:cs="Arial"/>
                <w:color w:val="FF0000"/>
                <w:sz w:val="22"/>
                <w:szCs w:val="22"/>
              </w:rPr>
              <w:sym w:font="Wingdings" w:char="F06C"/>
            </w:r>
          </w:p>
        </w:tc>
      </w:tr>
      <w:tr w:rsidR="002D647F" w:rsidRPr="00811500" w:rsidTr="002D647F">
        <w:trPr>
          <w:cantSplit/>
          <w:trHeight w:val="95"/>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Принятие положений, рационализирующих или модернизирующих правовую структуру Лиссабонской системы</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121"/>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международных заявок (Мадридская система)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325"/>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Доля заинтересованных ведомств, предоставляющих информацию по Мадридской системе</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pPr>
            <w:r w:rsidRPr="00CC3F44">
              <w:rPr>
                <w:rFonts w:cs="Arial"/>
                <w:sz w:val="22"/>
                <w:szCs w:val="22"/>
              </w:rPr>
              <w:sym w:font="Wingdings" w:char="F06C"/>
            </w:r>
          </w:p>
        </w:tc>
      </w:tr>
      <w:tr w:rsidR="002D647F" w:rsidRPr="00811500" w:rsidTr="002D647F">
        <w:trPr>
          <w:cantSplit/>
          <w:trHeight w:val="432"/>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Доля (%) участников мероприятий в рамках Лиссабонской системы, которые удовлетворены результатами и докладывают о повышении осведомленности после участия в мероприятиях</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372"/>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и доля действующих заявок в рамках Лиссабонской системы, поданных из развивающихся стран и НРС</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283"/>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Сокращение числа нарушений (Мадридская система)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pPr>
            <w:r w:rsidRPr="00CC3F44">
              <w:rPr>
                <w:rFonts w:cs="Arial"/>
                <w:color w:val="FF0000"/>
                <w:sz w:val="22"/>
                <w:szCs w:val="22"/>
              </w:rPr>
              <w:sym w:font="Wingdings" w:char="F06C"/>
            </w:r>
          </w:p>
        </w:tc>
      </w:tr>
      <w:tr w:rsidR="002D647F" w:rsidRPr="00811500" w:rsidTr="002D647F">
        <w:trPr>
          <w:cantSplit/>
          <w:trHeight w:val="480"/>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заявителей в рамках Мадридской и Лиссабонской систем из стран с переходной экономикой и развитых стран</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10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589"/>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стран, которые сформулировали политику в отношении присоединения к Мадридскому протоколу и/или участвуют в ее реализации</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374"/>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Доля (%) участников целевых семинаров/практикумов по темам, связанным с Мадридской системой, которые удовлетворены их результатами</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Pr="00CC3F44" w:rsidRDefault="002D647F" w:rsidP="002D647F">
            <w:pPr>
              <w:jc w:val="center"/>
            </w:pPr>
            <w:r w:rsidRPr="00CC3F44">
              <w:rPr>
                <w:rFonts w:cs="Arial"/>
                <w:color w:val="FF0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341"/>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Договаривающихся сторон Мадридского протокола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Pr="00CC3F44" w:rsidRDefault="002D647F" w:rsidP="002D647F">
            <w:pPr>
              <w:jc w:val="center"/>
              <w:rPr>
                <w:color w:val="E26B0A"/>
              </w:rPr>
            </w:pPr>
            <w:r w:rsidRPr="00CC3F44">
              <w:rPr>
                <w:rFonts w:cs="Arial"/>
                <w:color w:val="E26B0A"/>
                <w:sz w:val="22"/>
                <w:szCs w:val="22"/>
              </w:rPr>
              <w:sym w:font="Wingdings" w:char="F06C"/>
            </w:r>
          </w:p>
        </w:tc>
      </w:tr>
      <w:tr w:rsidR="002D647F" w:rsidRPr="00811500" w:rsidTr="002D647F">
        <w:trPr>
          <w:cantSplit/>
          <w:trHeight w:val="149"/>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новых регистраций (Мадридская система)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134"/>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продлений регистрации (Мадридская система)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2D647F" w:rsidRPr="00CC3F44" w:rsidRDefault="002D647F" w:rsidP="002D647F">
            <w:pPr>
              <w:jc w:val="center"/>
            </w:pPr>
            <w:r w:rsidRPr="00CC3F44">
              <w:rPr>
                <w:rFonts w:cs="Arial"/>
                <w:color w:val="A6A6A6" w:themeColor="background1" w:themeShade="A6"/>
                <w:sz w:val="22"/>
                <w:szCs w:val="22"/>
              </w:rPr>
              <w:sym w:font="Wingdings" w:char="F06C"/>
            </w:r>
            <w:r w:rsidRPr="00CC3F44">
              <w:rPr>
                <w:rFonts w:cs="Arial"/>
                <w:color w:val="A6A6A6" w:themeColor="background1" w:themeShade="A6"/>
                <w:sz w:val="22"/>
                <w:szCs w:val="22"/>
              </w:rPr>
              <w:sym w:font="Wingdings" w:char="F06C"/>
            </w:r>
          </w:p>
        </w:tc>
      </w:tr>
      <w:tr w:rsidR="002D647F" w:rsidRPr="00811500" w:rsidTr="002D647F">
        <w:trPr>
          <w:cantSplit/>
          <w:trHeight w:val="546"/>
        </w:trPr>
        <w:tc>
          <w:tcPr>
            <w:tcW w:w="1424"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II.7 Повышение производительности и качества услуг в рамках операций Мадридской системы</w:t>
            </w: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Прогресс в оптимизации и упрощении правовой базы Мадридской системы</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Программа 6 - мадридская и лиссабонская системы</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742"/>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Default="002D647F" w:rsidP="002D647F">
            <w:pPr>
              <w:rPr>
                <w:rFonts w:cs="Arial"/>
                <w:sz w:val="16"/>
                <w:szCs w:val="16"/>
                <w:lang w:val="ru-RU"/>
              </w:rPr>
            </w:pPr>
            <w:r>
              <w:rPr>
                <w:rFonts w:cs="Arial"/>
                <w:sz w:val="16"/>
                <w:szCs w:val="16"/>
                <w:lang w:val="ru-RU"/>
              </w:rPr>
              <w:t>Число регистраций</w:t>
            </w:r>
          </w:p>
          <w:p w:rsidR="002D647F" w:rsidRDefault="002D647F" w:rsidP="002D647F">
            <w:pPr>
              <w:rPr>
                <w:rFonts w:cs="Arial"/>
                <w:sz w:val="16"/>
                <w:szCs w:val="16"/>
                <w:lang w:val="ru-RU"/>
              </w:rPr>
            </w:pPr>
            <w:r>
              <w:rPr>
                <w:rFonts w:cs="Arial"/>
                <w:sz w:val="16"/>
                <w:szCs w:val="16"/>
                <w:lang w:val="ru-RU"/>
              </w:rPr>
              <w:t>Ч</w:t>
            </w:r>
            <w:r w:rsidRPr="003A588C">
              <w:rPr>
                <w:rFonts w:cs="Arial"/>
                <w:sz w:val="16"/>
                <w:szCs w:val="16"/>
                <w:lang w:val="ru-RU"/>
              </w:rPr>
              <w:t>исло расс</w:t>
            </w:r>
            <w:r>
              <w:rPr>
                <w:rFonts w:cs="Arial"/>
                <w:sz w:val="16"/>
                <w:szCs w:val="16"/>
                <w:lang w:val="ru-RU"/>
              </w:rPr>
              <w:t>мотренных продлений регистраций</w:t>
            </w:r>
          </w:p>
          <w:p w:rsidR="002D647F" w:rsidRPr="003A588C" w:rsidRDefault="002D647F" w:rsidP="002D647F">
            <w:pPr>
              <w:rPr>
                <w:rFonts w:cs="Arial"/>
                <w:sz w:val="16"/>
                <w:szCs w:val="16"/>
                <w:lang w:val="ru-RU"/>
              </w:rPr>
            </w:pPr>
            <w:r>
              <w:rPr>
                <w:rFonts w:cs="Arial"/>
                <w:sz w:val="16"/>
                <w:szCs w:val="16"/>
                <w:lang w:val="ru-RU"/>
              </w:rPr>
              <w:t>Ч</w:t>
            </w:r>
            <w:r w:rsidRPr="003A588C">
              <w:rPr>
                <w:rFonts w:cs="Arial"/>
                <w:sz w:val="16"/>
                <w:szCs w:val="16"/>
                <w:lang w:val="ru-RU"/>
              </w:rPr>
              <w:t>исло изменений, в том числе последующих указаний (Мадридская система)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Default="002D647F" w:rsidP="002D647F">
            <w:pPr>
              <w:jc w:val="center"/>
              <w:rPr>
                <w:rFonts w:cs="Arial"/>
                <w:color w:val="008000"/>
                <w:sz w:val="22"/>
                <w:szCs w:val="22"/>
              </w:rPr>
            </w:pPr>
            <w:r w:rsidRPr="00CC3F44">
              <w:rPr>
                <w:rFonts w:cs="Arial"/>
                <w:color w:val="FF0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p w:rsidR="002D647F" w:rsidRPr="00CC3F44" w:rsidRDefault="002D647F" w:rsidP="002D647F">
            <w:pPr>
              <w:jc w:val="center"/>
            </w:pPr>
            <w:r w:rsidRPr="00CC3F44">
              <w:rPr>
                <w:rFonts w:cs="Arial"/>
                <w:color w:val="008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315"/>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Своевременный перевод заявок (Мадридская система)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228"/>
        </w:trPr>
        <w:tc>
          <w:tcPr>
            <w:tcW w:w="1424" w:type="pct"/>
            <w:shd w:val="clear" w:color="auto" w:fill="auto"/>
            <w:tcMar>
              <w:top w:w="57" w:type="dxa"/>
              <w:bottom w:w="57" w:type="dxa"/>
            </w:tcMar>
          </w:tcPr>
          <w:p w:rsidR="002D647F" w:rsidRPr="00811500" w:rsidRDefault="002D647F" w:rsidP="002D647F">
            <w:pPr>
              <w:rPr>
                <w:rFonts w:cs="Arial"/>
                <w:sz w:val="16"/>
                <w:szCs w:val="16"/>
              </w:rPr>
            </w:pPr>
          </w:p>
        </w:tc>
        <w:tc>
          <w:tcPr>
            <w:tcW w:w="2247" w:type="pct"/>
            <w:shd w:val="clear" w:color="auto" w:fill="auto"/>
            <w:tcMar>
              <w:top w:w="57" w:type="dxa"/>
              <w:bottom w:w="57" w:type="dxa"/>
            </w:tcMar>
          </w:tcPr>
          <w:p w:rsidR="002D647F" w:rsidRPr="003A588C" w:rsidRDefault="002D647F" w:rsidP="002D647F">
            <w:pPr>
              <w:rPr>
                <w:rFonts w:cs="Arial"/>
                <w:sz w:val="16"/>
                <w:szCs w:val="16"/>
                <w:lang w:val="ru-RU"/>
              </w:rPr>
            </w:pPr>
            <w:r w:rsidRPr="003A588C">
              <w:rPr>
                <w:rFonts w:cs="Arial"/>
                <w:sz w:val="16"/>
                <w:szCs w:val="16"/>
                <w:lang w:val="ru-RU"/>
              </w:rPr>
              <w:t>Сокращение числа исправлений (Мадридская система)</w:t>
            </w:r>
          </w:p>
        </w:tc>
        <w:tc>
          <w:tcPr>
            <w:tcW w:w="854" w:type="pct"/>
            <w:shd w:val="clear" w:color="auto" w:fill="FFFFFF"/>
            <w:tcMar>
              <w:top w:w="57" w:type="dxa"/>
              <w:bottom w:w="57"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Mar>
              <w:top w:w="57" w:type="dxa"/>
              <w:bottom w:w="57" w:type="dxa"/>
            </w:tcMar>
          </w:tcPr>
          <w:p w:rsidR="002D647F" w:rsidRPr="00CC3F44" w:rsidRDefault="002D647F" w:rsidP="002D647F">
            <w:pPr>
              <w:jc w:val="center"/>
            </w:pPr>
            <w:r w:rsidRPr="00CC3F44">
              <w:rPr>
                <w:rFonts w:cs="Arial"/>
                <w:color w:val="FF0000"/>
                <w:sz w:val="22"/>
                <w:szCs w:val="22"/>
              </w:rPr>
              <w:sym w:font="Wingdings" w:char="F06C"/>
            </w:r>
          </w:p>
        </w:tc>
      </w:tr>
      <w:tr w:rsidR="002D647F" w:rsidRPr="00811500" w:rsidTr="002D647F">
        <w:trPr>
          <w:cantSplit/>
          <w:trHeight w:val="205"/>
        </w:trPr>
        <w:tc>
          <w:tcPr>
            <w:tcW w:w="1424" w:type="pct"/>
            <w:shd w:val="clear" w:color="auto" w:fill="auto"/>
            <w:tcMar>
              <w:top w:w="57" w:type="dxa"/>
              <w:bottom w:w="57" w:type="dxa"/>
            </w:tcMar>
          </w:tcPr>
          <w:p w:rsidR="002D647F" w:rsidRPr="00811500" w:rsidRDefault="002D647F" w:rsidP="002D647F">
            <w:pPr>
              <w:rPr>
                <w:rFonts w:cs="Arial"/>
                <w:sz w:val="16"/>
                <w:szCs w:val="16"/>
              </w:rPr>
            </w:pPr>
          </w:p>
        </w:tc>
        <w:tc>
          <w:tcPr>
            <w:tcW w:w="2247" w:type="pct"/>
            <w:shd w:val="clear" w:color="auto" w:fill="auto"/>
            <w:tcMar>
              <w:top w:w="57" w:type="dxa"/>
              <w:bottom w:w="57" w:type="dxa"/>
            </w:tcMar>
          </w:tcPr>
          <w:p w:rsidR="002D647F" w:rsidRPr="003A588C" w:rsidRDefault="002D647F" w:rsidP="002D647F">
            <w:pPr>
              <w:rPr>
                <w:rFonts w:cs="Arial"/>
                <w:sz w:val="16"/>
                <w:szCs w:val="16"/>
                <w:lang w:val="ru-RU"/>
              </w:rPr>
            </w:pPr>
            <w:r w:rsidRPr="003A588C">
              <w:rPr>
                <w:rFonts w:cs="Arial"/>
                <w:sz w:val="16"/>
                <w:szCs w:val="16"/>
                <w:lang w:val="ru-RU"/>
              </w:rPr>
              <w:t>Повышение степени удовлетворенности пользователей (Мадридская система)</w:t>
            </w:r>
          </w:p>
        </w:tc>
        <w:tc>
          <w:tcPr>
            <w:tcW w:w="854" w:type="pct"/>
            <w:shd w:val="clear" w:color="auto" w:fill="FFFFFF"/>
            <w:tcMar>
              <w:top w:w="57" w:type="dxa"/>
              <w:bottom w:w="57"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Mar>
              <w:top w:w="57" w:type="dxa"/>
              <w:bottom w:w="57" w:type="dxa"/>
            </w:tcMar>
          </w:tcPr>
          <w:p w:rsidR="002D647F" w:rsidRPr="00CC3F44" w:rsidRDefault="002D647F" w:rsidP="002D647F">
            <w:pPr>
              <w:jc w:val="center"/>
            </w:pPr>
            <w:r w:rsidRPr="00CC3F44">
              <w:rPr>
                <w:rFonts w:cs="Arial"/>
                <w:color w:val="008000"/>
                <w:sz w:val="22"/>
                <w:szCs w:val="22"/>
              </w:rPr>
              <w:sym w:font="Wingdings" w:char="F06C"/>
            </w:r>
            <w:r w:rsidRPr="00CC3F44">
              <w:rPr>
                <w:rFonts w:cs="Arial"/>
                <w:color w:val="A6A6A6" w:themeColor="background1" w:themeShade="A6"/>
                <w:sz w:val="22"/>
                <w:szCs w:val="22"/>
              </w:rPr>
              <w:sym w:font="Wingdings" w:char="F06C"/>
            </w:r>
          </w:p>
        </w:tc>
      </w:tr>
      <w:tr w:rsidR="002D647F" w:rsidRPr="00811500" w:rsidTr="002D647F">
        <w:trPr>
          <w:cantSplit/>
          <w:trHeight w:val="131"/>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Более активное использование средств электронного обмена информацией (Мадридская система)</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264"/>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Доработка электронного международного реестра Лиссабонской системы</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rPr>
                <w:color w:val="E26B0A"/>
              </w:rPr>
            </w:pPr>
            <w:r w:rsidRPr="00CC3F44">
              <w:rPr>
                <w:rFonts w:cs="Arial"/>
                <w:color w:val="E26B0A"/>
                <w:sz w:val="22"/>
                <w:szCs w:val="22"/>
              </w:rPr>
              <w:sym w:font="Wingdings" w:char="F06C"/>
            </w:r>
          </w:p>
        </w:tc>
      </w:tr>
      <w:tr w:rsidR="002D647F" w:rsidRPr="00811500" w:rsidTr="002D647F">
        <w:trPr>
          <w:cantSplit/>
          <w:trHeight w:val="383"/>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Совершенствование электронных средств связи и публикаций в рамках Лиссабонской системы</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6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307"/>
        </w:trPr>
        <w:tc>
          <w:tcPr>
            <w:tcW w:w="1424" w:type="pct"/>
            <w:vMerge w:val="restar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II.8 Международные и внутренние споры по вопросам интеллектуальной собственности все чаще предотвращаются или урегулируются по линии ВОИС с помощью посредничества, арбитража и других методов альтернативного урегулирования споров</w:t>
            </w:r>
          </w:p>
        </w:tc>
        <w:tc>
          <w:tcPr>
            <w:tcW w:w="2247" w:type="pct"/>
            <w:vMerge w:val="restart"/>
            <w:shd w:val="clear" w:color="auto" w:fill="auto"/>
            <w:tcMar>
              <w:top w:w="57" w:type="dxa"/>
              <w:bottom w:w="57" w:type="dxa"/>
            </w:tcMar>
          </w:tcPr>
          <w:p w:rsidR="002D647F" w:rsidRPr="003A588C" w:rsidRDefault="002D647F" w:rsidP="002D647F">
            <w:pPr>
              <w:rPr>
                <w:rFonts w:cs="Arial"/>
                <w:sz w:val="16"/>
                <w:szCs w:val="16"/>
                <w:lang w:val="ru-RU"/>
              </w:rPr>
            </w:pPr>
            <w:r w:rsidRPr="003A588C">
              <w:rPr>
                <w:rFonts w:cs="Arial"/>
                <w:sz w:val="16"/>
                <w:szCs w:val="16"/>
                <w:lang w:val="ru-RU"/>
              </w:rPr>
              <w:t xml:space="preserve">Рост тенденции использования услуг альтернативного урегулирования споров в связи со сделками, касающимися ИC, в том числе путем применения процедур ВОИС </w:t>
            </w:r>
          </w:p>
        </w:tc>
        <w:tc>
          <w:tcPr>
            <w:tcW w:w="854" w:type="pct"/>
            <w:shd w:val="clear" w:color="auto" w:fill="FFFFFF"/>
            <w:tcMar>
              <w:top w:w="57" w:type="dxa"/>
              <w:bottom w:w="57"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7 </w:t>
            </w:r>
          </w:p>
        </w:tc>
        <w:tc>
          <w:tcPr>
            <w:tcW w:w="475" w:type="pct"/>
            <w:shd w:val="clear" w:color="auto" w:fill="FFFFFF"/>
            <w:tcMar>
              <w:top w:w="57" w:type="dxa"/>
              <w:bottom w:w="57" w:type="dxa"/>
            </w:tcMar>
          </w:tcPr>
          <w:p w:rsidR="002D647F" w:rsidRDefault="002D647F" w:rsidP="002D647F">
            <w:pPr>
              <w:jc w:val="center"/>
              <w:rPr>
                <w:rFonts w:cs="Arial"/>
                <w:color w:val="008000"/>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p w:rsidR="002D647F" w:rsidRPr="00CC3F44" w:rsidRDefault="002D647F" w:rsidP="002D647F">
            <w:pPr>
              <w:jc w:val="center"/>
              <w:rPr>
                <w:rFonts w:cs="Arial"/>
                <w:color w:val="008000"/>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p>
        </w:tc>
      </w:tr>
      <w:tr w:rsidR="002D647F" w:rsidRPr="00811500" w:rsidTr="002D647F">
        <w:trPr>
          <w:cantSplit/>
          <w:trHeight w:val="244"/>
        </w:trPr>
        <w:tc>
          <w:tcPr>
            <w:tcW w:w="1424" w:type="pct"/>
            <w:vMerge/>
            <w:shd w:val="clear" w:color="auto" w:fill="auto"/>
            <w:tcMar>
              <w:top w:w="113" w:type="dxa"/>
              <w:bottom w:w="113" w:type="dxa"/>
            </w:tcMar>
          </w:tcPr>
          <w:p w:rsidR="002D647F" w:rsidRPr="00811500" w:rsidRDefault="002D647F" w:rsidP="002D647F">
            <w:pPr>
              <w:rPr>
                <w:rFonts w:cs="Arial"/>
                <w:sz w:val="16"/>
                <w:szCs w:val="16"/>
              </w:rPr>
            </w:pPr>
          </w:p>
        </w:tc>
        <w:tc>
          <w:tcPr>
            <w:tcW w:w="2247" w:type="pct"/>
            <w:vMerge/>
            <w:shd w:val="clear" w:color="auto" w:fill="auto"/>
            <w:tcMar>
              <w:top w:w="57" w:type="dxa"/>
              <w:bottom w:w="57" w:type="dxa"/>
            </w:tcMar>
          </w:tcPr>
          <w:p w:rsidR="002D647F" w:rsidRPr="00811500" w:rsidRDefault="002D647F" w:rsidP="002D647F">
            <w:pPr>
              <w:rPr>
                <w:rFonts w:cs="Arial"/>
                <w:sz w:val="16"/>
                <w:szCs w:val="16"/>
              </w:rPr>
            </w:pPr>
          </w:p>
        </w:tc>
        <w:tc>
          <w:tcPr>
            <w:tcW w:w="854" w:type="pct"/>
            <w:shd w:val="clear" w:color="auto" w:fill="FFFFFF"/>
            <w:tcMar>
              <w:top w:w="57" w:type="dxa"/>
              <w:bottom w:w="57"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Mar>
              <w:top w:w="57" w:type="dxa"/>
              <w:bottom w:w="57" w:type="dxa"/>
            </w:tcMar>
          </w:tcPr>
          <w:p w:rsidR="002D647F" w:rsidRPr="00CC3F44" w:rsidRDefault="002D647F" w:rsidP="002D647F">
            <w:pPr>
              <w:jc w:val="center"/>
              <w:rPr>
                <w:rFonts w:cs="Arial"/>
                <w:color w:val="008000"/>
                <w:sz w:val="22"/>
                <w:szCs w:val="22"/>
              </w:rPr>
            </w:pPr>
            <w:r w:rsidRPr="00CC3F44">
              <w:rPr>
                <w:rFonts w:cs="Arial"/>
                <w:color w:val="FF0000"/>
                <w:sz w:val="22"/>
                <w:szCs w:val="22"/>
              </w:rPr>
              <w:sym w:font="Wingdings" w:char="F06C"/>
            </w:r>
          </w:p>
        </w:tc>
      </w:tr>
      <w:tr w:rsidR="002D647F" w:rsidRPr="00811500" w:rsidTr="002D647F">
        <w:trPr>
          <w:cantSplit/>
          <w:trHeight w:val="564"/>
        </w:trPr>
        <w:tc>
          <w:tcPr>
            <w:tcW w:w="1424" w:type="pct"/>
            <w:vMerge/>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57" w:type="dxa"/>
              <w:bottom w:w="57" w:type="dxa"/>
            </w:tcMar>
          </w:tcPr>
          <w:p w:rsidR="002D647F" w:rsidRPr="003A588C" w:rsidRDefault="002D647F" w:rsidP="002D647F">
            <w:pPr>
              <w:rPr>
                <w:rFonts w:cs="Arial"/>
                <w:sz w:val="16"/>
                <w:szCs w:val="16"/>
                <w:lang w:val="ru-RU"/>
              </w:rPr>
            </w:pPr>
            <w:r w:rsidRPr="003A588C">
              <w:rPr>
                <w:rFonts w:cs="Arial"/>
                <w:sz w:val="16"/>
                <w:szCs w:val="16"/>
                <w:lang w:val="ru-RU"/>
              </w:rPr>
              <w:t>Политика по альтернативному урегулированию споров, вклад в разработку и применение которой внес Центр ВОИС</w:t>
            </w:r>
          </w:p>
        </w:tc>
        <w:tc>
          <w:tcPr>
            <w:tcW w:w="854" w:type="pct"/>
            <w:shd w:val="clear" w:color="auto" w:fill="FFFFFF"/>
            <w:tcMar>
              <w:top w:w="57" w:type="dxa"/>
              <w:bottom w:w="57"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7 </w:t>
            </w:r>
          </w:p>
        </w:tc>
        <w:tc>
          <w:tcPr>
            <w:tcW w:w="475" w:type="pct"/>
            <w:shd w:val="clear" w:color="auto" w:fill="FFFFFF"/>
          </w:tcPr>
          <w:p w:rsidR="002D647F" w:rsidRPr="00CC3F44" w:rsidRDefault="002D647F" w:rsidP="002D647F">
            <w:pPr>
              <w:jc w:val="center"/>
              <w:rPr>
                <w:rFonts w:cs="Arial"/>
                <w:color w:val="A6A6A6" w:themeColor="background1" w:themeShade="A6"/>
                <w:sz w:val="22"/>
                <w:szCs w:val="22"/>
              </w:rPr>
            </w:pPr>
            <w:r w:rsidRPr="00CC3F44">
              <w:rPr>
                <w:rFonts w:cs="Arial"/>
                <w:color w:val="008000"/>
                <w:sz w:val="22"/>
                <w:szCs w:val="22"/>
              </w:rPr>
              <w:sym w:font="Wingdings" w:char="F06C"/>
            </w:r>
          </w:p>
        </w:tc>
      </w:tr>
      <w:tr w:rsidR="002D647F" w:rsidRPr="00811500" w:rsidTr="002D647F">
        <w:trPr>
          <w:cantSplit/>
          <w:trHeight w:val="379"/>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пользователей из стран с переходной экономикой и развитых стран, воспользовавшихся услугами ЦАП</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10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289"/>
        </w:trPr>
        <w:tc>
          <w:tcPr>
            <w:tcW w:w="1424"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II.9. Эффективная охрана интеллектуальной собственности в рДВУ и ксДВУ</w:t>
            </w: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споров об рДВУ, рассмотренных на основе ЕПУС</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7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226"/>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споров о ксДВУ, рассмотренных на основе ЕПУС</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7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566"/>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Политика по урегулированию споров в области доменных имен, вклад в разработку и применение которой внес Центр ВОИС</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7 </w:t>
            </w:r>
          </w:p>
        </w:tc>
        <w:tc>
          <w:tcPr>
            <w:tcW w:w="475" w:type="pct"/>
            <w:shd w:val="clear" w:color="auto" w:fill="FFFFFF"/>
          </w:tcPr>
          <w:p w:rsidR="002D647F" w:rsidRPr="00CC3F44" w:rsidRDefault="002D647F" w:rsidP="002D647F">
            <w:pPr>
              <w:jc w:val="center"/>
            </w:pPr>
            <w:r w:rsidRPr="00CC3F44">
              <w:rPr>
                <w:rFonts w:cs="Arial"/>
                <w:color w:val="008000"/>
                <w:sz w:val="22"/>
                <w:szCs w:val="22"/>
              </w:rPr>
              <w:sym w:font="Wingdings" w:char="F06C"/>
            </w:r>
          </w:p>
        </w:tc>
      </w:tr>
      <w:tr w:rsidR="002D647F" w:rsidRPr="00811500" w:rsidTr="002D647F">
        <w:trPr>
          <w:cantSplit/>
          <w:trHeight w:val="500"/>
        </w:trPr>
        <w:tc>
          <w:tcPr>
            <w:tcW w:w="1424" w:type="pct"/>
            <w:shd w:val="clear" w:color="auto" w:fill="auto"/>
            <w:tcMar>
              <w:top w:w="113" w:type="dxa"/>
              <w:bottom w:w="113" w:type="dxa"/>
            </w:tcMar>
          </w:tcPr>
          <w:p w:rsidR="002D647F" w:rsidRPr="00811500" w:rsidRDefault="002D647F" w:rsidP="002D647F">
            <w:pPr>
              <w:rPr>
                <w:rFonts w:cs="Arial"/>
                <w:sz w:val="16"/>
                <w:szCs w:val="16"/>
              </w:rPr>
            </w:pPr>
          </w:p>
        </w:tc>
        <w:tc>
          <w:tcPr>
            <w:tcW w:w="2247" w:type="pct"/>
            <w:shd w:val="clear" w:color="auto" w:fill="auto"/>
            <w:tcMar>
              <w:top w:w="113" w:type="dxa"/>
              <w:bottom w:w="113" w:type="dxa"/>
            </w:tcMar>
          </w:tcPr>
          <w:p w:rsidR="002D647F" w:rsidRPr="003A588C" w:rsidRDefault="002D647F" w:rsidP="002D647F">
            <w:pPr>
              <w:rPr>
                <w:rFonts w:cs="Arial"/>
                <w:sz w:val="16"/>
                <w:szCs w:val="16"/>
                <w:lang w:val="ru-RU"/>
              </w:rPr>
            </w:pPr>
            <w:r w:rsidRPr="003A588C">
              <w:rPr>
                <w:rFonts w:cs="Arial"/>
                <w:sz w:val="16"/>
                <w:szCs w:val="16"/>
                <w:lang w:val="ru-RU"/>
              </w:rPr>
              <w:t>Число администраторов ксДВУ, которым ВОИС оказала помощь в разработке или администрации механизмов охраны интеллектуальной собственности в соответствии с международными стандартами</w:t>
            </w:r>
          </w:p>
        </w:tc>
        <w:tc>
          <w:tcPr>
            <w:tcW w:w="854" w:type="pct"/>
            <w:shd w:val="clear" w:color="auto" w:fill="FFFFFF"/>
            <w:tcMar>
              <w:top w:w="113" w:type="dxa"/>
              <w:bottom w:w="113" w:type="dxa"/>
            </w:tcMar>
          </w:tcPr>
          <w:p w:rsidR="002D647F" w:rsidRPr="003A588C" w:rsidRDefault="002D647F" w:rsidP="002D647F">
            <w:pPr>
              <w:ind w:left="441" w:hanging="413"/>
              <w:jc w:val="center"/>
              <w:rPr>
                <w:rFonts w:cs="Arial"/>
                <w:sz w:val="16"/>
                <w:szCs w:val="16"/>
                <w:lang w:val="ru-RU" w:bidi="th-TH"/>
              </w:rPr>
            </w:pPr>
            <w:r w:rsidRPr="003A588C">
              <w:rPr>
                <w:rFonts w:cs="Arial"/>
                <w:sz w:val="16"/>
                <w:szCs w:val="16"/>
                <w:lang w:val="ru-RU" w:bidi="th-TH"/>
              </w:rPr>
              <w:t xml:space="preserve">Программа 7 </w:t>
            </w:r>
          </w:p>
        </w:tc>
        <w:tc>
          <w:tcPr>
            <w:tcW w:w="475" w:type="pct"/>
            <w:shd w:val="clear" w:color="auto" w:fill="FFFFFF"/>
          </w:tcPr>
          <w:p w:rsidR="002D647F" w:rsidRPr="00CC3F44" w:rsidRDefault="002D647F" w:rsidP="002D647F">
            <w:pPr>
              <w:jc w:val="center"/>
              <w:rPr>
                <w:color w:val="E26B0A"/>
              </w:rPr>
            </w:pPr>
            <w:r w:rsidRPr="00CC3F44">
              <w:rPr>
                <w:rFonts w:cs="Arial"/>
                <w:color w:val="E26B0A"/>
                <w:sz w:val="22"/>
                <w:szCs w:val="22"/>
              </w:rPr>
              <w:sym w:font="Wingdings" w:char="F06C"/>
            </w:r>
          </w:p>
        </w:tc>
      </w:tr>
    </w:tbl>
    <w:p w:rsidR="002D647F" w:rsidRDefault="002D647F" w:rsidP="002D647F"/>
    <w:p w:rsidR="000C2991" w:rsidRDefault="000C2991">
      <w:r>
        <w:br w:type="page"/>
      </w:r>
    </w:p>
    <w:p w:rsidR="00F053BA" w:rsidRPr="00F053BA" w:rsidRDefault="00F053BA" w:rsidP="00F053BA">
      <w:pPr>
        <w:pStyle w:val="Heading2"/>
        <w:tabs>
          <w:tab w:val="clear" w:pos="567"/>
          <w:tab w:val="clear" w:pos="9072"/>
        </w:tabs>
        <w:spacing w:before="240" w:after="60"/>
        <w:ind w:left="1985" w:hanging="1985"/>
        <w:rPr>
          <w:rFonts w:eastAsia="SimSun"/>
          <w:bCs w:val="0"/>
          <w:caps/>
          <w:szCs w:val="22"/>
          <w:lang w:val="ru-RU"/>
        </w:rPr>
      </w:pPr>
      <w:bookmarkStart w:id="62" w:name="_Toc422210482"/>
      <w:bookmarkStart w:id="63" w:name="_Toc455388106"/>
      <w:r w:rsidRPr="00F053BA">
        <w:rPr>
          <w:lang w:val="ru-RU"/>
        </w:rPr>
        <w:t>ПРОГРАММА 5</w:t>
      </w:r>
      <w:r w:rsidRPr="00F053BA">
        <w:rPr>
          <w:lang w:val="ru-RU"/>
        </w:rPr>
        <w:tab/>
        <w:t>СИСТЕМА РСТ</w:t>
      </w:r>
      <w:bookmarkEnd w:id="62"/>
      <w:bookmarkEnd w:id="63"/>
    </w:p>
    <w:p w:rsidR="00F053BA" w:rsidRPr="00F053BA" w:rsidRDefault="00F053BA" w:rsidP="00F053BA">
      <w:pPr>
        <w:rPr>
          <w:szCs w:val="20"/>
          <w:lang w:val="ru-RU"/>
        </w:rPr>
      </w:pPr>
    </w:p>
    <w:p w:rsidR="00F053BA" w:rsidRPr="00F053BA" w:rsidRDefault="00F053BA" w:rsidP="00F053BA">
      <w:pPr>
        <w:tabs>
          <w:tab w:val="left" w:pos="1985"/>
        </w:tabs>
        <w:rPr>
          <w:b/>
          <w:szCs w:val="22"/>
          <w:lang w:val="ru-RU"/>
        </w:rPr>
      </w:pPr>
      <w:r w:rsidRPr="00F053BA">
        <w:rPr>
          <w:b/>
          <w:lang w:val="ru-RU"/>
        </w:rPr>
        <w:t xml:space="preserve">Руководитель программы: </w:t>
      </w:r>
      <w:r w:rsidRPr="00F053BA">
        <w:rPr>
          <w:lang w:val="ru-RU"/>
        </w:rPr>
        <w:tab/>
      </w:r>
      <w:r w:rsidRPr="00F053BA">
        <w:rPr>
          <w:b/>
          <w:lang w:val="ru-RU"/>
        </w:rPr>
        <w:t>г-н Дж. Сэндедж</w:t>
      </w:r>
    </w:p>
    <w:p w:rsidR="00F053BA" w:rsidRPr="00F053BA" w:rsidRDefault="00F053BA" w:rsidP="00F053BA">
      <w:pPr>
        <w:rPr>
          <w:sz w:val="18"/>
          <w:szCs w:val="20"/>
          <w:lang w:val="ru-RU"/>
        </w:rPr>
      </w:pPr>
    </w:p>
    <w:p w:rsidR="00F053BA" w:rsidRPr="00F053BA" w:rsidRDefault="00F053BA" w:rsidP="00F053BA">
      <w:pPr>
        <w:rPr>
          <w:lang w:val="ru-RU"/>
        </w:rPr>
      </w:pPr>
    </w:p>
    <w:p w:rsidR="00F053BA" w:rsidRPr="00F053BA" w:rsidRDefault="00F053BA" w:rsidP="00F053BA">
      <w:pPr>
        <w:rPr>
          <w:bCs/>
          <w:szCs w:val="22"/>
          <w:lang w:val="ru-RU"/>
        </w:rPr>
      </w:pPr>
      <w:r w:rsidRPr="00F053BA">
        <w:rPr>
          <w:lang w:val="ru-RU"/>
        </w:rPr>
        <w:t>ОБЗОР ДОСТИЖЕНИЙ ЗА ДВУХЛЕТНИЙ ПЕРИОД 2014–2015 ГГ.</w:t>
      </w:r>
    </w:p>
    <w:p w:rsidR="00F053BA" w:rsidRPr="00F053BA" w:rsidRDefault="00F053BA" w:rsidP="00F053BA">
      <w:pPr>
        <w:rPr>
          <w:bCs/>
          <w:sz w:val="22"/>
          <w:szCs w:val="22"/>
          <w:lang w:val="ru-RU"/>
        </w:rPr>
      </w:pPr>
    </w:p>
    <w:p w:rsidR="00F053BA" w:rsidRPr="00F053BA" w:rsidRDefault="00F053BA" w:rsidP="00F053BA">
      <w:pPr>
        <w:pStyle w:val="ListParagraph"/>
        <w:numPr>
          <w:ilvl w:val="0"/>
          <w:numId w:val="24"/>
        </w:numPr>
        <w:tabs>
          <w:tab w:val="left" w:pos="0"/>
          <w:tab w:val="left" w:pos="567"/>
        </w:tabs>
        <w:ind w:left="0" w:firstLine="0"/>
        <w:jc w:val="both"/>
        <w:rPr>
          <w:rFonts w:cs="Arial"/>
          <w:lang w:val="ru-RU"/>
        </w:rPr>
      </w:pPr>
      <w:r w:rsidRPr="00F053BA">
        <w:rPr>
          <w:lang w:val="ru-RU"/>
        </w:rPr>
        <w:t>В 2015</w:t>
      </w:r>
      <w:r>
        <w:t> </w:t>
      </w:r>
      <w:r w:rsidRPr="00F053BA">
        <w:rPr>
          <w:lang w:val="ru-RU"/>
        </w:rPr>
        <w:t>г. Международное бюро (МБ) получило примерно 217</w:t>
      </w:r>
      <w:r>
        <w:t> </w:t>
      </w:r>
      <w:r w:rsidRPr="00F053BA">
        <w:rPr>
          <w:lang w:val="ru-RU"/>
        </w:rPr>
        <w:t>000 регистрационных экземпляров, что на 0,3% меньше, чем в 2014</w:t>
      </w:r>
      <w:r>
        <w:t> </w:t>
      </w:r>
      <w:r w:rsidRPr="00F053BA">
        <w:rPr>
          <w:lang w:val="ru-RU"/>
        </w:rPr>
        <w:t>г.  Одна из основных причин такого снижения заключается в том, что в марте 2014</w:t>
      </w:r>
      <w:r>
        <w:t> </w:t>
      </w:r>
      <w:r w:rsidRPr="00F053BA">
        <w:rPr>
          <w:lang w:val="ru-RU"/>
        </w:rPr>
        <w:t>г. был отмечен резкий рост числа заявок из Соединенных Штатов Америки, обусловленный вступлением в силу Закона Лихи-Смита об американских изобретениях годом ранее.  В двухлетний период 2014–2015</w:t>
      </w:r>
      <w:r>
        <w:t> </w:t>
      </w:r>
      <w:r w:rsidRPr="00F053BA">
        <w:rPr>
          <w:lang w:val="ru-RU"/>
        </w:rPr>
        <w:t>гг. было получено приблизительно 435</w:t>
      </w:r>
      <w:r>
        <w:t> </w:t>
      </w:r>
      <w:r w:rsidRPr="00F053BA">
        <w:rPr>
          <w:lang w:val="ru-RU"/>
        </w:rPr>
        <w:t>000 регистрационных экземпляров, что на девять процентов больше, чем в двухлетний период 2012–2013</w:t>
      </w:r>
      <w:r>
        <w:t> </w:t>
      </w:r>
      <w:r w:rsidRPr="00F053BA">
        <w:rPr>
          <w:lang w:val="ru-RU"/>
        </w:rPr>
        <w:t>гг., когда было получено в общей сложности 399</w:t>
      </w:r>
      <w:r>
        <w:t> </w:t>
      </w:r>
      <w:r w:rsidRPr="00F053BA">
        <w:rPr>
          <w:lang w:val="ru-RU"/>
        </w:rPr>
        <w:t>000 экземпляров.  В 2015</w:t>
      </w:r>
      <w:r>
        <w:t> </w:t>
      </w:r>
      <w:r w:rsidRPr="00F053BA">
        <w:rPr>
          <w:lang w:val="ru-RU"/>
        </w:rPr>
        <w:t>г. доля заявок, полностью поданных в электронном формате, продолжила расти и достигла 94% от общего числа заявок.  Хотя большинство заявок на регистрацию патентов было подано на английском языке (в 2014–2015</w:t>
      </w:r>
      <w:r>
        <w:t> </w:t>
      </w:r>
      <w:r w:rsidRPr="00F053BA">
        <w:rPr>
          <w:lang w:val="ru-RU"/>
        </w:rPr>
        <w:t>гг. – 48,6%), за последнее десятилетие выросла доля заявок на азиатских языках.  Совокупная доля заявок РСТ, поданных на японском, китайском и корейском языках, выросла с 29,5</w:t>
      </w:r>
      <w:r>
        <w:t> </w:t>
      </w:r>
      <w:r w:rsidRPr="00F053BA">
        <w:rPr>
          <w:lang w:val="ru-RU"/>
        </w:rPr>
        <w:t xml:space="preserve">процента в 2009 г. до 37,6% в 2015 г. </w:t>
      </w:r>
    </w:p>
    <w:p w:rsidR="00F053BA" w:rsidRPr="00F053BA" w:rsidRDefault="00F053BA" w:rsidP="00F053BA">
      <w:pPr>
        <w:tabs>
          <w:tab w:val="left" w:pos="709"/>
        </w:tabs>
        <w:autoSpaceDE w:val="0"/>
        <w:autoSpaceDN w:val="0"/>
        <w:adjustRightInd w:val="0"/>
        <w:jc w:val="both"/>
        <w:rPr>
          <w:rFonts w:cs="Arial"/>
          <w:szCs w:val="20"/>
          <w:lang w:val="ru-RU"/>
        </w:rPr>
      </w:pPr>
    </w:p>
    <w:p w:rsidR="00F053BA" w:rsidRPr="00F053BA" w:rsidRDefault="00F053BA" w:rsidP="00F053BA">
      <w:pPr>
        <w:pStyle w:val="ListParagraph"/>
        <w:numPr>
          <w:ilvl w:val="0"/>
          <w:numId w:val="24"/>
        </w:numPr>
        <w:tabs>
          <w:tab w:val="left" w:pos="0"/>
          <w:tab w:val="left" w:pos="567"/>
        </w:tabs>
        <w:ind w:left="0" w:firstLine="0"/>
        <w:jc w:val="both"/>
        <w:rPr>
          <w:lang w:val="ru-RU"/>
        </w:rPr>
      </w:pPr>
      <w:r w:rsidRPr="00F053BA">
        <w:rPr>
          <w:lang w:val="ru-RU"/>
        </w:rPr>
        <w:t>В 2014–2015</w:t>
      </w:r>
      <w:r>
        <w:t> </w:t>
      </w:r>
      <w:r w:rsidRPr="00F053BA">
        <w:rPr>
          <w:lang w:val="ru-RU"/>
        </w:rPr>
        <w:t xml:space="preserve">г. значительно расширилось использование системы </w:t>
      </w:r>
      <w:r>
        <w:t>ePCT</w:t>
      </w:r>
      <w:r w:rsidRPr="00F053BA">
        <w:rPr>
          <w:lang w:val="ru-RU"/>
        </w:rPr>
        <w:t>, которая с апреля 2015</w:t>
      </w:r>
      <w:r>
        <w:t> </w:t>
      </w:r>
      <w:r w:rsidRPr="00F053BA">
        <w:rPr>
          <w:lang w:val="ru-RU"/>
        </w:rPr>
        <w:t>г. стала доступна на всех 10 языках публикации, что способствовало упрощению доступа к ней заявителей и ведомств по всему миру.  Если в 2013</w:t>
      </w:r>
      <w:r>
        <w:t> </w:t>
      </w:r>
      <w:r w:rsidRPr="00F053BA">
        <w:rPr>
          <w:lang w:val="ru-RU"/>
        </w:rPr>
        <w:t>г. функциональные возможности электронной подачи еРСТ были доступны только получающему ведомству МБ, то в период 2014–2015</w:t>
      </w:r>
      <w:r>
        <w:t> </w:t>
      </w:r>
      <w:r w:rsidRPr="00F053BA">
        <w:rPr>
          <w:lang w:val="ru-RU"/>
        </w:rPr>
        <w:t>гг. система была открыта для всех получающих ведомств, выразивших желание получать и обрабатывать международные заявки с использованием этой платформы.  К концу 2015</w:t>
      </w:r>
      <w:r>
        <w:t> </w:t>
      </w:r>
      <w:r w:rsidRPr="00F053BA">
        <w:rPr>
          <w:lang w:val="ru-RU"/>
        </w:rPr>
        <w:t>г. 29</w:t>
      </w:r>
      <w:r>
        <w:t> </w:t>
      </w:r>
      <w:r w:rsidRPr="00F053BA">
        <w:rPr>
          <w:lang w:val="ru-RU"/>
        </w:rPr>
        <w:t xml:space="preserve">получающих ведомств при содействии МБ начали получать заявки через систему </w:t>
      </w:r>
      <w:r>
        <w:t>ePCT</w:t>
      </w:r>
      <w:r w:rsidRPr="00F053BA">
        <w:rPr>
          <w:lang w:val="ru-RU"/>
        </w:rPr>
        <w:t xml:space="preserve">, в том числе ведомства развивающихся странах, таких как Алжир, Азербайджан, Бразилия, Чили, Колумбия, Индия, Малайзия, Мексика, Саудовская Аравия и ЮАР (ранее не предоставлявшие своим заявителям возможность онлайновой подачи международных заявок), что соответствовало рекомендациям ПДР кластера А о технической помощи и создании потенциала.   Другие страны находились на разных этапах использования системы в тестовом режиме, и 34 получающих ведомства и восемь международных органов допускали представление документов через систему </w:t>
      </w:r>
      <w:r>
        <w:t>ePCT</w:t>
      </w:r>
      <w:r w:rsidRPr="00F053BA">
        <w:rPr>
          <w:lang w:val="ru-RU"/>
        </w:rPr>
        <w:t xml:space="preserve"> после подачи заявки.  Более того, в 2014</w:t>
      </w:r>
      <w:r>
        <w:t> </w:t>
      </w:r>
      <w:r w:rsidRPr="00F053BA">
        <w:rPr>
          <w:lang w:val="ru-RU"/>
        </w:rPr>
        <w:t xml:space="preserve">г. начал работу в тестовом режиме новый сервис </w:t>
      </w:r>
      <w:r>
        <w:t>eSearchCopy</w:t>
      </w:r>
      <w:r w:rsidRPr="00F053BA">
        <w:rPr>
          <w:lang w:val="ru-RU"/>
        </w:rPr>
        <w:t>, с помощью которого МБ готовит и передает копии для поиска международному поисковому органу (МПО) от имени получающего ведомства в целях повышения оперативности и эффективности международного поиска.  К концу 2015</w:t>
      </w:r>
      <w:r>
        <w:t> </w:t>
      </w:r>
      <w:r w:rsidRPr="00F053BA">
        <w:rPr>
          <w:lang w:val="ru-RU"/>
        </w:rPr>
        <w:t>г. этот сервис использовался 28 парами ведомств, включая шесть МПО и 15 получающих ведомств.</w:t>
      </w:r>
    </w:p>
    <w:p w:rsidR="00F053BA" w:rsidRPr="00F053BA" w:rsidRDefault="00F053BA" w:rsidP="00F053BA">
      <w:pPr>
        <w:tabs>
          <w:tab w:val="left" w:pos="709"/>
        </w:tabs>
        <w:autoSpaceDE w:val="0"/>
        <w:autoSpaceDN w:val="0"/>
        <w:adjustRightInd w:val="0"/>
        <w:jc w:val="both"/>
        <w:rPr>
          <w:rFonts w:cs="Arial"/>
          <w:szCs w:val="20"/>
          <w:lang w:val="ru-RU"/>
        </w:rPr>
      </w:pPr>
    </w:p>
    <w:p w:rsidR="00F053BA" w:rsidRPr="00F053BA" w:rsidRDefault="00F053BA" w:rsidP="00F053BA">
      <w:pPr>
        <w:pStyle w:val="ListParagraph"/>
        <w:numPr>
          <w:ilvl w:val="0"/>
          <w:numId w:val="24"/>
        </w:numPr>
        <w:tabs>
          <w:tab w:val="left" w:pos="0"/>
          <w:tab w:val="left" w:pos="567"/>
        </w:tabs>
        <w:ind w:left="0" w:firstLine="0"/>
        <w:jc w:val="both"/>
        <w:rPr>
          <w:lang w:val="ru-RU"/>
        </w:rPr>
      </w:pPr>
      <w:r w:rsidRPr="00F053BA">
        <w:rPr>
          <w:lang w:val="ru-RU"/>
        </w:rPr>
        <w:t>На своей седьмой и восьмой сессиях, проведенных в 2014</w:t>
      </w:r>
      <w:r>
        <w:t> </w:t>
      </w:r>
      <w:r w:rsidRPr="00F053BA">
        <w:rPr>
          <w:lang w:val="ru-RU"/>
        </w:rPr>
        <w:t>г. и 2015</w:t>
      </w:r>
      <w:r>
        <w:t> </w:t>
      </w:r>
      <w:r w:rsidRPr="00F053BA">
        <w:rPr>
          <w:lang w:val="ru-RU"/>
        </w:rPr>
        <w:t xml:space="preserve">г., Рабочая группа </w:t>
      </w:r>
      <w:r>
        <w:t>PCT</w:t>
      </w:r>
      <w:r w:rsidRPr="00F053BA">
        <w:rPr>
          <w:lang w:val="ru-RU"/>
        </w:rPr>
        <w:t xml:space="preserve"> продолжила обсуждение ряда предложений по совершенствованию механизма функционирования системы РСТ.  Обсуждения проходили в соответствии с рекомендациями, утвержденными Рабочей группой на ее третьей сессии, среди которых были рекомендации по поводу того, как можно увязать будущее развитие РСТ с выполнением соответствующих рекомендаций ПДР, в частности рекомендаций кластеров А и С.  В 2014</w:t>
      </w:r>
      <w:r>
        <w:t> </w:t>
      </w:r>
      <w:r w:rsidRPr="00F053BA">
        <w:rPr>
          <w:lang w:val="ru-RU"/>
        </w:rPr>
        <w:t>г. были достигнуты следующие заметные успехи: (</w:t>
      </w:r>
      <w:r>
        <w:t>i</w:t>
      </w:r>
      <w:r w:rsidRPr="00F053BA">
        <w:rPr>
          <w:lang w:val="ru-RU"/>
        </w:rPr>
        <w:t>) согласование новых критериев получения права на сокращение пошлин для заявителей из некоторых стран, что позволило расширить число развивающихся стран и НРС, на которые распространяется такой порядок сокращения пошлин; (</w:t>
      </w:r>
      <w:r>
        <w:t>ii</w:t>
      </w:r>
      <w:r w:rsidRPr="00F053BA">
        <w:rPr>
          <w:lang w:val="ru-RU"/>
        </w:rPr>
        <w:t>) пересмотр процедуры назначения новых международных поисковых органов и органов предварительной экспертизы в целях обеспечения наличия у потенциальных органов инфраструктуры и ресурсов, необходимых для выполнения таких функций.  В 2015</w:t>
      </w:r>
      <w:r>
        <w:t> </w:t>
      </w:r>
      <w:r w:rsidRPr="00F053BA">
        <w:rPr>
          <w:lang w:val="ru-RU"/>
        </w:rPr>
        <w:t>г. были достигнуты следующие заметные успехи:  (</w:t>
      </w:r>
      <w:r>
        <w:t>i</w:t>
      </w:r>
      <w:r w:rsidRPr="00F053BA">
        <w:rPr>
          <w:lang w:val="ru-RU"/>
        </w:rPr>
        <w:t>) достижение договоренности о передаче результатов поиска и классификации по более ранним заявкам международным поисковым органам в целях повышения эффективности и содействия повышению качества международного поиска; (</w:t>
      </w:r>
      <w:r>
        <w:t>ii</w:t>
      </w:r>
      <w:r w:rsidRPr="00F053BA">
        <w:rPr>
          <w:lang w:val="ru-RU"/>
        </w:rPr>
        <w:t xml:space="preserve">) достижение договоренности, согласно которой указанное ведомство должно своевременно направлять информацию в МБ по заявкам на национальной фазе, что позволит существенно повысить качество данных по рассматриваемым и выданным национальным патентам.  МБ также представило оценки того, насколько количество заявок </w:t>
      </w:r>
      <w:r>
        <w:t>PCT</w:t>
      </w:r>
      <w:r w:rsidRPr="00F053BA">
        <w:rPr>
          <w:lang w:val="ru-RU"/>
        </w:rPr>
        <w:t xml:space="preserve"> зависит от изменений международной пошлины за подачу, показав на моделях, какое влияние может оказать потенциальное снижение пошлины на число заявок, подаваемых университетами и государственными исследовательскими учреждениями как в развитых, так и в развивающихся странах. </w:t>
      </w:r>
    </w:p>
    <w:p w:rsidR="00F053BA" w:rsidRPr="00F053BA" w:rsidRDefault="00F053BA" w:rsidP="00F053BA">
      <w:pPr>
        <w:tabs>
          <w:tab w:val="left" w:pos="709"/>
        </w:tabs>
        <w:autoSpaceDE w:val="0"/>
        <w:autoSpaceDN w:val="0"/>
        <w:adjustRightInd w:val="0"/>
        <w:jc w:val="both"/>
        <w:rPr>
          <w:rFonts w:cs="Arial"/>
          <w:szCs w:val="20"/>
          <w:lang w:val="ru-RU"/>
        </w:rPr>
      </w:pPr>
    </w:p>
    <w:p w:rsidR="00F053BA" w:rsidRPr="00F053BA" w:rsidRDefault="00F053BA" w:rsidP="00F053BA">
      <w:pPr>
        <w:pStyle w:val="ListParagraph"/>
        <w:numPr>
          <w:ilvl w:val="0"/>
          <w:numId w:val="24"/>
        </w:numPr>
        <w:tabs>
          <w:tab w:val="left" w:pos="0"/>
          <w:tab w:val="left" w:pos="567"/>
        </w:tabs>
        <w:ind w:left="0" w:firstLine="0"/>
        <w:jc w:val="both"/>
        <w:rPr>
          <w:lang w:val="ru-RU"/>
        </w:rPr>
      </w:pPr>
      <w:r w:rsidRPr="00F053BA">
        <w:rPr>
          <w:lang w:val="ru-RU"/>
        </w:rPr>
        <w:t xml:space="preserve">Важной частью работы, проводимой в рамках программы, и важным направлением расходования ее ресурсов по-прежнему оставалось техническое сотрудничество и оказание помощи развивающимся странам и НРС.  Деятельность по обучению и укреплению потенциала осуществлялась с целью оказания государствам-членам </w:t>
      </w:r>
      <w:r>
        <w:t>PCT</w:t>
      </w:r>
      <w:r w:rsidRPr="00F053BA">
        <w:rPr>
          <w:lang w:val="ru-RU"/>
        </w:rPr>
        <w:t xml:space="preserve"> и государствам, рассматривающим возможность присоединения к </w:t>
      </w:r>
      <w:r>
        <w:t>PCT</w:t>
      </w:r>
      <w:r w:rsidRPr="00F053BA">
        <w:rPr>
          <w:lang w:val="ru-RU"/>
        </w:rPr>
        <w:t>, помощи в укреплении потенциала страны в области охраны национального творчества и инноваций в соответствии с рекомендацией</w:t>
      </w:r>
      <w:r>
        <w:t> </w:t>
      </w:r>
      <w:r w:rsidRPr="00F053BA">
        <w:rPr>
          <w:lang w:val="ru-RU"/>
        </w:rPr>
        <w:t xml:space="preserve">1 ПДР.  Мероприятия проводились по запросам стран, были ориентированы на цели развития и имели транспарентный характер.  Они планировались совместно с местными организаторами с учетом уровня осведомленности о </w:t>
      </w:r>
      <w:r>
        <w:t>PCT</w:t>
      </w:r>
      <w:r w:rsidRPr="00F053BA">
        <w:rPr>
          <w:lang w:val="ru-RU"/>
        </w:rPr>
        <w:t xml:space="preserve">, а также технических знаний участников и их навыков в использовании возможностей РСТ. Они также охватывали широкий спектр вопросов </w:t>
      </w:r>
      <w:r>
        <w:t>PCT</w:t>
      </w:r>
      <w:r w:rsidRPr="00F053BA">
        <w:rPr>
          <w:lang w:val="ru-RU"/>
        </w:rPr>
        <w:t xml:space="preserve">, включая </w:t>
      </w:r>
      <w:r>
        <w:t>ePCT</w:t>
      </w:r>
      <w:r w:rsidRPr="00F053BA">
        <w:rPr>
          <w:lang w:val="ru-RU"/>
        </w:rPr>
        <w:t xml:space="preserve"> и экспертизу после перехода на национальную фазу.  Такие мероприятия способствовали укреплению потенциала государств</w:t>
      </w:r>
      <w:r>
        <w:t> </w:t>
      </w:r>
      <w:r w:rsidRPr="00F053BA">
        <w:rPr>
          <w:lang w:val="ru-RU"/>
        </w:rPr>
        <w:t xml:space="preserve">– членов </w:t>
      </w:r>
      <w:r>
        <w:t>PCT</w:t>
      </w:r>
      <w:r w:rsidRPr="00F053BA">
        <w:rPr>
          <w:lang w:val="ru-RU"/>
        </w:rPr>
        <w:t xml:space="preserve"> и стран, рассматривающих вопрос о присоединении к системе, путем расширения знаний национальных кадров об использовании возможностей системы РСТ и их навыков в этой области.</w:t>
      </w:r>
    </w:p>
    <w:p w:rsidR="00F053BA" w:rsidRPr="00F053BA" w:rsidRDefault="00F053BA" w:rsidP="00F053BA">
      <w:pPr>
        <w:tabs>
          <w:tab w:val="left" w:pos="709"/>
        </w:tabs>
        <w:autoSpaceDE w:val="0"/>
        <w:autoSpaceDN w:val="0"/>
        <w:adjustRightInd w:val="0"/>
        <w:jc w:val="both"/>
        <w:rPr>
          <w:rFonts w:cs="Arial"/>
          <w:szCs w:val="20"/>
          <w:lang w:val="ru-RU"/>
        </w:rPr>
      </w:pPr>
    </w:p>
    <w:p w:rsidR="00F053BA" w:rsidRPr="00F053BA" w:rsidRDefault="00F053BA" w:rsidP="00F053BA">
      <w:pPr>
        <w:pStyle w:val="ListParagraph"/>
        <w:numPr>
          <w:ilvl w:val="0"/>
          <w:numId w:val="24"/>
        </w:numPr>
        <w:tabs>
          <w:tab w:val="left" w:pos="0"/>
          <w:tab w:val="left" w:pos="567"/>
        </w:tabs>
        <w:ind w:left="0" w:firstLine="0"/>
        <w:jc w:val="both"/>
        <w:rPr>
          <w:rFonts w:cs="Arial"/>
          <w:color w:val="000000"/>
          <w:lang w:val="ru-RU"/>
        </w:rPr>
      </w:pPr>
      <w:r w:rsidRPr="00F053BA">
        <w:rPr>
          <w:lang w:val="ru-RU"/>
        </w:rPr>
        <w:t xml:space="preserve">Работа по повышению информированности пользователей и потенциальных пользователей о возможностях </w:t>
      </w:r>
      <w:r>
        <w:t>PCT</w:t>
      </w:r>
      <w:r w:rsidRPr="00F053BA">
        <w:rPr>
          <w:lang w:val="ru-RU"/>
        </w:rPr>
        <w:t xml:space="preserve"> в 2014–2015</w:t>
      </w:r>
      <w:r>
        <w:t> </w:t>
      </w:r>
      <w:r w:rsidRPr="00F053BA">
        <w:rPr>
          <w:lang w:val="ru-RU"/>
        </w:rPr>
        <w:t>гг. была расширена благодаря проведению целого спектра учебных и информационных мероприятий, включая 111</w:t>
      </w:r>
      <w:r>
        <w:t> </w:t>
      </w:r>
      <w:r w:rsidRPr="00F053BA">
        <w:rPr>
          <w:lang w:val="ru-RU"/>
        </w:rPr>
        <w:t>семинаров, 101</w:t>
      </w:r>
      <w:r>
        <w:t> </w:t>
      </w:r>
      <w:r w:rsidRPr="00F053BA">
        <w:rPr>
          <w:lang w:val="ru-RU"/>
        </w:rPr>
        <w:t>презентацию, 25</w:t>
      </w:r>
      <w:r>
        <w:t> </w:t>
      </w:r>
      <w:r w:rsidRPr="00F053BA">
        <w:rPr>
          <w:lang w:val="ru-RU"/>
        </w:rPr>
        <w:t>вебинаров и 67</w:t>
      </w:r>
      <w:r>
        <w:t> </w:t>
      </w:r>
      <w:r w:rsidRPr="00F053BA">
        <w:rPr>
          <w:lang w:val="ru-RU"/>
        </w:rPr>
        <w:t xml:space="preserve">посещений пользователей.  Кроме того, Информационная служба </w:t>
      </w:r>
      <w:r>
        <w:t>PCT</w:t>
      </w:r>
      <w:r w:rsidRPr="00F053BA">
        <w:rPr>
          <w:lang w:val="ru-RU"/>
        </w:rPr>
        <w:t xml:space="preserve"> направила ответы на 23</w:t>
      </w:r>
      <w:r>
        <w:t> </w:t>
      </w:r>
      <w:r w:rsidRPr="00F053BA">
        <w:rPr>
          <w:lang w:val="ru-RU"/>
        </w:rPr>
        <w:t>618</w:t>
      </w:r>
      <w:r>
        <w:t> </w:t>
      </w:r>
      <w:r w:rsidRPr="00F053BA">
        <w:rPr>
          <w:lang w:val="ru-RU"/>
        </w:rPr>
        <w:t xml:space="preserve">вопросов пользователей и потенциальных пользователей системы </w:t>
      </w:r>
      <w:r>
        <w:t>PCT</w:t>
      </w:r>
      <w:r w:rsidRPr="00F053BA">
        <w:rPr>
          <w:lang w:val="ru-RU"/>
        </w:rPr>
        <w:t xml:space="preserve"> по тематике </w:t>
      </w:r>
      <w:r>
        <w:t>PCT</w:t>
      </w:r>
      <w:r w:rsidRPr="00F053BA">
        <w:rPr>
          <w:lang w:val="ru-RU"/>
        </w:rPr>
        <w:t xml:space="preserve"> (что соответствовало в среднем 49</w:t>
      </w:r>
      <w:r>
        <w:t> </w:t>
      </w:r>
      <w:r w:rsidRPr="00F053BA">
        <w:rPr>
          <w:lang w:val="ru-RU"/>
        </w:rPr>
        <w:t>вопросам в день), а Правовой отдел РСТ в течение года урегулировал 2</w:t>
      </w:r>
      <w:r>
        <w:t> </w:t>
      </w:r>
      <w:r w:rsidRPr="00F053BA">
        <w:rPr>
          <w:lang w:val="ru-RU"/>
        </w:rPr>
        <w:t xml:space="preserve">408 споров, потребовавших «особого порядка рассмотрения». </w:t>
      </w:r>
    </w:p>
    <w:p w:rsidR="00F053BA" w:rsidRPr="00F053BA" w:rsidRDefault="00F053BA" w:rsidP="00F053BA">
      <w:pPr>
        <w:pStyle w:val="ListParagraph"/>
        <w:rPr>
          <w:rFonts w:cs="Arial"/>
          <w:lang w:val="ru-RU"/>
        </w:rPr>
      </w:pPr>
    </w:p>
    <w:p w:rsidR="00F053BA" w:rsidRPr="00F053BA" w:rsidRDefault="00F053BA" w:rsidP="00F053BA">
      <w:pPr>
        <w:pStyle w:val="ListParagraph"/>
        <w:numPr>
          <w:ilvl w:val="0"/>
          <w:numId w:val="24"/>
        </w:numPr>
        <w:tabs>
          <w:tab w:val="left" w:pos="0"/>
          <w:tab w:val="left" w:pos="567"/>
        </w:tabs>
        <w:ind w:left="0" w:firstLine="0"/>
        <w:jc w:val="both"/>
        <w:rPr>
          <w:rFonts w:cs="Arial"/>
          <w:lang w:val="ru-RU"/>
        </w:rPr>
      </w:pPr>
      <w:r w:rsidRPr="00F053BA">
        <w:rPr>
          <w:lang w:val="ru-RU"/>
        </w:rPr>
        <w:t xml:space="preserve">МБ продолжало совершенствовать и повышать уровень автоматизации определенных процессов, связанных с экспертизой международных заявок, подаваемых по процедуре </w:t>
      </w:r>
      <w:r>
        <w:t>PCT</w:t>
      </w:r>
      <w:r w:rsidRPr="00F053BA">
        <w:rPr>
          <w:lang w:val="ru-RU"/>
        </w:rPr>
        <w:t xml:space="preserve">, по формальным признакам.  Помимо заявок, подаваемых в электронной форме в форматах </w:t>
      </w:r>
      <w:r>
        <w:t>XML</w:t>
      </w:r>
      <w:r w:rsidRPr="00F053BA">
        <w:rPr>
          <w:lang w:val="ru-RU"/>
        </w:rPr>
        <w:t xml:space="preserve"> и </w:t>
      </w:r>
      <w:r>
        <w:t>PDF</w:t>
      </w:r>
      <w:r w:rsidRPr="00F053BA">
        <w:rPr>
          <w:lang w:val="ru-RU"/>
        </w:rPr>
        <w:t xml:space="preserve">, МБ добилось значительных успехов в автоматизации обработки отчетов о международном поиске и письменных сообщений, направляемых в форматах </w:t>
      </w:r>
      <w:r>
        <w:t>XML</w:t>
      </w:r>
      <w:r w:rsidRPr="00F053BA">
        <w:rPr>
          <w:lang w:val="ru-RU"/>
        </w:rPr>
        <w:t xml:space="preserve"> и </w:t>
      </w:r>
      <w:r>
        <w:t>PDF</w:t>
      </w:r>
      <w:r w:rsidRPr="00F053BA">
        <w:rPr>
          <w:lang w:val="ru-RU"/>
        </w:rPr>
        <w:t xml:space="preserve"> из Китая, Японии, Республики Корея и Европейского патентного ведомства.  Это позволило добиться роста производительности и качества формальной экспертизы международных заявок, поданных по процедуре </w:t>
      </w:r>
      <w:r>
        <w:t>PCT</w:t>
      </w:r>
      <w:r w:rsidRPr="00F053BA">
        <w:rPr>
          <w:lang w:val="ru-RU"/>
        </w:rPr>
        <w:t xml:space="preserve"> в этот двухлетний период. Поэтому МБ смогло справиться с продолжавшимся ростом рабочей нагрузки, несмотря на меньшее число сотрудников, сохранив высокое качество услуг.  Производительность, выражающаяся отношением числа публикаций </w:t>
      </w:r>
      <w:r>
        <w:t>PCT</w:t>
      </w:r>
      <w:r w:rsidRPr="00F053BA">
        <w:rPr>
          <w:lang w:val="ru-RU"/>
        </w:rPr>
        <w:t xml:space="preserve"> к численности сотрудников, существенно выросла в двухлетний период 2014–2015 гг.: на 22% относительно уровня 2012–2013</w:t>
      </w:r>
      <w:r>
        <w:t> </w:t>
      </w:r>
      <w:r w:rsidRPr="00F053BA">
        <w:rPr>
          <w:lang w:val="ru-RU"/>
        </w:rPr>
        <w:t>гг.  Общий уровень качество, измеряемый агрегированным индексом, заметно повысился: на 5,8</w:t>
      </w:r>
      <w:r>
        <w:t> </w:t>
      </w:r>
      <w:r w:rsidRPr="00F053BA">
        <w:rPr>
          <w:lang w:val="ru-RU"/>
        </w:rPr>
        <w:t>процента в двухлетний период 2014–2015 гг. относительно уровня 2012–2013</w:t>
      </w:r>
      <w:r>
        <w:t> </w:t>
      </w:r>
      <w:r w:rsidRPr="00F053BA">
        <w:rPr>
          <w:lang w:val="ru-RU"/>
        </w:rPr>
        <w:t xml:space="preserve">гг. </w:t>
      </w:r>
    </w:p>
    <w:p w:rsidR="00F053BA" w:rsidRPr="00F053BA" w:rsidRDefault="00F053BA" w:rsidP="00F053BA">
      <w:pPr>
        <w:tabs>
          <w:tab w:val="left" w:pos="8145"/>
        </w:tabs>
        <w:rPr>
          <w:szCs w:val="20"/>
          <w:lang w:val="ru-RU"/>
        </w:rPr>
      </w:pPr>
      <w:r w:rsidRPr="00F053BA">
        <w:rPr>
          <w:lang w:val="ru-RU"/>
        </w:rPr>
        <w:tab/>
      </w:r>
    </w:p>
    <w:p w:rsidR="00F053BA" w:rsidRPr="00F053BA" w:rsidRDefault="00F053BA" w:rsidP="00F053BA">
      <w:pPr>
        <w:tabs>
          <w:tab w:val="left" w:pos="8145"/>
        </w:tabs>
        <w:rPr>
          <w:rFonts w:cs="Arial"/>
          <w:szCs w:val="20"/>
          <w:lang w:val="ru-RU"/>
        </w:rPr>
      </w:pPr>
    </w:p>
    <w:p w:rsidR="00F053BA" w:rsidRPr="00D14507" w:rsidRDefault="00F053BA" w:rsidP="00F053BA">
      <w:pPr>
        <w:rPr>
          <w:rFonts w:cs="Arial"/>
          <w:szCs w:val="22"/>
        </w:rPr>
      </w:pPr>
      <w:r>
        <w:t xml:space="preserve">ДАННЫЕ О РЕЗУЛЬТАТИВНОСТИ </w:t>
      </w:r>
    </w:p>
    <w:p w:rsidR="00F053BA" w:rsidRPr="00DB6380" w:rsidRDefault="00F053BA" w:rsidP="00F053BA">
      <w:pPr>
        <w:rPr>
          <w:b/>
          <w:sz w:val="22"/>
          <w:szCs w:val="22"/>
        </w:rPr>
      </w:pPr>
    </w:p>
    <w:tbl>
      <w:tblPr>
        <w:tblW w:w="5140"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741"/>
        <w:gridCol w:w="2489"/>
        <w:gridCol w:w="321"/>
        <w:gridCol w:w="1494"/>
        <w:gridCol w:w="352"/>
        <w:gridCol w:w="2387"/>
        <w:gridCol w:w="53"/>
        <w:gridCol w:w="1002"/>
      </w:tblGrid>
      <w:tr w:rsidR="00F053BA" w:rsidRPr="005C6ABD" w:rsidTr="00F053BA">
        <w:trPr>
          <w:trHeight w:val="336"/>
        </w:trPr>
        <w:tc>
          <w:tcPr>
            <w:tcW w:w="5000" w:type="pct"/>
            <w:gridSpan w:val="8"/>
            <w:tcBorders>
              <w:top w:val="single" w:sz="4" w:space="0" w:color="auto"/>
              <w:bottom w:val="single" w:sz="4" w:space="0" w:color="auto"/>
            </w:tcBorders>
            <w:shd w:val="clear" w:color="auto" w:fill="C6D9F1" w:themeFill="text2" w:themeFillTint="33"/>
            <w:vAlign w:val="center"/>
          </w:tcPr>
          <w:p w:rsidR="00F053BA" w:rsidRPr="00F053BA" w:rsidRDefault="00F053BA" w:rsidP="00F053BA">
            <w:pPr>
              <w:tabs>
                <w:tab w:val="left" w:pos="1452"/>
              </w:tabs>
              <w:ind w:left="1452" w:hanging="1452"/>
              <w:rPr>
                <w:rFonts w:cs="Arial"/>
                <w:b/>
                <w:bCs/>
                <w:sz w:val="16"/>
                <w:szCs w:val="16"/>
                <w:lang w:val="ru-RU"/>
              </w:rPr>
            </w:pPr>
            <w:r w:rsidRPr="0038078F">
              <w:rPr>
                <w:b/>
                <w:sz w:val="16"/>
                <w:szCs w:val="16"/>
              </w:rPr>
              <w:t>II</w:t>
            </w:r>
            <w:r w:rsidRPr="00F053BA">
              <w:rPr>
                <w:b/>
                <w:sz w:val="16"/>
                <w:szCs w:val="16"/>
                <w:lang w:val="ru-RU"/>
              </w:rPr>
              <w:t xml:space="preserve">.1 Ожидаемый результат: </w:t>
            </w:r>
            <w:r w:rsidRPr="00F053BA">
              <w:rPr>
                <w:sz w:val="16"/>
                <w:szCs w:val="16"/>
                <w:lang w:val="ru-RU"/>
              </w:rPr>
              <w:t xml:space="preserve">Более широкое использование возможностей </w:t>
            </w:r>
            <w:r w:rsidRPr="0038078F">
              <w:rPr>
                <w:sz w:val="16"/>
                <w:szCs w:val="16"/>
              </w:rPr>
              <w:t>PCT</w:t>
            </w:r>
            <w:r w:rsidRPr="00F053BA">
              <w:rPr>
                <w:sz w:val="16"/>
                <w:szCs w:val="16"/>
                <w:lang w:val="ru-RU"/>
              </w:rPr>
              <w:t xml:space="preserve"> для подачи международных </w:t>
            </w:r>
            <w:r w:rsidRPr="00F053BA">
              <w:rPr>
                <w:sz w:val="16"/>
                <w:szCs w:val="16"/>
                <w:lang w:val="ru-RU"/>
              </w:rPr>
              <w:tab/>
              <w:t xml:space="preserve"> </w:t>
            </w:r>
            <w:r w:rsidRPr="00F053BA">
              <w:rPr>
                <w:sz w:val="16"/>
                <w:szCs w:val="16"/>
                <w:lang w:val="ru-RU"/>
              </w:rPr>
              <w:tab/>
              <w:t xml:space="preserve"> патентных заявок</w:t>
            </w:r>
          </w:p>
        </w:tc>
      </w:tr>
      <w:tr w:rsidR="00F053BA" w:rsidRPr="0038078F" w:rsidTr="00F053BA">
        <w:tc>
          <w:tcPr>
            <w:tcW w:w="885" w:type="pct"/>
            <w:tcBorders>
              <w:top w:val="single" w:sz="4" w:space="0" w:color="auto"/>
            </w:tcBorders>
            <w:shd w:val="clear" w:color="auto" w:fill="auto"/>
            <w:vAlign w:val="center"/>
          </w:tcPr>
          <w:p w:rsidR="00F053BA" w:rsidRPr="0038078F" w:rsidRDefault="00F053BA" w:rsidP="00F053BA">
            <w:pPr>
              <w:rPr>
                <w:rFonts w:cs="Arial"/>
                <w:sz w:val="16"/>
                <w:szCs w:val="16"/>
              </w:rPr>
            </w:pPr>
            <w:r w:rsidRPr="0038078F">
              <w:rPr>
                <w:b/>
                <w:sz w:val="16"/>
                <w:szCs w:val="16"/>
              </w:rPr>
              <w:t>Показатели результативности</w:t>
            </w:r>
          </w:p>
        </w:tc>
        <w:tc>
          <w:tcPr>
            <w:tcW w:w="1428" w:type="pct"/>
            <w:gridSpan w:val="2"/>
            <w:tcBorders>
              <w:top w:val="single" w:sz="4" w:space="0" w:color="auto"/>
            </w:tcBorders>
            <w:shd w:val="clear" w:color="auto" w:fill="auto"/>
            <w:vAlign w:val="center"/>
          </w:tcPr>
          <w:p w:rsidR="00F053BA" w:rsidRPr="0038078F" w:rsidRDefault="00F053BA" w:rsidP="00F053BA">
            <w:pPr>
              <w:rPr>
                <w:rFonts w:cs="Arial"/>
                <w:b/>
                <w:bCs/>
                <w:sz w:val="16"/>
                <w:szCs w:val="16"/>
              </w:rPr>
            </w:pPr>
            <w:r w:rsidRPr="0038078F">
              <w:rPr>
                <w:b/>
                <w:sz w:val="16"/>
                <w:szCs w:val="16"/>
              </w:rPr>
              <w:t>Базовые показатели</w:t>
            </w:r>
          </w:p>
        </w:tc>
        <w:tc>
          <w:tcPr>
            <w:tcW w:w="938" w:type="pct"/>
            <w:gridSpan w:val="2"/>
            <w:tcBorders>
              <w:top w:val="single" w:sz="4" w:space="0" w:color="auto"/>
            </w:tcBorders>
            <w:shd w:val="clear" w:color="auto" w:fill="auto"/>
            <w:tcMar>
              <w:top w:w="110" w:type="dxa"/>
            </w:tcMar>
            <w:vAlign w:val="center"/>
          </w:tcPr>
          <w:p w:rsidR="00F053BA" w:rsidRPr="0038078F" w:rsidRDefault="00F053BA" w:rsidP="00F053BA">
            <w:pPr>
              <w:rPr>
                <w:rFonts w:cs="Arial"/>
                <w:b/>
                <w:sz w:val="16"/>
                <w:szCs w:val="16"/>
              </w:rPr>
            </w:pPr>
            <w:r w:rsidRPr="0038078F">
              <w:rPr>
                <w:b/>
                <w:sz w:val="16"/>
                <w:szCs w:val="16"/>
              </w:rPr>
              <w:t>Цели</w:t>
            </w:r>
          </w:p>
        </w:tc>
        <w:tc>
          <w:tcPr>
            <w:tcW w:w="1213" w:type="pct"/>
            <w:tcBorders>
              <w:top w:val="single" w:sz="4" w:space="0" w:color="auto"/>
            </w:tcBorders>
            <w:shd w:val="clear" w:color="auto" w:fill="FFFFFF"/>
            <w:tcMar>
              <w:top w:w="110" w:type="dxa"/>
            </w:tcMar>
            <w:vAlign w:val="center"/>
          </w:tcPr>
          <w:p w:rsidR="00F053BA" w:rsidRPr="0038078F" w:rsidRDefault="00F053BA" w:rsidP="00F053BA">
            <w:pPr>
              <w:rPr>
                <w:rFonts w:cs="Arial"/>
                <w:sz w:val="16"/>
                <w:szCs w:val="16"/>
              </w:rPr>
            </w:pPr>
            <w:r w:rsidRPr="0038078F">
              <w:rPr>
                <w:b/>
                <w:sz w:val="16"/>
                <w:szCs w:val="16"/>
              </w:rPr>
              <w:t>Данные о результативности</w:t>
            </w:r>
          </w:p>
        </w:tc>
        <w:tc>
          <w:tcPr>
            <w:tcW w:w="536" w:type="pct"/>
            <w:gridSpan w:val="2"/>
            <w:tcBorders>
              <w:top w:val="single" w:sz="4" w:space="0" w:color="auto"/>
            </w:tcBorders>
            <w:shd w:val="clear" w:color="auto" w:fill="auto"/>
            <w:tcMar>
              <w:top w:w="110" w:type="dxa"/>
            </w:tcMar>
            <w:vAlign w:val="center"/>
          </w:tcPr>
          <w:p w:rsidR="00F053BA" w:rsidRPr="0038078F" w:rsidRDefault="00F053BA" w:rsidP="00F053BA">
            <w:pPr>
              <w:jc w:val="center"/>
              <w:rPr>
                <w:rFonts w:cs="Arial"/>
                <w:b/>
                <w:bCs/>
                <w:sz w:val="16"/>
                <w:szCs w:val="16"/>
              </w:rPr>
            </w:pPr>
            <w:r w:rsidRPr="0038078F">
              <w:rPr>
                <w:b/>
                <w:sz w:val="16"/>
                <w:szCs w:val="16"/>
              </w:rPr>
              <w:t>CC</w:t>
            </w:r>
          </w:p>
        </w:tc>
      </w:tr>
      <w:tr w:rsidR="00F053BA" w:rsidRPr="0038078F" w:rsidTr="00F053BA">
        <w:tc>
          <w:tcPr>
            <w:tcW w:w="885" w:type="pct"/>
            <w:shd w:val="clear" w:color="auto" w:fill="auto"/>
          </w:tcPr>
          <w:p w:rsidR="00F053BA" w:rsidRPr="00F053BA" w:rsidRDefault="00F053BA" w:rsidP="00F053BA">
            <w:pPr>
              <w:rPr>
                <w:rFonts w:cs="Arial"/>
                <w:sz w:val="16"/>
                <w:szCs w:val="16"/>
                <w:lang w:val="ru-RU"/>
              </w:rPr>
            </w:pPr>
            <w:r w:rsidRPr="00F053BA">
              <w:rPr>
                <w:sz w:val="16"/>
                <w:szCs w:val="16"/>
                <w:lang w:val="ru-RU"/>
              </w:rPr>
              <w:t>Степень удовлетворенности пользователей РСТ качеством информации для пользователей и услуг по обучению</w:t>
            </w:r>
          </w:p>
        </w:tc>
        <w:tc>
          <w:tcPr>
            <w:tcW w:w="1428" w:type="pct"/>
            <w:gridSpan w:val="2"/>
            <w:shd w:val="clear" w:color="auto" w:fill="auto"/>
          </w:tcPr>
          <w:p w:rsidR="00F053BA" w:rsidRPr="00F053BA" w:rsidRDefault="00F053BA" w:rsidP="00F053BA">
            <w:pPr>
              <w:rPr>
                <w:rFonts w:cs="Arial"/>
                <w:sz w:val="16"/>
                <w:szCs w:val="16"/>
                <w:lang w:val="ru-RU"/>
              </w:rPr>
            </w:pPr>
            <w:r w:rsidRPr="00F053BA">
              <w:rPr>
                <w:sz w:val="16"/>
                <w:szCs w:val="16"/>
                <w:lang w:val="ru-RU"/>
              </w:rPr>
              <w:t>Степень удовлетворенности пользователей РСТ качеством информации для пользователей РСТ и услуг по обучению в 2009</w:t>
            </w:r>
            <w:r w:rsidRPr="0038078F">
              <w:rPr>
                <w:sz w:val="16"/>
                <w:szCs w:val="16"/>
              </w:rPr>
              <w:t> </w:t>
            </w:r>
            <w:r w:rsidRPr="00F053BA">
              <w:rPr>
                <w:sz w:val="16"/>
                <w:szCs w:val="16"/>
                <w:lang w:val="ru-RU"/>
              </w:rPr>
              <w:t>г.</w:t>
            </w:r>
          </w:p>
          <w:p w:rsidR="00F053BA" w:rsidRPr="00F053BA" w:rsidRDefault="00F053BA" w:rsidP="00F053BA">
            <w:pPr>
              <w:rPr>
                <w:rFonts w:cs="Arial"/>
                <w:sz w:val="16"/>
                <w:szCs w:val="16"/>
                <w:lang w:val="ru-RU"/>
              </w:rPr>
            </w:pPr>
          </w:p>
        </w:tc>
        <w:tc>
          <w:tcPr>
            <w:tcW w:w="938" w:type="pct"/>
            <w:gridSpan w:val="2"/>
            <w:shd w:val="clear" w:color="auto" w:fill="auto"/>
            <w:tcMar>
              <w:top w:w="110" w:type="dxa"/>
            </w:tcMar>
          </w:tcPr>
          <w:p w:rsidR="00F053BA" w:rsidRPr="00F053BA" w:rsidRDefault="00F053BA" w:rsidP="00F053BA">
            <w:pPr>
              <w:rPr>
                <w:rFonts w:cs="Arial"/>
                <w:sz w:val="16"/>
                <w:szCs w:val="16"/>
                <w:lang w:val="ru-RU"/>
              </w:rPr>
            </w:pPr>
            <w:r w:rsidRPr="00F053BA">
              <w:rPr>
                <w:sz w:val="16"/>
                <w:szCs w:val="16"/>
                <w:lang w:val="ru-RU"/>
              </w:rPr>
              <w:t>Поддержание удовлетворенности пользователей РСТ на уровне 2009</w:t>
            </w:r>
            <w:r w:rsidRPr="0038078F">
              <w:rPr>
                <w:sz w:val="16"/>
                <w:szCs w:val="16"/>
              </w:rPr>
              <w:t> </w:t>
            </w:r>
            <w:r w:rsidRPr="00F053BA">
              <w:rPr>
                <w:sz w:val="16"/>
                <w:szCs w:val="16"/>
                <w:lang w:val="ru-RU"/>
              </w:rPr>
              <w:t>г. или выше</w:t>
            </w:r>
          </w:p>
        </w:tc>
        <w:tc>
          <w:tcPr>
            <w:tcW w:w="1213" w:type="pct"/>
            <w:shd w:val="clear" w:color="auto" w:fill="FFFFFF"/>
            <w:tcMar>
              <w:top w:w="110" w:type="dxa"/>
            </w:tcMar>
          </w:tcPr>
          <w:p w:rsidR="00F053BA" w:rsidRPr="00F053BA" w:rsidRDefault="00F053BA" w:rsidP="00F053BA">
            <w:pPr>
              <w:rPr>
                <w:rFonts w:cs="Arial"/>
                <w:sz w:val="16"/>
                <w:szCs w:val="16"/>
                <w:lang w:val="ru-RU"/>
              </w:rPr>
            </w:pPr>
            <w:r w:rsidRPr="00F053BA">
              <w:rPr>
                <w:sz w:val="16"/>
                <w:szCs w:val="16"/>
                <w:lang w:val="ru-RU"/>
              </w:rPr>
              <w:t xml:space="preserve">Общий уровень удовлетворенности пользователей РСТ предоставляемыми ВОИС услугами </w:t>
            </w:r>
            <w:r w:rsidRPr="0038078F">
              <w:rPr>
                <w:sz w:val="16"/>
                <w:szCs w:val="16"/>
              </w:rPr>
              <w:t>PCT</w:t>
            </w:r>
            <w:r w:rsidRPr="00F053BA">
              <w:rPr>
                <w:sz w:val="16"/>
                <w:szCs w:val="16"/>
                <w:lang w:val="ru-RU"/>
              </w:rPr>
              <w:t xml:space="preserve"> вырос на 11% с 2009</w:t>
            </w:r>
            <w:r w:rsidRPr="0038078F">
              <w:rPr>
                <w:sz w:val="16"/>
                <w:szCs w:val="16"/>
              </w:rPr>
              <w:t> </w:t>
            </w:r>
            <w:r w:rsidRPr="00F053BA">
              <w:rPr>
                <w:sz w:val="16"/>
                <w:szCs w:val="16"/>
                <w:lang w:val="ru-RU"/>
              </w:rPr>
              <w:t>г., достигнув 89%.</w:t>
            </w:r>
          </w:p>
        </w:tc>
        <w:tc>
          <w:tcPr>
            <w:tcW w:w="536" w:type="pct"/>
            <w:gridSpan w:val="2"/>
            <w:shd w:val="clear" w:color="auto" w:fill="auto"/>
            <w:tcMar>
              <w:top w:w="110" w:type="dxa"/>
            </w:tcMar>
          </w:tcPr>
          <w:p w:rsidR="00F053BA" w:rsidRPr="0038078F" w:rsidRDefault="00F053BA" w:rsidP="00F053BA">
            <w:pPr>
              <w:keepNext/>
              <w:keepLines/>
              <w:jc w:val="center"/>
              <w:rPr>
                <w:rFonts w:cs="Arial"/>
                <w:bCs/>
                <w:color w:val="808080"/>
                <w:sz w:val="16"/>
                <w:szCs w:val="16"/>
              </w:rPr>
            </w:pPr>
            <w:r w:rsidRPr="0038078F">
              <w:rPr>
                <w:b/>
                <w:color w:val="00B050"/>
                <w:sz w:val="16"/>
                <w:szCs w:val="16"/>
              </w:rPr>
              <w:t>Выполнено</w:t>
            </w:r>
          </w:p>
        </w:tc>
      </w:tr>
      <w:tr w:rsidR="00F053BA" w:rsidRPr="0038078F" w:rsidTr="00F053BA">
        <w:tc>
          <w:tcPr>
            <w:tcW w:w="885" w:type="pct"/>
            <w:shd w:val="clear" w:color="auto" w:fill="auto"/>
          </w:tcPr>
          <w:p w:rsidR="00F053BA" w:rsidRPr="00F053BA" w:rsidRDefault="00F053BA" w:rsidP="00F053BA">
            <w:pPr>
              <w:rPr>
                <w:rFonts w:cs="Arial"/>
                <w:sz w:val="16"/>
                <w:szCs w:val="16"/>
                <w:lang w:val="ru-RU"/>
              </w:rPr>
            </w:pPr>
            <w:r w:rsidRPr="00F053BA">
              <w:rPr>
                <w:sz w:val="16"/>
                <w:szCs w:val="16"/>
                <w:lang w:val="ru-RU"/>
              </w:rPr>
              <w:t xml:space="preserve">Удовлетворенность ведомств и международных органов сотрудничеством в рамках </w:t>
            </w:r>
            <w:r w:rsidRPr="0038078F">
              <w:rPr>
                <w:sz w:val="16"/>
                <w:szCs w:val="16"/>
              </w:rPr>
              <w:t>PCT</w:t>
            </w:r>
          </w:p>
        </w:tc>
        <w:tc>
          <w:tcPr>
            <w:tcW w:w="1428" w:type="pct"/>
            <w:gridSpan w:val="2"/>
            <w:shd w:val="clear" w:color="auto" w:fill="auto"/>
          </w:tcPr>
          <w:p w:rsidR="00F053BA" w:rsidRPr="00F053BA" w:rsidRDefault="00F053BA" w:rsidP="00F053BA">
            <w:pPr>
              <w:rPr>
                <w:rFonts w:cs="Arial"/>
                <w:i/>
                <w:color w:val="002060"/>
                <w:sz w:val="16"/>
                <w:szCs w:val="16"/>
                <w:lang w:val="ru-RU"/>
              </w:rPr>
            </w:pPr>
            <w:r w:rsidRPr="00F053BA">
              <w:rPr>
                <w:i/>
                <w:color w:val="002060"/>
                <w:sz w:val="16"/>
                <w:szCs w:val="16"/>
                <w:lang w:val="ru-RU"/>
              </w:rPr>
              <w:t>Обновленные базовые показатели, конец 2013</w:t>
            </w:r>
            <w:r w:rsidRPr="0038078F">
              <w:rPr>
                <w:i/>
                <w:color w:val="002060"/>
                <w:sz w:val="16"/>
                <w:szCs w:val="16"/>
              </w:rPr>
              <w:t> </w:t>
            </w:r>
            <w:r w:rsidRPr="00F053BA">
              <w:rPr>
                <w:i/>
                <w:color w:val="002060"/>
                <w:sz w:val="16"/>
                <w:szCs w:val="16"/>
                <w:lang w:val="ru-RU"/>
              </w:rPr>
              <w:t xml:space="preserve">г.:  </w:t>
            </w:r>
            <w:r w:rsidRPr="00F053BA">
              <w:rPr>
                <w:color w:val="002060"/>
                <w:sz w:val="16"/>
                <w:szCs w:val="16"/>
                <w:lang w:val="ru-RU"/>
              </w:rPr>
              <w:t>56 (95 % от 59</w:t>
            </w:r>
            <w:r w:rsidRPr="0038078F">
              <w:rPr>
                <w:color w:val="002060"/>
                <w:sz w:val="16"/>
                <w:szCs w:val="16"/>
              </w:rPr>
              <w:t> </w:t>
            </w:r>
            <w:r w:rsidRPr="00F053BA">
              <w:rPr>
                <w:color w:val="002060"/>
                <w:sz w:val="16"/>
                <w:szCs w:val="16"/>
                <w:lang w:val="ru-RU"/>
              </w:rPr>
              <w:t xml:space="preserve">бенефициаров деятельности по сотрудничеству в рамках </w:t>
            </w:r>
            <w:r w:rsidRPr="0038078F">
              <w:rPr>
                <w:color w:val="002060"/>
                <w:sz w:val="16"/>
                <w:szCs w:val="16"/>
              </w:rPr>
              <w:t>PCT</w:t>
            </w:r>
            <w:r w:rsidRPr="00F053BA">
              <w:rPr>
                <w:color w:val="002060"/>
                <w:sz w:val="16"/>
                <w:szCs w:val="16"/>
                <w:lang w:val="ru-RU"/>
              </w:rPr>
              <w:t>; 85% от 66</w:t>
            </w:r>
            <w:r w:rsidRPr="0038078F">
              <w:rPr>
                <w:color w:val="002060"/>
                <w:sz w:val="16"/>
                <w:szCs w:val="16"/>
              </w:rPr>
              <w:t> </w:t>
            </w:r>
            <w:r w:rsidRPr="00F053BA">
              <w:rPr>
                <w:color w:val="002060"/>
                <w:sz w:val="16"/>
                <w:szCs w:val="16"/>
                <w:lang w:val="ru-RU"/>
              </w:rPr>
              <w:t>респондентов опроса) (опрос 2012</w:t>
            </w:r>
            <w:r w:rsidRPr="0038078F">
              <w:rPr>
                <w:color w:val="002060"/>
                <w:sz w:val="16"/>
                <w:szCs w:val="16"/>
              </w:rPr>
              <w:t> </w:t>
            </w:r>
            <w:r w:rsidRPr="00F053BA">
              <w:rPr>
                <w:color w:val="002060"/>
                <w:sz w:val="16"/>
                <w:szCs w:val="16"/>
                <w:lang w:val="ru-RU"/>
              </w:rPr>
              <w:t>г.)</w:t>
            </w:r>
          </w:p>
          <w:p w:rsidR="00F053BA" w:rsidRPr="00F053BA" w:rsidRDefault="00F053BA" w:rsidP="00F053BA">
            <w:pPr>
              <w:rPr>
                <w:rFonts w:cs="Arial"/>
                <w:i/>
                <w:sz w:val="16"/>
                <w:szCs w:val="16"/>
                <w:lang w:val="ru-RU"/>
              </w:rPr>
            </w:pPr>
          </w:p>
          <w:p w:rsidR="00F053BA" w:rsidRPr="00F053BA" w:rsidRDefault="00F053BA" w:rsidP="00F053BA">
            <w:pPr>
              <w:rPr>
                <w:rFonts w:cs="Arial"/>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59 респондентов выразили свое удовлетворение уровнем проведения мероприятий в 2011</w:t>
            </w:r>
            <w:r w:rsidRPr="0038078F">
              <w:rPr>
                <w:sz w:val="16"/>
                <w:szCs w:val="16"/>
              </w:rPr>
              <w:t> </w:t>
            </w:r>
            <w:r w:rsidRPr="00F053BA">
              <w:rPr>
                <w:sz w:val="16"/>
                <w:szCs w:val="16"/>
                <w:lang w:val="ru-RU"/>
              </w:rPr>
              <w:t>г. (95% из 62 участников мероприятий / 86% всех 69 респондентов)</w:t>
            </w:r>
          </w:p>
          <w:p w:rsidR="00F053BA" w:rsidRPr="00F053BA" w:rsidRDefault="00F053BA" w:rsidP="00F053BA">
            <w:pPr>
              <w:rPr>
                <w:rFonts w:cs="Arial"/>
                <w:sz w:val="16"/>
                <w:szCs w:val="16"/>
                <w:lang w:val="ru-RU"/>
              </w:rPr>
            </w:pPr>
          </w:p>
        </w:tc>
        <w:tc>
          <w:tcPr>
            <w:tcW w:w="938" w:type="pct"/>
            <w:gridSpan w:val="2"/>
            <w:shd w:val="clear" w:color="auto" w:fill="auto"/>
            <w:tcMar>
              <w:top w:w="110" w:type="dxa"/>
            </w:tcMar>
          </w:tcPr>
          <w:p w:rsidR="00F053BA" w:rsidRPr="00F053BA" w:rsidRDefault="00F053BA" w:rsidP="00F053BA">
            <w:pPr>
              <w:rPr>
                <w:rFonts w:cs="Arial"/>
                <w:sz w:val="16"/>
                <w:szCs w:val="16"/>
                <w:lang w:val="ru-RU"/>
              </w:rPr>
            </w:pPr>
            <w:r w:rsidRPr="00F053BA">
              <w:rPr>
                <w:sz w:val="16"/>
                <w:szCs w:val="16"/>
                <w:lang w:val="ru-RU"/>
              </w:rPr>
              <w:t>Поддержание удовлетворенности ведомств и международных органов на уровне 2011</w:t>
            </w:r>
            <w:r w:rsidRPr="0038078F">
              <w:rPr>
                <w:sz w:val="16"/>
                <w:szCs w:val="16"/>
              </w:rPr>
              <w:t> </w:t>
            </w:r>
            <w:r w:rsidRPr="00F053BA">
              <w:rPr>
                <w:sz w:val="16"/>
                <w:szCs w:val="16"/>
                <w:lang w:val="ru-RU"/>
              </w:rPr>
              <w:t>г.</w:t>
            </w:r>
          </w:p>
        </w:tc>
        <w:tc>
          <w:tcPr>
            <w:tcW w:w="1213" w:type="pct"/>
            <w:shd w:val="clear" w:color="auto" w:fill="FFFFFF"/>
            <w:tcMar>
              <w:top w:w="110" w:type="dxa"/>
            </w:tcMar>
          </w:tcPr>
          <w:p w:rsidR="00F053BA" w:rsidRPr="00F053BA" w:rsidRDefault="00F053BA" w:rsidP="00F053BA">
            <w:pPr>
              <w:rPr>
                <w:rFonts w:cs="Arial"/>
                <w:sz w:val="16"/>
                <w:szCs w:val="16"/>
                <w:highlight w:val="yellow"/>
                <w:lang w:val="ru-RU"/>
              </w:rPr>
            </w:pPr>
            <w:r w:rsidRPr="00F053BA">
              <w:rPr>
                <w:sz w:val="16"/>
                <w:szCs w:val="16"/>
                <w:lang w:val="ru-RU"/>
              </w:rPr>
              <w:t>58 (96 % от 60</w:t>
            </w:r>
            <w:r w:rsidRPr="0038078F">
              <w:rPr>
                <w:sz w:val="16"/>
                <w:szCs w:val="16"/>
              </w:rPr>
              <w:t> </w:t>
            </w:r>
            <w:r w:rsidRPr="00F053BA">
              <w:rPr>
                <w:sz w:val="16"/>
                <w:szCs w:val="16"/>
                <w:lang w:val="ru-RU"/>
              </w:rPr>
              <w:t xml:space="preserve">бенефициаров деятельности по сотрудничеству в рамках </w:t>
            </w:r>
            <w:r w:rsidRPr="0038078F">
              <w:rPr>
                <w:sz w:val="16"/>
                <w:szCs w:val="16"/>
              </w:rPr>
              <w:t>PCT</w:t>
            </w:r>
            <w:r w:rsidRPr="00F053BA">
              <w:rPr>
                <w:sz w:val="16"/>
                <w:szCs w:val="16"/>
                <w:lang w:val="ru-RU"/>
              </w:rPr>
              <w:t>; 95% от 61</w:t>
            </w:r>
            <w:r w:rsidRPr="0038078F">
              <w:rPr>
                <w:sz w:val="16"/>
                <w:szCs w:val="16"/>
              </w:rPr>
              <w:t> </w:t>
            </w:r>
            <w:r w:rsidRPr="00F053BA">
              <w:rPr>
                <w:sz w:val="16"/>
                <w:szCs w:val="16"/>
                <w:lang w:val="ru-RU"/>
              </w:rPr>
              <w:t>респондента опроса) (опрос 2016</w:t>
            </w:r>
            <w:r w:rsidRPr="0038078F">
              <w:rPr>
                <w:sz w:val="16"/>
                <w:szCs w:val="16"/>
              </w:rPr>
              <w:t> </w:t>
            </w:r>
            <w:r w:rsidRPr="00F053BA">
              <w:rPr>
                <w:sz w:val="16"/>
                <w:szCs w:val="16"/>
                <w:lang w:val="ru-RU"/>
              </w:rPr>
              <w:t>г.)</w:t>
            </w:r>
          </w:p>
        </w:tc>
        <w:tc>
          <w:tcPr>
            <w:tcW w:w="536" w:type="pct"/>
            <w:gridSpan w:val="2"/>
            <w:shd w:val="clear" w:color="auto" w:fill="auto"/>
            <w:tcMar>
              <w:top w:w="110" w:type="dxa"/>
            </w:tcMar>
          </w:tcPr>
          <w:p w:rsidR="00F053BA" w:rsidRPr="0038078F" w:rsidRDefault="00F053BA" w:rsidP="00F053BA">
            <w:pPr>
              <w:jc w:val="center"/>
              <w:rPr>
                <w:rFonts w:cs="Arial"/>
                <w:bCs/>
                <w:color w:val="808080"/>
                <w:sz w:val="16"/>
                <w:szCs w:val="16"/>
                <w:highlight w:val="yellow"/>
              </w:rPr>
            </w:pPr>
            <w:r w:rsidRPr="0038078F">
              <w:rPr>
                <w:b/>
                <w:color w:val="00B050"/>
                <w:sz w:val="16"/>
                <w:szCs w:val="16"/>
              </w:rPr>
              <w:t>Выполнено</w:t>
            </w:r>
          </w:p>
        </w:tc>
      </w:tr>
      <w:tr w:rsidR="00F053BA" w:rsidRPr="005C6ABD" w:rsidTr="00F053BA">
        <w:trPr>
          <w:trHeight w:val="374"/>
        </w:trPr>
        <w:tc>
          <w:tcPr>
            <w:tcW w:w="5000" w:type="pct"/>
            <w:gridSpan w:val="8"/>
            <w:tcBorders>
              <w:top w:val="single" w:sz="4" w:space="0" w:color="auto"/>
              <w:bottom w:val="single" w:sz="4" w:space="0" w:color="auto"/>
            </w:tcBorders>
            <w:shd w:val="clear" w:color="auto" w:fill="C6D9F1" w:themeFill="text2" w:themeFillTint="33"/>
            <w:vAlign w:val="center"/>
          </w:tcPr>
          <w:p w:rsidR="00F053BA" w:rsidRPr="00F053BA" w:rsidRDefault="00F053BA" w:rsidP="00F053BA">
            <w:pPr>
              <w:keepNext/>
              <w:keepLines/>
              <w:tabs>
                <w:tab w:val="left" w:pos="1452"/>
              </w:tabs>
              <w:ind w:left="1452" w:hanging="1452"/>
              <w:rPr>
                <w:rFonts w:cs="Arial"/>
                <w:b/>
                <w:bCs/>
                <w:sz w:val="16"/>
                <w:szCs w:val="16"/>
                <w:lang w:val="ru-RU"/>
              </w:rPr>
            </w:pPr>
            <w:r w:rsidRPr="0038078F">
              <w:rPr>
                <w:b/>
                <w:sz w:val="16"/>
                <w:szCs w:val="16"/>
              </w:rPr>
              <w:t>II</w:t>
            </w:r>
            <w:r w:rsidRPr="00F053BA">
              <w:rPr>
                <w:b/>
                <w:sz w:val="16"/>
                <w:szCs w:val="16"/>
                <w:lang w:val="ru-RU"/>
              </w:rPr>
              <w:t>.2</w:t>
            </w:r>
            <w:r w:rsidRPr="00F053BA">
              <w:rPr>
                <w:sz w:val="16"/>
                <w:szCs w:val="16"/>
                <w:lang w:val="ru-RU"/>
              </w:rPr>
              <w:t xml:space="preserve"> </w:t>
            </w:r>
            <w:r w:rsidRPr="00F053BA">
              <w:rPr>
                <w:b/>
                <w:sz w:val="16"/>
                <w:szCs w:val="16"/>
                <w:lang w:val="ru-RU"/>
              </w:rPr>
              <w:t xml:space="preserve">Ожидаемый результат: </w:t>
            </w:r>
            <w:r w:rsidRPr="00F053BA">
              <w:rPr>
                <w:b/>
                <w:sz w:val="16"/>
                <w:szCs w:val="16"/>
                <w:lang w:val="ru-RU"/>
              </w:rPr>
              <w:tab/>
            </w:r>
            <w:r w:rsidRPr="00F053BA">
              <w:rPr>
                <w:sz w:val="16"/>
                <w:szCs w:val="16"/>
                <w:lang w:val="ru-RU"/>
              </w:rPr>
              <w:t xml:space="preserve">Совершенствование системы </w:t>
            </w:r>
            <w:r w:rsidRPr="0038078F">
              <w:rPr>
                <w:sz w:val="16"/>
                <w:szCs w:val="16"/>
              </w:rPr>
              <w:t>PCT</w:t>
            </w:r>
          </w:p>
        </w:tc>
      </w:tr>
      <w:tr w:rsidR="00F053BA" w:rsidRPr="0038078F" w:rsidTr="00495A3D">
        <w:tc>
          <w:tcPr>
            <w:tcW w:w="885" w:type="pct"/>
            <w:tcBorders>
              <w:top w:val="single" w:sz="4" w:space="0" w:color="auto"/>
              <w:left w:val="single" w:sz="4" w:space="0" w:color="auto"/>
              <w:bottom w:val="nil"/>
            </w:tcBorders>
            <w:shd w:val="clear" w:color="auto" w:fill="auto"/>
            <w:vAlign w:val="center"/>
          </w:tcPr>
          <w:p w:rsidR="00F053BA" w:rsidRPr="0038078F" w:rsidRDefault="00F053BA" w:rsidP="00F053BA">
            <w:pPr>
              <w:keepNext/>
              <w:keepLines/>
              <w:rPr>
                <w:rFonts w:cs="Arial"/>
                <w:sz w:val="16"/>
                <w:szCs w:val="16"/>
              </w:rPr>
            </w:pPr>
            <w:r w:rsidRPr="0038078F">
              <w:rPr>
                <w:b/>
                <w:sz w:val="16"/>
                <w:szCs w:val="16"/>
              </w:rPr>
              <w:t>Показатели результативности</w:t>
            </w:r>
          </w:p>
        </w:tc>
        <w:tc>
          <w:tcPr>
            <w:tcW w:w="1428" w:type="pct"/>
            <w:gridSpan w:val="2"/>
            <w:tcBorders>
              <w:top w:val="single" w:sz="4" w:space="0" w:color="auto"/>
              <w:bottom w:val="nil"/>
            </w:tcBorders>
            <w:shd w:val="clear" w:color="auto" w:fill="auto"/>
            <w:vAlign w:val="center"/>
          </w:tcPr>
          <w:p w:rsidR="00F053BA" w:rsidRPr="0038078F" w:rsidRDefault="00F053BA" w:rsidP="00F053BA">
            <w:pPr>
              <w:keepNext/>
              <w:keepLines/>
              <w:rPr>
                <w:rFonts w:cs="Arial"/>
                <w:b/>
                <w:bCs/>
                <w:sz w:val="16"/>
                <w:szCs w:val="16"/>
              </w:rPr>
            </w:pPr>
            <w:r w:rsidRPr="0038078F">
              <w:rPr>
                <w:b/>
                <w:sz w:val="16"/>
                <w:szCs w:val="16"/>
              </w:rPr>
              <w:t>Базовые показатели</w:t>
            </w:r>
          </w:p>
        </w:tc>
        <w:tc>
          <w:tcPr>
            <w:tcW w:w="938" w:type="pct"/>
            <w:gridSpan w:val="2"/>
            <w:tcBorders>
              <w:top w:val="single" w:sz="4" w:space="0" w:color="auto"/>
              <w:bottom w:val="nil"/>
            </w:tcBorders>
            <w:shd w:val="clear" w:color="auto" w:fill="auto"/>
            <w:tcMar>
              <w:top w:w="110" w:type="dxa"/>
            </w:tcMar>
            <w:vAlign w:val="center"/>
          </w:tcPr>
          <w:p w:rsidR="00F053BA" w:rsidRPr="0038078F" w:rsidRDefault="00F053BA" w:rsidP="00F053BA">
            <w:pPr>
              <w:keepNext/>
              <w:keepLines/>
              <w:rPr>
                <w:rFonts w:cs="Arial"/>
                <w:b/>
                <w:sz w:val="16"/>
                <w:szCs w:val="16"/>
              </w:rPr>
            </w:pPr>
            <w:r w:rsidRPr="0038078F">
              <w:rPr>
                <w:b/>
                <w:sz w:val="16"/>
                <w:szCs w:val="16"/>
              </w:rPr>
              <w:t>Цели</w:t>
            </w:r>
          </w:p>
        </w:tc>
        <w:tc>
          <w:tcPr>
            <w:tcW w:w="1213" w:type="pct"/>
            <w:tcBorders>
              <w:top w:val="single" w:sz="4" w:space="0" w:color="auto"/>
              <w:bottom w:val="nil"/>
            </w:tcBorders>
            <w:shd w:val="clear" w:color="auto" w:fill="FFFFFF"/>
            <w:tcMar>
              <w:top w:w="110" w:type="dxa"/>
            </w:tcMar>
            <w:vAlign w:val="center"/>
          </w:tcPr>
          <w:p w:rsidR="00F053BA" w:rsidRPr="0038078F" w:rsidRDefault="00F053BA" w:rsidP="00F053BA">
            <w:pPr>
              <w:keepNext/>
              <w:keepLines/>
              <w:rPr>
                <w:rFonts w:cs="Arial"/>
                <w:sz w:val="16"/>
                <w:szCs w:val="16"/>
              </w:rPr>
            </w:pPr>
            <w:r w:rsidRPr="0038078F">
              <w:rPr>
                <w:b/>
                <w:sz w:val="16"/>
                <w:szCs w:val="16"/>
              </w:rPr>
              <w:t>Данные о результативности</w:t>
            </w:r>
          </w:p>
        </w:tc>
        <w:tc>
          <w:tcPr>
            <w:tcW w:w="536" w:type="pct"/>
            <w:gridSpan w:val="2"/>
            <w:tcBorders>
              <w:top w:val="single" w:sz="4" w:space="0" w:color="auto"/>
              <w:bottom w:val="nil"/>
              <w:right w:val="single" w:sz="4" w:space="0" w:color="auto"/>
            </w:tcBorders>
            <w:shd w:val="clear" w:color="auto" w:fill="auto"/>
            <w:tcMar>
              <w:top w:w="110" w:type="dxa"/>
            </w:tcMar>
            <w:vAlign w:val="center"/>
          </w:tcPr>
          <w:p w:rsidR="00F053BA" w:rsidRPr="0038078F" w:rsidRDefault="00F053BA" w:rsidP="00F053BA">
            <w:pPr>
              <w:keepNext/>
              <w:keepLines/>
              <w:jc w:val="center"/>
              <w:rPr>
                <w:rFonts w:cs="Arial"/>
                <w:b/>
                <w:bCs/>
                <w:sz w:val="16"/>
                <w:szCs w:val="16"/>
              </w:rPr>
            </w:pPr>
            <w:r w:rsidRPr="0038078F">
              <w:rPr>
                <w:b/>
                <w:sz w:val="16"/>
                <w:szCs w:val="16"/>
              </w:rPr>
              <w:t>CC</w:t>
            </w:r>
          </w:p>
        </w:tc>
      </w:tr>
      <w:tr w:rsidR="00F053BA" w:rsidRPr="0038078F" w:rsidTr="00495A3D">
        <w:trPr>
          <w:cantSplit/>
        </w:trPr>
        <w:tc>
          <w:tcPr>
            <w:tcW w:w="885" w:type="pct"/>
            <w:tcBorders>
              <w:top w:val="nil"/>
              <w:left w:val="single" w:sz="4" w:space="0" w:color="auto"/>
              <w:bottom w:val="nil"/>
            </w:tcBorders>
            <w:shd w:val="clear" w:color="auto" w:fill="FFFFFF"/>
          </w:tcPr>
          <w:p w:rsidR="00F053BA" w:rsidRPr="00F053BA" w:rsidRDefault="00F053BA" w:rsidP="00F053BA">
            <w:pPr>
              <w:rPr>
                <w:rFonts w:cs="Arial"/>
                <w:sz w:val="16"/>
                <w:szCs w:val="16"/>
                <w:lang w:val="ru-RU"/>
              </w:rPr>
            </w:pPr>
            <w:r w:rsidRPr="00F053BA">
              <w:rPr>
                <w:sz w:val="16"/>
                <w:szCs w:val="16"/>
                <w:lang w:val="ru-RU"/>
              </w:rPr>
              <w:t>Дальнейшее развитие системы РСТ, в частности, выполнение рекомендаций «Дорожной карты» для системы РСТ, одобренных государствами – членами РСТ</w:t>
            </w:r>
          </w:p>
        </w:tc>
        <w:tc>
          <w:tcPr>
            <w:tcW w:w="1428" w:type="pct"/>
            <w:gridSpan w:val="2"/>
            <w:tcBorders>
              <w:top w:val="nil"/>
              <w:bottom w:val="nil"/>
            </w:tcBorders>
            <w:shd w:val="clear" w:color="auto" w:fill="auto"/>
          </w:tcPr>
          <w:p w:rsidR="00F053BA" w:rsidRPr="00F053BA" w:rsidRDefault="00F053BA" w:rsidP="00F053BA">
            <w:pPr>
              <w:rPr>
                <w:rFonts w:cs="Arial"/>
                <w:i/>
                <w:color w:val="002060"/>
                <w:sz w:val="16"/>
                <w:szCs w:val="16"/>
                <w:lang w:val="ru-RU"/>
              </w:rPr>
            </w:pPr>
            <w:r w:rsidRPr="00F053BA">
              <w:rPr>
                <w:i/>
                <w:color w:val="002060"/>
                <w:sz w:val="16"/>
                <w:szCs w:val="16"/>
                <w:lang w:val="ru-RU"/>
              </w:rPr>
              <w:t>Обновленные базовые показатели, конец 2013</w:t>
            </w:r>
            <w:r w:rsidRPr="0038078F">
              <w:rPr>
                <w:i/>
                <w:color w:val="002060"/>
                <w:sz w:val="16"/>
                <w:szCs w:val="16"/>
              </w:rPr>
              <w:t> </w:t>
            </w:r>
            <w:r w:rsidRPr="00F053BA">
              <w:rPr>
                <w:i/>
                <w:color w:val="002060"/>
                <w:sz w:val="16"/>
                <w:szCs w:val="16"/>
                <w:lang w:val="ru-RU"/>
              </w:rPr>
              <w:t xml:space="preserve">г.:  </w:t>
            </w:r>
            <w:r w:rsidRPr="00F053BA">
              <w:rPr>
                <w:color w:val="002060"/>
                <w:sz w:val="16"/>
                <w:szCs w:val="16"/>
                <w:lang w:val="ru-RU"/>
              </w:rPr>
              <w:t xml:space="preserve">состояние системы </w:t>
            </w:r>
            <w:r w:rsidRPr="0038078F">
              <w:rPr>
                <w:color w:val="002060"/>
                <w:sz w:val="16"/>
                <w:szCs w:val="16"/>
              </w:rPr>
              <w:t>PCT</w:t>
            </w:r>
            <w:r w:rsidRPr="00F053BA">
              <w:rPr>
                <w:color w:val="002060"/>
                <w:sz w:val="16"/>
                <w:szCs w:val="16"/>
                <w:lang w:val="ru-RU"/>
              </w:rPr>
              <w:t xml:space="preserve"> по состоянию на конец 2013</w:t>
            </w:r>
            <w:r w:rsidRPr="0038078F">
              <w:rPr>
                <w:color w:val="002060"/>
                <w:sz w:val="16"/>
                <w:szCs w:val="16"/>
              </w:rPr>
              <w:t> </w:t>
            </w:r>
            <w:r w:rsidRPr="00F053BA">
              <w:rPr>
                <w:color w:val="002060"/>
                <w:sz w:val="16"/>
                <w:szCs w:val="16"/>
                <w:lang w:val="ru-RU"/>
              </w:rPr>
              <w:t>г.</w:t>
            </w:r>
          </w:p>
          <w:p w:rsidR="00F053BA" w:rsidRPr="00F053BA" w:rsidRDefault="00F053BA" w:rsidP="00F053BA">
            <w:pPr>
              <w:rPr>
                <w:rFonts w:cs="Arial"/>
                <w:i/>
                <w:sz w:val="16"/>
                <w:szCs w:val="16"/>
                <w:lang w:val="ru-RU"/>
              </w:rPr>
            </w:pPr>
          </w:p>
          <w:p w:rsidR="00F053BA" w:rsidRPr="00F053BA" w:rsidRDefault="00F053BA" w:rsidP="00F053BA">
            <w:pPr>
              <w:rPr>
                <w:rFonts w:cs="Arial"/>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решения, принятые соответствующими органами РСТ до конца 2013</w:t>
            </w:r>
            <w:r w:rsidRPr="0038078F">
              <w:rPr>
                <w:sz w:val="16"/>
                <w:szCs w:val="16"/>
              </w:rPr>
              <w:t> </w:t>
            </w:r>
            <w:r w:rsidRPr="00F053BA">
              <w:rPr>
                <w:sz w:val="16"/>
                <w:szCs w:val="16"/>
                <w:lang w:val="ru-RU"/>
              </w:rPr>
              <w:t>г.</w:t>
            </w:r>
          </w:p>
        </w:tc>
        <w:tc>
          <w:tcPr>
            <w:tcW w:w="938" w:type="pct"/>
            <w:gridSpan w:val="2"/>
            <w:tcBorders>
              <w:top w:val="nil"/>
              <w:bottom w:val="nil"/>
            </w:tcBorders>
            <w:shd w:val="clear" w:color="auto" w:fill="auto"/>
            <w:tcMar>
              <w:top w:w="110" w:type="dxa"/>
            </w:tcMar>
          </w:tcPr>
          <w:p w:rsidR="00F053BA" w:rsidRPr="00F053BA" w:rsidRDefault="00F053BA" w:rsidP="00F053BA">
            <w:pPr>
              <w:autoSpaceDE w:val="0"/>
              <w:autoSpaceDN w:val="0"/>
              <w:adjustRightInd w:val="0"/>
              <w:rPr>
                <w:rFonts w:cs="Arial"/>
                <w:sz w:val="16"/>
                <w:szCs w:val="16"/>
                <w:lang w:val="ru-RU"/>
              </w:rPr>
            </w:pPr>
            <w:r w:rsidRPr="00F053BA">
              <w:rPr>
                <w:sz w:val="16"/>
                <w:szCs w:val="16"/>
                <w:lang w:val="ru-RU"/>
              </w:rPr>
              <w:t>Прогресс в достижении целей Договора в интересах всех заинтересованных сторон в соответствии с рекомендациями «Дорожной карты» для системы РСТ, утвержденными государствами-членами.</w:t>
            </w:r>
          </w:p>
          <w:p w:rsidR="00F053BA" w:rsidRPr="00F053BA" w:rsidRDefault="00F053BA" w:rsidP="00F053BA">
            <w:pPr>
              <w:autoSpaceDE w:val="0"/>
              <w:autoSpaceDN w:val="0"/>
              <w:adjustRightInd w:val="0"/>
              <w:rPr>
                <w:rFonts w:cs="Arial"/>
                <w:sz w:val="16"/>
                <w:szCs w:val="16"/>
                <w:lang w:val="ru-RU"/>
              </w:rPr>
            </w:pPr>
          </w:p>
          <w:p w:rsidR="00F053BA" w:rsidRPr="00F053BA" w:rsidRDefault="00F053BA" w:rsidP="00F053BA">
            <w:pPr>
              <w:autoSpaceDE w:val="0"/>
              <w:autoSpaceDN w:val="0"/>
              <w:adjustRightInd w:val="0"/>
              <w:rPr>
                <w:rFonts w:cs="Arial"/>
                <w:sz w:val="16"/>
                <w:szCs w:val="16"/>
                <w:lang w:val="ru-RU"/>
              </w:rPr>
            </w:pPr>
          </w:p>
          <w:p w:rsidR="00F053BA" w:rsidRPr="00F053BA" w:rsidRDefault="00F053BA" w:rsidP="00F053BA">
            <w:pPr>
              <w:autoSpaceDE w:val="0"/>
              <w:autoSpaceDN w:val="0"/>
              <w:adjustRightInd w:val="0"/>
              <w:rPr>
                <w:rFonts w:cs="Arial"/>
                <w:sz w:val="16"/>
                <w:szCs w:val="16"/>
                <w:lang w:val="ru-RU"/>
              </w:rPr>
            </w:pPr>
          </w:p>
          <w:p w:rsidR="00F053BA" w:rsidRPr="00F053BA" w:rsidRDefault="00F053BA" w:rsidP="00F053BA">
            <w:pPr>
              <w:autoSpaceDE w:val="0"/>
              <w:autoSpaceDN w:val="0"/>
              <w:adjustRightInd w:val="0"/>
              <w:rPr>
                <w:rFonts w:cs="Arial"/>
                <w:sz w:val="16"/>
                <w:szCs w:val="16"/>
                <w:lang w:val="ru-RU"/>
              </w:rPr>
            </w:pPr>
          </w:p>
          <w:p w:rsidR="00F053BA" w:rsidRPr="0038078F" w:rsidRDefault="00F053BA" w:rsidP="00F053BA">
            <w:pPr>
              <w:autoSpaceDE w:val="0"/>
              <w:autoSpaceDN w:val="0"/>
              <w:adjustRightInd w:val="0"/>
              <w:rPr>
                <w:rFonts w:cs="Arial"/>
                <w:sz w:val="16"/>
                <w:szCs w:val="16"/>
              </w:rPr>
            </w:pPr>
            <w:r w:rsidRPr="0038078F">
              <w:rPr>
                <w:rStyle w:val="FootnoteReference"/>
                <w:sz w:val="16"/>
                <w:szCs w:val="16"/>
              </w:rPr>
              <w:footnoteReference w:id="17"/>
            </w:r>
          </w:p>
          <w:p w:rsidR="00F053BA" w:rsidRPr="0038078F" w:rsidRDefault="00F053BA" w:rsidP="00F053BA">
            <w:pPr>
              <w:autoSpaceDE w:val="0"/>
              <w:autoSpaceDN w:val="0"/>
              <w:adjustRightInd w:val="0"/>
              <w:rPr>
                <w:rFonts w:cs="Arial"/>
                <w:sz w:val="16"/>
                <w:szCs w:val="16"/>
              </w:rPr>
            </w:pPr>
          </w:p>
          <w:p w:rsidR="00F053BA" w:rsidRPr="0038078F" w:rsidRDefault="00F053BA" w:rsidP="00F053BA">
            <w:pPr>
              <w:autoSpaceDE w:val="0"/>
              <w:autoSpaceDN w:val="0"/>
              <w:adjustRightInd w:val="0"/>
              <w:rPr>
                <w:rFonts w:cs="Arial"/>
                <w:sz w:val="16"/>
                <w:szCs w:val="16"/>
              </w:rPr>
            </w:pPr>
          </w:p>
          <w:p w:rsidR="00F053BA" w:rsidRPr="0038078F" w:rsidRDefault="00F053BA" w:rsidP="00F053BA">
            <w:pPr>
              <w:autoSpaceDE w:val="0"/>
              <w:autoSpaceDN w:val="0"/>
              <w:adjustRightInd w:val="0"/>
              <w:rPr>
                <w:rFonts w:cs="Arial"/>
                <w:sz w:val="16"/>
                <w:szCs w:val="16"/>
              </w:rPr>
            </w:pPr>
          </w:p>
          <w:p w:rsidR="00F053BA" w:rsidRPr="0038078F" w:rsidRDefault="00F053BA" w:rsidP="00F053BA">
            <w:pPr>
              <w:autoSpaceDE w:val="0"/>
              <w:autoSpaceDN w:val="0"/>
              <w:adjustRightInd w:val="0"/>
              <w:rPr>
                <w:rFonts w:cs="Arial"/>
                <w:sz w:val="16"/>
                <w:szCs w:val="16"/>
              </w:rPr>
            </w:pPr>
          </w:p>
        </w:tc>
        <w:tc>
          <w:tcPr>
            <w:tcW w:w="1213" w:type="pct"/>
            <w:tcBorders>
              <w:top w:val="nil"/>
              <w:bottom w:val="nil"/>
            </w:tcBorders>
            <w:shd w:val="clear" w:color="auto" w:fill="FFFFFF"/>
            <w:tcMar>
              <w:top w:w="110" w:type="dxa"/>
            </w:tcMar>
          </w:tcPr>
          <w:p w:rsidR="00F053BA" w:rsidRPr="00F053BA" w:rsidRDefault="00F053BA" w:rsidP="00F053BA">
            <w:pPr>
              <w:rPr>
                <w:sz w:val="16"/>
                <w:szCs w:val="16"/>
                <w:lang w:val="ru-RU"/>
              </w:rPr>
            </w:pPr>
            <w:r w:rsidRPr="00F053BA">
              <w:rPr>
                <w:sz w:val="16"/>
                <w:szCs w:val="16"/>
                <w:lang w:val="ru-RU"/>
              </w:rPr>
              <w:t>В 2014–2015 гг., в рамках содействия достижению целей Договора в интересах всех заинтересованных сторон и в соответствии с рекомендациями «Дорожной карты» для системы РСТ, утвержденными государствами-членами, были достигнуты следующие результаты:  (</w:t>
            </w:r>
            <w:r>
              <w:rPr>
                <w:sz w:val="16"/>
                <w:szCs w:val="16"/>
              </w:rPr>
              <w:t>a</w:t>
            </w:r>
            <w:r w:rsidRPr="00F053BA">
              <w:rPr>
                <w:sz w:val="16"/>
                <w:szCs w:val="16"/>
                <w:lang w:val="ru-RU"/>
              </w:rPr>
              <w:t>)</w:t>
            </w:r>
            <w:r>
              <w:rPr>
                <w:sz w:val="16"/>
                <w:szCs w:val="16"/>
              </w:rPr>
              <w:t> </w:t>
            </w:r>
            <w:r w:rsidRPr="00F053BA">
              <w:rPr>
                <w:sz w:val="16"/>
                <w:szCs w:val="16"/>
                <w:lang w:val="ru-RU"/>
              </w:rPr>
              <w:t>согласование государствами-членами критериев применения скидок с пошлин; (</w:t>
            </w:r>
            <w:r w:rsidRPr="0038078F">
              <w:rPr>
                <w:sz w:val="16"/>
                <w:szCs w:val="16"/>
              </w:rPr>
              <w:t>b</w:t>
            </w:r>
            <w:r w:rsidRPr="00F053BA">
              <w:rPr>
                <w:sz w:val="16"/>
                <w:szCs w:val="16"/>
                <w:lang w:val="ru-RU"/>
              </w:rPr>
              <w:t>)</w:t>
            </w:r>
            <w:r w:rsidRPr="0038078F">
              <w:rPr>
                <w:sz w:val="16"/>
                <w:szCs w:val="16"/>
              </w:rPr>
              <w:t> </w:t>
            </w:r>
            <w:r w:rsidRPr="00F053BA">
              <w:rPr>
                <w:sz w:val="16"/>
                <w:szCs w:val="16"/>
                <w:lang w:val="ru-RU"/>
              </w:rPr>
              <w:t>согласование государствами-членами пересмотренного порядка назначения международных поисковых органов и органов предварительной экспертизы; (</w:t>
            </w:r>
            <w:r>
              <w:rPr>
                <w:sz w:val="16"/>
                <w:szCs w:val="16"/>
              </w:rPr>
              <w:t>c</w:t>
            </w:r>
            <w:r w:rsidRPr="00F053BA">
              <w:rPr>
                <w:sz w:val="16"/>
                <w:szCs w:val="16"/>
                <w:lang w:val="ru-RU"/>
              </w:rPr>
              <w:t>)</w:t>
            </w:r>
            <w:r>
              <w:rPr>
                <w:sz w:val="16"/>
                <w:szCs w:val="16"/>
              </w:rPr>
              <w:t> </w:t>
            </w:r>
            <w:r w:rsidRPr="00F053BA">
              <w:rPr>
                <w:sz w:val="16"/>
                <w:szCs w:val="16"/>
                <w:lang w:val="ru-RU"/>
              </w:rPr>
              <w:t xml:space="preserve">достижение договоренности государствами-членами относительно обмена результатами проведенного поиска по более ранним заявкам в целях повышения качества и оперативности отчетов и заключений </w:t>
            </w:r>
            <w:r>
              <w:rPr>
                <w:sz w:val="16"/>
                <w:szCs w:val="16"/>
              </w:rPr>
              <w:t>PCT</w:t>
            </w:r>
            <w:r w:rsidRPr="00F053BA">
              <w:rPr>
                <w:sz w:val="16"/>
                <w:szCs w:val="16"/>
                <w:lang w:val="ru-RU"/>
              </w:rPr>
              <w:t>; (</w:t>
            </w:r>
            <w:r>
              <w:rPr>
                <w:sz w:val="16"/>
                <w:szCs w:val="16"/>
              </w:rPr>
              <w:t>d</w:t>
            </w:r>
            <w:r w:rsidRPr="00F053BA">
              <w:rPr>
                <w:sz w:val="16"/>
                <w:szCs w:val="16"/>
                <w:lang w:val="ru-RU"/>
              </w:rPr>
              <w:t>)</w:t>
            </w:r>
            <w:r>
              <w:rPr>
                <w:sz w:val="16"/>
                <w:szCs w:val="16"/>
              </w:rPr>
              <w:t> </w:t>
            </w:r>
            <w:r w:rsidRPr="00F053BA">
              <w:rPr>
                <w:sz w:val="16"/>
                <w:szCs w:val="16"/>
                <w:lang w:val="ru-RU"/>
              </w:rPr>
              <w:t xml:space="preserve">внедрение нового сервиса </w:t>
            </w:r>
            <w:r w:rsidRPr="0038078F">
              <w:rPr>
                <w:sz w:val="16"/>
                <w:szCs w:val="16"/>
              </w:rPr>
              <w:t>eSearchCopy</w:t>
            </w:r>
            <w:r w:rsidRPr="00F053BA">
              <w:rPr>
                <w:sz w:val="16"/>
                <w:szCs w:val="16"/>
                <w:lang w:val="ru-RU"/>
              </w:rPr>
              <w:t xml:space="preserve"> в целях обеспечения более быстрой и эффективной передачи заявок для международного поиска; и (</w:t>
            </w:r>
            <w:r>
              <w:rPr>
                <w:sz w:val="16"/>
                <w:szCs w:val="16"/>
              </w:rPr>
              <w:t>e</w:t>
            </w:r>
            <w:r w:rsidRPr="00F053BA">
              <w:rPr>
                <w:sz w:val="16"/>
                <w:szCs w:val="16"/>
                <w:lang w:val="ru-RU"/>
              </w:rPr>
              <w:t>)</w:t>
            </w:r>
            <w:r>
              <w:rPr>
                <w:sz w:val="16"/>
                <w:szCs w:val="16"/>
              </w:rPr>
              <w:t> </w:t>
            </w:r>
            <w:r w:rsidRPr="00F053BA">
              <w:rPr>
                <w:sz w:val="16"/>
                <w:szCs w:val="16"/>
                <w:lang w:val="ru-RU"/>
              </w:rPr>
              <w:t>достижение договоренности о том, что ведомства должны своевременно направлять информацию в МБ по заявкам на национальной фазе в целях повышения качества данных о статусе патентов.</w:t>
            </w:r>
          </w:p>
          <w:p w:rsidR="00F053BA" w:rsidRPr="00F053BA" w:rsidRDefault="00F053BA" w:rsidP="00F053BA">
            <w:pPr>
              <w:rPr>
                <w:rFonts w:cs="Arial"/>
                <w:sz w:val="16"/>
                <w:szCs w:val="16"/>
                <w:lang w:val="ru-RU"/>
              </w:rPr>
            </w:pPr>
          </w:p>
        </w:tc>
        <w:tc>
          <w:tcPr>
            <w:tcW w:w="536" w:type="pct"/>
            <w:gridSpan w:val="2"/>
            <w:tcBorders>
              <w:top w:val="nil"/>
              <w:bottom w:val="nil"/>
              <w:right w:val="single" w:sz="4" w:space="0" w:color="auto"/>
            </w:tcBorders>
            <w:shd w:val="clear" w:color="auto" w:fill="auto"/>
            <w:tcMar>
              <w:top w:w="110" w:type="dxa"/>
            </w:tcMar>
          </w:tcPr>
          <w:p w:rsidR="00F053BA" w:rsidRPr="0038078F" w:rsidRDefault="00F053BA" w:rsidP="00F053BA">
            <w:pPr>
              <w:keepNext/>
              <w:keepLines/>
              <w:jc w:val="center"/>
              <w:rPr>
                <w:rFonts w:cs="Arial"/>
                <w:bCs/>
                <w:color w:val="008000"/>
                <w:sz w:val="16"/>
                <w:szCs w:val="16"/>
              </w:rPr>
            </w:pPr>
            <w:r w:rsidRPr="0038078F">
              <w:rPr>
                <w:b/>
                <w:color w:val="00B050"/>
                <w:sz w:val="16"/>
                <w:szCs w:val="16"/>
              </w:rPr>
              <w:t>Выполнено</w:t>
            </w:r>
          </w:p>
        </w:tc>
      </w:tr>
      <w:tr w:rsidR="00F053BA" w:rsidRPr="0038078F" w:rsidTr="00495A3D">
        <w:tc>
          <w:tcPr>
            <w:tcW w:w="885" w:type="pct"/>
            <w:tcBorders>
              <w:top w:val="nil"/>
              <w:left w:val="single" w:sz="4" w:space="0" w:color="auto"/>
              <w:bottom w:val="single" w:sz="4" w:space="0" w:color="auto"/>
            </w:tcBorders>
            <w:shd w:val="clear" w:color="auto" w:fill="auto"/>
          </w:tcPr>
          <w:p w:rsidR="00F053BA" w:rsidRPr="00F053BA" w:rsidRDefault="00F053BA" w:rsidP="00F053BA">
            <w:pPr>
              <w:rPr>
                <w:rFonts w:cs="Arial"/>
                <w:sz w:val="16"/>
                <w:szCs w:val="16"/>
                <w:lang w:val="ru-RU"/>
              </w:rPr>
            </w:pPr>
            <w:r w:rsidRPr="00F053BA">
              <w:rPr>
                <w:sz w:val="16"/>
                <w:szCs w:val="16"/>
                <w:lang w:val="ru-RU"/>
              </w:rPr>
              <w:t>Повышение качества электронных услуг для заявителей, третьих лиц, ведомств и органов</w:t>
            </w:r>
          </w:p>
        </w:tc>
        <w:tc>
          <w:tcPr>
            <w:tcW w:w="1265" w:type="pct"/>
            <w:tcBorders>
              <w:top w:val="nil"/>
              <w:bottom w:val="single" w:sz="4" w:space="0" w:color="auto"/>
            </w:tcBorders>
            <w:shd w:val="clear" w:color="auto" w:fill="auto"/>
          </w:tcPr>
          <w:p w:rsidR="00F053BA" w:rsidRPr="00F053BA" w:rsidRDefault="00F053BA" w:rsidP="00F053BA">
            <w:pPr>
              <w:pStyle w:val="Default"/>
              <w:rPr>
                <w:color w:val="002060"/>
                <w:sz w:val="16"/>
                <w:szCs w:val="16"/>
                <w:lang w:val="ru-RU"/>
              </w:rPr>
            </w:pPr>
            <w:r w:rsidRPr="00F053BA">
              <w:rPr>
                <w:i/>
                <w:color w:val="002060"/>
                <w:sz w:val="16"/>
                <w:szCs w:val="16"/>
                <w:lang w:val="ru-RU"/>
              </w:rPr>
              <w:t>Обновленные базовые показатели, конец 2013</w:t>
            </w:r>
            <w:r w:rsidRPr="0038078F">
              <w:rPr>
                <w:i/>
                <w:color w:val="002060"/>
                <w:sz w:val="16"/>
                <w:szCs w:val="16"/>
              </w:rPr>
              <w:t> </w:t>
            </w:r>
            <w:r w:rsidRPr="00F053BA">
              <w:rPr>
                <w:i/>
                <w:color w:val="002060"/>
                <w:sz w:val="16"/>
                <w:szCs w:val="16"/>
                <w:lang w:val="ru-RU"/>
              </w:rPr>
              <w:t>г.:</w:t>
            </w:r>
            <w:r w:rsidRPr="00F053BA">
              <w:rPr>
                <w:color w:val="943634" w:themeColor="accent2" w:themeShade="BF"/>
                <w:sz w:val="16"/>
                <w:szCs w:val="16"/>
                <w:lang w:val="ru-RU"/>
              </w:rPr>
              <w:t xml:space="preserve">  </w:t>
            </w:r>
            <w:r w:rsidRPr="00F053BA">
              <w:rPr>
                <w:color w:val="002060"/>
                <w:sz w:val="16"/>
                <w:szCs w:val="16"/>
                <w:lang w:val="ru-RU"/>
              </w:rPr>
              <w:t>число операций, осуществленных с использованием услуг еРСТ на конец 2013</w:t>
            </w:r>
            <w:r w:rsidRPr="0038078F">
              <w:rPr>
                <w:color w:val="002060"/>
                <w:sz w:val="16"/>
                <w:szCs w:val="16"/>
              </w:rPr>
              <w:t> </w:t>
            </w:r>
            <w:r w:rsidRPr="00F053BA">
              <w:rPr>
                <w:color w:val="002060"/>
                <w:sz w:val="16"/>
                <w:szCs w:val="16"/>
                <w:lang w:val="ru-RU"/>
              </w:rPr>
              <w:t xml:space="preserve">г. в отношении:  </w:t>
            </w:r>
          </w:p>
          <w:p w:rsidR="00F053BA" w:rsidRPr="00F053BA" w:rsidRDefault="00F053BA" w:rsidP="00F053BA">
            <w:pPr>
              <w:pStyle w:val="Default"/>
              <w:rPr>
                <w:color w:val="002060"/>
                <w:sz w:val="16"/>
                <w:szCs w:val="16"/>
                <w:lang w:val="ru-RU"/>
              </w:rPr>
            </w:pPr>
            <w:r w:rsidRPr="00F053BA">
              <w:rPr>
                <w:color w:val="002060"/>
                <w:sz w:val="16"/>
                <w:szCs w:val="16"/>
                <w:lang w:val="ru-RU"/>
              </w:rPr>
              <w:t>-- 8</w:t>
            </w:r>
            <w:r w:rsidRPr="0038078F">
              <w:rPr>
                <w:color w:val="002060"/>
                <w:sz w:val="16"/>
                <w:szCs w:val="16"/>
              </w:rPr>
              <w:t> </w:t>
            </w:r>
            <w:r w:rsidRPr="00F053BA">
              <w:rPr>
                <w:color w:val="002060"/>
                <w:sz w:val="16"/>
                <w:szCs w:val="16"/>
                <w:lang w:val="ru-RU"/>
              </w:rPr>
              <w:t xml:space="preserve">005 заявителей, являющихся государственными органами;  </w:t>
            </w:r>
          </w:p>
          <w:p w:rsidR="00F053BA" w:rsidRPr="00F053BA" w:rsidRDefault="00F053BA" w:rsidP="00F053BA">
            <w:pPr>
              <w:pStyle w:val="Default"/>
              <w:rPr>
                <w:color w:val="002060"/>
                <w:sz w:val="16"/>
                <w:szCs w:val="16"/>
                <w:lang w:val="ru-RU"/>
              </w:rPr>
            </w:pPr>
            <w:r w:rsidRPr="00F053BA">
              <w:rPr>
                <w:color w:val="002060"/>
                <w:sz w:val="16"/>
                <w:szCs w:val="16"/>
                <w:lang w:val="ru-RU"/>
              </w:rPr>
              <w:t>-- 4</w:t>
            </w:r>
            <w:r w:rsidRPr="0038078F">
              <w:rPr>
                <w:color w:val="002060"/>
                <w:sz w:val="16"/>
                <w:szCs w:val="16"/>
              </w:rPr>
              <w:t> </w:t>
            </w:r>
            <w:r w:rsidRPr="00F053BA">
              <w:rPr>
                <w:color w:val="002060"/>
                <w:sz w:val="16"/>
                <w:szCs w:val="16"/>
                <w:lang w:val="ru-RU"/>
              </w:rPr>
              <w:t>754 частных заявителей;</w:t>
            </w:r>
          </w:p>
          <w:p w:rsidR="00F053BA" w:rsidRPr="00F053BA" w:rsidRDefault="00F053BA" w:rsidP="00F053BA">
            <w:pPr>
              <w:pStyle w:val="Default"/>
              <w:rPr>
                <w:color w:val="002060"/>
                <w:sz w:val="16"/>
                <w:szCs w:val="16"/>
                <w:lang w:val="ru-RU"/>
              </w:rPr>
            </w:pPr>
            <w:r w:rsidRPr="00F053BA">
              <w:rPr>
                <w:color w:val="002060"/>
                <w:sz w:val="16"/>
                <w:szCs w:val="16"/>
                <w:lang w:val="ru-RU"/>
              </w:rPr>
              <w:t xml:space="preserve">-- 74 сторонних организаций;  </w:t>
            </w:r>
          </w:p>
          <w:p w:rsidR="00F053BA" w:rsidRPr="00F053BA" w:rsidRDefault="00F053BA" w:rsidP="00F053BA">
            <w:pPr>
              <w:pStyle w:val="Default"/>
              <w:rPr>
                <w:color w:val="002060"/>
                <w:sz w:val="16"/>
                <w:szCs w:val="16"/>
                <w:lang w:val="ru-RU"/>
              </w:rPr>
            </w:pPr>
            <w:r w:rsidRPr="00F053BA">
              <w:rPr>
                <w:color w:val="002060"/>
                <w:sz w:val="16"/>
                <w:szCs w:val="16"/>
                <w:lang w:val="ru-RU"/>
              </w:rPr>
              <w:t>-- 2</w:t>
            </w:r>
            <w:r>
              <w:rPr>
                <w:color w:val="002060"/>
                <w:sz w:val="16"/>
                <w:szCs w:val="16"/>
              </w:rPr>
              <w:t> </w:t>
            </w:r>
            <w:r w:rsidRPr="00F053BA">
              <w:rPr>
                <w:color w:val="002060"/>
                <w:sz w:val="16"/>
                <w:szCs w:val="16"/>
                <w:lang w:val="ru-RU"/>
              </w:rPr>
              <w:t>474 ведомств и</w:t>
            </w:r>
          </w:p>
          <w:p w:rsidR="00F053BA" w:rsidRPr="00F053BA" w:rsidRDefault="00F053BA" w:rsidP="00F053BA">
            <w:pPr>
              <w:pStyle w:val="Default"/>
              <w:rPr>
                <w:color w:val="002060"/>
                <w:sz w:val="16"/>
                <w:szCs w:val="16"/>
                <w:lang w:val="ru-RU"/>
              </w:rPr>
            </w:pPr>
            <w:r w:rsidRPr="00F053BA">
              <w:rPr>
                <w:color w:val="002060"/>
                <w:sz w:val="16"/>
                <w:szCs w:val="16"/>
                <w:lang w:val="ru-RU"/>
              </w:rPr>
              <w:t>-- 2</w:t>
            </w:r>
            <w:r w:rsidRPr="0038078F">
              <w:rPr>
                <w:color w:val="002060"/>
                <w:sz w:val="16"/>
                <w:szCs w:val="16"/>
              </w:rPr>
              <w:t> </w:t>
            </w:r>
            <w:r w:rsidRPr="00F053BA">
              <w:rPr>
                <w:color w:val="002060"/>
                <w:sz w:val="16"/>
                <w:szCs w:val="16"/>
                <w:lang w:val="ru-RU"/>
              </w:rPr>
              <w:t>398 международных органов</w:t>
            </w:r>
          </w:p>
          <w:p w:rsidR="00F053BA" w:rsidRPr="00F053BA" w:rsidRDefault="00F053BA" w:rsidP="00F053BA">
            <w:pPr>
              <w:pStyle w:val="Default"/>
              <w:rPr>
                <w:color w:val="002060"/>
                <w:sz w:val="16"/>
                <w:szCs w:val="16"/>
                <w:lang w:val="ru-RU"/>
              </w:rPr>
            </w:pPr>
            <w:r w:rsidRPr="00F053BA">
              <w:rPr>
                <w:color w:val="002060"/>
                <w:sz w:val="16"/>
                <w:szCs w:val="16"/>
                <w:lang w:val="ru-RU"/>
              </w:rPr>
              <w:t>(всего)</w:t>
            </w:r>
          </w:p>
          <w:p w:rsidR="00F053BA" w:rsidRPr="00F053BA" w:rsidRDefault="00F053BA" w:rsidP="00F053BA">
            <w:pPr>
              <w:rPr>
                <w:rFonts w:cs="Arial"/>
                <w:i/>
                <w:sz w:val="16"/>
                <w:szCs w:val="16"/>
                <w:lang w:val="ru-RU"/>
              </w:rPr>
            </w:pPr>
          </w:p>
          <w:p w:rsidR="00F053BA" w:rsidRPr="00F053BA" w:rsidRDefault="00F053BA" w:rsidP="00F053BA">
            <w:pPr>
              <w:rPr>
                <w:rFonts w:cs="Arial"/>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число операций, осуществленных с использованием услуг еРСТ на конец 2013</w:t>
            </w:r>
            <w:r w:rsidRPr="0038078F">
              <w:rPr>
                <w:sz w:val="16"/>
                <w:szCs w:val="16"/>
              </w:rPr>
              <w:t> </w:t>
            </w:r>
            <w:r w:rsidRPr="00F053BA">
              <w:rPr>
                <w:sz w:val="16"/>
                <w:szCs w:val="16"/>
                <w:lang w:val="ru-RU"/>
              </w:rPr>
              <w:t xml:space="preserve">г. в отношении:  </w:t>
            </w:r>
          </w:p>
          <w:p w:rsidR="00F053BA" w:rsidRPr="00F053BA" w:rsidRDefault="00F053BA" w:rsidP="00F053BA">
            <w:pPr>
              <w:rPr>
                <w:rFonts w:cs="Arial"/>
                <w:sz w:val="16"/>
                <w:szCs w:val="16"/>
                <w:lang w:val="ru-RU"/>
              </w:rPr>
            </w:pPr>
            <w:r w:rsidRPr="00F053BA">
              <w:rPr>
                <w:sz w:val="16"/>
                <w:szCs w:val="16"/>
                <w:lang w:val="ru-RU"/>
              </w:rPr>
              <w:t xml:space="preserve">заявителей;   </w:t>
            </w:r>
          </w:p>
          <w:p w:rsidR="00F053BA" w:rsidRPr="00F053BA" w:rsidRDefault="00F053BA" w:rsidP="00F053BA">
            <w:pPr>
              <w:rPr>
                <w:rFonts w:cs="Arial"/>
                <w:sz w:val="16"/>
                <w:szCs w:val="16"/>
                <w:lang w:val="ru-RU"/>
              </w:rPr>
            </w:pPr>
            <w:r w:rsidRPr="00F053BA">
              <w:rPr>
                <w:sz w:val="16"/>
                <w:szCs w:val="16"/>
                <w:lang w:val="ru-RU"/>
              </w:rPr>
              <w:t xml:space="preserve">третьих лиц;  </w:t>
            </w:r>
          </w:p>
          <w:p w:rsidR="00F053BA" w:rsidRPr="00F053BA" w:rsidRDefault="00F053BA" w:rsidP="00F053BA">
            <w:pPr>
              <w:rPr>
                <w:rFonts w:cs="Arial"/>
                <w:sz w:val="16"/>
                <w:szCs w:val="16"/>
                <w:lang w:val="ru-RU"/>
              </w:rPr>
            </w:pPr>
            <w:r w:rsidRPr="00F053BA">
              <w:rPr>
                <w:sz w:val="16"/>
                <w:szCs w:val="16"/>
                <w:lang w:val="ru-RU"/>
              </w:rPr>
              <w:t xml:space="preserve">ведомств и   </w:t>
            </w:r>
          </w:p>
          <w:p w:rsidR="00F053BA" w:rsidRPr="00F053BA" w:rsidRDefault="00F053BA" w:rsidP="00F053BA">
            <w:pPr>
              <w:rPr>
                <w:sz w:val="16"/>
                <w:szCs w:val="16"/>
                <w:lang w:val="ru-RU"/>
              </w:rPr>
            </w:pPr>
            <w:r w:rsidRPr="00F053BA">
              <w:rPr>
                <w:sz w:val="16"/>
                <w:szCs w:val="16"/>
                <w:lang w:val="ru-RU"/>
              </w:rPr>
              <w:t>международных органов</w:t>
            </w:r>
          </w:p>
          <w:p w:rsidR="00F053BA" w:rsidRPr="00F053BA" w:rsidRDefault="00F053BA" w:rsidP="00F053BA">
            <w:pPr>
              <w:rPr>
                <w:rFonts w:cs="Arial"/>
                <w:sz w:val="16"/>
                <w:szCs w:val="16"/>
                <w:lang w:val="ru-RU"/>
              </w:rPr>
            </w:pPr>
          </w:p>
        </w:tc>
        <w:tc>
          <w:tcPr>
            <w:tcW w:w="922" w:type="pct"/>
            <w:gridSpan w:val="2"/>
            <w:tcBorders>
              <w:top w:val="nil"/>
              <w:bottom w:val="single" w:sz="4" w:space="0" w:color="auto"/>
            </w:tcBorders>
            <w:shd w:val="clear" w:color="auto" w:fill="auto"/>
            <w:tcMar>
              <w:top w:w="110" w:type="dxa"/>
            </w:tcMar>
          </w:tcPr>
          <w:p w:rsidR="00F053BA" w:rsidRPr="00F053BA" w:rsidRDefault="00F053BA" w:rsidP="00F053BA">
            <w:pPr>
              <w:rPr>
                <w:rFonts w:cs="Arial"/>
                <w:sz w:val="16"/>
                <w:szCs w:val="16"/>
                <w:lang w:val="ru-RU"/>
              </w:rPr>
            </w:pPr>
            <w:r w:rsidRPr="00F053BA">
              <w:rPr>
                <w:sz w:val="16"/>
                <w:szCs w:val="16"/>
                <w:lang w:val="ru-RU"/>
              </w:rPr>
              <w:t xml:space="preserve">Рост числа операций, осуществленных с использованием услуг еРСТ в интересах:   </w:t>
            </w:r>
          </w:p>
          <w:p w:rsidR="00F053BA" w:rsidRPr="00F053BA" w:rsidRDefault="00F053BA" w:rsidP="00F053BA">
            <w:pPr>
              <w:rPr>
                <w:rFonts w:cs="Arial"/>
                <w:sz w:val="16"/>
                <w:szCs w:val="16"/>
                <w:lang w:val="ru-RU"/>
              </w:rPr>
            </w:pPr>
            <w:r w:rsidRPr="00F053BA">
              <w:rPr>
                <w:sz w:val="16"/>
                <w:szCs w:val="16"/>
                <w:lang w:val="ru-RU"/>
              </w:rPr>
              <w:t xml:space="preserve">заявителей;  </w:t>
            </w:r>
          </w:p>
          <w:p w:rsidR="00F053BA" w:rsidRPr="00F053BA" w:rsidRDefault="00F053BA" w:rsidP="00F053BA">
            <w:pPr>
              <w:rPr>
                <w:rFonts w:cs="Arial"/>
                <w:sz w:val="16"/>
                <w:szCs w:val="16"/>
                <w:lang w:val="ru-RU"/>
              </w:rPr>
            </w:pPr>
            <w:r w:rsidRPr="00F053BA">
              <w:rPr>
                <w:sz w:val="16"/>
                <w:szCs w:val="16"/>
                <w:lang w:val="ru-RU"/>
              </w:rPr>
              <w:t xml:space="preserve">третьих лиц;    </w:t>
            </w:r>
          </w:p>
          <w:p w:rsidR="00F053BA" w:rsidRPr="00F053BA" w:rsidRDefault="00F053BA" w:rsidP="00F053BA">
            <w:pPr>
              <w:rPr>
                <w:rFonts w:cs="Arial"/>
                <w:sz w:val="16"/>
                <w:szCs w:val="16"/>
                <w:lang w:val="ru-RU"/>
              </w:rPr>
            </w:pPr>
            <w:r w:rsidRPr="00F053BA">
              <w:rPr>
                <w:sz w:val="16"/>
                <w:szCs w:val="16"/>
                <w:lang w:val="ru-RU"/>
              </w:rPr>
              <w:t xml:space="preserve">ведомств и   </w:t>
            </w:r>
          </w:p>
          <w:p w:rsidR="00F053BA" w:rsidRPr="00F053BA" w:rsidRDefault="00F053BA" w:rsidP="00F053BA">
            <w:pPr>
              <w:rPr>
                <w:rFonts w:cs="Arial"/>
                <w:sz w:val="16"/>
                <w:szCs w:val="16"/>
                <w:lang w:val="ru-RU"/>
              </w:rPr>
            </w:pPr>
            <w:r w:rsidRPr="00F053BA">
              <w:rPr>
                <w:sz w:val="16"/>
                <w:szCs w:val="16"/>
                <w:lang w:val="ru-RU"/>
              </w:rPr>
              <w:t>международных органов</w:t>
            </w:r>
          </w:p>
        </w:tc>
        <w:tc>
          <w:tcPr>
            <w:tcW w:w="1419" w:type="pct"/>
            <w:gridSpan w:val="3"/>
            <w:tcBorders>
              <w:top w:val="nil"/>
              <w:bottom w:val="single" w:sz="4" w:space="0" w:color="auto"/>
            </w:tcBorders>
            <w:shd w:val="clear" w:color="auto" w:fill="FFFFFF"/>
            <w:tcMar>
              <w:top w:w="110" w:type="dxa"/>
            </w:tcMar>
          </w:tcPr>
          <w:p w:rsidR="00F053BA" w:rsidRPr="00F053BA" w:rsidRDefault="00F053BA" w:rsidP="00F053BA">
            <w:pPr>
              <w:pStyle w:val="ListParagraph"/>
              <w:ind w:left="0"/>
              <w:rPr>
                <w:rFonts w:cs="Arial"/>
                <w:sz w:val="16"/>
                <w:szCs w:val="16"/>
                <w:lang w:val="ru-RU"/>
              </w:rPr>
            </w:pPr>
            <w:r w:rsidRPr="00F053BA">
              <w:rPr>
                <w:sz w:val="16"/>
                <w:szCs w:val="16"/>
                <w:lang w:val="ru-RU"/>
              </w:rPr>
              <w:t>По состоянию на конец 2015 г. по сравнению с концом 2013 г.:</w:t>
            </w:r>
          </w:p>
          <w:p w:rsidR="00F053BA" w:rsidRPr="00F053BA" w:rsidRDefault="00F053BA" w:rsidP="00F053BA">
            <w:pPr>
              <w:pStyle w:val="ListParagraph"/>
              <w:ind w:left="0"/>
              <w:rPr>
                <w:rFonts w:cs="Arial"/>
                <w:sz w:val="16"/>
                <w:szCs w:val="16"/>
                <w:lang w:val="ru-RU"/>
              </w:rPr>
            </w:pPr>
          </w:p>
          <w:p w:rsidR="00F053BA" w:rsidRPr="00F053BA" w:rsidRDefault="00F053BA" w:rsidP="00F053BA">
            <w:pPr>
              <w:pStyle w:val="ListParagraph"/>
              <w:ind w:left="0"/>
              <w:rPr>
                <w:rFonts w:cs="Arial"/>
                <w:sz w:val="16"/>
                <w:szCs w:val="16"/>
                <w:lang w:val="ru-RU"/>
              </w:rPr>
            </w:pPr>
            <w:r w:rsidRPr="00F053BA">
              <w:rPr>
                <w:sz w:val="16"/>
                <w:szCs w:val="16"/>
                <w:lang w:val="ru-RU"/>
              </w:rPr>
              <w:t>-- 11</w:t>
            </w:r>
            <w:r>
              <w:rPr>
                <w:sz w:val="16"/>
                <w:szCs w:val="16"/>
              </w:rPr>
              <w:t> </w:t>
            </w:r>
            <w:r w:rsidRPr="00F053BA">
              <w:rPr>
                <w:sz w:val="16"/>
                <w:szCs w:val="16"/>
                <w:lang w:val="ru-RU"/>
              </w:rPr>
              <w:t>242 заявителя, являющегося государственными органами (+40%)</w:t>
            </w:r>
          </w:p>
          <w:p w:rsidR="00F053BA" w:rsidRPr="00F053BA" w:rsidRDefault="00F053BA" w:rsidP="00F053BA">
            <w:pPr>
              <w:pStyle w:val="ListParagraph"/>
              <w:spacing w:before="60" w:after="60"/>
              <w:ind w:left="0"/>
              <w:rPr>
                <w:rFonts w:cs="Arial"/>
                <w:sz w:val="16"/>
                <w:szCs w:val="16"/>
                <w:lang w:val="ru-RU"/>
              </w:rPr>
            </w:pPr>
            <w:r w:rsidRPr="00F053BA">
              <w:rPr>
                <w:sz w:val="16"/>
                <w:szCs w:val="16"/>
                <w:lang w:val="ru-RU"/>
              </w:rPr>
              <w:t>--</w:t>
            </w:r>
            <w:r>
              <w:rPr>
                <w:sz w:val="16"/>
                <w:szCs w:val="16"/>
              </w:rPr>
              <w:t> </w:t>
            </w:r>
            <w:r w:rsidRPr="00F053BA">
              <w:rPr>
                <w:sz w:val="16"/>
                <w:szCs w:val="16"/>
                <w:lang w:val="ru-RU"/>
              </w:rPr>
              <w:t>29</w:t>
            </w:r>
            <w:r w:rsidRPr="0038078F">
              <w:rPr>
                <w:sz w:val="16"/>
                <w:szCs w:val="16"/>
              </w:rPr>
              <w:t> </w:t>
            </w:r>
            <w:r w:rsidRPr="00F053BA">
              <w:rPr>
                <w:sz w:val="16"/>
                <w:szCs w:val="16"/>
                <w:lang w:val="ru-RU"/>
              </w:rPr>
              <w:t xml:space="preserve">590 частных заявителей (+522%) </w:t>
            </w:r>
          </w:p>
          <w:p w:rsidR="00F053BA" w:rsidRPr="00F053BA" w:rsidRDefault="00F053BA" w:rsidP="00F053BA">
            <w:pPr>
              <w:pStyle w:val="ListParagraph"/>
              <w:ind w:left="0"/>
              <w:rPr>
                <w:rFonts w:cs="Arial"/>
                <w:sz w:val="16"/>
                <w:szCs w:val="16"/>
                <w:lang w:val="ru-RU"/>
              </w:rPr>
            </w:pPr>
            <w:r w:rsidRPr="00F053BA">
              <w:rPr>
                <w:sz w:val="16"/>
                <w:szCs w:val="16"/>
                <w:lang w:val="ru-RU"/>
              </w:rPr>
              <w:t xml:space="preserve">-- 70 сторонних наблюдателей  </w:t>
            </w:r>
          </w:p>
          <w:p w:rsidR="00F053BA" w:rsidRPr="00F053BA" w:rsidRDefault="00F053BA" w:rsidP="00F053BA">
            <w:pPr>
              <w:pStyle w:val="ListParagraph"/>
              <w:ind w:left="0"/>
              <w:rPr>
                <w:rFonts w:cs="Arial"/>
                <w:sz w:val="16"/>
                <w:szCs w:val="16"/>
                <w:lang w:val="ru-RU"/>
              </w:rPr>
            </w:pPr>
            <w:r w:rsidRPr="00F053BA">
              <w:rPr>
                <w:sz w:val="16"/>
                <w:szCs w:val="16"/>
                <w:lang w:val="ru-RU"/>
              </w:rPr>
              <w:t xml:space="preserve">(-5%); </w:t>
            </w:r>
          </w:p>
          <w:p w:rsidR="00F053BA" w:rsidRPr="00F053BA" w:rsidRDefault="00F053BA" w:rsidP="00F053BA">
            <w:pPr>
              <w:pStyle w:val="ListParagraph"/>
              <w:spacing w:before="60" w:after="60"/>
              <w:ind w:left="0"/>
              <w:rPr>
                <w:rFonts w:cs="Arial"/>
                <w:sz w:val="16"/>
                <w:szCs w:val="16"/>
                <w:lang w:val="ru-RU"/>
              </w:rPr>
            </w:pPr>
            <w:r w:rsidRPr="00F053BA">
              <w:rPr>
                <w:sz w:val="16"/>
                <w:szCs w:val="16"/>
                <w:lang w:val="ru-RU"/>
              </w:rPr>
              <w:t>-- 9</w:t>
            </w:r>
            <w:r w:rsidRPr="0038078F">
              <w:rPr>
                <w:sz w:val="16"/>
                <w:szCs w:val="16"/>
              </w:rPr>
              <w:t> </w:t>
            </w:r>
            <w:r w:rsidRPr="00F053BA">
              <w:rPr>
                <w:sz w:val="16"/>
                <w:szCs w:val="16"/>
                <w:lang w:val="ru-RU"/>
              </w:rPr>
              <w:t>085 получающих ведомств (+267%); и</w:t>
            </w:r>
          </w:p>
          <w:p w:rsidR="00F053BA" w:rsidRPr="00F053BA" w:rsidRDefault="00F053BA" w:rsidP="00F053BA">
            <w:pPr>
              <w:pStyle w:val="ListParagraph"/>
              <w:ind w:left="0"/>
              <w:rPr>
                <w:rFonts w:cs="Arial"/>
                <w:sz w:val="16"/>
                <w:szCs w:val="16"/>
                <w:lang w:val="ru-RU"/>
              </w:rPr>
            </w:pPr>
            <w:r w:rsidRPr="00F053BA">
              <w:rPr>
                <w:sz w:val="16"/>
                <w:szCs w:val="16"/>
                <w:lang w:val="ru-RU"/>
              </w:rPr>
              <w:t>-- 2</w:t>
            </w:r>
            <w:r w:rsidRPr="0038078F">
              <w:rPr>
                <w:sz w:val="16"/>
                <w:szCs w:val="16"/>
              </w:rPr>
              <w:t> </w:t>
            </w:r>
            <w:r w:rsidRPr="00F053BA">
              <w:rPr>
                <w:sz w:val="16"/>
                <w:szCs w:val="16"/>
                <w:lang w:val="ru-RU"/>
              </w:rPr>
              <w:t>596 международных органов (+8%).</w:t>
            </w:r>
          </w:p>
          <w:p w:rsidR="00F053BA" w:rsidRPr="0038078F" w:rsidRDefault="00F053BA" w:rsidP="00F053BA">
            <w:pPr>
              <w:pStyle w:val="ListParagraph"/>
              <w:ind w:left="0"/>
              <w:rPr>
                <w:rFonts w:cs="Arial"/>
                <w:sz w:val="16"/>
                <w:szCs w:val="16"/>
              </w:rPr>
            </w:pPr>
            <w:r w:rsidRPr="0038078F">
              <w:rPr>
                <w:sz w:val="16"/>
                <w:szCs w:val="16"/>
              </w:rPr>
              <w:t>(в</w:t>
            </w:r>
            <w:r>
              <w:rPr>
                <w:sz w:val="16"/>
                <w:szCs w:val="16"/>
              </w:rPr>
              <w:t>сего</w:t>
            </w:r>
            <w:r w:rsidRPr="0038078F">
              <w:rPr>
                <w:sz w:val="16"/>
                <w:szCs w:val="16"/>
              </w:rPr>
              <w:t>)</w:t>
            </w:r>
          </w:p>
        </w:tc>
        <w:tc>
          <w:tcPr>
            <w:tcW w:w="509" w:type="pct"/>
            <w:tcBorders>
              <w:top w:val="nil"/>
              <w:bottom w:val="single" w:sz="4" w:space="0" w:color="auto"/>
              <w:right w:val="single" w:sz="4" w:space="0" w:color="auto"/>
            </w:tcBorders>
            <w:shd w:val="clear" w:color="auto" w:fill="auto"/>
          </w:tcPr>
          <w:p w:rsidR="00F053BA" w:rsidRPr="0038078F" w:rsidRDefault="00F053BA" w:rsidP="00F053BA">
            <w:pPr>
              <w:jc w:val="center"/>
              <w:rPr>
                <w:rFonts w:cs="Arial"/>
                <w:b/>
                <w:bCs/>
                <w:color w:val="00B050"/>
                <w:sz w:val="16"/>
                <w:szCs w:val="16"/>
              </w:rPr>
            </w:pPr>
          </w:p>
          <w:p w:rsidR="00F053BA" w:rsidRPr="0038078F" w:rsidRDefault="00F053BA" w:rsidP="00F053BA">
            <w:pPr>
              <w:jc w:val="center"/>
              <w:rPr>
                <w:rFonts w:cs="Arial"/>
                <w:b/>
                <w:bCs/>
                <w:color w:val="00B050"/>
                <w:sz w:val="16"/>
                <w:szCs w:val="16"/>
              </w:rPr>
            </w:pPr>
            <w:r w:rsidRPr="0038078F">
              <w:rPr>
                <w:b/>
                <w:color w:val="00B050"/>
                <w:sz w:val="16"/>
                <w:szCs w:val="16"/>
              </w:rPr>
              <w:t>Выполнено</w:t>
            </w:r>
          </w:p>
        </w:tc>
      </w:tr>
      <w:tr w:rsidR="00F053BA" w:rsidRPr="005C6ABD" w:rsidTr="00F053BA">
        <w:trPr>
          <w:trHeight w:val="423"/>
        </w:trPr>
        <w:tc>
          <w:tcPr>
            <w:tcW w:w="5000" w:type="pct"/>
            <w:gridSpan w:val="8"/>
            <w:tcBorders>
              <w:top w:val="single" w:sz="4" w:space="0" w:color="auto"/>
              <w:bottom w:val="single" w:sz="4" w:space="0" w:color="auto"/>
            </w:tcBorders>
            <w:shd w:val="clear" w:color="auto" w:fill="C6D9F1" w:themeFill="text2" w:themeFillTint="33"/>
            <w:vAlign w:val="center"/>
          </w:tcPr>
          <w:p w:rsidR="00F053BA" w:rsidRPr="00F053BA" w:rsidRDefault="00F053BA" w:rsidP="00F053BA">
            <w:pPr>
              <w:keepNext/>
              <w:keepLines/>
              <w:tabs>
                <w:tab w:val="left" w:pos="1452"/>
              </w:tabs>
              <w:ind w:left="1452" w:hanging="1452"/>
              <w:rPr>
                <w:rFonts w:cs="Arial"/>
                <w:b/>
                <w:bCs/>
                <w:sz w:val="16"/>
                <w:szCs w:val="16"/>
                <w:lang w:val="ru-RU"/>
              </w:rPr>
            </w:pPr>
            <w:r w:rsidRPr="0038078F">
              <w:rPr>
                <w:b/>
                <w:sz w:val="16"/>
                <w:szCs w:val="16"/>
              </w:rPr>
              <w:t>II</w:t>
            </w:r>
            <w:r w:rsidRPr="00F053BA">
              <w:rPr>
                <w:b/>
                <w:sz w:val="16"/>
                <w:szCs w:val="16"/>
                <w:lang w:val="ru-RU"/>
              </w:rPr>
              <w:t>.3</w:t>
            </w:r>
            <w:r w:rsidRPr="00F053BA">
              <w:rPr>
                <w:sz w:val="16"/>
                <w:szCs w:val="16"/>
                <w:lang w:val="ru-RU"/>
              </w:rPr>
              <w:t xml:space="preserve"> </w:t>
            </w:r>
            <w:r w:rsidRPr="00F053BA">
              <w:rPr>
                <w:b/>
                <w:sz w:val="16"/>
                <w:szCs w:val="16"/>
                <w:lang w:val="ru-RU"/>
              </w:rPr>
              <w:t xml:space="preserve">Ожидаемый результат: </w:t>
            </w:r>
            <w:r w:rsidRPr="00F053BA">
              <w:rPr>
                <w:sz w:val="16"/>
                <w:szCs w:val="16"/>
                <w:lang w:val="ru-RU"/>
              </w:rPr>
              <w:tab/>
              <w:t xml:space="preserve">Повышение производительности и качества услуг в рамках операций </w:t>
            </w:r>
            <w:r w:rsidRPr="0038078F">
              <w:rPr>
                <w:sz w:val="16"/>
                <w:szCs w:val="16"/>
              </w:rPr>
              <w:t>PCT</w:t>
            </w:r>
            <w:r w:rsidRPr="00F053BA">
              <w:rPr>
                <w:sz w:val="16"/>
                <w:szCs w:val="16"/>
                <w:lang w:val="ru-RU"/>
              </w:rPr>
              <w:t>.</w:t>
            </w:r>
          </w:p>
        </w:tc>
      </w:tr>
      <w:tr w:rsidR="00F053BA" w:rsidRPr="0038078F" w:rsidTr="00F053BA">
        <w:tc>
          <w:tcPr>
            <w:tcW w:w="885" w:type="pct"/>
            <w:tcBorders>
              <w:top w:val="single" w:sz="4" w:space="0" w:color="auto"/>
              <w:left w:val="single" w:sz="4" w:space="0" w:color="auto"/>
              <w:bottom w:val="nil"/>
            </w:tcBorders>
            <w:shd w:val="clear" w:color="auto" w:fill="auto"/>
          </w:tcPr>
          <w:p w:rsidR="00F053BA" w:rsidRPr="0038078F" w:rsidRDefault="00F053BA" w:rsidP="00F053BA">
            <w:pPr>
              <w:keepNext/>
              <w:keepLines/>
              <w:rPr>
                <w:rFonts w:cs="Arial"/>
                <w:sz w:val="16"/>
                <w:szCs w:val="16"/>
              </w:rPr>
            </w:pPr>
            <w:r w:rsidRPr="0038078F">
              <w:rPr>
                <w:b/>
                <w:sz w:val="16"/>
                <w:szCs w:val="16"/>
              </w:rPr>
              <w:t>Показатели результативности</w:t>
            </w:r>
          </w:p>
        </w:tc>
        <w:tc>
          <w:tcPr>
            <w:tcW w:w="1265" w:type="pct"/>
            <w:tcBorders>
              <w:top w:val="single" w:sz="4" w:space="0" w:color="auto"/>
              <w:bottom w:val="nil"/>
            </w:tcBorders>
            <w:shd w:val="clear" w:color="auto" w:fill="auto"/>
          </w:tcPr>
          <w:p w:rsidR="00F053BA" w:rsidRPr="0038078F" w:rsidRDefault="00F053BA" w:rsidP="00F053BA">
            <w:pPr>
              <w:keepNext/>
              <w:keepLines/>
              <w:rPr>
                <w:rFonts w:cs="Arial"/>
                <w:b/>
                <w:bCs/>
                <w:sz w:val="16"/>
                <w:szCs w:val="16"/>
              </w:rPr>
            </w:pPr>
            <w:r w:rsidRPr="0038078F">
              <w:rPr>
                <w:b/>
                <w:sz w:val="16"/>
                <w:szCs w:val="16"/>
              </w:rPr>
              <w:t>Базовые показатели</w:t>
            </w:r>
          </w:p>
        </w:tc>
        <w:tc>
          <w:tcPr>
            <w:tcW w:w="922" w:type="pct"/>
            <w:gridSpan w:val="2"/>
            <w:tcBorders>
              <w:top w:val="single" w:sz="4" w:space="0" w:color="auto"/>
              <w:bottom w:val="nil"/>
            </w:tcBorders>
            <w:shd w:val="clear" w:color="auto" w:fill="auto"/>
            <w:tcMar>
              <w:top w:w="110" w:type="dxa"/>
            </w:tcMar>
          </w:tcPr>
          <w:p w:rsidR="00F053BA" w:rsidRPr="0038078F" w:rsidRDefault="00F053BA" w:rsidP="00F053BA">
            <w:pPr>
              <w:keepNext/>
              <w:keepLines/>
              <w:rPr>
                <w:rFonts w:cs="Arial"/>
                <w:b/>
                <w:sz w:val="16"/>
                <w:szCs w:val="16"/>
              </w:rPr>
            </w:pPr>
            <w:r w:rsidRPr="0038078F">
              <w:rPr>
                <w:b/>
                <w:sz w:val="16"/>
                <w:szCs w:val="16"/>
              </w:rPr>
              <w:t>Цели</w:t>
            </w:r>
          </w:p>
        </w:tc>
        <w:tc>
          <w:tcPr>
            <w:tcW w:w="1419" w:type="pct"/>
            <w:gridSpan w:val="3"/>
            <w:tcBorders>
              <w:top w:val="single" w:sz="4" w:space="0" w:color="auto"/>
              <w:bottom w:val="nil"/>
            </w:tcBorders>
            <w:shd w:val="clear" w:color="auto" w:fill="FFFFFF"/>
            <w:tcMar>
              <w:top w:w="110" w:type="dxa"/>
            </w:tcMar>
          </w:tcPr>
          <w:p w:rsidR="00F053BA" w:rsidRPr="0038078F" w:rsidRDefault="00F053BA" w:rsidP="00F053BA">
            <w:pPr>
              <w:keepNext/>
              <w:keepLines/>
              <w:rPr>
                <w:rFonts w:cs="Arial"/>
                <w:sz w:val="16"/>
                <w:szCs w:val="16"/>
              </w:rPr>
            </w:pPr>
            <w:r w:rsidRPr="0038078F">
              <w:rPr>
                <w:b/>
                <w:sz w:val="16"/>
                <w:szCs w:val="16"/>
              </w:rPr>
              <w:t>Данные о результативности</w:t>
            </w:r>
          </w:p>
        </w:tc>
        <w:tc>
          <w:tcPr>
            <w:tcW w:w="509" w:type="pct"/>
            <w:tcBorders>
              <w:top w:val="single" w:sz="4" w:space="0" w:color="auto"/>
              <w:bottom w:val="nil"/>
              <w:right w:val="single" w:sz="4" w:space="0" w:color="auto"/>
            </w:tcBorders>
            <w:shd w:val="clear" w:color="auto" w:fill="auto"/>
            <w:tcMar>
              <w:top w:w="110" w:type="dxa"/>
            </w:tcMar>
            <w:vAlign w:val="center"/>
          </w:tcPr>
          <w:p w:rsidR="00F053BA" w:rsidRPr="0038078F" w:rsidRDefault="00F053BA" w:rsidP="00F053BA">
            <w:pPr>
              <w:keepNext/>
              <w:keepLines/>
              <w:jc w:val="center"/>
              <w:rPr>
                <w:rFonts w:cs="Arial"/>
                <w:b/>
                <w:bCs/>
                <w:sz w:val="16"/>
                <w:szCs w:val="16"/>
              </w:rPr>
            </w:pPr>
            <w:r w:rsidRPr="0038078F">
              <w:rPr>
                <w:b/>
                <w:sz w:val="16"/>
                <w:szCs w:val="16"/>
              </w:rPr>
              <w:t>CC</w:t>
            </w:r>
          </w:p>
        </w:tc>
      </w:tr>
      <w:tr w:rsidR="00F053BA" w:rsidRPr="005C3CF6" w:rsidTr="00F053BA">
        <w:tc>
          <w:tcPr>
            <w:tcW w:w="885" w:type="pct"/>
            <w:tcBorders>
              <w:top w:val="nil"/>
              <w:left w:val="single" w:sz="4" w:space="0" w:color="auto"/>
              <w:bottom w:val="nil"/>
            </w:tcBorders>
            <w:shd w:val="clear" w:color="auto" w:fill="FFFFFF"/>
          </w:tcPr>
          <w:p w:rsidR="00F053BA" w:rsidRPr="0038078F" w:rsidRDefault="00F053BA" w:rsidP="00F053BA">
            <w:pPr>
              <w:keepNext/>
              <w:keepLines/>
              <w:rPr>
                <w:rFonts w:cs="Arial"/>
                <w:sz w:val="16"/>
                <w:szCs w:val="16"/>
              </w:rPr>
            </w:pPr>
            <w:r w:rsidRPr="0038078F">
              <w:rPr>
                <w:sz w:val="16"/>
                <w:szCs w:val="16"/>
              </w:rPr>
              <w:t xml:space="preserve">Стоимость обработки одной заявки </w:t>
            </w:r>
          </w:p>
        </w:tc>
        <w:tc>
          <w:tcPr>
            <w:tcW w:w="1265" w:type="pct"/>
            <w:tcBorders>
              <w:top w:val="nil"/>
              <w:bottom w:val="nil"/>
            </w:tcBorders>
            <w:shd w:val="clear" w:color="auto" w:fill="auto"/>
          </w:tcPr>
          <w:p w:rsidR="00F053BA" w:rsidRPr="00F053BA" w:rsidRDefault="00F053BA" w:rsidP="00F053BA">
            <w:pPr>
              <w:pStyle w:val="Default"/>
              <w:rPr>
                <w:color w:val="002060"/>
                <w:sz w:val="16"/>
                <w:szCs w:val="16"/>
                <w:lang w:val="ru-RU"/>
              </w:rPr>
            </w:pPr>
            <w:r w:rsidRPr="00F053BA">
              <w:rPr>
                <w:i/>
                <w:color w:val="002060"/>
                <w:sz w:val="16"/>
                <w:szCs w:val="16"/>
                <w:lang w:val="ru-RU"/>
              </w:rPr>
              <w:t>Обновленные базовые показатели, конец 2013</w:t>
            </w:r>
            <w:r w:rsidRPr="0038078F">
              <w:rPr>
                <w:i/>
                <w:color w:val="002060"/>
                <w:sz w:val="16"/>
                <w:szCs w:val="16"/>
              </w:rPr>
              <w:t> </w:t>
            </w:r>
            <w:r w:rsidRPr="00F053BA">
              <w:rPr>
                <w:i/>
                <w:color w:val="002060"/>
                <w:sz w:val="16"/>
                <w:szCs w:val="16"/>
                <w:lang w:val="ru-RU"/>
              </w:rPr>
              <w:t>г.:</w:t>
            </w:r>
            <w:r w:rsidRPr="00F053BA">
              <w:rPr>
                <w:color w:val="943634" w:themeColor="accent2" w:themeShade="BF"/>
                <w:sz w:val="16"/>
                <w:szCs w:val="16"/>
                <w:lang w:val="ru-RU"/>
              </w:rPr>
              <w:t xml:space="preserve">  </w:t>
            </w:r>
            <w:r w:rsidR="005C3CF6">
              <w:rPr>
                <w:color w:val="002060"/>
                <w:sz w:val="16"/>
                <w:szCs w:val="16"/>
                <w:lang w:val="ru-RU"/>
              </w:rPr>
              <w:t>722 </w:t>
            </w:r>
            <w:r w:rsidRPr="00F053BA">
              <w:rPr>
                <w:color w:val="002060"/>
                <w:sz w:val="16"/>
                <w:szCs w:val="16"/>
                <w:lang w:val="ru-RU"/>
              </w:rPr>
              <w:t>шв. фр</w:t>
            </w:r>
            <w:r w:rsidR="005C3CF6">
              <w:rPr>
                <w:color w:val="002060"/>
                <w:sz w:val="16"/>
                <w:szCs w:val="16"/>
                <w:lang w:val="ru-RU"/>
              </w:rPr>
              <w:t>.</w:t>
            </w:r>
            <w:r w:rsidRPr="00F053BA">
              <w:rPr>
                <w:color w:val="002060"/>
                <w:sz w:val="16"/>
                <w:szCs w:val="16"/>
                <w:lang w:val="ru-RU"/>
              </w:rPr>
              <w:t xml:space="preserve"> (2013 г.)</w:t>
            </w:r>
          </w:p>
          <w:p w:rsidR="00F053BA" w:rsidRPr="00F053BA" w:rsidRDefault="00F053BA" w:rsidP="00F053BA">
            <w:pPr>
              <w:rPr>
                <w:rFonts w:cs="Arial"/>
                <w:i/>
                <w:sz w:val="16"/>
                <w:szCs w:val="16"/>
                <w:lang w:val="ru-RU"/>
              </w:rPr>
            </w:pPr>
          </w:p>
          <w:p w:rsidR="00F053BA" w:rsidRPr="00F053BA" w:rsidRDefault="00F053BA" w:rsidP="00F053BA">
            <w:pPr>
              <w:rPr>
                <w:rFonts w:cs="Arial"/>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стоимость рассмотрения одной заявки в 2013</w:t>
            </w:r>
            <w:r w:rsidRPr="0038078F">
              <w:rPr>
                <w:sz w:val="16"/>
                <w:szCs w:val="16"/>
              </w:rPr>
              <w:t> </w:t>
            </w:r>
            <w:r w:rsidRPr="00F053BA">
              <w:rPr>
                <w:sz w:val="16"/>
                <w:szCs w:val="16"/>
                <w:lang w:val="ru-RU"/>
              </w:rPr>
              <w:t>г.</w:t>
            </w:r>
          </w:p>
          <w:p w:rsidR="00F053BA" w:rsidRPr="00F053BA" w:rsidRDefault="00F053BA" w:rsidP="00F053BA">
            <w:pPr>
              <w:keepNext/>
              <w:keepLines/>
              <w:rPr>
                <w:rFonts w:cs="Arial"/>
                <w:sz w:val="16"/>
                <w:szCs w:val="16"/>
                <w:lang w:val="ru-RU"/>
              </w:rPr>
            </w:pPr>
          </w:p>
        </w:tc>
        <w:tc>
          <w:tcPr>
            <w:tcW w:w="922" w:type="pct"/>
            <w:gridSpan w:val="2"/>
            <w:tcBorders>
              <w:top w:val="nil"/>
              <w:bottom w:val="nil"/>
            </w:tcBorders>
            <w:shd w:val="clear" w:color="auto" w:fill="auto"/>
            <w:tcMar>
              <w:top w:w="110" w:type="dxa"/>
            </w:tcMar>
          </w:tcPr>
          <w:p w:rsidR="00F053BA" w:rsidRPr="0038078F" w:rsidRDefault="00F053BA" w:rsidP="00F053BA">
            <w:pPr>
              <w:keepNext/>
              <w:keepLines/>
              <w:autoSpaceDE w:val="0"/>
              <w:autoSpaceDN w:val="0"/>
              <w:adjustRightInd w:val="0"/>
              <w:rPr>
                <w:rFonts w:cs="Arial"/>
                <w:sz w:val="16"/>
                <w:szCs w:val="16"/>
              </w:rPr>
            </w:pPr>
            <w:r w:rsidRPr="0038078F">
              <w:rPr>
                <w:sz w:val="16"/>
                <w:szCs w:val="16"/>
              </w:rPr>
              <w:t>Снижение стоимости</w:t>
            </w:r>
          </w:p>
        </w:tc>
        <w:tc>
          <w:tcPr>
            <w:tcW w:w="1419" w:type="pct"/>
            <w:gridSpan w:val="3"/>
            <w:tcBorders>
              <w:top w:val="nil"/>
              <w:bottom w:val="nil"/>
            </w:tcBorders>
            <w:shd w:val="clear" w:color="auto" w:fill="FFFFFF"/>
            <w:tcMar>
              <w:top w:w="110" w:type="dxa"/>
            </w:tcMar>
          </w:tcPr>
          <w:p w:rsidR="00F053BA" w:rsidRPr="00F053BA" w:rsidRDefault="005C3CF6" w:rsidP="00F053BA">
            <w:pPr>
              <w:keepNext/>
              <w:keepLines/>
              <w:rPr>
                <w:rFonts w:cs="Arial"/>
                <w:sz w:val="16"/>
                <w:szCs w:val="16"/>
                <w:lang w:val="ru-RU"/>
              </w:rPr>
            </w:pPr>
            <w:r>
              <w:rPr>
                <w:sz w:val="16"/>
                <w:szCs w:val="16"/>
                <w:lang w:val="ru-RU"/>
              </w:rPr>
              <w:t>662 </w:t>
            </w:r>
            <w:r w:rsidR="00F053BA" w:rsidRPr="00F053BA">
              <w:rPr>
                <w:sz w:val="16"/>
                <w:szCs w:val="16"/>
                <w:lang w:val="ru-RU"/>
              </w:rPr>
              <w:t>шв. фр</w:t>
            </w:r>
            <w:r>
              <w:rPr>
                <w:sz w:val="16"/>
                <w:szCs w:val="16"/>
                <w:lang w:val="ru-RU"/>
              </w:rPr>
              <w:t>.</w:t>
            </w:r>
            <w:r w:rsidR="00F053BA" w:rsidRPr="00F053BA">
              <w:rPr>
                <w:sz w:val="16"/>
                <w:szCs w:val="16"/>
                <w:lang w:val="ru-RU"/>
              </w:rPr>
              <w:t xml:space="preserve"> (2014 г.)</w:t>
            </w: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sz w:val="16"/>
                <w:szCs w:val="16"/>
                <w:vertAlign w:val="superscript"/>
                <w:lang w:val="ru-RU"/>
              </w:rPr>
            </w:pPr>
            <w:r w:rsidRPr="00F053BA">
              <w:rPr>
                <w:sz w:val="16"/>
                <w:szCs w:val="16"/>
                <w:lang w:val="ru-RU"/>
              </w:rPr>
              <w:t>735</w:t>
            </w:r>
            <w:r w:rsidR="005C3CF6">
              <w:rPr>
                <w:sz w:val="16"/>
                <w:szCs w:val="16"/>
                <w:lang w:val="ru-RU"/>
              </w:rPr>
              <w:t> </w:t>
            </w:r>
            <w:r w:rsidRPr="00F053BA">
              <w:rPr>
                <w:sz w:val="16"/>
                <w:szCs w:val="16"/>
                <w:lang w:val="ru-RU"/>
              </w:rPr>
              <w:t>шв. фр</w:t>
            </w:r>
            <w:r w:rsidR="005C3CF6">
              <w:rPr>
                <w:sz w:val="16"/>
                <w:szCs w:val="16"/>
                <w:lang w:val="ru-RU"/>
              </w:rPr>
              <w:t>.</w:t>
            </w:r>
            <w:r w:rsidRPr="00F053BA">
              <w:rPr>
                <w:sz w:val="16"/>
                <w:szCs w:val="16"/>
                <w:lang w:val="ru-RU"/>
              </w:rPr>
              <w:t xml:space="preserve"> (2015 г.)</w:t>
            </w:r>
            <w:r w:rsidRPr="0038078F">
              <w:rPr>
                <w:rStyle w:val="FootnoteReference"/>
                <w:sz w:val="16"/>
                <w:szCs w:val="16"/>
              </w:rPr>
              <w:footnoteReference w:id="18"/>
            </w: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sz w:val="16"/>
                <w:szCs w:val="16"/>
                <w:lang w:val="ru-RU"/>
              </w:rPr>
            </w:pPr>
          </w:p>
          <w:p w:rsidR="00F053BA" w:rsidRPr="00F053BA" w:rsidRDefault="00F053BA" w:rsidP="00F053BA">
            <w:pPr>
              <w:keepNext/>
              <w:keepLines/>
              <w:rPr>
                <w:rFonts w:cs="Arial"/>
                <w:sz w:val="16"/>
                <w:szCs w:val="16"/>
                <w:lang w:val="ru-RU"/>
              </w:rPr>
            </w:pPr>
            <w:r w:rsidRPr="00F053BA">
              <w:rPr>
                <w:sz w:val="16"/>
                <w:szCs w:val="16"/>
                <w:lang w:val="ru-RU"/>
              </w:rPr>
              <w:t>В среднем 698</w:t>
            </w:r>
            <w:r w:rsidRPr="0038078F">
              <w:rPr>
                <w:sz w:val="16"/>
                <w:szCs w:val="16"/>
              </w:rPr>
              <w:t> </w:t>
            </w:r>
            <w:r w:rsidRPr="00F053BA">
              <w:rPr>
                <w:sz w:val="16"/>
                <w:szCs w:val="16"/>
                <w:lang w:val="ru-RU"/>
              </w:rPr>
              <w:t>шв. фр</w:t>
            </w:r>
            <w:r w:rsidR="005C3CF6">
              <w:rPr>
                <w:sz w:val="16"/>
                <w:szCs w:val="16"/>
                <w:lang w:val="ru-RU"/>
              </w:rPr>
              <w:t>.</w:t>
            </w:r>
            <w:r w:rsidRPr="00F053BA">
              <w:rPr>
                <w:sz w:val="16"/>
                <w:szCs w:val="16"/>
                <w:lang w:val="ru-RU"/>
              </w:rPr>
              <w:t xml:space="preserve"> в двухлетний период 2014–2015</w:t>
            </w:r>
            <w:r w:rsidRPr="0038078F">
              <w:rPr>
                <w:sz w:val="16"/>
                <w:szCs w:val="16"/>
              </w:rPr>
              <w:t> </w:t>
            </w:r>
            <w:r w:rsidRPr="00F053BA">
              <w:rPr>
                <w:sz w:val="16"/>
                <w:szCs w:val="16"/>
                <w:lang w:val="ru-RU"/>
              </w:rPr>
              <w:t>гг., т.е. на 2,7% ниже, чем средний показатель двухлетнего периода 2012–2013</w:t>
            </w:r>
            <w:r w:rsidRPr="0038078F">
              <w:rPr>
                <w:sz w:val="16"/>
                <w:szCs w:val="16"/>
              </w:rPr>
              <w:t> </w:t>
            </w:r>
            <w:r w:rsidRPr="00F053BA">
              <w:rPr>
                <w:sz w:val="16"/>
                <w:szCs w:val="16"/>
                <w:lang w:val="ru-RU"/>
              </w:rPr>
              <w:t>гг., который состав</w:t>
            </w:r>
            <w:r w:rsidR="005C3CF6">
              <w:rPr>
                <w:sz w:val="16"/>
                <w:szCs w:val="16"/>
                <w:lang w:val="ru-RU"/>
              </w:rPr>
              <w:t>ил 717 </w:t>
            </w:r>
            <w:r w:rsidRPr="00F053BA">
              <w:rPr>
                <w:sz w:val="16"/>
                <w:szCs w:val="16"/>
                <w:lang w:val="ru-RU"/>
              </w:rPr>
              <w:t>шв. фр.</w:t>
            </w:r>
          </w:p>
          <w:p w:rsidR="00F053BA" w:rsidRPr="00F053BA" w:rsidRDefault="00F053BA" w:rsidP="00F053BA">
            <w:pPr>
              <w:keepNext/>
              <w:keepLines/>
              <w:rPr>
                <w:rFonts w:cs="Arial"/>
                <w:sz w:val="16"/>
                <w:szCs w:val="16"/>
                <w:lang w:val="ru-RU"/>
              </w:rPr>
            </w:pPr>
          </w:p>
        </w:tc>
        <w:tc>
          <w:tcPr>
            <w:tcW w:w="509" w:type="pct"/>
            <w:tcBorders>
              <w:top w:val="nil"/>
              <w:bottom w:val="nil"/>
              <w:right w:val="single" w:sz="4" w:space="0" w:color="auto"/>
            </w:tcBorders>
            <w:shd w:val="clear" w:color="auto" w:fill="auto"/>
            <w:tcMar>
              <w:top w:w="110" w:type="dxa"/>
            </w:tcMar>
          </w:tcPr>
          <w:p w:rsidR="00F053BA" w:rsidRPr="005C3CF6" w:rsidRDefault="00F053BA" w:rsidP="00F053BA">
            <w:pPr>
              <w:jc w:val="center"/>
              <w:rPr>
                <w:b/>
                <w:color w:val="00B050"/>
                <w:sz w:val="16"/>
                <w:szCs w:val="16"/>
                <w:lang w:val="ru-RU"/>
              </w:rPr>
            </w:pPr>
            <w:r w:rsidRPr="005C3CF6">
              <w:rPr>
                <w:b/>
                <w:color w:val="00B050"/>
                <w:sz w:val="16"/>
                <w:szCs w:val="16"/>
                <w:lang w:val="ru-RU"/>
              </w:rPr>
              <w:t>Выполнено</w:t>
            </w:r>
          </w:p>
          <w:p w:rsidR="00F053BA" w:rsidRPr="005C3CF6" w:rsidRDefault="00F053BA" w:rsidP="00F053BA">
            <w:pPr>
              <w:jc w:val="center"/>
              <w:rPr>
                <w:rFonts w:cs="Arial"/>
                <w:b/>
                <w:color w:val="00B050"/>
                <w:sz w:val="16"/>
                <w:szCs w:val="16"/>
                <w:lang w:val="ru-RU"/>
              </w:rPr>
            </w:pPr>
          </w:p>
          <w:p w:rsidR="00F053BA" w:rsidRPr="005C3CF6" w:rsidRDefault="00F053BA" w:rsidP="00F053BA">
            <w:pPr>
              <w:jc w:val="center"/>
              <w:rPr>
                <w:rFonts w:cs="Arial"/>
                <w:b/>
                <w:color w:val="FF0000"/>
                <w:sz w:val="16"/>
                <w:szCs w:val="16"/>
                <w:lang w:val="ru-RU"/>
              </w:rPr>
            </w:pPr>
            <w:r w:rsidRPr="005C3CF6">
              <w:rPr>
                <w:b/>
                <w:color w:val="FF0000"/>
                <w:sz w:val="16"/>
                <w:szCs w:val="16"/>
                <w:lang w:val="ru-RU"/>
              </w:rPr>
              <w:t>Не выполнено</w:t>
            </w:r>
          </w:p>
          <w:p w:rsidR="00F053BA" w:rsidRPr="005C3CF6" w:rsidRDefault="00F053BA" w:rsidP="00F053BA">
            <w:pPr>
              <w:keepNext/>
              <w:keepLines/>
              <w:jc w:val="center"/>
              <w:rPr>
                <w:rFonts w:cs="Arial"/>
                <w:b/>
                <w:bCs/>
                <w:color w:val="00B050"/>
                <w:sz w:val="16"/>
                <w:szCs w:val="16"/>
                <w:lang w:val="ru-RU"/>
              </w:rPr>
            </w:pPr>
          </w:p>
          <w:p w:rsidR="00F053BA" w:rsidRPr="005C3CF6" w:rsidRDefault="00F053BA" w:rsidP="00F053BA">
            <w:pPr>
              <w:jc w:val="center"/>
              <w:rPr>
                <w:rFonts w:cs="Arial"/>
                <w:b/>
                <w:color w:val="00B050"/>
                <w:sz w:val="16"/>
                <w:szCs w:val="16"/>
                <w:lang w:val="ru-RU"/>
              </w:rPr>
            </w:pPr>
          </w:p>
          <w:p w:rsidR="00F053BA" w:rsidRPr="005C3CF6" w:rsidRDefault="00F053BA" w:rsidP="00F053BA">
            <w:pPr>
              <w:keepNext/>
              <w:keepLines/>
              <w:jc w:val="center"/>
              <w:rPr>
                <w:rFonts w:cs="Arial"/>
                <w:b/>
                <w:bCs/>
                <w:color w:val="00B050"/>
                <w:sz w:val="16"/>
                <w:szCs w:val="16"/>
                <w:lang w:val="ru-RU"/>
              </w:rPr>
            </w:pPr>
            <w:r w:rsidRPr="005C3CF6">
              <w:rPr>
                <w:b/>
                <w:color w:val="00B050"/>
                <w:sz w:val="16"/>
                <w:szCs w:val="16"/>
                <w:lang w:val="ru-RU"/>
              </w:rPr>
              <w:t>Выполнено</w:t>
            </w:r>
          </w:p>
          <w:p w:rsidR="00F053BA" w:rsidRPr="005C3CF6" w:rsidRDefault="00F053BA" w:rsidP="00F053BA">
            <w:pPr>
              <w:keepNext/>
              <w:keepLines/>
              <w:jc w:val="center"/>
              <w:rPr>
                <w:rFonts w:cs="Arial"/>
                <w:b/>
                <w:bCs/>
                <w:color w:val="00B050"/>
                <w:sz w:val="16"/>
                <w:szCs w:val="16"/>
                <w:lang w:val="ru-RU"/>
              </w:rPr>
            </w:pPr>
          </w:p>
        </w:tc>
      </w:tr>
      <w:tr w:rsidR="00F053BA" w:rsidRPr="0038078F" w:rsidTr="00F053BA">
        <w:tc>
          <w:tcPr>
            <w:tcW w:w="885" w:type="pct"/>
            <w:tcBorders>
              <w:top w:val="nil"/>
              <w:left w:val="single" w:sz="4" w:space="0" w:color="auto"/>
              <w:bottom w:val="nil"/>
            </w:tcBorders>
            <w:shd w:val="clear" w:color="auto" w:fill="FFFFFF"/>
          </w:tcPr>
          <w:p w:rsidR="00F053BA" w:rsidRPr="00F053BA" w:rsidRDefault="00F053BA" w:rsidP="00F053BA">
            <w:pPr>
              <w:rPr>
                <w:rFonts w:cs="Arial"/>
                <w:sz w:val="16"/>
                <w:szCs w:val="16"/>
                <w:lang w:val="ru-RU"/>
              </w:rPr>
            </w:pPr>
            <w:r w:rsidRPr="00F053BA">
              <w:rPr>
                <w:sz w:val="16"/>
                <w:szCs w:val="16"/>
                <w:lang w:val="ru-RU"/>
              </w:rPr>
              <w:t>Агрегатный показатель качества экспертизы по формальным признакам (включая своевременность подачи)</w:t>
            </w:r>
          </w:p>
        </w:tc>
        <w:tc>
          <w:tcPr>
            <w:tcW w:w="1265" w:type="pct"/>
            <w:tcBorders>
              <w:top w:val="nil"/>
              <w:bottom w:val="nil"/>
            </w:tcBorders>
            <w:shd w:val="clear" w:color="auto" w:fill="auto"/>
          </w:tcPr>
          <w:p w:rsidR="00F053BA" w:rsidRPr="00F053BA" w:rsidRDefault="00F053BA" w:rsidP="00F053BA">
            <w:pPr>
              <w:pStyle w:val="Default"/>
              <w:rPr>
                <w:color w:val="002060"/>
                <w:sz w:val="16"/>
                <w:szCs w:val="16"/>
                <w:lang w:val="ru-RU"/>
              </w:rPr>
            </w:pPr>
            <w:r w:rsidRPr="00F053BA">
              <w:rPr>
                <w:i/>
                <w:color w:val="002060"/>
                <w:sz w:val="16"/>
                <w:szCs w:val="16"/>
                <w:lang w:val="ru-RU"/>
              </w:rPr>
              <w:t>Обновленные базовые показатели, конец 2013</w:t>
            </w:r>
            <w:r w:rsidRPr="0038078F">
              <w:rPr>
                <w:i/>
                <w:color w:val="002060"/>
                <w:sz w:val="16"/>
                <w:szCs w:val="16"/>
              </w:rPr>
              <w:t> </w:t>
            </w:r>
            <w:r w:rsidRPr="00F053BA">
              <w:rPr>
                <w:i/>
                <w:color w:val="002060"/>
                <w:sz w:val="16"/>
                <w:szCs w:val="16"/>
                <w:lang w:val="ru-RU"/>
              </w:rPr>
              <w:t>г.:</w:t>
            </w:r>
            <w:r w:rsidRPr="00F053BA">
              <w:rPr>
                <w:color w:val="943634" w:themeColor="accent2" w:themeShade="BF"/>
                <w:sz w:val="16"/>
                <w:szCs w:val="16"/>
                <w:lang w:val="ru-RU"/>
              </w:rPr>
              <w:t xml:space="preserve">  </w:t>
            </w:r>
            <w:r w:rsidRPr="00F053BA">
              <w:rPr>
                <w:color w:val="002060"/>
                <w:sz w:val="16"/>
                <w:szCs w:val="16"/>
                <w:lang w:val="ru-RU"/>
              </w:rPr>
              <w:t>88,74% (в среднем за 2011–2013 гг.)</w:t>
            </w:r>
          </w:p>
          <w:p w:rsidR="00F053BA" w:rsidRPr="00F053BA" w:rsidRDefault="00F053BA" w:rsidP="00F053BA">
            <w:pPr>
              <w:jc w:val="center"/>
              <w:rPr>
                <w:rFonts w:cs="Arial"/>
                <w:i/>
                <w:sz w:val="16"/>
                <w:szCs w:val="16"/>
                <w:lang w:val="ru-RU"/>
              </w:rPr>
            </w:pPr>
          </w:p>
          <w:p w:rsidR="00F053BA" w:rsidRPr="00F053BA" w:rsidRDefault="00F053BA" w:rsidP="00F053BA">
            <w:pPr>
              <w:pStyle w:val="Default"/>
              <w:rPr>
                <w:i/>
                <w:color w:val="002060"/>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w:t>
            </w:r>
            <w:r w:rsidRPr="00F053BA">
              <w:rPr>
                <w:color w:val="auto"/>
                <w:sz w:val="16"/>
                <w:szCs w:val="16"/>
                <w:lang w:val="ru-RU"/>
              </w:rPr>
              <w:t>средний показатель за последние три года</w:t>
            </w:r>
          </w:p>
        </w:tc>
        <w:tc>
          <w:tcPr>
            <w:tcW w:w="922" w:type="pct"/>
            <w:gridSpan w:val="2"/>
            <w:tcBorders>
              <w:top w:val="nil"/>
              <w:bottom w:val="nil"/>
            </w:tcBorders>
            <w:shd w:val="clear" w:color="auto" w:fill="auto"/>
            <w:tcMar>
              <w:top w:w="110" w:type="dxa"/>
            </w:tcMar>
          </w:tcPr>
          <w:p w:rsidR="00F053BA" w:rsidRPr="0038078F" w:rsidRDefault="00F053BA" w:rsidP="00F053BA">
            <w:pPr>
              <w:autoSpaceDE w:val="0"/>
              <w:autoSpaceDN w:val="0"/>
              <w:adjustRightInd w:val="0"/>
              <w:rPr>
                <w:rFonts w:cs="Arial"/>
                <w:sz w:val="16"/>
                <w:szCs w:val="16"/>
              </w:rPr>
            </w:pPr>
            <w:r w:rsidRPr="0038078F">
              <w:rPr>
                <w:sz w:val="16"/>
                <w:szCs w:val="16"/>
              </w:rPr>
              <w:t>Более высокое качество</w:t>
            </w:r>
          </w:p>
        </w:tc>
        <w:tc>
          <w:tcPr>
            <w:tcW w:w="1419" w:type="pct"/>
            <w:gridSpan w:val="3"/>
            <w:tcBorders>
              <w:top w:val="nil"/>
              <w:bottom w:val="nil"/>
            </w:tcBorders>
            <w:shd w:val="clear" w:color="auto" w:fill="FFFFFF"/>
            <w:tcMar>
              <w:top w:w="110" w:type="dxa"/>
            </w:tcMar>
          </w:tcPr>
          <w:p w:rsidR="00F053BA" w:rsidRPr="0038078F" w:rsidRDefault="00F053BA" w:rsidP="00F053BA">
            <w:pPr>
              <w:rPr>
                <w:rFonts w:cs="Arial"/>
                <w:sz w:val="16"/>
                <w:szCs w:val="16"/>
              </w:rPr>
            </w:pPr>
            <w:r w:rsidRPr="0038078F">
              <w:rPr>
                <w:sz w:val="16"/>
                <w:szCs w:val="16"/>
              </w:rPr>
              <w:t>89,60% (2012–2014 гг.)</w:t>
            </w:r>
          </w:p>
          <w:p w:rsidR="00F053BA" w:rsidRPr="0038078F" w:rsidRDefault="00F053BA" w:rsidP="00F053BA">
            <w:pPr>
              <w:rPr>
                <w:rFonts w:cs="Arial"/>
                <w:sz w:val="16"/>
                <w:szCs w:val="16"/>
              </w:rPr>
            </w:pPr>
            <w:r w:rsidRPr="0038078F">
              <w:rPr>
                <w:sz w:val="16"/>
                <w:szCs w:val="16"/>
              </w:rPr>
              <w:t>91,13% (2013–2015 гг.)</w:t>
            </w:r>
          </w:p>
        </w:tc>
        <w:tc>
          <w:tcPr>
            <w:tcW w:w="509" w:type="pct"/>
            <w:tcBorders>
              <w:top w:val="nil"/>
              <w:bottom w:val="nil"/>
              <w:right w:val="single" w:sz="4" w:space="0" w:color="auto"/>
            </w:tcBorders>
            <w:shd w:val="clear" w:color="auto" w:fill="auto"/>
            <w:tcMar>
              <w:top w:w="110" w:type="dxa"/>
            </w:tcMar>
          </w:tcPr>
          <w:p w:rsidR="00F053BA" w:rsidRPr="0038078F" w:rsidRDefault="00F053BA" w:rsidP="00F053BA">
            <w:pPr>
              <w:jc w:val="center"/>
              <w:rPr>
                <w:rFonts w:cs="Arial"/>
                <w:b/>
                <w:color w:val="00B050"/>
                <w:sz w:val="16"/>
                <w:szCs w:val="16"/>
              </w:rPr>
            </w:pPr>
            <w:r w:rsidRPr="0038078F">
              <w:rPr>
                <w:b/>
                <w:color w:val="00B050"/>
                <w:sz w:val="16"/>
                <w:szCs w:val="16"/>
              </w:rPr>
              <w:t>Выполнено</w:t>
            </w:r>
          </w:p>
          <w:p w:rsidR="00F053BA" w:rsidRPr="0038078F" w:rsidRDefault="00F053BA" w:rsidP="00F053BA">
            <w:pPr>
              <w:jc w:val="center"/>
              <w:rPr>
                <w:rFonts w:cs="Arial"/>
                <w:b/>
                <w:bCs/>
                <w:color w:val="00B050"/>
                <w:sz w:val="16"/>
                <w:szCs w:val="16"/>
              </w:rPr>
            </w:pPr>
          </w:p>
        </w:tc>
      </w:tr>
      <w:tr w:rsidR="00F053BA" w:rsidRPr="0038078F" w:rsidTr="00F053BA">
        <w:tc>
          <w:tcPr>
            <w:tcW w:w="885" w:type="pct"/>
            <w:tcBorders>
              <w:top w:val="nil"/>
              <w:left w:val="single" w:sz="4" w:space="0" w:color="auto"/>
              <w:bottom w:val="nil"/>
            </w:tcBorders>
            <w:shd w:val="clear" w:color="auto" w:fill="FFFFFF"/>
          </w:tcPr>
          <w:p w:rsidR="00F053BA" w:rsidRPr="0038078F" w:rsidRDefault="00F053BA" w:rsidP="00F053BA">
            <w:pPr>
              <w:rPr>
                <w:rFonts w:cs="Arial"/>
                <w:sz w:val="16"/>
                <w:szCs w:val="16"/>
              </w:rPr>
            </w:pPr>
            <w:r w:rsidRPr="0038078F">
              <w:rPr>
                <w:sz w:val="16"/>
                <w:szCs w:val="16"/>
              </w:rPr>
              <w:t>Качество переводов</w:t>
            </w:r>
          </w:p>
        </w:tc>
        <w:tc>
          <w:tcPr>
            <w:tcW w:w="1265" w:type="pct"/>
            <w:tcBorders>
              <w:top w:val="nil"/>
              <w:bottom w:val="nil"/>
            </w:tcBorders>
            <w:shd w:val="clear" w:color="auto" w:fill="auto"/>
          </w:tcPr>
          <w:p w:rsidR="00F053BA" w:rsidRPr="00F053BA" w:rsidRDefault="00F053BA" w:rsidP="00F053BA">
            <w:pPr>
              <w:rPr>
                <w:rFonts w:eastAsia="Batang" w:cs="Arial"/>
                <w:color w:val="002060"/>
                <w:sz w:val="16"/>
                <w:szCs w:val="16"/>
                <w:lang w:val="ru-RU"/>
              </w:rPr>
            </w:pPr>
            <w:r w:rsidRPr="00F053BA">
              <w:rPr>
                <w:i/>
                <w:color w:val="002060"/>
                <w:sz w:val="16"/>
                <w:szCs w:val="16"/>
                <w:lang w:val="ru-RU"/>
              </w:rPr>
              <w:t>Обновленные базовые показатели, конец 2013</w:t>
            </w:r>
            <w:r w:rsidRPr="0038078F">
              <w:rPr>
                <w:i/>
                <w:color w:val="002060"/>
                <w:sz w:val="16"/>
                <w:szCs w:val="16"/>
              </w:rPr>
              <w:t> </w:t>
            </w:r>
            <w:r w:rsidRPr="00F053BA">
              <w:rPr>
                <w:i/>
                <w:color w:val="002060"/>
                <w:sz w:val="16"/>
                <w:szCs w:val="16"/>
                <w:lang w:val="ru-RU"/>
              </w:rPr>
              <w:t>г.:</w:t>
            </w:r>
            <w:r w:rsidRPr="00F053BA">
              <w:rPr>
                <w:color w:val="943634" w:themeColor="accent2" w:themeShade="BF"/>
                <w:sz w:val="16"/>
                <w:szCs w:val="16"/>
                <w:lang w:val="ru-RU"/>
              </w:rPr>
              <w:t xml:space="preserve">  </w:t>
            </w:r>
            <w:r w:rsidRPr="00F053BA">
              <w:rPr>
                <w:color w:val="002060"/>
                <w:sz w:val="16"/>
                <w:szCs w:val="16"/>
                <w:lang w:val="ru-RU"/>
              </w:rPr>
              <w:t>86,23% (2011-2013 гг.)</w:t>
            </w:r>
          </w:p>
          <w:p w:rsidR="00F053BA" w:rsidRPr="00F053BA" w:rsidRDefault="00F053BA" w:rsidP="00F053BA">
            <w:pPr>
              <w:rPr>
                <w:rFonts w:cs="Arial"/>
                <w:i/>
                <w:sz w:val="16"/>
                <w:szCs w:val="16"/>
                <w:lang w:val="ru-RU"/>
              </w:rPr>
            </w:pPr>
          </w:p>
          <w:p w:rsidR="00F053BA" w:rsidRPr="00F053BA" w:rsidRDefault="00F053BA" w:rsidP="00F053BA">
            <w:pPr>
              <w:pStyle w:val="Default"/>
              <w:rPr>
                <w:i/>
                <w:color w:val="002060"/>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w:t>
            </w:r>
            <w:r w:rsidRPr="00F053BA">
              <w:rPr>
                <w:color w:val="auto"/>
                <w:sz w:val="16"/>
                <w:szCs w:val="16"/>
                <w:lang w:val="ru-RU"/>
              </w:rPr>
              <w:t>средний показатель за последние три года</w:t>
            </w:r>
          </w:p>
        </w:tc>
        <w:tc>
          <w:tcPr>
            <w:tcW w:w="922" w:type="pct"/>
            <w:gridSpan w:val="2"/>
            <w:tcBorders>
              <w:top w:val="nil"/>
              <w:bottom w:val="nil"/>
            </w:tcBorders>
            <w:shd w:val="clear" w:color="auto" w:fill="auto"/>
            <w:tcMar>
              <w:top w:w="110" w:type="dxa"/>
            </w:tcMar>
          </w:tcPr>
          <w:p w:rsidR="00F053BA" w:rsidRPr="0038078F" w:rsidRDefault="00F053BA" w:rsidP="00F053BA">
            <w:pPr>
              <w:autoSpaceDE w:val="0"/>
              <w:autoSpaceDN w:val="0"/>
              <w:adjustRightInd w:val="0"/>
              <w:rPr>
                <w:rFonts w:cs="Arial"/>
                <w:sz w:val="16"/>
                <w:szCs w:val="16"/>
              </w:rPr>
            </w:pPr>
            <w:r w:rsidRPr="0038078F">
              <w:rPr>
                <w:sz w:val="16"/>
                <w:szCs w:val="16"/>
              </w:rPr>
              <w:t>Более высокое качество</w:t>
            </w:r>
          </w:p>
        </w:tc>
        <w:tc>
          <w:tcPr>
            <w:tcW w:w="1419" w:type="pct"/>
            <w:gridSpan w:val="3"/>
            <w:tcBorders>
              <w:top w:val="nil"/>
              <w:bottom w:val="nil"/>
            </w:tcBorders>
            <w:shd w:val="clear" w:color="auto" w:fill="FFFFFF"/>
            <w:tcMar>
              <w:top w:w="110" w:type="dxa"/>
            </w:tcMar>
          </w:tcPr>
          <w:p w:rsidR="00F053BA" w:rsidRPr="0038078F" w:rsidRDefault="00F053BA" w:rsidP="00F053BA">
            <w:pPr>
              <w:rPr>
                <w:rFonts w:cs="Arial"/>
                <w:sz w:val="16"/>
                <w:szCs w:val="16"/>
              </w:rPr>
            </w:pPr>
            <w:r w:rsidRPr="0038078F">
              <w:rPr>
                <w:sz w:val="16"/>
                <w:szCs w:val="16"/>
              </w:rPr>
              <w:t>86,77% (2012–2014 гг.)</w:t>
            </w:r>
          </w:p>
          <w:p w:rsidR="00F053BA" w:rsidRPr="0038078F" w:rsidRDefault="00F053BA" w:rsidP="00F053BA">
            <w:pPr>
              <w:rPr>
                <w:rFonts w:cs="Arial"/>
                <w:sz w:val="16"/>
                <w:szCs w:val="16"/>
              </w:rPr>
            </w:pPr>
            <w:r w:rsidRPr="0038078F">
              <w:rPr>
                <w:sz w:val="16"/>
                <w:szCs w:val="16"/>
              </w:rPr>
              <w:t>86,90% (2013–2015 гг.)</w:t>
            </w:r>
          </w:p>
        </w:tc>
        <w:tc>
          <w:tcPr>
            <w:tcW w:w="509" w:type="pct"/>
            <w:tcBorders>
              <w:top w:val="nil"/>
              <w:bottom w:val="nil"/>
              <w:right w:val="single" w:sz="4" w:space="0" w:color="auto"/>
            </w:tcBorders>
            <w:shd w:val="clear" w:color="auto" w:fill="auto"/>
            <w:tcMar>
              <w:top w:w="110" w:type="dxa"/>
            </w:tcMar>
          </w:tcPr>
          <w:p w:rsidR="00F053BA" w:rsidRPr="0038078F" w:rsidRDefault="00F053BA" w:rsidP="00F053BA">
            <w:pPr>
              <w:jc w:val="center"/>
              <w:rPr>
                <w:rFonts w:cs="Arial"/>
                <w:b/>
                <w:bCs/>
                <w:color w:val="00B050"/>
                <w:sz w:val="16"/>
                <w:szCs w:val="16"/>
              </w:rPr>
            </w:pPr>
            <w:r w:rsidRPr="0038078F">
              <w:rPr>
                <w:b/>
                <w:color w:val="00B050"/>
                <w:sz w:val="16"/>
                <w:szCs w:val="16"/>
              </w:rPr>
              <w:t>Выполнено</w:t>
            </w:r>
          </w:p>
        </w:tc>
      </w:tr>
      <w:tr w:rsidR="00F053BA" w:rsidRPr="0038078F" w:rsidTr="00495A3D">
        <w:tc>
          <w:tcPr>
            <w:tcW w:w="885" w:type="pct"/>
            <w:tcBorders>
              <w:top w:val="nil"/>
              <w:left w:val="single" w:sz="4" w:space="0" w:color="auto"/>
              <w:bottom w:val="nil"/>
            </w:tcBorders>
            <w:shd w:val="clear" w:color="auto" w:fill="FFFFFF"/>
          </w:tcPr>
          <w:p w:rsidR="00F053BA" w:rsidRPr="0038078F" w:rsidRDefault="00F053BA" w:rsidP="00F053BA">
            <w:pPr>
              <w:rPr>
                <w:rFonts w:cs="Arial"/>
                <w:sz w:val="16"/>
                <w:szCs w:val="16"/>
              </w:rPr>
            </w:pPr>
            <w:r w:rsidRPr="0038078F">
              <w:rPr>
                <w:sz w:val="16"/>
                <w:szCs w:val="16"/>
              </w:rPr>
              <w:t>Пока</w:t>
            </w:r>
            <w:r>
              <w:rPr>
                <w:sz w:val="16"/>
                <w:szCs w:val="16"/>
              </w:rPr>
              <w:t>затель своевременности перевода</w:t>
            </w:r>
            <w:r w:rsidRPr="0038078F">
              <w:rPr>
                <w:sz w:val="16"/>
                <w:szCs w:val="16"/>
              </w:rPr>
              <w:t xml:space="preserve"> отчетов</w:t>
            </w:r>
          </w:p>
        </w:tc>
        <w:tc>
          <w:tcPr>
            <w:tcW w:w="1265" w:type="pct"/>
            <w:tcBorders>
              <w:top w:val="nil"/>
              <w:bottom w:val="nil"/>
            </w:tcBorders>
            <w:shd w:val="clear" w:color="auto" w:fill="auto"/>
          </w:tcPr>
          <w:p w:rsidR="00F053BA" w:rsidRPr="00F053BA" w:rsidRDefault="00F053BA" w:rsidP="00F053BA">
            <w:pPr>
              <w:pStyle w:val="Default"/>
              <w:rPr>
                <w:color w:val="002060"/>
                <w:sz w:val="16"/>
                <w:szCs w:val="16"/>
                <w:lang w:val="ru-RU"/>
              </w:rPr>
            </w:pPr>
            <w:r w:rsidRPr="00F053BA">
              <w:rPr>
                <w:i/>
                <w:color w:val="002060"/>
                <w:sz w:val="16"/>
                <w:szCs w:val="16"/>
                <w:lang w:val="ru-RU"/>
              </w:rPr>
              <w:t>Обновленные базовые показатели, конец 2013</w:t>
            </w:r>
            <w:r w:rsidRPr="0038078F">
              <w:rPr>
                <w:i/>
                <w:color w:val="002060"/>
                <w:sz w:val="16"/>
                <w:szCs w:val="16"/>
              </w:rPr>
              <w:t> </w:t>
            </w:r>
            <w:r w:rsidRPr="00F053BA">
              <w:rPr>
                <w:i/>
                <w:color w:val="002060"/>
                <w:sz w:val="16"/>
                <w:szCs w:val="16"/>
                <w:lang w:val="ru-RU"/>
              </w:rPr>
              <w:t>г.:</w:t>
            </w:r>
            <w:r w:rsidRPr="00F053BA">
              <w:rPr>
                <w:color w:val="943634" w:themeColor="accent2" w:themeShade="BF"/>
                <w:sz w:val="16"/>
                <w:szCs w:val="16"/>
                <w:lang w:val="ru-RU"/>
              </w:rPr>
              <w:t xml:space="preserve">  </w:t>
            </w:r>
            <w:r w:rsidRPr="00F053BA">
              <w:rPr>
                <w:color w:val="002060"/>
                <w:sz w:val="16"/>
                <w:szCs w:val="16"/>
                <w:lang w:val="ru-RU"/>
              </w:rPr>
              <w:t>64% вовремя (2013</w:t>
            </w:r>
            <w:r w:rsidRPr="0038078F">
              <w:rPr>
                <w:color w:val="002060"/>
                <w:sz w:val="16"/>
                <w:szCs w:val="16"/>
              </w:rPr>
              <w:t> </w:t>
            </w:r>
            <w:r w:rsidRPr="00F053BA">
              <w:rPr>
                <w:color w:val="002060"/>
                <w:sz w:val="16"/>
                <w:szCs w:val="16"/>
                <w:lang w:val="ru-RU"/>
              </w:rPr>
              <w:t>г.)</w:t>
            </w:r>
          </w:p>
          <w:p w:rsidR="00F053BA" w:rsidRPr="00F053BA" w:rsidRDefault="00F053BA" w:rsidP="00F053BA">
            <w:pPr>
              <w:rPr>
                <w:rFonts w:cs="Arial"/>
                <w:i/>
                <w:sz w:val="16"/>
                <w:szCs w:val="16"/>
                <w:lang w:val="ru-RU"/>
              </w:rPr>
            </w:pPr>
          </w:p>
          <w:p w:rsidR="00F053BA" w:rsidRPr="00F053BA" w:rsidRDefault="00F053BA" w:rsidP="00F053BA">
            <w:pPr>
              <w:rPr>
                <w:rFonts w:cs="Arial"/>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показатели 2013</w:t>
            </w:r>
            <w:r>
              <w:rPr>
                <w:sz w:val="16"/>
                <w:szCs w:val="16"/>
              </w:rPr>
              <w:t> </w:t>
            </w:r>
            <w:r w:rsidRPr="00F053BA">
              <w:rPr>
                <w:sz w:val="16"/>
                <w:szCs w:val="16"/>
                <w:lang w:val="ru-RU"/>
              </w:rPr>
              <w:t>г.</w:t>
            </w:r>
          </w:p>
          <w:p w:rsidR="00F053BA" w:rsidRPr="00F053BA" w:rsidRDefault="00F053BA" w:rsidP="00F053BA">
            <w:pPr>
              <w:pStyle w:val="Default"/>
              <w:rPr>
                <w:i/>
                <w:color w:val="002060"/>
                <w:sz w:val="16"/>
                <w:szCs w:val="16"/>
                <w:lang w:val="ru-RU"/>
              </w:rPr>
            </w:pPr>
          </w:p>
        </w:tc>
        <w:tc>
          <w:tcPr>
            <w:tcW w:w="922" w:type="pct"/>
            <w:gridSpan w:val="2"/>
            <w:tcBorders>
              <w:top w:val="nil"/>
              <w:bottom w:val="nil"/>
            </w:tcBorders>
            <w:shd w:val="clear" w:color="auto" w:fill="auto"/>
            <w:tcMar>
              <w:top w:w="110" w:type="dxa"/>
            </w:tcMar>
          </w:tcPr>
          <w:p w:rsidR="00F053BA" w:rsidRPr="0038078F" w:rsidRDefault="00F053BA" w:rsidP="00F053BA">
            <w:pPr>
              <w:autoSpaceDE w:val="0"/>
              <w:autoSpaceDN w:val="0"/>
              <w:adjustRightInd w:val="0"/>
              <w:rPr>
                <w:rFonts w:cs="Arial"/>
                <w:sz w:val="16"/>
                <w:szCs w:val="16"/>
              </w:rPr>
            </w:pPr>
            <w:r w:rsidRPr="0038078F">
              <w:rPr>
                <w:sz w:val="16"/>
                <w:szCs w:val="16"/>
              </w:rPr>
              <w:t>Улучшение</w:t>
            </w:r>
          </w:p>
        </w:tc>
        <w:tc>
          <w:tcPr>
            <w:tcW w:w="1419" w:type="pct"/>
            <w:gridSpan w:val="3"/>
            <w:tcBorders>
              <w:top w:val="nil"/>
              <w:bottom w:val="nil"/>
            </w:tcBorders>
            <w:shd w:val="clear" w:color="auto" w:fill="FFFFFF"/>
            <w:tcMar>
              <w:top w:w="110" w:type="dxa"/>
            </w:tcMar>
          </w:tcPr>
          <w:p w:rsidR="00F053BA" w:rsidRPr="0038078F" w:rsidRDefault="00F053BA" w:rsidP="00F053BA">
            <w:pPr>
              <w:rPr>
                <w:rFonts w:cs="Arial"/>
                <w:sz w:val="16"/>
                <w:szCs w:val="16"/>
              </w:rPr>
            </w:pPr>
            <w:r w:rsidRPr="0038078F">
              <w:rPr>
                <w:sz w:val="16"/>
                <w:szCs w:val="16"/>
              </w:rPr>
              <w:t>82,5% (2014 г.)</w:t>
            </w:r>
          </w:p>
          <w:p w:rsidR="00F053BA" w:rsidRPr="0038078F" w:rsidRDefault="00F053BA" w:rsidP="00F053BA">
            <w:pPr>
              <w:rPr>
                <w:rFonts w:cs="Arial"/>
                <w:sz w:val="16"/>
                <w:szCs w:val="16"/>
              </w:rPr>
            </w:pPr>
            <w:r w:rsidRPr="0038078F">
              <w:rPr>
                <w:sz w:val="16"/>
                <w:szCs w:val="16"/>
              </w:rPr>
              <w:t>90,0% (2015 г.)</w:t>
            </w:r>
          </w:p>
        </w:tc>
        <w:tc>
          <w:tcPr>
            <w:tcW w:w="509" w:type="pct"/>
            <w:tcBorders>
              <w:top w:val="nil"/>
              <w:bottom w:val="nil"/>
              <w:right w:val="single" w:sz="4" w:space="0" w:color="auto"/>
            </w:tcBorders>
            <w:shd w:val="clear" w:color="auto" w:fill="auto"/>
            <w:tcMar>
              <w:top w:w="110" w:type="dxa"/>
            </w:tcMar>
          </w:tcPr>
          <w:p w:rsidR="00F053BA" w:rsidRPr="0038078F" w:rsidRDefault="00F053BA" w:rsidP="00F053BA">
            <w:pPr>
              <w:jc w:val="center"/>
              <w:rPr>
                <w:rFonts w:cs="Arial"/>
                <w:b/>
                <w:bCs/>
                <w:color w:val="00B050"/>
                <w:sz w:val="16"/>
                <w:szCs w:val="16"/>
              </w:rPr>
            </w:pPr>
            <w:r w:rsidRPr="0038078F">
              <w:rPr>
                <w:b/>
                <w:color w:val="00B050"/>
                <w:sz w:val="16"/>
                <w:szCs w:val="16"/>
              </w:rPr>
              <w:t>Выполнено</w:t>
            </w:r>
          </w:p>
        </w:tc>
      </w:tr>
      <w:tr w:rsidR="00F053BA" w:rsidRPr="0038078F" w:rsidTr="00495A3D">
        <w:tc>
          <w:tcPr>
            <w:tcW w:w="885" w:type="pct"/>
            <w:tcBorders>
              <w:top w:val="nil"/>
              <w:left w:val="single" w:sz="4" w:space="0" w:color="auto"/>
              <w:bottom w:val="single" w:sz="4" w:space="0" w:color="auto"/>
            </w:tcBorders>
            <w:shd w:val="clear" w:color="auto" w:fill="FFFFFF"/>
          </w:tcPr>
          <w:p w:rsidR="00F053BA" w:rsidRPr="00F053BA" w:rsidRDefault="00F053BA" w:rsidP="00F053BA">
            <w:pPr>
              <w:rPr>
                <w:rFonts w:cs="Arial"/>
                <w:sz w:val="16"/>
                <w:szCs w:val="16"/>
                <w:lang w:val="ru-RU"/>
              </w:rPr>
            </w:pPr>
            <w:r w:rsidRPr="00F053BA">
              <w:rPr>
                <w:sz w:val="16"/>
                <w:szCs w:val="16"/>
                <w:lang w:val="ru-RU"/>
              </w:rPr>
              <w:t>Качество разработки программного обеспечения (КПО)</w:t>
            </w:r>
          </w:p>
        </w:tc>
        <w:tc>
          <w:tcPr>
            <w:tcW w:w="1265" w:type="pct"/>
            <w:tcBorders>
              <w:top w:val="nil"/>
              <w:bottom w:val="single" w:sz="4" w:space="0" w:color="auto"/>
            </w:tcBorders>
            <w:shd w:val="clear" w:color="auto" w:fill="auto"/>
          </w:tcPr>
          <w:p w:rsidR="00F053BA" w:rsidRPr="00F053BA" w:rsidRDefault="00F053BA" w:rsidP="00F053BA">
            <w:pPr>
              <w:pStyle w:val="Default"/>
              <w:rPr>
                <w:color w:val="002060"/>
                <w:sz w:val="16"/>
                <w:szCs w:val="16"/>
                <w:lang w:val="ru-RU"/>
              </w:rPr>
            </w:pPr>
            <w:r w:rsidRPr="00F053BA">
              <w:rPr>
                <w:i/>
                <w:color w:val="002060"/>
                <w:sz w:val="16"/>
                <w:szCs w:val="16"/>
                <w:lang w:val="ru-RU"/>
              </w:rPr>
              <w:t>Обновленные базовые показатели, конец 2013</w:t>
            </w:r>
            <w:r w:rsidRPr="0038078F">
              <w:rPr>
                <w:i/>
                <w:color w:val="002060"/>
                <w:sz w:val="16"/>
                <w:szCs w:val="16"/>
              </w:rPr>
              <w:t> </w:t>
            </w:r>
            <w:r w:rsidRPr="00F053BA">
              <w:rPr>
                <w:i/>
                <w:color w:val="002060"/>
                <w:sz w:val="16"/>
                <w:szCs w:val="16"/>
                <w:lang w:val="ru-RU"/>
              </w:rPr>
              <w:t>г.:</w:t>
            </w:r>
            <w:r w:rsidRPr="00F053BA">
              <w:rPr>
                <w:color w:val="943634" w:themeColor="accent2" w:themeShade="BF"/>
                <w:sz w:val="16"/>
                <w:szCs w:val="16"/>
                <w:lang w:val="ru-RU"/>
              </w:rPr>
              <w:t xml:space="preserve">  </w:t>
            </w:r>
            <w:r w:rsidRPr="00F053BA">
              <w:rPr>
                <w:color w:val="002060"/>
                <w:sz w:val="16"/>
                <w:szCs w:val="16"/>
                <w:lang w:val="ru-RU"/>
              </w:rPr>
              <w:t>89,4% (2013 г.)</w:t>
            </w:r>
          </w:p>
          <w:p w:rsidR="00F053BA" w:rsidRPr="00F053BA" w:rsidRDefault="00F053BA" w:rsidP="00F053BA">
            <w:pPr>
              <w:rPr>
                <w:rFonts w:cs="Arial"/>
                <w:i/>
                <w:sz w:val="16"/>
                <w:szCs w:val="16"/>
                <w:lang w:val="ru-RU"/>
              </w:rPr>
            </w:pPr>
          </w:p>
          <w:p w:rsidR="00F053BA" w:rsidRPr="00F053BA" w:rsidRDefault="00F053BA" w:rsidP="00F053BA">
            <w:pPr>
              <w:rPr>
                <w:rFonts w:cs="Arial"/>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КПО для последних версий </w:t>
            </w:r>
            <w:r w:rsidRPr="0038078F">
              <w:rPr>
                <w:sz w:val="16"/>
                <w:szCs w:val="16"/>
              </w:rPr>
              <w:t>ePCT</w:t>
            </w:r>
            <w:r w:rsidRPr="00F053BA">
              <w:rPr>
                <w:sz w:val="16"/>
                <w:szCs w:val="16"/>
                <w:lang w:val="ru-RU"/>
              </w:rPr>
              <w:t xml:space="preserve"> и </w:t>
            </w:r>
            <w:r w:rsidRPr="0038078F">
              <w:rPr>
                <w:sz w:val="16"/>
                <w:szCs w:val="16"/>
              </w:rPr>
              <w:t>eDossier</w:t>
            </w:r>
            <w:r w:rsidRPr="00F053BA">
              <w:rPr>
                <w:sz w:val="16"/>
                <w:szCs w:val="16"/>
                <w:lang w:val="ru-RU"/>
              </w:rPr>
              <w:t xml:space="preserve"> 2013 г.</w:t>
            </w:r>
          </w:p>
          <w:p w:rsidR="00F053BA" w:rsidRPr="00F053BA" w:rsidRDefault="00F053BA" w:rsidP="00F053BA">
            <w:pPr>
              <w:rPr>
                <w:rFonts w:cs="Arial"/>
                <w:sz w:val="16"/>
                <w:szCs w:val="16"/>
                <w:lang w:val="ru-RU"/>
              </w:rPr>
            </w:pPr>
          </w:p>
          <w:p w:rsidR="00F053BA" w:rsidRPr="00F053BA" w:rsidRDefault="00F053BA" w:rsidP="00F053BA">
            <w:pPr>
              <w:pStyle w:val="Default"/>
              <w:rPr>
                <w:i/>
                <w:color w:val="002060"/>
                <w:sz w:val="16"/>
                <w:szCs w:val="16"/>
                <w:lang w:val="ru-RU"/>
              </w:rPr>
            </w:pPr>
          </w:p>
        </w:tc>
        <w:tc>
          <w:tcPr>
            <w:tcW w:w="922" w:type="pct"/>
            <w:gridSpan w:val="2"/>
            <w:tcBorders>
              <w:top w:val="nil"/>
              <w:bottom w:val="single" w:sz="4" w:space="0" w:color="auto"/>
            </w:tcBorders>
            <w:shd w:val="clear" w:color="auto" w:fill="auto"/>
            <w:tcMar>
              <w:top w:w="110" w:type="dxa"/>
            </w:tcMar>
          </w:tcPr>
          <w:p w:rsidR="00F053BA" w:rsidRPr="0038078F" w:rsidRDefault="00F053BA" w:rsidP="00F053BA">
            <w:pPr>
              <w:autoSpaceDE w:val="0"/>
              <w:autoSpaceDN w:val="0"/>
              <w:adjustRightInd w:val="0"/>
              <w:rPr>
                <w:rFonts w:cs="Arial"/>
                <w:sz w:val="16"/>
                <w:szCs w:val="16"/>
              </w:rPr>
            </w:pPr>
            <w:r w:rsidRPr="0038078F">
              <w:rPr>
                <w:sz w:val="16"/>
                <w:szCs w:val="16"/>
              </w:rPr>
              <w:t>Более высокое КПО</w:t>
            </w:r>
          </w:p>
        </w:tc>
        <w:tc>
          <w:tcPr>
            <w:tcW w:w="1419" w:type="pct"/>
            <w:gridSpan w:val="3"/>
            <w:tcBorders>
              <w:top w:val="nil"/>
              <w:bottom w:val="single" w:sz="4" w:space="0" w:color="auto"/>
            </w:tcBorders>
            <w:shd w:val="clear" w:color="auto" w:fill="FFFFFF"/>
            <w:tcMar>
              <w:top w:w="110" w:type="dxa"/>
            </w:tcMar>
          </w:tcPr>
          <w:p w:rsidR="00F053BA" w:rsidRPr="0038078F" w:rsidRDefault="00F053BA" w:rsidP="00F053BA">
            <w:pPr>
              <w:rPr>
                <w:rFonts w:cs="Arial"/>
                <w:sz w:val="16"/>
                <w:szCs w:val="16"/>
              </w:rPr>
            </w:pPr>
            <w:r w:rsidRPr="0038078F">
              <w:rPr>
                <w:sz w:val="16"/>
                <w:szCs w:val="16"/>
              </w:rPr>
              <w:t>94,5% (2014 г.)</w:t>
            </w:r>
          </w:p>
          <w:p w:rsidR="00F053BA" w:rsidRPr="0038078F" w:rsidRDefault="00F053BA" w:rsidP="00F053BA">
            <w:pPr>
              <w:rPr>
                <w:rFonts w:cs="Arial"/>
                <w:sz w:val="16"/>
                <w:szCs w:val="16"/>
              </w:rPr>
            </w:pPr>
            <w:r w:rsidRPr="0038078F">
              <w:rPr>
                <w:sz w:val="16"/>
                <w:szCs w:val="16"/>
              </w:rPr>
              <w:t>91,9% (2015 г.)</w:t>
            </w:r>
          </w:p>
        </w:tc>
        <w:tc>
          <w:tcPr>
            <w:tcW w:w="509" w:type="pct"/>
            <w:tcBorders>
              <w:top w:val="nil"/>
              <w:bottom w:val="single" w:sz="4" w:space="0" w:color="auto"/>
              <w:right w:val="single" w:sz="4" w:space="0" w:color="auto"/>
            </w:tcBorders>
            <w:shd w:val="clear" w:color="auto" w:fill="auto"/>
            <w:tcMar>
              <w:top w:w="110" w:type="dxa"/>
            </w:tcMar>
          </w:tcPr>
          <w:p w:rsidR="00F053BA" w:rsidRPr="0038078F" w:rsidRDefault="00F053BA" w:rsidP="00F053BA">
            <w:pPr>
              <w:jc w:val="center"/>
              <w:rPr>
                <w:rFonts w:cs="Arial"/>
                <w:b/>
                <w:color w:val="00B050"/>
                <w:sz w:val="16"/>
                <w:szCs w:val="16"/>
              </w:rPr>
            </w:pPr>
            <w:r w:rsidRPr="0038078F">
              <w:rPr>
                <w:b/>
                <w:color w:val="00B050"/>
                <w:sz w:val="16"/>
                <w:szCs w:val="16"/>
              </w:rPr>
              <w:t>Выполнено</w:t>
            </w:r>
          </w:p>
          <w:p w:rsidR="00F053BA" w:rsidRPr="0038078F" w:rsidRDefault="00F053BA" w:rsidP="00F053BA">
            <w:pPr>
              <w:jc w:val="center"/>
              <w:rPr>
                <w:rFonts w:cs="Arial"/>
                <w:b/>
                <w:bCs/>
                <w:color w:val="00B050"/>
                <w:sz w:val="16"/>
                <w:szCs w:val="16"/>
              </w:rPr>
            </w:pPr>
          </w:p>
        </w:tc>
      </w:tr>
      <w:tr w:rsidR="00F053BA" w:rsidRPr="0038078F" w:rsidTr="00495A3D">
        <w:tc>
          <w:tcPr>
            <w:tcW w:w="885" w:type="pct"/>
            <w:tcBorders>
              <w:top w:val="single" w:sz="4" w:space="0" w:color="auto"/>
              <w:left w:val="single" w:sz="4" w:space="0" w:color="auto"/>
              <w:bottom w:val="single" w:sz="4" w:space="0" w:color="auto"/>
            </w:tcBorders>
            <w:shd w:val="clear" w:color="auto" w:fill="FFFFFF"/>
          </w:tcPr>
          <w:p w:rsidR="00F053BA" w:rsidRPr="0038078F" w:rsidRDefault="00F053BA" w:rsidP="00F053BA">
            <w:pPr>
              <w:rPr>
                <w:rFonts w:cs="Arial"/>
                <w:sz w:val="16"/>
                <w:szCs w:val="16"/>
              </w:rPr>
            </w:pPr>
            <w:r w:rsidRPr="0038078F">
              <w:rPr>
                <w:sz w:val="16"/>
                <w:szCs w:val="16"/>
              </w:rPr>
              <w:t xml:space="preserve">Уровень обслуживания информационных систем   </w:t>
            </w:r>
          </w:p>
        </w:tc>
        <w:tc>
          <w:tcPr>
            <w:tcW w:w="1265" w:type="pct"/>
            <w:tcBorders>
              <w:top w:val="single" w:sz="4" w:space="0" w:color="auto"/>
              <w:bottom w:val="single" w:sz="4" w:space="0" w:color="auto"/>
            </w:tcBorders>
            <w:shd w:val="clear" w:color="auto" w:fill="auto"/>
          </w:tcPr>
          <w:p w:rsidR="00F053BA" w:rsidRPr="00F053BA" w:rsidRDefault="00F053BA" w:rsidP="00F053BA">
            <w:pPr>
              <w:rPr>
                <w:rFonts w:eastAsia="Batang" w:cs="Arial"/>
                <w:color w:val="002060"/>
                <w:sz w:val="16"/>
                <w:szCs w:val="16"/>
                <w:lang w:val="ru-RU"/>
              </w:rPr>
            </w:pPr>
            <w:r w:rsidRPr="00F053BA">
              <w:rPr>
                <w:i/>
                <w:color w:val="002060"/>
                <w:sz w:val="16"/>
                <w:szCs w:val="16"/>
                <w:lang w:val="ru-RU"/>
              </w:rPr>
              <w:t>Обновленные базовые показатели, конец 2013</w:t>
            </w:r>
            <w:r w:rsidRPr="0038078F">
              <w:rPr>
                <w:i/>
                <w:color w:val="002060"/>
                <w:sz w:val="16"/>
                <w:szCs w:val="16"/>
              </w:rPr>
              <w:t> </w:t>
            </w:r>
            <w:r w:rsidRPr="00F053BA">
              <w:rPr>
                <w:i/>
                <w:color w:val="002060"/>
                <w:sz w:val="16"/>
                <w:szCs w:val="16"/>
                <w:lang w:val="ru-RU"/>
              </w:rPr>
              <w:t>г.:</w:t>
            </w:r>
            <w:r w:rsidRPr="00F053BA">
              <w:rPr>
                <w:color w:val="943634" w:themeColor="accent2" w:themeShade="BF"/>
                <w:sz w:val="16"/>
                <w:szCs w:val="16"/>
                <w:lang w:val="ru-RU"/>
              </w:rPr>
              <w:t xml:space="preserve">  </w:t>
            </w:r>
            <w:r w:rsidRPr="00F053BA">
              <w:rPr>
                <w:color w:val="002060"/>
                <w:sz w:val="16"/>
                <w:szCs w:val="16"/>
                <w:lang w:val="ru-RU"/>
              </w:rPr>
              <w:t>93,0% (2013 г.)</w:t>
            </w:r>
          </w:p>
          <w:p w:rsidR="00F053BA" w:rsidRPr="00F053BA" w:rsidRDefault="00F053BA" w:rsidP="00F053BA">
            <w:pPr>
              <w:rPr>
                <w:rFonts w:cs="Arial"/>
                <w:i/>
                <w:sz w:val="16"/>
                <w:szCs w:val="16"/>
                <w:lang w:val="ru-RU"/>
              </w:rPr>
            </w:pPr>
          </w:p>
          <w:p w:rsidR="00F053BA" w:rsidRPr="00F053BA" w:rsidRDefault="00F053BA" w:rsidP="00F053BA">
            <w:pPr>
              <w:rPr>
                <w:sz w:val="16"/>
                <w:szCs w:val="16"/>
                <w:lang w:val="ru-RU"/>
              </w:rPr>
            </w:pPr>
            <w:r w:rsidRPr="00F053BA">
              <w:rPr>
                <w:i/>
                <w:sz w:val="16"/>
                <w:szCs w:val="16"/>
                <w:lang w:val="ru-RU"/>
              </w:rPr>
              <w:t>Исходные базовые показатели ПиБ на 2014–2015 гг.:</w:t>
            </w:r>
            <w:r w:rsidRPr="00F053BA">
              <w:rPr>
                <w:sz w:val="16"/>
                <w:szCs w:val="16"/>
                <w:lang w:val="ru-RU"/>
              </w:rPr>
              <w:t xml:space="preserve">  уровни обслуживания информационных систем для 2013</w:t>
            </w:r>
            <w:r w:rsidRPr="0038078F">
              <w:rPr>
                <w:sz w:val="16"/>
                <w:szCs w:val="16"/>
              </w:rPr>
              <w:t> </w:t>
            </w:r>
            <w:r w:rsidRPr="00F053BA">
              <w:rPr>
                <w:sz w:val="16"/>
                <w:szCs w:val="16"/>
                <w:lang w:val="ru-RU"/>
              </w:rPr>
              <w:t>г.</w:t>
            </w:r>
          </w:p>
          <w:p w:rsidR="00F053BA" w:rsidRPr="00F053BA" w:rsidRDefault="00F053BA" w:rsidP="00F053BA">
            <w:pPr>
              <w:rPr>
                <w:sz w:val="16"/>
                <w:szCs w:val="16"/>
                <w:lang w:val="ru-RU"/>
              </w:rPr>
            </w:pPr>
          </w:p>
          <w:p w:rsidR="00F053BA" w:rsidRPr="00F053BA" w:rsidRDefault="00F053BA" w:rsidP="00F053BA">
            <w:pPr>
              <w:rPr>
                <w:i/>
                <w:color w:val="002060"/>
                <w:sz w:val="16"/>
                <w:szCs w:val="16"/>
                <w:lang w:val="ru-RU"/>
              </w:rPr>
            </w:pPr>
          </w:p>
        </w:tc>
        <w:tc>
          <w:tcPr>
            <w:tcW w:w="922" w:type="pct"/>
            <w:gridSpan w:val="2"/>
            <w:tcBorders>
              <w:top w:val="single" w:sz="4" w:space="0" w:color="auto"/>
              <w:bottom w:val="single" w:sz="4" w:space="0" w:color="auto"/>
            </w:tcBorders>
            <w:shd w:val="clear" w:color="auto" w:fill="auto"/>
            <w:tcMar>
              <w:top w:w="110" w:type="dxa"/>
            </w:tcMar>
          </w:tcPr>
          <w:p w:rsidR="00F053BA" w:rsidRPr="00F053BA" w:rsidRDefault="00F053BA" w:rsidP="00F053BA">
            <w:pPr>
              <w:autoSpaceDE w:val="0"/>
              <w:autoSpaceDN w:val="0"/>
              <w:adjustRightInd w:val="0"/>
              <w:rPr>
                <w:rFonts w:cs="Arial"/>
                <w:sz w:val="16"/>
                <w:szCs w:val="16"/>
                <w:lang w:val="ru-RU"/>
              </w:rPr>
            </w:pPr>
            <w:r w:rsidRPr="00F053BA">
              <w:rPr>
                <w:sz w:val="16"/>
                <w:szCs w:val="16"/>
                <w:lang w:val="ru-RU"/>
              </w:rPr>
              <w:t>Более высокий уровень обслуживания информационных систем</w:t>
            </w:r>
          </w:p>
        </w:tc>
        <w:tc>
          <w:tcPr>
            <w:tcW w:w="1419" w:type="pct"/>
            <w:gridSpan w:val="3"/>
            <w:tcBorders>
              <w:top w:val="single" w:sz="4" w:space="0" w:color="auto"/>
              <w:bottom w:val="single" w:sz="4" w:space="0" w:color="auto"/>
            </w:tcBorders>
            <w:shd w:val="clear" w:color="auto" w:fill="FFFFFF"/>
            <w:tcMar>
              <w:top w:w="110" w:type="dxa"/>
            </w:tcMar>
          </w:tcPr>
          <w:p w:rsidR="00F053BA" w:rsidRPr="0038078F" w:rsidRDefault="00F053BA" w:rsidP="00F053BA">
            <w:pPr>
              <w:rPr>
                <w:rFonts w:cs="Arial"/>
                <w:sz w:val="16"/>
                <w:szCs w:val="16"/>
              </w:rPr>
            </w:pPr>
            <w:r w:rsidRPr="0038078F">
              <w:rPr>
                <w:sz w:val="16"/>
                <w:szCs w:val="16"/>
              </w:rPr>
              <w:t>95,1%</w:t>
            </w:r>
            <w:r w:rsidRPr="0038078F">
              <w:rPr>
                <w:rStyle w:val="FootnoteReference"/>
                <w:sz w:val="16"/>
                <w:szCs w:val="16"/>
              </w:rPr>
              <w:footnoteReference w:id="19"/>
            </w:r>
            <w:r w:rsidRPr="0038078F">
              <w:rPr>
                <w:sz w:val="16"/>
                <w:szCs w:val="16"/>
              </w:rPr>
              <w:t xml:space="preserve"> (2014 г.)</w:t>
            </w:r>
          </w:p>
          <w:p w:rsidR="00F053BA" w:rsidRPr="0038078F" w:rsidRDefault="00F053BA" w:rsidP="00F053BA">
            <w:pPr>
              <w:rPr>
                <w:rFonts w:cs="Arial"/>
                <w:sz w:val="16"/>
                <w:szCs w:val="16"/>
              </w:rPr>
            </w:pPr>
            <w:r w:rsidRPr="0038078F">
              <w:rPr>
                <w:sz w:val="16"/>
                <w:szCs w:val="16"/>
              </w:rPr>
              <w:t>96,5% (2015 г.)</w:t>
            </w:r>
          </w:p>
        </w:tc>
        <w:tc>
          <w:tcPr>
            <w:tcW w:w="509" w:type="pct"/>
            <w:tcBorders>
              <w:top w:val="single" w:sz="4" w:space="0" w:color="auto"/>
              <w:bottom w:val="single" w:sz="4" w:space="0" w:color="auto"/>
              <w:right w:val="single" w:sz="4" w:space="0" w:color="auto"/>
            </w:tcBorders>
            <w:shd w:val="clear" w:color="auto" w:fill="auto"/>
            <w:tcMar>
              <w:top w:w="110" w:type="dxa"/>
            </w:tcMar>
          </w:tcPr>
          <w:p w:rsidR="00F053BA" w:rsidRPr="0038078F" w:rsidRDefault="00F053BA" w:rsidP="00F053BA">
            <w:pPr>
              <w:jc w:val="center"/>
              <w:rPr>
                <w:rFonts w:cs="Arial"/>
                <w:b/>
                <w:color w:val="00B050"/>
                <w:sz w:val="16"/>
                <w:szCs w:val="16"/>
              </w:rPr>
            </w:pPr>
            <w:r w:rsidRPr="0038078F">
              <w:rPr>
                <w:b/>
                <w:color w:val="00B050"/>
                <w:sz w:val="16"/>
                <w:szCs w:val="16"/>
              </w:rPr>
              <w:t>Выполнено</w:t>
            </w:r>
          </w:p>
          <w:p w:rsidR="00F053BA" w:rsidRPr="0038078F" w:rsidRDefault="00F053BA" w:rsidP="00F053BA">
            <w:pPr>
              <w:jc w:val="center"/>
              <w:rPr>
                <w:rFonts w:cs="Arial"/>
                <w:b/>
                <w:bCs/>
                <w:color w:val="00B050"/>
                <w:sz w:val="16"/>
                <w:szCs w:val="16"/>
              </w:rPr>
            </w:pPr>
          </w:p>
        </w:tc>
      </w:tr>
    </w:tbl>
    <w:p w:rsidR="00F053BA" w:rsidRDefault="00F053BA" w:rsidP="00F053BA">
      <w:pPr>
        <w:rPr>
          <w:rFonts w:cs="Arial"/>
          <w:color w:val="000000"/>
          <w:szCs w:val="22"/>
        </w:rPr>
      </w:pPr>
    </w:p>
    <w:p w:rsidR="00F053BA" w:rsidRDefault="00F053BA" w:rsidP="00F053BA">
      <w:pPr>
        <w:rPr>
          <w:rFonts w:cs="Arial"/>
          <w:color w:val="000000"/>
          <w:szCs w:val="22"/>
        </w:rPr>
      </w:pPr>
    </w:p>
    <w:p w:rsidR="00F053BA" w:rsidRPr="00F053BA" w:rsidRDefault="00F053BA" w:rsidP="00F053BA">
      <w:pPr>
        <w:rPr>
          <w:rFonts w:cs="Arial"/>
          <w:color w:val="000000"/>
          <w:szCs w:val="22"/>
          <w:lang w:val="ru-RU"/>
        </w:rPr>
      </w:pPr>
      <w:r w:rsidRPr="00F053BA">
        <w:rPr>
          <w:color w:val="000000"/>
          <w:lang w:val="ru-RU"/>
        </w:rPr>
        <w:t>ОТЧЕТ О РИСКАХ В ДВУХЛЕТНИЙ ПЕРИОД</w:t>
      </w:r>
    </w:p>
    <w:p w:rsidR="00F053BA" w:rsidRPr="00F053BA" w:rsidRDefault="00F053BA" w:rsidP="00F053BA">
      <w:pPr>
        <w:rPr>
          <w:lang w:val="ru-RU"/>
        </w:rPr>
      </w:pPr>
    </w:p>
    <w:p w:rsidR="00F053BA" w:rsidRPr="00F053BA" w:rsidRDefault="00F053BA" w:rsidP="00F053BA">
      <w:pPr>
        <w:rPr>
          <w:lang w:val="ru-RU"/>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20"/>
        <w:gridCol w:w="2200"/>
        <w:gridCol w:w="2310"/>
        <w:gridCol w:w="2306"/>
      </w:tblGrid>
      <w:tr w:rsidR="00F053BA" w:rsidRPr="00DB6380" w:rsidTr="00F053BA">
        <w:trPr>
          <w:trHeight w:val="514"/>
          <w:tblHeader/>
        </w:trPr>
        <w:tc>
          <w:tcPr>
            <w:tcW w:w="2420" w:type="dxa"/>
            <w:tcBorders>
              <w:top w:val="single" w:sz="4" w:space="0" w:color="auto"/>
              <w:bottom w:val="single" w:sz="4" w:space="0" w:color="auto"/>
            </w:tcBorders>
            <w:shd w:val="clear" w:color="auto" w:fill="C6D9F1" w:themeFill="text2" w:themeFillTint="33"/>
            <w:tcMar>
              <w:top w:w="113" w:type="dxa"/>
            </w:tcMar>
            <w:vAlign w:val="center"/>
          </w:tcPr>
          <w:p w:rsidR="00F053BA" w:rsidRPr="00F053BA" w:rsidRDefault="00F053BA" w:rsidP="00F053BA">
            <w:pPr>
              <w:autoSpaceDE w:val="0"/>
              <w:autoSpaceDN w:val="0"/>
              <w:adjustRightInd w:val="0"/>
              <w:ind w:right="-59"/>
              <w:jc w:val="center"/>
              <w:rPr>
                <w:b/>
                <w:sz w:val="18"/>
                <w:szCs w:val="18"/>
                <w:lang w:val="ru-RU"/>
              </w:rPr>
            </w:pPr>
            <w:r w:rsidRPr="00F053BA">
              <w:rPr>
                <w:b/>
                <w:sz w:val="18"/>
                <w:lang w:val="ru-RU"/>
              </w:rPr>
              <w:t>Риск (риски) того, что программа не достигнет своих результатов</w:t>
            </w:r>
          </w:p>
        </w:tc>
        <w:tc>
          <w:tcPr>
            <w:tcW w:w="2200" w:type="dxa"/>
            <w:tcBorders>
              <w:top w:val="single" w:sz="4" w:space="0" w:color="auto"/>
              <w:bottom w:val="single" w:sz="4" w:space="0" w:color="auto"/>
            </w:tcBorders>
            <w:shd w:val="clear" w:color="auto" w:fill="C6D9F1" w:themeFill="text2" w:themeFillTint="33"/>
            <w:tcMar>
              <w:top w:w="113" w:type="dxa"/>
            </w:tcMar>
            <w:vAlign w:val="center"/>
          </w:tcPr>
          <w:p w:rsidR="00F053BA" w:rsidRPr="00F053BA" w:rsidRDefault="00F053BA" w:rsidP="00F053BA">
            <w:pPr>
              <w:autoSpaceDE w:val="0"/>
              <w:autoSpaceDN w:val="0"/>
              <w:adjustRightInd w:val="0"/>
              <w:ind w:right="-59"/>
              <w:jc w:val="center"/>
              <w:rPr>
                <w:b/>
                <w:sz w:val="18"/>
                <w:szCs w:val="18"/>
                <w:lang w:val="ru-RU"/>
              </w:rPr>
            </w:pPr>
            <w:r w:rsidRPr="00F053BA">
              <w:rPr>
                <w:b/>
                <w:sz w:val="18"/>
                <w:lang w:val="ru-RU"/>
              </w:rPr>
              <w:t xml:space="preserve">Внедренные или разрабатываемые планы мер по снижению рисков </w:t>
            </w:r>
          </w:p>
        </w:tc>
        <w:tc>
          <w:tcPr>
            <w:tcW w:w="2310" w:type="dxa"/>
            <w:tcBorders>
              <w:top w:val="single" w:sz="4" w:space="0" w:color="auto"/>
              <w:bottom w:val="single" w:sz="4" w:space="0" w:color="auto"/>
            </w:tcBorders>
            <w:shd w:val="clear" w:color="auto" w:fill="C6D9F1" w:themeFill="text2" w:themeFillTint="33"/>
          </w:tcPr>
          <w:p w:rsidR="00F053BA" w:rsidRPr="00F053BA" w:rsidRDefault="00F053BA" w:rsidP="00F053BA">
            <w:pPr>
              <w:jc w:val="center"/>
              <w:rPr>
                <w:b/>
                <w:bCs/>
                <w:sz w:val="18"/>
                <w:szCs w:val="18"/>
                <w:lang w:val="ru-RU"/>
              </w:rPr>
            </w:pPr>
            <w:r w:rsidRPr="00F053BA">
              <w:rPr>
                <w:b/>
                <w:sz w:val="18"/>
                <w:lang w:val="ru-RU"/>
              </w:rPr>
              <w:t>Оценка риска (рисков) и стратегии его (их) смягчения в двухлетний период</w:t>
            </w:r>
          </w:p>
        </w:tc>
        <w:tc>
          <w:tcPr>
            <w:tcW w:w="2306" w:type="dxa"/>
            <w:tcBorders>
              <w:top w:val="single" w:sz="4" w:space="0" w:color="auto"/>
              <w:bottom w:val="single" w:sz="4" w:space="0" w:color="auto"/>
            </w:tcBorders>
            <w:shd w:val="clear" w:color="auto" w:fill="C6D9F1" w:themeFill="text2" w:themeFillTint="33"/>
          </w:tcPr>
          <w:p w:rsidR="00F053BA" w:rsidRPr="00DB6380" w:rsidRDefault="00F053BA" w:rsidP="00F053BA">
            <w:pPr>
              <w:jc w:val="center"/>
              <w:rPr>
                <w:b/>
                <w:bCs/>
                <w:sz w:val="18"/>
                <w:szCs w:val="18"/>
              </w:rPr>
            </w:pPr>
            <w:r>
              <w:rPr>
                <w:b/>
                <w:sz w:val="18"/>
              </w:rPr>
              <w:t>Влияние на реализацию программы</w:t>
            </w:r>
          </w:p>
        </w:tc>
      </w:tr>
      <w:tr w:rsidR="00F053BA" w:rsidRPr="00DB6380" w:rsidTr="00F053BA">
        <w:trPr>
          <w:trHeight w:val="668"/>
        </w:trPr>
        <w:tc>
          <w:tcPr>
            <w:tcW w:w="2420" w:type="dxa"/>
            <w:tcBorders>
              <w:top w:val="single" w:sz="4" w:space="0" w:color="auto"/>
              <w:bottom w:val="nil"/>
            </w:tcBorders>
            <w:shd w:val="clear" w:color="auto" w:fill="auto"/>
            <w:tcMar>
              <w:top w:w="113" w:type="dxa"/>
            </w:tcMar>
          </w:tcPr>
          <w:p w:rsidR="00F053BA" w:rsidRPr="00F053BA" w:rsidRDefault="00F053BA" w:rsidP="00F053BA">
            <w:pPr>
              <w:rPr>
                <w:sz w:val="16"/>
                <w:szCs w:val="16"/>
                <w:lang w:val="ru-RU"/>
              </w:rPr>
            </w:pPr>
            <w:r w:rsidRPr="00F053BA">
              <w:rPr>
                <w:sz w:val="16"/>
                <w:lang w:val="ru-RU"/>
              </w:rPr>
              <w:t>Сокращение числа заявок РСТ в абсолютном выражении или в сравнении с числом заявок, поданных по процедуре Парижской конвенции</w:t>
            </w:r>
          </w:p>
        </w:tc>
        <w:tc>
          <w:tcPr>
            <w:tcW w:w="2200" w:type="dxa"/>
            <w:tcBorders>
              <w:top w:val="single" w:sz="4" w:space="0" w:color="auto"/>
              <w:bottom w:val="nil"/>
            </w:tcBorders>
            <w:shd w:val="clear" w:color="auto" w:fill="auto"/>
            <w:tcMar>
              <w:top w:w="113" w:type="dxa"/>
            </w:tcMar>
          </w:tcPr>
          <w:p w:rsidR="00F053BA" w:rsidRPr="00F053BA" w:rsidRDefault="00F053BA" w:rsidP="00F053BA">
            <w:pPr>
              <w:rPr>
                <w:sz w:val="16"/>
                <w:szCs w:val="16"/>
                <w:lang w:val="ru-RU"/>
              </w:rPr>
            </w:pPr>
            <w:r w:rsidRPr="00F053BA">
              <w:rPr>
                <w:sz w:val="16"/>
                <w:lang w:val="ru-RU"/>
              </w:rPr>
              <w:t>Дальнейшая пропаганда РСТ среди всех пользователей как наиболее ценного и эффективного способа охраны инноваций на международных рынках</w:t>
            </w:r>
          </w:p>
        </w:tc>
        <w:tc>
          <w:tcPr>
            <w:tcW w:w="2310" w:type="dxa"/>
            <w:tcBorders>
              <w:top w:val="single" w:sz="4" w:space="0" w:color="auto"/>
              <w:bottom w:val="nil"/>
            </w:tcBorders>
          </w:tcPr>
          <w:p w:rsidR="00F053BA" w:rsidRPr="00DB6380" w:rsidRDefault="00F053BA" w:rsidP="00F053BA">
            <w:pPr>
              <w:rPr>
                <w:sz w:val="16"/>
                <w:szCs w:val="16"/>
              </w:rPr>
            </w:pPr>
            <w:r w:rsidRPr="00F053BA">
              <w:rPr>
                <w:sz w:val="16"/>
                <w:lang w:val="ru-RU"/>
              </w:rPr>
              <w:t>Этот риск по-прежнему существует, но в период 2014–2015</w:t>
            </w:r>
            <w:r>
              <w:rPr>
                <w:sz w:val="16"/>
              </w:rPr>
              <w:t> </w:t>
            </w:r>
            <w:r w:rsidRPr="00F053BA">
              <w:rPr>
                <w:sz w:val="16"/>
                <w:lang w:val="ru-RU"/>
              </w:rPr>
              <w:t xml:space="preserve">гг. он не получил развития и не нанес ущерба </w:t>
            </w:r>
            <w:r>
              <w:rPr>
                <w:sz w:val="16"/>
              </w:rPr>
              <w:t>PCT</w:t>
            </w:r>
            <w:r w:rsidRPr="00F053BA">
              <w:rPr>
                <w:sz w:val="16"/>
                <w:lang w:val="ru-RU"/>
              </w:rPr>
              <w:t xml:space="preserve">.  </w:t>
            </w:r>
            <w:r>
              <w:rPr>
                <w:sz w:val="16"/>
              </w:rPr>
              <w:t>Продолжалась реализация стратегий снижения рисков.</w:t>
            </w:r>
          </w:p>
        </w:tc>
        <w:tc>
          <w:tcPr>
            <w:tcW w:w="2306" w:type="dxa"/>
            <w:tcBorders>
              <w:top w:val="single" w:sz="4" w:space="0" w:color="auto"/>
              <w:bottom w:val="nil"/>
            </w:tcBorders>
          </w:tcPr>
          <w:p w:rsidR="00F053BA" w:rsidRPr="00DB6380" w:rsidRDefault="00F053BA" w:rsidP="00F053BA">
            <w:pPr>
              <w:rPr>
                <w:sz w:val="16"/>
                <w:szCs w:val="16"/>
              </w:rPr>
            </w:pPr>
            <w:r>
              <w:rPr>
                <w:sz w:val="16"/>
              </w:rPr>
              <w:t>Измеримое воздействие отсутствует.</w:t>
            </w:r>
          </w:p>
        </w:tc>
      </w:tr>
      <w:tr w:rsidR="00F053BA" w:rsidRPr="00DB6380" w:rsidTr="00F053BA">
        <w:trPr>
          <w:trHeight w:val="1574"/>
        </w:trPr>
        <w:tc>
          <w:tcPr>
            <w:tcW w:w="2420" w:type="dxa"/>
            <w:tcBorders>
              <w:top w:val="nil"/>
              <w:bottom w:val="nil"/>
            </w:tcBorders>
            <w:shd w:val="clear" w:color="auto" w:fill="auto"/>
            <w:tcMar>
              <w:top w:w="113" w:type="dxa"/>
            </w:tcMar>
          </w:tcPr>
          <w:p w:rsidR="00F053BA" w:rsidRPr="00F053BA" w:rsidRDefault="00F053BA" w:rsidP="00F053BA">
            <w:pPr>
              <w:rPr>
                <w:sz w:val="16"/>
                <w:szCs w:val="16"/>
                <w:lang w:val="ru-RU"/>
              </w:rPr>
            </w:pPr>
            <w:r w:rsidRPr="00F053BA">
              <w:rPr>
                <w:sz w:val="16"/>
                <w:lang w:val="ru-RU"/>
              </w:rPr>
              <w:t>Прекращение операций РСТ на длительный срок</w:t>
            </w: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r w:rsidRPr="00F053BA">
              <w:rPr>
                <w:sz w:val="16"/>
                <w:lang w:val="ru-RU"/>
              </w:rPr>
              <w:t>В случае неспособности Международного бюро осуществлять обработку документов даже в течение короткого срока происходит стремительное накопление нерассмотренных заявок.  Перебои в работе в течение нескольких дней способны привести к накоплению работы, на выполнение которой потребуется несколько недель.</w:t>
            </w:r>
          </w:p>
        </w:tc>
        <w:tc>
          <w:tcPr>
            <w:tcW w:w="2200" w:type="dxa"/>
            <w:tcBorders>
              <w:top w:val="nil"/>
              <w:bottom w:val="nil"/>
            </w:tcBorders>
            <w:shd w:val="clear" w:color="auto" w:fill="auto"/>
            <w:tcMar>
              <w:top w:w="113" w:type="dxa"/>
            </w:tcMar>
          </w:tcPr>
          <w:p w:rsidR="00F053BA" w:rsidRPr="00F053BA" w:rsidRDefault="00F053BA" w:rsidP="00F053BA">
            <w:pPr>
              <w:rPr>
                <w:sz w:val="16"/>
                <w:szCs w:val="16"/>
                <w:lang w:val="ru-RU"/>
              </w:rPr>
            </w:pPr>
            <w:r w:rsidRPr="00F053BA">
              <w:rPr>
                <w:sz w:val="16"/>
                <w:lang w:val="ru-RU"/>
              </w:rPr>
              <w:t>Реализация и регулярное тестирование плана обеспечения бесперебойной деятельности (</w:t>
            </w:r>
            <w:r>
              <w:rPr>
                <w:sz w:val="16"/>
              </w:rPr>
              <w:t>BCM</w:t>
            </w:r>
            <w:r w:rsidRPr="00F053BA">
              <w:rPr>
                <w:sz w:val="16"/>
                <w:lang w:val="ru-RU"/>
              </w:rPr>
              <w:t>)</w:t>
            </w:r>
          </w:p>
          <w:p w:rsidR="00F053BA" w:rsidRPr="00F053BA" w:rsidRDefault="00F053BA" w:rsidP="00F053BA">
            <w:pPr>
              <w:rPr>
                <w:sz w:val="16"/>
                <w:szCs w:val="16"/>
                <w:lang w:val="ru-RU"/>
              </w:rPr>
            </w:pPr>
          </w:p>
          <w:p w:rsidR="00F053BA" w:rsidRPr="00F053BA" w:rsidRDefault="00F053BA" w:rsidP="00F053BA">
            <w:pPr>
              <w:autoSpaceDE w:val="0"/>
              <w:autoSpaceDN w:val="0"/>
              <w:adjustRightInd w:val="0"/>
              <w:ind w:right="-59"/>
              <w:rPr>
                <w:sz w:val="16"/>
                <w:szCs w:val="16"/>
                <w:lang w:val="ru-RU"/>
              </w:rPr>
            </w:pPr>
          </w:p>
          <w:p w:rsidR="00F053BA" w:rsidRPr="00F053BA" w:rsidRDefault="00F053BA" w:rsidP="00F053BA">
            <w:pPr>
              <w:autoSpaceDE w:val="0"/>
              <w:autoSpaceDN w:val="0"/>
              <w:adjustRightInd w:val="0"/>
              <w:ind w:right="-59"/>
              <w:rPr>
                <w:sz w:val="16"/>
                <w:szCs w:val="16"/>
                <w:lang w:val="ru-RU"/>
              </w:rPr>
            </w:pPr>
          </w:p>
          <w:p w:rsidR="00F053BA" w:rsidRPr="00F053BA" w:rsidRDefault="00F053BA" w:rsidP="00F053BA">
            <w:pPr>
              <w:autoSpaceDE w:val="0"/>
              <w:autoSpaceDN w:val="0"/>
              <w:adjustRightInd w:val="0"/>
              <w:ind w:right="-59"/>
              <w:rPr>
                <w:sz w:val="16"/>
                <w:szCs w:val="16"/>
                <w:lang w:val="ru-RU"/>
              </w:rPr>
            </w:pPr>
          </w:p>
          <w:p w:rsidR="00F053BA" w:rsidRPr="00F053BA" w:rsidRDefault="00F053BA" w:rsidP="00F053BA">
            <w:pPr>
              <w:autoSpaceDE w:val="0"/>
              <w:autoSpaceDN w:val="0"/>
              <w:adjustRightInd w:val="0"/>
              <w:ind w:right="-59"/>
              <w:rPr>
                <w:sz w:val="16"/>
                <w:szCs w:val="16"/>
                <w:lang w:val="ru-RU"/>
              </w:rPr>
            </w:pPr>
          </w:p>
          <w:p w:rsidR="00F053BA" w:rsidRPr="00F053BA" w:rsidRDefault="00F053BA" w:rsidP="00F053BA">
            <w:pPr>
              <w:autoSpaceDE w:val="0"/>
              <w:autoSpaceDN w:val="0"/>
              <w:adjustRightInd w:val="0"/>
              <w:ind w:right="-59"/>
              <w:rPr>
                <w:sz w:val="16"/>
                <w:szCs w:val="16"/>
                <w:lang w:val="ru-RU"/>
              </w:rPr>
            </w:pPr>
            <w:r w:rsidRPr="00F053BA">
              <w:rPr>
                <w:sz w:val="16"/>
                <w:lang w:val="ru-RU"/>
              </w:rPr>
              <w:t>Целью плана обеспечения бесперебойной деятельности является создание возможности для Международного бюро успешно осуществлять свою деятельность в периоды дестабилизации во избежание недопустимого падения качества услуг, предоставляемых заявителям и ведомствам РСТ</w:t>
            </w:r>
          </w:p>
        </w:tc>
        <w:tc>
          <w:tcPr>
            <w:tcW w:w="2310" w:type="dxa"/>
            <w:tcBorders>
              <w:top w:val="nil"/>
              <w:bottom w:val="nil"/>
            </w:tcBorders>
          </w:tcPr>
          <w:p w:rsidR="00F053BA" w:rsidRPr="00F053BA" w:rsidRDefault="00F053BA" w:rsidP="00F053BA">
            <w:pPr>
              <w:rPr>
                <w:sz w:val="16"/>
                <w:szCs w:val="16"/>
                <w:lang w:val="ru-RU"/>
              </w:rPr>
            </w:pPr>
            <w:r w:rsidRPr="00F053BA">
              <w:rPr>
                <w:sz w:val="16"/>
                <w:lang w:val="ru-RU"/>
              </w:rPr>
              <w:t xml:space="preserve">Этот риск не реализовался.  В качестве стратегии снижения риска началась подготовка к разработке устойчивой и надежной платформенной архитектуры для информационных систем </w:t>
            </w:r>
            <w:r>
              <w:rPr>
                <w:sz w:val="16"/>
              </w:rPr>
              <w:t>PCT</w:t>
            </w:r>
            <w:r w:rsidRPr="00F053BA">
              <w:rPr>
                <w:sz w:val="16"/>
                <w:lang w:val="ru-RU"/>
              </w:rPr>
              <w:t>.</w:t>
            </w:r>
          </w:p>
          <w:p w:rsidR="00F053BA" w:rsidRPr="00F053BA" w:rsidRDefault="00F053BA" w:rsidP="00F053BA">
            <w:pPr>
              <w:rPr>
                <w:sz w:val="16"/>
                <w:szCs w:val="16"/>
                <w:lang w:val="ru-RU"/>
              </w:rPr>
            </w:pPr>
          </w:p>
          <w:p w:rsidR="00F053BA" w:rsidRPr="00F053BA" w:rsidRDefault="00F053BA" w:rsidP="00F053BA">
            <w:pPr>
              <w:rPr>
                <w:sz w:val="16"/>
                <w:szCs w:val="16"/>
                <w:lang w:val="ru-RU"/>
              </w:rPr>
            </w:pPr>
            <w:r w:rsidRPr="00F053BA">
              <w:rPr>
                <w:sz w:val="16"/>
                <w:lang w:val="ru-RU"/>
              </w:rPr>
              <w:t>Этот риск не реализовался.  Были созданы новые показатели рабочей нагрузки в целях совершенствования процедур контроля качества при реализации стратегий по снижению риска.</w:t>
            </w:r>
          </w:p>
        </w:tc>
        <w:tc>
          <w:tcPr>
            <w:tcW w:w="2306" w:type="dxa"/>
            <w:tcBorders>
              <w:top w:val="nil"/>
              <w:bottom w:val="nil"/>
            </w:tcBorders>
          </w:tcPr>
          <w:p w:rsidR="00F053BA" w:rsidRPr="00F053BA" w:rsidRDefault="00F053BA" w:rsidP="00F053BA">
            <w:pPr>
              <w:autoSpaceDE w:val="0"/>
              <w:autoSpaceDN w:val="0"/>
              <w:adjustRightInd w:val="0"/>
              <w:ind w:right="-59"/>
              <w:rPr>
                <w:sz w:val="16"/>
                <w:szCs w:val="16"/>
                <w:lang w:val="ru-RU"/>
              </w:rPr>
            </w:pPr>
            <w:r w:rsidRPr="00F053BA">
              <w:rPr>
                <w:sz w:val="16"/>
                <w:lang w:val="ru-RU"/>
              </w:rPr>
              <w:t>Этот риск и его развитие не оказали существенного влияния на реализацию программы в 2014–2015 гг.</w:t>
            </w: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F053BA" w:rsidRDefault="00F053BA" w:rsidP="00F053BA">
            <w:pPr>
              <w:rPr>
                <w:sz w:val="16"/>
                <w:szCs w:val="16"/>
                <w:lang w:val="ru-RU"/>
              </w:rPr>
            </w:pPr>
          </w:p>
          <w:p w:rsidR="00F053BA" w:rsidRPr="00DB6380" w:rsidRDefault="00F053BA" w:rsidP="00F053BA">
            <w:pPr>
              <w:rPr>
                <w:sz w:val="16"/>
                <w:szCs w:val="16"/>
              </w:rPr>
            </w:pPr>
            <w:r>
              <w:rPr>
                <w:sz w:val="16"/>
              </w:rPr>
              <w:t>Повысилось качество формальной экспертизы.</w:t>
            </w:r>
          </w:p>
        </w:tc>
      </w:tr>
      <w:tr w:rsidR="00F053BA" w:rsidRPr="005C6ABD" w:rsidTr="00F053BA">
        <w:trPr>
          <w:trHeight w:val="1031"/>
        </w:trPr>
        <w:tc>
          <w:tcPr>
            <w:tcW w:w="2420" w:type="dxa"/>
            <w:tcBorders>
              <w:top w:val="nil"/>
              <w:bottom w:val="single" w:sz="4" w:space="0" w:color="auto"/>
            </w:tcBorders>
            <w:shd w:val="clear" w:color="auto" w:fill="auto"/>
            <w:tcMar>
              <w:top w:w="113" w:type="dxa"/>
            </w:tcMar>
          </w:tcPr>
          <w:p w:rsidR="00F053BA" w:rsidRPr="00F053BA" w:rsidRDefault="00F053BA" w:rsidP="00F053BA">
            <w:pPr>
              <w:rPr>
                <w:sz w:val="16"/>
                <w:szCs w:val="16"/>
                <w:lang w:val="ru-RU"/>
              </w:rPr>
            </w:pPr>
            <w:r w:rsidRPr="00F053BA">
              <w:rPr>
                <w:sz w:val="16"/>
                <w:lang w:val="ru-RU"/>
              </w:rPr>
              <w:t>Намеренное или неумышленное раскрытие конфиденциальной информации</w:t>
            </w:r>
          </w:p>
        </w:tc>
        <w:tc>
          <w:tcPr>
            <w:tcW w:w="2200" w:type="dxa"/>
            <w:tcBorders>
              <w:top w:val="nil"/>
              <w:bottom w:val="single" w:sz="4" w:space="0" w:color="auto"/>
            </w:tcBorders>
            <w:shd w:val="clear" w:color="auto" w:fill="auto"/>
            <w:tcMar>
              <w:top w:w="113" w:type="dxa"/>
            </w:tcMar>
          </w:tcPr>
          <w:p w:rsidR="00F053BA" w:rsidRPr="00F053BA" w:rsidRDefault="00F053BA" w:rsidP="00F053BA">
            <w:pPr>
              <w:rPr>
                <w:sz w:val="16"/>
                <w:lang w:val="ru-RU"/>
              </w:rPr>
            </w:pPr>
            <w:r w:rsidRPr="00F053BA">
              <w:rPr>
                <w:sz w:val="16"/>
                <w:lang w:val="ru-RU"/>
              </w:rPr>
              <w:t>Непрерывная реализация программы повышения осведомленности задействованного персонала: внедрение самых современных механизмов контроля в реальной и электронной среде, постоянное совершенствование средств ведения стратегического наблюдения, обеспечение постоянного и пристального надзора за деятельностью внешних подрядчиков, предоставляющих услуги перевода.</w:t>
            </w:r>
          </w:p>
          <w:p w:rsidR="00F053BA" w:rsidRPr="00F053BA" w:rsidDel="00C266CB" w:rsidRDefault="00F053BA" w:rsidP="00F053BA">
            <w:pPr>
              <w:rPr>
                <w:sz w:val="16"/>
                <w:szCs w:val="16"/>
                <w:lang w:val="ru-RU"/>
              </w:rPr>
            </w:pPr>
          </w:p>
        </w:tc>
        <w:tc>
          <w:tcPr>
            <w:tcW w:w="2310" w:type="dxa"/>
            <w:tcBorders>
              <w:top w:val="nil"/>
              <w:bottom w:val="single" w:sz="4" w:space="0" w:color="auto"/>
            </w:tcBorders>
          </w:tcPr>
          <w:p w:rsidR="00F053BA" w:rsidRPr="00F053BA" w:rsidRDefault="00F053BA" w:rsidP="00F053BA">
            <w:pPr>
              <w:rPr>
                <w:sz w:val="16"/>
                <w:szCs w:val="16"/>
                <w:lang w:val="ru-RU"/>
              </w:rPr>
            </w:pPr>
            <w:r w:rsidRPr="00F053BA">
              <w:rPr>
                <w:sz w:val="16"/>
                <w:lang w:val="ru-RU"/>
              </w:rPr>
              <w:t xml:space="preserve">Этот риск не реализовался. В качестве стратегии снижения риска началась подготовка к разработке устойчивой и надежной платформенной архитектуры для информационных систем </w:t>
            </w:r>
            <w:r>
              <w:rPr>
                <w:sz w:val="16"/>
              </w:rPr>
              <w:t>PCT</w:t>
            </w:r>
            <w:r w:rsidRPr="00F053BA">
              <w:rPr>
                <w:sz w:val="16"/>
                <w:lang w:val="ru-RU"/>
              </w:rPr>
              <w:t>.</w:t>
            </w:r>
          </w:p>
        </w:tc>
        <w:tc>
          <w:tcPr>
            <w:tcW w:w="2306" w:type="dxa"/>
            <w:tcBorders>
              <w:top w:val="nil"/>
              <w:bottom w:val="single" w:sz="4" w:space="0" w:color="auto"/>
            </w:tcBorders>
          </w:tcPr>
          <w:p w:rsidR="00F053BA" w:rsidRPr="00F053BA" w:rsidRDefault="00F053BA" w:rsidP="00F053BA">
            <w:pPr>
              <w:autoSpaceDE w:val="0"/>
              <w:autoSpaceDN w:val="0"/>
              <w:adjustRightInd w:val="0"/>
              <w:ind w:right="-59"/>
              <w:rPr>
                <w:sz w:val="16"/>
                <w:szCs w:val="16"/>
                <w:lang w:val="ru-RU"/>
              </w:rPr>
            </w:pPr>
            <w:r w:rsidRPr="00F053BA">
              <w:rPr>
                <w:sz w:val="16"/>
                <w:lang w:val="ru-RU"/>
              </w:rPr>
              <w:t>Этот риск и его развитие не оказали существенного влияния на реализацию программы в 2014–2015 гг.</w:t>
            </w:r>
          </w:p>
          <w:p w:rsidR="00F053BA" w:rsidRPr="00F053BA" w:rsidRDefault="00F053BA" w:rsidP="00F053BA">
            <w:pPr>
              <w:rPr>
                <w:sz w:val="16"/>
                <w:szCs w:val="16"/>
                <w:lang w:val="ru-RU"/>
              </w:rPr>
            </w:pPr>
          </w:p>
        </w:tc>
      </w:tr>
    </w:tbl>
    <w:p w:rsidR="00F053BA" w:rsidRPr="00F053BA" w:rsidRDefault="00F053BA" w:rsidP="00F053BA">
      <w:pPr>
        <w:rPr>
          <w:rFonts w:cs="Arial"/>
          <w:color w:val="000000"/>
          <w:szCs w:val="22"/>
          <w:lang w:val="ru-RU"/>
        </w:rPr>
      </w:pPr>
    </w:p>
    <w:p w:rsidR="00F053BA" w:rsidRPr="00F053BA" w:rsidRDefault="00F053BA" w:rsidP="00F053BA">
      <w:pPr>
        <w:rPr>
          <w:rFonts w:cs="Arial"/>
          <w:color w:val="000000"/>
          <w:szCs w:val="22"/>
          <w:lang w:val="ru-RU"/>
        </w:rPr>
      </w:pPr>
    </w:p>
    <w:p w:rsidR="00F053BA" w:rsidRPr="00F053BA" w:rsidRDefault="00F053BA" w:rsidP="00F053BA">
      <w:pPr>
        <w:rPr>
          <w:rFonts w:cs="Arial"/>
          <w:color w:val="000000"/>
          <w:szCs w:val="22"/>
          <w:lang w:val="ru-RU"/>
        </w:rPr>
      </w:pPr>
    </w:p>
    <w:p w:rsidR="00F053BA" w:rsidRPr="00F053BA" w:rsidRDefault="00F053BA" w:rsidP="00F053BA">
      <w:pPr>
        <w:keepNext/>
        <w:keepLines/>
        <w:rPr>
          <w:rFonts w:cs="Arial"/>
          <w:color w:val="000000"/>
          <w:szCs w:val="22"/>
          <w:lang w:val="ru-RU"/>
        </w:rPr>
      </w:pPr>
      <w:r w:rsidRPr="00F053BA">
        <w:rPr>
          <w:color w:val="000000"/>
          <w:lang w:val="ru-RU"/>
        </w:rPr>
        <w:t>ИСПОЛЬЗОВАНИЕ РЕСУРСОВ</w:t>
      </w:r>
      <w:r w:rsidRPr="00F053BA">
        <w:rPr>
          <w:lang w:val="ru-RU"/>
        </w:rPr>
        <w:tab/>
      </w:r>
    </w:p>
    <w:p w:rsidR="00F053BA" w:rsidRPr="00F053BA" w:rsidRDefault="00F053BA" w:rsidP="00F053BA">
      <w:pPr>
        <w:keepNext/>
        <w:keepLines/>
        <w:rPr>
          <w:sz w:val="18"/>
          <w:szCs w:val="20"/>
          <w:lang w:val="ru-RU"/>
        </w:rPr>
      </w:pPr>
    </w:p>
    <w:p w:rsidR="00F053BA" w:rsidRPr="00F053BA" w:rsidRDefault="00F053BA" w:rsidP="00F053BA">
      <w:pPr>
        <w:pStyle w:val="NormalWeb"/>
        <w:keepNext/>
        <w:keepLines/>
        <w:spacing w:before="0" w:beforeAutospacing="0" w:after="0" w:afterAutospacing="0"/>
        <w:jc w:val="center"/>
        <w:rPr>
          <w:sz w:val="20"/>
          <w:szCs w:val="20"/>
          <w:lang w:val="ru-RU"/>
        </w:rPr>
      </w:pPr>
      <w:r w:rsidRPr="00F053BA">
        <w:rPr>
          <w:color w:val="000000"/>
          <w:sz w:val="20"/>
          <w:lang w:val="ru-RU"/>
        </w:rPr>
        <w:t xml:space="preserve">Бюджет и фактические расходы (в разбивке по результатам) </w:t>
      </w:r>
    </w:p>
    <w:p w:rsidR="00F053BA" w:rsidRDefault="00F053BA" w:rsidP="00F053B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053BA" w:rsidRDefault="00F053BA" w:rsidP="00F053BA">
      <w:pPr>
        <w:pStyle w:val="NormalWeb"/>
        <w:keepNext/>
        <w:keepLines/>
        <w:spacing w:before="0" w:beforeAutospacing="0" w:after="0" w:afterAutospacing="0"/>
        <w:jc w:val="center"/>
        <w:rPr>
          <w:i/>
          <w:iCs/>
          <w:color w:val="000000"/>
          <w:sz w:val="20"/>
          <w:szCs w:val="20"/>
        </w:rPr>
      </w:pPr>
    </w:p>
    <w:p w:rsidR="00F053BA" w:rsidRDefault="00F053BA" w:rsidP="00F053BA">
      <w:pPr>
        <w:keepNext/>
        <w:keepLines/>
        <w:jc w:val="center"/>
      </w:pPr>
      <w:r>
        <w:rPr>
          <w:noProof/>
        </w:rPr>
        <w:drawing>
          <wp:inline distT="0" distB="0" distL="0" distR="0" wp14:anchorId="491FC604" wp14:editId="62FC651D">
            <wp:extent cx="5940425" cy="2744054"/>
            <wp:effectExtent l="0" t="0" r="317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940425" cy="2744054"/>
                    </a:xfrm>
                    <a:prstGeom prst="rect">
                      <a:avLst/>
                    </a:prstGeom>
                    <a:noFill/>
                    <a:ln>
                      <a:noFill/>
                    </a:ln>
                  </pic:spPr>
                </pic:pic>
              </a:graphicData>
            </a:graphic>
          </wp:inline>
        </w:drawing>
      </w:r>
    </w:p>
    <w:p w:rsidR="00F053BA" w:rsidRDefault="00F053BA" w:rsidP="00F053BA"/>
    <w:p w:rsidR="00F053BA" w:rsidRDefault="00F053BA" w:rsidP="00F053BA">
      <w:pPr>
        <w:pStyle w:val="NormalWeb"/>
        <w:keepNext/>
        <w:keepLines/>
        <w:spacing w:before="0" w:beforeAutospacing="0" w:after="0" w:afterAutospacing="0"/>
        <w:jc w:val="center"/>
        <w:rPr>
          <w:color w:val="000000"/>
          <w:sz w:val="20"/>
        </w:rPr>
      </w:pPr>
    </w:p>
    <w:p w:rsidR="00F053BA" w:rsidRPr="00F053BA" w:rsidRDefault="00F053BA" w:rsidP="00F053BA">
      <w:pPr>
        <w:pStyle w:val="NormalWeb"/>
        <w:keepNext/>
        <w:keepLines/>
        <w:spacing w:before="0" w:beforeAutospacing="0" w:after="0" w:afterAutospacing="0"/>
        <w:jc w:val="center"/>
        <w:rPr>
          <w:sz w:val="20"/>
          <w:szCs w:val="20"/>
          <w:lang w:val="ru-RU"/>
        </w:rPr>
      </w:pPr>
      <w:r w:rsidRPr="00F053BA">
        <w:rPr>
          <w:color w:val="000000"/>
          <w:sz w:val="20"/>
          <w:lang w:val="ru-RU"/>
        </w:rPr>
        <w:t xml:space="preserve">Бюджет и фактические расходы (по персоналу и не связанные с персоналом) </w:t>
      </w:r>
    </w:p>
    <w:p w:rsidR="00F053BA" w:rsidRPr="00383D2D" w:rsidRDefault="00F053BA" w:rsidP="00F053B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053BA" w:rsidRDefault="00F053BA" w:rsidP="00F053BA">
      <w:pPr>
        <w:pStyle w:val="NormalWeb"/>
        <w:keepNext/>
        <w:keepLines/>
        <w:spacing w:before="0" w:beforeAutospacing="0" w:after="0" w:afterAutospacing="0"/>
        <w:jc w:val="center"/>
      </w:pPr>
    </w:p>
    <w:p w:rsidR="00F053BA" w:rsidRPr="008F4A6D" w:rsidRDefault="00F053BA" w:rsidP="00F053BA">
      <w:pPr>
        <w:keepNext/>
        <w:keepLines/>
        <w:autoSpaceDE w:val="0"/>
        <w:autoSpaceDN w:val="0"/>
        <w:adjustRightInd w:val="0"/>
        <w:jc w:val="center"/>
        <w:rPr>
          <w:rFonts w:cs="Arial"/>
          <w:szCs w:val="20"/>
        </w:rPr>
      </w:pPr>
      <w:r>
        <w:rPr>
          <w:rFonts w:cs="Arial"/>
          <w:noProof/>
          <w:szCs w:val="20"/>
        </w:rPr>
        <w:drawing>
          <wp:inline distT="0" distB="0" distL="0" distR="0" wp14:anchorId="07BFE553" wp14:editId="67CD682F">
            <wp:extent cx="5940425" cy="1180214"/>
            <wp:effectExtent l="0" t="0" r="3175" b="12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940425" cy="1180214"/>
                    </a:xfrm>
                    <a:prstGeom prst="rect">
                      <a:avLst/>
                    </a:prstGeom>
                    <a:noFill/>
                    <a:ln>
                      <a:noFill/>
                    </a:ln>
                  </pic:spPr>
                </pic:pic>
              </a:graphicData>
            </a:graphic>
          </wp:inline>
        </w:drawing>
      </w:r>
    </w:p>
    <w:p w:rsidR="00F053BA" w:rsidRDefault="00F053BA" w:rsidP="00F053BA">
      <w:pPr>
        <w:keepNext/>
        <w:keepLines/>
        <w:autoSpaceDE w:val="0"/>
        <w:autoSpaceDN w:val="0"/>
        <w:adjustRightInd w:val="0"/>
        <w:rPr>
          <w:rFonts w:cs="Arial"/>
          <w:szCs w:val="20"/>
        </w:rPr>
      </w:pPr>
    </w:p>
    <w:p w:rsidR="00F053BA" w:rsidRPr="00F053BA" w:rsidRDefault="00F053BA" w:rsidP="00F053BA">
      <w:pPr>
        <w:keepNext/>
        <w:keepLines/>
        <w:autoSpaceDE w:val="0"/>
        <w:autoSpaceDN w:val="0"/>
        <w:adjustRightInd w:val="0"/>
        <w:rPr>
          <w:rFonts w:cs="Arial"/>
          <w:sz w:val="16"/>
          <w:szCs w:val="16"/>
          <w:lang w:val="ru-RU"/>
        </w:rPr>
      </w:pPr>
      <w:r w:rsidRPr="00F053BA">
        <w:rPr>
          <w:i/>
          <w:sz w:val="16"/>
          <w:lang w:val="ru-RU"/>
        </w:rPr>
        <w:t>«ПРИМЕЧАНИЕ. Ресурсы, выделенные на реализацию проектов ПДР «ИС и передача технологии» и «Открытые совместные проекты» (280</w:t>
      </w:r>
      <w:r>
        <w:rPr>
          <w:i/>
          <w:sz w:val="16"/>
        </w:rPr>
        <w:t> </w:t>
      </w:r>
      <w:r w:rsidRPr="00F053BA">
        <w:rPr>
          <w:i/>
          <w:sz w:val="16"/>
          <w:lang w:val="ru-RU"/>
        </w:rPr>
        <w:t>тыс. шв. фр</w:t>
      </w:r>
      <w:r w:rsidR="00BB27E0">
        <w:rPr>
          <w:i/>
          <w:sz w:val="16"/>
          <w:lang w:val="ru-RU"/>
        </w:rPr>
        <w:t>анков</w:t>
      </w:r>
      <w:r w:rsidRPr="00F053BA">
        <w:rPr>
          <w:i/>
          <w:sz w:val="16"/>
          <w:lang w:val="ru-RU"/>
        </w:rPr>
        <w:t xml:space="preserve"> и 153 тыс. шв. фр</w:t>
      </w:r>
      <w:r w:rsidR="00BB27E0">
        <w:rPr>
          <w:i/>
          <w:sz w:val="16"/>
          <w:lang w:val="ru-RU"/>
        </w:rPr>
        <w:t>анков</w:t>
      </w:r>
      <w:r w:rsidRPr="00F053BA">
        <w:rPr>
          <w:i/>
          <w:sz w:val="16"/>
          <w:lang w:val="ru-RU"/>
        </w:rPr>
        <w:t xml:space="preserve"> соответственно), отражены в разделе, посвященном ожидаемым результатам </w:t>
      </w:r>
      <w:r>
        <w:rPr>
          <w:i/>
          <w:sz w:val="16"/>
        </w:rPr>
        <w:t>IV</w:t>
      </w:r>
      <w:r w:rsidRPr="00F053BA">
        <w:rPr>
          <w:i/>
          <w:sz w:val="16"/>
          <w:lang w:val="ru-RU"/>
        </w:rPr>
        <w:t xml:space="preserve">.2 и </w:t>
      </w:r>
      <w:r>
        <w:rPr>
          <w:i/>
          <w:sz w:val="16"/>
        </w:rPr>
        <w:t>VII</w:t>
      </w:r>
      <w:r w:rsidRPr="00F053BA">
        <w:rPr>
          <w:i/>
          <w:sz w:val="16"/>
          <w:lang w:val="ru-RU"/>
        </w:rPr>
        <w:t>.3. Реализация этих проектов была завершена в 2015</w:t>
      </w:r>
      <w:r>
        <w:rPr>
          <w:i/>
          <w:sz w:val="16"/>
        </w:rPr>
        <w:t> </w:t>
      </w:r>
      <w:r w:rsidRPr="00F053BA">
        <w:rPr>
          <w:i/>
          <w:sz w:val="16"/>
          <w:lang w:val="ru-RU"/>
        </w:rPr>
        <w:t>г.; подробный отчет по обоим проектам представлен в разделе о программе 30».</w:t>
      </w:r>
    </w:p>
    <w:p w:rsidR="00F053BA" w:rsidRPr="00F053BA" w:rsidRDefault="00F053BA" w:rsidP="00F053BA">
      <w:pPr>
        <w:widowControl w:val="0"/>
        <w:autoSpaceDE w:val="0"/>
        <w:autoSpaceDN w:val="0"/>
        <w:adjustRightInd w:val="0"/>
        <w:rPr>
          <w:rFonts w:cs="Arial"/>
          <w:szCs w:val="20"/>
          <w:lang w:val="ru-RU"/>
        </w:rPr>
      </w:pPr>
    </w:p>
    <w:p w:rsidR="00F053BA" w:rsidRPr="00F053BA" w:rsidRDefault="00F053BA" w:rsidP="00F053BA">
      <w:pPr>
        <w:widowControl w:val="0"/>
        <w:autoSpaceDE w:val="0"/>
        <w:autoSpaceDN w:val="0"/>
        <w:adjustRightInd w:val="0"/>
        <w:rPr>
          <w:rFonts w:cs="Arial"/>
          <w:szCs w:val="20"/>
          <w:lang w:val="ru-RU"/>
        </w:rPr>
      </w:pPr>
    </w:p>
    <w:p w:rsidR="00F053BA" w:rsidRPr="00F053BA" w:rsidRDefault="00F053BA" w:rsidP="00F053BA">
      <w:pPr>
        <w:rPr>
          <w:rFonts w:cs="Arial"/>
          <w:u w:val="single"/>
          <w:lang w:val="ru-RU"/>
        </w:rPr>
      </w:pPr>
      <w:r>
        <w:t>A</w:t>
      </w:r>
      <w:r w:rsidRPr="00F053BA">
        <w:rPr>
          <w:lang w:val="ru-RU"/>
        </w:rPr>
        <w:t>.</w:t>
      </w:r>
      <w:r w:rsidRPr="00F053BA">
        <w:rPr>
          <w:lang w:val="ru-RU"/>
        </w:rPr>
        <w:tab/>
      </w:r>
      <w:r w:rsidRPr="00F053BA">
        <w:rPr>
          <w:u w:val="single"/>
          <w:lang w:val="ru-RU"/>
        </w:rPr>
        <w:t xml:space="preserve">Итоговый бюджет на 2014–2015 гг. после перераспределения средств </w:t>
      </w:r>
    </w:p>
    <w:p w:rsidR="00F053BA" w:rsidRPr="00F053BA" w:rsidRDefault="00F053BA" w:rsidP="00F053BA">
      <w:pPr>
        <w:autoSpaceDE w:val="0"/>
        <w:autoSpaceDN w:val="0"/>
        <w:jc w:val="both"/>
        <w:rPr>
          <w:rFonts w:cs="Arial"/>
          <w:szCs w:val="20"/>
          <w:lang w:val="ru-RU"/>
        </w:rPr>
      </w:pPr>
    </w:p>
    <w:p w:rsidR="00F053BA" w:rsidRPr="00F053BA" w:rsidRDefault="00F053BA" w:rsidP="00F053BA">
      <w:pPr>
        <w:pStyle w:val="ListParagraph"/>
        <w:numPr>
          <w:ilvl w:val="0"/>
          <w:numId w:val="24"/>
        </w:numPr>
        <w:tabs>
          <w:tab w:val="left" w:pos="0"/>
          <w:tab w:val="left" w:pos="567"/>
        </w:tabs>
        <w:ind w:left="0" w:firstLine="0"/>
        <w:jc w:val="both"/>
        <w:rPr>
          <w:lang w:val="ru-RU"/>
        </w:rPr>
      </w:pPr>
      <w:r w:rsidRPr="00F053BA">
        <w:rPr>
          <w:lang w:val="ru-RU"/>
        </w:rPr>
        <w:t xml:space="preserve">Общее снижение итогового бюджета после перераспределения средств в основном обусловлено ростом производительности при обработке международных заявок в рассматриваемый двухлетний период.  Кроме того, повышению эффективности использования ресурсов способствовало повышение эффективности рабочих процессов и использование более эффективных методов покрытия финансовых обязательств по оплате услуг перевода. </w:t>
      </w:r>
    </w:p>
    <w:p w:rsidR="00F053BA" w:rsidRPr="00F053BA" w:rsidRDefault="00F053BA" w:rsidP="00F053BA">
      <w:pPr>
        <w:tabs>
          <w:tab w:val="left" w:pos="709"/>
        </w:tabs>
        <w:autoSpaceDE w:val="0"/>
        <w:autoSpaceDN w:val="0"/>
        <w:adjustRightInd w:val="0"/>
        <w:jc w:val="both"/>
        <w:rPr>
          <w:lang w:val="ru-RU"/>
        </w:rPr>
      </w:pPr>
    </w:p>
    <w:p w:rsidR="00F053BA" w:rsidRPr="00F053BA" w:rsidRDefault="00F053BA" w:rsidP="00F053BA">
      <w:pPr>
        <w:pStyle w:val="ListParagraph"/>
        <w:numPr>
          <w:ilvl w:val="0"/>
          <w:numId w:val="24"/>
        </w:numPr>
        <w:tabs>
          <w:tab w:val="left" w:pos="0"/>
          <w:tab w:val="left" w:pos="567"/>
        </w:tabs>
        <w:ind w:left="0" w:firstLine="0"/>
        <w:jc w:val="both"/>
        <w:rPr>
          <w:lang w:val="ru-RU"/>
        </w:rPr>
      </w:pPr>
      <w:r w:rsidRPr="00F053BA">
        <w:rPr>
          <w:lang w:val="ru-RU"/>
        </w:rPr>
        <w:t xml:space="preserve">Общее снижение было частично компенсировано чистым увеличением бюджета, выделенного на дальнейшее совершенствование информационных систем </w:t>
      </w:r>
      <w:r>
        <w:t>PCT</w:t>
      </w:r>
      <w:r w:rsidRPr="00F053BA">
        <w:rPr>
          <w:lang w:val="ru-RU"/>
        </w:rPr>
        <w:t xml:space="preserve">. </w:t>
      </w:r>
    </w:p>
    <w:p w:rsidR="00F053BA" w:rsidRPr="00F053BA" w:rsidRDefault="00F053BA" w:rsidP="00F053BA">
      <w:pPr>
        <w:tabs>
          <w:tab w:val="left" w:pos="709"/>
        </w:tabs>
        <w:autoSpaceDE w:val="0"/>
        <w:autoSpaceDN w:val="0"/>
        <w:adjustRightInd w:val="0"/>
        <w:jc w:val="both"/>
        <w:rPr>
          <w:lang w:val="ru-RU"/>
        </w:rPr>
      </w:pPr>
    </w:p>
    <w:p w:rsidR="00F053BA" w:rsidRPr="00F053BA" w:rsidRDefault="00F053BA" w:rsidP="00F053BA">
      <w:pPr>
        <w:pStyle w:val="ListParagraph"/>
        <w:numPr>
          <w:ilvl w:val="0"/>
          <w:numId w:val="24"/>
        </w:numPr>
        <w:tabs>
          <w:tab w:val="left" w:pos="0"/>
          <w:tab w:val="left" w:pos="567"/>
        </w:tabs>
        <w:ind w:left="0" w:firstLine="0"/>
        <w:jc w:val="both"/>
        <w:rPr>
          <w:rFonts w:cs="Arial"/>
          <w:lang w:val="ru-RU"/>
        </w:rPr>
      </w:pPr>
      <w:r w:rsidRPr="00F053BA">
        <w:rPr>
          <w:lang w:val="ru-RU"/>
        </w:rPr>
        <w:t>Корректировки итогового бюджета после перераспределения средств, связанные с перераспределением ресурсов, направляемых на достижение различных результатов, были в основном обусловлены перераспределением ресурсов, связанных с персоналом.</w:t>
      </w:r>
    </w:p>
    <w:p w:rsidR="00F053BA" w:rsidRPr="00F053BA" w:rsidRDefault="00F053BA" w:rsidP="00F053BA">
      <w:pPr>
        <w:autoSpaceDE w:val="0"/>
        <w:autoSpaceDN w:val="0"/>
        <w:jc w:val="both"/>
        <w:rPr>
          <w:rFonts w:cs="Arial"/>
          <w:szCs w:val="20"/>
          <w:lang w:val="ru-RU"/>
        </w:rPr>
      </w:pPr>
    </w:p>
    <w:p w:rsidR="00F053BA" w:rsidRPr="00F053BA" w:rsidRDefault="00F053BA" w:rsidP="00F053BA">
      <w:pPr>
        <w:autoSpaceDE w:val="0"/>
        <w:autoSpaceDN w:val="0"/>
        <w:jc w:val="both"/>
        <w:rPr>
          <w:rFonts w:cs="Arial"/>
          <w:szCs w:val="20"/>
          <w:lang w:val="ru-RU"/>
        </w:rPr>
      </w:pPr>
    </w:p>
    <w:p w:rsidR="00F053BA" w:rsidRPr="00F053BA" w:rsidRDefault="00F053BA" w:rsidP="00F053BA">
      <w:pPr>
        <w:jc w:val="both"/>
        <w:rPr>
          <w:rFonts w:cs="Arial"/>
          <w:szCs w:val="20"/>
          <w:u w:val="single"/>
          <w:lang w:val="ru-RU"/>
        </w:rPr>
      </w:pPr>
      <w:r>
        <w:t>B</w:t>
      </w:r>
      <w:r w:rsidRPr="00F053BA">
        <w:rPr>
          <w:lang w:val="ru-RU"/>
        </w:rPr>
        <w:t>.</w:t>
      </w:r>
      <w:r w:rsidRPr="00F053BA">
        <w:rPr>
          <w:lang w:val="ru-RU"/>
        </w:rPr>
        <w:tab/>
      </w:r>
      <w:r w:rsidRPr="00F053BA">
        <w:rPr>
          <w:u w:val="single"/>
          <w:lang w:val="ru-RU"/>
        </w:rPr>
        <w:t xml:space="preserve">Освоение бюджетных средств в 2014–2015 гг. </w:t>
      </w:r>
    </w:p>
    <w:p w:rsidR="00F053BA" w:rsidRPr="00F053BA" w:rsidRDefault="00F053BA" w:rsidP="00F053BA">
      <w:pPr>
        <w:jc w:val="both"/>
        <w:rPr>
          <w:rFonts w:cs="Arial"/>
          <w:szCs w:val="20"/>
          <w:u w:val="single"/>
          <w:lang w:val="ru-RU"/>
        </w:rPr>
      </w:pPr>
    </w:p>
    <w:p w:rsidR="00F053BA" w:rsidRPr="00F053BA" w:rsidRDefault="00F053BA" w:rsidP="00F053BA">
      <w:pPr>
        <w:pStyle w:val="ListParagraph"/>
        <w:numPr>
          <w:ilvl w:val="0"/>
          <w:numId w:val="24"/>
        </w:numPr>
        <w:tabs>
          <w:tab w:val="left" w:pos="0"/>
          <w:tab w:val="left" w:pos="567"/>
        </w:tabs>
        <w:ind w:left="0" w:firstLine="0"/>
        <w:jc w:val="both"/>
        <w:rPr>
          <w:rFonts w:cs="Arial"/>
          <w:lang w:val="ru-RU"/>
        </w:rPr>
      </w:pPr>
      <w:r w:rsidRPr="00F053BA">
        <w:rPr>
          <w:lang w:val="ru-RU"/>
        </w:rPr>
        <w:t>Общий уровень освоения бюджетных средств в двухлетний период 2014–2015</w:t>
      </w:r>
      <w:r>
        <w:t> </w:t>
      </w:r>
      <w:r w:rsidRPr="00F053BA">
        <w:rPr>
          <w:lang w:val="ru-RU"/>
        </w:rPr>
        <w:t>гг. достиг 95</w:t>
      </w:r>
      <w:r>
        <w:t> </w:t>
      </w:r>
      <w:r w:rsidRPr="00F053BA">
        <w:rPr>
          <w:lang w:val="ru-RU"/>
        </w:rPr>
        <w:t xml:space="preserve">процентов в связи с: </w:t>
      </w:r>
    </w:p>
    <w:p w:rsidR="00F053BA" w:rsidRPr="00F053BA" w:rsidRDefault="00F053BA" w:rsidP="00F053BA">
      <w:pPr>
        <w:autoSpaceDE w:val="0"/>
        <w:autoSpaceDN w:val="0"/>
        <w:jc w:val="both"/>
        <w:rPr>
          <w:rFonts w:cs="Arial"/>
          <w:szCs w:val="20"/>
          <w:lang w:val="ru-RU"/>
        </w:rPr>
      </w:pPr>
    </w:p>
    <w:p w:rsidR="009613E8" w:rsidRPr="00F053BA" w:rsidRDefault="00F053BA" w:rsidP="00F053BA">
      <w:pPr>
        <w:pStyle w:val="ListParagraph"/>
        <w:numPr>
          <w:ilvl w:val="0"/>
          <w:numId w:val="23"/>
        </w:numPr>
        <w:autoSpaceDE w:val="0"/>
        <w:autoSpaceDN w:val="0"/>
        <w:ind w:left="1134" w:hanging="567"/>
        <w:jc w:val="both"/>
        <w:rPr>
          <w:lang w:val="ru-RU"/>
        </w:rPr>
      </w:pPr>
      <w:r w:rsidRPr="00F053BA">
        <w:rPr>
          <w:lang w:val="ru-RU"/>
        </w:rPr>
        <w:t xml:space="preserve">ростом производительности при обработке международных заявок в ходе двухлетнего периода и снижением расходов на перевод, что позволило повысить эффективность операций </w:t>
      </w:r>
      <w:r>
        <w:t>PCT</w:t>
      </w:r>
      <w:r w:rsidRPr="00F053BA">
        <w:rPr>
          <w:lang w:val="ru-RU"/>
        </w:rPr>
        <w:t xml:space="preserve">; а также продолжающейся реализацией ряда проектов, связанных с информационной системой </w:t>
      </w:r>
      <w:r>
        <w:t>PCT</w:t>
      </w:r>
      <w:r w:rsidRPr="00F053BA">
        <w:rPr>
          <w:lang w:val="ru-RU"/>
        </w:rPr>
        <w:t>, которые были начаты, но не закончены в 2015</w:t>
      </w:r>
      <w:r>
        <w:t> </w:t>
      </w:r>
      <w:r w:rsidRPr="00F053BA">
        <w:rPr>
          <w:lang w:val="ru-RU"/>
        </w:rPr>
        <w:t xml:space="preserve">г. и осуществление которых продолжится в следующий двухлетний период. </w:t>
      </w:r>
      <w:r w:rsidR="009613E8" w:rsidRPr="00F053BA">
        <w:rPr>
          <w:rFonts w:cs="Arial"/>
          <w:lang w:val="ru-RU" w:eastAsia="ko-KR"/>
        </w:rPr>
        <w:t xml:space="preserve"> </w:t>
      </w:r>
    </w:p>
    <w:p w:rsidR="009613E8" w:rsidRPr="00F053BA" w:rsidRDefault="009613E8">
      <w:pPr>
        <w:rPr>
          <w:lang w:val="ru-RU"/>
        </w:rPr>
      </w:pPr>
    </w:p>
    <w:p w:rsidR="009613E8" w:rsidRPr="00F053BA" w:rsidRDefault="009613E8">
      <w:pPr>
        <w:rPr>
          <w:lang w:val="ru-RU"/>
        </w:rPr>
      </w:pPr>
    </w:p>
    <w:p w:rsidR="009613E8" w:rsidRPr="00F053BA" w:rsidRDefault="009613E8">
      <w:pPr>
        <w:rPr>
          <w:lang w:val="ru-RU"/>
        </w:rPr>
      </w:pPr>
    </w:p>
    <w:p w:rsidR="00E023E5" w:rsidRPr="00F053BA" w:rsidRDefault="00E023E5">
      <w:pPr>
        <w:rPr>
          <w:lang w:val="ru-RU"/>
        </w:rPr>
      </w:pPr>
      <w:r w:rsidRPr="00F053BA">
        <w:rPr>
          <w:lang w:val="ru-RU"/>
        </w:rPr>
        <w:br w:type="page"/>
      </w:r>
    </w:p>
    <w:p w:rsidR="00F053BA" w:rsidRPr="00F053BA" w:rsidRDefault="00F053BA" w:rsidP="00F053BA">
      <w:pPr>
        <w:pStyle w:val="StyleHeading3BoldNounderline"/>
        <w:rPr>
          <w:b/>
          <w:lang w:val="ru-RU"/>
        </w:rPr>
      </w:pPr>
      <w:bookmarkStart w:id="64" w:name="_Toc422210483"/>
      <w:bookmarkStart w:id="65" w:name="_Toc455388107"/>
      <w:r w:rsidRPr="00F053BA">
        <w:rPr>
          <w:b/>
          <w:lang w:val="ru-RU"/>
        </w:rPr>
        <w:t>Приложение к программе 5</w:t>
      </w:r>
      <w:r w:rsidR="00932DA9">
        <w:rPr>
          <w:b/>
          <w:lang w:val="ru-RU"/>
        </w:rPr>
        <w:t>:</w:t>
      </w:r>
      <w:r w:rsidRPr="00F053BA">
        <w:rPr>
          <w:lang w:val="ru-RU"/>
        </w:rPr>
        <w:tab/>
      </w:r>
      <w:r w:rsidRPr="00F053BA">
        <w:rPr>
          <w:b/>
          <w:lang w:val="ru-RU"/>
        </w:rPr>
        <w:t>Показатели функционирования системы РСТ</w:t>
      </w:r>
      <w:bookmarkEnd w:id="64"/>
      <w:bookmarkEnd w:id="65"/>
    </w:p>
    <w:p w:rsidR="00F053BA" w:rsidRPr="00F053BA" w:rsidRDefault="00F053BA" w:rsidP="00F053BA">
      <w:pPr>
        <w:rPr>
          <w:lang w:val="ru-RU"/>
        </w:rPr>
      </w:pPr>
    </w:p>
    <w:p w:rsidR="00F053BA" w:rsidRPr="00F053BA" w:rsidRDefault="00F053BA" w:rsidP="00F053BA">
      <w:pPr>
        <w:rPr>
          <w:lang w:val="ru-RU"/>
        </w:rPr>
      </w:pPr>
    </w:p>
    <w:p w:rsidR="00F053BA" w:rsidRPr="00F053BA" w:rsidRDefault="00F053BA" w:rsidP="00F053BA">
      <w:pPr>
        <w:rPr>
          <w:lang w:val="ru-RU"/>
        </w:rPr>
      </w:pPr>
      <w:r w:rsidRPr="00F053BA">
        <w:rPr>
          <w:lang w:val="ru-RU"/>
        </w:rPr>
        <w:t xml:space="preserve">ПОКАЗАТЕЛИ РЕЗУЛЬТАТИВНОСТИ ПО ОЖИДАЕМОМУ РЕЗУЛЬТАТУ </w:t>
      </w:r>
    </w:p>
    <w:p w:rsidR="00F053BA" w:rsidRPr="00F053BA" w:rsidRDefault="00F053BA" w:rsidP="00F053BA">
      <w:pPr>
        <w:rPr>
          <w:lang w:val="ru-RU"/>
        </w:rPr>
      </w:pPr>
      <w:r w:rsidRPr="00F053BA">
        <w:rPr>
          <w:lang w:val="ru-RU"/>
        </w:rPr>
        <w:t xml:space="preserve">«ПОВЫШЕНИЕ ПРОДУКТИВНОСТИ И КАЧЕСТВА УСЛУГ РСТ»  </w:t>
      </w:r>
    </w:p>
    <w:p w:rsidR="00F053BA" w:rsidRPr="00F053BA" w:rsidRDefault="00F053BA" w:rsidP="00F053BA">
      <w:pPr>
        <w:jc w:val="center"/>
        <w:rPr>
          <w:bCs/>
          <w:sz w:val="22"/>
          <w:szCs w:val="28"/>
          <w:lang w:val="ru-RU"/>
        </w:rPr>
      </w:pPr>
    </w:p>
    <w:p w:rsidR="00F053BA" w:rsidRPr="000E46C3" w:rsidRDefault="00F053BA" w:rsidP="00F053BA">
      <w:pPr>
        <w:rPr>
          <w:b/>
        </w:rPr>
      </w:pPr>
      <w:r>
        <w:rPr>
          <w:b/>
        </w:rPr>
        <w:t>Общая информация</w:t>
      </w:r>
    </w:p>
    <w:p w:rsidR="00F053BA" w:rsidRPr="000E46C3" w:rsidRDefault="00F053BA" w:rsidP="00F053BA">
      <w:pPr>
        <w:rPr>
          <w:b/>
        </w:rPr>
      </w:pPr>
    </w:p>
    <w:p w:rsidR="00F053BA" w:rsidRPr="00F053BA" w:rsidRDefault="00F053BA" w:rsidP="00F053BA">
      <w:pPr>
        <w:numPr>
          <w:ilvl w:val="0"/>
          <w:numId w:val="55"/>
        </w:numPr>
        <w:jc w:val="both"/>
        <w:rPr>
          <w:lang w:val="ru-RU"/>
        </w:rPr>
      </w:pPr>
      <w:r w:rsidRPr="00F053BA">
        <w:rPr>
          <w:lang w:val="ru-RU"/>
        </w:rPr>
        <w:t xml:space="preserve">В качестве основы показателей результативности по ожидаемому результату «повышение продуктивности и качества услуг РСТ» следует учитывать динамику следующих факторов:  </w:t>
      </w:r>
    </w:p>
    <w:p w:rsidR="00F053BA" w:rsidRPr="00F053BA" w:rsidRDefault="00F053BA" w:rsidP="00F053BA">
      <w:pPr>
        <w:rPr>
          <w:lang w:val="ru-RU"/>
        </w:rPr>
      </w:pPr>
    </w:p>
    <w:p w:rsidR="00F053BA" w:rsidRPr="000E46C3" w:rsidRDefault="00F053BA" w:rsidP="00F053BA">
      <w:pPr>
        <w:numPr>
          <w:ilvl w:val="0"/>
          <w:numId w:val="54"/>
        </w:numPr>
        <w:tabs>
          <w:tab w:val="clear" w:pos="720"/>
          <w:tab w:val="num" w:pos="1100"/>
        </w:tabs>
        <w:spacing w:after="60"/>
        <w:ind w:left="1208" w:hanging="658"/>
      </w:pPr>
      <w:r>
        <w:t>рабочая нагрузка РСТ;</w:t>
      </w:r>
    </w:p>
    <w:p w:rsidR="00F053BA" w:rsidRPr="00F053BA" w:rsidRDefault="00F053BA" w:rsidP="00F053BA">
      <w:pPr>
        <w:numPr>
          <w:ilvl w:val="0"/>
          <w:numId w:val="54"/>
        </w:numPr>
        <w:tabs>
          <w:tab w:val="clear" w:pos="720"/>
          <w:tab w:val="num" w:pos="1100"/>
        </w:tabs>
        <w:spacing w:after="60"/>
        <w:ind w:left="1208" w:hanging="658"/>
        <w:rPr>
          <w:lang w:val="ru-RU"/>
        </w:rPr>
      </w:pPr>
      <w:r w:rsidRPr="00F053BA">
        <w:rPr>
          <w:lang w:val="ru-RU"/>
        </w:rPr>
        <w:t>распределение рабочей нагрузки по языкам;</w:t>
      </w:r>
    </w:p>
    <w:p w:rsidR="00F053BA" w:rsidRPr="00F053BA" w:rsidRDefault="00F053BA" w:rsidP="00F053BA">
      <w:pPr>
        <w:numPr>
          <w:ilvl w:val="0"/>
          <w:numId w:val="54"/>
        </w:numPr>
        <w:tabs>
          <w:tab w:val="clear" w:pos="720"/>
          <w:tab w:val="num" w:pos="1100"/>
        </w:tabs>
        <w:spacing w:after="60"/>
        <w:ind w:left="1208" w:hanging="658"/>
        <w:rPr>
          <w:lang w:val="ru-RU"/>
        </w:rPr>
      </w:pPr>
      <w:r w:rsidRPr="00F053BA">
        <w:rPr>
          <w:lang w:val="ru-RU"/>
        </w:rPr>
        <w:t>численность сотрудников, установленная с учетом рабочей нагрузки; и</w:t>
      </w:r>
    </w:p>
    <w:p w:rsidR="00F053BA" w:rsidRPr="000E46C3" w:rsidRDefault="00F053BA" w:rsidP="00F053BA">
      <w:pPr>
        <w:numPr>
          <w:ilvl w:val="0"/>
          <w:numId w:val="54"/>
        </w:numPr>
        <w:tabs>
          <w:tab w:val="clear" w:pos="720"/>
          <w:tab w:val="num" w:pos="1100"/>
        </w:tabs>
        <w:ind w:left="1210" w:hanging="660"/>
      </w:pPr>
      <w:r>
        <w:t>уровень автоматизации.</w:t>
      </w:r>
    </w:p>
    <w:p w:rsidR="00F053BA" w:rsidRDefault="00F053BA" w:rsidP="00F053BA">
      <w:pPr>
        <w:tabs>
          <w:tab w:val="num" w:pos="1100"/>
        </w:tabs>
        <w:ind w:left="1210" w:hanging="660"/>
      </w:pPr>
    </w:p>
    <w:p w:rsidR="00F053BA" w:rsidRPr="000E46C3" w:rsidRDefault="00F053BA" w:rsidP="00F053BA">
      <w:pPr>
        <w:rPr>
          <w:i/>
        </w:rPr>
      </w:pPr>
      <w:r>
        <w:rPr>
          <w:i/>
        </w:rPr>
        <w:t>Рабочая нагрузка</w:t>
      </w:r>
    </w:p>
    <w:p w:rsidR="00F053BA" w:rsidRPr="000E46C3" w:rsidRDefault="00F053BA" w:rsidP="00F053BA"/>
    <w:p w:rsidR="00F053BA" w:rsidRPr="00F053BA" w:rsidRDefault="00F053BA" w:rsidP="00F053BA">
      <w:pPr>
        <w:numPr>
          <w:ilvl w:val="0"/>
          <w:numId w:val="55"/>
        </w:numPr>
        <w:rPr>
          <w:lang w:val="ru-RU"/>
        </w:rPr>
      </w:pPr>
      <w:r w:rsidRPr="00F053BA">
        <w:rPr>
          <w:lang w:val="ru-RU"/>
        </w:rPr>
        <w:t>Рабочая нагрузка определяется исходя из числа регистрационных экземпляров, полученных Международным бюро (МБ) в течение года</w:t>
      </w:r>
      <w:r>
        <w:rPr>
          <w:rStyle w:val="FootnoteReference"/>
        </w:rPr>
        <w:footnoteReference w:id="20"/>
      </w:r>
      <w:r w:rsidRPr="00F053BA">
        <w:rPr>
          <w:lang w:val="ru-RU"/>
        </w:rPr>
        <w:t xml:space="preserve">. </w:t>
      </w:r>
    </w:p>
    <w:p w:rsidR="00F053BA" w:rsidRPr="00F053BA" w:rsidRDefault="00F053BA" w:rsidP="00F053BA">
      <w:pPr>
        <w:jc w:val="center"/>
        <w:rPr>
          <w:b/>
          <w:bCs/>
          <w:sz w:val="18"/>
          <w:szCs w:val="18"/>
          <w:lang w:val="ru-RU"/>
        </w:rPr>
      </w:pPr>
    </w:p>
    <w:p w:rsidR="00F053BA" w:rsidRPr="00F053BA" w:rsidRDefault="00F053BA" w:rsidP="00F053BA">
      <w:pPr>
        <w:jc w:val="center"/>
        <w:rPr>
          <w:b/>
          <w:bCs/>
          <w:sz w:val="18"/>
          <w:szCs w:val="18"/>
          <w:lang w:val="ru-RU"/>
        </w:rPr>
      </w:pPr>
      <w:r w:rsidRPr="00F053BA">
        <w:rPr>
          <w:b/>
          <w:sz w:val="18"/>
          <w:lang w:val="ru-RU"/>
        </w:rPr>
        <w:t>Динамика изменения числа регистрационных экземпляров в разбивке по видам носителей</w:t>
      </w:r>
    </w:p>
    <w:p w:rsidR="00F053BA" w:rsidRPr="00B4173C" w:rsidRDefault="00F053BA" w:rsidP="00F053BA">
      <w:pPr>
        <w:jc w:val="center"/>
        <w:rPr>
          <w:b/>
          <w:bCs/>
          <w:sz w:val="18"/>
          <w:szCs w:val="18"/>
        </w:rPr>
      </w:pPr>
      <w:r>
        <w:rPr>
          <w:b/>
          <w:bCs/>
          <w:noProof/>
          <w:sz w:val="18"/>
          <w:szCs w:val="18"/>
        </w:rPr>
        <w:drawing>
          <wp:inline distT="0" distB="0" distL="0" distR="0" wp14:anchorId="4E22B468" wp14:editId="246FD1C0">
            <wp:extent cx="5940425" cy="2533227"/>
            <wp:effectExtent l="0" t="0" r="3175" b="63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940425" cy="2533227"/>
                    </a:xfrm>
                    <a:prstGeom prst="rect">
                      <a:avLst/>
                    </a:prstGeom>
                    <a:noFill/>
                    <a:ln>
                      <a:noFill/>
                    </a:ln>
                  </pic:spPr>
                </pic:pic>
              </a:graphicData>
            </a:graphic>
          </wp:inline>
        </w:drawing>
      </w:r>
    </w:p>
    <w:p w:rsidR="00F053BA" w:rsidRPr="00B4173C" w:rsidRDefault="00F053BA" w:rsidP="00F053BA">
      <w:pPr>
        <w:jc w:val="center"/>
        <w:rPr>
          <w:b/>
          <w:bCs/>
          <w:sz w:val="18"/>
          <w:szCs w:val="18"/>
        </w:rPr>
      </w:pPr>
    </w:p>
    <w:p w:rsidR="00F053BA" w:rsidRPr="00F053BA" w:rsidRDefault="00F053BA" w:rsidP="00F053BA">
      <w:pPr>
        <w:pStyle w:val="BodyText2"/>
        <w:numPr>
          <w:ilvl w:val="0"/>
          <w:numId w:val="43"/>
        </w:numPr>
        <w:spacing w:after="60" w:line="240" w:lineRule="auto"/>
        <w:jc w:val="both"/>
        <w:rPr>
          <w:rFonts w:cs="Arial"/>
          <w:szCs w:val="20"/>
          <w:lang w:val="ru-RU"/>
        </w:rPr>
      </w:pPr>
      <w:r w:rsidRPr="00F053BA">
        <w:rPr>
          <w:lang w:val="ru-RU"/>
        </w:rPr>
        <w:t>В 2015</w:t>
      </w:r>
      <w:r>
        <w:t> </w:t>
      </w:r>
      <w:r w:rsidRPr="00F053BA">
        <w:rPr>
          <w:lang w:val="ru-RU"/>
        </w:rPr>
        <w:t>г. МБ получило приблизительно 217</w:t>
      </w:r>
      <w:r>
        <w:t> </w:t>
      </w:r>
      <w:r w:rsidRPr="00F053BA">
        <w:rPr>
          <w:lang w:val="ru-RU"/>
        </w:rPr>
        <w:t>000 регистрационных экземпляров, что говорит о небольшом снижении (на 0,3%) по сравнению с 2014 г.  Одна из основных причин такого снижения заключается в том, что в марте 2014</w:t>
      </w:r>
      <w:r>
        <w:t> </w:t>
      </w:r>
      <w:r w:rsidRPr="00F053BA">
        <w:rPr>
          <w:lang w:val="ru-RU"/>
        </w:rPr>
        <w:t>г. был отмечен резкий рост числа заявок из Соединенных Штатов Америки (США), обусловленный вступлением в силу Закона Лихи-Смита об американских изобретениях годом ранее. Тем не менее общее число регистрационных экземпляров, полученных в двухлетний период 2014–2015</w:t>
      </w:r>
      <w:r>
        <w:t> </w:t>
      </w:r>
      <w:r w:rsidRPr="00F053BA">
        <w:rPr>
          <w:lang w:val="ru-RU"/>
        </w:rPr>
        <w:t>гг., увеличился на девять процентов по сравнению с двухлетним периодом 2012–2013</w:t>
      </w:r>
      <w:r>
        <w:t> </w:t>
      </w:r>
      <w:r w:rsidRPr="00F053BA">
        <w:rPr>
          <w:lang w:val="ru-RU"/>
        </w:rPr>
        <w:t>гг.</w:t>
      </w:r>
    </w:p>
    <w:p w:rsidR="00F053BA" w:rsidRPr="00F053BA" w:rsidRDefault="00F053BA" w:rsidP="00F053BA">
      <w:pPr>
        <w:pStyle w:val="BodyText2"/>
        <w:numPr>
          <w:ilvl w:val="0"/>
          <w:numId w:val="43"/>
        </w:numPr>
        <w:tabs>
          <w:tab w:val="clear" w:pos="720"/>
        </w:tabs>
        <w:spacing w:after="0" w:line="240" w:lineRule="auto"/>
        <w:ind w:left="709" w:hanging="425"/>
        <w:jc w:val="both"/>
        <w:rPr>
          <w:rFonts w:cs="Arial"/>
          <w:szCs w:val="20"/>
          <w:lang w:val="ru-RU"/>
        </w:rPr>
      </w:pPr>
      <w:r w:rsidRPr="00F053BA">
        <w:rPr>
          <w:lang w:val="ru-RU"/>
        </w:rPr>
        <w:t>В 2015</w:t>
      </w:r>
      <w:r>
        <w:t> </w:t>
      </w:r>
      <w:r w:rsidRPr="00F053BA">
        <w:rPr>
          <w:lang w:val="ru-RU"/>
        </w:rPr>
        <w:t>г. доля заявок, полностью поданных в электронном виде, продолжила расти и сейчас составляет 94% общего числа заявок.</w:t>
      </w:r>
    </w:p>
    <w:p w:rsidR="00F053BA" w:rsidRPr="00F053BA" w:rsidRDefault="00F053BA" w:rsidP="00F053BA">
      <w:pPr>
        <w:pStyle w:val="BodyText2"/>
        <w:spacing w:after="0" w:line="240" w:lineRule="auto"/>
        <w:ind w:left="1100"/>
        <w:jc w:val="both"/>
        <w:rPr>
          <w:rFonts w:cs="Arial"/>
          <w:szCs w:val="20"/>
          <w:lang w:val="ru-RU"/>
        </w:rPr>
      </w:pPr>
    </w:p>
    <w:p w:rsidR="00F053BA" w:rsidRPr="00F053BA" w:rsidRDefault="00F053BA" w:rsidP="00F053BA">
      <w:pPr>
        <w:pStyle w:val="BodyText2"/>
        <w:spacing w:after="0" w:line="240" w:lineRule="auto"/>
        <w:ind w:left="1100"/>
        <w:jc w:val="both"/>
        <w:rPr>
          <w:rFonts w:cs="Arial"/>
          <w:sz w:val="18"/>
          <w:szCs w:val="18"/>
          <w:lang w:val="ru-RU"/>
        </w:rPr>
      </w:pPr>
    </w:p>
    <w:p w:rsidR="00F053BA" w:rsidRPr="00EE0539" w:rsidRDefault="00F053BA" w:rsidP="00F053BA">
      <w:pPr>
        <w:pStyle w:val="BodyText2"/>
        <w:keepNext/>
        <w:keepLines/>
        <w:spacing w:after="0" w:line="240" w:lineRule="auto"/>
        <w:rPr>
          <w:rFonts w:cs="Arial"/>
          <w:i/>
          <w:szCs w:val="20"/>
        </w:rPr>
      </w:pPr>
      <w:r>
        <w:rPr>
          <w:i/>
        </w:rPr>
        <w:t>Распределение по языкам</w:t>
      </w:r>
    </w:p>
    <w:p w:rsidR="00F053BA" w:rsidRDefault="00F053BA" w:rsidP="00F053BA">
      <w:pPr>
        <w:pStyle w:val="BodyText2"/>
        <w:keepNext/>
        <w:keepLines/>
        <w:spacing w:after="0" w:line="240" w:lineRule="auto"/>
        <w:rPr>
          <w:rFonts w:cs="Arial"/>
          <w:szCs w:val="20"/>
        </w:rPr>
      </w:pPr>
    </w:p>
    <w:p w:rsidR="00F053BA" w:rsidRPr="00F053BA" w:rsidRDefault="00F053BA" w:rsidP="00F053BA">
      <w:pPr>
        <w:keepNext/>
        <w:keepLines/>
        <w:numPr>
          <w:ilvl w:val="0"/>
          <w:numId w:val="55"/>
        </w:numPr>
        <w:jc w:val="both"/>
        <w:rPr>
          <w:lang w:val="ru-RU"/>
        </w:rPr>
      </w:pPr>
      <w:r w:rsidRPr="00F053BA">
        <w:rPr>
          <w:lang w:val="ru-RU"/>
        </w:rPr>
        <w:t xml:space="preserve">Одним из главных факторов изменения объема работы в МБ является рост числа языков подачи заявок, в частности, в связи с дальнейшим расширением использования системы РСТ в странах Восточной Азии. </w:t>
      </w:r>
    </w:p>
    <w:p w:rsidR="00F053BA" w:rsidRPr="00F053BA" w:rsidRDefault="00F053BA" w:rsidP="00F053BA">
      <w:pPr>
        <w:keepNext/>
        <w:keepLines/>
        <w:jc w:val="both"/>
        <w:rPr>
          <w:highlight w:val="yellow"/>
          <w:lang w:val="ru-RU"/>
        </w:rPr>
      </w:pPr>
    </w:p>
    <w:p w:rsidR="00F053BA" w:rsidRPr="00EE0539" w:rsidRDefault="00F053BA" w:rsidP="00F053BA">
      <w:pPr>
        <w:keepNext/>
        <w:keepLines/>
        <w:spacing w:after="120"/>
        <w:jc w:val="center"/>
        <w:rPr>
          <w:i/>
        </w:rPr>
      </w:pPr>
      <w:r>
        <w:rPr>
          <w:b/>
        </w:rPr>
        <w:t xml:space="preserve">Языки заявок </w:t>
      </w:r>
      <w:r>
        <w:rPr>
          <w:i/>
        </w:rPr>
        <w:t>(все языки)</w:t>
      </w:r>
    </w:p>
    <w:p w:rsidR="00F053BA" w:rsidRPr="00EE0539" w:rsidRDefault="00F053BA" w:rsidP="00F053BA">
      <w:pPr>
        <w:keepNext/>
        <w:keepLines/>
        <w:spacing w:after="120"/>
        <w:jc w:val="center"/>
        <w:rPr>
          <w:highlight w:val="yellow"/>
        </w:rPr>
      </w:pPr>
      <w:r>
        <w:rPr>
          <w:noProof/>
        </w:rPr>
        <w:drawing>
          <wp:inline distT="0" distB="0" distL="0" distR="0" wp14:anchorId="70CE6FAA" wp14:editId="3A9EC073">
            <wp:extent cx="5940425" cy="2980992"/>
            <wp:effectExtent l="0" t="0" r="317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40425" cy="2980992"/>
                    </a:xfrm>
                    <a:prstGeom prst="rect">
                      <a:avLst/>
                    </a:prstGeom>
                    <a:noFill/>
                    <a:ln>
                      <a:noFill/>
                    </a:ln>
                  </pic:spPr>
                </pic:pic>
              </a:graphicData>
            </a:graphic>
          </wp:inline>
        </w:drawing>
      </w:r>
    </w:p>
    <w:p w:rsidR="00F053BA" w:rsidRPr="00F053BA" w:rsidRDefault="00F053BA" w:rsidP="00F053BA">
      <w:pPr>
        <w:numPr>
          <w:ilvl w:val="0"/>
          <w:numId w:val="55"/>
        </w:numPr>
        <w:jc w:val="both"/>
        <w:rPr>
          <w:lang w:val="ru-RU"/>
        </w:rPr>
      </w:pPr>
      <w:r w:rsidRPr="00F053BA">
        <w:rPr>
          <w:lang w:val="ru-RU"/>
        </w:rPr>
        <w:t>Как можно видеть, хотя основная часть заявок подается на английском языке – 48,6</w:t>
      </w:r>
      <w:r>
        <w:t> </w:t>
      </w:r>
      <w:r w:rsidRPr="00F053BA">
        <w:rPr>
          <w:lang w:val="ru-RU"/>
        </w:rPr>
        <w:t>процента заявок, поданных на 2015 г.,– за последнее десятилетие выросла доля заявок на азиатских языках.  Совокупная доля заявок РСТ на японском, китайском и корейском языках выросла с 29,5% в 2009 г. до 37,6% в 2015 г.  Данные по подаче заявок на всех языках, кроме английского, представлены на следующем графике:</w:t>
      </w:r>
    </w:p>
    <w:p w:rsidR="00F053BA" w:rsidRPr="00F053BA" w:rsidRDefault="00F053BA" w:rsidP="00F053BA">
      <w:pPr>
        <w:pStyle w:val="BodyText2"/>
        <w:spacing w:after="0" w:line="240" w:lineRule="auto"/>
        <w:ind w:left="142"/>
        <w:jc w:val="both"/>
        <w:rPr>
          <w:rFonts w:cs="Arial"/>
          <w:lang w:val="ru-RU"/>
        </w:rPr>
      </w:pPr>
    </w:p>
    <w:p w:rsidR="00F053BA" w:rsidRPr="00F053BA" w:rsidRDefault="00F053BA" w:rsidP="00F053BA">
      <w:pPr>
        <w:spacing w:after="120"/>
        <w:ind w:left="142"/>
        <w:rPr>
          <w:sz w:val="18"/>
          <w:szCs w:val="18"/>
          <w:lang w:val="ru-RU"/>
        </w:rPr>
      </w:pPr>
    </w:p>
    <w:p w:rsidR="00F053BA" w:rsidRPr="00F053BA" w:rsidRDefault="00F053BA" w:rsidP="00F053BA">
      <w:pPr>
        <w:spacing w:after="120"/>
        <w:jc w:val="center"/>
        <w:rPr>
          <w:lang w:val="ru-RU"/>
        </w:rPr>
      </w:pPr>
      <w:r w:rsidRPr="00F053BA">
        <w:rPr>
          <w:b/>
          <w:lang w:val="ru-RU"/>
        </w:rPr>
        <w:t>Языки заявок</w:t>
      </w:r>
      <w:r w:rsidRPr="00F053BA">
        <w:rPr>
          <w:lang w:val="ru-RU"/>
        </w:rPr>
        <w:t xml:space="preserve"> (все языки, кроме английского)</w:t>
      </w:r>
    </w:p>
    <w:p w:rsidR="00F053BA" w:rsidRPr="004005D3" w:rsidRDefault="00F053BA" w:rsidP="00F053BA">
      <w:pPr>
        <w:spacing w:after="120"/>
        <w:jc w:val="center"/>
      </w:pPr>
      <w:r>
        <w:rPr>
          <w:noProof/>
        </w:rPr>
        <w:drawing>
          <wp:inline distT="0" distB="0" distL="0" distR="0" wp14:anchorId="7749C0A2" wp14:editId="63700448">
            <wp:extent cx="5940425" cy="3200090"/>
            <wp:effectExtent l="0" t="0" r="317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40425" cy="3200090"/>
                    </a:xfrm>
                    <a:prstGeom prst="rect">
                      <a:avLst/>
                    </a:prstGeom>
                    <a:noFill/>
                    <a:ln>
                      <a:noFill/>
                    </a:ln>
                  </pic:spPr>
                </pic:pic>
              </a:graphicData>
            </a:graphic>
          </wp:inline>
        </w:drawing>
      </w:r>
    </w:p>
    <w:p w:rsidR="00F053BA" w:rsidRPr="00F053BA" w:rsidRDefault="00F053BA" w:rsidP="00F053BA">
      <w:pPr>
        <w:numPr>
          <w:ilvl w:val="0"/>
          <w:numId w:val="55"/>
        </w:numPr>
        <w:jc w:val="both"/>
        <w:rPr>
          <w:lang w:val="ru-RU"/>
        </w:rPr>
      </w:pPr>
      <w:r w:rsidRPr="00F053BA">
        <w:rPr>
          <w:lang w:val="ru-RU"/>
        </w:rPr>
        <w:t>Резкое увеличение за последние пять лет числа подаваемых заявок на азиатских языках привело к значительному увеличению нагрузки на МБ ввиду ограниченного числа сотрудников, которые могут работать с этими языками.  Чтобы снизить остроту проблемы, осуществляется автоматизация некоторых функций и ведется наем сотрудников, способных работать с этими языками.</w:t>
      </w:r>
    </w:p>
    <w:p w:rsidR="00F053BA" w:rsidRPr="00F053BA" w:rsidRDefault="00F053BA" w:rsidP="00F053BA">
      <w:pPr>
        <w:rPr>
          <w:i/>
          <w:lang w:val="ru-RU"/>
        </w:rPr>
      </w:pPr>
    </w:p>
    <w:p w:rsidR="00F053BA" w:rsidRPr="00D77A7B" w:rsidRDefault="00F053BA" w:rsidP="00F053BA">
      <w:pPr>
        <w:keepNext/>
        <w:keepLines/>
        <w:spacing w:after="120"/>
        <w:rPr>
          <w:i/>
        </w:rPr>
      </w:pPr>
      <w:r>
        <w:rPr>
          <w:i/>
        </w:rPr>
        <w:t>Персонал</w:t>
      </w:r>
    </w:p>
    <w:p w:rsidR="00F053BA" w:rsidRPr="00F053BA" w:rsidRDefault="00F053BA" w:rsidP="00F053BA">
      <w:pPr>
        <w:keepNext/>
        <w:keepLines/>
        <w:numPr>
          <w:ilvl w:val="0"/>
          <w:numId w:val="55"/>
        </w:numPr>
        <w:jc w:val="both"/>
        <w:rPr>
          <w:lang w:val="ru-RU"/>
        </w:rPr>
      </w:pPr>
      <w:r w:rsidRPr="00F053BA">
        <w:rPr>
          <w:lang w:val="ru-RU"/>
        </w:rPr>
        <w:t>На графике ниже показана динамика изменения числа сотрудников Оперативного отдела РСТ начиная с 2001 г. из расчета занятости на полный рабочий день (ПРД</w:t>
      </w:r>
      <w:r>
        <w:t> </w:t>
      </w:r>
      <w:r w:rsidRPr="00F053BA">
        <w:rPr>
          <w:lang w:val="ru-RU"/>
        </w:rPr>
        <w:t>– общее число сотрудников, занятых полный рабочий день, плюс число сотрудников, занятых неполный рабочий день, из расчета занятости на полный рабочий день).</w:t>
      </w:r>
    </w:p>
    <w:p w:rsidR="00F053BA" w:rsidRPr="00F053BA" w:rsidRDefault="00F053BA" w:rsidP="00F053BA">
      <w:pPr>
        <w:rPr>
          <w:lang w:val="ru-RU"/>
        </w:rPr>
      </w:pPr>
    </w:p>
    <w:p w:rsidR="00F053BA" w:rsidRDefault="00F053BA" w:rsidP="00F053BA">
      <w:pPr>
        <w:jc w:val="center"/>
        <w:rPr>
          <w:b/>
          <w:sz w:val="18"/>
        </w:rPr>
      </w:pPr>
      <w:r>
        <w:rPr>
          <w:b/>
          <w:sz w:val="18"/>
        </w:rPr>
        <w:t>Число сотрудников Оперативного отдела PCT</w:t>
      </w:r>
    </w:p>
    <w:p w:rsidR="00F053BA" w:rsidRPr="000D2666" w:rsidRDefault="00F053BA" w:rsidP="00F053BA">
      <w:pPr>
        <w:jc w:val="center"/>
        <w:rPr>
          <w:b/>
          <w:sz w:val="18"/>
        </w:rPr>
      </w:pPr>
    </w:p>
    <w:p w:rsidR="00F053BA" w:rsidRPr="00A744DD" w:rsidRDefault="00F053BA" w:rsidP="00F053BA">
      <w:pPr>
        <w:jc w:val="center"/>
      </w:pPr>
      <w:r>
        <w:rPr>
          <w:noProof/>
        </w:rPr>
        <w:drawing>
          <wp:inline distT="0" distB="0" distL="0" distR="0" wp14:anchorId="5B611A8B" wp14:editId="37441EEA">
            <wp:extent cx="5940425" cy="3726873"/>
            <wp:effectExtent l="0" t="0" r="3175" b="6985"/>
            <wp:docPr id="839" name="Chart 8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F053BA" w:rsidRPr="00A744DD" w:rsidRDefault="00F053BA" w:rsidP="00F053BA"/>
    <w:p w:rsidR="00F053BA" w:rsidRPr="00F053BA" w:rsidRDefault="00F053BA" w:rsidP="00F053BA">
      <w:pPr>
        <w:numPr>
          <w:ilvl w:val="0"/>
          <w:numId w:val="53"/>
        </w:numPr>
        <w:tabs>
          <w:tab w:val="clear" w:pos="720"/>
          <w:tab w:val="num" w:pos="1100"/>
        </w:tabs>
        <w:ind w:left="1100" w:hanging="550"/>
        <w:rPr>
          <w:lang w:val="ru-RU"/>
        </w:rPr>
      </w:pPr>
      <w:r w:rsidRPr="00F053BA">
        <w:rPr>
          <w:lang w:val="ru-RU"/>
        </w:rPr>
        <w:t>В 2015 г. численность сотрудников Оперативного отдела РСТ продолжала сокращаться.</w:t>
      </w:r>
    </w:p>
    <w:p w:rsidR="00F053BA" w:rsidRPr="00F053BA" w:rsidRDefault="00F053BA" w:rsidP="00F053BA">
      <w:pPr>
        <w:spacing w:after="120"/>
        <w:rPr>
          <w:u w:val="single"/>
          <w:lang w:val="ru-RU"/>
        </w:rPr>
      </w:pPr>
    </w:p>
    <w:p w:rsidR="00F053BA" w:rsidRPr="00CC023D" w:rsidRDefault="00F053BA" w:rsidP="00F053BA">
      <w:pPr>
        <w:jc w:val="both"/>
        <w:rPr>
          <w:i/>
        </w:rPr>
      </w:pPr>
      <w:r>
        <w:rPr>
          <w:i/>
        </w:rPr>
        <w:t>Удельная стоимость обработки заявки</w:t>
      </w:r>
    </w:p>
    <w:p w:rsidR="00F053BA" w:rsidRPr="00CC023D" w:rsidRDefault="00F053BA" w:rsidP="00F053BA">
      <w:pPr>
        <w:jc w:val="both"/>
      </w:pPr>
    </w:p>
    <w:p w:rsidR="00F053BA" w:rsidRPr="00F053BA" w:rsidRDefault="00F053BA" w:rsidP="00F053BA">
      <w:pPr>
        <w:pStyle w:val="ListParagraph"/>
        <w:numPr>
          <w:ilvl w:val="0"/>
          <w:numId w:val="55"/>
        </w:numPr>
        <w:jc w:val="both"/>
        <w:rPr>
          <w:lang w:val="ru-RU"/>
        </w:rPr>
      </w:pPr>
      <w:r w:rsidRPr="00F053BA">
        <w:rPr>
          <w:lang w:val="ru-RU"/>
        </w:rPr>
        <w:t xml:space="preserve">В качестве показателя эффективности обработки заявок </w:t>
      </w:r>
      <w:r>
        <w:t>PCT</w:t>
      </w:r>
      <w:r w:rsidRPr="00F053BA">
        <w:rPr>
          <w:lang w:val="ru-RU"/>
        </w:rPr>
        <w:t xml:space="preserve"> в МБ можно использовать удельную стоимость, определяемую как среднюю стоимость единицы продукции. Общие производственные затраты включают в себя расходы, связанные исключительно с системой </w:t>
      </w:r>
      <w:r>
        <w:t>PCT</w:t>
      </w:r>
      <w:r w:rsidRPr="00F053BA">
        <w:rPr>
          <w:lang w:val="ru-RU"/>
        </w:rPr>
        <w:t xml:space="preserve">, и расходы на деятельность по поддержке работы этой системы. </w:t>
      </w:r>
    </w:p>
    <w:p w:rsidR="00F053BA" w:rsidRPr="00F053BA" w:rsidRDefault="00F053BA" w:rsidP="00F053BA">
      <w:pPr>
        <w:jc w:val="both"/>
        <w:rPr>
          <w:lang w:val="ru-RU"/>
        </w:rPr>
      </w:pPr>
    </w:p>
    <w:p w:rsidR="00F053BA" w:rsidRPr="00F053BA" w:rsidRDefault="00F053BA" w:rsidP="00F053BA">
      <w:pPr>
        <w:numPr>
          <w:ilvl w:val="0"/>
          <w:numId w:val="55"/>
        </w:numPr>
        <w:jc w:val="both"/>
        <w:rPr>
          <w:lang w:val="ru-RU"/>
        </w:rPr>
      </w:pPr>
      <w:r w:rsidRPr="00F053BA">
        <w:rPr>
          <w:lang w:val="ru-RU"/>
        </w:rPr>
        <w:t xml:space="preserve">Расходы, связанные исключительно с системой </w:t>
      </w:r>
      <w:r>
        <w:t>PCT</w:t>
      </w:r>
      <w:r w:rsidRPr="00F053BA">
        <w:rPr>
          <w:lang w:val="ru-RU"/>
        </w:rPr>
        <w:t xml:space="preserve">, включают в себя расходы по программе 5 (система </w:t>
      </w:r>
      <w:r>
        <w:t>PCT</w:t>
      </w:r>
      <w:r w:rsidRPr="00F053BA">
        <w:rPr>
          <w:lang w:val="ru-RU"/>
        </w:rPr>
        <w:t>).</w:t>
      </w:r>
    </w:p>
    <w:p w:rsidR="00F053BA" w:rsidRPr="00F053BA" w:rsidRDefault="00F053BA" w:rsidP="00F053BA">
      <w:pPr>
        <w:jc w:val="both"/>
        <w:rPr>
          <w:lang w:val="ru-RU"/>
        </w:rPr>
      </w:pPr>
    </w:p>
    <w:p w:rsidR="00F053BA" w:rsidRPr="00F053BA" w:rsidRDefault="00F053BA" w:rsidP="00F053BA">
      <w:pPr>
        <w:numPr>
          <w:ilvl w:val="0"/>
          <w:numId w:val="55"/>
        </w:numPr>
        <w:jc w:val="both"/>
        <w:rPr>
          <w:lang w:val="ru-RU"/>
        </w:rPr>
      </w:pPr>
      <w:r w:rsidRPr="00F053BA">
        <w:rPr>
          <w:lang w:val="ru-RU"/>
        </w:rPr>
        <w:t xml:space="preserve">Расходы на деятельность по поддержке работы системы </w:t>
      </w:r>
      <w:r>
        <w:t>PCT</w:t>
      </w:r>
      <w:r w:rsidRPr="00F053BA">
        <w:rPr>
          <w:lang w:val="ru-RU"/>
        </w:rPr>
        <w:t xml:space="preserve"> включают в себя расходы на следующие услуги: конференционные и лингвистические услуги, строительство, исполнительное руководство, финансы и бюджет, административная поддержка, управление людскими ресурсами, внутренний надзор, ИТ, а также охрана и безопасность.  Небольшая доля этих расходов (стоимость размещения серверного оборудования в МВЦООН, оценочная стоимость первичного источника публикаций заявок </w:t>
      </w:r>
      <w:r>
        <w:t>PCT</w:t>
      </w:r>
      <w:r w:rsidRPr="00F053BA">
        <w:rPr>
          <w:lang w:val="ru-RU"/>
        </w:rPr>
        <w:t xml:space="preserve"> (</w:t>
      </w:r>
      <w:r>
        <w:t>PATENTSCOPE</w:t>
      </w:r>
      <w:r w:rsidRPr="00F053BA">
        <w:rPr>
          <w:lang w:val="ru-RU"/>
        </w:rPr>
        <w:t xml:space="preserve">) и доля расходов Секции управления доходами Финансового отдела) напрямую связаны с системой </w:t>
      </w:r>
      <w:r>
        <w:t>PCT</w:t>
      </w:r>
      <w:r w:rsidRPr="00F053BA">
        <w:rPr>
          <w:lang w:val="ru-RU"/>
        </w:rPr>
        <w:t xml:space="preserve">, тогда как остальные подобные расходы, относящиеся к системе </w:t>
      </w:r>
      <w:r>
        <w:t>PCT</w:t>
      </w:r>
      <w:r w:rsidRPr="00F053BA">
        <w:rPr>
          <w:lang w:val="ru-RU"/>
        </w:rPr>
        <w:t>, рассчитываются на основе числа сотрудников (включая сотрудников, имеющих срочные и временные контракты, а также стипендиатов).</w:t>
      </w:r>
    </w:p>
    <w:p w:rsidR="00F053BA" w:rsidRPr="00F053BA" w:rsidRDefault="00F053BA" w:rsidP="00F053BA">
      <w:pPr>
        <w:jc w:val="both"/>
        <w:rPr>
          <w:lang w:val="ru-RU"/>
        </w:rPr>
      </w:pPr>
    </w:p>
    <w:p w:rsidR="00F053BA" w:rsidRPr="00F053BA" w:rsidRDefault="00F053BA" w:rsidP="00F053BA">
      <w:pPr>
        <w:numPr>
          <w:ilvl w:val="0"/>
          <w:numId w:val="55"/>
        </w:numPr>
        <w:jc w:val="both"/>
        <w:rPr>
          <w:lang w:val="ru-RU"/>
        </w:rPr>
      </w:pPr>
      <w:r w:rsidRPr="00F053BA">
        <w:rPr>
          <w:lang w:val="ru-RU"/>
        </w:rPr>
        <w:t>Методика расчета удельной стоимости была пересмотрена в 2013 г. в целях приведения ее в соответствие с другими расчетами удельной стоимости/затрат на деятельность союзов в ВОИС и обеспечения более точного учета в быстро меняющихся условиях.  Например, при использовании прежней методики, которая была разработана в 2007 г., учитывалась стоимость складского хранения (в течение более чем 30 лет), в то время как в 2013</w:t>
      </w:r>
      <w:r>
        <w:t> </w:t>
      </w:r>
      <w:r w:rsidRPr="00F053BA">
        <w:rPr>
          <w:lang w:val="ru-RU"/>
        </w:rPr>
        <w:t xml:space="preserve">г. доля заявок, поданных на бумаге (включая заявки по процедуре </w:t>
      </w:r>
      <w:r>
        <w:t>PCT</w:t>
      </w:r>
      <w:r w:rsidRPr="00F053BA">
        <w:rPr>
          <w:lang w:val="ru-RU"/>
        </w:rPr>
        <w:t xml:space="preserve"> </w:t>
      </w:r>
      <w:r>
        <w:t>EASY</w:t>
      </w:r>
      <w:r w:rsidRPr="00F053BA">
        <w:rPr>
          <w:lang w:val="ru-RU"/>
        </w:rPr>
        <w:t xml:space="preserve">), составила менее 10 процентов всех поданных заявок.  Удельная стоимость заявки по процедуре </w:t>
      </w:r>
      <w:r>
        <w:t>PCT</w:t>
      </w:r>
      <w:r w:rsidRPr="00F053BA">
        <w:rPr>
          <w:lang w:val="ru-RU"/>
        </w:rPr>
        <w:t xml:space="preserve"> в 2012 г. была рассчитана с использованием обеих методик.  По прежней методике удельная стоимость заявки по процедуре </w:t>
      </w:r>
      <w:r>
        <w:t>PCT</w:t>
      </w:r>
      <w:r w:rsidRPr="00F053BA">
        <w:rPr>
          <w:lang w:val="ru-RU"/>
        </w:rPr>
        <w:t xml:space="preserve"> в 2012 г. составила 680</w:t>
      </w:r>
      <w:r>
        <w:t> </w:t>
      </w:r>
      <w:r w:rsidRPr="00F053BA">
        <w:rPr>
          <w:lang w:val="ru-RU"/>
        </w:rPr>
        <w:t>шв.</w:t>
      </w:r>
      <w:r>
        <w:t> </w:t>
      </w:r>
      <w:r w:rsidRPr="00F053BA">
        <w:rPr>
          <w:lang w:val="ru-RU"/>
        </w:rPr>
        <w:t>франков, а по новой методике – 712</w:t>
      </w:r>
      <w:r>
        <w:t> </w:t>
      </w:r>
      <w:r w:rsidRPr="00F053BA">
        <w:rPr>
          <w:lang w:val="ru-RU"/>
        </w:rPr>
        <w:t>шв.</w:t>
      </w:r>
      <w:r w:rsidR="00BB27E0">
        <w:rPr>
          <w:lang w:val="ru-RU"/>
        </w:rPr>
        <w:t xml:space="preserve"> франков.  Разница в 32 </w:t>
      </w:r>
      <w:r w:rsidRPr="00F053BA">
        <w:rPr>
          <w:lang w:val="ru-RU"/>
        </w:rPr>
        <w:t>шв. франка связана с новой методикой учета непрямых затрат.</w:t>
      </w:r>
    </w:p>
    <w:p w:rsidR="00F053BA" w:rsidRPr="00F053BA" w:rsidRDefault="00F053BA" w:rsidP="00F053BA">
      <w:pPr>
        <w:jc w:val="both"/>
        <w:rPr>
          <w:lang w:val="ru-RU"/>
        </w:rPr>
      </w:pPr>
    </w:p>
    <w:p w:rsidR="00F053BA" w:rsidRPr="00F053BA" w:rsidRDefault="00F053BA" w:rsidP="00F053BA">
      <w:pPr>
        <w:numPr>
          <w:ilvl w:val="0"/>
          <w:numId w:val="55"/>
        </w:numPr>
        <w:jc w:val="both"/>
        <w:rPr>
          <w:lang w:val="ru-RU"/>
        </w:rPr>
      </w:pPr>
      <w:r w:rsidRPr="00F053BA">
        <w:rPr>
          <w:lang w:val="ru-RU"/>
        </w:rPr>
        <w:t>Формально удельная стоимость рассчитывается по формуле:</w:t>
      </w:r>
    </w:p>
    <w:p w:rsidR="00F053BA" w:rsidRPr="00F053BA" w:rsidRDefault="00F053BA" w:rsidP="00F053BA">
      <w:pPr>
        <w:jc w:val="both"/>
        <w:rPr>
          <w:lang w:val="ru-RU"/>
        </w:rPr>
      </w:pPr>
    </w:p>
    <w:p w:rsidR="00F053BA" w:rsidRPr="00CC023D" w:rsidRDefault="00F053BA" w:rsidP="00F053BA">
      <w:pPr>
        <w:jc w:val="center"/>
      </w:pPr>
      <w:r>
        <w:rPr>
          <w:noProof/>
        </w:rPr>
        <w:drawing>
          <wp:inline distT="0" distB="0" distL="0" distR="0" wp14:anchorId="4B62B75F" wp14:editId="2521927A">
            <wp:extent cx="2047875" cy="342900"/>
            <wp:effectExtent l="0" t="0" r="9525"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47875" cy="342900"/>
                    </a:xfrm>
                    <a:prstGeom prst="rect">
                      <a:avLst/>
                    </a:prstGeom>
                    <a:noFill/>
                    <a:ln>
                      <a:noFill/>
                    </a:ln>
                  </pic:spPr>
                </pic:pic>
              </a:graphicData>
            </a:graphic>
          </wp:inline>
        </w:drawing>
      </w:r>
    </w:p>
    <w:p w:rsidR="00F053BA" w:rsidRPr="00CC023D" w:rsidRDefault="00F053BA" w:rsidP="00F053BA"/>
    <w:p w:rsidR="00F053BA" w:rsidRPr="00F053BA" w:rsidRDefault="00F053BA" w:rsidP="00F053BA">
      <w:pPr>
        <w:numPr>
          <w:ilvl w:val="0"/>
          <w:numId w:val="55"/>
        </w:numPr>
        <w:jc w:val="both"/>
        <w:rPr>
          <w:lang w:val="ru-RU"/>
        </w:rPr>
      </w:pPr>
      <w:r w:rsidRPr="00F053BA">
        <w:rPr>
          <w:lang w:val="ru-RU"/>
        </w:rPr>
        <w:t>На графиках ниже показано изменение удельной стоимости обработки заявки в период с 2004 по 2012</w:t>
      </w:r>
      <w:r>
        <w:t> </w:t>
      </w:r>
      <w:r w:rsidRPr="00F053BA">
        <w:rPr>
          <w:lang w:val="ru-RU"/>
        </w:rPr>
        <w:t>гг., рассчитанной по прежней методике, и в период с 2012 по 2015 гг. – рассчитанной по новой методике, включая разбивку на прямые и непрямые затраты.</w:t>
      </w:r>
    </w:p>
    <w:p w:rsidR="00F053BA" w:rsidRPr="00F053BA" w:rsidRDefault="00F053BA" w:rsidP="00F053BA">
      <w:pPr>
        <w:rPr>
          <w:highlight w:val="lightGray"/>
          <w:lang w:val="ru-RU"/>
        </w:rPr>
      </w:pPr>
    </w:p>
    <w:p w:rsidR="00F053BA" w:rsidRPr="00F053BA" w:rsidRDefault="00F053BA" w:rsidP="00F053BA">
      <w:pPr>
        <w:keepNext/>
        <w:keepLines/>
        <w:jc w:val="center"/>
        <w:rPr>
          <w:b/>
          <w:sz w:val="18"/>
          <w:lang w:val="ru-RU"/>
        </w:rPr>
      </w:pPr>
      <w:r w:rsidRPr="00F053BA">
        <w:rPr>
          <w:b/>
          <w:sz w:val="18"/>
          <w:lang w:val="ru-RU"/>
        </w:rPr>
        <w:t xml:space="preserve">Удельная стоимость обработки опубликованной заявки по процедуре </w:t>
      </w:r>
      <w:r>
        <w:rPr>
          <w:b/>
          <w:sz w:val="18"/>
        </w:rPr>
        <w:t>PCT</w:t>
      </w:r>
    </w:p>
    <w:p w:rsidR="00F053BA" w:rsidRPr="00F053BA" w:rsidRDefault="00F053BA" w:rsidP="00F053BA">
      <w:pPr>
        <w:keepNext/>
        <w:keepLines/>
        <w:jc w:val="center"/>
        <w:rPr>
          <w:b/>
          <w:sz w:val="18"/>
          <w:highlight w:val="lightGray"/>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9"/>
        <w:gridCol w:w="4672"/>
      </w:tblGrid>
      <w:tr w:rsidR="00F053BA" w:rsidRPr="001D0D8B" w:rsidTr="00F053BA">
        <w:tc>
          <w:tcPr>
            <w:tcW w:w="4899" w:type="dxa"/>
            <w:shd w:val="clear" w:color="auto" w:fill="auto"/>
          </w:tcPr>
          <w:p w:rsidR="00F053BA" w:rsidRPr="002A72BB" w:rsidRDefault="00F053BA" w:rsidP="00F053BA">
            <w:pPr>
              <w:keepNext/>
              <w:keepLines/>
              <w:jc w:val="center"/>
            </w:pPr>
            <w:r>
              <w:t>Прежняя методика</w:t>
            </w:r>
          </w:p>
        </w:tc>
        <w:tc>
          <w:tcPr>
            <w:tcW w:w="4672" w:type="dxa"/>
            <w:shd w:val="clear" w:color="auto" w:fill="auto"/>
          </w:tcPr>
          <w:p w:rsidR="00F053BA" w:rsidRPr="002A72BB" w:rsidRDefault="00F053BA" w:rsidP="00F053BA">
            <w:pPr>
              <w:keepNext/>
              <w:keepLines/>
              <w:jc w:val="center"/>
            </w:pPr>
            <w:r>
              <w:t>Новая методика</w:t>
            </w:r>
          </w:p>
        </w:tc>
      </w:tr>
      <w:tr w:rsidR="00F053BA" w:rsidRPr="001D0D8B" w:rsidTr="00F053BA">
        <w:tc>
          <w:tcPr>
            <w:tcW w:w="4899" w:type="dxa"/>
            <w:shd w:val="clear" w:color="auto" w:fill="auto"/>
          </w:tcPr>
          <w:p w:rsidR="00F053BA" w:rsidRPr="002A72BB" w:rsidRDefault="00F053BA" w:rsidP="00F053BA">
            <w:pPr>
              <w:keepNext/>
              <w:keepLines/>
            </w:pPr>
            <w:r>
              <w:rPr>
                <w:noProof/>
              </w:rPr>
              <w:drawing>
                <wp:inline distT="0" distB="0" distL="0" distR="0" wp14:anchorId="13FD196E" wp14:editId="6FC552E5">
                  <wp:extent cx="2778826" cy="1851761"/>
                  <wp:effectExtent l="0" t="0" r="254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80323" cy="1852759"/>
                          </a:xfrm>
                          <a:prstGeom prst="rect">
                            <a:avLst/>
                          </a:prstGeom>
                          <a:noFill/>
                          <a:ln>
                            <a:noFill/>
                          </a:ln>
                        </pic:spPr>
                      </pic:pic>
                    </a:graphicData>
                  </a:graphic>
                </wp:inline>
              </w:drawing>
            </w:r>
          </w:p>
        </w:tc>
        <w:tc>
          <w:tcPr>
            <w:tcW w:w="4672" w:type="dxa"/>
            <w:shd w:val="clear" w:color="auto" w:fill="auto"/>
          </w:tcPr>
          <w:p w:rsidR="00F053BA" w:rsidRPr="002A72BB" w:rsidRDefault="00F053BA" w:rsidP="00F053BA">
            <w:pPr>
              <w:keepNext/>
              <w:keepLines/>
            </w:pPr>
            <w:r>
              <w:rPr>
                <w:noProof/>
              </w:rPr>
              <w:drawing>
                <wp:inline distT="0" distB="0" distL="0" distR="0" wp14:anchorId="000A1567" wp14:editId="1DE3CDC9">
                  <wp:extent cx="2623894" cy="1757548"/>
                  <wp:effectExtent l="0" t="0" r="508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21651" cy="1756045"/>
                          </a:xfrm>
                          <a:prstGeom prst="rect">
                            <a:avLst/>
                          </a:prstGeom>
                          <a:noFill/>
                          <a:ln>
                            <a:noFill/>
                          </a:ln>
                        </pic:spPr>
                      </pic:pic>
                    </a:graphicData>
                  </a:graphic>
                </wp:inline>
              </w:drawing>
            </w:r>
          </w:p>
        </w:tc>
      </w:tr>
    </w:tbl>
    <w:p w:rsidR="00F053BA" w:rsidRPr="009D0F85" w:rsidRDefault="00F053BA" w:rsidP="00F053BA">
      <w:pPr>
        <w:rPr>
          <w:highlight w:val="lightGray"/>
        </w:rPr>
      </w:pPr>
    </w:p>
    <w:p w:rsidR="00F053BA" w:rsidRPr="00F053BA" w:rsidRDefault="00F053BA" w:rsidP="00F053BA">
      <w:pPr>
        <w:numPr>
          <w:ilvl w:val="0"/>
          <w:numId w:val="53"/>
        </w:numPr>
        <w:tabs>
          <w:tab w:val="clear" w:pos="720"/>
          <w:tab w:val="num" w:pos="1134"/>
        </w:tabs>
        <w:ind w:left="1134" w:hanging="567"/>
        <w:jc w:val="both"/>
        <w:rPr>
          <w:lang w:val="ru-RU"/>
        </w:rPr>
      </w:pPr>
      <w:r w:rsidRPr="00F053BA">
        <w:rPr>
          <w:lang w:val="ru-RU"/>
        </w:rPr>
        <w:t>В 2015</w:t>
      </w:r>
      <w:r>
        <w:t> </w:t>
      </w:r>
      <w:r w:rsidRPr="00F053BA">
        <w:rPr>
          <w:lang w:val="ru-RU"/>
        </w:rPr>
        <w:t xml:space="preserve">г. средняя стоимость обработки опубликованной заявки по процедуре </w:t>
      </w:r>
      <w:r>
        <w:t>PCT</w:t>
      </w:r>
      <w:r w:rsidRPr="00F053BA">
        <w:rPr>
          <w:lang w:val="ru-RU"/>
        </w:rPr>
        <w:t xml:space="preserve"> составила 735 шв. франка, что на 11 процентов больше, чем в 2014</w:t>
      </w:r>
      <w:r>
        <w:t> </w:t>
      </w:r>
      <w:r w:rsidRPr="00F053BA">
        <w:rPr>
          <w:lang w:val="ru-RU"/>
        </w:rPr>
        <w:t>г.  Это было обусловлено ростом прямых и косвенных расходов, а также снижением числа заявок, опубликованных в 2015</w:t>
      </w:r>
      <w:r>
        <w:t> </w:t>
      </w:r>
      <w:r w:rsidRPr="00F053BA">
        <w:rPr>
          <w:lang w:val="ru-RU"/>
        </w:rPr>
        <w:t>г. по сравнению с 2014</w:t>
      </w:r>
      <w:r>
        <w:t> </w:t>
      </w:r>
      <w:r w:rsidRPr="00F053BA">
        <w:rPr>
          <w:lang w:val="ru-RU"/>
        </w:rPr>
        <w:t>г.  Такое повышение в 2015</w:t>
      </w:r>
      <w:r>
        <w:t> </w:t>
      </w:r>
      <w:r w:rsidRPr="00F053BA">
        <w:rPr>
          <w:lang w:val="ru-RU"/>
        </w:rPr>
        <w:t>г. по сравнению с 2014</w:t>
      </w:r>
      <w:r>
        <w:t> </w:t>
      </w:r>
      <w:r w:rsidRPr="00F053BA">
        <w:rPr>
          <w:lang w:val="ru-RU"/>
        </w:rPr>
        <w:t>г. было в основном связано с исключительно низкой стоимостью обработки одной заявки и существенным повышением эффективности в 2014</w:t>
      </w:r>
      <w:r>
        <w:t> </w:t>
      </w:r>
      <w:r w:rsidRPr="00F053BA">
        <w:rPr>
          <w:lang w:val="ru-RU"/>
        </w:rPr>
        <w:t>г., что было обусловлено следующими факторами: (</w:t>
      </w:r>
      <w:r>
        <w:t>i</w:t>
      </w:r>
      <w:r w:rsidRPr="00F053BA">
        <w:rPr>
          <w:lang w:val="ru-RU"/>
        </w:rPr>
        <w:t>)</w:t>
      </w:r>
      <w:r>
        <w:t> </w:t>
      </w:r>
      <w:r w:rsidRPr="00F053BA">
        <w:rPr>
          <w:lang w:val="ru-RU"/>
        </w:rPr>
        <w:t>резким ростом числа заявок из США в связи со вступлением в силу Закона Лихи-Смита об американских изобретениях годом ранее; и (</w:t>
      </w:r>
      <w:r>
        <w:t>ii</w:t>
      </w:r>
      <w:r w:rsidRPr="00F053BA">
        <w:rPr>
          <w:lang w:val="ru-RU"/>
        </w:rPr>
        <w:t>)</w:t>
      </w:r>
      <w:r>
        <w:t> </w:t>
      </w:r>
      <w:r w:rsidRPr="00F053BA">
        <w:rPr>
          <w:lang w:val="ru-RU"/>
        </w:rPr>
        <w:t>тем, что в 2014</w:t>
      </w:r>
      <w:r>
        <w:t> </w:t>
      </w:r>
      <w:r w:rsidRPr="00F053BA">
        <w:rPr>
          <w:lang w:val="ru-RU"/>
        </w:rPr>
        <w:t>г., как и каждые пять – шесть лет, число недель публикации было 53, а не 52, в результате чего число публикаций за 2014</w:t>
      </w:r>
      <w:r>
        <w:t> </w:t>
      </w:r>
      <w:r w:rsidRPr="00F053BA">
        <w:rPr>
          <w:lang w:val="ru-RU"/>
        </w:rPr>
        <w:t>г. увеличилось.  К тому же расходы, как правило, выше во второй год двухлетнего периода.  Кроме того, в 2015</w:t>
      </w:r>
      <w:r>
        <w:t> </w:t>
      </w:r>
      <w:r w:rsidRPr="00F053BA">
        <w:rPr>
          <w:lang w:val="ru-RU"/>
        </w:rPr>
        <w:t>г. по сравнению с 2014</w:t>
      </w:r>
      <w:r>
        <w:t> </w:t>
      </w:r>
      <w:r w:rsidRPr="00F053BA">
        <w:rPr>
          <w:lang w:val="ru-RU"/>
        </w:rPr>
        <w:t xml:space="preserve">г. расходы на перевод в рамках </w:t>
      </w:r>
      <w:r>
        <w:t>PCT</w:t>
      </w:r>
      <w:r w:rsidRPr="00F053BA">
        <w:rPr>
          <w:lang w:val="ru-RU"/>
        </w:rPr>
        <w:t xml:space="preserve"> увеличились на 7,3</w:t>
      </w:r>
      <w:r>
        <w:t> </w:t>
      </w:r>
      <w:r w:rsidRPr="00F053BA">
        <w:rPr>
          <w:lang w:val="ru-RU"/>
        </w:rPr>
        <w:t xml:space="preserve">процента, что было связано с увеличением доли азиатских языков, а также с увеличением длины отчетов, которые требовалось переводить.  Рассмотрение увеличения в разбивке показывает, что 44% приходится на упомянутое выше уменьшение числа публикаций, 18,7% – на увеличение расходов на перевод, 4,4% – на расходы на информационные сервисы </w:t>
      </w:r>
      <w:r>
        <w:t>PCT</w:t>
      </w:r>
      <w:r w:rsidRPr="00F053BA">
        <w:rPr>
          <w:lang w:val="ru-RU"/>
        </w:rPr>
        <w:t xml:space="preserve">, 5,5% – на саму обработку заявок, а все остальное – на косвенные расходы.  Тем не менее по сравнению с двумя предыдущими двухлетними периодами средняя стоимость обработки опубликованной заявки </w:t>
      </w:r>
      <w:r>
        <w:t>PCT</w:t>
      </w:r>
      <w:r w:rsidRPr="00F053BA">
        <w:rPr>
          <w:lang w:val="ru-RU"/>
        </w:rPr>
        <w:t xml:space="preserve"> в 2014–2015</w:t>
      </w:r>
      <w:r>
        <w:t> </w:t>
      </w:r>
      <w:r w:rsidRPr="00F053BA">
        <w:rPr>
          <w:lang w:val="ru-RU"/>
        </w:rPr>
        <w:t>гг. (698</w:t>
      </w:r>
      <w:r>
        <w:t> </w:t>
      </w:r>
      <w:r w:rsidRPr="00F053BA">
        <w:rPr>
          <w:lang w:val="ru-RU"/>
        </w:rPr>
        <w:t>шв. франков) снизилась на 2,7</w:t>
      </w:r>
      <w:r>
        <w:t> </w:t>
      </w:r>
      <w:r w:rsidRPr="00F053BA">
        <w:rPr>
          <w:lang w:val="ru-RU"/>
        </w:rPr>
        <w:t>процента по сравнению с 2012–2013</w:t>
      </w:r>
      <w:r>
        <w:t> </w:t>
      </w:r>
      <w:r w:rsidRPr="00F053BA">
        <w:rPr>
          <w:lang w:val="ru-RU"/>
        </w:rPr>
        <w:t xml:space="preserve">гг. (717 шв. франков). </w:t>
      </w:r>
    </w:p>
    <w:p w:rsidR="00F053BA" w:rsidRPr="00F053BA" w:rsidRDefault="00F053BA" w:rsidP="00F053BA">
      <w:pPr>
        <w:pStyle w:val="ListParagraph"/>
        <w:tabs>
          <w:tab w:val="num" w:pos="1134"/>
        </w:tabs>
        <w:ind w:left="1134" w:hanging="567"/>
        <w:rPr>
          <w:lang w:val="ru-RU"/>
        </w:rPr>
      </w:pPr>
    </w:p>
    <w:p w:rsidR="00F053BA" w:rsidRPr="00F053BA" w:rsidRDefault="00F053BA" w:rsidP="00F053BA">
      <w:pPr>
        <w:pStyle w:val="ListParagraph"/>
        <w:numPr>
          <w:ilvl w:val="0"/>
          <w:numId w:val="53"/>
        </w:numPr>
        <w:tabs>
          <w:tab w:val="clear" w:pos="720"/>
          <w:tab w:val="num" w:pos="1134"/>
        </w:tabs>
        <w:spacing w:after="200"/>
        <w:ind w:left="1134" w:hanging="567"/>
        <w:contextualSpacing/>
        <w:jc w:val="both"/>
        <w:rPr>
          <w:lang w:val="ru-RU"/>
        </w:rPr>
      </w:pPr>
      <w:r w:rsidRPr="00F053BA">
        <w:rPr>
          <w:lang w:val="ru-RU"/>
        </w:rPr>
        <w:t xml:space="preserve">Рассчитываемая по прежней методике средняя стоимость обработки опубликованной заявки по процедуре </w:t>
      </w:r>
      <w:r>
        <w:t>PCT</w:t>
      </w:r>
      <w:r w:rsidRPr="00F053BA">
        <w:rPr>
          <w:lang w:val="ru-RU"/>
        </w:rPr>
        <w:t xml:space="preserve"> уменьшалась в среднем на 5</w:t>
      </w:r>
      <w:r>
        <w:t> </w:t>
      </w:r>
      <w:r w:rsidRPr="00F053BA">
        <w:rPr>
          <w:lang w:val="ru-RU"/>
        </w:rPr>
        <w:t>процентов в год и снизилась с 1</w:t>
      </w:r>
      <w:r>
        <w:t> </w:t>
      </w:r>
      <w:r w:rsidRPr="00F053BA">
        <w:rPr>
          <w:lang w:val="ru-RU"/>
        </w:rPr>
        <w:t>042</w:t>
      </w:r>
      <w:r w:rsidR="00BB27E0">
        <w:rPr>
          <w:lang w:val="ru-RU"/>
        </w:rPr>
        <w:t> </w:t>
      </w:r>
      <w:r w:rsidRPr="00F053BA">
        <w:rPr>
          <w:lang w:val="ru-RU"/>
        </w:rPr>
        <w:t>шв. франка в 2004</w:t>
      </w:r>
      <w:r>
        <w:t> </w:t>
      </w:r>
      <w:r w:rsidRPr="00F053BA">
        <w:rPr>
          <w:lang w:val="ru-RU"/>
        </w:rPr>
        <w:t>г. до 680 шв. франков в 2012</w:t>
      </w:r>
      <w:r>
        <w:t> </w:t>
      </w:r>
      <w:r w:rsidRPr="00F053BA">
        <w:rPr>
          <w:lang w:val="ru-RU"/>
        </w:rPr>
        <w:t xml:space="preserve">г. </w:t>
      </w:r>
    </w:p>
    <w:p w:rsidR="00F053BA" w:rsidRPr="00F053BA" w:rsidRDefault="00F053BA" w:rsidP="00F053BA">
      <w:pPr>
        <w:rPr>
          <w:i/>
          <w:highlight w:val="yellow"/>
          <w:lang w:val="ru-RU"/>
        </w:rPr>
      </w:pPr>
    </w:p>
    <w:p w:rsidR="00F053BA" w:rsidRPr="00F053BA" w:rsidRDefault="00F053BA" w:rsidP="00F053BA">
      <w:pPr>
        <w:rPr>
          <w:i/>
          <w:lang w:val="ru-RU"/>
        </w:rPr>
      </w:pPr>
      <w:r w:rsidRPr="00F053BA">
        <w:rPr>
          <w:i/>
          <w:lang w:val="ru-RU"/>
        </w:rPr>
        <w:t>Производительность труда при осуществлении формальной экспертизы</w:t>
      </w:r>
    </w:p>
    <w:p w:rsidR="00F053BA" w:rsidRPr="00F053BA" w:rsidRDefault="00F053BA" w:rsidP="00F053BA">
      <w:pPr>
        <w:jc w:val="both"/>
        <w:rPr>
          <w:lang w:val="ru-RU"/>
        </w:rPr>
      </w:pPr>
    </w:p>
    <w:p w:rsidR="00F053BA" w:rsidRPr="00F053BA" w:rsidRDefault="00F053BA" w:rsidP="00F053BA">
      <w:pPr>
        <w:numPr>
          <w:ilvl w:val="0"/>
          <w:numId w:val="55"/>
        </w:numPr>
        <w:jc w:val="both"/>
        <w:rPr>
          <w:lang w:val="ru-RU"/>
        </w:rPr>
      </w:pPr>
      <w:r w:rsidRPr="00F053BA">
        <w:rPr>
          <w:lang w:val="ru-RU"/>
        </w:rPr>
        <w:t>Производительность труда сотрудников рассчитывается как частное всей проделанной работы (т.е. числа опубликованных заявок РСТ) и числа сотрудников, занятых проведением формальной экспертизы.</w:t>
      </w:r>
    </w:p>
    <w:p w:rsidR="00F053BA" w:rsidRPr="00F053BA" w:rsidRDefault="00F053BA" w:rsidP="00F053BA">
      <w:pPr>
        <w:rPr>
          <w:lang w:val="ru-RU"/>
        </w:rPr>
      </w:pPr>
    </w:p>
    <w:p w:rsidR="00F053BA" w:rsidRPr="00F053BA" w:rsidRDefault="00F053BA" w:rsidP="00F053BA">
      <w:pPr>
        <w:jc w:val="center"/>
        <w:rPr>
          <w:b/>
          <w:sz w:val="18"/>
          <w:lang w:val="ru-RU"/>
        </w:rPr>
      </w:pPr>
    </w:p>
    <w:p w:rsidR="00F053BA" w:rsidRPr="00F053BA" w:rsidRDefault="00F053BA" w:rsidP="00F053BA">
      <w:pPr>
        <w:keepNext/>
        <w:keepLines/>
        <w:jc w:val="center"/>
        <w:rPr>
          <w:b/>
          <w:sz w:val="18"/>
          <w:lang w:val="ru-RU"/>
        </w:rPr>
      </w:pPr>
      <w:r w:rsidRPr="00F053BA">
        <w:rPr>
          <w:b/>
          <w:sz w:val="18"/>
          <w:lang w:val="ru-RU"/>
        </w:rPr>
        <w:t>Производительность труда при осуществлении формальной экспертизы</w:t>
      </w:r>
    </w:p>
    <w:p w:rsidR="00F053BA" w:rsidRPr="00EE19F7" w:rsidRDefault="00F053BA" w:rsidP="00F053BA">
      <w:pPr>
        <w:keepNext/>
        <w:keepLines/>
        <w:jc w:val="center"/>
        <w:rPr>
          <w:b/>
          <w:bCs/>
          <w:sz w:val="18"/>
          <w:szCs w:val="18"/>
        </w:rPr>
      </w:pPr>
      <w:r>
        <w:rPr>
          <w:b/>
          <w:bCs/>
          <w:noProof/>
          <w:sz w:val="18"/>
          <w:szCs w:val="18"/>
        </w:rPr>
        <w:drawing>
          <wp:inline distT="0" distB="0" distL="0" distR="0" wp14:anchorId="475A68CB" wp14:editId="727313E0">
            <wp:extent cx="5109155" cy="2493818"/>
            <wp:effectExtent l="0" t="0" r="0" b="1905"/>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112659" cy="2495528"/>
                    </a:xfrm>
                    <a:prstGeom prst="rect">
                      <a:avLst/>
                    </a:prstGeom>
                    <a:noFill/>
                    <a:ln>
                      <a:noFill/>
                    </a:ln>
                  </pic:spPr>
                </pic:pic>
              </a:graphicData>
            </a:graphic>
          </wp:inline>
        </w:drawing>
      </w:r>
    </w:p>
    <w:p w:rsidR="00F053BA" w:rsidRDefault="00F053BA" w:rsidP="00F053BA">
      <w:pPr>
        <w:pStyle w:val="ListParagraph"/>
        <w:keepNext/>
        <w:keepLines/>
        <w:spacing w:after="200"/>
        <w:ind w:left="1134"/>
        <w:contextualSpacing/>
        <w:jc w:val="both"/>
      </w:pPr>
    </w:p>
    <w:p w:rsidR="00F053BA" w:rsidRPr="00F053BA" w:rsidRDefault="00F053BA" w:rsidP="00F053BA">
      <w:pPr>
        <w:pStyle w:val="ListParagraph"/>
        <w:numPr>
          <w:ilvl w:val="0"/>
          <w:numId w:val="53"/>
        </w:numPr>
        <w:tabs>
          <w:tab w:val="clear" w:pos="720"/>
          <w:tab w:val="num" w:pos="1134"/>
        </w:tabs>
        <w:spacing w:after="200"/>
        <w:ind w:left="1134" w:hanging="567"/>
        <w:contextualSpacing/>
        <w:jc w:val="both"/>
        <w:rPr>
          <w:lang w:val="ru-RU"/>
        </w:rPr>
      </w:pPr>
      <w:r w:rsidRPr="00F053BA">
        <w:rPr>
          <w:lang w:val="ru-RU"/>
        </w:rPr>
        <w:t>Рост производительности труда при проведении формальной экспертизы происходит из года в год в основном за счет автоматизации, позволяющей выполнять значительно больший объем работы силами неизменного или меньшего числа сотрудников.</w:t>
      </w:r>
    </w:p>
    <w:p w:rsidR="00F053BA" w:rsidRPr="00F053BA" w:rsidRDefault="00F053BA" w:rsidP="00F053BA">
      <w:pPr>
        <w:pStyle w:val="ListParagraph"/>
        <w:spacing w:after="200"/>
        <w:ind w:left="1134"/>
        <w:contextualSpacing/>
        <w:jc w:val="both"/>
        <w:rPr>
          <w:lang w:val="ru-RU"/>
        </w:rPr>
      </w:pPr>
    </w:p>
    <w:p w:rsidR="00F053BA" w:rsidRPr="00F053BA" w:rsidRDefault="00F053BA" w:rsidP="00F053BA">
      <w:pPr>
        <w:pStyle w:val="ListParagraph"/>
        <w:numPr>
          <w:ilvl w:val="0"/>
          <w:numId w:val="53"/>
        </w:numPr>
        <w:tabs>
          <w:tab w:val="clear" w:pos="720"/>
          <w:tab w:val="num" w:pos="1134"/>
        </w:tabs>
        <w:spacing w:after="200"/>
        <w:ind w:left="1134" w:hanging="567"/>
        <w:contextualSpacing/>
        <w:jc w:val="both"/>
        <w:rPr>
          <w:lang w:val="ru-RU"/>
        </w:rPr>
      </w:pPr>
      <w:r w:rsidRPr="00F053BA">
        <w:rPr>
          <w:lang w:val="ru-RU"/>
        </w:rPr>
        <w:t>В 2015</w:t>
      </w:r>
      <w:r>
        <w:t> </w:t>
      </w:r>
      <w:r w:rsidRPr="00F053BA">
        <w:rPr>
          <w:lang w:val="ru-RU"/>
        </w:rPr>
        <w:t>г., несмотря на снижение на четыре процента числа сотрудников, занимающихся формальной экспертизой, производительность труда при ее проведении снизилась на один процент по сравнению с 2014</w:t>
      </w:r>
      <w:r>
        <w:t> </w:t>
      </w:r>
      <w:r w:rsidRPr="00F053BA">
        <w:rPr>
          <w:lang w:val="ru-RU"/>
        </w:rPr>
        <w:t xml:space="preserve">г. в связи со снижением на пять процентов числа заявок </w:t>
      </w:r>
      <w:r>
        <w:t>PCT</w:t>
      </w:r>
      <w:r w:rsidRPr="00F053BA">
        <w:rPr>
          <w:lang w:val="ru-RU"/>
        </w:rPr>
        <w:t>, которые готовились к публикации.   Основные причины такого снижения были следующими: (</w:t>
      </w:r>
      <w:r>
        <w:t>i</w:t>
      </w:r>
      <w:r w:rsidRPr="00F053BA">
        <w:rPr>
          <w:lang w:val="ru-RU"/>
        </w:rPr>
        <w:t>)</w:t>
      </w:r>
      <w:r>
        <w:t> </w:t>
      </w:r>
      <w:r w:rsidRPr="00F053BA">
        <w:rPr>
          <w:lang w:val="ru-RU"/>
        </w:rPr>
        <w:t>резкий рост числа заявок из США в связи со вступлением в силу Закона Лихи-Смита об американских изобретениях годом ранее; и (</w:t>
      </w:r>
      <w:r>
        <w:t>ii</w:t>
      </w:r>
      <w:r w:rsidRPr="00F053BA">
        <w:rPr>
          <w:lang w:val="ru-RU"/>
        </w:rPr>
        <w:t>)</w:t>
      </w:r>
      <w:r>
        <w:t> </w:t>
      </w:r>
      <w:r w:rsidRPr="00F053BA">
        <w:rPr>
          <w:lang w:val="ru-RU"/>
        </w:rPr>
        <w:t>в 2014</w:t>
      </w:r>
      <w:r>
        <w:t> </w:t>
      </w:r>
      <w:r w:rsidRPr="00F053BA">
        <w:rPr>
          <w:lang w:val="ru-RU"/>
        </w:rPr>
        <w:t>г., как и каждые пять – шесть лет, число недель публикации было 53, а не 52, в результате чего число публикаций за этот год увеличилось.  Тем не менее сравнение показателей двух последних двухлетних периодов показывает, что общая производительность труда при проведении формальной экспертизы в 2014–2015</w:t>
      </w:r>
      <w:r>
        <w:t> </w:t>
      </w:r>
      <w:r w:rsidRPr="00F053BA">
        <w:rPr>
          <w:lang w:val="ru-RU"/>
        </w:rPr>
        <w:t>гг. увеличилась на 22</w:t>
      </w:r>
      <w:r>
        <w:t> </w:t>
      </w:r>
      <w:r w:rsidRPr="00F053BA">
        <w:rPr>
          <w:lang w:val="ru-RU"/>
        </w:rPr>
        <w:t>процента по сравнению с 2012–2013</w:t>
      </w:r>
      <w:r>
        <w:t> </w:t>
      </w:r>
      <w:r w:rsidRPr="00F053BA">
        <w:rPr>
          <w:lang w:val="ru-RU"/>
        </w:rPr>
        <w:t>гг.</w:t>
      </w:r>
    </w:p>
    <w:p w:rsidR="00F053BA" w:rsidRPr="00F053BA" w:rsidRDefault="00F053BA" w:rsidP="00F053BA">
      <w:pPr>
        <w:pStyle w:val="ListParagraph"/>
        <w:spacing w:after="200"/>
        <w:ind w:left="1134"/>
        <w:contextualSpacing/>
        <w:jc w:val="both"/>
        <w:rPr>
          <w:lang w:val="ru-RU"/>
        </w:rPr>
      </w:pPr>
    </w:p>
    <w:p w:rsidR="00F053BA" w:rsidRPr="008823D0" w:rsidRDefault="00F053BA" w:rsidP="00F053BA">
      <w:pPr>
        <w:keepNext/>
        <w:keepLines/>
        <w:rPr>
          <w:i/>
        </w:rPr>
      </w:pPr>
      <w:r>
        <w:rPr>
          <w:i/>
        </w:rPr>
        <w:t>Агрегированный показатель качества формальной экспертизы</w:t>
      </w:r>
    </w:p>
    <w:p w:rsidR="00F053BA" w:rsidRPr="008823D0" w:rsidRDefault="00F053BA" w:rsidP="00F053BA">
      <w:pPr>
        <w:keepNext/>
        <w:keepLines/>
      </w:pPr>
    </w:p>
    <w:p w:rsidR="00F053BA" w:rsidRPr="00F053BA" w:rsidRDefault="00F053BA" w:rsidP="00F053BA">
      <w:pPr>
        <w:numPr>
          <w:ilvl w:val="0"/>
          <w:numId w:val="55"/>
        </w:numPr>
        <w:jc w:val="both"/>
        <w:rPr>
          <w:lang w:val="ru-RU"/>
        </w:rPr>
      </w:pPr>
      <w:r w:rsidRPr="00F053BA">
        <w:rPr>
          <w:lang w:val="ru-RU"/>
        </w:rPr>
        <w:t>Для простого комплексного измерения качества выполняемой в МБ работы МБ составило агрегированный индекс качества, который рассчитывается как среднее четырех основных показателей качества.  Три из этих показателей основаны на своевременности ключевых действий: подтверждение получения, публикация и повторная публикация заявки по процедуре РСТ.  Четвертый показатель учитывает ошибки, допущенные при обработке заявок по процедуре РСТ.</w:t>
      </w:r>
    </w:p>
    <w:p w:rsidR="00F053BA" w:rsidRPr="00F053BA" w:rsidRDefault="00F053BA" w:rsidP="00F053BA">
      <w:pPr>
        <w:rPr>
          <w:lang w:val="ru-RU"/>
        </w:rPr>
      </w:pPr>
    </w:p>
    <w:p w:rsidR="00F053BA" w:rsidRDefault="00F053BA" w:rsidP="00F053BA">
      <w:pPr>
        <w:pStyle w:val="BodyText2"/>
        <w:keepNext/>
        <w:keepLines/>
        <w:spacing w:line="240" w:lineRule="auto"/>
        <w:jc w:val="center"/>
        <w:rPr>
          <w:rFonts w:cs="Arial"/>
          <w:b/>
          <w:bCs/>
          <w:sz w:val="18"/>
          <w:szCs w:val="18"/>
        </w:rPr>
      </w:pPr>
      <w:r>
        <w:rPr>
          <w:b/>
          <w:sz w:val="18"/>
        </w:rPr>
        <w:t>Индекс качества формальной экспертизы</w:t>
      </w:r>
    </w:p>
    <w:p w:rsidR="00F053BA" w:rsidRPr="000D2666" w:rsidRDefault="00F053BA" w:rsidP="00F053BA">
      <w:pPr>
        <w:pStyle w:val="BodyText2"/>
        <w:keepNext/>
        <w:keepLines/>
        <w:spacing w:line="240" w:lineRule="auto"/>
        <w:jc w:val="center"/>
        <w:rPr>
          <w:rFonts w:cs="Arial"/>
          <w:b/>
          <w:bCs/>
          <w:sz w:val="16"/>
          <w:szCs w:val="18"/>
        </w:rPr>
      </w:pPr>
      <w:r>
        <w:rPr>
          <w:rFonts w:cs="Arial"/>
          <w:b/>
          <w:bCs/>
          <w:noProof/>
          <w:sz w:val="16"/>
          <w:szCs w:val="18"/>
        </w:rPr>
        <w:drawing>
          <wp:inline distT="0" distB="0" distL="0" distR="0" wp14:anchorId="43CE7A4D" wp14:editId="6336B476">
            <wp:extent cx="5940425" cy="2685830"/>
            <wp:effectExtent l="0" t="0" r="3175" b="635"/>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0425" cy="2685830"/>
                    </a:xfrm>
                    <a:prstGeom prst="rect">
                      <a:avLst/>
                    </a:prstGeom>
                    <a:noFill/>
                    <a:ln>
                      <a:noFill/>
                    </a:ln>
                  </pic:spPr>
                </pic:pic>
              </a:graphicData>
            </a:graphic>
          </wp:inline>
        </w:drawing>
      </w:r>
    </w:p>
    <w:p w:rsidR="00F053BA" w:rsidRPr="008823D0" w:rsidRDefault="00F053BA" w:rsidP="00F053BA">
      <w:pPr>
        <w:pStyle w:val="BodyText2"/>
        <w:keepNext/>
        <w:keepLines/>
        <w:spacing w:line="240" w:lineRule="auto"/>
        <w:jc w:val="center"/>
        <w:rPr>
          <w:rFonts w:cs="Arial"/>
          <w:b/>
          <w:bCs/>
          <w:sz w:val="18"/>
          <w:szCs w:val="18"/>
        </w:rPr>
      </w:pPr>
    </w:p>
    <w:p w:rsidR="00F053BA" w:rsidRPr="00F053BA" w:rsidRDefault="00F053BA" w:rsidP="00F053BA">
      <w:pPr>
        <w:numPr>
          <w:ilvl w:val="0"/>
          <w:numId w:val="56"/>
        </w:numPr>
        <w:ind w:left="1134" w:hanging="584"/>
        <w:jc w:val="both"/>
        <w:rPr>
          <w:lang w:val="ru-RU"/>
        </w:rPr>
      </w:pPr>
      <w:r w:rsidRPr="00F053BA">
        <w:rPr>
          <w:lang w:val="ru-RU"/>
        </w:rPr>
        <w:t>Общее качество, отображаемое агрегированным индексом, заметно повысилось, с 81</w:t>
      </w:r>
      <w:r>
        <w:t> </w:t>
      </w:r>
      <w:r w:rsidRPr="00F053BA">
        <w:rPr>
          <w:lang w:val="ru-RU"/>
        </w:rPr>
        <w:t>процента в 2007</w:t>
      </w:r>
      <w:r>
        <w:t> </w:t>
      </w:r>
      <w:r w:rsidRPr="00F053BA">
        <w:rPr>
          <w:lang w:val="ru-RU"/>
        </w:rPr>
        <w:t>г. до 92,8</w:t>
      </w:r>
      <w:r>
        <w:t> </w:t>
      </w:r>
      <w:r w:rsidRPr="00F053BA">
        <w:rPr>
          <w:lang w:val="ru-RU"/>
        </w:rPr>
        <w:t>процента в 2015</w:t>
      </w:r>
      <w:r>
        <w:t> </w:t>
      </w:r>
      <w:r w:rsidRPr="00F053BA">
        <w:rPr>
          <w:lang w:val="ru-RU"/>
        </w:rPr>
        <w:t>г.</w:t>
      </w:r>
    </w:p>
    <w:p w:rsidR="00F053BA" w:rsidRPr="00F053BA" w:rsidRDefault="00F053BA" w:rsidP="00F053BA">
      <w:pPr>
        <w:ind w:left="1134" w:hanging="584"/>
        <w:jc w:val="both"/>
        <w:rPr>
          <w:lang w:val="ru-RU"/>
        </w:rPr>
      </w:pPr>
    </w:p>
    <w:p w:rsidR="00F053BA" w:rsidRPr="00104D6C" w:rsidRDefault="00F053BA" w:rsidP="00F053BA">
      <w:pPr>
        <w:pStyle w:val="ListParagraph"/>
        <w:numPr>
          <w:ilvl w:val="0"/>
          <w:numId w:val="53"/>
        </w:numPr>
        <w:tabs>
          <w:tab w:val="clear" w:pos="720"/>
          <w:tab w:val="num" w:pos="1134"/>
        </w:tabs>
        <w:spacing w:after="200"/>
        <w:ind w:left="1134" w:hanging="567"/>
        <w:contextualSpacing/>
        <w:jc w:val="both"/>
      </w:pPr>
      <w:r w:rsidRPr="00F053BA">
        <w:rPr>
          <w:lang w:val="ru-RU"/>
        </w:rPr>
        <w:t>Небольшое снижение индекса качества на 0,3</w:t>
      </w:r>
      <w:r>
        <w:t> </w:t>
      </w:r>
      <w:r w:rsidRPr="00F053BA">
        <w:rPr>
          <w:lang w:val="ru-RU"/>
        </w:rPr>
        <w:t>процента в 2015</w:t>
      </w:r>
      <w:r>
        <w:t> </w:t>
      </w:r>
      <w:r w:rsidRPr="00F053BA">
        <w:rPr>
          <w:lang w:val="ru-RU"/>
        </w:rPr>
        <w:t>г. по сравнению с 2014</w:t>
      </w:r>
      <w:r>
        <w:t> </w:t>
      </w:r>
      <w:r w:rsidRPr="00F053BA">
        <w:rPr>
          <w:lang w:val="ru-RU"/>
        </w:rPr>
        <w:t xml:space="preserve">г. обусловлено задержками в повторной публикации заявок </w:t>
      </w:r>
      <w:r>
        <w:t>PCT</w:t>
      </w:r>
      <w:r w:rsidRPr="00F053BA">
        <w:rPr>
          <w:lang w:val="ru-RU"/>
        </w:rPr>
        <w:t xml:space="preserve"> с отчетами о международном поиске (ОМП) в течение двух месяцев, доля которых снизилась с 77</w:t>
      </w:r>
      <w:r>
        <w:t> </w:t>
      </w:r>
      <w:r w:rsidRPr="00F053BA">
        <w:rPr>
          <w:lang w:val="ru-RU"/>
        </w:rPr>
        <w:t>процентов в 2014</w:t>
      </w:r>
      <w:r>
        <w:t> </w:t>
      </w:r>
      <w:r w:rsidRPr="00F053BA">
        <w:rPr>
          <w:lang w:val="ru-RU"/>
        </w:rPr>
        <w:t>г. до 74</w:t>
      </w:r>
      <w:r>
        <w:t> </w:t>
      </w:r>
      <w:r w:rsidRPr="00F053BA">
        <w:rPr>
          <w:lang w:val="ru-RU"/>
        </w:rPr>
        <w:t>процентов в 2015</w:t>
      </w:r>
      <w:r>
        <w:t> </w:t>
      </w:r>
      <w:r w:rsidRPr="00F053BA">
        <w:rPr>
          <w:lang w:val="ru-RU"/>
        </w:rPr>
        <w:t>г.  Все остальные ключевые показатели, используемые для вычисления этого общего индекса качества, были улучшены в 2015</w:t>
      </w:r>
      <w:r>
        <w:t> </w:t>
      </w:r>
      <w:r w:rsidRPr="00F053BA">
        <w:rPr>
          <w:lang w:val="ru-RU"/>
        </w:rPr>
        <w:t>г. по сравнению с 2014</w:t>
      </w:r>
      <w:r>
        <w:t> </w:t>
      </w:r>
      <w:r w:rsidRPr="00F053BA">
        <w:rPr>
          <w:lang w:val="ru-RU"/>
        </w:rPr>
        <w:t>г.  Индекс качества в двухлетний период 2014–2015</w:t>
      </w:r>
      <w:r>
        <w:t> </w:t>
      </w:r>
      <w:r w:rsidRPr="00F053BA">
        <w:rPr>
          <w:lang w:val="ru-RU"/>
        </w:rPr>
        <w:t>гг. (93</w:t>
      </w:r>
      <w:r>
        <w:t> </w:t>
      </w:r>
      <w:r w:rsidRPr="00F053BA">
        <w:rPr>
          <w:lang w:val="ru-RU"/>
        </w:rPr>
        <w:t>процента) увеличился почти на пять процентных пунктов по сравнению с двухлетним периодом 2012–2013</w:t>
      </w:r>
      <w:r>
        <w:t> </w:t>
      </w:r>
      <w:r w:rsidRPr="00F053BA">
        <w:rPr>
          <w:lang w:val="ru-RU"/>
        </w:rPr>
        <w:t xml:space="preserve">гг. </w:t>
      </w:r>
      <w:r>
        <w:t>(88,1 процента).</w:t>
      </w:r>
    </w:p>
    <w:p w:rsidR="00F053BA" w:rsidRPr="00541138" w:rsidRDefault="00F053BA" w:rsidP="00F053BA">
      <w:pPr>
        <w:rPr>
          <w:rFonts w:cs="Arial"/>
        </w:rPr>
      </w:pPr>
    </w:p>
    <w:p w:rsidR="00F053BA" w:rsidRPr="005F6BFD" w:rsidRDefault="00F053BA" w:rsidP="00F053BA">
      <w:pPr>
        <w:rPr>
          <w:i/>
        </w:rPr>
      </w:pPr>
      <w:r>
        <w:rPr>
          <w:i/>
        </w:rPr>
        <w:t>Своевременность формальной экспертизы</w:t>
      </w:r>
    </w:p>
    <w:p w:rsidR="00F053BA" w:rsidRPr="005F6BFD" w:rsidRDefault="00F053BA" w:rsidP="00F053BA">
      <w:pPr>
        <w:rPr>
          <w:b/>
        </w:rPr>
      </w:pPr>
    </w:p>
    <w:p w:rsidR="00F053BA" w:rsidRPr="00F053BA" w:rsidRDefault="00F053BA" w:rsidP="00F053BA">
      <w:pPr>
        <w:numPr>
          <w:ilvl w:val="0"/>
          <w:numId w:val="55"/>
        </w:numPr>
        <w:jc w:val="both"/>
        <w:rPr>
          <w:b/>
          <w:lang w:val="ru-RU"/>
        </w:rPr>
      </w:pPr>
      <w:r w:rsidRPr="00F053BA">
        <w:rPr>
          <w:lang w:val="ru-RU"/>
        </w:rPr>
        <w:t>Этот показатель более детально отражает один из компонентов агрегированного показателя качества, а именно время, необходимое МБ для выдачи документа по форме №</w:t>
      </w:r>
      <w:r>
        <w:t> </w:t>
      </w:r>
      <w:r w:rsidRPr="00F053BA">
        <w:rPr>
          <w:lang w:val="ru-RU"/>
        </w:rPr>
        <w:t>301.  Он выдается по завершении формальной экспертизы заявки.  Заявителю важно получить данный документ в кратчайшие сроки, так как он служит подтверждением того, что заявка была получена в МБ, а также позволяет узнать, были ли допущены какие-либо ошибки при оформлении заявки.</w:t>
      </w:r>
    </w:p>
    <w:p w:rsidR="00F053BA" w:rsidRPr="00F053BA" w:rsidRDefault="00F053BA" w:rsidP="00F053BA">
      <w:pPr>
        <w:jc w:val="center"/>
        <w:rPr>
          <w:b/>
          <w:lang w:val="ru-RU"/>
        </w:rPr>
      </w:pPr>
    </w:p>
    <w:p w:rsidR="00F053BA" w:rsidRPr="00D37EBA" w:rsidRDefault="00F053BA" w:rsidP="00F053BA">
      <w:pPr>
        <w:jc w:val="center"/>
        <w:rPr>
          <w:b/>
        </w:rPr>
      </w:pPr>
      <w:r>
        <w:rPr>
          <w:b/>
        </w:rPr>
        <w:t>Своевременность формальной экспертизы</w:t>
      </w:r>
    </w:p>
    <w:p w:rsidR="00F053BA" w:rsidRPr="005F6BFD" w:rsidRDefault="00F053BA" w:rsidP="00F053BA">
      <w:r>
        <w:rPr>
          <w:noProof/>
        </w:rPr>
        <w:drawing>
          <wp:inline distT="0" distB="0" distL="0" distR="0" wp14:anchorId="44B60090" wp14:editId="15406B28">
            <wp:extent cx="5940425" cy="2571389"/>
            <wp:effectExtent l="0" t="0" r="3175" b="635"/>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40425" cy="2571389"/>
                    </a:xfrm>
                    <a:prstGeom prst="rect">
                      <a:avLst/>
                    </a:prstGeom>
                    <a:noFill/>
                    <a:ln>
                      <a:noFill/>
                    </a:ln>
                  </pic:spPr>
                </pic:pic>
              </a:graphicData>
            </a:graphic>
          </wp:inline>
        </w:drawing>
      </w:r>
    </w:p>
    <w:p w:rsidR="00F053BA" w:rsidRDefault="00F053BA" w:rsidP="00F053BA">
      <w:pPr>
        <w:rPr>
          <w:i/>
        </w:rPr>
      </w:pPr>
    </w:p>
    <w:p w:rsidR="00F053BA" w:rsidRDefault="00F053BA" w:rsidP="00F053BA">
      <w:pPr>
        <w:rPr>
          <w:i/>
        </w:rPr>
      </w:pPr>
    </w:p>
    <w:p w:rsidR="00F053BA" w:rsidRDefault="00F053BA" w:rsidP="00F053BA">
      <w:pPr>
        <w:rPr>
          <w:i/>
        </w:rPr>
      </w:pPr>
    </w:p>
    <w:p w:rsidR="00F053BA" w:rsidRDefault="00F053BA" w:rsidP="00F053BA">
      <w:pPr>
        <w:rPr>
          <w:i/>
        </w:rPr>
      </w:pPr>
    </w:p>
    <w:p w:rsidR="00F053BA" w:rsidRPr="005F6BFD" w:rsidRDefault="00F053BA" w:rsidP="00F053BA">
      <w:pPr>
        <w:rPr>
          <w:i/>
        </w:rPr>
      </w:pPr>
      <w:r>
        <w:rPr>
          <w:i/>
        </w:rPr>
        <w:t>Своевременность публикации</w:t>
      </w:r>
    </w:p>
    <w:p w:rsidR="00F053BA" w:rsidRPr="005F6BFD" w:rsidRDefault="00F053BA" w:rsidP="00F053BA">
      <w:pPr>
        <w:rPr>
          <w:sz w:val="18"/>
          <w:szCs w:val="18"/>
        </w:rPr>
      </w:pPr>
    </w:p>
    <w:p w:rsidR="00F053BA" w:rsidRPr="00F053BA" w:rsidRDefault="00F053BA" w:rsidP="00F053BA">
      <w:pPr>
        <w:numPr>
          <w:ilvl w:val="0"/>
          <w:numId w:val="55"/>
        </w:numPr>
        <w:jc w:val="both"/>
        <w:rPr>
          <w:lang w:val="ru-RU"/>
        </w:rPr>
      </w:pPr>
      <w:r w:rsidRPr="00F053BA">
        <w:rPr>
          <w:lang w:val="ru-RU"/>
        </w:rPr>
        <w:t>Этот показатель более детально отражает один из компонентов агрегированного показателя качества, а именно время, необходимое МБ для публикации заявки.  Статья 21(2)(</w:t>
      </w:r>
      <w:r>
        <w:t>a</w:t>
      </w:r>
      <w:r w:rsidRPr="00F053BA">
        <w:rPr>
          <w:lang w:val="ru-RU"/>
        </w:rPr>
        <w:t xml:space="preserve">) </w:t>
      </w:r>
      <w:r>
        <w:t>PCT</w:t>
      </w:r>
      <w:r w:rsidRPr="00F053BA">
        <w:rPr>
          <w:lang w:val="ru-RU"/>
        </w:rPr>
        <w:t xml:space="preserve"> гласит, что «...международная публикация международной заявки осуществляется незамедлительно по истечении 18 месяцев от даты приоритета этой заявки».</w:t>
      </w:r>
    </w:p>
    <w:p w:rsidR="00F053BA" w:rsidRPr="00F053BA" w:rsidRDefault="00F053BA" w:rsidP="00F053BA">
      <w:pPr>
        <w:pStyle w:val="BodyText2"/>
        <w:spacing w:line="240" w:lineRule="auto"/>
        <w:rPr>
          <w:rFonts w:cs="Arial"/>
          <w:lang w:val="ru-RU"/>
        </w:rPr>
      </w:pPr>
    </w:p>
    <w:p w:rsidR="00F053BA" w:rsidRPr="00E8621D" w:rsidRDefault="00F053BA" w:rsidP="00F053BA">
      <w:pPr>
        <w:pStyle w:val="BodyText2"/>
        <w:spacing w:line="240" w:lineRule="auto"/>
        <w:jc w:val="center"/>
        <w:rPr>
          <w:rFonts w:cs="Arial"/>
          <w:b/>
        </w:rPr>
      </w:pPr>
      <w:r w:rsidRPr="00E8621D">
        <w:rPr>
          <w:rFonts w:cs="Arial"/>
          <w:b/>
        </w:rPr>
        <w:t>Своевременность публикации</w:t>
      </w:r>
    </w:p>
    <w:p w:rsidR="00F053BA" w:rsidRPr="000E46C3" w:rsidRDefault="00F053BA" w:rsidP="00F053BA">
      <w:pPr>
        <w:pStyle w:val="BodyText2"/>
        <w:spacing w:line="240" w:lineRule="auto"/>
        <w:jc w:val="center"/>
        <w:rPr>
          <w:rFonts w:cs="Arial"/>
          <w:b/>
          <w:bCs/>
          <w:sz w:val="16"/>
          <w:szCs w:val="16"/>
          <w:highlight w:val="yellow"/>
        </w:rPr>
      </w:pPr>
      <w:r>
        <w:rPr>
          <w:rFonts w:cs="Arial"/>
          <w:b/>
          <w:bCs/>
          <w:noProof/>
          <w:sz w:val="16"/>
          <w:szCs w:val="16"/>
        </w:rPr>
        <w:drawing>
          <wp:inline distT="0" distB="0" distL="0" distR="0" wp14:anchorId="635BA503" wp14:editId="4DD648DE">
            <wp:extent cx="5940425" cy="2721727"/>
            <wp:effectExtent l="0" t="0" r="3175" b="254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0425" cy="2721727"/>
                    </a:xfrm>
                    <a:prstGeom prst="rect">
                      <a:avLst/>
                    </a:prstGeom>
                    <a:noFill/>
                    <a:ln>
                      <a:noFill/>
                    </a:ln>
                  </pic:spPr>
                </pic:pic>
              </a:graphicData>
            </a:graphic>
          </wp:inline>
        </w:drawing>
      </w:r>
    </w:p>
    <w:p w:rsidR="00F053BA" w:rsidRPr="00D65AC8" w:rsidRDefault="00F053BA" w:rsidP="00F053BA">
      <w:pPr>
        <w:rPr>
          <w:i/>
        </w:rPr>
      </w:pPr>
      <w:r>
        <w:rPr>
          <w:i/>
        </w:rPr>
        <w:t>Своевременность повторной публикации</w:t>
      </w:r>
    </w:p>
    <w:p w:rsidR="00F053BA" w:rsidRPr="00D65AC8" w:rsidRDefault="00F053BA" w:rsidP="00F053BA">
      <w:pPr>
        <w:rPr>
          <w:sz w:val="18"/>
          <w:szCs w:val="18"/>
        </w:rPr>
      </w:pPr>
    </w:p>
    <w:p w:rsidR="00F053BA" w:rsidRPr="00F053BA" w:rsidRDefault="00F053BA" w:rsidP="00F053BA">
      <w:pPr>
        <w:numPr>
          <w:ilvl w:val="0"/>
          <w:numId w:val="55"/>
        </w:numPr>
        <w:jc w:val="both"/>
        <w:rPr>
          <w:lang w:val="ru-RU"/>
        </w:rPr>
      </w:pPr>
      <w:r w:rsidRPr="00F053BA">
        <w:rPr>
          <w:lang w:val="ru-RU"/>
        </w:rPr>
        <w:t>Этот показатель более детально отражает один из компонентов агрегированного показателя качества, а именно время, необходимое МБ для повторной публикации заявки с ОМП.  Ввиду допускаемых международными поисковыми органами (МПО) задержек в представлении ОМП, некоторые международные заявки публикуются без ОМП.  После получения ОМП международная заявка должна быть в кратчайшие сроки повторно опубликована вместе с ОМП, что завершает процесс международной публикации.</w:t>
      </w:r>
    </w:p>
    <w:p w:rsidR="00F053BA" w:rsidRPr="00F053BA" w:rsidRDefault="00F053BA" w:rsidP="00F053BA">
      <w:pPr>
        <w:rPr>
          <w:lang w:val="ru-RU"/>
        </w:rPr>
      </w:pPr>
    </w:p>
    <w:p w:rsidR="00F053BA" w:rsidRPr="00E8621D" w:rsidRDefault="00F053BA" w:rsidP="00F053BA">
      <w:pPr>
        <w:jc w:val="center"/>
        <w:rPr>
          <w:b/>
        </w:rPr>
      </w:pPr>
      <w:r w:rsidRPr="00E8621D">
        <w:rPr>
          <w:b/>
        </w:rPr>
        <w:t>Своевременность повторной публикации</w:t>
      </w:r>
    </w:p>
    <w:p w:rsidR="00F053BA" w:rsidRPr="00D65AC8" w:rsidRDefault="00F053BA" w:rsidP="00F053BA">
      <w:pPr>
        <w:rPr>
          <w:b/>
          <w:szCs w:val="18"/>
        </w:rPr>
      </w:pPr>
    </w:p>
    <w:p w:rsidR="00F053BA" w:rsidRDefault="00F053BA" w:rsidP="00F053BA">
      <w:pPr>
        <w:rPr>
          <w:i/>
        </w:rPr>
      </w:pPr>
      <w:r>
        <w:rPr>
          <w:i/>
          <w:noProof/>
        </w:rPr>
        <w:drawing>
          <wp:inline distT="0" distB="0" distL="0" distR="0" wp14:anchorId="30B65241" wp14:editId="5D7E46C7">
            <wp:extent cx="5940425" cy="2721727"/>
            <wp:effectExtent l="0" t="0" r="3175" b="2540"/>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940425" cy="2721727"/>
                    </a:xfrm>
                    <a:prstGeom prst="rect">
                      <a:avLst/>
                    </a:prstGeom>
                    <a:noFill/>
                    <a:ln>
                      <a:noFill/>
                    </a:ln>
                  </pic:spPr>
                </pic:pic>
              </a:graphicData>
            </a:graphic>
          </wp:inline>
        </w:drawing>
      </w:r>
    </w:p>
    <w:p w:rsidR="00F053BA" w:rsidRPr="00E34675" w:rsidRDefault="00F053BA" w:rsidP="00F053BA">
      <w:pPr>
        <w:rPr>
          <w:i/>
        </w:rPr>
      </w:pPr>
      <w:r>
        <w:rPr>
          <w:i/>
        </w:rPr>
        <w:t xml:space="preserve">Качество переводов </w:t>
      </w:r>
    </w:p>
    <w:p w:rsidR="00F053BA" w:rsidRPr="00E34675" w:rsidRDefault="00F053BA" w:rsidP="00F053BA">
      <w:pPr>
        <w:rPr>
          <w:b/>
          <w:szCs w:val="18"/>
        </w:rPr>
      </w:pPr>
    </w:p>
    <w:p w:rsidR="00F053BA" w:rsidRPr="00F053BA" w:rsidRDefault="00F053BA" w:rsidP="00F053BA">
      <w:pPr>
        <w:numPr>
          <w:ilvl w:val="0"/>
          <w:numId w:val="55"/>
        </w:numPr>
        <w:jc w:val="both"/>
        <w:rPr>
          <w:lang w:val="ru-RU"/>
        </w:rPr>
      </w:pPr>
      <w:r w:rsidRPr="00F053BA">
        <w:rPr>
          <w:lang w:val="ru-RU"/>
        </w:rPr>
        <w:t>Контроль качества осуществляется на основе статистически рассчитываемого числа производно выбираемых переводов рефератов и заключений о патентоспособности, подготовка которых входит в компетенцию МБ.  Оценка проводится на предмет «приемлемости» перевода.  Результаты осуществляемого МБ контроля качества применительно ко всем языковым комбинациям и видам документов сводятся в агрегированный показатель.  МБ прекращает сотрудничество с агентствами, менее 80% переводов которых считаются «приемлемыми».  Показатель в 87,6</w:t>
      </w:r>
      <w:r>
        <w:t> </w:t>
      </w:r>
      <w:r w:rsidRPr="00F053BA">
        <w:rPr>
          <w:lang w:val="ru-RU"/>
        </w:rPr>
        <w:t>процента приемлемых переводов, достигнутый в 2015</w:t>
      </w:r>
      <w:r>
        <w:t> </w:t>
      </w:r>
      <w:r w:rsidRPr="00F053BA">
        <w:rPr>
          <w:lang w:val="ru-RU"/>
        </w:rPr>
        <w:t>г., стал рекордным и на целых 1,6</w:t>
      </w:r>
      <w:r>
        <w:t> </w:t>
      </w:r>
      <w:r w:rsidRPr="00F053BA">
        <w:rPr>
          <w:lang w:val="ru-RU"/>
        </w:rPr>
        <w:t>процента превысил уровень 2014</w:t>
      </w:r>
      <w:r>
        <w:t> </w:t>
      </w:r>
      <w:r w:rsidRPr="00F053BA">
        <w:rPr>
          <w:lang w:val="ru-RU"/>
        </w:rPr>
        <w:t xml:space="preserve">г. </w:t>
      </w:r>
    </w:p>
    <w:p w:rsidR="00F053BA" w:rsidRPr="00F053BA" w:rsidRDefault="00F053BA" w:rsidP="00F053BA">
      <w:pPr>
        <w:jc w:val="center"/>
        <w:rPr>
          <w:highlight w:val="yellow"/>
          <w:lang w:val="ru-RU"/>
        </w:rPr>
      </w:pPr>
    </w:p>
    <w:p w:rsidR="00F053BA" w:rsidRPr="000D2666" w:rsidRDefault="00F053BA" w:rsidP="00F053BA">
      <w:pPr>
        <w:keepNext/>
        <w:keepLines/>
        <w:jc w:val="center"/>
        <w:rPr>
          <w:b/>
          <w:sz w:val="18"/>
        </w:rPr>
      </w:pPr>
      <w:r>
        <w:rPr>
          <w:b/>
          <w:sz w:val="18"/>
        </w:rPr>
        <w:t>Качество перевода документов PCT</w:t>
      </w:r>
    </w:p>
    <w:p w:rsidR="00F053BA" w:rsidRPr="004005D3" w:rsidRDefault="00F053BA" w:rsidP="00F053BA">
      <w:pPr>
        <w:keepNext/>
        <w:keepLines/>
      </w:pPr>
      <w:r>
        <w:rPr>
          <w:noProof/>
        </w:rPr>
        <w:drawing>
          <wp:inline distT="0" distB="0" distL="0" distR="0" wp14:anchorId="506E1EDA" wp14:editId="2BA273E1">
            <wp:extent cx="5895975" cy="3319145"/>
            <wp:effectExtent l="0" t="0" r="9525"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95975" cy="3319145"/>
                    </a:xfrm>
                    <a:prstGeom prst="rect">
                      <a:avLst/>
                    </a:prstGeom>
                    <a:noFill/>
                    <a:ln>
                      <a:noFill/>
                    </a:ln>
                  </pic:spPr>
                </pic:pic>
              </a:graphicData>
            </a:graphic>
          </wp:inline>
        </w:drawing>
      </w:r>
    </w:p>
    <w:p w:rsidR="00F053BA" w:rsidRDefault="00F053BA" w:rsidP="00F053BA">
      <w:pPr>
        <w:rPr>
          <w:i/>
        </w:rPr>
      </w:pPr>
    </w:p>
    <w:p w:rsidR="00F053BA" w:rsidRPr="00EE0539" w:rsidRDefault="00F053BA" w:rsidP="00F053BA">
      <w:pPr>
        <w:keepNext/>
        <w:keepLines/>
        <w:rPr>
          <w:i/>
        </w:rPr>
      </w:pPr>
      <w:r>
        <w:rPr>
          <w:i/>
        </w:rPr>
        <w:t>Своевременность перевода заключений</w:t>
      </w:r>
    </w:p>
    <w:p w:rsidR="00F053BA" w:rsidRPr="00EE0539" w:rsidRDefault="00F053BA" w:rsidP="00F053BA"/>
    <w:p w:rsidR="00F053BA" w:rsidRPr="00F053BA" w:rsidRDefault="00F053BA" w:rsidP="00F053BA">
      <w:pPr>
        <w:numPr>
          <w:ilvl w:val="0"/>
          <w:numId w:val="55"/>
        </w:numPr>
        <w:jc w:val="both"/>
        <w:rPr>
          <w:lang w:val="ru-RU"/>
        </w:rPr>
      </w:pPr>
      <w:r w:rsidRPr="00F053BA">
        <w:rPr>
          <w:lang w:val="ru-RU"/>
        </w:rPr>
        <w:t>Данный показатель отражает своевременность предоставления МБ заявителям и ведомствам переводов заключений о патентоспособности.  Начиная с 2010 г. неуклонно растет доля заключений о патентоспособности, рассылаемых в 30-месячный срок с даты приоритета международной заявки.  В 2014 г. в 30-месячный срок с даты приоритета было разослано 82,5</w:t>
      </w:r>
      <w:r>
        <w:t> </w:t>
      </w:r>
      <w:r w:rsidRPr="00F053BA">
        <w:rPr>
          <w:lang w:val="ru-RU"/>
        </w:rPr>
        <w:t>процента переводов заключений о патентоспособности.  В 2015</w:t>
      </w:r>
      <w:r>
        <w:t> </w:t>
      </w:r>
      <w:r w:rsidRPr="00F053BA">
        <w:rPr>
          <w:lang w:val="ru-RU"/>
        </w:rPr>
        <w:t>г. этот показатель был улучшен, и 90</w:t>
      </w:r>
      <w:r>
        <w:t> </w:t>
      </w:r>
      <w:r w:rsidRPr="00F053BA">
        <w:rPr>
          <w:lang w:val="ru-RU"/>
        </w:rPr>
        <w:t>процентов переводов заключений о патентоспособности рассылались в 30-месячный срок, а 99</w:t>
      </w:r>
      <w:r>
        <w:t> </w:t>
      </w:r>
      <w:r w:rsidRPr="00F053BA">
        <w:rPr>
          <w:lang w:val="ru-RU"/>
        </w:rPr>
        <w:t xml:space="preserve">процентов – в течение 31 месяца. </w:t>
      </w:r>
    </w:p>
    <w:p w:rsidR="00F053BA" w:rsidRPr="00F053BA" w:rsidRDefault="00F053BA" w:rsidP="00F053BA">
      <w:pPr>
        <w:ind w:left="142"/>
        <w:jc w:val="both"/>
        <w:rPr>
          <w:lang w:val="ru-RU"/>
        </w:rPr>
      </w:pPr>
    </w:p>
    <w:p w:rsidR="00F053BA" w:rsidRPr="00F053BA" w:rsidRDefault="00F053BA" w:rsidP="00F053BA">
      <w:pPr>
        <w:rPr>
          <w:b/>
          <w:sz w:val="18"/>
          <w:lang w:val="ru-RU"/>
        </w:rPr>
      </w:pPr>
      <w:r w:rsidRPr="00F053BA">
        <w:rPr>
          <w:b/>
          <w:sz w:val="18"/>
          <w:lang w:val="ru-RU"/>
        </w:rPr>
        <w:br w:type="page"/>
      </w:r>
    </w:p>
    <w:p w:rsidR="00F053BA" w:rsidRPr="000D2666" w:rsidRDefault="00F053BA" w:rsidP="00F053BA">
      <w:pPr>
        <w:ind w:left="142"/>
        <w:jc w:val="center"/>
        <w:rPr>
          <w:b/>
          <w:sz w:val="18"/>
        </w:rPr>
      </w:pPr>
      <w:r>
        <w:rPr>
          <w:b/>
          <w:sz w:val="18"/>
        </w:rPr>
        <w:t>Своевременность перевода заключений</w:t>
      </w:r>
    </w:p>
    <w:p w:rsidR="00F053BA" w:rsidRPr="004005D3" w:rsidRDefault="00F053BA" w:rsidP="00F053BA">
      <w:pPr>
        <w:pStyle w:val="BodyText2"/>
        <w:keepNext/>
        <w:keepLines/>
        <w:spacing w:after="0" w:line="240" w:lineRule="auto"/>
        <w:ind w:left="142"/>
        <w:jc w:val="both"/>
      </w:pPr>
      <w:r>
        <w:rPr>
          <w:noProof/>
        </w:rPr>
        <w:drawing>
          <wp:inline distT="0" distB="0" distL="0" distR="0" wp14:anchorId="12443AAF" wp14:editId="5E8C0B09">
            <wp:extent cx="5940425" cy="2634085"/>
            <wp:effectExtent l="0" t="0" r="3175"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40425" cy="2634085"/>
                    </a:xfrm>
                    <a:prstGeom prst="rect">
                      <a:avLst/>
                    </a:prstGeom>
                    <a:noFill/>
                    <a:ln>
                      <a:noFill/>
                    </a:ln>
                  </pic:spPr>
                </pic:pic>
              </a:graphicData>
            </a:graphic>
          </wp:inline>
        </w:drawing>
      </w:r>
    </w:p>
    <w:p w:rsidR="00F053BA" w:rsidRDefault="00F053BA" w:rsidP="00F053BA">
      <w:pPr>
        <w:rPr>
          <w:i/>
        </w:rPr>
      </w:pPr>
    </w:p>
    <w:p w:rsidR="00F053BA" w:rsidRPr="009915C4" w:rsidRDefault="00F053BA" w:rsidP="00F053BA">
      <w:pPr>
        <w:rPr>
          <w:i/>
        </w:rPr>
      </w:pPr>
      <w:r>
        <w:rPr>
          <w:i/>
        </w:rPr>
        <w:t>Качество разработки программного обеспечения</w:t>
      </w:r>
    </w:p>
    <w:p w:rsidR="00F053BA" w:rsidRPr="00EE0539" w:rsidRDefault="00F053BA" w:rsidP="00F053BA">
      <w:pPr>
        <w:jc w:val="both"/>
        <w:rPr>
          <w:b/>
        </w:rPr>
      </w:pPr>
    </w:p>
    <w:p w:rsidR="00F053BA" w:rsidRPr="00F053BA" w:rsidRDefault="00F053BA" w:rsidP="00F053BA">
      <w:pPr>
        <w:numPr>
          <w:ilvl w:val="0"/>
          <w:numId w:val="55"/>
        </w:numPr>
        <w:jc w:val="both"/>
        <w:rPr>
          <w:lang w:val="ru-RU"/>
        </w:rPr>
      </w:pPr>
      <w:r w:rsidRPr="00F053BA">
        <w:rPr>
          <w:lang w:val="ru-RU"/>
        </w:rPr>
        <w:t xml:space="preserve">Показатель качества разработки программного обеспечения (КРПО) служит мерилом качества основных новых выпусков программного обеспечения для проектов </w:t>
      </w:r>
      <w:r>
        <w:t>eDossier</w:t>
      </w:r>
      <w:r w:rsidRPr="00F053BA">
        <w:rPr>
          <w:lang w:val="ru-RU"/>
        </w:rPr>
        <w:t xml:space="preserve"> и </w:t>
      </w:r>
      <w:r>
        <w:t>ePCT</w:t>
      </w:r>
      <w:r w:rsidRPr="00F053BA">
        <w:rPr>
          <w:lang w:val="ru-RU"/>
        </w:rPr>
        <w:t xml:space="preserve">.  КРПО отражает долю затрат времени на обеспечение новых функциональных возможностей в рамках новых выпусков программного обеспечения (т.е. затрат времени на разработку) относительно общих затрат времени (т.е. затрат времени на разработку плюс доработку). Доработка – это затраты времени на исправление ошибок, допущенных при разработке и выявленных в условиях реальной работы.  </w:t>
      </w:r>
    </w:p>
    <w:p w:rsidR="00F053BA" w:rsidRPr="00F053BA" w:rsidRDefault="00F053BA" w:rsidP="00F053BA">
      <w:pPr>
        <w:jc w:val="both"/>
        <w:rPr>
          <w:lang w:val="ru-RU"/>
        </w:rPr>
      </w:pPr>
    </w:p>
    <w:p w:rsidR="00F053BA" w:rsidRPr="00F053BA" w:rsidRDefault="00F053BA" w:rsidP="00F053BA">
      <w:pPr>
        <w:numPr>
          <w:ilvl w:val="0"/>
          <w:numId w:val="55"/>
        </w:numPr>
        <w:jc w:val="both"/>
        <w:rPr>
          <w:lang w:val="ru-RU"/>
        </w:rPr>
      </w:pPr>
      <w:r w:rsidRPr="00F053BA">
        <w:rPr>
          <w:lang w:val="ru-RU"/>
        </w:rPr>
        <w:t xml:space="preserve">Согласно данному методу, программные продукты с небольшим компонентом доработки, считаются высококачественными, и это отражается добавочной стоимостью, воплощенной в новых функциональных возможностях. </w:t>
      </w:r>
    </w:p>
    <w:p w:rsidR="00F053BA" w:rsidRPr="00F053BA" w:rsidRDefault="00F053BA" w:rsidP="00F053BA">
      <w:pPr>
        <w:jc w:val="both"/>
        <w:rPr>
          <w:lang w:val="ru-RU"/>
        </w:rPr>
      </w:pPr>
    </w:p>
    <w:p w:rsidR="00F053BA" w:rsidRPr="00EE0539" w:rsidRDefault="00F053BA" w:rsidP="00F053BA">
      <w:pPr>
        <w:numPr>
          <w:ilvl w:val="0"/>
          <w:numId w:val="55"/>
        </w:numPr>
        <w:jc w:val="both"/>
      </w:pPr>
      <w:r>
        <w:t>КРПО рассчитывается по формуле:</w:t>
      </w:r>
    </w:p>
    <w:p w:rsidR="00F053BA" w:rsidRDefault="00F053BA" w:rsidP="00F053BA">
      <w:pPr>
        <w:pStyle w:val="BodyText2"/>
        <w:spacing w:after="0" w:line="240" w:lineRule="auto"/>
        <w:jc w:val="both"/>
        <w:rPr>
          <w:rFonts w:cs="Arial"/>
          <w:szCs w:val="20"/>
        </w:rPr>
      </w:pPr>
    </w:p>
    <w:p w:rsidR="00F053BA" w:rsidRDefault="00F053BA" w:rsidP="00F053BA">
      <w:pPr>
        <w:pStyle w:val="BodyText2"/>
        <w:spacing w:after="0" w:line="240" w:lineRule="auto"/>
        <w:jc w:val="center"/>
        <w:rPr>
          <w:rFonts w:cs="Arial"/>
          <w:szCs w:val="20"/>
        </w:rPr>
      </w:pPr>
      <w:r>
        <w:rPr>
          <w:noProof/>
        </w:rPr>
        <w:drawing>
          <wp:inline distT="0" distB="0" distL="0" distR="0" wp14:anchorId="3D9052B4" wp14:editId="64C19596">
            <wp:extent cx="3267075" cy="35242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267075" cy="352425"/>
                    </a:xfrm>
                    <a:prstGeom prst="rect">
                      <a:avLst/>
                    </a:prstGeom>
                    <a:noFill/>
                    <a:ln>
                      <a:noFill/>
                    </a:ln>
                  </pic:spPr>
                </pic:pic>
              </a:graphicData>
            </a:graphic>
          </wp:inline>
        </w:drawing>
      </w:r>
    </w:p>
    <w:p w:rsidR="00F053BA" w:rsidRPr="00EE0539" w:rsidRDefault="00F053BA" w:rsidP="00F053BA">
      <w:pPr>
        <w:pStyle w:val="BodyText2"/>
        <w:spacing w:after="0" w:line="240" w:lineRule="auto"/>
        <w:jc w:val="both"/>
        <w:rPr>
          <w:rFonts w:cs="Arial"/>
          <w:szCs w:val="20"/>
        </w:rPr>
      </w:pPr>
    </w:p>
    <w:p w:rsidR="00F053BA" w:rsidRPr="00F053BA" w:rsidRDefault="00F053BA" w:rsidP="00F053BA">
      <w:pPr>
        <w:numPr>
          <w:ilvl w:val="0"/>
          <w:numId w:val="55"/>
        </w:numPr>
        <w:jc w:val="both"/>
        <w:rPr>
          <w:lang w:val="ru-RU"/>
        </w:rPr>
      </w:pPr>
      <w:r w:rsidRPr="00F053BA">
        <w:rPr>
          <w:lang w:val="ru-RU"/>
        </w:rPr>
        <w:t>В 2014 г. коэффициент качества основных новых версий ПО, измеряемый как КРПО, составил 94,5</w:t>
      </w:r>
      <w:r>
        <w:t> </w:t>
      </w:r>
      <w:r w:rsidRPr="00F053BA">
        <w:rPr>
          <w:lang w:val="ru-RU"/>
        </w:rPr>
        <w:t>процента, то есть примерно на пять процентных пунктов выше, чем в 2013</w:t>
      </w:r>
      <w:r>
        <w:t> </w:t>
      </w:r>
      <w:r w:rsidRPr="00F053BA">
        <w:rPr>
          <w:lang w:val="ru-RU"/>
        </w:rPr>
        <w:t>г.  В 2015</w:t>
      </w:r>
      <w:r>
        <w:t> </w:t>
      </w:r>
      <w:r w:rsidRPr="00F053BA">
        <w:rPr>
          <w:lang w:val="ru-RU"/>
        </w:rPr>
        <w:t>г. было отмечено небольшое снижение до 91,9</w:t>
      </w:r>
      <w:r>
        <w:t> </w:t>
      </w:r>
      <w:r w:rsidRPr="00F053BA">
        <w:rPr>
          <w:lang w:val="ru-RU"/>
        </w:rPr>
        <w:t>процента по сравнению с 2014</w:t>
      </w:r>
      <w:r>
        <w:t> </w:t>
      </w:r>
      <w:r w:rsidRPr="00F053BA">
        <w:rPr>
          <w:lang w:val="ru-RU"/>
        </w:rPr>
        <w:t xml:space="preserve">г.  Тем не менее целевые показатели производительности были достигнуты в </w:t>
      </w:r>
      <w:r w:rsidR="00B82873">
        <w:rPr>
          <w:lang w:val="ru-RU"/>
        </w:rPr>
        <w:t>обоих годах</w:t>
      </w:r>
      <w:r w:rsidRPr="00F053BA">
        <w:rPr>
          <w:lang w:val="ru-RU"/>
        </w:rPr>
        <w:t>, так как в обоих случаях результаты превышали исходный базовый показатель, составлявший в 89,4</w:t>
      </w:r>
      <w:r>
        <w:t> </w:t>
      </w:r>
      <w:r w:rsidRPr="00F053BA">
        <w:rPr>
          <w:lang w:val="ru-RU"/>
        </w:rPr>
        <w:t>процента.</w:t>
      </w:r>
    </w:p>
    <w:p w:rsidR="00F053BA" w:rsidRPr="00F053BA" w:rsidRDefault="00F053BA" w:rsidP="00F053BA">
      <w:pPr>
        <w:rPr>
          <w:lang w:val="ru-RU"/>
        </w:rPr>
      </w:pPr>
    </w:p>
    <w:p w:rsidR="00F053BA" w:rsidRPr="00F053BA" w:rsidRDefault="00F053BA" w:rsidP="00F053BA">
      <w:pPr>
        <w:jc w:val="center"/>
        <w:rPr>
          <w:b/>
          <w:lang w:val="ru-RU"/>
        </w:rPr>
      </w:pPr>
    </w:p>
    <w:p w:rsidR="00F053BA" w:rsidRPr="000D2666" w:rsidRDefault="00F053BA" w:rsidP="00F053BA">
      <w:pPr>
        <w:keepNext/>
        <w:keepLines/>
        <w:jc w:val="center"/>
        <w:rPr>
          <w:b/>
          <w:sz w:val="18"/>
        </w:rPr>
      </w:pPr>
      <w:r>
        <w:rPr>
          <w:b/>
          <w:sz w:val="18"/>
        </w:rPr>
        <w:t>Качество разработки программного обеспечения</w:t>
      </w:r>
    </w:p>
    <w:p w:rsidR="00F053BA" w:rsidRDefault="00F053BA" w:rsidP="00F053BA">
      <w:pPr>
        <w:keepNext/>
        <w:keepLines/>
        <w:jc w:val="center"/>
      </w:pPr>
      <w:r>
        <w:rPr>
          <w:noProof/>
        </w:rPr>
        <w:drawing>
          <wp:inline distT="0" distB="0" distL="0" distR="0" wp14:anchorId="71947F4B" wp14:editId="68E45E59">
            <wp:extent cx="5860415" cy="3634105"/>
            <wp:effectExtent l="0" t="0" r="6985" b="4445"/>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60415" cy="3634105"/>
                    </a:xfrm>
                    <a:prstGeom prst="rect">
                      <a:avLst/>
                    </a:prstGeom>
                    <a:noFill/>
                    <a:ln>
                      <a:noFill/>
                    </a:ln>
                  </pic:spPr>
                </pic:pic>
              </a:graphicData>
            </a:graphic>
          </wp:inline>
        </w:drawing>
      </w:r>
    </w:p>
    <w:p w:rsidR="00F053BA" w:rsidRDefault="00F053BA" w:rsidP="00F053BA">
      <w:pPr>
        <w:rPr>
          <w:i/>
        </w:rPr>
      </w:pPr>
    </w:p>
    <w:p w:rsidR="00F053BA" w:rsidRPr="004853B3" w:rsidRDefault="00F053BA" w:rsidP="00F053BA">
      <w:pPr>
        <w:rPr>
          <w:i/>
        </w:rPr>
      </w:pPr>
      <w:r>
        <w:rPr>
          <w:i/>
        </w:rPr>
        <w:t>Уровень обслуживания информационных систем</w:t>
      </w:r>
    </w:p>
    <w:p w:rsidR="00F053BA" w:rsidRDefault="00F053BA" w:rsidP="00F053BA">
      <w:pPr>
        <w:pStyle w:val="BodyText2"/>
        <w:spacing w:after="0" w:line="240" w:lineRule="auto"/>
        <w:jc w:val="both"/>
        <w:rPr>
          <w:rFonts w:cs="Arial"/>
        </w:rPr>
      </w:pPr>
    </w:p>
    <w:p w:rsidR="00F053BA" w:rsidRPr="00F053BA" w:rsidRDefault="00F053BA" w:rsidP="00F053BA">
      <w:pPr>
        <w:numPr>
          <w:ilvl w:val="0"/>
          <w:numId w:val="55"/>
        </w:numPr>
        <w:rPr>
          <w:color w:val="000000"/>
          <w:lang w:val="ru-RU"/>
        </w:rPr>
      </w:pPr>
      <w:r w:rsidRPr="00F053BA">
        <w:rPr>
          <w:lang w:val="ru-RU"/>
        </w:rPr>
        <w:t xml:space="preserve">Показатель результативности «Уровни обслуживания информационных систем» (УОИС) отражает эффективность работы службы информационных систем </w:t>
      </w:r>
      <w:r>
        <w:t>PCT</w:t>
      </w:r>
      <w:r w:rsidRPr="00F053BA">
        <w:rPr>
          <w:lang w:val="ru-RU"/>
        </w:rPr>
        <w:t xml:space="preserve"> по обслуживанию пользователей, которая выражается в достижении согласованных целевых показателей.</w:t>
      </w:r>
    </w:p>
    <w:p w:rsidR="00F053BA" w:rsidRPr="00F053BA" w:rsidRDefault="00F053BA" w:rsidP="00F053BA">
      <w:pPr>
        <w:pStyle w:val="BodyText2"/>
        <w:spacing w:after="0" w:line="240" w:lineRule="auto"/>
        <w:jc w:val="both"/>
        <w:rPr>
          <w:rFonts w:cs="Arial"/>
          <w:szCs w:val="20"/>
          <w:lang w:val="ru-RU"/>
        </w:rPr>
      </w:pPr>
    </w:p>
    <w:p w:rsidR="00F053BA" w:rsidRPr="00EE0539" w:rsidRDefault="00F053BA" w:rsidP="00F053BA">
      <w:pPr>
        <w:numPr>
          <w:ilvl w:val="0"/>
          <w:numId w:val="55"/>
        </w:numPr>
        <w:rPr>
          <w:color w:val="000000"/>
        </w:rPr>
      </w:pPr>
      <w:r w:rsidRPr="00F053BA">
        <w:rPr>
          <w:lang w:val="ru-RU"/>
        </w:rPr>
        <w:t>Данный сводный показатель рассчитывается с использованием средневзвешенного значения пяти показателей результативности, основанных на целевых показателях</w:t>
      </w:r>
      <w:r>
        <w:rPr>
          <w:rStyle w:val="FootnoteReference"/>
        </w:rPr>
        <w:footnoteReference w:id="21"/>
      </w:r>
      <w:r w:rsidRPr="00F053BA">
        <w:rPr>
          <w:lang w:val="ru-RU"/>
        </w:rPr>
        <w:t>.</w:t>
      </w:r>
      <w:r w:rsidRPr="00F053BA">
        <w:rPr>
          <w:color w:val="000000"/>
          <w:lang w:val="ru-RU"/>
        </w:rPr>
        <w:t xml:space="preserve">  </w:t>
      </w:r>
      <w:r>
        <w:rPr>
          <w:color w:val="000000"/>
        </w:rPr>
        <w:t xml:space="preserve">Каждый показатель выражается фактически достигнутой процентной долей целевого показателя.  </w:t>
      </w:r>
    </w:p>
    <w:p w:rsidR="00F053BA" w:rsidRPr="00EE0539" w:rsidRDefault="00F053BA" w:rsidP="00F053BA">
      <w:pPr>
        <w:autoSpaceDE w:val="0"/>
        <w:autoSpaceDN w:val="0"/>
        <w:adjustRightInd w:val="0"/>
        <w:jc w:val="both"/>
        <w:rPr>
          <w:color w:val="000000"/>
        </w:rPr>
      </w:pPr>
      <w:r>
        <w:rPr>
          <w:color w:val="000000"/>
        </w:rPr>
        <w:t xml:space="preserve"> </w:t>
      </w:r>
    </w:p>
    <w:p w:rsidR="00F053BA" w:rsidRPr="00F053BA" w:rsidRDefault="00F053BA" w:rsidP="00F053BA">
      <w:pPr>
        <w:numPr>
          <w:ilvl w:val="0"/>
          <w:numId w:val="55"/>
        </w:numPr>
        <w:rPr>
          <w:lang w:val="ru-RU"/>
        </w:rPr>
      </w:pPr>
      <w:r w:rsidRPr="00F053BA">
        <w:rPr>
          <w:lang w:val="ru-RU"/>
        </w:rPr>
        <w:t>В 2014 г. общий уровень обслуживания составил 95,1</w:t>
      </w:r>
      <w:r>
        <w:t> </w:t>
      </w:r>
      <w:r w:rsidRPr="00F053BA">
        <w:rPr>
          <w:lang w:val="ru-RU"/>
        </w:rPr>
        <w:t>процента от целевого уровня результативности. В 2015</w:t>
      </w:r>
      <w:r>
        <w:t> </w:t>
      </w:r>
      <w:r w:rsidRPr="00F053BA">
        <w:rPr>
          <w:lang w:val="ru-RU"/>
        </w:rPr>
        <w:t>г. отмечалось небольшое улучшение, и общий уровень обслуживания достиг 96,5</w:t>
      </w:r>
      <w:r>
        <w:t> </w:t>
      </w:r>
      <w:r w:rsidRPr="00F053BA">
        <w:rPr>
          <w:lang w:val="ru-RU"/>
        </w:rPr>
        <w:t>процента, благодаря чему поставленная на двухлетний период цель (превышение исходного базового показателя 2013</w:t>
      </w:r>
      <w:r>
        <w:t> </w:t>
      </w:r>
      <w:r w:rsidRPr="00F053BA">
        <w:rPr>
          <w:lang w:val="ru-RU"/>
        </w:rPr>
        <w:t>г., который составлял 93,0</w:t>
      </w:r>
      <w:r>
        <w:t> </w:t>
      </w:r>
      <w:r w:rsidRPr="00F053BA">
        <w:rPr>
          <w:lang w:val="ru-RU"/>
        </w:rPr>
        <w:t xml:space="preserve">процента) была достигнута </w:t>
      </w:r>
      <w:r w:rsidR="00B82873">
        <w:rPr>
          <w:lang w:val="ru-RU"/>
        </w:rPr>
        <w:t>в обоих годах</w:t>
      </w:r>
      <w:r w:rsidRPr="00F053BA">
        <w:rPr>
          <w:lang w:val="ru-RU"/>
        </w:rPr>
        <w:t xml:space="preserve">. </w:t>
      </w:r>
    </w:p>
    <w:p w:rsidR="00F053BA" w:rsidRPr="00F053BA" w:rsidRDefault="00F053BA" w:rsidP="00F053BA">
      <w:pPr>
        <w:autoSpaceDE w:val="0"/>
        <w:autoSpaceDN w:val="0"/>
        <w:adjustRightInd w:val="0"/>
        <w:jc w:val="both"/>
        <w:rPr>
          <w:lang w:val="ru-RU"/>
        </w:rPr>
      </w:pPr>
    </w:p>
    <w:p w:rsidR="00F053BA" w:rsidRPr="00F053BA" w:rsidRDefault="00F053BA" w:rsidP="00F053BA">
      <w:pPr>
        <w:jc w:val="center"/>
        <w:rPr>
          <w:b/>
          <w:lang w:val="ru-RU"/>
        </w:rPr>
      </w:pPr>
    </w:p>
    <w:p w:rsidR="00F053BA" w:rsidRPr="000E0146" w:rsidRDefault="00F053BA" w:rsidP="00F053BA">
      <w:pPr>
        <w:keepNext/>
        <w:keepLines/>
        <w:jc w:val="center"/>
        <w:rPr>
          <w:b/>
        </w:rPr>
      </w:pPr>
      <w:r>
        <w:rPr>
          <w:b/>
        </w:rPr>
        <w:t>Уровни обслуживания информационных систем</w:t>
      </w:r>
    </w:p>
    <w:p w:rsidR="00F053BA" w:rsidRDefault="00F053BA" w:rsidP="00F053BA">
      <w:pPr>
        <w:keepNext/>
        <w:keepLines/>
        <w:rPr>
          <w:b/>
          <w:szCs w:val="16"/>
          <w:highlight w:val="yellow"/>
        </w:rPr>
      </w:pPr>
    </w:p>
    <w:tbl>
      <w:tblPr>
        <w:tblW w:w="9080" w:type="dxa"/>
        <w:tblInd w:w="103" w:type="dxa"/>
        <w:tblLook w:val="04A0" w:firstRow="1" w:lastRow="0" w:firstColumn="1" w:lastColumn="0" w:noHBand="0" w:noVBand="1"/>
      </w:tblPr>
      <w:tblGrid>
        <w:gridCol w:w="560"/>
        <w:gridCol w:w="2760"/>
        <w:gridCol w:w="1707"/>
        <w:gridCol w:w="1805"/>
        <w:gridCol w:w="760"/>
        <w:gridCol w:w="781"/>
        <w:gridCol w:w="760"/>
      </w:tblGrid>
      <w:tr w:rsidR="00F053BA" w:rsidRPr="00174057" w:rsidTr="00F053BA">
        <w:trPr>
          <w:trHeight w:val="255"/>
        </w:trPr>
        <w:tc>
          <w:tcPr>
            <w:tcW w:w="400" w:type="dxa"/>
            <w:vMerge w:val="restart"/>
            <w:tcBorders>
              <w:top w:val="single" w:sz="4" w:space="0" w:color="auto"/>
              <w:left w:val="single" w:sz="4" w:space="0" w:color="auto"/>
              <w:bottom w:val="nil"/>
              <w:right w:val="nil"/>
            </w:tcBorders>
            <w:shd w:val="clear" w:color="000000" w:fill="FABF8F"/>
            <w:vAlign w:val="center"/>
            <w:hideMark/>
          </w:tcPr>
          <w:p w:rsidR="00F053BA" w:rsidRPr="00592020" w:rsidRDefault="00F053BA" w:rsidP="00F053BA">
            <w:pPr>
              <w:keepNext/>
              <w:keepLines/>
              <w:jc w:val="center"/>
              <w:rPr>
                <w:rFonts w:cs="Arial"/>
                <w:b/>
                <w:bCs/>
                <w:color w:val="000000"/>
                <w:sz w:val="18"/>
                <w:szCs w:val="20"/>
              </w:rPr>
            </w:pPr>
            <w:r>
              <w:rPr>
                <w:b/>
                <w:color w:val="000000"/>
                <w:sz w:val="18"/>
              </w:rPr>
              <w:t>Там же</w:t>
            </w:r>
          </w:p>
        </w:tc>
        <w:tc>
          <w:tcPr>
            <w:tcW w:w="2920" w:type="dxa"/>
            <w:tcBorders>
              <w:top w:val="single" w:sz="4" w:space="0" w:color="auto"/>
              <w:left w:val="single" w:sz="4" w:space="0" w:color="auto"/>
              <w:bottom w:val="nil"/>
              <w:right w:val="single" w:sz="4" w:space="0" w:color="auto"/>
            </w:tcBorders>
            <w:shd w:val="clear" w:color="000000" w:fill="FABF8F"/>
            <w:vAlign w:val="center"/>
            <w:hideMark/>
          </w:tcPr>
          <w:p w:rsidR="00F053BA" w:rsidRPr="00592020" w:rsidRDefault="00F053BA" w:rsidP="00F053BA">
            <w:pPr>
              <w:keepNext/>
              <w:keepLines/>
              <w:jc w:val="center"/>
              <w:rPr>
                <w:rFonts w:cs="Arial"/>
                <w:b/>
                <w:bCs/>
                <w:color w:val="000000"/>
                <w:sz w:val="18"/>
                <w:szCs w:val="20"/>
              </w:rPr>
            </w:pPr>
            <w:r>
              <w:rPr>
                <w:b/>
                <w:color w:val="000000"/>
                <w:sz w:val="18"/>
              </w:rPr>
              <w:t xml:space="preserve">Показатель результативности </w:t>
            </w:r>
          </w:p>
        </w:tc>
        <w:tc>
          <w:tcPr>
            <w:tcW w:w="1707" w:type="dxa"/>
            <w:vMerge w:val="restart"/>
            <w:tcBorders>
              <w:top w:val="single" w:sz="4" w:space="0" w:color="auto"/>
              <w:left w:val="single" w:sz="4" w:space="0" w:color="auto"/>
              <w:bottom w:val="single" w:sz="4" w:space="0" w:color="000000"/>
              <w:right w:val="single" w:sz="4" w:space="0" w:color="auto"/>
            </w:tcBorders>
            <w:shd w:val="clear" w:color="000000" w:fill="FABF8F"/>
            <w:vAlign w:val="center"/>
            <w:hideMark/>
          </w:tcPr>
          <w:p w:rsidR="00F053BA" w:rsidRPr="00592020" w:rsidRDefault="00F053BA" w:rsidP="00F053BA">
            <w:pPr>
              <w:keepNext/>
              <w:keepLines/>
              <w:jc w:val="center"/>
              <w:rPr>
                <w:rFonts w:cs="Arial"/>
                <w:b/>
                <w:bCs/>
                <w:color w:val="000000"/>
                <w:sz w:val="18"/>
                <w:szCs w:val="20"/>
              </w:rPr>
            </w:pPr>
            <w:r>
              <w:rPr>
                <w:b/>
                <w:color w:val="000000"/>
                <w:sz w:val="18"/>
              </w:rPr>
              <w:t>Целевой показатель</w:t>
            </w:r>
          </w:p>
        </w:tc>
        <w:tc>
          <w:tcPr>
            <w:tcW w:w="1773" w:type="dxa"/>
            <w:vMerge w:val="restart"/>
            <w:tcBorders>
              <w:top w:val="single" w:sz="4" w:space="0" w:color="auto"/>
              <w:left w:val="single" w:sz="4" w:space="0" w:color="auto"/>
              <w:bottom w:val="single" w:sz="4" w:space="0" w:color="000000"/>
              <w:right w:val="single" w:sz="4" w:space="0" w:color="auto"/>
            </w:tcBorders>
            <w:shd w:val="clear" w:color="000000" w:fill="FABF8F"/>
            <w:vAlign w:val="center"/>
            <w:hideMark/>
          </w:tcPr>
          <w:p w:rsidR="00F053BA" w:rsidRPr="00592020" w:rsidRDefault="00F053BA" w:rsidP="00F053BA">
            <w:pPr>
              <w:keepNext/>
              <w:keepLines/>
              <w:jc w:val="center"/>
              <w:rPr>
                <w:rFonts w:cs="Arial"/>
                <w:b/>
                <w:bCs/>
                <w:color w:val="000000"/>
                <w:sz w:val="18"/>
                <w:szCs w:val="20"/>
              </w:rPr>
            </w:pPr>
            <w:r>
              <w:rPr>
                <w:b/>
                <w:color w:val="000000"/>
                <w:sz w:val="18"/>
              </w:rPr>
              <w:t>Условия</w:t>
            </w:r>
          </w:p>
        </w:tc>
        <w:tc>
          <w:tcPr>
            <w:tcW w:w="2280" w:type="dxa"/>
            <w:gridSpan w:val="3"/>
            <w:tcBorders>
              <w:top w:val="single" w:sz="4" w:space="0" w:color="auto"/>
              <w:left w:val="nil"/>
              <w:bottom w:val="single" w:sz="4" w:space="0" w:color="auto"/>
              <w:right w:val="single" w:sz="4" w:space="0" w:color="000000"/>
            </w:tcBorders>
            <w:shd w:val="clear" w:color="000000" w:fill="FABF8F"/>
            <w:vAlign w:val="center"/>
            <w:hideMark/>
          </w:tcPr>
          <w:p w:rsidR="00F053BA" w:rsidRPr="00592020" w:rsidRDefault="00F053BA" w:rsidP="00F053BA">
            <w:pPr>
              <w:keepNext/>
              <w:keepLines/>
              <w:jc w:val="center"/>
              <w:rPr>
                <w:rFonts w:cs="Arial"/>
                <w:b/>
                <w:bCs/>
                <w:sz w:val="18"/>
                <w:szCs w:val="20"/>
              </w:rPr>
            </w:pPr>
            <w:r>
              <w:rPr>
                <w:b/>
                <w:sz w:val="18"/>
              </w:rPr>
              <w:t>Результаты</w:t>
            </w:r>
          </w:p>
        </w:tc>
      </w:tr>
      <w:tr w:rsidR="00F053BA" w:rsidRPr="00174057" w:rsidTr="00F053BA">
        <w:trPr>
          <w:trHeight w:val="255"/>
        </w:trPr>
        <w:tc>
          <w:tcPr>
            <w:tcW w:w="400" w:type="dxa"/>
            <w:vMerge/>
            <w:tcBorders>
              <w:top w:val="single" w:sz="4" w:space="0" w:color="auto"/>
              <w:left w:val="single" w:sz="4" w:space="0" w:color="auto"/>
              <w:bottom w:val="nil"/>
              <w:right w:val="nil"/>
            </w:tcBorders>
            <w:vAlign w:val="center"/>
            <w:hideMark/>
          </w:tcPr>
          <w:p w:rsidR="00F053BA" w:rsidRPr="00592020" w:rsidRDefault="00F053BA" w:rsidP="00F053BA">
            <w:pPr>
              <w:keepNext/>
              <w:keepLines/>
              <w:rPr>
                <w:rFonts w:cs="Arial"/>
                <w:b/>
                <w:bCs/>
                <w:color w:val="000000"/>
                <w:sz w:val="18"/>
                <w:szCs w:val="20"/>
              </w:rPr>
            </w:pPr>
          </w:p>
        </w:tc>
        <w:tc>
          <w:tcPr>
            <w:tcW w:w="2920" w:type="dxa"/>
            <w:tcBorders>
              <w:top w:val="nil"/>
              <w:left w:val="single" w:sz="4" w:space="0" w:color="auto"/>
              <w:bottom w:val="single" w:sz="4" w:space="0" w:color="auto"/>
              <w:right w:val="single" w:sz="4" w:space="0" w:color="auto"/>
            </w:tcBorders>
            <w:shd w:val="clear" w:color="000000" w:fill="FABF8F"/>
            <w:vAlign w:val="center"/>
            <w:hideMark/>
          </w:tcPr>
          <w:p w:rsidR="00F053BA" w:rsidRPr="00592020" w:rsidRDefault="00F053BA" w:rsidP="00F053BA">
            <w:pPr>
              <w:keepNext/>
              <w:keepLines/>
              <w:jc w:val="center"/>
              <w:rPr>
                <w:rFonts w:cs="Arial"/>
                <w:b/>
                <w:bCs/>
                <w:i/>
                <w:iCs/>
                <w:color w:val="000000"/>
                <w:sz w:val="18"/>
                <w:szCs w:val="20"/>
              </w:rPr>
            </w:pPr>
            <w:r>
              <w:rPr>
                <w:b/>
                <w:i/>
                <w:color w:val="000000"/>
                <w:sz w:val="18"/>
              </w:rPr>
              <w:t>Краткое описание</w:t>
            </w:r>
          </w:p>
        </w:tc>
        <w:tc>
          <w:tcPr>
            <w:tcW w:w="1707" w:type="dxa"/>
            <w:vMerge/>
            <w:tcBorders>
              <w:top w:val="single" w:sz="4" w:space="0" w:color="auto"/>
              <w:left w:val="single" w:sz="4" w:space="0" w:color="auto"/>
              <w:bottom w:val="single" w:sz="4" w:space="0" w:color="000000"/>
              <w:right w:val="single" w:sz="4" w:space="0" w:color="auto"/>
            </w:tcBorders>
            <w:vAlign w:val="center"/>
            <w:hideMark/>
          </w:tcPr>
          <w:p w:rsidR="00F053BA" w:rsidRPr="00592020" w:rsidRDefault="00F053BA" w:rsidP="00F053BA">
            <w:pPr>
              <w:keepNext/>
              <w:keepLines/>
              <w:rPr>
                <w:rFonts w:cs="Arial"/>
                <w:b/>
                <w:bCs/>
                <w:color w:val="000000"/>
                <w:sz w:val="18"/>
                <w:szCs w:val="20"/>
              </w:rPr>
            </w:pPr>
          </w:p>
        </w:tc>
        <w:tc>
          <w:tcPr>
            <w:tcW w:w="1773" w:type="dxa"/>
            <w:vMerge/>
            <w:tcBorders>
              <w:top w:val="single" w:sz="4" w:space="0" w:color="auto"/>
              <w:left w:val="single" w:sz="4" w:space="0" w:color="auto"/>
              <w:bottom w:val="single" w:sz="4" w:space="0" w:color="000000"/>
              <w:right w:val="single" w:sz="4" w:space="0" w:color="auto"/>
            </w:tcBorders>
            <w:vAlign w:val="center"/>
            <w:hideMark/>
          </w:tcPr>
          <w:p w:rsidR="00F053BA" w:rsidRPr="00592020" w:rsidRDefault="00F053BA" w:rsidP="00F053BA">
            <w:pPr>
              <w:keepNext/>
              <w:keepLines/>
              <w:rPr>
                <w:rFonts w:cs="Arial"/>
                <w:b/>
                <w:bCs/>
                <w:color w:val="000000"/>
                <w:sz w:val="18"/>
                <w:szCs w:val="20"/>
              </w:rPr>
            </w:pPr>
          </w:p>
        </w:tc>
        <w:tc>
          <w:tcPr>
            <w:tcW w:w="760" w:type="dxa"/>
            <w:tcBorders>
              <w:top w:val="nil"/>
              <w:left w:val="nil"/>
              <w:bottom w:val="nil"/>
              <w:right w:val="nil"/>
            </w:tcBorders>
            <w:shd w:val="clear" w:color="000000" w:fill="FABF8F"/>
            <w:vAlign w:val="center"/>
            <w:hideMark/>
          </w:tcPr>
          <w:p w:rsidR="00F053BA" w:rsidRPr="00592020" w:rsidRDefault="00F053BA" w:rsidP="00F053BA">
            <w:pPr>
              <w:keepNext/>
              <w:keepLines/>
              <w:jc w:val="center"/>
              <w:rPr>
                <w:rFonts w:cs="Arial"/>
                <w:b/>
                <w:bCs/>
                <w:sz w:val="18"/>
                <w:szCs w:val="20"/>
              </w:rPr>
            </w:pPr>
            <w:r>
              <w:rPr>
                <w:b/>
                <w:sz w:val="18"/>
              </w:rPr>
              <w:t>2013</w:t>
            </w:r>
          </w:p>
        </w:tc>
        <w:tc>
          <w:tcPr>
            <w:tcW w:w="760" w:type="dxa"/>
            <w:tcBorders>
              <w:top w:val="nil"/>
              <w:left w:val="single" w:sz="4" w:space="0" w:color="auto"/>
              <w:bottom w:val="single" w:sz="4" w:space="0" w:color="auto"/>
              <w:right w:val="single" w:sz="4" w:space="0" w:color="auto"/>
            </w:tcBorders>
            <w:shd w:val="clear" w:color="000000" w:fill="FABF8F"/>
            <w:vAlign w:val="center"/>
            <w:hideMark/>
          </w:tcPr>
          <w:p w:rsidR="00F053BA" w:rsidRPr="00592020" w:rsidRDefault="00F053BA" w:rsidP="00F053BA">
            <w:pPr>
              <w:keepNext/>
              <w:keepLines/>
              <w:jc w:val="center"/>
              <w:rPr>
                <w:rFonts w:cs="Arial"/>
                <w:b/>
                <w:bCs/>
                <w:sz w:val="18"/>
                <w:szCs w:val="20"/>
              </w:rPr>
            </w:pPr>
            <w:r>
              <w:rPr>
                <w:b/>
                <w:sz w:val="18"/>
              </w:rPr>
              <w:t>2014</w:t>
            </w:r>
          </w:p>
        </w:tc>
        <w:tc>
          <w:tcPr>
            <w:tcW w:w="760" w:type="dxa"/>
            <w:tcBorders>
              <w:top w:val="nil"/>
              <w:left w:val="nil"/>
              <w:bottom w:val="nil"/>
              <w:right w:val="single" w:sz="4" w:space="0" w:color="auto"/>
            </w:tcBorders>
            <w:shd w:val="clear" w:color="000000" w:fill="FABF8F"/>
            <w:vAlign w:val="center"/>
            <w:hideMark/>
          </w:tcPr>
          <w:p w:rsidR="00F053BA" w:rsidRPr="00174057" w:rsidRDefault="00F053BA" w:rsidP="00F053BA">
            <w:pPr>
              <w:keepNext/>
              <w:keepLines/>
              <w:jc w:val="center"/>
              <w:rPr>
                <w:rFonts w:cs="Arial"/>
                <w:b/>
                <w:bCs/>
                <w:szCs w:val="20"/>
              </w:rPr>
            </w:pPr>
            <w:r>
              <w:rPr>
                <w:b/>
              </w:rPr>
              <w:t>2015</w:t>
            </w:r>
          </w:p>
        </w:tc>
      </w:tr>
      <w:tr w:rsidR="00F053BA" w:rsidRPr="00174057" w:rsidTr="00F053BA">
        <w:trPr>
          <w:trHeight w:val="255"/>
        </w:trPr>
        <w:tc>
          <w:tcPr>
            <w:tcW w:w="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1</w:t>
            </w:r>
          </w:p>
        </w:tc>
        <w:tc>
          <w:tcPr>
            <w:tcW w:w="2920" w:type="dxa"/>
            <w:tcBorders>
              <w:top w:val="nil"/>
              <w:left w:val="nil"/>
              <w:bottom w:val="nil"/>
              <w:right w:val="single" w:sz="4" w:space="0" w:color="auto"/>
            </w:tcBorders>
            <w:shd w:val="clear" w:color="auto" w:fill="auto"/>
            <w:vAlign w:val="center"/>
            <w:hideMark/>
          </w:tcPr>
          <w:p w:rsidR="00F053BA" w:rsidRPr="00174057" w:rsidRDefault="00F053BA" w:rsidP="00F053BA">
            <w:pPr>
              <w:keepNext/>
              <w:keepLines/>
              <w:rPr>
                <w:rFonts w:cs="Arial"/>
                <w:sz w:val="16"/>
                <w:szCs w:val="16"/>
              </w:rPr>
            </w:pPr>
            <w:r>
              <w:rPr>
                <w:sz w:val="16"/>
              </w:rPr>
              <w:t>Сроки устранения неполадок</w:t>
            </w:r>
          </w:p>
        </w:tc>
        <w:tc>
          <w:tcPr>
            <w:tcW w:w="1707" w:type="dxa"/>
            <w:tcBorders>
              <w:top w:val="nil"/>
              <w:left w:val="nil"/>
              <w:bottom w:val="nil"/>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Степень сложности 1:  4 часа</w:t>
            </w:r>
          </w:p>
        </w:tc>
        <w:tc>
          <w:tcPr>
            <w:tcW w:w="1773" w:type="dxa"/>
            <w:vMerge w:val="restart"/>
            <w:tcBorders>
              <w:top w:val="nil"/>
              <w:left w:val="single" w:sz="4" w:space="0" w:color="auto"/>
              <w:bottom w:val="single" w:sz="4" w:space="0" w:color="auto"/>
              <w:right w:val="single" w:sz="4" w:space="0" w:color="auto"/>
            </w:tcBorders>
            <w:shd w:val="clear" w:color="auto" w:fill="auto"/>
            <w:vAlign w:val="center"/>
            <w:hideMark/>
          </w:tcPr>
          <w:p w:rsidR="00F053BA" w:rsidRPr="00F053BA" w:rsidRDefault="00F053BA" w:rsidP="00F053BA">
            <w:pPr>
              <w:keepNext/>
              <w:keepLines/>
              <w:rPr>
                <w:rFonts w:cs="Arial"/>
                <w:color w:val="000000"/>
                <w:sz w:val="16"/>
                <w:szCs w:val="16"/>
                <w:lang w:val="ru-RU"/>
              </w:rPr>
            </w:pPr>
            <w:r w:rsidRPr="00F053BA">
              <w:rPr>
                <w:color w:val="000000"/>
                <w:sz w:val="16"/>
                <w:lang w:val="ru-RU"/>
              </w:rPr>
              <w:t>Работа системы и устранение неполадок обеспечиваются группой обслуживания</w:t>
            </w:r>
          </w:p>
        </w:tc>
        <w:tc>
          <w:tcPr>
            <w:tcW w:w="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85,5%</w:t>
            </w:r>
          </w:p>
        </w:tc>
        <w:tc>
          <w:tcPr>
            <w:tcW w:w="760" w:type="dxa"/>
            <w:vMerge w:val="restart"/>
            <w:tcBorders>
              <w:top w:val="nil"/>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87,6%</w:t>
            </w:r>
            <w:r>
              <w:rPr>
                <w:rStyle w:val="FootnoteReference"/>
                <w:sz w:val="16"/>
              </w:rPr>
              <w:footnoteReference w:id="22"/>
            </w:r>
          </w:p>
        </w:tc>
        <w:tc>
          <w:tcPr>
            <w:tcW w:w="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93,6%</w:t>
            </w:r>
          </w:p>
        </w:tc>
      </w:tr>
      <w:tr w:rsidR="00F053BA" w:rsidRPr="00174057" w:rsidTr="00F053BA">
        <w:trPr>
          <w:trHeight w:val="255"/>
        </w:trPr>
        <w:tc>
          <w:tcPr>
            <w:tcW w:w="40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2920" w:type="dxa"/>
            <w:vMerge w:val="restart"/>
            <w:tcBorders>
              <w:top w:val="nil"/>
              <w:left w:val="single" w:sz="4" w:space="0" w:color="auto"/>
              <w:bottom w:val="nil"/>
              <w:right w:val="single" w:sz="4" w:space="0" w:color="auto"/>
            </w:tcBorders>
            <w:shd w:val="clear" w:color="auto" w:fill="auto"/>
            <w:vAlign w:val="center"/>
            <w:hideMark/>
          </w:tcPr>
          <w:p w:rsidR="00F053BA" w:rsidRPr="00F053BA" w:rsidRDefault="00F053BA" w:rsidP="00F053BA">
            <w:pPr>
              <w:keepNext/>
              <w:keepLines/>
              <w:rPr>
                <w:rFonts w:cs="Arial"/>
                <w:i/>
                <w:iCs/>
                <w:sz w:val="16"/>
                <w:szCs w:val="16"/>
                <w:lang w:val="ru-RU"/>
              </w:rPr>
            </w:pPr>
            <w:r w:rsidRPr="00F053BA">
              <w:rPr>
                <w:i/>
                <w:sz w:val="16"/>
                <w:lang w:val="ru-RU"/>
              </w:rPr>
              <w:t xml:space="preserve">Продолжительность рабочего времени (в интервале с 7:00 до 19:00 в рабочие дни ВОИС) с момента формирования заявки до устранения неполадки. </w:t>
            </w:r>
          </w:p>
        </w:tc>
        <w:tc>
          <w:tcPr>
            <w:tcW w:w="1707" w:type="dxa"/>
            <w:tcBorders>
              <w:top w:val="nil"/>
              <w:left w:val="nil"/>
              <w:bottom w:val="nil"/>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Степень сложности 2:  2 дня</w:t>
            </w:r>
          </w:p>
        </w:tc>
        <w:tc>
          <w:tcPr>
            <w:tcW w:w="1773"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color w:val="000000"/>
                <w:sz w:val="16"/>
                <w:szCs w:val="16"/>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r>
      <w:tr w:rsidR="00F053BA" w:rsidRPr="00174057" w:rsidTr="00F053BA">
        <w:trPr>
          <w:trHeight w:val="255"/>
        </w:trPr>
        <w:tc>
          <w:tcPr>
            <w:tcW w:w="40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2920" w:type="dxa"/>
            <w:vMerge/>
            <w:tcBorders>
              <w:top w:val="nil"/>
              <w:left w:val="single" w:sz="4" w:space="0" w:color="auto"/>
              <w:bottom w:val="nil"/>
              <w:right w:val="single" w:sz="4" w:space="0" w:color="auto"/>
            </w:tcBorders>
            <w:vAlign w:val="center"/>
            <w:hideMark/>
          </w:tcPr>
          <w:p w:rsidR="00F053BA" w:rsidRPr="00174057" w:rsidRDefault="00F053BA" w:rsidP="00F053BA">
            <w:pPr>
              <w:keepNext/>
              <w:keepLines/>
              <w:rPr>
                <w:rFonts w:cs="Arial"/>
                <w:i/>
                <w:iCs/>
                <w:sz w:val="16"/>
                <w:szCs w:val="16"/>
              </w:rPr>
            </w:pPr>
          </w:p>
        </w:tc>
        <w:tc>
          <w:tcPr>
            <w:tcW w:w="1707" w:type="dxa"/>
            <w:tcBorders>
              <w:top w:val="nil"/>
              <w:left w:val="nil"/>
              <w:bottom w:val="nil"/>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Степень сложности 3:  5 дней</w:t>
            </w:r>
          </w:p>
        </w:tc>
        <w:tc>
          <w:tcPr>
            <w:tcW w:w="1773"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color w:val="000000"/>
                <w:sz w:val="16"/>
                <w:szCs w:val="16"/>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r>
      <w:tr w:rsidR="00F053BA" w:rsidRPr="00174057" w:rsidTr="00F053BA">
        <w:trPr>
          <w:trHeight w:val="255"/>
        </w:trPr>
        <w:tc>
          <w:tcPr>
            <w:tcW w:w="40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2920" w:type="dxa"/>
            <w:vMerge/>
            <w:tcBorders>
              <w:top w:val="nil"/>
              <w:left w:val="single" w:sz="4" w:space="0" w:color="auto"/>
              <w:bottom w:val="nil"/>
              <w:right w:val="single" w:sz="4" w:space="0" w:color="auto"/>
            </w:tcBorders>
            <w:vAlign w:val="center"/>
            <w:hideMark/>
          </w:tcPr>
          <w:p w:rsidR="00F053BA" w:rsidRPr="00174057" w:rsidRDefault="00F053BA" w:rsidP="00F053BA">
            <w:pPr>
              <w:keepNext/>
              <w:keepLines/>
              <w:rPr>
                <w:rFonts w:cs="Arial"/>
                <w:i/>
                <w:iCs/>
                <w:sz w:val="16"/>
                <w:szCs w:val="16"/>
              </w:rPr>
            </w:pPr>
          </w:p>
        </w:tc>
        <w:tc>
          <w:tcPr>
            <w:tcW w:w="1707" w:type="dxa"/>
            <w:tcBorders>
              <w:top w:val="nil"/>
              <w:left w:val="nil"/>
              <w:bottom w:val="nil"/>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Степень сложности 4:  10 дней</w:t>
            </w:r>
          </w:p>
        </w:tc>
        <w:tc>
          <w:tcPr>
            <w:tcW w:w="1773"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color w:val="000000"/>
                <w:sz w:val="16"/>
                <w:szCs w:val="16"/>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r>
      <w:tr w:rsidR="00F053BA" w:rsidRPr="00174057" w:rsidTr="00F053BA">
        <w:trPr>
          <w:trHeight w:val="255"/>
        </w:trPr>
        <w:tc>
          <w:tcPr>
            <w:tcW w:w="4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2</w:t>
            </w:r>
          </w:p>
        </w:tc>
        <w:tc>
          <w:tcPr>
            <w:tcW w:w="2920" w:type="dxa"/>
            <w:tcBorders>
              <w:top w:val="single" w:sz="4" w:space="0" w:color="auto"/>
              <w:left w:val="nil"/>
              <w:bottom w:val="nil"/>
              <w:right w:val="single" w:sz="4" w:space="0" w:color="auto"/>
            </w:tcBorders>
            <w:shd w:val="clear" w:color="auto" w:fill="auto"/>
            <w:vAlign w:val="center"/>
            <w:hideMark/>
          </w:tcPr>
          <w:p w:rsidR="00F053BA" w:rsidRPr="00174057" w:rsidRDefault="00F053BA" w:rsidP="00F053BA">
            <w:pPr>
              <w:keepNext/>
              <w:keepLines/>
              <w:rPr>
                <w:rFonts w:cs="Arial"/>
                <w:sz w:val="16"/>
                <w:szCs w:val="16"/>
              </w:rPr>
            </w:pPr>
            <w:r>
              <w:rPr>
                <w:sz w:val="16"/>
              </w:rPr>
              <w:t>Сроки загрузки документов</w:t>
            </w:r>
          </w:p>
        </w:tc>
        <w:tc>
          <w:tcPr>
            <w:tcW w:w="17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8 часов</w:t>
            </w:r>
          </w:p>
        </w:tc>
        <w:tc>
          <w:tcPr>
            <w:tcW w:w="17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53BA" w:rsidRPr="00F053BA" w:rsidRDefault="00F053BA" w:rsidP="00F053BA">
            <w:pPr>
              <w:keepNext/>
              <w:keepLines/>
              <w:rPr>
                <w:rFonts w:cs="Arial"/>
                <w:color w:val="000000"/>
                <w:sz w:val="16"/>
                <w:szCs w:val="16"/>
                <w:lang w:val="ru-RU"/>
              </w:rPr>
            </w:pPr>
            <w:r w:rsidRPr="00F053BA">
              <w:rPr>
                <w:color w:val="000000"/>
                <w:sz w:val="16"/>
                <w:lang w:val="ru-RU"/>
              </w:rPr>
              <w:t>Загрузка документов производится в полностью или частично автоматизированном режиме</w:t>
            </w:r>
          </w:p>
        </w:tc>
        <w:tc>
          <w:tcPr>
            <w:tcW w:w="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80,0%</w:t>
            </w:r>
          </w:p>
        </w:tc>
        <w:tc>
          <w:tcPr>
            <w:tcW w:w="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88,2%</w:t>
            </w:r>
          </w:p>
        </w:tc>
        <w:tc>
          <w:tcPr>
            <w:tcW w:w="7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89,5%</w:t>
            </w:r>
          </w:p>
        </w:tc>
      </w:tr>
      <w:tr w:rsidR="00F053BA" w:rsidRPr="005C6ABD" w:rsidTr="00F053BA">
        <w:trPr>
          <w:trHeight w:val="675"/>
        </w:trPr>
        <w:tc>
          <w:tcPr>
            <w:tcW w:w="400" w:type="dxa"/>
            <w:vMerge/>
            <w:tcBorders>
              <w:top w:val="single" w:sz="4" w:space="0" w:color="auto"/>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sz w:val="16"/>
                <w:szCs w:val="16"/>
              </w:rPr>
            </w:pPr>
          </w:p>
        </w:tc>
        <w:tc>
          <w:tcPr>
            <w:tcW w:w="2920" w:type="dxa"/>
            <w:tcBorders>
              <w:top w:val="nil"/>
              <w:left w:val="nil"/>
              <w:bottom w:val="single" w:sz="4" w:space="0" w:color="auto"/>
              <w:right w:val="single" w:sz="4" w:space="0" w:color="auto"/>
            </w:tcBorders>
            <w:shd w:val="clear" w:color="auto" w:fill="auto"/>
            <w:vAlign w:val="center"/>
            <w:hideMark/>
          </w:tcPr>
          <w:p w:rsidR="00F053BA" w:rsidRPr="00F053BA" w:rsidRDefault="00F053BA" w:rsidP="00F053BA">
            <w:pPr>
              <w:keepNext/>
              <w:keepLines/>
              <w:rPr>
                <w:rFonts w:cs="Arial"/>
                <w:i/>
                <w:iCs/>
                <w:sz w:val="16"/>
                <w:szCs w:val="16"/>
                <w:lang w:val="ru-RU"/>
              </w:rPr>
            </w:pPr>
            <w:r w:rsidRPr="00F053BA">
              <w:rPr>
                <w:i/>
                <w:sz w:val="16"/>
                <w:lang w:val="ru-RU"/>
              </w:rPr>
              <w:t xml:space="preserve">Продолжительность времени между получением документа в МБ и появлением документа в системе </w:t>
            </w:r>
            <w:r>
              <w:rPr>
                <w:i/>
                <w:sz w:val="16"/>
              </w:rPr>
              <w:t>eDossier</w:t>
            </w:r>
          </w:p>
        </w:tc>
        <w:tc>
          <w:tcPr>
            <w:tcW w:w="1707" w:type="dxa"/>
            <w:vMerge/>
            <w:tcBorders>
              <w:top w:val="single" w:sz="4" w:space="0" w:color="auto"/>
              <w:left w:val="single" w:sz="4" w:space="0" w:color="auto"/>
              <w:bottom w:val="single" w:sz="4" w:space="0" w:color="auto"/>
              <w:right w:val="single" w:sz="4" w:space="0" w:color="auto"/>
            </w:tcBorders>
            <w:vAlign w:val="center"/>
            <w:hideMark/>
          </w:tcPr>
          <w:p w:rsidR="00F053BA" w:rsidRPr="00F053BA" w:rsidRDefault="00F053BA" w:rsidP="00F053BA">
            <w:pPr>
              <w:keepNext/>
              <w:keepLines/>
              <w:rPr>
                <w:rFonts w:cs="Arial"/>
                <w:color w:val="000000"/>
                <w:sz w:val="16"/>
                <w:szCs w:val="16"/>
                <w:lang w:val="ru-RU"/>
              </w:rPr>
            </w:pPr>
          </w:p>
        </w:tc>
        <w:tc>
          <w:tcPr>
            <w:tcW w:w="1773" w:type="dxa"/>
            <w:vMerge/>
            <w:tcBorders>
              <w:top w:val="single" w:sz="4" w:space="0" w:color="auto"/>
              <w:left w:val="single" w:sz="4" w:space="0" w:color="auto"/>
              <w:bottom w:val="single" w:sz="4" w:space="0" w:color="auto"/>
              <w:right w:val="single" w:sz="4" w:space="0" w:color="auto"/>
            </w:tcBorders>
            <w:vAlign w:val="center"/>
            <w:hideMark/>
          </w:tcPr>
          <w:p w:rsidR="00F053BA" w:rsidRPr="00F053BA" w:rsidRDefault="00F053BA" w:rsidP="00F053BA">
            <w:pPr>
              <w:keepNext/>
              <w:keepLines/>
              <w:rPr>
                <w:rFonts w:cs="Arial"/>
                <w:color w:val="000000"/>
                <w:sz w:val="16"/>
                <w:szCs w:val="16"/>
                <w:lang w:val="ru-RU"/>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rsidR="00F053BA" w:rsidRPr="00F053BA" w:rsidRDefault="00F053BA" w:rsidP="00F053BA">
            <w:pPr>
              <w:keepNext/>
              <w:keepLines/>
              <w:rPr>
                <w:rFonts w:cs="Arial"/>
                <w:sz w:val="16"/>
                <w:szCs w:val="16"/>
                <w:lang w:val="ru-RU"/>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rsidR="00F053BA" w:rsidRPr="00F053BA" w:rsidRDefault="00F053BA" w:rsidP="00F053BA">
            <w:pPr>
              <w:keepNext/>
              <w:keepLines/>
              <w:rPr>
                <w:rFonts w:cs="Arial"/>
                <w:sz w:val="16"/>
                <w:szCs w:val="16"/>
                <w:lang w:val="ru-RU"/>
              </w:rPr>
            </w:pPr>
          </w:p>
        </w:tc>
        <w:tc>
          <w:tcPr>
            <w:tcW w:w="760" w:type="dxa"/>
            <w:vMerge/>
            <w:tcBorders>
              <w:top w:val="single" w:sz="4" w:space="0" w:color="auto"/>
              <w:left w:val="single" w:sz="4" w:space="0" w:color="auto"/>
              <w:bottom w:val="single" w:sz="4" w:space="0" w:color="auto"/>
              <w:right w:val="single" w:sz="4" w:space="0" w:color="auto"/>
            </w:tcBorders>
            <w:vAlign w:val="center"/>
            <w:hideMark/>
          </w:tcPr>
          <w:p w:rsidR="00F053BA" w:rsidRPr="00F053BA" w:rsidRDefault="00F053BA" w:rsidP="00F053BA">
            <w:pPr>
              <w:keepNext/>
              <w:keepLines/>
              <w:rPr>
                <w:rFonts w:cs="Arial"/>
                <w:sz w:val="16"/>
                <w:szCs w:val="16"/>
                <w:lang w:val="ru-RU"/>
              </w:rPr>
            </w:pPr>
          </w:p>
        </w:tc>
      </w:tr>
      <w:tr w:rsidR="00F053BA" w:rsidRPr="00174057" w:rsidTr="00F053BA">
        <w:trPr>
          <w:trHeight w:val="90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color w:val="000000"/>
                <w:sz w:val="16"/>
                <w:szCs w:val="16"/>
              </w:rPr>
            </w:pPr>
            <w:r>
              <w:rPr>
                <w:color w:val="000000"/>
                <w:sz w:val="16"/>
              </w:rPr>
              <w:t>3</w:t>
            </w:r>
          </w:p>
        </w:tc>
        <w:tc>
          <w:tcPr>
            <w:tcW w:w="292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Коэффициент успешной пакетной обработки</w:t>
            </w:r>
          </w:p>
        </w:tc>
        <w:tc>
          <w:tcPr>
            <w:tcW w:w="1707"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100%</w:t>
            </w:r>
          </w:p>
        </w:tc>
        <w:tc>
          <w:tcPr>
            <w:tcW w:w="1773" w:type="dxa"/>
            <w:tcBorders>
              <w:top w:val="nil"/>
              <w:left w:val="nil"/>
              <w:bottom w:val="single" w:sz="4" w:space="0" w:color="auto"/>
              <w:right w:val="single" w:sz="4" w:space="0" w:color="auto"/>
            </w:tcBorders>
            <w:shd w:val="clear" w:color="auto" w:fill="auto"/>
            <w:vAlign w:val="center"/>
            <w:hideMark/>
          </w:tcPr>
          <w:p w:rsidR="00F053BA" w:rsidRPr="00F053BA" w:rsidRDefault="00F053BA" w:rsidP="00F053BA">
            <w:pPr>
              <w:keepNext/>
              <w:keepLines/>
              <w:rPr>
                <w:rFonts w:cs="Arial"/>
                <w:color w:val="000000"/>
                <w:sz w:val="16"/>
                <w:szCs w:val="16"/>
                <w:lang w:val="ru-RU"/>
              </w:rPr>
            </w:pPr>
            <w:r w:rsidRPr="00F053BA">
              <w:rPr>
                <w:color w:val="000000"/>
                <w:sz w:val="16"/>
                <w:lang w:val="ru-RU"/>
              </w:rPr>
              <w:t>Успешная пакетная обработка до конца запланированного рабочего дня</w:t>
            </w:r>
          </w:p>
        </w:tc>
        <w:tc>
          <w:tcPr>
            <w:tcW w:w="76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99,6%</w:t>
            </w:r>
          </w:p>
        </w:tc>
        <w:tc>
          <w:tcPr>
            <w:tcW w:w="76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99,5%</w:t>
            </w:r>
          </w:p>
        </w:tc>
        <w:tc>
          <w:tcPr>
            <w:tcW w:w="76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99,6%</w:t>
            </w:r>
          </w:p>
        </w:tc>
      </w:tr>
      <w:tr w:rsidR="00F053BA" w:rsidRPr="00174057" w:rsidTr="00F053BA">
        <w:trPr>
          <w:trHeight w:val="450"/>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color w:val="000000"/>
                <w:sz w:val="16"/>
                <w:szCs w:val="16"/>
              </w:rPr>
            </w:pPr>
            <w:r>
              <w:rPr>
                <w:color w:val="000000"/>
                <w:sz w:val="16"/>
              </w:rPr>
              <w:t>4</w:t>
            </w:r>
          </w:p>
        </w:tc>
        <w:tc>
          <w:tcPr>
            <w:tcW w:w="292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Доступность системы eDossier</w:t>
            </w:r>
          </w:p>
        </w:tc>
        <w:tc>
          <w:tcPr>
            <w:tcW w:w="1707"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99%</w:t>
            </w:r>
          </w:p>
        </w:tc>
        <w:tc>
          <w:tcPr>
            <w:tcW w:w="1773" w:type="dxa"/>
            <w:tcBorders>
              <w:top w:val="nil"/>
              <w:left w:val="nil"/>
              <w:bottom w:val="single" w:sz="4" w:space="0" w:color="auto"/>
              <w:right w:val="single" w:sz="4" w:space="0" w:color="auto"/>
            </w:tcBorders>
            <w:shd w:val="clear" w:color="auto" w:fill="auto"/>
            <w:vAlign w:val="center"/>
            <w:hideMark/>
          </w:tcPr>
          <w:p w:rsidR="00F053BA" w:rsidRPr="00F053BA" w:rsidRDefault="00F053BA" w:rsidP="00F053BA">
            <w:pPr>
              <w:keepNext/>
              <w:keepLines/>
              <w:rPr>
                <w:rFonts w:cs="Arial"/>
                <w:color w:val="000000"/>
                <w:sz w:val="16"/>
                <w:szCs w:val="16"/>
                <w:lang w:val="ru-RU"/>
              </w:rPr>
            </w:pPr>
            <w:r w:rsidRPr="00F053BA">
              <w:rPr>
                <w:color w:val="000000"/>
                <w:sz w:val="16"/>
                <w:lang w:val="ru-RU"/>
              </w:rPr>
              <w:t>В интервале с 7:00 до 19:00 в рабочие дни</w:t>
            </w:r>
          </w:p>
        </w:tc>
        <w:tc>
          <w:tcPr>
            <w:tcW w:w="76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100,0%</w:t>
            </w:r>
          </w:p>
        </w:tc>
        <w:tc>
          <w:tcPr>
            <w:tcW w:w="76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100,0%</w:t>
            </w:r>
          </w:p>
        </w:tc>
        <w:tc>
          <w:tcPr>
            <w:tcW w:w="76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100,0%</w:t>
            </w:r>
          </w:p>
        </w:tc>
      </w:tr>
      <w:tr w:rsidR="00F053BA" w:rsidRPr="00174057" w:rsidTr="00F053BA">
        <w:trPr>
          <w:trHeight w:val="255"/>
        </w:trPr>
        <w:tc>
          <w:tcPr>
            <w:tcW w:w="400" w:type="dxa"/>
            <w:tcBorders>
              <w:top w:val="nil"/>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color w:val="000000"/>
                <w:sz w:val="16"/>
                <w:szCs w:val="16"/>
              </w:rPr>
            </w:pPr>
            <w:r>
              <w:rPr>
                <w:color w:val="000000"/>
                <w:sz w:val="16"/>
              </w:rPr>
              <w:t>5</w:t>
            </w:r>
          </w:p>
        </w:tc>
        <w:tc>
          <w:tcPr>
            <w:tcW w:w="292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Доступность системы ePCT</w:t>
            </w:r>
          </w:p>
        </w:tc>
        <w:tc>
          <w:tcPr>
            <w:tcW w:w="1707"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99%</w:t>
            </w:r>
          </w:p>
        </w:tc>
        <w:tc>
          <w:tcPr>
            <w:tcW w:w="1773"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rPr>
                <w:rFonts w:cs="Arial"/>
                <w:color w:val="000000"/>
                <w:sz w:val="16"/>
                <w:szCs w:val="16"/>
              </w:rPr>
            </w:pPr>
            <w:r>
              <w:rPr>
                <w:color w:val="000000"/>
                <w:sz w:val="16"/>
              </w:rPr>
              <w:t>24 часа</w:t>
            </w:r>
          </w:p>
        </w:tc>
        <w:tc>
          <w:tcPr>
            <w:tcW w:w="76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100,0%</w:t>
            </w:r>
          </w:p>
        </w:tc>
        <w:tc>
          <w:tcPr>
            <w:tcW w:w="76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100,0%</w:t>
            </w:r>
          </w:p>
        </w:tc>
        <w:tc>
          <w:tcPr>
            <w:tcW w:w="760" w:type="dxa"/>
            <w:tcBorders>
              <w:top w:val="nil"/>
              <w:left w:val="nil"/>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sz w:val="16"/>
                <w:szCs w:val="16"/>
              </w:rPr>
            </w:pPr>
            <w:r>
              <w:rPr>
                <w:sz w:val="16"/>
              </w:rPr>
              <w:t>100,0%</w:t>
            </w:r>
          </w:p>
        </w:tc>
      </w:tr>
      <w:tr w:rsidR="00F053BA" w:rsidRPr="00174057" w:rsidTr="00F053BA">
        <w:trPr>
          <w:trHeight w:val="450"/>
        </w:trPr>
        <w:tc>
          <w:tcPr>
            <w:tcW w:w="400" w:type="dxa"/>
            <w:vMerge w:val="restart"/>
            <w:tcBorders>
              <w:top w:val="nil"/>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b/>
                <w:bCs/>
                <w:color w:val="000000"/>
                <w:sz w:val="16"/>
                <w:szCs w:val="16"/>
              </w:rPr>
            </w:pPr>
            <w:r>
              <w:rPr>
                <w:b/>
                <w:color w:val="000000"/>
                <w:sz w:val="16"/>
              </w:rPr>
              <w:t> </w:t>
            </w:r>
          </w:p>
        </w:tc>
        <w:tc>
          <w:tcPr>
            <w:tcW w:w="2920" w:type="dxa"/>
            <w:tcBorders>
              <w:top w:val="nil"/>
              <w:left w:val="nil"/>
              <w:bottom w:val="nil"/>
              <w:right w:val="single" w:sz="4" w:space="0" w:color="auto"/>
            </w:tcBorders>
            <w:shd w:val="clear" w:color="auto" w:fill="auto"/>
            <w:vAlign w:val="center"/>
            <w:hideMark/>
          </w:tcPr>
          <w:p w:rsidR="00F053BA" w:rsidRPr="00F053BA" w:rsidRDefault="00F053BA" w:rsidP="00F053BA">
            <w:pPr>
              <w:keepNext/>
              <w:keepLines/>
              <w:rPr>
                <w:rFonts w:cs="Arial"/>
                <w:b/>
                <w:bCs/>
                <w:color w:val="000000"/>
                <w:sz w:val="16"/>
                <w:szCs w:val="16"/>
                <w:lang w:val="ru-RU"/>
              </w:rPr>
            </w:pPr>
            <w:r w:rsidRPr="00F053BA">
              <w:rPr>
                <w:b/>
                <w:color w:val="000000"/>
                <w:sz w:val="16"/>
                <w:lang w:val="ru-RU"/>
              </w:rPr>
              <w:t>Уровни обслуживания информационных систем (УОИС)</w:t>
            </w:r>
          </w:p>
        </w:tc>
        <w:tc>
          <w:tcPr>
            <w:tcW w:w="1707" w:type="dxa"/>
            <w:vMerge w:val="restart"/>
            <w:tcBorders>
              <w:top w:val="nil"/>
              <w:left w:val="single" w:sz="4" w:space="0" w:color="auto"/>
              <w:bottom w:val="single" w:sz="4" w:space="0" w:color="auto"/>
              <w:right w:val="single" w:sz="4" w:space="0" w:color="auto"/>
            </w:tcBorders>
            <w:shd w:val="clear" w:color="auto" w:fill="auto"/>
            <w:vAlign w:val="center"/>
            <w:hideMark/>
          </w:tcPr>
          <w:p w:rsidR="00F053BA" w:rsidRPr="00F053BA" w:rsidRDefault="00F053BA" w:rsidP="00F053BA">
            <w:pPr>
              <w:keepNext/>
              <w:keepLines/>
              <w:rPr>
                <w:rFonts w:cs="Arial"/>
                <w:b/>
                <w:bCs/>
                <w:color w:val="000000"/>
                <w:sz w:val="16"/>
                <w:szCs w:val="16"/>
                <w:lang w:val="ru-RU"/>
              </w:rPr>
            </w:pPr>
            <w:r>
              <w:rPr>
                <w:b/>
                <w:color w:val="000000"/>
                <w:sz w:val="16"/>
              </w:rPr>
              <w:t> </w:t>
            </w:r>
          </w:p>
        </w:tc>
        <w:tc>
          <w:tcPr>
            <w:tcW w:w="1773" w:type="dxa"/>
            <w:vMerge w:val="restart"/>
            <w:tcBorders>
              <w:top w:val="nil"/>
              <w:left w:val="single" w:sz="4" w:space="0" w:color="auto"/>
              <w:bottom w:val="single" w:sz="4" w:space="0" w:color="auto"/>
              <w:right w:val="single" w:sz="4" w:space="0" w:color="auto"/>
            </w:tcBorders>
            <w:shd w:val="clear" w:color="auto" w:fill="auto"/>
            <w:vAlign w:val="center"/>
            <w:hideMark/>
          </w:tcPr>
          <w:p w:rsidR="00F053BA" w:rsidRPr="00F053BA" w:rsidRDefault="00F053BA" w:rsidP="00F053BA">
            <w:pPr>
              <w:keepNext/>
              <w:keepLines/>
              <w:rPr>
                <w:rFonts w:cs="Arial"/>
                <w:b/>
                <w:bCs/>
                <w:color w:val="000000"/>
                <w:sz w:val="16"/>
                <w:szCs w:val="16"/>
                <w:lang w:val="ru-RU"/>
              </w:rPr>
            </w:pPr>
            <w:r>
              <w:rPr>
                <w:b/>
                <w:color w:val="000000"/>
                <w:sz w:val="16"/>
              </w:rPr>
              <w:t> </w:t>
            </w:r>
          </w:p>
        </w:tc>
        <w:tc>
          <w:tcPr>
            <w:tcW w:w="760" w:type="dxa"/>
            <w:vMerge w:val="restart"/>
            <w:tcBorders>
              <w:top w:val="nil"/>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b/>
                <w:bCs/>
                <w:sz w:val="16"/>
                <w:szCs w:val="16"/>
              </w:rPr>
            </w:pPr>
            <w:r>
              <w:rPr>
                <w:b/>
                <w:sz w:val="16"/>
              </w:rPr>
              <w:t>93,0%</w:t>
            </w:r>
          </w:p>
        </w:tc>
        <w:tc>
          <w:tcPr>
            <w:tcW w:w="760" w:type="dxa"/>
            <w:vMerge w:val="restart"/>
            <w:tcBorders>
              <w:top w:val="nil"/>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b/>
                <w:bCs/>
                <w:sz w:val="16"/>
                <w:szCs w:val="16"/>
              </w:rPr>
            </w:pPr>
            <w:r>
              <w:rPr>
                <w:b/>
                <w:sz w:val="16"/>
              </w:rPr>
              <w:t>95,1%</w:t>
            </w:r>
            <w:r>
              <w:rPr>
                <w:rStyle w:val="FootnoteReference"/>
                <w:b/>
                <w:sz w:val="16"/>
              </w:rPr>
              <w:footnoteReference w:id="23"/>
            </w:r>
          </w:p>
        </w:tc>
        <w:tc>
          <w:tcPr>
            <w:tcW w:w="760" w:type="dxa"/>
            <w:vMerge w:val="restart"/>
            <w:tcBorders>
              <w:top w:val="nil"/>
              <w:left w:val="single" w:sz="4" w:space="0" w:color="auto"/>
              <w:bottom w:val="single" w:sz="4" w:space="0" w:color="auto"/>
              <w:right w:val="single" w:sz="4" w:space="0" w:color="auto"/>
            </w:tcBorders>
            <w:shd w:val="clear" w:color="auto" w:fill="auto"/>
            <w:vAlign w:val="center"/>
            <w:hideMark/>
          </w:tcPr>
          <w:p w:rsidR="00F053BA" w:rsidRPr="00174057" w:rsidRDefault="00F053BA" w:rsidP="00F053BA">
            <w:pPr>
              <w:keepNext/>
              <w:keepLines/>
              <w:jc w:val="center"/>
              <w:rPr>
                <w:rFonts w:cs="Arial"/>
                <w:b/>
                <w:bCs/>
                <w:sz w:val="16"/>
                <w:szCs w:val="16"/>
              </w:rPr>
            </w:pPr>
            <w:r>
              <w:rPr>
                <w:b/>
                <w:sz w:val="16"/>
              </w:rPr>
              <w:t>96,5%</w:t>
            </w:r>
          </w:p>
        </w:tc>
      </w:tr>
      <w:tr w:rsidR="00F053BA" w:rsidRPr="00174057" w:rsidTr="00F053BA">
        <w:trPr>
          <w:trHeight w:val="690"/>
        </w:trPr>
        <w:tc>
          <w:tcPr>
            <w:tcW w:w="400"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b/>
                <w:bCs/>
                <w:color w:val="000000"/>
                <w:sz w:val="16"/>
                <w:szCs w:val="16"/>
              </w:rPr>
            </w:pPr>
          </w:p>
        </w:tc>
        <w:tc>
          <w:tcPr>
            <w:tcW w:w="2920" w:type="dxa"/>
            <w:tcBorders>
              <w:top w:val="nil"/>
              <w:left w:val="nil"/>
              <w:bottom w:val="single" w:sz="4" w:space="0" w:color="auto"/>
              <w:right w:val="single" w:sz="4" w:space="0" w:color="auto"/>
            </w:tcBorders>
            <w:shd w:val="clear" w:color="auto" w:fill="auto"/>
            <w:vAlign w:val="center"/>
            <w:hideMark/>
          </w:tcPr>
          <w:p w:rsidR="00F053BA" w:rsidRDefault="00F053BA" w:rsidP="00F053BA">
            <w:pPr>
              <w:keepNext/>
              <w:keepLines/>
              <w:rPr>
                <w:b/>
                <w:i/>
                <w:color w:val="000000"/>
                <w:sz w:val="16"/>
              </w:rPr>
            </w:pPr>
            <w:r>
              <w:rPr>
                <w:b/>
                <w:i/>
                <w:color w:val="000000"/>
                <w:sz w:val="16"/>
              </w:rPr>
              <w:t>Средневзвешенное значение вышеуказанных показателей: (1) 20% (2) 20% (3) 20% (4) 20% (5) 20%.</w:t>
            </w:r>
          </w:p>
          <w:p w:rsidR="00F053BA" w:rsidRPr="00174057" w:rsidRDefault="00F053BA" w:rsidP="00F053BA">
            <w:pPr>
              <w:keepNext/>
              <w:keepLines/>
              <w:rPr>
                <w:rFonts w:cs="Arial"/>
                <w:b/>
                <w:bCs/>
                <w:i/>
                <w:iCs/>
                <w:color w:val="000000"/>
                <w:sz w:val="16"/>
                <w:szCs w:val="16"/>
              </w:rPr>
            </w:pPr>
          </w:p>
        </w:tc>
        <w:tc>
          <w:tcPr>
            <w:tcW w:w="1707"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b/>
                <w:bCs/>
                <w:color w:val="000000"/>
                <w:sz w:val="16"/>
                <w:szCs w:val="16"/>
              </w:rPr>
            </w:pPr>
          </w:p>
        </w:tc>
        <w:tc>
          <w:tcPr>
            <w:tcW w:w="1773"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b/>
                <w:bCs/>
                <w:color w:val="000000"/>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b/>
                <w:bCs/>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b/>
                <w:bCs/>
                <w:sz w:val="16"/>
                <w:szCs w:val="16"/>
              </w:rPr>
            </w:pPr>
          </w:p>
        </w:tc>
        <w:tc>
          <w:tcPr>
            <w:tcW w:w="760" w:type="dxa"/>
            <w:vMerge/>
            <w:tcBorders>
              <w:top w:val="nil"/>
              <w:left w:val="single" w:sz="4" w:space="0" w:color="auto"/>
              <w:bottom w:val="single" w:sz="4" w:space="0" w:color="auto"/>
              <w:right w:val="single" w:sz="4" w:space="0" w:color="auto"/>
            </w:tcBorders>
            <w:vAlign w:val="center"/>
            <w:hideMark/>
          </w:tcPr>
          <w:p w:rsidR="00F053BA" w:rsidRPr="00174057" w:rsidRDefault="00F053BA" w:rsidP="00F053BA">
            <w:pPr>
              <w:keepNext/>
              <w:keepLines/>
              <w:rPr>
                <w:rFonts w:cs="Arial"/>
                <w:b/>
                <w:bCs/>
                <w:sz w:val="16"/>
                <w:szCs w:val="16"/>
              </w:rPr>
            </w:pPr>
          </w:p>
        </w:tc>
      </w:tr>
      <w:tr w:rsidR="00F053BA" w:rsidRPr="005C6ABD" w:rsidTr="00F053BA">
        <w:trPr>
          <w:trHeight w:val="255"/>
        </w:trPr>
        <w:tc>
          <w:tcPr>
            <w:tcW w:w="3320" w:type="dxa"/>
            <w:gridSpan w:val="2"/>
            <w:tcBorders>
              <w:top w:val="nil"/>
              <w:left w:val="nil"/>
              <w:bottom w:val="nil"/>
              <w:right w:val="nil"/>
            </w:tcBorders>
            <w:shd w:val="clear" w:color="auto" w:fill="auto"/>
            <w:noWrap/>
            <w:vAlign w:val="center"/>
            <w:hideMark/>
          </w:tcPr>
          <w:p w:rsidR="00F053BA" w:rsidRPr="00F053BA" w:rsidRDefault="00F053BA" w:rsidP="00F053BA">
            <w:pPr>
              <w:keepNext/>
              <w:keepLines/>
              <w:rPr>
                <w:rFonts w:cs="Arial"/>
                <w:color w:val="000000"/>
                <w:sz w:val="16"/>
                <w:szCs w:val="16"/>
                <w:lang w:val="ru-RU"/>
              </w:rPr>
            </w:pPr>
            <w:r w:rsidRPr="00F053BA">
              <w:rPr>
                <w:color w:val="000000"/>
                <w:sz w:val="16"/>
                <w:lang w:val="ru-RU"/>
              </w:rPr>
              <w:t xml:space="preserve">Источник:  Оперативный отдел </w:t>
            </w:r>
            <w:r>
              <w:rPr>
                <w:color w:val="000000"/>
                <w:sz w:val="16"/>
              </w:rPr>
              <w:t>PCT</w:t>
            </w:r>
            <w:r w:rsidRPr="00F053BA">
              <w:rPr>
                <w:color w:val="000000"/>
                <w:sz w:val="16"/>
                <w:lang w:val="ru-RU"/>
              </w:rPr>
              <w:t>, февраль 2016</w:t>
            </w:r>
            <w:r>
              <w:rPr>
                <w:color w:val="000000"/>
                <w:sz w:val="16"/>
              </w:rPr>
              <w:t> </w:t>
            </w:r>
            <w:r w:rsidRPr="00F053BA">
              <w:rPr>
                <w:color w:val="000000"/>
                <w:sz w:val="16"/>
                <w:lang w:val="ru-RU"/>
              </w:rPr>
              <w:t>г.</w:t>
            </w:r>
          </w:p>
        </w:tc>
        <w:tc>
          <w:tcPr>
            <w:tcW w:w="1707" w:type="dxa"/>
            <w:tcBorders>
              <w:top w:val="nil"/>
              <w:left w:val="nil"/>
              <w:bottom w:val="nil"/>
              <w:right w:val="nil"/>
            </w:tcBorders>
            <w:shd w:val="clear" w:color="auto" w:fill="auto"/>
            <w:noWrap/>
            <w:vAlign w:val="bottom"/>
            <w:hideMark/>
          </w:tcPr>
          <w:p w:rsidR="00F053BA" w:rsidRPr="00F053BA" w:rsidRDefault="00F053BA" w:rsidP="00F053BA">
            <w:pPr>
              <w:keepNext/>
              <w:keepLines/>
              <w:rPr>
                <w:rFonts w:cs="Arial"/>
                <w:szCs w:val="20"/>
                <w:lang w:val="ru-RU"/>
              </w:rPr>
            </w:pPr>
          </w:p>
        </w:tc>
        <w:tc>
          <w:tcPr>
            <w:tcW w:w="1773" w:type="dxa"/>
            <w:tcBorders>
              <w:top w:val="nil"/>
              <w:left w:val="nil"/>
              <w:bottom w:val="nil"/>
              <w:right w:val="nil"/>
            </w:tcBorders>
            <w:shd w:val="clear" w:color="auto" w:fill="auto"/>
            <w:noWrap/>
            <w:vAlign w:val="bottom"/>
            <w:hideMark/>
          </w:tcPr>
          <w:p w:rsidR="00F053BA" w:rsidRPr="00F053BA" w:rsidRDefault="00F053BA" w:rsidP="00F053BA">
            <w:pPr>
              <w:keepNext/>
              <w:keepLines/>
              <w:rPr>
                <w:rFonts w:cs="Arial"/>
                <w:szCs w:val="20"/>
                <w:lang w:val="ru-RU"/>
              </w:rPr>
            </w:pPr>
          </w:p>
        </w:tc>
        <w:tc>
          <w:tcPr>
            <w:tcW w:w="760" w:type="dxa"/>
            <w:tcBorders>
              <w:top w:val="nil"/>
              <w:left w:val="nil"/>
              <w:bottom w:val="nil"/>
              <w:right w:val="nil"/>
            </w:tcBorders>
            <w:shd w:val="clear" w:color="auto" w:fill="auto"/>
            <w:noWrap/>
            <w:vAlign w:val="bottom"/>
            <w:hideMark/>
          </w:tcPr>
          <w:p w:rsidR="00F053BA" w:rsidRPr="00F053BA" w:rsidRDefault="00F053BA" w:rsidP="00F053BA">
            <w:pPr>
              <w:keepNext/>
              <w:keepLines/>
              <w:rPr>
                <w:rFonts w:cs="Arial"/>
                <w:szCs w:val="20"/>
                <w:lang w:val="ru-RU"/>
              </w:rPr>
            </w:pPr>
          </w:p>
        </w:tc>
        <w:tc>
          <w:tcPr>
            <w:tcW w:w="760" w:type="dxa"/>
            <w:tcBorders>
              <w:top w:val="nil"/>
              <w:left w:val="nil"/>
              <w:bottom w:val="nil"/>
              <w:right w:val="nil"/>
            </w:tcBorders>
            <w:shd w:val="clear" w:color="auto" w:fill="auto"/>
            <w:noWrap/>
            <w:vAlign w:val="bottom"/>
            <w:hideMark/>
          </w:tcPr>
          <w:p w:rsidR="00F053BA" w:rsidRPr="00F053BA" w:rsidRDefault="00F053BA" w:rsidP="00F053BA">
            <w:pPr>
              <w:keepNext/>
              <w:keepLines/>
              <w:rPr>
                <w:rFonts w:cs="Arial"/>
                <w:szCs w:val="20"/>
                <w:lang w:val="ru-RU"/>
              </w:rPr>
            </w:pPr>
          </w:p>
        </w:tc>
        <w:tc>
          <w:tcPr>
            <w:tcW w:w="760" w:type="dxa"/>
            <w:tcBorders>
              <w:top w:val="nil"/>
              <w:left w:val="nil"/>
              <w:bottom w:val="nil"/>
              <w:right w:val="nil"/>
            </w:tcBorders>
            <w:shd w:val="clear" w:color="auto" w:fill="auto"/>
            <w:noWrap/>
            <w:vAlign w:val="bottom"/>
            <w:hideMark/>
          </w:tcPr>
          <w:p w:rsidR="00F053BA" w:rsidRPr="00F053BA" w:rsidRDefault="00F053BA" w:rsidP="00F053BA">
            <w:pPr>
              <w:keepNext/>
              <w:keepLines/>
              <w:rPr>
                <w:rFonts w:cs="Arial"/>
                <w:szCs w:val="20"/>
                <w:lang w:val="ru-RU"/>
              </w:rPr>
            </w:pPr>
          </w:p>
        </w:tc>
      </w:tr>
    </w:tbl>
    <w:p w:rsidR="00F053BA" w:rsidRPr="00F053BA" w:rsidRDefault="00F053BA" w:rsidP="00F053BA">
      <w:pPr>
        <w:rPr>
          <w:b/>
          <w:szCs w:val="16"/>
          <w:highlight w:val="yellow"/>
          <w:lang w:val="ru-RU"/>
        </w:rPr>
      </w:pPr>
    </w:p>
    <w:p w:rsidR="00F053BA" w:rsidRPr="00F053BA" w:rsidRDefault="00F053BA" w:rsidP="00F053BA">
      <w:pPr>
        <w:rPr>
          <w:b/>
          <w:szCs w:val="16"/>
          <w:highlight w:val="yellow"/>
          <w:lang w:val="ru-RU"/>
        </w:rPr>
      </w:pPr>
    </w:p>
    <w:p w:rsidR="00F053BA" w:rsidRPr="00F053BA" w:rsidRDefault="00F053BA" w:rsidP="00F053BA">
      <w:pPr>
        <w:rPr>
          <w:b/>
          <w:szCs w:val="16"/>
          <w:lang w:val="ru-RU"/>
        </w:rPr>
      </w:pPr>
      <w:r w:rsidRPr="00F053BA">
        <w:rPr>
          <w:b/>
          <w:lang w:val="ru-RU"/>
        </w:rPr>
        <w:t>Подача заявок в МБ в качестве получающего ведомства (МБ/ПВ)</w:t>
      </w:r>
    </w:p>
    <w:p w:rsidR="00F053BA" w:rsidRPr="00F053BA" w:rsidRDefault="00F053BA" w:rsidP="00F053BA">
      <w:pPr>
        <w:rPr>
          <w:b/>
          <w:szCs w:val="16"/>
          <w:lang w:val="ru-RU"/>
        </w:rPr>
      </w:pPr>
    </w:p>
    <w:p w:rsidR="00F053BA" w:rsidRPr="00E34675" w:rsidRDefault="00F053BA" w:rsidP="00F053BA">
      <w:pPr>
        <w:rPr>
          <w:i/>
        </w:rPr>
      </w:pPr>
      <w:r>
        <w:rPr>
          <w:i/>
        </w:rPr>
        <w:t xml:space="preserve">Заявки </w:t>
      </w:r>
    </w:p>
    <w:p w:rsidR="00F053BA" w:rsidRPr="00E34675" w:rsidRDefault="00F053BA" w:rsidP="00F053BA">
      <w:pPr>
        <w:rPr>
          <w:b/>
          <w:szCs w:val="18"/>
        </w:rPr>
      </w:pPr>
    </w:p>
    <w:p w:rsidR="00F053BA" w:rsidRPr="00F053BA" w:rsidRDefault="00F053BA" w:rsidP="00F053BA">
      <w:pPr>
        <w:numPr>
          <w:ilvl w:val="0"/>
          <w:numId w:val="55"/>
        </w:numPr>
        <w:jc w:val="both"/>
        <w:rPr>
          <w:lang w:val="ru-RU"/>
        </w:rPr>
      </w:pPr>
      <w:r w:rsidRPr="00F053BA">
        <w:rPr>
          <w:lang w:val="ru-RU"/>
        </w:rPr>
        <w:t>В следующей таблице показано число заявок РСТ, полученных десятью основными получающими ведомствами за последние пять лет вплоть до 2015</w:t>
      </w:r>
      <w:r>
        <w:t> </w:t>
      </w:r>
      <w:r w:rsidRPr="00F053BA">
        <w:rPr>
          <w:lang w:val="ru-RU"/>
        </w:rPr>
        <w:t>г.  Обычно заявка РСТ подается в национальное патентное ведомство страны проживания заявителя или региональное патентное ведомство, на обслуживаемой территории которого проживает заявитель.  МБ выступает в качестве компетентного получающего ведомства (МБ/ПВ) для заявителей из всех стран</w:t>
      </w:r>
      <w:r>
        <w:t> </w:t>
      </w:r>
      <w:r w:rsidRPr="00F053BA">
        <w:rPr>
          <w:lang w:val="ru-RU"/>
        </w:rPr>
        <w:t>– членов РСТ.  В таблице показаны динамика изменения числа заявок, поданных в МБ/ПВ, его место по числу полученных заявок по сравнению с другими получающими ведомствами, а также его доля на рынке.</w:t>
      </w:r>
    </w:p>
    <w:p w:rsidR="00F053BA" w:rsidRPr="00F053BA" w:rsidRDefault="00F053BA" w:rsidP="00F053BA">
      <w:pPr>
        <w:jc w:val="both"/>
        <w:rPr>
          <w:sz w:val="18"/>
          <w:highlight w:val="yellow"/>
          <w:lang w:val="ru-RU"/>
        </w:rPr>
      </w:pPr>
    </w:p>
    <w:p w:rsidR="00F053BA" w:rsidRPr="00F053BA" w:rsidRDefault="00F053BA" w:rsidP="00F053BA">
      <w:pPr>
        <w:jc w:val="both"/>
        <w:rPr>
          <w:sz w:val="18"/>
          <w:lang w:val="ru-RU"/>
        </w:rPr>
      </w:pPr>
    </w:p>
    <w:p w:rsidR="00F053BA" w:rsidRDefault="00F053BA" w:rsidP="00F053BA">
      <w:pPr>
        <w:jc w:val="both"/>
        <w:rPr>
          <w:sz w:val="18"/>
        </w:rPr>
      </w:pPr>
      <w:r>
        <w:rPr>
          <w:noProof/>
          <w:sz w:val="18"/>
        </w:rPr>
        <w:drawing>
          <wp:inline distT="0" distB="0" distL="0" distR="0" wp14:anchorId="1C047126" wp14:editId="71757919">
            <wp:extent cx="5940425" cy="2720517"/>
            <wp:effectExtent l="0" t="0" r="3175" b="381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940425" cy="2720517"/>
                    </a:xfrm>
                    <a:prstGeom prst="rect">
                      <a:avLst/>
                    </a:prstGeom>
                    <a:noFill/>
                    <a:ln>
                      <a:noFill/>
                    </a:ln>
                  </pic:spPr>
                </pic:pic>
              </a:graphicData>
            </a:graphic>
          </wp:inline>
        </w:drawing>
      </w:r>
    </w:p>
    <w:p w:rsidR="00F053BA" w:rsidRPr="00E34675" w:rsidRDefault="00F053BA" w:rsidP="00F053BA">
      <w:pPr>
        <w:jc w:val="both"/>
        <w:rPr>
          <w:sz w:val="18"/>
        </w:rPr>
      </w:pPr>
    </w:p>
    <w:p w:rsidR="00F053BA" w:rsidRPr="00F053BA" w:rsidRDefault="00F053BA" w:rsidP="00F053BA">
      <w:pPr>
        <w:numPr>
          <w:ilvl w:val="0"/>
          <w:numId w:val="55"/>
        </w:numPr>
        <w:jc w:val="both"/>
        <w:rPr>
          <w:lang w:val="ru-RU"/>
        </w:rPr>
      </w:pPr>
      <w:r w:rsidRPr="00F053BA">
        <w:rPr>
          <w:lang w:val="ru-RU"/>
        </w:rPr>
        <w:t>В Программе и бюджете на 2014–2015</w:t>
      </w:r>
      <w:r>
        <w:t> </w:t>
      </w:r>
      <w:r w:rsidRPr="00F053BA">
        <w:rPr>
          <w:lang w:val="ru-RU"/>
        </w:rPr>
        <w:t xml:space="preserve">гг. для МБ/ПВ были введены следующие два дополнительных показателя результативности:  </w:t>
      </w:r>
    </w:p>
    <w:p w:rsidR="00F053BA" w:rsidRPr="00F053BA" w:rsidRDefault="00F053BA" w:rsidP="00F053BA">
      <w:pPr>
        <w:pStyle w:val="PlainText"/>
        <w:rPr>
          <w:rFonts w:ascii="Arial" w:hAnsi="Arial" w:cs="Arial"/>
          <w:color w:val="auto"/>
          <w:lang w:val="ru-RU"/>
        </w:rPr>
      </w:pPr>
    </w:p>
    <w:p w:rsidR="00F053BA" w:rsidRPr="00F053BA" w:rsidRDefault="00F053BA" w:rsidP="00F053BA">
      <w:pPr>
        <w:pStyle w:val="PlainText"/>
        <w:rPr>
          <w:rFonts w:ascii="Arial" w:hAnsi="Arial" w:cs="Arial"/>
          <w:color w:val="auto"/>
          <w:lang w:val="ru-RU"/>
        </w:rPr>
      </w:pPr>
      <w:r w:rsidRPr="00F053BA">
        <w:rPr>
          <w:rFonts w:ascii="Arial" w:hAnsi="Arial"/>
          <w:i/>
          <w:color w:val="auto"/>
          <w:lang w:val="ru-RU"/>
        </w:rPr>
        <w:t>Своевременность уведомления о дате международной подачи</w:t>
      </w:r>
    </w:p>
    <w:p w:rsidR="00F053BA" w:rsidRPr="00F053BA" w:rsidRDefault="00F053BA" w:rsidP="00F053BA">
      <w:pPr>
        <w:pStyle w:val="PlainText"/>
        <w:rPr>
          <w:rFonts w:ascii="Arial" w:hAnsi="Arial" w:cs="Arial"/>
          <w:color w:val="auto"/>
          <w:lang w:val="ru-RU"/>
        </w:rPr>
      </w:pPr>
    </w:p>
    <w:p w:rsidR="00F053BA" w:rsidRPr="00F053BA" w:rsidRDefault="00F053BA" w:rsidP="00F053BA">
      <w:pPr>
        <w:numPr>
          <w:ilvl w:val="0"/>
          <w:numId w:val="55"/>
        </w:numPr>
        <w:jc w:val="both"/>
        <w:rPr>
          <w:lang w:val="ru-RU"/>
        </w:rPr>
      </w:pPr>
      <w:r w:rsidRPr="00F053BA">
        <w:rPr>
          <w:lang w:val="ru-RU"/>
        </w:rPr>
        <w:t>Данный показатель отражает время, которое требуется ПВ/МБ для выдачи документа по форме №</w:t>
      </w:r>
      <w:r>
        <w:t> </w:t>
      </w:r>
      <w:r w:rsidRPr="00F053BA">
        <w:rPr>
          <w:lang w:val="ru-RU"/>
        </w:rPr>
        <w:t>105.  Он выдается после установления даты международной подачи.  Заявителю важно получить данный документ в кратчайшие сроки, так как в каждом из указанных государств международная заявка имеет силу обычной национальной заявки начиная с даты международной подачи, которая считается фактической датой подачи заявки в каждом указанном государстве.</w:t>
      </w:r>
    </w:p>
    <w:p w:rsidR="00F053BA" w:rsidRPr="00F053BA" w:rsidRDefault="00F053BA" w:rsidP="00F053BA">
      <w:pPr>
        <w:pStyle w:val="BodyText2"/>
        <w:spacing w:after="0" w:line="240" w:lineRule="auto"/>
        <w:jc w:val="both"/>
        <w:rPr>
          <w:rFonts w:cs="Arial"/>
          <w:szCs w:val="20"/>
          <w:lang w:val="ru-RU"/>
        </w:rPr>
      </w:pPr>
    </w:p>
    <w:p w:rsidR="00F053BA" w:rsidRPr="00F053BA" w:rsidRDefault="00F053BA" w:rsidP="00F053BA">
      <w:pPr>
        <w:pStyle w:val="PlainText"/>
        <w:jc w:val="center"/>
        <w:rPr>
          <w:rFonts w:ascii="Arial" w:hAnsi="Arial" w:cs="Arial"/>
          <w:b/>
          <w:color w:val="auto"/>
          <w:sz w:val="18"/>
          <w:lang w:val="ru-RU"/>
        </w:rPr>
      </w:pPr>
      <w:r w:rsidRPr="00F053BA">
        <w:rPr>
          <w:rFonts w:ascii="Arial" w:hAnsi="Arial"/>
          <w:b/>
          <w:color w:val="auto"/>
          <w:sz w:val="18"/>
          <w:lang w:val="ru-RU"/>
        </w:rPr>
        <w:t>Своевременность уведомления о дате международной подачи</w:t>
      </w:r>
    </w:p>
    <w:p w:rsidR="00F053BA" w:rsidRPr="00F053BA" w:rsidRDefault="00F053BA" w:rsidP="00F053BA">
      <w:pPr>
        <w:pStyle w:val="PlainText"/>
        <w:jc w:val="center"/>
        <w:rPr>
          <w:rFonts w:ascii="Arial" w:hAnsi="Arial" w:cs="Arial"/>
          <w:b/>
          <w:color w:val="auto"/>
          <w:sz w:val="18"/>
          <w:lang w:val="ru-RU"/>
        </w:rPr>
      </w:pPr>
    </w:p>
    <w:p w:rsidR="00F053BA" w:rsidRDefault="00F053BA" w:rsidP="00F053BA">
      <w:pPr>
        <w:pStyle w:val="PlainText"/>
        <w:jc w:val="center"/>
        <w:rPr>
          <w:rFonts w:ascii="Arial" w:hAnsi="Arial" w:cs="Arial"/>
          <w:color w:val="auto"/>
        </w:rPr>
      </w:pPr>
      <w:r>
        <w:rPr>
          <w:rFonts w:ascii="Arial" w:hAnsi="Arial" w:cs="Arial"/>
          <w:noProof/>
          <w:color w:val="auto"/>
          <w:lang w:eastAsia="en-US"/>
        </w:rPr>
        <w:drawing>
          <wp:inline distT="0" distB="0" distL="0" distR="0" wp14:anchorId="42B39A0F" wp14:editId="7F2A1387">
            <wp:extent cx="5940425" cy="2613430"/>
            <wp:effectExtent l="0" t="0" r="317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40425" cy="2613430"/>
                    </a:xfrm>
                    <a:prstGeom prst="rect">
                      <a:avLst/>
                    </a:prstGeom>
                    <a:noFill/>
                    <a:ln>
                      <a:noFill/>
                    </a:ln>
                  </pic:spPr>
                </pic:pic>
              </a:graphicData>
            </a:graphic>
          </wp:inline>
        </w:drawing>
      </w:r>
    </w:p>
    <w:p w:rsidR="00F053BA" w:rsidRPr="0054556A" w:rsidRDefault="00F053BA" w:rsidP="00F053BA">
      <w:pPr>
        <w:pStyle w:val="PlainText"/>
        <w:ind w:left="567"/>
        <w:rPr>
          <w:rFonts w:ascii="Arial" w:hAnsi="Arial" w:cs="Arial"/>
          <w:color w:val="auto"/>
        </w:rPr>
      </w:pPr>
    </w:p>
    <w:p w:rsidR="00F053BA" w:rsidRPr="0054556A" w:rsidRDefault="00F053BA" w:rsidP="00F053BA">
      <w:pPr>
        <w:pStyle w:val="PlainText"/>
        <w:ind w:left="567"/>
        <w:rPr>
          <w:rFonts w:ascii="Arial" w:hAnsi="Arial" w:cs="Arial"/>
          <w:i/>
          <w:color w:val="auto"/>
        </w:rPr>
      </w:pPr>
    </w:p>
    <w:p w:rsidR="00F053BA" w:rsidRPr="0054556A" w:rsidRDefault="00F053BA" w:rsidP="00F053BA">
      <w:pPr>
        <w:pStyle w:val="PlainText"/>
        <w:rPr>
          <w:rFonts w:ascii="Arial" w:hAnsi="Arial" w:cs="Arial"/>
          <w:i/>
          <w:color w:val="auto"/>
        </w:rPr>
      </w:pPr>
      <w:r>
        <w:rPr>
          <w:rFonts w:ascii="Arial" w:hAnsi="Arial"/>
          <w:i/>
          <w:color w:val="auto"/>
        </w:rPr>
        <w:t>Своевременность передачи копии для поиска</w:t>
      </w:r>
    </w:p>
    <w:p w:rsidR="00F053BA" w:rsidRPr="0054556A" w:rsidRDefault="00F053BA" w:rsidP="00F053BA">
      <w:pPr>
        <w:pStyle w:val="PlainText"/>
        <w:rPr>
          <w:rFonts w:ascii="Arial" w:hAnsi="Arial" w:cs="Arial"/>
          <w:color w:val="auto"/>
        </w:rPr>
      </w:pPr>
    </w:p>
    <w:p w:rsidR="00F053BA" w:rsidRPr="00F053BA" w:rsidRDefault="00F053BA" w:rsidP="00F053BA">
      <w:pPr>
        <w:numPr>
          <w:ilvl w:val="0"/>
          <w:numId w:val="55"/>
        </w:numPr>
        <w:jc w:val="both"/>
        <w:rPr>
          <w:lang w:val="ru-RU"/>
        </w:rPr>
      </w:pPr>
      <w:r w:rsidRPr="00F053BA">
        <w:rPr>
          <w:lang w:val="ru-RU"/>
        </w:rPr>
        <w:t>Данный показатель отражает время, которое требуется ПВ/МБ для передачи в МПО копий для поиска.  Копии для поиска должны передаваться незамедлительно после уплаты пошлины за поиск, с тем чтобы МПО могли составлять ОМП в сроки, установленные в нормативных документах РСТ.  Задержки в уплате пошлины ведут к задержкам в передаче в МПО копий для поиска, что отрицательно сказывается на способности МПО соблюдать данные сроки.</w:t>
      </w:r>
    </w:p>
    <w:p w:rsidR="00F053BA" w:rsidRPr="00F053BA" w:rsidRDefault="00F053BA" w:rsidP="00F053BA">
      <w:pPr>
        <w:jc w:val="both"/>
        <w:rPr>
          <w:lang w:val="ru-RU"/>
        </w:rPr>
      </w:pPr>
    </w:p>
    <w:p w:rsidR="00F053BA" w:rsidRPr="00F053BA" w:rsidRDefault="00F053BA" w:rsidP="00F053BA">
      <w:pPr>
        <w:jc w:val="both"/>
        <w:rPr>
          <w:lang w:val="ru-RU"/>
        </w:rPr>
      </w:pPr>
    </w:p>
    <w:p w:rsidR="00F053BA" w:rsidRPr="00F053BA" w:rsidRDefault="00F053BA" w:rsidP="00F053BA">
      <w:pPr>
        <w:rPr>
          <w:lang w:val="ru-RU"/>
        </w:rPr>
      </w:pPr>
    </w:p>
    <w:p w:rsidR="00F053BA" w:rsidRPr="000D2666" w:rsidRDefault="00F053BA" w:rsidP="00F053BA">
      <w:pPr>
        <w:pStyle w:val="PlainText"/>
        <w:jc w:val="center"/>
        <w:rPr>
          <w:rFonts w:ascii="Arial" w:hAnsi="Arial" w:cs="Arial"/>
          <w:b/>
          <w:color w:val="auto"/>
          <w:sz w:val="18"/>
        </w:rPr>
      </w:pPr>
      <w:r>
        <w:rPr>
          <w:rFonts w:ascii="Arial" w:hAnsi="Arial"/>
          <w:b/>
          <w:color w:val="auto"/>
          <w:sz w:val="18"/>
        </w:rPr>
        <w:t>Своевременность передачи копии для поиска</w:t>
      </w:r>
    </w:p>
    <w:p w:rsidR="00F053BA" w:rsidRDefault="00F053BA" w:rsidP="00F053BA">
      <w:r>
        <w:rPr>
          <w:noProof/>
        </w:rPr>
        <w:drawing>
          <wp:inline distT="0" distB="0" distL="0" distR="0" wp14:anchorId="0C3C1955" wp14:editId="78A48BF2">
            <wp:extent cx="5940425" cy="2721727"/>
            <wp:effectExtent l="0" t="0" r="3175" b="254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0425" cy="2721727"/>
                    </a:xfrm>
                    <a:prstGeom prst="rect">
                      <a:avLst/>
                    </a:prstGeom>
                    <a:noFill/>
                    <a:ln>
                      <a:noFill/>
                    </a:ln>
                  </pic:spPr>
                </pic:pic>
              </a:graphicData>
            </a:graphic>
          </wp:inline>
        </w:drawing>
      </w:r>
    </w:p>
    <w:p w:rsidR="005D264A" w:rsidRPr="00F053BA" w:rsidRDefault="005D264A" w:rsidP="00F053BA">
      <w:pPr>
        <w:ind w:left="6804" w:firstLine="567"/>
        <w:rPr>
          <w:rFonts w:cs="Arial"/>
          <w:lang w:val="ru-RU"/>
        </w:rPr>
      </w:pPr>
      <w:r w:rsidRPr="00F053BA">
        <w:rPr>
          <w:rFonts w:cs="Arial"/>
          <w:lang w:val="ru-RU"/>
        </w:rPr>
        <w:t>[</w:t>
      </w:r>
      <w:r w:rsidR="00F053BA">
        <w:rPr>
          <w:rFonts w:cs="Arial"/>
          <w:lang w:val="ru-RU"/>
        </w:rPr>
        <w:t>Конец приложения</w:t>
      </w:r>
      <w:r w:rsidRPr="00F053BA">
        <w:rPr>
          <w:rFonts w:cs="Arial"/>
          <w:lang w:val="ru-RU"/>
        </w:rPr>
        <w:t>]</w:t>
      </w:r>
    </w:p>
    <w:p w:rsidR="009F72A7" w:rsidRPr="00F053BA" w:rsidRDefault="009F72A7">
      <w:pPr>
        <w:rPr>
          <w:lang w:val="ru-RU"/>
        </w:rPr>
      </w:pPr>
      <w:r w:rsidRPr="00F053BA">
        <w:rPr>
          <w:lang w:val="ru-RU"/>
        </w:rPr>
        <w:br w:type="page"/>
      </w:r>
    </w:p>
    <w:p w:rsidR="00F053BA" w:rsidRPr="00F053BA" w:rsidRDefault="00F053BA" w:rsidP="00F053BA">
      <w:pPr>
        <w:pStyle w:val="Heading2"/>
        <w:tabs>
          <w:tab w:val="clear" w:pos="567"/>
          <w:tab w:val="left" w:pos="1985"/>
        </w:tabs>
        <w:rPr>
          <w:lang w:val="ru-RU"/>
        </w:rPr>
      </w:pPr>
      <w:bookmarkStart w:id="66" w:name="_Toc422210484"/>
      <w:bookmarkStart w:id="67" w:name="_Toc455388108"/>
      <w:r w:rsidRPr="00F053BA">
        <w:rPr>
          <w:lang w:val="ru-RU"/>
        </w:rPr>
        <w:t>ПРОГРАММА 6</w:t>
      </w:r>
      <w:r w:rsidRPr="00F053BA">
        <w:rPr>
          <w:lang w:val="ru-RU"/>
        </w:rPr>
        <w:tab/>
      </w:r>
      <w:r w:rsidR="00B81C37">
        <w:rPr>
          <w:lang w:val="ru-RU"/>
        </w:rPr>
        <w:tab/>
      </w:r>
      <w:r w:rsidRPr="00F053BA">
        <w:rPr>
          <w:lang w:val="ru-RU"/>
        </w:rPr>
        <w:t>МАДРИДСКАЯ И ЛИССАБОНСКАЯ СИСТЕМЫ</w:t>
      </w:r>
      <w:bookmarkEnd w:id="66"/>
      <w:bookmarkEnd w:id="67"/>
    </w:p>
    <w:p w:rsidR="00F053BA" w:rsidRPr="00F053BA" w:rsidRDefault="00F053BA" w:rsidP="00F053BA">
      <w:pPr>
        <w:rPr>
          <w:szCs w:val="20"/>
          <w:lang w:val="ru-RU"/>
        </w:rPr>
      </w:pPr>
    </w:p>
    <w:p w:rsidR="00F053BA" w:rsidRPr="00F053BA" w:rsidRDefault="00F053BA" w:rsidP="00F053BA">
      <w:pPr>
        <w:tabs>
          <w:tab w:val="left" w:pos="1985"/>
        </w:tabs>
        <w:rPr>
          <w:b/>
          <w:szCs w:val="22"/>
          <w:lang w:val="ru-RU"/>
        </w:rPr>
      </w:pPr>
      <w:r w:rsidRPr="00F053BA">
        <w:rPr>
          <w:b/>
          <w:lang w:val="ru-RU"/>
        </w:rPr>
        <w:t xml:space="preserve">Руководитель программы: </w:t>
      </w:r>
      <w:r w:rsidRPr="00F053BA">
        <w:rPr>
          <w:lang w:val="ru-RU"/>
        </w:rPr>
        <w:tab/>
      </w:r>
      <w:r w:rsidRPr="00F053BA">
        <w:rPr>
          <w:b/>
          <w:lang w:val="ru-RU"/>
        </w:rPr>
        <w:t>г-жа Б. Ван</w:t>
      </w:r>
    </w:p>
    <w:p w:rsidR="00F053BA" w:rsidRPr="00F053BA" w:rsidRDefault="00F053BA" w:rsidP="00F053BA">
      <w:pPr>
        <w:rPr>
          <w:lang w:val="ru-RU"/>
        </w:rPr>
      </w:pPr>
    </w:p>
    <w:p w:rsidR="00F053BA" w:rsidRPr="00F053BA" w:rsidRDefault="00F053BA" w:rsidP="00F053BA">
      <w:pPr>
        <w:rPr>
          <w:lang w:val="ru-RU"/>
        </w:rPr>
      </w:pPr>
    </w:p>
    <w:p w:rsidR="00F053BA" w:rsidRPr="00F053BA" w:rsidRDefault="00F053BA" w:rsidP="00F053BA">
      <w:pPr>
        <w:rPr>
          <w:bCs/>
          <w:szCs w:val="22"/>
          <w:lang w:val="ru-RU"/>
        </w:rPr>
      </w:pPr>
      <w:r w:rsidRPr="00F053BA">
        <w:rPr>
          <w:lang w:val="ru-RU"/>
        </w:rPr>
        <w:t>ОБЗОР ДОСТИЖЕНИЙ ЗА ДВУХЛЕТНИЙ ПЕРИОД 2014–2015 ГГ.</w:t>
      </w:r>
    </w:p>
    <w:p w:rsidR="00F053BA" w:rsidRPr="00F053BA" w:rsidRDefault="00F053BA" w:rsidP="00F053BA">
      <w:pPr>
        <w:rPr>
          <w:szCs w:val="20"/>
          <w:lang w:val="ru-RU"/>
        </w:rPr>
      </w:pPr>
    </w:p>
    <w:p w:rsidR="00F053BA" w:rsidRPr="00476712" w:rsidRDefault="00F053BA" w:rsidP="00F053BA">
      <w:pPr>
        <w:spacing w:after="200" w:line="276" w:lineRule="auto"/>
        <w:rPr>
          <w:rFonts w:eastAsiaTheme="minorHAnsi" w:cs="Arial"/>
          <w:szCs w:val="20"/>
        </w:rPr>
      </w:pPr>
      <w:r>
        <w:t>A.</w:t>
      </w:r>
      <w:r>
        <w:tab/>
        <w:t>МАДРИДСКАЯ СИСТЕМА</w:t>
      </w: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В рассматриваемый двухлетний период наблюдалось расширение географического охвата Мадридской системы. В 2014</w:t>
      </w:r>
      <w:r>
        <w:t> </w:t>
      </w:r>
      <w:r w:rsidRPr="00F053BA">
        <w:rPr>
          <w:lang w:val="ru-RU"/>
        </w:rPr>
        <w:t>г. к Мадридскому протоколу присоединились Зимбабве и Африканская организация интеллектуальной собственности (АОИС). Поскольку АОИС является межправительственной организацией, в состав которой входят 17 стран, только в результате этих двух присоединений число стран, в которых пользователи имеют возможность в централизованном порядке через Мадридскую систему обеспечивать охрану своих товарных знаков и управлять ими, возросло с 94 до 110 только за 2014</w:t>
      </w:r>
      <w:r>
        <w:t> </w:t>
      </w:r>
      <w:r w:rsidRPr="00F053BA">
        <w:rPr>
          <w:lang w:val="ru-RU"/>
        </w:rPr>
        <w:t>г.  В 2015</w:t>
      </w:r>
      <w:r>
        <w:t> </w:t>
      </w:r>
      <w:r w:rsidRPr="00F053BA">
        <w:rPr>
          <w:lang w:val="ru-RU"/>
        </w:rPr>
        <w:t>г. Алжир, Камбоджа, Гамбия и Лаосская Народно-Демократическая Республика также присоединились к Протоколу, в результате чего к концу двухлетнего периода общее число Договаривающихся сторон достигло 97, охватив 113</w:t>
      </w:r>
      <w:r>
        <w:t> </w:t>
      </w:r>
      <w:r w:rsidRPr="00F053BA">
        <w:rPr>
          <w:lang w:val="ru-RU"/>
        </w:rPr>
        <w:t>стран.  Поскольку Алжир был последней Договаривающейся стороной Мадридского союза, которая была членом только Мадридского соглашения, теперь Мадридская система в практических целях функционирует как единая договорная система.</w:t>
      </w:r>
    </w:p>
    <w:p w:rsidR="00F053BA" w:rsidRPr="00F053BA" w:rsidRDefault="00F053BA" w:rsidP="00F053BA">
      <w:pPr>
        <w:pStyle w:val="ListParagraph"/>
        <w:tabs>
          <w:tab w:val="left" w:pos="709"/>
        </w:tabs>
        <w:ind w:left="0"/>
        <w:jc w:val="both"/>
        <w:rPr>
          <w:rFonts w:cs="Arial"/>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В 2014</w:t>
      </w:r>
      <w:r>
        <w:t> </w:t>
      </w:r>
      <w:r w:rsidRPr="00F053BA">
        <w:rPr>
          <w:lang w:val="ru-RU"/>
        </w:rPr>
        <w:t>г. активность использования Мадридской системы возросла на 2,3</w:t>
      </w:r>
      <w:r>
        <w:t> </w:t>
      </w:r>
      <w:r w:rsidRPr="00F053BA">
        <w:rPr>
          <w:lang w:val="ru-RU"/>
        </w:rPr>
        <w:t>процента по сравнению с 2013</w:t>
      </w:r>
      <w:r>
        <w:t> </w:t>
      </w:r>
      <w:r w:rsidRPr="00F053BA">
        <w:rPr>
          <w:lang w:val="ru-RU"/>
        </w:rPr>
        <w:t>г., а общее число полученных заявок достигло 47</w:t>
      </w:r>
      <w:r>
        <w:t> </w:t>
      </w:r>
      <w:r w:rsidRPr="00F053BA">
        <w:rPr>
          <w:lang w:val="ru-RU"/>
        </w:rPr>
        <w:t>885. В 2014</w:t>
      </w:r>
      <w:r>
        <w:t> </w:t>
      </w:r>
      <w:r w:rsidRPr="00F053BA">
        <w:rPr>
          <w:lang w:val="ru-RU"/>
        </w:rPr>
        <w:t>г. Соединенные Штаты Америки обошли Германию, став крупнейшим пользователем Мадридской системы, что стало свидетельством ее географической трансформации.  В 2015</w:t>
      </w:r>
      <w:r>
        <w:t> </w:t>
      </w:r>
      <w:r w:rsidRPr="00F053BA">
        <w:rPr>
          <w:lang w:val="ru-RU"/>
        </w:rPr>
        <w:t>г. было получено в общей сложности 49</w:t>
      </w:r>
      <w:r>
        <w:t> </w:t>
      </w:r>
      <w:r w:rsidRPr="00F053BA">
        <w:rPr>
          <w:lang w:val="ru-RU"/>
        </w:rPr>
        <w:t>273 заявки, на 2,9</w:t>
      </w:r>
      <w:r>
        <w:t> </w:t>
      </w:r>
      <w:r w:rsidRPr="00F053BA">
        <w:rPr>
          <w:lang w:val="ru-RU"/>
        </w:rPr>
        <w:t>процента больше, чем в 2014</w:t>
      </w:r>
      <w:r>
        <w:t> </w:t>
      </w:r>
      <w:r w:rsidRPr="00F053BA">
        <w:rPr>
          <w:lang w:val="ru-RU"/>
        </w:rPr>
        <w:t>г.  Это подтверждает уверенный рост на протяжении двухлетнего периода, особенно учитывая, что из-за удорожания швейцарского франка в 2015</w:t>
      </w:r>
      <w:r>
        <w:t> </w:t>
      </w:r>
      <w:r w:rsidRPr="00F053BA">
        <w:rPr>
          <w:lang w:val="ru-RU"/>
        </w:rPr>
        <w:t>г. использование Мадридской системы стало дороже для заявителей из целого ряда стран, где подается большое число заявок.</w:t>
      </w:r>
    </w:p>
    <w:p w:rsidR="00F053BA" w:rsidRPr="00F053BA" w:rsidRDefault="00F053BA" w:rsidP="00F053BA">
      <w:pPr>
        <w:pStyle w:val="ListParagraph"/>
        <w:tabs>
          <w:tab w:val="left" w:pos="709"/>
        </w:tabs>
        <w:ind w:left="0"/>
        <w:jc w:val="both"/>
        <w:rPr>
          <w:rFonts w:cs="Arial"/>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На основе обсуждений Рабочей группы по правовому развитию Мадридской системы Ассамблея Мадридского союза внесла ряд важных изменений в Общую инструкцию, в частности следующие: (</w:t>
      </w:r>
      <w:r>
        <w:t>i</w:t>
      </w:r>
      <w:r w:rsidRPr="00F053BA">
        <w:rPr>
          <w:lang w:val="ru-RU"/>
        </w:rPr>
        <w:t>)</w:t>
      </w:r>
      <w:r>
        <w:t> </w:t>
      </w:r>
      <w:r w:rsidRPr="00F053BA">
        <w:rPr>
          <w:lang w:val="ru-RU"/>
        </w:rPr>
        <w:t>для тех заявителей или владельцев прав, которым не удалось уложиться в установленные сроки выполнения конкретных процедур в МБ, была введена возможность «непрерывного оформления»; (</w:t>
      </w:r>
      <w:r>
        <w:t>ii</w:t>
      </w:r>
      <w:r w:rsidRPr="00F053BA">
        <w:rPr>
          <w:lang w:val="ru-RU"/>
        </w:rPr>
        <w:t>)</w:t>
      </w:r>
      <w:r>
        <w:t> </w:t>
      </w:r>
      <w:r w:rsidRPr="00F053BA">
        <w:rPr>
          <w:lang w:val="ru-RU"/>
        </w:rPr>
        <w:t>процедура продления регистрации была упрощена с правовой точки зрения благодаря введению возможности продления международной регистрации только в отношении ограниченного перечня товаров и услуг, тогда как ранее до продления регистрации необходимо было подать заявку на регистрацию ограничения; (</w:t>
      </w:r>
      <w:r>
        <w:t>iii</w:t>
      </w:r>
      <w:r w:rsidRPr="00F053BA">
        <w:rPr>
          <w:lang w:val="ru-RU"/>
        </w:rPr>
        <w:t>)</w:t>
      </w:r>
      <w:r>
        <w:t> </w:t>
      </w:r>
      <w:r w:rsidRPr="00F053BA">
        <w:rPr>
          <w:lang w:val="ru-RU"/>
        </w:rPr>
        <w:t>несоблюдение срока направления сообщения, адресованного Международному бюро и отправленного с помощью электронных средств связи, будет считаться оправданным в том случае, если сторона предоставит убедительные доказательства того, что это вызвано сбоем в электронной связи с МБ или сбоем связи по месту нахождения стороны ввиду чрезвычайных обстоятельств; (</w:t>
      </w:r>
      <w:r>
        <w:t>iv</w:t>
      </w:r>
      <w:r w:rsidRPr="00F053BA">
        <w:rPr>
          <w:lang w:val="ru-RU"/>
        </w:rPr>
        <w:t>)</w:t>
      </w:r>
      <w:r>
        <w:t> </w:t>
      </w:r>
      <w:r w:rsidRPr="00F053BA">
        <w:rPr>
          <w:lang w:val="ru-RU"/>
        </w:rPr>
        <w:t>внесены изменения, касающиеся адреса для деловой переписки, адреса электронной почты или любых других средств связи, если заявитель или правообладатель освобожден от уплаты пошлин; (</w:t>
      </w:r>
      <w:r>
        <w:t>v</w:t>
      </w:r>
      <w:r w:rsidRPr="00F053BA">
        <w:rPr>
          <w:lang w:val="ru-RU"/>
        </w:rPr>
        <w:t>)</w:t>
      </w:r>
      <w:r>
        <w:t> </w:t>
      </w:r>
      <w:r w:rsidRPr="00F053BA">
        <w:rPr>
          <w:lang w:val="ru-RU"/>
        </w:rPr>
        <w:t>заявителям будет разрешено предоставлять добровольное описание знака, которое может быть использовано, чтобы избежать предварительного отказа;  (</w:t>
      </w:r>
      <w:r>
        <w:t>vi</w:t>
      </w:r>
      <w:r w:rsidRPr="00F053BA">
        <w:rPr>
          <w:lang w:val="ru-RU"/>
        </w:rPr>
        <w:t>)</w:t>
      </w:r>
      <w:r>
        <w:t> </w:t>
      </w:r>
      <w:r w:rsidRPr="00F053BA">
        <w:rPr>
          <w:lang w:val="ru-RU"/>
        </w:rPr>
        <w:t>были даны пояснения относительно уровня экспертизы, проводимой МБ в отношении перечня товаров и услуг в последующем указании; и (</w:t>
      </w:r>
      <w:r>
        <w:t>vii</w:t>
      </w:r>
      <w:r w:rsidRPr="00F053BA">
        <w:rPr>
          <w:lang w:val="ru-RU"/>
        </w:rPr>
        <w:t>)</w:t>
      </w:r>
      <w:r>
        <w:t> </w:t>
      </w:r>
      <w:r w:rsidRPr="00F053BA">
        <w:rPr>
          <w:lang w:val="ru-RU"/>
        </w:rPr>
        <w:t>если Соединенные Штаты Америки и иные Договаривающиеся стороны были включены в последующее указание, а заявление о намерении использовать знак не было предоставлено или исправлено, такое нарушение больше не будет влиять на остальные указанные Договаривающиеся стороны. Некоторые изменения вступили в силу в январе 2015</w:t>
      </w:r>
      <w:r>
        <w:t> </w:t>
      </w:r>
      <w:r w:rsidRPr="00F053BA">
        <w:rPr>
          <w:lang w:val="ru-RU"/>
        </w:rPr>
        <w:t>г., а некоторые вступят в силу 1 апреля 2016</w:t>
      </w:r>
      <w:r>
        <w:t> </w:t>
      </w:r>
      <w:r w:rsidRPr="00F053BA">
        <w:rPr>
          <w:lang w:val="ru-RU"/>
        </w:rPr>
        <w:t>г. и 1 ноября 2017</w:t>
      </w:r>
      <w:r>
        <w:t> </w:t>
      </w:r>
      <w:r w:rsidRPr="00F053BA">
        <w:rPr>
          <w:lang w:val="ru-RU"/>
        </w:rPr>
        <w:t xml:space="preserve">г. </w:t>
      </w:r>
    </w:p>
    <w:p w:rsidR="00F053BA" w:rsidRPr="00F053BA" w:rsidRDefault="00F053BA" w:rsidP="00F053BA">
      <w:pPr>
        <w:pStyle w:val="ListParagraph"/>
        <w:tabs>
          <w:tab w:val="left" w:pos="709"/>
        </w:tabs>
        <w:ind w:left="0"/>
        <w:jc w:val="both"/>
        <w:rPr>
          <w:rFonts w:cs="Arial"/>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В начале 2014</w:t>
      </w:r>
      <w:r>
        <w:t> </w:t>
      </w:r>
      <w:r w:rsidRPr="00F053BA">
        <w:rPr>
          <w:lang w:val="ru-RU"/>
        </w:rPr>
        <w:t>г. началось осуществление масштабной и долгосрочной инициативы по реформированию системы, чтобы повысить уровень зрелости ее операционной платформы.  Основные области, затронутые этой инициативой, включали в себя: (</w:t>
      </w:r>
      <w:r>
        <w:t>i</w:t>
      </w:r>
      <w:r w:rsidRPr="00F053BA">
        <w:rPr>
          <w:lang w:val="ru-RU"/>
        </w:rPr>
        <w:t>)</w:t>
      </w:r>
      <w:r>
        <w:t> </w:t>
      </w:r>
      <w:r w:rsidRPr="00F053BA">
        <w:rPr>
          <w:lang w:val="ru-RU"/>
        </w:rPr>
        <w:t>планирование работы и связанные с этим процессы, (</w:t>
      </w:r>
      <w:r>
        <w:t>ii</w:t>
      </w:r>
      <w:r w:rsidRPr="00F053BA">
        <w:rPr>
          <w:lang w:val="ru-RU"/>
        </w:rPr>
        <w:t>)</w:t>
      </w:r>
      <w:r>
        <w:t> </w:t>
      </w:r>
      <w:r w:rsidRPr="00F053BA">
        <w:rPr>
          <w:lang w:val="ru-RU"/>
        </w:rPr>
        <w:t>ИТ; (</w:t>
      </w:r>
      <w:r>
        <w:t>iii</w:t>
      </w:r>
      <w:r w:rsidRPr="00F053BA">
        <w:rPr>
          <w:lang w:val="ru-RU"/>
        </w:rPr>
        <w:t>)</w:t>
      </w:r>
      <w:r>
        <w:t> </w:t>
      </w:r>
      <w:r w:rsidRPr="00F053BA">
        <w:rPr>
          <w:lang w:val="ru-RU"/>
        </w:rPr>
        <w:t>поддержка клиентов; (</w:t>
      </w:r>
      <w:r>
        <w:t>iv</w:t>
      </w:r>
      <w:r w:rsidRPr="00F053BA">
        <w:rPr>
          <w:lang w:val="ru-RU"/>
        </w:rPr>
        <w:t>)</w:t>
      </w:r>
      <w:r>
        <w:t> </w:t>
      </w:r>
      <w:r w:rsidRPr="00F053BA">
        <w:rPr>
          <w:lang w:val="ru-RU"/>
        </w:rPr>
        <w:t>документация по экспертизе; (</w:t>
      </w:r>
      <w:r>
        <w:t>v</w:t>
      </w:r>
      <w:r w:rsidRPr="00F053BA">
        <w:rPr>
          <w:lang w:val="ru-RU"/>
        </w:rPr>
        <w:t>)</w:t>
      </w:r>
      <w:r>
        <w:t> </w:t>
      </w:r>
      <w:r w:rsidRPr="00F053BA">
        <w:rPr>
          <w:lang w:val="ru-RU"/>
        </w:rPr>
        <w:t>обработка пошлин; и (</w:t>
      </w:r>
      <w:r>
        <w:t>vi</w:t>
      </w:r>
      <w:r w:rsidRPr="00F053BA">
        <w:rPr>
          <w:lang w:val="ru-RU"/>
        </w:rPr>
        <w:t>)</w:t>
      </w:r>
      <w:r>
        <w:t> </w:t>
      </w:r>
      <w:r w:rsidRPr="00F053BA">
        <w:rPr>
          <w:lang w:val="ru-RU"/>
        </w:rPr>
        <w:t>обеспечение бесперебойного функционирования. Осуществление этих проектов потребовало привлечения определенных ресурсов, которые ранее использовались для экспертизы заявок и других видов деятельности. В результате в 2014</w:t>
      </w:r>
      <w:r>
        <w:t> </w:t>
      </w:r>
      <w:r w:rsidRPr="00F053BA">
        <w:rPr>
          <w:lang w:val="ru-RU"/>
        </w:rPr>
        <w:t>г. увеличилось отставание в выполнении различных связанных с экспертизой операций и имели место иные операционные задержки.  Однако были приняты меры по исправлению ситуации, включая привлечение на гибкой основе ряда дополнительных сотрудников, что позволило МБ в 2015</w:t>
      </w:r>
      <w:r>
        <w:t> </w:t>
      </w:r>
      <w:r w:rsidRPr="00F053BA">
        <w:rPr>
          <w:lang w:val="ru-RU"/>
        </w:rPr>
        <w:t>г. исправить ситуацию.  По состоянию на конец двухлетнего периода сроки ожидания по всем операциям, связанным с экспертизой, находились на среднем уровне за пятилетний период или меньше.  Кроме того, благодаря большому числу регистраций в 2015</w:t>
      </w:r>
      <w:r>
        <w:t> </w:t>
      </w:r>
      <w:r w:rsidRPr="00F053BA">
        <w:rPr>
          <w:lang w:val="ru-RU"/>
        </w:rPr>
        <w:t>г. (в результате устранения отставания в рассмотрении заявок) уровень дохода в двухлетний период превысил заложенные в бюджет целевые показатели на шесть процентов. Параллельно с осуществлением этой деятельности был достигнут существенный прогресс в других реформируемых областях, упомянутых выше, в частности в сфере поддержки клиентов, контроля качества экспертизы и обеспечения бесперебойного функционирования, результаты чего, как ожидается, станут очевидны в ближайшие годы.  По мере постепенной стабилизации операционной платформы в 2015</w:t>
      </w:r>
      <w:r>
        <w:t> </w:t>
      </w:r>
      <w:r w:rsidRPr="00F053BA">
        <w:rPr>
          <w:lang w:val="ru-RU"/>
        </w:rPr>
        <w:t>г. руководство смогло обратить внимание на вопросы маркетинга и продвижения, а также стратегической эволюции самой Мадридской системы.</w:t>
      </w:r>
    </w:p>
    <w:p w:rsidR="00F053BA" w:rsidRPr="00F053BA" w:rsidRDefault="00F053BA" w:rsidP="00F053BA">
      <w:pPr>
        <w:pStyle w:val="ListParagraph"/>
        <w:tabs>
          <w:tab w:val="left" w:pos="709"/>
        </w:tabs>
        <w:ind w:left="0"/>
        <w:jc w:val="both"/>
        <w:rPr>
          <w:rFonts w:cs="Arial"/>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После выполнения рекомендаций независимого обзора подготовительных мер, необходимых для внедрения  модернизированных бэк-офисных систем ИКТ, обеспечивающих функционирование Мадридского реестра, и особенно запуска соответствующих программ по трансформации методов работы и ИКТ было запланировано комплексное тестирование таких модернизированных бэк-офисных систем на приемлемость для пользователей. При условии получения положительных результатов тестирования системы в окончательном виде и пользовательского тестирования было запланировано ее внедрение в марте 2016</w:t>
      </w:r>
      <w:r>
        <w:t> </w:t>
      </w:r>
      <w:r w:rsidRPr="00F053BA">
        <w:rPr>
          <w:lang w:val="ru-RU"/>
        </w:rPr>
        <w:t>г.  Что касается фронт-офисных систем ИКТ, то работа в этой области продолжается.</w:t>
      </w:r>
      <w:r>
        <w:t> </w:t>
      </w:r>
      <w:r w:rsidRPr="00F053BA">
        <w:rPr>
          <w:lang w:val="ru-RU"/>
        </w:rPr>
        <w:t xml:space="preserve">  Был достигнут прогресс в разработке продвинутой системы поиска </w:t>
      </w:r>
      <w:r>
        <w:t>Madrid</w:t>
      </w:r>
      <w:r w:rsidRPr="00F053BA">
        <w:rPr>
          <w:lang w:val="ru-RU"/>
        </w:rPr>
        <w:t xml:space="preserve"> </w:t>
      </w:r>
      <w:r>
        <w:t>Monitor</w:t>
      </w:r>
      <w:r w:rsidRPr="00F053BA">
        <w:rPr>
          <w:lang w:val="ru-RU"/>
        </w:rPr>
        <w:t>, начало тестирования бета-версии которой назначено на второй квартал 2016</w:t>
      </w:r>
      <w:r>
        <w:t> </w:t>
      </w:r>
      <w:r w:rsidRPr="00F053BA">
        <w:rPr>
          <w:lang w:val="ru-RU"/>
        </w:rPr>
        <w:t xml:space="preserve">г.  Кроме того, был достигнут прогресс в расширении онлайнового присутствия Мадридской системы, в частности были внесены изменения в функциональные характеристики формы электронного продления </w:t>
      </w:r>
      <w:r>
        <w:t>eRenewal</w:t>
      </w:r>
      <w:r w:rsidRPr="00F053BA">
        <w:rPr>
          <w:lang w:val="ru-RU"/>
        </w:rPr>
        <w:t xml:space="preserve"> на основании новых нормативно-правовых положений.</w:t>
      </w:r>
    </w:p>
    <w:p w:rsidR="00F053BA" w:rsidRPr="00F053BA" w:rsidRDefault="00F053BA" w:rsidP="00F053BA">
      <w:pPr>
        <w:rPr>
          <w:szCs w:val="20"/>
          <w:lang w:val="ru-RU"/>
        </w:rPr>
      </w:pPr>
    </w:p>
    <w:p w:rsidR="00F053BA" w:rsidRPr="00245B72" w:rsidRDefault="00F053BA" w:rsidP="00F053BA">
      <w:pPr>
        <w:rPr>
          <w:szCs w:val="20"/>
        </w:rPr>
      </w:pPr>
      <w:r>
        <w:t>B.</w:t>
      </w:r>
      <w:r>
        <w:tab/>
        <w:t>ЛИССАБОНСКАЯ СИСТЕМА</w:t>
      </w:r>
    </w:p>
    <w:p w:rsidR="00F053BA" w:rsidRPr="00245B72" w:rsidRDefault="00F053BA" w:rsidP="00F053BA">
      <w:pPr>
        <w:jc w:val="both"/>
        <w:rPr>
          <w:szCs w:val="20"/>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В 2009</w:t>
      </w:r>
      <w:r>
        <w:t> </w:t>
      </w:r>
      <w:r w:rsidRPr="00F053BA">
        <w:rPr>
          <w:lang w:val="ru-RU"/>
        </w:rPr>
        <w:t>г. Ассамблея Лиссабонского союза поручила Рабочей группе по развитию Лиссабонской системы провести ее полномасштабный анализ в целях повышения привлекательности системы для пользователей и потенциальных новых членов при одновременном соблюдении принципов и целей Лиссабонского соглашения.  Учитывая прогресс, которого удалось добиться Рабочей группе, Ассамблея Лиссабонского союза приняла в 2013 г. решение созвать в 2015 г. дипломатическую конференцию для принятия пересмотренного текста Лиссабонского соглашения об охране наименований мест происхождения и географических указаний. В октябре 2014</w:t>
      </w:r>
      <w:r>
        <w:t> </w:t>
      </w:r>
      <w:r w:rsidRPr="00F053BA">
        <w:rPr>
          <w:lang w:val="ru-RU"/>
        </w:rPr>
        <w:t>г. Рабочая группа завершила подготовительную работу. С 11 по 21</w:t>
      </w:r>
      <w:r>
        <w:t> </w:t>
      </w:r>
      <w:r w:rsidRPr="00F053BA">
        <w:rPr>
          <w:lang w:val="ru-RU"/>
        </w:rPr>
        <w:t>мая 2015</w:t>
      </w:r>
      <w:r>
        <w:t> </w:t>
      </w:r>
      <w:r w:rsidRPr="00F053BA">
        <w:rPr>
          <w:lang w:val="ru-RU"/>
        </w:rPr>
        <w:t>г. в Женеве прошла дипломатическая конференция для принятия Нового акта Лиссабонского соглашения, и 20</w:t>
      </w:r>
      <w:r>
        <w:t> </w:t>
      </w:r>
      <w:r w:rsidRPr="00F053BA">
        <w:rPr>
          <w:lang w:val="ru-RU"/>
        </w:rPr>
        <w:t>мая 2015</w:t>
      </w:r>
      <w:r>
        <w:t> </w:t>
      </w:r>
      <w:r w:rsidRPr="00F053BA">
        <w:rPr>
          <w:lang w:val="ru-RU"/>
        </w:rPr>
        <w:t>г. был принят Женевский акт Лиссабонского соглашения о наименованиях мест происхождения и географических указаниях.</w:t>
      </w:r>
    </w:p>
    <w:p w:rsidR="00F053BA" w:rsidRPr="00F053BA" w:rsidRDefault="00F053BA" w:rsidP="00F053BA">
      <w:pPr>
        <w:pStyle w:val="ListParagraph"/>
        <w:tabs>
          <w:tab w:val="left" w:pos="709"/>
        </w:tabs>
        <w:ind w:left="0"/>
        <w:jc w:val="both"/>
        <w:rPr>
          <w:rFonts w:cs="Arial"/>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В Лиссабонский реестр поступило 115</w:t>
      </w:r>
      <w:r>
        <w:t> </w:t>
      </w:r>
      <w:r w:rsidRPr="00F053BA">
        <w:rPr>
          <w:lang w:val="ru-RU"/>
        </w:rPr>
        <w:t>новых заявок на регистрацию наименований мест происхождения, 105</w:t>
      </w:r>
      <w:r>
        <w:t> </w:t>
      </w:r>
      <w:r w:rsidRPr="00F053BA">
        <w:rPr>
          <w:lang w:val="ru-RU"/>
        </w:rPr>
        <w:t xml:space="preserve">заявлений о предоставлении охраны и </w:t>
      </w:r>
      <w:r w:rsidR="00BF2C6E" w:rsidRPr="00BF2C6E">
        <w:rPr>
          <w:lang w:val="ru-RU"/>
        </w:rPr>
        <w:t>39</w:t>
      </w:r>
      <w:r w:rsidRPr="00F053BA">
        <w:rPr>
          <w:lang w:val="ru-RU"/>
        </w:rPr>
        <w:t xml:space="preserve"> заявлений об отказе в предоставлении охраны, что составило в общей сложности 26</w:t>
      </w:r>
      <w:r w:rsidR="00BF2C6E" w:rsidRPr="00BF2C6E">
        <w:rPr>
          <w:lang w:val="ru-RU"/>
        </w:rPr>
        <w:t>7</w:t>
      </w:r>
      <w:r>
        <w:t> </w:t>
      </w:r>
      <w:r w:rsidR="00BF2C6E">
        <w:rPr>
          <w:lang w:val="ru-RU"/>
        </w:rPr>
        <w:t>операций (включая</w:t>
      </w:r>
      <w:r w:rsidR="00BF2C6E" w:rsidRPr="00BF2C6E">
        <w:rPr>
          <w:lang w:val="ru-RU"/>
        </w:rPr>
        <w:t xml:space="preserve"> </w:t>
      </w:r>
      <w:r w:rsidR="00BF2C6E">
        <w:rPr>
          <w:lang w:val="ru-RU"/>
        </w:rPr>
        <w:t>два</w:t>
      </w:r>
      <w:r w:rsidRPr="00F053BA">
        <w:rPr>
          <w:lang w:val="ru-RU"/>
        </w:rPr>
        <w:t xml:space="preserve"> отзыв</w:t>
      </w:r>
      <w:r w:rsidR="00BF2C6E">
        <w:rPr>
          <w:lang w:val="ru-RU"/>
        </w:rPr>
        <w:t>а</w:t>
      </w:r>
      <w:r w:rsidRPr="00F053BA">
        <w:rPr>
          <w:lang w:val="ru-RU"/>
        </w:rPr>
        <w:t xml:space="preserve"> отказа и </w:t>
      </w:r>
      <w:r w:rsidR="00BF2C6E">
        <w:rPr>
          <w:lang w:val="ru-RU"/>
        </w:rPr>
        <w:t>шесть</w:t>
      </w:r>
      <w:r w:rsidRPr="00F053BA">
        <w:rPr>
          <w:lang w:val="ru-RU"/>
        </w:rPr>
        <w:t xml:space="preserve"> исправлений).  В двухлетний период общее число действующих регистраций возросло до 931 (в 2013</w:t>
      </w:r>
      <w:r>
        <w:t> </w:t>
      </w:r>
      <w:r w:rsidRPr="00F053BA">
        <w:rPr>
          <w:lang w:val="ru-RU"/>
        </w:rPr>
        <w:t xml:space="preserve">г. их было 816).  Из них 95 регистраций касались наименований в развивающихся странах или НРС (арабские страны – 14, страны Азиатско-Тихоокеанского региона – 38, страны Латинской Америки и Карибского бассейна – 43).  </w:t>
      </w:r>
    </w:p>
    <w:p w:rsidR="00F053BA" w:rsidRPr="00F053BA" w:rsidRDefault="00F053BA" w:rsidP="00F053BA">
      <w:pPr>
        <w:pStyle w:val="ListParagraph"/>
        <w:tabs>
          <w:tab w:val="left" w:pos="709"/>
        </w:tabs>
        <w:ind w:left="0"/>
        <w:jc w:val="both"/>
        <w:rPr>
          <w:rFonts w:cs="Arial"/>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Число компетентных органов, давших свое согласие на использование электронных средств сообщения при выполнении процедур Лиссабонской системы, возросло до 26 к концу 2015</w:t>
      </w:r>
      <w:r>
        <w:t> </w:t>
      </w:r>
      <w:r w:rsidRPr="00F053BA">
        <w:rPr>
          <w:lang w:val="ru-RU"/>
        </w:rPr>
        <w:t>г. (в 2013</w:t>
      </w:r>
      <w:r>
        <w:t> </w:t>
      </w:r>
      <w:r w:rsidRPr="00F053BA">
        <w:rPr>
          <w:lang w:val="ru-RU"/>
        </w:rPr>
        <w:t xml:space="preserve">г. их было 23).  Была завершена разработка электронного интерфейса, связывающего Международный реестр и базу данных </w:t>
      </w:r>
      <w:r>
        <w:t>Lisbon</w:t>
      </w:r>
      <w:r w:rsidRPr="00F053BA">
        <w:rPr>
          <w:lang w:val="ru-RU"/>
        </w:rPr>
        <w:t xml:space="preserve"> </w:t>
      </w:r>
      <w:r>
        <w:t>Express</w:t>
      </w:r>
      <w:r w:rsidRPr="00F053BA">
        <w:rPr>
          <w:lang w:val="ru-RU"/>
        </w:rPr>
        <w:t xml:space="preserve"> на сайте ВОИС, и в 2014 г. он начал функционировать.  Использование разработанной ВОИС системы уведомления о запросах (</w:t>
      </w:r>
      <w:r>
        <w:t>WINS</w:t>
      </w:r>
      <w:r w:rsidRPr="00F053BA">
        <w:rPr>
          <w:lang w:val="ru-RU"/>
        </w:rPr>
        <w:t>) позволило дополнительно оптимизировать уведомительную процедуру.  В рамках дальнейших усилий по разработке электронной системы формирования уведомлений в 2015</w:t>
      </w:r>
      <w:r>
        <w:t> </w:t>
      </w:r>
      <w:r w:rsidRPr="00F053BA">
        <w:rPr>
          <w:lang w:val="ru-RU"/>
        </w:rPr>
        <w:t xml:space="preserve">г. началась фаза тестирования.  </w:t>
      </w:r>
    </w:p>
    <w:p w:rsidR="00F053BA" w:rsidRPr="00F053BA" w:rsidRDefault="00F053BA" w:rsidP="00F053BA">
      <w:pPr>
        <w:pStyle w:val="ListParagraph"/>
        <w:tabs>
          <w:tab w:val="left" w:pos="709"/>
        </w:tabs>
        <w:ind w:left="0"/>
        <w:jc w:val="both"/>
        <w:rPr>
          <w:rFonts w:cs="Arial"/>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 xml:space="preserve">Что касается информирования об услугах Лиссабонской системы, МБ стало организатором и/или участником семи специализированных информационных мероприятий, посвященных Лиссабонской системе, включая ее планируемый пересмотр, во всех регионах.  </w:t>
      </w:r>
    </w:p>
    <w:p w:rsidR="00F053BA" w:rsidRPr="00F053BA" w:rsidRDefault="00F053BA" w:rsidP="00F053BA">
      <w:pPr>
        <w:pStyle w:val="ListParagraph"/>
        <w:tabs>
          <w:tab w:val="left" w:pos="709"/>
        </w:tabs>
        <w:ind w:left="0"/>
        <w:jc w:val="both"/>
        <w:rPr>
          <w:rFonts w:cs="Arial"/>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Мероприятия, проводившиеся в рамках программы</w:t>
      </w:r>
      <w:r>
        <w:t> </w:t>
      </w:r>
      <w:r w:rsidRPr="00F053BA">
        <w:rPr>
          <w:lang w:val="ru-RU"/>
        </w:rPr>
        <w:t>6, планировались и осуществлялись с учетом соответствующих рекомендаций ПДР, в частности рекомендаций 1 и 6.  Кроме того, государства-члены получили сбалансированную помощь в нормотворческой области, ориентированную на развитие и основанную на принципах ПДР (рекомендация</w:t>
      </w:r>
      <w:r>
        <w:t> </w:t>
      </w:r>
      <w:r w:rsidRPr="00F053BA">
        <w:rPr>
          <w:lang w:val="ru-RU"/>
        </w:rPr>
        <w:t>13), в соответствии с их конкретными просьбами и с учетом соответствующих гибких возможностей, применяемых в зависимости от уровня развития страны (рекомендации</w:t>
      </w:r>
      <w:r>
        <w:t> </w:t>
      </w:r>
      <w:r w:rsidRPr="00F053BA">
        <w:rPr>
          <w:lang w:val="ru-RU"/>
        </w:rPr>
        <w:t>14 и 17).</w:t>
      </w:r>
    </w:p>
    <w:p w:rsidR="00F053BA" w:rsidRPr="00F053BA" w:rsidRDefault="00F053BA" w:rsidP="00F053BA">
      <w:pPr>
        <w:rPr>
          <w:szCs w:val="20"/>
          <w:lang w:val="ru-RU"/>
        </w:rPr>
      </w:pPr>
    </w:p>
    <w:p w:rsidR="00F053BA" w:rsidRPr="00F053BA" w:rsidRDefault="00F053BA" w:rsidP="00F053BA">
      <w:pPr>
        <w:rPr>
          <w:rFonts w:cs="Arial"/>
          <w:sz w:val="22"/>
          <w:szCs w:val="22"/>
          <w:lang w:val="ru-RU"/>
        </w:rPr>
      </w:pPr>
    </w:p>
    <w:p w:rsidR="00F053BA" w:rsidRPr="00082989" w:rsidRDefault="00F053BA" w:rsidP="00F053BA">
      <w:pPr>
        <w:keepNext/>
        <w:keepLines/>
        <w:rPr>
          <w:rFonts w:cs="Arial"/>
          <w:szCs w:val="22"/>
        </w:rPr>
      </w:pPr>
      <w:r>
        <w:t>ДАННЫЕ О РЕЗУЛЬТАТИВНОСТИ</w:t>
      </w:r>
    </w:p>
    <w:p w:rsidR="00F053BA" w:rsidRPr="00100231" w:rsidRDefault="00F053BA" w:rsidP="00F053BA">
      <w:pPr>
        <w:keepNext/>
        <w:keepLines/>
        <w:rPr>
          <w:szCs w:val="18"/>
        </w:rPr>
      </w:pPr>
    </w:p>
    <w:tbl>
      <w:tblPr>
        <w:tblW w:w="5061"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29"/>
        <w:gridCol w:w="2424"/>
        <w:gridCol w:w="1668"/>
        <w:gridCol w:w="2323"/>
        <w:gridCol w:w="1244"/>
      </w:tblGrid>
      <w:tr w:rsidR="00F053BA" w:rsidRPr="005C6ABD" w:rsidTr="00F053BA">
        <w:trPr>
          <w:cantSplit/>
          <w:trHeight w:val="392"/>
        </w:trPr>
        <w:tc>
          <w:tcPr>
            <w:tcW w:w="5000" w:type="pct"/>
            <w:gridSpan w:val="5"/>
            <w:tcBorders>
              <w:top w:val="single" w:sz="4" w:space="0" w:color="auto"/>
              <w:bottom w:val="single" w:sz="4" w:space="0" w:color="auto"/>
            </w:tcBorders>
            <w:shd w:val="clear" w:color="auto" w:fill="C6D9F1" w:themeFill="text2" w:themeFillTint="33"/>
            <w:vAlign w:val="center"/>
          </w:tcPr>
          <w:p w:rsidR="00F053BA" w:rsidRPr="00F053BA" w:rsidRDefault="00F053BA" w:rsidP="003A5C2E">
            <w:pPr>
              <w:keepNext/>
              <w:keepLines/>
              <w:tabs>
                <w:tab w:val="left" w:pos="2302"/>
              </w:tabs>
              <w:ind w:left="2302" w:hanging="2302"/>
              <w:rPr>
                <w:rFonts w:cs="Arial"/>
                <w:b/>
                <w:bCs/>
                <w:sz w:val="16"/>
                <w:szCs w:val="16"/>
                <w:lang w:val="ru-RU"/>
              </w:rPr>
            </w:pPr>
            <w:r w:rsidRPr="00F053BA">
              <w:rPr>
                <w:b/>
                <w:sz w:val="16"/>
                <w:lang w:val="ru-RU"/>
              </w:rPr>
              <w:t xml:space="preserve">Ожидаемый результат: </w:t>
            </w:r>
            <w:r w:rsidRPr="00F053BA">
              <w:rPr>
                <w:lang w:val="ru-RU"/>
              </w:rPr>
              <w:tab/>
            </w:r>
            <w:r>
              <w:rPr>
                <w:sz w:val="16"/>
              </w:rPr>
              <w:t>II</w:t>
            </w:r>
            <w:r w:rsidRPr="00F053BA">
              <w:rPr>
                <w:sz w:val="16"/>
                <w:lang w:val="ru-RU"/>
              </w:rPr>
              <w:t>.6. Более широкое и эффективное использование Мадридско</w:t>
            </w:r>
            <w:r w:rsidR="003A5C2E">
              <w:rPr>
                <w:sz w:val="16"/>
                <w:lang w:val="ru-RU"/>
              </w:rPr>
              <w:t xml:space="preserve">й и Лиссабонской систем, в том </w:t>
            </w:r>
            <w:r w:rsidRPr="00F053BA">
              <w:rPr>
                <w:sz w:val="16"/>
                <w:lang w:val="ru-RU"/>
              </w:rPr>
              <w:t>числе развивающимися странами и НРС</w:t>
            </w:r>
          </w:p>
        </w:tc>
      </w:tr>
      <w:tr w:rsidR="00F053BA" w:rsidRPr="0005539E" w:rsidTr="00495A3D">
        <w:trPr>
          <w:cantSplit/>
        </w:trPr>
        <w:tc>
          <w:tcPr>
            <w:tcW w:w="1047" w:type="pct"/>
            <w:tcBorders>
              <w:top w:val="single" w:sz="4" w:space="0" w:color="auto"/>
              <w:left w:val="single" w:sz="4" w:space="0" w:color="auto"/>
              <w:bottom w:val="nil"/>
            </w:tcBorders>
            <w:shd w:val="clear" w:color="auto" w:fill="auto"/>
            <w:vAlign w:val="center"/>
          </w:tcPr>
          <w:p w:rsidR="00F053BA" w:rsidRPr="0005539E" w:rsidRDefault="00F053BA" w:rsidP="00F053BA">
            <w:pPr>
              <w:keepNext/>
              <w:keepLines/>
              <w:rPr>
                <w:rFonts w:cs="Arial"/>
                <w:sz w:val="16"/>
                <w:szCs w:val="16"/>
              </w:rPr>
            </w:pPr>
            <w:r>
              <w:rPr>
                <w:b/>
                <w:sz w:val="16"/>
              </w:rPr>
              <w:t>Показатели результативности</w:t>
            </w:r>
          </w:p>
        </w:tc>
        <w:tc>
          <w:tcPr>
            <w:tcW w:w="1251" w:type="pct"/>
            <w:tcBorders>
              <w:top w:val="single" w:sz="4" w:space="0" w:color="auto"/>
              <w:bottom w:val="nil"/>
            </w:tcBorders>
            <w:shd w:val="clear" w:color="auto" w:fill="auto"/>
            <w:vAlign w:val="center"/>
          </w:tcPr>
          <w:p w:rsidR="00F053BA" w:rsidRPr="0005539E" w:rsidRDefault="00F053BA" w:rsidP="00F053BA">
            <w:pPr>
              <w:keepNext/>
              <w:keepLines/>
              <w:rPr>
                <w:rFonts w:cs="Arial"/>
                <w:b/>
                <w:bCs/>
                <w:sz w:val="16"/>
                <w:szCs w:val="16"/>
              </w:rPr>
            </w:pPr>
            <w:r>
              <w:rPr>
                <w:b/>
                <w:sz w:val="16"/>
              </w:rPr>
              <w:t>Базовые показатели</w:t>
            </w:r>
          </w:p>
        </w:tc>
        <w:tc>
          <w:tcPr>
            <w:tcW w:w="861" w:type="pct"/>
            <w:tcBorders>
              <w:top w:val="single" w:sz="4" w:space="0" w:color="auto"/>
              <w:bottom w:val="nil"/>
            </w:tcBorders>
            <w:shd w:val="clear" w:color="auto" w:fill="auto"/>
            <w:tcMar>
              <w:top w:w="110" w:type="dxa"/>
            </w:tcMar>
            <w:vAlign w:val="center"/>
          </w:tcPr>
          <w:p w:rsidR="00F053BA" w:rsidRPr="0005539E" w:rsidRDefault="00F053BA" w:rsidP="00F053BA">
            <w:pPr>
              <w:keepNext/>
              <w:keepLines/>
              <w:rPr>
                <w:rFonts w:cs="Arial"/>
                <w:b/>
                <w:sz w:val="16"/>
                <w:szCs w:val="16"/>
              </w:rPr>
            </w:pPr>
            <w:r>
              <w:rPr>
                <w:b/>
                <w:sz w:val="16"/>
              </w:rPr>
              <w:t>Цели</w:t>
            </w:r>
          </w:p>
        </w:tc>
        <w:tc>
          <w:tcPr>
            <w:tcW w:w="1199" w:type="pct"/>
            <w:tcBorders>
              <w:top w:val="single" w:sz="4" w:space="0" w:color="auto"/>
              <w:bottom w:val="nil"/>
            </w:tcBorders>
            <w:shd w:val="clear" w:color="auto" w:fill="FFFFFF"/>
            <w:tcMar>
              <w:top w:w="110" w:type="dxa"/>
            </w:tcMar>
            <w:vAlign w:val="center"/>
          </w:tcPr>
          <w:p w:rsidR="00F053BA" w:rsidRPr="0005539E" w:rsidRDefault="00F053BA" w:rsidP="00F053BA">
            <w:pPr>
              <w:keepNext/>
              <w:keepLines/>
              <w:rPr>
                <w:rFonts w:cs="Arial"/>
                <w:sz w:val="16"/>
                <w:szCs w:val="16"/>
              </w:rPr>
            </w:pPr>
            <w:r>
              <w:rPr>
                <w:b/>
                <w:sz w:val="16"/>
              </w:rPr>
              <w:t>Данные о результативности</w:t>
            </w:r>
          </w:p>
        </w:tc>
        <w:tc>
          <w:tcPr>
            <w:tcW w:w="642" w:type="pct"/>
            <w:tcBorders>
              <w:top w:val="single" w:sz="4" w:space="0" w:color="auto"/>
              <w:bottom w:val="nil"/>
              <w:right w:val="single" w:sz="4" w:space="0" w:color="auto"/>
            </w:tcBorders>
            <w:shd w:val="clear" w:color="auto" w:fill="auto"/>
            <w:tcMar>
              <w:top w:w="110" w:type="dxa"/>
            </w:tcMar>
            <w:vAlign w:val="center"/>
          </w:tcPr>
          <w:p w:rsidR="00F053BA" w:rsidRPr="0005539E" w:rsidRDefault="00F053BA" w:rsidP="00F053BA">
            <w:pPr>
              <w:keepNext/>
              <w:keepLines/>
              <w:jc w:val="center"/>
              <w:rPr>
                <w:rFonts w:cs="Arial"/>
                <w:b/>
                <w:bCs/>
                <w:sz w:val="16"/>
                <w:szCs w:val="16"/>
              </w:rPr>
            </w:pPr>
            <w:r>
              <w:rPr>
                <w:b/>
                <w:sz w:val="16"/>
              </w:rPr>
              <w:t>CC</w:t>
            </w:r>
          </w:p>
        </w:tc>
      </w:tr>
      <w:tr w:rsidR="00F053BA" w:rsidRPr="0005539E" w:rsidTr="00495A3D">
        <w:trPr>
          <w:cantSplit/>
        </w:trPr>
        <w:tc>
          <w:tcPr>
            <w:tcW w:w="1047"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lang w:val="ru-RU"/>
              </w:rPr>
              <w:t>Расширение географического охвата (Мадридская система)</w:t>
            </w:r>
          </w:p>
        </w:tc>
        <w:tc>
          <w:tcPr>
            <w:tcW w:w="1251" w:type="pct"/>
            <w:tcBorders>
              <w:top w:val="nil"/>
              <w:bottom w:val="nil"/>
            </w:tcBorders>
            <w:shd w:val="clear" w:color="auto" w:fill="auto"/>
          </w:tcPr>
          <w:p w:rsidR="00F053BA" w:rsidRPr="00F053BA" w:rsidRDefault="00F053BA" w:rsidP="00F053BA">
            <w:pPr>
              <w:rPr>
                <w:rFonts w:cs="Arial"/>
                <w:i/>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p>
          <w:p w:rsidR="00F053BA" w:rsidRPr="00F053BA" w:rsidRDefault="00F053BA" w:rsidP="00F053BA">
            <w:pPr>
              <w:rPr>
                <w:rFonts w:cs="Arial"/>
                <w:color w:val="002060"/>
                <w:sz w:val="16"/>
                <w:szCs w:val="16"/>
                <w:lang w:val="ru-RU"/>
              </w:rPr>
            </w:pPr>
            <w:r w:rsidRPr="00F053BA">
              <w:rPr>
                <w:color w:val="002060"/>
                <w:sz w:val="16"/>
                <w:lang w:val="ru-RU"/>
              </w:rPr>
              <w:t>92 Договаривающиеся стороны Мадридской системы (конец 2013</w:t>
            </w:r>
            <w:r>
              <w:rPr>
                <w:color w:val="002060"/>
                <w:sz w:val="16"/>
              </w:rPr>
              <w:t> </w:t>
            </w:r>
            <w:r w:rsidRPr="00F053BA">
              <w:rPr>
                <w:color w:val="002060"/>
                <w:sz w:val="16"/>
                <w:lang w:val="ru-RU"/>
              </w:rPr>
              <w:t>г.)</w:t>
            </w:r>
          </w:p>
          <w:p w:rsidR="00F053BA" w:rsidRPr="00F053BA" w:rsidRDefault="00F053BA" w:rsidP="00F053BA">
            <w:pPr>
              <w:rPr>
                <w:rFonts w:cs="Arial"/>
                <w:color w:val="002060"/>
                <w:sz w:val="8"/>
                <w:szCs w:val="8"/>
                <w:lang w:val="ru-RU"/>
              </w:rPr>
            </w:pPr>
          </w:p>
          <w:p w:rsidR="00F053BA" w:rsidRPr="00F053BA" w:rsidRDefault="00F053BA" w:rsidP="00F053BA">
            <w:pPr>
              <w:rPr>
                <w:rFonts w:cs="Arial"/>
                <w:sz w:val="16"/>
                <w:szCs w:val="16"/>
                <w:lang w:val="ru-RU"/>
              </w:rPr>
            </w:pPr>
            <w:r w:rsidRPr="00F053BA">
              <w:rPr>
                <w:i/>
                <w:sz w:val="16"/>
                <w:lang w:val="ru-RU"/>
              </w:rPr>
              <w:t xml:space="preserve">Исходные базовые показатели ПиБ на 2014–2015 гг.: </w:t>
            </w:r>
            <w:r w:rsidRPr="00F053BA">
              <w:rPr>
                <w:sz w:val="16"/>
                <w:lang w:val="ru-RU"/>
              </w:rPr>
              <w:t>число Договаривающихся сторон на конец 2013</w:t>
            </w:r>
            <w:r>
              <w:rPr>
                <w:sz w:val="16"/>
              </w:rPr>
              <w:t> </w:t>
            </w:r>
            <w:r w:rsidRPr="00F053BA">
              <w:rPr>
                <w:sz w:val="16"/>
                <w:lang w:val="ru-RU"/>
              </w:rPr>
              <w:t>г.</w:t>
            </w:r>
          </w:p>
        </w:tc>
        <w:tc>
          <w:tcPr>
            <w:tcW w:w="861" w:type="pct"/>
            <w:tcBorders>
              <w:top w:val="nil"/>
              <w:bottom w:val="nil"/>
            </w:tcBorders>
            <w:shd w:val="clear" w:color="auto" w:fill="auto"/>
            <w:tcMar>
              <w:top w:w="110" w:type="dxa"/>
            </w:tcMar>
          </w:tcPr>
          <w:p w:rsidR="00F053BA" w:rsidRPr="00F053BA" w:rsidRDefault="00F053BA" w:rsidP="00F053BA">
            <w:pPr>
              <w:rPr>
                <w:rFonts w:cs="Arial"/>
                <w:b/>
                <w:sz w:val="16"/>
                <w:szCs w:val="16"/>
                <w:lang w:val="ru-RU"/>
              </w:rPr>
            </w:pPr>
            <w:r w:rsidRPr="00F053BA">
              <w:rPr>
                <w:sz w:val="16"/>
                <w:lang w:val="ru-RU"/>
              </w:rPr>
              <w:t>всего 100 Договаривающихся сторон на конец 2015</w:t>
            </w:r>
            <w:r>
              <w:rPr>
                <w:sz w:val="16"/>
              </w:rPr>
              <w:t> </w:t>
            </w:r>
            <w:r w:rsidRPr="00F053BA">
              <w:rPr>
                <w:sz w:val="16"/>
                <w:lang w:val="ru-RU"/>
              </w:rPr>
              <w:t>г.</w:t>
            </w:r>
          </w:p>
        </w:tc>
        <w:tc>
          <w:tcPr>
            <w:tcW w:w="1199" w:type="pct"/>
            <w:tcBorders>
              <w:top w:val="nil"/>
              <w:bottom w:val="nil"/>
            </w:tcBorders>
            <w:shd w:val="clear" w:color="auto" w:fill="FFFFFF"/>
            <w:tcMar>
              <w:top w:w="110" w:type="dxa"/>
            </w:tcMar>
          </w:tcPr>
          <w:p w:rsidR="00F053BA" w:rsidRPr="00F053BA" w:rsidRDefault="00F053BA" w:rsidP="00F053BA">
            <w:pPr>
              <w:rPr>
                <w:rFonts w:cs="Arial"/>
                <w:color w:val="000000" w:themeColor="text1"/>
                <w:sz w:val="16"/>
                <w:szCs w:val="16"/>
                <w:lang w:val="ru-RU"/>
              </w:rPr>
            </w:pPr>
            <w:r w:rsidRPr="00F053BA">
              <w:rPr>
                <w:color w:val="000000" w:themeColor="text1"/>
                <w:sz w:val="16"/>
                <w:lang w:val="ru-RU"/>
              </w:rPr>
              <w:t>97</w:t>
            </w:r>
            <w:r>
              <w:rPr>
                <w:color w:val="000000" w:themeColor="text1"/>
                <w:sz w:val="16"/>
              </w:rPr>
              <w:t> </w:t>
            </w:r>
            <w:r w:rsidRPr="00F053BA">
              <w:rPr>
                <w:color w:val="000000" w:themeColor="text1"/>
                <w:sz w:val="16"/>
                <w:lang w:val="ru-RU"/>
              </w:rPr>
              <w:t>Договаривающихся сторон в конце 2015</w:t>
            </w:r>
            <w:r>
              <w:rPr>
                <w:color w:val="000000" w:themeColor="text1"/>
                <w:sz w:val="16"/>
              </w:rPr>
              <w:t> </w:t>
            </w:r>
            <w:r w:rsidRPr="00F053BA">
              <w:rPr>
                <w:color w:val="000000" w:themeColor="text1"/>
                <w:sz w:val="16"/>
                <w:lang w:val="ru-RU"/>
              </w:rPr>
              <w:t>г., охватывающих 113</w:t>
            </w:r>
            <w:r>
              <w:rPr>
                <w:color w:val="000000" w:themeColor="text1"/>
                <w:sz w:val="16"/>
              </w:rPr>
              <w:t> </w:t>
            </w:r>
            <w:r w:rsidRPr="00F053BA">
              <w:rPr>
                <w:color w:val="000000" w:themeColor="text1"/>
                <w:sz w:val="16"/>
                <w:lang w:val="ru-RU"/>
              </w:rPr>
              <w:t>стран</w:t>
            </w:r>
          </w:p>
        </w:tc>
        <w:tc>
          <w:tcPr>
            <w:tcW w:w="642" w:type="pct"/>
            <w:tcBorders>
              <w:top w:val="nil"/>
              <w:bottom w:val="nil"/>
              <w:right w:val="single" w:sz="4" w:space="0" w:color="auto"/>
            </w:tcBorders>
            <w:shd w:val="clear" w:color="auto" w:fill="auto"/>
            <w:tcMar>
              <w:top w:w="110" w:type="dxa"/>
            </w:tcMar>
          </w:tcPr>
          <w:p w:rsidR="00F053BA" w:rsidRPr="00F43373" w:rsidRDefault="00F053BA" w:rsidP="00F053BA">
            <w:pPr>
              <w:keepNext/>
              <w:keepLines/>
              <w:jc w:val="center"/>
              <w:rPr>
                <w:rFonts w:cs="Arial"/>
                <w:b/>
                <w:bCs/>
                <w:color w:val="00B050"/>
                <w:sz w:val="16"/>
                <w:szCs w:val="16"/>
              </w:rPr>
            </w:pPr>
            <w:r>
              <w:rPr>
                <w:b/>
                <w:color w:val="00B050"/>
                <w:sz w:val="16"/>
              </w:rPr>
              <w:t>Выполнено</w:t>
            </w:r>
          </w:p>
        </w:tc>
      </w:tr>
      <w:tr w:rsidR="00F053BA" w:rsidRPr="0005539E" w:rsidTr="00495A3D">
        <w:trPr>
          <w:cantSplit/>
        </w:trPr>
        <w:tc>
          <w:tcPr>
            <w:tcW w:w="1047"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lang w:val="ru-RU"/>
              </w:rPr>
              <w:t>Расширение географического охвата (Лиссабонская система)</w:t>
            </w:r>
          </w:p>
        </w:tc>
        <w:tc>
          <w:tcPr>
            <w:tcW w:w="1251" w:type="pct"/>
            <w:tcBorders>
              <w:top w:val="nil"/>
              <w:bottom w:val="nil"/>
            </w:tcBorders>
            <w:shd w:val="clear" w:color="auto" w:fill="auto"/>
          </w:tcPr>
          <w:p w:rsidR="00F053BA" w:rsidRPr="00F053BA" w:rsidRDefault="00F053BA" w:rsidP="00F053BA">
            <w:pPr>
              <w:keepNext/>
              <w:keepLines/>
              <w:rPr>
                <w:rFonts w:cs="Arial"/>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28</w:t>
            </w:r>
            <w:r>
              <w:rPr>
                <w:color w:val="002060"/>
                <w:sz w:val="16"/>
              </w:rPr>
              <w:t> </w:t>
            </w:r>
            <w:r w:rsidRPr="00F053BA">
              <w:rPr>
                <w:color w:val="002060"/>
                <w:sz w:val="16"/>
                <w:lang w:val="ru-RU"/>
              </w:rPr>
              <w:t>(на конец 2013</w:t>
            </w:r>
            <w:r>
              <w:rPr>
                <w:color w:val="002060"/>
                <w:sz w:val="16"/>
              </w:rPr>
              <w:t> </w:t>
            </w:r>
            <w:r w:rsidRPr="00F053BA">
              <w:rPr>
                <w:color w:val="002060"/>
                <w:sz w:val="16"/>
                <w:lang w:val="ru-RU"/>
              </w:rPr>
              <w:t>г.)</w:t>
            </w:r>
          </w:p>
          <w:p w:rsidR="00F053BA" w:rsidRPr="00F053BA" w:rsidRDefault="00F053BA" w:rsidP="00F053BA">
            <w:pPr>
              <w:keepNext/>
              <w:keepLines/>
              <w:rPr>
                <w:rFonts w:cs="Arial"/>
                <w:color w:val="002060"/>
                <w:sz w:val="16"/>
                <w:szCs w:val="16"/>
                <w:lang w:val="ru-RU"/>
              </w:rPr>
            </w:pPr>
          </w:p>
          <w:p w:rsidR="00F053BA" w:rsidRPr="00F053BA" w:rsidRDefault="00F053BA" w:rsidP="00F053BA">
            <w:pPr>
              <w:keepNext/>
              <w:keepLines/>
              <w:rPr>
                <w:rFonts w:cs="Arial"/>
                <w:i/>
                <w:color w:val="002060"/>
                <w:sz w:val="16"/>
                <w:szCs w:val="16"/>
                <w:lang w:val="ru-RU"/>
              </w:rPr>
            </w:pPr>
            <w:r w:rsidRPr="00F053BA">
              <w:rPr>
                <w:i/>
                <w:sz w:val="16"/>
                <w:lang w:val="ru-RU"/>
              </w:rPr>
              <w:t>Исходные базовые показатели ПиБ на 2013–2014</w:t>
            </w:r>
            <w:r>
              <w:rPr>
                <w:i/>
                <w:sz w:val="16"/>
              </w:rPr>
              <w:t> </w:t>
            </w:r>
            <w:r w:rsidRPr="00F053BA">
              <w:rPr>
                <w:i/>
                <w:sz w:val="16"/>
                <w:lang w:val="ru-RU"/>
              </w:rPr>
              <w:t xml:space="preserve">гг.: </w:t>
            </w:r>
            <w:r w:rsidRPr="00F053BA">
              <w:rPr>
                <w:sz w:val="16"/>
                <w:lang w:val="ru-RU"/>
              </w:rPr>
              <w:t>28 (апрель 2013</w:t>
            </w:r>
            <w:r>
              <w:rPr>
                <w:sz w:val="16"/>
              </w:rPr>
              <w:t> </w:t>
            </w:r>
            <w:r w:rsidRPr="00F053BA">
              <w:rPr>
                <w:sz w:val="16"/>
                <w:lang w:val="ru-RU"/>
              </w:rPr>
              <w:t>г.)</w:t>
            </w:r>
          </w:p>
        </w:tc>
        <w:tc>
          <w:tcPr>
            <w:tcW w:w="861" w:type="pct"/>
            <w:tcBorders>
              <w:top w:val="nil"/>
              <w:bottom w:val="nil"/>
            </w:tcBorders>
            <w:shd w:val="clear" w:color="auto" w:fill="auto"/>
            <w:tcMar>
              <w:top w:w="110" w:type="dxa"/>
            </w:tcMar>
          </w:tcPr>
          <w:p w:rsidR="00F053BA" w:rsidRPr="00A539FB" w:rsidRDefault="00F053BA" w:rsidP="00F053BA">
            <w:pPr>
              <w:rPr>
                <w:rFonts w:cs="Arial"/>
                <w:sz w:val="16"/>
                <w:szCs w:val="16"/>
              </w:rPr>
            </w:pPr>
            <w:r>
              <w:rPr>
                <w:sz w:val="16"/>
              </w:rPr>
              <w:t>32</w:t>
            </w:r>
          </w:p>
        </w:tc>
        <w:tc>
          <w:tcPr>
            <w:tcW w:w="1199" w:type="pct"/>
            <w:tcBorders>
              <w:top w:val="nil"/>
              <w:bottom w:val="nil"/>
            </w:tcBorders>
            <w:shd w:val="clear" w:color="auto" w:fill="FFFFFF"/>
            <w:tcMar>
              <w:top w:w="110" w:type="dxa"/>
            </w:tcMar>
          </w:tcPr>
          <w:p w:rsidR="00F053BA" w:rsidRPr="000F32F9" w:rsidRDefault="00F053BA" w:rsidP="00F053BA">
            <w:pPr>
              <w:rPr>
                <w:rFonts w:cs="Arial"/>
                <w:sz w:val="16"/>
                <w:szCs w:val="16"/>
              </w:rPr>
            </w:pPr>
            <w:r>
              <w:rPr>
                <w:sz w:val="16"/>
              </w:rPr>
              <w:t>Нет новых Договаривающихся сторон</w:t>
            </w:r>
          </w:p>
        </w:tc>
        <w:tc>
          <w:tcPr>
            <w:tcW w:w="642" w:type="pct"/>
            <w:tcBorders>
              <w:top w:val="nil"/>
              <w:bottom w:val="nil"/>
              <w:right w:val="single" w:sz="4" w:space="0" w:color="auto"/>
            </w:tcBorders>
            <w:shd w:val="clear" w:color="auto" w:fill="auto"/>
            <w:tcMar>
              <w:top w:w="110" w:type="dxa"/>
            </w:tcMar>
          </w:tcPr>
          <w:p w:rsidR="00F053BA" w:rsidRPr="00F43373" w:rsidRDefault="00F053BA" w:rsidP="00F053BA">
            <w:pPr>
              <w:keepNext/>
              <w:keepLines/>
              <w:jc w:val="center"/>
              <w:rPr>
                <w:rStyle w:val="Style5"/>
              </w:rPr>
            </w:pPr>
            <w:r>
              <w:rPr>
                <w:b/>
                <w:color w:val="FF0000"/>
                <w:sz w:val="16"/>
              </w:rPr>
              <w:t>Не выполнено</w:t>
            </w:r>
          </w:p>
        </w:tc>
      </w:tr>
      <w:tr w:rsidR="00F053BA" w:rsidRPr="0005539E" w:rsidTr="00495A3D">
        <w:trPr>
          <w:cantSplit/>
        </w:trPr>
        <w:tc>
          <w:tcPr>
            <w:tcW w:w="1047"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lang w:val="ru-RU"/>
              </w:rPr>
              <w:t>Принятие положений по рационализации или модернизации правовой структуры Лиссабонской системы</w:t>
            </w:r>
          </w:p>
        </w:tc>
        <w:tc>
          <w:tcPr>
            <w:tcW w:w="1251" w:type="pct"/>
            <w:tcBorders>
              <w:top w:val="nil"/>
              <w:bottom w:val="nil"/>
            </w:tcBorders>
            <w:shd w:val="clear" w:color="auto" w:fill="auto"/>
          </w:tcPr>
          <w:p w:rsidR="00F053BA" w:rsidRPr="00F053BA" w:rsidRDefault="00F053BA" w:rsidP="00F053BA">
            <w:pPr>
              <w:keepNext/>
              <w:keepLines/>
              <w:rPr>
                <w:rFonts w:cs="Arial"/>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Рабочая группа по развитию Лиссабонской системы готовится к пересмотру Лиссабонского соглашения и принятию поправок к Инструкции к Лиссабонскому соглашению.</w:t>
            </w:r>
          </w:p>
          <w:p w:rsidR="00F053BA" w:rsidRPr="00F053BA" w:rsidRDefault="00F053BA" w:rsidP="00F053BA">
            <w:pPr>
              <w:keepNext/>
              <w:keepLines/>
              <w:rPr>
                <w:rFonts w:cs="Arial"/>
                <w:color w:val="002060"/>
                <w:sz w:val="16"/>
                <w:szCs w:val="16"/>
                <w:lang w:val="ru-RU"/>
              </w:rPr>
            </w:pPr>
          </w:p>
          <w:p w:rsidR="00F053BA" w:rsidRPr="00F053BA" w:rsidRDefault="00F053BA" w:rsidP="00F053BA">
            <w:pPr>
              <w:keepNext/>
              <w:keepLines/>
              <w:rPr>
                <w:i/>
                <w:color w:val="002060"/>
                <w:sz w:val="16"/>
                <w:lang w:val="ru-RU"/>
              </w:rPr>
            </w:pPr>
            <w:r w:rsidRPr="00F053BA">
              <w:rPr>
                <w:i/>
                <w:sz w:val="16"/>
                <w:lang w:val="ru-RU"/>
              </w:rPr>
              <w:t>Исходные базовые показатели ПиБ на 2013–2014</w:t>
            </w:r>
            <w:r>
              <w:rPr>
                <w:i/>
                <w:sz w:val="16"/>
              </w:rPr>
              <w:t> </w:t>
            </w:r>
            <w:r w:rsidRPr="00F053BA">
              <w:rPr>
                <w:i/>
                <w:sz w:val="16"/>
                <w:lang w:val="ru-RU"/>
              </w:rPr>
              <w:t xml:space="preserve">гг.: </w:t>
            </w:r>
            <w:r w:rsidRPr="00F053BA">
              <w:rPr>
                <w:sz w:val="16"/>
                <w:lang w:val="ru-RU"/>
              </w:rPr>
              <w:t>действующие на конец 2013</w:t>
            </w:r>
            <w:r>
              <w:rPr>
                <w:sz w:val="16"/>
              </w:rPr>
              <w:t> </w:t>
            </w:r>
            <w:r w:rsidRPr="00F053BA">
              <w:rPr>
                <w:sz w:val="16"/>
                <w:lang w:val="ru-RU"/>
              </w:rPr>
              <w:t>г. Лиссабонское соглашение, Инструкция и Административная инструкция.</w:t>
            </w:r>
          </w:p>
        </w:tc>
        <w:tc>
          <w:tcPr>
            <w:tcW w:w="861" w:type="pct"/>
            <w:tcBorders>
              <w:top w:val="nil"/>
              <w:bottom w:val="nil"/>
            </w:tcBorders>
            <w:shd w:val="clear" w:color="auto" w:fill="auto"/>
            <w:tcMar>
              <w:top w:w="110" w:type="dxa"/>
            </w:tcMar>
          </w:tcPr>
          <w:p w:rsidR="00F053BA" w:rsidRPr="00F053BA" w:rsidRDefault="00F053BA" w:rsidP="00F053BA">
            <w:pPr>
              <w:rPr>
                <w:sz w:val="16"/>
                <w:lang w:val="ru-RU"/>
              </w:rPr>
            </w:pPr>
            <w:r w:rsidRPr="00F053BA">
              <w:rPr>
                <w:sz w:val="16"/>
                <w:lang w:val="ru-RU"/>
              </w:rPr>
              <w:t>Пересмотр Лиссабонского соглашения и принятие поправок к Инструкции и Административной инструкции</w:t>
            </w:r>
          </w:p>
        </w:tc>
        <w:tc>
          <w:tcPr>
            <w:tcW w:w="1199" w:type="pct"/>
            <w:tcBorders>
              <w:top w:val="nil"/>
              <w:bottom w:val="nil"/>
            </w:tcBorders>
            <w:shd w:val="clear" w:color="auto" w:fill="FFFFFF"/>
            <w:tcMar>
              <w:top w:w="110" w:type="dxa"/>
            </w:tcMar>
          </w:tcPr>
          <w:p w:rsidR="00F053BA" w:rsidRPr="00F053BA" w:rsidRDefault="00F053BA" w:rsidP="00F053BA">
            <w:pPr>
              <w:rPr>
                <w:rFonts w:cs="Arial"/>
                <w:sz w:val="16"/>
                <w:szCs w:val="16"/>
                <w:lang w:val="ru-RU"/>
              </w:rPr>
            </w:pPr>
            <w:r w:rsidRPr="00F053BA">
              <w:rPr>
                <w:sz w:val="16"/>
                <w:lang w:val="ru-RU"/>
              </w:rPr>
              <w:t>Женевский акт Лиссабонского соглашения о наименованиях мест происхождения и географических указаниях, принятый в мае 2015</w:t>
            </w:r>
            <w:r>
              <w:rPr>
                <w:sz w:val="16"/>
              </w:rPr>
              <w:t> </w:t>
            </w:r>
            <w:r w:rsidRPr="00F053BA">
              <w:rPr>
                <w:sz w:val="16"/>
                <w:lang w:val="ru-RU"/>
              </w:rPr>
              <w:t>г.</w:t>
            </w:r>
          </w:p>
        </w:tc>
        <w:tc>
          <w:tcPr>
            <w:tcW w:w="642" w:type="pct"/>
            <w:tcBorders>
              <w:top w:val="nil"/>
              <w:bottom w:val="nil"/>
              <w:right w:val="single" w:sz="4" w:space="0" w:color="auto"/>
            </w:tcBorders>
            <w:shd w:val="clear" w:color="auto" w:fill="auto"/>
            <w:tcMar>
              <w:top w:w="110" w:type="dxa"/>
            </w:tcMar>
          </w:tcPr>
          <w:p w:rsidR="00F053BA" w:rsidRPr="00845557" w:rsidRDefault="00F053BA" w:rsidP="00F053BA">
            <w:pPr>
              <w:keepNext/>
              <w:keepLines/>
              <w:jc w:val="center"/>
              <w:rPr>
                <w:rStyle w:val="Style5"/>
              </w:rPr>
            </w:pPr>
            <w:r>
              <w:rPr>
                <w:b/>
                <w:color w:val="00B050"/>
                <w:sz w:val="16"/>
              </w:rPr>
              <w:t>Выполнено</w:t>
            </w:r>
          </w:p>
        </w:tc>
      </w:tr>
      <w:tr w:rsidR="00F053BA" w:rsidRPr="0005539E" w:rsidTr="00495A3D">
        <w:trPr>
          <w:cantSplit/>
        </w:trPr>
        <w:tc>
          <w:tcPr>
            <w:tcW w:w="1047"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lang w:val="ru-RU"/>
              </w:rPr>
              <w:t>Число международных заявок (Мадридская система)</w:t>
            </w:r>
          </w:p>
        </w:tc>
        <w:tc>
          <w:tcPr>
            <w:tcW w:w="1251" w:type="pct"/>
            <w:tcBorders>
              <w:top w:val="nil"/>
              <w:bottom w:val="nil"/>
            </w:tcBorders>
            <w:shd w:val="clear" w:color="auto" w:fill="auto"/>
          </w:tcPr>
          <w:p w:rsidR="00F053BA" w:rsidRPr="00F053BA" w:rsidRDefault="00F053BA" w:rsidP="00F053BA">
            <w:pPr>
              <w:rPr>
                <w:rFonts w:cs="Arial"/>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w:t>
            </w:r>
          </w:p>
          <w:p w:rsidR="00F053BA" w:rsidRPr="00F053BA" w:rsidRDefault="00F053BA" w:rsidP="00F053BA">
            <w:pPr>
              <w:rPr>
                <w:rFonts w:cs="Arial"/>
                <w:color w:val="002060"/>
                <w:sz w:val="16"/>
                <w:szCs w:val="16"/>
                <w:lang w:val="ru-RU"/>
              </w:rPr>
            </w:pPr>
            <w:r w:rsidRPr="00F053BA">
              <w:rPr>
                <w:color w:val="002060"/>
                <w:sz w:val="16"/>
                <w:lang w:val="ru-RU"/>
              </w:rPr>
              <w:t>44</w:t>
            </w:r>
            <w:r>
              <w:rPr>
                <w:color w:val="002060"/>
                <w:sz w:val="16"/>
              </w:rPr>
              <w:t> </w:t>
            </w:r>
            <w:r w:rsidRPr="00F053BA">
              <w:rPr>
                <w:color w:val="002060"/>
                <w:sz w:val="16"/>
                <w:lang w:val="ru-RU"/>
              </w:rPr>
              <w:t>018 (2012 г.)</w:t>
            </w:r>
          </w:p>
          <w:p w:rsidR="00F053BA" w:rsidRPr="00F053BA" w:rsidRDefault="00F053BA" w:rsidP="00F053BA">
            <w:pPr>
              <w:rPr>
                <w:rFonts w:cs="Arial"/>
                <w:color w:val="002060"/>
                <w:sz w:val="16"/>
                <w:szCs w:val="16"/>
                <w:lang w:val="ru-RU"/>
              </w:rPr>
            </w:pPr>
            <w:r w:rsidRPr="00F053BA">
              <w:rPr>
                <w:color w:val="002060"/>
                <w:sz w:val="16"/>
                <w:lang w:val="ru-RU"/>
              </w:rPr>
              <w:t>46</w:t>
            </w:r>
            <w:r>
              <w:rPr>
                <w:color w:val="002060"/>
                <w:sz w:val="16"/>
              </w:rPr>
              <w:t> </w:t>
            </w:r>
            <w:r w:rsidRPr="00F053BA">
              <w:rPr>
                <w:color w:val="002060"/>
                <w:sz w:val="16"/>
                <w:lang w:val="ru-RU"/>
              </w:rPr>
              <w:t>829 (2013 г.)</w:t>
            </w:r>
          </w:p>
          <w:p w:rsidR="00F053BA" w:rsidRPr="00F053BA" w:rsidRDefault="00F053BA" w:rsidP="00F053BA">
            <w:pPr>
              <w:rPr>
                <w:rFonts w:cs="Arial"/>
                <w:color w:val="002060"/>
                <w:sz w:val="16"/>
                <w:szCs w:val="16"/>
                <w:lang w:val="ru-RU"/>
              </w:rPr>
            </w:pPr>
          </w:p>
          <w:p w:rsidR="00F053BA" w:rsidRPr="00F053BA" w:rsidRDefault="00F053BA" w:rsidP="00F053BA">
            <w:pPr>
              <w:rPr>
                <w:rFonts w:cs="Arial"/>
                <w:sz w:val="16"/>
                <w:szCs w:val="16"/>
                <w:lang w:val="ru-RU"/>
              </w:rPr>
            </w:pPr>
            <w:r w:rsidRPr="00F053BA">
              <w:rPr>
                <w:i/>
                <w:sz w:val="16"/>
                <w:lang w:val="ru-RU"/>
              </w:rPr>
              <w:t xml:space="preserve">Исходные базовые показатели ПиБ на 2014–2015 гг.: </w:t>
            </w:r>
            <w:r w:rsidRPr="00F053BA">
              <w:rPr>
                <w:sz w:val="16"/>
                <w:lang w:val="ru-RU"/>
              </w:rPr>
              <w:t>число международных заявок на конец 2013</w:t>
            </w:r>
            <w:r>
              <w:rPr>
                <w:sz w:val="16"/>
              </w:rPr>
              <w:t> </w:t>
            </w:r>
            <w:r w:rsidRPr="00F053BA">
              <w:rPr>
                <w:sz w:val="16"/>
                <w:lang w:val="ru-RU"/>
              </w:rPr>
              <w:t>г.</w:t>
            </w:r>
          </w:p>
        </w:tc>
        <w:tc>
          <w:tcPr>
            <w:tcW w:w="861" w:type="pct"/>
            <w:tcBorders>
              <w:top w:val="nil"/>
              <w:bottom w:val="nil"/>
            </w:tcBorders>
            <w:shd w:val="clear" w:color="auto" w:fill="auto"/>
            <w:tcMar>
              <w:top w:w="110" w:type="dxa"/>
            </w:tcMar>
          </w:tcPr>
          <w:p w:rsidR="00F053BA" w:rsidRPr="00F053BA" w:rsidRDefault="00F053BA" w:rsidP="00F053BA">
            <w:pPr>
              <w:rPr>
                <w:rFonts w:cs="Arial"/>
                <w:i/>
                <w:sz w:val="16"/>
                <w:szCs w:val="16"/>
                <w:lang w:val="ru-RU"/>
              </w:rPr>
            </w:pPr>
            <w:r w:rsidRPr="00F053BA">
              <w:rPr>
                <w:sz w:val="16"/>
                <w:lang w:val="ru-RU"/>
              </w:rPr>
              <w:t>К концу 2015</w:t>
            </w:r>
            <w:r>
              <w:rPr>
                <w:sz w:val="16"/>
              </w:rPr>
              <w:t> </w:t>
            </w:r>
            <w:r w:rsidRPr="00F053BA">
              <w:rPr>
                <w:sz w:val="16"/>
                <w:lang w:val="ru-RU"/>
              </w:rPr>
              <w:t>г. увеличение на 8,1%</w:t>
            </w:r>
          </w:p>
        </w:tc>
        <w:tc>
          <w:tcPr>
            <w:tcW w:w="1199" w:type="pct"/>
            <w:tcBorders>
              <w:top w:val="nil"/>
              <w:bottom w:val="nil"/>
            </w:tcBorders>
            <w:shd w:val="clear" w:color="auto" w:fill="FFFFFF"/>
            <w:tcMar>
              <w:top w:w="110" w:type="dxa"/>
            </w:tcMar>
          </w:tcPr>
          <w:p w:rsidR="00F053BA" w:rsidRPr="00F053BA" w:rsidRDefault="00F053BA" w:rsidP="00F053BA">
            <w:pPr>
              <w:rPr>
                <w:rFonts w:cs="Arial"/>
                <w:sz w:val="16"/>
                <w:szCs w:val="16"/>
                <w:lang w:val="ru-RU"/>
              </w:rPr>
            </w:pPr>
            <w:r w:rsidRPr="00F053BA">
              <w:rPr>
                <w:sz w:val="16"/>
                <w:lang w:val="ru-RU"/>
              </w:rPr>
              <w:t>В 2014–2015</w:t>
            </w:r>
            <w:r>
              <w:rPr>
                <w:sz w:val="16"/>
              </w:rPr>
              <w:t> </w:t>
            </w:r>
            <w:r w:rsidRPr="00F053BA">
              <w:rPr>
                <w:sz w:val="16"/>
                <w:lang w:val="ru-RU"/>
              </w:rPr>
              <w:t>гг. в общей сложности получено 97</w:t>
            </w:r>
            <w:r>
              <w:rPr>
                <w:sz w:val="16"/>
              </w:rPr>
              <w:t> </w:t>
            </w:r>
            <w:r w:rsidRPr="00F053BA">
              <w:rPr>
                <w:sz w:val="16"/>
                <w:lang w:val="ru-RU"/>
              </w:rPr>
              <w:t>158</w:t>
            </w:r>
            <w:r>
              <w:rPr>
                <w:sz w:val="16"/>
              </w:rPr>
              <w:t> </w:t>
            </w:r>
            <w:r w:rsidRPr="00F053BA">
              <w:rPr>
                <w:sz w:val="16"/>
                <w:lang w:val="ru-RU"/>
              </w:rPr>
              <w:t xml:space="preserve">международных заявок: </w:t>
            </w:r>
          </w:p>
          <w:p w:rsidR="00F053BA" w:rsidRPr="00F053BA" w:rsidRDefault="00F053BA" w:rsidP="00F053BA">
            <w:pPr>
              <w:rPr>
                <w:rFonts w:cs="Arial"/>
                <w:sz w:val="16"/>
                <w:szCs w:val="16"/>
                <w:lang w:val="ru-RU"/>
              </w:rPr>
            </w:pPr>
            <w:r w:rsidRPr="00F053BA">
              <w:rPr>
                <w:sz w:val="16"/>
                <w:lang w:val="ru-RU"/>
              </w:rPr>
              <w:t>47</w:t>
            </w:r>
            <w:r>
              <w:rPr>
                <w:sz w:val="16"/>
              </w:rPr>
              <w:t> </w:t>
            </w:r>
            <w:r w:rsidRPr="00F053BA">
              <w:rPr>
                <w:sz w:val="16"/>
                <w:lang w:val="ru-RU"/>
              </w:rPr>
              <w:t>885 (2014 г.)</w:t>
            </w:r>
          </w:p>
          <w:p w:rsidR="00F053BA" w:rsidRPr="00F053BA" w:rsidRDefault="00F053BA" w:rsidP="00F053BA">
            <w:pPr>
              <w:rPr>
                <w:rFonts w:cs="Arial"/>
                <w:sz w:val="16"/>
                <w:szCs w:val="16"/>
                <w:lang w:val="ru-RU"/>
              </w:rPr>
            </w:pPr>
            <w:r w:rsidRPr="00F053BA">
              <w:rPr>
                <w:sz w:val="16"/>
                <w:lang w:val="ru-RU"/>
              </w:rPr>
              <w:t>49</w:t>
            </w:r>
            <w:r>
              <w:rPr>
                <w:sz w:val="16"/>
              </w:rPr>
              <w:t> </w:t>
            </w:r>
            <w:r w:rsidRPr="00F053BA">
              <w:rPr>
                <w:sz w:val="16"/>
                <w:lang w:val="ru-RU"/>
              </w:rPr>
              <w:t>273 (2015 г.)</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sz w:val="16"/>
                <w:lang w:val="ru-RU"/>
              </w:rPr>
              <w:t>Это свидетельствует о росте на 6,9% по сравнению с двухлетним периодом 2012–2013</w:t>
            </w:r>
            <w:r>
              <w:rPr>
                <w:sz w:val="16"/>
              </w:rPr>
              <w:t> </w:t>
            </w:r>
            <w:r w:rsidRPr="00F053BA">
              <w:rPr>
                <w:sz w:val="16"/>
                <w:lang w:val="ru-RU"/>
              </w:rPr>
              <w:t>гг.</w:t>
            </w:r>
          </w:p>
        </w:tc>
        <w:tc>
          <w:tcPr>
            <w:tcW w:w="642" w:type="pct"/>
            <w:tcBorders>
              <w:top w:val="nil"/>
              <w:bottom w:val="nil"/>
              <w:right w:val="single" w:sz="4" w:space="0" w:color="auto"/>
            </w:tcBorders>
            <w:shd w:val="clear" w:color="auto" w:fill="auto"/>
            <w:tcMar>
              <w:top w:w="110" w:type="dxa"/>
            </w:tcMar>
          </w:tcPr>
          <w:p w:rsidR="00F053BA" w:rsidRPr="00ED2AA7" w:rsidRDefault="00F053BA" w:rsidP="00F053BA">
            <w:pPr>
              <w:keepNext/>
              <w:keepLines/>
              <w:jc w:val="center"/>
              <w:rPr>
                <w:rFonts w:cs="Arial"/>
                <w:bCs/>
                <w:color w:val="808080"/>
                <w:sz w:val="16"/>
                <w:szCs w:val="16"/>
              </w:rPr>
            </w:pPr>
            <w:r>
              <w:rPr>
                <w:b/>
                <w:color w:val="00B050"/>
                <w:sz w:val="16"/>
              </w:rPr>
              <w:t>Выполнено</w:t>
            </w:r>
          </w:p>
        </w:tc>
      </w:tr>
      <w:tr w:rsidR="00F053BA" w:rsidRPr="0005539E" w:rsidTr="00495A3D">
        <w:trPr>
          <w:cantSplit/>
        </w:trPr>
        <w:tc>
          <w:tcPr>
            <w:tcW w:w="1047" w:type="pct"/>
            <w:tcBorders>
              <w:top w:val="nil"/>
              <w:left w:val="single" w:sz="4" w:space="0" w:color="auto"/>
              <w:bottom w:val="single" w:sz="4" w:space="0" w:color="auto"/>
            </w:tcBorders>
            <w:shd w:val="clear" w:color="auto" w:fill="auto"/>
          </w:tcPr>
          <w:p w:rsidR="00F053BA" w:rsidRPr="00F053BA" w:rsidRDefault="00F053BA" w:rsidP="00F053BA">
            <w:pPr>
              <w:rPr>
                <w:sz w:val="16"/>
                <w:lang w:val="ru-RU"/>
              </w:rPr>
            </w:pPr>
            <w:r w:rsidRPr="00F053BA">
              <w:rPr>
                <w:sz w:val="16"/>
                <w:lang w:val="ru-RU"/>
              </w:rPr>
              <w:t>Доля заинтересованных ведомств, предоставляющих информацию по Мадридской системе</w:t>
            </w:r>
          </w:p>
          <w:p w:rsidR="00F053BA" w:rsidRPr="00F053BA" w:rsidRDefault="00F053BA" w:rsidP="00F053BA">
            <w:pPr>
              <w:rPr>
                <w:rFonts w:cs="Arial"/>
                <w:sz w:val="16"/>
                <w:szCs w:val="16"/>
                <w:lang w:val="ru-RU"/>
              </w:rPr>
            </w:pPr>
          </w:p>
        </w:tc>
        <w:tc>
          <w:tcPr>
            <w:tcW w:w="1251" w:type="pct"/>
            <w:tcBorders>
              <w:top w:val="nil"/>
              <w:bottom w:val="single" w:sz="4" w:space="0" w:color="auto"/>
            </w:tcBorders>
            <w:shd w:val="clear" w:color="auto" w:fill="auto"/>
          </w:tcPr>
          <w:p w:rsidR="00F053BA" w:rsidRPr="00F053BA" w:rsidRDefault="00F053BA" w:rsidP="00F053BA">
            <w:pPr>
              <w:rPr>
                <w:rFonts w:cs="Arial"/>
                <w:sz w:val="16"/>
                <w:szCs w:val="16"/>
                <w:lang w:val="ru-RU"/>
              </w:rPr>
            </w:pPr>
            <w:r w:rsidRPr="00F053BA">
              <w:rPr>
                <w:sz w:val="16"/>
                <w:lang w:val="ru-RU"/>
              </w:rPr>
              <w:t>Доля таких ведомств, предоставляющих такую информацию</w:t>
            </w:r>
          </w:p>
        </w:tc>
        <w:tc>
          <w:tcPr>
            <w:tcW w:w="861" w:type="pct"/>
            <w:tcBorders>
              <w:top w:val="nil"/>
              <w:bottom w:val="single" w:sz="4" w:space="0" w:color="auto"/>
            </w:tcBorders>
            <w:shd w:val="clear" w:color="auto" w:fill="auto"/>
            <w:tcMar>
              <w:top w:w="110" w:type="dxa"/>
            </w:tcMar>
          </w:tcPr>
          <w:p w:rsidR="00F053BA" w:rsidRPr="0005539E" w:rsidRDefault="00F053BA" w:rsidP="00F053BA">
            <w:pPr>
              <w:rPr>
                <w:rFonts w:cs="Arial"/>
                <w:sz w:val="16"/>
                <w:szCs w:val="16"/>
              </w:rPr>
            </w:pPr>
            <w:r>
              <w:rPr>
                <w:sz w:val="16"/>
              </w:rPr>
              <w:t>Увеличение доли</w:t>
            </w:r>
          </w:p>
        </w:tc>
        <w:tc>
          <w:tcPr>
            <w:tcW w:w="1199" w:type="pct"/>
            <w:tcBorders>
              <w:top w:val="nil"/>
              <w:bottom w:val="single" w:sz="4" w:space="0" w:color="auto"/>
            </w:tcBorders>
            <w:shd w:val="clear" w:color="auto" w:fill="FFFFFF"/>
            <w:tcMar>
              <w:top w:w="110" w:type="dxa"/>
            </w:tcMar>
          </w:tcPr>
          <w:p w:rsidR="00F053BA" w:rsidRPr="00777328" w:rsidRDefault="00F053BA" w:rsidP="00F053BA">
            <w:pPr>
              <w:rPr>
                <w:rFonts w:cs="Arial"/>
                <w:b/>
                <w:sz w:val="16"/>
                <w:szCs w:val="16"/>
              </w:rPr>
            </w:pPr>
          </w:p>
        </w:tc>
        <w:tc>
          <w:tcPr>
            <w:tcW w:w="642" w:type="pct"/>
            <w:tcBorders>
              <w:top w:val="nil"/>
              <w:bottom w:val="single" w:sz="4" w:space="0" w:color="auto"/>
              <w:right w:val="single" w:sz="4" w:space="0" w:color="auto"/>
            </w:tcBorders>
            <w:shd w:val="clear" w:color="auto" w:fill="auto"/>
            <w:tcMar>
              <w:top w:w="110" w:type="dxa"/>
            </w:tcMar>
          </w:tcPr>
          <w:p w:rsidR="00F053BA" w:rsidRPr="00ED2AA7" w:rsidRDefault="00F053BA" w:rsidP="00F053BA">
            <w:pPr>
              <w:keepNext/>
              <w:keepLines/>
              <w:jc w:val="center"/>
              <w:rPr>
                <w:rFonts w:cs="Arial"/>
                <w:b/>
                <w:bCs/>
                <w:sz w:val="16"/>
                <w:szCs w:val="16"/>
              </w:rPr>
            </w:pPr>
            <w:r>
              <w:rPr>
                <w:b/>
                <w:sz w:val="16"/>
              </w:rPr>
              <w:t>Отменено</w:t>
            </w:r>
          </w:p>
        </w:tc>
      </w:tr>
    </w:tbl>
    <w:p w:rsidR="00495A3D" w:rsidRDefault="00495A3D">
      <w:r>
        <w:br w:type="page"/>
      </w:r>
    </w:p>
    <w:tbl>
      <w:tblPr>
        <w:tblW w:w="5061"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29"/>
        <w:gridCol w:w="2424"/>
        <w:gridCol w:w="1668"/>
        <w:gridCol w:w="2323"/>
        <w:gridCol w:w="1244"/>
      </w:tblGrid>
      <w:tr w:rsidR="00F053BA" w:rsidRPr="005C6ABD" w:rsidTr="00F053BA">
        <w:trPr>
          <w:cantSplit/>
          <w:trHeight w:val="502"/>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F053BA" w:rsidRPr="00F053BA" w:rsidRDefault="00F053BA" w:rsidP="003A5C2E">
            <w:pPr>
              <w:tabs>
                <w:tab w:val="left" w:pos="2302"/>
              </w:tabs>
              <w:ind w:left="2302" w:hanging="2302"/>
              <w:rPr>
                <w:rFonts w:cs="Arial"/>
                <w:b/>
                <w:bCs/>
                <w:sz w:val="16"/>
                <w:szCs w:val="16"/>
                <w:lang w:val="ru-RU"/>
              </w:rPr>
            </w:pPr>
            <w:r w:rsidRPr="00F053BA">
              <w:rPr>
                <w:b/>
                <w:sz w:val="16"/>
                <w:lang w:val="ru-RU"/>
              </w:rPr>
              <w:t xml:space="preserve">Ожидаемый результат: </w:t>
            </w:r>
            <w:r w:rsidRPr="00F053BA">
              <w:rPr>
                <w:lang w:val="ru-RU"/>
              </w:rPr>
              <w:tab/>
            </w:r>
            <w:r>
              <w:rPr>
                <w:sz w:val="16"/>
              </w:rPr>
              <w:t>II</w:t>
            </w:r>
            <w:r w:rsidRPr="00F053BA">
              <w:rPr>
                <w:sz w:val="16"/>
                <w:lang w:val="ru-RU"/>
              </w:rPr>
              <w:t>.6. Более широкое и эффективное использование Мадридско</w:t>
            </w:r>
            <w:r w:rsidR="003A5C2E">
              <w:rPr>
                <w:sz w:val="16"/>
                <w:lang w:val="ru-RU"/>
              </w:rPr>
              <w:t xml:space="preserve">й и Лиссабонской систем, в том </w:t>
            </w:r>
            <w:r w:rsidRPr="00F053BA">
              <w:rPr>
                <w:sz w:val="16"/>
                <w:lang w:val="ru-RU"/>
              </w:rPr>
              <w:t>числе развивающимися странами и НРС</w:t>
            </w:r>
          </w:p>
        </w:tc>
      </w:tr>
      <w:tr w:rsidR="00F053BA" w:rsidRPr="0005539E" w:rsidTr="00495A3D">
        <w:trPr>
          <w:cantSplit/>
        </w:trPr>
        <w:tc>
          <w:tcPr>
            <w:tcW w:w="1047" w:type="pct"/>
            <w:tcBorders>
              <w:top w:val="single" w:sz="4" w:space="0" w:color="auto"/>
              <w:left w:val="single" w:sz="4" w:space="0" w:color="auto"/>
              <w:bottom w:val="nil"/>
            </w:tcBorders>
            <w:shd w:val="clear" w:color="auto" w:fill="auto"/>
            <w:vAlign w:val="center"/>
          </w:tcPr>
          <w:p w:rsidR="00F053BA" w:rsidRPr="00232B7E" w:rsidRDefault="00F053BA" w:rsidP="00F053BA">
            <w:pPr>
              <w:rPr>
                <w:rFonts w:cs="Arial"/>
                <w:sz w:val="16"/>
                <w:szCs w:val="16"/>
              </w:rPr>
            </w:pPr>
            <w:r>
              <w:rPr>
                <w:b/>
                <w:sz w:val="16"/>
              </w:rPr>
              <w:t>Показатели результативности</w:t>
            </w:r>
          </w:p>
        </w:tc>
        <w:tc>
          <w:tcPr>
            <w:tcW w:w="1251" w:type="pct"/>
            <w:tcBorders>
              <w:top w:val="single" w:sz="4" w:space="0" w:color="auto"/>
              <w:bottom w:val="nil"/>
            </w:tcBorders>
            <w:shd w:val="clear" w:color="auto" w:fill="auto"/>
            <w:vAlign w:val="center"/>
          </w:tcPr>
          <w:p w:rsidR="00F053BA" w:rsidRDefault="00F053BA" w:rsidP="00F053BA">
            <w:pPr>
              <w:rPr>
                <w:rFonts w:cs="Arial"/>
                <w:i/>
                <w:color w:val="002060"/>
                <w:sz w:val="16"/>
                <w:szCs w:val="16"/>
              </w:rPr>
            </w:pPr>
            <w:r>
              <w:rPr>
                <w:b/>
                <w:sz w:val="16"/>
              </w:rPr>
              <w:t>Базовые показатели</w:t>
            </w:r>
          </w:p>
        </w:tc>
        <w:tc>
          <w:tcPr>
            <w:tcW w:w="861" w:type="pct"/>
            <w:tcBorders>
              <w:top w:val="single" w:sz="4" w:space="0" w:color="auto"/>
              <w:bottom w:val="nil"/>
            </w:tcBorders>
            <w:shd w:val="clear" w:color="auto" w:fill="auto"/>
            <w:tcMar>
              <w:top w:w="110" w:type="dxa"/>
            </w:tcMar>
            <w:vAlign w:val="center"/>
          </w:tcPr>
          <w:p w:rsidR="00F053BA" w:rsidRPr="00232B7E" w:rsidRDefault="00F053BA" w:rsidP="00F053BA">
            <w:pPr>
              <w:rPr>
                <w:rFonts w:cs="Arial"/>
                <w:sz w:val="16"/>
                <w:szCs w:val="16"/>
              </w:rPr>
            </w:pPr>
            <w:r>
              <w:rPr>
                <w:b/>
                <w:sz w:val="16"/>
              </w:rPr>
              <w:t>Цели</w:t>
            </w:r>
          </w:p>
        </w:tc>
        <w:tc>
          <w:tcPr>
            <w:tcW w:w="1199" w:type="pct"/>
            <w:tcBorders>
              <w:top w:val="single" w:sz="4" w:space="0" w:color="auto"/>
              <w:bottom w:val="nil"/>
            </w:tcBorders>
            <w:shd w:val="clear" w:color="auto" w:fill="FFFFFF"/>
            <w:tcMar>
              <w:top w:w="110" w:type="dxa"/>
            </w:tcMar>
            <w:vAlign w:val="center"/>
          </w:tcPr>
          <w:p w:rsidR="00F053BA" w:rsidRPr="0005539E" w:rsidRDefault="00F053BA" w:rsidP="00F053BA">
            <w:pPr>
              <w:rPr>
                <w:rFonts w:cs="Arial"/>
                <w:sz w:val="16"/>
                <w:szCs w:val="16"/>
              </w:rPr>
            </w:pPr>
            <w:r>
              <w:rPr>
                <w:b/>
                <w:sz w:val="16"/>
              </w:rPr>
              <w:t>Данные о результативности</w:t>
            </w:r>
          </w:p>
        </w:tc>
        <w:tc>
          <w:tcPr>
            <w:tcW w:w="642" w:type="pct"/>
            <w:tcBorders>
              <w:top w:val="single" w:sz="4" w:space="0" w:color="auto"/>
              <w:bottom w:val="nil"/>
              <w:right w:val="single" w:sz="4" w:space="0" w:color="auto"/>
            </w:tcBorders>
            <w:shd w:val="clear" w:color="auto" w:fill="auto"/>
            <w:tcMar>
              <w:top w:w="110" w:type="dxa"/>
            </w:tcMar>
            <w:vAlign w:val="center"/>
          </w:tcPr>
          <w:p w:rsidR="00F053BA" w:rsidRPr="00EA4470" w:rsidRDefault="00F053BA" w:rsidP="00F053BA">
            <w:pPr>
              <w:keepNext/>
              <w:keepLines/>
              <w:jc w:val="center"/>
              <w:rPr>
                <w:rStyle w:val="Style5"/>
              </w:rPr>
            </w:pPr>
            <w:r>
              <w:rPr>
                <w:b/>
                <w:sz w:val="16"/>
              </w:rPr>
              <w:t>CC</w:t>
            </w:r>
          </w:p>
        </w:tc>
      </w:tr>
      <w:tr w:rsidR="00F053BA" w:rsidRPr="0005539E" w:rsidTr="00495A3D">
        <w:trPr>
          <w:cantSplit/>
        </w:trPr>
        <w:tc>
          <w:tcPr>
            <w:tcW w:w="1047"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lang w:val="ru-RU"/>
              </w:rPr>
              <w:t>Доля (%) участников мероприятий, связанных с Лиссабонской системой, которые удовлетворены результатами и сообщают о повышении своей информированности после участия в мероприятиях</w:t>
            </w:r>
          </w:p>
        </w:tc>
        <w:tc>
          <w:tcPr>
            <w:tcW w:w="1251" w:type="pct"/>
            <w:tcBorders>
              <w:top w:val="nil"/>
              <w:bottom w:val="nil"/>
            </w:tcBorders>
            <w:shd w:val="clear" w:color="auto" w:fill="auto"/>
          </w:tcPr>
          <w:p w:rsidR="00F053BA" w:rsidRPr="00F053BA" w:rsidRDefault="00F053BA" w:rsidP="00F053BA">
            <w:pPr>
              <w:rPr>
                <w:rFonts w:cs="Arial"/>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по результатам опроса с целью оценки, уровень удовлетворенности составил более 90%.</w:t>
            </w:r>
          </w:p>
          <w:p w:rsidR="00F053BA" w:rsidRPr="00F053BA" w:rsidRDefault="00F053BA" w:rsidP="00F053BA">
            <w:pPr>
              <w:rPr>
                <w:rFonts w:cs="Arial"/>
                <w:color w:val="002060"/>
                <w:sz w:val="16"/>
                <w:szCs w:val="16"/>
                <w:lang w:val="ru-RU"/>
              </w:rPr>
            </w:pPr>
          </w:p>
          <w:p w:rsidR="00F053BA" w:rsidRPr="00F053BA" w:rsidRDefault="00F053BA" w:rsidP="00F053BA">
            <w:pPr>
              <w:rPr>
                <w:rFonts w:cs="Arial"/>
                <w:i/>
                <w:color w:val="002060"/>
                <w:sz w:val="16"/>
                <w:szCs w:val="16"/>
                <w:lang w:val="ru-RU"/>
              </w:rPr>
            </w:pPr>
            <w:r w:rsidRPr="00F053BA">
              <w:rPr>
                <w:i/>
                <w:sz w:val="16"/>
                <w:lang w:val="ru-RU"/>
              </w:rPr>
              <w:t>Исходные базовые показатели ПиБ на 2013–2014</w:t>
            </w:r>
            <w:r>
              <w:rPr>
                <w:i/>
                <w:sz w:val="16"/>
              </w:rPr>
              <w:t> </w:t>
            </w:r>
            <w:r w:rsidRPr="00F053BA">
              <w:rPr>
                <w:i/>
                <w:sz w:val="16"/>
                <w:lang w:val="ru-RU"/>
              </w:rPr>
              <w:t xml:space="preserve">гг.: </w:t>
            </w:r>
            <w:r w:rsidRPr="00F053BA">
              <w:rPr>
                <w:sz w:val="16"/>
                <w:lang w:val="ru-RU"/>
              </w:rPr>
              <w:t>число мероприятий и процент участников, удовлетворенных результатами работы в 2013</w:t>
            </w:r>
            <w:r>
              <w:rPr>
                <w:sz w:val="16"/>
              </w:rPr>
              <w:t> </w:t>
            </w:r>
            <w:r w:rsidRPr="00F053BA">
              <w:rPr>
                <w:sz w:val="16"/>
                <w:lang w:val="ru-RU"/>
              </w:rPr>
              <w:t>г.</w:t>
            </w:r>
          </w:p>
        </w:tc>
        <w:tc>
          <w:tcPr>
            <w:tcW w:w="861" w:type="pct"/>
            <w:tcBorders>
              <w:top w:val="nil"/>
              <w:bottom w:val="nil"/>
            </w:tcBorders>
            <w:shd w:val="clear" w:color="auto" w:fill="auto"/>
            <w:tcMar>
              <w:top w:w="110" w:type="dxa"/>
            </w:tcMar>
          </w:tcPr>
          <w:p w:rsidR="00F053BA" w:rsidRPr="00F053BA" w:rsidRDefault="00F053BA" w:rsidP="00F053BA">
            <w:pPr>
              <w:rPr>
                <w:rFonts w:cs="Arial"/>
                <w:sz w:val="16"/>
                <w:szCs w:val="16"/>
                <w:lang w:val="ru-RU"/>
              </w:rPr>
            </w:pPr>
            <w:r w:rsidRPr="00F053BA">
              <w:rPr>
                <w:sz w:val="16"/>
                <w:lang w:val="ru-RU"/>
              </w:rPr>
              <w:t>Не менее восьми мероприятий, результатами которых удовлетворены 85% участников</w:t>
            </w:r>
          </w:p>
        </w:tc>
        <w:tc>
          <w:tcPr>
            <w:tcW w:w="1199" w:type="pct"/>
            <w:tcBorders>
              <w:top w:val="nil"/>
              <w:bottom w:val="nil"/>
            </w:tcBorders>
            <w:shd w:val="clear" w:color="auto" w:fill="FFFFFF"/>
            <w:tcMar>
              <w:top w:w="110" w:type="dxa"/>
            </w:tcMar>
          </w:tcPr>
          <w:p w:rsidR="00F053BA" w:rsidRPr="00F053BA" w:rsidRDefault="00F053BA" w:rsidP="00F053BA">
            <w:pPr>
              <w:rPr>
                <w:rFonts w:cs="Arial"/>
                <w:sz w:val="16"/>
                <w:szCs w:val="16"/>
                <w:lang w:val="ru-RU"/>
              </w:rPr>
            </w:pPr>
            <w:r w:rsidRPr="00F053BA">
              <w:rPr>
                <w:sz w:val="16"/>
                <w:lang w:val="ru-RU"/>
              </w:rPr>
              <w:t>Семь специализированных информационно-разъяснительных мероприятий, посвященных Лиссабонской системе, включая ее планируемый пересмотр, во всех регионах; 84% участников удовлетворены результатами</w:t>
            </w:r>
          </w:p>
        </w:tc>
        <w:tc>
          <w:tcPr>
            <w:tcW w:w="642" w:type="pct"/>
            <w:tcBorders>
              <w:top w:val="nil"/>
              <w:bottom w:val="nil"/>
              <w:right w:val="single" w:sz="4" w:space="0" w:color="auto"/>
            </w:tcBorders>
            <w:shd w:val="clear" w:color="auto" w:fill="auto"/>
            <w:tcMar>
              <w:top w:w="110" w:type="dxa"/>
            </w:tcMar>
          </w:tcPr>
          <w:p w:rsidR="00F053BA" w:rsidRPr="00EA4470" w:rsidRDefault="00F053BA" w:rsidP="00F053BA">
            <w:pPr>
              <w:keepNext/>
              <w:keepLines/>
              <w:jc w:val="center"/>
              <w:rPr>
                <w:rStyle w:val="Style5"/>
              </w:rPr>
            </w:pPr>
            <w:r>
              <w:rPr>
                <w:b/>
                <w:color w:val="00B050"/>
                <w:sz w:val="16"/>
              </w:rPr>
              <w:t>Выполнено</w:t>
            </w:r>
          </w:p>
        </w:tc>
      </w:tr>
      <w:tr w:rsidR="00F053BA" w:rsidRPr="0005539E" w:rsidTr="00495A3D">
        <w:trPr>
          <w:cantSplit/>
        </w:trPr>
        <w:tc>
          <w:tcPr>
            <w:tcW w:w="1047"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lang w:val="ru-RU"/>
              </w:rPr>
              <w:t>Число и доля действующих заявок в рамках Лиссабонской системы, поданных из развивающихся стран и НРС</w:t>
            </w:r>
          </w:p>
        </w:tc>
        <w:tc>
          <w:tcPr>
            <w:tcW w:w="1251" w:type="pct"/>
            <w:tcBorders>
              <w:top w:val="nil"/>
              <w:bottom w:val="nil"/>
            </w:tcBorders>
            <w:shd w:val="clear" w:color="auto" w:fill="auto"/>
          </w:tcPr>
          <w:p w:rsidR="00F053BA" w:rsidRPr="00F053BA" w:rsidRDefault="00F053BA" w:rsidP="00F053BA">
            <w:pPr>
              <w:rPr>
                <w:rFonts w:cs="Arial"/>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67 из 816</w:t>
            </w:r>
          </w:p>
          <w:p w:rsidR="00F053BA" w:rsidRPr="00F053BA" w:rsidRDefault="00F053BA" w:rsidP="00F053BA">
            <w:pPr>
              <w:rPr>
                <w:rFonts w:cs="Arial"/>
                <w:color w:val="002060"/>
                <w:sz w:val="16"/>
                <w:szCs w:val="16"/>
                <w:lang w:val="ru-RU"/>
              </w:rPr>
            </w:pPr>
          </w:p>
          <w:p w:rsidR="00F053BA" w:rsidRPr="00F053BA" w:rsidRDefault="00F053BA" w:rsidP="00F053BA">
            <w:pPr>
              <w:rPr>
                <w:sz w:val="16"/>
                <w:lang w:val="ru-RU"/>
              </w:rPr>
            </w:pPr>
            <w:r w:rsidRPr="00F053BA">
              <w:rPr>
                <w:i/>
                <w:sz w:val="16"/>
                <w:lang w:val="ru-RU"/>
              </w:rPr>
              <w:t>Исходные базовые показатели ПиБ на 2013–2014</w:t>
            </w:r>
            <w:r>
              <w:rPr>
                <w:i/>
                <w:sz w:val="16"/>
              </w:rPr>
              <w:t> </w:t>
            </w:r>
            <w:r w:rsidRPr="00F053BA">
              <w:rPr>
                <w:i/>
                <w:sz w:val="16"/>
                <w:lang w:val="ru-RU"/>
              </w:rPr>
              <w:t xml:space="preserve">гг.: </w:t>
            </w:r>
            <w:r w:rsidRPr="00F053BA">
              <w:rPr>
                <w:sz w:val="16"/>
                <w:lang w:val="ru-RU"/>
              </w:rPr>
              <w:t>67 (из 809) (апрель 2013</w:t>
            </w:r>
            <w:r>
              <w:rPr>
                <w:sz w:val="16"/>
              </w:rPr>
              <w:t> </w:t>
            </w:r>
            <w:r w:rsidRPr="00F053BA">
              <w:rPr>
                <w:sz w:val="16"/>
                <w:lang w:val="ru-RU"/>
              </w:rPr>
              <w:t>г.)</w:t>
            </w:r>
          </w:p>
          <w:p w:rsidR="00F053BA" w:rsidRPr="00F053BA" w:rsidRDefault="00F053BA" w:rsidP="00F053BA">
            <w:pPr>
              <w:rPr>
                <w:rFonts w:cs="Arial"/>
                <w:i/>
                <w:color w:val="002060"/>
                <w:sz w:val="16"/>
                <w:szCs w:val="16"/>
                <w:lang w:val="ru-RU"/>
              </w:rPr>
            </w:pPr>
          </w:p>
        </w:tc>
        <w:tc>
          <w:tcPr>
            <w:tcW w:w="861" w:type="pct"/>
            <w:tcBorders>
              <w:top w:val="nil"/>
              <w:bottom w:val="nil"/>
            </w:tcBorders>
            <w:shd w:val="clear" w:color="auto" w:fill="auto"/>
            <w:tcMar>
              <w:top w:w="110" w:type="dxa"/>
            </w:tcMar>
          </w:tcPr>
          <w:p w:rsidR="00F053BA" w:rsidRPr="00F657D4" w:rsidRDefault="00F053BA" w:rsidP="00F053BA">
            <w:pPr>
              <w:rPr>
                <w:rFonts w:cs="Arial"/>
                <w:sz w:val="16"/>
                <w:szCs w:val="16"/>
              </w:rPr>
            </w:pPr>
            <w:r>
              <w:rPr>
                <w:sz w:val="16"/>
              </w:rPr>
              <w:t>80 (из 825)</w:t>
            </w:r>
          </w:p>
        </w:tc>
        <w:tc>
          <w:tcPr>
            <w:tcW w:w="1199" w:type="pct"/>
            <w:tcBorders>
              <w:top w:val="nil"/>
              <w:bottom w:val="nil"/>
            </w:tcBorders>
            <w:shd w:val="clear" w:color="auto" w:fill="FFFFFF"/>
            <w:tcMar>
              <w:top w:w="110" w:type="dxa"/>
            </w:tcMar>
          </w:tcPr>
          <w:p w:rsidR="00F053BA" w:rsidRDefault="00F053BA" w:rsidP="00F053BA">
            <w:pPr>
              <w:rPr>
                <w:rFonts w:cs="Arial"/>
                <w:sz w:val="16"/>
                <w:szCs w:val="16"/>
              </w:rPr>
            </w:pPr>
            <w:r>
              <w:rPr>
                <w:sz w:val="16"/>
              </w:rPr>
              <w:t>95 (из 931):</w:t>
            </w:r>
          </w:p>
          <w:p w:rsidR="00F053BA" w:rsidRDefault="00F053BA" w:rsidP="00BF61DC">
            <w:pPr>
              <w:numPr>
                <w:ilvl w:val="0"/>
                <w:numId w:val="92"/>
              </w:numPr>
              <w:rPr>
                <w:rFonts w:cs="Arial"/>
                <w:sz w:val="16"/>
                <w:szCs w:val="16"/>
              </w:rPr>
            </w:pPr>
            <w:r>
              <w:rPr>
                <w:sz w:val="16"/>
              </w:rPr>
              <w:t>арабские страны (14)</w:t>
            </w:r>
          </w:p>
          <w:p w:rsidR="00F053BA" w:rsidRDefault="00F053BA" w:rsidP="00BF61DC">
            <w:pPr>
              <w:numPr>
                <w:ilvl w:val="0"/>
                <w:numId w:val="92"/>
              </w:numPr>
              <w:rPr>
                <w:rFonts w:cs="Arial"/>
                <w:sz w:val="16"/>
                <w:szCs w:val="16"/>
              </w:rPr>
            </w:pPr>
            <w:r>
              <w:rPr>
                <w:sz w:val="16"/>
              </w:rPr>
              <w:t>страны Азиатско-Тихоокеанского региона (38)</w:t>
            </w:r>
          </w:p>
          <w:p w:rsidR="00F053BA" w:rsidRPr="00F053BA" w:rsidRDefault="00F053BA" w:rsidP="00F053BA">
            <w:pPr>
              <w:pStyle w:val="ListParagraph"/>
              <w:ind w:left="360"/>
              <w:rPr>
                <w:rFonts w:cs="Arial"/>
                <w:sz w:val="16"/>
                <w:szCs w:val="16"/>
                <w:lang w:val="ru-RU"/>
              </w:rPr>
            </w:pPr>
            <w:r w:rsidRPr="00F053BA">
              <w:rPr>
                <w:sz w:val="16"/>
                <w:lang w:val="ru-RU"/>
              </w:rPr>
              <w:t>Латинская Америка и страны Карибского бассейна (43)</w:t>
            </w:r>
          </w:p>
        </w:tc>
        <w:tc>
          <w:tcPr>
            <w:tcW w:w="642" w:type="pct"/>
            <w:tcBorders>
              <w:top w:val="nil"/>
              <w:bottom w:val="nil"/>
              <w:right w:val="single" w:sz="4" w:space="0" w:color="auto"/>
            </w:tcBorders>
            <w:shd w:val="clear" w:color="auto" w:fill="auto"/>
            <w:tcMar>
              <w:top w:w="110" w:type="dxa"/>
            </w:tcMar>
          </w:tcPr>
          <w:p w:rsidR="00F053BA" w:rsidRPr="00EA4470" w:rsidRDefault="00F053BA" w:rsidP="00F053BA">
            <w:pPr>
              <w:keepNext/>
              <w:keepLines/>
              <w:jc w:val="center"/>
              <w:rPr>
                <w:rStyle w:val="Style5"/>
                <w:szCs w:val="20"/>
              </w:rPr>
            </w:pPr>
            <w:r>
              <w:rPr>
                <w:b/>
                <w:color w:val="00B050"/>
                <w:sz w:val="16"/>
              </w:rPr>
              <w:t>Выполнено</w:t>
            </w:r>
          </w:p>
        </w:tc>
      </w:tr>
      <w:tr w:rsidR="00F053BA" w:rsidRPr="0005539E" w:rsidTr="00495A3D">
        <w:trPr>
          <w:cantSplit/>
        </w:trPr>
        <w:tc>
          <w:tcPr>
            <w:tcW w:w="1047" w:type="pct"/>
            <w:tcBorders>
              <w:top w:val="nil"/>
              <w:left w:val="single" w:sz="4" w:space="0" w:color="auto"/>
              <w:bottom w:val="single" w:sz="4" w:space="0" w:color="auto"/>
            </w:tcBorders>
            <w:shd w:val="clear" w:color="auto" w:fill="auto"/>
          </w:tcPr>
          <w:p w:rsidR="00F053BA" w:rsidRPr="00F053BA" w:rsidRDefault="00F053BA" w:rsidP="00F053BA">
            <w:pPr>
              <w:rPr>
                <w:rFonts w:cs="Arial"/>
                <w:sz w:val="16"/>
                <w:szCs w:val="16"/>
                <w:lang w:val="ru-RU"/>
              </w:rPr>
            </w:pPr>
            <w:r w:rsidRPr="00F053BA">
              <w:rPr>
                <w:sz w:val="16"/>
                <w:lang w:val="ru-RU"/>
              </w:rPr>
              <w:t>Сокращение числа нарушений (Мадридская система)</w:t>
            </w:r>
          </w:p>
        </w:tc>
        <w:tc>
          <w:tcPr>
            <w:tcW w:w="1251" w:type="pct"/>
            <w:tcBorders>
              <w:top w:val="nil"/>
              <w:bottom w:val="single" w:sz="4" w:space="0" w:color="auto"/>
            </w:tcBorders>
            <w:shd w:val="clear" w:color="auto" w:fill="auto"/>
          </w:tcPr>
          <w:p w:rsidR="00F053BA" w:rsidRPr="00F053BA" w:rsidRDefault="00F053BA" w:rsidP="00F053BA">
            <w:pPr>
              <w:rPr>
                <w:rFonts w:cs="Arial"/>
                <w:i/>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p>
          <w:p w:rsidR="00F053BA" w:rsidRPr="00F053BA" w:rsidRDefault="00F053BA" w:rsidP="00F053BA">
            <w:pPr>
              <w:rPr>
                <w:rFonts w:cs="Arial"/>
                <w:color w:val="002060"/>
                <w:sz w:val="16"/>
                <w:szCs w:val="16"/>
                <w:lang w:val="ru-RU"/>
              </w:rPr>
            </w:pPr>
            <w:r w:rsidRPr="00F053BA">
              <w:rPr>
                <w:color w:val="002060"/>
                <w:sz w:val="16"/>
                <w:lang w:val="ru-RU"/>
              </w:rPr>
              <w:t>2013</w:t>
            </w:r>
            <w:r>
              <w:rPr>
                <w:color w:val="002060"/>
                <w:sz w:val="16"/>
              </w:rPr>
              <w:t> </w:t>
            </w:r>
            <w:r w:rsidRPr="00F053BA">
              <w:rPr>
                <w:color w:val="002060"/>
                <w:sz w:val="16"/>
                <w:lang w:val="ru-RU"/>
              </w:rPr>
              <w:t>г.: 32%</w:t>
            </w:r>
            <w:r>
              <w:rPr>
                <w:rStyle w:val="FootnoteReference"/>
                <w:color w:val="002060"/>
                <w:sz w:val="16"/>
              </w:rPr>
              <w:footnoteReference w:id="24"/>
            </w:r>
            <w:r w:rsidRPr="00F053BA">
              <w:rPr>
                <w:color w:val="002060"/>
                <w:sz w:val="16"/>
                <w:lang w:val="ru-RU"/>
              </w:rPr>
              <w:t xml:space="preserve"> (14</w:t>
            </w:r>
            <w:r>
              <w:rPr>
                <w:color w:val="002060"/>
                <w:sz w:val="16"/>
              </w:rPr>
              <w:t> </w:t>
            </w:r>
            <w:r w:rsidRPr="00F053BA">
              <w:rPr>
                <w:color w:val="002060"/>
                <w:sz w:val="16"/>
                <w:lang w:val="ru-RU"/>
              </w:rPr>
              <w:t>985 заявок с нарушениями)</w:t>
            </w:r>
          </w:p>
          <w:p w:rsidR="00F053BA" w:rsidRPr="00F053BA" w:rsidRDefault="00F053BA" w:rsidP="00F053BA">
            <w:pPr>
              <w:rPr>
                <w:rFonts w:cs="Arial"/>
                <w:i/>
                <w:sz w:val="8"/>
                <w:szCs w:val="8"/>
                <w:lang w:val="ru-RU"/>
              </w:rPr>
            </w:pPr>
          </w:p>
          <w:p w:rsidR="00F053BA" w:rsidRPr="00F053BA" w:rsidRDefault="00F053BA" w:rsidP="00F053BA">
            <w:pPr>
              <w:rPr>
                <w:sz w:val="16"/>
                <w:lang w:val="ru-RU"/>
              </w:rPr>
            </w:pPr>
            <w:r w:rsidRPr="00F053BA">
              <w:rPr>
                <w:i/>
                <w:sz w:val="16"/>
                <w:lang w:val="ru-RU"/>
              </w:rPr>
              <w:t xml:space="preserve">Исходные базовые показатели ПиБ на 2014–2015 гг.: </w:t>
            </w:r>
            <w:r w:rsidRPr="00F053BA">
              <w:rPr>
                <w:sz w:val="16"/>
                <w:lang w:val="ru-RU"/>
              </w:rPr>
              <w:t>заявки, поданные с нарушениями, составили 32%</w:t>
            </w:r>
            <w:r>
              <w:rPr>
                <w:rStyle w:val="FootnoteReference"/>
                <w:sz w:val="16"/>
              </w:rPr>
              <w:footnoteReference w:id="25"/>
            </w:r>
            <w:r w:rsidRPr="00F053BA">
              <w:rPr>
                <w:sz w:val="16"/>
                <w:lang w:val="ru-RU"/>
              </w:rPr>
              <w:t xml:space="preserve"> (в 2012 г.). </w:t>
            </w:r>
          </w:p>
          <w:p w:rsidR="00F053BA" w:rsidRPr="00F053BA" w:rsidRDefault="00F053BA" w:rsidP="00F053BA">
            <w:pPr>
              <w:rPr>
                <w:rFonts w:cs="Arial"/>
                <w:i/>
                <w:color w:val="002060"/>
                <w:sz w:val="16"/>
                <w:szCs w:val="16"/>
                <w:lang w:val="ru-RU"/>
              </w:rPr>
            </w:pPr>
          </w:p>
        </w:tc>
        <w:tc>
          <w:tcPr>
            <w:tcW w:w="861" w:type="pct"/>
            <w:tcBorders>
              <w:top w:val="nil"/>
              <w:bottom w:val="single" w:sz="4" w:space="0" w:color="auto"/>
            </w:tcBorders>
            <w:shd w:val="clear" w:color="auto" w:fill="auto"/>
            <w:tcMar>
              <w:top w:w="110" w:type="dxa"/>
            </w:tcMar>
          </w:tcPr>
          <w:p w:rsidR="00F053BA" w:rsidRPr="00F657D4" w:rsidRDefault="00F053BA" w:rsidP="00F053BA">
            <w:pPr>
              <w:rPr>
                <w:rFonts w:cs="Arial"/>
                <w:sz w:val="16"/>
                <w:szCs w:val="16"/>
              </w:rPr>
            </w:pPr>
            <w:r>
              <w:rPr>
                <w:sz w:val="16"/>
              </w:rPr>
              <w:t>Сокращение числа нарушений на 10%</w:t>
            </w:r>
          </w:p>
        </w:tc>
        <w:tc>
          <w:tcPr>
            <w:tcW w:w="1199" w:type="pct"/>
            <w:tcBorders>
              <w:top w:val="nil"/>
              <w:bottom w:val="single" w:sz="4" w:space="0" w:color="auto"/>
            </w:tcBorders>
            <w:shd w:val="clear" w:color="auto" w:fill="FFFFFF"/>
            <w:tcMar>
              <w:top w:w="110" w:type="dxa"/>
            </w:tcMar>
          </w:tcPr>
          <w:p w:rsidR="00F053BA" w:rsidRPr="00F053BA" w:rsidRDefault="00F053BA" w:rsidP="00BF61DC">
            <w:pPr>
              <w:pStyle w:val="ListParagraph"/>
              <w:numPr>
                <w:ilvl w:val="0"/>
                <w:numId w:val="95"/>
              </w:numPr>
              <w:rPr>
                <w:rFonts w:cs="Arial"/>
                <w:sz w:val="16"/>
                <w:szCs w:val="16"/>
                <w:lang w:val="ru-RU"/>
              </w:rPr>
            </w:pPr>
            <w:r w:rsidRPr="00F053BA">
              <w:rPr>
                <w:sz w:val="16"/>
                <w:lang w:val="ru-RU"/>
              </w:rPr>
              <w:t>2014</w:t>
            </w:r>
            <w:r>
              <w:rPr>
                <w:sz w:val="16"/>
              </w:rPr>
              <w:t> </w:t>
            </w:r>
            <w:r w:rsidRPr="00F053BA">
              <w:rPr>
                <w:sz w:val="16"/>
                <w:lang w:val="ru-RU"/>
              </w:rPr>
              <w:t>г.: 34%</w:t>
            </w:r>
            <w:r>
              <w:rPr>
                <w:rStyle w:val="FootnoteReference"/>
                <w:sz w:val="16"/>
              </w:rPr>
              <w:footnoteReference w:id="26"/>
            </w:r>
            <w:r w:rsidRPr="00F053BA">
              <w:rPr>
                <w:sz w:val="16"/>
                <w:lang w:val="ru-RU"/>
              </w:rPr>
              <w:t xml:space="preserve"> или 16</w:t>
            </w:r>
            <w:r>
              <w:rPr>
                <w:sz w:val="16"/>
              </w:rPr>
              <w:t> </w:t>
            </w:r>
            <w:r w:rsidRPr="00F053BA">
              <w:rPr>
                <w:sz w:val="16"/>
                <w:lang w:val="ru-RU"/>
              </w:rPr>
              <w:t>281 заявка с нарушениями (+9% по сравнению с 2013</w:t>
            </w:r>
            <w:r>
              <w:rPr>
                <w:sz w:val="16"/>
              </w:rPr>
              <w:t> </w:t>
            </w:r>
            <w:r w:rsidRPr="00F053BA">
              <w:rPr>
                <w:sz w:val="16"/>
                <w:lang w:val="ru-RU"/>
              </w:rPr>
              <w:t>г.)</w:t>
            </w:r>
          </w:p>
          <w:p w:rsidR="00F053BA" w:rsidRPr="00F053BA" w:rsidRDefault="00F053BA" w:rsidP="00BF61DC">
            <w:pPr>
              <w:pStyle w:val="ListParagraph"/>
              <w:numPr>
                <w:ilvl w:val="0"/>
                <w:numId w:val="95"/>
              </w:numPr>
              <w:spacing w:before="60"/>
              <w:rPr>
                <w:rFonts w:cs="Arial"/>
                <w:b/>
                <w:sz w:val="16"/>
                <w:szCs w:val="16"/>
                <w:lang w:val="ru-RU"/>
              </w:rPr>
            </w:pPr>
            <w:r w:rsidRPr="00F053BA">
              <w:rPr>
                <w:sz w:val="16"/>
                <w:lang w:val="ru-RU"/>
              </w:rPr>
              <w:t>2015</w:t>
            </w:r>
            <w:r>
              <w:rPr>
                <w:sz w:val="16"/>
              </w:rPr>
              <w:t> </w:t>
            </w:r>
            <w:r w:rsidRPr="00F053BA">
              <w:rPr>
                <w:sz w:val="16"/>
                <w:lang w:val="ru-RU"/>
              </w:rPr>
              <w:t>г.: 39% или 19</w:t>
            </w:r>
            <w:r>
              <w:rPr>
                <w:sz w:val="16"/>
              </w:rPr>
              <w:t> </w:t>
            </w:r>
            <w:r w:rsidRPr="00F053BA">
              <w:rPr>
                <w:sz w:val="16"/>
                <w:lang w:val="ru-RU"/>
              </w:rPr>
              <w:t>216 заявок с нарушениями (+18% по сравнению с 2014</w:t>
            </w:r>
            <w:r>
              <w:rPr>
                <w:sz w:val="16"/>
              </w:rPr>
              <w:t> </w:t>
            </w:r>
            <w:r w:rsidRPr="00F053BA">
              <w:rPr>
                <w:sz w:val="16"/>
                <w:lang w:val="ru-RU"/>
              </w:rPr>
              <w:t xml:space="preserve">г.) </w:t>
            </w:r>
          </w:p>
        </w:tc>
        <w:tc>
          <w:tcPr>
            <w:tcW w:w="642" w:type="pct"/>
            <w:tcBorders>
              <w:top w:val="nil"/>
              <w:bottom w:val="single" w:sz="4" w:space="0" w:color="auto"/>
              <w:right w:val="single" w:sz="4" w:space="0" w:color="auto"/>
            </w:tcBorders>
            <w:shd w:val="clear" w:color="auto" w:fill="auto"/>
            <w:tcMar>
              <w:top w:w="110" w:type="dxa"/>
            </w:tcMar>
          </w:tcPr>
          <w:p w:rsidR="00F053BA" w:rsidRPr="00EA4470" w:rsidRDefault="00F053BA" w:rsidP="00F053BA">
            <w:pPr>
              <w:keepNext/>
              <w:keepLines/>
              <w:jc w:val="center"/>
              <w:rPr>
                <w:rStyle w:val="Style5"/>
              </w:rPr>
            </w:pPr>
            <w:r>
              <w:rPr>
                <w:b/>
                <w:color w:val="FF0000"/>
                <w:sz w:val="16"/>
              </w:rPr>
              <w:t>Не выполнено</w:t>
            </w:r>
          </w:p>
        </w:tc>
      </w:tr>
      <w:tr w:rsidR="00F053BA" w:rsidRPr="005C6ABD" w:rsidTr="00495A3D">
        <w:trPr>
          <w:cantSplit/>
          <w:trHeight w:val="367"/>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F053BA" w:rsidRPr="00F053BA" w:rsidRDefault="00F053BA" w:rsidP="003A5C2E">
            <w:pPr>
              <w:keepNext/>
              <w:keepLines/>
              <w:tabs>
                <w:tab w:val="left" w:pos="2019"/>
              </w:tabs>
              <w:ind w:left="2019" w:hanging="2019"/>
              <w:rPr>
                <w:rFonts w:cs="Arial"/>
                <w:b/>
                <w:bCs/>
                <w:sz w:val="16"/>
                <w:szCs w:val="16"/>
                <w:lang w:val="ru-RU"/>
              </w:rPr>
            </w:pPr>
            <w:r w:rsidRPr="00F053BA">
              <w:rPr>
                <w:b/>
                <w:sz w:val="16"/>
                <w:lang w:val="ru-RU"/>
              </w:rPr>
              <w:t xml:space="preserve">Ожидаемый результат: </w:t>
            </w:r>
            <w:r w:rsidRPr="00F053BA">
              <w:rPr>
                <w:lang w:val="ru-RU"/>
              </w:rPr>
              <w:tab/>
            </w:r>
            <w:r>
              <w:rPr>
                <w:sz w:val="16"/>
              </w:rPr>
              <w:t>II</w:t>
            </w:r>
            <w:r w:rsidRPr="00F053BA">
              <w:rPr>
                <w:sz w:val="16"/>
                <w:lang w:val="ru-RU"/>
              </w:rPr>
              <w:t>.7. Повышение эффективности операций Мадридской и Лис</w:t>
            </w:r>
            <w:r w:rsidR="003A5C2E">
              <w:rPr>
                <w:sz w:val="16"/>
                <w:lang w:val="ru-RU"/>
              </w:rPr>
              <w:t xml:space="preserve">сабонской систем и качества их </w:t>
            </w:r>
            <w:r w:rsidRPr="00F053BA">
              <w:rPr>
                <w:sz w:val="16"/>
                <w:lang w:val="ru-RU"/>
              </w:rPr>
              <w:t>услуг</w:t>
            </w:r>
          </w:p>
        </w:tc>
      </w:tr>
      <w:tr w:rsidR="00F053BA" w:rsidRPr="004C7D99" w:rsidTr="00495A3D">
        <w:trPr>
          <w:cantSplit/>
        </w:trPr>
        <w:tc>
          <w:tcPr>
            <w:tcW w:w="1047" w:type="pct"/>
            <w:tcBorders>
              <w:top w:val="single" w:sz="4" w:space="0" w:color="auto"/>
              <w:left w:val="single" w:sz="4" w:space="0" w:color="auto"/>
              <w:bottom w:val="nil"/>
            </w:tcBorders>
            <w:shd w:val="clear" w:color="auto" w:fill="auto"/>
            <w:vAlign w:val="center"/>
          </w:tcPr>
          <w:p w:rsidR="00F053BA" w:rsidRPr="004C7D99" w:rsidRDefault="00F053BA" w:rsidP="00F053BA">
            <w:pPr>
              <w:rPr>
                <w:rFonts w:cs="Arial"/>
                <w:sz w:val="16"/>
                <w:szCs w:val="16"/>
              </w:rPr>
            </w:pPr>
            <w:r>
              <w:rPr>
                <w:b/>
                <w:sz w:val="16"/>
              </w:rPr>
              <w:t>Показатели результативности</w:t>
            </w:r>
          </w:p>
        </w:tc>
        <w:tc>
          <w:tcPr>
            <w:tcW w:w="1251" w:type="pct"/>
            <w:tcBorders>
              <w:top w:val="single" w:sz="4" w:space="0" w:color="auto"/>
              <w:bottom w:val="nil"/>
            </w:tcBorders>
            <w:shd w:val="clear" w:color="auto" w:fill="auto"/>
            <w:vAlign w:val="center"/>
          </w:tcPr>
          <w:p w:rsidR="00F053BA" w:rsidRPr="004C7D99" w:rsidRDefault="00F053BA" w:rsidP="00F053BA">
            <w:pPr>
              <w:rPr>
                <w:rFonts w:cs="Arial"/>
                <w:b/>
                <w:bCs/>
                <w:sz w:val="16"/>
                <w:szCs w:val="16"/>
              </w:rPr>
            </w:pPr>
            <w:r>
              <w:rPr>
                <w:b/>
                <w:sz w:val="16"/>
              </w:rPr>
              <w:t>Базовые показатели</w:t>
            </w:r>
          </w:p>
        </w:tc>
        <w:tc>
          <w:tcPr>
            <w:tcW w:w="861" w:type="pct"/>
            <w:tcBorders>
              <w:top w:val="single" w:sz="4" w:space="0" w:color="auto"/>
              <w:bottom w:val="nil"/>
            </w:tcBorders>
            <w:shd w:val="clear" w:color="auto" w:fill="auto"/>
            <w:tcMar>
              <w:top w:w="110" w:type="dxa"/>
            </w:tcMar>
            <w:vAlign w:val="center"/>
          </w:tcPr>
          <w:p w:rsidR="00F053BA" w:rsidRPr="004C7D99" w:rsidRDefault="00F053BA" w:rsidP="00F053BA">
            <w:pPr>
              <w:rPr>
                <w:rFonts w:cs="Arial"/>
                <w:b/>
                <w:sz w:val="16"/>
                <w:szCs w:val="16"/>
              </w:rPr>
            </w:pPr>
            <w:r>
              <w:rPr>
                <w:b/>
                <w:sz w:val="16"/>
              </w:rPr>
              <w:t>Цели</w:t>
            </w:r>
          </w:p>
        </w:tc>
        <w:tc>
          <w:tcPr>
            <w:tcW w:w="1199" w:type="pct"/>
            <w:tcBorders>
              <w:top w:val="single" w:sz="4" w:space="0" w:color="auto"/>
              <w:bottom w:val="nil"/>
            </w:tcBorders>
            <w:shd w:val="clear" w:color="auto" w:fill="FFFFFF"/>
            <w:tcMar>
              <w:top w:w="110" w:type="dxa"/>
            </w:tcMar>
            <w:vAlign w:val="center"/>
          </w:tcPr>
          <w:p w:rsidR="00F053BA" w:rsidRPr="004C7D99" w:rsidRDefault="00F053BA" w:rsidP="00F053BA">
            <w:pPr>
              <w:rPr>
                <w:rFonts w:cs="Arial"/>
                <w:sz w:val="16"/>
                <w:szCs w:val="16"/>
              </w:rPr>
            </w:pPr>
            <w:r>
              <w:rPr>
                <w:b/>
                <w:sz w:val="16"/>
              </w:rPr>
              <w:t>Данные о результативности</w:t>
            </w:r>
          </w:p>
        </w:tc>
        <w:tc>
          <w:tcPr>
            <w:tcW w:w="642" w:type="pct"/>
            <w:tcBorders>
              <w:top w:val="single" w:sz="4" w:space="0" w:color="auto"/>
              <w:bottom w:val="nil"/>
              <w:right w:val="single" w:sz="4" w:space="0" w:color="auto"/>
            </w:tcBorders>
            <w:shd w:val="clear" w:color="auto" w:fill="auto"/>
            <w:tcMar>
              <w:top w:w="110" w:type="dxa"/>
            </w:tcMar>
            <w:vAlign w:val="center"/>
          </w:tcPr>
          <w:p w:rsidR="00F053BA" w:rsidRPr="00EA4470" w:rsidRDefault="00F053BA" w:rsidP="00F053BA">
            <w:pPr>
              <w:keepNext/>
              <w:keepLines/>
              <w:jc w:val="center"/>
              <w:rPr>
                <w:rFonts w:cs="Arial"/>
                <w:b/>
                <w:bCs/>
                <w:sz w:val="16"/>
                <w:szCs w:val="16"/>
              </w:rPr>
            </w:pPr>
            <w:r>
              <w:rPr>
                <w:b/>
                <w:sz w:val="16"/>
              </w:rPr>
              <w:t>CC</w:t>
            </w:r>
          </w:p>
        </w:tc>
      </w:tr>
      <w:tr w:rsidR="00F053BA" w:rsidRPr="0005539E" w:rsidTr="00495A3D">
        <w:trPr>
          <w:cantSplit/>
        </w:trPr>
        <w:tc>
          <w:tcPr>
            <w:tcW w:w="1047" w:type="pct"/>
            <w:tcBorders>
              <w:top w:val="nil"/>
              <w:left w:val="single" w:sz="4" w:space="0" w:color="auto"/>
              <w:bottom w:val="single" w:sz="4" w:space="0" w:color="auto"/>
            </w:tcBorders>
            <w:shd w:val="clear" w:color="auto" w:fill="FFFFFF"/>
          </w:tcPr>
          <w:p w:rsidR="00F053BA" w:rsidRPr="00F053BA" w:rsidRDefault="00F053BA" w:rsidP="00F053BA">
            <w:pPr>
              <w:rPr>
                <w:rFonts w:cs="Arial"/>
                <w:sz w:val="16"/>
                <w:szCs w:val="16"/>
                <w:lang w:val="ru-RU"/>
              </w:rPr>
            </w:pPr>
            <w:r w:rsidRPr="00F053BA">
              <w:rPr>
                <w:sz w:val="16"/>
                <w:lang w:val="ru-RU"/>
              </w:rPr>
              <w:t>Прогресс в оптимизации и упрощении правовой базы Мадридской системы</w:t>
            </w:r>
          </w:p>
        </w:tc>
        <w:tc>
          <w:tcPr>
            <w:tcW w:w="1251" w:type="pct"/>
            <w:tcBorders>
              <w:top w:val="nil"/>
              <w:bottom w:val="single" w:sz="4" w:space="0" w:color="auto"/>
            </w:tcBorders>
            <w:shd w:val="clear" w:color="auto" w:fill="auto"/>
          </w:tcPr>
          <w:p w:rsidR="00F053BA" w:rsidRPr="00F053BA" w:rsidRDefault="00F053BA" w:rsidP="00F053BA">
            <w:pPr>
              <w:rPr>
                <w:rFonts w:cs="Arial"/>
                <w:sz w:val="16"/>
                <w:szCs w:val="16"/>
                <w:lang w:val="ru-RU"/>
              </w:rPr>
            </w:pPr>
            <w:r w:rsidRPr="00F053BA">
              <w:rPr>
                <w:sz w:val="16"/>
                <w:lang w:val="ru-RU"/>
              </w:rPr>
              <w:t>Действующие на конец 2013</w:t>
            </w:r>
            <w:r>
              <w:rPr>
                <w:sz w:val="16"/>
              </w:rPr>
              <w:t> </w:t>
            </w:r>
            <w:r w:rsidRPr="00F053BA">
              <w:rPr>
                <w:sz w:val="16"/>
                <w:lang w:val="ru-RU"/>
              </w:rPr>
              <w:t>г. Общая инструкция и Административная инструкция (Мадридская система)</w:t>
            </w:r>
          </w:p>
        </w:tc>
        <w:tc>
          <w:tcPr>
            <w:tcW w:w="861" w:type="pct"/>
            <w:tcBorders>
              <w:top w:val="nil"/>
              <w:bottom w:val="single" w:sz="4" w:space="0" w:color="auto"/>
            </w:tcBorders>
            <w:shd w:val="clear" w:color="auto" w:fill="auto"/>
            <w:tcMar>
              <w:top w:w="110" w:type="dxa"/>
            </w:tcMar>
          </w:tcPr>
          <w:p w:rsidR="00F053BA" w:rsidRPr="00F053BA" w:rsidRDefault="00F053BA" w:rsidP="00F053BA">
            <w:pPr>
              <w:rPr>
                <w:rFonts w:cs="Arial"/>
                <w:sz w:val="16"/>
                <w:szCs w:val="16"/>
                <w:lang w:val="ru-RU"/>
              </w:rPr>
            </w:pPr>
            <w:r w:rsidRPr="00F053BA">
              <w:rPr>
                <w:sz w:val="16"/>
                <w:lang w:val="ru-RU"/>
              </w:rPr>
              <w:t>Поправки к Общей инструкции и Административной инструкции (Мадридская система)</w:t>
            </w:r>
          </w:p>
        </w:tc>
        <w:tc>
          <w:tcPr>
            <w:tcW w:w="1199" w:type="pct"/>
            <w:tcBorders>
              <w:top w:val="nil"/>
              <w:bottom w:val="single" w:sz="4" w:space="0" w:color="auto"/>
            </w:tcBorders>
            <w:shd w:val="clear" w:color="auto" w:fill="FFFFFF"/>
            <w:tcMar>
              <w:top w:w="110" w:type="dxa"/>
            </w:tcMar>
          </w:tcPr>
          <w:p w:rsidR="00F053BA" w:rsidRPr="00F053BA" w:rsidRDefault="00F053BA" w:rsidP="00F053BA">
            <w:pPr>
              <w:rPr>
                <w:rFonts w:cs="Arial"/>
                <w:sz w:val="16"/>
                <w:szCs w:val="16"/>
                <w:lang w:val="ru-RU"/>
              </w:rPr>
            </w:pPr>
            <w:r w:rsidRPr="00F053BA">
              <w:rPr>
                <w:color w:val="000000" w:themeColor="text1"/>
                <w:sz w:val="16"/>
                <w:lang w:val="ru-RU"/>
              </w:rPr>
              <w:t>Ассамблея Мадридского союза утвердила поправки (правила 5, 5</w:t>
            </w:r>
            <w:r>
              <w:rPr>
                <w:color w:val="000000" w:themeColor="text1"/>
                <w:sz w:val="16"/>
              </w:rPr>
              <w:t>bis</w:t>
            </w:r>
            <w:r w:rsidRPr="00F053BA">
              <w:rPr>
                <w:color w:val="000000" w:themeColor="text1"/>
                <w:sz w:val="16"/>
                <w:lang w:val="ru-RU"/>
              </w:rPr>
              <w:t>, 9, 20</w:t>
            </w:r>
            <w:r>
              <w:rPr>
                <w:color w:val="000000" w:themeColor="text1"/>
                <w:sz w:val="16"/>
              </w:rPr>
              <w:t>bis</w:t>
            </w:r>
            <w:r w:rsidRPr="00F053BA">
              <w:rPr>
                <w:color w:val="000000" w:themeColor="text1"/>
                <w:sz w:val="16"/>
                <w:lang w:val="ru-RU"/>
              </w:rPr>
              <w:t>, 24, 27, 30, 31, 36 и Перечень пошлин).  Некоторые поправки уже вступили в силу (1</w:t>
            </w:r>
            <w:r>
              <w:rPr>
                <w:color w:val="000000" w:themeColor="text1"/>
                <w:sz w:val="16"/>
              </w:rPr>
              <w:t> </w:t>
            </w:r>
            <w:r w:rsidRPr="00F053BA">
              <w:rPr>
                <w:color w:val="000000" w:themeColor="text1"/>
                <w:sz w:val="16"/>
                <w:lang w:val="ru-RU"/>
              </w:rPr>
              <w:t>апреля 2015</w:t>
            </w:r>
            <w:r>
              <w:rPr>
                <w:color w:val="000000" w:themeColor="text1"/>
                <w:sz w:val="16"/>
              </w:rPr>
              <w:t> </w:t>
            </w:r>
            <w:r w:rsidRPr="00F053BA">
              <w:rPr>
                <w:color w:val="000000" w:themeColor="text1"/>
                <w:sz w:val="16"/>
                <w:lang w:val="ru-RU"/>
              </w:rPr>
              <w:t>г.), а некоторые вступят в силу в 2016</w:t>
            </w:r>
            <w:r>
              <w:rPr>
                <w:color w:val="000000" w:themeColor="text1"/>
                <w:sz w:val="16"/>
              </w:rPr>
              <w:t> </w:t>
            </w:r>
            <w:r w:rsidRPr="00F053BA">
              <w:rPr>
                <w:color w:val="000000" w:themeColor="text1"/>
                <w:sz w:val="16"/>
                <w:lang w:val="ru-RU"/>
              </w:rPr>
              <w:t>г. (1</w:t>
            </w:r>
            <w:r>
              <w:rPr>
                <w:color w:val="000000" w:themeColor="text1"/>
                <w:sz w:val="16"/>
              </w:rPr>
              <w:t> </w:t>
            </w:r>
            <w:r w:rsidRPr="00F053BA">
              <w:rPr>
                <w:color w:val="000000" w:themeColor="text1"/>
                <w:sz w:val="16"/>
                <w:lang w:val="ru-RU"/>
              </w:rPr>
              <w:t>апреля) или в 2017</w:t>
            </w:r>
            <w:r>
              <w:rPr>
                <w:color w:val="000000" w:themeColor="text1"/>
                <w:sz w:val="16"/>
              </w:rPr>
              <w:t> </w:t>
            </w:r>
            <w:r w:rsidRPr="00F053BA">
              <w:rPr>
                <w:color w:val="000000" w:themeColor="text1"/>
                <w:sz w:val="16"/>
                <w:lang w:val="ru-RU"/>
              </w:rPr>
              <w:t>г. (1</w:t>
            </w:r>
            <w:r>
              <w:rPr>
                <w:color w:val="000000" w:themeColor="text1"/>
                <w:sz w:val="16"/>
              </w:rPr>
              <w:t> </w:t>
            </w:r>
            <w:r w:rsidRPr="00F053BA">
              <w:rPr>
                <w:color w:val="000000" w:themeColor="text1"/>
                <w:sz w:val="16"/>
                <w:lang w:val="ru-RU"/>
              </w:rPr>
              <w:t>июля и 1</w:t>
            </w:r>
            <w:r>
              <w:rPr>
                <w:color w:val="000000" w:themeColor="text1"/>
                <w:sz w:val="16"/>
              </w:rPr>
              <w:t> </w:t>
            </w:r>
            <w:r w:rsidRPr="00F053BA">
              <w:rPr>
                <w:color w:val="000000" w:themeColor="text1"/>
                <w:sz w:val="16"/>
                <w:lang w:val="ru-RU"/>
              </w:rPr>
              <w:t>ноября).</w:t>
            </w:r>
          </w:p>
        </w:tc>
        <w:tc>
          <w:tcPr>
            <w:tcW w:w="642" w:type="pct"/>
            <w:tcBorders>
              <w:top w:val="nil"/>
              <w:bottom w:val="single" w:sz="4" w:space="0" w:color="auto"/>
              <w:right w:val="single" w:sz="4" w:space="0" w:color="auto"/>
            </w:tcBorders>
            <w:shd w:val="clear" w:color="auto" w:fill="auto"/>
            <w:tcMar>
              <w:top w:w="110" w:type="dxa"/>
            </w:tcMar>
          </w:tcPr>
          <w:p w:rsidR="00F053BA" w:rsidRPr="00777328" w:rsidRDefault="00F053BA" w:rsidP="00F053BA">
            <w:pPr>
              <w:keepNext/>
              <w:keepLines/>
              <w:jc w:val="center"/>
              <w:rPr>
                <w:rStyle w:val="Style5"/>
              </w:rPr>
            </w:pPr>
            <w:r>
              <w:rPr>
                <w:b/>
                <w:color w:val="00B050"/>
                <w:sz w:val="16"/>
              </w:rPr>
              <w:t>Выполнено</w:t>
            </w:r>
          </w:p>
        </w:tc>
      </w:tr>
      <w:tr w:rsidR="00F053BA" w:rsidRPr="005C6ABD" w:rsidTr="00495A3D">
        <w:trPr>
          <w:cantSplit/>
        </w:trPr>
        <w:tc>
          <w:tcPr>
            <w:tcW w:w="1047" w:type="pct"/>
            <w:tcBorders>
              <w:top w:val="single" w:sz="4" w:space="0" w:color="auto"/>
              <w:left w:val="single" w:sz="4" w:space="0" w:color="auto"/>
              <w:bottom w:val="nil"/>
            </w:tcBorders>
            <w:shd w:val="clear" w:color="auto" w:fill="FFFFFF"/>
          </w:tcPr>
          <w:p w:rsidR="00F053BA" w:rsidRPr="00F053BA" w:rsidRDefault="00F053BA" w:rsidP="00F053BA">
            <w:pPr>
              <w:rPr>
                <w:rFonts w:cs="Arial"/>
                <w:sz w:val="16"/>
                <w:szCs w:val="16"/>
                <w:lang w:val="ru-RU"/>
              </w:rPr>
            </w:pPr>
            <w:r w:rsidRPr="00F053BA">
              <w:rPr>
                <w:sz w:val="16"/>
                <w:lang w:val="ru-RU"/>
              </w:rPr>
              <w:t>Число регистраций</w:t>
            </w:r>
          </w:p>
          <w:p w:rsidR="00F053BA" w:rsidRPr="00F053BA" w:rsidRDefault="00F053BA" w:rsidP="00F053BA">
            <w:pPr>
              <w:rPr>
                <w:rFonts w:cs="Arial"/>
                <w:sz w:val="16"/>
                <w:szCs w:val="16"/>
                <w:lang w:val="ru-RU"/>
              </w:rPr>
            </w:pPr>
            <w:r w:rsidRPr="00F053BA">
              <w:rPr>
                <w:sz w:val="16"/>
                <w:lang w:val="ru-RU"/>
              </w:rPr>
              <w:t>Число рассмотренных продлений регистрации</w:t>
            </w:r>
          </w:p>
          <w:p w:rsidR="00F053BA" w:rsidRPr="00F053BA" w:rsidRDefault="00F053BA" w:rsidP="00F053BA">
            <w:pPr>
              <w:rPr>
                <w:rFonts w:cs="Arial"/>
                <w:sz w:val="16"/>
                <w:szCs w:val="16"/>
                <w:lang w:val="ru-RU"/>
              </w:rPr>
            </w:pPr>
            <w:r w:rsidRPr="00F053BA">
              <w:rPr>
                <w:sz w:val="16"/>
                <w:lang w:val="ru-RU"/>
              </w:rPr>
              <w:t>Число изменений, в том числе последующих указаний (Мадридская система)</w:t>
            </w:r>
          </w:p>
        </w:tc>
        <w:tc>
          <w:tcPr>
            <w:tcW w:w="1251" w:type="pct"/>
            <w:tcBorders>
              <w:top w:val="single" w:sz="4" w:space="0" w:color="auto"/>
              <w:bottom w:val="nil"/>
            </w:tcBorders>
            <w:shd w:val="clear" w:color="auto" w:fill="auto"/>
          </w:tcPr>
          <w:p w:rsidR="00F053BA" w:rsidRPr="00F053BA" w:rsidRDefault="00F053BA" w:rsidP="00F053BA">
            <w:pPr>
              <w:rPr>
                <w:rFonts w:cs="Arial"/>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w:t>
            </w:r>
          </w:p>
          <w:p w:rsidR="00F053BA" w:rsidRPr="00F053BA" w:rsidRDefault="00F053BA" w:rsidP="00F053BA">
            <w:pPr>
              <w:rPr>
                <w:color w:val="002060"/>
                <w:sz w:val="16"/>
                <w:lang w:val="ru-RU"/>
              </w:rPr>
            </w:pPr>
          </w:p>
          <w:p w:rsidR="00F053BA" w:rsidRPr="00F053BA" w:rsidRDefault="00F053BA" w:rsidP="00F053BA">
            <w:pPr>
              <w:rPr>
                <w:rFonts w:cs="Arial"/>
                <w:color w:val="002060"/>
                <w:sz w:val="16"/>
                <w:szCs w:val="16"/>
                <w:lang w:val="ru-RU"/>
              </w:rPr>
            </w:pPr>
            <w:r w:rsidRPr="00F053BA">
              <w:rPr>
                <w:color w:val="002060"/>
                <w:sz w:val="16"/>
                <w:lang w:val="ru-RU"/>
              </w:rPr>
              <w:t>2013</w:t>
            </w:r>
            <w:r>
              <w:rPr>
                <w:color w:val="002060"/>
                <w:sz w:val="16"/>
              </w:rPr>
              <w:t> </w:t>
            </w:r>
            <w:r w:rsidRPr="00F053BA">
              <w:rPr>
                <w:color w:val="002060"/>
                <w:sz w:val="16"/>
                <w:lang w:val="ru-RU"/>
              </w:rPr>
              <w:t>г.: 44</w:t>
            </w:r>
            <w:r>
              <w:rPr>
                <w:color w:val="002060"/>
                <w:sz w:val="16"/>
              </w:rPr>
              <w:t> </w:t>
            </w:r>
            <w:r w:rsidRPr="00F053BA">
              <w:rPr>
                <w:color w:val="002060"/>
                <w:sz w:val="16"/>
                <w:lang w:val="ru-RU"/>
              </w:rPr>
              <w:t>414 регистраций;</w:t>
            </w:r>
          </w:p>
          <w:p w:rsidR="00F053BA" w:rsidRPr="00F053BA" w:rsidRDefault="00F053BA" w:rsidP="00F053BA">
            <w:pPr>
              <w:rPr>
                <w:rFonts w:cs="Arial"/>
                <w:color w:val="002060"/>
                <w:sz w:val="16"/>
                <w:szCs w:val="16"/>
                <w:lang w:val="ru-RU"/>
              </w:rPr>
            </w:pPr>
            <w:r w:rsidRPr="00F053BA">
              <w:rPr>
                <w:color w:val="002060"/>
                <w:sz w:val="16"/>
                <w:lang w:val="ru-RU"/>
              </w:rPr>
              <w:t>23</w:t>
            </w:r>
            <w:r>
              <w:rPr>
                <w:color w:val="002060"/>
                <w:sz w:val="16"/>
              </w:rPr>
              <w:t> </w:t>
            </w:r>
            <w:r w:rsidRPr="00F053BA">
              <w:rPr>
                <w:color w:val="002060"/>
                <w:sz w:val="16"/>
                <w:lang w:val="ru-RU"/>
              </w:rPr>
              <w:t>014 продлений регистрации; 117</w:t>
            </w:r>
            <w:r>
              <w:rPr>
                <w:color w:val="002060"/>
                <w:sz w:val="16"/>
              </w:rPr>
              <w:t> </w:t>
            </w:r>
            <w:r w:rsidRPr="00F053BA">
              <w:rPr>
                <w:color w:val="002060"/>
                <w:sz w:val="16"/>
                <w:lang w:val="ru-RU"/>
              </w:rPr>
              <w:t>673</w:t>
            </w:r>
            <w:r>
              <w:rPr>
                <w:color w:val="002060"/>
                <w:sz w:val="16"/>
              </w:rPr>
              <w:t> </w:t>
            </w:r>
            <w:r w:rsidRPr="00F053BA">
              <w:rPr>
                <w:color w:val="002060"/>
                <w:sz w:val="16"/>
                <w:lang w:val="ru-RU"/>
              </w:rPr>
              <w:t>изменений, включая 14</w:t>
            </w:r>
            <w:r>
              <w:rPr>
                <w:color w:val="002060"/>
                <w:sz w:val="16"/>
              </w:rPr>
              <w:t> </w:t>
            </w:r>
            <w:r w:rsidRPr="00F053BA">
              <w:rPr>
                <w:color w:val="002060"/>
                <w:sz w:val="16"/>
                <w:lang w:val="ru-RU"/>
              </w:rPr>
              <w:t>373 последующих указаний</w:t>
            </w:r>
          </w:p>
          <w:p w:rsidR="00F053BA" w:rsidRPr="00F053BA" w:rsidRDefault="00F053BA" w:rsidP="00F053BA">
            <w:pPr>
              <w:rPr>
                <w:rFonts w:cs="Arial"/>
                <w:color w:val="002060"/>
                <w:sz w:val="16"/>
                <w:szCs w:val="16"/>
                <w:lang w:val="ru-RU"/>
              </w:rPr>
            </w:pPr>
          </w:p>
          <w:p w:rsidR="00F053BA" w:rsidRPr="0005539E" w:rsidRDefault="00F053BA" w:rsidP="00F053BA">
            <w:pPr>
              <w:rPr>
                <w:rFonts w:cs="Arial"/>
                <w:sz w:val="16"/>
                <w:szCs w:val="16"/>
              </w:rPr>
            </w:pPr>
            <w:r w:rsidRPr="00F053BA">
              <w:rPr>
                <w:i/>
                <w:sz w:val="16"/>
                <w:lang w:val="ru-RU"/>
              </w:rPr>
              <w:t>Исходные базовые показатели ПиБ на 2013–2014</w:t>
            </w:r>
            <w:r>
              <w:rPr>
                <w:i/>
                <w:sz w:val="16"/>
              </w:rPr>
              <w:t> </w:t>
            </w:r>
            <w:r w:rsidRPr="00F053BA">
              <w:rPr>
                <w:i/>
                <w:sz w:val="16"/>
                <w:lang w:val="ru-RU"/>
              </w:rPr>
              <w:t xml:space="preserve">гг.: </w:t>
            </w:r>
            <w:r w:rsidRPr="00F053BA">
              <w:rPr>
                <w:sz w:val="16"/>
                <w:lang w:val="ru-RU"/>
              </w:rPr>
              <w:t xml:space="preserve">регистрации, продления (см. приложение </w:t>
            </w:r>
            <w:r>
              <w:rPr>
                <w:sz w:val="16"/>
              </w:rPr>
              <w:t>VII</w:t>
            </w:r>
            <w:r w:rsidRPr="00F053BA">
              <w:rPr>
                <w:sz w:val="16"/>
                <w:lang w:val="ru-RU"/>
              </w:rPr>
              <w:t xml:space="preserve">). </w:t>
            </w:r>
            <w:r>
              <w:rPr>
                <w:sz w:val="16"/>
              </w:rPr>
              <w:t>В реестр внесены 97 500 изменений (2012 г.)</w:t>
            </w:r>
          </w:p>
        </w:tc>
        <w:tc>
          <w:tcPr>
            <w:tcW w:w="861" w:type="pct"/>
            <w:tcBorders>
              <w:top w:val="single" w:sz="4" w:space="0" w:color="auto"/>
              <w:bottom w:val="nil"/>
            </w:tcBorders>
            <w:shd w:val="clear" w:color="auto" w:fill="auto"/>
            <w:tcMar>
              <w:top w:w="110" w:type="dxa"/>
            </w:tcMar>
          </w:tcPr>
          <w:p w:rsidR="00F053BA" w:rsidRPr="00F053BA" w:rsidRDefault="00F053BA" w:rsidP="00F053BA">
            <w:pPr>
              <w:rPr>
                <w:rFonts w:cs="Arial"/>
                <w:sz w:val="16"/>
                <w:szCs w:val="16"/>
                <w:lang w:val="ru-RU"/>
              </w:rPr>
            </w:pPr>
            <w:r w:rsidRPr="00F053BA">
              <w:rPr>
                <w:sz w:val="16"/>
                <w:lang w:val="ru-RU"/>
              </w:rPr>
              <w:t>2014</w:t>
            </w:r>
            <w:r>
              <w:rPr>
                <w:sz w:val="16"/>
              </w:rPr>
              <w:t> </w:t>
            </w:r>
            <w:r w:rsidRPr="00F053BA">
              <w:rPr>
                <w:sz w:val="16"/>
                <w:lang w:val="ru-RU"/>
              </w:rPr>
              <w:t>г.: увеличение числа регистраций и продлений на 6,3%</w:t>
            </w:r>
            <w:r>
              <w:rPr>
                <w:rStyle w:val="FootnoteReference"/>
                <w:sz w:val="16"/>
              </w:rPr>
              <w:footnoteReference w:id="27"/>
            </w:r>
            <w:r w:rsidRPr="00F053BA">
              <w:rPr>
                <w:sz w:val="16"/>
                <w:lang w:val="ru-RU"/>
              </w:rPr>
              <w:t xml:space="preserve"> </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sz w:val="16"/>
                <w:lang w:val="ru-RU"/>
              </w:rPr>
              <w:t>2015</w:t>
            </w:r>
            <w:r>
              <w:rPr>
                <w:sz w:val="16"/>
              </w:rPr>
              <w:t> </w:t>
            </w:r>
            <w:r w:rsidRPr="00F053BA">
              <w:rPr>
                <w:sz w:val="16"/>
                <w:lang w:val="ru-RU"/>
              </w:rPr>
              <w:t>г.: рост числа регистраций и продлений на 3,3%</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sz w:val="16"/>
                <w:lang w:val="ru-RU"/>
              </w:rPr>
              <w:t>Общее число регистраций: 92</w:t>
            </w:r>
            <w:r>
              <w:rPr>
                <w:sz w:val="16"/>
              </w:rPr>
              <w:t> </w:t>
            </w:r>
            <w:r w:rsidRPr="00F053BA">
              <w:rPr>
                <w:sz w:val="16"/>
                <w:lang w:val="ru-RU"/>
              </w:rPr>
              <w:t xml:space="preserve">500 </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sz w:val="16"/>
                <w:lang w:val="ru-RU"/>
              </w:rPr>
              <w:t>Общее число продлений: 49</w:t>
            </w:r>
            <w:r>
              <w:rPr>
                <w:sz w:val="16"/>
              </w:rPr>
              <w:t> </w:t>
            </w:r>
            <w:r w:rsidRPr="00F053BA">
              <w:rPr>
                <w:sz w:val="16"/>
                <w:lang w:val="ru-RU"/>
              </w:rPr>
              <w:t xml:space="preserve">000 </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sz w:val="16"/>
                <w:lang w:val="ru-RU"/>
              </w:rPr>
              <w:t>Общее число изменений: 200</w:t>
            </w:r>
            <w:r>
              <w:rPr>
                <w:sz w:val="16"/>
              </w:rPr>
              <w:t> </w:t>
            </w:r>
            <w:r w:rsidRPr="00F053BA">
              <w:rPr>
                <w:sz w:val="16"/>
                <w:lang w:val="ru-RU"/>
              </w:rPr>
              <w:t>000, включая 35</w:t>
            </w:r>
            <w:r>
              <w:rPr>
                <w:sz w:val="16"/>
              </w:rPr>
              <w:t> </w:t>
            </w:r>
            <w:r w:rsidRPr="00F053BA">
              <w:rPr>
                <w:sz w:val="16"/>
                <w:lang w:val="ru-RU"/>
              </w:rPr>
              <w:t>000 последующих указаний</w:t>
            </w:r>
          </w:p>
        </w:tc>
        <w:tc>
          <w:tcPr>
            <w:tcW w:w="1199" w:type="pct"/>
            <w:tcBorders>
              <w:top w:val="single" w:sz="4" w:space="0" w:color="auto"/>
              <w:bottom w:val="nil"/>
            </w:tcBorders>
            <w:shd w:val="clear" w:color="auto" w:fill="FFFFFF"/>
            <w:tcMar>
              <w:top w:w="110" w:type="dxa"/>
            </w:tcMar>
          </w:tcPr>
          <w:p w:rsidR="00F053BA" w:rsidRPr="00F053BA" w:rsidRDefault="00F053BA" w:rsidP="00F053BA">
            <w:pPr>
              <w:rPr>
                <w:rFonts w:cs="Arial"/>
                <w:sz w:val="16"/>
                <w:szCs w:val="16"/>
                <w:lang w:val="ru-RU"/>
              </w:rPr>
            </w:pPr>
            <w:r w:rsidRPr="00F053BA">
              <w:rPr>
                <w:sz w:val="16"/>
                <w:lang w:val="ru-RU"/>
              </w:rPr>
              <w:t>2014</w:t>
            </w:r>
            <w:r>
              <w:rPr>
                <w:sz w:val="16"/>
              </w:rPr>
              <w:t> </w:t>
            </w:r>
            <w:r w:rsidRPr="00F053BA">
              <w:rPr>
                <w:sz w:val="16"/>
                <w:lang w:val="ru-RU"/>
              </w:rPr>
              <w:t>г.: рост числа регистраций и продлений на 1,1% по сравнению с 2013</w:t>
            </w:r>
            <w:r>
              <w:rPr>
                <w:sz w:val="16"/>
              </w:rPr>
              <w:t> </w:t>
            </w:r>
            <w:r w:rsidRPr="00F053BA">
              <w:rPr>
                <w:sz w:val="16"/>
                <w:lang w:val="ru-RU"/>
              </w:rPr>
              <w:t xml:space="preserve">г.: </w:t>
            </w:r>
          </w:p>
          <w:p w:rsidR="00F053BA" w:rsidRDefault="00F053BA" w:rsidP="00BF61DC">
            <w:pPr>
              <w:pStyle w:val="ListParagraph"/>
              <w:numPr>
                <w:ilvl w:val="0"/>
                <w:numId w:val="93"/>
              </w:numPr>
              <w:rPr>
                <w:rFonts w:cs="Arial"/>
                <w:sz w:val="16"/>
                <w:szCs w:val="16"/>
              </w:rPr>
            </w:pPr>
            <w:r>
              <w:rPr>
                <w:sz w:val="16"/>
              </w:rPr>
              <w:t>42 430 регистраций</w:t>
            </w:r>
          </w:p>
          <w:p w:rsidR="00F053BA" w:rsidRPr="00B91517" w:rsidRDefault="00F053BA" w:rsidP="00BF61DC">
            <w:pPr>
              <w:pStyle w:val="ListParagraph"/>
              <w:numPr>
                <w:ilvl w:val="0"/>
                <w:numId w:val="93"/>
              </w:numPr>
              <w:rPr>
                <w:rFonts w:cs="Arial"/>
                <w:sz w:val="16"/>
                <w:szCs w:val="16"/>
              </w:rPr>
            </w:pPr>
            <w:r>
              <w:rPr>
                <w:sz w:val="16"/>
              </w:rPr>
              <w:t>25 729 продлений</w:t>
            </w:r>
          </w:p>
          <w:p w:rsidR="00F053BA" w:rsidRDefault="00F053BA" w:rsidP="00F053BA">
            <w:pPr>
              <w:rPr>
                <w:rFonts w:cs="Arial"/>
                <w:sz w:val="16"/>
                <w:szCs w:val="16"/>
              </w:rPr>
            </w:pPr>
          </w:p>
          <w:p w:rsidR="00F053BA" w:rsidRPr="00F053BA" w:rsidRDefault="00F053BA" w:rsidP="00F053BA">
            <w:pPr>
              <w:rPr>
                <w:rFonts w:cs="Arial"/>
                <w:sz w:val="16"/>
                <w:szCs w:val="16"/>
                <w:lang w:val="ru-RU"/>
              </w:rPr>
            </w:pPr>
            <w:r w:rsidRPr="00F053BA">
              <w:rPr>
                <w:sz w:val="16"/>
                <w:lang w:val="ru-RU"/>
              </w:rPr>
              <w:t>2015</w:t>
            </w:r>
            <w:r>
              <w:rPr>
                <w:sz w:val="16"/>
              </w:rPr>
              <w:t> </w:t>
            </w:r>
            <w:r w:rsidRPr="00F053BA">
              <w:rPr>
                <w:sz w:val="16"/>
                <w:lang w:val="ru-RU"/>
              </w:rPr>
              <w:t>г.: рост числа регистраций и продлений на 12,2% по сравнению с целевым показателем 2014</w:t>
            </w:r>
            <w:r>
              <w:rPr>
                <w:sz w:val="16"/>
              </w:rPr>
              <w:t> </w:t>
            </w:r>
            <w:r w:rsidRPr="00F053BA">
              <w:rPr>
                <w:sz w:val="16"/>
                <w:lang w:val="ru-RU"/>
              </w:rPr>
              <w:t>г.</w:t>
            </w:r>
            <w:r>
              <w:rPr>
                <w:rStyle w:val="FootnoteReference"/>
                <w:sz w:val="16"/>
              </w:rPr>
              <w:footnoteReference w:id="28"/>
            </w:r>
            <w:r w:rsidRPr="00F053BA">
              <w:rPr>
                <w:sz w:val="16"/>
                <w:lang w:val="ru-RU"/>
              </w:rPr>
              <w:t>:</w:t>
            </w:r>
          </w:p>
          <w:p w:rsidR="00F053BA" w:rsidRDefault="00F053BA" w:rsidP="00BF61DC">
            <w:pPr>
              <w:pStyle w:val="ListParagraph"/>
              <w:numPr>
                <w:ilvl w:val="0"/>
                <w:numId w:val="93"/>
              </w:numPr>
              <w:rPr>
                <w:rFonts w:cs="Arial"/>
                <w:sz w:val="16"/>
                <w:szCs w:val="16"/>
              </w:rPr>
            </w:pPr>
            <w:r>
              <w:rPr>
                <w:sz w:val="16"/>
              </w:rPr>
              <w:t>51 938 регистраций</w:t>
            </w:r>
          </w:p>
          <w:p w:rsidR="00F053BA" w:rsidRPr="00B91517" w:rsidRDefault="00F053BA" w:rsidP="00BF61DC">
            <w:pPr>
              <w:pStyle w:val="ListParagraph"/>
              <w:numPr>
                <w:ilvl w:val="0"/>
                <w:numId w:val="93"/>
              </w:numPr>
              <w:rPr>
                <w:rFonts w:cs="Arial"/>
                <w:sz w:val="16"/>
                <w:szCs w:val="16"/>
              </w:rPr>
            </w:pPr>
            <w:r>
              <w:rPr>
                <w:sz w:val="16"/>
              </w:rPr>
              <w:t>28 502 продлений</w:t>
            </w:r>
          </w:p>
          <w:p w:rsidR="00F053BA" w:rsidRPr="004B30AC" w:rsidRDefault="00F053BA" w:rsidP="00F053BA">
            <w:pPr>
              <w:rPr>
                <w:rFonts w:cs="Arial"/>
                <w:sz w:val="16"/>
                <w:szCs w:val="16"/>
              </w:rPr>
            </w:pPr>
          </w:p>
          <w:p w:rsidR="00F053BA" w:rsidRPr="00F053BA" w:rsidRDefault="00F053BA" w:rsidP="00F053BA">
            <w:pPr>
              <w:rPr>
                <w:rFonts w:cs="Arial"/>
                <w:sz w:val="16"/>
                <w:szCs w:val="16"/>
                <w:lang w:val="ru-RU"/>
              </w:rPr>
            </w:pPr>
            <w:r w:rsidRPr="00F053BA">
              <w:rPr>
                <w:sz w:val="16"/>
                <w:lang w:val="ru-RU"/>
              </w:rPr>
              <w:t>Общее число регистраций в 2014–2015</w:t>
            </w:r>
            <w:r>
              <w:rPr>
                <w:sz w:val="16"/>
              </w:rPr>
              <w:t> </w:t>
            </w:r>
            <w:r w:rsidRPr="00F053BA">
              <w:rPr>
                <w:sz w:val="16"/>
                <w:lang w:val="ru-RU"/>
              </w:rPr>
              <w:t>гг.:  94</w:t>
            </w:r>
            <w:r>
              <w:rPr>
                <w:sz w:val="16"/>
              </w:rPr>
              <w:t> </w:t>
            </w:r>
            <w:r w:rsidRPr="00F053BA">
              <w:rPr>
                <w:sz w:val="16"/>
                <w:lang w:val="ru-RU"/>
              </w:rPr>
              <w:t>368.</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sz w:val="16"/>
                <w:lang w:val="ru-RU"/>
              </w:rPr>
              <w:t>Общее число продлений в 2014–2015</w:t>
            </w:r>
            <w:r>
              <w:rPr>
                <w:sz w:val="16"/>
              </w:rPr>
              <w:t> </w:t>
            </w:r>
            <w:r w:rsidRPr="00F053BA">
              <w:rPr>
                <w:sz w:val="16"/>
                <w:lang w:val="ru-RU"/>
              </w:rPr>
              <w:t>гг.:  54</w:t>
            </w:r>
            <w:r>
              <w:rPr>
                <w:sz w:val="16"/>
              </w:rPr>
              <w:t> </w:t>
            </w:r>
            <w:r w:rsidRPr="00F053BA">
              <w:rPr>
                <w:sz w:val="16"/>
                <w:lang w:val="ru-RU"/>
              </w:rPr>
              <w:t>230.</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sz w:val="16"/>
                <w:lang w:val="ru-RU"/>
              </w:rPr>
              <w:t>Общее число изменений в 2014–2015</w:t>
            </w:r>
            <w:r>
              <w:rPr>
                <w:sz w:val="16"/>
              </w:rPr>
              <w:t> </w:t>
            </w:r>
            <w:r w:rsidRPr="00F053BA">
              <w:rPr>
                <w:sz w:val="16"/>
                <w:lang w:val="ru-RU"/>
              </w:rPr>
              <w:t>гг.: 220</w:t>
            </w:r>
            <w:r>
              <w:rPr>
                <w:sz w:val="16"/>
              </w:rPr>
              <w:t> </w:t>
            </w:r>
            <w:r w:rsidRPr="00F053BA">
              <w:rPr>
                <w:sz w:val="16"/>
                <w:lang w:val="ru-RU"/>
              </w:rPr>
              <w:t>469 изменений, включая 35</w:t>
            </w:r>
            <w:r>
              <w:rPr>
                <w:sz w:val="16"/>
              </w:rPr>
              <w:t> </w:t>
            </w:r>
            <w:r w:rsidRPr="00F053BA">
              <w:rPr>
                <w:sz w:val="16"/>
                <w:lang w:val="ru-RU"/>
              </w:rPr>
              <w:t>937 последующих указаний</w:t>
            </w:r>
          </w:p>
        </w:tc>
        <w:tc>
          <w:tcPr>
            <w:tcW w:w="642" w:type="pct"/>
            <w:tcBorders>
              <w:top w:val="single" w:sz="4" w:space="0" w:color="auto"/>
              <w:bottom w:val="nil"/>
              <w:right w:val="single" w:sz="4" w:space="0" w:color="auto"/>
            </w:tcBorders>
            <w:shd w:val="clear" w:color="auto" w:fill="auto"/>
            <w:tcMar>
              <w:top w:w="110" w:type="dxa"/>
            </w:tcMar>
          </w:tcPr>
          <w:p w:rsidR="00F053BA" w:rsidRPr="00F053BA" w:rsidRDefault="00F053BA" w:rsidP="00F053BA">
            <w:pPr>
              <w:keepNext/>
              <w:keepLines/>
              <w:jc w:val="center"/>
              <w:rPr>
                <w:rStyle w:val="Style5"/>
                <w:rFonts w:cs="Arial"/>
                <w:b/>
                <w:color w:val="FF0000"/>
                <w:sz w:val="16"/>
                <w:lang w:val="ru-RU"/>
              </w:rPr>
            </w:pPr>
            <w:r w:rsidRPr="00F053BA">
              <w:rPr>
                <w:rStyle w:val="Style5"/>
                <w:b/>
                <w:color w:val="FF0000"/>
                <w:sz w:val="16"/>
                <w:lang w:val="ru-RU"/>
              </w:rPr>
              <w:t>Не выполнено</w:t>
            </w:r>
          </w:p>
          <w:p w:rsidR="00F053BA" w:rsidRPr="00F053BA" w:rsidRDefault="00F053BA" w:rsidP="00F053BA">
            <w:pPr>
              <w:keepNext/>
              <w:keepLines/>
              <w:jc w:val="center"/>
              <w:rPr>
                <w:rStyle w:val="Style5"/>
                <w:rFonts w:cs="Arial"/>
                <w:b/>
                <w:color w:val="FF0000"/>
                <w:sz w:val="16"/>
                <w:lang w:val="ru-RU"/>
              </w:rPr>
            </w:pPr>
          </w:p>
          <w:p w:rsidR="00F053BA" w:rsidRPr="00F053BA" w:rsidRDefault="00F053BA" w:rsidP="00F053BA">
            <w:pPr>
              <w:keepNext/>
              <w:keepLines/>
              <w:jc w:val="center"/>
              <w:rPr>
                <w:rStyle w:val="Style5"/>
                <w:rFonts w:cs="Arial"/>
                <w:b/>
                <w:color w:val="FF0000"/>
                <w:sz w:val="16"/>
                <w:lang w:val="ru-RU"/>
              </w:rPr>
            </w:pPr>
          </w:p>
          <w:p w:rsidR="00F053BA" w:rsidRPr="00F053BA" w:rsidRDefault="00F053BA" w:rsidP="00F053BA">
            <w:pPr>
              <w:keepNext/>
              <w:keepLines/>
              <w:jc w:val="center"/>
              <w:rPr>
                <w:rStyle w:val="Style5"/>
                <w:rFonts w:cs="Arial"/>
                <w:b/>
                <w:color w:val="FF0000"/>
                <w:sz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r w:rsidRPr="00F053BA">
              <w:rPr>
                <w:b/>
                <w:color w:val="00B050"/>
                <w:sz w:val="16"/>
                <w:lang w:val="ru-RU"/>
              </w:rPr>
              <w:t>Выполнено</w:t>
            </w:r>
          </w:p>
          <w:p w:rsidR="00F053BA" w:rsidRPr="00F053BA" w:rsidRDefault="00F053BA" w:rsidP="00F053BA">
            <w:pPr>
              <w:keepNext/>
              <w:keepLines/>
              <w:jc w:val="center"/>
              <w:rPr>
                <w:rStyle w:val="Style5"/>
                <w:rFonts w:cs="Arial"/>
                <w:b/>
                <w:color w:val="FF0000"/>
                <w:sz w:val="16"/>
                <w:lang w:val="ru-RU"/>
              </w:rPr>
            </w:pPr>
          </w:p>
          <w:p w:rsidR="00F053BA" w:rsidRPr="00F053BA" w:rsidRDefault="00F053BA" w:rsidP="00F053BA">
            <w:pPr>
              <w:keepNext/>
              <w:keepLines/>
              <w:jc w:val="center"/>
              <w:rPr>
                <w:rStyle w:val="Style5"/>
                <w:rFonts w:cs="Arial"/>
                <w:b/>
                <w:color w:val="FF0000"/>
                <w:sz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r w:rsidRPr="00F053BA">
              <w:rPr>
                <w:b/>
                <w:color w:val="00B050"/>
                <w:sz w:val="16"/>
                <w:lang w:val="ru-RU"/>
              </w:rPr>
              <w:t>Выполнено</w:t>
            </w: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r w:rsidRPr="00F053BA">
              <w:rPr>
                <w:b/>
                <w:color w:val="00B050"/>
                <w:sz w:val="16"/>
                <w:lang w:val="ru-RU"/>
              </w:rPr>
              <w:t>Выполнено</w:t>
            </w: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Fonts w:cs="Arial"/>
                <w:b/>
                <w:color w:val="00B050"/>
                <w:sz w:val="16"/>
                <w:szCs w:val="16"/>
                <w:lang w:val="ru-RU"/>
              </w:rPr>
            </w:pPr>
          </w:p>
          <w:p w:rsidR="00F053BA" w:rsidRPr="00F053BA" w:rsidRDefault="00F053BA" w:rsidP="00F053BA">
            <w:pPr>
              <w:keepNext/>
              <w:keepLines/>
              <w:jc w:val="center"/>
              <w:rPr>
                <w:rStyle w:val="Style5"/>
                <w:lang w:val="ru-RU"/>
              </w:rPr>
            </w:pPr>
            <w:r w:rsidRPr="00F053BA">
              <w:rPr>
                <w:b/>
                <w:color w:val="00B050"/>
                <w:sz w:val="16"/>
                <w:lang w:val="ru-RU"/>
              </w:rPr>
              <w:t>Выполнено</w:t>
            </w:r>
          </w:p>
        </w:tc>
      </w:tr>
      <w:tr w:rsidR="00F053BA" w:rsidRPr="0005539E" w:rsidTr="00495A3D">
        <w:trPr>
          <w:cantSplit/>
          <w:trHeight w:val="322"/>
        </w:trPr>
        <w:tc>
          <w:tcPr>
            <w:tcW w:w="1047"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lang w:val="ru-RU"/>
              </w:rPr>
              <w:t>Своевременный перевод заявок (Мадридская система)</w:t>
            </w:r>
          </w:p>
          <w:p w:rsidR="00F053BA" w:rsidRPr="00F053BA" w:rsidRDefault="00F053BA" w:rsidP="00F053BA">
            <w:pPr>
              <w:rPr>
                <w:rFonts w:cs="Arial"/>
                <w:b/>
                <w:bCs/>
                <w:sz w:val="16"/>
                <w:szCs w:val="16"/>
                <w:lang w:val="ru-RU"/>
              </w:rPr>
            </w:pPr>
          </w:p>
        </w:tc>
        <w:tc>
          <w:tcPr>
            <w:tcW w:w="1251" w:type="pct"/>
            <w:tcBorders>
              <w:top w:val="nil"/>
              <w:bottom w:val="nil"/>
            </w:tcBorders>
            <w:shd w:val="clear" w:color="auto" w:fill="auto"/>
          </w:tcPr>
          <w:p w:rsidR="00F053BA" w:rsidRPr="004C7D99" w:rsidRDefault="00F053BA" w:rsidP="00F053BA">
            <w:pPr>
              <w:rPr>
                <w:rFonts w:cs="Arial"/>
                <w:b/>
                <w:bCs/>
                <w:sz w:val="16"/>
                <w:szCs w:val="16"/>
              </w:rPr>
            </w:pPr>
            <w:r>
              <w:rPr>
                <w:sz w:val="16"/>
              </w:rPr>
              <w:t>Данные отсутствуют</w:t>
            </w:r>
          </w:p>
        </w:tc>
        <w:tc>
          <w:tcPr>
            <w:tcW w:w="861" w:type="pct"/>
            <w:tcBorders>
              <w:top w:val="nil"/>
              <w:bottom w:val="nil"/>
            </w:tcBorders>
            <w:shd w:val="clear" w:color="auto" w:fill="auto"/>
            <w:tcMar>
              <w:top w:w="110" w:type="dxa"/>
            </w:tcMar>
          </w:tcPr>
          <w:p w:rsidR="00F053BA" w:rsidRPr="004C7D99" w:rsidRDefault="00F053BA" w:rsidP="00F053BA">
            <w:pPr>
              <w:rPr>
                <w:rFonts w:cs="Arial"/>
                <w:b/>
                <w:sz w:val="16"/>
                <w:szCs w:val="16"/>
              </w:rPr>
            </w:pPr>
            <w:r>
              <w:rPr>
                <w:sz w:val="16"/>
              </w:rPr>
              <w:t>4 недели</w:t>
            </w:r>
          </w:p>
        </w:tc>
        <w:tc>
          <w:tcPr>
            <w:tcW w:w="1199" w:type="pct"/>
            <w:tcBorders>
              <w:top w:val="nil"/>
              <w:bottom w:val="nil"/>
            </w:tcBorders>
            <w:shd w:val="clear" w:color="auto" w:fill="FFFFFF"/>
            <w:tcMar>
              <w:top w:w="110" w:type="dxa"/>
            </w:tcMar>
          </w:tcPr>
          <w:p w:rsidR="00F053BA" w:rsidRPr="00F053BA" w:rsidRDefault="00F053BA" w:rsidP="00F053BA">
            <w:pPr>
              <w:rPr>
                <w:rFonts w:cs="Arial"/>
                <w:bCs/>
                <w:sz w:val="16"/>
                <w:szCs w:val="16"/>
                <w:lang w:val="ru-RU"/>
              </w:rPr>
            </w:pPr>
            <w:r w:rsidRPr="00F053BA">
              <w:rPr>
                <w:sz w:val="16"/>
                <w:lang w:val="ru-RU"/>
              </w:rPr>
              <w:t>Средний срок обработки составляет две недели.</w:t>
            </w:r>
          </w:p>
        </w:tc>
        <w:tc>
          <w:tcPr>
            <w:tcW w:w="642" w:type="pct"/>
            <w:tcBorders>
              <w:top w:val="nil"/>
              <w:bottom w:val="nil"/>
              <w:right w:val="single" w:sz="4" w:space="0" w:color="auto"/>
            </w:tcBorders>
            <w:shd w:val="clear" w:color="auto" w:fill="auto"/>
          </w:tcPr>
          <w:p w:rsidR="00F053BA" w:rsidRPr="00EA4470" w:rsidRDefault="00F053BA" w:rsidP="00F053BA">
            <w:pPr>
              <w:jc w:val="center"/>
              <w:rPr>
                <w:rFonts w:cs="Arial"/>
                <w:b/>
                <w:bCs/>
                <w:sz w:val="16"/>
                <w:szCs w:val="16"/>
              </w:rPr>
            </w:pPr>
            <w:r>
              <w:rPr>
                <w:b/>
                <w:color w:val="00B050"/>
                <w:sz w:val="16"/>
              </w:rPr>
              <w:t>Выполнено</w:t>
            </w:r>
          </w:p>
        </w:tc>
      </w:tr>
      <w:tr w:rsidR="00F053BA" w:rsidRPr="0005539E" w:rsidTr="00495A3D">
        <w:trPr>
          <w:cantSplit/>
        </w:trPr>
        <w:tc>
          <w:tcPr>
            <w:tcW w:w="1047" w:type="pct"/>
            <w:tcBorders>
              <w:top w:val="nil"/>
              <w:left w:val="single" w:sz="4" w:space="0" w:color="auto"/>
              <w:bottom w:val="nil"/>
            </w:tcBorders>
            <w:shd w:val="clear" w:color="auto" w:fill="auto"/>
          </w:tcPr>
          <w:p w:rsidR="00F053BA" w:rsidRPr="00F053BA" w:rsidRDefault="00F053BA" w:rsidP="00F053BA">
            <w:pPr>
              <w:rPr>
                <w:rFonts w:cs="Arial"/>
                <w:sz w:val="16"/>
                <w:szCs w:val="16"/>
                <w:lang w:val="ru-RU"/>
              </w:rPr>
            </w:pPr>
            <w:r w:rsidRPr="00F053BA">
              <w:rPr>
                <w:sz w:val="16"/>
                <w:lang w:val="ru-RU"/>
              </w:rPr>
              <w:t>Сокращение числа исправлений (Мадридская система)</w:t>
            </w:r>
          </w:p>
        </w:tc>
        <w:tc>
          <w:tcPr>
            <w:tcW w:w="1251" w:type="pct"/>
            <w:tcBorders>
              <w:top w:val="nil"/>
              <w:bottom w:val="nil"/>
            </w:tcBorders>
            <w:shd w:val="clear" w:color="auto" w:fill="auto"/>
          </w:tcPr>
          <w:p w:rsidR="00F053BA" w:rsidRPr="00F053BA" w:rsidRDefault="00F053BA" w:rsidP="00F053BA">
            <w:pPr>
              <w:rPr>
                <w:rFonts w:cs="Arial"/>
                <w:i/>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2013</w:t>
            </w:r>
            <w:r>
              <w:rPr>
                <w:color w:val="002060"/>
                <w:sz w:val="16"/>
              </w:rPr>
              <w:t> </w:t>
            </w:r>
            <w:r w:rsidRPr="00F053BA">
              <w:rPr>
                <w:color w:val="002060"/>
                <w:sz w:val="16"/>
                <w:lang w:val="ru-RU"/>
              </w:rPr>
              <w:t>г.: получено 5</w:t>
            </w:r>
            <w:r>
              <w:rPr>
                <w:color w:val="002060"/>
                <w:sz w:val="16"/>
              </w:rPr>
              <w:t> </w:t>
            </w:r>
            <w:r w:rsidRPr="00F053BA">
              <w:rPr>
                <w:color w:val="002060"/>
                <w:sz w:val="16"/>
                <w:lang w:val="ru-RU"/>
              </w:rPr>
              <w:t>197 исправлений и обработано 4</w:t>
            </w:r>
            <w:r>
              <w:rPr>
                <w:color w:val="002060"/>
                <w:sz w:val="16"/>
              </w:rPr>
              <w:t> </w:t>
            </w:r>
            <w:r w:rsidRPr="00F053BA">
              <w:rPr>
                <w:color w:val="002060"/>
                <w:sz w:val="16"/>
                <w:lang w:val="ru-RU"/>
              </w:rPr>
              <w:t>499 исправлений</w:t>
            </w:r>
          </w:p>
          <w:p w:rsidR="00F053BA" w:rsidRPr="00F053BA" w:rsidRDefault="00F053BA" w:rsidP="00F053BA">
            <w:pPr>
              <w:rPr>
                <w:rFonts w:cs="Arial"/>
                <w:color w:val="002060"/>
                <w:sz w:val="16"/>
                <w:szCs w:val="16"/>
                <w:lang w:val="ru-RU"/>
              </w:rPr>
            </w:pPr>
          </w:p>
          <w:p w:rsidR="00F053BA" w:rsidRPr="00F053BA" w:rsidRDefault="00F053BA" w:rsidP="00F053BA">
            <w:pPr>
              <w:rPr>
                <w:rFonts w:cs="Arial"/>
                <w:sz w:val="16"/>
                <w:szCs w:val="16"/>
                <w:lang w:val="ru-RU"/>
              </w:rPr>
            </w:pPr>
            <w:r w:rsidRPr="00F053BA">
              <w:rPr>
                <w:i/>
                <w:sz w:val="16"/>
                <w:lang w:val="ru-RU"/>
              </w:rPr>
              <w:t>Исходные базовые показатели ПиБ на 2013–2014</w:t>
            </w:r>
            <w:r>
              <w:rPr>
                <w:i/>
                <w:sz w:val="16"/>
              </w:rPr>
              <w:t> </w:t>
            </w:r>
            <w:r w:rsidRPr="00F053BA">
              <w:rPr>
                <w:i/>
                <w:sz w:val="16"/>
                <w:lang w:val="ru-RU"/>
              </w:rPr>
              <w:t xml:space="preserve">гг.: </w:t>
            </w:r>
            <w:r w:rsidRPr="00F053BA">
              <w:rPr>
                <w:sz w:val="16"/>
                <w:lang w:val="ru-RU"/>
              </w:rPr>
              <w:t>данные о числе исправлений в 2012</w:t>
            </w:r>
            <w:r>
              <w:rPr>
                <w:sz w:val="16"/>
              </w:rPr>
              <w:t> </w:t>
            </w:r>
            <w:r w:rsidRPr="00F053BA">
              <w:rPr>
                <w:sz w:val="16"/>
                <w:lang w:val="ru-RU"/>
              </w:rPr>
              <w:t>г. (5</w:t>
            </w:r>
            <w:r>
              <w:rPr>
                <w:sz w:val="16"/>
              </w:rPr>
              <w:t> </w:t>
            </w:r>
            <w:r w:rsidRPr="00F053BA">
              <w:rPr>
                <w:sz w:val="16"/>
                <w:lang w:val="ru-RU"/>
              </w:rPr>
              <w:t>000 запросов)</w:t>
            </w:r>
          </w:p>
          <w:p w:rsidR="00F053BA" w:rsidRPr="00F053BA" w:rsidRDefault="00F053BA" w:rsidP="00F053BA">
            <w:pPr>
              <w:rPr>
                <w:rFonts w:cs="Arial"/>
                <w:sz w:val="16"/>
                <w:szCs w:val="16"/>
                <w:lang w:val="ru-RU"/>
              </w:rPr>
            </w:pPr>
          </w:p>
        </w:tc>
        <w:tc>
          <w:tcPr>
            <w:tcW w:w="861" w:type="pct"/>
            <w:tcBorders>
              <w:top w:val="nil"/>
              <w:bottom w:val="nil"/>
            </w:tcBorders>
            <w:shd w:val="clear" w:color="auto" w:fill="auto"/>
            <w:tcMar>
              <w:top w:w="110" w:type="dxa"/>
            </w:tcMar>
          </w:tcPr>
          <w:p w:rsidR="00F053BA" w:rsidRDefault="00F053BA" w:rsidP="00F053BA">
            <w:pPr>
              <w:rPr>
                <w:rFonts w:cs="Arial"/>
                <w:sz w:val="16"/>
                <w:szCs w:val="16"/>
              </w:rPr>
            </w:pPr>
            <w:r>
              <w:rPr>
                <w:sz w:val="16"/>
              </w:rPr>
              <w:t>Сокращение числа исправлений на 10%</w:t>
            </w:r>
          </w:p>
        </w:tc>
        <w:tc>
          <w:tcPr>
            <w:tcW w:w="1199" w:type="pct"/>
            <w:tcBorders>
              <w:top w:val="nil"/>
              <w:bottom w:val="nil"/>
            </w:tcBorders>
            <w:shd w:val="clear" w:color="auto" w:fill="FFFFFF"/>
            <w:tcMar>
              <w:top w:w="110" w:type="dxa"/>
            </w:tcMar>
          </w:tcPr>
          <w:p w:rsidR="00F053BA" w:rsidRPr="00F053BA" w:rsidRDefault="00F053BA" w:rsidP="00F053BA">
            <w:pPr>
              <w:rPr>
                <w:rFonts w:cs="Arial"/>
                <w:sz w:val="16"/>
                <w:szCs w:val="16"/>
                <w:lang w:val="ru-RU"/>
              </w:rPr>
            </w:pPr>
            <w:r w:rsidRPr="00F053BA">
              <w:rPr>
                <w:sz w:val="16"/>
                <w:lang w:val="ru-RU"/>
              </w:rPr>
              <w:t>Число исправлений возросло в 2014–2015</w:t>
            </w:r>
            <w:r>
              <w:rPr>
                <w:sz w:val="16"/>
              </w:rPr>
              <w:t> </w:t>
            </w:r>
            <w:r w:rsidRPr="00F053BA">
              <w:rPr>
                <w:sz w:val="16"/>
                <w:lang w:val="ru-RU"/>
              </w:rPr>
              <w:t xml:space="preserve">гг. </w:t>
            </w:r>
          </w:p>
          <w:p w:rsidR="00F053BA" w:rsidRPr="00F053BA" w:rsidRDefault="00F053BA" w:rsidP="00BF61DC">
            <w:pPr>
              <w:pStyle w:val="ListParagraph"/>
              <w:numPr>
                <w:ilvl w:val="0"/>
                <w:numId w:val="94"/>
              </w:numPr>
              <w:rPr>
                <w:rFonts w:cs="Arial"/>
                <w:sz w:val="16"/>
                <w:szCs w:val="16"/>
                <w:lang w:val="ru-RU"/>
              </w:rPr>
            </w:pPr>
            <w:r w:rsidRPr="00F053BA">
              <w:rPr>
                <w:sz w:val="16"/>
                <w:lang w:val="ru-RU"/>
              </w:rPr>
              <w:t>2014</w:t>
            </w:r>
            <w:r>
              <w:rPr>
                <w:sz w:val="16"/>
              </w:rPr>
              <w:t> </w:t>
            </w:r>
            <w:r w:rsidRPr="00F053BA">
              <w:rPr>
                <w:sz w:val="16"/>
                <w:lang w:val="ru-RU"/>
              </w:rPr>
              <w:t>г.: получено 6</w:t>
            </w:r>
            <w:r>
              <w:rPr>
                <w:sz w:val="16"/>
              </w:rPr>
              <w:t> </w:t>
            </w:r>
            <w:r w:rsidRPr="00F053BA">
              <w:rPr>
                <w:sz w:val="16"/>
                <w:lang w:val="ru-RU"/>
              </w:rPr>
              <w:t>073 исправлений и обработано 5</w:t>
            </w:r>
            <w:r>
              <w:rPr>
                <w:sz w:val="16"/>
              </w:rPr>
              <w:t> </w:t>
            </w:r>
            <w:r w:rsidRPr="00F053BA">
              <w:rPr>
                <w:sz w:val="16"/>
                <w:lang w:val="ru-RU"/>
              </w:rPr>
              <w:t>737 исправлений (+17% по сравнению с 2013</w:t>
            </w:r>
            <w:r>
              <w:rPr>
                <w:sz w:val="16"/>
              </w:rPr>
              <w:t> </w:t>
            </w:r>
            <w:r w:rsidRPr="00F053BA">
              <w:rPr>
                <w:sz w:val="16"/>
                <w:lang w:val="ru-RU"/>
              </w:rPr>
              <w:t>г.)</w:t>
            </w:r>
          </w:p>
          <w:p w:rsidR="00F053BA" w:rsidRPr="00F053BA" w:rsidRDefault="00F053BA" w:rsidP="00BF61DC">
            <w:pPr>
              <w:pStyle w:val="ListParagraph"/>
              <w:numPr>
                <w:ilvl w:val="0"/>
                <w:numId w:val="94"/>
              </w:numPr>
              <w:rPr>
                <w:rFonts w:cs="Arial"/>
                <w:sz w:val="16"/>
                <w:szCs w:val="16"/>
                <w:lang w:val="ru-RU"/>
              </w:rPr>
            </w:pPr>
            <w:r w:rsidRPr="00F053BA">
              <w:rPr>
                <w:sz w:val="16"/>
                <w:lang w:val="ru-RU"/>
              </w:rPr>
              <w:t>2015</w:t>
            </w:r>
            <w:r>
              <w:rPr>
                <w:sz w:val="16"/>
              </w:rPr>
              <w:t> </w:t>
            </w:r>
            <w:r w:rsidRPr="00F053BA">
              <w:rPr>
                <w:sz w:val="16"/>
                <w:lang w:val="ru-RU"/>
              </w:rPr>
              <w:t>г.: получено 6</w:t>
            </w:r>
            <w:r>
              <w:rPr>
                <w:sz w:val="16"/>
              </w:rPr>
              <w:t> </w:t>
            </w:r>
            <w:r w:rsidRPr="00F053BA">
              <w:rPr>
                <w:sz w:val="16"/>
                <w:lang w:val="ru-RU"/>
              </w:rPr>
              <w:t>127 исправлений и обработано 5</w:t>
            </w:r>
            <w:r>
              <w:rPr>
                <w:sz w:val="16"/>
              </w:rPr>
              <w:t> </w:t>
            </w:r>
            <w:r w:rsidRPr="00F053BA">
              <w:rPr>
                <w:sz w:val="16"/>
                <w:lang w:val="ru-RU"/>
              </w:rPr>
              <w:t>294 исправлений (+31% по сравнению с целевым показателем 2014</w:t>
            </w:r>
            <w:r>
              <w:rPr>
                <w:sz w:val="16"/>
              </w:rPr>
              <w:t> </w:t>
            </w:r>
            <w:r w:rsidRPr="00F053BA">
              <w:rPr>
                <w:sz w:val="16"/>
                <w:lang w:val="ru-RU"/>
              </w:rPr>
              <w:t>г.)</w:t>
            </w:r>
            <w:r>
              <w:rPr>
                <w:rStyle w:val="FootnoteReference"/>
                <w:sz w:val="16"/>
              </w:rPr>
              <w:footnoteReference w:id="29"/>
            </w:r>
          </w:p>
          <w:p w:rsidR="00F053BA" w:rsidRPr="00F053BA" w:rsidRDefault="00F053BA" w:rsidP="00F053BA">
            <w:pPr>
              <w:rPr>
                <w:rFonts w:cs="Arial"/>
                <w:sz w:val="16"/>
                <w:szCs w:val="16"/>
                <w:lang w:val="ru-RU"/>
              </w:rPr>
            </w:pPr>
          </w:p>
        </w:tc>
        <w:tc>
          <w:tcPr>
            <w:tcW w:w="642" w:type="pct"/>
            <w:tcBorders>
              <w:top w:val="nil"/>
              <w:bottom w:val="nil"/>
              <w:right w:val="single" w:sz="4" w:space="0" w:color="auto"/>
            </w:tcBorders>
            <w:shd w:val="clear" w:color="auto" w:fill="auto"/>
          </w:tcPr>
          <w:p w:rsidR="00F053BA" w:rsidRPr="00EA4470" w:rsidRDefault="00F053BA" w:rsidP="00F053BA">
            <w:pPr>
              <w:jc w:val="center"/>
              <w:rPr>
                <w:rStyle w:val="Style5"/>
              </w:rPr>
            </w:pPr>
            <w:r>
              <w:rPr>
                <w:rStyle w:val="Style5"/>
                <w:b/>
                <w:color w:val="FF0000"/>
                <w:sz w:val="16"/>
              </w:rPr>
              <w:t>Не выполнено</w:t>
            </w:r>
          </w:p>
        </w:tc>
      </w:tr>
      <w:tr w:rsidR="00F053BA" w:rsidRPr="0005539E" w:rsidTr="00495A3D">
        <w:trPr>
          <w:cantSplit/>
        </w:trPr>
        <w:tc>
          <w:tcPr>
            <w:tcW w:w="1047" w:type="pct"/>
            <w:tcBorders>
              <w:top w:val="nil"/>
              <w:left w:val="single" w:sz="4" w:space="0" w:color="auto"/>
              <w:bottom w:val="single" w:sz="4" w:space="0" w:color="auto"/>
            </w:tcBorders>
            <w:shd w:val="clear" w:color="auto" w:fill="auto"/>
          </w:tcPr>
          <w:p w:rsidR="00F053BA" w:rsidRPr="00F053BA" w:rsidRDefault="00F053BA" w:rsidP="00F053BA">
            <w:pPr>
              <w:rPr>
                <w:rFonts w:cs="Arial"/>
                <w:sz w:val="16"/>
                <w:szCs w:val="16"/>
                <w:lang w:val="ru-RU"/>
              </w:rPr>
            </w:pPr>
            <w:r w:rsidRPr="00F053BA">
              <w:rPr>
                <w:sz w:val="16"/>
                <w:lang w:val="ru-RU"/>
              </w:rPr>
              <w:t>Повышение степени удовлетворенности пользователей (Мадридская система)</w:t>
            </w:r>
          </w:p>
        </w:tc>
        <w:tc>
          <w:tcPr>
            <w:tcW w:w="1251" w:type="pct"/>
            <w:tcBorders>
              <w:top w:val="nil"/>
              <w:bottom w:val="single" w:sz="4" w:space="0" w:color="auto"/>
            </w:tcBorders>
            <w:shd w:val="clear" w:color="auto" w:fill="auto"/>
          </w:tcPr>
          <w:p w:rsidR="00F053BA" w:rsidRPr="00F053BA" w:rsidRDefault="00F053BA" w:rsidP="00F053BA">
            <w:pPr>
              <w:rPr>
                <w:rFonts w:cs="Arial"/>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w:t>
            </w:r>
          </w:p>
          <w:p w:rsidR="00F053BA" w:rsidRPr="00F053BA" w:rsidRDefault="00F053BA" w:rsidP="00F053BA">
            <w:pPr>
              <w:rPr>
                <w:rFonts w:cs="Arial"/>
                <w:color w:val="002060"/>
                <w:sz w:val="16"/>
                <w:szCs w:val="16"/>
                <w:lang w:val="ru-RU"/>
              </w:rPr>
            </w:pPr>
            <w:r w:rsidRPr="00F053BA">
              <w:rPr>
                <w:color w:val="002060"/>
                <w:sz w:val="16"/>
                <w:lang w:val="ru-RU"/>
              </w:rPr>
              <w:t>индекс сервисной ориентации: 38.</w:t>
            </w:r>
          </w:p>
          <w:p w:rsidR="00F053BA" w:rsidRPr="00F053BA" w:rsidRDefault="00F053BA" w:rsidP="00F053BA">
            <w:pPr>
              <w:rPr>
                <w:rFonts w:cs="Arial"/>
                <w:color w:val="002060"/>
                <w:sz w:val="16"/>
                <w:szCs w:val="16"/>
                <w:lang w:val="ru-RU"/>
              </w:rPr>
            </w:pPr>
          </w:p>
          <w:p w:rsidR="00F053BA" w:rsidRPr="00F053BA" w:rsidRDefault="00F053BA" w:rsidP="00F053BA">
            <w:pPr>
              <w:rPr>
                <w:rFonts w:cs="Arial"/>
                <w:sz w:val="16"/>
                <w:szCs w:val="16"/>
                <w:lang w:val="ru-RU"/>
              </w:rPr>
            </w:pPr>
            <w:r w:rsidRPr="00F053BA">
              <w:rPr>
                <w:i/>
                <w:sz w:val="16"/>
                <w:lang w:val="ru-RU"/>
              </w:rPr>
              <w:t>Исходные базовые показатели ПиБ на 2013–2014</w:t>
            </w:r>
            <w:r>
              <w:rPr>
                <w:i/>
                <w:sz w:val="16"/>
              </w:rPr>
              <w:t> </w:t>
            </w:r>
            <w:r w:rsidRPr="00F053BA">
              <w:rPr>
                <w:i/>
                <w:sz w:val="16"/>
                <w:lang w:val="ru-RU"/>
              </w:rPr>
              <w:t xml:space="preserve">гг.: </w:t>
            </w:r>
            <w:r w:rsidRPr="00F053BA">
              <w:rPr>
                <w:sz w:val="16"/>
                <w:lang w:val="ru-RU"/>
              </w:rPr>
              <w:t>опрос для выявления степени сервисной ориентации, 2012</w:t>
            </w:r>
            <w:r>
              <w:rPr>
                <w:sz w:val="16"/>
              </w:rPr>
              <w:t> </w:t>
            </w:r>
            <w:r w:rsidRPr="00F053BA">
              <w:rPr>
                <w:sz w:val="16"/>
                <w:lang w:val="ru-RU"/>
              </w:rPr>
              <w:t>г. Индекс сервисной ориентации: 79</w:t>
            </w:r>
            <w:r w:rsidRPr="00BF5D36">
              <w:rPr>
                <w:rStyle w:val="FootnoteReference"/>
                <w:sz w:val="16"/>
              </w:rPr>
              <w:footnoteReference w:id="30"/>
            </w:r>
            <w:r w:rsidRPr="00F053BA">
              <w:rPr>
                <w:sz w:val="16"/>
                <w:lang w:val="ru-RU"/>
              </w:rPr>
              <w:t>.</w:t>
            </w:r>
          </w:p>
          <w:p w:rsidR="00F053BA" w:rsidRPr="00F053BA" w:rsidRDefault="00F053BA" w:rsidP="00F053BA">
            <w:pPr>
              <w:rPr>
                <w:rFonts w:cs="Arial"/>
                <w:i/>
                <w:color w:val="002060"/>
                <w:sz w:val="16"/>
                <w:szCs w:val="16"/>
                <w:lang w:val="ru-RU"/>
              </w:rPr>
            </w:pPr>
          </w:p>
        </w:tc>
        <w:tc>
          <w:tcPr>
            <w:tcW w:w="861" w:type="pct"/>
            <w:tcBorders>
              <w:top w:val="nil"/>
              <w:bottom w:val="single" w:sz="4" w:space="0" w:color="auto"/>
            </w:tcBorders>
            <w:shd w:val="clear" w:color="auto" w:fill="auto"/>
            <w:tcMar>
              <w:top w:w="110" w:type="dxa"/>
            </w:tcMar>
          </w:tcPr>
          <w:p w:rsidR="00F053BA" w:rsidRPr="00F053BA" w:rsidRDefault="00F053BA" w:rsidP="00F053BA">
            <w:pPr>
              <w:rPr>
                <w:rFonts w:cs="Arial"/>
                <w:sz w:val="16"/>
                <w:szCs w:val="16"/>
                <w:lang w:val="ru-RU"/>
              </w:rPr>
            </w:pPr>
            <w:r w:rsidRPr="00F053BA">
              <w:rPr>
                <w:sz w:val="16"/>
                <w:lang w:val="ru-RU"/>
              </w:rPr>
              <w:t>Более высокая степень удовлетворенности по результатам следующего опроса, касающегося оперативности реагирования на запросы и своевременности оказания услуг</w:t>
            </w:r>
          </w:p>
        </w:tc>
        <w:tc>
          <w:tcPr>
            <w:tcW w:w="1199" w:type="pct"/>
            <w:tcBorders>
              <w:top w:val="nil"/>
              <w:bottom w:val="single" w:sz="4" w:space="0" w:color="auto"/>
            </w:tcBorders>
            <w:shd w:val="clear" w:color="auto" w:fill="FFFFFF"/>
            <w:tcMar>
              <w:top w:w="110" w:type="dxa"/>
            </w:tcMar>
          </w:tcPr>
          <w:p w:rsidR="00F053BA" w:rsidRPr="00F053BA" w:rsidRDefault="00F053BA" w:rsidP="00F053BA">
            <w:pPr>
              <w:rPr>
                <w:rFonts w:cs="Arial"/>
                <w:sz w:val="16"/>
                <w:szCs w:val="16"/>
                <w:lang w:val="ru-RU"/>
              </w:rPr>
            </w:pPr>
            <w:r w:rsidRPr="00F053BA">
              <w:rPr>
                <w:sz w:val="16"/>
                <w:lang w:val="ru-RU"/>
              </w:rPr>
              <w:t>2014</w:t>
            </w:r>
            <w:r>
              <w:rPr>
                <w:sz w:val="16"/>
              </w:rPr>
              <w:t> </w:t>
            </w:r>
            <w:r w:rsidRPr="00F053BA">
              <w:rPr>
                <w:sz w:val="16"/>
                <w:lang w:val="ru-RU"/>
              </w:rPr>
              <w:t>г.: индекс сервисной ориентации: 39.</w:t>
            </w:r>
          </w:p>
          <w:p w:rsidR="00F053BA" w:rsidRPr="00F053BA" w:rsidRDefault="00F053BA" w:rsidP="00F053BA">
            <w:pPr>
              <w:rPr>
                <w:rFonts w:cs="Arial"/>
                <w:sz w:val="16"/>
                <w:szCs w:val="16"/>
                <w:lang w:val="ru-RU"/>
              </w:rPr>
            </w:pPr>
          </w:p>
          <w:p w:rsidR="00F053BA" w:rsidRPr="00F053BA" w:rsidRDefault="00F053BA" w:rsidP="00F053BA">
            <w:pPr>
              <w:rPr>
                <w:rFonts w:cs="Arial"/>
                <w:sz w:val="16"/>
                <w:szCs w:val="16"/>
                <w:lang w:val="ru-RU"/>
              </w:rPr>
            </w:pPr>
            <w:r w:rsidRPr="00F053BA">
              <w:rPr>
                <w:sz w:val="16"/>
                <w:lang w:val="ru-RU"/>
              </w:rPr>
              <w:t>2015</w:t>
            </w:r>
            <w:r>
              <w:rPr>
                <w:sz w:val="16"/>
              </w:rPr>
              <w:t> </w:t>
            </w:r>
            <w:r w:rsidRPr="00F053BA">
              <w:rPr>
                <w:sz w:val="16"/>
                <w:lang w:val="ru-RU"/>
              </w:rPr>
              <w:t>г.: по этому году опрос не проводился</w:t>
            </w:r>
          </w:p>
        </w:tc>
        <w:tc>
          <w:tcPr>
            <w:tcW w:w="642" w:type="pct"/>
            <w:tcBorders>
              <w:top w:val="nil"/>
              <w:bottom w:val="single" w:sz="4" w:space="0" w:color="auto"/>
              <w:right w:val="single" w:sz="4" w:space="0" w:color="auto"/>
            </w:tcBorders>
            <w:shd w:val="clear" w:color="auto" w:fill="auto"/>
          </w:tcPr>
          <w:p w:rsidR="00F053BA" w:rsidRDefault="00F053BA" w:rsidP="00F053BA">
            <w:pPr>
              <w:jc w:val="center"/>
              <w:rPr>
                <w:rFonts w:cs="Arial"/>
                <w:b/>
                <w:bCs/>
                <w:color w:val="00B050"/>
                <w:sz w:val="16"/>
                <w:szCs w:val="16"/>
              </w:rPr>
            </w:pPr>
            <w:r>
              <w:rPr>
                <w:b/>
                <w:color w:val="00B050"/>
                <w:sz w:val="16"/>
              </w:rPr>
              <w:t>Выполнено</w:t>
            </w:r>
          </w:p>
          <w:p w:rsidR="00F053BA" w:rsidRDefault="00F053BA" w:rsidP="00F053BA">
            <w:pPr>
              <w:jc w:val="center"/>
              <w:rPr>
                <w:rFonts w:cs="Arial"/>
                <w:b/>
                <w:bCs/>
                <w:color w:val="00B050"/>
                <w:sz w:val="16"/>
                <w:szCs w:val="16"/>
              </w:rPr>
            </w:pPr>
          </w:p>
          <w:p w:rsidR="00F053BA" w:rsidRPr="005A72A4" w:rsidRDefault="00F053BA" w:rsidP="00F053BA">
            <w:pPr>
              <w:jc w:val="center"/>
              <w:rPr>
                <w:rStyle w:val="Style5"/>
                <w:sz w:val="14"/>
                <w:szCs w:val="14"/>
              </w:rPr>
            </w:pPr>
            <w:r>
              <w:rPr>
                <w:b/>
                <w:color w:val="808080" w:themeColor="background1" w:themeShade="80"/>
                <w:sz w:val="14"/>
              </w:rPr>
              <w:t>Не подлежит оценке</w:t>
            </w:r>
          </w:p>
        </w:tc>
      </w:tr>
      <w:tr w:rsidR="00F053BA" w:rsidRPr="0005539E" w:rsidTr="00495A3D">
        <w:trPr>
          <w:cantSplit/>
        </w:trPr>
        <w:tc>
          <w:tcPr>
            <w:tcW w:w="1047" w:type="pct"/>
            <w:tcBorders>
              <w:top w:val="single" w:sz="4" w:space="0" w:color="auto"/>
              <w:left w:val="single" w:sz="4" w:space="0" w:color="auto"/>
              <w:bottom w:val="nil"/>
              <w:right w:val="nil"/>
            </w:tcBorders>
            <w:shd w:val="clear" w:color="auto" w:fill="auto"/>
          </w:tcPr>
          <w:p w:rsidR="00F053BA" w:rsidRPr="00F053BA" w:rsidRDefault="00F053BA" w:rsidP="00F053BA">
            <w:pPr>
              <w:rPr>
                <w:rFonts w:cs="Arial"/>
                <w:sz w:val="16"/>
                <w:szCs w:val="16"/>
                <w:lang w:val="ru-RU"/>
              </w:rPr>
            </w:pPr>
            <w:r w:rsidRPr="00F053BA">
              <w:rPr>
                <w:sz w:val="16"/>
                <w:lang w:val="ru-RU"/>
              </w:rPr>
              <w:t>Более активное использование средств электронного обмена информацией (Мадридская система)</w:t>
            </w:r>
          </w:p>
        </w:tc>
        <w:tc>
          <w:tcPr>
            <w:tcW w:w="1251" w:type="pct"/>
            <w:tcBorders>
              <w:top w:val="single" w:sz="4" w:space="0" w:color="auto"/>
              <w:left w:val="nil"/>
              <w:bottom w:val="nil"/>
              <w:right w:val="nil"/>
            </w:tcBorders>
            <w:shd w:val="clear" w:color="auto" w:fill="auto"/>
          </w:tcPr>
          <w:p w:rsidR="00F053BA" w:rsidRPr="00F053BA" w:rsidRDefault="00F053BA" w:rsidP="00F053BA">
            <w:pPr>
              <w:rPr>
                <w:rFonts w:cs="Arial"/>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w:t>
            </w:r>
          </w:p>
          <w:p w:rsidR="00F053BA" w:rsidRPr="00F053BA" w:rsidRDefault="00F053BA" w:rsidP="00F053BA">
            <w:pPr>
              <w:rPr>
                <w:rFonts w:cs="Arial"/>
                <w:color w:val="002060"/>
                <w:sz w:val="16"/>
                <w:szCs w:val="16"/>
                <w:lang w:val="ru-RU"/>
              </w:rPr>
            </w:pPr>
            <w:r w:rsidRPr="00F053BA">
              <w:rPr>
                <w:color w:val="002060"/>
                <w:sz w:val="16"/>
                <w:lang w:val="ru-RU"/>
              </w:rPr>
              <w:t>67% документов получены в электронной форме</w:t>
            </w:r>
          </w:p>
          <w:p w:rsidR="00F053BA" w:rsidRPr="00F053BA" w:rsidRDefault="00F053BA" w:rsidP="00F053BA">
            <w:pPr>
              <w:rPr>
                <w:rFonts w:cs="Arial"/>
                <w:color w:val="002060"/>
                <w:sz w:val="16"/>
                <w:szCs w:val="16"/>
                <w:lang w:val="ru-RU"/>
              </w:rPr>
            </w:pPr>
          </w:p>
          <w:p w:rsidR="00F053BA" w:rsidRPr="00F053BA" w:rsidRDefault="00F053BA" w:rsidP="00F053BA">
            <w:pPr>
              <w:rPr>
                <w:rFonts w:cs="Arial"/>
                <w:color w:val="002060"/>
                <w:sz w:val="16"/>
                <w:szCs w:val="16"/>
                <w:lang w:val="ru-RU"/>
              </w:rPr>
            </w:pPr>
            <w:r w:rsidRPr="00F053BA">
              <w:rPr>
                <w:color w:val="002060"/>
                <w:sz w:val="16"/>
                <w:lang w:val="ru-RU"/>
              </w:rPr>
              <w:t>158</w:t>
            </w:r>
            <w:r>
              <w:rPr>
                <w:color w:val="002060"/>
                <w:sz w:val="16"/>
              </w:rPr>
              <w:t> </w:t>
            </w:r>
            <w:r w:rsidRPr="00F053BA">
              <w:rPr>
                <w:color w:val="002060"/>
                <w:sz w:val="16"/>
                <w:lang w:val="ru-RU"/>
              </w:rPr>
              <w:t>717 уведомлений направлено по электронной почте</w:t>
            </w:r>
          </w:p>
          <w:p w:rsidR="00F053BA" w:rsidRPr="00F053BA" w:rsidRDefault="00F053BA" w:rsidP="00F053BA">
            <w:pPr>
              <w:rPr>
                <w:rFonts w:cs="Arial"/>
                <w:color w:val="002060"/>
                <w:sz w:val="16"/>
                <w:szCs w:val="16"/>
                <w:lang w:val="ru-RU"/>
              </w:rPr>
            </w:pPr>
          </w:p>
          <w:p w:rsidR="00F053BA" w:rsidRPr="0089061A" w:rsidRDefault="00F053BA" w:rsidP="00F053BA">
            <w:pPr>
              <w:rPr>
                <w:rFonts w:cs="Arial"/>
                <w:color w:val="002060"/>
                <w:sz w:val="16"/>
                <w:szCs w:val="16"/>
              </w:rPr>
            </w:pPr>
            <w:r w:rsidRPr="0089061A">
              <w:rPr>
                <w:color w:val="002060"/>
                <w:sz w:val="16"/>
              </w:rPr>
              <w:t xml:space="preserve">714 </w:t>
            </w:r>
            <w:r>
              <w:rPr>
                <w:color w:val="002060"/>
                <w:sz w:val="16"/>
              </w:rPr>
              <w:t>клиентов</w:t>
            </w:r>
            <w:r w:rsidRPr="0089061A">
              <w:rPr>
                <w:color w:val="002060"/>
                <w:sz w:val="16"/>
              </w:rPr>
              <w:t xml:space="preserve"> </w:t>
            </w:r>
            <w:r>
              <w:rPr>
                <w:color w:val="002060"/>
                <w:sz w:val="16"/>
              </w:rPr>
              <w:t>системы</w:t>
            </w:r>
            <w:r w:rsidRPr="0089061A">
              <w:rPr>
                <w:color w:val="002060"/>
                <w:sz w:val="16"/>
              </w:rPr>
              <w:t xml:space="preserve"> MPM (Madrid Portfolio Manager)</w:t>
            </w:r>
          </w:p>
          <w:p w:rsidR="00F053BA" w:rsidRPr="0089061A" w:rsidRDefault="00F053BA" w:rsidP="00F053BA">
            <w:pPr>
              <w:rPr>
                <w:rFonts w:cs="Arial"/>
                <w:color w:val="002060"/>
                <w:sz w:val="16"/>
                <w:szCs w:val="16"/>
              </w:rPr>
            </w:pPr>
          </w:p>
          <w:p w:rsidR="00F053BA" w:rsidRPr="00F053BA" w:rsidRDefault="00F053BA" w:rsidP="00F053BA">
            <w:pPr>
              <w:rPr>
                <w:rFonts w:cs="Arial"/>
                <w:i/>
                <w:color w:val="002060"/>
                <w:sz w:val="16"/>
                <w:szCs w:val="16"/>
                <w:lang w:val="ru-RU"/>
              </w:rPr>
            </w:pPr>
            <w:r w:rsidRPr="00F053BA">
              <w:rPr>
                <w:color w:val="002060"/>
                <w:sz w:val="16"/>
                <w:lang w:val="ru-RU"/>
              </w:rPr>
              <w:t xml:space="preserve">16 ведомств направляют заявки в формате </w:t>
            </w:r>
            <w:r>
              <w:rPr>
                <w:color w:val="002060"/>
                <w:sz w:val="16"/>
              </w:rPr>
              <w:t>XML</w:t>
            </w:r>
            <w:r w:rsidRPr="00F053BA">
              <w:rPr>
                <w:color w:val="002060"/>
                <w:sz w:val="16"/>
                <w:lang w:val="ru-RU"/>
              </w:rPr>
              <w:t xml:space="preserve"> </w:t>
            </w:r>
          </w:p>
          <w:p w:rsidR="00F053BA" w:rsidRPr="00F053BA" w:rsidRDefault="00F053BA" w:rsidP="00F053BA">
            <w:pPr>
              <w:rPr>
                <w:rFonts w:cs="Arial"/>
                <w:color w:val="002060"/>
                <w:sz w:val="16"/>
                <w:szCs w:val="16"/>
                <w:lang w:val="ru-RU"/>
              </w:rPr>
            </w:pPr>
          </w:p>
          <w:p w:rsidR="00F053BA" w:rsidRPr="00F053BA" w:rsidRDefault="00F053BA" w:rsidP="00F053BA">
            <w:pPr>
              <w:rPr>
                <w:rFonts w:cs="Arial"/>
                <w:sz w:val="16"/>
                <w:szCs w:val="16"/>
                <w:lang w:val="ru-RU"/>
              </w:rPr>
            </w:pPr>
            <w:r w:rsidRPr="00F053BA">
              <w:rPr>
                <w:i/>
                <w:sz w:val="16"/>
                <w:lang w:val="ru-RU"/>
              </w:rPr>
              <w:t>Исходные базовые показатели ПиБ на 2013–2014</w:t>
            </w:r>
            <w:r>
              <w:rPr>
                <w:i/>
                <w:sz w:val="16"/>
              </w:rPr>
              <w:t> </w:t>
            </w:r>
            <w:r w:rsidRPr="00F053BA">
              <w:rPr>
                <w:i/>
                <w:sz w:val="16"/>
                <w:lang w:val="ru-RU"/>
              </w:rPr>
              <w:t xml:space="preserve">гг.: </w:t>
            </w:r>
            <w:r w:rsidRPr="00F053BA">
              <w:rPr>
                <w:sz w:val="16"/>
                <w:lang w:val="ru-RU"/>
              </w:rPr>
              <w:t>60% документов получено в электронной форме, 85</w:t>
            </w:r>
            <w:r>
              <w:rPr>
                <w:sz w:val="16"/>
              </w:rPr>
              <w:t> </w:t>
            </w:r>
            <w:r w:rsidRPr="00F053BA">
              <w:rPr>
                <w:sz w:val="16"/>
                <w:lang w:val="ru-RU"/>
              </w:rPr>
              <w:t xml:space="preserve">000 уведомлений о знаках поступило по электронной почте, 200 клиентов используют МРМ, 17 ведомств отправляют заявки в формате </w:t>
            </w:r>
            <w:r>
              <w:rPr>
                <w:sz w:val="16"/>
              </w:rPr>
              <w:t>XML</w:t>
            </w:r>
          </w:p>
        </w:tc>
        <w:tc>
          <w:tcPr>
            <w:tcW w:w="861" w:type="pct"/>
            <w:tcBorders>
              <w:top w:val="single" w:sz="4" w:space="0" w:color="auto"/>
              <w:left w:val="nil"/>
              <w:bottom w:val="nil"/>
              <w:right w:val="nil"/>
            </w:tcBorders>
            <w:shd w:val="clear" w:color="auto" w:fill="auto"/>
            <w:tcMar>
              <w:top w:w="110" w:type="dxa"/>
            </w:tcMar>
          </w:tcPr>
          <w:p w:rsidR="00F053BA" w:rsidRPr="00F053BA" w:rsidRDefault="00F053BA" w:rsidP="00F053BA">
            <w:pPr>
              <w:rPr>
                <w:rFonts w:cs="Arial"/>
                <w:sz w:val="16"/>
                <w:szCs w:val="16"/>
                <w:lang w:val="ru-RU"/>
              </w:rPr>
            </w:pPr>
            <w:r w:rsidRPr="00F053BA">
              <w:rPr>
                <w:sz w:val="16"/>
                <w:lang w:val="ru-RU"/>
              </w:rPr>
              <w:t>70% документов получено в электронной форме, 110</w:t>
            </w:r>
            <w:r>
              <w:rPr>
                <w:sz w:val="16"/>
              </w:rPr>
              <w:t> </w:t>
            </w:r>
            <w:r w:rsidRPr="00F053BA">
              <w:rPr>
                <w:sz w:val="16"/>
                <w:lang w:val="ru-RU"/>
              </w:rPr>
              <w:t>000 уведомлений о знаках поступило по электронной почте, 1</w:t>
            </w:r>
            <w:r>
              <w:rPr>
                <w:sz w:val="16"/>
              </w:rPr>
              <w:t> </w:t>
            </w:r>
            <w:r w:rsidRPr="00F053BA">
              <w:rPr>
                <w:sz w:val="16"/>
                <w:lang w:val="ru-RU"/>
              </w:rPr>
              <w:t xml:space="preserve">000 клиентов используют МРМ, 23 ведомства отправляют заявки в формате </w:t>
            </w:r>
            <w:r>
              <w:rPr>
                <w:sz w:val="16"/>
              </w:rPr>
              <w:t>XML</w:t>
            </w:r>
          </w:p>
        </w:tc>
        <w:tc>
          <w:tcPr>
            <w:tcW w:w="1199" w:type="pct"/>
            <w:tcBorders>
              <w:top w:val="single" w:sz="4" w:space="0" w:color="auto"/>
              <w:left w:val="nil"/>
              <w:bottom w:val="nil"/>
              <w:right w:val="nil"/>
            </w:tcBorders>
            <w:shd w:val="clear" w:color="auto" w:fill="FFFFFF"/>
            <w:tcMar>
              <w:top w:w="110" w:type="dxa"/>
            </w:tcMar>
          </w:tcPr>
          <w:p w:rsidR="00F053BA" w:rsidRPr="00F053BA" w:rsidRDefault="00F053BA" w:rsidP="00F053BA">
            <w:pPr>
              <w:rPr>
                <w:rFonts w:cs="Arial"/>
                <w:color w:val="000000" w:themeColor="text1"/>
                <w:sz w:val="16"/>
                <w:szCs w:val="16"/>
                <w:lang w:val="ru-RU"/>
              </w:rPr>
            </w:pPr>
            <w:r w:rsidRPr="00F053BA">
              <w:rPr>
                <w:color w:val="000000" w:themeColor="text1"/>
                <w:sz w:val="16"/>
                <w:lang w:val="ru-RU"/>
              </w:rPr>
              <w:t>79% документов получены в электронной форме в 2015</w:t>
            </w:r>
            <w:r>
              <w:rPr>
                <w:color w:val="000000" w:themeColor="text1"/>
                <w:sz w:val="16"/>
              </w:rPr>
              <w:t> </w:t>
            </w:r>
            <w:r w:rsidRPr="00F053BA">
              <w:rPr>
                <w:color w:val="000000" w:themeColor="text1"/>
                <w:sz w:val="16"/>
                <w:lang w:val="ru-RU"/>
              </w:rPr>
              <w:t>г. (70% в 2014</w:t>
            </w:r>
            <w:r>
              <w:rPr>
                <w:color w:val="000000" w:themeColor="text1"/>
                <w:sz w:val="16"/>
              </w:rPr>
              <w:t> </w:t>
            </w:r>
            <w:r w:rsidRPr="00F053BA">
              <w:rPr>
                <w:color w:val="000000" w:themeColor="text1"/>
                <w:sz w:val="16"/>
                <w:lang w:val="ru-RU"/>
              </w:rPr>
              <w:t>г.)</w:t>
            </w:r>
          </w:p>
          <w:p w:rsidR="00F053BA" w:rsidRPr="00F053BA" w:rsidRDefault="00F053BA" w:rsidP="00F053BA">
            <w:pPr>
              <w:rPr>
                <w:rFonts w:cs="Arial"/>
                <w:color w:val="000000" w:themeColor="text1"/>
                <w:sz w:val="16"/>
                <w:szCs w:val="16"/>
                <w:lang w:val="ru-RU"/>
              </w:rPr>
            </w:pPr>
          </w:p>
          <w:p w:rsidR="00F053BA" w:rsidRPr="00F053BA" w:rsidRDefault="00F053BA" w:rsidP="00F053BA">
            <w:pPr>
              <w:rPr>
                <w:rFonts w:cs="Arial"/>
                <w:color w:val="000000" w:themeColor="text1"/>
                <w:sz w:val="16"/>
                <w:szCs w:val="16"/>
                <w:lang w:val="ru-RU"/>
              </w:rPr>
            </w:pPr>
            <w:r w:rsidRPr="00F053BA">
              <w:rPr>
                <w:color w:val="000000" w:themeColor="text1"/>
                <w:sz w:val="16"/>
                <w:lang w:val="ru-RU"/>
              </w:rPr>
              <w:t>Электронные письма (</w:t>
            </w:r>
            <w:r>
              <w:rPr>
                <w:color w:val="000000" w:themeColor="text1"/>
                <w:sz w:val="16"/>
              </w:rPr>
              <w:t>RSD</w:t>
            </w:r>
            <w:r w:rsidRPr="00F053BA">
              <w:rPr>
                <w:color w:val="000000" w:themeColor="text1"/>
                <w:sz w:val="16"/>
                <w:lang w:val="ru-RU"/>
              </w:rPr>
              <w:t>) 325</w:t>
            </w:r>
            <w:r>
              <w:rPr>
                <w:color w:val="000000" w:themeColor="text1"/>
                <w:sz w:val="16"/>
              </w:rPr>
              <w:t> </w:t>
            </w:r>
            <w:r w:rsidRPr="00F053BA">
              <w:rPr>
                <w:color w:val="000000" w:themeColor="text1"/>
                <w:sz w:val="16"/>
                <w:lang w:val="ru-RU"/>
              </w:rPr>
              <w:t>000 уведомлений по электронной почте в 2015</w:t>
            </w:r>
            <w:r>
              <w:rPr>
                <w:color w:val="000000" w:themeColor="text1"/>
                <w:sz w:val="16"/>
              </w:rPr>
              <w:t> </w:t>
            </w:r>
            <w:r w:rsidRPr="00F053BA">
              <w:rPr>
                <w:color w:val="000000" w:themeColor="text1"/>
                <w:sz w:val="16"/>
                <w:lang w:val="ru-RU"/>
              </w:rPr>
              <w:t>г. (в 2014</w:t>
            </w:r>
            <w:r>
              <w:rPr>
                <w:color w:val="000000" w:themeColor="text1"/>
                <w:sz w:val="16"/>
              </w:rPr>
              <w:t> </w:t>
            </w:r>
            <w:r w:rsidRPr="00F053BA">
              <w:rPr>
                <w:color w:val="000000" w:themeColor="text1"/>
                <w:sz w:val="16"/>
                <w:lang w:val="ru-RU"/>
              </w:rPr>
              <w:t>г. – 220</w:t>
            </w:r>
            <w:r>
              <w:rPr>
                <w:color w:val="000000" w:themeColor="text1"/>
                <w:sz w:val="16"/>
              </w:rPr>
              <w:t> </w:t>
            </w:r>
            <w:r w:rsidRPr="00F053BA">
              <w:rPr>
                <w:color w:val="000000" w:themeColor="text1"/>
                <w:sz w:val="16"/>
                <w:lang w:val="ru-RU"/>
              </w:rPr>
              <w:t>000)</w:t>
            </w:r>
          </w:p>
          <w:p w:rsidR="00F053BA" w:rsidRPr="00F053BA" w:rsidRDefault="00F053BA" w:rsidP="00F053BA">
            <w:pPr>
              <w:rPr>
                <w:rFonts w:cs="Arial"/>
                <w:color w:val="000000" w:themeColor="text1"/>
                <w:sz w:val="16"/>
                <w:szCs w:val="16"/>
                <w:lang w:val="ru-RU"/>
              </w:rPr>
            </w:pPr>
          </w:p>
          <w:p w:rsidR="00F053BA" w:rsidRPr="00F053BA" w:rsidRDefault="00F053BA" w:rsidP="00F053BA">
            <w:pPr>
              <w:rPr>
                <w:rFonts w:cs="Arial"/>
                <w:color w:val="000000" w:themeColor="text1"/>
                <w:sz w:val="16"/>
                <w:szCs w:val="16"/>
                <w:lang w:val="ru-RU"/>
              </w:rPr>
            </w:pPr>
            <w:r w:rsidRPr="00F053BA">
              <w:rPr>
                <w:color w:val="000000" w:themeColor="text1"/>
                <w:sz w:val="16"/>
                <w:lang w:val="ru-RU"/>
              </w:rPr>
              <w:t>2</w:t>
            </w:r>
            <w:r>
              <w:rPr>
                <w:color w:val="000000" w:themeColor="text1"/>
                <w:sz w:val="16"/>
              </w:rPr>
              <w:t> </w:t>
            </w:r>
            <w:r w:rsidRPr="00F053BA">
              <w:rPr>
                <w:color w:val="000000" w:themeColor="text1"/>
                <w:sz w:val="16"/>
                <w:lang w:val="ru-RU"/>
              </w:rPr>
              <w:t xml:space="preserve">752 клиента использовали </w:t>
            </w:r>
            <w:r>
              <w:rPr>
                <w:color w:val="000000" w:themeColor="text1"/>
                <w:sz w:val="16"/>
              </w:rPr>
              <w:t>MPM</w:t>
            </w:r>
            <w:r w:rsidRPr="00F053BA">
              <w:rPr>
                <w:color w:val="000000" w:themeColor="text1"/>
                <w:sz w:val="16"/>
                <w:lang w:val="ru-RU"/>
              </w:rPr>
              <w:t xml:space="preserve"> в 2015</w:t>
            </w:r>
            <w:r>
              <w:rPr>
                <w:color w:val="000000" w:themeColor="text1"/>
                <w:sz w:val="16"/>
              </w:rPr>
              <w:t> </w:t>
            </w:r>
            <w:r w:rsidRPr="00F053BA">
              <w:rPr>
                <w:color w:val="000000" w:themeColor="text1"/>
                <w:sz w:val="16"/>
                <w:lang w:val="ru-RU"/>
              </w:rPr>
              <w:t>г. (1</w:t>
            </w:r>
            <w:r>
              <w:rPr>
                <w:color w:val="000000" w:themeColor="text1"/>
                <w:sz w:val="16"/>
              </w:rPr>
              <w:t> </w:t>
            </w:r>
            <w:r w:rsidRPr="00F053BA">
              <w:rPr>
                <w:color w:val="000000" w:themeColor="text1"/>
                <w:sz w:val="16"/>
                <w:lang w:val="ru-RU"/>
              </w:rPr>
              <w:t>800 в 2014</w:t>
            </w:r>
            <w:r>
              <w:rPr>
                <w:color w:val="000000" w:themeColor="text1"/>
                <w:sz w:val="16"/>
              </w:rPr>
              <w:t> </w:t>
            </w:r>
            <w:r w:rsidRPr="00F053BA">
              <w:rPr>
                <w:color w:val="000000" w:themeColor="text1"/>
                <w:sz w:val="16"/>
                <w:lang w:val="ru-RU"/>
              </w:rPr>
              <w:t>г.)</w:t>
            </w:r>
          </w:p>
          <w:p w:rsidR="00F053BA" w:rsidRPr="00F053BA" w:rsidRDefault="00F053BA" w:rsidP="00F053BA">
            <w:pPr>
              <w:rPr>
                <w:rFonts w:cs="Arial"/>
                <w:color w:val="000000" w:themeColor="text1"/>
                <w:sz w:val="16"/>
                <w:szCs w:val="16"/>
                <w:lang w:val="ru-RU"/>
              </w:rPr>
            </w:pPr>
          </w:p>
          <w:p w:rsidR="00F053BA" w:rsidRPr="00F053BA" w:rsidRDefault="00F053BA" w:rsidP="00F053BA">
            <w:pPr>
              <w:rPr>
                <w:rFonts w:cs="Arial"/>
                <w:sz w:val="16"/>
                <w:szCs w:val="16"/>
                <w:lang w:val="ru-RU"/>
              </w:rPr>
            </w:pPr>
            <w:r w:rsidRPr="00F053BA">
              <w:rPr>
                <w:color w:val="000000" w:themeColor="text1"/>
                <w:sz w:val="16"/>
                <w:lang w:val="ru-RU"/>
              </w:rPr>
              <w:t>27</w:t>
            </w:r>
            <w:r>
              <w:rPr>
                <w:color w:val="000000" w:themeColor="text1"/>
                <w:sz w:val="16"/>
              </w:rPr>
              <w:t> </w:t>
            </w:r>
            <w:r w:rsidRPr="00F053BA">
              <w:rPr>
                <w:color w:val="000000" w:themeColor="text1"/>
                <w:sz w:val="16"/>
                <w:lang w:val="ru-RU"/>
              </w:rPr>
              <w:t xml:space="preserve">ведомств направляли заявки в формате </w:t>
            </w:r>
            <w:r>
              <w:rPr>
                <w:color w:val="000000" w:themeColor="text1"/>
                <w:sz w:val="16"/>
              </w:rPr>
              <w:t>XML</w:t>
            </w:r>
            <w:r w:rsidRPr="00F053BA">
              <w:rPr>
                <w:color w:val="000000" w:themeColor="text1"/>
                <w:sz w:val="16"/>
                <w:lang w:val="ru-RU"/>
              </w:rPr>
              <w:t xml:space="preserve"> в 2015</w:t>
            </w:r>
            <w:r>
              <w:rPr>
                <w:color w:val="000000" w:themeColor="text1"/>
                <w:sz w:val="16"/>
              </w:rPr>
              <w:t> </w:t>
            </w:r>
            <w:r w:rsidRPr="00F053BA">
              <w:rPr>
                <w:color w:val="000000" w:themeColor="text1"/>
                <w:sz w:val="16"/>
                <w:lang w:val="ru-RU"/>
              </w:rPr>
              <w:t>г. (24 в 2014</w:t>
            </w:r>
            <w:r>
              <w:rPr>
                <w:color w:val="000000" w:themeColor="text1"/>
                <w:sz w:val="16"/>
              </w:rPr>
              <w:t> </w:t>
            </w:r>
            <w:r w:rsidRPr="00F053BA">
              <w:rPr>
                <w:color w:val="000000" w:themeColor="text1"/>
                <w:sz w:val="16"/>
                <w:lang w:val="ru-RU"/>
              </w:rPr>
              <w:t>г.)</w:t>
            </w:r>
          </w:p>
        </w:tc>
        <w:tc>
          <w:tcPr>
            <w:tcW w:w="642" w:type="pct"/>
            <w:tcBorders>
              <w:top w:val="single" w:sz="4" w:space="0" w:color="auto"/>
              <w:left w:val="nil"/>
              <w:bottom w:val="nil"/>
              <w:right w:val="single" w:sz="4" w:space="0" w:color="auto"/>
            </w:tcBorders>
            <w:shd w:val="clear" w:color="auto" w:fill="auto"/>
            <w:tcMar>
              <w:top w:w="110" w:type="dxa"/>
            </w:tcMar>
          </w:tcPr>
          <w:p w:rsidR="00F053BA" w:rsidRDefault="00F053BA" w:rsidP="00F053BA">
            <w:pPr>
              <w:jc w:val="center"/>
              <w:rPr>
                <w:rFonts w:cs="Arial"/>
                <w:b/>
                <w:bCs/>
                <w:color w:val="00B050"/>
                <w:sz w:val="16"/>
                <w:szCs w:val="16"/>
              </w:rPr>
            </w:pPr>
            <w:r>
              <w:rPr>
                <w:b/>
                <w:color w:val="00B050"/>
                <w:sz w:val="16"/>
              </w:rPr>
              <w:t>Выполнено</w:t>
            </w: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r>
              <w:rPr>
                <w:b/>
                <w:color w:val="00B050"/>
                <w:sz w:val="16"/>
              </w:rPr>
              <w:t>Выполнено</w:t>
            </w: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r>
              <w:rPr>
                <w:b/>
                <w:color w:val="00B050"/>
                <w:sz w:val="16"/>
              </w:rPr>
              <w:t>Выполнено</w:t>
            </w: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p>
          <w:p w:rsidR="00F053BA" w:rsidRDefault="00F053BA" w:rsidP="00F053BA">
            <w:pPr>
              <w:jc w:val="center"/>
              <w:rPr>
                <w:rFonts w:cs="Arial"/>
                <w:b/>
                <w:bCs/>
                <w:color w:val="00B050"/>
                <w:sz w:val="16"/>
                <w:szCs w:val="16"/>
              </w:rPr>
            </w:pPr>
          </w:p>
          <w:p w:rsidR="00F053BA" w:rsidRPr="00EA4470" w:rsidRDefault="00F053BA" w:rsidP="00F053BA">
            <w:pPr>
              <w:jc w:val="center"/>
              <w:rPr>
                <w:rFonts w:cs="Arial"/>
                <w:bCs/>
                <w:color w:val="008000"/>
                <w:sz w:val="16"/>
                <w:szCs w:val="16"/>
              </w:rPr>
            </w:pPr>
            <w:r>
              <w:rPr>
                <w:b/>
                <w:color w:val="00B050"/>
                <w:sz w:val="16"/>
              </w:rPr>
              <w:t>Выполнено</w:t>
            </w:r>
          </w:p>
        </w:tc>
      </w:tr>
      <w:tr w:rsidR="00F053BA" w:rsidRPr="0005539E" w:rsidTr="00495A3D">
        <w:trPr>
          <w:cantSplit/>
        </w:trPr>
        <w:tc>
          <w:tcPr>
            <w:tcW w:w="1047" w:type="pct"/>
            <w:tcBorders>
              <w:top w:val="nil"/>
              <w:left w:val="single" w:sz="4" w:space="0" w:color="auto"/>
              <w:bottom w:val="nil"/>
            </w:tcBorders>
            <w:shd w:val="clear" w:color="auto" w:fill="auto"/>
          </w:tcPr>
          <w:p w:rsidR="00F053BA" w:rsidRPr="00F053BA" w:rsidRDefault="00F053BA" w:rsidP="00F053BA">
            <w:pPr>
              <w:keepNext/>
              <w:keepLines/>
              <w:rPr>
                <w:rFonts w:cs="Arial"/>
                <w:sz w:val="16"/>
                <w:szCs w:val="16"/>
                <w:lang w:val="ru-RU"/>
              </w:rPr>
            </w:pPr>
            <w:r w:rsidRPr="00F053BA">
              <w:rPr>
                <w:sz w:val="16"/>
                <w:lang w:val="ru-RU"/>
              </w:rPr>
              <w:t>Совершенствование электронных средств связи и публикаций в рамках Лиссабонской системы</w:t>
            </w:r>
          </w:p>
        </w:tc>
        <w:tc>
          <w:tcPr>
            <w:tcW w:w="1251" w:type="pct"/>
            <w:tcBorders>
              <w:top w:val="nil"/>
              <w:bottom w:val="nil"/>
            </w:tcBorders>
            <w:shd w:val="clear" w:color="auto" w:fill="auto"/>
          </w:tcPr>
          <w:p w:rsidR="00F053BA" w:rsidRPr="00F053BA" w:rsidRDefault="00F053BA" w:rsidP="00F053BA">
            <w:pPr>
              <w:keepNext/>
              <w:keepLines/>
              <w:rPr>
                <w:rFonts w:cs="Arial"/>
                <w:sz w:val="16"/>
                <w:szCs w:val="16"/>
                <w:lang w:val="ru-RU"/>
              </w:rPr>
            </w:pPr>
            <w:r w:rsidRPr="00F053BA">
              <w:rPr>
                <w:sz w:val="16"/>
                <w:lang w:val="ru-RU"/>
              </w:rPr>
              <w:t>Электронные средства внедрены до конца 2013</w:t>
            </w:r>
            <w:r>
              <w:rPr>
                <w:sz w:val="16"/>
              </w:rPr>
              <w:t> </w:t>
            </w:r>
            <w:r w:rsidRPr="00F053BA">
              <w:rPr>
                <w:sz w:val="16"/>
                <w:lang w:val="ru-RU"/>
              </w:rPr>
              <w:t>г.</w:t>
            </w:r>
          </w:p>
        </w:tc>
        <w:tc>
          <w:tcPr>
            <w:tcW w:w="861" w:type="pct"/>
            <w:tcBorders>
              <w:top w:val="nil"/>
              <w:bottom w:val="nil"/>
            </w:tcBorders>
            <w:shd w:val="clear" w:color="auto" w:fill="auto"/>
            <w:tcMar>
              <w:top w:w="110" w:type="dxa"/>
            </w:tcMar>
          </w:tcPr>
          <w:p w:rsidR="00F053BA" w:rsidRPr="00F053BA" w:rsidRDefault="00F053BA" w:rsidP="00F053BA">
            <w:pPr>
              <w:keepNext/>
              <w:keepLines/>
              <w:rPr>
                <w:rFonts w:cs="Arial"/>
                <w:sz w:val="16"/>
                <w:szCs w:val="16"/>
                <w:lang w:val="ru-RU"/>
              </w:rPr>
            </w:pPr>
            <w:r w:rsidRPr="00F053BA">
              <w:rPr>
                <w:sz w:val="16"/>
                <w:lang w:val="ru-RU"/>
              </w:rPr>
              <w:t xml:space="preserve">Электронная система подачи заявок и включение Лиссабонского бюллетеня в базу данных Лиссабон </w:t>
            </w:r>
            <w:r>
              <w:rPr>
                <w:sz w:val="16"/>
              </w:rPr>
              <w:t>Express</w:t>
            </w:r>
          </w:p>
        </w:tc>
        <w:tc>
          <w:tcPr>
            <w:tcW w:w="1199" w:type="pct"/>
            <w:tcBorders>
              <w:top w:val="nil"/>
              <w:bottom w:val="nil"/>
            </w:tcBorders>
            <w:shd w:val="clear" w:color="auto" w:fill="FFFFFF"/>
            <w:tcMar>
              <w:top w:w="110" w:type="dxa"/>
            </w:tcMar>
          </w:tcPr>
          <w:p w:rsidR="00F053BA" w:rsidRPr="00F053BA" w:rsidRDefault="00F053BA" w:rsidP="00F053BA">
            <w:pPr>
              <w:keepNext/>
              <w:keepLines/>
              <w:rPr>
                <w:rFonts w:cs="Arial"/>
                <w:sz w:val="16"/>
                <w:szCs w:val="16"/>
                <w:lang w:val="ru-RU"/>
              </w:rPr>
            </w:pPr>
            <w:r w:rsidRPr="00F053BA">
              <w:rPr>
                <w:sz w:val="16"/>
                <w:lang w:val="ru-RU"/>
              </w:rPr>
              <w:t xml:space="preserve">Оптимизированная процедура направления уведомлений, реализованная на базе уведомительной системы </w:t>
            </w:r>
            <w:r>
              <w:rPr>
                <w:sz w:val="16"/>
              </w:rPr>
              <w:t>WINS</w:t>
            </w:r>
            <w:r w:rsidRPr="00F053BA">
              <w:rPr>
                <w:sz w:val="16"/>
                <w:lang w:val="ru-RU"/>
              </w:rPr>
              <w:t xml:space="preserve"> ВОИС.</w:t>
            </w:r>
          </w:p>
          <w:p w:rsidR="00F053BA" w:rsidRPr="00F053BA" w:rsidRDefault="00F053BA" w:rsidP="00F053BA">
            <w:pPr>
              <w:keepNext/>
              <w:keepLines/>
              <w:rPr>
                <w:rFonts w:cs="Arial"/>
                <w:sz w:val="16"/>
                <w:szCs w:val="16"/>
                <w:lang w:val="ru-RU"/>
              </w:rPr>
            </w:pPr>
          </w:p>
        </w:tc>
        <w:tc>
          <w:tcPr>
            <w:tcW w:w="642" w:type="pct"/>
            <w:tcBorders>
              <w:top w:val="nil"/>
              <w:bottom w:val="nil"/>
              <w:right w:val="single" w:sz="4" w:space="0" w:color="auto"/>
            </w:tcBorders>
            <w:shd w:val="clear" w:color="auto" w:fill="auto"/>
          </w:tcPr>
          <w:p w:rsidR="00F053BA" w:rsidRPr="00EA4470" w:rsidRDefault="00F053BA" w:rsidP="00F053BA">
            <w:pPr>
              <w:keepNext/>
              <w:keepLines/>
              <w:jc w:val="center"/>
              <w:rPr>
                <w:rStyle w:val="Style5"/>
              </w:rPr>
            </w:pPr>
            <w:r>
              <w:rPr>
                <w:b/>
                <w:color w:val="E36C0A" w:themeColor="accent6" w:themeShade="BF"/>
                <w:sz w:val="16"/>
              </w:rPr>
              <w:t>Частично выполнено</w:t>
            </w:r>
          </w:p>
        </w:tc>
      </w:tr>
      <w:tr w:rsidR="00F053BA" w:rsidRPr="0005539E" w:rsidTr="00495A3D">
        <w:trPr>
          <w:cantSplit/>
        </w:trPr>
        <w:tc>
          <w:tcPr>
            <w:tcW w:w="1047" w:type="pct"/>
            <w:tcBorders>
              <w:top w:val="nil"/>
              <w:left w:val="single" w:sz="4" w:space="0" w:color="auto"/>
              <w:bottom w:val="single" w:sz="4" w:space="0" w:color="auto"/>
            </w:tcBorders>
            <w:shd w:val="clear" w:color="auto" w:fill="auto"/>
          </w:tcPr>
          <w:p w:rsidR="00F053BA" w:rsidRPr="00F053BA" w:rsidRDefault="00F053BA" w:rsidP="00F053BA">
            <w:pPr>
              <w:keepNext/>
              <w:keepLines/>
              <w:rPr>
                <w:rFonts w:cs="Arial"/>
                <w:sz w:val="16"/>
                <w:szCs w:val="16"/>
                <w:lang w:val="ru-RU"/>
              </w:rPr>
            </w:pPr>
            <w:r w:rsidRPr="00F053BA">
              <w:rPr>
                <w:sz w:val="16"/>
                <w:lang w:val="ru-RU"/>
              </w:rPr>
              <w:t>Доработка электронного международного реестра Лиссабонской системы</w:t>
            </w:r>
          </w:p>
        </w:tc>
        <w:tc>
          <w:tcPr>
            <w:tcW w:w="1251" w:type="pct"/>
            <w:tcBorders>
              <w:top w:val="nil"/>
              <w:bottom w:val="single" w:sz="4" w:space="0" w:color="auto"/>
            </w:tcBorders>
            <w:shd w:val="clear" w:color="auto" w:fill="auto"/>
          </w:tcPr>
          <w:p w:rsidR="00F053BA" w:rsidRPr="00F053BA" w:rsidRDefault="00F053BA" w:rsidP="00F053BA">
            <w:pPr>
              <w:keepNext/>
              <w:keepLines/>
              <w:rPr>
                <w:rFonts w:cs="Arial"/>
                <w:i/>
                <w:color w:val="002060"/>
                <w:sz w:val="16"/>
                <w:szCs w:val="16"/>
                <w:lang w:val="ru-RU"/>
              </w:rPr>
            </w:pPr>
            <w:r w:rsidRPr="00F053BA">
              <w:rPr>
                <w:i/>
                <w:color w:val="002060"/>
                <w:sz w:val="16"/>
                <w:lang w:val="ru-RU"/>
              </w:rPr>
              <w:t>Обновленные базовые показатели, конец 2013</w:t>
            </w:r>
            <w:r>
              <w:rPr>
                <w:i/>
                <w:color w:val="002060"/>
                <w:sz w:val="16"/>
              </w:rPr>
              <w:t> </w:t>
            </w:r>
            <w:r w:rsidRPr="00F053BA">
              <w:rPr>
                <w:i/>
                <w:color w:val="002060"/>
                <w:sz w:val="16"/>
                <w:lang w:val="ru-RU"/>
              </w:rPr>
              <w:t>г.:</w:t>
            </w:r>
            <w:r w:rsidRPr="00F053BA">
              <w:rPr>
                <w:color w:val="002060"/>
                <w:sz w:val="16"/>
                <w:lang w:val="ru-RU"/>
              </w:rPr>
              <w:t xml:space="preserve"> с</w:t>
            </w:r>
            <w:r>
              <w:rPr>
                <w:color w:val="002060"/>
                <w:sz w:val="16"/>
              </w:rPr>
              <w:t> </w:t>
            </w:r>
            <w:r w:rsidRPr="00F053BA">
              <w:rPr>
                <w:color w:val="002060"/>
                <w:sz w:val="16"/>
                <w:lang w:val="ru-RU"/>
              </w:rPr>
              <w:t>лета 2013 г. применяются ИТ-приложения электронного Международного реестра</w:t>
            </w:r>
          </w:p>
          <w:p w:rsidR="00F053BA" w:rsidRPr="00F053BA" w:rsidRDefault="00F053BA" w:rsidP="00F053BA">
            <w:pPr>
              <w:keepNext/>
              <w:keepLines/>
              <w:rPr>
                <w:rFonts w:cs="Arial"/>
                <w:color w:val="002060"/>
                <w:sz w:val="16"/>
                <w:szCs w:val="16"/>
                <w:lang w:val="ru-RU"/>
              </w:rPr>
            </w:pPr>
          </w:p>
          <w:p w:rsidR="00F053BA" w:rsidRPr="00F053BA" w:rsidRDefault="00F053BA" w:rsidP="00F053BA">
            <w:pPr>
              <w:keepNext/>
              <w:keepLines/>
              <w:rPr>
                <w:sz w:val="16"/>
                <w:lang w:val="ru-RU"/>
              </w:rPr>
            </w:pPr>
            <w:r w:rsidRPr="00F053BA">
              <w:rPr>
                <w:i/>
                <w:sz w:val="16"/>
                <w:lang w:val="ru-RU"/>
              </w:rPr>
              <w:t>Исходные базовые показатели ПиБ на 2013–2014</w:t>
            </w:r>
            <w:r>
              <w:rPr>
                <w:i/>
                <w:sz w:val="16"/>
              </w:rPr>
              <w:t> </w:t>
            </w:r>
            <w:r w:rsidRPr="00F053BA">
              <w:rPr>
                <w:i/>
                <w:sz w:val="16"/>
                <w:lang w:val="ru-RU"/>
              </w:rPr>
              <w:t xml:space="preserve">гг.: </w:t>
            </w:r>
            <w:r w:rsidRPr="00F053BA">
              <w:rPr>
                <w:sz w:val="16"/>
                <w:lang w:val="ru-RU"/>
              </w:rPr>
              <w:t>в 2013</w:t>
            </w:r>
            <w:r>
              <w:rPr>
                <w:sz w:val="16"/>
              </w:rPr>
              <w:t> </w:t>
            </w:r>
            <w:r w:rsidRPr="00F053BA">
              <w:rPr>
                <w:sz w:val="16"/>
                <w:lang w:val="ru-RU"/>
              </w:rPr>
              <w:t>г. планируется создать электронный международный реестр Лиссабонской системы.</w:t>
            </w:r>
          </w:p>
          <w:p w:rsidR="00F053BA" w:rsidRPr="00F053BA" w:rsidRDefault="00F053BA" w:rsidP="00F053BA">
            <w:pPr>
              <w:keepNext/>
              <w:keepLines/>
              <w:rPr>
                <w:rFonts w:cs="Arial"/>
                <w:sz w:val="16"/>
                <w:szCs w:val="16"/>
                <w:lang w:val="ru-RU"/>
              </w:rPr>
            </w:pPr>
          </w:p>
        </w:tc>
        <w:tc>
          <w:tcPr>
            <w:tcW w:w="861" w:type="pct"/>
            <w:tcBorders>
              <w:top w:val="nil"/>
              <w:bottom w:val="single" w:sz="4" w:space="0" w:color="auto"/>
            </w:tcBorders>
            <w:shd w:val="clear" w:color="auto" w:fill="auto"/>
            <w:tcMar>
              <w:top w:w="110" w:type="dxa"/>
            </w:tcMar>
          </w:tcPr>
          <w:p w:rsidR="00F053BA" w:rsidRPr="00F053BA" w:rsidRDefault="00F053BA" w:rsidP="00F053BA">
            <w:pPr>
              <w:keepNext/>
              <w:keepLines/>
              <w:rPr>
                <w:rFonts w:cs="Arial"/>
                <w:sz w:val="16"/>
                <w:szCs w:val="16"/>
                <w:lang w:val="ru-RU"/>
              </w:rPr>
            </w:pPr>
            <w:r w:rsidRPr="00F053BA">
              <w:rPr>
                <w:sz w:val="16"/>
                <w:lang w:val="ru-RU"/>
              </w:rPr>
              <w:t xml:space="preserve">Электронная система, объединяющая Международный реестр и базу данных </w:t>
            </w:r>
            <w:r>
              <w:rPr>
                <w:sz w:val="16"/>
              </w:rPr>
              <w:t>Lisbon</w:t>
            </w:r>
            <w:r w:rsidRPr="00F053BA">
              <w:rPr>
                <w:sz w:val="16"/>
                <w:lang w:val="ru-RU"/>
              </w:rPr>
              <w:t xml:space="preserve"> </w:t>
            </w:r>
            <w:r>
              <w:rPr>
                <w:sz w:val="16"/>
              </w:rPr>
              <w:t>Express</w:t>
            </w:r>
            <w:r w:rsidRPr="00F053BA">
              <w:rPr>
                <w:sz w:val="16"/>
                <w:lang w:val="ru-RU"/>
              </w:rPr>
              <w:t>, реализованная на сайте ВОИС</w:t>
            </w:r>
          </w:p>
        </w:tc>
        <w:tc>
          <w:tcPr>
            <w:tcW w:w="1199" w:type="pct"/>
            <w:tcBorders>
              <w:top w:val="nil"/>
              <w:bottom w:val="single" w:sz="4" w:space="0" w:color="auto"/>
            </w:tcBorders>
            <w:shd w:val="clear" w:color="auto" w:fill="FFFFFF"/>
            <w:tcMar>
              <w:top w:w="110" w:type="dxa"/>
            </w:tcMar>
          </w:tcPr>
          <w:p w:rsidR="00F053BA" w:rsidRPr="00F053BA" w:rsidRDefault="00F053BA" w:rsidP="00F053BA">
            <w:pPr>
              <w:keepNext/>
              <w:keepLines/>
              <w:rPr>
                <w:rFonts w:cs="Arial"/>
                <w:sz w:val="16"/>
                <w:szCs w:val="16"/>
                <w:lang w:val="ru-RU"/>
              </w:rPr>
            </w:pPr>
            <w:r w:rsidRPr="00F053BA">
              <w:rPr>
                <w:sz w:val="16"/>
                <w:lang w:val="ru-RU"/>
              </w:rPr>
              <w:t xml:space="preserve">Была завершена разработка электронного интерфейса, связывающего Международный реестр и базу данных </w:t>
            </w:r>
            <w:r>
              <w:rPr>
                <w:sz w:val="16"/>
              </w:rPr>
              <w:t>Lisbon</w:t>
            </w:r>
            <w:r w:rsidRPr="00F053BA">
              <w:rPr>
                <w:sz w:val="16"/>
                <w:lang w:val="ru-RU"/>
              </w:rPr>
              <w:t xml:space="preserve"> </w:t>
            </w:r>
            <w:r>
              <w:rPr>
                <w:sz w:val="16"/>
              </w:rPr>
              <w:t>Express</w:t>
            </w:r>
            <w:r w:rsidRPr="00F053BA">
              <w:rPr>
                <w:sz w:val="16"/>
                <w:lang w:val="ru-RU"/>
              </w:rPr>
              <w:t xml:space="preserve"> на сайте ВОИС, и в 2014 г. он начал функционировать.</w:t>
            </w:r>
          </w:p>
        </w:tc>
        <w:tc>
          <w:tcPr>
            <w:tcW w:w="642" w:type="pct"/>
            <w:tcBorders>
              <w:top w:val="nil"/>
              <w:bottom w:val="single" w:sz="4" w:space="0" w:color="auto"/>
              <w:right w:val="single" w:sz="4" w:space="0" w:color="auto"/>
            </w:tcBorders>
            <w:shd w:val="clear" w:color="auto" w:fill="auto"/>
            <w:tcMar>
              <w:top w:w="110" w:type="dxa"/>
            </w:tcMar>
          </w:tcPr>
          <w:p w:rsidR="00F053BA" w:rsidRPr="00EA4470" w:rsidRDefault="00F053BA" w:rsidP="00F053BA">
            <w:pPr>
              <w:keepNext/>
              <w:keepLines/>
              <w:jc w:val="center"/>
              <w:rPr>
                <w:rStyle w:val="Style5"/>
              </w:rPr>
            </w:pPr>
            <w:r>
              <w:rPr>
                <w:b/>
                <w:color w:val="00B050"/>
                <w:sz w:val="16"/>
              </w:rPr>
              <w:t>Выполнено</w:t>
            </w:r>
          </w:p>
        </w:tc>
      </w:tr>
    </w:tbl>
    <w:p w:rsidR="00F053BA" w:rsidRDefault="00F053BA" w:rsidP="00F053BA">
      <w:pPr>
        <w:rPr>
          <w:rFonts w:cs="Arial"/>
          <w:color w:val="000000"/>
          <w:sz w:val="22"/>
          <w:szCs w:val="22"/>
        </w:rPr>
      </w:pPr>
    </w:p>
    <w:p w:rsidR="00F053BA" w:rsidRDefault="00F053BA" w:rsidP="00F053BA">
      <w:pPr>
        <w:rPr>
          <w:rFonts w:cs="Arial"/>
          <w:color w:val="000000"/>
          <w:sz w:val="22"/>
          <w:szCs w:val="22"/>
        </w:rPr>
      </w:pPr>
    </w:p>
    <w:p w:rsidR="00F053BA" w:rsidRDefault="00F053BA" w:rsidP="00F053BA">
      <w:pPr>
        <w:rPr>
          <w:rFonts w:cs="Arial"/>
          <w:color w:val="000000"/>
          <w:sz w:val="22"/>
          <w:szCs w:val="22"/>
        </w:rPr>
      </w:pPr>
    </w:p>
    <w:p w:rsidR="00F053BA" w:rsidRDefault="00F053BA" w:rsidP="00F053BA">
      <w:pPr>
        <w:spacing w:after="200" w:line="276" w:lineRule="auto"/>
      </w:pPr>
      <w:r>
        <w:br w:type="page"/>
      </w:r>
    </w:p>
    <w:p w:rsidR="00F053BA" w:rsidRPr="00F053BA" w:rsidRDefault="00F053BA" w:rsidP="00F053BA">
      <w:pPr>
        <w:rPr>
          <w:rFonts w:cs="Arial"/>
          <w:szCs w:val="22"/>
          <w:lang w:val="ru-RU"/>
        </w:rPr>
      </w:pPr>
      <w:r w:rsidRPr="00F053BA">
        <w:rPr>
          <w:lang w:val="ru-RU"/>
        </w:rPr>
        <w:t>ОТЧЕТ О РИСКАХ В ДВУХЛЕТНИЙ ПЕРИОД</w:t>
      </w:r>
    </w:p>
    <w:p w:rsidR="00F053BA" w:rsidRPr="00F053BA" w:rsidRDefault="00F053BA" w:rsidP="00F053BA">
      <w:pPr>
        <w:keepNext/>
        <w:keepLines/>
        <w:rPr>
          <w:lang w:val="ru-RU"/>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227"/>
        <w:gridCol w:w="2340"/>
        <w:gridCol w:w="2250"/>
        <w:gridCol w:w="2610"/>
      </w:tblGrid>
      <w:tr w:rsidR="00F053BA" w:rsidRPr="003C527B" w:rsidTr="00F053BA">
        <w:trPr>
          <w:trHeight w:val="639"/>
          <w:tblHeader/>
        </w:trPr>
        <w:tc>
          <w:tcPr>
            <w:tcW w:w="2227" w:type="dxa"/>
            <w:tcBorders>
              <w:top w:val="single" w:sz="4" w:space="0" w:color="auto"/>
              <w:bottom w:val="single" w:sz="4" w:space="0" w:color="auto"/>
            </w:tcBorders>
            <w:shd w:val="clear" w:color="auto" w:fill="C6D9F1" w:themeFill="text2" w:themeFillTint="33"/>
            <w:vAlign w:val="center"/>
          </w:tcPr>
          <w:p w:rsidR="00F053BA" w:rsidRPr="00F053BA" w:rsidRDefault="00F053BA" w:rsidP="00F053BA">
            <w:pPr>
              <w:rPr>
                <w:b/>
                <w:bCs/>
                <w:iCs/>
                <w:szCs w:val="18"/>
                <w:lang w:val="ru-RU"/>
              </w:rPr>
            </w:pPr>
            <w:r w:rsidRPr="00F053BA">
              <w:rPr>
                <w:b/>
                <w:sz w:val="18"/>
                <w:lang w:val="ru-RU"/>
              </w:rPr>
              <w:t>Риск (риски) того, что результаты программы не будут достигнуты</w:t>
            </w:r>
          </w:p>
        </w:tc>
        <w:tc>
          <w:tcPr>
            <w:tcW w:w="2340" w:type="dxa"/>
            <w:tcBorders>
              <w:top w:val="single" w:sz="4" w:space="0" w:color="auto"/>
              <w:bottom w:val="single" w:sz="4" w:space="0" w:color="auto"/>
            </w:tcBorders>
            <w:shd w:val="clear" w:color="auto" w:fill="C6D9F1" w:themeFill="text2" w:themeFillTint="33"/>
            <w:vAlign w:val="center"/>
          </w:tcPr>
          <w:p w:rsidR="00F053BA" w:rsidRPr="00F053BA" w:rsidRDefault="00F053BA" w:rsidP="00F053BA">
            <w:pPr>
              <w:keepNext/>
              <w:keepLines/>
              <w:autoSpaceDE w:val="0"/>
              <w:autoSpaceDN w:val="0"/>
              <w:adjustRightInd w:val="0"/>
              <w:ind w:right="-59"/>
              <w:jc w:val="center"/>
              <w:rPr>
                <w:b/>
                <w:bCs/>
                <w:iCs/>
                <w:sz w:val="18"/>
                <w:szCs w:val="18"/>
                <w:lang w:val="ru-RU"/>
              </w:rPr>
            </w:pPr>
            <w:r w:rsidRPr="00F053BA">
              <w:rPr>
                <w:b/>
                <w:sz w:val="18"/>
                <w:lang w:val="ru-RU"/>
              </w:rPr>
              <w:t xml:space="preserve">Действующие или разрабатываемые планы по снижению рисков </w:t>
            </w:r>
          </w:p>
        </w:tc>
        <w:tc>
          <w:tcPr>
            <w:tcW w:w="2250" w:type="dxa"/>
            <w:tcBorders>
              <w:top w:val="single" w:sz="4" w:space="0" w:color="auto"/>
              <w:bottom w:val="single" w:sz="4" w:space="0" w:color="auto"/>
            </w:tcBorders>
            <w:shd w:val="clear" w:color="auto" w:fill="C6D9F1" w:themeFill="text2" w:themeFillTint="33"/>
          </w:tcPr>
          <w:p w:rsidR="00F053BA" w:rsidRPr="00F053BA" w:rsidRDefault="00F053BA" w:rsidP="00F053BA">
            <w:pPr>
              <w:keepNext/>
              <w:keepLines/>
              <w:jc w:val="center"/>
              <w:rPr>
                <w:b/>
                <w:bCs/>
                <w:sz w:val="18"/>
                <w:szCs w:val="18"/>
                <w:lang w:val="ru-RU"/>
              </w:rPr>
            </w:pPr>
            <w:r w:rsidRPr="00F053BA">
              <w:rPr>
                <w:b/>
                <w:sz w:val="18"/>
                <w:lang w:val="ru-RU"/>
              </w:rPr>
              <w:t>Развитие риска (рисков) и стратегий его (их) снижения в двухлетний период</w:t>
            </w:r>
          </w:p>
        </w:tc>
        <w:tc>
          <w:tcPr>
            <w:tcW w:w="2610" w:type="dxa"/>
            <w:tcBorders>
              <w:top w:val="single" w:sz="4" w:space="0" w:color="auto"/>
              <w:bottom w:val="single" w:sz="4" w:space="0" w:color="auto"/>
            </w:tcBorders>
            <w:shd w:val="clear" w:color="auto" w:fill="C6D9F1" w:themeFill="text2" w:themeFillTint="33"/>
          </w:tcPr>
          <w:p w:rsidR="00F053BA" w:rsidRPr="003C527B" w:rsidRDefault="00F053BA" w:rsidP="00F053BA">
            <w:pPr>
              <w:keepNext/>
              <w:keepLines/>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F053BA" w:rsidRPr="005C6ABD" w:rsidTr="00F053BA">
        <w:trPr>
          <w:trHeight w:val="1496"/>
        </w:trPr>
        <w:tc>
          <w:tcPr>
            <w:tcW w:w="2227" w:type="dxa"/>
            <w:tcBorders>
              <w:top w:val="single" w:sz="4" w:space="0" w:color="auto"/>
            </w:tcBorders>
            <w:shd w:val="clear" w:color="auto" w:fill="auto"/>
            <w:tcMar>
              <w:top w:w="113" w:type="dxa"/>
              <w:bottom w:w="113" w:type="dxa"/>
            </w:tcMar>
          </w:tcPr>
          <w:p w:rsidR="00F053BA" w:rsidRPr="00F053BA" w:rsidRDefault="00F053BA" w:rsidP="00F053BA">
            <w:pPr>
              <w:rPr>
                <w:sz w:val="16"/>
                <w:szCs w:val="16"/>
                <w:lang w:val="ru-RU"/>
              </w:rPr>
            </w:pPr>
            <w:r w:rsidRPr="00F053BA">
              <w:rPr>
                <w:sz w:val="16"/>
                <w:lang w:val="ru-RU"/>
              </w:rPr>
              <w:t>Использование Мадридской системы сократилось в 2009</w:t>
            </w:r>
            <w:r w:rsidRPr="007E2627">
              <w:rPr>
                <w:sz w:val="16"/>
              </w:rPr>
              <w:t> </w:t>
            </w:r>
            <w:r w:rsidRPr="00F053BA">
              <w:rPr>
                <w:sz w:val="16"/>
                <w:lang w:val="ru-RU"/>
              </w:rPr>
              <w:t>г., а затем вновь стало расширяться.  Тем не менее по-прежнему существует возможность второго «провала», в результате которого Мадридская система будет использоваться не в полной мере, и доходы ВОИС сократятся.  Недостаточному использованию Мадридской системы могут также способствовать и другие факторы, в частности, политическая или социальная нестабильность или отсутствие надлежащей правовой инфраструктуры.</w:t>
            </w:r>
          </w:p>
        </w:tc>
        <w:tc>
          <w:tcPr>
            <w:tcW w:w="2340" w:type="dxa"/>
            <w:tcBorders>
              <w:top w:val="single" w:sz="4" w:space="0" w:color="auto"/>
            </w:tcBorders>
            <w:shd w:val="clear" w:color="auto" w:fill="auto"/>
            <w:tcMar>
              <w:top w:w="113" w:type="dxa"/>
              <w:bottom w:w="113" w:type="dxa"/>
            </w:tcMar>
          </w:tcPr>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Снижение рисков может произойти за счет активной информационно-разъяснительной деятельности, призванной обеспечить по возможности максимально широкое использование Мадридской системы пользователями, что снизит риск недостаточного использования системы и позволит извлечь выгоды из системы благодаря возросшей эффективности и рентабельности. Однако в случае возникновения необходимости внесения изменений в политику или закон в области товарных знаков на национальном, региональном или даже международном уровне эта задача потребует значительного времени и не обязательно будет решена успешно.</w:t>
            </w:r>
          </w:p>
        </w:tc>
        <w:tc>
          <w:tcPr>
            <w:tcW w:w="2250" w:type="dxa"/>
            <w:tcBorders>
              <w:top w:val="single" w:sz="4" w:space="0" w:color="auto"/>
            </w:tcBorders>
          </w:tcPr>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 xml:space="preserve">В рассматриваемый двухлетний период стратегии снижения риска были расширены, и в них были включены меры по повышению качества услуг и результативности в интересах пользователей системы, в том числе посредством модернизации используемой ИТ-платформы.  На основе тесного сотрудничества с Отделом экономики и статистики был проведен анализ стратегий подачи заявок пользователями.  </w:t>
            </w:r>
          </w:p>
          <w:p w:rsidR="00F053BA" w:rsidRPr="00F053BA" w:rsidRDefault="00F053BA" w:rsidP="00F053BA">
            <w:pPr>
              <w:keepNext/>
              <w:keepLines/>
              <w:autoSpaceDE w:val="0"/>
              <w:autoSpaceDN w:val="0"/>
              <w:adjustRightInd w:val="0"/>
              <w:ind w:right="-59"/>
              <w:rPr>
                <w:sz w:val="16"/>
                <w:szCs w:val="16"/>
                <w:lang w:val="ru-RU"/>
              </w:rPr>
            </w:pPr>
          </w:p>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Были приложены существенные усилия для налаживания взаимодействия с Договаривающимися сторонами и выяснения их точки зрения по поводу того, как должен развиваться правовой механизм системы. Однако было отмечено, что вне зависимости от приложенных усилий существуют определенные пределы тех изменений, которые Договаривающиеся стороны готовы принять на данном этапе.</w:t>
            </w:r>
          </w:p>
        </w:tc>
        <w:tc>
          <w:tcPr>
            <w:tcW w:w="2610" w:type="dxa"/>
            <w:tcBorders>
              <w:top w:val="single" w:sz="4" w:space="0" w:color="auto"/>
            </w:tcBorders>
          </w:tcPr>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 xml:space="preserve">Хотя число Договаривающихся сторон было немного меньше, чем ожидалось, число охваченных стран было гораздо больше (в связи с присоединением региональной системы АОИС).  Темпы подачи заявок были ниже, чем ожидалось, но тем не менее находились на адекватном уровне, учитывая экономическую ситуацию и стоимость швейцарского франка. </w:t>
            </w:r>
          </w:p>
          <w:p w:rsidR="00F053BA" w:rsidRPr="00F053BA" w:rsidRDefault="00F053BA" w:rsidP="00F053BA">
            <w:pPr>
              <w:keepNext/>
              <w:keepLines/>
              <w:autoSpaceDE w:val="0"/>
              <w:autoSpaceDN w:val="0"/>
              <w:adjustRightInd w:val="0"/>
              <w:ind w:right="-59"/>
              <w:rPr>
                <w:sz w:val="16"/>
                <w:szCs w:val="16"/>
                <w:lang w:val="ru-RU"/>
              </w:rPr>
            </w:pPr>
          </w:p>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Была значительно повышена результативность деятельности в том, что касается сроков ожидания экспертизы и числа регистраций, превышающих целевые показатели двухлетнего периода.</w:t>
            </w:r>
            <w:r>
              <w:rPr>
                <w:sz w:val="16"/>
              </w:rPr>
              <w:t> </w:t>
            </w:r>
            <w:r w:rsidRPr="00F053BA">
              <w:rPr>
                <w:sz w:val="16"/>
                <w:lang w:val="ru-RU"/>
              </w:rPr>
              <w:t xml:space="preserve"> Общий уровень удовлетворенности клиентов, как представляется, менялся в правильном направлении. Но число несоответствий и исправлений было выше целевых показателей.</w:t>
            </w:r>
          </w:p>
          <w:p w:rsidR="00F053BA" w:rsidRPr="00F053BA" w:rsidRDefault="00F053BA" w:rsidP="00F053BA">
            <w:pPr>
              <w:keepNext/>
              <w:keepLines/>
              <w:autoSpaceDE w:val="0"/>
              <w:autoSpaceDN w:val="0"/>
              <w:adjustRightInd w:val="0"/>
              <w:ind w:right="-59"/>
              <w:rPr>
                <w:sz w:val="16"/>
                <w:szCs w:val="16"/>
                <w:lang w:val="ru-RU"/>
              </w:rPr>
            </w:pPr>
          </w:p>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 xml:space="preserve">Хотя большинство изменений нормативно-правового механизма, предложенных МБ, были приняты, некоторые из наиболее фундаментальных изменений вызвали сопротивление на политическом уровне. </w:t>
            </w:r>
          </w:p>
        </w:tc>
      </w:tr>
      <w:tr w:rsidR="00F053BA" w:rsidRPr="005C6ABD" w:rsidTr="00F053BA">
        <w:trPr>
          <w:trHeight w:val="1575"/>
        </w:trPr>
        <w:tc>
          <w:tcPr>
            <w:tcW w:w="2227" w:type="dxa"/>
            <w:shd w:val="clear" w:color="auto" w:fill="auto"/>
            <w:tcMar>
              <w:top w:w="113" w:type="dxa"/>
              <w:bottom w:w="113" w:type="dxa"/>
            </w:tcMar>
          </w:tcPr>
          <w:p w:rsidR="00F053BA" w:rsidRPr="00F053BA" w:rsidRDefault="00F053BA" w:rsidP="00F053BA">
            <w:pPr>
              <w:rPr>
                <w:sz w:val="16"/>
                <w:szCs w:val="16"/>
                <w:lang w:val="ru-RU"/>
              </w:rPr>
            </w:pPr>
            <w:r w:rsidRPr="00F053BA">
              <w:rPr>
                <w:sz w:val="16"/>
                <w:lang w:val="ru-RU"/>
              </w:rPr>
              <w:t>Трансформации Лиссабонской системы в систему с широким международным охватом участников может препятствовать ряд проблем.  В частности, заинтересованные стороны могут продолжать испытывать сомнения в преимуществах этой системы.</w:t>
            </w:r>
          </w:p>
        </w:tc>
        <w:tc>
          <w:tcPr>
            <w:tcW w:w="2340" w:type="dxa"/>
            <w:shd w:val="clear" w:color="auto" w:fill="auto"/>
            <w:tcMar>
              <w:top w:w="113" w:type="dxa"/>
              <w:bottom w:w="113" w:type="dxa"/>
            </w:tcMar>
          </w:tcPr>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В ходе пересмотра учитывается, как в разных юрисдикциях обеспечивается охрана наименований мест происхождения и географических указаний, с учетом принципов и целей Лиссабонской системы.</w:t>
            </w:r>
            <w:r w:rsidRPr="00F053BA">
              <w:rPr>
                <w:sz w:val="16"/>
                <w:szCs w:val="16"/>
                <w:lang w:val="ru-RU"/>
              </w:rPr>
              <w:br/>
            </w:r>
          </w:p>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Ту же цель преследует информационно-разъяснительная деятельность; при этом подчеркиваются преимущества Лиссабонской системы и доступные гибкие возможности, которые будут перечислены в пересмотренном Лиссабонском соглашении.</w:t>
            </w:r>
          </w:p>
        </w:tc>
        <w:tc>
          <w:tcPr>
            <w:tcW w:w="2250" w:type="dxa"/>
          </w:tcPr>
          <w:p w:rsidR="00F053BA" w:rsidRPr="00F053BA" w:rsidRDefault="00F053BA" w:rsidP="00F053BA">
            <w:pPr>
              <w:keepNext/>
              <w:keepLines/>
              <w:autoSpaceDE w:val="0"/>
              <w:autoSpaceDN w:val="0"/>
              <w:adjustRightInd w:val="0"/>
              <w:ind w:right="-59"/>
              <w:rPr>
                <w:sz w:val="16"/>
                <w:szCs w:val="16"/>
                <w:lang w:val="ru-RU"/>
              </w:rPr>
            </w:pPr>
            <w:r w:rsidRPr="00F053BA">
              <w:rPr>
                <w:sz w:val="16"/>
                <w:lang w:val="ru-RU"/>
              </w:rPr>
              <w:t>Этот риск реализовался в рассматриваемый двухлетний период, несмотря на применение стратегий снижения риска, в основе которых лежало стремление предоставить различным заинтересованным сторонам политически нейтральную международную площадку, стимулирующую представление и обсуждение их разнообразных интересов.</w:t>
            </w:r>
          </w:p>
        </w:tc>
        <w:tc>
          <w:tcPr>
            <w:tcW w:w="2610" w:type="dxa"/>
          </w:tcPr>
          <w:p w:rsidR="00F053BA" w:rsidRPr="00F053BA" w:rsidRDefault="00F053BA" w:rsidP="00F053BA">
            <w:pPr>
              <w:keepNext/>
              <w:keepLines/>
              <w:autoSpaceDE w:val="0"/>
              <w:autoSpaceDN w:val="0"/>
              <w:adjustRightInd w:val="0"/>
              <w:ind w:right="-59"/>
              <w:rPr>
                <w:color w:val="000000"/>
                <w:sz w:val="16"/>
                <w:szCs w:val="16"/>
                <w:lang w:val="ru-RU"/>
              </w:rPr>
            </w:pPr>
            <w:r w:rsidRPr="00F053BA">
              <w:rPr>
                <w:color w:val="000000"/>
                <w:sz w:val="16"/>
                <w:lang w:val="ru-RU"/>
              </w:rPr>
              <w:t>Воздействие на реализацию программы было ограниченным.  Этот риск, выявленный в ходе рассматриваемого двухлетнего периода, может сохранить свою актуальность и в следующий двухлетний период.</w:t>
            </w:r>
          </w:p>
          <w:p w:rsidR="00F053BA" w:rsidRPr="00F053BA" w:rsidRDefault="00F053BA" w:rsidP="00F053BA">
            <w:pPr>
              <w:keepNext/>
              <w:autoSpaceDE w:val="0"/>
              <w:autoSpaceDN w:val="0"/>
              <w:spacing w:line="276" w:lineRule="auto"/>
              <w:ind w:right="-59"/>
              <w:rPr>
                <w:sz w:val="16"/>
                <w:szCs w:val="16"/>
                <w:lang w:val="ru-RU"/>
              </w:rPr>
            </w:pPr>
          </w:p>
        </w:tc>
      </w:tr>
    </w:tbl>
    <w:p w:rsidR="00F053BA" w:rsidRPr="00F053BA" w:rsidRDefault="00F053BA" w:rsidP="00F053BA">
      <w:pPr>
        <w:spacing w:after="200" w:line="276" w:lineRule="auto"/>
        <w:rPr>
          <w:rFonts w:cs="Arial"/>
          <w:color w:val="000000"/>
          <w:sz w:val="22"/>
          <w:szCs w:val="22"/>
          <w:lang w:val="ru-RU"/>
        </w:rPr>
      </w:pPr>
    </w:p>
    <w:p w:rsidR="00F053BA" w:rsidRPr="00F053BA" w:rsidRDefault="00F053BA" w:rsidP="00F053BA">
      <w:pPr>
        <w:keepNext/>
        <w:keepLines/>
        <w:spacing w:line="276" w:lineRule="auto"/>
        <w:rPr>
          <w:b/>
          <w:sz w:val="16"/>
          <w:szCs w:val="18"/>
          <w:lang w:val="ru-RU"/>
        </w:rPr>
      </w:pPr>
      <w:r w:rsidRPr="00F053BA">
        <w:rPr>
          <w:color w:val="000000"/>
          <w:lang w:val="ru-RU"/>
        </w:rPr>
        <w:t>ИСПОЛЬЗОВАНИЕ РЕСУРСОВ</w:t>
      </w:r>
      <w:r w:rsidRPr="00F053BA">
        <w:rPr>
          <w:lang w:val="ru-RU"/>
        </w:rPr>
        <w:tab/>
      </w:r>
    </w:p>
    <w:p w:rsidR="00F053BA" w:rsidRPr="00F053BA" w:rsidRDefault="00F053BA" w:rsidP="00F053BA">
      <w:pPr>
        <w:keepNext/>
        <w:keepLines/>
        <w:rPr>
          <w:szCs w:val="20"/>
          <w:lang w:val="ru-RU"/>
        </w:rPr>
      </w:pPr>
    </w:p>
    <w:p w:rsidR="00F053BA" w:rsidRPr="00F053BA" w:rsidRDefault="00F053BA" w:rsidP="00F053BA">
      <w:pPr>
        <w:pStyle w:val="NormalWeb"/>
        <w:keepNext/>
        <w:keepLines/>
        <w:spacing w:before="0" w:beforeAutospacing="0" w:after="0" w:afterAutospacing="0"/>
        <w:jc w:val="center"/>
        <w:rPr>
          <w:sz w:val="20"/>
          <w:szCs w:val="20"/>
          <w:lang w:val="ru-RU"/>
        </w:rPr>
      </w:pPr>
      <w:r w:rsidRPr="00F053BA">
        <w:rPr>
          <w:color w:val="000000"/>
          <w:sz w:val="20"/>
          <w:lang w:val="ru-RU"/>
        </w:rPr>
        <w:t xml:space="preserve">Бюджет и фактические расходы (в разбивке по результатам) </w:t>
      </w:r>
    </w:p>
    <w:p w:rsidR="00F053BA" w:rsidRDefault="00F053BA" w:rsidP="00F053B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053BA" w:rsidRPr="00383D2D" w:rsidRDefault="00F053BA" w:rsidP="00F053BA">
      <w:pPr>
        <w:pStyle w:val="NormalWeb"/>
        <w:keepNext/>
        <w:keepLines/>
        <w:spacing w:before="0" w:beforeAutospacing="0" w:after="0" w:afterAutospacing="0"/>
        <w:jc w:val="center"/>
        <w:rPr>
          <w:sz w:val="20"/>
          <w:szCs w:val="20"/>
        </w:rPr>
      </w:pPr>
    </w:p>
    <w:p w:rsidR="00F053BA" w:rsidRDefault="00F053BA" w:rsidP="00F053BA">
      <w:pPr>
        <w:keepNext/>
        <w:keepLines/>
        <w:jc w:val="center"/>
      </w:pPr>
      <w:r>
        <w:rPr>
          <w:noProof/>
        </w:rPr>
        <w:drawing>
          <wp:inline distT="0" distB="0" distL="0" distR="0" wp14:anchorId="5B99BA59" wp14:editId="338ED6B4">
            <wp:extent cx="6151880" cy="1640710"/>
            <wp:effectExtent l="0" t="0" r="127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51880" cy="1640710"/>
                    </a:xfrm>
                    <a:prstGeom prst="rect">
                      <a:avLst/>
                    </a:prstGeom>
                    <a:noFill/>
                    <a:ln>
                      <a:noFill/>
                    </a:ln>
                  </pic:spPr>
                </pic:pic>
              </a:graphicData>
            </a:graphic>
          </wp:inline>
        </w:drawing>
      </w:r>
    </w:p>
    <w:p w:rsidR="00F053BA" w:rsidRDefault="00F053BA" w:rsidP="00F053BA">
      <w:pPr>
        <w:keepNext/>
        <w:keepLines/>
        <w:jc w:val="center"/>
      </w:pPr>
    </w:p>
    <w:p w:rsidR="00F053BA" w:rsidRDefault="00F053BA" w:rsidP="00F053BA">
      <w:pPr>
        <w:pStyle w:val="NormalWeb"/>
        <w:keepNext/>
        <w:keepLines/>
        <w:spacing w:before="0" w:beforeAutospacing="0" w:after="0" w:afterAutospacing="0"/>
        <w:jc w:val="center"/>
        <w:rPr>
          <w:color w:val="000000"/>
          <w:sz w:val="20"/>
          <w:szCs w:val="20"/>
        </w:rPr>
      </w:pPr>
    </w:p>
    <w:p w:rsidR="00F053BA" w:rsidRPr="00F053BA" w:rsidRDefault="00F053BA" w:rsidP="00F053BA">
      <w:pPr>
        <w:pStyle w:val="NormalWeb"/>
        <w:keepNext/>
        <w:keepLines/>
        <w:spacing w:before="0" w:beforeAutospacing="0" w:after="0" w:afterAutospacing="0"/>
        <w:jc w:val="center"/>
        <w:rPr>
          <w:sz w:val="20"/>
          <w:szCs w:val="20"/>
          <w:lang w:val="ru-RU"/>
        </w:rPr>
      </w:pPr>
      <w:r w:rsidRPr="00F053BA">
        <w:rPr>
          <w:color w:val="000000"/>
          <w:sz w:val="20"/>
          <w:lang w:val="ru-RU"/>
        </w:rPr>
        <w:t xml:space="preserve">Бюджет и фактические расходы (по персоналу и не связанные с персоналом) </w:t>
      </w:r>
    </w:p>
    <w:p w:rsidR="00F053BA" w:rsidRPr="00383D2D" w:rsidRDefault="00F053BA" w:rsidP="00F053B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053BA" w:rsidRDefault="00F053BA" w:rsidP="00F053BA">
      <w:pPr>
        <w:pStyle w:val="NormalWeb"/>
        <w:keepNext/>
        <w:keepLines/>
        <w:spacing w:before="0" w:beforeAutospacing="0" w:after="0" w:afterAutospacing="0"/>
        <w:jc w:val="center"/>
      </w:pPr>
    </w:p>
    <w:p w:rsidR="00F053BA" w:rsidRPr="008F4A6D" w:rsidRDefault="00F053BA" w:rsidP="00F053BA">
      <w:pPr>
        <w:widowControl w:val="0"/>
        <w:autoSpaceDE w:val="0"/>
        <w:autoSpaceDN w:val="0"/>
        <w:adjustRightInd w:val="0"/>
        <w:jc w:val="center"/>
        <w:rPr>
          <w:rFonts w:cs="Arial"/>
          <w:szCs w:val="20"/>
        </w:rPr>
      </w:pPr>
      <w:r>
        <w:rPr>
          <w:rFonts w:cs="Arial"/>
          <w:noProof/>
          <w:szCs w:val="20"/>
        </w:rPr>
        <w:drawing>
          <wp:inline distT="0" distB="0" distL="0" distR="0" wp14:anchorId="09CF8039" wp14:editId="7876D376">
            <wp:extent cx="6151880" cy="1312101"/>
            <wp:effectExtent l="0" t="0" r="1270" b="254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151880" cy="1312101"/>
                    </a:xfrm>
                    <a:prstGeom prst="rect">
                      <a:avLst/>
                    </a:prstGeom>
                    <a:noFill/>
                    <a:ln>
                      <a:noFill/>
                    </a:ln>
                  </pic:spPr>
                </pic:pic>
              </a:graphicData>
            </a:graphic>
          </wp:inline>
        </w:drawing>
      </w:r>
    </w:p>
    <w:p w:rsidR="00F053BA" w:rsidRDefault="00F053BA" w:rsidP="00F053BA">
      <w:pPr>
        <w:widowControl w:val="0"/>
        <w:autoSpaceDE w:val="0"/>
        <w:autoSpaceDN w:val="0"/>
        <w:adjustRightInd w:val="0"/>
        <w:rPr>
          <w:rFonts w:cs="Arial"/>
          <w:szCs w:val="20"/>
        </w:rPr>
      </w:pPr>
    </w:p>
    <w:p w:rsidR="00F053BA" w:rsidRDefault="00F053BA" w:rsidP="00F053BA">
      <w:pPr>
        <w:widowControl w:val="0"/>
        <w:autoSpaceDE w:val="0"/>
        <w:autoSpaceDN w:val="0"/>
        <w:adjustRightInd w:val="0"/>
        <w:rPr>
          <w:rFonts w:cs="Arial"/>
          <w:szCs w:val="20"/>
        </w:rPr>
      </w:pPr>
    </w:p>
    <w:p w:rsidR="00F053BA" w:rsidRPr="00F053BA" w:rsidRDefault="00F053BA" w:rsidP="00F053BA">
      <w:pPr>
        <w:rPr>
          <w:rFonts w:cs="Arial"/>
          <w:u w:val="single"/>
          <w:lang w:val="ru-RU"/>
        </w:rPr>
      </w:pPr>
      <w:r>
        <w:t>A</w:t>
      </w:r>
      <w:r w:rsidRPr="00F053BA">
        <w:rPr>
          <w:lang w:val="ru-RU"/>
        </w:rPr>
        <w:t>.</w:t>
      </w:r>
      <w:r w:rsidRPr="00F053BA">
        <w:rPr>
          <w:lang w:val="ru-RU"/>
        </w:rPr>
        <w:tab/>
      </w:r>
      <w:r w:rsidR="00495A3D">
        <w:rPr>
          <w:u w:val="single"/>
          <w:lang w:val="ru-RU"/>
        </w:rPr>
        <w:t>Итоговый</w:t>
      </w:r>
      <w:r w:rsidRPr="00F053BA">
        <w:rPr>
          <w:u w:val="single"/>
          <w:lang w:val="ru-RU"/>
        </w:rPr>
        <w:t xml:space="preserve"> бюджет на 2014–2015 гг. после перераспределения средств </w:t>
      </w:r>
    </w:p>
    <w:p w:rsidR="00F053BA" w:rsidRPr="00F053BA" w:rsidRDefault="00F053BA" w:rsidP="00F053BA">
      <w:pPr>
        <w:rPr>
          <w:rFonts w:cs="Arial"/>
          <w:u w:val="single"/>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 xml:space="preserve">Итоговый бюджет после перераспределения средств по результату </w:t>
      </w:r>
      <w:r>
        <w:t>II</w:t>
      </w:r>
      <w:r w:rsidRPr="00F053BA">
        <w:rPr>
          <w:lang w:val="ru-RU"/>
        </w:rPr>
        <w:t>.6 (более широкое и эффективное использование возможностей Мадридской и Лиссабонской систем) отражает повышательную корректировку, вызванную в основном следующим: (</w:t>
      </w:r>
      <w:r>
        <w:t>i</w:t>
      </w:r>
      <w:r w:rsidRPr="00F053BA">
        <w:rPr>
          <w:lang w:val="ru-RU"/>
        </w:rPr>
        <w:t>)</w:t>
      </w:r>
      <w:r>
        <w:t> </w:t>
      </w:r>
      <w:r w:rsidRPr="00F053BA">
        <w:rPr>
          <w:lang w:val="ru-RU"/>
        </w:rPr>
        <w:t>передачей дополнительных средств для поддержки инициативы по реформированию Мадридской системы, включая расширение стипендиальной программы Мадридской системы; (</w:t>
      </w:r>
      <w:r>
        <w:t>ii</w:t>
      </w:r>
      <w:r w:rsidRPr="00F053BA">
        <w:rPr>
          <w:lang w:val="ru-RU"/>
        </w:rPr>
        <w:t>)</w:t>
      </w:r>
      <w:r>
        <w:t> </w:t>
      </w:r>
      <w:r w:rsidRPr="00F053BA">
        <w:rPr>
          <w:lang w:val="ru-RU"/>
        </w:rPr>
        <w:t>передачей средств в целях проведения дипломатической конференции для принятия пересмотренного текста Лиссабонского соглашения об охране наименований мест происхождения и географических указаний; (</w:t>
      </w:r>
      <w:r>
        <w:t>iii</w:t>
      </w:r>
      <w:r w:rsidRPr="00F053BA">
        <w:rPr>
          <w:lang w:val="ru-RU"/>
        </w:rPr>
        <w:t>)</w:t>
      </w:r>
      <w:r>
        <w:t> </w:t>
      </w:r>
      <w:r w:rsidRPr="00F053BA">
        <w:rPr>
          <w:lang w:val="ru-RU"/>
        </w:rPr>
        <w:t>передачей средств из программы 31 в программу 6 для проведения работы, связанной с ИТ, а также для покрытия расходов на приезд дополнительных делегатов на заседания Ассамблей Мадридского, Гаагского и Лиссабонского союзов в связи с расширением этих систем.</w:t>
      </w:r>
    </w:p>
    <w:p w:rsidR="00F053BA" w:rsidRPr="00F053BA" w:rsidRDefault="00F053BA" w:rsidP="00F053BA">
      <w:pPr>
        <w:autoSpaceDE w:val="0"/>
        <w:autoSpaceDN w:val="0"/>
        <w:jc w:val="both"/>
        <w:rPr>
          <w:rFonts w:cs="Arial"/>
          <w:szCs w:val="20"/>
          <w:lang w:val="ru-RU"/>
        </w:rPr>
      </w:pPr>
    </w:p>
    <w:p w:rsidR="00F053BA" w:rsidRPr="00F053BA" w:rsidRDefault="00F053BA" w:rsidP="00BF61DC">
      <w:pPr>
        <w:pStyle w:val="ListParagraph"/>
        <w:numPr>
          <w:ilvl w:val="0"/>
          <w:numId w:val="91"/>
        </w:numPr>
        <w:tabs>
          <w:tab w:val="left" w:pos="709"/>
        </w:tabs>
        <w:ind w:left="0" w:firstLine="0"/>
        <w:jc w:val="both"/>
        <w:rPr>
          <w:rFonts w:cs="Arial"/>
          <w:lang w:val="ru-RU"/>
        </w:rPr>
      </w:pPr>
      <w:r w:rsidRPr="00F053BA">
        <w:rPr>
          <w:lang w:val="ru-RU"/>
        </w:rPr>
        <w:t>Чистое снижение объема ресурсов, связанных с персоналом, в итоговом бюджете на 2014–2015</w:t>
      </w:r>
      <w:r>
        <w:t> </w:t>
      </w:r>
      <w:r w:rsidRPr="00F053BA">
        <w:rPr>
          <w:lang w:val="ru-RU"/>
        </w:rPr>
        <w:t xml:space="preserve">гг. после перераспределения средств является результатом перехода от использования ресурсов, связанных с персоналом, к использованию ресурсов, не связанных с персоналом, как способа применения более гибких и мобильных методов финансирования операций Мадридской системы в рамках инициативы по ее реформированию.  </w:t>
      </w:r>
    </w:p>
    <w:p w:rsidR="00F053BA" w:rsidRPr="00F053BA" w:rsidRDefault="00F053BA" w:rsidP="00F053BA">
      <w:pPr>
        <w:rPr>
          <w:rFonts w:cs="Arial"/>
          <w:u w:val="single"/>
          <w:lang w:val="ru-RU"/>
        </w:rPr>
      </w:pPr>
    </w:p>
    <w:p w:rsidR="00F053BA" w:rsidRPr="00F053BA" w:rsidRDefault="00F053BA" w:rsidP="00F053BA">
      <w:pPr>
        <w:jc w:val="both"/>
        <w:rPr>
          <w:rFonts w:cs="Arial"/>
          <w:szCs w:val="20"/>
          <w:u w:val="single"/>
          <w:lang w:val="ru-RU"/>
        </w:rPr>
      </w:pPr>
      <w:r>
        <w:t>B</w:t>
      </w:r>
      <w:r w:rsidRPr="00F053BA">
        <w:rPr>
          <w:lang w:val="ru-RU"/>
        </w:rPr>
        <w:t>.</w:t>
      </w:r>
      <w:r w:rsidRPr="00F053BA">
        <w:rPr>
          <w:lang w:val="ru-RU"/>
        </w:rPr>
        <w:tab/>
      </w:r>
      <w:r w:rsidRPr="00F053BA">
        <w:rPr>
          <w:u w:val="single"/>
          <w:lang w:val="ru-RU"/>
        </w:rPr>
        <w:t xml:space="preserve">Освоение бюджетных средств в 2014–2015 гг. </w:t>
      </w:r>
    </w:p>
    <w:p w:rsidR="00F053BA" w:rsidRPr="00F053BA" w:rsidRDefault="00F053BA" w:rsidP="00F053BA">
      <w:pPr>
        <w:tabs>
          <w:tab w:val="left" w:pos="709"/>
        </w:tabs>
        <w:jc w:val="both"/>
        <w:rPr>
          <w:rFonts w:cs="Arial"/>
          <w:szCs w:val="20"/>
          <w:u w:val="single"/>
          <w:lang w:val="ru-RU"/>
        </w:rPr>
      </w:pPr>
    </w:p>
    <w:p w:rsidR="009F72A7" w:rsidRPr="00F053BA" w:rsidRDefault="00F053BA" w:rsidP="00BF61DC">
      <w:pPr>
        <w:pStyle w:val="ListParagraph"/>
        <w:numPr>
          <w:ilvl w:val="0"/>
          <w:numId w:val="91"/>
        </w:numPr>
        <w:tabs>
          <w:tab w:val="left" w:pos="709"/>
        </w:tabs>
        <w:ind w:left="0" w:firstLine="0"/>
        <w:jc w:val="both"/>
        <w:rPr>
          <w:lang w:val="ru-RU"/>
        </w:rPr>
      </w:pPr>
      <w:r w:rsidRPr="00F053BA">
        <w:rPr>
          <w:lang w:val="ru-RU"/>
        </w:rPr>
        <w:t>Уровень освоения бюджетных средств находится в пределах, предусмотренных для рассматриваемого двухлетнего периода.</w:t>
      </w:r>
      <w:r w:rsidR="00F15382" w:rsidRPr="00F053BA">
        <w:rPr>
          <w:rFonts w:cs="Arial"/>
          <w:lang w:val="ru-RU" w:eastAsia="ko-KR"/>
        </w:rPr>
        <w:t xml:space="preserve">  </w:t>
      </w:r>
    </w:p>
    <w:p w:rsidR="009F72A7" w:rsidRPr="00F053BA" w:rsidRDefault="009F72A7">
      <w:pPr>
        <w:rPr>
          <w:lang w:val="ru-RU"/>
        </w:rPr>
      </w:pPr>
      <w:r w:rsidRPr="00F053BA">
        <w:rPr>
          <w:lang w:val="ru-RU"/>
        </w:rPr>
        <w:br w:type="page"/>
      </w:r>
    </w:p>
    <w:p w:rsidR="00495A3D" w:rsidRPr="00495A3D" w:rsidRDefault="00932DA9" w:rsidP="00495A3D">
      <w:pPr>
        <w:pStyle w:val="StyleHeading3BoldNounderline"/>
        <w:rPr>
          <w:b/>
          <w:lang w:val="ru-RU"/>
        </w:rPr>
      </w:pPr>
      <w:bookmarkStart w:id="68" w:name="_Toc452473223"/>
      <w:bookmarkStart w:id="69" w:name="_Toc455388109"/>
      <w:r>
        <w:rPr>
          <w:b/>
          <w:lang w:val="ru-RU"/>
        </w:rPr>
        <w:t>Приложение к программе 6:</w:t>
      </w:r>
      <w:r w:rsidR="00495A3D" w:rsidRPr="00495A3D">
        <w:rPr>
          <w:b/>
          <w:lang w:val="ru-RU"/>
        </w:rPr>
        <w:t xml:space="preserve">   Показатели функционирования Мадридской системы</w:t>
      </w:r>
      <w:bookmarkEnd w:id="68"/>
      <w:bookmarkEnd w:id="69"/>
    </w:p>
    <w:p w:rsidR="00495A3D" w:rsidRPr="00495A3D" w:rsidRDefault="00495A3D" w:rsidP="00495A3D">
      <w:pPr>
        <w:rPr>
          <w:rFonts w:cs="Arial"/>
          <w:b/>
          <w:lang w:val="ru-RU"/>
        </w:rPr>
      </w:pPr>
    </w:p>
    <w:p w:rsidR="00495A3D" w:rsidRPr="00495A3D" w:rsidRDefault="00495A3D" w:rsidP="00495A3D">
      <w:pPr>
        <w:rPr>
          <w:rFonts w:cs="Arial"/>
          <w:lang w:val="ru-RU"/>
        </w:rPr>
      </w:pPr>
      <w:r w:rsidRPr="00495A3D">
        <w:rPr>
          <w:lang w:val="ru-RU"/>
        </w:rPr>
        <w:t>ПОКАЗАТЕЛИ РЕЗУЛЬТАТИВНОСТИ ПО ОЖИДАЕМОМУ РЕЗУЛЬТАТУ</w:t>
      </w:r>
    </w:p>
    <w:p w:rsidR="00495A3D" w:rsidRPr="00495A3D" w:rsidRDefault="00495A3D" w:rsidP="00495A3D">
      <w:pPr>
        <w:tabs>
          <w:tab w:val="left" w:pos="1525"/>
          <w:tab w:val="right" w:pos="2835"/>
        </w:tabs>
        <w:spacing w:after="60"/>
        <w:rPr>
          <w:rFonts w:cs="Arial"/>
          <w:lang w:val="ru-RU"/>
        </w:rPr>
      </w:pPr>
      <w:r w:rsidRPr="00495A3D">
        <w:rPr>
          <w:lang w:val="ru-RU"/>
        </w:rPr>
        <w:t>«ПОВЫШЕНИЕ ПРОДУКТИВНОСТИ И КАЧЕСТВА УСЛУГ МАДРИДСКОЙ СИСТЕМЫ»</w:t>
      </w:r>
    </w:p>
    <w:p w:rsidR="00495A3D" w:rsidRPr="00495A3D" w:rsidRDefault="00495A3D" w:rsidP="00495A3D">
      <w:pPr>
        <w:rPr>
          <w:rFonts w:cs="Arial"/>
          <w:b/>
          <w:lang w:val="ru-RU"/>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При оценке показателей результативности по ожидаемому результату «Повышение продуктивности и качества услуг Мадридской системы» следует учитывать следующие факторы:</w:t>
      </w:r>
    </w:p>
    <w:p w:rsidR="00495A3D" w:rsidRPr="00495A3D" w:rsidRDefault="00495A3D" w:rsidP="00495A3D">
      <w:pPr>
        <w:jc w:val="both"/>
        <w:rPr>
          <w:rFonts w:cs="Arial"/>
          <w:szCs w:val="20"/>
          <w:lang w:val="ru-RU"/>
        </w:rPr>
      </w:pPr>
    </w:p>
    <w:p w:rsidR="00495A3D" w:rsidRPr="00990B8A" w:rsidRDefault="00495A3D" w:rsidP="00495A3D">
      <w:pPr>
        <w:numPr>
          <w:ilvl w:val="0"/>
          <w:numId w:val="39"/>
        </w:numPr>
        <w:tabs>
          <w:tab w:val="clear" w:pos="720"/>
          <w:tab w:val="num" w:pos="1701"/>
        </w:tabs>
        <w:spacing w:after="120"/>
        <w:ind w:left="1701" w:hanging="567"/>
        <w:jc w:val="both"/>
        <w:rPr>
          <w:rFonts w:cs="Arial"/>
          <w:szCs w:val="20"/>
        </w:rPr>
      </w:pPr>
      <w:r>
        <w:t>рабочую нагрузку Мадридской системы;</w:t>
      </w:r>
    </w:p>
    <w:p w:rsidR="00495A3D" w:rsidRPr="00990B8A" w:rsidRDefault="00495A3D" w:rsidP="00495A3D">
      <w:pPr>
        <w:numPr>
          <w:ilvl w:val="0"/>
          <w:numId w:val="39"/>
        </w:numPr>
        <w:tabs>
          <w:tab w:val="clear" w:pos="720"/>
          <w:tab w:val="num" w:pos="1701"/>
        </w:tabs>
        <w:spacing w:after="120"/>
        <w:ind w:left="1701" w:hanging="567"/>
        <w:jc w:val="both"/>
        <w:rPr>
          <w:rFonts w:cs="Arial"/>
          <w:szCs w:val="20"/>
        </w:rPr>
      </w:pPr>
      <w:r>
        <w:t>компоненты рабочей нагрузки;</w:t>
      </w:r>
    </w:p>
    <w:p w:rsidR="00495A3D" w:rsidRPr="00495A3D" w:rsidRDefault="00495A3D" w:rsidP="00495A3D">
      <w:pPr>
        <w:numPr>
          <w:ilvl w:val="0"/>
          <w:numId w:val="39"/>
        </w:numPr>
        <w:tabs>
          <w:tab w:val="clear" w:pos="720"/>
          <w:tab w:val="num" w:pos="1701"/>
        </w:tabs>
        <w:spacing w:after="120"/>
        <w:ind w:left="1701" w:hanging="567"/>
        <w:jc w:val="both"/>
        <w:rPr>
          <w:rFonts w:cs="Arial"/>
          <w:szCs w:val="20"/>
          <w:lang w:val="ru-RU"/>
        </w:rPr>
      </w:pPr>
      <w:r w:rsidRPr="00495A3D">
        <w:rPr>
          <w:lang w:val="ru-RU"/>
        </w:rPr>
        <w:t>численность сотрудников, выполняющую эту рабочую нагрузку;</w:t>
      </w:r>
    </w:p>
    <w:p w:rsidR="00495A3D" w:rsidRPr="00990B8A" w:rsidRDefault="00495A3D" w:rsidP="00495A3D">
      <w:pPr>
        <w:numPr>
          <w:ilvl w:val="0"/>
          <w:numId w:val="39"/>
        </w:numPr>
        <w:tabs>
          <w:tab w:val="clear" w:pos="720"/>
          <w:tab w:val="num" w:pos="1701"/>
        </w:tabs>
        <w:spacing w:after="120"/>
        <w:ind w:left="1701" w:hanging="567"/>
        <w:jc w:val="both"/>
        <w:rPr>
          <w:rFonts w:cs="Arial"/>
          <w:szCs w:val="20"/>
        </w:rPr>
      </w:pPr>
      <w:r>
        <w:t>уровень автоматизации; и</w:t>
      </w:r>
    </w:p>
    <w:p w:rsidR="00495A3D" w:rsidRPr="00990B8A" w:rsidRDefault="00495A3D" w:rsidP="00495A3D">
      <w:pPr>
        <w:numPr>
          <w:ilvl w:val="0"/>
          <w:numId w:val="39"/>
        </w:numPr>
        <w:tabs>
          <w:tab w:val="clear" w:pos="720"/>
          <w:tab w:val="num" w:pos="1701"/>
        </w:tabs>
        <w:ind w:left="1701" w:hanging="567"/>
        <w:jc w:val="both"/>
        <w:rPr>
          <w:rFonts w:cs="Arial"/>
          <w:szCs w:val="20"/>
        </w:rPr>
      </w:pPr>
      <w:r>
        <w:t>общие производственные издержки.</w:t>
      </w:r>
    </w:p>
    <w:p w:rsidR="00495A3D" w:rsidRPr="00990B8A" w:rsidRDefault="00495A3D" w:rsidP="00495A3D">
      <w:pPr>
        <w:ind w:left="360"/>
        <w:jc w:val="both"/>
        <w:rPr>
          <w:rFonts w:cs="Arial"/>
          <w:szCs w:val="20"/>
        </w:rPr>
      </w:pPr>
    </w:p>
    <w:p w:rsidR="00495A3D" w:rsidRPr="00990B8A" w:rsidRDefault="00495A3D" w:rsidP="00BF61DC">
      <w:pPr>
        <w:pStyle w:val="ListParagraph"/>
        <w:numPr>
          <w:ilvl w:val="0"/>
          <w:numId w:val="96"/>
        </w:numPr>
        <w:ind w:left="360" w:hanging="360"/>
        <w:contextualSpacing/>
        <w:jc w:val="both"/>
        <w:rPr>
          <w:rFonts w:cs="Arial"/>
          <w:b/>
        </w:rPr>
      </w:pPr>
      <w:r>
        <w:rPr>
          <w:b/>
        </w:rPr>
        <w:t>Входящая документация</w:t>
      </w:r>
    </w:p>
    <w:p w:rsidR="00495A3D" w:rsidRPr="00990B8A" w:rsidRDefault="00495A3D" w:rsidP="00495A3D">
      <w:pPr>
        <w:pStyle w:val="ListParagraph"/>
        <w:ind w:left="1080"/>
        <w:jc w:val="both"/>
        <w:rPr>
          <w:rFonts w:cs="Arial"/>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В Международное бюро (МБ) поступает шесть различных категорий документов: международные заявки, продления, последующие указания, изменения, решения и исправления. Далее описаны последние тенденции в изменении числа документом, получаемых МБ по каждой из этих категорий. По международным заявкам также предоставлена дополнительная информация, такая как среднее число классов и средний размер заявки. По техническим соображениям некоторые показатели отражают данные, основанные на обработанных, а не входящих документах. Таким образом, задержки в обработке заявок могут влиять на некоторые показатели.  Это в значительной степени относится к 2015</w:t>
      </w:r>
      <w:r>
        <w:t> </w:t>
      </w:r>
      <w:r w:rsidRPr="00495A3D">
        <w:rPr>
          <w:lang w:val="ru-RU"/>
        </w:rPr>
        <w:t>г., так как именно в этот год МБ обработало значительную долю накопившихся необработанных заявок.</w:t>
      </w:r>
    </w:p>
    <w:p w:rsidR="00495A3D" w:rsidRPr="00495A3D" w:rsidRDefault="00495A3D" w:rsidP="00495A3D">
      <w:pPr>
        <w:pStyle w:val="ListParagraph"/>
        <w:ind w:left="0"/>
        <w:jc w:val="both"/>
        <w:rPr>
          <w:rFonts w:cs="Arial"/>
          <w:lang w:val="ru-RU"/>
        </w:rPr>
      </w:pPr>
    </w:p>
    <w:p w:rsidR="00495A3D" w:rsidRPr="009049DD" w:rsidRDefault="00495A3D" w:rsidP="00495A3D">
      <w:pPr>
        <w:pStyle w:val="ListParagraph"/>
        <w:ind w:left="0"/>
        <w:jc w:val="both"/>
        <w:rPr>
          <w:rFonts w:cs="Arial"/>
          <w:u w:val="single"/>
        </w:rPr>
      </w:pPr>
      <w:r>
        <w:rPr>
          <w:u w:val="single"/>
        </w:rPr>
        <w:t xml:space="preserve">Международные заявки </w:t>
      </w:r>
    </w:p>
    <w:p w:rsidR="00495A3D" w:rsidRPr="00990B8A" w:rsidRDefault="00495A3D" w:rsidP="00495A3D">
      <w:pPr>
        <w:jc w:val="center"/>
        <w:rPr>
          <w:rFonts w:cs="Arial"/>
        </w:rPr>
      </w:pPr>
      <w:r>
        <w:rPr>
          <w:rFonts w:cs="Arial"/>
          <w:noProof/>
        </w:rPr>
        <w:drawing>
          <wp:inline distT="0" distB="0" distL="0" distR="0" wp14:anchorId="019B3E06" wp14:editId="3BA70BBA">
            <wp:extent cx="5940425" cy="2812636"/>
            <wp:effectExtent l="0" t="0" r="3175" b="6985"/>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425" cy="2812636"/>
                    </a:xfrm>
                    <a:prstGeom prst="rect">
                      <a:avLst/>
                    </a:prstGeom>
                    <a:noFill/>
                    <a:ln>
                      <a:noFill/>
                    </a:ln>
                  </pic:spPr>
                </pic:pic>
              </a:graphicData>
            </a:graphic>
          </wp:inline>
        </w:drawing>
      </w:r>
    </w:p>
    <w:p w:rsidR="00495A3D" w:rsidRPr="00990B8A" w:rsidRDefault="00495A3D" w:rsidP="00495A3D">
      <w:pPr>
        <w:pStyle w:val="ListParagraph"/>
        <w:tabs>
          <w:tab w:val="left" w:pos="993"/>
        </w:tabs>
        <w:ind w:left="567"/>
        <w:jc w:val="both"/>
        <w:rPr>
          <w:rFonts w:cs="Arial"/>
        </w:rPr>
      </w:pPr>
    </w:p>
    <w:p w:rsidR="00495A3D" w:rsidRPr="00495A3D" w:rsidRDefault="00495A3D" w:rsidP="00495A3D">
      <w:pPr>
        <w:numPr>
          <w:ilvl w:val="0"/>
          <w:numId w:val="39"/>
        </w:numPr>
        <w:tabs>
          <w:tab w:val="clear" w:pos="720"/>
          <w:tab w:val="num" w:pos="1560"/>
        </w:tabs>
        <w:spacing w:after="120"/>
        <w:ind w:left="993" w:hanging="426"/>
        <w:jc w:val="both"/>
        <w:rPr>
          <w:rFonts w:cs="Arial"/>
          <w:szCs w:val="20"/>
          <w:lang w:val="ru-RU"/>
        </w:rPr>
      </w:pPr>
      <w:r w:rsidRPr="00495A3D">
        <w:rPr>
          <w:lang w:val="ru-RU"/>
        </w:rPr>
        <w:t>В 2015</w:t>
      </w:r>
      <w:r>
        <w:t> </w:t>
      </w:r>
      <w:r w:rsidRPr="00495A3D">
        <w:rPr>
          <w:lang w:val="ru-RU"/>
        </w:rPr>
        <w:t>г. в МБ поступило 49</w:t>
      </w:r>
      <w:r>
        <w:t> </w:t>
      </w:r>
      <w:r w:rsidRPr="00495A3D">
        <w:rPr>
          <w:lang w:val="ru-RU"/>
        </w:rPr>
        <w:t>273 заявки, что на 2,9 процента больше, чем в 2014</w:t>
      </w:r>
      <w:r>
        <w:t> </w:t>
      </w:r>
      <w:r w:rsidRPr="00495A3D">
        <w:rPr>
          <w:lang w:val="ru-RU"/>
        </w:rPr>
        <w:t>г.  Общее число заявок, полученных в двухлетний период 2014–2015</w:t>
      </w:r>
      <w:r>
        <w:t> </w:t>
      </w:r>
      <w:r w:rsidRPr="00495A3D">
        <w:rPr>
          <w:lang w:val="ru-RU"/>
        </w:rPr>
        <w:t>гг., увеличилось на семь процентов по сравнению с двухлетним периодом 2012–2013</w:t>
      </w:r>
      <w:r>
        <w:t> </w:t>
      </w:r>
      <w:r w:rsidRPr="00495A3D">
        <w:rPr>
          <w:lang w:val="ru-RU"/>
        </w:rPr>
        <w:t>гг.</w:t>
      </w:r>
    </w:p>
    <w:p w:rsidR="00495A3D" w:rsidRPr="00495A3D" w:rsidRDefault="00495A3D" w:rsidP="00495A3D">
      <w:pPr>
        <w:numPr>
          <w:ilvl w:val="0"/>
          <w:numId w:val="39"/>
        </w:numPr>
        <w:tabs>
          <w:tab w:val="clear" w:pos="720"/>
          <w:tab w:val="num" w:pos="1560"/>
        </w:tabs>
        <w:spacing w:after="120"/>
        <w:ind w:left="993" w:hanging="426"/>
        <w:jc w:val="both"/>
        <w:rPr>
          <w:rFonts w:cs="Arial"/>
          <w:szCs w:val="20"/>
          <w:lang w:val="ru-RU"/>
        </w:rPr>
      </w:pPr>
      <w:r w:rsidRPr="00495A3D">
        <w:rPr>
          <w:lang w:val="ru-RU"/>
        </w:rPr>
        <w:t>Число заявок неизменно растет с 2010</w:t>
      </w:r>
      <w:r>
        <w:t> </w:t>
      </w:r>
      <w:r w:rsidRPr="00495A3D">
        <w:rPr>
          <w:lang w:val="ru-RU"/>
        </w:rPr>
        <w:t>г.</w:t>
      </w:r>
    </w:p>
    <w:p w:rsidR="00495A3D" w:rsidRPr="00495A3D" w:rsidRDefault="00495A3D" w:rsidP="00495A3D">
      <w:pPr>
        <w:pStyle w:val="ListParagraph"/>
        <w:ind w:left="1418"/>
        <w:jc w:val="both"/>
        <w:rPr>
          <w:rFonts w:cs="Arial"/>
          <w:lang w:val="ru-RU"/>
        </w:rPr>
      </w:pPr>
    </w:p>
    <w:p w:rsidR="00495A3D" w:rsidRPr="009049DD" w:rsidRDefault="00495A3D" w:rsidP="00495A3D">
      <w:pPr>
        <w:pStyle w:val="ListParagraph"/>
        <w:keepNext/>
        <w:keepLines/>
        <w:tabs>
          <w:tab w:val="left" w:pos="1701"/>
        </w:tabs>
        <w:ind w:left="567"/>
        <w:jc w:val="both"/>
        <w:rPr>
          <w:rFonts w:cs="Arial"/>
          <w:i/>
        </w:rPr>
      </w:pPr>
      <w:r>
        <w:rPr>
          <w:i/>
        </w:rPr>
        <w:t>Распределение заявок по языкам подачи</w:t>
      </w:r>
    </w:p>
    <w:p w:rsidR="00495A3D" w:rsidRPr="00990B8A" w:rsidRDefault="00495A3D" w:rsidP="00495A3D">
      <w:pPr>
        <w:pStyle w:val="ListParagraph"/>
        <w:keepNext/>
        <w:keepLines/>
        <w:tabs>
          <w:tab w:val="left" w:pos="1701"/>
        </w:tabs>
        <w:ind w:left="1134"/>
        <w:jc w:val="both"/>
        <w:rPr>
          <w:rFonts w:cs="Arial"/>
        </w:rPr>
      </w:pPr>
    </w:p>
    <w:p w:rsidR="00495A3D" w:rsidRPr="00990B8A" w:rsidRDefault="00495A3D" w:rsidP="00495A3D">
      <w:pPr>
        <w:keepNext/>
        <w:keepLines/>
        <w:jc w:val="center"/>
        <w:rPr>
          <w:rFonts w:cs="Arial"/>
        </w:rPr>
      </w:pPr>
      <w:r>
        <w:rPr>
          <w:rFonts w:cs="Arial"/>
          <w:noProof/>
        </w:rPr>
        <w:drawing>
          <wp:inline distT="0" distB="0" distL="0" distR="0" wp14:anchorId="1279A41C" wp14:editId="5F997453">
            <wp:extent cx="5581402" cy="2790414"/>
            <wp:effectExtent l="0" t="0" r="635" b="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583999" cy="2791712"/>
                    </a:xfrm>
                    <a:prstGeom prst="rect">
                      <a:avLst/>
                    </a:prstGeom>
                    <a:noFill/>
                    <a:ln>
                      <a:noFill/>
                    </a:ln>
                  </pic:spPr>
                </pic:pic>
              </a:graphicData>
            </a:graphic>
          </wp:inline>
        </w:drawing>
      </w:r>
    </w:p>
    <w:p w:rsidR="00495A3D" w:rsidRPr="00495A3D" w:rsidRDefault="00495A3D" w:rsidP="00495A3D">
      <w:pPr>
        <w:keepNext/>
        <w:keepLines/>
        <w:numPr>
          <w:ilvl w:val="0"/>
          <w:numId w:val="39"/>
        </w:numPr>
        <w:tabs>
          <w:tab w:val="clear" w:pos="720"/>
          <w:tab w:val="num" w:pos="993"/>
        </w:tabs>
        <w:spacing w:after="120"/>
        <w:ind w:left="993" w:hanging="426"/>
        <w:jc w:val="both"/>
        <w:rPr>
          <w:rFonts w:cs="Arial"/>
          <w:szCs w:val="20"/>
          <w:lang w:val="ru-RU"/>
        </w:rPr>
      </w:pPr>
      <w:r w:rsidRPr="00495A3D">
        <w:rPr>
          <w:lang w:val="ru-RU"/>
        </w:rPr>
        <w:t>В 2015</w:t>
      </w:r>
      <w:r>
        <w:t> </w:t>
      </w:r>
      <w:r w:rsidRPr="00495A3D">
        <w:rPr>
          <w:lang w:val="ru-RU"/>
        </w:rPr>
        <w:t>г. 80</w:t>
      </w:r>
      <w:r>
        <w:t> </w:t>
      </w:r>
      <w:r w:rsidRPr="00495A3D">
        <w:rPr>
          <w:lang w:val="ru-RU"/>
        </w:rPr>
        <w:t>процентов всех поданных заявок были составлены на английском языке.  Их доля не изменилась по сравнению с 2014</w:t>
      </w:r>
      <w:r>
        <w:t> </w:t>
      </w:r>
      <w:r w:rsidRPr="00495A3D">
        <w:rPr>
          <w:lang w:val="ru-RU"/>
        </w:rPr>
        <w:t>г., но по отношению к показателям 2008</w:t>
      </w:r>
      <w:r>
        <w:t> </w:t>
      </w:r>
      <w:r w:rsidRPr="00495A3D">
        <w:rPr>
          <w:lang w:val="ru-RU"/>
        </w:rPr>
        <w:t>г., когда заявки на английском языке составляли 65</w:t>
      </w:r>
      <w:r>
        <w:t> </w:t>
      </w:r>
      <w:r w:rsidRPr="00495A3D">
        <w:rPr>
          <w:lang w:val="ru-RU"/>
        </w:rPr>
        <w:t>процентов всех поданных заявок, рост составил 15</w:t>
      </w:r>
      <w:r>
        <w:t> </w:t>
      </w:r>
      <w:r w:rsidRPr="00495A3D">
        <w:rPr>
          <w:lang w:val="ru-RU"/>
        </w:rPr>
        <w:t>процентных пунктов.</w:t>
      </w:r>
    </w:p>
    <w:p w:rsidR="00495A3D" w:rsidRPr="00495A3D" w:rsidRDefault="00495A3D" w:rsidP="00495A3D">
      <w:pPr>
        <w:jc w:val="both"/>
        <w:rPr>
          <w:rFonts w:cs="Arial"/>
          <w:szCs w:val="20"/>
          <w:lang w:val="ru-RU"/>
        </w:rPr>
      </w:pPr>
    </w:p>
    <w:p w:rsidR="00495A3D" w:rsidRPr="00495A3D" w:rsidRDefault="00495A3D" w:rsidP="00495A3D">
      <w:pPr>
        <w:jc w:val="both"/>
        <w:rPr>
          <w:rFonts w:cs="Arial"/>
          <w:szCs w:val="20"/>
          <w:lang w:val="ru-RU"/>
        </w:rPr>
      </w:pPr>
    </w:p>
    <w:p w:rsidR="00495A3D" w:rsidRPr="00495A3D" w:rsidRDefault="00495A3D" w:rsidP="00495A3D">
      <w:pPr>
        <w:pStyle w:val="ListParagraph"/>
        <w:keepNext/>
        <w:keepLines/>
        <w:tabs>
          <w:tab w:val="left" w:pos="1701"/>
        </w:tabs>
        <w:ind w:left="567"/>
        <w:jc w:val="both"/>
        <w:rPr>
          <w:rFonts w:cs="Arial"/>
          <w:i/>
          <w:lang w:val="ru-RU"/>
        </w:rPr>
      </w:pPr>
      <w:r w:rsidRPr="00495A3D">
        <w:rPr>
          <w:i/>
          <w:lang w:val="ru-RU"/>
        </w:rPr>
        <w:t>Среднее число указаний на одну регистрацию</w:t>
      </w:r>
    </w:p>
    <w:p w:rsidR="00495A3D" w:rsidRPr="00990B8A" w:rsidRDefault="00495A3D" w:rsidP="00495A3D">
      <w:pPr>
        <w:jc w:val="center"/>
        <w:rPr>
          <w:rFonts w:cs="Arial"/>
        </w:rPr>
      </w:pPr>
      <w:r>
        <w:rPr>
          <w:rFonts w:cs="Arial"/>
          <w:noProof/>
        </w:rPr>
        <w:drawing>
          <wp:inline distT="0" distB="0" distL="0" distR="0" wp14:anchorId="1D109029" wp14:editId="1F773FFA">
            <wp:extent cx="5940425" cy="2935079"/>
            <wp:effectExtent l="0" t="0" r="3175"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0425" cy="2935079"/>
                    </a:xfrm>
                    <a:prstGeom prst="rect">
                      <a:avLst/>
                    </a:prstGeom>
                    <a:noFill/>
                    <a:ln>
                      <a:noFill/>
                    </a:ln>
                  </pic:spPr>
                </pic:pic>
              </a:graphicData>
            </a:graphic>
          </wp:inline>
        </w:drawing>
      </w:r>
    </w:p>
    <w:p w:rsidR="00495A3D" w:rsidRPr="00495A3D" w:rsidRDefault="00495A3D" w:rsidP="00495A3D">
      <w:pPr>
        <w:numPr>
          <w:ilvl w:val="0"/>
          <w:numId w:val="39"/>
        </w:numPr>
        <w:tabs>
          <w:tab w:val="clear" w:pos="720"/>
          <w:tab w:val="num" w:pos="1134"/>
        </w:tabs>
        <w:spacing w:after="120"/>
        <w:ind w:left="993" w:hanging="426"/>
        <w:jc w:val="both"/>
        <w:rPr>
          <w:rFonts w:cs="Arial"/>
          <w:szCs w:val="20"/>
          <w:lang w:val="ru-RU"/>
        </w:rPr>
      </w:pPr>
      <w:r w:rsidRPr="00495A3D">
        <w:rPr>
          <w:lang w:val="ru-RU"/>
        </w:rPr>
        <w:t>В 2015</w:t>
      </w:r>
      <w:r>
        <w:t> </w:t>
      </w:r>
      <w:r w:rsidRPr="00495A3D">
        <w:rPr>
          <w:lang w:val="ru-RU"/>
        </w:rPr>
        <w:t>г. на одну зарегистрированную заявку приходилось в среднем 7,7 указаний, что почти на одно указание больше, чем в среднем по 2014</w:t>
      </w:r>
      <w:r>
        <w:t> </w:t>
      </w:r>
      <w:r w:rsidRPr="00495A3D">
        <w:rPr>
          <w:lang w:val="ru-RU"/>
        </w:rPr>
        <w:t>г.</w:t>
      </w:r>
    </w:p>
    <w:p w:rsidR="00495A3D" w:rsidRPr="00495A3D" w:rsidRDefault="00495A3D" w:rsidP="00495A3D">
      <w:pPr>
        <w:tabs>
          <w:tab w:val="num" w:pos="1134"/>
        </w:tabs>
        <w:spacing w:after="120"/>
        <w:ind w:left="993" w:hanging="426"/>
        <w:jc w:val="both"/>
        <w:rPr>
          <w:rFonts w:cs="Arial"/>
          <w:szCs w:val="20"/>
          <w:lang w:val="ru-RU"/>
        </w:rPr>
      </w:pPr>
    </w:p>
    <w:p w:rsidR="00495A3D" w:rsidRPr="00495A3D" w:rsidRDefault="00495A3D" w:rsidP="00495A3D">
      <w:pPr>
        <w:pStyle w:val="ListParagraph"/>
        <w:keepNext/>
        <w:keepLines/>
        <w:tabs>
          <w:tab w:val="left" w:pos="1701"/>
        </w:tabs>
        <w:ind w:left="567"/>
        <w:jc w:val="both"/>
        <w:rPr>
          <w:rFonts w:cs="Arial"/>
          <w:i/>
          <w:lang w:val="ru-RU"/>
        </w:rPr>
      </w:pPr>
      <w:r w:rsidRPr="00495A3D">
        <w:rPr>
          <w:i/>
          <w:lang w:val="ru-RU"/>
        </w:rPr>
        <w:t>Среднее число классов на одну регистрацию</w:t>
      </w:r>
    </w:p>
    <w:p w:rsidR="00495A3D" w:rsidRPr="00990B8A" w:rsidRDefault="00495A3D" w:rsidP="00495A3D">
      <w:pPr>
        <w:keepNext/>
        <w:keepLines/>
        <w:jc w:val="center"/>
        <w:rPr>
          <w:rFonts w:cs="Arial"/>
        </w:rPr>
      </w:pPr>
      <w:r>
        <w:rPr>
          <w:rFonts w:cs="Arial"/>
          <w:noProof/>
        </w:rPr>
        <w:drawing>
          <wp:inline distT="0" distB="0" distL="0" distR="0" wp14:anchorId="3CDE0D72" wp14:editId="2DB6AE06">
            <wp:extent cx="5940425" cy="2803006"/>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0425" cy="2803006"/>
                    </a:xfrm>
                    <a:prstGeom prst="rect">
                      <a:avLst/>
                    </a:prstGeom>
                    <a:noFill/>
                    <a:ln>
                      <a:noFill/>
                    </a:ln>
                  </pic:spPr>
                </pic:pic>
              </a:graphicData>
            </a:graphic>
          </wp:inline>
        </w:drawing>
      </w:r>
    </w:p>
    <w:p w:rsidR="00495A3D" w:rsidRPr="00495A3D" w:rsidRDefault="00495A3D" w:rsidP="00495A3D">
      <w:pPr>
        <w:keepNext/>
        <w:keepLines/>
        <w:numPr>
          <w:ilvl w:val="0"/>
          <w:numId w:val="39"/>
        </w:numPr>
        <w:tabs>
          <w:tab w:val="clear" w:pos="720"/>
          <w:tab w:val="num" w:pos="993"/>
        </w:tabs>
        <w:spacing w:after="120"/>
        <w:ind w:left="993" w:hanging="426"/>
        <w:jc w:val="both"/>
        <w:rPr>
          <w:rFonts w:cs="Arial"/>
          <w:szCs w:val="20"/>
          <w:lang w:val="ru-RU"/>
        </w:rPr>
      </w:pPr>
      <w:r w:rsidRPr="00495A3D">
        <w:rPr>
          <w:lang w:val="ru-RU"/>
        </w:rPr>
        <w:t>Как и в 2014</w:t>
      </w:r>
      <w:r>
        <w:t> </w:t>
      </w:r>
      <w:r w:rsidRPr="00495A3D">
        <w:rPr>
          <w:lang w:val="ru-RU"/>
        </w:rPr>
        <w:t>г., в 2015 г. на одну зарегистрированную заявку приходилось в среднем 2,5</w:t>
      </w:r>
      <w:r>
        <w:t> </w:t>
      </w:r>
      <w:r w:rsidRPr="00495A3D">
        <w:rPr>
          <w:lang w:val="ru-RU"/>
        </w:rPr>
        <w:t xml:space="preserve">класса. </w:t>
      </w:r>
    </w:p>
    <w:p w:rsidR="00495A3D" w:rsidRPr="00495A3D" w:rsidRDefault="00495A3D" w:rsidP="00495A3D">
      <w:pPr>
        <w:jc w:val="both"/>
        <w:rPr>
          <w:rFonts w:cs="Arial"/>
          <w:szCs w:val="20"/>
          <w:lang w:val="ru-RU"/>
        </w:rPr>
      </w:pPr>
    </w:p>
    <w:p w:rsidR="00495A3D" w:rsidRPr="009049DD" w:rsidRDefault="00495A3D" w:rsidP="00495A3D">
      <w:pPr>
        <w:pStyle w:val="ListParagraph"/>
        <w:tabs>
          <w:tab w:val="left" w:pos="1701"/>
        </w:tabs>
        <w:ind w:left="567"/>
        <w:jc w:val="both"/>
        <w:rPr>
          <w:rFonts w:cs="Arial"/>
          <w:i/>
        </w:rPr>
      </w:pPr>
      <w:r>
        <w:rPr>
          <w:i/>
        </w:rPr>
        <w:t xml:space="preserve">Средний размер заявок </w:t>
      </w:r>
    </w:p>
    <w:p w:rsidR="00495A3D" w:rsidRPr="00990B8A" w:rsidRDefault="00495A3D" w:rsidP="00495A3D">
      <w:pPr>
        <w:pStyle w:val="ListParagraph"/>
        <w:ind w:left="1980"/>
        <w:jc w:val="both"/>
        <w:rPr>
          <w:rFonts w:cs="Arial"/>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Размер заявки определяется числом слов, использованных заявителем в (</w:t>
      </w:r>
      <w:r>
        <w:t>a</w:t>
      </w:r>
      <w:r w:rsidRPr="00495A3D">
        <w:rPr>
          <w:lang w:val="ru-RU"/>
        </w:rPr>
        <w:t>)</w:t>
      </w:r>
      <w:r>
        <w:t> </w:t>
      </w:r>
      <w:r w:rsidRPr="00495A3D">
        <w:rPr>
          <w:lang w:val="ru-RU"/>
        </w:rPr>
        <w:t>описании знака, (</w:t>
      </w:r>
      <w:r>
        <w:t>b</w:t>
      </w:r>
      <w:r w:rsidRPr="00495A3D">
        <w:rPr>
          <w:lang w:val="ru-RU"/>
        </w:rPr>
        <w:t>)</w:t>
      </w:r>
      <w:r>
        <w:t> </w:t>
      </w:r>
      <w:r w:rsidRPr="00495A3D">
        <w:rPr>
          <w:lang w:val="ru-RU"/>
        </w:rPr>
        <w:t>перечне товаров и услуг и (</w:t>
      </w:r>
      <w:r>
        <w:t>c</w:t>
      </w:r>
      <w:r w:rsidRPr="00495A3D">
        <w:rPr>
          <w:lang w:val="ru-RU"/>
        </w:rPr>
        <w:t>)</w:t>
      </w:r>
      <w:r>
        <w:t> </w:t>
      </w:r>
      <w:r w:rsidRPr="00495A3D">
        <w:rPr>
          <w:lang w:val="ru-RU"/>
        </w:rPr>
        <w:t xml:space="preserve">описании сопутствующих ограничений.  Чтобы заявка была доступна на всех трех языках Мадридской системы, эти три элемента переводятся МБ на английский, французский или испанский языки в зависимости от языка, на котором изначально составлена заявка. </w:t>
      </w:r>
    </w:p>
    <w:p w:rsidR="00495A3D" w:rsidRPr="00495A3D" w:rsidRDefault="00495A3D" w:rsidP="00495A3D">
      <w:pPr>
        <w:jc w:val="both"/>
        <w:rPr>
          <w:rFonts w:cs="Arial"/>
          <w:szCs w:val="20"/>
          <w:lang w:val="ru-RU"/>
        </w:rPr>
      </w:pPr>
    </w:p>
    <w:p w:rsidR="00495A3D" w:rsidRPr="00990B8A" w:rsidRDefault="00495A3D" w:rsidP="00495A3D">
      <w:pPr>
        <w:jc w:val="center"/>
        <w:rPr>
          <w:rFonts w:cs="Arial"/>
          <w:szCs w:val="20"/>
        </w:rPr>
      </w:pPr>
      <w:r>
        <w:rPr>
          <w:rFonts w:cs="Arial"/>
          <w:noProof/>
          <w:szCs w:val="20"/>
        </w:rPr>
        <w:drawing>
          <wp:inline distT="0" distB="0" distL="0" distR="0" wp14:anchorId="543EED53" wp14:editId="0D237E7E">
            <wp:extent cx="5940425" cy="2975659"/>
            <wp:effectExtent l="0" t="0" r="3175"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40425" cy="2975659"/>
                    </a:xfrm>
                    <a:prstGeom prst="rect">
                      <a:avLst/>
                    </a:prstGeom>
                    <a:noFill/>
                    <a:ln>
                      <a:noFill/>
                    </a:ln>
                  </pic:spPr>
                </pic:pic>
              </a:graphicData>
            </a:graphic>
          </wp:inline>
        </w:drawing>
      </w:r>
    </w:p>
    <w:p w:rsidR="00495A3D" w:rsidRPr="00990B8A" w:rsidRDefault="00495A3D" w:rsidP="00495A3D">
      <w:pPr>
        <w:jc w:val="both"/>
        <w:rPr>
          <w:rFonts w:cs="Arial"/>
          <w:szCs w:val="20"/>
        </w:rPr>
      </w:pPr>
    </w:p>
    <w:p w:rsidR="00495A3D" w:rsidRPr="00495A3D" w:rsidRDefault="00495A3D" w:rsidP="00495A3D">
      <w:pPr>
        <w:numPr>
          <w:ilvl w:val="0"/>
          <w:numId w:val="39"/>
        </w:numPr>
        <w:tabs>
          <w:tab w:val="clear" w:pos="720"/>
          <w:tab w:val="num" w:pos="993"/>
        </w:tabs>
        <w:spacing w:after="120"/>
        <w:ind w:left="993" w:hanging="426"/>
        <w:jc w:val="both"/>
        <w:rPr>
          <w:rFonts w:cs="Arial"/>
          <w:szCs w:val="20"/>
          <w:lang w:val="ru-RU"/>
        </w:rPr>
      </w:pPr>
      <w:r w:rsidRPr="00495A3D">
        <w:rPr>
          <w:lang w:val="ru-RU"/>
        </w:rPr>
        <w:t>В 2015</w:t>
      </w:r>
      <w:r>
        <w:t> </w:t>
      </w:r>
      <w:r w:rsidRPr="00495A3D">
        <w:rPr>
          <w:lang w:val="ru-RU"/>
        </w:rPr>
        <w:t>г. средний размер заявки составил 209</w:t>
      </w:r>
      <w:r>
        <w:t> </w:t>
      </w:r>
      <w:r w:rsidRPr="00495A3D">
        <w:rPr>
          <w:lang w:val="ru-RU"/>
        </w:rPr>
        <w:t>слов, а в 2014</w:t>
      </w:r>
      <w:r>
        <w:t> </w:t>
      </w:r>
      <w:r w:rsidRPr="00495A3D">
        <w:rPr>
          <w:lang w:val="ru-RU"/>
        </w:rPr>
        <w:t>г. он составлял 239</w:t>
      </w:r>
      <w:r>
        <w:t> </w:t>
      </w:r>
      <w:r w:rsidRPr="00495A3D">
        <w:rPr>
          <w:lang w:val="ru-RU"/>
        </w:rPr>
        <w:t>слов, т.е. на 12,4</w:t>
      </w:r>
      <w:r>
        <w:t> </w:t>
      </w:r>
      <w:r w:rsidRPr="00495A3D">
        <w:rPr>
          <w:lang w:val="ru-RU"/>
        </w:rPr>
        <w:t>процента больше.</w:t>
      </w:r>
    </w:p>
    <w:p w:rsidR="00495A3D" w:rsidRPr="00495A3D" w:rsidRDefault="00495A3D" w:rsidP="00495A3D">
      <w:pPr>
        <w:numPr>
          <w:ilvl w:val="0"/>
          <w:numId w:val="39"/>
        </w:numPr>
        <w:tabs>
          <w:tab w:val="clear" w:pos="720"/>
          <w:tab w:val="num" w:pos="993"/>
        </w:tabs>
        <w:spacing w:after="120"/>
        <w:ind w:left="993" w:hanging="426"/>
        <w:jc w:val="both"/>
        <w:rPr>
          <w:rFonts w:cs="Arial"/>
          <w:szCs w:val="20"/>
          <w:lang w:val="ru-RU"/>
        </w:rPr>
      </w:pPr>
      <w:r w:rsidRPr="00495A3D">
        <w:rPr>
          <w:lang w:val="ru-RU"/>
        </w:rPr>
        <w:t>Несмотря на то что некоторые аспекты работы по переводу и классификации заявки выполняются автоматически, увеличение размера заявок, как то, которое наблюдалось в 2011–2014</w:t>
      </w:r>
      <w:r>
        <w:t> </w:t>
      </w:r>
      <w:r w:rsidRPr="00495A3D">
        <w:rPr>
          <w:lang w:val="ru-RU"/>
        </w:rPr>
        <w:t>гг., заметно повышает рабочую нагрузку МБ.</w:t>
      </w:r>
    </w:p>
    <w:p w:rsidR="00495A3D" w:rsidRPr="00495A3D" w:rsidRDefault="00495A3D" w:rsidP="00495A3D">
      <w:pPr>
        <w:pStyle w:val="ListParagraph"/>
        <w:jc w:val="both"/>
        <w:rPr>
          <w:rFonts w:cs="Arial"/>
          <w:lang w:val="ru-RU"/>
        </w:rPr>
      </w:pPr>
    </w:p>
    <w:p w:rsidR="00495A3D" w:rsidRPr="00495A3D" w:rsidRDefault="00495A3D" w:rsidP="00495A3D">
      <w:pPr>
        <w:pStyle w:val="ListParagraph"/>
        <w:jc w:val="both"/>
        <w:rPr>
          <w:rFonts w:cs="Arial"/>
          <w:lang w:val="ru-RU"/>
        </w:rPr>
      </w:pPr>
    </w:p>
    <w:p w:rsidR="00495A3D" w:rsidRPr="00495A3D" w:rsidRDefault="00495A3D" w:rsidP="00495A3D">
      <w:pPr>
        <w:pStyle w:val="ListParagraph"/>
        <w:keepNext/>
        <w:keepLines/>
        <w:tabs>
          <w:tab w:val="left" w:pos="1701"/>
        </w:tabs>
        <w:ind w:left="567"/>
        <w:jc w:val="both"/>
        <w:rPr>
          <w:rFonts w:cs="Arial"/>
          <w:i/>
          <w:lang w:val="ru-RU"/>
        </w:rPr>
      </w:pPr>
      <w:r w:rsidRPr="00495A3D">
        <w:rPr>
          <w:i/>
          <w:lang w:val="ru-RU"/>
        </w:rPr>
        <w:t xml:space="preserve">Распределение правильно оформленных заявок и заявок, оформленных с нарушением </w:t>
      </w:r>
    </w:p>
    <w:p w:rsidR="00495A3D" w:rsidRPr="00990B8A" w:rsidRDefault="00495A3D" w:rsidP="00495A3D">
      <w:pPr>
        <w:jc w:val="center"/>
        <w:rPr>
          <w:rFonts w:cs="Arial"/>
          <w:szCs w:val="20"/>
        </w:rPr>
      </w:pPr>
      <w:r>
        <w:rPr>
          <w:rFonts w:cs="Arial"/>
          <w:noProof/>
          <w:szCs w:val="20"/>
        </w:rPr>
        <w:drawing>
          <wp:inline distT="0" distB="0" distL="0" distR="0" wp14:anchorId="25B86C7C" wp14:editId="2F269A2E">
            <wp:extent cx="5940425" cy="3122260"/>
            <wp:effectExtent l="0" t="0" r="3175" b="254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40425" cy="3122260"/>
                    </a:xfrm>
                    <a:prstGeom prst="rect">
                      <a:avLst/>
                    </a:prstGeom>
                    <a:noFill/>
                    <a:ln>
                      <a:noFill/>
                    </a:ln>
                  </pic:spPr>
                </pic:pic>
              </a:graphicData>
            </a:graphic>
          </wp:inline>
        </w:drawing>
      </w:r>
    </w:p>
    <w:p w:rsidR="00495A3D" w:rsidRPr="00495A3D" w:rsidRDefault="00495A3D" w:rsidP="00495A3D">
      <w:pPr>
        <w:jc w:val="both"/>
        <w:rPr>
          <w:rFonts w:cs="Arial"/>
          <w:szCs w:val="20"/>
          <w:lang w:val="ru-RU"/>
        </w:rPr>
      </w:pPr>
      <w:r w:rsidRPr="00495A3D">
        <w:rPr>
          <w:lang w:val="ru-RU"/>
        </w:rPr>
        <w:t>В 2011–2014</w:t>
      </w:r>
      <w:r>
        <w:t> </w:t>
      </w:r>
      <w:r w:rsidRPr="00495A3D">
        <w:rPr>
          <w:lang w:val="ru-RU"/>
        </w:rPr>
        <w:t>гг. доля правильно оформленных заявок оставалась на стабильном уровне, а в 2015</w:t>
      </w:r>
      <w:r>
        <w:t> </w:t>
      </w:r>
      <w:r w:rsidRPr="00495A3D">
        <w:rPr>
          <w:lang w:val="ru-RU"/>
        </w:rPr>
        <w:t>г. она уменьшилась на пять процентных пунктов.</w:t>
      </w:r>
    </w:p>
    <w:p w:rsidR="00495A3D" w:rsidRPr="00495A3D" w:rsidRDefault="00495A3D" w:rsidP="00495A3D">
      <w:pPr>
        <w:jc w:val="both"/>
        <w:rPr>
          <w:rFonts w:cs="Arial"/>
          <w:szCs w:val="20"/>
          <w:lang w:val="ru-RU"/>
        </w:rPr>
      </w:pPr>
    </w:p>
    <w:p w:rsidR="00495A3D" w:rsidRPr="009049DD" w:rsidRDefault="00495A3D" w:rsidP="00495A3D">
      <w:pPr>
        <w:pStyle w:val="ListParagraph"/>
        <w:ind w:left="0"/>
        <w:jc w:val="both"/>
        <w:rPr>
          <w:rFonts w:cs="Arial"/>
          <w:u w:val="single"/>
        </w:rPr>
      </w:pPr>
      <w:r>
        <w:rPr>
          <w:u w:val="single"/>
        </w:rPr>
        <w:t xml:space="preserve">Продления </w:t>
      </w:r>
    </w:p>
    <w:p w:rsidR="00495A3D" w:rsidRPr="00990B8A" w:rsidRDefault="00495A3D" w:rsidP="00495A3D">
      <w:pPr>
        <w:jc w:val="center"/>
        <w:rPr>
          <w:rFonts w:cs="Arial"/>
          <w:szCs w:val="20"/>
        </w:rPr>
      </w:pPr>
      <w:r>
        <w:rPr>
          <w:rFonts w:cs="Arial"/>
          <w:noProof/>
          <w:szCs w:val="20"/>
        </w:rPr>
        <w:drawing>
          <wp:inline distT="0" distB="0" distL="0" distR="0" wp14:anchorId="76F594F9" wp14:editId="4661127D">
            <wp:extent cx="5940425" cy="3005358"/>
            <wp:effectExtent l="0" t="0" r="3175" b="508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0425" cy="3005358"/>
                    </a:xfrm>
                    <a:prstGeom prst="rect">
                      <a:avLst/>
                    </a:prstGeom>
                    <a:noFill/>
                    <a:ln>
                      <a:noFill/>
                    </a:ln>
                  </pic:spPr>
                </pic:pic>
              </a:graphicData>
            </a:graphic>
          </wp:inline>
        </w:drawing>
      </w:r>
    </w:p>
    <w:p w:rsidR="00495A3D" w:rsidRPr="00495A3D" w:rsidRDefault="00495A3D" w:rsidP="00495A3D">
      <w:pPr>
        <w:numPr>
          <w:ilvl w:val="0"/>
          <w:numId w:val="39"/>
        </w:numPr>
        <w:tabs>
          <w:tab w:val="clear" w:pos="720"/>
          <w:tab w:val="num" w:pos="1560"/>
        </w:tabs>
        <w:spacing w:after="120"/>
        <w:ind w:left="993" w:hanging="426"/>
        <w:jc w:val="both"/>
        <w:rPr>
          <w:rFonts w:cs="Arial"/>
          <w:szCs w:val="20"/>
          <w:lang w:val="ru-RU"/>
        </w:rPr>
      </w:pPr>
      <w:r w:rsidRPr="00495A3D">
        <w:rPr>
          <w:lang w:val="ru-RU"/>
        </w:rPr>
        <w:t>В 2015</w:t>
      </w:r>
      <w:r>
        <w:t> </w:t>
      </w:r>
      <w:r w:rsidRPr="00495A3D">
        <w:rPr>
          <w:lang w:val="ru-RU"/>
        </w:rPr>
        <w:t>г. МБ зарегистрировало 28</w:t>
      </w:r>
      <w:r>
        <w:t> </w:t>
      </w:r>
      <w:r w:rsidRPr="00495A3D">
        <w:rPr>
          <w:lang w:val="ru-RU"/>
        </w:rPr>
        <w:t>502 продления, что на 11</w:t>
      </w:r>
      <w:r>
        <w:t> </w:t>
      </w:r>
      <w:r w:rsidRPr="00495A3D">
        <w:rPr>
          <w:lang w:val="ru-RU"/>
        </w:rPr>
        <w:t>процентов больше, чем в 2014</w:t>
      </w:r>
      <w:r>
        <w:t> </w:t>
      </w:r>
      <w:r w:rsidRPr="00495A3D">
        <w:rPr>
          <w:lang w:val="ru-RU"/>
        </w:rPr>
        <w:t>г.  Общее число обработанных в 2014–2015</w:t>
      </w:r>
      <w:r>
        <w:t> </w:t>
      </w:r>
      <w:r w:rsidRPr="00495A3D">
        <w:rPr>
          <w:lang w:val="ru-RU"/>
        </w:rPr>
        <w:t>гг. продлений увеличилось на 21</w:t>
      </w:r>
      <w:r>
        <w:t> </w:t>
      </w:r>
      <w:r w:rsidRPr="00495A3D">
        <w:rPr>
          <w:lang w:val="ru-RU"/>
        </w:rPr>
        <w:t>процент по сравнению с 2012–2013</w:t>
      </w:r>
      <w:r>
        <w:t> </w:t>
      </w:r>
      <w:r w:rsidRPr="00495A3D">
        <w:rPr>
          <w:lang w:val="ru-RU"/>
        </w:rPr>
        <w:t>гг.</w:t>
      </w:r>
    </w:p>
    <w:p w:rsidR="00495A3D" w:rsidRPr="00495A3D" w:rsidRDefault="00495A3D" w:rsidP="00495A3D">
      <w:pPr>
        <w:spacing w:after="120"/>
        <w:ind w:left="993" w:hanging="426"/>
        <w:jc w:val="both"/>
        <w:rPr>
          <w:rFonts w:cs="Arial"/>
          <w:szCs w:val="20"/>
          <w:lang w:val="ru-RU"/>
        </w:rPr>
      </w:pPr>
    </w:p>
    <w:p w:rsidR="00495A3D" w:rsidRPr="009049DD" w:rsidRDefault="00495A3D" w:rsidP="00495A3D">
      <w:pPr>
        <w:pStyle w:val="ListParagraph"/>
        <w:keepNext/>
        <w:keepLines/>
        <w:ind w:left="0"/>
        <w:jc w:val="both"/>
        <w:rPr>
          <w:rFonts w:cs="Arial"/>
          <w:u w:val="single"/>
        </w:rPr>
      </w:pPr>
      <w:r>
        <w:rPr>
          <w:u w:val="single"/>
        </w:rPr>
        <w:t xml:space="preserve">Последующие указания </w:t>
      </w:r>
    </w:p>
    <w:p w:rsidR="00495A3D" w:rsidRPr="00BF43CC" w:rsidRDefault="00495A3D" w:rsidP="00495A3D">
      <w:pPr>
        <w:keepNext/>
        <w:keepLines/>
        <w:jc w:val="center"/>
        <w:rPr>
          <w:rFonts w:cs="Arial"/>
          <w:szCs w:val="20"/>
          <w:highlight w:val="yellow"/>
        </w:rPr>
      </w:pPr>
      <w:r>
        <w:rPr>
          <w:rFonts w:cs="Arial"/>
          <w:noProof/>
          <w:szCs w:val="20"/>
        </w:rPr>
        <w:drawing>
          <wp:inline distT="0" distB="0" distL="0" distR="0" wp14:anchorId="150F0CD2" wp14:editId="7D6B8BBC">
            <wp:extent cx="5940425" cy="3073723"/>
            <wp:effectExtent l="0" t="0" r="3175"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0425" cy="3073723"/>
                    </a:xfrm>
                    <a:prstGeom prst="rect">
                      <a:avLst/>
                    </a:prstGeom>
                    <a:noFill/>
                    <a:ln>
                      <a:noFill/>
                    </a:ln>
                  </pic:spPr>
                </pic:pic>
              </a:graphicData>
            </a:graphic>
          </wp:inline>
        </w:drawing>
      </w:r>
    </w:p>
    <w:p w:rsidR="00495A3D" w:rsidRPr="00460795" w:rsidRDefault="00495A3D" w:rsidP="00495A3D">
      <w:pPr>
        <w:keepNext/>
        <w:keepLines/>
        <w:jc w:val="both"/>
        <w:rPr>
          <w:rFonts w:cs="Arial"/>
          <w:szCs w:val="20"/>
          <w:highlight w:val="yellow"/>
        </w:rPr>
      </w:pPr>
    </w:p>
    <w:p w:rsidR="00495A3D" w:rsidRPr="00495A3D" w:rsidRDefault="00495A3D" w:rsidP="00495A3D">
      <w:pPr>
        <w:keepNext/>
        <w:keepLines/>
        <w:numPr>
          <w:ilvl w:val="0"/>
          <w:numId w:val="39"/>
        </w:numPr>
        <w:tabs>
          <w:tab w:val="clear" w:pos="720"/>
          <w:tab w:val="num" w:pos="993"/>
        </w:tabs>
        <w:spacing w:after="120"/>
        <w:ind w:left="993" w:hanging="426"/>
        <w:jc w:val="both"/>
        <w:rPr>
          <w:rFonts w:cs="Arial"/>
          <w:szCs w:val="20"/>
          <w:lang w:val="ru-RU"/>
        </w:rPr>
      </w:pPr>
      <w:r w:rsidRPr="00495A3D">
        <w:rPr>
          <w:lang w:val="ru-RU"/>
        </w:rPr>
        <w:t>В 2015</w:t>
      </w:r>
      <w:r>
        <w:t> </w:t>
      </w:r>
      <w:r w:rsidRPr="00495A3D">
        <w:rPr>
          <w:lang w:val="ru-RU"/>
        </w:rPr>
        <w:t>г. МБ зарегистрировало 17</w:t>
      </w:r>
      <w:r>
        <w:t> </w:t>
      </w:r>
      <w:r w:rsidRPr="00495A3D">
        <w:rPr>
          <w:lang w:val="ru-RU"/>
        </w:rPr>
        <w:t>937 последующих указаний, что на 3,6</w:t>
      </w:r>
      <w:r>
        <w:t> </w:t>
      </w:r>
      <w:r w:rsidRPr="00495A3D">
        <w:rPr>
          <w:lang w:val="ru-RU"/>
        </w:rPr>
        <w:t>процента больше, чем в 2014</w:t>
      </w:r>
      <w:r>
        <w:t> </w:t>
      </w:r>
      <w:r w:rsidRPr="00495A3D">
        <w:rPr>
          <w:lang w:val="ru-RU"/>
        </w:rPr>
        <w:t xml:space="preserve">г. </w:t>
      </w:r>
    </w:p>
    <w:p w:rsidR="00495A3D" w:rsidRPr="00495A3D" w:rsidRDefault="00495A3D" w:rsidP="00495A3D">
      <w:pPr>
        <w:pStyle w:val="ListParagraph"/>
        <w:ind w:left="1418"/>
        <w:jc w:val="both"/>
        <w:rPr>
          <w:rFonts w:cs="Arial"/>
          <w:b/>
          <w:lang w:val="ru-RU"/>
        </w:rPr>
      </w:pPr>
    </w:p>
    <w:p w:rsidR="00495A3D" w:rsidRPr="00495A3D" w:rsidRDefault="00495A3D" w:rsidP="00495A3D">
      <w:pPr>
        <w:pStyle w:val="ListParagraph"/>
        <w:ind w:left="1418"/>
        <w:jc w:val="both"/>
        <w:rPr>
          <w:rFonts w:cs="Arial"/>
          <w:b/>
          <w:lang w:val="ru-RU"/>
        </w:rPr>
      </w:pPr>
    </w:p>
    <w:p w:rsidR="00495A3D" w:rsidRPr="009049DD" w:rsidRDefault="00495A3D" w:rsidP="00495A3D">
      <w:pPr>
        <w:pStyle w:val="ListParagraph"/>
        <w:ind w:left="0"/>
        <w:jc w:val="both"/>
        <w:rPr>
          <w:rFonts w:cs="Arial"/>
          <w:u w:val="single"/>
        </w:rPr>
      </w:pPr>
      <w:r>
        <w:rPr>
          <w:u w:val="single"/>
        </w:rPr>
        <w:t>Изменения</w:t>
      </w:r>
    </w:p>
    <w:p w:rsidR="00495A3D" w:rsidRPr="00990B8A" w:rsidRDefault="00495A3D" w:rsidP="00495A3D">
      <w:pPr>
        <w:ind w:left="360"/>
        <w:jc w:val="center"/>
        <w:rPr>
          <w:rFonts w:cs="Arial"/>
        </w:rPr>
      </w:pPr>
      <w:r>
        <w:rPr>
          <w:rFonts w:cs="Arial"/>
          <w:noProof/>
        </w:rPr>
        <w:drawing>
          <wp:inline distT="0" distB="0" distL="0" distR="0" wp14:anchorId="21DC9506" wp14:editId="264DC60C">
            <wp:extent cx="5940425" cy="2932288"/>
            <wp:effectExtent l="0" t="0" r="3175"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0425" cy="2932288"/>
                    </a:xfrm>
                    <a:prstGeom prst="rect">
                      <a:avLst/>
                    </a:prstGeom>
                    <a:noFill/>
                    <a:ln>
                      <a:noFill/>
                    </a:ln>
                  </pic:spPr>
                </pic:pic>
              </a:graphicData>
            </a:graphic>
          </wp:inline>
        </w:drawing>
      </w:r>
    </w:p>
    <w:p w:rsidR="00495A3D" w:rsidRPr="00495A3D" w:rsidRDefault="00495A3D" w:rsidP="00495A3D">
      <w:pPr>
        <w:numPr>
          <w:ilvl w:val="0"/>
          <w:numId w:val="39"/>
        </w:numPr>
        <w:tabs>
          <w:tab w:val="clear" w:pos="720"/>
          <w:tab w:val="num" w:pos="993"/>
        </w:tabs>
        <w:spacing w:after="120"/>
        <w:ind w:left="993" w:hanging="426"/>
        <w:jc w:val="both"/>
        <w:rPr>
          <w:rFonts w:cs="Arial"/>
          <w:szCs w:val="20"/>
          <w:lang w:val="ru-RU"/>
        </w:rPr>
      </w:pPr>
      <w:r w:rsidRPr="00495A3D">
        <w:rPr>
          <w:lang w:val="ru-RU"/>
        </w:rPr>
        <w:t>В 2015</w:t>
      </w:r>
      <w:r>
        <w:t> </w:t>
      </w:r>
      <w:r w:rsidRPr="00495A3D">
        <w:rPr>
          <w:lang w:val="ru-RU"/>
        </w:rPr>
        <w:t>г. в МБ поступило 41</w:t>
      </w:r>
      <w:r>
        <w:t> </w:t>
      </w:r>
      <w:r w:rsidRPr="00495A3D">
        <w:rPr>
          <w:lang w:val="ru-RU"/>
        </w:rPr>
        <w:t>363 заявления об изменении, что на 6,6</w:t>
      </w:r>
      <w:r>
        <w:t> </w:t>
      </w:r>
      <w:r w:rsidRPr="00495A3D">
        <w:rPr>
          <w:lang w:val="ru-RU"/>
        </w:rPr>
        <w:t>процента больше, чем в 2014</w:t>
      </w:r>
      <w:r>
        <w:t> </w:t>
      </w:r>
      <w:r w:rsidRPr="00495A3D">
        <w:rPr>
          <w:lang w:val="ru-RU"/>
        </w:rPr>
        <w:t xml:space="preserve">г. </w:t>
      </w:r>
    </w:p>
    <w:p w:rsidR="00495A3D" w:rsidRPr="00495A3D" w:rsidRDefault="00495A3D" w:rsidP="00495A3D">
      <w:pPr>
        <w:spacing w:after="120"/>
        <w:ind w:left="1560"/>
        <w:jc w:val="both"/>
        <w:rPr>
          <w:rFonts w:cs="Arial"/>
          <w:szCs w:val="20"/>
          <w:lang w:val="ru-RU"/>
        </w:rPr>
      </w:pPr>
    </w:p>
    <w:p w:rsidR="00495A3D" w:rsidRPr="009049DD" w:rsidRDefault="00495A3D" w:rsidP="00495A3D">
      <w:pPr>
        <w:pStyle w:val="ListParagraph"/>
        <w:keepNext/>
        <w:keepLines/>
        <w:ind w:left="0"/>
        <w:jc w:val="both"/>
        <w:rPr>
          <w:rFonts w:cs="Arial"/>
          <w:u w:val="single"/>
        </w:rPr>
      </w:pPr>
      <w:r>
        <w:rPr>
          <w:u w:val="single"/>
        </w:rPr>
        <w:t>Решения</w:t>
      </w:r>
    </w:p>
    <w:p w:rsidR="00495A3D" w:rsidRPr="00990B8A" w:rsidRDefault="00495A3D" w:rsidP="00495A3D">
      <w:pPr>
        <w:keepNext/>
        <w:keepLines/>
        <w:jc w:val="center"/>
        <w:rPr>
          <w:rFonts w:cs="Arial"/>
        </w:rPr>
      </w:pPr>
      <w:r>
        <w:rPr>
          <w:rFonts w:cs="Arial"/>
          <w:noProof/>
        </w:rPr>
        <w:drawing>
          <wp:inline distT="0" distB="0" distL="0" distR="0" wp14:anchorId="10B37D0C" wp14:editId="50D10229">
            <wp:extent cx="5940425" cy="3127632"/>
            <wp:effectExtent l="0" t="0" r="3175"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0425" cy="3127632"/>
                    </a:xfrm>
                    <a:prstGeom prst="rect">
                      <a:avLst/>
                    </a:prstGeom>
                    <a:noFill/>
                    <a:ln>
                      <a:noFill/>
                    </a:ln>
                  </pic:spPr>
                </pic:pic>
              </a:graphicData>
            </a:graphic>
          </wp:inline>
        </w:drawing>
      </w:r>
    </w:p>
    <w:p w:rsidR="00495A3D" w:rsidRPr="00990B8A" w:rsidRDefault="00495A3D" w:rsidP="00495A3D">
      <w:pPr>
        <w:keepNext/>
        <w:keepLines/>
        <w:numPr>
          <w:ilvl w:val="0"/>
          <w:numId w:val="39"/>
        </w:numPr>
        <w:tabs>
          <w:tab w:val="clear" w:pos="720"/>
          <w:tab w:val="num" w:pos="993"/>
        </w:tabs>
        <w:spacing w:after="120"/>
        <w:ind w:left="993" w:hanging="426"/>
        <w:jc w:val="both"/>
        <w:rPr>
          <w:rFonts w:cs="Arial"/>
          <w:szCs w:val="20"/>
        </w:rPr>
      </w:pPr>
      <w:r w:rsidRPr="00495A3D">
        <w:rPr>
          <w:lang w:val="ru-RU"/>
        </w:rPr>
        <w:t>В 2015</w:t>
      </w:r>
      <w:r>
        <w:t> </w:t>
      </w:r>
      <w:r w:rsidRPr="00495A3D">
        <w:rPr>
          <w:lang w:val="ru-RU"/>
        </w:rPr>
        <w:t>г. число зарегистрированных решений увеличилось на четыре процента по сравнению с 2014</w:t>
      </w:r>
      <w:r>
        <w:t> </w:t>
      </w:r>
      <w:r w:rsidRPr="00495A3D">
        <w:rPr>
          <w:lang w:val="ru-RU"/>
        </w:rPr>
        <w:t>г. и составило 541</w:t>
      </w:r>
      <w:r>
        <w:t> </w:t>
      </w:r>
      <w:r w:rsidRPr="00495A3D">
        <w:rPr>
          <w:lang w:val="ru-RU"/>
        </w:rPr>
        <w:t xml:space="preserve">964.  </w:t>
      </w:r>
      <w:r>
        <w:t>Число обработанных решений значительно выросло с 2010 г.</w:t>
      </w:r>
    </w:p>
    <w:p w:rsidR="00495A3D" w:rsidRPr="00495A3D" w:rsidRDefault="00495A3D" w:rsidP="00495A3D">
      <w:pPr>
        <w:numPr>
          <w:ilvl w:val="0"/>
          <w:numId w:val="39"/>
        </w:numPr>
        <w:tabs>
          <w:tab w:val="clear" w:pos="720"/>
          <w:tab w:val="num" w:pos="993"/>
        </w:tabs>
        <w:spacing w:after="120"/>
        <w:ind w:left="993" w:hanging="426"/>
        <w:jc w:val="both"/>
        <w:rPr>
          <w:rFonts w:cs="Arial"/>
          <w:szCs w:val="20"/>
          <w:lang w:val="ru-RU"/>
        </w:rPr>
      </w:pPr>
      <w:r w:rsidRPr="00495A3D">
        <w:rPr>
          <w:lang w:val="ru-RU"/>
        </w:rPr>
        <w:t>В 2015</w:t>
      </w:r>
      <w:r>
        <w:t> </w:t>
      </w:r>
      <w:r w:rsidRPr="00495A3D">
        <w:rPr>
          <w:lang w:val="ru-RU"/>
        </w:rPr>
        <w:t>г. 68</w:t>
      </w:r>
      <w:r>
        <w:t> </w:t>
      </w:r>
      <w:r w:rsidRPr="00495A3D">
        <w:rPr>
          <w:lang w:val="ru-RU"/>
        </w:rPr>
        <w:t>процентов решений были обработаны автоматически: их доля стабильно увеличивалась с 2011</w:t>
      </w:r>
      <w:r>
        <w:t> </w:t>
      </w:r>
      <w:r w:rsidRPr="00495A3D">
        <w:rPr>
          <w:lang w:val="ru-RU"/>
        </w:rPr>
        <w:t>г., когда большинство решений стали обрабатываться автоматически.</w:t>
      </w:r>
    </w:p>
    <w:p w:rsidR="00495A3D" w:rsidRPr="00495A3D" w:rsidRDefault="00495A3D" w:rsidP="00495A3D">
      <w:pPr>
        <w:jc w:val="both"/>
        <w:rPr>
          <w:rFonts w:cs="Arial"/>
          <w:lang w:val="ru-RU"/>
        </w:rPr>
      </w:pPr>
    </w:p>
    <w:p w:rsidR="00495A3D" w:rsidRPr="009049DD" w:rsidRDefault="00495A3D" w:rsidP="00495A3D">
      <w:pPr>
        <w:pStyle w:val="ListParagraph"/>
        <w:ind w:left="0"/>
        <w:jc w:val="both"/>
        <w:rPr>
          <w:rFonts w:cs="Arial"/>
          <w:u w:val="single"/>
        </w:rPr>
      </w:pPr>
      <w:r>
        <w:rPr>
          <w:u w:val="single"/>
        </w:rPr>
        <w:t>Исправления</w:t>
      </w:r>
    </w:p>
    <w:p w:rsidR="00495A3D" w:rsidRPr="00990B8A" w:rsidRDefault="00495A3D" w:rsidP="00495A3D">
      <w:pPr>
        <w:jc w:val="center"/>
        <w:rPr>
          <w:rFonts w:cs="Arial"/>
        </w:rPr>
      </w:pPr>
      <w:r>
        <w:rPr>
          <w:rFonts w:cs="Arial"/>
          <w:noProof/>
        </w:rPr>
        <w:drawing>
          <wp:inline distT="0" distB="0" distL="0" distR="0" wp14:anchorId="7D4CBFB3" wp14:editId="046329F2">
            <wp:extent cx="5940425" cy="2734610"/>
            <wp:effectExtent l="0" t="0" r="3175" b="889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0425" cy="2734610"/>
                    </a:xfrm>
                    <a:prstGeom prst="rect">
                      <a:avLst/>
                    </a:prstGeom>
                    <a:noFill/>
                    <a:ln>
                      <a:noFill/>
                    </a:ln>
                  </pic:spPr>
                </pic:pic>
              </a:graphicData>
            </a:graphic>
          </wp:inline>
        </w:drawing>
      </w:r>
    </w:p>
    <w:p w:rsidR="00495A3D" w:rsidRPr="00495A3D" w:rsidRDefault="00495A3D" w:rsidP="00495A3D">
      <w:pPr>
        <w:numPr>
          <w:ilvl w:val="0"/>
          <w:numId w:val="39"/>
        </w:numPr>
        <w:tabs>
          <w:tab w:val="clear" w:pos="720"/>
          <w:tab w:val="num" w:pos="993"/>
        </w:tabs>
        <w:spacing w:after="120"/>
        <w:ind w:left="993" w:hanging="426"/>
        <w:jc w:val="both"/>
        <w:rPr>
          <w:rFonts w:cs="Arial"/>
          <w:szCs w:val="20"/>
          <w:lang w:val="ru-RU"/>
        </w:rPr>
      </w:pPr>
      <w:r w:rsidRPr="00495A3D">
        <w:rPr>
          <w:lang w:val="ru-RU"/>
        </w:rPr>
        <w:t>В 2015</w:t>
      </w:r>
      <w:r>
        <w:t> </w:t>
      </w:r>
      <w:r w:rsidRPr="00495A3D">
        <w:rPr>
          <w:lang w:val="ru-RU"/>
        </w:rPr>
        <w:t>г. МБ зарегистрировало 6</w:t>
      </w:r>
      <w:r>
        <w:t> </w:t>
      </w:r>
      <w:r w:rsidRPr="00495A3D">
        <w:rPr>
          <w:lang w:val="ru-RU"/>
        </w:rPr>
        <w:t>127  исправлений.  Это на 0,9</w:t>
      </w:r>
      <w:r>
        <w:t> </w:t>
      </w:r>
      <w:r w:rsidRPr="00495A3D">
        <w:rPr>
          <w:lang w:val="ru-RU"/>
        </w:rPr>
        <w:t>процентов больше, чем в 2014</w:t>
      </w:r>
      <w:r>
        <w:t> </w:t>
      </w:r>
      <w:r w:rsidRPr="00495A3D">
        <w:rPr>
          <w:lang w:val="ru-RU"/>
        </w:rPr>
        <w:t>г.</w:t>
      </w:r>
    </w:p>
    <w:p w:rsidR="00495A3D" w:rsidRPr="00495A3D" w:rsidRDefault="00495A3D" w:rsidP="00495A3D">
      <w:pPr>
        <w:spacing w:after="120"/>
        <w:ind w:left="993"/>
        <w:jc w:val="both"/>
        <w:rPr>
          <w:rFonts w:cs="Arial"/>
          <w:szCs w:val="20"/>
          <w:lang w:val="ru-RU"/>
        </w:rPr>
      </w:pPr>
    </w:p>
    <w:p w:rsidR="00495A3D" w:rsidRPr="00460795" w:rsidRDefault="00495A3D" w:rsidP="00BF61DC">
      <w:pPr>
        <w:pStyle w:val="ListParagraph"/>
        <w:keepNext/>
        <w:keepLines/>
        <w:numPr>
          <w:ilvl w:val="0"/>
          <w:numId w:val="96"/>
        </w:numPr>
        <w:ind w:left="540" w:hanging="540"/>
        <w:contextualSpacing/>
        <w:jc w:val="both"/>
        <w:rPr>
          <w:rFonts w:cs="Arial"/>
          <w:b/>
        </w:rPr>
      </w:pPr>
      <w:r>
        <w:rPr>
          <w:b/>
        </w:rPr>
        <w:t>Общая рабочая нагрузка</w:t>
      </w:r>
    </w:p>
    <w:p w:rsidR="00495A3D" w:rsidRPr="00990B8A" w:rsidRDefault="00495A3D" w:rsidP="00495A3D">
      <w:pPr>
        <w:keepNext/>
        <w:keepLines/>
        <w:jc w:val="both"/>
        <w:rPr>
          <w:rFonts w:cs="Arial"/>
          <w:szCs w:val="20"/>
        </w:rPr>
      </w:pPr>
    </w:p>
    <w:p w:rsidR="00495A3D" w:rsidRPr="00495A3D" w:rsidRDefault="00495A3D" w:rsidP="00BF61DC">
      <w:pPr>
        <w:pStyle w:val="ListParagraph"/>
        <w:keepNext/>
        <w:keepLines/>
        <w:numPr>
          <w:ilvl w:val="0"/>
          <w:numId w:val="101"/>
        </w:numPr>
        <w:tabs>
          <w:tab w:val="left" w:pos="567"/>
        </w:tabs>
        <w:ind w:left="0" w:firstLine="0"/>
        <w:contextualSpacing/>
        <w:jc w:val="both"/>
        <w:rPr>
          <w:rFonts w:cs="Arial"/>
          <w:lang w:val="ru-RU"/>
        </w:rPr>
      </w:pPr>
      <w:r w:rsidRPr="00495A3D">
        <w:rPr>
          <w:lang w:val="ru-RU"/>
        </w:rPr>
        <w:t>Под общей рабочей нагрузкой понимается взвешенный показатель общего числа документов, обрабатываемых МБ.  При этом учитываются все шесть категорий документов (заявки, продления, последующие указания, изменения, решения и исправления).</w:t>
      </w:r>
    </w:p>
    <w:p w:rsidR="00495A3D" w:rsidRPr="00495A3D" w:rsidRDefault="00495A3D" w:rsidP="00495A3D">
      <w:pPr>
        <w:keepNext/>
        <w:keepLines/>
        <w:jc w:val="both"/>
        <w:rPr>
          <w:rFonts w:cs="Arial"/>
          <w:szCs w:val="20"/>
          <w:lang w:val="ru-RU"/>
        </w:rPr>
      </w:pPr>
    </w:p>
    <w:p w:rsidR="00495A3D" w:rsidRPr="00495A3D" w:rsidRDefault="00495A3D" w:rsidP="00BF61DC">
      <w:pPr>
        <w:pStyle w:val="ListParagraph"/>
        <w:keepNext/>
        <w:keepLines/>
        <w:numPr>
          <w:ilvl w:val="0"/>
          <w:numId w:val="101"/>
        </w:numPr>
        <w:tabs>
          <w:tab w:val="left" w:pos="567"/>
        </w:tabs>
        <w:ind w:left="0" w:firstLine="0"/>
        <w:contextualSpacing/>
        <w:jc w:val="both"/>
        <w:rPr>
          <w:rFonts w:cs="Arial"/>
          <w:lang w:val="ru-RU"/>
        </w:rPr>
      </w:pPr>
      <w:r w:rsidRPr="00495A3D">
        <w:rPr>
          <w:lang w:val="ru-RU"/>
        </w:rPr>
        <w:t>Поскольку для обработки разного типа документов требуется разный объем ресурсов, для каждой категории задается различный весовой показатель  Согласно этой системе весовых показателей предполагается, что за время, которое занимает обработка одной международной заявки, эксперт может обработать 1,6</w:t>
      </w:r>
      <w:r>
        <w:t> </w:t>
      </w:r>
      <w:r w:rsidRPr="00495A3D">
        <w:rPr>
          <w:lang w:val="ru-RU"/>
        </w:rPr>
        <w:t>продления, 1,8</w:t>
      </w:r>
      <w:r>
        <w:t> </w:t>
      </w:r>
      <w:r w:rsidRPr="00495A3D">
        <w:rPr>
          <w:lang w:val="ru-RU"/>
        </w:rPr>
        <w:t>последующего указания, 1,8</w:t>
      </w:r>
      <w:r>
        <w:t> </w:t>
      </w:r>
      <w:r w:rsidRPr="00495A3D">
        <w:rPr>
          <w:lang w:val="ru-RU"/>
        </w:rPr>
        <w:t>изменения или 10</w:t>
      </w:r>
      <w:r>
        <w:t> </w:t>
      </w:r>
      <w:r w:rsidRPr="00495A3D">
        <w:rPr>
          <w:lang w:val="ru-RU"/>
        </w:rPr>
        <w:t>решений. Точно так же считается, что за время, необходимое для обработки одной международной заявки, сотрудник, обеспечивающий работу автоматизированного процесса, может обработать 17</w:t>
      </w:r>
      <w:r>
        <w:t> </w:t>
      </w:r>
      <w:r w:rsidRPr="00495A3D">
        <w:rPr>
          <w:lang w:val="ru-RU"/>
        </w:rPr>
        <w:t xml:space="preserve">документов. </w:t>
      </w:r>
    </w:p>
    <w:p w:rsidR="00495A3D" w:rsidRPr="00495A3D" w:rsidRDefault="00495A3D" w:rsidP="00495A3D">
      <w:pPr>
        <w:jc w:val="both"/>
        <w:rPr>
          <w:rFonts w:cs="Arial"/>
          <w:sz w:val="16"/>
          <w:szCs w:val="16"/>
          <w:lang w:val="ru-RU"/>
        </w:rPr>
      </w:pPr>
    </w:p>
    <w:p w:rsidR="00495A3D" w:rsidRDefault="00495A3D" w:rsidP="00495A3D">
      <w:pPr>
        <w:jc w:val="center"/>
        <w:rPr>
          <w:rFonts w:cs="Arial"/>
          <w:noProof/>
        </w:rPr>
      </w:pPr>
      <w:r>
        <w:rPr>
          <w:rFonts w:cs="Arial"/>
          <w:noProof/>
        </w:rPr>
        <w:drawing>
          <wp:inline distT="0" distB="0" distL="0" distR="0" wp14:anchorId="6B4CDC63" wp14:editId="7EAFB9FF">
            <wp:extent cx="5940425" cy="3311365"/>
            <wp:effectExtent l="0" t="0" r="3175" b="381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0425" cy="3311365"/>
                    </a:xfrm>
                    <a:prstGeom prst="rect">
                      <a:avLst/>
                    </a:prstGeom>
                    <a:noFill/>
                    <a:ln>
                      <a:noFill/>
                    </a:ln>
                  </pic:spPr>
                </pic:pic>
              </a:graphicData>
            </a:graphic>
          </wp:inline>
        </w:drawing>
      </w:r>
    </w:p>
    <w:p w:rsidR="00495A3D" w:rsidRPr="00990B8A" w:rsidRDefault="00495A3D" w:rsidP="00495A3D">
      <w:pPr>
        <w:jc w:val="center"/>
        <w:rPr>
          <w:rFonts w:cs="Arial"/>
        </w:rPr>
      </w:pPr>
    </w:p>
    <w:p w:rsidR="00495A3D" w:rsidRPr="00495A3D" w:rsidRDefault="00495A3D" w:rsidP="00495A3D">
      <w:pPr>
        <w:numPr>
          <w:ilvl w:val="0"/>
          <w:numId w:val="39"/>
        </w:numPr>
        <w:tabs>
          <w:tab w:val="clear" w:pos="720"/>
          <w:tab w:val="num" w:pos="993"/>
        </w:tabs>
        <w:spacing w:after="120"/>
        <w:ind w:left="993" w:hanging="426"/>
        <w:jc w:val="both"/>
        <w:rPr>
          <w:rFonts w:cs="Arial"/>
          <w:szCs w:val="20"/>
          <w:lang w:val="ru-RU"/>
        </w:rPr>
      </w:pPr>
      <w:r w:rsidRPr="00495A3D">
        <w:rPr>
          <w:lang w:val="ru-RU"/>
        </w:rPr>
        <w:t>В 2015</w:t>
      </w:r>
      <w:r>
        <w:t> </w:t>
      </w:r>
      <w:r w:rsidRPr="00495A3D">
        <w:rPr>
          <w:lang w:val="ru-RU"/>
        </w:rPr>
        <w:t>г. объем общей рабочей нагрузки вырос на 11</w:t>
      </w:r>
      <w:r>
        <w:t> </w:t>
      </w:r>
      <w:r w:rsidRPr="00495A3D">
        <w:rPr>
          <w:lang w:val="ru-RU"/>
        </w:rPr>
        <w:t>процентов по сравнению с 2014</w:t>
      </w:r>
      <w:r>
        <w:t> </w:t>
      </w:r>
      <w:r w:rsidRPr="00495A3D">
        <w:rPr>
          <w:lang w:val="ru-RU"/>
        </w:rPr>
        <w:t>г.  Примерно 80</w:t>
      </w:r>
      <w:r>
        <w:t> </w:t>
      </w:r>
      <w:r w:rsidRPr="00495A3D">
        <w:rPr>
          <w:lang w:val="ru-RU"/>
        </w:rPr>
        <w:t>процентов всей рабочей нагрузки составили заявки, решения и изменения.  Общая рабочая нагрузка в двухлетний период 2014–2015</w:t>
      </w:r>
      <w:r>
        <w:t> </w:t>
      </w:r>
      <w:r w:rsidRPr="00495A3D">
        <w:rPr>
          <w:lang w:val="ru-RU"/>
        </w:rPr>
        <w:t>гг. возросла на 10</w:t>
      </w:r>
      <w:r>
        <w:t> </w:t>
      </w:r>
      <w:r w:rsidRPr="00495A3D">
        <w:rPr>
          <w:lang w:val="ru-RU"/>
        </w:rPr>
        <w:t>процента по сравнению с двухлетним периодом 2012–2013</w:t>
      </w:r>
      <w:r>
        <w:t> </w:t>
      </w:r>
      <w:r w:rsidRPr="00495A3D">
        <w:rPr>
          <w:lang w:val="ru-RU"/>
        </w:rPr>
        <w:t>гг.</w:t>
      </w:r>
    </w:p>
    <w:p w:rsidR="00495A3D" w:rsidRPr="00495A3D" w:rsidRDefault="00495A3D" w:rsidP="00495A3D">
      <w:pPr>
        <w:numPr>
          <w:ilvl w:val="0"/>
          <w:numId w:val="39"/>
        </w:numPr>
        <w:tabs>
          <w:tab w:val="clear" w:pos="720"/>
          <w:tab w:val="num" w:pos="993"/>
        </w:tabs>
        <w:spacing w:after="120"/>
        <w:ind w:left="993" w:hanging="426"/>
        <w:jc w:val="both"/>
        <w:rPr>
          <w:rFonts w:cs="Arial"/>
          <w:lang w:val="ru-RU"/>
        </w:rPr>
      </w:pPr>
      <w:r w:rsidRPr="00495A3D">
        <w:rPr>
          <w:lang w:val="ru-RU"/>
        </w:rPr>
        <w:t>Отмеченный в 2015</w:t>
      </w:r>
      <w:r>
        <w:t> </w:t>
      </w:r>
      <w:r w:rsidRPr="00495A3D">
        <w:rPr>
          <w:lang w:val="ru-RU"/>
        </w:rPr>
        <w:t>г. рост в основном относился к числу заявок и продлений, тогда как резкий рост рабочей нагрузки в 2011–2013</w:t>
      </w:r>
      <w:r>
        <w:t> </w:t>
      </w:r>
      <w:r w:rsidRPr="00495A3D">
        <w:rPr>
          <w:lang w:val="ru-RU"/>
        </w:rPr>
        <w:t>гг. был в основном обусловлен увеличением числа решений.</w:t>
      </w:r>
    </w:p>
    <w:p w:rsidR="00495A3D" w:rsidRPr="00495A3D" w:rsidRDefault="00495A3D" w:rsidP="00495A3D">
      <w:pPr>
        <w:pStyle w:val="ListParagraph"/>
        <w:ind w:left="1080"/>
        <w:jc w:val="both"/>
        <w:rPr>
          <w:rFonts w:cs="Arial"/>
          <w:sz w:val="16"/>
          <w:szCs w:val="16"/>
          <w:lang w:val="ru-RU"/>
        </w:rPr>
      </w:pPr>
    </w:p>
    <w:p w:rsidR="00495A3D" w:rsidRPr="00495A3D" w:rsidRDefault="00495A3D" w:rsidP="00495A3D">
      <w:pPr>
        <w:rPr>
          <w:rFonts w:cs="Arial"/>
          <w:sz w:val="16"/>
          <w:szCs w:val="16"/>
          <w:lang w:val="ru-RU"/>
        </w:rPr>
      </w:pPr>
      <w:r w:rsidRPr="00495A3D">
        <w:rPr>
          <w:lang w:val="ru-RU"/>
        </w:rPr>
        <w:br w:type="page"/>
      </w:r>
    </w:p>
    <w:p w:rsidR="00495A3D" w:rsidRPr="00495A3D" w:rsidRDefault="00495A3D" w:rsidP="00495A3D">
      <w:pPr>
        <w:pStyle w:val="ListParagraph"/>
        <w:ind w:left="1080"/>
        <w:jc w:val="both"/>
        <w:rPr>
          <w:rFonts w:cs="Arial"/>
          <w:sz w:val="16"/>
          <w:szCs w:val="16"/>
          <w:lang w:val="ru-RU"/>
        </w:rPr>
      </w:pPr>
    </w:p>
    <w:p w:rsidR="00495A3D" w:rsidRDefault="00495A3D" w:rsidP="00BF61DC">
      <w:pPr>
        <w:pStyle w:val="ListParagraph"/>
        <w:numPr>
          <w:ilvl w:val="0"/>
          <w:numId w:val="96"/>
        </w:numPr>
        <w:ind w:left="567" w:hanging="567"/>
        <w:contextualSpacing/>
        <w:jc w:val="both"/>
        <w:rPr>
          <w:rFonts w:cs="Arial"/>
          <w:b/>
        </w:rPr>
      </w:pPr>
      <w:r>
        <w:rPr>
          <w:b/>
        </w:rPr>
        <w:t xml:space="preserve">Способ передачи входящей документации </w:t>
      </w:r>
    </w:p>
    <w:p w:rsidR="00495A3D" w:rsidRPr="00460795" w:rsidRDefault="00495A3D" w:rsidP="00495A3D">
      <w:pPr>
        <w:pStyle w:val="ListParagraph"/>
        <w:ind w:left="1080"/>
        <w:jc w:val="both"/>
        <w:rPr>
          <w:rFonts w:cs="Arial"/>
          <w:b/>
        </w:rPr>
      </w:pPr>
    </w:p>
    <w:p w:rsidR="00495A3D" w:rsidRPr="00990B8A" w:rsidRDefault="00495A3D" w:rsidP="00495A3D">
      <w:pPr>
        <w:jc w:val="center"/>
        <w:rPr>
          <w:rFonts w:cs="Arial"/>
          <w:noProof/>
        </w:rPr>
      </w:pPr>
      <w:r>
        <w:rPr>
          <w:rFonts w:cs="Arial"/>
          <w:noProof/>
        </w:rPr>
        <w:drawing>
          <wp:inline distT="0" distB="0" distL="0" distR="0" wp14:anchorId="367F6B64" wp14:editId="5147A9A1">
            <wp:extent cx="5940425" cy="2852327"/>
            <wp:effectExtent l="0" t="0" r="3175" b="5715"/>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40425" cy="2852327"/>
                    </a:xfrm>
                    <a:prstGeom prst="rect">
                      <a:avLst/>
                    </a:prstGeom>
                    <a:noFill/>
                    <a:ln>
                      <a:noFill/>
                    </a:ln>
                  </pic:spPr>
                </pic:pic>
              </a:graphicData>
            </a:graphic>
          </wp:inline>
        </w:drawing>
      </w:r>
    </w:p>
    <w:p w:rsidR="00495A3D" w:rsidRPr="00495A3D" w:rsidRDefault="00495A3D" w:rsidP="00495A3D">
      <w:pPr>
        <w:numPr>
          <w:ilvl w:val="0"/>
          <w:numId w:val="39"/>
        </w:numPr>
        <w:tabs>
          <w:tab w:val="clear" w:pos="720"/>
          <w:tab w:val="num" w:pos="993"/>
        </w:tabs>
        <w:spacing w:after="120"/>
        <w:ind w:left="993" w:hanging="426"/>
        <w:jc w:val="both"/>
        <w:rPr>
          <w:rFonts w:cs="Arial"/>
          <w:szCs w:val="20"/>
          <w:lang w:val="ru-RU"/>
        </w:rPr>
      </w:pPr>
      <w:r w:rsidRPr="00495A3D">
        <w:rPr>
          <w:lang w:val="ru-RU"/>
        </w:rPr>
        <w:t>В 2015</w:t>
      </w:r>
      <w:r>
        <w:t> </w:t>
      </w:r>
      <w:r w:rsidRPr="00495A3D">
        <w:rPr>
          <w:lang w:val="ru-RU"/>
        </w:rPr>
        <w:t>г. 79</w:t>
      </w:r>
      <w:r>
        <w:t> </w:t>
      </w:r>
      <w:r w:rsidRPr="00495A3D">
        <w:rPr>
          <w:lang w:val="ru-RU"/>
        </w:rPr>
        <w:t>процентов всех входящих документов передавались в МБ в электроном виде, что на пять процентов больше, чем в 2014</w:t>
      </w:r>
      <w:r>
        <w:t> </w:t>
      </w:r>
      <w:r w:rsidRPr="00495A3D">
        <w:rPr>
          <w:lang w:val="ru-RU"/>
        </w:rPr>
        <w:t>г.</w:t>
      </w:r>
    </w:p>
    <w:p w:rsidR="00495A3D" w:rsidRPr="00495A3D" w:rsidRDefault="00495A3D" w:rsidP="00495A3D">
      <w:pPr>
        <w:tabs>
          <w:tab w:val="num" w:pos="993"/>
        </w:tabs>
        <w:jc w:val="both"/>
        <w:rPr>
          <w:rFonts w:cs="Arial"/>
          <w:szCs w:val="20"/>
          <w:lang w:val="ru-RU"/>
        </w:rPr>
      </w:pPr>
    </w:p>
    <w:p w:rsidR="00495A3D" w:rsidRPr="0006197C" w:rsidRDefault="00495A3D" w:rsidP="00BF61DC">
      <w:pPr>
        <w:pStyle w:val="ListParagraph"/>
        <w:keepNext/>
        <w:keepLines/>
        <w:numPr>
          <w:ilvl w:val="0"/>
          <w:numId w:val="96"/>
        </w:numPr>
        <w:ind w:left="567" w:hanging="567"/>
        <w:contextualSpacing/>
        <w:jc w:val="both"/>
        <w:rPr>
          <w:rFonts w:cs="Arial"/>
          <w:b/>
        </w:rPr>
      </w:pPr>
      <w:r>
        <w:rPr>
          <w:b/>
        </w:rPr>
        <w:t>Обработка</w:t>
      </w:r>
    </w:p>
    <w:p w:rsidR="00495A3D" w:rsidRPr="00990B8A" w:rsidRDefault="00495A3D" w:rsidP="00495A3D">
      <w:pPr>
        <w:keepNext/>
        <w:keepLines/>
        <w:jc w:val="both"/>
        <w:rPr>
          <w:rFonts w:cs="Arial"/>
          <w:szCs w:val="20"/>
        </w:rPr>
      </w:pPr>
    </w:p>
    <w:p w:rsidR="00495A3D" w:rsidRPr="009049DD" w:rsidRDefault="00495A3D" w:rsidP="00495A3D">
      <w:pPr>
        <w:pStyle w:val="ListParagraph"/>
        <w:ind w:left="0"/>
        <w:jc w:val="both"/>
        <w:rPr>
          <w:rFonts w:cs="Arial"/>
          <w:u w:val="single"/>
        </w:rPr>
      </w:pPr>
      <w:r>
        <w:rPr>
          <w:u w:val="single"/>
        </w:rPr>
        <w:t>Общие производственные издержки</w:t>
      </w:r>
    </w:p>
    <w:p w:rsidR="00495A3D" w:rsidRPr="0043175E" w:rsidRDefault="00495A3D" w:rsidP="00495A3D">
      <w:pPr>
        <w:pStyle w:val="ListParagraph"/>
        <w:keepNext/>
        <w:keepLines/>
        <w:ind w:left="1440"/>
        <w:jc w:val="both"/>
        <w:rPr>
          <w:rFonts w:cs="Arial"/>
          <w:b/>
          <w:i/>
        </w:rPr>
      </w:pPr>
    </w:p>
    <w:p w:rsidR="00495A3D" w:rsidRPr="00495A3D" w:rsidRDefault="00495A3D" w:rsidP="00BF61DC">
      <w:pPr>
        <w:pStyle w:val="ListParagraph"/>
        <w:keepNext/>
        <w:keepLines/>
        <w:numPr>
          <w:ilvl w:val="0"/>
          <w:numId w:val="101"/>
        </w:numPr>
        <w:tabs>
          <w:tab w:val="left" w:pos="567"/>
        </w:tabs>
        <w:ind w:left="0" w:firstLine="0"/>
        <w:contextualSpacing/>
        <w:jc w:val="both"/>
        <w:rPr>
          <w:rFonts w:cs="Arial"/>
          <w:lang w:val="ru-RU"/>
        </w:rPr>
      </w:pPr>
      <w:r w:rsidRPr="00495A3D">
        <w:rPr>
          <w:lang w:val="ru-RU"/>
        </w:rPr>
        <w:t xml:space="preserve">Общие производственные затраты включают в себя расходы, связанные исключительно с Мадридской системой, и расходы на деятельность по обеспечению работы этой системы. </w:t>
      </w:r>
    </w:p>
    <w:p w:rsidR="00495A3D" w:rsidRPr="00495A3D" w:rsidRDefault="00495A3D" w:rsidP="00495A3D">
      <w:pPr>
        <w:pStyle w:val="ListParagraph"/>
        <w:keepNext/>
        <w:keepLines/>
        <w:tabs>
          <w:tab w:val="left" w:pos="567"/>
        </w:tabs>
        <w:jc w:val="both"/>
        <w:rPr>
          <w:rFonts w:cs="Arial"/>
          <w:lang w:val="ru-RU"/>
        </w:rPr>
      </w:pPr>
    </w:p>
    <w:p w:rsidR="00495A3D" w:rsidRPr="00495A3D" w:rsidRDefault="00495A3D" w:rsidP="00BF61DC">
      <w:pPr>
        <w:pStyle w:val="ListParagraph"/>
        <w:keepNext/>
        <w:keepLines/>
        <w:numPr>
          <w:ilvl w:val="0"/>
          <w:numId w:val="101"/>
        </w:numPr>
        <w:tabs>
          <w:tab w:val="left" w:pos="567"/>
        </w:tabs>
        <w:ind w:left="0" w:firstLine="0"/>
        <w:contextualSpacing/>
        <w:jc w:val="both"/>
        <w:rPr>
          <w:rFonts w:cs="Arial"/>
          <w:lang w:val="ru-RU"/>
        </w:rPr>
      </w:pPr>
      <w:r w:rsidRPr="00495A3D">
        <w:rPr>
          <w:lang w:val="ru-RU"/>
        </w:rPr>
        <w:t>Расходы, связанные исключительно с Мадридской системой, составляют около 96</w:t>
      </w:r>
      <w:r>
        <w:t> </w:t>
      </w:r>
      <w:r w:rsidRPr="00495A3D">
        <w:rPr>
          <w:lang w:val="ru-RU"/>
        </w:rPr>
        <w:t>процентов расходов по программе 6 (Мадридская и Лиссабонская системы)</w:t>
      </w:r>
      <w:r>
        <w:rPr>
          <w:rStyle w:val="FootnoteReference"/>
        </w:rPr>
        <w:footnoteReference w:id="31"/>
      </w:r>
      <w:r w:rsidRPr="00495A3D">
        <w:rPr>
          <w:lang w:val="ru-RU"/>
        </w:rPr>
        <w:t>.  Расходы на обеспечение работы Лиссабонского реестра в 2015</w:t>
      </w:r>
      <w:r>
        <w:t> </w:t>
      </w:r>
      <w:r w:rsidRPr="00495A3D">
        <w:rPr>
          <w:lang w:val="ru-RU"/>
        </w:rPr>
        <w:t>г. исключены из общих производственных издержек Мадридской системы</w:t>
      </w:r>
      <w:r>
        <w:rPr>
          <w:rStyle w:val="FootnoteReference"/>
        </w:rPr>
        <w:footnoteReference w:id="32"/>
      </w:r>
      <w:r w:rsidRPr="00495A3D">
        <w:rPr>
          <w:lang w:val="ru-RU"/>
        </w:rPr>
        <w:t>.</w:t>
      </w:r>
    </w:p>
    <w:p w:rsidR="00495A3D" w:rsidRPr="00495A3D" w:rsidRDefault="00495A3D" w:rsidP="00495A3D">
      <w:pPr>
        <w:pStyle w:val="ListParagraph"/>
        <w:keepNext/>
        <w:keepLines/>
        <w:tabs>
          <w:tab w:val="left" w:pos="567"/>
        </w:tabs>
        <w:jc w:val="both"/>
        <w:rPr>
          <w:rFonts w:cs="Arial"/>
          <w:lang w:val="ru-RU"/>
        </w:rPr>
      </w:pPr>
    </w:p>
    <w:p w:rsidR="00495A3D" w:rsidRPr="00495A3D" w:rsidRDefault="00495A3D" w:rsidP="00BF61DC">
      <w:pPr>
        <w:pStyle w:val="ListParagraph"/>
        <w:keepNext/>
        <w:keepLines/>
        <w:numPr>
          <w:ilvl w:val="0"/>
          <w:numId w:val="101"/>
        </w:numPr>
        <w:tabs>
          <w:tab w:val="left" w:pos="567"/>
        </w:tabs>
        <w:ind w:left="0" w:firstLine="0"/>
        <w:contextualSpacing/>
        <w:jc w:val="both"/>
        <w:rPr>
          <w:rFonts w:cs="Arial"/>
          <w:lang w:val="ru-RU"/>
        </w:rPr>
      </w:pPr>
      <w:r w:rsidRPr="00495A3D">
        <w:rPr>
          <w:lang w:val="ru-RU"/>
        </w:rPr>
        <w:t>Расходы на деятельность Мадридской системы включают в себя расходы на следующие общие услуги: конференционные и лингвистические услуги, строительство, исполнительное руководство, финансы и бюджет, административная поддержка, управление людскими ресурсами, внутренний надзор, ИТ, а также охрана и безопасность.  Небольшая доля этих расходов (стоимость размещения серверного оборудования в МВЦООН и доля расходов Секции управления доходами Финансового отдела) напрямую связана с Мадридской системой, тогда как остальные подобные расходы, относящиеся к Мадридской системе, рассчитываются на основе числа сотрудников (включая сотрудников, имеющих срочные и временные контракты, а также стипендиатов).</w:t>
      </w:r>
    </w:p>
    <w:p w:rsidR="00495A3D" w:rsidRPr="00495A3D" w:rsidRDefault="00495A3D" w:rsidP="00495A3D">
      <w:pPr>
        <w:pStyle w:val="ListParagraph"/>
        <w:rPr>
          <w:rFonts w:cs="Arial"/>
          <w:lang w:val="ru-RU"/>
        </w:rPr>
      </w:pPr>
    </w:p>
    <w:p w:rsidR="00495A3D" w:rsidRPr="00495A3D" w:rsidRDefault="00495A3D" w:rsidP="00495A3D">
      <w:pPr>
        <w:rPr>
          <w:rFonts w:cs="Arial"/>
          <w:lang w:val="ru-RU"/>
        </w:rPr>
      </w:pPr>
    </w:p>
    <w:p w:rsidR="00495A3D" w:rsidRPr="00495A3D" w:rsidRDefault="00495A3D" w:rsidP="00495A3D">
      <w:pPr>
        <w:jc w:val="center"/>
        <w:rPr>
          <w:rFonts w:cs="Arial"/>
          <w:lang w:val="ru-RU"/>
        </w:rPr>
      </w:pPr>
    </w:p>
    <w:p w:rsidR="00495A3D" w:rsidRPr="00495A3D" w:rsidRDefault="00495A3D" w:rsidP="00495A3D">
      <w:pPr>
        <w:jc w:val="center"/>
        <w:rPr>
          <w:rFonts w:cs="Arial"/>
          <w:lang w:val="ru-RU"/>
        </w:rPr>
      </w:pPr>
    </w:p>
    <w:p w:rsidR="00495A3D" w:rsidRDefault="00495A3D" w:rsidP="00495A3D">
      <w:pPr>
        <w:jc w:val="center"/>
        <w:rPr>
          <w:rFonts w:cs="Arial"/>
        </w:rPr>
      </w:pPr>
      <w:r>
        <w:rPr>
          <w:rFonts w:cs="Arial"/>
          <w:noProof/>
        </w:rPr>
        <w:drawing>
          <wp:inline distT="0" distB="0" distL="0" distR="0" wp14:anchorId="45435836" wp14:editId="439BD779">
            <wp:extent cx="5940425" cy="3518804"/>
            <wp:effectExtent l="0" t="0" r="3175" b="5715"/>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0425" cy="3518804"/>
                    </a:xfrm>
                    <a:prstGeom prst="rect">
                      <a:avLst/>
                    </a:prstGeom>
                    <a:noFill/>
                    <a:ln>
                      <a:noFill/>
                    </a:ln>
                  </pic:spPr>
                </pic:pic>
              </a:graphicData>
            </a:graphic>
          </wp:inline>
        </w:drawing>
      </w:r>
    </w:p>
    <w:p w:rsidR="00495A3D" w:rsidRPr="00990B8A" w:rsidRDefault="00495A3D" w:rsidP="00495A3D">
      <w:pPr>
        <w:jc w:val="center"/>
        <w:rPr>
          <w:rFonts w:cs="Arial"/>
        </w:rPr>
      </w:pPr>
    </w:p>
    <w:p w:rsidR="00495A3D" w:rsidRPr="00495A3D" w:rsidRDefault="00495A3D" w:rsidP="00BF61DC">
      <w:pPr>
        <w:pStyle w:val="ListParagraph"/>
        <w:numPr>
          <w:ilvl w:val="0"/>
          <w:numId w:val="98"/>
        </w:numPr>
        <w:spacing w:after="200"/>
        <w:ind w:left="1134" w:hanging="567"/>
        <w:contextualSpacing/>
        <w:jc w:val="both"/>
        <w:rPr>
          <w:rFonts w:cs="Arial"/>
          <w:lang w:val="ru-RU"/>
        </w:rPr>
      </w:pPr>
      <w:r w:rsidRPr="00495A3D">
        <w:rPr>
          <w:lang w:val="ru-RU"/>
        </w:rPr>
        <w:t>В 2015</w:t>
      </w:r>
      <w:r>
        <w:t> </w:t>
      </w:r>
      <w:r w:rsidRPr="00495A3D">
        <w:rPr>
          <w:lang w:val="ru-RU"/>
        </w:rPr>
        <w:t>г. общие производственные издержки оценивались в 46,3</w:t>
      </w:r>
      <w:r>
        <w:t> </w:t>
      </w:r>
      <w:r w:rsidRPr="00495A3D">
        <w:rPr>
          <w:lang w:val="ru-RU"/>
        </w:rPr>
        <w:t>млн шв.</w:t>
      </w:r>
      <w:r>
        <w:t> </w:t>
      </w:r>
      <w:r w:rsidRPr="00495A3D">
        <w:rPr>
          <w:lang w:val="ru-RU"/>
        </w:rPr>
        <w:t>франков.  Это на 11</w:t>
      </w:r>
      <w:r>
        <w:t> </w:t>
      </w:r>
      <w:r w:rsidRPr="00495A3D">
        <w:rPr>
          <w:lang w:val="ru-RU"/>
        </w:rPr>
        <w:t>процентов больше, чем в 2014</w:t>
      </w:r>
      <w:r>
        <w:t> </w:t>
      </w:r>
      <w:r w:rsidRPr="00495A3D">
        <w:rPr>
          <w:lang w:val="ru-RU"/>
        </w:rPr>
        <w:t>г.  Общие производственные издержки в двухлетний период 2014–2015</w:t>
      </w:r>
      <w:r>
        <w:t> </w:t>
      </w:r>
      <w:r w:rsidRPr="00495A3D">
        <w:rPr>
          <w:lang w:val="ru-RU"/>
        </w:rPr>
        <w:t>гг. увеличились на 10</w:t>
      </w:r>
      <w:r>
        <w:t> </w:t>
      </w:r>
      <w:r w:rsidRPr="00495A3D">
        <w:rPr>
          <w:lang w:val="ru-RU"/>
        </w:rPr>
        <w:t>процентов по сравнению с двухлетним периодом 2012–2013</w:t>
      </w:r>
      <w:r>
        <w:t> </w:t>
      </w:r>
      <w:r w:rsidRPr="00495A3D">
        <w:rPr>
          <w:lang w:val="ru-RU"/>
        </w:rPr>
        <w:t>гг.</w:t>
      </w:r>
    </w:p>
    <w:p w:rsidR="00495A3D" w:rsidRPr="00495A3D" w:rsidRDefault="00495A3D" w:rsidP="00495A3D">
      <w:pPr>
        <w:pStyle w:val="ListParagraph"/>
        <w:ind w:left="1134" w:hanging="567"/>
        <w:jc w:val="both"/>
        <w:rPr>
          <w:rFonts w:cs="Arial"/>
          <w:lang w:val="ru-RU"/>
        </w:rPr>
      </w:pPr>
    </w:p>
    <w:p w:rsidR="00495A3D" w:rsidRPr="00495A3D" w:rsidRDefault="00495A3D" w:rsidP="00BF61DC">
      <w:pPr>
        <w:pStyle w:val="ListParagraph"/>
        <w:numPr>
          <w:ilvl w:val="0"/>
          <w:numId w:val="98"/>
        </w:numPr>
        <w:ind w:left="1134" w:hanging="567"/>
        <w:contextualSpacing/>
        <w:jc w:val="both"/>
        <w:rPr>
          <w:rFonts w:cs="Arial"/>
          <w:lang w:val="ru-RU"/>
        </w:rPr>
      </w:pPr>
      <w:r w:rsidRPr="00495A3D">
        <w:rPr>
          <w:lang w:val="ru-RU"/>
        </w:rPr>
        <w:t>В 2015</w:t>
      </w:r>
      <w:r>
        <w:t> </w:t>
      </w:r>
      <w:r w:rsidRPr="00495A3D">
        <w:rPr>
          <w:lang w:val="ru-RU"/>
        </w:rPr>
        <w:t>г. объем прямых издержек составил 61</w:t>
      </w:r>
      <w:r>
        <w:t> </w:t>
      </w:r>
      <w:r w:rsidRPr="00495A3D">
        <w:rPr>
          <w:lang w:val="ru-RU"/>
        </w:rPr>
        <w:t xml:space="preserve">процент от общих издержек. </w:t>
      </w:r>
    </w:p>
    <w:p w:rsidR="00495A3D" w:rsidRPr="00495A3D" w:rsidRDefault="00495A3D" w:rsidP="00495A3D">
      <w:pPr>
        <w:ind w:left="1134" w:hanging="567"/>
        <w:jc w:val="both"/>
        <w:rPr>
          <w:rFonts w:cs="Arial"/>
          <w:szCs w:val="20"/>
          <w:lang w:val="ru-RU"/>
        </w:rPr>
      </w:pPr>
    </w:p>
    <w:p w:rsidR="00495A3D" w:rsidRPr="00495A3D" w:rsidRDefault="00495A3D" w:rsidP="00495A3D">
      <w:pPr>
        <w:ind w:left="1080"/>
        <w:jc w:val="both"/>
        <w:rPr>
          <w:rFonts w:cs="Arial"/>
          <w:szCs w:val="20"/>
          <w:lang w:val="ru-RU"/>
        </w:rPr>
      </w:pPr>
    </w:p>
    <w:p w:rsidR="00495A3D" w:rsidRDefault="00495A3D" w:rsidP="00495A3D">
      <w:pPr>
        <w:pStyle w:val="ListParagraph"/>
        <w:ind w:left="0"/>
        <w:jc w:val="both"/>
        <w:rPr>
          <w:rFonts w:cs="Arial"/>
          <w:u w:val="single"/>
        </w:rPr>
      </w:pPr>
      <w:r>
        <w:rPr>
          <w:u w:val="single"/>
        </w:rPr>
        <w:t xml:space="preserve">Удельная стоимость  </w:t>
      </w:r>
    </w:p>
    <w:p w:rsidR="00495A3D" w:rsidRPr="00990B8A" w:rsidRDefault="00495A3D" w:rsidP="00495A3D">
      <w:pPr>
        <w:jc w:val="both"/>
        <w:rPr>
          <w:rFonts w:cs="Arial"/>
          <w:szCs w:val="20"/>
        </w:rPr>
      </w:pPr>
    </w:p>
    <w:p w:rsidR="00495A3D" w:rsidRPr="00990B8A" w:rsidRDefault="00495A3D" w:rsidP="00BF61DC">
      <w:pPr>
        <w:pStyle w:val="ListParagraph"/>
        <w:numPr>
          <w:ilvl w:val="0"/>
          <w:numId w:val="101"/>
        </w:numPr>
        <w:tabs>
          <w:tab w:val="left" w:pos="567"/>
        </w:tabs>
        <w:ind w:left="0" w:firstLine="0"/>
        <w:contextualSpacing/>
        <w:jc w:val="both"/>
        <w:rPr>
          <w:rFonts w:cs="Arial"/>
        </w:rPr>
      </w:pPr>
      <w:r w:rsidRPr="00495A3D">
        <w:rPr>
          <w:lang w:val="ru-RU"/>
        </w:rPr>
        <w:t xml:space="preserve">В качестве показателя оперативной эффективности МБ можно использовать удельную стоимость, определяемую как среднюю </w:t>
      </w:r>
      <w:r>
        <w:t>стоимость единицы продукции.</w:t>
      </w:r>
    </w:p>
    <w:p w:rsidR="00495A3D" w:rsidRPr="00990B8A" w:rsidRDefault="00495A3D" w:rsidP="00495A3D">
      <w:pPr>
        <w:contextualSpacing/>
        <w:jc w:val="both"/>
        <w:rPr>
          <w:rFonts w:cs="Arial"/>
          <w:szCs w:val="20"/>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Поскольку МБ регистрирует новые заявки и поддерживает в силе существующие регистрации, целесообразно включать в состав единицы продукции набор операций.  Ниже приводятся два показателя удельной стоимости, в которых учитываются две разные категории единицы продукции.</w:t>
      </w:r>
    </w:p>
    <w:p w:rsidR="00495A3D" w:rsidRPr="00495A3D" w:rsidRDefault="00495A3D" w:rsidP="00495A3D">
      <w:pPr>
        <w:pStyle w:val="ListParagraph"/>
        <w:tabs>
          <w:tab w:val="left" w:pos="567"/>
        </w:tabs>
        <w:ind w:left="0"/>
        <w:jc w:val="both"/>
        <w:rPr>
          <w:rFonts w:cs="Arial"/>
          <w:lang w:val="ru-RU"/>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В рамках усилий МБ по постоянному совершенствованию способа расчета удельной стоимости в Программе и бюджете на 2016–2017</w:t>
      </w:r>
      <w:r>
        <w:t> </w:t>
      </w:r>
      <w:r w:rsidRPr="00495A3D">
        <w:rPr>
          <w:lang w:val="ru-RU"/>
        </w:rPr>
        <w:t>гг. использован пересмотренный подход, позволяющий более точно отразить стоимость обработки документации Мадридской системы в МБ:</w:t>
      </w:r>
    </w:p>
    <w:p w:rsidR="00495A3D" w:rsidRPr="00495A3D" w:rsidRDefault="00495A3D" w:rsidP="00495A3D">
      <w:pPr>
        <w:pStyle w:val="ListParagraph"/>
        <w:tabs>
          <w:tab w:val="left" w:pos="567"/>
        </w:tabs>
        <w:ind w:left="0"/>
        <w:jc w:val="both"/>
        <w:rPr>
          <w:rFonts w:cs="Arial"/>
          <w:lang w:val="ru-RU"/>
        </w:rPr>
      </w:pPr>
    </w:p>
    <w:p w:rsidR="00495A3D" w:rsidRPr="00495A3D" w:rsidRDefault="00495A3D" w:rsidP="00BF61DC">
      <w:pPr>
        <w:pStyle w:val="ListParagraph"/>
        <w:numPr>
          <w:ilvl w:val="0"/>
          <w:numId w:val="97"/>
        </w:numPr>
        <w:spacing w:after="200"/>
        <w:ind w:left="1134" w:hanging="567"/>
        <w:contextualSpacing/>
        <w:jc w:val="both"/>
        <w:rPr>
          <w:rFonts w:cs="Arial"/>
          <w:lang w:val="ru-RU"/>
        </w:rPr>
      </w:pPr>
      <w:r w:rsidRPr="00495A3D">
        <w:rPr>
          <w:lang w:val="ru-RU"/>
        </w:rPr>
        <w:t>Методика расчета прямых и косвенных издержек Мадридской системы приведена в соответствие с методиками расчета удельной стоимости в системе РСТ и Гаагской системе.</w:t>
      </w:r>
    </w:p>
    <w:p w:rsidR="00495A3D" w:rsidRPr="00495A3D" w:rsidRDefault="00495A3D" w:rsidP="00495A3D">
      <w:pPr>
        <w:pStyle w:val="ListParagraph"/>
        <w:ind w:left="1134" w:hanging="567"/>
        <w:jc w:val="both"/>
        <w:rPr>
          <w:rFonts w:cs="Arial"/>
          <w:lang w:val="ru-RU"/>
        </w:rPr>
      </w:pPr>
    </w:p>
    <w:p w:rsidR="00495A3D" w:rsidRPr="00495A3D" w:rsidRDefault="00495A3D" w:rsidP="00BF61DC">
      <w:pPr>
        <w:pStyle w:val="ListParagraph"/>
        <w:numPr>
          <w:ilvl w:val="0"/>
          <w:numId w:val="97"/>
        </w:numPr>
        <w:spacing w:after="200"/>
        <w:ind w:left="1134" w:hanging="567"/>
        <w:contextualSpacing/>
        <w:jc w:val="both"/>
        <w:rPr>
          <w:rFonts w:cs="Arial"/>
          <w:lang w:val="ru-RU"/>
        </w:rPr>
      </w:pPr>
      <w:r w:rsidRPr="00495A3D">
        <w:rPr>
          <w:lang w:val="ru-RU"/>
        </w:rPr>
        <w:t>Введена система весовых показателей, позволяющая более точно определить объем фактической работы, которую необходимо провести для обработки шести категорий документов при том понимании, что обработка некоторых видов документов более трудоемка</w:t>
      </w:r>
      <w:r>
        <w:rPr>
          <w:rStyle w:val="FootnoteReference"/>
        </w:rPr>
        <w:footnoteReference w:id="33"/>
      </w:r>
      <w:r w:rsidRPr="00495A3D">
        <w:rPr>
          <w:lang w:val="ru-RU"/>
        </w:rPr>
        <w:t>.</w:t>
      </w:r>
    </w:p>
    <w:p w:rsidR="00495A3D" w:rsidRPr="00495A3D" w:rsidRDefault="00495A3D" w:rsidP="00495A3D">
      <w:pPr>
        <w:pStyle w:val="ListParagraph"/>
        <w:ind w:left="1134" w:hanging="567"/>
        <w:jc w:val="both"/>
        <w:rPr>
          <w:rFonts w:cs="Arial"/>
          <w:lang w:val="ru-RU"/>
        </w:rPr>
      </w:pPr>
    </w:p>
    <w:p w:rsidR="00495A3D" w:rsidRPr="00495A3D" w:rsidRDefault="00495A3D" w:rsidP="00BF61DC">
      <w:pPr>
        <w:pStyle w:val="ListParagraph"/>
        <w:numPr>
          <w:ilvl w:val="0"/>
          <w:numId w:val="97"/>
        </w:numPr>
        <w:spacing w:after="200"/>
        <w:ind w:left="1134" w:hanging="567"/>
        <w:contextualSpacing/>
        <w:jc w:val="both"/>
        <w:rPr>
          <w:rFonts w:cs="Arial"/>
          <w:lang w:val="ru-RU"/>
        </w:rPr>
      </w:pPr>
      <w:r w:rsidRPr="00495A3D">
        <w:rPr>
          <w:lang w:val="ru-RU"/>
        </w:rPr>
        <w:t>Первый показатель удельной стоимости был переопределен таким образом, чтобы в нем учитывались только новые международные регистрации и продления (при определении удельной стоимости в Программе и бюджете на 2014–2015</w:t>
      </w:r>
      <w:r>
        <w:t> </w:t>
      </w:r>
      <w:r w:rsidRPr="00495A3D">
        <w:rPr>
          <w:lang w:val="ru-RU"/>
        </w:rPr>
        <w:t>гг. учитывались также последующие указания).  Удаление из этого показателя последующих указаний объясняется стремлением сосредоточить основное внимание на основных «продуктах» Мадридской системы, т.е. международной регистрации и ее продлении.  Все остальные операции, осуществляемые в рамках Мадридской системы (последующие указания, изменения, решения и исправления), могут рассматриваться в качестве второстепенных по отношению к двум, указанным выше.  Кроме того, на практике не представляется возможным объяснить, почему одна второстепенная операция должна учитываться в показателе удельной стоимости, а другие – нет.</w:t>
      </w:r>
    </w:p>
    <w:p w:rsidR="00495A3D" w:rsidRPr="00495A3D" w:rsidRDefault="00495A3D" w:rsidP="00495A3D">
      <w:pPr>
        <w:pStyle w:val="ListParagraph"/>
        <w:ind w:left="1134" w:hanging="567"/>
        <w:rPr>
          <w:rFonts w:cs="Arial"/>
          <w:lang w:val="ru-RU"/>
        </w:rPr>
      </w:pPr>
    </w:p>
    <w:p w:rsidR="00495A3D" w:rsidRPr="00495A3D" w:rsidRDefault="00495A3D" w:rsidP="00BF61DC">
      <w:pPr>
        <w:pStyle w:val="ListParagraph"/>
        <w:numPr>
          <w:ilvl w:val="0"/>
          <w:numId w:val="97"/>
        </w:numPr>
        <w:ind w:left="1134" w:hanging="567"/>
        <w:contextualSpacing/>
        <w:jc w:val="both"/>
        <w:rPr>
          <w:rFonts w:cs="Arial"/>
          <w:lang w:val="ru-RU"/>
        </w:rPr>
      </w:pPr>
      <w:r w:rsidRPr="00495A3D">
        <w:rPr>
          <w:lang w:val="ru-RU"/>
        </w:rPr>
        <w:t>Второй показатель удельной стоимости рассчитан только на основании числа внесенных в реестр документов, вне зависимости от того, что для обработки каждого типа документов требуется разный объем ресурсов.</w:t>
      </w:r>
    </w:p>
    <w:p w:rsidR="00495A3D" w:rsidRPr="00495A3D" w:rsidRDefault="00495A3D" w:rsidP="00495A3D">
      <w:pPr>
        <w:jc w:val="both"/>
        <w:rPr>
          <w:rFonts w:cs="Arial"/>
          <w:szCs w:val="20"/>
          <w:lang w:val="ru-RU"/>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На следующих графиках для удобства сравнения показано изменение двух показателей удельной стоимости с 2008 по 2014</w:t>
      </w:r>
      <w:r>
        <w:t> </w:t>
      </w:r>
      <w:r w:rsidRPr="00495A3D">
        <w:rPr>
          <w:lang w:val="ru-RU"/>
        </w:rPr>
        <w:t>гг., рассчитанной по прежней методике, и с 2012 по 2015</w:t>
      </w:r>
      <w:r>
        <w:t> </w:t>
      </w:r>
      <w:r w:rsidRPr="00495A3D">
        <w:rPr>
          <w:lang w:val="ru-RU"/>
        </w:rPr>
        <w:t>гг. –рассчитанной по новой методике, включая разбивку на прямые и косвенные затраты.</w:t>
      </w:r>
    </w:p>
    <w:p w:rsidR="00495A3D" w:rsidRPr="00495A3D" w:rsidRDefault="00495A3D" w:rsidP="00495A3D">
      <w:pPr>
        <w:jc w:val="both"/>
        <w:rPr>
          <w:rFonts w:cs="Arial"/>
          <w:szCs w:val="20"/>
          <w:lang w:val="ru-RU"/>
        </w:rPr>
      </w:pPr>
    </w:p>
    <w:p w:rsidR="00495A3D" w:rsidRPr="00495A3D" w:rsidRDefault="00495A3D" w:rsidP="00495A3D">
      <w:pPr>
        <w:pStyle w:val="ListParagraph"/>
        <w:keepNext/>
        <w:keepLines/>
        <w:tabs>
          <w:tab w:val="left" w:pos="1701"/>
        </w:tabs>
        <w:ind w:left="567"/>
        <w:jc w:val="both"/>
        <w:rPr>
          <w:rFonts w:cs="Arial"/>
          <w:i/>
          <w:lang w:val="ru-RU"/>
        </w:rPr>
      </w:pPr>
      <w:r w:rsidRPr="00495A3D">
        <w:rPr>
          <w:i/>
          <w:lang w:val="ru-RU"/>
        </w:rPr>
        <w:t>Удельная стоимость в расчете на одну новую или продленную международную регистрацию</w:t>
      </w:r>
    </w:p>
    <w:p w:rsidR="00495A3D" w:rsidRPr="00495A3D" w:rsidRDefault="00495A3D" w:rsidP="00495A3D">
      <w:pPr>
        <w:jc w:val="both"/>
        <w:rPr>
          <w:rFonts w:cs="Arial"/>
          <w:szCs w:val="20"/>
          <w:lang w:val="ru-RU"/>
        </w:rPr>
      </w:pPr>
    </w:p>
    <w:p w:rsidR="00495A3D" w:rsidRPr="00990B8A" w:rsidRDefault="00495A3D" w:rsidP="00BF61DC">
      <w:pPr>
        <w:pStyle w:val="ListParagraph"/>
        <w:numPr>
          <w:ilvl w:val="0"/>
          <w:numId w:val="101"/>
        </w:numPr>
        <w:tabs>
          <w:tab w:val="left" w:pos="567"/>
        </w:tabs>
        <w:ind w:left="0" w:firstLine="0"/>
        <w:contextualSpacing/>
        <w:jc w:val="both"/>
        <w:rPr>
          <w:rFonts w:cs="Arial"/>
        </w:rPr>
      </w:pPr>
      <w:r w:rsidRPr="00495A3D">
        <w:rPr>
          <w:lang w:val="ru-RU"/>
        </w:rPr>
        <w:t xml:space="preserve">Под новыми международными регистрациями понимаются заявки, зарегистрированные в конкретный год, а под продленными международными регистрациями – существующие регистрации, срок действия которых был продлен в конкретный год.  </w:t>
      </w:r>
      <w:r>
        <w:t>Именно эти два вида операций составляют основу деятельности МБ.</w:t>
      </w:r>
    </w:p>
    <w:p w:rsidR="00495A3D" w:rsidRPr="00990B8A" w:rsidRDefault="00495A3D" w:rsidP="00495A3D">
      <w:pPr>
        <w:jc w:val="both"/>
        <w:rPr>
          <w:rFonts w:cs="Arial"/>
          <w:szCs w:val="20"/>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Поскольку при обработке разных видов документов требуется разный объем ресурсов, для каждой категории задается свой весовой показатель</w:t>
      </w:r>
      <w:r>
        <w:rPr>
          <w:rStyle w:val="FootnoteReference"/>
        </w:rPr>
        <w:footnoteReference w:id="34"/>
      </w:r>
      <w:r w:rsidRPr="00495A3D">
        <w:rPr>
          <w:lang w:val="ru-RU"/>
        </w:rPr>
        <w:t xml:space="preserve">.  Удельная стоимость рассчитывается путем деления общих производственных издержек на число новых/продленных международных регистраций.  </w:t>
      </w:r>
    </w:p>
    <w:p w:rsidR="00495A3D" w:rsidRPr="00495A3D" w:rsidRDefault="00495A3D" w:rsidP="00495A3D">
      <w:pPr>
        <w:rPr>
          <w:rFonts w:cs="Arial"/>
          <w:lang w:val="ru-R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3"/>
      </w:tblGrid>
      <w:tr w:rsidR="00495A3D" w:rsidRPr="00990B8A" w:rsidTr="00495A3D">
        <w:trPr>
          <w:cantSplit/>
        </w:trPr>
        <w:tc>
          <w:tcPr>
            <w:tcW w:w="4788" w:type="dxa"/>
          </w:tcPr>
          <w:p w:rsidR="00495A3D" w:rsidRPr="00990B8A" w:rsidRDefault="00495A3D" w:rsidP="00495A3D">
            <w:pPr>
              <w:jc w:val="center"/>
              <w:rPr>
                <w:rFonts w:cs="Arial"/>
              </w:rPr>
            </w:pPr>
            <w:r>
              <w:t>Прежняя методика</w:t>
            </w:r>
          </w:p>
        </w:tc>
        <w:tc>
          <w:tcPr>
            <w:tcW w:w="4788" w:type="dxa"/>
          </w:tcPr>
          <w:p w:rsidR="00495A3D" w:rsidRPr="00990B8A" w:rsidRDefault="00495A3D" w:rsidP="00495A3D">
            <w:pPr>
              <w:jc w:val="center"/>
              <w:rPr>
                <w:rFonts w:cs="Arial"/>
              </w:rPr>
            </w:pPr>
            <w:r>
              <w:t>Новая методика</w:t>
            </w:r>
          </w:p>
        </w:tc>
      </w:tr>
      <w:tr w:rsidR="00495A3D" w:rsidRPr="00990B8A" w:rsidTr="00495A3D">
        <w:trPr>
          <w:cantSplit/>
        </w:trPr>
        <w:tc>
          <w:tcPr>
            <w:tcW w:w="4788" w:type="dxa"/>
          </w:tcPr>
          <w:p w:rsidR="00495A3D" w:rsidRPr="00990B8A" w:rsidRDefault="00495A3D" w:rsidP="00495A3D">
            <w:pPr>
              <w:jc w:val="center"/>
              <w:rPr>
                <w:rFonts w:cs="Arial"/>
              </w:rPr>
            </w:pPr>
            <w:r>
              <w:rPr>
                <w:rFonts w:cs="Arial"/>
                <w:noProof/>
              </w:rPr>
              <w:drawing>
                <wp:inline distT="0" distB="0" distL="0" distR="0" wp14:anchorId="4CA61E37" wp14:editId="1BE1F4FB">
                  <wp:extent cx="2891839" cy="1899750"/>
                  <wp:effectExtent l="0" t="0" r="3810" b="5715"/>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91949" cy="1899822"/>
                          </a:xfrm>
                          <a:prstGeom prst="rect">
                            <a:avLst/>
                          </a:prstGeom>
                          <a:noFill/>
                          <a:ln>
                            <a:noFill/>
                          </a:ln>
                        </pic:spPr>
                      </pic:pic>
                    </a:graphicData>
                  </a:graphic>
                </wp:inline>
              </w:drawing>
            </w:r>
          </w:p>
        </w:tc>
        <w:tc>
          <w:tcPr>
            <w:tcW w:w="4788" w:type="dxa"/>
          </w:tcPr>
          <w:p w:rsidR="00495A3D" w:rsidRPr="00990B8A" w:rsidRDefault="00495A3D" w:rsidP="00495A3D">
            <w:pPr>
              <w:jc w:val="center"/>
              <w:rPr>
                <w:rFonts w:cs="Arial"/>
              </w:rPr>
            </w:pPr>
            <w:r>
              <w:rPr>
                <w:rFonts w:cs="Arial"/>
                <w:noProof/>
              </w:rPr>
              <w:drawing>
                <wp:inline distT="0" distB="0" distL="0" distR="0" wp14:anchorId="46800239" wp14:editId="37E211A9">
                  <wp:extent cx="2376240" cy="1846613"/>
                  <wp:effectExtent l="0" t="0" r="5080" b="127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382881" cy="1851774"/>
                          </a:xfrm>
                          <a:prstGeom prst="rect">
                            <a:avLst/>
                          </a:prstGeom>
                          <a:noFill/>
                          <a:ln>
                            <a:noFill/>
                          </a:ln>
                        </pic:spPr>
                      </pic:pic>
                    </a:graphicData>
                  </a:graphic>
                </wp:inline>
              </w:drawing>
            </w:r>
          </w:p>
        </w:tc>
      </w:tr>
    </w:tbl>
    <w:p w:rsidR="00495A3D" w:rsidRPr="00990B8A" w:rsidRDefault="00495A3D" w:rsidP="00495A3D">
      <w:pPr>
        <w:rPr>
          <w:rFonts w:cs="Arial"/>
        </w:rPr>
      </w:pPr>
    </w:p>
    <w:p w:rsidR="00495A3D" w:rsidRPr="00495A3D" w:rsidRDefault="00495A3D" w:rsidP="00BF61DC">
      <w:pPr>
        <w:pStyle w:val="ListParagraph"/>
        <w:numPr>
          <w:ilvl w:val="0"/>
          <w:numId w:val="99"/>
        </w:numPr>
        <w:contextualSpacing/>
        <w:jc w:val="both"/>
        <w:rPr>
          <w:rFonts w:cs="Arial"/>
          <w:lang w:val="ru-RU"/>
        </w:rPr>
      </w:pPr>
      <w:r w:rsidRPr="00495A3D">
        <w:rPr>
          <w:lang w:val="ru-RU"/>
        </w:rPr>
        <w:t>В 2015</w:t>
      </w:r>
      <w:r>
        <w:t> </w:t>
      </w:r>
      <w:r w:rsidRPr="00495A3D">
        <w:rPr>
          <w:lang w:val="ru-RU"/>
        </w:rPr>
        <w:t>г. средняя удельная стоимость обработки одной новой/продленной международной регистрации составила 743</w:t>
      </w:r>
      <w:r>
        <w:t> </w:t>
      </w:r>
      <w:r w:rsidRPr="00495A3D">
        <w:rPr>
          <w:lang w:val="ru-RU"/>
        </w:rPr>
        <w:t>шв.</w:t>
      </w:r>
      <w:r>
        <w:t> </w:t>
      </w:r>
      <w:r w:rsidRPr="00495A3D">
        <w:rPr>
          <w:lang w:val="ru-RU"/>
        </w:rPr>
        <w:t>франков.  Это на 11</w:t>
      </w:r>
      <w:r>
        <w:t> </w:t>
      </w:r>
      <w:r w:rsidRPr="00495A3D">
        <w:rPr>
          <w:lang w:val="ru-RU"/>
        </w:rPr>
        <w:t>процента меньше, чем в 2014</w:t>
      </w:r>
      <w:r>
        <w:t> </w:t>
      </w:r>
      <w:r w:rsidRPr="00495A3D">
        <w:rPr>
          <w:lang w:val="ru-RU"/>
        </w:rPr>
        <w:t>г.  Удельная стоимость в расчете на одну новую или продленную международную регистрацию в двухлетний период 2014–2015</w:t>
      </w:r>
      <w:r>
        <w:t> </w:t>
      </w:r>
      <w:r w:rsidRPr="00495A3D">
        <w:rPr>
          <w:lang w:val="ru-RU"/>
        </w:rPr>
        <w:t>гг. снизилась на один</w:t>
      </w:r>
      <w:r>
        <w:t> </w:t>
      </w:r>
      <w:r w:rsidRPr="00495A3D">
        <w:rPr>
          <w:lang w:val="ru-RU"/>
        </w:rPr>
        <w:t>процент по сравнению с двухлетним периодом 2012–2013</w:t>
      </w:r>
      <w:r>
        <w:t> </w:t>
      </w:r>
      <w:r w:rsidRPr="00495A3D">
        <w:rPr>
          <w:lang w:val="ru-RU"/>
        </w:rPr>
        <w:t>гг.</w:t>
      </w:r>
    </w:p>
    <w:p w:rsidR="00495A3D" w:rsidRPr="00495A3D" w:rsidRDefault="00495A3D" w:rsidP="00495A3D">
      <w:pPr>
        <w:keepNext/>
        <w:keepLines/>
        <w:jc w:val="center"/>
        <w:rPr>
          <w:rFonts w:cs="Arial"/>
          <w:szCs w:val="20"/>
          <w:lang w:val="ru-RU"/>
        </w:rPr>
      </w:pPr>
    </w:p>
    <w:p w:rsidR="00495A3D" w:rsidRPr="00495A3D" w:rsidRDefault="00495A3D" w:rsidP="00495A3D">
      <w:pPr>
        <w:pStyle w:val="ListParagraph"/>
        <w:keepNext/>
        <w:keepLines/>
        <w:tabs>
          <w:tab w:val="left" w:pos="1701"/>
        </w:tabs>
        <w:ind w:left="567"/>
        <w:jc w:val="both"/>
        <w:rPr>
          <w:rFonts w:cs="Arial"/>
          <w:i/>
          <w:lang w:val="ru-RU"/>
        </w:rPr>
      </w:pPr>
      <w:r w:rsidRPr="00495A3D">
        <w:rPr>
          <w:i/>
          <w:lang w:val="ru-RU"/>
        </w:rPr>
        <w:t>Удельная стоимость в расчете на один документ, занесенный в реестр</w:t>
      </w:r>
    </w:p>
    <w:p w:rsidR="00495A3D" w:rsidRPr="00495A3D" w:rsidRDefault="00495A3D" w:rsidP="00495A3D">
      <w:pPr>
        <w:keepNext/>
        <w:keepLines/>
        <w:jc w:val="both"/>
        <w:rPr>
          <w:rFonts w:cs="Arial"/>
          <w:szCs w:val="20"/>
          <w:lang w:val="ru-RU"/>
        </w:rPr>
      </w:pPr>
    </w:p>
    <w:p w:rsidR="00495A3D" w:rsidRPr="00495A3D" w:rsidRDefault="00495A3D" w:rsidP="00BF61DC">
      <w:pPr>
        <w:pStyle w:val="ListParagraph"/>
        <w:keepNext/>
        <w:keepLines/>
        <w:numPr>
          <w:ilvl w:val="0"/>
          <w:numId w:val="101"/>
        </w:numPr>
        <w:tabs>
          <w:tab w:val="left" w:pos="567"/>
        </w:tabs>
        <w:ind w:left="0" w:firstLine="0"/>
        <w:contextualSpacing/>
        <w:jc w:val="both"/>
        <w:rPr>
          <w:rFonts w:cs="Arial"/>
          <w:lang w:val="ru-RU"/>
        </w:rPr>
      </w:pPr>
      <w:r w:rsidRPr="00495A3D">
        <w:rPr>
          <w:lang w:val="ru-RU"/>
        </w:rPr>
        <w:t xml:space="preserve">Число документов, записи о которых заносятся в реестр, соответствует общему объему рабочей нагрузки (см. раздел «Общая рабочая нагрузка» выше). </w:t>
      </w:r>
    </w:p>
    <w:p w:rsidR="00495A3D" w:rsidRPr="00495A3D" w:rsidRDefault="00495A3D" w:rsidP="00495A3D">
      <w:pPr>
        <w:keepNext/>
        <w:keepLines/>
        <w:jc w:val="center"/>
        <w:rPr>
          <w:rFonts w:cs="Arial"/>
          <w:lang w:val="ru-RU"/>
        </w:rPr>
      </w:pPr>
    </w:p>
    <w:tbl>
      <w:tblPr>
        <w:tblStyle w:val="TableGrid"/>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86"/>
        <w:gridCol w:w="4536"/>
      </w:tblGrid>
      <w:tr w:rsidR="00495A3D" w:rsidRPr="00990B8A" w:rsidTr="00495A3D">
        <w:trPr>
          <w:cantSplit/>
          <w:trHeight w:val="273"/>
        </w:trPr>
        <w:tc>
          <w:tcPr>
            <w:tcW w:w="4786" w:type="dxa"/>
          </w:tcPr>
          <w:p w:rsidR="00495A3D" w:rsidRPr="00990B8A" w:rsidRDefault="00495A3D" w:rsidP="00495A3D">
            <w:pPr>
              <w:keepNext/>
              <w:keepLines/>
              <w:jc w:val="center"/>
              <w:rPr>
                <w:rFonts w:cs="Arial"/>
              </w:rPr>
            </w:pPr>
            <w:r>
              <w:t>Прежняя методика</w:t>
            </w:r>
          </w:p>
        </w:tc>
        <w:tc>
          <w:tcPr>
            <w:tcW w:w="4536" w:type="dxa"/>
          </w:tcPr>
          <w:p w:rsidR="00495A3D" w:rsidRPr="00990B8A" w:rsidRDefault="00495A3D" w:rsidP="00495A3D">
            <w:pPr>
              <w:keepNext/>
              <w:keepLines/>
              <w:jc w:val="center"/>
              <w:rPr>
                <w:rFonts w:cs="Arial"/>
              </w:rPr>
            </w:pPr>
            <w:r>
              <w:t>Новая методика</w:t>
            </w:r>
          </w:p>
        </w:tc>
      </w:tr>
      <w:tr w:rsidR="00495A3D" w:rsidRPr="00990B8A" w:rsidTr="00495A3D">
        <w:trPr>
          <w:cantSplit/>
          <w:trHeight w:val="3013"/>
        </w:trPr>
        <w:tc>
          <w:tcPr>
            <w:tcW w:w="4786" w:type="dxa"/>
          </w:tcPr>
          <w:p w:rsidR="00495A3D" w:rsidRPr="00990B8A" w:rsidRDefault="00495A3D" w:rsidP="00495A3D">
            <w:pPr>
              <w:keepNext/>
              <w:keepLines/>
              <w:jc w:val="center"/>
              <w:rPr>
                <w:rFonts w:cs="Arial"/>
              </w:rPr>
            </w:pPr>
            <w:r>
              <w:rPr>
                <w:rFonts w:cs="Arial"/>
                <w:noProof/>
              </w:rPr>
              <w:drawing>
                <wp:inline distT="0" distB="0" distL="0" distR="0" wp14:anchorId="76CC48C6" wp14:editId="1610BF9B">
                  <wp:extent cx="2897505" cy="1941830"/>
                  <wp:effectExtent l="0" t="0" r="0" b="127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897505" cy="1941830"/>
                          </a:xfrm>
                          <a:prstGeom prst="rect">
                            <a:avLst/>
                          </a:prstGeom>
                          <a:noFill/>
                          <a:ln>
                            <a:noFill/>
                          </a:ln>
                        </pic:spPr>
                      </pic:pic>
                    </a:graphicData>
                  </a:graphic>
                </wp:inline>
              </w:drawing>
            </w:r>
          </w:p>
        </w:tc>
        <w:tc>
          <w:tcPr>
            <w:tcW w:w="4536" w:type="dxa"/>
          </w:tcPr>
          <w:p w:rsidR="00495A3D" w:rsidRPr="00990B8A" w:rsidRDefault="00495A3D" w:rsidP="00495A3D">
            <w:pPr>
              <w:keepNext/>
              <w:keepLines/>
              <w:jc w:val="center"/>
              <w:rPr>
                <w:rFonts w:cs="Arial"/>
              </w:rPr>
            </w:pPr>
            <w:r>
              <w:rPr>
                <w:rFonts w:cs="Arial"/>
                <w:noProof/>
              </w:rPr>
              <w:drawing>
                <wp:inline distT="0" distB="0" distL="0" distR="0" wp14:anchorId="1B935189" wp14:editId="7DABBF65">
                  <wp:extent cx="2737485" cy="2143760"/>
                  <wp:effectExtent l="0" t="0" r="5715" b="889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37485" cy="2143760"/>
                          </a:xfrm>
                          <a:prstGeom prst="rect">
                            <a:avLst/>
                          </a:prstGeom>
                          <a:noFill/>
                          <a:ln>
                            <a:noFill/>
                          </a:ln>
                        </pic:spPr>
                      </pic:pic>
                    </a:graphicData>
                  </a:graphic>
                </wp:inline>
              </w:drawing>
            </w:r>
          </w:p>
        </w:tc>
      </w:tr>
    </w:tbl>
    <w:p w:rsidR="00495A3D" w:rsidRPr="00990B8A" w:rsidRDefault="00495A3D" w:rsidP="00495A3D">
      <w:pPr>
        <w:keepNext/>
        <w:keepLines/>
        <w:jc w:val="center"/>
        <w:rPr>
          <w:rFonts w:cs="Arial"/>
        </w:rPr>
      </w:pPr>
    </w:p>
    <w:p w:rsidR="00495A3D" w:rsidRPr="00495A3D" w:rsidRDefault="00495A3D" w:rsidP="00BF61DC">
      <w:pPr>
        <w:pStyle w:val="ListParagraph"/>
        <w:keepNext/>
        <w:keepLines/>
        <w:numPr>
          <w:ilvl w:val="0"/>
          <w:numId w:val="99"/>
        </w:numPr>
        <w:contextualSpacing/>
        <w:jc w:val="both"/>
        <w:rPr>
          <w:rFonts w:cs="Arial"/>
          <w:lang w:val="ru-RU"/>
        </w:rPr>
      </w:pPr>
      <w:r w:rsidRPr="00495A3D">
        <w:rPr>
          <w:lang w:val="ru-RU"/>
        </w:rPr>
        <w:t>Средняя стоимость внесения в реестр записи о документе немного выросла с 320</w:t>
      </w:r>
      <w:r>
        <w:t> </w:t>
      </w:r>
      <w:r w:rsidRPr="00495A3D">
        <w:rPr>
          <w:lang w:val="ru-RU"/>
        </w:rPr>
        <w:t>шв.</w:t>
      </w:r>
      <w:r>
        <w:t> </w:t>
      </w:r>
      <w:r w:rsidRPr="00495A3D">
        <w:rPr>
          <w:lang w:val="ru-RU"/>
        </w:rPr>
        <w:t>франков в 2012</w:t>
      </w:r>
      <w:r>
        <w:t> </w:t>
      </w:r>
      <w:r w:rsidRPr="00495A3D">
        <w:rPr>
          <w:lang w:val="ru-RU"/>
        </w:rPr>
        <w:t>г. до 323</w:t>
      </w:r>
      <w:r>
        <w:t> </w:t>
      </w:r>
      <w:r w:rsidRPr="00495A3D">
        <w:rPr>
          <w:lang w:val="ru-RU"/>
        </w:rPr>
        <w:t>шв.</w:t>
      </w:r>
      <w:r>
        <w:t> </w:t>
      </w:r>
      <w:r w:rsidRPr="00495A3D">
        <w:rPr>
          <w:lang w:val="ru-RU"/>
        </w:rPr>
        <w:t>франков в 2015</w:t>
      </w:r>
      <w:r>
        <w:t> </w:t>
      </w:r>
      <w:r w:rsidRPr="00495A3D">
        <w:rPr>
          <w:lang w:val="ru-RU"/>
        </w:rPr>
        <w:t>г.  Удельная стоимость в расчете на один документ, занесенный в реестр, в двухлетний период 2014–2015</w:t>
      </w:r>
      <w:r>
        <w:t> </w:t>
      </w:r>
      <w:r w:rsidRPr="00495A3D">
        <w:rPr>
          <w:lang w:val="ru-RU"/>
        </w:rPr>
        <w:t>гг. увеличилась на один процент по сравнению с двухлетним периодом 2012–2013</w:t>
      </w:r>
      <w:r>
        <w:t> </w:t>
      </w:r>
      <w:r w:rsidRPr="00495A3D">
        <w:rPr>
          <w:lang w:val="ru-RU"/>
        </w:rPr>
        <w:t>гг.</w:t>
      </w:r>
    </w:p>
    <w:p w:rsidR="00495A3D" w:rsidRPr="00495A3D" w:rsidRDefault="00495A3D" w:rsidP="00495A3D">
      <w:pPr>
        <w:pStyle w:val="ListParagraph"/>
        <w:ind w:left="1417"/>
        <w:jc w:val="both"/>
        <w:rPr>
          <w:rFonts w:cs="Arial"/>
          <w:lang w:val="ru-RU"/>
        </w:rPr>
      </w:pPr>
    </w:p>
    <w:p w:rsidR="00495A3D" w:rsidRPr="00495A3D" w:rsidRDefault="00495A3D" w:rsidP="00495A3D">
      <w:pPr>
        <w:jc w:val="both"/>
        <w:rPr>
          <w:rFonts w:cs="Arial"/>
          <w:szCs w:val="20"/>
          <w:lang w:val="ru-RU"/>
        </w:rPr>
      </w:pPr>
    </w:p>
    <w:p w:rsidR="00495A3D" w:rsidRPr="007F399A" w:rsidRDefault="00495A3D" w:rsidP="00BF61DC">
      <w:pPr>
        <w:pStyle w:val="ListParagraph"/>
        <w:numPr>
          <w:ilvl w:val="0"/>
          <w:numId w:val="96"/>
        </w:numPr>
        <w:ind w:left="567" w:hanging="567"/>
        <w:contextualSpacing/>
        <w:jc w:val="both"/>
        <w:rPr>
          <w:rFonts w:cs="Arial"/>
          <w:b/>
        </w:rPr>
      </w:pPr>
      <w:r>
        <w:rPr>
          <w:b/>
        </w:rPr>
        <w:t>Производительность труда при осуществлении экспертизы</w:t>
      </w:r>
    </w:p>
    <w:p w:rsidR="00495A3D" w:rsidRPr="001D3300" w:rsidRDefault="00495A3D" w:rsidP="00495A3D">
      <w:pPr>
        <w:jc w:val="both"/>
        <w:rPr>
          <w:rFonts w:cs="Arial"/>
          <w:szCs w:val="20"/>
        </w:rPr>
      </w:pPr>
    </w:p>
    <w:p w:rsidR="00495A3D" w:rsidRPr="007F399A" w:rsidRDefault="00495A3D" w:rsidP="00BF61DC">
      <w:pPr>
        <w:pStyle w:val="ListParagraph"/>
        <w:numPr>
          <w:ilvl w:val="0"/>
          <w:numId w:val="101"/>
        </w:numPr>
        <w:tabs>
          <w:tab w:val="left" w:pos="567"/>
        </w:tabs>
        <w:ind w:left="0" w:firstLine="0"/>
        <w:contextualSpacing/>
        <w:jc w:val="both"/>
        <w:rPr>
          <w:rFonts w:cs="Arial"/>
        </w:rPr>
      </w:pPr>
      <w:r w:rsidRPr="00495A3D">
        <w:rPr>
          <w:lang w:val="ru-RU"/>
        </w:rPr>
        <w:t>Производительность труда при проведении экспертизы определяется путем деления числа новых/продленных международных регистраций, обработанных специалистами по экспертизе, на число сотрудников, участвующих в этой работе.</w:t>
      </w:r>
      <w:r w:rsidRPr="00495A3D">
        <w:rPr>
          <w:rStyle w:val="FootnoteReference"/>
          <w:lang w:val="ru-RU"/>
        </w:rPr>
        <w:t xml:space="preserve"> </w:t>
      </w:r>
      <w:r w:rsidRPr="00495A3D">
        <w:rPr>
          <w:lang w:val="ru-RU"/>
        </w:rPr>
        <w:t xml:space="preserve"> </w:t>
      </w:r>
      <w:r>
        <w:t xml:space="preserve">К числу сотрудников относятся стипендиаты, стажеры и внешние подрядчики. </w:t>
      </w:r>
    </w:p>
    <w:p w:rsidR="00495A3D" w:rsidRPr="007F399A" w:rsidRDefault="00495A3D" w:rsidP="00495A3D">
      <w:pPr>
        <w:jc w:val="both"/>
        <w:rPr>
          <w:rFonts w:cs="Arial"/>
          <w:noProof/>
        </w:rPr>
      </w:pPr>
    </w:p>
    <w:p w:rsidR="00495A3D" w:rsidRPr="00990B8A" w:rsidRDefault="00495A3D" w:rsidP="00495A3D">
      <w:pPr>
        <w:jc w:val="center"/>
        <w:rPr>
          <w:rFonts w:cs="Arial"/>
        </w:rPr>
      </w:pPr>
      <w:r>
        <w:rPr>
          <w:rFonts w:cs="Arial"/>
          <w:noProof/>
        </w:rPr>
        <w:drawing>
          <wp:inline distT="0" distB="0" distL="0" distR="0" wp14:anchorId="40DA8299" wp14:editId="19D0F9A2">
            <wp:extent cx="5940425" cy="2870487"/>
            <wp:effectExtent l="0" t="0" r="3175" b="635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0425" cy="2870487"/>
                    </a:xfrm>
                    <a:prstGeom prst="rect">
                      <a:avLst/>
                    </a:prstGeom>
                    <a:noFill/>
                    <a:ln>
                      <a:noFill/>
                    </a:ln>
                  </pic:spPr>
                </pic:pic>
              </a:graphicData>
            </a:graphic>
          </wp:inline>
        </w:drawing>
      </w:r>
    </w:p>
    <w:p w:rsidR="00495A3D" w:rsidRPr="00495A3D" w:rsidRDefault="00495A3D" w:rsidP="00BF61DC">
      <w:pPr>
        <w:pStyle w:val="ListParagraph"/>
        <w:numPr>
          <w:ilvl w:val="0"/>
          <w:numId w:val="99"/>
        </w:numPr>
        <w:ind w:left="1134" w:hanging="567"/>
        <w:contextualSpacing/>
        <w:jc w:val="both"/>
        <w:rPr>
          <w:rFonts w:cs="Arial"/>
          <w:lang w:val="ru-RU"/>
        </w:rPr>
      </w:pPr>
      <w:r w:rsidRPr="00495A3D">
        <w:rPr>
          <w:lang w:val="ru-RU"/>
        </w:rPr>
        <w:t>Производительность труда при проведении экспертизы увеличилась на 17</w:t>
      </w:r>
      <w:r>
        <w:t> </w:t>
      </w:r>
      <w:r w:rsidRPr="00495A3D">
        <w:rPr>
          <w:lang w:val="ru-RU"/>
        </w:rPr>
        <w:t>процентов по сравнению с 2014</w:t>
      </w:r>
      <w:r>
        <w:t> </w:t>
      </w:r>
      <w:r w:rsidRPr="00495A3D">
        <w:rPr>
          <w:lang w:val="ru-RU"/>
        </w:rPr>
        <w:t>г.  Уровень 2015</w:t>
      </w:r>
      <w:r>
        <w:t> </w:t>
      </w:r>
      <w:r w:rsidRPr="00495A3D">
        <w:rPr>
          <w:lang w:val="ru-RU"/>
        </w:rPr>
        <w:t>г. (1</w:t>
      </w:r>
      <w:r>
        <w:t> </w:t>
      </w:r>
      <w:r w:rsidRPr="00495A3D">
        <w:rPr>
          <w:lang w:val="ru-RU"/>
        </w:rPr>
        <w:t>039 новых и продленных международных регистраций на одного сотрудника) был самым высоким за период 2008–2015</w:t>
      </w:r>
      <w:r>
        <w:t> </w:t>
      </w:r>
      <w:r w:rsidRPr="00495A3D">
        <w:rPr>
          <w:lang w:val="ru-RU"/>
        </w:rPr>
        <w:t xml:space="preserve">гг. </w:t>
      </w:r>
    </w:p>
    <w:p w:rsidR="00495A3D" w:rsidRPr="00495A3D" w:rsidRDefault="00495A3D" w:rsidP="00495A3D">
      <w:pPr>
        <w:pStyle w:val="ListParagraph"/>
        <w:jc w:val="both"/>
        <w:rPr>
          <w:rFonts w:cs="Arial"/>
          <w:lang w:val="ru-RU"/>
        </w:rPr>
      </w:pPr>
    </w:p>
    <w:p w:rsidR="00495A3D" w:rsidRPr="00641133" w:rsidRDefault="00495A3D" w:rsidP="00BF61DC">
      <w:pPr>
        <w:pStyle w:val="ListParagraph"/>
        <w:keepNext/>
        <w:keepLines/>
        <w:numPr>
          <w:ilvl w:val="0"/>
          <w:numId w:val="96"/>
        </w:numPr>
        <w:ind w:left="567" w:hanging="567"/>
        <w:contextualSpacing/>
        <w:jc w:val="both"/>
        <w:rPr>
          <w:rFonts w:cs="Arial"/>
          <w:b/>
        </w:rPr>
      </w:pPr>
      <w:r>
        <w:rPr>
          <w:b/>
        </w:rPr>
        <w:t>Персонал</w:t>
      </w:r>
    </w:p>
    <w:p w:rsidR="00495A3D" w:rsidRDefault="00495A3D" w:rsidP="00495A3D">
      <w:pPr>
        <w:keepNext/>
        <w:keepLines/>
        <w:jc w:val="center"/>
        <w:rPr>
          <w:rFonts w:cs="Arial"/>
        </w:rPr>
      </w:pPr>
      <w:r>
        <w:rPr>
          <w:rFonts w:cs="Arial"/>
          <w:noProof/>
        </w:rPr>
        <w:drawing>
          <wp:inline distT="0" distB="0" distL="0" distR="0" wp14:anchorId="01056B5C" wp14:editId="47F4620B">
            <wp:extent cx="5940425" cy="2847414"/>
            <wp:effectExtent l="0" t="0" r="3175"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40425" cy="2847414"/>
                    </a:xfrm>
                    <a:prstGeom prst="rect">
                      <a:avLst/>
                    </a:prstGeom>
                    <a:noFill/>
                    <a:ln>
                      <a:noFill/>
                    </a:ln>
                  </pic:spPr>
                </pic:pic>
              </a:graphicData>
            </a:graphic>
          </wp:inline>
        </w:drawing>
      </w:r>
    </w:p>
    <w:p w:rsidR="00495A3D" w:rsidRPr="00495A3D" w:rsidRDefault="00495A3D" w:rsidP="00495A3D">
      <w:pPr>
        <w:keepNext/>
        <w:keepLines/>
        <w:rPr>
          <w:rFonts w:cs="Arial"/>
          <w:sz w:val="16"/>
          <w:lang w:val="ru-RU"/>
        </w:rPr>
      </w:pPr>
      <w:r w:rsidRPr="00495A3D">
        <w:rPr>
          <w:sz w:val="16"/>
          <w:lang w:val="ru-RU"/>
        </w:rPr>
        <w:t>Примечание: возможность отдельного учета сотрудников, занимающихся Лиссабонским реестром, появилась только с начала двухлетнего периода 2014–2015</w:t>
      </w:r>
      <w:r>
        <w:rPr>
          <w:sz w:val="16"/>
        </w:rPr>
        <w:t> </w:t>
      </w:r>
      <w:r w:rsidRPr="00495A3D">
        <w:rPr>
          <w:sz w:val="16"/>
          <w:lang w:val="ru-RU"/>
        </w:rPr>
        <w:t>гг.  В период до 2014</w:t>
      </w:r>
      <w:r>
        <w:rPr>
          <w:sz w:val="16"/>
        </w:rPr>
        <w:t> </w:t>
      </w:r>
      <w:r w:rsidRPr="00495A3D">
        <w:rPr>
          <w:sz w:val="16"/>
          <w:lang w:val="ru-RU"/>
        </w:rPr>
        <w:t>г. сотрудники Лиссабонской системы входили в группу сотрудников Мадридской системы.</w:t>
      </w:r>
    </w:p>
    <w:p w:rsidR="00495A3D" w:rsidRPr="00495A3D" w:rsidRDefault="00495A3D" w:rsidP="00495A3D">
      <w:pPr>
        <w:keepNext/>
        <w:keepLines/>
        <w:jc w:val="both"/>
        <w:rPr>
          <w:rFonts w:cs="Arial"/>
          <w:lang w:val="ru-RU"/>
        </w:rPr>
      </w:pPr>
    </w:p>
    <w:p w:rsidR="00495A3D" w:rsidRPr="00495A3D" w:rsidRDefault="00495A3D" w:rsidP="00BF61DC">
      <w:pPr>
        <w:pStyle w:val="ListParagraph"/>
        <w:numPr>
          <w:ilvl w:val="0"/>
          <w:numId w:val="99"/>
        </w:numPr>
        <w:spacing w:after="120"/>
        <w:ind w:left="993" w:hanging="426"/>
        <w:jc w:val="both"/>
        <w:rPr>
          <w:rFonts w:cs="Arial"/>
          <w:lang w:val="ru-RU"/>
        </w:rPr>
      </w:pPr>
      <w:r w:rsidRPr="00495A3D">
        <w:rPr>
          <w:lang w:val="ru-RU"/>
        </w:rPr>
        <w:t>В 2015</w:t>
      </w:r>
      <w:r>
        <w:t> </w:t>
      </w:r>
      <w:r w:rsidRPr="00495A3D">
        <w:rPr>
          <w:lang w:val="ru-RU"/>
        </w:rPr>
        <w:t>г. число сотрудников в целом не изменилось по сравнению с 2014</w:t>
      </w:r>
      <w:r>
        <w:t> </w:t>
      </w:r>
      <w:r w:rsidRPr="00495A3D">
        <w:rPr>
          <w:lang w:val="ru-RU"/>
        </w:rPr>
        <w:t>г., а число привлекаемых на гибкой основе дополнительных сотрудников удвоилось: с восьми в 2014</w:t>
      </w:r>
      <w:r>
        <w:t> </w:t>
      </w:r>
      <w:r w:rsidRPr="00495A3D">
        <w:rPr>
          <w:lang w:val="ru-RU"/>
        </w:rPr>
        <w:t>г. до 16 в 2015</w:t>
      </w:r>
      <w:r>
        <w:t> </w:t>
      </w:r>
      <w:r w:rsidRPr="00495A3D">
        <w:rPr>
          <w:lang w:val="ru-RU"/>
        </w:rPr>
        <w:t>г.</w:t>
      </w:r>
    </w:p>
    <w:p w:rsidR="00495A3D" w:rsidRPr="00495A3D" w:rsidRDefault="00495A3D" w:rsidP="00BF61DC">
      <w:pPr>
        <w:pStyle w:val="ListParagraph"/>
        <w:numPr>
          <w:ilvl w:val="0"/>
          <w:numId w:val="99"/>
        </w:numPr>
        <w:spacing w:after="120"/>
        <w:ind w:left="993" w:hanging="426"/>
        <w:jc w:val="both"/>
        <w:rPr>
          <w:rFonts w:cs="Arial"/>
          <w:lang w:val="ru-RU"/>
        </w:rPr>
      </w:pPr>
      <w:r w:rsidRPr="00495A3D">
        <w:rPr>
          <w:lang w:val="ru-RU"/>
        </w:rPr>
        <w:t>Сотрудники, не работающие в комплексе зданий ВОИС, не учитываются при расчете этого показателя.</w:t>
      </w:r>
    </w:p>
    <w:p w:rsidR="00495A3D" w:rsidRPr="00495A3D" w:rsidRDefault="00495A3D" w:rsidP="00495A3D">
      <w:pPr>
        <w:pStyle w:val="ListParagraph"/>
        <w:ind w:left="992"/>
        <w:jc w:val="both"/>
        <w:rPr>
          <w:rFonts w:cs="Arial"/>
          <w:sz w:val="16"/>
          <w:lang w:val="ru-RU"/>
        </w:rPr>
      </w:pPr>
    </w:p>
    <w:p w:rsidR="00495A3D" w:rsidRPr="009565B7" w:rsidRDefault="00495A3D" w:rsidP="00BF61DC">
      <w:pPr>
        <w:pStyle w:val="ListParagraph"/>
        <w:numPr>
          <w:ilvl w:val="0"/>
          <w:numId w:val="96"/>
        </w:numPr>
        <w:ind w:left="567" w:hanging="567"/>
        <w:contextualSpacing/>
        <w:jc w:val="both"/>
        <w:rPr>
          <w:rFonts w:cs="Arial"/>
          <w:b/>
        </w:rPr>
      </w:pPr>
      <w:r>
        <w:rPr>
          <w:b/>
        </w:rPr>
        <w:t>Срок рассмотрения</w:t>
      </w:r>
    </w:p>
    <w:p w:rsidR="00495A3D" w:rsidRPr="00990B8A" w:rsidRDefault="00495A3D" w:rsidP="00495A3D">
      <w:pPr>
        <w:pStyle w:val="ListParagraph"/>
        <w:ind w:left="567" w:hanging="567"/>
        <w:jc w:val="both"/>
        <w:rPr>
          <w:rFonts w:cs="Arial"/>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Ниже приводится средний срок рассмотрения для каждой из шести операций, выполняемых МБ.  Срок рассмотрения рассчитывается как промежуток между датой получения документа и датой внесения записи об этом документе.</w:t>
      </w:r>
    </w:p>
    <w:p w:rsidR="00495A3D" w:rsidRPr="00495A3D" w:rsidRDefault="00495A3D" w:rsidP="00495A3D">
      <w:pPr>
        <w:pStyle w:val="ListParagraph"/>
        <w:ind w:left="0"/>
        <w:jc w:val="both"/>
        <w:rPr>
          <w:rFonts w:cs="Arial"/>
          <w:lang w:val="ru-RU"/>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4591"/>
      </w:tblGrid>
      <w:tr w:rsidR="00495A3D" w:rsidRPr="00990B8A" w:rsidTr="00495A3D">
        <w:trPr>
          <w:trHeight w:val="3298"/>
          <w:jc w:val="center"/>
        </w:trPr>
        <w:tc>
          <w:tcPr>
            <w:tcW w:w="4560" w:type="dxa"/>
          </w:tcPr>
          <w:p w:rsidR="00495A3D" w:rsidRPr="00990B8A" w:rsidRDefault="00495A3D" w:rsidP="00495A3D">
            <w:pPr>
              <w:jc w:val="both"/>
              <w:rPr>
                <w:rFonts w:cs="Arial"/>
              </w:rPr>
            </w:pPr>
            <w:r>
              <w:rPr>
                <w:rFonts w:cs="Arial"/>
                <w:noProof/>
              </w:rPr>
              <w:drawing>
                <wp:inline distT="0" distB="0" distL="0" distR="0" wp14:anchorId="05620DA0" wp14:editId="1DB178F6">
                  <wp:extent cx="2536266" cy="1923803"/>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36141" cy="1923708"/>
                          </a:xfrm>
                          <a:prstGeom prst="rect">
                            <a:avLst/>
                          </a:prstGeom>
                          <a:noFill/>
                          <a:ln>
                            <a:noFill/>
                          </a:ln>
                        </pic:spPr>
                      </pic:pic>
                    </a:graphicData>
                  </a:graphic>
                </wp:inline>
              </w:drawing>
            </w:r>
          </w:p>
        </w:tc>
        <w:tc>
          <w:tcPr>
            <w:tcW w:w="4591" w:type="dxa"/>
          </w:tcPr>
          <w:p w:rsidR="00495A3D" w:rsidRPr="00990B8A" w:rsidRDefault="00495A3D" w:rsidP="00495A3D">
            <w:pPr>
              <w:jc w:val="both"/>
              <w:rPr>
                <w:rFonts w:cs="Arial"/>
              </w:rPr>
            </w:pPr>
            <w:r>
              <w:rPr>
                <w:rFonts w:cs="Arial"/>
                <w:noProof/>
              </w:rPr>
              <w:drawing>
                <wp:inline distT="0" distB="0" distL="0" distR="0" wp14:anchorId="3C7A33EF" wp14:editId="37272500">
                  <wp:extent cx="2747201" cy="1977242"/>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751378" cy="1980248"/>
                          </a:xfrm>
                          <a:prstGeom prst="rect">
                            <a:avLst/>
                          </a:prstGeom>
                          <a:noFill/>
                          <a:ln>
                            <a:noFill/>
                          </a:ln>
                        </pic:spPr>
                      </pic:pic>
                    </a:graphicData>
                  </a:graphic>
                </wp:inline>
              </w:drawing>
            </w:r>
          </w:p>
        </w:tc>
      </w:tr>
      <w:tr w:rsidR="00495A3D" w:rsidRPr="00990B8A" w:rsidTr="00495A3D">
        <w:trPr>
          <w:trHeight w:val="3418"/>
          <w:jc w:val="center"/>
        </w:trPr>
        <w:tc>
          <w:tcPr>
            <w:tcW w:w="4560" w:type="dxa"/>
          </w:tcPr>
          <w:p w:rsidR="00495A3D" w:rsidRPr="00990B8A" w:rsidRDefault="00495A3D" w:rsidP="00495A3D">
            <w:pPr>
              <w:jc w:val="both"/>
              <w:rPr>
                <w:rFonts w:cs="Arial"/>
              </w:rPr>
            </w:pPr>
            <w:r>
              <w:rPr>
                <w:rFonts w:cs="Arial"/>
                <w:noProof/>
              </w:rPr>
              <w:drawing>
                <wp:inline distT="0" distB="0" distL="0" distR="0" wp14:anchorId="73C34E48" wp14:editId="269F25D5">
                  <wp:extent cx="2909454" cy="2130431"/>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910376" cy="2131106"/>
                          </a:xfrm>
                          <a:prstGeom prst="rect">
                            <a:avLst/>
                          </a:prstGeom>
                          <a:noFill/>
                          <a:ln>
                            <a:noFill/>
                          </a:ln>
                        </pic:spPr>
                      </pic:pic>
                    </a:graphicData>
                  </a:graphic>
                </wp:inline>
              </w:drawing>
            </w:r>
          </w:p>
        </w:tc>
        <w:tc>
          <w:tcPr>
            <w:tcW w:w="4591" w:type="dxa"/>
          </w:tcPr>
          <w:p w:rsidR="00495A3D" w:rsidRPr="00990B8A" w:rsidRDefault="00495A3D" w:rsidP="00495A3D">
            <w:pPr>
              <w:jc w:val="both"/>
              <w:rPr>
                <w:rFonts w:cs="Arial"/>
                <w:color w:val="FF0000"/>
              </w:rPr>
            </w:pPr>
            <w:r>
              <w:rPr>
                <w:rFonts w:cs="Arial"/>
                <w:noProof/>
                <w:color w:val="FF0000"/>
              </w:rPr>
              <w:drawing>
                <wp:inline distT="0" distB="0" distL="0" distR="0" wp14:anchorId="427B11A7" wp14:editId="06611321">
                  <wp:extent cx="2680844" cy="2064279"/>
                  <wp:effectExtent l="0" t="0" r="5715"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82864" cy="2065835"/>
                          </a:xfrm>
                          <a:prstGeom prst="rect">
                            <a:avLst/>
                          </a:prstGeom>
                          <a:noFill/>
                          <a:ln>
                            <a:noFill/>
                          </a:ln>
                        </pic:spPr>
                      </pic:pic>
                    </a:graphicData>
                  </a:graphic>
                </wp:inline>
              </w:drawing>
            </w:r>
          </w:p>
        </w:tc>
      </w:tr>
      <w:tr w:rsidR="00495A3D" w:rsidRPr="00990B8A" w:rsidTr="00495A3D">
        <w:trPr>
          <w:trHeight w:val="3194"/>
          <w:jc w:val="center"/>
        </w:trPr>
        <w:tc>
          <w:tcPr>
            <w:tcW w:w="4560" w:type="dxa"/>
          </w:tcPr>
          <w:p w:rsidR="00495A3D" w:rsidRPr="00990B8A" w:rsidRDefault="00495A3D" w:rsidP="00495A3D">
            <w:pPr>
              <w:jc w:val="both"/>
              <w:rPr>
                <w:rFonts w:cs="Arial"/>
              </w:rPr>
            </w:pPr>
            <w:r>
              <w:rPr>
                <w:rFonts w:cs="Arial"/>
                <w:noProof/>
              </w:rPr>
              <w:drawing>
                <wp:inline distT="0" distB="0" distL="0" distR="0" wp14:anchorId="55279C33" wp14:editId="6BA027BE">
                  <wp:extent cx="2553194" cy="1891009"/>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55182" cy="1892482"/>
                          </a:xfrm>
                          <a:prstGeom prst="rect">
                            <a:avLst/>
                          </a:prstGeom>
                          <a:noFill/>
                          <a:ln>
                            <a:noFill/>
                          </a:ln>
                        </pic:spPr>
                      </pic:pic>
                    </a:graphicData>
                  </a:graphic>
                </wp:inline>
              </w:drawing>
            </w:r>
          </w:p>
        </w:tc>
        <w:tc>
          <w:tcPr>
            <w:tcW w:w="4591" w:type="dxa"/>
          </w:tcPr>
          <w:p w:rsidR="00495A3D" w:rsidRPr="00990B8A" w:rsidRDefault="00495A3D" w:rsidP="00495A3D">
            <w:pPr>
              <w:jc w:val="both"/>
              <w:rPr>
                <w:rFonts w:cs="Arial"/>
              </w:rPr>
            </w:pPr>
            <w:r>
              <w:rPr>
                <w:rFonts w:cs="Arial"/>
                <w:noProof/>
              </w:rPr>
              <w:drawing>
                <wp:inline distT="0" distB="0" distL="0" distR="0" wp14:anchorId="7A218E58" wp14:editId="745EBC94">
                  <wp:extent cx="2544898" cy="1941615"/>
                  <wp:effectExtent l="0" t="0" r="8255"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545015" cy="1941705"/>
                          </a:xfrm>
                          <a:prstGeom prst="rect">
                            <a:avLst/>
                          </a:prstGeom>
                          <a:noFill/>
                          <a:ln>
                            <a:noFill/>
                          </a:ln>
                        </pic:spPr>
                      </pic:pic>
                    </a:graphicData>
                  </a:graphic>
                </wp:inline>
              </w:drawing>
            </w:r>
          </w:p>
        </w:tc>
      </w:tr>
    </w:tbl>
    <w:p w:rsidR="00495A3D" w:rsidRPr="00990B8A" w:rsidRDefault="00495A3D" w:rsidP="00495A3D">
      <w:pPr>
        <w:jc w:val="both"/>
        <w:rPr>
          <w:rFonts w:cs="Arial"/>
        </w:rPr>
      </w:pPr>
    </w:p>
    <w:p w:rsidR="00495A3D" w:rsidRPr="00DC11FE" w:rsidRDefault="00495A3D" w:rsidP="00BF61DC">
      <w:pPr>
        <w:pStyle w:val="ListParagraph"/>
        <w:numPr>
          <w:ilvl w:val="0"/>
          <w:numId w:val="100"/>
        </w:numPr>
        <w:spacing w:after="240"/>
        <w:ind w:left="992" w:hanging="425"/>
        <w:jc w:val="both"/>
        <w:rPr>
          <w:rFonts w:cs="Arial"/>
        </w:rPr>
      </w:pPr>
      <w:r w:rsidRPr="00495A3D">
        <w:rPr>
          <w:lang w:val="ru-RU"/>
        </w:rPr>
        <w:t>По сравнению с 2014</w:t>
      </w:r>
      <w:r>
        <w:t> </w:t>
      </w:r>
      <w:r w:rsidRPr="00495A3D">
        <w:rPr>
          <w:lang w:val="ru-RU"/>
        </w:rPr>
        <w:t>г. средний срок рассмотрения в 2015</w:t>
      </w:r>
      <w:r>
        <w:t> </w:t>
      </w:r>
      <w:r w:rsidRPr="00495A3D">
        <w:rPr>
          <w:lang w:val="ru-RU"/>
        </w:rPr>
        <w:t xml:space="preserve">г. снизился для шести операций, проводимых МБ. </w:t>
      </w:r>
      <w:r>
        <w:t>Наиболее значительное снижение касалось исправлений, изменений и последующих указаний.</w:t>
      </w:r>
    </w:p>
    <w:p w:rsidR="00495A3D" w:rsidRPr="009565B7" w:rsidRDefault="00495A3D" w:rsidP="00BF61DC">
      <w:pPr>
        <w:pStyle w:val="ListParagraph"/>
        <w:numPr>
          <w:ilvl w:val="0"/>
          <w:numId w:val="96"/>
        </w:numPr>
        <w:ind w:left="567" w:hanging="567"/>
        <w:contextualSpacing/>
        <w:jc w:val="both"/>
        <w:rPr>
          <w:rFonts w:cs="Arial"/>
          <w:b/>
        </w:rPr>
      </w:pPr>
      <w:r>
        <w:rPr>
          <w:b/>
        </w:rPr>
        <w:t>Качество экспертизы</w:t>
      </w:r>
    </w:p>
    <w:p w:rsidR="00495A3D" w:rsidRDefault="00495A3D" w:rsidP="00495A3D">
      <w:pPr>
        <w:jc w:val="both"/>
        <w:rPr>
          <w:rFonts w:cs="Arial"/>
          <w:szCs w:val="20"/>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Следующие ключевые показатели общего уровня качества экспертизы товарных знаков, проводимой МБ, являются результатом контроля качества, проведенного после внедрения Механизма контроля качества операций (</w:t>
      </w:r>
      <w:r>
        <w:t>QMF</w:t>
      </w:r>
      <w:r w:rsidRPr="00495A3D">
        <w:rPr>
          <w:lang w:val="ru-RU"/>
        </w:rPr>
        <w:t>) Мадридского реестра в 2015</w:t>
      </w:r>
      <w:r>
        <w:t> </w:t>
      </w:r>
      <w:r w:rsidRPr="00495A3D">
        <w:rPr>
          <w:lang w:val="ru-RU"/>
        </w:rPr>
        <w:t>г. в соответствии с требованиями стандарта ИСО</w:t>
      </w:r>
      <w:r>
        <w:t> </w:t>
      </w:r>
      <w:r w:rsidRPr="00495A3D">
        <w:rPr>
          <w:lang w:val="ru-RU"/>
        </w:rPr>
        <w:t>9001:2008</w:t>
      </w:r>
      <w:r>
        <w:rPr>
          <w:rStyle w:val="FootnoteReference"/>
        </w:rPr>
        <w:footnoteReference w:id="35"/>
      </w:r>
      <w:r w:rsidRPr="00495A3D">
        <w:rPr>
          <w:lang w:val="ru-RU"/>
        </w:rPr>
        <w:t>.</w:t>
      </w:r>
    </w:p>
    <w:p w:rsidR="00495A3D" w:rsidRPr="00495A3D" w:rsidRDefault="00495A3D" w:rsidP="00495A3D">
      <w:pPr>
        <w:pStyle w:val="ListParagraph"/>
        <w:tabs>
          <w:tab w:val="left" w:pos="567"/>
        </w:tabs>
        <w:ind w:left="0"/>
        <w:jc w:val="both"/>
        <w:rPr>
          <w:rFonts w:cs="Arial"/>
          <w:lang w:val="ru-RU"/>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Представлены два источника информации о качестве экспертизы, проводимой МБ:</w:t>
      </w:r>
    </w:p>
    <w:p w:rsidR="00495A3D" w:rsidRPr="00495A3D" w:rsidRDefault="00495A3D" w:rsidP="00495A3D">
      <w:pPr>
        <w:pStyle w:val="ListParagraph"/>
        <w:rPr>
          <w:rFonts w:cs="Arial"/>
          <w:lang w:val="ru-RU"/>
        </w:rPr>
      </w:pPr>
    </w:p>
    <w:p w:rsidR="00495A3D" w:rsidRPr="00495A3D" w:rsidRDefault="00495A3D" w:rsidP="00BF61DC">
      <w:pPr>
        <w:pStyle w:val="ListParagraph"/>
        <w:numPr>
          <w:ilvl w:val="1"/>
          <w:numId w:val="101"/>
        </w:numPr>
        <w:tabs>
          <w:tab w:val="left" w:pos="567"/>
          <w:tab w:val="left" w:pos="1134"/>
        </w:tabs>
        <w:ind w:left="567" w:firstLine="0"/>
        <w:contextualSpacing/>
        <w:jc w:val="both"/>
        <w:rPr>
          <w:rFonts w:cs="Arial"/>
          <w:lang w:val="ru-RU"/>
        </w:rPr>
      </w:pPr>
      <w:r w:rsidRPr="00495A3D">
        <w:rPr>
          <w:lang w:val="ru-RU"/>
        </w:rPr>
        <w:t xml:space="preserve">результаты внутреннего рассмотрения примеров экспертизы; и </w:t>
      </w:r>
    </w:p>
    <w:p w:rsidR="00495A3D" w:rsidRPr="00495A3D" w:rsidRDefault="00495A3D" w:rsidP="00495A3D">
      <w:pPr>
        <w:pStyle w:val="ListParagraph"/>
        <w:tabs>
          <w:tab w:val="left" w:pos="567"/>
          <w:tab w:val="left" w:pos="1134"/>
        </w:tabs>
        <w:ind w:left="567"/>
        <w:jc w:val="both"/>
        <w:rPr>
          <w:rFonts w:cs="Arial"/>
          <w:lang w:val="ru-RU"/>
        </w:rPr>
      </w:pPr>
    </w:p>
    <w:p w:rsidR="00495A3D" w:rsidRPr="00495A3D" w:rsidRDefault="00495A3D" w:rsidP="00BF61DC">
      <w:pPr>
        <w:pStyle w:val="ListParagraph"/>
        <w:numPr>
          <w:ilvl w:val="1"/>
          <w:numId w:val="101"/>
        </w:numPr>
        <w:tabs>
          <w:tab w:val="left" w:pos="567"/>
          <w:tab w:val="left" w:pos="1134"/>
        </w:tabs>
        <w:ind w:left="567" w:firstLine="0"/>
        <w:contextualSpacing/>
        <w:jc w:val="both"/>
        <w:rPr>
          <w:rFonts w:cs="Arial"/>
          <w:lang w:val="ru-RU"/>
        </w:rPr>
      </w:pPr>
      <w:r w:rsidRPr="00495A3D">
        <w:rPr>
          <w:lang w:val="ru-RU"/>
        </w:rPr>
        <w:t>ошибки, совершение которых было подтверждено МБ после получения запроса о внесении исправлений в соответствии с правилом 28 Общей инструкции.</w:t>
      </w:r>
    </w:p>
    <w:p w:rsidR="00495A3D" w:rsidRPr="00495A3D" w:rsidRDefault="00495A3D" w:rsidP="00495A3D">
      <w:pPr>
        <w:pStyle w:val="ListParagraph"/>
        <w:tabs>
          <w:tab w:val="left" w:pos="1134"/>
        </w:tabs>
        <w:ind w:left="567"/>
        <w:rPr>
          <w:rFonts w:cs="Arial"/>
          <w:lang w:val="ru-RU"/>
        </w:rPr>
      </w:pPr>
    </w:p>
    <w:p w:rsidR="00495A3D" w:rsidRPr="007220D0" w:rsidRDefault="00495A3D" w:rsidP="00495A3D">
      <w:pPr>
        <w:pStyle w:val="ListParagraph"/>
        <w:tabs>
          <w:tab w:val="left" w:pos="567"/>
        </w:tabs>
        <w:ind w:left="567"/>
        <w:jc w:val="both"/>
        <w:rPr>
          <w:rFonts w:cs="Arial"/>
          <w:i/>
        </w:rPr>
      </w:pPr>
      <w:r>
        <w:rPr>
          <w:i/>
        </w:rPr>
        <w:t>Рассмотрение примеров экспертизы</w:t>
      </w:r>
    </w:p>
    <w:p w:rsidR="00495A3D" w:rsidRPr="007220D0" w:rsidRDefault="00495A3D" w:rsidP="00495A3D">
      <w:pPr>
        <w:tabs>
          <w:tab w:val="left" w:pos="567"/>
        </w:tabs>
        <w:jc w:val="both"/>
        <w:rPr>
          <w:rFonts w:cs="Arial"/>
          <w:szCs w:val="20"/>
        </w:rPr>
      </w:pPr>
    </w:p>
    <w:p w:rsidR="00495A3D" w:rsidRPr="00495A3D" w:rsidRDefault="00495A3D" w:rsidP="00BF61DC">
      <w:pPr>
        <w:pStyle w:val="ListParagraph"/>
        <w:numPr>
          <w:ilvl w:val="0"/>
          <w:numId w:val="101"/>
        </w:numPr>
        <w:tabs>
          <w:tab w:val="left" w:pos="567"/>
        </w:tabs>
        <w:ind w:left="0" w:firstLine="0"/>
        <w:contextualSpacing/>
        <w:jc w:val="both"/>
        <w:rPr>
          <w:rFonts w:cs="Arial"/>
          <w:lang w:val="ru-RU"/>
        </w:rPr>
      </w:pPr>
      <w:r w:rsidRPr="00495A3D">
        <w:rPr>
          <w:lang w:val="ru-RU"/>
        </w:rPr>
        <w:t>В отношении каждой операции определен приемлемый уровень качества (</w:t>
      </w:r>
      <w:r>
        <w:t>AQL</w:t>
      </w:r>
      <w:r w:rsidRPr="00495A3D">
        <w:rPr>
          <w:lang w:val="ru-RU"/>
        </w:rPr>
        <w:t>), и по этим критериям определяется уровень качества экспертизы товарных знаков.</w:t>
      </w:r>
    </w:p>
    <w:p w:rsidR="00495A3D" w:rsidRPr="00495A3D" w:rsidRDefault="00495A3D" w:rsidP="00495A3D">
      <w:pPr>
        <w:pStyle w:val="ListParagraph"/>
        <w:tabs>
          <w:tab w:val="left" w:pos="567"/>
        </w:tabs>
        <w:jc w:val="both"/>
        <w:rPr>
          <w:rFonts w:cs="Arial"/>
          <w:lang w:val="ru-RU"/>
        </w:rPr>
      </w:pPr>
    </w:p>
    <w:p w:rsidR="00495A3D" w:rsidRPr="007220D0" w:rsidRDefault="00495A3D" w:rsidP="00495A3D">
      <w:pPr>
        <w:tabs>
          <w:tab w:val="left" w:pos="567"/>
        </w:tabs>
        <w:ind w:left="360"/>
        <w:jc w:val="center"/>
        <w:rPr>
          <w:rFonts w:cs="Arial"/>
          <w:szCs w:val="20"/>
        </w:rPr>
      </w:pPr>
      <w:r>
        <w:rPr>
          <w:rFonts w:cs="Arial"/>
          <w:noProof/>
          <w:szCs w:val="20"/>
        </w:rPr>
        <w:drawing>
          <wp:inline distT="0" distB="0" distL="0" distR="0" wp14:anchorId="71756848" wp14:editId="402E8F5D">
            <wp:extent cx="5229655" cy="335460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32350" cy="3356329"/>
                    </a:xfrm>
                    <a:prstGeom prst="rect">
                      <a:avLst/>
                    </a:prstGeom>
                    <a:noFill/>
                    <a:ln>
                      <a:noFill/>
                    </a:ln>
                  </pic:spPr>
                </pic:pic>
              </a:graphicData>
            </a:graphic>
          </wp:inline>
        </w:drawing>
      </w:r>
    </w:p>
    <w:p w:rsidR="00495A3D" w:rsidRPr="007220D0" w:rsidRDefault="00495A3D" w:rsidP="00495A3D">
      <w:pPr>
        <w:tabs>
          <w:tab w:val="left" w:pos="567"/>
        </w:tabs>
        <w:ind w:left="360"/>
        <w:jc w:val="both"/>
        <w:rPr>
          <w:rFonts w:cs="Arial"/>
          <w:szCs w:val="20"/>
        </w:rPr>
      </w:pPr>
    </w:p>
    <w:p w:rsidR="00495A3D" w:rsidRPr="00495A3D" w:rsidRDefault="00495A3D" w:rsidP="00BF61DC">
      <w:pPr>
        <w:pStyle w:val="ListParagraph"/>
        <w:numPr>
          <w:ilvl w:val="0"/>
          <w:numId w:val="103"/>
        </w:numPr>
        <w:tabs>
          <w:tab w:val="left" w:pos="567"/>
        </w:tabs>
        <w:contextualSpacing/>
        <w:jc w:val="both"/>
        <w:rPr>
          <w:rFonts w:cs="Arial"/>
          <w:lang w:val="ru-RU"/>
        </w:rPr>
      </w:pPr>
      <w:r w:rsidRPr="00495A3D">
        <w:rPr>
          <w:lang w:val="ru-RU"/>
        </w:rPr>
        <w:t>В 2015</w:t>
      </w:r>
      <w:r>
        <w:t> </w:t>
      </w:r>
      <w:r w:rsidRPr="00495A3D">
        <w:rPr>
          <w:lang w:val="ru-RU"/>
        </w:rPr>
        <w:t>г. общий уровень качества был на один процентный пункт ниже приемлемого уровня.</w:t>
      </w:r>
    </w:p>
    <w:p w:rsidR="00495A3D" w:rsidRPr="00495A3D" w:rsidRDefault="00495A3D" w:rsidP="00495A3D">
      <w:pPr>
        <w:tabs>
          <w:tab w:val="left" w:pos="567"/>
        </w:tabs>
        <w:jc w:val="both"/>
        <w:rPr>
          <w:rFonts w:cs="Arial"/>
          <w:szCs w:val="20"/>
          <w:lang w:val="ru-RU"/>
        </w:rPr>
      </w:pPr>
    </w:p>
    <w:p w:rsidR="00495A3D" w:rsidRPr="007220D0" w:rsidRDefault="00495A3D" w:rsidP="00495A3D">
      <w:pPr>
        <w:tabs>
          <w:tab w:val="left" w:pos="567"/>
        </w:tabs>
        <w:ind w:left="360"/>
        <w:jc w:val="center"/>
        <w:rPr>
          <w:rFonts w:cs="Arial"/>
          <w:szCs w:val="20"/>
        </w:rPr>
      </w:pPr>
      <w:r>
        <w:rPr>
          <w:rFonts w:cs="Arial"/>
          <w:noProof/>
          <w:szCs w:val="20"/>
        </w:rPr>
        <w:drawing>
          <wp:inline distT="0" distB="0" distL="0" distR="0" wp14:anchorId="553EAA57" wp14:editId="6019B75A">
            <wp:extent cx="4868883" cy="3123180"/>
            <wp:effectExtent l="0" t="0" r="8255" b="127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71149" cy="3124633"/>
                    </a:xfrm>
                    <a:prstGeom prst="rect">
                      <a:avLst/>
                    </a:prstGeom>
                    <a:noFill/>
                    <a:ln>
                      <a:noFill/>
                    </a:ln>
                  </pic:spPr>
                </pic:pic>
              </a:graphicData>
            </a:graphic>
          </wp:inline>
        </w:drawing>
      </w:r>
    </w:p>
    <w:p w:rsidR="00495A3D" w:rsidRPr="007220D0" w:rsidRDefault="00495A3D" w:rsidP="00495A3D">
      <w:pPr>
        <w:tabs>
          <w:tab w:val="left" w:pos="567"/>
        </w:tabs>
        <w:ind w:left="360"/>
        <w:jc w:val="both"/>
        <w:rPr>
          <w:rFonts w:cs="Arial"/>
          <w:szCs w:val="20"/>
        </w:rPr>
      </w:pPr>
    </w:p>
    <w:p w:rsidR="00495A3D" w:rsidRPr="00495A3D" w:rsidRDefault="00495A3D" w:rsidP="00BF61DC">
      <w:pPr>
        <w:pStyle w:val="ListParagraph"/>
        <w:numPr>
          <w:ilvl w:val="0"/>
          <w:numId w:val="103"/>
        </w:numPr>
        <w:tabs>
          <w:tab w:val="left" w:pos="567"/>
        </w:tabs>
        <w:contextualSpacing/>
        <w:jc w:val="both"/>
        <w:rPr>
          <w:rFonts w:cs="Arial"/>
          <w:lang w:val="ru-RU"/>
        </w:rPr>
      </w:pPr>
      <w:r w:rsidRPr="00495A3D">
        <w:rPr>
          <w:lang w:val="ru-RU"/>
        </w:rPr>
        <w:t>В целом общий уровень качества в 2015</w:t>
      </w:r>
      <w:r>
        <w:t> </w:t>
      </w:r>
      <w:r w:rsidRPr="00495A3D">
        <w:rPr>
          <w:lang w:val="ru-RU"/>
        </w:rPr>
        <w:t>г. отвечал установленным критериям.  Однако возникла важная проблема, связанная с неверным внесением данных заявителей и представителей.</w:t>
      </w:r>
    </w:p>
    <w:p w:rsidR="00495A3D" w:rsidRPr="00495A3D" w:rsidRDefault="00495A3D" w:rsidP="00495A3D">
      <w:pPr>
        <w:tabs>
          <w:tab w:val="left" w:pos="567"/>
        </w:tabs>
        <w:jc w:val="both"/>
        <w:rPr>
          <w:rFonts w:cs="Arial"/>
          <w:szCs w:val="20"/>
          <w:lang w:val="ru-RU"/>
        </w:rPr>
      </w:pPr>
    </w:p>
    <w:p w:rsidR="00495A3D" w:rsidRPr="007220D0" w:rsidRDefault="00495A3D" w:rsidP="00495A3D">
      <w:pPr>
        <w:tabs>
          <w:tab w:val="left" w:pos="567"/>
        </w:tabs>
        <w:jc w:val="center"/>
        <w:rPr>
          <w:rFonts w:cs="Arial"/>
          <w:szCs w:val="20"/>
        </w:rPr>
      </w:pPr>
      <w:r>
        <w:rPr>
          <w:rFonts w:cs="Arial"/>
          <w:noProof/>
          <w:szCs w:val="20"/>
        </w:rPr>
        <w:drawing>
          <wp:inline distT="0" distB="0" distL="0" distR="0" wp14:anchorId="559BD92D" wp14:editId="56E77940">
            <wp:extent cx="4693057" cy="301039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700553" cy="3015203"/>
                    </a:xfrm>
                    <a:prstGeom prst="rect">
                      <a:avLst/>
                    </a:prstGeom>
                    <a:noFill/>
                    <a:ln>
                      <a:noFill/>
                    </a:ln>
                  </pic:spPr>
                </pic:pic>
              </a:graphicData>
            </a:graphic>
          </wp:inline>
        </w:drawing>
      </w:r>
    </w:p>
    <w:p w:rsidR="00495A3D" w:rsidRPr="007220D0" w:rsidRDefault="00495A3D" w:rsidP="00495A3D">
      <w:pPr>
        <w:tabs>
          <w:tab w:val="left" w:pos="567"/>
        </w:tabs>
        <w:jc w:val="both"/>
        <w:rPr>
          <w:rFonts w:cs="Arial"/>
          <w:szCs w:val="20"/>
        </w:rPr>
      </w:pPr>
    </w:p>
    <w:p w:rsidR="00495A3D" w:rsidRPr="00495A3D" w:rsidRDefault="00495A3D" w:rsidP="00BF61DC">
      <w:pPr>
        <w:pStyle w:val="ListParagraph"/>
        <w:numPr>
          <w:ilvl w:val="0"/>
          <w:numId w:val="103"/>
        </w:numPr>
        <w:tabs>
          <w:tab w:val="left" w:pos="567"/>
        </w:tabs>
        <w:contextualSpacing/>
        <w:jc w:val="both"/>
        <w:rPr>
          <w:rFonts w:cs="Arial"/>
          <w:lang w:val="ru-RU"/>
        </w:rPr>
      </w:pPr>
      <w:r w:rsidRPr="00495A3D">
        <w:rPr>
          <w:lang w:val="ru-RU"/>
        </w:rPr>
        <w:t>В 2015</w:t>
      </w:r>
      <w:r>
        <w:t> </w:t>
      </w:r>
      <w:r w:rsidRPr="00495A3D">
        <w:rPr>
          <w:lang w:val="ru-RU"/>
        </w:rPr>
        <w:t>г. общий уровень качества при обработке решений был на два процентных пункта выше, чем установленные целевые показатели.</w:t>
      </w:r>
    </w:p>
    <w:p w:rsidR="00495A3D" w:rsidRPr="00495A3D" w:rsidRDefault="00495A3D" w:rsidP="00495A3D">
      <w:pPr>
        <w:tabs>
          <w:tab w:val="left" w:pos="567"/>
        </w:tabs>
        <w:jc w:val="both"/>
        <w:rPr>
          <w:rFonts w:cs="Arial"/>
          <w:szCs w:val="20"/>
          <w:lang w:val="ru-RU"/>
        </w:rPr>
      </w:pPr>
    </w:p>
    <w:p w:rsidR="00495A3D" w:rsidRPr="007220D0" w:rsidRDefault="00495A3D" w:rsidP="00495A3D">
      <w:pPr>
        <w:tabs>
          <w:tab w:val="left" w:pos="567"/>
        </w:tabs>
        <w:jc w:val="center"/>
        <w:rPr>
          <w:rFonts w:cs="Arial"/>
          <w:szCs w:val="20"/>
        </w:rPr>
      </w:pPr>
      <w:r>
        <w:rPr>
          <w:rFonts w:cs="Arial"/>
          <w:noProof/>
          <w:szCs w:val="20"/>
        </w:rPr>
        <w:drawing>
          <wp:inline distT="0" distB="0" distL="0" distR="0" wp14:anchorId="0923674B" wp14:editId="2E3E4FF6">
            <wp:extent cx="4836537" cy="3099460"/>
            <wp:effectExtent l="0" t="0" r="2540" b="5715"/>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839463" cy="3101335"/>
                    </a:xfrm>
                    <a:prstGeom prst="rect">
                      <a:avLst/>
                    </a:prstGeom>
                    <a:noFill/>
                    <a:ln>
                      <a:noFill/>
                    </a:ln>
                  </pic:spPr>
                </pic:pic>
              </a:graphicData>
            </a:graphic>
          </wp:inline>
        </w:drawing>
      </w:r>
    </w:p>
    <w:p w:rsidR="00495A3D" w:rsidRPr="007220D0" w:rsidRDefault="00495A3D" w:rsidP="00495A3D">
      <w:pPr>
        <w:tabs>
          <w:tab w:val="left" w:pos="567"/>
        </w:tabs>
        <w:jc w:val="center"/>
        <w:rPr>
          <w:rFonts w:cs="Arial"/>
          <w:szCs w:val="20"/>
        </w:rPr>
      </w:pPr>
    </w:p>
    <w:p w:rsidR="00495A3D" w:rsidRPr="007220D0" w:rsidRDefault="00495A3D" w:rsidP="00BF61DC">
      <w:pPr>
        <w:pStyle w:val="ListParagraph"/>
        <w:numPr>
          <w:ilvl w:val="0"/>
          <w:numId w:val="103"/>
        </w:numPr>
        <w:tabs>
          <w:tab w:val="left" w:pos="567"/>
        </w:tabs>
        <w:contextualSpacing/>
        <w:jc w:val="both"/>
        <w:rPr>
          <w:rFonts w:cs="Arial"/>
        </w:rPr>
      </w:pPr>
      <w:r w:rsidRPr="00495A3D">
        <w:rPr>
          <w:lang w:val="ru-RU"/>
        </w:rPr>
        <w:t>В целом общий уровень качества соответствовал установленным критериям на 95</w:t>
      </w:r>
      <w:r>
        <w:t> </w:t>
      </w:r>
      <w:r w:rsidRPr="00495A3D">
        <w:rPr>
          <w:lang w:val="ru-RU"/>
        </w:rPr>
        <w:t xml:space="preserve">процентов. </w:t>
      </w:r>
      <w:r>
        <w:t>Но аналогичная проблема была характерна и для формальной экспертизы.</w:t>
      </w:r>
    </w:p>
    <w:p w:rsidR="00495A3D" w:rsidRPr="007220D0" w:rsidRDefault="00495A3D" w:rsidP="00495A3D">
      <w:pPr>
        <w:pStyle w:val="ListParagraph"/>
        <w:tabs>
          <w:tab w:val="left" w:pos="567"/>
        </w:tabs>
        <w:ind w:left="1080"/>
        <w:jc w:val="both"/>
        <w:rPr>
          <w:rFonts w:cs="Arial"/>
        </w:rPr>
      </w:pPr>
    </w:p>
    <w:p w:rsidR="00495A3D" w:rsidRPr="007220D0" w:rsidRDefault="00495A3D" w:rsidP="00495A3D">
      <w:pPr>
        <w:jc w:val="center"/>
        <w:rPr>
          <w:rFonts w:cs="Arial"/>
          <w:szCs w:val="20"/>
        </w:rPr>
      </w:pPr>
      <w:r>
        <w:rPr>
          <w:rFonts w:cs="Arial"/>
          <w:noProof/>
          <w:szCs w:val="20"/>
        </w:rPr>
        <w:drawing>
          <wp:inline distT="0" distB="0" distL="0" distR="0" wp14:anchorId="278E4E2F" wp14:editId="195A354C">
            <wp:extent cx="4613563" cy="2959403"/>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616396" cy="2961220"/>
                    </a:xfrm>
                    <a:prstGeom prst="rect">
                      <a:avLst/>
                    </a:prstGeom>
                    <a:noFill/>
                    <a:ln>
                      <a:noFill/>
                    </a:ln>
                  </pic:spPr>
                </pic:pic>
              </a:graphicData>
            </a:graphic>
          </wp:inline>
        </w:drawing>
      </w:r>
    </w:p>
    <w:p w:rsidR="00495A3D" w:rsidRPr="007220D0" w:rsidRDefault="00495A3D" w:rsidP="00495A3D">
      <w:pPr>
        <w:jc w:val="center"/>
        <w:rPr>
          <w:rFonts w:cs="Arial"/>
          <w:szCs w:val="20"/>
        </w:rPr>
      </w:pPr>
    </w:p>
    <w:p w:rsidR="00495A3D" w:rsidRPr="00495A3D" w:rsidRDefault="00495A3D" w:rsidP="00BF61DC">
      <w:pPr>
        <w:pStyle w:val="ListParagraph"/>
        <w:numPr>
          <w:ilvl w:val="0"/>
          <w:numId w:val="102"/>
        </w:numPr>
        <w:spacing w:after="200"/>
        <w:contextualSpacing/>
        <w:rPr>
          <w:rFonts w:cs="Arial"/>
          <w:lang w:val="ru-RU"/>
        </w:rPr>
      </w:pPr>
      <w:r w:rsidRPr="00495A3D">
        <w:rPr>
          <w:lang w:val="ru-RU"/>
        </w:rPr>
        <w:t>В 2015</w:t>
      </w:r>
      <w:r>
        <w:t> </w:t>
      </w:r>
      <w:r w:rsidRPr="00495A3D">
        <w:rPr>
          <w:lang w:val="ru-RU"/>
        </w:rPr>
        <w:t>г. общий уровень качества при обработке продлений был на три процентных пункта ниже, чем установленные целевые показатели. Основная проблема была связана с расчетом пошлин, причиной чего было неверное указание числа классов товаров и услуг.</w:t>
      </w:r>
    </w:p>
    <w:p w:rsidR="00495A3D" w:rsidRPr="00495A3D" w:rsidRDefault="00495A3D" w:rsidP="00495A3D">
      <w:pPr>
        <w:ind w:left="720"/>
        <w:rPr>
          <w:i/>
          <w:lang w:val="ru-RU"/>
        </w:rPr>
      </w:pPr>
    </w:p>
    <w:p w:rsidR="00495A3D" w:rsidRPr="00E560DA" w:rsidRDefault="00495A3D" w:rsidP="00495A3D">
      <w:pPr>
        <w:ind w:left="720"/>
        <w:rPr>
          <w:rFonts w:cs="Arial"/>
          <w:i/>
          <w:szCs w:val="20"/>
        </w:rPr>
      </w:pPr>
      <w:r>
        <w:rPr>
          <w:i/>
        </w:rPr>
        <w:t>Ошибки МБ</w:t>
      </w:r>
    </w:p>
    <w:p w:rsidR="00495A3D" w:rsidRPr="00BC5451" w:rsidRDefault="00495A3D" w:rsidP="00495A3D">
      <w:pPr>
        <w:pStyle w:val="ListParagraph"/>
        <w:rPr>
          <w:rFonts w:cs="Arial"/>
        </w:rPr>
      </w:pPr>
    </w:p>
    <w:p w:rsidR="00495A3D" w:rsidRDefault="00495A3D" w:rsidP="00495A3D">
      <w:pPr>
        <w:jc w:val="center"/>
        <w:rPr>
          <w:rFonts w:cs="Arial"/>
          <w:szCs w:val="20"/>
        </w:rPr>
      </w:pPr>
      <w:r>
        <w:rPr>
          <w:rFonts w:cs="Arial"/>
          <w:noProof/>
          <w:szCs w:val="20"/>
        </w:rPr>
        <w:drawing>
          <wp:inline distT="0" distB="0" distL="0" distR="0" wp14:anchorId="34BB5E61" wp14:editId="13208ACE">
            <wp:extent cx="4594268" cy="3384467"/>
            <wp:effectExtent l="0" t="0" r="0" b="6985"/>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94023" cy="3384286"/>
                    </a:xfrm>
                    <a:prstGeom prst="rect">
                      <a:avLst/>
                    </a:prstGeom>
                    <a:noFill/>
                    <a:ln>
                      <a:noFill/>
                    </a:ln>
                  </pic:spPr>
                </pic:pic>
              </a:graphicData>
            </a:graphic>
          </wp:inline>
        </w:drawing>
      </w:r>
    </w:p>
    <w:p w:rsidR="00495A3D" w:rsidRDefault="00495A3D" w:rsidP="00495A3D">
      <w:pPr>
        <w:jc w:val="center"/>
        <w:rPr>
          <w:rFonts w:cs="Arial"/>
          <w:szCs w:val="20"/>
        </w:rPr>
      </w:pPr>
    </w:p>
    <w:p w:rsidR="00495A3D" w:rsidRPr="00495A3D" w:rsidRDefault="00495A3D" w:rsidP="00BF61DC">
      <w:pPr>
        <w:pStyle w:val="ListParagraph"/>
        <w:numPr>
          <w:ilvl w:val="0"/>
          <w:numId w:val="104"/>
        </w:numPr>
        <w:ind w:left="714" w:hanging="357"/>
        <w:contextualSpacing/>
        <w:rPr>
          <w:rFonts w:cs="Arial"/>
          <w:lang w:val="ru-RU"/>
        </w:rPr>
      </w:pPr>
      <w:r w:rsidRPr="00495A3D">
        <w:rPr>
          <w:lang w:val="ru-RU"/>
        </w:rPr>
        <w:t>В 2015</w:t>
      </w:r>
      <w:r>
        <w:t> </w:t>
      </w:r>
      <w:r w:rsidRPr="00495A3D">
        <w:rPr>
          <w:lang w:val="ru-RU"/>
        </w:rPr>
        <w:t xml:space="preserve">г. почти треть ошибок, связанных с классификациями, приходилась на неверную классификацию. </w:t>
      </w:r>
    </w:p>
    <w:p w:rsidR="00495A3D" w:rsidRPr="00495A3D" w:rsidRDefault="00495A3D" w:rsidP="00495A3D">
      <w:pPr>
        <w:jc w:val="center"/>
        <w:rPr>
          <w:rFonts w:cs="Arial"/>
          <w:szCs w:val="20"/>
          <w:lang w:val="ru-RU"/>
        </w:rPr>
      </w:pPr>
    </w:p>
    <w:p w:rsidR="00495A3D" w:rsidRDefault="00495A3D" w:rsidP="00495A3D">
      <w:pPr>
        <w:jc w:val="center"/>
        <w:rPr>
          <w:rFonts w:cs="Arial"/>
          <w:szCs w:val="20"/>
        </w:rPr>
      </w:pPr>
      <w:r>
        <w:rPr>
          <w:rFonts w:cs="Arial"/>
          <w:noProof/>
          <w:szCs w:val="20"/>
        </w:rPr>
        <w:drawing>
          <wp:inline distT="0" distB="0" distL="0" distR="0" wp14:anchorId="6279B2F6" wp14:editId="71D3750F">
            <wp:extent cx="4797631" cy="3534279"/>
            <wp:effectExtent l="0" t="0" r="3175" b="9525"/>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797375" cy="3534090"/>
                    </a:xfrm>
                    <a:prstGeom prst="rect">
                      <a:avLst/>
                    </a:prstGeom>
                    <a:noFill/>
                    <a:ln>
                      <a:noFill/>
                    </a:ln>
                  </pic:spPr>
                </pic:pic>
              </a:graphicData>
            </a:graphic>
          </wp:inline>
        </w:drawing>
      </w:r>
    </w:p>
    <w:p w:rsidR="00495A3D" w:rsidRDefault="00495A3D" w:rsidP="00495A3D">
      <w:pPr>
        <w:jc w:val="center"/>
        <w:rPr>
          <w:rFonts w:cs="Arial"/>
          <w:szCs w:val="20"/>
        </w:rPr>
      </w:pPr>
    </w:p>
    <w:p w:rsidR="00495A3D" w:rsidRPr="00495A3D" w:rsidRDefault="00495A3D" w:rsidP="00BF61DC">
      <w:pPr>
        <w:pStyle w:val="ListParagraph"/>
        <w:numPr>
          <w:ilvl w:val="0"/>
          <w:numId w:val="104"/>
        </w:numPr>
        <w:contextualSpacing/>
        <w:rPr>
          <w:rFonts w:cs="Arial"/>
          <w:lang w:val="ru-RU"/>
        </w:rPr>
      </w:pPr>
      <w:r w:rsidRPr="00495A3D">
        <w:rPr>
          <w:lang w:val="ru-RU"/>
        </w:rPr>
        <w:t>В 2015</w:t>
      </w:r>
      <w:r>
        <w:t> </w:t>
      </w:r>
      <w:r w:rsidRPr="00495A3D">
        <w:rPr>
          <w:lang w:val="ru-RU"/>
        </w:rPr>
        <w:t>г. большинство исправлений при проведении формальной экспертизы было связано с ошибками, допущенными при внесении данных заявителей (45,3</w:t>
      </w:r>
      <w:r>
        <w:t> </w:t>
      </w:r>
      <w:r w:rsidRPr="00495A3D">
        <w:rPr>
          <w:lang w:val="ru-RU"/>
        </w:rPr>
        <w:t>процента) и представителей (8,3</w:t>
      </w:r>
      <w:r>
        <w:t> </w:t>
      </w:r>
      <w:r w:rsidRPr="00495A3D">
        <w:rPr>
          <w:lang w:val="ru-RU"/>
        </w:rPr>
        <w:t>процента).</w:t>
      </w:r>
    </w:p>
    <w:p w:rsidR="00495A3D" w:rsidRPr="00495A3D" w:rsidRDefault="00495A3D" w:rsidP="00495A3D">
      <w:pPr>
        <w:pStyle w:val="ListParagraph"/>
        <w:rPr>
          <w:rFonts w:cs="Arial"/>
          <w:lang w:val="ru-RU"/>
        </w:rPr>
      </w:pPr>
    </w:p>
    <w:p w:rsidR="00495A3D" w:rsidRDefault="00495A3D" w:rsidP="00495A3D">
      <w:pPr>
        <w:jc w:val="center"/>
        <w:rPr>
          <w:rFonts w:cs="Arial"/>
          <w:szCs w:val="20"/>
        </w:rPr>
      </w:pPr>
      <w:r>
        <w:rPr>
          <w:rFonts w:cs="Arial"/>
          <w:noProof/>
          <w:szCs w:val="20"/>
        </w:rPr>
        <w:drawing>
          <wp:inline distT="0" distB="0" distL="0" distR="0" wp14:anchorId="583EBDA7" wp14:editId="79FE9D96">
            <wp:extent cx="4904509" cy="3613013"/>
            <wp:effectExtent l="0" t="0" r="0" b="6985"/>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904247" cy="3612820"/>
                    </a:xfrm>
                    <a:prstGeom prst="rect">
                      <a:avLst/>
                    </a:prstGeom>
                    <a:noFill/>
                    <a:ln>
                      <a:noFill/>
                    </a:ln>
                  </pic:spPr>
                </pic:pic>
              </a:graphicData>
            </a:graphic>
          </wp:inline>
        </w:drawing>
      </w:r>
    </w:p>
    <w:p w:rsidR="00495A3D" w:rsidRDefault="00495A3D" w:rsidP="00495A3D">
      <w:pPr>
        <w:jc w:val="center"/>
        <w:rPr>
          <w:rFonts w:cs="Arial"/>
          <w:szCs w:val="20"/>
        </w:rPr>
      </w:pPr>
    </w:p>
    <w:p w:rsidR="00495A3D" w:rsidRPr="00495A3D" w:rsidRDefault="00495A3D" w:rsidP="00BF61DC">
      <w:pPr>
        <w:pStyle w:val="ListParagraph"/>
        <w:numPr>
          <w:ilvl w:val="0"/>
          <w:numId w:val="104"/>
        </w:numPr>
        <w:contextualSpacing/>
        <w:rPr>
          <w:rFonts w:cs="Arial"/>
          <w:lang w:val="ru-RU"/>
        </w:rPr>
      </w:pPr>
      <w:r w:rsidRPr="00495A3D">
        <w:rPr>
          <w:lang w:val="ru-RU"/>
        </w:rPr>
        <w:t>83</w:t>
      </w:r>
      <w:r>
        <w:t> </w:t>
      </w:r>
      <w:r w:rsidRPr="00495A3D">
        <w:rPr>
          <w:lang w:val="ru-RU"/>
        </w:rPr>
        <w:t>процента всех исправлений, связанных с изменениями, в 2015</w:t>
      </w:r>
      <w:r>
        <w:t> </w:t>
      </w:r>
      <w:r w:rsidRPr="00495A3D">
        <w:rPr>
          <w:lang w:val="ru-RU"/>
        </w:rPr>
        <w:t>г. касались четырех операций: последующих указаний (24,8</w:t>
      </w:r>
      <w:r>
        <w:t> </w:t>
      </w:r>
      <w:r w:rsidRPr="00495A3D">
        <w:rPr>
          <w:lang w:val="ru-RU"/>
        </w:rPr>
        <w:t>процента), изменений в праве собственности (21,7</w:t>
      </w:r>
      <w:r>
        <w:t> </w:t>
      </w:r>
      <w:r w:rsidRPr="00495A3D">
        <w:rPr>
          <w:lang w:val="ru-RU"/>
        </w:rPr>
        <w:t>процента), изменений имени и/или адреса правообладателя (19,3</w:t>
      </w:r>
      <w:r>
        <w:t> </w:t>
      </w:r>
      <w:r w:rsidRPr="00495A3D">
        <w:rPr>
          <w:lang w:val="ru-RU"/>
        </w:rPr>
        <w:t>процента) и ограничений (16,9</w:t>
      </w:r>
      <w:r>
        <w:t> </w:t>
      </w:r>
      <w:r w:rsidRPr="00495A3D">
        <w:rPr>
          <w:lang w:val="ru-RU"/>
        </w:rPr>
        <w:t>процента).</w:t>
      </w:r>
    </w:p>
    <w:p w:rsidR="00495A3D" w:rsidRPr="00495A3D" w:rsidRDefault="00495A3D" w:rsidP="00495A3D">
      <w:pPr>
        <w:jc w:val="center"/>
        <w:rPr>
          <w:rFonts w:cs="Arial"/>
          <w:szCs w:val="20"/>
          <w:lang w:val="ru-RU"/>
        </w:rPr>
      </w:pPr>
    </w:p>
    <w:p w:rsidR="00495A3D" w:rsidRDefault="00495A3D" w:rsidP="00495A3D">
      <w:pPr>
        <w:jc w:val="center"/>
        <w:rPr>
          <w:rFonts w:cs="Arial"/>
          <w:szCs w:val="20"/>
        </w:rPr>
      </w:pPr>
      <w:r>
        <w:rPr>
          <w:rFonts w:cs="Arial"/>
          <w:noProof/>
          <w:szCs w:val="20"/>
        </w:rPr>
        <w:drawing>
          <wp:inline distT="0" distB="0" distL="0" distR="0" wp14:anchorId="37F06F3D" wp14:editId="1DE858A5">
            <wp:extent cx="4952011" cy="3648006"/>
            <wp:effectExtent l="0" t="0" r="127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951747" cy="3647811"/>
                    </a:xfrm>
                    <a:prstGeom prst="rect">
                      <a:avLst/>
                    </a:prstGeom>
                    <a:noFill/>
                    <a:ln>
                      <a:noFill/>
                    </a:ln>
                  </pic:spPr>
                </pic:pic>
              </a:graphicData>
            </a:graphic>
          </wp:inline>
        </w:drawing>
      </w:r>
    </w:p>
    <w:p w:rsidR="00495A3D" w:rsidRDefault="00495A3D" w:rsidP="00495A3D">
      <w:pPr>
        <w:jc w:val="center"/>
        <w:rPr>
          <w:rFonts w:cs="Arial"/>
          <w:szCs w:val="20"/>
        </w:rPr>
      </w:pPr>
    </w:p>
    <w:p w:rsidR="0038701B" w:rsidRPr="00495A3D" w:rsidRDefault="00495A3D" w:rsidP="00BF61DC">
      <w:pPr>
        <w:pStyle w:val="ListParagraph"/>
        <w:numPr>
          <w:ilvl w:val="0"/>
          <w:numId w:val="104"/>
        </w:numPr>
        <w:contextualSpacing/>
        <w:rPr>
          <w:rFonts w:cs="Arial"/>
          <w:lang w:val="ru-RU"/>
        </w:rPr>
      </w:pPr>
      <w:r w:rsidRPr="00495A3D">
        <w:rPr>
          <w:lang w:val="ru-RU"/>
        </w:rPr>
        <w:t>На неверный расчет пошлин (33,8</w:t>
      </w:r>
      <w:r>
        <w:t> </w:t>
      </w:r>
      <w:r w:rsidRPr="00495A3D">
        <w:rPr>
          <w:lang w:val="ru-RU"/>
        </w:rPr>
        <w:t>процента) и ошибки при внесении записей об указаниях (32,5</w:t>
      </w:r>
      <w:r>
        <w:t> </w:t>
      </w:r>
      <w:r w:rsidRPr="00495A3D">
        <w:rPr>
          <w:lang w:val="ru-RU"/>
        </w:rPr>
        <w:t>процента) в сумме пришлось две трети исправлений, сделанных в отношении продлений в 2015</w:t>
      </w:r>
      <w:r>
        <w:t> </w:t>
      </w:r>
      <w:r w:rsidRPr="00495A3D">
        <w:rPr>
          <w:lang w:val="ru-RU"/>
        </w:rPr>
        <w:t>г.</w:t>
      </w:r>
    </w:p>
    <w:p w:rsidR="0038701B" w:rsidRPr="00495A3D" w:rsidRDefault="0038701B" w:rsidP="00E3403E">
      <w:pPr>
        <w:pStyle w:val="ListParagraph"/>
        <w:rPr>
          <w:rFonts w:cs="Arial"/>
          <w:lang w:val="ru-RU"/>
        </w:rPr>
      </w:pPr>
    </w:p>
    <w:p w:rsidR="0038701B" w:rsidRPr="00C61544" w:rsidRDefault="005D264A" w:rsidP="005D264A">
      <w:pPr>
        <w:pStyle w:val="ListParagraph"/>
        <w:ind w:left="5823" w:firstLine="414"/>
        <w:rPr>
          <w:rFonts w:cs="Arial"/>
          <w:lang w:val="ru-RU"/>
        </w:rPr>
      </w:pPr>
      <w:r w:rsidRPr="00C61544">
        <w:rPr>
          <w:rFonts w:cs="Arial"/>
          <w:lang w:val="ru-RU"/>
        </w:rPr>
        <w:t>[</w:t>
      </w:r>
      <w:r w:rsidR="00495A3D">
        <w:rPr>
          <w:rFonts w:cs="Arial"/>
          <w:lang w:val="ru-RU"/>
        </w:rPr>
        <w:t>Конец</w:t>
      </w:r>
      <w:r w:rsidR="00495A3D" w:rsidRPr="00C61544">
        <w:rPr>
          <w:rFonts w:cs="Arial"/>
          <w:lang w:val="ru-RU"/>
        </w:rPr>
        <w:t xml:space="preserve"> </w:t>
      </w:r>
      <w:r w:rsidR="00495A3D">
        <w:rPr>
          <w:rFonts w:cs="Arial"/>
          <w:lang w:val="ru-RU"/>
        </w:rPr>
        <w:t>приложения</w:t>
      </w:r>
      <w:r w:rsidRPr="00C61544">
        <w:rPr>
          <w:rFonts w:cs="Arial"/>
          <w:lang w:val="ru-RU"/>
        </w:rPr>
        <w:t>]</w:t>
      </w:r>
    </w:p>
    <w:p w:rsidR="00DB4599" w:rsidRPr="00C61544" w:rsidRDefault="00DB4599">
      <w:pPr>
        <w:rPr>
          <w:lang w:val="ru-RU"/>
        </w:rPr>
      </w:pPr>
      <w:r w:rsidRPr="00C61544">
        <w:rPr>
          <w:lang w:val="ru-RU"/>
        </w:rPr>
        <w:br w:type="page"/>
      </w:r>
    </w:p>
    <w:p w:rsidR="005177C8" w:rsidRPr="005177C8" w:rsidRDefault="005177C8" w:rsidP="005177C8">
      <w:pPr>
        <w:pStyle w:val="Heading2"/>
        <w:tabs>
          <w:tab w:val="clear" w:pos="567"/>
          <w:tab w:val="left" w:pos="1985"/>
        </w:tabs>
        <w:ind w:left="1985" w:hanging="1985"/>
        <w:rPr>
          <w:lang w:val="ru-RU"/>
        </w:rPr>
      </w:pPr>
      <w:bookmarkStart w:id="70" w:name="_Toc422210486"/>
      <w:bookmarkStart w:id="71" w:name="_Toc455388110"/>
      <w:r w:rsidRPr="005177C8">
        <w:rPr>
          <w:lang w:val="ru-RU"/>
        </w:rPr>
        <w:t>ПРОГРАММА 31</w:t>
      </w:r>
      <w:r w:rsidRPr="005177C8">
        <w:rPr>
          <w:lang w:val="ru-RU"/>
        </w:rPr>
        <w:tab/>
        <w:t>ГААГСКАЯ СИСТЕМА</w:t>
      </w:r>
      <w:bookmarkEnd w:id="70"/>
      <w:bookmarkEnd w:id="71"/>
    </w:p>
    <w:p w:rsidR="005177C8" w:rsidRPr="005177C8" w:rsidRDefault="005177C8" w:rsidP="005177C8">
      <w:pPr>
        <w:rPr>
          <w:szCs w:val="20"/>
          <w:lang w:val="ru-RU"/>
        </w:rPr>
      </w:pPr>
    </w:p>
    <w:p w:rsidR="005177C8" w:rsidRPr="005177C8" w:rsidRDefault="005177C8" w:rsidP="005177C8">
      <w:pPr>
        <w:tabs>
          <w:tab w:val="left" w:pos="1985"/>
        </w:tabs>
        <w:rPr>
          <w:b/>
          <w:szCs w:val="22"/>
          <w:lang w:val="ru-RU"/>
        </w:rPr>
      </w:pPr>
      <w:r w:rsidRPr="005177C8">
        <w:rPr>
          <w:b/>
          <w:lang w:val="ru-RU"/>
        </w:rPr>
        <w:t>Руководитель программы:</w:t>
      </w:r>
      <w:r w:rsidRPr="005177C8">
        <w:rPr>
          <w:lang w:val="ru-RU"/>
        </w:rPr>
        <w:tab/>
      </w:r>
      <w:r w:rsidRPr="005177C8">
        <w:rPr>
          <w:b/>
          <w:lang w:val="ru-RU"/>
        </w:rPr>
        <w:t>г-жа Б. Ван</w:t>
      </w:r>
    </w:p>
    <w:p w:rsidR="005177C8" w:rsidRPr="005177C8" w:rsidRDefault="005177C8" w:rsidP="005177C8">
      <w:pPr>
        <w:autoSpaceDE w:val="0"/>
        <w:autoSpaceDN w:val="0"/>
        <w:adjustRightInd w:val="0"/>
        <w:rPr>
          <w:lang w:val="ru-RU"/>
        </w:rPr>
      </w:pPr>
    </w:p>
    <w:p w:rsidR="005177C8" w:rsidRPr="005177C8" w:rsidRDefault="005177C8" w:rsidP="005177C8">
      <w:pPr>
        <w:rPr>
          <w:szCs w:val="20"/>
          <w:lang w:val="ru-RU"/>
        </w:rPr>
      </w:pPr>
    </w:p>
    <w:p w:rsidR="005177C8" w:rsidRPr="005177C8" w:rsidRDefault="005177C8" w:rsidP="005177C8">
      <w:pPr>
        <w:rPr>
          <w:bCs/>
          <w:szCs w:val="22"/>
          <w:lang w:val="ru-RU"/>
        </w:rPr>
      </w:pPr>
      <w:r w:rsidRPr="005177C8">
        <w:rPr>
          <w:lang w:val="ru-RU"/>
        </w:rPr>
        <w:t>ОБЗОР ДОСТИЖЕНИЙ ЗА ДВУХЛЕТНИЙ ПЕРИОД 2014–2015 ГГ.</w:t>
      </w:r>
    </w:p>
    <w:p w:rsidR="005177C8" w:rsidRPr="005177C8" w:rsidRDefault="005177C8" w:rsidP="005177C8">
      <w:pPr>
        <w:jc w:val="both"/>
        <w:rPr>
          <w:rFonts w:cs="Arial"/>
          <w:szCs w:val="20"/>
          <w:lang w:val="ru-RU"/>
        </w:rPr>
      </w:pPr>
    </w:p>
    <w:p w:rsidR="005177C8" w:rsidRPr="005177C8" w:rsidRDefault="005177C8" w:rsidP="005177C8">
      <w:pPr>
        <w:pStyle w:val="ListParagraph"/>
        <w:numPr>
          <w:ilvl w:val="0"/>
          <w:numId w:val="38"/>
        </w:numPr>
        <w:tabs>
          <w:tab w:val="left" w:pos="709"/>
        </w:tabs>
        <w:spacing w:after="200"/>
        <w:ind w:left="0" w:firstLine="0"/>
        <w:jc w:val="both"/>
        <w:rPr>
          <w:rFonts w:cs="Arial"/>
          <w:lang w:val="ru-RU"/>
        </w:rPr>
      </w:pPr>
      <w:r w:rsidRPr="005177C8">
        <w:rPr>
          <w:lang w:val="ru-RU"/>
        </w:rPr>
        <w:t>В 2014–2015</w:t>
      </w:r>
      <w:r>
        <w:t> </w:t>
      </w:r>
      <w:r w:rsidRPr="005177C8">
        <w:rPr>
          <w:lang w:val="ru-RU"/>
        </w:rPr>
        <w:t>гг. Гаагская система активно развивалась.  В 2014</w:t>
      </w:r>
      <w:r>
        <w:t> </w:t>
      </w:r>
      <w:r w:rsidRPr="005177C8">
        <w:rPr>
          <w:lang w:val="ru-RU"/>
        </w:rPr>
        <w:t>г. участником Женевского акта (1999</w:t>
      </w:r>
      <w:r>
        <w:t> </w:t>
      </w:r>
      <w:r w:rsidRPr="005177C8">
        <w:rPr>
          <w:lang w:val="ru-RU"/>
        </w:rPr>
        <w:t>г.) Гаагского соглашения о международной регистрации промышленных образцов (далее именуемого «Акт 1999 г.») стала Республика Корея, а в 2015</w:t>
      </w:r>
      <w:r>
        <w:t> </w:t>
      </w:r>
      <w:r w:rsidRPr="005177C8">
        <w:rPr>
          <w:lang w:val="ru-RU"/>
        </w:rPr>
        <w:t>г. – Япония, Туркменистан и Соединенные Штаты Америки.  В результате число Договаривающихся сторон этого Акта достигло 50.  Хотя целевые показатели не были достигнуты, присоединение Республики Корея, Соединенных Штатов Америки и Японии (которые соответственно занимают третье, четвертое и пятое место в мире среди юрисдикций, где подается наибольшее число заявок на регистрацию образцов) значительно повысило уровень привлекательности Гаагской системы.  В результате число международных заявок увеличилось более чем на 40</w:t>
      </w:r>
      <w:r>
        <w:t> </w:t>
      </w:r>
      <w:r w:rsidRPr="005177C8">
        <w:rPr>
          <w:lang w:val="ru-RU"/>
        </w:rPr>
        <w:t>процентов в 2015</w:t>
      </w:r>
      <w:r>
        <w:t> </w:t>
      </w:r>
      <w:r w:rsidRPr="005177C8">
        <w:rPr>
          <w:lang w:val="ru-RU"/>
        </w:rPr>
        <w:t>г. по сравнению с 2014</w:t>
      </w:r>
      <w:r>
        <w:t> </w:t>
      </w:r>
      <w:r w:rsidRPr="005177C8">
        <w:rPr>
          <w:lang w:val="ru-RU"/>
        </w:rPr>
        <w:t>г., что было существенно больше, чем ожидалось. Кроме того, благодаря такому расширению к концу двухлетнего периода появились убедительные признаки заинтересованности в присоединении со стороны другие потенциальных Договаривающихся сторон, в том числе тех стран, которые являются сторонами более ранних актов.  В этой связи по состоянию на конец 2015</w:t>
      </w:r>
      <w:r>
        <w:t> </w:t>
      </w:r>
      <w:r w:rsidRPr="005177C8">
        <w:rPr>
          <w:lang w:val="ru-RU"/>
        </w:rPr>
        <w:t>г. для прекращения действия Акта 1934 г. по-прежнему требовалось согласие еще двух участников, а четыре Договаривающиеся стороны, не входящие в Европейский союз (ЕС) и Африканскую организацию интеллектуальной собственности</w:t>
      </w:r>
      <w:r w:rsidRPr="005177C8">
        <w:rPr>
          <w:i/>
          <w:lang w:val="ru-RU"/>
        </w:rPr>
        <w:t xml:space="preserve"> </w:t>
      </w:r>
      <w:r w:rsidRPr="005177C8">
        <w:rPr>
          <w:lang w:val="ru-RU"/>
        </w:rPr>
        <w:t>(АОИС), все еще были связаны только положениями Акта 1960</w:t>
      </w:r>
      <w:r>
        <w:t> </w:t>
      </w:r>
      <w:r w:rsidRPr="005177C8">
        <w:rPr>
          <w:lang w:val="ru-RU"/>
        </w:rPr>
        <w:t>г.</w:t>
      </w:r>
    </w:p>
    <w:p w:rsidR="005177C8" w:rsidRPr="005177C8" w:rsidRDefault="005177C8" w:rsidP="005177C8">
      <w:pPr>
        <w:pStyle w:val="ListParagraph"/>
        <w:numPr>
          <w:ilvl w:val="0"/>
          <w:numId w:val="38"/>
        </w:numPr>
        <w:tabs>
          <w:tab w:val="left" w:pos="709"/>
        </w:tabs>
        <w:spacing w:after="200"/>
        <w:ind w:left="0" w:firstLine="0"/>
        <w:jc w:val="both"/>
        <w:rPr>
          <w:rFonts w:cs="Arial"/>
          <w:lang w:val="ru-RU"/>
        </w:rPr>
      </w:pPr>
      <w:r w:rsidRPr="005177C8">
        <w:rPr>
          <w:lang w:val="ru-RU"/>
        </w:rPr>
        <w:t xml:space="preserve">Однако включение указанных выше юрисдикций имело определенные издержки, так как оно потребовало использования ряда наиболее сложных механизмов системы, в частности связанных с требованием получения клятвы создателя образца и с уплатой индивидуальных пошлин в два этапа. Кроме того, потребовалась разработка новых норм, в частности связанных с понятием родственных образцов.  В связи с этим в систему экспертизы, систему электронной подачи заявок и бланки были внесены ряд изменений и дополнений, что позволило постепенно обеспечить соответствие новым требованиям.  Что касается предоставляемой пользователям информации, то комплексное обновление базы данных </w:t>
      </w:r>
      <w:r>
        <w:t>Hague</w:t>
      </w:r>
      <w:r w:rsidRPr="005177C8">
        <w:rPr>
          <w:lang w:val="ru-RU"/>
        </w:rPr>
        <w:t xml:space="preserve"> </w:t>
      </w:r>
      <w:r>
        <w:t>Express</w:t>
      </w:r>
      <w:r w:rsidRPr="005177C8">
        <w:rPr>
          <w:lang w:val="ru-RU"/>
        </w:rPr>
        <w:t xml:space="preserve"> и интеграция данных Гаагской системы в Глобальную базу данных по образцам повысили качество информации, получаемой конечными пользователями, ведомствами и третьими сторонами.  Руководство по Гаагской системе было полностью конвертировано в веб-формат, что упростило доступ к нему, включая непосредственный доступ через интерфейс электронной подачи заявок.  Несмотря на резкий рост числа заявок в 2015</w:t>
      </w:r>
      <w:r>
        <w:t> </w:t>
      </w:r>
      <w:r w:rsidRPr="005177C8">
        <w:rPr>
          <w:lang w:val="ru-RU"/>
        </w:rPr>
        <w:t>г. и повышение уровня сложности, Гаагская система смогла справиться с этим, сохранив сроки обработки на среднем за последние пять лет уровне.  В результате в 2015</w:t>
      </w:r>
      <w:r>
        <w:t> </w:t>
      </w:r>
      <w:r w:rsidRPr="005177C8">
        <w:rPr>
          <w:lang w:val="ru-RU"/>
        </w:rPr>
        <w:t>г. по сравнению с 2014</w:t>
      </w:r>
      <w:r>
        <w:t> </w:t>
      </w:r>
      <w:r w:rsidRPr="005177C8">
        <w:rPr>
          <w:lang w:val="ru-RU"/>
        </w:rPr>
        <w:t>г. стоимость обработки одной заявки на образец снизилась на восемь процентов, а стоимость одного документа снизилась на 22</w:t>
      </w:r>
      <w:r>
        <w:t> </w:t>
      </w:r>
      <w:r w:rsidRPr="005177C8">
        <w:rPr>
          <w:lang w:val="ru-RU"/>
        </w:rPr>
        <w:t>процента. Были автоматизированы два новых процесса: получение и обработка поданных ненапрямую заявок Корейским ведомством интеллектуальной собственности (КВИС) и экспертиза заявления о предоставлении охраны Ведомством по гармонизации на внутреннем рынке (ВГВР) Европейского союза, в результате чего общее число автоматизированных процессов достигло четырех.</w:t>
      </w:r>
    </w:p>
    <w:p w:rsidR="005177C8" w:rsidRPr="005177C8" w:rsidRDefault="005177C8" w:rsidP="005177C8">
      <w:pPr>
        <w:pStyle w:val="ListParagraph"/>
        <w:numPr>
          <w:ilvl w:val="0"/>
          <w:numId w:val="38"/>
        </w:numPr>
        <w:tabs>
          <w:tab w:val="left" w:pos="709"/>
        </w:tabs>
        <w:spacing w:after="200"/>
        <w:ind w:left="0" w:firstLine="0"/>
        <w:jc w:val="both"/>
        <w:rPr>
          <w:rFonts w:cs="Arial"/>
          <w:lang w:val="ru-RU"/>
        </w:rPr>
      </w:pPr>
      <w:r w:rsidRPr="005177C8">
        <w:rPr>
          <w:lang w:val="ru-RU"/>
        </w:rPr>
        <w:t>В рассматриваемый двухлетний период был достигнут значительный прогресс в деле расширения правовой базы Гаагской системы.  В частности, по итогам четвертой сессии Рабочей группы по правовому развитию Гаагской системы международной регистрации промышленных образцов Ассамблея Гаагского союза утвердила положения, которые вступили в силу 1 января 2015</w:t>
      </w:r>
      <w:r>
        <w:t> </w:t>
      </w:r>
      <w:r w:rsidRPr="005177C8">
        <w:rPr>
          <w:lang w:val="ru-RU"/>
        </w:rPr>
        <w:t>г. Эти положения ввели в действие «механизм</w:t>
      </w:r>
      <w:r>
        <w:t> </w:t>
      </w:r>
      <w:r w:rsidRPr="005177C8">
        <w:rPr>
          <w:lang w:val="ru-RU"/>
        </w:rPr>
        <w:t>обратной связи», призванный обеспечить общедоступность информации об изменениях в промышленном образце, являющемся предметом международной регистрации, в соответствии с процедурой в ведомстве указанной Договаривающейся стороны.  Кроме того, чтобы сделать режим раскрытия образцов пользователей более гибким, были внесены поправки в Административную инструкцию, которые вступили в силу 1 июля 2014</w:t>
      </w:r>
      <w:r>
        <w:t> </w:t>
      </w:r>
      <w:r w:rsidRPr="005177C8">
        <w:rPr>
          <w:lang w:val="ru-RU"/>
        </w:rPr>
        <w:t>г.  Эти два новшества обеспечили фундамент для дальнейшего движения по пути давно ожидавшегося расширения системы на юрисдикции, в которых предусмотрена экспертиза образцов по существу.  Учитывая изменения, внесенные в интефейс электронной подачи заявок, Гаагская система стала более подготовленной для преодоления дополнительных сложностей и позволила обеспечить присоединение Японии, Республики Корея и Соединенных Штатов Америки.</w:t>
      </w:r>
    </w:p>
    <w:p w:rsidR="005177C8" w:rsidRPr="005177C8" w:rsidRDefault="005177C8" w:rsidP="005177C8">
      <w:pPr>
        <w:pStyle w:val="ListParagraph"/>
        <w:numPr>
          <w:ilvl w:val="0"/>
          <w:numId w:val="38"/>
        </w:numPr>
        <w:tabs>
          <w:tab w:val="left" w:pos="709"/>
        </w:tabs>
        <w:spacing w:after="200"/>
        <w:ind w:left="0" w:firstLine="0"/>
        <w:jc w:val="both"/>
        <w:rPr>
          <w:lang w:val="ru-RU"/>
        </w:rPr>
      </w:pPr>
      <w:r w:rsidRPr="005177C8">
        <w:rPr>
          <w:lang w:val="ru-RU"/>
        </w:rPr>
        <w:t>Разработка, планирование и осуществление мероприятий в рамках программы</w:t>
      </w:r>
      <w:r>
        <w:t> </w:t>
      </w:r>
      <w:r w:rsidRPr="005177C8">
        <w:rPr>
          <w:lang w:val="ru-RU"/>
        </w:rPr>
        <w:t>31 производились с учетом и на основе соответствующих рекомендаций, в частности, рекомендаций</w:t>
      </w:r>
      <w:r>
        <w:t> </w:t>
      </w:r>
      <w:r w:rsidRPr="005177C8">
        <w:rPr>
          <w:lang w:val="ru-RU"/>
        </w:rPr>
        <w:t>1 и 6.</w:t>
      </w:r>
    </w:p>
    <w:p w:rsidR="005177C8" w:rsidRPr="005177C8" w:rsidRDefault="005177C8" w:rsidP="005177C8">
      <w:pPr>
        <w:spacing w:after="200"/>
        <w:jc w:val="both"/>
        <w:rPr>
          <w:rFonts w:cs="Arial"/>
          <w:sz w:val="22"/>
          <w:szCs w:val="22"/>
          <w:lang w:val="ru-RU"/>
        </w:rPr>
      </w:pPr>
    </w:p>
    <w:p w:rsidR="005177C8" w:rsidRPr="00191037" w:rsidRDefault="005177C8" w:rsidP="005177C8">
      <w:pPr>
        <w:keepNext/>
        <w:keepLines/>
        <w:rPr>
          <w:rFonts w:cs="Arial"/>
          <w:sz w:val="22"/>
          <w:szCs w:val="22"/>
        </w:rPr>
      </w:pPr>
      <w:r>
        <w:rPr>
          <w:sz w:val="22"/>
        </w:rPr>
        <w:t>ДАННЫЕ О РЕЗУЛЬТАТИВНОСТИ</w:t>
      </w:r>
    </w:p>
    <w:p w:rsidR="005177C8" w:rsidRDefault="005177C8" w:rsidP="005177C8">
      <w:pPr>
        <w:keepNext/>
        <w:keepLines/>
        <w:rPr>
          <w:bCs/>
          <w:sz w:val="22"/>
          <w:szCs w:val="22"/>
        </w:rPr>
      </w:pPr>
    </w:p>
    <w:tbl>
      <w:tblPr>
        <w:tblW w:w="50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13"/>
        <w:gridCol w:w="35"/>
        <w:gridCol w:w="72"/>
        <w:gridCol w:w="1876"/>
        <w:gridCol w:w="257"/>
        <w:gridCol w:w="199"/>
        <w:gridCol w:w="27"/>
        <w:gridCol w:w="1465"/>
        <w:gridCol w:w="107"/>
        <w:gridCol w:w="72"/>
        <w:gridCol w:w="113"/>
        <w:gridCol w:w="1656"/>
        <w:gridCol w:w="434"/>
        <w:gridCol w:w="218"/>
        <w:gridCol w:w="1295"/>
      </w:tblGrid>
      <w:tr w:rsidR="005177C8" w:rsidRPr="005C6ABD" w:rsidTr="005177C8">
        <w:trPr>
          <w:cantSplit/>
        </w:trPr>
        <w:tc>
          <w:tcPr>
            <w:tcW w:w="5000" w:type="pct"/>
            <w:gridSpan w:val="15"/>
            <w:tcBorders>
              <w:top w:val="single" w:sz="4" w:space="0" w:color="auto"/>
              <w:bottom w:val="single" w:sz="4" w:space="0" w:color="auto"/>
            </w:tcBorders>
            <w:shd w:val="clear" w:color="auto" w:fill="C6D9F1" w:themeFill="text2" w:themeFillTint="33"/>
            <w:vAlign w:val="center"/>
          </w:tcPr>
          <w:p w:rsidR="005177C8" w:rsidRPr="005177C8" w:rsidRDefault="005177C8" w:rsidP="003A5C2E">
            <w:pPr>
              <w:keepNext/>
              <w:keepLines/>
              <w:tabs>
                <w:tab w:val="left" w:pos="2302"/>
              </w:tabs>
              <w:spacing w:before="120" w:after="120"/>
              <w:ind w:left="2302" w:hanging="2302"/>
              <w:rPr>
                <w:rFonts w:cs="Arial"/>
                <w:b/>
                <w:bCs/>
                <w:sz w:val="16"/>
                <w:szCs w:val="16"/>
                <w:lang w:val="ru-RU"/>
              </w:rPr>
            </w:pPr>
            <w:r w:rsidRPr="005177C8">
              <w:rPr>
                <w:b/>
                <w:sz w:val="16"/>
                <w:lang w:val="ru-RU"/>
              </w:rPr>
              <w:t xml:space="preserve">Ожидаемый результат: </w:t>
            </w:r>
            <w:r w:rsidRPr="005177C8">
              <w:rPr>
                <w:lang w:val="ru-RU"/>
              </w:rPr>
              <w:tab/>
            </w:r>
            <w:r>
              <w:rPr>
                <w:color w:val="000000"/>
                <w:sz w:val="16"/>
              </w:rPr>
              <w:t>II</w:t>
            </w:r>
            <w:r w:rsidRPr="005177C8">
              <w:rPr>
                <w:color w:val="000000"/>
                <w:sz w:val="16"/>
                <w:lang w:val="ru-RU"/>
              </w:rPr>
              <w:t>.4. Более широкое и эффективное использование</w:t>
            </w:r>
            <w:r w:rsidR="003A5C2E">
              <w:rPr>
                <w:color w:val="000000"/>
                <w:sz w:val="16"/>
                <w:lang w:val="ru-RU"/>
              </w:rPr>
              <w:t xml:space="preserve"> Гаагской системы, в том числе </w:t>
            </w:r>
            <w:r w:rsidRPr="005177C8">
              <w:rPr>
                <w:color w:val="000000"/>
                <w:sz w:val="16"/>
                <w:lang w:val="ru-RU"/>
              </w:rPr>
              <w:t>развивающимися странами и НРС</w:t>
            </w:r>
          </w:p>
        </w:tc>
      </w:tr>
      <w:tr w:rsidR="005177C8" w:rsidRPr="008539B9" w:rsidTr="005177C8">
        <w:trPr>
          <w:cantSplit/>
        </w:trPr>
        <w:tc>
          <w:tcPr>
            <w:tcW w:w="1037" w:type="pct"/>
            <w:gridSpan w:val="3"/>
            <w:tcBorders>
              <w:top w:val="single" w:sz="4" w:space="0" w:color="auto"/>
            </w:tcBorders>
            <w:shd w:val="clear" w:color="auto" w:fill="auto"/>
            <w:vAlign w:val="center"/>
          </w:tcPr>
          <w:p w:rsidR="005177C8" w:rsidRPr="008539B9" w:rsidRDefault="005177C8" w:rsidP="005177C8">
            <w:pPr>
              <w:rPr>
                <w:rFonts w:cs="Arial"/>
                <w:sz w:val="16"/>
                <w:szCs w:val="16"/>
              </w:rPr>
            </w:pPr>
            <w:r>
              <w:rPr>
                <w:b/>
                <w:sz w:val="16"/>
              </w:rPr>
              <w:t>Показатели результативности</w:t>
            </w:r>
          </w:p>
        </w:tc>
        <w:tc>
          <w:tcPr>
            <w:tcW w:w="1095" w:type="pct"/>
            <w:gridSpan w:val="2"/>
            <w:tcBorders>
              <w:top w:val="single" w:sz="4" w:space="0" w:color="auto"/>
            </w:tcBorders>
            <w:shd w:val="clear" w:color="auto" w:fill="auto"/>
            <w:vAlign w:val="center"/>
          </w:tcPr>
          <w:p w:rsidR="005177C8" w:rsidRPr="008539B9" w:rsidRDefault="005177C8" w:rsidP="005177C8">
            <w:pPr>
              <w:rPr>
                <w:rFonts w:cs="Arial"/>
                <w:b/>
                <w:bCs/>
                <w:sz w:val="16"/>
                <w:szCs w:val="16"/>
              </w:rPr>
            </w:pPr>
            <w:r>
              <w:rPr>
                <w:b/>
                <w:sz w:val="16"/>
              </w:rPr>
              <w:t>Базовые показатели</w:t>
            </w:r>
          </w:p>
        </w:tc>
        <w:tc>
          <w:tcPr>
            <w:tcW w:w="1018" w:type="pct"/>
            <w:gridSpan w:val="6"/>
            <w:tcBorders>
              <w:top w:val="single" w:sz="4" w:space="0" w:color="auto"/>
            </w:tcBorders>
            <w:shd w:val="clear" w:color="auto" w:fill="auto"/>
            <w:tcMar>
              <w:top w:w="110" w:type="dxa"/>
            </w:tcMar>
            <w:vAlign w:val="center"/>
          </w:tcPr>
          <w:p w:rsidR="005177C8" w:rsidRPr="008539B9" w:rsidRDefault="005177C8" w:rsidP="005177C8">
            <w:pPr>
              <w:rPr>
                <w:rFonts w:cs="Arial"/>
                <w:b/>
                <w:sz w:val="16"/>
                <w:szCs w:val="16"/>
              </w:rPr>
            </w:pPr>
            <w:r>
              <w:rPr>
                <w:b/>
                <w:sz w:val="16"/>
              </w:rPr>
              <w:t>Цели</w:t>
            </w:r>
          </w:p>
        </w:tc>
        <w:tc>
          <w:tcPr>
            <w:tcW w:w="1185" w:type="pct"/>
            <w:gridSpan w:val="3"/>
            <w:tcBorders>
              <w:top w:val="single" w:sz="4" w:space="0" w:color="auto"/>
            </w:tcBorders>
            <w:shd w:val="clear" w:color="auto" w:fill="FFFFFF"/>
            <w:tcMar>
              <w:top w:w="110" w:type="dxa"/>
            </w:tcMar>
            <w:vAlign w:val="center"/>
          </w:tcPr>
          <w:p w:rsidR="005177C8" w:rsidRPr="008539B9" w:rsidRDefault="005177C8" w:rsidP="005177C8">
            <w:pPr>
              <w:rPr>
                <w:rFonts w:cs="Arial"/>
                <w:sz w:val="16"/>
                <w:szCs w:val="16"/>
              </w:rPr>
            </w:pPr>
            <w:r>
              <w:rPr>
                <w:b/>
                <w:sz w:val="16"/>
              </w:rPr>
              <w:t>Данные о результативности</w:t>
            </w:r>
          </w:p>
        </w:tc>
        <w:tc>
          <w:tcPr>
            <w:tcW w:w="665" w:type="pct"/>
            <w:tcBorders>
              <w:top w:val="single" w:sz="4" w:space="0" w:color="auto"/>
            </w:tcBorders>
            <w:shd w:val="clear" w:color="auto" w:fill="auto"/>
            <w:tcMar>
              <w:top w:w="110" w:type="dxa"/>
            </w:tcMar>
            <w:vAlign w:val="center"/>
          </w:tcPr>
          <w:p w:rsidR="005177C8" w:rsidRPr="008539B9" w:rsidRDefault="005177C8" w:rsidP="005177C8">
            <w:pPr>
              <w:keepNext/>
              <w:keepLines/>
              <w:jc w:val="center"/>
              <w:rPr>
                <w:rFonts w:cs="Arial"/>
                <w:b/>
                <w:bCs/>
                <w:sz w:val="16"/>
                <w:szCs w:val="16"/>
              </w:rPr>
            </w:pPr>
            <w:r>
              <w:rPr>
                <w:b/>
                <w:sz w:val="16"/>
              </w:rPr>
              <w:t>CC</w:t>
            </w:r>
          </w:p>
        </w:tc>
      </w:tr>
      <w:tr w:rsidR="005177C8" w:rsidRPr="008539B9" w:rsidTr="005177C8">
        <w:trPr>
          <w:cantSplit/>
          <w:trHeight w:val="1492"/>
        </w:trPr>
        <w:tc>
          <w:tcPr>
            <w:tcW w:w="1037" w:type="pct"/>
            <w:gridSpan w:val="3"/>
            <w:tcBorders>
              <w:bottom w:val="nil"/>
            </w:tcBorders>
            <w:shd w:val="clear" w:color="auto" w:fill="auto"/>
          </w:tcPr>
          <w:p w:rsidR="005177C8" w:rsidRPr="005177C8" w:rsidRDefault="005177C8" w:rsidP="005177C8">
            <w:pPr>
              <w:rPr>
                <w:rFonts w:cs="Arial"/>
                <w:color w:val="000000"/>
                <w:sz w:val="16"/>
                <w:szCs w:val="16"/>
                <w:lang w:val="ru-RU"/>
              </w:rPr>
            </w:pPr>
            <w:r w:rsidRPr="005177C8">
              <w:rPr>
                <w:color w:val="000000"/>
                <w:sz w:val="16"/>
                <w:lang w:val="ru-RU"/>
              </w:rPr>
              <w:t>Число участников Женевского акта 1999</w:t>
            </w:r>
            <w:r>
              <w:rPr>
                <w:color w:val="000000"/>
                <w:sz w:val="16"/>
              </w:rPr>
              <w:t> </w:t>
            </w:r>
            <w:r w:rsidRPr="005177C8">
              <w:rPr>
                <w:color w:val="000000"/>
                <w:sz w:val="16"/>
                <w:lang w:val="ru-RU"/>
              </w:rPr>
              <w:t>г.</w:t>
            </w:r>
          </w:p>
        </w:tc>
        <w:tc>
          <w:tcPr>
            <w:tcW w:w="1095" w:type="pct"/>
            <w:gridSpan w:val="2"/>
            <w:tcBorders>
              <w:bottom w:val="nil"/>
            </w:tcBorders>
            <w:shd w:val="clear" w:color="auto" w:fill="auto"/>
          </w:tcPr>
          <w:p w:rsidR="005177C8" w:rsidRPr="005177C8" w:rsidRDefault="005177C8" w:rsidP="005177C8">
            <w:pPr>
              <w:rPr>
                <w:rFonts w:cs="Arial"/>
                <w:color w:val="002060"/>
                <w:sz w:val="16"/>
                <w:szCs w:val="16"/>
                <w:lang w:val="ru-RU"/>
              </w:rPr>
            </w:pPr>
            <w:r w:rsidRPr="005177C8">
              <w:rPr>
                <w:i/>
                <w:color w:val="002060"/>
                <w:sz w:val="16"/>
                <w:lang w:val="ru-RU"/>
              </w:rPr>
              <w:t>Обновленные базовые показатели, конец 2013</w:t>
            </w:r>
            <w:r>
              <w:rPr>
                <w:i/>
                <w:color w:val="002060"/>
                <w:sz w:val="16"/>
              </w:rPr>
              <w:t> </w:t>
            </w:r>
            <w:r w:rsidRPr="005177C8">
              <w:rPr>
                <w:i/>
                <w:color w:val="002060"/>
                <w:sz w:val="16"/>
                <w:lang w:val="ru-RU"/>
              </w:rPr>
              <w:t>г.:  46</w:t>
            </w:r>
            <w:r>
              <w:rPr>
                <w:i/>
                <w:color w:val="002060"/>
                <w:sz w:val="16"/>
              </w:rPr>
              <w:t> </w:t>
            </w:r>
            <w:r w:rsidRPr="005177C8">
              <w:rPr>
                <w:i/>
                <w:color w:val="002060"/>
                <w:sz w:val="16"/>
                <w:lang w:val="ru-RU"/>
              </w:rPr>
              <w:t>Договаривающихся сторон (по состоянию на конец 2013</w:t>
            </w:r>
            <w:r>
              <w:rPr>
                <w:i/>
                <w:color w:val="002060"/>
                <w:sz w:val="16"/>
              </w:rPr>
              <w:t> </w:t>
            </w:r>
            <w:r w:rsidRPr="005177C8">
              <w:rPr>
                <w:i/>
                <w:color w:val="002060"/>
                <w:sz w:val="16"/>
                <w:lang w:val="ru-RU"/>
              </w:rPr>
              <w:t>г.)</w:t>
            </w:r>
          </w:p>
          <w:p w:rsidR="005177C8" w:rsidRPr="005177C8" w:rsidRDefault="005177C8" w:rsidP="005177C8">
            <w:pPr>
              <w:rPr>
                <w:rFonts w:cs="Arial"/>
                <w:color w:val="000000"/>
                <w:sz w:val="16"/>
                <w:szCs w:val="16"/>
                <w:lang w:val="ru-RU"/>
              </w:rPr>
            </w:pPr>
          </w:p>
          <w:p w:rsidR="005177C8" w:rsidRPr="005177C8" w:rsidRDefault="005177C8" w:rsidP="005177C8">
            <w:pPr>
              <w:rPr>
                <w:rFonts w:cs="Arial"/>
                <w:i/>
                <w:color w:val="002060"/>
                <w:sz w:val="8"/>
                <w:szCs w:val="8"/>
                <w:lang w:val="ru-RU"/>
              </w:rPr>
            </w:pPr>
          </w:p>
          <w:p w:rsidR="005177C8" w:rsidRPr="005177C8" w:rsidRDefault="005177C8" w:rsidP="005177C8">
            <w:pPr>
              <w:rPr>
                <w:color w:val="000000"/>
                <w:sz w:val="16"/>
                <w:lang w:val="ru-RU"/>
              </w:rPr>
            </w:pPr>
            <w:r w:rsidRPr="005177C8">
              <w:rPr>
                <w:i/>
                <w:sz w:val="16"/>
                <w:lang w:val="ru-RU"/>
              </w:rPr>
              <w:t xml:space="preserve">Исходные базовые показатели ПиБ на 2014–2015 гг.: </w:t>
            </w:r>
            <w:r w:rsidRPr="005177C8">
              <w:rPr>
                <w:color w:val="000000"/>
                <w:sz w:val="16"/>
                <w:lang w:val="ru-RU"/>
              </w:rPr>
              <w:t>45 Договаривающихся сторон</w:t>
            </w:r>
          </w:p>
          <w:p w:rsidR="005177C8" w:rsidRPr="005177C8" w:rsidRDefault="005177C8" w:rsidP="005177C8">
            <w:pPr>
              <w:rPr>
                <w:rFonts w:cs="Arial"/>
                <w:color w:val="000000"/>
                <w:sz w:val="16"/>
                <w:szCs w:val="16"/>
                <w:lang w:val="ru-RU"/>
              </w:rPr>
            </w:pPr>
          </w:p>
        </w:tc>
        <w:tc>
          <w:tcPr>
            <w:tcW w:w="1018" w:type="pct"/>
            <w:gridSpan w:val="6"/>
            <w:tcBorders>
              <w:bottom w:val="nil"/>
            </w:tcBorders>
            <w:shd w:val="clear" w:color="auto" w:fill="auto"/>
            <w:tcMar>
              <w:top w:w="110" w:type="dxa"/>
            </w:tcMar>
          </w:tcPr>
          <w:p w:rsidR="005177C8" w:rsidRPr="008539B9" w:rsidRDefault="005177C8" w:rsidP="005177C8">
            <w:pPr>
              <w:rPr>
                <w:rFonts w:cs="Arial"/>
                <w:color w:val="000000"/>
                <w:sz w:val="16"/>
                <w:szCs w:val="16"/>
              </w:rPr>
            </w:pPr>
            <w:r>
              <w:rPr>
                <w:sz w:val="16"/>
              </w:rPr>
              <w:t>58 Договаривающихся сторон</w:t>
            </w:r>
          </w:p>
        </w:tc>
        <w:tc>
          <w:tcPr>
            <w:tcW w:w="1185" w:type="pct"/>
            <w:gridSpan w:val="3"/>
            <w:tcBorders>
              <w:bottom w:val="nil"/>
            </w:tcBorders>
            <w:shd w:val="clear" w:color="auto" w:fill="FFFFFF"/>
            <w:tcMar>
              <w:top w:w="110" w:type="dxa"/>
            </w:tcMar>
          </w:tcPr>
          <w:p w:rsidR="005177C8" w:rsidRPr="005177C8" w:rsidRDefault="005177C8" w:rsidP="005177C8">
            <w:pPr>
              <w:rPr>
                <w:rFonts w:cs="Arial"/>
                <w:sz w:val="16"/>
                <w:szCs w:val="16"/>
                <w:lang w:val="ru-RU"/>
              </w:rPr>
            </w:pPr>
            <w:r w:rsidRPr="005177C8">
              <w:rPr>
                <w:sz w:val="16"/>
                <w:lang w:val="ru-RU"/>
              </w:rPr>
              <w:t>50 Договаривающихся сторон Женевского акта (конец 2015 г.)</w:t>
            </w:r>
          </w:p>
        </w:tc>
        <w:tc>
          <w:tcPr>
            <w:tcW w:w="665" w:type="pct"/>
            <w:tcBorders>
              <w:bottom w:val="nil"/>
            </w:tcBorders>
            <w:shd w:val="clear" w:color="auto" w:fill="auto"/>
            <w:tcMar>
              <w:top w:w="110" w:type="dxa"/>
            </w:tcMar>
          </w:tcPr>
          <w:p w:rsidR="005177C8" w:rsidRPr="004636B2" w:rsidRDefault="005177C8" w:rsidP="005177C8">
            <w:pPr>
              <w:keepNext/>
              <w:keepLines/>
              <w:jc w:val="center"/>
              <w:rPr>
                <w:rFonts w:cs="Arial"/>
                <w:b/>
                <w:bCs/>
                <w:color w:val="E26B0A"/>
                <w:sz w:val="16"/>
                <w:szCs w:val="16"/>
              </w:rPr>
            </w:pPr>
            <w:r>
              <w:rPr>
                <w:b/>
                <w:color w:val="E26B0A"/>
                <w:sz w:val="16"/>
              </w:rPr>
              <w:t>Частично выполнено</w:t>
            </w:r>
          </w:p>
          <w:p w:rsidR="005177C8" w:rsidRPr="000C1926" w:rsidRDefault="005177C8" w:rsidP="005177C8">
            <w:pPr>
              <w:keepNext/>
              <w:keepLines/>
              <w:jc w:val="center"/>
              <w:rPr>
                <w:rFonts w:cs="Arial"/>
                <w:b/>
                <w:bCs/>
                <w:color w:val="808080"/>
                <w:sz w:val="16"/>
                <w:szCs w:val="16"/>
              </w:rPr>
            </w:pPr>
          </w:p>
        </w:tc>
      </w:tr>
      <w:tr w:rsidR="005177C8" w:rsidRPr="008539B9" w:rsidTr="005177C8">
        <w:tc>
          <w:tcPr>
            <w:tcW w:w="1037" w:type="pct"/>
            <w:gridSpan w:val="3"/>
            <w:tcBorders>
              <w:top w:val="nil"/>
              <w:left w:val="single" w:sz="4" w:space="0" w:color="auto"/>
              <w:bottom w:val="single" w:sz="4" w:space="0" w:color="auto"/>
            </w:tcBorders>
            <w:shd w:val="clear" w:color="auto" w:fill="auto"/>
          </w:tcPr>
          <w:p w:rsidR="005177C8" w:rsidRPr="005177C8" w:rsidRDefault="005177C8" w:rsidP="005177C8">
            <w:pPr>
              <w:rPr>
                <w:rFonts w:cs="Arial"/>
                <w:sz w:val="16"/>
                <w:szCs w:val="16"/>
                <w:lang w:val="ru-RU"/>
              </w:rPr>
            </w:pPr>
            <w:r w:rsidRPr="005177C8">
              <w:rPr>
                <w:sz w:val="16"/>
                <w:lang w:val="ru-RU"/>
              </w:rPr>
              <w:t xml:space="preserve">Доля заинтересованных ведомств, предоставляющих информацию по Гаагской системе </w:t>
            </w:r>
          </w:p>
        </w:tc>
        <w:tc>
          <w:tcPr>
            <w:tcW w:w="1095" w:type="pct"/>
            <w:gridSpan w:val="2"/>
            <w:tcBorders>
              <w:top w:val="nil"/>
              <w:bottom w:val="single" w:sz="4" w:space="0" w:color="auto"/>
            </w:tcBorders>
            <w:shd w:val="clear" w:color="auto" w:fill="auto"/>
          </w:tcPr>
          <w:p w:rsidR="005177C8" w:rsidRPr="005177C8" w:rsidRDefault="005177C8" w:rsidP="005177C8">
            <w:pPr>
              <w:rPr>
                <w:rFonts w:cs="Arial"/>
                <w:i/>
                <w:sz w:val="16"/>
                <w:szCs w:val="16"/>
                <w:lang w:val="ru-RU"/>
              </w:rPr>
            </w:pPr>
            <w:r w:rsidRPr="005177C8">
              <w:rPr>
                <w:i/>
                <w:color w:val="002060"/>
                <w:sz w:val="16"/>
                <w:lang w:val="ru-RU"/>
              </w:rPr>
              <w:t>Обновленные базовые показатели, конец 2013</w:t>
            </w:r>
            <w:r>
              <w:rPr>
                <w:i/>
                <w:color w:val="002060"/>
                <w:sz w:val="16"/>
              </w:rPr>
              <w:t> </w:t>
            </w:r>
            <w:r w:rsidRPr="005177C8">
              <w:rPr>
                <w:i/>
                <w:color w:val="002060"/>
                <w:sz w:val="16"/>
                <w:lang w:val="ru-RU"/>
              </w:rPr>
              <w:t>г.:  информацию по Гаагской системе предоставляли 42</w:t>
            </w:r>
            <w:r>
              <w:rPr>
                <w:i/>
                <w:color w:val="002060"/>
                <w:sz w:val="16"/>
              </w:rPr>
              <w:t> </w:t>
            </w:r>
            <w:r w:rsidRPr="005177C8">
              <w:rPr>
                <w:i/>
                <w:color w:val="002060"/>
                <w:sz w:val="16"/>
                <w:lang w:val="ru-RU"/>
              </w:rPr>
              <w:t>национальных и региональных ведомства. 9</w:t>
            </w:r>
            <w:r>
              <w:rPr>
                <w:i/>
                <w:color w:val="002060"/>
                <w:sz w:val="16"/>
              </w:rPr>
              <w:t> </w:t>
            </w:r>
            <w:r w:rsidRPr="005177C8">
              <w:rPr>
                <w:i/>
                <w:color w:val="002060"/>
                <w:sz w:val="16"/>
                <w:lang w:val="ru-RU"/>
              </w:rPr>
              <w:t>ведомств не имели соответствующего сайта.</w:t>
            </w:r>
          </w:p>
          <w:p w:rsidR="005177C8" w:rsidRPr="005177C8" w:rsidRDefault="005177C8" w:rsidP="005177C8">
            <w:pPr>
              <w:rPr>
                <w:rFonts w:cs="Arial"/>
                <w:i/>
                <w:sz w:val="16"/>
                <w:szCs w:val="16"/>
                <w:lang w:val="ru-RU"/>
              </w:rPr>
            </w:pPr>
          </w:p>
          <w:p w:rsidR="005177C8" w:rsidRPr="005177C8" w:rsidRDefault="005177C8" w:rsidP="005177C8">
            <w:pPr>
              <w:rPr>
                <w:rFonts w:cs="Arial"/>
                <w:i/>
                <w:sz w:val="16"/>
                <w:szCs w:val="16"/>
                <w:lang w:val="ru-RU"/>
              </w:rPr>
            </w:pPr>
            <w:r w:rsidRPr="005177C8">
              <w:rPr>
                <w:i/>
                <w:sz w:val="16"/>
                <w:lang w:val="ru-RU"/>
              </w:rPr>
              <w:t>Исходные базовые показатели ПиБ на 2014–2015 гг.: доля заинтересованных ведомств, предоставляющих такую информацию</w:t>
            </w:r>
          </w:p>
          <w:p w:rsidR="005177C8" w:rsidRPr="005177C8" w:rsidRDefault="005177C8" w:rsidP="005177C8">
            <w:pPr>
              <w:rPr>
                <w:rFonts w:cs="Arial"/>
                <w:sz w:val="16"/>
                <w:szCs w:val="16"/>
                <w:lang w:val="ru-RU"/>
              </w:rPr>
            </w:pPr>
          </w:p>
        </w:tc>
        <w:tc>
          <w:tcPr>
            <w:tcW w:w="1018" w:type="pct"/>
            <w:gridSpan w:val="6"/>
            <w:tcBorders>
              <w:top w:val="nil"/>
              <w:bottom w:val="single" w:sz="4" w:space="0" w:color="auto"/>
            </w:tcBorders>
            <w:shd w:val="clear" w:color="auto" w:fill="auto"/>
            <w:tcMar>
              <w:top w:w="110" w:type="dxa"/>
            </w:tcMar>
          </w:tcPr>
          <w:p w:rsidR="005177C8" w:rsidRPr="008539B9" w:rsidRDefault="005177C8" w:rsidP="005177C8">
            <w:pPr>
              <w:rPr>
                <w:rFonts w:cs="Arial"/>
                <w:color w:val="993300"/>
                <w:sz w:val="16"/>
                <w:szCs w:val="16"/>
              </w:rPr>
            </w:pPr>
            <w:r>
              <w:rPr>
                <w:sz w:val="16"/>
              </w:rPr>
              <w:t>Увеличение доли</w:t>
            </w:r>
          </w:p>
        </w:tc>
        <w:tc>
          <w:tcPr>
            <w:tcW w:w="1185" w:type="pct"/>
            <w:gridSpan w:val="3"/>
            <w:tcBorders>
              <w:top w:val="nil"/>
              <w:bottom w:val="single" w:sz="4" w:space="0" w:color="auto"/>
            </w:tcBorders>
            <w:shd w:val="clear" w:color="auto" w:fill="FFFFFF"/>
            <w:tcMar>
              <w:top w:w="110" w:type="dxa"/>
            </w:tcMar>
          </w:tcPr>
          <w:p w:rsidR="005177C8" w:rsidRPr="0094184C" w:rsidRDefault="005177C8" w:rsidP="005177C8">
            <w:pPr>
              <w:rPr>
                <w:rFonts w:cs="Arial"/>
                <w:sz w:val="16"/>
                <w:szCs w:val="16"/>
              </w:rPr>
            </w:pPr>
            <w:r w:rsidRPr="005177C8">
              <w:rPr>
                <w:sz w:val="16"/>
                <w:lang w:val="ru-RU"/>
              </w:rPr>
              <w:t>В конце 2015 г. информацию по Гаагской системе предоставляли 47</w:t>
            </w:r>
            <w:r>
              <w:rPr>
                <w:sz w:val="16"/>
              </w:rPr>
              <w:t> </w:t>
            </w:r>
            <w:r w:rsidRPr="005177C8">
              <w:rPr>
                <w:sz w:val="16"/>
                <w:lang w:val="ru-RU"/>
              </w:rPr>
              <w:t xml:space="preserve">национальных или региональных ведомств.  </w:t>
            </w:r>
            <w:r>
              <w:rPr>
                <w:sz w:val="16"/>
              </w:rPr>
              <w:t>10 ведомств не имели соответствующего сайта</w:t>
            </w:r>
          </w:p>
          <w:p w:rsidR="005177C8" w:rsidRPr="0094184C" w:rsidRDefault="005177C8" w:rsidP="005177C8">
            <w:pPr>
              <w:rPr>
                <w:rFonts w:cs="Arial"/>
                <w:sz w:val="16"/>
                <w:szCs w:val="16"/>
              </w:rPr>
            </w:pPr>
          </w:p>
        </w:tc>
        <w:tc>
          <w:tcPr>
            <w:tcW w:w="665" w:type="pct"/>
            <w:tcBorders>
              <w:top w:val="nil"/>
              <w:bottom w:val="single" w:sz="4" w:space="0" w:color="auto"/>
              <w:right w:val="single" w:sz="4" w:space="0" w:color="auto"/>
            </w:tcBorders>
            <w:shd w:val="clear" w:color="auto" w:fill="auto"/>
            <w:tcMar>
              <w:top w:w="110" w:type="dxa"/>
            </w:tcMar>
          </w:tcPr>
          <w:p w:rsidR="005177C8" w:rsidRPr="008E19E3" w:rsidRDefault="005177C8" w:rsidP="005177C8">
            <w:pPr>
              <w:keepNext/>
              <w:keepLines/>
              <w:jc w:val="center"/>
              <w:rPr>
                <w:rFonts w:cs="Arial"/>
                <w:b/>
                <w:bCs/>
                <w:color w:val="00B050"/>
                <w:sz w:val="16"/>
                <w:szCs w:val="16"/>
              </w:rPr>
            </w:pPr>
            <w:r>
              <w:rPr>
                <w:b/>
                <w:color w:val="00B050"/>
                <w:sz w:val="16"/>
              </w:rPr>
              <w:t>Выполнено</w:t>
            </w:r>
          </w:p>
          <w:p w:rsidR="005177C8" w:rsidRDefault="005177C8" w:rsidP="005177C8">
            <w:pPr>
              <w:keepNext/>
              <w:keepLines/>
              <w:jc w:val="center"/>
              <w:rPr>
                <w:rFonts w:cs="Arial"/>
                <w:b/>
                <w:bCs/>
                <w:color w:val="808080"/>
                <w:sz w:val="16"/>
                <w:szCs w:val="16"/>
              </w:rPr>
            </w:pPr>
          </w:p>
          <w:p w:rsidR="005177C8" w:rsidRDefault="005177C8" w:rsidP="005177C8">
            <w:pPr>
              <w:keepNext/>
              <w:keepLines/>
              <w:jc w:val="center"/>
              <w:rPr>
                <w:rFonts w:cs="Arial"/>
                <w:b/>
                <w:bCs/>
                <w:color w:val="808080"/>
                <w:sz w:val="16"/>
                <w:szCs w:val="16"/>
              </w:rPr>
            </w:pPr>
          </w:p>
          <w:p w:rsidR="005177C8" w:rsidRDefault="005177C8" w:rsidP="005177C8">
            <w:pPr>
              <w:keepNext/>
              <w:keepLines/>
              <w:jc w:val="center"/>
              <w:rPr>
                <w:rFonts w:cs="Arial"/>
                <w:b/>
                <w:bCs/>
                <w:color w:val="808080"/>
                <w:sz w:val="16"/>
                <w:szCs w:val="16"/>
              </w:rPr>
            </w:pPr>
          </w:p>
          <w:p w:rsidR="005177C8" w:rsidRDefault="005177C8" w:rsidP="005177C8">
            <w:pPr>
              <w:keepNext/>
              <w:keepLines/>
              <w:jc w:val="center"/>
              <w:rPr>
                <w:rFonts w:cs="Arial"/>
                <w:b/>
                <w:bCs/>
                <w:color w:val="808080"/>
                <w:sz w:val="16"/>
                <w:szCs w:val="16"/>
              </w:rPr>
            </w:pPr>
          </w:p>
          <w:p w:rsidR="005177C8" w:rsidRDefault="005177C8" w:rsidP="005177C8">
            <w:pPr>
              <w:keepNext/>
              <w:keepLines/>
              <w:jc w:val="center"/>
              <w:rPr>
                <w:rFonts w:cs="Arial"/>
                <w:b/>
                <w:bCs/>
                <w:color w:val="808080"/>
                <w:sz w:val="16"/>
                <w:szCs w:val="16"/>
              </w:rPr>
            </w:pPr>
          </w:p>
          <w:p w:rsidR="005177C8" w:rsidRPr="000C1926" w:rsidRDefault="005177C8" w:rsidP="005177C8">
            <w:pPr>
              <w:keepNext/>
              <w:keepLines/>
              <w:jc w:val="center"/>
              <w:rPr>
                <w:rFonts w:cs="Arial"/>
                <w:b/>
                <w:bCs/>
                <w:color w:val="808080"/>
                <w:sz w:val="16"/>
                <w:szCs w:val="16"/>
              </w:rPr>
            </w:pPr>
          </w:p>
        </w:tc>
      </w:tr>
      <w:tr w:rsidR="005177C8" w:rsidRPr="005C6ABD" w:rsidTr="005177C8">
        <w:trPr>
          <w:cantSplit/>
        </w:trPr>
        <w:tc>
          <w:tcPr>
            <w:tcW w:w="1000" w:type="pct"/>
            <w:gridSpan w:val="2"/>
            <w:tcBorders>
              <w:top w:val="single" w:sz="4" w:space="0" w:color="auto"/>
              <w:left w:val="single" w:sz="4" w:space="0" w:color="auto"/>
              <w:bottom w:val="single" w:sz="4" w:space="0" w:color="auto"/>
            </w:tcBorders>
            <w:shd w:val="clear" w:color="auto" w:fill="auto"/>
          </w:tcPr>
          <w:p w:rsidR="005177C8" w:rsidRPr="005177C8" w:rsidRDefault="005177C8" w:rsidP="005177C8">
            <w:pPr>
              <w:rPr>
                <w:rFonts w:cs="Arial"/>
                <w:sz w:val="16"/>
                <w:szCs w:val="16"/>
                <w:lang w:val="ru-RU"/>
              </w:rPr>
            </w:pPr>
            <w:r w:rsidRPr="005177C8">
              <w:rPr>
                <w:sz w:val="16"/>
                <w:lang w:val="ru-RU"/>
              </w:rPr>
              <w:t xml:space="preserve">Поданные заявки и продления регистрации в рамках Гаагской системы </w:t>
            </w:r>
          </w:p>
        </w:tc>
        <w:tc>
          <w:tcPr>
            <w:tcW w:w="1000" w:type="pct"/>
            <w:gridSpan w:val="2"/>
            <w:tcBorders>
              <w:top w:val="single" w:sz="4" w:space="0" w:color="auto"/>
              <w:bottom w:val="single" w:sz="4" w:space="0" w:color="auto"/>
            </w:tcBorders>
            <w:shd w:val="clear" w:color="auto" w:fill="auto"/>
          </w:tcPr>
          <w:p w:rsidR="005177C8" w:rsidRPr="005177C8" w:rsidRDefault="005177C8" w:rsidP="005177C8">
            <w:pPr>
              <w:rPr>
                <w:i/>
                <w:color w:val="002060"/>
                <w:sz w:val="16"/>
                <w:lang w:val="ru-RU"/>
              </w:rPr>
            </w:pPr>
            <w:r w:rsidRPr="005177C8">
              <w:rPr>
                <w:i/>
                <w:color w:val="002060"/>
                <w:sz w:val="16"/>
                <w:lang w:val="ru-RU"/>
              </w:rPr>
              <w:t>Обновленные базовые показатели, конец 2013</w:t>
            </w:r>
            <w:r>
              <w:rPr>
                <w:i/>
                <w:color w:val="002060"/>
                <w:sz w:val="16"/>
              </w:rPr>
              <w:t> </w:t>
            </w:r>
            <w:r w:rsidRPr="005177C8">
              <w:rPr>
                <w:i/>
                <w:color w:val="002060"/>
                <w:sz w:val="16"/>
                <w:lang w:val="ru-RU"/>
              </w:rPr>
              <w:t xml:space="preserve">г.:  </w:t>
            </w:r>
          </w:p>
          <w:p w:rsidR="005177C8" w:rsidRPr="005177C8" w:rsidRDefault="005177C8" w:rsidP="005177C8">
            <w:pPr>
              <w:rPr>
                <w:i/>
                <w:color w:val="002060"/>
                <w:sz w:val="16"/>
                <w:lang w:val="ru-RU"/>
              </w:rPr>
            </w:pPr>
            <w:r w:rsidRPr="005177C8">
              <w:rPr>
                <w:i/>
                <w:color w:val="002060"/>
                <w:sz w:val="16"/>
                <w:lang w:val="ru-RU"/>
              </w:rPr>
              <w:t>заявки: 2</w:t>
            </w:r>
            <w:r>
              <w:rPr>
                <w:i/>
                <w:color w:val="002060"/>
                <w:sz w:val="16"/>
              </w:rPr>
              <w:t> </w:t>
            </w:r>
            <w:r w:rsidRPr="005177C8">
              <w:rPr>
                <w:i/>
                <w:color w:val="002060"/>
                <w:sz w:val="16"/>
                <w:lang w:val="ru-RU"/>
              </w:rPr>
              <w:t>990;</w:t>
            </w:r>
          </w:p>
          <w:p w:rsidR="005177C8" w:rsidRPr="005177C8" w:rsidRDefault="005177C8" w:rsidP="005177C8">
            <w:pPr>
              <w:rPr>
                <w:rFonts w:cs="Arial"/>
                <w:i/>
                <w:color w:val="002060"/>
                <w:sz w:val="16"/>
                <w:szCs w:val="16"/>
                <w:lang w:val="ru-RU"/>
              </w:rPr>
            </w:pPr>
            <w:r w:rsidRPr="005177C8">
              <w:rPr>
                <w:i/>
                <w:color w:val="002060"/>
                <w:sz w:val="16"/>
                <w:lang w:val="ru-RU"/>
              </w:rPr>
              <w:t>число содержащихся образцов: 13</w:t>
            </w:r>
            <w:r>
              <w:rPr>
                <w:i/>
                <w:color w:val="002060"/>
                <w:sz w:val="16"/>
              </w:rPr>
              <w:t> </w:t>
            </w:r>
            <w:r w:rsidRPr="005177C8">
              <w:rPr>
                <w:i/>
                <w:color w:val="002060"/>
                <w:sz w:val="16"/>
                <w:lang w:val="ru-RU"/>
              </w:rPr>
              <w:t>172;</w:t>
            </w:r>
          </w:p>
          <w:p w:rsidR="005177C8" w:rsidRPr="005177C8" w:rsidRDefault="005177C8" w:rsidP="005177C8">
            <w:pPr>
              <w:rPr>
                <w:rFonts w:cs="Arial"/>
                <w:i/>
                <w:color w:val="002060"/>
                <w:sz w:val="16"/>
                <w:szCs w:val="16"/>
                <w:lang w:val="ru-RU"/>
              </w:rPr>
            </w:pPr>
            <w:r w:rsidRPr="005177C8">
              <w:rPr>
                <w:i/>
                <w:color w:val="002060"/>
                <w:sz w:val="16"/>
                <w:lang w:val="ru-RU"/>
              </w:rPr>
              <w:t>продления: 2</w:t>
            </w:r>
            <w:r>
              <w:rPr>
                <w:i/>
                <w:color w:val="002060"/>
                <w:sz w:val="16"/>
              </w:rPr>
              <w:t> </w:t>
            </w:r>
            <w:r w:rsidRPr="005177C8">
              <w:rPr>
                <w:i/>
                <w:color w:val="002060"/>
                <w:sz w:val="16"/>
                <w:lang w:val="ru-RU"/>
              </w:rPr>
              <w:t>859</w:t>
            </w:r>
          </w:p>
          <w:p w:rsidR="005177C8" w:rsidRPr="005177C8" w:rsidRDefault="005177C8" w:rsidP="005177C8">
            <w:pPr>
              <w:rPr>
                <w:rFonts w:cs="Arial"/>
                <w:i/>
                <w:sz w:val="16"/>
                <w:szCs w:val="16"/>
                <w:lang w:val="ru-RU"/>
              </w:rPr>
            </w:pPr>
            <w:r w:rsidRPr="005177C8">
              <w:rPr>
                <w:i/>
                <w:color w:val="002060"/>
                <w:sz w:val="16"/>
                <w:lang w:val="ru-RU"/>
              </w:rPr>
              <w:t>(2013 г.)</w:t>
            </w:r>
          </w:p>
          <w:p w:rsidR="005177C8" w:rsidRPr="005177C8" w:rsidRDefault="005177C8" w:rsidP="005177C8">
            <w:pPr>
              <w:rPr>
                <w:rFonts w:cs="Arial"/>
                <w:i/>
                <w:sz w:val="16"/>
                <w:szCs w:val="16"/>
                <w:lang w:val="ru-RU"/>
              </w:rPr>
            </w:pPr>
          </w:p>
          <w:p w:rsidR="005177C8" w:rsidRPr="005177C8" w:rsidRDefault="005177C8" w:rsidP="005177C8">
            <w:pPr>
              <w:rPr>
                <w:i/>
                <w:sz w:val="16"/>
                <w:lang w:val="ru-RU"/>
              </w:rPr>
            </w:pPr>
            <w:r w:rsidRPr="005177C8">
              <w:rPr>
                <w:i/>
                <w:sz w:val="16"/>
                <w:lang w:val="ru-RU"/>
              </w:rPr>
              <w:t xml:space="preserve">Исходные базовые показатели ПиБ на 2014–2015 гг.: </w:t>
            </w:r>
          </w:p>
          <w:p w:rsidR="005177C8" w:rsidRPr="005177C8" w:rsidRDefault="005177C8" w:rsidP="005177C8">
            <w:pPr>
              <w:rPr>
                <w:i/>
                <w:sz w:val="16"/>
                <w:lang w:val="ru-RU"/>
              </w:rPr>
            </w:pPr>
            <w:r w:rsidRPr="005177C8">
              <w:rPr>
                <w:i/>
                <w:sz w:val="16"/>
                <w:lang w:val="ru-RU"/>
              </w:rPr>
              <w:t>заявки: 2</w:t>
            </w:r>
            <w:r>
              <w:rPr>
                <w:i/>
                <w:sz w:val="16"/>
              </w:rPr>
              <w:t> </w:t>
            </w:r>
            <w:r w:rsidRPr="005177C8">
              <w:rPr>
                <w:i/>
                <w:sz w:val="16"/>
                <w:lang w:val="ru-RU"/>
              </w:rPr>
              <w:t>604;</w:t>
            </w:r>
          </w:p>
          <w:p w:rsidR="005177C8" w:rsidRPr="005177C8" w:rsidRDefault="005177C8" w:rsidP="005177C8">
            <w:pPr>
              <w:rPr>
                <w:rFonts w:cs="Arial"/>
                <w:i/>
                <w:sz w:val="16"/>
                <w:szCs w:val="16"/>
                <w:lang w:val="ru-RU"/>
              </w:rPr>
            </w:pPr>
            <w:r w:rsidRPr="005177C8">
              <w:rPr>
                <w:i/>
                <w:sz w:val="16"/>
                <w:lang w:val="ru-RU"/>
              </w:rPr>
              <w:t>число содержащихся образцов: 12</w:t>
            </w:r>
            <w:r>
              <w:rPr>
                <w:i/>
                <w:sz w:val="16"/>
              </w:rPr>
              <w:t> </w:t>
            </w:r>
            <w:r w:rsidRPr="005177C8">
              <w:rPr>
                <w:i/>
                <w:sz w:val="16"/>
                <w:lang w:val="ru-RU"/>
              </w:rPr>
              <w:t>454</w:t>
            </w:r>
            <w:r>
              <w:rPr>
                <w:rStyle w:val="FootnoteReference"/>
                <w:i/>
                <w:sz w:val="16"/>
              </w:rPr>
              <w:footnoteReference w:id="36"/>
            </w:r>
            <w:r w:rsidRPr="005177C8">
              <w:rPr>
                <w:i/>
                <w:sz w:val="16"/>
                <w:lang w:val="ru-RU"/>
              </w:rPr>
              <w:t>;</w:t>
            </w:r>
          </w:p>
          <w:p w:rsidR="005177C8" w:rsidRPr="005177C8" w:rsidRDefault="005177C8" w:rsidP="005177C8">
            <w:pPr>
              <w:rPr>
                <w:rFonts w:cs="Arial"/>
                <w:i/>
                <w:sz w:val="16"/>
                <w:szCs w:val="16"/>
                <w:lang w:val="ru-RU"/>
              </w:rPr>
            </w:pPr>
            <w:r w:rsidRPr="005177C8">
              <w:rPr>
                <w:i/>
                <w:sz w:val="16"/>
                <w:lang w:val="ru-RU"/>
              </w:rPr>
              <w:t>продления: 3</w:t>
            </w:r>
            <w:r>
              <w:rPr>
                <w:i/>
                <w:sz w:val="16"/>
              </w:rPr>
              <w:t> </w:t>
            </w:r>
            <w:r w:rsidRPr="005177C8">
              <w:rPr>
                <w:i/>
                <w:sz w:val="16"/>
                <w:lang w:val="ru-RU"/>
              </w:rPr>
              <w:t>120</w:t>
            </w:r>
          </w:p>
          <w:p w:rsidR="005177C8" w:rsidRPr="00B27A6A" w:rsidRDefault="005177C8" w:rsidP="005177C8">
            <w:pPr>
              <w:rPr>
                <w:rFonts w:cs="Arial"/>
                <w:sz w:val="16"/>
                <w:szCs w:val="16"/>
              </w:rPr>
            </w:pPr>
            <w:r>
              <w:rPr>
                <w:i/>
                <w:sz w:val="16"/>
              </w:rPr>
              <w:t>(2012 г.)</w:t>
            </w:r>
          </w:p>
        </w:tc>
        <w:tc>
          <w:tcPr>
            <w:tcW w:w="1000" w:type="pct"/>
            <w:gridSpan w:val="4"/>
            <w:tcBorders>
              <w:top w:val="single" w:sz="4" w:space="0" w:color="auto"/>
              <w:bottom w:val="single" w:sz="4" w:space="0" w:color="auto"/>
            </w:tcBorders>
            <w:shd w:val="clear" w:color="auto" w:fill="auto"/>
            <w:tcMar>
              <w:top w:w="110" w:type="dxa"/>
            </w:tcMar>
          </w:tcPr>
          <w:p w:rsidR="005177C8" w:rsidRPr="005177C8" w:rsidRDefault="005177C8" w:rsidP="005177C8">
            <w:pPr>
              <w:rPr>
                <w:rFonts w:cs="Arial"/>
                <w:sz w:val="16"/>
                <w:szCs w:val="16"/>
                <w:lang w:val="ru-RU"/>
              </w:rPr>
            </w:pPr>
            <w:r w:rsidRPr="005177C8">
              <w:rPr>
                <w:sz w:val="16"/>
                <w:lang w:val="ru-RU"/>
              </w:rPr>
              <w:t>2014</w:t>
            </w:r>
            <w:r>
              <w:rPr>
                <w:rStyle w:val="FootnoteReference"/>
                <w:sz w:val="16"/>
              </w:rPr>
              <w:footnoteReference w:id="37"/>
            </w:r>
            <w:r w:rsidRPr="005177C8">
              <w:rPr>
                <w:sz w:val="16"/>
                <w:lang w:val="ru-RU"/>
              </w:rPr>
              <w:t xml:space="preserve">: </w:t>
            </w:r>
          </w:p>
          <w:p w:rsidR="005177C8" w:rsidRPr="005177C8" w:rsidRDefault="005177C8" w:rsidP="005177C8">
            <w:pPr>
              <w:rPr>
                <w:rFonts w:cs="Arial"/>
                <w:sz w:val="16"/>
                <w:szCs w:val="16"/>
                <w:lang w:val="ru-RU"/>
              </w:rPr>
            </w:pPr>
            <w:r w:rsidRPr="005177C8">
              <w:rPr>
                <w:sz w:val="16"/>
                <w:lang w:val="ru-RU"/>
              </w:rPr>
              <w:t xml:space="preserve">заявки: рост на 33,9% </w:t>
            </w:r>
          </w:p>
          <w:p w:rsidR="005177C8" w:rsidRPr="005177C8" w:rsidRDefault="005177C8" w:rsidP="005177C8">
            <w:pPr>
              <w:spacing w:before="60"/>
              <w:rPr>
                <w:rFonts w:cs="Arial"/>
                <w:sz w:val="16"/>
                <w:szCs w:val="16"/>
                <w:lang w:val="ru-RU"/>
              </w:rPr>
            </w:pPr>
            <w:r w:rsidRPr="005177C8">
              <w:rPr>
                <w:sz w:val="16"/>
                <w:lang w:val="ru-RU"/>
              </w:rPr>
              <w:t>число содержащихся образцов: рост на 33%</w:t>
            </w:r>
          </w:p>
          <w:p w:rsidR="005177C8" w:rsidRPr="005177C8" w:rsidRDefault="005177C8" w:rsidP="005177C8">
            <w:pPr>
              <w:spacing w:before="60"/>
              <w:rPr>
                <w:rFonts w:cs="Arial"/>
                <w:sz w:val="16"/>
                <w:szCs w:val="16"/>
                <w:lang w:val="ru-RU"/>
              </w:rPr>
            </w:pPr>
            <w:r w:rsidRPr="005177C8">
              <w:rPr>
                <w:sz w:val="16"/>
                <w:lang w:val="ru-RU"/>
              </w:rPr>
              <w:t xml:space="preserve">продления: сокращение на 2,9% </w:t>
            </w:r>
          </w:p>
          <w:p w:rsidR="005177C8" w:rsidRPr="005177C8" w:rsidRDefault="005177C8" w:rsidP="005177C8">
            <w:pPr>
              <w:rPr>
                <w:rFonts w:cs="Arial"/>
                <w:sz w:val="16"/>
                <w:szCs w:val="16"/>
                <w:lang w:val="ru-RU"/>
              </w:rPr>
            </w:pPr>
          </w:p>
          <w:p w:rsidR="005177C8" w:rsidRPr="005177C8" w:rsidRDefault="005177C8" w:rsidP="005177C8">
            <w:pPr>
              <w:rPr>
                <w:rFonts w:cs="Arial"/>
                <w:sz w:val="16"/>
                <w:szCs w:val="16"/>
                <w:lang w:val="ru-RU"/>
              </w:rPr>
            </w:pPr>
            <w:r w:rsidRPr="005177C8">
              <w:rPr>
                <w:sz w:val="16"/>
                <w:lang w:val="ru-RU"/>
              </w:rPr>
              <w:t xml:space="preserve">2015 г.: </w:t>
            </w:r>
          </w:p>
          <w:p w:rsidR="005177C8" w:rsidRPr="005177C8" w:rsidRDefault="005177C8" w:rsidP="005177C8">
            <w:pPr>
              <w:rPr>
                <w:rFonts w:cs="Arial"/>
                <w:sz w:val="16"/>
                <w:szCs w:val="16"/>
                <w:lang w:val="ru-RU"/>
              </w:rPr>
            </w:pPr>
            <w:r w:rsidRPr="005177C8">
              <w:rPr>
                <w:sz w:val="16"/>
                <w:lang w:val="ru-RU"/>
              </w:rPr>
              <w:t xml:space="preserve">заявки: рост на 23,4% </w:t>
            </w:r>
          </w:p>
          <w:p w:rsidR="005177C8" w:rsidRPr="005177C8" w:rsidRDefault="005177C8" w:rsidP="005177C8">
            <w:pPr>
              <w:spacing w:before="60" w:after="60"/>
              <w:rPr>
                <w:rFonts w:cs="Arial"/>
                <w:sz w:val="16"/>
                <w:szCs w:val="16"/>
                <w:lang w:val="ru-RU"/>
              </w:rPr>
            </w:pPr>
            <w:r w:rsidRPr="005177C8">
              <w:rPr>
                <w:sz w:val="16"/>
                <w:lang w:val="ru-RU"/>
              </w:rPr>
              <w:t xml:space="preserve">число содержащихся образцов: рост на 23,5% </w:t>
            </w:r>
          </w:p>
          <w:p w:rsidR="005177C8" w:rsidRDefault="005177C8" w:rsidP="005177C8">
            <w:pPr>
              <w:rPr>
                <w:rFonts w:cs="Arial"/>
                <w:sz w:val="16"/>
                <w:szCs w:val="16"/>
              </w:rPr>
            </w:pPr>
            <w:r>
              <w:rPr>
                <w:sz w:val="16"/>
              </w:rPr>
              <w:t>Продления: рост на 5,5%</w:t>
            </w:r>
          </w:p>
          <w:p w:rsidR="005177C8" w:rsidRPr="008539B9" w:rsidRDefault="005177C8" w:rsidP="005177C8">
            <w:pPr>
              <w:rPr>
                <w:rFonts w:cs="Arial"/>
                <w:sz w:val="16"/>
                <w:szCs w:val="16"/>
              </w:rPr>
            </w:pPr>
          </w:p>
        </w:tc>
        <w:tc>
          <w:tcPr>
            <w:tcW w:w="1000" w:type="pct"/>
            <w:gridSpan w:val="4"/>
            <w:tcBorders>
              <w:top w:val="single" w:sz="4" w:space="0" w:color="auto"/>
              <w:bottom w:val="single" w:sz="4" w:space="0" w:color="auto"/>
            </w:tcBorders>
            <w:shd w:val="clear" w:color="auto" w:fill="FFFFFF"/>
            <w:tcMar>
              <w:top w:w="110" w:type="dxa"/>
            </w:tcMar>
          </w:tcPr>
          <w:p w:rsidR="005177C8" w:rsidRPr="005177C8" w:rsidRDefault="005177C8" w:rsidP="005177C8">
            <w:pPr>
              <w:rPr>
                <w:rFonts w:cs="Arial"/>
                <w:sz w:val="16"/>
                <w:szCs w:val="16"/>
                <w:lang w:val="ru-RU"/>
              </w:rPr>
            </w:pPr>
            <w:r w:rsidRPr="005177C8">
              <w:rPr>
                <w:sz w:val="16"/>
                <w:lang w:val="ru-RU"/>
              </w:rPr>
              <w:t>2014 г.:</w:t>
            </w:r>
          </w:p>
          <w:p w:rsidR="005177C8" w:rsidRPr="005177C8" w:rsidRDefault="005177C8" w:rsidP="005177C8">
            <w:pPr>
              <w:rPr>
                <w:rFonts w:cs="Arial"/>
                <w:sz w:val="16"/>
                <w:szCs w:val="16"/>
                <w:lang w:val="ru-RU"/>
              </w:rPr>
            </w:pPr>
            <w:r w:rsidRPr="005177C8">
              <w:rPr>
                <w:sz w:val="16"/>
                <w:lang w:val="ru-RU"/>
              </w:rPr>
              <w:t>заявки: сокращение на 2,2% (2</w:t>
            </w:r>
            <w:r>
              <w:rPr>
                <w:sz w:val="16"/>
              </w:rPr>
              <w:t> </w:t>
            </w:r>
            <w:r w:rsidRPr="005177C8">
              <w:rPr>
                <w:sz w:val="16"/>
                <w:lang w:val="ru-RU"/>
              </w:rPr>
              <w:t>924)</w:t>
            </w:r>
          </w:p>
          <w:p w:rsidR="005177C8" w:rsidRPr="005177C8" w:rsidRDefault="005177C8" w:rsidP="005177C8">
            <w:pPr>
              <w:spacing w:before="60"/>
              <w:rPr>
                <w:sz w:val="16"/>
                <w:lang w:val="ru-RU"/>
              </w:rPr>
            </w:pPr>
            <w:r w:rsidRPr="005177C8">
              <w:rPr>
                <w:sz w:val="16"/>
                <w:lang w:val="ru-RU"/>
              </w:rPr>
              <w:t>число содержащихся образцов: рост на 9,6% (14</w:t>
            </w:r>
            <w:r>
              <w:rPr>
                <w:sz w:val="16"/>
              </w:rPr>
              <w:t> </w:t>
            </w:r>
            <w:r w:rsidRPr="005177C8">
              <w:rPr>
                <w:sz w:val="16"/>
                <w:lang w:val="ru-RU"/>
              </w:rPr>
              <w:t>441)</w:t>
            </w:r>
          </w:p>
          <w:p w:rsidR="005177C8" w:rsidRPr="005177C8" w:rsidRDefault="005177C8" w:rsidP="005177C8">
            <w:pPr>
              <w:spacing w:before="60"/>
              <w:rPr>
                <w:rFonts w:cs="Arial"/>
                <w:sz w:val="16"/>
                <w:szCs w:val="16"/>
                <w:lang w:val="ru-RU"/>
              </w:rPr>
            </w:pPr>
          </w:p>
          <w:p w:rsidR="005177C8" w:rsidRPr="005177C8" w:rsidRDefault="005177C8" w:rsidP="005177C8">
            <w:pPr>
              <w:rPr>
                <w:rFonts w:cs="Arial"/>
                <w:sz w:val="16"/>
                <w:szCs w:val="16"/>
                <w:lang w:val="ru-RU"/>
              </w:rPr>
            </w:pPr>
            <w:r w:rsidRPr="005177C8">
              <w:rPr>
                <w:sz w:val="16"/>
                <w:lang w:val="ru-RU"/>
              </w:rPr>
              <w:t>Продления: сокращение на 5,5% (2</w:t>
            </w:r>
            <w:r>
              <w:rPr>
                <w:sz w:val="16"/>
              </w:rPr>
              <w:t> </w:t>
            </w:r>
            <w:r w:rsidRPr="005177C8">
              <w:rPr>
                <w:sz w:val="16"/>
                <w:lang w:val="ru-RU"/>
              </w:rPr>
              <w:t>703)</w:t>
            </w:r>
          </w:p>
          <w:p w:rsidR="005177C8" w:rsidRPr="005177C8" w:rsidRDefault="005177C8" w:rsidP="005177C8">
            <w:pPr>
              <w:rPr>
                <w:rFonts w:cs="Arial"/>
                <w:sz w:val="16"/>
                <w:szCs w:val="16"/>
                <w:lang w:val="ru-RU"/>
              </w:rPr>
            </w:pPr>
          </w:p>
          <w:p w:rsidR="005177C8" w:rsidRPr="005177C8" w:rsidRDefault="005177C8" w:rsidP="005177C8">
            <w:pPr>
              <w:rPr>
                <w:rFonts w:cs="Arial"/>
                <w:sz w:val="16"/>
                <w:szCs w:val="16"/>
                <w:lang w:val="ru-RU"/>
              </w:rPr>
            </w:pPr>
            <w:r w:rsidRPr="005177C8">
              <w:rPr>
                <w:sz w:val="16"/>
                <w:lang w:val="ru-RU"/>
              </w:rPr>
              <w:t>2015</w:t>
            </w:r>
            <w:r>
              <w:rPr>
                <w:rStyle w:val="FootnoteReference"/>
                <w:sz w:val="16"/>
              </w:rPr>
              <w:footnoteReference w:id="38"/>
            </w:r>
            <w:r w:rsidRPr="005177C8">
              <w:rPr>
                <w:sz w:val="16"/>
                <w:lang w:val="ru-RU"/>
              </w:rPr>
              <w:t>:</w:t>
            </w:r>
          </w:p>
          <w:p w:rsidR="005177C8" w:rsidRPr="005177C8" w:rsidRDefault="005177C8" w:rsidP="005177C8">
            <w:pPr>
              <w:rPr>
                <w:sz w:val="16"/>
                <w:lang w:val="ru-RU"/>
              </w:rPr>
            </w:pPr>
            <w:r w:rsidRPr="005177C8">
              <w:rPr>
                <w:sz w:val="16"/>
                <w:lang w:val="ru-RU"/>
              </w:rPr>
              <w:t>заявки: рост на 2,7% по сравнению с целевым показателем 2014</w:t>
            </w:r>
            <w:r>
              <w:rPr>
                <w:sz w:val="16"/>
              </w:rPr>
              <w:t> </w:t>
            </w:r>
            <w:r w:rsidRPr="005177C8">
              <w:rPr>
                <w:sz w:val="16"/>
                <w:lang w:val="ru-RU"/>
              </w:rPr>
              <w:t>г. (4</w:t>
            </w:r>
            <w:r>
              <w:rPr>
                <w:sz w:val="16"/>
              </w:rPr>
              <w:t> </w:t>
            </w:r>
            <w:r w:rsidRPr="005177C8">
              <w:rPr>
                <w:sz w:val="16"/>
                <w:lang w:val="ru-RU"/>
              </w:rPr>
              <w:t>111)</w:t>
            </w:r>
          </w:p>
          <w:p w:rsidR="005177C8" w:rsidRPr="005177C8" w:rsidRDefault="005177C8" w:rsidP="005177C8">
            <w:pPr>
              <w:rPr>
                <w:rFonts w:cs="Arial"/>
                <w:sz w:val="16"/>
                <w:szCs w:val="16"/>
                <w:lang w:val="ru-RU"/>
              </w:rPr>
            </w:pPr>
          </w:p>
          <w:p w:rsidR="005177C8" w:rsidRPr="005177C8" w:rsidRDefault="005177C8" w:rsidP="005177C8">
            <w:pPr>
              <w:rPr>
                <w:sz w:val="16"/>
                <w:lang w:val="ru-RU"/>
              </w:rPr>
            </w:pPr>
            <w:r w:rsidRPr="005177C8">
              <w:rPr>
                <w:sz w:val="16"/>
                <w:lang w:val="ru-RU"/>
              </w:rPr>
              <w:t>Число содержащихся образцов: снижение на -6,2% по сравнению с целевым показателем 2014</w:t>
            </w:r>
            <w:r>
              <w:rPr>
                <w:sz w:val="16"/>
              </w:rPr>
              <w:t> </w:t>
            </w:r>
            <w:r w:rsidRPr="005177C8">
              <w:rPr>
                <w:sz w:val="16"/>
                <w:lang w:val="ru-RU"/>
              </w:rPr>
              <w:t>г. (16</w:t>
            </w:r>
            <w:r>
              <w:rPr>
                <w:sz w:val="16"/>
              </w:rPr>
              <w:t> </w:t>
            </w:r>
            <w:r w:rsidRPr="005177C8">
              <w:rPr>
                <w:sz w:val="16"/>
                <w:lang w:val="ru-RU"/>
              </w:rPr>
              <w:t>435)</w:t>
            </w:r>
          </w:p>
          <w:p w:rsidR="005177C8" w:rsidRPr="005177C8" w:rsidRDefault="005177C8" w:rsidP="005177C8">
            <w:pPr>
              <w:rPr>
                <w:rFonts w:cs="Arial"/>
                <w:sz w:val="16"/>
                <w:szCs w:val="16"/>
                <w:lang w:val="ru-RU"/>
              </w:rPr>
            </w:pPr>
          </w:p>
          <w:p w:rsidR="005177C8" w:rsidRPr="005177C8" w:rsidRDefault="005177C8" w:rsidP="005177C8">
            <w:pPr>
              <w:rPr>
                <w:rFonts w:cs="Arial"/>
                <w:sz w:val="16"/>
                <w:szCs w:val="16"/>
                <w:lang w:val="ru-RU"/>
              </w:rPr>
            </w:pPr>
            <w:r w:rsidRPr="005177C8">
              <w:rPr>
                <w:sz w:val="16"/>
                <w:lang w:val="ru-RU"/>
              </w:rPr>
              <w:t>Продления: рост на 8,57% по сравнению с целевым показателем 2014</w:t>
            </w:r>
            <w:r>
              <w:rPr>
                <w:sz w:val="16"/>
              </w:rPr>
              <w:t> </w:t>
            </w:r>
            <w:r w:rsidRPr="005177C8">
              <w:rPr>
                <w:sz w:val="16"/>
                <w:lang w:val="ru-RU"/>
              </w:rPr>
              <w:t>г. (3</w:t>
            </w:r>
            <w:r>
              <w:rPr>
                <w:sz w:val="16"/>
              </w:rPr>
              <w:t> </w:t>
            </w:r>
            <w:r w:rsidRPr="005177C8">
              <w:rPr>
                <w:sz w:val="16"/>
                <w:lang w:val="ru-RU"/>
              </w:rPr>
              <w:t>194)</w:t>
            </w:r>
          </w:p>
          <w:p w:rsidR="005177C8" w:rsidRPr="005177C8" w:rsidRDefault="005177C8" w:rsidP="005177C8">
            <w:pPr>
              <w:rPr>
                <w:rFonts w:cs="Arial"/>
                <w:sz w:val="16"/>
                <w:szCs w:val="16"/>
                <w:lang w:val="ru-RU"/>
              </w:rPr>
            </w:pPr>
          </w:p>
        </w:tc>
        <w:tc>
          <w:tcPr>
            <w:tcW w:w="1000" w:type="pct"/>
            <w:gridSpan w:val="3"/>
            <w:tcBorders>
              <w:top w:val="single" w:sz="4" w:space="0" w:color="auto"/>
              <w:bottom w:val="single" w:sz="4" w:space="0" w:color="auto"/>
              <w:right w:val="single" w:sz="4" w:space="0" w:color="auto"/>
            </w:tcBorders>
            <w:shd w:val="clear" w:color="auto" w:fill="auto"/>
            <w:tcMar>
              <w:top w:w="110" w:type="dxa"/>
            </w:tcMar>
          </w:tcPr>
          <w:p w:rsidR="005177C8" w:rsidRPr="005177C8" w:rsidRDefault="005177C8" w:rsidP="005177C8">
            <w:pPr>
              <w:jc w:val="center"/>
              <w:rPr>
                <w:rFonts w:cs="Arial"/>
                <w:b/>
                <w:bCs/>
                <w:color w:val="FF0000"/>
                <w:sz w:val="16"/>
                <w:szCs w:val="16"/>
                <w:lang w:val="ru-RU"/>
              </w:rPr>
            </w:pPr>
            <w:r w:rsidRPr="005177C8">
              <w:rPr>
                <w:b/>
                <w:color w:val="FF0000"/>
                <w:sz w:val="16"/>
                <w:lang w:val="ru-RU"/>
              </w:rPr>
              <w:t>Не выполнено</w:t>
            </w:r>
          </w:p>
          <w:p w:rsidR="005177C8" w:rsidRPr="005177C8" w:rsidRDefault="005177C8" w:rsidP="005177C8">
            <w:pPr>
              <w:spacing w:before="60"/>
              <w:jc w:val="center"/>
              <w:rPr>
                <w:b/>
                <w:color w:val="FF0000"/>
                <w:sz w:val="16"/>
                <w:lang w:val="ru-RU"/>
              </w:rPr>
            </w:pPr>
          </w:p>
          <w:p w:rsidR="005177C8" w:rsidRPr="005177C8" w:rsidRDefault="005177C8" w:rsidP="005177C8">
            <w:pPr>
              <w:spacing w:before="60"/>
              <w:jc w:val="center"/>
              <w:rPr>
                <w:rFonts w:cs="Arial"/>
                <w:b/>
                <w:bCs/>
                <w:color w:val="FF0000"/>
                <w:sz w:val="16"/>
                <w:szCs w:val="16"/>
                <w:lang w:val="ru-RU"/>
              </w:rPr>
            </w:pPr>
            <w:r w:rsidRPr="005177C8">
              <w:rPr>
                <w:b/>
                <w:color w:val="FF0000"/>
                <w:sz w:val="16"/>
                <w:lang w:val="ru-RU"/>
              </w:rPr>
              <w:t>Не выполнено</w:t>
            </w:r>
          </w:p>
          <w:p w:rsidR="005177C8" w:rsidRPr="005177C8" w:rsidRDefault="005177C8" w:rsidP="005177C8">
            <w:pPr>
              <w:spacing w:before="60"/>
              <w:jc w:val="center"/>
              <w:rPr>
                <w:b/>
                <w:color w:val="E36C0A" w:themeColor="accent6" w:themeShade="BF"/>
                <w:sz w:val="16"/>
                <w:lang w:val="ru-RU"/>
              </w:rPr>
            </w:pPr>
          </w:p>
          <w:p w:rsidR="005177C8" w:rsidRPr="005177C8" w:rsidRDefault="005177C8" w:rsidP="005177C8">
            <w:pPr>
              <w:spacing w:before="60"/>
              <w:jc w:val="center"/>
              <w:rPr>
                <w:rFonts w:cs="Arial"/>
                <w:b/>
                <w:bCs/>
                <w:color w:val="E36C0A" w:themeColor="accent6" w:themeShade="BF"/>
                <w:sz w:val="16"/>
                <w:szCs w:val="16"/>
                <w:lang w:val="ru-RU"/>
              </w:rPr>
            </w:pPr>
            <w:r w:rsidRPr="005177C8">
              <w:rPr>
                <w:b/>
                <w:color w:val="E36C0A" w:themeColor="accent6" w:themeShade="BF"/>
                <w:sz w:val="16"/>
                <w:lang w:val="ru-RU"/>
              </w:rPr>
              <w:t>Частично выполнено</w:t>
            </w:r>
          </w:p>
          <w:p w:rsidR="005177C8" w:rsidRPr="005177C8" w:rsidRDefault="005177C8" w:rsidP="005177C8">
            <w:pPr>
              <w:rPr>
                <w:rFonts w:cs="Arial"/>
                <w:b/>
                <w:bCs/>
                <w:color w:val="00B050"/>
                <w:sz w:val="16"/>
                <w:szCs w:val="16"/>
                <w:lang w:val="ru-RU"/>
              </w:rPr>
            </w:pPr>
          </w:p>
          <w:p w:rsidR="005177C8" w:rsidRPr="005177C8" w:rsidRDefault="005177C8" w:rsidP="005177C8">
            <w:pPr>
              <w:jc w:val="center"/>
              <w:rPr>
                <w:rFonts w:cs="Arial"/>
                <w:b/>
                <w:bCs/>
                <w:color w:val="00B050"/>
                <w:sz w:val="16"/>
                <w:szCs w:val="16"/>
                <w:lang w:val="ru-RU"/>
              </w:rPr>
            </w:pPr>
          </w:p>
          <w:p w:rsidR="005177C8" w:rsidRPr="005177C8" w:rsidRDefault="005177C8" w:rsidP="005177C8">
            <w:pPr>
              <w:jc w:val="center"/>
              <w:rPr>
                <w:rFonts w:cs="Arial"/>
                <w:b/>
                <w:bCs/>
                <w:color w:val="FF0000"/>
                <w:sz w:val="16"/>
                <w:szCs w:val="16"/>
                <w:lang w:val="ru-RU"/>
              </w:rPr>
            </w:pPr>
            <w:r w:rsidRPr="005177C8">
              <w:rPr>
                <w:b/>
                <w:color w:val="FF0000"/>
                <w:sz w:val="16"/>
                <w:lang w:val="ru-RU"/>
              </w:rPr>
              <w:t>Не выполнено</w:t>
            </w:r>
          </w:p>
          <w:p w:rsidR="005177C8" w:rsidRPr="005177C8" w:rsidRDefault="005177C8" w:rsidP="005177C8">
            <w:pPr>
              <w:spacing w:after="60"/>
              <w:jc w:val="center"/>
              <w:rPr>
                <w:rFonts w:cs="Arial"/>
                <w:b/>
                <w:bCs/>
                <w:color w:val="FF0000"/>
                <w:sz w:val="16"/>
                <w:szCs w:val="16"/>
                <w:lang w:val="ru-RU"/>
              </w:rPr>
            </w:pPr>
          </w:p>
          <w:p w:rsidR="005177C8" w:rsidRPr="005177C8" w:rsidRDefault="005177C8" w:rsidP="005177C8">
            <w:pPr>
              <w:spacing w:after="60"/>
              <w:jc w:val="center"/>
              <w:rPr>
                <w:rFonts w:cs="Arial"/>
                <w:b/>
                <w:bCs/>
                <w:color w:val="FF0000"/>
                <w:sz w:val="16"/>
                <w:szCs w:val="16"/>
                <w:lang w:val="ru-RU"/>
              </w:rPr>
            </w:pPr>
          </w:p>
          <w:p w:rsidR="005177C8" w:rsidRPr="005177C8" w:rsidRDefault="005177C8" w:rsidP="005177C8">
            <w:pPr>
              <w:spacing w:after="60"/>
              <w:jc w:val="center"/>
              <w:rPr>
                <w:rFonts w:cs="Arial"/>
                <w:b/>
                <w:bCs/>
                <w:color w:val="FF0000"/>
                <w:sz w:val="16"/>
                <w:szCs w:val="16"/>
                <w:lang w:val="ru-RU"/>
              </w:rPr>
            </w:pPr>
            <w:r w:rsidRPr="005177C8">
              <w:rPr>
                <w:b/>
                <w:color w:val="FF0000"/>
                <w:sz w:val="16"/>
                <w:lang w:val="ru-RU"/>
              </w:rPr>
              <w:t>Не выполнено</w:t>
            </w:r>
          </w:p>
          <w:p w:rsidR="005177C8" w:rsidRPr="005177C8" w:rsidRDefault="005177C8" w:rsidP="005177C8">
            <w:pPr>
              <w:jc w:val="center"/>
              <w:rPr>
                <w:rFonts w:cs="Arial"/>
                <w:b/>
                <w:bCs/>
                <w:color w:val="00B050"/>
                <w:sz w:val="16"/>
                <w:szCs w:val="16"/>
                <w:lang w:val="ru-RU"/>
              </w:rPr>
            </w:pPr>
          </w:p>
          <w:p w:rsidR="005177C8" w:rsidRPr="005177C8" w:rsidRDefault="005177C8" w:rsidP="005177C8">
            <w:pPr>
              <w:jc w:val="center"/>
              <w:rPr>
                <w:rFonts w:cs="Arial"/>
                <w:b/>
                <w:bCs/>
                <w:color w:val="00B050"/>
                <w:sz w:val="16"/>
                <w:szCs w:val="16"/>
                <w:lang w:val="ru-RU"/>
              </w:rPr>
            </w:pPr>
          </w:p>
          <w:p w:rsidR="005177C8" w:rsidRPr="005177C8" w:rsidRDefault="005177C8" w:rsidP="005177C8">
            <w:pPr>
              <w:jc w:val="center"/>
              <w:rPr>
                <w:rFonts w:cs="Arial"/>
                <w:b/>
                <w:bCs/>
                <w:color w:val="00B050"/>
                <w:sz w:val="16"/>
                <w:szCs w:val="16"/>
                <w:lang w:val="ru-RU"/>
              </w:rPr>
            </w:pPr>
          </w:p>
          <w:p w:rsidR="005177C8" w:rsidRPr="005177C8" w:rsidRDefault="005177C8" w:rsidP="005177C8">
            <w:pPr>
              <w:jc w:val="center"/>
              <w:rPr>
                <w:rFonts w:cs="Arial"/>
                <w:b/>
                <w:bCs/>
                <w:color w:val="00B050"/>
                <w:sz w:val="16"/>
                <w:szCs w:val="16"/>
                <w:lang w:val="ru-RU"/>
              </w:rPr>
            </w:pPr>
          </w:p>
          <w:p w:rsidR="005177C8" w:rsidRPr="005177C8" w:rsidRDefault="005177C8" w:rsidP="005177C8">
            <w:pPr>
              <w:jc w:val="center"/>
              <w:rPr>
                <w:rFonts w:cs="Arial"/>
                <w:b/>
                <w:bCs/>
                <w:color w:val="808080"/>
                <w:sz w:val="16"/>
                <w:szCs w:val="16"/>
                <w:lang w:val="ru-RU"/>
              </w:rPr>
            </w:pPr>
            <w:r w:rsidRPr="005177C8">
              <w:rPr>
                <w:b/>
                <w:color w:val="00B050"/>
                <w:sz w:val="16"/>
                <w:lang w:val="ru-RU"/>
              </w:rPr>
              <w:t>Выполнено</w:t>
            </w:r>
          </w:p>
        </w:tc>
      </w:tr>
      <w:tr w:rsidR="005177C8" w:rsidRPr="005C6ABD" w:rsidTr="005177C8">
        <w:trPr>
          <w:cantSplit/>
        </w:trPr>
        <w:tc>
          <w:tcPr>
            <w:tcW w:w="5000" w:type="pct"/>
            <w:gridSpan w:val="15"/>
            <w:tcBorders>
              <w:top w:val="single" w:sz="4" w:space="0" w:color="auto"/>
              <w:bottom w:val="single" w:sz="4" w:space="0" w:color="auto"/>
            </w:tcBorders>
            <w:shd w:val="clear" w:color="auto" w:fill="C6D9F1" w:themeFill="text2" w:themeFillTint="33"/>
            <w:vAlign w:val="center"/>
          </w:tcPr>
          <w:p w:rsidR="005177C8" w:rsidRPr="005177C8" w:rsidRDefault="005177C8" w:rsidP="005177C8">
            <w:pPr>
              <w:rPr>
                <w:sz w:val="16"/>
                <w:szCs w:val="16"/>
                <w:lang w:val="ru-RU"/>
              </w:rPr>
            </w:pPr>
            <w:r w:rsidRPr="005177C8">
              <w:rPr>
                <w:b/>
                <w:sz w:val="16"/>
                <w:szCs w:val="16"/>
                <w:lang w:val="ru-RU"/>
              </w:rPr>
              <w:t xml:space="preserve">Ожидаемый результат: </w:t>
            </w:r>
            <w:r w:rsidRPr="005177C8">
              <w:rPr>
                <w:sz w:val="16"/>
                <w:szCs w:val="16"/>
                <w:lang w:val="ru-RU"/>
              </w:rPr>
              <w:tab/>
              <w:t xml:space="preserve"> </w:t>
            </w:r>
            <w:r w:rsidRPr="00F23980">
              <w:rPr>
                <w:sz w:val="16"/>
                <w:szCs w:val="16"/>
              </w:rPr>
              <w:t>II</w:t>
            </w:r>
            <w:r w:rsidRPr="005177C8">
              <w:rPr>
                <w:sz w:val="16"/>
                <w:szCs w:val="16"/>
                <w:lang w:val="ru-RU"/>
              </w:rPr>
              <w:t>.5. Повышение эффективности Гаагской системы и качества ее услуг</w:t>
            </w:r>
          </w:p>
          <w:p w:rsidR="005177C8" w:rsidRPr="005177C8" w:rsidRDefault="005177C8" w:rsidP="005177C8">
            <w:pPr>
              <w:rPr>
                <w:rFonts w:cs="Arial"/>
                <w:b/>
                <w:bCs/>
                <w:sz w:val="16"/>
                <w:szCs w:val="16"/>
                <w:lang w:val="ru-RU"/>
              </w:rPr>
            </w:pPr>
          </w:p>
        </w:tc>
      </w:tr>
      <w:tr w:rsidR="005177C8" w:rsidRPr="00F23980" w:rsidTr="005177C8">
        <w:trPr>
          <w:cantSplit/>
        </w:trPr>
        <w:tc>
          <w:tcPr>
            <w:tcW w:w="982" w:type="pct"/>
            <w:tcBorders>
              <w:top w:val="single" w:sz="4" w:space="0" w:color="auto"/>
            </w:tcBorders>
            <w:shd w:val="clear" w:color="auto" w:fill="auto"/>
            <w:vAlign w:val="center"/>
          </w:tcPr>
          <w:p w:rsidR="005177C8" w:rsidRPr="00F23980" w:rsidRDefault="005177C8" w:rsidP="005177C8">
            <w:pPr>
              <w:rPr>
                <w:rFonts w:cs="Arial"/>
                <w:b/>
                <w:sz w:val="16"/>
                <w:szCs w:val="16"/>
              </w:rPr>
            </w:pPr>
            <w:r w:rsidRPr="00F23980">
              <w:rPr>
                <w:b/>
                <w:sz w:val="16"/>
                <w:szCs w:val="16"/>
              </w:rPr>
              <w:t>Показатели результативности</w:t>
            </w:r>
          </w:p>
        </w:tc>
        <w:tc>
          <w:tcPr>
            <w:tcW w:w="1266" w:type="pct"/>
            <w:gridSpan w:val="6"/>
            <w:tcBorders>
              <w:top w:val="single" w:sz="4" w:space="0" w:color="auto"/>
            </w:tcBorders>
            <w:shd w:val="clear" w:color="auto" w:fill="auto"/>
            <w:vAlign w:val="center"/>
          </w:tcPr>
          <w:p w:rsidR="005177C8" w:rsidRPr="00F23980" w:rsidRDefault="005177C8" w:rsidP="005177C8">
            <w:pPr>
              <w:keepNext/>
              <w:keepLines/>
              <w:rPr>
                <w:rFonts w:cs="Arial"/>
                <w:b/>
                <w:bCs/>
                <w:sz w:val="16"/>
                <w:szCs w:val="16"/>
              </w:rPr>
            </w:pPr>
            <w:r w:rsidRPr="00F23980">
              <w:rPr>
                <w:b/>
                <w:sz w:val="16"/>
                <w:szCs w:val="16"/>
              </w:rPr>
              <w:t>Базовые показатели</w:t>
            </w:r>
          </w:p>
        </w:tc>
        <w:tc>
          <w:tcPr>
            <w:tcW w:w="844" w:type="pct"/>
            <w:gridSpan w:val="3"/>
            <w:tcBorders>
              <w:top w:val="single" w:sz="4" w:space="0" w:color="auto"/>
            </w:tcBorders>
            <w:shd w:val="clear" w:color="auto" w:fill="auto"/>
            <w:tcMar>
              <w:top w:w="110" w:type="dxa"/>
            </w:tcMar>
            <w:vAlign w:val="center"/>
          </w:tcPr>
          <w:p w:rsidR="005177C8" w:rsidRPr="00F23980" w:rsidRDefault="005177C8" w:rsidP="005177C8">
            <w:pPr>
              <w:keepNext/>
              <w:keepLines/>
              <w:rPr>
                <w:rFonts w:cs="Arial"/>
                <w:b/>
                <w:sz w:val="16"/>
                <w:szCs w:val="16"/>
              </w:rPr>
            </w:pPr>
            <w:r w:rsidRPr="00F23980">
              <w:rPr>
                <w:b/>
                <w:sz w:val="16"/>
                <w:szCs w:val="16"/>
              </w:rPr>
              <w:t>Цели</w:t>
            </w:r>
          </w:p>
        </w:tc>
        <w:tc>
          <w:tcPr>
            <w:tcW w:w="1129" w:type="pct"/>
            <w:gridSpan w:val="3"/>
            <w:tcBorders>
              <w:top w:val="single" w:sz="4" w:space="0" w:color="auto"/>
            </w:tcBorders>
            <w:shd w:val="clear" w:color="auto" w:fill="FFFFFF"/>
            <w:tcMar>
              <w:top w:w="110" w:type="dxa"/>
            </w:tcMar>
            <w:vAlign w:val="center"/>
          </w:tcPr>
          <w:p w:rsidR="005177C8" w:rsidRPr="00F23980" w:rsidRDefault="005177C8" w:rsidP="005177C8">
            <w:pPr>
              <w:keepNext/>
              <w:keepLines/>
              <w:rPr>
                <w:rFonts w:cs="Arial"/>
                <w:sz w:val="16"/>
                <w:szCs w:val="16"/>
              </w:rPr>
            </w:pPr>
            <w:r w:rsidRPr="00F23980">
              <w:rPr>
                <w:b/>
                <w:sz w:val="16"/>
                <w:szCs w:val="16"/>
              </w:rPr>
              <w:t>Данные о результативности</w:t>
            </w:r>
          </w:p>
        </w:tc>
        <w:tc>
          <w:tcPr>
            <w:tcW w:w="779" w:type="pct"/>
            <w:gridSpan w:val="2"/>
            <w:tcBorders>
              <w:top w:val="single" w:sz="4" w:space="0" w:color="auto"/>
            </w:tcBorders>
            <w:shd w:val="clear" w:color="auto" w:fill="auto"/>
            <w:tcMar>
              <w:top w:w="110" w:type="dxa"/>
            </w:tcMar>
            <w:vAlign w:val="center"/>
          </w:tcPr>
          <w:p w:rsidR="005177C8" w:rsidRPr="00F23980" w:rsidRDefault="005177C8" w:rsidP="005177C8">
            <w:pPr>
              <w:keepNext/>
              <w:keepLines/>
              <w:jc w:val="center"/>
              <w:rPr>
                <w:rFonts w:cs="Arial"/>
                <w:b/>
                <w:bCs/>
                <w:sz w:val="16"/>
                <w:szCs w:val="16"/>
              </w:rPr>
            </w:pPr>
            <w:r w:rsidRPr="00F23980">
              <w:rPr>
                <w:b/>
                <w:sz w:val="16"/>
                <w:szCs w:val="16"/>
              </w:rPr>
              <w:t>CC</w:t>
            </w:r>
          </w:p>
        </w:tc>
      </w:tr>
      <w:tr w:rsidR="005177C8" w:rsidRPr="00F23980" w:rsidTr="005177C8">
        <w:trPr>
          <w:cantSplit/>
        </w:trPr>
        <w:tc>
          <w:tcPr>
            <w:tcW w:w="982" w:type="pct"/>
            <w:shd w:val="clear" w:color="auto" w:fill="auto"/>
          </w:tcPr>
          <w:p w:rsidR="005177C8" w:rsidRPr="005177C8" w:rsidRDefault="005177C8" w:rsidP="005177C8">
            <w:pPr>
              <w:rPr>
                <w:rFonts w:cs="Arial"/>
                <w:sz w:val="16"/>
                <w:szCs w:val="16"/>
                <w:lang w:val="ru-RU"/>
              </w:rPr>
            </w:pPr>
            <w:r w:rsidRPr="005177C8">
              <w:rPr>
                <w:sz w:val="16"/>
                <w:szCs w:val="16"/>
                <w:lang w:val="ru-RU"/>
              </w:rPr>
              <w:t>Ведущие позиции Женевского акта 1999</w:t>
            </w:r>
            <w:r w:rsidRPr="00F23980">
              <w:rPr>
                <w:sz w:val="16"/>
                <w:szCs w:val="16"/>
              </w:rPr>
              <w:t> </w:t>
            </w:r>
            <w:r w:rsidRPr="005177C8">
              <w:rPr>
                <w:sz w:val="16"/>
                <w:szCs w:val="16"/>
                <w:lang w:val="ru-RU"/>
              </w:rPr>
              <w:t>г. в Гаагской системе</w:t>
            </w:r>
          </w:p>
        </w:tc>
        <w:tc>
          <w:tcPr>
            <w:tcW w:w="1266" w:type="pct"/>
            <w:gridSpan w:val="6"/>
            <w:shd w:val="clear" w:color="auto" w:fill="auto"/>
          </w:tcPr>
          <w:p w:rsidR="005177C8" w:rsidRPr="005177C8" w:rsidRDefault="005177C8" w:rsidP="005177C8">
            <w:pPr>
              <w:keepNext/>
              <w:keepLines/>
              <w:rPr>
                <w:rFonts w:cs="Arial"/>
                <w:color w:val="002060"/>
                <w:sz w:val="16"/>
                <w:szCs w:val="16"/>
                <w:lang w:val="ru-RU"/>
              </w:rPr>
            </w:pPr>
            <w:r w:rsidRPr="005177C8">
              <w:rPr>
                <w:i/>
                <w:color w:val="002060"/>
                <w:sz w:val="16"/>
                <w:szCs w:val="16"/>
                <w:lang w:val="ru-RU"/>
              </w:rPr>
              <w:t>Обновленные базовые показатели, конец 2013</w:t>
            </w:r>
            <w:r w:rsidRPr="00F23980">
              <w:rPr>
                <w:i/>
                <w:color w:val="002060"/>
                <w:sz w:val="16"/>
                <w:szCs w:val="16"/>
              </w:rPr>
              <w:t> </w:t>
            </w:r>
            <w:r w:rsidRPr="005177C8">
              <w:rPr>
                <w:i/>
                <w:color w:val="002060"/>
                <w:sz w:val="16"/>
                <w:szCs w:val="16"/>
                <w:lang w:val="ru-RU"/>
              </w:rPr>
              <w:t>г.:  для расторжения Акта 1934</w:t>
            </w:r>
            <w:r>
              <w:rPr>
                <w:i/>
                <w:color w:val="002060"/>
                <w:sz w:val="16"/>
                <w:szCs w:val="16"/>
              </w:rPr>
              <w:t> </w:t>
            </w:r>
            <w:r w:rsidRPr="005177C8">
              <w:rPr>
                <w:i/>
                <w:color w:val="002060"/>
                <w:sz w:val="16"/>
                <w:szCs w:val="16"/>
                <w:lang w:val="ru-RU"/>
              </w:rPr>
              <w:t>г. все еще требовалось согласие трех стран; при этом участницами Акта 1960 г. по-прежнему являлись четыре Договаривающиеся стороны, не входящие в ЕС и АОИС.</w:t>
            </w:r>
          </w:p>
          <w:p w:rsidR="005177C8" w:rsidRPr="005177C8" w:rsidRDefault="005177C8" w:rsidP="005177C8">
            <w:pPr>
              <w:keepNext/>
              <w:keepLines/>
              <w:rPr>
                <w:rFonts w:cs="Arial"/>
                <w:color w:val="000000"/>
                <w:sz w:val="16"/>
                <w:szCs w:val="16"/>
                <w:lang w:val="ru-RU"/>
              </w:rPr>
            </w:pPr>
          </w:p>
          <w:p w:rsidR="005177C8" w:rsidRPr="005177C8" w:rsidRDefault="005177C8" w:rsidP="005177C8">
            <w:pPr>
              <w:keepNext/>
              <w:keepLines/>
              <w:rPr>
                <w:rFonts w:cs="Arial"/>
                <w:i/>
                <w:color w:val="002060"/>
                <w:sz w:val="16"/>
                <w:szCs w:val="16"/>
                <w:lang w:val="ru-RU"/>
              </w:rPr>
            </w:pPr>
          </w:p>
          <w:p w:rsidR="005177C8" w:rsidRPr="005177C8" w:rsidRDefault="005177C8" w:rsidP="005177C8">
            <w:pPr>
              <w:keepNext/>
              <w:keepLines/>
              <w:rPr>
                <w:rFonts w:cs="Arial"/>
                <w:color w:val="000000"/>
                <w:sz w:val="16"/>
                <w:szCs w:val="16"/>
                <w:lang w:val="ru-RU"/>
              </w:rPr>
            </w:pPr>
            <w:r w:rsidRPr="005177C8">
              <w:rPr>
                <w:i/>
                <w:sz w:val="16"/>
                <w:szCs w:val="16"/>
                <w:lang w:val="ru-RU"/>
              </w:rPr>
              <w:t xml:space="preserve">Исходные базовые показатели ПиБ на 2014–2015 гг.: </w:t>
            </w:r>
            <w:r w:rsidRPr="005177C8">
              <w:rPr>
                <w:i/>
                <w:color w:val="000000"/>
                <w:sz w:val="16"/>
                <w:szCs w:val="16"/>
                <w:lang w:val="ru-RU"/>
              </w:rPr>
              <w:t>15 участников Гаагской системы по-прежнему не связаны Женевским актом 1999</w:t>
            </w:r>
            <w:r w:rsidRPr="00F23980">
              <w:rPr>
                <w:i/>
                <w:color w:val="000000"/>
                <w:sz w:val="16"/>
                <w:szCs w:val="16"/>
              </w:rPr>
              <w:t> </w:t>
            </w:r>
            <w:r w:rsidRPr="005177C8">
              <w:rPr>
                <w:i/>
                <w:color w:val="000000"/>
                <w:sz w:val="16"/>
                <w:szCs w:val="16"/>
                <w:lang w:val="ru-RU"/>
              </w:rPr>
              <w:t>г.; от пяти стран по-прежнему не получено согласие на прекращение действия Акта 1934</w:t>
            </w:r>
            <w:r w:rsidRPr="00F23980">
              <w:rPr>
                <w:i/>
                <w:color w:val="000000"/>
                <w:sz w:val="16"/>
                <w:szCs w:val="16"/>
              </w:rPr>
              <w:t> </w:t>
            </w:r>
            <w:r w:rsidRPr="005177C8">
              <w:rPr>
                <w:i/>
                <w:color w:val="000000"/>
                <w:sz w:val="16"/>
                <w:szCs w:val="16"/>
                <w:lang w:val="ru-RU"/>
              </w:rPr>
              <w:t>г. (на конец 2012 г.)</w:t>
            </w:r>
          </w:p>
        </w:tc>
        <w:tc>
          <w:tcPr>
            <w:tcW w:w="844" w:type="pct"/>
            <w:gridSpan w:val="3"/>
            <w:shd w:val="clear" w:color="auto" w:fill="auto"/>
            <w:tcMar>
              <w:top w:w="110" w:type="dxa"/>
            </w:tcMar>
          </w:tcPr>
          <w:p w:rsidR="005177C8" w:rsidRPr="005177C8" w:rsidRDefault="005177C8" w:rsidP="005177C8">
            <w:pPr>
              <w:keepNext/>
              <w:keepLines/>
              <w:rPr>
                <w:rFonts w:cs="Arial"/>
                <w:sz w:val="16"/>
                <w:szCs w:val="16"/>
                <w:lang w:val="ru-RU"/>
              </w:rPr>
            </w:pPr>
            <w:r w:rsidRPr="005177C8">
              <w:rPr>
                <w:sz w:val="16"/>
                <w:szCs w:val="16"/>
                <w:lang w:val="ru-RU"/>
              </w:rPr>
              <w:t>Отсутствие стран, кроме членов ЕС и АОИС, являющихся членами только Гаагского акта 1960</w:t>
            </w:r>
            <w:r w:rsidRPr="00F23980">
              <w:rPr>
                <w:sz w:val="16"/>
                <w:szCs w:val="16"/>
              </w:rPr>
              <w:t> </w:t>
            </w:r>
            <w:r w:rsidRPr="005177C8">
              <w:rPr>
                <w:sz w:val="16"/>
                <w:szCs w:val="16"/>
                <w:lang w:val="ru-RU"/>
              </w:rPr>
              <w:t>г.; получение согласия остальных (5) стран, необходимого для расторжения Акта 1934</w:t>
            </w:r>
            <w:r w:rsidRPr="00F23980">
              <w:rPr>
                <w:sz w:val="16"/>
                <w:szCs w:val="16"/>
              </w:rPr>
              <w:t> </w:t>
            </w:r>
            <w:r w:rsidRPr="005177C8">
              <w:rPr>
                <w:sz w:val="16"/>
                <w:szCs w:val="16"/>
                <w:lang w:val="ru-RU"/>
              </w:rPr>
              <w:t>г.</w:t>
            </w:r>
          </w:p>
        </w:tc>
        <w:tc>
          <w:tcPr>
            <w:tcW w:w="1129" w:type="pct"/>
            <w:gridSpan w:val="3"/>
            <w:shd w:val="clear" w:color="auto" w:fill="FFFFFF"/>
            <w:tcMar>
              <w:top w:w="110" w:type="dxa"/>
            </w:tcMar>
          </w:tcPr>
          <w:p w:rsidR="005177C8" w:rsidRPr="005177C8" w:rsidRDefault="005177C8" w:rsidP="005177C8">
            <w:pPr>
              <w:keepNext/>
              <w:keepLines/>
              <w:rPr>
                <w:rFonts w:cs="Arial"/>
                <w:sz w:val="16"/>
                <w:szCs w:val="16"/>
                <w:lang w:val="ru-RU"/>
              </w:rPr>
            </w:pPr>
            <w:r w:rsidRPr="005177C8">
              <w:rPr>
                <w:sz w:val="16"/>
                <w:szCs w:val="16"/>
                <w:lang w:val="ru-RU"/>
              </w:rPr>
              <w:t>Получено одно согласие на расторжение Акта 1934</w:t>
            </w:r>
            <w:r>
              <w:rPr>
                <w:sz w:val="16"/>
                <w:szCs w:val="16"/>
              </w:rPr>
              <w:t> </w:t>
            </w:r>
            <w:r w:rsidRPr="005177C8">
              <w:rPr>
                <w:sz w:val="16"/>
                <w:szCs w:val="16"/>
                <w:lang w:val="ru-RU"/>
              </w:rPr>
              <w:t>г., и требуется согласие еще двух стран; четыре Договаривающиеся стороны, не входящие в ЕС и АОИС, по-прежнему являются участницами только Акта 1960</w:t>
            </w:r>
            <w:r>
              <w:rPr>
                <w:sz w:val="16"/>
                <w:szCs w:val="16"/>
              </w:rPr>
              <w:t> </w:t>
            </w:r>
            <w:r w:rsidRPr="005177C8">
              <w:rPr>
                <w:sz w:val="16"/>
                <w:szCs w:val="16"/>
                <w:lang w:val="ru-RU"/>
              </w:rPr>
              <w:t>г.</w:t>
            </w:r>
          </w:p>
        </w:tc>
        <w:tc>
          <w:tcPr>
            <w:tcW w:w="779" w:type="pct"/>
            <w:gridSpan w:val="2"/>
            <w:shd w:val="clear" w:color="auto" w:fill="auto"/>
            <w:tcMar>
              <w:top w:w="110" w:type="dxa"/>
            </w:tcMar>
          </w:tcPr>
          <w:p w:rsidR="005177C8" w:rsidRPr="00F23980" w:rsidRDefault="005177C8" w:rsidP="005177C8">
            <w:pPr>
              <w:keepNext/>
              <w:keepLines/>
              <w:jc w:val="center"/>
              <w:rPr>
                <w:rFonts w:cs="Arial"/>
                <w:b/>
                <w:bCs/>
                <w:color w:val="FF0000"/>
                <w:sz w:val="16"/>
                <w:szCs w:val="16"/>
              </w:rPr>
            </w:pPr>
            <w:r w:rsidRPr="00F23980">
              <w:rPr>
                <w:b/>
                <w:color w:val="FF0000"/>
                <w:sz w:val="16"/>
                <w:szCs w:val="16"/>
              </w:rPr>
              <w:t>Не выполнено</w:t>
            </w:r>
          </w:p>
          <w:p w:rsidR="005177C8" w:rsidRPr="00F23980" w:rsidRDefault="005177C8" w:rsidP="005177C8">
            <w:pPr>
              <w:keepNext/>
              <w:keepLines/>
              <w:jc w:val="center"/>
              <w:rPr>
                <w:rFonts w:cs="Arial"/>
                <w:b/>
                <w:bCs/>
                <w:color w:val="808080"/>
                <w:sz w:val="16"/>
                <w:szCs w:val="16"/>
              </w:rPr>
            </w:pPr>
          </w:p>
        </w:tc>
      </w:tr>
      <w:tr w:rsidR="005177C8" w:rsidRPr="00F23980" w:rsidTr="005177C8">
        <w:trPr>
          <w:cantSplit/>
        </w:trPr>
        <w:tc>
          <w:tcPr>
            <w:tcW w:w="982" w:type="pct"/>
            <w:shd w:val="clear" w:color="auto" w:fill="auto"/>
          </w:tcPr>
          <w:p w:rsidR="005177C8" w:rsidRPr="005177C8" w:rsidRDefault="005177C8" w:rsidP="005177C8">
            <w:pPr>
              <w:rPr>
                <w:rFonts w:cs="Arial"/>
                <w:sz w:val="16"/>
                <w:szCs w:val="16"/>
                <w:lang w:val="ru-RU"/>
              </w:rPr>
            </w:pPr>
            <w:r w:rsidRPr="005177C8">
              <w:rPr>
                <w:sz w:val="16"/>
                <w:szCs w:val="16"/>
                <w:lang w:val="ru-RU"/>
              </w:rPr>
              <w:t>Успехи в совершенствовании правовой базы</w:t>
            </w:r>
          </w:p>
        </w:tc>
        <w:tc>
          <w:tcPr>
            <w:tcW w:w="1266" w:type="pct"/>
            <w:gridSpan w:val="6"/>
            <w:shd w:val="clear" w:color="auto" w:fill="auto"/>
          </w:tcPr>
          <w:p w:rsidR="005177C8" w:rsidRPr="005177C8" w:rsidRDefault="005177C8" w:rsidP="005177C8">
            <w:pPr>
              <w:keepNext/>
              <w:keepLines/>
              <w:rPr>
                <w:rFonts w:cs="Arial"/>
                <w:sz w:val="16"/>
                <w:szCs w:val="16"/>
                <w:lang w:val="ru-RU"/>
              </w:rPr>
            </w:pPr>
            <w:r w:rsidRPr="005177C8">
              <w:rPr>
                <w:i/>
                <w:sz w:val="16"/>
                <w:szCs w:val="16"/>
                <w:lang w:val="ru-RU"/>
              </w:rPr>
              <w:t xml:space="preserve">Исходные базовые показатели ПиБ на 2014–2015 гг.: </w:t>
            </w:r>
            <w:r w:rsidRPr="005177C8">
              <w:rPr>
                <w:sz w:val="16"/>
                <w:szCs w:val="16"/>
                <w:lang w:val="ru-RU"/>
              </w:rPr>
              <w:t>действующая нормативно-правовая база</w:t>
            </w:r>
          </w:p>
        </w:tc>
        <w:tc>
          <w:tcPr>
            <w:tcW w:w="805" w:type="pct"/>
            <w:gridSpan w:val="2"/>
            <w:shd w:val="clear" w:color="auto" w:fill="auto"/>
            <w:tcMar>
              <w:top w:w="110" w:type="dxa"/>
            </w:tcMar>
          </w:tcPr>
          <w:p w:rsidR="005177C8" w:rsidRPr="005177C8" w:rsidRDefault="005177C8" w:rsidP="005177C8">
            <w:pPr>
              <w:keepNext/>
              <w:keepLines/>
              <w:autoSpaceDE w:val="0"/>
              <w:autoSpaceDN w:val="0"/>
              <w:adjustRightInd w:val="0"/>
              <w:rPr>
                <w:rFonts w:cs="Arial"/>
                <w:sz w:val="16"/>
                <w:szCs w:val="16"/>
                <w:lang w:val="ru-RU"/>
              </w:rPr>
            </w:pPr>
            <w:r w:rsidRPr="005177C8">
              <w:rPr>
                <w:sz w:val="16"/>
                <w:szCs w:val="16"/>
                <w:lang w:val="ru-RU"/>
              </w:rPr>
              <w:t>Внесение поправок в Инструкцию к Гаагскому соглашению и Административную инструкцию, а также введение новых норм после присоединения новых Договаривающихся сторон.</w:t>
            </w:r>
          </w:p>
        </w:tc>
        <w:tc>
          <w:tcPr>
            <w:tcW w:w="1168" w:type="pct"/>
            <w:gridSpan w:val="4"/>
            <w:shd w:val="clear" w:color="auto" w:fill="FFFFFF"/>
            <w:tcMar>
              <w:top w:w="110" w:type="dxa"/>
            </w:tcMar>
          </w:tcPr>
          <w:p w:rsidR="005177C8" w:rsidRPr="005177C8" w:rsidRDefault="005177C8" w:rsidP="005177C8">
            <w:pPr>
              <w:keepNext/>
              <w:keepLines/>
              <w:rPr>
                <w:sz w:val="16"/>
                <w:szCs w:val="16"/>
                <w:lang w:val="ru-RU"/>
              </w:rPr>
            </w:pPr>
            <w:r w:rsidRPr="005177C8">
              <w:rPr>
                <w:sz w:val="16"/>
                <w:szCs w:val="16"/>
                <w:lang w:val="ru-RU"/>
              </w:rPr>
              <w:t>Поправки к Общей инструкции, которые среди прочего содержали положения о «механизме обратной связи», вступили в силу 1 января 2015</w:t>
            </w:r>
            <w:r>
              <w:rPr>
                <w:sz w:val="16"/>
                <w:szCs w:val="16"/>
              </w:rPr>
              <w:t> </w:t>
            </w:r>
            <w:r w:rsidRPr="005177C8">
              <w:rPr>
                <w:sz w:val="16"/>
                <w:szCs w:val="16"/>
                <w:lang w:val="ru-RU"/>
              </w:rPr>
              <w:t xml:space="preserve">г. </w:t>
            </w:r>
          </w:p>
          <w:p w:rsidR="005177C8" w:rsidRPr="005177C8" w:rsidRDefault="005177C8" w:rsidP="005177C8">
            <w:pPr>
              <w:keepNext/>
              <w:keepLines/>
              <w:rPr>
                <w:sz w:val="16"/>
                <w:szCs w:val="16"/>
                <w:lang w:val="ru-RU"/>
              </w:rPr>
            </w:pPr>
          </w:p>
          <w:p w:rsidR="005177C8" w:rsidRPr="005177C8" w:rsidRDefault="005177C8" w:rsidP="005177C8">
            <w:pPr>
              <w:keepNext/>
              <w:keepLines/>
              <w:rPr>
                <w:rFonts w:cs="Arial"/>
                <w:sz w:val="16"/>
                <w:szCs w:val="16"/>
                <w:lang w:val="ru-RU"/>
              </w:rPr>
            </w:pPr>
            <w:r w:rsidRPr="005177C8">
              <w:rPr>
                <w:sz w:val="16"/>
                <w:szCs w:val="16"/>
                <w:lang w:val="ru-RU"/>
              </w:rPr>
              <w:t>Поправки к Административной инструкции, в частности, смягчающие определенные требования в отношении воспроизведения и представления образцов, вступили в силу 1 июля 2014</w:t>
            </w:r>
            <w:r>
              <w:rPr>
                <w:sz w:val="16"/>
                <w:szCs w:val="16"/>
              </w:rPr>
              <w:t> </w:t>
            </w:r>
            <w:r w:rsidRPr="005177C8">
              <w:rPr>
                <w:sz w:val="16"/>
                <w:szCs w:val="16"/>
                <w:lang w:val="ru-RU"/>
              </w:rPr>
              <w:t>г.</w:t>
            </w:r>
          </w:p>
        </w:tc>
        <w:tc>
          <w:tcPr>
            <w:tcW w:w="779" w:type="pct"/>
            <w:gridSpan w:val="2"/>
            <w:shd w:val="clear" w:color="auto" w:fill="auto"/>
            <w:tcMar>
              <w:top w:w="110" w:type="dxa"/>
            </w:tcMar>
          </w:tcPr>
          <w:p w:rsidR="005177C8" w:rsidRPr="00F23980" w:rsidRDefault="005177C8" w:rsidP="005177C8">
            <w:pPr>
              <w:keepNext/>
              <w:keepLines/>
              <w:jc w:val="center"/>
              <w:rPr>
                <w:rFonts w:cs="Arial"/>
                <w:b/>
                <w:bCs/>
                <w:color w:val="808080"/>
                <w:sz w:val="16"/>
                <w:szCs w:val="16"/>
              </w:rPr>
            </w:pPr>
            <w:r w:rsidRPr="00F23980">
              <w:rPr>
                <w:b/>
                <w:color w:val="00B050"/>
                <w:sz w:val="16"/>
                <w:szCs w:val="16"/>
              </w:rPr>
              <w:t>Выполнено</w:t>
            </w:r>
          </w:p>
        </w:tc>
      </w:tr>
      <w:tr w:rsidR="005177C8" w:rsidRPr="00F23980" w:rsidTr="005177C8">
        <w:trPr>
          <w:cantSplit/>
        </w:trPr>
        <w:tc>
          <w:tcPr>
            <w:tcW w:w="982" w:type="pct"/>
            <w:tcBorders>
              <w:bottom w:val="nil"/>
            </w:tcBorders>
            <w:shd w:val="clear" w:color="auto" w:fill="auto"/>
          </w:tcPr>
          <w:p w:rsidR="005177C8" w:rsidRPr="005177C8" w:rsidRDefault="005177C8" w:rsidP="005177C8">
            <w:pPr>
              <w:rPr>
                <w:rFonts w:cs="Arial"/>
                <w:sz w:val="16"/>
                <w:szCs w:val="16"/>
                <w:lang w:val="ru-RU"/>
              </w:rPr>
            </w:pPr>
            <w:r w:rsidRPr="005177C8">
              <w:rPr>
                <w:sz w:val="16"/>
                <w:szCs w:val="16"/>
                <w:lang w:val="ru-RU"/>
              </w:rPr>
              <w:t>Гибкость данных, хранящихся в Международном реестре</w:t>
            </w:r>
          </w:p>
        </w:tc>
        <w:tc>
          <w:tcPr>
            <w:tcW w:w="1266" w:type="pct"/>
            <w:gridSpan w:val="6"/>
            <w:tcBorders>
              <w:bottom w:val="nil"/>
            </w:tcBorders>
            <w:shd w:val="clear" w:color="auto" w:fill="auto"/>
          </w:tcPr>
          <w:p w:rsidR="005177C8" w:rsidRPr="005177C8" w:rsidRDefault="005177C8" w:rsidP="005177C8">
            <w:pPr>
              <w:rPr>
                <w:rFonts w:cs="Arial"/>
                <w:sz w:val="16"/>
                <w:szCs w:val="16"/>
                <w:lang w:val="ru-RU"/>
              </w:rPr>
            </w:pPr>
            <w:r w:rsidRPr="005177C8">
              <w:rPr>
                <w:i/>
                <w:sz w:val="16"/>
                <w:szCs w:val="16"/>
                <w:lang w:val="ru-RU"/>
              </w:rPr>
              <w:t xml:space="preserve">Исходные базовые показатели ПиБ на 2014–2015 гг.: </w:t>
            </w:r>
            <w:r w:rsidRPr="005177C8">
              <w:rPr>
                <w:sz w:val="16"/>
                <w:szCs w:val="16"/>
                <w:lang w:val="ru-RU"/>
              </w:rPr>
              <w:t>отсутствие возможности занесения подробных сведений об образцах</w:t>
            </w:r>
          </w:p>
        </w:tc>
        <w:tc>
          <w:tcPr>
            <w:tcW w:w="805" w:type="pct"/>
            <w:gridSpan w:val="2"/>
            <w:tcBorders>
              <w:bottom w:val="nil"/>
            </w:tcBorders>
            <w:shd w:val="clear" w:color="auto" w:fill="auto"/>
            <w:tcMar>
              <w:top w:w="110" w:type="dxa"/>
            </w:tcMar>
          </w:tcPr>
          <w:p w:rsidR="005177C8" w:rsidRPr="005177C8" w:rsidRDefault="005177C8" w:rsidP="005177C8">
            <w:pPr>
              <w:rPr>
                <w:rFonts w:cs="Arial"/>
                <w:sz w:val="16"/>
                <w:szCs w:val="16"/>
                <w:lang w:val="ru-RU"/>
              </w:rPr>
            </w:pPr>
            <w:r w:rsidRPr="005177C8">
              <w:rPr>
                <w:sz w:val="16"/>
                <w:szCs w:val="16"/>
                <w:lang w:val="ru-RU"/>
              </w:rPr>
              <w:t>Возможность сохранения детальной информации об образцах</w:t>
            </w:r>
          </w:p>
        </w:tc>
        <w:tc>
          <w:tcPr>
            <w:tcW w:w="1168" w:type="pct"/>
            <w:gridSpan w:val="4"/>
            <w:tcBorders>
              <w:bottom w:val="nil"/>
            </w:tcBorders>
            <w:shd w:val="clear" w:color="auto" w:fill="FFFFFF"/>
            <w:tcMar>
              <w:top w:w="110" w:type="dxa"/>
            </w:tcMar>
          </w:tcPr>
          <w:p w:rsidR="005177C8" w:rsidRPr="005177C8" w:rsidRDefault="005177C8" w:rsidP="005177C8">
            <w:pPr>
              <w:rPr>
                <w:rFonts w:cs="Arial"/>
                <w:sz w:val="16"/>
                <w:szCs w:val="16"/>
                <w:lang w:val="ru-RU"/>
              </w:rPr>
            </w:pPr>
            <w:r w:rsidRPr="005177C8">
              <w:rPr>
                <w:sz w:val="16"/>
                <w:szCs w:val="16"/>
                <w:lang w:val="ru-RU"/>
              </w:rPr>
              <w:t xml:space="preserve">Был достигнут прогресс в отношении выбора образцов, но реализация была запланирована на период после конвертации основной ИТ-системы, чего не произошло в рассматриваемый двухлетний период: </w:t>
            </w:r>
            <w:r w:rsidRPr="00F23980">
              <w:rPr>
                <w:sz w:val="16"/>
                <w:szCs w:val="16"/>
              </w:rPr>
              <w:t>DIRIS</w:t>
            </w:r>
            <w:r w:rsidRPr="005177C8">
              <w:rPr>
                <w:sz w:val="16"/>
                <w:szCs w:val="16"/>
                <w:lang w:val="ru-RU"/>
              </w:rPr>
              <w:t>.</w:t>
            </w:r>
          </w:p>
        </w:tc>
        <w:tc>
          <w:tcPr>
            <w:tcW w:w="779" w:type="pct"/>
            <w:gridSpan w:val="2"/>
            <w:tcBorders>
              <w:bottom w:val="nil"/>
            </w:tcBorders>
            <w:shd w:val="clear" w:color="auto" w:fill="auto"/>
            <w:tcMar>
              <w:top w:w="110" w:type="dxa"/>
            </w:tcMar>
          </w:tcPr>
          <w:p w:rsidR="005177C8" w:rsidRPr="00F23980" w:rsidRDefault="005177C8" w:rsidP="005177C8">
            <w:pPr>
              <w:keepNext/>
              <w:keepLines/>
              <w:jc w:val="center"/>
              <w:rPr>
                <w:rFonts w:cs="Arial"/>
                <w:b/>
                <w:bCs/>
                <w:color w:val="FF0000"/>
                <w:sz w:val="16"/>
                <w:szCs w:val="16"/>
              </w:rPr>
            </w:pPr>
            <w:r w:rsidRPr="00F23980">
              <w:rPr>
                <w:b/>
                <w:color w:val="FF0000"/>
                <w:sz w:val="16"/>
                <w:szCs w:val="16"/>
              </w:rPr>
              <w:t>Не выполнено</w:t>
            </w:r>
          </w:p>
          <w:p w:rsidR="005177C8" w:rsidRPr="00F23980" w:rsidRDefault="005177C8" w:rsidP="005177C8">
            <w:pPr>
              <w:keepNext/>
              <w:keepLines/>
              <w:jc w:val="center"/>
              <w:rPr>
                <w:rFonts w:cs="Arial"/>
                <w:b/>
                <w:bCs/>
                <w:color w:val="808080"/>
                <w:sz w:val="16"/>
                <w:szCs w:val="16"/>
              </w:rPr>
            </w:pPr>
          </w:p>
        </w:tc>
      </w:tr>
      <w:tr w:rsidR="005177C8" w:rsidRPr="00F23980" w:rsidTr="005177C8">
        <w:trPr>
          <w:cantSplit/>
        </w:trPr>
        <w:tc>
          <w:tcPr>
            <w:tcW w:w="998" w:type="pct"/>
            <w:gridSpan w:val="2"/>
            <w:tcBorders>
              <w:top w:val="nil"/>
              <w:bottom w:val="single" w:sz="4" w:space="0" w:color="auto"/>
            </w:tcBorders>
            <w:shd w:val="clear" w:color="auto" w:fill="auto"/>
          </w:tcPr>
          <w:p w:rsidR="005177C8" w:rsidRPr="00F23980" w:rsidRDefault="005177C8" w:rsidP="005177C8">
            <w:pPr>
              <w:keepNext/>
              <w:keepLines/>
              <w:rPr>
                <w:rFonts w:cs="Arial"/>
                <w:sz w:val="16"/>
                <w:szCs w:val="16"/>
              </w:rPr>
            </w:pPr>
            <w:r w:rsidRPr="00F23980">
              <w:rPr>
                <w:color w:val="000000"/>
                <w:sz w:val="16"/>
                <w:szCs w:val="16"/>
              </w:rPr>
              <w:t>Число автоматизированных процессов</w:t>
            </w:r>
          </w:p>
        </w:tc>
        <w:tc>
          <w:tcPr>
            <w:tcW w:w="1234" w:type="pct"/>
            <w:gridSpan w:val="4"/>
            <w:tcBorders>
              <w:top w:val="nil"/>
              <w:bottom w:val="single" w:sz="4" w:space="0" w:color="auto"/>
            </w:tcBorders>
            <w:shd w:val="clear" w:color="auto" w:fill="auto"/>
          </w:tcPr>
          <w:p w:rsidR="005177C8" w:rsidRPr="005177C8" w:rsidRDefault="005177C8" w:rsidP="005177C8">
            <w:pPr>
              <w:rPr>
                <w:rFonts w:cs="Arial"/>
                <w:color w:val="002060"/>
                <w:sz w:val="16"/>
                <w:szCs w:val="16"/>
                <w:lang w:val="ru-RU"/>
              </w:rPr>
            </w:pPr>
            <w:r w:rsidRPr="005177C8">
              <w:rPr>
                <w:i/>
                <w:sz w:val="16"/>
                <w:szCs w:val="16"/>
                <w:lang w:val="ru-RU"/>
              </w:rPr>
              <w:t>Обновленные базовые показатели, конец 2013</w:t>
            </w:r>
            <w:r w:rsidRPr="00F23980">
              <w:rPr>
                <w:i/>
                <w:sz w:val="16"/>
                <w:szCs w:val="16"/>
              </w:rPr>
              <w:t> </w:t>
            </w:r>
            <w:r w:rsidRPr="005177C8">
              <w:rPr>
                <w:i/>
                <w:sz w:val="16"/>
                <w:szCs w:val="16"/>
                <w:lang w:val="ru-RU"/>
              </w:rPr>
              <w:t xml:space="preserve">г.: </w:t>
            </w:r>
            <w:r w:rsidRPr="005177C8">
              <w:rPr>
                <w:sz w:val="16"/>
                <w:szCs w:val="16"/>
                <w:lang w:val="ru-RU"/>
              </w:rPr>
              <w:br/>
              <w:t>два (электронная подача заявок и электронное продление регистрации)</w:t>
            </w:r>
            <w:r w:rsidRPr="00F23980">
              <w:rPr>
                <w:rStyle w:val="FootnoteReference"/>
                <w:color w:val="002060"/>
                <w:sz w:val="16"/>
                <w:szCs w:val="16"/>
              </w:rPr>
              <w:footnoteReference w:id="39"/>
            </w:r>
          </w:p>
          <w:p w:rsidR="005177C8" w:rsidRPr="005177C8" w:rsidRDefault="005177C8" w:rsidP="005177C8">
            <w:pPr>
              <w:keepNext/>
              <w:keepLines/>
              <w:rPr>
                <w:rFonts w:cs="Arial"/>
                <w:i/>
                <w:sz w:val="16"/>
                <w:szCs w:val="16"/>
                <w:lang w:val="ru-RU"/>
              </w:rPr>
            </w:pPr>
          </w:p>
          <w:p w:rsidR="005177C8" w:rsidRPr="005177C8" w:rsidRDefault="005177C8" w:rsidP="005177C8">
            <w:pPr>
              <w:keepNext/>
              <w:keepLines/>
              <w:rPr>
                <w:rFonts w:cs="Arial"/>
                <w:i/>
                <w:sz w:val="16"/>
                <w:szCs w:val="16"/>
                <w:lang w:val="ru-RU"/>
              </w:rPr>
            </w:pPr>
            <w:r w:rsidRPr="005177C8">
              <w:rPr>
                <w:i/>
                <w:sz w:val="16"/>
                <w:szCs w:val="16"/>
                <w:lang w:val="ru-RU"/>
              </w:rPr>
              <w:t xml:space="preserve">Исходные базовые показатели ПиБ на 2014–2015 гг.: </w:t>
            </w:r>
            <w:r w:rsidRPr="005177C8">
              <w:rPr>
                <w:sz w:val="16"/>
                <w:szCs w:val="16"/>
                <w:lang w:val="ru-RU"/>
              </w:rPr>
              <w:t>2</w:t>
            </w:r>
          </w:p>
          <w:p w:rsidR="005177C8" w:rsidRPr="005177C8" w:rsidRDefault="005177C8" w:rsidP="005177C8">
            <w:pPr>
              <w:keepNext/>
              <w:keepLines/>
              <w:rPr>
                <w:rFonts w:cs="Arial"/>
                <w:sz w:val="16"/>
                <w:szCs w:val="16"/>
                <w:lang w:val="ru-RU"/>
              </w:rPr>
            </w:pPr>
          </w:p>
        </w:tc>
        <w:tc>
          <w:tcPr>
            <w:tcW w:w="821" w:type="pct"/>
            <w:gridSpan w:val="3"/>
            <w:tcBorders>
              <w:top w:val="nil"/>
              <w:bottom w:val="single" w:sz="4" w:space="0" w:color="auto"/>
            </w:tcBorders>
            <w:shd w:val="clear" w:color="auto" w:fill="auto"/>
            <w:tcMar>
              <w:top w:w="110" w:type="dxa"/>
            </w:tcMar>
          </w:tcPr>
          <w:p w:rsidR="005177C8" w:rsidRPr="00F23980" w:rsidRDefault="005177C8" w:rsidP="005177C8">
            <w:pPr>
              <w:keepNext/>
              <w:keepLines/>
              <w:autoSpaceDE w:val="0"/>
              <w:autoSpaceDN w:val="0"/>
              <w:adjustRightInd w:val="0"/>
              <w:rPr>
                <w:rFonts w:cs="Arial"/>
                <w:sz w:val="16"/>
                <w:szCs w:val="16"/>
              </w:rPr>
            </w:pPr>
            <w:r w:rsidRPr="00F23980">
              <w:rPr>
                <w:sz w:val="16"/>
                <w:szCs w:val="16"/>
              </w:rPr>
              <w:t>4</w:t>
            </w:r>
          </w:p>
        </w:tc>
        <w:tc>
          <w:tcPr>
            <w:tcW w:w="1168" w:type="pct"/>
            <w:gridSpan w:val="4"/>
            <w:tcBorders>
              <w:top w:val="nil"/>
              <w:bottom w:val="single" w:sz="4" w:space="0" w:color="auto"/>
            </w:tcBorders>
            <w:shd w:val="clear" w:color="auto" w:fill="FFFFFF" w:themeFill="background1"/>
            <w:tcMar>
              <w:top w:w="110" w:type="dxa"/>
            </w:tcMar>
          </w:tcPr>
          <w:p w:rsidR="005177C8" w:rsidRPr="005177C8" w:rsidRDefault="005177C8" w:rsidP="005177C8">
            <w:pPr>
              <w:rPr>
                <w:rFonts w:cs="Arial"/>
                <w:sz w:val="16"/>
                <w:szCs w:val="16"/>
                <w:lang w:val="ru-RU"/>
              </w:rPr>
            </w:pPr>
            <w:r w:rsidRPr="005177C8">
              <w:rPr>
                <w:sz w:val="16"/>
                <w:szCs w:val="16"/>
                <w:lang w:val="ru-RU"/>
              </w:rPr>
              <w:t>В 2014–2015</w:t>
            </w:r>
            <w:r w:rsidRPr="00F23980">
              <w:rPr>
                <w:sz w:val="16"/>
                <w:szCs w:val="16"/>
              </w:rPr>
              <w:t> </w:t>
            </w:r>
            <w:r w:rsidRPr="005177C8">
              <w:rPr>
                <w:sz w:val="16"/>
                <w:szCs w:val="16"/>
                <w:lang w:val="ru-RU"/>
              </w:rPr>
              <w:t>гг. были автоматизированы еще два процесса (заявление о предоставлении охраны от ВГВР в 2014</w:t>
            </w:r>
            <w:r w:rsidRPr="00F23980">
              <w:rPr>
                <w:sz w:val="16"/>
                <w:szCs w:val="16"/>
              </w:rPr>
              <w:t> </w:t>
            </w:r>
            <w:r w:rsidRPr="005177C8">
              <w:rPr>
                <w:sz w:val="16"/>
                <w:szCs w:val="16"/>
                <w:lang w:val="ru-RU"/>
              </w:rPr>
              <w:t xml:space="preserve">г., а также получение и обработка поданных ненапрямую заявок КВИС) (всего 4) </w:t>
            </w:r>
          </w:p>
        </w:tc>
        <w:tc>
          <w:tcPr>
            <w:tcW w:w="779" w:type="pct"/>
            <w:gridSpan w:val="2"/>
            <w:tcBorders>
              <w:top w:val="nil"/>
              <w:bottom w:val="single" w:sz="4" w:space="0" w:color="auto"/>
            </w:tcBorders>
            <w:shd w:val="clear" w:color="auto" w:fill="auto"/>
            <w:tcMar>
              <w:top w:w="110" w:type="dxa"/>
            </w:tcMar>
          </w:tcPr>
          <w:p w:rsidR="005177C8" w:rsidRPr="00F23980" w:rsidRDefault="005177C8" w:rsidP="005177C8">
            <w:pPr>
              <w:keepNext/>
              <w:keepLines/>
              <w:jc w:val="center"/>
              <w:rPr>
                <w:rFonts w:cs="Arial"/>
                <w:b/>
                <w:bCs/>
                <w:color w:val="808080"/>
                <w:sz w:val="16"/>
                <w:szCs w:val="16"/>
              </w:rPr>
            </w:pPr>
            <w:r w:rsidRPr="00F23980">
              <w:rPr>
                <w:b/>
                <w:color w:val="00B050"/>
                <w:sz w:val="16"/>
                <w:szCs w:val="16"/>
              </w:rPr>
              <w:t>Выполнено</w:t>
            </w:r>
          </w:p>
        </w:tc>
      </w:tr>
    </w:tbl>
    <w:p w:rsidR="005177C8" w:rsidRDefault="005177C8" w:rsidP="005177C8">
      <w:pPr>
        <w:rPr>
          <w:bCs/>
          <w:sz w:val="22"/>
          <w:szCs w:val="22"/>
        </w:rPr>
      </w:pPr>
    </w:p>
    <w:p w:rsidR="005177C8" w:rsidRPr="005177C8" w:rsidRDefault="005177C8" w:rsidP="005177C8">
      <w:pPr>
        <w:keepNext/>
        <w:keepLines/>
        <w:rPr>
          <w:rFonts w:cs="Arial"/>
          <w:color w:val="000000"/>
          <w:sz w:val="22"/>
          <w:szCs w:val="22"/>
          <w:lang w:val="ru-RU"/>
        </w:rPr>
      </w:pPr>
      <w:r w:rsidRPr="005177C8">
        <w:rPr>
          <w:color w:val="000000"/>
          <w:sz w:val="22"/>
          <w:lang w:val="ru-RU"/>
        </w:rPr>
        <w:t>ОТЧЕТ О РИСКАХ В ДВУХЛЕТНИЙ ПЕРИОД</w:t>
      </w:r>
    </w:p>
    <w:p w:rsidR="005177C8" w:rsidRPr="005177C8" w:rsidRDefault="005177C8" w:rsidP="005177C8">
      <w:pPr>
        <w:keepNext/>
        <w:keepLines/>
        <w:rPr>
          <w:lang w:val="ru-RU"/>
        </w:rPr>
      </w:pPr>
    </w:p>
    <w:tbl>
      <w:tblPr>
        <w:tblW w:w="9498"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10"/>
        <w:gridCol w:w="2310"/>
        <w:gridCol w:w="2468"/>
        <w:gridCol w:w="2410"/>
      </w:tblGrid>
      <w:tr w:rsidR="005177C8" w:rsidRPr="003C527B" w:rsidTr="005177C8">
        <w:trPr>
          <w:trHeight w:val="362"/>
        </w:trPr>
        <w:tc>
          <w:tcPr>
            <w:tcW w:w="2310" w:type="dxa"/>
            <w:tcBorders>
              <w:top w:val="single" w:sz="4" w:space="0" w:color="auto"/>
              <w:bottom w:val="single" w:sz="4" w:space="0" w:color="auto"/>
            </w:tcBorders>
            <w:shd w:val="clear" w:color="auto" w:fill="C6D9F1" w:themeFill="text2" w:themeFillTint="33"/>
            <w:tcMar>
              <w:top w:w="113" w:type="dxa"/>
              <w:bottom w:w="85" w:type="dxa"/>
            </w:tcMar>
            <w:vAlign w:val="center"/>
          </w:tcPr>
          <w:p w:rsidR="005177C8" w:rsidRPr="005177C8" w:rsidRDefault="005177C8" w:rsidP="005177C8">
            <w:pPr>
              <w:keepNext/>
              <w:autoSpaceDE w:val="0"/>
              <w:autoSpaceDN w:val="0"/>
              <w:adjustRightInd w:val="0"/>
              <w:ind w:right="-59"/>
              <w:jc w:val="center"/>
              <w:rPr>
                <w:b/>
                <w:bCs/>
                <w:iCs/>
                <w:sz w:val="18"/>
                <w:szCs w:val="18"/>
                <w:lang w:val="ru-RU"/>
              </w:rPr>
            </w:pPr>
            <w:r w:rsidRPr="005177C8">
              <w:rPr>
                <w:b/>
                <w:sz w:val="18"/>
                <w:lang w:val="ru-RU"/>
              </w:rPr>
              <w:t>Риск (риски) того, что результаты программы не будут достигнуты</w:t>
            </w:r>
          </w:p>
        </w:tc>
        <w:tc>
          <w:tcPr>
            <w:tcW w:w="2310" w:type="dxa"/>
            <w:tcBorders>
              <w:top w:val="single" w:sz="4" w:space="0" w:color="auto"/>
              <w:bottom w:val="single" w:sz="4" w:space="0" w:color="auto"/>
            </w:tcBorders>
            <w:shd w:val="clear" w:color="auto" w:fill="C6D9F1" w:themeFill="text2" w:themeFillTint="33"/>
            <w:tcMar>
              <w:top w:w="113" w:type="dxa"/>
              <w:bottom w:w="85" w:type="dxa"/>
            </w:tcMar>
            <w:vAlign w:val="center"/>
          </w:tcPr>
          <w:p w:rsidR="005177C8" w:rsidRPr="005177C8" w:rsidRDefault="005177C8" w:rsidP="005177C8">
            <w:pPr>
              <w:autoSpaceDE w:val="0"/>
              <w:autoSpaceDN w:val="0"/>
              <w:adjustRightInd w:val="0"/>
              <w:ind w:right="-59"/>
              <w:jc w:val="center"/>
              <w:rPr>
                <w:b/>
                <w:bCs/>
                <w:iCs/>
                <w:sz w:val="18"/>
                <w:szCs w:val="18"/>
                <w:lang w:val="ru-RU"/>
              </w:rPr>
            </w:pPr>
            <w:r w:rsidRPr="005177C8">
              <w:rPr>
                <w:b/>
                <w:sz w:val="18"/>
                <w:lang w:val="ru-RU"/>
              </w:rPr>
              <w:t xml:space="preserve">Действующие или разрабатываемые планы по снижению рисков </w:t>
            </w:r>
          </w:p>
        </w:tc>
        <w:tc>
          <w:tcPr>
            <w:tcW w:w="2468" w:type="dxa"/>
            <w:tcBorders>
              <w:top w:val="single" w:sz="4" w:space="0" w:color="auto"/>
              <w:bottom w:val="single" w:sz="4" w:space="0" w:color="auto"/>
            </w:tcBorders>
            <w:shd w:val="clear" w:color="auto" w:fill="C6D9F1" w:themeFill="text2" w:themeFillTint="33"/>
          </w:tcPr>
          <w:p w:rsidR="005177C8" w:rsidRPr="005177C8" w:rsidRDefault="005177C8" w:rsidP="005177C8">
            <w:pPr>
              <w:jc w:val="center"/>
              <w:rPr>
                <w:b/>
                <w:bCs/>
                <w:sz w:val="18"/>
                <w:szCs w:val="18"/>
                <w:lang w:val="ru-RU"/>
              </w:rPr>
            </w:pPr>
            <w:r w:rsidRPr="005177C8">
              <w:rPr>
                <w:b/>
                <w:sz w:val="18"/>
                <w:lang w:val="ru-RU"/>
              </w:rPr>
              <w:t>Развитие риска (рисков) и стратегий его (их) снижения в двухлетний период</w:t>
            </w:r>
          </w:p>
        </w:tc>
        <w:tc>
          <w:tcPr>
            <w:tcW w:w="2410" w:type="dxa"/>
            <w:tcBorders>
              <w:top w:val="single" w:sz="4" w:space="0" w:color="auto"/>
              <w:bottom w:val="single" w:sz="4" w:space="0" w:color="auto"/>
            </w:tcBorders>
            <w:shd w:val="clear" w:color="auto" w:fill="C6D9F1" w:themeFill="text2" w:themeFillTint="33"/>
          </w:tcPr>
          <w:p w:rsidR="005177C8" w:rsidRPr="003C527B" w:rsidRDefault="005177C8" w:rsidP="005177C8">
            <w:pPr>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5177C8" w:rsidRPr="005C6ABD" w:rsidTr="005177C8">
        <w:trPr>
          <w:trHeight w:val="1051"/>
        </w:trPr>
        <w:tc>
          <w:tcPr>
            <w:tcW w:w="2310" w:type="dxa"/>
            <w:tcBorders>
              <w:top w:val="single" w:sz="4" w:space="0" w:color="auto"/>
            </w:tcBorders>
            <w:shd w:val="clear" w:color="auto" w:fill="auto"/>
            <w:tcMar>
              <w:top w:w="113" w:type="dxa"/>
              <w:bottom w:w="85" w:type="dxa"/>
            </w:tcMar>
          </w:tcPr>
          <w:p w:rsidR="005177C8" w:rsidRPr="005177C8" w:rsidRDefault="005177C8" w:rsidP="005177C8">
            <w:pPr>
              <w:keepNext/>
              <w:rPr>
                <w:sz w:val="16"/>
                <w:szCs w:val="16"/>
                <w:lang w:val="ru-RU"/>
              </w:rPr>
            </w:pPr>
            <w:r w:rsidRPr="005177C8">
              <w:rPr>
                <w:sz w:val="16"/>
                <w:lang w:val="ru-RU"/>
              </w:rPr>
              <w:t>Снижение уровня удовлетворенности пользователей из-за неспособности справиться с ростом числа заявок и просьб о предоставлении информации, а также в связи с усложнением системы в результате внедрения механизмов проведения экспертизы на предмет новизны в некоторых указанных ведомствах.</w:t>
            </w:r>
          </w:p>
        </w:tc>
        <w:tc>
          <w:tcPr>
            <w:tcW w:w="2310" w:type="dxa"/>
            <w:tcBorders>
              <w:top w:val="single" w:sz="4" w:space="0" w:color="auto"/>
            </w:tcBorders>
            <w:shd w:val="clear" w:color="auto" w:fill="auto"/>
            <w:tcMar>
              <w:top w:w="113" w:type="dxa"/>
              <w:bottom w:w="85" w:type="dxa"/>
            </w:tcMar>
          </w:tcPr>
          <w:p w:rsidR="005177C8" w:rsidRPr="005177C8" w:rsidRDefault="005177C8" w:rsidP="005177C8">
            <w:pPr>
              <w:autoSpaceDE w:val="0"/>
              <w:autoSpaceDN w:val="0"/>
              <w:adjustRightInd w:val="0"/>
              <w:ind w:right="-59"/>
              <w:rPr>
                <w:sz w:val="16"/>
                <w:szCs w:val="16"/>
                <w:lang w:val="ru-RU"/>
              </w:rPr>
            </w:pPr>
            <w:r w:rsidRPr="005177C8">
              <w:rPr>
                <w:sz w:val="16"/>
                <w:lang w:val="ru-RU"/>
              </w:rPr>
              <w:t>Повышение эффективности и действенности во всех аспектах административного управления системой; содействие распространению передовой практики и взаимодействию среди заинтересованных ведомств; разработка решений в сфере ИТ в помощь пользователям и экспертам – сотрудникам ведомств и Международного бюро.</w:t>
            </w:r>
          </w:p>
        </w:tc>
        <w:tc>
          <w:tcPr>
            <w:tcW w:w="2468" w:type="dxa"/>
            <w:tcBorders>
              <w:top w:val="single" w:sz="4" w:space="0" w:color="auto"/>
            </w:tcBorders>
          </w:tcPr>
          <w:p w:rsidR="005177C8" w:rsidRPr="005177C8" w:rsidRDefault="005177C8" w:rsidP="005177C8">
            <w:pPr>
              <w:autoSpaceDE w:val="0"/>
              <w:autoSpaceDN w:val="0"/>
              <w:adjustRightInd w:val="0"/>
              <w:ind w:right="-59"/>
              <w:rPr>
                <w:sz w:val="16"/>
                <w:szCs w:val="16"/>
                <w:lang w:val="ru-RU"/>
              </w:rPr>
            </w:pPr>
            <w:r w:rsidRPr="005177C8">
              <w:rPr>
                <w:sz w:val="16"/>
                <w:lang w:val="ru-RU"/>
              </w:rPr>
              <w:t>Этот риск постоянно присутствует при реализации программы. В ходе рассматриваемого двухлетнего периода в рамках стратегии его снижения были разработаны электронные инструменты и информационные материалы, которые позволили Международному бюро справиться с 40-процентным ростом числа заявок и поддерживать на минимальном уровне число запросов и жалоб пользователей, связанных с усложнением системы,</w:t>
            </w:r>
          </w:p>
        </w:tc>
        <w:tc>
          <w:tcPr>
            <w:tcW w:w="2410" w:type="dxa"/>
            <w:tcBorders>
              <w:top w:val="single" w:sz="4" w:space="0" w:color="auto"/>
            </w:tcBorders>
          </w:tcPr>
          <w:p w:rsidR="005177C8" w:rsidRPr="005177C8" w:rsidRDefault="005177C8" w:rsidP="005177C8">
            <w:pPr>
              <w:autoSpaceDE w:val="0"/>
              <w:autoSpaceDN w:val="0"/>
              <w:adjustRightInd w:val="0"/>
              <w:ind w:right="-59"/>
              <w:rPr>
                <w:sz w:val="16"/>
                <w:szCs w:val="16"/>
                <w:lang w:val="ru-RU"/>
              </w:rPr>
            </w:pPr>
            <w:r w:rsidRPr="005177C8">
              <w:rPr>
                <w:sz w:val="16"/>
                <w:lang w:val="ru-RU"/>
              </w:rPr>
              <w:t>Влияние отсутствует, так как рост числа заявок в 2015</w:t>
            </w:r>
            <w:r>
              <w:rPr>
                <w:sz w:val="16"/>
              </w:rPr>
              <w:t> </w:t>
            </w:r>
            <w:r w:rsidRPr="005177C8">
              <w:rPr>
                <w:sz w:val="16"/>
                <w:lang w:val="ru-RU"/>
              </w:rPr>
              <w:t>г. по сравнению с 2014</w:t>
            </w:r>
            <w:r>
              <w:rPr>
                <w:sz w:val="16"/>
              </w:rPr>
              <w:t> </w:t>
            </w:r>
            <w:r w:rsidRPr="005177C8">
              <w:rPr>
                <w:sz w:val="16"/>
                <w:lang w:val="ru-RU"/>
              </w:rPr>
              <w:t>г. был больше ожидаемого. Это значит, что общая привлекательность системы не снизилась, а на уровень удовлетворенности клиентов не было оказано негативное воздействие.</w:t>
            </w:r>
          </w:p>
        </w:tc>
      </w:tr>
    </w:tbl>
    <w:p w:rsidR="005177C8" w:rsidRPr="005177C8" w:rsidRDefault="005177C8" w:rsidP="005177C8">
      <w:pPr>
        <w:rPr>
          <w:rFonts w:cs="Arial"/>
          <w:color w:val="000000"/>
          <w:szCs w:val="22"/>
          <w:lang w:val="ru-RU"/>
        </w:rPr>
      </w:pPr>
    </w:p>
    <w:p w:rsidR="005177C8" w:rsidRPr="005177C8" w:rsidRDefault="005177C8" w:rsidP="005177C8">
      <w:pPr>
        <w:rPr>
          <w:rFonts w:cs="Arial"/>
          <w:color w:val="000000"/>
          <w:szCs w:val="22"/>
          <w:lang w:val="ru-RU"/>
        </w:rPr>
      </w:pPr>
    </w:p>
    <w:p w:rsidR="005177C8" w:rsidRDefault="005177C8">
      <w:pPr>
        <w:rPr>
          <w:color w:val="000000"/>
          <w:lang w:val="ru-RU"/>
        </w:rPr>
      </w:pPr>
      <w:r>
        <w:rPr>
          <w:color w:val="000000"/>
          <w:lang w:val="ru-RU"/>
        </w:rPr>
        <w:br w:type="page"/>
      </w:r>
    </w:p>
    <w:p w:rsidR="005177C8" w:rsidRPr="005177C8" w:rsidRDefault="005177C8" w:rsidP="005177C8">
      <w:pPr>
        <w:rPr>
          <w:b/>
          <w:sz w:val="16"/>
          <w:szCs w:val="18"/>
          <w:lang w:val="ru-RU"/>
        </w:rPr>
      </w:pPr>
      <w:r w:rsidRPr="005177C8">
        <w:rPr>
          <w:color w:val="000000"/>
          <w:lang w:val="ru-RU"/>
        </w:rPr>
        <w:t>ИСПОЛЬЗОВАНИЕ РЕСУРСОВ</w:t>
      </w:r>
    </w:p>
    <w:p w:rsidR="005177C8" w:rsidRPr="005177C8" w:rsidRDefault="005177C8" w:rsidP="005177C8">
      <w:pPr>
        <w:rPr>
          <w:szCs w:val="20"/>
          <w:lang w:val="ru-RU"/>
        </w:rPr>
      </w:pPr>
    </w:p>
    <w:p w:rsidR="005177C8" w:rsidRPr="005177C8" w:rsidRDefault="005177C8" w:rsidP="005177C8">
      <w:pPr>
        <w:pStyle w:val="NormalWeb"/>
        <w:spacing w:before="0" w:beforeAutospacing="0" w:after="0" w:afterAutospacing="0"/>
        <w:jc w:val="center"/>
        <w:rPr>
          <w:sz w:val="20"/>
          <w:szCs w:val="20"/>
          <w:lang w:val="ru-RU"/>
        </w:rPr>
      </w:pPr>
      <w:r w:rsidRPr="005177C8">
        <w:rPr>
          <w:color w:val="000000"/>
          <w:sz w:val="20"/>
          <w:lang w:val="ru-RU"/>
        </w:rPr>
        <w:t xml:space="preserve">Бюджет и фактические расходы (в разбивке по результатам) </w:t>
      </w:r>
    </w:p>
    <w:p w:rsidR="005177C8" w:rsidRDefault="005177C8" w:rsidP="005177C8">
      <w:pPr>
        <w:pStyle w:val="NormalWeb"/>
        <w:spacing w:before="0" w:beforeAutospacing="0" w:after="0" w:afterAutospacing="0"/>
        <w:jc w:val="center"/>
        <w:rPr>
          <w:i/>
          <w:iCs/>
          <w:color w:val="000000"/>
          <w:sz w:val="20"/>
          <w:szCs w:val="20"/>
        </w:rPr>
      </w:pPr>
      <w:r>
        <w:rPr>
          <w:i/>
          <w:color w:val="000000"/>
          <w:sz w:val="20"/>
        </w:rPr>
        <w:t>(в тыс. шв. франков)</w:t>
      </w:r>
    </w:p>
    <w:p w:rsidR="005177C8" w:rsidRDefault="005177C8" w:rsidP="005177C8"/>
    <w:p w:rsidR="005177C8" w:rsidRDefault="005177C8" w:rsidP="005177C8">
      <w:pPr>
        <w:jc w:val="center"/>
      </w:pPr>
      <w:r>
        <w:rPr>
          <w:noProof/>
        </w:rPr>
        <w:drawing>
          <wp:inline distT="0" distB="0" distL="0" distR="0" wp14:anchorId="759D717A" wp14:editId="341756B9">
            <wp:extent cx="6151880" cy="1665861"/>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51880" cy="1665861"/>
                    </a:xfrm>
                    <a:prstGeom prst="rect">
                      <a:avLst/>
                    </a:prstGeom>
                    <a:noFill/>
                    <a:ln>
                      <a:noFill/>
                    </a:ln>
                  </pic:spPr>
                </pic:pic>
              </a:graphicData>
            </a:graphic>
          </wp:inline>
        </w:drawing>
      </w:r>
    </w:p>
    <w:p w:rsidR="005177C8" w:rsidRDefault="005177C8" w:rsidP="005177C8"/>
    <w:p w:rsidR="005177C8" w:rsidRDefault="005177C8" w:rsidP="005177C8">
      <w:pPr>
        <w:pStyle w:val="NormalWeb"/>
        <w:keepNext/>
        <w:keepLines/>
        <w:spacing w:before="0" w:beforeAutospacing="0" w:after="0" w:afterAutospacing="0"/>
        <w:jc w:val="center"/>
        <w:rPr>
          <w:color w:val="000000"/>
          <w:sz w:val="20"/>
          <w:szCs w:val="20"/>
        </w:rPr>
      </w:pPr>
    </w:p>
    <w:p w:rsidR="005177C8" w:rsidRPr="005177C8" w:rsidRDefault="005177C8" w:rsidP="005177C8">
      <w:pPr>
        <w:pStyle w:val="NormalWeb"/>
        <w:keepNext/>
        <w:keepLines/>
        <w:spacing w:before="0" w:beforeAutospacing="0" w:after="0" w:afterAutospacing="0"/>
        <w:jc w:val="center"/>
        <w:rPr>
          <w:sz w:val="20"/>
          <w:szCs w:val="20"/>
          <w:lang w:val="ru-RU"/>
        </w:rPr>
      </w:pPr>
      <w:r w:rsidRPr="005177C8">
        <w:rPr>
          <w:color w:val="000000"/>
          <w:sz w:val="20"/>
          <w:lang w:val="ru-RU"/>
        </w:rPr>
        <w:t xml:space="preserve">Бюджет и фактические расходы (по персоналу и не связанные с персоналом) </w:t>
      </w:r>
    </w:p>
    <w:p w:rsidR="005177C8" w:rsidRPr="00383D2D" w:rsidRDefault="005177C8" w:rsidP="005177C8">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5177C8" w:rsidRDefault="005177C8" w:rsidP="005177C8">
      <w:pPr>
        <w:pStyle w:val="NormalWeb"/>
        <w:keepNext/>
        <w:keepLines/>
        <w:spacing w:before="0" w:beforeAutospacing="0" w:after="0" w:afterAutospacing="0"/>
        <w:jc w:val="center"/>
      </w:pPr>
    </w:p>
    <w:p w:rsidR="005177C8" w:rsidRDefault="005177C8" w:rsidP="005177C8">
      <w:pPr>
        <w:widowControl w:val="0"/>
        <w:autoSpaceDE w:val="0"/>
        <w:autoSpaceDN w:val="0"/>
        <w:adjustRightInd w:val="0"/>
        <w:jc w:val="center"/>
        <w:rPr>
          <w:rFonts w:cs="Arial"/>
          <w:szCs w:val="20"/>
        </w:rPr>
      </w:pPr>
      <w:r>
        <w:rPr>
          <w:rFonts w:cs="Arial"/>
          <w:noProof/>
          <w:szCs w:val="20"/>
        </w:rPr>
        <w:drawing>
          <wp:inline distT="0" distB="0" distL="0" distR="0" wp14:anchorId="7E66C55B" wp14:editId="47AE1F35">
            <wp:extent cx="6151880" cy="1328752"/>
            <wp:effectExtent l="0" t="0" r="127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51880" cy="1328752"/>
                    </a:xfrm>
                    <a:prstGeom prst="rect">
                      <a:avLst/>
                    </a:prstGeom>
                    <a:noFill/>
                    <a:ln>
                      <a:noFill/>
                    </a:ln>
                  </pic:spPr>
                </pic:pic>
              </a:graphicData>
            </a:graphic>
          </wp:inline>
        </w:drawing>
      </w:r>
    </w:p>
    <w:p w:rsidR="005177C8" w:rsidRDefault="005177C8" w:rsidP="005177C8">
      <w:pPr>
        <w:widowControl w:val="0"/>
        <w:autoSpaceDE w:val="0"/>
        <w:autoSpaceDN w:val="0"/>
        <w:adjustRightInd w:val="0"/>
        <w:rPr>
          <w:rFonts w:cs="Arial"/>
          <w:szCs w:val="20"/>
        </w:rPr>
      </w:pPr>
    </w:p>
    <w:p w:rsidR="005177C8" w:rsidRPr="008F4A6D" w:rsidRDefault="005177C8" w:rsidP="005177C8">
      <w:pPr>
        <w:widowControl w:val="0"/>
        <w:autoSpaceDE w:val="0"/>
        <w:autoSpaceDN w:val="0"/>
        <w:adjustRightInd w:val="0"/>
        <w:rPr>
          <w:rFonts w:cs="Arial"/>
          <w:szCs w:val="20"/>
        </w:rPr>
      </w:pPr>
    </w:p>
    <w:p w:rsidR="005177C8" w:rsidRPr="005177C8" w:rsidRDefault="005177C8" w:rsidP="005177C8">
      <w:pPr>
        <w:rPr>
          <w:rFonts w:cs="Arial"/>
          <w:u w:val="single"/>
          <w:lang w:val="ru-RU"/>
        </w:rPr>
      </w:pPr>
      <w:r>
        <w:t>A</w:t>
      </w:r>
      <w:r w:rsidRPr="005177C8">
        <w:rPr>
          <w:lang w:val="ru-RU"/>
        </w:rPr>
        <w:t>.</w:t>
      </w:r>
      <w:r w:rsidRPr="005177C8">
        <w:rPr>
          <w:lang w:val="ru-RU"/>
        </w:rPr>
        <w:tab/>
      </w:r>
      <w:r w:rsidRPr="005177C8">
        <w:rPr>
          <w:u w:val="single"/>
          <w:lang w:val="ru-RU"/>
        </w:rPr>
        <w:t xml:space="preserve">Итоговый бюджет на 2014–2015 гг. после перераспределения средств </w:t>
      </w:r>
    </w:p>
    <w:p w:rsidR="005177C8" w:rsidRPr="005177C8" w:rsidRDefault="005177C8" w:rsidP="005177C8">
      <w:pPr>
        <w:rPr>
          <w:rFonts w:cs="Arial"/>
          <w:u w:val="single"/>
          <w:lang w:val="ru-RU"/>
        </w:rPr>
      </w:pPr>
    </w:p>
    <w:p w:rsidR="005177C8" w:rsidRPr="005177C8" w:rsidRDefault="005177C8" w:rsidP="005177C8">
      <w:pPr>
        <w:pStyle w:val="ListParagraph"/>
        <w:numPr>
          <w:ilvl w:val="0"/>
          <w:numId w:val="38"/>
        </w:numPr>
        <w:tabs>
          <w:tab w:val="left" w:pos="709"/>
        </w:tabs>
        <w:ind w:left="0" w:firstLine="0"/>
        <w:jc w:val="both"/>
        <w:rPr>
          <w:lang w:val="ru-RU"/>
        </w:rPr>
      </w:pPr>
      <w:r w:rsidRPr="005177C8">
        <w:rPr>
          <w:lang w:val="ru-RU"/>
        </w:rPr>
        <w:t>Бюджет на 2014-2015</w:t>
      </w:r>
      <w:r>
        <w:t> </w:t>
      </w:r>
      <w:r w:rsidRPr="005177C8">
        <w:rPr>
          <w:lang w:val="ru-RU"/>
        </w:rPr>
        <w:t>гг. после перераспределения средств отражает чистый рост ресурсов, связанных с персоналом, обусловленный прежде всего: (</w:t>
      </w:r>
      <w:r>
        <w:t>i</w:t>
      </w:r>
      <w:r w:rsidRPr="005177C8">
        <w:rPr>
          <w:lang w:val="ru-RU"/>
        </w:rPr>
        <w:t>)</w:t>
      </w:r>
      <w:r>
        <w:t> </w:t>
      </w:r>
      <w:r w:rsidRPr="005177C8">
        <w:rPr>
          <w:lang w:val="ru-RU"/>
        </w:rPr>
        <w:t>временным переводом сотрудника из программы 10 (сотрудничество с некоторыми странами Европы и Азии) в данную программу для дополнительного обеспечения заседаний Рабочей группы и информационно-разъяснительных мероприятий; и (</w:t>
      </w:r>
      <w:r>
        <w:t>ii</w:t>
      </w:r>
      <w:r w:rsidRPr="005177C8">
        <w:rPr>
          <w:lang w:val="ru-RU"/>
        </w:rPr>
        <w:t>)</w:t>
      </w:r>
      <w:r>
        <w:t> </w:t>
      </w:r>
      <w:r w:rsidRPr="005177C8">
        <w:rPr>
          <w:lang w:val="ru-RU"/>
        </w:rPr>
        <w:t xml:space="preserve">передачей дополнительных ресурсов, связанных с персоналом, включая две временные должности, из программ 9 и 19 в целях содействия удовлетворению возросших потребностей в области экспертизы в связи с присоединением Японии, Республики Корея и Соединенных Штатов Америки.  Это отражено в результате </w:t>
      </w:r>
      <w:r>
        <w:t>II</w:t>
      </w:r>
      <w:r w:rsidRPr="005177C8">
        <w:rPr>
          <w:lang w:val="ru-RU"/>
        </w:rPr>
        <w:t xml:space="preserve">.5. (повышение эффективности Гаагской системы и качества ее услуг).  </w:t>
      </w:r>
    </w:p>
    <w:p w:rsidR="005177C8" w:rsidRPr="005177C8" w:rsidRDefault="005177C8" w:rsidP="005177C8">
      <w:pPr>
        <w:pStyle w:val="ListParagraph"/>
        <w:tabs>
          <w:tab w:val="left" w:pos="709"/>
        </w:tabs>
        <w:ind w:left="0"/>
        <w:jc w:val="both"/>
        <w:rPr>
          <w:lang w:val="ru-RU"/>
        </w:rPr>
      </w:pPr>
    </w:p>
    <w:p w:rsidR="005177C8" w:rsidRPr="005177C8" w:rsidRDefault="005177C8" w:rsidP="005177C8">
      <w:pPr>
        <w:pStyle w:val="ListParagraph"/>
        <w:numPr>
          <w:ilvl w:val="0"/>
          <w:numId w:val="38"/>
        </w:numPr>
        <w:tabs>
          <w:tab w:val="left" w:pos="709"/>
        </w:tabs>
        <w:ind w:left="0" w:firstLine="0"/>
        <w:jc w:val="both"/>
        <w:rPr>
          <w:lang w:val="ru-RU"/>
        </w:rPr>
      </w:pPr>
      <w:r w:rsidRPr="005177C8">
        <w:rPr>
          <w:lang w:val="ru-RU"/>
        </w:rPr>
        <w:t xml:space="preserve">Чистое сокращение объема ресурсов, не связанных с персоналом, по результату </w:t>
      </w:r>
      <w:r>
        <w:t>II</w:t>
      </w:r>
      <w:r w:rsidRPr="005177C8">
        <w:rPr>
          <w:lang w:val="ru-RU"/>
        </w:rPr>
        <w:t>.4 (более широкое и эффективное использование Гаагской системы) прежде всего связано с: (</w:t>
      </w:r>
      <w:r>
        <w:t>i</w:t>
      </w:r>
      <w:r w:rsidRPr="005177C8">
        <w:rPr>
          <w:lang w:val="ru-RU"/>
        </w:rPr>
        <w:t>)</w:t>
      </w:r>
      <w:r>
        <w:t> </w:t>
      </w:r>
      <w:r w:rsidRPr="005177C8">
        <w:rPr>
          <w:lang w:val="ru-RU"/>
        </w:rPr>
        <w:t>передачей ресурсов, не связанных с персоналом, для организации стажировки (в программу 23, которая отвечает за централизованную организацию стажировок), необходимой для обеспечения работы по присоединению новых стран; и (</w:t>
      </w:r>
      <w:r>
        <w:t>ii</w:t>
      </w:r>
      <w:r w:rsidRPr="005177C8">
        <w:rPr>
          <w:lang w:val="ru-RU"/>
        </w:rPr>
        <w:t>)</w:t>
      </w:r>
      <w:r>
        <w:t> </w:t>
      </w:r>
      <w:r w:rsidRPr="005177C8">
        <w:rPr>
          <w:lang w:val="ru-RU"/>
        </w:rPr>
        <w:t xml:space="preserve">передачей средств в программу 6 (Мадридская и Лиссабонская системы) для проведения работы, связанной с ИТ, а также для покрытия расходов на приезд новых делегатов на заседания Ассамблей Мадридского, Гаагского и Лиссабонского союзов в результате расширения этих систем. </w:t>
      </w:r>
    </w:p>
    <w:p w:rsidR="005177C8" w:rsidRPr="005177C8" w:rsidRDefault="005177C8" w:rsidP="005177C8">
      <w:pPr>
        <w:autoSpaceDE w:val="0"/>
        <w:autoSpaceDN w:val="0"/>
        <w:jc w:val="both"/>
        <w:rPr>
          <w:rFonts w:cs="Arial"/>
          <w:szCs w:val="20"/>
          <w:lang w:val="ru-RU"/>
        </w:rPr>
      </w:pPr>
    </w:p>
    <w:p w:rsidR="005177C8" w:rsidRPr="005177C8" w:rsidRDefault="005177C8" w:rsidP="005177C8">
      <w:pPr>
        <w:jc w:val="both"/>
        <w:rPr>
          <w:rFonts w:cs="Arial"/>
          <w:szCs w:val="20"/>
          <w:u w:val="single"/>
          <w:lang w:val="ru-RU"/>
        </w:rPr>
      </w:pPr>
      <w:r>
        <w:t>B</w:t>
      </w:r>
      <w:r w:rsidRPr="005177C8">
        <w:rPr>
          <w:lang w:val="ru-RU"/>
        </w:rPr>
        <w:t>.</w:t>
      </w:r>
      <w:r w:rsidRPr="005177C8">
        <w:rPr>
          <w:lang w:val="ru-RU"/>
        </w:rPr>
        <w:tab/>
      </w:r>
      <w:r w:rsidRPr="005177C8">
        <w:rPr>
          <w:u w:val="single"/>
          <w:lang w:val="ru-RU"/>
        </w:rPr>
        <w:t xml:space="preserve">Освоение бюджетных средств в 2014–2015 гг. </w:t>
      </w:r>
    </w:p>
    <w:p w:rsidR="005177C8" w:rsidRPr="005177C8" w:rsidRDefault="005177C8" w:rsidP="005177C8">
      <w:pPr>
        <w:jc w:val="both"/>
        <w:rPr>
          <w:rFonts w:cs="Arial"/>
          <w:szCs w:val="20"/>
          <w:u w:val="single"/>
          <w:lang w:val="ru-RU"/>
        </w:rPr>
      </w:pPr>
    </w:p>
    <w:p w:rsidR="00B1072F" w:rsidRPr="005177C8" w:rsidRDefault="005177C8" w:rsidP="000E148D">
      <w:pPr>
        <w:pStyle w:val="ListParagraph"/>
        <w:numPr>
          <w:ilvl w:val="0"/>
          <w:numId w:val="38"/>
        </w:numPr>
        <w:tabs>
          <w:tab w:val="left" w:pos="709"/>
        </w:tabs>
        <w:ind w:left="0" w:firstLine="0"/>
        <w:jc w:val="both"/>
        <w:rPr>
          <w:lang w:val="ru-RU"/>
        </w:rPr>
      </w:pPr>
      <w:r w:rsidRPr="005177C8">
        <w:rPr>
          <w:lang w:val="ru-RU"/>
        </w:rPr>
        <w:t>Показатель освоения бюджета программы, не связанного с персоналом, составил 81% бюджета на 2014–2015</w:t>
      </w:r>
      <w:r>
        <w:t> </w:t>
      </w:r>
      <w:r w:rsidRPr="005177C8">
        <w:rPr>
          <w:lang w:val="ru-RU"/>
        </w:rPr>
        <w:t xml:space="preserve">гг. после перераспределения средств.  Это было обусловлено прежде всего нарушением сроков реализации информационно-технологических проектов в связи с переносом на более поздние сроки присоединения некоторых стран в рамках работы по достижению результата </w:t>
      </w:r>
      <w:r>
        <w:t>II</w:t>
      </w:r>
      <w:r w:rsidRPr="005177C8">
        <w:rPr>
          <w:lang w:val="ru-RU"/>
        </w:rPr>
        <w:t>.4 (более широкое и эффективное использование Гаагской системы).</w:t>
      </w:r>
    </w:p>
    <w:p w:rsidR="00017954" w:rsidRPr="005177C8" w:rsidRDefault="00017954">
      <w:pPr>
        <w:rPr>
          <w:lang w:val="ru-RU"/>
        </w:rPr>
      </w:pPr>
      <w:r w:rsidRPr="005177C8">
        <w:rPr>
          <w:lang w:val="ru-RU"/>
        </w:rPr>
        <w:br w:type="page"/>
      </w:r>
    </w:p>
    <w:p w:rsidR="005177C8" w:rsidRPr="005177C8" w:rsidRDefault="005177C8" w:rsidP="005177C8">
      <w:pPr>
        <w:pStyle w:val="StyleHeading3BoldNounderline"/>
        <w:rPr>
          <w:b/>
          <w:lang w:val="ru-RU"/>
        </w:rPr>
      </w:pPr>
      <w:bookmarkStart w:id="72" w:name="_Toc448831256"/>
      <w:bookmarkStart w:id="73" w:name="_Toc455388111"/>
      <w:r w:rsidRPr="005177C8">
        <w:rPr>
          <w:b/>
          <w:lang w:val="ru-RU"/>
        </w:rPr>
        <w:t>Приложение к программе 31</w:t>
      </w:r>
      <w:r w:rsidR="00932DA9">
        <w:rPr>
          <w:b/>
          <w:lang w:val="ru-RU"/>
        </w:rPr>
        <w:t>:</w:t>
      </w:r>
      <w:r w:rsidRPr="005177C8">
        <w:rPr>
          <w:lang w:val="ru-RU"/>
        </w:rPr>
        <w:tab/>
      </w:r>
      <w:r w:rsidRPr="005177C8">
        <w:rPr>
          <w:b/>
          <w:lang w:val="ru-RU"/>
        </w:rPr>
        <w:t>Показатели функционирования Гаагской системы</w:t>
      </w:r>
      <w:bookmarkEnd w:id="72"/>
      <w:bookmarkEnd w:id="73"/>
    </w:p>
    <w:p w:rsidR="005177C8" w:rsidRPr="005177C8" w:rsidRDefault="005177C8" w:rsidP="005177C8">
      <w:pPr>
        <w:rPr>
          <w:rFonts w:cs="Arial"/>
          <w:b/>
          <w:lang w:val="ru-RU"/>
        </w:rPr>
      </w:pPr>
    </w:p>
    <w:p w:rsidR="005177C8" w:rsidRPr="005177C8" w:rsidRDefault="005177C8" w:rsidP="005177C8">
      <w:pPr>
        <w:rPr>
          <w:rFonts w:cs="Arial"/>
          <w:lang w:val="ru-RU"/>
        </w:rPr>
      </w:pPr>
      <w:r w:rsidRPr="005177C8">
        <w:rPr>
          <w:lang w:val="ru-RU"/>
        </w:rPr>
        <w:t>ПОКАЗАТЕЛИ РЕЗУЛЬТАТИВНОСТИ ПО ОЖИДАЕМОМУ РЕЗУЛЬТАТУ</w:t>
      </w:r>
    </w:p>
    <w:p w:rsidR="005177C8" w:rsidRPr="005177C8" w:rsidRDefault="005177C8" w:rsidP="005177C8">
      <w:pPr>
        <w:rPr>
          <w:rFonts w:cs="Arial"/>
          <w:lang w:val="ru-RU"/>
        </w:rPr>
      </w:pPr>
      <w:r w:rsidRPr="005177C8">
        <w:rPr>
          <w:lang w:val="ru-RU"/>
        </w:rPr>
        <w:t>«ПОВЫШЕНИЕ ПРОДУКТИВНОСТИ И КАЧЕСТВА УСЛУГ ГААГСКОЙ СИСТЕМЫ»</w:t>
      </w:r>
    </w:p>
    <w:p w:rsidR="005177C8" w:rsidRPr="005177C8" w:rsidRDefault="005177C8" w:rsidP="005177C8">
      <w:pPr>
        <w:rPr>
          <w:rFonts w:cs="Arial"/>
          <w:lang w:val="ru-RU"/>
        </w:rPr>
      </w:pPr>
    </w:p>
    <w:p w:rsidR="005177C8" w:rsidRPr="005177C8" w:rsidRDefault="005177C8" w:rsidP="005177C8">
      <w:pPr>
        <w:rPr>
          <w:rFonts w:cs="Arial"/>
          <w:lang w:val="ru-RU"/>
        </w:rPr>
      </w:pPr>
    </w:p>
    <w:p w:rsidR="005177C8" w:rsidRPr="005177C8" w:rsidRDefault="005177C8" w:rsidP="005177C8">
      <w:pPr>
        <w:pStyle w:val="ListParagraph"/>
        <w:numPr>
          <w:ilvl w:val="0"/>
          <w:numId w:val="42"/>
        </w:numPr>
        <w:tabs>
          <w:tab w:val="left" w:pos="0"/>
          <w:tab w:val="left" w:pos="567"/>
        </w:tabs>
        <w:ind w:left="0" w:firstLine="0"/>
        <w:contextualSpacing/>
        <w:jc w:val="both"/>
        <w:rPr>
          <w:rFonts w:cs="Arial"/>
          <w:lang w:val="ru-RU"/>
        </w:rPr>
      </w:pPr>
      <w:r w:rsidRPr="005177C8">
        <w:rPr>
          <w:lang w:val="ru-RU"/>
        </w:rPr>
        <w:t>В качестве основы показателей результативности по ожидаемому результату «Повышение продуктивности и качества услуг Гаагской системы» следует учитывать динамику следующих факторов:</w:t>
      </w:r>
    </w:p>
    <w:p w:rsidR="005177C8" w:rsidRPr="005177C8" w:rsidRDefault="005177C8" w:rsidP="005177C8">
      <w:pPr>
        <w:pStyle w:val="ListParagraph"/>
        <w:tabs>
          <w:tab w:val="left" w:pos="0"/>
          <w:tab w:val="left" w:pos="567"/>
        </w:tabs>
        <w:ind w:left="0"/>
        <w:jc w:val="both"/>
        <w:rPr>
          <w:rFonts w:cs="Arial"/>
          <w:lang w:val="ru-RU"/>
        </w:rPr>
      </w:pPr>
    </w:p>
    <w:p w:rsidR="005177C8" w:rsidRPr="00687982" w:rsidRDefault="005177C8" w:rsidP="005177C8">
      <w:pPr>
        <w:numPr>
          <w:ilvl w:val="0"/>
          <w:numId w:val="39"/>
        </w:numPr>
        <w:tabs>
          <w:tab w:val="clear" w:pos="720"/>
          <w:tab w:val="num" w:pos="1134"/>
        </w:tabs>
        <w:spacing w:after="120"/>
        <w:ind w:left="567" w:firstLine="0"/>
        <w:jc w:val="both"/>
        <w:rPr>
          <w:rFonts w:cs="Arial"/>
        </w:rPr>
      </w:pPr>
      <w:r>
        <w:t>рабочую нагрузку Гаагской системы;</w:t>
      </w:r>
    </w:p>
    <w:p w:rsidR="005177C8" w:rsidRPr="00687982" w:rsidRDefault="005177C8" w:rsidP="005177C8">
      <w:pPr>
        <w:numPr>
          <w:ilvl w:val="0"/>
          <w:numId w:val="39"/>
        </w:numPr>
        <w:tabs>
          <w:tab w:val="clear" w:pos="720"/>
          <w:tab w:val="num" w:pos="1134"/>
        </w:tabs>
        <w:spacing w:after="120"/>
        <w:ind w:left="567" w:firstLine="0"/>
        <w:jc w:val="both"/>
        <w:rPr>
          <w:rFonts w:cs="Arial"/>
        </w:rPr>
      </w:pPr>
      <w:r>
        <w:t>компоненты рабочей нагрузки;</w:t>
      </w:r>
    </w:p>
    <w:p w:rsidR="005177C8" w:rsidRPr="00687982" w:rsidRDefault="005177C8" w:rsidP="005177C8">
      <w:pPr>
        <w:numPr>
          <w:ilvl w:val="0"/>
          <w:numId w:val="39"/>
        </w:numPr>
        <w:tabs>
          <w:tab w:val="clear" w:pos="720"/>
          <w:tab w:val="num" w:pos="1134"/>
        </w:tabs>
        <w:spacing w:after="120"/>
        <w:ind w:left="567" w:firstLine="0"/>
        <w:jc w:val="both"/>
        <w:rPr>
          <w:rFonts w:cs="Arial"/>
        </w:rPr>
      </w:pPr>
      <w:r>
        <w:t>уровень автоматизации; и</w:t>
      </w:r>
    </w:p>
    <w:p w:rsidR="005177C8" w:rsidRPr="005177C8" w:rsidRDefault="005177C8" w:rsidP="005177C8">
      <w:pPr>
        <w:numPr>
          <w:ilvl w:val="0"/>
          <w:numId w:val="39"/>
        </w:numPr>
        <w:tabs>
          <w:tab w:val="clear" w:pos="720"/>
          <w:tab w:val="num" w:pos="1134"/>
        </w:tabs>
        <w:ind w:left="567" w:firstLine="0"/>
        <w:jc w:val="both"/>
        <w:rPr>
          <w:rFonts w:cs="Arial"/>
          <w:lang w:val="ru-RU"/>
        </w:rPr>
      </w:pPr>
      <w:r w:rsidRPr="005177C8">
        <w:rPr>
          <w:lang w:val="ru-RU"/>
        </w:rPr>
        <w:t>объем ресурсов, определенных с учетом рабочей нагрузки.</w:t>
      </w:r>
    </w:p>
    <w:p w:rsidR="005177C8" w:rsidRPr="005177C8" w:rsidRDefault="005177C8" w:rsidP="005177C8">
      <w:pPr>
        <w:jc w:val="both"/>
        <w:rPr>
          <w:rFonts w:cs="Arial"/>
          <w:lang w:val="ru-RU"/>
        </w:rPr>
      </w:pPr>
    </w:p>
    <w:p w:rsidR="005177C8" w:rsidRPr="005177C8" w:rsidRDefault="005177C8" w:rsidP="005177C8">
      <w:pPr>
        <w:pStyle w:val="ListParagraph"/>
        <w:numPr>
          <w:ilvl w:val="0"/>
          <w:numId w:val="42"/>
        </w:numPr>
        <w:tabs>
          <w:tab w:val="left" w:pos="0"/>
          <w:tab w:val="left" w:pos="567"/>
        </w:tabs>
        <w:ind w:left="0" w:firstLine="0"/>
        <w:contextualSpacing/>
        <w:jc w:val="both"/>
        <w:rPr>
          <w:rFonts w:cs="Arial"/>
          <w:lang w:val="ru-RU"/>
        </w:rPr>
      </w:pPr>
      <w:r w:rsidRPr="005177C8">
        <w:rPr>
          <w:lang w:val="ru-RU"/>
        </w:rPr>
        <w:t xml:space="preserve">В Международное бюро (МБ) поступает четыре основных категории документов: международные заявки, продления, изменения и решения.  Ниже представлены последние тенденции, касающиеся документов каждой из обозначенных категорий.  Кроме того, представлены дополнительные сведения о полученных заявках, например, среднее число указанных образцов.  По техническим соображениям показатель засвидетельствованных нарушений отражает данные, основанные на уже рассмотренных, а не входящих документах. </w:t>
      </w:r>
    </w:p>
    <w:p w:rsidR="005177C8" w:rsidRPr="005177C8" w:rsidRDefault="005177C8" w:rsidP="005177C8">
      <w:pPr>
        <w:pStyle w:val="ListParagraph"/>
        <w:tabs>
          <w:tab w:val="left" w:pos="0"/>
          <w:tab w:val="left" w:pos="567"/>
        </w:tabs>
        <w:ind w:left="0"/>
        <w:jc w:val="both"/>
        <w:rPr>
          <w:rFonts w:cs="Arial"/>
          <w:lang w:val="ru-RU"/>
        </w:rPr>
      </w:pPr>
    </w:p>
    <w:p w:rsidR="005177C8" w:rsidRPr="00687982" w:rsidRDefault="005177C8" w:rsidP="005177C8">
      <w:pPr>
        <w:tabs>
          <w:tab w:val="left" w:pos="567"/>
        </w:tabs>
        <w:spacing w:before="120" w:after="240"/>
        <w:rPr>
          <w:rFonts w:cs="Arial"/>
          <w:b/>
        </w:rPr>
      </w:pPr>
      <w:r>
        <w:rPr>
          <w:b/>
        </w:rPr>
        <w:t>I.</w:t>
      </w:r>
      <w:r>
        <w:tab/>
      </w:r>
      <w:r>
        <w:rPr>
          <w:b/>
        </w:rPr>
        <w:t>Входящая документация</w:t>
      </w:r>
    </w:p>
    <w:p w:rsidR="005177C8" w:rsidRPr="00687982" w:rsidRDefault="005177C8" w:rsidP="005177C8">
      <w:pPr>
        <w:spacing w:before="120" w:after="240"/>
        <w:rPr>
          <w:rFonts w:cs="Arial"/>
          <w:u w:val="single"/>
        </w:rPr>
      </w:pPr>
      <w:r>
        <w:rPr>
          <w:u w:val="single"/>
        </w:rPr>
        <w:t>Поступившие заявки</w:t>
      </w:r>
    </w:p>
    <w:p w:rsidR="005177C8" w:rsidRPr="00687982" w:rsidRDefault="005177C8" w:rsidP="005177C8">
      <w:pPr>
        <w:spacing w:before="120" w:after="240"/>
        <w:jc w:val="center"/>
        <w:rPr>
          <w:rFonts w:cs="Arial"/>
        </w:rPr>
      </w:pPr>
      <w:r>
        <w:rPr>
          <w:rFonts w:cs="Arial"/>
          <w:noProof/>
        </w:rPr>
        <w:drawing>
          <wp:inline distT="0" distB="0" distL="0" distR="0" wp14:anchorId="7DF00459" wp14:editId="7BE3D133">
            <wp:extent cx="4224191" cy="2668056"/>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230918" cy="2672305"/>
                    </a:xfrm>
                    <a:prstGeom prst="rect">
                      <a:avLst/>
                    </a:prstGeom>
                    <a:noFill/>
                    <a:ln>
                      <a:noFill/>
                    </a:ln>
                  </pic:spPr>
                </pic:pic>
              </a:graphicData>
            </a:graphic>
          </wp:inline>
        </w:drawing>
      </w:r>
    </w:p>
    <w:p w:rsidR="005177C8" w:rsidRPr="0034722D" w:rsidRDefault="005177C8" w:rsidP="005177C8">
      <w:pPr>
        <w:pStyle w:val="BodyText2"/>
        <w:numPr>
          <w:ilvl w:val="0"/>
          <w:numId w:val="43"/>
        </w:numPr>
        <w:tabs>
          <w:tab w:val="clear" w:pos="720"/>
        </w:tabs>
        <w:spacing w:after="60" w:line="240" w:lineRule="auto"/>
        <w:ind w:left="993" w:hanging="633"/>
        <w:jc w:val="both"/>
        <w:rPr>
          <w:rFonts w:cs="Arial"/>
          <w:szCs w:val="20"/>
        </w:rPr>
      </w:pPr>
      <w:r w:rsidRPr="005177C8">
        <w:rPr>
          <w:sz w:val="22"/>
          <w:lang w:val="ru-RU"/>
        </w:rPr>
        <w:t>В 2015</w:t>
      </w:r>
      <w:r>
        <w:rPr>
          <w:sz w:val="22"/>
        </w:rPr>
        <w:t> </w:t>
      </w:r>
      <w:r w:rsidRPr="005177C8">
        <w:rPr>
          <w:sz w:val="22"/>
          <w:lang w:val="ru-RU"/>
        </w:rPr>
        <w:t>г. в МБ поступило 4</w:t>
      </w:r>
      <w:r>
        <w:rPr>
          <w:sz w:val="22"/>
        </w:rPr>
        <w:t> </w:t>
      </w:r>
      <w:r w:rsidRPr="005177C8">
        <w:rPr>
          <w:sz w:val="22"/>
          <w:lang w:val="ru-RU"/>
        </w:rPr>
        <w:t>111</w:t>
      </w:r>
      <w:r>
        <w:rPr>
          <w:sz w:val="22"/>
        </w:rPr>
        <w:t> </w:t>
      </w:r>
      <w:r w:rsidRPr="005177C8">
        <w:rPr>
          <w:sz w:val="22"/>
          <w:lang w:val="ru-RU"/>
        </w:rPr>
        <w:t>международных заявок, что на 41</w:t>
      </w:r>
      <w:r>
        <w:rPr>
          <w:sz w:val="22"/>
        </w:rPr>
        <w:t> </w:t>
      </w:r>
      <w:r w:rsidRPr="005177C8">
        <w:rPr>
          <w:sz w:val="22"/>
          <w:lang w:val="ru-RU"/>
        </w:rPr>
        <w:t>процент больше, чем в 2014</w:t>
      </w:r>
      <w:r>
        <w:rPr>
          <w:sz w:val="22"/>
        </w:rPr>
        <w:t> </w:t>
      </w:r>
      <w:r w:rsidRPr="005177C8">
        <w:rPr>
          <w:sz w:val="22"/>
          <w:lang w:val="ru-RU"/>
        </w:rPr>
        <w:t>г.  Этот рост был обусловлен как заявками из Европейского союза (+352 заявки), так и получением заявок из Республики Корея (+487 заявок), Соединенных Штатов Америки (+140 заявок) и Японии (+128 заявок), которые присоединились к Гаагской системе в 2014–2015</w:t>
      </w:r>
      <w:r>
        <w:rPr>
          <w:sz w:val="22"/>
        </w:rPr>
        <w:t> </w:t>
      </w:r>
      <w:r w:rsidRPr="005177C8">
        <w:rPr>
          <w:sz w:val="22"/>
          <w:lang w:val="ru-RU"/>
        </w:rPr>
        <w:t>гг.  Общее число полученных в 2014–2015</w:t>
      </w:r>
      <w:r>
        <w:rPr>
          <w:sz w:val="22"/>
        </w:rPr>
        <w:t> </w:t>
      </w:r>
      <w:r w:rsidRPr="005177C8">
        <w:rPr>
          <w:sz w:val="22"/>
          <w:lang w:val="ru-RU"/>
        </w:rPr>
        <w:t>гг. заявок увеличилось на 26</w:t>
      </w:r>
      <w:r>
        <w:rPr>
          <w:sz w:val="22"/>
        </w:rPr>
        <w:t> </w:t>
      </w:r>
      <w:r w:rsidRPr="005177C8">
        <w:rPr>
          <w:sz w:val="22"/>
          <w:lang w:val="ru-RU"/>
        </w:rPr>
        <w:t>процентов по сравнению с 2012–2013</w:t>
      </w:r>
      <w:r>
        <w:rPr>
          <w:sz w:val="22"/>
        </w:rPr>
        <w:t> </w:t>
      </w:r>
      <w:r w:rsidRPr="005177C8">
        <w:rPr>
          <w:sz w:val="22"/>
          <w:lang w:val="ru-RU"/>
        </w:rPr>
        <w:t xml:space="preserve">гг. </w:t>
      </w:r>
      <w:r>
        <w:rPr>
          <w:sz w:val="22"/>
        </w:rPr>
        <w:t>(5 594).</w:t>
      </w:r>
    </w:p>
    <w:p w:rsidR="005177C8" w:rsidRPr="00687982" w:rsidRDefault="005177C8" w:rsidP="005177C8">
      <w:pPr>
        <w:pStyle w:val="ListParagraph"/>
        <w:ind w:left="993"/>
        <w:jc w:val="both"/>
        <w:rPr>
          <w:rFonts w:cs="Arial"/>
        </w:rPr>
      </w:pPr>
    </w:p>
    <w:p w:rsidR="005177C8" w:rsidRPr="005177C8" w:rsidRDefault="005177C8" w:rsidP="00BF61DC">
      <w:pPr>
        <w:pStyle w:val="ListParagraph"/>
        <w:numPr>
          <w:ilvl w:val="0"/>
          <w:numId w:val="132"/>
        </w:numPr>
        <w:spacing w:after="200"/>
        <w:ind w:left="993" w:hanging="426"/>
        <w:contextualSpacing/>
        <w:jc w:val="both"/>
        <w:rPr>
          <w:rFonts w:cs="Arial"/>
          <w:lang w:val="ru-RU"/>
        </w:rPr>
      </w:pPr>
      <w:r w:rsidRPr="005177C8">
        <w:rPr>
          <w:lang w:val="ru-RU"/>
        </w:rPr>
        <w:t>В 2015</w:t>
      </w:r>
      <w:r>
        <w:t> </w:t>
      </w:r>
      <w:r w:rsidRPr="005177C8">
        <w:rPr>
          <w:lang w:val="ru-RU"/>
        </w:rPr>
        <w:t>г. 93</w:t>
      </w:r>
      <w:r>
        <w:t> </w:t>
      </w:r>
      <w:r w:rsidRPr="005177C8">
        <w:rPr>
          <w:lang w:val="ru-RU"/>
        </w:rPr>
        <w:t>процента заявок было подано в электронной форме, что на четыре процента больше, чем в 2014</w:t>
      </w:r>
      <w:r>
        <w:t> </w:t>
      </w:r>
      <w:r w:rsidRPr="005177C8">
        <w:rPr>
          <w:lang w:val="ru-RU"/>
        </w:rPr>
        <w:t>г.  С 2011 по 2015</w:t>
      </w:r>
      <w:r>
        <w:t> </w:t>
      </w:r>
      <w:r w:rsidRPr="005177C8">
        <w:rPr>
          <w:lang w:val="ru-RU"/>
        </w:rPr>
        <w:t>гг. доля электронных заявок увеличилась на 14</w:t>
      </w:r>
      <w:r>
        <w:t> </w:t>
      </w:r>
      <w:r w:rsidRPr="005177C8">
        <w:rPr>
          <w:lang w:val="ru-RU"/>
        </w:rPr>
        <w:t>процентных пунктов: с 79 в 2011</w:t>
      </w:r>
      <w:r>
        <w:t> </w:t>
      </w:r>
      <w:r w:rsidRPr="005177C8">
        <w:rPr>
          <w:lang w:val="ru-RU"/>
        </w:rPr>
        <w:t>г. до</w:t>
      </w:r>
      <w:r>
        <w:t> </w:t>
      </w:r>
      <w:r w:rsidRPr="005177C8">
        <w:rPr>
          <w:lang w:val="ru-RU"/>
        </w:rPr>
        <w:t>93 в 2015</w:t>
      </w:r>
      <w:r>
        <w:t> </w:t>
      </w:r>
      <w:r w:rsidRPr="005177C8">
        <w:rPr>
          <w:lang w:val="ru-RU"/>
        </w:rPr>
        <w:t>г.</w:t>
      </w:r>
    </w:p>
    <w:p w:rsidR="005177C8" w:rsidRPr="005177C8" w:rsidRDefault="005177C8" w:rsidP="005177C8">
      <w:pPr>
        <w:rPr>
          <w:rFonts w:cs="Arial"/>
          <w:i/>
          <w:lang w:val="ru-RU"/>
        </w:rPr>
      </w:pPr>
      <w:r w:rsidRPr="005177C8">
        <w:rPr>
          <w:i/>
          <w:lang w:val="ru-RU"/>
        </w:rPr>
        <w:t>Среднее число образцов на одну заявку</w:t>
      </w:r>
    </w:p>
    <w:p w:rsidR="005177C8" w:rsidRPr="00687982" w:rsidRDefault="005177C8" w:rsidP="005177C8">
      <w:pPr>
        <w:keepNext/>
        <w:keepLines/>
        <w:tabs>
          <w:tab w:val="left" w:pos="1134"/>
        </w:tabs>
        <w:spacing w:before="120" w:after="240"/>
        <w:jc w:val="center"/>
        <w:rPr>
          <w:rFonts w:cs="Arial"/>
        </w:rPr>
      </w:pPr>
      <w:r>
        <w:rPr>
          <w:rFonts w:cs="Arial"/>
          <w:noProof/>
        </w:rPr>
        <w:drawing>
          <wp:inline distT="0" distB="0" distL="0" distR="0" wp14:anchorId="6DDD8FEE" wp14:editId="67E787C8">
            <wp:extent cx="4235411" cy="267514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235621" cy="2675276"/>
                    </a:xfrm>
                    <a:prstGeom prst="rect">
                      <a:avLst/>
                    </a:prstGeom>
                    <a:noFill/>
                    <a:ln>
                      <a:noFill/>
                    </a:ln>
                  </pic:spPr>
                </pic:pic>
              </a:graphicData>
            </a:graphic>
          </wp:inline>
        </w:drawing>
      </w:r>
    </w:p>
    <w:p w:rsidR="005177C8" w:rsidRPr="005177C8" w:rsidRDefault="005177C8" w:rsidP="00BF61DC">
      <w:pPr>
        <w:pStyle w:val="ListParagraph"/>
        <w:numPr>
          <w:ilvl w:val="0"/>
          <w:numId w:val="132"/>
        </w:numPr>
        <w:spacing w:after="200"/>
        <w:ind w:left="993" w:hanging="426"/>
        <w:contextualSpacing/>
        <w:jc w:val="both"/>
        <w:rPr>
          <w:rFonts w:cs="Arial"/>
          <w:lang w:val="ru-RU"/>
        </w:rPr>
      </w:pPr>
      <w:r w:rsidRPr="005177C8">
        <w:rPr>
          <w:lang w:val="ru-RU"/>
        </w:rPr>
        <w:t>В 2015</w:t>
      </w:r>
      <w:r>
        <w:t> </w:t>
      </w:r>
      <w:r w:rsidRPr="005177C8">
        <w:rPr>
          <w:lang w:val="ru-RU"/>
        </w:rPr>
        <w:t>г. одна заявка в среднем содержала четыре образца, что почти на один образец меньше, чем в среднем в 2014</w:t>
      </w:r>
      <w:r>
        <w:t> </w:t>
      </w:r>
      <w:r w:rsidRPr="005177C8">
        <w:rPr>
          <w:lang w:val="ru-RU"/>
        </w:rPr>
        <w:t>г.  В период 2011–2015</w:t>
      </w:r>
      <w:r>
        <w:t> </w:t>
      </w:r>
      <w:r w:rsidRPr="005177C8">
        <w:rPr>
          <w:lang w:val="ru-RU"/>
        </w:rPr>
        <w:t>гг. среднее число образцов в одной заявке варьировалось от четырех до пяти.</w:t>
      </w:r>
    </w:p>
    <w:p w:rsidR="005177C8" w:rsidRPr="005177C8" w:rsidRDefault="005177C8" w:rsidP="005177C8">
      <w:pPr>
        <w:pStyle w:val="ListParagraph"/>
        <w:ind w:left="1418"/>
        <w:jc w:val="both"/>
        <w:rPr>
          <w:rFonts w:cs="Arial"/>
          <w:lang w:val="ru-RU"/>
        </w:rPr>
      </w:pPr>
    </w:p>
    <w:p w:rsidR="005177C8" w:rsidRPr="005177C8" w:rsidRDefault="005177C8" w:rsidP="005177C8">
      <w:pPr>
        <w:pStyle w:val="ListParagraph"/>
        <w:ind w:left="1418"/>
        <w:jc w:val="both"/>
        <w:rPr>
          <w:rFonts w:cs="Arial"/>
          <w:lang w:val="ru-RU"/>
        </w:rPr>
      </w:pPr>
    </w:p>
    <w:p w:rsidR="005177C8" w:rsidRPr="005177C8" w:rsidRDefault="005177C8" w:rsidP="005177C8">
      <w:pPr>
        <w:pStyle w:val="ListParagraph"/>
        <w:keepNext/>
        <w:keepLines/>
        <w:ind w:left="567"/>
        <w:rPr>
          <w:rFonts w:cs="Arial"/>
          <w:i/>
          <w:lang w:val="ru-RU"/>
        </w:rPr>
      </w:pPr>
      <w:r w:rsidRPr="005177C8">
        <w:rPr>
          <w:i/>
          <w:lang w:val="ru-RU"/>
        </w:rPr>
        <w:t>Среднее число указаний на одну заявку</w:t>
      </w:r>
    </w:p>
    <w:p w:rsidR="005177C8" w:rsidRPr="00687982" w:rsidRDefault="005177C8" w:rsidP="005177C8">
      <w:pPr>
        <w:tabs>
          <w:tab w:val="left" w:pos="1134"/>
        </w:tabs>
        <w:spacing w:before="120" w:after="240"/>
        <w:jc w:val="center"/>
        <w:rPr>
          <w:rFonts w:cs="Arial"/>
        </w:rPr>
      </w:pPr>
      <w:r>
        <w:rPr>
          <w:rFonts w:cs="Arial"/>
          <w:noProof/>
        </w:rPr>
        <w:drawing>
          <wp:inline distT="0" distB="0" distL="0" distR="0" wp14:anchorId="3850FA45" wp14:editId="159DF126">
            <wp:extent cx="4639318" cy="2930257"/>
            <wp:effectExtent l="0" t="0" r="889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9547" cy="2930402"/>
                    </a:xfrm>
                    <a:prstGeom prst="rect">
                      <a:avLst/>
                    </a:prstGeom>
                    <a:noFill/>
                    <a:ln>
                      <a:noFill/>
                    </a:ln>
                  </pic:spPr>
                </pic:pic>
              </a:graphicData>
            </a:graphic>
          </wp:inline>
        </w:drawing>
      </w:r>
    </w:p>
    <w:p w:rsidR="005177C8" w:rsidRPr="005177C8" w:rsidRDefault="005177C8" w:rsidP="00BF61DC">
      <w:pPr>
        <w:pStyle w:val="ListParagraph"/>
        <w:numPr>
          <w:ilvl w:val="0"/>
          <w:numId w:val="132"/>
        </w:numPr>
        <w:spacing w:after="200"/>
        <w:ind w:left="993" w:hanging="426"/>
        <w:contextualSpacing/>
        <w:jc w:val="both"/>
        <w:rPr>
          <w:rFonts w:cs="Arial"/>
          <w:lang w:val="ru-RU"/>
        </w:rPr>
      </w:pPr>
      <w:r w:rsidRPr="005177C8">
        <w:rPr>
          <w:lang w:val="ru-RU"/>
        </w:rPr>
        <w:t>В 2015</w:t>
      </w:r>
      <w:r>
        <w:t> </w:t>
      </w:r>
      <w:r w:rsidRPr="005177C8">
        <w:rPr>
          <w:lang w:val="ru-RU"/>
        </w:rPr>
        <w:t>г. в одной заявке содержалось в среднем 4,5 указания, тогда как в 2014</w:t>
      </w:r>
      <w:r>
        <w:t> </w:t>
      </w:r>
      <w:r w:rsidRPr="005177C8">
        <w:rPr>
          <w:lang w:val="ru-RU"/>
        </w:rPr>
        <w:t>г. этот показатель составлял пять указаний. Это самый низкий средний уровень числа указаний на одну заявку с 2011</w:t>
      </w:r>
      <w:r>
        <w:t> </w:t>
      </w:r>
      <w:r w:rsidRPr="005177C8">
        <w:rPr>
          <w:lang w:val="ru-RU"/>
        </w:rPr>
        <w:t>г.</w:t>
      </w:r>
    </w:p>
    <w:p w:rsidR="005177C8" w:rsidRPr="005177C8" w:rsidRDefault="005177C8" w:rsidP="005177C8">
      <w:pPr>
        <w:jc w:val="both"/>
        <w:rPr>
          <w:rFonts w:cs="Arial"/>
          <w:lang w:val="ru-RU"/>
        </w:rPr>
      </w:pPr>
    </w:p>
    <w:p w:rsidR="005177C8" w:rsidRPr="00687982" w:rsidRDefault="005177C8" w:rsidP="005177C8">
      <w:pPr>
        <w:pStyle w:val="ListParagraph"/>
        <w:keepNext/>
        <w:keepLines/>
        <w:spacing w:before="120" w:after="240"/>
        <w:ind w:left="567"/>
        <w:rPr>
          <w:rFonts w:cs="Arial"/>
          <w:i/>
        </w:rPr>
      </w:pPr>
      <w:r>
        <w:rPr>
          <w:i/>
        </w:rPr>
        <w:t>Нарушения, встречающиеся в заявках: тенденции</w:t>
      </w:r>
    </w:p>
    <w:p w:rsidR="005177C8" w:rsidRPr="00687982" w:rsidRDefault="005177C8" w:rsidP="005177C8">
      <w:pPr>
        <w:pStyle w:val="ListParagraph"/>
        <w:keepNext/>
        <w:keepLines/>
        <w:spacing w:before="120" w:after="240"/>
        <w:ind w:left="1080"/>
        <w:rPr>
          <w:rFonts w:cs="Arial"/>
        </w:rPr>
      </w:pPr>
    </w:p>
    <w:p w:rsidR="005177C8" w:rsidRPr="005177C8" w:rsidRDefault="005177C8" w:rsidP="005177C8">
      <w:pPr>
        <w:pStyle w:val="ListParagraph"/>
        <w:keepNext/>
        <w:keepLines/>
        <w:numPr>
          <w:ilvl w:val="0"/>
          <w:numId w:val="42"/>
        </w:numPr>
        <w:tabs>
          <w:tab w:val="left" w:pos="0"/>
          <w:tab w:val="left" w:pos="567"/>
        </w:tabs>
        <w:ind w:left="0" w:firstLine="0"/>
        <w:contextualSpacing/>
        <w:jc w:val="both"/>
        <w:rPr>
          <w:rFonts w:cs="Arial"/>
          <w:lang w:val="ru-RU"/>
        </w:rPr>
      </w:pPr>
      <w:r w:rsidRPr="005177C8">
        <w:rPr>
          <w:lang w:val="ru-RU"/>
        </w:rPr>
        <w:t xml:space="preserve">Встречающиеся в заявках нарушения сгруппированы в десять категорий, которые перечислены ниже. </w:t>
      </w:r>
    </w:p>
    <w:p w:rsidR="005177C8" w:rsidRPr="00687982" w:rsidRDefault="005177C8" w:rsidP="005177C8">
      <w:pPr>
        <w:keepNext/>
        <w:keepLines/>
        <w:spacing w:before="120" w:after="240"/>
        <w:jc w:val="center"/>
        <w:rPr>
          <w:rFonts w:cs="Arial"/>
        </w:rPr>
      </w:pPr>
      <w:r>
        <w:rPr>
          <w:rFonts w:cs="Arial"/>
          <w:noProof/>
        </w:rPr>
        <w:drawing>
          <wp:inline distT="0" distB="0" distL="0" distR="0" wp14:anchorId="67390E9A" wp14:editId="12F214F2">
            <wp:extent cx="3831504" cy="2342942"/>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831265" cy="2342796"/>
                    </a:xfrm>
                    <a:prstGeom prst="rect">
                      <a:avLst/>
                    </a:prstGeom>
                    <a:noFill/>
                    <a:ln>
                      <a:noFill/>
                    </a:ln>
                  </pic:spPr>
                </pic:pic>
              </a:graphicData>
            </a:graphic>
          </wp:inline>
        </w:drawing>
      </w:r>
    </w:p>
    <w:p w:rsidR="005177C8" w:rsidRPr="005177C8" w:rsidRDefault="005177C8" w:rsidP="00BF61DC">
      <w:pPr>
        <w:pStyle w:val="ListParagraph"/>
        <w:numPr>
          <w:ilvl w:val="0"/>
          <w:numId w:val="132"/>
        </w:numPr>
        <w:spacing w:after="120"/>
        <w:ind w:left="992" w:hanging="425"/>
        <w:jc w:val="both"/>
        <w:rPr>
          <w:rFonts w:cs="Arial"/>
          <w:lang w:val="ru-RU"/>
        </w:rPr>
      </w:pPr>
      <w:r w:rsidRPr="005177C8">
        <w:rPr>
          <w:lang w:val="ru-RU"/>
        </w:rPr>
        <w:t>В 2015</w:t>
      </w:r>
      <w:r>
        <w:t> </w:t>
      </w:r>
      <w:r w:rsidRPr="005177C8">
        <w:rPr>
          <w:lang w:val="ru-RU"/>
        </w:rPr>
        <w:t>г. МБ обнаружило 2</w:t>
      </w:r>
      <w:r>
        <w:t> </w:t>
      </w:r>
      <w:r w:rsidRPr="005177C8">
        <w:rPr>
          <w:lang w:val="ru-RU"/>
        </w:rPr>
        <w:t>118</w:t>
      </w:r>
      <w:r>
        <w:t> </w:t>
      </w:r>
      <w:r w:rsidRPr="005177C8">
        <w:rPr>
          <w:lang w:val="ru-RU"/>
        </w:rPr>
        <w:t>нарушений в заявках, что на 36</w:t>
      </w:r>
      <w:r>
        <w:t> </w:t>
      </w:r>
      <w:r w:rsidRPr="005177C8">
        <w:rPr>
          <w:lang w:val="ru-RU"/>
        </w:rPr>
        <w:t>процентов больше, чем в 2014</w:t>
      </w:r>
      <w:r>
        <w:t> </w:t>
      </w:r>
      <w:r w:rsidRPr="005177C8">
        <w:rPr>
          <w:lang w:val="ru-RU"/>
        </w:rPr>
        <w:t xml:space="preserve">г. </w:t>
      </w:r>
    </w:p>
    <w:p w:rsidR="005177C8" w:rsidRPr="005177C8" w:rsidRDefault="005177C8" w:rsidP="00BF61DC">
      <w:pPr>
        <w:pStyle w:val="ListParagraph"/>
        <w:numPr>
          <w:ilvl w:val="0"/>
          <w:numId w:val="132"/>
        </w:numPr>
        <w:ind w:left="992" w:hanging="425"/>
        <w:contextualSpacing/>
        <w:jc w:val="both"/>
        <w:rPr>
          <w:rFonts w:cs="Arial"/>
          <w:lang w:val="ru-RU"/>
        </w:rPr>
      </w:pPr>
      <w:r w:rsidRPr="005177C8">
        <w:rPr>
          <w:lang w:val="ru-RU"/>
        </w:rPr>
        <w:t>Число нарушений всех видов увеличилось, кроме нарушений, связанных с классификацией и отсрочкой, которые совместно составляли лишь 1,5 процента от общего числа нарушений в заявках.  В 2015</w:t>
      </w:r>
      <w:r>
        <w:t> </w:t>
      </w:r>
      <w:r w:rsidRPr="005177C8">
        <w:rPr>
          <w:lang w:val="ru-RU"/>
        </w:rPr>
        <w:t>г. наибольший рост был характерен для следующих типов нарушений: воспроизведение (+129</w:t>
      </w:r>
      <w:r>
        <w:t> </w:t>
      </w:r>
      <w:r w:rsidRPr="005177C8">
        <w:rPr>
          <w:lang w:val="ru-RU"/>
        </w:rPr>
        <w:t>нарушений), указания продукта (+105</w:t>
      </w:r>
      <w:r>
        <w:t> </w:t>
      </w:r>
      <w:r w:rsidRPr="005177C8">
        <w:rPr>
          <w:lang w:val="ru-RU"/>
        </w:rPr>
        <w:t>нарушений), оформление доверенности (+99 нарушений) и платежи (+95 нарушений).</w:t>
      </w:r>
    </w:p>
    <w:p w:rsidR="005177C8" w:rsidRPr="005177C8" w:rsidRDefault="005177C8" w:rsidP="005177C8">
      <w:pPr>
        <w:ind w:left="567"/>
        <w:jc w:val="both"/>
        <w:rPr>
          <w:rFonts w:cs="Arial"/>
          <w:lang w:val="ru-RU"/>
        </w:rPr>
      </w:pPr>
    </w:p>
    <w:p w:rsidR="005177C8" w:rsidRPr="005177C8" w:rsidRDefault="005177C8" w:rsidP="005177C8">
      <w:pPr>
        <w:pStyle w:val="ListParagraph"/>
        <w:keepNext/>
        <w:keepLines/>
        <w:numPr>
          <w:ilvl w:val="0"/>
          <w:numId w:val="42"/>
        </w:numPr>
        <w:tabs>
          <w:tab w:val="left" w:pos="0"/>
          <w:tab w:val="left" w:pos="567"/>
        </w:tabs>
        <w:ind w:left="0" w:firstLine="0"/>
        <w:contextualSpacing/>
        <w:jc w:val="both"/>
        <w:rPr>
          <w:rFonts w:cs="Arial"/>
          <w:lang w:val="ru-RU"/>
        </w:rPr>
      </w:pPr>
      <w:r w:rsidRPr="005177C8">
        <w:rPr>
          <w:lang w:val="ru-RU"/>
        </w:rPr>
        <w:t xml:space="preserve">Ниже показано изменение доли заявок, содержащих нарушения или замечания по существу. </w:t>
      </w:r>
    </w:p>
    <w:p w:rsidR="005177C8" w:rsidRDefault="005177C8" w:rsidP="005177C8">
      <w:pPr>
        <w:spacing w:before="120"/>
        <w:jc w:val="center"/>
        <w:rPr>
          <w:rFonts w:cs="Arial"/>
          <w:u w:val="single"/>
        </w:rPr>
      </w:pPr>
      <w:r w:rsidRPr="009306D9">
        <w:rPr>
          <w:rFonts w:cs="Arial"/>
          <w:noProof/>
        </w:rPr>
        <w:drawing>
          <wp:inline distT="0" distB="0" distL="0" distR="0" wp14:anchorId="6C1A4A13" wp14:editId="4798A3A7">
            <wp:extent cx="4145654" cy="2618452"/>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145858" cy="2618581"/>
                    </a:xfrm>
                    <a:prstGeom prst="rect">
                      <a:avLst/>
                    </a:prstGeom>
                    <a:noFill/>
                    <a:ln>
                      <a:noFill/>
                    </a:ln>
                  </pic:spPr>
                </pic:pic>
              </a:graphicData>
            </a:graphic>
          </wp:inline>
        </w:drawing>
      </w:r>
    </w:p>
    <w:p w:rsidR="005177C8" w:rsidRDefault="005177C8" w:rsidP="005177C8">
      <w:pPr>
        <w:spacing w:before="120"/>
        <w:jc w:val="center"/>
        <w:rPr>
          <w:rFonts w:cs="Arial"/>
          <w:u w:val="single"/>
        </w:rPr>
      </w:pPr>
    </w:p>
    <w:p w:rsidR="005177C8" w:rsidRPr="00023122" w:rsidRDefault="005177C8" w:rsidP="005177C8">
      <w:pPr>
        <w:spacing w:before="120"/>
        <w:rPr>
          <w:rFonts w:cs="Arial"/>
          <w:u w:val="single"/>
        </w:rPr>
      </w:pPr>
      <w:r w:rsidRPr="005177C8">
        <w:rPr>
          <w:lang w:val="ru-RU"/>
        </w:rPr>
        <w:t>В 2015</w:t>
      </w:r>
      <w:r>
        <w:t> </w:t>
      </w:r>
      <w:r w:rsidRPr="005177C8">
        <w:rPr>
          <w:lang w:val="ru-RU"/>
        </w:rPr>
        <w:t>г. 63</w:t>
      </w:r>
      <w:r>
        <w:t> </w:t>
      </w:r>
      <w:r w:rsidRPr="005177C8">
        <w:rPr>
          <w:lang w:val="ru-RU"/>
        </w:rPr>
        <w:t xml:space="preserve">процента зарегистрированных заявок содержали хотя бы одно нарушение или замечание по существу.  </w:t>
      </w:r>
      <w:r>
        <w:t xml:space="preserve">Это на три процента больше, чем в 2014 г. </w:t>
      </w:r>
    </w:p>
    <w:p w:rsidR="005177C8" w:rsidRDefault="005177C8" w:rsidP="005177C8">
      <w:pPr>
        <w:rPr>
          <w:u w:val="single"/>
        </w:rPr>
      </w:pPr>
      <w:r>
        <w:rPr>
          <w:u w:val="single"/>
        </w:rPr>
        <w:br w:type="page"/>
      </w:r>
    </w:p>
    <w:p w:rsidR="005177C8" w:rsidRPr="00687982" w:rsidRDefault="005177C8" w:rsidP="005177C8">
      <w:pPr>
        <w:spacing w:before="120"/>
        <w:rPr>
          <w:rFonts w:cs="Arial"/>
          <w:u w:val="single"/>
        </w:rPr>
      </w:pPr>
      <w:r>
        <w:rPr>
          <w:u w:val="single"/>
        </w:rPr>
        <w:t>Продления</w:t>
      </w:r>
    </w:p>
    <w:p w:rsidR="005177C8" w:rsidRPr="00687982" w:rsidRDefault="005177C8" w:rsidP="005177C8">
      <w:pPr>
        <w:tabs>
          <w:tab w:val="left" w:pos="1134"/>
        </w:tabs>
        <w:spacing w:before="120" w:after="240"/>
        <w:jc w:val="center"/>
        <w:rPr>
          <w:rFonts w:cs="Arial"/>
        </w:rPr>
      </w:pPr>
      <w:r>
        <w:rPr>
          <w:rFonts w:cs="Arial"/>
          <w:noProof/>
        </w:rPr>
        <w:drawing>
          <wp:inline distT="0" distB="0" distL="0" distR="0" wp14:anchorId="45CB14F6" wp14:editId="1AEFEC4C">
            <wp:extent cx="4123215" cy="2601990"/>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123039" cy="2601879"/>
                    </a:xfrm>
                    <a:prstGeom prst="rect">
                      <a:avLst/>
                    </a:prstGeom>
                    <a:noFill/>
                    <a:ln>
                      <a:noFill/>
                    </a:ln>
                  </pic:spPr>
                </pic:pic>
              </a:graphicData>
            </a:graphic>
          </wp:inline>
        </w:drawing>
      </w:r>
    </w:p>
    <w:p w:rsidR="005177C8" w:rsidRPr="005177C8" w:rsidRDefault="005177C8" w:rsidP="005177C8">
      <w:pPr>
        <w:pStyle w:val="ListParagraph"/>
        <w:numPr>
          <w:ilvl w:val="0"/>
          <w:numId w:val="40"/>
        </w:numPr>
        <w:spacing w:after="120"/>
        <w:ind w:left="992" w:hanging="425"/>
        <w:jc w:val="both"/>
        <w:rPr>
          <w:rFonts w:cs="Arial"/>
          <w:lang w:val="ru-RU"/>
        </w:rPr>
      </w:pPr>
      <w:r w:rsidRPr="005177C8">
        <w:rPr>
          <w:lang w:val="ru-RU"/>
        </w:rPr>
        <w:t>В 2015</w:t>
      </w:r>
      <w:r>
        <w:t> </w:t>
      </w:r>
      <w:r w:rsidRPr="005177C8">
        <w:rPr>
          <w:lang w:val="ru-RU"/>
        </w:rPr>
        <w:t>г. число продлений увеличилось на 18</w:t>
      </w:r>
      <w:r>
        <w:t> </w:t>
      </w:r>
      <w:r w:rsidRPr="005177C8">
        <w:rPr>
          <w:lang w:val="ru-RU"/>
        </w:rPr>
        <w:t>процентов по сравнению с 2014</w:t>
      </w:r>
      <w:r>
        <w:t> </w:t>
      </w:r>
      <w:r w:rsidRPr="005177C8">
        <w:rPr>
          <w:lang w:val="ru-RU"/>
        </w:rPr>
        <w:t>г. и составило 3</w:t>
      </w:r>
      <w:r>
        <w:t> </w:t>
      </w:r>
      <w:r w:rsidRPr="005177C8">
        <w:rPr>
          <w:lang w:val="ru-RU"/>
        </w:rPr>
        <w:t xml:space="preserve">194.  </w:t>
      </w:r>
    </w:p>
    <w:p w:rsidR="005177C8" w:rsidRPr="005177C8" w:rsidRDefault="005177C8" w:rsidP="005177C8">
      <w:pPr>
        <w:pStyle w:val="ListParagraph"/>
        <w:numPr>
          <w:ilvl w:val="0"/>
          <w:numId w:val="40"/>
        </w:numPr>
        <w:spacing w:after="200"/>
        <w:ind w:left="993" w:hanging="426"/>
        <w:contextualSpacing/>
        <w:jc w:val="both"/>
        <w:rPr>
          <w:rFonts w:cs="Arial"/>
          <w:lang w:val="ru-RU"/>
        </w:rPr>
      </w:pPr>
      <w:r w:rsidRPr="005177C8">
        <w:rPr>
          <w:lang w:val="ru-RU"/>
        </w:rPr>
        <w:t>С 2012</w:t>
      </w:r>
      <w:r>
        <w:t> </w:t>
      </w:r>
      <w:r w:rsidRPr="005177C8">
        <w:rPr>
          <w:lang w:val="ru-RU"/>
        </w:rPr>
        <w:t>г. большинство продлений обрабатываются в электронной форме: в 2015</w:t>
      </w:r>
      <w:r>
        <w:t> </w:t>
      </w:r>
      <w:r w:rsidRPr="005177C8">
        <w:rPr>
          <w:lang w:val="ru-RU"/>
        </w:rPr>
        <w:t>г. таких продлений было 73</w:t>
      </w:r>
      <w:r>
        <w:t> </w:t>
      </w:r>
      <w:r w:rsidRPr="005177C8">
        <w:rPr>
          <w:lang w:val="ru-RU"/>
        </w:rPr>
        <w:t>процента, а в 2014 г. – 69 процентов</w:t>
      </w:r>
      <w:r>
        <w:rPr>
          <w:rStyle w:val="FootnoteReference"/>
        </w:rPr>
        <w:footnoteReference w:id="40"/>
      </w:r>
      <w:r w:rsidRPr="005177C8">
        <w:rPr>
          <w:lang w:val="ru-RU"/>
        </w:rPr>
        <w:t>, что говорит о росте на четыре процентных пункта.</w:t>
      </w:r>
    </w:p>
    <w:p w:rsidR="005177C8" w:rsidRPr="005177C8" w:rsidRDefault="005177C8" w:rsidP="005177C8">
      <w:pPr>
        <w:spacing w:before="120"/>
        <w:rPr>
          <w:u w:val="single"/>
          <w:lang w:val="ru-RU"/>
        </w:rPr>
      </w:pPr>
    </w:p>
    <w:p w:rsidR="005177C8" w:rsidRPr="00687982" w:rsidRDefault="005177C8" w:rsidP="005177C8">
      <w:pPr>
        <w:spacing w:before="120"/>
        <w:rPr>
          <w:rFonts w:cs="Arial"/>
          <w:u w:val="single"/>
        </w:rPr>
      </w:pPr>
      <w:r>
        <w:rPr>
          <w:u w:val="single"/>
        </w:rPr>
        <w:t>Изменения</w:t>
      </w:r>
    </w:p>
    <w:p w:rsidR="005177C8" w:rsidRPr="00687982" w:rsidRDefault="005177C8" w:rsidP="005177C8">
      <w:pPr>
        <w:spacing w:before="120" w:after="240"/>
        <w:jc w:val="center"/>
        <w:rPr>
          <w:rFonts w:cs="Arial"/>
        </w:rPr>
      </w:pPr>
      <w:r>
        <w:rPr>
          <w:rFonts w:cs="Arial"/>
          <w:noProof/>
        </w:rPr>
        <w:drawing>
          <wp:inline distT="0" distB="0" distL="0" distR="0" wp14:anchorId="0148EBAA" wp14:editId="65859A3E">
            <wp:extent cx="4078336" cy="2573668"/>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078163" cy="2573559"/>
                    </a:xfrm>
                    <a:prstGeom prst="rect">
                      <a:avLst/>
                    </a:prstGeom>
                    <a:noFill/>
                    <a:ln>
                      <a:noFill/>
                    </a:ln>
                  </pic:spPr>
                </pic:pic>
              </a:graphicData>
            </a:graphic>
          </wp:inline>
        </w:drawing>
      </w:r>
    </w:p>
    <w:p w:rsidR="005177C8" w:rsidRPr="005177C8" w:rsidRDefault="005177C8" w:rsidP="005177C8">
      <w:pPr>
        <w:pStyle w:val="ListParagraph"/>
        <w:numPr>
          <w:ilvl w:val="0"/>
          <w:numId w:val="40"/>
        </w:numPr>
        <w:ind w:left="992" w:hanging="425"/>
        <w:jc w:val="both"/>
        <w:rPr>
          <w:rFonts w:cs="Arial"/>
          <w:lang w:val="ru-RU"/>
        </w:rPr>
      </w:pPr>
      <w:r w:rsidRPr="005177C8">
        <w:rPr>
          <w:lang w:val="ru-RU"/>
        </w:rPr>
        <w:t>В 2015</w:t>
      </w:r>
      <w:r>
        <w:t> </w:t>
      </w:r>
      <w:r w:rsidRPr="005177C8">
        <w:rPr>
          <w:lang w:val="ru-RU"/>
        </w:rPr>
        <w:t>г. число запрошенных заявителями изменений международных регистраций составило 1</w:t>
      </w:r>
      <w:r>
        <w:t> </w:t>
      </w:r>
      <w:r w:rsidRPr="005177C8">
        <w:rPr>
          <w:lang w:val="ru-RU"/>
        </w:rPr>
        <w:t>018, что на четыре процента меньше, чем в 2014</w:t>
      </w:r>
      <w:r>
        <w:t> </w:t>
      </w:r>
      <w:r w:rsidRPr="005177C8">
        <w:rPr>
          <w:lang w:val="ru-RU"/>
        </w:rPr>
        <w:t xml:space="preserve">г. </w:t>
      </w:r>
    </w:p>
    <w:p w:rsidR="005177C8" w:rsidRPr="005177C8" w:rsidRDefault="005177C8" w:rsidP="005177C8">
      <w:pPr>
        <w:rPr>
          <w:rFonts w:cs="Arial"/>
          <w:lang w:val="ru-RU"/>
        </w:rPr>
      </w:pPr>
    </w:p>
    <w:p w:rsidR="005177C8" w:rsidRPr="005177C8" w:rsidRDefault="005177C8" w:rsidP="005177C8">
      <w:pPr>
        <w:rPr>
          <w:rFonts w:cs="Arial"/>
          <w:u w:val="single"/>
          <w:lang w:val="ru-RU"/>
        </w:rPr>
      </w:pPr>
      <w:r w:rsidRPr="005177C8">
        <w:rPr>
          <w:lang w:val="ru-RU"/>
        </w:rPr>
        <w:br w:type="page"/>
      </w:r>
    </w:p>
    <w:p w:rsidR="005177C8" w:rsidRPr="00687982" w:rsidRDefault="005177C8" w:rsidP="005177C8">
      <w:pPr>
        <w:rPr>
          <w:rFonts w:cs="Arial"/>
          <w:u w:val="single"/>
        </w:rPr>
      </w:pPr>
      <w:r>
        <w:rPr>
          <w:u w:val="single"/>
        </w:rPr>
        <w:t>Решения</w:t>
      </w:r>
    </w:p>
    <w:p w:rsidR="005177C8" w:rsidRPr="00687982" w:rsidRDefault="005177C8" w:rsidP="005177C8">
      <w:pPr>
        <w:tabs>
          <w:tab w:val="left" w:pos="1134"/>
        </w:tabs>
        <w:spacing w:before="120" w:after="240"/>
        <w:jc w:val="center"/>
        <w:rPr>
          <w:rFonts w:cs="Arial"/>
        </w:rPr>
      </w:pPr>
      <w:r>
        <w:rPr>
          <w:rFonts w:cs="Arial"/>
          <w:noProof/>
        </w:rPr>
        <w:drawing>
          <wp:inline distT="0" distB="0" distL="0" distR="0" wp14:anchorId="517B3349" wp14:editId="7E6B58FF">
            <wp:extent cx="3999799" cy="2524107"/>
            <wp:effectExtent l="0" t="0" r="127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99629" cy="2524000"/>
                    </a:xfrm>
                    <a:prstGeom prst="rect">
                      <a:avLst/>
                    </a:prstGeom>
                    <a:noFill/>
                    <a:ln>
                      <a:noFill/>
                    </a:ln>
                  </pic:spPr>
                </pic:pic>
              </a:graphicData>
            </a:graphic>
          </wp:inline>
        </w:drawing>
      </w:r>
    </w:p>
    <w:p w:rsidR="005177C8" w:rsidRPr="005177C8" w:rsidRDefault="005177C8" w:rsidP="00BF61DC">
      <w:pPr>
        <w:pStyle w:val="ListParagraph"/>
        <w:numPr>
          <w:ilvl w:val="0"/>
          <w:numId w:val="135"/>
        </w:numPr>
        <w:spacing w:after="120"/>
        <w:ind w:left="992" w:hanging="425"/>
        <w:rPr>
          <w:rFonts w:cs="Arial"/>
          <w:lang w:val="ru-RU"/>
        </w:rPr>
      </w:pPr>
      <w:r w:rsidRPr="005177C8">
        <w:rPr>
          <w:lang w:val="ru-RU"/>
        </w:rPr>
        <w:t>Число полученных в 2015</w:t>
      </w:r>
      <w:r>
        <w:t> </w:t>
      </w:r>
      <w:r w:rsidRPr="005177C8">
        <w:rPr>
          <w:lang w:val="ru-RU"/>
        </w:rPr>
        <w:t>г. решений повысилось на 25</w:t>
      </w:r>
      <w:r>
        <w:t> </w:t>
      </w:r>
      <w:r w:rsidRPr="005177C8">
        <w:rPr>
          <w:lang w:val="ru-RU"/>
        </w:rPr>
        <w:t>процентов по сравнению с 2014</w:t>
      </w:r>
      <w:r>
        <w:t> </w:t>
      </w:r>
      <w:r w:rsidRPr="005177C8">
        <w:rPr>
          <w:lang w:val="ru-RU"/>
        </w:rPr>
        <w:t>г.: с 3</w:t>
      </w:r>
      <w:r>
        <w:t> </w:t>
      </w:r>
      <w:r w:rsidRPr="005177C8">
        <w:rPr>
          <w:lang w:val="ru-RU"/>
        </w:rPr>
        <w:t>169 до 3</w:t>
      </w:r>
      <w:r>
        <w:t> </w:t>
      </w:r>
      <w:r w:rsidRPr="005177C8">
        <w:rPr>
          <w:lang w:val="ru-RU"/>
        </w:rPr>
        <w:t xml:space="preserve">961. </w:t>
      </w:r>
    </w:p>
    <w:p w:rsidR="005177C8" w:rsidRPr="005177C8" w:rsidRDefault="005177C8" w:rsidP="00BF61DC">
      <w:pPr>
        <w:pStyle w:val="ListParagraph"/>
        <w:numPr>
          <w:ilvl w:val="0"/>
          <w:numId w:val="135"/>
        </w:numPr>
        <w:spacing w:after="200"/>
        <w:ind w:left="993" w:hanging="426"/>
        <w:contextualSpacing/>
        <w:rPr>
          <w:rFonts w:cs="Arial"/>
          <w:lang w:val="ru-RU"/>
        </w:rPr>
      </w:pPr>
      <w:r w:rsidRPr="005177C8">
        <w:rPr>
          <w:lang w:val="ru-RU"/>
        </w:rPr>
        <w:t>С 2011</w:t>
      </w:r>
      <w:r>
        <w:t> </w:t>
      </w:r>
      <w:r w:rsidRPr="005177C8">
        <w:rPr>
          <w:lang w:val="ru-RU"/>
        </w:rPr>
        <w:t>г. порядка 68–72</w:t>
      </w:r>
      <w:r>
        <w:t> </w:t>
      </w:r>
      <w:r w:rsidRPr="005177C8">
        <w:rPr>
          <w:lang w:val="ru-RU"/>
        </w:rPr>
        <w:t>процентов решений обрабатываются автоматически.</w:t>
      </w:r>
    </w:p>
    <w:p w:rsidR="005177C8" w:rsidRPr="005177C8" w:rsidRDefault="005177C8" w:rsidP="005177C8">
      <w:pPr>
        <w:pStyle w:val="ListParagraph"/>
        <w:spacing w:before="120" w:after="240"/>
        <w:rPr>
          <w:rFonts w:cs="Arial"/>
          <w:lang w:val="ru-RU"/>
        </w:rPr>
      </w:pPr>
    </w:p>
    <w:p w:rsidR="005177C8" w:rsidRPr="005177C8" w:rsidRDefault="005177C8" w:rsidP="005177C8">
      <w:pPr>
        <w:pStyle w:val="ListParagraph"/>
        <w:rPr>
          <w:rFonts w:cs="Arial"/>
          <w:lang w:val="ru-RU"/>
        </w:rPr>
      </w:pPr>
    </w:p>
    <w:p w:rsidR="005177C8" w:rsidRPr="00687982" w:rsidRDefault="005177C8" w:rsidP="005177C8">
      <w:pPr>
        <w:tabs>
          <w:tab w:val="left" w:pos="567"/>
        </w:tabs>
        <w:rPr>
          <w:rFonts w:cs="Arial"/>
          <w:b/>
        </w:rPr>
      </w:pPr>
      <w:r>
        <w:rPr>
          <w:b/>
        </w:rPr>
        <w:t>II.</w:t>
      </w:r>
      <w:r>
        <w:tab/>
      </w:r>
      <w:r>
        <w:rPr>
          <w:b/>
        </w:rPr>
        <w:t xml:space="preserve">Общая рабочая нагрузка </w:t>
      </w:r>
    </w:p>
    <w:p w:rsidR="005177C8" w:rsidRPr="00687982" w:rsidRDefault="005177C8" w:rsidP="005177C8">
      <w:pPr>
        <w:pStyle w:val="ListParagraph"/>
        <w:ind w:left="1080"/>
        <w:jc w:val="both"/>
        <w:rPr>
          <w:rFonts w:cs="Arial"/>
        </w:rPr>
      </w:pPr>
    </w:p>
    <w:p w:rsidR="005177C8" w:rsidRPr="005177C8" w:rsidRDefault="005177C8" w:rsidP="005177C8">
      <w:pPr>
        <w:pStyle w:val="ListParagraph"/>
        <w:numPr>
          <w:ilvl w:val="0"/>
          <w:numId w:val="42"/>
        </w:numPr>
        <w:tabs>
          <w:tab w:val="left" w:pos="0"/>
          <w:tab w:val="left" w:pos="567"/>
        </w:tabs>
        <w:ind w:left="0" w:firstLine="0"/>
        <w:contextualSpacing/>
        <w:jc w:val="both"/>
        <w:rPr>
          <w:rFonts w:cs="Arial"/>
          <w:lang w:val="ru-RU"/>
        </w:rPr>
      </w:pPr>
      <w:r w:rsidRPr="005177C8">
        <w:rPr>
          <w:lang w:val="ru-RU"/>
        </w:rPr>
        <w:t>Под общей рабочей нагрузкой понимается взвешенный показатель общего числа документов, получаемых МБ.  При этом учитываются все четыре категории документов (заявки, продления, изменения и решения).</w:t>
      </w:r>
    </w:p>
    <w:p w:rsidR="005177C8" w:rsidRPr="005177C8" w:rsidRDefault="005177C8" w:rsidP="005177C8">
      <w:pPr>
        <w:pStyle w:val="ListParagraph"/>
        <w:tabs>
          <w:tab w:val="left" w:pos="0"/>
          <w:tab w:val="left" w:pos="567"/>
        </w:tabs>
        <w:ind w:left="0"/>
        <w:jc w:val="both"/>
        <w:rPr>
          <w:rFonts w:cs="Arial"/>
          <w:lang w:val="ru-RU"/>
        </w:rPr>
      </w:pPr>
    </w:p>
    <w:p w:rsidR="005177C8" w:rsidRPr="00E30FB5" w:rsidRDefault="005177C8" w:rsidP="005177C8">
      <w:pPr>
        <w:pStyle w:val="ListParagraph"/>
        <w:numPr>
          <w:ilvl w:val="0"/>
          <w:numId w:val="42"/>
        </w:numPr>
        <w:spacing w:after="240"/>
        <w:ind w:left="0" w:firstLine="0"/>
        <w:contextualSpacing/>
        <w:jc w:val="both"/>
        <w:rPr>
          <w:rFonts w:cs="Arial"/>
        </w:rPr>
      </w:pPr>
      <w:r w:rsidRPr="005177C8">
        <w:rPr>
          <w:lang w:val="ru-RU"/>
        </w:rPr>
        <w:t>Поскольку при обработке разных видов документов требуется неодинаковый объем ресурсов, для каждой категории задается свой весовой показатель.  На настоящий момент согласно системе весовых показателей, за время, которое занимает обработка одной международной заявки, эксперт может обработать 8</w:t>
      </w:r>
      <w:r>
        <w:t> </w:t>
      </w:r>
      <w:r w:rsidRPr="005177C8">
        <w:rPr>
          <w:lang w:val="ru-RU"/>
        </w:rPr>
        <w:t>продлений, 4</w:t>
      </w:r>
      <w:r>
        <w:t> </w:t>
      </w:r>
      <w:r w:rsidRPr="005177C8">
        <w:rPr>
          <w:lang w:val="ru-RU"/>
        </w:rPr>
        <w:t>изменения или 4</w:t>
      </w:r>
      <w:r>
        <w:t> </w:t>
      </w:r>
      <w:r w:rsidRPr="005177C8">
        <w:rPr>
          <w:lang w:val="ru-RU"/>
        </w:rPr>
        <w:t>решения (то есть коэффициенты рабочей нагрузки составляют 1:8:4:4).</w:t>
      </w:r>
      <w:r>
        <w:t> </w:t>
      </w:r>
      <w:r w:rsidRPr="005177C8">
        <w:rPr>
          <w:lang w:val="ru-RU"/>
        </w:rPr>
        <w:t xml:space="preserve">  В 2014–2015</w:t>
      </w:r>
      <w:r>
        <w:t> </w:t>
      </w:r>
      <w:r w:rsidRPr="005177C8">
        <w:rPr>
          <w:lang w:val="ru-RU"/>
        </w:rPr>
        <w:t>гг. в связи с повышением уровня сложности других документов, в частности решений ведомств, экспертиза международных заявок в целом тоже стала более сложной.</w:t>
      </w:r>
      <w:r>
        <w:t> </w:t>
      </w:r>
      <w:r w:rsidRPr="005177C8">
        <w:rPr>
          <w:lang w:val="ru-RU"/>
        </w:rPr>
        <w:t xml:space="preserve"> </w:t>
      </w:r>
      <w:r>
        <w:t>Тем не менее коэффициенты рабочей нагрузки остались прежними.</w:t>
      </w:r>
    </w:p>
    <w:p w:rsidR="005177C8" w:rsidRPr="00687982" w:rsidRDefault="005177C8" w:rsidP="005177C8">
      <w:pPr>
        <w:pStyle w:val="ListParagraph"/>
        <w:tabs>
          <w:tab w:val="left" w:pos="0"/>
          <w:tab w:val="left" w:pos="567"/>
        </w:tabs>
        <w:ind w:left="0"/>
        <w:jc w:val="both"/>
        <w:rPr>
          <w:rFonts w:cs="Arial"/>
        </w:rPr>
      </w:pPr>
      <w:r>
        <w:t xml:space="preserve"> </w:t>
      </w:r>
    </w:p>
    <w:p w:rsidR="005177C8" w:rsidRPr="00687982" w:rsidRDefault="005177C8" w:rsidP="005177C8">
      <w:pPr>
        <w:jc w:val="center"/>
        <w:rPr>
          <w:rFonts w:cs="Arial"/>
        </w:rPr>
      </w:pPr>
      <w:r>
        <w:rPr>
          <w:rFonts w:cs="Arial"/>
          <w:noProof/>
        </w:rPr>
        <w:drawing>
          <wp:inline distT="0" distB="0" distL="0" distR="0" wp14:anchorId="77423AE6" wp14:editId="42DA8AF5">
            <wp:extent cx="5059390" cy="2328048"/>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062166" cy="2329325"/>
                    </a:xfrm>
                    <a:prstGeom prst="rect">
                      <a:avLst/>
                    </a:prstGeom>
                    <a:noFill/>
                    <a:ln>
                      <a:noFill/>
                    </a:ln>
                  </pic:spPr>
                </pic:pic>
              </a:graphicData>
            </a:graphic>
          </wp:inline>
        </w:drawing>
      </w:r>
    </w:p>
    <w:p w:rsidR="005177C8" w:rsidRPr="00687982" w:rsidRDefault="005177C8" w:rsidP="005177C8">
      <w:pPr>
        <w:jc w:val="center"/>
        <w:rPr>
          <w:rFonts w:cs="Arial"/>
        </w:rPr>
      </w:pPr>
    </w:p>
    <w:p w:rsidR="005177C8" w:rsidRPr="005177C8" w:rsidRDefault="005177C8" w:rsidP="005177C8">
      <w:pPr>
        <w:pStyle w:val="ListParagraph"/>
        <w:numPr>
          <w:ilvl w:val="0"/>
          <w:numId w:val="41"/>
        </w:numPr>
        <w:spacing w:before="240" w:after="120"/>
        <w:jc w:val="both"/>
        <w:rPr>
          <w:rFonts w:cs="Arial"/>
          <w:lang w:val="ru-RU"/>
        </w:rPr>
      </w:pPr>
      <w:r w:rsidRPr="005177C8">
        <w:rPr>
          <w:lang w:val="ru-RU"/>
        </w:rPr>
        <w:t>В 2015</w:t>
      </w:r>
      <w:r>
        <w:t> </w:t>
      </w:r>
      <w:r w:rsidRPr="005177C8">
        <w:rPr>
          <w:lang w:val="ru-RU"/>
        </w:rPr>
        <w:t>г. объем общей рабочей нагрузки вырос на 35</w:t>
      </w:r>
      <w:r>
        <w:t> </w:t>
      </w:r>
      <w:r w:rsidRPr="005177C8">
        <w:rPr>
          <w:lang w:val="ru-RU"/>
        </w:rPr>
        <w:t>процентов по сравнению с 2014</w:t>
      </w:r>
      <w:r>
        <w:t> </w:t>
      </w:r>
      <w:r w:rsidRPr="005177C8">
        <w:rPr>
          <w:lang w:val="ru-RU"/>
        </w:rPr>
        <w:t>г.  Общая рабочая нагрузка в рассматриваемый двухлетний период возросла на 22</w:t>
      </w:r>
      <w:r>
        <w:t> </w:t>
      </w:r>
      <w:r w:rsidRPr="005177C8">
        <w:rPr>
          <w:lang w:val="ru-RU"/>
        </w:rPr>
        <w:t>процента по сравнению с 2012–2013</w:t>
      </w:r>
      <w:r>
        <w:t> </w:t>
      </w:r>
      <w:r w:rsidRPr="005177C8">
        <w:rPr>
          <w:lang w:val="ru-RU"/>
        </w:rPr>
        <w:t>гг.  С 2011 по 2015</w:t>
      </w:r>
      <w:r>
        <w:t> </w:t>
      </w:r>
      <w:r w:rsidRPr="005177C8">
        <w:rPr>
          <w:lang w:val="ru-RU"/>
        </w:rPr>
        <w:t>г. увеличение рабочей нагрузки было главным образом связано с ростом числа полученных заявок.</w:t>
      </w:r>
    </w:p>
    <w:p w:rsidR="005177C8" w:rsidRPr="005177C8" w:rsidRDefault="005177C8" w:rsidP="005177C8">
      <w:pPr>
        <w:pStyle w:val="ListParagraph"/>
        <w:numPr>
          <w:ilvl w:val="0"/>
          <w:numId w:val="41"/>
        </w:numPr>
        <w:spacing w:before="240" w:after="120"/>
        <w:jc w:val="both"/>
        <w:rPr>
          <w:rFonts w:cs="Arial"/>
          <w:lang w:val="ru-RU"/>
        </w:rPr>
      </w:pPr>
      <w:r w:rsidRPr="005177C8">
        <w:rPr>
          <w:lang w:val="ru-RU"/>
        </w:rPr>
        <w:t>В 2015</w:t>
      </w:r>
      <w:r>
        <w:t> </w:t>
      </w:r>
      <w:r w:rsidRPr="005177C8">
        <w:rPr>
          <w:lang w:val="ru-RU"/>
        </w:rPr>
        <w:t>г. только на заявки приходилось 79 процентов рабочей нагрузки, что на три процента больше, чем в 2014</w:t>
      </w:r>
      <w:r>
        <w:t> </w:t>
      </w:r>
      <w:r w:rsidRPr="005177C8">
        <w:rPr>
          <w:lang w:val="ru-RU"/>
        </w:rPr>
        <w:t xml:space="preserve">г.  </w:t>
      </w:r>
    </w:p>
    <w:p w:rsidR="005177C8" w:rsidRPr="005177C8" w:rsidRDefault="005177C8" w:rsidP="005177C8">
      <w:pPr>
        <w:rPr>
          <w:rFonts w:cs="Arial"/>
          <w:lang w:val="ru-RU"/>
        </w:rPr>
      </w:pPr>
    </w:p>
    <w:p w:rsidR="005177C8" w:rsidRPr="005177C8" w:rsidRDefault="005177C8" w:rsidP="005177C8">
      <w:pPr>
        <w:tabs>
          <w:tab w:val="left" w:pos="567"/>
        </w:tabs>
        <w:rPr>
          <w:rFonts w:cs="Arial"/>
          <w:b/>
          <w:lang w:val="ru-RU"/>
        </w:rPr>
      </w:pPr>
      <w:r>
        <w:rPr>
          <w:b/>
        </w:rPr>
        <w:t>III</w:t>
      </w:r>
      <w:r w:rsidRPr="005177C8">
        <w:rPr>
          <w:b/>
          <w:lang w:val="ru-RU"/>
        </w:rPr>
        <w:t>.</w:t>
      </w:r>
      <w:r w:rsidRPr="005177C8">
        <w:rPr>
          <w:lang w:val="ru-RU"/>
        </w:rPr>
        <w:tab/>
      </w:r>
      <w:r w:rsidRPr="005177C8">
        <w:rPr>
          <w:b/>
          <w:lang w:val="ru-RU"/>
        </w:rPr>
        <w:t>Стоимость обработки</w:t>
      </w:r>
    </w:p>
    <w:p w:rsidR="005177C8" w:rsidRPr="005177C8" w:rsidRDefault="005177C8" w:rsidP="005177C8">
      <w:pPr>
        <w:pStyle w:val="ListParagraph"/>
        <w:ind w:left="1080"/>
        <w:rPr>
          <w:rFonts w:cs="Arial"/>
          <w:lang w:val="ru-RU"/>
        </w:rPr>
      </w:pPr>
    </w:p>
    <w:p w:rsidR="005177C8" w:rsidRPr="005177C8" w:rsidRDefault="005177C8" w:rsidP="005177C8">
      <w:pPr>
        <w:rPr>
          <w:rFonts w:cs="Arial"/>
          <w:u w:val="single"/>
          <w:lang w:val="ru-RU"/>
        </w:rPr>
      </w:pPr>
      <w:r w:rsidRPr="005177C8">
        <w:rPr>
          <w:u w:val="single"/>
          <w:lang w:val="ru-RU"/>
        </w:rPr>
        <w:t>Общие производственные издержки</w:t>
      </w:r>
    </w:p>
    <w:p w:rsidR="005177C8" w:rsidRPr="005177C8" w:rsidRDefault="005177C8" w:rsidP="005177C8">
      <w:pPr>
        <w:pStyle w:val="ListParagraph"/>
        <w:ind w:left="1080"/>
        <w:jc w:val="both"/>
        <w:rPr>
          <w:rFonts w:cs="Arial"/>
          <w:lang w:val="ru-RU"/>
        </w:rPr>
      </w:pPr>
    </w:p>
    <w:p w:rsidR="005177C8" w:rsidRPr="005177C8" w:rsidRDefault="005177C8" w:rsidP="005177C8">
      <w:pPr>
        <w:pStyle w:val="ListParagraph"/>
        <w:numPr>
          <w:ilvl w:val="0"/>
          <w:numId w:val="42"/>
        </w:numPr>
        <w:spacing w:after="240"/>
        <w:ind w:left="0" w:firstLine="0"/>
        <w:contextualSpacing/>
        <w:jc w:val="both"/>
        <w:rPr>
          <w:rFonts w:cs="Arial"/>
          <w:lang w:val="ru-RU"/>
        </w:rPr>
      </w:pPr>
      <w:r w:rsidRPr="005177C8">
        <w:rPr>
          <w:lang w:val="ru-RU"/>
        </w:rPr>
        <w:t>Общие производственные затраты включают в себя расходы, связанные исключительно с Гаагской системой, и расходы на деятельность по обеспечению работы этой системы</w:t>
      </w:r>
      <w:r>
        <w:rPr>
          <w:rStyle w:val="FootnoteReference"/>
        </w:rPr>
        <w:footnoteReference w:id="41"/>
      </w:r>
      <w:r w:rsidRPr="005177C8">
        <w:rPr>
          <w:lang w:val="ru-RU"/>
        </w:rPr>
        <w:t xml:space="preserve">. </w:t>
      </w:r>
    </w:p>
    <w:p w:rsidR="005177C8" w:rsidRPr="005177C8" w:rsidRDefault="005177C8" w:rsidP="005177C8">
      <w:pPr>
        <w:pStyle w:val="ListParagraph"/>
        <w:tabs>
          <w:tab w:val="left" w:pos="0"/>
          <w:tab w:val="left" w:pos="567"/>
        </w:tabs>
        <w:jc w:val="both"/>
        <w:rPr>
          <w:rFonts w:cs="Arial"/>
          <w:lang w:val="ru-RU"/>
        </w:rPr>
      </w:pPr>
    </w:p>
    <w:p w:rsidR="005177C8" w:rsidRPr="005177C8" w:rsidRDefault="005177C8" w:rsidP="005177C8">
      <w:pPr>
        <w:pStyle w:val="ListParagraph"/>
        <w:numPr>
          <w:ilvl w:val="0"/>
          <w:numId w:val="42"/>
        </w:numPr>
        <w:spacing w:after="240"/>
        <w:ind w:left="0" w:firstLine="0"/>
        <w:contextualSpacing/>
        <w:jc w:val="both"/>
        <w:rPr>
          <w:rFonts w:cs="Arial"/>
          <w:lang w:val="ru-RU"/>
        </w:rPr>
      </w:pPr>
      <w:r w:rsidRPr="005177C8">
        <w:rPr>
          <w:lang w:val="ru-RU"/>
        </w:rPr>
        <w:t>Расходы, связанные исключительно с Гаагской системой, включают в себя расходы по программе 31 (Гаагская система) и около семи процентов расходов канцелярии заместителя Генерального директора, курирующего Сектор брендов и промышленных образцов (программа 6: Мадридская и Лиссабонская системы)</w:t>
      </w:r>
      <w:r>
        <w:rPr>
          <w:vertAlign w:val="superscript"/>
        </w:rPr>
        <w:footnoteReference w:id="42"/>
      </w:r>
      <w:r w:rsidRPr="005177C8">
        <w:rPr>
          <w:lang w:val="ru-RU"/>
        </w:rPr>
        <w:t>.</w:t>
      </w:r>
    </w:p>
    <w:p w:rsidR="005177C8" w:rsidRPr="005177C8" w:rsidRDefault="005177C8" w:rsidP="005177C8">
      <w:pPr>
        <w:pStyle w:val="ListParagraph"/>
        <w:tabs>
          <w:tab w:val="left" w:pos="0"/>
          <w:tab w:val="left" w:pos="567"/>
        </w:tabs>
        <w:jc w:val="both"/>
        <w:rPr>
          <w:rFonts w:cs="Arial"/>
          <w:lang w:val="ru-RU"/>
        </w:rPr>
      </w:pPr>
    </w:p>
    <w:p w:rsidR="005177C8" w:rsidRPr="005177C8" w:rsidRDefault="005177C8" w:rsidP="005177C8">
      <w:pPr>
        <w:pStyle w:val="ListParagraph"/>
        <w:numPr>
          <w:ilvl w:val="0"/>
          <w:numId w:val="42"/>
        </w:numPr>
        <w:spacing w:after="240"/>
        <w:ind w:left="0" w:firstLine="0"/>
        <w:contextualSpacing/>
        <w:jc w:val="both"/>
        <w:rPr>
          <w:rFonts w:cs="Arial"/>
          <w:lang w:val="ru-RU"/>
        </w:rPr>
      </w:pPr>
      <w:r w:rsidRPr="005177C8">
        <w:rPr>
          <w:lang w:val="ru-RU"/>
        </w:rPr>
        <w:t>Расходы на деятельность по обеспечению работы Гаагской системы включают в себя расходы на следующие общие услуги: конференционные и лингвистические услуги, строительство, исполнительное руководство, финансы и бюджет, административная поддержка, управление людскими ресурсами, внутренний надзор, ИТ, а также охрана и безопасность. Небольшая доля этих расходов (стоимость размещения серверного оборудования в МВЦООН и доля расходов Секции управления доходами Финансового отдела) напрямую связана с Гаагской системой, тогда как остальные подобные расходы, относящиеся к Гаагской системе, рассчитываются на основе числа сотрудников (включая сотрудников, имеющих срочные и временные контракты, а также стипендиатов).</w:t>
      </w:r>
    </w:p>
    <w:p w:rsidR="005177C8" w:rsidRPr="00687982" w:rsidRDefault="005177C8" w:rsidP="005177C8">
      <w:pPr>
        <w:pStyle w:val="ListParagraph"/>
        <w:ind w:left="0"/>
        <w:jc w:val="center"/>
        <w:rPr>
          <w:rFonts w:cs="Arial"/>
        </w:rPr>
      </w:pPr>
      <w:r>
        <w:rPr>
          <w:rFonts w:cs="Arial"/>
          <w:noProof/>
        </w:rPr>
        <w:drawing>
          <wp:inline distT="0" distB="0" distL="0" distR="0" wp14:anchorId="5511A727" wp14:editId="21466E51">
            <wp:extent cx="4364437" cy="2609600"/>
            <wp:effectExtent l="0" t="0" r="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366549" cy="2610863"/>
                    </a:xfrm>
                    <a:prstGeom prst="rect">
                      <a:avLst/>
                    </a:prstGeom>
                    <a:noFill/>
                    <a:ln>
                      <a:noFill/>
                    </a:ln>
                  </pic:spPr>
                </pic:pic>
              </a:graphicData>
            </a:graphic>
          </wp:inline>
        </w:drawing>
      </w:r>
    </w:p>
    <w:p w:rsidR="005177C8" w:rsidRPr="00687982" w:rsidRDefault="005177C8" w:rsidP="005177C8">
      <w:pPr>
        <w:pStyle w:val="ListParagraph"/>
        <w:ind w:left="1080"/>
        <w:rPr>
          <w:rFonts w:cs="Arial"/>
        </w:rPr>
      </w:pPr>
    </w:p>
    <w:p w:rsidR="005177C8" w:rsidRPr="005177C8" w:rsidRDefault="005177C8" w:rsidP="00BF61DC">
      <w:pPr>
        <w:pStyle w:val="ListParagraph"/>
        <w:numPr>
          <w:ilvl w:val="0"/>
          <w:numId w:val="133"/>
        </w:numPr>
        <w:spacing w:after="120"/>
        <w:ind w:left="992" w:hanging="425"/>
        <w:jc w:val="both"/>
        <w:rPr>
          <w:rFonts w:cs="Arial"/>
          <w:lang w:val="ru-RU"/>
        </w:rPr>
      </w:pPr>
      <w:r w:rsidRPr="005177C8">
        <w:rPr>
          <w:lang w:val="ru-RU"/>
        </w:rPr>
        <w:t>В 2015</w:t>
      </w:r>
      <w:r>
        <w:t> </w:t>
      </w:r>
      <w:r w:rsidRPr="005177C8">
        <w:rPr>
          <w:lang w:val="ru-RU"/>
        </w:rPr>
        <w:t>г. общий объем расходов, связанных с функционированием Гаагской системы, оценивался примерно в шесть миллионов швейцарских франков.  Это на пять</w:t>
      </w:r>
      <w:r>
        <w:t> </w:t>
      </w:r>
      <w:r w:rsidRPr="005177C8">
        <w:rPr>
          <w:lang w:val="ru-RU"/>
        </w:rPr>
        <w:t>процентов больше, чем в 2014</w:t>
      </w:r>
      <w:r>
        <w:t> </w:t>
      </w:r>
      <w:r w:rsidRPr="005177C8">
        <w:rPr>
          <w:lang w:val="ru-RU"/>
        </w:rPr>
        <w:t>г.  Прямые и косвенные издержки увеличились, соответственно, на шесть и три процента по сравнению с 2014</w:t>
      </w:r>
      <w:r>
        <w:t> </w:t>
      </w:r>
      <w:r w:rsidRPr="005177C8">
        <w:rPr>
          <w:lang w:val="ru-RU"/>
        </w:rPr>
        <w:t>г.  Общие производственные издержки в 2014–2015</w:t>
      </w:r>
      <w:r>
        <w:t> </w:t>
      </w:r>
      <w:r w:rsidRPr="005177C8">
        <w:rPr>
          <w:lang w:val="ru-RU"/>
        </w:rPr>
        <w:t>гг. повысились на три процента по сравнению с 2012–2013</w:t>
      </w:r>
      <w:r>
        <w:t> </w:t>
      </w:r>
      <w:r w:rsidRPr="005177C8">
        <w:rPr>
          <w:lang w:val="ru-RU"/>
        </w:rPr>
        <w:t>гг.</w:t>
      </w:r>
    </w:p>
    <w:p w:rsidR="005177C8" w:rsidRPr="005177C8" w:rsidRDefault="005177C8" w:rsidP="00BF61DC">
      <w:pPr>
        <w:pStyle w:val="ListParagraph"/>
        <w:numPr>
          <w:ilvl w:val="0"/>
          <w:numId w:val="133"/>
        </w:numPr>
        <w:spacing w:after="200"/>
        <w:ind w:left="993" w:hanging="426"/>
        <w:contextualSpacing/>
        <w:jc w:val="both"/>
        <w:rPr>
          <w:rFonts w:cs="Arial"/>
          <w:lang w:val="ru-RU"/>
        </w:rPr>
      </w:pPr>
      <w:r w:rsidRPr="005177C8">
        <w:rPr>
          <w:lang w:val="ru-RU"/>
        </w:rPr>
        <w:t>В 2015</w:t>
      </w:r>
      <w:r>
        <w:t> </w:t>
      </w:r>
      <w:r w:rsidRPr="005177C8">
        <w:rPr>
          <w:lang w:val="ru-RU"/>
        </w:rPr>
        <w:t>г. доля прямых издержек составила 61</w:t>
      </w:r>
      <w:r>
        <w:t> </w:t>
      </w:r>
      <w:r w:rsidRPr="005177C8">
        <w:rPr>
          <w:lang w:val="ru-RU"/>
        </w:rPr>
        <w:t xml:space="preserve">процент общих расходов. </w:t>
      </w:r>
    </w:p>
    <w:p w:rsidR="005177C8" w:rsidRPr="005177C8" w:rsidRDefault="005177C8" w:rsidP="005177C8">
      <w:pPr>
        <w:pStyle w:val="ListParagraph"/>
        <w:ind w:left="993" w:hanging="426"/>
        <w:rPr>
          <w:rFonts w:cs="Arial"/>
          <w:lang w:val="ru-RU"/>
        </w:rPr>
      </w:pPr>
    </w:p>
    <w:p w:rsidR="005177C8" w:rsidRPr="005177C8" w:rsidRDefault="005177C8" w:rsidP="005177C8">
      <w:pPr>
        <w:pStyle w:val="ListParagraph"/>
        <w:ind w:left="993" w:hanging="426"/>
        <w:rPr>
          <w:rFonts w:cs="Arial"/>
          <w:lang w:val="ru-RU"/>
        </w:rPr>
      </w:pPr>
    </w:p>
    <w:p w:rsidR="005177C8" w:rsidRPr="00687982" w:rsidRDefault="005177C8" w:rsidP="005177C8">
      <w:pPr>
        <w:rPr>
          <w:rFonts w:cs="Arial"/>
          <w:u w:val="single"/>
        </w:rPr>
      </w:pPr>
      <w:r>
        <w:rPr>
          <w:u w:val="single"/>
        </w:rPr>
        <w:t xml:space="preserve">Удельная стоимость </w:t>
      </w:r>
    </w:p>
    <w:p w:rsidR="005177C8" w:rsidRPr="00687982" w:rsidRDefault="005177C8" w:rsidP="005177C8">
      <w:pPr>
        <w:rPr>
          <w:rFonts w:cs="Arial"/>
          <w:u w:val="single"/>
        </w:rPr>
      </w:pPr>
    </w:p>
    <w:p w:rsidR="005177C8" w:rsidRPr="00687982" w:rsidRDefault="005177C8" w:rsidP="005177C8">
      <w:pPr>
        <w:pStyle w:val="ListParagraph"/>
        <w:numPr>
          <w:ilvl w:val="0"/>
          <w:numId w:val="42"/>
        </w:numPr>
        <w:tabs>
          <w:tab w:val="left" w:pos="0"/>
          <w:tab w:val="left" w:pos="567"/>
        </w:tabs>
        <w:ind w:left="0" w:firstLine="0"/>
        <w:contextualSpacing/>
        <w:jc w:val="both"/>
        <w:rPr>
          <w:rFonts w:cs="Arial"/>
        </w:rPr>
      </w:pPr>
      <w:r w:rsidRPr="005177C8">
        <w:rPr>
          <w:lang w:val="ru-RU"/>
        </w:rPr>
        <w:t xml:space="preserve">В качестве показателя оперативной эффективности МБ можно использовать удельную стоимость, определяемую как среднюю </w:t>
      </w:r>
      <w:r>
        <w:t>стоимость единицы продукции.</w:t>
      </w:r>
    </w:p>
    <w:p w:rsidR="005177C8" w:rsidRPr="00687982" w:rsidRDefault="005177C8" w:rsidP="005177C8">
      <w:pPr>
        <w:contextualSpacing/>
        <w:jc w:val="both"/>
        <w:rPr>
          <w:rFonts w:cs="Arial"/>
        </w:rPr>
      </w:pPr>
    </w:p>
    <w:p w:rsidR="005177C8" w:rsidRPr="005177C8" w:rsidRDefault="005177C8" w:rsidP="005177C8">
      <w:pPr>
        <w:pStyle w:val="ListParagraph"/>
        <w:numPr>
          <w:ilvl w:val="0"/>
          <w:numId w:val="42"/>
        </w:numPr>
        <w:tabs>
          <w:tab w:val="left" w:pos="0"/>
          <w:tab w:val="left" w:pos="567"/>
        </w:tabs>
        <w:ind w:left="0" w:firstLine="0"/>
        <w:contextualSpacing/>
        <w:jc w:val="both"/>
        <w:rPr>
          <w:rFonts w:cs="Arial"/>
          <w:lang w:val="ru-RU"/>
        </w:rPr>
      </w:pPr>
      <w:r w:rsidRPr="005177C8">
        <w:rPr>
          <w:lang w:val="ru-RU"/>
        </w:rPr>
        <w:t>Поскольку МБ регистрирует новые заявки и поддерживает в силе существующие регистрации, целесообразно включать в состав единицы продукции набор операций.  Ниже приводятся два показателя удельной стоимости, в которых учитываются две разные категории единицы продукции.</w:t>
      </w:r>
    </w:p>
    <w:p w:rsidR="005177C8" w:rsidRPr="005177C8" w:rsidRDefault="005177C8" w:rsidP="005177C8">
      <w:pPr>
        <w:pStyle w:val="ListParagraph"/>
        <w:tabs>
          <w:tab w:val="left" w:pos="0"/>
          <w:tab w:val="left" w:pos="567"/>
        </w:tabs>
        <w:ind w:left="0"/>
        <w:jc w:val="both"/>
        <w:rPr>
          <w:rFonts w:cs="Arial"/>
          <w:lang w:val="ru-RU"/>
        </w:rPr>
      </w:pPr>
    </w:p>
    <w:p w:rsidR="005177C8" w:rsidRPr="005177C8" w:rsidRDefault="005177C8" w:rsidP="005177C8">
      <w:pPr>
        <w:pStyle w:val="ListParagraph"/>
        <w:numPr>
          <w:ilvl w:val="0"/>
          <w:numId w:val="42"/>
        </w:numPr>
        <w:tabs>
          <w:tab w:val="left" w:pos="567"/>
        </w:tabs>
        <w:spacing w:after="200" w:line="276" w:lineRule="auto"/>
        <w:ind w:left="0" w:firstLine="0"/>
        <w:contextualSpacing/>
        <w:jc w:val="both"/>
        <w:rPr>
          <w:rFonts w:cs="Arial"/>
          <w:lang w:val="ru-RU"/>
        </w:rPr>
      </w:pPr>
      <w:r w:rsidRPr="005177C8">
        <w:rPr>
          <w:lang w:val="ru-RU"/>
        </w:rPr>
        <w:t>В рамках усилий МБ по постоянному совершенствованию методики расчета удельной стоимости в Программе и бюджете на двухлетний период 2016–2017</w:t>
      </w:r>
      <w:r>
        <w:t> </w:t>
      </w:r>
      <w:r w:rsidRPr="005177C8">
        <w:rPr>
          <w:lang w:val="ru-RU"/>
        </w:rPr>
        <w:t>гг. использован пересмотренный подход, позволяющий более точно отразить стоимость обработки документов Гаагской системы в МБ</w:t>
      </w:r>
      <w:r>
        <w:rPr>
          <w:rStyle w:val="FootnoteReference"/>
        </w:rPr>
        <w:footnoteReference w:id="43"/>
      </w:r>
      <w:r w:rsidRPr="005177C8">
        <w:rPr>
          <w:lang w:val="ru-RU"/>
        </w:rPr>
        <w:t xml:space="preserve">. </w:t>
      </w:r>
    </w:p>
    <w:p w:rsidR="005177C8" w:rsidRPr="005177C8" w:rsidRDefault="005177C8" w:rsidP="005177C8">
      <w:pPr>
        <w:pStyle w:val="ListParagraph"/>
        <w:tabs>
          <w:tab w:val="left" w:pos="0"/>
          <w:tab w:val="left" w:pos="567"/>
        </w:tabs>
        <w:ind w:left="0"/>
        <w:jc w:val="both"/>
        <w:rPr>
          <w:rFonts w:cs="Arial"/>
          <w:highlight w:val="lightGray"/>
          <w:lang w:val="ru-RU"/>
        </w:rPr>
      </w:pPr>
    </w:p>
    <w:p w:rsidR="005177C8" w:rsidRPr="005177C8" w:rsidRDefault="005177C8" w:rsidP="005177C8">
      <w:pPr>
        <w:jc w:val="both"/>
        <w:rPr>
          <w:rFonts w:cs="Arial"/>
          <w:i/>
          <w:lang w:val="ru-RU"/>
        </w:rPr>
      </w:pPr>
      <w:r w:rsidRPr="005177C8">
        <w:rPr>
          <w:i/>
          <w:lang w:val="ru-RU"/>
        </w:rPr>
        <w:t>Удельная стоимость в расчете на один новый образец или образец с продленным сроком охраны</w:t>
      </w:r>
    </w:p>
    <w:p w:rsidR="005177C8" w:rsidRPr="005177C8" w:rsidRDefault="005177C8" w:rsidP="005177C8">
      <w:pPr>
        <w:jc w:val="both"/>
        <w:rPr>
          <w:rFonts w:cs="Arial"/>
          <w:lang w:val="ru-RU"/>
        </w:rPr>
      </w:pPr>
    </w:p>
    <w:p w:rsidR="005177C8" w:rsidRPr="005177C8" w:rsidRDefault="005177C8" w:rsidP="005177C8">
      <w:pPr>
        <w:pStyle w:val="ListParagraph"/>
        <w:numPr>
          <w:ilvl w:val="0"/>
          <w:numId w:val="42"/>
        </w:numPr>
        <w:tabs>
          <w:tab w:val="left" w:pos="0"/>
          <w:tab w:val="left" w:pos="567"/>
          <w:tab w:val="left" w:pos="1134"/>
        </w:tabs>
        <w:ind w:left="0" w:firstLine="0"/>
        <w:contextualSpacing/>
        <w:jc w:val="both"/>
        <w:rPr>
          <w:rFonts w:cs="Arial"/>
          <w:lang w:val="ru-RU"/>
        </w:rPr>
      </w:pPr>
      <w:r w:rsidRPr="005177C8">
        <w:rPr>
          <w:lang w:val="ru-RU"/>
        </w:rPr>
        <w:t>Под новыми образцами понимаются указанные в международных заявках образцы, которые были зарегистрированы в конкретный год, а под образцами с продленным сроком охраны</w:t>
      </w:r>
      <w:r>
        <w:t> </w:t>
      </w:r>
      <w:r w:rsidRPr="005177C8">
        <w:rPr>
          <w:lang w:val="ru-RU"/>
        </w:rPr>
        <w:t>– существующие образцы, указанные в международных заявках, срок охраны которых был продлен в рассматриваемый год.  Работа с образцами, указанными в этих двух видах операций, составляет основу деятельности МБ.</w:t>
      </w:r>
    </w:p>
    <w:p w:rsidR="005177C8" w:rsidRPr="005177C8" w:rsidRDefault="005177C8" w:rsidP="005177C8">
      <w:pPr>
        <w:jc w:val="both"/>
        <w:rPr>
          <w:rFonts w:cs="Arial"/>
          <w:lang w:val="ru-RU"/>
        </w:rPr>
      </w:pPr>
    </w:p>
    <w:p w:rsidR="005177C8" w:rsidRPr="005177C8" w:rsidRDefault="005177C8" w:rsidP="005177C8">
      <w:pPr>
        <w:pStyle w:val="ListParagraph"/>
        <w:numPr>
          <w:ilvl w:val="0"/>
          <w:numId w:val="42"/>
        </w:numPr>
        <w:tabs>
          <w:tab w:val="left" w:pos="0"/>
          <w:tab w:val="left" w:pos="567"/>
        </w:tabs>
        <w:ind w:left="0" w:firstLine="0"/>
        <w:contextualSpacing/>
        <w:jc w:val="both"/>
        <w:rPr>
          <w:rFonts w:cs="Arial"/>
          <w:lang w:val="ru-RU"/>
        </w:rPr>
      </w:pPr>
      <w:r w:rsidRPr="005177C8">
        <w:rPr>
          <w:lang w:val="ru-RU"/>
        </w:rPr>
        <w:t>Поскольку при обработке образцов, указанных в этих двух видах документов, требуется разный объем ресурсов, для каждой категории задается свой весовой показатель</w:t>
      </w:r>
      <w:r>
        <w:rPr>
          <w:rStyle w:val="FootnoteReference"/>
        </w:rPr>
        <w:footnoteReference w:id="44"/>
      </w:r>
      <w:r w:rsidRPr="005177C8">
        <w:rPr>
          <w:lang w:val="ru-RU"/>
        </w:rPr>
        <w:t xml:space="preserve">. Удельная стоимость рассчитывается путем деления общих производственных издержек на число новых образцов/образцов в продленным сроком охраны.  </w:t>
      </w:r>
    </w:p>
    <w:p w:rsidR="005177C8" w:rsidRPr="005177C8" w:rsidRDefault="005177C8" w:rsidP="005177C8">
      <w:pPr>
        <w:pStyle w:val="ListParagraph"/>
        <w:tabs>
          <w:tab w:val="left" w:pos="0"/>
          <w:tab w:val="left" w:pos="567"/>
        </w:tabs>
        <w:ind w:left="0"/>
        <w:jc w:val="both"/>
        <w:rPr>
          <w:rFonts w:cs="Arial"/>
          <w:lang w:val="ru-RU"/>
        </w:rPr>
      </w:pPr>
    </w:p>
    <w:p w:rsidR="005177C8" w:rsidRPr="005177C8" w:rsidRDefault="005177C8" w:rsidP="005177C8">
      <w:pPr>
        <w:rPr>
          <w:lang w:val="ru-RU"/>
        </w:rPr>
      </w:pPr>
      <w:r w:rsidRPr="005177C8">
        <w:rPr>
          <w:lang w:val="ru-RU"/>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23"/>
        <w:gridCol w:w="5064"/>
      </w:tblGrid>
      <w:tr w:rsidR="005177C8" w:rsidRPr="00687982" w:rsidTr="005177C8">
        <w:tc>
          <w:tcPr>
            <w:tcW w:w="4223" w:type="dxa"/>
          </w:tcPr>
          <w:p w:rsidR="005177C8" w:rsidRPr="00687982" w:rsidRDefault="005177C8" w:rsidP="005177C8">
            <w:pPr>
              <w:spacing w:after="200" w:line="276" w:lineRule="auto"/>
              <w:jc w:val="center"/>
              <w:rPr>
                <w:rFonts w:cs="Arial"/>
              </w:rPr>
            </w:pPr>
            <w:r>
              <w:t>Прежняя методика</w:t>
            </w:r>
          </w:p>
        </w:tc>
        <w:tc>
          <w:tcPr>
            <w:tcW w:w="5064" w:type="dxa"/>
          </w:tcPr>
          <w:p w:rsidR="005177C8" w:rsidRPr="00687982" w:rsidRDefault="005177C8" w:rsidP="005177C8">
            <w:pPr>
              <w:spacing w:after="200" w:line="276" w:lineRule="auto"/>
              <w:jc w:val="center"/>
              <w:rPr>
                <w:rFonts w:cs="Arial"/>
              </w:rPr>
            </w:pPr>
            <w:r>
              <w:t>Новая методика</w:t>
            </w:r>
          </w:p>
        </w:tc>
      </w:tr>
      <w:tr w:rsidR="005177C8" w:rsidRPr="00687982" w:rsidTr="005177C8">
        <w:tc>
          <w:tcPr>
            <w:tcW w:w="4223" w:type="dxa"/>
          </w:tcPr>
          <w:p w:rsidR="005177C8" w:rsidRPr="00687982" w:rsidRDefault="005177C8" w:rsidP="005177C8">
            <w:pPr>
              <w:spacing w:after="200" w:line="276" w:lineRule="auto"/>
              <w:jc w:val="center"/>
              <w:rPr>
                <w:rFonts w:cs="Arial"/>
              </w:rPr>
            </w:pPr>
            <w:r>
              <w:rPr>
                <w:rFonts w:cs="Arial"/>
                <w:noProof/>
              </w:rPr>
              <w:drawing>
                <wp:inline distT="0" distB="0" distL="0" distR="0" wp14:anchorId="2602E987" wp14:editId="58C59A30">
                  <wp:extent cx="2541270" cy="176720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41270" cy="1767205"/>
                          </a:xfrm>
                          <a:prstGeom prst="rect">
                            <a:avLst/>
                          </a:prstGeom>
                          <a:noFill/>
                          <a:ln>
                            <a:noFill/>
                          </a:ln>
                        </pic:spPr>
                      </pic:pic>
                    </a:graphicData>
                  </a:graphic>
                </wp:inline>
              </w:drawing>
            </w:r>
          </w:p>
        </w:tc>
        <w:tc>
          <w:tcPr>
            <w:tcW w:w="5064" w:type="dxa"/>
          </w:tcPr>
          <w:p w:rsidR="005177C8" w:rsidRPr="00687982" w:rsidRDefault="005177C8" w:rsidP="005177C8">
            <w:pPr>
              <w:spacing w:after="200" w:line="276" w:lineRule="auto"/>
              <w:jc w:val="center"/>
              <w:rPr>
                <w:rFonts w:cs="Arial"/>
              </w:rPr>
            </w:pPr>
            <w:r>
              <w:rPr>
                <w:rFonts w:cs="Arial"/>
                <w:noProof/>
              </w:rPr>
              <w:drawing>
                <wp:inline distT="0" distB="0" distL="0" distR="0" wp14:anchorId="2FB8FB7B" wp14:editId="66946191">
                  <wp:extent cx="2636509" cy="1770562"/>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36475" cy="1770539"/>
                          </a:xfrm>
                          <a:prstGeom prst="rect">
                            <a:avLst/>
                          </a:prstGeom>
                          <a:noFill/>
                          <a:ln>
                            <a:noFill/>
                          </a:ln>
                        </pic:spPr>
                      </pic:pic>
                    </a:graphicData>
                  </a:graphic>
                </wp:inline>
              </w:drawing>
            </w:r>
          </w:p>
        </w:tc>
      </w:tr>
    </w:tbl>
    <w:p w:rsidR="005177C8" w:rsidRPr="00687982" w:rsidRDefault="005177C8" w:rsidP="005177C8">
      <w:pPr>
        <w:pStyle w:val="ListParagraph"/>
        <w:spacing w:before="120" w:after="120"/>
        <w:ind w:left="1080"/>
        <w:jc w:val="center"/>
        <w:rPr>
          <w:rFonts w:cs="Arial"/>
        </w:rPr>
      </w:pPr>
    </w:p>
    <w:p w:rsidR="005177C8" w:rsidRPr="005177C8" w:rsidRDefault="005177C8" w:rsidP="00BF61DC">
      <w:pPr>
        <w:pStyle w:val="ListParagraph"/>
        <w:numPr>
          <w:ilvl w:val="0"/>
          <w:numId w:val="134"/>
        </w:numPr>
        <w:spacing w:after="120"/>
        <w:ind w:left="992" w:hanging="425"/>
        <w:jc w:val="both"/>
        <w:rPr>
          <w:rFonts w:cs="Arial"/>
          <w:lang w:val="ru-RU"/>
        </w:rPr>
      </w:pPr>
      <w:r w:rsidRPr="005177C8">
        <w:rPr>
          <w:lang w:val="ru-RU"/>
        </w:rPr>
        <w:t>В 2015</w:t>
      </w:r>
      <w:r>
        <w:t> </w:t>
      </w:r>
      <w:r w:rsidRPr="005177C8">
        <w:rPr>
          <w:lang w:val="ru-RU"/>
        </w:rPr>
        <w:t>г. средняя удельная стоимость обработки одного нового образца/образца с продленным сроком охраны составила 337</w:t>
      </w:r>
      <w:r>
        <w:t> </w:t>
      </w:r>
      <w:r w:rsidRPr="005177C8">
        <w:rPr>
          <w:lang w:val="ru-RU"/>
        </w:rPr>
        <w:t>шв. франков, что на восемь</w:t>
      </w:r>
      <w:r>
        <w:t> </w:t>
      </w:r>
      <w:r w:rsidRPr="005177C8">
        <w:rPr>
          <w:lang w:val="ru-RU"/>
        </w:rPr>
        <w:t>процентов меньше, чем в 2014</w:t>
      </w:r>
      <w:r>
        <w:t> </w:t>
      </w:r>
      <w:r w:rsidRPr="005177C8">
        <w:rPr>
          <w:lang w:val="ru-RU"/>
        </w:rPr>
        <w:t>г.  Такое снижение было обусловлено резким ростом на 14</w:t>
      </w:r>
      <w:r>
        <w:t> </w:t>
      </w:r>
      <w:r w:rsidRPr="005177C8">
        <w:rPr>
          <w:lang w:val="ru-RU"/>
        </w:rPr>
        <w:t>процентов числа новых образцов/ образцов с продленным сроком охраны, заявки на которые обрабатывались при помощи аналогичного объема ресурсов, что и в 2014</w:t>
      </w:r>
      <w:r>
        <w:t> </w:t>
      </w:r>
      <w:r w:rsidRPr="005177C8">
        <w:rPr>
          <w:lang w:val="ru-RU"/>
        </w:rPr>
        <w:t>г.</w:t>
      </w:r>
    </w:p>
    <w:p w:rsidR="005177C8" w:rsidRPr="00687982" w:rsidRDefault="005177C8" w:rsidP="00BF61DC">
      <w:pPr>
        <w:pStyle w:val="ListParagraph"/>
        <w:numPr>
          <w:ilvl w:val="0"/>
          <w:numId w:val="134"/>
        </w:numPr>
        <w:tabs>
          <w:tab w:val="left" w:pos="567"/>
        </w:tabs>
        <w:ind w:left="993" w:hanging="426"/>
        <w:contextualSpacing/>
        <w:jc w:val="both"/>
        <w:rPr>
          <w:rFonts w:cs="Arial"/>
        </w:rPr>
      </w:pPr>
      <w:r w:rsidRPr="005177C8">
        <w:rPr>
          <w:lang w:val="ru-RU"/>
        </w:rPr>
        <w:t>Средняя стоимость обработки заявки на новый образец/ продление срока охраны в двухлетний период 2014–2015</w:t>
      </w:r>
      <w:r>
        <w:t> </w:t>
      </w:r>
      <w:r w:rsidRPr="005177C8">
        <w:rPr>
          <w:lang w:val="ru-RU"/>
        </w:rPr>
        <w:t>гг. (350</w:t>
      </w:r>
      <w:r>
        <w:t> </w:t>
      </w:r>
      <w:r w:rsidRPr="005177C8">
        <w:rPr>
          <w:lang w:val="ru-RU"/>
        </w:rPr>
        <w:t>шв. франков) снизилась на 12</w:t>
      </w:r>
      <w:r>
        <w:t> </w:t>
      </w:r>
      <w:r w:rsidRPr="005177C8">
        <w:rPr>
          <w:lang w:val="ru-RU"/>
        </w:rPr>
        <w:t>процентов по сравнению с двухлетним периодом 2012–2013</w:t>
      </w:r>
      <w:r>
        <w:t> </w:t>
      </w:r>
      <w:r w:rsidRPr="005177C8">
        <w:rPr>
          <w:lang w:val="ru-RU"/>
        </w:rPr>
        <w:t xml:space="preserve">гг. </w:t>
      </w:r>
      <w:r>
        <w:t>(400 шв. франков).</w:t>
      </w:r>
    </w:p>
    <w:p w:rsidR="005177C8" w:rsidRPr="00687982" w:rsidRDefault="005177C8" w:rsidP="005177C8">
      <w:pPr>
        <w:jc w:val="center"/>
        <w:rPr>
          <w:rFonts w:cs="Arial"/>
        </w:rPr>
      </w:pPr>
    </w:p>
    <w:p w:rsidR="005177C8" w:rsidRPr="005177C8" w:rsidRDefault="005177C8" w:rsidP="005177C8">
      <w:pPr>
        <w:jc w:val="both"/>
        <w:rPr>
          <w:rFonts w:cs="Arial"/>
          <w:i/>
          <w:lang w:val="ru-RU"/>
        </w:rPr>
      </w:pPr>
      <w:r w:rsidRPr="005177C8">
        <w:rPr>
          <w:i/>
          <w:lang w:val="ru-RU"/>
        </w:rPr>
        <w:t>Удельная стоимость в расчете на один документ, занесенный в реестр</w:t>
      </w:r>
    </w:p>
    <w:p w:rsidR="005177C8" w:rsidRPr="005177C8" w:rsidRDefault="005177C8" w:rsidP="005177C8">
      <w:pPr>
        <w:jc w:val="both"/>
        <w:rPr>
          <w:rFonts w:cs="Arial"/>
          <w:lang w:val="ru-RU"/>
        </w:rPr>
      </w:pPr>
    </w:p>
    <w:p w:rsidR="005177C8" w:rsidRPr="005177C8" w:rsidRDefault="005177C8" w:rsidP="005177C8">
      <w:pPr>
        <w:pStyle w:val="ListParagraph"/>
        <w:numPr>
          <w:ilvl w:val="0"/>
          <w:numId w:val="42"/>
        </w:numPr>
        <w:tabs>
          <w:tab w:val="left" w:pos="0"/>
          <w:tab w:val="left" w:pos="567"/>
        </w:tabs>
        <w:ind w:left="0" w:firstLine="0"/>
        <w:contextualSpacing/>
        <w:jc w:val="both"/>
        <w:rPr>
          <w:rFonts w:cs="Arial"/>
          <w:lang w:val="ru-RU"/>
        </w:rPr>
      </w:pPr>
      <w:r w:rsidRPr="005177C8">
        <w:rPr>
          <w:lang w:val="ru-RU"/>
        </w:rPr>
        <w:t xml:space="preserve">Число документов, записи о которых заносятся в реестр, соответствует объему общей рабочей нагрузки (см. раздел «Общая рабочая нагрузка», выше). </w:t>
      </w:r>
    </w:p>
    <w:p w:rsidR="005177C8" w:rsidRPr="005177C8" w:rsidRDefault="005177C8" w:rsidP="005177C8">
      <w:pPr>
        <w:jc w:val="both"/>
        <w:rPr>
          <w:rFonts w:cs="Arial"/>
          <w:lang w:val="ru-R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3"/>
        <w:gridCol w:w="4644"/>
      </w:tblGrid>
      <w:tr w:rsidR="005177C8" w:rsidRPr="00687982" w:rsidTr="005177C8">
        <w:tc>
          <w:tcPr>
            <w:tcW w:w="4643" w:type="dxa"/>
            <w:vAlign w:val="center"/>
          </w:tcPr>
          <w:p w:rsidR="005177C8" w:rsidRPr="00687982" w:rsidRDefault="005177C8" w:rsidP="005177C8">
            <w:pPr>
              <w:spacing w:after="200" w:line="276" w:lineRule="auto"/>
              <w:jc w:val="center"/>
              <w:rPr>
                <w:rFonts w:cs="Arial"/>
              </w:rPr>
            </w:pPr>
            <w:r>
              <w:t>Прежняя методика</w:t>
            </w:r>
          </w:p>
        </w:tc>
        <w:tc>
          <w:tcPr>
            <w:tcW w:w="4644" w:type="dxa"/>
            <w:vAlign w:val="center"/>
          </w:tcPr>
          <w:p w:rsidR="005177C8" w:rsidRPr="00687982" w:rsidRDefault="005177C8" w:rsidP="005177C8">
            <w:pPr>
              <w:spacing w:after="200" w:line="276" w:lineRule="auto"/>
              <w:jc w:val="center"/>
              <w:rPr>
                <w:rFonts w:cs="Arial"/>
              </w:rPr>
            </w:pPr>
            <w:r>
              <w:t>Новая методика</w:t>
            </w:r>
          </w:p>
        </w:tc>
      </w:tr>
      <w:tr w:rsidR="005177C8" w:rsidRPr="00687982" w:rsidTr="005177C8">
        <w:tc>
          <w:tcPr>
            <w:tcW w:w="4643" w:type="dxa"/>
            <w:vAlign w:val="center"/>
          </w:tcPr>
          <w:p w:rsidR="005177C8" w:rsidRPr="00687982" w:rsidRDefault="005177C8" w:rsidP="005177C8">
            <w:pPr>
              <w:spacing w:after="200" w:line="276" w:lineRule="auto"/>
              <w:jc w:val="center"/>
              <w:rPr>
                <w:rFonts w:cs="Arial"/>
              </w:rPr>
            </w:pPr>
            <w:r>
              <w:rPr>
                <w:rFonts w:cs="Arial"/>
                <w:noProof/>
              </w:rPr>
              <w:drawing>
                <wp:inline distT="0" distB="0" distL="0" distR="0" wp14:anchorId="656FE73E" wp14:editId="11072120">
                  <wp:extent cx="2810510" cy="1694180"/>
                  <wp:effectExtent l="0" t="0" r="889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10510" cy="1694180"/>
                          </a:xfrm>
                          <a:prstGeom prst="rect">
                            <a:avLst/>
                          </a:prstGeom>
                          <a:noFill/>
                          <a:ln>
                            <a:noFill/>
                          </a:ln>
                        </pic:spPr>
                      </pic:pic>
                    </a:graphicData>
                  </a:graphic>
                </wp:inline>
              </w:drawing>
            </w:r>
          </w:p>
        </w:tc>
        <w:tc>
          <w:tcPr>
            <w:tcW w:w="4644" w:type="dxa"/>
            <w:vAlign w:val="center"/>
          </w:tcPr>
          <w:p w:rsidR="005177C8" w:rsidRPr="00687982" w:rsidRDefault="005177C8" w:rsidP="005177C8">
            <w:pPr>
              <w:spacing w:after="200" w:line="276" w:lineRule="auto"/>
              <w:jc w:val="center"/>
              <w:rPr>
                <w:rFonts w:cs="Arial"/>
              </w:rPr>
            </w:pPr>
            <w:r>
              <w:rPr>
                <w:rFonts w:cs="Arial"/>
                <w:noProof/>
              </w:rPr>
              <w:drawing>
                <wp:inline distT="0" distB="0" distL="0" distR="0" wp14:anchorId="598E75CE" wp14:editId="494A4DFB">
                  <wp:extent cx="2810510" cy="1929765"/>
                  <wp:effectExtent l="0" t="0" r="889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10510" cy="1929765"/>
                          </a:xfrm>
                          <a:prstGeom prst="rect">
                            <a:avLst/>
                          </a:prstGeom>
                          <a:noFill/>
                          <a:ln>
                            <a:noFill/>
                          </a:ln>
                        </pic:spPr>
                      </pic:pic>
                    </a:graphicData>
                  </a:graphic>
                </wp:inline>
              </w:drawing>
            </w:r>
          </w:p>
        </w:tc>
      </w:tr>
    </w:tbl>
    <w:p w:rsidR="005177C8" w:rsidRPr="00687982" w:rsidRDefault="005177C8" w:rsidP="005177C8">
      <w:pPr>
        <w:tabs>
          <w:tab w:val="left" w:pos="1134"/>
        </w:tabs>
        <w:jc w:val="center"/>
        <w:rPr>
          <w:rFonts w:cs="Arial"/>
        </w:rPr>
      </w:pPr>
    </w:p>
    <w:p w:rsidR="005177C8" w:rsidRPr="005177C8" w:rsidRDefault="005177C8" w:rsidP="00BF61DC">
      <w:pPr>
        <w:pStyle w:val="ListParagraph"/>
        <w:numPr>
          <w:ilvl w:val="0"/>
          <w:numId w:val="134"/>
        </w:numPr>
        <w:spacing w:after="120"/>
        <w:ind w:left="992" w:hanging="425"/>
        <w:jc w:val="both"/>
        <w:rPr>
          <w:rFonts w:cs="Arial"/>
          <w:lang w:val="ru-RU"/>
        </w:rPr>
      </w:pPr>
      <w:r w:rsidRPr="005177C8">
        <w:rPr>
          <w:lang w:val="ru-RU"/>
        </w:rPr>
        <w:t>Средняя стоимость внесения в реестр записи о документе снизилась на 22</w:t>
      </w:r>
      <w:r>
        <w:t> </w:t>
      </w:r>
      <w:r w:rsidRPr="005177C8">
        <w:rPr>
          <w:lang w:val="ru-RU"/>
        </w:rPr>
        <w:t>процента: с 1</w:t>
      </w:r>
      <w:r>
        <w:t> </w:t>
      </w:r>
      <w:r w:rsidRPr="005177C8">
        <w:rPr>
          <w:lang w:val="ru-RU"/>
        </w:rPr>
        <w:t>483</w:t>
      </w:r>
      <w:r>
        <w:t> </w:t>
      </w:r>
      <w:r w:rsidRPr="005177C8">
        <w:rPr>
          <w:lang w:val="ru-RU"/>
        </w:rPr>
        <w:t>шв. франков в 2014</w:t>
      </w:r>
      <w:r>
        <w:t> </w:t>
      </w:r>
      <w:r w:rsidRPr="005177C8">
        <w:rPr>
          <w:lang w:val="ru-RU"/>
        </w:rPr>
        <w:t>г. до 1</w:t>
      </w:r>
      <w:r>
        <w:t> </w:t>
      </w:r>
      <w:r w:rsidRPr="005177C8">
        <w:rPr>
          <w:lang w:val="ru-RU"/>
        </w:rPr>
        <w:t>153</w:t>
      </w:r>
      <w:r>
        <w:t> </w:t>
      </w:r>
      <w:r w:rsidRPr="005177C8">
        <w:rPr>
          <w:lang w:val="ru-RU"/>
        </w:rPr>
        <w:t>шв. франков в 2015</w:t>
      </w:r>
      <w:r>
        <w:t> </w:t>
      </w:r>
      <w:r w:rsidRPr="005177C8">
        <w:rPr>
          <w:lang w:val="ru-RU"/>
        </w:rPr>
        <w:t>г.  Это обусловлено резким ростом на 35</w:t>
      </w:r>
      <w:r>
        <w:t> </w:t>
      </w:r>
      <w:r w:rsidRPr="005177C8">
        <w:rPr>
          <w:lang w:val="ru-RU"/>
        </w:rPr>
        <w:t>процентов общего объема работы, который выполнялся с помощью того же объема ресурсов, что и в 2014</w:t>
      </w:r>
      <w:r>
        <w:t> </w:t>
      </w:r>
      <w:r w:rsidRPr="005177C8">
        <w:rPr>
          <w:lang w:val="ru-RU"/>
        </w:rPr>
        <w:t>г.</w:t>
      </w:r>
    </w:p>
    <w:p w:rsidR="005177C8" w:rsidRPr="00A545C2" w:rsidRDefault="005177C8" w:rsidP="00BF61DC">
      <w:pPr>
        <w:pStyle w:val="ListParagraph"/>
        <w:numPr>
          <w:ilvl w:val="0"/>
          <w:numId w:val="134"/>
        </w:numPr>
        <w:tabs>
          <w:tab w:val="left" w:pos="567"/>
        </w:tabs>
        <w:ind w:left="993" w:hanging="426"/>
        <w:contextualSpacing/>
        <w:jc w:val="both"/>
        <w:rPr>
          <w:rFonts w:cs="Arial"/>
        </w:rPr>
      </w:pPr>
      <w:r w:rsidRPr="005177C8">
        <w:rPr>
          <w:lang w:val="ru-RU"/>
        </w:rPr>
        <w:t>Средняя стоимость внесения в реестр записи о документе в двухлетний период 2014–2015</w:t>
      </w:r>
      <w:r>
        <w:t> </w:t>
      </w:r>
      <w:r w:rsidRPr="005177C8">
        <w:rPr>
          <w:lang w:val="ru-RU"/>
        </w:rPr>
        <w:t>гг. (1</w:t>
      </w:r>
      <w:r>
        <w:t> </w:t>
      </w:r>
      <w:r w:rsidRPr="005177C8">
        <w:rPr>
          <w:lang w:val="ru-RU"/>
        </w:rPr>
        <w:t>294</w:t>
      </w:r>
      <w:r>
        <w:t> </w:t>
      </w:r>
      <w:r w:rsidRPr="005177C8">
        <w:rPr>
          <w:lang w:val="ru-RU"/>
        </w:rPr>
        <w:t>шв. франков) снизилась на 15</w:t>
      </w:r>
      <w:r>
        <w:t> </w:t>
      </w:r>
      <w:r w:rsidRPr="005177C8">
        <w:rPr>
          <w:lang w:val="ru-RU"/>
        </w:rPr>
        <w:t>процентов по сравнению с двухлетним периодом 2012–2013</w:t>
      </w:r>
      <w:r>
        <w:t> </w:t>
      </w:r>
      <w:r w:rsidRPr="005177C8">
        <w:rPr>
          <w:lang w:val="ru-RU"/>
        </w:rPr>
        <w:t xml:space="preserve">гг. </w:t>
      </w:r>
      <w:r>
        <w:t>(1 528 шв. франков).</w:t>
      </w:r>
    </w:p>
    <w:p w:rsidR="005177C8" w:rsidRPr="00687982" w:rsidRDefault="005177C8" w:rsidP="005177C8">
      <w:pPr>
        <w:pStyle w:val="ListParagraph"/>
        <w:ind w:left="0"/>
        <w:jc w:val="both"/>
        <w:rPr>
          <w:rFonts w:cs="Arial"/>
        </w:rPr>
      </w:pPr>
    </w:p>
    <w:p w:rsidR="005177C8" w:rsidRPr="00687982" w:rsidRDefault="005177C8" w:rsidP="005177C8">
      <w:pPr>
        <w:pStyle w:val="ListParagraph"/>
        <w:ind w:left="0"/>
        <w:rPr>
          <w:rFonts w:cs="Arial"/>
        </w:rPr>
      </w:pPr>
    </w:p>
    <w:p w:rsidR="005177C8" w:rsidRDefault="005177C8">
      <w:pPr>
        <w:rPr>
          <w:b/>
        </w:rPr>
      </w:pPr>
      <w:r>
        <w:rPr>
          <w:b/>
        </w:rPr>
        <w:br w:type="page"/>
      </w:r>
    </w:p>
    <w:p w:rsidR="005177C8" w:rsidRPr="005177C8" w:rsidRDefault="005177C8" w:rsidP="005177C8">
      <w:pPr>
        <w:tabs>
          <w:tab w:val="left" w:pos="567"/>
        </w:tabs>
        <w:spacing w:before="120" w:after="240"/>
        <w:rPr>
          <w:rFonts w:cs="Arial"/>
          <w:b/>
          <w:lang w:val="ru-RU"/>
        </w:rPr>
      </w:pPr>
      <w:r>
        <w:rPr>
          <w:b/>
        </w:rPr>
        <w:t>III</w:t>
      </w:r>
      <w:r w:rsidRPr="005177C8">
        <w:rPr>
          <w:b/>
          <w:lang w:val="ru-RU"/>
        </w:rPr>
        <w:t>.</w:t>
      </w:r>
      <w:r w:rsidRPr="005177C8">
        <w:rPr>
          <w:lang w:val="ru-RU"/>
        </w:rPr>
        <w:tab/>
      </w:r>
      <w:r w:rsidRPr="005177C8">
        <w:rPr>
          <w:b/>
          <w:lang w:val="ru-RU"/>
        </w:rPr>
        <w:t>Своевременность обработки международных заявок</w:t>
      </w:r>
    </w:p>
    <w:p w:rsidR="005177C8" w:rsidRPr="005177C8" w:rsidRDefault="005177C8" w:rsidP="005177C8">
      <w:pPr>
        <w:pStyle w:val="ListParagraph"/>
        <w:numPr>
          <w:ilvl w:val="0"/>
          <w:numId w:val="42"/>
        </w:numPr>
        <w:tabs>
          <w:tab w:val="left" w:pos="0"/>
          <w:tab w:val="left" w:pos="567"/>
        </w:tabs>
        <w:ind w:left="0" w:firstLine="0"/>
        <w:contextualSpacing/>
        <w:jc w:val="both"/>
        <w:rPr>
          <w:rFonts w:cs="Arial"/>
          <w:lang w:val="ru-RU"/>
        </w:rPr>
      </w:pPr>
      <w:r w:rsidRPr="005177C8">
        <w:rPr>
          <w:lang w:val="ru-RU"/>
        </w:rPr>
        <w:t>Этот показатель отражает время, необходимое МБ для обработки правильно оформленных заявок. Показатель своевременности рассчитывается как временной промежуток между датой получения заявки и датой ее регистрации.</w:t>
      </w:r>
    </w:p>
    <w:p w:rsidR="005177C8" w:rsidRPr="00687982" w:rsidRDefault="005177C8" w:rsidP="005177C8">
      <w:pPr>
        <w:spacing w:before="120" w:after="240"/>
        <w:jc w:val="center"/>
        <w:rPr>
          <w:rFonts w:cs="Arial"/>
        </w:rPr>
      </w:pPr>
      <w:r>
        <w:rPr>
          <w:rFonts w:cs="Arial"/>
          <w:noProof/>
        </w:rPr>
        <w:drawing>
          <wp:inline distT="0" distB="0" distL="0" distR="0" wp14:anchorId="429E7079" wp14:editId="534DA713">
            <wp:extent cx="5183470" cy="2999561"/>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183147" cy="2999374"/>
                    </a:xfrm>
                    <a:prstGeom prst="rect">
                      <a:avLst/>
                    </a:prstGeom>
                    <a:noFill/>
                    <a:ln>
                      <a:noFill/>
                    </a:ln>
                  </pic:spPr>
                </pic:pic>
              </a:graphicData>
            </a:graphic>
          </wp:inline>
        </w:drawing>
      </w:r>
    </w:p>
    <w:p w:rsidR="005177C8" w:rsidRPr="005177C8" w:rsidRDefault="005177C8" w:rsidP="00BF61DC">
      <w:pPr>
        <w:pStyle w:val="ListParagraph"/>
        <w:numPr>
          <w:ilvl w:val="0"/>
          <w:numId w:val="134"/>
        </w:numPr>
        <w:spacing w:after="120"/>
        <w:ind w:left="992" w:hanging="425"/>
        <w:jc w:val="both"/>
        <w:rPr>
          <w:rFonts w:cs="Arial"/>
          <w:lang w:val="ru-RU"/>
        </w:rPr>
      </w:pPr>
      <w:r w:rsidRPr="005177C8">
        <w:rPr>
          <w:lang w:val="ru-RU"/>
        </w:rPr>
        <w:t>В 2015</w:t>
      </w:r>
      <w:r>
        <w:t> </w:t>
      </w:r>
      <w:r w:rsidRPr="005177C8">
        <w:rPr>
          <w:lang w:val="ru-RU"/>
        </w:rPr>
        <w:t>г. доля обычных заявок, обработанных менее чем за одну неделю, снизилась до 25</w:t>
      </w:r>
      <w:r>
        <w:t> </w:t>
      </w:r>
      <w:r w:rsidRPr="005177C8">
        <w:rPr>
          <w:lang w:val="ru-RU"/>
        </w:rPr>
        <w:t>процентов, тогда как в 2014</w:t>
      </w:r>
      <w:r>
        <w:t> </w:t>
      </w:r>
      <w:r w:rsidRPr="005177C8">
        <w:rPr>
          <w:lang w:val="ru-RU"/>
        </w:rPr>
        <w:t>г. их доля составляла 45</w:t>
      </w:r>
      <w:r>
        <w:t> </w:t>
      </w:r>
      <w:r w:rsidRPr="005177C8">
        <w:rPr>
          <w:lang w:val="ru-RU"/>
        </w:rPr>
        <w:t>процентов.  В период с 2011</w:t>
      </w:r>
      <w:r>
        <w:t> </w:t>
      </w:r>
      <w:r w:rsidRPr="005177C8">
        <w:rPr>
          <w:lang w:val="ru-RU"/>
        </w:rPr>
        <w:t>г. по 2015</w:t>
      </w:r>
      <w:r>
        <w:t> </w:t>
      </w:r>
      <w:r w:rsidRPr="005177C8">
        <w:rPr>
          <w:lang w:val="ru-RU"/>
        </w:rPr>
        <w:t>г. в среднем этот показатель составлял 27</w:t>
      </w:r>
      <w:r>
        <w:t> </w:t>
      </w:r>
      <w:r w:rsidRPr="005177C8">
        <w:rPr>
          <w:lang w:val="ru-RU"/>
        </w:rPr>
        <w:t>процентов.</w:t>
      </w:r>
    </w:p>
    <w:p w:rsidR="005177C8" w:rsidRPr="005177C8" w:rsidRDefault="005177C8" w:rsidP="00BF61DC">
      <w:pPr>
        <w:pStyle w:val="ListParagraph"/>
        <w:numPr>
          <w:ilvl w:val="0"/>
          <w:numId w:val="134"/>
        </w:numPr>
        <w:spacing w:after="120"/>
        <w:ind w:left="993" w:hanging="426"/>
        <w:jc w:val="both"/>
        <w:rPr>
          <w:rFonts w:cs="Arial"/>
          <w:lang w:val="ru-RU"/>
        </w:rPr>
      </w:pPr>
      <w:r w:rsidRPr="005177C8">
        <w:rPr>
          <w:lang w:val="ru-RU"/>
        </w:rPr>
        <w:t>В 2014</w:t>
      </w:r>
      <w:r>
        <w:t> </w:t>
      </w:r>
      <w:r w:rsidRPr="005177C8">
        <w:rPr>
          <w:lang w:val="ru-RU"/>
        </w:rPr>
        <w:t>г. 82</w:t>
      </w:r>
      <w:r>
        <w:t> </w:t>
      </w:r>
      <w:r w:rsidRPr="005177C8">
        <w:rPr>
          <w:lang w:val="ru-RU"/>
        </w:rPr>
        <w:t>процента</w:t>
      </w:r>
      <w:r>
        <w:rPr>
          <w:rStyle w:val="FootnoteReference"/>
        </w:rPr>
        <w:footnoteReference w:id="45"/>
      </w:r>
      <w:r w:rsidRPr="005177C8">
        <w:rPr>
          <w:lang w:val="ru-RU"/>
        </w:rPr>
        <w:t xml:space="preserve"> заявок были обработаны в течение двух недель с даты получения МБ.  В 2015</w:t>
      </w:r>
      <w:r>
        <w:t> </w:t>
      </w:r>
      <w:r w:rsidRPr="005177C8">
        <w:rPr>
          <w:lang w:val="ru-RU"/>
        </w:rPr>
        <w:t>г. 85</w:t>
      </w:r>
      <w:r>
        <w:t> </w:t>
      </w:r>
      <w:r w:rsidRPr="005177C8">
        <w:rPr>
          <w:lang w:val="ru-RU"/>
        </w:rPr>
        <w:t>процентов заявок были обработаны в течение трех недель с даты получения МБ.</w:t>
      </w:r>
    </w:p>
    <w:p w:rsidR="005177C8" w:rsidRPr="005177C8" w:rsidRDefault="005177C8" w:rsidP="005177C8">
      <w:pPr>
        <w:jc w:val="both"/>
        <w:rPr>
          <w:rFonts w:cs="Arial"/>
          <w:lang w:val="ru-RU"/>
        </w:rPr>
      </w:pPr>
    </w:p>
    <w:p w:rsidR="00603FB5" w:rsidRPr="00D8021C" w:rsidRDefault="005177C8" w:rsidP="005177C8">
      <w:pPr>
        <w:ind w:left="7200"/>
        <w:jc w:val="both"/>
        <w:rPr>
          <w:rFonts w:cs="Arial"/>
          <w:lang w:val="ru-RU"/>
        </w:rPr>
      </w:pPr>
      <w:r w:rsidRPr="00C61544">
        <w:rPr>
          <w:lang w:val="ru-RU"/>
        </w:rPr>
        <w:t>[Конец приложения]</w:t>
      </w:r>
    </w:p>
    <w:p w:rsidR="009A04DE" w:rsidRPr="00D8021C" w:rsidRDefault="009A04DE">
      <w:pPr>
        <w:rPr>
          <w:lang w:val="ru-RU"/>
        </w:rPr>
      </w:pPr>
      <w:r w:rsidRPr="00D8021C">
        <w:rPr>
          <w:lang w:val="ru-RU"/>
        </w:rPr>
        <w:br w:type="page"/>
      </w:r>
    </w:p>
    <w:p w:rsidR="00495A3D" w:rsidRPr="00495A3D" w:rsidRDefault="00495A3D" w:rsidP="00495A3D">
      <w:pPr>
        <w:pStyle w:val="Heading2"/>
        <w:tabs>
          <w:tab w:val="clear" w:pos="567"/>
          <w:tab w:val="left" w:pos="1985"/>
        </w:tabs>
        <w:rPr>
          <w:lang w:val="ru-RU"/>
        </w:rPr>
      </w:pPr>
      <w:bookmarkStart w:id="74" w:name="_Toc422210488"/>
      <w:bookmarkStart w:id="75" w:name="_Toc455388112"/>
      <w:r w:rsidRPr="00495A3D">
        <w:rPr>
          <w:lang w:val="ru-RU"/>
        </w:rPr>
        <w:t>ПРОГРАММА 7</w:t>
      </w:r>
      <w:r w:rsidRPr="00495A3D">
        <w:rPr>
          <w:lang w:val="ru-RU"/>
        </w:rPr>
        <w:tab/>
      </w:r>
      <w:r w:rsidRPr="00495A3D">
        <w:rPr>
          <w:lang w:val="ru-RU"/>
        </w:rPr>
        <w:tab/>
        <w:t>АРБИТРАЖ, ПОСРЕДНИЧЕСТВО И ДОМЕННЫЕ ИМЕНА</w:t>
      </w:r>
      <w:bookmarkEnd w:id="74"/>
      <w:bookmarkEnd w:id="75"/>
    </w:p>
    <w:p w:rsidR="00495A3D" w:rsidRPr="00495A3D" w:rsidRDefault="00495A3D" w:rsidP="00495A3D">
      <w:pPr>
        <w:rPr>
          <w:szCs w:val="20"/>
          <w:lang w:val="ru-RU"/>
        </w:rPr>
      </w:pPr>
    </w:p>
    <w:p w:rsidR="00495A3D" w:rsidRPr="00495A3D" w:rsidRDefault="00495A3D" w:rsidP="00495A3D">
      <w:pPr>
        <w:tabs>
          <w:tab w:val="left" w:pos="1985"/>
        </w:tabs>
        <w:rPr>
          <w:b/>
          <w:szCs w:val="22"/>
          <w:lang w:val="ru-RU"/>
        </w:rPr>
      </w:pPr>
      <w:r w:rsidRPr="00495A3D">
        <w:rPr>
          <w:b/>
          <w:lang w:val="ru-RU"/>
        </w:rPr>
        <w:t xml:space="preserve">Руководитель программы: </w:t>
      </w:r>
      <w:r w:rsidRPr="00495A3D">
        <w:rPr>
          <w:lang w:val="ru-RU"/>
        </w:rPr>
        <w:tab/>
      </w:r>
      <w:r w:rsidRPr="00495A3D">
        <w:rPr>
          <w:b/>
          <w:lang w:val="ru-RU"/>
        </w:rPr>
        <w:t>г-н Дж. Сэндедж</w:t>
      </w:r>
    </w:p>
    <w:p w:rsidR="00495A3D" w:rsidRPr="00495A3D" w:rsidRDefault="00495A3D" w:rsidP="00495A3D">
      <w:pPr>
        <w:rPr>
          <w:sz w:val="18"/>
          <w:szCs w:val="20"/>
          <w:lang w:val="ru-RU"/>
        </w:rPr>
      </w:pPr>
    </w:p>
    <w:p w:rsidR="00495A3D" w:rsidRPr="00495A3D" w:rsidRDefault="00495A3D" w:rsidP="00495A3D">
      <w:pPr>
        <w:rPr>
          <w:szCs w:val="20"/>
          <w:lang w:val="ru-RU"/>
        </w:rPr>
      </w:pPr>
    </w:p>
    <w:p w:rsidR="00495A3D" w:rsidRPr="00495A3D" w:rsidRDefault="00495A3D" w:rsidP="00495A3D">
      <w:pPr>
        <w:rPr>
          <w:bCs/>
          <w:szCs w:val="22"/>
          <w:lang w:val="ru-RU"/>
        </w:rPr>
      </w:pPr>
      <w:r w:rsidRPr="00495A3D">
        <w:rPr>
          <w:lang w:val="ru-RU"/>
        </w:rPr>
        <w:t>ОБЗОР ДОСТИЖЕНИЙ ЗА ДВУХЛЕТНИЙ ПЕРИОД 2014–2015 ГГ.</w:t>
      </w:r>
    </w:p>
    <w:p w:rsidR="00495A3D" w:rsidRPr="00495A3D" w:rsidRDefault="00495A3D" w:rsidP="00495A3D">
      <w:pPr>
        <w:rPr>
          <w:bCs/>
          <w:szCs w:val="22"/>
          <w:lang w:val="ru-RU"/>
        </w:rPr>
      </w:pPr>
    </w:p>
    <w:p w:rsidR="00495A3D" w:rsidRDefault="00495A3D" w:rsidP="00495A3D">
      <w:pPr>
        <w:pStyle w:val="ListParagraph"/>
        <w:numPr>
          <w:ilvl w:val="0"/>
          <w:numId w:val="12"/>
        </w:numPr>
        <w:tabs>
          <w:tab w:val="left" w:pos="567"/>
        </w:tabs>
        <w:ind w:left="0" w:firstLine="0"/>
        <w:jc w:val="both"/>
        <w:rPr>
          <w:rFonts w:cs="Arial"/>
        </w:rPr>
      </w:pPr>
      <w:r w:rsidRPr="00495A3D">
        <w:rPr>
          <w:lang w:val="ru-RU"/>
        </w:rPr>
        <w:t xml:space="preserve">Центр ВОИС по арбитражу и посредничеству (Центр ВОИС) – это признанный глобальный ресурс, обеспечивающий оперативные и экономичные альтернативы судебному разрешению споров в области ИС и доменных имен в интернете и выступающий в качестве источника правовых и организационных экспертных знаний, а также инстанции по ведению дел.  Наличие эффективных механизмов урегулирования споров способствует обеспечению правовой защиты и продуктивному использованию </w:t>
      </w:r>
      <w:r>
        <w:t>ИС на международном уровне.</w:t>
      </w:r>
    </w:p>
    <w:p w:rsidR="00495A3D" w:rsidRDefault="00495A3D" w:rsidP="00495A3D">
      <w:pPr>
        <w:pStyle w:val="ListParagraph"/>
        <w:tabs>
          <w:tab w:val="left" w:pos="709"/>
        </w:tabs>
        <w:ind w:left="0"/>
        <w:jc w:val="both"/>
        <w:rPr>
          <w:rFonts w:cs="Arial"/>
        </w:rPr>
      </w:pPr>
    </w:p>
    <w:p w:rsidR="00495A3D" w:rsidRPr="00495A3D" w:rsidRDefault="00495A3D" w:rsidP="00495A3D">
      <w:pPr>
        <w:pStyle w:val="ListParagraph"/>
        <w:numPr>
          <w:ilvl w:val="0"/>
          <w:numId w:val="12"/>
        </w:numPr>
        <w:tabs>
          <w:tab w:val="left" w:pos="567"/>
        </w:tabs>
        <w:ind w:left="0" w:firstLine="0"/>
        <w:jc w:val="both"/>
        <w:rPr>
          <w:rFonts w:cs="Arial"/>
          <w:lang w:val="ru-RU"/>
        </w:rPr>
      </w:pPr>
      <w:r w:rsidRPr="00495A3D">
        <w:rPr>
          <w:lang w:val="ru-RU"/>
        </w:rPr>
        <w:t>Центр ВОИС активно рассматривал споры, направлявшиеся в ВОИС, в различных областях ИС, применяя при этом современную инфраструктуру ведения дел, в частности, Электронный модуль ВОИС для рассмотрения споров (</w:t>
      </w:r>
      <w:r>
        <w:t>ECAF</w:t>
      </w:r>
      <w:r w:rsidRPr="00495A3D">
        <w:rPr>
          <w:lang w:val="ru-RU"/>
        </w:rPr>
        <w:t>).  По итогам международных консультаций Центр ВОИС разработал и внедрил пересмотренные Правила в области арбитража, посредничества и вынесения экспертных решений</w:t>
      </w:r>
      <w:r>
        <w:rPr>
          <w:rStyle w:val="FootnoteReference"/>
        </w:rPr>
        <w:footnoteReference w:id="46"/>
      </w:r>
      <w:r w:rsidRPr="00495A3D">
        <w:rPr>
          <w:lang w:val="ru-RU"/>
        </w:rPr>
        <w:t>.  Эти правила учитывают последние изменения в практике альтернативного урегулирования споров (АУС) и создают более прочную основу для применения более экономичных и оперативных процедур.  На основе опыта административного рассмотрения дел в 2015</w:t>
      </w:r>
      <w:r>
        <w:t> </w:t>
      </w:r>
      <w:r w:rsidRPr="00495A3D">
        <w:rPr>
          <w:lang w:val="ru-RU"/>
        </w:rPr>
        <w:t>г. ВОИС был разработан и запущен Генератор положений контрактов</w:t>
      </w:r>
      <w:r>
        <w:rPr>
          <w:rStyle w:val="FootnoteReference"/>
        </w:rPr>
        <w:footnoteReference w:id="47"/>
      </w:r>
      <w:r w:rsidRPr="00495A3D">
        <w:rPr>
          <w:lang w:val="ru-RU"/>
        </w:rPr>
        <w:t>.  Кроме того, Центр ВОИС проводил адаптированные к конкретным задачам мероприятия по вопросам арбитража и посредничества.</w:t>
      </w:r>
    </w:p>
    <w:p w:rsidR="00495A3D" w:rsidRPr="00495A3D" w:rsidRDefault="00495A3D" w:rsidP="00495A3D">
      <w:pPr>
        <w:pStyle w:val="ListParagraph"/>
        <w:tabs>
          <w:tab w:val="left" w:pos="709"/>
        </w:tabs>
        <w:ind w:left="0"/>
        <w:jc w:val="both"/>
        <w:rPr>
          <w:rFonts w:cs="Arial"/>
          <w:lang w:val="ru-RU"/>
        </w:rPr>
      </w:pPr>
    </w:p>
    <w:p w:rsidR="00495A3D" w:rsidRPr="00495A3D" w:rsidRDefault="00495A3D" w:rsidP="00495A3D">
      <w:pPr>
        <w:pStyle w:val="ListParagraph"/>
        <w:numPr>
          <w:ilvl w:val="0"/>
          <w:numId w:val="12"/>
        </w:numPr>
        <w:tabs>
          <w:tab w:val="left" w:pos="567"/>
        </w:tabs>
        <w:ind w:left="0" w:firstLine="0"/>
        <w:jc w:val="both"/>
        <w:rPr>
          <w:rFonts w:cs="Arial"/>
          <w:u w:val="single"/>
          <w:lang w:val="ru-RU"/>
        </w:rPr>
      </w:pPr>
      <w:r w:rsidRPr="00495A3D">
        <w:rPr>
          <w:lang w:val="ru-RU"/>
        </w:rPr>
        <w:t>Национальные судебные и антимонопольные органы некоторых юрисдикций рекомендуют сторонам патентных споров, касающихся стандартов систем связи, установленных в нескольких юрисдикциях, разрешать такие споры путем применения процедур АУС.  Благодаря сотрудничеству с рядом устанавливающих стандарты организаций, в частности с Европейским институтом по стандартизации в области телекоммуникаций (</w:t>
      </w:r>
      <w:r>
        <w:t>ETSI</w:t>
      </w:r>
      <w:r w:rsidRPr="00495A3D">
        <w:rPr>
          <w:lang w:val="ru-RU"/>
        </w:rPr>
        <w:t>) и Институтом инженеров электротехники и электроники (</w:t>
      </w:r>
      <w:r>
        <w:t>IEEE</w:t>
      </w:r>
      <w:r w:rsidRPr="00495A3D">
        <w:rPr>
          <w:lang w:val="ru-RU"/>
        </w:rPr>
        <w:t>), в рассматриваемый двухлетний период наблюдался рост числа запросов сторон о возможности использования специализированных соглашений ВОИС для разрешения споров о справедливых, обоснованных и недискриминационных (</w:t>
      </w:r>
      <w:r>
        <w:t>FRAND</w:t>
      </w:r>
      <w:r w:rsidRPr="00495A3D">
        <w:rPr>
          <w:lang w:val="ru-RU"/>
        </w:rPr>
        <w:t xml:space="preserve">) условиях лицензирования с применением инструментов посредничества и арбитража ВОИС.  </w:t>
      </w:r>
    </w:p>
    <w:p w:rsidR="00495A3D" w:rsidRPr="00495A3D" w:rsidRDefault="00495A3D" w:rsidP="00495A3D">
      <w:pPr>
        <w:pStyle w:val="ListParagraph"/>
        <w:tabs>
          <w:tab w:val="left" w:pos="709"/>
        </w:tabs>
        <w:ind w:left="0"/>
        <w:jc w:val="both"/>
        <w:rPr>
          <w:rFonts w:cs="Arial"/>
          <w:u w:val="single"/>
          <w:lang w:val="ru-RU"/>
        </w:rPr>
      </w:pPr>
    </w:p>
    <w:p w:rsidR="00495A3D" w:rsidRPr="00495A3D" w:rsidRDefault="00495A3D" w:rsidP="00495A3D">
      <w:pPr>
        <w:pStyle w:val="ListParagraph"/>
        <w:numPr>
          <w:ilvl w:val="0"/>
          <w:numId w:val="12"/>
        </w:numPr>
        <w:tabs>
          <w:tab w:val="left" w:pos="567"/>
        </w:tabs>
        <w:ind w:left="0" w:firstLine="0"/>
        <w:jc w:val="both"/>
        <w:rPr>
          <w:rStyle w:val="ONUMEChar"/>
          <w:lang w:val="ru-RU"/>
        </w:rPr>
      </w:pPr>
      <w:r w:rsidRPr="00495A3D">
        <w:rPr>
          <w:lang w:val="ru-RU"/>
        </w:rPr>
        <w:t xml:space="preserve">В рассматриваемый двухлетний период </w:t>
      </w:r>
      <w:r w:rsidRPr="00495A3D">
        <w:rPr>
          <w:rStyle w:val="ONUMEChar"/>
          <w:lang w:val="ru-RU"/>
        </w:rPr>
        <w:t>были подписаны меморандумы о взаимопонимании (МоВ)</w:t>
      </w:r>
      <w:r w:rsidRPr="00495A3D">
        <w:rPr>
          <w:lang w:val="ru-RU"/>
        </w:rPr>
        <w:t xml:space="preserve"> с Ассоциацией правообладателей Испании (</w:t>
      </w:r>
      <w:r>
        <w:t>AEF</w:t>
      </w:r>
      <w:r w:rsidRPr="00495A3D">
        <w:rPr>
          <w:lang w:val="ru-RU"/>
        </w:rPr>
        <w:t>), Национальным управлением авторского права Колумбии (</w:t>
      </w:r>
      <w:r>
        <w:t>DNDA</w:t>
      </w:r>
      <w:r w:rsidRPr="00495A3D">
        <w:rPr>
          <w:lang w:val="ru-RU"/>
        </w:rPr>
        <w:t>), Управлением общих прав интеллектуальной собственности Индонезии (</w:t>
      </w:r>
      <w:r>
        <w:t>DGIPR</w:t>
      </w:r>
      <w:r w:rsidRPr="00495A3D">
        <w:rPr>
          <w:lang w:val="ru-RU"/>
        </w:rPr>
        <w:t>), Институтом промышленной собственности Мексики (</w:t>
      </w:r>
      <w:r>
        <w:t>IMPI</w:t>
      </w:r>
      <w:r w:rsidRPr="00495A3D">
        <w:rPr>
          <w:lang w:val="ru-RU"/>
        </w:rPr>
        <w:t>) и Ведомством интеллектуальной собственности Филиппин (</w:t>
      </w:r>
      <w:r>
        <w:t>IPOPHL</w:t>
      </w:r>
      <w:r w:rsidRPr="00495A3D">
        <w:rPr>
          <w:lang w:val="ru-RU"/>
        </w:rPr>
        <w:t xml:space="preserve">), что увеличило число государств-членов, с которыми осуществляется сотрудничество.  Такое сотрудничество охватывает разработку необязательных норм и принципов АУС, обеспечивающих экономичные и гибкие способы разрешения споров сторон в соответствующих ведомствах в отношении не оформленных заявок или предоставленных прав.  </w:t>
      </w:r>
      <w:r w:rsidRPr="00495A3D">
        <w:rPr>
          <w:rStyle w:val="ONUMEChar"/>
          <w:lang w:val="ru-RU"/>
        </w:rPr>
        <w:t>В</w:t>
      </w:r>
      <w:r>
        <w:rPr>
          <w:rStyle w:val="ONUMEChar"/>
        </w:rPr>
        <w:t> </w:t>
      </w:r>
      <w:r w:rsidRPr="00495A3D">
        <w:rPr>
          <w:rStyle w:val="ONUMEChar"/>
          <w:lang w:val="ru-RU"/>
        </w:rPr>
        <w:t>2015</w:t>
      </w:r>
      <w:r>
        <w:rPr>
          <w:rStyle w:val="ONUMEChar"/>
        </w:rPr>
        <w:t> </w:t>
      </w:r>
      <w:r w:rsidRPr="00495A3D">
        <w:rPr>
          <w:rStyle w:val="ONUMEChar"/>
          <w:lang w:val="ru-RU"/>
        </w:rPr>
        <w:t xml:space="preserve">г. Ведомство по патентам и товарным знакам Соединенных Штатов Америки (ВПТЗ США) включило Центр ВОИС в перечень поставщиков АУС, занимающихся рассмотрением подобных споров.  </w:t>
      </w:r>
    </w:p>
    <w:p w:rsidR="00495A3D" w:rsidRPr="00495A3D" w:rsidRDefault="00495A3D" w:rsidP="00495A3D">
      <w:pPr>
        <w:pStyle w:val="ListParagraph"/>
        <w:rPr>
          <w:rStyle w:val="ONUMEChar"/>
          <w:szCs w:val="22"/>
          <w:lang w:val="ru-RU"/>
        </w:rPr>
      </w:pPr>
    </w:p>
    <w:p w:rsidR="00495A3D" w:rsidRPr="00495A3D" w:rsidRDefault="00495A3D" w:rsidP="00495A3D">
      <w:pPr>
        <w:pStyle w:val="ListParagraph"/>
        <w:numPr>
          <w:ilvl w:val="0"/>
          <w:numId w:val="12"/>
        </w:numPr>
        <w:tabs>
          <w:tab w:val="left" w:pos="567"/>
        </w:tabs>
        <w:ind w:left="0" w:firstLine="0"/>
        <w:jc w:val="both"/>
        <w:rPr>
          <w:rFonts w:cs="Arial"/>
          <w:lang w:val="ru-RU"/>
        </w:rPr>
      </w:pPr>
      <w:r w:rsidRPr="00495A3D">
        <w:rPr>
          <w:lang w:val="ru-RU"/>
        </w:rPr>
        <w:t xml:space="preserve">Центр ВОИС наладил сотрудничество с </w:t>
      </w:r>
      <w:r w:rsidRPr="00495A3D">
        <w:rPr>
          <w:rStyle w:val="Strong"/>
          <w:lang w:val="ru-RU"/>
        </w:rPr>
        <w:t>Бразильской франчайзинговой ассоциацией</w:t>
      </w:r>
      <w:r w:rsidRPr="00495A3D">
        <w:rPr>
          <w:lang w:val="ru-RU"/>
        </w:rPr>
        <w:t xml:space="preserve"> (</w:t>
      </w:r>
      <w:r>
        <w:t>ABF</w:t>
      </w:r>
      <w:r w:rsidRPr="00495A3D">
        <w:rPr>
          <w:lang w:val="ru-RU"/>
        </w:rPr>
        <w:t xml:space="preserve">), </w:t>
      </w:r>
      <w:r w:rsidRPr="00495A3D">
        <w:rPr>
          <w:rStyle w:val="ONUMEChar"/>
          <w:lang w:val="ru-RU"/>
        </w:rPr>
        <w:t>Испанской франчайзинговой ассоциацией (</w:t>
      </w:r>
      <w:r>
        <w:t>AEF</w:t>
      </w:r>
      <w:r w:rsidRPr="00495A3D">
        <w:rPr>
          <w:lang w:val="ru-RU"/>
        </w:rPr>
        <w:t>) и Швейцарской франчайзинговой ассоциацией (</w:t>
      </w:r>
      <w:r>
        <w:t>SFA</w:t>
      </w:r>
      <w:r w:rsidRPr="00495A3D">
        <w:rPr>
          <w:lang w:val="ru-RU"/>
        </w:rPr>
        <w:t>), а также способствовал разработке типовых соглашений о НИОКР, включая разработку положений об АУС, которой занималось немецкое министерство экономики и технологий и Испанского ведомства по патентам и товарным знакам (ИВПТЗ).  Центр ВОИС также разработал процедуру ускоренного урегулирования споров об ИС, возникающих в ходе торговых ярмарок, которая впервые была использована на Международной автомобильной выставке в Женеве в 2015</w:t>
      </w:r>
      <w:r>
        <w:t> </w:t>
      </w:r>
      <w:r w:rsidRPr="00495A3D">
        <w:rPr>
          <w:lang w:val="ru-RU"/>
        </w:rPr>
        <w:t>г.</w:t>
      </w:r>
    </w:p>
    <w:p w:rsidR="00495A3D" w:rsidRPr="00495A3D" w:rsidRDefault="00495A3D" w:rsidP="00495A3D">
      <w:pPr>
        <w:pStyle w:val="ListParagraph"/>
        <w:tabs>
          <w:tab w:val="left" w:pos="709"/>
        </w:tabs>
        <w:ind w:left="0"/>
        <w:jc w:val="both"/>
        <w:outlineLvl w:val="2"/>
        <w:rPr>
          <w:rFonts w:cs="Arial"/>
          <w:lang w:val="ru-RU"/>
        </w:rPr>
      </w:pPr>
    </w:p>
    <w:p w:rsidR="00495A3D" w:rsidRPr="00495A3D" w:rsidRDefault="00495A3D" w:rsidP="00495A3D">
      <w:pPr>
        <w:pStyle w:val="ListParagraph"/>
        <w:numPr>
          <w:ilvl w:val="0"/>
          <w:numId w:val="12"/>
        </w:numPr>
        <w:tabs>
          <w:tab w:val="left" w:pos="567"/>
        </w:tabs>
        <w:ind w:left="0" w:firstLine="0"/>
        <w:jc w:val="both"/>
        <w:rPr>
          <w:rFonts w:cs="Arial"/>
          <w:lang w:val="ru-RU"/>
        </w:rPr>
      </w:pPr>
      <w:r w:rsidRPr="00495A3D">
        <w:rPr>
          <w:lang w:val="ru-RU"/>
        </w:rPr>
        <w:t>Центр ВОИС по-прежнему стремился играть лидирующую роль в разработке решений для АУС в связи с незаконным использованием ИС в интернете.  В частности, это касалось введения Корпорацией по регистрации имен и номеров в Интернете (ИКАНН) до 1</w:t>
      </w:r>
      <w:r>
        <w:t> </w:t>
      </w:r>
      <w:r w:rsidRPr="00495A3D">
        <w:rPr>
          <w:lang w:val="ru-RU"/>
        </w:rPr>
        <w:t xml:space="preserve">400 новых родовых доменов верхнего уровня (рДВУ).  В 2014 г. Центр ВОИС внедрил </w:t>
      </w:r>
      <w:hyperlink r:id="rId123">
        <w:r w:rsidRPr="00495A3D">
          <w:rPr>
            <w:lang w:val="ru-RU"/>
          </w:rPr>
          <w:t>Процедуру урегулирования споров после делегирования имен и номеров</w:t>
        </w:r>
      </w:hyperlink>
      <w:r w:rsidRPr="00495A3D">
        <w:rPr>
          <w:lang w:val="ru-RU"/>
        </w:rPr>
        <w:t xml:space="preserve"> ИКАНН. Это основанный на использовании товарных знаков механизм, утвержденный в 2013</w:t>
      </w:r>
      <w:r>
        <w:t> </w:t>
      </w:r>
      <w:r w:rsidRPr="00495A3D">
        <w:rPr>
          <w:lang w:val="ru-RU"/>
        </w:rPr>
        <w:t>г., цель которого – обеспечивать ответственное поведение оператора реестра после начала использования конкретного домена. Центр ВОИС также способствовал разработке новых положений о налагаемой Регистратором блокировке в рамках Единой политики урегулирования споров в области доменных имен (ЕПУС).</w:t>
      </w:r>
    </w:p>
    <w:p w:rsidR="00495A3D" w:rsidRPr="00495A3D" w:rsidRDefault="00495A3D" w:rsidP="00495A3D">
      <w:pPr>
        <w:pStyle w:val="ListParagraph"/>
        <w:tabs>
          <w:tab w:val="left" w:pos="709"/>
        </w:tabs>
        <w:ind w:left="0"/>
        <w:jc w:val="both"/>
        <w:rPr>
          <w:rFonts w:cs="Arial"/>
          <w:lang w:val="ru-RU"/>
        </w:rPr>
      </w:pPr>
    </w:p>
    <w:p w:rsidR="00495A3D" w:rsidRPr="00495A3D" w:rsidRDefault="00495A3D" w:rsidP="00495A3D">
      <w:pPr>
        <w:pStyle w:val="ListParagraph"/>
        <w:numPr>
          <w:ilvl w:val="0"/>
          <w:numId w:val="12"/>
        </w:numPr>
        <w:tabs>
          <w:tab w:val="left" w:pos="567"/>
        </w:tabs>
        <w:ind w:left="0" w:firstLine="0"/>
        <w:jc w:val="both"/>
        <w:rPr>
          <w:bCs/>
          <w:lang w:val="ru-RU"/>
        </w:rPr>
      </w:pPr>
      <w:r w:rsidRPr="00495A3D">
        <w:rPr>
          <w:lang w:val="ru-RU"/>
        </w:rPr>
        <w:t>В 2014</w:t>
      </w:r>
      <w:r>
        <w:t> </w:t>
      </w:r>
      <w:r w:rsidRPr="00495A3D">
        <w:rPr>
          <w:lang w:val="ru-RU"/>
        </w:rPr>
        <w:t>г. исполнилось 15 лет применения разработанной ВОИС ЕПУС.  С момента, когда Центр ВОИС рассмотрел в 1999</w:t>
      </w:r>
      <w:r>
        <w:t> </w:t>
      </w:r>
      <w:r w:rsidRPr="00495A3D">
        <w:rPr>
          <w:lang w:val="ru-RU"/>
        </w:rPr>
        <w:t>г. первый спор на основании норм ЕПУС, общее число заявлений о рассмотрении споров, поданных в ВОИС, превысило отметку в 33</w:t>
      </w:r>
      <w:r>
        <w:t> </w:t>
      </w:r>
      <w:r w:rsidRPr="00495A3D">
        <w:rPr>
          <w:lang w:val="ru-RU"/>
        </w:rPr>
        <w:t>000</w:t>
      </w:r>
      <w:r>
        <w:rPr>
          <w:rStyle w:val="FootnoteReference"/>
        </w:rPr>
        <w:footnoteReference w:id="48"/>
      </w:r>
      <w:r w:rsidRPr="00495A3D">
        <w:rPr>
          <w:lang w:val="ru-RU"/>
        </w:rPr>
        <w:t>, и такие заявления касались более 61</w:t>
      </w:r>
      <w:r>
        <w:t> </w:t>
      </w:r>
      <w:r w:rsidRPr="00495A3D">
        <w:rPr>
          <w:lang w:val="ru-RU"/>
        </w:rPr>
        <w:t>000 доменных имен.  В 2014 г. число поданных в ВОИС заявлений о рассмотрении дел о киберсквоттинге, поданных владельцами товарных знаков, заявлявших о злоупотреблении их знаками, возросло на 1,9% относительно уровня 2013 г., а в 2015</w:t>
      </w:r>
      <w:r>
        <w:t> </w:t>
      </w:r>
      <w:r w:rsidRPr="00495A3D">
        <w:rPr>
          <w:lang w:val="ru-RU"/>
        </w:rPr>
        <w:t>г. – на 4,6% относительно уровня 2014</w:t>
      </w:r>
      <w:r>
        <w:t> </w:t>
      </w:r>
      <w:r w:rsidRPr="00495A3D">
        <w:rPr>
          <w:lang w:val="ru-RU"/>
        </w:rPr>
        <w:t>г.  В это число вошли первые споры, принятые к рассмотрению по процедуре ЕПУС в отношении регистрации новых рДВУ, которые составляли 6,8</w:t>
      </w:r>
      <w:r>
        <w:t> </w:t>
      </w:r>
      <w:r w:rsidRPr="00495A3D">
        <w:rPr>
          <w:lang w:val="ru-RU"/>
        </w:rPr>
        <w:t>процентов оспариваемых доменных имен в 2014–2015</w:t>
      </w:r>
      <w:r>
        <w:t> </w:t>
      </w:r>
      <w:r w:rsidRPr="00495A3D">
        <w:rPr>
          <w:lang w:val="ru-RU"/>
        </w:rPr>
        <w:t xml:space="preserve">гг. </w:t>
      </w:r>
    </w:p>
    <w:p w:rsidR="00495A3D" w:rsidRPr="00495A3D" w:rsidRDefault="00495A3D" w:rsidP="00495A3D">
      <w:pPr>
        <w:pStyle w:val="ListParagraph"/>
        <w:tabs>
          <w:tab w:val="left" w:pos="709"/>
        </w:tabs>
        <w:ind w:left="0"/>
        <w:jc w:val="both"/>
        <w:rPr>
          <w:bCs/>
          <w:lang w:val="ru-RU"/>
        </w:rPr>
      </w:pPr>
    </w:p>
    <w:p w:rsidR="00495A3D" w:rsidRPr="00495A3D" w:rsidRDefault="00495A3D" w:rsidP="00495A3D">
      <w:pPr>
        <w:pStyle w:val="ListParagraph"/>
        <w:numPr>
          <w:ilvl w:val="0"/>
          <w:numId w:val="12"/>
        </w:numPr>
        <w:tabs>
          <w:tab w:val="left" w:pos="567"/>
        </w:tabs>
        <w:ind w:left="0" w:firstLine="0"/>
        <w:jc w:val="both"/>
        <w:rPr>
          <w:rFonts w:cs="Arial"/>
          <w:lang w:val="ru-RU"/>
        </w:rPr>
      </w:pPr>
      <w:r w:rsidRPr="00495A3D">
        <w:rPr>
          <w:lang w:val="ru-RU"/>
        </w:rPr>
        <w:t>В рассматриваемый двухлетний период Центр ВОИС осуществлял обмен наилучшей практикой в области урегулирования споров с администраторами доменов верхнего уровня с кодом стран (ксДВУ) в различных регионах.  Центр ВОИС стал провайдером доменов .</w:t>
      </w:r>
      <w:r>
        <w:t>GQ</w:t>
      </w:r>
      <w:r w:rsidRPr="00495A3D">
        <w:rPr>
          <w:lang w:val="ru-RU"/>
        </w:rPr>
        <w:t xml:space="preserve"> (Экваториальная Гвинея) и .</w:t>
      </w:r>
      <w:r>
        <w:t>VG</w:t>
      </w:r>
      <w:r w:rsidRPr="00495A3D">
        <w:rPr>
          <w:lang w:val="ru-RU"/>
        </w:rPr>
        <w:t xml:space="preserve"> (Британские Виргинские острова), в результате чего общее число ксДВУ, в отношении которых ВОИС оказывает такие услуги, достигло 71</w:t>
      </w:r>
      <w:r>
        <w:rPr>
          <w:rStyle w:val="FootnoteReference"/>
        </w:rPr>
        <w:footnoteReference w:id="49"/>
      </w:r>
      <w:r w:rsidRPr="00495A3D">
        <w:rPr>
          <w:lang w:val="ru-RU"/>
        </w:rPr>
        <w:t xml:space="preserve">.  </w:t>
      </w:r>
    </w:p>
    <w:p w:rsidR="00495A3D" w:rsidRPr="00495A3D" w:rsidRDefault="00495A3D" w:rsidP="00495A3D">
      <w:pPr>
        <w:pStyle w:val="ListParagraph"/>
        <w:tabs>
          <w:tab w:val="left" w:pos="709"/>
        </w:tabs>
        <w:ind w:left="0"/>
        <w:jc w:val="both"/>
        <w:rPr>
          <w:rFonts w:cs="Arial"/>
          <w:lang w:val="ru-RU"/>
        </w:rPr>
      </w:pPr>
    </w:p>
    <w:p w:rsidR="00495A3D" w:rsidRPr="00495A3D" w:rsidRDefault="00495A3D" w:rsidP="00495A3D">
      <w:pPr>
        <w:pStyle w:val="ListParagraph"/>
        <w:numPr>
          <w:ilvl w:val="0"/>
          <w:numId w:val="12"/>
        </w:numPr>
        <w:tabs>
          <w:tab w:val="left" w:pos="567"/>
        </w:tabs>
        <w:ind w:left="0" w:firstLine="0"/>
        <w:jc w:val="both"/>
        <w:rPr>
          <w:rFonts w:cs="Arial"/>
          <w:lang w:val="ru-RU"/>
        </w:rPr>
      </w:pPr>
      <w:r w:rsidRPr="00495A3D">
        <w:rPr>
          <w:lang w:val="ru-RU"/>
        </w:rPr>
        <w:t xml:space="preserve">Планирование и реализация мероприятий Центра ВОИС были основаны на соответствующих рекомендациях ПДР, в частности на рекомендациях 1, 6 и 10.  Это касалось проведения Центром ВОИС адаптированных к конкретным условиям программ в области арбитража и посредничества для сотрудников ведомств ИС и юристов, работающих в области ИС, оказания помощи ведомствам ИС в разработке необязательных норм и принципов АУС для ведения дел, направляемых на их рассмотрение, а также помощи органам, делегирующим и управляющим ксДВУ, в разработке норм ведения реестров и механизмов урегулирования споров, соответствующих условиям развивающихся стран и стран с переходной экономикой. </w:t>
      </w:r>
    </w:p>
    <w:p w:rsidR="00495A3D" w:rsidRPr="00495A3D" w:rsidRDefault="00495A3D" w:rsidP="00495A3D">
      <w:pPr>
        <w:rPr>
          <w:bCs/>
          <w:sz w:val="22"/>
          <w:szCs w:val="22"/>
          <w:lang w:val="ru-RU"/>
        </w:rPr>
      </w:pPr>
    </w:p>
    <w:p w:rsidR="00495A3D" w:rsidRPr="00495A3D" w:rsidRDefault="00495A3D" w:rsidP="00495A3D">
      <w:pPr>
        <w:rPr>
          <w:bCs/>
          <w:sz w:val="22"/>
          <w:szCs w:val="22"/>
          <w:lang w:val="ru-RU"/>
        </w:rPr>
      </w:pPr>
    </w:p>
    <w:p w:rsidR="00495A3D" w:rsidRPr="00347CE5" w:rsidRDefault="00495A3D" w:rsidP="00495A3D">
      <w:pPr>
        <w:rPr>
          <w:rFonts w:cs="Arial"/>
          <w:szCs w:val="20"/>
        </w:rPr>
      </w:pPr>
      <w:r>
        <w:rPr>
          <w:color w:val="000000"/>
        </w:rPr>
        <w:t>ДАННЫЕ О РЕЗУЛЬТАТИВНОСТИ</w:t>
      </w:r>
      <w:r>
        <w:t xml:space="preserve"> </w:t>
      </w:r>
    </w:p>
    <w:p w:rsidR="00495A3D" w:rsidRDefault="00495A3D" w:rsidP="00495A3D">
      <w:pPr>
        <w:jc w:val="both"/>
        <w:rPr>
          <w:rFonts w:cs="Arial"/>
          <w:szCs w:val="20"/>
        </w:rPr>
      </w:pPr>
    </w:p>
    <w:tbl>
      <w:tblPr>
        <w:tblW w:w="4884" w:type="pct"/>
        <w:tblInd w:w="108" w:type="dxa"/>
        <w:tblBorders>
          <w:top w:val="single" w:sz="4" w:space="0" w:color="auto"/>
          <w:left w:val="single" w:sz="4" w:space="0" w:color="auto"/>
          <w:bottom w:val="single" w:sz="4" w:space="0" w:color="auto"/>
          <w:right w:val="single" w:sz="4" w:space="0" w:color="auto"/>
        </w:tblBorders>
        <w:tblLayout w:type="fixed"/>
        <w:tblCellMar>
          <w:top w:w="57" w:type="dxa"/>
          <w:bottom w:w="57" w:type="dxa"/>
        </w:tblCellMar>
        <w:tblLook w:val="0000" w:firstRow="0" w:lastRow="0" w:firstColumn="0" w:lastColumn="0" w:noHBand="0" w:noVBand="0"/>
      </w:tblPr>
      <w:tblGrid>
        <w:gridCol w:w="2133"/>
        <w:gridCol w:w="2264"/>
        <w:gridCol w:w="1703"/>
        <w:gridCol w:w="2264"/>
        <w:gridCol w:w="985"/>
      </w:tblGrid>
      <w:tr w:rsidR="00495A3D" w:rsidRPr="005C6ABD" w:rsidTr="00495A3D">
        <w:trPr>
          <w:cantSplit/>
          <w:trHeight w:val="549"/>
        </w:trPr>
        <w:tc>
          <w:tcPr>
            <w:tcW w:w="5000" w:type="pct"/>
            <w:gridSpan w:val="5"/>
            <w:tcBorders>
              <w:top w:val="single" w:sz="4" w:space="0" w:color="auto"/>
              <w:bottom w:val="single" w:sz="4" w:space="0" w:color="auto"/>
            </w:tcBorders>
            <w:shd w:val="clear" w:color="auto" w:fill="C6D9F1" w:themeFill="text2" w:themeFillTint="33"/>
            <w:vAlign w:val="center"/>
          </w:tcPr>
          <w:p w:rsidR="00495A3D" w:rsidRPr="00495A3D" w:rsidRDefault="00495A3D" w:rsidP="003A5C2E">
            <w:pPr>
              <w:keepNext/>
              <w:keepLines/>
              <w:tabs>
                <w:tab w:val="left" w:pos="2302"/>
              </w:tabs>
              <w:ind w:left="2160" w:hanging="2160"/>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E4003F">
              <w:rPr>
                <w:sz w:val="16"/>
                <w:szCs w:val="16"/>
              </w:rPr>
              <w:t>II</w:t>
            </w:r>
            <w:r w:rsidRPr="00495A3D">
              <w:rPr>
                <w:sz w:val="16"/>
                <w:szCs w:val="16"/>
                <w:lang w:val="ru-RU"/>
              </w:rPr>
              <w:t>.8. Международные и внутренние споры по вопросам инте</w:t>
            </w:r>
            <w:r w:rsidR="003A5C2E">
              <w:rPr>
                <w:sz w:val="16"/>
                <w:szCs w:val="16"/>
                <w:lang w:val="ru-RU"/>
              </w:rPr>
              <w:t xml:space="preserve">ллектуальной собственности все </w:t>
            </w:r>
            <w:r w:rsidRPr="00495A3D">
              <w:rPr>
                <w:sz w:val="16"/>
                <w:szCs w:val="16"/>
                <w:lang w:val="ru-RU"/>
              </w:rPr>
              <w:t>в большей степени предотвращаются или урегулиру</w:t>
            </w:r>
            <w:r w:rsidR="003A5C2E">
              <w:rPr>
                <w:sz w:val="16"/>
                <w:szCs w:val="16"/>
                <w:lang w:val="ru-RU"/>
              </w:rPr>
              <w:t xml:space="preserve">ются с помощью посредничества, </w:t>
            </w:r>
            <w:r w:rsidRPr="00495A3D">
              <w:rPr>
                <w:sz w:val="16"/>
                <w:szCs w:val="16"/>
                <w:lang w:val="ru-RU"/>
              </w:rPr>
              <w:t>арбитража и других используемых ВОИС методов альтернативного урегулирования споров</w:t>
            </w:r>
          </w:p>
        </w:tc>
      </w:tr>
      <w:tr w:rsidR="00495A3D" w:rsidRPr="00E4003F" w:rsidTr="00495A3D">
        <w:trPr>
          <w:cantSplit/>
        </w:trPr>
        <w:tc>
          <w:tcPr>
            <w:tcW w:w="1140" w:type="pct"/>
            <w:tcBorders>
              <w:top w:val="single" w:sz="4" w:space="0" w:color="auto"/>
              <w:bottom w:val="nil"/>
            </w:tcBorders>
            <w:shd w:val="clear" w:color="auto" w:fill="auto"/>
            <w:vAlign w:val="center"/>
          </w:tcPr>
          <w:p w:rsidR="00495A3D" w:rsidRPr="00E4003F" w:rsidRDefault="00495A3D" w:rsidP="00495A3D">
            <w:pPr>
              <w:rPr>
                <w:rFonts w:cs="Arial"/>
                <w:sz w:val="16"/>
                <w:szCs w:val="16"/>
              </w:rPr>
            </w:pPr>
            <w:r w:rsidRPr="00E4003F">
              <w:rPr>
                <w:b/>
                <w:sz w:val="16"/>
                <w:szCs w:val="16"/>
              </w:rPr>
              <w:t>Показатели результативности</w:t>
            </w:r>
          </w:p>
        </w:tc>
        <w:tc>
          <w:tcPr>
            <w:tcW w:w="1211" w:type="pct"/>
            <w:tcBorders>
              <w:top w:val="single" w:sz="4" w:space="0" w:color="auto"/>
              <w:bottom w:val="nil"/>
            </w:tcBorders>
            <w:shd w:val="clear" w:color="auto" w:fill="auto"/>
            <w:vAlign w:val="center"/>
          </w:tcPr>
          <w:p w:rsidR="00495A3D" w:rsidRPr="00E4003F" w:rsidRDefault="00495A3D" w:rsidP="00495A3D">
            <w:pPr>
              <w:rPr>
                <w:rFonts w:cs="Arial"/>
                <w:b/>
                <w:bCs/>
                <w:sz w:val="16"/>
                <w:szCs w:val="16"/>
              </w:rPr>
            </w:pPr>
            <w:r w:rsidRPr="00E4003F">
              <w:rPr>
                <w:b/>
                <w:sz w:val="16"/>
                <w:szCs w:val="16"/>
              </w:rPr>
              <w:t>Базовые показатели</w:t>
            </w:r>
          </w:p>
        </w:tc>
        <w:tc>
          <w:tcPr>
            <w:tcW w:w="911" w:type="pct"/>
            <w:tcBorders>
              <w:top w:val="single" w:sz="4" w:space="0" w:color="auto"/>
              <w:bottom w:val="nil"/>
            </w:tcBorders>
            <w:shd w:val="clear" w:color="auto" w:fill="auto"/>
            <w:tcMar>
              <w:top w:w="110" w:type="dxa"/>
            </w:tcMar>
            <w:vAlign w:val="center"/>
          </w:tcPr>
          <w:p w:rsidR="00495A3D" w:rsidRPr="00E4003F" w:rsidRDefault="00495A3D" w:rsidP="00495A3D">
            <w:pPr>
              <w:rPr>
                <w:rFonts w:cs="Arial"/>
                <w:b/>
                <w:sz w:val="16"/>
                <w:szCs w:val="16"/>
              </w:rPr>
            </w:pPr>
            <w:r w:rsidRPr="00E4003F">
              <w:rPr>
                <w:b/>
                <w:sz w:val="16"/>
                <w:szCs w:val="16"/>
              </w:rPr>
              <w:t>Цели</w:t>
            </w:r>
          </w:p>
        </w:tc>
        <w:tc>
          <w:tcPr>
            <w:tcW w:w="1211" w:type="pct"/>
            <w:tcBorders>
              <w:top w:val="single" w:sz="4" w:space="0" w:color="auto"/>
              <w:bottom w:val="nil"/>
            </w:tcBorders>
            <w:shd w:val="clear" w:color="auto" w:fill="auto"/>
            <w:tcMar>
              <w:top w:w="110" w:type="dxa"/>
            </w:tcMar>
            <w:vAlign w:val="center"/>
          </w:tcPr>
          <w:p w:rsidR="00495A3D" w:rsidRPr="00E4003F" w:rsidRDefault="00495A3D" w:rsidP="00495A3D">
            <w:pPr>
              <w:rPr>
                <w:rFonts w:cs="Arial"/>
                <w:sz w:val="16"/>
                <w:szCs w:val="16"/>
              </w:rPr>
            </w:pPr>
            <w:r w:rsidRPr="00E4003F">
              <w:rPr>
                <w:b/>
                <w:sz w:val="16"/>
                <w:szCs w:val="16"/>
              </w:rPr>
              <w:t>Данные о результативности</w:t>
            </w:r>
          </w:p>
        </w:tc>
        <w:tc>
          <w:tcPr>
            <w:tcW w:w="527" w:type="pct"/>
            <w:tcBorders>
              <w:top w:val="single" w:sz="4" w:space="0" w:color="auto"/>
              <w:bottom w:val="nil"/>
            </w:tcBorders>
            <w:shd w:val="clear" w:color="auto" w:fill="auto"/>
            <w:tcMar>
              <w:top w:w="110" w:type="dxa"/>
            </w:tcMar>
            <w:vAlign w:val="center"/>
          </w:tcPr>
          <w:p w:rsidR="00495A3D" w:rsidRPr="00E4003F" w:rsidRDefault="00495A3D" w:rsidP="00495A3D">
            <w:pPr>
              <w:keepNext/>
              <w:keepLines/>
              <w:jc w:val="center"/>
              <w:rPr>
                <w:rFonts w:cs="Arial"/>
                <w:b/>
                <w:bCs/>
                <w:sz w:val="16"/>
                <w:szCs w:val="16"/>
              </w:rPr>
            </w:pPr>
            <w:r w:rsidRPr="00E4003F">
              <w:rPr>
                <w:b/>
                <w:sz w:val="16"/>
                <w:szCs w:val="16"/>
              </w:rPr>
              <w:t>CC</w:t>
            </w:r>
          </w:p>
        </w:tc>
      </w:tr>
      <w:tr w:rsidR="00495A3D" w:rsidRPr="00E4003F" w:rsidTr="00495A3D">
        <w:trPr>
          <w:cantSplit/>
          <w:trHeight w:val="792"/>
        </w:trPr>
        <w:tc>
          <w:tcPr>
            <w:tcW w:w="1140" w:type="pct"/>
            <w:vMerge w:val="restart"/>
            <w:tcBorders>
              <w:top w:val="nil"/>
              <w:bottom w:val="nil"/>
            </w:tcBorders>
            <w:shd w:val="clear" w:color="auto" w:fill="auto"/>
          </w:tcPr>
          <w:p w:rsidR="00495A3D" w:rsidRPr="00495A3D" w:rsidRDefault="00495A3D" w:rsidP="00495A3D">
            <w:pPr>
              <w:rPr>
                <w:rFonts w:cs="Arial"/>
                <w:sz w:val="16"/>
                <w:szCs w:val="16"/>
                <w:lang w:val="ru-RU"/>
              </w:rPr>
            </w:pPr>
            <w:r w:rsidRPr="00495A3D">
              <w:rPr>
                <w:color w:val="000000"/>
                <w:sz w:val="16"/>
                <w:szCs w:val="16"/>
                <w:lang w:val="ru-RU"/>
              </w:rPr>
              <w:t>Рост тенденции использования услуг альтернативного урегулирования споров в связи со сделками, касающимися И</w:t>
            </w:r>
            <w:r w:rsidRPr="00E4003F">
              <w:rPr>
                <w:color w:val="000000"/>
                <w:sz w:val="16"/>
                <w:szCs w:val="16"/>
              </w:rPr>
              <w:t>C</w:t>
            </w:r>
            <w:r w:rsidRPr="00495A3D">
              <w:rPr>
                <w:color w:val="000000"/>
                <w:sz w:val="16"/>
                <w:szCs w:val="16"/>
                <w:lang w:val="ru-RU"/>
              </w:rPr>
              <w:t>, в том числе путем применения процедур ВОИС</w:t>
            </w:r>
          </w:p>
        </w:tc>
        <w:tc>
          <w:tcPr>
            <w:tcW w:w="1211" w:type="pct"/>
            <w:tcBorders>
              <w:top w:val="nil"/>
              <w:bottom w:val="nil"/>
            </w:tcBorders>
            <w:shd w:val="clear" w:color="auto" w:fill="auto"/>
          </w:tcPr>
          <w:p w:rsidR="00495A3D" w:rsidRPr="00495A3D" w:rsidRDefault="00495A3D" w:rsidP="00495A3D">
            <w:pPr>
              <w:rPr>
                <w:rFonts w:cs="Arial"/>
                <w:sz w:val="16"/>
                <w:szCs w:val="16"/>
                <w:lang w:val="ru-RU"/>
              </w:rPr>
            </w:pPr>
            <w:r w:rsidRPr="00495A3D">
              <w:rPr>
                <w:i/>
                <w:color w:val="002060"/>
                <w:sz w:val="16"/>
                <w:szCs w:val="16"/>
                <w:lang w:val="ru-RU"/>
              </w:rPr>
              <w:t>Обновленные базовые показатели, конец 2013</w:t>
            </w:r>
            <w:r w:rsidRPr="00E4003F">
              <w:rPr>
                <w:i/>
                <w:color w:val="002060"/>
                <w:sz w:val="16"/>
                <w:szCs w:val="16"/>
              </w:rPr>
              <w:t> </w:t>
            </w:r>
            <w:r w:rsidRPr="00495A3D">
              <w:rPr>
                <w:i/>
                <w:color w:val="002060"/>
                <w:sz w:val="16"/>
                <w:szCs w:val="16"/>
                <w:lang w:val="ru-RU"/>
              </w:rPr>
              <w:t xml:space="preserve">г.:  </w:t>
            </w:r>
            <w:r w:rsidRPr="00495A3D">
              <w:rPr>
                <w:color w:val="002060"/>
                <w:sz w:val="16"/>
                <w:szCs w:val="16"/>
                <w:lang w:val="ru-RU"/>
              </w:rPr>
              <w:t>375</w:t>
            </w:r>
            <w:r>
              <w:rPr>
                <w:color w:val="002060"/>
                <w:sz w:val="16"/>
                <w:szCs w:val="16"/>
              </w:rPr>
              <w:t> </w:t>
            </w:r>
            <w:r w:rsidRPr="00495A3D">
              <w:rPr>
                <w:color w:val="002060"/>
                <w:sz w:val="16"/>
                <w:szCs w:val="16"/>
                <w:lang w:val="ru-RU"/>
              </w:rPr>
              <w:t>споров и 95</w:t>
            </w:r>
            <w:r>
              <w:rPr>
                <w:color w:val="002060"/>
                <w:sz w:val="16"/>
                <w:szCs w:val="16"/>
              </w:rPr>
              <w:t> </w:t>
            </w:r>
            <w:r w:rsidRPr="00495A3D">
              <w:rPr>
                <w:color w:val="002060"/>
                <w:sz w:val="16"/>
                <w:szCs w:val="16"/>
                <w:lang w:val="ru-RU"/>
              </w:rPr>
              <w:t xml:space="preserve">процедур посредничества (всего на конец 2013 г.) </w:t>
            </w:r>
          </w:p>
        </w:tc>
        <w:tc>
          <w:tcPr>
            <w:tcW w:w="911" w:type="pct"/>
            <w:tcBorders>
              <w:top w:val="nil"/>
              <w:bottom w:val="nil"/>
            </w:tcBorders>
            <w:shd w:val="clear" w:color="auto" w:fill="auto"/>
            <w:tcMar>
              <w:top w:w="110" w:type="dxa"/>
            </w:tcMar>
          </w:tcPr>
          <w:p w:rsidR="00495A3D" w:rsidRPr="00495A3D" w:rsidRDefault="00495A3D" w:rsidP="00495A3D">
            <w:pPr>
              <w:autoSpaceDE w:val="0"/>
              <w:autoSpaceDN w:val="0"/>
              <w:adjustRightInd w:val="0"/>
              <w:rPr>
                <w:rFonts w:cs="Arial"/>
                <w:sz w:val="16"/>
                <w:szCs w:val="16"/>
                <w:lang w:val="ru-RU"/>
              </w:rPr>
            </w:pPr>
            <w:r w:rsidRPr="00495A3D">
              <w:rPr>
                <w:sz w:val="16"/>
                <w:szCs w:val="16"/>
                <w:lang w:val="ru-RU"/>
              </w:rPr>
              <w:t>Еще 40</w:t>
            </w:r>
            <w:r>
              <w:rPr>
                <w:sz w:val="16"/>
                <w:szCs w:val="16"/>
              </w:rPr>
              <w:t> </w:t>
            </w:r>
            <w:r w:rsidRPr="00495A3D">
              <w:rPr>
                <w:sz w:val="16"/>
                <w:szCs w:val="16"/>
                <w:lang w:val="ru-RU"/>
              </w:rPr>
              <w:t>споров и процедур посредничества</w:t>
            </w:r>
          </w:p>
        </w:tc>
        <w:tc>
          <w:tcPr>
            <w:tcW w:w="1211" w:type="pct"/>
            <w:tcBorders>
              <w:top w:val="nil"/>
              <w:bottom w:val="nil"/>
            </w:tcBorders>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В 2014–2015</w:t>
            </w:r>
            <w:r w:rsidRPr="00E4003F">
              <w:rPr>
                <w:sz w:val="16"/>
                <w:szCs w:val="16"/>
              </w:rPr>
              <w:t> </w:t>
            </w:r>
            <w:r w:rsidRPr="00495A3D">
              <w:rPr>
                <w:sz w:val="16"/>
                <w:szCs w:val="16"/>
                <w:lang w:val="ru-RU"/>
              </w:rPr>
              <w:t>гг. еще 15</w:t>
            </w:r>
            <w:r w:rsidR="008275C3">
              <w:rPr>
                <w:sz w:val="16"/>
                <w:szCs w:val="16"/>
                <w:lang w:val="ru-RU"/>
              </w:rPr>
              <w:t>3</w:t>
            </w:r>
            <w:r>
              <w:rPr>
                <w:sz w:val="16"/>
                <w:szCs w:val="16"/>
              </w:rPr>
              <w:t> </w:t>
            </w:r>
            <w:r w:rsidRPr="00495A3D">
              <w:rPr>
                <w:sz w:val="16"/>
                <w:szCs w:val="16"/>
                <w:lang w:val="ru-RU"/>
              </w:rPr>
              <w:t xml:space="preserve">спора и процедуры посредничества </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62</w:t>
            </w:r>
            <w:r w:rsidR="008275C3">
              <w:rPr>
                <w:sz w:val="16"/>
                <w:szCs w:val="16"/>
                <w:lang w:val="ru-RU"/>
              </w:rPr>
              <w:t>3</w:t>
            </w:r>
            <w:r>
              <w:rPr>
                <w:sz w:val="16"/>
                <w:szCs w:val="16"/>
              </w:rPr>
              <w:t> </w:t>
            </w:r>
            <w:r w:rsidRPr="00495A3D">
              <w:rPr>
                <w:sz w:val="16"/>
                <w:szCs w:val="16"/>
                <w:lang w:val="ru-RU"/>
              </w:rPr>
              <w:t>спора и процедуры посредничества</w:t>
            </w:r>
          </w:p>
          <w:p w:rsidR="00495A3D" w:rsidRPr="00495A3D" w:rsidRDefault="00495A3D" w:rsidP="00495A3D">
            <w:pPr>
              <w:rPr>
                <w:rFonts w:cs="Arial"/>
                <w:sz w:val="16"/>
                <w:szCs w:val="16"/>
                <w:lang w:val="ru-RU"/>
              </w:rPr>
            </w:pPr>
            <w:r w:rsidRPr="00495A3D">
              <w:rPr>
                <w:sz w:val="16"/>
                <w:szCs w:val="16"/>
                <w:lang w:val="ru-RU"/>
              </w:rPr>
              <w:t xml:space="preserve"> (в общей сложности по состоянию на конец 2015</w:t>
            </w:r>
            <w:r>
              <w:rPr>
                <w:sz w:val="16"/>
                <w:szCs w:val="16"/>
              </w:rPr>
              <w:t> </w:t>
            </w:r>
            <w:r w:rsidRPr="00495A3D">
              <w:rPr>
                <w:sz w:val="16"/>
                <w:szCs w:val="16"/>
                <w:lang w:val="ru-RU"/>
              </w:rPr>
              <w:t>г.)</w:t>
            </w:r>
          </w:p>
        </w:tc>
        <w:tc>
          <w:tcPr>
            <w:tcW w:w="527" w:type="pct"/>
            <w:tcBorders>
              <w:top w:val="nil"/>
              <w:bottom w:val="nil"/>
            </w:tcBorders>
            <w:shd w:val="clear" w:color="auto" w:fill="auto"/>
            <w:tcMar>
              <w:top w:w="110" w:type="dxa"/>
            </w:tcMar>
          </w:tcPr>
          <w:p w:rsidR="00495A3D" w:rsidRPr="00E4003F" w:rsidRDefault="00495A3D" w:rsidP="00495A3D">
            <w:pPr>
              <w:keepNext/>
              <w:keepLines/>
              <w:jc w:val="center"/>
              <w:rPr>
                <w:rFonts w:cs="Arial"/>
                <w:b/>
                <w:bCs/>
                <w:color w:val="FF0000"/>
                <w:sz w:val="16"/>
                <w:szCs w:val="16"/>
              </w:rPr>
            </w:pPr>
            <w:r w:rsidRPr="00E4003F">
              <w:rPr>
                <w:b/>
                <w:color w:val="00B050"/>
                <w:sz w:val="16"/>
                <w:szCs w:val="16"/>
              </w:rPr>
              <w:t>Выполнено</w:t>
            </w:r>
          </w:p>
        </w:tc>
      </w:tr>
      <w:tr w:rsidR="00495A3D" w:rsidRPr="00E4003F" w:rsidTr="00495A3D">
        <w:trPr>
          <w:cantSplit/>
          <w:trHeight w:val="452"/>
        </w:trPr>
        <w:tc>
          <w:tcPr>
            <w:tcW w:w="1140" w:type="pct"/>
            <w:vMerge/>
            <w:tcBorders>
              <w:top w:val="nil"/>
            </w:tcBorders>
            <w:shd w:val="clear" w:color="auto" w:fill="auto"/>
          </w:tcPr>
          <w:p w:rsidR="00495A3D" w:rsidRPr="00E4003F" w:rsidRDefault="00495A3D" w:rsidP="00495A3D">
            <w:pPr>
              <w:rPr>
                <w:rFonts w:cs="Arial"/>
                <w:color w:val="000000"/>
                <w:sz w:val="16"/>
                <w:szCs w:val="16"/>
              </w:rPr>
            </w:pPr>
          </w:p>
        </w:tc>
        <w:tc>
          <w:tcPr>
            <w:tcW w:w="1211" w:type="pct"/>
            <w:tcBorders>
              <w:top w:val="nil"/>
              <w:bottom w:val="nil"/>
            </w:tcBorders>
            <w:shd w:val="clear" w:color="auto" w:fill="auto"/>
          </w:tcPr>
          <w:p w:rsidR="00495A3D" w:rsidRPr="00E4003F" w:rsidRDefault="00495A3D" w:rsidP="00495A3D">
            <w:pPr>
              <w:rPr>
                <w:rFonts w:cs="Arial"/>
                <w:i/>
                <w:color w:val="002060"/>
                <w:sz w:val="16"/>
                <w:szCs w:val="16"/>
              </w:rPr>
            </w:pPr>
            <w:r w:rsidRPr="00E4003F">
              <w:rPr>
                <w:color w:val="002060"/>
                <w:sz w:val="16"/>
                <w:szCs w:val="16"/>
              </w:rPr>
              <w:t>4 000 поступивших ходатайств (2012–2013 гг.),</w:t>
            </w:r>
          </w:p>
        </w:tc>
        <w:tc>
          <w:tcPr>
            <w:tcW w:w="911" w:type="pct"/>
            <w:tcBorders>
              <w:top w:val="nil"/>
              <w:bottom w:val="nil"/>
            </w:tcBorders>
            <w:shd w:val="clear" w:color="auto" w:fill="auto"/>
            <w:tcMar>
              <w:top w:w="110" w:type="dxa"/>
            </w:tcMar>
          </w:tcPr>
          <w:p w:rsidR="00495A3D" w:rsidRPr="00E4003F" w:rsidRDefault="00495A3D" w:rsidP="00495A3D">
            <w:pPr>
              <w:autoSpaceDE w:val="0"/>
              <w:autoSpaceDN w:val="0"/>
              <w:adjustRightInd w:val="0"/>
              <w:rPr>
                <w:rFonts w:cs="Arial"/>
                <w:sz w:val="16"/>
                <w:szCs w:val="16"/>
              </w:rPr>
            </w:pPr>
            <w:r w:rsidRPr="00E4003F">
              <w:rPr>
                <w:sz w:val="16"/>
                <w:szCs w:val="16"/>
              </w:rPr>
              <w:t>Еще 4 000 ходатайств</w:t>
            </w:r>
          </w:p>
        </w:tc>
        <w:tc>
          <w:tcPr>
            <w:tcW w:w="1211" w:type="pct"/>
            <w:tcBorders>
              <w:top w:val="nil"/>
              <w:bottom w:val="nil"/>
            </w:tcBorders>
            <w:shd w:val="clear" w:color="auto" w:fill="auto"/>
            <w:tcMar>
              <w:top w:w="110" w:type="dxa"/>
            </w:tcMar>
          </w:tcPr>
          <w:p w:rsidR="00495A3D" w:rsidRPr="00E4003F" w:rsidRDefault="00495A3D" w:rsidP="00495A3D">
            <w:pPr>
              <w:rPr>
                <w:rFonts w:cs="Arial"/>
                <w:sz w:val="16"/>
                <w:szCs w:val="16"/>
              </w:rPr>
            </w:pPr>
            <w:r w:rsidRPr="00E4003F">
              <w:rPr>
                <w:sz w:val="16"/>
                <w:szCs w:val="16"/>
              </w:rPr>
              <w:t>Еще 7 500 ходатайств (2014–2015 гг.)</w:t>
            </w:r>
          </w:p>
          <w:p w:rsidR="00495A3D" w:rsidRPr="00E4003F" w:rsidRDefault="00495A3D" w:rsidP="00495A3D">
            <w:pPr>
              <w:pStyle w:val="ListParagraph"/>
              <w:ind w:left="360"/>
              <w:rPr>
                <w:rFonts w:cs="Arial"/>
                <w:sz w:val="16"/>
                <w:szCs w:val="16"/>
              </w:rPr>
            </w:pPr>
          </w:p>
        </w:tc>
        <w:tc>
          <w:tcPr>
            <w:tcW w:w="527" w:type="pct"/>
            <w:tcBorders>
              <w:top w:val="nil"/>
              <w:bottom w:val="nil"/>
            </w:tcBorders>
            <w:shd w:val="clear" w:color="auto" w:fill="auto"/>
            <w:tcMar>
              <w:top w:w="110" w:type="dxa"/>
            </w:tcMar>
          </w:tcPr>
          <w:p w:rsidR="00495A3D" w:rsidRPr="00E4003F" w:rsidRDefault="00495A3D" w:rsidP="00495A3D">
            <w:pPr>
              <w:keepNext/>
              <w:keepLines/>
              <w:jc w:val="center"/>
              <w:rPr>
                <w:rFonts w:cs="Arial"/>
                <w:b/>
                <w:bCs/>
                <w:color w:val="00B050"/>
                <w:sz w:val="16"/>
                <w:szCs w:val="16"/>
              </w:rPr>
            </w:pPr>
            <w:r w:rsidRPr="00E4003F">
              <w:rPr>
                <w:b/>
                <w:color w:val="00B050"/>
                <w:sz w:val="16"/>
                <w:szCs w:val="16"/>
              </w:rPr>
              <w:t>Выполнено</w:t>
            </w:r>
          </w:p>
        </w:tc>
      </w:tr>
      <w:tr w:rsidR="00495A3D" w:rsidRPr="00E4003F" w:rsidTr="00495A3D">
        <w:trPr>
          <w:cantSplit/>
          <w:trHeight w:val="117"/>
        </w:trPr>
        <w:tc>
          <w:tcPr>
            <w:tcW w:w="1140" w:type="pct"/>
            <w:vMerge/>
            <w:shd w:val="clear" w:color="auto" w:fill="auto"/>
          </w:tcPr>
          <w:p w:rsidR="00495A3D" w:rsidRPr="00E4003F" w:rsidRDefault="00495A3D" w:rsidP="00495A3D">
            <w:pPr>
              <w:rPr>
                <w:rFonts w:cs="Arial"/>
                <w:color w:val="000000"/>
                <w:sz w:val="16"/>
                <w:szCs w:val="16"/>
              </w:rPr>
            </w:pPr>
          </w:p>
        </w:tc>
        <w:tc>
          <w:tcPr>
            <w:tcW w:w="1211" w:type="pct"/>
            <w:tcBorders>
              <w:top w:val="nil"/>
              <w:bottom w:val="single" w:sz="4" w:space="0" w:color="auto"/>
            </w:tcBorders>
            <w:shd w:val="clear" w:color="auto" w:fill="auto"/>
          </w:tcPr>
          <w:p w:rsidR="00495A3D" w:rsidRPr="00E4003F" w:rsidRDefault="00495A3D" w:rsidP="00495A3D">
            <w:pPr>
              <w:rPr>
                <w:rFonts w:cs="Arial"/>
                <w:color w:val="002060"/>
                <w:sz w:val="16"/>
                <w:szCs w:val="16"/>
              </w:rPr>
            </w:pPr>
            <w:r w:rsidRPr="00E4003F">
              <w:rPr>
                <w:color w:val="002060"/>
                <w:sz w:val="16"/>
                <w:szCs w:val="16"/>
              </w:rPr>
              <w:t xml:space="preserve">3,5 млн посещений сайта (2012–2013 гг.) </w:t>
            </w:r>
          </w:p>
        </w:tc>
        <w:tc>
          <w:tcPr>
            <w:tcW w:w="911" w:type="pct"/>
            <w:tcBorders>
              <w:top w:val="nil"/>
              <w:bottom w:val="single" w:sz="4" w:space="0" w:color="auto"/>
            </w:tcBorders>
            <w:shd w:val="clear" w:color="auto" w:fill="auto"/>
            <w:tcMar>
              <w:top w:w="110" w:type="dxa"/>
            </w:tcMar>
          </w:tcPr>
          <w:p w:rsidR="00495A3D" w:rsidRPr="00E4003F" w:rsidRDefault="00495A3D" w:rsidP="00495A3D">
            <w:pPr>
              <w:autoSpaceDE w:val="0"/>
              <w:autoSpaceDN w:val="0"/>
              <w:adjustRightInd w:val="0"/>
              <w:rPr>
                <w:rFonts w:cs="Arial"/>
                <w:sz w:val="16"/>
                <w:szCs w:val="16"/>
              </w:rPr>
            </w:pPr>
            <w:r w:rsidRPr="00E4003F">
              <w:rPr>
                <w:sz w:val="16"/>
                <w:szCs w:val="16"/>
              </w:rPr>
              <w:t>Еще 3,5 млн посещений сайта</w:t>
            </w:r>
          </w:p>
        </w:tc>
        <w:tc>
          <w:tcPr>
            <w:tcW w:w="1211" w:type="pct"/>
            <w:tcBorders>
              <w:top w:val="nil"/>
              <w:bottom w:val="single" w:sz="4" w:space="0" w:color="auto"/>
            </w:tcBorders>
            <w:shd w:val="clear" w:color="auto" w:fill="auto"/>
            <w:tcMar>
              <w:top w:w="110" w:type="dxa"/>
            </w:tcMar>
          </w:tcPr>
          <w:p w:rsidR="00495A3D" w:rsidRPr="00495A3D" w:rsidDel="00C64636" w:rsidRDefault="00495A3D" w:rsidP="00495A3D">
            <w:pPr>
              <w:rPr>
                <w:rFonts w:cs="Arial"/>
                <w:sz w:val="16"/>
                <w:szCs w:val="16"/>
                <w:lang w:val="ru-RU"/>
              </w:rPr>
            </w:pPr>
            <w:r w:rsidRPr="00495A3D">
              <w:rPr>
                <w:sz w:val="16"/>
                <w:szCs w:val="16"/>
                <w:lang w:val="ru-RU"/>
              </w:rPr>
              <w:t>Еще 3,1 млн посещений сайта (2014–2015</w:t>
            </w:r>
            <w:r w:rsidRPr="00E4003F">
              <w:rPr>
                <w:sz w:val="16"/>
                <w:szCs w:val="16"/>
              </w:rPr>
              <w:t> </w:t>
            </w:r>
            <w:r w:rsidRPr="00495A3D">
              <w:rPr>
                <w:sz w:val="16"/>
                <w:szCs w:val="16"/>
                <w:lang w:val="ru-RU"/>
              </w:rPr>
              <w:t>гг.)</w:t>
            </w:r>
          </w:p>
        </w:tc>
        <w:tc>
          <w:tcPr>
            <w:tcW w:w="527" w:type="pct"/>
            <w:tcBorders>
              <w:top w:val="nil"/>
              <w:bottom w:val="single" w:sz="4" w:space="0" w:color="auto"/>
            </w:tcBorders>
            <w:shd w:val="clear" w:color="auto" w:fill="auto"/>
            <w:tcMar>
              <w:top w:w="110" w:type="dxa"/>
            </w:tcMar>
          </w:tcPr>
          <w:p w:rsidR="00495A3D" w:rsidRPr="00E4003F" w:rsidRDefault="00495A3D" w:rsidP="00495A3D">
            <w:pPr>
              <w:keepNext/>
              <w:keepLines/>
              <w:jc w:val="center"/>
              <w:rPr>
                <w:rFonts w:cs="Arial"/>
                <w:b/>
                <w:bCs/>
                <w:color w:val="00B050"/>
                <w:sz w:val="16"/>
                <w:szCs w:val="16"/>
              </w:rPr>
            </w:pPr>
            <w:r w:rsidRPr="00E4003F">
              <w:rPr>
                <w:b/>
                <w:color w:val="00B050"/>
                <w:sz w:val="16"/>
                <w:szCs w:val="16"/>
              </w:rPr>
              <w:t>Выполнено</w:t>
            </w:r>
          </w:p>
        </w:tc>
      </w:tr>
      <w:tr w:rsidR="00495A3D" w:rsidRPr="00E4003F" w:rsidTr="00495A3D">
        <w:trPr>
          <w:cantSplit/>
          <w:trHeight w:val="502"/>
        </w:trPr>
        <w:tc>
          <w:tcPr>
            <w:tcW w:w="1140" w:type="pct"/>
            <w:vMerge/>
            <w:shd w:val="clear" w:color="auto" w:fill="auto"/>
          </w:tcPr>
          <w:p w:rsidR="00495A3D" w:rsidRPr="00E4003F" w:rsidRDefault="00495A3D" w:rsidP="00495A3D">
            <w:pPr>
              <w:rPr>
                <w:rFonts w:cs="Arial"/>
                <w:color w:val="000000"/>
                <w:sz w:val="16"/>
                <w:szCs w:val="16"/>
              </w:rPr>
            </w:pPr>
          </w:p>
        </w:tc>
        <w:tc>
          <w:tcPr>
            <w:tcW w:w="1211" w:type="pct"/>
            <w:tcBorders>
              <w:top w:val="single" w:sz="4" w:space="0" w:color="auto"/>
              <w:bottom w:val="nil"/>
            </w:tcBorders>
            <w:shd w:val="clear" w:color="auto" w:fill="auto"/>
          </w:tcPr>
          <w:p w:rsidR="00495A3D" w:rsidRPr="00495A3D" w:rsidRDefault="00495A3D" w:rsidP="00495A3D">
            <w:pPr>
              <w:rPr>
                <w:rFonts w:cs="Arial"/>
                <w:i/>
                <w:color w:val="002060"/>
                <w:sz w:val="16"/>
                <w:szCs w:val="16"/>
                <w:lang w:val="ru-RU"/>
              </w:rPr>
            </w:pPr>
            <w:r w:rsidRPr="00495A3D">
              <w:rPr>
                <w:color w:val="002060"/>
                <w:sz w:val="16"/>
                <w:szCs w:val="16"/>
                <w:lang w:val="ru-RU"/>
              </w:rPr>
              <w:t>408 участников регулярных мероприятий Центра (2012–2013</w:t>
            </w:r>
            <w:r w:rsidRPr="00E4003F">
              <w:rPr>
                <w:color w:val="002060"/>
                <w:sz w:val="16"/>
                <w:szCs w:val="16"/>
              </w:rPr>
              <w:t> </w:t>
            </w:r>
            <w:r w:rsidRPr="00495A3D">
              <w:rPr>
                <w:color w:val="002060"/>
                <w:sz w:val="16"/>
                <w:szCs w:val="16"/>
                <w:lang w:val="ru-RU"/>
              </w:rPr>
              <w:t>гг.)</w:t>
            </w:r>
          </w:p>
        </w:tc>
        <w:tc>
          <w:tcPr>
            <w:tcW w:w="911" w:type="pct"/>
            <w:tcBorders>
              <w:top w:val="single" w:sz="4" w:space="0" w:color="auto"/>
              <w:bottom w:val="nil"/>
            </w:tcBorders>
            <w:shd w:val="clear" w:color="auto" w:fill="auto"/>
            <w:tcMar>
              <w:top w:w="110" w:type="dxa"/>
            </w:tcMar>
          </w:tcPr>
          <w:p w:rsidR="00495A3D" w:rsidRPr="00E4003F" w:rsidDel="00FF500B" w:rsidRDefault="00495A3D" w:rsidP="00495A3D">
            <w:pPr>
              <w:autoSpaceDE w:val="0"/>
              <w:autoSpaceDN w:val="0"/>
              <w:adjustRightInd w:val="0"/>
              <w:rPr>
                <w:rFonts w:cs="Arial"/>
                <w:sz w:val="16"/>
                <w:szCs w:val="16"/>
              </w:rPr>
            </w:pPr>
            <w:r w:rsidRPr="00E4003F">
              <w:rPr>
                <w:sz w:val="16"/>
                <w:szCs w:val="16"/>
              </w:rPr>
              <w:t xml:space="preserve">250 участников регулярных мероприятий Центра  </w:t>
            </w:r>
          </w:p>
        </w:tc>
        <w:tc>
          <w:tcPr>
            <w:tcW w:w="1211" w:type="pct"/>
            <w:tcBorders>
              <w:top w:val="single" w:sz="4" w:space="0" w:color="auto"/>
              <w:bottom w:val="nil"/>
            </w:tcBorders>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262 участника регулярных мероприятий Центра (2014–2015</w:t>
            </w:r>
            <w:r w:rsidRPr="00E4003F">
              <w:rPr>
                <w:sz w:val="16"/>
                <w:szCs w:val="16"/>
              </w:rPr>
              <w:t> </w:t>
            </w:r>
            <w:r w:rsidRPr="00495A3D">
              <w:rPr>
                <w:sz w:val="16"/>
                <w:szCs w:val="16"/>
                <w:lang w:val="ru-RU"/>
              </w:rPr>
              <w:t>гг.)</w:t>
            </w:r>
          </w:p>
          <w:p w:rsidR="00495A3D" w:rsidRPr="00495A3D" w:rsidRDefault="00495A3D" w:rsidP="00495A3D">
            <w:pPr>
              <w:rPr>
                <w:rFonts w:cs="Arial"/>
                <w:sz w:val="16"/>
                <w:szCs w:val="16"/>
                <w:lang w:val="ru-RU"/>
              </w:rPr>
            </w:pPr>
          </w:p>
        </w:tc>
        <w:tc>
          <w:tcPr>
            <w:tcW w:w="527" w:type="pct"/>
            <w:tcBorders>
              <w:top w:val="single" w:sz="4" w:space="0" w:color="auto"/>
              <w:bottom w:val="nil"/>
            </w:tcBorders>
            <w:shd w:val="clear" w:color="auto" w:fill="auto"/>
            <w:tcMar>
              <w:top w:w="110" w:type="dxa"/>
            </w:tcMar>
          </w:tcPr>
          <w:p w:rsidR="00495A3D" w:rsidRPr="00E4003F" w:rsidRDefault="00495A3D" w:rsidP="00495A3D">
            <w:pPr>
              <w:keepNext/>
              <w:keepLines/>
              <w:jc w:val="center"/>
              <w:rPr>
                <w:rFonts w:cs="Arial"/>
                <w:b/>
                <w:bCs/>
                <w:color w:val="00B050"/>
                <w:sz w:val="16"/>
                <w:szCs w:val="16"/>
              </w:rPr>
            </w:pPr>
            <w:r w:rsidRPr="00E4003F">
              <w:rPr>
                <w:b/>
                <w:color w:val="00B050"/>
                <w:sz w:val="16"/>
                <w:szCs w:val="16"/>
              </w:rPr>
              <w:t>Выполнено</w:t>
            </w:r>
          </w:p>
        </w:tc>
      </w:tr>
      <w:tr w:rsidR="00495A3D" w:rsidRPr="00E4003F" w:rsidTr="00495A3D">
        <w:trPr>
          <w:cantSplit/>
          <w:trHeight w:val="452"/>
        </w:trPr>
        <w:tc>
          <w:tcPr>
            <w:tcW w:w="1140" w:type="pct"/>
            <w:vMerge/>
            <w:shd w:val="clear" w:color="auto" w:fill="auto"/>
          </w:tcPr>
          <w:p w:rsidR="00495A3D" w:rsidRPr="00E4003F" w:rsidRDefault="00495A3D" w:rsidP="00495A3D">
            <w:pPr>
              <w:rPr>
                <w:rFonts w:cs="Arial"/>
                <w:color w:val="000000"/>
                <w:sz w:val="16"/>
                <w:szCs w:val="16"/>
              </w:rPr>
            </w:pPr>
          </w:p>
        </w:tc>
        <w:tc>
          <w:tcPr>
            <w:tcW w:w="1211" w:type="pct"/>
            <w:tcBorders>
              <w:top w:val="nil"/>
              <w:bottom w:val="nil"/>
            </w:tcBorders>
            <w:shd w:val="clear" w:color="auto" w:fill="auto"/>
          </w:tcPr>
          <w:p w:rsidR="00495A3D" w:rsidRPr="00495A3D" w:rsidRDefault="00495A3D" w:rsidP="00495A3D">
            <w:pPr>
              <w:rPr>
                <w:rFonts w:cs="Arial"/>
                <w:color w:val="002060"/>
                <w:sz w:val="16"/>
                <w:szCs w:val="16"/>
                <w:lang w:val="ru-RU"/>
              </w:rPr>
            </w:pPr>
            <w:r w:rsidRPr="00495A3D">
              <w:rPr>
                <w:color w:val="002060"/>
                <w:sz w:val="16"/>
                <w:szCs w:val="16"/>
                <w:lang w:val="ru-RU"/>
              </w:rPr>
              <w:t>4</w:t>
            </w:r>
            <w:r w:rsidRPr="00E4003F">
              <w:rPr>
                <w:color w:val="002060"/>
                <w:sz w:val="16"/>
                <w:szCs w:val="16"/>
              </w:rPr>
              <w:t> </w:t>
            </w:r>
            <w:r w:rsidRPr="00495A3D">
              <w:rPr>
                <w:color w:val="002060"/>
                <w:sz w:val="16"/>
                <w:szCs w:val="16"/>
                <w:lang w:val="ru-RU"/>
              </w:rPr>
              <w:t>000 участников внешних мероприятий Центра (2012–2013</w:t>
            </w:r>
            <w:r w:rsidRPr="00E4003F">
              <w:rPr>
                <w:color w:val="002060"/>
                <w:sz w:val="16"/>
                <w:szCs w:val="16"/>
              </w:rPr>
              <w:t> </w:t>
            </w:r>
            <w:r w:rsidRPr="00495A3D">
              <w:rPr>
                <w:color w:val="002060"/>
                <w:sz w:val="16"/>
                <w:szCs w:val="16"/>
                <w:lang w:val="ru-RU"/>
              </w:rPr>
              <w:t>гг.)</w:t>
            </w:r>
          </w:p>
        </w:tc>
        <w:tc>
          <w:tcPr>
            <w:tcW w:w="911" w:type="pct"/>
            <w:tcBorders>
              <w:top w:val="nil"/>
              <w:bottom w:val="nil"/>
            </w:tcBorders>
            <w:shd w:val="clear" w:color="auto" w:fill="auto"/>
            <w:tcMar>
              <w:top w:w="110" w:type="dxa"/>
            </w:tcMar>
          </w:tcPr>
          <w:p w:rsidR="00495A3D" w:rsidRPr="00E4003F" w:rsidDel="00FF500B" w:rsidRDefault="00495A3D" w:rsidP="00495A3D">
            <w:pPr>
              <w:autoSpaceDE w:val="0"/>
              <w:autoSpaceDN w:val="0"/>
              <w:adjustRightInd w:val="0"/>
              <w:rPr>
                <w:rFonts w:cs="Arial"/>
                <w:sz w:val="16"/>
                <w:szCs w:val="16"/>
              </w:rPr>
            </w:pPr>
            <w:r w:rsidRPr="00E4003F">
              <w:rPr>
                <w:sz w:val="16"/>
                <w:szCs w:val="16"/>
              </w:rPr>
              <w:t>6 000 участников внешних мероприятий Центра</w:t>
            </w:r>
          </w:p>
        </w:tc>
        <w:tc>
          <w:tcPr>
            <w:tcW w:w="1211" w:type="pct"/>
            <w:tcBorders>
              <w:top w:val="nil"/>
              <w:bottom w:val="nil"/>
            </w:tcBorders>
            <w:shd w:val="clear" w:color="auto" w:fill="auto"/>
            <w:tcMar>
              <w:top w:w="110" w:type="dxa"/>
            </w:tcMar>
          </w:tcPr>
          <w:p w:rsidR="00495A3D" w:rsidRPr="00E4003F" w:rsidRDefault="00495A3D" w:rsidP="00495A3D">
            <w:pPr>
              <w:rPr>
                <w:rFonts w:cs="Arial"/>
                <w:sz w:val="16"/>
                <w:szCs w:val="16"/>
              </w:rPr>
            </w:pPr>
            <w:r w:rsidRPr="00E4003F">
              <w:rPr>
                <w:sz w:val="16"/>
                <w:szCs w:val="16"/>
              </w:rPr>
              <w:t>9 670 участников внешних мероприятий Центра</w:t>
            </w:r>
          </w:p>
          <w:p w:rsidR="00495A3D" w:rsidRPr="00E4003F" w:rsidRDefault="00495A3D" w:rsidP="00495A3D">
            <w:pPr>
              <w:rPr>
                <w:rFonts w:cs="Arial"/>
                <w:sz w:val="16"/>
                <w:szCs w:val="16"/>
              </w:rPr>
            </w:pPr>
          </w:p>
        </w:tc>
        <w:tc>
          <w:tcPr>
            <w:tcW w:w="527" w:type="pct"/>
            <w:tcBorders>
              <w:top w:val="nil"/>
              <w:bottom w:val="nil"/>
            </w:tcBorders>
            <w:shd w:val="clear" w:color="auto" w:fill="auto"/>
            <w:tcMar>
              <w:top w:w="110" w:type="dxa"/>
            </w:tcMar>
          </w:tcPr>
          <w:p w:rsidR="00495A3D" w:rsidRPr="00E4003F" w:rsidRDefault="00495A3D" w:rsidP="00495A3D">
            <w:pPr>
              <w:keepNext/>
              <w:keepLines/>
              <w:jc w:val="center"/>
              <w:rPr>
                <w:rFonts w:cs="Arial"/>
                <w:b/>
                <w:bCs/>
                <w:color w:val="00B050"/>
                <w:sz w:val="16"/>
                <w:szCs w:val="16"/>
              </w:rPr>
            </w:pPr>
            <w:r w:rsidRPr="00E4003F">
              <w:rPr>
                <w:b/>
                <w:color w:val="00B050"/>
                <w:sz w:val="16"/>
                <w:szCs w:val="16"/>
              </w:rPr>
              <w:t>Выполнено</w:t>
            </w:r>
          </w:p>
        </w:tc>
      </w:tr>
      <w:tr w:rsidR="00495A3D" w:rsidRPr="005C6ABD" w:rsidTr="00495A3D">
        <w:trPr>
          <w:cantSplit/>
          <w:trHeight w:val="696"/>
        </w:trPr>
        <w:tc>
          <w:tcPr>
            <w:tcW w:w="1140" w:type="pct"/>
            <w:vMerge/>
            <w:shd w:val="clear" w:color="auto" w:fill="auto"/>
          </w:tcPr>
          <w:p w:rsidR="00495A3D" w:rsidRPr="00E4003F" w:rsidRDefault="00495A3D" w:rsidP="00495A3D">
            <w:pPr>
              <w:rPr>
                <w:rFonts w:cs="Arial"/>
                <w:color w:val="000000"/>
                <w:sz w:val="16"/>
                <w:szCs w:val="16"/>
              </w:rPr>
            </w:pPr>
          </w:p>
        </w:tc>
        <w:tc>
          <w:tcPr>
            <w:tcW w:w="1211" w:type="pct"/>
            <w:vMerge w:val="restart"/>
            <w:tcBorders>
              <w:top w:val="nil"/>
            </w:tcBorders>
            <w:shd w:val="clear" w:color="auto" w:fill="auto"/>
          </w:tcPr>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w:t>
            </w:r>
            <w:r>
              <w:rPr>
                <w:i/>
                <w:sz w:val="16"/>
                <w:szCs w:val="16"/>
              </w:rPr>
              <w:t> </w:t>
            </w:r>
            <w:r w:rsidRPr="00495A3D">
              <w:rPr>
                <w:i/>
                <w:sz w:val="16"/>
                <w:szCs w:val="16"/>
                <w:lang w:val="ru-RU"/>
              </w:rPr>
              <w:t xml:space="preserve">гг.: </w:t>
            </w:r>
            <w:r w:rsidRPr="00495A3D">
              <w:rPr>
                <w:sz w:val="16"/>
                <w:szCs w:val="16"/>
                <w:lang w:val="ru-RU"/>
              </w:rPr>
              <w:t>284 спора и 79</w:t>
            </w:r>
            <w:r>
              <w:rPr>
                <w:sz w:val="16"/>
                <w:szCs w:val="16"/>
              </w:rPr>
              <w:t> </w:t>
            </w:r>
            <w:r w:rsidRPr="00495A3D">
              <w:rPr>
                <w:sz w:val="16"/>
                <w:szCs w:val="16"/>
                <w:lang w:val="ru-RU"/>
              </w:rPr>
              <w:t xml:space="preserve">процедур посредничества (всего на конец 2012 г.) </w:t>
            </w:r>
          </w:p>
          <w:p w:rsidR="00495A3D" w:rsidRPr="00495A3D" w:rsidRDefault="00495A3D" w:rsidP="00495A3D">
            <w:pPr>
              <w:rPr>
                <w:rFonts w:cs="Arial"/>
                <w:sz w:val="16"/>
                <w:szCs w:val="16"/>
                <w:lang w:val="ru-RU"/>
              </w:rPr>
            </w:pPr>
            <w:r w:rsidRPr="00495A3D">
              <w:rPr>
                <w:sz w:val="16"/>
                <w:szCs w:val="16"/>
                <w:lang w:val="ru-RU"/>
              </w:rPr>
              <w:t>4</w:t>
            </w:r>
            <w:r w:rsidRPr="00E4003F">
              <w:rPr>
                <w:sz w:val="16"/>
                <w:szCs w:val="16"/>
              </w:rPr>
              <w:t> </w:t>
            </w:r>
            <w:r w:rsidRPr="00495A3D">
              <w:rPr>
                <w:sz w:val="16"/>
                <w:szCs w:val="16"/>
                <w:lang w:val="ru-RU"/>
              </w:rPr>
              <w:t>000 поступивших ходатайств (2010–2011</w:t>
            </w:r>
            <w:r w:rsidRPr="00E4003F">
              <w:rPr>
                <w:sz w:val="16"/>
                <w:szCs w:val="16"/>
              </w:rPr>
              <w:t> </w:t>
            </w:r>
            <w:r w:rsidRPr="00495A3D">
              <w:rPr>
                <w:sz w:val="16"/>
                <w:szCs w:val="16"/>
                <w:lang w:val="ru-RU"/>
              </w:rPr>
              <w:t xml:space="preserve">гг.), </w:t>
            </w:r>
          </w:p>
          <w:p w:rsidR="00495A3D" w:rsidRPr="00495A3D" w:rsidRDefault="00495A3D" w:rsidP="00495A3D">
            <w:pPr>
              <w:rPr>
                <w:rFonts w:cs="Arial"/>
                <w:sz w:val="16"/>
                <w:szCs w:val="16"/>
                <w:lang w:val="ru-RU"/>
              </w:rPr>
            </w:pPr>
            <w:r w:rsidRPr="00495A3D">
              <w:rPr>
                <w:sz w:val="16"/>
                <w:szCs w:val="16"/>
                <w:lang w:val="ru-RU"/>
              </w:rPr>
              <w:t>30 млн. посещений сайта (всего на конец 2012</w:t>
            </w:r>
            <w:r w:rsidRPr="00E4003F">
              <w:rPr>
                <w:sz w:val="16"/>
                <w:szCs w:val="16"/>
              </w:rPr>
              <w:t> </w:t>
            </w:r>
            <w:r w:rsidRPr="00495A3D">
              <w:rPr>
                <w:sz w:val="16"/>
                <w:szCs w:val="16"/>
                <w:lang w:val="ru-RU"/>
              </w:rPr>
              <w:t xml:space="preserve">г.), </w:t>
            </w:r>
          </w:p>
          <w:p w:rsidR="00495A3D" w:rsidRPr="00495A3D" w:rsidRDefault="00495A3D" w:rsidP="00495A3D">
            <w:pPr>
              <w:rPr>
                <w:rFonts w:cs="Arial"/>
                <w:sz w:val="16"/>
                <w:szCs w:val="16"/>
                <w:lang w:val="ru-RU"/>
              </w:rPr>
            </w:pPr>
            <w:r w:rsidRPr="00495A3D">
              <w:rPr>
                <w:sz w:val="16"/>
                <w:szCs w:val="16"/>
                <w:lang w:val="ru-RU"/>
              </w:rPr>
              <w:t>276</w:t>
            </w:r>
            <w:r>
              <w:rPr>
                <w:sz w:val="16"/>
                <w:szCs w:val="16"/>
              </w:rPr>
              <w:t> </w:t>
            </w:r>
            <w:r w:rsidRPr="00495A3D">
              <w:rPr>
                <w:sz w:val="16"/>
                <w:szCs w:val="16"/>
                <w:lang w:val="ru-RU"/>
              </w:rPr>
              <w:t>участников регулярных мероприятий Центра (2010–2011</w:t>
            </w:r>
            <w:r w:rsidRPr="00E4003F">
              <w:rPr>
                <w:sz w:val="16"/>
                <w:szCs w:val="16"/>
              </w:rPr>
              <w:t> </w:t>
            </w:r>
            <w:r w:rsidRPr="00495A3D">
              <w:rPr>
                <w:sz w:val="16"/>
                <w:szCs w:val="16"/>
                <w:lang w:val="ru-RU"/>
              </w:rPr>
              <w:t xml:space="preserve">гг.); </w:t>
            </w:r>
          </w:p>
          <w:p w:rsidR="00495A3D" w:rsidRPr="00495A3D" w:rsidRDefault="00495A3D" w:rsidP="00495A3D">
            <w:pPr>
              <w:rPr>
                <w:rFonts w:cs="Arial"/>
                <w:i/>
                <w:color w:val="002060"/>
                <w:sz w:val="16"/>
                <w:szCs w:val="16"/>
                <w:lang w:val="ru-RU"/>
              </w:rPr>
            </w:pPr>
            <w:r w:rsidRPr="00495A3D">
              <w:rPr>
                <w:sz w:val="16"/>
                <w:szCs w:val="16"/>
                <w:lang w:val="ru-RU"/>
              </w:rPr>
              <w:t>3</w:t>
            </w:r>
            <w:r w:rsidRPr="00E4003F">
              <w:rPr>
                <w:sz w:val="16"/>
                <w:szCs w:val="16"/>
              </w:rPr>
              <w:t> </w:t>
            </w:r>
            <w:r w:rsidRPr="00495A3D">
              <w:rPr>
                <w:sz w:val="16"/>
                <w:szCs w:val="16"/>
                <w:lang w:val="ru-RU"/>
              </w:rPr>
              <w:t>000 участников внешних мероприятий Центра (2010–2011</w:t>
            </w:r>
            <w:r w:rsidRPr="00E4003F">
              <w:rPr>
                <w:sz w:val="16"/>
                <w:szCs w:val="16"/>
              </w:rPr>
              <w:t> </w:t>
            </w:r>
            <w:r w:rsidRPr="00495A3D">
              <w:rPr>
                <w:sz w:val="16"/>
                <w:szCs w:val="16"/>
                <w:lang w:val="ru-RU"/>
              </w:rPr>
              <w:t>гг.)</w:t>
            </w:r>
          </w:p>
        </w:tc>
        <w:tc>
          <w:tcPr>
            <w:tcW w:w="911" w:type="pct"/>
            <w:tcBorders>
              <w:top w:val="nil"/>
              <w:bottom w:val="nil"/>
            </w:tcBorders>
            <w:shd w:val="clear" w:color="auto" w:fill="auto"/>
            <w:tcMar>
              <w:top w:w="110" w:type="dxa"/>
            </w:tcMar>
          </w:tcPr>
          <w:p w:rsidR="00495A3D" w:rsidRPr="00495A3D" w:rsidRDefault="00495A3D" w:rsidP="00495A3D">
            <w:pPr>
              <w:autoSpaceDE w:val="0"/>
              <w:autoSpaceDN w:val="0"/>
              <w:adjustRightInd w:val="0"/>
              <w:rPr>
                <w:rFonts w:cs="Arial"/>
                <w:sz w:val="16"/>
                <w:szCs w:val="16"/>
                <w:lang w:val="ru-RU"/>
              </w:rPr>
            </w:pPr>
          </w:p>
        </w:tc>
        <w:tc>
          <w:tcPr>
            <w:tcW w:w="1211" w:type="pct"/>
            <w:tcBorders>
              <w:top w:val="nil"/>
              <w:bottom w:val="nil"/>
            </w:tcBorders>
            <w:shd w:val="clear" w:color="auto" w:fill="auto"/>
            <w:tcMar>
              <w:top w:w="110" w:type="dxa"/>
            </w:tcMar>
          </w:tcPr>
          <w:p w:rsidR="00495A3D" w:rsidRPr="00495A3D" w:rsidRDefault="00495A3D" w:rsidP="00495A3D">
            <w:pPr>
              <w:rPr>
                <w:rFonts w:cs="Arial"/>
                <w:sz w:val="16"/>
                <w:szCs w:val="16"/>
                <w:lang w:val="ru-RU"/>
              </w:rPr>
            </w:pPr>
          </w:p>
        </w:tc>
        <w:tc>
          <w:tcPr>
            <w:tcW w:w="527" w:type="pct"/>
            <w:tcBorders>
              <w:top w:val="nil"/>
              <w:bottom w:val="nil"/>
            </w:tcBorders>
            <w:shd w:val="clear" w:color="auto" w:fill="auto"/>
            <w:tcMar>
              <w:top w:w="110" w:type="dxa"/>
            </w:tcMar>
          </w:tcPr>
          <w:p w:rsidR="00495A3D" w:rsidRPr="00495A3D" w:rsidRDefault="00495A3D" w:rsidP="00495A3D">
            <w:pPr>
              <w:keepNext/>
              <w:keepLines/>
              <w:jc w:val="center"/>
              <w:rPr>
                <w:rFonts w:cs="Arial"/>
                <w:b/>
                <w:bCs/>
                <w:color w:val="00B050"/>
                <w:sz w:val="16"/>
                <w:szCs w:val="16"/>
                <w:lang w:val="ru-RU"/>
              </w:rPr>
            </w:pPr>
          </w:p>
        </w:tc>
      </w:tr>
      <w:tr w:rsidR="00495A3D" w:rsidRPr="005C6ABD" w:rsidTr="00495A3D">
        <w:trPr>
          <w:cantSplit/>
          <w:trHeight w:val="1308"/>
        </w:trPr>
        <w:tc>
          <w:tcPr>
            <w:tcW w:w="1140" w:type="pct"/>
            <w:vMerge/>
            <w:shd w:val="clear" w:color="auto" w:fill="auto"/>
          </w:tcPr>
          <w:p w:rsidR="00495A3D" w:rsidRPr="00495A3D" w:rsidRDefault="00495A3D" w:rsidP="00495A3D">
            <w:pPr>
              <w:rPr>
                <w:rFonts w:cs="Arial"/>
                <w:color w:val="000000"/>
                <w:sz w:val="16"/>
                <w:szCs w:val="16"/>
                <w:lang w:val="ru-RU"/>
              </w:rPr>
            </w:pPr>
          </w:p>
        </w:tc>
        <w:tc>
          <w:tcPr>
            <w:tcW w:w="1211" w:type="pct"/>
            <w:vMerge/>
            <w:shd w:val="clear" w:color="auto" w:fill="auto"/>
          </w:tcPr>
          <w:p w:rsidR="00495A3D" w:rsidRPr="00495A3D" w:rsidRDefault="00495A3D" w:rsidP="00495A3D">
            <w:pPr>
              <w:rPr>
                <w:rFonts w:cs="Arial"/>
                <w:i/>
                <w:color w:val="002060"/>
                <w:sz w:val="16"/>
                <w:szCs w:val="16"/>
                <w:lang w:val="ru-RU"/>
              </w:rPr>
            </w:pPr>
          </w:p>
        </w:tc>
        <w:tc>
          <w:tcPr>
            <w:tcW w:w="911" w:type="pct"/>
            <w:tcBorders>
              <w:top w:val="nil"/>
              <w:bottom w:val="nil"/>
            </w:tcBorders>
            <w:shd w:val="clear" w:color="auto" w:fill="auto"/>
            <w:tcMar>
              <w:top w:w="110" w:type="dxa"/>
            </w:tcMar>
          </w:tcPr>
          <w:p w:rsidR="00495A3D" w:rsidRPr="00495A3D" w:rsidRDefault="00495A3D" w:rsidP="00495A3D">
            <w:pPr>
              <w:autoSpaceDE w:val="0"/>
              <w:autoSpaceDN w:val="0"/>
              <w:adjustRightInd w:val="0"/>
              <w:rPr>
                <w:rFonts w:cs="Arial"/>
                <w:sz w:val="16"/>
                <w:szCs w:val="16"/>
                <w:lang w:val="ru-RU"/>
              </w:rPr>
            </w:pPr>
          </w:p>
        </w:tc>
        <w:tc>
          <w:tcPr>
            <w:tcW w:w="1211" w:type="pct"/>
            <w:tcBorders>
              <w:top w:val="nil"/>
              <w:bottom w:val="nil"/>
            </w:tcBorders>
            <w:shd w:val="clear" w:color="auto" w:fill="auto"/>
            <w:tcMar>
              <w:top w:w="110" w:type="dxa"/>
            </w:tcMar>
          </w:tcPr>
          <w:p w:rsidR="00495A3D" w:rsidRPr="00495A3D" w:rsidRDefault="00495A3D" w:rsidP="00495A3D">
            <w:pPr>
              <w:rPr>
                <w:rFonts w:cs="Arial"/>
                <w:sz w:val="16"/>
                <w:szCs w:val="16"/>
                <w:lang w:val="ru-RU"/>
              </w:rPr>
            </w:pPr>
          </w:p>
        </w:tc>
        <w:tc>
          <w:tcPr>
            <w:tcW w:w="527" w:type="pct"/>
            <w:tcBorders>
              <w:top w:val="nil"/>
              <w:bottom w:val="nil"/>
            </w:tcBorders>
            <w:shd w:val="clear" w:color="auto" w:fill="auto"/>
            <w:tcMar>
              <w:top w:w="110" w:type="dxa"/>
            </w:tcMar>
          </w:tcPr>
          <w:p w:rsidR="00495A3D" w:rsidRPr="00495A3D" w:rsidRDefault="00495A3D" w:rsidP="00495A3D">
            <w:pPr>
              <w:keepNext/>
              <w:keepLines/>
              <w:jc w:val="center"/>
              <w:rPr>
                <w:rFonts w:cs="Arial"/>
                <w:b/>
                <w:bCs/>
                <w:color w:val="00B050"/>
                <w:sz w:val="16"/>
                <w:szCs w:val="16"/>
                <w:lang w:val="ru-RU"/>
              </w:rPr>
            </w:pPr>
          </w:p>
        </w:tc>
      </w:tr>
      <w:tr w:rsidR="00495A3D" w:rsidRPr="00E4003F" w:rsidTr="00495A3D">
        <w:trPr>
          <w:cantSplit/>
        </w:trPr>
        <w:tc>
          <w:tcPr>
            <w:tcW w:w="1140" w:type="pct"/>
            <w:shd w:val="clear" w:color="auto" w:fill="auto"/>
          </w:tcPr>
          <w:p w:rsidR="00495A3D" w:rsidRPr="00495A3D" w:rsidRDefault="00495A3D" w:rsidP="00495A3D">
            <w:pPr>
              <w:rPr>
                <w:rFonts w:cs="Arial"/>
                <w:sz w:val="16"/>
                <w:szCs w:val="16"/>
                <w:lang w:val="ru-RU"/>
              </w:rPr>
            </w:pPr>
            <w:r w:rsidRPr="00495A3D">
              <w:rPr>
                <w:color w:val="000000"/>
                <w:sz w:val="16"/>
                <w:szCs w:val="16"/>
                <w:lang w:val="ru-RU"/>
              </w:rPr>
              <w:t>Политика по альтернативному урегулированию споров, вклад в разработку и применение которой внес Центр ВОИС</w:t>
            </w:r>
          </w:p>
        </w:tc>
        <w:tc>
          <w:tcPr>
            <w:tcW w:w="1211" w:type="pct"/>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E4003F">
              <w:rPr>
                <w:i/>
                <w:color w:val="002060"/>
                <w:sz w:val="16"/>
                <w:szCs w:val="16"/>
              </w:rPr>
              <w:t> </w:t>
            </w:r>
            <w:r w:rsidRPr="00495A3D">
              <w:rPr>
                <w:i/>
                <w:color w:val="002060"/>
                <w:sz w:val="16"/>
                <w:szCs w:val="16"/>
                <w:lang w:val="ru-RU"/>
              </w:rPr>
              <w:t>г.:</w:t>
            </w:r>
            <w:r w:rsidRPr="00495A3D">
              <w:rPr>
                <w:color w:val="002060"/>
                <w:sz w:val="16"/>
                <w:szCs w:val="16"/>
                <w:lang w:val="ru-RU"/>
              </w:rPr>
              <w:t xml:space="preserve">  10 утвержденных программ (</w:t>
            </w:r>
            <w:r w:rsidRPr="00E4003F">
              <w:rPr>
                <w:color w:val="002060"/>
                <w:sz w:val="16"/>
                <w:szCs w:val="16"/>
              </w:rPr>
              <w:t>AGICOA</w:t>
            </w:r>
            <w:r w:rsidRPr="00495A3D">
              <w:rPr>
                <w:color w:val="002060"/>
                <w:sz w:val="16"/>
                <w:szCs w:val="16"/>
                <w:lang w:val="ru-RU"/>
              </w:rPr>
              <w:t xml:space="preserve">, </w:t>
            </w:r>
            <w:r w:rsidRPr="00E4003F">
              <w:rPr>
                <w:color w:val="002060"/>
                <w:sz w:val="16"/>
                <w:szCs w:val="16"/>
              </w:rPr>
              <w:t>EGEDA</w:t>
            </w:r>
            <w:r w:rsidRPr="00495A3D">
              <w:rPr>
                <w:color w:val="002060"/>
                <w:sz w:val="16"/>
                <w:szCs w:val="16"/>
                <w:lang w:val="ru-RU"/>
              </w:rPr>
              <w:t xml:space="preserve">, </w:t>
            </w:r>
            <w:r w:rsidRPr="00E4003F">
              <w:rPr>
                <w:color w:val="002060"/>
                <w:sz w:val="16"/>
                <w:szCs w:val="16"/>
              </w:rPr>
              <w:t>ETSI</w:t>
            </w:r>
            <w:r w:rsidRPr="00495A3D">
              <w:rPr>
                <w:color w:val="002060"/>
                <w:sz w:val="16"/>
                <w:szCs w:val="16"/>
                <w:lang w:val="ru-RU"/>
              </w:rPr>
              <w:t xml:space="preserve">, </w:t>
            </w:r>
            <w:r w:rsidRPr="00E4003F">
              <w:rPr>
                <w:color w:val="002060"/>
                <w:sz w:val="16"/>
                <w:szCs w:val="16"/>
              </w:rPr>
              <w:t>Film</w:t>
            </w:r>
            <w:r w:rsidRPr="00495A3D">
              <w:rPr>
                <w:color w:val="002060"/>
                <w:sz w:val="16"/>
                <w:szCs w:val="16"/>
                <w:lang w:val="ru-RU"/>
              </w:rPr>
              <w:t xml:space="preserve"> </w:t>
            </w:r>
            <w:r w:rsidRPr="00E4003F">
              <w:rPr>
                <w:color w:val="002060"/>
                <w:sz w:val="16"/>
                <w:szCs w:val="16"/>
              </w:rPr>
              <w:t>and</w:t>
            </w:r>
            <w:r w:rsidRPr="00495A3D">
              <w:rPr>
                <w:color w:val="002060"/>
                <w:sz w:val="16"/>
                <w:szCs w:val="16"/>
                <w:lang w:val="ru-RU"/>
              </w:rPr>
              <w:t xml:space="preserve"> </w:t>
            </w:r>
            <w:r w:rsidRPr="00E4003F">
              <w:rPr>
                <w:color w:val="002060"/>
                <w:sz w:val="16"/>
                <w:szCs w:val="16"/>
              </w:rPr>
              <w:t>Media</w:t>
            </w:r>
            <w:r w:rsidRPr="00495A3D">
              <w:rPr>
                <w:color w:val="002060"/>
                <w:sz w:val="16"/>
                <w:szCs w:val="16"/>
                <w:lang w:val="ru-RU"/>
              </w:rPr>
              <w:t xml:space="preserve">, </w:t>
            </w:r>
            <w:r w:rsidRPr="00E4003F">
              <w:rPr>
                <w:color w:val="002060"/>
                <w:sz w:val="16"/>
                <w:szCs w:val="16"/>
              </w:rPr>
              <w:t>ICOM</w:t>
            </w:r>
            <w:r w:rsidRPr="00495A3D">
              <w:rPr>
                <w:color w:val="002060"/>
                <w:sz w:val="16"/>
                <w:szCs w:val="16"/>
                <w:lang w:val="ru-RU"/>
              </w:rPr>
              <w:t xml:space="preserve">, </w:t>
            </w:r>
            <w:r w:rsidRPr="00E4003F">
              <w:rPr>
                <w:color w:val="002060"/>
                <w:sz w:val="16"/>
                <w:szCs w:val="16"/>
              </w:rPr>
              <w:t>INPI</w:t>
            </w:r>
            <w:r w:rsidRPr="00495A3D">
              <w:rPr>
                <w:color w:val="002060"/>
                <w:sz w:val="16"/>
                <w:szCs w:val="16"/>
                <w:lang w:val="ru-RU"/>
              </w:rPr>
              <w:t>-</w:t>
            </w:r>
            <w:r w:rsidRPr="00E4003F">
              <w:rPr>
                <w:color w:val="002060"/>
                <w:sz w:val="16"/>
                <w:szCs w:val="16"/>
              </w:rPr>
              <w:t>BR</w:t>
            </w:r>
            <w:r w:rsidRPr="00495A3D">
              <w:rPr>
                <w:color w:val="002060"/>
                <w:sz w:val="16"/>
                <w:szCs w:val="16"/>
                <w:lang w:val="ru-RU"/>
              </w:rPr>
              <w:t xml:space="preserve">, </w:t>
            </w:r>
            <w:r w:rsidRPr="00E4003F">
              <w:rPr>
                <w:color w:val="002060"/>
                <w:sz w:val="16"/>
                <w:szCs w:val="16"/>
              </w:rPr>
              <w:t>IPAG</w:t>
            </w:r>
            <w:r w:rsidRPr="00495A3D">
              <w:rPr>
                <w:color w:val="002060"/>
                <w:sz w:val="16"/>
                <w:szCs w:val="16"/>
                <w:lang w:val="ru-RU"/>
              </w:rPr>
              <w:t xml:space="preserve">, </w:t>
            </w:r>
            <w:r w:rsidRPr="00E4003F">
              <w:rPr>
                <w:color w:val="002060"/>
                <w:sz w:val="16"/>
                <w:szCs w:val="16"/>
              </w:rPr>
              <w:t>IPOS</w:t>
            </w:r>
            <w:r w:rsidRPr="00495A3D">
              <w:rPr>
                <w:color w:val="002060"/>
                <w:sz w:val="16"/>
                <w:szCs w:val="16"/>
                <w:lang w:val="ru-RU"/>
              </w:rPr>
              <w:t>(</w:t>
            </w:r>
            <w:r w:rsidRPr="00E4003F">
              <w:rPr>
                <w:color w:val="002060"/>
                <w:sz w:val="16"/>
                <w:szCs w:val="16"/>
              </w:rPr>
              <w:t>M</w:t>
            </w:r>
            <w:r w:rsidRPr="00495A3D">
              <w:rPr>
                <w:color w:val="002060"/>
                <w:sz w:val="16"/>
                <w:szCs w:val="16"/>
                <w:lang w:val="ru-RU"/>
              </w:rPr>
              <w:t xml:space="preserve">), </w:t>
            </w:r>
            <w:r w:rsidRPr="00E4003F">
              <w:rPr>
                <w:color w:val="002060"/>
                <w:sz w:val="16"/>
                <w:szCs w:val="16"/>
              </w:rPr>
              <w:t>IPOS</w:t>
            </w:r>
            <w:r w:rsidRPr="00495A3D">
              <w:rPr>
                <w:color w:val="002060"/>
                <w:sz w:val="16"/>
                <w:szCs w:val="16"/>
                <w:lang w:val="ru-RU"/>
              </w:rPr>
              <w:t>(</w:t>
            </w:r>
            <w:r w:rsidRPr="00E4003F">
              <w:rPr>
                <w:color w:val="002060"/>
                <w:sz w:val="16"/>
                <w:szCs w:val="16"/>
              </w:rPr>
              <w:t>ED</w:t>
            </w:r>
            <w:r w:rsidRPr="00495A3D">
              <w:rPr>
                <w:color w:val="002060"/>
                <w:sz w:val="16"/>
                <w:szCs w:val="16"/>
                <w:lang w:val="ru-RU"/>
              </w:rPr>
              <w:t xml:space="preserve">), </w:t>
            </w:r>
            <w:r w:rsidRPr="00E4003F">
              <w:rPr>
                <w:color w:val="002060"/>
                <w:sz w:val="16"/>
                <w:szCs w:val="16"/>
              </w:rPr>
              <w:t>ITPGRFA</w:t>
            </w:r>
            <w:r w:rsidRPr="00495A3D">
              <w:rPr>
                <w:color w:val="002060"/>
                <w:sz w:val="16"/>
                <w:szCs w:val="16"/>
                <w:lang w:val="ru-RU"/>
              </w:rPr>
              <w:t xml:space="preserve">, </w:t>
            </w:r>
            <w:r w:rsidRPr="00E4003F">
              <w:rPr>
                <w:color w:val="002060"/>
                <w:sz w:val="16"/>
                <w:szCs w:val="16"/>
              </w:rPr>
              <w:t>KCC</w:t>
            </w:r>
            <w:r w:rsidRPr="00495A3D">
              <w:rPr>
                <w:color w:val="002060"/>
                <w:sz w:val="16"/>
                <w:szCs w:val="16"/>
                <w:lang w:val="ru-RU"/>
              </w:rPr>
              <w:t xml:space="preserve">, </w:t>
            </w:r>
            <w:r w:rsidRPr="00E4003F">
              <w:rPr>
                <w:color w:val="002060"/>
                <w:sz w:val="16"/>
                <w:szCs w:val="16"/>
              </w:rPr>
              <w:t>KOCCA</w:t>
            </w:r>
            <w:r w:rsidRPr="00495A3D">
              <w:rPr>
                <w:color w:val="002060"/>
                <w:sz w:val="16"/>
                <w:szCs w:val="16"/>
                <w:lang w:val="ru-RU"/>
              </w:rPr>
              <w:t>) (всего на конец 2013 г.)</w:t>
            </w:r>
            <w:r w:rsidRPr="00E4003F">
              <w:rPr>
                <w:rStyle w:val="FootnoteReference"/>
                <w:color w:val="002060"/>
                <w:sz w:val="16"/>
                <w:szCs w:val="16"/>
              </w:rPr>
              <w:footnoteReference w:id="50"/>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утверждено шесть программ (</w:t>
            </w:r>
            <w:r w:rsidRPr="00E4003F">
              <w:rPr>
                <w:sz w:val="16"/>
                <w:szCs w:val="16"/>
              </w:rPr>
              <w:t>AGICOA</w:t>
            </w:r>
            <w:r w:rsidRPr="00495A3D">
              <w:rPr>
                <w:sz w:val="16"/>
                <w:szCs w:val="16"/>
                <w:lang w:val="ru-RU"/>
              </w:rPr>
              <w:t xml:space="preserve">, </w:t>
            </w:r>
            <w:r w:rsidRPr="00E4003F">
              <w:rPr>
                <w:sz w:val="16"/>
                <w:szCs w:val="16"/>
              </w:rPr>
              <w:t>EGEDA</w:t>
            </w:r>
            <w:r w:rsidRPr="00495A3D">
              <w:rPr>
                <w:sz w:val="16"/>
                <w:szCs w:val="16"/>
                <w:lang w:val="ru-RU"/>
              </w:rPr>
              <w:t xml:space="preserve">, </w:t>
            </w:r>
            <w:r w:rsidRPr="00E4003F">
              <w:rPr>
                <w:sz w:val="16"/>
                <w:szCs w:val="16"/>
              </w:rPr>
              <w:t>Film</w:t>
            </w:r>
            <w:r w:rsidRPr="00495A3D">
              <w:rPr>
                <w:sz w:val="16"/>
                <w:szCs w:val="16"/>
                <w:lang w:val="ru-RU"/>
              </w:rPr>
              <w:t xml:space="preserve"> </w:t>
            </w:r>
            <w:r w:rsidRPr="00E4003F">
              <w:rPr>
                <w:sz w:val="16"/>
                <w:szCs w:val="16"/>
              </w:rPr>
              <w:t>and</w:t>
            </w:r>
            <w:r w:rsidRPr="00495A3D">
              <w:rPr>
                <w:sz w:val="16"/>
                <w:szCs w:val="16"/>
                <w:lang w:val="ru-RU"/>
              </w:rPr>
              <w:t xml:space="preserve"> </w:t>
            </w:r>
            <w:r w:rsidRPr="00E4003F">
              <w:rPr>
                <w:sz w:val="16"/>
                <w:szCs w:val="16"/>
              </w:rPr>
              <w:t>Media</w:t>
            </w:r>
            <w:r w:rsidRPr="00495A3D">
              <w:rPr>
                <w:sz w:val="16"/>
                <w:szCs w:val="16"/>
                <w:lang w:val="ru-RU"/>
              </w:rPr>
              <w:t xml:space="preserve">, </w:t>
            </w:r>
            <w:r w:rsidRPr="00E4003F">
              <w:rPr>
                <w:sz w:val="16"/>
                <w:szCs w:val="16"/>
              </w:rPr>
              <w:t>ICOM</w:t>
            </w:r>
            <w:r w:rsidRPr="00495A3D">
              <w:rPr>
                <w:sz w:val="16"/>
                <w:szCs w:val="16"/>
                <w:lang w:val="ru-RU"/>
              </w:rPr>
              <w:t xml:space="preserve">, </w:t>
            </w:r>
            <w:r w:rsidRPr="00E4003F">
              <w:rPr>
                <w:sz w:val="16"/>
                <w:szCs w:val="16"/>
              </w:rPr>
              <w:t>IPOS</w:t>
            </w:r>
            <w:r w:rsidRPr="00495A3D">
              <w:rPr>
                <w:sz w:val="16"/>
                <w:szCs w:val="16"/>
                <w:lang w:val="ru-RU"/>
              </w:rPr>
              <w:t xml:space="preserve">, </w:t>
            </w:r>
            <w:r w:rsidRPr="00E4003F">
              <w:rPr>
                <w:sz w:val="16"/>
                <w:szCs w:val="16"/>
              </w:rPr>
              <w:t>ITPGRFA</w:t>
            </w:r>
            <w:r w:rsidRPr="00495A3D">
              <w:rPr>
                <w:sz w:val="16"/>
                <w:szCs w:val="16"/>
                <w:lang w:val="ru-RU"/>
              </w:rPr>
              <w:t>) (всего на конец 2012</w:t>
            </w:r>
            <w:r w:rsidRPr="00E4003F">
              <w:rPr>
                <w:sz w:val="16"/>
                <w:szCs w:val="16"/>
              </w:rPr>
              <w:t> </w:t>
            </w:r>
            <w:r w:rsidRPr="00495A3D">
              <w:rPr>
                <w:sz w:val="16"/>
                <w:szCs w:val="16"/>
                <w:lang w:val="ru-RU"/>
              </w:rPr>
              <w:t>г.)</w:t>
            </w:r>
          </w:p>
        </w:tc>
        <w:tc>
          <w:tcPr>
            <w:tcW w:w="911" w:type="pct"/>
            <w:tcBorders>
              <w:top w:val="nil"/>
            </w:tcBorders>
            <w:shd w:val="clear" w:color="auto" w:fill="auto"/>
            <w:tcMar>
              <w:top w:w="110" w:type="dxa"/>
            </w:tcMar>
          </w:tcPr>
          <w:p w:rsidR="00495A3D" w:rsidRPr="00E4003F" w:rsidRDefault="00495A3D" w:rsidP="00495A3D">
            <w:pPr>
              <w:rPr>
                <w:rFonts w:cs="Arial"/>
                <w:i/>
                <w:sz w:val="16"/>
                <w:szCs w:val="16"/>
              </w:rPr>
            </w:pPr>
            <w:r w:rsidRPr="00E4003F">
              <w:rPr>
                <w:sz w:val="16"/>
                <w:szCs w:val="16"/>
              </w:rPr>
              <w:t>от 1 до 3 дополнительных программ</w:t>
            </w:r>
          </w:p>
        </w:tc>
        <w:tc>
          <w:tcPr>
            <w:tcW w:w="1211" w:type="pct"/>
            <w:tcBorders>
              <w:top w:val="nil"/>
            </w:tcBorders>
            <w:shd w:val="clear" w:color="auto" w:fill="auto"/>
            <w:tcMar>
              <w:top w:w="110" w:type="dxa"/>
            </w:tcMar>
          </w:tcPr>
          <w:p w:rsidR="00495A3D" w:rsidRPr="00E4003F" w:rsidRDefault="00495A3D" w:rsidP="00495A3D">
            <w:pPr>
              <w:rPr>
                <w:rFonts w:cs="Arial"/>
                <w:sz w:val="16"/>
                <w:szCs w:val="16"/>
              </w:rPr>
            </w:pPr>
            <w:r w:rsidRPr="00E4003F">
              <w:rPr>
                <w:sz w:val="16"/>
                <w:szCs w:val="16"/>
              </w:rPr>
              <w:t>8 дополнительных программ в 2014–2015 гг. (ABF, AEF, DGIPR, DNDA, IEEE, IMPI, IPOPHL, SFA)</w:t>
            </w:r>
          </w:p>
          <w:p w:rsidR="00495A3D" w:rsidRPr="00495A3D" w:rsidRDefault="00495A3D" w:rsidP="00495A3D">
            <w:pPr>
              <w:rPr>
                <w:rFonts w:cs="Arial"/>
                <w:sz w:val="16"/>
                <w:szCs w:val="16"/>
                <w:lang w:val="ru-RU"/>
              </w:rPr>
            </w:pPr>
            <w:r w:rsidRPr="00495A3D">
              <w:rPr>
                <w:sz w:val="16"/>
                <w:szCs w:val="16"/>
                <w:lang w:val="ru-RU"/>
              </w:rPr>
              <w:t>(20 в общей сложности по состоянию на конец 2015</w:t>
            </w:r>
            <w:r>
              <w:rPr>
                <w:sz w:val="16"/>
                <w:szCs w:val="16"/>
              </w:rPr>
              <w:t> </w:t>
            </w:r>
            <w:r w:rsidRPr="00495A3D">
              <w:rPr>
                <w:sz w:val="16"/>
                <w:szCs w:val="16"/>
                <w:lang w:val="ru-RU"/>
              </w:rPr>
              <w:t>г.)</w:t>
            </w:r>
          </w:p>
        </w:tc>
        <w:tc>
          <w:tcPr>
            <w:tcW w:w="527" w:type="pct"/>
            <w:tcBorders>
              <w:top w:val="nil"/>
            </w:tcBorders>
            <w:shd w:val="clear" w:color="auto" w:fill="auto"/>
            <w:tcMar>
              <w:top w:w="110" w:type="dxa"/>
            </w:tcMar>
          </w:tcPr>
          <w:p w:rsidR="00495A3D" w:rsidRPr="00E4003F" w:rsidRDefault="00495A3D" w:rsidP="00495A3D">
            <w:pPr>
              <w:keepNext/>
              <w:keepLines/>
              <w:jc w:val="center"/>
              <w:rPr>
                <w:rFonts w:cs="Arial"/>
                <w:bCs/>
                <w:color w:val="808080"/>
                <w:sz w:val="16"/>
                <w:szCs w:val="16"/>
              </w:rPr>
            </w:pPr>
            <w:r w:rsidRPr="00E4003F">
              <w:rPr>
                <w:b/>
                <w:color w:val="00B050"/>
                <w:sz w:val="16"/>
                <w:szCs w:val="16"/>
              </w:rPr>
              <w:t>Выполнено</w:t>
            </w:r>
          </w:p>
        </w:tc>
      </w:tr>
      <w:tr w:rsidR="00495A3D" w:rsidRPr="005C6ABD" w:rsidTr="00495A3D">
        <w:trPr>
          <w:cantSplit/>
          <w:trHeight w:val="399"/>
        </w:trPr>
        <w:tc>
          <w:tcPr>
            <w:tcW w:w="5000" w:type="pct"/>
            <w:gridSpan w:val="5"/>
            <w:tcBorders>
              <w:top w:val="single" w:sz="4" w:space="0" w:color="auto"/>
              <w:bottom w:val="single" w:sz="4" w:space="0" w:color="auto"/>
            </w:tcBorders>
            <w:shd w:val="clear" w:color="auto" w:fill="C6D9F1" w:themeFill="text2" w:themeFillTint="33"/>
            <w:vAlign w:val="center"/>
          </w:tcPr>
          <w:p w:rsidR="00495A3D" w:rsidRPr="00495A3D" w:rsidRDefault="00495A3D" w:rsidP="00495A3D">
            <w:pPr>
              <w:keepNext/>
              <w:keepLines/>
              <w:tabs>
                <w:tab w:val="left" w:pos="1452"/>
              </w:tabs>
              <w:ind w:left="1452" w:hanging="1452"/>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E4003F">
              <w:rPr>
                <w:color w:val="000000"/>
                <w:sz w:val="16"/>
                <w:szCs w:val="16"/>
              </w:rPr>
              <w:t>II</w:t>
            </w:r>
            <w:r w:rsidRPr="00495A3D">
              <w:rPr>
                <w:color w:val="000000"/>
                <w:sz w:val="16"/>
                <w:szCs w:val="16"/>
                <w:lang w:val="ru-RU"/>
              </w:rPr>
              <w:t>.9. Эффективная охрана прав ИС на рДВУ и ксДВУ</w:t>
            </w:r>
          </w:p>
        </w:tc>
      </w:tr>
      <w:tr w:rsidR="00495A3D" w:rsidRPr="00E4003F" w:rsidTr="00495A3D">
        <w:trPr>
          <w:cantSplit/>
        </w:trPr>
        <w:tc>
          <w:tcPr>
            <w:tcW w:w="1140" w:type="pct"/>
            <w:tcBorders>
              <w:top w:val="single" w:sz="4" w:space="0" w:color="auto"/>
            </w:tcBorders>
            <w:shd w:val="clear" w:color="auto" w:fill="auto"/>
            <w:vAlign w:val="center"/>
          </w:tcPr>
          <w:p w:rsidR="00495A3D" w:rsidRPr="00E4003F" w:rsidRDefault="00495A3D" w:rsidP="00495A3D">
            <w:pPr>
              <w:keepNext/>
              <w:keepLines/>
              <w:rPr>
                <w:rFonts w:cs="Arial"/>
                <w:sz w:val="16"/>
                <w:szCs w:val="16"/>
              </w:rPr>
            </w:pPr>
            <w:r w:rsidRPr="00E4003F">
              <w:rPr>
                <w:b/>
                <w:sz w:val="16"/>
                <w:szCs w:val="16"/>
              </w:rPr>
              <w:t>Показатели результативности</w:t>
            </w:r>
          </w:p>
        </w:tc>
        <w:tc>
          <w:tcPr>
            <w:tcW w:w="1211" w:type="pct"/>
            <w:tcBorders>
              <w:top w:val="single" w:sz="4" w:space="0" w:color="auto"/>
            </w:tcBorders>
            <w:shd w:val="clear" w:color="auto" w:fill="auto"/>
            <w:vAlign w:val="center"/>
          </w:tcPr>
          <w:p w:rsidR="00495A3D" w:rsidRPr="00E4003F" w:rsidRDefault="00495A3D" w:rsidP="00495A3D">
            <w:pPr>
              <w:keepNext/>
              <w:keepLines/>
              <w:rPr>
                <w:rFonts w:cs="Arial"/>
                <w:b/>
                <w:bCs/>
                <w:sz w:val="16"/>
                <w:szCs w:val="16"/>
              </w:rPr>
            </w:pPr>
            <w:r w:rsidRPr="00E4003F">
              <w:rPr>
                <w:b/>
                <w:sz w:val="16"/>
                <w:szCs w:val="16"/>
              </w:rPr>
              <w:t>Базовые показатели</w:t>
            </w:r>
          </w:p>
        </w:tc>
        <w:tc>
          <w:tcPr>
            <w:tcW w:w="911" w:type="pct"/>
            <w:tcBorders>
              <w:top w:val="single" w:sz="4" w:space="0" w:color="auto"/>
            </w:tcBorders>
            <w:shd w:val="clear" w:color="auto" w:fill="auto"/>
            <w:tcMar>
              <w:top w:w="110" w:type="dxa"/>
            </w:tcMar>
            <w:vAlign w:val="center"/>
          </w:tcPr>
          <w:p w:rsidR="00495A3D" w:rsidRPr="00E4003F" w:rsidRDefault="00495A3D" w:rsidP="00495A3D">
            <w:pPr>
              <w:keepNext/>
              <w:keepLines/>
              <w:rPr>
                <w:rFonts w:cs="Arial"/>
                <w:b/>
                <w:sz w:val="16"/>
                <w:szCs w:val="16"/>
              </w:rPr>
            </w:pPr>
            <w:r w:rsidRPr="00E4003F">
              <w:rPr>
                <w:b/>
                <w:sz w:val="16"/>
                <w:szCs w:val="16"/>
              </w:rPr>
              <w:t>Цели</w:t>
            </w:r>
          </w:p>
        </w:tc>
        <w:tc>
          <w:tcPr>
            <w:tcW w:w="1211" w:type="pct"/>
            <w:tcBorders>
              <w:top w:val="single" w:sz="4" w:space="0" w:color="auto"/>
            </w:tcBorders>
            <w:shd w:val="clear" w:color="auto" w:fill="auto"/>
            <w:tcMar>
              <w:top w:w="110" w:type="dxa"/>
            </w:tcMar>
            <w:vAlign w:val="center"/>
          </w:tcPr>
          <w:p w:rsidR="00495A3D" w:rsidRPr="00E4003F" w:rsidRDefault="00495A3D" w:rsidP="00495A3D">
            <w:pPr>
              <w:keepNext/>
              <w:keepLines/>
              <w:rPr>
                <w:rFonts w:cs="Arial"/>
                <w:sz w:val="16"/>
                <w:szCs w:val="16"/>
              </w:rPr>
            </w:pPr>
            <w:r w:rsidRPr="00E4003F">
              <w:rPr>
                <w:b/>
                <w:sz w:val="16"/>
                <w:szCs w:val="16"/>
              </w:rPr>
              <w:t>Данные о результативности</w:t>
            </w:r>
          </w:p>
        </w:tc>
        <w:tc>
          <w:tcPr>
            <w:tcW w:w="527" w:type="pct"/>
            <w:tcBorders>
              <w:top w:val="single" w:sz="4" w:space="0" w:color="auto"/>
            </w:tcBorders>
            <w:shd w:val="clear" w:color="auto" w:fill="auto"/>
            <w:tcMar>
              <w:top w:w="110" w:type="dxa"/>
            </w:tcMar>
            <w:vAlign w:val="center"/>
          </w:tcPr>
          <w:p w:rsidR="00495A3D" w:rsidRPr="00E4003F" w:rsidRDefault="00495A3D" w:rsidP="00495A3D">
            <w:pPr>
              <w:keepNext/>
              <w:keepLines/>
              <w:jc w:val="center"/>
              <w:rPr>
                <w:rFonts w:cs="Arial"/>
                <w:b/>
                <w:bCs/>
                <w:sz w:val="16"/>
                <w:szCs w:val="16"/>
              </w:rPr>
            </w:pPr>
            <w:r w:rsidRPr="00E4003F">
              <w:rPr>
                <w:b/>
                <w:sz w:val="16"/>
                <w:szCs w:val="16"/>
              </w:rPr>
              <w:t>CC</w:t>
            </w:r>
          </w:p>
        </w:tc>
      </w:tr>
      <w:tr w:rsidR="00495A3D" w:rsidRPr="00E4003F" w:rsidTr="00495A3D">
        <w:trPr>
          <w:cantSplit/>
        </w:trPr>
        <w:tc>
          <w:tcPr>
            <w:tcW w:w="1140" w:type="pct"/>
            <w:shd w:val="clear" w:color="auto" w:fill="auto"/>
          </w:tcPr>
          <w:p w:rsidR="00495A3D" w:rsidRPr="00495A3D" w:rsidRDefault="00495A3D" w:rsidP="00495A3D">
            <w:pPr>
              <w:rPr>
                <w:rFonts w:cs="Arial"/>
                <w:sz w:val="16"/>
                <w:szCs w:val="16"/>
                <w:lang w:val="ru-RU"/>
              </w:rPr>
            </w:pPr>
            <w:r w:rsidRPr="00495A3D">
              <w:rPr>
                <w:color w:val="000000"/>
                <w:sz w:val="16"/>
                <w:szCs w:val="16"/>
                <w:lang w:val="ru-RU"/>
              </w:rPr>
              <w:t>Число споров об рДВУ, рассмотренных на основе ЕПУС</w:t>
            </w:r>
          </w:p>
        </w:tc>
        <w:tc>
          <w:tcPr>
            <w:tcW w:w="1211" w:type="pct"/>
            <w:shd w:val="clear" w:color="auto" w:fill="auto"/>
          </w:tcPr>
          <w:p w:rsidR="00495A3D" w:rsidRPr="00495A3D" w:rsidRDefault="00495A3D" w:rsidP="00495A3D">
            <w:pPr>
              <w:rPr>
                <w:rFonts w:cs="Arial"/>
                <w:i/>
                <w:color w:val="002060"/>
                <w:sz w:val="16"/>
                <w:szCs w:val="16"/>
                <w:lang w:val="ru-RU"/>
              </w:rPr>
            </w:pPr>
            <w:r w:rsidRPr="00495A3D">
              <w:rPr>
                <w:i/>
                <w:color w:val="002060"/>
                <w:sz w:val="16"/>
                <w:szCs w:val="16"/>
                <w:lang w:val="ru-RU"/>
              </w:rPr>
              <w:t>Обновленные базовые показатели, конец 2013</w:t>
            </w:r>
            <w:r w:rsidRPr="00E4003F">
              <w:rPr>
                <w:i/>
                <w:color w:val="002060"/>
                <w:sz w:val="16"/>
                <w:szCs w:val="16"/>
              </w:rPr>
              <w:t> </w:t>
            </w:r>
            <w:r w:rsidRPr="00495A3D">
              <w:rPr>
                <w:i/>
                <w:color w:val="002060"/>
                <w:sz w:val="16"/>
                <w:szCs w:val="16"/>
                <w:lang w:val="ru-RU"/>
              </w:rPr>
              <w:t>г.:</w:t>
            </w:r>
            <w:r w:rsidRPr="00495A3D">
              <w:rPr>
                <w:color w:val="002060"/>
                <w:sz w:val="16"/>
                <w:szCs w:val="16"/>
                <w:lang w:val="ru-RU"/>
              </w:rPr>
              <w:t xml:space="preserve">  24</w:t>
            </w:r>
            <w:r w:rsidRPr="00E4003F">
              <w:rPr>
                <w:color w:val="002060"/>
                <w:sz w:val="16"/>
                <w:szCs w:val="16"/>
              </w:rPr>
              <w:t> </w:t>
            </w:r>
            <w:r w:rsidRPr="00495A3D">
              <w:rPr>
                <w:color w:val="002060"/>
                <w:sz w:val="16"/>
                <w:szCs w:val="16"/>
                <w:lang w:val="ru-RU"/>
              </w:rPr>
              <w:t>901 спор по рДВУ, урегулированный Центром (всего на конец 2012</w:t>
            </w:r>
            <w:r w:rsidRPr="00E4003F">
              <w:rPr>
                <w:color w:val="002060"/>
                <w:sz w:val="16"/>
                <w:szCs w:val="16"/>
              </w:rPr>
              <w:t> </w:t>
            </w:r>
            <w:r w:rsidRPr="00495A3D">
              <w:rPr>
                <w:color w:val="002060"/>
                <w:sz w:val="16"/>
                <w:szCs w:val="16"/>
                <w:lang w:val="ru-RU"/>
              </w:rPr>
              <w:t xml:space="preserve">г.) </w:t>
            </w:r>
          </w:p>
          <w:p w:rsidR="00495A3D" w:rsidRPr="00495A3D" w:rsidRDefault="00495A3D" w:rsidP="00495A3D">
            <w:pPr>
              <w:rPr>
                <w:rFonts w:cs="Arial"/>
                <w:i/>
                <w:sz w:val="16"/>
                <w:szCs w:val="16"/>
                <w:lang w:val="ru-RU"/>
              </w:rPr>
            </w:pPr>
          </w:p>
          <w:p w:rsidR="00495A3D" w:rsidRPr="00495A3D" w:rsidRDefault="00495A3D" w:rsidP="00495A3D">
            <w:pPr>
              <w:rPr>
                <w:rFonts w:cs="Arial"/>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22</w:t>
            </w:r>
            <w:r w:rsidRPr="00E4003F">
              <w:rPr>
                <w:sz w:val="16"/>
                <w:szCs w:val="16"/>
              </w:rPr>
              <w:t> </w:t>
            </w:r>
            <w:r w:rsidRPr="00495A3D">
              <w:rPr>
                <w:sz w:val="16"/>
                <w:szCs w:val="16"/>
                <w:lang w:val="ru-RU"/>
              </w:rPr>
              <w:t>644 спора по рДВУ, урегулированных Центром (всего на конец 2012</w:t>
            </w:r>
            <w:r w:rsidRPr="00E4003F">
              <w:rPr>
                <w:sz w:val="16"/>
                <w:szCs w:val="16"/>
              </w:rPr>
              <w:t> </w:t>
            </w:r>
            <w:r w:rsidRPr="00495A3D">
              <w:rPr>
                <w:sz w:val="16"/>
                <w:szCs w:val="16"/>
                <w:lang w:val="ru-RU"/>
              </w:rPr>
              <w:t>г.)</w:t>
            </w:r>
          </w:p>
        </w:tc>
        <w:tc>
          <w:tcPr>
            <w:tcW w:w="911" w:type="pct"/>
            <w:shd w:val="clear" w:color="auto" w:fill="auto"/>
            <w:tcMar>
              <w:top w:w="110" w:type="dxa"/>
            </w:tcMar>
          </w:tcPr>
          <w:p w:rsidR="00495A3D" w:rsidRPr="00E4003F" w:rsidRDefault="00495A3D" w:rsidP="00495A3D">
            <w:pPr>
              <w:autoSpaceDE w:val="0"/>
              <w:autoSpaceDN w:val="0"/>
              <w:adjustRightInd w:val="0"/>
              <w:rPr>
                <w:rFonts w:cs="Arial"/>
                <w:sz w:val="16"/>
                <w:szCs w:val="16"/>
              </w:rPr>
            </w:pPr>
            <w:r w:rsidRPr="00E4003F">
              <w:rPr>
                <w:sz w:val="16"/>
                <w:szCs w:val="16"/>
              </w:rPr>
              <w:t>Еще 3 000 споров</w:t>
            </w:r>
          </w:p>
        </w:tc>
        <w:tc>
          <w:tcPr>
            <w:tcW w:w="1211" w:type="pct"/>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Еще 4</w:t>
            </w:r>
            <w:r w:rsidRPr="00E4003F">
              <w:rPr>
                <w:sz w:val="16"/>
                <w:szCs w:val="16"/>
              </w:rPr>
              <w:t> </w:t>
            </w:r>
            <w:r w:rsidRPr="00495A3D">
              <w:rPr>
                <w:sz w:val="16"/>
                <w:szCs w:val="16"/>
                <w:lang w:val="ru-RU"/>
              </w:rPr>
              <w:t>666 споров в связи с рДВУ в 2014–2015</w:t>
            </w:r>
            <w:r w:rsidRPr="00E4003F">
              <w:rPr>
                <w:sz w:val="16"/>
                <w:szCs w:val="16"/>
              </w:rPr>
              <w:t> </w:t>
            </w:r>
            <w:r w:rsidRPr="00495A3D">
              <w:rPr>
                <w:sz w:val="16"/>
                <w:szCs w:val="16"/>
                <w:lang w:val="ru-RU"/>
              </w:rPr>
              <w:t>гг.</w:t>
            </w:r>
          </w:p>
          <w:p w:rsidR="00495A3D" w:rsidRPr="00E4003F" w:rsidRDefault="00495A3D" w:rsidP="00495A3D">
            <w:pPr>
              <w:rPr>
                <w:rFonts w:cs="Arial"/>
                <w:sz w:val="16"/>
                <w:szCs w:val="16"/>
              </w:rPr>
            </w:pPr>
            <w:r w:rsidRPr="00495A3D">
              <w:rPr>
                <w:sz w:val="16"/>
                <w:szCs w:val="16"/>
                <w:lang w:val="ru-RU"/>
              </w:rPr>
              <w:t xml:space="preserve"> </w:t>
            </w:r>
            <w:r w:rsidRPr="00E4003F">
              <w:rPr>
                <w:sz w:val="16"/>
                <w:szCs w:val="16"/>
              </w:rPr>
              <w:t>(всего 29 567 споров об рДВУ)</w:t>
            </w:r>
          </w:p>
          <w:p w:rsidR="00495A3D" w:rsidRPr="00E4003F" w:rsidRDefault="00495A3D" w:rsidP="00495A3D">
            <w:pPr>
              <w:rPr>
                <w:rFonts w:cs="Arial"/>
                <w:sz w:val="16"/>
                <w:szCs w:val="16"/>
              </w:rPr>
            </w:pPr>
          </w:p>
          <w:p w:rsidR="00495A3D" w:rsidRPr="00E4003F" w:rsidRDefault="00495A3D" w:rsidP="00495A3D">
            <w:pPr>
              <w:rPr>
                <w:rFonts w:cs="Arial"/>
                <w:sz w:val="16"/>
                <w:szCs w:val="16"/>
              </w:rPr>
            </w:pPr>
          </w:p>
        </w:tc>
        <w:tc>
          <w:tcPr>
            <w:tcW w:w="527" w:type="pct"/>
            <w:shd w:val="clear" w:color="auto" w:fill="auto"/>
            <w:tcMar>
              <w:top w:w="110" w:type="dxa"/>
            </w:tcMar>
          </w:tcPr>
          <w:p w:rsidR="00495A3D" w:rsidRPr="00E4003F" w:rsidRDefault="00495A3D" w:rsidP="00495A3D">
            <w:pPr>
              <w:keepNext/>
              <w:keepLines/>
              <w:jc w:val="center"/>
              <w:rPr>
                <w:rFonts w:cs="Arial"/>
                <w:bCs/>
                <w:color w:val="008000"/>
                <w:sz w:val="16"/>
                <w:szCs w:val="16"/>
              </w:rPr>
            </w:pPr>
            <w:r w:rsidRPr="00E4003F">
              <w:rPr>
                <w:b/>
                <w:color w:val="00B050"/>
                <w:sz w:val="16"/>
                <w:szCs w:val="16"/>
              </w:rPr>
              <w:t>Выполнено</w:t>
            </w:r>
          </w:p>
        </w:tc>
      </w:tr>
      <w:tr w:rsidR="00495A3D" w:rsidRPr="00E4003F" w:rsidTr="00495A3D">
        <w:trPr>
          <w:cantSplit/>
        </w:trPr>
        <w:tc>
          <w:tcPr>
            <w:tcW w:w="1140" w:type="pct"/>
            <w:shd w:val="clear" w:color="auto" w:fill="auto"/>
          </w:tcPr>
          <w:p w:rsidR="00495A3D" w:rsidRPr="00495A3D" w:rsidRDefault="00495A3D" w:rsidP="00495A3D">
            <w:pPr>
              <w:keepNext/>
              <w:keepLines/>
              <w:rPr>
                <w:rFonts w:cs="Arial"/>
                <w:sz w:val="16"/>
                <w:szCs w:val="16"/>
                <w:lang w:val="ru-RU"/>
              </w:rPr>
            </w:pPr>
            <w:r w:rsidRPr="00495A3D">
              <w:rPr>
                <w:color w:val="000000"/>
                <w:sz w:val="16"/>
                <w:szCs w:val="16"/>
                <w:lang w:val="ru-RU"/>
              </w:rPr>
              <w:t>Число споров о ксДВУ, рассмотренных на основе ЕПУС</w:t>
            </w:r>
          </w:p>
        </w:tc>
        <w:tc>
          <w:tcPr>
            <w:tcW w:w="1211" w:type="pct"/>
            <w:shd w:val="clear" w:color="auto" w:fill="auto"/>
          </w:tcPr>
          <w:p w:rsidR="00495A3D" w:rsidRPr="00495A3D" w:rsidRDefault="00495A3D" w:rsidP="00495A3D">
            <w:pPr>
              <w:keepNext/>
              <w:keepLines/>
              <w:rPr>
                <w:rFonts w:cs="Arial"/>
                <w:i/>
                <w:color w:val="002060"/>
                <w:sz w:val="16"/>
                <w:szCs w:val="16"/>
                <w:lang w:val="ru-RU"/>
              </w:rPr>
            </w:pPr>
            <w:r w:rsidRPr="00495A3D">
              <w:rPr>
                <w:i/>
                <w:color w:val="002060"/>
                <w:sz w:val="16"/>
                <w:szCs w:val="16"/>
                <w:lang w:val="ru-RU"/>
              </w:rPr>
              <w:t>Обновленные базовые показатели, конец 2013</w:t>
            </w:r>
            <w:r w:rsidRPr="00E4003F">
              <w:rPr>
                <w:i/>
                <w:color w:val="002060"/>
                <w:sz w:val="16"/>
                <w:szCs w:val="16"/>
              </w:rPr>
              <w:t> </w:t>
            </w:r>
            <w:r w:rsidRPr="00495A3D">
              <w:rPr>
                <w:i/>
                <w:color w:val="002060"/>
                <w:sz w:val="16"/>
                <w:szCs w:val="16"/>
                <w:lang w:val="ru-RU"/>
              </w:rPr>
              <w:t>г.:</w:t>
            </w:r>
            <w:r w:rsidRPr="00495A3D">
              <w:rPr>
                <w:color w:val="002060"/>
                <w:sz w:val="16"/>
                <w:szCs w:val="16"/>
                <w:lang w:val="ru-RU"/>
              </w:rPr>
              <w:t xml:space="preserve">  2</w:t>
            </w:r>
            <w:r w:rsidRPr="00E4003F">
              <w:rPr>
                <w:color w:val="002060"/>
                <w:sz w:val="16"/>
                <w:szCs w:val="16"/>
              </w:rPr>
              <w:t> </w:t>
            </w:r>
            <w:r w:rsidRPr="00495A3D">
              <w:rPr>
                <w:color w:val="002060"/>
                <w:sz w:val="16"/>
                <w:szCs w:val="16"/>
                <w:lang w:val="ru-RU"/>
              </w:rPr>
              <w:t>798 споров только по ксДВУ, урегулированных Центром (всего на конец 2013</w:t>
            </w:r>
            <w:r w:rsidRPr="00E4003F">
              <w:rPr>
                <w:color w:val="002060"/>
                <w:sz w:val="16"/>
                <w:szCs w:val="16"/>
              </w:rPr>
              <w:t> </w:t>
            </w:r>
            <w:r w:rsidRPr="00495A3D">
              <w:rPr>
                <w:color w:val="002060"/>
                <w:sz w:val="16"/>
                <w:szCs w:val="16"/>
                <w:lang w:val="ru-RU"/>
              </w:rPr>
              <w:t>г.)</w:t>
            </w:r>
            <w:r w:rsidRPr="00E4003F">
              <w:rPr>
                <w:rStyle w:val="FootnoteReference"/>
                <w:color w:val="002060"/>
                <w:sz w:val="16"/>
                <w:szCs w:val="16"/>
              </w:rPr>
              <w:footnoteReference w:id="51"/>
            </w:r>
          </w:p>
          <w:p w:rsidR="00495A3D" w:rsidRPr="00495A3D" w:rsidRDefault="00495A3D" w:rsidP="00495A3D">
            <w:pPr>
              <w:keepNext/>
              <w:keepLines/>
              <w:rPr>
                <w:rFonts w:cs="Arial"/>
                <w:i/>
                <w:sz w:val="16"/>
                <w:szCs w:val="16"/>
                <w:lang w:val="ru-RU"/>
              </w:rPr>
            </w:pPr>
          </w:p>
          <w:p w:rsidR="00495A3D" w:rsidRPr="00495A3D" w:rsidRDefault="00495A3D" w:rsidP="00495A3D">
            <w:pPr>
              <w:keepNext/>
              <w:keepLines/>
              <w:rPr>
                <w:rFonts w:cs="Arial"/>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2</w:t>
            </w:r>
            <w:r w:rsidRPr="00E4003F">
              <w:rPr>
                <w:sz w:val="16"/>
                <w:szCs w:val="16"/>
              </w:rPr>
              <w:t> </w:t>
            </w:r>
            <w:r w:rsidRPr="00495A3D">
              <w:rPr>
                <w:sz w:val="16"/>
                <w:szCs w:val="16"/>
                <w:lang w:val="ru-RU"/>
              </w:rPr>
              <w:t>470 споров только по ксДВУ, урегулированных Центром (всего на конец 2012</w:t>
            </w:r>
            <w:r w:rsidRPr="00E4003F">
              <w:rPr>
                <w:sz w:val="16"/>
                <w:szCs w:val="16"/>
              </w:rPr>
              <w:t> </w:t>
            </w:r>
            <w:r w:rsidRPr="00495A3D">
              <w:rPr>
                <w:sz w:val="16"/>
                <w:szCs w:val="16"/>
                <w:lang w:val="ru-RU"/>
              </w:rPr>
              <w:t>г.)</w:t>
            </w:r>
          </w:p>
        </w:tc>
        <w:tc>
          <w:tcPr>
            <w:tcW w:w="911" w:type="pct"/>
            <w:shd w:val="clear" w:color="auto" w:fill="auto"/>
            <w:tcMar>
              <w:top w:w="110" w:type="dxa"/>
            </w:tcMar>
          </w:tcPr>
          <w:p w:rsidR="00495A3D" w:rsidRPr="00E4003F" w:rsidRDefault="00495A3D" w:rsidP="00495A3D">
            <w:pPr>
              <w:keepNext/>
              <w:keepLines/>
              <w:rPr>
                <w:rFonts w:cs="Arial"/>
                <w:sz w:val="16"/>
                <w:szCs w:val="16"/>
              </w:rPr>
            </w:pPr>
            <w:r w:rsidRPr="00E4003F">
              <w:rPr>
                <w:sz w:val="16"/>
                <w:szCs w:val="16"/>
              </w:rPr>
              <w:t>Еще 350 споров</w:t>
            </w:r>
          </w:p>
        </w:tc>
        <w:tc>
          <w:tcPr>
            <w:tcW w:w="1211" w:type="pct"/>
            <w:shd w:val="clear" w:color="auto" w:fill="auto"/>
            <w:tcMar>
              <w:top w:w="110" w:type="dxa"/>
            </w:tcMar>
          </w:tcPr>
          <w:p w:rsidR="00495A3D" w:rsidRPr="00495A3D" w:rsidRDefault="00495A3D" w:rsidP="00495A3D">
            <w:pPr>
              <w:keepNext/>
              <w:keepLines/>
              <w:rPr>
                <w:rFonts w:cs="Arial"/>
                <w:sz w:val="16"/>
                <w:szCs w:val="16"/>
                <w:lang w:val="ru-RU"/>
              </w:rPr>
            </w:pPr>
            <w:r w:rsidRPr="00495A3D">
              <w:rPr>
                <w:sz w:val="16"/>
                <w:szCs w:val="16"/>
                <w:lang w:val="ru-RU"/>
              </w:rPr>
              <w:t>Еще 722 спора, касающегося только ксДВУ в 2014–2015</w:t>
            </w:r>
            <w:r w:rsidRPr="00E4003F">
              <w:rPr>
                <w:sz w:val="16"/>
                <w:szCs w:val="16"/>
              </w:rPr>
              <w:t> </w:t>
            </w:r>
            <w:r w:rsidRPr="00495A3D">
              <w:rPr>
                <w:sz w:val="16"/>
                <w:szCs w:val="16"/>
                <w:lang w:val="ru-RU"/>
              </w:rPr>
              <w:t>гг.</w:t>
            </w:r>
          </w:p>
          <w:p w:rsidR="00495A3D" w:rsidRPr="00E4003F" w:rsidRDefault="00495A3D" w:rsidP="00495A3D">
            <w:pPr>
              <w:keepNext/>
              <w:keepLines/>
              <w:rPr>
                <w:rFonts w:cs="Arial"/>
                <w:sz w:val="16"/>
                <w:szCs w:val="16"/>
              </w:rPr>
            </w:pPr>
            <w:r w:rsidRPr="00495A3D">
              <w:rPr>
                <w:sz w:val="16"/>
                <w:szCs w:val="16"/>
                <w:lang w:val="ru-RU"/>
              </w:rPr>
              <w:t xml:space="preserve"> </w:t>
            </w:r>
            <w:r w:rsidRPr="00E4003F">
              <w:rPr>
                <w:sz w:val="16"/>
                <w:szCs w:val="16"/>
              </w:rPr>
              <w:t>(всего 3 520)</w:t>
            </w:r>
          </w:p>
        </w:tc>
        <w:tc>
          <w:tcPr>
            <w:tcW w:w="527" w:type="pct"/>
            <w:shd w:val="clear" w:color="auto" w:fill="auto"/>
          </w:tcPr>
          <w:p w:rsidR="00495A3D" w:rsidRPr="00E4003F" w:rsidRDefault="00495A3D" w:rsidP="00495A3D">
            <w:pPr>
              <w:keepNext/>
              <w:keepLines/>
              <w:jc w:val="center"/>
              <w:rPr>
                <w:rFonts w:cs="Arial"/>
                <w:b/>
                <w:bCs/>
                <w:color w:val="333333"/>
                <w:sz w:val="16"/>
                <w:szCs w:val="16"/>
              </w:rPr>
            </w:pPr>
            <w:r w:rsidRPr="00E4003F">
              <w:rPr>
                <w:b/>
                <w:color w:val="00B050"/>
                <w:sz w:val="16"/>
                <w:szCs w:val="16"/>
              </w:rPr>
              <w:t>Выполнено</w:t>
            </w:r>
          </w:p>
        </w:tc>
      </w:tr>
      <w:tr w:rsidR="00495A3D" w:rsidRPr="00E4003F" w:rsidTr="00495A3D">
        <w:trPr>
          <w:cantSplit/>
        </w:trPr>
        <w:tc>
          <w:tcPr>
            <w:tcW w:w="1140" w:type="pct"/>
            <w:shd w:val="clear" w:color="auto" w:fill="auto"/>
          </w:tcPr>
          <w:p w:rsidR="00495A3D" w:rsidRPr="00495A3D" w:rsidRDefault="00495A3D" w:rsidP="00495A3D">
            <w:pPr>
              <w:rPr>
                <w:rFonts w:cs="Arial"/>
                <w:sz w:val="16"/>
                <w:szCs w:val="16"/>
                <w:lang w:val="ru-RU"/>
              </w:rPr>
            </w:pPr>
            <w:r w:rsidRPr="00495A3D">
              <w:rPr>
                <w:color w:val="000000"/>
                <w:sz w:val="16"/>
                <w:szCs w:val="16"/>
                <w:lang w:val="ru-RU"/>
              </w:rPr>
              <w:t>Политика по урегулированию споров в области доменных имен, вклад в разработку и применение которой внес Центр ВОИС</w:t>
            </w:r>
          </w:p>
        </w:tc>
        <w:tc>
          <w:tcPr>
            <w:tcW w:w="1211" w:type="pct"/>
            <w:shd w:val="clear" w:color="auto" w:fill="auto"/>
          </w:tcPr>
          <w:p w:rsidR="00495A3D" w:rsidRPr="00495A3D" w:rsidRDefault="00495A3D" w:rsidP="00495A3D">
            <w:pPr>
              <w:rPr>
                <w:rFonts w:cs="Arial"/>
                <w:i/>
                <w:color w:val="002060"/>
                <w:sz w:val="16"/>
                <w:szCs w:val="16"/>
                <w:lang w:val="ru-RU"/>
              </w:rPr>
            </w:pPr>
            <w:r w:rsidRPr="00495A3D">
              <w:rPr>
                <w:i/>
                <w:color w:val="002060"/>
                <w:sz w:val="16"/>
                <w:szCs w:val="16"/>
                <w:lang w:val="ru-RU"/>
              </w:rPr>
              <w:t>Обновленные базовые показатели, конец 2013</w:t>
            </w:r>
            <w:r w:rsidRPr="00E4003F">
              <w:rPr>
                <w:i/>
                <w:color w:val="002060"/>
                <w:sz w:val="16"/>
                <w:szCs w:val="16"/>
              </w:rPr>
              <w:t> </w:t>
            </w:r>
            <w:r w:rsidRPr="00495A3D">
              <w:rPr>
                <w:i/>
                <w:color w:val="002060"/>
                <w:sz w:val="16"/>
                <w:szCs w:val="16"/>
                <w:lang w:val="ru-RU"/>
              </w:rPr>
              <w:t>г.:</w:t>
            </w:r>
            <w:r w:rsidRPr="00495A3D">
              <w:rPr>
                <w:color w:val="002060"/>
                <w:sz w:val="16"/>
                <w:szCs w:val="16"/>
                <w:lang w:val="ru-RU"/>
              </w:rPr>
              <w:t xml:space="preserve">  ЕПУС, Политика урегулирования споров до делегирования доменов, Процедура урегулирования споров в отношении товарных знаков после делегирования доменов (всего на конец 2013</w:t>
            </w:r>
            <w:r>
              <w:rPr>
                <w:color w:val="002060"/>
                <w:sz w:val="16"/>
                <w:szCs w:val="16"/>
              </w:rPr>
              <w:t> </w:t>
            </w:r>
            <w:r w:rsidRPr="00495A3D">
              <w:rPr>
                <w:color w:val="002060"/>
                <w:sz w:val="16"/>
                <w:szCs w:val="16"/>
                <w:lang w:val="ru-RU"/>
              </w:rPr>
              <w:t>г.)</w:t>
            </w:r>
          </w:p>
          <w:p w:rsidR="00495A3D" w:rsidRPr="00495A3D" w:rsidRDefault="00495A3D" w:rsidP="00495A3D">
            <w:pPr>
              <w:rPr>
                <w:rFonts w:cs="Arial"/>
                <w:i/>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w:t>
            </w:r>
            <w:r>
              <w:rPr>
                <w:i/>
                <w:sz w:val="16"/>
                <w:szCs w:val="16"/>
              </w:rPr>
              <w:t> </w:t>
            </w:r>
            <w:r w:rsidRPr="00495A3D">
              <w:rPr>
                <w:i/>
                <w:sz w:val="16"/>
                <w:szCs w:val="16"/>
                <w:lang w:val="ru-RU"/>
              </w:rPr>
              <w:t xml:space="preserve">гг.: </w:t>
            </w:r>
            <w:r w:rsidRPr="00495A3D">
              <w:rPr>
                <w:sz w:val="16"/>
                <w:szCs w:val="16"/>
                <w:lang w:val="ru-RU"/>
              </w:rPr>
              <w:t xml:space="preserve"> ЕПУС, Политика урегулирования споров до делегирования доменов (всего на конец 2012</w:t>
            </w:r>
            <w:r>
              <w:rPr>
                <w:sz w:val="16"/>
                <w:szCs w:val="16"/>
              </w:rPr>
              <w:t> </w:t>
            </w:r>
            <w:r w:rsidRPr="00495A3D">
              <w:rPr>
                <w:sz w:val="16"/>
                <w:szCs w:val="16"/>
                <w:lang w:val="ru-RU"/>
              </w:rPr>
              <w:t>г.)</w:t>
            </w:r>
          </w:p>
        </w:tc>
        <w:tc>
          <w:tcPr>
            <w:tcW w:w="911" w:type="pct"/>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Реализация в рамках Системы доменных имен рекомендаций ВОИС в отношении политики и процедур</w:t>
            </w:r>
          </w:p>
        </w:tc>
        <w:tc>
          <w:tcPr>
            <w:tcW w:w="1211" w:type="pct"/>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Обновленные правила ЕПУС для новых положений о налагаемой Регистратором блокировке (2015).</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ЕПУС, Политика ИКАНН по урегулированию споров до делегирования доменов, Процедуры ИКАНН по урегулированию споров в отношении товарных знаков после делегирования доменов (всего на конец 2015</w:t>
            </w:r>
            <w:r>
              <w:rPr>
                <w:sz w:val="16"/>
                <w:szCs w:val="16"/>
              </w:rPr>
              <w:t> </w:t>
            </w:r>
            <w:r w:rsidRPr="00495A3D">
              <w:rPr>
                <w:sz w:val="16"/>
                <w:szCs w:val="16"/>
                <w:lang w:val="ru-RU"/>
              </w:rPr>
              <w:t xml:space="preserve">г.); никакие дополнительные нормы, принципы или рекомендации к внедрению не планируются. </w:t>
            </w:r>
          </w:p>
        </w:tc>
        <w:tc>
          <w:tcPr>
            <w:tcW w:w="527" w:type="pct"/>
            <w:shd w:val="clear" w:color="auto" w:fill="auto"/>
            <w:tcMar>
              <w:top w:w="110" w:type="dxa"/>
            </w:tcMar>
          </w:tcPr>
          <w:p w:rsidR="00495A3D" w:rsidRPr="00E4003F" w:rsidRDefault="00495A3D" w:rsidP="00495A3D">
            <w:pPr>
              <w:keepNext/>
              <w:keepLines/>
              <w:jc w:val="center"/>
              <w:rPr>
                <w:rFonts w:cs="Arial"/>
                <w:b/>
                <w:bCs/>
                <w:sz w:val="16"/>
                <w:szCs w:val="16"/>
              </w:rPr>
            </w:pPr>
            <w:r w:rsidRPr="00E4003F">
              <w:rPr>
                <w:b/>
                <w:color w:val="00B050"/>
                <w:sz w:val="16"/>
                <w:szCs w:val="16"/>
              </w:rPr>
              <w:t>Выполнено</w:t>
            </w:r>
          </w:p>
        </w:tc>
      </w:tr>
      <w:tr w:rsidR="00495A3D" w:rsidRPr="00E4003F" w:rsidTr="00495A3D">
        <w:trPr>
          <w:cantSplit/>
        </w:trPr>
        <w:tc>
          <w:tcPr>
            <w:tcW w:w="1140" w:type="pct"/>
            <w:shd w:val="clear" w:color="auto" w:fill="auto"/>
          </w:tcPr>
          <w:p w:rsidR="00495A3D" w:rsidRPr="00495A3D" w:rsidRDefault="00495A3D" w:rsidP="00495A3D">
            <w:pPr>
              <w:rPr>
                <w:rFonts w:cs="Arial"/>
                <w:color w:val="000000"/>
                <w:sz w:val="16"/>
                <w:szCs w:val="16"/>
                <w:lang w:val="ru-RU"/>
              </w:rPr>
            </w:pPr>
            <w:r w:rsidRPr="00495A3D">
              <w:rPr>
                <w:color w:val="000000"/>
                <w:sz w:val="16"/>
                <w:szCs w:val="16"/>
                <w:lang w:val="ru-RU"/>
              </w:rPr>
              <w:t>Число администраторов ксДВУ, которым ВОИС оказала помощь в разработке или администрации механизмов охраны интеллектуальной собственности в соответствии с международными стандартами</w:t>
            </w:r>
          </w:p>
        </w:tc>
        <w:tc>
          <w:tcPr>
            <w:tcW w:w="1211" w:type="pct"/>
            <w:shd w:val="clear" w:color="auto" w:fill="auto"/>
          </w:tcPr>
          <w:p w:rsidR="00495A3D" w:rsidRPr="00495A3D" w:rsidRDefault="00495A3D" w:rsidP="00495A3D">
            <w:pPr>
              <w:rPr>
                <w:rFonts w:cs="Arial"/>
                <w:i/>
                <w:color w:val="002060"/>
                <w:sz w:val="16"/>
                <w:szCs w:val="16"/>
                <w:lang w:val="ru-RU"/>
              </w:rPr>
            </w:pPr>
            <w:r w:rsidRPr="00495A3D">
              <w:rPr>
                <w:i/>
                <w:color w:val="002060"/>
                <w:sz w:val="16"/>
                <w:szCs w:val="16"/>
                <w:lang w:val="ru-RU"/>
              </w:rPr>
              <w:t>Обновленные базовые показатели, конец 2013</w:t>
            </w:r>
            <w:r w:rsidRPr="00E4003F">
              <w:rPr>
                <w:i/>
                <w:color w:val="002060"/>
                <w:sz w:val="16"/>
                <w:szCs w:val="16"/>
              </w:rPr>
              <w:t> </w:t>
            </w:r>
            <w:r w:rsidRPr="00495A3D">
              <w:rPr>
                <w:i/>
                <w:color w:val="002060"/>
                <w:sz w:val="16"/>
                <w:szCs w:val="16"/>
                <w:lang w:val="ru-RU"/>
              </w:rPr>
              <w:t>г.:</w:t>
            </w:r>
            <w:r w:rsidRPr="00495A3D">
              <w:rPr>
                <w:color w:val="002060"/>
                <w:sz w:val="16"/>
                <w:szCs w:val="16"/>
                <w:lang w:val="ru-RU"/>
              </w:rPr>
              <w:t xml:space="preserve">  70</w:t>
            </w:r>
            <w:r>
              <w:rPr>
                <w:color w:val="002060"/>
                <w:sz w:val="16"/>
                <w:szCs w:val="16"/>
              </w:rPr>
              <w:t> </w:t>
            </w:r>
            <w:r w:rsidRPr="00495A3D">
              <w:rPr>
                <w:color w:val="002060"/>
                <w:sz w:val="16"/>
                <w:szCs w:val="16"/>
                <w:lang w:val="ru-RU"/>
              </w:rPr>
              <w:t>администраторов ксДВУ (всего на конец 2013</w:t>
            </w:r>
            <w:r w:rsidRPr="00E4003F">
              <w:rPr>
                <w:color w:val="002060"/>
                <w:sz w:val="16"/>
                <w:szCs w:val="16"/>
              </w:rPr>
              <w:t> </w:t>
            </w:r>
            <w:r w:rsidRPr="00495A3D">
              <w:rPr>
                <w:color w:val="002060"/>
                <w:sz w:val="16"/>
                <w:szCs w:val="16"/>
                <w:lang w:val="ru-RU"/>
              </w:rPr>
              <w:t>г.)</w:t>
            </w:r>
          </w:p>
          <w:p w:rsidR="00495A3D" w:rsidRPr="00495A3D" w:rsidRDefault="00495A3D" w:rsidP="00495A3D">
            <w:pPr>
              <w:rPr>
                <w:rFonts w:cs="Arial"/>
                <w:i/>
                <w:sz w:val="16"/>
                <w:szCs w:val="16"/>
                <w:lang w:val="ru-RU"/>
              </w:rPr>
            </w:pPr>
          </w:p>
          <w:p w:rsidR="00495A3D" w:rsidRPr="00495A3D" w:rsidRDefault="00495A3D" w:rsidP="00495A3D">
            <w:pPr>
              <w:rPr>
                <w:rFonts w:cs="Arial"/>
                <w:i/>
                <w:color w:val="002060"/>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67</w:t>
            </w:r>
            <w:r>
              <w:rPr>
                <w:sz w:val="16"/>
                <w:szCs w:val="16"/>
              </w:rPr>
              <w:t> </w:t>
            </w:r>
            <w:r w:rsidRPr="00495A3D">
              <w:rPr>
                <w:sz w:val="16"/>
                <w:szCs w:val="16"/>
                <w:lang w:val="ru-RU"/>
              </w:rPr>
              <w:t>администраторов ксДВУ (всего на конец 2012</w:t>
            </w:r>
            <w:r w:rsidRPr="00E4003F">
              <w:rPr>
                <w:sz w:val="16"/>
                <w:szCs w:val="16"/>
              </w:rPr>
              <w:t> </w:t>
            </w:r>
            <w:r w:rsidRPr="00495A3D">
              <w:rPr>
                <w:sz w:val="16"/>
                <w:szCs w:val="16"/>
                <w:lang w:val="ru-RU"/>
              </w:rPr>
              <w:t>г.)</w:t>
            </w:r>
          </w:p>
        </w:tc>
        <w:tc>
          <w:tcPr>
            <w:tcW w:w="911" w:type="pct"/>
            <w:shd w:val="clear" w:color="auto" w:fill="auto"/>
            <w:tcMar>
              <w:top w:w="110" w:type="dxa"/>
            </w:tcMar>
          </w:tcPr>
          <w:p w:rsidR="00495A3D" w:rsidRPr="00E4003F" w:rsidRDefault="00495A3D" w:rsidP="00495A3D">
            <w:pPr>
              <w:rPr>
                <w:rFonts w:cs="Arial"/>
                <w:sz w:val="16"/>
                <w:szCs w:val="16"/>
              </w:rPr>
            </w:pPr>
            <w:r w:rsidRPr="00E4003F">
              <w:rPr>
                <w:sz w:val="16"/>
                <w:szCs w:val="16"/>
              </w:rPr>
              <w:t>Четыре новых администратора</w:t>
            </w:r>
          </w:p>
        </w:tc>
        <w:tc>
          <w:tcPr>
            <w:tcW w:w="1211" w:type="pct"/>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В 2014–2015</w:t>
            </w:r>
            <w:r w:rsidRPr="00E4003F">
              <w:rPr>
                <w:sz w:val="16"/>
                <w:szCs w:val="16"/>
              </w:rPr>
              <w:t> </w:t>
            </w:r>
            <w:r w:rsidRPr="00495A3D">
              <w:rPr>
                <w:sz w:val="16"/>
                <w:szCs w:val="16"/>
                <w:lang w:val="ru-RU"/>
              </w:rPr>
              <w:t>гг. два новых администратора (.</w:t>
            </w:r>
            <w:r>
              <w:rPr>
                <w:sz w:val="16"/>
                <w:szCs w:val="16"/>
              </w:rPr>
              <w:t>GC</w:t>
            </w:r>
            <w:r w:rsidRPr="00495A3D">
              <w:rPr>
                <w:sz w:val="16"/>
                <w:szCs w:val="16"/>
                <w:lang w:val="ru-RU"/>
              </w:rPr>
              <w:t>, .</w:t>
            </w:r>
            <w:r>
              <w:rPr>
                <w:sz w:val="16"/>
                <w:szCs w:val="16"/>
              </w:rPr>
              <w:t>VG</w:t>
            </w:r>
            <w:r w:rsidRPr="00495A3D">
              <w:rPr>
                <w:sz w:val="16"/>
                <w:szCs w:val="16"/>
                <w:lang w:val="ru-RU"/>
              </w:rPr>
              <w:t>) (всего 71</w:t>
            </w:r>
            <w:r>
              <w:rPr>
                <w:sz w:val="16"/>
                <w:szCs w:val="16"/>
              </w:rPr>
              <w:t> </w:t>
            </w:r>
            <w:r w:rsidRPr="00495A3D">
              <w:rPr>
                <w:sz w:val="16"/>
                <w:szCs w:val="16"/>
                <w:lang w:val="ru-RU"/>
              </w:rPr>
              <w:t>после прекращения деятельности одного администратора)</w:t>
            </w:r>
          </w:p>
        </w:tc>
        <w:tc>
          <w:tcPr>
            <w:tcW w:w="527" w:type="pct"/>
            <w:shd w:val="clear" w:color="auto" w:fill="auto"/>
            <w:tcMar>
              <w:top w:w="110" w:type="dxa"/>
            </w:tcMar>
          </w:tcPr>
          <w:p w:rsidR="00495A3D" w:rsidRPr="00E4003F" w:rsidRDefault="00495A3D" w:rsidP="00495A3D">
            <w:pPr>
              <w:keepNext/>
              <w:keepLines/>
              <w:jc w:val="center"/>
              <w:rPr>
                <w:rStyle w:val="Style5"/>
                <w:rFonts w:cs="Arial"/>
                <w:b/>
                <w:color w:val="D56509"/>
                <w:sz w:val="16"/>
                <w:szCs w:val="16"/>
              </w:rPr>
            </w:pPr>
            <w:r w:rsidRPr="00E4003F">
              <w:rPr>
                <w:b/>
                <w:color w:val="D56509"/>
                <w:sz w:val="16"/>
                <w:szCs w:val="16"/>
              </w:rPr>
              <w:t>Частично выполнено</w:t>
            </w:r>
          </w:p>
        </w:tc>
      </w:tr>
    </w:tbl>
    <w:p w:rsidR="00495A3D" w:rsidRPr="00090F32" w:rsidRDefault="00495A3D" w:rsidP="00495A3D">
      <w:pPr>
        <w:jc w:val="both"/>
        <w:rPr>
          <w:rFonts w:cs="Arial"/>
          <w:szCs w:val="20"/>
        </w:rPr>
      </w:pPr>
    </w:p>
    <w:p w:rsidR="00495A3D" w:rsidRDefault="00495A3D" w:rsidP="00495A3D">
      <w:pPr>
        <w:spacing w:after="200" w:line="276" w:lineRule="auto"/>
        <w:rPr>
          <w:color w:val="000000"/>
        </w:rPr>
      </w:pPr>
      <w:r>
        <w:rPr>
          <w:color w:val="000000"/>
        </w:rPr>
        <w:br w:type="page"/>
      </w:r>
    </w:p>
    <w:p w:rsidR="00495A3D" w:rsidRPr="00495A3D" w:rsidRDefault="00495A3D" w:rsidP="00495A3D">
      <w:pPr>
        <w:spacing w:after="200" w:line="276" w:lineRule="auto"/>
        <w:rPr>
          <w:b/>
          <w:sz w:val="18"/>
          <w:lang w:val="ru-RU"/>
        </w:rPr>
      </w:pPr>
      <w:r w:rsidRPr="00495A3D">
        <w:rPr>
          <w:color w:val="000000"/>
          <w:lang w:val="ru-RU"/>
        </w:rPr>
        <w:t>ОТЧЕТ О РИСКАХ В ДВУХЛЕТНИЙ ПЕРИОД</w:t>
      </w:r>
    </w:p>
    <w:tbl>
      <w:tblPr>
        <w:tblW w:w="9483"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66"/>
        <w:gridCol w:w="2191"/>
        <w:gridCol w:w="2520"/>
        <w:gridCol w:w="2306"/>
      </w:tblGrid>
      <w:tr w:rsidR="00495A3D" w:rsidRPr="003C527B" w:rsidTr="00495A3D">
        <w:trPr>
          <w:trHeight w:val="479"/>
        </w:trPr>
        <w:tc>
          <w:tcPr>
            <w:tcW w:w="2466" w:type="dxa"/>
            <w:tcBorders>
              <w:top w:val="single" w:sz="4" w:space="0" w:color="auto"/>
              <w:bottom w:val="single" w:sz="4" w:space="0" w:color="auto"/>
            </w:tcBorders>
            <w:shd w:val="clear" w:color="auto" w:fill="C6D9F1" w:themeFill="text2" w:themeFillTint="33"/>
            <w:vAlign w:val="center"/>
          </w:tcPr>
          <w:p w:rsidR="00495A3D" w:rsidRPr="00495A3D" w:rsidRDefault="00495A3D" w:rsidP="00495A3D">
            <w:pPr>
              <w:keepNext/>
              <w:keepLines/>
              <w:jc w:val="center"/>
              <w:rPr>
                <w:b/>
                <w:bCs/>
                <w:iCs/>
                <w:sz w:val="18"/>
                <w:szCs w:val="18"/>
                <w:lang w:val="ru-RU"/>
              </w:rPr>
            </w:pPr>
            <w:r w:rsidRPr="00495A3D">
              <w:rPr>
                <w:b/>
                <w:sz w:val="18"/>
                <w:lang w:val="ru-RU"/>
              </w:rPr>
              <w:t>Риск (риски) того, что программа не достигнет своих результатов</w:t>
            </w:r>
          </w:p>
        </w:tc>
        <w:tc>
          <w:tcPr>
            <w:tcW w:w="2191" w:type="dxa"/>
            <w:tcBorders>
              <w:top w:val="single" w:sz="4" w:space="0" w:color="auto"/>
              <w:bottom w:val="single" w:sz="4" w:space="0" w:color="auto"/>
            </w:tcBorders>
            <w:shd w:val="clear" w:color="auto" w:fill="C6D9F1" w:themeFill="text2" w:themeFillTint="33"/>
            <w:vAlign w:val="center"/>
          </w:tcPr>
          <w:p w:rsidR="00495A3D" w:rsidRPr="00495A3D" w:rsidRDefault="00495A3D" w:rsidP="00495A3D">
            <w:pPr>
              <w:keepNext/>
              <w:keepLines/>
              <w:jc w:val="center"/>
              <w:rPr>
                <w:b/>
                <w:bCs/>
                <w:iCs/>
                <w:sz w:val="18"/>
                <w:szCs w:val="18"/>
                <w:lang w:val="ru-RU"/>
              </w:rPr>
            </w:pPr>
            <w:r w:rsidRPr="00495A3D">
              <w:rPr>
                <w:b/>
                <w:sz w:val="18"/>
                <w:lang w:val="ru-RU"/>
              </w:rPr>
              <w:t xml:space="preserve">Внедренные или разрабатываемые планы мер по снижению рисков </w:t>
            </w:r>
          </w:p>
        </w:tc>
        <w:tc>
          <w:tcPr>
            <w:tcW w:w="2520" w:type="dxa"/>
            <w:tcBorders>
              <w:top w:val="single" w:sz="4" w:space="0" w:color="auto"/>
              <w:bottom w:val="single" w:sz="4" w:space="0" w:color="auto"/>
            </w:tcBorders>
            <w:shd w:val="clear" w:color="auto" w:fill="C6D9F1" w:themeFill="text2" w:themeFillTint="33"/>
          </w:tcPr>
          <w:p w:rsidR="00495A3D" w:rsidRPr="00495A3D" w:rsidRDefault="00495A3D" w:rsidP="00495A3D">
            <w:pPr>
              <w:keepNext/>
              <w:keepLines/>
              <w:jc w:val="center"/>
              <w:rPr>
                <w:b/>
                <w:bCs/>
                <w:sz w:val="18"/>
                <w:szCs w:val="18"/>
                <w:lang w:val="ru-RU"/>
              </w:rPr>
            </w:pPr>
            <w:r w:rsidRPr="00495A3D">
              <w:rPr>
                <w:b/>
                <w:sz w:val="18"/>
                <w:lang w:val="ru-RU"/>
              </w:rPr>
              <w:t>Оценка риска (рисков) и стратегии его (их) смягчения в двухлетний период</w:t>
            </w:r>
          </w:p>
        </w:tc>
        <w:tc>
          <w:tcPr>
            <w:tcW w:w="2306" w:type="dxa"/>
            <w:tcBorders>
              <w:top w:val="single" w:sz="4" w:space="0" w:color="auto"/>
              <w:bottom w:val="single" w:sz="4" w:space="0" w:color="auto"/>
            </w:tcBorders>
            <w:shd w:val="clear" w:color="auto" w:fill="C6D9F1" w:themeFill="text2" w:themeFillTint="33"/>
          </w:tcPr>
          <w:p w:rsidR="00495A3D" w:rsidRPr="003C527B" w:rsidRDefault="00495A3D" w:rsidP="00495A3D">
            <w:pPr>
              <w:keepNext/>
              <w:keepLines/>
              <w:jc w:val="center"/>
              <w:rPr>
                <w:b/>
                <w:bCs/>
                <w:sz w:val="18"/>
                <w:szCs w:val="18"/>
              </w:rPr>
            </w:pPr>
            <w:r>
              <w:rPr>
                <w:b/>
                <w:sz w:val="18"/>
              </w:rPr>
              <w:t>Влияние на реализацию программы</w:t>
            </w:r>
          </w:p>
        </w:tc>
      </w:tr>
      <w:tr w:rsidR="00495A3D" w:rsidRPr="005C6ABD" w:rsidTr="00495A3D">
        <w:trPr>
          <w:trHeight w:val="4932"/>
        </w:trPr>
        <w:tc>
          <w:tcPr>
            <w:tcW w:w="2466" w:type="dxa"/>
            <w:tcBorders>
              <w:top w:val="single" w:sz="4" w:space="0" w:color="auto"/>
            </w:tcBorders>
            <w:shd w:val="clear" w:color="auto" w:fill="auto"/>
            <w:tcMar>
              <w:top w:w="113" w:type="dxa"/>
              <w:bottom w:w="113" w:type="dxa"/>
            </w:tcMar>
          </w:tcPr>
          <w:p w:rsidR="00495A3D" w:rsidRPr="00495A3D" w:rsidRDefault="00495A3D" w:rsidP="00495A3D">
            <w:pPr>
              <w:keepNext/>
              <w:keepLines/>
              <w:rPr>
                <w:sz w:val="16"/>
                <w:szCs w:val="16"/>
                <w:lang w:val="ru-RU"/>
              </w:rPr>
            </w:pPr>
            <w:r w:rsidRPr="00495A3D">
              <w:rPr>
                <w:sz w:val="16"/>
                <w:lang w:val="ru-RU"/>
              </w:rPr>
              <w:t>Снижение объема выделяемых ресурсов по сравнению с другими поставщиками АУС, что негативно повлияет на восприятие рынком услуг ВОИС.</w:t>
            </w:r>
          </w:p>
        </w:tc>
        <w:tc>
          <w:tcPr>
            <w:tcW w:w="2191" w:type="dxa"/>
            <w:tcBorders>
              <w:top w:val="single" w:sz="4" w:space="0" w:color="auto"/>
            </w:tcBorders>
            <w:shd w:val="clear" w:color="auto" w:fill="auto"/>
            <w:tcMar>
              <w:top w:w="113" w:type="dxa"/>
              <w:bottom w:w="113" w:type="dxa"/>
            </w:tcMar>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ВОИС будет и далее укреплять позиции ЦАП в качестве специализированного поставщика услуг по АУС в сфере ИС путем активизации сотрудничества, в частности, более регулярных партнерских контактов с соответствующими ассоциациями в сфере ИС, а также максимальном использовании преимуществ присутствия Центра в Сингапуре для активизации деятельности на региональном уровне и посредством сотрудничества с другими отделами ВОИС.  Кроме того, этот риск может быть снижен путем участия в мероприятиях нейтральных специалистов ВОИС, а также путем исследования новых практик и ожиданий пользователей.</w:t>
            </w:r>
          </w:p>
        </w:tc>
        <w:tc>
          <w:tcPr>
            <w:tcW w:w="2520" w:type="dxa"/>
            <w:tcBorders>
              <w:top w:val="single" w:sz="4" w:space="0" w:color="auto"/>
            </w:tcBorders>
          </w:tcPr>
          <w:p w:rsidR="00495A3D" w:rsidRPr="00495A3D" w:rsidRDefault="00495A3D" w:rsidP="00495A3D">
            <w:pPr>
              <w:keepNext/>
              <w:keepLines/>
              <w:autoSpaceDE w:val="0"/>
              <w:autoSpaceDN w:val="0"/>
              <w:adjustRightInd w:val="0"/>
              <w:ind w:right="-59"/>
              <w:rPr>
                <w:iCs/>
                <w:sz w:val="16"/>
                <w:szCs w:val="16"/>
                <w:lang w:val="ru-RU"/>
              </w:rPr>
            </w:pPr>
            <w:r w:rsidRPr="00495A3D">
              <w:rPr>
                <w:sz w:val="16"/>
                <w:lang w:val="ru-RU"/>
              </w:rPr>
              <w:t xml:space="preserve">Появление новых поставщиков услуг АУС на международном уровне, в том числе непосредственно в сфере ИС, способствовало усилению обеспокоенности, связанной с восприятием рынком услуг ВОИС.  </w:t>
            </w:r>
          </w:p>
          <w:p w:rsidR="00495A3D" w:rsidRPr="00495A3D" w:rsidRDefault="00495A3D" w:rsidP="00495A3D">
            <w:pPr>
              <w:keepNext/>
              <w:keepLines/>
              <w:autoSpaceDE w:val="0"/>
              <w:autoSpaceDN w:val="0"/>
              <w:adjustRightInd w:val="0"/>
              <w:ind w:right="-59"/>
              <w:rPr>
                <w:iCs/>
                <w:sz w:val="16"/>
                <w:szCs w:val="16"/>
                <w:lang w:val="ru-RU"/>
              </w:rPr>
            </w:pPr>
            <w:r w:rsidRPr="00495A3D">
              <w:rPr>
                <w:sz w:val="16"/>
                <w:lang w:val="ru-RU"/>
              </w:rPr>
              <w:t>В 2014–2015</w:t>
            </w:r>
            <w:r>
              <w:rPr>
                <w:sz w:val="16"/>
              </w:rPr>
              <w:t> </w:t>
            </w:r>
            <w:r w:rsidRPr="00495A3D">
              <w:rPr>
                <w:sz w:val="16"/>
                <w:lang w:val="ru-RU"/>
              </w:rPr>
              <w:t>гг. ВОИС активно занималась реализацией своих планов по снижению рисков, осуществив ряд правовых и рекламно-информационных инициатив, а также использовала внешние бюро ВОИС в интересах АУС в области ИС.</w:t>
            </w:r>
          </w:p>
        </w:tc>
        <w:tc>
          <w:tcPr>
            <w:tcW w:w="2306" w:type="dxa"/>
            <w:tcBorders>
              <w:top w:val="single" w:sz="4" w:space="0" w:color="auto"/>
            </w:tcBorders>
          </w:tcPr>
          <w:p w:rsidR="00495A3D" w:rsidRPr="00495A3D" w:rsidRDefault="00495A3D" w:rsidP="00495A3D">
            <w:pPr>
              <w:keepNext/>
              <w:keepLines/>
              <w:autoSpaceDE w:val="0"/>
              <w:autoSpaceDN w:val="0"/>
              <w:adjustRightInd w:val="0"/>
              <w:ind w:right="-59"/>
              <w:rPr>
                <w:iCs/>
                <w:sz w:val="16"/>
                <w:szCs w:val="16"/>
                <w:lang w:val="ru-RU"/>
              </w:rPr>
            </w:pPr>
            <w:r w:rsidRPr="00495A3D">
              <w:rPr>
                <w:sz w:val="16"/>
                <w:lang w:val="ru-RU"/>
              </w:rPr>
              <w:t>Увязывание правовых областей ИС и АУС по-прежнему сопряжено с трудностями как с точки зрения заинтересованных сторон, так и практики ведения судебного разбирательства.  Но реализация инициатив ВОИС и планов по снижению рисков способствовала обеспечению достижения ожидаемых результатов в рассматриваемый двухлетний период.</w:t>
            </w:r>
          </w:p>
        </w:tc>
      </w:tr>
      <w:tr w:rsidR="00495A3D" w:rsidRPr="005C6ABD" w:rsidTr="00495A3D">
        <w:trPr>
          <w:trHeight w:val="568"/>
        </w:trPr>
        <w:tc>
          <w:tcPr>
            <w:tcW w:w="2466" w:type="dxa"/>
            <w:shd w:val="clear" w:color="auto" w:fill="auto"/>
            <w:tcMar>
              <w:top w:w="113" w:type="dxa"/>
              <w:bottom w:w="113" w:type="dxa"/>
            </w:tcMar>
          </w:tcPr>
          <w:p w:rsidR="00495A3D" w:rsidRPr="00495A3D" w:rsidRDefault="00495A3D" w:rsidP="00495A3D">
            <w:pPr>
              <w:rPr>
                <w:rFonts w:cs="ArialMT"/>
                <w:iCs/>
                <w:sz w:val="16"/>
                <w:szCs w:val="16"/>
                <w:lang w:val="ru-RU"/>
              </w:rPr>
            </w:pPr>
            <w:r w:rsidRPr="00495A3D">
              <w:rPr>
                <w:sz w:val="16"/>
                <w:lang w:val="ru-RU"/>
              </w:rPr>
              <w:t xml:space="preserve">Раздробленность </w:t>
            </w:r>
            <w:r>
              <w:rPr>
                <w:sz w:val="16"/>
              </w:rPr>
              <w:t>DNS</w:t>
            </w:r>
            <w:r w:rsidRPr="00495A3D">
              <w:rPr>
                <w:sz w:val="16"/>
                <w:lang w:val="ru-RU"/>
              </w:rPr>
              <w:t xml:space="preserve"> и конкуренция внутри Системы, а также процессы по разработке политики ИКАНН подрывают главенствующую роль централизованных норм (включая ЕПУС) и Центра; расширение </w:t>
            </w:r>
            <w:r>
              <w:rPr>
                <w:sz w:val="16"/>
              </w:rPr>
              <w:t>DNS</w:t>
            </w:r>
            <w:r w:rsidRPr="00495A3D">
              <w:rPr>
                <w:sz w:val="16"/>
                <w:lang w:val="ru-RU"/>
              </w:rPr>
              <w:t xml:space="preserve"> и рост использования АУС создают проблемы для осуществления Центром своей деятельности по рассмотрению споров и разработке политики.</w:t>
            </w:r>
          </w:p>
        </w:tc>
        <w:tc>
          <w:tcPr>
            <w:tcW w:w="2191" w:type="dxa"/>
            <w:shd w:val="clear" w:color="auto" w:fill="auto"/>
            <w:tcMar>
              <w:top w:w="113" w:type="dxa"/>
              <w:bottom w:w="113" w:type="dxa"/>
            </w:tcMar>
          </w:tcPr>
          <w:p w:rsidR="00495A3D" w:rsidRPr="00495A3D" w:rsidRDefault="00495A3D" w:rsidP="00495A3D">
            <w:pPr>
              <w:autoSpaceDE w:val="0"/>
              <w:autoSpaceDN w:val="0"/>
              <w:adjustRightInd w:val="0"/>
              <w:ind w:right="-59"/>
              <w:rPr>
                <w:iCs/>
                <w:sz w:val="16"/>
                <w:szCs w:val="16"/>
                <w:lang w:val="ru-RU"/>
              </w:rPr>
            </w:pPr>
            <w:r w:rsidRPr="00495A3D">
              <w:rPr>
                <w:sz w:val="16"/>
                <w:lang w:val="ru-RU"/>
              </w:rPr>
              <w:t>Первостепенное внимание ресурсам в области рассмотрения споров и разработки политики с целью нахождения баланса между «стремлением удержаться на рынке» и разработкой специальных услуг ВОИС.</w:t>
            </w:r>
          </w:p>
        </w:tc>
        <w:tc>
          <w:tcPr>
            <w:tcW w:w="2520" w:type="dxa"/>
          </w:tcPr>
          <w:p w:rsidR="00495A3D" w:rsidRPr="00495A3D" w:rsidRDefault="00495A3D" w:rsidP="00495A3D">
            <w:pPr>
              <w:autoSpaceDE w:val="0"/>
              <w:autoSpaceDN w:val="0"/>
              <w:adjustRightInd w:val="0"/>
              <w:ind w:right="-59"/>
              <w:rPr>
                <w:iCs/>
                <w:sz w:val="16"/>
                <w:szCs w:val="16"/>
                <w:lang w:val="ru-RU"/>
              </w:rPr>
            </w:pPr>
            <w:r w:rsidRPr="00495A3D">
              <w:rPr>
                <w:sz w:val="16"/>
                <w:lang w:val="ru-RU"/>
              </w:rPr>
              <w:t xml:space="preserve">В рассматриваемый период этот риск увеличился, и вероятность его реализации возросла, так как ИКАНН продолжал аккредитацию новых провайдеров ЕПУС и утверждение расширения </w:t>
            </w:r>
            <w:r>
              <w:rPr>
                <w:sz w:val="16"/>
              </w:rPr>
              <w:t>DNS</w:t>
            </w:r>
            <w:r w:rsidRPr="00495A3D">
              <w:rPr>
                <w:sz w:val="16"/>
                <w:lang w:val="ru-RU"/>
              </w:rPr>
              <w:t>, что влияет на централизованное осуществление АУС.  ИКАНН также запустил обзор механизмов охраны прав, включая ЕПУС.  ВОИС тщательно следит за этими процессами, занимая позицию поставщика услуг по АУС в сфере ИС, и активно реализует свою стратегию снижения рисков. Ее реализации также способствовали задержки в текущем процессе обзора, который проводит ИКАНН, а также то, что новым операторам доменов требовалось время для рассмотрения возможности внедрения собственных механизмов охраны прав.</w:t>
            </w:r>
          </w:p>
        </w:tc>
        <w:tc>
          <w:tcPr>
            <w:tcW w:w="2306" w:type="dxa"/>
          </w:tcPr>
          <w:p w:rsidR="00495A3D" w:rsidRPr="00495A3D" w:rsidRDefault="00495A3D" w:rsidP="00495A3D">
            <w:pPr>
              <w:autoSpaceDE w:val="0"/>
              <w:autoSpaceDN w:val="0"/>
              <w:adjustRightInd w:val="0"/>
              <w:ind w:right="-59"/>
              <w:rPr>
                <w:iCs/>
                <w:sz w:val="16"/>
                <w:szCs w:val="16"/>
                <w:lang w:val="ru-RU"/>
              </w:rPr>
            </w:pPr>
            <w:r w:rsidRPr="00495A3D">
              <w:rPr>
                <w:sz w:val="16"/>
                <w:lang w:val="ru-RU"/>
              </w:rPr>
              <w:t xml:space="preserve">Развитие риска не оказало негативного влияния на достижение ожидаемых результатов в рассматриваемый двухлетний период, и благодаря наличию стратегии снижения риска в этот период возобновился рост числа споров, рассматриваемых в соответствии с ЕПУС. </w:t>
            </w:r>
          </w:p>
        </w:tc>
      </w:tr>
    </w:tbl>
    <w:p w:rsidR="00495A3D" w:rsidRPr="00495A3D" w:rsidRDefault="00495A3D" w:rsidP="00495A3D">
      <w:pPr>
        <w:rPr>
          <w:rFonts w:cs="Arial"/>
          <w:color w:val="000000"/>
          <w:sz w:val="22"/>
          <w:szCs w:val="22"/>
          <w:lang w:val="ru-RU"/>
        </w:rPr>
      </w:pPr>
    </w:p>
    <w:p w:rsidR="00495A3D" w:rsidRPr="00495A3D" w:rsidRDefault="00495A3D" w:rsidP="00495A3D">
      <w:pPr>
        <w:rPr>
          <w:rFonts w:cs="Arial"/>
          <w:color w:val="000000"/>
          <w:sz w:val="22"/>
          <w:szCs w:val="22"/>
          <w:lang w:val="ru-RU"/>
        </w:rPr>
      </w:pPr>
    </w:p>
    <w:p w:rsidR="00495A3D" w:rsidRPr="00495A3D" w:rsidRDefault="00495A3D" w:rsidP="00495A3D">
      <w:pPr>
        <w:keepNext/>
        <w:keepLines/>
        <w:rPr>
          <w:b/>
          <w:sz w:val="16"/>
          <w:szCs w:val="18"/>
          <w:lang w:val="ru-RU"/>
        </w:rPr>
      </w:pPr>
      <w:r w:rsidRPr="00495A3D">
        <w:rPr>
          <w:color w:val="000000"/>
          <w:lang w:val="ru-RU"/>
        </w:rPr>
        <w:t>ИСПОЛЬЗОВАНИЕ РЕСУРСОВ</w:t>
      </w:r>
      <w:r w:rsidRPr="00495A3D">
        <w:rPr>
          <w:lang w:val="ru-RU"/>
        </w:rPr>
        <w:tab/>
      </w:r>
      <w:r w:rsidRPr="00495A3D">
        <w:rPr>
          <w:color w:val="000000"/>
          <w:lang w:val="ru-RU"/>
        </w:rPr>
        <w:t xml:space="preserve"> </w:t>
      </w:r>
    </w:p>
    <w:p w:rsidR="00495A3D" w:rsidRPr="00495A3D" w:rsidRDefault="00495A3D" w:rsidP="00495A3D">
      <w:pPr>
        <w:keepNext/>
        <w:keepLines/>
        <w:rPr>
          <w:szCs w:val="20"/>
          <w:lang w:val="ru-RU"/>
        </w:rPr>
      </w:pPr>
    </w:p>
    <w:p w:rsidR="00495A3D" w:rsidRPr="00495A3D" w:rsidRDefault="00495A3D" w:rsidP="00495A3D">
      <w:pPr>
        <w:pStyle w:val="NormalWeb"/>
        <w:keepNext/>
        <w:keepLines/>
        <w:spacing w:before="0" w:beforeAutospacing="0" w:after="0" w:afterAutospacing="0"/>
        <w:jc w:val="center"/>
        <w:rPr>
          <w:sz w:val="20"/>
          <w:szCs w:val="20"/>
          <w:lang w:val="ru-RU"/>
        </w:rPr>
      </w:pPr>
      <w:r w:rsidRPr="00495A3D">
        <w:rPr>
          <w:color w:val="000000"/>
          <w:sz w:val="20"/>
          <w:lang w:val="ru-RU"/>
        </w:rPr>
        <w:t xml:space="preserve">Бюджет и фактические расходы (в разбивке по результатам) </w:t>
      </w:r>
    </w:p>
    <w:p w:rsidR="00495A3D" w:rsidRDefault="00495A3D" w:rsidP="00495A3D">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495A3D" w:rsidRPr="00383D2D" w:rsidRDefault="00495A3D" w:rsidP="00495A3D">
      <w:pPr>
        <w:pStyle w:val="NormalWeb"/>
        <w:keepNext/>
        <w:keepLines/>
        <w:spacing w:before="0" w:beforeAutospacing="0" w:after="0" w:afterAutospacing="0"/>
        <w:jc w:val="center"/>
        <w:rPr>
          <w:sz w:val="20"/>
          <w:szCs w:val="20"/>
        </w:rPr>
      </w:pPr>
    </w:p>
    <w:p w:rsidR="00495A3D" w:rsidRPr="00DD5C94" w:rsidRDefault="00495A3D" w:rsidP="00495A3D">
      <w:pPr>
        <w:keepNext/>
        <w:keepLines/>
        <w:jc w:val="center"/>
      </w:pPr>
      <w:r>
        <w:rPr>
          <w:noProof/>
        </w:rPr>
        <w:drawing>
          <wp:inline distT="0" distB="0" distL="0" distR="0" wp14:anchorId="650F6AED" wp14:editId="1B85FCF0">
            <wp:extent cx="6115685" cy="2074366"/>
            <wp:effectExtent l="0" t="0" r="0" b="254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115685" cy="2074366"/>
                    </a:xfrm>
                    <a:prstGeom prst="rect">
                      <a:avLst/>
                    </a:prstGeom>
                    <a:noFill/>
                    <a:ln>
                      <a:noFill/>
                    </a:ln>
                  </pic:spPr>
                </pic:pic>
              </a:graphicData>
            </a:graphic>
          </wp:inline>
        </w:drawing>
      </w:r>
    </w:p>
    <w:p w:rsidR="00495A3D" w:rsidRDefault="00495A3D" w:rsidP="00495A3D"/>
    <w:p w:rsidR="00495A3D" w:rsidRDefault="00495A3D" w:rsidP="00495A3D"/>
    <w:p w:rsidR="00495A3D" w:rsidRPr="00495A3D" w:rsidRDefault="00495A3D" w:rsidP="00495A3D">
      <w:pPr>
        <w:pStyle w:val="NormalWeb"/>
        <w:keepNext/>
        <w:keepLines/>
        <w:spacing w:before="0" w:beforeAutospacing="0" w:after="0" w:afterAutospacing="0"/>
        <w:jc w:val="center"/>
        <w:rPr>
          <w:sz w:val="20"/>
          <w:szCs w:val="20"/>
          <w:lang w:val="ru-RU"/>
        </w:rPr>
      </w:pPr>
      <w:r w:rsidRPr="00495A3D">
        <w:rPr>
          <w:color w:val="000000"/>
          <w:sz w:val="20"/>
          <w:lang w:val="ru-RU"/>
        </w:rPr>
        <w:t xml:space="preserve">Бюджет и фактические расходы (по персоналу и не связанные с персоналом) </w:t>
      </w:r>
    </w:p>
    <w:p w:rsidR="00495A3D" w:rsidRDefault="00495A3D" w:rsidP="00495A3D">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495A3D" w:rsidRPr="00383D2D" w:rsidRDefault="00495A3D" w:rsidP="00495A3D">
      <w:pPr>
        <w:pStyle w:val="NormalWeb"/>
        <w:keepNext/>
        <w:keepLines/>
        <w:spacing w:before="0" w:beforeAutospacing="0" w:after="0" w:afterAutospacing="0"/>
        <w:jc w:val="center"/>
        <w:rPr>
          <w:i/>
          <w:iCs/>
          <w:color w:val="000000"/>
          <w:sz w:val="20"/>
          <w:szCs w:val="20"/>
        </w:rPr>
      </w:pPr>
    </w:p>
    <w:p w:rsidR="00495A3D" w:rsidRDefault="00495A3D" w:rsidP="00495A3D">
      <w:pPr>
        <w:pStyle w:val="NormalWeb"/>
        <w:keepNext/>
        <w:keepLines/>
        <w:spacing w:before="0" w:beforeAutospacing="0" w:after="0" w:afterAutospacing="0"/>
        <w:jc w:val="center"/>
      </w:pPr>
      <w:r>
        <w:rPr>
          <w:noProof/>
        </w:rPr>
        <w:drawing>
          <wp:inline distT="0" distB="0" distL="0" distR="0" wp14:anchorId="7E4539CF" wp14:editId="40C7A400">
            <wp:extent cx="6115685" cy="1352692"/>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5685" cy="1352692"/>
                    </a:xfrm>
                    <a:prstGeom prst="rect">
                      <a:avLst/>
                    </a:prstGeom>
                    <a:noFill/>
                    <a:ln>
                      <a:noFill/>
                    </a:ln>
                  </pic:spPr>
                </pic:pic>
              </a:graphicData>
            </a:graphic>
          </wp:inline>
        </w:drawing>
      </w:r>
    </w:p>
    <w:p w:rsidR="00495A3D" w:rsidRDefault="00495A3D" w:rsidP="00495A3D">
      <w:pPr>
        <w:widowControl w:val="0"/>
        <w:tabs>
          <w:tab w:val="left" w:pos="5205"/>
        </w:tabs>
        <w:autoSpaceDE w:val="0"/>
        <w:autoSpaceDN w:val="0"/>
        <w:adjustRightInd w:val="0"/>
        <w:rPr>
          <w:rFonts w:cs="Arial"/>
          <w:szCs w:val="20"/>
        </w:rPr>
      </w:pPr>
    </w:p>
    <w:p w:rsidR="00495A3D" w:rsidRPr="001C6F4D" w:rsidRDefault="00495A3D" w:rsidP="00495A3D">
      <w:pPr>
        <w:widowControl w:val="0"/>
        <w:autoSpaceDE w:val="0"/>
        <w:autoSpaceDN w:val="0"/>
        <w:adjustRightInd w:val="0"/>
        <w:rPr>
          <w:rFonts w:cs="Arial"/>
          <w:szCs w:val="20"/>
        </w:rPr>
      </w:pPr>
    </w:p>
    <w:p w:rsidR="00495A3D" w:rsidRPr="00495A3D" w:rsidRDefault="00495A3D" w:rsidP="00495A3D">
      <w:pPr>
        <w:jc w:val="both"/>
        <w:rPr>
          <w:rFonts w:cs="Arial"/>
          <w:u w:val="single"/>
          <w:lang w:val="ru-RU"/>
        </w:rPr>
      </w:pPr>
      <w:r>
        <w:t>A</w:t>
      </w:r>
      <w:r w:rsidRPr="00495A3D">
        <w:rPr>
          <w:lang w:val="ru-RU"/>
        </w:rPr>
        <w:t>.</w:t>
      </w:r>
      <w:r w:rsidRPr="00495A3D">
        <w:rPr>
          <w:lang w:val="ru-RU"/>
        </w:rPr>
        <w:tab/>
      </w:r>
      <w:r w:rsidRPr="00495A3D">
        <w:rPr>
          <w:u w:val="single"/>
          <w:lang w:val="ru-RU"/>
        </w:rPr>
        <w:t xml:space="preserve">Итоговый бюджет на 2014–2015 гг. после перераспределения средств </w:t>
      </w:r>
    </w:p>
    <w:p w:rsidR="00495A3D" w:rsidRPr="00495A3D" w:rsidRDefault="00495A3D" w:rsidP="00495A3D">
      <w:pPr>
        <w:jc w:val="both"/>
        <w:rPr>
          <w:rFonts w:cs="Arial"/>
          <w:u w:val="single"/>
          <w:lang w:val="ru-RU"/>
        </w:rPr>
      </w:pPr>
    </w:p>
    <w:p w:rsidR="00495A3D" w:rsidRPr="00495A3D" w:rsidRDefault="00495A3D" w:rsidP="00495A3D">
      <w:pPr>
        <w:pStyle w:val="ListParagraph"/>
        <w:numPr>
          <w:ilvl w:val="0"/>
          <w:numId w:val="12"/>
        </w:numPr>
        <w:tabs>
          <w:tab w:val="left" w:pos="567"/>
        </w:tabs>
        <w:ind w:left="0" w:firstLine="0"/>
        <w:jc w:val="both"/>
        <w:rPr>
          <w:lang w:val="ru-RU"/>
        </w:rPr>
      </w:pPr>
      <w:r w:rsidRPr="00495A3D">
        <w:rPr>
          <w:lang w:val="ru-RU"/>
        </w:rPr>
        <w:t xml:space="preserve">Увеличение объема ресурсов по ожидаемому результату </w:t>
      </w:r>
      <w:r>
        <w:t>II</w:t>
      </w:r>
      <w:r w:rsidRPr="00495A3D">
        <w:rPr>
          <w:lang w:val="ru-RU"/>
        </w:rPr>
        <w:t>.8 (международные и внутренние споры по вопросам ИС) отражает перераспределение ресурсов, связанных с персоналом, для более эффективного удовлетворения спроса на услуги АУС ВОИС, в частности в ответ на запросы государств-членов.</w:t>
      </w:r>
    </w:p>
    <w:p w:rsidR="00495A3D" w:rsidRPr="00495A3D" w:rsidRDefault="00495A3D" w:rsidP="00495A3D">
      <w:pPr>
        <w:pStyle w:val="Default"/>
        <w:jc w:val="both"/>
        <w:rPr>
          <w:sz w:val="20"/>
          <w:szCs w:val="20"/>
          <w:lang w:val="ru-RU"/>
        </w:rPr>
      </w:pPr>
    </w:p>
    <w:p w:rsidR="00495A3D" w:rsidRPr="00495A3D" w:rsidRDefault="00495A3D" w:rsidP="00495A3D">
      <w:pPr>
        <w:pStyle w:val="ListParagraph"/>
        <w:tabs>
          <w:tab w:val="left" w:pos="709"/>
        </w:tabs>
        <w:ind w:left="0"/>
        <w:jc w:val="both"/>
        <w:rPr>
          <w:rFonts w:cs="Arial"/>
          <w:lang w:val="ru-RU"/>
        </w:rPr>
      </w:pPr>
    </w:p>
    <w:p w:rsidR="00495A3D" w:rsidRPr="00495A3D" w:rsidRDefault="00495A3D" w:rsidP="00495A3D">
      <w:pPr>
        <w:jc w:val="both"/>
        <w:rPr>
          <w:rFonts w:cs="Arial"/>
          <w:szCs w:val="20"/>
          <w:u w:val="single"/>
          <w:lang w:val="ru-RU"/>
        </w:rPr>
      </w:pPr>
      <w:r>
        <w:t>B</w:t>
      </w:r>
      <w:r w:rsidRPr="00495A3D">
        <w:rPr>
          <w:lang w:val="ru-RU"/>
        </w:rPr>
        <w:t>.</w:t>
      </w:r>
      <w:r w:rsidRPr="00495A3D">
        <w:rPr>
          <w:lang w:val="ru-RU"/>
        </w:rPr>
        <w:tab/>
      </w:r>
      <w:r w:rsidRPr="00495A3D">
        <w:rPr>
          <w:u w:val="single"/>
          <w:lang w:val="ru-RU"/>
        </w:rPr>
        <w:t xml:space="preserve">Освоение бюджетных средств в 2014–2015 гг. </w:t>
      </w:r>
    </w:p>
    <w:p w:rsidR="00495A3D" w:rsidRPr="00495A3D" w:rsidRDefault="00495A3D" w:rsidP="00495A3D">
      <w:pPr>
        <w:jc w:val="both"/>
        <w:rPr>
          <w:rFonts w:cs="Arial"/>
          <w:szCs w:val="20"/>
          <w:u w:val="single"/>
          <w:lang w:val="ru-RU"/>
        </w:rPr>
      </w:pPr>
    </w:p>
    <w:p w:rsidR="000C2991" w:rsidRPr="00495A3D" w:rsidRDefault="00495A3D" w:rsidP="00495A3D">
      <w:pPr>
        <w:pStyle w:val="ListParagraph"/>
        <w:numPr>
          <w:ilvl w:val="0"/>
          <w:numId w:val="12"/>
        </w:numPr>
        <w:tabs>
          <w:tab w:val="left" w:pos="709"/>
        </w:tabs>
        <w:ind w:left="0" w:firstLine="0"/>
        <w:jc w:val="both"/>
        <w:rPr>
          <w:lang w:val="ru-RU"/>
        </w:rPr>
      </w:pPr>
      <w:r w:rsidRPr="00495A3D">
        <w:rPr>
          <w:lang w:val="ru-RU"/>
        </w:rPr>
        <w:t>В рассматриваемый период уровень освоения бюджетных средств составил 81</w:t>
      </w:r>
      <w:r>
        <w:t> </w:t>
      </w:r>
      <w:r w:rsidRPr="00495A3D">
        <w:rPr>
          <w:lang w:val="ru-RU"/>
        </w:rPr>
        <w:t>процент.  Это было в основном обусловлено:  (</w:t>
      </w:r>
      <w:r>
        <w:t>i</w:t>
      </w:r>
      <w:r w:rsidRPr="00495A3D">
        <w:rPr>
          <w:lang w:val="ru-RU"/>
        </w:rPr>
        <w:t xml:space="preserve">) сокращением затрат в рамках регулярного бюджета на служебные командировки и поездки третьих лиц по ожидаемому результату </w:t>
      </w:r>
      <w:r>
        <w:t>II</w:t>
      </w:r>
      <w:r w:rsidRPr="00495A3D">
        <w:rPr>
          <w:lang w:val="ru-RU"/>
        </w:rPr>
        <w:t>.8 (международные и внутренние споры по вопросам ИС) благодаря дополнительному финансированию по линии Целевого фонда Республики Корея; (</w:t>
      </w:r>
      <w:r>
        <w:t>ii</w:t>
      </w:r>
      <w:r w:rsidRPr="00495A3D">
        <w:rPr>
          <w:lang w:val="ru-RU"/>
        </w:rPr>
        <w:t>) вакансиями в сфере работы с персоналом в рамках программы стажировок, проводимых в ходе рассматриваемого периода, и (</w:t>
      </w:r>
      <w:r>
        <w:t>iii</w:t>
      </w:r>
      <w:r w:rsidRPr="00495A3D">
        <w:rPr>
          <w:lang w:val="ru-RU"/>
        </w:rPr>
        <w:t>) сокращением потребности в привлечении внешних консультантов и подрядчиков благодаря реструктуризации некоторых функций в области ИТ.</w:t>
      </w:r>
    </w:p>
    <w:p w:rsidR="000C2991" w:rsidRPr="00495A3D" w:rsidRDefault="000C2991" w:rsidP="008A4774">
      <w:pPr>
        <w:rPr>
          <w:lang w:val="ru-RU"/>
        </w:rPr>
      </w:pPr>
    </w:p>
    <w:p w:rsidR="000C2991" w:rsidRPr="00495A3D" w:rsidRDefault="000C2991">
      <w:pPr>
        <w:rPr>
          <w:lang w:val="ru-RU"/>
        </w:rPr>
      </w:pPr>
    </w:p>
    <w:p w:rsidR="00794EDE" w:rsidRPr="00495A3D" w:rsidRDefault="00794EDE">
      <w:pPr>
        <w:rPr>
          <w:lang w:val="ru-RU"/>
        </w:rPr>
      </w:pPr>
    </w:p>
    <w:p w:rsidR="00B03EDF" w:rsidRPr="00495A3D" w:rsidRDefault="00B03EDF">
      <w:pPr>
        <w:rPr>
          <w:lang w:val="ru-RU"/>
        </w:rPr>
      </w:pPr>
      <w:r w:rsidRPr="00495A3D">
        <w:rPr>
          <w:lang w:val="ru-RU"/>
        </w:rPr>
        <w:br w:type="page"/>
      </w:r>
    </w:p>
    <w:p w:rsidR="00B03EDF" w:rsidRPr="00A336D0" w:rsidRDefault="00495A3D" w:rsidP="00C1753F">
      <w:pPr>
        <w:pStyle w:val="StyleHeading214ptAuto"/>
        <w:rPr>
          <w:rFonts w:ascii="Arial" w:hAnsi="Arial"/>
          <w:bCs w:val="0"/>
          <w:caps w:val="0"/>
          <w:sz w:val="20"/>
          <w:szCs w:val="24"/>
          <w:lang w:val="ru-RU" w:eastAsia="en-US"/>
        </w:rPr>
      </w:pPr>
      <w:bookmarkStart w:id="76" w:name="_Toc455388113"/>
      <w:r>
        <w:rPr>
          <w:rFonts w:ascii="Arial" w:hAnsi="Arial"/>
          <w:bCs w:val="0"/>
          <w:caps w:val="0"/>
          <w:sz w:val="20"/>
          <w:szCs w:val="24"/>
          <w:lang w:val="ru-RU" w:eastAsia="en-US"/>
        </w:rPr>
        <w:t>СТРАТЕГИЧЕСКАЯ ЦЕЛЬ</w:t>
      </w:r>
      <w:r w:rsidR="00B03EDF" w:rsidRPr="00A336D0">
        <w:rPr>
          <w:rFonts w:ascii="Arial" w:hAnsi="Arial"/>
          <w:bCs w:val="0"/>
          <w:caps w:val="0"/>
          <w:sz w:val="20"/>
          <w:szCs w:val="24"/>
          <w:lang w:val="ru-RU" w:eastAsia="en-US"/>
        </w:rPr>
        <w:t xml:space="preserve"> </w:t>
      </w:r>
      <w:r w:rsidR="00B03EDF" w:rsidRPr="00E07FBB">
        <w:rPr>
          <w:rFonts w:ascii="Arial" w:hAnsi="Arial"/>
          <w:bCs w:val="0"/>
          <w:caps w:val="0"/>
          <w:sz w:val="20"/>
          <w:szCs w:val="24"/>
          <w:lang w:val="en-US" w:eastAsia="en-US"/>
        </w:rPr>
        <w:t>III</w:t>
      </w:r>
      <w:bookmarkEnd w:id="76"/>
      <w:r w:rsidR="00B03EDF" w:rsidRPr="00A336D0">
        <w:rPr>
          <w:rFonts w:ascii="Arial" w:hAnsi="Arial"/>
          <w:bCs w:val="0"/>
          <w:caps w:val="0"/>
          <w:sz w:val="20"/>
          <w:szCs w:val="24"/>
          <w:lang w:val="ru-RU" w:eastAsia="en-US"/>
        </w:rPr>
        <w:t xml:space="preserve"> </w:t>
      </w:r>
    </w:p>
    <w:p w:rsidR="00B03EDF" w:rsidRPr="00A336D0" w:rsidRDefault="00B03EDF" w:rsidP="00845557">
      <w:pPr>
        <w:rPr>
          <w:lang w:val="ru-RU"/>
        </w:rPr>
      </w:pPr>
    </w:p>
    <w:p w:rsidR="00103107" w:rsidRPr="002E3BB0" w:rsidRDefault="00103107" w:rsidP="00103107">
      <w:pPr>
        <w:jc w:val="center"/>
        <w:rPr>
          <w:b/>
          <w:lang w:val="ru-RU"/>
        </w:rPr>
      </w:pPr>
      <w:r w:rsidRPr="002E3BB0">
        <w:rPr>
          <w:b/>
          <w:lang w:val="ru-RU"/>
        </w:rPr>
        <w:t>СОДЕЙСТВИЕ ИСПОЛЬЗОВАНИЮ ИС В ИНТЕРЕСАХ РАЗВИТИЯ</w:t>
      </w:r>
    </w:p>
    <w:p w:rsidR="00103107" w:rsidRDefault="00103107" w:rsidP="00103107">
      <w:pPr>
        <w:jc w:val="center"/>
        <w:rPr>
          <w:lang w:val="ru-RU"/>
        </w:rPr>
      </w:pPr>
    </w:p>
    <w:p w:rsidR="00103107" w:rsidRPr="003A588C" w:rsidRDefault="00103107" w:rsidP="00103107">
      <w:pPr>
        <w:jc w:val="center"/>
        <w:rPr>
          <w:lang w:val="ru-RU"/>
        </w:rPr>
      </w:pPr>
    </w:p>
    <w:p w:rsidR="00103107" w:rsidRPr="003A588C" w:rsidRDefault="00103107" w:rsidP="00103107">
      <w:pPr>
        <w:jc w:val="center"/>
        <w:rPr>
          <w:b/>
          <w:lang w:val="ru-RU"/>
        </w:rPr>
      </w:pPr>
      <w:r w:rsidRPr="003A588C">
        <w:rPr>
          <w:b/>
          <w:lang w:val="ru-RU"/>
        </w:rPr>
        <w:t xml:space="preserve">Сводная таблица показателей результативности за двухлетний период </w:t>
      </w:r>
    </w:p>
    <w:p w:rsidR="00103107" w:rsidRPr="003A588C" w:rsidRDefault="00103107" w:rsidP="00103107">
      <w:pPr>
        <w:rPr>
          <w:b/>
          <w:lang w:val="ru-RU"/>
        </w:rPr>
      </w:pPr>
    </w:p>
    <w:p w:rsidR="00103107" w:rsidRPr="003A588C" w:rsidRDefault="00103107" w:rsidP="00103107">
      <w:pPr>
        <w:autoSpaceDE w:val="0"/>
        <w:autoSpaceDN w:val="0"/>
        <w:adjustRightInd w:val="0"/>
        <w:jc w:val="both"/>
        <w:rPr>
          <w:rFonts w:cs="Arial"/>
          <w:lang w:val="ru-RU"/>
        </w:rPr>
      </w:pPr>
      <w:r w:rsidRPr="003A588C">
        <w:rPr>
          <w:rFonts w:cs="Arial"/>
          <w:lang w:val="ru-RU"/>
        </w:rPr>
        <w:t>Приводимая ниже сводная т</w:t>
      </w:r>
      <w:r>
        <w:rPr>
          <w:rFonts w:cs="Arial"/>
          <w:lang w:val="ru-RU"/>
        </w:rPr>
        <w:t>аблица содержит обзор достижений с точки зрения степени реализации</w:t>
      </w:r>
      <w:r w:rsidRPr="003A588C">
        <w:rPr>
          <w:rFonts w:cs="Arial"/>
          <w:lang w:val="ru-RU"/>
        </w:rPr>
        <w:t xml:space="preserve"> ожидаемых результатов в двухлетнем периоде 2014-201</w:t>
      </w:r>
      <w:r>
        <w:rPr>
          <w:rFonts w:cs="Arial"/>
          <w:lang w:val="ru-RU"/>
        </w:rPr>
        <w:t>5</w:t>
      </w:r>
      <w:r w:rsidRPr="003A588C">
        <w:rPr>
          <w:rFonts w:cs="Arial"/>
          <w:lang w:val="ru-RU"/>
        </w:rPr>
        <w:t xml:space="preserve"> гг.</w:t>
      </w:r>
      <w:r>
        <w:rPr>
          <w:rFonts w:cs="Arial"/>
          <w:lang w:val="ru-RU"/>
        </w:rPr>
        <w:t xml:space="preserve"> на основе</w:t>
      </w:r>
      <w:r w:rsidRPr="003A588C">
        <w:rPr>
          <w:rFonts w:cs="Arial"/>
          <w:lang w:val="ru-RU"/>
        </w:rPr>
        <w:t xml:space="preserve"> показател</w:t>
      </w:r>
      <w:r>
        <w:rPr>
          <w:rFonts w:cs="Arial"/>
          <w:lang w:val="ru-RU"/>
        </w:rPr>
        <w:t>ей</w:t>
      </w:r>
      <w:r w:rsidRPr="003A588C">
        <w:rPr>
          <w:rFonts w:cs="Arial"/>
          <w:lang w:val="ru-RU"/>
        </w:rPr>
        <w:t xml:space="preserve"> программ, </w:t>
      </w:r>
      <w:r>
        <w:rPr>
          <w:rFonts w:cs="Arial"/>
          <w:lang w:val="ru-RU"/>
        </w:rPr>
        <w:t>обеспечивающих претворение в жизнь</w:t>
      </w:r>
      <w:r w:rsidRPr="003A588C">
        <w:rPr>
          <w:rFonts w:cs="Arial"/>
          <w:lang w:val="ru-RU"/>
        </w:rPr>
        <w:t xml:space="preserve"> данной стратегической цели.  </w:t>
      </w:r>
    </w:p>
    <w:p w:rsidR="00103107" w:rsidRDefault="00103107" w:rsidP="00103107">
      <w:pPr>
        <w:jc w:val="center"/>
        <w:rPr>
          <w:rFonts w:cs="Arial"/>
        </w:rPr>
      </w:pPr>
      <w:r>
        <w:rPr>
          <w:rFonts w:cs="Arial"/>
          <w:noProof/>
        </w:rPr>
        <w:drawing>
          <wp:inline distT="0" distB="0" distL="0" distR="0" wp14:anchorId="45EB59C2" wp14:editId="70DF456F">
            <wp:extent cx="5940425" cy="2976178"/>
            <wp:effectExtent l="0" t="0" r="317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40425" cy="2976178"/>
                    </a:xfrm>
                    <a:prstGeom prst="rect">
                      <a:avLst/>
                    </a:prstGeom>
                    <a:noFill/>
                    <a:ln>
                      <a:noFill/>
                    </a:ln>
                  </pic:spPr>
                </pic:pic>
              </a:graphicData>
            </a:graphic>
          </wp:inline>
        </w:drawing>
      </w:r>
    </w:p>
    <w:p w:rsidR="00103107" w:rsidRDefault="00103107" w:rsidP="00103107">
      <w:pPr>
        <w:jc w:val="center"/>
      </w:pPr>
    </w:p>
    <w:tbl>
      <w:tblPr>
        <w:tblW w:w="4941"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49"/>
        <w:gridCol w:w="3511"/>
        <w:gridCol w:w="2160"/>
        <w:gridCol w:w="1538"/>
      </w:tblGrid>
      <w:tr w:rsidR="00103107" w:rsidRPr="0016774F" w:rsidTr="003A5C2E">
        <w:trPr>
          <w:cantSplit/>
          <w:tblHeader/>
        </w:trPr>
        <w:tc>
          <w:tcPr>
            <w:tcW w:w="1189" w:type="pct"/>
            <w:tcBorders>
              <w:top w:val="single" w:sz="4" w:space="0" w:color="auto"/>
              <w:bottom w:val="single" w:sz="4" w:space="0" w:color="auto"/>
            </w:tcBorders>
            <w:shd w:val="clear" w:color="auto" w:fill="C6D9F1" w:themeFill="text2" w:themeFillTint="33"/>
            <w:tcMar>
              <w:top w:w="113" w:type="dxa"/>
              <w:bottom w:w="57" w:type="dxa"/>
            </w:tcMar>
            <w:vAlign w:val="center"/>
          </w:tcPr>
          <w:p w:rsidR="00103107" w:rsidRPr="0016774F" w:rsidRDefault="00103107" w:rsidP="00103107">
            <w:pPr>
              <w:spacing w:after="120"/>
              <w:rPr>
                <w:rFonts w:cs="Arial"/>
                <w:b/>
                <w:bCs/>
                <w:sz w:val="16"/>
                <w:szCs w:val="16"/>
              </w:rPr>
            </w:pPr>
            <w:r w:rsidRPr="003A588C">
              <w:rPr>
                <w:rFonts w:cs="Arial"/>
                <w:b/>
                <w:bCs/>
                <w:sz w:val="16"/>
                <w:szCs w:val="16"/>
                <w:lang w:val="ru-RU"/>
              </w:rPr>
              <w:t>Ожидаемые результаты</w:t>
            </w:r>
          </w:p>
        </w:tc>
        <w:tc>
          <w:tcPr>
            <w:tcW w:w="1856" w:type="pct"/>
            <w:tcBorders>
              <w:top w:val="single" w:sz="4" w:space="0" w:color="auto"/>
              <w:bottom w:val="single" w:sz="4" w:space="0" w:color="auto"/>
            </w:tcBorders>
            <w:shd w:val="clear" w:color="auto" w:fill="C6D9F1" w:themeFill="text2" w:themeFillTint="33"/>
            <w:tcMar>
              <w:top w:w="113" w:type="dxa"/>
              <w:bottom w:w="57" w:type="dxa"/>
            </w:tcMar>
            <w:vAlign w:val="center"/>
          </w:tcPr>
          <w:p w:rsidR="00103107" w:rsidRPr="0016774F" w:rsidRDefault="00103107" w:rsidP="00103107">
            <w:pPr>
              <w:spacing w:after="120"/>
              <w:rPr>
                <w:rFonts w:cs="Arial"/>
                <w:b/>
                <w:bCs/>
                <w:sz w:val="16"/>
                <w:szCs w:val="16"/>
              </w:rPr>
            </w:pPr>
            <w:r>
              <w:rPr>
                <w:rFonts w:cs="Arial"/>
                <w:b/>
                <w:bCs/>
                <w:sz w:val="16"/>
                <w:szCs w:val="16"/>
                <w:lang w:val="ru-RU"/>
              </w:rPr>
              <w:t>Показатели</w:t>
            </w:r>
            <w:r w:rsidRPr="003A588C">
              <w:rPr>
                <w:rFonts w:cs="Arial"/>
                <w:b/>
                <w:bCs/>
                <w:sz w:val="16"/>
                <w:szCs w:val="16"/>
                <w:lang w:val="ru-RU"/>
              </w:rPr>
              <w:t xml:space="preserve"> результативности</w:t>
            </w:r>
          </w:p>
        </w:tc>
        <w:tc>
          <w:tcPr>
            <w:tcW w:w="1142" w:type="pct"/>
            <w:tcBorders>
              <w:top w:val="single" w:sz="4" w:space="0" w:color="auto"/>
              <w:bottom w:val="single" w:sz="4" w:space="0" w:color="auto"/>
            </w:tcBorders>
            <w:shd w:val="clear" w:color="auto" w:fill="C6D9F1" w:themeFill="text2" w:themeFillTint="33"/>
            <w:tcMar>
              <w:top w:w="113" w:type="dxa"/>
              <w:bottom w:w="57" w:type="dxa"/>
            </w:tcMar>
            <w:vAlign w:val="center"/>
          </w:tcPr>
          <w:p w:rsidR="00103107" w:rsidRPr="0016774F" w:rsidRDefault="00103107" w:rsidP="00103107">
            <w:pPr>
              <w:spacing w:after="120"/>
              <w:ind w:left="85"/>
              <w:jc w:val="center"/>
              <w:rPr>
                <w:rFonts w:cs="Arial"/>
                <w:b/>
                <w:bCs/>
                <w:sz w:val="16"/>
                <w:szCs w:val="16"/>
              </w:rPr>
            </w:pPr>
            <w:r w:rsidRPr="003A588C">
              <w:rPr>
                <w:rFonts w:cs="Arial"/>
                <w:b/>
                <w:bCs/>
                <w:sz w:val="16"/>
                <w:szCs w:val="16"/>
                <w:lang w:val="ru-RU"/>
              </w:rPr>
              <w:t>Соответствующие программы</w:t>
            </w:r>
          </w:p>
        </w:tc>
        <w:tc>
          <w:tcPr>
            <w:tcW w:w="813" w:type="pct"/>
            <w:tcBorders>
              <w:top w:val="single" w:sz="4" w:space="0" w:color="auto"/>
              <w:bottom w:val="single" w:sz="4" w:space="0" w:color="auto"/>
            </w:tcBorders>
            <w:shd w:val="clear" w:color="auto" w:fill="C6D9F1" w:themeFill="text2" w:themeFillTint="33"/>
            <w:vAlign w:val="center"/>
          </w:tcPr>
          <w:p w:rsidR="00103107" w:rsidRPr="0016774F" w:rsidRDefault="00103107" w:rsidP="00103107">
            <w:pPr>
              <w:spacing w:after="120"/>
              <w:ind w:left="85"/>
              <w:jc w:val="center"/>
              <w:rPr>
                <w:rFonts w:cs="Arial"/>
                <w:b/>
                <w:bCs/>
                <w:sz w:val="16"/>
                <w:szCs w:val="16"/>
              </w:rPr>
            </w:pPr>
            <w:r w:rsidRPr="003A588C">
              <w:rPr>
                <w:rFonts w:cs="Arial"/>
                <w:b/>
                <w:bCs/>
                <w:sz w:val="16"/>
                <w:szCs w:val="16"/>
                <w:lang w:val="ru-RU"/>
              </w:rPr>
              <w:t>СИГНАЛЬНАЯ СИСТЕМА</w:t>
            </w:r>
          </w:p>
        </w:tc>
      </w:tr>
      <w:tr w:rsidR="00103107" w:rsidRPr="0016774F" w:rsidTr="00103107">
        <w:trPr>
          <w:cantSplit/>
        </w:trPr>
        <w:tc>
          <w:tcPr>
            <w:tcW w:w="1189" w:type="pct"/>
            <w:tcBorders>
              <w:top w:val="single" w:sz="4" w:space="0" w:color="auto"/>
            </w:tcBorders>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5"/>
                <w:szCs w:val="15"/>
                <w:lang w:val="ru-RU"/>
              </w:rPr>
              <w:t xml:space="preserve">III.1. Национальные стратегии и планы в области инноваций и ИС, согласующиеся с целями национального развития </w:t>
            </w:r>
          </w:p>
        </w:tc>
        <w:tc>
          <w:tcPr>
            <w:tcW w:w="1856" w:type="pct"/>
            <w:tcBorders>
              <w:top w:val="single" w:sz="4" w:space="0" w:color="auto"/>
            </w:tcBorders>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стран в процессе разработки/принятия национальных стратегий в области ИС и/или планов развития</w:t>
            </w:r>
          </w:p>
        </w:tc>
        <w:tc>
          <w:tcPr>
            <w:tcW w:w="1142" w:type="pct"/>
            <w:tcBorders>
              <w:top w:val="single" w:sz="4" w:space="0" w:color="auto"/>
            </w:tcBorders>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813" w:type="pct"/>
            <w:tcBorders>
              <w:top w:val="single" w:sz="4" w:space="0" w:color="auto"/>
            </w:tcBorders>
            <w:shd w:val="clear" w:color="auto" w:fill="FFFFFF"/>
          </w:tcPr>
          <w:p w:rsidR="00103107" w:rsidRPr="00CC3F44" w:rsidRDefault="00103107" w:rsidP="00103107">
            <w:pPr>
              <w:jc w:val="center"/>
            </w:pPr>
            <w:r w:rsidRPr="00CC3F44">
              <w:rPr>
                <w:rFonts w:cs="Arial"/>
                <w:color w:val="008000"/>
                <w:sz w:val="22"/>
                <w:szCs w:val="22"/>
              </w:rPr>
              <w:sym w:font="Wingdings" w:char="F06C"/>
            </w:r>
            <w:r w:rsidRPr="00CC3F44">
              <w:rPr>
                <w:rFonts w:cs="Arial"/>
                <w:color w:val="FF0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16774F" w:rsidTr="00103107">
        <w:trPr>
          <w:cantSplit/>
          <w:trHeight w:val="589"/>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стран, которые приняли национальные стратегии в области ИС и/или планы развития и приступили к их реализации</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813" w:type="pct"/>
            <w:shd w:val="clear" w:color="auto" w:fill="FFFFFF"/>
          </w:tcPr>
          <w:p w:rsidR="00103107" w:rsidRPr="00CC3F44" w:rsidRDefault="00103107" w:rsidP="00103107">
            <w:pPr>
              <w:jc w:val="center"/>
              <w:rPr>
                <w:rFonts w:cs="Arial"/>
                <w:color w:val="FF0000"/>
                <w:sz w:val="22"/>
                <w:szCs w:val="22"/>
              </w:rPr>
            </w:pPr>
            <w:r w:rsidRPr="00CC3F44">
              <w:rPr>
                <w:rFonts w:cs="Arial"/>
                <w:color w:val="008000"/>
                <w:sz w:val="22"/>
                <w:szCs w:val="22"/>
              </w:rPr>
              <w:sym w:font="Wingdings" w:char="F06C"/>
            </w:r>
            <w:r w:rsidRPr="00CC3F44">
              <w:rPr>
                <w:rFonts w:cs="Arial"/>
                <w:color w:val="FF0000"/>
                <w:sz w:val="22"/>
                <w:szCs w:val="22"/>
              </w:rPr>
              <w:sym w:font="Wingdings" w:char="F06C"/>
            </w:r>
            <w:r w:rsidRPr="00CC3F44">
              <w:rPr>
                <w:rFonts w:cs="Arial"/>
                <w:color w:val="008000"/>
                <w:sz w:val="22"/>
                <w:szCs w:val="22"/>
              </w:rPr>
              <w:sym w:font="Wingdings" w:char="F06C"/>
            </w:r>
            <w:r w:rsidRPr="00CC3F44">
              <w:rPr>
                <w:rFonts w:cs="Arial"/>
                <w:color w:val="E26B0A"/>
                <w:sz w:val="22"/>
                <w:szCs w:val="22"/>
              </w:rPr>
              <w:sym w:font="Wingdings" w:char="F06C"/>
            </w:r>
            <w:r w:rsidRPr="00CC3F44">
              <w:rPr>
                <w:rFonts w:cs="Arial"/>
                <w:color w:val="008000"/>
                <w:sz w:val="22"/>
                <w:szCs w:val="22"/>
              </w:rPr>
              <w:sym w:font="Wingdings" w:char="F06C"/>
            </w:r>
          </w:p>
        </w:tc>
      </w:tr>
      <w:tr w:rsidR="00103107" w:rsidRPr="0016774F" w:rsidTr="00103107">
        <w:trPr>
          <w:cantSplit/>
          <w:trHeight w:val="274"/>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университетов, разработавших собственную политику в области ИС</w:t>
            </w:r>
          </w:p>
        </w:tc>
        <w:tc>
          <w:tcPr>
            <w:tcW w:w="1142" w:type="pct"/>
            <w:shd w:val="clear" w:color="auto" w:fill="FFFFFF"/>
            <w:tcMar>
              <w:top w:w="113" w:type="dxa"/>
              <w:bottom w:w="57" w:type="dxa"/>
            </w:tcMar>
          </w:tcPr>
          <w:p w:rsidR="00103107" w:rsidRPr="0016774F" w:rsidRDefault="00103107" w:rsidP="00103107">
            <w:pPr>
              <w:jc w:val="center"/>
              <w:rPr>
                <w:rFonts w:cs="Arial"/>
                <w:sz w:val="16"/>
                <w:szCs w:val="16"/>
                <w:lang w:bidi="th-TH"/>
              </w:rPr>
            </w:pPr>
            <w:r w:rsidRPr="003A588C">
              <w:rPr>
                <w:rFonts w:cs="Arial"/>
                <w:sz w:val="16"/>
                <w:szCs w:val="16"/>
                <w:lang w:val="ru-RU" w:bidi="th-TH"/>
              </w:rPr>
              <w:t>Программа10</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382"/>
        </w:trPr>
        <w:tc>
          <w:tcPr>
            <w:tcW w:w="1189" w:type="pct"/>
            <w:vMerge w:val="restar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стран, разработавших национальные стратегии/планы в области ИС</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454"/>
        </w:trPr>
        <w:tc>
          <w:tcPr>
            <w:tcW w:w="1189" w:type="pct"/>
            <w:vMerge/>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стран, начавших разработку национальной инновационной политики, разрабатывающих или утвердивших такую политику</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30 </w:t>
            </w:r>
          </w:p>
        </w:tc>
        <w:tc>
          <w:tcPr>
            <w:tcW w:w="813"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16774F" w:rsidTr="00103107">
        <w:trPr>
          <w:cantSplit/>
          <w:trHeight w:val="643"/>
        </w:trPr>
        <w:tc>
          <w:tcPr>
            <w:tcW w:w="1189" w:type="pct"/>
            <w:vMerge w:val="restart"/>
            <w:shd w:val="clear" w:color="auto" w:fill="auto"/>
            <w:tcMar>
              <w:top w:w="113" w:type="dxa"/>
              <w:bottom w:w="57" w:type="dxa"/>
            </w:tcMar>
          </w:tcPr>
          <w:p w:rsidR="00103107" w:rsidRPr="003A588C" w:rsidRDefault="00103107" w:rsidP="00103107">
            <w:pPr>
              <w:keepNext/>
              <w:rPr>
                <w:rFonts w:cs="Arial"/>
                <w:sz w:val="16"/>
                <w:szCs w:val="16"/>
                <w:lang w:val="ru-RU"/>
              </w:rPr>
            </w:pPr>
            <w:r w:rsidRPr="003A588C">
              <w:rPr>
                <w:rFonts w:cs="Arial"/>
                <w:sz w:val="16"/>
                <w:szCs w:val="16"/>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правительств и ОКУ, подписавших с ВОИС соглашение о разработке нового стандарта обеспечения качества в области транспарентности, подотчетности и управления</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813" w:type="pct"/>
            <w:shd w:val="clear" w:color="auto" w:fill="FFFFFF"/>
          </w:tcPr>
          <w:p w:rsidR="00103107" w:rsidRPr="00CC3F44" w:rsidRDefault="00103107" w:rsidP="00103107">
            <w:pPr>
              <w:jc w:val="center"/>
              <w:rPr>
                <w:rFonts w:cs="Arial"/>
                <w:color w:val="008000"/>
                <w:sz w:val="22"/>
                <w:szCs w:val="22"/>
              </w:rPr>
            </w:pPr>
            <w:r w:rsidRPr="00CC3F44">
              <w:rPr>
                <w:rFonts w:cs="Arial"/>
                <w:color w:val="008000"/>
                <w:sz w:val="22"/>
                <w:szCs w:val="22"/>
              </w:rPr>
              <w:sym w:font="Wingdings" w:char="F06C"/>
            </w:r>
          </w:p>
        </w:tc>
      </w:tr>
      <w:tr w:rsidR="00103107" w:rsidRPr="0016774F" w:rsidTr="00103107">
        <w:trPr>
          <w:cantSplit/>
          <w:trHeight w:val="634"/>
        </w:trPr>
        <w:tc>
          <w:tcPr>
            <w:tcW w:w="1189" w:type="pct"/>
            <w:vMerge/>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Доля (в %) авторов, выразивших удовлетворение результатами обучения по вопросам использования авторско-правовых данных и информации для эффективного управления их авторскими правами</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813"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16774F" w:rsidTr="00103107">
        <w:trPr>
          <w:cantSplit/>
          <w:trHeight w:val="540"/>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Доля (%) положительных оценок участников, свидетельствующих о целесообразности проведения совещаний и семинаров по укреплению потенциала в авторско-правовой области</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813"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16774F" w:rsidTr="00103107">
        <w:trPr>
          <w:cantSplit/>
          <w:trHeight w:val="652"/>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ind w:right="-206"/>
              <w:rPr>
                <w:rFonts w:cs="Arial"/>
                <w:sz w:val="16"/>
                <w:szCs w:val="16"/>
                <w:lang w:val="ru-RU"/>
              </w:rPr>
            </w:pPr>
            <w:r w:rsidRPr="003A588C">
              <w:rPr>
                <w:rFonts w:cs="Arial"/>
                <w:sz w:val="16"/>
                <w:szCs w:val="16"/>
                <w:lang w:val="ru-RU"/>
              </w:rPr>
              <w:t>Число государств-членов, реализующих инициативы по совершенствованию путей использования системы авторского права с целью реализации экономического потенциала произведений и изделий в области культуры</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813"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16774F" w:rsidTr="00103107">
        <w:trPr>
          <w:cantSplit/>
          <w:trHeight w:val="800"/>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Доля (%) участников мероприятий ВОИС, которые отмечают повышение возможности понимания и использования принципов, систем и инструментов ИС для охраны ТЗ и ТВК, а также управления взаимосвязью между ИС и ГР</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4 </w:t>
            </w:r>
          </w:p>
        </w:tc>
        <w:tc>
          <w:tcPr>
            <w:tcW w:w="813"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16774F" w:rsidTr="00103107">
        <w:trPr>
          <w:cantSplit/>
          <w:trHeight w:val="550"/>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Процент участников мероприятий ВОИС, удовлетворенных содержанием мероприятий и их организацией</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16774F" w:rsidTr="00103107">
        <w:trPr>
          <w:cantSplit/>
          <w:trHeight w:val="526"/>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Процент участников семинаров ВОИС, которые применяют полученные навыки в проф./предпр. деятельности</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r w:rsidRPr="00CC3F44">
              <w:rPr>
                <w:rFonts w:cs="Arial"/>
                <w:color w:val="A6A6A6" w:themeColor="background1" w:themeShade="A6"/>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16774F" w:rsidTr="00103107">
        <w:trPr>
          <w:cantSplit/>
          <w:trHeight w:val="526"/>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Доля (%) национальных/региональных экспертов в области ИС, задействованных в мероприятиях ВОИС качестве консультантов</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r w:rsidRPr="00CC3F44">
              <w:rPr>
                <w:rFonts w:cs="Arial"/>
                <w:color w:val="E26B0A"/>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16774F" w:rsidTr="00103107">
        <w:trPr>
          <w:cantSplit/>
          <w:trHeight w:val="547"/>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 xml:space="preserve">Число стран с переходной экономикой, учредивших ежегодные программы подготовки в области ИС и/или курсы профессиональной подготовки для специалистов в области ИС </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226"/>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Процент прошедших обучение экспертов в области ИС и должностных лиц ведомств ИС, использующих приобретенные новые навыки в своей профессиональной деятельности</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800"/>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Пересмотренный комплект учебных курсов по тематике ИС для развивающихся стран, НРС и стран с переходной экономикой/</w:t>
            </w:r>
            <w:r>
              <w:rPr>
                <w:rFonts w:cs="Arial"/>
                <w:sz w:val="16"/>
                <w:szCs w:val="16"/>
              </w:rPr>
              <w:t>c</w:t>
            </w:r>
            <w:r w:rsidRPr="003A588C">
              <w:rPr>
                <w:rFonts w:cs="Arial"/>
                <w:sz w:val="16"/>
                <w:szCs w:val="16"/>
                <w:lang w:val="ru-RU"/>
              </w:rPr>
              <w:t>оответствие содержания учебных курсов потребностям развивающихся стран, НРС и стран с переходной экономикой в области укрепления их потенциала</w:t>
            </w:r>
          </w:p>
        </w:tc>
        <w:tc>
          <w:tcPr>
            <w:tcW w:w="1142" w:type="pct"/>
            <w:shd w:val="clear" w:color="auto" w:fill="FFFFFF"/>
            <w:tcMar>
              <w:top w:w="113" w:type="dxa"/>
              <w:bottom w:w="57" w:type="dxa"/>
            </w:tcMar>
          </w:tcPr>
          <w:p w:rsidR="00103107" w:rsidRPr="0016774F" w:rsidRDefault="00103107" w:rsidP="00103107">
            <w:pPr>
              <w:jc w:val="center"/>
              <w:rPr>
                <w:rFonts w:cs="Arial"/>
                <w:sz w:val="16"/>
                <w:szCs w:val="16"/>
                <w:lang w:bidi="th-TH"/>
              </w:rPr>
            </w:pPr>
            <w:r w:rsidRPr="003A588C">
              <w:rPr>
                <w:rFonts w:cs="Arial"/>
                <w:sz w:val="16"/>
                <w:szCs w:val="16"/>
                <w:lang w:val="ru-RU" w:bidi="th-TH"/>
              </w:rPr>
              <w:t xml:space="preserve">Программа 11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800"/>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Расширенные возможности электронного обучения на нескольких языках по различным аспектам ИС для развивающихся стран, НРС и стран с переходной экономикой / Соответствие содержания комплекта курсов дистанционного обучения потребностям развивающихся стран, НРС и стран с переходной экономикой в области укрепления их потенциала</w:t>
            </w:r>
          </w:p>
        </w:tc>
        <w:tc>
          <w:tcPr>
            <w:tcW w:w="1142" w:type="pct"/>
            <w:shd w:val="clear" w:color="auto" w:fill="FFFFFF"/>
            <w:tcMar>
              <w:top w:w="113" w:type="dxa"/>
              <w:bottom w:w="57" w:type="dxa"/>
            </w:tcMar>
          </w:tcPr>
          <w:p w:rsidR="00103107" w:rsidRPr="00F74290" w:rsidRDefault="00103107" w:rsidP="00103107">
            <w:pPr>
              <w:jc w:val="center"/>
              <w:rPr>
                <w:rFonts w:cs="Arial"/>
                <w:sz w:val="16"/>
                <w:szCs w:val="16"/>
                <w:lang w:bidi="th-TH"/>
              </w:rPr>
            </w:pPr>
            <w:r w:rsidRPr="003A588C">
              <w:rPr>
                <w:rFonts w:cs="Arial"/>
                <w:sz w:val="16"/>
                <w:szCs w:val="16"/>
                <w:lang w:val="ru-RU" w:bidi="th-TH"/>
              </w:rPr>
              <w:t xml:space="preserve">Программа 11 </w:t>
            </w:r>
          </w:p>
        </w:tc>
        <w:tc>
          <w:tcPr>
            <w:tcW w:w="813" w:type="pct"/>
            <w:shd w:val="clear" w:color="auto" w:fill="FFFFFF"/>
          </w:tcPr>
          <w:p w:rsidR="00103107" w:rsidRPr="00CC3F44" w:rsidRDefault="00103107" w:rsidP="00103107">
            <w:pPr>
              <w:jc w:val="center"/>
              <w:rPr>
                <w:rFonts w:cs="Arial"/>
                <w:color w:val="008000"/>
                <w:sz w:val="22"/>
                <w:szCs w:val="22"/>
              </w:rPr>
            </w:pPr>
            <w:r w:rsidRPr="00CC3F44">
              <w:rPr>
                <w:rFonts w:cs="Arial"/>
                <w:color w:val="008000"/>
                <w:sz w:val="22"/>
                <w:szCs w:val="22"/>
              </w:rPr>
              <w:sym w:font="Wingdings" w:char="F06C"/>
            </w:r>
          </w:p>
        </w:tc>
      </w:tr>
      <w:tr w:rsidR="00103107" w:rsidRPr="0016774F" w:rsidTr="00103107">
        <w:trPr>
          <w:cantSplit/>
          <w:trHeight w:val="800"/>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Облегченный доступ к высшему образованию в сфере ИС со стороны развивающихся стран, НРС и стран с переходной экономикой / число университетов в развивающихся странах, НРС и странах с переходной экономикой, в которых предлагаются новые образовательные программы в сфере ИС</w:t>
            </w:r>
          </w:p>
        </w:tc>
        <w:tc>
          <w:tcPr>
            <w:tcW w:w="1142" w:type="pct"/>
            <w:shd w:val="clear" w:color="auto" w:fill="FFFFFF"/>
            <w:tcMar>
              <w:top w:w="113" w:type="dxa"/>
              <w:bottom w:w="57" w:type="dxa"/>
            </w:tcMar>
          </w:tcPr>
          <w:p w:rsidR="00103107" w:rsidRPr="00F74290" w:rsidRDefault="00103107" w:rsidP="00103107">
            <w:pPr>
              <w:jc w:val="center"/>
              <w:rPr>
                <w:rFonts w:cs="Arial"/>
                <w:sz w:val="16"/>
                <w:szCs w:val="16"/>
                <w:lang w:bidi="th-TH"/>
              </w:rPr>
            </w:pPr>
            <w:r w:rsidRPr="003A588C">
              <w:rPr>
                <w:rFonts w:cs="Arial"/>
                <w:sz w:val="16"/>
                <w:szCs w:val="16"/>
                <w:lang w:val="ru-RU" w:bidi="th-TH"/>
              </w:rPr>
              <w:t xml:space="preserve">Программа 11 </w:t>
            </w:r>
          </w:p>
        </w:tc>
        <w:tc>
          <w:tcPr>
            <w:tcW w:w="813" w:type="pct"/>
            <w:shd w:val="clear" w:color="auto" w:fill="FFFFFF"/>
          </w:tcPr>
          <w:p w:rsidR="00103107" w:rsidRPr="00CC3F44" w:rsidRDefault="00103107" w:rsidP="00103107">
            <w:pPr>
              <w:jc w:val="center"/>
              <w:rPr>
                <w:rFonts w:cs="Arial"/>
                <w:color w:val="008000"/>
                <w:sz w:val="22"/>
                <w:szCs w:val="22"/>
              </w:rPr>
            </w:pPr>
            <w:r w:rsidRPr="00CC3F44">
              <w:rPr>
                <w:rFonts w:cs="Arial"/>
                <w:color w:val="E26B0A"/>
                <w:sz w:val="22"/>
                <w:szCs w:val="22"/>
              </w:rPr>
              <w:sym w:font="Wingdings" w:char="F06C"/>
            </w:r>
          </w:p>
        </w:tc>
      </w:tr>
      <w:tr w:rsidR="00103107" w:rsidRPr="0016774F" w:rsidTr="00103107">
        <w:trPr>
          <w:cantSplit/>
          <w:trHeight w:val="418"/>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Постепенное формирование сети экспертов по вопросам ИС в развивающихся странах, НРС и странах с переходной экономикой</w:t>
            </w:r>
          </w:p>
        </w:tc>
        <w:tc>
          <w:tcPr>
            <w:tcW w:w="1142" w:type="pct"/>
            <w:shd w:val="clear" w:color="auto" w:fill="FFFFFF"/>
            <w:tcMar>
              <w:top w:w="113" w:type="dxa"/>
              <w:bottom w:w="57" w:type="dxa"/>
            </w:tcMar>
          </w:tcPr>
          <w:p w:rsidR="00103107" w:rsidRPr="00F74290" w:rsidRDefault="00103107" w:rsidP="00103107">
            <w:pPr>
              <w:jc w:val="center"/>
              <w:rPr>
                <w:rFonts w:cs="Arial"/>
                <w:sz w:val="16"/>
                <w:szCs w:val="16"/>
                <w:lang w:bidi="th-TH"/>
              </w:rPr>
            </w:pPr>
            <w:r w:rsidRPr="003A588C">
              <w:rPr>
                <w:rFonts w:cs="Arial"/>
                <w:sz w:val="16"/>
                <w:szCs w:val="16"/>
                <w:lang w:val="ru-RU" w:bidi="th-TH"/>
              </w:rPr>
              <w:t xml:space="preserve">Программа 11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463"/>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новых проектов по созданию экспериментальных академий ИС, начатых после завершения пилотного этапа</w:t>
            </w:r>
          </w:p>
        </w:tc>
        <w:tc>
          <w:tcPr>
            <w:tcW w:w="1142" w:type="pct"/>
            <w:shd w:val="clear" w:color="auto" w:fill="FFFFFF"/>
            <w:tcMar>
              <w:top w:w="113" w:type="dxa"/>
              <w:bottom w:w="57" w:type="dxa"/>
            </w:tcMar>
          </w:tcPr>
          <w:p w:rsidR="00103107" w:rsidRPr="00F74290" w:rsidRDefault="00103107" w:rsidP="00103107">
            <w:pPr>
              <w:jc w:val="center"/>
              <w:rPr>
                <w:rFonts w:cs="Arial"/>
                <w:sz w:val="16"/>
                <w:szCs w:val="16"/>
                <w:lang w:bidi="th-TH"/>
              </w:rPr>
            </w:pPr>
            <w:r w:rsidRPr="003A588C">
              <w:rPr>
                <w:rFonts w:cs="Arial"/>
                <w:sz w:val="16"/>
                <w:szCs w:val="16"/>
                <w:lang w:val="ru-RU" w:bidi="th-TH"/>
              </w:rPr>
              <w:t xml:space="preserve">Программа 11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634"/>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Процент прошедших обучение лиц, выразивших удовлетворение по поводу того, насколько это обучение полезно и актуально для их профессиональной деятельности</w:t>
            </w:r>
          </w:p>
        </w:tc>
        <w:tc>
          <w:tcPr>
            <w:tcW w:w="1142" w:type="pct"/>
            <w:shd w:val="clear" w:color="auto" w:fill="FFFFFF"/>
            <w:tcMar>
              <w:top w:w="113" w:type="dxa"/>
              <w:bottom w:w="57" w:type="dxa"/>
            </w:tcMar>
          </w:tcPr>
          <w:p w:rsidR="00103107" w:rsidRPr="0016774F" w:rsidRDefault="00103107" w:rsidP="00103107">
            <w:pPr>
              <w:jc w:val="center"/>
              <w:rPr>
                <w:rFonts w:cs="Arial"/>
                <w:sz w:val="16"/>
                <w:szCs w:val="16"/>
                <w:lang w:bidi="th-TH"/>
              </w:rPr>
            </w:pPr>
            <w:r w:rsidRPr="003A588C">
              <w:rPr>
                <w:rFonts w:cs="Arial"/>
                <w:sz w:val="16"/>
                <w:szCs w:val="16"/>
                <w:lang w:val="ru-RU" w:bidi="th-TH"/>
              </w:rPr>
              <w:t xml:space="preserve">Программа 17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724"/>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16774F" w:rsidRDefault="00103107" w:rsidP="00103107">
            <w:pPr>
              <w:rPr>
                <w:rFonts w:cs="Arial"/>
                <w:sz w:val="16"/>
                <w:szCs w:val="16"/>
              </w:rPr>
            </w:pPr>
            <w:r w:rsidRPr="003A588C">
              <w:rPr>
                <w:rFonts w:cs="Arial"/>
                <w:sz w:val="16"/>
                <w:szCs w:val="16"/>
                <w:lang w:val="ru-RU"/>
              </w:rPr>
              <w:t>Доля (в %) целевой аудитории, продемонстрировавшая общую осведомленность о сбалансированной системе ИС благодаря проведению ВОИС соответствующих мероприятий</w:t>
            </w:r>
          </w:p>
        </w:tc>
        <w:tc>
          <w:tcPr>
            <w:tcW w:w="1142" w:type="pct"/>
            <w:shd w:val="clear" w:color="auto" w:fill="FFFFFF"/>
            <w:tcMar>
              <w:top w:w="113" w:type="dxa"/>
              <w:bottom w:w="57" w:type="dxa"/>
            </w:tcMar>
          </w:tcPr>
          <w:p w:rsidR="00103107" w:rsidRPr="0016774F" w:rsidRDefault="00103107" w:rsidP="00103107">
            <w:pPr>
              <w:jc w:val="center"/>
              <w:rPr>
                <w:rFonts w:cs="Arial"/>
                <w:sz w:val="16"/>
                <w:szCs w:val="16"/>
                <w:lang w:bidi="th-TH"/>
              </w:rPr>
            </w:pPr>
            <w:r w:rsidRPr="003A588C">
              <w:rPr>
                <w:rFonts w:cs="Arial"/>
                <w:sz w:val="16"/>
                <w:szCs w:val="16"/>
                <w:lang w:val="ru-RU" w:bidi="th-TH"/>
              </w:rPr>
              <w:t xml:space="preserve">Программа 17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382"/>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стран – участниц Программы присуждения наград ВОИС</w:t>
            </w:r>
          </w:p>
        </w:tc>
        <w:tc>
          <w:tcPr>
            <w:tcW w:w="1142" w:type="pct"/>
            <w:shd w:val="clear" w:color="auto" w:fill="FFFFFF"/>
            <w:tcMar>
              <w:top w:w="113" w:type="dxa"/>
              <w:bottom w:w="57" w:type="dxa"/>
            </w:tcMar>
          </w:tcPr>
          <w:p w:rsidR="00103107" w:rsidRPr="0016774F" w:rsidRDefault="00103107" w:rsidP="00103107">
            <w:pPr>
              <w:jc w:val="center"/>
              <w:rPr>
                <w:rFonts w:cs="Arial"/>
                <w:sz w:val="16"/>
                <w:szCs w:val="16"/>
                <w:lang w:bidi="th-TH"/>
              </w:rPr>
            </w:pPr>
            <w:r w:rsidRPr="003A588C">
              <w:rPr>
                <w:rFonts w:cs="Arial"/>
                <w:sz w:val="16"/>
                <w:szCs w:val="16"/>
                <w:lang w:val="ru-RU" w:bidi="th-TH"/>
              </w:rPr>
              <w:t xml:space="preserve">Программа 17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454"/>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соглашений о длительных командировках ученых из развивающихся стран</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18 </w:t>
            </w:r>
          </w:p>
        </w:tc>
        <w:tc>
          <w:tcPr>
            <w:tcW w:w="813" w:type="pct"/>
            <w:shd w:val="clear" w:color="auto" w:fill="FFFFFF"/>
          </w:tcPr>
          <w:p w:rsidR="00103107" w:rsidRPr="00CC3F44" w:rsidRDefault="00103107" w:rsidP="00103107">
            <w:pPr>
              <w:jc w:val="center"/>
            </w:pPr>
            <w:r w:rsidRPr="00CC3F44">
              <w:rPr>
                <w:rFonts w:cs="Arial"/>
                <w:color w:val="FF0000"/>
                <w:sz w:val="22"/>
                <w:szCs w:val="22"/>
              </w:rPr>
              <w:sym w:font="Wingdings" w:char="F06C"/>
            </w:r>
          </w:p>
        </w:tc>
      </w:tr>
      <w:tr w:rsidR="00103107" w:rsidRPr="0016774F" w:rsidTr="00103107">
        <w:trPr>
          <w:cantSplit/>
          <w:trHeight w:val="726"/>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Доля (%) лиц, ответственных за разработку политики, правительственных должностных лиц, практикующих специалистов в сфере ИС и участников целевых семинаров, выработавших более глубокое понимание роли ОКУ и возможностей эффективного использования ИС для целей развития</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16774F" w:rsidTr="00103107">
        <w:trPr>
          <w:cantSplit/>
          <w:trHeight w:val="454"/>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Доля (%) прошедших подготовку специалистов в области ИС, использующих полученные знания в работе</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30 </w:t>
            </w:r>
          </w:p>
        </w:tc>
        <w:tc>
          <w:tcPr>
            <w:tcW w:w="813"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16774F" w:rsidTr="00103107">
        <w:trPr>
          <w:cantSplit/>
          <w:trHeight w:val="539"/>
        </w:trPr>
        <w:tc>
          <w:tcPr>
            <w:tcW w:w="1189" w:type="pct"/>
            <w:vMerge w:val="restar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III.3. Всесторонний учет рекомендаций ПДР в работе ВОИС</w:t>
            </w: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рекомендаций ПДР, реализуемых КРИС через посредство проектов, видов деятельности и исследований</w:t>
            </w:r>
          </w:p>
          <w:p w:rsidR="00103107" w:rsidRPr="003A588C" w:rsidRDefault="00103107" w:rsidP="00103107">
            <w:pPr>
              <w:rPr>
                <w:rFonts w:cs="Arial"/>
                <w:sz w:val="16"/>
                <w:szCs w:val="16"/>
                <w:lang w:val="ru-RU"/>
              </w:rPr>
            </w:pP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8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538"/>
        </w:trPr>
        <w:tc>
          <w:tcPr>
            <w:tcW w:w="1189" w:type="pct"/>
            <w:vMerge/>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 xml:space="preserve">Уровень удовлетворенности государств-членов результатами проектов, деятельности и исследований   </w:t>
            </w:r>
          </w:p>
          <w:p w:rsidR="00103107" w:rsidRPr="003A588C" w:rsidRDefault="00103107" w:rsidP="00103107">
            <w:pPr>
              <w:rPr>
                <w:rFonts w:cs="Arial"/>
                <w:sz w:val="16"/>
                <w:szCs w:val="16"/>
                <w:lang w:val="ru-RU"/>
              </w:rPr>
            </w:pP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8 </w:t>
            </w:r>
          </w:p>
        </w:tc>
        <w:tc>
          <w:tcPr>
            <w:tcW w:w="813"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16774F" w:rsidTr="00103107">
        <w:trPr>
          <w:cantSplit/>
          <w:trHeight w:val="547"/>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Введение в действие координационного механизма, одобренного государствами-членами</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8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547"/>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программ, в рамках которых рекомендации ПДР интегрированы в текущую деятельность ВОИС</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8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547"/>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Число проектов ПДР и пути их интеграции в текущую деятельность ВОИС (нормотворчество, техническая помощь и оказание услуг)</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8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464"/>
        </w:trPr>
        <w:tc>
          <w:tcPr>
            <w:tcW w:w="1189" w:type="pct"/>
            <w:vMerge w:val="restar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Внедрение эффективной системы планирования, контроля и оценки выполнения рекомендаций ПДР</w:t>
            </w:r>
          </w:p>
          <w:p w:rsidR="00103107" w:rsidRPr="003A588C" w:rsidRDefault="00103107" w:rsidP="00103107">
            <w:pPr>
              <w:keepNext/>
              <w:keepLines/>
              <w:rPr>
                <w:rFonts w:cs="Arial"/>
                <w:sz w:val="16"/>
                <w:szCs w:val="16"/>
                <w:lang w:val="ru-RU"/>
              </w:rPr>
            </w:pP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8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463"/>
        </w:trPr>
        <w:tc>
          <w:tcPr>
            <w:tcW w:w="1189" w:type="pct"/>
            <w:vMerge/>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Доля (%) проектов ПДР, прошедших независимую оценку</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8 </w:t>
            </w:r>
          </w:p>
        </w:tc>
        <w:tc>
          <w:tcPr>
            <w:tcW w:w="813"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16774F" w:rsidTr="00103107">
        <w:trPr>
          <w:cantSplit/>
          <w:trHeight w:val="463"/>
        </w:trPr>
        <w:tc>
          <w:tcPr>
            <w:tcW w:w="1189" w:type="pct"/>
            <w:shd w:val="clear" w:color="auto" w:fill="auto"/>
            <w:tcMar>
              <w:top w:w="113" w:type="dxa"/>
              <w:bottom w:w="57" w:type="dxa"/>
            </w:tcMar>
          </w:tcPr>
          <w:p w:rsidR="00103107" w:rsidRPr="003A588C" w:rsidRDefault="00103107" w:rsidP="00103107">
            <w:pPr>
              <w:keepNext/>
              <w:keepLines/>
              <w:tabs>
                <w:tab w:val="right" w:pos="2835"/>
              </w:tabs>
              <w:spacing w:after="60"/>
              <w:rPr>
                <w:rFonts w:cs="Arial"/>
                <w:sz w:val="15"/>
                <w:szCs w:val="15"/>
                <w:lang w:val="ru-RU"/>
              </w:rPr>
            </w:pPr>
            <w:r w:rsidRPr="003A588C">
              <w:rPr>
                <w:rFonts w:cs="Arial"/>
                <w:sz w:val="15"/>
                <w:szCs w:val="15"/>
                <w:lang w:val="ru-RU"/>
              </w:rPr>
              <w:t>III.4. Укрепленные механизмы и программы сотрудничества, приспособленные к потребностям развивающихся стран и НРС</w:t>
            </w:r>
          </w:p>
          <w:p w:rsidR="00103107" w:rsidRPr="003A588C" w:rsidRDefault="00103107" w:rsidP="00103107">
            <w:pPr>
              <w:keepNext/>
              <w:keepLines/>
              <w:rPr>
                <w:rFonts w:cs="Arial"/>
                <w:sz w:val="16"/>
                <w:szCs w:val="16"/>
                <w:lang w:val="ru-RU"/>
              </w:rPr>
            </w:pPr>
          </w:p>
        </w:tc>
        <w:tc>
          <w:tcPr>
            <w:tcW w:w="1856" w:type="pct"/>
            <w:shd w:val="clear" w:color="auto" w:fill="auto"/>
            <w:tcMar>
              <w:top w:w="113" w:type="dxa"/>
              <w:bottom w:w="57" w:type="dxa"/>
            </w:tcMar>
          </w:tcPr>
          <w:p w:rsidR="00103107" w:rsidRPr="003A588C" w:rsidRDefault="00103107" w:rsidP="00103107">
            <w:pPr>
              <w:keepNext/>
              <w:keepLines/>
              <w:rPr>
                <w:rFonts w:cs="Arial"/>
                <w:sz w:val="16"/>
                <w:szCs w:val="16"/>
                <w:lang w:val="ru-RU"/>
              </w:rPr>
            </w:pPr>
            <w:r w:rsidRPr="003A588C">
              <w:rPr>
                <w:rFonts w:cs="Arial"/>
                <w:sz w:val="16"/>
                <w:szCs w:val="16"/>
                <w:lang w:val="ru-RU"/>
              </w:rPr>
              <w:t>Число новых или укрепленных механизмов сотрудничества, программ или партнерских сетей, призванных пропагандировать/укреплять субрегиональное или региональное сотрудничество в области ИС</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FF0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16774F" w:rsidTr="00103107">
        <w:trPr>
          <w:cantSplit/>
          <w:trHeight w:val="463"/>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keepNext/>
              <w:keepLines/>
              <w:rPr>
                <w:rFonts w:cs="Arial"/>
                <w:sz w:val="16"/>
                <w:szCs w:val="16"/>
                <w:lang w:val="ru-RU"/>
              </w:rPr>
            </w:pPr>
            <w:r w:rsidRPr="003A588C">
              <w:rPr>
                <w:rFonts w:cs="Arial"/>
                <w:sz w:val="16"/>
                <w:szCs w:val="16"/>
                <w:lang w:val="ru-RU"/>
              </w:rPr>
              <w:t>Число созданных партнерств, в которых помощь предлагает сторона из развитой страны</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r w:rsidRPr="00CC3F44">
              <w:rPr>
                <w:rFonts w:cs="Arial"/>
                <w:color w:val="FF0000"/>
                <w:sz w:val="22"/>
                <w:szCs w:val="22"/>
              </w:rPr>
              <w:sym w:font="Wingdings" w:char="F06C"/>
            </w:r>
          </w:p>
        </w:tc>
      </w:tr>
      <w:tr w:rsidR="00103107" w:rsidRPr="0016774F" w:rsidTr="00103107">
        <w:trPr>
          <w:cantSplit/>
          <w:trHeight w:val="463"/>
        </w:trPr>
        <w:tc>
          <w:tcPr>
            <w:tcW w:w="1189" w:type="pct"/>
            <w:shd w:val="clear" w:color="auto" w:fill="auto"/>
            <w:tcMar>
              <w:top w:w="113" w:type="dxa"/>
              <w:bottom w:w="57" w:type="dxa"/>
            </w:tcMar>
          </w:tcPr>
          <w:p w:rsidR="00103107" w:rsidRPr="003A588C" w:rsidRDefault="00103107" w:rsidP="00103107">
            <w:pPr>
              <w:keepNext/>
              <w:keepLines/>
              <w:rPr>
                <w:rFonts w:cs="Arial"/>
                <w:sz w:val="16"/>
                <w:szCs w:val="16"/>
                <w:lang w:val="ru-RU"/>
              </w:rPr>
            </w:pPr>
            <w:r w:rsidRPr="003A588C">
              <w:rPr>
                <w:rFonts w:cs="Arial"/>
                <w:sz w:val="16"/>
                <w:szCs w:val="16"/>
                <w:lang w:val="ru-RU"/>
              </w:rPr>
              <w:t>III.5 Углубление понимания ПДР государствами-членами, МПО, гражданским обществом и другими заинтересованными сторонами</w:t>
            </w:r>
          </w:p>
        </w:tc>
        <w:tc>
          <w:tcPr>
            <w:tcW w:w="1856" w:type="pct"/>
            <w:shd w:val="clear" w:color="auto" w:fill="auto"/>
            <w:tcMar>
              <w:top w:w="113" w:type="dxa"/>
              <w:bottom w:w="57" w:type="dxa"/>
            </w:tcMar>
          </w:tcPr>
          <w:p w:rsidR="00103107" w:rsidRPr="003A588C" w:rsidRDefault="00103107" w:rsidP="00103107">
            <w:pPr>
              <w:keepNext/>
              <w:keepLines/>
              <w:rPr>
                <w:rFonts w:cs="Arial"/>
                <w:sz w:val="16"/>
                <w:szCs w:val="16"/>
                <w:lang w:val="ru-RU"/>
              </w:rPr>
            </w:pPr>
            <w:r w:rsidRPr="003A588C">
              <w:rPr>
                <w:rFonts w:cs="Arial"/>
                <w:sz w:val="16"/>
                <w:szCs w:val="16"/>
                <w:lang w:val="ru-RU"/>
              </w:rPr>
              <w:t>Число стран, запросивших техническую помощь через посредство проектов ПДР и выразивших заинтересованность в осуществлении деятельности, связанной с ПДР</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8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463"/>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keepNext/>
              <w:keepLines/>
              <w:rPr>
                <w:rFonts w:cs="Arial"/>
                <w:sz w:val="16"/>
                <w:szCs w:val="16"/>
                <w:lang w:val="ru-RU"/>
              </w:rPr>
            </w:pPr>
            <w:r w:rsidRPr="003A588C">
              <w:rPr>
                <w:rFonts w:cs="Arial"/>
                <w:sz w:val="16"/>
                <w:szCs w:val="16"/>
                <w:lang w:val="ru-RU"/>
              </w:rPr>
              <w:t>Доля (в %) участников совещаний в ВОИС (государств-членов, МПО, представителей гражданского общество и других заинтересованных сторон), удовлетворенных полученной информацией о рекомендациях ПДР</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8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144"/>
        </w:trPr>
        <w:tc>
          <w:tcPr>
            <w:tcW w:w="1189" w:type="pct"/>
            <w:vMerge w:val="restart"/>
            <w:shd w:val="clear" w:color="auto" w:fill="auto"/>
            <w:tcMar>
              <w:top w:w="113" w:type="dxa"/>
              <w:bottom w:w="57" w:type="dxa"/>
            </w:tcMar>
          </w:tcPr>
          <w:p w:rsidR="00103107" w:rsidRPr="003A588C" w:rsidRDefault="00103107" w:rsidP="00103107">
            <w:pPr>
              <w:rPr>
                <w:rFonts w:cs="Arial"/>
                <w:sz w:val="16"/>
                <w:szCs w:val="16"/>
                <w:lang w:val="ru-RU"/>
              </w:rPr>
            </w:pPr>
            <w:r w:rsidRPr="003A588C">
              <w:rPr>
                <w:rFonts w:cs="Arial"/>
                <w:sz w:val="16"/>
                <w:szCs w:val="16"/>
                <w:lang w:val="ru-RU"/>
              </w:rPr>
              <w:t>III.6. Укрепление потенциала МСП для успешного использования ИС в поддержку инноваций</w:t>
            </w:r>
          </w:p>
        </w:tc>
        <w:tc>
          <w:tcPr>
            <w:tcW w:w="1856" w:type="pct"/>
            <w:vMerge w:val="restart"/>
            <w:shd w:val="clear" w:color="auto" w:fill="auto"/>
            <w:tcMar>
              <w:top w:w="113" w:type="dxa"/>
              <w:bottom w:w="57" w:type="dxa"/>
            </w:tcMar>
          </w:tcPr>
          <w:p w:rsidR="00103107" w:rsidRPr="003A588C" w:rsidRDefault="00103107" w:rsidP="00103107">
            <w:pPr>
              <w:rPr>
                <w:rFonts w:cs="Arial"/>
                <w:sz w:val="16"/>
                <w:szCs w:val="16"/>
                <w:lang w:val="ru-RU" w:bidi="th-TH"/>
              </w:rPr>
            </w:pPr>
            <w:r w:rsidRPr="003A588C">
              <w:rPr>
                <w:rFonts w:cs="Arial"/>
                <w:sz w:val="16"/>
                <w:szCs w:val="16"/>
                <w:lang w:val="ru-RU" w:bidi="th-TH"/>
              </w:rPr>
              <w:t>Доля (%) участников учебных программ для учреждений поддержки МСП, выразивших удовлетворение качеством материалов и организацией обучения</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813"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16774F" w:rsidTr="00103107">
        <w:trPr>
          <w:cantSplit/>
          <w:trHeight w:val="144"/>
        </w:trPr>
        <w:tc>
          <w:tcPr>
            <w:tcW w:w="1189" w:type="pct"/>
            <w:vMerge/>
            <w:shd w:val="clear" w:color="auto" w:fill="auto"/>
            <w:tcMar>
              <w:top w:w="113" w:type="dxa"/>
              <w:bottom w:w="57" w:type="dxa"/>
            </w:tcMar>
          </w:tcPr>
          <w:p w:rsidR="00103107" w:rsidRDefault="00103107" w:rsidP="00103107">
            <w:pPr>
              <w:rPr>
                <w:rFonts w:cs="Arial"/>
                <w:sz w:val="16"/>
                <w:szCs w:val="16"/>
              </w:rPr>
            </w:pPr>
          </w:p>
        </w:tc>
        <w:tc>
          <w:tcPr>
            <w:tcW w:w="1856" w:type="pct"/>
            <w:vMerge/>
            <w:shd w:val="clear" w:color="auto" w:fill="auto"/>
            <w:tcMar>
              <w:top w:w="113" w:type="dxa"/>
              <w:bottom w:w="57" w:type="dxa"/>
            </w:tcMar>
          </w:tcPr>
          <w:p w:rsidR="00103107" w:rsidRPr="00DC0B8E" w:rsidRDefault="00103107" w:rsidP="00103107">
            <w:pPr>
              <w:rPr>
                <w:rFonts w:cs="Arial"/>
                <w:sz w:val="16"/>
                <w:szCs w:val="16"/>
              </w:rPr>
            </w:pP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30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144"/>
        </w:trPr>
        <w:tc>
          <w:tcPr>
            <w:tcW w:w="1189" w:type="pct"/>
            <w:vMerge w:val="restart"/>
            <w:shd w:val="clear" w:color="auto" w:fill="auto"/>
            <w:tcMar>
              <w:top w:w="113" w:type="dxa"/>
              <w:bottom w:w="57" w:type="dxa"/>
            </w:tcMar>
          </w:tcPr>
          <w:p w:rsidR="00103107" w:rsidRPr="0016774F" w:rsidRDefault="00103107" w:rsidP="00103107">
            <w:pPr>
              <w:keepNext/>
              <w:keepLines/>
              <w:rPr>
                <w:rFonts w:cs="Arial"/>
                <w:sz w:val="16"/>
                <w:szCs w:val="16"/>
              </w:rPr>
            </w:pPr>
          </w:p>
        </w:tc>
        <w:tc>
          <w:tcPr>
            <w:tcW w:w="1856" w:type="pct"/>
            <w:vMerge w:val="restart"/>
            <w:shd w:val="clear" w:color="auto" w:fill="auto"/>
            <w:tcMar>
              <w:top w:w="113" w:type="dxa"/>
              <w:bottom w:w="57" w:type="dxa"/>
            </w:tcMar>
          </w:tcPr>
          <w:p w:rsidR="00103107" w:rsidRPr="003A588C" w:rsidRDefault="00103107" w:rsidP="00103107">
            <w:pPr>
              <w:keepNext/>
              <w:keepLines/>
              <w:rPr>
                <w:rFonts w:cs="Arial"/>
                <w:sz w:val="16"/>
                <w:szCs w:val="16"/>
                <w:lang w:val="ru-RU"/>
              </w:rPr>
            </w:pPr>
            <w:r w:rsidRPr="003A588C">
              <w:rPr>
                <w:rFonts w:cs="Arial"/>
                <w:sz w:val="16"/>
                <w:szCs w:val="16"/>
                <w:lang w:val="ru-RU"/>
              </w:rPr>
              <w:t>Процент прошедших обучение учреждений поддержки малых и средних предприятий, предоставляющих информацию, поддержку и консультативные услуги по вопросам управления активами ИС</w:t>
            </w:r>
          </w:p>
          <w:p w:rsidR="00103107" w:rsidRPr="003A588C" w:rsidRDefault="00103107" w:rsidP="00103107">
            <w:pPr>
              <w:keepNext/>
              <w:keepLines/>
              <w:rPr>
                <w:rFonts w:cs="Arial"/>
                <w:sz w:val="16"/>
                <w:szCs w:val="16"/>
                <w:lang w:val="ru-RU"/>
              </w:rPr>
            </w:pP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813" w:type="pct"/>
            <w:shd w:val="clear" w:color="auto" w:fill="FFFFFF"/>
          </w:tcPr>
          <w:p w:rsidR="00103107" w:rsidRPr="00CC3F44" w:rsidRDefault="00103107" w:rsidP="00103107">
            <w:pPr>
              <w:keepNext/>
              <w:keepLines/>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16774F" w:rsidTr="00103107">
        <w:trPr>
          <w:cantSplit/>
          <w:trHeight w:val="144"/>
        </w:trPr>
        <w:tc>
          <w:tcPr>
            <w:tcW w:w="1189" w:type="pct"/>
            <w:vMerge/>
            <w:shd w:val="clear" w:color="auto" w:fill="auto"/>
            <w:tcMar>
              <w:top w:w="113" w:type="dxa"/>
              <w:bottom w:w="57" w:type="dxa"/>
            </w:tcMar>
          </w:tcPr>
          <w:p w:rsidR="00103107" w:rsidRPr="0016774F" w:rsidRDefault="00103107" w:rsidP="00103107">
            <w:pPr>
              <w:keepNext/>
              <w:keepLines/>
              <w:rPr>
                <w:rFonts w:cs="Arial"/>
                <w:sz w:val="16"/>
                <w:szCs w:val="16"/>
              </w:rPr>
            </w:pPr>
          </w:p>
        </w:tc>
        <w:tc>
          <w:tcPr>
            <w:tcW w:w="1856" w:type="pct"/>
            <w:vMerge/>
            <w:shd w:val="clear" w:color="auto" w:fill="auto"/>
            <w:tcMar>
              <w:top w:w="113" w:type="dxa"/>
              <w:bottom w:w="57" w:type="dxa"/>
            </w:tcMar>
          </w:tcPr>
          <w:p w:rsidR="00103107" w:rsidRPr="0022507F" w:rsidRDefault="00103107" w:rsidP="00103107">
            <w:pPr>
              <w:keepNext/>
              <w:keepLines/>
              <w:rPr>
                <w:rFonts w:cs="Arial"/>
                <w:sz w:val="16"/>
                <w:szCs w:val="16"/>
                <w:lang w:bidi="th-TH"/>
              </w:rPr>
            </w:pP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30 </w:t>
            </w:r>
          </w:p>
        </w:tc>
        <w:tc>
          <w:tcPr>
            <w:tcW w:w="813"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16774F" w:rsidTr="00103107">
        <w:trPr>
          <w:cantSplit/>
          <w:trHeight w:val="144"/>
        </w:trPr>
        <w:tc>
          <w:tcPr>
            <w:tcW w:w="1189" w:type="pct"/>
            <w:vMerge w:val="restart"/>
            <w:shd w:val="clear" w:color="auto" w:fill="auto"/>
            <w:tcMar>
              <w:top w:w="113" w:type="dxa"/>
              <w:bottom w:w="57" w:type="dxa"/>
            </w:tcMar>
          </w:tcPr>
          <w:p w:rsidR="00103107" w:rsidRPr="0016774F" w:rsidRDefault="00103107" w:rsidP="00103107">
            <w:pPr>
              <w:keepNext/>
              <w:keepLines/>
              <w:rPr>
                <w:rFonts w:cs="Arial"/>
                <w:sz w:val="16"/>
                <w:szCs w:val="16"/>
              </w:rPr>
            </w:pPr>
          </w:p>
        </w:tc>
        <w:tc>
          <w:tcPr>
            <w:tcW w:w="1856" w:type="pct"/>
            <w:vMerge w:val="restart"/>
            <w:shd w:val="clear" w:color="auto" w:fill="auto"/>
            <w:tcMar>
              <w:top w:w="113" w:type="dxa"/>
              <w:bottom w:w="57" w:type="dxa"/>
            </w:tcMar>
          </w:tcPr>
          <w:p w:rsidR="00103107" w:rsidRPr="003A588C" w:rsidRDefault="00103107" w:rsidP="00103107">
            <w:pPr>
              <w:keepNext/>
              <w:keepLines/>
              <w:rPr>
                <w:rFonts w:cs="Arial"/>
                <w:sz w:val="16"/>
                <w:szCs w:val="16"/>
                <w:lang w:val="ru-RU"/>
              </w:rPr>
            </w:pPr>
            <w:r w:rsidRPr="003A588C">
              <w:rPr>
                <w:rFonts w:cs="Arial"/>
                <w:sz w:val="16"/>
                <w:szCs w:val="16"/>
                <w:lang w:val="ru-RU"/>
              </w:rPr>
              <w:t>Число стран, предлагающих программы обучения по ИС для МСП</w:t>
            </w:r>
          </w:p>
          <w:p w:rsidR="00103107" w:rsidRPr="003A588C" w:rsidRDefault="00103107" w:rsidP="00103107">
            <w:pPr>
              <w:keepNext/>
              <w:keepLines/>
              <w:rPr>
                <w:rFonts w:cs="Arial"/>
                <w:sz w:val="16"/>
                <w:szCs w:val="16"/>
                <w:lang w:val="ru-RU"/>
              </w:rPr>
            </w:pPr>
          </w:p>
        </w:tc>
        <w:tc>
          <w:tcPr>
            <w:tcW w:w="1142" w:type="pct"/>
            <w:shd w:val="clear" w:color="auto" w:fill="FFFFFF"/>
            <w:tcMar>
              <w:top w:w="113" w:type="dxa"/>
              <w:bottom w:w="57" w:type="dxa"/>
            </w:tcMar>
          </w:tcPr>
          <w:p w:rsidR="00103107" w:rsidRPr="003A588C" w:rsidRDefault="00103107" w:rsidP="00103107">
            <w:pPr>
              <w:keepNext/>
              <w:keepLines/>
              <w:jc w:val="center"/>
              <w:rPr>
                <w:rFonts w:cs="Arial"/>
                <w:sz w:val="16"/>
                <w:szCs w:val="16"/>
                <w:lang w:val="ru-RU" w:bidi="th-TH"/>
              </w:rPr>
            </w:pPr>
            <w:r w:rsidRPr="003A588C">
              <w:rPr>
                <w:rFonts w:cs="Arial"/>
                <w:sz w:val="16"/>
                <w:szCs w:val="16"/>
                <w:lang w:val="ru-RU" w:bidi="th-TH"/>
              </w:rPr>
              <w:t xml:space="preserve">Программа 10 </w:t>
            </w:r>
          </w:p>
        </w:tc>
        <w:tc>
          <w:tcPr>
            <w:tcW w:w="813"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A6A6A6" w:themeColor="background1" w:themeShade="A6"/>
                <w:sz w:val="22"/>
                <w:szCs w:val="22"/>
              </w:rPr>
              <w:sym w:font="Wingdings" w:char="F06C"/>
            </w:r>
          </w:p>
        </w:tc>
      </w:tr>
      <w:tr w:rsidR="00103107" w:rsidRPr="0016774F" w:rsidTr="00103107">
        <w:trPr>
          <w:cantSplit/>
          <w:trHeight w:val="144"/>
        </w:trPr>
        <w:tc>
          <w:tcPr>
            <w:tcW w:w="1189" w:type="pct"/>
            <w:vMerge/>
            <w:shd w:val="clear" w:color="auto" w:fill="auto"/>
            <w:tcMar>
              <w:top w:w="113" w:type="dxa"/>
              <w:bottom w:w="57" w:type="dxa"/>
            </w:tcMar>
          </w:tcPr>
          <w:p w:rsidR="00103107" w:rsidRPr="0016774F" w:rsidRDefault="00103107" w:rsidP="00103107">
            <w:pPr>
              <w:keepNext/>
              <w:keepLines/>
              <w:rPr>
                <w:rFonts w:cs="Arial"/>
                <w:sz w:val="16"/>
                <w:szCs w:val="16"/>
              </w:rPr>
            </w:pPr>
          </w:p>
        </w:tc>
        <w:tc>
          <w:tcPr>
            <w:tcW w:w="1856" w:type="pct"/>
            <w:vMerge/>
            <w:shd w:val="clear" w:color="auto" w:fill="auto"/>
            <w:tcMar>
              <w:top w:w="113" w:type="dxa"/>
              <w:bottom w:w="57" w:type="dxa"/>
            </w:tcMar>
          </w:tcPr>
          <w:p w:rsidR="00103107" w:rsidRDefault="00103107" w:rsidP="00103107">
            <w:pPr>
              <w:keepNext/>
              <w:keepLines/>
              <w:rPr>
                <w:rFonts w:cs="Arial"/>
                <w:sz w:val="16"/>
                <w:szCs w:val="16"/>
              </w:rPr>
            </w:pP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30 </w:t>
            </w:r>
          </w:p>
        </w:tc>
        <w:tc>
          <w:tcPr>
            <w:tcW w:w="813" w:type="pct"/>
            <w:shd w:val="clear" w:color="auto" w:fill="FFFFFF"/>
          </w:tcPr>
          <w:p w:rsidR="00103107" w:rsidRPr="00CC3F44" w:rsidRDefault="00103107" w:rsidP="00103107">
            <w:pPr>
              <w:jc w:val="center"/>
            </w:pPr>
            <w:r w:rsidRPr="00CC3F44">
              <w:rPr>
                <w:rFonts w:cs="Arial"/>
                <w:color w:val="A6A6A6" w:themeColor="background1" w:themeShade="A6"/>
                <w:sz w:val="22"/>
                <w:szCs w:val="22"/>
              </w:rPr>
              <w:sym w:font="Wingdings" w:char="F06C"/>
            </w:r>
          </w:p>
        </w:tc>
      </w:tr>
      <w:tr w:rsidR="00103107" w:rsidRPr="0016774F" w:rsidTr="00103107">
        <w:trPr>
          <w:cantSplit/>
          <w:trHeight w:val="463"/>
        </w:trPr>
        <w:tc>
          <w:tcPr>
            <w:tcW w:w="1189" w:type="pct"/>
            <w:shd w:val="clear" w:color="auto" w:fill="auto"/>
            <w:tcMar>
              <w:top w:w="113" w:type="dxa"/>
              <w:bottom w:w="57" w:type="dxa"/>
            </w:tcMar>
          </w:tcPr>
          <w:p w:rsidR="00103107" w:rsidRPr="0016774F" w:rsidRDefault="00103107" w:rsidP="00103107">
            <w:pPr>
              <w:keepNext/>
              <w:keepLines/>
              <w:rPr>
                <w:rFonts w:cs="Arial"/>
                <w:sz w:val="16"/>
                <w:szCs w:val="16"/>
              </w:rPr>
            </w:pPr>
          </w:p>
        </w:tc>
        <w:tc>
          <w:tcPr>
            <w:tcW w:w="1856" w:type="pct"/>
            <w:shd w:val="clear" w:color="auto" w:fill="auto"/>
            <w:tcMar>
              <w:top w:w="113" w:type="dxa"/>
              <w:bottom w:w="57" w:type="dxa"/>
            </w:tcMar>
          </w:tcPr>
          <w:p w:rsidR="00103107" w:rsidRPr="004F41E4" w:rsidRDefault="00103107" w:rsidP="00103107">
            <w:pPr>
              <w:keepNext/>
              <w:keepLines/>
              <w:rPr>
                <w:rFonts w:cs="Arial"/>
                <w:sz w:val="16"/>
                <w:szCs w:val="16"/>
              </w:rPr>
            </w:pPr>
            <w:r w:rsidRPr="003A588C">
              <w:rPr>
                <w:rFonts w:cs="Arial"/>
                <w:sz w:val="16"/>
                <w:szCs w:val="16"/>
                <w:lang w:val="ru-RU"/>
              </w:rPr>
              <w:t>Число подписчиков «Бюллетеня МСП»</w:t>
            </w:r>
          </w:p>
        </w:tc>
        <w:tc>
          <w:tcPr>
            <w:tcW w:w="1142" w:type="pct"/>
            <w:shd w:val="clear" w:color="auto" w:fill="FFFFFF"/>
            <w:tcMar>
              <w:top w:w="113" w:type="dxa"/>
              <w:bottom w:w="57" w:type="dxa"/>
            </w:tcMar>
          </w:tcPr>
          <w:p w:rsidR="00103107" w:rsidRPr="003A588C" w:rsidRDefault="00103107" w:rsidP="00103107">
            <w:pPr>
              <w:keepNext/>
              <w:keepLines/>
              <w:jc w:val="center"/>
              <w:rPr>
                <w:rFonts w:cs="Arial"/>
                <w:sz w:val="16"/>
                <w:szCs w:val="16"/>
                <w:lang w:val="ru-RU" w:bidi="th-TH"/>
              </w:rPr>
            </w:pPr>
            <w:r w:rsidRPr="003A588C">
              <w:rPr>
                <w:rFonts w:cs="Arial"/>
                <w:sz w:val="16"/>
                <w:szCs w:val="16"/>
                <w:lang w:val="ru-RU" w:bidi="th-TH"/>
              </w:rPr>
              <w:t xml:space="preserve">Программа 30 </w:t>
            </w:r>
          </w:p>
        </w:tc>
        <w:tc>
          <w:tcPr>
            <w:tcW w:w="813" w:type="pct"/>
            <w:shd w:val="clear" w:color="auto" w:fill="FFFFFF"/>
          </w:tcPr>
          <w:p w:rsidR="00103107" w:rsidRPr="00CC3F44" w:rsidRDefault="00103107" w:rsidP="00103107">
            <w:pPr>
              <w:jc w:val="center"/>
            </w:pPr>
            <w:r w:rsidRPr="00CC3F44">
              <w:rPr>
                <w:rFonts w:cs="Arial"/>
                <w:color w:val="A6A6A6" w:themeColor="background1" w:themeShade="A6"/>
                <w:sz w:val="22"/>
                <w:szCs w:val="22"/>
              </w:rPr>
              <w:sym w:font="Wingdings" w:char="F06C"/>
            </w:r>
          </w:p>
        </w:tc>
      </w:tr>
      <w:tr w:rsidR="00103107" w:rsidRPr="0016774F" w:rsidTr="00103107">
        <w:trPr>
          <w:cantSplit/>
          <w:trHeight w:val="463"/>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keepNext/>
              <w:keepLines/>
              <w:rPr>
                <w:rFonts w:cs="Arial"/>
                <w:sz w:val="16"/>
                <w:szCs w:val="16"/>
                <w:lang w:val="ru-RU"/>
              </w:rPr>
            </w:pPr>
            <w:r w:rsidRPr="003A588C">
              <w:rPr>
                <w:rFonts w:cs="Arial"/>
                <w:sz w:val="16"/>
                <w:szCs w:val="16"/>
                <w:lang w:val="ru-RU" w:bidi="th-TH"/>
              </w:rPr>
              <w:t xml:space="preserve">Число скачиваний основных материалов и руководящих указаний для МСП </w:t>
            </w: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30 </w:t>
            </w:r>
          </w:p>
        </w:tc>
        <w:tc>
          <w:tcPr>
            <w:tcW w:w="813" w:type="pct"/>
            <w:shd w:val="clear" w:color="auto" w:fill="FFFFFF"/>
          </w:tcPr>
          <w:p w:rsidR="00103107" w:rsidRPr="00CC3F44" w:rsidRDefault="00103107" w:rsidP="00103107">
            <w:pPr>
              <w:jc w:val="center"/>
            </w:pPr>
            <w:r w:rsidRPr="00CC3F44">
              <w:rPr>
                <w:rFonts w:cs="Arial"/>
                <w:color w:val="A6A6A6" w:themeColor="background1" w:themeShade="A6"/>
                <w:sz w:val="22"/>
                <w:szCs w:val="22"/>
              </w:rPr>
              <w:sym w:font="Wingdings" w:char="F06C"/>
            </w:r>
          </w:p>
        </w:tc>
      </w:tr>
      <w:tr w:rsidR="00103107" w:rsidRPr="0016774F" w:rsidTr="00103107">
        <w:trPr>
          <w:cantSplit/>
          <w:trHeight w:val="463"/>
        </w:trPr>
        <w:tc>
          <w:tcPr>
            <w:tcW w:w="1189" w:type="pct"/>
            <w:shd w:val="clear" w:color="auto" w:fill="auto"/>
            <w:tcMar>
              <w:top w:w="113" w:type="dxa"/>
              <w:bottom w:w="57" w:type="dxa"/>
            </w:tcMar>
          </w:tcPr>
          <w:p w:rsidR="00103107" w:rsidRPr="0016774F" w:rsidRDefault="00103107" w:rsidP="00103107">
            <w:pPr>
              <w:rPr>
                <w:rFonts w:cs="Arial"/>
                <w:sz w:val="16"/>
                <w:szCs w:val="16"/>
              </w:rPr>
            </w:pPr>
          </w:p>
        </w:tc>
        <w:tc>
          <w:tcPr>
            <w:tcW w:w="1856" w:type="pct"/>
            <w:shd w:val="clear" w:color="auto" w:fill="auto"/>
            <w:tcMar>
              <w:top w:w="113" w:type="dxa"/>
              <w:bottom w:w="57" w:type="dxa"/>
            </w:tcMar>
          </w:tcPr>
          <w:p w:rsidR="00103107" w:rsidRPr="003A588C" w:rsidRDefault="00103107" w:rsidP="00103107">
            <w:pPr>
              <w:keepNext/>
              <w:keepLines/>
              <w:rPr>
                <w:rFonts w:cs="Arial"/>
                <w:sz w:val="16"/>
                <w:szCs w:val="16"/>
                <w:lang w:val="ru-RU"/>
              </w:rPr>
            </w:pPr>
            <w:r w:rsidRPr="003A588C">
              <w:rPr>
                <w:rFonts w:cs="Arial"/>
                <w:sz w:val="16"/>
                <w:szCs w:val="16"/>
                <w:lang w:val="ru-RU"/>
              </w:rPr>
              <w:t>Число тематических исследований по МСП, просмотренных в базе IpAdvantage и/или других профильных базах данных</w:t>
            </w:r>
          </w:p>
          <w:p w:rsidR="00103107" w:rsidRPr="003A588C" w:rsidRDefault="00103107" w:rsidP="00103107">
            <w:pPr>
              <w:keepNext/>
              <w:keepLines/>
              <w:rPr>
                <w:rFonts w:cs="Arial"/>
                <w:sz w:val="16"/>
                <w:szCs w:val="16"/>
                <w:lang w:val="ru-RU" w:bidi="th-TH"/>
              </w:rPr>
            </w:pPr>
          </w:p>
        </w:tc>
        <w:tc>
          <w:tcPr>
            <w:tcW w:w="1142" w:type="pct"/>
            <w:shd w:val="clear" w:color="auto" w:fill="FFFFFF"/>
            <w:tcMar>
              <w:top w:w="113" w:type="dxa"/>
              <w:bottom w:w="57"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30 </w:t>
            </w:r>
          </w:p>
        </w:tc>
        <w:tc>
          <w:tcPr>
            <w:tcW w:w="813" w:type="pct"/>
            <w:shd w:val="clear" w:color="auto" w:fill="FFFFFF"/>
          </w:tcPr>
          <w:p w:rsidR="00103107" w:rsidRPr="00CC3F44" w:rsidRDefault="00103107" w:rsidP="00103107">
            <w:pPr>
              <w:jc w:val="center"/>
            </w:pPr>
            <w:r w:rsidRPr="00CC3F44">
              <w:rPr>
                <w:rFonts w:cs="Arial"/>
                <w:color w:val="A6A6A6" w:themeColor="background1" w:themeShade="A6"/>
                <w:sz w:val="22"/>
                <w:szCs w:val="22"/>
              </w:rPr>
              <w:sym w:font="Wingdings" w:char="F06C"/>
            </w:r>
          </w:p>
        </w:tc>
      </w:tr>
    </w:tbl>
    <w:p w:rsidR="00495A3D" w:rsidRPr="00495A3D" w:rsidRDefault="00495A3D" w:rsidP="00495A3D">
      <w:pPr>
        <w:pStyle w:val="Heading2"/>
        <w:tabs>
          <w:tab w:val="clear" w:pos="567"/>
          <w:tab w:val="left" w:pos="1985"/>
          <w:tab w:val="left" w:pos="2268"/>
        </w:tabs>
        <w:jc w:val="both"/>
        <w:rPr>
          <w:szCs w:val="20"/>
          <w:lang w:val="ru-RU"/>
        </w:rPr>
      </w:pPr>
      <w:bookmarkStart w:id="77" w:name="_Toc422210490"/>
      <w:bookmarkStart w:id="78" w:name="_Toc455388114"/>
      <w:r w:rsidRPr="00495A3D">
        <w:rPr>
          <w:lang w:val="ru-RU"/>
        </w:rPr>
        <w:t>ПРОГРАММА</w:t>
      </w:r>
      <w:r>
        <w:t> </w:t>
      </w:r>
      <w:r w:rsidRPr="00495A3D">
        <w:rPr>
          <w:lang w:val="ru-RU"/>
        </w:rPr>
        <w:t>8</w:t>
      </w:r>
      <w:r w:rsidRPr="00495A3D">
        <w:rPr>
          <w:lang w:val="ru-RU"/>
        </w:rPr>
        <w:tab/>
      </w:r>
      <w:r>
        <w:rPr>
          <w:lang w:val="ru-RU"/>
        </w:rPr>
        <w:tab/>
      </w:r>
      <w:r w:rsidRPr="00495A3D">
        <w:rPr>
          <w:lang w:val="ru-RU"/>
        </w:rPr>
        <w:t>КООРДИНАЦИЯ ДЕЯТЕЛЬНОСТИ В РАМКАХ ПДР</w:t>
      </w:r>
      <w:bookmarkEnd w:id="77"/>
      <w:bookmarkEnd w:id="78"/>
    </w:p>
    <w:p w:rsidR="00495A3D" w:rsidRPr="00495A3D" w:rsidRDefault="00495A3D" w:rsidP="00495A3D">
      <w:pPr>
        <w:tabs>
          <w:tab w:val="left" w:pos="1985"/>
        </w:tabs>
        <w:jc w:val="both"/>
        <w:rPr>
          <w:rFonts w:cs="Arial"/>
          <w:szCs w:val="20"/>
          <w:lang w:val="ru-RU"/>
        </w:rPr>
      </w:pPr>
    </w:p>
    <w:p w:rsidR="00495A3D" w:rsidRPr="00495A3D" w:rsidRDefault="00495A3D" w:rsidP="00495A3D">
      <w:pPr>
        <w:tabs>
          <w:tab w:val="left" w:pos="1985"/>
        </w:tabs>
        <w:jc w:val="both"/>
        <w:rPr>
          <w:rFonts w:cs="Arial"/>
          <w:b/>
          <w:szCs w:val="20"/>
          <w:lang w:val="ru-RU"/>
        </w:rPr>
      </w:pPr>
      <w:r w:rsidRPr="00495A3D">
        <w:rPr>
          <w:b/>
          <w:lang w:val="ru-RU"/>
        </w:rPr>
        <w:t xml:space="preserve">Руководитель программы: </w:t>
      </w:r>
      <w:r w:rsidRPr="00495A3D">
        <w:rPr>
          <w:lang w:val="ru-RU"/>
        </w:rPr>
        <w:tab/>
      </w:r>
      <w:r w:rsidRPr="00495A3D">
        <w:rPr>
          <w:b/>
          <w:lang w:val="ru-RU"/>
        </w:rPr>
        <w:t>г-н М. Матус</w:t>
      </w:r>
    </w:p>
    <w:p w:rsidR="00495A3D" w:rsidRPr="00495A3D" w:rsidRDefault="00495A3D" w:rsidP="00495A3D">
      <w:pPr>
        <w:jc w:val="both"/>
        <w:rPr>
          <w:rFonts w:cs="Arial"/>
          <w:szCs w:val="20"/>
          <w:lang w:val="ru-RU"/>
        </w:rPr>
      </w:pPr>
    </w:p>
    <w:p w:rsidR="00495A3D" w:rsidRPr="00495A3D" w:rsidRDefault="00495A3D" w:rsidP="00495A3D">
      <w:pPr>
        <w:jc w:val="both"/>
        <w:rPr>
          <w:rFonts w:cs="Arial"/>
          <w:szCs w:val="20"/>
          <w:lang w:val="ru-RU"/>
        </w:rPr>
      </w:pPr>
    </w:p>
    <w:p w:rsidR="00495A3D" w:rsidRPr="00495A3D" w:rsidRDefault="00495A3D" w:rsidP="00495A3D">
      <w:pPr>
        <w:jc w:val="both"/>
        <w:rPr>
          <w:rFonts w:cs="Arial"/>
          <w:bCs/>
          <w:szCs w:val="20"/>
          <w:lang w:val="ru-RU"/>
        </w:rPr>
      </w:pPr>
      <w:r w:rsidRPr="00495A3D">
        <w:rPr>
          <w:lang w:val="ru-RU"/>
        </w:rPr>
        <w:t>ОБЗОР ДОСТИЖЕНИЙ ЗА ДВУХЛЕТНИЙ ПЕРИОД 2014–2015 ГГ.</w:t>
      </w:r>
    </w:p>
    <w:p w:rsidR="00495A3D" w:rsidRPr="00495A3D" w:rsidRDefault="00495A3D" w:rsidP="00495A3D">
      <w:pPr>
        <w:autoSpaceDE w:val="0"/>
        <w:autoSpaceDN w:val="0"/>
        <w:adjustRightInd w:val="0"/>
        <w:jc w:val="both"/>
        <w:rPr>
          <w:rFonts w:cs="Arial"/>
          <w:szCs w:val="20"/>
          <w:lang w:val="ru-RU"/>
        </w:rPr>
      </w:pPr>
    </w:p>
    <w:p w:rsidR="00495A3D" w:rsidRPr="00495A3D" w:rsidRDefault="00495A3D" w:rsidP="00495A3D">
      <w:pPr>
        <w:pStyle w:val="ListParagraph"/>
        <w:numPr>
          <w:ilvl w:val="0"/>
          <w:numId w:val="62"/>
        </w:numPr>
        <w:tabs>
          <w:tab w:val="left" w:pos="567"/>
        </w:tabs>
        <w:ind w:left="0" w:firstLine="0"/>
        <w:jc w:val="both"/>
        <w:rPr>
          <w:lang w:val="ru-RU"/>
        </w:rPr>
      </w:pPr>
      <w:r w:rsidRPr="00495A3D">
        <w:rPr>
          <w:lang w:val="ru-RU"/>
        </w:rPr>
        <w:t>В 2014–2015</w:t>
      </w:r>
      <w:r>
        <w:t> </w:t>
      </w:r>
      <w:r w:rsidRPr="00495A3D">
        <w:rPr>
          <w:lang w:val="ru-RU"/>
        </w:rPr>
        <w:t>гг. по линии этой программы продолжалась координация деятельности ВОИС в рамках Повестки дня в области развития (ПДР) посредством оказания содействия Комитету по развитию и интеллектуальной собственности (КРИС) в проведении тринадцатой и четырнадцатой сессий в 2014</w:t>
      </w:r>
      <w:r>
        <w:t> </w:t>
      </w:r>
      <w:r w:rsidRPr="00495A3D">
        <w:rPr>
          <w:lang w:val="ru-RU"/>
        </w:rPr>
        <w:t>г. и пятнадцатой и шестнадцатой сессий в 2015</w:t>
      </w:r>
      <w:r>
        <w:t> </w:t>
      </w:r>
      <w:r w:rsidRPr="00495A3D">
        <w:rPr>
          <w:lang w:val="ru-RU"/>
        </w:rPr>
        <w:t xml:space="preserve">г., осуществление рекомендаций ПДР в рамках соответствующих проектов, интеграция принципов ПДР в работу Организации, а также осуществление ряда мероприятий, призванных помочь государствам-членам получать отдачу от реализации ПДР. </w:t>
      </w:r>
    </w:p>
    <w:p w:rsidR="00495A3D" w:rsidRPr="00495A3D" w:rsidRDefault="00495A3D" w:rsidP="00495A3D">
      <w:pPr>
        <w:jc w:val="both"/>
        <w:rPr>
          <w:rFonts w:cs="Arial"/>
          <w:szCs w:val="20"/>
          <w:lang w:val="ru-RU"/>
        </w:rPr>
      </w:pPr>
    </w:p>
    <w:p w:rsidR="00495A3D" w:rsidRPr="00495A3D" w:rsidRDefault="00495A3D" w:rsidP="00495A3D">
      <w:pPr>
        <w:pStyle w:val="ListParagraph"/>
        <w:numPr>
          <w:ilvl w:val="0"/>
          <w:numId w:val="62"/>
        </w:numPr>
        <w:tabs>
          <w:tab w:val="left" w:pos="567"/>
        </w:tabs>
        <w:ind w:left="0" w:firstLine="0"/>
        <w:jc w:val="both"/>
        <w:rPr>
          <w:lang w:val="ru-RU"/>
        </w:rPr>
      </w:pPr>
      <w:r w:rsidRPr="00495A3D">
        <w:rPr>
          <w:lang w:val="ru-RU"/>
        </w:rPr>
        <w:t>В 2014–2015 гг. КРИС рассмотрел: (</w:t>
      </w:r>
      <w:r>
        <w:t>i</w:t>
      </w:r>
      <w:r w:rsidRPr="00495A3D">
        <w:rPr>
          <w:lang w:val="ru-RU"/>
        </w:rPr>
        <w:t>)</w:t>
      </w:r>
      <w:r>
        <w:t> </w:t>
      </w:r>
      <w:r w:rsidRPr="00495A3D">
        <w:rPr>
          <w:lang w:val="ru-RU"/>
        </w:rPr>
        <w:t>два годовых отчета Генерального директора о ходе осуществления Повестки дня в области развития; (</w:t>
      </w:r>
      <w:r>
        <w:t>ii</w:t>
      </w:r>
      <w:r w:rsidRPr="00495A3D">
        <w:rPr>
          <w:lang w:val="ru-RU"/>
        </w:rPr>
        <w:t>)</w:t>
      </w:r>
      <w:r>
        <w:t> </w:t>
      </w:r>
      <w:r w:rsidRPr="00495A3D">
        <w:rPr>
          <w:lang w:val="ru-RU"/>
        </w:rPr>
        <w:t>два отчета о ходе выполнения рекомендаций, подлежащих немедленной реализации, и рекомендаций по проектам ПДР; (</w:t>
      </w:r>
      <w:r>
        <w:t>iii</w:t>
      </w:r>
      <w:r w:rsidRPr="00495A3D">
        <w:rPr>
          <w:lang w:val="ru-RU"/>
        </w:rPr>
        <w:t>)</w:t>
      </w:r>
      <w:r>
        <w:t> </w:t>
      </w:r>
      <w:r w:rsidRPr="00495A3D">
        <w:rPr>
          <w:lang w:val="ru-RU"/>
        </w:rPr>
        <w:t>одиннадцать сторонних отчетов об оценке проектов и один самостоятельно подготовленный отчет об оценке проекта; и (</w:t>
      </w:r>
      <w:r>
        <w:t>iv</w:t>
      </w:r>
      <w:r w:rsidRPr="00495A3D">
        <w:rPr>
          <w:lang w:val="ru-RU"/>
        </w:rPr>
        <w:t>)</w:t>
      </w:r>
      <w:r>
        <w:t> </w:t>
      </w:r>
      <w:r w:rsidRPr="00495A3D">
        <w:rPr>
          <w:lang w:val="ru-RU"/>
        </w:rPr>
        <w:t>документ о решении Генеральной Ассамблеи ВОИС по вопросам, касающимся КРИС.  Кроме того, Комитет утвердил: (</w:t>
      </w:r>
      <w:r>
        <w:t>i</w:t>
      </w:r>
      <w:r w:rsidRPr="00495A3D">
        <w:rPr>
          <w:lang w:val="ru-RU"/>
        </w:rPr>
        <w:t>)</w:t>
      </w:r>
      <w:r>
        <w:t> </w:t>
      </w:r>
      <w:r w:rsidRPr="00495A3D">
        <w:rPr>
          <w:lang w:val="ru-RU"/>
        </w:rPr>
        <w:t>предложения о переходе ко второму этапу двух завершенных и прошедших оценку проектов; (</w:t>
      </w:r>
      <w:r>
        <w:t>ii</w:t>
      </w:r>
      <w:r w:rsidRPr="00495A3D">
        <w:rPr>
          <w:lang w:val="ru-RU"/>
        </w:rPr>
        <w:t>)</w:t>
      </w:r>
      <w:r>
        <w:t> </w:t>
      </w:r>
      <w:r w:rsidRPr="00495A3D">
        <w:rPr>
          <w:lang w:val="ru-RU"/>
        </w:rPr>
        <w:t>три новых предложения по проектам, включая предложенный Египтом проект «ИС и туризм»; и (</w:t>
      </w:r>
      <w:r>
        <w:t>iii</w:t>
      </w:r>
      <w:r w:rsidRPr="00495A3D">
        <w:rPr>
          <w:lang w:val="ru-RU"/>
        </w:rPr>
        <w:t>)</w:t>
      </w:r>
      <w:r>
        <w:t> </w:t>
      </w:r>
      <w:r w:rsidRPr="00495A3D">
        <w:rPr>
          <w:lang w:val="ru-RU"/>
        </w:rPr>
        <w:t>новые виды деятельности, связанные с использованием авторского права в целях содействия доступу к информационному и творческому контенту.  Помимо этого Комитет обсудил: (</w:t>
      </w:r>
      <w:r>
        <w:t>i</w:t>
      </w:r>
      <w:r w:rsidRPr="00495A3D">
        <w:rPr>
          <w:lang w:val="ru-RU"/>
        </w:rPr>
        <w:t>)</w:t>
      </w:r>
      <w:r>
        <w:t> </w:t>
      </w:r>
      <w:r w:rsidRPr="00495A3D">
        <w:rPr>
          <w:lang w:val="ru-RU"/>
        </w:rPr>
        <w:t>переданный ему на рассмотрение Генеральной Ассамблеей документ с описанием вклада различных органов ВОИС в выполнение соответствующих рекомендаций Повестки дня в области развития; (</w:t>
      </w:r>
      <w:r>
        <w:t>ii</w:t>
      </w:r>
      <w:r w:rsidRPr="00495A3D">
        <w:rPr>
          <w:lang w:val="ru-RU"/>
        </w:rPr>
        <w:t>)</w:t>
      </w:r>
      <w:r>
        <w:t> </w:t>
      </w:r>
      <w:r w:rsidRPr="00495A3D">
        <w:rPr>
          <w:lang w:val="ru-RU"/>
        </w:rPr>
        <w:t>пересмотренный отчет об оценке вклада в достижение Целей развития тысячелетия (ЦРТ) в других организациях и специализированных учреждениях системы Организации Объединенных Наций и о вкладе ВОИС в достижение ЦРТ; (</w:t>
      </w:r>
      <w:r>
        <w:t>iii</w:t>
      </w:r>
      <w:r w:rsidRPr="00495A3D">
        <w:rPr>
          <w:lang w:val="ru-RU"/>
        </w:rPr>
        <w:t>)</w:t>
      </w:r>
      <w:r>
        <w:t> </w:t>
      </w:r>
      <w:r w:rsidRPr="00495A3D">
        <w:rPr>
          <w:lang w:val="ru-RU"/>
        </w:rPr>
        <w:t>документ «ВОИС и Повестка дня в области развития на период после 2015</w:t>
      </w:r>
      <w:r>
        <w:t> </w:t>
      </w:r>
      <w:r w:rsidRPr="00495A3D">
        <w:rPr>
          <w:lang w:val="ru-RU"/>
        </w:rPr>
        <w:t>г.» и (</w:t>
      </w:r>
      <w:r>
        <w:t>iv</w:t>
      </w:r>
      <w:r w:rsidRPr="00495A3D">
        <w:rPr>
          <w:lang w:val="ru-RU"/>
        </w:rPr>
        <w:t>)</w:t>
      </w:r>
      <w:r>
        <w:t> </w:t>
      </w:r>
      <w:r w:rsidRPr="00495A3D">
        <w:rPr>
          <w:lang w:val="ru-RU"/>
        </w:rPr>
        <w:t>Отчет о форуме экспертов ВОИС по вопросам международной передачи технологии. Кроме того, Комитет обсудил пятый документ о связанных с патентами гибких возможностях в многосторонней правовой структуре и их законодательной реализации на национальном и региональном уровне, а также отчет об обновлении базы данных о гибких возможностях.  В рассматриваемый двухлетний период продолжилось обсуждение внешнего обзора деятельности ВОИС по оказанию технической помощи в области сотрудничества в целях развития и был предоставлен обновленный ответ руководства на отчет о внешнем обзоре.  Комитет одобрил круг ведения для проведения независимого обзора выполнения рекомендаций Повестки дня в области развития и принял решение о созыве международной конференции по интеллектуальной собственности и развитию.  Что касается исследований, то Комитет также обсудил: (</w:t>
      </w:r>
      <w:r>
        <w:t>i</w:t>
      </w:r>
      <w:r w:rsidRPr="00495A3D">
        <w:rPr>
          <w:lang w:val="ru-RU"/>
        </w:rPr>
        <w:t>)</w:t>
      </w:r>
      <w:r>
        <w:t> </w:t>
      </w:r>
      <w:r w:rsidRPr="00495A3D">
        <w:rPr>
          <w:lang w:val="ru-RU"/>
        </w:rPr>
        <w:t>восемь исследований, проведенных в рамках проекта по ИС и социально-экономическому развитию; (</w:t>
      </w:r>
      <w:r>
        <w:t>ii</w:t>
      </w:r>
      <w:r w:rsidRPr="00495A3D">
        <w:rPr>
          <w:lang w:val="ru-RU"/>
        </w:rPr>
        <w:t>)</w:t>
      </w:r>
      <w:r>
        <w:t> </w:t>
      </w:r>
      <w:r w:rsidRPr="00495A3D">
        <w:rPr>
          <w:lang w:val="ru-RU"/>
        </w:rPr>
        <w:t>шесть исследований в рамках проекта «Интеллектуальная собственность и передача технологии: общие проблемы – построение решений»; (</w:t>
      </w:r>
      <w:r>
        <w:t>iii</w:t>
      </w:r>
      <w:r w:rsidRPr="00495A3D">
        <w:rPr>
          <w:lang w:val="ru-RU"/>
        </w:rPr>
        <w:t>)</w:t>
      </w:r>
      <w:r>
        <w:t> </w:t>
      </w:r>
      <w:r w:rsidRPr="00495A3D">
        <w:rPr>
          <w:lang w:val="ru-RU"/>
        </w:rPr>
        <w:t>два исследования в рамках проекта «Открытые совместные проекты и модели, основанные на использовании ИС»; (</w:t>
      </w:r>
      <w:r>
        <w:t>iv</w:t>
      </w:r>
      <w:r w:rsidRPr="00495A3D">
        <w:rPr>
          <w:lang w:val="ru-RU"/>
        </w:rPr>
        <w:t>)</w:t>
      </w:r>
      <w:r>
        <w:t> </w:t>
      </w:r>
      <w:r w:rsidRPr="00495A3D">
        <w:rPr>
          <w:lang w:val="ru-RU"/>
        </w:rPr>
        <w:t>четыре исследования в рамках проекта «Интеллектуальная собственность и неофициальный сектор экономики»; (</w:t>
      </w:r>
      <w:r>
        <w:t>v</w:t>
      </w:r>
      <w:r w:rsidRPr="00495A3D">
        <w:rPr>
          <w:lang w:val="ru-RU"/>
        </w:rPr>
        <w:t>)</w:t>
      </w:r>
      <w:r>
        <w:t> </w:t>
      </w:r>
      <w:r w:rsidRPr="00495A3D">
        <w:rPr>
          <w:lang w:val="ru-RU"/>
        </w:rPr>
        <w:t>одно исследование, проведенное в рамках проекта «Укрепление и развитие аудиовизуального сектора в Буркина-Фасо и некоторых других африканских странах» и (</w:t>
      </w:r>
      <w:r>
        <w:t>vi</w:t>
      </w:r>
      <w:r w:rsidRPr="00495A3D">
        <w:rPr>
          <w:lang w:val="ru-RU"/>
        </w:rPr>
        <w:t>)</w:t>
      </w:r>
      <w:r>
        <w:t> </w:t>
      </w:r>
      <w:r w:rsidRPr="00495A3D">
        <w:rPr>
          <w:lang w:val="ru-RU"/>
        </w:rPr>
        <w:t>три исследования, проведенные в рамках проекта «Структура поддержки инноваций и передачи технологии для национальных учреждений».  В своей работе КРИС продолжал использовать возможности все более широкого участия МПО и НПО.  По состоянию на конец 2015</w:t>
      </w:r>
      <w:r>
        <w:t> </w:t>
      </w:r>
      <w:r w:rsidRPr="00495A3D">
        <w:rPr>
          <w:lang w:val="ru-RU"/>
        </w:rPr>
        <w:t>г. в деятельности Комитета принимали участие пятьдесят девять наблюдателей.</w:t>
      </w:r>
    </w:p>
    <w:p w:rsidR="00495A3D" w:rsidRPr="00495A3D" w:rsidRDefault="00495A3D" w:rsidP="00495A3D">
      <w:pPr>
        <w:jc w:val="both"/>
        <w:rPr>
          <w:rFonts w:cs="Arial"/>
          <w:szCs w:val="20"/>
          <w:lang w:val="ru-RU"/>
        </w:rPr>
      </w:pPr>
    </w:p>
    <w:p w:rsidR="00495A3D" w:rsidRPr="00495A3D" w:rsidRDefault="00495A3D" w:rsidP="00495A3D">
      <w:pPr>
        <w:pStyle w:val="ListParagraph"/>
        <w:numPr>
          <w:ilvl w:val="0"/>
          <w:numId w:val="62"/>
        </w:numPr>
        <w:tabs>
          <w:tab w:val="left" w:pos="567"/>
        </w:tabs>
        <w:ind w:left="0" w:firstLine="0"/>
        <w:jc w:val="both"/>
        <w:rPr>
          <w:lang w:val="ru-RU"/>
        </w:rPr>
      </w:pPr>
      <w:r w:rsidRPr="00495A3D">
        <w:rPr>
          <w:lang w:val="ru-RU"/>
        </w:rPr>
        <w:t>Помимо оказания содействия КРИС, в 2014–2015</w:t>
      </w:r>
      <w:r>
        <w:t> </w:t>
      </w:r>
      <w:r w:rsidRPr="00495A3D">
        <w:rPr>
          <w:lang w:val="ru-RU"/>
        </w:rPr>
        <w:t>гг. в рамках программы была инициирована работа по созыву международной конференции по ИС и развитию, которая должна состояться в 2016</w:t>
      </w:r>
      <w:r>
        <w:t> </w:t>
      </w:r>
      <w:r w:rsidRPr="00495A3D">
        <w:rPr>
          <w:lang w:val="ru-RU"/>
        </w:rPr>
        <w:t>г., осуществлялась координация работы по проведению независимого обзора хода выполнения рекомендаций ПДР, а также была оказана поддержка государствам-членам в проведении мероприятий ПДР.   По линии программы также прилагались дальнейшие усилия с целью эффективного выполнения 19</w:t>
      </w:r>
      <w:r>
        <w:t> </w:t>
      </w:r>
      <w:r w:rsidRPr="00495A3D">
        <w:rPr>
          <w:lang w:val="ru-RU"/>
        </w:rPr>
        <w:t>рекомендаций, подлежащих незамедлительному выполнению, координации усилий по контролю, оценке и представлению отчетов о реализации проектов, утвержденных КРИС, и выполнялись обязанности по координации осуществления всех 45</w:t>
      </w:r>
      <w:r>
        <w:t> </w:t>
      </w:r>
      <w:r w:rsidRPr="00495A3D">
        <w:rPr>
          <w:lang w:val="ru-RU"/>
        </w:rPr>
        <w:t xml:space="preserve">рекомендаций ПДР ВОИС.  </w:t>
      </w:r>
    </w:p>
    <w:p w:rsidR="00495A3D" w:rsidRPr="00495A3D" w:rsidRDefault="00495A3D" w:rsidP="00495A3D">
      <w:pPr>
        <w:jc w:val="both"/>
        <w:rPr>
          <w:rFonts w:cs="Arial"/>
          <w:szCs w:val="20"/>
          <w:lang w:val="ru-RU"/>
        </w:rPr>
      </w:pPr>
    </w:p>
    <w:p w:rsidR="00495A3D" w:rsidRPr="00495A3D" w:rsidRDefault="00495A3D" w:rsidP="00495A3D">
      <w:pPr>
        <w:rPr>
          <w:rFonts w:cs="Arial"/>
          <w:szCs w:val="20"/>
          <w:lang w:val="ru-RU"/>
        </w:rPr>
      </w:pPr>
    </w:p>
    <w:p w:rsidR="00495A3D" w:rsidRPr="006D1EA0" w:rsidRDefault="00495A3D" w:rsidP="00495A3D">
      <w:pPr>
        <w:autoSpaceDE w:val="0"/>
        <w:autoSpaceDN w:val="0"/>
        <w:adjustRightInd w:val="0"/>
        <w:jc w:val="both"/>
        <w:rPr>
          <w:rFonts w:cs="Arial"/>
          <w:szCs w:val="20"/>
        </w:rPr>
      </w:pPr>
      <w:r>
        <w:t>ДАННЫЕ О РЕЗУЛЬТАТИВНОСТИ</w:t>
      </w:r>
    </w:p>
    <w:p w:rsidR="00495A3D" w:rsidRPr="006D1EA0" w:rsidRDefault="00495A3D" w:rsidP="00495A3D">
      <w:pPr>
        <w:jc w:val="both"/>
        <w:rPr>
          <w:rFonts w:cs="Arial"/>
          <w:bCs/>
          <w:szCs w:val="20"/>
        </w:rPr>
      </w:pPr>
    </w:p>
    <w:tbl>
      <w:tblPr>
        <w:tblW w:w="4924"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85"/>
        <w:gridCol w:w="2074"/>
        <w:gridCol w:w="1518"/>
        <w:gridCol w:w="2671"/>
        <w:gridCol w:w="978"/>
      </w:tblGrid>
      <w:tr w:rsidR="00495A3D" w:rsidRPr="005C6ABD" w:rsidTr="00495A3D">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495A3D" w:rsidRPr="00495A3D" w:rsidRDefault="00495A3D" w:rsidP="00495A3D">
            <w:pPr>
              <w:keepNext/>
              <w:keepLines/>
              <w:tabs>
                <w:tab w:val="left" w:pos="1452"/>
              </w:tabs>
              <w:spacing w:before="120" w:after="120"/>
              <w:ind w:left="1452" w:hanging="1452"/>
              <w:jc w:val="both"/>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B50C8C">
              <w:rPr>
                <w:sz w:val="16"/>
                <w:szCs w:val="16"/>
              </w:rPr>
              <w:t>III</w:t>
            </w:r>
            <w:r w:rsidRPr="00495A3D">
              <w:rPr>
                <w:sz w:val="16"/>
                <w:szCs w:val="16"/>
                <w:lang w:val="ru-RU"/>
              </w:rPr>
              <w:t>.3. Всесторонний учет рекомендаций ПДР в работе ВОИС</w:t>
            </w:r>
          </w:p>
        </w:tc>
      </w:tr>
      <w:tr w:rsidR="00495A3D" w:rsidRPr="00B50C8C" w:rsidTr="00495A3D">
        <w:trPr>
          <w:cantSplit/>
        </w:trPr>
        <w:tc>
          <w:tcPr>
            <w:tcW w:w="1159" w:type="pct"/>
            <w:tcBorders>
              <w:top w:val="single" w:sz="4" w:space="0" w:color="auto"/>
              <w:left w:val="single" w:sz="4" w:space="0" w:color="auto"/>
              <w:bottom w:val="nil"/>
            </w:tcBorders>
            <w:shd w:val="clear" w:color="auto" w:fill="auto"/>
            <w:vAlign w:val="center"/>
          </w:tcPr>
          <w:p w:rsidR="00495A3D" w:rsidRPr="00B50C8C" w:rsidRDefault="00495A3D" w:rsidP="00495A3D">
            <w:pPr>
              <w:jc w:val="both"/>
              <w:rPr>
                <w:rFonts w:cs="Arial"/>
                <w:sz w:val="16"/>
                <w:szCs w:val="16"/>
              </w:rPr>
            </w:pPr>
            <w:r w:rsidRPr="00B50C8C">
              <w:rPr>
                <w:b/>
                <w:sz w:val="16"/>
                <w:szCs w:val="16"/>
              </w:rPr>
              <w:t>Показатели результативности</w:t>
            </w:r>
          </w:p>
        </w:tc>
        <w:tc>
          <w:tcPr>
            <w:tcW w:w="1100" w:type="pct"/>
            <w:tcBorders>
              <w:top w:val="single" w:sz="4" w:space="0" w:color="auto"/>
              <w:bottom w:val="nil"/>
            </w:tcBorders>
            <w:shd w:val="clear" w:color="auto" w:fill="auto"/>
            <w:vAlign w:val="center"/>
          </w:tcPr>
          <w:p w:rsidR="00495A3D" w:rsidRPr="00B50C8C" w:rsidRDefault="00495A3D" w:rsidP="00495A3D">
            <w:pPr>
              <w:jc w:val="both"/>
              <w:rPr>
                <w:rFonts w:cs="Arial"/>
                <w:b/>
                <w:bCs/>
                <w:sz w:val="16"/>
                <w:szCs w:val="16"/>
              </w:rPr>
            </w:pPr>
            <w:r w:rsidRPr="00B50C8C">
              <w:rPr>
                <w:b/>
                <w:sz w:val="16"/>
                <w:szCs w:val="16"/>
              </w:rPr>
              <w:t>Базовые показатели</w:t>
            </w:r>
          </w:p>
        </w:tc>
        <w:tc>
          <w:tcPr>
            <w:tcW w:w="805" w:type="pct"/>
            <w:tcBorders>
              <w:top w:val="single" w:sz="4" w:space="0" w:color="auto"/>
              <w:bottom w:val="nil"/>
            </w:tcBorders>
            <w:shd w:val="clear" w:color="auto" w:fill="auto"/>
            <w:tcMar>
              <w:top w:w="110" w:type="dxa"/>
            </w:tcMar>
            <w:vAlign w:val="center"/>
          </w:tcPr>
          <w:p w:rsidR="00495A3D" w:rsidRPr="00B50C8C" w:rsidRDefault="00495A3D" w:rsidP="00495A3D">
            <w:pPr>
              <w:jc w:val="both"/>
              <w:rPr>
                <w:rFonts w:cs="Arial"/>
                <w:b/>
                <w:sz w:val="16"/>
                <w:szCs w:val="16"/>
              </w:rPr>
            </w:pPr>
            <w:r w:rsidRPr="00B50C8C">
              <w:rPr>
                <w:b/>
                <w:sz w:val="16"/>
                <w:szCs w:val="16"/>
              </w:rPr>
              <w:t>Цели</w:t>
            </w:r>
          </w:p>
        </w:tc>
        <w:tc>
          <w:tcPr>
            <w:tcW w:w="1417" w:type="pct"/>
            <w:tcBorders>
              <w:top w:val="single" w:sz="4" w:space="0" w:color="auto"/>
              <w:bottom w:val="nil"/>
            </w:tcBorders>
            <w:shd w:val="clear" w:color="auto" w:fill="FFFFFF"/>
            <w:tcMar>
              <w:top w:w="110" w:type="dxa"/>
            </w:tcMar>
            <w:vAlign w:val="center"/>
          </w:tcPr>
          <w:p w:rsidR="00495A3D" w:rsidRPr="00B50C8C" w:rsidRDefault="00495A3D" w:rsidP="00495A3D">
            <w:pPr>
              <w:jc w:val="both"/>
              <w:rPr>
                <w:rFonts w:cs="Arial"/>
                <w:sz w:val="16"/>
                <w:szCs w:val="16"/>
              </w:rPr>
            </w:pPr>
            <w:r w:rsidRPr="00B50C8C">
              <w:rPr>
                <w:b/>
                <w:sz w:val="16"/>
                <w:szCs w:val="16"/>
              </w:rPr>
              <w:t>Данные о результативности</w:t>
            </w:r>
          </w:p>
        </w:tc>
        <w:tc>
          <w:tcPr>
            <w:tcW w:w="519" w:type="pct"/>
            <w:tcBorders>
              <w:top w:val="single" w:sz="4" w:space="0" w:color="auto"/>
              <w:bottom w:val="nil"/>
              <w:right w:val="single" w:sz="4" w:space="0" w:color="auto"/>
            </w:tcBorders>
            <w:shd w:val="clear" w:color="auto" w:fill="auto"/>
            <w:tcMar>
              <w:top w:w="110" w:type="dxa"/>
            </w:tcMar>
            <w:vAlign w:val="center"/>
          </w:tcPr>
          <w:p w:rsidR="00495A3D" w:rsidRPr="00B50C8C" w:rsidRDefault="00495A3D" w:rsidP="00495A3D">
            <w:pPr>
              <w:keepNext/>
              <w:keepLines/>
              <w:jc w:val="center"/>
              <w:rPr>
                <w:rFonts w:cs="Arial"/>
                <w:b/>
                <w:bCs/>
                <w:sz w:val="16"/>
                <w:szCs w:val="16"/>
              </w:rPr>
            </w:pPr>
            <w:r w:rsidRPr="00B50C8C">
              <w:rPr>
                <w:b/>
                <w:sz w:val="16"/>
                <w:szCs w:val="16"/>
              </w:rPr>
              <w:t>CC</w:t>
            </w:r>
          </w:p>
        </w:tc>
      </w:tr>
      <w:tr w:rsidR="00495A3D" w:rsidRPr="00B50C8C" w:rsidTr="00495A3D">
        <w:trPr>
          <w:cantSplit/>
        </w:trPr>
        <w:tc>
          <w:tcPr>
            <w:tcW w:w="1159" w:type="pct"/>
            <w:tcBorders>
              <w:top w:val="nil"/>
              <w:left w:val="single" w:sz="4" w:space="0" w:color="auto"/>
              <w:bottom w:val="nil"/>
            </w:tcBorders>
            <w:shd w:val="clear" w:color="auto" w:fill="auto"/>
          </w:tcPr>
          <w:p w:rsidR="00495A3D" w:rsidRPr="00495A3D" w:rsidRDefault="00495A3D" w:rsidP="00495A3D">
            <w:pPr>
              <w:rPr>
                <w:rFonts w:cs="Arial"/>
                <w:sz w:val="16"/>
                <w:szCs w:val="16"/>
                <w:lang w:val="ru-RU"/>
              </w:rPr>
            </w:pPr>
            <w:r w:rsidRPr="00495A3D">
              <w:rPr>
                <w:sz w:val="16"/>
                <w:szCs w:val="16"/>
                <w:lang w:val="ru-RU"/>
              </w:rPr>
              <w:t>Число рекомендаций ПДР, реализуемых КРИС посредством проектов, мероприятий и исследований</w:t>
            </w:r>
          </w:p>
        </w:tc>
        <w:tc>
          <w:tcPr>
            <w:tcW w:w="1100" w:type="pct"/>
            <w:tcBorders>
              <w:top w:val="nil"/>
              <w:bottom w:val="nil"/>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B50C8C">
              <w:rPr>
                <w:i/>
                <w:color w:val="002060"/>
                <w:sz w:val="16"/>
                <w:szCs w:val="16"/>
              </w:rPr>
              <w:t> </w:t>
            </w:r>
            <w:r w:rsidRPr="00495A3D">
              <w:rPr>
                <w:i/>
                <w:color w:val="002060"/>
                <w:sz w:val="16"/>
                <w:szCs w:val="16"/>
                <w:lang w:val="ru-RU"/>
              </w:rPr>
              <w:t xml:space="preserve">г.:  </w:t>
            </w:r>
            <w:r w:rsidRPr="00495A3D">
              <w:rPr>
                <w:color w:val="002060"/>
                <w:sz w:val="16"/>
                <w:szCs w:val="16"/>
                <w:lang w:val="ru-RU"/>
              </w:rPr>
              <w:t>45</w:t>
            </w:r>
            <w:r>
              <w:rPr>
                <w:color w:val="002060"/>
                <w:sz w:val="16"/>
                <w:szCs w:val="16"/>
              </w:rPr>
              <w:t> </w:t>
            </w:r>
            <w:r w:rsidRPr="00495A3D">
              <w:rPr>
                <w:color w:val="002060"/>
                <w:sz w:val="16"/>
                <w:szCs w:val="16"/>
                <w:lang w:val="ru-RU"/>
              </w:rPr>
              <w:t>рекомендаций ПДР</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42</w:t>
            </w:r>
            <w:r>
              <w:rPr>
                <w:sz w:val="16"/>
                <w:szCs w:val="16"/>
              </w:rPr>
              <w:t> </w:t>
            </w:r>
            <w:r w:rsidRPr="00495A3D">
              <w:rPr>
                <w:sz w:val="16"/>
                <w:szCs w:val="16"/>
                <w:lang w:val="ru-RU"/>
              </w:rPr>
              <w:t>рекомендации реализованы Комитетов в декабре 2011</w:t>
            </w:r>
            <w:r w:rsidRPr="00B50C8C">
              <w:rPr>
                <w:sz w:val="16"/>
                <w:szCs w:val="16"/>
              </w:rPr>
              <w:t> </w:t>
            </w:r>
            <w:r w:rsidRPr="00495A3D">
              <w:rPr>
                <w:sz w:val="16"/>
                <w:szCs w:val="16"/>
                <w:lang w:val="ru-RU"/>
              </w:rPr>
              <w:t>г.</w:t>
            </w:r>
          </w:p>
          <w:p w:rsidR="00495A3D" w:rsidRPr="00495A3D" w:rsidRDefault="00495A3D" w:rsidP="00495A3D">
            <w:pPr>
              <w:rPr>
                <w:rFonts w:cs="Arial"/>
                <w:sz w:val="16"/>
                <w:szCs w:val="16"/>
                <w:lang w:val="ru-RU"/>
              </w:rPr>
            </w:pPr>
          </w:p>
        </w:tc>
        <w:tc>
          <w:tcPr>
            <w:tcW w:w="805" w:type="pct"/>
            <w:tcBorders>
              <w:top w:val="nil"/>
              <w:bottom w:val="nil"/>
            </w:tcBorders>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Рассмотрение в КРИС 45</w:t>
            </w:r>
            <w:r>
              <w:rPr>
                <w:sz w:val="16"/>
                <w:szCs w:val="16"/>
              </w:rPr>
              <w:t> </w:t>
            </w:r>
            <w:r w:rsidRPr="00495A3D">
              <w:rPr>
                <w:sz w:val="16"/>
                <w:szCs w:val="16"/>
                <w:lang w:val="ru-RU"/>
              </w:rPr>
              <w:t>рекомендаций ПДР</w:t>
            </w:r>
          </w:p>
        </w:tc>
        <w:tc>
          <w:tcPr>
            <w:tcW w:w="1417" w:type="pct"/>
            <w:tcBorders>
              <w:top w:val="nil"/>
              <w:bottom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Осуществление 45</w:t>
            </w:r>
            <w:r>
              <w:rPr>
                <w:sz w:val="16"/>
                <w:szCs w:val="16"/>
              </w:rPr>
              <w:t> </w:t>
            </w:r>
            <w:r w:rsidRPr="00495A3D">
              <w:rPr>
                <w:sz w:val="16"/>
                <w:szCs w:val="16"/>
                <w:lang w:val="ru-RU"/>
              </w:rPr>
              <w:t>рекомендаций ПДР согласно Отчету о ходе реализации проектов (</w:t>
            </w:r>
            <w:r w:rsidRPr="00B50C8C">
              <w:rPr>
                <w:sz w:val="16"/>
                <w:szCs w:val="16"/>
              </w:rPr>
              <w:t>CDIP</w:t>
            </w:r>
            <w:r w:rsidRPr="00495A3D">
              <w:rPr>
                <w:sz w:val="16"/>
                <w:szCs w:val="16"/>
                <w:lang w:val="ru-RU"/>
              </w:rPr>
              <w:t>/14/2) и (</w:t>
            </w:r>
            <w:r w:rsidRPr="00B50C8C">
              <w:rPr>
                <w:sz w:val="16"/>
                <w:szCs w:val="16"/>
              </w:rPr>
              <w:t>CDIP</w:t>
            </w:r>
            <w:r w:rsidRPr="00495A3D">
              <w:rPr>
                <w:sz w:val="16"/>
                <w:szCs w:val="16"/>
                <w:lang w:val="ru-RU"/>
              </w:rPr>
              <w:t>/16/2).</w:t>
            </w:r>
          </w:p>
        </w:tc>
        <w:tc>
          <w:tcPr>
            <w:tcW w:w="519" w:type="pct"/>
            <w:tcBorders>
              <w:top w:val="nil"/>
              <w:bottom w:val="nil"/>
              <w:right w:val="single" w:sz="4" w:space="0" w:color="auto"/>
            </w:tcBorders>
            <w:shd w:val="clear" w:color="auto" w:fill="auto"/>
            <w:tcMar>
              <w:top w:w="110" w:type="dxa"/>
            </w:tcMar>
          </w:tcPr>
          <w:p w:rsidR="00495A3D" w:rsidRPr="00B50C8C" w:rsidRDefault="00495A3D" w:rsidP="00495A3D">
            <w:pPr>
              <w:keepNext/>
              <w:keepLines/>
              <w:jc w:val="center"/>
              <w:rPr>
                <w:rFonts w:cs="Arial"/>
                <w:b/>
                <w:bCs/>
                <w:color w:val="00B050"/>
                <w:sz w:val="16"/>
                <w:szCs w:val="16"/>
              </w:rPr>
            </w:pPr>
            <w:r w:rsidRPr="00B50C8C">
              <w:rPr>
                <w:b/>
                <w:color w:val="00B050"/>
                <w:sz w:val="16"/>
                <w:szCs w:val="16"/>
              </w:rPr>
              <w:t xml:space="preserve">Выполнено </w:t>
            </w:r>
          </w:p>
        </w:tc>
      </w:tr>
      <w:tr w:rsidR="00495A3D" w:rsidRPr="00B50C8C" w:rsidTr="00495A3D">
        <w:trPr>
          <w:cantSplit/>
        </w:trPr>
        <w:tc>
          <w:tcPr>
            <w:tcW w:w="1159" w:type="pct"/>
            <w:tcBorders>
              <w:top w:val="nil"/>
              <w:left w:val="single" w:sz="4" w:space="0" w:color="auto"/>
              <w:bottom w:val="nil"/>
            </w:tcBorders>
            <w:shd w:val="clear" w:color="auto" w:fill="auto"/>
          </w:tcPr>
          <w:p w:rsidR="00495A3D" w:rsidRPr="00495A3D" w:rsidRDefault="00495A3D" w:rsidP="00495A3D">
            <w:pPr>
              <w:rPr>
                <w:rFonts w:cs="Arial"/>
                <w:sz w:val="16"/>
                <w:szCs w:val="16"/>
                <w:lang w:val="ru-RU"/>
              </w:rPr>
            </w:pPr>
            <w:r w:rsidRPr="00495A3D">
              <w:rPr>
                <w:sz w:val="16"/>
                <w:szCs w:val="16"/>
                <w:lang w:val="ru-RU"/>
              </w:rPr>
              <w:t>Уровень удовлетворенности государств-членов результатами проектов, мероприятий и исследований</w:t>
            </w:r>
          </w:p>
        </w:tc>
        <w:tc>
          <w:tcPr>
            <w:tcW w:w="1100" w:type="pct"/>
            <w:tcBorders>
              <w:top w:val="nil"/>
              <w:bottom w:val="nil"/>
            </w:tcBorders>
            <w:shd w:val="clear" w:color="auto" w:fill="auto"/>
          </w:tcPr>
          <w:p w:rsidR="00495A3D" w:rsidRPr="00B50C8C" w:rsidRDefault="00495A3D" w:rsidP="00495A3D">
            <w:pPr>
              <w:rPr>
                <w:rFonts w:cs="Arial"/>
                <w:sz w:val="16"/>
                <w:szCs w:val="16"/>
              </w:rPr>
            </w:pPr>
            <w:r w:rsidRPr="00B50C8C">
              <w:rPr>
                <w:sz w:val="16"/>
                <w:szCs w:val="16"/>
              </w:rPr>
              <w:t>80%</w:t>
            </w:r>
          </w:p>
          <w:p w:rsidR="00495A3D" w:rsidRPr="00B50C8C" w:rsidRDefault="00495A3D" w:rsidP="00495A3D">
            <w:pPr>
              <w:rPr>
                <w:rFonts w:cs="Arial"/>
                <w:i/>
                <w:color w:val="002060"/>
                <w:sz w:val="16"/>
                <w:szCs w:val="16"/>
              </w:rPr>
            </w:pPr>
          </w:p>
        </w:tc>
        <w:tc>
          <w:tcPr>
            <w:tcW w:w="805" w:type="pct"/>
            <w:tcBorders>
              <w:top w:val="nil"/>
              <w:bottom w:val="nil"/>
            </w:tcBorders>
            <w:shd w:val="clear" w:color="auto" w:fill="auto"/>
            <w:tcMar>
              <w:top w:w="110" w:type="dxa"/>
            </w:tcMar>
          </w:tcPr>
          <w:p w:rsidR="00495A3D" w:rsidRPr="00B50C8C" w:rsidRDefault="00495A3D" w:rsidP="00495A3D">
            <w:pPr>
              <w:autoSpaceDE w:val="0"/>
              <w:autoSpaceDN w:val="0"/>
              <w:adjustRightInd w:val="0"/>
              <w:rPr>
                <w:rFonts w:cs="Arial"/>
                <w:sz w:val="16"/>
                <w:szCs w:val="16"/>
              </w:rPr>
            </w:pPr>
            <w:r w:rsidRPr="00B50C8C">
              <w:rPr>
                <w:sz w:val="16"/>
                <w:szCs w:val="16"/>
              </w:rPr>
              <w:t>80%</w:t>
            </w:r>
          </w:p>
        </w:tc>
        <w:tc>
          <w:tcPr>
            <w:tcW w:w="1417" w:type="pct"/>
            <w:tcBorders>
              <w:top w:val="nil"/>
              <w:bottom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На основе обсуждений КРИС (</w:t>
            </w:r>
            <w:r w:rsidRPr="00B50C8C">
              <w:rPr>
                <w:sz w:val="16"/>
                <w:szCs w:val="16"/>
              </w:rPr>
              <w:t>i</w:t>
            </w:r>
            <w:r w:rsidRPr="00495A3D">
              <w:rPr>
                <w:sz w:val="16"/>
                <w:szCs w:val="16"/>
                <w:lang w:val="ru-RU"/>
              </w:rPr>
              <w:t>)</w:t>
            </w:r>
            <w:r>
              <w:rPr>
                <w:sz w:val="16"/>
                <w:szCs w:val="16"/>
              </w:rPr>
              <w:t> </w:t>
            </w:r>
            <w:r w:rsidRPr="00495A3D">
              <w:rPr>
                <w:sz w:val="16"/>
                <w:szCs w:val="16"/>
                <w:lang w:val="ru-RU"/>
              </w:rPr>
              <w:t>двух годовых отчетов Генерального директора о ходе осуществления Повестки дня в области развития; (</w:t>
            </w:r>
            <w:r>
              <w:rPr>
                <w:sz w:val="16"/>
                <w:szCs w:val="16"/>
              </w:rPr>
              <w:t>ii</w:t>
            </w:r>
            <w:r w:rsidRPr="00495A3D">
              <w:rPr>
                <w:sz w:val="16"/>
                <w:szCs w:val="16"/>
                <w:lang w:val="ru-RU"/>
              </w:rPr>
              <w:t>)</w:t>
            </w:r>
            <w:r>
              <w:rPr>
                <w:sz w:val="16"/>
                <w:szCs w:val="16"/>
              </w:rPr>
              <w:t> </w:t>
            </w:r>
            <w:r w:rsidRPr="00495A3D">
              <w:rPr>
                <w:sz w:val="16"/>
                <w:szCs w:val="16"/>
                <w:lang w:val="ru-RU"/>
              </w:rPr>
              <w:t>двух отчетов о ходе выполнения рекомендаций, подлежащих немедленной реализации, и рекомендаций по проектам ПДР и (</w:t>
            </w:r>
            <w:r>
              <w:rPr>
                <w:sz w:val="16"/>
                <w:szCs w:val="16"/>
              </w:rPr>
              <w:t>iii</w:t>
            </w:r>
            <w:r w:rsidRPr="00495A3D">
              <w:rPr>
                <w:sz w:val="16"/>
                <w:szCs w:val="16"/>
                <w:lang w:val="ru-RU"/>
              </w:rPr>
              <w:t>)</w:t>
            </w:r>
            <w:r>
              <w:rPr>
                <w:sz w:val="16"/>
                <w:szCs w:val="16"/>
              </w:rPr>
              <w:t> </w:t>
            </w:r>
            <w:r w:rsidRPr="00495A3D">
              <w:rPr>
                <w:sz w:val="16"/>
                <w:szCs w:val="16"/>
                <w:lang w:val="ru-RU"/>
              </w:rPr>
              <w:t>одиннадцати сторонних отчетов об оценке проектов и одного самостоятельно подготовленного отчета об оценке проекта государства-члены выразили удовлетворенность результатами проектов, мероприятий и исследований в 83% случаев.</w:t>
            </w:r>
          </w:p>
        </w:tc>
        <w:tc>
          <w:tcPr>
            <w:tcW w:w="519" w:type="pct"/>
            <w:tcBorders>
              <w:top w:val="nil"/>
              <w:bottom w:val="nil"/>
              <w:right w:val="single" w:sz="4" w:space="0" w:color="auto"/>
            </w:tcBorders>
            <w:shd w:val="clear" w:color="auto" w:fill="auto"/>
            <w:tcMar>
              <w:top w:w="110" w:type="dxa"/>
            </w:tcMar>
          </w:tcPr>
          <w:p w:rsidR="00495A3D" w:rsidRPr="00B50C8C" w:rsidRDefault="00495A3D" w:rsidP="00495A3D">
            <w:pPr>
              <w:keepNext/>
              <w:keepLines/>
              <w:jc w:val="center"/>
              <w:rPr>
                <w:rFonts w:cs="Arial"/>
                <w:b/>
                <w:bCs/>
                <w:color w:val="0070C0"/>
                <w:sz w:val="16"/>
                <w:szCs w:val="16"/>
              </w:rPr>
            </w:pPr>
            <w:r w:rsidRPr="00B50C8C">
              <w:rPr>
                <w:b/>
                <w:color w:val="00B050"/>
                <w:sz w:val="16"/>
                <w:szCs w:val="16"/>
              </w:rPr>
              <w:t>Выполнено</w:t>
            </w:r>
            <w:r w:rsidRPr="00B50C8C">
              <w:rPr>
                <w:b/>
                <w:color w:val="00B050"/>
                <w:sz w:val="16"/>
                <w:szCs w:val="16"/>
                <w:highlight w:val="yellow"/>
              </w:rPr>
              <w:t xml:space="preserve"> </w:t>
            </w:r>
          </w:p>
        </w:tc>
      </w:tr>
      <w:tr w:rsidR="00495A3D" w:rsidRPr="00B50C8C" w:rsidTr="00495A3D">
        <w:trPr>
          <w:cantSplit/>
        </w:trPr>
        <w:tc>
          <w:tcPr>
            <w:tcW w:w="1159" w:type="pct"/>
            <w:tcBorders>
              <w:top w:val="nil"/>
              <w:left w:val="single" w:sz="4" w:space="0" w:color="auto"/>
              <w:bottom w:val="single" w:sz="4" w:space="0" w:color="auto"/>
            </w:tcBorders>
            <w:shd w:val="clear" w:color="auto" w:fill="auto"/>
          </w:tcPr>
          <w:p w:rsidR="00495A3D" w:rsidRPr="00495A3D" w:rsidRDefault="00495A3D" w:rsidP="00495A3D">
            <w:pPr>
              <w:rPr>
                <w:rFonts w:cs="Arial"/>
                <w:sz w:val="16"/>
                <w:szCs w:val="16"/>
                <w:lang w:val="ru-RU"/>
              </w:rPr>
            </w:pPr>
            <w:r w:rsidRPr="00495A3D">
              <w:rPr>
                <w:sz w:val="16"/>
                <w:szCs w:val="16"/>
                <w:lang w:val="ru-RU"/>
              </w:rPr>
              <w:t>Введение в действие координационного механизма, одобренного государствами-членами</w:t>
            </w:r>
          </w:p>
        </w:tc>
        <w:tc>
          <w:tcPr>
            <w:tcW w:w="1100" w:type="pct"/>
            <w:tcBorders>
              <w:top w:val="nil"/>
              <w:bottom w:val="single" w:sz="4" w:space="0" w:color="auto"/>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B50C8C">
              <w:rPr>
                <w:i/>
                <w:color w:val="002060"/>
                <w:sz w:val="16"/>
                <w:szCs w:val="16"/>
              </w:rPr>
              <w:t> </w:t>
            </w:r>
            <w:r w:rsidRPr="00495A3D">
              <w:rPr>
                <w:i/>
                <w:color w:val="002060"/>
                <w:sz w:val="16"/>
                <w:szCs w:val="16"/>
                <w:lang w:val="ru-RU"/>
              </w:rPr>
              <w:t xml:space="preserve">г.: </w:t>
            </w:r>
            <w:r w:rsidRPr="00495A3D">
              <w:rPr>
                <w:sz w:val="16"/>
                <w:szCs w:val="16"/>
                <w:lang w:val="ru-RU"/>
              </w:rPr>
              <w:t xml:space="preserve"> </w:t>
            </w:r>
            <w:r w:rsidRPr="00495A3D">
              <w:rPr>
                <w:color w:val="002060"/>
                <w:sz w:val="16"/>
                <w:szCs w:val="16"/>
                <w:lang w:val="ru-RU"/>
              </w:rPr>
              <w:t>Комитетом рассмотрены два годовых отчета Ассамблее с описанием вклада органов ВОИС в выполнение соответствующих рекомендаций Повестки дня в области развития (</w:t>
            </w:r>
            <w:r w:rsidRPr="00B50C8C">
              <w:rPr>
                <w:color w:val="002060"/>
                <w:sz w:val="16"/>
                <w:szCs w:val="16"/>
              </w:rPr>
              <w:t>WO</w:t>
            </w:r>
            <w:r w:rsidRPr="00495A3D">
              <w:rPr>
                <w:color w:val="002060"/>
                <w:sz w:val="16"/>
                <w:szCs w:val="16"/>
                <w:lang w:val="ru-RU"/>
              </w:rPr>
              <w:t>/</w:t>
            </w:r>
            <w:r w:rsidRPr="00B50C8C">
              <w:rPr>
                <w:color w:val="002060"/>
                <w:sz w:val="16"/>
                <w:szCs w:val="16"/>
              </w:rPr>
              <w:t>GA</w:t>
            </w:r>
            <w:r w:rsidRPr="00495A3D">
              <w:rPr>
                <w:color w:val="002060"/>
                <w:sz w:val="16"/>
                <w:szCs w:val="16"/>
                <w:lang w:val="ru-RU"/>
              </w:rPr>
              <w:t xml:space="preserve">/41/12 и </w:t>
            </w:r>
            <w:r w:rsidRPr="00B50C8C">
              <w:rPr>
                <w:color w:val="002060"/>
                <w:sz w:val="16"/>
                <w:szCs w:val="16"/>
              </w:rPr>
              <w:t>WO</w:t>
            </w:r>
            <w:r w:rsidRPr="00495A3D">
              <w:rPr>
                <w:color w:val="002060"/>
                <w:sz w:val="16"/>
                <w:szCs w:val="16"/>
                <w:lang w:val="ru-RU"/>
              </w:rPr>
              <w:t>/</w:t>
            </w:r>
            <w:r w:rsidRPr="00B50C8C">
              <w:rPr>
                <w:color w:val="002060"/>
                <w:sz w:val="16"/>
                <w:szCs w:val="16"/>
              </w:rPr>
              <w:t>GA</w:t>
            </w:r>
            <w:r w:rsidRPr="00495A3D">
              <w:rPr>
                <w:color w:val="002060"/>
                <w:sz w:val="16"/>
                <w:szCs w:val="16"/>
                <w:lang w:val="ru-RU"/>
              </w:rPr>
              <w:t>/43/10)</w:t>
            </w:r>
            <w:r w:rsidRPr="00B50C8C">
              <w:rPr>
                <w:color w:val="002060"/>
                <w:sz w:val="16"/>
                <w:szCs w:val="16"/>
                <w:vertAlign w:val="superscript"/>
              </w:rPr>
              <w:footnoteReference w:id="52"/>
            </w:r>
            <w:r w:rsidRPr="00495A3D">
              <w:rPr>
                <w:color w:val="002060"/>
                <w:sz w:val="16"/>
                <w:szCs w:val="16"/>
                <w:lang w:val="ru-RU"/>
              </w:rPr>
              <w:t>.</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механизмы координации и методы контроля, оценки и отчетности, одобренные Комитетом в апреле 2010 г.</w:t>
            </w:r>
          </w:p>
        </w:tc>
        <w:tc>
          <w:tcPr>
            <w:tcW w:w="805" w:type="pct"/>
            <w:tcBorders>
              <w:top w:val="nil"/>
              <w:bottom w:val="single" w:sz="4" w:space="0" w:color="auto"/>
            </w:tcBorders>
            <w:shd w:val="clear" w:color="auto" w:fill="auto"/>
            <w:tcMar>
              <w:top w:w="110" w:type="dxa"/>
            </w:tcMar>
          </w:tcPr>
          <w:p w:rsidR="00495A3D" w:rsidRPr="00495A3D" w:rsidRDefault="00495A3D" w:rsidP="00495A3D">
            <w:pPr>
              <w:autoSpaceDE w:val="0"/>
              <w:autoSpaceDN w:val="0"/>
              <w:adjustRightInd w:val="0"/>
              <w:rPr>
                <w:rFonts w:cs="Arial"/>
                <w:sz w:val="16"/>
                <w:szCs w:val="16"/>
                <w:lang w:val="ru-RU"/>
              </w:rPr>
            </w:pPr>
            <w:r w:rsidRPr="00495A3D">
              <w:rPr>
                <w:sz w:val="16"/>
                <w:szCs w:val="16"/>
                <w:lang w:val="ru-RU"/>
              </w:rPr>
              <w:t>Введение в действие механизмов координации в соответствии с решением государств-членов</w:t>
            </w:r>
          </w:p>
        </w:tc>
        <w:tc>
          <w:tcPr>
            <w:tcW w:w="1417" w:type="pct"/>
            <w:tcBorders>
              <w:top w:val="nil"/>
              <w:bottom w:val="single" w:sz="4" w:space="0" w:color="auto"/>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Введение в действие механизмов координации в соответствии с решением государств-членов; подробная информация содержится в отчетах Генерального директора о ходе реализации ПДР (</w:t>
            </w:r>
            <w:r w:rsidRPr="00B50C8C">
              <w:rPr>
                <w:sz w:val="16"/>
                <w:szCs w:val="16"/>
              </w:rPr>
              <w:t>CDIP</w:t>
            </w:r>
            <w:r w:rsidRPr="00495A3D">
              <w:rPr>
                <w:sz w:val="16"/>
                <w:szCs w:val="16"/>
                <w:lang w:val="ru-RU"/>
              </w:rPr>
              <w:t>/15/2) и (</w:t>
            </w:r>
            <w:r w:rsidRPr="00B50C8C">
              <w:rPr>
                <w:sz w:val="16"/>
                <w:szCs w:val="16"/>
              </w:rPr>
              <w:t>CDIP</w:t>
            </w:r>
            <w:r w:rsidRPr="00495A3D">
              <w:rPr>
                <w:sz w:val="16"/>
                <w:szCs w:val="16"/>
                <w:lang w:val="ru-RU"/>
              </w:rPr>
              <w:t>/17/2).</w:t>
            </w:r>
          </w:p>
        </w:tc>
        <w:tc>
          <w:tcPr>
            <w:tcW w:w="519" w:type="pct"/>
            <w:tcBorders>
              <w:top w:val="nil"/>
              <w:bottom w:val="single" w:sz="4" w:space="0" w:color="auto"/>
              <w:right w:val="single" w:sz="4" w:space="0" w:color="auto"/>
            </w:tcBorders>
            <w:shd w:val="clear" w:color="auto" w:fill="auto"/>
            <w:tcMar>
              <w:top w:w="110" w:type="dxa"/>
            </w:tcMar>
          </w:tcPr>
          <w:p w:rsidR="00495A3D" w:rsidRPr="00B50C8C" w:rsidRDefault="00495A3D" w:rsidP="00495A3D">
            <w:pPr>
              <w:keepNext/>
              <w:keepLines/>
              <w:jc w:val="center"/>
              <w:rPr>
                <w:rFonts w:cs="Arial"/>
                <w:bCs/>
                <w:sz w:val="16"/>
                <w:szCs w:val="16"/>
              </w:rPr>
            </w:pPr>
            <w:r w:rsidRPr="00B50C8C">
              <w:rPr>
                <w:b/>
                <w:color w:val="00B050"/>
                <w:sz w:val="16"/>
                <w:szCs w:val="16"/>
              </w:rPr>
              <w:t>Выполнено</w:t>
            </w:r>
          </w:p>
        </w:tc>
      </w:tr>
      <w:tr w:rsidR="00495A3D" w:rsidRPr="00B50C8C" w:rsidTr="00495A3D">
        <w:trPr>
          <w:cantSplit/>
        </w:trPr>
        <w:tc>
          <w:tcPr>
            <w:tcW w:w="1159" w:type="pct"/>
            <w:tcBorders>
              <w:top w:val="single" w:sz="4" w:space="0" w:color="auto"/>
              <w:left w:val="single" w:sz="4" w:space="0" w:color="auto"/>
              <w:bottom w:val="nil"/>
            </w:tcBorders>
            <w:shd w:val="clear" w:color="auto" w:fill="auto"/>
          </w:tcPr>
          <w:p w:rsidR="00495A3D" w:rsidRPr="00495A3D" w:rsidRDefault="00495A3D" w:rsidP="00495A3D">
            <w:pPr>
              <w:rPr>
                <w:rFonts w:cs="Arial"/>
                <w:sz w:val="16"/>
                <w:szCs w:val="16"/>
                <w:lang w:val="ru-RU"/>
              </w:rPr>
            </w:pPr>
            <w:r w:rsidRPr="00495A3D">
              <w:rPr>
                <w:sz w:val="16"/>
                <w:szCs w:val="16"/>
                <w:lang w:val="ru-RU"/>
              </w:rPr>
              <w:t>Число программ, в рамках которых рекомендации ПДР интегрированы в текущую деятельность ВОИС</w:t>
            </w:r>
          </w:p>
        </w:tc>
        <w:tc>
          <w:tcPr>
            <w:tcW w:w="1100" w:type="pct"/>
            <w:tcBorders>
              <w:top w:val="single" w:sz="4" w:space="0" w:color="auto"/>
              <w:bottom w:val="nil"/>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B50C8C">
              <w:rPr>
                <w:i/>
                <w:color w:val="002060"/>
                <w:sz w:val="16"/>
                <w:szCs w:val="16"/>
              </w:rPr>
              <w:t> </w:t>
            </w:r>
            <w:r w:rsidRPr="00495A3D">
              <w:rPr>
                <w:i/>
                <w:color w:val="002060"/>
                <w:sz w:val="16"/>
                <w:szCs w:val="16"/>
                <w:lang w:val="ru-RU"/>
              </w:rPr>
              <w:t xml:space="preserve">г.:  </w:t>
            </w:r>
            <w:r w:rsidRPr="00495A3D">
              <w:rPr>
                <w:color w:val="002060"/>
                <w:sz w:val="16"/>
                <w:szCs w:val="16"/>
                <w:lang w:val="ru-RU"/>
              </w:rPr>
              <w:t>мероприятия, связанные с ПДР, предусмотрены в 23</w:t>
            </w:r>
            <w:r>
              <w:rPr>
                <w:color w:val="002060"/>
                <w:sz w:val="16"/>
                <w:szCs w:val="16"/>
              </w:rPr>
              <w:t> </w:t>
            </w:r>
            <w:r w:rsidRPr="00495A3D">
              <w:rPr>
                <w:color w:val="002060"/>
                <w:sz w:val="16"/>
                <w:szCs w:val="16"/>
                <w:lang w:val="ru-RU"/>
              </w:rPr>
              <w:t>программах (полностью или частично)</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будет определено позднее</w:t>
            </w:r>
          </w:p>
          <w:p w:rsidR="00495A3D" w:rsidRPr="00495A3D" w:rsidRDefault="00495A3D" w:rsidP="00495A3D">
            <w:pPr>
              <w:rPr>
                <w:rFonts w:cs="Arial"/>
                <w:sz w:val="16"/>
                <w:szCs w:val="16"/>
                <w:lang w:val="ru-RU"/>
              </w:rPr>
            </w:pPr>
          </w:p>
        </w:tc>
        <w:tc>
          <w:tcPr>
            <w:tcW w:w="805" w:type="pct"/>
            <w:tcBorders>
              <w:top w:val="single" w:sz="4" w:space="0" w:color="auto"/>
              <w:bottom w:val="nil"/>
            </w:tcBorders>
            <w:shd w:val="clear" w:color="auto" w:fill="auto"/>
            <w:tcMar>
              <w:top w:w="110" w:type="dxa"/>
            </w:tcMar>
          </w:tcPr>
          <w:p w:rsidR="00495A3D" w:rsidRPr="00B50C8C" w:rsidRDefault="00495A3D" w:rsidP="00495A3D">
            <w:pPr>
              <w:autoSpaceDE w:val="0"/>
              <w:autoSpaceDN w:val="0"/>
              <w:adjustRightInd w:val="0"/>
              <w:rPr>
                <w:rFonts w:cs="Arial"/>
                <w:sz w:val="16"/>
                <w:szCs w:val="16"/>
              </w:rPr>
            </w:pPr>
            <w:r w:rsidRPr="00B50C8C">
              <w:rPr>
                <w:sz w:val="16"/>
                <w:szCs w:val="16"/>
              </w:rPr>
              <w:t>20</w:t>
            </w:r>
          </w:p>
        </w:tc>
        <w:tc>
          <w:tcPr>
            <w:tcW w:w="1417" w:type="pct"/>
            <w:tcBorders>
              <w:top w:val="single" w:sz="4" w:space="0" w:color="auto"/>
              <w:bottom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Процесс интеграции мероприятий по линии ПДР отражен в 23</w:t>
            </w:r>
            <w:r>
              <w:rPr>
                <w:sz w:val="16"/>
                <w:szCs w:val="16"/>
              </w:rPr>
              <w:t> </w:t>
            </w:r>
            <w:r w:rsidRPr="00495A3D">
              <w:rPr>
                <w:sz w:val="16"/>
                <w:szCs w:val="16"/>
                <w:lang w:val="ru-RU"/>
              </w:rPr>
              <w:t>программах Программы и бюджета 2014–2015</w:t>
            </w:r>
            <w:r w:rsidRPr="00B50C8C">
              <w:rPr>
                <w:sz w:val="16"/>
                <w:szCs w:val="16"/>
              </w:rPr>
              <w:t> </w:t>
            </w:r>
            <w:r w:rsidRPr="00495A3D">
              <w:rPr>
                <w:sz w:val="16"/>
                <w:szCs w:val="16"/>
                <w:lang w:val="ru-RU"/>
              </w:rPr>
              <w:t>гг.</w:t>
            </w:r>
          </w:p>
        </w:tc>
        <w:tc>
          <w:tcPr>
            <w:tcW w:w="519" w:type="pct"/>
            <w:tcBorders>
              <w:top w:val="single" w:sz="4" w:space="0" w:color="auto"/>
              <w:bottom w:val="nil"/>
              <w:right w:val="single" w:sz="4" w:space="0" w:color="auto"/>
            </w:tcBorders>
            <w:shd w:val="clear" w:color="auto" w:fill="auto"/>
            <w:tcMar>
              <w:top w:w="110" w:type="dxa"/>
            </w:tcMar>
          </w:tcPr>
          <w:p w:rsidR="00495A3D" w:rsidRPr="00B50C8C" w:rsidRDefault="00495A3D" w:rsidP="00495A3D">
            <w:pPr>
              <w:keepNext/>
              <w:keepLines/>
              <w:jc w:val="center"/>
              <w:rPr>
                <w:rFonts w:cs="Arial"/>
                <w:bCs/>
                <w:sz w:val="16"/>
                <w:szCs w:val="16"/>
              </w:rPr>
            </w:pPr>
            <w:r w:rsidRPr="00B50C8C">
              <w:rPr>
                <w:b/>
                <w:color w:val="00B050"/>
                <w:sz w:val="16"/>
                <w:szCs w:val="16"/>
              </w:rPr>
              <w:t>Выполнено</w:t>
            </w:r>
          </w:p>
        </w:tc>
      </w:tr>
      <w:tr w:rsidR="00495A3D" w:rsidRPr="00B50C8C" w:rsidTr="00495A3D">
        <w:trPr>
          <w:cantSplit/>
        </w:trPr>
        <w:tc>
          <w:tcPr>
            <w:tcW w:w="1159" w:type="pct"/>
            <w:tcBorders>
              <w:top w:val="nil"/>
              <w:left w:val="single" w:sz="4" w:space="0" w:color="auto"/>
              <w:bottom w:val="nil"/>
            </w:tcBorders>
            <w:shd w:val="clear" w:color="auto" w:fill="auto"/>
          </w:tcPr>
          <w:p w:rsidR="00495A3D" w:rsidRPr="00495A3D" w:rsidRDefault="00495A3D" w:rsidP="00495A3D">
            <w:pPr>
              <w:rPr>
                <w:rFonts w:cs="Arial"/>
                <w:sz w:val="16"/>
                <w:szCs w:val="16"/>
                <w:lang w:val="ru-RU"/>
              </w:rPr>
            </w:pPr>
            <w:r w:rsidRPr="00495A3D">
              <w:rPr>
                <w:sz w:val="16"/>
                <w:szCs w:val="16"/>
                <w:lang w:val="ru-RU"/>
              </w:rPr>
              <w:t>Число проектов ПДР и способ их интеграции в текущую деятельность ВОИС (нормотворчество, техническая помощь и оказание услуг)</w:t>
            </w:r>
          </w:p>
        </w:tc>
        <w:tc>
          <w:tcPr>
            <w:tcW w:w="1100" w:type="pct"/>
            <w:tcBorders>
              <w:top w:val="nil"/>
              <w:bottom w:val="nil"/>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B50C8C">
              <w:rPr>
                <w:i/>
                <w:color w:val="002060"/>
                <w:sz w:val="16"/>
                <w:szCs w:val="16"/>
              </w:rPr>
              <w:t> </w:t>
            </w:r>
            <w:r w:rsidRPr="00495A3D">
              <w:rPr>
                <w:i/>
                <w:color w:val="002060"/>
                <w:sz w:val="16"/>
                <w:szCs w:val="16"/>
                <w:lang w:val="ru-RU"/>
              </w:rPr>
              <w:t xml:space="preserve">г.:  </w:t>
            </w:r>
            <w:r w:rsidRPr="00495A3D">
              <w:rPr>
                <w:color w:val="002060"/>
                <w:sz w:val="16"/>
                <w:szCs w:val="16"/>
                <w:lang w:val="ru-RU"/>
              </w:rPr>
              <w:t>в текущую деятельность ВОИС интегрировано шесть проектов ПДР</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будет определено позднее</w:t>
            </w:r>
          </w:p>
          <w:p w:rsidR="00495A3D" w:rsidRPr="00495A3D" w:rsidRDefault="00495A3D" w:rsidP="00495A3D">
            <w:pPr>
              <w:rPr>
                <w:rFonts w:cs="Arial"/>
                <w:i/>
                <w:color w:val="002060"/>
                <w:sz w:val="16"/>
                <w:szCs w:val="16"/>
                <w:lang w:val="ru-RU"/>
              </w:rPr>
            </w:pPr>
          </w:p>
        </w:tc>
        <w:tc>
          <w:tcPr>
            <w:tcW w:w="805" w:type="pct"/>
            <w:tcBorders>
              <w:top w:val="nil"/>
              <w:bottom w:val="nil"/>
            </w:tcBorders>
            <w:shd w:val="clear" w:color="auto" w:fill="auto"/>
            <w:tcMar>
              <w:top w:w="110" w:type="dxa"/>
            </w:tcMar>
          </w:tcPr>
          <w:p w:rsidR="00495A3D" w:rsidRPr="00B50C8C" w:rsidRDefault="00495A3D" w:rsidP="00495A3D">
            <w:pPr>
              <w:autoSpaceDE w:val="0"/>
              <w:autoSpaceDN w:val="0"/>
              <w:adjustRightInd w:val="0"/>
              <w:rPr>
                <w:rFonts w:cs="Arial"/>
                <w:sz w:val="16"/>
                <w:szCs w:val="16"/>
              </w:rPr>
            </w:pPr>
            <w:r w:rsidRPr="00B50C8C">
              <w:rPr>
                <w:sz w:val="16"/>
                <w:szCs w:val="16"/>
              </w:rPr>
              <w:t>12 (всего)</w:t>
            </w:r>
          </w:p>
        </w:tc>
        <w:tc>
          <w:tcPr>
            <w:tcW w:w="1417" w:type="pct"/>
            <w:tcBorders>
              <w:top w:val="nil"/>
              <w:bottom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В 2014–2015</w:t>
            </w:r>
            <w:r w:rsidRPr="00B50C8C">
              <w:rPr>
                <w:sz w:val="16"/>
                <w:szCs w:val="16"/>
              </w:rPr>
              <w:t> </w:t>
            </w:r>
            <w:r w:rsidRPr="00495A3D">
              <w:rPr>
                <w:sz w:val="16"/>
                <w:szCs w:val="16"/>
                <w:lang w:val="ru-RU"/>
              </w:rPr>
              <w:t>гг. в деятельность ВОИС было интегрировано еще четыре проекта ПДР (всего 10):</w:t>
            </w:r>
          </w:p>
          <w:p w:rsidR="00495A3D" w:rsidRPr="00495A3D" w:rsidRDefault="00495A3D" w:rsidP="00495A3D">
            <w:pPr>
              <w:pStyle w:val="ListParagraph"/>
              <w:numPr>
                <w:ilvl w:val="0"/>
                <w:numId w:val="60"/>
              </w:numPr>
              <w:rPr>
                <w:rFonts w:cs="Arial"/>
                <w:sz w:val="16"/>
                <w:szCs w:val="16"/>
                <w:lang w:val="ru-RU"/>
              </w:rPr>
            </w:pPr>
            <w:r w:rsidRPr="00495A3D">
              <w:rPr>
                <w:sz w:val="16"/>
                <w:szCs w:val="16"/>
                <w:lang w:val="ru-RU"/>
              </w:rPr>
              <w:t>создание национальных экспериментальных академий ИС по линии программы 11 (техническая помощь);</w:t>
            </w:r>
          </w:p>
          <w:p w:rsidR="00495A3D" w:rsidRPr="00495A3D" w:rsidRDefault="00495A3D" w:rsidP="00495A3D">
            <w:pPr>
              <w:pStyle w:val="ListParagraph"/>
              <w:numPr>
                <w:ilvl w:val="0"/>
                <w:numId w:val="60"/>
              </w:numPr>
              <w:rPr>
                <w:rFonts w:cs="Arial"/>
                <w:sz w:val="16"/>
                <w:szCs w:val="16"/>
                <w:lang w:val="ru-RU"/>
              </w:rPr>
            </w:pPr>
            <w:r w:rsidRPr="00495A3D">
              <w:rPr>
                <w:sz w:val="16"/>
                <w:szCs w:val="16"/>
                <w:lang w:val="ru-RU"/>
              </w:rPr>
              <w:t>обеспечение доступа к специализированным базам данных и их поддержка по линии программы 14 (техническая помощь);</w:t>
            </w:r>
          </w:p>
          <w:p w:rsidR="00495A3D" w:rsidRPr="00495A3D" w:rsidRDefault="00495A3D" w:rsidP="00495A3D">
            <w:pPr>
              <w:pStyle w:val="ListParagraph"/>
              <w:numPr>
                <w:ilvl w:val="0"/>
                <w:numId w:val="60"/>
              </w:numPr>
              <w:rPr>
                <w:rFonts w:cs="Arial"/>
                <w:sz w:val="16"/>
                <w:szCs w:val="16"/>
                <w:lang w:val="ru-RU"/>
              </w:rPr>
            </w:pPr>
            <w:r w:rsidRPr="00495A3D">
              <w:rPr>
                <w:sz w:val="16"/>
                <w:szCs w:val="16"/>
                <w:lang w:val="ru-RU"/>
              </w:rPr>
              <w:t>разработка инструментов доступа к патентной информации по линии программы 14 (доступ к знаниям);</w:t>
            </w:r>
          </w:p>
          <w:p w:rsidR="00495A3D" w:rsidRPr="00495A3D" w:rsidRDefault="00495A3D" w:rsidP="00495A3D">
            <w:pPr>
              <w:pStyle w:val="ListParagraph"/>
              <w:numPr>
                <w:ilvl w:val="0"/>
                <w:numId w:val="60"/>
              </w:numPr>
              <w:rPr>
                <w:rFonts w:cs="Arial"/>
                <w:sz w:val="16"/>
                <w:szCs w:val="16"/>
                <w:lang w:val="ru-RU"/>
              </w:rPr>
            </w:pPr>
            <w:r w:rsidRPr="00495A3D">
              <w:rPr>
                <w:sz w:val="16"/>
                <w:szCs w:val="16"/>
                <w:lang w:val="ru-RU"/>
              </w:rPr>
              <w:t>ИС и брендинг продуктов по линии программы 9 (техническая помощь и укрепление потенциала).</w:t>
            </w:r>
          </w:p>
        </w:tc>
        <w:tc>
          <w:tcPr>
            <w:tcW w:w="519" w:type="pct"/>
            <w:tcBorders>
              <w:top w:val="nil"/>
              <w:bottom w:val="nil"/>
              <w:right w:val="single" w:sz="4" w:space="0" w:color="auto"/>
            </w:tcBorders>
            <w:shd w:val="clear" w:color="auto" w:fill="auto"/>
            <w:tcMar>
              <w:top w:w="110" w:type="dxa"/>
            </w:tcMar>
          </w:tcPr>
          <w:p w:rsidR="00495A3D" w:rsidRPr="00B50C8C" w:rsidRDefault="00495A3D" w:rsidP="00495A3D">
            <w:pPr>
              <w:keepNext/>
              <w:keepLines/>
              <w:jc w:val="center"/>
              <w:rPr>
                <w:rFonts w:cs="Arial"/>
                <w:bCs/>
                <w:sz w:val="16"/>
                <w:szCs w:val="16"/>
              </w:rPr>
            </w:pPr>
            <w:r w:rsidRPr="00B50C8C">
              <w:rPr>
                <w:b/>
                <w:color w:val="00B050"/>
                <w:sz w:val="16"/>
                <w:szCs w:val="16"/>
              </w:rPr>
              <w:t>Выполнено</w:t>
            </w:r>
          </w:p>
        </w:tc>
      </w:tr>
      <w:tr w:rsidR="00495A3D" w:rsidRPr="00B50C8C" w:rsidTr="00495A3D">
        <w:trPr>
          <w:cantSplit/>
        </w:trPr>
        <w:tc>
          <w:tcPr>
            <w:tcW w:w="1159" w:type="pct"/>
            <w:tcBorders>
              <w:top w:val="nil"/>
              <w:left w:val="single" w:sz="4" w:space="0" w:color="auto"/>
              <w:bottom w:val="nil"/>
            </w:tcBorders>
            <w:shd w:val="clear" w:color="auto" w:fill="auto"/>
          </w:tcPr>
          <w:p w:rsidR="00495A3D" w:rsidRPr="00495A3D" w:rsidRDefault="00495A3D" w:rsidP="00495A3D">
            <w:pPr>
              <w:rPr>
                <w:rFonts w:cs="Arial"/>
                <w:sz w:val="16"/>
                <w:szCs w:val="16"/>
                <w:lang w:val="ru-RU"/>
              </w:rPr>
            </w:pPr>
            <w:r w:rsidRPr="00495A3D">
              <w:rPr>
                <w:sz w:val="16"/>
                <w:szCs w:val="16"/>
                <w:lang w:val="ru-RU"/>
              </w:rPr>
              <w:t>Внедрение эффективной системы планирования, контроля и оценки выполнения рекомендаций ПДР</w:t>
            </w:r>
          </w:p>
        </w:tc>
        <w:tc>
          <w:tcPr>
            <w:tcW w:w="1100" w:type="pct"/>
            <w:tcBorders>
              <w:top w:val="nil"/>
              <w:bottom w:val="nil"/>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B50C8C">
              <w:rPr>
                <w:i/>
                <w:color w:val="002060"/>
                <w:sz w:val="16"/>
                <w:szCs w:val="16"/>
              </w:rPr>
              <w:t> </w:t>
            </w:r>
            <w:r w:rsidRPr="00495A3D">
              <w:rPr>
                <w:i/>
                <w:color w:val="002060"/>
                <w:sz w:val="16"/>
                <w:szCs w:val="16"/>
                <w:lang w:val="ru-RU"/>
              </w:rPr>
              <w:t xml:space="preserve">г.:  </w:t>
            </w:r>
            <w:r w:rsidRPr="00495A3D">
              <w:rPr>
                <w:color w:val="002060"/>
                <w:sz w:val="16"/>
                <w:szCs w:val="16"/>
                <w:lang w:val="ru-RU"/>
              </w:rPr>
              <w:t>эффективная централизованная система планирования, контроля и оценки выполнения рекомендаций ПДР</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будет определено позднее</w:t>
            </w:r>
          </w:p>
          <w:p w:rsidR="00495A3D" w:rsidRPr="00495A3D" w:rsidRDefault="00495A3D" w:rsidP="00495A3D">
            <w:pPr>
              <w:rPr>
                <w:rFonts w:cs="Arial"/>
                <w:i/>
                <w:color w:val="002060"/>
                <w:sz w:val="16"/>
                <w:szCs w:val="16"/>
                <w:lang w:val="ru-RU"/>
              </w:rPr>
            </w:pPr>
          </w:p>
        </w:tc>
        <w:tc>
          <w:tcPr>
            <w:tcW w:w="805" w:type="pct"/>
            <w:tcBorders>
              <w:top w:val="nil"/>
              <w:bottom w:val="nil"/>
            </w:tcBorders>
            <w:shd w:val="clear" w:color="auto" w:fill="auto"/>
            <w:tcMar>
              <w:top w:w="110" w:type="dxa"/>
            </w:tcMar>
          </w:tcPr>
          <w:p w:rsidR="00495A3D" w:rsidRPr="00495A3D" w:rsidRDefault="00495A3D" w:rsidP="00495A3D">
            <w:pPr>
              <w:autoSpaceDE w:val="0"/>
              <w:autoSpaceDN w:val="0"/>
              <w:adjustRightInd w:val="0"/>
              <w:rPr>
                <w:rFonts w:cs="Arial"/>
                <w:sz w:val="16"/>
                <w:szCs w:val="16"/>
                <w:lang w:val="ru-RU"/>
              </w:rPr>
            </w:pPr>
            <w:r w:rsidRPr="00495A3D">
              <w:rPr>
                <w:sz w:val="16"/>
                <w:szCs w:val="16"/>
                <w:lang w:val="ru-RU"/>
              </w:rPr>
              <w:t>Внедрение эффективной системы планирования, контроля и оценки выполнения рекомендаций ПДР во все программы</w:t>
            </w:r>
          </w:p>
        </w:tc>
        <w:tc>
          <w:tcPr>
            <w:tcW w:w="1417" w:type="pct"/>
            <w:tcBorders>
              <w:top w:val="nil"/>
              <w:bottom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Эффективная система планирования, контроля и оценки выполнения рекомендаций ПДР внедрена во все соответствующие программы</w:t>
            </w:r>
          </w:p>
        </w:tc>
        <w:tc>
          <w:tcPr>
            <w:tcW w:w="519" w:type="pct"/>
            <w:tcBorders>
              <w:top w:val="nil"/>
              <w:bottom w:val="nil"/>
              <w:right w:val="single" w:sz="4" w:space="0" w:color="auto"/>
            </w:tcBorders>
            <w:shd w:val="clear" w:color="auto" w:fill="auto"/>
            <w:tcMar>
              <w:top w:w="110" w:type="dxa"/>
            </w:tcMar>
          </w:tcPr>
          <w:p w:rsidR="00495A3D" w:rsidRPr="00B50C8C" w:rsidRDefault="00495A3D" w:rsidP="00495A3D">
            <w:pPr>
              <w:keepNext/>
              <w:keepLines/>
              <w:jc w:val="center"/>
              <w:rPr>
                <w:rFonts w:cs="Arial"/>
                <w:bCs/>
                <w:sz w:val="16"/>
                <w:szCs w:val="16"/>
              </w:rPr>
            </w:pPr>
            <w:r w:rsidRPr="00B50C8C">
              <w:rPr>
                <w:b/>
                <w:color w:val="00B050"/>
                <w:sz w:val="16"/>
                <w:szCs w:val="16"/>
              </w:rPr>
              <w:t>Выполнено</w:t>
            </w:r>
          </w:p>
        </w:tc>
      </w:tr>
      <w:tr w:rsidR="00495A3D" w:rsidRPr="00B50C8C" w:rsidTr="00495A3D">
        <w:trPr>
          <w:cantSplit/>
        </w:trPr>
        <w:tc>
          <w:tcPr>
            <w:tcW w:w="1159" w:type="pct"/>
            <w:tcBorders>
              <w:top w:val="nil"/>
              <w:left w:val="single" w:sz="4" w:space="0" w:color="auto"/>
              <w:bottom w:val="single" w:sz="4" w:space="0" w:color="auto"/>
            </w:tcBorders>
            <w:shd w:val="clear" w:color="auto" w:fill="auto"/>
          </w:tcPr>
          <w:p w:rsidR="00495A3D" w:rsidRPr="00495A3D" w:rsidRDefault="00495A3D" w:rsidP="00495A3D">
            <w:pPr>
              <w:rPr>
                <w:rFonts w:cs="Arial"/>
                <w:sz w:val="16"/>
                <w:szCs w:val="16"/>
                <w:lang w:val="ru-RU"/>
              </w:rPr>
            </w:pPr>
            <w:r w:rsidRPr="00495A3D">
              <w:rPr>
                <w:sz w:val="16"/>
                <w:szCs w:val="16"/>
                <w:lang w:val="ru-RU"/>
              </w:rPr>
              <w:t>Доля (%) проектов ПДР, прошедших независимую оценку</w:t>
            </w:r>
          </w:p>
          <w:p w:rsidR="00495A3D" w:rsidRPr="00495A3D" w:rsidRDefault="00495A3D" w:rsidP="00495A3D">
            <w:pPr>
              <w:rPr>
                <w:rFonts w:cs="Arial"/>
                <w:sz w:val="16"/>
                <w:szCs w:val="16"/>
                <w:lang w:val="ru-RU"/>
              </w:rPr>
            </w:pPr>
          </w:p>
        </w:tc>
        <w:tc>
          <w:tcPr>
            <w:tcW w:w="1100" w:type="pct"/>
            <w:tcBorders>
              <w:top w:val="nil"/>
              <w:bottom w:val="single" w:sz="4" w:space="0" w:color="auto"/>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B50C8C">
              <w:rPr>
                <w:i/>
                <w:color w:val="002060"/>
                <w:sz w:val="16"/>
                <w:szCs w:val="16"/>
              </w:rPr>
              <w:t> </w:t>
            </w:r>
            <w:r w:rsidRPr="00495A3D">
              <w:rPr>
                <w:i/>
                <w:color w:val="002060"/>
                <w:sz w:val="16"/>
                <w:szCs w:val="16"/>
                <w:lang w:val="ru-RU"/>
              </w:rPr>
              <w:t xml:space="preserve">г.:  </w:t>
            </w:r>
            <w:r w:rsidRPr="00495A3D">
              <w:rPr>
                <w:color w:val="002060"/>
                <w:sz w:val="16"/>
                <w:szCs w:val="16"/>
                <w:lang w:val="ru-RU"/>
              </w:rPr>
              <w:t>100%; 14 отчетов об оценке рассмотрены КРИС (оценка проводилась в двухлетний период 2012–2013 гг.)</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100%</w:t>
            </w:r>
          </w:p>
          <w:p w:rsidR="00495A3D" w:rsidRPr="00495A3D" w:rsidRDefault="00495A3D" w:rsidP="00495A3D">
            <w:pPr>
              <w:rPr>
                <w:rFonts w:cs="Arial"/>
                <w:i/>
                <w:color w:val="002060"/>
                <w:sz w:val="16"/>
                <w:szCs w:val="16"/>
                <w:lang w:val="ru-RU"/>
              </w:rPr>
            </w:pPr>
          </w:p>
        </w:tc>
        <w:tc>
          <w:tcPr>
            <w:tcW w:w="805" w:type="pct"/>
            <w:tcBorders>
              <w:top w:val="nil"/>
              <w:bottom w:val="single" w:sz="4" w:space="0" w:color="auto"/>
            </w:tcBorders>
            <w:shd w:val="clear" w:color="auto" w:fill="auto"/>
            <w:tcMar>
              <w:top w:w="110" w:type="dxa"/>
            </w:tcMar>
          </w:tcPr>
          <w:p w:rsidR="00495A3D" w:rsidRPr="00B50C8C" w:rsidRDefault="00495A3D" w:rsidP="00495A3D">
            <w:pPr>
              <w:autoSpaceDE w:val="0"/>
              <w:autoSpaceDN w:val="0"/>
              <w:adjustRightInd w:val="0"/>
              <w:rPr>
                <w:rFonts w:cs="Arial"/>
                <w:sz w:val="16"/>
                <w:szCs w:val="16"/>
              </w:rPr>
            </w:pPr>
            <w:r w:rsidRPr="00B50C8C">
              <w:rPr>
                <w:sz w:val="16"/>
                <w:szCs w:val="16"/>
              </w:rPr>
              <w:t>100%</w:t>
            </w:r>
          </w:p>
        </w:tc>
        <w:tc>
          <w:tcPr>
            <w:tcW w:w="1417" w:type="pct"/>
            <w:tcBorders>
              <w:top w:val="nil"/>
              <w:bottom w:val="single" w:sz="4" w:space="0" w:color="auto"/>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100%. В 2014–2015 гг. была проведена независимая оценка одиннадцати завершенных проектов с обсуждением результатов в КРИС.</w:t>
            </w:r>
          </w:p>
          <w:p w:rsidR="00495A3D" w:rsidRPr="00B50C8C" w:rsidRDefault="00495A3D" w:rsidP="00495A3D">
            <w:pPr>
              <w:pStyle w:val="ListParagraph"/>
              <w:numPr>
                <w:ilvl w:val="0"/>
                <w:numId w:val="61"/>
              </w:numPr>
              <w:rPr>
                <w:rFonts w:cs="Arial"/>
                <w:sz w:val="16"/>
                <w:szCs w:val="16"/>
              </w:rPr>
            </w:pPr>
            <w:r w:rsidRPr="00B50C8C">
              <w:rPr>
                <w:sz w:val="16"/>
                <w:szCs w:val="16"/>
              </w:rPr>
              <w:t>8 в 2014 г.</w:t>
            </w:r>
          </w:p>
          <w:p w:rsidR="00495A3D" w:rsidRPr="00B50C8C" w:rsidRDefault="00495A3D" w:rsidP="00495A3D">
            <w:pPr>
              <w:pStyle w:val="ListParagraph"/>
              <w:numPr>
                <w:ilvl w:val="0"/>
                <w:numId w:val="61"/>
              </w:numPr>
              <w:rPr>
                <w:rFonts w:cs="Arial"/>
                <w:sz w:val="16"/>
                <w:szCs w:val="16"/>
              </w:rPr>
            </w:pPr>
            <w:r w:rsidRPr="00B50C8C">
              <w:rPr>
                <w:sz w:val="16"/>
                <w:szCs w:val="16"/>
              </w:rPr>
              <w:t>3 в 2015 г.</w:t>
            </w:r>
          </w:p>
        </w:tc>
        <w:tc>
          <w:tcPr>
            <w:tcW w:w="519" w:type="pct"/>
            <w:tcBorders>
              <w:top w:val="nil"/>
              <w:bottom w:val="single" w:sz="4" w:space="0" w:color="auto"/>
              <w:right w:val="single" w:sz="4" w:space="0" w:color="auto"/>
            </w:tcBorders>
            <w:shd w:val="clear" w:color="auto" w:fill="auto"/>
            <w:tcMar>
              <w:top w:w="110" w:type="dxa"/>
            </w:tcMar>
          </w:tcPr>
          <w:p w:rsidR="00495A3D" w:rsidRPr="00B50C8C" w:rsidRDefault="00495A3D" w:rsidP="00495A3D">
            <w:pPr>
              <w:keepNext/>
              <w:keepLines/>
              <w:jc w:val="center"/>
              <w:rPr>
                <w:rFonts w:cs="Arial"/>
                <w:b/>
                <w:bCs/>
                <w:color w:val="00B050"/>
                <w:sz w:val="16"/>
                <w:szCs w:val="16"/>
              </w:rPr>
            </w:pPr>
            <w:r w:rsidRPr="00B50C8C">
              <w:rPr>
                <w:b/>
                <w:color w:val="00B050"/>
                <w:sz w:val="16"/>
                <w:szCs w:val="16"/>
              </w:rPr>
              <w:t>Выполнено</w:t>
            </w:r>
          </w:p>
        </w:tc>
      </w:tr>
    </w:tbl>
    <w:p w:rsidR="00495A3D" w:rsidRDefault="00495A3D">
      <w:r>
        <w:br w:type="page"/>
      </w:r>
    </w:p>
    <w:tbl>
      <w:tblPr>
        <w:tblW w:w="4924"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85"/>
        <w:gridCol w:w="2074"/>
        <w:gridCol w:w="1518"/>
        <w:gridCol w:w="2671"/>
        <w:gridCol w:w="978"/>
      </w:tblGrid>
      <w:tr w:rsidR="00495A3D" w:rsidRPr="005C6ABD" w:rsidTr="00495A3D">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495A3D" w:rsidRPr="00495A3D" w:rsidRDefault="00495A3D" w:rsidP="00495A3D">
            <w:pPr>
              <w:keepNext/>
              <w:keepLines/>
              <w:tabs>
                <w:tab w:val="left" w:pos="1452"/>
              </w:tabs>
              <w:spacing w:before="120" w:after="120"/>
              <w:ind w:left="1452" w:hanging="1452"/>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B50C8C">
              <w:rPr>
                <w:sz w:val="16"/>
                <w:szCs w:val="16"/>
              </w:rPr>
              <w:t>III</w:t>
            </w:r>
            <w:r w:rsidRPr="00495A3D">
              <w:rPr>
                <w:sz w:val="16"/>
                <w:szCs w:val="16"/>
                <w:lang w:val="ru-RU"/>
              </w:rPr>
              <w:t xml:space="preserve">.5. Углубление понимания ПДР государствами-членами, МПО, гражданским обществом и </w:t>
            </w:r>
            <w:r w:rsidRPr="00495A3D">
              <w:rPr>
                <w:sz w:val="16"/>
                <w:szCs w:val="16"/>
                <w:lang w:val="ru-RU"/>
              </w:rPr>
              <w:tab/>
              <w:t>другими заинтересованными сторонами</w:t>
            </w:r>
          </w:p>
        </w:tc>
      </w:tr>
      <w:tr w:rsidR="00495A3D" w:rsidRPr="00B50C8C" w:rsidTr="00495A3D">
        <w:trPr>
          <w:cantSplit/>
        </w:trPr>
        <w:tc>
          <w:tcPr>
            <w:tcW w:w="1159" w:type="pct"/>
            <w:tcBorders>
              <w:top w:val="single" w:sz="4" w:space="0" w:color="auto"/>
              <w:left w:val="single" w:sz="4" w:space="0" w:color="auto"/>
              <w:bottom w:val="nil"/>
            </w:tcBorders>
            <w:shd w:val="clear" w:color="auto" w:fill="auto"/>
            <w:vAlign w:val="center"/>
          </w:tcPr>
          <w:p w:rsidR="00495A3D" w:rsidRPr="00B50C8C" w:rsidRDefault="00495A3D" w:rsidP="00495A3D">
            <w:pPr>
              <w:spacing w:after="40"/>
              <w:rPr>
                <w:rFonts w:cs="Arial"/>
                <w:sz w:val="16"/>
                <w:szCs w:val="16"/>
              </w:rPr>
            </w:pPr>
            <w:r w:rsidRPr="00B50C8C">
              <w:rPr>
                <w:b/>
                <w:sz w:val="16"/>
                <w:szCs w:val="16"/>
              </w:rPr>
              <w:t>Показатели результативности</w:t>
            </w:r>
          </w:p>
        </w:tc>
        <w:tc>
          <w:tcPr>
            <w:tcW w:w="1100" w:type="pct"/>
            <w:tcBorders>
              <w:top w:val="single" w:sz="4" w:space="0" w:color="auto"/>
              <w:bottom w:val="nil"/>
            </w:tcBorders>
            <w:shd w:val="clear" w:color="auto" w:fill="auto"/>
            <w:vAlign w:val="center"/>
          </w:tcPr>
          <w:p w:rsidR="00495A3D" w:rsidRPr="00B50C8C" w:rsidRDefault="00495A3D" w:rsidP="00495A3D">
            <w:pPr>
              <w:spacing w:after="40"/>
              <w:rPr>
                <w:rFonts w:cs="Arial"/>
                <w:b/>
                <w:bCs/>
                <w:sz w:val="16"/>
                <w:szCs w:val="16"/>
              </w:rPr>
            </w:pPr>
            <w:r w:rsidRPr="00B50C8C">
              <w:rPr>
                <w:b/>
                <w:sz w:val="16"/>
                <w:szCs w:val="16"/>
              </w:rPr>
              <w:t>Базовые показатели</w:t>
            </w:r>
          </w:p>
        </w:tc>
        <w:tc>
          <w:tcPr>
            <w:tcW w:w="805" w:type="pct"/>
            <w:tcBorders>
              <w:top w:val="single" w:sz="4" w:space="0" w:color="auto"/>
              <w:bottom w:val="nil"/>
            </w:tcBorders>
            <w:shd w:val="clear" w:color="auto" w:fill="auto"/>
            <w:tcMar>
              <w:top w:w="110" w:type="dxa"/>
            </w:tcMar>
            <w:vAlign w:val="center"/>
          </w:tcPr>
          <w:p w:rsidR="00495A3D" w:rsidRPr="00B50C8C" w:rsidRDefault="00495A3D" w:rsidP="00495A3D">
            <w:pPr>
              <w:spacing w:after="40"/>
              <w:rPr>
                <w:rFonts w:cs="Arial"/>
                <w:b/>
                <w:sz w:val="16"/>
                <w:szCs w:val="16"/>
              </w:rPr>
            </w:pPr>
            <w:r w:rsidRPr="00B50C8C">
              <w:rPr>
                <w:b/>
                <w:sz w:val="16"/>
                <w:szCs w:val="16"/>
              </w:rPr>
              <w:t>Цели</w:t>
            </w:r>
          </w:p>
        </w:tc>
        <w:tc>
          <w:tcPr>
            <w:tcW w:w="1417" w:type="pct"/>
            <w:tcBorders>
              <w:top w:val="single" w:sz="4" w:space="0" w:color="auto"/>
              <w:bottom w:val="nil"/>
            </w:tcBorders>
            <w:shd w:val="clear" w:color="auto" w:fill="FFFFFF"/>
            <w:tcMar>
              <w:top w:w="110" w:type="dxa"/>
            </w:tcMar>
            <w:vAlign w:val="center"/>
          </w:tcPr>
          <w:p w:rsidR="00495A3D" w:rsidRPr="00B50C8C" w:rsidRDefault="00495A3D" w:rsidP="00495A3D">
            <w:pPr>
              <w:spacing w:after="40"/>
              <w:rPr>
                <w:rFonts w:cs="Arial"/>
                <w:sz w:val="16"/>
                <w:szCs w:val="16"/>
              </w:rPr>
            </w:pPr>
            <w:r w:rsidRPr="00B50C8C">
              <w:rPr>
                <w:b/>
                <w:sz w:val="16"/>
                <w:szCs w:val="16"/>
              </w:rPr>
              <w:t>Данные о результативности</w:t>
            </w:r>
          </w:p>
        </w:tc>
        <w:tc>
          <w:tcPr>
            <w:tcW w:w="519" w:type="pct"/>
            <w:tcBorders>
              <w:top w:val="single" w:sz="4" w:space="0" w:color="auto"/>
              <w:bottom w:val="nil"/>
              <w:right w:val="single" w:sz="4" w:space="0" w:color="auto"/>
            </w:tcBorders>
            <w:shd w:val="clear" w:color="auto" w:fill="auto"/>
            <w:tcMar>
              <w:top w:w="110" w:type="dxa"/>
            </w:tcMar>
            <w:vAlign w:val="center"/>
          </w:tcPr>
          <w:p w:rsidR="00495A3D" w:rsidRPr="00B50C8C" w:rsidRDefault="00495A3D" w:rsidP="00495A3D">
            <w:pPr>
              <w:keepNext/>
              <w:keepLines/>
              <w:spacing w:after="40"/>
              <w:jc w:val="center"/>
              <w:rPr>
                <w:rFonts w:cs="Arial"/>
                <w:b/>
                <w:bCs/>
                <w:sz w:val="16"/>
                <w:szCs w:val="16"/>
              </w:rPr>
            </w:pPr>
            <w:r w:rsidRPr="00B50C8C">
              <w:rPr>
                <w:b/>
                <w:sz w:val="16"/>
                <w:szCs w:val="16"/>
              </w:rPr>
              <w:t>CC</w:t>
            </w:r>
          </w:p>
        </w:tc>
      </w:tr>
      <w:tr w:rsidR="00495A3D" w:rsidRPr="00B50C8C" w:rsidTr="00495A3D">
        <w:trPr>
          <w:cantSplit/>
        </w:trPr>
        <w:tc>
          <w:tcPr>
            <w:tcW w:w="1159" w:type="pct"/>
            <w:tcBorders>
              <w:top w:val="nil"/>
              <w:left w:val="single" w:sz="4" w:space="0" w:color="auto"/>
              <w:bottom w:val="nil"/>
            </w:tcBorders>
            <w:shd w:val="clear" w:color="auto" w:fill="FFFFFF"/>
          </w:tcPr>
          <w:p w:rsidR="00495A3D" w:rsidRPr="00495A3D" w:rsidRDefault="00495A3D" w:rsidP="00495A3D">
            <w:pPr>
              <w:rPr>
                <w:rFonts w:cs="Arial"/>
                <w:sz w:val="16"/>
                <w:szCs w:val="16"/>
                <w:lang w:val="ru-RU"/>
              </w:rPr>
            </w:pPr>
            <w:r w:rsidRPr="00495A3D">
              <w:rPr>
                <w:sz w:val="16"/>
                <w:szCs w:val="16"/>
                <w:lang w:val="ru-RU"/>
              </w:rPr>
              <w:t>Число стран, запросивших техническую помощь через проекты ПДР и выразивших заинтересованность в осуществлении связанной с ПДР деятельности</w:t>
            </w:r>
          </w:p>
        </w:tc>
        <w:tc>
          <w:tcPr>
            <w:tcW w:w="1100" w:type="pct"/>
            <w:tcBorders>
              <w:top w:val="nil"/>
              <w:bottom w:val="nil"/>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B50C8C">
              <w:rPr>
                <w:i/>
                <w:color w:val="002060"/>
                <w:sz w:val="16"/>
                <w:szCs w:val="16"/>
              </w:rPr>
              <w:t> </w:t>
            </w:r>
            <w:r w:rsidRPr="00495A3D">
              <w:rPr>
                <w:i/>
                <w:color w:val="002060"/>
                <w:sz w:val="16"/>
                <w:szCs w:val="16"/>
                <w:lang w:val="ru-RU"/>
              </w:rPr>
              <w:t xml:space="preserve">г.:  </w:t>
            </w:r>
            <w:r w:rsidRPr="00495A3D">
              <w:rPr>
                <w:color w:val="002060"/>
                <w:sz w:val="16"/>
                <w:szCs w:val="16"/>
                <w:lang w:val="ru-RU"/>
              </w:rPr>
              <w:t>реализация проектов и мероприятий, связанных с ПДР, в 50 странах</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реализация проектов и мероприятий, связанных с ПДР, в 43 странах (по состоянию на апрель 2013</w:t>
            </w:r>
            <w:r w:rsidRPr="00B50C8C">
              <w:rPr>
                <w:sz w:val="16"/>
                <w:szCs w:val="16"/>
              </w:rPr>
              <w:t> </w:t>
            </w:r>
            <w:r w:rsidRPr="00495A3D">
              <w:rPr>
                <w:sz w:val="16"/>
                <w:szCs w:val="16"/>
                <w:lang w:val="ru-RU"/>
              </w:rPr>
              <w:t>г.)</w:t>
            </w:r>
          </w:p>
        </w:tc>
        <w:tc>
          <w:tcPr>
            <w:tcW w:w="805" w:type="pct"/>
            <w:tcBorders>
              <w:top w:val="nil"/>
              <w:bottom w:val="nil"/>
            </w:tcBorders>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Реализация проектов и мероприятий, связанных с ПДР, в 50 странах</w:t>
            </w:r>
          </w:p>
        </w:tc>
        <w:tc>
          <w:tcPr>
            <w:tcW w:w="1417" w:type="pct"/>
            <w:tcBorders>
              <w:top w:val="nil"/>
              <w:bottom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 xml:space="preserve">53 развивающиеся страны приняли участие в проектах ПДР. </w:t>
            </w:r>
          </w:p>
        </w:tc>
        <w:tc>
          <w:tcPr>
            <w:tcW w:w="519" w:type="pct"/>
            <w:tcBorders>
              <w:top w:val="nil"/>
              <w:bottom w:val="nil"/>
              <w:right w:val="single" w:sz="4" w:space="0" w:color="auto"/>
            </w:tcBorders>
            <w:shd w:val="clear" w:color="auto" w:fill="auto"/>
            <w:tcMar>
              <w:top w:w="110" w:type="dxa"/>
            </w:tcMar>
          </w:tcPr>
          <w:p w:rsidR="00495A3D" w:rsidRPr="00B50C8C" w:rsidRDefault="00495A3D" w:rsidP="00495A3D">
            <w:pPr>
              <w:keepNext/>
              <w:keepLines/>
              <w:jc w:val="center"/>
              <w:rPr>
                <w:rFonts w:cs="Arial"/>
                <w:bCs/>
                <w:sz w:val="16"/>
                <w:szCs w:val="16"/>
              </w:rPr>
            </w:pPr>
            <w:r w:rsidRPr="00B50C8C">
              <w:rPr>
                <w:b/>
                <w:color w:val="00B050"/>
                <w:sz w:val="16"/>
                <w:szCs w:val="16"/>
              </w:rPr>
              <w:t>Выполнено</w:t>
            </w:r>
          </w:p>
        </w:tc>
      </w:tr>
      <w:tr w:rsidR="00495A3D" w:rsidRPr="00B50C8C" w:rsidTr="00495A3D">
        <w:trPr>
          <w:cantSplit/>
        </w:trPr>
        <w:tc>
          <w:tcPr>
            <w:tcW w:w="1159" w:type="pct"/>
            <w:tcBorders>
              <w:top w:val="nil"/>
              <w:left w:val="single" w:sz="4" w:space="0" w:color="auto"/>
              <w:bottom w:val="single" w:sz="4" w:space="0" w:color="auto"/>
            </w:tcBorders>
            <w:shd w:val="clear" w:color="auto" w:fill="auto"/>
          </w:tcPr>
          <w:p w:rsidR="00495A3D" w:rsidRPr="00495A3D" w:rsidRDefault="00495A3D" w:rsidP="00495A3D">
            <w:pPr>
              <w:rPr>
                <w:sz w:val="16"/>
                <w:szCs w:val="16"/>
                <w:lang w:val="ru-RU"/>
              </w:rPr>
            </w:pPr>
            <w:r w:rsidRPr="00495A3D">
              <w:rPr>
                <w:sz w:val="16"/>
                <w:szCs w:val="16"/>
                <w:lang w:val="ru-RU"/>
              </w:rPr>
              <w:t>Доля (%) участников совещаний в ВОИС (государств-членов, МПО, представителей гражданского общество и других заинтересованных сторон), удовлетворенных полученной информацией о рекомендациях ПДР</w:t>
            </w:r>
          </w:p>
          <w:p w:rsidR="00495A3D" w:rsidRPr="00495A3D" w:rsidRDefault="00495A3D" w:rsidP="00495A3D">
            <w:pPr>
              <w:rPr>
                <w:rFonts w:cs="Arial"/>
                <w:sz w:val="16"/>
                <w:szCs w:val="16"/>
                <w:lang w:val="ru-RU"/>
              </w:rPr>
            </w:pPr>
          </w:p>
        </w:tc>
        <w:tc>
          <w:tcPr>
            <w:tcW w:w="1100" w:type="pct"/>
            <w:tcBorders>
              <w:top w:val="nil"/>
              <w:bottom w:val="single" w:sz="4" w:space="0" w:color="auto"/>
            </w:tcBorders>
            <w:shd w:val="clear" w:color="auto" w:fill="auto"/>
          </w:tcPr>
          <w:p w:rsidR="00495A3D" w:rsidRPr="00B50C8C" w:rsidRDefault="00495A3D" w:rsidP="00495A3D">
            <w:pPr>
              <w:rPr>
                <w:rFonts w:cs="Arial"/>
                <w:sz w:val="16"/>
                <w:szCs w:val="16"/>
              </w:rPr>
            </w:pPr>
            <w:r w:rsidRPr="00B50C8C">
              <w:rPr>
                <w:sz w:val="16"/>
                <w:szCs w:val="16"/>
              </w:rPr>
              <w:t>Данные отсутствуют</w:t>
            </w:r>
          </w:p>
        </w:tc>
        <w:tc>
          <w:tcPr>
            <w:tcW w:w="805" w:type="pct"/>
            <w:tcBorders>
              <w:top w:val="nil"/>
              <w:bottom w:val="single" w:sz="4" w:space="0" w:color="auto"/>
            </w:tcBorders>
            <w:shd w:val="clear" w:color="auto" w:fill="auto"/>
            <w:tcMar>
              <w:top w:w="110" w:type="dxa"/>
            </w:tcMar>
          </w:tcPr>
          <w:p w:rsidR="00495A3D" w:rsidRPr="00B50C8C" w:rsidRDefault="00495A3D" w:rsidP="00495A3D">
            <w:pPr>
              <w:rPr>
                <w:rFonts w:cs="Arial"/>
                <w:sz w:val="16"/>
                <w:szCs w:val="16"/>
              </w:rPr>
            </w:pPr>
            <w:r w:rsidRPr="00B50C8C">
              <w:rPr>
                <w:sz w:val="16"/>
                <w:szCs w:val="16"/>
              </w:rPr>
              <w:t>80%</w:t>
            </w:r>
          </w:p>
        </w:tc>
        <w:tc>
          <w:tcPr>
            <w:tcW w:w="1417" w:type="pct"/>
            <w:tcBorders>
              <w:top w:val="nil"/>
              <w:bottom w:val="single" w:sz="4" w:space="0" w:color="auto"/>
            </w:tcBorders>
            <w:shd w:val="clear" w:color="auto" w:fill="FFFFFF"/>
            <w:tcMar>
              <w:top w:w="110" w:type="dxa"/>
            </w:tcMar>
          </w:tcPr>
          <w:p w:rsidR="00495A3D" w:rsidRPr="00B50C8C" w:rsidRDefault="00495A3D" w:rsidP="00495A3D">
            <w:pPr>
              <w:rPr>
                <w:rFonts w:cs="Arial"/>
                <w:sz w:val="16"/>
                <w:szCs w:val="16"/>
              </w:rPr>
            </w:pPr>
            <w:r w:rsidRPr="00B50C8C">
              <w:rPr>
                <w:sz w:val="16"/>
                <w:szCs w:val="16"/>
              </w:rPr>
              <w:t>78,57%</w:t>
            </w:r>
          </w:p>
        </w:tc>
        <w:tc>
          <w:tcPr>
            <w:tcW w:w="519" w:type="pct"/>
            <w:tcBorders>
              <w:top w:val="nil"/>
              <w:bottom w:val="single" w:sz="4" w:space="0" w:color="auto"/>
              <w:right w:val="single" w:sz="4" w:space="0" w:color="auto"/>
            </w:tcBorders>
            <w:shd w:val="clear" w:color="auto" w:fill="auto"/>
          </w:tcPr>
          <w:p w:rsidR="00495A3D" w:rsidRPr="00B50C8C" w:rsidRDefault="00495A3D" w:rsidP="00495A3D">
            <w:pPr>
              <w:keepNext/>
              <w:keepLines/>
              <w:jc w:val="center"/>
              <w:rPr>
                <w:rFonts w:cs="Arial"/>
                <w:b/>
                <w:bCs/>
                <w:color w:val="808080"/>
                <w:sz w:val="16"/>
                <w:szCs w:val="16"/>
              </w:rPr>
            </w:pPr>
            <w:r w:rsidRPr="00B50C8C">
              <w:rPr>
                <w:b/>
                <w:color w:val="00B050"/>
                <w:sz w:val="16"/>
                <w:szCs w:val="16"/>
              </w:rPr>
              <w:t>Выполнено</w:t>
            </w:r>
          </w:p>
        </w:tc>
      </w:tr>
    </w:tbl>
    <w:p w:rsidR="00495A3D" w:rsidRPr="006D1EA0" w:rsidRDefault="00495A3D" w:rsidP="00495A3D">
      <w:pPr>
        <w:jc w:val="both"/>
        <w:rPr>
          <w:rFonts w:cs="Arial"/>
          <w:bCs/>
          <w:szCs w:val="20"/>
        </w:rPr>
      </w:pPr>
    </w:p>
    <w:p w:rsidR="00495A3D" w:rsidRPr="006D1EA0" w:rsidRDefault="00495A3D" w:rsidP="00495A3D">
      <w:pPr>
        <w:jc w:val="both"/>
        <w:rPr>
          <w:rFonts w:cs="Arial"/>
          <w:color w:val="000000"/>
          <w:szCs w:val="20"/>
        </w:rPr>
      </w:pPr>
    </w:p>
    <w:p w:rsidR="00495A3D" w:rsidRPr="00495A3D" w:rsidRDefault="00495A3D" w:rsidP="00495A3D">
      <w:pPr>
        <w:keepNext/>
        <w:keepLines/>
        <w:rPr>
          <w:rFonts w:cs="Arial"/>
          <w:color w:val="000000"/>
          <w:szCs w:val="22"/>
          <w:lang w:val="ru-RU"/>
        </w:rPr>
      </w:pPr>
      <w:r w:rsidRPr="00495A3D">
        <w:rPr>
          <w:color w:val="000000"/>
          <w:lang w:val="ru-RU"/>
        </w:rPr>
        <w:t>ОТЧЕТ О РИСКАХ В ДВУХЛЕТНИЙ ПЕРИОД</w:t>
      </w:r>
    </w:p>
    <w:p w:rsidR="00495A3D" w:rsidRPr="00495A3D" w:rsidRDefault="00495A3D" w:rsidP="00495A3D">
      <w:pPr>
        <w:keepNext/>
        <w:keepLines/>
        <w:rPr>
          <w:b/>
          <w:lang w:val="ru-RU"/>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42"/>
        <w:gridCol w:w="2169"/>
        <w:gridCol w:w="2225"/>
        <w:gridCol w:w="146"/>
        <w:gridCol w:w="2581"/>
      </w:tblGrid>
      <w:tr w:rsidR="00495A3D" w:rsidRPr="003C527B" w:rsidTr="00495A3D">
        <w:trPr>
          <w:trHeight w:val="564"/>
        </w:trPr>
        <w:tc>
          <w:tcPr>
            <w:tcW w:w="2420" w:type="dxa"/>
            <w:tcBorders>
              <w:top w:val="single" w:sz="4" w:space="0" w:color="auto"/>
              <w:bottom w:val="single" w:sz="4" w:space="0" w:color="auto"/>
            </w:tcBorders>
            <w:shd w:val="clear" w:color="auto" w:fill="C6D9F1" w:themeFill="text2" w:themeFillTint="33"/>
            <w:vAlign w:val="center"/>
          </w:tcPr>
          <w:p w:rsidR="00495A3D" w:rsidRPr="00495A3D" w:rsidRDefault="00495A3D" w:rsidP="00495A3D">
            <w:pPr>
              <w:keepNext/>
              <w:keepLines/>
              <w:autoSpaceDE w:val="0"/>
              <w:autoSpaceDN w:val="0"/>
              <w:adjustRightInd w:val="0"/>
              <w:ind w:right="-59"/>
              <w:jc w:val="center"/>
              <w:rPr>
                <w:b/>
                <w:bCs/>
                <w:iCs/>
                <w:sz w:val="18"/>
                <w:szCs w:val="18"/>
                <w:lang w:val="ru-RU"/>
              </w:rPr>
            </w:pPr>
            <w:r w:rsidRPr="00495A3D">
              <w:rPr>
                <w:b/>
                <w:sz w:val="18"/>
                <w:lang w:val="ru-RU"/>
              </w:rPr>
              <w:t>Риск (риски) того, что результаты программы не будут достигнуты</w:t>
            </w:r>
          </w:p>
        </w:tc>
        <w:tc>
          <w:tcPr>
            <w:tcW w:w="2200" w:type="dxa"/>
            <w:tcBorders>
              <w:top w:val="single" w:sz="4" w:space="0" w:color="auto"/>
              <w:bottom w:val="single" w:sz="4" w:space="0" w:color="auto"/>
            </w:tcBorders>
            <w:shd w:val="clear" w:color="auto" w:fill="C6D9F1" w:themeFill="text2" w:themeFillTint="33"/>
            <w:vAlign w:val="center"/>
          </w:tcPr>
          <w:p w:rsidR="00495A3D" w:rsidRPr="00495A3D" w:rsidRDefault="00495A3D" w:rsidP="00495A3D">
            <w:pPr>
              <w:keepNext/>
              <w:keepLines/>
              <w:autoSpaceDE w:val="0"/>
              <w:autoSpaceDN w:val="0"/>
              <w:adjustRightInd w:val="0"/>
              <w:ind w:right="-59"/>
              <w:jc w:val="center"/>
              <w:rPr>
                <w:b/>
                <w:bCs/>
                <w:iCs/>
                <w:sz w:val="18"/>
                <w:szCs w:val="18"/>
                <w:lang w:val="ru-RU"/>
              </w:rPr>
            </w:pPr>
            <w:r w:rsidRPr="00495A3D">
              <w:rPr>
                <w:b/>
                <w:sz w:val="18"/>
                <w:lang w:val="ru-RU"/>
              </w:rPr>
              <w:t xml:space="preserve">Действующие или разрабатываемые планы по снижению рисков </w:t>
            </w:r>
          </w:p>
        </w:tc>
        <w:tc>
          <w:tcPr>
            <w:tcW w:w="2468" w:type="dxa"/>
            <w:gridSpan w:val="2"/>
            <w:tcBorders>
              <w:top w:val="single" w:sz="4" w:space="0" w:color="auto"/>
              <w:bottom w:val="single" w:sz="4" w:space="0" w:color="auto"/>
            </w:tcBorders>
            <w:shd w:val="clear" w:color="auto" w:fill="C6D9F1" w:themeFill="text2" w:themeFillTint="33"/>
          </w:tcPr>
          <w:p w:rsidR="00495A3D" w:rsidRPr="00495A3D" w:rsidRDefault="00495A3D" w:rsidP="00495A3D">
            <w:pPr>
              <w:keepNext/>
              <w:keepLines/>
              <w:jc w:val="center"/>
              <w:rPr>
                <w:b/>
                <w:bCs/>
                <w:sz w:val="18"/>
                <w:szCs w:val="18"/>
                <w:lang w:val="ru-RU"/>
              </w:rPr>
            </w:pPr>
            <w:r w:rsidRPr="00495A3D">
              <w:rPr>
                <w:b/>
                <w:sz w:val="18"/>
                <w:lang w:val="ru-RU"/>
              </w:rPr>
              <w:t>Развитие риска (рисков) и стратегий его (их) снижения в двухлетний период</w:t>
            </w:r>
          </w:p>
        </w:tc>
        <w:tc>
          <w:tcPr>
            <w:tcW w:w="2694" w:type="dxa"/>
            <w:tcBorders>
              <w:top w:val="single" w:sz="4" w:space="0" w:color="auto"/>
              <w:bottom w:val="single" w:sz="4" w:space="0" w:color="auto"/>
            </w:tcBorders>
            <w:shd w:val="clear" w:color="auto" w:fill="C6D9F1" w:themeFill="text2" w:themeFillTint="33"/>
          </w:tcPr>
          <w:p w:rsidR="00495A3D" w:rsidRPr="003C527B" w:rsidRDefault="00495A3D" w:rsidP="00495A3D">
            <w:pPr>
              <w:keepNext/>
              <w:keepLines/>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495A3D" w:rsidRPr="005C6ABD" w:rsidTr="00495A3D">
        <w:trPr>
          <w:trHeight w:val="838"/>
        </w:trPr>
        <w:tc>
          <w:tcPr>
            <w:tcW w:w="2420" w:type="dxa"/>
            <w:tcBorders>
              <w:top w:val="single" w:sz="4" w:space="0" w:color="auto"/>
            </w:tcBorders>
            <w:shd w:val="clear" w:color="auto" w:fill="auto"/>
            <w:tcMar>
              <w:top w:w="113" w:type="dxa"/>
              <w:bottom w:w="85" w:type="dxa"/>
            </w:tcMar>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 xml:space="preserve">Систематическое невыполнение рекомендаций ПДР и отсутствие последующей работы может привести к утрате возможностей и недостаточному учету накопленного опыта. </w:t>
            </w:r>
          </w:p>
        </w:tc>
        <w:tc>
          <w:tcPr>
            <w:tcW w:w="2200" w:type="dxa"/>
            <w:tcBorders>
              <w:top w:val="single" w:sz="4" w:space="0" w:color="auto"/>
            </w:tcBorders>
            <w:shd w:val="clear" w:color="auto" w:fill="auto"/>
            <w:tcMar>
              <w:top w:w="113" w:type="dxa"/>
              <w:bottom w:w="85" w:type="dxa"/>
            </w:tcMar>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Отдел координации деятельности в рамках ПДР обеспечивает активное и скрупулезное выполнение рекомендаций ПДР.</w:t>
            </w:r>
          </w:p>
        </w:tc>
        <w:tc>
          <w:tcPr>
            <w:tcW w:w="2310" w:type="dxa"/>
            <w:tcBorders>
              <w:top w:val="single" w:sz="4" w:space="0" w:color="auto"/>
            </w:tcBorders>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Стратегии снижения риска были реализованы в полной мере, благодаря чему этот риск не реализовался.</w:t>
            </w:r>
          </w:p>
        </w:tc>
        <w:tc>
          <w:tcPr>
            <w:tcW w:w="2852" w:type="dxa"/>
            <w:gridSpan w:val="2"/>
            <w:tcBorders>
              <w:top w:val="single" w:sz="4" w:space="0" w:color="auto"/>
            </w:tcBorders>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Этот риск и его развитие не оказали существенного влияния на реализацию программы в 2014–2015 гг.</w:t>
            </w:r>
          </w:p>
        </w:tc>
      </w:tr>
    </w:tbl>
    <w:p w:rsidR="00495A3D" w:rsidRPr="00495A3D" w:rsidRDefault="00495A3D" w:rsidP="00495A3D">
      <w:pPr>
        <w:rPr>
          <w:lang w:val="ru-RU"/>
        </w:rPr>
      </w:pPr>
    </w:p>
    <w:p w:rsidR="00495A3D" w:rsidRPr="00495A3D" w:rsidRDefault="00495A3D" w:rsidP="00495A3D">
      <w:pPr>
        <w:jc w:val="both"/>
        <w:rPr>
          <w:rFonts w:cs="Arial"/>
          <w:color w:val="000000"/>
          <w:sz w:val="22"/>
          <w:szCs w:val="20"/>
          <w:lang w:val="ru-RU"/>
        </w:rPr>
      </w:pPr>
    </w:p>
    <w:p w:rsidR="00495A3D" w:rsidRPr="00495A3D" w:rsidRDefault="00495A3D" w:rsidP="00495A3D">
      <w:pPr>
        <w:spacing w:after="200" w:line="276" w:lineRule="auto"/>
        <w:rPr>
          <w:color w:val="000000"/>
          <w:lang w:val="ru-RU"/>
        </w:rPr>
      </w:pPr>
      <w:r w:rsidRPr="00495A3D">
        <w:rPr>
          <w:color w:val="000000"/>
          <w:lang w:val="ru-RU"/>
        </w:rPr>
        <w:br w:type="page"/>
      </w:r>
    </w:p>
    <w:p w:rsidR="00495A3D" w:rsidRPr="00495A3D" w:rsidRDefault="00495A3D" w:rsidP="00495A3D">
      <w:pPr>
        <w:jc w:val="both"/>
        <w:rPr>
          <w:rFonts w:cs="Arial"/>
          <w:b/>
          <w:szCs w:val="20"/>
          <w:lang w:val="ru-RU"/>
        </w:rPr>
      </w:pPr>
      <w:r w:rsidRPr="00495A3D">
        <w:rPr>
          <w:color w:val="000000"/>
          <w:lang w:val="ru-RU"/>
        </w:rPr>
        <w:t>ИСПОЛЬЗОВАНИЕ РЕСУРСОВ</w:t>
      </w:r>
    </w:p>
    <w:p w:rsidR="00495A3D" w:rsidRPr="00495A3D" w:rsidRDefault="00495A3D" w:rsidP="00495A3D">
      <w:pPr>
        <w:jc w:val="both"/>
        <w:rPr>
          <w:rFonts w:cs="Arial"/>
          <w:szCs w:val="20"/>
          <w:lang w:val="ru-RU"/>
        </w:rPr>
      </w:pPr>
    </w:p>
    <w:p w:rsidR="00495A3D" w:rsidRPr="00495A3D" w:rsidRDefault="00495A3D" w:rsidP="00495A3D">
      <w:pPr>
        <w:pStyle w:val="NormalWeb"/>
        <w:spacing w:before="0" w:beforeAutospacing="0" w:after="0" w:afterAutospacing="0"/>
        <w:jc w:val="center"/>
        <w:rPr>
          <w:color w:val="000000"/>
          <w:sz w:val="20"/>
          <w:szCs w:val="20"/>
          <w:lang w:val="ru-RU"/>
        </w:rPr>
      </w:pPr>
    </w:p>
    <w:p w:rsidR="00495A3D" w:rsidRPr="00495A3D" w:rsidRDefault="00495A3D" w:rsidP="00495A3D">
      <w:pPr>
        <w:pStyle w:val="NormalWeb"/>
        <w:spacing w:before="0" w:beforeAutospacing="0" w:after="0" w:afterAutospacing="0"/>
        <w:jc w:val="center"/>
        <w:rPr>
          <w:sz w:val="20"/>
          <w:szCs w:val="20"/>
          <w:lang w:val="ru-RU"/>
        </w:rPr>
      </w:pPr>
      <w:r w:rsidRPr="00495A3D">
        <w:rPr>
          <w:color w:val="000000"/>
          <w:sz w:val="20"/>
          <w:lang w:val="ru-RU"/>
        </w:rPr>
        <w:t>Бюджет и фактические расходы (в разбивке по результатам)</w:t>
      </w:r>
    </w:p>
    <w:p w:rsidR="00495A3D" w:rsidRPr="006D1EA0" w:rsidRDefault="00495A3D" w:rsidP="00495A3D">
      <w:pPr>
        <w:pStyle w:val="NormalWeb"/>
        <w:spacing w:before="0" w:beforeAutospacing="0" w:after="0" w:afterAutospacing="0"/>
        <w:jc w:val="center"/>
        <w:rPr>
          <w:i/>
          <w:iCs/>
          <w:color w:val="000000"/>
          <w:sz w:val="20"/>
          <w:szCs w:val="20"/>
        </w:rPr>
      </w:pPr>
      <w:r>
        <w:rPr>
          <w:i/>
          <w:color w:val="000000"/>
          <w:sz w:val="20"/>
        </w:rPr>
        <w:t>(в тыс. шв. франков)</w:t>
      </w:r>
    </w:p>
    <w:p w:rsidR="00495A3D" w:rsidRPr="006D1EA0" w:rsidRDefault="00495A3D" w:rsidP="00495A3D">
      <w:pPr>
        <w:jc w:val="center"/>
        <w:rPr>
          <w:rFonts w:cs="Arial"/>
          <w:szCs w:val="20"/>
        </w:rPr>
      </w:pPr>
    </w:p>
    <w:p w:rsidR="00495A3D" w:rsidRPr="00B4357C" w:rsidRDefault="00495A3D" w:rsidP="00495A3D">
      <w:pPr>
        <w:jc w:val="center"/>
        <w:rPr>
          <w:rFonts w:cs="Arial"/>
          <w:szCs w:val="20"/>
        </w:rPr>
      </w:pPr>
      <w:r>
        <w:rPr>
          <w:rFonts w:cs="Arial"/>
          <w:noProof/>
          <w:szCs w:val="20"/>
        </w:rPr>
        <w:drawing>
          <wp:inline distT="0" distB="0" distL="0" distR="0" wp14:anchorId="4077AAFC" wp14:editId="49E76288">
            <wp:extent cx="6057900" cy="1704975"/>
            <wp:effectExtent l="0" t="0" r="0" b="9525"/>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057900" cy="1704975"/>
                    </a:xfrm>
                    <a:prstGeom prst="rect">
                      <a:avLst/>
                    </a:prstGeom>
                    <a:noFill/>
                    <a:ln>
                      <a:noFill/>
                    </a:ln>
                  </pic:spPr>
                </pic:pic>
              </a:graphicData>
            </a:graphic>
          </wp:inline>
        </w:drawing>
      </w:r>
    </w:p>
    <w:p w:rsidR="00495A3D" w:rsidRPr="006D1EA0" w:rsidRDefault="00495A3D" w:rsidP="00495A3D">
      <w:pPr>
        <w:jc w:val="both"/>
        <w:rPr>
          <w:rFonts w:cs="Arial"/>
          <w:szCs w:val="20"/>
        </w:rPr>
      </w:pPr>
    </w:p>
    <w:p w:rsidR="00495A3D" w:rsidRDefault="00495A3D" w:rsidP="00495A3D">
      <w:pPr>
        <w:pStyle w:val="NormalWeb"/>
        <w:keepNext/>
        <w:keepLines/>
        <w:spacing w:before="0" w:beforeAutospacing="0" w:after="0" w:afterAutospacing="0"/>
        <w:jc w:val="center"/>
        <w:rPr>
          <w:color w:val="000000"/>
          <w:sz w:val="20"/>
          <w:szCs w:val="20"/>
        </w:rPr>
      </w:pPr>
    </w:p>
    <w:p w:rsidR="00495A3D" w:rsidRPr="00495A3D" w:rsidRDefault="00495A3D" w:rsidP="00495A3D">
      <w:pPr>
        <w:pStyle w:val="NormalWeb"/>
        <w:keepNext/>
        <w:keepLines/>
        <w:spacing w:before="0" w:beforeAutospacing="0" w:after="0" w:afterAutospacing="0"/>
        <w:jc w:val="center"/>
        <w:rPr>
          <w:sz w:val="20"/>
          <w:szCs w:val="20"/>
          <w:lang w:val="ru-RU"/>
        </w:rPr>
      </w:pPr>
      <w:r w:rsidRPr="00495A3D">
        <w:rPr>
          <w:color w:val="000000"/>
          <w:sz w:val="20"/>
          <w:lang w:val="ru-RU"/>
        </w:rPr>
        <w:t>Бюджет и фактические расходы (по персоналу и не связанные с персоналом)</w:t>
      </w:r>
    </w:p>
    <w:p w:rsidR="00495A3D" w:rsidRPr="006D1EA0" w:rsidRDefault="00495A3D" w:rsidP="00495A3D">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495A3D" w:rsidRPr="006D1EA0" w:rsidRDefault="00495A3D" w:rsidP="00495A3D">
      <w:pPr>
        <w:pStyle w:val="NormalWeb"/>
        <w:keepNext/>
        <w:keepLines/>
        <w:spacing w:before="0" w:beforeAutospacing="0" w:after="0" w:afterAutospacing="0"/>
        <w:jc w:val="center"/>
        <w:rPr>
          <w:sz w:val="20"/>
          <w:szCs w:val="20"/>
        </w:rPr>
      </w:pPr>
    </w:p>
    <w:p w:rsidR="00495A3D" w:rsidRPr="006D1EA0" w:rsidRDefault="00495A3D" w:rsidP="00495A3D">
      <w:pPr>
        <w:widowControl w:val="0"/>
        <w:autoSpaceDE w:val="0"/>
        <w:autoSpaceDN w:val="0"/>
        <w:adjustRightInd w:val="0"/>
        <w:jc w:val="center"/>
        <w:rPr>
          <w:rFonts w:cs="Arial"/>
          <w:szCs w:val="20"/>
        </w:rPr>
      </w:pPr>
      <w:r>
        <w:rPr>
          <w:rFonts w:cs="Arial"/>
          <w:noProof/>
          <w:szCs w:val="20"/>
        </w:rPr>
        <w:drawing>
          <wp:inline distT="0" distB="0" distL="0" distR="0" wp14:anchorId="4CBBE534" wp14:editId="5F54E803">
            <wp:extent cx="6151880" cy="1332254"/>
            <wp:effectExtent l="0" t="0" r="1270" b="127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51880" cy="1332254"/>
                    </a:xfrm>
                    <a:prstGeom prst="rect">
                      <a:avLst/>
                    </a:prstGeom>
                    <a:noFill/>
                    <a:ln>
                      <a:noFill/>
                    </a:ln>
                  </pic:spPr>
                </pic:pic>
              </a:graphicData>
            </a:graphic>
          </wp:inline>
        </w:drawing>
      </w:r>
    </w:p>
    <w:p w:rsidR="00495A3D" w:rsidRDefault="00495A3D" w:rsidP="00495A3D">
      <w:pPr>
        <w:widowControl w:val="0"/>
        <w:autoSpaceDE w:val="0"/>
        <w:autoSpaceDN w:val="0"/>
        <w:adjustRightInd w:val="0"/>
        <w:jc w:val="both"/>
        <w:rPr>
          <w:rFonts w:cs="Arial"/>
          <w:szCs w:val="20"/>
        </w:rPr>
      </w:pPr>
    </w:p>
    <w:p w:rsidR="00495A3D" w:rsidRDefault="00495A3D" w:rsidP="00495A3D">
      <w:pPr>
        <w:widowControl w:val="0"/>
        <w:autoSpaceDE w:val="0"/>
        <w:autoSpaceDN w:val="0"/>
        <w:adjustRightInd w:val="0"/>
        <w:jc w:val="both"/>
        <w:rPr>
          <w:rFonts w:cs="Arial"/>
          <w:szCs w:val="20"/>
        </w:rPr>
      </w:pPr>
    </w:p>
    <w:p w:rsidR="00495A3D" w:rsidRPr="00495A3D" w:rsidRDefault="00495A3D" w:rsidP="00495A3D">
      <w:pPr>
        <w:jc w:val="both"/>
        <w:rPr>
          <w:lang w:val="ru-RU"/>
        </w:rPr>
      </w:pPr>
      <w:r>
        <w:t>A</w:t>
      </w:r>
      <w:r w:rsidRPr="00495A3D">
        <w:rPr>
          <w:lang w:val="ru-RU"/>
        </w:rPr>
        <w:t>.</w:t>
      </w:r>
      <w:r w:rsidRPr="00495A3D">
        <w:rPr>
          <w:lang w:val="ru-RU"/>
        </w:rPr>
        <w:tab/>
      </w:r>
      <w:r w:rsidRPr="00495A3D">
        <w:rPr>
          <w:u w:val="single"/>
          <w:lang w:val="ru-RU"/>
        </w:rPr>
        <w:t xml:space="preserve">Итоговый бюджет на 2014–2015 гг. после перераспределения средств </w:t>
      </w:r>
    </w:p>
    <w:p w:rsidR="00495A3D" w:rsidRPr="00495A3D" w:rsidRDefault="00495A3D" w:rsidP="00495A3D">
      <w:pPr>
        <w:pStyle w:val="ListParagraph"/>
        <w:tabs>
          <w:tab w:val="left" w:pos="567"/>
        </w:tabs>
        <w:ind w:left="0"/>
        <w:jc w:val="both"/>
        <w:rPr>
          <w:lang w:val="ru-RU"/>
        </w:rPr>
      </w:pPr>
    </w:p>
    <w:p w:rsidR="00495A3D" w:rsidRPr="00495A3D" w:rsidRDefault="00495A3D" w:rsidP="00495A3D">
      <w:pPr>
        <w:pStyle w:val="ListParagraph"/>
        <w:numPr>
          <w:ilvl w:val="0"/>
          <w:numId w:val="62"/>
        </w:numPr>
        <w:tabs>
          <w:tab w:val="left" w:pos="567"/>
        </w:tabs>
        <w:ind w:left="0" w:firstLine="0"/>
        <w:jc w:val="both"/>
        <w:rPr>
          <w:lang w:val="ru-RU"/>
        </w:rPr>
      </w:pPr>
      <w:r w:rsidRPr="00495A3D">
        <w:rPr>
          <w:lang w:val="ru-RU"/>
        </w:rPr>
        <w:t>Уменьшение итогового бюджета на 2014–2015</w:t>
      </w:r>
      <w:r>
        <w:t> </w:t>
      </w:r>
      <w:r w:rsidRPr="00495A3D">
        <w:rPr>
          <w:lang w:val="ru-RU"/>
        </w:rPr>
        <w:t xml:space="preserve">гг. после перераспределения средств преимущественно отражает перераспределение ресурсов, связанных с персоналом (с передачей одной должности в другую программу). </w:t>
      </w:r>
    </w:p>
    <w:p w:rsidR="00495A3D" w:rsidRPr="00495A3D" w:rsidRDefault="00495A3D" w:rsidP="00495A3D">
      <w:pPr>
        <w:jc w:val="both"/>
        <w:rPr>
          <w:u w:val="single"/>
          <w:lang w:val="ru-RU"/>
        </w:rPr>
      </w:pPr>
    </w:p>
    <w:p w:rsidR="00495A3D" w:rsidRPr="00495A3D" w:rsidRDefault="00495A3D" w:rsidP="00495A3D">
      <w:pPr>
        <w:jc w:val="both"/>
        <w:rPr>
          <w:u w:val="single"/>
          <w:lang w:val="ru-RU"/>
        </w:rPr>
      </w:pPr>
      <w:r>
        <w:t>B</w:t>
      </w:r>
      <w:r w:rsidRPr="00495A3D">
        <w:rPr>
          <w:lang w:val="ru-RU"/>
        </w:rPr>
        <w:t>.</w:t>
      </w:r>
      <w:r w:rsidRPr="00495A3D">
        <w:rPr>
          <w:lang w:val="ru-RU"/>
        </w:rPr>
        <w:tab/>
      </w:r>
      <w:r w:rsidRPr="00495A3D">
        <w:rPr>
          <w:u w:val="single"/>
          <w:lang w:val="ru-RU"/>
        </w:rPr>
        <w:t xml:space="preserve">Освоение бюджетных средств в 2014–2015 гг. </w:t>
      </w:r>
    </w:p>
    <w:p w:rsidR="00495A3D" w:rsidRPr="00495A3D" w:rsidRDefault="00495A3D" w:rsidP="00495A3D">
      <w:pPr>
        <w:jc w:val="both"/>
        <w:rPr>
          <w:lang w:val="ru-RU"/>
        </w:rPr>
      </w:pPr>
    </w:p>
    <w:p w:rsidR="00F838C5" w:rsidRPr="00495A3D" w:rsidRDefault="00495A3D" w:rsidP="00495A3D">
      <w:pPr>
        <w:pStyle w:val="ListParagraph"/>
        <w:numPr>
          <w:ilvl w:val="0"/>
          <w:numId w:val="62"/>
        </w:numPr>
        <w:tabs>
          <w:tab w:val="left" w:pos="709"/>
        </w:tabs>
        <w:ind w:left="0" w:firstLine="0"/>
        <w:jc w:val="both"/>
        <w:rPr>
          <w:lang w:val="ru-RU"/>
        </w:rPr>
      </w:pPr>
      <w:r w:rsidRPr="00495A3D">
        <w:rPr>
          <w:lang w:val="ru-RU"/>
        </w:rPr>
        <w:t>Снижение расходов на ресурсы, связанные с персоналом, было обусловлено тем, что шел процесс приема на работу сотрудника на одну из должностей.  Снижение расходов на ресурсы, не связанные с персоналом, было в основном обусловлено тем, что проведение независимого обзора выполнения рекомендаций Повестки дня в области развития было отложено (с согласия государств-членов).</w:t>
      </w:r>
    </w:p>
    <w:p w:rsidR="008A4774" w:rsidRPr="00495A3D" w:rsidRDefault="008A4774">
      <w:pPr>
        <w:rPr>
          <w:rFonts w:cs="Arial"/>
          <w:szCs w:val="20"/>
          <w:lang w:val="ru-RU"/>
        </w:rPr>
      </w:pPr>
      <w:r w:rsidRPr="00495A3D">
        <w:rPr>
          <w:rFonts w:cs="Arial"/>
          <w:szCs w:val="20"/>
          <w:lang w:val="ru-RU"/>
        </w:rPr>
        <w:br w:type="page"/>
      </w:r>
    </w:p>
    <w:p w:rsidR="00495A3D" w:rsidRPr="00495A3D" w:rsidRDefault="00495A3D" w:rsidP="00495A3D">
      <w:pPr>
        <w:pStyle w:val="Heading2"/>
        <w:tabs>
          <w:tab w:val="left" w:pos="2268"/>
        </w:tabs>
        <w:ind w:left="1985" w:hanging="1985"/>
        <w:rPr>
          <w:b w:val="0"/>
          <w:caps/>
          <w:lang w:val="ru-RU"/>
        </w:rPr>
      </w:pPr>
      <w:bookmarkStart w:id="79" w:name="_Toc422210491"/>
      <w:bookmarkStart w:id="80" w:name="_Toc455388115"/>
      <w:bookmarkStart w:id="81" w:name="_Toc392610038"/>
      <w:r w:rsidRPr="00495A3D">
        <w:rPr>
          <w:lang w:val="ru-RU"/>
        </w:rPr>
        <w:t>ПРОГРАММА 9</w:t>
      </w:r>
      <w:r w:rsidRPr="00495A3D">
        <w:rPr>
          <w:lang w:val="ru-RU"/>
        </w:rPr>
        <w:tab/>
        <w:t>АФРИКА, АРАБСКИЕ СТРАНЫ, АЗИЯ И ТИХООКЕАНСКИЙ РЕГИОН, ЛАТИНСКАЯ АМЕРИКА И СТРАНЫ КАРИБСКОГО БАССЕЙНА, НАИМЕНЕЕ РАЗВИТЫЕ СТРАНЫ</w:t>
      </w:r>
      <w:bookmarkEnd w:id="79"/>
      <w:bookmarkEnd w:id="80"/>
    </w:p>
    <w:p w:rsidR="00495A3D" w:rsidRPr="00495A3D" w:rsidRDefault="00495A3D" w:rsidP="00495A3D">
      <w:pPr>
        <w:tabs>
          <w:tab w:val="left" w:pos="1985"/>
        </w:tabs>
        <w:rPr>
          <w:lang w:val="ru-RU"/>
        </w:rPr>
      </w:pPr>
    </w:p>
    <w:p w:rsidR="00495A3D" w:rsidRPr="00495A3D" w:rsidRDefault="00495A3D" w:rsidP="00495A3D">
      <w:pPr>
        <w:tabs>
          <w:tab w:val="left" w:pos="1985"/>
        </w:tabs>
        <w:rPr>
          <w:b/>
          <w:szCs w:val="22"/>
          <w:lang w:val="ru-RU"/>
        </w:rPr>
      </w:pPr>
      <w:r w:rsidRPr="00495A3D">
        <w:rPr>
          <w:b/>
          <w:lang w:val="ru-RU"/>
        </w:rPr>
        <w:t>Руководитель программы:</w:t>
      </w:r>
      <w:r w:rsidRPr="00495A3D">
        <w:rPr>
          <w:lang w:val="ru-RU"/>
        </w:rPr>
        <w:tab/>
      </w:r>
      <w:r w:rsidRPr="00495A3D">
        <w:rPr>
          <w:b/>
          <w:lang w:val="ru-RU"/>
        </w:rPr>
        <w:t>г-н М. Матус</w:t>
      </w:r>
    </w:p>
    <w:p w:rsidR="00495A3D" w:rsidRPr="00495A3D" w:rsidRDefault="00495A3D" w:rsidP="00495A3D">
      <w:pPr>
        <w:rPr>
          <w:lang w:val="ru-RU"/>
        </w:rPr>
      </w:pPr>
    </w:p>
    <w:p w:rsidR="00495A3D" w:rsidRPr="00495A3D" w:rsidRDefault="00495A3D" w:rsidP="00495A3D">
      <w:pPr>
        <w:rPr>
          <w:lang w:val="ru-RU"/>
        </w:rPr>
      </w:pPr>
    </w:p>
    <w:p w:rsidR="00495A3D" w:rsidRPr="00495A3D" w:rsidRDefault="00495A3D" w:rsidP="00495A3D">
      <w:pPr>
        <w:rPr>
          <w:bCs/>
          <w:sz w:val="22"/>
          <w:szCs w:val="22"/>
          <w:lang w:val="ru-RU"/>
        </w:rPr>
      </w:pPr>
      <w:r w:rsidRPr="00495A3D">
        <w:rPr>
          <w:sz w:val="22"/>
          <w:lang w:val="ru-RU"/>
        </w:rPr>
        <w:t>ОБЗОР ДОСТИЖЕНИЙ ЗА ДВУХЛЕТНИЙ ПЕРИОД 2014–2015</w:t>
      </w:r>
      <w:r>
        <w:rPr>
          <w:sz w:val="22"/>
        </w:rPr>
        <w:t> </w:t>
      </w:r>
      <w:r w:rsidRPr="00495A3D">
        <w:rPr>
          <w:sz w:val="22"/>
          <w:lang w:val="ru-RU"/>
        </w:rPr>
        <w:t>ГГ.</w:t>
      </w:r>
      <w:bookmarkEnd w:id="81"/>
    </w:p>
    <w:p w:rsidR="00495A3D" w:rsidRPr="00495A3D" w:rsidRDefault="00495A3D" w:rsidP="00495A3D">
      <w:pPr>
        <w:pStyle w:val="ListParagraph"/>
        <w:ind w:left="0"/>
        <w:jc w:val="bot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В рамках достижения Стратегической цели</w:t>
      </w:r>
      <w:r>
        <w:t> III</w:t>
      </w:r>
      <w:r w:rsidRPr="00495A3D">
        <w:rPr>
          <w:lang w:val="ru-RU"/>
        </w:rPr>
        <w:t>, предполагающей содействие использованию ИС в интересах развития, в рассматриваемый двухлетний период по линии программы продолжалось оказание технической помощи с учетом конкретных потребностей и специфики стран-получателей, а также поддержка государств-членов.  Выступая в качестве основного связующего звена между государствами-бенефициарами и различными программами ВОИС, программа</w:t>
      </w:r>
      <w:r>
        <w:t> </w:t>
      </w:r>
      <w:r w:rsidRPr="00495A3D">
        <w:rPr>
          <w:lang w:val="ru-RU"/>
        </w:rPr>
        <w:t xml:space="preserve">9 продолжала обеспечивать оказание технической помощи с учетом конкретных потребностей и специфики стран-получателей последовательным и скоординированным образом. В целом разработка, планирование и осуществление деятельности по оказанию технической помощи производились с учетом и на основе соответствующих рекомендаций ПДР, в частности рекомендаций кластера </w:t>
      </w:r>
      <w:r>
        <w:t>A</w:t>
      </w:r>
      <w:r w:rsidRPr="00495A3D">
        <w:rPr>
          <w:lang w:val="ru-RU"/>
        </w:rPr>
        <w:t>, посвященного технической помощи ВОИС и созданию потенциала.  Кроме того, в 2014–2015</w:t>
      </w:r>
      <w:r>
        <w:t> </w:t>
      </w:r>
      <w:r w:rsidRPr="00495A3D">
        <w:rPr>
          <w:lang w:val="ru-RU"/>
        </w:rPr>
        <w:t>гг. в соответствии с рекомендациями ПДР продолжалась интеграция ориентированной на развитие деятельности в развивающихся странах и НРС в различные специализированные программы Организации в целях дальнейшего укрепления технического сотрудничества ВОИС.</w:t>
      </w:r>
    </w:p>
    <w:p w:rsidR="00495A3D" w:rsidRPr="00495A3D" w:rsidRDefault="00495A3D" w:rsidP="00495A3D">
      <w:pPr>
        <w:pStyle w:val="ListParagraph"/>
        <w:ind w:left="0"/>
        <w:jc w:val="bot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ВОИС продолжала оказывать помощь развивающимся странам и НРС в формулировании, разработке и реализации национальных стратегий в области ИС, соответствующих их общим планам в области развития и способствующих инновациям и творчеству.  Эта деятельность осуществлялась на основе применения стандартизированной и в то же время гибкой методологии и комплекса практических инструментов разработки национальных стратегий и планов в области ИС, выработанных в 2012</w:t>
      </w:r>
      <w:r>
        <w:t> </w:t>
      </w:r>
      <w:r w:rsidRPr="00495A3D">
        <w:rPr>
          <w:lang w:val="ru-RU"/>
        </w:rPr>
        <w:t>г. в рамках проекта ПДР «Совершенствование национального, субрегионального и регионального потенциала в области институционального развития и использования ИС».  В результате этих усилий 15 стран (шесть в Африке, пять в Азиатско-Тихоокеанском регионе и четыре в регионе Латинской Америки и Карибского бассейна) приступили к разработке национальных стратегий и планов развития в области ИС, и в 13 странах (четырех в Африке, трех в Арабском регионе, двух в Азиатско-Тихоокеанском регионе и четырех в регионе Латинской Америки и Карибского бассейна) по состоянию на конец 2014</w:t>
      </w:r>
      <w:r>
        <w:t> </w:t>
      </w:r>
      <w:r w:rsidRPr="00495A3D">
        <w:rPr>
          <w:lang w:val="ru-RU"/>
        </w:rPr>
        <w:t>г. работа по составлению и/или принятию таких стратегий и планов еще продолжалась. В конце 2014–2015</w:t>
      </w:r>
      <w:r>
        <w:t> </w:t>
      </w:r>
      <w:r w:rsidRPr="00495A3D">
        <w:rPr>
          <w:lang w:val="ru-RU"/>
        </w:rPr>
        <w:t>гг. национальные стратегии ИС/планы развития были приняты и/или находились на стадии реализации в общей сложности в 4</w:t>
      </w:r>
      <w:r w:rsidR="008275C3">
        <w:rPr>
          <w:lang w:val="ru-RU"/>
        </w:rPr>
        <w:t>4</w:t>
      </w:r>
      <w:r>
        <w:t> </w:t>
      </w:r>
      <w:r w:rsidRPr="00495A3D">
        <w:rPr>
          <w:lang w:val="ru-RU"/>
        </w:rPr>
        <w:t xml:space="preserve">странах (в 26 странах в Африке, двух странах в Арабском регионе, </w:t>
      </w:r>
      <w:r w:rsidR="008275C3">
        <w:rPr>
          <w:lang w:val="ru-RU"/>
        </w:rPr>
        <w:t>восьми</w:t>
      </w:r>
      <w:r w:rsidRPr="00495A3D">
        <w:rPr>
          <w:lang w:val="ru-RU"/>
        </w:rPr>
        <w:t xml:space="preserve"> странах в Азиатско-Тихоокеанском регионе и восьми странах в регионе Латинской Америки и Карибского бассейна), 1</w:t>
      </w:r>
      <w:r w:rsidR="008275C3">
        <w:rPr>
          <w:lang w:val="ru-RU"/>
        </w:rPr>
        <w:t>9</w:t>
      </w:r>
      <w:r w:rsidRPr="00495A3D">
        <w:rPr>
          <w:lang w:val="ru-RU"/>
        </w:rPr>
        <w:t xml:space="preserve"> из которых являются НРС. </w:t>
      </w:r>
    </w:p>
    <w:p w:rsidR="00495A3D" w:rsidRPr="00495A3D" w:rsidRDefault="00495A3D" w:rsidP="00495A3D">
      <w:pPr>
        <w:pStyle w:val="ListParagraph"/>
        <w:ind w:left="0"/>
        <w:jc w:val="both"/>
        <w:rPr>
          <w:bCs/>
          <w:lang w:val="ru-RU"/>
        </w:rPr>
      </w:pPr>
    </w:p>
    <w:p w:rsidR="00495A3D" w:rsidRPr="00495A3D" w:rsidRDefault="00495A3D" w:rsidP="00BF61DC">
      <w:pPr>
        <w:pStyle w:val="ListParagraph"/>
        <w:numPr>
          <w:ilvl w:val="1"/>
          <w:numId w:val="105"/>
        </w:numPr>
        <w:contextualSpacing/>
        <w:jc w:val="both"/>
        <w:rPr>
          <w:lang w:val="ru-RU"/>
        </w:rPr>
      </w:pPr>
      <w:r w:rsidRPr="00495A3D">
        <w:rPr>
          <w:lang w:val="ru-RU"/>
        </w:rPr>
        <w:t>ВОИС впервые настолько активно занималась оказанием содействия региональной группе в формировании комплексного регионального механизма ИС.  В октябре 2014</w:t>
      </w:r>
      <w:r>
        <w:t> </w:t>
      </w:r>
      <w:r w:rsidRPr="00495A3D">
        <w:rPr>
          <w:lang w:val="ru-RU"/>
        </w:rPr>
        <w:t>г. один координатор от каждой страны Ассоциации государств Юго-Восточной Азии (АСЕАН) принял участие в аналитическом семинаре по разработке Стратегического плана АСЕАН по ПИС на 2016–2025</w:t>
      </w:r>
      <w:r>
        <w:t> </w:t>
      </w:r>
      <w:r w:rsidRPr="00495A3D">
        <w:rPr>
          <w:lang w:val="ru-RU"/>
        </w:rPr>
        <w:t>гг. в соответствии со стратегией Экономического сообщества АСЕАН (ЭСА) на 2016–2025</w:t>
      </w:r>
      <w:r>
        <w:t> </w:t>
      </w:r>
      <w:r w:rsidRPr="00495A3D">
        <w:rPr>
          <w:lang w:val="ru-RU"/>
        </w:rPr>
        <w:t xml:space="preserve">гг.  </w:t>
      </w:r>
    </w:p>
    <w:p w:rsidR="00495A3D" w:rsidRPr="00495A3D" w:rsidRDefault="00495A3D" w:rsidP="00495A3D">
      <w:pPr>
        <w:contextualSpacing/>
        <w:jc w:val="both"/>
        <w:rPr>
          <w:bCs/>
          <w:lang w:val="ru-RU"/>
        </w:rPr>
      </w:pPr>
    </w:p>
    <w:p w:rsidR="00495A3D" w:rsidRPr="00495A3D" w:rsidRDefault="00495A3D" w:rsidP="00BF61DC">
      <w:pPr>
        <w:pStyle w:val="ListParagraph"/>
        <w:numPr>
          <w:ilvl w:val="1"/>
          <w:numId w:val="105"/>
        </w:numPr>
        <w:contextualSpacing/>
        <w:jc w:val="both"/>
        <w:rPr>
          <w:rFonts w:eastAsia="SimSun"/>
          <w:bCs/>
          <w:lang w:val="ru-RU"/>
        </w:rPr>
      </w:pPr>
      <w:r w:rsidRPr="00495A3D">
        <w:rPr>
          <w:lang w:val="ru-RU"/>
        </w:rPr>
        <w:t>Приоритетным направлением работы в рассматриваемый двухлетний период оставалось укрепление кадрового потенциала, позволяющего выполнять широкий спектр требований в отношении эффективного использования ИС в целях развития и поощрения инноваций и творчества. Были проведены целевые программы по наращиванию потенциала и развитию навыков, адресованные конкретным целевым группам, таким как официальные должностные лица, директивные органы, специалисты, исследователи и ученые, предприниматели и промышленники, чья работа связана с ИС, а также для МСП на национальном, субрегиональном и региональном уровнях.</w:t>
      </w:r>
    </w:p>
    <w:p w:rsidR="00495A3D" w:rsidRPr="00495A3D" w:rsidRDefault="00495A3D" w:rsidP="00495A3D">
      <w:pPr>
        <w:contextualSpacing/>
        <w:jc w:val="both"/>
        <w:rPr>
          <w:bCs/>
          <w:lang w:val="ru-RU"/>
        </w:rPr>
      </w:pPr>
    </w:p>
    <w:p w:rsidR="00495A3D" w:rsidRPr="00495A3D" w:rsidRDefault="00495A3D" w:rsidP="00BF61DC">
      <w:pPr>
        <w:pStyle w:val="ListParagraph"/>
        <w:numPr>
          <w:ilvl w:val="1"/>
          <w:numId w:val="105"/>
        </w:numPr>
        <w:contextualSpacing/>
        <w:jc w:val="both"/>
        <w:rPr>
          <w:b/>
          <w:bCs/>
          <w:lang w:val="ru-RU"/>
        </w:rPr>
      </w:pPr>
      <w:r w:rsidRPr="00495A3D">
        <w:rPr>
          <w:lang w:val="ru-RU"/>
        </w:rPr>
        <w:t>В 2014–2015</w:t>
      </w:r>
      <w:r>
        <w:t> </w:t>
      </w:r>
      <w:r w:rsidRPr="00495A3D">
        <w:rPr>
          <w:lang w:val="ru-RU"/>
        </w:rPr>
        <w:t>гг. ВОИС продолжала наращивать помощь ведомствам ИС в развивающихся странах и НРС, с тем чтобы они могли оказывать своим партнерам более качественные услуги при более низких затратах в области модернизации ИС и технической инфраструктуры, создавая более благоприятную среду для эффективного использования информации по ИС, в частности, институтами, отвечающими за администрирование прав ИС, национальными инновационными системами и промышленным сектором. По данным на конец 2015</w:t>
      </w:r>
      <w:r>
        <w:t> </w:t>
      </w:r>
      <w:r w:rsidRPr="00495A3D">
        <w:rPr>
          <w:lang w:val="ru-RU"/>
        </w:rPr>
        <w:t>г. порядка 70</w:t>
      </w:r>
      <w:r>
        <w:t> </w:t>
      </w:r>
      <w:r w:rsidRPr="00495A3D">
        <w:rPr>
          <w:lang w:val="ru-RU"/>
        </w:rPr>
        <w:t>ведомств ИС использовали системы ВОИС для ведомств ИС в различных регионах: 24 в Африке, 14 в Арабском регионе, 13 в Азиатско-Тихоокеанском регионе и 19 в регионе Латинской Америки и Карибского бассейна (более подробная информация представлена в программе 15).</w:t>
      </w:r>
    </w:p>
    <w:p w:rsidR="00495A3D" w:rsidRPr="00495A3D" w:rsidRDefault="00495A3D" w:rsidP="00495A3D">
      <w:pPr>
        <w:tabs>
          <w:tab w:val="left" w:pos="709"/>
        </w:tabs>
        <w:jc w:val="both"/>
        <w:rPr>
          <w:rFonts w:eastAsia="SimSun"/>
          <w:bCs/>
          <w:lang w:val="ru-RU"/>
        </w:rPr>
      </w:pPr>
    </w:p>
    <w:p w:rsidR="00495A3D" w:rsidRPr="00495A3D" w:rsidRDefault="00495A3D" w:rsidP="00BF61DC">
      <w:pPr>
        <w:pStyle w:val="ListParagraph"/>
        <w:numPr>
          <w:ilvl w:val="1"/>
          <w:numId w:val="105"/>
        </w:numPr>
        <w:contextualSpacing/>
        <w:jc w:val="both"/>
        <w:rPr>
          <w:rFonts w:eastAsia="SimSun"/>
          <w:bCs/>
          <w:lang w:val="ru-RU"/>
        </w:rPr>
      </w:pPr>
      <w:r w:rsidRPr="00495A3D">
        <w:rPr>
          <w:lang w:val="ru-RU"/>
        </w:rPr>
        <w:t>Одним из приоритетов по-прежнему было содействие доступу к глобальным базам данных о технологиях.  В рассматриваемый двухлетний период особый акцент был сделан на укреплении действующих Центров поддержки технологий и инноваций (ЦПТИ) в целях обеспечения их долгосрочной устойчивости.  К концу 2015</w:t>
      </w:r>
      <w:r>
        <w:t> </w:t>
      </w:r>
      <w:r w:rsidRPr="00495A3D">
        <w:rPr>
          <w:lang w:val="ru-RU"/>
        </w:rPr>
        <w:t>г. из 49</w:t>
      </w:r>
      <w:r>
        <w:t> </w:t>
      </w:r>
      <w:r w:rsidRPr="00495A3D">
        <w:rPr>
          <w:lang w:val="ru-RU"/>
        </w:rPr>
        <w:t>ЦПТИ, созданных в разных регионах, 24 ЦПТИ рассматривались как устойчивые: 10 в Африке (в том числе в восьми НРС); три в Арабском регионе; четыре в Азиатско-Тихоокеанском регионе (в том числе в одной НРС) и семь в регионе Латинской Америки и Карибского бассейна (более подробная информация представлена в программе 14).</w:t>
      </w:r>
    </w:p>
    <w:p w:rsidR="00495A3D" w:rsidRPr="00495A3D" w:rsidRDefault="00495A3D" w:rsidP="00495A3D">
      <w:pPr>
        <w:tabs>
          <w:tab w:val="left" w:pos="709"/>
        </w:tabs>
        <w:jc w:val="both"/>
        <w:rPr>
          <w:rFonts w:eastAsia="SimSun"/>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ВОИС также занималась укреплением сотрудничества с НРС в целях создания механизма разработки национальных стратегий в области инноваций, оценки потребностей в технических навыках, содействия доступу к глобальным научно-технологическим и информационным платформам, создания инфраструктуры поддержки инноваций, содействия разработке реестров и наращиванию потенциала в сфере традиционных знаний.  В рамках второй фазы осуществления проекта ПДР «Создание потенциала по использованию надлежащей и конкретной для данной технологии научно-технической информации в качестве решения идентифицированных проблем развития» были подписаны МоВ с четырьмя НРС (Эфиопией, Руандой, Объединенной Республикой Танзания и Угандой), а к концу 2015</w:t>
      </w:r>
      <w:r>
        <w:t> </w:t>
      </w:r>
      <w:r w:rsidRPr="00495A3D">
        <w:rPr>
          <w:lang w:val="ru-RU"/>
        </w:rPr>
        <w:t xml:space="preserve">г. реализация проекта началась в трех НРС (в Эфиопии, Руанде и Объединенной Республике Танзания).   </w:t>
      </w:r>
    </w:p>
    <w:p w:rsidR="00495A3D" w:rsidRPr="00495A3D" w:rsidRDefault="00495A3D" w:rsidP="00495A3D">
      <w:pPr>
        <w:pStyle w:val="ListParagraph"/>
        <w:jc w:val="bot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При этом ВОИС активно взаимодействовала с Высоким представителем Организации Объединенных Наций по наименее развитым странам, развивающимся странам, не имеющим выхода к морю, и малым островным развивающимся государствам в контексте осуществления Стамбульской программы действий.  В 2014</w:t>
      </w:r>
      <w:r>
        <w:t> </w:t>
      </w:r>
      <w:r w:rsidRPr="00495A3D">
        <w:rPr>
          <w:lang w:val="ru-RU"/>
        </w:rPr>
        <w:t>г. по случаю проведения Министерской конференции НРС в Бенине ВОИС провела межрегиональную программу партнерства совместно с Международным союзом электросвязи (МСЭ), Фондом капитального развития Организации Объединенных Наций (ФКРООН) и Организацией Объединенных Наций по промышленному развитию (ЮНИДО).  В 2015</w:t>
      </w:r>
      <w:r>
        <w:t> </w:t>
      </w:r>
      <w:r w:rsidRPr="00495A3D">
        <w:rPr>
          <w:lang w:val="ru-RU"/>
        </w:rPr>
        <w:t xml:space="preserve">г. были созданы два новых форума партнерства и сотрудничества совместно с Экономической и социальной комиссией ООН для Азии и Тихого океана (ЭСКАТО) и Экономической комиссией для Африки (ЭКА).  На основе сотрудничества с ЭСКАТО ООН было предложено подписать МоВ между двумя организациями. Основное внимание уделялось созданию потенциала и укреплению институтов НРС из Африки и Азии.  </w:t>
      </w:r>
    </w:p>
    <w:p w:rsidR="00495A3D" w:rsidRPr="00495A3D" w:rsidRDefault="00495A3D" w:rsidP="00495A3D">
      <w:pPr>
        <w:pStyle w:val="ListParagrap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На основе сотрудничества с правительством Швеции (Шведским ведомством патентов и регистрации) ВОИС продолжала проведение ежегодной Международной учебной программы (</w:t>
      </w:r>
      <w:r>
        <w:t>ITP</w:t>
      </w:r>
      <w:r w:rsidRPr="00495A3D">
        <w:rPr>
          <w:lang w:val="ru-RU"/>
        </w:rPr>
        <w:t>) по вопросам интеллектуальной собственности в глобальной экономике для НРС в целях использования ИС в интересах развития. Эта программа была впервые проведена в 2004</w:t>
      </w:r>
      <w:r>
        <w:t> </w:t>
      </w:r>
      <w:r w:rsidRPr="00495A3D">
        <w:rPr>
          <w:lang w:val="ru-RU"/>
        </w:rPr>
        <w:t>г.  Чтобы определить актуальность, эффективность, результативность, устойчивость и влияние программы за последние 10</w:t>
      </w:r>
      <w:r>
        <w:t> </w:t>
      </w:r>
      <w:r w:rsidRPr="00495A3D">
        <w:rPr>
          <w:lang w:val="ru-RU"/>
        </w:rPr>
        <w:t>лет, Шведское международной агентство сотрудничества в целях развития (</w:t>
      </w:r>
      <w:r>
        <w:t>Sida</w:t>
      </w:r>
      <w:r w:rsidRPr="00495A3D">
        <w:rPr>
          <w:lang w:val="ru-RU"/>
        </w:rPr>
        <w:t>) провело независимую оценку</w:t>
      </w:r>
      <w:r>
        <w:rPr>
          <w:rStyle w:val="FootnoteReference"/>
        </w:rPr>
        <w:footnoteReference w:id="53"/>
      </w:r>
      <w:r w:rsidRPr="00495A3D">
        <w:rPr>
          <w:lang w:val="ru-RU"/>
        </w:rPr>
        <w:t xml:space="preserve"> этой программы в период с февраля 2014</w:t>
      </w:r>
      <w:r>
        <w:t> </w:t>
      </w:r>
      <w:r w:rsidRPr="00495A3D">
        <w:rPr>
          <w:lang w:val="ru-RU"/>
        </w:rPr>
        <w:t>г. по февраль 2015</w:t>
      </w:r>
      <w:r>
        <w:t> </w:t>
      </w:r>
      <w:r w:rsidRPr="00495A3D">
        <w:rPr>
          <w:lang w:val="ru-RU"/>
        </w:rPr>
        <w:t>г. С</w:t>
      </w:r>
      <w:r>
        <w:t> </w:t>
      </w:r>
      <w:r w:rsidRPr="00495A3D">
        <w:rPr>
          <w:lang w:val="ru-RU"/>
        </w:rPr>
        <w:t>учетом полученных результатов, которые в целом были очень хорошими, начиная с 2016</w:t>
      </w:r>
      <w:r>
        <w:t> </w:t>
      </w:r>
      <w:r w:rsidRPr="00495A3D">
        <w:rPr>
          <w:lang w:val="ru-RU"/>
        </w:rPr>
        <w:t xml:space="preserve">г. эта программа будет проводиться два раза в год.   </w:t>
      </w:r>
    </w:p>
    <w:p w:rsidR="00495A3D" w:rsidRPr="00495A3D" w:rsidRDefault="00495A3D" w:rsidP="00495A3D">
      <w:pPr>
        <w:pStyle w:val="ListParagraph"/>
        <w:ind w:left="0"/>
        <w:contextualSpacing/>
        <w:jc w:val="bot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Проект «Расширение сотрудничества Юг-Юг (</w:t>
      </w:r>
      <w:r>
        <w:t>SSC</w:t>
      </w:r>
      <w:r w:rsidRPr="00495A3D">
        <w:rPr>
          <w:lang w:val="ru-RU"/>
        </w:rPr>
        <w:t>) по вопросам ИС и развития между развивающимися и наименее развитыми странами», который был завершен и оценен в 2014</w:t>
      </w:r>
      <w:r>
        <w:t> </w:t>
      </w:r>
      <w:r w:rsidRPr="00495A3D">
        <w:rPr>
          <w:lang w:val="ru-RU"/>
        </w:rPr>
        <w:t>г., был продлен до июня 2015</w:t>
      </w:r>
      <w:r>
        <w:t> </w:t>
      </w:r>
      <w:r w:rsidRPr="00495A3D">
        <w:rPr>
          <w:lang w:val="ru-RU"/>
        </w:rPr>
        <w:t xml:space="preserve">г. После этого для </w:t>
      </w:r>
      <w:r>
        <w:t>SSC</w:t>
      </w:r>
      <w:r w:rsidRPr="00495A3D">
        <w:rPr>
          <w:lang w:val="ru-RU"/>
        </w:rPr>
        <w:t xml:space="preserve"> был назначен специальный координатор в Секторе развития.  В мае 2014</w:t>
      </w:r>
      <w:r>
        <w:t> </w:t>
      </w:r>
      <w:r w:rsidRPr="00495A3D">
        <w:rPr>
          <w:lang w:val="ru-RU"/>
        </w:rPr>
        <w:t>г. официально начала работу веб-страница сотрудничества Юг-Юг</w:t>
      </w:r>
      <w:r>
        <w:rPr>
          <w:rStyle w:val="FootnoteReference"/>
        </w:rPr>
        <w:footnoteReference w:id="54"/>
      </w:r>
      <w:r w:rsidRPr="00495A3D">
        <w:rPr>
          <w:lang w:val="ru-RU"/>
        </w:rPr>
        <w:t>, на которой размещены его веб-платформы, база данных технической помощи Юг-Юг (БДТП-ИС Юг-Юг) и Реестр консультантов (РК-ИС Юг-ЮГ), непосредственно участвующих в деятельности по этой линии. Следует отметить, что был проведен анализ критериев деятельности в рамках сотрудничества Юг-Юг с точки зрения применяющихся в системе ООН определений такого сотрудничества и мандата ВОИС.  В результате в двухлетний период 2014–2015</w:t>
      </w:r>
      <w:r>
        <w:t> </w:t>
      </w:r>
      <w:r w:rsidRPr="00495A3D">
        <w:rPr>
          <w:lang w:val="ru-RU"/>
        </w:rPr>
        <w:t>гг. была составлена схема таких инициатив с использованием Базы данных о технической помощи в области ИС (БДТП-ИС)</w:t>
      </w:r>
      <w:r>
        <w:rPr>
          <w:vertAlign w:val="superscript"/>
        </w:rPr>
        <w:footnoteReference w:id="55"/>
      </w:r>
      <w:r w:rsidRPr="00495A3D">
        <w:rPr>
          <w:lang w:val="ru-RU"/>
        </w:rPr>
        <w:t xml:space="preserve">.  </w:t>
      </w:r>
    </w:p>
    <w:p w:rsidR="00495A3D" w:rsidRPr="00495A3D" w:rsidRDefault="00495A3D" w:rsidP="00495A3D">
      <w:pPr>
        <w:pStyle w:val="ListParagraph"/>
        <w:ind w:left="0"/>
        <w:contextualSpacing/>
        <w:jc w:val="bot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В рамках программы также продолжалось оказание поддержки по ряду запросов о помощи в отношении охраны и брендинга продуктов, связанных с местом происхождения</w:t>
      </w:r>
      <w:r w:rsidR="008275C3">
        <w:rPr>
          <w:lang w:val="ru-RU"/>
        </w:rPr>
        <w:t xml:space="preserve">, в частности в виде реализации </w:t>
      </w:r>
      <w:r w:rsidRPr="00495A3D">
        <w:rPr>
          <w:lang w:val="ru-RU"/>
        </w:rPr>
        <w:t xml:space="preserve">многосторонних инициатив с международными и региональными партнерами, в частности в регионе Карибского бассейна, Камбодже и Объединённой Республике Танзания, в целях </w:t>
      </w:r>
      <w:r w:rsidR="008275C3">
        <w:rPr>
          <w:lang w:val="ru-RU"/>
        </w:rPr>
        <w:t>укрепления потенциала</w:t>
      </w:r>
      <w:r w:rsidRPr="00495A3D">
        <w:rPr>
          <w:lang w:val="ru-RU"/>
        </w:rPr>
        <w:t xml:space="preserve"> заинтересованных сторон.  </w:t>
      </w:r>
      <w:r w:rsidR="008275C3">
        <w:rPr>
          <w:lang w:val="ru-RU"/>
        </w:rPr>
        <w:t>Кроме того,</w:t>
      </w:r>
      <w:r w:rsidRPr="00495A3D">
        <w:rPr>
          <w:lang w:val="ru-RU"/>
        </w:rPr>
        <w:t xml:space="preserve"> </w:t>
      </w:r>
      <w:r w:rsidR="000D474B">
        <w:rPr>
          <w:lang w:val="ru-RU"/>
        </w:rPr>
        <w:t>к</w:t>
      </w:r>
      <w:r w:rsidR="000D474B" w:rsidRPr="00495A3D">
        <w:rPr>
          <w:lang w:val="ru-RU"/>
        </w:rPr>
        <w:t xml:space="preserve"> Африканской министерской конференции </w:t>
      </w:r>
      <w:r w:rsidR="000D474B">
        <w:rPr>
          <w:lang w:val="ru-RU"/>
        </w:rPr>
        <w:t xml:space="preserve">по теме </w:t>
      </w:r>
      <w:r w:rsidR="000D474B" w:rsidRPr="00495A3D">
        <w:rPr>
          <w:lang w:val="ru-RU"/>
        </w:rPr>
        <w:t>«Интеллектуальная собственность на службе стран Африки с фомирующимся рынком»</w:t>
      </w:r>
      <w:r w:rsidR="000D474B">
        <w:rPr>
          <w:lang w:val="ru-RU"/>
        </w:rPr>
        <w:t xml:space="preserve">, организаванная 3-5 ноября в Дакаре (Сенегал) в сотрудничестве с Африканским союзом, правительством Сенегала и Японским патентным ведомством, которое действовало по линии ЦФ-Япония, </w:t>
      </w:r>
      <w:r w:rsidRPr="00495A3D">
        <w:rPr>
          <w:lang w:val="ru-RU"/>
        </w:rPr>
        <w:t xml:space="preserve">был </w:t>
      </w:r>
      <w:r w:rsidR="008275C3">
        <w:rPr>
          <w:lang w:val="ru-RU"/>
        </w:rPr>
        <w:t>опубликован</w:t>
      </w:r>
      <w:r w:rsidRPr="00495A3D">
        <w:rPr>
          <w:lang w:val="ru-RU"/>
        </w:rPr>
        <w:t xml:space="preserve"> доклад</w:t>
      </w:r>
      <w:r w:rsidR="000D474B">
        <w:rPr>
          <w:lang w:val="ru-RU"/>
        </w:rPr>
        <w:t xml:space="preserve"> под названием</w:t>
      </w:r>
      <w:r w:rsidRPr="00495A3D">
        <w:rPr>
          <w:lang w:val="ru-RU"/>
        </w:rPr>
        <w:t xml:space="preserve"> «Африканская индустрия моды: создание стоимости с помощью интеллектуальной собственности»</w:t>
      </w:r>
      <w:r>
        <w:rPr>
          <w:vertAlign w:val="superscript"/>
        </w:rPr>
        <w:footnoteReference w:id="56"/>
      </w:r>
      <w:r w:rsidR="008275C3">
        <w:rPr>
          <w:lang w:val="ru-RU"/>
        </w:rPr>
        <w:t>,</w:t>
      </w:r>
      <w:r w:rsidRPr="00495A3D">
        <w:rPr>
          <w:lang w:val="ru-RU"/>
        </w:rPr>
        <w:t xml:space="preserve"> подготовлен</w:t>
      </w:r>
      <w:r w:rsidR="008275C3">
        <w:rPr>
          <w:lang w:val="ru-RU"/>
        </w:rPr>
        <w:t>ный</w:t>
      </w:r>
      <w:r w:rsidRPr="00495A3D">
        <w:rPr>
          <w:lang w:val="ru-RU"/>
        </w:rPr>
        <w:t xml:space="preserve"> на материале семи африканских стран (Камерун, Эфиопи</w:t>
      </w:r>
      <w:r w:rsidR="008275C3">
        <w:rPr>
          <w:lang w:val="ru-RU"/>
        </w:rPr>
        <w:t>я, Гана</w:t>
      </w:r>
      <w:r w:rsidRPr="00495A3D">
        <w:rPr>
          <w:lang w:val="ru-RU"/>
        </w:rPr>
        <w:t>, Нигери</w:t>
      </w:r>
      <w:r w:rsidR="008275C3">
        <w:rPr>
          <w:lang w:val="ru-RU"/>
        </w:rPr>
        <w:t>я</w:t>
      </w:r>
      <w:r w:rsidRPr="00495A3D">
        <w:rPr>
          <w:lang w:val="ru-RU"/>
        </w:rPr>
        <w:t>, Сенегал, Южн</w:t>
      </w:r>
      <w:r w:rsidR="008275C3">
        <w:rPr>
          <w:lang w:val="ru-RU"/>
        </w:rPr>
        <w:t>ая</w:t>
      </w:r>
      <w:r w:rsidRPr="00495A3D">
        <w:rPr>
          <w:lang w:val="ru-RU"/>
        </w:rPr>
        <w:t xml:space="preserve"> Африк</w:t>
      </w:r>
      <w:r w:rsidR="008275C3">
        <w:rPr>
          <w:lang w:val="ru-RU"/>
        </w:rPr>
        <w:t>а</w:t>
      </w:r>
      <w:r w:rsidRPr="00495A3D">
        <w:rPr>
          <w:lang w:val="ru-RU"/>
        </w:rPr>
        <w:t xml:space="preserve"> и Зимбабве). </w:t>
      </w:r>
    </w:p>
    <w:p w:rsidR="00495A3D" w:rsidRPr="00495A3D" w:rsidRDefault="00495A3D" w:rsidP="00495A3D">
      <w:pPr>
        <w:pStyle w:val="ListParagraph"/>
        <w:ind w:left="0"/>
        <w:contextualSpacing/>
        <w:jc w:val="both"/>
        <w:rPr>
          <w:bCs/>
          <w:lang w:val="ru-RU"/>
        </w:rPr>
      </w:pPr>
    </w:p>
    <w:p w:rsidR="00495A3D" w:rsidRPr="00495A3D" w:rsidRDefault="000D474B" w:rsidP="00BF61DC">
      <w:pPr>
        <w:pStyle w:val="ListParagraph"/>
        <w:numPr>
          <w:ilvl w:val="1"/>
          <w:numId w:val="105"/>
        </w:numPr>
        <w:contextualSpacing/>
        <w:jc w:val="both"/>
        <w:rPr>
          <w:bCs/>
          <w:lang w:val="ru-RU"/>
        </w:rPr>
      </w:pPr>
      <w:r>
        <w:rPr>
          <w:lang w:val="ru-RU"/>
        </w:rPr>
        <w:t>На этой конференции</w:t>
      </w:r>
      <w:r w:rsidR="00495A3D" w:rsidRPr="00495A3D">
        <w:rPr>
          <w:lang w:val="ru-RU"/>
        </w:rPr>
        <w:t xml:space="preserve"> </w:t>
      </w:r>
      <w:r>
        <w:rPr>
          <w:lang w:val="ru-RU"/>
        </w:rPr>
        <w:t xml:space="preserve">была принята </w:t>
      </w:r>
      <w:r w:rsidR="00495A3D" w:rsidRPr="00495A3D">
        <w:rPr>
          <w:lang w:val="ru-RU"/>
        </w:rPr>
        <w:t>«Дакарская декларация по интеллектуальной собственности для Африки»</w:t>
      </w:r>
      <w:r>
        <w:rPr>
          <w:lang w:val="ru-RU"/>
        </w:rPr>
        <w:t>, устанавливающая</w:t>
      </w:r>
      <w:r w:rsidR="00495A3D" w:rsidRPr="00495A3D">
        <w:rPr>
          <w:lang w:val="ru-RU"/>
        </w:rPr>
        <w:t xml:space="preserve"> принципы сотрудничества между ВОИС и Африканским союзом в целях проведения на континенте связанных с ИС мероприятий. </w:t>
      </w:r>
      <w:r>
        <w:rPr>
          <w:lang w:val="ru-RU"/>
        </w:rPr>
        <w:t>Кроме того, п</w:t>
      </w:r>
      <w:r w:rsidR="00495A3D" w:rsidRPr="00495A3D">
        <w:rPr>
          <w:lang w:val="ru-RU"/>
        </w:rPr>
        <w:t>родолжалось укрепление сотрудничества с двумя африканскими региональными организациями, занимающимися вопросами ИС (АРОИС</w:t>
      </w:r>
      <w:r>
        <w:rPr>
          <w:lang w:val="ru-RU"/>
        </w:rPr>
        <w:t xml:space="preserve"> и</w:t>
      </w:r>
      <w:r w:rsidRPr="000D474B">
        <w:rPr>
          <w:lang w:val="ru-RU"/>
        </w:rPr>
        <w:t xml:space="preserve"> </w:t>
      </w:r>
      <w:r w:rsidRPr="00495A3D">
        <w:rPr>
          <w:lang w:val="ru-RU"/>
        </w:rPr>
        <w:t>АОИС</w:t>
      </w:r>
      <w:r w:rsidR="00495A3D" w:rsidRPr="00495A3D">
        <w:rPr>
          <w:lang w:val="ru-RU"/>
        </w:rPr>
        <w:t xml:space="preserve">). </w:t>
      </w:r>
    </w:p>
    <w:p w:rsidR="00495A3D" w:rsidRPr="00495A3D" w:rsidRDefault="00495A3D" w:rsidP="00495A3D">
      <w:pPr>
        <w:pStyle w:val="ListParagraph"/>
        <w:ind w:left="0"/>
        <w:contextualSpacing/>
        <w:jc w:val="bot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ВОИС организовала Седьмое региональное координационное совещание глав ведомств ИС арабских стран в 2015</w:t>
      </w:r>
      <w:r>
        <w:t> </w:t>
      </w:r>
      <w:r w:rsidRPr="00495A3D">
        <w:rPr>
          <w:lang w:val="ru-RU"/>
        </w:rPr>
        <w:t>г. и две встречи высокого уровня в Центрально-Американском регионе для отвечающих за вопросы ИС директоров и руководителей научно технологических институтов региона.  В Азии проведение Конференции глав ведомств интеллектуальной собственности (</w:t>
      </w:r>
      <w:r>
        <w:t>HIPOC</w:t>
      </w:r>
      <w:r w:rsidRPr="00495A3D">
        <w:rPr>
          <w:lang w:val="ru-RU"/>
        </w:rPr>
        <w:t>) ознаменовало появление новой платформы для обмена идеями и опытом.  Результатом сотрудничества с Межамериканским банком развития стал проект Регионального центра по коммерциализации предпринимательских знаний (</w:t>
      </w:r>
      <w:r>
        <w:t>REACH</w:t>
      </w:r>
      <w:r w:rsidRPr="00495A3D">
        <w:rPr>
          <w:lang w:val="ru-RU"/>
        </w:rPr>
        <w:t>) для стран Карибского региона.  Его цель состоит в том, чтобы поощрять эффективное управление нематериальным активами посредством создания трех центров поддержки в трех конкретных областях деятельности: технологический менеджмент, творческие отрасли и брендинг продукции.</w:t>
      </w:r>
    </w:p>
    <w:p w:rsidR="00495A3D" w:rsidRPr="00495A3D" w:rsidRDefault="00495A3D" w:rsidP="00495A3D">
      <w:pPr>
        <w:pStyle w:val="ListParagraph"/>
        <w:ind w:left="0"/>
        <w:rPr>
          <w:bCs/>
          <w:lang w:val="ru-RU"/>
        </w:rPr>
      </w:pPr>
    </w:p>
    <w:p w:rsidR="00495A3D" w:rsidRPr="00495A3D" w:rsidRDefault="00495A3D" w:rsidP="00BF61DC">
      <w:pPr>
        <w:pStyle w:val="ListParagraph"/>
        <w:numPr>
          <w:ilvl w:val="1"/>
          <w:numId w:val="105"/>
        </w:numPr>
        <w:jc w:val="both"/>
        <w:rPr>
          <w:bCs/>
          <w:lang w:val="ru-RU"/>
        </w:rPr>
      </w:pPr>
      <w:r w:rsidRPr="00495A3D">
        <w:rPr>
          <w:lang w:val="ru-RU"/>
        </w:rPr>
        <w:t>В 2014–2015</w:t>
      </w:r>
      <w:r>
        <w:t> </w:t>
      </w:r>
      <w:r w:rsidRPr="00495A3D">
        <w:rPr>
          <w:lang w:val="ru-RU"/>
        </w:rPr>
        <w:t xml:space="preserve">гг. в рамках программы осуществлялось содействие и внутренняя координация присоединения нескольких стран и региональных групп к договорам и конвенциям, административные функции которых выполняет ВОИС: двух в Африке (АОИС и Зимбабве) и трех в Арабском регионе (Алжир, Кувейт и Объединенные Арабские Эмираты). </w:t>
      </w:r>
    </w:p>
    <w:p w:rsidR="00495A3D" w:rsidRPr="00495A3D" w:rsidRDefault="00495A3D" w:rsidP="00495A3D">
      <w:pPr>
        <w:pStyle w:val="ListParagraph"/>
        <w:ind w:left="0"/>
        <w:jc w:val="bot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 xml:space="preserve">В рамках программы продолжалась координация и содействие оказанию технической помощи развивающимся странам и НРС в формулировании и модернизации законодательства в области ИС с учетом конкретных национальных требований и гибких возможностей международной системы.  </w:t>
      </w:r>
    </w:p>
    <w:p w:rsidR="00495A3D" w:rsidRPr="00495A3D" w:rsidRDefault="00495A3D" w:rsidP="00495A3D">
      <w:pPr>
        <w:pStyle w:val="ListParagraph"/>
        <w:ind w:left="0"/>
        <w:contextualSpacing/>
        <w:jc w:val="bot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Чтобы помочь государствам-членам принимать более обоснованные решения в приоритетных областях ВОИС, в 2014</w:t>
      </w:r>
      <w:r>
        <w:t> </w:t>
      </w:r>
      <w:r w:rsidRPr="00495A3D">
        <w:rPr>
          <w:lang w:val="ru-RU"/>
        </w:rPr>
        <w:t>г. Руководство по оказанию технической помощи в рамках ВОИС (завершено в 2013 г.) было опубликовано на всех шести официальных языках ООН и размещено в интернете</w:t>
      </w:r>
      <w:r>
        <w:rPr>
          <w:rStyle w:val="FootnoteReference"/>
        </w:rPr>
        <w:footnoteReference w:id="57"/>
      </w:r>
      <w:r w:rsidRPr="00495A3D">
        <w:rPr>
          <w:lang w:val="ru-RU"/>
        </w:rPr>
        <w:t xml:space="preserve"> (более подробная информация содержится в программах 1, 2, 3 и 4). Кроме того, в 2014</w:t>
      </w:r>
      <w:r>
        <w:t> </w:t>
      </w:r>
      <w:r w:rsidRPr="00495A3D">
        <w:rPr>
          <w:lang w:val="ru-RU"/>
        </w:rPr>
        <w:t>г. страны Центральной Америки и Доминиканская Республика утвердили «Единое руководство по экспертизе товарных знаков» – инструмент, способствующий обеспечению качества работы и единообразия практики в соответствующих ведомствах ИС в этом регионе, а опубликованная в 2007</w:t>
      </w:r>
      <w:r>
        <w:t> </w:t>
      </w:r>
      <w:r w:rsidRPr="00495A3D">
        <w:rPr>
          <w:lang w:val="ru-RU"/>
        </w:rPr>
        <w:t xml:space="preserve">г. брошюра «Инструменты и услуги ВОИС в области развития» была обновлена и переведена на французский и испанский языки. Эти инструменты дают государствам-членам возможность принимать более информированные решения в отношении приоритетных областей работы ВОИС. </w:t>
      </w:r>
    </w:p>
    <w:p w:rsidR="00495A3D" w:rsidRPr="00495A3D" w:rsidRDefault="00495A3D" w:rsidP="00495A3D">
      <w:pPr>
        <w:contextualSpacing/>
        <w:jc w:val="both"/>
        <w:rPr>
          <w:bCs/>
          <w:lang w:val="ru-RU"/>
        </w:rPr>
      </w:pPr>
    </w:p>
    <w:p w:rsidR="00495A3D" w:rsidRPr="00495A3D" w:rsidRDefault="00495A3D" w:rsidP="00BF61DC">
      <w:pPr>
        <w:pStyle w:val="ListParagraph"/>
        <w:numPr>
          <w:ilvl w:val="1"/>
          <w:numId w:val="105"/>
        </w:numPr>
        <w:contextualSpacing/>
        <w:jc w:val="both"/>
        <w:rPr>
          <w:bCs/>
          <w:lang w:val="ru-RU"/>
        </w:rPr>
      </w:pPr>
      <w:r w:rsidRPr="00495A3D">
        <w:rPr>
          <w:lang w:val="ru-RU"/>
        </w:rPr>
        <w:t>При оказании технической помощи продолжали использоваться специализированные базы данных, в частности, База данных о технической помощи в области интеллектуальной собственности (БДТП-ИС) и Реестр консультантов (РК-ИС), включая интерфейсы для хранения информации по сотрудничеству Юг-Юг, и База данных ВОИС для поиска партнеров (</w:t>
      </w:r>
      <w:r>
        <w:t>IP</w:t>
      </w:r>
      <w:r w:rsidRPr="00495A3D">
        <w:rPr>
          <w:lang w:val="ru-RU"/>
        </w:rPr>
        <w:t>-</w:t>
      </w:r>
      <w:r>
        <w:t>DMD</w:t>
      </w:r>
      <w:r w:rsidRPr="00495A3D">
        <w:rPr>
          <w:lang w:val="ru-RU"/>
        </w:rPr>
        <w:t>). В 2014</w:t>
      </w:r>
      <w:r>
        <w:t> </w:t>
      </w:r>
      <w:r w:rsidRPr="00495A3D">
        <w:rPr>
          <w:lang w:val="ru-RU"/>
        </w:rPr>
        <w:t>г. начала работу База данных по национальным стратегиям ИС (</w:t>
      </w:r>
      <w:r>
        <w:t>NIPS</w:t>
      </w:r>
      <w:r w:rsidRPr="00495A3D">
        <w:rPr>
          <w:lang w:val="ru-RU"/>
        </w:rPr>
        <w:t>-</w:t>
      </w:r>
      <w:r>
        <w:t>D</w:t>
      </w:r>
      <w:r w:rsidRPr="00495A3D">
        <w:rPr>
          <w:lang w:val="ru-RU"/>
        </w:rPr>
        <w:t>), которая была разработана в 2013</w:t>
      </w:r>
      <w:r>
        <w:t> </w:t>
      </w:r>
      <w:r w:rsidRPr="00495A3D">
        <w:rPr>
          <w:lang w:val="ru-RU"/>
        </w:rPr>
        <w:t>г. для сбора соответствующих данных в целях проведения фазы оценки с учетом исходных базовых данных в процессе разработки национальной стратегии ИС, так как все большее число стран используют методологию ВОИС для разработки стратегий ИС. В целях максимизации потенциала этих баз данных их использование тщательно контролировалось, и в ходе рассматриваемого двухлетнего периода проводился опрос пользователей, чтобы обеспечить дальнейшее совершенствование этих систем, сделать их более удобными для пользователей и выявить дополнительные стратегические подходы к их распространению в разных странах.  Однако число стран, использующих БДТП-ИС и РК-ИС, снижалось как в 2014</w:t>
      </w:r>
      <w:r>
        <w:t> </w:t>
      </w:r>
      <w:r w:rsidRPr="00495A3D">
        <w:rPr>
          <w:lang w:val="ru-RU"/>
        </w:rPr>
        <w:t>г. (на 10</w:t>
      </w:r>
      <w:r>
        <w:t> </w:t>
      </w:r>
      <w:r w:rsidRPr="00495A3D">
        <w:rPr>
          <w:lang w:val="ru-RU"/>
        </w:rPr>
        <w:t>процентов по сравнению в 2013</w:t>
      </w:r>
      <w:r>
        <w:t> </w:t>
      </w:r>
      <w:r w:rsidRPr="00495A3D">
        <w:rPr>
          <w:lang w:val="ru-RU"/>
        </w:rPr>
        <w:t>г.), так и в 2015</w:t>
      </w:r>
      <w:r>
        <w:t> </w:t>
      </w:r>
      <w:r w:rsidRPr="00495A3D">
        <w:rPr>
          <w:lang w:val="ru-RU"/>
        </w:rPr>
        <w:t>г. (на 28</w:t>
      </w:r>
      <w:r>
        <w:t> </w:t>
      </w:r>
      <w:r w:rsidRPr="00495A3D">
        <w:rPr>
          <w:lang w:val="ru-RU"/>
        </w:rPr>
        <w:t>процентов по сравнению с 2014</w:t>
      </w:r>
      <w:r>
        <w:t> </w:t>
      </w:r>
      <w:r w:rsidRPr="00495A3D">
        <w:rPr>
          <w:lang w:val="ru-RU"/>
        </w:rPr>
        <w:t>г.); по состоянию на конец 2015</w:t>
      </w:r>
      <w:r w:rsidRPr="00472CE8">
        <w:t> </w:t>
      </w:r>
      <w:r w:rsidRPr="00495A3D">
        <w:rPr>
          <w:lang w:val="ru-RU"/>
        </w:rPr>
        <w:t xml:space="preserve">г. новых партнерств с помощью базы данных БДТП-ИС создано не было, а первичные результаты использования базы данных </w:t>
      </w:r>
      <w:r>
        <w:t>NIPS</w:t>
      </w:r>
      <w:r w:rsidRPr="00495A3D">
        <w:rPr>
          <w:lang w:val="ru-RU"/>
        </w:rPr>
        <w:t>-</w:t>
      </w:r>
      <w:r>
        <w:t>D</w:t>
      </w:r>
      <w:r w:rsidRPr="00495A3D">
        <w:rPr>
          <w:lang w:val="ru-RU"/>
        </w:rPr>
        <w:t xml:space="preserve"> показали, что она используется неэффективно.  </w:t>
      </w:r>
    </w:p>
    <w:p w:rsidR="00495A3D" w:rsidRPr="00495A3D" w:rsidRDefault="00495A3D" w:rsidP="00495A3D">
      <w:pPr>
        <w:pStyle w:val="ListParagraph"/>
        <w:ind w:left="0"/>
        <w:contextualSpacing/>
        <w:jc w:val="both"/>
        <w:rPr>
          <w:bCs/>
          <w:lang w:val="ru-RU"/>
        </w:rPr>
      </w:pPr>
    </w:p>
    <w:p w:rsidR="00495A3D" w:rsidRPr="00495A3D" w:rsidRDefault="00495A3D" w:rsidP="00495A3D">
      <w:pPr>
        <w:rPr>
          <w:bCs/>
          <w:lang w:val="ru-RU"/>
        </w:rPr>
      </w:pPr>
    </w:p>
    <w:p w:rsidR="00495A3D" w:rsidRPr="007861F3" w:rsidRDefault="00495A3D" w:rsidP="00495A3D">
      <w:pPr>
        <w:jc w:val="both"/>
        <w:rPr>
          <w:szCs w:val="22"/>
        </w:rPr>
      </w:pPr>
      <w:r>
        <w:t>ДАННЫЕ О РЕЗУЛЬТАТИВНОСТИ</w:t>
      </w:r>
    </w:p>
    <w:p w:rsidR="00495A3D" w:rsidRPr="007861F3" w:rsidRDefault="00495A3D" w:rsidP="00495A3D">
      <w:pPr>
        <w:rPr>
          <w:bCs/>
        </w:rPr>
      </w:pPr>
    </w:p>
    <w:tbl>
      <w:tblPr>
        <w:tblW w:w="9669"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67"/>
        <w:gridCol w:w="2005"/>
        <w:gridCol w:w="238"/>
        <w:gridCol w:w="139"/>
        <w:gridCol w:w="1420"/>
        <w:gridCol w:w="142"/>
        <w:gridCol w:w="142"/>
        <w:gridCol w:w="2055"/>
        <w:gridCol w:w="72"/>
        <w:gridCol w:w="140"/>
        <w:gridCol w:w="1221"/>
        <w:gridCol w:w="228"/>
      </w:tblGrid>
      <w:tr w:rsidR="00495A3D" w:rsidRPr="005C6ABD" w:rsidTr="00495A3D">
        <w:trPr>
          <w:gridAfter w:val="1"/>
          <w:wAfter w:w="228" w:type="dxa"/>
        </w:trPr>
        <w:tc>
          <w:tcPr>
            <w:tcW w:w="9441" w:type="dxa"/>
            <w:gridSpan w:val="11"/>
            <w:tcBorders>
              <w:top w:val="single" w:sz="4" w:space="0" w:color="auto"/>
              <w:bottom w:val="single" w:sz="4" w:space="0" w:color="auto"/>
            </w:tcBorders>
            <w:shd w:val="clear" w:color="auto" w:fill="C6D9F1" w:themeFill="text2" w:themeFillTint="33"/>
            <w:vAlign w:val="center"/>
          </w:tcPr>
          <w:p w:rsidR="00495A3D" w:rsidRPr="00495A3D" w:rsidRDefault="00495A3D" w:rsidP="003A5C2E">
            <w:pPr>
              <w:keepNext/>
              <w:keepLines/>
              <w:tabs>
                <w:tab w:val="left" w:pos="2302"/>
              </w:tabs>
              <w:spacing w:before="120" w:after="120"/>
              <w:ind w:left="2302" w:hanging="2302"/>
              <w:rPr>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5F4735">
              <w:rPr>
                <w:sz w:val="16"/>
                <w:szCs w:val="16"/>
              </w:rPr>
              <w:t>I</w:t>
            </w:r>
            <w:r w:rsidRPr="00495A3D">
              <w:rPr>
                <w:sz w:val="16"/>
                <w:szCs w:val="16"/>
                <w:lang w:val="ru-RU"/>
              </w:rPr>
              <w:t>.2. Целевые и сбалансированные законодательны</w:t>
            </w:r>
            <w:r w:rsidR="003A5C2E">
              <w:rPr>
                <w:sz w:val="16"/>
                <w:szCs w:val="16"/>
                <w:lang w:val="ru-RU"/>
              </w:rPr>
              <w:t xml:space="preserve">е, регулятивные и политические </w:t>
            </w:r>
            <w:r w:rsidRPr="00495A3D">
              <w:rPr>
                <w:sz w:val="16"/>
                <w:szCs w:val="16"/>
                <w:lang w:val="ru-RU"/>
              </w:rPr>
              <w:t>положения ИС</w:t>
            </w:r>
          </w:p>
        </w:tc>
      </w:tr>
      <w:tr w:rsidR="00495A3D" w:rsidRPr="005F4735" w:rsidTr="00495A3D">
        <w:trPr>
          <w:gridAfter w:val="1"/>
          <w:wAfter w:w="228" w:type="dxa"/>
          <w:trHeight w:val="366"/>
        </w:trPr>
        <w:tc>
          <w:tcPr>
            <w:tcW w:w="1867" w:type="dxa"/>
            <w:tcBorders>
              <w:top w:val="single" w:sz="4" w:space="0" w:color="auto"/>
            </w:tcBorders>
            <w:shd w:val="clear" w:color="auto" w:fill="auto"/>
            <w:vAlign w:val="center"/>
          </w:tcPr>
          <w:p w:rsidR="00495A3D" w:rsidRPr="005F4735" w:rsidRDefault="00495A3D" w:rsidP="00495A3D">
            <w:pPr>
              <w:spacing w:before="40" w:after="40"/>
              <w:rPr>
                <w:sz w:val="16"/>
                <w:szCs w:val="16"/>
              </w:rPr>
            </w:pPr>
            <w:r w:rsidRPr="005F4735">
              <w:rPr>
                <w:b/>
                <w:sz w:val="16"/>
                <w:szCs w:val="16"/>
              </w:rPr>
              <w:t>Показатели результативности</w:t>
            </w:r>
          </w:p>
        </w:tc>
        <w:tc>
          <w:tcPr>
            <w:tcW w:w="2382" w:type="dxa"/>
            <w:gridSpan w:val="3"/>
            <w:tcBorders>
              <w:top w:val="single" w:sz="4" w:space="0" w:color="auto"/>
            </w:tcBorders>
            <w:shd w:val="clear" w:color="auto" w:fill="auto"/>
            <w:vAlign w:val="center"/>
          </w:tcPr>
          <w:p w:rsidR="00495A3D" w:rsidRPr="005F4735" w:rsidRDefault="00495A3D" w:rsidP="00495A3D">
            <w:pPr>
              <w:spacing w:before="40" w:after="40"/>
              <w:rPr>
                <w:b/>
                <w:bCs/>
                <w:sz w:val="16"/>
                <w:szCs w:val="16"/>
              </w:rPr>
            </w:pPr>
            <w:r w:rsidRPr="005F4735">
              <w:rPr>
                <w:b/>
                <w:sz w:val="16"/>
                <w:szCs w:val="16"/>
              </w:rPr>
              <w:t>Базовые показатели</w:t>
            </w:r>
          </w:p>
        </w:tc>
        <w:tc>
          <w:tcPr>
            <w:tcW w:w="1562" w:type="dxa"/>
            <w:gridSpan w:val="2"/>
            <w:tcBorders>
              <w:top w:val="single" w:sz="4" w:space="0" w:color="auto"/>
            </w:tcBorders>
            <w:shd w:val="clear" w:color="auto" w:fill="auto"/>
            <w:tcMar>
              <w:top w:w="110" w:type="dxa"/>
            </w:tcMar>
            <w:vAlign w:val="center"/>
          </w:tcPr>
          <w:p w:rsidR="00495A3D" w:rsidRPr="005F4735" w:rsidRDefault="00495A3D" w:rsidP="00495A3D">
            <w:pPr>
              <w:spacing w:before="40" w:after="40"/>
              <w:rPr>
                <w:b/>
                <w:sz w:val="16"/>
                <w:szCs w:val="16"/>
              </w:rPr>
            </w:pPr>
            <w:r w:rsidRPr="005F4735">
              <w:rPr>
                <w:b/>
                <w:sz w:val="16"/>
                <w:szCs w:val="16"/>
              </w:rPr>
              <w:t>Цели</w:t>
            </w:r>
          </w:p>
        </w:tc>
        <w:tc>
          <w:tcPr>
            <w:tcW w:w="2409" w:type="dxa"/>
            <w:gridSpan w:val="4"/>
            <w:tcBorders>
              <w:top w:val="single" w:sz="4" w:space="0" w:color="auto"/>
            </w:tcBorders>
            <w:shd w:val="clear" w:color="auto" w:fill="FFFFFF"/>
            <w:tcMar>
              <w:top w:w="110" w:type="dxa"/>
            </w:tcMar>
            <w:vAlign w:val="center"/>
          </w:tcPr>
          <w:p w:rsidR="00495A3D" w:rsidRPr="005F4735" w:rsidRDefault="00495A3D" w:rsidP="00495A3D">
            <w:pPr>
              <w:spacing w:before="40" w:after="40"/>
              <w:rPr>
                <w:sz w:val="16"/>
                <w:szCs w:val="16"/>
              </w:rPr>
            </w:pPr>
            <w:r w:rsidRPr="005F4735">
              <w:rPr>
                <w:b/>
                <w:sz w:val="16"/>
                <w:szCs w:val="16"/>
              </w:rPr>
              <w:t>Данные о результативности</w:t>
            </w:r>
          </w:p>
        </w:tc>
        <w:tc>
          <w:tcPr>
            <w:tcW w:w="1221" w:type="dxa"/>
            <w:tcBorders>
              <w:top w:val="single" w:sz="4" w:space="0" w:color="auto"/>
            </w:tcBorders>
            <w:shd w:val="clear" w:color="auto" w:fill="auto"/>
            <w:tcMar>
              <w:top w:w="110" w:type="dxa"/>
            </w:tcMar>
            <w:vAlign w:val="center"/>
          </w:tcPr>
          <w:p w:rsidR="00495A3D" w:rsidRPr="005F4735" w:rsidRDefault="00495A3D" w:rsidP="00495A3D">
            <w:pPr>
              <w:keepNext/>
              <w:keepLines/>
              <w:spacing w:before="40" w:after="40"/>
              <w:jc w:val="center"/>
              <w:rPr>
                <w:b/>
                <w:bCs/>
                <w:sz w:val="16"/>
                <w:szCs w:val="16"/>
              </w:rPr>
            </w:pPr>
            <w:r w:rsidRPr="005F4735">
              <w:rPr>
                <w:b/>
                <w:sz w:val="16"/>
                <w:szCs w:val="16"/>
              </w:rPr>
              <w:t>CC</w:t>
            </w:r>
          </w:p>
        </w:tc>
      </w:tr>
      <w:tr w:rsidR="00495A3D" w:rsidRPr="005F4735" w:rsidTr="00495A3D">
        <w:trPr>
          <w:gridAfter w:val="1"/>
          <w:wAfter w:w="228" w:type="dxa"/>
        </w:trPr>
        <w:tc>
          <w:tcPr>
            <w:tcW w:w="1867" w:type="dxa"/>
            <w:shd w:val="clear" w:color="auto" w:fill="auto"/>
          </w:tcPr>
          <w:p w:rsidR="00495A3D" w:rsidRPr="00495A3D" w:rsidRDefault="00495A3D" w:rsidP="00495A3D">
            <w:pPr>
              <w:rPr>
                <w:sz w:val="16"/>
                <w:szCs w:val="16"/>
                <w:lang w:val="ru-RU"/>
              </w:rPr>
            </w:pPr>
            <w:r w:rsidRPr="00495A3D">
              <w:rPr>
                <w:sz w:val="16"/>
                <w:szCs w:val="16"/>
                <w:lang w:val="ru-RU"/>
              </w:rPr>
              <w:t>Число и доля (%) государств-членов, удовлетворенных качеством юридических консультаций по вопросам охраны патентов, полезных моделей, коммерческой тайны и интегральных микросхем</w:t>
            </w:r>
          </w:p>
        </w:tc>
        <w:tc>
          <w:tcPr>
            <w:tcW w:w="2382" w:type="dxa"/>
            <w:gridSpan w:val="3"/>
            <w:shd w:val="clear" w:color="auto" w:fill="auto"/>
          </w:tcPr>
          <w:p w:rsidR="00495A3D" w:rsidRPr="00495A3D" w:rsidRDefault="00495A3D" w:rsidP="00495A3D">
            <w:pPr>
              <w:rPr>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 xml:space="preserve">г.:  </w:t>
            </w:r>
            <w:r w:rsidRPr="00495A3D">
              <w:rPr>
                <w:sz w:val="16"/>
                <w:szCs w:val="16"/>
                <w:lang w:val="ru-RU"/>
              </w:rPr>
              <w:t>9</w:t>
            </w:r>
            <w:r w:rsidRPr="005F4735">
              <w:rPr>
                <w:sz w:val="16"/>
                <w:szCs w:val="16"/>
              </w:rPr>
              <w:t> </w:t>
            </w:r>
            <w:r w:rsidRPr="00495A3D">
              <w:rPr>
                <w:sz w:val="16"/>
                <w:szCs w:val="16"/>
                <w:lang w:val="ru-RU"/>
              </w:rPr>
              <w:t>государств-членов (90%), на основании обследования, проведенного ОВН в 2013</w:t>
            </w:r>
            <w:r w:rsidRPr="005F4735">
              <w:rPr>
                <w:sz w:val="16"/>
                <w:szCs w:val="16"/>
              </w:rPr>
              <w:t> </w:t>
            </w:r>
            <w:r w:rsidRPr="00495A3D">
              <w:rPr>
                <w:sz w:val="16"/>
                <w:szCs w:val="16"/>
                <w:lang w:val="ru-RU"/>
              </w:rPr>
              <w:t>г.</w:t>
            </w:r>
          </w:p>
          <w:p w:rsidR="00495A3D" w:rsidRPr="00495A3D" w:rsidRDefault="00495A3D" w:rsidP="00495A3D">
            <w:pPr>
              <w:rPr>
                <w:i/>
                <w:sz w:val="16"/>
                <w:szCs w:val="16"/>
                <w:lang w:val="ru-RU"/>
              </w:rPr>
            </w:pPr>
          </w:p>
          <w:p w:rsidR="00495A3D" w:rsidRPr="00495A3D" w:rsidRDefault="00495A3D" w:rsidP="00495A3D">
            <w:pPr>
              <w:rPr>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опросы, проведенные в 2012</w:t>
            </w:r>
            <w:r w:rsidRPr="005F4735">
              <w:rPr>
                <w:sz w:val="16"/>
                <w:szCs w:val="16"/>
              </w:rPr>
              <w:t> </w:t>
            </w:r>
            <w:r w:rsidRPr="00495A3D">
              <w:rPr>
                <w:sz w:val="16"/>
                <w:szCs w:val="16"/>
                <w:lang w:val="ru-RU"/>
              </w:rPr>
              <w:t>г.</w:t>
            </w:r>
          </w:p>
        </w:tc>
        <w:tc>
          <w:tcPr>
            <w:tcW w:w="1562" w:type="dxa"/>
            <w:gridSpan w:val="2"/>
            <w:shd w:val="clear" w:color="auto" w:fill="auto"/>
            <w:tcMar>
              <w:top w:w="110" w:type="dxa"/>
            </w:tcMar>
          </w:tcPr>
          <w:p w:rsidR="00495A3D" w:rsidRPr="005F4735" w:rsidRDefault="00495A3D" w:rsidP="00495A3D">
            <w:pPr>
              <w:rPr>
                <w:sz w:val="16"/>
                <w:szCs w:val="16"/>
              </w:rPr>
            </w:pPr>
            <w:r w:rsidRPr="005F4735">
              <w:rPr>
                <w:sz w:val="16"/>
                <w:szCs w:val="16"/>
              </w:rPr>
              <w:t>90%</w:t>
            </w:r>
          </w:p>
        </w:tc>
        <w:tc>
          <w:tcPr>
            <w:tcW w:w="2409" w:type="dxa"/>
            <w:gridSpan w:val="4"/>
            <w:shd w:val="clear" w:color="auto" w:fill="FFFFFF"/>
            <w:tcMar>
              <w:top w:w="110" w:type="dxa"/>
            </w:tcMar>
          </w:tcPr>
          <w:p w:rsidR="00495A3D" w:rsidRPr="00495A3D" w:rsidRDefault="00495A3D" w:rsidP="00495A3D">
            <w:pPr>
              <w:pStyle w:val="ListParagraph"/>
              <w:ind w:left="0"/>
              <w:rPr>
                <w:rFonts w:cs="Arial"/>
                <w:sz w:val="16"/>
                <w:szCs w:val="16"/>
                <w:lang w:val="ru-RU"/>
              </w:rPr>
            </w:pPr>
          </w:p>
          <w:p w:rsidR="00495A3D" w:rsidRPr="00495A3D" w:rsidRDefault="00495A3D" w:rsidP="00495A3D">
            <w:pPr>
              <w:pStyle w:val="ListParagraph"/>
              <w:ind w:left="0"/>
              <w:rPr>
                <w:rFonts w:cs="Arial"/>
                <w:sz w:val="16"/>
                <w:szCs w:val="16"/>
                <w:lang w:val="ru-RU"/>
              </w:rPr>
            </w:pPr>
            <w:r w:rsidRPr="00495A3D">
              <w:rPr>
                <w:sz w:val="16"/>
                <w:szCs w:val="16"/>
                <w:lang w:val="ru-RU"/>
              </w:rPr>
              <w:t>В 2014–2015</w:t>
            </w:r>
            <w:r w:rsidRPr="005F4735">
              <w:rPr>
                <w:sz w:val="16"/>
                <w:szCs w:val="16"/>
              </w:rPr>
              <w:t> </w:t>
            </w:r>
            <w:r w:rsidRPr="00495A3D">
              <w:rPr>
                <w:sz w:val="16"/>
                <w:szCs w:val="16"/>
                <w:lang w:val="ru-RU"/>
              </w:rPr>
              <w:t>гг., согласно опросу 7 респондентов, средний уровень удовлетворенности составил 94% (Африка – 3; арабские страны –1; страны АТР – 2; страны Латинской Америки и Карибского бассейна –1</w:t>
            </w:r>
            <w:r w:rsidRPr="005F4735">
              <w:rPr>
                <w:rStyle w:val="FootnoteReference"/>
                <w:sz w:val="16"/>
                <w:szCs w:val="16"/>
              </w:rPr>
              <w:footnoteReference w:id="58"/>
            </w:r>
            <w:r w:rsidRPr="00495A3D">
              <w:rPr>
                <w:sz w:val="16"/>
                <w:szCs w:val="16"/>
                <w:lang w:val="ru-RU"/>
              </w:rPr>
              <w:t>).</w:t>
            </w:r>
          </w:p>
        </w:tc>
        <w:tc>
          <w:tcPr>
            <w:tcW w:w="1221" w:type="dxa"/>
            <w:shd w:val="clear" w:color="auto" w:fill="auto"/>
            <w:tcMar>
              <w:top w:w="110" w:type="dxa"/>
            </w:tcMar>
          </w:tcPr>
          <w:p w:rsidR="00495A3D" w:rsidRPr="005F4735" w:rsidRDefault="00495A3D" w:rsidP="00495A3D">
            <w:pPr>
              <w:keepNext/>
              <w:keepLines/>
              <w:jc w:val="center"/>
              <w:rPr>
                <w:b/>
                <w:bCs/>
                <w:sz w:val="16"/>
                <w:szCs w:val="16"/>
              </w:rPr>
            </w:pPr>
            <w:r w:rsidRPr="005F4735">
              <w:rPr>
                <w:b/>
                <w:color w:val="00B050"/>
                <w:sz w:val="16"/>
                <w:szCs w:val="16"/>
              </w:rPr>
              <w:t>Выполнено</w:t>
            </w:r>
          </w:p>
        </w:tc>
      </w:tr>
      <w:tr w:rsidR="00495A3D" w:rsidRPr="005F4735" w:rsidTr="00495A3D">
        <w:trPr>
          <w:gridAfter w:val="1"/>
          <w:wAfter w:w="228" w:type="dxa"/>
        </w:trPr>
        <w:tc>
          <w:tcPr>
            <w:tcW w:w="1867" w:type="dxa"/>
            <w:shd w:val="clear" w:color="auto" w:fill="auto"/>
          </w:tcPr>
          <w:p w:rsidR="00495A3D" w:rsidRPr="00495A3D" w:rsidRDefault="00495A3D" w:rsidP="00495A3D">
            <w:pPr>
              <w:rPr>
                <w:sz w:val="16"/>
                <w:szCs w:val="16"/>
                <w:lang w:val="ru-RU"/>
              </w:rPr>
            </w:pPr>
            <w:r w:rsidRPr="00495A3D">
              <w:rPr>
                <w:sz w:val="16"/>
                <w:szCs w:val="16"/>
                <w:lang w:val="ru-RU"/>
              </w:rPr>
              <w:t>Число и доля (%) государств-членов/региональных организаций, положительно оценивших предоставленные им законодательные рекомендации в области охраны товарных знаков, промышленных образцов и географических указаний</w:t>
            </w:r>
          </w:p>
        </w:tc>
        <w:tc>
          <w:tcPr>
            <w:tcW w:w="2382" w:type="dxa"/>
            <w:gridSpan w:val="3"/>
            <w:shd w:val="clear" w:color="auto" w:fill="auto"/>
          </w:tcPr>
          <w:p w:rsidR="00495A3D" w:rsidRPr="00495A3D" w:rsidRDefault="00495A3D" w:rsidP="00495A3D">
            <w:pPr>
              <w:ind w:leftChars="-6" w:left="2" w:hangingChars="9" w:hanging="14"/>
              <w:rPr>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 xml:space="preserve">г.:  </w:t>
            </w:r>
            <w:r w:rsidRPr="00495A3D">
              <w:rPr>
                <w:sz w:val="16"/>
                <w:szCs w:val="16"/>
                <w:lang w:val="ru-RU"/>
              </w:rPr>
              <w:t>положительные отзывы получены от девяти стран из 13.  Четыре страны не направили отзыв.</w:t>
            </w:r>
          </w:p>
          <w:p w:rsidR="00495A3D" w:rsidRPr="00495A3D" w:rsidRDefault="00495A3D" w:rsidP="00495A3D">
            <w:pPr>
              <w:ind w:leftChars="-6" w:left="2" w:hangingChars="9" w:hanging="14"/>
              <w:rPr>
                <w:i/>
                <w:sz w:val="16"/>
                <w:szCs w:val="16"/>
                <w:lang w:val="ru-RU"/>
              </w:rPr>
            </w:pPr>
          </w:p>
          <w:p w:rsidR="00495A3D" w:rsidRPr="00495A3D" w:rsidRDefault="00495A3D" w:rsidP="00495A3D">
            <w:pPr>
              <w:ind w:leftChars="-6" w:left="2" w:hangingChars="9" w:hanging="14"/>
              <w:rPr>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отзывы о предложенных законодательных рекомендациях, полученных в 2012</w:t>
            </w:r>
            <w:r w:rsidRPr="005F4735">
              <w:rPr>
                <w:sz w:val="16"/>
                <w:szCs w:val="16"/>
              </w:rPr>
              <w:t> </w:t>
            </w:r>
            <w:r w:rsidRPr="00495A3D">
              <w:rPr>
                <w:sz w:val="16"/>
                <w:szCs w:val="16"/>
                <w:lang w:val="ru-RU"/>
              </w:rPr>
              <w:t>г., представили три государства-члена/региональные организации</w:t>
            </w:r>
          </w:p>
          <w:p w:rsidR="00495A3D" w:rsidRPr="00495A3D" w:rsidRDefault="00495A3D" w:rsidP="00495A3D">
            <w:pPr>
              <w:ind w:leftChars="-6" w:left="2" w:hangingChars="9" w:hanging="14"/>
              <w:rPr>
                <w:sz w:val="16"/>
                <w:szCs w:val="16"/>
                <w:lang w:val="ru-RU"/>
              </w:rPr>
            </w:pPr>
          </w:p>
        </w:tc>
        <w:tc>
          <w:tcPr>
            <w:tcW w:w="1562" w:type="dxa"/>
            <w:gridSpan w:val="2"/>
            <w:shd w:val="clear" w:color="auto" w:fill="auto"/>
            <w:tcMar>
              <w:top w:w="110" w:type="dxa"/>
            </w:tcMar>
          </w:tcPr>
          <w:p w:rsidR="00495A3D" w:rsidRPr="00495A3D" w:rsidRDefault="00495A3D" w:rsidP="00495A3D">
            <w:pPr>
              <w:autoSpaceDE w:val="0"/>
              <w:autoSpaceDN w:val="0"/>
              <w:adjustRightInd w:val="0"/>
              <w:rPr>
                <w:sz w:val="16"/>
                <w:szCs w:val="16"/>
                <w:lang w:val="ru-RU"/>
              </w:rPr>
            </w:pPr>
            <w:r w:rsidRPr="00495A3D">
              <w:rPr>
                <w:sz w:val="16"/>
                <w:szCs w:val="16"/>
                <w:lang w:val="ru-RU"/>
              </w:rPr>
              <w:t>Положительные отзывы поступили от 10 государств-членов/региональных организаций (данные по регионам)</w:t>
            </w:r>
          </w:p>
        </w:tc>
        <w:tc>
          <w:tcPr>
            <w:tcW w:w="2409" w:type="dxa"/>
            <w:gridSpan w:val="4"/>
            <w:shd w:val="clear" w:color="auto" w:fill="FFFFFF"/>
            <w:tcMar>
              <w:top w:w="110" w:type="dxa"/>
            </w:tcMar>
          </w:tcPr>
          <w:p w:rsidR="00495A3D" w:rsidRPr="00495A3D" w:rsidRDefault="00495A3D" w:rsidP="00495A3D">
            <w:pPr>
              <w:keepNext/>
              <w:keepLines/>
              <w:rPr>
                <w:rFonts w:cs="Arial"/>
                <w:sz w:val="16"/>
                <w:szCs w:val="16"/>
                <w:lang w:val="ru-RU"/>
              </w:rPr>
            </w:pPr>
            <w:r w:rsidRPr="00495A3D">
              <w:rPr>
                <w:sz w:val="16"/>
                <w:szCs w:val="16"/>
                <w:lang w:val="ru-RU"/>
              </w:rPr>
              <w:t>Рекомендации были предоставлены 30 государствам-членам/региональным организациям (страны Африки – 8, арабские страны – 1, страны Азиатско-Тихоокеанского региона – 14; страны Латинской Америки и Карибского бассейна – 6)</w:t>
            </w:r>
          </w:p>
          <w:p w:rsidR="00495A3D" w:rsidRPr="00495A3D" w:rsidRDefault="00495A3D" w:rsidP="00495A3D">
            <w:pPr>
              <w:rPr>
                <w:rFonts w:cs="Arial"/>
                <w:sz w:val="16"/>
                <w:szCs w:val="16"/>
                <w:lang w:val="ru-RU"/>
              </w:rPr>
            </w:pPr>
          </w:p>
          <w:p w:rsidR="00495A3D" w:rsidRPr="00495A3D" w:rsidRDefault="00495A3D" w:rsidP="00495A3D">
            <w:pPr>
              <w:rPr>
                <w:sz w:val="16"/>
                <w:szCs w:val="16"/>
                <w:lang w:val="ru-RU"/>
              </w:rPr>
            </w:pPr>
            <w:r w:rsidRPr="00495A3D">
              <w:rPr>
                <w:sz w:val="16"/>
                <w:szCs w:val="16"/>
                <w:lang w:val="ru-RU"/>
              </w:rPr>
              <w:t>Отзывы получены от 10</w:t>
            </w:r>
            <w:r>
              <w:rPr>
                <w:sz w:val="16"/>
                <w:szCs w:val="16"/>
              </w:rPr>
              <w:t> </w:t>
            </w:r>
            <w:r w:rsidRPr="00495A3D">
              <w:rPr>
                <w:sz w:val="16"/>
                <w:szCs w:val="16"/>
                <w:lang w:val="ru-RU"/>
              </w:rPr>
              <w:t>респондентов, все они (100%) сообщили об удовлетворенности качеством предоставленных рекомендаций.</w:t>
            </w:r>
          </w:p>
        </w:tc>
        <w:tc>
          <w:tcPr>
            <w:tcW w:w="1221" w:type="dxa"/>
            <w:shd w:val="clear" w:color="auto" w:fill="auto"/>
            <w:tcMar>
              <w:top w:w="110" w:type="dxa"/>
            </w:tcMar>
          </w:tcPr>
          <w:p w:rsidR="00495A3D" w:rsidRPr="005F4735" w:rsidRDefault="00495A3D" w:rsidP="00495A3D">
            <w:pPr>
              <w:keepNext/>
              <w:keepLines/>
              <w:jc w:val="center"/>
              <w:rPr>
                <w:bCs/>
                <w:sz w:val="16"/>
                <w:szCs w:val="16"/>
              </w:rPr>
            </w:pPr>
            <w:r w:rsidRPr="005F4735">
              <w:rPr>
                <w:b/>
                <w:color w:val="00B050"/>
                <w:sz w:val="16"/>
                <w:szCs w:val="16"/>
              </w:rPr>
              <w:t>Выполнено</w:t>
            </w:r>
          </w:p>
        </w:tc>
      </w:tr>
      <w:tr w:rsidR="00495A3D" w:rsidRPr="005F4735" w:rsidTr="00495A3D">
        <w:trPr>
          <w:gridAfter w:val="1"/>
          <w:wAfter w:w="228" w:type="dxa"/>
        </w:trPr>
        <w:tc>
          <w:tcPr>
            <w:tcW w:w="1867" w:type="dxa"/>
            <w:shd w:val="clear" w:color="auto" w:fill="auto"/>
          </w:tcPr>
          <w:p w:rsidR="00495A3D" w:rsidRPr="00495A3D" w:rsidRDefault="00495A3D" w:rsidP="00495A3D">
            <w:pPr>
              <w:rPr>
                <w:sz w:val="16"/>
                <w:szCs w:val="16"/>
                <w:lang w:val="ru-RU"/>
              </w:rPr>
            </w:pPr>
            <w:r w:rsidRPr="00495A3D">
              <w:rPr>
                <w:sz w:val="16"/>
                <w:szCs w:val="16"/>
                <w:lang w:val="ru-RU"/>
              </w:rPr>
              <w:t>Число и доля стран, которые дали положительные отзывы о законодательных рекомендациях ВОИС</w:t>
            </w:r>
          </w:p>
          <w:p w:rsidR="00495A3D" w:rsidRPr="00495A3D" w:rsidRDefault="00495A3D" w:rsidP="00495A3D">
            <w:pPr>
              <w:rPr>
                <w:sz w:val="16"/>
                <w:szCs w:val="16"/>
                <w:lang w:val="ru-RU"/>
              </w:rPr>
            </w:pPr>
          </w:p>
        </w:tc>
        <w:tc>
          <w:tcPr>
            <w:tcW w:w="2382" w:type="dxa"/>
            <w:gridSpan w:val="3"/>
            <w:shd w:val="clear" w:color="auto" w:fill="auto"/>
          </w:tcPr>
          <w:p w:rsidR="00495A3D" w:rsidRPr="00495A3D" w:rsidRDefault="00495A3D" w:rsidP="00495A3D">
            <w:pPr>
              <w:ind w:left="1"/>
              <w:rPr>
                <w:sz w:val="16"/>
                <w:szCs w:val="16"/>
                <w:lang w:val="ru-RU"/>
              </w:rPr>
            </w:pPr>
            <w:r w:rsidRPr="00495A3D">
              <w:rPr>
                <w:sz w:val="16"/>
                <w:szCs w:val="16"/>
                <w:lang w:val="ru-RU"/>
              </w:rPr>
              <w:t>Информация об отзывах еще не поступила</w:t>
            </w:r>
          </w:p>
        </w:tc>
        <w:tc>
          <w:tcPr>
            <w:tcW w:w="1562" w:type="dxa"/>
            <w:gridSpan w:val="2"/>
            <w:shd w:val="clear" w:color="auto" w:fill="auto"/>
            <w:tcMar>
              <w:top w:w="110" w:type="dxa"/>
            </w:tcMar>
          </w:tcPr>
          <w:p w:rsidR="00495A3D" w:rsidRPr="00495A3D" w:rsidRDefault="00495A3D" w:rsidP="00495A3D">
            <w:pPr>
              <w:autoSpaceDE w:val="0"/>
              <w:autoSpaceDN w:val="0"/>
              <w:adjustRightInd w:val="0"/>
              <w:rPr>
                <w:sz w:val="16"/>
                <w:szCs w:val="16"/>
                <w:lang w:val="ru-RU"/>
              </w:rPr>
            </w:pPr>
            <w:r w:rsidRPr="00495A3D">
              <w:rPr>
                <w:sz w:val="16"/>
                <w:szCs w:val="16"/>
                <w:lang w:val="ru-RU"/>
              </w:rPr>
              <w:t>15 стран (в разбивке по регионам)</w:t>
            </w:r>
          </w:p>
        </w:tc>
        <w:tc>
          <w:tcPr>
            <w:tcW w:w="2409" w:type="dxa"/>
            <w:gridSpan w:val="4"/>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23 страны получили законодательные рекомендации в 2014–2015</w:t>
            </w:r>
            <w:r>
              <w:rPr>
                <w:sz w:val="16"/>
                <w:szCs w:val="16"/>
              </w:rPr>
              <w:t> </w:t>
            </w:r>
            <w:r w:rsidRPr="00495A3D">
              <w:rPr>
                <w:sz w:val="16"/>
                <w:szCs w:val="16"/>
                <w:lang w:val="ru-RU"/>
              </w:rPr>
              <w:t xml:space="preserve">гг. (Африка –9, Арабский регион –3, Азиатско-Тихоокеанский регион –5, Латинская Америка и бассейн Карибского моря –6). </w:t>
            </w:r>
          </w:p>
          <w:p w:rsidR="00495A3D" w:rsidRPr="00495A3D" w:rsidRDefault="00495A3D" w:rsidP="00495A3D">
            <w:pPr>
              <w:rPr>
                <w:rFonts w:cs="Arial"/>
                <w:sz w:val="16"/>
                <w:szCs w:val="16"/>
                <w:lang w:val="ru-RU"/>
              </w:rPr>
            </w:pPr>
          </w:p>
          <w:p w:rsidR="00495A3D" w:rsidRPr="00495A3D" w:rsidRDefault="00495A3D" w:rsidP="00495A3D">
            <w:pPr>
              <w:pStyle w:val="ListParagraph"/>
              <w:ind w:left="0"/>
              <w:rPr>
                <w:rFonts w:cs="Arial"/>
                <w:sz w:val="16"/>
                <w:szCs w:val="16"/>
                <w:lang w:val="ru-RU"/>
              </w:rPr>
            </w:pPr>
            <w:r w:rsidRPr="00495A3D">
              <w:rPr>
                <w:sz w:val="16"/>
                <w:szCs w:val="16"/>
                <w:lang w:val="ru-RU"/>
              </w:rPr>
              <w:t xml:space="preserve">В 100% ответов на опрос, достоверность которых была подтверждена, содержалась положительная оценка (5 или 6 по шкале от 1 до 6) оказываемой ВОИС услуги предоставления консультаций по вопросам законодательства в области авторского права. </w:t>
            </w:r>
          </w:p>
          <w:p w:rsidR="00495A3D" w:rsidRPr="00495A3D" w:rsidRDefault="00495A3D" w:rsidP="00495A3D">
            <w:pPr>
              <w:pStyle w:val="ListParagraph"/>
              <w:ind w:left="0"/>
              <w:rPr>
                <w:rFonts w:cs="Arial"/>
                <w:sz w:val="16"/>
                <w:szCs w:val="16"/>
                <w:lang w:val="ru-RU"/>
              </w:rPr>
            </w:pPr>
          </w:p>
        </w:tc>
        <w:tc>
          <w:tcPr>
            <w:tcW w:w="1221" w:type="dxa"/>
            <w:shd w:val="clear" w:color="auto" w:fill="auto"/>
            <w:tcMar>
              <w:top w:w="110" w:type="dxa"/>
            </w:tcMar>
          </w:tcPr>
          <w:p w:rsidR="00495A3D" w:rsidRPr="005F4735" w:rsidRDefault="00495A3D" w:rsidP="00495A3D">
            <w:pPr>
              <w:keepNext/>
              <w:keepLines/>
              <w:jc w:val="center"/>
              <w:rPr>
                <w:bCs/>
                <w:sz w:val="16"/>
                <w:szCs w:val="16"/>
              </w:rPr>
            </w:pPr>
            <w:r w:rsidRPr="005F4735">
              <w:rPr>
                <w:b/>
                <w:color w:val="00B050"/>
                <w:sz w:val="16"/>
                <w:szCs w:val="16"/>
              </w:rPr>
              <w:t>Выполнено</w:t>
            </w:r>
          </w:p>
        </w:tc>
      </w:tr>
      <w:tr w:rsidR="00495A3D" w:rsidRPr="005C6ABD" w:rsidTr="00495A3D">
        <w:trPr>
          <w:gridAfter w:val="1"/>
          <w:wAfter w:w="228" w:type="dxa"/>
        </w:trPr>
        <w:tc>
          <w:tcPr>
            <w:tcW w:w="9441" w:type="dxa"/>
            <w:gridSpan w:val="11"/>
            <w:tcBorders>
              <w:top w:val="single" w:sz="4" w:space="0" w:color="auto"/>
              <w:bottom w:val="single" w:sz="4" w:space="0" w:color="auto"/>
            </w:tcBorders>
            <w:shd w:val="clear" w:color="auto" w:fill="C6D9F1" w:themeFill="text2" w:themeFillTint="33"/>
            <w:vAlign w:val="center"/>
          </w:tcPr>
          <w:p w:rsidR="00495A3D" w:rsidRPr="00495A3D" w:rsidRDefault="00495A3D" w:rsidP="003A5C2E">
            <w:pPr>
              <w:keepNext/>
              <w:keepLines/>
              <w:tabs>
                <w:tab w:val="left" w:pos="2302"/>
              </w:tabs>
              <w:spacing w:before="120" w:after="120"/>
              <w:ind w:left="2302" w:hanging="2302"/>
              <w:rPr>
                <w:b/>
                <w:bCs/>
                <w:sz w:val="16"/>
                <w:szCs w:val="16"/>
                <w:lang w:val="ru-RU"/>
              </w:rPr>
            </w:pPr>
            <w:r w:rsidRPr="00495A3D">
              <w:rPr>
                <w:sz w:val="16"/>
                <w:szCs w:val="16"/>
                <w:lang w:val="ru-RU"/>
              </w:rPr>
              <w:br w:type="page"/>
            </w:r>
            <w:r w:rsidRPr="00495A3D">
              <w:rPr>
                <w:b/>
                <w:sz w:val="16"/>
                <w:szCs w:val="16"/>
                <w:lang w:val="ru-RU"/>
              </w:rPr>
              <w:t xml:space="preserve">Ожидаемый результат: </w:t>
            </w:r>
            <w:r w:rsidRPr="00495A3D">
              <w:rPr>
                <w:sz w:val="16"/>
                <w:szCs w:val="16"/>
                <w:lang w:val="ru-RU"/>
              </w:rPr>
              <w:tab/>
            </w:r>
            <w:r w:rsidRPr="005F4735">
              <w:rPr>
                <w:sz w:val="16"/>
                <w:szCs w:val="16"/>
              </w:rPr>
              <w:t>III</w:t>
            </w:r>
            <w:r w:rsidRPr="00495A3D">
              <w:rPr>
                <w:sz w:val="16"/>
                <w:szCs w:val="16"/>
                <w:lang w:val="ru-RU"/>
              </w:rPr>
              <w:t>.1. Национальные стратегии и планы в области инноваци</w:t>
            </w:r>
            <w:r w:rsidR="003A5C2E">
              <w:rPr>
                <w:sz w:val="16"/>
                <w:szCs w:val="16"/>
                <w:lang w:val="ru-RU"/>
              </w:rPr>
              <w:t xml:space="preserve">й и ИС, согласующиеся с целями </w:t>
            </w:r>
            <w:r w:rsidRPr="00495A3D">
              <w:rPr>
                <w:sz w:val="16"/>
                <w:szCs w:val="16"/>
                <w:lang w:val="ru-RU"/>
              </w:rPr>
              <w:t>национального развития</w:t>
            </w:r>
          </w:p>
        </w:tc>
      </w:tr>
      <w:tr w:rsidR="00495A3D" w:rsidRPr="005F4735" w:rsidTr="00495A3D">
        <w:trPr>
          <w:gridAfter w:val="1"/>
          <w:wAfter w:w="228" w:type="dxa"/>
        </w:trPr>
        <w:tc>
          <w:tcPr>
            <w:tcW w:w="1867" w:type="dxa"/>
            <w:tcBorders>
              <w:top w:val="single" w:sz="4" w:space="0" w:color="auto"/>
            </w:tcBorders>
            <w:shd w:val="clear" w:color="auto" w:fill="auto"/>
            <w:vAlign w:val="center"/>
          </w:tcPr>
          <w:p w:rsidR="00495A3D" w:rsidRPr="005F4735" w:rsidRDefault="00495A3D" w:rsidP="00495A3D">
            <w:pPr>
              <w:spacing w:after="40"/>
              <w:rPr>
                <w:sz w:val="16"/>
                <w:szCs w:val="16"/>
              </w:rPr>
            </w:pPr>
            <w:r w:rsidRPr="005F4735">
              <w:rPr>
                <w:b/>
                <w:sz w:val="16"/>
                <w:szCs w:val="16"/>
              </w:rPr>
              <w:t>Показатели результативности</w:t>
            </w:r>
          </w:p>
        </w:tc>
        <w:tc>
          <w:tcPr>
            <w:tcW w:w="2243" w:type="dxa"/>
            <w:gridSpan w:val="2"/>
            <w:tcBorders>
              <w:top w:val="single" w:sz="4" w:space="0" w:color="auto"/>
            </w:tcBorders>
            <w:shd w:val="clear" w:color="auto" w:fill="auto"/>
            <w:vAlign w:val="center"/>
          </w:tcPr>
          <w:p w:rsidR="00495A3D" w:rsidRPr="005F4735" w:rsidRDefault="00495A3D" w:rsidP="00495A3D">
            <w:pPr>
              <w:spacing w:after="40"/>
              <w:rPr>
                <w:b/>
                <w:bCs/>
                <w:sz w:val="16"/>
                <w:szCs w:val="16"/>
              </w:rPr>
            </w:pPr>
            <w:r w:rsidRPr="005F4735">
              <w:rPr>
                <w:b/>
                <w:sz w:val="16"/>
                <w:szCs w:val="16"/>
              </w:rPr>
              <w:t>Базовые показатели</w:t>
            </w:r>
          </w:p>
        </w:tc>
        <w:tc>
          <w:tcPr>
            <w:tcW w:w="1701" w:type="dxa"/>
            <w:gridSpan w:val="3"/>
            <w:tcBorders>
              <w:top w:val="single" w:sz="4" w:space="0" w:color="auto"/>
            </w:tcBorders>
            <w:shd w:val="clear" w:color="auto" w:fill="auto"/>
            <w:tcMar>
              <w:top w:w="110" w:type="dxa"/>
            </w:tcMar>
            <w:vAlign w:val="center"/>
          </w:tcPr>
          <w:p w:rsidR="00495A3D" w:rsidRPr="005F4735" w:rsidRDefault="00495A3D" w:rsidP="00495A3D">
            <w:pPr>
              <w:spacing w:after="40"/>
              <w:rPr>
                <w:b/>
                <w:sz w:val="16"/>
                <w:szCs w:val="16"/>
              </w:rPr>
            </w:pPr>
            <w:r w:rsidRPr="005F4735">
              <w:rPr>
                <w:b/>
                <w:sz w:val="16"/>
                <w:szCs w:val="16"/>
              </w:rPr>
              <w:t>Цели</w:t>
            </w:r>
          </w:p>
        </w:tc>
        <w:tc>
          <w:tcPr>
            <w:tcW w:w="2269" w:type="dxa"/>
            <w:gridSpan w:val="3"/>
            <w:tcBorders>
              <w:top w:val="single" w:sz="4" w:space="0" w:color="auto"/>
            </w:tcBorders>
            <w:shd w:val="clear" w:color="auto" w:fill="FFFFFF"/>
            <w:tcMar>
              <w:top w:w="110" w:type="dxa"/>
            </w:tcMar>
            <w:vAlign w:val="center"/>
          </w:tcPr>
          <w:p w:rsidR="00495A3D" w:rsidRPr="005F4735" w:rsidRDefault="00495A3D" w:rsidP="00495A3D">
            <w:pPr>
              <w:spacing w:after="40"/>
              <w:rPr>
                <w:sz w:val="16"/>
                <w:szCs w:val="16"/>
              </w:rPr>
            </w:pPr>
            <w:r w:rsidRPr="005F4735">
              <w:rPr>
                <w:b/>
                <w:sz w:val="16"/>
                <w:szCs w:val="16"/>
              </w:rPr>
              <w:t>Данные о результативности</w:t>
            </w:r>
          </w:p>
        </w:tc>
        <w:tc>
          <w:tcPr>
            <w:tcW w:w="1361" w:type="dxa"/>
            <w:gridSpan w:val="2"/>
            <w:tcBorders>
              <w:top w:val="single" w:sz="4" w:space="0" w:color="auto"/>
            </w:tcBorders>
            <w:shd w:val="clear" w:color="auto" w:fill="auto"/>
            <w:tcMar>
              <w:top w:w="110" w:type="dxa"/>
            </w:tcMar>
            <w:vAlign w:val="center"/>
          </w:tcPr>
          <w:p w:rsidR="00495A3D" w:rsidRPr="005F4735" w:rsidRDefault="00495A3D" w:rsidP="00495A3D">
            <w:pPr>
              <w:keepNext/>
              <w:keepLines/>
              <w:spacing w:after="40"/>
              <w:jc w:val="center"/>
              <w:rPr>
                <w:b/>
                <w:bCs/>
                <w:sz w:val="16"/>
                <w:szCs w:val="16"/>
              </w:rPr>
            </w:pPr>
            <w:r w:rsidRPr="005F4735">
              <w:rPr>
                <w:b/>
                <w:sz w:val="16"/>
                <w:szCs w:val="16"/>
              </w:rPr>
              <w:t>CC</w:t>
            </w:r>
          </w:p>
        </w:tc>
      </w:tr>
      <w:tr w:rsidR="00495A3D" w:rsidRPr="005C6ABD" w:rsidTr="00495A3D">
        <w:trPr>
          <w:gridAfter w:val="1"/>
          <w:wAfter w:w="228" w:type="dxa"/>
        </w:trPr>
        <w:tc>
          <w:tcPr>
            <w:tcW w:w="1867" w:type="dxa"/>
            <w:shd w:val="clear" w:color="auto" w:fill="FFFFFF"/>
          </w:tcPr>
          <w:p w:rsidR="00495A3D" w:rsidRPr="00495A3D" w:rsidRDefault="00495A3D" w:rsidP="00495A3D">
            <w:pPr>
              <w:rPr>
                <w:sz w:val="16"/>
                <w:szCs w:val="16"/>
                <w:lang w:val="ru-RU"/>
              </w:rPr>
            </w:pPr>
            <w:r w:rsidRPr="00495A3D">
              <w:rPr>
                <w:sz w:val="16"/>
                <w:szCs w:val="16"/>
                <w:lang w:val="ru-RU"/>
              </w:rPr>
              <w:t>Число стран, находящихся в процессе разработки/принятия национальных стратегий в области ИС и/или планов развития</w:t>
            </w:r>
          </w:p>
        </w:tc>
        <w:tc>
          <w:tcPr>
            <w:tcW w:w="2243" w:type="dxa"/>
            <w:gridSpan w:val="2"/>
            <w:shd w:val="clear" w:color="auto" w:fill="auto"/>
          </w:tcPr>
          <w:p w:rsidR="00495A3D" w:rsidRPr="00495A3D" w:rsidRDefault="00495A3D" w:rsidP="00495A3D">
            <w:pPr>
              <w:rPr>
                <w:i/>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 xml:space="preserve">г.: </w:t>
            </w:r>
          </w:p>
          <w:p w:rsidR="00495A3D" w:rsidRPr="00495A3D" w:rsidRDefault="00495A3D" w:rsidP="00495A3D">
            <w:pPr>
              <w:rPr>
                <w:sz w:val="16"/>
                <w:szCs w:val="16"/>
                <w:lang w:val="ru-RU"/>
              </w:rPr>
            </w:pPr>
            <w:r w:rsidRPr="00495A3D">
              <w:rPr>
                <w:sz w:val="16"/>
                <w:szCs w:val="16"/>
                <w:lang w:val="ru-RU"/>
              </w:rPr>
              <w:t>Африка: 18 стран (Ботсвана, Бурунди, Камерун, Центральноафриканская Республика, Чад, Конго, Экваториальная Гвинея, Эфиопия</w:t>
            </w:r>
            <w:r w:rsidRPr="005F4735">
              <w:rPr>
                <w:rStyle w:val="FootnoteReference"/>
                <w:sz w:val="16"/>
                <w:szCs w:val="16"/>
              </w:rPr>
              <w:footnoteReference w:id="59"/>
            </w:r>
            <w:r w:rsidRPr="00495A3D">
              <w:rPr>
                <w:sz w:val="16"/>
                <w:szCs w:val="16"/>
                <w:lang w:val="ru-RU"/>
              </w:rPr>
              <w:t>, Гамбия, Кения, Лесото, Малави, Мали, Маврикий, Сейшельские Острова, Сьерра-Леоне, Того, Объединённая Республика Танзания)</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Арабский регион: 6</w:t>
            </w:r>
            <w:r>
              <w:rPr>
                <w:sz w:val="16"/>
                <w:szCs w:val="16"/>
              </w:rPr>
              <w:t> </w:t>
            </w:r>
            <w:r w:rsidRPr="00495A3D">
              <w:rPr>
                <w:sz w:val="16"/>
                <w:szCs w:val="16"/>
                <w:lang w:val="ru-RU"/>
              </w:rPr>
              <w:t>стран</w:t>
            </w:r>
            <w:r w:rsidRPr="005F4735">
              <w:rPr>
                <w:rStyle w:val="FootnoteReference"/>
                <w:sz w:val="16"/>
                <w:szCs w:val="16"/>
              </w:rPr>
              <w:footnoteReference w:id="60"/>
            </w:r>
            <w:r w:rsidRPr="00495A3D">
              <w:rPr>
                <w:sz w:val="16"/>
                <w:szCs w:val="16"/>
                <w:lang w:val="ru-RU"/>
              </w:rPr>
              <w:t xml:space="preserve"> (Алжир</w:t>
            </w:r>
            <w:r w:rsidRPr="005F4735">
              <w:rPr>
                <w:rStyle w:val="FootnoteReference"/>
                <w:sz w:val="16"/>
                <w:szCs w:val="16"/>
              </w:rPr>
              <w:footnoteReference w:id="61"/>
            </w:r>
            <w:r w:rsidRPr="00495A3D">
              <w:rPr>
                <w:sz w:val="16"/>
                <w:szCs w:val="16"/>
                <w:lang w:val="ru-RU"/>
              </w:rPr>
              <w:t>, Оман, Катар</w:t>
            </w:r>
            <w:r w:rsidRPr="005F4735">
              <w:rPr>
                <w:rStyle w:val="FootnoteReference"/>
                <w:sz w:val="16"/>
                <w:szCs w:val="16"/>
              </w:rPr>
              <w:footnoteReference w:id="62"/>
            </w:r>
            <w:r w:rsidRPr="00495A3D">
              <w:rPr>
                <w:sz w:val="16"/>
                <w:szCs w:val="16"/>
                <w:lang w:val="ru-RU"/>
              </w:rPr>
              <w:t>, Судан, Объединенные Арабские Эмираты, Йемен)</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Азиатско-Тихоокеанский регион: 12 стран (Бангладеш, Бутан, Камбоджа, Фиджи, Монголия, Папуа-Новая Гвинея, Самоа, Соломоновы Острова, Шри-Ланка, Тонга, Вануату, Вьетнам) </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Латинская Америка и страны Карибского бассейна: 11</w:t>
            </w:r>
            <w:r>
              <w:rPr>
                <w:sz w:val="16"/>
                <w:szCs w:val="16"/>
              </w:rPr>
              <w:t> </w:t>
            </w:r>
            <w:r w:rsidRPr="00495A3D">
              <w:rPr>
                <w:sz w:val="16"/>
                <w:szCs w:val="16"/>
                <w:lang w:val="ru-RU"/>
              </w:rPr>
              <w:t>стран (Барбадос, Коста-Рика, Доминиканская Республика, Эквадор, Сальвадор, Гватемала, Гондурас, Никарагуа, Панама, Сент-Китс и Невис, Тринидад и Тобаго)</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19 НРС указаны в приведенной выше разбивке по регионам</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i/>
                <w:sz w:val="16"/>
                <w:szCs w:val="16"/>
                <w:lang w:val="ru-RU"/>
              </w:rPr>
              <w:t>Исходные базовые показатели</w:t>
            </w:r>
          </w:p>
          <w:p w:rsidR="00495A3D" w:rsidRPr="00495A3D" w:rsidRDefault="00495A3D" w:rsidP="00495A3D">
            <w:pPr>
              <w:rPr>
                <w:sz w:val="16"/>
                <w:szCs w:val="16"/>
                <w:lang w:val="ru-RU"/>
              </w:rPr>
            </w:pPr>
            <w:r w:rsidRPr="00495A3D">
              <w:rPr>
                <w:i/>
                <w:sz w:val="16"/>
                <w:szCs w:val="16"/>
                <w:lang w:val="ru-RU"/>
              </w:rPr>
              <w:t>ПиБ на 2014–2015 гг.:</w:t>
            </w:r>
          </w:p>
          <w:p w:rsidR="00495A3D" w:rsidRPr="00495A3D" w:rsidRDefault="00495A3D" w:rsidP="00495A3D">
            <w:pPr>
              <w:rPr>
                <w:sz w:val="16"/>
                <w:szCs w:val="16"/>
                <w:lang w:val="ru-RU"/>
              </w:rPr>
            </w:pPr>
            <w:r w:rsidRPr="00495A3D">
              <w:rPr>
                <w:sz w:val="16"/>
                <w:szCs w:val="16"/>
                <w:lang w:val="ru-RU"/>
              </w:rPr>
              <w:t xml:space="preserve">Африка (всего 12) </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арабские страны (4)</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страны Азиатско-Тихоокеанского региона (8)</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Латинская Америка и страны Карибского бассейна (9)</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5 НРС указаны в приведенной выше разбивке по регионам</w:t>
            </w:r>
          </w:p>
          <w:p w:rsidR="00495A3D" w:rsidRPr="00495A3D" w:rsidRDefault="00495A3D" w:rsidP="00495A3D">
            <w:pPr>
              <w:rPr>
                <w:sz w:val="16"/>
                <w:szCs w:val="16"/>
                <w:lang w:val="ru-RU"/>
              </w:rPr>
            </w:pPr>
          </w:p>
        </w:tc>
        <w:tc>
          <w:tcPr>
            <w:tcW w:w="1701" w:type="dxa"/>
            <w:gridSpan w:val="3"/>
            <w:shd w:val="clear" w:color="auto" w:fill="auto"/>
            <w:tcMar>
              <w:top w:w="110" w:type="dxa"/>
            </w:tcMar>
          </w:tcPr>
          <w:p w:rsidR="00495A3D" w:rsidRPr="00495A3D" w:rsidRDefault="00495A3D" w:rsidP="00495A3D">
            <w:pPr>
              <w:rPr>
                <w:sz w:val="16"/>
                <w:szCs w:val="16"/>
                <w:lang w:val="ru-RU"/>
              </w:rPr>
            </w:pPr>
            <w:r w:rsidRPr="00495A3D">
              <w:rPr>
                <w:sz w:val="16"/>
                <w:szCs w:val="16"/>
                <w:lang w:val="ru-RU"/>
              </w:rPr>
              <w:t>Африка (всего 18)</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арабские страны (всего 7)</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 Тихоокеанский регион (всего 13)</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регион Латинской Америки и Карибского бассейна (всего 13)</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10 НРС указаны в приведенной выше разбивке по регионам</w:t>
            </w:r>
          </w:p>
          <w:p w:rsidR="00495A3D" w:rsidRPr="00495A3D" w:rsidRDefault="00495A3D" w:rsidP="00495A3D">
            <w:pPr>
              <w:rPr>
                <w:sz w:val="16"/>
                <w:szCs w:val="16"/>
                <w:lang w:val="ru-RU"/>
              </w:rPr>
            </w:pPr>
          </w:p>
          <w:p w:rsidR="00495A3D" w:rsidRPr="00495A3D" w:rsidRDefault="00495A3D" w:rsidP="00495A3D">
            <w:pPr>
              <w:rPr>
                <w:sz w:val="16"/>
                <w:szCs w:val="16"/>
                <w:lang w:val="ru-RU"/>
              </w:rPr>
            </w:pPr>
          </w:p>
        </w:tc>
        <w:tc>
          <w:tcPr>
            <w:tcW w:w="2269" w:type="dxa"/>
            <w:gridSpan w:val="3"/>
            <w:shd w:val="clear" w:color="auto" w:fill="FFFFFF"/>
            <w:tcMar>
              <w:top w:w="110" w:type="dxa"/>
            </w:tcMar>
          </w:tcPr>
          <w:p w:rsidR="00495A3D" w:rsidRPr="00495A3D" w:rsidRDefault="00495A3D" w:rsidP="00495A3D">
            <w:pPr>
              <w:rPr>
                <w:sz w:val="16"/>
                <w:szCs w:val="16"/>
                <w:lang w:val="ru-RU"/>
              </w:rPr>
            </w:pPr>
            <w:r w:rsidRPr="00495A3D">
              <w:rPr>
                <w:sz w:val="16"/>
                <w:szCs w:val="16"/>
                <w:lang w:val="ru-RU"/>
              </w:rPr>
              <w:t>Африка (еще 6 стран): Бенин, Демократическая Республика Конго</w:t>
            </w:r>
            <w:r w:rsidRPr="005F4735">
              <w:rPr>
                <w:rStyle w:val="FootnoteReference"/>
                <w:sz w:val="16"/>
                <w:szCs w:val="16"/>
              </w:rPr>
              <w:footnoteReference w:id="63"/>
            </w:r>
            <w:r w:rsidRPr="00495A3D">
              <w:rPr>
                <w:sz w:val="16"/>
                <w:szCs w:val="16"/>
                <w:lang w:val="ru-RU"/>
              </w:rPr>
              <w:t xml:space="preserve">, Мадагаскар, Нигер, Свазиленд, Уганда.  </w:t>
            </w:r>
          </w:p>
          <w:p w:rsidR="00495A3D" w:rsidRPr="00495A3D" w:rsidRDefault="00495A3D" w:rsidP="00495A3D">
            <w:pPr>
              <w:rPr>
                <w:sz w:val="16"/>
                <w:szCs w:val="16"/>
                <w:lang w:val="ru-RU"/>
              </w:rPr>
            </w:pPr>
            <w:r w:rsidRPr="00495A3D">
              <w:rPr>
                <w:sz w:val="16"/>
                <w:szCs w:val="16"/>
                <w:lang w:val="ru-RU"/>
              </w:rPr>
              <w:t>(всего 24)</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арабские страны (нет новых стран):  </w:t>
            </w:r>
          </w:p>
          <w:p w:rsidR="00495A3D" w:rsidRPr="00495A3D" w:rsidRDefault="00495A3D" w:rsidP="00BF61DC">
            <w:pPr>
              <w:pStyle w:val="ListParagraph"/>
              <w:numPr>
                <w:ilvl w:val="0"/>
                <w:numId w:val="106"/>
              </w:numPr>
              <w:rPr>
                <w:sz w:val="16"/>
                <w:szCs w:val="16"/>
                <w:lang w:val="ru-RU"/>
              </w:rPr>
            </w:pPr>
            <w:r w:rsidRPr="00495A3D">
              <w:rPr>
                <w:sz w:val="16"/>
                <w:szCs w:val="16"/>
                <w:lang w:val="ru-RU"/>
              </w:rPr>
              <w:t>Объединенные Арабские Эмираты (прогресс отсутствует);</w:t>
            </w:r>
          </w:p>
          <w:p w:rsidR="00495A3D" w:rsidRPr="00495A3D" w:rsidRDefault="00495A3D" w:rsidP="00BF61DC">
            <w:pPr>
              <w:pStyle w:val="ListParagraph"/>
              <w:numPr>
                <w:ilvl w:val="0"/>
                <w:numId w:val="106"/>
              </w:numPr>
              <w:rPr>
                <w:sz w:val="16"/>
                <w:szCs w:val="16"/>
                <w:lang w:val="ru-RU"/>
              </w:rPr>
            </w:pPr>
            <w:r w:rsidRPr="00495A3D">
              <w:rPr>
                <w:sz w:val="16"/>
                <w:szCs w:val="16"/>
                <w:lang w:val="ru-RU"/>
              </w:rPr>
              <w:t>Йемен (процесс остановился из-за политической ситуации)</w:t>
            </w:r>
          </w:p>
          <w:p w:rsidR="00495A3D" w:rsidRPr="00495A3D" w:rsidRDefault="00495A3D" w:rsidP="00495A3D">
            <w:pPr>
              <w:rPr>
                <w:sz w:val="16"/>
                <w:szCs w:val="16"/>
                <w:lang w:val="ru-RU"/>
              </w:rPr>
            </w:pPr>
            <w:r w:rsidRPr="00495A3D">
              <w:rPr>
                <w:sz w:val="16"/>
                <w:szCs w:val="16"/>
                <w:lang w:val="ru-RU"/>
              </w:rPr>
              <w:t xml:space="preserve">(всего 6) </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Азиатско-Тихоокеанский регион (еще 5 стран): </w:t>
            </w:r>
          </w:p>
          <w:p w:rsidR="00495A3D" w:rsidRPr="00495A3D" w:rsidRDefault="00495A3D" w:rsidP="00495A3D">
            <w:pPr>
              <w:rPr>
                <w:sz w:val="16"/>
                <w:szCs w:val="16"/>
                <w:lang w:val="ru-RU"/>
              </w:rPr>
            </w:pPr>
            <w:r w:rsidRPr="00495A3D">
              <w:rPr>
                <w:sz w:val="16"/>
                <w:szCs w:val="16"/>
                <w:lang w:val="ru-RU"/>
              </w:rPr>
              <w:t xml:space="preserve">Бруней-Даруссалам, острова Кука, Корейская Народно-Демократическая Республика, Мьянма, </w:t>
            </w:r>
          </w:p>
          <w:p w:rsidR="00495A3D" w:rsidRPr="00495A3D" w:rsidRDefault="00495A3D" w:rsidP="00495A3D">
            <w:pPr>
              <w:rPr>
                <w:sz w:val="16"/>
                <w:szCs w:val="16"/>
                <w:lang w:val="ru-RU"/>
              </w:rPr>
            </w:pPr>
            <w:r w:rsidRPr="00495A3D">
              <w:rPr>
                <w:sz w:val="16"/>
                <w:szCs w:val="16"/>
                <w:lang w:val="ru-RU"/>
              </w:rPr>
              <w:t>(всего 17)</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регион Латинской Америки и Карибского бассейна (еще 4 страны): Чили, Гренада, Парагвай и Перу </w:t>
            </w:r>
          </w:p>
          <w:p w:rsidR="00495A3D" w:rsidRPr="00495A3D" w:rsidRDefault="00495A3D" w:rsidP="00495A3D">
            <w:pPr>
              <w:rPr>
                <w:sz w:val="16"/>
                <w:szCs w:val="16"/>
                <w:lang w:val="ru-RU"/>
              </w:rPr>
            </w:pPr>
            <w:r w:rsidRPr="00495A3D">
              <w:rPr>
                <w:sz w:val="16"/>
                <w:szCs w:val="16"/>
                <w:lang w:val="ru-RU"/>
              </w:rPr>
              <w:t>(всего 15)</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24 НРС указаны в приведенной выше разбивке по регионам</w:t>
            </w:r>
          </w:p>
          <w:p w:rsidR="00495A3D" w:rsidRPr="00495A3D" w:rsidRDefault="00495A3D" w:rsidP="00495A3D">
            <w:pPr>
              <w:rPr>
                <w:sz w:val="16"/>
                <w:szCs w:val="16"/>
                <w:lang w:val="ru-RU"/>
              </w:rPr>
            </w:pPr>
          </w:p>
        </w:tc>
        <w:tc>
          <w:tcPr>
            <w:tcW w:w="1361" w:type="dxa"/>
            <w:gridSpan w:val="2"/>
            <w:shd w:val="clear" w:color="auto" w:fill="auto"/>
            <w:tcMar>
              <w:top w:w="110" w:type="dxa"/>
            </w:tcMar>
          </w:tcPr>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FF0000"/>
                <w:sz w:val="16"/>
                <w:szCs w:val="16"/>
                <w:lang w:val="ru-RU"/>
              </w:rPr>
            </w:pPr>
            <w:r w:rsidRPr="00495A3D">
              <w:rPr>
                <w:b/>
                <w:color w:val="FF0000"/>
                <w:sz w:val="16"/>
                <w:szCs w:val="16"/>
                <w:lang w:val="ru-RU"/>
              </w:rPr>
              <w:t>Не 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rPr>
                <w:bCs/>
                <w:sz w:val="16"/>
                <w:szCs w:val="16"/>
                <w:lang w:val="ru-RU"/>
              </w:rPr>
            </w:pPr>
          </w:p>
          <w:p w:rsidR="00495A3D" w:rsidRPr="00495A3D" w:rsidRDefault="00495A3D" w:rsidP="00495A3D">
            <w:pPr>
              <w:keepNext/>
              <w:keepLines/>
              <w:rPr>
                <w:bCs/>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Cs/>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Cs/>
                <w:sz w:val="16"/>
                <w:szCs w:val="16"/>
                <w:lang w:val="ru-RU"/>
              </w:rPr>
            </w:pPr>
          </w:p>
        </w:tc>
      </w:tr>
      <w:tr w:rsidR="00495A3D" w:rsidRPr="005C6ABD" w:rsidTr="00495A3D">
        <w:trPr>
          <w:gridAfter w:val="1"/>
          <w:wAfter w:w="228" w:type="dxa"/>
        </w:trPr>
        <w:tc>
          <w:tcPr>
            <w:tcW w:w="1867" w:type="dxa"/>
            <w:shd w:val="clear" w:color="auto" w:fill="auto"/>
          </w:tcPr>
          <w:p w:rsidR="00495A3D" w:rsidRPr="00495A3D" w:rsidRDefault="00495A3D" w:rsidP="00495A3D">
            <w:pPr>
              <w:rPr>
                <w:sz w:val="16"/>
                <w:szCs w:val="16"/>
                <w:lang w:val="ru-RU"/>
              </w:rPr>
            </w:pPr>
            <w:r w:rsidRPr="00495A3D">
              <w:rPr>
                <w:sz w:val="16"/>
                <w:szCs w:val="16"/>
                <w:lang w:val="ru-RU"/>
              </w:rPr>
              <w:t>Число стран, которые приняли национальные стратегии в области ИС и/или планы развития и приступили к их реализации</w:t>
            </w:r>
          </w:p>
        </w:tc>
        <w:tc>
          <w:tcPr>
            <w:tcW w:w="2243" w:type="dxa"/>
            <w:gridSpan w:val="2"/>
            <w:shd w:val="clear" w:color="auto" w:fill="auto"/>
          </w:tcPr>
          <w:p w:rsidR="00495A3D" w:rsidRPr="00495A3D" w:rsidRDefault="00495A3D" w:rsidP="00495A3D">
            <w:pPr>
              <w:rPr>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г.:</w:t>
            </w:r>
            <w:r w:rsidRPr="00495A3D">
              <w:rPr>
                <w:sz w:val="16"/>
                <w:szCs w:val="16"/>
                <w:lang w:val="ru-RU"/>
              </w:rPr>
              <w:t xml:space="preserve">  </w:t>
            </w:r>
          </w:p>
          <w:p w:rsidR="00495A3D" w:rsidRPr="00495A3D" w:rsidRDefault="00495A3D" w:rsidP="00495A3D">
            <w:pPr>
              <w:rPr>
                <w:sz w:val="16"/>
                <w:szCs w:val="16"/>
                <w:lang w:val="ru-RU"/>
              </w:rPr>
            </w:pPr>
            <w:r w:rsidRPr="00495A3D">
              <w:rPr>
                <w:sz w:val="16"/>
                <w:szCs w:val="16"/>
                <w:lang w:val="ru-RU"/>
              </w:rPr>
              <w:t>Африка (всего 9): Коморские Острова, Гана, Кения, Либерия, Маврикий, Мозамбик, Сенегал, Сейшельские Острова, Замбия</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арабские страны (всего 2): Оман, Судан</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 Тихоокеанский регион (всего 3</w:t>
            </w:r>
            <w:r w:rsidRPr="005F4735">
              <w:rPr>
                <w:rStyle w:val="FootnoteReference"/>
                <w:sz w:val="16"/>
                <w:szCs w:val="16"/>
              </w:rPr>
              <w:footnoteReference w:id="64"/>
            </w:r>
            <w:r w:rsidRPr="00495A3D">
              <w:rPr>
                <w:sz w:val="16"/>
                <w:szCs w:val="16"/>
                <w:lang w:val="ru-RU"/>
              </w:rPr>
              <w:t>): Фиджи, Папуа-Новая Гвинея, Самоа</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регион Латинской Америки и Карибского бассейна (всего 3): Коста-Рика, Доминиканская Республика, Гондурас </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7 НРС указаны в приведенной выше разбивке по регионам</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i/>
                <w:sz w:val="16"/>
                <w:szCs w:val="16"/>
                <w:lang w:val="ru-RU"/>
              </w:rPr>
              <w:t>Исходные базовые показатели</w:t>
            </w:r>
          </w:p>
          <w:p w:rsidR="00495A3D" w:rsidRPr="00495A3D" w:rsidRDefault="00495A3D" w:rsidP="00495A3D">
            <w:pPr>
              <w:rPr>
                <w:sz w:val="16"/>
                <w:szCs w:val="16"/>
                <w:lang w:val="ru-RU"/>
              </w:rPr>
            </w:pPr>
            <w:r w:rsidRPr="00495A3D">
              <w:rPr>
                <w:i/>
                <w:sz w:val="16"/>
                <w:szCs w:val="16"/>
                <w:lang w:val="ru-RU"/>
              </w:rPr>
              <w:t>ПиБ на 2014–2015 гг.:</w:t>
            </w:r>
          </w:p>
          <w:p w:rsidR="00495A3D" w:rsidRPr="00495A3D" w:rsidRDefault="00495A3D" w:rsidP="00495A3D">
            <w:pPr>
              <w:rPr>
                <w:sz w:val="16"/>
                <w:szCs w:val="16"/>
                <w:lang w:val="ru-RU"/>
              </w:rPr>
            </w:pPr>
            <w:r w:rsidRPr="00495A3D">
              <w:rPr>
                <w:sz w:val="16"/>
                <w:szCs w:val="16"/>
                <w:lang w:val="ru-RU"/>
              </w:rPr>
              <w:t>Африка (4)</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арабские страны (3)</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страны Азиатско-Тихоокеанского региона (3)</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регион Латинской Америки и Карибского бассейна (4)</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5 НРС указаны в приведенной выше разбивке по регионам</w:t>
            </w:r>
          </w:p>
          <w:p w:rsidR="00495A3D" w:rsidRPr="00495A3D" w:rsidRDefault="00495A3D" w:rsidP="00495A3D">
            <w:pPr>
              <w:rPr>
                <w:sz w:val="16"/>
                <w:szCs w:val="16"/>
                <w:lang w:val="ru-RU"/>
              </w:rPr>
            </w:pPr>
          </w:p>
        </w:tc>
        <w:tc>
          <w:tcPr>
            <w:tcW w:w="1701" w:type="dxa"/>
            <w:gridSpan w:val="3"/>
            <w:shd w:val="clear" w:color="auto" w:fill="auto"/>
            <w:tcMar>
              <w:top w:w="110" w:type="dxa"/>
            </w:tcMar>
          </w:tcPr>
          <w:p w:rsidR="00495A3D" w:rsidRPr="00495A3D" w:rsidRDefault="00495A3D" w:rsidP="00495A3D">
            <w:pPr>
              <w:rPr>
                <w:sz w:val="16"/>
                <w:szCs w:val="16"/>
                <w:lang w:val="ru-RU"/>
              </w:rPr>
            </w:pPr>
            <w:r w:rsidRPr="00495A3D">
              <w:rPr>
                <w:sz w:val="16"/>
                <w:szCs w:val="16"/>
                <w:lang w:val="ru-RU"/>
              </w:rPr>
              <w:t>Африка (6) всего</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арабские страны (6) всего</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Азия и Тихоокеанский регион (7) всего</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регион Латинской Америки и Карибского бассейна (12)</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11 НРС указаны в приведенной выше разбивке по регионам</w:t>
            </w:r>
          </w:p>
          <w:p w:rsidR="00495A3D" w:rsidRPr="00495A3D" w:rsidRDefault="00495A3D" w:rsidP="00495A3D">
            <w:pPr>
              <w:rPr>
                <w:sz w:val="16"/>
                <w:szCs w:val="16"/>
                <w:lang w:val="ru-RU"/>
              </w:rPr>
            </w:pPr>
          </w:p>
          <w:p w:rsidR="00495A3D" w:rsidRPr="00495A3D" w:rsidRDefault="00495A3D" w:rsidP="00495A3D">
            <w:pPr>
              <w:rPr>
                <w:sz w:val="16"/>
                <w:szCs w:val="16"/>
                <w:lang w:val="ru-RU"/>
              </w:rPr>
            </w:pPr>
          </w:p>
        </w:tc>
        <w:tc>
          <w:tcPr>
            <w:tcW w:w="2269" w:type="dxa"/>
            <w:gridSpan w:val="3"/>
            <w:shd w:val="clear" w:color="auto" w:fill="FFFFFF"/>
            <w:tcMar>
              <w:top w:w="110" w:type="dxa"/>
            </w:tcMar>
          </w:tcPr>
          <w:p w:rsidR="00495A3D" w:rsidRPr="00495A3D" w:rsidRDefault="00495A3D" w:rsidP="00495A3D">
            <w:pPr>
              <w:rPr>
                <w:sz w:val="16"/>
                <w:szCs w:val="16"/>
                <w:lang w:val="ru-RU"/>
              </w:rPr>
            </w:pPr>
            <w:r w:rsidRPr="00495A3D">
              <w:rPr>
                <w:sz w:val="16"/>
                <w:szCs w:val="16"/>
                <w:lang w:val="ru-RU"/>
              </w:rPr>
              <w:t>Африка (еще 17 в 2014–2015</w:t>
            </w:r>
            <w:r>
              <w:rPr>
                <w:sz w:val="16"/>
                <w:szCs w:val="16"/>
              </w:rPr>
              <w:t> </w:t>
            </w:r>
            <w:r w:rsidRPr="00495A3D">
              <w:rPr>
                <w:sz w:val="16"/>
                <w:szCs w:val="16"/>
                <w:lang w:val="ru-RU"/>
              </w:rPr>
              <w:t>гг.): Ботсвана, Бурунди, Камерун, Чад, Конго, Кот-д’Ивуар, Демократическая Республика Конго, Эфиопия, Лесото, Малави, Мали, Руанда, Сан-Томе и Принсипи, Свазиленд, Того, Объединённая Республика Танзания, Зимбабве.</w:t>
            </w:r>
          </w:p>
          <w:p w:rsidR="00495A3D" w:rsidRPr="00495A3D" w:rsidRDefault="00495A3D" w:rsidP="00495A3D">
            <w:pPr>
              <w:rPr>
                <w:sz w:val="16"/>
                <w:szCs w:val="16"/>
                <w:lang w:val="ru-RU"/>
              </w:rPr>
            </w:pPr>
            <w:r w:rsidRPr="00495A3D">
              <w:rPr>
                <w:sz w:val="16"/>
                <w:szCs w:val="16"/>
                <w:lang w:val="ru-RU"/>
              </w:rPr>
              <w:t xml:space="preserve">(всего 26) </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арабские страны (нет новых стран в 2014–2015</w:t>
            </w:r>
            <w:r w:rsidRPr="005F4735">
              <w:rPr>
                <w:sz w:val="16"/>
                <w:szCs w:val="16"/>
              </w:rPr>
              <w:t> </w:t>
            </w:r>
            <w:r w:rsidRPr="00495A3D">
              <w:rPr>
                <w:sz w:val="16"/>
                <w:szCs w:val="16"/>
                <w:lang w:val="ru-RU"/>
              </w:rPr>
              <w:t>гг.):</w:t>
            </w:r>
          </w:p>
          <w:p w:rsidR="00495A3D" w:rsidRPr="00495A3D" w:rsidRDefault="00495A3D" w:rsidP="00495A3D">
            <w:pPr>
              <w:rPr>
                <w:sz w:val="16"/>
                <w:szCs w:val="16"/>
                <w:lang w:val="ru-RU"/>
              </w:rPr>
            </w:pPr>
            <w:r w:rsidRPr="00495A3D">
              <w:rPr>
                <w:sz w:val="16"/>
                <w:szCs w:val="16"/>
                <w:lang w:val="ru-RU"/>
              </w:rPr>
              <w:t>(всего 2)</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(еще 5 в 2014–2015</w:t>
            </w:r>
            <w:r w:rsidRPr="005F4735">
              <w:rPr>
                <w:sz w:val="16"/>
                <w:szCs w:val="16"/>
              </w:rPr>
              <w:t> </w:t>
            </w:r>
            <w:r w:rsidRPr="00495A3D">
              <w:rPr>
                <w:sz w:val="16"/>
                <w:szCs w:val="16"/>
                <w:lang w:val="ru-RU"/>
              </w:rPr>
              <w:t xml:space="preserve">гг.):  </w:t>
            </w:r>
          </w:p>
          <w:p w:rsidR="00495A3D" w:rsidRPr="00495A3D" w:rsidRDefault="00495A3D" w:rsidP="00495A3D">
            <w:pPr>
              <w:rPr>
                <w:sz w:val="16"/>
                <w:szCs w:val="16"/>
                <w:lang w:val="ru-RU"/>
              </w:rPr>
            </w:pPr>
            <w:r w:rsidRPr="00495A3D">
              <w:rPr>
                <w:sz w:val="16"/>
                <w:szCs w:val="16"/>
                <w:lang w:val="ru-RU"/>
              </w:rPr>
              <w:t>Камбоджа, Монголия, Шри-Ланка, Тонга, Вануату</w:t>
            </w:r>
          </w:p>
          <w:p w:rsidR="00495A3D" w:rsidRPr="00495A3D" w:rsidRDefault="00495A3D" w:rsidP="00495A3D">
            <w:pPr>
              <w:rPr>
                <w:sz w:val="16"/>
                <w:szCs w:val="16"/>
                <w:lang w:val="ru-RU"/>
              </w:rPr>
            </w:pPr>
            <w:r w:rsidRPr="00495A3D">
              <w:rPr>
                <w:sz w:val="16"/>
                <w:szCs w:val="16"/>
                <w:lang w:val="ru-RU"/>
              </w:rPr>
              <w:t>(всего 8)</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регион Латинской Америки и Карибского бассейна (еще 4 страны в 2014–2015</w:t>
            </w:r>
            <w:r w:rsidRPr="005F4735">
              <w:rPr>
                <w:sz w:val="16"/>
                <w:szCs w:val="16"/>
              </w:rPr>
              <w:t> </w:t>
            </w:r>
            <w:r w:rsidRPr="00495A3D">
              <w:rPr>
                <w:sz w:val="16"/>
                <w:szCs w:val="16"/>
                <w:lang w:val="ru-RU"/>
              </w:rPr>
              <w:t xml:space="preserve">гг.): Барбадос, Сальвадор, Гватемала, Сент-Китс и Невис </w:t>
            </w:r>
          </w:p>
          <w:p w:rsidR="00495A3D" w:rsidRPr="00495A3D" w:rsidRDefault="00495A3D" w:rsidP="00495A3D">
            <w:pPr>
              <w:rPr>
                <w:sz w:val="16"/>
                <w:szCs w:val="16"/>
                <w:lang w:val="ru-RU"/>
              </w:rPr>
            </w:pPr>
            <w:r w:rsidRPr="00495A3D">
              <w:rPr>
                <w:sz w:val="16"/>
                <w:szCs w:val="16"/>
                <w:lang w:val="ru-RU"/>
              </w:rPr>
              <w:t>(всего 8)</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19 указаны в приведенной выше разбивке по регионам</w:t>
            </w:r>
          </w:p>
        </w:tc>
        <w:tc>
          <w:tcPr>
            <w:tcW w:w="1361" w:type="dxa"/>
            <w:gridSpan w:val="2"/>
            <w:shd w:val="clear" w:color="auto" w:fill="auto"/>
          </w:tcPr>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rPr>
                <w:bCs/>
                <w:sz w:val="16"/>
                <w:szCs w:val="16"/>
                <w:lang w:val="ru-RU"/>
              </w:rPr>
            </w:pPr>
          </w:p>
          <w:p w:rsidR="00495A3D" w:rsidRPr="00495A3D" w:rsidRDefault="00495A3D" w:rsidP="00495A3D">
            <w:pPr>
              <w:keepNext/>
              <w:keepLines/>
              <w:spacing w:after="120"/>
              <w:jc w:val="center"/>
              <w:rPr>
                <w:bCs/>
                <w:sz w:val="16"/>
                <w:szCs w:val="16"/>
                <w:lang w:val="ru-RU"/>
              </w:rPr>
            </w:pPr>
            <w:r w:rsidRPr="00495A3D">
              <w:rPr>
                <w:b/>
                <w:color w:val="FF0000"/>
                <w:sz w:val="16"/>
                <w:szCs w:val="16"/>
                <w:lang w:val="ru-RU"/>
              </w:rPr>
              <w:t>Не выполнено</w:t>
            </w: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
                <w:bCs/>
                <w:color w:val="F79646" w:themeColor="accent6"/>
                <w:sz w:val="16"/>
                <w:szCs w:val="16"/>
                <w:lang w:val="ru-RU"/>
              </w:rPr>
            </w:pPr>
            <w:r w:rsidRPr="00495A3D">
              <w:rPr>
                <w:b/>
                <w:color w:val="F79646" w:themeColor="accent6"/>
                <w:sz w:val="16"/>
                <w:szCs w:val="16"/>
                <w:lang w:val="ru-RU"/>
              </w:rPr>
              <w:t>Частично выполнено</w:t>
            </w:r>
          </w:p>
          <w:p w:rsidR="00495A3D" w:rsidRPr="00495A3D" w:rsidRDefault="00495A3D" w:rsidP="00495A3D">
            <w:pPr>
              <w:keepNext/>
              <w:keepLines/>
              <w:spacing w:after="120"/>
              <w:jc w:val="center"/>
              <w:rPr>
                <w:bCs/>
                <w:sz w:val="16"/>
                <w:szCs w:val="16"/>
                <w:lang w:val="ru-RU"/>
              </w:rPr>
            </w:pPr>
          </w:p>
          <w:p w:rsidR="00495A3D" w:rsidRPr="00495A3D" w:rsidRDefault="00495A3D" w:rsidP="00495A3D">
            <w:pPr>
              <w:keepNext/>
              <w:keepLines/>
              <w:spacing w:after="120"/>
              <w:jc w:val="center"/>
              <w:rPr>
                <w:bCs/>
                <w:sz w:val="16"/>
                <w:szCs w:val="16"/>
                <w:lang w:val="ru-RU"/>
              </w:rPr>
            </w:pPr>
          </w:p>
        </w:tc>
      </w:tr>
      <w:tr w:rsidR="00495A3D" w:rsidRPr="005C6ABD" w:rsidTr="00495A3D">
        <w:trPr>
          <w:gridAfter w:val="1"/>
          <w:wAfter w:w="228" w:type="dxa"/>
        </w:trPr>
        <w:tc>
          <w:tcPr>
            <w:tcW w:w="9441" w:type="dxa"/>
            <w:gridSpan w:val="11"/>
            <w:tcBorders>
              <w:top w:val="single" w:sz="4" w:space="0" w:color="auto"/>
              <w:bottom w:val="single" w:sz="4" w:space="0" w:color="auto"/>
            </w:tcBorders>
            <w:shd w:val="clear" w:color="auto" w:fill="C6D9F1" w:themeFill="text2" w:themeFillTint="33"/>
            <w:vAlign w:val="center"/>
          </w:tcPr>
          <w:p w:rsidR="00495A3D" w:rsidRPr="00495A3D" w:rsidRDefault="00495A3D" w:rsidP="003A5C2E">
            <w:pPr>
              <w:keepNext/>
              <w:keepLines/>
              <w:tabs>
                <w:tab w:val="left" w:pos="2302"/>
              </w:tabs>
              <w:spacing w:before="120" w:after="120"/>
              <w:ind w:left="2302" w:hanging="2302"/>
              <w:rPr>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5F4735">
              <w:rPr>
                <w:sz w:val="16"/>
                <w:szCs w:val="16"/>
              </w:rPr>
              <w:t>III</w:t>
            </w:r>
            <w:r w:rsidRPr="00495A3D">
              <w:rPr>
                <w:sz w:val="16"/>
                <w:szCs w:val="16"/>
                <w:lang w:val="ru-RU"/>
              </w:rPr>
              <w:t>.2. Повышение квалификации людских ресурсов для ре</w:t>
            </w:r>
            <w:r w:rsidR="003A5C2E">
              <w:rPr>
                <w:sz w:val="16"/>
                <w:szCs w:val="16"/>
                <w:lang w:val="ru-RU"/>
              </w:rPr>
              <w:t xml:space="preserve">шения широкого круга вопросов, </w:t>
            </w:r>
            <w:r w:rsidRPr="00495A3D">
              <w:rPr>
                <w:sz w:val="16"/>
                <w:szCs w:val="16"/>
                <w:lang w:val="ru-RU"/>
              </w:rPr>
              <w:t xml:space="preserve">связанных с эффективным использованием ИС для </w:t>
            </w:r>
            <w:r w:rsidR="003A5C2E">
              <w:rPr>
                <w:sz w:val="16"/>
                <w:szCs w:val="16"/>
                <w:lang w:val="ru-RU"/>
              </w:rPr>
              <w:t xml:space="preserve">целей развития в развивающихся </w:t>
            </w:r>
            <w:r w:rsidRPr="00495A3D">
              <w:rPr>
                <w:sz w:val="16"/>
                <w:szCs w:val="16"/>
                <w:lang w:val="ru-RU"/>
              </w:rPr>
              <w:t>странах, наименее развитых странах и странах с переходной экономикой</w:t>
            </w:r>
          </w:p>
        </w:tc>
      </w:tr>
      <w:tr w:rsidR="00495A3D" w:rsidRPr="005F4735" w:rsidTr="00495A3D">
        <w:trPr>
          <w:gridAfter w:val="1"/>
          <w:wAfter w:w="228" w:type="dxa"/>
        </w:trPr>
        <w:tc>
          <w:tcPr>
            <w:tcW w:w="1867" w:type="dxa"/>
            <w:tcBorders>
              <w:top w:val="single" w:sz="4" w:space="0" w:color="auto"/>
            </w:tcBorders>
            <w:shd w:val="clear" w:color="auto" w:fill="auto"/>
            <w:vAlign w:val="center"/>
          </w:tcPr>
          <w:p w:rsidR="00495A3D" w:rsidRPr="005F4735" w:rsidRDefault="00495A3D" w:rsidP="00495A3D">
            <w:pPr>
              <w:spacing w:after="40"/>
              <w:rPr>
                <w:sz w:val="16"/>
                <w:szCs w:val="16"/>
              </w:rPr>
            </w:pPr>
            <w:r w:rsidRPr="005F4735">
              <w:rPr>
                <w:b/>
                <w:sz w:val="16"/>
                <w:szCs w:val="16"/>
              </w:rPr>
              <w:t>Показатели результативности</w:t>
            </w:r>
          </w:p>
        </w:tc>
        <w:tc>
          <w:tcPr>
            <w:tcW w:w="2243" w:type="dxa"/>
            <w:gridSpan w:val="2"/>
            <w:tcBorders>
              <w:top w:val="single" w:sz="4" w:space="0" w:color="auto"/>
            </w:tcBorders>
            <w:shd w:val="clear" w:color="auto" w:fill="auto"/>
            <w:vAlign w:val="center"/>
          </w:tcPr>
          <w:p w:rsidR="00495A3D" w:rsidRPr="005F4735" w:rsidRDefault="00495A3D" w:rsidP="00495A3D">
            <w:pPr>
              <w:spacing w:after="40"/>
              <w:rPr>
                <w:b/>
                <w:bCs/>
                <w:sz w:val="16"/>
                <w:szCs w:val="16"/>
              </w:rPr>
            </w:pPr>
            <w:r w:rsidRPr="005F4735">
              <w:rPr>
                <w:b/>
                <w:sz w:val="16"/>
                <w:szCs w:val="16"/>
              </w:rPr>
              <w:t>Базовые показатели</w:t>
            </w:r>
          </w:p>
        </w:tc>
        <w:tc>
          <w:tcPr>
            <w:tcW w:w="1701" w:type="dxa"/>
            <w:gridSpan w:val="3"/>
            <w:tcBorders>
              <w:top w:val="single" w:sz="4" w:space="0" w:color="auto"/>
            </w:tcBorders>
            <w:shd w:val="clear" w:color="auto" w:fill="auto"/>
            <w:tcMar>
              <w:top w:w="110" w:type="dxa"/>
            </w:tcMar>
            <w:vAlign w:val="center"/>
          </w:tcPr>
          <w:p w:rsidR="00495A3D" w:rsidRPr="005F4735" w:rsidRDefault="00495A3D" w:rsidP="00495A3D">
            <w:pPr>
              <w:spacing w:after="40"/>
              <w:rPr>
                <w:b/>
                <w:sz w:val="16"/>
                <w:szCs w:val="16"/>
              </w:rPr>
            </w:pPr>
            <w:r w:rsidRPr="005F4735">
              <w:rPr>
                <w:b/>
                <w:sz w:val="16"/>
                <w:szCs w:val="16"/>
              </w:rPr>
              <w:t>Цели</w:t>
            </w:r>
          </w:p>
        </w:tc>
        <w:tc>
          <w:tcPr>
            <w:tcW w:w="2269" w:type="dxa"/>
            <w:gridSpan w:val="3"/>
            <w:tcBorders>
              <w:top w:val="single" w:sz="4" w:space="0" w:color="auto"/>
            </w:tcBorders>
            <w:shd w:val="clear" w:color="auto" w:fill="FFFFFF"/>
            <w:tcMar>
              <w:top w:w="110" w:type="dxa"/>
            </w:tcMar>
            <w:vAlign w:val="center"/>
          </w:tcPr>
          <w:p w:rsidR="00495A3D" w:rsidRPr="005F4735" w:rsidRDefault="00495A3D" w:rsidP="00495A3D">
            <w:pPr>
              <w:spacing w:after="40"/>
              <w:rPr>
                <w:sz w:val="16"/>
                <w:szCs w:val="16"/>
              </w:rPr>
            </w:pPr>
            <w:r w:rsidRPr="005F4735">
              <w:rPr>
                <w:b/>
                <w:sz w:val="16"/>
                <w:szCs w:val="16"/>
              </w:rPr>
              <w:t>Данные о результативности</w:t>
            </w:r>
          </w:p>
        </w:tc>
        <w:tc>
          <w:tcPr>
            <w:tcW w:w="1361" w:type="dxa"/>
            <w:gridSpan w:val="2"/>
            <w:tcBorders>
              <w:top w:val="single" w:sz="4" w:space="0" w:color="auto"/>
            </w:tcBorders>
            <w:shd w:val="clear" w:color="auto" w:fill="auto"/>
            <w:tcMar>
              <w:top w:w="110" w:type="dxa"/>
            </w:tcMar>
            <w:vAlign w:val="center"/>
          </w:tcPr>
          <w:p w:rsidR="00495A3D" w:rsidRPr="005F4735" w:rsidRDefault="00495A3D" w:rsidP="00495A3D">
            <w:pPr>
              <w:keepNext/>
              <w:keepLines/>
              <w:spacing w:after="40"/>
              <w:jc w:val="center"/>
              <w:rPr>
                <w:b/>
                <w:bCs/>
                <w:sz w:val="16"/>
                <w:szCs w:val="16"/>
              </w:rPr>
            </w:pPr>
            <w:r w:rsidRPr="005F4735">
              <w:rPr>
                <w:b/>
                <w:sz w:val="16"/>
                <w:szCs w:val="16"/>
              </w:rPr>
              <w:t>CC</w:t>
            </w:r>
          </w:p>
        </w:tc>
      </w:tr>
      <w:tr w:rsidR="00495A3D" w:rsidRPr="005C6ABD" w:rsidTr="00495A3D">
        <w:trPr>
          <w:gridAfter w:val="1"/>
          <w:wAfter w:w="228" w:type="dxa"/>
        </w:trPr>
        <w:tc>
          <w:tcPr>
            <w:tcW w:w="1867" w:type="dxa"/>
            <w:shd w:val="clear" w:color="auto" w:fill="FFFFFF"/>
          </w:tcPr>
          <w:p w:rsidR="00495A3D" w:rsidRPr="00495A3D" w:rsidRDefault="00495A3D" w:rsidP="00495A3D">
            <w:pPr>
              <w:rPr>
                <w:sz w:val="16"/>
                <w:szCs w:val="16"/>
                <w:lang w:val="ru-RU"/>
              </w:rPr>
            </w:pPr>
            <w:r w:rsidRPr="00495A3D">
              <w:rPr>
                <w:sz w:val="16"/>
                <w:szCs w:val="16"/>
                <w:lang w:val="ru-RU"/>
              </w:rPr>
              <w:t>Доля (%) участников мероприятий ВОИС, выразивших удовлетворение содержанием мероприятий и их организацией</w:t>
            </w:r>
          </w:p>
        </w:tc>
        <w:tc>
          <w:tcPr>
            <w:tcW w:w="2243" w:type="dxa"/>
            <w:gridSpan w:val="2"/>
            <w:shd w:val="clear" w:color="auto" w:fill="auto"/>
          </w:tcPr>
          <w:p w:rsidR="00495A3D" w:rsidRPr="00495A3D" w:rsidRDefault="00495A3D" w:rsidP="00495A3D">
            <w:pPr>
              <w:rPr>
                <w:i/>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 xml:space="preserve">г.: </w:t>
            </w:r>
          </w:p>
          <w:p w:rsidR="00495A3D" w:rsidRPr="00495A3D" w:rsidRDefault="00495A3D" w:rsidP="00495A3D">
            <w:pPr>
              <w:rPr>
                <w:sz w:val="16"/>
                <w:szCs w:val="16"/>
                <w:lang w:val="ru-RU"/>
              </w:rPr>
            </w:pPr>
            <w:r w:rsidRPr="00495A3D">
              <w:rPr>
                <w:sz w:val="16"/>
                <w:szCs w:val="16"/>
                <w:lang w:val="ru-RU"/>
              </w:rPr>
              <w:t>Азиатско-Тихоокеанский регион (65%); НРС 60%</w:t>
            </w:r>
          </w:p>
          <w:p w:rsidR="00495A3D" w:rsidRPr="00495A3D" w:rsidRDefault="00495A3D" w:rsidP="00495A3D">
            <w:pPr>
              <w:rPr>
                <w:i/>
                <w:sz w:val="16"/>
                <w:szCs w:val="16"/>
                <w:lang w:val="ru-RU"/>
              </w:rPr>
            </w:pPr>
          </w:p>
          <w:p w:rsidR="00495A3D" w:rsidRPr="00495A3D" w:rsidRDefault="00495A3D" w:rsidP="00495A3D">
            <w:pPr>
              <w:rPr>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данные отсутствуют</w:t>
            </w:r>
          </w:p>
          <w:p w:rsidR="00495A3D" w:rsidRPr="00495A3D" w:rsidRDefault="00495A3D" w:rsidP="00495A3D">
            <w:pPr>
              <w:rPr>
                <w:sz w:val="16"/>
                <w:szCs w:val="16"/>
                <w:lang w:val="ru-RU"/>
              </w:rPr>
            </w:pPr>
          </w:p>
        </w:tc>
        <w:tc>
          <w:tcPr>
            <w:tcW w:w="1701" w:type="dxa"/>
            <w:gridSpan w:val="3"/>
            <w:shd w:val="clear" w:color="auto" w:fill="auto"/>
            <w:tcMar>
              <w:top w:w="110" w:type="dxa"/>
            </w:tcMar>
          </w:tcPr>
          <w:p w:rsidR="00495A3D" w:rsidRPr="00495A3D" w:rsidRDefault="00495A3D" w:rsidP="00495A3D">
            <w:pPr>
              <w:rPr>
                <w:sz w:val="16"/>
                <w:szCs w:val="16"/>
                <w:lang w:val="ru-RU"/>
              </w:rPr>
            </w:pPr>
            <w:r w:rsidRPr="00495A3D">
              <w:rPr>
                <w:sz w:val="16"/>
                <w:szCs w:val="16"/>
                <w:lang w:val="ru-RU"/>
              </w:rPr>
              <w:t>Африка (70%)</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арабские страны (80%)</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(65%)</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регион Латинской Америки и Карибского бассейна (80%)</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5F4735" w:rsidRDefault="00495A3D" w:rsidP="00495A3D">
            <w:pPr>
              <w:rPr>
                <w:sz w:val="16"/>
                <w:szCs w:val="16"/>
              </w:rPr>
            </w:pPr>
            <w:r w:rsidRPr="005F4735">
              <w:rPr>
                <w:sz w:val="16"/>
                <w:szCs w:val="16"/>
              </w:rPr>
              <w:t>НРС (80%)</w:t>
            </w:r>
          </w:p>
          <w:p w:rsidR="00495A3D" w:rsidRPr="005F4735" w:rsidRDefault="00495A3D" w:rsidP="00495A3D">
            <w:pPr>
              <w:rPr>
                <w:sz w:val="16"/>
                <w:szCs w:val="16"/>
              </w:rPr>
            </w:pPr>
          </w:p>
        </w:tc>
        <w:tc>
          <w:tcPr>
            <w:tcW w:w="2269" w:type="dxa"/>
            <w:gridSpan w:val="3"/>
            <w:shd w:val="clear" w:color="auto" w:fill="FFFFFF"/>
            <w:tcMar>
              <w:top w:w="110" w:type="dxa"/>
            </w:tcMar>
          </w:tcPr>
          <w:p w:rsidR="00495A3D" w:rsidRPr="00495A3D" w:rsidRDefault="00495A3D" w:rsidP="00495A3D">
            <w:pPr>
              <w:rPr>
                <w:sz w:val="16"/>
                <w:szCs w:val="16"/>
                <w:lang w:val="ru-RU"/>
              </w:rPr>
            </w:pPr>
            <w:r w:rsidRPr="00495A3D">
              <w:rPr>
                <w:sz w:val="16"/>
                <w:szCs w:val="16"/>
                <w:lang w:val="ru-RU"/>
              </w:rPr>
              <w:t>Африка (75%)</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арабские страны (90%) </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(95%)</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регион Латинской Америки и Карибского бассейна (80%) </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5F4735" w:rsidRDefault="00495A3D" w:rsidP="00495A3D">
            <w:pPr>
              <w:rPr>
                <w:sz w:val="16"/>
                <w:szCs w:val="16"/>
              </w:rPr>
            </w:pPr>
            <w:r w:rsidRPr="005F4735">
              <w:rPr>
                <w:sz w:val="16"/>
                <w:szCs w:val="16"/>
              </w:rPr>
              <w:t xml:space="preserve">НРС (85%) </w:t>
            </w:r>
          </w:p>
          <w:p w:rsidR="00495A3D" w:rsidRPr="005F4735" w:rsidRDefault="00495A3D" w:rsidP="00495A3D">
            <w:pPr>
              <w:rPr>
                <w:sz w:val="16"/>
                <w:szCs w:val="16"/>
              </w:rPr>
            </w:pPr>
          </w:p>
        </w:tc>
        <w:tc>
          <w:tcPr>
            <w:tcW w:w="1361" w:type="dxa"/>
            <w:gridSpan w:val="2"/>
            <w:shd w:val="clear" w:color="auto" w:fill="auto"/>
            <w:tcMar>
              <w:top w:w="110" w:type="dxa"/>
            </w:tcMar>
          </w:tcPr>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rPr>
                <w:b/>
                <w:bCs/>
                <w:color w:val="00B050"/>
                <w:sz w:val="16"/>
                <w:szCs w:val="16"/>
                <w:lang w:val="ru-RU"/>
              </w:rPr>
            </w:pPr>
          </w:p>
          <w:p w:rsidR="00495A3D" w:rsidRPr="00495A3D" w:rsidRDefault="00495A3D" w:rsidP="00495A3D">
            <w:pPr>
              <w:keepNext/>
              <w:keepLines/>
              <w:rPr>
                <w:b/>
                <w:bCs/>
                <w:color w:val="00B050"/>
                <w:sz w:val="16"/>
                <w:szCs w:val="16"/>
                <w:lang w:val="ru-RU"/>
              </w:rPr>
            </w:pPr>
          </w:p>
          <w:p w:rsidR="00495A3D" w:rsidRPr="00495A3D" w:rsidRDefault="00495A3D" w:rsidP="00495A3D">
            <w:pPr>
              <w:keepNext/>
              <w:keepLines/>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sz w:val="16"/>
                <w:szCs w:val="16"/>
                <w:lang w:val="ru-RU"/>
              </w:rPr>
            </w:pPr>
            <w:r w:rsidRPr="00495A3D">
              <w:rPr>
                <w:b/>
                <w:color w:val="00B050"/>
                <w:sz w:val="16"/>
                <w:szCs w:val="16"/>
                <w:lang w:val="ru-RU"/>
              </w:rPr>
              <w:t>Выполнено</w:t>
            </w:r>
          </w:p>
        </w:tc>
      </w:tr>
      <w:tr w:rsidR="00495A3D" w:rsidRPr="005F4735" w:rsidTr="00495A3D">
        <w:trPr>
          <w:gridAfter w:val="1"/>
          <w:wAfter w:w="228" w:type="dxa"/>
        </w:trPr>
        <w:tc>
          <w:tcPr>
            <w:tcW w:w="1867" w:type="dxa"/>
            <w:shd w:val="clear" w:color="auto" w:fill="FFFFFF"/>
          </w:tcPr>
          <w:p w:rsidR="00495A3D" w:rsidRPr="00495A3D" w:rsidRDefault="00495A3D" w:rsidP="00495A3D">
            <w:pPr>
              <w:rPr>
                <w:sz w:val="16"/>
                <w:szCs w:val="16"/>
                <w:lang w:val="ru-RU"/>
              </w:rPr>
            </w:pPr>
            <w:r w:rsidRPr="00495A3D">
              <w:rPr>
                <w:sz w:val="16"/>
                <w:szCs w:val="16"/>
                <w:lang w:val="ru-RU"/>
              </w:rPr>
              <w:t>Доля участников семинаров ВОИС, которые применяют полученные навыки и знания в профессиональной/предпринимательской деятельности</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tc>
        <w:tc>
          <w:tcPr>
            <w:tcW w:w="2243" w:type="dxa"/>
            <w:gridSpan w:val="2"/>
            <w:shd w:val="clear" w:color="auto" w:fill="auto"/>
          </w:tcPr>
          <w:p w:rsidR="00495A3D" w:rsidRPr="00495A3D" w:rsidRDefault="00495A3D" w:rsidP="00495A3D">
            <w:pPr>
              <w:rPr>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 xml:space="preserve">г.:  </w:t>
            </w:r>
            <w:r w:rsidRPr="00495A3D">
              <w:rPr>
                <w:sz w:val="16"/>
                <w:szCs w:val="16"/>
                <w:lang w:val="ru-RU"/>
              </w:rPr>
              <w:t>Африка: информация отсутствует</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Арабский регион: информация отсутствует</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65%</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Латинская Америка и страны Карибского бассейна: информация отсутствует;</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НРС: информация отсутствует</w:t>
            </w:r>
          </w:p>
          <w:p w:rsidR="00495A3D" w:rsidRPr="00495A3D" w:rsidRDefault="00495A3D" w:rsidP="00495A3D">
            <w:pPr>
              <w:rPr>
                <w:i/>
                <w:sz w:val="16"/>
                <w:szCs w:val="16"/>
                <w:lang w:val="ru-RU"/>
              </w:rPr>
            </w:pPr>
          </w:p>
          <w:p w:rsidR="00495A3D" w:rsidRPr="00495A3D" w:rsidRDefault="00495A3D" w:rsidP="00495A3D">
            <w:pPr>
              <w:rPr>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w:t>
            </w:r>
          </w:p>
          <w:p w:rsidR="00495A3D" w:rsidRPr="00495A3D" w:rsidRDefault="00495A3D" w:rsidP="00495A3D">
            <w:pPr>
              <w:rPr>
                <w:sz w:val="16"/>
                <w:szCs w:val="16"/>
                <w:lang w:val="ru-RU"/>
              </w:rPr>
            </w:pPr>
            <w:r w:rsidRPr="00495A3D">
              <w:rPr>
                <w:sz w:val="16"/>
                <w:szCs w:val="16"/>
                <w:lang w:val="ru-RU"/>
              </w:rPr>
              <w:t>Африка: информация отсутствует</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Арабский регион: информация отсутствует</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(65%)</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Латинская Америка и страны Карибского бассейна: информация отсутствует</w:t>
            </w:r>
          </w:p>
          <w:p w:rsidR="00495A3D" w:rsidRPr="00495A3D" w:rsidRDefault="00495A3D" w:rsidP="00495A3D">
            <w:pPr>
              <w:rPr>
                <w:sz w:val="16"/>
                <w:szCs w:val="16"/>
                <w:lang w:val="ru-RU"/>
              </w:rPr>
            </w:pPr>
          </w:p>
          <w:p w:rsidR="00495A3D" w:rsidRPr="005F4735" w:rsidRDefault="00495A3D" w:rsidP="00495A3D">
            <w:pPr>
              <w:rPr>
                <w:sz w:val="16"/>
                <w:szCs w:val="16"/>
              </w:rPr>
            </w:pPr>
            <w:r w:rsidRPr="005F4735">
              <w:rPr>
                <w:sz w:val="16"/>
                <w:szCs w:val="16"/>
              </w:rPr>
              <w:t>НРС: информация отсутствует</w:t>
            </w:r>
          </w:p>
          <w:p w:rsidR="00495A3D" w:rsidRPr="005F4735" w:rsidRDefault="00495A3D" w:rsidP="00495A3D">
            <w:pPr>
              <w:rPr>
                <w:i/>
                <w:sz w:val="16"/>
                <w:szCs w:val="16"/>
              </w:rPr>
            </w:pPr>
          </w:p>
        </w:tc>
        <w:tc>
          <w:tcPr>
            <w:tcW w:w="1701" w:type="dxa"/>
            <w:gridSpan w:val="3"/>
            <w:shd w:val="clear" w:color="auto" w:fill="auto"/>
            <w:tcMar>
              <w:top w:w="110" w:type="dxa"/>
            </w:tcMar>
          </w:tcPr>
          <w:p w:rsidR="00495A3D" w:rsidRPr="00495A3D" w:rsidRDefault="00495A3D" w:rsidP="00495A3D">
            <w:pPr>
              <w:rPr>
                <w:sz w:val="16"/>
                <w:szCs w:val="16"/>
                <w:lang w:val="ru-RU"/>
              </w:rPr>
            </w:pPr>
            <w:r w:rsidRPr="00495A3D">
              <w:rPr>
                <w:sz w:val="16"/>
                <w:szCs w:val="16"/>
                <w:lang w:val="ru-RU"/>
              </w:rPr>
              <w:t>Африка (70%)</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арабские страны (70%)</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(65%)</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Латинская Америка и страны Карибского бассейна (30%)</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5F4735" w:rsidRDefault="00495A3D" w:rsidP="00495A3D">
            <w:pPr>
              <w:rPr>
                <w:sz w:val="16"/>
                <w:szCs w:val="16"/>
              </w:rPr>
            </w:pPr>
            <w:r w:rsidRPr="005F4735">
              <w:rPr>
                <w:sz w:val="16"/>
                <w:szCs w:val="16"/>
              </w:rPr>
              <w:t>НРС (80%)</w:t>
            </w:r>
          </w:p>
          <w:p w:rsidR="00495A3D" w:rsidRPr="005F4735" w:rsidRDefault="00495A3D" w:rsidP="00495A3D">
            <w:pPr>
              <w:rPr>
                <w:sz w:val="16"/>
                <w:szCs w:val="16"/>
              </w:rPr>
            </w:pPr>
          </w:p>
          <w:p w:rsidR="00495A3D" w:rsidRPr="005F4735" w:rsidRDefault="00495A3D" w:rsidP="00495A3D">
            <w:pPr>
              <w:rPr>
                <w:sz w:val="16"/>
                <w:szCs w:val="16"/>
              </w:rPr>
            </w:pPr>
          </w:p>
        </w:tc>
        <w:tc>
          <w:tcPr>
            <w:tcW w:w="2269" w:type="dxa"/>
            <w:gridSpan w:val="3"/>
            <w:shd w:val="clear" w:color="auto" w:fill="FFFFFF"/>
            <w:tcMar>
              <w:top w:w="110" w:type="dxa"/>
            </w:tcMar>
          </w:tcPr>
          <w:p w:rsidR="00495A3D" w:rsidRPr="00495A3D" w:rsidRDefault="00495A3D" w:rsidP="00495A3D">
            <w:pPr>
              <w:rPr>
                <w:sz w:val="16"/>
                <w:szCs w:val="16"/>
                <w:lang w:val="ru-RU"/>
              </w:rPr>
            </w:pPr>
            <w:r w:rsidRPr="00495A3D">
              <w:rPr>
                <w:sz w:val="16"/>
                <w:szCs w:val="16"/>
                <w:lang w:val="ru-RU"/>
              </w:rPr>
              <w:t xml:space="preserve">Африка (70%) </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Арабский регион: отсутствует</w:t>
            </w:r>
            <w:r w:rsidRPr="005F4735">
              <w:rPr>
                <w:rStyle w:val="FootnoteReference"/>
                <w:b/>
                <w:sz w:val="16"/>
                <w:szCs w:val="16"/>
              </w:rPr>
              <w:footnoteReference w:id="65"/>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(91%)</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Латинская Америка и страны Карибского бассейна (40%) </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5F4735" w:rsidRDefault="00495A3D" w:rsidP="00495A3D">
            <w:pPr>
              <w:rPr>
                <w:sz w:val="16"/>
                <w:szCs w:val="16"/>
              </w:rPr>
            </w:pPr>
            <w:r w:rsidRPr="005F4735">
              <w:rPr>
                <w:sz w:val="16"/>
                <w:szCs w:val="16"/>
              </w:rPr>
              <w:t xml:space="preserve">НРС (90%) </w:t>
            </w:r>
          </w:p>
        </w:tc>
        <w:tc>
          <w:tcPr>
            <w:tcW w:w="1361" w:type="dxa"/>
            <w:gridSpan w:val="2"/>
            <w:shd w:val="clear" w:color="auto" w:fill="auto"/>
            <w:tcMar>
              <w:top w:w="110" w:type="dxa"/>
            </w:tcMar>
          </w:tcPr>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808080" w:themeColor="background1" w:themeShade="80"/>
                <w:sz w:val="16"/>
                <w:szCs w:val="16"/>
                <w:lang w:val="ru-RU"/>
              </w:rPr>
            </w:pPr>
          </w:p>
          <w:p w:rsidR="00495A3D" w:rsidRPr="00495A3D" w:rsidRDefault="00495A3D" w:rsidP="00495A3D">
            <w:pPr>
              <w:keepNext/>
              <w:keepLines/>
              <w:jc w:val="center"/>
              <w:rPr>
                <w:b/>
                <w:bCs/>
                <w:color w:val="808080" w:themeColor="background1" w:themeShade="80"/>
                <w:sz w:val="16"/>
                <w:szCs w:val="16"/>
                <w:lang w:val="ru-RU"/>
              </w:rPr>
            </w:pPr>
          </w:p>
          <w:p w:rsidR="00495A3D" w:rsidRPr="00495A3D" w:rsidRDefault="00495A3D" w:rsidP="00495A3D">
            <w:pPr>
              <w:keepNext/>
              <w:keepLines/>
              <w:jc w:val="center"/>
              <w:rPr>
                <w:b/>
                <w:bCs/>
                <w:sz w:val="16"/>
                <w:szCs w:val="16"/>
                <w:lang w:val="ru-RU"/>
              </w:rPr>
            </w:pPr>
            <w:r w:rsidRPr="00495A3D">
              <w:rPr>
                <w:b/>
                <w:color w:val="808080" w:themeColor="background1" w:themeShade="80"/>
                <w:sz w:val="16"/>
                <w:szCs w:val="16"/>
                <w:lang w:val="ru-RU"/>
              </w:rPr>
              <w:t>Не подлежит оценке</w:t>
            </w: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5F4735" w:rsidRDefault="00495A3D" w:rsidP="00495A3D">
            <w:pPr>
              <w:keepNext/>
              <w:keepLines/>
              <w:jc w:val="center"/>
              <w:rPr>
                <w:b/>
                <w:bCs/>
                <w:color w:val="00B050"/>
                <w:sz w:val="16"/>
                <w:szCs w:val="16"/>
              </w:rPr>
            </w:pPr>
            <w:r w:rsidRPr="005F4735">
              <w:rPr>
                <w:b/>
                <w:color w:val="00B050"/>
                <w:sz w:val="16"/>
                <w:szCs w:val="16"/>
              </w:rPr>
              <w:t>Выполнено</w:t>
            </w:r>
          </w:p>
          <w:p w:rsidR="00495A3D" w:rsidRPr="005F4735" w:rsidRDefault="00495A3D" w:rsidP="00495A3D">
            <w:pPr>
              <w:keepNext/>
              <w:keepLines/>
              <w:jc w:val="center"/>
              <w:rPr>
                <w:b/>
                <w:bCs/>
                <w:sz w:val="16"/>
                <w:szCs w:val="16"/>
              </w:rPr>
            </w:pPr>
          </w:p>
        </w:tc>
      </w:tr>
      <w:tr w:rsidR="00495A3D" w:rsidRPr="005C6ABD" w:rsidTr="00495A3D">
        <w:trPr>
          <w:gridAfter w:val="1"/>
          <w:wAfter w:w="228" w:type="dxa"/>
        </w:trPr>
        <w:tc>
          <w:tcPr>
            <w:tcW w:w="1867" w:type="dxa"/>
            <w:tcBorders>
              <w:bottom w:val="single" w:sz="4" w:space="0" w:color="auto"/>
            </w:tcBorders>
            <w:shd w:val="clear" w:color="auto" w:fill="FFFFFF"/>
          </w:tcPr>
          <w:p w:rsidR="00495A3D" w:rsidRPr="00495A3D" w:rsidRDefault="00495A3D" w:rsidP="00495A3D">
            <w:pPr>
              <w:rPr>
                <w:sz w:val="16"/>
                <w:szCs w:val="16"/>
                <w:lang w:val="ru-RU"/>
              </w:rPr>
            </w:pPr>
            <w:r w:rsidRPr="00495A3D">
              <w:rPr>
                <w:sz w:val="16"/>
                <w:szCs w:val="16"/>
                <w:lang w:val="ru-RU"/>
              </w:rPr>
              <w:t>Доля национальных/региональных экспертов в области ИС, задействованных в мероприятиях ВОИС качестве консультантов</w:t>
            </w:r>
          </w:p>
        </w:tc>
        <w:tc>
          <w:tcPr>
            <w:tcW w:w="2243" w:type="dxa"/>
            <w:gridSpan w:val="2"/>
            <w:tcBorders>
              <w:bottom w:val="single" w:sz="4" w:space="0" w:color="auto"/>
            </w:tcBorders>
            <w:shd w:val="clear" w:color="auto" w:fill="auto"/>
          </w:tcPr>
          <w:p w:rsidR="00495A3D" w:rsidRPr="00495A3D" w:rsidRDefault="00495A3D" w:rsidP="00495A3D">
            <w:pPr>
              <w:rPr>
                <w:i/>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 xml:space="preserve">г.:  </w:t>
            </w:r>
          </w:p>
          <w:p w:rsidR="00495A3D" w:rsidRPr="00495A3D" w:rsidRDefault="00495A3D" w:rsidP="00495A3D">
            <w:pPr>
              <w:rPr>
                <w:sz w:val="16"/>
                <w:szCs w:val="16"/>
                <w:lang w:val="ru-RU"/>
              </w:rPr>
            </w:pPr>
            <w:r w:rsidRPr="00495A3D">
              <w:rPr>
                <w:sz w:val="16"/>
                <w:szCs w:val="16"/>
                <w:lang w:val="ru-RU"/>
              </w:rPr>
              <w:t>Африка: (70%)</w:t>
            </w:r>
          </w:p>
          <w:p w:rsidR="00495A3D" w:rsidRPr="00495A3D" w:rsidRDefault="00495A3D" w:rsidP="00495A3D">
            <w:pPr>
              <w:rPr>
                <w:sz w:val="16"/>
                <w:szCs w:val="16"/>
                <w:lang w:val="ru-RU"/>
              </w:rPr>
            </w:pPr>
            <w:r w:rsidRPr="00495A3D">
              <w:rPr>
                <w:sz w:val="16"/>
                <w:szCs w:val="16"/>
                <w:lang w:val="ru-RU"/>
              </w:rPr>
              <w:t>арабские страны (50%)</w:t>
            </w:r>
          </w:p>
          <w:p w:rsidR="00495A3D" w:rsidRPr="00495A3D" w:rsidRDefault="00495A3D" w:rsidP="00495A3D">
            <w:pPr>
              <w:rPr>
                <w:sz w:val="16"/>
                <w:szCs w:val="16"/>
                <w:lang w:val="ru-RU"/>
              </w:rPr>
            </w:pPr>
            <w:r w:rsidRPr="00495A3D">
              <w:rPr>
                <w:sz w:val="16"/>
                <w:szCs w:val="16"/>
                <w:lang w:val="ru-RU"/>
              </w:rPr>
              <w:t>Азиатско-Тихоокеанский регион: данные отсутствуют</w:t>
            </w:r>
          </w:p>
          <w:p w:rsidR="00495A3D" w:rsidRPr="00495A3D" w:rsidRDefault="00495A3D" w:rsidP="00495A3D">
            <w:pPr>
              <w:rPr>
                <w:sz w:val="16"/>
                <w:szCs w:val="16"/>
                <w:lang w:val="ru-RU"/>
              </w:rPr>
            </w:pPr>
            <w:r w:rsidRPr="00495A3D">
              <w:rPr>
                <w:sz w:val="16"/>
                <w:szCs w:val="16"/>
                <w:lang w:val="ru-RU"/>
              </w:rPr>
              <w:t>Латинская Америка и страны Карибского бассейна (70%)</w:t>
            </w:r>
          </w:p>
          <w:p w:rsidR="00495A3D" w:rsidRPr="00495A3D" w:rsidRDefault="00495A3D" w:rsidP="00495A3D">
            <w:pPr>
              <w:rPr>
                <w:sz w:val="16"/>
                <w:szCs w:val="16"/>
                <w:lang w:val="ru-RU"/>
              </w:rPr>
            </w:pPr>
            <w:r w:rsidRPr="00495A3D">
              <w:rPr>
                <w:sz w:val="16"/>
                <w:szCs w:val="16"/>
                <w:lang w:val="ru-RU"/>
              </w:rPr>
              <w:t>НРС (60%)</w:t>
            </w:r>
          </w:p>
          <w:p w:rsidR="00495A3D" w:rsidRPr="00495A3D" w:rsidRDefault="00495A3D" w:rsidP="00495A3D">
            <w:pPr>
              <w:rPr>
                <w:i/>
                <w:sz w:val="16"/>
                <w:szCs w:val="16"/>
                <w:lang w:val="ru-RU"/>
              </w:rPr>
            </w:pPr>
          </w:p>
          <w:p w:rsidR="00495A3D" w:rsidRPr="00495A3D" w:rsidRDefault="00495A3D" w:rsidP="00495A3D">
            <w:pPr>
              <w:rPr>
                <w:i/>
                <w:sz w:val="16"/>
                <w:szCs w:val="16"/>
                <w:lang w:val="ru-RU"/>
              </w:rPr>
            </w:pPr>
            <w:r w:rsidRPr="00495A3D">
              <w:rPr>
                <w:i/>
                <w:sz w:val="16"/>
                <w:szCs w:val="16"/>
                <w:lang w:val="ru-RU"/>
              </w:rPr>
              <w:t xml:space="preserve">Исходные базовые показатели ПиБ на 2014–2015 гг.: </w:t>
            </w:r>
          </w:p>
          <w:p w:rsidR="00495A3D" w:rsidRPr="00495A3D" w:rsidRDefault="00495A3D" w:rsidP="00495A3D">
            <w:pPr>
              <w:rPr>
                <w:sz w:val="16"/>
                <w:szCs w:val="16"/>
                <w:lang w:val="ru-RU"/>
              </w:rPr>
            </w:pPr>
            <w:r w:rsidRPr="00495A3D">
              <w:rPr>
                <w:sz w:val="16"/>
                <w:szCs w:val="16"/>
                <w:lang w:val="ru-RU"/>
              </w:rPr>
              <w:t>Африка (65%)</w:t>
            </w:r>
          </w:p>
          <w:p w:rsidR="00495A3D" w:rsidRPr="00495A3D" w:rsidRDefault="00495A3D" w:rsidP="00495A3D">
            <w:pPr>
              <w:rPr>
                <w:sz w:val="16"/>
                <w:szCs w:val="16"/>
                <w:lang w:val="ru-RU"/>
              </w:rPr>
            </w:pPr>
            <w:r w:rsidRPr="00495A3D">
              <w:rPr>
                <w:sz w:val="16"/>
                <w:szCs w:val="16"/>
                <w:lang w:val="ru-RU"/>
              </w:rPr>
              <w:t>арабские страны (70%)</w:t>
            </w:r>
          </w:p>
          <w:p w:rsidR="00495A3D" w:rsidRPr="00495A3D" w:rsidRDefault="00495A3D" w:rsidP="00495A3D">
            <w:pPr>
              <w:rPr>
                <w:sz w:val="16"/>
                <w:szCs w:val="16"/>
                <w:lang w:val="ru-RU"/>
              </w:rPr>
            </w:pPr>
            <w:r w:rsidRPr="00495A3D">
              <w:rPr>
                <w:sz w:val="16"/>
                <w:szCs w:val="16"/>
                <w:lang w:val="ru-RU"/>
              </w:rPr>
              <w:t>Азиатско-Тихоокеанский регион: данные отсутствуют</w:t>
            </w:r>
          </w:p>
          <w:p w:rsidR="00495A3D" w:rsidRPr="00495A3D" w:rsidRDefault="00495A3D" w:rsidP="00495A3D">
            <w:pPr>
              <w:rPr>
                <w:sz w:val="16"/>
                <w:szCs w:val="16"/>
                <w:lang w:val="ru-RU"/>
              </w:rPr>
            </w:pPr>
            <w:r w:rsidRPr="00495A3D">
              <w:rPr>
                <w:sz w:val="16"/>
                <w:szCs w:val="16"/>
                <w:lang w:val="ru-RU"/>
              </w:rPr>
              <w:t>Латинская Америка и Карибский бассейн (70%)</w:t>
            </w:r>
          </w:p>
          <w:p w:rsidR="00495A3D" w:rsidRPr="005F4735" w:rsidRDefault="00495A3D" w:rsidP="00495A3D">
            <w:pPr>
              <w:rPr>
                <w:sz w:val="16"/>
                <w:szCs w:val="16"/>
              </w:rPr>
            </w:pPr>
            <w:r w:rsidRPr="005F4735">
              <w:rPr>
                <w:sz w:val="16"/>
                <w:szCs w:val="16"/>
              </w:rPr>
              <w:t>НРС (70%)</w:t>
            </w:r>
          </w:p>
          <w:p w:rsidR="00495A3D" w:rsidRPr="005F4735" w:rsidRDefault="00495A3D" w:rsidP="00495A3D">
            <w:pPr>
              <w:rPr>
                <w:i/>
                <w:sz w:val="16"/>
                <w:szCs w:val="16"/>
              </w:rPr>
            </w:pPr>
          </w:p>
        </w:tc>
        <w:tc>
          <w:tcPr>
            <w:tcW w:w="1701" w:type="dxa"/>
            <w:gridSpan w:val="3"/>
            <w:tcBorders>
              <w:bottom w:val="single" w:sz="4" w:space="0" w:color="auto"/>
            </w:tcBorders>
            <w:shd w:val="clear" w:color="auto" w:fill="auto"/>
            <w:tcMar>
              <w:top w:w="110" w:type="dxa"/>
            </w:tcMar>
          </w:tcPr>
          <w:p w:rsidR="00495A3D" w:rsidRPr="00495A3D" w:rsidRDefault="00495A3D" w:rsidP="00495A3D">
            <w:pPr>
              <w:rPr>
                <w:sz w:val="16"/>
                <w:szCs w:val="16"/>
                <w:lang w:val="ru-RU"/>
              </w:rPr>
            </w:pPr>
            <w:r w:rsidRPr="00495A3D">
              <w:rPr>
                <w:sz w:val="16"/>
                <w:szCs w:val="16"/>
                <w:lang w:val="ru-RU"/>
              </w:rPr>
              <w:t>Африка (75%)</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арабские страны (80%)</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(55%)</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Латинская Америка и страны Карибского бассейна (80%)</w:t>
            </w:r>
          </w:p>
          <w:p w:rsidR="00495A3D" w:rsidRPr="00495A3D" w:rsidRDefault="00495A3D" w:rsidP="00495A3D">
            <w:pPr>
              <w:rPr>
                <w:sz w:val="16"/>
                <w:szCs w:val="16"/>
                <w:lang w:val="ru-RU"/>
              </w:rPr>
            </w:pPr>
          </w:p>
          <w:p w:rsidR="00495A3D" w:rsidRPr="005F4735" w:rsidRDefault="00495A3D" w:rsidP="00495A3D">
            <w:pPr>
              <w:rPr>
                <w:sz w:val="16"/>
                <w:szCs w:val="16"/>
              </w:rPr>
            </w:pPr>
            <w:r w:rsidRPr="005F4735">
              <w:rPr>
                <w:sz w:val="16"/>
                <w:szCs w:val="16"/>
              </w:rPr>
              <w:t>НРС (80%)</w:t>
            </w:r>
          </w:p>
        </w:tc>
        <w:tc>
          <w:tcPr>
            <w:tcW w:w="2269" w:type="dxa"/>
            <w:gridSpan w:val="3"/>
            <w:tcBorders>
              <w:bottom w:val="single" w:sz="4" w:space="0" w:color="auto"/>
            </w:tcBorders>
            <w:shd w:val="clear" w:color="auto" w:fill="FFFFFF"/>
            <w:tcMar>
              <w:top w:w="110" w:type="dxa"/>
            </w:tcMar>
          </w:tcPr>
          <w:p w:rsidR="00495A3D" w:rsidRPr="00495A3D" w:rsidRDefault="00495A3D" w:rsidP="00495A3D">
            <w:pPr>
              <w:rPr>
                <w:sz w:val="16"/>
                <w:szCs w:val="16"/>
                <w:lang w:val="ru-RU"/>
              </w:rPr>
            </w:pPr>
            <w:r w:rsidRPr="00495A3D">
              <w:rPr>
                <w:sz w:val="16"/>
                <w:szCs w:val="16"/>
                <w:lang w:val="ru-RU"/>
              </w:rPr>
              <w:t>Африка (75%)</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арабские страны (55%) </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(66%)</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Латинская Америка и страны Карибского бассейна (80%) </w:t>
            </w:r>
          </w:p>
          <w:p w:rsidR="00495A3D" w:rsidRPr="00495A3D" w:rsidRDefault="00495A3D" w:rsidP="00495A3D">
            <w:pPr>
              <w:rPr>
                <w:sz w:val="16"/>
                <w:szCs w:val="16"/>
                <w:lang w:val="ru-RU"/>
              </w:rPr>
            </w:pPr>
          </w:p>
          <w:p w:rsidR="00495A3D" w:rsidRPr="005F4735" w:rsidRDefault="00495A3D" w:rsidP="00495A3D">
            <w:pPr>
              <w:rPr>
                <w:sz w:val="16"/>
                <w:szCs w:val="16"/>
              </w:rPr>
            </w:pPr>
            <w:r w:rsidRPr="005F4735">
              <w:rPr>
                <w:sz w:val="16"/>
                <w:szCs w:val="16"/>
              </w:rPr>
              <w:t xml:space="preserve">НРС (85%) </w:t>
            </w:r>
          </w:p>
        </w:tc>
        <w:tc>
          <w:tcPr>
            <w:tcW w:w="1361" w:type="dxa"/>
            <w:gridSpan w:val="2"/>
            <w:tcBorders>
              <w:bottom w:val="single" w:sz="4" w:space="0" w:color="auto"/>
            </w:tcBorders>
            <w:shd w:val="clear" w:color="auto" w:fill="auto"/>
            <w:tcMar>
              <w:top w:w="110" w:type="dxa"/>
            </w:tcMar>
          </w:tcPr>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r w:rsidRPr="00495A3D">
              <w:rPr>
                <w:b/>
                <w:color w:val="E36C0A" w:themeColor="accent6" w:themeShade="BF"/>
                <w:sz w:val="16"/>
                <w:szCs w:val="16"/>
                <w:lang w:val="ru-RU"/>
              </w:rPr>
              <w:t>Частично выполнено</w:t>
            </w: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rPr>
                <w:b/>
                <w:bCs/>
                <w:color w:val="00B050"/>
                <w:sz w:val="16"/>
                <w:szCs w:val="16"/>
                <w:lang w:val="ru-RU"/>
              </w:rPr>
            </w:pPr>
          </w:p>
          <w:p w:rsidR="00495A3D" w:rsidRPr="00495A3D" w:rsidRDefault="00495A3D" w:rsidP="00495A3D">
            <w:pPr>
              <w:keepNext/>
              <w:keepLines/>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sz w:val="16"/>
                <w:szCs w:val="16"/>
                <w:lang w:val="ru-RU"/>
              </w:rPr>
            </w:pPr>
          </w:p>
        </w:tc>
      </w:tr>
      <w:tr w:rsidR="00495A3D" w:rsidRPr="005C6ABD" w:rsidTr="00495A3D">
        <w:trPr>
          <w:gridAfter w:val="1"/>
          <w:wAfter w:w="228" w:type="dxa"/>
        </w:trPr>
        <w:tc>
          <w:tcPr>
            <w:tcW w:w="9441" w:type="dxa"/>
            <w:gridSpan w:val="11"/>
            <w:tcBorders>
              <w:top w:val="single" w:sz="4" w:space="0" w:color="auto"/>
              <w:bottom w:val="single" w:sz="4" w:space="0" w:color="auto"/>
            </w:tcBorders>
            <w:shd w:val="clear" w:color="auto" w:fill="C6D9F1" w:themeFill="text2" w:themeFillTint="33"/>
            <w:vAlign w:val="center"/>
          </w:tcPr>
          <w:p w:rsidR="00495A3D" w:rsidRPr="00495A3D" w:rsidRDefault="00495A3D" w:rsidP="003A5C2E">
            <w:pPr>
              <w:ind w:left="2019" w:hanging="2019"/>
              <w:rPr>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5F4735">
              <w:rPr>
                <w:sz w:val="16"/>
                <w:szCs w:val="16"/>
              </w:rPr>
              <w:t>III</w:t>
            </w:r>
            <w:r w:rsidRPr="00495A3D">
              <w:rPr>
                <w:sz w:val="16"/>
                <w:szCs w:val="16"/>
                <w:lang w:val="ru-RU"/>
              </w:rPr>
              <w:t>.4. Укрепленные механизмы и программы сотруд</w:t>
            </w:r>
            <w:r w:rsidR="003A5C2E">
              <w:rPr>
                <w:sz w:val="16"/>
                <w:szCs w:val="16"/>
                <w:lang w:val="ru-RU"/>
              </w:rPr>
              <w:t xml:space="preserve">ничества, приспособленные к </w:t>
            </w:r>
            <w:r w:rsidRPr="00495A3D">
              <w:rPr>
                <w:sz w:val="16"/>
                <w:szCs w:val="16"/>
                <w:lang w:val="ru-RU"/>
              </w:rPr>
              <w:t>потребностям развивающихся стран и НРС</w:t>
            </w:r>
          </w:p>
        </w:tc>
      </w:tr>
      <w:tr w:rsidR="00495A3D" w:rsidRPr="005F4735" w:rsidTr="00495A3D">
        <w:trPr>
          <w:gridAfter w:val="1"/>
          <w:wAfter w:w="228" w:type="dxa"/>
          <w:trHeight w:val="369"/>
        </w:trPr>
        <w:tc>
          <w:tcPr>
            <w:tcW w:w="1867" w:type="dxa"/>
            <w:tcBorders>
              <w:top w:val="single" w:sz="4" w:space="0" w:color="auto"/>
              <w:left w:val="single" w:sz="4" w:space="0" w:color="auto"/>
              <w:bottom w:val="nil"/>
              <w:right w:val="nil"/>
            </w:tcBorders>
            <w:shd w:val="clear" w:color="auto" w:fill="auto"/>
            <w:vAlign w:val="center"/>
          </w:tcPr>
          <w:p w:rsidR="00495A3D" w:rsidRPr="005F4735" w:rsidRDefault="00495A3D" w:rsidP="00495A3D">
            <w:pPr>
              <w:rPr>
                <w:b/>
                <w:sz w:val="16"/>
                <w:szCs w:val="16"/>
              </w:rPr>
            </w:pPr>
            <w:r w:rsidRPr="005F4735">
              <w:rPr>
                <w:b/>
                <w:sz w:val="16"/>
                <w:szCs w:val="16"/>
              </w:rPr>
              <w:t>Показатели результативности</w:t>
            </w:r>
          </w:p>
        </w:tc>
        <w:tc>
          <w:tcPr>
            <w:tcW w:w="2243" w:type="dxa"/>
            <w:gridSpan w:val="2"/>
            <w:tcBorders>
              <w:top w:val="single" w:sz="4" w:space="0" w:color="auto"/>
              <w:left w:val="nil"/>
              <w:bottom w:val="nil"/>
              <w:right w:val="nil"/>
            </w:tcBorders>
            <w:shd w:val="clear" w:color="auto" w:fill="auto"/>
            <w:vAlign w:val="center"/>
          </w:tcPr>
          <w:p w:rsidR="00495A3D" w:rsidRPr="005F4735" w:rsidRDefault="00495A3D" w:rsidP="00495A3D">
            <w:pPr>
              <w:keepNext/>
              <w:keepLines/>
              <w:spacing w:after="40"/>
              <w:rPr>
                <w:b/>
                <w:sz w:val="16"/>
                <w:szCs w:val="16"/>
              </w:rPr>
            </w:pPr>
            <w:r w:rsidRPr="005F4735">
              <w:rPr>
                <w:b/>
                <w:sz w:val="16"/>
                <w:szCs w:val="16"/>
              </w:rPr>
              <w:t>Базовые показатели</w:t>
            </w:r>
          </w:p>
        </w:tc>
        <w:tc>
          <w:tcPr>
            <w:tcW w:w="1843" w:type="dxa"/>
            <w:gridSpan w:val="4"/>
            <w:tcBorders>
              <w:top w:val="single" w:sz="4" w:space="0" w:color="auto"/>
              <w:left w:val="nil"/>
              <w:bottom w:val="nil"/>
              <w:right w:val="nil"/>
            </w:tcBorders>
            <w:shd w:val="clear" w:color="auto" w:fill="auto"/>
            <w:vAlign w:val="center"/>
          </w:tcPr>
          <w:p w:rsidR="00495A3D" w:rsidRPr="005F4735" w:rsidRDefault="00495A3D" w:rsidP="00495A3D">
            <w:pPr>
              <w:keepNext/>
              <w:keepLines/>
              <w:spacing w:after="40"/>
              <w:rPr>
                <w:b/>
                <w:sz w:val="16"/>
                <w:szCs w:val="16"/>
              </w:rPr>
            </w:pPr>
            <w:r w:rsidRPr="005F4735">
              <w:rPr>
                <w:b/>
                <w:sz w:val="16"/>
                <w:szCs w:val="16"/>
              </w:rPr>
              <w:t>Цели</w:t>
            </w:r>
          </w:p>
        </w:tc>
        <w:tc>
          <w:tcPr>
            <w:tcW w:w="2055" w:type="dxa"/>
            <w:tcBorders>
              <w:top w:val="single" w:sz="4" w:space="0" w:color="auto"/>
              <w:left w:val="nil"/>
              <w:bottom w:val="nil"/>
              <w:right w:val="nil"/>
            </w:tcBorders>
            <w:shd w:val="clear" w:color="auto" w:fill="auto"/>
            <w:vAlign w:val="center"/>
          </w:tcPr>
          <w:p w:rsidR="00495A3D" w:rsidRPr="005F4735" w:rsidRDefault="00495A3D" w:rsidP="00495A3D">
            <w:pPr>
              <w:keepNext/>
              <w:keepLines/>
              <w:spacing w:after="40"/>
              <w:rPr>
                <w:sz w:val="16"/>
                <w:szCs w:val="16"/>
              </w:rPr>
            </w:pPr>
            <w:r w:rsidRPr="005F4735">
              <w:rPr>
                <w:b/>
                <w:sz w:val="16"/>
                <w:szCs w:val="16"/>
              </w:rPr>
              <w:t>Данные о результативности</w:t>
            </w:r>
          </w:p>
        </w:tc>
        <w:tc>
          <w:tcPr>
            <w:tcW w:w="1433" w:type="dxa"/>
            <w:gridSpan w:val="3"/>
            <w:tcBorders>
              <w:top w:val="single" w:sz="4" w:space="0" w:color="auto"/>
              <w:left w:val="nil"/>
              <w:bottom w:val="nil"/>
              <w:right w:val="single" w:sz="4" w:space="0" w:color="auto"/>
            </w:tcBorders>
            <w:shd w:val="clear" w:color="auto" w:fill="auto"/>
            <w:vAlign w:val="center"/>
          </w:tcPr>
          <w:p w:rsidR="00495A3D" w:rsidRPr="005F4735" w:rsidRDefault="00495A3D" w:rsidP="00495A3D">
            <w:pPr>
              <w:keepNext/>
              <w:keepLines/>
              <w:spacing w:after="40"/>
              <w:jc w:val="center"/>
              <w:rPr>
                <w:b/>
                <w:bCs/>
                <w:sz w:val="16"/>
                <w:szCs w:val="16"/>
              </w:rPr>
            </w:pPr>
            <w:r w:rsidRPr="005F4735">
              <w:rPr>
                <w:b/>
                <w:sz w:val="16"/>
                <w:szCs w:val="16"/>
              </w:rPr>
              <w:t>CC</w:t>
            </w:r>
          </w:p>
        </w:tc>
      </w:tr>
      <w:tr w:rsidR="00495A3D" w:rsidRPr="005F4735" w:rsidTr="00495A3D">
        <w:trPr>
          <w:gridAfter w:val="1"/>
          <w:wAfter w:w="228" w:type="dxa"/>
        </w:trPr>
        <w:tc>
          <w:tcPr>
            <w:tcW w:w="1867" w:type="dxa"/>
            <w:tcBorders>
              <w:top w:val="nil"/>
              <w:left w:val="single" w:sz="4" w:space="0" w:color="auto"/>
              <w:bottom w:val="single" w:sz="4" w:space="0" w:color="auto"/>
              <w:right w:val="nil"/>
            </w:tcBorders>
            <w:shd w:val="clear" w:color="auto" w:fill="FFFFFF"/>
          </w:tcPr>
          <w:p w:rsidR="00495A3D" w:rsidRPr="00495A3D" w:rsidRDefault="00495A3D" w:rsidP="00495A3D">
            <w:pPr>
              <w:rPr>
                <w:sz w:val="16"/>
                <w:szCs w:val="16"/>
                <w:lang w:val="ru-RU"/>
              </w:rPr>
            </w:pPr>
            <w:r w:rsidRPr="00495A3D">
              <w:rPr>
                <w:sz w:val="16"/>
                <w:szCs w:val="16"/>
                <w:lang w:val="ru-RU"/>
              </w:rPr>
              <w:t>Число новых или укрепленных механизмов сотрудничества, программ или партнерских сетей, призванных пропагандировать/укреплять субрегиональное или региональное сотрудничество в области ИС</w:t>
            </w:r>
          </w:p>
        </w:tc>
        <w:tc>
          <w:tcPr>
            <w:tcW w:w="2243" w:type="dxa"/>
            <w:gridSpan w:val="2"/>
            <w:tcBorders>
              <w:top w:val="nil"/>
              <w:left w:val="nil"/>
              <w:bottom w:val="single" w:sz="4" w:space="0" w:color="auto"/>
              <w:right w:val="nil"/>
            </w:tcBorders>
            <w:shd w:val="clear" w:color="auto" w:fill="auto"/>
          </w:tcPr>
          <w:p w:rsidR="00495A3D" w:rsidRPr="00495A3D" w:rsidRDefault="00495A3D" w:rsidP="00495A3D">
            <w:pPr>
              <w:keepNext/>
              <w:keepLines/>
              <w:rPr>
                <w:sz w:val="16"/>
                <w:szCs w:val="16"/>
                <w:lang w:val="ru-RU"/>
              </w:rPr>
            </w:pPr>
            <w:r w:rsidRPr="00495A3D">
              <w:rPr>
                <w:sz w:val="16"/>
                <w:szCs w:val="16"/>
                <w:lang w:val="ru-RU"/>
              </w:rPr>
              <w:t>Африка (3)</w:t>
            </w:r>
          </w:p>
          <w:p w:rsidR="00495A3D" w:rsidRPr="00495A3D" w:rsidRDefault="00495A3D" w:rsidP="00495A3D">
            <w:pPr>
              <w:keepNext/>
              <w:keepLines/>
              <w:rPr>
                <w:sz w:val="16"/>
                <w:szCs w:val="16"/>
                <w:lang w:val="ru-RU"/>
              </w:rPr>
            </w:pPr>
            <w:r w:rsidRPr="00495A3D">
              <w:rPr>
                <w:sz w:val="16"/>
                <w:szCs w:val="16"/>
                <w:lang w:val="ru-RU"/>
              </w:rPr>
              <w:t>арабские страны (2)</w:t>
            </w:r>
          </w:p>
          <w:p w:rsidR="00495A3D" w:rsidRPr="00495A3D" w:rsidRDefault="00495A3D" w:rsidP="00495A3D">
            <w:pPr>
              <w:keepNext/>
              <w:keepLines/>
              <w:rPr>
                <w:sz w:val="16"/>
                <w:szCs w:val="16"/>
                <w:lang w:val="ru-RU"/>
              </w:rPr>
            </w:pPr>
            <w:r w:rsidRPr="00495A3D">
              <w:rPr>
                <w:sz w:val="16"/>
                <w:szCs w:val="16"/>
                <w:lang w:val="ru-RU"/>
              </w:rPr>
              <w:t>страны Азиатско-Тихоокеанского региона (4)</w:t>
            </w:r>
          </w:p>
          <w:p w:rsidR="00495A3D" w:rsidRPr="00495A3D" w:rsidRDefault="00495A3D" w:rsidP="00495A3D">
            <w:pPr>
              <w:keepNext/>
              <w:keepLines/>
              <w:rPr>
                <w:sz w:val="16"/>
                <w:szCs w:val="16"/>
                <w:lang w:val="ru-RU"/>
              </w:rPr>
            </w:pPr>
            <w:r w:rsidRPr="00495A3D">
              <w:rPr>
                <w:sz w:val="16"/>
                <w:szCs w:val="16"/>
                <w:lang w:val="ru-RU"/>
              </w:rPr>
              <w:t>Латинская Америка и страны Карибского бассейна (3)</w:t>
            </w:r>
          </w:p>
          <w:p w:rsidR="00495A3D" w:rsidRPr="00495A3D" w:rsidRDefault="00495A3D" w:rsidP="00495A3D">
            <w:pPr>
              <w:keepNext/>
              <w:keepLines/>
              <w:rPr>
                <w:sz w:val="16"/>
                <w:szCs w:val="16"/>
                <w:lang w:val="ru-RU"/>
              </w:rPr>
            </w:pPr>
            <w:r w:rsidRPr="00495A3D">
              <w:rPr>
                <w:sz w:val="16"/>
                <w:szCs w:val="16"/>
                <w:lang w:val="ru-RU"/>
              </w:rPr>
              <w:t>2 НРС указаны в приведенной выше разбивке по регионам</w:t>
            </w:r>
          </w:p>
          <w:p w:rsidR="00495A3D" w:rsidRPr="00495A3D" w:rsidRDefault="00495A3D" w:rsidP="00495A3D">
            <w:pPr>
              <w:keepNext/>
              <w:keepLines/>
              <w:rPr>
                <w:sz w:val="16"/>
                <w:szCs w:val="16"/>
                <w:lang w:val="ru-RU"/>
              </w:rPr>
            </w:pPr>
            <w:r w:rsidRPr="00495A3D">
              <w:rPr>
                <w:sz w:val="16"/>
                <w:szCs w:val="16"/>
                <w:lang w:val="ru-RU"/>
              </w:rPr>
              <w:t>Проекты по использованию надлежащих технологий в 3 НРС</w:t>
            </w:r>
          </w:p>
        </w:tc>
        <w:tc>
          <w:tcPr>
            <w:tcW w:w="1843" w:type="dxa"/>
            <w:gridSpan w:val="4"/>
            <w:tcBorders>
              <w:top w:val="nil"/>
              <w:left w:val="nil"/>
              <w:bottom w:val="single" w:sz="4" w:space="0" w:color="auto"/>
              <w:right w:val="nil"/>
            </w:tcBorders>
            <w:shd w:val="clear" w:color="auto" w:fill="auto"/>
            <w:tcMar>
              <w:top w:w="110" w:type="dxa"/>
            </w:tcMar>
          </w:tcPr>
          <w:p w:rsidR="00495A3D" w:rsidRPr="00495A3D" w:rsidRDefault="00495A3D" w:rsidP="00495A3D">
            <w:pPr>
              <w:keepNext/>
              <w:keepLines/>
              <w:rPr>
                <w:sz w:val="16"/>
                <w:szCs w:val="16"/>
                <w:lang w:val="ru-RU"/>
              </w:rPr>
            </w:pPr>
            <w:r w:rsidRPr="00495A3D">
              <w:rPr>
                <w:sz w:val="16"/>
                <w:szCs w:val="16"/>
                <w:lang w:val="ru-RU"/>
              </w:rPr>
              <w:t>Африка (2)</w:t>
            </w: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r w:rsidRPr="00495A3D">
              <w:rPr>
                <w:sz w:val="16"/>
                <w:szCs w:val="16"/>
                <w:lang w:val="ru-RU"/>
              </w:rPr>
              <w:t>арабские страны (1)</w:t>
            </w: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r w:rsidRPr="00495A3D">
              <w:rPr>
                <w:sz w:val="16"/>
                <w:szCs w:val="16"/>
                <w:lang w:val="ru-RU"/>
              </w:rPr>
              <w:t>страны Азиатско-Тихоокеанского региона (4)</w:t>
            </w: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r w:rsidRPr="00495A3D">
              <w:rPr>
                <w:sz w:val="16"/>
                <w:szCs w:val="16"/>
                <w:lang w:val="ru-RU"/>
              </w:rPr>
              <w:t>Латинская Америка и страны Карибского бассейна (7)</w:t>
            </w: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r w:rsidRPr="00495A3D">
              <w:rPr>
                <w:sz w:val="16"/>
                <w:szCs w:val="16"/>
                <w:lang w:val="ru-RU"/>
              </w:rPr>
              <w:t>4 НРС указаны в приведенной выше разбивке по регионам</w:t>
            </w: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r w:rsidRPr="00495A3D">
              <w:rPr>
                <w:sz w:val="16"/>
                <w:szCs w:val="16"/>
                <w:lang w:val="ru-RU"/>
              </w:rPr>
              <w:t>Дополнительное использование надлежащих технологий не менее чем в 4 НРС</w:t>
            </w:r>
          </w:p>
          <w:p w:rsidR="00495A3D" w:rsidRPr="00495A3D" w:rsidRDefault="00495A3D" w:rsidP="00495A3D">
            <w:pPr>
              <w:keepNext/>
              <w:keepLines/>
              <w:rPr>
                <w:sz w:val="16"/>
                <w:szCs w:val="16"/>
                <w:lang w:val="ru-RU"/>
              </w:rPr>
            </w:pPr>
          </w:p>
        </w:tc>
        <w:tc>
          <w:tcPr>
            <w:tcW w:w="2055" w:type="dxa"/>
            <w:tcBorders>
              <w:top w:val="nil"/>
              <w:left w:val="nil"/>
              <w:bottom w:val="single" w:sz="4" w:space="0" w:color="auto"/>
              <w:right w:val="nil"/>
            </w:tcBorders>
            <w:shd w:val="clear" w:color="auto" w:fill="FFFFFF"/>
            <w:tcMar>
              <w:top w:w="110" w:type="dxa"/>
            </w:tcMar>
          </w:tcPr>
          <w:p w:rsidR="00495A3D" w:rsidRPr="00495A3D" w:rsidRDefault="00495A3D" w:rsidP="00495A3D">
            <w:pPr>
              <w:keepNext/>
              <w:keepLines/>
              <w:rPr>
                <w:sz w:val="16"/>
                <w:szCs w:val="16"/>
                <w:lang w:val="ru-RU"/>
              </w:rPr>
            </w:pPr>
            <w:r w:rsidRPr="00495A3D">
              <w:rPr>
                <w:sz w:val="16"/>
                <w:szCs w:val="16"/>
                <w:lang w:val="ru-RU"/>
              </w:rPr>
              <w:t>Африка (2): (</w:t>
            </w:r>
            <w:r>
              <w:rPr>
                <w:sz w:val="16"/>
                <w:szCs w:val="16"/>
              </w:rPr>
              <w:t>i</w:t>
            </w:r>
            <w:r w:rsidRPr="00495A3D">
              <w:rPr>
                <w:sz w:val="16"/>
                <w:szCs w:val="16"/>
                <w:lang w:val="ru-RU"/>
              </w:rPr>
              <w:t>)</w:t>
            </w:r>
            <w:r>
              <w:rPr>
                <w:sz w:val="16"/>
                <w:szCs w:val="16"/>
              </w:rPr>
              <w:t> </w:t>
            </w:r>
            <w:r w:rsidRPr="00495A3D">
              <w:rPr>
                <w:sz w:val="16"/>
                <w:szCs w:val="16"/>
                <w:lang w:val="ru-RU"/>
              </w:rPr>
              <w:t>МоВ подписан с Международной организацией франкоязычных стран (</w:t>
            </w:r>
            <w:r>
              <w:rPr>
                <w:sz w:val="16"/>
                <w:szCs w:val="16"/>
              </w:rPr>
              <w:t>OIF</w:t>
            </w:r>
            <w:r w:rsidRPr="00495A3D">
              <w:rPr>
                <w:sz w:val="16"/>
                <w:szCs w:val="16"/>
                <w:lang w:val="ru-RU"/>
              </w:rPr>
              <w:t>) в мае 2014</w:t>
            </w:r>
            <w:r>
              <w:rPr>
                <w:sz w:val="16"/>
                <w:szCs w:val="16"/>
              </w:rPr>
              <w:t> </w:t>
            </w:r>
            <w:r w:rsidRPr="00495A3D">
              <w:rPr>
                <w:sz w:val="16"/>
                <w:szCs w:val="16"/>
                <w:lang w:val="ru-RU"/>
              </w:rPr>
              <w:t>г.; (</w:t>
            </w:r>
            <w:r>
              <w:rPr>
                <w:sz w:val="16"/>
                <w:szCs w:val="16"/>
              </w:rPr>
              <w:t>ii</w:t>
            </w:r>
            <w:r w:rsidRPr="00495A3D">
              <w:rPr>
                <w:sz w:val="16"/>
                <w:szCs w:val="16"/>
                <w:lang w:val="ru-RU"/>
              </w:rPr>
              <w:t>)</w:t>
            </w:r>
            <w:r>
              <w:rPr>
                <w:sz w:val="16"/>
                <w:szCs w:val="16"/>
              </w:rPr>
              <w:t> </w:t>
            </w:r>
            <w:r w:rsidRPr="00495A3D">
              <w:rPr>
                <w:sz w:val="16"/>
                <w:szCs w:val="16"/>
                <w:lang w:val="ru-RU"/>
              </w:rPr>
              <w:t>сотрудничество между Африканским союзом и ВОИС в рамках «Дакарской декларации по интеллектуальной собственности для Африки»</w:t>
            </w:r>
            <w:r w:rsidRPr="005F4735">
              <w:rPr>
                <w:rStyle w:val="FootnoteReference"/>
                <w:i/>
                <w:sz w:val="16"/>
                <w:szCs w:val="16"/>
              </w:rPr>
              <w:footnoteReference w:id="66"/>
            </w: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r w:rsidRPr="00495A3D">
              <w:rPr>
                <w:sz w:val="16"/>
                <w:szCs w:val="16"/>
                <w:lang w:val="ru-RU"/>
              </w:rPr>
              <w:t>арабские страны (1): (МоВ подписан с Эмиратской ассоциацией интеллектуальной собственности (</w:t>
            </w:r>
            <w:r w:rsidRPr="005F4735">
              <w:rPr>
                <w:sz w:val="16"/>
                <w:szCs w:val="16"/>
              </w:rPr>
              <w:t>EIPA</w:t>
            </w:r>
            <w:r w:rsidRPr="00495A3D">
              <w:rPr>
                <w:sz w:val="16"/>
                <w:szCs w:val="16"/>
                <w:lang w:val="ru-RU"/>
              </w:rPr>
              <w:t>), ОАЭ в октябре 2015</w:t>
            </w:r>
            <w:r w:rsidRPr="005F4735">
              <w:rPr>
                <w:sz w:val="16"/>
                <w:szCs w:val="16"/>
              </w:rPr>
              <w:t> </w:t>
            </w:r>
            <w:r w:rsidRPr="00495A3D">
              <w:rPr>
                <w:sz w:val="16"/>
                <w:szCs w:val="16"/>
                <w:lang w:val="ru-RU"/>
              </w:rPr>
              <w:t>г.</w:t>
            </w:r>
            <w:r w:rsidRPr="005F4735">
              <w:rPr>
                <w:rStyle w:val="FootnoteReference"/>
                <w:sz w:val="16"/>
                <w:szCs w:val="16"/>
              </w:rPr>
              <w:footnoteReference w:id="67"/>
            </w:r>
            <w:r w:rsidRPr="00495A3D">
              <w:rPr>
                <w:sz w:val="16"/>
                <w:szCs w:val="16"/>
                <w:lang w:val="ru-RU"/>
              </w:rPr>
              <w:t xml:space="preserve">) </w:t>
            </w: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r w:rsidRPr="00495A3D">
              <w:rPr>
                <w:sz w:val="16"/>
                <w:szCs w:val="16"/>
                <w:lang w:val="ru-RU"/>
              </w:rPr>
              <w:t>страны Азиатско-Тихоокеанского региона (</w:t>
            </w:r>
            <w:r w:rsidR="001D3FF8">
              <w:rPr>
                <w:sz w:val="16"/>
                <w:szCs w:val="16"/>
                <w:lang w:val="ru-RU"/>
              </w:rPr>
              <w:t>1</w:t>
            </w:r>
            <w:r w:rsidRPr="00495A3D">
              <w:rPr>
                <w:sz w:val="16"/>
                <w:szCs w:val="16"/>
                <w:lang w:val="ru-RU"/>
              </w:rPr>
              <w:t>): Ассоциация государ</w:t>
            </w:r>
            <w:r w:rsidR="001D3FF8">
              <w:rPr>
                <w:sz w:val="16"/>
                <w:szCs w:val="16"/>
                <w:lang w:val="ru-RU"/>
              </w:rPr>
              <w:t>ств Юго-Восточной Азии (АСЕАН)</w:t>
            </w:r>
            <w:r w:rsidR="001D3FF8">
              <w:rPr>
                <w:rStyle w:val="FootnoteReference"/>
                <w:sz w:val="16"/>
                <w:szCs w:val="16"/>
                <w:lang w:val="ru-RU"/>
              </w:rPr>
              <w:footnoteReference w:id="68"/>
            </w: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r w:rsidRPr="00495A3D">
              <w:rPr>
                <w:sz w:val="16"/>
                <w:szCs w:val="16"/>
                <w:lang w:val="ru-RU"/>
              </w:rPr>
              <w:t>Латинская Америка и страны Карибского бассейна: 6 текущих проектов</w:t>
            </w:r>
            <w:r w:rsidRPr="005F4735">
              <w:rPr>
                <w:rStyle w:val="FootnoteReference"/>
                <w:sz w:val="16"/>
                <w:szCs w:val="16"/>
              </w:rPr>
              <w:footnoteReference w:id="69"/>
            </w:r>
          </w:p>
          <w:p w:rsidR="00495A3D" w:rsidRPr="00495A3D" w:rsidRDefault="00495A3D" w:rsidP="00495A3D">
            <w:pPr>
              <w:keepNext/>
              <w:keepLines/>
              <w:rPr>
                <w:sz w:val="16"/>
                <w:szCs w:val="16"/>
                <w:lang w:val="ru-RU"/>
              </w:rPr>
            </w:pPr>
          </w:p>
          <w:p w:rsidR="00495A3D" w:rsidRPr="00495A3D" w:rsidRDefault="00495A3D" w:rsidP="00495A3D">
            <w:pPr>
              <w:keepNext/>
              <w:keepLines/>
              <w:rPr>
                <w:sz w:val="16"/>
                <w:szCs w:val="16"/>
                <w:lang w:val="ru-RU"/>
              </w:rPr>
            </w:pPr>
            <w:r w:rsidRPr="00495A3D">
              <w:rPr>
                <w:sz w:val="16"/>
                <w:szCs w:val="16"/>
                <w:lang w:val="ru-RU"/>
              </w:rPr>
              <w:t>4 организации в приведенной выше разбивке по регионам включают НРС</w:t>
            </w:r>
          </w:p>
          <w:p w:rsidR="00495A3D" w:rsidRPr="00495A3D" w:rsidRDefault="00495A3D" w:rsidP="00495A3D">
            <w:pPr>
              <w:keepNext/>
              <w:keepLines/>
              <w:rPr>
                <w:rFonts w:cs="Arial"/>
                <w:sz w:val="16"/>
                <w:szCs w:val="16"/>
                <w:lang w:val="ru-RU"/>
              </w:rPr>
            </w:pPr>
          </w:p>
          <w:p w:rsidR="00495A3D" w:rsidRPr="00495A3D" w:rsidRDefault="00495A3D" w:rsidP="00495A3D">
            <w:pPr>
              <w:keepNext/>
              <w:keepLines/>
              <w:rPr>
                <w:rFonts w:cs="Arial"/>
                <w:sz w:val="16"/>
                <w:szCs w:val="16"/>
                <w:lang w:val="ru-RU"/>
              </w:rPr>
            </w:pPr>
            <w:r w:rsidRPr="00495A3D">
              <w:rPr>
                <w:sz w:val="16"/>
                <w:szCs w:val="16"/>
                <w:lang w:val="ru-RU"/>
              </w:rPr>
              <w:t>В рамках второй фазы осуществления проекта ПДР «Создание потенциала по использованию надлежащей и конкретной для данной технологии научно-технической информации в качестве решения идентифицированных проблем развития» были подписаны МоВ с четырьмя НРС (Эфиопией, Руандой, Объединенной Республикой Танзания и Угандой), а к концу 2015</w:t>
            </w:r>
            <w:r w:rsidRPr="005F4735">
              <w:rPr>
                <w:sz w:val="16"/>
                <w:szCs w:val="16"/>
              </w:rPr>
              <w:t> </w:t>
            </w:r>
            <w:r w:rsidRPr="00495A3D">
              <w:rPr>
                <w:sz w:val="16"/>
                <w:szCs w:val="16"/>
                <w:lang w:val="ru-RU"/>
              </w:rPr>
              <w:t xml:space="preserve">г. реализация проекта началась в трех НРС (в Эфиопии, Руанде и Объединенной Республике Танзания).   </w:t>
            </w:r>
          </w:p>
          <w:p w:rsidR="00495A3D" w:rsidRPr="00495A3D" w:rsidRDefault="00495A3D" w:rsidP="00495A3D">
            <w:pPr>
              <w:keepNext/>
              <w:keepLines/>
              <w:rPr>
                <w:sz w:val="16"/>
                <w:szCs w:val="16"/>
                <w:lang w:val="ru-RU"/>
              </w:rPr>
            </w:pPr>
            <w:r w:rsidRPr="00495A3D">
              <w:rPr>
                <w:sz w:val="16"/>
                <w:szCs w:val="16"/>
                <w:lang w:val="ru-RU"/>
              </w:rPr>
              <w:t xml:space="preserve"> </w:t>
            </w:r>
          </w:p>
        </w:tc>
        <w:tc>
          <w:tcPr>
            <w:tcW w:w="1433" w:type="dxa"/>
            <w:gridSpan w:val="3"/>
            <w:tcBorders>
              <w:top w:val="nil"/>
              <w:left w:val="nil"/>
              <w:bottom w:val="single" w:sz="4" w:space="0" w:color="auto"/>
              <w:right w:val="single" w:sz="4" w:space="0" w:color="auto"/>
            </w:tcBorders>
            <w:shd w:val="clear" w:color="auto" w:fill="auto"/>
            <w:tcMar>
              <w:top w:w="110" w:type="dxa"/>
            </w:tcMar>
          </w:tcPr>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 xml:space="preserve"> </w:t>
            </w: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sz w:val="16"/>
                <w:szCs w:val="16"/>
                <w:lang w:val="ru-RU"/>
              </w:rPr>
            </w:pPr>
          </w:p>
          <w:p w:rsidR="00495A3D" w:rsidRPr="00495A3D" w:rsidRDefault="00495A3D" w:rsidP="00495A3D">
            <w:pPr>
              <w:keepNext/>
              <w:keepLines/>
              <w:jc w:val="center"/>
              <w:rPr>
                <w:b/>
                <w:bCs/>
                <w:color w:val="E36C0A" w:themeColor="accent6" w:themeShade="BF"/>
                <w:sz w:val="16"/>
                <w:szCs w:val="16"/>
                <w:lang w:val="ru-RU"/>
              </w:rPr>
            </w:pPr>
          </w:p>
          <w:p w:rsidR="00495A3D" w:rsidRPr="001D3FF8" w:rsidRDefault="001D3FF8" w:rsidP="00495A3D">
            <w:pPr>
              <w:keepNext/>
              <w:keepLines/>
              <w:jc w:val="center"/>
              <w:rPr>
                <w:b/>
                <w:bCs/>
                <w:color w:val="FF0000"/>
                <w:sz w:val="16"/>
                <w:szCs w:val="16"/>
                <w:lang w:val="ru-RU"/>
              </w:rPr>
            </w:pPr>
            <w:r w:rsidRPr="001D3FF8">
              <w:rPr>
                <w:b/>
                <w:color w:val="FF0000"/>
                <w:sz w:val="16"/>
                <w:szCs w:val="16"/>
                <w:lang w:val="ru-RU"/>
              </w:rPr>
              <w:t>Не выполнено</w:t>
            </w: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 xml:space="preserve"> </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r w:rsidRPr="00495A3D">
              <w:rPr>
                <w:b/>
                <w:color w:val="00B050"/>
                <w:sz w:val="16"/>
                <w:szCs w:val="16"/>
                <w:lang w:val="ru-RU"/>
              </w:rPr>
              <w:t>Выполнено</w:t>
            </w: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495A3D" w:rsidRDefault="00495A3D" w:rsidP="00495A3D">
            <w:pPr>
              <w:keepNext/>
              <w:keepLines/>
              <w:jc w:val="center"/>
              <w:rPr>
                <w:b/>
                <w:bCs/>
                <w:color w:val="00B050"/>
                <w:sz w:val="16"/>
                <w:szCs w:val="16"/>
                <w:lang w:val="ru-RU"/>
              </w:rPr>
            </w:pPr>
          </w:p>
          <w:p w:rsidR="00495A3D" w:rsidRPr="005F4735" w:rsidRDefault="00495A3D" w:rsidP="00495A3D">
            <w:pPr>
              <w:keepNext/>
              <w:keepLines/>
              <w:jc w:val="center"/>
              <w:rPr>
                <w:b/>
                <w:bCs/>
                <w:sz w:val="16"/>
                <w:szCs w:val="16"/>
              </w:rPr>
            </w:pPr>
            <w:r w:rsidRPr="005F4735">
              <w:rPr>
                <w:b/>
                <w:color w:val="00B050"/>
                <w:sz w:val="16"/>
                <w:szCs w:val="16"/>
              </w:rPr>
              <w:t>Выполнено</w:t>
            </w:r>
          </w:p>
        </w:tc>
      </w:tr>
      <w:tr w:rsidR="00495A3D" w:rsidRPr="005C6ABD" w:rsidTr="00495A3D">
        <w:tc>
          <w:tcPr>
            <w:tcW w:w="9669" w:type="dxa"/>
            <w:gridSpan w:val="12"/>
            <w:tcBorders>
              <w:top w:val="single" w:sz="4" w:space="0" w:color="auto"/>
              <w:bottom w:val="single" w:sz="4" w:space="0" w:color="auto"/>
            </w:tcBorders>
            <w:shd w:val="clear" w:color="auto" w:fill="C6D9F1" w:themeFill="text2" w:themeFillTint="33"/>
          </w:tcPr>
          <w:p w:rsidR="00495A3D" w:rsidRPr="00495A3D" w:rsidRDefault="00495A3D" w:rsidP="005177C8">
            <w:pPr>
              <w:keepNext/>
              <w:keepLines/>
              <w:tabs>
                <w:tab w:val="left" w:pos="2160"/>
              </w:tabs>
              <w:spacing w:before="120" w:after="120"/>
              <w:ind w:left="2160" w:hanging="2160"/>
              <w:rPr>
                <w:b/>
                <w:bCs/>
                <w:sz w:val="16"/>
                <w:szCs w:val="16"/>
                <w:lang w:val="ru-RU"/>
              </w:rPr>
            </w:pPr>
            <w:r w:rsidRPr="00495A3D">
              <w:rPr>
                <w:sz w:val="16"/>
                <w:szCs w:val="16"/>
                <w:lang w:val="ru-RU"/>
              </w:rPr>
              <w:br w:type="page"/>
            </w:r>
            <w:r w:rsidRPr="00495A3D">
              <w:rPr>
                <w:b/>
                <w:sz w:val="16"/>
                <w:szCs w:val="16"/>
                <w:lang w:val="ru-RU"/>
              </w:rPr>
              <w:t xml:space="preserve">Ожидаемый результат:      </w:t>
            </w:r>
            <w:r>
              <w:rPr>
                <w:sz w:val="16"/>
                <w:szCs w:val="16"/>
              </w:rPr>
              <w:t>IV</w:t>
            </w:r>
            <w:r w:rsidRPr="00495A3D">
              <w:rPr>
                <w:sz w:val="16"/>
                <w:szCs w:val="16"/>
                <w:lang w:val="ru-RU"/>
              </w:rPr>
              <w:t>.2 Расширение доступа и использования информации в области ИС учреждениями ИС и общественностью для содействия инновациям и творчеству</w:t>
            </w:r>
          </w:p>
        </w:tc>
      </w:tr>
      <w:tr w:rsidR="00495A3D" w:rsidRPr="005F4735" w:rsidTr="00495A3D">
        <w:trPr>
          <w:trHeight w:val="368"/>
        </w:trPr>
        <w:tc>
          <w:tcPr>
            <w:tcW w:w="1867" w:type="dxa"/>
            <w:tcBorders>
              <w:top w:val="single" w:sz="4" w:space="0" w:color="auto"/>
              <w:left w:val="single" w:sz="4" w:space="0" w:color="auto"/>
              <w:bottom w:val="nil"/>
              <w:right w:val="nil"/>
            </w:tcBorders>
            <w:shd w:val="clear" w:color="auto" w:fill="auto"/>
            <w:vAlign w:val="center"/>
          </w:tcPr>
          <w:p w:rsidR="00495A3D" w:rsidRPr="005F4735" w:rsidRDefault="00495A3D" w:rsidP="00495A3D">
            <w:pPr>
              <w:spacing w:after="40"/>
              <w:rPr>
                <w:sz w:val="16"/>
                <w:szCs w:val="16"/>
              </w:rPr>
            </w:pPr>
            <w:r w:rsidRPr="005F4735">
              <w:rPr>
                <w:b/>
                <w:sz w:val="16"/>
                <w:szCs w:val="16"/>
              </w:rPr>
              <w:t>Показатели результативности</w:t>
            </w:r>
          </w:p>
        </w:tc>
        <w:tc>
          <w:tcPr>
            <w:tcW w:w="2243" w:type="dxa"/>
            <w:gridSpan w:val="2"/>
            <w:tcBorders>
              <w:top w:val="single" w:sz="4" w:space="0" w:color="auto"/>
              <w:left w:val="nil"/>
              <w:bottom w:val="nil"/>
              <w:right w:val="nil"/>
            </w:tcBorders>
            <w:shd w:val="clear" w:color="auto" w:fill="auto"/>
            <w:vAlign w:val="center"/>
          </w:tcPr>
          <w:p w:rsidR="00495A3D" w:rsidRPr="005F4735" w:rsidRDefault="00495A3D" w:rsidP="00495A3D">
            <w:pPr>
              <w:spacing w:after="40"/>
              <w:rPr>
                <w:b/>
                <w:bCs/>
                <w:sz w:val="16"/>
                <w:szCs w:val="16"/>
              </w:rPr>
            </w:pPr>
            <w:r w:rsidRPr="005F4735">
              <w:rPr>
                <w:b/>
                <w:sz w:val="16"/>
                <w:szCs w:val="16"/>
              </w:rPr>
              <w:t>Базовые показатели</w:t>
            </w:r>
          </w:p>
        </w:tc>
        <w:tc>
          <w:tcPr>
            <w:tcW w:w="1559" w:type="dxa"/>
            <w:gridSpan w:val="2"/>
            <w:tcBorders>
              <w:top w:val="single" w:sz="4" w:space="0" w:color="auto"/>
              <w:left w:val="nil"/>
              <w:bottom w:val="nil"/>
              <w:right w:val="nil"/>
            </w:tcBorders>
            <w:shd w:val="clear" w:color="auto" w:fill="auto"/>
            <w:vAlign w:val="center"/>
          </w:tcPr>
          <w:p w:rsidR="00495A3D" w:rsidRPr="005F4735" w:rsidRDefault="00495A3D" w:rsidP="00495A3D">
            <w:pPr>
              <w:spacing w:after="40"/>
              <w:rPr>
                <w:b/>
                <w:sz w:val="16"/>
                <w:szCs w:val="16"/>
              </w:rPr>
            </w:pPr>
            <w:r w:rsidRPr="005F4735">
              <w:rPr>
                <w:b/>
                <w:sz w:val="16"/>
                <w:szCs w:val="16"/>
              </w:rPr>
              <w:t>Цели</w:t>
            </w:r>
          </w:p>
        </w:tc>
        <w:tc>
          <w:tcPr>
            <w:tcW w:w="2551" w:type="dxa"/>
            <w:gridSpan w:val="5"/>
            <w:tcBorders>
              <w:top w:val="single" w:sz="4" w:space="0" w:color="auto"/>
              <w:left w:val="nil"/>
              <w:bottom w:val="nil"/>
              <w:right w:val="nil"/>
            </w:tcBorders>
            <w:shd w:val="clear" w:color="auto" w:fill="auto"/>
            <w:vAlign w:val="center"/>
          </w:tcPr>
          <w:p w:rsidR="00495A3D" w:rsidRPr="005F4735" w:rsidRDefault="00495A3D" w:rsidP="00495A3D">
            <w:pPr>
              <w:spacing w:after="40"/>
              <w:rPr>
                <w:sz w:val="16"/>
                <w:szCs w:val="16"/>
              </w:rPr>
            </w:pPr>
            <w:r w:rsidRPr="005F4735">
              <w:rPr>
                <w:b/>
                <w:sz w:val="16"/>
                <w:szCs w:val="16"/>
              </w:rPr>
              <w:t>Данные о результативности</w:t>
            </w:r>
          </w:p>
        </w:tc>
        <w:tc>
          <w:tcPr>
            <w:tcW w:w="1449" w:type="dxa"/>
            <w:gridSpan w:val="2"/>
            <w:tcBorders>
              <w:top w:val="single" w:sz="4" w:space="0" w:color="auto"/>
              <w:left w:val="nil"/>
              <w:bottom w:val="nil"/>
              <w:right w:val="single" w:sz="4" w:space="0" w:color="auto"/>
            </w:tcBorders>
            <w:shd w:val="clear" w:color="auto" w:fill="auto"/>
            <w:vAlign w:val="center"/>
          </w:tcPr>
          <w:p w:rsidR="00495A3D" w:rsidRPr="005F4735" w:rsidRDefault="00495A3D" w:rsidP="00495A3D">
            <w:pPr>
              <w:keepNext/>
              <w:keepLines/>
              <w:spacing w:after="40"/>
              <w:jc w:val="center"/>
              <w:rPr>
                <w:b/>
                <w:bCs/>
                <w:sz w:val="16"/>
                <w:szCs w:val="16"/>
              </w:rPr>
            </w:pPr>
            <w:r w:rsidRPr="005F4735">
              <w:rPr>
                <w:b/>
                <w:sz w:val="16"/>
                <w:szCs w:val="16"/>
              </w:rPr>
              <w:t>CC</w:t>
            </w:r>
          </w:p>
        </w:tc>
      </w:tr>
      <w:tr w:rsidR="00495A3D" w:rsidRPr="005F4735" w:rsidTr="005177C8">
        <w:tc>
          <w:tcPr>
            <w:tcW w:w="1867" w:type="dxa"/>
            <w:tcBorders>
              <w:top w:val="nil"/>
              <w:left w:val="single" w:sz="4" w:space="0" w:color="auto"/>
              <w:bottom w:val="nil"/>
              <w:right w:val="nil"/>
            </w:tcBorders>
            <w:shd w:val="clear" w:color="auto" w:fill="FFFFFF"/>
          </w:tcPr>
          <w:p w:rsidR="00495A3D" w:rsidRPr="00495A3D" w:rsidRDefault="00495A3D" w:rsidP="00495A3D">
            <w:pPr>
              <w:rPr>
                <w:sz w:val="16"/>
                <w:szCs w:val="16"/>
                <w:lang w:val="ru-RU"/>
              </w:rPr>
            </w:pPr>
            <w:r w:rsidRPr="00495A3D">
              <w:rPr>
                <w:sz w:val="16"/>
                <w:szCs w:val="16"/>
                <w:lang w:val="ru-RU"/>
              </w:rPr>
              <w:t>Число устойчивых национальных сетей ЦПТИ</w:t>
            </w:r>
          </w:p>
        </w:tc>
        <w:tc>
          <w:tcPr>
            <w:tcW w:w="2243" w:type="dxa"/>
            <w:gridSpan w:val="2"/>
            <w:tcBorders>
              <w:top w:val="nil"/>
              <w:left w:val="nil"/>
              <w:bottom w:val="nil"/>
              <w:right w:val="nil"/>
            </w:tcBorders>
            <w:shd w:val="clear" w:color="auto" w:fill="auto"/>
          </w:tcPr>
          <w:p w:rsidR="00495A3D" w:rsidRPr="00495A3D" w:rsidRDefault="00495A3D" w:rsidP="00495A3D">
            <w:pPr>
              <w:rPr>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 xml:space="preserve">г.:  </w:t>
            </w:r>
            <w:r w:rsidRPr="00495A3D">
              <w:rPr>
                <w:sz w:val="16"/>
                <w:szCs w:val="16"/>
                <w:lang w:val="ru-RU"/>
              </w:rPr>
              <w:t>14 устойчивых (из 36 созданных) сетей ЦПТИ</w:t>
            </w:r>
          </w:p>
          <w:p w:rsidR="00495A3D" w:rsidRPr="00495A3D" w:rsidRDefault="00495A3D" w:rsidP="00495A3D">
            <w:pPr>
              <w:rPr>
                <w:i/>
                <w:sz w:val="16"/>
                <w:szCs w:val="16"/>
                <w:lang w:val="ru-RU"/>
              </w:rPr>
            </w:pPr>
          </w:p>
          <w:p w:rsidR="00495A3D" w:rsidRPr="00495A3D" w:rsidRDefault="00495A3D" w:rsidP="00495A3D">
            <w:pPr>
              <w:rPr>
                <w:i/>
                <w:sz w:val="16"/>
                <w:szCs w:val="16"/>
                <w:lang w:val="ru-RU"/>
              </w:rPr>
            </w:pPr>
            <w:r w:rsidRPr="00495A3D">
              <w:rPr>
                <w:i/>
                <w:sz w:val="16"/>
                <w:szCs w:val="16"/>
                <w:lang w:val="ru-RU"/>
              </w:rPr>
              <w:t xml:space="preserve">Исходные базовые показатели ПиБ на 2014–2015 гг.: </w:t>
            </w:r>
          </w:p>
          <w:p w:rsidR="00495A3D" w:rsidRPr="00495A3D" w:rsidRDefault="00495A3D" w:rsidP="00495A3D">
            <w:pPr>
              <w:rPr>
                <w:i/>
                <w:sz w:val="16"/>
                <w:szCs w:val="16"/>
                <w:lang w:val="ru-RU"/>
              </w:rPr>
            </w:pPr>
            <w:r w:rsidRPr="00495A3D">
              <w:rPr>
                <w:i/>
                <w:sz w:val="16"/>
                <w:szCs w:val="16"/>
                <w:lang w:val="ru-RU"/>
              </w:rPr>
              <w:t>14 национальных сетей ЦПТИ:</w:t>
            </w:r>
          </w:p>
          <w:p w:rsidR="00495A3D" w:rsidRPr="00495A3D" w:rsidRDefault="00495A3D" w:rsidP="00495A3D">
            <w:pPr>
              <w:rPr>
                <w:sz w:val="16"/>
                <w:szCs w:val="16"/>
                <w:lang w:val="ru-RU"/>
              </w:rPr>
            </w:pPr>
            <w:r w:rsidRPr="00495A3D">
              <w:rPr>
                <w:sz w:val="16"/>
                <w:szCs w:val="16"/>
                <w:lang w:val="ru-RU"/>
              </w:rPr>
              <w:t>Африка (6)</w:t>
            </w:r>
          </w:p>
          <w:p w:rsidR="00495A3D" w:rsidRPr="00495A3D" w:rsidRDefault="00495A3D" w:rsidP="00495A3D">
            <w:pPr>
              <w:rPr>
                <w:sz w:val="16"/>
                <w:szCs w:val="16"/>
                <w:lang w:val="ru-RU"/>
              </w:rPr>
            </w:pPr>
            <w:r w:rsidRPr="00495A3D">
              <w:rPr>
                <w:sz w:val="16"/>
                <w:szCs w:val="16"/>
                <w:lang w:val="ru-RU"/>
              </w:rPr>
              <w:t>арабские страны (2)</w:t>
            </w:r>
          </w:p>
          <w:p w:rsidR="00495A3D" w:rsidRPr="00495A3D" w:rsidRDefault="00495A3D" w:rsidP="00495A3D">
            <w:pPr>
              <w:rPr>
                <w:sz w:val="16"/>
                <w:szCs w:val="16"/>
                <w:lang w:val="ru-RU"/>
              </w:rPr>
            </w:pPr>
            <w:r w:rsidRPr="00495A3D">
              <w:rPr>
                <w:sz w:val="16"/>
                <w:szCs w:val="16"/>
                <w:lang w:val="ru-RU"/>
              </w:rPr>
              <w:t>страны Азиатско-Тихоокеанского региона (2)</w:t>
            </w:r>
          </w:p>
          <w:p w:rsidR="00495A3D" w:rsidRPr="00495A3D" w:rsidRDefault="00495A3D" w:rsidP="00495A3D">
            <w:pPr>
              <w:rPr>
                <w:sz w:val="16"/>
                <w:szCs w:val="16"/>
                <w:lang w:val="ru-RU"/>
              </w:rPr>
            </w:pPr>
            <w:r w:rsidRPr="00495A3D">
              <w:rPr>
                <w:sz w:val="16"/>
                <w:szCs w:val="16"/>
                <w:lang w:val="ru-RU"/>
              </w:rPr>
              <w:t>Латинская Америка и страны Карибского бассейна (4)</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6 НРС указаны в приведенной выше разбивке по регионам</w:t>
            </w:r>
          </w:p>
        </w:tc>
        <w:tc>
          <w:tcPr>
            <w:tcW w:w="1559" w:type="dxa"/>
            <w:gridSpan w:val="2"/>
            <w:tcBorders>
              <w:top w:val="nil"/>
              <w:left w:val="nil"/>
              <w:bottom w:val="nil"/>
              <w:right w:val="nil"/>
            </w:tcBorders>
            <w:shd w:val="clear" w:color="auto" w:fill="auto"/>
            <w:tcMar>
              <w:top w:w="110" w:type="dxa"/>
            </w:tcMar>
          </w:tcPr>
          <w:p w:rsidR="00495A3D" w:rsidRPr="00495A3D" w:rsidRDefault="00495A3D" w:rsidP="00495A3D">
            <w:pPr>
              <w:rPr>
                <w:sz w:val="16"/>
                <w:szCs w:val="16"/>
                <w:lang w:val="ru-RU"/>
              </w:rPr>
            </w:pPr>
            <w:r w:rsidRPr="00495A3D">
              <w:rPr>
                <w:sz w:val="16"/>
                <w:szCs w:val="16"/>
                <w:lang w:val="ru-RU"/>
              </w:rPr>
              <w:t>23 национальных сети ЦПТИ (всего):</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Африка (10 стран, из которых 8 являются НРС)</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арабские страны (3) </w:t>
            </w:r>
          </w:p>
          <w:p w:rsidR="00495A3D" w:rsidRPr="00495A3D" w:rsidRDefault="00495A3D" w:rsidP="00495A3D">
            <w:pPr>
              <w:rPr>
                <w:sz w:val="16"/>
                <w:szCs w:val="16"/>
                <w:lang w:val="ru-RU"/>
              </w:rPr>
            </w:pP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Азиатско-Тихоокеанский регион (4 страны, из которых 2 являются НРС)</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Латинская Америка и страны Карибского бассейна (6)</w:t>
            </w:r>
          </w:p>
          <w:p w:rsidR="00495A3D" w:rsidRPr="00495A3D" w:rsidRDefault="00495A3D" w:rsidP="00495A3D">
            <w:pPr>
              <w:rPr>
                <w:sz w:val="16"/>
                <w:szCs w:val="16"/>
                <w:lang w:val="ru-RU"/>
              </w:rPr>
            </w:pPr>
          </w:p>
        </w:tc>
        <w:tc>
          <w:tcPr>
            <w:tcW w:w="2551" w:type="dxa"/>
            <w:gridSpan w:val="5"/>
            <w:tcBorders>
              <w:top w:val="nil"/>
              <w:left w:val="nil"/>
              <w:bottom w:val="nil"/>
              <w:right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 xml:space="preserve">24 устойчивых национальных сети из 49 официально созданных (всего):  </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 xml:space="preserve">Африка (10 стран, из которых 8 являются НРС)  </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 xml:space="preserve">арабские страны (3)  </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Азиатско-Тихоокеанский регион (4 страны, из которых</w:t>
            </w:r>
            <w:r>
              <w:rPr>
                <w:sz w:val="16"/>
                <w:szCs w:val="16"/>
              </w:rPr>
              <w:t> </w:t>
            </w:r>
            <w:r w:rsidRPr="00495A3D">
              <w:rPr>
                <w:sz w:val="16"/>
                <w:szCs w:val="16"/>
                <w:lang w:val="ru-RU"/>
              </w:rPr>
              <w:t xml:space="preserve">1 является НРС);  </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p w:rsidR="00495A3D" w:rsidRPr="00495A3D" w:rsidRDefault="00495A3D" w:rsidP="00495A3D">
            <w:pPr>
              <w:rPr>
                <w:sz w:val="16"/>
                <w:szCs w:val="16"/>
                <w:lang w:val="ru-RU"/>
              </w:rPr>
            </w:pPr>
            <w:r w:rsidRPr="00495A3D">
              <w:rPr>
                <w:sz w:val="16"/>
                <w:szCs w:val="16"/>
                <w:lang w:val="ru-RU"/>
              </w:rPr>
              <w:t xml:space="preserve">Латинская Америка и страны Карибского бассейна (7) </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 xml:space="preserve">9 НРС указаны в приведенной выше разбивке по регионам </w:t>
            </w:r>
          </w:p>
        </w:tc>
        <w:tc>
          <w:tcPr>
            <w:tcW w:w="1449" w:type="dxa"/>
            <w:gridSpan w:val="2"/>
            <w:tcBorders>
              <w:top w:val="nil"/>
              <w:left w:val="nil"/>
              <w:bottom w:val="nil"/>
              <w:right w:val="single" w:sz="4" w:space="0" w:color="auto"/>
            </w:tcBorders>
            <w:shd w:val="clear" w:color="auto" w:fill="auto"/>
            <w:tcMar>
              <w:top w:w="110" w:type="dxa"/>
            </w:tcMar>
          </w:tcPr>
          <w:p w:rsidR="00495A3D" w:rsidRPr="005F4735" w:rsidRDefault="00495A3D" w:rsidP="00495A3D">
            <w:pPr>
              <w:keepNext/>
              <w:keepLines/>
              <w:jc w:val="center"/>
              <w:rPr>
                <w:b/>
                <w:bCs/>
                <w:color w:val="00B050"/>
                <w:sz w:val="16"/>
                <w:szCs w:val="16"/>
              </w:rPr>
            </w:pPr>
            <w:r w:rsidRPr="005F4735">
              <w:rPr>
                <w:b/>
                <w:color w:val="00B050"/>
                <w:sz w:val="16"/>
                <w:szCs w:val="16"/>
              </w:rPr>
              <w:t>Выполнено</w:t>
            </w:r>
          </w:p>
          <w:p w:rsidR="00495A3D" w:rsidRPr="005F4735" w:rsidRDefault="00495A3D" w:rsidP="00495A3D">
            <w:pPr>
              <w:keepNext/>
              <w:keepLines/>
              <w:jc w:val="center"/>
              <w:rPr>
                <w:b/>
                <w:bCs/>
                <w:color w:val="00B050"/>
                <w:sz w:val="16"/>
                <w:szCs w:val="16"/>
              </w:rPr>
            </w:pPr>
          </w:p>
          <w:p w:rsidR="00495A3D" w:rsidRDefault="00495A3D" w:rsidP="00495A3D">
            <w:pPr>
              <w:keepNext/>
              <w:keepLines/>
              <w:jc w:val="center"/>
              <w:rPr>
                <w:b/>
                <w:bCs/>
                <w:color w:val="00B050"/>
                <w:sz w:val="16"/>
                <w:szCs w:val="16"/>
              </w:rPr>
            </w:pPr>
          </w:p>
          <w:p w:rsidR="00495A3D" w:rsidRDefault="00495A3D" w:rsidP="00495A3D">
            <w:pPr>
              <w:keepNext/>
              <w:keepLines/>
              <w:jc w:val="center"/>
              <w:rPr>
                <w:b/>
                <w:bCs/>
                <w:color w:val="00B050"/>
                <w:sz w:val="16"/>
                <w:szCs w:val="16"/>
              </w:rPr>
            </w:pPr>
          </w:p>
          <w:p w:rsidR="00495A3D" w:rsidRPr="005F4735" w:rsidRDefault="00495A3D" w:rsidP="00495A3D">
            <w:pPr>
              <w:keepNext/>
              <w:keepLines/>
              <w:jc w:val="center"/>
              <w:rPr>
                <w:b/>
                <w:bCs/>
                <w:color w:val="00B050"/>
                <w:sz w:val="16"/>
                <w:szCs w:val="16"/>
              </w:rPr>
            </w:pPr>
          </w:p>
          <w:p w:rsidR="00495A3D" w:rsidRPr="005F4735" w:rsidRDefault="00495A3D" w:rsidP="00495A3D">
            <w:pPr>
              <w:keepNext/>
              <w:keepLines/>
              <w:jc w:val="center"/>
              <w:rPr>
                <w:b/>
                <w:bCs/>
                <w:color w:val="00B050"/>
                <w:sz w:val="16"/>
                <w:szCs w:val="16"/>
              </w:rPr>
            </w:pPr>
            <w:r w:rsidRPr="005F4735">
              <w:rPr>
                <w:b/>
                <w:color w:val="00B050"/>
                <w:sz w:val="16"/>
                <w:szCs w:val="16"/>
              </w:rPr>
              <w:t>Выполнено</w:t>
            </w:r>
          </w:p>
          <w:p w:rsidR="00495A3D" w:rsidRDefault="00495A3D" w:rsidP="00495A3D">
            <w:pPr>
              <w:keepNext/>
              <w:keepLines/>
              <w:jc w:val="center"/>
              <w:rPr>
                <w:b/>
                <w:bCs/>
                <w:color w:val="00B050"/>
                <w:sz w:val="16"/>
                <w:szCs w:val="16"/>
              </w:rPr>
            </w:pPr>
          </w:p>
          <w:p w:rsidR="00495A3D" w:rsidRPr="005F4735" w:rsidRDefault="00495A3D" w:rsidP="00495A3D">
            <w:pPr>
              <w:keepNext/>
              <w:keepLines/>
              <w:jc w:val="center"/>
              <w:rPr>
                <w:b/>
                <w:bCs/>
                <w:color w:val="00B050"/>
                <w:sz w:val="16"/>
                <w:szCs w:val="16"/>
              </w:rPr>
            </w:pPr>
          </w:p>
          <w:p w:rsidR="00495A3D" w:rsidRPr="005F4735" w:rsidRDefault="00495A3D" w:rsidP="00495A3D">
            <w:pPr>
              <w:keepNext/>
              <w:keepLines/>
              <w:jc w:val="center"/>
              <w:rPr>
                <w:b/>
                <w:bCs/>
                <w:color w:val="00B050"/>
                <w:sz w:val="16"/>
                <w:szCs w:val="16"/>
              </w:rPr>
            </w:pPr>
            <w:r w:rsidRPr="005F4735">
              <w:rPr>
                <w:b/>
                <w:color w:val="00B050"/>
                <w:sz w:val="16"/>
                <w:szCs w:val="16"/>
              </w:rPr>
              <w:t>Выполнено</w:t>
            </w:r>
          </w:p>
          <w:p w:rsidR="00495A3D" w:rsidRDefault="00495A3D" w:rsidP="00495A3D">
            <w:pPr>
              <w:keepNext/>
              <w:keepLines/>
              <w:jc w:val="center"/>
              <w:rPr>
                <w:b/>
                <w:bCs/>
                <w:color w:val="00B050"/>
                <w:sz w:val="16"/>
                <w:szCs w:val="16"/>
              </w:rPr>
            </w:pPr>
          </w:p>
          <w:p w:rsidR="00495A3D" w:rsidRPr="005F4735" w:rsidRDefault="00495A3D" w:rsidP="00495A3D">
            <w:pPr>
              <w:keepNext/>
              <w:keepLines/>
              <w:jc w:val="center"/>
              <w:rPr>
                <w:b/>
                <w:bCs/>
                <w:color w:val="00B050"/>
                <w:sz w:val="16"/>
                <w:szCs w:val="16"/>
              </w:rPr>
            </w:pPr>
          </w:p>
          <w:p w:rsidR="00495A3D" w:rsidRPr="005F4735" w:rsidRDefault="00495A3D" w:rsidP="00495A3D">
            <w:pPr>
              <w:keepNext/>
              <w:keepLines/>
              <w:jc w:val="center"/>
              <w:rPr>
                <w:b/>
                <w:bCs/>
                <w:color w:val="00B050"/>
                <w:sz w:val="16"/>
                <w:szCs w:val="16"/>
              </w:rPr>
            </w:pPr>
            <w:r w:rsidRPr="005F4735">
              <w:rPr>
                <w:b/>
                <w:color w:val="00B050"/>
                <w:sz w:val="16"/>
                <w:szCs w:val="16"/>
              </w:rPr>
              <w:t>Выполнено</w:t>
            </w:r>
          </w:p>
          <w:p w:rsidR="00495A3D" w:rsidRPr="005F4735" w:rsidRDefault="00495A3D" w:rsidP="00495A3D">
            <w:pPr>
              <w:keepNext/>
              <w:keepLines/>
              <w:jc w:val="center"/>
              <w:rPr>
                <w:b/>
                <w:bCs/>
                <w:sz w:val="16"/>
                <w:szCs w:val="16"/>
              </w:rPr>
            </w:pPr>
          </w:p>
          <w:p w:rsidR="00495A3D" w:rsidRPr="005F4735" w:rsidRDefault="00495A3D" w:rsidP="00495A3D">
            <w:pPr>
              <w:keepNext/>
              <w:keepLines/>
              <w:jc w:val="center"/>
              <w:rPr>
                <w:b/>
                <w:bCs/>
                <w:sz w:val="16"/>
                <w:szCs w:val="16"/>
              </w:rPr>
            </w:pPr>
          </w:p>
          <w:p w:rsidR="00495A3D" w:rsidRPr="005F4735" w:rsidRDefault="00495A3D" w:rsidP="00495A3D">
            <w:pPr>
              <w:keepNext/>
              <w:keepLines/>
              <w:jc w:val="center"/>
              <w:rPr>
                <w:b/>
                <w:bCs/>
                <w:color w:val="00B050"/>
                <w:sz w:val="16"/>
                <w:szCs w:val="16"/>
              </w:rPr>
            </w:pPr>
            <w:r w:rsidRPr="005F4735">
              <w:rPr>
                <w:b/>
                <w:color w:val="00B050"/>
                <w:sz w:val="16"/>
                <w:szCs w:val="16"/>
              </w:rPr>
              <w:t>Выполнено</w:t>
            </w:r>
          </w:p>
          <w:p w:rsidR="00495A3D" w:rsidRPr="005F4735" w:rsidRDefault="00495A3D" w:rsidP="00495A3D">
            <w:pPr>
              <w:keepNext/>
              <w:keepLines/>
              <w:jc w:val="center"/>
              <w:rPr>
                <w:b/>
                <w:bCs/>
                <w:sz w:val="16"/>
                <w:szCs w:val="16"/>
              </w:rPr>
            </w:pPr>
          </w:p>
          <w:p w:rsidR="00495A3D" w:rsidRPr="005F4735" w:rsidRDefault="00495A3D" w:rsidP="00495A3D">
            <w:pPr>
              <w:keepNext/>
              <w:keepLines/>
              <w:jc w:val="center"/>
              <w:rPr>
                <w:b/>
                <w:bCs/>
                <w:sz w:val="16"/>
                <w:szCs w:val="16"/>
              </w:rPr>
            </w:pPr>
          </w:p>
        </w:tc>
      </w:tr>
      <w:tr w:rsidR="00495A3D" w:rsidRPr="005F4735" w:rsidTr="005177C8">
        <w:trPr>
          <w:trHeight w:val="331"/>
        </w:trPr>
        <w:tc>
          <w:tcPr>
            <w:tcW w:w="1867" w:type="dxa"/>
            <w:tcBorders>
              <w:top w:val="nil"/>
              <w:left w:val="single" w:sz="4" w:space="0" w:color="auto"/>
              <w:bottom w:val="nil"/>
            </w:tcBorders>
            <w:shd w:val="clear" w:color="auto" w:fill="FFFFFF"/>
          </w:tcPr>
          <w:p w:rsidR="00495A3D" w:rsidRPr="00495A3D" w:rsidRDefault="00495A3D" w:rsidP="00495A3D">
            <w:pPr>
              <w:rPr>
                <w:sz w:val="16"/>
                <w:szCs w:val="16"/>
                <w:lang w:val="ru-RU"/>
              </w:rPr>
            </w:pPr>
            <w:r w:rsidRPr="00495A3D">
              <w:rPr>
                <w:sz w:val="16"/>
                <w:szCs w:val="16"/>
                <w:lang w:val="ru-RU"/>
              </w:rPr>
              <w:t>Среднее число пользователей услуг ЦПТИ в разбивке по кварталам и странам</w:t>
            </w:r>
          </w:p>
        </w:tc>
        <w:tc>
          <w:tcPr>
            <w:tcW w:w="2243" w:type="dxa"/>
            <w:gridSpan w:val="2"/>
            <w:tcBorders>
              <w:top w:val="nil"/>
              <w:bottom w:val="nil"/>
            </w:tcBorders>
            <w:shd w:val="clear" w:color="auto" w:fill="auto"/>
          </w:tcPr>
          <w:p w:rsidR="00495A3D" w:rsidRPr="00495A3D" w:rsidRDefault="00495A3D" w:rsidP="00495A3D">
            <w:pPr>
              <w:rPr>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 xml:space="preserve">г.:  </w:t>
            </w:r>
            <w:r w:rsidRPr="00495A3D">
              <w:rPr>
                <w:sz w:val="16"/>
                <w:szCs w:val="16"/>
                <w:lang w:val="ru-RU"/>
              </w:rPr>
              <w:t>среднее число пользователей, ежедневно обслуживаемых ЦПТИ, в 2013</w:t>
            </w:r>
            <w:r>
              <w:rPr>
                <w:sz w:val="16"/>
                <w:szCs w:val="16"/>
              </w:rPr>
              <w:t> </w:t>
            </w:r>
            <w:r w:rsidRPr="00495A3D">
              <w:rPr>
                <w:sz w:val="16"/>
                <w:szCs w:val="16"/>
                <w:lang w:val="ru-RU"/>
              </w:rPr>
              <w:t>г. составляло от 532 (минимум) до 1370 (максимум).</w:t>
            </w:r>
          </w:p>
          <w:p w:rsidR="00495A3D" w:rsidRPr="00495A3D" w:rsidRDefault="00495A3D" w:rsidP="00495A3D">
            <w:pPr>
              <w:rPr>
                <w:i/>
                <w:sz w:val="16"/>
                <w:szCs w:val="16"/>
                <w:lang w:val="ru-RU"/>
              </w:rPr>
            </w:pPr>
          </w:p>
          <w:p w:rsidR="00495A3D" w:rsidRPr="00495A3D" w:rsidRDefault="00495A3D" w:rsidP="00495A3D">
            <w:pPr>
              <w:rPr>
                <w:i/>
                <w:sz w:val="16"/>
                <w:szCs w:val="16"/>
                <w:lang w:val="ru-RU"/>
              </w:rPr>
            </w:pPr>
            <w:r w:rsidRPr="00495A3D">
              <w:rPr>
                <w:i/>
                <w:sz w:val="16"/>
                <w:szCs w:val="16"/>
                <w:lang w:val="ru-RU"/>
              </w:rPr>
              <w:t>Исходные базовые показатели ПиБ на 2014–2015 гг.:</w:t>
            </w:r>
          </w:p>
          <w:p w:rsidR="00495A3D" w:rsidRPr="005F4735" w:rsidRDefault="00495A3D" w:rsidP="00495A3D">
            <w:pPr>
              <w:rPr>
                <w:i/>
                <w:sz w:val="16"/>
                <w:szCs w:val="16"/>
              </w:rPr>
            </w:pPr>
            <w:r w:rsidRPr="005F4735">
              <w:rPr>
                <w:sz w:val="16"/>
                <w:szCs w:val="16"/>
              </w:rPr>
              <w:t>200 (мин.) – 630 (макс.)</w:t>
            </w:r>
          </w:p>
        </w:tc>
        <w:tc>
          <w:tcPr>
            <w:tcW w:w="1559" w:type="dxa"/>
            <w:gridSpan w:val="2"/>
            <w:tcBorders>
              <w:top w:val="nil"/>
              <w:bottom w:val="nil"/>
            </w:tcBorders>
            <w:shd w:val="clear" w:color="auto" w:fill="auto"/>
            <w:tcMar>
              <w:top w:w="110" w:type="dxa"/>
            </w:tcMar>
          </w:tcPr>
          <w:p w:rsidR="00495A3D" w:rsidRPr="005F4735" w:rsidRDefault="00495A3D" w:rsidP="00495A3D">
            <w:pPr>
              <w:rPr>
                <w:sz w:val="16"/>
                <w:szCs w:val="16"/>
              </w:rPr>
            </w:pPr>
            <w:r w:rsidRPr="005F4735">
              <w:rPr>
                <w:sz w:val="16"/>
                <w:szCs w:val="16"/>
              </w:rPr>
              <w:t>300 (мин.) – 750 (макс.)</w:t>
            </w:r>
          </w:p>
        </w:tc>
        <w:tc>
          <w:tcPr>
            <w:tcW w:w="2551" w:type="dxa"/>
            <w:gridSpan w:val="5"/>
            <w:tcBorders>
              <w:top w:val="nil"/>
              <w:bottom w:val="nil"/>
            </w:tcBorders>
            <w:shd w:val="clear" w:color="auto" w:fill="FFFFFF"/>
            <w:tcMar>
              <w:top w:w="110" w:type="dxa"/>
            </w:tcMar>
          </w:tcPr>
          <w:p w:rsidR="00495A3D" w:rsidRPr="005F4735" w:rsidRDefault="00495A3D" w:rsidP="00495A3D">
            <w:pPr>
              <w:rPr>
                <w:sz w:val="16"/>
                <w:szCs w:val="16"/>
              </w:rPr>
            </w:pPr>
            <w:r w:rsidRPr="005F4735">
              <w:rPr>
                <w:sz w:val="16"/>
                <w:szCs w:val="16"/>
              </w:rPr>
              <w:t>874 (мин.) – 2 631 (макс.)</w:t>
            </w:r>
          </w:p>
        </w:tc>
        <w:tc>
          <w:tcPr>
            <w:tcW w:w="1449" w:type="dxa"/>
            <w:gridSpan w:val="2"/>
            <w:tcBorders>
              <w:top w:val="nil"/>
              <w:bottom w:val="nil"/>
              <w:right w:val="single" w:sz="4" w:space="0" w:color="auto"/>
            </w:tcBorders>
            <w:shd w:val="clear" w:color="auto" w:fill="auto"/>
            <w:tcMar>
              <w:top w:w="110" w:type="dxa"/>
            </w:tcMar>
          </w:tcPr>
          <w:p w:rsidR="00495A3D" w:rsidRPr="005F4735" w:rsidRDefault="00495A3D" w:rsidP="00495A3D">
            <w:pPr>
              <w:keepNext/>
              <w:keepLines/>
              <w:jc w:val="center"/>
              <w:rPr>
                <w:b/>
                <w:bCs/>
                <w:sz w:val="16"/>
                <w:szCs w:val="16"/>
              </w:rPr>
            </w:pPr>
            <w:r w:rsidRPr="005F4735">
              <w:rPr>
                <w:b/>
                <w:color w:val="00B050"/>
                <w:sz w:val="16"/>
                <w:szCs w:val="16"/>
              </w:rPr>
              <w:t>Выполнено</w:t>
            </w:r>
          </w:p>
        </w:tc>
      </w:tr>
      <w:tr w:rsidR="00495A3D" w:rsidRPr="005F4735" w:rsidTr="005177C8">
        <w:tc>
          <w:tcPr>
            <w:tcW w:w="1867" w:type="dxa"/>
            <w:tcBorders>
              <w:top w:val="nil"/>
              <w:left w:val="single" w:sz="4" w:space="0" w:color="auto"/>
              <w:bottom w:val="single" w:sz="4" w:space="0" w:color="auto"/>
            </w:tcBorders>
            <w:shd w:val="clear" w:color="auto" w:fill="FFFFFF"/>
          </w:tcPr>
          <w:p w:rsidR="00495A3D" w:rsidRPr="00495A3D" w:rsidRDefault="00495A3D" w:rsidP="00495A3D">
            <w:pPr>
              <w:rPr>
                <w:sz w:val="16"/>
                <w:szCs w:val="16"/>
                <w:lang w:val="ru-RU"/>
              </w:rPr>
            </w:pPr>
            <w:r w:rsidRPr="00495A3D">
              <w:rPr>
                <w:sz w:val="16"/>
                <w:szCs w:val="16"/>
                <w:lang w:val="ru-RU"/>
              </w:rPr>
              <w:t>Число стран, использующих Базу данных по технической помощи в области ИС (БДТП-ИС) и Реестр консультантов в сфере ИС (РК-ИС)</w:t>
            </w:r>
          </w:p>
        </w:tc>
        <w:tc>
          <w:tcPr>
            <w:tcW w:w="2243" w:type="dxa"/>
            <w:gridSpan w:val="2"/>
            <w:tcBorders>
              <w:top w:val="nil"/>
              <w:bottom w:val="single" w:sz="4" w:space="0" w:color="auto"/>
            </w:tcBorders>
            <w:shd w:val="clear" w:color="auto" w:fill="auto"/>
          </w:tcPr>
          <w:p w:rsidR="00495A3D" w:rsidRPr="00495A3D" w:rsidRDefault="00495A3D" w:rsidP="00495A3D">
            <w:pPr>
              <w:rPr>
                <w:i/>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 xml:space="preserve">г.:  </w:t>
            </w:r>
          </w:p>
          <w:p w:rsidR="00495A3D" w:rsidRPr="00495A3D" w:rsidRDefault="00495A3D" w:rsidP="00495A3D">
            <w:pPr>
              <w:rPr>
                <w:sz w:val="16"/>
                <w:szCs w:val="16"/>
                <w:lang w:val="ru-RU"/>
              </w:rPr>
            </w:pPr>
            <w:r w:rsidRPr="00495A3D">
              <w:rPr>
                <w:sz w:val="16"/>
                <w:szCs w:val="16"/>
                <w:lang w:val="ru-RU"/>
              </w:rPr>
              <w:t xml:space="preserve">БДТП-ИС: 43 страны </w:t>
            </w:r>
          </w:p>
          <w:p w:rsidR="00495A3D" w:rsidRPr="00495A3D" w:rsidRDefault="00495A3D" w:rsidP="00495A3D">
            <w:pPr>
              <w:rPr>
                <w:sz w:val="16"/>
                <w:szCs w:val="16"/>
                <w:lang w:val="ru-RU"/>
              </w:rPr>
            </w:pPr>
            <w:r w:rsidRPr="00495A3D">
              <w:rPr>
                <w:sz w:val="16"/>
                <w:szCs w:val="16"/>
                <w:lang w:val="ru-RU"/>
              </w:rPr>
              <w:t>РК-ИС: 8 стран (в 2013</w:t>
            </w:r>
            <w:r w:rsidRPr="005F4735">
              <w:rPr>
                <w:sz w:val="16"/>
                <w:szCs w:val="16"/>
              </w:rPr>
              <w:t> </w:t>
            </w:r>
            <w:r w:rsidRPr="00495A3D">
              <w:rPr>
                <w:sz w:val="16"/>
                <w:szCs w:val="16"/>
                <w:lang w:val="ru-RU"/>
              </w:rPr>
              <w:t>г.)</w:t>
            </w:r>
          </w:p>
          <w:p w:rsidR="00495A3D" w:rsidRPr="00495A3D" w:rsidRDefault="00495A3D" w:rsidP="00495A3D">
            <w:pPr>
              <w:rPr>
                <w:i/>
                <w:sz w:val="16"/>
                <w:szCs w:val="16"/>
                <w:lang w:val="ru-RU"/>
              </w:rPr>
            </w:pPr>
          </w:p>
          <w:p w:rsidR="00495A3D" w:rsidRPr="00495A3D" w:rsidRDefault="00495A3D" w:rsidP="00495A3D">
            <w:pPr>
              <w:rPr>
                <w:i/>
                <w:sz w:val="16"/>
                <w:szCs w:val="16"/>
                <w:lang w:val="ru-RU"/>
              </w:rPr>
            </w:pPr>
            <w:r w:rsidRPr="00495A3D">
              <w:rPr>
                <w:i/>
                <w:sz w:val="16"/>
                <w:szCs w:val="16"/>
                <w:lang w:val="ru-RU"/>
              </w:rPr>
              <w:t xml:space="preserve">Исходные базовые показатели ПиБ на 2014–2015 гг.: </w:t>
            </w:r>
          </w:p>
          <w:p w:rsidR="00495A3D" w:rsidRPr="005F4735" w:rsidRDefault="00495A3D" w:rsidP="00495A3D">
            <w:pPr>
              <w:rPr>
                <w:i/>
                <w:sz w:val="16"/>
                <w:szCs w:val="16"/>
              </w:rPr>
            </w:pPr>
            <w:r w:rsidRPr="005F4735">
              <w:rPr>
                <w:sz w:val="16"/>
                <w:szCs w:val="16"/>
              </w:rPr>
              <w:t>60 (на 01.03.2013)</w:t>
            </w:r>
          </w:p>
          <w:p w:rsidR="00495A3D" w:rsidRPr="005F4735" w:rsidRDefault="00495A3D" w:rsidP="00495A3D">
            <w:pPr>
              <w:rPr>
                <w:i/>
                <w:sz w:val="16"/>
                <w:szCs w:val="16"/>
              </w:rPr>
            </w:pPr>
          </w:p>
        </w:tc>
        <w:tc>
          <w:tcPr>
            <w:tcW w:w="1559" w:type="dxa"/>
            <w:gridSpan w:val="2"/>
            <w:tcBorders>
              <w:top w:val="nil"/>
              <w:bottom w:val="single" w:sz="4" w:space="0" w:color="auto"/>
            </w:tcBorders>
            <w:shd w:val="clear" w:color="auto" w:fill="auto"/>
            <w:tcMar>
              <w:top w:w="110" w:type="dxa"/>
            </w:tcMar>
          </w:tcPr>
          <w:p w:rsidR="00495A3D" w:rsidRPr="005F4735" w:rsidRDefault="00495A3D" w:rsidP="00495A3D">
            <w:pPr>
              <w:rPr>
                <w:sz w:val="16"/>
                <w:szCs w:val="16"/>
              </w:rPr>
            </w:pPr>
            <w:r w:rsidRPr="005F4735">
              <w:rPr>
                <w:sz w:val="16"/>
                <w:szCs w:val="16"/>
              </w:rPr>
              <w:t>70</w:t>
            </w:r>
          </w:p>
        </w:tc>
        <w:tc>
          <w:tcPr>
            <w:tcW w:w="2551" w:type="dxa"/>
            <w:gridSpan w:val="5"/>
            <w:tcBorders>
              <w:top w:val="nil"/>
              <w:bottom w:val="single" w:sz="4" w:space="0" w:color="auto"/>
            </w:tcBorders>
            <w:shd w:val="clear" w:color="auto" w:fill="FFFFFF"/>
            <w:tcMar>
              <w:top w:w="110" w:type="dxa"/>
            </w:tcMar>
          </w:tcPr>
          <w:p w:rsidR="00495A3D" w:rsidRPr="00495A3D" w:rsidRDefault="00495A3D" w:rsidP="00495A3D">
            <w:pPr>
              <w:rPr>
                <w:sz w:val="16"/>
                <w:szCs w:val="16"/>
                <w:lang w:val="ru-RU"/>
              </w:rPr>
            </w:pPr>
            <w:r w:rsidRPr="00495A3D">
              <w:rPr>
                <w:sz w:val="16"/>
                <w:szCs w:val="16"/>
                <w:lang w:val="ru-RU"/>
              </w:rPr>
              <w:t>2014</w:t>
            </w:r>
            <w:r w:rsidRPr="005F4735">
              <w:rPr>
                <w:sz w:val="16"/>
                <w:szCs w:val="16"/>
              </w:rPr>
              <w:t> </w:t>
            </w:r>
            <w:r w:rsidRPr="00495A3D">
              <w:rPr>
                <w:sz w:val="16"/>
                <w:szCs w:val="16"/>
                <w:lang w:val="ru-RU"/>
              </w:rPr>
              <w:t>г.: 46 стран</w:t>
            </w:r>
          </w:p>
          <w:p w:rsidR="00495A3D" w:rsidRPr="00495A3D" w:rsidRDefault="00495A3D" w:rsidP="00495A3D">
            <w:pPr>
              <w:rPr>
                <w:sz w:val="16"/>
                <w:szCs w:val="16"/>
                <w:lang w:val="ru-RU"/>
              </w:rPr>
            </w:pPr>
            <w:r w:rsidRPr="00495A3D">
              <w:rPr>
                <w:sz w:val="16"/>
                <w:szCs w:val="16"/>
                <w:lang w:val="ru-RU"/>
              </w:rPr>
              <w:t>БДТП-ИС: 37 стран</w:t>
            </w:r>
          </w:p>
          <w:p w:rsidR="00495A3D" w:rsidRPr="00495A3D" w:rsidRDefault="00495A3D" w:rsidP="00495A3D">
            <w:pPr>
              <w:rPr>
                <w:sz w:val="16"/>
                <w:szCs w:val="16"/>
                <w:lang w:val="ru-RU"/>
              </w:rPr>
            </w:pPr>
            <w:r w:rsidRPr="00495A3D">
              <w:rPr>
                <w:sz w:val="16"/>
                <w:szCs w:val="16"/>
                <w:lang w:val="ru-RU"/>
              </w:rPr>
              <w:t xml:space="preserve">РК-ИС: 9 стран </w:t>
            </w:r>
          </w:p>
          <w:p w:rsidR="00495A3D" w:rsidRPr="00495A3D" w:rsidRDefault="00495A3D" w:rsidP="00495A3D">
            <w:pPr>
              <w:rPr>
                <w:sz w:val="16"/>
                <w:szCs w:val="16"/>
                <w:lang w:val="ru-RU"/>
              </w:rPr>
            </w:pPr>
            <w:r w:rsidRPr="00495A3D">
              <w:rPr>
                <w:sz w:val="16"/>
                <w:szCs w:val="16"/>
                <w:lang w:val="ru-RU"/>
              </w:rPr>
              <w:t>(-10%</w:t>
            </w:r>
            <w:r w:rsidRPr="005F4735">
              <w:rPr>
                <w:sz w:val="16"/>
                <w:szCs w:val="16"/>
              </w:rPr>
              <w:t> </w:t>
            </w:r>
            <w:r w:rsidRPr="00495A3D">
              <w:rPr>
                <w:sz w:val="16"/>
                <w:szCs w:val="16"/>
                <w:lang w:val="ru-RU"/>
              </w:rPr>
              <w:t>по сравнению с 2013</w:t>
            </w:r>
            <w:r w:rsidRPr="005F4735">
              <w:rPr>
                <w:sz w:val="16"/>
                <w:szCs w:val="16"/>
              </w:rPr>
              <w:t> </w:t>
            </w:r>
            <w:r w:rsidRPr="00495A3D">
              <w:rPr>
                <w:sz w:val="16"/>
                <w:szCs w:val="16"/>
                <w:lang w:val="ru-RU"/>
              </w:rPr>
              <w:t>г.)</w:t>
            </w:r>
          </w:p>
          <w:p w:rsidR="00495A3D" w:rsidRPr="00495A3D" w:rsidRDefault="00495A3D" w:rsidP="00495A3D">
            <w:pPr>
              <w:rPr>
                <w:sz w:val="16"/>
                <w:szCs w:val="16"/>
                <w:lang w:val="ru-RU"/>
              </w:rPr>
            </w:pPr>
          </w:p>
          <w:p w:rsidR="00495A3D" w:rsidRPr="00495A3D" w:rsidRDefault="00495A3D" w:rsidP="00495A3D">
            <w:pPr>
              <w:rPr>
                <w:sz w:val="16"/>
                <w:szCs w:val="16"/>
                <w:lang w:val="ru-RU"/>
              </w:rPr>
            </w:pPr>
            <w:r w:rsidRPr="00495A3D">
              <w:rPr>
                <w:sz w:val="16"/>
                <w:szCs w:val="16"/>
                <w:lang w:val="ru-RU"/>
              </w:rPr>
              <w:t>2015</w:t>
            </w:r>
            <w:r w:rsidRPr="005F4735">
              <w:rPr>
                <w:sz w:val="16"/>
                <w:szCs w:val="16"/>
              </w:rPr>
              <w:t> </w:t>
            </w:r>
            <w:r w:rsidRPr="00495A3D">
              <w:rPr>
                <w:sz w:val="16"/>
                <w:szCs w:val="16"/>
                <w:lang w:val="ru-RU"/>
              </w:rPr>
              <w:t>г.: 33 стран</w:t>
            </w:r>
          </w:p>
          <w:p w:rsidR="00495A3D" w:rsidRPr="00495A3D" w:rsidRDefault="00495A3D" w:rsidP="00495A3D">
            <w:pPr>
              <w:rPr>
                <w:sz w:val="16"/>
                <w:szCs w:val="16"/>
                <w:lang w:val="ru-RU"/>
              </w:rPr>
            </w:pPr>
            <w:r w:rsidRPr="00495A3D">
              <w:rPr>
                <w:sz w:val="16"/>
                <w:szCs w:val="16"/>
                <w:lang w:val="ru-RU"/>
              </w:rPr>
              <w:t>БДТП-ИС: 29 стран</w:t>
            </w:r>
          </w:p>
          <w:p w:rsidR="00495A3D" w:rsidRPr="00495A3D" w:rsidRDefault="00495A3D" w:rsidP="00495A3D">
            <w:pPr>
              <w:rPr>
                <w:sz w:val="16"/>
                <w:szCs w:val="16"/>
                <w:lang w:val="ru-RU"/>
              </w:rPr>
            </w:pPr>
            <w:r w:rsidRPr="00495A3D">
              <w:rPr>
                <w:sz w:val="16"/>
                <w:szCs w:val="16"/>
                <w:lang w:val="ru-RU"/>
              </w:rPr>
              <w:t>РК-ИС: 4 страны</w:t>
            </w:r>
          </w:p>
          <w:p w:rsidR="00495A3D" w:rsidRPr="005F4735" w:rsidRDefault="00495A3D" w:rsidP="00495A3D">
            <w:pPr>
              <w:rPr>
                <w:sz w:val="16"/>
                <w:szCs w:val="16"/>
              </w:rPr>
            </w:pPr>
            <w:r w:rsidRPr="005F4735">
              <w:rPr>
                <w:sz w:val="16"/>
                <w:szCs w:val="16"/>
              </w:rPr>
              <w:t>(-28% по сравнению с 2014 г.)</w:t>
            </w:r>
          </w:p>
        </w:tc>
        <w:tc>
          <w:tcPr>
            <w:tcW w:w="1449" w:type="dxa"/>
            <w:gridSpan w:val="2"/>
            <w:tcBorders>
              <w:top w:val="nil"/>
              <w:bottom w:val="single" w:sz="4" w:space="0" w:color="auto"/>
              <w:right w:val="single" w:sz="4" w:space="0" w:color="auto"/>
            </w:tcBorders>
            <w:shd w:val="clear" w:color="auto" w:fill="auto"/>
            <w:tcMar>
              <w:top w:w="110" w:type="dxa"/>
            </w:tcMar>
          </w:tcPr>
          <w:p w:rsidR="00495A3D" w:rsidRPr="005F4735" w:rsidRDefault="00495A3D" w:rsidP="00495A3D">
            <w:pPr>
              <w:keepNext/>
              <w:keepLines/>
              <w:jc w:val="center"/>
              <w:rPr>
                <w:b/>
                <w:bCs/>
                <w:sz w:val="16"/>
                <w:szCs w:val="16"/>
              </w:rPr>
            </w:pPr>
            <w:r w:rsidRPr="005F4735">
              <w:rPr>
                <w:b/>
                <w:color w:val="FF0000"/>
                <w:sz w:val="16"/>
                <w:szCs w:val="16"/>
              </w:rPr>
              <w:t>Не выполнено</w:t>
            </w:r>
          </w:p>
        </w:tc>
      </w:tr>
      <w:tr w:rsidR="00495A3D" w:rsidRPr="005C6ABD" w:rsidTr="00495A3D">
        <w:tc>
          <w:tcPr>
            <w:tcW w:w="9669" w:type="dxa"/>
            <w:gridSpan w:val="12"/>
            <w:tcBorders>
              <w:top w:val="single" w:sz="4" w:space="0" w:color="auto"/>
              <w:left w:val="single" w:sz="4" w:space="0" w:color="auto"/>
              <w:bottom w:val="single" w:sz="4" w:space="0" w:color="auto"/>
              <w:right w:val="single" w:sz="4" w:space="0" w:color="auto"/>
            </w:tcBorders>
            <w:shd w:val="clear" w:color="auto" w:fill="C6D9F1" w:themeFill="text2" w:themeFillTint="33"/>
          </w:tcPr>
          <w:p w:rsidR="00495A3D" w:rsidRPr="00495A3D" w:rsidRDefault="00495A3D" w:rsidP="003A5C2E">
            <w:pPr>
              <w:keepNext/>
              <w:keepLines/>
              <w:tabs>
                <w:tab w:val="left" w:pos="2302"/>
              </w:tabs>
              <w:spacing w:before="120" w:after="120"/>
              <w:ind w:left="2302" w:hanging="2302"/>
              <w:rPr>
                <w:b/>
                <w:bCs/>
                <w:sz w:val="16"/>
                <w:szCs w:val="16"/>
                <w:lang w:val="ru-RU"/>
              </w:rPr>
            </w:pPr>
            <w:r w:rsidRPr="00495A3D">
              <w:rPr>
                <w:b/>
                <w:sz w:val="16"/>
                <w:szCs w:val="16"/>
                <w:lang w:val="ru-RU"/>
              </w:rPr>
              <w:t xml:space="preserve">Ожидаемый результат: </w:t>
            </w:r>
            <w:r w:rsidRPr="00495A3D">
              <w:rPr>
                <w:b/>
                <w:sz w:val="16"/>
                <w:szCs w:val="16"/>
                <w:lang w:val="ru-RU"/>
              </w:rPr>
              <w:tab/>
            </w:r>
            <w:r w:rsidRPr="005F4735">
              <w:rPr>
                <w:sz w:val="16"/>
                <w:szCs w:val="16"/>
              </w:rPr>
              <w:t>IV</w:t>
            </w:r>
            <w:r w:rsidRPr="00495A3D">
              <w:rPr>
                <w:sz w:val="16"/>
                <w:szCs w:val="16"/>
                <w:lang w:val="ru-RU"/>
              </w:rPr>
              <w:t>.4 Укрепленная информационно-техническая инфрастру</w:t>
            </w:r>
            <w:r w:rsidR="003A5C2E">
              <w:rPr>
                <w:sz w:val="16"/>
                <w:szCs w:val="16"/>
                <w:lang w:val="ru-RU"/>
              </w:rPr>
              <w:t xml:space="preserve">ктура для ведомств ИС и других </w:t>
            </w:r>
            <w:r w:rsidRPr="00495A3D">
              <w:rPr>
                <w:sz w:val="16"/>
                <w:szCs w:val="16"/>
                <w:lang w:val="ru-RU"/>
              </w:rPr>
              <w:t xml:space="preserve">учреждений ИС, позволяющая им улучшить обслуживание своих </w:t>
            </w:r>
            <w:r w:rsidR="003A5C2E">
              <w:rPr>
                <w:sz w:val="16"/>
                <w:szCs w:val="16"/>
                <w:lang w:val="ru-RU"/>
              </w:rPr>
              <w:t xml:space="preserve">клиентов (дешевле, быстрее, с </w:t>
            </w:r>
            <w:r w:rsidRPr="00495A3D">
              <w:rPr>
                <w:sz w:val="16"/>
                <w:szCs w:val="16"/>
                <w:lang w:val="ru-RU"/>
              </w:rPr>
              <w:t>более высоким качеством)</w:t>
            </w:r>
          </w:p>
        </w:tc>
      </w:tr>
      <w:tr w:rsidR="00495A3D" w:rsidRPr="005F4735" w:rsidTr="00495A3D">
        <w:trPr>
          <w:trHeight w:val="291"/>
        </w:trPr>
        <w:tc>
          <w:tcPr>
            <w:tcW w:w="1867" w:type="dxa"/>
            <w:tcBorders>
              <w:top w:val="single" w:sz="4" w:space="0" w:color="auto"/>
              <w:left w:val="single" w:sz="4" w:space="0" w:color="auto"/>
              <w:bottom w:val="nil"/>
              <w:right w:val="nil"/>
            </w:tcBorders>
            <w:shd w:val="clear" w:color="auto" w:fill="FFFFFF"/>
            <w:vAlign w:val="center"/>
          </w:tcPr>
          <w:p w:rsidR="00495A3D" w:rsidRPr="005F4735" w:rsidRDefault="00495A3D" w:rsidP="00495A3D">
            <w:pPr>
              <w:rPr>
                <w:sz w:val="16"/>
                <w:szCs w:val="16"/>
              </w:rPr>
            </w:pPr>
            <w:r w:rsidRPr="005F4735">
              <w:rPr>
                <w:b/>
                <w:sz w:val="16"/>
                <w:szCs w:val="16"/>
              </w:rPr>
              <w:t>Показатели результативности</w:t>
            </w:r>
          </w:p>
        </w:tc>
        <w:tc>
          <w:tcPr>
            <w:tcW w:w="2005" w:type="dxa"/>
            <w:tcBorders>
              <w:top w:val="single" w:sz="4" w:space="0" w:color="auto"/>
              <w:left w:val="nil"/>
              <w:bottom w:val="nil"/>
              <w:right w:val="nil"/>
            </w:tcBorders>
            <w:shd w:val="clear" w:color="auto" w:fill="auto"/>
            <w:vAlign w:val="center"/>
          </w:tcPr>
          <w:p w:rsidR="00495A3D" w:rsidRPr="005F4735" w:rsidRDefault="00495A3D" w:rsidP="00495A3D">
            <w:pPr>
              <w:rPr>
                <w:i/>
                <w:sz w:val="16"/>
                <w:szCs w:val="16"/>
              </w:rPr>
            </w:pPr>
            <w:r w:rsidRPr="005F4735">
              <w:rPr>
                <w:b/>
                <w:sz w:val="16"/>
                <w:szCs w:val="16"/>
              </w:rPr>
              <w:t>Базовые показатели</w:t>
            </w:r>
          </w:p>
        </w:tc>
        <w:tc>
          <w:tcPr>
            <w:tcW w:w="1797" w:type="dxa"/>
            <w:gridSpan w:val="3"/>
            <w:tcBorders>
              <w:top w:val="single" w:sz="4" w:space="0" w:color="auto"/>
              <w:left w:val="nil"/>
              <w:bottom w:val="nil"/>
              <w:right w:val="nil"/>
            </w:tcBorders>
            <w:shd w:val="clear" w:color="auto" w:fill="auto"/>
            <w:tcMar>
              <w:top w:w="110" w:type="dxa"/>
            </w:tcMar>
            <w:vAlign w:val="center"/>
          </w:tcPr>
          <w:p w:rsidR="00495A3D" w:rsidRPr="005F4735" w:rsidRDefault="00495A3D" w:rsidP="00495A3D">
            <w:pPr>
              <w:rPr>
                <w:sz w:val="16"/>
                <w:szCs w:val="16"/>
              </w:rPr>
            </w:pPr>
            <w:r w:rsidRPr="005F4735">
              <w:rPr>
                <w:b/>
                <w:sz w:val="16"/>
                <w:szCs w:val="16"/>
              </w:rPr>
              <w:t>Цели</w:t>
            </w:r>
          </w:p>
        </w:tc>
        <w:tc>
          <w:tcPr>
            <w:tcW w:w="2551" w:type="dxa"/>
            <w:gridSpan w:val="5"/>
            <w:tcBorders>
              <w:top w:val="single" w:sz="4" w:space="0" w:color="auto"/>
              <w:left w:val="nil"/>
              <w:bottom w:val="nil"/>
              <w:right w:val="nil"/>
            </w:tcBorders>
            <w:shd w:val="clear" w:color="auto" w:fill="FFFFFF"/>
            <w:tcMar>
              <w:top w:w="110" w:type="dxa"/>
            </w:tcMar>
            <w:vAlign w:val="center"/>
          </w:tcPr>
          <w:p w:rsidR="00495A3D" w:rsidRPr="005F4735" w:rsidRDefault="00495A3D" w:rsidP="00495A3D">
            <w:pPr>
              <w:rPr>
                <w:sz w:val="16"/>
                <w:szCs w:val="16"/>
              </w:rPr>
            </w:pPr>
            <w:r w:rsidRPr="005F4735">
              <w:rPr>
                <w:b/>
                <w:sz w:val="16"/>
                <w:szCs w:val="16"/>
              </w:rPr>
              <w:t>Данные о результативности</w:t>
            </w:r>
          </w:p>
        </w:tc>
        <w:tc>
          <w:tcPr>
            <w:tcW w:w="1449" w:type="dxa"/>
            <w:gridSpan w:val="2"/>
            <w:tcBorders>
              <w:top w:val="single" w:sz="4" w:space="0" w:color="auto"/>
              <w:left w:val="nil"/>
              <w:bottom w:val="nil"/>
              <w:right w:val="single" w:sz="4" w:space="0" w:color="auto"/>
            </w:tcBorders>
            <w:shd w:val="clear" w:color="auto" w:fill="auto"/>
            <w:tcMar>
              <w:top w:w="110" w:type="dxa"/>
            </w:tcMar>
            <w:vAlign w:val="center"/>
          </w:tcPr>
          <w:p w:rsidR="00495A3D" w:rsidRPr="005F4735" w:rsidRDefault="00495A3D" w:rsidP="00495A3D">
            <w:pPr>
              <w:keepNext/>
              <w:keepLines/>
              <w:jc w:val="center"/>
              <w:rPr>
                <w:b/>
                <w:bCs/>
                <w:sz w:val="16"/>
                <w:szCs w:val="16"/>
              </w:rPr>
            </w:pPr>
            <w:r w:rsidRPr="005F4735">
              <w:rPr>
                <w:b/>
                <w:sz w:val="16"/>
                <w:szCs w:val="16"/>
              </w:rPr>
              <w:t>CC</w:t>
            </w:r>
          </w:p>
        </w:tc>
      </w:tr>
      <w:tr w:rsidR="00495A3D" w:rsidRPr="005F4735" w:rsidTr="00495A3D">
        <w:tc>
          <w:tcPr>
            <w:tcW w:w="1867" w:type="dxa"/>
            <w:tcBorders>
              <w:top w:val="nil"/>
              <w:left w:val="single" w:sz="4" w:space="0" w:color="auto"/>
              <w:bottom w:val="single" w:sz="4" w:space="0" w:color="auto"/>
              <w:right w:val="nil"/>
            </w:tcBorders>
            <w:shd w:val="clear" w:color="auto" w:fill="FFFFFF"/>
          </w:tcPr>
          <w:p w:rsidR="00495A3D" w:rsidRPr="00495A3D" w:rsidRDefault="00495A3D" w:rsidP="00495A3D">
            <w:pPr>
              <w:rPr>
                <w:sz w:val="16"/>
                <w:szCs w:val="16"/>
                <w:lang w:val="ru-RU"/>
              </w:rPr>
            </w:pPr>
            <w:r w:rsidRPr="00495A3D">
              <w:rPr>
                <w:sz w:val="16"/>
                <w:szCs w:val="16"/>
                <w:lang w:val="ru-RU"/>
              </w:rPr>
              <w:t>Средний уровень услуг ведомств ИС, получивших помощь (оценка от 1 до 5)</w:t>
            </w:r>
          </w:p>
        </w:tc>
        <w:tc>
          <w:tcPr>
            <w:tcW w:w="2005" w:type="dxa"/>
            <w:tcBorders>
              <w:top w:val="nil"/>
              <w:left w:val="nil"/>
              <w:bottom w:val="single" w:sz="4" w:space="0" w:color="auto"/>
              <w:right w:val="nil"/>
            </w:tcBorders>
            <w:shd w:val="clear" w:color="auto" w:fill="auto"/>
          </w:tcPr>
          <w:p w:rsidR="00495A3D" w:rsidRPr="00495A3D" w:rsidRDefault="00495A3D" w:rsidP="00495A3D">
            <w:pPr>
              <w:rPr>
                <w:sz w:val="16"/>
                <w:szCs w:val="16"/>
                <w:lang w:val="ru-RU"/>
              </w:rPr>
            </w:pPr>
            <w:r w:rsidRPr="00495A3D">
              <w:rPr>
                <w:i/>
                <w:sz w:val="16"/>
                <w:szCs w:val="16"/>
                <w:lang w:val="ru-RU"/>
              </w:rPr>
              <w:t>Обновленные базовые показатели, конец 2013</w:t>
            </w:r>
            <w:r w:rsidRPr="005F4735">
              <w:rPr>
                <w:i/>
                <w:sz w:val="16"/>
                <w:szCs w:val="16"/>
              </w:rPr>
              <w:t> </w:t>
            </w:r>
            <w:r w:rsidRPr="00495A3D">
              <w:rPr>
                <w:i/>
                <w:sz w:val="16"/>
                <w:szCs w:val="16"/>
                <w:lang w:val="ru-RU"/>
              </w:rPr>
              <w:t>г.:</w:t>
            </w:r>
            <w:r w:rsidRPr="00495A3D">
              <w:rPr>
                <w:sz w:val="16"/>
                <w:szCs w:val="16"/>
                <w:lang w:val="ru-RU"/>
              </w:rPr>
              <w:t xml:space="preserve">  2,8</w:t>
            </w:r>
          </w:p>
          <w:p w:rsidR="00495A3D" w:rsidRPr="00495A3D" w:rsidRDefault="00495A3D" w:rsidP="00495A3D">
            <w:pPr>
              <w:rPr>
                <w:i/>
                <w:sz w:val="16"/>
                <w:szCs w:val="16"/>
                <w:lang w:val="ru-RU"/>
              </w:rPr>
            </w:pPr>
          </w:p>
          <w:p w:rsidR="00495A3D" w:rsidRPr="00495A3D" w:rsidRDefault="00495A3D" w:rsidP="00495A3D">
            <w:pPr>
              <w:rPr>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будет определено позднее</w:t>
            </w:r>
          </w:p>
        </w:tc>
        <w:tc>
          <w:tcPr>
            <w:tcW w:w="1797" w:type="dxa"/>
            <w:gridSpan w:val="3"/>
            <w:tcBorders>
              <w:top w:val="nil"/>
              <w:left w:val="nil"/>
              <w:bottom w:val="single" w:sz="4" w:space="0" w:color="auto"/>
              <w:right w:val="nil"/>
            </w:tcBorders>
            <w:shd w:val="clear" w:color="auto" w:fill="auto"/>
            <w:tcMar>
              <w:top w:w="110" w:type="dxa"/>
            </w:tcMar>
          </w:tcPr>
          <w:p w:rsidR="00495A3D" w:rsidRPr="00495A3D" w:rsidRDefault="00495A3D" w:rsidP="00495A3D">
            <w:pPr>
              <w:pStyle w:val="Default"/>
              <w:rPr>
                <w:rFonts w:eastAsia="Times New Roman"/>
                <w:color w:val="auto"/>
                <w:sz w:val="16"/>
                <w:szCs w:val="16"/>
                <w:lang w:val="ru-RU"/>
              </w:rPr>
            </w:pPr>
            <w:r w:rsidRPr="00495A3D">
              <w:rPr>
                <w:i/>
                <w:color w:val="auto"/>
                <w:sz w:val="16"/>
                <w:szCs w:val="16"/>
                <w:lang w:val="ru-RU"/>
              </w:rPr>
              <w:t xml:space="preserve">Установленный целевой показатель: </w:t>
            </w:r>
            <w:r w:rsidRPr="00495A3D">
              <w:rPr>
                <w:color w:val="auto"/>
                <w:sz w:val="16"/>
                <w:szCs w:val="16"/>
                <w:lang w:val="ru-RU"/>
              </w:rPr>
              <w:t>3</w:t>
            </w:r>
          </w:p>
          <w:p w:rsidR="00495A3D" w:rsidRPr="00495A3D" w:rsidRDefault="00495A3D" w:rsidP="00495A3D">
            <w:pPr>
              <w:pStyle w:val="Default"/>
              <w:rPr>
                <w:rFonts w:eastAsia="Times New Roman"/>
                <w:color w:val="auto"/>
                <w:sz w:val="16"/>
                <w:szCs w:val="16"/>
                <w:lang w:val="ru-RU"/>
              </w:rPr>
            </w:pPr>
          </w:p>
          <w:p w:rsidR="00495A3D" w:rsidRPr="00495A3D" w:rsidRDefault="00495A3D" w:rsidP="00495A3D">
            <w:pPr>
              <w:rPr>
                <w:sz w:val="16"/>
                <w:szCs w:val="16"/>
                <w:lang w:val="ru-RU"/>
              </w:rPr>
            </w:pPr>
            <w:r w:rsidRPr="00495A3D">
              <w:rPr>
                <w:i/>
                <w:sz w:val="16"/>
                <w:szCs w:val="16"/>
                <w:lang w:val="ru-RU"/>
              </w:rPr>
              <w:t xml:space="preserve">Исходные целевые показатели ПиБ на 2014–2015 гг.: </w:t>
            </w:r>
            <w:r w:rsidRPr="00495A3D">
              <w:rPr>
                <w:sz w:val="16"/>
                <w:szCs w:val="16"/>
                <w:lang w:val="ru-RU"/>
              </w:rPr>
              <w:t>будет определено позднее</w:t>
            </w:r>
          </w:p>
        </w:tc>
        <w:tc>
          <w:tcPr>
            <w:tcW w:w="2551" w:type="dxa"/>
            <w:gridSpan w:val="5"/>
            <w:tcBorders>
              <w:top w:val="nil"/>
              <w:left w:val="nil"/>
              <w:bottom w:val="single" w:sz="4" w:space="0" w:color="auto"/>
              <w:right w:val="nil"/>
            </w:tcBorders>
            <w:shd w:val="clear" w:color="auto" w:fill="FFFFFF"/>
            <w:tcMar>
              <w:top w:w="110" w:type="dxa"/>
            </w:tcMar>
          </w:tcPr>
          <w:p w:rsidR="00495A3D" w:rsidRPr="005F4735" w:rsidRDefault="00495A3D" w:rsidP="00495A3D">
            <w:pPr>
              <w:spacing w:line="276" w:lineRule="auto"/>
              <w:rPr>
                <w:color w:val="000000" w:themeColor="text1"/>
                <w:sz w:val="16"/>
                <w:szCs w:val="16"/>
              </w:rPr>
            </w:pPr>
            <w:r>
              <w:rPr>
                <w:color w:val="000000" w:themeColor="text1"/>
                <w:sz w:val="16"/>
                <w:szCs w:val="16"/>
              </w:rPr>
              <w:t xml:space="preserve">Всего в среднем: </w:t>
            </w:r>
            <w:r w:rsidRPr="005F4735">
              <w:rPr>
                <w:color w:val="000000" w:themeColor="text1"/>
                <w:sz w:val="16"/>
                <w:szCs w:val="16"/>
              </w:rPr>
              <w:t>2,9</w:t>
            </w:r>
          </w:p>
          <w:p w:rsidR="00495A3D" w:rsidRPr="005F4735" w:rsidRDefault="00495A3D" w:rsidP="00495A3D">
            <w:pPr>
              <w:pStyle w:val="ListParagraph"/>
              <w:numPr>
                <w:ilvl w:val="0"/>
                <w:numId w:val="5"/>
              </w:numPr>
              <w:spacing w:line="276" w:lineRule="auto"/>
              <w:rPr>
                <w:color w:val="000000" w:themeColor="text1"/>
                <w:sz w:val="16"/>
                <w:szCs w:val="16"/>
              </w:rPr>
            </w:pPr>
            <w:r>
              <w:rPr>
                <w:color w:val="000000" w:themeColor="text1"/>
                <w:sz w:val="16"/>
                <w:szCs w:val="16"/>
              </w:rPr>
              <w:t xml:space="preserve">Африка: </w:t>
            </w:r>
            <w:r w:rsidRPr="005F4735">
              <w:rPr>
                <w:color w:val="000000" w:themeColor="text1"/>
                <w:sz w:val="16"/>
                <w:szCs w:val="16"/>
              </w:rPr>
              <w:t>2,9</w:t>
            </w:r>
          </w:p>
          <w:p w:rsidR="00495A3D" w:rsidRPr="005F4735" w:rsidRDefault="00495A3D" w:rsidP="00495A3D">
            <w:pPr>
              <w:pStyle w:val="ListParagraph"/>
              <w:numPr>
                <w:ilvl w:val="0"/>
                <w:numId w:val="5"/>
              </w:numPr>
              <w:spacing w:line="276" w:lineRule="auto"/>
              <w:rPr>
                <w:color w:val="000000" w:themeColor="text1"/>
                <w:sz w:val="16"/>
                <w:szCs w:val="16"/>
              </w:rPr>
            </w:pPr>
            <w:r>
              <w:rPr>
                <w:color w:val="000000" w:themeColor="text1"/>
                <w:sz w:val="16"/>
                <w:szCs w:val="16"/>
              </w:rPr>
              <w:t xml:space="preserve">Арабский регион: </w:t>
            </w:r>
            <w:r w:rsidRPr="005F4735">
              <w:rPr>
                <w:color w:val="000000" w:themeColor="text1"/>
                <w:sz w:val="16"/>
                <w:szCs w:val="16"/>
              </w:rPr>
              <w:t>2,8</w:t>
            </w:r>
          </w:p>
          <w:p w:rsidR="00495A3D" w:rsidRPr="005F4735" w:rsidRDefault="00495A3D" w:rsidP="00495A3D">
            <w:pPr>
              <w:pStyle w:val="ListParagraph"/>
              <w:numPr>
                <w:ilvl w:val="0"/>
                <w:numId w:val="5"/>
              </w:numPr>
              <w:spacing w:line="276" w:lineRule="auto"/>
              <w:rPr>
                <w:color w:val="000000" w:themeColor="text1"/>
                <w:sz w:val="16"/>
                <w:szCs w:val="16"/>
              </w:rPr>
            </w:pPr>
            <w:r>
              <w:rPr>
                <w:color w:val="000000" w:themeColor="text1"/>
                <w:sz w:val="16"/>
                <w:szCs w:val="16"/>
              </w:rPr>
              <w:t xml:space="preserve">Азиатско-Тихоокеанский регион: </w:t>
            </w:r>
            <w:r w:rsidRPr="005F4735">
              <w:rPr>
                <w:color w:val="000000" w:themeColor="text1"/>
                <w:sz w:val="16"/>
                <w:szCs w:val="16"/>
              </w:rPr>
              <w:t>2,7</w:t>
            </w:r>
          </w:p>
          <w:p w:rsidR="00495A3D" w:rsidRPr="00495A3D" w:rsidRDefault="00495A3D" w:rsidP="00495A3D">
            <w:pPr>
              <w:pStyle w:val="ListParagraph"/>
              <w:numPr>
                <w:ilvl w:val="0"/>
                <w:numId w:val="5"/>
              </w:numPr>
              <w:spacing w:line="276" w:lineRule="auto"/>
              <w:rPr>
                <w:color w:val="000000" w:themeColor="text1"/>
                <w:sz w:val="16"/>
                <w:szCs w:val="16"/>
                <w:lang w:val="ru-RU"/>
              </w:rPr>
            </w:pPr>
            <w:r w:rsidRPr="00495A3D">
              <w:rPr>
                <w:color w:val="000000" w:themeColor="text1"/>
                <w:sz w:val="16"/>
                <w:szCs w:val="16"/>
                <w:lang w:val="ru-RU"/>
              </w:rPr>
              <w:t>Латинская Америка и страны Карибского бассейна: 3</w:t>
            </w:r>
          </w:p>
          <w:p w:rsidR="00495A3D" w:rsidRPr="00495A3D" w:rsidRDefault="00495A3D" w:rsidP="00495A3D">
            <w:pPr>
              <w:rPr>
                <w:sz w:val="16"/>
                <w:szCs w:val="16"/>
                <w:lang w:val="ru-RU"/>
              </w:rPr>
            </w:pPr>
          </w:p>
        </w:tc>
        <w:tc>
          <w:tcPr>
            <w:tcW w:w="1449" w:type="dxa"/>
            <w:gridSpan w:val="2"/>
            <w:tcBorders>
              <w:top w:val="nil"/>
              <w:left w:val="nil"/>
              <w:bottom w:val="single" w:sz="4" w:space="0" w:color="auto"/>
              <w:right w:val="single" w:sz="4" w:space="0" w:color="auto"/>
            </w:tcBorders>
            <w:shd w:val="clear" w:color="auto" w:fill="auto"/>
            <w:tcMar>
              <w:top w:w="110" w:type="dxa"/>
            </w:tcMar>
          </w:tcPr>
          <w:p w:rsidR="00495A3D" w:rsidRPr="005F4735" w:rsidRDefault="00495A3D" w:rsidP="00495A3D">
            <w:pPr>
              <w:keepNext/>
              <w:keepLines/>
              <w:jc w:val="center"/>
              <w:rPr>
                <w:rFonts w:cs="Arial"/>
                <w:b/>
                <w:bCs/>
                <w:sz w:val="16"/>
                <w:szCs w:val="16"/>
              </w:rPr>
            </w:pPr>
            <w:r w:rsidRPr="005F4735">
              <w:rPr>
                <w:b/>
                <w:color w:val="00B050"/>
                <w:sz w:val="16"/>
                <w:szCs w:val="16"/>
              </w:rPr>
              <w:t>Выполнено</w:t>
            </w:r>
          </w:p>
        </w:tc>
      </w:tr>
    </w:tbl>
    <w:p w:rsidR="00495A3D" w:rsidRDefault="00495A3D" w:rsidP="00495A3D">
      <w:pPr>
        <w:keepNext/>
        <w:keepLines/>
      </w:pPr>
    </w:p>
    <w:p w:rsidR="00495A3D" w:rsidRPr="00495A3D" w:rsidRDefault="00495A3D" w:rsidP="00495A3D">
      <w:pPr>
        <w:keepNext/>
        <w:keepLines/>
        <w:rPr>
          <w:rFonts w:cs="Arial"/>
          <w:szCs w:val="20"/>
          <w:lang w:val="ru-RU"/>
        </w:rPr>
      </w:pPr>
      <w:r w:rsidRPr="00495A3D">
        <w:rPr>
          <w:lang w:val="ru-RU"/>
        </w:rPr>
        <w:t>ОТЧЕТ О РИСКАХ В ДВУХЛЕТНИЙ ПЕРИОД</w:t>
      </w:r>
    </w:p>
    <w:p w:rsidR="00495A3D" w:rsidRPr="00495A3D" w:rsidRDefault="00495A3D" w:rsidP="00495A3D">
      <w:pPr>
        <w:keepNext/>
        <w:keepLines/>
        <w:rPr>
          <w:b/>
          <w:szCs w:val="20"/>
          <w:lang w:val="ru-RU"/>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20"/>
        <w:gridCol w:w="2200"/>
        <w:gridCol w:w="2310"/>
        <w:gridCol w:w="2306"/>
      </w:tblGrid>
      <w:tr w:rsidR="00495A3D" w:rsidRPr="007861F3" w:rsidTr="00495A3D">
        <w:trPr>
          <w:trHeight w:val="709"/>
        </w:trPr>
        <w:tc>
          <w:tcPr>
            <w:tcW w:w="2420" w:type="dxa"/>
            <w:tcBorders>
              <w:top w:val="single" w:sz="4" w:space="0" w:color="auto"/>
              <w:bottom w:val="single" w:sz="4" w:space="0" w:color="auto"/>
            </w:tcBorders>
            <w:shd w:val="clear" w:color="auto" w:fill="C6D9F1" w:themeFill="text2" w:themeFillTint="33"/>
            <w:vAlign w:val="center"/>
          </w:tcPr>
          <w:p w:rsidR="00495A3D" w:rsidRPr="00495A3D" w:rsidRDefault="00495A3D" w:rsidP="00495A3D">
            <w:pPr>
              <w:keepNext/>
              <w:keepLines/>
              <w:autoSpaceDE w:val="0"/>
              <w:autoSpaceDN w:val="0"/>
              <w:adjustRightInd w:val="0"/>
              <w:ind w:right="-59"/>
              <w:jc w:val="center"/>
              <w:rPr>
                <w:b/>
                <w:sz w:val="18"/>
                <w:szCs w:val="18"/>
                <w:lang w:val="ru-RU"/>
              </w:rPr>
            </w:pPr>
            <w:r w:rsidRPr="00495A3D">
              <w:rPr>
                <w:b/>
                <w:sz w:val="18"/>
                <w:lang w:val="ru-RU"/>
              </w:rPr>
              <w:t>Риск (риски) того, что результаты программы не будут достигнуты</w:t>
            </w:r>
          </w:p>
        </w:tc>
        <w:tc>
          <w:tcPr>
            <w:tcW w:w="2200" w:type="dxa"/>
            <w:tcBorders>
              <w:top w:val="single" w:sz="4" w:space="0" w:color="auto"/>
              <w:bottom w:val="single" w:sz="4" w:space="0" w:color="auto"/>
            </w:tcBorders>
            <w:shd w:val="clear" w:color="auto" w:fill="C6D9F1" w:themeFill="text2" w:themeFillTint="33"/>
            <w:vAlign w:val="center"/>
          </w:tcPr>
          <w:p w:rsidR="00495A3D" w:rsidRPr="00495A3D" w:rsidRDefault="00495A3D" w:rsidP="00495A3D">
            <w:pPr>
              <w:keepNext/>
              <w:keepLines/>
              <w:autoSpaceDE w:val="0"/>
              <w:autoSpaceDN w:val="0"/>
              <w:adjustRightInd w:val="0"/>
              <w:ind w:right="-59"/>
              <w:jc w:val="center"/>
              <w:rPr>
                <w:b/>
                <w:sz w:val="18"/>
                <w:szCs w:val="18"/>
                <w:lang w:val="ru-RU"/>
              </w:rPr>
            </w:pPr>
            <w:r w:rsidRPr="00495A3D">
              <w:rPr>
                <w:b/>
                <w:sz w:val="18"/>
                <w:lang w:val="ru-RU"/>
              </w:rPr>
              <w:t>Действующие или разрабатываемые планы по снижению рисков</w:t>
            </w:r>
          </w:p>
        </w:tc>
        <w:tc>
          <w:tcPr>
            <w:tcW w:w="2310" w:type="dxa"/>
            <w:tcBorders>
              <w:top w:val="single" w:sz="4" w:space="0" w:color="auto"/>
              <w:bottom w:val="single" w:sz="4" w:space="0" w:color="auto"/>
            </w:tcBorders>
            <w:shd w:val="clear" w:color="auto" w:fill="C6D9F1" w:themeFill="text2" w:themeFillTint="33"/>
          </w:tcPr>
          <w:p w:rsidR="00495A3D" w:rsidRPr="00495A3D" w:rsidRDefault="00495A3D" w:rsidP="00495A3D">
            <w:pPr>
              <w:keepNext/>
              <w:keepLines/>
              <w:jc w:val="center"/>
              <w:rPr>
                <w:b/>
                <w:bCs/>
                <w:sz w:val="18"/>
                <w:szCs w:val="18"/>
                <w:lang w:val="ru-RU"/>
              </w:rPr>
            </w:pPr>
            <w:r w:rsidRPr="00495A3D">
              <w:rPr>
                <w:b/>
                <w:sz w:val="18"/>
                <w:lang w:val="ru-RU"/>
              </w:rPr>
              <w:t>Развитие риска (рисков) и стратегий его (их) снижения в двухлетний период</w:t>
            </w:r>
          </w:p>
        </w:tc>
        <w:tc>
          <w:tcPr>
            <w:tcW w:w="2306" w:type="dxa"/>
            <w:tcBorders>
              <w:top w:val="single" w:sz="4" w:space="0" w:color="auto"/>
              <w:bottom w:val="single" w:sz="4" w:space="0" w:color="auto"/>
            </w:tcBorders>
            <w:shd w:val="clear" w:color="auto" w:fill="C6D9F1" w:themeFill="text2" w:themeFillTint="33"/>
          </w:tcPr>
          <w:p w:rsidR="00495A3D" w:rsidRPr="007861F3" w:rsidRDefault="00495A3D" w:rsidP="00495A3D">
            <w:pPr>
              <w:keepNext/>
              <w:keepLines/>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495A3D" w:rsidRPr="005C6ABD" w:rsidTr="00495A3D">
        <w:trPr>
          <w:trHeight w:val="1456"/>
        </w:trPr>
        <w:tc>
          <w:tcPr>
            <w:tcW w:w="2420" w:type="dxa"/>
            <w:tcBorders>
              <w:top w:val="single" w:sz="4" w:space="0" w:color="auto"/>
            </w:tcBorders>
            <w:shd w:val="clear" w:color="auto" w:fill="auto"/>
            <w:tcMar>
              <w:top w:w="113" w:type="dxa"/>
              <w:bottom w:w="85" w:type="dxa"/>
            </w:tcMar>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Риск политической нестабильности в государствах-членах вместе с высоким риском с точки зрения безопасности и снижения уровня безопасности может привести к отмене мероприятий или задержкам в оказании технической помощи, что негативно скажется на способности в полной мере достичь ожидаемых результатов программы 9.</w:t>
            </w:r>
          </w:p>
        </w:tc>
        <w:tc>
          <w:tcPr>
            <w:tcW w:w="2200" w:type="dxa"/>
            <w:tcBorders>
              <w:top w:val="single" w:sz="4" w:space="0" w:color="auto"/>
            </w:tcBorders>
            <w:shd w:val="clear" w:color="auto" w:fill="auto"/>
            <w:tcMar>
              <w:top w:w="113" w:type="dxa"/>
              <w:bottom w:w="85" w:type="dxa"/>
            </w:tcMar>
          </w:tcPr>
          <w:p w:rsidR="00495A3D" w:rsidRPr="00495A3D" w:rsidRDefault="00495A3D" w:rsidP="00495A3D">
            <w:pPr>
              <w:keepNext/>
              <w:keepLines/>
              <w:autoSpaceDE w:val="0"/>
              <w:autoSpaceDN w:val="0"/>
              <w:adjustRightInd w:val="0"/>
              <w:ind w:right="-59"/>
              <w:rPr>
                <w:sz w:val="16"/>
                <w:lang w:val="ru-RU"/>
              </w:rPr>
            </w:pPr>
            <w:r w:rsidRPr="00495A3D">
              <w:rPr>
                <w:sz w:val="16"/>
                <w:lang w:val="ru-RU"/>
              </w:rPr>
              <w:t>(</w:t>
            </w:r>
            <w:r>
              <w:rPr>
                <w:sz w:val="16"/>
              </w:rPr>
              <w:t>i</w:t>
            </w:r>
            <w:r w:rsidRPr="00495A3D">
              <w:rPr>
                <w:sz w:val="16"/>
                <w:lang w:val="ru-RU"/>
              </w:rPr>
              <w:t>)</w:t>
            </w:r>
            <w:r>
              <w:rPr>
                <w:sz w:val="16"/>
              </w:rPr>
              <w:t> </w:t>
            </w:r>
            <w:r w:rsidRPr="00495A3D">
              <w:rPr>
                <w:sz w:val="16"/>
                <w:lang w:val="ru-RU"/>
              </w:rPr>
              <w:t xml:space="preserve">На надлежащем уровне проведена оценка рисков, с учетом которой составлены страновые планы/годовые планы деятельности </w:t>
            </w:r>
          </w:p>
          <w:p w:rsidR="00495A3D" w:rsidRPr="00495A3D" w:rsidRDefault="00495A3D" w:rsidP="00495A3D">
            <w:pPr>
              <w:keepNext/>
              <w:keepLines/>
              <w:autoSpaceDE w:val="0"/>
              <w:autoSpaceDN w:val="0"/>
              <w:adjustRightInd w:val="0"/>
              <w:ind w:right="-59"/>
              <w:rPr>
                <w:sz w:val="16"/>
                <w:szCs w:val="16"/>
                <w:lang w:val="ru-RU"/>
              </w:rPr>
            </w:pPr>
            <w:r w:rsidRPr="00495A3D">
              <w:rPr>
                <w:sz w:val="16"/>
                <w:szCs w:val="16"/>
                <w:lang w:val="ru-RU"/>
              </w:rPr>
              <w:br/>
            </w:r>
            <w:r w:rsidRPr="00495A3D">
              <w:rPr>
                <w:sz w:val="16"/>
                <w:lang w:val="ru-RU"/>
              </w:rPr>
              <w:t>(</w:t>
            </w:r>
            <w:r>
              <w:rPr>
                <w:sz w:val="16"/>
              </w:rPr>
              <w:t>ii</w:t>
            </w:r>
            <w:r w:rsidRPr="00495A3D">
              <w:rPr>
                <w:sz w:val="16"/>
                <w:lang w:val="ru-RU"/>
              </w:rPr>
              <w:t>) Непрерывный контроль с участием ведомств ИС и заинтересованных сторон с целью разработки альтернативных планов</w:t>
            </w:r>
          </w:p>
        </w:tc>
        <w:tc>
          <w:tcPr>
            <w:tcW w:w="2310" w:type="dxa"/>
            <w:tcBorders>
              <w:top w:val="single" w:sz="4" w:space="0" w:color="auto"/>
            </w:tcBorders>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Этот риск реализовался из-за сложного положения в некоторых странах и постоянных структурных изменений в институтах ИС в некоторых арабских странах.  В ограниченной степени меры по снижению риска были эффективными, так как давали альтернативные варианты получения технической помощи на основе консультаций с соответствующими органами.</w:t>
            </w:r>
          </w:p>
        </w:tc>
        <w:tc>
          <w:tcPr>
            <w:tcW w:w="2306" w:type="dxa"/>
            <w:tcBorders>
              <w:top w:val="single" w:sz="4" w:space="0" w:color="auto"/>
            </w:tcBorders>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 xml:space="preserve">Стратегии снижения риска не смогли в полной мере повлиять на риск, из-за чего некоторые целевые показатели были достигнуты частично или не были достигнуты вообще, а инициативы по оказанию технической помощи пришлось отложить и/или перестроить. </w:t>
            </w:r>
          </w:p>
        </w:tc>
      </w:tr>
      <w:tr w:rsidR="00495A3D" w:rsidRPr="005C6ABD" w:rsidTr="00495A3D">
        <w:trPr>
          <w:trHeight w:val="1508"/>
        </w:trPr>
        <w:tc>
          <w:tcPr>
            <w:tcW w:w="2420" w:type="dxa"/>
            <w:shd w:val="clear" w:color="auto" w:fill="auto"/>
            <w:tcMar>
              <w:top w:w="113" w:type="dxa"/>
              <w:bottom w:w="85" w:type="dxa"/>
            </w:tcMar>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Политические перемены, влекущие за собой изменения в политике в области ИС на уровне страны, правительства или высшего руководства ведомства ИС, в связи с чем может потребоваться пересмотр рабочих планов соответствующих стран, сокращение объемов или перенос сроков предоставления услуг, что негативно скажется на достижении ожидаемых результатов</w:t>
            </w:r>
          </w:p>
        </w:tc>
        <w:tc>
          <w:tcPr>
            <w:tcW w:w="2200" w:type="dxa"/>
            <w:shd w:val="clear" w:color="auto" w:fill="auto"/>
            <w:tcMar>
              <w:top w:w="113" w:type="dxa"/>
              <w:bottom w:w="85" w:type="dxa"/>
            </w:tcMar>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w:t>
            </w:r>
            <w:r>
              <w:rPr>
                <w:sz w:val="16"/>
              </w:rPr>
              <w:t>i</w:t>
            </w:r>
            <w:r w:rsidRPr="00495A3D">
              <w:rPr>
                <w:sz w:val="16"/>
                <w:lang w:val="ru-RU"/>
              </w:rPr>
              <w:t>)</w:t>
            </w:r>
            <w:r>
              <w:rPr>
                <w:sz w:val="16"/>
              </w:rPr>
              <w:t> </w:t>
            </w:r>
            <w:r w:rsidRPr="00495A3D">
              <w:rPr>
                <w:sz w:val="16"/>
                <w:lang w:val="ru-RU"/>
              </w:rPr>
              <w:t>Сохранение гибких возможностей для периодического внесения изменений в рабочие планы для отдельных стран</w:t>
            </w:r>
          </w:p>
          <w:p w:rsidR="00495A3D" w:rsidRPr="00495A3D" w:rsidRDefault="00495A3D" w:rsidP="00495A3D">
            <w:pPr>
              <w:keepNext/>
              <w:keepLines/>
              <w:autoSpaceDE w:val="0"/>
              <w:autoSpaceDN w:val="0"/>
              <w:adjustRightInd w:val="0"/>
              <w:ind w:right="-59"/>
              <w:rPr>
                <w:sz w:val="16"/>
                <w:szCs w:val="16"/>
                <w:lang w:val="ru-RU"/>
              </w:rPr>
            </w:pPr>
            <w:r w:rsidRPr="00495A3D">
              <w:rPr>
                <w:sz w:val="16"/>
                <w:szCs w:val="16"/>
                <w:lang w:val="ru-RU"/>
              </w:rPr>
              <w:br/>
            </w:r>
            <w:r w:rsidRPr="00495A3D">
              <w:rPr>
                <w:sz w:val="16"/>
                <w:lang w:val="ru-RU"/>
              </w:rPr>
              <w:t>(</w:t>
            </w:r>
            <w:r>
              <w:rPr>
                <w:sz w:val="16"/>
              </w:rPr>
              <w:t>ii</w:t>
            </w:r>
            <w:r w:rsidRPr="00495A3D">
              <w:rPr>
                <w:sz w:val="16"/>
                <w:lang w:val="ru-RU"/>
              </w:rPr>
              <w:t>) Поощрение поисков консенсуса и содействие этому на основе национальных стратегий и планов работы в области ИС</w:t>
            </w:r>
          </w:p>
        </w:tc>
        <w:tc>
          <w:tcPr>
            <w:tcW w:w="2310" w:type="dxa"/>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Этот риск реализовался в некоторых странах.  Меры по снижению риска были в основном направлены на противодействие негативному воздействию на эту гибкую возможность, а расширение диалога с недавно назначенными должностными лицами способствовало осуществлению необходимой корректировки национальных стратегий ИС и планов работы.</w:t>
            </w:r>
          </w:p>
        </w:tc>
        <w:tc>
          <w:tcPr>
            <w:tcW w:w="2306" w:type="dxa"/>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Действия по снижению риска в основном были направлены на противодействие влиянию на реализацию программы.</w:t>
            </w:r>
          </w:p>
        </w:tc>
      </w:tr>
    </w:tbl>
    <w:p w:rsidR="00495A3D" w:rsidRPr="00495A3D" w:rsidRDefault="00495A3D" w:rsidP="00495A3D">
      <w:pPr>
        <w:rPr>
          <w:szCs w:val="22"/>
          <w:lang w:val="ru-RU"/>
        </w:rPr>
      </w:pPr>
    </w:p>
    <w:p w:rsidR="00495A3D" w:rsidRPr="00495A3D" w:rsidRDefault="00495A3D" w:rsidP="00495A3D">
      <w:pPr>
        <w:keepNext/>
        <w:keepLines/>
        <w:rPr>
          <w:szCs w:val="22"/>
          <w:lang w:val="ru-RU"/>
        </w:rPr>
      </w:pPr>
    </w:p>
    <w:p w:rsidR="00495A3D" w:rsidRPr="00495A3D" w:rsidRDefault="00495A3D" w:rsidP="00495A3D">
      <w:pPr>
        <w:keepNext/>
        <w:keepLines/>
        <w:rPr>
          <w:b/>
          <w:sz w:val="18"/>
          <w:szCs w:val="18"/>
          <w:lang w:val="ru-RU"/>
        </w:rPr>
      </w:pPr>
      <w:r w:rsidRPr="00495A3D">
        <w:rPr>
          <w:lang w:val="ru-RU"/>
        </w:rPr>
        <w:t>ИСПОЛЬЗОВАНИЕ РЕСУРСОВ</w:t>
      </w:r>
      <w:r w:rsidRPr="00495A3D">
        <w:rPr>
          <w:lang w:val="ru-RU"/>
        </w:rPr>
        <w:tab/>
      </w:r>
    </w:p>
    <w:p w:rsidR="00495A3D" w:rsidRPr="00495A3D" w:rsidRDefault="00495A3D" w:rsidP="00495A3D">
      <w:pPr>
        <w:keepNext/>
        <w:keepLines/>
        <w:rPr>
          <w:lang w:val="ru-RU"/>
        </w:rPr>
      </w:pPr>
    </w:p>
    <w:p w:rsidR="00495A3D" w:rsidRPr="00495A3D" w:rsidRDefault="00495A3D" w:rsidP="00495A3D">
      <w:pPr>
        <w:pStyle w:val="NormalWeb"/>
        <w:keepNext/>
        <w:keepLines/>
        <w:spacing w:before="0" w:beforeAutospacing="0" w:after="0" w:afterAutospacing="0"/>
        <w:jc w:val="center"/>
        <w:rPr>
          <w:sz w:val="20"/>
          <w:szCs w:val="20"/>
          <w:lang w:val="ru-RU"/>
        </w:rPr>
      </w:pPr>
      <w:r w:rsidRPr="00495A3D">
        <w:rPr>
          <w:sz w:val="20"/>
          <w:lang w:val="ru-RU"/>
        </w:rPr>
        <w:t xml:space="preserve">Бюджет и фактические расходы (в разбивке по результатам) </w:t>
      </w:r>
    </w:p>
    <w:p w:rsidR="00495A3D" w:rsidRPr="007861F3" w:rsidRDefault="00495A3D" w:rsidP="00495A3D">
      <w:pPr>
        <w:pStyle w:val="NormalWeb"/>
        <w:keepNext/>
        <w:keepLines/>
        <w:spacing w:before="0" w:beforeAutospacing="0" w:after="0" w:afterAutospacing="0"/>
        <w:jc w:val="center"/>
        <w:rPr>
          <w:i/>
          <w:iCs/>
          <w:sz w:val="20"/>
          <w:szCs w:val="20"/>
        </w:rPr>
      </w:pPr>
      <w:r>
        <w:rPr>
          <w:i/>
          <w:sz w:val="20"/>
        </w:rPr>
        <w:t>(в тыс. шв. франков)</w:t>
      </w:r>
    </w:p>
    <w:p w:rsidR="00495A3D" w:rsidRPr="007861F3" w:rsidRDefault="00495A3D" w:rsidP="00495A3D">
      <w:pPr>
        <w:keepNext/>
        <w:keepLines/>
        <w:jc w:val="center"/>
        <w:rPr>
          <w:bCs/>
        </w:rPr>
      </w:pPr>
    </w:p>
    <w:p w:rsidR="00495A3D" w:rsidRPr="007861F3" w:rsidRDefault="00495A3D" w:rsidP="00495A3D">
      <w:pPr>
        <w:jc w:val="center"/>
        <w:rPr>
          <w:bCs/>
        </w:rPr>
      </w:pPr>
      <w:r>
        <w:rPr>
          <w:bCs/>
          <w:noProof/>
        </w:rPr>
        <w:drawing>
          <wp:inline distT="0" distB="0" distL="0" distR="0" wp14:anchorId="5755990C" wp14:editId="09DD5906">
            <wp:extent cx="5940425" cy="4666701"/>
            <wp:effectExtent l="0" t="0" r="3175" b="635"/>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40425" cy="4666701"/>
                    </a:xfrm>
                    <a:prstGeom prst="rect">
                      <a:avLst/>
                    </a:prstGeom>
                    <a:noFill/>
                    <a:ln>
                      <a:noFill/>
                    </a:ln>
                  </pic:spPr>
                </pic:pic>
              </a:graphicData>
            </a:graphic>
          </wp:inline>
        </w:drawing>
      </w:r>
    </w:p>
    <w:p w:rsidR="00495A3D" w:rsidRPr="007861F3" w:rsidRDefault="00495A3D" w:rsidP="00495A3D"/>
    <w:p w:rsidR="00495A3D" w:rsidRPr="007861F3" w:rsidRDefault="00495A3D" w:rsidP="00495A3D">
      <w:pPr>
        <w:pStyle w:val="NormalWeb"/>
        <w:keepNext/>
        <w:keepLines/>
        <w:spacing w:before="0" w:beforeAutospacing="0" w:after="0" w:afterAutospacing="0"/>
        <w:jc w:val="center"/>
        <w:rPr>
          <w:sz w:val="20"/>
          <w:szCs w:val="20"/>
        </w:rPr>
      </w:pPr>
    </w:p>
    <w:p w:rsidR="00495A3D" w:rsidRPr="00495A3D" w:rsidRDefault="00495A3D" w:rsidP="00495A3D">
      <w:pPr>
        <w:pStyle w:val="NormalWeb"/>
        <w:keepNext/>
        <w:keepLines/>
        <w:spacing w:before="0" w:beforeAutospacing="0" w:after="0" w:afterAutospacing="0"/>
        <w:jc w:val="center"/>
        <w:rPr>
          <w:sz w:val="20"/>
          <w:szCs w:val="20"/>
          <w:lang w:val="ru-RU"/>
        </w:rPr>
      </w:pPr>
      <w:r w:rsidRPr="00495A3D">
        <w:rPr>
          <w:sz w:val="20"/>
          <w:lang w:val="ru-RU"/>
        </w:rPr>
        <w:t xml:space="preserve">Бюджет и фактические расходы (по персоналу и не связанные с персоналом) </w:t>
      </w:r>
    </w:p>
    <w:p w:rsidR="00495A3D" w:rsidRPr="007861F3" w:rsidRDefault="00495A3D" w:rsidP="00495A3D">
      <w:pPr>
        <w:pStyle w:val="NormalWeb"/>
        <w:keepNext/>
        <w:keepLines/>
        <w:spacing w:before="0" w:beforeAutospacing="0" w:after="0" w:afterAutospacing="0"/>
        <w:jc w:val="center"/>
        <w:rPr>
          <w:i/>
          <w:iCs/>
          <w:sz w:val="20"/>
          <w:szCs w:val="20"/>
        </w:rPr>
      </w:pPr>
      <w:r>
        <w:rPr>
          <w:i/>
          <w:sz w:val="20"/>
        </w:rPr>
        <w:t>(в тыс. шв. франков)</w:t>
      </w:r>
    </w:p>
    <w:p w:rsidR="00495A3D" w:rsidRPr="007861F3" w:rsidRDefault="00495A3D" w:rsidP="00495A3D">
      <w:pPr>
        <w:keepNext/>
        <w:keepLines/>
        <w:rPr>
          <w:bCs/>
          <w:sz w:val="18"/>
        </w:rPr>
      </w:pPr>
    </w:p>
    <w:p w:rsidR="00495A3D" w:rsidRPr="007861F3" w:rsidRDefault="00495A3D" w:rsidP="00495A3D">
      <w:pPr>
        <w:keepNext/>
        <w:keepLines/>
        <w:widowControl w:val="0"/>
        <w:autoSpaceDE w:val="0"/>
        <w:autoSpaceDN w:val="0"/>
        <w:adjustRightInd w:val="0"/>
        <w:jc w:val="center"/>
      </w:pPr>
      <w:r>
        <w:rPr>
          <w:noProof/>
        </w:rPr>
        <w:drawing>
          <wp:inline distT="0" distB="0" distL="0" distR="0" wp14:anchorId="0BACF1BB" wp14:editId="04C24F68">
            <wp:extent cx="5940425" cy="1265553"/>
            <wp:effectExtent l="0" t="0" r="3175"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0425" cy="1265553"/>
                    </a:xfrm>
                    <a:prstGeom prst="rect">
                      <a:avLst/>
                    </a:prstGeom>
                    <a:noFill/>
                    <a:ln>
                      <a:noFill/>
                    </a:ln>
                  </pic:spPr>
                </pic:pic>
              </a:graphicData>
            </a:graphic>
          </wp:inline>
        </w:drawing>
      </w:r>
    </w:p>
    <w:p w:rsidR="00495A3D" w:rsidRPr="00256E96" w:rsidRDefault="00495A3D" w:rsidP="00495A3D">
      <w:pPr>
        <w:widowControl w:val="0"/>
        <w:autoSpaceDE w:val="0"/>
        <w:autoSpaceDN w:val="0"/>
        <w:adjustRightInd w:val="0"/>
      </w:pPr>
    </w:p>
    <w:p w:rsidR="00495A3D" w:rsidRPr="00256E96" w:rsidRDefault="00495A3D" w:rsidP="00495A3D">
      <w:pPr>
        <w:widowControl w:val="0"/>
        <w:autoSpaceDE w:val="0"/>
        <w:autoSpaceDN w:val="0"/>
        <w:adjustRightInd w:val="0"/>
      </w:pPr>
    </w:p>
    <w:p w:rsidR="00495A3D" w:rsidRPr="00495A3D" w:rsidRDefault="00495A3D" w:rsidP="00495A3D">
      <w:pPr>
        <w:jc w:val="both"/>
        <w:rPr>
          <w:szCs w:val="18"/>
          <w:lang w:val="ru-RU"/>
        </w:rPr>
      </w:pPr>
      <w:r>
        <w:t>A</w:t>
      </w:r>
      <w:r w:rsidRPr="00495A3D">
        <w:rPr>
          <w:lang w:val="ru-RU"/>
        </w:rPr>
        <w:t>.</w:t>
      </w:r>
      <w:r w:rsidRPr="00495A3D">
        <w:rPr>
          <w:lang w:val="ru-RU"/>
        </w:rPr>
        <w:tab/>
      </w:r>
      <w:r w:rsidRPr="00495A3D">
        <w:rPr>
          <w:u w:val="single"/>
          <w:lang w:val="ru-RU"/>
        </w:rPr>
        <w:t xml:space="preserve">Итоговый бюджет на 2014–2015 гг. после перераспределения средств </w:t>
      </w:r>
    </w:p>
    <w:p w:rsidR="00495A3D" w:rsidRPr="00495A3D" w:rsidRDefault="00495A3D" w:rsidP="00495A3D">
      <w:pPr>
        <w:jc w:val="both"/>
        <w:rPr>
          <w:szCs w:val="18"/>
          <w:lang w:val="ru-RU"/>
        </w:rPr>
      </w:pPr>
    </w:p>
    <w:p w:rsidR="00495A3D" w:rsidRPr="00A14C20" w:rsidRDefault="00495A3D" w:rsidP="00BF61DC">
      <w:pPr>
        <w:pStyle w:val="ListParagraph"/>
        <w:numPr>
          <w:ilvl w:val="1"/>
          <w:numId w:val="105"/>
        </w:numPr>
        <w:contextualSpacing/>
        <w:jc w:val="both"/>
        <w:rPr>
          <w:rFonts w:eastAsia="SimSun"/>
          <w:bCs/>
        </w:rPr>
      </w:pPr>
      <w:r w:rsidRPr="00495A3D">
        <w:rPr>
          <w:lang w:val="ru-RU"/>
        </w:rPr>
        <w:t>Перенос ресурсов по позициям нескольких ожидаемых результатов отражает повышение внимания к содействию и координации: (</w:t>
      </w:r>
      <w:r>
        <w:t>i</w:t>
      </w:r>
      <w:r w:rsidRPr="00495A3D">
        <w:rPr>
          <w:lang w:val="ru-RU"/>
        </w:rPr>
        <w:t>)</w:t>
      </w:r>
      <w:r>
        <w:t> </w:t>
      </w:r>
      <w:r w:rsidRPr="00495A3D">
        <w:rPr>
          <w:lang w:val="ru-RU"/>
        </w:rPr>
        <w:t xml:space="preserve">деятельности ВОИС по предоставлению рекомендаций по вопросам законодательства в области патентов, товарных знаков, промышленных образцов и авторского права (ожидаемый результат </w:t>
      </w:r>
      <w:r>
        <w:t>I</w:t>
      </w:r>
      <w:r w:rsidRPr="00495A3D">
        <w:rPr>
          <w:lang w:val="ru-RU"/>
        </w:rPr>
        <w:t>.2. Рекомендации по нормативным вопросам); (</w:t>
      </w:r>
      <w:r>
        <w:t>ii</w:t>
      </w:r>
      <w:r w:rsidRPr="00495A3D">
        <w:rPr>
          <w:lang w:val="ru-RU"/>
        </w:rPr>
        <w:t>)</w:t>
      </w:r>
      <w:r>
        <w:t> </w:t>
      </w:r>
      <w:r w:rsidRPr="00495A3D">
        <w:rPr>
          <w:lang w:val="ru-RU"/>
        </w:rPr>
        <w:t>деятельности ВОИС по обеспечению доступа и использования информации об ИС посредством увеличения числа устойчивых национальных сетей ЦПТИ (ожидаемый результат</w:t>
      </w:r>
      <w:r>
        <w:t> IV</w:t>
      </w:r>
      <w:r w:rsidRPr="00495A3D">
        <w:rPr>
          <w:lang w:val="ru-RU"/>
        </w:rPr>
        <w:t>.2) и (</w:t>
      </w:r>
      <w:r>
        <w:t>iii</w:t>
      </w:r>
      <w:r w:rsidRPr="00495A3D">
        <w:rPr>
          <w:lang w:val="ru-RU"/>
        </w:rPr>
        <w:t>)</w:t>
      </w:r>
      <w:r>
        <w:t> </w:t>
      </w:r>
      <w:r w:rsidRPr="00495A3D">
        <w:rPr>
          <w:lang w:val="ru-RU"/>
        </w:rPr>
        <w:t xml:space="preserve">усилий по содействию ведомствам ИС и другим институтам, связанным с ИС, в создании технической и информационной инфраструктуры (ожидаемый результат </w:t>
      </w:r>
      <w:r>
        <w:t>IV</w:t>
      </w:r>
      <w:r w:rsidRPr="00495A3D">
        <w:rPr>
          <w:lang w:val="ru-RU"/>
        </w:rPr>
        <w:t xml:space="preserve">.4. </w:t>
      </w:r>
      <w:r>
        <w:t>Совершенствование технической инфраструктуры и инфраструктуры знаний).</w:t>
      </w:r>
    </w:p>
    <w:p w:rsidR="00495A3D" w:rsidRPr="00256E96" w:rsidRDefault="00495A3D" w:rsidP="00495A3D">
      <w:pPr>
        <w:jc w:val="both"/>
        <w:rPr>
          <w:szCs w:val="20"/>
        </w:rPr>
      </w:pPr>
    </w:p>
    <w:p w:rsidR="00495A3D" w:rsidRPr="00495A3D" w:rsidRDefault="00495A3D" w:rsidP="00495A3D">
      <w:pPr>
        <w:jc w:val="both"/>
        <w:rPr>
          <w:szCs w:val="20"/>
          <w:u w:val="single"/>
          <w:lang w:val="ru-RU"/>
        </w:rPr>
      </w:pPr>
      <w:r>
        <w:t>B</w:t>
      </w:r>
      <w:r w:rsidRPr="00495A3D">
        <w:rPr>
          <w:lang w:val="ru-RU"/>
        </w:rPr>
        <w:t>.</w:t>
      </w:r>
      <w:r w:rsidRPr="00495A3D">
        <w:rPr>
          <w:lang w:val="ru-RU"/>
        </w:rPr>
        <w:tab/>
      </w:r>
      <w:r w:rsidRPr="00495A3D">
        <w:rPr>
          <w:u w:val="single"/>
          <w:lang w:val="ru-RU"/>
        </w:rPr>
        <w:t xml:space="preserve">Освоение бюджетных средств в 2014–2015 гг. </w:t>
      </w:r>
    </w:p>
    <w:p w:rsidR="00495A3D" w:rsidRPr="00495A3D" w:rsidRDefault="00495A3D" w:rsidP="00495A3D">
      <w:pPr>
        <w:jc w:val="both"/>
        <w:rPr>
          <w:szCs w:val="20"/>
          <w:u w:val="single"/>
          <w:lang w:val="ru-RU"/>
        </w:rPr>
      </w:pPr>
    </w:p>
    <w:p w:rsidR="00D944AE" w:rsidRPr="00495A3D" w:rsidRDefault="00495A3D" w:rsidP="00BF61DC">
      <w:pPr>
        <w:pStyle w:val="ListParagraph"/>
        <w:numPr>
          <w:ilvl w:val="1"/>
          <w:numId w:val="105"/>
        </w:numPr>
        <w:tabs>
          <w:tab w:val="left" w:pos="709"/>
        </w:tabs>
        <w:contextualSpacing/>
        <w:jc w:val="both"/>
        <w:rPr>
          <w:rFonts w:eastAsia="SimSun"/>
          <w:bCs/>
          <w:lang w:val="ru-RU" w:eastAsia="zh-CN"/>
        </w:rPr>
      </w:pPr>
      <w:r w:rsidRPr="00495A3D">
        <w:rPr>
          <w:lang w:val="ru-RU"/>
        </w:rPr>
        <w:t>Более низкий, чем ожидалось, уровень освоения ресурсов, не связанных с персоналом, в основном был обусловлен отменой или переносом на более поздний срок определенных запланированных мероприятий/видов деятельности по запросу некоторых государств-членов или в рамках обеспечения соответствия стандартам безопасности ООН.  Угрозы здоровью, возникшие из-за распространения вируса Эбола, и связанные с ними ограничения на поездки также стали причиной отмены некоторых запланированных мероприятий. Кроме того, снижение числа поездок и соответствующих расходов было обусловлено проведением ряда мероприятий параллельно или подряд.</w:t>
      </w:r>
      <w:r w:rsidR="00D944AE" w:rsidRPr="00495A3D">
        <w:rPr>
          <w:rFonts w:eastAsia="SimSun"/>
          <w:bCs/>
          <w:lang w:val="ru-RU" w:eastAsia="zh-CN"/>
        </w:rPr>
        <w:t xml:space="preserve"> </w:t>
      </w:r>
    </w:p>
    <w:p w:rsidR="008A4774" w:rsidRPr="00495A3D" w:rsidRDefault="008A4774">
      <w:pPr>
        <w:rPr>
          <w:rFonts w:cs="Arial"/>
          <w:szCs w:val="20"/>
          <w:lang w:val="ru-RU"/>
        </w:rPr>
      </w:pPr>
    </w:p>
    <w:p w:rsidR="008A4774" w:rsidRPr="00495A3D" w:rsidRDefault="008A4774">
      <w:pPr>
        <w:rPr>
          <w:rFonts w:cs="Arial"/>
          <w:szCs w:val="20"/>
          <w:lang w:val="ru-RU"/>
        </w:rPr>
      </w:pPr>
      <w:r w:rsidRPr="00495A3D">
        <w:rPr>
          <w:rFonts w:cs="Arial"/>
          <w:szCs w:val="20"/>
          <w:lang w:val="ru-RU"/>
        </w:rPr>
        <w:br w:type="page"/>
      </w:r>
    </w:p>
    <w:p w:rsidR="00495A3D" w:rsidRPr="00495A3D" w:rsidRDefault="00495A3D" w:rsidP="00495A3D">
      <w:pPr>
        <w:pStyle w:val="Heading2"/>
        <w:tabs>
          <w:tab w:val="clear" w:pos="567"/>
          <w:tab w:val="left" w:pos="1985"/>
          <w:tab w:val="left" w:pos="2268"/>
        </w:tabs>
        <w:ind w:left="1985" w:hanging="1985"/>
        <w:rPr>
          <w:szCs w:val="20"/>
          <w:lang w:val="ru-RU"/>
        </w:rPr>
      </w:pPr>
      <w:bookmarkStart w:id="82" w:name="_Toc422210492"/>
      <w:bookmarkStart w:id="83" w:name="_Toc455388116"/>
      <w:r w:rsidRPr="00495A3D">
        <w:rPr>
          <w:lang w:val="ru-RU"/>
        </w:rPr>
        <w:t>ПРОГРАММА 10</w:t>
      </w:r>
      <w:r w:rsidRPr="00495A3D">
        <w:rPr>
          <w:lang w:val="ru-RU"/>
        </w:rPr>
        <w:tab/>
        <w:t>СОТРУДНИЧЕСТВО С НЕКОТОРЫМИ СТРАНАМИ ЕВРОПЫ И АЗИИ</w:t>
      </w:r>
      <w:bookmarkEnd w:id="82"/>
      <w:bookmarkEnd w:id="83"/>
    </w:p>
    <w:p w:rsidR="00495A3D" w:rsidRPr="00495A3D" w:rsidRDefault="00495A3D" w:rsidP="00495A3D">
      <w:pPr>
        <w:rPr>
          <w:szCs w:val="20"/>
          <w:lang w:val="ru-RU"/>
        </w:rPr>
      </w:pPr>
    </w:p>
    <w:p w:rsidR="00495A3D" w:rsidRPr="00495A3D" w:rsidRDefault="00495A3D" w:rsidP="00495A3D">
      <w:pPr>
        <w:tabs>
          <w:tab w:val="left" w:pos="1985"/>
        </w:tabs>
        <w:rPr>
          <w:szCs w:val="20"/>
          <w:lang w:val="ru-RU"/>
        </w:rPr>
      </w:pPr>
      <w:r w:rsidRPr="00495A3D">
        <w:rPr>
          <w:b/>
          <w:lang w:val="ru-RU"/>
        </w:rPr>
        <w:t xml:space="preserve">Руководитель программы: </w:t>
      </w:r>
      <w:r w:rsidRPr="00495A3D">
        <w:rPr>
          <w:lang w:val="ru-RU"/>
        </w:rPr>
        <w:tab/>
      </w:r>
      <w:r w:rsidRPr="00495A3D">
        <w:rPr>
          <w:b/>
          <w:lang w:val="ru-RU"/>
        </w:rPr>
        <w:t>Генеральный директор</w:t>
      </w:r>
    </w:p>
    <w:p w:rsidR="00495A3D" w:rsidRPr="00495A3D" w:rsidRDefault="00495A3D" w:rsidP="00495A3D">
      <w:pPr>
        <w:jc w:val="both"/>
        <w:rPr>
          <w:rFonts w:cs="Arial"/>
          <w:szCs w:val="20"/>
          <w:lang w:val="ru-RU"/>
        </w:rPr>
      </w:pPr>
    </w:p>
    <w:p w:rsidR="00495A3D" w:rsidRPr="00495A3D" w:rsidRDefault="00495A3D" w:rsidP="00495A3D">
      <w:pPr>
        <w:jc w:val="both"/>
        <w:rPr>
          <w:rFonts w:cs="Arial"/>
          <w:szCs w:val="20"/>
          <w:lang w:val="ru-RU"/>
        </w:rPr>
      </w:pPr>
    </w:p>
    <w:p w:rsidR="00495A3D" w:rsidRPr="00495A3D" w:rsidRDefault="00495A3D" w:rsidP="00495A3D">
      <w:pPr>
        <w:rPr>
          <w:bCs/>
          <w:szCs w:val="20"/>
          <w:lang w:val="ru-RU"/>
        </w:rPr>
      </w:pPr>
      <w:r w:rsidRPr="00495A3D">
        <w:rPr>
          <w:lang w:val="ru-RU"/>
        </w:rPr>
        <w:t>ОБЗОР ДОСТИЖЕНИЙ ЗА ДВУХЛЕТНИЙ ПЕРИОД 2014–2015 ГГ.</w:t>
      </w:r>
    </w:p>
    <w:p w:rsidR="00495A3D" w:rsidRPr="00495A3D" w:rsidRDefault="00495A3D" w:rsidP="00495A3D">
      <w:pPr>
        <w:rPr>
          <w:bCs/>
          <w:szCs w:val="20"/>
          <w:lang w:val="ru-RU"/>
        </w:rPr>
      </w:pP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В двухлетний период 2014–2015</w:t>
      </w:r>
      <w:r>
        <w:t> </w:t>
      </w:r>
      <w:r w:rsidRPr="00495A3D">
        <w:rPr>
          <w:lang w:val="ru-RU"/>
        </w:rPr>
        <w:t xml:space="preserve">гг. в рамках программы 10 продолжалась разработка и координация во взаимодействии со всеми профильными секторами долгосрочных, ориентированных на результат мероприятий по сотрудничеству со странами с переходной экономикой.  В связи с этим в двухлетний период усилия были направлены на подготовку стратегических долгосрочных планов, способствующих применению системы ИС для поощрения инноваций и творческой деятельности в интересах экономического, социального и культурного развития. </w:t>
      </w: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Приоритетными задачами в 2014–2015</w:t>
      </w:r>
      <w:r>
        <w:t> </w:t>
      </w:r>
      <w:r w:rsidRPr="00495A3D">
        <w:rPr>
          <w:lang w:val="ru-RU"/>
        </w:rPr>
        <w:t xml:space="preserve">гг. оставалось разъяснение важности долгосрочных и комплексных национальных стратегий в области ИС, отвечающих потребностям государств-членов и/или содействие в разработке и реализации таких стратегий.  Шесть стран (Болгария, Словения, Таджикистан, Турция, Туркменистан и Украина) утвердили национальные стратегии в области ИС, и четыре страны (Албания, Грузия, Латвия и Польша) приступили к разработке новой стратегии.  Кроме того, в рамках программы также проводилась экспертиза ранее разработанных стратегий трех стран (Беларуси, Республики Молдовы и Сербии), призванная оценить эффективность реализации уже доработанных стратегий ИС и зафиксировать опыт, накопленный в данной области. </w:t>
      </w: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 xml:space="preserve">В соответствии с планами сотрудничества и национальными стратегиями в области интеллектуальной собственности и по итогам мероприятий по оказанию помощи, проводившихся ВОИС, включая разъяснительные мероприятия, девять стран (Казахстан, Кыргызстан, Латвия, Литва, Черногория, Республика Молдова, Российская Федерация, Таджикистан и Туркменистан) внесли поправки в свое национальное законодательство в области ИС и/или присоединились в договорам, административные функции в отношении которых выполняет ВОИС.  </w:t>
      </w: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В рамках поддержки инициатив по разработке политики в области интеллектуальной собственности для университетов соответствующие проекты и мероприятия были реализованы в Эстонии, Литве, Польше, Российской Федерации, Словакии и Узбекистане.  В 2014</w:t>
      </w:r>
      <w:r>
        <w:t> </w:t>
      </w:r>
      <w:r w:rsidRPr="00495A3D">
        <w:rPr>
          <w:lang w:val="ru-RU"/>
        </w:rPr>
        <w:t>г. при содействии ВОИС собственную политику в области интеллектуальной собственности разработали один университет в Российской Федерации и один университет в Узбекистане.  Кроме того, 1</w:t>
      </w:r>
      <w:r>
        <w:t> </w:t>
      </w:r>
      <w:r w:rsidRPr="00495A3D">
        <w:rPr>
          <w:lang w:val="ru-RU"/>
        </w:rPr>
        <w:t>октября 2014</w:t>
      </w:r>
      <w:r>
        <w:t> </w:t>
      </w:r>
      <w:r w:rsidRPr="00495A3D">
        <w:rPr>
          <w:lang w:val="ru-RU"/>
        </w:rPr>
        <w:t>г. в Польше был принят Закон о высшем образовании, согласно которому все учреждения высшего образования (132 государственных и 302 негосударственных) были обязаны принять до 31 марта 2015</w:t>
      </w:r>
      <w:r>
        <w:t> </w:t>
      </w:r>
      <w:r w:rsidRPr="00495A3D">
        <w:rPr>
          <w:lang w:val="ru-RU"/>
        </w:rPr>
        <w:t>г. актуальную институциональную политику в области ИС. К концу двухлетнего периода 434</w:t>
      </w:r>
      <w:r>
        <w:t> </w:t>
      </w:r>
      <w:r w:rsidRPr="00495A3D">
        <w:rPr>
          <w:lang w:val="ru-RU"/>
        </w:rPr>
        <w:t xml:space="preserve">университета/высших учебных заведения Польши разработали новую политику в области ИС. </w:t>
      </w: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В рамках Программы продолжилось оказание поддержки странам в укреплении их кадровых потенциалов и повышении уровня осведомленности и наращивания базы знаний для эффективного использования ИС в интересах экономического, социального и культурного развития.  В 2014–2015</w:t>
      </w:r>
      <w:r>
        <w:t> </w:t>
      </w:r>
      <w:r w:rsidRPr="00495A3D">
        <w:rPr>
          <w:lang w:val="ru-RU"/>
        </w:rPr>
        <w:t xml:space="preserve">гг. более 6000 специалистов и экспертов, в том числе из национальных ведомств ИС и других государственных учреждений, МСП, университетов и научно-исследовательских организаций, прошли подготовку, приняв участие в целевых программах по ИС, включая программы по управлению ИС и передаче технологий, МСП, правоприменению, авторскому праву, преподаванию тем, связанных с ИС, и услугам ВОИС.  Проведенные по итогам этих мероприятий опросы показали, что участники оценивали их положительно, сообщив в 95,8% случаев об удовлетворенности проведенным мероприятием, а в 82,7% случаев подтвердив повышение уровня своих навыков.  </w:t>
      </w: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В двухлетний период 2014–2015</w:t>
      </w:r>
      <w:r>
        <w:t> </w:t>
      </w:r>
      <w:r w:rsidRPr="00495A3D">
        <w:rPr>
          <w:lang w:val="ru-RU"/>
        </w:rPr>
        <w:t xml:space="preserve">гг. в Хорватии и Российской Федерации были организованы летние школы ВОИС. </w:t>
      </w: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В рассматриваемый двухлетний период более активно предоставлялась поддержка странам с переходной экономикой в разработке собственных учебных планов, связанных с ИС, и создании ежегодных обучающих программ и/или курсов по вопросам ИС для профессионалов в этой области.  В частности, была предоставлена поддержка правительству Румынии в разработке курса по выбору, посвященного правам интеллектуальной собственности (Решение об учебной программе высшей школы), который был утвержден и включен в учебную программу 27 марта 2015</w:t>
      </w:r>
      <w:r>
        <w:t> </w:t>
      </w:r>
      <w:r w:rsidRPr="00495A3D">
        <w:rPr>
          <w:lang w:val="ru-RU"/>
        </w:rPr>
        <w:t xml:space="preserve">г. </w:t>
      </w: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 xml:space="preserve">Сотрудники программы продолжали наращивать усилия для улучшения координации работы по оказанию услуг ВОИС и распространению информации об этих услугах в целях расширения их использования в странах с переходной экономикой и развитых странах.  </w:t>
      </w: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В 2014–2015</w:t>
      </w:r>
      <w:r>
        <w:t> </w:t>
      </w:r>
      <w:r w:rsidRPr="00495A3D">
        <w:rPr>
          <w:lang w:val="ru-RU"/>
        </w:rPr>
        <w:t>гг. примерно 3</w:t>
      </w:r>
      <w:r>
        <w:t> </w:t>
      </w:r>
      <w:r w:rsidRPr="00495A3D">
        <w:rPr>
          <w:lang w:val="ru-RU"/>
        </w:rPr>
        <w:t>000 специалистов из 18 стран (Австралии, Австрии, Бельгии, Финляндии, Франции, Германии, Ирландии, Израиля, Италии, Японии, Люксембурга, Нидерландов, Новой Зеландии, Португалии, Испании, Швеции, Соединенного Королевства и Соединенных Штатов Америки) приняли участие в 36 мобильных семинарах, посвященных услугам и инициативам ВОИС.  Более 90</w:t>
      </w:r>
      <w:r>
        <w:t> </w:t>
      </w:r>
      <w:r w:rsidRPr="00495A3D">
        <w:rPr>
          <w:lang w:val="ru-RU"/>
        </w:rPr>
        <w:t>процентов опрошенных респондентов согласны или совершенно согласны с тем, что семинар был актуален для их профессиональной деятельности, а более 80</w:t>
      </w:r>
      <w:r>
        <w:t> </w:t>
      </w:r>
      <w:r w:rsidRPr="00495A3D">
        <w:rPr>
          <w:lang w:val="ru-RU"/>
        </w:rPr>
        <w:t>процентов опрошенных респондентов согласны или совершенно согласны с тем, что благодаря семинару они с большей вероятностью в будущем будут использовать/рекомендовать использовать услуги в области ИС, предлагаемые ВОИС.  Кроме того, 98</w:t>
      </w:r>
      <w:r>
        <w:t> </w:t>
      </w:r>
      <w:r w:rsidRPr="00495A3D">
        <w:rPr>
          <w:lang w:val="ru-RU"/>
        </w:rPr>
        <w:t xml:space="preserve">процентов респондентов, заполнивших опросники по итогам проведенного мероприятия, были согласны или совершенно согласны с тем, что благодаря семинару они стали лучше понимать услуги ВОИС, а 35 процентов были согласны или совершенно согласны с тем, что в результате участия в этом семинаре их организация стала более активно использовать услуги ВОИС.    </w:t>
      </w:r>
    </w:p>
    <w:p w:rsidR="00495A3D" w:rsidRPr="00495A3D" w:rsidRDefault="00495A3D" w:rsidP="00495A3D">
      <w:pPr>
        <w:pStyle w:val="ListParagraph"/>
        <w:numPr>
          <w:ilvl w:val="0"/>
          <w:numId w:val="76"/>
        </w:numPr>
        <w:tabs>
          <w:tab w:val="left" w:pos="709"/>
        </w:tabs>
        <w:ind w:left="0" w:firstLine="0"/>
        <w:jc w:val="both"/>
        <w:rPr>
          <w:rFonts w:cs="Arial"/>
          <w:lang w:val="ru-RU"/>
        </w:rPr>
      </w:pPr>
      <w:r w:rsidRPr="00495A3D">
        <w:rPr>
          <w:lang w:val="ru-RU"/>
        </w:rPr>
        <w:t>В 2014–2015</w:t>
      </w:r>
      <w:r>
        <w:t> </w:t>
      </w:r>
      <w:r w:rsidRPr="00495A3D">
        <w:rPr>
          <w:lang w:val="ru-RU"/>
        </w:rPr>
        <w:t>гг. дополнительные усилия прилагались для укрепления институциональных связей и содействия развитию схем партнерства с заинтересованными сторонами в странах с переходной экономикой и развитых странах, включая региональные организации, ведомства ИС, НПО и коммерческие ассоциации, представляющие пользователей услуг ВОИС.</w:t>
      </w:r>
      <w:r>
        <w:t> </w:t>
      </w:r>
      <w:r w:rsidRPr="00495A3D">
        <w:rPr>
          <w:lang w:val="ru-RU"/>
        </w:rPr>
        <w:t xml:space="preserve"> В этой связи в рамках программы приветствовались многочисленные посещения партнеров, представляющих заинтересованные страны, и оказывалась помощь в проведении брифингов ВОИС по разным вопросам, представляющим интерес. Был организован ряд предварительных посещений для более точной оценки потребностей и анализа запросов соответствующих стран, а в 2014–2015</w:t>
      </w:r>
      <w:r>
        <w:t> </w:t>
      </w:r>
      <w:r w:rsidRPr="00495A3D">
        <w:rPr>
          <w:lang w:val="ru-RU"/>
        </w:rPr>
        <w:t xml:space="preserve">гг. были согласованы пять новых меморандумов о взаимопонимании (МоВ) с партнерами из Дании, Франции, Германии, Израиля и Испании. </w:t>
      </w:r>
    </w:p>
    <w:p w:rsidR="00495A3D" w:rsidRPr="00495A3D" w:rsidRDefault="00495A3D" w:rsidP="00495A3D">
      <w:pPr>
        <w:pStyle w:val="ListParagraph"/>
        <w:tabs>
          <w:tab w:val="left" w:pos="709"/>
        </w:tabs>
        <w:ind w:left="0"/>
        <w:jc w:val="both"/>
        <w:rPr>
          <w:rFonts w:cs="Arial"/>
          <w:lang w:val="ru-RU"/>
        </w:rPr>
      </w:pPr>
    </w:p>
    <w:p w:rsidR="00495A3D" w:rsidRPr="00495A3D" w:rsidRDefault="00495A3D" w:rsidP="00495A3D">
      <w:pPr>
        <w:pStyle w:val="ListParagraph"/>
        <w:numPr>
          <w:ilvl w:val="0"/>
          <w:numId w:val="76"/>
        </w:numPr>
        <w:tabs>
          <w:tab w:val="left" w:pos="709"/>
        </w:tabs>
        <w:ind w:left="0" w:firstLine="0"/>
        <w:jc w:val="both"/>
        <w:rPr>
          <w:rFonts w:cs="Arial"/>
          <w:lang w:val="ru-RU"/>
        </w:rPr>
      </w:pPr>
      <w:r w:rsidRPr="00495A3D">
        <w:rPr>
          <w:lang w:val="ru-RU"/>
        </w:rPr>
        <w:t>В рамках дальнейшей интеграции в программу проблематики гендерного равенства в двухлетний период продолжилось сотрудничество, установившееся ранее со Всемирной ассоциацией женщин-изобретателей и предпринимателей (</w:t>
      </w:r>
      <w:r>
        <w:t>WWIEA</w:t>
      </w:r>
      <w:r w:rsidRPr="00495A3D">
        <w:rPr>
          <w:lang w:val="ru-RU"/>
        </w:rPr>
        <w:t>). Оно позволило совместно провести в Средней Азии в ноябре 2014 г. эффективную международную учебную программу для женщин «Идеи, изобретения, инновации и интеллектуальная собственность – отборочный проект 2014 г.».  Более того, ВОИС выступила в качестве соорганизатора нескольких международных образовательных программ для женщин из Армении, Азербайджана, Беларуси, Хорватии, Казахстана, Республики Молдова, Российской Федерации, Сербии и Украины.  Задача этих образовательных программ состояла в том, чтобы расширить знания участников о творчестве, инновациях, охране изобретений и управлении ПИС, а также чтобы рассказать о методах обучения, тем самым позволив участникам поделиться полученными знаниями и навыками на национальном уровне.  Кроме того, в марте 2014</w:t>
      </w:r>
      <w:r>
        <w:t> </w:t>
      </w:r>
      <w:r w:rsidRPr="00495A3D">
        <w:rPr>
          <w:lang w:val="ru-RU"/>
        </w:rPr>
        <w:t>г. и 2015</w:t>
      </w:r>
      <w:r>
        <w:t> </w:t>
      </w:r>
      <w:r w:rsidRPr="00495A3D">
        <w:rPr>
          <w:lang w:val="ru-RU"/>
        </w:rPr>
        <w:t>г. в Варшаве (Польша) с успехом прошли седьмая и восьмая международные конференции по вопросам инноваций и творческой деятельности женщин, на которую собрались около 300 участниц из более 20 стран.</w:t>
      </w:r>
    </w:p>
    <w:p w:rsidR="00495A3D" w:rsidRPr="00495A3D" w:rsidRDefault="00495A3D" w:rsidP="00495A3D">
      <w:pPr>
        <w:pStyle w:val="ListParagraph"/>
        <w:tabs>
          <w:tab w:val="left" w:pos="709"/>
        </w:tabs>
        <w:ind w:left="0"/>
        <w:jc w:val="both"/>
        <w:rPr>
          <w:rFonts w:cs="Arial"/>
          <w:lang w:val="ru-RU"/>
        </w:rPr>
      </w:pPr>
    </w:p>
    <w:p w:rsidR="00495A3D" w:rsidRPr="00495A3D" w:rsidRDefault="00495A3D" w:rsidP="00495A3D">
      <w:pPr>
        <w:pStyle w:val="ListParagraph"/>
        <w:numPr>
          <w:ilvl w:val="0"/>
          <w:numId w:val="76"/>
        </w:numPr>
        <w:spacing w:after="200"/>
        <w:ind w:left="0" w:firstLine="0"/>
        <w:rPr>
          <w:bCs/>
          <w:sz w:val="22"/>
          <w:szCs w:val="22"/>
          <w:lang w:val="ru-RU"/>
        </w:rPr>
      </w:pPr>
      <w:r w:rsidRPr="00495A3D">
        <w:rPr>
          <w:lang w:val="ru-RU"/>
        </w:rPr>
        <w:t>Программа 10 по-прежнему играла ключевую роль в реализации ПДР ВОИС в плане сотрудничества ВОИС с отдельными странами Европы и Азии, а деятельность в рамках программы по-прежнему осуществлялась в соответствии с рекомендациями ПДР по технической помощи и укреплению потенциала, в частности рекомендациями 1, 6, 12, 13 и 14.</w:t>
      </w:r>
    </w:p>
    <w:p w:rsidR="00495A3D" w:rsidRPr="00495A3D" w:rsidRDefault="00495A3D" w:rsidP="00495A3D">
      <w:pPr>
        <w:pStyle w:val="ListParagraph"/>
        <w:spacing w:after="200"/>
        <w:ind w:left="0"/>
        <w:rPr>
          <w:lang w:val="ru-RU"/>
        </w:rPr>
      </w:pPr>
    </w:p>
    <w:p w:rsidR="00495A3D" w:rsidRPr="00495A3D" w:rsidRDefault="00495A3D" w:rsidP="00495A3D">
      <w:pPr>
        <w:pStyle w:val="ListParagraph"/>
        <w:spacing w:after="200"/>
        <w:ind w:left="0"/>
        <w:rPr>
          <w:lang w:val="ru-RU"/>
        </w:rPr>
      </w:pPr>
    </w:p>
    <w:p w:rsidR="00495A3D" w:rsidRPr="00D8021C" w:rsidRDefault="00495A3D">
      <w:pPr>
        <w:rPr>
          <w:szCs w:val="20"/>
          <w:lang w:val="ru-RU"/>
        </w:rPr>
      </w:pPr>
      <w:r w:rsidRPr="00D8021C">
        <w:rPr>
          <w:lang w:val="ru-RU"/>
        </w:rPr>
        <w:br w:type="page"/>
      </w:r>
    </w:p>
    <w:p w:rsidR="00495A3D" w:rsidRDefault="00495A3D" w:rsidP="00495A3D">
      <w:pPr>
        <w:pStyle w:val="ListParagraph"/>
        <w:spacing w:after="200"/>
        <w:ind w:left="0"/>
        <w:rPr>
          <w:b/>
        </w:rPr>
      </w:pPr>
      <w:r>
        <w:t>ДАННЫЕ О РЕЗУЛЬТАТИВНОСТИ</w:t>
      </w:r>
    </w:p>
    <w:tbl>
      <w:tblPr>
        <w:tblW w:w="5000"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7"/>
        <w:gridCol w:w="2517"/>
        <w:gridCol w:w="1036"/>
        <w:gridCol w:w="90"/>
        <w:gridCol w:w="2429"/>
        <w:gridCol w:w="90"/>
        <w:gridCol w:w="1292"/>
      </w:tblGrid>
      <w:tr w:rsidR="00495A3D" w:rsidRPr="005C6ABD" w:rsidTr="00495A3D">
        <w:trPr>
          <w:cantSplit/>
          <w:trHeight w:val="441"/>
        </w:trPr>
        <w:tc>
          <w:tcPr>
            <w:tcW w:w="5000" w:type="pct"/>
            <w:gridSpan w:val="7"/>
            <w:tcBorders>
              <w:top w:val="single" w:sz="4" w:space="0" w:color="auto"/>
              <w:bottom w:val="single" w:sz="4" w:space="0" w:color="auto"/>
            </w:tcBorders>
            <w:shd w:val="clear" w:color="auto" w:fill="C6D9F1" w:themeFill="text2" w:themeFillTint="33"/>
            <w:vAlign w:val="center"/>
          </w:tcPr>
          <w:p w:rsidR="00495A3D" w:rsidRPr="00495A3D" w:rsidRDefault="00495A3D" w:rsidP="005177C8">
            <w:pPr>
              <w:keepNext/>
              <w:keepLines/>
              <w:tabs>
                <w:tab w:val="left" w:pos="2302"/>
              </w:tabs>
              <w:ind w:left="2302" w:hanging="2302"/>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sz w:val="16"/>
                <w:szCs w:val="16"/>
              </w:rPr>
              <w:t>I</w:t>
            </w:r>
            <w:r w:rsidRPr="00495A3D">
              <w:rPr>
                <w:sz w:val="16"/>
                <w:szCs w:val="16"/>
                <w:lang w:val="ru-RU"/>
              </w:rPr>
              <w:t>.2. Целевые и сбалансированные законодательны</w:t>
            </w:r>
            <w:r w:rsidR="005177C8">
              <w:rPr>
                <w:sz w:val="16"/>
                <w:szCs w:val="16"/>
                <w:lang w:val="ru-RU"/>
              </w:rPr>
              <w:t xml:space="preserve">е, регулятивные и политические </w:t>
            </w:r>
            <w:r w:rsidRPr="00495A3D">
              <w:rPr>
                <w:sz w:val="16"/>
                <w:szCs w:val="16"/>
                <w:lang w:val="ru-RU"/>
              </w:rPr>
              <w:t>положения ИС</w:t>
            </w:r>
          </w:p>
        </w:tc>
      </w:tr>
      <w:tr w:rsidR="00495A3D" w:rsidRPr="0019748E" w:rsidTr="00FE4E8D">
        <w:trPr>
          <w:cantSplit/>
        </w:trPr>
        <w:tc>
          <w:tcPr>
            <w:tcW w:w="1106" w:type="pct"/>
            <w:tcBorders>
              <w:top w:val="single" w:sz="4" w:space="0" w:color="auto"/>
            </w:tcBorders>
            <w:shd w:val="clear" w:color="auto" w:fill="auto"/>
            <w:vAlign w:val="center"/>
          </w:tcPr>
          <w:p w:rsidR="00495A3D" w:rsidRPr="0019748E" w:rsidRDefault="00495A3D" w:rsidP="00495A3D">
            <w:pPr>
              <w:rPr>
                <w:rFonts w:cs="Arial"/>
                <w:sz w:val="16"/>
                <w:szCs w:val="16"/>
              </w:rPr>
            </w:pPr>
            <w:r w:rsidRPr="0019748E">
              <w:rPr>
                <w:b/>
                <w:sz w:val="16"/>
                <w:szCs w:val="16"/>
              </w:rPr>
              <w:t>Показатели результативности</w:t>
            </w:r>
          </w:p>
        </w:tc>
        <w:tc>
          <w:tcPr>
            <w:tcW w:w="1315" w:type="pct"/>
            <w:tcBorders>
              <w:top w:val="single" w:sz="4" w:space="0" w:color="auto"/>
            </w:tcBorders>
            <w:shd w:val="clear" w:color="auto" w:fill="auto"/>
            <w:vAlign w:val="center"/>
          </w:tcPr>
          <w:p w:rsidR="00495A3D" w:rsidRPr="0019748E" w:rsidRDefault="00495A3D" w:rsidP="00495A3D">
            <w:pPr>
              <w:rPr>
                <w:rFonts w:cs="Arial"/>
                <w:b/>
                <w:bCs/>
                <w:sz w:val="16"/>
                <w:szCs w:val="16"/>
              </w:rPr>
            </w:pPr>
            <w:r w:rsidRPr="0019748E">
              <w:rPr>
                <w:b/>
                <w:sz w:val="16"/>
                <w:szCs w:val="16"/>
              </w:rPr>
              <w:t>Базовые показатели</w:t>
            </w:r>
          </w:p>
        </w:tc>
        <w:tc>
          <w:tcPr>
            <w:tcW w:w="541" w:type="pct"/>
            <w:tcBorders>
              <w:top w:val="single" w:sz="4" w:space="0" w:color="auto"/>
            </w:tcBorders>
            <w:shd w:val="clear" w:color="auto" w:fill="auto"/>
            <w:tcMar>
              <w:top w:w="110" w:type="dxa"/>
            </w:tcMar>
            <w:vAlign w:val="center"/>
          </w:tcPr>
          <w:p w:rsidR="00495A3D" w:rsidRPr="0019748E" w:rsidRDefault="00495A3D" w:rsidP="00495A3D">
            <w:pPr>
              <w:rPr>
                <w:rFonts w:cs="Arial"/>
                <w:b/>
                <w:sz w:val="16"/>
                <w:szCs w:val="16"/>
              </w:rPr>
            </w:pPr>
            <w:r w:rsidRPr="0019748E">
              <w:rPr>
                <w:b/>
                <w:sz w:val="16"/>
                <w:szCs w:val="16"/>
              </w:rPr>
              <w:t>Цели</w:t>
            </w:r>
          </w:p>
        </w:tc>
        <w:tc>
          <w:tcPr>
            <w:tcW w:w="1316" w:type="pct"/>
            <w:gridSpan w:val="2"/>
            <w:tcBorders>
              <w:top w:val="single" w:sz="4" w:space="0" w:color="auto"/>
            </w:tcBorders>
            <w:shd w:val="clear" w:color="auto" w:fill="FFFFFF"/>
            <w:tcMar>
              <w:top w:w="110" w:type="dxa"/>
            </w:tcMar>
            <w:vAlign w:val="center"/>
          </w:tcPr>
          <w:p w:rsidR="00495A3D" w:rsidRPr="0019748E" w:rsidRDefault="00495A3D" w:rsidP="00495A3D">
            <w:pPr>
              <w:rPr>
                <w:rFonts w:cs="Arial"/>
                <w:sz w:val="16"/>
                <w:szCs w:val="16"/>
              </w:rPr>
            </w:pPr>
            <w:r w:rsidRPr="0019748E">
              <w:rPr>
                <w:b/>
                <w:sz w:val="16"/>
                <w:szCs w:val="16"/>
              </w:rPr>
              <w:t>Данные о результативности</w:t>
            </w:r>
          </w:p>
        </w:tc>
        <w:tc>
          <w:tcPr>
            <w:tcW w:w="722" w:type="pct"/>
            <w:gridSpan w:val="2"/>
            <w:tcBorders>
              <w:top w:val="single" w:sz="4" w:space="0" w:color="auto"/>
            </w:tcBorders>
            <w:shd w:val="clear" w:color="auto" w:fill="auto"/>
            <w:tcMar>
              <w:top w:w="110" w:type="dxa"/>
            </w:tcMar>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FE4E8D">
        <w:trPr>
          <w:cantSplit/>
        </w:trPr>
        <w:tc>
          <w:tcPr>
            <w:tcW w:w="1106" w:type="pct"/>
            <w:tcBorders>
              <w:bottom w:val="single" w:sz="4" w:space="0" w:color="auto"/>
            </w:tcBorders>
            <w:shd w:val="clear" w:color="auto" w:fill="auto"/>
          </w:tcPr>
          <w:p w:rsidR="00495A3D" w:rsidRPr="00495A3D" w:rsidRDefault="00495A3D" w:rsidP="00495A3D">
            <w:pPr>
              <w:rPr>
                <w:rFonts w:cs="Arial"/>
                <w:sz w:val="16"/>
                <w:szCs w:val="16"/>
                <w:lang w:val="ru-RU"/>
              </w:rPr>
            </w:pPr>
            <w:r w:rsidRPr="00495A3D">
              <w:rPr>
                <w:sz w:val="16"/>
                <w:szCs w:val="16"/>
                <w:lang w:val="ru-RU"/>
              </w:rPr>
              <w:t>Число стран, где были обновлены законы и/или подзаконные акты</w:t>
            </w:r>
          </w:p>
        </w:tc>
        <w:tc>
          <w:tcPr>
            <w:tcW w:w="1315" w:type="pct"/>
            <w:tcBorders>
              <w:bottom w:val="single" w:sz="4" w:space="0" w:color="auto"/>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r w:rsidRPr="00495A3D">
              <w:rPr>
                <w:color w:val="002060"/>
                <w:sz w:val="16"/>
                <w:szCs w:val="16"/>
                <w:lang w:val="ru-RU"/>
              </w:rPr>
              <w:t>всего 18:</w:t>
            </w:r>
            <w:r w:rsidRPr="00495A3D">
              <w:rPr>
                <w:i/>
                <w:color w:val="002060"/>
                <w:sz w:val="16"/>
                <w:szCs w:val="16"/>
                <w:lang w:val="ru-RU"/>
              </w:rPr>
              <w:t xml:space="preserve"> </w:t>
            </w:r>
            <w:r w:rsidRPr="00495A3D">
              <w:rPr>
                <w:color w:val="002060"/>
                <w:sz w:val="16"/>
                <w:szCs w:val="16"/>
                <w:lang w:val="ru-RU"/>
              </w:rPr>
              <w:t>в 2012–2013</w:t>
            </w:r>
            <w:r w:rsidRPr="0019748E">
              <w:rPr>
                <w:color w:val="002060"/>
                <w:sz w:val="16"/>
                <w:szCs w:val="16"/>
              </w:rPr>
              <w:t> </w:t>
            </w:r>
            <w:r w:rsidRPr="00495A3D">
              <w:rPr>
                <w:color w:val="002060"/>
                <w:sz w:val="16"/>
                <w:szCs w:val="16"/>
                <w:lang w:val="ru-RU"/>
              </w:rPr>
              <w:t>гг. свое национальное законодательство в области ИС обновили Албания, Армения, Беларусь, Босния и Герцеговина, Польша, Румыния, Словения и Таджикистан</w:t>
            </w:r>
          </w:p>
          <w:p w:rsidR="00495A3D" w:rsidRPr="00495A3D" w:rsidRDefault="00495A3D" w:rsidP="00495A3D">
            <w:pPr>
              <w:rPr>
                <w:rFonts w:cs="Arial"/>
                <w:color w:val="002060"/>
                <w:sz w:val="16"/>
                <w:szCs w:val="16"/>
                <w:lang w:val="ru-RU"/>
              </w:rPr>
            </w:pPr>
            <w:r w:rsidRPr="00495A3D">
              <w:rPr>
                <w:color w:val="002060"/>
                <w:sz w:val="16"/>
                <w:szCs w:val="16"/>
                <w:lang w:val="ru-RU"/>
              </w:rPr>
              <w:t xml:space="preserve"> </w:t>
            </w:r>
          </w:p>
          <w:p w:rsidR="00495A3D" w:rsidRPr="00495A3D" w:rsidRDefault="00495A3D" w:rsidP="00495A3D">
            <w:pPr>
              <w:rPr>
                <w:rFonts w:cs="Arial"/>
                <w:color w:val="002060"/>
                <w:sz w:val="16"/>
                <w:szCs w:val="16"/>
                <w:lang w:val="ru-RU"/>
              </w:rPr>
            </w:pPr>
            <w:r w:rsidRPr="00495A3D">
              <w:rPr>
                <w:color w:val="002060"/>
                <w:sz w:val="16"/>
                <w:szCs w:val="16"/>
                <w:lang w:val="ru-RU"/>
              </w:rPr>
              <w:t>Казахстан и Российская Федерация начали процедуры внесения поправок в национальное законодательство.</w:t>
            </w:r>
          </w:p>
          <w:p w:rsidR="00495A3D" w:rsidRPr="00495A3D" w:rsidRDefault="00495A3D" w:rsidP="00495A3D">
            <w:pPr>
              <w:rPr>
                <w:rFonts w:cs="Arial"/>
                <w:i/>
                <w:sz w:val="16"/>
                <w:szCs w:val="16"/>
                <w:lang w:val="ru-RU"/>
              </w:rPr>
            </w:pPr>
          </w:p>
          <w:p w:rsidR="00495A3D" w:rsidRPr="00495A3D" w:rsidRDefault="00495A3D" w:rsidP="00495A3D">
            <w:pPr>
              <w:rPr>
                <w:rFonts w:cs="Arial"/>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18 к концу 2013</w:t>
            </w:r>
            <w:r w:rsidRPr="0019748E">
              <w:rPr>
                <w:sz w:val="16"/>
                <w:szCs w:val="16"/>
              </w:rPr>
              <w:t> </w:t>
            </w:r>
            <w:r w:rsidRPr="00495A3D">
              <w:rPr>
                <w:sz w:val="16"/>
                <w:szCs w:val="16"/>
                <w:lang w:val="ru-RU"/>
              </w:rPr>
              <w:t>г.</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tc>
        <w:tc>
          <w:tcPr>
            <w:tcW w:w="541" w:type="pct"/>
            <w:tcBorders>
              <w:bottom w:val="single" w:sz="4" w:space="0" w:color="auto"/>
            </w:tcBorders>
            <w:shd w:val="clear" w:color="auto" w:fill="auto"/>
            <w:tcMar>
              <w:top w:w="110" w:type="dxa"/>
            </w:tcMar>
          </w:tcPr>
          <w:p w:rsidR="00495A3D" w:rsidRPr="0019748E" w:rsidRDefault="00495A3D" w:rsidP="00495A3D">
            <w:pPr>
              <w:rPr>
                <w:rFonts w:cs="Arial"/>
                <w:sz w:val="16"/>
                <w:szCs w:val="16"/>
              </w:rPr>
            </w:pPr>
            <w:r w:rsidRPr="0019748E">
              <w:rPr>
                <w:sz w:val="16"/>
                <w:szCs w:val="16"/>
              </w:rPr>
              <w:t>Еще 4 страны</w:t>
            </w:r>
          </w:p>
        </w:tc>
        <w:tc>
          <w:tcPr>
            <w:tcW w:w="1316" w:type="pct"/>
            <w:gridSpan w:val="2"/>
            <w:tcBorders>
              <w:bottom w:val="single" w:sz="4" w:space="0" w:color="auto"/>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9 (Казахстан, Кыргызстан, Латвия, Литва, Черногория, Республика Молдова, Российская Федерация, Таджикистан, Туркменистан)</w:t>
            </w:r>
          </w:p>
        </w:tc>
        <w:tc>
          <w:tcPr>
            <w:tcW w:w="722" w:type="pct"/>
            <w:gridSpan w:val="2"/>
            <w:tcBorders>
              <w:bottom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r w:rsidR="00495A3D" w:rsidRPr="005C6ABD" w:rsidTr="00495A3D">
        <w:trPr>
          <w:cantSplit/>
          <w:trHeight w:val="369"/>
        </w:trPr>
        <w:tc>
          <w:tcPr>
            <w:tcW w:w="5000" w:type="pct"/>
            <w:gridSpan w:val="7"/>
            <w:tcBorders>
              <w:top w:val="single" w:sz="4" w:space="0" w:color="auto"/>
              <w:bottom w:val="single" w:sz="4" w:space="0" w:color="auto"/>
            </w:tcBorders>
            <w:shd w:val="clear" w:color="auto" w:fill="C6D9F1" w:themeFill="text2" w:themeFillTint="33"/>
            <w:vAlign w:val="center"/>
          </w:tcPr>
          <w:p w:rsidR="00495A3D" w:rsidRPr="00495A3D" w:rsidRDefault="00495A3D" w:rsidP="005177C8">
            <w:pPr>
              <w:keepNext/>
              <w:keepLines/>
              <w:tabs>
                <w:tab w:val="left" w:pos="2302"/>
              </w:tabs>
              <w:ind w:left="2302" w:hanging="2302"/>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sz w:val="16"/>
                <w:szCs w:val="16"/>
              </w:rPr>
              <w:t>II</w:t>
            </w:r>
            <w:r w:rsidRPr="00495A3D">
              <w:rPr>
                <w:sz w:val="16"/>
                <w:szCs w:val="16"/>
                <w:lang w:val="ru-RU"/>
              </w:rPr>
              <w:t xml:space="preserve">.1. Более широкое использование возможностей </w:t>
            </w:r>
            <w:r w:rsidRPr="0019748E">
              <w:rPr>
                <w:sz w:val="16"/>
                <w:szCs w:val="16"/>
              </w:rPr>
              <w:t>PCT</w:t>
            </w:r>
            <w:r w:rsidR="005177C8">
              <w:rPr>
                <w:sz w:val="16"/>
                <w:szCs w:val="16"/>
                <w:lang w:val="ru-RU"/>
              </w:rPr>
              <w:t xml:space="preserve"> для подачи международных </w:t>
            </w:r>
            <w:r w:rsidRPr="00495A3D">
              <w:rPr>
                <w:sz w:val="16"/>
                <w:szCs w:val="16"/>
                <w:lang w:val="ru-RU"/>
              </w:rPr>
              <w:t>патентных заявок</w:t>
            </w:r>
          </w:p>
        </w:tc>
      </w:tr>
      <w:tr w:rsidR="00495A3D" w:rsidRPr="0019748E" w:rsidTr="00FE4E8D">
        <w:trPr>
          <w:cantSplit/>
        </w:trPr>
        <w:tc>
          <w:tcPr>
            <w:tcW w:w="1106" w:type="pct"/>
            <w:tcBorders>
              <w:top w:val="single" w:sz="4" w:space="0" w:color="auto"/>
            </w:tcBorders>
            <w:shd w:val="clear" w:color="auto" w:fill="auto"/>
            <w:vAlign w:val="center"/>
          </w:tcPr>
          <w:p w:rsidR="00495A3D" w:rsidRPr="0019748E" w:rsidRDefault="00495A3D" w:rsidP="00495A3D">
            <w:pPr>
              <w:rPr>
                <w:rFonts w:cs="Arial"/>
                <w:sz w:val="16"/>
                <w:szCs w:val="16"/>
              </w:rPr>
            </w:pPr>
            <w:r w:rsidRPr="0019748E">
              <w:rPr>
                <w:b/>
                <w:sz w:val="16"/>
                <w:szCs w:val="16"/>
              </w:rPr>
              <w:t>Показатели результативности</w:t>
            </w:r>
          </w:p>
        </w:tc>
        <w:tc>
          <w:tcPr>
            <w:tcW w:w="1315" w:type="pct"/>
            <w:tcBorders>
              <w:top w:val="single" w:sz="4" w:space="0" w:color="auto"/>
            </w:tcBorders>
            <w:shd w:val="clear" w:color="auto" w:fill="auto"/>
            <w:vAlign w:val="center"/>
          </w:tcPr>
          <w:p w:rsidR="00495A3D" w:rsidRPr="0019748E" w:rsidRDefault="00495A3D" w:rsidP="00495A3D">
            <w:pPr>
              <w:rPr>
                <w:rFonts w:cs="Arial"/>
                <w:b/>
                <w:bCs/>
                <w:sz w:val="16"/>
                <w:szCs w:val="16"/>
              </w:rPr>
            </w:pPr>
            <w:r w:rsidRPr="0019748E">
              <w:rPr>
                <w:b/>
                <w:sz w:val="16"/>
                <w:szCs w:val="16"/>
              </w:rPr>
              <w:t>Базовые показатели</w:t>
            </w:r>
          </w:p>
        </w:tc>
        <w:tc>
          <w:tcPr>
            <w:tcW w:w="588" w:type="pct"/>
            <w:gridSpan w:val="2"/>
            <w:tcBorders>
              <w:top w:val="single" w:sz="4" w:space="0" w:color="auto"/>
            </w:tcBorders>
            <w:shd w:val="clear" w:color="auto" w:fill="auto"/>
            <w:tcMar>
              <w:top w:w="110" w:type="dxa"/>
            </w:tcMar>
            <w:vAlign w:val="center"/>
          </w:tcPr>
          <w:p w:rsidR="00495A3D" w:rsidRPr="0019748E" w:rsidRDefault="00495A3D" w:rsidP="00495A3D">
            <w:pPr>
              <w:rPr>
                <w:rFonts w:cs="Arial"/>
                <w:b/>
                <w:sz w:val="16"/>
                <w:szCs w:val="16"/>
              </w:rPr>
            </w:pPr>
            <w:r w:rsidRPr="0019748E">
              <w:rPr>
                <w:b/>
                <w:sz w:val="16"/>
                <w:szCs w:val="16"/>
              </w:rPr>
              <w:t>Цели</w:t>
            </w:r>
          </w:p>
        </w:tc>
        <w:tc>
          <w:tcPr>
            <w:tcW w:w="1316" w:type="pct"/>
            <w:gridSpan w:val="2"/>
            <w:tcBorders>
              <w:top w:val="single" w:sz="4" w:space="0" w:color="auto"/>
            </w:tcBorders>
            <w:shd w:val="clear" w:color="auto" w:fill="FFFFFF"/>
            <w:tcMar>
              <w:top w:w="110" w:type="dxa"/>
            </w:tcMar>
            <w:vAlign w:val="center"/>
          </w:tcPr>
          <w:p w:rsidR="00495A3D" w:rsidRPr="0019748E" w:rsidRDefault="00495A3D" w:rsidP="00495A3D">
            <w:pPr>
              <w:rPr>
                <w:rFonts w:cs="Arial"/>
                <w:sz w:val="16"/>
                <w:szCs w:val="16"/>
              </w:rPr>
            </w:pPr>
            <w:r w:rsidRPr="0019748E">
              <w:rPr>
                <w:b/>
                <w:sz w:val="16"/>
                <w:szCs w:val="16"/>
              </w:rPr>
              <w:t>Данные о результативности</w:t>
            </w:r>
          </w:p>
        </w:tc>
        <w:tc>
          <w:tcPr>
            <w:tcW w:w="675" w:type="pct"/>
            <w:tcBorders>
              <w:top w:val="single" w:sz="4" w:space="0" w:color="auto"/>
            </w:tcBorders>
            <w:shd w:val="clear" w:color="auto" w:fill="auto"/>
            <w:tcMar>
              <w:top w:w="110" w:type="dxa"/>
            </w:tcMar>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FE4E8D">
        <w:trPr>
          <w:cantSplit/>
        </w:trPr>
        <w:tc>
          <w:tcPr>
            <w:tcW w:w="1106" w:type="pct"/>
            <w:shd w:val="clear" w:color="auto" w:fill="auto"/>
          </w:tcPr>
          <w:p w:rsidR="00495A3D" w:rsidRPr="00495A3D" w:rsidRDefault="00495A3D" w:rsidP="00495A3D">
            <w:pPr>
              <w:rPr>
                <w:rFonts w:cs="Arial"/>
                <w:sz w:val="16"/>
                <w:szCs w:val="16"/>
                <w:lang w:val="ru-RU"/>
              </w:rPr>
            </w:pPr>
            <w:r w:rsidRPr="00495A3D">
              <w:rPr>
                <w:sz w:val="16"/>
                <w:szCs w:val="16"/>
                <w:lang w:val="ru-RU"/>
              </w:rPr>
              <w:t>Число заявок, подаваемых по процедуре РСТ, из стран с переходной экономикой и развитых стран</w:t>
            </w:r>
          </w:p>
        </w:tc>
        <w:tc>
          <w:tcPr>
            <w:tcW w:w="1315" w:type="pct"/>
            <w:shd w:val="clear" w:color="auto" w:fill="auto"/>
          </w:tcPr>
          <w:p w:rsidR="00495A3D" w:rsidRPr="00495A3D" w:rsidRDefault="00495A3D" w:rsidP="00495A3D">
            <w:pPr>
              <w:rPr>
                <w:rFonts w:cs="Arial"/>
                <w:i/>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p>
          <w:p w:rsidR="00495A3D" w:rsidRPr="00495A3D" w:rsidRDefault="00495A3D" w:rsidP="00495A3D">
            <w:pPr>
              <w:rPr>
                <w:rFonts w:cs="Arial"/>
                <w:color w:val="002060"/>
                <w:sz w:val="16"/>
                <w:szCs w:val="16"/>
                <w:lang w:val="ru-RU"/>
              </w:rPr>
            </w:pPr>
            <w:r w:rsidRPr="00495A3D">
              <w:rPr>
                <w:color w:val="002060"/>
                <w:sz w:val="16"/>
                <w:szCs w:val="16"/>
                <w:lang w:val="ru-RU"/>
              </w:rPr>
              <w:t>166</w:t>
            </w:r>
            <w:r w:rsidRPr="0019748E">
              <w:rPr>
                <w:color w:val="002060"/>
                <w:sz w:val="16"/>
                <w:szCs w:val="16"/>
              </w:rPr>
              <w:t> </w:t>
            </w:r>
            <w:r w:rsidRPr="00495A3D">
              <w:rPr>
                <w:color w:val="002060"/>
                <w:sz w:val="16"/>
                <w:szCs w:val="16"/>
                <w:lang w:val="ru-RU"/>
              </w:rPr>
              <w:t xml:space="preserve">517 (2013 г.) </w:t>
            </w:r>
          </w:p>
          <w:p w:rsidR="00495A3D" w:rsidRPr="00495A3D" w:rsidRDefault="00495A3D" w:rsidP="00495A3D">
            <w:pPr>
              <w:rPr>
                <w:rFonts w:cs="Arial"/>
                <w:color w:val="002060"/>
                <w:sz w:val="16"/>
                <w:szCs w:val="16"/>
                <w:lang w:val="ru-RU"/>
              </w:rPr>
            </w:pPr>
            <w:r w:rsidRPr="00495A3D">
              <w:rPr>
                <w:color w:val="002060"/>
                <w:sz w:val="16"/>
                <w:szCs w:val="16"/>
                <w:lang w:val="ru-RU"/>
              </w:rPr>
              <w:t>160</w:t>
            </w:r>
            <w:r w:rsidRPr="0019748E">
              <w:rPr>
                <w:color w:val="002060"/>
                <w:sz w:val="16"/>
                <w:szCs w:val="16"/>
              </w:rPr>
              <w:t> </w:t>
            </w:r>
            <w:r w:rsidRPr="00495A3D">
              <w:rPr>
                <w:color w:val="002060"/>
                <w:sz w:val="16"/>
                <w:szCs w:val="16"/>
                <w:lang w:val="ru-RU"/>
              </w:rPr>
              <w:t xml:space="preserve">309 (2012 г.) </w:t>
            </w:r>
          </w:p>
          <w:p w:rsidR="00495A3D" w:rsidRPr="00495A3D" w:rsidRDefault="00495A3D" w:rsidP="00495A3D">
            <w:pPr>
              <w:pStyle w:val="ListParagraph"/>
              <w:ind w:left="360"/>
              <w:rPr>
                <w:rFonts w:cs="Arial"/>
                <w:i/>
                <w:sz w:val="16"/>
                <w:szCs w:val="16"/>
                <w:lang w:val="ru-RU"/>
              </w:rPr>
            </w:pPr>
          </w:p>
          <w:p w:rsidR="00495A3D" w:rsidRPr="00495A3D" w:rsidRDefault="00495A3D" w:rsidP="00495A3D">
            <w:pPr>
              <w:rPr>
                <w:rFonts w:cs="Arial"/>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будет определено позднее</w:t>
            </w:r>
          </w:p>
          <w:p w:rsidR="00495A3D" w:rsidRPr="00495A3D" w:rsidRDefault="00495A3D" w:rsidP="00495A3D">
            <w:pPr>
              <w:rPr>
                <w:rFonts w:cs="Arial"/>
                <w:sz w:val="16"/>
                <w:szCs w:val="16"/>
                <w:lang w:val="ru-RU"/>
              </w:rPr>
            </w:pPr>
          </w:p>
        </w:tc>
        <w:tc>
          <w:tcPr>
            <w:tcW w:w="588" w:type="pct"/>
            <w:gridSpan w:val="2"/>
            <w:shd w:val="clear" w:color="auto" w:fill="auto"/>
            <w:tcMar>
              <w:top w:w="110" w:type="dxa"/>
            </w:tcMar>
          </w:tcPr>
          <w:p w:rsidR="00495A3D" w:rsidRPr="0019748E" w:rsidRDefault="00495A3D" w:rsidP="00495A3D">
            <w:pPr>
              <w:rPr>
                <w:rFonts w:cs="Arial"/>
                <w:sz w:val="16"/>
                <w:szCs w:val="16"/>
              </w:rPr>
            </w:pPr>
            <w:r w:rsidRPr="0019748E">
              <w:rPr>
                <w:sz w:val="16"/>
                <w:szCs w:val="16"/>
              </w:rPr>
              <w:t>Увеличение на 2%</w:t>
            </w:r>
          </w:p>
        </w:tc>
        <w:tc>
          <w:tcPr>
            <w:tcW w:w="1316" w:type="pct"/>
            <w:gridSpan w:val="2"/>
            <w:shd w:val="clear" w:color="auto" w:fill="FFFFFF"/>
            <w:tcMar>
              <w:top w:w="110" w:type="dxa"/>
            </w:tcMar>
          </w:tcPr>
          <w:p w:rsidR="00495A3D" w:rsidRPr="0019748E" w:rsidRDefault="00495A3D" w:rsidP="00495A3D">
            <w:pPr>
              <w:rPr>
                <w:rFonts w:cs="Arial"/>
                <w:sz w:val="16"/>
                <w:szCs w:val="16"/>
              </w:rPr>
            </w:pPr>
            <w:r w:rsidRPr="0019748E">
              <w:rPr>
                <w:sz w:val="16"/>
                <w:szCs w:val="16"/>
              </w:rPr>
              <w:t>170 177 (2014 г.)</w:t>
            </w:r>
          </w:p>
          <w:p w:rsidR="00495A3D" w:rsidRPr="0019748E" w:rsidRDefault="00495A3D" w:rsidP="00495A3D">
            <w:pPr>
              <w:rPr>
                <w:rFonts w:cs="Arial"/>
                <w:sz w:val="16"/>
                <w:szCs w:val="16"/>
              </w:rPr>
            </w:pPr>
            <w:r w:rsidRPr="0019748E">
              <w:rPr>
                <w:sz w:val="16"/>
                <w:szCs w:val="16"/>
              </w:rPr>
              <w:t>168 207 (2015 г.)</w:t>
            </w:r>
          </w:p>
          <w:p w:rsidR="00495A3D" w:rsidRPr="0019748E" w:rsidRDefault="00495A3D" w:rsidP="00495A3D">
            <w:pPr>
              <w:rPr>
                <w:rFonts w:cs="Arial"/>
                <w:b/>
                <w:sz w:val="16"/>
                <w:szCs w:val="16"/>
              </w:rPr>
            </w:pPr>
            <w:r w:rsidRPr="0019748E">
              <w:rPr>
                <w:sz w:val="16"/>
                <w:szCs w:val="16"/>
              </w:rPr>
              <w:t>+3,5%</w:t>
            </w:r>
          </w:p>
        </w:tc>
        <w:tc>
          <w:tcPr>
            <w:tcW w:w="675" w:type="pct"/>
            <w:shd w:val="clear" w:color="auto" w:fill="auto"/>
            <w:tcMar>
              <w:top w:w="110" w:type="dxa"/>
            </w:tcMar>
          </w:tcPr>
          <w:p w:rsidR="00495A3D" w:rsidRPr="0019748E" w:rsidRDefault="00495A3D" w:rsidP="00495A3D">
            <w:pPr>
              <w:keepNext/>
              <w:keepLines/>
              <w:jc w:val="center"/>
              <w:rPr>
                <w:rFonts w:cs="Arial"/>
                <w:b/>
                <w:bCs/>
                <w:color w:val="808080"/>
                <w:sz w:val="16"/>
                <w:szCs w:val="16"/>
              </w:rPr>
            </w:pPr>
            <w:r w:rsidRPr="0019748E">
              <w:rPr>
                <w:b/>
                <w:color w:val="00B050"/>
                <w:sz w:val="16"/>
                <w:szCs w:val="16"/>
              </w:rPr>
              <w:t>Выполнено</w:t>
            </w:r>
          </w:p>
        </w:tc>
      </w:tr>
      <w:tr w:rsidR="00495A3D" w:rsidRPr="005C6ABD" w:rsidTr="00495A3D">
        <w:trPr>
          <w:cantSplit/>
          <w:trHeight w:val="356"/>
        </w:trPr>
        <w:tc>
          <w:tcPr>
            <w:tcW w:w="5000" w:type="pct"/>
            <w:gridSpan w:val="7"/>
            <w:tcBorders>
              <w:top w:val="single" w:sz="4" w:space="0" w:color="auto"/>
              <w:bottom w:val="single" w:sz="4" w:space="0" w:color="auto"/>
            </w:tcBorders>
            <w:shd w:val="clear" w:color="auto" w:fill="C6D9F1" w:themeFill="text2" w:themeFillTint="33"/>
            <w:vAlign w:val="center"/>
          </w:tcPr>
          <w:p w:rsidR="00495A3D" w:rsidRPr="00495A3D" w:rsidRDefault="00495A3D" w:rsidP="005177C8">
            <w:pPr>
              <w:keepNext/>
              <w:keepLines/>
              <w:tabs>
                <w:tab w:val="left" w:pos="2302"/>
              </w:tabs>
              <w:ind w:left="2302" w:hanging="2302"/>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sz w:val="16"/>
                <w:szCs w:val="16"/>
              </w:rPr>
              <w:t>II</w:t>
            </w:r>
            <w:r w:rsidRPr="00495A3D">
              <w:rPr>
                <w:sz w:val="16"/>
                <w:szCs w:val="16"/>
                <w:lang w:val="ru-RU"/>
              </w:rPr>
              <w:t>.4. Более широкое и эффективное использование</w:t>
            </w:r>
            <w:r w:rsidR="005177C8">
              <w:rPr>
                <w:sz w:val="16"/>
                <w:szCs w:val="16"/>
                <w:lang w:val="ru-RU"/>
              </w:rPr>
              <w:t xml:space="preserve"> Гаагской системы, в том числе </w:t>
            </w:r>
            <w:r w:rsidRPr="00495A3D">
              <w:rPr>
                <w:sz w:val="16"/>
                <w:szCs w:val="16"/>
                <w:lang w:val="ru-RU"/>
              </w:rPr>
              <w:t>развивающимися странами и НРС</w:t>
            </w:r>
          </w:p>
        </w:tc>
      </w:tr>
      <w:tr w:rsidR="00495A3D" w:rsidRPr="0019748E" w:rsidTr="00FE4E8D">
        <w:trPr>
          <w:cantSplit/>
        </w:trPr>
        <w:tc>
          <w:tcPr>
            <w:tcW w:w="1106" w:type="pct"/>
            <w:tcBorders>
              <w:top w:val="single" w:sz="4" w:space="0" w:color="auto"/>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Показатели результативности</w:t>
            </w:r>
          </w:p>
        </w:tc>
        <w:tc>
          <w:tcPr>
            <w:tcW w:w="1315" w:type="pct"/>
            <w:tcBorders>
              <w:top w:val="single" w:sz="4" w:space="0" w:color="auto"/>
            </w:tcBorders>
            <w:shd w:val="clear" w:color="auto" w:fill="auto"/>
            <w:vAlign w:val="center"/>
          </w:tcPr>
          <w:p w:rsidR="00495A3D" w:rsidRPr="0019748E" w:rsidRDefault="00495A3D" w:rsidP="00495A3D">
            <w:pPr>
              <w:keepNext/>
              <w:keepLines/>
              <w:rPr>
                <w:rFonts w:cs="Arial"/>
                <w:b/>
                <w:bCs/>
                <w:sz w:val="16"/>
                <w:szCs w:val="16"/>
              </w:rPr>
            </w:pPr>
            <w:r w:rsidRPr="0019748E">
              <w:rPr>
                <w:b/>
                <w:sz w:val="16"/>
                <w:szCs w:val="16"/>
              </w:rPr>
              <w:t>Базовые показатели</w:t>
            </w:r>
          </w:p>
        </w:tc>
        <w:tc>
          <w:tcPr>
            <w:tcW w:w="588" w:type="pct"/>
            <w:gridSpan w:val="2"/>
            <w:tcBorders>
              <w:top w:val="single" w:sz="4" w:space="0" w:color="auto"/>
            </w:tcBorders>
            <w:shd w:val="clear" w:color="auto" w:fill="auto"/>
            <w:tcMar>
              <w:top w:w="110" w:type="dxa"/>
            </w:tcMar>
            <w:vAlign w:val="center"/>
          </w:tcPr>
          <w:p w:rsidR="00495A3D" w:rsidRPr="0019748E" w:rsidRDefault="00495A3D" w:rsidP="00495A3D">
            <w:pPr>
              <w:keepNext/>
              <w:keepLines/>
              <w:rPr>
                <w:rFonts w:cs="Arial"/>
                <w:b/>
                <w:sz w:val="16"/>
                <w:szCs w:val="16"/>
              </w:rPr>
            </w:pPr>
            <w:r w:rsidRPr="0019748E">
              <w:rPr>
                <w:b/>
                <w:sz w:val="16"/>
                <w:szCs w:val="16"/>
              </w:rPr>
              <w:t>Цели</w:t>
            </w:r>
          </w:p>
        </w:tc>
        <w:tc>
          <w:tcPr>
            <w:tcW w:w="1316" w:type="pct"/>
            <w:gridSpan w:val="2"/>
            <w:tcBorders>
              <w:top w:val="single" w:sz="4" w:space="0" w:color="auto"/>
            </w:tcBorders>
            <w:shd w:val="clear" w:color="auto" w:fill="FFFFFF"/>
            <w:tcMar>
              <w:top w:w="110" w:type="dxa"/>
            </w:tcMar>
            <w:vAlign w:val="center"/>
          </w:tcPr>
          <w:p w:rsidR="00495A3D" w:rsidRPr="0019748E" w:rsidRDefault="00495A3D" w:rsidP="00495A3D">
            <w:pPr>
              <w:keepNext/>
              <w:keepLines/>
              <w:rPr>
                <w:rFonts w:cs="Arial"/>
                <w:sz w:val="16"/>
                <w:szCs w:val="16"/>
              </w:rPr>
            </w:pPr>
            <w:r w:rsidRPr="0019748E">
              <w:rPr>
                <w:b/>
                <w:sz w:val="16"/>
                <w:szCs w:val="16"/>
              </w:rPr>
              <w:t>Данные о результативности</w:t>
            </w:r>
          </w:p>
        </w:tc>
        <w:tc>
          <w:tcPr>
            <w:tcW w:w="674" w:type="pct"/>
            <w:tcBorders>
              <w:top w:val="single" w:sz="4" w:space="0" w:color="auto"/>
            </w:tcBorders>
            <w:shd w:val="clear" w:color="auto" w:fill="auto"/>
            <w:tcMar>
              <w:top w:w="110" w:type="dxa"/>
            </w:tcMar>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FE4E8D">
        <w:trPr>
          <w:cantSplit/>
        </w:trPr>
        <w:tc>
          <w:tcPr>
            <w:tcW w:w="1106" w:type="pct"/>
            <w:shd w:val="clear" w:color="auto" w:fill="auto"/>
          </w:tcPr>
          <w:p w:rsidR="00495A3D" w:rsidRPr="00495A3D" w:rsidRDefault="00495A3D" w:rsidP="00495A3D">
            <w:pPr>
              <w:rPr>
                <w:rFonts w:cs="Arial"/>
                <w:sz w:val="16"/>
                <w:szCs w:val="16"/>
                <w:lang w:val="ru-RU"/>
              </w:rPr>
            </w:pPr>
            <w:r w:rsidRPr="00495A3D">
              <w:rPr>
                <w:sz w:val="16"/>
                <w:szCs w:val="16"/>
                <w:lang w:val="ru-RU"/>
              </w:rPr>
              <w:t>Число заявителей в рамках Гаагской системы из стран с переходной экономикой и развитых стран</w:t>
            </w:r>
          </w:p>
        </w:tc>
        <w:tc>
          <w:tcPr>
            <w:tcW w:w="1315" w:type="pct"/>
            <w:shd w:val="clear" w:color="auto" w:fill="auto"/>
          </w:tcPr>
          <w:p w:rsidR="00495A3D" w:rsidRPr="00495A3D" w:rsidRDefault="00495A3D" w:rsidP="00495A3D">
            <w:pPr>
              <w:rPr>
                <w:rFonts w:cs="Arial"/>
                <w:i/>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p>
          <w:p w:rsidR="00495A3D" w:rsidRPr="00495A3D" w:rsidRDefault="00495A3D" w:rsidP="00495A3D">
            <w:pPr>
              <w:rPr>
                <w:rFonts w:cs="Arial"/>
                <w:color w:val="002060"/>
                <w:sz w:val="16"/>
                <w:szCs w:val="16"/>
                <w:lang w:val="ru-RU"/>
              </w:rPr>
            </w:pPr>
            <w:r w:rsidRPr="00495A3D">
              <w:rPr>
                <w:color w:val="002060"/>
                <w:sz w:val="16"/>
                <w:szCs w:val="16"/>
                <w:lang w:val="ru-RU"/>
              </w:rPr>
              <w:t>2</w:t>
            </w:r>
            <w:r w:rsidRPr="0019748E">
              <w:rPr>
                <w:color w:val="002060"/>
                <w:sz w:val="16"/>
                <w:szCs w:val="16"/>
              </w:rPr>
              <w:t> </w:t>
            </w:r>
            <w:r w:rsidRPr="00495A3D">
              <w:rPr>
                <w:color w:val="002060"/>
                <w:sz w:val="16"/>
                <w:szCs w:val="16"/>
                <w:lang w:val="ru-RU"/>
              </w:rPr>
              <w:t xml:space="preserve">927 (2013 г.) </w:t>
            </w:r>
          </w:p>
          <w:p w:rsidR="00495A3D" w:rsidRPr="00495A3D" w:rsidRDefault="00495A3D" w:rsidP="00495A3D">
            <w:pPr>
              <w:rPr>
                <w:rFonts w:cs="Arial"/>
                <w:color w:val="002060"/>
                <w:sz w:val="16"/>
                <w:szCs w:val="16"/>
                <w:lang w:val="ru-RU"/>
              </w:rPr>
            </w:pPr>
            <w:r w:rsidRPr="00495A3D">
              <w:rPr>
                <w:color w:val="002060"/>
                <w:sz w:val="16"/>
                <w:szCs w:val="16"/>
                <w:lang w:val="ru-RU"/>
              </w:rPr>
              <w:t>2</w:t>
            </w:r>
            <w:r w:rsidRPr="0019748E">
              <w:rPr>
                <w:color w:val="002060"/>
                <w:sz w:val="16"/>
                <w:szCs w:val="16"/>
              </w:rPr>
              <w:t> </w:t>
            </w:r>
            <w:r w:rsidRPr="00495A3D">
              <w:rPr>
                <w:color w:val="002060"/>
                <w:sz w:val="16"/>
                <w:szCs w:val="16"/>
                <w:lang w:val="ru-RU"/>
              </w:rPr>
              <w:t>553 (2012 г.)</w:t>
            </w:r>
          </w:p>
          <w:p w:rsidR="00495A3D" w:rsidRPr="00495A3D" w:rsidRDefault="00495A3D" w:rsidP="00495A3D">
            <w:pPr>
              <w:rPr>
                <w:rFonts w:cs="Arial"/>
                <w:color w:val="002060"/>
                <w:sz w:val="16"/>
                <w:szCs w:val="16"/>
                <w:lang w:val="ru-RU"/>
              </w:rPr>
            </w:pPr>
          </w:p>
          <w:p w:rsidR="00495A3D" w:rsidRPr="00495A3D" w:rsidRDefault="00495A3D" w:rsidP="00495A3D">
            <w:pPr>
              <w:rPr>
                <w:rFonts w:cs="Arial"/>
                <w:i/>
                <w:sz w:val="16"/>
                <w:szCs w:val="16"/>
                <w:lang w:val="ru-RU"/>
              </w:rPr>
            </w:pPr>
          </w:p>
          <w:p w:rsidR="00495A3D" w:rsidRPr="00495A3D" w:rsidRDefault="00495A3D" w:rsidP="00495A3D">
            <w:pPr>
              <w:rPr>
                <w:rFonts w:cs="Arial"/>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будет определено позднее</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tc>
        <w:tc>
          <w:tcPr>
            <w:tcW w:w="588" w:type="pct"/>
            <w:gridSpan w:val="2"/>
            <w:shd w:val="clear" w:color="auto" w:fill="auto"/>
            <w:tcMar>
              <w:top w:w="110" w:type="dxa"/>
            </w:tcMar>
          </w:tcPr>
          <w:p w:rsidR="00495A3D" w:rsidRPr="0019748E" w:rsidRDefault="00495A3D" w:rsidP="00495A3D">
            <w:pPr>
              <w:rPr>
                <w:rFonts w:cs="Arial"/>
                <w:sz w:val="16"/>
                <w:szCs w:val="16"/>
              </w:rPr>
            </w:pPr>
            <w:r w:rsidRPr="0019748E">
              <w:rPr>
                <w:sz w:val="16"/>
                <w:szCs w:val="16"/>
              </w:rPr>
              <w:t>Увеличение на 2%</w:t>
            </w:r>
          </w:p>
        </w:tc>
        <w:tc>
          <w:tcPr>
            <w:tcW w:w="1316" w:type="pct"/>
            <w:gridSpan w:val="2"/>
            <w:shd w:val="clear" w:color="auto" w:fill="FFFFFF"/>
            <w:tcMar>
              <w:top w:w="110" w:type="dxa"/>
            </w:tcMar>
          </w:tcPr>
          <w:p w:rsidR="00495A3D" w:rsidRPr="0019748E" w:rsidRDefault="00495A3D" w:rsidP="00495A3D">
            <w:pPr>
              <w:rPr>
                <w:rFonts w:cs="Arial"/>
                <w:sz w:val="16"/>
                <w:szCs w:val="16"/>
              </w:rPr>
            </w:pPr>
            <w:r w:rsidRPr="0019748E">
              <w:rPr>
                <w:sz w:val="16"/>
                <w:szCs w:val="16"/>
              </w:rPr>
              <w:t>2 776 (2014 г.)</w:t>
            </w:r>
          </w:p>
          <w:p w:rsidR="00495A3D" w:rsidRPr="0019748E" w:rsidRDefault="00495A3D" w:rsidP="00495A3D">
            <w:pPr>
              <w:rPr>
                <w:rFonts w:cs="Arial"/>
                <w:sz w:val="16"/>
                <w:szCs w:val="16"/>
              </w:rPr>
            </w:pPr>
            <w:r w:rsidRPr="0019748E">
              <w:rPr>
                <w:sz w:val="16"/>
                <w:szCs w:val="16"/>
              </w:rPr>
              <w:t>3 448 (2015 г.)</w:t>
            </w:r>
          </w:p>
          <w:p w:rsidR="00495A3D" w:rsidRPr="0019748E" w:rsidRDefault="00495A3D" w:rsidP="00495A3D">
            <w:pPr>
              <w:rPr>
                <w:rFonts w:cs="Arial"/>
                <w:b/>
                <w:sz w:val="16"/>
                <w:szCs w:val="16"/>
              </w:rPr>
            </w:pPr>
            <w:r w:rsidRPr="0019748E">
              <w:rPr>
                <w:sz w:val="16"/>
                <w:szCs w:val="16"/>
              </w:rPr>
              <w:t>+13,6%</w:t>
            </w:r>
          </w:p>
        </w:tc>
        <w:tc>
          <w:tcPr>
            <w:tcW w:w="674" w:type="pct"/>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bl>
    <w:p w:rsidR="00495A3D" w:rsidRDefault="00495A3D">
      <w:r>
        <w:br w:type="page"/>
      </w:r>
    </w:p>
    <w:tbl>
      <w:tblPr>
        <w:tblW w:w="5000"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7"/>
        <w:gridCol w:w="2517"/>
        <w:gridCol w:w="1606"/>
        <w:gridCol w:w="2041"/>
        <w:gridCol w:w="13"/>
        <w:gridCol w:w="77"/>
        <w:gridCol w:w="13"/>
        <w:gridCol w:w="1187"/>
      </w:tblGrid>
      <w:tr w:rsidR="00495A3D" w:rsidRPr="005C6ABD" w:rsidTr="00495A3D">
        <w:trPr>
          <w:cantSplit/>
          <w:trHeight w:val="471"/>
        </w:trPr>
        <w:tc>
          <w:tcPr>
            <w:tcW w:w="5000" w:type="pct"/>
            <w:gridSpan w:val="8"/>
            <w:tcBorders>
              <w:top w:val="single" w:sz="4" w:space="0" w:color="auto"/>
              <w:bottom w:val="single" w:sz="4" w:space="0" w:color="auto"/>
            </w:tcBorders>
            <w:shd w:val="clear" w:color="auto" w:fill="C6D9F1" w:themeFill="text2" w:themeFillTint="33"/>
            <w:vAlign w:val="center"/>
          </w:tcPr>
          <w:p w:rsidR="00495A3D" w:rsidRPr="00495A3D" w:rsidRDefault="00495A3D" w:rsidP="005177C8">
            <w:pPr>
              <w:keepNext/>
              <w:keepLines/>
              <w:tabs>
                <w:tab w:val="left" w:pos="2302"/>
              </w:tabs>
              <w:ind w:left="2302" w:hanging="2302"/>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color w:val="000000"/>
                <w:sz w:val="16"/>
                <w:szCs w:val="16"/>
              </w:rPr>
              <w:t>II</w:t>
            </w:r>
            <w:r w:rsidRPr="00495A3D">
              <w:rPr>
                <w:color w:val="000000"/>
                <w:sz w:val="16"/>
                <w:szCs w:val="16"/>
                <w:lang w:val="ru-RU"/>
              </w:rPr>
              <w:t>.6. Более широкое и эффективное использование Мадридско</w:t>
            </w:r>
            <w:r w:rsidR="005177C8">
              <w:rPr>
                <w:color w:val="000000"/>
                <w:sz w:val="16"/>
                <w:szCs w:val="16"/>
                <w:lang w:val="ru-RU"/>
              </w:rPr>
              <w:t xml:space="preserve">й и Лиссабонской систем, в том </w:t>
            </w:r>
            <w:r w:rsidRPr="00495A3D">
              <w:rPr>
                <w:color w:val="000000"/>
                <w:sz w:val="16"/>
                <w:szCs w:val="16"/>
                <w:lang w:val="ru-RU"/>
              </w:rPr>
              <w:t>числе развивающимися странами и НРС</w:t>
            </w:r>
          </w:p>
        </w:tc>
      </w:tr>
      <w:tr w:rsidR="00495A3D" w:rsidRPr="0019748E" w:rsidTr="00FE4E8D">
        <w:trPr>
          <w:cantSplit/>
        </w:trPr>
        <w:tc>
          <w:tcPr>
            <w:tcW w:w="1106" w:type="pct"/>
            <w:tcBorders>
              <w:top w:val="single" w:sz="4" w:space="0" w:color="auto"/>
            </w:tcBorders>
            <w:shd w:val="clear" w:color="auto" w:fill="auto"/>
            <w:vAlign w:val="center"/>
          </w:tcPr>
          <w:p w:rsidR="00495A3D" w:rsidRPr="0019748E" w:rsidRDefault="00495A3D" w:rsidP="00495A3D">
            <w:pPr>
              <w:rPr>
                <w:rFonts w:cs="Arial"/>
                <w:sz w:val="16"/>
                <w:szCs w:val="16"/>
              </w:rPr>
            </w:pPr>
            <w:r w:rsidRPr="0019748E">
              <w:rPr>
                <w:b/>
                <w:sz w:val="16"/>
                <w:szCs w:val="16"/>
              </w:rPr>
              <w:t>Показатели результативности</w:t>
            </w:r>
          </w:p>
        </w:tc>
        <w:tc>
          <w:tcPr>
            <w:tcW w:w="1315" w:type="pct"/>
            <w:tcBorders>
              <w:top w:val="single" w:sz="4" w:space="0" w:color="auto"/>
            </w:tcBorders>
            <w:shd w:val="clear" w:color="auto" w:fill="auto"/>
            <w:vAlign w:val="center"/>
          </w:tcPr>
          <w:p w:rsidR="00495A3D" w:rsidRPr="0019748E" w:rsidRDefault="00495A3D" w:rsidP="00495A3D">
            <w:pPr>
              <w:rPr>
                <w:rFonts w:cs="Arial"/>
                <w:b/>
                <w:bCs/>
                <w:sz w:val="16"/>
                <w:szCs w:val="16"/>
              </w:rPr>
            </w:pPr>
            <w:r w:rsidRPr="0019748E">
              <w:rPr>
                <w:b/>
                <w:sz w:val="16"/>
                <w:szCs w:val="16"/>
              </w:rPr>
              <w:t>Базовые показатели</w:t>
            </w:r>
          </w:p>
        </w:tc>
        <w:tc>
          <w:tcPr>
            <w:tcW w:w="839" w:type="pct"/>
            <w:tcBorders>
              <w:top w:val="single" w:sz="4" w:space="0" w:color="auto"/>
            </w:tcBorders>
            <w:shd w:val="clear" w:color="auto" w:fill="auto"/>
            <w:tcMar>
              <w:top w:w="110" w:type="dxa"/>
            </w:tcMar>
            <w:vAlign w:val="center"/>
          </w:tcPr>
          <w:p w:rsidR="00495A3D" w:rsidRPr="0019748E" w:rsidRDefault="00495A3D" w:rsidP="00495A3D">
            <w:pPr>
              <w:rPr>
                <w:rFonts w:cs="Arial"/>
                <w:b/>
                <w:sz w:val="16"/>
                <w:szCs w:val="16"/>
              </w:rPr>
            </w:pPr>
            <w:r w:rsidRPr="0019748E">
              <w:rPr>
                <w:b/>
                <w:sz w:val="16"/>
                <w:szCs w:val="16"/>
              </w:rPr>
              <w:t>Цели</w:t>
            </w:r>
          </w:p>
        </w:tc>
        <w:tc>
          <w:tcPr>
            <w:tcW w:w="1120" w:type="pct"/>
            <w:gridSpan w:val="4"/>
            <w:tcBorders>
              <w:top w:val="single" w:sz="4" w:space="0" w:color="auto"/>
            </w:tcBorders>
            <w:shd w:val="clear" w:color="auto" w:fill="FFFFFF"/>
            <w:tcMar>
              <w:top w:w="110" w:type="dxa"/>
            </w:tcMar>
            <w:vAlign w:val="center"/>
          </w:tcPr>
          <w:p w:rsidR="00495A3D" w:rsidRPr="0019748E" w:rsidRDefault="00495A3D" w:rsidP="00495A3D">
            <w:pPr>
              <w:rPr>
                <w:rFonts w:cs="Arial"/>
                <w:sz w:val="16"/>
                <w:szCs w:val="16"/>
              </w:rPr>
            </w:pPr>
            <w:r w:rsidRPr="0019748E">
              <w:rPr>
                <w:b/>
                <w:sz w:val="16"/>
                <w:szCs w:val="16"/>
              </w:rPr>
              <w:t>Данные о результативности</w:t>
            </w:r>
          </w:p>
        </w:tc>
        <w:tc>
          <w:tcPr>
            <w:tcW w:w="620" w:type="pct"/>
            <w:tcBorders>
              <w:top w:val="single" w:sz="4" w:space="0" w:color="auto"/>
            </w:tcBorders>
            <w:shd w:val="clear" w:color="auto" w:fill="auto"/>
            <w:tcMar>
              <w:top w:w="110" w:type="dxa"/>
            </w:tcMar>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FE4E8D">
        <w:trPr>
          <w:cantSplit/>
        </w:trPr>
        <w:tc>
          <w:tcPr>
            <w:tcW w:w="1106" w:type="pct"/>
            <w:shd w:val="clear" w:color="auto" w:fill="auto"/>
          </w:tcPr>
          <w:p w:rsidR="00495A3D" w:rsidRPr="00495A3D" w:rsidRDefault="00495A3D" w:rsidP="00495A3D">
            <w:pPr>
              <w:rPr>
                <w:rFonts w:cs="Arial"/>
                <w:sz w:val="16"/>
                <w:szCs w:val="16"/>
                <w:lang w:val="ru-RU"/>
              </w:rPr>
            </w:pPr>
            <w:r w:rsidRPr="00495A3D">
              <w:rPr>
                <w:sz w:val="16"/>
                <w:szCs w:val="16"/>
                <w:lang w:val="ru-RU"/>
              </w:rPr>
              <w:t>Число заявителей в рамках Мадридской и Лиссабонской систем из стран с переходной экономикой и развитых стран</w:t>
            </w:r>
          </w:p>
        </w:tc>
        <w:tc>
          <w:tcPr>
            <w:tcW w:w="1315" w:type="pct"/>
            <w:shd w:val="clear" w:color="auto" w:fill="auto"/>
          </w:tcPr>
          <w:p w:rsidR="00495A3D" w:rsidRPr="00495A3D" w:rsidRDefault="00495A3D" w:rsidP="00495A3D">
            <w:pPr>
              <w:rPr>
                <w:rFonts w:cs="Arial"/>
                <w:i/>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p>
          <w:p w:rsidR="00495A3D" w:rsidRPr="00495A3D" w:rsidRDefault="00495A3D" w:rsidP="00495A3D">
            <w:pPr>
              <w:rPr>
                <w:rFonts w:cs="Arial"/>
                <w:color w:val="002060"/>
                <w:sz w:val="16"/>
                <w:szCs w:val="16"/>
                <w:lang w:val="ru-RU"/>
              </w:rPr>
            </w:pPr>
            <w:r w:rsidRPr="00495A3D">
              <w:rPr>
                <w:color w:val="002060"/>
                <w:sz w:val="16"/>
                <w:szCs w:val="16"/>
                <w:lang w:val="ru-RU"/>
              </w:rPr>
              <w:t>Мадрид</w:t>
            </w:r>
          </w:p>
          <w:p w:rsidR="00495A3D" w:rsidRPr="00495A3D" w:rsidRDefault="00495A3D" w:rsidP="00495A3D">
            <w:pPr>
              <w:rPr>
                <w:rFonts w:cs="Arial"/>
                <w:color w:val="002060"/>
                <w:sz w:val="16"/>
                <w:szCs w:val="16"/>
                <w:lang w:val="ru-RU"/>
              </w:rPr>
            </w:pPr>
            <w:r w:rsidRPr="00495A3D">
              <w:rPr>
                <w:color w:val="002060"/>
                <w:sz w:val="16"/>
                <w:szCs w:val="16"/>
                <w:lang w:val="ru-RU"/>
              </w:rPr>
              <w:t>43</w:t>
            </w:r>
            <w:r w:rsidRPr="0019748E">
              <w:rPr>
                <w:color w:val="002060"/>
                <w:sz w:val="16"/>
                <w:szCs w:val="16"/>
              </w:rPr>
              <w:t> </w:t>
            </w:r>
            <w:r w:rsidRPr="00495A3D">
              <w:rPr>
                <w:color w:val="002060"/>
                <w:sz w:val="16"/>
                <w:szCs w:val="16"/>
                <w:lang w:val="ru-RU"/>
              </w:rPr>
              <w:t>149 (2013 г.)</w:t>
            </w:r>
          </w:p>
          <w:p w:rsidR="00495A3D" w:rsidRPr="00495A3D" w:rsidRDefault="00495A3D" w:rsidP="00495A3D">
            <w:pPr>
              <w:rPr>
                <w:rFonts w:cs="Arial"/>
                <w:color w:val="002060"/>
                <w:sz w:val="16"/>
                <w:szCs w:val="16"/>
                <w:lang w:val="ru-RU"/>
              </w:rPr>
            </w:pPr>
            <w:r w:rsidRPr="00495A3D">
              <w:rPr>
                <w:color w:val="002060"/>
                <w:sz w:val="16"/>
                <w:szCs w:val="16"/>
                <w:lang w:val="ru-RU"/>
              </w:rPr>
              <w:t>40</w:t>
            </w:r>
            <w:r w:rsidRPr="0019748E">
              <w:rPr>
                <w:color w:val="002060"/>
                <w:sz w:val="16"/>
                <w:szCs w:val="16"/>
              </w:rPr>
              <w:t> </w:t>
            </w:r>
            <w:r w:rsidRPr="00495A3D">
              <w:rPr>
                <w:color w:val="002060"/>
                <w:sz w:val="16"/>
                <w:szCs w:val="16"/>
                <w:lang w:val="ru-RU"/>
              </w:rPr>
              <w:t>640 (2012 г.)</w:t>
            </w:r>
          </w:p>
          <w:p w:rsidR="00495A3D" w:rsidRPr="00495A3D" w:rsidRDefault="00495A3D" w:rsidP="00495A3D">
            <w:pPr>
              <w:rPr>
                <w:rFonts w:cs="Arial"/>
                <w:color w:val="002060"/>
                <w:sz w:val="16"/>
                <w:szCs w:val="16"/>
                <w:lang w:val="ru-RU"/>
              </w:rPr>
            </w:pPr>
          </w:p>
          <w:p w:rsidR="00495A3D" w:rsidRPr="00495A3D" w:rsidRDefault="00495A3D" w:rsidP="00495A3D">
            <w:pPr>
              <w:rPr>
                <w:rFonts w:cs="Arial"/>
                <w:color w:val="002060"/>
                <w:sz w:val="16"/>
                <w:szCs w:val="16"/>
                <w:lang w:val="ru-RU"/>
              </w:rPr>
            </w:pPr>
            <w:r w:rsidRPr="00495A3D">
              <w:rPr>
                <w:color w:val="002060"/>
                <w:sz w:val="16"/>
                <w:szCs w:val="16"/>
                <w:lang w:val="ru-RU"/>
              </w:rPr>
              <w:t>Лиссабон</w:t>
            </w:r>
          </w:p>
          <w:p w:rsidR="00495A3D" w:rsidRPr="00495A3D" w:rsidRDefault="00495A3D" w:rsidP="00495A3D">
            <w:pPr>
              <w:rPr>
                <w:rFonts w:cs="Arial"/>
                <w:color w:val="002060"/>
                <w:sz w:val="16"/>
                <w:szCs w:val="16"/>
                <w:lang w:val="ru-RU"/>
              </w:rPr>
            </w:pPr>
            <w:r w:rsidRPr="00495A3D">
              <w:rPr>
                <w:color w:val="002060"/>
                <w:sz w:val="16"/>
                <w:szCs w:val="16"/>
                <w:lang w:val="ru-RU"/>
              </w:rPr>
              <w:t xml:space="preserve">749 из 816 действующих регистраций </w:t>
            </w:r>
          </w:p>
          <w:p w:rsidR="00495A3D" w:rsidRPr="00495A3D" w:rsidRDefault="00495A3D" w:rsidP="00495A3D">
            <w:pPr>
              <w:rPr>
                <w:rFonts w:cs="Arial"/>
                <w:i/>
                <w:sz w:val="16"/>
                <w:szCs w:val="16"/>
                <w:lang w:val="ru-RU"/>
              </w:rPr>
            </w:pPr>
          </w:p>
          <w:p w:rsidR="00495A3D" w:rsidRPr="00495A3D" w:rsidRDefault="00495A3D" w:rsidP="00495A3D">
            <w:pPr>
              <w:rPr>
                <w:rFonts w:cs="Arial"/>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будет определено позднее</w:t>
            </w:r>
          </w:p>
        </w:tc>
        <w:tc>
          <w:tcPr>
            <w:tcW w:w="839" w:type="pct"/>
            <w:shd w:val="clear" w:color="auto" w:fill="auto"/>
            <w:tcMar>
              <w:top w:w="110" w:type="dxa"/>
            </w:tcMar>
          </w:tcPr>
          <w:p w:rsidR="00495A3D" w:rsidRPr="0019748E" w:rsidRDefault="00495A3D" w:rsidP="00495A3D">
            <w:pPr>
              <w:rPr>
                <w:rFonts w:cs="Arial"/>
                <w:sz w:val="16"/>
                <w:szCs w:val="16"/>
              </w:rPr>
            </w:pPr>
            <w:r w:rsidRPr="0019748E">
              <w:rPr>
                <w:sz w:val="16"/>
                <w:szCs w:val="16"/>
              </w:rPr>
              <w:t>Увеличение на 2%</w:t>
            </w:r>
          </w:p>
        </w:tc>
        <w:tc>
          <w:tcPr>
            <w:tcW w:w="1120" w:type="pct"/>
            <w:gridSpan w:val="4"/>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43</w:t>
            </w:r>
            <w:r w:rsidRPr="0019748E">
              <w:rPr>
                <w:sz w:val="16"/>
                <w:szCs w:val="16"/>
              </w:rPr>
              <w:t> </w:t>
            </w:r>
            <w:r w:rsidRPr="00495A3D">
              <w:rPr>
                <w:sz w:val="16"/>
                <w:szCs w:val="16"/>
                <w:lang w:val="ru-RU"/>
              </w:rPr>
              <w:t>748 (2014 г.)</w:t>
            </w:r>
          </w:p>
          <w:p w:rsidR="00495A3D" w:rsidRPr="00495A3D" w:rsidRDefault="00495A3D" w:rsidP="00495A3D">
            <w:pPr>
              <w:rPr>
                <w:rFonts w:cs="Arial"/>
                <w:sz w:val="16"/>
                <w:szCs w:val="16"/>
                <w:lang w:val="ru-RU"/>
              </w:rPr>
            </w:pPr>
            <w:r w:rsidRPr="00495A3D">
              <w:rPr>
                <w:sz w:val="16"/>
                <w:szCs w:val="16"/>
                <w:lang w:val="ru-RU"/>
              </w:rPr>
              <w:t>44</w:t>
            </w:r>
            <w:r w:rsidRPr="0019748E">
              <w:rPr>
                <w:sz w:val="16"/>
                <w:szCs w:val="16"/>
              </w:rPr>
              <w:t> </w:t>
            </w:r>
            <w:r w:rsidRPr="00495A3D">
              <w:rPr>
                <w:sz w:val="16"/>
                <w:szCs w:val="16"/>
                <w:lang w:val="ru-RU"/>
              </w:rPr>
              <w:t>570 (2015 г.)</w:t>
            </w:r>
          </w:p>
          <w:p w:rsidR="00495A3D" w:rsidRPr="00495A3D" w:rsidRDefault="00495A3D" w:rsidP="00495A3D">
            <w:pPr>
              <w:rPr>
                <w:rFonts w:cs="Arial"/>
                <w:sz w:val="16"/>
                <w:szCs w:val="16"/>
                <w:lang w:val="ru-RU"/>
              </w:rPr>
            </w:pPr>
            <w:r w:rsidRPr="00495A3D">
              <w:rPr>
                <w:sz w:val="16"/>
                <w:szCs w:val="16"/>
                <w:lang w:val="ru-RU"/>
              </w:rPr>
              <w:t>+5,4%</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 xml:space="preserve">Лиссабон </w:t>
            </w:r>
          </w:p>
          <w:p w:rsidR="00495A3D" w:rsidRPr="00495A3D" w:rsidRDefault="00495A3D" w:rsidP="00495A3D">
            <w:pPr>
              <w:rPr>
                <w:rFonts w:cs="Arial"/>
                <w:sz w:val="16"/>
                <w:szCs w:val="16"/>
                <w:lang w:val="ru-RU"/>
              </w:rPr>
            </w:pPr>
            <w:r w:rsidRPr="00495A3D">
              <w:rPr>
                <w:sz w:val="16"/>
                <w:szCs w:val="16"/>
                <w:lang w:val="ru-RU"/>
              </w:rPr>
              <w:t xml:space="preserve">836 из 931 действующей регистрации из стран с переходной экономикой и развитых стран </w:t>
            </w:r>
          </w:p>
          <w:p w:rsidR="00495A3D" w:rsidRPr="0019748E" w:rsidRDefault="00495A3D" w:rsidP="00495A3D">
            <w:pPr>
              <w:rPr>
                <w:rFonts w:cs="Arial"/>
                <w:sz w:val="16"/>
                <w:szCs w:val="16"/>
              </w:rPr>
            </w:pPr>
            <w:r w:rsidRPr="0019748E">
              <w:rPr>
                <w:sz w:val="16"/>
                <w:szCs w:val="16"/>
              </w:rPr>
              <w:t>+11,6%</w:t>
            </w:r>
          </w:p>
          <w:p w:rsidR="00495A3D" w:rsidRPr="0019748E" w:rsidRDefault="00495A3D" w:rsidP="00495A3D">
            <w:pPr>
              <w:rPr>
                <w:rFonts w:cs="Arial"/>
                <w:sz w:val="16"/>
                <w:szCs w:val="16"/>
              </w:rPr>
            </w:pPr>
          </w:p>
        </w:tc>
        <w:tc>
          <w:tcPr>
            <w:tcW w:w="620" w:type="pct"/>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p w:rsidR="00495A3D" w:rsidRPr="0019748E" w:rsidRDefault="00495A3D" w:rsidP="00495A3D">
            <w:pPr>
              <w:keepNext/>
              <w:keepLines/>
              <w:jc w:val="center"/>
              <w:rPr>
                <w:rFonts w:cs="Arial"/>
                <w:bCs/>
                <w:color w:val="808080"/>
                <w:sz w:val="16"/>
                <w:szCs w:val="16"/>
              </w:rPr>
            </w:pPr>
          </w:p>
          <w:p w:rsidR="00495A3D" w:rsidRPr="0019748E" w:rsidRDefault="00495A3D" w:rsidP="00495A3D">
            <w:pPr>
              <w:keepNext/>
              <w:keepLines/>
              <w:jc w:val="center"/>
              <w:rPr>
                <w:rFonts w:cs="Arial"/>
                <w:bCs/>
                <w:color w:val="808080"/>
                <w:sz w:val="16"/>
                <w:szCs w:val="16"/>
              </w:rPr>
            </w:pPr>
          </w:p>
          <w:p w:rsidR="00495A3D" w:rsidRPr="0019748E" w:rsidRDefault="00495A3D" w:rsidP="00495A3D">
            <w:pPr>
              <w:keepNext/>
              <w:keepLines/>
              <w:jc w:val="center"/>
              <w:rPr>
                <w:rFonts w:cs="Arial"/>
                <w:bCs/>
                <w:color w:val="808080"/>
                <w:sz w:val="16"/>
                <w:szCs w:val="16"/>
              </w:rPr>
            </w:pPr>
          </w:p>
          <w:p w:rsidR="00495A3D" w:rsidRPr="0019748E" w:rsidRDefault="00495A3D" w:rsidP="00495A3D">
            <w:pPr>
              <w:keepNext/>
              <w:keepLines/>
              <w:jc w:val="center"/>
              <w:rPr>
                <w:rFonts w:cs="Arial"/>
                <w:b/>
                <w:bCs/>
                <w:color w:val="00B050"/>
                <w:sz w:val="16"/>
                <w:szCs w:val="16"/>
              </w:rPr>
            </w:pPr>
          </w:p>
          <w:p w:rsidR="00495A3D" w:rsidRPr="0019748E" w:rsidRDefault="00495A3D" w:rsidP="00495A3D">
            <w:pPr>
              <w:keepNext/>
              <w:keepLines/>
              <w:jc w:val="center"/>
              <w:rPr>
                <w:rFonts w:cs="Arial"/>
                <w:bCs/>
                <w:color w:val="808080"/>
                <w:sz w:val="16"/>
                <w:szCs w:val="16"/>
              </w:rPr>
            </w:pPr>
            <w:r w:rsidRPr="0019748E">
              <w:rPr>
                <w:b/>
                <w:color w:val="00B050"/>
                <w:sz w:val="16"/>
                <w:szCs w:val="16"/>
              </w:rPr>
              <w:t>Выполнено</w:t>
            </w:r>
          </w:p>
        </w:tc>
      </w:tr>
      <w:tr w:rsidR="00495A3D" w:rsidRPr="005C6ABD" w:rsidTr="00495A3D">
        <w:trPr>
          <w:cantSplit/>
          <w:trHeight w:val="445"/>
        </w:trPr>
        <w:tc>
          <w:tcPr>
            <w:tcW w:w="5000" w:type="pct"/>
            <w:gridSpan w:val="8"/>
            <w:tcBorders>
              <w:top w:val="single" w:sz="4" w:space="0" w:color="auto"/>
              <w:bottom w:val="single" w:sz="4" w:space="0" w:color="auto"/>
            </w:tcBorders>
            <w:shd w:val="clear" w:color="auto" w:fill="C6D9F1" w:themeFill="text2" w:themeFillTint="33"/>
            <w:vAlign w:val="center"/>
          </w:tcPr>
          <w:p w:rsidR="00495A3D" w:rsidRPr="00495A3D" w:rsidRDefault="00495A3D" w:rsidP="005177C8">
            <w:pPr>
              <w:keepNext/>
              <w:keepLines/>
              <w:tabs>
                <w:tab w:val="left" w:pos="2302"/>
              </w:tabs>
              <w:ind w:left="2302" w:hanging="2302"/>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sz w:val="16"/>
                <w:szCs w:val="16"/>
              </w:rPr>
              <w:t>II</w:t>
            </w:r>
            <w:r w:rsidRPr="00495A3D">
              <w:rPr>
                <w:sz w:val="16"/>
                <w:szCs w:val="16"/>
                <w:lang w:val="ru-RU"/>
              </w:rPr>
              <w:t>.8. Международные и внутренние споры по вопросам интелл</w:t>
            </w:r>
            <w:r w:rsidR="005177C8">
              <w:rPr>
                <w:sz w:val="16"/>
                <w:szCs w:val="16"/>
                <w:lang w:val="ru-RU"/>
              </w:rPr>
              <w:t xml:space="preserve">ектуальной собственности все в </w:t>
            </w:r>
            <w:r w:rsidRPr="00495A3D">
              <w:rPr>
                <w:sz w:val="16"/>
                <w:szCs w:val="16"/>
                <w:lang w:val="ru-RU"/>
              </w:rPr>
              <w:t>большей степени предотвращаются или урегулиру</w:t>
            </w:r>
            <w:r w:rsidR="005177C8">
              <w:rPr>
                <w:sz w:val="16"/>
                <w:szCs w:val="16"/>
                <w:lang w:val="ru-RU"/>
              </w:rPr>
              <w:t xml:space="preserve">ются с помощью посредничества, </w:t>
            </w:r>
            <w:r w:rsidRPr="00495A3D">
              <w:rPr>
                <w:sz w:val="16"/>
                <w:szCs w:val="16"/>
                <w:lang w:val="ru-RU"/>
              </w:rPr>
              <w:t>арбитража и других используемых ВОИС методов альтернативного урегулирования споров</w:t>
            </w:r>
          </w:p>
        </w:tc>
      </w:tr>
      <w:tr w:rsidR="00495A3D" w:rsidRPr="0019748E" w:rsidTr="00FE4E8D">
        <w:trPr>
          <w:cantSplit/>
        </w:trPr>
        <w:tc>
          <w:tcPr>
            <w:tcW w:w="1106" w:type="pct"/>
            <w:tcBorders>
              <w:top w:val="single" w:sz="4" w:space="0" w:color="auto"/>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Показатели результативности</w:t>
            </w:r>
          </w:p>
        </w:tc>
        <w:tc>
          <w:tcPr>
            <w:tcW w:w="1315" w:type="pct"/>
            <w:tcBorders>
              <w:top w:val="single" w:sz="4" w:space="0" w:color="auto"/>
            </w:tcBorders>
            <w:shd w:val="clear" w:color="auto" w:fill="auto"/>
            <w:vAlign w:val="center"/>
          </w:tcPr>
          <w:p w:rsidR="00495A3D" w:rsidRPr="0019748E" w:rsidRDefault="00495A3D" w:rsidP="00495A3D">
            <w:pPr>
              <w:keepNext/>
              <w:keepLines/>
              <w:rPr>
                <w:rFonts w:cs="Arial"/>
                <w:b/>
                <w:bCs/>
                <w:sz w:val="16"/>
                <w:szCs w:val="16"/>
              </w:rPr>
            </w:pPr>
            <w:r w:rsidRPr="0019748E">
              <w:rPr>
                <w:b/>
                <w:sz w:val="16"/>
                <w:szCs w:val="16"/>
              </w:rPr>
              <w:t>Базовые показатели</w:t>
            </w:r>
          </w:p>
        </w:tc>
        <w:tc>
          <w:tcPr>
            <w:tcW w:w="839" w:type="pct"/>
            <w:tcBorders>
              <w:top w:val="single" w:sz="4" w:space="0" w:color="auto"/>
            </w:tcBorders>
            <w:shd w:val="clear" w:color="auto" w:fill="auto"/>
            <w:tcMar>
              <w:top w:w="110" w:type="dxa"/>
            </w:tcMar>
            <w:vAlign w:val="center"/>
          </w:tcPr>
          <w:p w:rsidR="00495A3D" w:rsidRPr="0019748E" w:rsidRDefault="00495A3D" w:rsidP="00495A3D">
            <w:pPr>
              <w:keepNext/>
              <w:keepLines/>
              <w:rPr>
                <w:rFonts w:cs="Arial"/>
                <w:b/>
                <w:sz w:val="16"/>
                <w:szCs w:val="16"/>
              </w:rPr>
            </w:pPr>
            <w:r w:rsidRPr="0019748E">
              <w:rPr>
                <w:b/>
                <w:sz w:val="16"/>
                <w:szCs w:val="16"/>
              </w:rPr>
              <w:t>Цели</w:t>
            </w:r>
          </w:p>
        </w:tc>
        <w:tc>
          <w:tcPr>
            <w:tcW w:w="1120" w:type="pct"/>
            <w:gridSpan w:val="4"/>
            <w:tcBorders>
              <w:top w:val="single" w:sz="4" w:space="0" w:color="auto"/>
            </w:tcBorders>
            <w:shd w:val="clear" w:color="auto" w:fill="FFFFFF"/>
            <w:tcMar>
              <w:top w:w="110" w:type="dxa"/>
            </w:tcMar>
            <w:vAlign w:val="center"/>
          </w:tcPr>
          <w:p w:rsidR="00495A3D" w:rsidRPr="0019748E" w:rsidRDefault="00495A3D" w:rsidP="00495A3D">
            <w:pPr>
              <w:keepNext/>
              <w:keepLines/>
              <w:rPr>
                <w:rFonts w:cs="Arial"/>
                <w:sz w:val="16"/>
                <w:szCs w:val="16"/>
              </w:rPr>
            </w:pPr>
            <w:r w:rsidRPr="0019748E">
              <w:rPr>
                <w:b/>
                <w:sz w:val="16"/>
                <w:szCs w:val="16"/>
              </w:rPr>
              <w:t>Данные о результативности</w:t>
            </w:r>
          </w:p>
        </w:tc>
        <w:tc>
          <w:tcPr>
            <w:tcW w:w="620" w:type="pct"/>
            <w:tcBorders>
              <w:top w:val="single" w:sz="4" w:space="0" w:color="auto"/>
            </w:tcBorders>
            <w:shd w:val="clear" w:color="auto" w:fill="auto"/>
            <w:tcMar>
              <w:top w:w="110" w:type="dxa"/>
            </w:tcMar>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FE4E8D">
        <w:trPr>
          <w:cantSplit/>
        </w:trPr>
        <w:tc>
          <w:tcPr>
            <w:tcW w:w="1106" w:type="pct"/>
            <w:tcBorders>
              <w:bottom w:val="single" w:sz="4" w:space="0" w:color="auto"/>
            </w:tcBorders>
            <w:shd w:val="clear" w:color="auto" w:fill="auto"/>
          </w:tcPr>
          <w:p w:rsidR="00495A3D" w:rsidRPr="00495A3D" w:rsidRDefault="00495A3D" w:rsidP="00495A3D">
            <w:pPr>
              <w:rPr>
                <w:rFonts w:cs="Arial"/>
                <w:sz w:val="16"/>
                <w:szCs w:val="16"/>
                <w:lang w:val="ru-RU"/>
              </w:rPr>
            </w:pPr>
            <w:r w:rsidRPr="00495A3D">
              <w:rPr>
                <w:sz w:val="16"/>
                <w:szCs w:val="16"/>
                <w:lang w:val="ru-RU"/>
              </w:rPr>
              <w:t>Число пользователей из стран с переходной экономикой и развитых стран, воспользовавшихся услугами ЦАП</w:t>
            </w:r>
          </w:p>
        </w:tc>
        <w:tc>
          <w:tcPr>
            <w:tcW w:w="1315" w:type="pct"/>
            <w:tcBorders>
              <w:bottom w:val="single" w:sz="4" w:space="0" w:color="auto"/>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r w:rsidRPr="00495A3D">
              <w:rPr>
                <w:color w:val="002060"/>
                <w:sz w:val="16"/>
                <w:szCs w:val="16"/>
                <w:lang w:val="ru-RU"/>
              </w:rPr>
              <w:t>359 споров и 51 процедура посредничества с участием сторон из стран с переходной экономикой и развитых стран (всего на конец 2013 г.)</w:t>
            </w:r>
            <w:r w:rsidRPr="00495A3D">
              <w:rPr>
                <w:i/>
                <w:color w:val="002060"/>
                <w:sz w:val="16"/>
                <w:szCs w:val="16"/>
                <w:lang w:val="ru-RU"/>
              </w:rPr>
              <w:t xml:space="preserve"> </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color w:val="000000"/>
                <w:sz w:val="16"/>
                <w:szCs w:val="16"/>
                <w:lang w:val="ru-RU"/>
              </w:rPr>
            </w:pPr>
            <w:r w:rsidRPr="00495A3D">
              <w:rPr>
                <w:i/>
                <w:sz w:val="16"/>
                <w:szCs w:val="16"/>
                <w:lang w:val="ru-RU"/>
              </w:rPr>
              <w:t xml:space="preserve">Исходные базовые показатели ПиБ на 2014–2015 гг.: </w:t>
            </w:r>
            <w:r w:rsidRPr="00495A3D">
              <w:rPr>
                <w:sz w:val="16"/>
                <w:szCs w:val="16"/>
                <w:lang w:val="ru-RU"/>
              </w:rPr>
              <w:t>будет определено позднее</w:t>
            </w:r>
            <w:r w:rsidRPr="00495A3D">
              <w:rPr>
                <w:rFonts w:cs="Arial"/>
                <w:sz w:val="16"/>
                <w:szCs w:val="16"/>
                <w:lang w:val="ru-RU"/>
              </w:rPr>
              <w:br/>
            </w:r>
          </w:p>
        </w:tc>
        <w:tc>
          <w:tcPr>
            <w:tcW w:w="839" w:type="pct"/>
            <w:tcBorders>
              <w:bottom w:val="single" w:sz="4" w:space="0" w:color="auto"/>
            </w:tcBorders>
            <w:shd w:val="clear" w:color="auto" w:fill="auto"/>
            <w:tcMar>
              <w:top w:w="110" w:type="dxa"/>
            </w:tcMar>
          </w:tcPr>
          <w:p w:rsidR="00495A3D" w:rsidRPr="0019748E" w:rsidRDefault="00495A3D" w:rsidP="00495A3D">
            <w:pPr>
              <w:rPr>
                <w:rFonts w:cs="Arial"/>
                <w:sz w:val="16"/>
                <w:szCs w:val="16"/>
              </w:rPr>
            </w:pPr>
            <w:r w:rsidRPr="0019748E">
              <w:rPr>
                <w:sz w:val="16"/>
                <w:szCs w:val="16"/>
              </w:rPr>
              <w:t>Увеличение на 2%</w:t>
            </w:r>
          </w:p>
        </w:tc>
        <w:tc>
          <w:tcPr>
            <w:tcW w:w="1120" w:type="pct"/>
            <w:gridSpan w:val="4"/>
            <w:tcBorders>
              <w:bottom w:val="single" w:sz="4" w:space="0" w:color="auto"/>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В 2014–2015</w:t>
            </w:r>
            <w:r w:rsidRPr="0019748E">
              <w:rPr>
                <w:sz w:val="16"/>
                <w:szCs w:val="16"/>
              </w:rPr>
              <w:t> </w:t>
            </w:r>
            <w:r w:rsidRPr="00495A3D">
              <w:rPr>
                <w:sz w:val="16"/>
                <w:szCs w:val="16"/>
                <w:lang w:val="ru-RU"/>
              </w:rPr>
              <w:t xml:space="preserve">гг. еще 102 спора и случая применения процедуры посредничества с участием партнеров из стран с переходной экономикой и развитых стран </w:t>
            </w:r>
          </w:p>
          <w:p w:rsidR="00495A3D" w:rsidRPr="00495A3D" w:rsidRDefault="00495A3D" w:rsidP="00495A3D">
            <w:pPr>
              <w:rPr>
                <w:rFonts w:cs="Arial"/>
                <w:sz w:val="16"/>
                <w:szCs w:val="16"/>
                <w:lang w:val="ru-RU"/>
              </w:rPr>
            </w:pPr>
            <w:r w:rsidRPr="00495A3D">
              <w:rPr>
                <w:sz w:val="16"/>
                <w:szCs w:val="16"/>
                <w:lang w:val="ru-RU"/>
              </w:rPr>
              <w:t>+24,8%</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461 спор и процедура посредничества с участием сторон из стран с переходной экономикой и развитых стран (всего на конец 2015 г.)</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tc>
        <w:tc>
          <w:tcPr>
            <w:tcW w:w="620" w:type="pct"/>
            <w:tcBorders>
              <w:bottom w:val="single" w:sz="4" w:space="0" w:color="auto"/>
            </w:tcBorders>
            <w:shd w:val="clear" w:color="auto" w:fill="auto"/>
            <w:tcMar>
              <w:top w:w="110" w:type="dxa"/>
            </w:tcMar>
          </w:tcPr>
          <w:p w:rsidR="00495A3D" w:rsidRPr="0019748E" w:rsidRDefault="00495A3D" w:rsidP="00495A3D">
            <w:pPr>
              <w:keepNext/>
              <w:keepLines/>
              <w:jc w:val="center"/>
              <w:rPr>
                <w:rFonts w:cs="Arial"/>
                <w:bCs/>
                <w:color w:val="808080"/>
                <w:sz w:val="16"/>
                <w:szCs w:val="16"/>
              </w:rPr>
            </w:pPr>
            <w:r w:rsidRPr="0019748E">
              <w:rPr>
                <w:b/>
                <w:color w:val="00B050"/>
                <w:sz w:val="16"/>
                <w:szCs w:val="16"/>
              </w:rPr>
              <w:t>Выполнено</w:t>
            </w:r>
          </w:p>
        </w:tc>
      </w:tr>
      <w:tr w:rsidR="00495A3D" w:rsidRPr="005C6ABD" w:rsidTr="00495A3D">
        <w:trPr>
          <w:cantSplit/>
          <w:trHeight w:val="439"/>
        </w:trPr>
        <w:tc>
          <w:tcPr>
            <w:tcW w:w="5000" w:type="pct"/>
            <w:gridSpan w:val="8"/>
            <w:tcBorders>
              <w:top w:val="single" w:sz="4" w:space="0" w:color="auto"/>
              <w:bottom w:val="single" w:sz="4" w:space="0" w:color="auto"/>
            </w:tcBorders>
            <w:shd w:val="clear" w:color="auto" w:fill="C6D9F1" w:themeFill="text2" w:themeFillTint="33"/>
            <w:vAlign w:val="center"/>
          </w:tcPr>
          <w:p w:rsidR="00495A3D" w:rsidRPr="00495A3D" w:rsidRDefault="00495A3D" w:rsidP="005177C8">
            <w:pPr>
              <w:keepNext/>
              <w:keepLines/>
              <w:tabs>
                <w:tab w:val="left" w:pos="2302"/>
              </w:tabs>
              <w:ind w:left="2302" w:hanging="2302"/>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sz w:val="16"/>
                <w:szCs w:val="16"/>
              </w:rPr>
              <w:t>III</w:t>
            </w:r>
            <w:r w:rsidRPr="00495A3D">
              <w:rPr>
                <w:sz w:val="16"/>
                <w:szCs w:val="16"/>
                <w:lang w:val="ru-RU"/>
              </w:rPr>
              <w:t>.1. Национальные стратегии и планы в области инноваци</w:t>
            </w:r>
            <w:r w:rsidR="005177C8">
              <w:rPr>
                <w:sz w:val="16"/>
                <w:szCs w:val="16"/>
                <w:lang w:val="ru-RU"/>
              </w:rPr>
              <w:t xml:space="preserve">й и ИС, согласующиеся с целями </w:t>
            </w:r>
            <w:r w:rsidRPr="00495A3D">
              <w:rPr>
                <w:sz w:val="16"/>
                <w:szCs w:val="16"/>
                <w:lang w:val="ru-RU"/>
              </w:rPr>
              <w:t>национального развития</w:t>
            </w:r>
          </w:p>
        </w:tc>
      </w:tr>
      <w:tr w:rsidR="00495A3D" w:rsidRPr="0019748E" w:rsidTr="005177C8">
        <w:trPr>
          <w:cantSplit/>
          <w:trHeight w:val="274"/>
        </w:trPr>
        <w:tc>
          <w:tcPr>
            <w:tcW w:w="1106" w:type="pct"/>
            <w:tcBorders>
              <w:top w:val="single" w:sz="4" w:space="0" w:color="auto"/>
              <w:left w:val="single" w:sz="4" w:space="0" w:color="auto"/>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Показатели результативности</w:t>
            </w:r>
          </w:p>
        </w:tc>
        <w:tc>
          <w:tcPr>
            <w:tcW w:w="1315"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bCs/>
                <w:sz w:val="16"/>
                <w:szCs w:val="16"/>
              </w:rPr>
            </w:pPr>
            <w:r w:rsidRPr="0019748E">
              <w:rPr>
                <w:b/>
                <w:sz w:val="16"/>
                <w:szCs w:val="16"/>
              </w:rPr>
              <w:t>Базовые показатели</w:t>
            </w:r>
          </w:p>
        </w:tc>
        <w:tc>
          <w:tcPr>
            <w:tcW w:w="839"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sz w:val="16"/>
                <w:szCs w:val="16"/>
              </w:rPr>
            </w:pPr>
            <w:r w:rsidRPr="0019748E">
              <w:rPr>
                <w:b/>
                <w:sz w:val="16"/>
                <w:szCs w:val="16"/>
              </w:rPr>
              <w:t>Цели</w:t>
            </w:r>
          </w:p>
        </w:tc>
        <w:tc>
          <w:tcPr>
            <w:tcW w:w="1120" w:type="pct"/>
            <w:gridSpan w:val="4"/>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Данные о результативности</w:t>
            </w:r>
          </w:p>
        </w:tc>
        <w:tc>
          <w:tcPr>
            <w:tcW w:w="620" w:type="pct"/>
            <w:tcBorders>
              <w:top w:val="single" w:sz="4" w:space="0" w:color="auto"/>
              <w:left w:val="nil"/>
              <w:bottom w:val="nil"/>
              <w:right w:val="single" w:sz="4" w:space="0" w:color="auto"/>
            </w:tcBorders>
            <w:shd w:val="clear" w:color="auto" w:fill="auto"/>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5177C8">
        <w:trPr>
          <w:cantSplit/>
        </w:trPr>
        <w:tc>
          <w:tcPr>
            <w:tcW w:w="1106" w:type="pct"/>
            <w:tcBorders>
              <w:top w:val="nil"/>
              <w:left w:val="single" w:sz="4" w:space="0" w:color="auto"/>
              <w:bottom w:val="single" w:sz="4" w:space="0" w:color="auto"/>
              <w:right w:val="nil"/>
            </w:tcBorders>
            <w:shd w:val="clear" w:color="auto" w:fill="auto"/>
          </w:tcPr>
          <w:p w:rsidR="00495A3D" w:rsidRPr="00495A3D" w:rsidRDefault="00495A3D" w:rsidP="00495A3D">
            <w:pPr>
              <w:rPr>
                <w:rFonts w:cs="Arial"/>
                <w:sz w:val="16"/>
                <w:szCs w:val="16"/>
                <w:lang w:val="ru-RU"/>
              </w:rPr>
            </w:pPr>
            <w:r w:rsidRPr="00495A3D">
              <w:rPr>
                <w:sz w:val="16"/>
                <w:szCs w:val="16"/>
                <w:lang w:val="ru-RU"/>
              </w:rPr>
              <w:t>Число университетов, разработавших собственную политику в области ИС</w:t>
            </w:r>
          </w:p>
        </w:tc>
        <w:tc>
          <w:tcPr>
            <w:tcW w:w="1315" w:type="pct"/>
            <w:tcBorders>
              <w:top w:val="nil"/>
              <w:left w:val="nil"/>
              <w:bottom w:val="single" w:sz="4" w:space="0" w:color="auto"/>
              <w:right w:val="nil"/>
            </w:tcBorders>
            <w:shd w:val="clear" w:color="auto" w:fill="auto"/>
          </w:tcPr>
          <w:p w:rsidR="00495A3D" w:rsidRPr="0019748E" w:rsidRDefault="00495A3D" w:rsidP="00495A3D">
            <w:pPr>
              <w:rPr>
                <w:rFonts w:cs="Arial"/>
                <w:i/>
                <w:color w:val="002060"/>
                <w:sz w:val="16"/>
                <w:szCs w:val="16"/>
              </w:rPr>
            </w:pPr>
            <w:r w:rsidRPr="0019748E">
              <w:rPr>
                <w:sz w:val="16"/>
                <w:szCs w:val="16"/>
              </w:rPr>
              <w:t>будет определено позднее</w:t>
            </w:r>
          </w:p>
        </w:tc>
        <w:tc>
          <w:tcPr>
            <w:tcW w:w="839" w:type="pct"/>
            <w:tcBorders>
              <w:top w:val="nil"/>
              <w:left w:val="nil"/>
              <w:bottom w:val="single" w:sz="4" w:space="0" w:color="auto"/>
              <w:right w:val="nil"/>
            </w:tcBorders>
            <w:shd w:val="clear" w:color="auto" w:fill="auto"/>
            <w:tcMar>
              <w:top w:w="110" w:type="dxa"/>
            </w:tcMar>
          </w:tcPr>
          <w:p w:rsidR="00495A3D" w:rsidRPr="0019748E" w:rsidRDefault="00495A3D" w:rsidP="00495A3D">
            <w:pPr>
              <w:rPr>
                <w:rFonts w:cs="Arial"/>
                <w:sz w:val="16"/>
                <w:szCs w:val="16"/>
              </w:rPr>
            </w:pPr>
            <w:r w:rsidRPr="0019748E">
              <w:rPr>
                <w:sz w:val="16"/>
                <w:szCs w:val="16"/>
              </w:rPr>
              <w:t>Еще 30 университетов</w:t>
            </w:r>
          </w:p>
        </w:tc>
        <w:tc>
          <w:tcPr>
            <w:tcW w:w="1120" w:type="pct"/>
            <w:gridSpan w:val="4"/>
            <w:tcBorders>
              <w:top w:val="nil"/>
              <w:left w:val="nil"/>
              <w:bottom w:val="single" w:sz="4" w:space="0" w:color="auto"/>
              <w:right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436 (Польша 434; Российская Федерация 1; Узбекистан 1)</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1 октября 2014</w:t>
            </w:r>
            <w:r w:rsidRPr="0019748E">
              <w:rPr>
                <w:sz w:val="16"/>
                <w:szCs w:val="16"/>
              </w:rPr>
              <w:t> </w:t>
            </w:r>
            <w:r w:rsidRPr="00495A3D">
              <w:rPr>
                <w:sz w:val="16"/>
                <w:szCs w:val="16"/>
                <w:lang w:val="ru-RU"/>
              </w:rPr>
              <w:t>г. в Польше был принят Закон о высшем образовании, согласно которому все высшие учебные заведения обязаны разработать актуальную политику в области ИС к 31</w:t>
            </w:r>
            <w:r>
              <w:rPr>
                <w:sz w:val="16"/>
                <w:szCs w:val="16"/>
              </w:rPr>
              <w:t> </w:t>
            </w:r>
            <w:r w:rsidRPr="00495A3D">
              <w:rPr>
                <w:sz w:val="16"/>
                <w:szCs w:val="16"/>
                <w:lang w:val="ru-RU"/>
              </w:rPr>
              <w:t>марта 2015</w:t>
            </w:r>
            <w:r w:rsidRPr="0019748E">
              <w:rPr>
                <w:sz w:val="16"/>
                <w:szCs w:val="16"/>
              </w:rPr>
              <w:t> </w:t>
            </w:r>
            <w:r w:rsidRPr="00495A3D">
              <w:rPr>
                <w:sz w:val="16"/>
                <w:szCs w:val="16"/>
                <w:lang w:val="ru-RU"/>
              </w:rPr>
              <w:t>г.</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В 2014–2015</w:t>
            </w:r>
            <w:r w:rsidRPr="0019748E">
              <w:rPr>
                <w:sz w:val="16"/>
                <w:szCs w:val="16"/>
              </w:rPr>
              <w:t> </w:t>
            </w:r>
            <w:r w:rsidRPr="00495A3D">
              <w:rPr>
                <w:sz w:val="16"/>
                <w:szCs w:val="16"/>
                <w:lang w:val="ru-RU"/>
              </w:rPr>
              <w:t>гг. университеты Эстонии, Литвы и Словакии находились в процессе разработки политики в области ИС.</w:t>
            </w:r>
          </w:p>
          <w:p w:rsidR="00495A3D" w:rsidRPr="00495A3D" w:rsidRDefault="00495A3D" w:rsidP="00495A3D">
            <w:pPr>
              <w:rPr>
                <w:rFonts w:cs="Arial"/>
                <w:sz w:val="16"/>
                <w:szCs w:val="16"/>
                <w:lang w:val="ru-RU"/>
              </w:rPr>
            </w:pPr>
          </w:p>
        </w:tc>
        <w:tc>
          <w:tcPr>
            <w:tcW w:w="620" w:type="pct"/>
            <w:tcBorders>
              <w:top w:val="nil"/>
              <w:left w:val="nil"/>
              <w:bottom w:val="single" w:sz="4" w:space="0" w:color="auto"/>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r w:rsidR="00495A3D" w:rsidRPr="0019748E" w:rsidTr="005177C8">
        <w:trPr>
          <w:cantSplit/>
        </w:trPr>
        <w:tc>
          <w:tcPr>
            <w:tcW w:w="1106" w:type="pct"/>
            <w:tcBorders>
              <w:top w:val="single" w:sz="4" w:space="0" w:color="auto"/>
              <w:left w:val="single" w:sz="4" w:space="0" w:color="auto"/>
              <w:bottom w:val="single" w:sz="4" w:space="0" w:color="auto"/>
            </w:tcBorders>
            <w:shd w:val="clear" w:color="auto" w:fill="auto"/>
          </w:tcPr>
          <w:p w:rsidR="00495A3D" w:rsidRPr="00495A3D" w:rsidRDefault="00495A3D" w:rsidP="00495A3D">
            <w:pPr>
              <w:rPr>
                <w:rFonts w:cs="Arial"/>
                <w:sz w:val="16"/>
                <w:szCs w:val="16"/>
                <w:lang w:val="ru-RU"/>
              </w:rPr>
            </w:pPr>
            <w:r w:rsidRPr="00495A3D">
              <w:rPr>
                <w:sz w:val="16"/>
                <w:szCs w:val="16"/>
                <w:lang w:val="ru-RU"/>
              </w:rPr>
              <w:t>Число стран, разработавших национальные стратегии/планы в области ИС</w:t>
            </w:r>
          </w:p>
        </w:tc>
        <w:tc>
          <w:tcPr>
            <w:tcW w:w="1315" w:type="pct"/>
            <w:tcBorders>
              <w:top w:val="single" w:sz="4" w:space="0" w:color="auto"/>
              <w:bottom w:val="single" w:sz="4" w:space="0" w:color="auto"/>
            </w:tcBorders>
            <w:shd w:val="clear" w:color="auto" w:fill="auto"/>
          </w:tcPr>
          <w:p w:rsidR="00495A3D" w:rsidRPr="00495A3D" w:rsidRDefault="00495A3D" w:rsidP="00495A3D">
            <w:pPr>
              <w:rPr>
                <w:rFonts w:cs="Arial"/>
                <w:i/>
                <w:color w:val="002060"/>
                <w:sz w:val="16"/>
                <w:szCs w:val="16"/>
                <w:lang w:val="ru-RU"/>
              </w:rPr>
            </w:pPr>
            <w:r w:rsidRPr="00495A3D">
              <w:rPr>
                <w:sz w:val="16"/>
                <w:szCs w:val="16"/>
                <w:lang w:val="ru-RU"/>
              </w:rPr>
              <w:t>14 (всего по состоянию на конец 2013 г.)</w:t>
            </w:r>
          </w:p>
        </w:tc>
        <w:tc>
          <w:tcPr>
            <w:tcW w:w="839" w:type="pct"/>
            <w:tcBorders>
              <w:top w:val="single" w:sz="4" w:space="0" w:color="auto"/>
              <w:bottom w:val="single" w:sz="4" w:space="0" w:color="auto"/>
            </w:tcBorders>
            <w:shd w:val="clear" w:color="auto" w:fill="auto"/>
            <w:tcMar>
              <w:top w:w="110" w:type="dxa"/>
            </w:tcMar>
          </w:tcPr>
          <w:p w:rsidR="00495A3D" w:rsidRPr="0019748E" w:rsidRDefault="00495A3D" w:rsidP="00495A3D">
            <w:pPr>
              <w:rPr>
                <w:rFonts w:cs="Arial"/>
                <w:sz w:val="16"/>
                <w:szCs w:val="16"/>
              </w:rPr>
            </w:pPr>
            <w:r w:rsidRPr="0019748E">
              <w:rPr>
                <w:sz w:val="16"/>
                <w:szCs w:val="16"/>
              </w:rPr>
              <w:t>Еще 6 стран</w:t>
            </w:r>
          </w:p>
        </w:tc>
        <w:tc>
          <w:tcPr>
            <w:tcW w:w="1120" w:type="pct"/>
            <w:gridSpan w:val="4"/>
            <w:tcBorders>
              <w:top w:val="single" w:sz="4" w:space="0" w:color="auto"/>
              <w:bottom w:val="single" w:sz="4" w:space="0" w:color="auto"/>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6 (Болгария, Словения, Таджикистан, Турция, Туркменистан, Украина)</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 xml:space="preserve">4 страны (Албания, Грузия, Польша, Латвия) начали разработку национальной стратегии в области ИС. </w:t>
            </w:r>
          </w:p>
        </w:tc>
        <w:tc>
          <w:tcPr>
            <w:tcW w:w="620" w:type="pct"/>
            <w:tcBorders>
              <w:top w:val="single" w:sz="4" w:space="0" w:color="auto"/>
              <w:bottom w:val="single" w:sz="4" w:space="0" w:color="auto"/>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r w:rsidR="00495A3D" w:rsidRPr="005C6ABD" w:rsidTr="00495A3D">
        <w:trPr>
          <w:cantSplit/>
          <w:trHeight w:val="501"/>
        </w:trPr>
        <w:tc>
          <w:tcPr>
            <w:tcW w:w="5000" w:type="pct"/>
            <w:gridSpan w:val="8"/>
            <w:tcBorders>
              <w:top w:val="single" w:sz="4" w:space="0" w:color="auto"/>
              <w:bottom w:val="single" w:sz="4" w:space="0" w:color="auto"/>
            </w:tcBorders>
            <w:shd w:val="clear" w:color="auto" w:fill="C6D9F1" w:themeFill="text2" w:themeFillTint="33"/>
            <w:vAlign w:val="center"/>
          </w:tcPr>
          <w:p w:rsidR="00495A3D" w:rsidRPr="00495A3D" w:rsidRDefault="00495A3D" w:rsidP="005177C8">
            <w:pPr>
              <w:keepNext/>
              <w:keepLines/>
              <w:tabs>
                <w:tab w:val="left" w:pos="2160"/>
              </w:tabs>
              <w:ind w:left="2160" w:hanging="2160"/>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sz w:val="16"/>
                <w:szCs w:val="16"/>
              </w:rPr>
              <w:t>III</w:t>
            </w:r>
            <w:r w:rsidRPr="00495A3D">
              <w:rPr>
                <w:sz w:val="16"/>
                <w:szCs w:val="16"/>
                <w:lang w:val="ru-RU"/>
              </w:rPr>
              <w:t>.2. Улучшенный потенциал людских ресурсов, спос</w:t>
            </w:r>
            <w:r w:rsidR="005177C8">
              <w:rPr>
                <w:sz w:val="16"/>
                <w:szCs w:val="16"/>
                <w:lang w:val="ru-RU"/>
              </w:rPr>
              <w:t xml:space="preserve">обных выполнять широкий спектр </w:t>
            </w:r>
            <w:r w:rsidRPr="00495A3D">
              <w:rPr>
                <w:sz w:val="16"/>
                <w:szCs w:val="16"/>
                <w:lang w:val="ru-RU"/>
              </w:rPr>
              <w:t>требований в отношении эффективного испол</w:t>
            </w:r>
            <w:r w:rsidR="005177C8">
              <w:rPr>
                <w:sz w:val="16"/>
                <w:szCs w:val="16"/>
                <w:lang w:val="ru-RU"/>
              </w:rPr>
              <w:t xml:space="preserve">ьзования ИС в целях развития в </w:t>
            </w:r>
            <w:r w:rsidRPr="00495A3D">
              <w:rPr>
                <w:sz w:val="16"/>
                <w:szCs w:val="16"/>
                <w:lang w:val="ru-RU"/>
              </w:rPr>
              <w:t>развивающихся странах, НРС и странах с переходной экономикой</w:t>
            </w:r>
          </w:p>
        </w:tc>
      </w:tr>
      <w:tr w:rsidR="00495A3D" w:rsidRPr="0019748E" w:rsidTr="00FE4E8D">
        <w:trPr>
          <w:cantSplit/>
          <w:trHeight w:val="281"/>
        </w:trPr>
        <w:tc>
          <w:tcPr>
            <w:tcW w:w="1106" w:type="pct"/>
            <w:tcBorders>
              <w:top w:val="single" w:sz="4" w:space="0" w:color="auto"/>
              <w:left w:val="single" w:sz="4" w:space="0" w:color="auto"/>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Показатели результативности</w:t>
            </w:r>
          </w:p>
        </w:tc>
        <w:tc>
          <w:tcPr>
            <w:tcW w:w="1315"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bCs/>
                <w:sz w:val="16"/>
                <w:szCs w:val="16"/>
              </w:rPr>
            </w:pPr>
            <w:r w:rsidRPr="0019748E">
              <w:rPr>
                <w:b/>
                <w:sz w:val="16"/>
                <w:szCs w:val="16"/>
              </w:rPr>
              <w:t>Базовые показатели</w:t>
            </w:r>
          </w:p>
        </w:tc>
        <w:tc>
          <w:tcPr>
            <w:tcW w:w="839"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sz w:val="16"/>
                <w:szCs w:val="16"/>
              </w:rPr>
            </w:pPr>
            <w:r w:rsidRPr="0019748E">
              <w:rPr>
                <w:b/>
                <w:sz w:val="16"/>
                <w:szCs w:val="16"/>
              </w:rPr>
              <w:t>Цели</w:t>
            </w:r>
          </w:p>
        </w:tc>
        <w:tc>
          <w:tcPr>
            <w:tcW w:w="1113" w:type="pct"/>
            <w:gridSpan w:val="3"/>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Данные о результативности</w:t>
            </w:r>
          </w:p>
        </w:tc>
        <w:tc>
          <w:tcPr>
            <w:tcW w:w="627" w:type="pct"/>
            <w:gridSpan w:val="2"/>
            <w:tcBorders>
              <w:top w:val="single" w:sz="4" w:space="0" w:color="auto"/>
              <w:left w:val="nil"/>
              <w:bottom w:val="nil"/>
              <w:right w:val="single" w:sz="4" w:space="0" w:color="auto"/>
            </w:tcBorders>
            <w:shd w:val="clear" w:color="auto" w:fill="auto"/>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FE4E8D">
        <w:trPr>
          <w:cantSplit/>
        </w:trPr>
        <w:tc>
          <w:tcPr>
            <w:tcW w:w="1106" w:type="pct"/>
            <w:tcBorders>
              <w:top w:val="nil"/>
              <w:left w:val="single" w:sz="4" w:space="0" w:color="auto"/>
              <w:bottom w:val="nil"/>
              <w:right w:val="nil"/>
            </w:tcBorders>
            <w:shd w:val="clear" w:color="auto" w:fill="auto"/>
          </w:tcPr>
          <w:p w:rsidR="00495A3D" w:rsidRPr="00495A3D" w:rsidRDefault="00495A3D" w:rsidP="00495A3D">
            <w:pPr>
              <w:rPr>
                <w:rFonts w:cs="Arial"/>
                <w:sz w:val="16"/>
                <w:szCs w:val="16"/>
                <w:lang w:val="ru-RU"/>
              </w:rPr>
            </w:pPr>
            <w:r w:rsidRPr="00495A3D">
              <w:rPr>
                <w:sz w:val="16"/>
                <w:szCs w:val="16"/>
                <w:lang w:val="ru-RU"/>
              </w:rPr>
              <w:t>Число стран с переходной экономикой, разработавших ежегодные программы подготовки в области ИС и/или курсы профессиональной подготовки для специалистов в области ИС</w:t>
            </w:r>
          </w:p>
        </w:tc>
        <w:tc>
          <w:tcPr>
            <w:tcW w:w="1315" w:type="pct"/>
            <w:tcBorders>
              <w:top w:val="nil"/>
              <w:left w:val="nil"/>
              <w:bottom w:val="nil"/>
              <w:right w:val="nil"/>
            </w:tcBorders>
            <w:shd w:val="clear" w:color="auto" w:fill="auto"/>
          </w:tcPr>
          <w:p w:rsidR="00495A3D" w:rsidRPr="0019748E" w:rsidRDefault="00495A3D" w:rsidP="00495A3D">
            <w:pPr>
              <w:rPr>
                <w:rFonts w:cs="Arial"/>
                <w:i/>
                <w:color w:val="002060"/>
                <w:sz w:val="16"/>
                <w:szCs w:val="16"/>
              </w:rPr>
            </w:pPr>
            <w:r w:rsidRPr="0019748E">
              <w:rPr>
                <w:sz w:val="16"/>
                <w:szCs w:val="16"/>
              </w:rPr>
              <w:t>будет определено позднее</w:t>
            </w:r>
          </w:p>
        </w:tc>
        <w:tc>
          <w:tcPr>
            <w:tcW w:w="839" w:type="pct"/>
            <w:tcBorders>
              <w:top w:val="nil"/>
              <w:left w:val="nil"/>
              <w:bottom w:val="nil"/>
              <w:right w:val="nil"/>
            </w:tcBorders>
            <w:shd w:val="clear" w:color="auto" w:fill="auto"/>
            <w:tcMar>
              <w:top w:w="110" w:type="dxa"/>
            </w:tcMar>
          </w:tcPr>
          <w:p w:rsidR="00495A3D" w:rsidRPr="0019748E" w:rsidRDefault="00495A3D" w:rsidP="00495A3D">
            <w:pPr>
              <w:rPr>
                <w:rFonts w:cs="Arial"/>
                <w:sz w:val="16"/>
                <w:szCs w:val="16"/>
              </w:rPr>
            </w:pPr>
            <w:r w:rsidRPr="0019748E">
              <w:rPr>
                <w:sz w:val="16"/>
                <w:szCs w:val="16"/>
              </w:rPr>
              <w:t>10</w:t>
            </w:r>
          </w:p>
          <w:p w:rsidR="00495A3D" w:rsidRPr="0019748E" w:rsidRDefault="00495A3D" w:rsidP="00495A3D">
            <w:pPr>
              <w:rPr>
                <w:rFonts w:cs="Arial"/>
                <w:sz w:val="16"/>
                <w:szCs w:val="16"/>
              </w:rPr>
            </w:pPr>
          </w:p>
        </w:tc>
        <w:tc>
          <w:tcPr>
            <w:tcW w:w="1113" w:type="pct"/>
            <w:gridSpan w:val="3"/>
            <w:tcBorders>
              <w:top w:val="nil"/>
              <w:left w:val="nil"/>
              <w:bottom w:val="nil"/>
              <w:right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 xml:space="preserve">9 (Болгария, Хорватия, Чешская Республика, Грузия, Казахстан, Польша, Румыния, Словакия, Турция) </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27 марта 2015</w:t>
            </w:r>
            <w:r w:rsidRPr="0019748E">
              <w:rPr>
                <w:sz w:val="16"/>
                <w:szCs w:val="16"/>
              </w:rPr>
              <w:t> </w:t>
            </w:r>
            <w:r w:rsidRPr="00495A3D">
              <w:rPr>
                <w:sz w:val="16"/>
                <w:szCs w:val="16"/>
                <w:lang w:val="ru-RU"/>
              </w:rPr>
              <w:t>г. правительство Румынии утвердило программу курса по выбору, посвященного правам интеллектуальной собственности (Решение об учебной программе высшей школы)</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p>
        </w:tc>
        <w:tc>
          <w:tcPr>
            <w:tcW w:w="627" w:type="pct"/>
            <w:gridSpan w:val="2"/>
            <w:tcBorders>
              <w:top w:val="nil"/>
              <w:left w:val="nil"/>
              <w:bottom w:val="nil"/>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r w:rsidR="00495A3D" w:rsidRPr="0019748E" w:rsidTr="00FE4E8D">
        <w:trPr>
          <w:cantSplit/>
        </w:trPr>
        <w:tc>
          <w:tcPr>
            <w:tcW w:w="1106" w:type="pct"/>
            <w:tcBorders>
              <w:top w:val="nil"/>
              <w:left w:val="single" w:sz="4" w:space="0" w:color="auto"/>
              <w:bottom w:val="single" w:sz="4" w:space="0" w:color="auto"/>
            </w:tcBorders>
            <w:shd w:val="clear" w:color="auto" w:fill="auto"/>
          </w:tcPr>
          <w:p w:rsidR="00495A3D" w:rsidRPr="00495A3D" w:rsidRDefault="00495A3D" w:rsidP="00495A3D">
            <w:pPr>
              <w:rPr>
                <w:rFonts w:cs="Arial"/>
                <w:sz w:val="16"/>
                <w:szCs w:val="16"/>
                <w:lang w:val="ru-RU"/>
              </w:rPr>
            </w:pPr>
            <w:r w:rsidRPr="00495A3D">
              <w:rPr>
                <w:sz w:val="16"/>
                <w:szCs w:val="16"/>
                <w:lang w:val="ru-RU"/>
              </w:rPr>
              <w:t>Доля (в %) прошедших обучение экспертов в области ИС и должностных лиц ведомств ИС, использующих приобретенные новые навыки в своей профессиональной деятельности</w:t>
            </w:r>
          </w:p>
        </w:tc>
        <w:tc>
          <w:tcPr>
            <w:tcW w:w="1315" w:type="pct"/>
            <w:tcBorders>
              <w:top w:val="nil"/>
              <w:bottom w:val="single" w:sz="4" w:space="0" w:color="auto"/>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r w:rsidRPr="00495A3D">
              <w:rPr>
                <w:color w:val="002060"/>
                <w:sz w:val="16"/>
                <w:szCs w:val="16"/>
                <w:lang w:val="ru-RU"/>
              </w:rPr>
              <w:t>69% прошедших обучение сотрудников ведомств ИС использовали приобретенные новые навыки в своей работе</w:t>
            </w:r>
          </w:p>
          <w:p w:rsidR="00495A3D" w:rsidRPr="00495A3D" w:rsidRDefault="00495A3D" w:rsidP="00495A3D">
            <w:pPr>
              <w:rPr>
                <w:rFonts w:cs="Arial"/>
                <w:i/>
                <w:color w:val="002060"/>
                <w:sz w:val="16"/>
                <w:szCs w:val="16"/>
                <w:lang w:val="ru-RU"/>
              </w:rPr>
            </w:pPr>
          </w:p>
          <w:p w:rsidR="00495A3D" w:rsidRPr="00495A3D" w:rsidRDefault="00495A3D" w:rsidP="00495A3D">
            <w:pPr>
              <w:rPr>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40%</w:t>
            </w:r>
          </w:p>
          <w:p w:rsidR="00495A3D" w:rsidRPr="00495A3D" w:rsidRDefault="00495A3D" w:rsidP="00495A3D">
            <w:pPr>
              <w:rPr>
                <w:rFonts w:cs="Arial"/>
                <w:i/>
                <w:color w:val="002060"/>
                <w:sz w:val="16"/>
                <w:szCs w:val="16"/>
                <w:lang w:val="ru-RU"/>
              </w:rPr>
            </w:pPr>
          </w:p>
        </w:tc>
        <w:tc>
          <w:tcPr>
            <w:tcW w:w="839" w:type="pct"/>
            <w:tcBorders>
              <w:top w:val="nil"/>
              <w:bottom w:val="single" w:sz="4" w:space="0" w:color="auto"/>
            </w:tcBorders>
            <w:shd w:val="clear" w:color="auto" w:fill="auto"/>
            <w:tcMar>
              <w:top w:w="110" w:type="dxa"/>
            </w:tcMar>
          </w:tcPr>
          <w:p w:rsidR="00495A3D" w:rsidRPr="0019748E" w:rsidRDefault="00495A3D" w:rsidP="00495A3D">
            <w:pPr>
              <w:rPr>
                <w:rFonts w:cs="Arial"/>
                <w:sz w:val="16"/>
                <w:szCs w:val="16"/>
              </w:rPr>
            </w:pPr>
            <w:r w:rsidRPr="0019748E">
              <w:rPr>
                <w:sz w:val="16"/>
                <w:szCs w:val="16"/>
              </w:rPr>
              <w:t>50%</w:t>
            </w:r>
          </w:p>
        </w:tc>
        <w:tc>
          <w:tcPr>
            <w:tcW w:w="1113" w:type="pct"/>
            <w:gridSpan w:val="3"/>
            <w:tcBorders>
              <w:top w:val="nil"/>
              <w:bottom w:val="single" w:sz="4" w:space="0" w:color="auto"/>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В 2014–2015</w:t>
            </w:r>
            <w:r w:rsidRPr="0019748E">
              <w:rPr>
                <w:sz w:val="16"/>
                <w:szCs w:val="16"/>
              </w:rPr>
              <w:t> </w:t>
            </w:r>
            <w:r w:rsidRPr="00495A3D">
              <w:rPr>
                <w:sz w:val="16"/>
                <w:szCs w:val="16"/>
                <w:lang w:val="ru-RU"/>
              </w:rPr>
              <w:t>гг. 82,7% прошедших обучение сотрудников из ведомств ИС использовали новые навыки в своей работе</w:t>
            </w:r>
          </w:p>
        </w:tc>
        <w:tc>
          <w:tcPr>
            <w:tcW w:w="627" w:type="pct"/>
            <w:gridSpan w:val="2"/>
            <w:tcBorders>
              <w:top w:val="nil"/>
              <w:bottom w:val="single" w:sz="4" w:space="0" w:color="auto"/>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r w:rsidR="00495A3D" w:rsidRPr="005C6ABD" w:rsidTr="00495A3D">
        <w:trPr>
          <w:cantSplit/>
          <w:trHeight w:val="494"/>
        </w:trPr>
        <w:tc>
          <w:tcPr>
            <w:tcW w:w="5000" w:type="pct"/>
            <w:gridSpan w:val="8"/>
            <w:tcBorders>
              <w:top w:val="single" w:sz="4" w:space="0" w:color="auto"/>
              <w:bottom w:val="single" w:sz="4" w:space="0" w:color="auto"/>
            </w:tcBorders>
            <w:shd w:val="clear" w:color="auto" w:fill="C6D9F1" w:themeFill="text2" w:themeFillTint="33"/>
            <w:vAlign w:val="center"/>
          </w:tcPr>
          <w:p w:rsidR="00495A3D" w:rsidRPr="00495A3D" w:rsidRDefault="00495A3D" w:rsidP="005177C8">
            <w:pPr>
              <w:keepNext/>
              <w:keepLines/>
              <w:tabs>
                <w:tab w:val="left" w:pos="2160"/>
              </w:tabs>
              <w:ind w:left="2160" w:hanging="2160"/>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sz w:val="16"/>
                <w:szCs w:val="16"/>
              </w:rPr>
              <w:t>III</w:t>
            </w:r>
            <w:r w:rsidRPr="00495A3D">
              <w:rPr>
                <w:sz w:val="16"/>
                <w:szCs w:val="16"/>
                <w:lang w:val="ru-RU"/>
              </w:rPr>
              <w:t>.4. Укрепленные механизмы и программы сот</w:t>
            </w:r>
            <w:r w:rsidR="005177C8">
              <w:rPr>
                <w:sz w:val="16"/>
                <w:szCs w:val="16"/>
                <w:lang w:val="ru-RU"/>
              </w:rPr>
              <w:t xml:space="preserve">рудничества, приспособленные к </w:t>
            </w:r>
            <w:r w:rsidRPr="00495A3D">
              <w:rPr>
                <w:sz w:val="16"/>
                <w:szCs w:val="16"/>
                <w:lang w:val="ru-RU"/>
              </w:rPr>
              <w:t>потребностям развивающихся стран и НРС</w:t>
            </w:r>
          </w:p>
        </w:tc>
      </w:tr>
      <w:tr w:rsidR="00495A3D" w:rsidRPr="0019748E" w:rsidTr="00FE4E8D">
        <w:trPr>
          <w:cantSplit/>
          <w:trHeight w:val="371"/>
        </w:trPr>
        <w:tc>
          <w:tcPr>
            <w:tcW w:w="1106" w:type="pct"/>
            <w:tcBorders>
              <w:top w:val="single" w:sz="4" w:space="0" w:color="auto"/>
              <w:left w:val="single" w:sz="4" w:space="0" w:color="auto"/>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Показатели результативности</w:t>
            </w:r>
          </w:p>
        </w:tc>
        <w:tc>
          <w:tcPr>
            <w:tcW w:w="1315"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bCs/>
                <w:sz w:val="16"/>
                <w:szCs w:val="16"/>
              </w:rPr>
            </w:pPr>
            <w:r w:rsidRPr="0019748E">
              <w:rPr>
                <w:b/>
                <w:sz w:val="16"/>
                <w:szCs w:val="16"/>
              </w:rPr>
              <w:t>Базовые показатели</w:t>
            </w:r>
          </w:p>
        </w:tc>
        <w:tc>
          <w:tcPr>
            <w:tcW w:w="839"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sz w:val="16"/>
                <w:szCs w:val="16"/>
              </w:rPr>
            </w:pPr>
            <w:r w:rsidRPr="0019748E">
              <w:rPr>
                <w:b/>
                <w:sz w:val="16"/>
                <w:szCs w:val="16"/>
              </w:rPr>
              <w:t>Цели</w:t>
            </w:r>
          </w:p>
        </w:tc>
        <w:tc>
          <w:tcPr>
            <w:tcW w:w="1113" w:type="pct"/>
            <w:gridSpan w:val="3"/>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Данные о результативности</w:t>
            </w:r>
          </w:p>
        </w:tc>
        <w:tc>
          <w:tcPr>
            <w:tcW w:w="627" w:type="pct"/>
            <w:gridSpan w:val="2"/>
            <w:tcBorders>
              <w:top w:val="single" w:sz="4" w:space="0" w:color="auto"/>
              <w:left w:val="nil"/>
              <w:bottom w:val="nil"/>
              <w:right w:val="single" w:sz="4" w:space="0" w:color="auto"/>
            </w:tcBorders>
            <w:shd w:val="clear" w:color="auto" w:fill="auto"/>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FE4E8D">
        <w:trPr>
          <w:cantSplit/>
          <w:trHeight w:val="1852"/>
        </w:trPr>
        <w:tc>
          <w:tcPr>
            <w:tcW w:w="1106" w:type="pct"/>
            <w:tcBorders>
              <w:top w:val="nil"/>
              <w:left w:val="single" w:sz="4" w:space="0" w:color="auto"/>
              <w:bottom w:val="single" w:sz="4" w:space="0" w:color="auto"/>
              <w:right w:val="nil"/>
            </w:tcBorders>
            <w:shd w:val="clear" w:color="auto" w:fill="auto"/>
          </w:tcPr>
          <w:p w:rsidR="00495A3D" w:rsidRPr="00495A3D" w:rsidRDefault="00495A3D" w:rsidP="00495A3D">
            <w:pPr>
              <w:tabs>
                <w:tab w:val="left" w:pos="347"/>
              </w:tabs>
              <w:rPr>
                <w:rFonts w:cs="Arial"/>
                <w:sz w:val="16"/>
                <w:szCs w:val="16"/>
                <w:lang w:val="ru-RU"/>
              </w:rPr>
            </w:pPr>
            <w:r w:rsidRPr="00495A3D">
              <w:rPr>
                <w:sz w:val="16"/>
                <w:szCs w:val="16"/>
                <w:lang w:val="ru-RU"/>
              </w:rPr>
              <w:t>Число созданных партнерств, в которых помощь предлагает сторона из развитой страны</w:t>
            </w:r>
          </w:p>
        </w:tc>
        <w:tc>
          <w:tcPr>
            <w:tcW w:w="1315" w:type="pct"/>
            <w:tcBorders>
              <w:top w:val="nil"/>
              <w:left w:val="nil"/>
              <w:bottom w:val="single" w:sz="4" w:space="0" w:color="auto"/>
              <w:right w:val="nil"/>
            </w:tcBorders>
            <w:shd w:val="clear" w:color="auto" w:fill="auto"/>
          </w:tcPr>
          <w:p w:rsidR="00495A3D" w:rsidRPr="0019748E" w:rsidRDefault="00495A3D" w:rsidP="00495A3D">
            <w:pPr>
              <w:rPr>
                <w:rFonts w:cs="Arial"/>
                <w:i/>
                <w:color w:val="002060"/>
                <w:sz w:val="16"/>
                <w:szCs w:val="16"/>
              </w:rPr>
            </w:pPr>
            <w:r w:rsidRPr="0019748E">
              <w:rPr>
                <w:sz w:val="16"/>
                <w:szCs w:val="16"/>
              </w:rPr>
              <w:t>будет определено позднее</w:t>
            </w:r>
          </w:p>
        </w:tc>
        <w:tc>
          <w:tcPr>
            <w:tcW w:w="839" w:type="pct"/>
            <w:tcBorders>
              <w:top w:val="nil"/>
              <w:left w:val="nil"/>
              <w:bottom w:val="single" w:sz="4" w:space="0" w:color="auto"/>
              <w:right w:val="nil"/>
            </w:tcBorders>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Еще 4 МоВ; еще 10 партнеров, найденных в базе данных для поиска партнеров</w:t>
            </w:r>
          </w:p>
          <w:p w:rsidR="00495A3D" w:rsidRPr="00495A3D" w:rsidRDefault="00495A3D" w:rsidP="00495A3D">
            <w:pPr>
              <w:rPr>
                <w:rFonts w:cs="Arial"/>
                <w:sz w:val="16"/>
                <w:szCs w:val="16"/>
                <w:lang w:val="ru-RU"/>
              </w:rPr>
            </w:pPr>
          </w:p>
        </w:tc>
        <w:tc>
          <w:tcPr>
            <w:tcW w:w="1113" w:type="pct"/>
            <w:gridSpan w:val="3"/>
            <w:tcBorders>
              <w:top w:val="nil"/>
              <w:left w:val="nil"/>
              <w:bottom w:val="single" w:sz="4" w:space="0" w:color="auto"/>
              <w:right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Еще 5 МоВ (Дания, Франция, Германия, Израиль, Испания)</w:t>
            </w:r>
          </w:p>
          <w:p w:rsidR="00495A3D" w:rsidRPr="00495A3D" w:rsidRDefault="00495A3D" w:rsidP="00495A3D">
            <w:pPr>
              <w:rPr>
                <w:rFonts w:cs="Arial"/>
                <w:sz w:val="16"/>
                <w:szCs w:val="16"/>
                <w:lang w:val="ru-RU"/>
              </w:rPr>
            </w:pPr>
          </w:p>
          <w:p w:rsidR="00495A3D" w:rsidRPr="00495A3D" w:rsidRDefault="00495A3D" w:rsidP="00495A3D">
            <w:pPr>
              <w:rPr>
                <w:rFonts w:cs="Arial"/>
                <w:sz w:val="16"/>
                <w:szCs w:val="16"/>
                <w:lang w:val="ru-RU"/>
              </w:rPr>
            </w:pPr>
            <w:r w:rsidRPr="00495A3D">
              <w:rPr>
                <w:sz w:val="16"/>
                <w:szCs w:val="16"/>
                <w:lang w:val="ru-RU"/>
              </w:rPr>
              <w:t xml:space="preserve">План целевой информационной работы, призванный стимулировать загрузку данных и активизировать поиск партнеров, находился на стадии разработки, но к концу двухлетнего периода его результаты были неясны. </w:t>
            </w:r>
          </w:p>
          <w:p w:rsidR="00495A3D" w:rsidRPr="00495A3D" w:rsidRDefault="00495A3D" w:rsidP="00495A3D">
            <w:pPr>
              <w:rPr>
                <w:rFonts w:cs="Arial"/>
                <w:sz w:val="16"/>
                <w:szCs w:val="16"/>
                <w:lang w:val="ru-RU"/>
              </w:rPr>
            </w:pPr>
          </w:p>
        </w:tc>
        <w:tc>
          <w:tcPr>
            <w:tcW w:w="627" w:type="pct"/>
            <w:gridSpan w:val="2"/>
            <w:tcBorders>
              <w:top w:val="nil"/>
              <w:left w:val="nil"/>
              <w:bottom w:val="single" w:sz="4" w:space="0" w:color="auto"/>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p w:rsidR="00495A3D" w:rsidRPr="0019748E" w:rsidRDefault="00495A3D" w:rsidP="00495A3D">
            <w:pPr>
              <w:keepNext/>
              <w:keepLines/>
              <w:jc w:val="center"/>
              <w:rPr>
                <w:rFonts w:cs="Arial"/>
                <w:b/>
                <w:bCs/>
                <w:color w:val="00B050"/>
                <w:sz w:val="16"/>
                <w:szCs w:val="16"/>
              </w:rPr>
            </w:pPr>
          </w:p>
          <w:p w:rsidR="00495A3D" w:rsidRPr="0019748E" w:rsidRDefault="00495A3D" w:rsidP="00495A3D">
            <w:pPr>
              <w:keepNext/>
              <w:keepLines/>
              <w:jc w:val="center"/>
              <w:rPr>
                <w:rFonts w:cs="Arial"/>
                <w:b/>
                <w:bCs/>
                <w:color w:val="00B050"/>
                <w:sz w:val="16"/>
                <w:szCs w:val="16"/>
              </w:rPr>
            </w:pPr>
          </w:p>
          <w:p w:rsidR="00495A3D" w:rsidRPr="0019748E" w:rsidRDefault="00495A3D" w:rsidP="00495A3D">
            <w:pPr>
              <w:keepNext/>
              <w:keepLines/>
              <w:jc w:val="center"/>
              <w:rPr>
                <w:rFonts w:cs="Arial"/>
                <w:b/>
                <w:bCs/>
                <w:color w:val="FF0000"/>
                <w:sz w:val="16"/>
                <w:szCs w:val="16"/>
              </w:rPr>
            </w:pPr>
            <w:r w:rsidRPr="0019748E">
              <w:rPr>
                <w:b/>
                <w:color w:val="FF0000"/>
                <w:sz w:val="16"/>
                <w:szCs w:val="16"/>
              </w:rPr>
              <w:t>Не выполнено</w:t>
            </w:r>
          </w:p>
          <w:p w:rsidR="00495A3D" w:rsidRPr="0019748E" w:rsidRDefault="00495A3D" w:rsidP="00495A3D">
            <w:pPr>
              <w:keepNext/>
              <w:keepLines/>
              <w:jc w:val="center"/>
              <w:rPr>
                <w:rFonts w:cs="Arial"/>
                <w:b/>
                <w:bCs/>
                <w:color w:val="00B050"/>
                <w:sz w:val="16"/>
                <w:szCs w:val="16"/>
              </w:rPr>
            </w:pPr>
          </w:p>
        </w:tc>
      </w:tr>
      <w:tr w:rsidR="00495A3D" w:rsidRPr="005C6ABD" w:rsidTr="00495A3D">
        <w:trPr>
          <w:cantSplit/>
          <w:trHeight w:val="451"/>
        </w:trPr>
        <w:tc>
          <w:tcPr>
            <w:tcW w:w="5000" w:type="pct"/>
            <w:gridSpan w:val="8"/>
            <w:tcBorders>
              <w:top w:val="single" w:sz="4" w:space="0" w:color="auto"/>
              <w:bottom w:val="single" w:sz="4" w:space="0" w:color="auto"/>
            </w:tcBorders>
            <w:shd w:val="clear" w:color="auto" w:fill="C6D9F1" w:themeFill="text2" w:themeFillTint="33"/>
            <w:vAlign w:val="center"/>
          </w:tcPr>
          <w:p w:rsidR="00495A3D" w:rsidRPr="00495A3D" w:rsidRDefault="00495A3D" w:rsidP="00495A3D">
            <w:pPr>
              <w:keepNext/>
              <w:keepLines/>
              <w:tabs>
                <w:tab w:val="left" w:pos="1452"/>
              </w:tabs>
              <w:ind w:left="1452" w:hanging="1452"/>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sz w:val="16"/>
                <w:szCs w:val="16"/>
              </w:rPr>
              <w:t>III</w:t>
            </w:r>
            <w:r w:rsidRPr="00495A3D">
              <w:rPr>
                <w:sz w:val="16"/>
                <w:szCs w:val="16"/>
                <w:lang w:val="ru-RU"/>
              </w:rPr>
              <w:t>.6. Укрепление потенциала МСП для успешного использования ИС в поддержку инноваций</w:t>
            </w:r>
          </w:p>
        </w:tc>
      </w:tr>
      <w:tr w:rsidR="00495A3D" w:rsidRPr="0019748E" w:rsidTr="003A5C2E">
        <w:trPr>
          <w:cantSplit/>
          <w:trHeight w:val="274"/>
        </w:trPr>
        <w:tc>
          <w:tcPr>
            <w:tcW w:w="1106" w:type="pct"/>
            <w:tcBorders>
              <w:top w:val="single" w:sz="4" w:space="0" w:color="auto"/>
              <w:left w:val="single" w:sz="4" w:space="0" w:color="auto"/>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Показатели результативности</w:t>
            </w:r>
          </w:p>
        </w:tc>
        <w:tc>
          <w:tcPr>
            <w:tcW w:w="1315"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bCs/>
                <w:sz w:val="16"/>
                <w:szCs w:val="16"/>
              </w:rPr>
            </w:pPr>
            <w:r w:rsidRPr="0019748E">
              <w:rPr>
                <w:b/>
                <w:sz w:val="16"/>
                <w:szCs w:val="16"/>
              </w:rPr>
              <w:t>Базовые показатели</w:t>
            </w:r>
          </w:p>
        </w:tc>
        <w:tc>
          <w:tcPr>
            <w:tcW w:w="839"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sz w:val="16"/>
                <w:szCs w:val="16"/>
              </w:rPr>
            </w:pPr>
            <w:r w:rsidRPr="0019748E">
              <w:rPr>
                <w:b/>
                <w:sz w:val="16"/>
                <w:szCs w:val="16"/>
              </w:rPr>
              <w:t>Цели</w:t>
            </w:r>
          </w:p>
        </w:tc>
        <w:tc>
          <w:tcPr>
            <w:tcW w:w="1073" w:type="pct"/>
            <w:gridSpan w:val="2"/>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Данные о результативности</w:t>
            </w:r>
          </w:p>
        </w:tc>
        <w:tc>
          <w:tcPr>
            <w:tcW w:w="667" w:type="pct"/>
            <w:gridSpan w:val="3"/>
            <w:tcBorders>
              <w:top w:val="single" w:sz="4" w:space="0" w:color="auto"/>
              <w:left w:val="nil"/>
              <w:bottom w:val="nil"/>
              <w:right w:val="single" w:sz="4" w:space="0" w:color="auto"/>
            </w:tcBorders>
            <w:shd w:val="clear" w:color="auto" w:fill="auto"/>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3A5C2E">
        <w:trPr>
          <w:cantSplit/>
          <w:trHeight w:val="673"/>
        </w:trPr>
        <w:tc>
          <w:tcPr>
            <w:tcW w:w="1106" w:type="pct"/>
            <w:tcBorders>
              <w:top w:val="nil"/>
              <w:left w:val="single" w:sz="4" w:space="0" w:color="auto"/>
              <w:bottom w:val="nil"/>
              <w:right w:val="nil"/>
            </w:tcBorders>
            <w:shd w:val="clear" w:color="auto" w:fill="auto"/>
          </w:tcPr>
          <w:p w:rsidR="00495A3D" w:rsidRPr="00495A3D" w:rsidRDefault="00495A3D" w:rsidP="00495A3D">
            <w:pPr>
              <w:tabs>
                <w:tab w:val="left" w:pos="347"/>
              </w:tabs>
              <w:rPr>
                <w:rFonts w:cs="Arial"/>
                <w:sz w:val="16"/>
                <w:szCs w:val="16"/>
                <w:lang w:val="ru-RU"/>
              </w:rPr>
            </w:pPr>
            <w:r w:rsidRPr="00495A3D">
              <w:rPr>
                <w:sz w:val="16"/>
                <w:szCs w:val="16"/>
                <w:lang w:val="ru-RU"/>
              </w:rPr>
              <w:t>Доля (в %) участников учебных программ для структур поддержки МСП, выразивших удовлетворение материалами и организацией обучения</w:t>
            </w:r>
          </w:p>
        </w:tc>
        <w:tc>
          <w:tcPr>
            <w:tcW w:w="1315" w:type="pct"/>
            <w:tcBorders>
              <w:top w:val="nil"/>
              <w:left w:val="nil"/>
              <w:bottom w:val="nil"/>
              <w:right w:val="nil"/>
            </w:tcBorders>
            <w:shd w:val="clear" w:color="auto" w:fill="auto"/>
          </w:tcPr>
          <w:p w:rsidR="00495A3D" w:rsidRPr="0019748E" w:rsidRDefault="00495A3D" w:rsidP="00495A3D">
            <w:pPr>
              <w:rPr>
                <w:rFonts w:cs="Arial"/>
                <w:i/>
                <w:color w:val="002060"/>
                <w:sz w:val="16"/>
                <w:szCs w:val="16"/>
              </w:rPr>
            </w:pPr>
            <w:r w:rsidRPr="0019748E">
              <w:rPr>
                <w:sz w:val="16"/>
                <w:szCs w:val="16"/>
              </w:rPr>
              <w:t>будет определено позднее</w:t>
            </w:r>
          </w:p>
        </w:tc>
        <w:tc>
          <w:tcPr>
            <w:tcW w:w="839" w:type="pct"/>
            <w:tcBorders>
              <w:top w:val="nil"/>
              <w:left w:val="nil"/>
              <w:bottom w:val="nil"/>
              <w:right w:val="nil"/>
            </w:tcBorders>
            <w:shd w:val="clear" w:color="auto" w:fill="auto"/>
            <w:tcMar>
              <w:top w:w="110" w:type="dxa"/>
            </w:tcMar>
          </w:tcPr>
          <w:p w:rsidR="00495A3D" w:rsidRPr="00495A3D" w:rsidRDefault="00495A3D" w:rsidP="00495A3D">
            <w:pPr>
              <w:rPr>
                <w:rFonts w:cs="Arial"/>
                <w:color w:val="002060"/>
                <w:sz w:val="16"/>
                <w:szCs w:val="16"/>
                <w:lang w:val="ru-RU"/>
              </w:rPr>
            </w:pPr>
            <w:r w:rsidRPr="00495A3D">
              <w:rPr>
                <w:i/>
                <w:color w:val="002060"/>
                <w:sz w:val="16"/>
                <w:szCs w:val="16"/>
                <w:lang w:val="ru-RU"/>
              </w:rPr>
              <w:t xml:space="preserve">Целевой показатель: </w:t>
            </w:r>
            <w:r w:rsidRPr="00495A3D">
              <w:rPr>
                <w:color w:val="002060"/>
                <w:sz w:val="16"/>
                <w:szCs w:val="16"/>
                <w:lang w:val="ru-RU"/>
              </w:rPr>
              <w:t>75%</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целевые показатели ПиБ на 2014–2015 гг.:</w:t>
            </w:r>
            <w:r w:rsidRPr="00495A3D">
              <w:rPr>
                <w:sz w:val="16"/>
                <w:szCs w:val="16"/>
                <w:lang w:val="ru-RU"/>
              </w:rPr>
              <w:t xml:space="preserve"> будет определено позднее </w:t>
            </w:r>
          </w:p>
        </w:tc>
        <w:tc>
          <w:tcPr>
            <w:tcW w:w="1073" w:type="pct"/>
            <w:gridSpan w:val="2"/>
            <w:tcBorders>
              <w:top w:val="nil"/>
              <w:left w:val="nil"/>
              <w:bottom w:val="nil"/>
              <w:right w:val="nil"/>
            </w:tcBorders>
            <w:shd w:val="clear" w:color="auto" w:fill="FFFFFF"/>
            <w:tcMar>
              <w:top w:w="110" w:type="dxa"/>
            </w:tcMar>
          </w:tcPr>
          <w:p w:rsidR="00495A3D" w:rsidRPr="0019748E" w:rsidRDefault="00495A3D" w:rsidP="00495A3D">
            <w:pPr>
              <w:rPr>
                <w:rFonts w:cs="Arial"/>
                <w:sz w:val="16"/>
                <w:szCs w:val="16"/>
              </w:rPr>
            </w:pPr>
            <w:r w:rsidRPr="0019748E">
              <w:rPr>
                <w:sz w:val="16"/>
                <w:szCs w:val="16"/>
              </w:rPr>
              <w:t xml:space="preserve">97,2% </w:t>
            </w:r>
          </w:p>
        </w:tc>
        <w:tc>
          <w:tcPr>
            <w:tcW w:w="667" w:type="pct"/>
            <w:gridSpan w:val="3"/>
            <w:tcBorders>
              <w:top w:val="nil"/>
              <w:left w:val="nil"/>
              <w:bottom w:val="nil"/>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r w:rsidR="00495A3D" w:rsidRPr="0019748E" w:rsidTr="003A5C2E">
        <w:trPr>
          <w:cantSplit/>
          <w:trHeight w:val="700"/>
        </w:trPr>
        <w:tc>
          <w:tcPr>
            <w:tcW w:w="1106" w:type="pct"/>
            <w:tcBorders>
              <w:top w:val="nil"/>
              <w:left w:val="single" w:sz="4" w:space="0" w:color="auto"/>
              <w:bottom w:val="nil"/>
            </w:tcBorders>
            <w:shd w:val="clear" w:color="auto" w:fill="auto"/>
          </w:tcPr>
          <w:p w:rsidR="00495A3D" w:rsidRPr="00495A3D" w:rsidRDefault="00495A3D" w:rsidP="00495A3D">
            <w:pPr>
              <w:tabs>
                <w:tab w:val="left" w:pos="347"/>
              </w:tabs>
              <w:rPr>
                <w:rFonts w:cs="Arial"/>
                <w:sz w:val="16"/>
                <w:szCs w:val="16"/>
                <w:lang w:val="ru-RU"/>
              </w:rPr>
            </w:pPr>
            <w:r w:rsidRPr="00495A3D">
              <w:rPr>
                <w:sz w:val="16"/>
                <w:szCs w:val="16"/>
                <w:lang w:val="ru-RU"/>
              </w:rPr>
              <w:t>Доля в (%) прошедших обучение учреждений поддержки малых и средних предприятий, предоставляющих информацию, поддержку и консультативные услуги по вопросам управления активами ИС</w:t>
            </w:r>
          </w:p>
        </w:tc>
        <w:tc>
          <w:tcPr>
            <w:tcW w:w="1315" w:type="pct"/>
            <w:tcBorders>
              <w:top w:val="nil"/>
              <w:bottom w:val="nil"/>
            </w:tcBorders>
            <w:shd w:val="clear" w:color="auto" w:fill="auto"/>
          </w:tcPr>
          <w:p w:rsidR="00495A3D" w:rsidRPr="0019748E" w:rsidRDefault="00495A3D" w:rsidP="00495A3D">
            <w:pPr>
              <w:rPr>
                <w:rFonts w:cs="Arial"/>
                <w:i/>
                <w:color w:val="002060"/>
                <w:sz w:val="16"/>
                <w:szCs w:val="16"/>
              </w:rPr>
            </w:pPr>
            <w:r w:rsidRPr="0019748E">
              <w:rPr>
                <w:sz w:val="16"/>
                <w:szCs w:val="16"/>
              </w:rPr>
              <w:t>будет определено позднее</w:t>
            </w:r>
          </w:p>
        </w:tc>
        <w:tc>
          <w:tcPr>
            <w:tcW w:w="839" w:type="pct"/>
            <w:tcBorders>
              <w:top w:val="nil"/>
              <w:bottom w:val="nil"/>
            </w:tcBorders>
            <w:shd w:val="clear" w:color="auto" w:fill="auto"/>
            <w:tcMar>
              <w:top w:w="110" w:type="dxa"/>
            </w:tcMar>
          </w:tcPr>
          <w:p w:rsidR="00495A3D" w:rsidRPr="00495A3D" w:rsidRDefault="00495A3D" w:rsidP="00495A3D">
            <w:pPr>
              <w:rPr>
                <w:rFonts w:cs="Arial"/>
                <w:color w:val="002060"/>
                <w:sz w:val="16"/>
                <w:szCs w:val="16"/>
                <w:lang w:val="ru-RU"/>
              </w:rPr>
            </w:pPr>
            <w:r w:rsidRPr="00495A3D">
              <w:rPr>
                <w:i/>
                <w:color w:val="002060"/>
                <w:sz w:val="16"/>
                <w:szCs w:val="16"/>
                <w:lang w:val="ru-RU"/>
              </w:rPr>
              <w:t xml:space="preserve">Целевой показатель: </w:t>
            </w:r>
            <w:r w:rsidRPr="00495A3D">
              <w:rPr>
                <w:sz w:val="16"/>
                <w:szCs w:val="16"/>
                <w:lang w:val="ru-RU"/>
              </w:rPr>
              <w:t>90% (18 учреждений поддержки)</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целевые показатели ПиБ на 2014–2015 гг.:</w:t>
            </w:r>
            <w:r w:rsidRPr="00495A3D">
              <w:rPr>
                <w:sz w:val="16"/>
                <w:szCs w:val="16"/>
                <w:lang w:val="ru-RU"/>
              </w:rPr>
              <w:t xml:space="preserve"> будет определено позднее </w:t>
            </w:r>
          </w:p>
        </w:tc>
        <w:tc>
          <w:tcPr>
            <w:tcW w:w="1073" w:type="pct"/>
            <w:gridSpan w:val="2"/>
            <w:tcBorders>
              <w:top w:val="nil"/>
              <w:bottom w:val="nil"/>
            </w:tcBorders>
            <w:shd w:val="clear" w:color="auto" w:fill="FFFFFF"/>
            <w:tcMar>
              <w:top w:w="110" w:type="dxa"/>
            </w:tcMar>
          </w:tcPr>
          <w:p w:rsidR="00495A3D" w:rsidRPr="0019748E" w:rsidRDefault="00495A3D" w:rsidP="00495A3D">
            <w:pPr>
              <w:pStyle w:val="ListParagraph"/>
              <w:numPr>
                <w:ilvl w:val="0"/>
                <w:numId w:val="77"/>
              </w:numPr>
              <w:rPr>
                <w:rFonts w:cs="Arial"/>
                <w:sz w:val="16"/>
                <w:szCs w:val="16"/>
              </w:rPr>
            </w:pPr>
            <w:r w:rsidRPr="0019748E">
              <w:rPr>
                <w:sz w:val="16"/>
                <w:szCs w:val="16"/>
              </w:rPr>
              <w:t>90% (2014 г.)</w:t>
            </w:r>
          </w:p>
          <w:p w:rsidR="00495A3D" w:rsidRPr="0019748E" w:rsidRDefault="00495A3D" w:rsidP="00495A3D">
            <w:pPr>
              <w:pStyle w:val="ListParagraph"/>
              <w:numPr>
                <w:ilvl w:val="0"/>
                <w:numId w:val="77"/>
              </w:numPr>
              <w:rPr>
                <w:rFonts w:cs="Arial"/>
                <w:b/>
                <w:sz w:val="16"/>
                <w:szCs w:val="16"/>
              </w:rPr>
            </w:pPr>
            <w:r w:rsidRPr="0019748E">
              <w:rPr>
                <w:sz w:val="16"/>
                <w:szCs w:val="16"/>
              </w:rPr>
              <w:t>100% (2015 г.)</w:t>
            </w:r>
          </w:p>
        </w:tc>
        <w:tc>
          <w:tcPr>
            <w:tcW w:w="667" w:type="pct"/>
            <w:gridSpan w:val="3"/>
            <w:tcBorders>
              <w:top w:val="nil"/>
              <w:bottom w:val="nil"/>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r w:rsidR="00495A3D" w:rsidRPr="0019748E" w:rsidTr="00FE4E8D">
        <w:trPr>
          <w:cantSplit/>
        </w:trPr>
        <w:tc>
          <w:tcPr>
            <w:tcW w:w="1106" w:type="pct"/>
            <w:tcBorders>
              <w:top w:val="nil"/>
              <w:left w:val="single" w:sz="4" w:space="0" w:color="auto"/>
              <w:bottom w:val="single" w:sz="4" w:space="0" w:color="auto"/>
            </w:tcBorders>
            <w:shd w:val="clear" w:color="auto" w:fill="auto"/>
          </w:tcPr>
          <w:p w:rsidR="00495A3D" w:rsidRPr="00495A3D" w:rsidRDefault="00495A3D" w:rsidP="00495A3D">
            <w:pPr>
              <w:tabs>
                <w:tab w:val="left" w:pos="347"/>
              </w:tabs>
              <w:rPr>
                <w:rFonts w:cs="Arial"/>
                <w:sz w:val="16"/>
                <w:szCs w:val="16"/>
                <w:lang w:val="ru-RU"/>
              </w:rPr>
            </w:pPr>
            <w:r w:rsidRPr="00495A3D">
              <w:rPr>
                <w:sz w:val="16"/>
                <w:szCs w:val="16"/>
                <w:lang w:val="ru-RU"/>
              </w:rPr>
              <w:t>Число стран, предлагающих программы обучения по ИС для МСП</w:t>
            </w:r>
          </w:p>
          <w:p w:rsidR="00495A3D" w:rsidRPr="00495A3D" w:rsidRDefault="00495A3D" w:rsidP="00495A3D">
            <w:pPr>
              <w:tabs>
                <w:tab w:val="left" w:pos="347"/>
              </w:tabs>
              <w:rPr>
                <w:rFonts w:cs="Arial"/>
                <w:sz w:val="16"/>
                <w:szCs w:val="16"/>
                <w:lang w:val="ru-RU"/>
              </w:rPr>
            </w:pPr>
          </w:p>
        </w:tc>
        <w:tc>
          <w:tcPr>
            <w:tcW w:w="1315" w:type="pct"/>
            <w:tcBorders>
              <w:top w:val="nil"/>
              <w:bottom w:val="single" w:sz="4" w:space="0" w:color="auto"/>
            </w:tcBorders>
            <w:shd w:val="clear" w:color="auto" w:fill="auto"/>
          </w:tcPr>
          <w:p w:rsidR="00495A3D" w:rsidRPr="0019748E" w:rsidRDefault="00495A3D" w:rsidP="00495A3D">
            <w:pPr>
              <w:rPr>
                <w:rFonts w:cs="Arial"/>
                <w:i/>
                <w:color w:val="002060"/>
                <w:sz w:val="16"/>
                <w:szCs w:val="16"/>
              </w:rPr>
            </w:pPr>
            <w:r w:rsidRPr="0019748E">
              <w:rPr>
                <w:sz w:val="16"/>
                <w:szCs w:val="16"/>
              </w:rPr>
              <w:t>будет определено позднее</w:t>
            </w:r>
          </w:p>
        </w:tc>
        <w:tc>
          <w:tcPr>
            <w:tcW w:w="839" w:type="pct"/>
            <w:tcBorders>
              <w:top w:val="nil"/>
              <w:bottom w:val="single" w:sz="4" w:space="0" w:color="auto"/>
            </w:tcBorders>
            <w:shd w:val="clear" w:color="auto" w:fill="auto"/>
            <w:tcMar>
              <w:top w:w="110" w:type="dxa"/>
            </w:tcMar>
          </w:tcPr>
          <w:p w:rsidR="00495A3D" w:rsidRPr="0019748E" w:rsidRDefault="00495A3D" w:rsidP="00495A3D">
            <w:pPr>
              <w:rPr>
                <w:rFonts w:cs="Arial"/>
                <w:sz w:val="16"/>
                <w:szCs w:val="16"/>
              </w:rPr>
            </w:pPr>
            <w:r w:rsidRPr="0019748E">
              <w:rPr>
                <w:sz w:val="16"/>
                <w:szCs w:val="16"/>
              </w:rPr>
              <w:t>будет определено позднее</w:t>
            </w:r>
          </w:p>
        </w:tc>
        <w:tc>
          <w:tcPr>
            <w:tcW w:w="1073" w:type="pct"/>
            <w:gridSpan w:val="2"/>
            <w:tcBorders>
              <w:top w:val="nil"/>
              <w:bottom w:val="single" w:sz="4" w:space="0" w:color="auto"/>
            </w:tcBorders>
            <w:shd w:val="clear" w:color="auto" w:fill="FFFFFF"/>
            <w:tcMar>
              <w:top w:w="110" w:type="dxa"/>
            </w:tcMar>
          </w:tcPr>
          <w:p w:rsidR="00495A3D" w:rsidRPr="0019748E" w:rsidRDefault="00495A3D" w:rsidP="00495A3D">
            <w:pPr>
              <w:rPr>
                <w:rFonts w:cs="Arial"/>
                <w:sz w:val="16"/>
                <w:szCs w:val="16"/>
              </w:rPr>
            </w:pPr>
            <w:r w:rsidRPr="0019748E">
              <w:rPr>
                <w:sz w:val="16"/>
                <w:szCs w:val="16"/>
              </w:rPr>
              <w:t>4 (Армения, Беларусь, Грузия, Казахстан)</w:t>
            </w:r>
          </w:p>
        </w:tc>
        <w:tc>
          <w:tcPr>
            <w:tcW w:w="667" w:type="pct"/>
            <w:gridSpan w:val="3"/>
            <w:tcBorders>
              <w:top w:val="nil"/>
              <w:bottom w:val="single" w:sz="4" w:space="0" w:color="auto"/>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A6A6A6" w:themeColor="background1" w:themeShade="A6"/>
                <w:sz w:val="16"/>
                <w:szCs w:val="16"/>
              </w:rPr>
              <w:t>Не подлежит оценке</w:t>
            </w:r>
          </w:p>
        </w:tc>
      </w:tr>
      <w:tr w:rsidR="00495A3D" w:rsidRPr="005C6ABD" w:rsidTr="00495A3D">
        <w:trPr>
          <w:cantSplit/>
          <w:trHeight w:val="502"/>
        </w:trPr>
        <w:tc>
          <w:tcPr>
            <w:tcW w:w="5000" w:type="pct"/>
            <w:gridSpan w:val="8"/>
            <w:tcBorders>
              <w:top w:val="single" w:sz="4" w:space="0" w:color="auto"/>
              <w:bottom w:val="single" w:sz="4" w:space="0" w:color="auto"/>
            </w:tcBorders>
            <w:shd w:val="clear" w:color="auto" w:fill="C6D9F1" w:themeFill="text2" w:themeFillTint="33"/>
            <w:vAlign w:val="center"/>
          </w:tcPr>
          <w:p w:rsidR="00495A3D" w:rsidRPr="00495A3D" w:rsidRDefault="00495A3D" w:rsidP="005177C8">
            <w:pPr>
              <w:keepNext/>
              <w:keepLines/>
              <w:tabs>
                <w:tab w:val="left" w:pos="2302"/>
              </w:tabs>
              <w:ind w:left="2302" w:hanging="2302"/>
              <w:rPr>
                <w:rFonts w:cs="Arial"/>
                <w:b/>
                <w:bCs/>
                <w:sz w:val="16"/>
                <w:szCs w:val="16"/>
                <w:lang w:val="ru-RU"/>
              </w:rPr>
            </w:pPr>
            <w:r w:rsidRPr="00495A3D">
              <w:rPr>
                <w:sz w:val="16"/>
                <w:szCs w:val="16"/>
                <w:lang w:val="ru-RU"/>
              </w:rPr>
              <w:br w:type="page"/>
            </w:r>
            <w:r w:rsidRPr="00495A3D">
              <w:rPr>
                <w:b/>
                <w:sz w:val="16"/>
                <w:szCs w:val="16"/>
                <w:lang w:val="ru-RU"/>
              </w:rPr>
              <w:t xml:space="preserve">Ожидаемый результат: </w:t>
            </w:r>
            <w:r w:rsidRPr="00495A3D">
              <w:rPr>
                <w:sz w:val="16"/>
                <w:szCs w:val="16"/>
                <w:lang w:val="ru-RU"/>
              </w:rPr>
              <w:tab/>
            </w:r>
            <w:r>
              <w:rPr>
                <w:sz w:val="16"/>
                <w:szCs w:val="16"/>
              </w:rPr>
              <w:t>IV</w:t>
            </w:r>
            <w:r w:rsidRPr="00495A3D">
              <w:rPr>
                <w:sz w:val="16"/>
                <w:szCs w:val="16"/>
                <w:lang w:val="ru-RU"/>
              </w:rPr>
              <w:t>.2 Расширенный доступ учреждений ИС и широкой</w:t>
            </w:r>
            <w:r w:rsidR="005177C8">
              <w:rPr>
                <w:sz w:val="16"/>
                <w:szCs w:val="16"/>
                <w:lang w:val="ru-RU"/>
              </w:rPr>
              <w:t xml:space="preserve"> общественности к информации в </w:t>
            </w:r>
            <w:r w:rsidRPr="00495A3D">
              <w:rPr>
                <w:sz w:val="16"/>
                <w:szCs w:val="16"/>
                <w:lang w:val="ru-RU"/>
              </w:rPr>
              <w:t>области ИС и активное использование такой информации</w:t>
            </w:r>
            <w:r w:rsidR="005177C8">
              <w:rPr>
                <w:sz w:val="16"/>
                <w:szCs w:val="16"/>
                <w:lang w:val="ru-RU"/>
              </w:rPr>
              <w:t xml:space="preserve"> в целях поощрения инноваций и </w:t>
            </w:r>
            <w:r w:rsidRPr="00495A3D">
              <w:rPr>
                <w:sz w:val="16"/>
                <w:szCs w:val="16"/>
                <w:lang w:val="ru-RU"/>
              </w:rPr>
              <w:t>творчества</w:t>
            </w:r>
          </w:p>
        </w:tc>
      </w:tr>
      <w:tr w:rsidR="00495A3D" w:rsidRPr="0019748E" w:rsidTr="00FE4E8D">
        <w:trPr>
          <w:cantSplit/>
          <w:trHeight w:val="319"/>
        </w:trPr>
        <w:tc>
          <w:tcPr>
            <w:tcW w:w="1106" w:type="pct"/>
            <w:tcBorders>
              <w:top w:val="single" w:sz="4" w:space="0" w:color="auto"/>
              <w:left w:val="single" w:sz="4" w:space="0" w:color="auto"/>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Показатели результативности</w:t>
            </w:r>
          </w:p>
        </w:tc>
        <w:tc>
          <w:tcPr>
            <w:tcW w:w="1315"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bCs/>
                <w:sz w:val="16"/>
                <w:szCs w:val="16"/>
              </w:rPr>
            </w:pPr>
            <w:r w:rsidRPr="0019748E">
              <w:rPr>
                <w:b/>
                <w:sz w:val="16"/>
                <w:szCs w:val="16"/>
              </w:rPr>
              <w:t>Базовые показатели</w:t>
            </w:r>
          </w:p>
        </w:tc>
        <w:tc>
          <w:tcPr>
            <w:tcW w:w="839"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sz w:val="16"/>
                <w:szCs w:val="16"/>
              </w:rPr>
            </w:pPr>
            <w:r w:rsidRPr="0019748E">
              <w:rPr>
                <w:b/>
                <w:sz w:val="16"/>
                <w:szCs w:val="16"/>
              </w:rPr>
              <w:t>Цели</w:t>
            </w:r>
          </w:p>
        </w:tc>
        <w:tc>
          <w:tcPr>
            <w:tcW w:w="1073" w:type="pct"/>
            <w:gridSpan w:val="2"/>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Данные о результативности</w:t>
            </w:r>
          </w:p>
        </w:tc>
        <w:tc>
          <w:tcPr>
            <w:tcW w:w="667" w:type="pct"/>
            <w:gridSpan w:val="3"/>
            <w:tcBorders>
              <w:top w:val="single" w:sz="4" w:space="0" w:color="auto"/>
              <w:left w:val="nil"/>
              <w:bottom w:val="nil"/>
              <w:right w:val="single" w:sz="4" w:space="0" w:color="auto"/>
            </w:tcBorders>
            <w:shd w:val="clear" w:color="auto" w:fill="auto"/>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FE4E8D">
        <w:trPr>
          <w:cantSplit/>
        </w:trPr>
        <w:tc>
          <w:tcPr>
            <w:tcW w:w="1106" w:type="pct"/>
            <w:tcBorders>
              <w:top w:val="nil"/>
              <w:left w:val="single" w:sz="4" w:space="0" w:color="auto"/>
              <w:bottom w:val="nil"/>
              <w:right w:val="nil"/>
            </w:tcBorders>
            <w:shd w:val="clear" w:color="auto" w:fill="auto"/>
          </w:tcPr>
          <w:p w:rsidR="00495A3D" w:rsidRPr="00495A3D" w:rsidRDefault="00495A3D" w:rsidP="00495A3D">
            <w:pPr>
              <w:tabs>
                <w:tab w:val="left" w:pos="347"/>
              </w:tabs>
              <w:rPr>
                <w:rFonts w:cs="Arial"/>
                <w:sz w:val="16"/>
                <w:szCs w:val="16"/>
                <w:lang w:val="ru-RU"/>
              </w:rPr>
            </w:pPr>
            <w:r w:rsidRPr="00495A3D">
              <w:rPr>
                <w:sz w:val="16"/>
                <w:szCs w:val="16"/>
                <w:lang w:val="ru-RU"/>
              </w:rPr>
              <w:t>Число учрежденных БПТ и/или информационных центров по ИС</w:t>
            </w:r>
          </w:p>
        </w:tc>
        <w:tc>
          <w:tcPr>
            <w:tcW w:w="1315" w:type="pct"/>
            <w:tcBorders>
              <w:top w:val="nil"/>
              <w:left w:val="nil"/>
              <w:bottom w:val="nil"/>
              <w:right w:val="nil"/>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r w:rsidRPr="00495A3D">
              <w:rPr>
                <w:color w:val="002060"/>
                <w:sz w:val="16"/>
                <w:szCs w:val="16"/>
                <w:lang w:val="ru-RU"/>
              </w:rPr>
              <w:t>два университета/учреждения в странах Центральной Европы и Азии (Грузия) получили непосредственную помощь в разработке их экосистем передачи знаний, политики и инфраструктуры: Тбилисский государственный университет им. Ивана Джавахишвили и Грузинский центр передачи технологии, после чего был разработан план мероприятий.</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i/>
                <w:color w:val="002060"/>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будет определено позднее</w:t>
            </w:r>
          </w:p>
        </w:tc>
        <w:tc>
          <w:tcPr>
            <w:tcW w:w="839" w:type="pct"/>
            <w:tcBorders>
              <w:top w:val="nil"/>
              <w:left w:val="nil"/>
              <w:bottom w:val="nil"/>
              <w:right w:val="nil"/>
            </w:tcBorders>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Еще 6 БПТ /информационных центров по ИС</w:t>
            </w:r>
          </w:p>
        </w:tc>
        <w:tc>
          <w:tcPr>
            <w:tcW w:w="1073" w:type="pct"/>
            <w:gridSpan w:val="2"/>
            <w:tcBorders>
              <w:top w:val="nil"/>
              <w:left w:val="nil"/>
              <w:bottom w:val="nil"/>
              <w:right w:val="nil"/>
            </w:tcBorders>
            <w:shd w:val="clear" w:color="auto" w:fill="FFFFFF"/>
            <w:tcMar>
              <w:top w:w="110" w:type="dxa"/>
            </w:tcMar>
          </w:tcPr>
          <w:p w:rsidR="00495A3D" w:rsidRPr="00495A3D" w:rsidRDefault="00495A3D" w:rsidP="00495A3D">
            <w:pPr>
              <w:rPr>
                <w:rFonts w:cs="Arial"/>
                <w:sz w:val="16"/>
                <w:szCs w:val="16"/>
                <w:lang w:val="ru-RU"/>
              </w:rPr>
            </w:pPr>
            <w:r w:rsidRPr="00495A3D">
              <w:rPr>
                <w:sz w:val="16"/>
                <w:szCs w:val="16"/>
                <w:lang w:val="ru-RU"/>
              </w:rPr>
              <w:t>В Российской Федерации создан еще 51 ЦПТИ</w:t>
            </w:r>
          </w:p>
        </w:tc>
        <w:tc>
          <w:tcPr>
            <w:tcW w:w="667" w:type="pct"/>
            <w:gridSpan w:val="3"/>
            <w:tcBorders>
              <w:top w:val="nil"/>
              <w:left w:val="nil"/>
              <w:bottom w:val="nil"/>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r w:rsidR="00495A3D" w:rsidRPr="0019748E" w:rsidTr="00FE4E8D">
        <w:trPr>
          <w:cantSplit/>
        </w:trPr>
        <w:tc>
          <w:tcPr>
            <w:tcW w:w="1106" w:type="pct"/>
            <w:tcBorders>
              <w:top w:val="nil"/>
              <w:left w:val="single" w:sz="4" w:space="0" w:color="auto"/>
              <w:bottom w:val="single" w:sz="4" w:space="0" w:color="auto"/>
            </w:tcBorders>
            <w:shd w:val="clear" w:color="auto" w:fill="auto"/>
          </w:tcPr>
          <w:p w:rsidR="00495A3D" w:rsidRPr="00495A3D" w:rsidRDefault="00495A3D" w:rsidP="00495A3D">
            <w:pPr>
              <w:tabs>
                <w:tab w:val="left" w:pos="347"/>
              </w:tabs>
              <w:rPr>
                <w:rFonts w:cs="Arial"/>
                <w:sz w:val="16"/>
                <w:szCs w:val="16"/>
                <w:lang w:val="ru-RU"/>
              </w:rPr>
            </w:pPr>
            <w:r w:rsidRPr="00495A3D">
              <w:rPr>
                <w:sz w:val="16"/>
                <w:szCs w:val="16"/>
                <w:lang w:val="ru-RU"/>
              </w:rPr>
              <w:t>Число стабильно функционирующих национальных сетей ЦПТИ</w:t>
            </w:r>
          </w:p>
        </w:tc>
        <w:tc>
          <w:tcPr>
            <w:tcW w:w="1315" w:type="pct"/>
            <w:tcBorders>
              <w:top w:val="nil"/>
              <w:bottom w:val="single" w:sz="4" w:space="0" w:color="auto"/>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r w:rsidRPr="00495A3D">
              <w:rPr>
                <w:color w:val="002060"/>
                <w:sz w:val="16"/>
                <w:szCs w:val="16"/>
                <w:lang w:val="ru-RU"/>
              </w:rPr>
              <w:t>1</w:t>
            </w:r>
            <w:r>
              <w:rPr>
                <w:color w:val="002060"/>
                <w:sz w:val="16"/>
                <w:szCs w:val="16"/>
              </w:rPr>
              <w:t> </w:t>
            </w:r>
            <w:r w:rsidRPr="00495A3D">
              <w:rPr>
                <w:color w:val="002060"/>
                <w:sz w:val="16"/>
                <w:szCs w:val="16"/>
                <w:lang w:val="ru-RU"/>
              </w:rPr>
              <w:t>устойчивая (из 3 созданных) сеть ЦПТИ</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1 национальная сеть ЦПТИ: (всего на конец первого квартала 2013</w:t>
            </w:r>
            <w:r w:rsidRPr="0019748E">
              <w:rPr>
                <w:sz w:val="16"/>
                <w:szCs w:val="16"/>
              </w:rPr>
              <w:t> </w:t>
            </w:r>
            <w:r w:rsidRPr="00495A3D">
              <w:rPr>
                <w:sz w:val="16"/>
                <w:szCs w:val="16"/>
                <w:lang w:val="ru-RU"/>
              </w:rPr>
              <w:t>г.:</w:t>
            </w:r>
          </w:p>
          <w:p w:rsidR="00495A3D" w:rsidRPr="00495A3D" w:rsidRDefault="00495A3D" w:rsidP="00495A3D">
            <w:pPr>
              <w:rPr>
                <w:rFonts w:cs="Arial"/>
                <w:i/>
                <w:color w:val="002060"/>
                <w:sz w:val="16"/>
                <w:szCs w:val="16"/>
                <w:lang w:val="ru-RU"/>
              </w:rPr>
            </w:pPr>
            <w:r w:rsidRPr="00495A3D">
              <w:rPr>
                <w:sz w:val="16"/>
                <w:szCs w:val="16"/>
                <w:lang w:val="ru-RU"/>
              </w:rPr>
              <w:t>отдельные страны Европы и Азии (1)</w:t>
            </w:r>
          </w:p>
        </w:tc>
        <w:tc>
          <w:tcPr>
            <w:tcW w:w="839" w:type="pct"/>
            <w:tcBorders>
              <w:top w:val="nil"/>
              <w:bottom w:val="single" w:sz="4" w:space="0" w:color="auto"/>
            </w:tcBorders>
            <w:shd w:val="clear" w:color="auto" w:fill="auto"/>
            <w:tcMar>
              <w:top w:w="110" w:type="dxa"/>
            </w:tcMar>
          </w:tcPr>
          <w:p w:rsidR="00495A3D" w:rsidRPr="00495A3D" w:rsidRDefault="00495A3D" w:rsidP="00495A3D">
            <w:pPr>
              <w:rPr>
                <w:rFonts w:cs="Arial"/>
                <w:sz w:val="16"/>
                <w:szCs w:val="16"/>
                <w:lang w:val="ru-RU"/>
              </w:rPr>
            </w:pPr>
            <w:r w:rsidRPr="00495A3D">
              <w:rPr>
                <w:sz w:val="16"/>
                <w:szCs w:val="16"/>
                <w:lang w:val="ru-RU"/>
              </w:rPr>
              <w:t>2 национальные сети ЦПТИ (всего):</w:t>
            </w:r>
          </w:p>
          <w:p w:rsidR="00495A3D" w:rsidRPr="00495A3D" w:rsidRDefault="00495A3D" w:rsidP="00495A3D">
            <w:pPr>
              <w:rPr>
                <w:rFonts w:cs="Arial"/>
                <w:sz w:val="16"/>
                <w:szCs w:val="16"/>
                <w:lang w:val="ru-RU"/>
              </w:rPr>
            </w:pPr>
            <w:r w:rsidRPr="00495A3D">
              <w:rPr>
                <w:sz w:val="16"/>
                <w:szCs w:val="16"/>
                <w:lang w:val="ru-RU"/>
              </w:rPr>
              <w:t>отдельные страны Европы и Азии (2)</w:t>
            </w:r>
          </w:p>
        </w:tc>
        <w:tc>
          <w:tcPr>
            <w:tcW w:w="1073" w:type="pct"/>
            <w:gridSpan w:val="2"/>
            <w:tcBorders>
              <w:top w:val="nil"/>
              <w:bottom w:val="single" w:sz="4" w:space="0" w:color="auto"/>
            </w:tcBorders>
            <w:shd w:val="clear" w:color="auto" w:fill="FFFFFF"/>
            <w:tcMar>
              <w:top w:w="110" w:type="dxa"/>
            </w:tcMar>
          </w:tcPr>
          <w:p w:rsidR="00495A3D" w:rsidRPr="00495A3D" w:rsidRDefault="00495A3D" w:rsidP="00495A3D">
            <w:pPr>
              <w:rPr>
                <w:rFonts w:cs="Arial"/>
                <w:b/>
                <w:color w:val="00B050"/>
                <w:sz w:val="16"/>
                <w:szCs w:val="16"/>
                <w:lang w:val="ru-RU"/>
              </w:rPr>
            </w:pPr>
            <w:r w:rsidRPr="00495A3D">
              <w:rPr>
                <w:sz w:val="16"/>
                <w:szCs w:val="16"/>
                <w:lang w:val="ru-RU"/>
              </w:rPr>
              <w:t>отдельные страны Европы и Азии (1)</w:t>
            </w:r>
          </w:p>
        </w:tc>
        <w:tc>
          <w:tcPr>
            <w:tcW w:w="667" w:type="pct"/>
            <w:gridSpan w:val="3"/>
            <w:tcBorders>
              <w:top w:val="nil"/>
              <w:bottom w:val="single" w:sz="4" w:space="0" w:color="auto"/>
              <w:right w:val="single" w:sz="4" w:space="0" w:color="auto"/>
            </w:tcBorders>
            <w:shd w:val="clear" w:color="auto" w:fill="auto"/>
            <w:tcMar>
              <w:top w:w="110" w:type="dxa"/>
            </w:tcMar>
          </w:tcPr>
          <w:p w:rsidR="00495A3D" w:rsidRPr="0019748E" w:rsidRDefault="00495A3D" w:rsidP="00495A3D">
            <w:pPr>
              <w:keepNext/>
              <w:keepLines/>
              <w:jc w:val="center"/>
              <w:outlineLvl w:val="7"/>
              <w:rPr>
                <w:rFonts w:cs="Arial"/>
                <w:b/>
                <w:bCs/>
                <w:color w:val="E36C0A" w:themeColor="accent6" w:themeShade="BF"/>
                <w:sz w:val="16"/>
                <w:szCs w:val="16"/>
              </w:rPr>
            </w:pPr>
            <w:r w:rsidRPr="0019748E">
              <w:rPr>
                <w:b/>
                <w:color w:val="E36C0A" w:themeColor="accent6" w:themeShade="BF"/>
                <w:sz w:val="16"/>
                <w:szCs w:val="16"/>
              </w:rPr>
              <w:t>Частично выполнено</w:t>
            </w:r>
          </w:p>
        </w:tc>
      </w:tr>
      <w:tr w:rsidR="00495A3D" w:rsidRPr="0019748E" w:rsidTr="00FE4E8D">
        <w:trPr>
          <w:cantSplit/>
        </w:trPr>
        <w:tc>
          <w:tcPr>
            <w:tcW w:w="1106" w:type="pct"/>
            <w:tcBorders>
              <w:top w:val="single" w:sz="4" w:space="0" w:color="auto"/>
              <w:left w:val="single" w:sz="4" w:space="0" w:color="auto"/>
              <w:bottom w:val="single" w:sz="4" w:space="0" w:color="auto"/>
            </w:tcBorders>
            <w:shd w:val="clear" w:color="auto" w:fill="auto"/>
          </w:tcPr>
          <w:p w:rsidR="00495A3D" w:rsidRPr="00495A3D" w:rsidRDefault="00495A3D" w:rsidP="00495A3D">
            <w:pPr>
              <w:tabs>
                <w:tab w:val="left" w:pos="347"/>
              </w:tabs>
              <w:rPr>
                <w:rFonts w:cs="Arial"/>
                <w:sz w:val="16"/>
                <w:szCs w:val="16"/>
                <w:lang w:val="ru-RU"/>
              </w:rPr>
            </w:pPr>
            <w:r w:rsidRPr="00495A3D">
              <w:rPr>
                <w:sz w:val="16"/>
                <w:szCs w:val="16"/>
                <w:lang w:val="ru-RU"/>
              </w:rPr>
              <w:t>Среднее число пользователей, воспользовавшихся услугами ЦПТИ, в разбивке по кварталам и странам</w:t>
            </w:r>
          </w:p>
        </w:tc>
        <w:tc>
          <w:tcPr>
            <w:tcW w:w="1315" w:type="pct"/>
            <w:tcBorders>
              <w:top w:val="single" w:sz="4" w:space="0" w:color="auto"/>
              <w:bottom w:val="single" w:sz="4" w:space="0" w:color="auto"/>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r w:rsidRPr="00495A3D">
              <w:rPr>
                <w:color w:val="002060"/>
                <w:sz w:val="16"/>
                <w:szCs w:val="16"/>
                <w:lang w:val="ru-RU"/>
              </w:rPr>
              <w:t>среднее число пользователей, обслуживаемых центрами в день в 2013</w:t>
            </w:r>
            <w:r w:rsidRPr="0019748E">
              <w:rPr>
                <w:color w:val="002060"/>
                <w:sz w:val="16"/>
                <w:szCs w:val="16"/>
              </w:rPr>
              <w:t> </w:t>
            </w:r>
            <w:r w:rsidRPr="00495A3D">
              <w:rPr>
                <w:color w:val="002060"/>
                <w:sz w:val="16"/>
                <w:szCs w:val="16"/>
                <w:lang w:val="ru-RU"/>
              </w:rPr>
              <w:t>г.: 532 (мин.) – 1370 (макс.).</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200 (мин.) – 630 (макс.)</w:t>
            </w:r>
          </w:p>
          <w:p w:rsidR="00495A3D" w:rsidRPr="00495A3D" w:rsidRDefault="00495A3D" w:rsidP="00495A3D">
            <w:pPr>
              <w:rPr>
                <w:rFonts w:cs="Arial"/>
                <w:i/>
                <w:color w:val="002060"/>
                <w:sz w:val="16"/>
                <w:szCs w:val="16"/>
                <w:lang w:val="ru-RU"/>
              </w:rPr>
            </w:pPr>
          </w:p>
        </w:tc>
        <w:tc>
          <w:tcPr>
            <w:tcW w:w="839" w:type="pct"/>
            <w:tcBorders>
              <w:top w:val="single" w:sz="4" w:space="0" w:color="auto"/>
              <w:bottom w:val="single" w:sz="4" w:space="0" w:color="auto"/>
            </w:tcBorders>
            <w:shd w:val="clear" w:color="auto" w:fill="auto"/>
            <w:tcMar>
              <w:top w:w="110" w:type="dxa"/>
            </w:tcMar>
          </w:tcPr>
          <w:p w:rsidR="00495A3D" w:rsidRPr="0019748E" w:rsidRDefault="00495A3D" w:rsidP="00495A3D">
            <w:pPr>
              <w:rPr>
                <w:rFonts w:cs="Arial"/>
                <w:sz w:val="16"/>
                <w:szCs w:val="16"/>
              </w:rPr>
            </w:pPr>
            <w:r w:rsidRPr="0019748E">
              <w:rPr>
                <w:sz w:val="16"/>
                <w:szCs w:val="16"/>
              </w:rPr>
              <w:t>300 (мин.) – 750 (макс.)</w:t>
            </w:r>
          </w:p>
        </w:tc>
        <w:tc>
          <w:tcPr>
            <w:tcW w:w="1073" w:type="pct"/>
            <w:gridSpan w:val="2"/>
            <w:tcBorders>
              <w:top w:val="single" w:sz="4" w:space="0" w:color="auto"/>
              <w:bottom w:val="single" w:sz="4" w:space="0" w:color="auto"/>
            </w:tcBorders>
            <w:shd w:val="clear" w:color="auto" w:fill="FFFFFF"/>
            <w:tcMar>
              <w:top w:w="110" w:type="dxa"/>
            </w:tcMar>
          </w:tcPr>
          <w:p w:rsidR="00495A3D" w:rsidRPr="0019748E" w:rsidRDefault="00495A3D" w:rsidP="00495A3D">
            <w:pPr>
              <w:rPr>
                <w:rFonts w:cs="Arial"/>
                <w:b/>
                <w:color w:val="00B050"/>
                <w:sz w:val="16"/>
                <w:szCs w:val="16"/>
              </w:rPr>
            </w:pPr>
            <w:r w:rsidRPr="0019748E">
              <w:rPr>
                <w:sz w:val="16"/>
                <w:szCs w:val="16"/>
              </w:rPr>
              <w:t>874 (мин) – 2 631 (макс)</w:t>
            </w:r>
          </w:p>
        </w:tc>
        <w:tc>
          <w:tcPr>
            <w:tcW w:w="667" w:type="pct"/>
            <w:gridSpan w:val="3"/>
            <w:tcBorders>
              <w:top w:val="single" w:sz="4" w:space="0" w:color="auto"/>
              <w:bottom w:val="single" w:sz="4" w:space="0" w:color="auto"/>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r w:rsidR="00495A3D" w:rsidRPr="005C6ABD" w:rsidTr="00495A3D">
        <w:trPr>
          <w:cantSplit/>
          <w:trHeight w:val="509"/>
        </w:trPr>
        <w:tc>
          <w:tcPr>
            <w:tcW w:w="5000" w:type="pct"/>
            <w:gridSpan w:val="8"/>
            <w:tcBorders>
              <w:top w:val="single" w:sz="4" w:space="0" w:color="auto"/>
              <w:bottom w:val="single" w:sz="4" w:space="0" w:color="auto"/>
            </w:tcBorders>
            <w:shd w:val="clear" w:color="auto" w:fill="C6D9F1" w:themeFill="text2" w:themeFillTint="33"/>
            <w:vAlign w:val="center"/>
          </w:tcPr>
          <w:p w:rsidR="00495A3D" w:rsidRPr="00495A3D" w:rsidRDefault="00495A3D" w:rsidP="003A5C2E">
            <w:pPr>
              <w:keepNext/>
              <w:keepLines/>
              <w:tabs>
                <w:tab w:val="left" w:pos="2586"/>
              </w:tabs>
              <w:ind w:left="2586" w:hanging="2586"/>
              <w:rPr>
                <w:rFonts w:cs="Arial"/>
                <w:b/>
                <w:bCs/>
                <w:sz w:val="16"/>
                <w:szCs w:val="16"/>
                <w:lang w:val="ru-RU"/>
              </w:rPr>
            </w:pPr>
            <w:r w:rsidRPr="00495A3D">
              <w:rPr>
                <w:b/>
                <w:sz w:val="16"/>
                <w:szCs w:val="16"/>
                <w:lang w:val="ru-RU"/>
              </w:rPr>
              <w:t xml:space="preserve">Ожидаемый результат: </w:t>
            </w:r>
            <w:r w:rsidRPr="00495A3D">
              <w:rPr>
                <w:sz w:val="16"/>
                <w:szCs w:val="16"/>
                <w:lang w:val="ru-RU"/>
              </w:rPr>
              <w:tab/>
            </w:r>
            <w:r w:rsidRPr="0019748E">
              <w:rPr>
                <w:sz w:val="16"/>
                <w:szCs w:val="16"/>
              </w:rPr>
              <w:t>IV</w:t>
            </w:r>
            <w:r w:rsidRPr="00495A3D">
              <w:rPr>
                <w:sz w:val="16"/>
                <w:szCs w:val="16"/>
                <w:lang w:val="ru-RU"/>
              </w:rPr>
              <w:t>.4. Совершенствование технической инфраструктуры и инфраструктуры знаний для</w:t>
            </w:r>
            <w:r w:rsidR="003A5C2E">
              <w:rPr>
                <w:sz w:val="16"/>
                <w:szCs w:val="16"/>
                <w:lang w:val="ru-RU"/>
              </w:rPr>
              <w:t xml:space="preserve"> </w:t>
            </w:r>
            <w:r w:rsidRPr="00495A3D">
              <w:rPr>
                <w:sz w:val="16"/>
                <w:szCs w:val="16"/>
                <w:lang w:val="ru-RU"/>
              </w:rPr>
              <w:t xml:space="preserve">ведомств ИС и других учреждений ИС, ведущее к предоставлению улучшенных услуг (более </w:t>
            </w:r>
            <w:r w:rsidRPr="00495A3D">
              <w:rPr>
                <w:sz w:val="16"/>
                <w:szCs w:val="16"/>
                <w:lang w:val="ru-RU"/>
              </w:rPr>
              <w:tab/>
              <w:t>дешевых, более быстрых, более качественных) их заинтересованным сторонам</w:t>
            </w:r>
          </w:p>
        </w:tc>
      </w:tr>
      <w:tr w:rsidR="00495A3D" w:rsidRPr="0019748E" w:rsidTr="00FE4E8D">
        <w:trPr>
          <w:cantSplit/>
          <w:trHeight w:val="382"/>
        </w:trPr>
        <w:tc>
          <w:tcPr>
            <w:tcW w:w="1106" w:type="pct"/>
            <w:tcBorders>
              <w:top w:val="single" w:sz="4" w:space="0" w:color="auto"/>
              <w:left w:val="single" w:sz="4" w:space="0" w:color="auto"/>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Показатели результативности</w:t>
            </w:r>
          </w:p>
        </w:tc>
        <w:tc>
          <w:tcPr>
            <w:tcW w:w="1315"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bCs/>
                <w:sz w:val="16"/>
                <w:szCs w:val="16"/>
              </w:rPr>
            </w:pPr>
            <w:r w:rsidRPr="0019748E">
              <w:rPr>
                <w:b/>
                <w:sz w:val="16"/>
                <w:szCs w:val="16"/>
              </w:rPr>
              <w:t>Базовые показатели</w:t>
            </w:r>
          </w:p>
        </w:tc>
        <w:tc>
          <w:tcPr>
            <w:tcW w:w="839"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b/>
                <w:sz w:val="16"/>
                <w:szCs w:val="16"/>
              </w:rPr>
            </w:pPr>
            <w:r w:rsidRPr="0019748E">
              <w:rPr>
                <w:b/>
                <w:sz w:val="16"/>
                <w:szCs w:val="16"/>
              </w:rPr>
              <w:t>Цели</w:t>
            </w:r>
          </w:p>
        </w:tc>
        <w:tc>
          <w:tcPr>
            <w:tcW w:w="1066" w:type="pct"/>
            <w:tcBorders>
              <w:top w:val="single" w:sz="4" w:space="0" w:color="auto"/>
              <w:left w:val="nil"/>
              <w:bottom w:val="nil"/>
              <w:right w:val="nil"/>
            </w:tcBorders>
            <w:shd w:val="clear" w:color="auto" w:fill="auto"/>
            <w:vAlign w:val="center"/>
          </w:tcPr>
          <w:p w:rsidR="00495A3D" w:rsidRPr="0019748E" w:rsidRDefault="00495A3D" w:rsidP="00495A3D">
            <w:pPr>
              <w:keepNext/>
              <w:keepLines/>
              <w:rPr>
                <w:rFonts w:cs="Arial"/>
                <w:sz w:val="16"/>
                <w:szCs w:val="16"/>
              </w:rPr>
            </w:pPr>
            <w:r w:rsidRPr="0019748E">
              <w:rPr>
                <w:b/>
                <w:sz w:val="16"/>
                <w:szCs w:val="16"/>
              </w:rPr>
              <w:t>Данные о результативности</w:t>
            </w:r>
          </w:p>
        </w:tc>
        <w:tc>
          <w:tcPr>
            <w:tcW w:w="674" w:type="pct"/>
            <w:gridSpan w:val="4"/>
            <w:tcBorders>
              <w:top w:val="single" w:sz="4" w:space="0" w:color="auto"/>
              <w:left w:val="nil"/>
              <w:bottom w:val="nil"/>
              <w:right w:val="single" w:sz="4" w:space="0" w:color="auto"/>
            </w:tcBorders>
            <w:shd w:val="clear" w:color="auto" w:fill="auto"/>
            <w:vAlign w:val="center"/>
          </w:tcPr>
          <w:p w:rsidR="00495A3D" w:rsidRPr="0019748E" w:rsidRDefault="00495A3D" w:rsidP="00495A3D">
            <w:pPr>
              <w:keepNext/>
              <w:keepLines/>
              <w:jc w:val="center"/>
              <w:rPr>
                <w:rFonts w:cs="Arial"/>
                <w:b/>
                <w:bCs/>
                <w:sz w:val="16"/>
                <w:szCs w:val="16"/>
              </w:rPr>
            </w:pPr>
            <w:r w:rsidRPr="0019748E">
              <w:rPr>
                <w:b/>
                <w:sz w:val="16"/>
                <w:szCs w:val="16"/>
              </w:rPr>
              <w:t>CC</w:t>
            </w:r>
          </w:p>
        </w:tc>
      </w:tr>
      <w:tr w:rsidR="00495A3D" w:rsidRPr="0019748E" w:rsidTr="00FE4E8D">
        <w:trPr>
          <w:cantSplit/>
        </w:trPr>
        <w:tc>
          <w:tcPr>
            <w:tcW w:w="1106" w:type="pct"/>
            <w:tcBorders>
              <w:top w:val="nil"/>
              <w:left w:val="single" w:sz="4" w:space="0" w:color="auto"/>
              <w:bottom w:val="single" w:sz="4" w:space="0" w:color="auto"/>
              <w:right w:val="nil"/>
            </w:tcBorders>
            <w:shd w:val="clear" w:color="auto" w:fill="auto"/>
          </w:tcPr>
          <w:p w:rsidR="00495A3D" w:rsidRPr="00495A3D" w:rsidRDefault="00495A3D" w:rsidP="00495A3D">
            <w:pPr>
              <w:tabs>
                <w:tab w:val="left" w:pos="347"/>
              </w:tabs>
              <w:rPr>
                <w:rFonts w:cs="Arial"/>
                <w:sz w:val="16"/>
                <w:szCs w:val="16"/>
                <w:lang w:val="ru-RU"/>
              </w:rPr>
            </w:pPr>
            <w:r w:rsidRPr="00495A3D">
              <w:rPr>
                <w:sz w:val="16"/>
                <w:szCs w:val="16"/>
                <w:lang w:val="ru-RU"/>
              </w:rPr>
              <w:t>Средний уровень услуг ведомств ИС, получивших помощь (оценка от 1 до 5)</w:t>
            </w:r>
          </w:p>
        </w:tc>
        <w:tc>
          <w:tcPr>
            <w:tcW w:w="1315" w:type="pct"/>
            <w:tcBorders>
              <w:top w:val="nil"/>
              <w:left w:val="nil"/>
              <w:bottom w:val="single" w:sz="4" w:space="0" w:color="auto"/>
              <w:right w:val="nil"/>
            </w:tcBorders>
            <w:shd w:val="clear" w:color="auto" w:fill="auto"/>
          </w:tcPr>
          <w:p w:rsidR="00495A3D" w:rsidRPr="00495A3D" w:rsidRDefault="00495A3D" w:rsidP="00495A3D">
            <w:pPr>
              <w:rPr>
                <w:rFonts w:cs="Arial"/>
                <w:color w:val="002060"/>
                <w:sz w:val="16"/>
                <w:szCs w:val="16"/>
                <w:lang w:val="ru-RU"/>
              </w:rPr>
            </w:pPr>
            <w:r w:rsidRPr="00495A3D">
              <w:rPr>
                <w:i/>
                <w:color w:val="002060"/>
                <w:sz w:val="16"/>
                <w:szCs w:val="16"/>
                <w:lang w:val="ru-RU"/>
              </w:rPr>
              <w:t>Обновленные базовые показатели, конец 2013</w:t>
            </w:r>
            <w:r w:rsidRPr="0019748E">
              <w:rPr>
                <w:i/>
                <w:color w:val="002060"/>
                <w:sz w:val="16"/>
                <w:szCs w:val="16"/>
              </w:rPr>
              <w:t> </w:t>
            </w:r>
            <w:r w:rsidRPr="00495A3D">
              <w:rPr>
                <w:i/>
                <w:color w:val="002060"/>
                <w:sz w:val="16"/>
                <w:szCs w:val="16"/>
                <w:lang w:val="ru-RU"/>
              </w:rPr>
              <w:t xml:space="preserve">г.: </w:t>
            </w:r>
            <w:r w:rsidRPr="00495A3D">
              <w:rPr>
                <w:color w:val="002060"/>
                <w:sz w:val="16"/>
                <w:szCs w:val="16"/>
                <w:lang w:val="ru-RU"/>
              </w:rPr>
              <w:t>3</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i/>
                <w:color w:val="002060"/>
                <w:sz w:val="16"/>
                <w:szCs w:val="16"/>
                <w:lang w:val="ru-RU"/>
              </w:rPr>
            </w:pPr>
            <w:r w:rsidRPr="00495A3D">
              <w:rPr>
                <w:i/>
                <w:sz w:val="16"/>
                <w:szCs w:val="16"/>
                <w:lang w:val="ru-RU"/>
              </w:rPr>
              <w:t>Исходные базовые показатели ПиБ на 2014–2015 гг.:</w:t>
            </w:r>
            <w:r w:rsidRPr="00495A3D">
              <w:rPr>
                <w:sz w:val="16"/>
                <w:szCs w:val="16"/>
                <w:lang w:val="ru-RU"/>
              </w:rPr>
              <w:t xml:space="preserve"> будет определено позднее</w:t>
            </w:r>
          </w:p>
        </w:tc>
        <w:tc>
          <w:tcPr>
            <w:tcW w:w="839" w:type="pct"/>
            <w:tcBorders>
              <w:top w:val="nil"/>
              <w:left w:val="nil"/>
              <w:bottom w:val="single" w:sz="4" w:space="0" w:color="auto"/>
              <w:right w:val="nil"/>
            </w:tcBorders>
            <w:shd w:val="clear" w:color="auto" w:fill="auto"/>
            <w:tcMar>
              <w:top w:w="110" w:type="dxa"/>
            </w:tcMar>
          </w:tcPr>
          <w:p w:rsidR="00495A3D" w:rsidRPr="00495A3D" w:rsidRDefault="00495A3D" w:rsidP="00495A3D">
            <w:pPr>
              <w:pStyle w:val="Default"/>
              <w:rPr>
                <w:rFonts w:eastAsia="Times New Roman"/>
                <w:i/>
                <w:color w:val="002060"/>
                <w:sz w:val="16"/>
                <w:szCs w:val="16"/>
                <w:lang w:val="ru-RU"/>
              </w:rPr>
            </w:pPr>
            <w:r w:rsidRPr="00495A3D">
              <w:rPr>
                <w:i/>
                <w:color w:val="002060"/>
                <w:sz w:val="16"/>
                <w:szCs w:val="16"/>
                <w:lang w:val="ru-RU"/>
              </w:rPr>
              <w:t xml:space="preserve">Установленный целевой показатель: </w:t>
            </w:r>
            <w:r w:rsidRPr="00495A3D">
              <w:rPr>
                <w:color w:val="002060"/>
                <w:sz w:val="16"/>
                <w:szCs w:val="16"/>
                <w:lang w:val="ru-RU"/>
              </w:rPr>
              <w:t>3</w:t>
            </w:r>
          </w:p>
          <w:p w:rsidR="00495A3D" w:rsidRPr="00495A3D" w:rsidRDefault="00495A3D" w:rsidP="00495A3D">
            <w:pPr>
              <w:rPr>
                <w:rFonts w:cs="Arial"/>
                <w:i/>
                <w:color w:val="002060"/>
                <w:sz w:val="16"/>
                <w:szCs w:val="16"/>
                <w:lang w:val="ru-RU"/>
              </w:rPr>
            </w:pPr>
          </w:p>
          <w:p w:rsidR="00495A3D" w:rsidRPr="00495A3D" w:rsidRDefault="00495A3D" w:rsidP="00495A3D">
            <w:pPr>
              <w:rPr>
                <w:rFonts w:cs="Arial"/>
                <w:sz w:val="16"/>
                <w:szCs w:val="16"/>
                <w:lang w:val="ru-RU"/>
              </w:rPr>
            </w:pPr>
            <w:r w:rsidRPr="00495A3D">
              <w:rPr>
                <w:i/>
                <w:sz w:val="16"/>
                <w:szCs w:val="16"/>
                <w:lang w:val="ru-RU"/>
              </w:rPr>
              <w:t>Исходные целевые показатели ПиБ на 2014–2015 гг.:</w:t>
            </w:r>
            <w:r w:rsidRPr="00495A3D">
              <w:rPr>
                <w:sz w:val="16"/>
                <w:szCs w:val="16"/>
                <w:lang w:val="ru-RU"/>
              </w:rPr>
              <w:t xml:space="preserve"> будет определено позднее</w:t>
            </w:r>
          </w:p>
          <w:p w:rsidR="00495A3D" w:rsidRPr="00495A3D" w:rsidRDefault="00495A3D" w:rsidP="00495A3D">
            <w:pPr>
              <w:rPr>
                <w:rFonts w:cs="Arial"/>
                <w:sz w:val="16"/>
                <w:szCs w:val="16"/>
                <w:lang w:val="ru-RU"/>
              </w:rPr>
            </w:pPr>
          </w:p>
        </w:tc>
        <w:tc>
          <w:tcPr>
            <w:tcW w:w="1066" w:type="pct"/>
            <w:tcBorders>
              <w:top w:val="nil"/>
              <w:left w:val="nil"/>
              <w:bottom w:val="single" w:sz="4" w:space="0" w:color="auto"/>
              <w:right w:val="nil"/>
            </w:tcBorders>
            <w:shd w:val="clear" w:color="auto" w:fill="FFFFFF"/>
            <w:tcMar>
              <w:top w:w="110" w:type="dxa"/>
            </w:tcMar>
          </w:tcPr>
          <w:p w:rsidR="00495A3D" w:rsidRPr="00495A3D" w:rsidRDefault="00495A3D" w:rsidP="00495A3D">
            <w:pPr>
              <w:rPr>
                <w:color w:val="000000" w:themeColor="text1"/>
                <w:sz w:val="16"/>
                <w:szCs w:val="16"/>
                <w:lang w:val="ru-RU"/>
              </w:rPr>
            </w:pPr>
            <w:r w:rsidRPr="00495A3D">
              <w:rPr>
                <w:color w:val="000000" w:themeColor="text1"/>
                <w:sz w:val="16"/>
                <w:szCs w:val="16"/>
                <w:lang w:val="ru-RU"/>
              </w:rPr>
              <w:t>Отдельные страны Европы и Азии: 3,3</w:t>
            </w:r>
          </w:p>
          <w:p w:rsidR="00495A3D" w:rsidRPr="00495A3D" w:rsidRDefault="00495A3D" w:rsidP="00495A3D">
            <w:pPr>
              <w:rPr>
                <w:rFonts w:cs="Arial"/>
                <w:b/>
                <w:sz w:val="16"/>
                <w:szCs w:val="16"/>
                <w:lang w:val="ru-RU"/>
              </w:rPr>
            </w:pPr>
          </w:p>
        </w:tc>
        <w:tc>
          <w:tcPr>
            <w:tcW w:w="674" w:type="pct"/>
            <w:gridSpan w:val="4"/>
            <w:tcBorders>
              <w:top w:val="nil"/>
              <w:left w:val="nil"/>
              <w:bottom w:val="single" w:sz="4" w:space="0" w:color="auto"/>
              <w:right w:val="single" w:sz="4" w:space="0" w:color="auto"/>
            </w:tcBorders>
            <w:shd w:val="clear" w:color="auto" w:fill="auto"/>
            <w:tcMar>
              <w:top w:w="110" w:type="dxa"/>
            </w:tcMar>
          </w:tcPr>
          <w:p w:rsidR="00495A3D" w:rsidRPr="0019748E" w:rsidRDefault="00495A3D" w:rsidP="00495A3D">
            <w:pPr>
              <w:keepNext/>
              <w:keepLines/>
              <w:jc w:val="center"/>
              <w:rPr>
                <w:rFonts w:cs="Arial"/>
                <w:b/>
                <w:bCs/>
                <w:color w:val="00B050"/>
                <w:sz w:val="16"/>
                <w:szCs w:val="16"/>
              </w:rPr>
            </w:pPr>
            <w:r w:rsidRPr="0019748E">
              <w:rPr>
                <w:b/>
                <w:color w:val="00B050"/>
                <w:sz w:val="16"/>
                <w:szCs w:val="16"/>
              </w:rPr>
              <w:t>Выполнено</w:t>
            </w:r>
          </w:p>
        </w:tc>
      </w:tr>
    </w:tbl>
    <w:p w:rsidR="00495A3D" w:rsidRDefault="00495A3D" w:rsidP="00495A3D">
      <w:pPr>
        <w:rPr>
          <w:rFonts w:cs="Arial"/>
          <w:color w:val="000000"/>
          <w:sz w:val="22"/>
          <w:szCs w:val="22"/>
        </w:rPr>
      </w:pPr>
    </w:p>
    <w:p w:rsidR="00495A3D" w:rsidRDefault="00495A3D" w:rsidP="00495A3D">
      <w:pPr>
        <w:rPr>
          <w:rFonts w:cs="Arial"/>
          <w:color w:val="000000"/>
          <w:sz w:val="22"/>
          <w:szCs w:val="22"/>
        </w:rPr>
      </w:pPr>
    </w:p>
    <w:p w:rsidR="00495A3D" w:rsidRPr="00495A3D" w:rsidRDefault="00495A3D" w:rsidP="00495A3D">
      <w:pPr>
        <w:rPr>
          <w:rFonts w:cs="Arial"/>
          <w:color w:val="000000"/>
          <w:szCs w:val="22"/>
          <w:lang w:val="ru-RU"/>
        </w:rPr>
      </w:pPr>
      <w:r w:rsidRPr="00495A3D">
        <w:rPr>
          <w:color w:val="000000"/>
          <w:lang w:val="ru-RU"/>
        </w:rPr>
        <w:t>ОТЧЕТ О РИСКАХ В ДВУХЛЕТНИЙ ПЕРИОД</w:t>
      </w:r>
    </w:p>
    <w:p w:rsidR="00495A3D" w:rsidRPr="00495A3D" w:rsidRDefault="00495A3D" w:rsidP="00495A3D">
      <w:pPr>
        <w:keepNext/>
        <w:keepLines/>
        <w:rPr>
          <w:rFonts w:cs="Arial"/>
          <w:color w:val="000000"/>
          <w:sz w:val="22"/>
          <w:szCs w:val="22"/>
          <w:lang w:val="ru-RU"/>
        </w:rPr>
      </w:pPr>
    </w:p>
    <w:tbl>
      <w:tblPr>
        <w:tblW w:w="9669" w:type="dxa"/>
        <w:tblInd w:w="108" w:type="dxa"/>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2420"/>
        <w:gridCol w:w="2200"/>
        <w:gridCol w:w="2310"/>
        <w:gridCol w:w="2739"/>
      </w:tblGrid>
      <w:tr w:rsidR="00495A3D" w:rsidRPr="003C527B" w:rsidTr="00495A3D">
        <w:trPr>
          <w:cantSplit/>
          <w:trHeight w:val="440"/>
        </w:trPr>
        <w:tc>
          <w:tcPr>
            <w:tcW w:w="2420" w:type="dxa"/>
            <w:shd w:val="clear" w:color="auto" w:fill="C6D9F1" w:themeFill="text2" w:themeFillTint="33"/>
            <w:tcMar>
              <w:top w:w="113" w:type="dxa"/>
            </w:tcMar>
            <w:vAlign w:val="center"/>
          </w:tcPr>
          <w:p w:rsidR="00495A3D" w:rsidRPr="00495A3D" w:rsidRDefault="00495A3D" w:rsidP="00495A3D">
            <w:pPr>
              <w:keepNext/>
              <w:keepLines/>
              <w:autoSpaceDE w:val="0"/>
              <w:autoSpaceDN w:val="0"/>
              <w:adjustRightInd w:val="0"/>
              <w:ind w:right="-59"/>
              <w:jc w:val="center"/>
              <w:rPr>
                <w:b/>
                <w:bCs/>
                <w:iCs/>
                <w:sz w:val="18"/>
                <w:szCs w:val="18"/>
                <w:lang w:val="ru-RU"/>
              </w:rPr>
            </w:pPr>
            <w:r w:rsidRPr="00495A3D">
              <w:rPr>
                <w:b/>
                <w:sz w:val="18"/>
                <w:lang w:val="ru-RU"/>
              </w:rPr>
              <w:t>Риск (риски) того, что результаты программы не будут достигнуты</w:t>
            </w:r>
          </w:p>
        </w:tc>
        <w:tc>
          <w:tcPr>
            <w:tcW w:w="2200" w:type="dxa"/>
            <w:shd w:val="clear" w:color="auto" w:fill="C6D9F1" w:themeFill="text2" w:themeFillTint="33"/>
            <w:tcMar>
              <w:top w:w="113" w:type="dxa"/>
            </w:tcMar>
            <w:vAlign w:val="center"/>
          </w:tcPr>
          <w:p w:rsidR="00495A3D" w:rsidRPr="00495A3D" w:rsidRDefault="00495A3D" w:rsidP="00495A3D">
            <w:pPr>
              <w:keepNext/>
              <w:keepLines/>
              <w:autoSpaceDE w:val="0"/>
              <w:autoSpaceDN w:val="0"/>
              <w:adjustRightInd w:val="0"/>
              <w:ind w:right="-59"/>
              <w:jc w:val="center"/>
              <w:rPr>
                <w:b/>
                <w:bCs/>
                <w:iCs/>
                <w:sz w:val="18"/>
                <w:szCs w:val="18"/>
                <w:lang w:val="ru-RU"/>
              </w:rPr>
            </w:pPr>
            <w:r w:rsidRPr="00495A3D">
              <w:rPr>
                <w:b/>
                <w:sz w:val="18"/>
                <w:lang w:val="ru-RU"/>
              </w:rPr>
              <w:t xml:space="preserve">Действующие или разрабатываемые планы по снижению рисков </w:t>
            </w:r>
          </w:p>
        </w:tc>
        <w:tc>
          <w:tcPr>
            <w:tcW w:w="2310" w:type="dxa"/>
            <w:shd w:val="clear" w:color="auto" w:fill="C6D9F1" w:themeFill="text2" w:themeFillTint="33"/>
          </w:tcPr>
          <w:p w:rsidR="00495A3D" w:rsidRPr="00495A3D" w:rsidRDefault="00495A3D" w:rsidP="00495A3D">
            <w:pPr>
              <w:jc w:val="center"/>
              <w:rPr>
                <w:b/>
                <w:bCs/>
                <w:sz w:val="18"/>
                <w:szCs w:val="18"/>
                <w:lang w:val="ru-RU"/>
              </w:rPr>
            </w:pPr>
            <w:r w:rsidRPr="00495A3D">
              <w:rPr>
                <w:b/>
                <w:sz w:val="18"/>
                <w:lang w:val="ru-RU"/>
              </w:rPr>
              <w:t>Развитие риска (рисков) и стратегий его (их) снижения в двухлетний период</w:t>
            </w:r>
          </w:p>
        </w:tc>
        <w:tc>
          <w:tcPr>
            <w:tcW w:w="2739" w:type="dxa"/>
            <w:shd w:val="clear" w:color="auto" w:fill="C6D9F1" w:themeFill="text2" w:themeFillTint="33"/>
          </w:tcPr>
          <w:p w:rsidR="00495A3D" w:rsidRPr="003C527B" w:rsidRDefault="00495A3D" w:rsidP="00495A3D">
            <w:pPr>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495A3D" w:rsidRPr="005C6ABD" w:rsidTr="00495A3D">
        <w:trPr>
          <w:cantSplit/>
          <w:trHeight w:val="785"/>
        </w:trPr>
        <w:tc>
          <w:tcPr>
            <w:tcW w:w="2420" w:type="dxa"/>
            <w:shd w:val="clear" w:color="auto" w:fill="auto"/>
            <w:tcMar>
              <w:top w:w="113" w:type="dxa"/>
            </w:tcMar>
          </w:tcPr>
          <w:p w:rsidR="00495A3D" w:rsidRPr="00495A3D" w:rsidRDefault="00495A3D" w:rsidP="00495A3D">
            <w:pPr>
              <w:keepNext/>
              <w:keepLines/>
              <w:autoSpaceDE w:val="0"/>
              <w:autoSpaceDN w:val="0"/>
              <w:adjustRightInd w:val="0"/>
              <w:ind w:right="-59"/>
              <w:rPr>
                <w:sz w:val="16"/>
                <w:szCs w:val="16"/>
                <w:lang w:val="ru-RU"/>
              </w:rPr>
            </w:pPr>
            <w:r w:rsidRPr="00495A3D">
              <w:rPr>
                <w:sz w:val="16"/>
                <w:lang w:val="ru-RU"/>
              </w:rPr>
              <w:t>Экономические и политические перемены могут затруднить или замедлить реализацию национальных стратегий в области ИС.</w:t>
            </w:r>
          </w:p>
        </w:tc>
        <w:tc>
          <w:tcPr>
            <w:tcW w:w="2200" w:type="dxa"/>
            <w:shd w:val="clear" w:color="auto" w:fill="auto"/>
            <w:tcMar>
              <w:top w:w="113" w:type="dxa"/>
            </w:tcMar>
          </w:tcPr>
          <w:p w:rsidR="00495A3D" w:rsidRPr="003C527B" w:rsidRDefault="00495A3D" w:rsidP="00495A3D">
            <w:pPr>
              <w:keepNext/>
              <w:keepLines/>
              <w:autoSpaceDE w:val="0"/>
              <w:autoSpaceDN w:val="0"/>
              <w:adjustRightInd w:val="0"/>
              <w:ind w:right="-59"/>
              <w:rPr>
                <w:sz w:val="16"/>
                <w:szCs w:val="16"/>
              </w:rPr>
            </w:pPr>
            <w:r w:rsidRPr="00495A3D">
              <w:rPr>
                <w:sz w:val="16"/>
                <w:lang w:val="ru-RU"/>
              </w:rPr>
              <w:t xml:space="preserve">Поддержание отношений со всеми заинтересованными сторонами в этих странах и долгосрочное планирование на всех уровнях.  </w:t>
            </w:r>
            <w:r>
              <w:rPr>
                <w:sz w:val="16"/>
              </w:rPr>
              <w:t xml:space="preserve">В планы по сотрудничеству должны быть заложены гибкие возможности. </w:t>
            </w:r>
          </w:p>
        </w:tc>
        <w:tc>
          <w:tcPr>
            <w:tcW w:w="2310" w:type="dxa"/>
          </w:tcPr>
          <w:p w:rsidR="00495A3D" w:rsidRPr="00495A3D" w:rsidRDefault="00495A3D" w:rsidP="00495A3D">
            <w:pPr>
              <w:rPr>
                <w:sz w:val="16"/>
                <w:szCs w:val="16"/>
                <w:lang w:val="ru-RU"/>
              </w:rPr>
            </w:pPr>
            <w:r w:rsidRPr="00495A3D">
              <w:rPr>
                <w:sz w:val="16"/>
                <w:lang w:val="ru-RU"/>
              </w:rPr>
              <w:t>Этот риск постоянно присутствует при реализации программы, и он оказал влияние на планирование некоторых видов деятельности.  Однако в соответствии с планом по смягчению риска осуществлялось тесное сотрудничество с соответствующими заинтересованными сторонами. Кроме того, гибкий подход к разработке и реализации планов сотрудничества, а также тщательный мониторинг ситуации помогли снизить негативное воздействие.</w:t>
            </w:r>
            <w:r w:rsidRPr="00495A3D">
              <w:rPr>
                <w:lang w:val="ru-RU"/>
              </w:rPr>
              <w:t xml:space="preserve"> </w:t>
            </w:r>
          </w:p>
        </w:tc>
        <w:tc>
          <w:tcPr>
            <w:tcW w:w="2739" w:type="dxa"/>
          </w:tcPr>
          <w:p w:rsidR="00495A3D" w:rsidRPr="00495A3D" w:rsidRDefault="00495A3D" w:rsidP="00495A3D">
            <w:pPr>
              <w:autoSpaceDE w:val="0"/>
              <w:autoSpaceDN w:val="0"/>
              <w:adjustRightInd w:val="0"/>
              <w:ind w:right="-59"/>
              <w:rPr>
                <w:sz w:val="16"/>
                <w:szCs w:val="16"/>
                <w:lang w:val="ru-RU"/>
              </w:rPr>
            </w:pPr>
            <w:r w:rsidRPr="00495A3D">
              <w:rPr>
                <w:sz w:val="16"/>
                <w:lang w:val="ru-RU"/>
              </w:rPr>
              <w:t>Этот риск и его развитие не оказали существенного влияния на реализацию программы в 2014–2015 гг., так как принимались эффективные меры по его снижению.</w:t>
            </w:r>
          </w:p>
        </w:tc>
      </w:tr>
    </w:tbl>
    <w:p w:rsidR="00495A3D" w:rsidRPr="00495A3D" w:rsidRDefault="00495A3D" w:rsidP="00495A3D">
      <w:pPr>
        <w:rPr>
          <w:rFonts w:cs="Arial"/>
          <w:color w:val="000000"/>
          <w:sz w:val="22"/>
          <w:szCs w:val="22"/>
          <w:lang w:val="ru-RU"/>
        </w:rPr>
      </w:pPr>
    </w:p>
    <w:p w:rsidR="00495A3D" w:rsidRPr="00495A3D" w:rsidRDefault="00495A3D" w:rsidP="00495A3D">
      <w:pPr>
        <w:rPr>
          <w:rFonts w:cs="Arial"/>
          <w:color w:val="000000"/>
          <w:sz w:val="22"/>
          <w:szCs w:val="22"/>
          <w:lang w:val="ru-RU"/>
        </w:rPr>
      </w:pPr>
    </w:p>
    <w:p w:rsidR="00495A3D" w:rsidRPr="00495A3D" w:rsidRDefault="00495A3D" w:rsidP="00495A3D">
      <w:pPr>
        <w:rPr>
          <w:rFonts w:cs="Arial"/>
          <w:color w:val="000000"/>
          <w:sz w:val="22"/>
          <w:szCs w:val="22"/>
          <w:lang w:val="ru-RU"/>
        </w:rPr>
      </w:pPr>
    </w:p>
    <w:p w:rsidR="00495A3D" w:rsidRPr="00495A3D" w:rsidRDefault="00495A3D" w:rsidP="00495A3D">
      <w:pPr>
        <w:keepNext/>
        <w:keepLines/>
        <w:rPr>
          <w:b/>
          <w:sz w:val="16"/>
          <w:szCs w:val="18"/>
          <w:lang w:val="ru-RU"/>
        </w:rPr>
      </w:pPr>
      <w:r w:rsidRPr="00495A3D">
        <w:rPr>
          <w:color w:val="000000"/>
          <w:lang w:val="ru-RU"/>
        </w:rPr>
        <w:t>ИСПОЛЬЗОВАНИЕ РЕСУРСОВ</w:t>
      </w:r>
    </w:p>
    <w:p w:rsidR="00495A3D" w:rsidRPr="00495A3D" w:rsidRDefault="00495A3D" w:rsidP="00495A3D">
      <w:pPr>
        <w:pStyle w:val="NormalWeb"/>
        <w:keepNext/>
        <w:keepLines/>
        <w:spacing w:before="0" w:beforeAutospacing="0" w:after="0" w:afterAutospacing="0"/>
        <w:jc w:val="center"/>
        <w:rPr>
          <w:color w:val="000000"/>
          <w:sz w:val="20"/>
          <w:szCs w:val="20"/>
          <w:lang w:val="ru-RU"/>
        </w:rPr>
      </w:pPr>
    </w:p>
    <w:p w:rsidR="00495A3D" w:rsidRPr="00495A3D" w:rsidRDefault="00495A3D" w:rsidP="00495A3D">
      <w:pPr>
        <w:pStyle w:val="NormalWeb"/>
        <w:keepNext/>
        <w:keepLines/>
        <w:spacing w:before="0" w:beforeAutospacing="0" w:after="0" w:afterAutospacing="0"/>
        <w:jc w:val="center"/>
        <w:rPr>
          <w:sz w:val="20"/>
          <w:szCs w:val="20"/>
          <w:lang w:val="ru-RU"/>
        </w:rPr>
      </w:pPr>
      <w:r w:rsidRPr="00495A3D">
        <w:rPr>
          <w:color w:val="000000"/>
          <w:sz w:val="20"/>
          <w:lang w:val="ru-RU"/>
        </w:rPr>
        <w:t xml:space="preserve">Бюджет и фактические расходы (в разбивке по результатам) </w:t>
      </w:r>
    </w:p>
    <w:p w:rsidR="00495A3D" w:rsidRDefault="00495A3D" w:rsidP="00495A3D">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495A3D" w:rsidRPr="00347A1B" w:rsidRDefault="00495A3D" w:rsidP="00495A3D">
      <w:pPr>
        <w:pStyle w:val="NormalWeb"/>
        <w:keepNext/>
        <w:keepLines/>
        <w:spacing w:before="0" w:beforeAutospacing="0" w:after="0" w:afterAutospacing="0"/>
        <w:jc w:val="center"/>
        <w:rPr>
          <w:i/>
          <w:iCs/>
          <w:color w:val="000000"/>
          <w:sz w:val="20"/>
          <w:szCs w:val="20"/>
        </w:rPr>
      </w:pPr>
    </w:p>
    <w:p w:rsidR="00495A3D" w:rsidRDefault="00495A3D" w:rsidP="00495A3D">
      <w:pPr>
        <w:keepNext/>
        <w:keepLines/>
        <w:jc w:val="center"/>
      </w:pPr>
      <w:r>
        <w:rPr>
          <w:noProof/>
        </w:rPr>
        <w:drawing>
          <wp:inline distT="0" distB="0" distL="0" distR="0" wp14:anchorId="2D6CEC4C" wp14:editId="46B1FD32">
            <wp:extent cx="6080125" cy="6705421"/>
            <wp:effectExtent l="0" t="0" r="0" b="63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080125" cy="6705421"/>
                    </a:xfrm>
                    <a:prstGeom prst="rect">
                      <a:avLst/>
                    </a:prstGeom>
                    <a:noFill/>
                    <a:ln>
                      <a:noFill/>
                    </a:ln>
                  </pic:spPr>
                </pic:pic>
              </a:graphicData>
            </a:graphic>
          </wp:inline>
        </w:drawing>
      </w:r>
    </w:p>
    <w:p w:rsidR="00495A3D" w:rsidRDefault="00495A3D" w:rsidP="00495A3D">
      <w:pPr>
        <w:pStyle w:val="NormalWeb"/>
        <w:keepNext/>
        <w:keepLines/>
        <w:spacing w:before="0" w:beforeAutospacing="0" w:after="0" w:afterAutospacing="0"/>
        <w:jc w:val="center"/>
        <w:rPr>
          <w:color w:val="000000"/>
          <w:sz w:val="20"/>
          <w:szCs w:val="20"/>
        </w:rPr>
      </w:pPr>
    </w:p>
    <w:p w:rsidR="00495A3D" w:rsidRDefault="00495A3D" w:rsidP="00495A3D">
      <w:pPr>
        <w:pStyle w:val="NormalWeb"/>
        <w:keepNext/>
        <w:keepLines/>
        <w:spacing w:before="0" w:beforeAutospacing="0" w:after="0" w:afterAutospacing="0"/>
        <w:jc w:val="center"/>
        <w:rPr>
          <w:color w:val="000000"/>
          <w:sz w:val="20"/>
          <w:szCs w:val="20"/>
        </w:rPr>
      </w:pPr>
    </w:p>
    <w:p w:rsidR="00495A3D" w:rsidRDefault="00495A3D" w:rsidP="00495A3D">
      <w:pPr>
        <w:spacing w:after="200" w:line="276" w:lineRule="auto"/>
        <w:rPr>
          <w:rFonts w:cs="Arial"/>
          <w:color w:val="000000"/>
          <w:szCs w:val="18"/>
        </w:rPr>
      </w:pPr>
      <w:r>
        <w:rPr>
          <w:color w:val="000000"/>
        </w:rPr>
        <w:br w:type="page"/>
      </w:r>
    </w:p>
    <w:p w:rsidR="00495A3D" w:rsidRPr="00495A3D" w:rsidRDefault="00495A3D" w:rsidP="00495A3D">
      <w:pPr>
        <w:pStyle w:val="NormalWeb"/>
        <w:keepNext/>
        <w:keepLines/>
        <w:spacing w:before="0" w:beforeAutospacing="0" w:after="0" w:afterAutospacing="0"/>
        <w:jc w:val="center"/>
        <w:rPr>
          <w:sz w:val="20"/>
          <w:szCs w:val="20"/>
          <w:lang w:val="ru-RU"/>
        </w:rPr>
      </w:pPr>
      <w:r w:rsidRPr="00495A3D">
        <w:rPr>
          <w:color w:val="000000"/>
          <w:sz w:val="20"/>
          <w:lang w:val="ru-RU"/>
        </w:rPr>
        <w:t xml:space="preserve">Бюджет и фактические расходы (по персоналу и не связанные с персоналом) </w:t>
      </w:r>
    </w:p>
    <w:p w:rsidR="00495A3D" w:rsidRPr="00383D2D" w:rsidRDefault="00495A3D" w:rsidP="00495A3D">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495A3D" w:rsidRDefault="00495A3D" w:rsidP="00495A3D">
      <w:pPr>
        <w:pStyle w:val="NormalWeb"/>
        <w:keepNext/>
        <w:keepLines/>
        <w:spacing w:before="0" w:beforeAutospacing="0" w:after="0" w:afterAutospacing="0"/>
        <w:jc w:val="center"/>
      </w:pPr>
    </w:p>
    <w:p w:rsidR="00495A3D" w:rsidRPr="008B27BA" w:rsidRDefault="00495A3D" w:rsidP="00495A3D">
      <w:pPr>
        <w:widowControl w:val="0"/>
        <w:autoSpaceDE w:val="0"/>
        <w:autoSpaceDN w:val="0"/>
        <w:adjustRightInd w:val="0"/>
        <w:jc w:val="center"/>
        <w:rPr>
          <w:rFonts w:cs="Arial"/>
          <w:szCs w:val="20"/>
        </w:rPr>
      </w:pPr>
      <w:r>
        <w:rPr>
          <w:rFonts w:cs="Arial"/>
          <w:noProof/>
          <w:szCs w:val="20"/>
        </w:rPr>
        <w:drawing>
          <wp:inline distT="0" distB="0" distL="0" distR="0" wp14:anchorId="354B3BFC" wp14:editId="2248FDB4">
            <wp:extent cx="6080125" cy="1320554"/>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080125" cy="1320554"/>
                    </a:xfrm>
                    <a:prstGeom prst="rect">
                      <a:avLst/>
                    </a:prstGeom>
                    <a:noFill/>
                    <a:ln>
                      <a:noFill/>
                    </a:ln>
                  </pic:spPr>
                </pic:pic>
              </a:graphicData>
            </a:graphic>
          </wp:inline>
        </w:drawing>
      </w:r>
    </w:p>
    <w:p w:rsidR="00495A3D" w:rsidRDefault="00495A3D" w:rsidP="00495A3D">
      <w:pPr>
        <w:widowControl w:val="0"/>
        <w:autoSpaceDE w:val="0"/>
        <w:autoSpaceDN w:val="0"/>
        <w:adjustRightInd w:val="0"/>
        <w:jc w:val="center"/>
        <w:rPr>
          <w:rFonts w:cs="Arial"/>
          <w:szCs w:val="20"/>
        </w:rPr>
      </w:pPr>
    </w:p>
    <w:p w:rsidR="00495A3D" w:rsidRPr="008F4A6D" w:rsidRDefault="00495A3D" w:rsidP="00495A3D">
      <w:pPr>
        <w:widowControl w:val="0"/>
        <w:autoSpaceDE w:val="0"/>
        <w:autoSpaceDN w:val="0"/>
        <w:adjustRightInd w:val="0"/>
        <w:jc w:val="center"/>
        <w:rPr>
          <w:rFonts w:cs="Arial"/>
          <w:szCs w:val="20"/>
        </w:rPr>
      </w:pPr>
    </w:p>
    <w:p w:rsidR="00495A3D" w:rsidRPr="00495A3D" w:rsidRDefault="00495A3D" w:rsidP="00495A3D">
      <w:pPr>
        <w:rPr>
          <w:rFonts w:cs="Arial"/>
          <w:u w:val="single"/>
          <w:lang w:val="ru-RU"/>
        </w:rPr>
      </w:pPr>
      <w:r>
        <w:t>A</w:t>
      </w:r>
      <w:r w:rsidRPr="00495A3D">
        <w:rPr>
          <w:lang w:val="ru-RU"/>
        </w:rPr>
        <w:t>.</w:t>
      </w:r>
      <w:r w:rsidRPr="00495A3D">
        <w:rPr>
          <w:lang w:val="ru-RU"/>
        </w:rPr>
        <w:tab/>
      </w:r>
      <w:r w:rsidRPr="00495A3D">
        <w:rPr>
          <w:u w:val="single"/>
          <w:lang w:val="ru-RU"/>
        </w:rPr>
        <w:t xml:space="preserve">Итоговый бюджет на 2014–2015 гг. после перераспределения средств </w:t>
      </w:r>
    </w:p>
    <w:p w:rsidR="00495A3D" w:rsidRPr="00495A3D" w:rsidRDefault="00495A3D" w:rsidP="00495A3D">
      <w:pPr>
        <w:rPr>
          <w:rFonts w:cs="Arial"/>
          <w:sz w:val="18"/>
          <w:szCs w:val="18"/>
          <w:u w:val="single"/>
          <w:lang w:val="ru-RU"/>
        </w:rPr>
      </w:pP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Корректировка распределения ресурсов между конкретными результатами в итоговом бюджете после перераспределения средств 2014–2015</w:t>
      </w:r>
      <w:r>
        <w:t> </w:t>
      </w:r>
      <w:r w:rsidRPr="00495A3D">
        <w:rPr>
          <w:lang w:val="ru-RU"/>
        </w:rPr>
        <w:t>гг. отражает новую и более точную методику распределения ресурсов, связанных с персоналом, в результате доработки системы планирования УОД в ходе ежегодных мер по планированию работы, предпринятых в 2014</w:t>
      </w:r>
      <w:r>
        <w:t> </w:t>
      </w:r>
      <w:r w:rsidRPr="00495A3D">
        <w:rPr>
          <w:lang w:val="ru-RU"/>
        </w:rPr>
        <w:t>г. и 2015</w:t>
      </w:r>
      <w:r>
        <w:t> </w:t>
      </w:r>
      <w:r w:rsidRPr="00495A3D">
        <w:rPr>
          <w:lang w:val="ru-RU"/>
        </w:rPr>
        <w:t>г.</w:t>
      </w:r>
    </w:p>
    <w:p w:rsidR="00495A3D" w:rsidRPr="00495A3D" w:rsidRDefault="00495A3D" w:rsidP="00495A3D">
      <w:pPr>
        <w:pStyle w:val="ListParagraph"/>
        <w:numPr>
          <w:ilvl w:val="0"/>
          <w:numId w:val="76"/>
        </w:numPr>
        <w:spacing w:after="200"/>
        <w:ind w:left="0" w:firstLine="0"/>
        <w:jc w:val="both"/>
        <w:rPr>
          <w:rFonts w:cs="Arial"/>
          <w:lang w:val="ru-RU"/>
        </w:rPr>
      </w:pPr>
      <w:r w:rsidRPr="00495A3D">
        <w:rPr>
          <w:lang w:val="ru-RU"/>
        </w:rPr>
        <w:t xml:space="preserve">Чистое снижение объема ресурсов, связанных с персоналом, в итоговом бюджете на 2014–2015 гг. после перераспределения средств было преимущественно связано с временным переводом временного сотрудника в программу 31 (Гаагская система) для оказания помощи в работе по новым присоединениям. </w:t>
      </w:r>
    </w:p>
    <w:p w:rsidR="00495A3D" w:rsidRPr="00495A3D" w:rsidRDefault="00495A3D" w:rsidP="00495A3D">
      <w:pPr>
        <w:autoSpaceDE w:val="0"/>
        <w:autoSpaceDN w:val="0"/>
        <w:jc w:val="both"/>
        <w:rPr>
          <w:rFonts w:cs="Arial"/>
          <w:szCs w:val="20"/>
          <w:lang w:val="ru-RU"/>
        </w:rPr>
      </w:pPr>
    </w:p>
    <w:p w:rsidR="00495A3D" w:rsidRPr="00495A3D" w:rsidRDefault="00495A3D" w:rsidP="00495A3D">
      <w:pPr>
        <w:jc w:val="both"/>
        <w:rPr>
          <w:rFonts w:cs="Arial"/>
          <w:szCs w:val="20"/>
          <w:u w:val="single"/>
          <w:lang w:val="ru-RU"/>
        </w:rPr>
      </w:pPr>
      <w:r>
        <w:t>B</w:t>
      </w:r>
      <w:r w:rsidRPr="00495A3D">
        <w:rPr>
          <w:lang w:val="ru-RU"/>
        </w:rPr>
        <w:t>.</w:t>
      </w:r>
      <w:r w:rsidRPr="00495A3D">
        <w:rPr>
          <w:lang w:val="ru-RU"/>
        </w:rPr>
        <w:tab/>
      </w:r>
      <w:r w:rsidRPr="00495A3D">
        <w:rPr>
          <w:u w:val="single"/>
          <w:lang w:val="ru-RU"/>
        </w:rPr>
        <w:t>Освоение бюджетных средств в 2014–2015 гг.</w:t>
      </w:r>
    </w:p>
    <w:p w:rsidR="00495A3D" w:rsidRPr="00495A3D" w:rsidRDefault="00495A3D" w:rsidP="00495A3D">
      <w:pPr>
        <w:pStyle w:val="ListParagraph"/>
        <w:tabs>
          <w:tab w:val="left" w:pos="709"/>
        </w:tabs>
        <w:ind w:left="0"/>
        <w:jc w:val="both"/>
        <w:rPr>
          <w:rFonts w:cs="Arial"/>
          <w:lang w:val="ru-RU"/>
        </w:rPr>
      </w:pPr>
    </w:p>
    <w:p w:rsidR="00D97F1C" w:rsidRPr="00495A3D" w:rsidRDefault="00495A3D" w:rsidP="00495A3D">
      <w:pPr>
        <w:pStyle w:val="ListParagraph"/>
        <w:numPr>
          <w:ilvl w:val="0"/>
          <w:numId w:val="76"/>
        </w:numPr>
        <w:tabs>
          <w:tab w:val="left" w:pos="709"/>
        </w:tabs>
        <w:spacing w:after="200"/>
        <w:ind w:left="0" w:firstLine="0"/>
        <w:jc w:val="both"/>
        <w:rPr>
          <w:lang w:val="ru-RU"/>
        </w:rPr>
      </w:pPr>
      <w:r w:rsidRPr="00495A3D">
        <w:rPr>
          <w:lang w:val="ru-RU"/>
        </w:rPr>
        <w:t>В целом уровень освоения бюджетных средств находится в пределах, предусмотренных для рассматриваемого двухлетнего периода.  Небольшое недоосвоение ресурсов, не связанных с персоналом, было прежде всего связано с реализацией мер по повышению эффективности затрат на командировки специалистов и мероприятия.</w:t>
      </w:r>
      <w:r w:rsidR="00D97F1C" w:rsidRPr="00495A3D">
        <w:rPr>
          <w:lang w:val="ru-RU"/>
        </w:rPr>
        <w:br w:type="page"/>
      </w:r>
    </w:p>
    <w:p w:rsidR="0055116C" w:rsidRPr="0055116C" w:rsidRDefault="0055116C" w:rsidP="0055116C">
      <w:pPr>
        <w:pStyle w:val="Heading2"/>
        <w:tabs>
          <w:tab w:val="clear" w:pos="567"/>
          <w:tab w:val="clear" w:pos="9072"/>
          <w:tab w:val="left" w:pos="1985"/>
        </w:tabs>
        <w:ind w:left="1985" w:hanging="1985"/>
        <w:rPr>
          <w:szCs w:val="20"/>
          <w:lang w:val="ru-RU"/>
        </w:rPr>
      </w:pPr>
      <w:bookmarkStart w:id="84" w:name="_Toc422210493"/>
      <w:bookmarkStart w:id="85" w:name="_Toc455388117"/>
      <w:r w:rsidRPr="0055116C">
        <w:rPr>
          <w:lang w:val="ru-RU"/>
        </w:rPr>
        <w:t>ПРОГРАММА 11</w:t>
      </w:r>
      <w:r w:rsidRPr="0055116C">
        <w:rPr>
          <w:lang w:val="ru-RU"/>
        </w:rPr>
        <w:tab/>
      </w:r>
      <w:r w:rsidRPr="0055116C">
        <w:rPr>
          <w:lang w:val="ru-RU"/>
        </w:rPr>
        <w:tab/>
        <w:t>АКАДЕМИЯ ВОИС</w:t>
      </w:r>
      <w:bookmarkEnd w:id="84"/>
      <w:bookmarkEnd w:id="85"/>
    </w:p>
    <w:p w:rsidR="0055116C" w:rsidRPr="0055116C" w:rsidRDefault="0055116C" w:rsidP="0055116C">
      <w:pPr>
        <w:ind w:left="1985" w:hanging="1985"/>
        <w:rPr>
          <w:szCs w:val="20"/>
          <w:lang w:val="ru-RU"/>
        </w:rPr>
      </w:pPr>
    </w:p>
    <w:p w:rsidR="0055116C" w:rsidRPr="0055116C" w:rsidRDefault="0055116C" w:rsidP="0055116C">
      <w:pPr>
        <w:ind w:left="1985" w:hanging="1985"/>
        <w:rPr>
          <w:b/>
          <w:szCs w:val="20"/>
          <w:lang w:val="ru-RU"/>
        </w:rPr>
      </w:pPr>
      <w:r w:rsidRPr="0055116C">
        <w:rPr>
          <w:b/>
          <w:lang w:val="ru-RU"/>
        </w:rPr>
        <w:t xml:space="preserve">Руководитель программы: </w:t>
      </w:r>
      <w:r w:rsidRPr="0055116C">
        <w:rPr>
          <w:lang w:val="ru-RU"/>
        </w:rPr>
        <w:tab/>
      </w:r>
      <w:r w:rsidRPr="0055116C">
        <w:rPr>
          <w:b/>
          <w:lang w:val="ru-RU"/>
        </w:rPr>
        <w:t>г-н М. Матус</w:t>
      </w:r>
    </w:p>
    <w:p w:rsidR="0055116C" w:rsidRPr="0055116C" w:rsidRDefault="0055116C" w:rsidP="0055116C">
      <w:pPr>
        <w:rPr>
          <w:szCs w:val="20"/>
          <w:lang w:val="ru-RU"/>
        </w:rPr>
      </w:pPr>
    </w:p>
    <w:p w:rsidR="0055116C" w:rsidRPr="0055116C" w:rsidRDefault="0055116C" w:rsidP="0055116C">
      <w:pPr>
        <w:rPr>
          <w:bCs/>
          <w:szCs w:val="20"/>
          <w:lang w:val="ru-RU"/>
        </w:rPr>
      </w:pPr>
    </w:p>
    <w:p w:rsidR="0055116C" w:rsidRPr="0055116C" w:rsidRDefault="0055116C" w:rsidP="0055116C">
      <w:pPr>
        <w:rPr>
          <w:bCs/>
          <w:sz w:val="22"/>
          <w:szCs w:val="20"/>
          <w:lang w:val="ru-RU"/>
        </w:rPr>
      </w:pPr>
      <w:r w:rsidRPr="0055116C">
        <w:rPr>
          <w:lang w:val="ru-RU"/>
        </w:rPr>
        <w:t>ОБЗОР ДОСТИЖЕНИЙ ЗА ДВУХЛЕТНИЙ ПЕРИОД 2014–2015 ГГ.</w:t>
      </w:r>
    </w:p>
    <w:p w:rsidR="0055116C" w:rsidRPr="0055116C" w:rsidRDefault="0055116C" w:rsidP="0055116C">
      <w:pPr>
        <w:spacing w:line="276" w:lineRule="auto"/>
        <w:rPr>
          <w:rFonts w:eastAsiaTheme="minorHAnsi" w:cs="Arial"/>
          <w:szCs w:val="20"/>
          <w:lang w:val="ru-RU"/>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В 2014–2015</w:t>
      </w:r>
      <w:r>
        <w:rPr>
          <w:rFonts w:eastAsiaTheme="minorHAnsi"/>
          <w:color w:val="000000"/>
        </w:rPr>
        <w:t> </w:t>
      </w:r>
      <w:r w:rsidRPr="0055116C">
        <w:rPr>
          <w:rFonts w:eastAsiaTheme="minorHAnsi"/>
          <w:color w:val="000000"/>
          <w:lang w:val="ru-RU"/>
        </w:rPr>
        <w:t>гг. Академия ВОИС начала процесс реформирования и утверждения своей роли как основного подразделения ВОИС в области проведения профессиональной подготовки, образования и создания потенциала в сфере ИС для сотрудников государственных учреждений и других заинтересованных сторон.  В ходе этого процесса Академия ВОИС стремилась сохранить количество, качество и периодичность своих регулярно проводимых учебных курсов для выполнения сохраняющихся обязательств перед партнерами в области обучения, отзываться на новые и срочные запросы государств-членов и иных заинтересованных сторон в области обучения и обеспечивать преемственность реализуемых ею программ обучения.  В рассматриваемый двухлетний период в ее программах и мероприятиях приняли участие около 80</w:t>
      </w:r>
      <w:r>
        <w:rPr>
          <w:rFonts w:eastAsiaTheme="minorHAnsi"/>
          <w:color w:val="000000"/>
        </w:rPr>
        <w:t> </w:t>
      </w:r>
      <w:r w:rsidRPr="0055116C">
        <w:rPr>
          <w:rFonts w:eastAsiaTheme="minorHAnsi"/>
          <w:color w:val="000000"/>
          <w:lang w:val="ru-RU"/>
        </w:rPr>
        <w:t>000</w:t>
      </w:r>
      <w:r>
        <w:rPr>
          <w:rFonts w:eastAsiaTheme="minorHAnsi"/>
          <w:color w:val="000000"/>
        </w:rPr>
        <w:t> </w:t>
      </w:r>
      <w:r w:rsidRPr="0055116C">
        <w:rPr>
          <w:rFonts w:eastAsiaTheme="minorHAnsi"/>
          <w:color w:val="000000"/>
          <w:lang w:val="ru-RU"/>
        </w:rPr>
        <w:t xml:space="preserve">человек.  </w:t>
      </w:r>
    </w:p>
    <w:p w:rsidR="0055116C" w:rsidRPr="0055116C" w:rsidRDefault="0055116C" w:rsidP="0055116C">
      <w:pPr>
        <w:autoSpaceDE w:val="0"/>
        <w:autoSpaceDN w:val="0"/>
        <w:adjustRightInd w:val="0"/>
        <w:spacing w:line="240" w:lineRule="exact"/>
        <w:contextualSpacing/>
        <w:jc w:val="both"/>
        <w:rPr>
          <w:rFonts w:eastAsiaTheme="minorHAnsi" w:cs="Arial"/>
          <w:color w:val="000000"/>
          <w:szCs w:val="20"/>
          <w:lang w:val="ru-RU"/>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В 2014–2015</w:t>
      </w:r>
      <w:r>
        <w:rPr>
          <w:rFonts w:eastAsiaTheme="minorHAnsi"/>
          <w:color w:val="000000"/>
        </w:rPr>
        <w:t> </w:t>
      </w:r>
      <w:r w:rsidRPr="0055116C">
        <w:rPr>
          <w:rFonts w:eastAsiaTheme="minorHAnsi"/>
          <w:color w:val="000000"/>
          <w:lang w:val="ru-RU"/>
        </w:rPr>
        <w:t>гг. разработка, планирование и реализация мероприятий программы</w:t>
      </w:r>
      <w:r>
        <w:rPr>
          <w:rFonts w:eastAsiaTheme="minorHAnsi"/>
          <w:color w:val="000000"/>
        </w:rPr>
        <w:t> </w:t>
      </w:r>
      <w:r w:rsidRPr="0055116C">
        <w:rPr>
          <w:rFonts w:eastAsiaTheme="minorHAnsi"/>
          <w:color w:val="000000"/>
          <w:lang w:val="ru-RU"/>
        </w:rPr>
        <w:t>11 по-прежнему были основаны на соответствующих рекомендациях ПДР. Программы Академии были ориентированы на задачи развития и принимали во внимание потребности партнеров (рекомендация</w:t>
      </w:r>
      <w:r>
        <w:rPr>
          <w:rFonts w:eastAsiaTheme="minorHAnsi"/>
          <w:color w:val="000000"/>
        </w:rPr>
        <w:t> </w:t>
      </w:r>
      <w:r w:rsidRPr="0055116C">
        <w:rPr>
          <w:rFonts w:eastAsiaTheme="minorHAnsi"/>
          <w:color w:val="000000"/>
          <w:lang w:val="ru-RU"/>
        </w:rPr>
        <w:t>1), а также предполагали включение проблематики ИС в учебный процесс образовательных учреждений разного уровня для углубления ее понимания обществом в целом (рекомендация</w:t>
      </w:r>
      <w:r>
        <w:rPr>
          <w:rFonts w:eastAsiaTheme="minorHAnsi"/>
          <w:color w:val="000000"/>
        </w:rPr>
        <w:t> </w:t>
      </w:r>
      <w:r w:rsidRPr="0055116C">
        <w:rPr>
          <w:rFonts w:eastAsiaTheme="minorHAnsi"/>
          <w:color w:val="000000"/>
          <w:lang w:val="ru-RU"/>
        </w:rPr>
        <w:t>3).</w:t>
      </w:r>
      <w:r>
        <w:rPr>
          <w:rFonts w:eastAsiaTheme="minorHAnsi"/>
          <w:color w:val="000000"/>
        </w:rPr>
        <w:t> </w:t>
      </w:r>
    </w:p>
    <w:p w:rsidR="0055116C" w:rsidRPr="0055116C" w:rsidRDefault="0055116C" w:rsidP="0055116C">
      <w:pPr>
        <w:pStyle w:val="ListParagraph"/>
        <w:tabs>
          <w:tab w:val="left" w:pos="709"/>
        </w:tabs>
        <w:autoSpaceDE w:val="0"/>
        <w:autoSpaceDN w:val="0"/>
        <w:adjustRightInd w:val="0"/>
        <w:ind w:left="0"/>
        <w:jc w:val="both"/>
        <w:rPr>
          <w:rFonts w:eastAsiaTheme="minorHAnsi" w:cs="Arial"/>
          <w:color w:val="000000"/>
          <w:lang w:val="ru-RU"/>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В рамках программы повышения квалификации (ППК) в 2014–2015</w:t>
      </w:r>
      <w:r>
        <w:rPr>
          <w:rFonts w:eastAsiaTheme="minorHAnsi"/>
          <w:color w:val="000000"/>
        </w:rPr>
        <w:t> </w:t>
      </w:r>
      <w:r w:rsidRPr="0055116C">
        <w:rPr>
          <w:rFonts w:eastAsiaTheme="minorHAnsi"/>
          <w:color w:val="000000"/>
          <w:lang w:val="ru-RU"/>
        </w:rPr>
        <w:t>гг. были организованы 35</w:t>
      </w:r>
      <w:r>
        <w:rPr>
          <w:rFonts w:eastAsiaTheme="minorHAnsi"/>
          <w:color w:val="000000"/>
        </w:rPr>
        <w:t> </w:t>
      </w:r>
      <w:r w:rsidRPr="0055116C">
        <w:rPr>
          <w:rFonts w:eastAsiaTheme="minorHAnsi"/>
          <w:color w:val="000000"/>
          <w:lang w:val="ru-RU"/>
        </w:rPr>
        <w:t>учебных курсов совместно с 22</w:t>
      </w:r>
      <w:r>
        <w:rPr>
          <w:rFonts w:eastAsiaTheme="minorHAnsi"/>
          <w:color w:val="000000"/>
        </w:rPr>
        <w:t> </w:t>
      </w:r>
      <w:r w:rsidRPr="0055116C">
        <w:rPr>
          <w:rFonts w:eastAsiaTheme="minorHAnsi"/>
          <w:color w:val="000000"/>
          <w:lang w:val="ru-RU"/>
        </w:rPr>
        <w:t>учреждениями-партнерами в Алжире, Австрии, Бразилии, Камеруне, Канаде, Коста-Рике, Финляндии, Франции, Германии, Индонезии, Израиле, Малайзии, Мексике, Марокко, Норвегии, Парагвае, Перу, Испании, Швейцарии и Соединенном Королевстве, а также совместно со Всемирной торговой организацией (ВТО) и Центром международных исследований проблем интеллектуальной собственности (</w:t>
      </w:r>
      <w:r>
        <w:rPr>
          <w:rFonts w:eastAsiaTheme="minorHAnsi"/>
          <w:color w:val="000000"/>
        </w:rPr>
        <w:t>CEIPI</w:t>
      </w:r>
      <w:r w:rsidRPr="0055116C">
        <w:rPr>
          <w:rFonts w:eastAsiaTheme="minorHAnsi"/>
          <w:color w:val="000000"/>
          <w:lang w:val="ru-RU"/>
        </w:rPr>
        <w:t>) (Страсбург, Франция).  Эти учебные курсы касались в том числе таких тем, как патенты, товарные знаки, авторское право и смежные права, коллективное управление авторским правом и смежными правами, ИС для директивных органов, а также передача технологий и лицензирование.  С 2012</w:t>
      </w:r>
      <w:r>
        <w:rPr>
          <w:rFonts w:eastAsiaTheme="minorHAnsi"/>
          <w:color w:val="000000"/>
        </w:rPr>
        <w:t> </w:t>
      </w:r>
      <w:r w:rsidRPr="0055116C">
        <w:rPr>
          <w:rFonts w:eastAsiaTheme="minorHAnsi"/>
          <w:color w:val="000000"/>
          <w:lang w:val="ru-RU"/>
        </w:rPr>
        <w:t xml:space="preserve">г. по запросу государств-членов принимаются меры по организации обучения по более конкретным темам, таким как патентная экспертиза в области фармацевтики и биотехнологий.  </w:t>
      </w:r>
    </w:p>
    <w:p w:rsidR="0055116C" w:rsidRPr="0055116C" w:rsidRDefault="0055116C" w:rsidP="0055116C">
      <w:pPr>
        <w:pStyle w:val="ListParagraph"/>
        <w:tabs>
          <w:tab w:val="left" w:pos="709"/>
        </w:tabs>
        <w:autoSpaceDE w:val="0"/>
        <w:autoSpaceDN w:val="0"/>
        <w:adjustRightInd w:val="0"/>
        <w:ind w:left="0"/>
        <w:jc w:val="both"/>
        <w:rPr>
          <w:rFonts w:eastAsiaTheme="minorHAnsi" w:cs="Arial"/>
          <w:color w:val="000000"/>
          <w:lang w:val="ru-RU"/>
        </w:rPr>
      </w:pPr>
    </w:p>
    <w:p w:rsidR="0055116C" w:rsidRPr="0055116C" w:rsidRDefault="0055116C" w:rsidP="0055116C">
      <w:pPr>
        <w:pStyle w:val="ListParagraph"/>
        <w:numPr>
          <w:ilvl w:val="0"/>
          <w:numId w:val="84"/>
        </w:numPr>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В этих учебных курсах приняли участие в общей сложности 462</w:t>
      </w:r>
      <w:r>
        <w:rPr>
          <w:rStyle w:val="FootnoteReference"/>
          <w:rFonts w:eastAsiaTheme="minorHAnsi"/>
          <w:color w:val="000000"/>
        </w:rPr>
        <w:footnoteReference w:id="70"/>
      </w:r>
      <w:r>
        <w:rPr>
          <w:rFonts w:eastAsiaTheme="minorHAnsi"/>
          <w:color w:val="000000"/>
        </w:rPr>
        <w:t> </w:t>
      </w:r>
      <w:r w:rsidRPr="0055116C">
        <w:rPr>
          <w:rFonts w:eastAsiaTheme="minorHAnsi"/>
          <w:color w:val="000000"/>
          <w:lang w:val="ru-RU"/>
        </w:rPr>
        <w:t>должностных лица из развивающихся стран, НРС и стран с переходной экономикой, при этом 52</w:t>
      </w:r>
      <w:r>
        <w:rPr>
          <w:rFonts w:eastAsiaTheme="minorHAnsi"/>
          <w:color w:val="000000"/>
        </w:rPr>
        <w:t> </w:t>
      </w:r>
      <w:r w:rsidRPr="0055116C">
        <w:rPr>
          <w:rFonts w:eastAsiaTheme="minorHAnsi"/>
          <w:color w:val="000000"/>
          <w:lang w:val="ru-RU"/>
        </w:rPr>
        <w:t>процента из них составляли женщины и 48</w:t>
      </w:r>
      <w:r>
        <w:rPr>
          <w:rFonts w:eastAsiaTheme="minorHAnsi"/>
          <w:color w:val="000000"/>
        </w:rPr>
        <w:t> </w:t>
      </w:r>
      <w:r w:rsidRPr="0055116C">
        <w:rPr>
          <w:rFonts w:eastAsiaTheme="minorHAnsi"/>
          <w:color w:val="000000"/>
          <w:lang w:val="ru-RU"/>
        </w:rPr>
        <w:t xml:space="preserve">процентов – мужчины.  </w:t>
      </w:r>
    </w:p>
    <w:p w:rsidR="0055116C" w:rsidRPr="0055116C" w:rsidRDefault="0055116C" w:rsidP="0055116C">
      <w:pPr>
        <w:autoSpaceDE w:val="0"/>
        <w:autoSpaceDN w:val="0"/>
        <w:adjustRightInd w:val="0"/>
        <w:jc w:val="both"/>
        <w:rPr>
          <w:rFonts w:eastAsiaTheme="minorHAnsi" w:cs="Arial"/>
          <w:color w:val="000000"/>
          <w:lang w:val="ru-RU"/>
        </w:rPr>
      </w:pPr>
    </w:p>
    <w:tbl>
      <w:tblPr>
        <w:tblStyle w:val="TableGrid"/>
        <w:tblW w:w="95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8"/>
        <w:gridCol w:w="4622"/>
      </w:tblGrid>
      <w:tr w:rsidR="0055116C" w:rsidTr="0055116C">
        <w:tc>
          <w:tcPr>
            <w:tcW w:w="4968" w:type="dxa"/>
          </w:tcPr>
          <w:p w:rsidR="0055116C" w:rsidRPr="0055116C" w:rsidRDefault="0055116C" w:rsidP="0055116C">
            <w:pPr>
              <w:pStyle w:val="ListParagraph"/>
              <w:tabs>
                <w:tab w:val="left" w:pos="709"/>
              </w:tabs>
              <w:autoSpaceDE w:val="0"/>
              <w:autoSpaceDN w:val="0"/>
              <w:adjustRightInd w:val="0"/>
              <w:ind w:left="0"/>
              <w:jc w:val="center"/>
              <w:rPr>
                <w:rFonts w:eastAsiaTheme="minorHAnsi" w:cs="Arial"/>
                <w:i/>
                <w:color w:val="000000"/>
                <w:sz w:val="18"/>
                <w:szCs w:val="18"/>
                <w:lang w:val="ru-RU"/>
              </w:rPr>
            </w:pPr>
            <w:r w:rsidRPr="0055116C">
              <w:rPr>
                <w:rFonts w:eastAsiaTheme="minorHAnsi"/>
                <w:i/>
                <w:color w:val="000000"/>
                <w:sz w:val="18"/>
                <w:lang w:val="ru-RU"/>
              </w:rPr>
              <w:t>Географическое распределение участников ППК (2012–2015</w:t>
            </w:r>
            <w:r>
              <w:rPr>
                <w:rFonts w:eastAsiaTheme="minorHAnsi"/>
                <w:i/>
                <w:color w:val="000000"/>
                <w:sz w:val="18"/>
              </w:rPr>
              <w:t> </w:t>
            </w:r>
            <w:r w:rsidRPr="0055116C">
              <w:rPr>
                <w:rFonts w:eastAsiaTheme="minorHAnsi"/>
                <w:i/>
                <w:color w:val="000000"/>
                <w:sz w:val="18"/>
                <w:lang w:val="ru-RU"/>
              </w:rPr>
              <w:t>гг.)</w:t>
            </w:r>
          </w:p>
          <w:p w:rsidR="0055116C" w:rsidRDefault="0055116C" w:rsidP="0055116C">
            <w:pPr>
              <w:pStyle w:val="ListParagraph"/>
              <w:tabs>
                <w:tab w:val="left" w:pos="709"/>
              </w:tabs>
              <w:autoSpaceDE w:val="0"/>
              <w:autoSpaceDN w:val="0"/>
              <w:adjustRightInd w:val="0"/>
              <w:ind w:left="0"/>
              <w:jc w:val="center"/>
              <w:rPr>
                <w:rFonts w:eastAsiaTheme="minorHAnsi" w:cs="Arial"/>
                <w:color w:val="000000"/>
              </w:rPr>
            </w:pPr>
            <w:r>
              <w:rPr>
                <w:rFonts w:eastAsiaTheme="minorHAnsi" w:cs="Arial"/>
                <w:noProof/>
                <w:color w:val="000000"/>
              </w:rPr>
              <w:drawing>
                <wp:inline distT="0" distB="0" distL="0" distR="0" wp14:anchorId="65399CFC" wp14:editId="6E484B08">
                  <wp:extent cx="2697668" cy="1916166"/>
                  <wp:effectExtent l="0" t="0" r="7620" b="8255"/>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697783" cy="1916248"/>
                          </a:xfrm>
                          <a:prstGeom prst="rect">
                            <a:avLst/>
                          </a:prstGeom>
                          <a:noFill/>
                          <a:ln>
                            <a:noFill/>
                          </a:ln>
                        </pic:spPr>
                      </pic:pic>
                    </a:graphicData>
                  </a:graphic>
                </wp:inline>
              </w:drawing>
            </w:r>
          </w:p>
        </w:tc>
        <w:tc>
          <w:tcPr>
            <w:tcW w:w="4622" w:type="dxa"/>
          </w:tcPr>
          <w:p w:rsidR="0055116C" w:rsidRPr="0055116C" w:rsidRDefault="0055116C" w:rsidP="0055116C">
            <w:pPr>
              <w:pStyle w:val="ListParagraph"/>
              <w:tabs>
                <w:tab w:val="left" w:pos="709"/>
              </w:tabs>
              <w:autoSpaceDE w:val="0"/>
              <w:autoSpaceDN w:val="0"/>
              <w:adjustRightInd w:val="0"/>
              <w:ind w:left="0"/>
              <w:rPr>
                <w:rFonts w:eastAsiaTheme="minorHAnsi" w:cs="Arial"/>
                <w:i/>
                <w:color w:val="000000"/>
                <w:sz w:val="18"/>
                <w:szCs w:val="18"/>
                <w:lang w:val="ru-RU"/>
              </w:rPr>
            </w:pPr>
            <w:r w:rsidRPr="0055116C">
              <w:rPr>
                <w:rFonts w:eastAsiaTheme="minorHAnsi"/>
                <w:i/>
                <w:color w:val="000000"/>
                <w:sz w:val="18"/>
                <w:lang w:val="ru-RU"/>
              </w:rPr>
              <w:t>Гендерное распределение участников ППК (2014–2015</w:t>
            </w:r>
            <w:r>
              <w:rPr>
                <w:rFonts w:eastAsiaTheme="minorHAnsi"/>
                <w:i/>
                <w:color w:val="000000"/>
                <w:sz w:val="18"/>
              </w:rPr>
              <w:t> </w:t>
            </w:r>
            <w:r w:rsidRPr="0055116C">
              <w:rPr>
                <w:rFonts w:eastAsiaTheme="minorHAnsi"/>
                <w:i/>
                <w:color w:val="000000"/>
                <w:sz w:val="18"/>
                <w:lang w:val="ru-RU"/>
              </w:rPr>
              <w:t>гг.)</w:t>
            </w:r>
          </w:p>
          <w:p w:rsidR="0055116C" w:rsidRDefault="0055116C" w:rsidP="0055116C">
            <w:pPr>
              <w:pStyle w:val="ListParagraph"/>
              <w:tabs>
                <w:tab w:val="left" w:pos="709"/>
              </w:tabs>
              <w:autoSpaceDE w:val="0"/>
              <w:autoSpaceDN w:val="0"/>
              <w:adjustRightInd w:val="0"/>
              <w:ind w:left="0"/>
              <w:rPr>
                <w:rFonts w:eastAsiaTheme="minorHAnsi" w:cs="Arial"/>
                <w:color w:val="000000"/>
              </w:rPr>
            </w:pPr>
            <w:r>
              <w:rPr>
                <w:rFonts w:eastAsiaTheme="minorHAnsi" w:cs="Arial"/>
                <w:noProof/>
                <w:color w:val="000000"/>
              </w:rPr>
              <w:drawing>
                <wp:inline distT="0" distB="0" distL="0" distR="0" wp14:anchorId="667369CA" wp14:editId="74AE5C32">
                  <wp:extent cx="2062886" cy="1823742"/>
                  <wp:effectExtent l="0" t="0" r="0" b="508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070284" cy="1830282"/>
                          </a:xfrm>
                          <a:prstGeom prst="rect">
                            <a:avLst/>
                          </a:prstGeom>
                          <a:noFill/>
                          <a:ln>
                            <a:noFill/>
                          </a:ln>
                        </pic:spPr>
                      </pic:pic>
                    </a:graphicData>
                  </a:graphic>
                </wp:inline>
              </w:drawing>
            </w:r>
          </w:p>
        </w:tc>
      </w:tr>
    </w:tbl>
    <w:p w:rsidR="0055116C" w:rsidRDefault="0055116C" w:rsidP="0055116C">
      <w:pPr>
        <w:pStyle w:val="ListParagraph"/>
        <w:tabs>
          <w:tab w:val="left" w:pos="709"/>
        </w:tabs>
        <w:autoSpaceDE w:val="0"/>
        <w:autoSpaceDN w:val="0"/>
        <w:adjustRightInd w:val="0"/>
        <w:ind w:left="0"/>
        <w:jc w:val="both"/>
        <w:rPr>
          <w:rFonts w:eastAsiaTheme="minorHAnsi" w:cs="Arial"/>
          <w:color w:val="000000"/>
        </w:rPr>
      </w:pPr>
    </w:p>
    <w:p w:rsidR="0055116C" w:rsidRPr="0055116C" w:rsidRDefault="0055116C" w:rsidP="0055116C">
      <w:pPr>
        <w:pStyle w:val="ListParagraph"/>
        <w:numPr>
          <w:ilvl w:val="0"/>
          <w:numId w:val="84"/>
        </w:numPr>
        <w:tabs>
          <w:tab w:val="left" w:pos="0"/>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В 2015</w:t>
      </w:r>
      <w:r>
        <w:rPr>
          <w:rFonts w:eastAsiaTheme="minorHAnsi"/>
          <w:color w:val="000000"/>
        </w:rPr>
        <w:t> </w:t>
      </w:r>
      <w:r w:rsidRPr="0055116C">
        <w:rPr>
          <w:rFonts w:eastAsiaTheme="minorHAnsi"/>
          <w:color w:val="000000"/>
          <w:lang w:val="ru-RU"/>
        </w:rPr>
        <w:t>г. Академия ВОИС провела Обследование на предмет оценки потребностей в области подготовки кадров.  В его ходе было получено 329</w:t>
      </w:r>
      <w:r>
        <w:rPr>
          <w:rFonts w:eastAsiaTheme="minorHAnsi"/>
          <w:color w:val="000000"/>
        </w:rPr>
        <w:t> </w:t>
      </w:r>
      <w:r w:rsidRPr="0055116C">
        <w:rPr>
          <w:rFonts w:eastAsiaTheme="minorHAnsi"/>
          <w:color w:val="000000"/>
          <w:lang w:val="ru-RU"/>
        </w:rPr>
        <w:t>ответов от государственных и частных учреждений из 100</w:t>
      </w:r>
      <w:r>
        <w:rPr>
          <w:rFonts w:eastAsiaTheme="minorHAnsi"/>
          <w:color w:val="000000"/>
        </w:rPr>
        <w:t> </w:t>
      </w:r>
      <w:r w:rsidRPr="0055116C">
        <w:rPr>
          <w:rFonts w:eastAsiaTheme="minorHAnsi"/>
          <w:color w:val="000000"/>
          <w:lang w:val="ru-RU"/>
        </w:rPr>
        <w:t>государств-членов. Одним из основных результатов этого обследования заключался в следующем: 74,8</w:t>
      </w:r>
      <w:r>
        <w:rPr>
          <w:rFonts w:eastAsiaTheme="minorHAnsi"/>
          <w:color w:val="000000"/>
        </w:rPr>
        <w:t> </w:t>
      </w:r>
      <w:r w:rsidRPr="0055116C">
        <w:rPr>
          <w:rFonts w:eastAsiaTheme="minorHAnsi"/>
          <w:color w:val="000000"/>
          <w:lang w:val="ru-RU"/>
        </w:rPr>
        <w:t xml:space="preserve">процента респондентов указали, что в их национальных учреждениях нет образовательных структур для организации обучения по вопросам ИС и что они полагаются на ВОИС в вопросах организации и проведения профессиональной подготовки и создания потенциала в сфере ИС.  Соответственно, Академия ВОИС играет все более важную роль в определении потребностей в обучении государств-членов и их удовлетворении. </w:t>
      </w:r>
    </w:p>
    <w:p w:rsidR="0055116C" w:rsidRPr="0055116C" w:rsidRDefault="0055116C" w:rsidP="0055116C">
      <w:pPr>
        <w:pStyle w:val="ListParagraph"/>
        <w:tabs>
          <w:tab w:val="left" w:pos="0"/>
        </w:tabs>
        <w:autoSpaceDE w:val="0"/>
        <w:autoSpaceDN w:val="0"/>
        <w:adjustRightInd w:val="0"/>
        <w:ind w:left="0"/>
        <w:jc w:val="both"/>
        <w:rPr>
          <w:rFonts w:eastAsiaTheme="minorHAnsi" w:cs="Arial"/>
          <w:color w:val="000000"/>
          <w:lang w:val="ru-RU"/>
        </w:rPr>
      </w:pPr>
    </w:p>
    <w:p w:rsidR="0055116C" w:rsidRPr="0055116C" w:rsidRDefault="0055116C" w:rsidP="0055116C">
      <w:pPr>
        <w:pStyle w:val="ListParagraph"/>
        <w:numPr>
          <w:ilvl w:val="0"/>
          <w:numId w:val="84"/>
        </w:numPr>
        <w:tabs>
          <w:tab w:val="left" w:pos="0"/>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 xml:space="preserve">В целях удовлетворения потребностей и реализации приоритетов государств-членов был пересмотрен и расширен каталог курсов: в него были включены новые темы, такие как управление ведомствами ИС, управление и коммерциализация ИС, ИС и брендинг, а также передача технологий и лицензирование.  Кроме того, в каталог курсов были включены два новых курса, предназначенных для удовлетворения конкретных региональных потребностей: один из них предназначен для НРС, а другой – для стран Карибского бассейна. </w:t>
      </w:r>
    </w:p>
    <w:p w:rsidR="0055116C" w:rsidRPr="0055116C" w:rsidRDefault="0055116C" w:rsidP="0055116C">
      <w:pPr>
        <w:pStyle w:val="ListParagraph"/>
        <w:tabs>
          <w:tab w:val="left" w:pos="709"/>
        </w:tabs>
        <w:autoSpaceDE w:val="0"/>
        <w:autoSpaceDN w:val="0"/>
        <w:adjustRightInd w:val="0"/>
        <w:ind w:left="0"/>
        <w:jc w:val="both"/>
        <w:rPr>
          <w:rFonts w:eastAsiaTheme="minorHAnsi" w:cs="Arial"/>
          <w:color w:val="000000"/>
          <w:lang w:val="ru-RU"/>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В рамках процесса реформирования было введено требование, согласно которому прохождение ряда углубленных курсов дистанционного обучения является обязательным для первичного участия во всех специализированных курсах повышения квалификации, о чем упоминается в каталоге курсов.</w:t>
      </w:r>
    </w:p>
    <w:p w:rsidR="0055116C" w:rsidRPr="0055116C" w:rsidRDefault="0055116C" w:rsidP="0055116C">
      <w:pPr>
        <w:spacing w:line="240" w:lineRule="atLeast"/>
        <w:contextualSpacing/>
        <w:rPr>
          <w:rFonts w:cs="Arial"/>
          <w:szCs w:val="20"/>
          <w:lang w:val="ru-RU"/>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Программа дистанционного обучения (ДО) по-прежнему привлекала участников из самых разных заинтересованных сторон.  В 2014–2015</w:t>
      </w:r>
      <w:r>
        <w:rPr>
          <w:rFonts w:eastAsiaTheme="minorHAnsi"/>
          <w:color w:val="000000"/>
        </w:rPr>
        <w:t> </w:t>
      </w:r>
      <w:r w:rsidRPr="0055116C">
        <w:rPr>
          <w:rFonts w:eastAsiaTheme="minorHAnsi"/>
          <w:color w:val="000000"/>
          <w:lang w:val="ru-RU"/>
        </w:rPr>
        <w:t>гг. возможностями усовершенствованной платформы Центра электронного обучения (</w:t>
      </w:r>
      <w:r>
        <w:rPr>
          <w:rFonts w:eastAsiaTheme="minorHAnsi"/>
          <w:color w:val="000000"/>
        </w:rPr>
        <w:t>WeLC</w:t>
      </w:r>
      <w:r w:rsidRPr="0055116C">
        <w:rPr>
          <w:rFonts w:eastAsiaTheme="minorHAnsi"/>
          <w:color w:val="000000"/>
          <w:lang w:val="ru-RU"/>
        </w:rPr>
        <w:t>) воспользовались 78</w:t>
      </w:r>
      <w:r>
        <w:rPr>
          <w:rFonts w:eastAsiaTheme="minorHAnsi"/>
          <w:color w:val="000000"/>
        </w:rPr>
        <w:t> </w:t>
      </w:r>
      <w:r w:rsidRPr="0055116C">
        <w:rPr>
          <w:rFonts w:eastAsiaTheme="minorHAnsi"/>
          <w:color w:val="000000"/>
          <w:lang w:val="ru-RU"/>
        </w:rPr>
        <w:t>551</w:t>
      </w:r>
      <w:r>
        <w:rPr>
          <w:rFonts w:eastAsiaTheme="minorHAnsi"/>
          <w:color w:val="000000"/>
        </w:rPr>
        <w:t> </w:t>
      </w:r>
      <w:r w:rsidRPr="0055116C">
        <w:rPr>
          <w:rFonts w:eastAsiaTheme="minorHAnsi"/>
          <w:color w:val="000000"/>
          <w:lang w:val="ru-RU"/>
        </w:rPr>
        <w:t>человек из 193</w:t>
      </w:r>
      <w:r>
        <w:rPr>
          <w:rFonts w:eastAsiaTheme="minorHAnsi"/>
          <w:color w:val="000000"/>
        </w:rPr>
        <w:t> </w:t>
      </w:r>
      <w:r w:rsidRPr="0055116C">
        <w:rPr>
          <w:rFonts w:eastAsiaTheme="minorHAnsi"/>
          <w:color w:val="000000"/>
          <w:lang w:val="ru-RU"/>
        </w:rPr>
        <w:t>стран (67</w:t>
      </w:r>
      <w:r>
        <w:rPr>
          <w:rFonts w:eastAsiaTheme="minorHAnsi"/>
          <w:color w:val="000000"/>
        </w:rPr>
        <w:t> </w:t>
      </w:r>
      <w:r w:rsidRPr="0055116C">
        <w:rPr>
          <w:rFonts w:eastAsiaTheme="minorHAnsi"/>
          <w:color w:val="000000"/>
          <w:lang w:val="ru-RU"/>
        </w:rPr>
        <w:t>809</w:t>
      </w:r>
      <w:r>
        <w:rPr>
          <w:rFonts w:eastAsiaTheme="minorHAnsi"/>
          <w:color w:val="000000"/>
        </w:rPr>
        <w:t> </w:t>
      </w:r>
      <w:r w:rsidRPr="0055116C">
        <w:rPr>
          <w:rFonts w:eastAsiaTheme="minorHAnsi"/>
          <w:color w:val="000000"/>
          <w:lang w:val="ru-RU"/>
        </w:rPr>
        <w:t>человек прослушали общие курсы, 10</w:t>
      </w:r>
      <w:r>
        <w:rPr>
          <w:rFonts w:eastAsiaTheme="minorHAnsi"/>
          <w:color w:val="000000"/>
        </w:rPr>
        <w:t> </w:t>
      </w:r>
      <w:r w:rsidRPr="0055116C">
        <w:rPr>
          <w:rFonts w:eastAsiaTheme="minorHAnsi"/>
          <w:color w:val="000000"/>
          <w:lang w:val="ru-RU"/>
        </w:rPr>
        <w:t>742 – углубленные курсы), что на 3,6</w:t>
      </w:r>
      <w:r>
        <w:rPr>
          <w:rFonts w:eastAsiaTheme="minorHAnsi"/>
          <w:color w:val="000000"/>
        </w:rPr>
        <w:t> </w:t>
      </w:r>
      <w:r w:rsidRPr="0055116C">
        <w:rPr>
          <w:rFonts w:eastAsiaTheme="minorHAnsi"/>
          <w:color w:val="000000"/>
          <w:lang w:val="ru-RU"/>
        </w:rPr>
        <w:t>процента меньше, чем в 2012–2013</w:t>
      </w:r>
      <w:r>
        <w:rPr>
          <w:rFonts w:eastAsiaTheme="minorHAnsi"/>
          <w:color w:val="000000"/>
        </w:rPr>
        <w:t> </w:t>
      </w:r>
      <w:r w:rsidRPr="0055116C">
        <w:rPr>
          <w:rFonts w:eastAsiaTheme="minorHAnsi"/>
          <w:color w:val="000000"/>
          <w:lang w:val="ru-RU"/>
        </w:rPr>
        <w:t>гг.  Шестьдесят процентов участников прошли курсы по вопросам промышленной собственности, касающиеся патентов, товарных знаков, промышленной собственности и географических указаний; 25</w:t>
      </w:r>
      <w:r>
        <w:rPr>
          <w:rFonts w:eastAsiaTheme="minorHAnsi"/>
          <w:color w:val="000000"/>
        </w:rPr>
        <w:t> </w:t>
      </w:r>
      <w:r w:rsidRPr="0055116C">
        <w:rPr>
          <w:rFonts w:eastAsiaTheme="minorHAnsi"/>
          <w:color w:val="000000"/>
          <w:lang w:val="ru-RU"/>
        </w:rPr>
        <w:t>процентов участников изучали мультидисциплинарные вопросы ИС, такие как управление ИС и традиционные знания, и 15</w:t>
      </w:r>
      <w:r>
        <w:rPr>
          <w:rFonts w:eastAsiaTheme="minorHAnsi"/>
          <w:color w:val="000000"/>
        </w:rPr>
        <w:t> </w:t>
      </w:r>
      <w:r w:rsidRPr="0055116C">
        <w:rPr>
          <w:rFonts w:eastAsiaTheme="minorHAnsi"/>
          <w:color w:val="000000"/>
          <w:lang w:val="ru-RU"/>
        </w:rPr>
        <w:t>процентов участников прошли курсы, посвященные авторскому праву.  92</w:t>
      </w:r>
      <w:r>
        <w:rPr>
          <w:rFonts w:eastAsiaTheme="minorHAnsi"/>
          <w:color w:val="000000"/>
        </w:rPr>
        <w:t> </w:t>
      </w:r>
      <w:r w:rsidRPr="0055116C">
        <w:rPr>
          <w:rFonts w:eastAsiaTheme="minorHAnsi"/>
          <w:color w:val="000000"/>
          <w:lang w:val="ru-RU"/>
        </w:rPr>
        <w:t>процента</w:t>
      </w:r>
      <w:r>
        <w:rPr>
          <w:rStyle w:val="FootnoteReference"/>
          <w:rFonts w:eastAsiaTheme="minorHAnsi"/>
          <w:color w:val="000000"/>
        </w:rPr>
        <w:footnoteReference w:id="71"/>
      </w:r>
      <w:r w:rsidRPr="0055116C">
        <w:rPr>
          <w:rFonts w:eastAsiaTheme="minorHAnsi"/>
          <w:color w:val="000000"/>
          <w:lang w:val="ru-RU"/>
        </w:rPr>
        <w:t xml:space="preserve"> курсов, предлагавшихся в 2014–2015</w:t>
      </w:r>
      <w:r>
        <w:rPr>
          <w:rFonts w:eastAsiaTheme="minorHAnsi"/>
          <w:color w:val="000000"/>
        </w:rPr>
        <w:t> </w:t>
      </w:r>
      <w:r w:rsidRPr="0055116C">
        <w:rPr>
          <w:rFonts w:eastAsiaTheme="minorHAnsi"/>
          <w:color w:val="000000"/>
          <w:lang w:val="ru-RU"/>
        </w:rPr>
        <w:t>гг., были доступны на шести языках ООН, а также на португальском языке.  Женщина составляли 50</w:t>
      </w:r>
      <w:r>
        <w:rPr>
          <w:rFonts w:eastAsiaTheme="minorHAnsi"/>
          <w:color w:val="000000"/>
        </w:rPr>
        <w:t> </w:t>
      </w:r>
      <w:r w:rsidRPr="0055116C">
        <w:rPr>
          <w:rFonts w:eastAsiaTheme="minorHAnsi"/>
          <w:color w:val="000000"/>
          <w:lang w:val="ru-RU"/>
        </w:rPr>
        <w:t>процентов от общего числа участников.  Особо следует отметить, что спрос на углубленные курсы со стороны ведомств ИС, других государственных органов, экспериментальных академий ИС и ЦПТИ в развивающихся странах и НРС возрос на 138</w:t>
      </w:r>
      <w:r>
        <w:rPr>
          <w:rFonts w:eastAsiaTheme="minorHAnsi"/>
          <w:color w:val="000000"/>
        </w:rPr>
        <w:t> </w:t>
      </w:r>
      <w:r w:rsidRPr="0055116C">
        <w:rPr>
          <w:rFonts w:eastAsiaTheme="minorHAnsi"/>
          <w:color w:val="000000"/>
          <w:lang w:val="ru-RU"/>
        </w:rPr>
        <w:t>процентов</w:t>
      </w:r>
      <w:r>
        <w:rPr>
          <w:rFonts w:eastAsiaTheme="minorHAnsi"/>
          <w:color w:val="000000"/>
          <w:vertAlign w:val="superscript"/>
        </w:rPr>
        <w:footnoteReference w:id="72"/>
      </w:r>
      <w:r w:rsidRPr="0055116C">
        <w:rPr>
          <w:rFonts w:eastAsiaTheme="minorHAnsi"/>
          <w:color w:val="000000"/>
          <w:lang w:val="ru-RU"/>
        </w:rPr>
        <w:t>, достигнув абсолютного максимума (6</w:t>
      </w:r>
      <w:r>
        <w:rPr>
          <w:rFonts w:eastAsiaTheme="minorHAnsi"/>
          <w:color w:val="000000"/>
        </w:rPr>
        <w:t> </w:t>
      </w:r>
      <w:r w:rsidRPr="0055116C">
        <w:rPr>
          <w:rFonts w:eastAsiaTheme="minorHAnsi"/>
          <w:color w:val="000000"/>
          <w:lang w:val="ru-RU"/>
        </w:rPr>
        <w:t>926</w:t>
      </w:r>
      <w:r>
        <w:rPr>
          <w:rFonts w:eastAsiaTheme="minorHAnsi"/>
          <w:color w:val="000000"/>
        </w:rPr>
        <w:t> </w:t>
      </w:r>
      <w:r w:rsidRPr="0055116C">
        <w:rPr>
          <w:rFonts w:eastAsiaTheme="minorHAnsi"/>
          <w:color w:val="000000"/>
          <w:lang w:val="ru-RU"/>
        </w:rPr>
        <w:t>участников), тогда как в предыдущий двухлетний период этот показатель составлял 2</w:t>
      </w:r>
      <w:r>
        <w:rPr>
          <w:rFonts w:eastAsiaTheme="minorHAnsi"/>
          <w:color w:val="000000"/>
        </w:rPr>
        <w:t> </w:t>
      </w:r>
      <w:r w:rsidRPr="0055116C">
        <w:rPr>
          <w:rFonts w:eastAsiaTheme="minorHAnsi"/>
          <w:color w:val="000000"/>
          <w:lang w:val="ru-RU"/>
        </w:rPr>
        <w:t>907</w:t>
      </w:r>
      <w:r>
        <w:rPr>
          <w:rFonts w:eastAsiaTheme="minorHAnsi"/>
          <w:color w:val="000000"/>
        </w:rPr>
        <w:t> </w:t>
      </w:r>
      <w:r w:rsidRPr="0055116C">
        <w:rPr>
          <w:rFonts w:eastAsiaTheme="minorHAnsi"/>
          <w:color w:val="000000"/>
          <w:lang w:val="ru-RU"/>
        </w:rPr>
        <w:t>участников.  В таблице ниже показано географическое распределение участников курсов ДО в период 2012–2015</w:t>
      </w:r>
      <w:r>
        <w:rPr>
          <w:rFonts w:eastAsiaTheme="minorHAnsi"/>
          <w:color w:val="000000"/>
        </w:rPr>
        <w:t> </w:t>
      </w:r>
      <w:r w:rsidRPr="0055116C">
        <w:rPr>
          <w:rFonts w:eastAsiaTheme="minorHAnsi"/>
          <w:color w:val="000000"/>
          <w:lang w:val="ru-RU"/>
        </w:rPr>
        <w:t xml:space="preserve">гг. </w:t>
      </w:r>
    </w:p>
    <w:p w:rsidR="0055116C" w:rsidRPr="0055116C" w:rsidRDefault="0055116C" w:rsidP="0055116C">
      <w:pPr>
        <w:pStyle w:val="ListParagraph"/>
        <w:spacing w:line="240" w:lineRule="atLeast"/>
        <w:ind w:left="0"/>
        <w:contextualSpacing/>
        <w:jc w:val="center"/>
        <w:rPr>
          <w:rFonts w:eastAsiaTheme="minorHAnsi" w:cs="Arial"/>
          <w:i/>
          <w:lang w:val="ru-RU"/>
        </w:rPr>
      </w:pPr>
    </w:p>
    <w:p w:rsidR="0055116C" w:rsidRPr="0055116C" w:rsidRDefault="0055116C" w:rsidP="0055116C">
      <w:pPr>
        <w:spacing w:after="200" w:line="276" w:lineRule="auto"/>
        <w:rPr>
          <w:rFonts w:eastAsiaTheme="minorHAnsi"/>
          <w:i/>
          <w:sz w:val="16"/>
          <w:szCs w:val="20"/>
          <w:lang w:val="ru-RU"/>
        </w:rPr>
      </w:pPr>
      <w:r w:rsidRPr="0055116C">
        <w:rPr>
          <w:rFonts w:eastAsiaTheme="minorHAnsi"/>
          <w:i/>
          <w:sz w:val="16"/>
          <w:lang w:val="ru-RU"/>
        </w:rPr>
        <w:br w:type="page"/>
      </w:r>
    </w:p>
    <w:p w:rsidR="0055116C" w:rsidRPr="0055116C" w:rsidRDefault="0055116C" w:rsidP="0055116C">
      <w:pPr>
        <w:pStyle w:val="ListParagraph"/>
        <w:spacing w:line="240" w:lineRule="atLeast"/>
        <w:ind w:left="0"/>
        <w:contextualSpacing/>
        <w:jc w:val="center"/>
        <w:rPr>
          <w:rFonts w:eastAsiaTheme="minorHAnsi" w:cs="Arial"/>
          <w:i/>
          <w:sz w:val="16"/>
          <w:szCs w:val="16"/>
          <w:lang w:val="ru-RU"/>
        </w:rPr>
      </w:pPr>
      <w:r w:rsidRPr="0055116C">
        <w:rPr>
          <w:rFonts w:eastAsiaTheme="minorHAnsi"/>
          <w:i/>
          <w:sz w:val="16"/>
          <w:lang w:val="ru-RU"/>
        </w:rPr>
        <w:t>Региональное распределение участников курсов дистанционного обучения,</w:t>
      </w:r>
      <w:r w:rsidRPr="0055116C">
        <w:rPr>
          <w:rFonts w:eastAsiaTheme="minorHAnsi" w:cs="Arial"/>
          <w:i/>
          <w:sz w:val="16"/>
          <w:szCs w:val="16"/>
          <w:lang w:val="ru-RU"/>
        </w:rPr>
        <w:br/>
      </w:r>
      <w:r w:rsidRPr="0055116C">
        <w:rPr>
          <w:rFonts w:eastAsiaTheme="minorHAnsi"/>
          <w:i/>
          <w:sz w:val="16"/>
          <w:lang w:val="ru-RU"/>
        </w:rPr>
        <w:t>2012–2015</w:t>
      </w:r>
      <w:r>
        <w:rPr>
          <w:rFonts w:eastAsiaTheme="minorHAnsi"/>
          <w:i/>
          <w:sz w:val="16"/>
        </w:rPr>
        <w:t> </w:t>
      </w:r>
      <w:r w:rsidRPr="0055116C">
        <w:rPr>
          <w:rFonts w:eastAsiaTheme="minorHAnsi"/>
          <w:i/>
          <w:sz w:val="16"/>
          <w:lang w:val="ru-RU"/>
        </w:rPr>
        <w:t>гг.</w:t>
      </w:r>
      <w:r>
        <w:rPr>
          <w:rFonts w:eastAsiaTheme="minorHAnsi"/>
          <w:i/>
          <w:sz w:val="16"/>
          <w:vertAlign w:val="superscript"/>
        </w:rPr>
        <w:footnoteReference w:id="73"/>
      </w:r>
    </w:p>
    <w:p w:rsidR="0055116C" w:rsidRDefault="0055116C" w:rsidP="0055116C">
      <w:pPr>
        <w:pStyle w:val="ListParagraph"/>
        <w:spacing w:line="240" w:lineRule="atLeast"/>
        <w:ind w:left="0"/>
        <w:contextualSpacing/>
        <w:jc w:val="center"/>
        <w:rPr>
          <w:rFonts w:eastAsiaTheme="minorHAnsi" w:cs="Arial"/>
          <w:i/>
        </w:rPr>
      </w:pPr>
      <w:r>
        <w:rPr>
          <w:rFonts w:eastAsiaTheme="minorHAnsi" w:cs="Arial"/>
          <w:i/>
          <w:noProof/>
        </w:rPr>
        <w:drawing>
          <wp:inline distT="0" distB="0" distL="0" distR="0" wp14:anchorId="6013E6FE" wp14:editId="76918FA3">
            <wp:extent cx="5369452" cy="2948025"/>
            <wp:effectExtent l="0" t="0" r="3175"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367693" cy="2947059"/>
                    </a:xfrm>
                    <a:prstGeom prst="rect">
                      <a:avLst/>
                    </a:prstGeom>
                    <a:noFill/>
                    <a:ln>
                      <a:noFill/>
                    </a:ln>
                  </pic:spPr>
                </pic:pic>
              </a:graphicData>
            </a:graphic>
          </wp:inline>
        </w:drawing>
      </w:r>
    </w:p>
    <w:p w:rsidR="0055116C" w:rsidRDefault="0055116C" w:rsidP="0055116C">
      <w:pPr>
        <w:spacing w:line="240" w:lineRule="atLeast"/>
        <w:contextualSpacing/>
        <w:rPr>
          <w:rFonts w:eastAsiaTheme="minorHAnsi" w:cs="Arial"/>
          <w:i/>
        </w:rPr>
      </w:pPr>
    </w:p>
    <w:p w:rsidR="0055116C" w:rsidRPr="00C432D5"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rPr>
      </w:pPr>
      <w:r w:rsidRPr="0055116C">
        <w:rPr>
          <w:rFonts w:eastAsiaTheme="minorHAnsi"/>
          <w:color w:val="000000"/>
          <w:lang w:val="ru-RU"/>
        </w:rPr>
        <w:t>Кроме того, началась подготовка еще двух адаптированных курсов, предназначенных для ведомств ИС Камбоджи и Вьетнама, в результате чего число языков, на которых предлагаются общие курсы, возросло с 13</w:t>
      </w:r>
      <w:r>
        <w:rPr>
          <w:rStyle w:val="FootnoteReference"/>
          <w:rFonts w:eastAsiaTheme="minorHAnsi"/>
          <w:color w:val="000000"/>
        </w:rPr>
        <w:footnoteReference w:id="74"/>
      </w:r>
      <w:r w:rsidRPr="0055116C">
        <w:rPr>
          <w:rFonts w:eastAsiaTheme="minorHAnsi"/>
          <w:color w:val="000000"/>
          <w:lang w:val="ru-RU"/>
        </w:rPr>
        <w:t xml:space="preserve"> в 2013</w:t>
      </w:r>
      <w:r>
        <w:rPr>
          <w:rFonts w:eastAsiaTheme="minorHAnsi"/>
          <w:color w:val="000000"/>
        </w:rPr>
        <w:t> </w:t>
      </w:r>
      <w:r w:rsidRPr="0055116C">
        <w:rPr>
          <w:rFonts w:eastAsiaTheme="minorHAnsi"/>
          <w:color w:val="000000"/>
          <w:lang w:val="ru-RU"/>
        </w:rPr>
        <w:t>г. до</w:t>
      </w:r>
      <w:r>
        <w:rPr>
          <w:rFonts w:eastAsiaTheme="minorHAnsi"/>
          <w:color w:val="000000"/>
        </w:rPr>
        <w:t> </w:t>
      </w:r>
      <w:r w:rsidRPr="0055116C">
        <w:rPr>
          <w:rFonts w:eastAsiaTheme="minorHAnsi"/>
          <w:color w:val="000000"/>
          <w:lang w:val="ru-RU"/>
        </w:rPr>
        <w:t>15 в 2014–2015</w:t>
      </w:r>
      <w:r>
        <w:rPr>
          <w:rFonts w:eastAsiaTheme="minorHAnsi"/>
          <w:color w:val="000000"/>
        </w:rPr>
        <w:t> </w:t>
      </w:r>
      <w:r w:rsidRPr="0055116C">
        <w:rPr>
          <w:rFonts w:eastAsiaTheme="minorHAnsi"/>
          <w:color w:val="000000"/>
          <w:lang w:val="ru-RU"/>
        </w:rPr>
        <w:t>гг. (арабский, кхмерский, китайский, хорватский, английский, французский, немецкий, японский, корейский, португальский, русский, испанский, тайский, украинский и вьетнамский).</w:t>
      </w:r>
      <w:r>
        <w:rPr>
          <w:rFonts w:eastAsiaTheme="minorHAnsi"/>
          <w:color w:val="000000"/>
        </w:rPr>
        <w:t> </w:t>
      </w:r>
      <w:r w:rsidRPr="0055116C">
        <w:rPr>
          <w:rFonts w:eastAsiaTheme="minorHAnsi"/>
          <w:color w:val="000000"/>
          <w:lang w:val="ru-RU"/>
        </w:rPr>
        <w:t xml:space="preserve"> В 2014</w:t>
      </w:r>
      <w:r>
        <w:rPr>
          <w:rFonts w:eastAsiaTheme="minorHAnsi"/>
          <w:color w:val="000000"/>
        </w:rPr>
        <w:t> </w:t>
      </w:r>
      <w:r w:rsidRPr="0055116C">
        <w:rPr>
          <w:rFonts w:eastAsiaTheme="minorHAnsi"/>
          <w:color w:val="000000"/>
          <w:lang w:val="ru-RU"/>
        </w:rPr>
        <w:t>г. было организовано два новых пилотных курса дистанционного обучения: (</w:t>
      </w:r>
      <w:r>
        <w:rPr>
          <w:rFonts w:eastAsiaTheme="minorHAnsi"/>
          <w:color w:val="000000"/>
        </w:rPr>
        <w:t>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Интеллектуальная собственность, традиционные знания и традиционные выражения культуры (</w:t>
      </w:r>
      <w:r>
        <w:rPr>
          <w:rFonts w:eastAsiaTheme="minorHAnsi"/>
          <w:color w:val="000000"/>
        </w:rPr>
        <w:t>DL</w:t>
      </w:r>
      <w:r w:rsidRPr="0055116C">
        <w:rPr>
          <w:rFonts w:eastAsiaTheme="minorHAnsi"/>
          <w:color w:val="000000"/>
          <w:lang w:val="ru-RU"/>
        </w:rPr>
        <w:t>-203) и (</w:t>
      </w:r>
      <w:r>
        <w:rPr>
          <w:rFonts w:eastAsiaTheme="minorHAnsi"/>
          <w:color w:val="000000"/>
        </w:rPr>
        <w:t>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Коллективное управление авторским правом и смежными правами (</w:t>
      </w:r>
      <w:r>
        <w:rPr>
          <w:rFonts w:eastAsiaTheme="minorHAnsi"/>
          <w:color w:val="000000"/>
        </w:rPr>
        <w:t>DL</w:t>
      </w:r>
      <w:r w:rsidRPr="0055116C">
        <w:rPr>
          <w:rFonts w:eastAsiaTheme="minorHAnsi"/>
          <w:color w:val="000000"/>
          <w:lang w:val="ru-RU"/>
        </w:rPr>
        <w:t>-501).  В 2015</w:t>
      </w:r>
      <w:r>
        <w:rPr>
          <w:rFonts w:eastAsiaTheme="minorHAnsi"/>
          <w:color w:val="000000"/>
        </w:rPr>
        <w:t> </w:t>
      </w:r>
      <w:r w:rsidRPr="0055116C">
        <w:rPr>
          <w:rFonts w:eastAsiaTheme="minorHAnsi"/>
          <w:color w:val="000000"/>
          <w:lang w:val="ru-RU"/>
        </w:rPr>
        <w:t>г. продолжилась разработка курса ДО по ИС и доступу к медицинским технологиям, пилотная версия которого, как ожидается, выйдет в 2016–2017</w:t>
      </w:r>
      <w:r>
        <w:rPr>
          <w:rFonts w:eastAsiaTheme="minorHAnsi"/>
          <w:color w:val="000000"/>
        </w:rPr>
        <w:t> </w:t>
      </w:r>
      <w:r w:rsidRPr="0055116C">
        <w:rPr>
          <w:rFonts w:eastAsiaTheme="minorHAnsi"/>
          <w:color w:val="000000"/>
          <w:lang w:val="ru-RU"/>
        </w:rPr>
        <w:t>гг.  Кроме того, началась разработка ряда новых модулей, включая: (</w:t>
      </w:r>
      <w:r>
        <w:rPr>
          <w:rFonts w:eastAsiaTheme="minorHAnsi"/>
          <w:color w:val="000000"/>
        </w:rPr>
        <w:t>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лицензирование авторского права, в том числе ПО с открытым исходным кодом; и (</w:t>
      </w:r>
      <w:r>
        <w:rPr>
          <w:rFonts w:eastAsiaTheme="minorHAnsi"/>
          <w:color w:val="000000"/>
        </w:rPr>
        <w:t>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управление авторским правом в киноиндустрии стран Африки.  Были проведены специально разработанные учебные курсы по вопросам ИС совместно с партнерскими ведомствами ИС и университетами Аргентины, Болгарии, Бразилии, Камбоджи, Китая, Хорватии, Египта, Иордании, Республики Корея, Мексики, Российской Федерации, Туниса, Турции, Уругвая, Вьетнама, Замбии, Зимбабве, Африканской региональной организацией интеллектуальной собственности (АРОИС) и Африканской организацией интеллектуальной собственности (АОИС).  Среди других улучшений программы ДО в 2014–2015</w:t>
      </w:r>
      <w:r>
        <w:rPr>
          <w:rFonts w:eastAsiaTheme="minorHAnsi"/>
          <w:color w:val="000000"/>
        </w:rPr>
        <w:t> </w:t>
      </w:r>
      <w:r w:rsidRPr="0055116C">
        <w:rPr>
          <w:rFonts w:eastAsiaTheme="minorHAnsi"/>
          <w:color w:val="000000"/>
          <w:lang w:val="ru-RU"/>
        </w:rPr>
        <w:t>гг. можно выделить следующие: (</w:t>
      </w:r>
      <w:r>
        <w:rPr>
          <w:rFonts w:eastAsiaTheme="minorHAnsi"/>
          <w:color w:val="000000"/>
        </w:rPr>
        <w:t>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продолжение осуществления рекомендаций Повестки дня в области развития посредством включения в углубленные курсы учебных модулей по гибким возможностям и общественному достоянию; и (</w:t>
      </w:r>
      <w:r>
        <w:rPr>
          <w:rFonts w:eastAsiaTheme="minorHAnsi"/>
          <w:color w:val="000000"/>
        </w:rPr>
        <w:t>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применение более систематического подхода к ежегодному процессу обзора курсов: начало проведения обширного обзора в 2014–2015</w:t>
      </w:r>
      <w:r>
        <w:rPr>
          <w:rFonts w:eastAsiaTheme="minorHAnsi"/>
          <w:color w:val="000000"/>
        </w:rPr>
        <w:t> </w:t>
      </w:r>
      <w:r w:rsidRPr="0055116C">
        <w:rPr>
          <w:rFonts w:eastAsiaTheme="minorHAnsi"/>
          <w:color w:val="000000"/>
          <w:lang w:val="ru-RU"/>
        </w:rPr>
        <w:t>гг. (фаза</w:t>
      </w:r>
      <w:r>
        <w:rPr>
          <w:rFonts w:eastAsiaTheme="minorHAnsi"/>
          <w:color w:val="000000"/>
        </w:rPr>
        <w:t> I</w:t>
      </w:r>
      <w:r w:rsidRPr="0055116C">
        <w:rPr>
          <w:rFonts w:eastAsiaTheme="minorHAnsi"/>
          <w:color w:val="000000"/>
          <w:lang w:val="ru-RU"/>
        </w:rPr>
        <w:t>), результаты которого должны быть отражены в конкретных курсах в 2016–2017</w:t>
      </w:r>
      <w:r>
        <w:rPr>
          <w:rFonts w:eastAsiaTheme="minorHAnsi"/>
          <w:color w:val="000000"/>
        </w:rPr>
        <w:t> </w:t>
      </w:r>
      <w:r w:rsidRPr="0055116C">
        <w:rPr>
          <w:rFonts w:eastAsiaTheme="minorHAnsi"/>
          <w:color w:val="000000"/>
          <w:lang w:val="ru-RU"/>
        </w:rPr>
        <w:t xml:space="preserve">гг. </w:t>
      </w:r>
      <w:r>
        <w:rPr>
          <w:rFonts w:eastAsiaTheme="minorHAnsi"/>
          <w:color w:val="000000"/>
        </w:rPr>
        <w:t xml:space="preserve">(фаза II).   </w:t>
      </w:r>
    </w:p>
    <w:p w:rsidR="0055116C" w:rsidRDefault="0055116C" w:rsidP="0055116C">
      <w:pPr>
        <w:rPr>
          <w:rFonts w:cs="Arial"/>
          <w:sz w:val="22"/>
          <w:szCs w:val="22"/>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В рамках Программы сотрудничества с академическими учреждениями (</w:t>
      </w:r>
      <w:r>
        <w:rPr>
          <w:rFonts w:eastAsiaTheme="minorHAnsi"/>
          <w:color w:val="000000"/>
        </w:rPr>
        <w:t>AIP</w:t>
      </w:r>
      <w:r w:rsidRPr="0055116C">
        <w:rPr>
          <w:rFonts w:eastAsiaTheme="minorHAnsi"/>
          <w:color w:val="000000"/>
          <w:lang w:val="ru-RU"/>
        </w:rPr>
        <w:t>) на основе взаимодействия с рядом университетов и при финансовой помощи правительств Японии и Республики Корея в реализации 4 программ продолжалось преподавание совместных магистерских курсов по законодательству в области ИС для слушателей развивающихся стран и стран с переходной экономикой.  В 2014–2015</w:t>
      </w:r>
      <w:r>
        <w:rPr>
          <w:rFonts w:eastAsiaTheme="minorHAnsi"/>
          <w:color w:val="000000"/>
        </w:rPr>
        <w:t> </w:t>
      </w:r>
      <w:r w:rsidRPr="0055116C">
        <w:rPr>
          <w:rFonts w:eastAsiaTheme="minorHAnsi"/>
          <w:color w:val="000000"/>
          <w:lang w:val="ru-RU"/>
        </w:rPr>
        <w:t>гг. в общей сложности 340</w:t>
      </w:r>
      <w:r>
        <w:rPr>
          <w:rFonts w:eastAsiaTheme="minorHAnsi"/>
          <w:color w:val="000000"/>
        </w:rPr>
        <w:t> </w:t>
      </w:r>
      <w:r w:rsidRPr="0055116C">
        <w:rPr>
          <w:rFonts w:eastAsiaTheme="minorHAnsi"/>
          <w:color w:val="000000"/>
          <w:lang w:val="ru-RU"/>
        </w:rPr>
        <w:t>человек завершили обучение по семи совместным магистерским программам по праву ИС; из их числа 178</w:t>
      </w:r>
      <w:r>
        <w:rPr>
          <w:rFonts w:eastAsiaTheme="minorHAnsi"/>
          <w:color w:val="000000"/>
        </w:rPr>
        <w:t> </w:t>
      </w:r>
      <w:r w:rsidRPr="0055116C">
        <w:rPr>
          <w:rFonts w:eastAsiaTheme="minorHAnsi"/>
          <w:color w:val="000000"/>
          <w:lang w:val="ru-RU"/>
        </w:rPr>
        <w:t>студентов из 75</w:t>
      </w:r>
      <w:r>
        <w:rPr>
          <w:rFonts w:eastAsiaTheme="minorHAnsi"/>
          <w:color w:val="000000"/>
        </w:rPr>
        <w:t> </w:t>
      </w:r>
      <w:r w:rsidRPr="0055116C">
        <w:rPr>
          <w:rFonts w:eastAsiaTheme="minorHAnsi"/>
          <w:color w:val="000000"/>
          <w:lang w:val="ru-RU"/>
        </w:rPr>
        <w:t>стран получили стипендии.  В тот же двухлетний период еще 364</w:t>
      </w:r>
      <w:r>
        <w:rPr>
          <w:rFonts w:eastAsiaTheme="minorHAnsi"/>
          <w:color w:val="000000"/>
          <w:vertAlign w:val="superscript"/>
        </w:rPr>
        <w:footnoteReference w:id="75"/>
      </w:r>
      <w:r>
        <w:rPr>
          <w:rFonts w:eastAsiaTheme="minorHAnsi"/>
          <w:color w:val="000000"/>
        </w:rPr>
        <w:t> </w:t>
      </w:r>
      <w:r w:rsidRPr="0055116C">
        <w:rPr>
          <w:rFonts w:eastAsiaTheme="minorHAnsi"/>
          <w:color w:val="000000"/>
          <w:lang w:val="ru-RU"/>
        </w:rPr>
        <w:t>студента начали обучение по одной из программ</w:t>
      </w:r>
      <w:r>
        <w:rPr>
          <w:rFonts w:eastAsiaTheme="minorHAnsi"/>
          <w:color w:val="000000"/>
          <w:vertAlign w:val="superscript"/>
        </w:rPr>
        <w:footnoteReference w:id="76"/>
      </w:r>
      <w:r w:rsidRPr="0055116C">
        <w:rPr>
          <w:rFonts w:eastAsiaTheme="minorHAnsi"/>
          <w:color w:val="000000"/>
          <w:lang w:val="ru-RU"/>
        </w:rPr>
        <w:t>.  В учебном году 2014–2015</w:t>
      </w:r>
      <w:r>
        <w:rPr>
          <w:rFonts w:eastAsiaTheme="minorHAnsi"/>
          <w:color w:val="000000"/>
        </w:rPr>
        <w:t> </w:t>
      </w:r>
      <w:r w:rsidRPr="0055116C">
        <w:rPr>
          <w:rFonts w:eastAsiaTheme="minorHAnsi"/>
          <w:color w:val="000000"/>
          <w:lang w:val="ru-RU"/>
        </w:rPr>
        <w:t>гг. общая доля тех, кто успешно сдал итоговые экзамены, составила 85</w:t>
      </w:r>
      <w:r>
        <w:rPr>
          <w:rFonts w:eastAsiaTheme="minorHAnsi"/>
          <w:color w:val="000000"/>
        </w:rPr>
        <w:t> </w:t>
      </w:r>
      <w:r w:rsidRPr="0055116C">
        <w:rPr>
          <w:rFonts w:eastAsiaTheme="minorHAnsi"/>
          <w:color w:val="000000"/>
          <w:lang w:val="ru-RU"/>
        </w:rPr>
        <w:t xml:space="preserve">процентов.  </w:t>
      </w:r>
    </w:p>
    <w:p w:rsidR="0055116C" w:rsidRPr="0055116C" w:rsidRDefault="0055116C" w:rsidP="0055116C">
      <w:pPr>
        <w:pStyle w:val="ListParagraph"/>
        <w:tabs>
          <w:tab w:val="left" w:pos="709"/>
        </w:tabs>
        <w:autoSpaceDE w:val="0"/>
        <w:autoSpaceDN w:val="0"/>
        <w:adjustRightInd w:val="0"/>
        <w:ind w:left="0"/>
        <w:jc w:val="both"/>
        <w:rPr>
          <w:rFonts w:eastAsiaTheme="minorHAnsi" w:cs="Arial"/>
          <w:color w:val="000000"/>
          <w:lang w:val="ru-RU"/>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Магистерские программы проводились Академией ВОИС совместно с соответствующими партнерскими университетами и институтами, а именно:  (</w:t>
      </w:r>
      <w:r>
        <w:rPr>
          <w:rFonts w:eastAsiaTheme="minorHAnsi"/>
          <w:color w:val="000000"/>
        </w:rPr>
        <w:t>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Африканским университетом (АС) и АРОИС (Зимбабве); (</w:t>
      </w:r>
      <w:r>
        <w:rPr>
          <w:rFonts w:eastAsiaTheme="minorHAnsi"/>
          <w:color w:val="000000"/>
        </w:rPr>
        <w:t>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Университетом Аустраль и Национальным институтом промышленной собственности Аргентины (</w:t>
      </w:r>
      <w:r>
        <w:rPr>
          <w:rFonts w:eastAsiaTheme="minorHAnsi"/>
          <w:color w:val="000000"/>
        </w:rPr>
        <w:t>INPI</w:t>
      </w:r>
      <w:r w:rsidRPr="0055116C">
        <w:rPr>
          <w:rFonts w:eastAsiaTheme="minorHAnsi"/>
          <w:color w:val="000000"/>
          <w:lang w:val="ru-RU"/>
        </w:rPr>
        <w:t>) (Аргентина); (</w:t>
      </w:r>
      <w:r>
        <w:rPr>
          <w:rFonts w:eastAsiaTheme="minorHAnsi"/>
          <w:color w:val="000000"/>
        </w:rPr>
        <w:t>iii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Квинслендским технологическим университетом (</w:t>
      </w:r>
      <w:r>
        <w:rPr>
          <w:rFonts w:eastAsiaTheme="minorHAnsi"/>
          <w:color w:val="000000"/>
        </w:rPr>
        <w:t>QUT</w:t>
      </w:r>
      <w:r w:rsidRPr="0055116C">
        <w:rPr>
          <w:rFonts w:eastAsiaTheme="minorHAnsi"/>
          <w:color w:val="000000"/>
          <w:lang w:val="ru-RU"/>
        </w:rPr>
        <w:t>) (Австралия); (</w:t>
      </w:r>
      <w:r>
        <w:rPr>
          <w:rFonts w:eastAsiaTheme="minorHAnsi"/>
          <w:color w:val="000000"/>
        </w:rPr>
        <w:t>iv</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Сеульским национальным университетом (</w:t>
      </w:r>
      <w:r>
        <w:rPr>
          <w:rFonts w:eastAsiaTheme="minorHAnsi"/>
          <w:color w:val="000000"/>
        </w:rPr>
        <w:t>SNU</w:t>
      </w:r>
      <w:r w:rsidRPr="0055116C">
        <w:rPr>
          <w:rFonts w:eastAsiaTheme="minorHAnsi"/>
          <w:color w:val="000000"/>
          <w:lang w:val="ru-RU"/>
        </w:rPr>
        <w:t>) и Корейским ведомством интеллектуальной собственности (КВИС) (Республика Корея); (</w:t>
      </w:r>
      <w:r>
        <w:rPr>
          <w:rFonts w:eastAsiaTheme="minorHAnsi"/>
          <w:color w:val="000000"/>
        </w:rPr>
        <w:t>v</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Туринским университетом (Италия) и Международным учебным центром Международной организации труда (МУЦ МОТ), Италия; (</w:t>
      </w:r>
      <w:r>
        <w:rPr>
          <w:rFonts w:eastAsiaTheme="minorHAnsi"/>
          <w:color w:val="000000"/>
        </w:rPr>
        <w:t>vi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Университетом Яунде-</w:t>
      </w:r>
      <w:r>
        <w:rPr>
          <w:rFonts w:eastAsiaTheme="minorHAnsi"/>
          <w:color w:val="000000"/>
        </w:rPr>
        <w:t>II</w:t>
      </w:r>
      <w:r w:rsidRPr="0055116C">
        <w:rPr>
          <w:rFonts w:eastAsiaTheme="minorHAnsi"/>
          <w:color w:val="000000"/>
          <w:lang w:val="ru-RU"/>
        </w:rPr>
        <w:t xml:space="preserve"> и АОИС (Камерун); и (</w:t>
      </w:r>
      <w:r>
        <w:rPr>
          <w:rFonts w:eastAsiaTheme="minorHAnsi"/>
          <w:color w:val="000000"/>
        </w:rPr>
        <w:t>vii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 xml:space="preserve">Университетом Хайфы, Израиль. </w:t>
      </w:r>
    </w:p>
    <w:p w:rsidR="0055116C" w:rsidRPr="0055116C" w:rsidRDefault="0055116C" w:rsidP="0055116C">
      <w:pPr>
        <w:spacing w:after="200" w:line="240" w:lineRule="atLeast"/>
        <w:contextualSpacing/>
        <w:jc w:val="both"/>
        <w:rPr>
          <w:rFonts w:eastAsiaTheme="minorHAnsi" w:cs="Arial"/>
          <w:lang w:val="ru-R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55116C" w:rsidRPr="005C6ABD" w:rsidTr="005177C8">
        <w:tc>
          <w:tcPr>
            <w:tcW w:w="4785" w:type="dxa"/>
          </w:tcPr>
          <w:p w:rsidR="0055116C" w:rsidRPr="0055116C" w:rsidRDefault="0055116C" w:rsidP="0055116C">
            <w:pPr>
              <w:spacing w:after="200" w:line="240" w:lineRule="atLeast"/>
              <w:contextualSpacing/>
              <w:jc w:val="both"/>
              <w:rPr>
                <w:rFonts w:eastAsiaTheme="minorHAnsi" w:cs="Arial"/>
                <w:lang w:val="ru-RU"/>
              </w:rPr>
            </w:pPr>
          </w:p>
        </w:tc>
        <w:tc>
          <w:tcPr>
            <w:tcW w:w="4786" w:type="dxa"/>
          </w:tcPr>
          <w:p w:rsidR="0055116C" w:rsidRPr="0055116C" w:rsidRDefault="0055116C" w:rsidP="0055116C">
            <w:pPr>
              <w:spacing w:after="200" w:line="240" w:lineRule="atLeast"/>
              <w:contextualSpacing/>
              <w:jc w:val="both"/>
              <w:rPr>
                <w:rFonts w:eastAsiaTheme="minorHAnsi" w:cs="Arial"/>
                <w:lang w:val="ru-RU"/>
              </w:rPr>
            </w:pPr>
          </w:p>
        </w:tc>
      </w:tr>
      <w:tr w:rsidR="0055116C" w:rsidTr="005177C8">
        <w:tc>
          <w:tcPr>
            <w:tcW w:w="4785" w:type="dxa"/>
          </w:tcPr>
          <w:p w:rsidR="0055116C" w:rsidRDefault="0055116C" w:rsidP="0055116C">
            <w:pPr>
              <w:spacing w:after="200" w:line="240" w:lineRule="atLeast"/>
              <w:contextualSpacing/>
              <w:jc w:val="both"/>
              <w:rPr>
                <w:rFonts w:eastAsiaTheme="minorHAnsi" w:cs="Arial"/>
              </w:rPr>
            </w:pPr>
            <w:r>
              <w:rPr>
                <w:rFonts w:eastAsiaTheme="minorHAnsi" w:cs="Arial"/>
                <w:noProof/>
              </w:rPr>
              <w:drawing>
                <wp:inline distT="0" distB="0" distL="0" distR="0" wp14:anchorId="49405999" wp14:editId="44BA2650">
                  <wp:extent cx="2830982" cy="1700473"/>
                  <wp:effectExtent l="0" t="0" r="762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32638" cy="1701467"/>
                          </a:xfrm>
                          <a:prstGeom prst="rect">
                            <a:avLst/>
                          </a:prstGeom>
                          <a:noFill/>
                          <a:ln>
                            <a:noFill/>
                          </a:ln>
                        </pic:spPr>
                      </pic:pic>
                    </a:graphicData>
                  </a:graphic>
                </wp:inline>
              </w:drawing>
            </w:r>
          </w:p>
        </w:tc>
        <w:tc>
          <w:tcPr>
            <w:tcW w:w="4786" w:type="dxa"/>
          </w:tcPr>
          <w:p w:rsidR="0055116C" w:rsidRDefault="0055116C" w:rsidP="0055116C">
            <w:pPr>
              <w:spacing w:after="200" w:line="240" w:lineRule="atLeast"/>
              <w:contextualSpacing/>
              <w:jc w:val="both"/>
              <w:rPr>
                <w:rFonts w:eastAsiaTheme="minorHAnsi" w:cs="Arial"/>
              </w:rPr>
            </w:pPr>
            <w:r>
              <w:rPr>
                <w:rFonts w:eastAsiaTheme="minorHAnsi" w:cs="Arial"/>
                <w:noProof/>
              </w:rPr>
              <w:drawing>
                <wp:inline distT="0" distB="0" distL="0" distR="0" wp14:anchorId="345C9BD6" wp14:editId="5FD3333D">
                  <wp:extent cx="2801052" cy="1682496"/>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03028" cy="1683683"/>
                          </a:xfrm>
                          <a:prstGeom prst="rect">
                            <a:avLst/>
                          </a:prstGeom>
                          <a:noFill/>
                          <a:ln>
                            <a:noFill/>
                          </a:ln>
                        </pic:spPr>
                      </pic:pic>
                    </a:graphicData>
                  </a:graphic>
                </wp:inline>
              </w:drawing>
            </w:r>
          </w:p>
        </w:tc>
      </w:tr>
    </w:tbl>
    <w:p w:rsidR="0055116C" w:rsidRDefault="0055116C" w:rsidP="0055116C">
      <w:pPr>
        <w:spacing w:after="200" w:line="240" w:lineRule="atLeast"/>
        <w:contextualSpacing/>
        <w:jc w:val="center"/>
        <w:rPr>
          <w:rFonts w:eastAsiaTheme="minorHAnsi" w:cs="Arial"/>
        </w:rPr>
      </w:pPr>
    </w:p>
    <w:p w:rsidR="0055116C" w:rsidRPr="0055116C" w:rsidRDefault="0055116C" w:rsidP="0055116C">
      <w:pPr>
        <w:pStyle w:val="ListParagraph"/>
        <w:numPr>
          <w:ilvl w:val="0"/>
          <w:numId w:val="84"/>
        </w:numPr>
        <w:spacing w:after="200" w:line="240" w:lineRule="atLeast"/>
        <w:ind w:left="0" w:firstLine="0"/>
        <w:contextualSpacing/>
        <w:jc w:val="both"/>
        <w:rPr>
          <w:rFonts w:eastAsiaTheme="minorHAnsi"/>
          <w:lang w:val="ru-RU"/>
        </w:rPr>
      </w:pPr>
      <w:r w:rsidRPr="0055116C">
        <w:rPr>
          <w:lang w:val="ru-RU"/>
        </w:rPr>
        <w:t>В сотрудничестве с ВОИС в 2014</w:t>
      </w:r>
      <w:r>
        <w:t> </w:t>
      </w:r>
      <w:r w:rsidRPr="0055116C">
        <w:rPr>
          <w:lang w:val="ru-RU"/>
        </w:rPr>
        <w:t>г. и 2015</w:t>
      </w:r>
      <w:r>
        <w:t> </w:t>
      </w:r>
      <w:r w:rsidRPr="0055116C">
        <w:rPr>
          <w:lang w:val="ru-RU"/>
        </w:rPr>
        <w:t>г. были организованы два коллоквиума для преподавателей курсов по вопросам ИС, в которых приняли участие 52 преподавателя (27 в 2014</w:t>
      </w:r>
      <w:r>
        <w:t> </w:t>
      </w:r>
      <w:r w:rsidRPr="0055116C">
        <w:rPr>
          <w:lang w:val="ru-RU"/>
        </w:rPr>
        <w:t>г.</w:t>
      </w:r>
      <w:r>
        <w:rPr>
          <w:rStyle w:val="FootnoteReference"/>
          <w:rFonts w:eastAsiaTheme="minorHAnsi"/>
          <w:color w:val="000000"/>
        </w:rPr>
        <w:footnoteReference w:id="77"/>
      </w:r>
      <w:r w:rsidRPr="0055116C">
        <w:rPr>
          <w:lang w:val="ru-RU"/>
        </w:rPr>
        <w:t xml:space="preserve"> и 26 в 2015</w:t>
      </w:r>
      <w:r>
        <w:t> </w:t>
      </w:r>
      <w:r w:rsidRPr="0055116C">
        <w:rPr>
          <w:lang w:val="ru-RU"/>
        </w:rPr>
        <w:t>г.).  Эти коллоквиумы по-прежнему играли роль форума для обсуждения новейших явлений в основных областях ИС и вопросов педагогики.  В 2015</w:t>
      </w:r>
      <w:r>
        <w:t> </w:t>
      </w:r>
      <w:r w:rsidRPr="0055116C">
        <w:rPr>
          <w:lang w:val="ru-RU"/>
        </w:rPr>
        <w:t>г. были опубликованы 12 лучших исследовательских работ, авторами которых были 12</w:t>
      </w:r>
      <w:r>
        <w:t> </w:t>
      </w:r>
      <w:r w:rsidRPr="0055116C">
        <w:rPr>
          <w:lang w:val="ru-RU"/>
        </w:rPr>
        <w:t>исследователей, принимавших участие в коллоквиуме 2014</w:t>
      </w:r>
      <w:r>
        <w:t> </w:t>
      </w:r>
      <w:r w:rsidRPr="0055116C">
        <w:rPr>
          <w:lang w:val="ru-RU"/>
        </w:rPr>
        <w:t xml:space="preserve">г. (представлявшие Африку, Азию, Восточную Европу и Латинскую Америку).  Девять человек получили стипендии ВОИС для участия в ежегодном конгрессе Международной ассоциации содействия преподаванию и исследовательской работе в области интеллектуальной собственности (АТРИП). </w:t>
      </w:r>
    </w:p>
    <w:p w:rsidR="0055116C" w:rsidRPr="0055116C" w:rsidRDefault="0055116C" w:rsidP="0055116C">
      <w:pPr>
        <w:pStyle w:val="ListParagraph"/>
        <w:tabs>
          <w:tab w:val="left" w:pos="709"/>
        </w:tabs>
        <w:autoSpaceDE w:val="0"/>
        <w:autoSpaceDN w:val="0"/>
        <w:adjustRightInd w:val="0"/>
        <w:ind w:left="0"/>
        <w:jc w:val="both"/>
        <w:rPr>
          <w:rFonts w:eastAsiaTheme="minorHAnsi" w:cs="Arial"/>
          <w:color w:val="000000"/>
          <w:lang w:val="ru-RU"/>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При содействии ВОИС в 2014–2015</w:t>
      </w:r>
      <w:r>
        <w:rPr>
          <w:rFonts w:eastAsiaTheme="minorHAnsi"/>
          <w:color w:val="000000"/>
        </w:rPr>
        <w:t> </w:t>
      </w:r>
      <w:r w:rsidRPr="0055116C">
        <w:rPr>
          <w:rFonts w:eastAsiaTheme="minorHAnsi"/>
          <w:color w:val="000000"/>
          <w:lang w:val="ru-RU"/>
        </w:rPr>
        <w:t>гг. началось обучение по следующим новым учебным программам по вопросам ИС: (</w:t>
      </w:r>
      <w:r>
        <w:rPr>
          <w:rFonts w:eastAsiaTheme="minorHAnsi"/>
          <w:color w:val="000000"/>
        </w:rPr>
        <w:t>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программе по ИС Института управления Бангладеш; и (</w:t>
      </w:r>
      <w:r>
        <w:rPr>
          <w:rFonts w:eastAsiaTheme="minorHAnsi"/>
          <w:color w:val="000000"/>
        </w:rPr>
        <w:t>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двум новым курсам по ИС в Африканском университете. Благодаря оказанной в 2014–2015</w:t>
      </w:r>
      <w:r>
        <w:rPr>
          <w:rFonts w:eastAsiaTheme="minorHAnsi"/>
          <w:color w:val="000000"/>
        </w:rPr>
        <w:t> </w:t>
      </w:r>
      <w:r w:rsidRPr="0055116C">
        <w:rPr>
          <w:rFonts w:eastAsiaTheme="minorHAnsi"/>
          <w:color w:val="000000"/>
          <w:lang w:val="ru-RU"/>
        </w:rPr>
        <w:t>гг. поддержке в 2016</w:t>
      </w:r>
      <w:r>
        <w:rPr>
          <w:rFonts w:eastAsiaTheme="minorHAnsi"/>
          <w:color w:val="000000"/>
        </w:rPr>
        <w:t> </w:t>
      </w:r>
      <w:r w:rsidRPr="0055116C">
        <w:rPr>
          <w:rFonts w:eastAsiaTheme="minorHAnsi"/>
          <w:color w:val="000000"/>
          <w:lang w:val="ru-RU"/>
        </w:rPr>
        <w:t>г. будут предложены новые курсы по ИС: (</w:t>
      </w:r>
      <w:r>
        <w:rPr>
          <w:rFonts w:eastAsiaTheme="minorHAnsi"/>
          <w:color w:val="000000"/>
        </w:rPr>
        <w:t>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Университет Вест-Индии, кампус Мона (Ямайка) завершил разработку новой правовой магистерской программы (</w:t>
      </w:r>
      <w:r>
        <w:rPr>
          <w:rFonts w:eastAsiaTheme="minorHAnsi"/>
          <w:color w:val="000000"/>
        </w:rPr>
        <w:t>LLM</w:t>
      </w:r>
      <w:r w:rsidRPr="0055116C">
        <w:rPr>
          <w:rFonts w:eastAsiaTheme="minorHAnsi"/>
          <w:color w:val="000000"/>
          <w:lang w:val="ru-RU"/>
        </w:rPr>
        <w:t>) по вопросам интеллектуальной собственности в творческих отраслях и отраслях культуры, которая начнет свою работу в 2016</w:t>
      </w:r>
      <w:r>
        <w:rPr>
          <w:rFonts w:eastAsiaTheme="minorHAnsi"/>
          <w:color w:val="000000"/>
        </w:rPr>
        <w:t> </w:t>
      </w:r>
      <w:r w:rsidRPr="0055116C">
        <w:rPr>
          <w:rFonts w:eastAsiaTheme="minorHAnsi"/>
          <w:color w:val="000000"/>
          <w:lang w:val="ru-RU"/>
        </w:rPr>
        <w:t>г.; (</w:t>
      </w:r>
      <w:r>
        <w:rPr>
          <w:rFonts w:eastAsiaTheme="minorHAnsi"/>
          <w:color w:val="000000"/>
        </w:rPr>
        <w:t>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Университет Ботсваны завершил разработку нового курса по праву ИС и исследованиям в этой области, который начнет действовать в 2016</w:t>
      </w:r>
      <w:r>
        <w:rPr>
          <w:rFonts w:eastAsiaTheme="minorHAnsi"/>
          <w:color w:val="000000"/>
        </w:rPr>
        <w:t> </w:t>
      </w:r>
      <w:r w:rsidRPr="0055116C">
        <w:rPr>
          <w:rFonts w:eastAsiaTheme="minorHAnsi"/>
          <w:color w:val="000000"/>
          <w:lang w:val="ru-RU"/>
        </w:rPr>
        <w:t xml:space="preserve">г., а также усовершенствовал два курса по праву ИС </w:t>
      </w:r>
      <w:r>
        <w:rPr>
          <w:rFonts w:eastAsiaTheme="minorHAnsi"/>
          <w:color w:val="000000"/>
        </w:rPr>
        <w:t>I</w:t>
      </w:r>
      <w:r w:rsidRPr="0055116C">
        <w:rPr>
          <w:rFonts w:eastAsiaTheme="minorHAnsi"/>
          <w:color w:val="000000"/>
          <w:lang w:val="ru-RU"/>
        </w:rPr>
        <w:t xml:space="preserve"> и </w:t>
      </w:r>
      <w:r>
        <w:rPr>
          <w:rFonts w:eastAsiaTheme="minorHAnsi"/>
          <w:color w:val="000000"/>
        </w:rPr>
        <w:t>II</w:t>
      </w:r>
      <w:r w:rsidRPr="0055116C">
        <w:rPr>
          <w:rFonts w:eastAsiaTheme="minorHAnsi"/>
          <w:color w:val="000000"/>
          <w:lang w:val="ru-RU"/>
        </w:rPr>
        <w:t>.  Кроме того, пять университетов внесли улучшения в свои действующие учебные программы по ИС: (</w:t>
      </w:r>
      <w:r>
        <w:rPr>
          <w:rFonts w:eastAsiaTheme="minorHAnsi"/>
          <w:color w:val="000000"/>
        </w:rPr>
        <w:t>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Университет Буэнос-Айреса (Аргентина); (</w:t>
      </w:r>
      <w:r>
        <w:rPr>
          <w:rFonts w:eastAsiaTheme="minorHAnsi"/>
          <w:color w:val="000000"/>
        </w:rPr>
        <w:t>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Центральный университет Венесуэлы; (</w:t>
      </w:r>
      <w:r>
        <w:rPr>
          <w:rFonts w:eastAsiaTheme="minorHAnsi"/>
          <w:color w:val="000000"/>
        </w:rPr>
        <w:t>iii</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Университет Аликанте (Испания); (</w:t>
      </w:r>
      <w:r>
        <w:rPr>
          <w:rFonts w:eastAsiaTheme="minorHAnsi"/>
          <w:color w:val="000000"/>
        </w:rPr>
        <w:t>iv</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Университет Паджаджаран (Индонезия); и (</w:t>
      </w:r>
      <w:r>
        <w:rPr>
          <w:rFonts w:eastAsiaTheme="minorHAnsi"/>
          <w:color w:val="000000"/>
        </w:rPr>
        <w:t>v</w:t>
      </w:r>
      <w:r w:rsidRPr="0055116C">
        <w:rPr>
          <w:rFonts w:eastAsiaTheme="minorHAnsi"/>
          <w:color w:val="000000"/>
          <w:lang w:val="ru-RU"/>
        </w:rPr>
        <w:t>)</w:t>
      </w:r>
      <w:r>
        <w:rPr>
          <w:rFonts w:eastAsiaTheme="minorHAnsi"/>
          <w:color w:val="000000"/>
        </w:rPr>
        <w:t> </w:t>
      </w:r>
      <w:r w:rsidRPr="0055116C">
        <w:rPr>
          <w:rFonts w:eastAsiaTheme="minorHAnsi"/>
          <w:color w:val="000000"/>
          <w:lang w:val="ru-RU"/>
        </w:rPr>
        <w:t>Индонезийский университет.  В штаб-квартире ВОИС были также организованы 13</w:t>
      </w:r>
      <w:r>
        <w:rPr>
          <w:rFonts w:eastAsiaTheme="minorHAnsi"/>
          <w:color w:val="000000"/>
        </w:rPr>
        <w:t> </w:t>
      </w:r>
      <w:r w:rsidRPr="0055116C">
        <w:rPr>
          <w:rFonts w:eastAsiaTheme="minorHAnsi"/>
          <w:color w:val="000000"/>
          <w:lang w:val="ru-RU"/>
        </w:rPr>
        <w:t>семинаров по ИС, в которых приняли участие 309 студентов магистратуры, должностных лиц и парламентариев.  Наконец, на основе сотрудничества с правительствами принимающих сторон были организованы два национальных симпозиума по образованию в области ИС (Ботсвана и Китай) и один субрегиональный круглый стол по вопросам обучения, подготовки и исследований в сфере ИС для стран Карибского региона.  В 2014–2015</w:t>
      </w:r>
      <w:r>
        <w:rPr>
          <w:rFonts w:eastAsiaTheme="minorHAnsi"/>
          <w:color w:val="000000"/>
        </w:rPr>
        <w:t> </w:t>
      </w:r>
      <w:r w:rsidRPr="0055116C">
        <w:rPr>
          <w:rFonts w:eastAsiaTheme="minorHAnsi"/>
          <w:color w:val="000000"/>
          <w:lang w:val="ru-RU"/>
        </w:rPr>
        <w:t>гг. Академия получила новые предложения о партнерских проектах, которые были рассмотрены в соответствии с разработанной для этих целей новой процедурой.</w:t>
      </w:r>
    </w:p>
    <w:p w:rsidR="0055116C" w:rsidRPr="0055116C" w:rsidRDefault="0055116C" w:rsidP="0055116C">
      <w:pPr>
        <w:pStyle w:val="ListParagraph"/>
        <w:tabs>
          <w:tab w:val="left" w:pos="709"/>
        </w:tabs>
        <w:autoSpaceDE w:val="0"/>
        <w:autoSpaceDN w:val="0"/>
        <w:adjustRightInd w:val="0"/>
        <w:ind w:left="0"/>
        <w:jc w:val="both"/>
        <w:rPr>
          <w:rFonts w:eastAsiaTheme="minorHAnsi"/>
          <w:color w:val="000000"/>
          <w:lang w:val="ru-RU"/>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В 2014–2015</w:t>
      </w:r>
      <w:r>
        <w:rPr>
          <w:rFonts w:eastAsiaTheme="minorHAnsi"/>
          <w:color w:val="000000"/>
        </w:rPr>
        <w:t> </w:t>
      </w:r>
      <w:r w:rsidRPr="0055116C">
        <w:rPr>
          <w:rFonts w:eastAsiaTheme="minorHAnsi"/>
          <w:color w:val="000000"/>
          <w:lang w:val="ru-RU"/>
        </w:rPr>
        <w:t>гг. Академия организовала 19 сессий в рамках программы Летней школы ВОИС (</w:t>
      </w:r>
      <w:r>
        <w:rPr>
          <w:rFonts w:eastAsiaTheme="minorHAnsi"/>
          <w:color w:val="000000"/>
        </w:rPr>
        <w:t>WSS</w:t>
      </w:r>
      <w:r w:rsidRPr="0055116C">
        <w:rPr>
          <w:rFonts w:eastAsiaTheme="minorHAnsi"/>
          <w:color w:val="000000"/>
          <w:lang w:val="ru-RU"/>
        </w:rPr>
        <w:t>) на трех языках (английском, русском и испанском) при участии 12</w:t>
      </w:r>
      <w:r>
        <w:rPr>
          <w:rFonts w:eastAsiaTheme="minorHAnsi"/>
          <w:color w:val="000000"/>
        </w:rPr>
        <w:t> </w:t>
      </w:r>
      <w:r w:rsidRPr="0055116C">
        <w:rPr>
          <w:rFonts w:eastAsiaTheme="minorHAnsi"/>
          <w:color w:val="000000"/>
          <w:lang w:val="ru-RU"/>
        </w:rPr>
        <w:t xml:space="preserve">национальных институтов Чили, Китая, Хорватии, Индии, Ямайки, Мексики, Республики Корея, Российской Федерации, Сингапура, Южной Африки, Швейцарии и Соединенных Штатов Америки.  В </w:t>
      </w:r>
      <w:r>
        <w:rPr>
          <w:rFonts w:eastAsiaTheme="minorHAnsi"/>
          <w:color w:val="000000"/>
        </w:rPr>
        <w:t>WSS</w:t>
      </w:r>
      <w:r w:rsidRPr="0055116C">
        <w:rPr>
          <w:rFonts w:eastAsiaTheme="minorHAnsi"/>
          <w:color w:val="000000"/>
          <w:lang w:val="ru-RU"/>
        </w:rPr>
        <w:t xml:space="preserve"> приняли участие 689</w:t>
      </w:r>
      <w:r>
        <w:rPr>
          <w:rFonts w:eastAsiaTheme="minorHAnsi"/>
          <w:color w:val="000000"/>
        </w:rPr>
        <w:t> </w:t>
      </w:r>
      <w:r w:rsidRPr="0055116C">
        <w:rPr>
          <w:rFonts w:eastAsiaTheme="minorHAnsi"/>
          <w:color w:val="000000"/>
          <w:lang w:val="ru-RU"/>
        </w:rPr>
        <w:t>участников из 80</w:t>
      </w:r>
      <w:r>
        <w:rPr>
          <w:rFonts w:eastAsiaTheme="minorHAnsi"/>
          <w:color w:val="000000"/>
        </w:rPr>
        <w:t> </w:t>
      </w:r>
      <w:r w:rsidRPr="0055116C">
        <w:rPr>
          <w:rFonts w:eastAsiaTheme="minorHAnsi"/>
          <w:color w:val="000000"/>
          <w:lang w:val="ru-RU"/>
        </w:rPr>
        <w:t>стран: наибольшее число участников приходилось на регион Латинской Америки и Карибского бассейна (300</w:t>
      </w:r>
      <w:r>
        <w:rPr>
          <w:rFonts w:eastAsiaTheme="minorHAnsi"/>
          <w:color w:val="000000"/>
        </w:rPr>
        <w:t> </w:t>
      </w:r>
      <w:r w:rsidRPr="0055116C">
        <w:rPr>
          <w:rFonts w:eastAsiaTheme="minorHAnsi"/>
          <w:color w:val="000000"/>
          <w:lang w:val="ru-RU"/>
        </w:rPr>
        <w:t>участников или 43</w:t>
      </w:r>
      <w:r>
        <w:rPr>
          <w:rFonts w:eastAsiaTheme="minorHAnsi"/>
          <w:color w:val="000000"/>
        </w:rPr>
        <w:t> </w:t>
      </w:r>
      <w:r w:rsidRPr="0055116C">
        <w:rPr>
          <w:rFonts w:eastAsiaTheme="minorHAnsi"/>
          <w:color w:val="000000"/>
          <w:lang w:val="ru-RU"/>
        </w:rPr>
        <w:t>процента), а вторыми по численности были участники из Азиатско-Тихоокеанского региона (190 участников или 28 процентов). Еще 20</w:t>
      </w:r>
      <w:r>
        <w:rPr>
          <w:rFonts w:eastAsiaTheme="minorHAnsi"/>
          <w:color w:val="000000"/>
        </w:rPr>
        <w:t> </w:t>
      </w:r>
      <w:r w:rsidRPr="0055116C">
        <w:rPr>
          <w:rFonts w:eastAsiaTheme="minorHAnsi"/>
          <w:color w:val="000000"/>
          <w:lang w:val="ru-RU"/>
        </w:rPr>
        <w:t>процентов приходилось на страны Европы и девять процентов – на страны Африки.  Из 689</w:t>
      </w:r>
      <w:r>
        <w:rPr>
          <w:rFonts w:eastAsiaTheme="minorHAnsi"/>
          <w:color w:val="000000"/>
        </w:rPr>
        <w:t> </w:t>
      </w:r>
      <w:r w:rsidRPr="0055116C">
        <w:rPr>
          <w:rFonts w:eastAsiaTheme="minorHAnsi"/>
          <w:color w:val="000000"/>
          <w:lang w:val="ru-RU"/>
        </w:rPr>
        <w:t>участников в 2014–2015</w:t>
      </w:r>
      <w:r>
        <w:rPr>
          <w:rFonts w:eastAsiaTheme="minorHAnsi"/>
          <w:color w:val="000000"/>
        </w:rPr>
        <w:t> </w:t>
      </w:r>
      <w:r w:rsidRPr="0055116C">
        <w:rPr>
          <w:rFonts w:eastAsiaTheme="minorHAnsi"/>
          <w:color w:val="000000"/>
          <w:lang w:val="ru-RU"/>
        </w:rPr>
        <w:t>гг. женщины составляли 390</w:t>
      </w:r>
      <w:r>
        <w:rPr>
          <w:rFonts w:eastAsiaTheme="minorHAnsi"/>
          <w:color w:val="000000"/>
        </w:rPr>
        <w:t> </w:t>
      </w:r>
      <w:r w:rsidRPr="0055116C">
        <w:rPr>
          <w:rFonts w:eastAsiaTheme="minorHAnsi"/>
          <w:color w:val="000000"/>
          <w:lang w:val="ru-RU"/>
        </w:rPr>
        <w:t>(57</w:t>
      </w:r>
      <w:r>
        <w:rPr>
          <w:rFonts w:eastAsiaTheme="minorHAnsi"/>
          <w:color w:val="000000"/>
        </w:rPr>
        <w:t> </w:t>
      </w:r>
      <w:r w:rsidRPr="0055116C">
        <w:rPr>
          <w:rFonts w:eastAsiaTheme="minorHAnsi"/>
          <w:color w:val="000000"/>
          <w:lang w:val="ru-RU"/>
        </w:rPr>
        <w:t>процентов), а мужчины — 299</w:t>
      </w:r>
      <w:r>
        <w:rPr>
          <w:rFonts w:eastAsiaTheme="minorHAnsi"/>
          <w:color w:val="000000"/>
        </w:rPr>
        <w:t> </w:t>
      </w:r>
      <w:r w:rsidRPr="0055116C">
        <w:rPr>
          <w:rFonts w:eastAsiaTheme="minorHAnsi"/>
          <w:color w:val="000000"/>
          <w:lang w:val="ru-RU"/>
        </w:rPr>
        <w:t>(43</w:t>
      </w:r>
      <w:r>
        <w:rPr>
          <w:rFonts w:eastAsiaTheme="minorHAnsi"/>
          <w:color w:val="000000"/>
        </w:rPr>
        <w:t> </w:t>
      </w:r>
      <w:r w:rsidRPr="0055116C">
        <w:rPr>
          <w:rFonts w:eastAsiaTheme="minorHAnsi"/>
          <w:color w:val="000000"/>
          <w:lang w:val="ru-RU"/>
        </w:rPr>
        <w:t>процента).  Стипендии были предоставлены правительством Японии 20</w:t>
      </w:r>
      <w:r>
        <w:rPr>
          <w:rFonts w:eastAsiaTheme="minorHAnsi"/>
          <w:color w:val="000000"/>
        </w:rPr>
        <w:t> </w:t>
      </w:r>
      <w:r w:rsidRPr="0055116C">
        <w:rPr>
          <w:rFonts w:eastAsiaTheme="minorHAnsi"/>
          <w:color w:val="000000"/>
          <w:lang w:val="ru-RU"/>
        </w:rPr>
        <w:t>участникам для участия в сессиях в Южной Африке и правительством Республики Корея – 16</w:t>
      </w:r>
      <w:r>
        <w:rPr>
          <w:rFonts w:eastAsiaTheme="minorHAnsi"/>
          <w:color w:val="000000"/>
        </w:rPr>
        <w:t> </w:t>
      </w:r>
      <w:r w:rsidRPr="0055116C">
        <w:rPr>
          <w:rFonts w:eastAsiaTheme="minorHAnsi"/>
          <w:color w:val="000000"/>
          <w:lang w:val="ru-RU"/>
        </w:rPr>
        <w:t xml:space="preserve">участникам для участия в сессиях в Республике Корея.  Программы занятий Летней школы по-прежнему разрабатывались на основе принципа ротации, с учетом необходимости обеспечения баланса между различными географическими регионами.  </w:t>
      </w:r>
    </w:p>
    <w:p w:rsidR="0055116C" w:rsidRPr="0055116C" w:rsidRDefault="0055116C" w:rsidP="0055116C">
      <w:pPr>
        <w:spacing w:line="240" w:lineRule="atLeast"/>
        <w:contextualSpacing/>
        <w:jc w:val="both"/>
        <w:rPr>
          <w:rFonts w:eastAsiaTheme="minorHAnsi" w:cs="Arial"/>
          <w:lang w:val="ru-RU"/>
        </w:rPr>
      </w:pPr>
    </w:p>
    <w:p w:rsidR="0055116C" w:rsidRPr="0055116C" w:rsidRDefault="0055116C" w:rsidP="0055116C">
      <w:pPr>
        <w:pStyle w:val="Caption"/>
        <w:keepNext/>
        <w:jc w:val="center"/>
        <w:rPr>
          <w:b w:val="0"/>
          <w:i/>
          <w:sz w:val="20"/>
          <w:lang w:val="ru-RU"/>
        </w:rPr>
      </w:pPr>
      <w:r w:rsidRPr="0055116C">
        <w:rPr>
          <w:b w:val="0"/>
          <w:i/>
          <w:sz w:val="20"/>
          <w:lang w:val="ru-RU"/>
        </w:rPr>
        <w:t>Участники программ Летней школы ВОИС в 2014</w:t>
      </w:r>
      <w:r>
        <w:rPr>
          <w:b w:val="0"/>
          <w:i/>
          <w:sz w:val="20"/>
        </w:rPr>
        <w:t> </w:t>
      </w:r>
      <w:r w:rsidRPr="0055116C">
        <w:rPr>
          <w:b w:val="0"/>
          <w:i/>
          <w:sz w:val="20"/>
          <w:lang w:val="ru-RU"/>
        </w:rPr>
        <w:t>г. и 2015</w:t>
      </w:r>
      <w:r>
        <w:rPr>
          <w:b w:val="0"/>
          <w:i/>
          <w:sz w:val="20"/>
        </w:rPr>
        <w:t> </w:t>
      </w:r>
      <w:r w:rsidRPr="0055116C">
        <w:rPr>
          <w:b w:val="0"/>
          <w:i/>
          <w:sz w:val="20"/>
          <w:lang w:val="ru-RU"/>
        </w:rPr>
        <w:t>г. (в разбивке по полу)</w:t>
      </w:r>
    </w:p>
    <w:p w:rsidR="0055116C" w:rsidRDefault="0055116C" w:rsidP="0055116C">
      <w:pPr>
        <w:spacing w:after="200" w:line="240" w:lineRule="atLeast"/>
        <w:contextualSpacing/>
        <w:jc w:val="center"/>
        <w:rPr>
          <w:rFonts w:eastAsiaTheme="minorHAnsi" w:cs="Arial"/>
        </w:rPr>
      </w:pPr>
      <w:r>
        <w:rPr>
          <w:rFonts w:eastAsiaTheme="minorHAnsi" w:cs="Arial"/>
          <w:noProof/>
        </w:rPr>
        <w:drawing>
          <wp:inline distT="0" distB="0" distL="0" distR="0" wp14:anchorId="4461847A" wp14:editId="6C240393">
            <wp:extent cx="5940425" cy="3617080"/>
            <wp:effectExtent l="0" t="0" r="3175" b="254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40425" cy="3617080"/>
                    </a:xfrm>
                    <a:prstGeom prst="rect">
                      <a:avLst/>
                    </a:prstGeom>
                    <a:noFill/>
                    <a:ln>
                      <a:noFill/>
                    </a:ln>
                  </pic:spPr>
                </pic:pic>
              </a:graphicData>
            </a:graphic>
          </wp:inline>
        </w:drawing>
      </w:r>
    </w:p>
    <w:p w:rsidR="0055116C" w:rsidRDefault="0055116C" w:rsidP="0055116C">
      <w:pPr>
        <w:spacing w:after="200" w:line="240" w:lineRule="atLeast"/>
        <w:contextualSpacing/>
        <w:jc w:val="both"/>
        <w:rPr>
          <w:rFonts w:eastAsiaTheme="minorHAnsi" w:cs="Arial"/>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В 2014</w:t>
      </w:r>
      <w:r>
        <w:rPr>
          <w:rFonts w:eastAsiaTheme="minorHAnsi"/>
          <w:color w:val="000000"/>
        </w:rPr>
        <w:t> </w:t>
      </w:r>
      <w:r w:rsidRPr="0055116C">
        <w:rPr>
          <w:rFonts w:eastAsiaTheme="minorHAnsi"/>
          <w:color w:val="000000"/>
          <w:lang w:val="ru-RU"/>
        </w:rPr>
        <w:t xml:space="preserve">г. проект экспериментальных академий ИС был включен в регулярную программу Академии ВОИС после одобрения на четырнадцатой сессии КРИС независимой оценки этого проекта.  В ходе двухлетнего периода сотрудничество продолжалось, и на стадии проекта КРИС были основаны шесть академий ИС (в Колумбии, Доминиканской Республике, Египте, Эфиопии, Перу и Тунисе). Соглашения о создании национальных центров подготовки в области ИС (экспериментальных академий) были подписаны </w:t>
      </w:r>
      <w:r>
        <w:rPr>
          <w:rFonts w:eastAsiaTheme="minorHAnsi"/>
          <w:color w:val="000000"/>
        </w:rPr>
        <w:t>c</w:t>
      </w:r>
      <w:r w:rsidRPr="0055116C">
        <w:rPr>
          <w:rFonts w:eastAsiaTheme="minorHAnsi"/>
          <w:color w:val="000000"/>
          <w:lang w:val="ru-RU"/>
        </w:rPr>
        <w:t xml:space="preserve"> правительствами Азербайджана, Камбоджи, Коста-Рики, Эквадора, Сальвадора, Грузии и Турции.  В 2014–2015</w:t>
      </w:r>
      <w:r>
        <w:rPr>
          <w:rFonts w:eastAsiaTheme="minorHAnsi"/>
          <w:color w:val="000000"/>
        </w:rPr>
        <w:t> </w:t>
      </w:r>
      <w:r w:rsidRPr="0055116C">
        <w:rPr>
          <w:rFonts w:eastAsiaTheme="minorHAnsi"/>
          <w:color w:val="000000"/>
          <w:lang w:val="ru-RU"/>
        </w:rPr>
        <w:t>гг. были получены новые запросы от государств-членов о предоставлении содействия в создании национальных центров подготовки в области ИС, и эти запросы будут рассмотрены в 2016–2017</w:t>
      </w:r>
      <w:r>
        <w:rPr>
          <w:rFonts w:eastAsiaTheme="minorHAnsi"/>
          <w:color w:val="000000"/>
        </w:rPr>
        <w:t> </w:t>
      </w:r>
      <w:r w:rsidRPr="0055116C">
        <w:rPr>
          <w:rFonts w:eastAsiaTheme="minorHAnsi"/>
          <w:color w:val="000000"/>
          <w:lang w:val="ru-RU"/>
        </w:rPr>
        <w:t xml:space="preserve">гг.  </w:t>
      </w:r>
    </w:p>
    <w:p w:rsidR="0055116C" w:rsidRPr="0055116C" w:rsidRDefault="0055116C" w:rsidP="0055116C">
      <w:pPr>
        <w:tabs>
          <w:tab w:val="left" w:pos="709"/>
        </w:tabs>
        <w:autoSpaceDE w:val="0"/>
        <w:autoSpaceDN w:val="0"/>
        <w:adjustRightInd w:val="0"/>
        <w:jc w:val="both"/>
        <w:rPr>
          <w:rFonts w:eastAsiaTheme="minorHAnsi" w:cs="Arial"/>
          <w:color w:val="000000"/>
          <w:lang w:val="ru-RU"/>
        </w:rPr>
      </w:pPr>
    </w:p>
    <w:p w:rsidR="0055116C" w:rsidRPr="0055116C" w:rsidRDefault="0055116C" w:rsidP="0055116C">
      <w:pPr>
        <w:tabs>
          <w:tab w:val="left" w:pos="709"/>
        </w:tabs>
        <w:autoSpaceDE w:val="0"/>
        <w:autoSpaceDN w:val="0"/>
        <w:adjustRightInd w:val="0"/>
        <w:jc w:val="both"/>
        <w:rPr>
          <w:rFonts w:eastAsiaTheme="minorHAnsi" w:cs="Arial"/>
          <w:color w:val="000000"/>
          <w:lang w:val="ru-RU"/>
        </w:rPr>
      </w:pPr>
    </w:p>
    <w:p w:rsidR="0055116C" w:rsidRPr="0055116C" w:rsidRDefault="0055116C" w:rsidP="0055116C">
      <w:pPr>
        <w:spacing w:after="200" w:line="276" w:lineRule="auto"/>
        <w:rPr>
          <w:lang w:val="ru-RU"/>
        </w:rPr>
      </w:pPr>
      <w:r w:rsidRPr="0055116C">
        <w:rPr>
          <w:lang w:val="ru-RU"/>
        </w:rPr>
        <w:br w:type="page"/>
      </w:r>
    </w:p>
    <w:p w:rsidR="0055116C" w:rsidRPr="00E956BE" w:rsidRDefault="0055116C" w:rsidP="0055116C">
      <w:pPr>
        <w:spacing w:after="200" w:line="240" w:lineRule="atLeast"/>
        <w:contextualSpacing/>
        <w:jc w:val="both"/>
        <w:rPr>
          <w:rFonts w:cs="Arial"/>
          <w:szCs w:val="22"/>
        </w:rPr>
      </w:pPr>
      <w:r>
        <w:t>ДАННЫЕ О РЕЗУЛЬТАТИВНОСТИ</w:t>
      </w:r>
    </w:p>
    <w:p w:rsidR="0055116C" w:rsidRPr="00685E4E" w:rsidRDefault="0055116C" w:rsidP="0055116C">
      <w:pPr>
        <w:autoSpaceDE w:val="0"/>
        <w:autoSpaceDN w:val="0"/>
        <w:adjustRightInd w:val="0"/>
        <w:rPr>
          <w:rFonts w:eastAsiaTheme="minorHAnsi" w:cs="Arial"/>
          <w:color w:val="000000"/>
          <w:sz w:val="18"/>
          <w:szCs w:val="20"/>
        </w:rPr>
      </w:pPr>
    </w:p>
    <w:tbl>
      <w:tblPr>
        <w:tblW w:w="5072" w:type="pct"/>
        <w:tblInd w:w="-3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79"/>
        <w:gridCol w:w="2652"/>
        <w:gridCol w:w="1532"/>
        <w:gridCol w:w="2252"/>
        <w:gridCol w:w="1194"/>
      </w:tblGrid>
      <w:tr w:rsidR="0055116C" w:rsidRPr="005C6ABD" w:rsidTr="0055116C">
        <w:tc>
          <w:tcPr>
            <w:tcW w:w="5000" w:type="pct"/>
            <w:gridSpan w:val="5"/>
            <w:tcBorders>
              <w:top w:val="single" w:sz="4" w:space="0" w:color="auto"/>
              <w:bottom w:val="single" w:sz="4" w:space="0" w:color="auto"/>
            </w:tcBorders>
            <w:shd w:val="clear" w:color="auto" w:fill="C6D9F1" w:themeFill="text2" w:themeFillTint="33"/>
          </w:tcPr>
          <w:p w:rsidR="0055116C" w:rsidRPr="0055116C" w:rsidRDefault="0055116C" w:rsidP="003A5C2E">
            <w:pPr>
              <w:spacing w:before="120" w:after="120"/>
              <w:ind w:left="2302" w:hanging="2302"/>
              <w:rPr>
                <w:rFonts w:cs="Arial"/>
                <w:sz w:val="16"/>
                <w:szCs w:val="16"/>
                <w:lang w:val="ru-RU"/>
              </w:rPr>
            </w:pPr>
            <w:r w:rsidRPr="0055116C">
              <w:rPr>
                <w:b/>
                <w:sz w:val="16"/>
                <w:szCs w:val="16"/>
                <w:lang w:val="ru-RU"/>
              </w:rPr>
              <w:t xml:space="preserve">Ожидаемый результат: </w:t>
            </w:r>
            <w:r w:rsidRPr="0055116C">
              <w:rPr>
                <w:sz w:val="16"/>
                <w:szCs w:val="16"/>
                <w:lang w:val="ru-RU"/>
              </w:rPr>
              <w:tab/>
            </w:r>
            <w:r w:rsidRPr="00DF5DD8">
              <w:rPr>
                <w:sz w:val="16"/>
                <w:szCs w:val="16"/>
              </w:rPr>
              <w:t>III</w:t>
            </w:r>
            <w:r w:rsidRPr="0055116C">
              <w:rPr>
                <w:sz w:val="16"/>
                <w:szCs w:val="16"/>
                <w:lang w:val="ru-RU"/>
              </w:rPr>
              <w:t>.2. Улучшенный потенциал людских ресурсов, спосо</w:t>
            </w:r>
            <w:r w:rsidR="003A5C2E">
              <w:rPr>
                <w:sz w:val="16"/>
                <w:szCs w:val="16"/>
                <w:lang w:val="ru-RU"/>
              </w:rPr>
              <w:t xml:space="preserve">бных выполнять широкий спектр </w:t>
            </w:r>
            <w:r w:rsidRPr="0055116C">
              <w:rPr>
                <w:sz w:val="16"/>
                <w:szCs w:val="16"/>
                <w:lang w:val="ru-RU"/>
              </w:rPr>
              <w:t>требований в отношении эффективного использ</w:t>
            </w:r>
            <w:r w:rsidR="003A5C2E">
              <w:rPr>
                <w:sz w:val="16"/>
                <w:szCs w:val="16"/>
                <w:lang w:val="ru-RU"/>
              </w:rPr>
              <w:t xml:space="preserve">ования ИС в целях развития в </w:t>
            </w:r>
            <w:r w:rsidRPr="0055116C">
              <w:rPr>
                <w:sz w:val="16"/>
                <w:szCs w:val="16"/>
                <w:lang w:val="ru-RU"/>
              </w:rPr>
              <w:t>развивающихся странах, НРС и странах с переходной экономикой</w:t>
            </w:r>
          </w:p>
        </w:tc>
      </w:tr>
      <w:tr w:rsidR="0055116C" w:rsidRPr="00DF5DD8" w:rsidTr="00FE4E8D">
        <w:tc>
          <w:tcPr>
            <w:tcW w:w="1070" w:type="pct"/>
            <w:tcBorders>
              <w:top w:val="single" w:sz="4" w:space="0" w:color="auto"/>
              <w:bottom w:val="nil"/>
            </w:tcBorders>
            <w:shd w:val="clear" w:color="auto" w:fill="auto"/>
          </w:tcPr>
          <w:p w:rsidR="0055116C" w:rsidRPr="00DF5DD8" w:rsidRDefault="0055116C" w:rsidP="0055116C">
            <w:pPr>
              <w:rPr>
                <w:rFonts w:cs="Arial"/>
                <w:sz w:val="16"/>
                <w:szCs w:val="16"/>
              </w:rPr>
            </w:pPr>
            <w:r w:rsidRPr="00DF5DD8">
              <w:rPr>
                <w:b/>
                <w:sz w:val="16"/>
                <w:szCs w:val="16"/>
              </w:rPr>
              <w:t>Показатели результативности</w:t>
            </w:r>
          </w:p>
        </w:tc>
        <w:tc>
          <w:tcPr>
            <w:tcW w:w="1366" w:type="pct"/>
            <w:tcBorders>
              <w:top w:val="single" w:sz="4" w:space="0" w:color="auto"/>
              <w:bottom w:val="nil"/>
            </w:tcBorders>
            <w:shd w:val="clear" w:color="auto" w:fill="auto"/>
          </w:tcPr>
          <w:p w:rsidR="0055116C" w:rsidRPr="00DF5DD8" w:rsidRDefault="0055116C" w:rsidP="0055116C">
            <w:pPr>
              <w:rPr>
                <w:rFonts w:cs="Arial"/>
                <w:sz w:val="16"/>
                <w:szCs w:val="16"/>
              </w:rPr>
            </w:pPr>
            <w:r w:rsidRPr="00DF5DD8">
              <w:rPr>
                <w:b/>
                <w:sz w:val="16"/>
                <w:szCs w:val="16"/>
              </w:rPr>
              <w:t>Базовые показатели</w:t>
            </w:r>
          </w:p>
        </w:tc>
        <w:tc>
          <w:tcPr>
            <w:tcW w:w="789" w:type="pct"/>
            <w:tcBorders>
              <w:top w:val="single" w:sz="4" w:space="0" w:color="auto"/>
              <w:bottom w:val="nil"/>
            </w:tcBorders>
            <w:shd w:val="clear" w:color="auto" w:fill="auto"/>
            <w:tcMar>
              <w:top w:w="110" w:type="dxa"/>
            </w:tcMar>
          </w:tcPr>
          <w:p w:rsidR="0055116C" w:rsidRPr="00DF5DD8" w:rsidRDefault="0055116C" w:rsidP="0055116C">
            <w:pPr>
              <w:autoSpaceDE w:val="0"/>
              <w:autoSpaceDN w:val="0"/>
              <w:adjustRightInd w:val="0"/>
              <w:rPr>
                <w:rFonts w:cs="Arial"/>
                <w:sz w:val="16"/>
                <w:szCs w:val="16"/>
              </w:rPr>
            </w:pPr>
            <w:r w:rsidRPr="00DF5DD8">
              <w:rPr>
                <w:b/>
                <w:sz w:val="16"/>
                <w:szCs w:val="16"/>
              </w:rPr>
              <w:t>Цели</w:t>
            </w:r>
          </w:p>
        </w:tc>
        <w:tc>
          <w:tcPr>
            <w:tcW w:w="1160" w:type="pct"/>
            <w:tcBorders>
              <w:top w:val="single" w:sz="4" w:space="0" w:color="auto"/>
              <w:bottom w:val="nil"/>
            </w:tcBorders>
            <w:shd w:val="clear" w:color="auto" w:fill="FFFFFF"/>
            <w:tcMar>
              <w:top w:w="110" w:type="dxa"/>
            </w:tcMar>
          </w:tcPr>
          <w:p w:rsidR="0055116C" w:rsidRPr="00DF5DD8" w:rsidRDefault="0055116C" w:rsidP="0055116C">
            <w:pPr>
              <w:rPr>
                <w:rFonts w:cs="Arial"/>
                <w:color w:val="00B0F0"/>
                <w:sz w:val="16"/>
                <w:szCs w:val="16"/>
              </w:rPr>
            </w:pPr>
            <w:r w:rsidRPr="00DF5DD8">
              <w:rPr>
                <w:b/>
                <w:sz w:val="16"/>
                <w:szCs w:val="16"/>
              </w:rPr>
              <w:t>Данные о результативности</w:t>
            </w:r>
          </w:p>
        </w:tc>
        <w:tc>
          <w:tcPr>
            <w:tcW w:w="615" w:type="pct"/>
            <w:tcBorders>
              <w:top w:val="single" w:sz="4" w:space="0" w:color="auto"/>
              <w:bottom w:val="nil"/>
            </w:tcBorders>
            <w:shd w:val="clear" w:color="auto" w:fill="auto"/>
            <w:tcMar>
              <w:top w:w="110" w:type="dxa"/>
            </w:tcMar>
          </w:tcPr>
          <w:p w:rsidR="0055116C" w:rsidRPr="00DF5DD8" w:rsidRDefault="0055116C" w:rsidP="0055116C">
            <w:pPr>
              <w:jc w:val="center"/>
              <w:rPr>
                <w:rFonts w:cs="Arial"/>
                <w:b/>
                <w:bCs/>
                <w:color w:val="00B0F0"/>
                <w:sz w:val="16"/>
                <w:szCs w:val="16"/>
              </w:rPr>
            </w:pPr>
            <w:r w:rsidRPr="00DF5DD8">
              <w:rPr>
                <w:b/>
                <w:sz w:val="16"/>
                <w:szCs w:val="16"/>
              </w:rPr>
              <w:t>CC</w:t>
            </w:r>
          </w:p>
        </w:tc>
      </w:tr>
      <w:tr w:rsidR="0055116C" w:rsidRPr="00DF5DD8" w:rsidTr="00FE4E8D">
        <w:trPr>
          <w:trHeight w:val="448"/>
        </w:trPr>
        <w:tc>
          <w:tcPr>
            <w:tcW w:w="1070" w:type="pct"/>
            <w:tcBorders>
              <w:top w:val="nil"/>
              <w:bottom w:val="nil"/>
            </w:tcBorders>
            <w:shd w:val="clear" w:color="auto" w:fill="auto"/>
          </w:tcPr>
          <w:p w:rsidR="0055116C" w:rsidRPr="0055116C" w:rsidRDefault="0055116C" w:rsidP="0055116C">
            <w:pPr>
              <w:rPr>
                <w:rFonts w:cs="Arial"/>
                <w:sz w:val="16"/>
                <w:szCs w:val="16"/>
                <w:lang w:val="ru-RU"/>
              </w:rPr>
            </w:pPr>
            <w:r w:rsidRPr="0055116C">
              <w:rPr>
                <w:sz w:val="16"/>
                <w:szCs w:val="16"/>
                <w:lang w:val="ru-RU"/>
              </w:rPr>
              <w:t>Пересмотренный комплекс учебных курсов по ИС для развивающихся стран, НРС и стран с переходной экономикой/актуальность содержания учебных курсов с точки зрения требований в сфере укрепления потенциала развивающихся стран, НРС и стран с переходной экономикой</w:t>
            </w:r>
          </w:p>
        </w:tc>
        <w:tc>
          <w:tcPr>
            <w:tcW w:w="1366" w:type="pct"/>
            <w:tcBorders>
              <w:top w:val="nil"/>
              <w:bottom w:val="nil"/>
            </w:tcBorders>
            <w:shd w:val="clear" w:color="auto" w:fill="auto"/>
          </w:tcPr>
          <w:p w:rsidR="0055116C" w:rsidRPr="0055116C" w:rsidRDefault="0055116C" w:rsidP="0055116C">
            <w:pPr>
              <w:rPr>
                <w:rFonts w:cs="Arial"/>
                <w:sz w:val="16"/>
                <w:szCs w:val="16"/>
                <w:lang w:val="ru-RU"/>
              </w:rPr>
            </w:pPr>
            <w:r w:rsidRPr="0055116C">
              <w:rPr>
                <w:sz w:val="16"/>
                <w:szCs w:val="16"/>
                <w:lang w:val="ru-RU"/>
              </w:rPr>
              <w:t>Набор курсов не подвергался общей переработке с момента учреждения Академии</w:t>
            </w:r>
          </w:p>
        </w:tc>
        <w:tc>
          <w:tcPr>
            <w:tcW w:w="789" w:type="pct"/>
            <w:tcBorders>
              <w:top w:val="nil"/>
              <w:bottom w:val="nil"/>
            </w:tcBorders>
            <w:shd w:val="clear" w:color="auto" w:fill="auto"/>
            <w:tcMar>
              <w:top w:w="110" w:type="dxa"/>
            </w:tcMar>
          </w:tcPr>
          <w:p w:rsidR="0055116C" w:rsidRPr="0055116C" w:rsidRDefault="0055116C" w:rsidP="0055116C">
            <w:pPr>
              <w:autoSpaceDE w:val="0"/>
              <w:autoSpaceDN w:val="0"/>
              <w:adjustRightInd w:val="0"/>
              <w:rPr>
                <w:rFonts w:cs="Arial"/>
                <w:sz w:val="16"/>
                <w:szCs w:val="16"/>
                <w:lang w:val="ru-RU"/>
              </w:rPr>
            </w:pPr>
            <w:r w:rsidRPr="0055116C">
              <w:rPr>
                <w:sz w:val="16"/>
                <w:szCs w:val="16"/>
                <w:lang w:val="ru-RU"/>
              </w:rPr>
              <w:t>Наличие переработанного набора учебных курсов до истечения двулетнего периода</w:t>
            </w:r>
          </w:p>
        </w:tc>
        <w:tc>
          <w:tcPr>
            <w:tcW w:w="1160" w:type="pct"/>
            <w:tcBorders>
              <w:top w:val="nil"/>
              <w:bottom w:val="nil"/>
            </w:tcBorders>
            <w:shd w:val="clear" w:color="auto" w:fill="FFFFFF"/>
            <w:tcMar>
              <w:top w:w="110" w:type="dxa"/>
            </w:tcMar>
          </w:tcPr>
          <w:p w:rsidR="0055116C" w:rsidRPr="0055116C" w:rsidRDefault="0055116C" w:rsidP="0055116C">
            <w:pPr>
              <w:rPr>
                <w:rFonts w:cs="Arial"/>
                <w:sz w:val="16"/>
                <w:szCs w:val="16"/>
                <w:lang w:val="ru-RU"/>
              </w:rPr>
            </w:pPr>
            <w:r w:rsidRPr="0055116C">
              <w:rPr>
                <w:sz w:val="16"/>
                <w:szCs w:val="16"/>
                <w:lang w:val="ru-RU"/>
              </w:rPr>
              <w:t>В 2015</w:t>
            </w:r>
            <w:r w:rsidRPr="00DF5DD8">
              <w:rPr>
                <w:sz w:val="16"/>
                <w:szCs w:val="16"/>
              </w:rPr>
              <w:t> </w:t>
            </w:r>
            <w:r w:rsidRPr="0055116C">
              <w:rPr>
                <w:sz w:val="16"/>
                <w:szCs w:val="16"/>
                <w:lang w:val="ru-RU"/>
              </w:rPr>
              <w:t>г. был завершен пересмотр набора учебных курсов.  Набор учебных курсов был пересмотрен на основе результатов обследования оценки потребностей, проведенного в 2015</w:t>
            </w:r>
            <w:r w:rsidRPr="00DF5DD8">
              <w:rPr>
                <w:sz w:val="16"/>
                <w:szCs w:val="16"/>
              </w:rPr>
              <w:t> </w:t>
            </w:r>
            <w:r w:rsidRPr="0055116C">
              <w:rPr>
                <w:sz w:val="16"/>
                <w:szCs w:val="16"/>
                <w:lang w:val="ru-RU"/>
              </w:rPr>
              <w:t>г.</w:t>
            </w:r>
          </w:p>
        </w:tc>
        <w:tc>
          <w:tcPr>
            <w:tcW w:w="615" w:type="pct"/>
            <w:tcBorders>
              <w:top w:val="nil"/>
              <w:bottom w:val="nil"/>
            </w:tcBorders>
            <w:shd w:val="clear" w:color="auto" w:fill="auto"/>
            <w:tcMar>
              <w:top w:w="110" w:type="dxa"/>
            </w:tcMar>
          </w:tcPr>
          <w:p w:rsidR="0055116C" w:rsidRPr="0055116C" w:rsidRDefault="0055116C" w:rsidP="0055116C">
            <w:pPr>
              <w:jc w:val="center"/>
              <w:rPr>
                <w:rFonts w:cs="Arial"/>
                <w:b/>
                <w:bCs/>
                <w:color w:val="00B050"/>
                <w:sz w:val="16"/>
                <w:szCs w:val="16"/>
                <w:lang w:val="ru-RU"/>
              </w:rPr>
            </w:pPr>
          </w:p>
          <w:p w:rsidR="0055116C" w:rsidRPr="00DF5DD8" w:rsidRDefault="0055116C" w:rsidP="0055116C">
            <w:pPr>
              <w:jc w:val="center"/>
              <w:rPr>
                <w:rFonts w:cs="Arial"/>
                <w:b/>
                <w:bCs/>
                <w:sz w:val="16"/>
                <w:szCs w:val="16"/>
              </w:rPr>
            </w:pPr>
            <w:r w:rsidRPr="00DF5DD8">
              <w:rPr>
                <w:b/>
                <w:color w:val="00B050"/>
                <w:sz w:val="16"/>
                <w:szCs w:val="16"/>
              </w:rPr>
              <w:t>Выполнено</w:t>
            </w:r>
          </w:p>
        </w:tc>
      </w:tr>
      <w:tr w:rsidR="0055116C" w:rsidRPr="00DF5DD8" w:rsidTr="00FE4E8D">
        <w:trPr>
          <w:trHeight w:val="3909"/>
        </w:trPr>
        <w:tc>
          <w:tcPr>
            <w:tcW w:w="1070" w:type="pct"/>
            <w:tcBorders>
              <w:top w:val="nil"/>
              <w:left w:val="single" w:sz="4" w:space="0" w:color="auto"/>
              <w:bottom w:val="nil"/>
            </w:tcBorders>
            <w:shd w:val="clear" w:color="auto" w:fill="auto"/>
          </w:tcPr>
          <w:p w:rsidR="0055116C" w:rsidRPr="0055116C" w:rsidRDefault="0055116C" w:rsidP="0055116C">
            <w:pPr>
              <w:rPr>
                <w:rFonts w:cs="Arial"/>
                <w:sz w:val="16"/>
                <w:szCs w:val="16"/>
                <w:lang w:val="ru-RU"/>
              </w:rPr>
            </w:pPr>
            <w:r w:rsidRPr="0055116C">
              <w:rPr>
                <w:sz w:val="16"/>
                <w:szCs w:val="16"/>
                <w:lang w:val="ru-RU"/>
              </w:rPr>
              <w:t>Расширенные возможности электронного обучения на нескольких языках по различным аспектам ИС для развивающихся стран, НРС и стран с переходной экономикой / Соответствие содержания набора курсов дистанционного обучения потребностям развивающихся стран, НРС и стран с переходной экономикой в области укрепления их потенциала</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tc>
        <w:tc>
          <w:tcPr>
            <w:tcW w:w="1366" w:type="pct"/>
            <w:tcBorders>
              <w:top w:val="nil"/>
              <w:bottom w:val="nil"/>
            </w:tcBorders>
            <w:shd w:val="clear" w:color="auto" w:fill="auto"/>
          </w:tcPr>
          <w:p w:rsidR="0055116C" w:rsidRPr="0055116C" w:rsidRDefault="0055116C" w:rsidP="0055116C">
            <w:pPr>
              <w:rPr>
                <w:rFonts w:cs="Arial"/>
                <w:color w:val="002060"/>
                <w:sz w:val="16"/>
                <w:szCs w:val="16"/>
                <w:lang w:val="ru-RU"/>
              </w:rPr>
            </w:pPr>
            <w:r w:rsidRPr="0055116C">
              <w:rPr>
                <w:i/>
                <w:color w:val="002060"/>
                <w:sz w:val="16"/>
                <w:szCs w:val="16"/>
                <w:lang w:val="ru-RU"/>
              </w:rPr>
              <w:t>Обновленные базовые показатели, конец 2013</w:t>
            </w:r>
            <w:r w:rsidRPr="00DF5DD8">
              <w:rPr>
                <w:i/>
                <w:color w:val="002060"/>
                <w:sz w:val="16"/>
                <w:szCs w:val="16"/>
              </w:rPr>
              <w:t> </w:t>
            </w:r>
            <w:r w:rsidRPr="0055116C">
              <w:rPr>
                <w:i/>
                <w:color w:val="002060"/>
                <w:sz w:val="16"/>
                <w:szCs w:val="16"/>
                <w:lang w:val="ru-RU"/>
              </w:rPr>
              <w:t xml:space="preserve">г.:  </w:t>
            </w:r>
          </w:p>
          <w:p w:rsidR="0055116C" w:rsidRPr="00DF5DD8" w:rsidRDefault="0055116C" w:rsidP="0055116C">
            <w:pPr>
              <w:rPr>
                <w:rFonts w:cs="Arial"/>
                <w:color w:val="002060"/>
                <w:sz w:val="16"/>
                <w:szCs w:val="16"/>
              </w:rPr>
            </w:pPr>
            <w:r w:rsidRPr="00DF5DD8">
              <w:rPr>
                <w:color w:val="002060"/>
                <w:sz w:val="16"/>
                <w:szCs w:val="16"/>
              </w:rPr>
              <w:t>в 2013 г.:</w:t>
            </w:r>
          </w:p>
          <w:p w:rsidR="0055116C" w:rsidRPr="0055116C" w:rsidRDefault="0055116C" w:rsidP="0055116C">
            <w:pPr>
              <w:pStyle w:val="ListParagraph"/>
              <w:numPr>
                <w:ilvl w:val="0"/>
                <w:numId w:val="83"/>
              </w:numPr>
              <w:ind w:left="169" w:hanging="180"/>
              <w:rPr>
                <w:rFonts w:cs="Arial"/>
                <w:color w:val="002060"/>
                <w:sz w:val="16"/>
                <w:szCs w:val="16"/>
                <w:lang w:val="ru-RU"/>
              </w:rPr>
            </w:pPr>
            <w:r w:rsidRPr="0055116C">
              <w:rPr>
                <w:color w:val="002060"/>
                <w:sz w:val="16"/>
                <w:szCs w:val="16"/>
                <w:lang w:val="ru-RU"/>
              </w:rPr>
              <w:t>5</w:t>
            </w:r>
            <w:r>
              <w:rPr>
                <w:color w:val="002060"/>
                <w:sz w:val="16"/>
                <w:szCs w:val="16"/>
              </w:rPr>
              <w:t> </w:t>
            </w:r>
            <w:r w:rsidRPr="0055116C">
              <w:rPr>
                <w:color w:val="002060"/>
                <w:sz w:val="16"/>
                <w:szCs w:val="16"/>
                <w:lang w:val="ru-RU"/>
              </w:rPr>
              <w:t>курсов ДО имелись на всех 6</w:t>
            </w:r>
            <w:r>
              <w:rPr>
                <w:color w:val="002060"/>
                <w:sz w:val="16"/>
                <w:szCs w:val="16"/>
              </w:rPr>
              <w:t> </w:t>
            </w:r>
            <w:r w:rsidRPr="0055116C">
              <w:rPr>
                <w:color w:val="002060"/>
                <w:sz w:val="16"/>
                <w:szCs w:val="16"/>
                <w:lang w:val="ru-RU"/>
              </w:rPr>
              <w:t>языках ООН и на португальском языке;</w:t>
            </w:r>
          </w:p>
          <w:p w:rsidR="0055116C" w:rsidRPr="0055116C" w:rsidRDefault="0055116C" w:rsidP="0055116C">
            <w:pPr>
              <w:pStyle w:val="ListParagraph"/>
              <w:numPr>
                <w:ilvl w:val="0"/>
                <w:numId w:val="83"/>
              </w:numPr>
              <w:ind w:left="169" w:hanging="180"/>
              <w:rPr>
                <w:rFonts w:cs="Arial"/>
                <w:color w:val="002060"/>
                <w:sz w:val="16"/>
                <w:szCs w:val="16"/>
                <w:lang w:val="ru-RU"/>
              </w:rPr>
            </w:pPr>
            <w:r w:rsidRPr="0055116C">
              <w:rPr>
                <w:color w:val="002060"/>
                <w:sz w:val="16"/>
                <w:szCs w:val="16"/>
                <w:lang w:val="ru-RU"/>
              </w:rPr>
              <w:t>2 курса ДО имелись на 5</w:t>
            </w:r>
            <w:r>
              <w:rPr>
                <w:color w:val="002060"/>
                <w:sz w:val="16"/>
                <w:szCs w:val="16"/>
              </w:rPr>
              <w:t> </w:t>
            </w:r>
            <w:r w:rsidRPr="0055116C">
              <w:rPr>
                <w:color w:val="002060"/>
                <w:sz w:val="16"/>
                <w:szCs w:val="16"/>
                <w:lang w:val="ru-RU"/>
              </w:rPr>
              <w:t>языках ООН и на португальском языке;</w:t>
            </w:r>
          </w:p>
          <w:p w:rsidR="0055116C" w:rsidRPr="0055116C" w:rsidRDefault="0055116C" w:rsidP="0055116C">
            <w:pPr>
              <w:pStyle w:val="ListParagraph"/>
              <w:numPr>
                <w:ilvl w:val="0"/>
                <w:numId w:val="83"/>
              </w:numPr>
              <w:ind w:left="169" w:hanging="180"/>
              <w:rPr>
                <w:rFonts w:cs="Arial"/>
                <w:color w:val="002060"/>
                <w:sz w:val="16"/>
                <w:szCs w:val="16"/>
                <w:lang w:val="ru-RU"/>
              </w:rPr>
            </w:pPr>
            <w:r w:rsidRPr="0055116C">
              <w:rPr>
                <w:color w:val="002060"/>
                <w:sz w:val="16"/>
                <w:szCs w:val="16"/>
                <w:lang w:val="ru-RU"/>
              </w:rPr>
              <w:t>1 курс ДО имелся на 4 языках ООН и на португальском языке; и</w:t>
            </w:r>
          </w:p>
          <w:p w:rsidR="0055116C" w:rsidRPr="0055116C" w:rsidRDefault="0055116C" w:rsidP="0055116C">
            <w:pPr>
              <w:pStyle w:val="ListParagraph"/>
              <w:numPr>
                <w:ilvl w:val="0"/>
                <w:numId w:val="83"/>
              </w:numPr>
              <w:ind w:left="169" w:hanging="180"/>
              <w:rPr>
                <w:rFonts w:cs="Arial"/>
                <w:color w:val="002060"/>
                <w:sz w:val="16"/>
                <w:szCs w:val="16"/>
                <w:lang w:val="ru-RU"/>
              </w:rPr>
            </w:pPr>
            <w:r w:rsidRPr="0055116C">
              <w:rPr>
                <w:color w:val="002060"/>
                <w:sz w:val="16"/>
                <w:szCs w:val="16"/>
                <w:lang w:val="ru-RU"/>
              </w:rPr>
              <w:t xml:space="preserve">4 курса ДО имелись только на английском языке. </w:t>
            </w:r>
          </w:p>
          <w:p w:rsidR="0055116C" w:rsidRPr="0055116C" w:rsidRDefault="0055116C" w:rsidP="0055116C">
            <w:pPr>
              <w:rPr>
                <w:rFonts w:cs="Arial"/>
                <w:sz w:val="16"/>
                <w:szCs w:val="16"/>
                <w:lang w:val="ru-RU"/>
              </w:rPr>
            </w:pPr>
          </w:p>
          <w:p w:rsidR="0055116C" w:rsidRPr="0055116C" w:rsidRDefault="0055116C" w:rsidP="0055116C">
            <w:pPr>
              <w:rPr>
                <w:sz w:val="16"/>
                <w:szCs w:val="16"/>
                <w:lang w:val="ru-RU"/>
              </w:rPr>
            </w:pPr>
            <w:r w:rsidRPr="0055116C">
              <w:rPr>
                <w:sz w:val="16"/>
                <w:szCs w:val="16"/>
                <w:lang w:val="ru-RU"/>
              </w:rPr>
              <w:t>70% слушателей углубленных курсов отметили, что участие в курсе ДО позволило им повысить эффективность своей профессиональной деятельности и/или улучшить свои учебные результаты.</w:t>
            </w:r>
          </w:p>
          <w:p w:rsidR="0055116C" w:rsidRPr="0055116C" w:rsidRDefault="0055116C" w:rsidP="0055116C">
            <w:pPr>
              <w:rPr>
                <w:rFonts w:cs="Arial"/>
                <w:sz w:val="16"/>
                <w:szCs w:val="16"/>
                <w:lang w:val="ru-RU"/>
              </w:rPr>
            </w:pPr>
          </w:p>
          <w:p w:rsidR="0055116C" w:rsidRPr="0055116C" w:rsidRDefault="0055116C" w:rsidP="0055116C">
            <w:pPr>
              <w:rPr>
                <w:rFonts w:cs="Arial"/>
                <w:i/>
                <w:color w:val="002060"/>
                <w:sz w:val="16"/>
                <w:szCs w:val="16"/>
                <w:lang w:val="ru-RU"/>
              </w:rPr>
            </w:pPr>
            <w:r w:rsidRPr="0055116C">
              <w:rPr>
                <w:i/>
                <w:sz w:val="16"/>
                <w:szCs w:val="16"/>
                <w:lang w:val="ru-RU"/>
              </w:rPr>
              <w:t>Исходные базовые показатели ПиБ на 2014–2015 гг.:</w:t>
            </w:r>
            <w:r w:rsidRPr="0055116C">
              <w:rPr>
                <w:sz w:val="16"/>
                <w:szCs w:val="16"/>
                <w:lang w:val="ru-RU"/>
              </w:rPr>
              <w:t xml:space="preserve">  не все курсы доступны на всех языках; пересмотр содержания курсов в настоящее время проводится исключительно силами сотрудников Академии и не на систематической основе</w:t>
            </w:r>
          </w:p>
        </w:tc>
        <w:tc>
          <w:tcPr>
            <w:tcW w:w="789" w:type="pct"/>
            <w:tcBorders>
              <w:top w:val="nil"/>
              <w:bottom w:val="nil"/>
            </w:tcBorders>
            <w:shd w:val="clear" w:color="auto" w:fill="auto"/>
            <w:tcMar>
              <w:top w:w="110" w:type="dxa"/>
            </w:tcMar>
          </w:tcPr>
          <w:p w:rsidR="0055116C" w:rsidRPr="0055116C" w:rsidRDefault="0055116C" w:rsidP="0055116C">
            <w:pPr>
              <w:autoSpaceDE w:val="0"/>
              <w:autoSpaceDN w:val="0"/>
              <w:adjustRightInd w:val="0"/>
              <w:rPr>
                <w:rFonts w:cs="Arial"/>
                <w:sz w:val="16"/>
                <w:szCs w:val="16"/>
                <w:lang w:val="ru-RU"/>
              </w:rPr>
            </w:pPr>
            <w:r w:rsidRPr="0055116C">
              <w:rPr>
                <w:sz w:val="16"/>
                <w:szCs w:val="16"/>
                <w:lang w:val="ru-RU"/>
              </w:rPr>
              <w:t>Все курсы имеются на всех языках ООН</w:t>
            </w:r>
          </w:p>
        </w:tc>
        <w:tc>
          <w:tcPr>
            <w:tcW w:w="1160" w:type="pct"/>
            <w:tcBorders>
              <w:top w:val="nil"/>
              <w:bottom w:val="nil"/>
            </w:tcBorders>
            <w:shd w:val="clear" w:color="auto" w:fill="FFFFFF"/>
            <w:tcMar>
              <w:top w:w="110" w:type="dxa"/>
            </w:tcMar>
          </w:tcPr>
          <w:p w:rsidR="0055116C" w:rsidRPr="00DF5DD8" w:rsidRDefault="0055116C" w:rsidP="0055116C">
            <w:pPr>
              <w:rPr>
                <w:rFonts w:cs="Arial"/>
                <w:sz w:val="16"/>
                <w:szCs w:val="16"/>
              </w:rPr>
            </w:pPr>
            <w:r w:rsidRPr="00DF5DD8">
              <w:rPr>
                <w:sz w:val="16"/>
                <w:szCs w:val="16"/>
              </w:rPr>
              <w:t>В 2014–2015 гг.:</w:t>
            </w:r>
          </w:p>
          <w:p w:rsidR="0055116C" w:rsidRPr="00DF5DD8" w:rsidRDefault="0055116C" w:rsidP="0055116C">
            <w:pPr>
              <w:rPr>
                <w:rFonts w:cs="Arial"/>
                <w:sz w:val="16"/>
                <w:szCs w:val="16"/>
              </w:rPr>
            </w:pPr>
          </w:p>
          <w:p w:rsidR="0055116C" w:rsidRPr="0055116C" w:rsidRDefault="0055116C" w:rsidP="0055116C">
            <w:pPr>
              <w:numPr>
                <w:ilvl w:val="0"/>
                <w:numId w:val="85"/>
              </w:numPr>
              <w:ind w:left="111" w:hanging="111"/>
              <w:rPr>
                <w:rFonts w:cs="Arial"/>
                <w:sz w:val="16"/>
                <w:szCs w:val="16"/>
                <w:lang w:val="ru-RU"/>
              </w:rPr>
            </w:pPr>
            <w:r w:rsidRPr="0055116C">
              <w:rPr>
                <w:sz w:val="16"/>
                <w:szCs w:val="16"/>
                <w:lang w:val="ru-RU"/>
              </w:rPr>
              <w:t>11</w:t>
            </w:r>
            <w:r>
              <w:rPr>
                <w:sz w:val="16"/>
                <w:szCs w:val="16"/>
              </w:rPr>
              <w:t> </w:t>
            </w:r>
            <w:r w:rsidRPr="0055116C">
              <w:rPr>
                <w:sz w:val="16"/>
                <w:szCs w:val="16"/>
                <w:lang w:val="ru-RU"/>
              </w:rPr>
              <w:t xml:space="preserve">курсов ДО имелись на всех 6 языках ООН и на португальском языке; </w:t>
            </w:r>
          </w:p>
          <w:p w:rsidR="0055116C" w:rsidRPr="0055116C" w:rsidRDefault="0055116C" w:rsidP="0055116C">
            <w:pPr>
              <w:ind w:left="111" w:hanging="111"/>
              <w:rPr>
                <w:rFonts w:cs="Arial"/>
                <w:sz w:val="16"/>
                <w:szCs w:val="16"/>
                <w:lang w:val="ru-RU"/>
              </w:rPr>
            </w:pPr>
          </w:p>
          <w:p w:rsidR="0055116C" w:rsidRPr="0055116C" w:rsidRDefault="0055116C" w:rsidP="0055116C">
            <w:pPr>
              <w:ind w:left="111" w:hanging="111"/>
              <w:rPr>
                <w:rFonts w:cs="Arial"/>
                <w:sz w:val="16"/>
                <w:szCs w:val="16"/>
                <w:lang w:val="ru-RU"/>
              </w:rPr>
            </w:pPr>
          </w:p>
          <w:p w:rsidR="0055116C" w:rsidRPr="0055116C" w:rsidRDefault="0055116C" w:rsidP="0055116C">
            <w:pPr>
              <w:ind w:left="111" w:hanging="111"/>
              <w:rPr>
                <w:rFonts w:cs="Arial"/>
                <w:sz w:val="16"/>
                <w:szCs w:val="16"/>
                <w:lang w:val="ru-RU"/>
              </w:rPr>
            </w:pPr>
          </w:p>
          <w:p w:rsidR="0055116C" w:rsidRPr="0055116C" w:rsidRDefault="0055116C" w:rsidP="0055116C">
            <w:pPr>
              <w:pStyle w:val="ListParagraph"/>
              <w:numPr>
                <w:ilvl w:val="0"/>
                <w:numId w:val="85"/>
              </w:numPr>
              <w:ind w:left="111" w:hanging="111"/>
              <w:rPr>
                <w:rFonts w:cs="Arial"/>
                <w:sz w:val="16"/>
                <w:szCs w:val="16"/>
                <w:lang w:val="ru-RU"/>
              </w:rPr>
            </w:pPr>
            <w:r w:rsidRPr="0055116C">
              <w:rPr>
                <w:sz w:val="16"/>
                <w:szCs w:val="16"/>
                <w:lang w:val="ru-RU"/>
              </w:rPr>
              <w:t>1 курс ДО имелся на 3</w:t>
            </w:r>
            <w:r>
              <w:rPr>
                <w:sz w:val="16"/>
                <w:szCs w:val="16"/>
              </w:rPr>
              <w:t> </w:t>
            </w:r>
            <w:r w:rsidRPr="0055116C">
              <w:rPr>
                <w:sz w:val="16"/>
                <w:szCs w:val="16"/>
                <w:lang w:val="ru-RU"/>
              </w:rPr>
              <w:t>языках ООН</w:t>
            </w:r>
            <w:r w:rsidRPr="00DF5DD8">
              <w:rPr>
                <w:rStyle w:val="FootnoteReference"/>
                <w:sz w:val="16"/>
                <w:szCs w:val="16"/>
              </w:rPr>
              <w:footnoteReference w:id="78"/>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r w:rsidRPr="0055116C">
              <w:rPr>
                <w:sz w:val="16"/>
                <w:szCs w:val="16"/>
                <w:lang w:val="ru-RU"/>
              </w:rPr>
              <w:t>79% слушателей углубленных курсов отметили, что участие в курсе ДО позволило им повысить эффективность своей профессиональной деятельности и/или улучшить свои учебные результаты.</w:t>
            </w:r>
          </w:p>
          <w:p w:rsidR="0055116C" w:rsidRPr="00DF5DD8" w:rsidRDefault="0055116C" w:rsidP="0055116C">
            <w:pPr>
              <w:pStyle w:val="ListParagraph"/>
              <w:numPr>
                <w:ilvl w:val="0"/>
                <w:numId w:val="87"/>
              </w:numPr>
              <w:rPr>
                <w:rFonts w:cs="Arial"/>
                <w:sz w:val="16"/>
                <w:szCs w:val="16"/>
              </w:rPr>
            </w:pPr>
            <w:r w:rsidRPr="00DF5DD8">
              <w:rPr>
                <w:sz w:val="16"/>
                <w:szCs w:val="16"/>
              </w:rPr>
              <w:t>78% (2014 г.)</w:t>
            </w:r>
          </w:p>
          <w:p w:rsidR="0055116C" w:rsidRPr="00DF5DD8" w:rsidRDefault="0055116C" w:rsidP="0055116C">
            <w:pPr>
              <w:pStyle w:val="ListParagraph"/>
              <w:numPr>
                <w:ilvl w:val="0"/>
                <w:numId w:val="87"/>
              </w:numPr>
              <w:rPr>
                <w:rFonts w:cs="Arial"/>
                <w:sz w:val="16"/>
                <w:szCs w:val="16"/>
              </w:rPr>
            </w:pPr>
            <w:r w:rsidRPr="00DF5DD8">
              <w:rPr>
                <w:sz w:val="16"/>
                <w:szCs w:val="16"/>
              </w:rPr>
              <w:t>81% (2015 г.)</w:t>
            </w:r>
          </w:p>
        </w:tc>
        <w:tc>
          <w:tcPr>
            <w:tcW w:w="615" w:type="pct"/>
            <w:tcBorders>
              <w:top w:val="nil"/>
              <w:bottom w:val="nil"/>
              <w:right w:val="single" w:sz="4" w:space="0" w:color="auto"/>
            </w:tcBorders>
            <w:shd w:val="clear" w:color="auto" w:fill="auto"/>
            <w:tcMar>
              <w:top w:w="110" w:type="dxa"/>
            </w:tcMar>
          </w:tcPr>
          <w:p w:rsidR="0055116C" w:rsidRPr="00DF5DD8" w:rsidRDefault="0055116C" w:rsidP="0055116C">
            <w:pPr>
              <w:jc w:val="center"/>
              <w:rPr>
                <w:rFonts w:cs="Arial"/>
                <w:b/>
                <w:bCs/>
                <w:color w:val="00B050"/>
                <w:sz w:val="16"/>
                <w:szCs w:val="16"/>
              </w:rPr>
            </w:pPr>
            <w:r w:rsidRPr="00DF5DD8">
              <w:rPr>
                <w:b/>
                <w:color w:val="00B050"/>
                <w:sz w:val="16"/>
                <w:szCs w:val="16"/>
              </w:rPr>
              <w:t>Выполнено</w:t>
            </w: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p w:rsidR="0055116C" w:rsidRPr="00DF5DD8" w:rsidRDefault="0055116C" w:rsidP="0055116C">
            <w:pPr>
              <w:jc w:val="center"/>
              <w:rPr>
                <w:rFonts w:cs="Arial"/>
                <w:b/>
                <w:bCs/>
                <w:color w:val="00B050"/>
                <w:sz w:val="16"/>
                <w:szCs w:val="16"/>
              </w:rPr>
            </w:pPr>
          </w:p>
        </w:tc>
      </w:tr>
      <w:tr w:rsidR="0055116C" w:rsidRPr="00DF5DD8" w:rsidTr="00FE4E8D">
        <w:tc>
          <w:tcPr>
            <w:tcW w:w="1070" w:type="pct"/>
            <w:tcBorders>
              <w:top w:val="nil"/>
              <w:left w:val="single" w:sz="4" w:space="0" w:color="auto"/>
              <w:bottom w:val="nil"/>
            </w:tcBorders>
            <w:shd w:val="clear" w:color="auto" w:fill="auto"/>
          </w:tcPr>
          <w:p w:rsidR="0055116C" w:rsidRPr="0055116C" w:rsidRDefault="0055116C" w:rsidP="0055116C">
            <w:pPr>
              <w:rPr>
                <w:rFonts w:cs="Arial"/>
                <w:sz w:val="16"/>
                <w:szCs w:val="16"/>
                <w:lang w:val="ru-RU"/>
              </w:rPr>
            </w:pPr>
            <w:r w:rsidRPr="0055116C">
              <w:rPr>
                <w:sz w:val="16"/>
                <w:szCs w:val="16"/>
                <w:lang w:val="ru-RU"/>
              </w:rPr>
              <w:t xml:space="preserve">Улучшение доступа к высшему образованию в сфере ИС для развивающихся стран, НРС и стран с переходной экономикой / число университетов в развивающихся странах, НРС и странах с переходной экономикой, в которых предлагаются новые образовательные программы в сфере ИС </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tc>
        <w:tc>
          <w:tcPr>
            <w:tcW w:w="1366" w:type="pct"/>
            <w:tcBorders>
              <w:top w:val="nil"/>
              <w:bottom w:val="nil"/>
            </w:tcBorders>
            <w:shd w:val="clear" w:color="auto" w:fill="auto"/>
          </w:tcPr>
          <w:p w:rsidR="0055116C" w:rsidRPr="0055116C" w:rsidRDefault="0055116C" w:rsidP="0055116C">
            <w:pPr>
              <w:rPr>
                <w:rFonts w:cs="Arial"/>
                <w:i/>
                <w:color w:val="002060"/>
                <w:sz w:val="16"/>
                <w:szCs w:val="16"/>
                <w:lang w:val="ru-RU"/>
              </w:rPr>
            </w:pPr>
            <w:r w:rsidRPr="0055116C">
              <w:rPr>
                <w:sz w:val="16"/>
                <w:szCs w:val="16"/>
                <w:lang w:val="ru-RU"/>
              </w:rPr>
              <w:t>В настоящее время обучение университетского уровня по тематике ИС организовано лишь в нескольких развивающихся странах, НРС и странах с переходной экономикой; ВОИС организовала обучение по тематике ИС на уровне магистратуры совместно с 7</w:t>
            </w:r>
            <w:r>
              <w:rPr>
                <w:sz w:val="16"/>
                <w:szCs w:val="16"/>
              </w:rPr>
              <w:t> </w:t>
            </w:r>
            <w:r w:rsidRPr="0055116C">
              <w:rPr>
                <w:sz w:val="16"/>
                <w:szCs w:val="16"/>
                <w:lang w:val="ru-RU"/>
              </w:rPr>
              <w:t>университетами (включая 2</w:t>
            </w:r>
            <w:r>
              <w:rPr>
                <w:sz w:val="16"/>
                <w:szCs w:val="16"/>
              </w:rPr>
              <w:t> </w:t>
            </w:r>
            <w:r w:rsidRPr="0055116C">
              <w:rPr>
                <w:sz w:val="16"/>
                <w:szCs w:val="16"/>
                <w:lang w:val="ru-RU"/>
              </w:rPr>
              <w:t>университета в Африке и 1</w:t>
            </w:r>
            <w:r>
              <w:rPr>
                <w:sz w:val="16"/>
                <w:szCs w:val="16"/>
              </w:rPr>
              <w:t> </w:t>
            </w:r>
            <w:r w:rsidRPr="0055116C">
              <w:rPr>
                <w:sz w:val="16"/>
                <w:szCs w:val="16"/>
                <w:lang w:val="ru-RU"/>
              </w:rPr>
              <w:t>университет в Латинской Америке)</w:t>
            </w:r>
          </w:p>
        </w:tc>
        <w:tc>
          <w:tcPr>
            <w:tcW w:w="789" w:type="pct"/>
            <w:tcBorders>
              <w:top w:val="nil"/>
              <w:bottom w:val="nil"/>
            </w:tcBorders>
            <w:shd w:val="clear" w:color="auto" w:fill="auto"/>
            <w:tcMar>
              <w:top w:w="110" w:type="dxa"/>
            </w:tcMar>
          </w:tcPr>
          <w:p w:rsidR="0055116C" w:rsidRPr="0055116C" w:rsidRDefault="0055116C" w:rsidP="0055116C">
            <w:pPr>
              <w:autoSpaceDE w:val="0"/>
              <w:autoSpaceDN w:val="0"/>
              <w:adjustRightInd w:val="0"/>
              <w:rPr>
                <w:rFonts w:cs="Arial"/>
                <w:sz w:val="16"/>
                <w:szCs w:val="16"/>
                <w:lang w:val="ru-RU"/>
              </w:rPr>
            </w:pPr>
            <w:r w:rsidRPr="0055116C">
              <w:rPr>
                <w:sz w:val="16"/>
                <w:szCs w:val="16"/>
                <w:lang w:val="ru-RU"/>
              </w:rPr>
              <w:t>До конца двухлетнего периода новые программы обучения в области ИС будут созданы в пяти университетах развивающихся стран, НРС и стран с переходной экономикой</w:t>
            </w:r>
          </w:p>
        </w:tc>
        <w:tc>
          <w:tcPr>
            <w:tcW w:w="1160" w:type="pct"/>
            <w:tcBorders>
              <w:top w:val="nil"/>
              <w:bottom w:val="nil"/>
            </w:tcBorders>
            <w:shd w:val="clear" w:color="auto" w:fill="FFFFFF"/>
            <w:tcMar>
              <w:top w:w="110" w:type="dxa"/>
            </w:tcMar>
          </w:tcPr>
          <w:p w:rsidR="0055116C" w:rsidRPr="0055116C" w:rsidRDefault="0055116C" w:rsidP="0055116C">
            <w:pPr>
              <w:rPr>
                <w:sz w:val="16"/>
                <w:szCs w:val="16"/>
                <w:lang w:val="ru-RU"/>
              </w:rPr>
            </w:pPr>
            <w:r w:rsidRPr="0055116C">
              <w:rPr>
                <w:sz w:val="16"/>
                <w:szCs w:val="16"/>
                <w:lang w:val="ru-RU"/>
              </w:rPr>
              <w:t>К концу 2015 г. появились три новые программы: одна в Институте управления в Бангладеш и две в Африканском университете.</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r w:rsidRPr="0055116C">
              <w:rPr>
                <w:sz w:val="16"/>
                <w:szCs w:val="16"/>
                <w:lang w:val="ru-RU"/>
              </w:rPr>
              <w:t>Кроме того, пять университетов внесли улучшения в действующие программы по ИС:</w:t>
            </w:r>
          </w:p>
          <w:p w:rsidR="0055116C" w:rsidRPr="00DF5DD8" w:rsidRDefault="0055116C" w:rsidP="0055116C">
            <w:pPr>
              <w:pStyle w:val="ListParagraph"/>
              <w:numPr>
                <w:ilvl w:val="0"/>
                <w:numId w:val="89"/>
              </w:numPr>
              <w:rPr>
                <w:rFonts w:cs="Arial"/>
                <w:sz w:val="16"/>
                <w:szCs w:val="16"/>
              </w:rPr>
            </w:pPr>
            <w:r w:rsidRPr="00DF5DD8">
              <w:rPr>
                <w:sz w:val="16"/>
                <w:szCs w:val="16"/>
              </w:rPr>
              <w:t>Университет Буэнос-Айреса, Аргентина</w:t>
            </w:r>
            <w:r>
              <w:rPr>
                <w:sz w:val="16"/>
                <w:szCs w:val="16"/>
              </w:rPr>
              <w:t>;</w:t>
            </w:r>
          </w:p>
          <w:p w:rsidR="0055116C" w:rsidRPr="00DF5DD8" w:rsidRDefault="0055116C" w:rsidP="0055116C">
            <w:pPr>
              <w:pStyle w:val="ListParagraph"/>
              <w:numPr>
                <w:ilvl w:val="0"/>
                <w:numId w:val="89"/>
              </w:numPr>
              <w:rPr>
                <w:rFonts w:cs="Arial"/>
                <w:sz w:val="16"/>
                <w:szCs w:val="16"/>
              </w:rPr>
            </w:pPr>
            <w:r w:rsidRPr="00DF5DD8">
              <w:rPr>
                <w:sz w:val="16"/>
                <w:szCs w:val="16"/>
              </w:rPr>
              <w:t>Центральный университет Венесуэлы</w:t>
            </w:r>
            <w:r>
              <w:rPr>
                <w:sz w:val="16"/>
                <w:szCs w:val="16"/>
              </w:rPr>
              <w:t>;</w:t>
            </w:r>
          </w:p>
          <w:p w:rsidR="0055116C" w:rsidRPr="00DF5DD8" w:rsidRDefault="0055116C" w:rsidP="0055116C">
            <w:pPr>
              <w:pStyle w:val="ListParagraph"/>
              <w:numPr>
                <w:ilvl w:val="0"/>
                <w:numId w:val="89"/>
              </w:numPr>
              <w:rPr>
                <w:rFonts w:cs="Arial"/>
                <w:sz w:val="16"/>
                <w:szCs w:val="16"/>
              </w:rPr>
            </w:pPr>
            <w:r w:rsidRPr="00DF5DD8">
              <w:rPr>
                <w:sz w:val="16"/>
                <w:szCs w:val="16"/>
              </w:rPr>
              <w:t>Университет Аликанте, Испания</w:t>
            </w:r>
            <w:r>
              <w:rPr>
                <w:sz w:val="16"/>
                <w:szCs w:val="16"/>
              </w:rPr>
              <w:t>;</w:t>
            </w:r>
          </w:p>
          <w:p w:rsidR="0055116C" w:rsidRPr="0055116C" w:rsidRDefault="0055116C" w:rsidP="0055116C">
            <w:pPr>
              <w:pStyle w:val="ListParagraph"/>
              <w:numPr>
                <w:ilvl w:val="0"/>
                <w:numId w:val="89"/>
              </w:numPr>
              <w:rPr>
                <w:rFonts w:cs="Arial"/>
                <w:sz w:val="16"/>
                <w:szCs w:val="16"/>
                <w:lang w:val="ru-RU"/>
              </w:rPr>
            </w:pPr>
            <w:r w:rsidRPr="0055116C">
              <w:rPr>
                <w:sz w:val="16"/>
                <w:szCs w:val="16"/>
                <w:lang w:val="ru-RU"/>
              </w:rPr>
              <w:t>два индонезийских университета (Университет Паджаджаран и Индонезийский университет).</w:t>
            </w:r>
          </w:p>
          <w:p w:rsidR="0055116C" w:rsidRPr="0055116C" w:rsidRDefault="0055116C" w:rsidP="0055116C">
            <w:pPr>
              <w:pStyle w:val="ListParagraph"/>
              <w:ind w:left="360"/>
              <w:rPr>
                <w:rFonts w:cs="Arial"/>
                <w:sz w:val="16"/>
                <w:szCs w:val="16"/>
                <w:lang w:val="ru-RU"/>
              </w:rPr>
            </w:pPr>
          </w:p>
          <w:p w:rsidR="0055116C" w:rsidRPr="0055116C" w:rsidRDefault="0055116C" w:rsidP="0055116C">
            <w:pPr>
              <w:rPr>
                <w:rFonts w:cs="Arial"/>
                <w:sz w:val="16"/>
                <w:szCs w:val="16"/>
                <w:lang w:val="ru-RU"/>
              </w:rPr>
            </w:pPr>
            <w:r w:rsidRPr="0055116C">
              <w:rPr>
                <w:sz w:val="16"/>
                <w:szCs w:val="16"/>
                <w:lang w:val="ru-RU"/>
              </w:rPr>
              <w:t>Два университета доработали или завершили работу над новым курсами или программами, которые должны быть запущены в 2016</w:t>
            </w:r>
            <w:r w:rsidRPr="00DF5DD8">
              <w:rPr>
                <w:sz w:val="16"/>
                <w:szCs w:val="16"/>
              </w:rPr>
              <w:t> </w:t>
            </w:r>
            <w:r w:rsidRPr="0055116C">
              <w:rPr>
                <w:sz w:val="16"/>
                <w:szCs w:val="16"/>
                <w:lang w:val="ru-RU"/>
              </w:rPr>
              <w:t>г.:</w:t>
            </w:r>
          </w:p>
          <w:p w:rsidR="0055116C" w:rsidRPr="0055116C" w:rsidRDefault="0055116C" w:rsidP="0055116C">
            <w:pPr>
              <w:pStyle w:val="ListParagraph"/>
              <w:ind w:left="360"/>
              <w:rPr>
                <w:rFonts w:cs="Arial"/>
                <w:sz w:val="16"/>
                <w:szCs w:val="16"/>
                <w:lang w:val="ru-RU"/>
              </w:rPr>
            </w:pPr>
            <w:r w:rsidRPr="0055116C">
              <w:rPr>
                <w:sz w:val="16"/>
                <w:szCs w:val="16"/>
                <w:lang w:val="ru-RU"/>
              </w:rPr>
              <w:t>Университет Вест-Индии, кампус Мона, Ямайка (новая магистерская программа по ИС в творческих отраслях и отраслях культуры);</w:t>
            </w:r>
          </w:p>
          <w:p w:rsidR="0055116C" w:rsidRPr="0055116C" w:rsidRDefault="0055116C" w:rsidP="0055116C">
            <w:pPr>
              <w:pStyle w:val="ListParagraph"/>
              <w:numPr>
                <w:ilvl w:val="0"/>
                <w:numId w:val="88"/>
              </w:numPr>
              <w:rPr>
                <w:rFonts w:cs="Arial"/>
                <w:sz w:val="16"/>
                <w:szCs w:val="16"/>
                <w:lang w:val="ru-RU"/>
              </w:rPr>
            </w:pPr>
            <w:r w:rsidRPr="0055116C">
              <w:rPr>
                <w:sz w:val="16"/>
                <w:szCs w:val="16"/>
                <w:lang w:val="ru-RU"/>
              </w:rPr>
              <w:t xml:space="preserve">Университет Ботсваны, Ботсвана (новый курс по праву и исследованиям в области ИС; внесение улучшений в курсы по праву ИС </w:t>
            </w:r>
            <w:r w:rsidRPr="00DF5DD8">
              <w:rPr>
                <w:sz w:val="16"/>
                <w:szCs w:val="16"/>
              </w:rPr>
              <w:t>I</w:t>
            </w:r>
            <w:r w:rsidRPr="0055116C">
              <w:rPr>
                <w:sz w:val="16"/>
                <w:szCs w:val="16"/>
                <w:lang w:val="ru-RU"/>
              </w:rPr>
              <w:t xml:space="preserve"> и </w:t>
            </w:r>
            <w:r w:rsidRPr="00DF5DD8">
              <w:rPr>
                <w:sz w:val="16"/>
                <w:szCs w:val="16"/>
              </w:rPr>
              <w:t>II</w:t>
            </w:r>
            <w:r w:rsidRPr="0055116C">
              <w:rPr>
                <w:sz w:val="16"/>
                <w:szCs w:val="16"/>
                <w:lang w:val="ru-RU"/>
              </w:rPr>
              <w:t>).</w:t>
            </w:r>
          </w:p>
          <w:p w:rsidR="0055116C" w:rsidRPr="0055116C" w:rsidRDefault="0055116C" w:rsidP="0055116C">
            <w:pPr>
              <w:pStyle w:val="ListParagraph"/>
              <w:ind w:left="360"/>
              <w:rPr>
                <w:rFonts w:cs="Arial"/>
                <w:sz w:val="16"/>
                <w:szCs w:val="16"/>
                <w:lang w:val="ru-RU"/>
              </w:rPr>
            </w:pPr>
          </w:p>
        </w:tc>
        <w:tc>
          <w:tcPr>
            <w:tcW w:w="615" w:type="pct"/>
            <w:tcBorders>
              <w:top w:val="nil"/>
              <w:bottom w:val="nil"/>
              <w:right w:val="single" w:sz="4" w:space="0" w:color="auto"/>
            </w:tcBorders>
            <w:shd w:val="clear" w:color="auto" w:fill="auto"/>
            <w:tcMar>
              <w:top w:w="110" w:type="dxa"/>
            </w:tcMar>
          </w:tcPr>
          <w:p w:rsidR="0055116C" w:rsidRPr="00DF5DD8" w:rsidRDefault="0055116C" w:rsidP="0055116C">
            <w:pPr>
              <w:jc w:val="center"/>
              <w:rPr>
                <w:rFonts w:cs="Arial"/>
                <w:b/>
                <w:bCs/>
                <w:color w:val="00B050"/>
                <w:sz w:val="16"/>
                <w:szCs w:val="16"/>
              </w:rPr>
            </w:pPr>
            <w:r w:rsidRPr="00DF5DD8">
              <w:rPr>
                <w:b/>
                <w:color w:val="F79646" w:themeColor="accent6"/>
                <w:sz w:val="16"/>
                <w:szCs w:val="16"/>
              </w:rPr>
              <w:t xml:space="preserve">Частично выполнено  </w:t>
            </w:r>
          </w:p>
        </w:tc>
      </w:tr>
      <w:tr w:rsidR="0055116C" w:rsidRPr="00DF5DD8" w:rsidTr="00FE4E8D">
        <w:tc>
          <w:tcPr>
            <w:tcW w:w="1070" w:type="pct"/>
            <w:tcBorders>
              <w:top w:val="nil"/>
              <w:left w:val="single" w:sz="4" w:space="0" w:color="auto"/>
              <w:bottom w:val="nil"/>
            </w:tcBorders>
            <w:shd w:val="clear" w:color="auto" w:fill="auto"/>
          </w:tcPr>
          <w:p w:rsidR="0055116C" w:rsidRPr="0055116C" w:rsidRDefault="0055116C" w:rsidP="0055116C">
            <w:pPr>
              <w:rPr>
                <w:rFonts w:cs="Arial"/>
                <w:sz w:val="16"/>
                <w:szCs w:val="16"/>
                <w:lang w:val="ru-RU"/>
              </w:rPr>
            </w:pPr>
            <w:r w:rsidRPr="0055116C">
              <w:rPr>
                <w:sz w:val="16"/>
                <w:szCs w:val="16"/>
                <w:lang w:val="ru-RU"/>
              </w:rPr>
              <w:t>Работа по созданию сети экспертов в сфере ИС в развивающихся странах, НРС и странах с переходной экономикой</w:t>
            </w:r>
          </w:p>
        </w:tc>
        <w:tc>
          <w:tcPr>
            <w:tcW w:w="1366" w:type="pct"/>
            <w:tcBorders>
              <w:top w:val="nil"/>
              <w:bottom w:val="nil"/>
            </w:tcBorders>
            <w:shd w:val="clear" w:color="auto" w:fill="auto"/>
          </w:tcPr>
          <w:p w:rsidR="0055116C" w:rsidRPr="0055116C" w:rsidRDefault="0055116C" w:rsidP="0055116C">
            <w:pPr>
              <w:rPr>
                <w:color w:val="002060"/>
                <w:sz w:val="16"/>
                <w:szCs w:val="16"/>
                <w:lang w:val="ru-RU"/>
              </w:rPr>
            </w:pPr>
            <w:r w:rsidRPr="0055116C">
              <w:rPr>
                <w:i/>
                <w:color w:val="002060"/>
                <w:sz w:val="16"/>
                <w:szCs w:val="16"/>
                <w:lang w:val="ru-RU"/>
              </w:rPr>
              <w:t>Обновленные базовые показатели, конец 2013</w:t>
            </w:r>
            <w:r w:rsidRPr="00DF5DD8">
              <w:rPr>
                <w:i/>
                <w:color w:val="002060"/>
                <w:sz w:val="16"/>
                <w:szCs w:val="16"/>
              </w:rPr>
              <w:t> </w:t>
            </w:r>
            <w:r w:rsidRPr="0055116C">
              <w:rPr>
                <w:i/>
                <w:color w:val="002060"/>
                <w:sz w:val="16"/>
                <w:szCs w:val="16"/>
                <w:lang w:val="ru-RU"/>
              </w:rPr>
              <w:t xml:space="preserve">г.:  </w:t>
            </w:r>
            <w:r w:rsidRPr="0055116C">
              <w:rPr>
                <w:color w:val="002060"/>
                <w:sz w:val="16"/>
                <w:szCs w:val="16"/>
                <w:lang w:val="ru-RU"/>
              </w:rPr>
              <w:t xml:space="preserve">326 ученых – членов АТРИП из развивающихся стран, НРС и стран с переходной экономикой </w:t>
            </w:r>
          </w:p>
          <w:p w:rsidR="0055116C" w:rsidRPr="0055116C" w:rsidRDefault="0055116C" w:rsidP="0055116C">
            <w:pPr>
              <w:rPr>
                <w:rFonts w:cs="Arial"/>
                <w:color w:val="002060"/>
                <w:sz w:val="16"/>
                <w:szCs w:val="16"/>
                <w:lang w:val="ru-RU"/>
              </w:rPr>
            </w:pPr>
          </w:p>
          <w:p w:rsidR="0055116C" w:rsidRPr="0055116C" w:rsidRDefault="0055116C" w:rsidP="0055116C">
            <w:pPr>
              <w:rPr>
                <w:rFonts w:cs="Arial"/>
                <w:i/>
                <w:color w:val="002060"/>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w:t>
            </w:r>
            <w:r w:rsidRPr="0055116C">
              <w:rPr>
                <w:sz w:val="16"/>
                <w:szCs w:val="16"/>
                <w:lang w:val="ru-RU"/>
              </w:rPr>
              <w:t xml:space="preserve">  число преподавателей – членов АТРИП из развивающихся стран, НРС и стран с переходной экономикой</w:t>
            </w:r>
          </w:p>
        </w:tc>
        <w:tc>
          <w:tcPr>
            <w:tcW w:w="789" w:type="pct"/>
            <w:tcBorders>
              <w:top w:val="nil"/>
              <w:bottom w:val="nil"/>
            </w:tcBorders>
            <w:shd w:val="clear" w:color="auto" w:fill="auto"/>
            <w:tcMar>
              <w:top w:w="110" w:type="dxa"/>
            </w:tcMar>
          </w:tcPr>
          <w:p w:rsidR="0055116C" w:rsidRPr="00DF5DD8" w:rsidRDefault="0055116C" w:rsidP="0055116C">
            <w:pPr>
              <w:autoSpaceDE w:val="0"/>
              <w:autoSpaceDN w:val="0"/>
              <w:adjustRightInd w:val="0"/>
              <w:rPr>
                <w:rFonts w:cs="Arial"/>
                <w:sz w:val="16"/>
                <w:szCs w:val="16"/>
              </w:rPr>
            </w:pPr>
            <w:r w:rsidRPr="00DF5DD8">
              <w:rPr>
                <w:sz w:val="16"/>
                <w:szCs w:val="16"/>
              </w:rPr>
              <w:t>Превышение базового показателя на 15%</w:t>
            </w:r>
          </w:p>
        </w:tc>
        <w:tc>
          <w:tcPr>
            <w:tcW w:w="1160" w:type="pct"/>
            <w:tcBorders>
              <w:top w:val="nil"/>
              <w:bottom w:val="nil"/>
            </w:tcBorders>
            <w:shd w:val="clear" w:color="auto" w:fill="FFFFFF"/>
            <w:tcMar>
              <w:top w:w="110" w:type="dxa"/>
            </w:tcMar>
          </w:tcPr>
          <w:p w:rsidR="0055116C" w:rsidRPr="0055116C" w:rsidRDefault="0055116C" w:rsidP="0055116C">
            <w:pPr>
              <w:rPr>
                <w:rFonts w:cs="Arial"/>
                <w:sz w:val="16"/>
                <w:szCs w:val="16"/>
                <w:lang w:val="ru-RU"/>
              </w:rPr>
            </w:pPr>
            <w:r w:rsidRPr="0055116C">
              <w:rPr>
                <w:sz w:val="16"/>
                <w:szCs w:val="16"/>
                <w:lang w:val="ru-RU"/>
              </w:rPr>
              <w:t>397 ученых из развивающихся стран, НРС и стран с переходной экономикой, которые являются членами АТРИП, согласно данным АТРИП (рост на 22% по сравнению с 2012–2013 гг.)</w:t>
            </w:r>
          </w:p>
        </w:tc>
        <w:tc>
          <w:tcPr>
            <w:tcW w:w="615" w:type="pct"/>
            <w:tcBorders>
              <w:top w:val="nil"/>
              <w:bottom w:val="nil"/>
              <w:right w:val="single" w:sz="4" w:space="0" w:color="auto"/>
            </w:tcBorders>
            <w:shd w:val="clear" w:color="auto" w:fill="auto"/>
            <w:tcMar>
              <w:top w:w="110" w:type="dxa"/>
            </w:tcMar>
          </w:tcPr>
          <w:p w:rsidR="0055116C" w:rsidRPr="00DF5DD8" w:rsidRDefault="0055116C" w:rsidP="0055116C">
            <w:pPr>
              <w:jc w:val="center"/>
              <w:rPr>
                <w:rFonts w:cs="Arial"/>
                <w:b/>
                <w:bCs/>
                <w:color w:val="00B050"/>
                <w:sz w:val="16"/>
                <w:szCs w:val="16"/>
              </w:rPr>
            </w:pPr>
            <w:r w:rsidRPr="00DF5DD8">
              <w:rPr>
                <w:b/>
                <w:color w:val="00B050"/>
                <w:sz w:val="16"/>
                <w:szCs w:val="16"/>
              </w:rPr>
              <w:t>Выполнено</w:t>
            </w:r>
          </w:p>
        </w:tc>
      </w:tr>
      <w:tr w:rsidR="0055116C" w:rsidRPr="00DF5DD8" w:rsidTr="00FE4E8D">
        <w:tc>
          <w:tcPr>
            <w:tcW w:w="1070" w:type="pct"/>
            <w:tcBorders>
              <w:top w:val="nil"/>
              <w:left w:val="single" w:sz="4" w:space="0" w:color="auto"/>
              <w:bottom w:val="single" w:sz="4" w:space="0" w:color="auto"/>
            </w:tcBorders>
            <w:shd w:val="clear" w:color="auto" w:fill="auto"/>
          </w:tcPr>
          <w:p w:rsidR="0055116C" w:rsidRPr="0055116C" w:rsidRDefault="0055116C" w:rsidP="0055116C">
            <w:pPr>
              <w:rPr>
                <w:rFonts w:cs="Arial"/>
                <w:sz w:val="16"/>
                <w:szCs w:val="16"/>
                <w:lang w:val="ru-RU"/>
              </w:rPr>
            </w:pPr>
            <w:r w:rsidRPr="0055116C">
              <w:rPr>
                <w:sz w:val="16"/>
                <w:szCs w:val="16"/>
                <w:lang w:val="ru-RU"/>
              </w:rPr>
              <w:t>Число новых проектов по созданию академий ИС, начатых после завершения экспериментального этапа</w:t>
            </w:r>
          </w:p>
          <w:p w:rsidR="0055116C" w:rsidRPr="0055116C" w:rsidRDefault="0055116C" w:rsidP="0055116C">
            <w:pPr>
              <w:rPr>
                <w:rFonts w:cs="Arial"/>
                <w:sz w:val="16"/>
                <w:szCs w:val="16"/>
                <w:lang w:val="ru-RU"/>
              </w:rPr>
            </w:pPr>
          </w:p>
        </w:tc>
        <w:tc>
          <w:tcPr>
            <w:tcW w:w="1366" w:type="pct"/>
            <w:tcBorders>
              <w:top w:val="nil"/>
              <w:bottom w:val="single" w:sz="4" w:space="0" w:color="auto"/>
            </w:tcBorders>
            <w:shd w:val="clear" w:color="auto" w:fill="auto"/>
          </w:tcPr>
          <w:p w:rsidR="0055116C" w:rsidRPr="0055116C" w:rsidRDefault="0055116C" w:rsidP="0055116C">
            <w:pPr>
              <w:rPr>
                <w:rFonts w:cs="Arial"/>
                <w:sz w:val="16"/>
                <w:szCs w:val="16"/>
                <w:lang w:val="ru-RU"/>
              </w:rPr>
            </w:pPr>
            <w:r w:rsidRPr="0055116C">
              <w:rPr>
                <w:i/>
                <w:color w:val="002060"/>
                <w:sz w:val="16"/>
                <w:szCs w:val="16"/>
                <w:lang w:val="ru-RU"/>
              </w:rPr>
              <w:t>Обновленные базовые показатели, конец 2013</w:t>
            </w:r>
            <w:r w:rsidRPr="00DF5DD8">
              <w:rPr>
                <w:i/>
                <w:color w:val="002060"/>
                <w:sz w:val="16"/>
                <w:szCs w:val="16"/>
              </w:rPr>
              <w:t> </w:t>
            </w:r>
            <w:r w:rsidRPr="0055116C">
              <w:rPr>
                <w:i/>
                <w:color w:val="002060"/>
                <w:sz w:val="16"/>
                <w:szCs w:val="16"/>
                <w:lang w:val="ru-RU"/>
              </w:rPr>
              <w:t xml:space="preserve">г.:  </w:t>
            </w:r>
            <w:r w:rsidRPr="0055116C">
              <w:rPr>
                <w:sz w:val="16"/>
                <w:szCs w:val="16"/>
                <w:lang w:val="ru-RU"/>
              </w:rPr>
              <w:t xml:space="preserve"> </w:t>
            </w:r>
            <w:r w:rsidRPr="0055116C">
              <w:rPr>
                <w:color w:val="002060"/>
                <w:sz w:val="16"/>
                <w:szCs w:val="16"/>
                <w:lang w:val="ru-RU"/>
              </w:rPr>
              <w:t xml:space="preserve">этап </w:t>
            </w:r>
            <w:r w:rsidRPr="00DF5DD8">
              <w:rPr>
                <w:color w:val="002060"/>
                <w:sz w:val="16"/>
                <w:szCs w:val="16"/>
              </w:rPr>
              <w:t>II</w:t>
            </w:r>
            <w:r w:rsidRPr="0055116C">
              <w:rPr>
                <w:color w:val="002060"/>
                <w:sz w:val="16"/>
                <w:szCs w:val="16"/>
                <w:lang w:val="ru-RU"/>
              </w:rPr>
              <w:t xml:space="preserve"> пилотного этапа проекта не был завершен до конца 2013</w:t>
            </w:r>
            <w:r>
              <w:rPr>
                <w:color w:val="002060"/>
                <w:sz w:val="16"/>
                <w:szCs w:val="16"/>
              </w:rPr>
              <w:t> </w:t>
            </w:r>
            <w:r w:rsidRPr="0055116C">
              <w:rPr>
                <w:color w:val="002060"/>
                <w:sz w:val="16"/>
                <w:szCs w:val="16"/>
                <w:lang w:val="ru-RU"/>
              </w:rPr>
              <w:t>г.</w:t>
            </w:r>
          </w:p>
          <w:p w:rsidR="0055116C" w:rsidRPr="0055116C" w:rsidRDefault="0055116C" w:rsidP="0055116C">
            <w:pPr>
              <w:rPr>
                <w:rFonts w:cs="Arial"/>
                <w:color w:val="002060"/>
                <w:sz w:val="16"/>
                <w:szCs w:val="16"/>
                <w:lang w:val="ru-RU"/>
              </w:rPr>
            </w:pPr>
          </w:p>
          <w:p w:rsidR="0055116C" w:rsidRPr="0055116C" w:rsidRDefault="0055116C" w:rsidP="0055116C">
            <w:pPr>
              <w:rPr>
                <w:rFonts w:cs="Arial"/>
                <w:i/>
                <w:color w:val="002060"/>
                <w:sz w:val="16"/>
                <w:szCs w:val="16"/>
                <w:lang w:val="ru-RU"/>
              </w:rPr>
            </w:pPr>
            <w:r w:rsidRPr="0055116C">
              <w:rPr>
                <w:i/>
                <w:sz w:val="16"/>
                <w:szCs w:val="16"/>
                <w:lang w:val="ru-RU"/>
              </w:rPr>
              <w:t>Исходные базовые показатели ПиБ на 2014–2015 гг.:</w:t>
            </w:r>
            <w:r w:rsidRPr="0055116C">
              <w:rPr>
                <w:sz w:val="16"/>
                <w:szCs w:val="16"/>
                <w:lang w:val="ru-RU"/>
              </w:rPr>
              <w:t xml:space="preserve">  0</w:t>
            </w:r>
          </w:p>
        </w:tc>
        <w:tc>
          <w:tcPr>
            <w:tcW w:w="789" w:type="pct"/>
            <w:tcBorders>
              <w:top w:val="nil"/>
              <w:bottom w:val="single" w:sz="4" w:space="0" w:color="auto"/>
            </w:tcBorders>
            <w:shd w:val="clear" w:color="auto" w:fill="auto"/>
            <w:tcMar>
              <w:top w:w="110" w:type="dxa"/>
            </w:tcMar>
          </w:tcPr>
          <w:p w:rsidR="0055116C" w:rsidRPr="00DF5DD8" w:rsidRDefault="0055116C" w:rsidP="0055116C">
            <w:pPr>
              <w:autoSpaceDE w:val="0"/>
              <w:autoSpaceDN w:val="0"/>
              <w:adjustRightInd w:val="0"/>
              <w:rPr>
                <w:rFonts w:cs="Arial"/>
                <w:sz w:val="16"/>
                <w:szCs w:val="16"/>
              </w:rPr>
            </w:pPr>
            <w:r w:rsidRPr="00DF5DD8">
              <w:rPr>
                <w:sz w:val="16"/>
                <w:szCs w:val="16"/>
              </w:rPr>
              <w:t>4</w:t>
            </w:r>
          </w:p>
        </w:tc>
        <w:tc>
          <w:tcPr>
            <w:tcW w:w="1160" w:type="pct"/>
            <w:tcBorders>
              <w:top w:val="nil"/>
              <w:bottom w:val="single" w:sz="4" w:space="0" w:color="auto"/>
            </w:tcBorders>
            <w:shd w:val="clear" w:color="auto" w:fill="FFFFFF"/>
            <w:tcMar>
              <w:top w:w="110" w:type="dxa"/>
            </w:tcMar>
          </w:tcPr>
          <w:p w:rsidR="0055116C" w:rsidRPr="0055116C" w:rsidRDefault="0055116C" w:rsidP="0055116C">
            <w:pPr>
              <w:rPr>
                <w:rFonts w:cs="Arial"/>
                <w:sz w:val="16"/>
                <w:szCs w:val="16"/>
                <w:lang w:val="ru-RU"/>
              </w:rPr>
            </w:pPr>
            <w:r w:rsidRPr="0055116C">
              <w:rPr>
                <w:sz w:val="16"/>
                <w:szCs w:val="16"/>
                <w:lang w:val="ru-RU"/>
              </w:rPr>
              <w:t>подписано семь новых соглашений (Азербайджан, Камбоджа, Коста-Рика, Эквадор, Сальвадор, Грузия и Турция)</w:t>
            </w:r>
          </w:p>
        </w:tc>
        <w:tc>
          <w:tcPr>
            <w:tcW w:w="615" w:type="pct"/>
            <w:tcBorders>
              <w:top w:val="nil"/>
              <w:bottom w:val="single" w:sz="4" w:space="0" w:color="auto"/>
              <w:right w:val="single" w:sz="4" w:space="0" w:color="auto"/>
            </w:tcBorders>
            <w:shd w:val="clear" w:color="auto" w:fill="auto"/>
            <w:tcMar>
              <w:top w:w="110" w:type="dxa"/>
            </w:tcMar>
          </w:tcPr>
          <w:p w:rsidR="0055116C" w:rsidRPr="00DF5DD8" w:rsidRDefault="0055116C" w:rsidP="0055116C">
            <w:pPr>
              <w:jc w:val="center"/>
              <w:rPr>
                <w:rFonts w:cs="Arial"/>
                <w:b/>
                <w:bCs/>
                <w:sz w:val="16"/>
                <w:szCs w:val="16"/>
              </w:rPr>
            </w:pPr>
            <w:r w:rsidRPr="00DF5DD8">
              <w:rPr>
                <w:b/>
                <w:color w:val="00B050"/>
                <w:sz w:val="16"/>
                <w:szCs w:val="16"/>
              </w:rPr>
              <w:t>Выполнено</w:t>
            </w:r>
          </w:p>
        </w:tc>
      </w:tr>
    </w:tbl>
    <w:p w:rsidR="0055116C" w:rsidRDefault="0055116C" w:rsidP="0055116C">
      <w:pPr>
        <w:rPr>
          <w:rFonts w:cs="Arial"/>
          <w:color w:val="000000"/>
          <w:sz w:val="22"/>
          <w:szCs w:val="22"/>
        </w:rPr>
      </w:pPr>
    </w:p>
    <w:p w:rsidR="0055116C" w:rsidRDefault="0055116C" w:rsidP="0055116C">
      <w:pPr>
        <w:rPr>
          <w:rFonts w:cs="Arial"/>
          <w:color w:val="000000"/>
          <w:sz w:val="22"/>
          <w:szCs w:val="22"/>
        </w:rPr>
      </w:pPr>
    </w:p>
    <w:p w:rsidR="0055116C" w:rsidRPr="0055116C" w:rsidRDefault="0055116C" w:rsidP="0055116C">
      <w:pPr>
        <w:spacing w:after="200" w:line="276" w:lineRule="auto"/>
        <w:rPr>
          <w:sz w:val="18"/>
          <w:lang w:val="ru-RU"/>
        </w:rPr>
      </w:pPr>
      <w:r w:rsidRPr="0055116C">
        <w:rPr>
          <w:color w:val="000000"/>
          <w:lang w:val="ru-RU"/>
        </w:rPr>
        <w:t>ОТЧЕТ О РИСКАХ В ДВУХЛЕТНИЙ ПЕРИОД</w:t>
      </w:r>
    </w:p>
    <w:tbl>
      <w:tblPr>
        <w:tblW w:w="9356"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20"/>
        <w:gridCol w:w="2200"/>
        <w:gridCol w:w="2310"/>
        <w:gridCol w:w="2426"/>
      </w:tblGrid>
      <w:tr w:rsidR="0055116C" w:rsidRPr="003C527B" w:rsidTr="0055116C">
        <w:trPr>
          <w:trHeight w:val="382"/>
        </w:trPr>
        <w:tc>
          <w:tcPr>
            <w:tcW w:w="2420" w:type="dxa"/>
            <w:tcBorders>
              <w:top w:val="single" w:sz="4" w:space="0" w:color="auto"/>
              <w:bottom w:val="single" w:sz="4" w:space="0" w:color="auto"/>
            </w:tcBorders>
            <w:shd w:val="clear" w:color="auto" w:fill="C6D9F1" w:themeFill="text2" w:themeFillTint="33"/>
            <w:tcMar>
              <w:top w:w="113" w:type="dxa"/>
              <w:bottom w:w="113" w:type="dxa"/>
            </w:tcMar>
            <w:vAlign w:val="center"/>
          </w:tcPr>
          <w:p w:rsidR="0055116C" w:rsidRPr="0055116C" w:rsidRDefault="0055116C" w:rsidP="0055116C">
            <w:pPr>
              <w:jc w:val="center"/>
              <w:rPr>
                <w:b/>
                <w:szCs w:val="18"/>
                <w:lang w:val="ru-RU"/>
              </w:rPr>
            </w:pPr>
            <w:r w:rsidRPr="0055116C">
              <w:rPr>
                <w:b/>
                <w:lang w:val="ru-RU"/>
              </w:rPr>
              <w:t>Риск (риски) того, что результаты программы не будут достигнуты</w:t>
            </w:r>
          </w:p>
        </w:tc>
        <w:tc>
          <w:tcPr>
            <w:tcW w:w="2200" w:type="dxa"/>
            <w:tcBorders>
              <w:top w:val="single" w:sz="4" w:space="0" w:color="auto"/>
              <w:bottom w:val="single" w:sz="4" w:space="0" w:color="auto"/>
            </w:tcBorders>
            <w:shd w:val="clear" w:color="auto" w:fill="C6D9F1" w:themeFill="text2" w:themeFillTint="33"/>
            <w:tcMar>
              <w:top w:w="113" w:type="dxa"/>
              <w:bottom w:w="113" w:type="dxa"/>
            </w:tcMar>
            <w:vAlign w:val="center"/>
          </w:tcPr>
          <w:p w:rsidR="0055116C" w:rsidRPr="0055116C" w:rsidRDefault="0055116C" w:rsidP="0055116C">
            <w:pPr>
              <w:keepNext/>
              <w:keepLines/>
              <w:autoSpaceDE w:val="0"/>
              <w:autoSpaceDN w:val="0"/>
              <w:adjustRightInd w:val="0"/>
              <w:ind w:right="-59"/>
              <w:jc w:val="center"/>
              <w:rPr>
                <w:b/>
                <w:sz w:val="18"/>
                <w:szCs w:val="18"/>
                <w:lang w:val="ru-RU"/>
              </w:rPr>
            </w:pPr>
            <w:r w:rsidRPr="0055116C">
              <w:rPr>
                <w:b/>
                <w:sz w:val="18"/>
                <w:lang w:val="ru-RU"/>
              </w:rPr>
              <w:t>Действующие или разрабатываемые планы по снижению рисков</w:t>
            </w:r>
          </w:p>
        </w:tc>
        <w:tc>
          <w:tcPr>
            <w:tcW w:w="2310" w:type="dxa"/>
            <w:tcBorders>
              <w:top w:val="single" w:sz="4" w:space="0" w:color="auto"/>
              <w:bottom w:val="single" w:sz="4" w:space="0" w:color="auto"/>
            </w:tcBorders>
            <w:shd w:val="clear" w:color="auto" w:fill="C6D9F1" w:themeFill="text2" w:themeFillTint="33"/>
          </w:tcPr>
          <w:p w:rsidR="0055116C" w:rsidRPr="0055116C" w:rsidRDefault="0055116C" w:rsidP="0055116C">
            <w:pPr>
              <w:jc w:val="center"/>
              <w:rPr>
                <w:b/>
                <w:bCs/>
                <w:sz w:val="18"/>
                <w:szCs w:val="18"/>
                <w:lang w:val="ru-RU"/>
              </w:rPr>
            </w:pPr>
            <w:r w:rsidRPr="0055116C">
              <w:rPr>
                <w:b/>
                <w:sz w:val="18"/>
                <w:lang w:val="ru-RU"/>
              </w:rPr>
              <w:t>Развитие риска (рисков) и стратегий его (их) снижения в двухлетний период</w:t>
            </w:r>
          </w:p>
        </w:tc>
        <w:tc>
          <w:tcPr>
            <w:tcW w:w="2426" w:type="dxa"/>
            <w:tcBorders>
              <w:top w:val="single" w:sz="4" w:space="0" w:color="auto"/>
              <w:bottom w:val="single" w:sz="4" w:space="0" w:color="auto"/>
            </w:tcBorders>
            <w:shd w:val="clear" w:color="auto" w:fill="C6D9F1" w:themeFill="text2" w:themeFillTint="33"/>
          </w:tcPr>
          <w:p w:rsidR="0055116C" w:rsidRPr="003C527B" w:rsidRDefault="0055116C" w:rsidP="0055116C">
            <w:pPr>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55116C" w:rsidRPr="005C6ABD" w:rsidTr="0055116C">
        <w:trPr>
          <w:trHeight w:val="804"/>
        </w:trPr>
        <w:tc>
          <w:tcPr>
            <w:tcW w:w="2420" w:type="dxa"/>
            <w:tcBorders>
              <w:top w:val="single" w:sz="4" w:space="0" w:color="auto"/>
            </w:tcBorders>
            <w:shd w:val="clear" w:color="auto" w:fill="auto"/>
            <w:tcMar>
              <w:top w:w="113" w:type="dxa"/>
              <w:bottom w:w="113" w:type="dxa"/>
            </w:tcMar>
          </w:tcPr>
          <w:p w:rsidR="0055116C" w:rsidRPr="0055116C" w:rsidRDefault="0055116C" w:rsidP="0055116C">
            <w:pPr>
              <w:rPr>
                <w:sz w:val="16"/>
                <w:szCs w:val="16"/>
                <w:lang w:val="ru-RU"/>
              </w:rPr>
            </w:pPr>
            <w:r w:rsidRPr="0055116C">
              <w:rPr>
                <w:sz w:val="16"/>
                <w:lang w:val="ru-RU"/>
              </w:rPr>
              <w:t>В условиях стремительно меняющегося технического ландшафта и ландшафта прав ИС быстро меняются ожидания и предпочтения пользователей.</w:t>
            </w:r>
            <w:r>
              <w:rPr>
                <w:sz w:val="16"/>
              </w:rPr>
              <w:t> </w:t>
            </w:r>
            <w:r w:rsidRPr="0055116C">
              <w:rPr>
                <w:sz w:val="16"/>
                <w:lang w:val="ru-RU"/>
              </w:rPr>
              <w:t xml:space="preserve"> Есть вероятность устаревания интерфейса, графики и платформы ИТ-курсов дистанционного обучения, а также того, что со временем содержание различных учебных программ перестанет соответствовать вновь возникающим глобальным задачам и событиям.</w:t>
            </w:r>
          </w:p>
        </w:tc>
        <w:tc>
          <w:tcPr>
            <w:tcW w:w="2200" w:type="dxa"/>
            <w:tcBorders>
              <w:top w:val="single" w:sz="4" w:space="0" w:color="auto"/>
            </w:tcBorders>
            <w:shd w:val="clear" w:color="auto" w:fill="auto"/>
            <w:tcMar>
              <w:top w:w="113" w:type="dxa"/>
              <w:bottom w:w="113" w:type="dxa"/>
            </w:tcMar>
          </w:tcPr>
          <w:p w:rsidR="0055116C" w:rsidRPr="0055116C" w:rsidRDefault="0055116C" w:rsidP="0055116C">
            <w:pPr>
              <w:keepNext/>
              <w:keepLines/>
              <w:autoSpaceDE w:val="0"/>
              <w:autoSpaceDN w:val="0"/>
              <w:adjustRightInd w:val="0"/>
              <w:ind w:right="-59"/>
              <w:rPr>
                <w:sz w:val="16"/>
                <w:szCs w:val="16"/>
                <w:lang w:val="ru-RU"/>
              </w:rPr>
            </w:pPr>
            <w:r w:rsidRPr="0055116C">
              <w:rPr>
                <w:sz w:val="16"/>
                <w:lang w:val="ru-RU"/>
              </w:rPr>
              <w:t>Будет обеспечиваться непрерывная обратная связь со студентами и руководителями курсов дистанционного обучения, и после предметных консультаций с экспертами в области ИС будет произведено обновление поддерживаемых платформ и/или содержания учебных курсов.</w:t>
            </w:r>
          </w:p>
        </w:tc>
        <w:tc>
          <w:tcPr>
            <w:tcW w:w="2310" w:type="dxa"/>
            <w:tcBorders>
              <w:top w:val="single" w:sz="4" w:space="0" w:color="auto"/>
            </w:tcBorders>
          </w:tcPr>
          <w:p w:rsidR="0055116C" w:rsidRPr="0055116C" w:rsidRDefault="0055116C" w:rsidP="0055116C">
            <w:pPr>
              <w:keepNext/>
              <w:keepLines/>
              <w:autoSpaceDE w:val="0"/>
              <w:autoSpaceDN w:val="0"/>
              <w:adjustRightInd w:val="0"/>
              <w:ind w:right="-59"/>
              <w:rPr>
                <w:sz w:val="16"/>
                <w:szCs w:val="16"/>
                <w:lang w:val="ru-RU"/>
              </w:rPr>
            </w:pPr>
            <w:r w:rsidRPr="0055116C">
              <w:rPr>
                <w:sz w:val="16"/>
                <w:lang w:val="ru-RU"/>
              </w:rPr>
              <w:t>В 2015</w:t>
            </w:r>
            <w:r>
              <w:rPr>
                <w:sz w:val="16"/>
              </w:rPr>
              <w:t> </w:t>
            </w:r>
            <w:r w:rsidRPr="0055116C">
              <w:rPr>
                <w:sz w:val="16"/>
                <w:lang w:val="ru-RU"/>
              </w:rPr>
              <w:t>г. был обновлен Центр электронного обучения Академии ВОИС (</w:t>
            </w:r>
            <w:r>
              <w:rPr>
                <w:sz w:val="16"/>
              </w:rPr>
              <w:t>WeLC</w:t>
            </w:r>
            <w:r w:rsidRPr="0055116C">
              <w:rPr>
                <w:sz w:val="16"/>
                <w:lang w:val="ru-RU"/>
              </w:rPr>
              <w:t xml:space="preserve">). </w:t>
            </w:r>
          </w:p>
          <w:p w:rsidR="0055116C" w:rsidRPr="0055116C" w:rsidRDefault="0055116C" w:rsidP="0055116C">
            <w:pPr>
              <w:keepNext/>
              <w:keepLines/>
              <w:autoSpaceDE w:val="0"/>
              <w:autoSpaceDN w:val="0"/>
              <w:adjustRightInd w:val="0"/>
              <w:ind w:right="-59"/>
              <w:rPr>
                <w:sz w:val="16"/>
                <w:szCs w:val="16"/>
                <w:lang w:val="ru-RU"/>
              </w:rPr>
            </w:pPr>
          </w:p>
          <w:p w:rsidR="0055116C" w:rsidRPr="0055116C" w:rsidRDefault="0055116C" w:rsidP="0055116C">
            <w:pPr>
              <w:keepNext/>
              <w:keepLines/>
              <w:autoSpaceDE w:val="0"/>
              <w:autoSpaceDN w:val="0"/>
              <w:adjustRightInd w:val="0"/>
              <w:ind w:right="-59"/>
              <w:rPr>
                <w:sz w:val="16"/>
                <w:szCs w:val="16"/>
                <w:lang w:val="ru-RU"/>
              </w:rPr>
            </w:pPr>
            <w:r w:rsidRPr="0055116C">
              <w:rPr>
                <w:sz w:val="16"/>
                <w:lang w:val="ru-RU"/>
              </w:rPr>
              <w:t>Ожидается, что курсы ДО будут развиваться в рамках более систематического подхода к ежегодному процессу обзора, что необходимо для сохранения их актуальности.</w:t>
            </w:r>
          </w:p>
        </w:tc>
        <w:tc>
          <w:tcPr>
            <w:tcW w:w="2426" w:type="dxa"/>
            <w:tcBorders>
              <w:top w:val="single" w:sz="4" w:space="0" w:color="auto"/>
            </w:tcBorders>
          </w:tcPr>
          <w:p w:rsidR="0055116C" w:rsidRPr="0055116C" w:rsidRDefault="0055116C" w:rsidP="0055116C">
            <w:pPr>
              <w:autoSpaceDE w:val="0"/>
              <w:autoSpaceDN w:val="0"/>
              <w:adjustRightInd w:val="0"/>
              <w:ind w:right="-59"/>
              <w:rPr>
                <w:sz w:val="16"/>
                <w:szCs w:val="16"/>
                <w:lang w:val="ru-RU"/>
              </w:rPr>
            </w:pPr>
            <w:r w:rsidRPr="0055116C">
              <w:rPr>
                <w:sz w:val="16"/>
                <w:lang w:val="ru-RU"/>
              </w:rPr>
              <w:t>Этот риск и его развитие не оказали существенного влияния на реализацию программы в 2014–2015 гг.</w:t>
            </w:r>
          </w:p>
          <w:p w:rsidR="0055116C" w:rsidRPr="0055116C" w:rsidRDefault="0055116C" w:rsidP="0055116C">
            <w:pPr>
              <w:keepNext/>
              <w:keepLines/>
              <w:autoSpaceDE w:val="0"/>
              <w:autoSpaceDN w:val="0"/>
              <w:adjustRightInd w:val="0"/>
              <w:ind w:right="-59"/>
              <w:rPr>
                <w:sz w:val="16"/>
                <w:szCs w:val="16"/>
                <w:lang w:val="ru-RU"/>
              </w:rPr>
            </w:pPr>
          </w:p>
        </w:tc>
      </w:tr>
    </w:tbl>
    <w:p w:rsidR="0055116C" w:rsidRPr="0055116C" w:rsidRDefault="0055116C" w:rsidP="0055116C">
      <w:pPr>
        <w:spacing w:after="200" w:line="276" w:lineRule="auto"/>
        <w:rPr>
          <w:rFonts w:cs="Arial"/>
          <w:color w:val="000000"/>
          <w:sz w:val="24"/>
          <w:lang w:val="ru-RU"/>
        </w:rPr>
      </w:pPr>
    </w:p>
    <w:p w:rsidR="0055116C" w:rsidRPr="0055116C" w:rsidRDefault="0055116C" w:rsidP="0055116C">
      <w:pPr>
        <w:rPr>
          <w:b/>
          <w:lang w:val="ru-RU"/>
        </w:rPr>
      </w:pPr>
      <w:r w:rsidRPr="0055116C">
        <w:rPr>
          <w:color w:val="000000"/>
          <w:lang w:val="ru-RU"/>
        </w:rPr>
        <w:t>ИСПОЛЬЗОВАНИЕ РЕСУРСОВ</w:t>
      </w:r>
    </w:p>
    <w:p w:rsidR="0055116C" w:rsidRPr="0055116C" w:rsidRDefault="0055116C" w:rsidP="0055116C">
      <w:pPr>
        <w:rPr>
          <w:szCs w:val="20"/>
          <w:lang w:val="ru-RU"/>
        </w:rPr>
      </w:pPr>
    </w:p>
    <w:p w:rsidR="0055116C" w:rsidRPr="0055116C" w:rsidRDefault="0055116C" w:rsidP="0055116C">
      <w:pPr>
        <w:pStyle w:val="NormalWeb"/>
        <w:spacing w:before="0" w:beforeAutospacing="0" w:after="0" w:afterAutospacing="0"/>
        <w:jc w:val="center"/>
        <w:rPr>
          <w:sz w:val="22"/>
          <w:szCs w:val="22"/>
          <w:lang w:val="ru-RU"/>
        </w:rPr>
      </w:pPr>
      <w:r w:rsidRPr="0055116C">
        <w:rPr>
          <w:color w:val="000000"/>
          <w:sz w:val="22"/>
          <w:lang w:val="ru-RU"/>
        </w:rPr>
        <w:t xml:space="preserve">Бюджет и фактические расходы (в разбивке по результатам) </w:t>
      </w:r>
    </w:p>
    <w:p w:rsidR="0055116C" w:rsidRPr="00516D30" w:rsidRDefault="0055116C" w:rsidP="0055116C">
      <w:pPr>
        <w:pStyle w:val="NormalWeb"/>
        <w:spacing w:before="0" w:beforeAutospacing="0" w:after="0" w:afterAutospacing="0"/>
        <w:jc w:val="center"/>
        <w:rPr>
          <w:i/>
          <w:iCs/>
          <w:color w:val="000000"/>
          <w:sz w:val="22"/>
          <w:szCs w:val="22"/>
        </w:rPr>
      </w:pPr>
      <w:r>
        <w:rPr>
          <w:i/>
          <w:color w:val="000000"/>
          <w:sz w:val="22"/>
        </w:rPr>
        <w:t>(в тыс. шв. франков)</w:t>
      </w:r>
    </w:p>
    <w:p w:rsidR="0055116C" w:rsidRDefault="0055116C" w:rsidP="0055116C">
      <w:pPr>
        <w:pStyle w:val="NormalWeb"/>
        <w:spacing w:before="0" w:beforeAutospacing="0" w:after="0" w:afterAutospacing="0"/>
        <w:jc w:val="center"/>
      </w:pPr>
    </w:p>
    <w:p w:rsidR="0055116C" w:rsidRDefault="0055116C" w:rsidP="0055116C">
      <w:pPr>
        <w:jc w:val="center"/>
      </w:pPr>
      <w:r>
        <w:rPr>
          <w:noProof/>
        </w:rPr>
        <w:drawing>
          <wp:inline distT="0" distB="0" distL="0" distR="0" wp14:anchorId="3CAA14A4" wp14:editId="63E6A32E">
            <wp:extent cx="5940425" cy="1452238"/>
            <wp:effectExtent l="0" t="0" r="3175"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940425" cy="1452238"/>
                    </a:xfrm>
                    <a:prstGeom prst="rect">
                      <a:avLst/>
                    </a:prstGeom>
                    <a:noFill/>
                    <a:ln>
                      <a:noFill/>
                    </a:ln>
                  </pic:spPr>
                </pic:pic>
              </a:graphicData>
            </a:graphic>
          </wp:inline>
        </w:drawing>
      </w:r>
    </w:p>
    <w:p w:rsidR="0055116C" w:rsidRDefault="0055116C" w:rsidP="0055116C">
      <w:pPr>
        <w:pStyle w:val="NormalWeb"/>
        <w:keepNext/>
        <w:keepLines/>
        <w:spacing w:before="0" w:beforeAutospacing="0" w:after="0" w:afterAutospacing="0"/>
        <w:jc w:val="center"/>
        <w:rPr>
          <w:color w:val="000000"/>
          <w:sz w:val="22"/>
        </w:rPr>
      </w:pPr>
    </w:p>
    <w:p w:rsidR="0055116C" w:rsidRPr="0055116C" w:rsidRDefault="0055116C" w:rsidP="0055116C">
      <w:pPr>
        <w:pStyle w:val="NormalWeb"/>
        <w:keepNext/>
        <w:keepLines/>
        <w:spacing w:before="0" w:beforeAutospacing="0" w:after="0" w:afterAutospacing="0"/>
        <w:jc w:val="center"/>
        <w:rPr>
          <w:sz w:val="22"/>
          <w:szCs w:val="22"/>
          <w:lang w:val="ru-RU"/>
        </w:rPr>
      </w:pPr>
      <w:r w:rsidRPr="0055116C">
        <w:rPr>
          <w:color w:val="000000"/>
          <w:sz w:val="22"/>
          <w:lang w:val="ru-RU"/>
        </w:rPr>
        <w:t xml:space="preserve">Бюджет и фактические расходы (по персоналу и не связанные с персоналом) </w:t>
      </w:r>
    </w:p>
    <w:p w:rsidR="0055116C" w:rsidRPr="00516D30" w:rsidRDefault="0055116C" w:rsidP="0055116C">
      <w:pPr>
        <w:pStyle w:val="NormalWeb"/>
        <w:keepNext/>
        <w:keepLines/>
        <w:spacing w:before="0" w:beforeAutospacing="0" w:after="0" w:afterAutospacing="0"/>
        <w:jc w:val="center"/>
        <w:rPr>
          <w:i/>
          <w:iCs/>
          <w:color w:val="000000"/>
          <w:sz w:val="22"/>
          <w:szCs w:val="22"/>
        </w:rPr>
      </w:pPr>
      <w:r>
        <w:rPr>
          <w:i/>
          <w:color w:val="000000"/>
          <w:sz w:val="22"/>
        </w:rPr>
        <w:t>(в тыс. шв. франков)</w:t>
      </w:r>
    </w:p>
    <w:p w:rsidR="0055116C" w:rsidRDefault="0055116C" w:rsidP="0055116C">
      <w:pPr>
        <w:pStyle w:val="NormalWeb"/>
        <w:keepNext/>
        <w:keepLines/>
        <w:spacing w:before="0" w:beforeAutospacing="0" w:after="0" w:afterAutospacing="0"/>
        <w:jc w:val="center"/>
      </w:pPr>
    </w:p>
    <w:p w:rsidR="0055116C" w:rsidRDefault="0055116C" w:rsidP="0055116C">
      <w:pPr>
        <w:pStyle w:val="NormalWeb"/>
        <w:keepNext/>
        <w:keepLines/>
        <w:spacing w:before="0" w:beforeAutospacing="0" w:after="0" w:afterAutospacing="0"/>
        <w:jc w:val="center"/>
      </w:pPr>
      <w:r>
        <w:rPr>
          <w:noProof/>
        </w:rPr>
        <w:drawing>
          <wp:inline distT="0" distB="0" distL="0" distR="0" wp14:anchorId="220F001E" wp14:editId="348441A9">
            <wp:extent cx="5940425" cy="1313927"/>
            <wp:effectExtent l="0" t="0" r="3175" b="635"/>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940425" cy="1313927"/>
                    </a:xfrm>
                    <a:prstGeom prst="rect">
                      <a:avLst/>
                    </a:prstGeom>
                    <a:noFill/>
                    <a:ln>
                      <a:noFill/>
                    </a:ln>
                  </pic:spPr>
                </pic:pic>
              </a:graphicData>
            </a:graphic>
          </wp:inline>
        </w:drawing>
      </w:r>
    </w:p>
    <w:p w:rsidR="0055116C" w:rsidRDefault="0055116C" w:rsidP="0055116C">
      <w:pPr>
        <w:widowControl w:val="0"/>
        <w:autoSpaceDE w:val="0"/>
        <w:autoSpaceDN w:val="0"/>
        <w:adjustRightInd w:val="0"/>
        <w:rPr>
          <w:rFonts w:cs="Arial"/>
          <w:sz w:val="22"/>
          <w:szCs w:val="22"/>
        </w:rPr>
      </w:pPr>
    </w:p>
    <w:p w:rsidR="0055116C" w:rsidRDefault="0055116C" w:rsidP="0055116C">
      <w:pPr>
        <w:widowControl w:val="0"/>
        <w:autoSpaceDE w:val="0"/>
        <w:autoSpaceDN w:val="0"/>
        <w:adjustRightInd w:val="0"/>
        <w:rPr>
          <w:rFonts w:cs="Arial"/>
          <w:sz w:val="22"/>
          <w:szCs w:val="22"/>
        </w:rPr>
      </w:pPr>
    </w:p>
    <w:p w:rsidR="0055116C" w:rsidRPr="0055116C" w:rsidRDefault="0055116C" w:rsidP="0055116C">
      <w:pPr>
        <w:pStyle w:val="ListParagraph"/>
        <w:numPr>
          <w:ilvl w:val="0"/>
          <w:numId w:val="86"/>
        </w:numPr>
        <w:ind w:left="709" w:hanging="709"/>
        <w:jc w:val="both"/>
        <w:rPr>
          <w:lang w:val="ru-RU"/>
        </w:rPr>
      </w:pPr>
      <w:r w:rsidRPr="0055116C">
        <w:rPr>
          <w:u w:val="single"/>
          <w:lang w:val="ru-RU"/>
        </w:rPr>
        <w:t>Итоговый бюджет на 2014–2015 гг. после перераспределения средств</w:t>
      </w:r>
    </w:p>
    <w:p w:rsidR="0055116C" w:rsidRPr="0055116C" w:rsidRDefault="0055116C" w:rsidP="0055116C">
      <w:pPr>
        <w:jc w:val="both"/>
        <w:rPr>
          <w:lang w:val="ru-RU"/>
        </w:rPr>
      </w:pPr>
    </w:p>
    <w:p w:rsidR="0055116C"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 xml:space="preserve">Объем ресурсов, доступных в рамках программы, оставался стабильным в течение двухлетнего периода.  Перевод ресурсов, </w:t>
      </w:r>
      <w:r w:rsidRPr="0055116C">
        <w:rPr>
          <w:lang w:val="ru-RU"/>
        </w:rPr>
        <w:t>связанных с персоналом,</w:t>
      </w:r>
      <w:r w:rsidRPr="0055116C">
        <w:rPr>
          <w:rFonts w:eastAsiaTheme="minorHAnsi"/>
          <w:color w:val="000000"/>
          <w:lang w:val="ru-RU"/>
        </w:rPr>
        <w:t xml:space="preserve"> из программы в целях удовлетворения потребностей, связанных с платформами ВОИС и ее ИТ-приложениями в Секторе развития (программ 8, 9 и 11), были компенсированы перераспределением ресурсов, </w:t>
      </w:r>
      <w:r w:rsidRPr="0055116C">
        <w:rPr>
          <w:lang w:val="ru-RU"/>
        </w:rPr>
        <w:t>связанных с персоналом,</w:t>
      </w:r>
      <w:r w:rsidRPr="0055116C">
        <w:rPr>
          <w:rFonts w:eastAsiaTheme="minorHAnsi"/>
          <w:color w:val="000000"/>
          <w:lang w:val="ru-RU"/>
        </w:rPr>
        <w:t xml:space="preserve"> в пользу программы после изменений в руководстве Академии в конце 2014</w:t>
      </w:r>
      <w:r>
        <w:rPr>
          <w:rFonts w:eastAsiaTheme="minorHAnsi"/>
          <w:color w:val="000000"/>
        </w:rPr>
        <w:t> </w:t>
      </w:r>
      <w:r w:rsidRPr="0055116C">
        <w:rPr>
          <w:rFonts w:eastAsiaTheme="minorHAnsi"/>
          <w:color w:val="000000"/>
          <w:lang w:val="ru-RU"/>
        </w:rPr>
        <w:t xml:space="preserve">г. </w:t>
      </w:r>
    </w:p>
    <w:p w:rsidR="0055116C" w:rsidRPr="0055116C" w:rsidRDefault="0055116C" w:rsidP="0055116C">
      <w:pPr>
        <w:jc w:val="both"/>
        <w:rPr>
          <w:lang w:val="ru-RU"/>
        </w:rPr>
      </w:pPr>
    </w:p>
    <w:p w:rsidR="0055116C" w:rsidRPr="0055116C" w:rsidRDefault="0055116C" w:rsidP="0055116C">
      <w:pPr>
        <w:pStyle w:val="ListParagraph"/>
        <w:numPr>
          <w:ilvl w:val="0"/>
          <w:numId w:val="86"/>
        </w:numPr>
        <w:ind w:left="709" w:hanging="709"/>
        <w:jc w:val="both"/>
        <w:rPr>
          <w:u w:val="single"/>
          <w:lang w:val="ru-RU"/>
        </w:rPr>
      </w:pPr>
      <w:r w:rsidRPr="0055116C">
        <w:rPr>
          <w:u w:val="single"/>
          <w:lang w:val="ru-RU"/>
        </w:rPr>
        <w:t>Освоение бюджетных средств в 2014–2015 гг.</w:t>
      </w:r>
    </w:p>
    <w:p w:rsidR="0055116C" w:rsidRPr="0055116C" w:rsidRDefault="0055116C" w:rsidP="0055116C">
      <w:pPr>
        <w:jc w:val="both"/>
        <w:rPr>
          <w:u w:val="single"/>
          <w:lang w:val="ru-RU"/>
        </w:rPr>
      </w:pPr>
    </w:p>
    <w:p w:rsidR="005C2D42" w:rsidRPr="0055116C" w:rsidRDefault="0055116C" w:rsidP="0055116C">
      <w:pPr>
        <w:pStyle w:val="ListParagraph"/>
        <w:numPr>
          <w:ilvl w:val="0"/>
          <w:numId w:val="84"/>
        </w:numPr>
        <w:tabs>
          <w:tab w:val="left" w:pos="709"/>
        </w:tabs>
        <w:autoSpaceDE w:val="0"/>
        <w:autoSpaceDN w:val="0"/>
        <w:adjustRightInd w:val="0"/>
        <w:ind w:left="0" w:firstLine="0"/>
        <w:jc w:val="both"/>
        <w:rPr>
          <w:rFonts w:eastAsiaTheme="minorHAnsi" w:cs="Arial"/>
          <w:color w:val="000000"/>
          <w:lang w:val="ru-RU"/>
        </w:rPr>
      </w:pPr>
      <w:r w:rsidRPr="0055116C">
        <w:rPr>
          <w:rFonts w:eastAsiaTheme="minorHAnsi"/>
          <w:color w:val="000000"/>
          <w:lang w:val="ru-RU"/>
        </w:rPr>
        <w:t>Уровень освоения бюджетных средств находится в пределах, предусмотренных для рассматриваемого двухлетнего периода.</w:t>
      </w:r>
      <w:r w:rsidR="005C2D42" w:rsidRPr="0055116C">
        <w:rPr>
          <w:rFonts w:eastAsiaTheme="minorHAnsi" w:cs="Arial"/>
          <w:color w:val="000000"/>
          <w:lang w:val="ru-RU"/>
        </w:rPr>
        <w:t xml:space="preserve"> </w:t>
      </w:r>
    </w:p>
    <w:p w:rsidR="000E3EAD" w:rsidRPr="0055116C" w:rsidRDefault="000E3EAD" w:rsidP="00D97F1C">
      <w:pPr>
        <w:rPr>
          <w:szCs w:val="20"/>
          <w:lang w:val="ru-RU"/>
        </w:rPr>
      </w:pPr>
    </w:p>
    <w:p w:rsidR="000E3EAD" w:rsidRPr="0055116C" w:rsidRDefault="000E3EAD" w:rsidP="00D97F1C">
      <w:pPr>
        <w:rPr>
          <w:szCs w:val="20"/>
          <w:lang w:val="ru-RU"/>
        </w:rPr>
      </w:pPr>
    </w:p>
    <w:p w:rsidR="000E3EAD" w:rsidRPr="0055116C" w:rsidRDefault="000E3EAD">
      <w:pPr>
        <w:rPr>
          <w:szCs w:val="20"/>
          <w:lang w:val="ru-RU"/>
        </w:rPr>
      </w:pPr>
      <w:r w:rsidRPr="0055116C">
        <w:rPr>
          <w:szCs w:val="20"/>
          <w:lang w:val="ru-RU"/>
        </w:rPr>
        <w:br w:type="page"/>
      </w:r>
    </w:p>
    <w:p w:rsidR="005177C8" w:rsidRPr="005177C8" w:rsidRDefault="005177C8" w:rsidP="005177C8">
      <w:pPr>
        <w:pStyle w:val="Heading2"/>
        <w:tabs>
          <w:tab w:val="clear" w:pos="567"/>
          <w:tab w:val="left" w:pos="1985"/>
        </w:tabs>
        <w:ind w:left="1985" w:hanging="1985"/>
        <w:rPr>
          <w:szCs w:val="20"/>
          <w:lang w:val="ru-RU"/>
        </w:rPr>
      </w:pPr>
      <w:bookmarkStart w:id="86" w:name="_Toc422210494"/>
      <w:bookmarkStart w:id="87" w:name="_Toc455388118"/>
      <w:r w:rsidRPr="005177C8">
        <w:rPr>
          <w:lang w:val="ru-RU"/>
        </w:rPr>
        <w:t>ПРОГРАММА 30</w:t>
      </w:r>
      <w:r w:rsidRPr="005177C8">
        <w:rPr>
          <w:lang w:val="ru-RU"/>
        </w:rPr>
        <w:tab/>
        <w:t>МАЛЫЕ И СРЕДНИЕ ПРЕДПРИЯТИЯ (МСП) И ИННОВАЦИИ</w:t>
      </w:r>
      <w:bookmarkEnd w:id="86"/>
      <w:bookmarkEnd w:id="87"/>
    </w:p>
    <w:p w:rsidR="005177C8" w:rsidRPr="005177C8" w:rsidRDefault="005177C8" w:rsidP="005177C8">
      <w:pPr>
        <w:ind w:left="1985" w:hanging="1985"/>
        <w:rPr>
          <w:szCs w:val="20"/>
          <w:lang w:val="ru-RU"/>
        </w:rPr>
      </w:pPr>
    </w:p>
    <w:p w:rsidR="005177C8" w:rsidRPr="005177C8" w:rsidRDefault="005177C8" w:rsidP="005177C8">
      <w:pPr>
        <w:ind w:left="1985" w:hanging="1985"/>
        <w:rPr>
          <w:b/>
          <w:szCs w:val="20"/>
          <w:lang w:val="ru-RU"/>
        </w:rPr>
      </w:pPr>
      <w:r w:rsidRPr="005177C8">
        <w:rPr>
          <w:b/>
          <w:lang w:val="ru-RU"/>
        </w:rPr>
        <w:t xml:space="preserve">Руководитель программы: </w:t>
      </w:r>
      <w:r w:rsidRPr="005177C8">
        <w:rPr>
          <w:lang w:val="ru-RU"/>
        </w:rPr>
        <w:tab/>
      </w:r>
      <w:r w:rsidRPr="005177C8">
        <w:rPr>
          <w:b/>
          <w:lang w:val="ru-RU"/>
        </w:rPr>
        <w:t>ГЕНЕРАЛЬНЫЙ ДИРЕКТОР</w:t>
      </w:r>
    </w:p>
    <w:p w:rsidR="005177C8" w:rsidRPr="005177C8" w:rsidRDefault="005177C8" w:rsidP="005177C8">
      <w:pPr>
        <w:rPr>
          <w:szCs w:val="20"/>
          <w:lang w:val="ru-RU"/>
        </w:rPr>
      </w:pPr>
    </w:p>
    <w:p w:rsidR="005177C8" w:rsidRPr="005177C8" w:rsidRDefault="005177C8" w:rsidP="005177C8">
      <w:pPr>
        <w:tabs>
          <w:tab w:val="left" w:pos="720"/>
        </w:tabs>
        <w:rPr>
          <w:rFonts w:cs="Arial"/>
          <w:lang w:val="ru-RU"/>
        </w:rPr>
      </w:pPr>
    </w:p>
    <w:p w:rsidR="005177C8" w:rsidRPr="005177C8" w:rsidRDefault="005177C8" w:rsidP="005177C8">
      <w:pPr>
        <w:rPr>
          <w:bCs/>
          <w:szCs w:val="22"/>
          <w:lang w:val="ru-RU"/>
        </w:rPr>
      </w:pPr>
      <w:r w:rsidRPr="005177C8">
        <w:rPr>
          <w:lang w:val="ru-RU"/>
        </w:rPr>
        <w:t>ОБЗОР ДОСТИЖЕНИЙ ЗА ДВУХЛЕТНИЙ ПЕРИОД 2014–2015 ГГ.</w:t>
      </w:r>
    </w:p>
    <w:p w:rsidR="005177C8" w:rsidRPr="005177C8" w:rsidRDefault="005177C8" w:rsidP="005177C8">
      <w:pPr>
        <w:rPr>
          <w:szCs w:val="20"/>
          <w:lang w:val="ru-RU"/>
        </w:rPr>
      </w:pPr>
    </w:p>
    <w:p w:rsidR="005177C8" w:rsidRDefault="005177C8" w:rsidP="005177C8">
      <w:pPr>
        <w:autoSpaceDE w:val="0"/>
        <w:autoSpaceDN w:val="0"/>
        <w:adjustRightInd w:val="0"/>
        <w:rPr>
          <w:rFonts w:cs="Arial"/>
          <w:color w:val="000000"/>
          <w:szCs w:val="20"/>
        </w:rPr>
      </w:pPr>
      <w:r>
        <w:rPr>
          <w:color w:val="000000"/>
        </w:rPr>
        <w:t>МАЛЫЕ И СРЕДНИЕ ПРЕДПРИЯТИЯ</w:t>
      </w:r>
    </w:p>
    <w:p w:rsidR="005177C8" w:rsidRPr="0046277F" w:rsidRDefault="005177C8" w:rsidP="005177C8">
      <w:pPr>
        <w:autoSpaceDE w:val="0"/>
        <w:autoSpaceDN w:val="0"/>
        <w:adjustRightInd w:val="0"/>
        <w:rPr>
          <w:rFonts w:cs="Arial"/>
          <w:color w:val="000000"/>
          <w:szCs w:val="20"/>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color w:val="000000"/>
          <w:lang w:val="ru-RU"/>
        </w:rPr>
        <w:t>Продолжалась совместная работа с национальными и региональными ведомствами ИС и другими учреждениями, направленная на оказание предпринимателям и МСП помощи в использовании системы ИС, в первую очередь, посредством (</w:t>
      </w:r>
      <w:r>
        <w:rPr>
          <w:color w:val="000000"/>
        </w:rPr>
        <w:t>a</w:t>
      </w:r>
      <w:r w:rsidRPr="005177C8">
        <w:rPr>
          <w:color w:val="000000"/>
          <w:lang w:val="ru-RU"/>
        </w:rPr>
        <w:t>)</w:t>
      </w:r>
      <w:r>
        <w:rPr>
          <w:color w:val="000000"/>
        </w:rPr>
        <w:t> </w:t>
      </w:r>
      <w:r w:rsidRPr="005177C8">
        <w:rPr>
          <w:color w:val="000000"/>
          <w:lang w:val="ru-RU"/>
        </w:rPr>
        <w:t>адаптации и/или перевода материалов, посвященных применению ИС в бизнесе, с учетом местной специфики, и (</w:t>
      </w:r>
      <w:r>
        <w:rPr>
          <w:color w:val="000000"/>
        </w:rPr>
        <w:t>b</w:t>
      </w:r>
      <w:r w:rsidRPr="005177C8">
        <w:rPr>
          <w:color w:val="000000"/>
          <w:lang w:val="ru-RU"/>
        </w:rPr>
        <w:t>)</w:t>
      </w:r>
      <w:r>
        <w:rPr>
          <w:color w:val="000000"/>
        </w:rPr>
        <w:t> </w:t>
      </w:r>
      <w:r w:rsidRPr="005177C8">
        <w:rPr>
          <w:color w:val="000000"/>
          <w:lang w:val="ru-RU"/>
        </w:rPr>
        <w:t>реализации программ подготовки преподавателей.  В рамках пункта (</w:t>
      </w:r>
      <w:r>
        <w:rPr>
          <w:color w:val="000000"/>
        </w:rPr>
        <w:t>b</w:t>
      </w:r>
      <w:r w:rsidRPr="005177C8">
        <w:rPr>
          <w:color w:val="000000"/>
          <w:lang w:val="ru-RU"/>
        </w:rPr>
        <w:t>) было организовано 33</w:t>
      </w:r>
      <w:r>
        <w:rPr>
          <w:color w:val="000000"/>
        </w:rPr>
        <w:t> </w:t>
      </w:r>
      <w:r w:rsidRPr="005177C8">
        <w:rPr>
          <w:color w:val="000000"/>
          <w:lang w:val="ru-RU"/>
        </w:rPr>
        <w:t>программы для МСП по теме «Эффективное управление активами ИС», чтобы обеспечить наличие достаточного числа преподавателей в отдельных странах, обладающих необходимыми знаниями, навыками и опытом для оказания МСП базовой помощи в вопросах управления интеллектуальными активами.  Обучение по этим программам прошли в общей сложности 700</w:t>
      </w:r>
      <w:r>
        <w:rPr>
          <w:color w:val="000000"/>
        </w:rPr>
        <w:t> </w:t>
      </w:r>
      <w:r w:rsidRPr="005177C8">
        <w:rPr>
          <w:color w:val="000000"/>
          <w:lang w:val="ru-RU"/>
        </w:rPr>
        <w:t>человек.  Программа также способствовала расширению прав и возможностей женщин в области ИС.  В этой связи в 2014–2015</w:t>
      </w:r>
      <w:r>
        <w:rPr>
          <w:color w:val="000000"/>
        </w:rPr>
        <w:t> </w:t>
      </w:r>
      <w:r w:rsidRPr="005177C8">
        <w:rPr>
          <w:color w:val="000000"/>
          <w:lang w:val="ru-RU"/>
        </w:rPr>
        <w:t>гг. ВОИС, Корейское ведомство интеллектуальной собственности (КВИС) и Корейская ассоциация женщин-изобретателей (</w:t>
      </w:r>
      <w:r>
        <w:rPr>
          <w:color w:val="000000"/>
        </w:rPr>
        <w:t>KWIA</w:t>
      </w:r>
      <w:r w:rsidRPr="005177C8">
        <w:rPr>
          <w:color w:val="000000"/>
          <w:lang w:val="ru-RU"/>
        </w:rPr>
        <w:t>) организовали два международных практикума для женщин-изобретателей и предпринимателей, в которых приняли участие 236</w:t>
      </w:r>
      <w:r>
        <w:rPr>
          <w:color w:val="000000"/>
        </w:rPr>
        <w:t> </w:t>
      </w:r>
      <w:r w:rsidRPr="005177C8">
        <w:rPr>
          <w:color w:val="000000"/>
          <w:lang w:val="ru-RU"/>
        </w:rPr>
        <w:t>женщин-изобретателей и предпринимателей из 25</w:t>
      </w:r>
      <w:r>
        <w:rPr>
          <w:color w:val="000000"/>
        </w:rPr>
        <w:t> </w:t>
      </w:r>
      <w:r w:rsidRPr="005177C8">
        <w:rPr>
          <w:color w:val="000000"/>
          <w:lang w:val="ru-RU"/>
        </w:rPr>
        <w:t>стран.</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Pr="005177C8" w:rsidRDefault="005177C8" w:rsidP="005177C8">
      <w:pPr>
        <w:pStyle w:val="ListParagraph"/>
        <w:numPr>
          <w:ilvl w:val="0"/>
          <w:numId w:val="79"/>
        </w:numPr>
        <w:autoSpaceDE w:val="0"/>
        <w:autoSpaceDN w:val="0"/>
        <w:adjustRightInd w:val="0"/>
        <w:ind w:left="0" w:firstLine="0"/>
        <w:jc w:val="both"/>
        <w:rPr>
          <w:lang w:val="ru-RU"/>
        </w:rPr>
      </w:pPr>
      <w:r w:rsidRPr="005177C8">
        <w:rPr>
          <w:lang w:val="ru-RU"/>
        </w:rPr>
        <w:t>В</w:t>
      </w:r>
      <w:r>
        <w:t> </w:t>
      </w:r>
      <w:r w:rsidRPr="005177C8">
        <w:rPr>
          <w:lang w:val="ru-RU"/>
        </w:rPr>
        <w:t>2014–2015</w:t>
      </w:r>
      <w:r>
        <w:t> </w:t>
      </w:r>
      <w:r w:rsidRPr="005177C8">
        <w:rPr>
          <w:lang w:val="ru-RU"/>
        </w:rPr>
        <w:t>гг. была завершена подготовка нового издания книги «Принцип конфиденциальности: основы применения коммерческой тайны малыми и средними предприятиями».  ВОИС также участвовала в написании первоначального текста пособия «Использование интеллектуальной собственности в качестве стратегического актива для развития бизнеса (стратегическое управление правами ИС)»</w:t>
      </w:r>
      <w:r>
        <w:rPr>
          <w:rStyle w:val="FootnoteReference"/>
        </w:rPr>
        <w:footnoteReference w:id="79"/>
      </w:r>
      <w:r w:rsidRPr="005177C8">
        <w:rPr>
          <w:lang w:val="ru-RU"/>
        </w:rPr>
        <w:t>.</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color w:val="000000"/>
          <w:lang w:val="ru-RU"/>
        </w:rPr>
        <w:t xml:space="preserve">Два онлайновых курса по управлению активами ИС для обеспечения успеха в бизнесе на базе программы </w:t>
      </w:r>
      <w:r>
        <w:rPr>
          <w:color w:val="000000"/>
        </w:rPr>
        <w:t>PANORAMA</w:t>
      </w:r>
      <w:r w:rsidRPr="005177C8">
        <w:rPr>
          <w:color w:val="000000"/>
          <w:lang w:val="ru-RU"/>
        </w:rPr>
        <w:t xml:space="preserve"> с выдачей международного сертификата прослушали 1</w:t>
      </w:r>
      <w:r>
        <w:rPr>
          <w:color w:val="000000"/>
        </w:rPr>
        <w:t> </w:t>
      </w:r>
      <w:r w:rsidRPr="005177C8">
        <w:rPr>
          <w:color w:val="000000"/>
          <w:lang w:val="ru-RU"/>
        </w:rPr>
        <w:t>350 человек (709 в 2014</w:t>
      </w:r>
      <w:r>
        <w:rPr>
          <w:color w:val="000000"/>
        </w:rPr>
        <w:t> </w:t>
      </w:r>
      <w:r w:rsidRPr="005177C8">
        <w:rPr>
          <w:color w:val="000000"/>
          <w:lang w:val="ru-RU"/>
        </w:rPr>
        <w:t>г. и 641 в 2015 г.). При этом 70</w:t>
      </w:r>
      <w:r>
        <w:rPr>
          <w:color w:val="000000"/>
        </w:rPr>
        <w:t> </w:t>
      </w:r>
      <w:r w:rsidRPr="005177C8">
        <w:rPr>
          <w:color w:val="000000"/>
          <w:lang w:val="ru-RU"/>
        </w:rPr>
        <w:t>слушателей впоследствии приняли участие в офлайновом курсе обучения по вопросам управления активами ИС, состоявшемся в Сеуле (Республика Корея), который был подготовлен ВОИС и реализован совместно с КВИС, Корейской ассоциацией помощи изобретателям (</w:t>
      </w:r>
      <w:r>
        <w:rPr>
          <w:color w:val="000000"/>
        </w:rPr>
        <w:t>KIPA</w:t>
      </w:r>
      <w:r w:rsidRPr="005177C8">
        <w:rPr>
          <w:color w:val="000000"/>
          <w:lang w:val="ru-RU"/>
        </w:rPr>
        <w:t>) и Корейской высшей школой науки и техники (</w:t>
      </w:r>
      <w:r>
        <w:rPr>
          <w:color w:val="000000"/>
        </w:rPr>
        <w:t>KAIST</w:t>
      </w:r>
      <w:r w:rsidRPr="005177C8">
        <w:rPr>
          <w:color w:val="000000"/>
          <w:lang w:val="ru-RU"/>
        </w:rPr>
        <w:t>).  Была проведена подготовка к запуску этого курса в двухлетний период 2016–2017</w:t>
      </w:r>
      <w:r>
        <w:rPr>
          <w:color w:val="000000"/>
        </w:rPr>
        <w:t> </w:t>
      </w:r>
      <w:r w:rsidRPr="005177C8">
        <w:rPr>
          <w:color w:val="000000"/>
          <w:lang w:val="ru-RU"/>
        </w:rPr>
        <w:t>гг. на арабском, французском, русском и испанском языках; по его итогам будет выдаваться международный сертификат.</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color w:val="000000"/>
          <w:lang w:val="ru-RU"/>
        </w:rPr>
        <w:t>Работа по установлению прямых контактов с МСП продолжалась через сайт для МСП, доступный на всех шести языках ООН, а также через ежемесячную новостную электронную рассылку. В 2015</w:t>
      </w:r>
      <w:r>
        <w:rPr>
          <w:color w:val="000000"/>
        </w:rPr>
        <w:t> </w:t>
      </w:r>
      <w:r w:rsidRPr="005177C8">
        <w:rPr>
          <w:color w:val="000000"/>
          <w:lang w:val="ru-RU"/>
        </w:rPr>
        <w:t>г. в целях формирования более релевантной базы подписчиков информационной рассылки были изменены критерии подписки, в результате чего действующим подписчикам рассылки для МСП было нужно подписаться на нее заново.  В результате из рассылочного списка было исключено множество неактивных подписчиков, что позволило сформировать меньшую по размерам, но более релевантную базу пользователей. Было подготовлено пять новых исследований, посвященных конкретным примерам использования ИС малыми и средними предприятиями: (</w:t>
      </w:r>
      <w:r>
        <w:rPr>
          <w:color w:val="000000"/>
        </w:rPr>
        <w:t>i</w:t>
      </w:r>
      <w:r w:rsidRPr="005177C8">
        <w:rPr>
          <w:color w:val="000000"/>
          <w:lang w:val="ru-RU"/>
        </w:rPr>
        <w:t>)</w:t>
      </w:r>
      <w:r>
        <w:rPr>
          <w:color w:val="000000"/>
        </w:rPr>
        <w:t> Ezequiel</w:t>
      </w:r>
      <w:r w:rsidRPr="005177C8">
        <w:rPr>
          <w:color w:val="000000"/>
          <w:lang w:val="ru-RU"/>
        </w:rPr>
        <w:t xml:space="preserve"> </w:t>
      </w:r>
      <w:r>
        <w:rPr>
          <w:color w:val="000000"/>
        </w:rPr>
        <w:t>Farca</w:t>
      </w:r>
      <w:r w:rsidRPr="005177C8">
        <w:rPr>
          <w:color w:val="000000"/>
          <w:lang w:val="ru-RU"/>
        </w:rPr>
        <w:t xml:space="preserve"> (Мексика); (</w:t>
      </w:r>
      <w:r>
        <w:rPr>
          <w:color w:val="000000"/>
        </w:rPr>
        <w:t>ii</w:t>
      </w:r>
      <w:r w:rsidRPr="005177C8">
        <w:rPr>
          <w:color w:val="000000"/>
          <w:lang w:val="ru-RU"/>
        </w:rPr>
        <w:t>)</w:t>
      </w:r>
      <w:r>
        <w:rPr>
          <w:color w:val="000000"/>
        </w:rPr>
        <w:t> Haldiram</w:t>
      </w:r>
      <w:r w:rsidRPr="005177C8">
        <w:rPr>
          <w:color w:val="000000"/>
          <w:lang w:val="ru-RU"/>
        </w:rPr>
        <w:t xml:space="preserve"> (Индия), (</w:t>
      </w:r>
      <w:r>
        <w:rPr>
          <w:color w:val="000000"/>
        </w:rPr>
        <w:t>iii</w:t>
      </w:r>
      <w:r w:rsidRPr="005177C8">
        <w:rPr>
          <w:color w:val="000000"/>
          <w:lang w:val="ru-RU"/>
        </w:rPr>
        <w:t>)</w:t>
      </w:r>
      <w:r>
        <w:rPr>
          <w:color w:val="000000"/>
        </w:rPr>
        <w:t> Wondereight</w:t>
      </w:r>
      <w:r w:rsidRPr="005177C8">
        <w:rPr>
          <w:color w:val="000000"/>
          <w:lang w:val="ru-RU"/>
        </w:rPr>
        <w:t xml:space="preserve"> (Ливан); (</w:t>
      </w:r>
      <w:r>
        <w:rPr>
          <w:color w:val="000000"/>
        </w:rPr>
        <w:t>iv</w:t>
      </w:r>
      <w:r w:rsidRPr="005177C8">
        <w:rPr>
          <w:color w:val="000000"/>
          <w:lang w:val="ru-RU"/>
        </w:rPr>
        <w:t>)</w:t>
      </w:r>
      <w:r>
        <w:rPr>
          <w:color w:val="000000"/>
        </w:rPr>
        <w:t> HSCO</w:t>
      </w:r>
      <w:r w:rsidRPr="005177C8">
        <w:rPr>
          <w:color w:val="000000"/>
          <w:lang w:val="ru-RU"/>
        </w:rPr>
        <w:t xml:space="preserve"> </w:t>
      </w:r>
      <w:r>
        <w:rPr>
          <w:color w:val="000000"/>
        </w:rPr>
        <w:t>LLP</w:t>
      </w:r>
      <w:r w:rsidRPr="005177C8">
        <w:rPr>
          <w:color w:val="000000"/>
          <w:lang w:val="ru-RU"/>
        </w:rPr>
        <w:t xml:space="preserve"> (Соединенное Королевство/Иордания): разработка экономически доступного программного обеспечения для малых предприятий; и (</w:t>
      </w:r>
      <w:r>
        <w:rPr>
          <w:color w:val="000000"/>
        </w:rPr>
        <w:t>v</w:t>
      </w:r>
      <w:r w:rsidRPr="005177C8">
        <w:rPr>
          <w:color w:val="000000"/>
          <w:lang w:val="ru-RU"/>
        </w:rPr>
        <w:t>)</w:t>
      </w:r>
      <w:r>
        <w:rPr>
          <w:color w:val="000000"/>
        </w:rPr>
        <w:t> PipeWay</w:t>
      </w:r>
      <w:r w:rsidRPr="005177C8">
        <w:rPr>
          <w:color w:val="000000"/>
          <w:lang w:val="ru-RU"/>
        </w:rPr>
        <w:t xml:space="preserve"> </w:t>
      </w:r>
      <w:r>
        <w:rPr>
          <w:color w:val="000000"/>
        </w:rPr>
        <w:t>Engenharia</w:t>
      </w:r>
      <w:r w:rsidRPr="005177C8">
        <w:rPr>
          <w:color w:val="000000"/>
          <w:lang w:val="ru-RU"/>
        </w:rPr>
        <w:t xml:space="preserve"> (Бразилия): надежное энергообеспечение. Материалы двух последних проектов были внесены в базу данных «</w:t>
      </w:r>
      <w:r>
        <w:rPr>
          <w:color w:val="000000"/>
        </w:rPr>
        <w:t>IP</w:t>
      </w:r>
      <w:r w:rsidRPr="005177C8">
        <w:rPr>
          <w:color w:val="000000"/>
          <w:lang w:val="ru-RU"/>
        </w:rPr>
        <w:t xml:space="preserve"> </w:t>
      </w:r>
      <w:r>
        <w:rPr>
          <w:color w:val="000000"/>
        </w:rPr>
        <w:t>Advantage</w:t>
      </w:r>
      <w:r w:rsidRPr="005177C8">
        <w:rPr>
          <w:color w:val="000000"/>
          <w:lang w:val="ru-RU"/>
        </w:rPr>
        <w:t xml:space="preserve">». </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color w:val="000000"/>
          <w:lang w:val="ru-RU"/>
        </w:rPr>
        <w:t>Выполняя рекомендации</w:t>
      </w:r>
      <w:r>
        <w:rPr>
          <w:color w:val="000000"/>
        </w:rPr>
        <w:t> </w:t>
      </w:r>
      <w:r w:rsidRPr="005177C8">
        <w:rPr>
          <w:color w:val="000000"/>
          <w:lang w:val="ru-RU"/>
        </w:rPr>
        <w:t>1,</w:t>
      </w:r>
      <w:r>
        <w:rPr>
          <w:color w:val="000000"/>
        </w:rPr>
        <w:t> </w:t>
      </w:r>
      <w:r w:rsidRPr="005177C8">
        <w:rPr>
          <w:color w:val="000000"/>
          <w:lang w:val="ru-RU"/>
        </w:rPr>
        <w:t>4,</w:t>
      </w:r>
      <w:r>
        <w:rPr>
          <w:color w:val="000000"/>
        </w:rPr>
        <w:t> </w:t>
      </w:r>
      <w:r w:rsidRPr="005177C8">
        <w:rPr>
          <w:color w:val="000000"/>
          <w:lang w:val="ru-RU"/>
        </w:rPr>
        <w:t>10 и</w:t>
      </w:r>
      <w:r>
        <w:rPr>
          <w:color w:val="000000"/>
        </w:rPr>
        <w:t> </w:t>
      </w:r>
      <w:r w:rsidRPr="005177C8">
        <w:rPr>
          <w:color w:val="000000"/>
          <w:lang w:val="ru-RU"/>
        </w:rPr>
        <w:t>11</w:t>
      </w:r>
      <w:r>
        <w:rPr>
          <w:color w:val="000000"/>
        </w:rPr>
        <w:t> </w:t>
      </w:r>
      <w:r w:rsidRPr="005177C8">
        <w:rPr>
          <w:color w:val="000000"/>
          <w:lang w:val="ru-RU"/>
        </w:rPr>
        <w:t>ПДР, сотрудники программы организовали или участвовали в организации 40 семинаров, практикумов или курсов обучения преподавателей для малых и средних предприятий по вопросам управления правами ИС в 30 странах, в основном в развивающихся странах и НРС Африки, Арабского региона, Азиатско-Тихоокеанского региона и региона Латинской Америки и Карибского бассейн, а также в странах с переходной экономикой.  Эти программы проводились 29 экспертами и докладчиками из развивающихся стран (13), стран с переходной экономикой</w:t>
      </w:r>
      <w:r>
        <w:rPr>
          <w:color w:val="000000"/>
        </w:rPr>
        <w:t> </w:t>
      </w:r>
      <w:r w:rsidRPr="005177C8">
        <w:rPr>
          <w:color w:val="000000"/>
          <w:lang w:val="ru-RU"/>
        </w:rPr>
        <w:t>(4) и развитых стран</w:t>
      </w:r>
      <w:r>
        <w:rPr>
          <w:color w:val="000000"/>
        </w:rPr>
        <w:t> </w:t>
      </w:r>
      <w:r w:rsidRPr="005177C8">
        <w:rPr>
          <w:color w:val="000000"/>
          <w:lang w:val="ru-RU"/>
        </w:rPr>
        <w:t>(12). В них приняли участие почти 2</w:t>
      </w:r>
      <w:r>
        <w:rPr>
          <w:color w:val="000000"/>
        </w:rPr>
        <w:t> </w:t>
      </w:r>
      <w:r w:rsidRPr="005177C8">
        <w:rPr>
          <w:color w:val="000000"/>
          <w:lang w:val="ru-RU"/>
        </w:rPr>
        <w:t>000</w:t>
      </w:r>
      <w:r>
        <w:rPr>
          <w:color w:val="000000"/>
        </w:rPr>
        <w:t> </w:t>
      </w:r>
      <w:r w:rsidRPr="005177C8">
        <w:rPr>
          <w:color w:val="000000"/>
          <w:lang w:val="ru-RU"/>
        </w:rPr>
        <w:t>представителей МСП и поддерживающих МСП институтов из 93 стран, включая 21</w:t>
      </w:r>
      <w:r>
        <w:rPr>
          <w:color w:val="000000"/>
        </w:rPr>
        <w:t> </w:t>
      </w:r>
      <w:r w:rsidRPr="005177C8">
        <w:rPr>
          <w:color w:val="000000"/>
          <w:lang w:val="ru-RU"/>
        </w:rPr>
        <w:t>НРС, 56</w:t>
      </w:r>
      <w:r>
        <w:rPr>
          <w:color w:val="000000"/>
        </w:rPr>
        <w:t> </w:t>
      </w:r>
      <w:r w:rsidRPr="005177C8">
        <w:rPr>
          <w:color w:val="000000"/>
          <w:lang w:val="ru-RU"/>
        </w:rPr>
        <w:t>развивающихся стран и 16</w:t>
      </w:r>
      <w:r>
        <w:rPr>
          <w:color w:val="000000"/>
        </w:rPr>
        <w:t> </w:t>
      </w:r>
      <w:r w:rsidRPr="005177C8">
        <w:rPr>
          <w:color w:val="000000"/>
          <w:lang w:val="ru-RU"/>
        </w:rPr>
        <w:t>стран с переходной экономикой.  Чаще беря на себя лидирующую роль, ведомства ИС и/или торговые палаты соответствующих государств-членов активно участвовали в работе на этапах планирования и внесли значительный вклад в разработку и реализацию программ, в том числе при отборе докладчиков и тем для обсуждения.  Кроме того, программа обучения преподавателей включала круглый стол для обсуждения темы «Информированность МСП о механизмах ИС и использование ИС такими предприятиями», где были рассмотрены трудности, с которыми сталкиваются местные малые и средние предприятия и поддерживающие их работу учреждения, и выработана «дорожная карта» для преодоления таких трудностей в соответствии с рекомендацией</w:t>
      </w:r>
      <w:r>
        <w:rPr>
          <w:color w:val="000000"/>
        </w:rPr>
        <w:t> </w:t>
      </w:r>
      <w:r w:rsidRPr="005177C8">
        <w:rPr>
          <w:color w:val="000000"/>
          <w:lang w:val="ru-RU"/>
        </w:rPr>
        <w:t xml:space="preserve">4. </w:t>
      </w:r>
    </w:p>
    <w:p w:rsidR="005177C8" w:rsidRPr="005177C8" w:rsidRDefault="005177C8" w:rsidP="005177C8">
      <w:pPr>
        <w:autoSpaceDE w:val="0"/>
        <w:autoSpaceDN w:val="0"/>
        <w:adjustRightInd w:val="0"/>
        <w:jc w:val="both"/>
        <w:rPr>
          <w:caps/>
          <w:lang w:val="ru-RU"/>
        </w:rPr>
      </w:pPr>
    </w:p>
    <w:p w:rsidR="005177C8" w:rsidRPr="005177C8" w:rsidRDefault="005177C8" w:rsidP="005177C8">
      <w:pPr>
        <w:autoSpaceDE w:val="0"/>
        <w:autoSpaceDN w:val="0"/>
        <w:adjustRightInd w:val="0"/>
        <w:jc w:val="both"/>
        <w:rPr>
          <w:caps/>
          <w:lang w:val="ru-RU"/>
        </w:rPr>
      </w:pPr>
    </w:p>
    <w:p w:rsidR="005177C8" w:rsidRPr="005177C8" w:rsidRDefault="005177C8" w:rsidP="005177C8">
      <w:pPr>
        <w:autoSpaceDE w:val="0"/>
        <w:autoSpaceDN w:val="0"/>
        <w:adjustRightInd w:val="0"/>
        <w:jc w:val="both"/>
        <w:rPr>
          <w:caps/>
          <w:lang w:val="ru-RU"/>
        </w:rPr>
      </w:pPr>
    </w:p>
    <w:p w:rsidR="005177C8" w:rsidRPr="00852778" w:rsidRDefault="005177C8" w:rsidP="005177C8">
      <w:pPr>
        <w:autoSpaceDE w:val="0"/>
        <w:autoSpaceDN w:val="0"/>
        <w:adjustRightInd w:val="0"/>
        <w:jc w:val="both"/>
        <w:rPr>
          <w:rFonts w:cs="Arial"/>
          <w:caps/>
          <w:szCs w:val="20"/>
        </w:rPr>
      </w:pPr>
      <w:r>
        <w:rPr>
          <w:caps/>
        </w:rPr>
        <w:t>Политика в области инноваций</w:t>
      </w:r>
    </w:p>
    <w:p w:rsidR="005177C8" w:rsidRPr="00D75CA2" w:rsidRDefault="005177C8" w:rsidP="005177C8">
      <w:pPr>
        <w:autoSpaceDE w:val="0"/>
        <w:autoSpaceDN w:val="0"/>
        <w:adjustRightInd w:val="0"/>
        <w:jc w:val="both"/>
        <w:rPr>
          <w:caps/>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color w:val="000000"/>
          <w:lang w:val="ru-RU"/>
        </w:rPr>
        <w:t>В рассматриваемый двухлетний период продолжалась работа по выявлению областей, в которых механизмы ИС могут способствовать реализации инновационной политики. После успешного осуществления в прошлый двухлетний период в Сербии пилотного проекта «Интеграция вопросов ИС в процесс разработки инновационной политики» были запущены национальные проекты в Камеруне, Ямайке, Руанде, Шри-Ланке, а также Тринидаде и Тобаго.  Цель этих проектов состояла в том, чтобы наметить основную структуру инновационной системы соответствующей страны, выявить основных участников процесса и определить характер их участия в инновационной системе, уровень их информированности о возможностях системы ИС и степень использования ими этих возможностей, а также пробелы и недостатки инновационной системы с точки зрения возможностей использования ИС. Это было сделано для выработки более основательного представления о путях разработки более эффективных национальных стратегий в области ИС и оказания помощи в планировании более адекватной и целевой поддержки услуг, которые предполагается получать от ВОИС. Позитивным итогом этих проектов стало начало сотрудничества с более крупным проектом, осуществляемым в регионе Карибского бассейна за счет средств ЕС и координируемым университетом Аликанте: «</w:t>
      </w:r>
      <w:r>
        <w:rPr>
          <w:color w:val="000000"/>
        </w:rPr>
        <w:t>IPICA</w:t>
      </w:r>
      <w:r w:rsidRPr="005177C8">
        <w:rPr>
          <w:color w:val="000000"/>
          <w:lang w:val="ru-RU"/>
        </w:rPr>
        <w:t xml:space="preserve"> – расширение возможностей для передачи знаний в регионе Карибского бассейна на основе создания эффективных режимов охраны прав ИС и передачи знаний». Кроме того, правительство Шри-Ланки начало проект по эффективному управлению результатами исследований, проводимых в университетах, на основании рекомендаций указанного выше доклада.  </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color w:val="000000"/>
          <w:lang w:val="ru-RU"/>
        </w:rPr>
        <w:t>В целях продолжения работы по интеграции ИС в процесс разработки инновационной политики был проведен обзор литературы по этой теме при содействии Манчестерского института инновационных исследований.  В обзоре были проанализированы рассуждения, споры и дискуссии, которые содержатся в опубликованных работах по тематике на стыке ИС и инновационной политики.</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Default="005177C8" w:rsidP="005177C8">
      <w:pPr>
        <w:pStyle w:val="ListParagraph"/>
        <w:autoSpaceDE w:val="0"/>
        <w:autoSpaceDN w:val="0"/>
        <w:adjustRightInd w:val="0"/>
        <w:ind w:left="0"/>
        <w:jc w:val="both"/>
        <w:rPr>
          <w:rFonts w:cs="Arial"/>
          <w:color w:val="000000"/>
        </w:rPr>
      </w:pPr>
      <w:r>
        <w:rPr>
          <w:color w:val="000000"/>
        </w:rPr>
        <w:t>ИННОВАЦИОННЫЕ СТРУКТУРЫ</w:t>
      </w:r>
    </w:p>
    <w:p w:rsidR="005177C8" w:rsidRPr="00D75CA2" w:rsidRDefault="005177C8" w:rsidP="005177C8">
      <w:pPr>
        <w:pStyle w:val="ListParagraph"/>
        <w:autoSpaceDE w:val="0"/>
        <w:autoSpaceDN w:val="0"/>
        <w:adjustRightInd w:val="0"/>
        <w:ind w:left="0"/>
        <w:jc w:val="both"/>
        <w:rPr>
          <w:rFonts w:cs="Arial"/>
          <w:color w:val="000000"/>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color w:val="000000"/>
          <w:lang w:val="ru-RU"/>
        </w:rPr>
        <w:t>Благодаря адаптированным к конкретным условиям проектам коммерциализации ИС и программам укрепления потенциала, а также оказания государствам</w:t>
      </w:r>
      <w:r>
        <w:rPr>
          <w:color w:val="000000"/>
        </w:rPr>
        <w:t> </w:t>
      </w:r>
      <w:r w:rsidRPr="005177C8">
        <w:rPr>
          <w:color w:val="000000"/>
          <w:lang w:val="ru-RU"/>
        </w:rPr>
        <w:t xml:space="preserve">– членам ВОИС консультационных услуг, программа способствовала формированию достаточной организационно-правовой базы и подготовке профессиональных кадров в интересах содействия творчеству и стратегическому управлению знаниями и результатами научных исследований на основе механизмов ИС, от ранних этапов до этапа коммерциализации технологий с применением механизмов ИС, а также разработке инструментов и процессов такой коммерциализации. </w:t>
      </w:r>
      <w:r w:rsidRPr="005177C8">
        <w:rPr>
          <w:lang w:val="ru-RU"/>
        </w:rPr>
        <w:t>Благодаря использованию специально разработанных подходов к обучению около 2</w:t>
      </w:r>
      <w:r>
        <w:t> </w:t>
      </w:r>
      <w:r w:rsidRPr="005177C8">
        <w:rPr>
          <w:lang w:val="ru-RU"/>
        </w:rPr>
        <w:t>200</w:t>
      </w:r>
      <w:r>
        <w:t> </w:t>
      </w:r>
      <w:r w:rsidRPr="005177C8">
        <w:rPr>
          <w:lang w:val="ru-RU"/>
        </w:rPr>
        <w:t>специалистов (государственных служащих, менеджеров, занимающихся вопросами технологий, ученых и патентных поверенных) прошли очное обучение, а еще 100</w:t>
      </w:r>
      <w:r>
        <w:t> </w:t>
      </w:r>
      <w:r w:rsidRPr="005177C8">
        <w:rPr>
          <w:lang w:val="ru-RU"/>
        </w:rPr>
        <w:t>человек, занимающихся инновационной деятельностью, включая женщин-предпринимателей из Африки, использовали более 123</w:t>
      </w:r>
      <w:r>
        <w:t> </w:t>
      </w:r>
      <w:r w:rsidRPr="005177C8">
        <w:rPr>
          <w:lang w:val="ru-RU"/>
        </w:rPr>
        <w:t xml:space="preserve">практических учебных модулей в режиме дистанционного обучения и видеоконференций.  </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lang w:val="ru-RU"/>
        </w:rPr>
        <w:t>В 2014</w:t>
      </w:r>
      <w:r>
        <w:t> </w:t>
      </w:r>
      <w:r w:rsidRPr="005177C8">
        <w:rPr>
          <w:lang w:val="ru-RU"/>
        </w:rPr>
        <w:t>г. был расширен географический охват проекта «Создание бюро по передаче технологии (БПТ) в Арабском регионе», чтобы более эффективно удовлетворять запросы государств-членов.  В этой связи началась реализация Тунисского плана действий, призванного укрепить правовую базу тунисских учреждений-бенефициаров. Продолжалась работа по укреплению потенциала 4</w:t>
      </w:r>
      <w:r>
        <w:t> </w:t>
      </w:r>
      <w:r w:rsidRPr="005177C8">
        <w:rPr>
          <w:lang w:val="ru-RU"/>
        </w:rPr>
        <w:t>БПТ в Тунисе, что позволило им добиться большей операционной независимости и устойчивости.  В этих целях при содействии ВОИС была завершена работа над институциональными стратегиями ИС для Химико-технологического Центра (</w:t>
      </w:r>
      <w:r>
        <w:t>CTC</w:t>
      </w:r>
      <w:r w:rsidRPr="005177C8">
        <w:rPr>
          <w:lang w:val="ru-RU"/>
        </w:rPr>
        <w:t>), Технопарка «Эг-Газала», Технического центра упаковки «Пактек» и Технопарка в Сиди-Сабете.</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color w:val="000000"/>
          <w:lang w:val="ru-RU"/>
        </w:rPr>
        <w:t>Совместно с внутренними и внешними партнерами были организованы следующие 42</w:t>
      </w:r>
      <w:r>
        <w:rPr>
          <w:color w:val="000000"/>
        </w:rPr>
        <w:t> </w:t>
      </w:r>
      <w:r w:rsidRPr="005177C8">
        <w:rPr>
          <w:color w:val="000000"/>
          <w:lang w:val="ru-RU"/>
        </w:rPr>
        <w:t>учебные программы: 11 программ по составлению патентных заявок, 16 программ по управлению ПИС для университетов и научных учреждений, 12 учебных курсов по эффективным методам лицензирования технологий (</w:t>
      </w:r>
      <w:r>
        <w:rPr>
          <w:color w:val="000000"/>
        </w:rPr>
        <w:t>STL</w:t>
      </w:r>
      <w:r w:rsidRPr="005177C8">
        <w:rPr>
          <w:color w:val="000000"/>
          <w:lang w:val="ru-RU"/>
        </w:rPr>
        <w:t>) и три учебных курса по оценке и маркетингу активов ИС. В 2014–2015</w:t>
      </w:r>
      <w:r>
        <w:rPr>
          <w:color w:val="000000"/>
        </w:rPr>
        <w:t> </w:t>
      </w:r>
      <w:r w:rsidRPr="005177C8">
        <w:rPr>
          <w:color w:val="000000"/>
          <w:lang w:val="ru-RU"/>
        </w:rPr>
        <w:t>гг. были включены следующие новые темы: (</w:t>
      </w:r>
      <w:r>
        <w:rPr>
          <w:color w:val="000000"/>
        </w:rPr>
        <w:t>i</w:t>
      </w:r>
      <w:r w:rsidRPr="005177C8">
        <w:rPr>
          <w:color w:val="000000"/>
          <w:lang w:val="ru-RU"/>
        </w:rPr>
        <w:t>)</w:t>
      </w:r>
      <w:r>
        <w:rPr>
          <w:color w:val="000000"/>
        </w:rPr>
        <w:t> </w:t>
      </w:r>
      <w:r w:rsidRPr="005177C8">
        <w:rPr>
          <w:color w:val="000000"/>
          <w:lang w:val="ru-RU"/>
        </w:rPr>
        <w:t>охрана ИС, (</w:t>
      </w:r>
      <w:r>
        <w:rPr>
          <w:color w:val="000000"/>
        </w:rPr>
        <w:t>ii</w:t>
      </w:r>
      <w:r w:rsidRPr="005177C8">
        <w:rPr>
          <w:color w:val="000000"/>
          <w:lang w:val="ru-RU"/>
        </w:rPr>
        <w:t>)</w:t>
      </w:r>
      <w:r>
        <w:rPr>
          <w:color w:val="000000"/>
        </w:rPr>
        <w:t> </w:t>
      </w:r>
      <w:r w:rsidRPr="005177C8">
        <w:rPr>
          <w:color w:val="000000"/>
          <w:lang w:val="ru-RU"/>
        </w:rPr>
        <w:t>стратегии коммерциализации результатов исследований для университетов и учреждений, занимающихся НИОКР, и интерпретация патентной документации для судебной службы, а также (</w:t>
      </w:r>
      <w:r>
        <w:rPr>
          <w:color w:val="000000"/>
        </w:rPr>
        <w:t>iii</w:t>
      </w:r>
      <w:r w:rsidRPr="005177C8">
        <w:rPr>
          <w:color w:val="000000"/>
          <w:lang w:val="ru-RU"/>
        </w:rPr>
        <w:t>)</w:t>
      </w:r>
      <w:r>
        <w:rPr>
          <w:color w:val="000000"/>
        </w:rPr>
        <w:t> </w:t>
      </w:r>
      <w:r w:rsidRPr="005177C8">
        <w:rPr>
          <w:color w:val="000000"/>
          <w:lang w:val="ru-RU"/>
        </w:rPr>
        <w:t>маркетинг ИС для университетов.</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color w:val="000000"/>
          <w:lang w:val="ru-RU"/>
        </w:rPr>
      </w:pPr>
      <w:r w:rsidRPr="005177C8">
        <w:rPr>
          <w:lang w:val="ru-RU"/>
        </w:rPr>
        <w:t>В 2014–2015</w:t>
      </w:r>
      <w:r>
        <w:t> </w:t>
      </w:r>
      <w:r w:rsidRPr="005177C8">
        <w:rPr>
          <w:lang w:val="ru-RU"/>
        </w:rPr>
        <w:t>гг. программа «Университетская инициатива» была проанализирована на предмет ее актуальности с точки зрения меняющихся потребностей университетов и учреждений НИОКР государств</w:t>
      </w:r>
      <w:r>
        <w:t> </w:t>
      </w:r>
      <w:r w:rsidRPr="005177C8">
        <w:rPr>
          <w:lang w:val="ru-RU"/>
        </w:rPr>
        <w:t>– членов ВОИС как в развивающихся, так и в развитых странах.  После этого начал применяться двусторонний подход, заключающийся в том, чтобы: (</w:t>
      </w:r>
      <w:r>
        <w:t>i</w:t>
      </w:r>
      <w:r w:rsidRPr="005177C8">
        <w:rPr>
          <w:lang w:val="ru-RU"/>
        </w:rPr>
        <w:t>)</w:t>
      </w:r>
      <w:r>
        <w:t> </w:t>
      </w:r>
      <w:r w:rsidRPr="005177C8">
        <w:rPr>
          <w:lang w:val="ru-RU"/>
        </w:rPr>
        <w:t>способствовать разработке государствами-членами ясной национальной нормативной базы по праву собственности на ПИС, созданные в университетах и научно-исследовательских институтах (НИИ); и (</w:t>
      </w:r>
      <w:r>
        <w:t>ii</w:t>
      </w:r>
      <w:r w:rsidRPr="005177C8">
        <w:rPr>
          <w:lang w:val="ru-RU"/>
        </w:rPr>
        <w:t>)</w:t>
      </w:r>
      <w:r>
        <w:t> </w:t>
      </w:r>
      <w:r w:rsidRPr="005177C8">
        <w:rPr>
          <w:lang w:val="ru-RU"/>
        </w:rPr>
        <w:t>оказывать содействие государствам-членам в разработке институциональных стратегий ИС и механизмов их поддержки, которые должны обеспечивать надлежащий баланс между охраной ИС и доступом к знаниям.</w:t>
      </w:r>
      <w:r w:rsidRPr="005177C8">
        <w:rPr>
          <w:color w:val="000000"/>
          <w:lang w:val="ru-RU"/>
        </w:rPr>
        <w:t xml:space="preserve">  В 2015</w:t>
      </w:r>
      <w:r>
        <w:rPr>
          <w:color w:val="000000"/>
        </w:rPr>
        <w:t> </w:t>
      </w:r>
      <w:r w:rsidRPr="005177C8">
        <w:rPr>
          <w:color w:val="000000"/>
          <w:lang w:val="ru-RU"/>
        </w:rPr>
        <w:t>г. в Ботсване началась реализация проекта, направленного на создание национальной типовой институциональной политики в области ИС в целях содействия усилиям университетов и НИИ по разработке внутренней политики.</w:t>
      </w:r>
    </w:p>
    <w:p w:rsidR="005177C8" w:rsidRPr="005177C8" w:rsidRDefault="005177C8" w:rsidP="005177C8">
      <w:pPr>
        <w:pStyle w:val="ListParagraph"/>
        <w:autoSpaceDE w:val="0"/>
        <w:autoSpaceDN w:val="0"/>
        <w:adjustRightInd w:val="0"/>
        <w:ind w:left="0"/>
        <w:jc w:val="both"/>
        <w:rPr>
          <w:rFonts w:cs="Arial"/>
          <w:color w:val="000000"/>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lang w:val="ru-RU"/>
        </w:rPr>
      </w:pPr>
      <w:r w:rsidRPr="005177C8">
        <w:rPr>
          <w:lang w:val="ru-RU"/>
        </w:rPr>
        <w:t>В соответствии с рекомендациями 19, 25, 26 и 28</w:t>
      </w:r>
      <w:r>
        <w:t> </w:t>
      </w:r>
      <w:r w:rsidRPr="005177C8">
        <w:rPr>
          <w:lang w:val="ru-RU"/>
        </w:rPr>
        <w:t>ПДР, в рамках проекта «Интеллектуальная собственность и передача технологии: общие проблемы – построение решений» все шесть исследований по различным аспектам передачи технологии прошли независимую оценку международных экспертов и были вынесены в ноябре 2014</w:t>
      </w:r>
      <w:r>
        <w:t> </w:t>
      </w:r>
      <w:r w:rsidRPr="005177C8">
        <w:rPr>
          <w:lang w:val="ru-RU"/>
        </w:rPr>
        <w:t>г. на рассмотрение участников четырнадцатой сессии КРИС. По итогам исследований, как предусматривалось утвержденным проектным документом, был подготовлен концептуальный документ по разработке решений, который обсуждался на Международном форуме экспертов высокого уровня в Женеве 16–18 февраля 2015</w:t>
      </w:r>
      <w:r>
        <w:t> </w:t>
      </w:r>
      <w:r w:rsidRPr="005177C8">
        <w:rPr>
          <w:lang w:val="ru-RU"/>
        </w:rPr>
        <w:t>г. Пятнадцатой сессии Комитета был представлен доклад о работе экспертного форума ВОИС по международной передаче технологий, который обсуждался вместе с отчетом об оценке проекта на шестнадцатой сессии КРИС.</w:t>
      </w:r>
    </w:p>
    <w:p w:rsidR="005177C8" w:rsidRPr="005177C8" w:rsidRDefault="005177C8" w:rsidP="005177C8">
      <w:pPr>
        <w:pStyle w:val="ListParagraph"/>
        <w:autoSpaceDE w:val="0"/>
        <w:autoSpaceDN w:val="0"/>
        <w:adjustRightInd w:val="0"/>
        <w:ind w:left="0"/>
        <w:jc w:val="both"/>
        <w:rPr>
          <w:rFonts w:cs="Arial"/>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lang w:val="ru-RU"/>
        </w:rPr>
      </w:pPr>
      <w:r w:rsidRPr="005177C8">
        <w:rPr>
          <w:lang w:val="ru-RU"/>
        </w:rPr>
        <w:t>В январе 2014</w:t>
      </w:r>
      <w:r>
        <w:t> </w:t>
      </w:r>
      <w:r w:rsidRPr="005177C8">
        <w:rPr>
          <w:lang w:val="ru-RU"/>
        </w:rPr>
        <w:t xml:space="preserve">г. в рамках выполнения рекомендации 36 ПДР и в связи с реализацией проекта «Открытые партнерские проекты и модели, основанные на использовании механизмов ИС» в штаб-квартире ВОИС прошла встреча экспертов в формате конференции ВОИС «Открытые инновации: партнерские проекты и эволюция знаний в будущем». </w:t>
      </w:r>
      <w:r>
        <w:t> </w:t>
      </w:r>
      <w:r w:rsidRPr="005177C8">
        <w:rPr>
          <w:lang w:val="ru-RU"/>
        </w:rPr>
        <w:t>Кроме того, были завершены следующие исследования: «Подробное оценочное исследование» и исследование «Глобальные потоки знаний». Они были представлены участникам четырнадцатой сессии КРИС и будут включены в разрабатываемую Интерактивную платформу ВОИС. Отчет об оценке проекта обсуждался на пятнадцатой сессии Комитета</w:t>
      </w:r>
    </w:p>
    <w:p w:rsidR="005177C8" w:rsidRPr="005177C8" w:rsidRDefault="005177C8" w:rsidP="005177C8">
      <w:pPr>
        <w:spacing w:after="200" w:line="276" w:lineRule="auto"/>
        <w:rPr>
          <w:rFonts w:cs="Arial"/>
          <w:szCs w:val="20"/>
          <w:lang w:val="ru-RU"/>
        </w:rPr>
      </w:pPr>
    </w:p>
    <w:p w:rsidR="005177C8" w:rsidRPr="005177C8" w:rsidRDefault="005177C8" w:rsidP="005177C8">
      <w:pPr>
        <w:spacing w:after="200" w:line="276" w:lineRule="auto"/>
        <w:rPr>
          <w:sz w:val="22"/>
          <w:lang w:val="ru-RU"/>
        </w:rPr>
      </w:pPr>
      <w:r w:rsidRPr="005177C8">
        <w:rPr>
          <w:sz w:val="22"/>
          <w:lang w:val="ru-RU"/>
        </w:rPr>
        <w:br w:type="page"/>
      </w:r>
    </w:p>
    <w:p w:rsidR="005177C8" w:rsidRPr="00136AA7" w:rsidRDefault="005177C8" w:rsidP="005177C8">
      <w:pPr>
        <w:jc w:val="both"/>
        <w:rPr>
          <w:rFonts w:cs="Arial"/>
          <w:sz w:val="22"/>
          <w:szCs w:val="20"/>
        </w:rPr>
      </w:pPr>
      <w:r>
        <w:rPr>
          <w:sz w:val="22"/>
        </w:rPr>
        <w:t>ДАННЫЕ О РЕЗУЛЬТАТИВНОСТИ</w:t>
      </w:r>
    </w:p>
    <w:p w:rsidR="005177C8" w:rsidRDefault="005177C8" w:rsidP="005177C8">
      <w:pPr>
        <w:tabs>
          <w:tab w:val="left" w:pos="720"/>
        </w:tabs>
        <w:rPr>
          <w:rFonts w:cs="Arial"/>
        </w:rPr>
      </w:pPr>
    </w:p>
    <w:tbl>
      <w:tblPr>
        <w:tblW w:w="5084"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23"/>
        <w:gridCol w:w="1863"/>
        <w:gridCol w:w="1419"/>
        <w:gridCol w:w="3258"/>
        <w:gridCol w:w="1069"/>
      </w:tblGrid>
      <w:tr w:rsidR="005177C8" w:rsidRPr="005C6ABD" w:rsidTr="005177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5177C8" w:rsidRPr="005177C8" w:rsidRDefault="005177C8" w:rsidP="00AD2B92">
            <w:pPr>
              <w:keepNext/>
              <w:keepLines/>
              <w:tabs>
                <w:tab w:val="left" w:pos="2160"/>
              </w:tabs>
              <w:spacing w:before="120" w:after="120"/>
              <w:ind w:left="2160" w:hanging="2160"/>
              <w:rPr>
                <w:rFonts w:cs="Arial"/>
                <w:b/>
                <w:bCs/>
                <w:sz w:val="16"/>
                <w:szCs w:val="16"/>
                <w:lang w:val="ru-RU"/>
              </w:rPr>
            </w:pPr>
            <w:r w:rsidRPr="005177C8">
              <w:rPr>
                <w:b/>
                <w:sz w:val="16"/>
                <w:szCs w:val="16"/>
                <w:lang w:val="ru-RU"/>
              </w:rPr>
              <w:t xml:space="preserve">Ожидаемый результат: </w:t>
            </w:r>
            <w:r w:rsidRPr="005177C8">
              <w:rPr>
                <w:sz w:val="16"/>
                <w:szCs w:val="16"/>
                <w:lang w:val="ru-RU"/>
              </w:rPr>
              <w:tab/>
            </w:r>
            <w:r w:rsidRPr="008C07F6">
              <w:rPr>
                <w:sz w:val="16"/>
                <w:szCs w:val="16"/>
              </w:rPr>
              <w:t>III</w:t>
            </w:r>
            <w:r w:rsidRPr="005177C8">
              <w:rPr>
                <w:sz w:val="16"/>
                <w:szCs w:val="16"/>
                <w:lang w:val="ru-RU"/>
              </w:rPr>
              <w:t>.1. Национальные стратегии и планы в области и</w:t>
            </w:r>
            <w:r w:rsidR="00AD2B92">
              <w:rPr>
                <w:sz w:val="16"/>
                <w:szCs w:val="16"/>
                <w:lang w:val="ru-RU"/>
              </w:rPr>
              <w:t xml:space="preserve">нноваций и ИС, согласующиеся с </w:t>
            </w:r>
            <w:r w:rsidRPr="005177C8">
              <w:rPr>
                <w:sz w:val="16"/>
                <w:szCs w:val="16"/>
                <w:lang w:val="ru-RU"/>
              </w:rPr>
              <w:t>целями национального развития</w:t>
            </w:r>
          </w:p>
        </w:tc>
      </w:tr>
      <w:tr w:rsidR="005177C8" w:rsidRPr="008C07F6" w:rsidTr="005177C8">
        <w:trPr>
          <w:cantSplit/>
        </w:trPr>
        <w:tc>
          <w:tcPr>
            <w:tcW w:w="1091" w:type="pct"/>
            <w:tcBorders>
              <w:top w:val="single" w:sz="4" w:space="0" w:color="auto"/>
            </w:tcBorders>
            <w:vAlign w:val="center"/>
          </w:tcPr>
          <w:p w:rsidR="005177C8" w:rsidRPr="008C07F6" w:rsidRDefault="005177C8" w:rsidP="005177C8">
            <w:pPr>
              <w:rPr>
                <w:rFonts w:cs="Arial"/>
                <w:sz w:val="16"/>
                <w:szCs w:val="16"/>
              </w:rPr>
            </w:pPr>
            <w:r w:rsidRPr="008C07F6">
              <w:rPr>
                <w:b/>
                <w:sz w:val="16"/>
                <w:szCs w:val="16"/>
              </w:rPr>
              <w:t>Показатели результативности</w:t>
            </w:r>
          </w:p>
        </w:tc>
        <w:tc>
          <w:tcPr>
            <w:tcW w:w="957" w:type="pct"/>
            <w:tcBorders>
              <w:top w:val="single" w:sz="4" w:space="0" w:color="auto"/>
            </w:tcBorders>
            <w:shd w:val="clear" w:color="auto" w:fill="auto"/>
            <w:vAlign w:val="center"/>
          </w:tcPr>
          <w:p w:rsidR="005177C8" w:rsidRPr="008C07F6" w:rsidRDefault="005177C8" w:rsidP="005177C8">
            <w:pPr>
              <w:rPr>
                <w:rFonts w:cs="Arial"/>
                <w:b/>
                <w:bCs/>
                <w:sz w:val="16"/>
                <w:szCs w:val="16"/>
              </w:rPr>
            </w:pPr>
            <w:r w:rsidRPr="008C07F6">
              <w:rPr>
                <w:b/>
                <w:sz w:val="16"/>
                <w:szCs w:val="16"/>
              </w:rPr>
              <w:t>Базовые показатели</w:t>
            </w:r>
          </w:p>
        </w:tc>
        <w:tc>
          <w:tcPr>
            <w:tcW w:w="729" w:type="pct"/>
            <w:tcBorders>
              <w:top w:val="single" w:sz="4" w:space="0" w:color="auto"/>
            </w:tcBorders>
            <w:tcMar>
              <w:top w:w="110" w:type="dxa"/>
            </w:tcMar>
            <w:vAlign w:val="center"/>
          </w:tcPr>
          <w:p w:rsidR="005177C8" w:rsidRPr="008C07F6" w:rsidRDefault="005177C8" w:rsidP="005177C8">
            <w:pPr>
              <w:rPr>
                <w:rFonts w:cs="Arial"/>
                <w:b/>
                <w:sz w:val="16"/>
                <w:szCs w:val="16"/>
              </w:rPr>
            </w:pPr>
            <w:r w:rsidRPr="008C07F6">
              <w:rPr>
                <w:b/>
                <w:sz w:val="16"/>
                <w:szCs w:val="16"/>
              </w:rPr>
              <w:t>Цели</w:t>
            </w:r>
          </w:p>
        </w:tc>
        <w:tc>
          <w:tcPr>
            <w:tcW w:w="1674" w:type="pct"/>
            <w:tcBorders>
              <w:top w:val="single" w:sz="4" w:space="0" w:color="auto"/>
            </w:tcBorders>
            <w:shd w:val="clear" w:color="auto" w:fill="FFFFFF"/>
            <w:tcMar>
              <w:top w:w="110" w:type="dxa"/>
            </w:tcMar>
            <w:vAlign w:val="center"/>
          </w:tcPr>
          <w:p w:rsidR="005177C8" w:rsidRPr="008C07F6" w:rsidRDefault="005177C8" w:rsidP="005177C8">
            <w:pPr>
              <w:rPr>
                <w:rFonts w:cs="Arial"/>
                <w:sz w:val="16"/>
                <w:szCs w:val="16"/>
              </w:rPr>
            </w:pPr>
            <w:r w:rsidRPr="008C07F6">
              <w:rPr>
                <w:b/>
                <w:sz w:val="16"/>
                <w:szCs w:val="16"/>
              </w:rPr>
              <w:t>Данные о результативности</w:t>
            </w:r>
          </w:p>
        </w:tc>
        <w:tc>
          <w:tcPr>
            <w:tcW w:w="548" w:type="pct"/>
            <w:tcBorders>
              <w:top w:val="single" w:sz="4" w:space="0" w:color="auto"/>
            </w:tcBorders>
            <w:tcMar>
              <w:top w:w="110" w:type="dxa"/>
            </w:tcMar>
            <w:vAlign w:val="center"/>
          </w:tcPr>
          <w:p w:rsidR="005177C8" w:rsidRPr="008C07F6" w:rsidRDefault="005177C8" w:rsidP="005177C8">
            <w:pPr>
              <w:keepNext/>
              <w:keepLines/>
              <w:jc w:val="center"/>
              <w:rPr>
                <w:rFonts w:cs="Arial"/>
                <w:b/>
                <w:bCs/>
                <w:sz w:val="16"/>
                <w:szCs w:val="16"/>
              </w:rPr>
            </w:pPr>
            <w:r w:rsidRPr="008C07F6">
              <w:rPr>
                <w:b/>
                <w:sz w:val="16"/>
                <w:szCs w:val="16"/>
              </w:rPr>
              <w:t>CC</w:t>
            </w:r>
          </w:p>
        </w:tc>
      </w:tr>
      <w:tr w:rsidR="005177C8" w:rsidRPr="008C07F6" w:rsidTr="005177C8">
        <w:trPr>
          <w:cantSplit/>
        </w:trPr>
        <w:tc>
          <w:tcPr>
            <w:tcW w:w="1091" w:type="pct"/>
            <w:tcBorders>
              <w:bottom w:val="single" w:sz="4" w:space="0" w:color="auto"/>
            </w:tcBorders>
          </w:tcPr>
          <w:p w:rsidR="005177C8" w:rsidRPr="005177C8" w:rsidRDefault="005177C8" w:rsidP="005177C8">
            <w:pPr>
              <w:rPr>
                <w:rFonts w:cs="Arial"/>
                <w:sz w:val="16"/>
                <w:szCs w:val="16"/>
                <w:lang w:val="ru-RU"/>
              </w:rPr>
            </w:pPr>
            <w:r w:rsidRPr="005177C8">
              <w:rPr>
                <w:sz w:val="16"/>
                <w:szCs w:val="16"/>
                <w:lang w:val="ru-RU"/>
              </w:rPr>
              <w:t>Число стран, в которых рассматриваются, приняты или осуществляются национальные стратегии в области инноваций</w:t>
            </w:r>
          </w:p>
        </w:tc>
        <w:tc>
          <w:tcPr>
            <w:tcW w:w="957" w:type="pct"/>
            <w:tcBorders>
              <w:bottom w:val="single" w:sz="4" w:space="0" w:color="auto"/>
            </w:tcBorders>
            <w:shd w:val="clear" w:color="auto" w:fill="auto"/>
          </w:tcPr>
          <w:p w:rsidR="005177C8" w:rsidRPr="005177C8" w:rsidRDefault="005177C8" w:rsidP="005177C8">
            <w:pPr>
              <w:rPr>
                <w:rFonts w:cs="Arial"/>
                <w:color w:val="002060"/>
                <w:sz w:val="16"/>
                <w:szCs w:val="16"/>
                <w:lang w:val="ru-RU"/>
              </w:rPr>
            </w:pPr>
            <w:r w:rsidRPr="005177C8">
              <w:rPr>
                <w:i/>
                <w:color w:val="002060"/>
                <w:sz w:val="16"/>
                <w:szCs w:val="16"/>
                <w:lang w:val="ru-RU"/>
              </w:rPr>
              <w:t>Обновленные базовые показатели, конец 2013</w:t>
            </w:r>
            <w:r w:rsidRPr="008C07F6">
              <w:rPr>
                <w:i/>
                <w:color w:val="002060"/>
                <w:sz w:val="16"/>
                <w:szCs w:val="16"/>
              </w:rPr>
              <w:t> </w:t>
            </w:r>
            <w:r w:rsidRPr="005177C8">
              <w:rPr>
                <w:i/>
                <w:color w:val="002060"/>
                <w:sz w:val="16"/>
                <w:szCs w:val="16"/>
                <w:lang w:val="ru-RU"/>
              </w:rPr>
              <w:t xml:space="preserve">г.: </w:t>
            </w:r>
            <w:r w:rsidRPr="005177C8">
              <w:rPr>
                <w:color w:val="002060"/>
                <w:sz w:val="16"/>
                <w:szCs w:val="16"/>
                <w:lang w:val="ru-RU"/>
              </w:rPr>
              <w:t>1</w:t>
            </w:r>
            <w:r>
              <w:rPr>
                <w:color w:val="002060"/>
                <w:sz w:val="16"/>
                <w:szCs w:val="16"/>
              </w:rPr>
              <w:t> </w:t>
            </w:r>
            <w:r w:rsidRPr="005177C8">
              <w:rPr>
                <w:color w:val="002060"/>
                <w:sz w:val="16"/>
                <w:szCs w:val="16"/>
                <w:lang w:val="ru-RU"/>
              </w:rPr>
              <w:t>страна</w:t>
            </w:r>
          </w:p>
          <w:p w:rsidR="005177C8" w:rsidRPr="005177C8" w:rsidRDefault="005177C8" w:rsidP="005177C8">
            <w:pPr>
              <w:rPr>
                <w:rFonts w:cs="Arial"/>
                <w:i/>
                <w:sz w:val="16"/>
                <w:szCs w:val="16"/>
                <w:lang w:val="ru-RU"/>
              </w:rPr>
            </w:pPr>
          </w:p>
          <w:p w:rsidR="005177C8" w:rsidRPr="005177C8" w:rsidRDefault="005177C8" w:rsidP="005177C8">
            <w:pPr>
              <w:rPr>
                <w:rFonts w:cs="Arial"/>
                <w:sz w:val="16"/>
                <w:szCs w:val="16"/>
                <w:lang w:val="ru-RU"/>
              </w:rPr>
            </w:pPr>
            <w:r w:rsidRPr="005177C8">
              <w:rPr>
                <w:i/>
                <w:sz w:val="16"/>
                <w:szCs w:val="16"/>
                <w:lang w:val="ru-RU"/>
              </w:rPr>
              <w:t>Исходные базовые показатели ПиБ на 2014–2015 гг.:</w:t>
            </w:r>
            <w:r w:rsidRPr="005177C8">
              <w:rPr>
                <w:sz w:val="16"/>
                <w:szCs w:val="16"/>
                <w:lang w:val="ru-RU"/>
              </w:rPr>
              <w:t xml:space="preserve">  будет определено позднее</w:t>
            </w:r>
          </w:p>
          <w:p w:rsidR="005177C8" w:rsidRPr="005177C8" w:rsidRDefault="005177C8" w:rsidP="005177C8">
            <w:pPr>
              <w:rPr>
                <w:rFonts w:cs="Arial"/>
                <w:sz w:val="16"/>
                <w:szCs w:val="16"/>
                <w:lang w:val="ru-RU"/>
              </w:rPr>
            </w:pPr>
          </w:p>
        </w:tc>
        <w:tc>
          <w:tcPr>
            <w:tcW w:w="729" w:type="pct"/>
            <w:tcBorders>
              <w:bottom w:val="single" w:sz="4" w:space="0" w:color="auto"/>
            </w:tcBorders>
            <w:tcMar>
              <w:top w:w="110" w:type="dxa"/>
            </w:tcMar>
          </w:tcPr>
          <w:p w:rsidR="005177C8" w:rsidRPr="008C07F6" w:rsidRDefault="005177C8" w:rsidP="005177C8">
            <w:pPr>
              <w:rPr>
                <w:rFonts w:cs="Arial"/>
                <w:sz w:val="16"/>
                <w:szCs w:val="16"/>
              </w:rPr>
            </w:pPr>
            <w:r w:rsidRPr="008C07F6">
              <w:rPr>
                <w:sz w:val="16"/>
                <w:szCs w:val="16"/>
              </w:rPr>
              <w:t>5 стран</w:t>
            </w:r>
          </w:p>
        </w:tc>
        <w:tc>
          <w:tcPr>
            <w:tcW w:w="1674" w:type="pct"/>
            <w:tcBorders>
              <w:bottom w:val="single" w:sz="4" w:space="0" w:color="auto"/>
            </w:tcBorders>
            <w:shd w:val="clear" w:color="auto" w:fill="FFFFFF"/>
            <w:tcMar>
              <w:top w:w="110" w:type="dxa"/>
            </w:tcMar>
          </w:tcPr>
          <w:p w:rsidR="005177C8" w:rsidRPr="005177C8" w:rsidRDefault="005177C8" w:rsidP="005177C8">
            <w:pPr>
              <w:rPr>
                <w:rFonts w:cs="Arial"/>
                <w:sz w:val="16"/>
                <w:szCs w:val="16"/>
                <w:lang w:val="ru-RU"/>
              </w:rPr>
            </w:pPr>
            <w:r w:rsidRPr="005177C8">
              <w:rPr>
                <w:sz w:val="16"/>
                <w:szCs w:val="16"/>
                <w:lang w:val="ru-RU"/>
              </w:rPr>
              <w:t>В пяти странах началась разработка национальной политики в области инноваций: в Камеруне, Руанде, Ямайке, Шри-Ланке и Тринидаде и Тобаго.</w:t>
            </w:r>
          </w:p>
        </w:tc>
        <w:tc>
          <w:tcPr>
            <w:tcW w:w="548" w:type="pct"/>
            <w:tcBorders>
              <w:bottom w:val="single" w:sz="4" w:space="0" w:color="auto"/>
            </w:tcBorders>
            <w:tcMar>
              <w:top w:w="110" w:type="dxa"/>
            </w:tcMar>
          </w:tcPr>
          <w:p w:rsidR="005177C8" w:rsidRPr="008C07F6" w:rsidRDefault="005177C8" w:rsidP="005177C8">
            <w:pPr>
              <w:keepNext/>
              <w:keepLines/>
              <w:jc w:val="center"/>
              <w:rPr>
                <w:rFonts w:cs="Arial"/>
                <w:b/>
                <w:bCs/>
                <w:color w:val="808080"/>
                <w:sz w:val="16"/>
                <w:szCs w:val="16"/>
              </w:rPr>
            </w:pPr>
            <w:r w:rsidRPr="008C07F6">
              <w:rPr>
                <w:rStyle w:val="Style5"/>
                <w:b/>
                <w:color w:val="00B050"/>
                <w:sz w:val="16"/>
                <w:szCs w:val="16"/>
              </w:rPr>
              <w:t>Выполнено</w:t>
            </w:r>
          </w:p>
        </w:tc>
      </w:tr>
      <w:tr w:rsidR="005177C8" w:rsidRPr="005C6ABD" w:rsidTr="005177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5177C8" w:rsidRPr="005177C8" w:rsidRDefault="005177C8" w:rsidP="00AD2B92">
            <w:pPr>
              <w:keepNext/>
              <w:keepLines/>
              <w:tabs>
                <w:tab w:val="left" w:pos="2160"/>
              </w:tabs>
              <w:spacing w:before="120" w:after="120"/>
              <w:ind w:left="2160" w:hanging="2160"/>
              <w:rPr>
                <w:rFonts w:cs="Arial"/>
                <w:b/>
                <w:bCs/>
                <w:sz w:val="16"/>
                <w:szCs w:val="16"/>
                <w:lang w:val="ru-RU"/>
              </w:rPr>
            </w:pPr>
            <w:r w:rsidRPr="005177C8">
              <w:rPr>
                <w:b/>
                <w:sz w:val="16"/>
                <w:szCs w:val="16"/>
                <w:lang w:val="ru-RU"/>
              </w:rPr>
              <w:t xml:space="preserve">Ожидаемый результат: </w:t>
            </w:r>
            <w:r w:rsidRPr="005177C8">
              <w:rPr>
                <w:sz w:val="16"/>
                <w:szCs w:val="16"/>
                <w:lang w:val="ru-RU"/>
              </w:rPr>
              <w:tab/>
            </w:r>
            <w:r w:rsidRPr="008C07F6">
              <w:rPr>
                <w:sz w:val="16"/>
                <w:szCs w:val="16"/>
              </w:rPr>
              <w:t>III</w:t>
            </w:r>
            <w:r w:rsidRPr="005177C8">
              <w:rPr>
                <w:sz w:val="16"/>
                <w:szCs w:val="16"/>
                <w:lang w:val="ru-RU"/>
              </w:rPr>
              <w:t>.2. Повышение квалификации людских ресурсов для ре</w:t>
            </w:r>
            <w:r w:rsidR="00AD2B92">
              <w:rPr>
                <w:sz w:val="16"/>
                <w:szCs w:val="16"/>
                <w:lang w:val="ru-RU"/>
              </w:rPr>
              <w:t xml:space="preserve">шения широкого круга вопросов, </w:t>
            </w:r>
            <w:r w:rsidRPr="005177C8">
              <w:rPr>
                <w:sz w:val="16"/>
                <w:szCs w:val="16"/>
                <w:lang w:val="ru-RU"/>
              </w:rPr>
              <w:t xml:space="preserve">связанных с эффективным использованием ИС для целей развития в развивающихся </w:t>
            </w:r>
            <w:r w:rsidRPr="005177C8">
              <w:rPr>
                <w:sz w:val="16"/>
                <w:szCs w:val="16"/>
                <w:lang w:val="ru-RU"/>
              </w:rPr>
              <w:tab/>
              <w:t>странах, наименее развитых странах и странах с переходной экономикой</w:t>
            </w:r>
          </w:p>
        </w:tc>
      </w:tr>
      <w:tr w:rsidR="005177C8" w:rsidRPr="008C07F6" w:rsidTr="005177C8">
        <w:trPr>
          <w:cantSplit/>
        </w:trPr>
        <w:tc>
          <w:tcPr>
            <w:tcW w:w="1091" w:type="pct"/>
            <w:tcBorders>
              <w:top w:val="single" w:sz="4" w:space="0" w:color="auto"/>
            </w:tcBorders>
            <w:vAlign w:val="center"/>
          </w:tcPr>
          <w:p w:rsidR="005177C8" w:rsidRPr="008C07F6" w:rsidRDefault="005177C8" w:rsidP="005177C8">
            <w:pPr>
              <w:rPr>
                <w:rFonts w:cs="Arial"/>
                <w:sz w:val="16"/>
                <w:szCs w:val="16"/>
              </w:rPr>
            </w:pPr>
            <w:r w:rsidRPr="008C07F6">
              <w:rPr>
                <w:b/>
                <w:sz w:val="16"/>
                <w:szCs w:val="16"/>
              </w:rPr>
              <w:t>Показатели результативности</w:t>
            </w:r>
          </w:p>
        </w:tc>
        <w:tc>
          <w:tcPr>
            <w:tcW w:w="957" w:type="pct"/>
            <w:tcBorders>
              <w:top w:val="single" w:sz="4" w:space="0" w:color="auto"/>
            </w:tcBorders>
            <w:shd w:val="clear" w:color="auto" w:fill="auto"/>
            <w:vAlign w:val="center"/>
          </w:tcPr>
          <w:p w:rsidR="005177C8" w:rsidRPr="008C07F6" w:rsidRDefault="005177C8" w:rsidP="005177C8">
            <w:pPr>
              <w:rPr>
                <w:rFonts w:cs="Arial"/>
                <w:b/>
                <w:bCs/>
                <w:sz w:val="16"/>
                <w:szCs w:val="16"/>
              </w:rPr>
            </w:pPr>
            <w:r w:rsidRPr="008C07F6">
              <w:rPr>
                <w:b/>
                <w:sz w:val="16"/>
                <w:szCs w:val="16"/>
              </w:rPr>
              <w:t>Базовые показатели</w:t>
            </w:r>
          </w:p>
        </w:tc>
        <w:tc>
          <w:tcPr>
            <w:tcW w:w="729" w:type="pct"/>
            <w:tcBorders>
              <w:top w:val="single" w:sz="4" w:space="0" w:color="auto"/>
            </w:tcBorders>
            <w:tcMar>
              <w:top w:w="110" w:type="dxa"/>
            </w:tcMar>
            <w:vAlign w:val="center"/>
          </w:tcPr>
          <w:p w:rsidR="005177C8" w:rsidRPr="008C07F6" w:rsidRDefault="005177C8" w:rsidP="005177C8">
            <w:pPr>
              <w:rPr>
                <w:rFonts w:cs="Arial"/>
                <w:b/>
                <w:sz w:val="16"/>
                <w:szCs w:val="16"/>
              </w:rPr>
            </w:pPr>
            <w:r w:rsidRPr="008C07F6">
              <w:rPr>
                <w:b/>
                <w:sz w:val="16"/>
                <w:szCs w:val="16"/>
              </w:rPr>
              <w:t>Цели</w:t>
            </w:r>
          </w:p>
        </w:tc>
        <w:tc>
          <w:tcPr>
            <w:tcW w:w="1674" w:type="pct"/>
            <w:tcBorders>
              <w:top w:val="single" w:sz="4" w:space="0" w:color="auto"/>
            </w:tcBorders>
            <w:shd w:val="clear" w:color="auto" w:fill="FFFFFF"/>
            <w:tcMar>
              <w:top w:w="110" w:type="dxa"/>
            </w:tcMar>
            <w:vAlign w:val="center"/>
          </w:tcPr>
          <w:p w:rsidR="005177C8" w:rsidRPr="008C07F6" w:rsidRDefault="005177C8" w:rsidP="005177C8">
            <w:pPr>
              <w:rPr>
                <w:rFonts w:cs="Arial"/>
                <w:sz w:val="16"/>
                <w:szCs w:val="16"/>
              </w:rPr>
            </w:pPr>
            <w:r w:rsidRPr="008C07F6">
              <w:rPr>
                <w:b/>
                <w:sz w:val="16"/>
                <w:szCs w:val="16"/>
              </w:rPr>
              <w:t>Данные о результативности</w:t>
            </w:r>
          </w:p>
        </w:tc>
        <w:tc>
          <w:tcPr>
            <w:tcW w:w="548" w:type="pct"/>
            <w:tcBorders>
              <w:top w:val="single" w:sz="4" w:space="0" w:color="auto"/>
            </w:tcBorders>
            <w:tcMar>
              <w:top w:w="110" w:type="dxa"/>
            </w:tcMar>
            <w:vAlign w:val="center"/>
          </w:tcPr>
          <w:p w:rsidR="005177C8" w:rsidRPr="008C07F6" w:rsidRDefault="005177C8" w:rsidP="005177C8">
            <w:pPr>
              <w:keepNext/>
              <w:keepLines/>
              <w:jc w:val="center"/>
              <w:rPr>
                <w:rFonts w:cs="Arial"/>
                <w:b/>
                <w:bCs/>
                <w:sz w:val="16"/>
                <w:szCs w:val="16"/>
              </w:rPr>
            </w:pPr>
            <w:r w:rsidRPr="008C07F6">
              <w:rPr>
                <w:b/>
                <w:sz w:val="16"/>
                <w:szCs w:val="16"/>
              </w:rPr>
              <w:t>CC</w:t>
            </w:r>
          </w:p>
        </w:tc>
      </w:tr>
      <w:tr w:rsidR="005177C8" w:rsidRPr="008C07F6" w:rsidTr="005177C8">
        <w:trPr>
          <w:cantSplit/>
        </w:trPr>
        <w:tc>
          <w:tcPr>
            <w:tcW w:w="1091" w:type="pct"/>
            <w:tcBorders>
              <w:bottom w:val="single" w:sz="4" w:space="0" w:color="auto"/>
            </w:tcBorders>
          </w:tcPr>
          <w:p w:rsidR="005177C8" w:rsidRPr="005177C8" w:rsidRDefault="005177C8" w:rsidP="005177C8">
            <w:pPr>
              <w:rPr>
                <w:rFonts w:cs="Arial"/>
                <w:sz w:val="16"/>
                <w:szCs w:val="16"/>
                <w:lang w:val="ru-RU"/>
              </w:rPr>
            </w:pPr>
            <w:r w:rsidRPr="005177C8">
              <w:rPr>
                <w:sz w:val="16"/>
                <w:szCs w:val="16"/>
                <w:lang w:val="ru-RU"/>
              </w:rPr>
              <w:t>Доля (%) прошедших подготовку специалистов в области ИС, использующих полученные знания в работе</w:t>
            </w:r>
          </w:p>
        </w:tc>
        <w:tc>
          <w:tcPr>
            <w:tcW w:w="957" w:type="pct"/>
            <w:tcBorders>
              <w:bottom w:val="single" w:sz="4" w:space="0" w:color="auto"/>
            </w:tcBorders>
            <w:shd w:val="clear" w:color="auto" w:fill="auto"/>
          </w:tcPr>
          <w:p w:rsidR="005177C8" w:rsidRPr="005177C8" w:rsidRDefault="005177C8" w:rsidP="005177C8">
            <w:pPr>
              <w:rPr>
                <w:rFonts w:cs="Arial"/>
                <w:color w:val="002060"/>
                <w:sz w:val="16"/>
                <w:szCs w:val="16"/>
                <w:lang w:val="ru-RU"/>
              </w:rPr>
            </w:pPr>
            <w:r w:rsidRPr="005177C8">
              <w:rPr>
                <w:i/>
                <w:color w:val="002060"/>
                <w:sz w:val="16"/>
                <w:szCs w:val="16"/>
                <w:lang w:val="ru-RU"/>
              </w:rPr>
              <w:t>Обновленные базовые показатели, конец 2013</w:t>
            </w:r>
            <w:r w:rsidRPr="008C07F6">
              <w:rPr>
                <w:i/>
                <w:color w:val="002060"/>
                <w:sz w:val="16"/>
                <w:szCs w:val="16"/>
              </w:rPr>
              <w:t> </w:t>
            </w:r>
            <w:r w:rsidRPr="005177C8">
              <w:rPr>
                <w:i/>
                <w:color w:val="002060"/>
                <w:sz w:val="16"/>
                <w:szCs w:val="16"/>
                <w:lang w:val="ru-RU"/>
              </w:rPr>
              <w:t xml:space="preserve">г.: </w:t>
            </w:r>
            <w:r w:rsidRPr="005177C8">
              <w:rPr>
                <w:color w:val="002060"/>
                <w:sz w:val="16"/>
                <w:szCs w:val="16"/>
                <w:lang w:val="ru-RU"/>
              </w:rPr>
              <w:t>отсутствуют</w:t>
            </w:r>
          </w:p>
          <w:p w:rsidR="005177C8" w:rsidRPr="005177C8" w:rsidRDefault="005177C8" w:rsidP="005177C8">
            <w:pPr>
              <w:rPr>
                <w:rFonts w:cs="Arial"/>
                <w:i/>
                <w:sz w:val="16"/>
                <w:szCs w:val="16"/>
                <w:lang w:val="ru-RU"/>
              </w:rPr>
            </w:pPr>
          </w:p>
          <w:p w:rsidR="005177C8" w:rsidRPr="005177C8" w:rsidRDefault="005177C8" w:rsidP="005177C8">
            <w:pPr>
              <w:rPr>
                <w:rFonts w:cs="Arial"/>
                <w:sz w:val="16"/>
                <w:szCs w:val="16"/>
                <w:lang w:val="ru-RU"/>
              </w:rPr>
            </w:pPr>
            <w:r w:rsidRPr="005177C8">
              <w:rPr>
                <w:i/>
                <w:sz w:val="16"/>
                <w:szCs w:val="16"/>
                <w:lang w:val="ru-RU"/>
              </w:rPr>
              <w:t>Исходные базовые показатели ПиБ на 2014–2015 гг.:</w:t>
            </w:r>
            <w:r w:rsidRPr="005177C8">
              <w:rPr>
                <w:sz w:val="16"/>
                <w:szCs w:val="16"/>
                <w:lang w:val="ru-RU"/>
              </w:rPr>
              <w:t xml:space="preserve">  будет определено позднее</w:t>
            </w:r>
          </w:p>
          <w:p w:rsidR="005177C8" w:rsidRPr="005177C8" w:rsidRDefault="005177C8" w:rsidP="005177C8">
            <w:pPr>
              <w:rPr>
                <w:rFonts w:cs="Arial"/>
                <w:sz w:val="16"/>
                <w:szCs w:val="16"/>
                <w:lang w:val="ru-RU"/>
              </w:rPr>
            </w:pPr>
          </w:p>
        </w:tc>
        <w:tc>
          <w:tcPr>
            <w:tcW w:w="729" w:type="pct"/>
            <w:tcBorders>
              <w:bottom w:val="single" w:sz="4" w:space="0" w:color="auto"/>
            </w:tcBorders>
            <w:tcMar>
              <w:top w:w="110" w:type="dxa"/>
            </w:tcMar>
          </w:tcPr>
          <w:p w:rsidR="005177C8" w:rsidRPr="008C07F6" w:rsidRDefault="005177C8" w:rsidP="005177C8">
            <w:pPr>
              <w:autoSpaceDE w:val="0"/>
              <w:autoSpaceDN w:val="0"/>
              <w:adjustRightInd w:val="0"/>
              <w:rPr>
                <w:rFonts w:cs="Arial"/>
                <w:sz w:val="16"/>
                <w:szCs w:val="16"/>
              </w:rPr>
            </w:pPr>
            <w:r w:rsidRPr="008C07F6">
              <w:rPr>
                <w:sz w:val="16"/>
                <w:szCs w:val="16"/>
              </w:rPr>
              <w:t>50%</w:t>
            </w:r>
          </w:p>
        </w:tc>
        <w:tc>
          <w:tcPr>
            <w:tcW w:w="1674" w:type="pct"/>
            <w:tcBorders>
              <w:bottom w:val="single" w:sz="4" w:space="0" w:color="auto"/>
            </w:tcBorders>
            <w:shd w:val="clear" w:color="auto" w:fill="FFFFFF"/>
            <w:tcMar>
              <w:top w:w="110" w:type="dxa"/>
            </w:tcMar>
          </w:tcPr>
          <w:p w:rsidR="005177C8" w:rsidRPr="008C07F6" w:rsidRDefault="005177C8" w:rsidP="005177C8">
            <w:pPr>
              <w:rPr>
                <w:rFonts w:cs="Arial"/>
                <w:sz w:val="16"/>
                <w:szCs w:val="16"/>
              </w:rPr>
            </w:pPr>
            <w:r w:rsidRPr="008C07F6">
              <w:rPr>
                <w:sz w:val="16"/>
                <w:szCs w:val="16"/>
              </w:rPr>
              <w:t>77%</w:t>
            </w:r>
          </w:p>
        </w:tc>
        <w:tc>
          <w:tcPr>
            <w:tcW w:w="548" w:type="pct"/>
            <w:tcBorders>
              <w:bottom w:val="single" w:sz="4" w:space="0" w:color="auto"/>
            </w:tcBorders>
            <w:tcMar>
              <w:top w:w="110" w:type="dxa"/>
            </w:tcMar>
          </w:tcPr>
          <w:p w:rsidR="005177C8" w:rsidRPr="008C07F6" w:rsidRDefault="005177C8" w:rsidP="005177C8">
            <w:pPr>
              <w:keepNext/>
              <w:keepLines/>
              <w:jc w:val="center"/>
              <w:rPr>
                <w:rFonts w:asciiTheme="minorHAnsi" w:hAnsiTheme="minorHAnsi" w:cs="Arial"/>
                <w:b/>
                <w:sz w:val="16"/>
                <w:szCs w:val="16"/>
              </w:rPr>
            </w:pPr>
            <w:r w:rsidRPr="008C07F6">
              <w:rPr>
                <w:rFonts w:asciiTheme="minorHAnsi" w:hAnsiTheme="minorHAnsi"/>
                <w:b/>
                <w:color w:val="00B050"/>
                <w:sz w:val="16"/>
                <w:szCs w:val="16"/>
              </w:rPr>
              <w:t>Выполнено</w:t>
            </w:r>
          </w:p>
        </w:tc>
      </w:tr>
      <w:tr w:rsidR="005177C8" w:rsidRPr="005C6ABD" w:rsidTr="005177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5177C8" w:rsidRPr="005177C8" w:rsidRDefault="005177C8" w:rsidP="005177C8">
            <w:pPr>
              <w:keepNext/>
              <w:keepLines/>
              <w:tabs>
                <w:tab w:val="left" w:pos="1452"/>
              </w:tabs>
              <w:spacing w:before="120" w:after="120"/>
              <w:ind w:left="1452" w:hanging="1452"/>
              <w:rPr>
                <w:rFonts w:cs="Arial"/>
                <w:b/>
                <w:bCs/>
                <w:sz w:val="16"/>
                <w:szCs w:val="16"/>
                <w:lang w:val="ru-RU"/>
              </w:rPr>
            </w:pPr>
            <w:r w:rsidRPr="005177C8">
              <w:rPr>
                <w:b/>
                <w:sz w:val="16"/>
                <w:szCs w:val="16"/>
                <w:lang w:val="ru-RU"/>
              </w:rPr>
              <w:t xml:space="preserve">Ожидаемый результат: </w:t>
            </w:r>
            <w:r w:rsidRPr="005177C8">
              <w:rPr>
                <w:sz w:val="16"/>
                <w:szCs w:val="16"/>
                <w:lang w:val="ru-RU"/>
              </w:rPr>
              <w:tab/>
            </w:r>
            <w:r w:rsidRPr="008C07F6">
              <w:rPr>
                <w:sz w:val="16"/>
                <w:szCs w:val="16"/>
              </w:rPr>
              <w:t>III</w:t>
            </w:r>
            <w:r w:rsidRPr="005177C8">
              <w:rPr>
                <w:sz w:val="16"/>
                <w:szCs w:val="16"/>
                <w:lang w:val="ru-RU"/>
              </w:rPr>
              <w:t xml:space="preserve">.6. Укрепление потенциала МСП для успешного использования ИС в поддержку </w:t>
            </w:r>
            <w:r w:rsidRPr="005177C8">
              <w:rPr>
                <w:sz w:val="16"/>
                <w:szCs w:val="16"/>
                <w:lang w:val="ru-RU"/>
              </w:rPr>
              <w:tab/>
              <w:t>инноваций</w:t>
            </w:r>
          </w:p>
        </w:tc>
      </w:tr>
      <w:tr w:rsidR="005177C8" w:rsidRPr="008C07F6" w:rsidTr="005177C8">
        <w:trPr>
          <w:cantSplit/>
        </w:trPr>
        <w:tc>
          <w:tcPr>
            <w:tcW w:w="1091" w:type="pct"/>
            <w:tcBorders>
              <w:top w:val="single" w:sz="4" w:space="0" w:color="auto"/>
            </w:tcBorders>
            <w:vAlign w:val="center"/>
          </w:tcPr>
          <w:p w:rsidR="005177C8" w:rsidRPr="008C07F6" w:rsidRDefault="005177C8" w:rsidP="005177C8">
            <w:pPr>
              <w:rPr>
                <w:rFonts w:cs="Arial"/>
                <w:sz w:val="16"/>
                <w:szCs w:val="16"/>
              </w:rPr>
            </w:pPr>
            <w:r w:rsidRPr="008C07F6">
              <w:rPr>
                <w:b/>
                <w:sz w:val="16"/>
                <w:szCs w:val="16"/>
              </w:rPr>
              <w:t>Показатели результативности</w:t>
            </w:r>
          </w:p>
        </w:tc>
        <w:tc>
          <w:tcPr>
            <w:tcW w:w="957" w:type="pct"/>
            <w:tcBorders>
              <w:top w:val="single" w:sz="4" w:space="0" w:color="auto"/>
            </w:tcBorders>
            <w:shd w:val="clear" w:color="auto" w:fill="auto"/>
            <w:vAlign w:val="center"/>
          </w:tcPr>
          <w:p w:rsidR="005177C8" w:rsidRPr="008C07F6" w:rsidRDefault="005177C8" w:rsidP="005177C8">
            <w:pPr>
              <w:rPr>
                <w:rFonts w:cs="Arial"/>
                <w:b/>
                <w:bCs/>
                <w:sz w:val="16"/>
                <w:szCs w:val="16"/>
              </w:rPr>
            </w:pPr>
            <w:r w:rsidRPr="008C07F6">
              <w:rPr>
                <w:b/>
                <w:sz w:val="16"/>
                <w:szCs w:val="16"/>
              </w:rPr>
              <w:t>Базовые показатели</w:t>
            </w:r>
          </w:p>
        </w:tc>
        <w:tc>
          <w:tcPr>
            <w:tcW w:w="729" w:type="pct"/>
            <w:tcBorders>
              <w:top w:val="single" w:sz="4" w:space="0" w:color="auto"/>
            </w:tcBorders>
            <w:tcMar>
              <w:top w:w="110" w:type="dxa"/>
            </w:tcMar>
            <w:vAlign w:val="center"/>
          </w:tcPr>
          <w:p w:rsidR="005177C8" w:rsidRPr="008C07F6" w:rsidRDefault="005177C8" w:rsidP="005177C8">
            <w:pPr>
              <w:rPr>
                <w:rFonts w:cs="Arial"/>
                <w:b/>
                <w:sz w:val="16"/>
                <w:szCs w:val="16"/>
              </w:rPr>
            </w:pPr>
            <w:r w:rsidRPr="008C07F6">
              <w:rPr>
                <w:b/>
                <w:sz w:val="16"/>
                <w:szCs w:val="16"/>
              </w:rPr>
              <w:t>Цели</w:t>
            </w:r>
          </w:p>
        </w:tc>
        <w:tc>
          <w:tcPr>
            <w:tcW w:w="1674" w:type="pct"/>
            <w:tcBorders>
              <w:top w:val="single" w:sz="4" w:space="0" w:color="auto"/>
            </w:tcBorders>
            <w:shd w:val="clear" w:color="auto" w:fill="FFFFFF"/>
            <w:tcMar>
              <w:top w:w="110" w:type="dxa"/>
            </w:tcMar>
            <w:vAlign w:val="center"/>
          </w:tcPr>
          <w:p w:rsidR="005177C8" w:rsidRPr="008C07F6" w:rsidRDefault="005177C8" w:rsidP="005177C8">
            <w:pPr>
              <w:rPr>
                <w:rFonts w:cs="Arial"/>
                <w:sz w:val="16"/>
                <w:szCs w:val="16"/>
              </w:rPr>
            </w:pPr>
            <w:r w:rsidRPr="008C07F6">
              <w:rPr>
                <w:b/>
                <w:sz w:val="16"/>
                <w:szCs w:val="16"/>
              </w:rPr>
              <w:t>Данные о результативности</w:t>
            </w:r>
          </w:p>
        </w:tc>
        <w:tc>
          <w:tcPr>
            <w:tcW w:w="548" w:type="pct"/>
            <w:tcBorders>
              <w:top w:val="single" w:sz="4" w:space="0" w:color="auto"/>
            </w:tcBorders>
            <w:tcMar>
              <w:top w:w="110" w:type="dxa"/>
            </w:tcMar>
            <w:vAlign w:val="center"/>
          </w:tcPr>
          <w:p w:rsidR="005177C8" w:rsidRPr="008C07F6" w:rsidRDefault="005177C8" w:rsidP="005177C8">
            <w:pPr>
              <w:keepNext/>
              <w:keepLines/>
              <w:jc w:val="center"/>
              <w:rPr>
                <w:rFonts w:cs="Arial"/>
                <w:b/>
                <w:bCs/>
                <w:sz w:val="16"/>
                <w:szCs w:val="16"/>
              </w:rPr>
            </w:pPr>
            <w:r w:rsidRPr="008C07F6">
              <w:rPr>
                <w:b/>
                <w:sz w:val="16"/>
                <w:szCs w:val="16"/>
              </w:rPr>
              <w:t>CC</w:t>
            </w:r>
          </w:p>
        </w:tc>
      </w:tr>
      <w:tr w:rsidR="005177C8" w:rsidRPr="008C07F6" w:rsidTr="005177C8">
        <w:trPr>
          <w:cantSplit/>
          <w:trHeight w:val="1393"/>
        </w:trPr>
        <w:tc>
          <w:tcPr>
            <w:tcW w:w="1091" w:type="pct"/>
          </w:tcPr>
          <w:p w:rsidR="005177C8" w:rsidRPr="005177C8" w:rsidRDefault="005177C8" w:rsidP="005177C8">
            <w:pPr>
              <w:rPr>
                <w:rFonts w:cs="Arial"/>
                <w:sz w:val="16"/>
                <w:szCs w:val="16"/>
                <w:lang w:val="ru-RU"/>
              </w:rPr>
            </w:pPr>
            <w:r w:rsidRPr="005177C8">
              <w:rPr>
                <w:sz w:val="16"/>
                <w:szCs w:val="16"/>
                <w:lang w:val="ru-RU"/>
              </w:rPr>
              <w:t>Число подписчиков на Бюллетень МСП</w:t>
            </w:r>
          </w:p>
        </w:tc>
        <w:tc>
          <w:tcPr>
            <w:tcW w:w="957" w:type="pct"/>
            <w:shd w:val="clear" w:color="auto" w:fill="auto"/>
          </w:tcPr>
          <w:p w:rsidR="005177C8" w:rsidRPr="005177C8" w:rsidRDefault="005177C8" w:rsidP="005177C8">
            <w:pPr>
              <w:rPr>
                <w:rFonts w:cs="Arial"/>
                <w:color w:val="002060"/>
                <w:sz w:val="16"/>
                <w:szCs w:val="16"/>
                <w:lang w:val="ru-RU"/>
              </w:rPr>
            </w:pPr>
            <w:r w:rsidRPr="005177C8">
              <w:rPr>
                <w:i/>
                <w:color w:val="002060"/>
                <w:sz w:val="16"/>
                <w:szCs w:val="16"/>
                <w:lang w:val="ru-RU"/>
              </w:rPr>
              <w:t>Обновленные базовые показатели, конец 2013</w:t>
            </w:r>
            <w:r w:rsidRPr="008C07F6">
              <w:rPr>
                <w:i/>
                <w:color w:val="002060"/>
                <w:sz w:val="16"/>
                <w:szCs w:val="16"/>
              </w:rPr>
              <w:t> </w:t>
            </w:r>
            <w:r w:rsidRPr="005177C8">
              <w:rPr>
                <w:i/>
                <w:color w:val="002060"/>
                <w:sz w:val="16"/>
                <w:szCs w:val="16"/>
                <w:lang w:val="ru-RU"/>
              </w:rPr>
              <w:t xml:space="preserve">г.: </w:t>
            </w:r>
            <w:r w:rsidRPr="005177C8">
              <w:rPr>
                <w:color w:val="002060"/>
                <w:sz w:val="16"/>
                <w:szCs w:val="16"/>
                <w:lang w:val="ru-RU"/>
              </w:rPr>
              <w:t>41</w:t>
            </w:r>
            <w:r w:rsidRPr="008C07F6">
              <w:rPr>
                <w:color w:val="002060"/>
                <w:sz w:val="16"/>
                <w:szCs w:val="16"/>
              </w:rPr>
              <w:t> </w:t>
            </w:r>
            <w:r w:rsidRPr="005177C8">
              <w:rPr>
                <w:color w:val="002060"/>
                <w:sz w:val="16"/>
                <w:szCs w:val="16"/>
                <w:lang w:val="ru-RU"/>
              </w:rPr>
              <w:t>101</w:t>
            </w:r>
          </w:p>
          <w:p w:rsidR="005177C8" w:rsidRPr="005177C8" w:rsidRDefault="005177C8" w:rsidP="005177C8">
            <w:pPr>
              <w:rPr>
                <w:rFonts w:cs="Arial"/>
                <w:i/>
                <w:sz w:val="16"/>
                <w:szCs w:val="16"/>
                <w:lang w:val="ru-RU"/>
              </w:rPr>
            </w:pPr>
          </w:p>
          <w:p w:rsidR="005177C8" w:rsidRPr="005177C8" w:rsidRDefault="005177C8" w:rsidP="005177C8">
            <w:pPr>
              <w:rPr>
                <w:rFonts w:cs="Arial"/>
                <w:sz w:val="16"/>
                <w:szCs w:val="16"/>
                <w:lang w:val="ru-RU"/>
              </w:rPr>
            </w:pPr>
            <w:r w:rsidRPr="005177C8">
              <w:rPr>
                <w:i/>
                <w:sz w:val="16"/>
                <w:szCs w:val="16"/>
                <w:lang w:val="ru-RU"/>
              </w:rPr>
              <w:t>Исходные базовые показатели ПиБ на 2014–2015 гг.:</w:t>
            </w:r>
            <w:r w:rsidRPr="005177C8">
              <w:rPr>
                <w:sz w:val="16"/>
                <w:szCs w:val="16"/>
                <w:lang w:val="ru-RU"/>
              </w:rPr>
              <w:t xml:space="preserve">  будет определено позднее</w:t>
            </w:r>
          </w:p>
        </w:tc>
        <w:tc>
          <w:tcPr>
            <w:tcW w:w="729" w:type="pct"/>
            <w:tcMar>
              <w:top w:w="110" w:type="dxa"/>
            </w:tcMar>
          </w:tcPr>
          <w:p w:rsidR="005177C8" w:rsidRPr="005177C8" w:rsidRDefault="005177C8" w:rsidP="005177C8">
            <w:pPr>
              <w:rPr>
                <w:rFonts w:cs="Arial"/>
                <w:color w:val="002060"/>
                <w:sz w:val="16"/>
                <w:szCs w:val="16"/>
                <w:lang w:val="ru-RU"/>
              </w:rPr>
            </w:pPr>
            <w:r w:rsidRPr="005177C8">
              <w:rPr>
                <w:color w:val="002060"/>
                <w:sz w:val="16"/>
                <w:szCs w:val="16"/>
                <w:lang w:val="ru-RU"/>
              </w:rPr>
              <w:t>Целевой показатель: 40</w:t>
            </w:r>
            <w:r w:rsidRPr="008C07F6">
              <w:rPr>
                <w:color w:val="002060"/>
                <w:sz w:val="16"/>
                <w:szCs w:val="16"/>
              </w:rPr>
              <w:t> </w:t>
            </w:r>
            <w:r w:rsidRPr="005177C8">
              <w:rPr>
                <w:color w:val="002060"/>
                <w:sz w:val="16"/>
                <w:szCs w:val="16"/>
                <w:lang w:val="ru-RU"/>
              </w:rPr>
              <w:t>000</w:t>
            </w:r>
          </w:p>
          <w:p w:rsidR="005177C8" w:rsidRPr="005177C8" w:rsidRDefault="005177C8" w:rsidP="005177C8">
            <w:pPr>
              <w:rPr>
                <w:rFonts w:cs="Arial"/>
                <w:sz w:val="16"/>
                <w:szCs w:val="16"/>
                <w:lang w:val="ru-RU"/>
              </w:rPr>
            </w:pPr>
          </w:p>
          <w:p w:rsidR="005177C8" w:rsidRPr="005177C8" w:rsidRDefault="005177C8" w:rsidP="005177C8">
            <w:pPr>
              <w:rPr>
                <w:rFonts w:cs="Arial"/>
                <w:sz w:val="16"/>
                <w:szCs w:val="16"/>
                <w:lang w:val="ru-RU"/>
              </w:rPr>
            </w:pPr>
            <w:r w:rsidRPr="005177C8">
              <w:rPr>
                <w:i/>
                <w:sz w:val="16"/>
                <w:szCs w:val="16"/>
                <w:lang w:val="ru-RU"/>
              </w:rPr>
              <w:t>Исходные целевые показатели ПиБ на 2014–2015 гг.:</w:t>
            </w:r>
            <w:r w:rsidRPr="005177C8">
              <w:rPr>
                <w:sz w:val="16"/>
                <w:szCs w:val="16"/>
                <w:lang w:val="ru-RU"/>
              </w:rPr>
              <w:t xml:space="preserve">  будет определено позднее</w:t>
            </w:r>
          </w:p>
          <w:p w:rsidR="005177C8" w:rsidRPr="005177C8" w:rsidRDefault="005177C8" w:rsidP="005177C8">
            <w:pPr>
              <w:rPr>
                <w:rFonts w:cs="Arial"/>
                <w:sz w:val="16"/>
                <w:szCs w:val="16"/>
                <w:lang w:val="ru-RU"/>
              </w:rPr>
            </w:pPr>
          </w:p>
          <w:p w:rsidR="005177C8" w:rsidRPr="005177C8" w:rsidRDefault="005177C8" w:rsidP="005177C8">
            <w:pPr>
              <w:rPr>
                <w:rFonts w:cs="Arial"/>
                <w:sz w:val="16"/>
                <w:szCs w:val="16"/>
                <w:lang w:val="ru-RU"/>
              </w:rPr>
            </w:pPr>
          </w:p>
        </w:tc>
        <w:tc>
          <w:tcPr>
            <w:tcW w:w="1674" w:type="pct"/>
            <w:shd w:val="clear" w:color="auto" w:fill="FFFFFF"/>
            <w:tcMar>
              <w:top w:w="110" w:type="dxa"/>
            </w:tcMar>
          </w:tcPr>
          <w:p w:rsidR="005177C8" w:rsidRPr="005177C8" w:rsidRDefault="005177C8" w:rsidP="005177C8">
            <w:pPr>
              <w:jc w:val="both"/>
              <w:rPr>
                <w:rFonts w:cs="Arial"/>
                <w:sz w:val="16"/>
                <w:szCs w:val="16"/>
                <w:lang w:val="ru-RU"/>
              </w:rPr>
            </w:pPr>
            <w:r w:rsidRPr="005177C8">
              <w:rPr>
                <w:sz w:val="16"/>
                <w:szCs w:val="16"/>
                <w:lang w:val="ru-RU"/>
              </w:rPr>
              <w:t>В 2014</w:t>
            </w:r>
            <w:r w:rsidRPr="008C07F6">
              <w:rPr>
                <w:sz w:val="16"/>
                <w:szCs w:val="16"/>
              </w:rPr>
              <w:t> </w:t>
            </w:r>
            <w:r w:rsidRPr="005177C8">
              <w:rPr>
                <w:sz w:val="16"/>
                <w:szCs w:val="16"/>
                <w:lang w:val="ru-RU"/>
              </w:rPr>
              <w:t>г. число подписчиков Бюллетеня МСП составило 40</w:t>
            </w:r>
            <w:r w:rsidRPr="008C07F6">
              <w:rPr>
                <w:sz w:val="16"/>
                <w:szCs w:val="16"/>
              </w:rPr>
              <w:t> </w:t>
            </w:r>
            <w:r w:rsidRPr="005177C8">
              <w:rPr>
                <w:sz w:val="16"/>
                <w:szCs w:val="16"/>
                <w:lang w:val="ru-RU"/>
              </w:rPr>
              <w:t xml:space="preserve">510 </w:t>
            </w:r>
          </w:p>
          <w:p w:rsidR="005177C8" w:rsidRPr="005177C8" w:rsidRDefault="005177C8" w:rsidP="005177C8">
            <w:pPr>
              <w:jc w:val="both"/>
              <w:rPr>
                <w:rFonts w:cs="Arial"/>
                <w:sz w:val="16"/>
                <w:szCs w:val="16"/>
                <w:lang w:val="ru-RU"/>
              </w:rPr>
            </w:pPr>
          </w:p>
          <w:p w:rsidR="005177C8" w:rsidRPr="005177C8" w:rsidRDefault="005177C8" w:rsidP="005177C8">
            <w:pPr>
              <w:jc w:val="both"/>
              <w:rPr>
                <w:rFonts w:cs="Arial"/>
                <w:sz w:val="16"/>
                <w:szCs w:val="16"/>
                <w:lang w:val="ru-RU"/>
              </w:rPr>
            </w:pPr>
            <w:r w:rsidRPr="005177C8">
              <w:rPr>
                <w:sz w:val="16"/>
                <w:szCs w:val="16"/>
                <w:lang w:val="ru-RU"/>
              </w:rPr>
              <w:t>В 2015</w:t>
            </w:r>
            <w:r w:rsidRPr="008C07F6">
              <w:rPr>
                <w:sz w:val="16"/>
                <w:szCs w:val="16"/>
              </w:rPr>
              <w:t> </w:t>
            </w:r>
            <w:r w:rsidRPr="005177C8">
              <w:rPr>
                <w:sz w:val="16"/>
                <w:szCs w:val="16"/>
                <w:lang w:val="ru-RU"/>
              </w:rPr>
              <w:t>г. число подписчиков Бюллетеня МСП составило 6</w:t>
            </w:r>
            <w:r w:rsidRPr="008C07F6">
              <w:rPr>
                <w:sz w:val="16"/>
                <w:szCs w:val="16"/>
              </w:rPr>
              <w:t> </w:t>
            </w:r>
            <w:r w:rsidRPr="005177C8">
              <w:rPr>
                <w:sz w:val="16"/>
                <w:szCs w:val="16"/>
                <w:lang w:val="ru-RU"/>
              </w:rPr>
              <w:t xml:space="preserve">657  </w:t>
            </w:r>
          </w:p>
          <w:p w:rsidR="005177C8" w:rsidRPr="005177C8" w:rsidRDefault="005177C8" w:rsidP="005177C8">
            <w:pPr>
              <w:jc w:val="both"/>
              <w:rPr>
                <w:rFonts w:cs="Arial"/>
                <w:sz w:val="16"/>
                <w:szCs w:val="16"/>
                <w:lang w:val="ru-RU"/>
              </w:rPr>
            </w:pPr>
          </w:p>
          <w:p w:rsidR="005177C8" w:rsidRPr="005177C8" w:rsidRDefault="005177C8" w:rsidP="005177C8">
            <w:pPr>
              <w:jc w:val="both"/>
              <w:rPr>
                <w:rFonts w:cs="Arial"/>
                <w:sz w:val="16"/>
                <w:szCs w:val="16"/>
                <w:lang w:val="ru-RU"/>
              </w:rPr>
            </w:pPr>
            <w:r w:rsidRPr="005177C8">
              <w:rPr>
                <w:sz w:val="16"/>
                <w:szCs w:val="16"/>
                <w:lang w:val="ru-RU"/>
              </w:rPr>
              <w:t>Дополнительная информация представлена в пункте 30.4.</w:t>
            </w:r>
          </w:p>
        </w:tc>
        <w:tc>
          <w:tcPr>
            <w:tcW w:w="548" w:type="pct"/>
            <w:tcMar>
              <w:top w:w="110" w:type="dxa"/>
            </w:tcMar>
          </w:tcPr>
          <w:p w:rsidR="005177C8" w:rsidRPr="008C07F6" w:rsidRDefault="005177C8" w:rsidP="005177C8">
            <w:pPr>
              <w:pStyle w:val="Default"/>
              <w:jc w:val="center"/>
              <w:rPr>
                <w:bCs/>
                <w:color w:val="808080"/>
                <w:sz w:val="16"/>
                <w:szCs w:val="16"/>
              </w:rPr>
            </w:pPr>
            <w:r w:rsidRPr="008C07F6">
              <w:rPr>
                <w:b/>
                <w:color w:val="808080"/>
                <w:sz w:val="16"/>
                <w:szCs w:val="16"/>
              </w:rPr>
              <w:t>Не подлежит оценке</w:t>
            </w:r>
          </w:p>
        </w:tc>
      </w:tr>
      <w:tr w:rsidR="005177C8" w:rsidRPr="008C07F6" w:rsidTr="005177C8">
        <w:trPr>
          <w:cantSplit/>
        </w:trPr>
        <w:tc>
          <w:tcPr>
            <w:tcW w:w="1091" w:type="pct"/>
            <w:tcBorders>
              <w:bottom w:val="single" w:sz="4" w:space="0" w:color="auto"/>
            </w:tcBorders>
          </w:tcPr>
          <w:p w:rsidR="005177C8" w:rsidRPr="005177C8" w:rsidRDefault="005177C8" w:rsidP="005177C8">
            <w:pPr>
              <w:rPr>
                <w:rFonts w:cs="Arial"/>
                <w:sz w:val="16"/>
                <w:szCs w:val="16"/>
                <w:lang w:val="ru-RU"/>
              </w:rPr>
            </w:pPr>
            <w:r w:rsidRPr="005177C8">
              <w:rPr>
                <w:sz w:val="16"/>
                <w:szCs w:val="16"/>
                <w:lang w:val="ru-RU"/>
              </w:rPr>
              <w:t xml:space="preserve">Число скачиваний материалов и руководств, актуальных для МСП </w:t>
            </w:r>
          </w:p>
        </w:tc>
        <w:tc>
          <w:tcPr>
            <w:tcW w:w="957" w:type="pct"/>
            <w:tcBorders>
              <w:bottom w:val="single" w:sz="4" w:space="0" w:color="auto"/>
            </w:tcBorders>
            <w:shd w:val="clear" w:color="auto" w:fill="auto"/>
          </w:tcPr>
          <w:p w:rsidR="005177C8" w:rsidRPr="005177C8" w:rsidRDefault="005177C8" w:rsidP="005177C8">
            <w:pPr>
              <w:keepNext/>
              <w:keepLines/>
              <w:outlineLvl w:val="7"/>
              <w:rPr>
                <w:rFonts w:cs="Arial"/>
                <w:i/>
                <w:color w:val="002060"/>
                <w:sz w:val="16"/>
                <w:szCs w:val="16"/>
                <w:lang w:val="ru-RU"/>
              </w:rPr>
            </w:pPr>
            <w:r w:rsidRPr="005177C8">
              <w:rPr>
                <w:i/>
                <w:color w:val="002060"/>
                <w:sz w:val="16"/>
                <w:szCs w:val="16"/>
                <w:lang w:val="ru-RU"/>
              </w:rPr>
              <w:t>Обновленные базовые показатели, конец 2013</w:t>
            </w:r>
            <w:r w:rsidRPr="008C07F6">
              <w:rPr>
                <w:i/>
                <w:color w:val="002060"/>
                <w:sz w:val="16"/>
                <w:szCs w:val="16"/>
              </w:rPr>
              <w:t> </w:t>
            </w:r>
            <w:r w:rsidRPr="005177C8">
              <w:rPr>
                <w:i/>
                <w:color w:val="002060"/>
                <w:sz w:val="16"/>
                <w:szCs w:val="16"/>
                <w:lang w:val="ru-RU"/>
              </w:rPr>
              <w:t xml:space="preserve">г.: </w:t>
            </w:r>
          </w:p>
          <w:p w:rsidR="005177C8" w:rsidRPr="005177C8" w:rsidRDefault="005177C8" w:rsidP="005177C8">
            <w:pPr>
              <w:rPr>
                <w:rFonts w:cs="Arial"/>
                <w:color w:val="002060"/>
                <w:sz w:val="16"/>
                <w:szCs w:val="16"/>
                <w:lang w:val="ru-RU"/>
              </w:rPr>
            </w:pPr>
            <w:r w:rsidRPr="005177C8">
              <w:rPr>
                <w:color w:val="002060"/>
                <w:sz w:val="16"/>
                <w:szCs w:val="16"/>
                <w:lang w:val="ru-RU"/>
              </w:rPr>
              <w:t>число скачиваний: 77</w:t>
            </w:r>
            <w:r w:rsidRPr="008C07F6">
              <w:rPr>
                <w:color w:val="002060"/>
                <w:sz w:val="16"/>
                <w:szCs w:val="16"/>
              </w:rPr>
              <w:t> </w:t>
            </w:r>
            <w:r w:rsidRPr="005177C8">
              <w:rPr>
                <w:color w:val="002060"/>
                <w:sz w:val="16"/>
                <w:szCs w:val="16"/>
                <w:lang w:val="ru-RU"/>
              </w:rPr>
              <w:t>617 (2013 г.)</w:t>
            </w:r>
          </w:p>
          <w:p w:rsidR="005177C8" w:rsidRPr="005177C8" w:rsidRDefault="005177C8" w:rsidP="005177C8">
            <w:pPr>
              <w:rPr>
                <w:rFonts w:cs="Arial"/>
                <w:color w:val="002060"/>
                <w:sz w:val="16"/>
                <w:szCs w:val="16"/>
                <w:lang w:val="ru-RU"/>
              </w:rPr>
            </w:pPr>
          </w:p>
          <w:p w:rsidR="005177C8" w:rsidRPr="005177C8" w:rsidRDefault="005177C8" w:rsidP="005177C8">
            <w:pPr>
              <w:rPr>
                <w:rFonts w:cs="Arial"/>
                <w:i/>
                <w:color w:val="002060"/>
                <w:sz w:val="16"/>
                <w:szCs w:val="16"/>
                <w:lang w:val="ru-RU"/>
              </w:rPr>
            </w:pPr>
            <w:r w:rsidRPr="005177C8">
              <w:rPr>
                <w:color w:val="002060"/>
                <w:sz w:val="16"/>
                <w:szCs w:val="16"/>
                <w:lang w:val="ru-RU"/>
              </w:rPr>
              <w:t>Число просмотров сайта: 1</w:t>
            </w:r>
            <w:r w:rsidRPr="008C07F6">
              <w:rPr>
                <w:color w:val="002060"/>
                <w:sz w:val="16"/>
                <w:szCs w:val="16"/>
              </w:rPr>
              <w:t> </w:t>
            </w:r>
            <w:r w:rsidRPr="005177C8">
              <w:rPr>
                <w:color w:val="002060"/>
                <w:sz w:val="16"/>
                <w:szCs w:val="16"/>
                <w:lang w:val="ru-RU"/>
              </w:rPr>
              <w:t>210</w:t>
            </w:r>
            <w:r w:rsidRPr="008C07F6">
              <w:rPr>
                <w:color w:val="002060"/>
                <w:sz w:val="16"/>
                <w:szCs w:val="16"/>
              </w:rPr>
              <w:t> </w:t>
            </w:r>
            <w:r w:rsidRPr="005177C8">
              <w:rPr>
                <w:color w:val="002060"/>
                <w:sz w:val="16"/>
                <w:szCs w:val="16"/>
                <w:lang w:val="ru-RU"/>
              </w:rPr>
              <w:t>803 (2013 г.)</w:t>
            </w:r>
          </w:p>
          <w:p w:rsidR="005177C8" w:rsidRPr="005177C8" w:rsidRDefault="005177C8" w:rsidP="005177C8">
            <w:pPr>
              <w:rPr>
                <w:rFonts w:cs="Arial"/>
                <w:i/>
                <w:sz w:val="16"/>
                <w:szCs w:val="16"/>
                <w:lang w:val="ru-RU"/>
              </w:rPr>
            </w:pPr>
          </w:p>
          <w:p w:rsidR="005177C8" w:rsidRPr="005177C8" w:rsidRDefault="005177C8" w:rsidP="005177C8">
            <w:pPr>
              <w:rPr>
                <w:rFonts w:cs="Arial"/>
                <w:sz w:val="16"/>
                <w:szCs w:val="16"/>
                <w:lang w:val="ru-RU"/>
              </w:rPr>
            </w:pPr>
            <w:r w:rsidRPr="005177C8">
              <w:rPr>
                <w:i/>
                <w:sz w:val="16"/>
                <w:szCs w:val="16"/>
                <w:lang w:val="ru-RU"/>
              </w:rPr>
              <w:t>Исходные базовые показатели ПиБ на 2014–2015 гг.:</w:t>
            </w:r>
            <w:r w:rsidRPr="005177C8">
              <w:rPr>
                <w:sz w:val="16"/>
                <w:szCs w:val="16"/>
                <w:lang w:val="ru-RU"/>
              </w:rPr>
              <w:t xml:space="preserve">  будет определено позднее</w:t>
            </w:r>
          </w:p>
        </w:tc>
        <w:tc>
          <w:tcPr>
            <w:tcW w:w="729" w:type="pct"/>
            <w:tcBorders>
              <w:bottom w:val="single" w:sz="4" w:space="0" w:color="auto"/>
            </w:tcBorders>
            <w:tcMar>
              <w:top w:w="110" w:type="dxa"/>
            </w:tcMar>
          </w:tcPr>
          <w:p w:rsidR="005177C8" w:rsidRPr="008C07F6" w:rsidRDefault="005177C8" w:rsidP="005177C8">
            <w:pPr>
              <w:rPr>
                <w:rFonts w:cs="Arial"/>
                <w:sz w:val="16"/>
                <w:szCs w:val="16"/>
              </w:rPr>
            </w:pPr>
            <w:r w:rsidRPr="008C07F6">
              <w:rPr>
                <w:sz w:val="16"/>
                <w:szCs w:val="16"/>
              </w:rPr>
              <w:t>будет определено позднее</w:t>
            </w:r>
          </w:p>
          <w:p w:rsidR="005177C8" w:rsidRPr="008C07F6" w:rsidRDefault="005177C8" w:rsidP="005177C8">
            <w:pPr>
              <w:rPr>
                <w:rFonts w:cs="Arial"/>
                <w:sz w:val="16"/>
                <w:szCs w:val="16"/>
              </w:rPr>
            </w:pPr>
          </w:p>
          <w:p w:rsidR="005177C8" w:rsidRPr="008C07F6" w:rsidRDefault="005177C8" w:rsidP="005177C8">
            <w:pPr>
              <w:rPr>
                <w:rFonts w:cs="Arial"/>
                <w:sz w:val="16"/>
                <w:szCs w:val="16"/>
              </w:rPr>
            </w:pPr>
          </w:p>
        </w:tc>
        <w:tc>
          <w:tcPr>
            <w:tcW w:w="1674" w:type="pct"/>
            <w:tcBorders>
              <w:bottom w:val="single" w:sz="4" w:space="0" w:color="auto"/>
            </w:tcBorders>
            <w:shd w:val="clear" w:color="auto" w:fill="FFFFFF"/>
            <w:tcMar>
              <w:top w:w="110" w:type="dxa"/>
            </w:tcMar>
          </w:tcPr>
          <w:p w:rsidR="005177C8" w:rsidRPr="005177C8" w:rsidRDefault="005177C8" w:rsidP="005177C8">
            <w:pPr>
              <w:rPr>
                <w:rFonts w:cs="Arial"/>
                <w:sz w:val="16"/>
                <w:szCs w:val="16"/>
                <w:lang w:val="ru-RU"/>
              </w:rPr>
            </w:pPr>
            <w:r w:rsidRPr="005177C8">
              <w:rPr>
                <w:sz w:val="16"/>
                <w:szCs w:val="16"/>
                <w:lang w:val="ru-RU"/>
              </w:rPr>
              <w:t>2014</w:t>
            </w:r>
            <w:r w:rsidRPr="008C07F6">
              <w:rPr>
                <w:sz w:val="16"/>
                <w:szCs w:val="16"/>
              </w:rPr>
              <w:t> </w:t>
            </w:r>
            <w:r w:rsidRPr="005177C8">
              <w:rPr>
                <w:sz w:val="16"/>
                <w:szCs w:val="16"/>
                <w:lang w:val="ru-RU"/>
              </w:rPr>
              <w:t>г.:</w:t>
            </w:r>
          </w:p>
          <w:p w:rsidR="005177C8" w:rsidRPr="005177C8" w:rsidRDefault="005177C8" w:rsidP="005177C8">
            <w:pPr>
              <w:rPr>
                <w:rFonts w:cs="Arial"/>
                <w:sz w:val="16"/>
                <w:szCs w:val="16"/>
                <w:lang w:val="ru-RU"/>
              </w:rPr>
            </w:pPr>
            <w:r w:rsidRPr="005177C8">
              <w:rPr>
                <w:sz w:val="16"/>
                <w:szCs w:val="16"/>
                <w:lang w:val="ru-RU"/>
              </w:rPr>
              <w:t>число скачиваний: 70</w:t>
            </w:r>
            <w:r w:rsidRPr="008C07F6">
              <w:rPr>
                <w:sz w:val="16"/>
                <w:szCs w:val="16"/>
              </w:rPr>
              <w:t> </w:t>
            </w:r>
            <w:r w:rsidRPr="005177C8">
              <w:rPr>
                <w:sz w:val="16"/>
                <w:szCs w:val="16"/>
                <w:lang w:val="ru-RU"/>
              </w:rPr>
              <w:t>559 (-9%</w:t>
            </w:r>
            <w:r w:rsidRPr="008C07F6">
              <w:rPr>
                <w:sz w:val="16"/>
                <w:szCs w:val="16"/>
              </w:rPr>
              <w:t> </w:t>
            </w:r>
            <w:r w:rsidRPr="005177C8">
              <w:rPr>
                <w:sz w:val="16"/>
                <w:szCs w:val="16"/>
                <w:lang w:val="ru-RU"/>
              </w:rPr>
              <w:t>по сравнению с 2013</w:t>
            </w:r>
            <w:r w:rsidRPr="008C07F6">
              <w:rPr>
                <w:sz w:val="16"/>
                <w:szCs w:val="16"/>
              </w:rPr>
              <w:t> </w:t>
            </w:r>
            <w:r w:rsidRPr="005177C8">
              <w:rPr>
                <w:sz w:val="16"/>
                <w:szCs w:val="16"/>
                <w:lang w:val="ru-RU"/>
              </w:rPr>
              <w:t>г.)</w:t>
            </w:r>
          </w:p>
          <w:p w:rsidR="005177C8" w:rsidRPr="005177C8" w:rsidRDefault="005177C8" w:rsidP="005177C8">
            <w:pPr>
              <w:rPr>
                <w:rFonts w:cs="Arial"/>
                <w:sz w:val="16"/>
                <w:szCs w:val="16"/>
                <w:lang w:val="ru-RU"/>
              </w:rPr>
            </w:pPr>
            <w:r w:rsidRPr="005177C8">
              <w:rPr>
                <w:sz w:val="16"/>
                <w:szCs w:val="16"/>
                <w:lang w:val="ru-RU"/>
              </w:rPr>
              <w:t>число просмотров веб-страницы о МСП: 821</w:t>
            </w:r>
            <w:r>
              <w:rPr>
                <w:sz w:val="16"/>
                <w:szCs w:val="16"/>
              </w:rPr>
              <w:t> </w:t>
            </w:r>
            <w:r w:rsidRPr="005177C8">
              <w:rPr>
                <w:sz w:val="16"/>
                <w:szCs w:val="16"/>
                <w:lang w:val="ru-RU"/>
              </w:rPr>
              <w:t>150 (-32%</w:t>
            </w:r>
            <w:r w:rsidRPr="008C07F6">
              <w:rPr>
                <w:sz w:val="16"/>
                <w:szCs w:val="16"/>
              </w:rPr>
              <w:t> </w:t>
            </w:r>
            <w:r w:rsidRPr="005177C8">
              <w:rPr>
                <w:sz w:val="16"/>
                <w:szCs w:val="16"/>
                <w:lang w:val="ru-RU"/>
              </w:rPr>
              <w:t>по сравнению с 2013</w:t>
            </w:r>
            <w:r w:rsidRPr="008C07F6">
              <w:rPr>
                <w:sz w:val="16"/>
                <w:szCs w:val="16"/>
              </w:rPr>
              <w:t> </w:t>
            </w:r>
            <w:r w:rsidRPr="005177C8">
              <w:rPr>
                <w:sz w:val="16"/>
                <w:szCs w:val="16"/>
                <w:lang w:val="ru-RU"/>
              </w:rPr>
              <w:t>г.)</w:t>
            </w:r>
          </w:p>
          <w:p w:rsidR="005177C8" w:rsidRPr="005177C8" w:rsidRDefault="005177C8" w:rsidP="005177C8">
            <w:pPr>
              <w:rPr>
                <w:rFonts w:cs="Arial"/>
                <w:sz w:val="16"/>
                <w:szCs w:val="16"/>
                <w:lang w:val="ru-RU"/>
              </w:rPr>
            </w:pPr>
          </w:p>
          <w:p w:rsidR="005177C8" w:rsidRPr="005177C8" w:rsidRDefault="005177C8" w:rsidP="005177C8">
            <w:pPr>
              <w:rPr>
                <w:rFonts w:cs="Arial"/>
                <w:sz w:val="16"/>
                <w:szCs w:val="16"/>
                <w:lang w:val="ru-RU"/>
              </w:rPr>
            </w:pPr>
            <w:r w:rsidRPr="005177C8">
              <w:rPr>
                <w:sz w:val="16"/>
                <w:szCs w:val="16"/>
                <w:lang w:val="ru-RU"/>
              </w:rPr>
              <w:t>2015</w:t>
            </w:r>
            <w:r w:rsidRPr="008C07F6">
              <w:rPr>
                <w:sz w:val="16"/>
                <w:szCs w:val="16"/>
              </w:rPr>
              <w:t> </w:t>
            </w:r>
            <w:r w:rsidRPr="005177C8">
              <w:rPr>
                <w:sz w:val="16"/>
                <w:szCs w:val="16"/>
                <w:lang w:val="ru-RU"/>
              </w:rPr>
              <w:t>г.:</w:t>
            </w:r>
          </w:p>
          <w:p w:rsidR="005177C8" w:rsidRPr="005177C8" w:rsidRDefault="005177C8" w:rsidP="005177C8">
            <w:pPr>
              <w:rPr>
                <w:rFonts w:cs="Arial"/>
                <w:sz w:val="16"/>
                <w:szCs w:val="16"/>
                <w:lang w:val="ru-RU"/>
              </w:rPr>
            </w:pPr>
            <w:r w:rsidRPr="005177C8">
              <w:rPr>
                <w:sz w:val="16"/>
                <w:szCs w:val="16"/>
                <w:lang w:val="ru-RU"/>
              </w:rPr>
              <w:t>число скачиваний: 71</w:t>
            </w:r>
            <w:r w:rsidRPr="008C07F6">
              <w:rPr>
                <w:sz w:val="16"/>
                <w:szCs w:val="16"/>
              </w:rPr>
              <w:t> </w:t>
            </w:r>
            <w:r w:rsidRPr="005177C8">
              <w:rPr>
                <w:sz w:val="16"/>
                <w:szCs w:val="16"/>
                <w:lang w:val="ru-RU"/>
              </w:rPr>
              <w:t>867 (+2%</w:t>
            </w:r>
            <w:r w:rsidRPr="008C07F6">
              <w:rPr>
                <w:sz w:val="16"/>
                <w:szCs w:val="16"/>
              </w:rPr>
              <w:t> </w:t>
            </w:r>
            <w:r w:rsidRPr="005177C8">
              <w:rPr>
                <w:sz w:val="16"/>
                <w:szCs w:val="16"/>
                <w:lang w:val="ru-RU"/>
              </w:rPr>
              <w:t>по сравнению с 2014</w:t>
            </w:r>
            <w:r w:rsidRPr="008C07F6">
              <w:rPr>
                <w:sz w:val="16"/>
                <w:szCs w:val="16"/>
              </w:rPr>
              <w:t> </w:t>
            </w:r>
            <w:r w:rsidRPr="005177C8">
              <w:rPr>
                <w:sz w:val="16"/>
                <w:szCs w:val="16"/>
                <w:lang w:val="ru-RU"/>
              </w:rPr>
              <w:t>г.)</w:t>
            </w:r>
          </w:p>
          <w:p w:rsidR="005177C8" w:rsidRPr="005177C8" w:rsidRDefault="005177C8" w:rsidP="005177C8">
            <w:pPr>
              <w:rPr>
                <w:rFonts w:cs="Arial"/>
                <w:sz w:val="16"/>
                <w:szCs w:val="16"/>
                <w:lang w:val="ru-RU"/>
              </w:rPr>
            </w:pPr>
            <w:r w:rsidRPr="005177C8">
              <w:rPr>
                <w:sz w:val="16"/>
                <w:szCs w:val="16"/>
                <w:lang w:val="ru-RU"/>
              </w:rPr>
              <w:t>число просмотров веб-страницы о МСП: 960</w:t>
            </w:r>
            <w:r w:rsidRPr="008C07F6">
              <w:rPr>
                <w:sz w:val="16"/>
                <w:szCs w:val="16"/>
              </w:rPr>
              <w:t> </w:t>
            </w:r>
            <w:r w:rsidRPr="005177C8">
              <w:rPr>
                <w:sz w:val="16"/>
                <w:szCs w:val="16"/>
                <w:lang w:val="ru-RU"/>
              </w:rPr>
              <w:t>196 (+17%</w:t>
            </w:r>
            <w:r w:rsidRPr="008C07F6">
              <w:rPr>
                <w:sz w:val="16"/>
                <w:szCs w:val="16"/>
              </w:rPr>
              <w:t> </w:t>
            </w:r>
            <w:r w:rsidRPr="005177C8">
              <w:rPr>
                <w:sz w:val="16"/>
                <w:szCs w:val="16"/>
                <w:lang w:val="ru-RU"/>
              </w:rPr>
              <w:t>по сравнению с 2014</w:t>
            </w:r>
            <w:r w:rsidRPr="008C07F6">
              <w:rPr>
                <w:sz w:val="16"/>
                <w:szCs w:val="16"/>
              </w:rPr>
              <w:t> </w:t>
            </w:r>
            <w:r w:rsidRPr="005177C8">
              <w:rPr>
                <w:sz w:val="16"/>
                <w:szCs w:val="16"/>
                <w:lang w:val="ru-RU"/>
              </w:rPr>
              <w:t>г.)</w:t>
            </w:r>
          </w:p>
          <w:p w:rsidR="005177C8" w:rsidRPr="005177C8" w:rsidRDefault="005177C8" w:rsidP="005177C8">
            <w:pPr>
              <w:rPr>
                <w:rFonts w:cs="Arial"/>
                <w:sz w:val="16"/>
                <w:szCs w:val="16"/>
                <w:lang w:val="ru-RU"/>
              </w:rPr>
            </w:pPr>
          </w:p>
        </w:tc>
        <w:tc>
          <w:tcPr>
            <w:tcW w:w="548" w:type="pct"/>
            <w:tcBorders>
              <w:bottom w:val="single" w:sz="4" w:space="0" w:color="auto"/>
            </w:tcBorders>
            <w:tcMar>
              <w:top w:w="110" w:type="dxa"/>
            </w:tcMar>
          </w:tcPr>
          <w:p w:rsidR="005177C8" w:rsidRPr="008C07F6" w:rsidRDefault="005177C8" w:rsidP="005177C8">
            <w:pPr>
              <w:pStyle w:val="Default"/>
              <w:jc w:val="center"/>
              <w:rPr>
                <w:b/>
                <w:bCs/>
                <w:color w:val="808080"/>
                <w:sz w:val="16"/>
                <w:szCs w:val="16"/>
              </w:rPr>
            </w:pPr>
            <w:r w:rsidRPr="008C07F6">
              <w:rPr>
                <w:b/>
                <w:color w:val="808080"/>
                <w:sz w:val="16"/>
                <w:szCs w:val="16"/>
              </w:rPr>
              <w:t xml:space="preserve">Не подлежит оценке </w:t>
            </w:r>
          </w:p>
          <w:p w:rsidR="005177C8" w:rsidRPr="008C07F6" w:rsidRDefault="005177C8" w:rsidP="005177C8">
            <w:pPr>
              <w:keepNext/>
              <w:keepLines/>
              <w:jc w:val="center"/>
              <w:rPr>
                <w:rFonts w:cs="Arial"/>
                <w:b/>
                <w:bCs/>
                <w:color w:val="808080"/>
                <w:sz w:val="16"/>
                <w:szCs w:val="16"/>
              </w:rPr>
            </w:pPr>
          </w:p>
        </w:tc>
      </w:tr>
      <w:tr w:rsidR="005177C8" w:rsidRPr="008C07F6" w:rsidTr="005177C8">
        <w:trPr>
          <w:cantSplit/>
        </w:trPr>
        <w:tc>
          <w:tcPr>
            <w:tcW w:w="1091" w:type="pct"/>
            <w:tcBorders>
              <w:top w:val="single" w:sz="4" w:space="0" w:color="auto"/>
              <w:bottom w:val="nil"/>
            </w:tcBorders>
          </w:tcPr>
          <w:p w:rsidR="005177C8" w:rsidRPr="005177C8" w:rsidRDefault="005177C8" w:rsidP="005177C8">
            <w:pPr>
              <w:rPr>
                <w:rFonts w:cs="Arial"/>
                <w:sz w:val="16"/>
                <w:szCs w:val="16"/>
                <w:lang w:val="ru-RU"/>
              </w:rPr>
            </w:pPr>
            <w:r w:rsidRPr="005177C8">
              <w:rPr>
                <w:sz w:val="16"/>
                <w:szCs w:val="16"/>
                <w:lang w:val="ru-RU"/>
              </w:rPr>
              <w:t xml:space="preserve">Число тематических исследований по МСП, просмотренных в базе </w:t>
            </w:r>
            <w:r w:rsidRPr="008C07F6">
              <w:rPr>
                <w:sz w:val="16"/>
                <w:szCs w:val="16"/>
              </w:rPr>
              <w:t>IpAdvantage</w:t>
            </w:r>
            <w:r w:rsidRPr="005177C8">
              <w:rPr>
                <w:sz w:val="16"/>
                <w:szCs w:val="16"/>
                <w:lang w:val="ru-RU"/>
              </w:rPr>
              <w:t xml:space="preserve"> и/или других профильных базах данных</w:t>
            </w:r>
          </w:p>
        </w:tc>
        <w:tc>
          <w:tcPr>
            <w:tcW w:w="957" w:type="pct"/>
            <w:tcBorders>
              <w:top w:val="single" w:sz="4" w:space="0" w:color="auto"/>
              <w:bottom w:val="nil"/>
            </w:tcBorders>
            <w:shd w:val="clear" w:color="auto" w:fill="auto"/>
          </w:tcPr>
          <w:p w:rsidR="005177C8" w:rsidRPr="008C07F6" w:rsidRDefault="005177C8" w:rsidP="005177C8">
            <w:pPr>
              <w:rPr>
                <w:rFonts w:cs="Arial"/>
                <w:i/>
                <w:color w:val="002060"/>
                <w:sz w:val="16"/>
                <w:szCs w:val="16"/>
              </w:rPr>
            </w:pPr>
            <w:r w:rsidRPr="008C07F6">
              <w:rPr>
                <w:sz w:val="16"/>
                <w:szCs w:val="16"/>
              </w:rPr>
              <w:t>будет определено позднее</w:t>
            </w:r>
          </w:p>
        </w:tc>
        <w:tc>
          <w:tcPr>
            <w:tcW w:w="729" w:type="pct"/>
            <w:tcBorders>
              <w:top w:val="single" w:sz="4" w:space="0" w:color="auto"/>
              <w:bottom w:val="nil"/>
            </w:tcBorders>
            <w:tcMar>
              <w:top w:w="110" w:type="dxa"/>
            </w:tcMar>
          </w:tcPr>
          <w:p w:rsidR="005177C8" w:rsidRPr="008C07F6" w:rsidRDefault="005177C8" w:rsidP="005177C8">
            <w:pPr>
              <w:rPr>
                <w:rFonts w:cs="Arial"/>
                <w:sz w:val="16"/>
                <w:szCs w:val="16"/>
              </w:rPr>
            </w:pPr>
            <w:r w:rsidRPr="008C07F6">
              <w:rPr>
                <w:sz w:val="16"/>
                <w:szCs w:val="16"/>
              </w:rPr>
              <w:t>будет определено позднее</w:t>
            </w:r>
          </w:p>
          <w:p w:rsidR="005177C8" w:rsidRPr="008C07F6" w:rsidRDefault="005177C8" w:rsidP="005177C8">
            <w:pPr>
              <w:rPr>
                <w:rFonts w:cs="Arial"/>
                <w:sz w:val="16"/>
                <w:szCs w:val="16"/>
              </w:rPr>
            </w:pPr>
          </w:p>
          <w:p w:rsidR="005177C8" w:rsidRPr="008C07F6" w:rsidRDefault="005177C8" w:rsidP="005177C8">
            <w:pPr>
              <w:rPr>
                <w:rFonts w:cs="Arial"/>
                <w:sz w:val="16"/>
                <w:szCs w:val="16"/>
              </w:rPr>
            </w:pPr>
          </w:p>
        </w:tc>
        <w:tc>
          <w:tcPr>
            <w:tcW w:w="1674" w:type="pct"/>
            <w:tcBorders>
              <w:top w:val="single" w:sz="4" w:space="0" w:color="auto"/>
              <w:bottom w:val="nil"/>
            </w:tcBorders>
            <w:shd w:val="clear" w:color="auto" w:fill="FFFFFF"/>
            <w:tcMar>
              <w:top w:w="110" w:type="dxa"/>
            </w:tcMar>
          </w:tcPr>
          <w:p w:rsidR="005177C8" w:rsidRPr="005177C8" w:rsidRDefault="005177C8" w:rsidP="005177C8">
            <w:pPr>
              <w:pStyle w:val="Default"/>
              <w:rPr>
                <w:sz w:val="16"/>
                <w:szCs w:val="16"/>
                <w:lang w:val="ru-RU"/>
              </w:rPr>
            </w:pPr>
            <w:r w:rsidRPr="005177C8">
              <w:rPr>
                <w:sz w:val="16"/>
                <w:szCs w:val="16"/>
                <w:lang w:val="ru-RU"/>
              </w:rPr>
              <w:t>В рассматриваемый двухлетний период в базу данных «</w:t>
            </w:r>
            <w:r w:rsidRPr="008C07F6">
              <w:rPr>
                <w:sz w:val="16"/>
                <w:szCs w:val="16"/>
              </w:rPr>
              <w:t>IP</w:t>
            </w:r>
            <w:r w:rsidRPr="005177C8">
              <w:rPr>
                <w:sz w:val="16"/>
                <w:szCs w:val="16"/>
                <w:lang w:val="ru-RU"/>
              </w:rPr>
              <w:t xml:space="preserve"> </w:t>
            </w:r>
            <w:r w:rsidRPr="008C07F6">
              <w:rPr>
                <w:sz w:val="16"/>
                <w:szCs w:val="16"/>
              </w:rPr>
              <w:t>Advantage</w:t>
            </w:r>
            <w:r w:rsidRPr="005177C8">
              <w:rPr>
                <w:sz w:val="16"/>
                <w:szCs w:val="16"/>
                <w:lang w:val="ru-RU"/>
              </w:rPr>
              <w:t>» было загружено еще 19 практических примеров эффективной работы МСП. Таким образом, общее число имеющихся в базе исследований, посвященных МСП, достигло 206.  В 2014–2015</w:t>
            </w:r>
            <w:r w:rsidRPr="008C07F6">
              <w:rPr>
                <w:sz w:val="16"/>
                <w:szCs w:val="16"/>
              </w:rPr>
              <w:t> </w:t>
            </w:r>
            <w:r w:rsidRPr="005177C8">
              <w:rPr>
                <w:sz w:val="16"/>
                <w:szCs w:val="16"/>
                <w:lang w:val="ru-RU"/>
              </w:rPr>
              <w:t>гг. было зафиксировано 199</w:t>
            </w:r>
            <w:r w:rsidRPr="008C07F6">
              <w:rPr>
                <w:sz w:val="16"/>
                <w:szCs w:val="16"/>
              </w:rPr>
              <w:t> </w:t>
            </w:r>
            <w:r w:rsidRPr="005177C8">
              <w:rPr>
                <w:sz w:val="16"/>
                <w:szCs w:val="16"/>
                <w:lang w:val="ru-RU"/>
              </w:rPr>
              <w:t>700 посещений базы, однако определить число просмотров исследований, посвященных именно МСП, технически невозможно.</w:t>
            </w:r>
          </w:p>
          <w:p w:rsidR="005177C8" w:rsidRPr="005177C8" w:rsidRDefault="005177C8" w:rsidP="005177C8">
            <w:pPr>
              <w:pStyle w:val="Default"/>
              <w:rPr>
                <w:sz w:val="16"/>
                <w:szCs w:val="16"/>
                <w:lang w:val="ru-RU"/>
              </w:rPr>
            </w:pPr>
          </w:p>
        </w:tc>
        <w:tc>
          <w:tcPr>
            <w:tcW w:w="548" w:type="pct"/>
            <w:tcBorders>
              <w:top w:val="single" w:sz="4" w:space="0" w:color="auto"/>
              <w:bottom w:val="nil"/>
            </w:tcBorders>
            <w:tcMar>
              <w:top w:w="110" w:type="dxa"/>
            </w:tcMar>
          </w:tcPr>
          <w:p w:rsidR="005177C8" w:rsidRPr="008C07F6" w:rsidRDefault="005177C8" w:rsidP="005177C8">
            <w:pPr>
              <w:pStyle w:val="Default"/>
              <w:jc w:val="center"/>
              <w:rPr>
                <w:sz w:val="16"/>
                <w:szCs w:val="16"/>
              </w:rPr>
            </w:pPr>
            <w:r w:rsidRPr="008C07F6">
              <w:rPr>
                <w:b/>
                <w:color w:val="808080"/>
                <w:sz w:val="16"/>
                <w:szCs w:val="16"/>
              </w:rPr>
              <w:t xml:space="preserve">Не подлежит оценке </w:t>
            </w:r>
          </w:p>
          <w:p w:rsidR="005177C8" w:rsidRPr="008C07F6" w:rsidRDefault="005177C8" w:rsidP="005177C8">
            <w:pPr>
              <w:keepNext/>
              <w:keepLines/>
              <w:jc w:val="center"/>
              <w:rPr>
                <w:rStyle w:val="Style5"/>
                <w:rFonts w:cs="Arial"/>
                <w:b/>
                <w:color w:val="808080"/>
                <w:sz w:val="16"/>
                <w:szCs w:val="16"/>
              </w:rPr>
            </w:pPr>
          </w:p>
        </w:tc>
      </w:tr>
      <w:tr w:rsidR="005177C8" w:rsidRPr="008C07F6" w:rsidTr="005177C8">
        <w:trPr>
          <w:cantSplit/>
        </w:trPr>
        <w:tc>
          <w:tcPr>
            <w:tcW w:w="1091" w:type="pct"/>
            <w:tcBorders>
              <w:top w:val="nil"/>
              <w:left w:val="single" w:sz="4" w:space="0" w:color="auto"/>
              <w:bottom w:val="nil"/>
            </w:tcBorders>
          </w:tcPr>
          <w:p w:rsidR="005177C8" w:rsidRPr="005177C8" w:rsidRDefault="005177C8" w:rsidP="005177C8">
            <w:pPr>
              <w:rPr>
                <w:rFonts w:cs="Arial"/>
                <w:sz w:val="16"/>
                <w:szCs w:val="16"/>
                <w:lang w:val="ru-RU"/>
              </w:rPr>
            </w:pPr>
            <w:r w:rsidRPr="005177C8">
              <w:rPr>
                <w:sz w:val="16"/>
                <w:szCs w:val="16"/>
                <w:lang w:val="ru-RU"/>
              </w:rPr>
              <w:t>Доля (в %) участников учебных программ для структур поддержки МСП, выразивших удовлетворение качеством материалов и организацией обучения</w:t>
            </w:r>
          </w:p>
          <w:p w:rsidR="005177C8" w:rsidRPr="005177C8" w:rsidRDefault="005177C8" w:rsidP="005177C8">
            <w:pPr>
              <w:rPr>
                <w:rFonts w:cs="Arial"/>
                <w:sz w:val="16"/>
                <w:szCs w:val="16"/>
                <w:lang w:val="ru-RU"/>
              </w:rPr>
            </w:pPr>
          </w:p>
        </w:tc>
        <w:tc>
          <w:tcPr>
            <w:tcW w:w="957" w:type="pct"/>
            <w:tcBorders>
              <w:top w:val="nil"/>
              <w:bottom w:val="nil"/>
            </w:tcBorders>
            <w:shd w:val="clear" w:color="auto" w:fill="auto"/>
          </w:tcPr>
          <w:p w:rsidR="005177C8" w:rsidRPr="005177C8" w:rsidRDefault="005177C8" w:rsidP="005177C8">
            <w:pPr>
              <w:rPr>
                <w:rFonts w:cs="Arial"/>
                <w:color w:val="002060"/>
                <w:sz w:val="16"/>
                <w:szCs w:val="16"/>
                <w:lang w:val="ru-RU"/>
              </w:rPr>
            </w:pPr>
            <w:r w:rsidRPr="005177C8">
              <w:rPr>
                <w:i/>
                <w:color w:val="002060"/>
                <w:sz w:val="16"/>
                <w:szCs w:val="16"/>
                <w:lang w:val="ru-RU"/>
              </w:rPr>
              <w:t>Обновленные базовые показатели, конец 2013</w:t>
            </w:r>
            <w:r w:rsidRPr="008C07F6">
              <w:rPr>
                <w:i/>
                <w:color w:val="002060"/>
                <w:sz w:val="16"/>
                <w:szCs w:val="16"/>
              </w:rPr>
              <w:t> </w:t>
            </w:r>
            <w:r w:rsidRPr="005177C8">
              <w:rPr>
                <w:i/>
                <w:color w:val="002060"/>
                <w:sz w:val="16"/>
                <w:szCs w:val="16"/>
                <w:lang w:val="ru-RU"/>
              </w:rPr>
              <w:t xml:space="preserve">г.: </w:t>
            </w:r>
            <w:r w:rsidRPr="005177C8">
              <w:rPr>
                <w:color w:val="002060"/>
                <w:sz w:val="16"/>
                <w:szCs w:val="16"/>
                <w:lang w:val="ru-RU"/>
              </w:rPr>
              <w:t>90%</w:t>
            </w:r>
          </w:p>
          <w:p w:rsidR="005177C8" w:rsidRPr="005177C8" w:rsidRDefault="005177C8" w:rsidP="005177C8">
            <w:pPr>
              <w:rPr>
                <w:rFonts w:cs="Arial"/>
                <w:i/>
                <w:sz w:val="16"/>
                <w:szCs w:val="16"/>
                <w:lang w:val="ru-RU"/>
              </w:rPr>
            </w:pPr>
          </w:p>
          <w:p w:rsidR="005177C8" w:rsidRPr="005177C8" w:rsidRDefault="005177C8" w:rsidP="005177C8">
            <w:pPr>
              <w:rPr>
                <w:sz w:val="16"/>
                <w:szCs w:val="16"/>
                <w:lang w:val="ru-RU"/>
              </w:rPr>
            </w:pPr>
            <w:r w:rsidRPr="005177C8">
              <w:rPr>
                <w:i/>
                <w:sz w:val="16"/>
                <w:szCs w:val="16"/>
                <w:lang w:val="ru-RU"/>
              </w:rPr>
              <w:t>Исходные базовые показатели ПиБ на 2014–2015 гг.:</w:t>
            </w:r>
            <w:r w:rsidRPr="005177C8">
              <w:rPr>
                <w:sz w:val="16"/>
                <w:szCs w:val="16"/>
                <w:lang w:val="ru-RU"/>
              </w:rPr>
              <w:t xml:space="preserve">  будет определено позднее</w:t>
            </w:r>
          </w:p>
          <w:p w:rsidR="005177C8" w:rsidRPr="005177C8" w:rsidRDefault="005177C8" w:rsidP="005177C8">
            <w:pPr>
              <w:rPr>
                <w:rFonts w:cs="Arial"/>
                <w:i/>
                <w:color w:val="002060"/>
                <w:sz w:val="16"/>
                <w:szCs w:val="16"/>
                <w:lang w:val="ru-RU"/>
              </w:rPr>
            </w:pPr>
          </w:p>
        </w:tc>
        <w:tc>
          <w:tcPr>
            <w:tcW w:w="729" w:type="pct"/>
            <w:tcBorders>
              <w:top w:val="nil"/>
              <w:bottom w:val="nil"/>
            </w:tcBorders>
            <w:tcMar>
              <w:top w:w="110" w:type="dxa"/>
            </w:tcMar>
          </w:tcPr>
          <w:p w:rsidR="005177C8" w:rsidRPr="008C07F6" w:rsidRDefault="005177C8" w:rsidP="005177C8">
            <w:pPr>
              <w:rPr>
                <w:rFonts w:cs="Arial"/>
                <w:sz w:val="16"/>
                <w:szCs w:val="16"/>
              </w:rPr>
            </w:pPr>
            <w:r w:rsidRPr="008C07F6">
              <w:rPr>
                <w:sz w:val="16"/>
                <w:szCs w:val="16"/>
              </w:rPr>
              <w:t>будет определено позднее</w:t>
            </w:r>
          </w:p>
          <w:p w:rsidR="005177C8" w:rsidRPr="008C07F6" w:rsidRDefault="005177C8" w:rsidP="005177C8">
            <w:pPr>
              <w:rPr>
                <w:rFonts w:cs="Arial"/>
                <w:sz w:val="16"/>
                <w:szCs w:val="16"/>
              </w:rPr>
            </w:pPr>
          </w:p>
          <w:p w:rsidR="005177C8" w:rsidRPr="008C07F6" w:rsidRDefault="005177C8" w:rsidP="005177C8">
            <w:pPr>
              <w:rPr>
                <w:rFonts w:cs="Arial"/>
                <w:sz w:val="16"/>
                <w:szCs w:val="16"/>
              </w:rPr>
            </w:pPr>
          </w:p>
        </w:tc>
        <w:tc>
          <w:tcPr>
            <w:tcW w:w="1674" w:type="pct"/>
            <w:tcBorders>
              <w:top w:val="nil"/>
              <w:bottom w:val="nil"/>
            </w:tcBorders>
            <w:shd w:val="clear" w:color="auto" w:fill="FFFFFF"/>
            <w:tcMar>
              <w:top w:w="110" w:type="dxa"/>
            </w:tcMar>
          </w:tcPr>
          <w:p w:rsidR="005177C8" w:rsidRPr="005177C8" w:rsidRDefault="005177C8" w:rsidP="005177C8">
            <w:pPr>
              <w:pStyle w:val="Default"/>
              <w:rPr>
                <w:sz w:val="16"/>
                <w:szCs w:val="16"/>
                <w:lang w:val="ru-RU"/>
              </w:rPr>
            </w:pPr>
            <w:r w:rsidRPr="005177C8">
              <w:rPr>
                <w:sz w:val="16"/>
                <w:szCs w:val="16"/>
                <w:lang w:val="ru-RU"/>
              </w:rPr>
              <w:t xml:space="preserve">100% слушателей были удовлетворены качеством материалов и организацией обучения (46% весьма удовлетворены; 54% удовлетворены). </w:t>
            </w:r>
          </w:p>
          <w:p w:rsidR="005177C8" w:rsidRPr="005177C8" w:rsidRDefault="005177C8" w:rsidP="005177C8">
            <w:pPr>
              <w:rPr>
                <w:rFonts w:cs="Arial"/>
                <w:sz w:val="16"/>
                <w:szCs w:val="16"/>
                <w:lang w:val="ru-RU"/>
              </w:rPr>
            </w:pPr>
          </w:p>
        </w:tc>
        <w:tc>
          <w:tcPr>
            <w:tcW w:w="548" w:type="pct"/>
            <w:tcBorders>
              <w:top w:val="nil"/>
              <w:bottom w:val="nil"/>
              <w:right w:val="single" w:sz="4" w:space="0" w:color="auto"/>
            </w:tcBorders>
            <w:tcMar>
              <w:top w:w="110" w:type="dxa"/>
            </w:tcMar>
          </w:tcPr>
          <w:p w:rsidR="005177C8" w:rsidRPr="008C07F6" w:rsidRDefault="005177C8" w:rsidP="005177C8">
            <w:pPr>
              <w:keepNext/>
              <w:keepLines/>
              <w:jc w:val="center"/>
              <w:rPr>
                <w:rStyle w:val="Style5"/>
                <w:rFonts w:cs="Arial"/>
                <w:b/>
                <w:color w:val="808080"/>
                <w:sz w:val="16"/>
                <w:szCs w:val="16"/>
              </w:rPr>
            </w:pPr>
            <w:r w:rsidRPr="008C07F6">
              <w:rPr>
                <w:rStyle w:val="Style5"/>
                <w:b/>
                <w:color w:val="00B050"/>
                <w:sz w:val="16"/>
                <w:szCs w:val="16"/>
              </w:rPr>
              <w:t>Выполнено</w:t>
            </w:r>
          </w:p>
        </w:tc>
      </w:tr>
      <w:tr w:rsidR="005177C8" w:rsidRPr="008C07F6" w:rsidTr="005177C8">
        <w:trPr>
          <w:cantSplit/>
          <w:trHeight w:val="2464"/>
        </w:trPr>
        <w:tc>
          <w:tcPr>
            <w:tcW w:w="1091" w:type="pct"/>
            <w:tcBorders>
              <w:top w:val="nil"/>
              <w:bottom w:val="nil"/>
            </w:tcBorders>
          </w:tcPr>
          <w:p w:rsidR="005177C8" w:rsidRPr="005177C8" w:rsidRDefault="005177C8" w:rsidP="005177C8">
            <w:pPr>
              <w:keepNext/>
              <w:keepLines/>
              <w:rPr>
                <w:rFonts w:cs="Arial"/>
                <w:sz w:val="16"/>
                <w:szCs w:val="16"/>
                <w:lang w:val="ru-RU"/>
              </w:rPr>
            </w:pPr>
            <w:r w:rsidRPr="005177C8">
              <w:rPr>
                <w:sz w:val="16"/>
                <w:szCs w:val="16"/>
                <w:lang w:val="ru-RU"/>
              </w:rPr>
              <w:t>Доля (%) прошедших обучение структур поддержки МСП, предоставляющих информацию, поддержку и консультационные услуги по вопросам управления активами ИС.</w:t>
            </w:r>
          </w:p>
        </w:tc>
        <w:tc>
          <w:tcPr>
            <w:tcW w:w="957" w:type="pct"/>
            <w:tcBorders>
              <w:top w:val="nil"/>
              <w:bottom w:val="nil"/>
            </w:tcBorders>
            <w:shd w:val="clear" w:color="auto" w:fill="auto"/>
          </w:tcPr>
          <w:p w:rsidR="005177C8" w:rsidRPr="005177C8" w:rsidRDefault="005177C8" w:rsidP="005177C8">
            <w:pPr>
              <w:keepNext/>
              <w:keepLines/>
              <w:rPr>
                <w:rFonts w:cs="Arial"/>
                <w:color w:val="002060"/>
                <w:sz w:val="16"/>
                <w:szCs w:val="16"/>
                <w:lang w:val="ru-RU"/>
              </w:rPr>
            </w:pPr>
            <w:r w:rsidRPr="005177C8">
              <w:rPr>
                <w:i/>
                <w:color w:val="002060"/>
                <w:sz w:val="16"/>
                <w:szCs w:val="16"/>
                <w:lang w:val="ru-RU"/>
              </w:rPr>
              <w:t>Обновленные базовые показатели, конец 2013</w:t>
            </w:r>
            <w:r w:rsidRPr="008C07F6">
              <w:rPr>
                <w:i/>
                <w:color w:val="002060"/>
                <w:sz w:val="16"/>
                <w:szCs w:val="16"/>
              </w:rPr>
              <w:t> </w:t>
            </w:r>
            <w:r w:rsidRPr="005177C8">
              <w:rPr>
                <w:i/>
                <w:color w:val="002060"/>
                <w:sz w:val="16"/>
                <w:szCs w:val="16"/>
                <w:lang w:val="ru-RU"/>
              </w:rPr>
              <w:t xml:space="preserve">г.: </w:t>
            </w:r>
            <w:r w:rsidRPr="005177C8">
              <w:rPr>
                <w:sz w:val="16"/>
                <w:szCs w:val="16"/>
                <w:lang w:val="ru-RU"/>
              </w:rPr>
              <w:t>все 15 учреждений поддержки МСП, сотрудники которых прошли обучение, предоставляют информацию, поддержку и консультационные услуги по вопросам управления активами ИС.</w:t>
            </w:r>
          </w:p>
          <w:p w:rsidR="005177C8" w:rsidRPr="005177C8" w:rsidRDefault="005177C8" w:rsidP="005177C8">
            <w:pPr>
              <w:keepNext/>
              <w:keepLines/>
              <w:rPr>
                <w:rFonts w:cs="Arial"/>
                <w:i/>
                <w:sz w:val="16"/>
                <w:szCs w:val="16"/>
                <w:lang w:val="ru-RU"/>
              </w:rPr>
            </w:pPr>
          </w:p>
          <w:p w:rsidR="005177C8" w:rsidRPr="005177C8" w:rsidRDefault="005177C8" w:rsidP="005177C8">
            <w:pPr>
              <w:keepNext/>
              <w:keepLines/>
              <w:rPr>
                <w:sz w:val="16"/>
                <w:szCs w:val="16"/>
                <w:lang w:val="ru-RU"/>
              </w:rPr>
            </w:pPr>
            <w:r w:rsidRPr="005177C8">
              <w:rPr>
                <w:i/>
                <w:sz w:val="16"/>
                <w:szCs w:val="16"/>
                <w:lang w:val="ru-RU"/>
              </w:rPr>
              <w:t>Исходные базовые показатели ПиБ на 2014–2015 гг.:</w:t>
            </w:r>
            <w:r w:rsidRPr="005177C8">
              <w:rPr>
                <w:sz w:val="16"/>
                <w:szCs w:val="16"/>
                <w:lang w:val="ru-RU"/>
              </w:rPr>
              <w:t xml:space="preserve">  будет определено позднее</w:t>
            </w:r>
          </w:p>
          <w:p w:rsidR="005177C8" w:rsidRPr="005177C8" w:rsidRDefault="005177C8" w:rsidP="005177C8">
            <w:pPr>
              <w:keepNext/>
              <w:keepLines/>
              <w:rPr>
                <w:rFonts w:cs="Arial"/>
                <w:i/>
                <w:color w:val="002060"/>
                <w:sz w:val="16"/>
                <w:szCs w:val="16"/>
                <w:lang w:val="ru-RU"/>
              </w:rPr>
            </w:pPr>
          </w:p>
        </w:tc>
        <w:tc>
          <w:tcPr>
            <w:tcW w:w="729" w:type="pct"/>
            <w:tcBorders>
              <w:top w:val="nil"/>
              <w:bottom w:val="nil"/>
            </w:tcBorders>
            <w:tcMar>
              <w:top w:w="110" w:type="dxa"/>
            </w:tcMar>
          </w:tcPr>
          <w:p w:rsidR="005177C8" w:rsidRPr="005177C8" w:rsidRDefault="005177C8" w:rsidP="005177C8">
            <w:pPr>
              <w:keepNext/>
              <w:keepLines/>
              <w:outlineLvl w:val="7"/>
              <w:rPr>
                <w:rFonts w:cs="Arial"/>
                <w:color w:val="002060"/>
                <w:sz w:val="16"/>
                <w:szCs w:val="16"/>
                <w:lang w:val="ru-RU"/>
              </w:rPr>
            </w:pPr>
            <w:r w:rsidRPr="005177C8">
              <w:rPr>
                <w:color w:val="002060"/>
                <w:sz w:val="16"/>
                <w:szCs w:val="16"/>
                <w:lang w:val="ru-RU"/>
              </w:rPr>
              <w:t>Целевой показатель: 80%</w:t>
            </w:r>
          </w:p>
          <w:p w:rsidR="005177C8" w:rsidRPr="005177C8" w:rsidRDefault="005177C8" w:rsidP="005177C8">
            <w:pPr>
              <w:keepNext/>
              <w:keepLines/>
              <w:rPr>
                <w:rFonts w:cs="Arial"/>
                <w:sz w:val="16"/>
                <w:szCs w:val="16"/>
                <w:lang w:val="ru-RU"/>
              </w:rPr>
            </w:pPr>
          </w:p>
          <w:p w:rsidR="005177C8" w:rsidRPr="005177C8" w:rsidRDefault="005177C8" w:rsidP="005177C8">
            <w:pPr>
              <w:keepNext/>
              <w:keepLines/>
              <w:rPr>
                <w:rFonts w:cs="Arial"/>
                <w:sz w:val="16"/>
                <w:szCs w:val="16"/>
                <w:lang w:val="ru-RU"/>
              </w:rPr>
            </w:pPr>
            <w:r w:rsidRPr="005177C8">
              <w:rPr>
                <w:sz w:val="16"/>
                <w:szCs w:val="16"/>
                <w:lang w:val="ru-RU"/>
              </w:rPr>
              <w:t>Исходные целевые показатели ПиБ на 2014–2015 гг.:  будет определено позднее</w:t>
            </w:r>
          </w:p>
          <w:p w:rsidR="005177C8" w:rsidRPr="005177C8" w:rsidRDefault="005177C8" w:rsidP="005177C8">
            <w:pPr>
              <w:keepNext/>
              <w:keepLines/>
              <w:rPr>
                <w:rFonts w:cs="Arial"/>
                <w:sz w:val="16"/>
                <w:szCs w:val="16"/>
                <w:lang w:val="ru-RU"/>
              </w:rPr>
            </w:pPr>
          </w:p>
        </w:tc>
        <w:tc>
          <w:tcPr>
            <w:tcW w:w="1674" w:type="pct"/>
            <w:tcBorders>
              <w:top w:val="nil"/>
              <w:bottom w:val="nil"/>
            </w:tcBorders>
            <w:shd w:val="clear" w:color="auto" w:fill="FFFFFF"/>
            <w:tcMar>
              <w:top w:w="110" w:type="dxa"/>
            </w:tcMar>
          </w:tcPr>
          <w:p w:rsidR="005177C8" w:rsidRPr="005177C8" w:rsidRDefault="005177C8" w:rsidP="005177C8">
            <w:pPr>
              <w:pStyle w:val="Default"/>
              <w:rPr>
                <w:sz w:val="16"/>
                <w:szCs w:val="16"/>
                <w:lang w:val="ru-RU"/>
              </w:rPr>
            </w:pPr>
            <w:r w:rsidRPr="005177C8">
              <w:rPr>
                <w:sz w:val="16"/>
                <w:szCs w:val="16"/>
                <w:lang w:val="ru-RU"/>
              </w:rPr>
              <w:t xml:space="preserve">100% учреждений поддержки МСП, сотрудники которых прошли обучение, предоставляют информацию, поддержку и консультационные услуги по вопросам управления активами ИС (48% очень часто; 32% часто; 20% иногда). </w:t>
            </w:r>
          </w:p>
          <w:p w:rsidR="005177C8" w:rsidRPr="005177C8" w:rsidRDefault="005177C8" w:rsidP="005177C8">
            <w:pPr>
              <w:pStyle w:val="ListParagraph"/>
              <w:keepNext/>
              <w:keepLines/>
              <w:ind w:left="360"/>
              <w:rPr>
                <w:rFonts w:cs="Arial"/>
                <w:sz w:val="16"/>
                <w:szCs w:val="16"/>
                <w:lang w:val="ru-RU"/>
              </w:rPr>
            </w:pPr>
          </w:p>
        </w:tc>
        <w:tc>
          <w:tcPr>
            <w:tcW w:w="548" w:type="pct"/>
            <w:tcBorders>
              <w:top w:val="nil"/>
              <w:bottom w:val="nil"/>
            </w:tcBorders>
            <w:tcMar>
              <w:top w:w="110" w:type="dxa"/>
            </w:tcMar>
          </w:tcPr>
          <w:p w:rsidR="005177C8" w:rsidRPr="008C07F6" w:rsidRDefault="005177C8" w:rsidP="005177C8">
            <w:pPr>
              <w:keepNext/>
              <w:keepLines/>
              <w:jc w:val="center"/>
              <w:rPr>
                <w:rStyle w:val="Style5"/>
                <w:rFonts w:cs="Arial"/>
                <w:b/>
                <w:color w:val="00B050"/>
                <w:sz w:val="16"/>
                <w:szCs w:val="16"/>
              </w:rPr>
            </w:pPr>
            <w:r w:rsidRPr="008C07F6">
              <w:rPr>
                <w:rStyle w:val="Style5"/>
                <w:b/>
                <w:color w:val="00B050"/>
                <w:sz w:val="16"/>
                <w:szCs w:val="16"/>
              </w:rPr>
              <w:t>Выполнено</w:t>
            </w:r>
          </w:p>
        </w:tc>
      </w:tr>
      <w:tr w:rsidR="005177C8" w:rsidRPr="008C07F6" w:rsidTr="005177C8">
        <w:trPr>
          <w:cantSplit/>
        </w:trPr>
        <w:tc>
          <w:tcPr>
            <w:tcW w:w="1091" w:type="pct"/>
            <w:tcBorders>
              <w:top w:val="nil"/>
              <w:bottom w:val="single" w:sz="4" w:space="0" w:color="auto"/>
            </w:tcBorders>
          </w:tcPr>
          <w:p w:rsidR="005177C8" w:rsidRPr="005177C8" w:rsidRDefault="005177C8" w:rsidP="005177C8">
            <w:pPr>
              <w:rPr>
                <w:rFonts w:cs="Arial"/>
                <w:sz w:val="16"/>
                <w:szCs w:val="16"/>
                <w:lang w:val="ru-RU"/>
              </w:rPr>
            </w:pPr>
            <w:r w:rsidRPr="005177C8">
              <w:rPr>
                <w:sz w:val="16"/>
                <w:szCs w:val="16"/>
                <w:lang w:val="ru-RU"/>
              </w:rPr>
              <w:t>Число стран, предлагающих программы обучения по ИС для МСП</w:t>
            </w:r>
          </w:p>
        </w:tc>
        <w:tc>
          <w:tcPr>
            <w:tcW w:w="957" w:type="pct"/>
            <w:tcBorders>
              <w:top w:val="nil"/>
              <w:bottom w:val="single" w:sz="4" w:space="0" w:color="auto"/>
            </w:tcBorders>
            <w:shd w:val="clear" w:color="auto" w:fill="auto"/>
          </w:tcPr>
          <w:p w:rsidR="005177C8" w:rsidRPr="008C07F6" w:rsidRDefault="005177C8" w:rsidP="005177C8">
            <w:pPr>
              <w:rPr>
                <w:rFonts w:cs="Arial"/>
                <w:i/>
                <w:color w:val="002060"/>
                <w:sz w:val="16"/>
                <w:szCs w:val="16"/>
              </w:rPr>
            </w:pPr>
            <w:r w:rsidRPr="008C07F6">
              <w:rPr>
                <w:sz w:val="16"/>
                <w:szCs w:val="16"/>
              </w:rPr>
              <w:t>будет определено позднее</w:t>
            </w:r>
          </w:p>
        </w:tc>
        <w:tc>
          <w:tcPr>
            <w:tcW w:w="729" w:type="pct"/>
            <w:tcBorders>
              <w:top w:val="nil"/>
              <w:bottom w:val="single" w:sz="4" w:space="0" w:color="auto"/>
            </w:tcBorders>
            <w:tcMar>
              <w:top w:w="110" w:type="dxa"/>
            </w:tcMar>
          </w:tcPr>
          <w:p w:rsidR="005177C8" w:rsidRPr="008C07F6" w:rsidRDefault="005177C8" w:rsidP="005177C8">
            <w:pPr>
              <w:rPr>
                <w:rFonts w:cs="Arial"/>
                <w:sz w:val="16"/>
                <w:szCs w:val="16"/>
              </w:rPr>
            </w:pPr>
            <w:r w:rsidRPr="008C07F6">
              <w:rPr>
                <w:sz w:val="16"/>
                <w:szCs w:val="16"/>
              </w:rPr>
              <w:t>будет определено позднее</w:t>
            </w:r>
          </w:p>
          <w:p w:rsidR="005177C8" w:rsidRPr="008C07F6" w:rsidRDefault="005177C8" w:rsidP="005177C8">
            <w:pPr>
              <w:rPr>
                <w:rFonts w:cs="Arial"/>
                <w:sz w:val="16"/>
                <w:szCs w:val="16"/>
              </w:rPr>
            </w:pPr>
          </w:p>
          <w:p w:rsidR="005177C8" w:rsidRPr="008C07F6" w:rsidRDefault="005177C8" w:rsidP="005177C8">
            <w:pPr>
              <w:rPr>
                <w:rFonts w:cs="Arial"/>
                <w:sz w:val="16"/>
                <w:szCs w:val="16"/>
              </w:rPr>
            </w:pPr>
          </w:p>
        </w:tc>
        <w:tc>
          <w:tcPr>
            <w:tcW w:w="1674" w:type="pct"/>
            <w:tcBorders>
              <w:top w:val="nil"/>
              <w:bottom w:val="single" w:sz="4" w:space="0" w:color="auto"/>
            </w:tcBorders>
            <w:shd w:val="clear" w:color="auto" w:fill="FFFFFF"/>
            <w:tcMar>
              <w:top w:w="110" w:type="dxa"/>
            </w:tcMar>
          </w:tcPr>
          <w:p w:rsidR="005177C8" w:rsidRPr="005177C8" w:rsidRDefault="005177C8" w:rsidP="005177C8">
            <w:pPr>
              <w:pStyle w:val="Default"/>
              <w:rPr>
                <w:sz w:val="16"/>
                <w:szCs w:val="16"/>
                <w:lang w:val="ru-RU"/>
              </w:rPr>
            </w:pPr>
            <w:r w:rsidRPr="005177C8">
              <w:rPr>
                <w:sz w:val="16"/>
                <w:szCs w:val="16"/>
                <w:lang w:val="ru-RU"/>
              </w:rPr>
              <w:t xml:space="preserve">О создании учебных программ по тематике ИС для МСП сообщили следующие 18 стран/региональных организаций: АРОИС, Армения, Аргентина, Беларусь, Колумбия, Грузия, Иран (Исламская Республика), Иордания, Казахстан, Лаосская Народно-Демократическая   Республика, Ливан, Оман, Папуа-Новая Гвинея, Саудовская Аравия, Тринидад и Тобаго, Уганда, Объединенные Арабские Эмираты и Объединенная Республика Танзания. </w:t>
            </w:r>
          </w:p>
          <w:p w:rsidR="005177C8" w:rsidRPr="005177C8" w:rsidRDefault="005177C8" w:rsidP="005177C8">
            <w:pPr>
              <w:rPr>
                <w:rFonts w:cs="Arial"/>
                <w:sz w:val="16"/>
                <w:szCs w:val="16"/>
                <w:lang w:val="ru-RU"/>
              </w:rPr>
            </w:pPr>
          </w:p>
        </w:tc>
        <w:tc>
          <w:tcPr>
            <w:tcW w:w="548" w:type="pct"/>
            <w:tcBorders>
              <w:top w:val="nil"/>
              <w:bottom w:val="single" w:sz="4" w:space="0" w:color="auto"/>
            </w:tcBorders>
            <w:tcMar>
              <w:top w:w="110" w:type="dxa"/>
            </w:tcMar>
          </w:tcPr>
          <w:p w:rsidR="005177C8" w:rsidRPr="008C07F6" w:rsidRDefault="005177C8" w:rsidP="005177C8">
            <w:pPr>
              <w:pStyle w:val="Default"/>
              <w:jc w:val="center"/>
              <w:rPr>
                <w:sz w:val="16"/>
                <w:szCs w:val="16"/>
              </w:rPr>
            </w:pPr>
            <w:r w:rsidRPr="008C07F6">
              <w:rPr>
                <w:b/>
                <w:color w:val="808080"/>
                <w:sz w:val="16"/>
                <w:szCs w:val="16"/>
              </w:rPr>
              <w:t xml:space="preserve">Не подлежит оценке </w:t>
            </w:r>
          </w:p>
          <w:p w:rsidR="005177C8" w:rsidRPr="008C07F6" w:rsidRDefault="005177C8" w:rsidP="005177C8">
            <w:pPr>
              <w:keepNext/>
              <w:keepLines/>
              <w:jc w:val="center"/>
              <w:rPr>
                <w:rStyle w:val="Style5"/>
                <w:rFonts w:cs="Arial"/>
                <w:b/>
                <w:color w:val="00B050"/>
                <w:sz w:val="16"/>
                <w:szCs w:val="16"/>
              </w:rPr>
            </w:pPr>
          </w:p>
        </w:tc>
      </w:tr>
      <w:tr w:rsidR="005177C8" w:rsidRPr="005C6ABD" w:rsidTr="005177C8">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5177C8" w:rsidRPr="005177C8" w:rsidRDefault="005177C8" w:rsidP="00AD2B92">
            <w:pPr>
              <w:keepNext/>
              <w:keepLines/>
              <w:tabs>
                <w:tab w:val="left" w:pos="2302"/>
              </w:tabs>
              <w:spacing w:before="120" w:after="120"/>
              <w:ind w:left="2302" w:hanging="2302"/>
              <w:rPr>
                <w:rFonts w:cs="Arial"/>
                <w:b/>
                <w:bCs/>
                <w:sz w:val="16"/>
                <w:szCs w:val="16"/>
                <w:lang w:val="ru-RU"/>
              </w:rPr>
            </w:pPr>
            <w:r w:rsidRPr="005177C8">
              <w:rPr>
                <w:b/>
                <w:sz w:val="16"/>
                <w:szCs w:val="16"/>
                <w:lang w:val="ru-RU"/>
              </w:rPr>
              <w:t>Ожидаемый результат:</w:t>
            </w:r>
            <w:r w:rsidRPr="005177C8">
              <w:rPr>
                <w:sz w:val="16"/>
                <w:szCs w:val="16"/>
                <w:lang w:val="ru-RU"/>
              </w:rPr>
              <w:t xml:space="preserve"> </w:t>
            </w:r>
            <w:r w:rsidRPr="005177C8">
              <w:rPr>
                <w:sz w:val="16"/>
                <w:szCs w:val="16"/>
                <w:lang w:val="ru-RU"/>
              </w:rPr>
              <w:tab/>
            </w:r>
            <w:r>
              <w:rPr>
                <w:sz w:val="16"/>
                <w:szCs w:val="16"/>
              </w:rPr>
              <w:t>IV</w:t>
            </w:r>
            <w:r w:rsidRPr="005177C8">
              <w:rPr>
                <w:sz w:val="16"/>
                <w:szCs w:val="16"/>
                <w:lang w:val="ru-RU"/>
              </w:rPr>
              <w:t xml:space="preserve">.2 Расширение доступа и использования информации </w:t>
            </w:r>
            <w:r w:rsidR="00AD2B92">
              <w:rPr>
                <w:sz w:val="16"/>
                <w:szCs w:val="16"/>
                <w:lang w:val="ru-RU"/>
              </w:rPr>
              <w:t xml:space="preserve">в области ИС учреждениями ИС и </w:t>
            </w:r>
            <w:r w:rsidRPr="005177C8">
              <w:rPr>
                <w:sz w:val="16"/>
                <w:szCs w:val="16"/>
                <w:lang w:val="ru-RU"/>
              </w:rPr>
              <w:t>общественностью для содействия инновациям и творчеству</w:t>
            </w:r>
          </w:p>
        </w:tc>
      </w:tr>
      <w:tr w:rsidR="005177C8" w:rsidRPr="008C07F6" w:rsidTr="005177C8">
        <w:trPr>
          <w:cantSplit/>
        </w:trPr>
        <w:tc>
          <w:tcPr>
            <w:tcW w:w="1091" w:type="pct"/>
            <w:tcBorders>
              <w:top w:val="single" w:sz="4" w:space="0" w:color="auto"/>
            </w:tcBorders>
            <w:vAlign w:val="center"/>
          </w:tcPr>
          <w:p w:rsidR="005177C8" w:rsidRPr="008C07F6" w:rsidRDefault="005177C8" w:rsidP="005177C8">
            <w:pPr>
              <w:rPr>
                <w:rFonts w:cs="Arial"/>
                <w:sz w:val="16"/>
                <w:szCs w:val="16"/>
              </w:rPr>
            </w:pPr>
            <w:r w:rsidRPr="008C07F6">
              <w:rPr>
                <w:b/>
                <w:sz w:val="16"/>
                <w:szCs w:val="16"/>
              </w:rPr>
              <w:t>Показатели результативности</w:t>
            </w:r>
          </w:p>
        </w:tc>
        <w:tc>
          <w:tcPr>
            <w:tcW w:w="957" w:type="pct"/>
            <w:tcBorders>
              <w:top w:val="single" w:sz="4" w:space="0" w:color="auto"/>
            </w:tcBorders>
            <w:shd w:val="clear" w:color="auto" w:fill="auto"/>
            <w:vAlign w:val="center"/>
          </w:tcPr>
          <w:p w:rsidR="005177C8" w:rsidRPr="008C07F6" w:rsidRDefault="005177C8" w:rsidP="005177C8">
            <w:pPr>
              <w:rPr>
                <w:rFonts w:cs="Arial"/>
                <w:b/>
                <w:bCs/>
                <w:sz w:val="16"/>
                <w:szCs w:val="16"/>
              </w:rPr>
            </w:pPr>
            <w:r w:rsidRPr="008C07F6">
              <w:rPr>
                <w:b/>
                <w:sz w:val="16"/>
                <w:szCs w:val="16"/>
              </w:rPr>
              <w:t>Базовые показатели</w:t>
            </w:r>
          </w:p>
        </w:tc>
        <w:tc>
          <w:tcPr>
            <w:tcW w:w="729" w:type="pct"/>
            <w:tcBorders>
              <w:top w:val="single" w:sz="4" w:space="0" w:color="auto"/>
            </w:tcBorders>
            <w:tcMar>
              <w:top w:w="110" w:type="dxa"/>
            </w:tcMar>
            <w:vAlign w:val="center"/>
          </w:tcPr>
          <w:p w:rsidR="005177C8" w:rsidRPr="008C07F6" w:rsidRDefault="005177C8" w:rsidP="005177C8">
            <w:pPr>
              <w:rPr>
                <w:rFonts w:cs="Arial"/>
                <w:b/>
                <w:sz w:val="16"/>
                <w:szCs w:val="16"/>
              </w:rPr>
            </w:pPr>
            <w:r w:rsidRPr="008C07F6">
              <w:rPr>
                <w:b/>
                <w:sz w:val="16"/>
                <w:szCs w:val="16"/>
              </w:rPr>
              <w:t>Цели</w:t>
            </w:r>
          </w:p>
        </w:tc>
        <w:tc>
          <w:tcPr>
            <w:tcW w:w="1674" w:type="pct"/>
            <w:tcBorders>
              <w:top w:val="single" w:sz="4" w:space="0" w:color="auto"/>
            </w:tcBorders>
            <w:shd w:val="clear" w:color="auto" w:fill="FFFFFF"/>
            <w:tcMar>
              <w:top w:w="110" w:type="dxa"/>
            </w:tcMar>
            <w:vAlign w:val="center"/>
          </w:tcPr>
          <w:p w:rsidR="005177C8" w:rsidRPr="008C07F6" w:rsidRDefault="005177C8" w:rsidP="005177C8">
            <w:pPr>
              <w:rPr>
                <w:rFonts w:cs="Arial"/>
                <w:sz w:val="16"/>
                <w:szCs w:val="16"/>
              </w:rPr>
            </w:pPr>
            <w:r w:rsidRPr="008C07F6">
              <w:rPr>
                <w:b/>
                <w:sz w:val="16"/>
                <w:szCs w:val="16"/>
              </w:rPr>
              <w:t>Данные о результативности</w:t>
            </w:r>
          </w:p>
        </w:tc>
        <w:tc>
          <w:tcPr>
            <w:tcW w:w="548" w:type="pct"/>
            <w:tcBorders>
              <w:top w:val="single" w:sz="4" w:space="0" w:color="auto"/>
            </w:tcBorders>
            <w:tcMar>
              <w:top w:w="110" w:type="dxa"/>
            </w:tcMar>
            <w:vAlign w:val="center"/>
          </w:tcPr>
          <w:p w:rsidR="005177C8" w:rsidRPr="008C07F6" w:rsidRDefault="005177C8" w:rsidP="005177C8">
            <w:pPr>
              <w:keepNext/>
              <w:keepLines/>
              <w:jc w:val="center"/>
              <w:rPr>
                <w:rFonts w:cs="Arial"/>
                <w:b/>
                <w:bCs/>
                <w:sz w:val="16"/>
                <w:szCs w:val="16"/>
              </w:rPr>
            </w:pPr>
            <w:r w:rsidRPr="008C07F6">
              <w:rPr>
                <w:b/>
                <w:sz w:val="16"/>
                <w:szCs w:val="16"/>
              </w:rPr>
              <w:t>CC</w:t>
            </w:r>
          </w:p>
        </w:tc>
      </w:tr>
      <w:tr w:rsidR="005177C8" w:rsidRPr="008C07F6" w:rsidTr="005177C8">
        <w:trPr>
          <w:trHeight w:val="520"/>
        </w:trPr>
        <w:tc>
          <w:tcPr>
            <w:tcW w:w="1091" w:type="pct"/>
          </w:tcPr>
          <w:p w:rsidR="005177C8" w:rsidRPr="005177C8" w:rsidRDefault="005177C8" w:rsidP="005177C8">
            <w:pPr>
              <w:rPr>
                <w:rFonts w:cs="Arial"/>
                <w:sz w:val="16"/>
                <w:szCs w:val="16"/>
                <w:lang w:val="ru-RU"/>
              </w:rPr>
            </w:pPr>
            <w:r w:rsidRPr="005177C8">
              <w:rPr>
                <w:sz w:val="16"/>
                <w:szCs w:val="16"/>
                <w:lang w:val="ru-RU"/>
              </w:rPr>
              <w:t>Число учрежденных или укрупненных БПТ при вузах и научно-исследовательских учреждениях</w:t>
            </w:r>
          </w:p>
        </w:tc>
        <w:tc>
          <w:tcPr>
            <w:tcW w:w="957" w:type="pct"/>
            <w:shd w:val="clear" w:color="auto" w:fill="auto"/>
          </w:tcPr>
          <w:p w:rsidR="005177C8" w:rsidRPr="008C07F6" w:rsidRDefault="005177C8" w:rsidP="005177C8">
            <w:pPr>
              <w:rPr>
                <w:rFonts w:cs="Arial"/>
                <w:sz w:val="16"/>
                <w:szCs w:val="16"/>
              </w:rPr>
            </w:pPr>
            <w:r w:rsidRPr="008C07F6">
              <w:rPr>
                <w:sz w:val="16"/>
                <w:szCs w:val="16"/>
              </w:rPr>
              <w:t>будет определено позднее</w:t>
            </w:r>
          </w:p>
        </w:tc>
        <w:tc>
          <w:tcPr>
            <w:tcW w:w="729" w:type="pct"/>
            <w:tcMar>
              <w:top w:w="110" w:type="dxa"/>
            </w:tcMar>
          </w:tcPr>
          <w:p w:rsidR="005177C8" w:rsidRPr="008C07F6" w:rsidRDefault="005177C8" w:rsidP="005177C8">
            <w:pPr>
              <w:rPr>
                <w:rFonts w:cs="Arial"/>
                <w:sz w:val="16"/>
                <w:szCs w:val="16"/>
              </w:rPr>
            </w:pPr>
            <w:r w:rsidRPr="008C07F6">
              <w:rPr>
                <w:sz w:val="16"/>
                <w:szCs w:val="16"/>
              </w:rPr>
              <w:t xml:space="preserve">В </w:t>
            </w:r>
            <w:r>
              <w:rPr>
                <w:sz w:val="16"/>
                <w:szCs w:val="16"/>
              </w:rPr>
              <w:t>А</w:t>
            </w:r>
            <w:r w:rsidRPr="008C07F6">
              <w:rPr>
                <w:sz w:val="16"/>
                <w:szCs w:val="16"/>
              </w:rPr>
              <w:t>рабском регионе создано 5 БПТ</w:t>
            </w:r>
          </w:p>
          <w:p w:rsidR="005177C8" w:rsidRPr="008C07F6" w:rsidRDefault="005177C8" w:rsidP="005177C8">
            <w:pPr>
              <w:rPr>
                <w:rFonts w:cs="Arial"/>
                <w:sz w:val="16"/>
                <w:szCs w:val="16"/>
              </w:rPr>
            </w:pPr>
          </w:p>
          <w:p w:rsidR="005177C8" w:rsidRPr="008C07F6" w:rsidRDefault="005177C8" w:rsidP="005177C8">
            <w:pPr>
              <w:rPr>
                <w:rFonts w:cs="Arial"/>
                <w:sz w:val="16"/>
                <w:szCs w:val="16"/>
              </w:rPr>
            </w:pPr>
          </w:p>
        </w:tc>
        <w:tc>
          <w:tcPr>
            <w:tcW w:w="1674" w:type="pct"/>
            <w:shd w:val="clear" w:color="auto" w:fill="FFFFFF"/>
            <w:tcMar>
              <w:top w:w="110" w:type="dxa"/>
            </w:tcMar>
          </w:tcPr>
          <w:p w:rsidR="005177C8" w:rsidRPr="005177C8" w:rsidRDefault="005177C8" w:rsidP="005177C8">
            <w:pPr>
              <w:rPr>
                <w:rFonts w:cs="Arial"/>
                <w:sz w:val="16"/>
                <w:szCs w:val="16"/>
                <w:lang w:val="ru-RU"/>
              </w:rPr>
            </w:pPr>
            <w:r w:rsidRPr="005177C8">
              <w:rPr>
                <w:sz w:val="16"/>
                <w:szCs w:val="16"/>
                <w:lang w:val="ru-RU"/>
              </w:rPr>
              <w:t>В 2014–2015</w:t>
            </w:r>
            <w:r w:rsidRPr="008C07F6">
              <w:rPr>
                <w:sz w:val="16"/>
                <w:szCs w:val="16"/>
              </w:rPr>
              <w:t> </w:t>
            </w:r>
            <w:r w:rsidRPr="005177C8">
              <w:rPr>
                <w:sz w:val="16"/>
                <w:szCs w:val="16"/>
                <w:lang w:val="ru-RU"/>
              </w:rPr>
              <w:t>гг. географический охват проекта БПТ в Арабском регионе был расширен с целью удовлетворения потребностей государств-членов.  Продолжалась работа по укреплению потенциала 4 БПТ в Тунисе, что позволило им добиться большей операционной независимости и устойчивости работы, в том числе посредством завершения разработки институциональных стратегий в области ИС:</w:t>
            </w:r>
          </w:p>
          <w:p w:rsidR="005177C8" w:rsidRPr="004F71D7" w:rsidRDefault="005177C8" w:rsidP="005177C8">
            <w:pPr>
              <w:pStyle w:val="ListParagraph"/>
              <w:numPr>
                <w:ilvl w:val="0"/>
                <w:numId w:val="80"/>
              </w:numPr>
              <w:rPr>
                <w:rFonts w:cs="Arial"/>
                <w:sz w:val="16"/>
                <w:szCs w:val="16"/>
              </w:rPr>
            </w:pPr>
            <w:r w:rsidRPr="004F71D7">
              <w:rPr>
                <w:sz w:val="16"/>
                <w:szCs w:val="16"/>
              </w:rPr>
              <w:t>Химико-технологический Центр (CTC)</w:t>
            </w:r>
            <w:r>
              <w:rPr>
                <w:sz w:val="16"/>
                <w:szCs w:val="16"/>
              </w:rPr>
              <w:t>;</w:t>
            </w:r>
          </w:p>
          <w:p w:rsidR="005177C8" w:rsidRPr="008C07F6" w:rsidRDefault="005177C8" w:rsidP="005177C8">
            <w:pPr>
              <w:pStyle w:val="ListParagraph"/>
              <w:numPr>
                <w:ilvl w:val="0"/>
                <w:numId w:val="80"/>
              </w:numPr>
              <w:rPr>
                <w:rFonts w:cs="Arial"/>
                <w:sz w:val="16"/>
                <w:szCs w:val="16"/>
              </w:rPr>
            </w:pPr>
            <w:r w:rsidRPr="008C07F6">
              <w:rPr>
                <w:sz w:val="16"/>
                <w:szCs w:val="16"/>
              </w:rPr>
              <w:t>Технопарк в Эль-Газале</w:t>
            </w:r>
            <w:r>
              <w:rPr>
                <w:sz w:val="16"/>
                <w:szCs w:val="16"/>
              </w:rPr>
              <w:t>;</w:t>
            </w:r>
          </w:p>
          <w:p w:rsidR="005177C8" w:rsidRPr="008C07F6" w:rsidRDefault="005177C8" w:rsidP="005177C8">
            <w:pPr>
              <w:pStyle w:val="ListParagraph"/>
              <w:numPr>
                <w:ilvl w:val="0"/>
                <w:numId w:val="80"/>
              </w:numPr>
              <w:rPr>
                <w:rFonts w:cs="Arial"/>
                <w:sz w:val="16"/>
                <w:szCs w:val="16"/>
              </w:rPr>
            </w:pPr>
            <w:r w:rsidRPr="008C07F6">
              <w:rPr>
                <w:sz w:val="16"/>
                <w:szCs w:val="16"/>
              </w:rPr>
              <w:t>Технический центр упаковки «Пактек»</w:t>
            </w:r>
            <w:r>
              <w:rPr>
                <w:sz w:val="16"/>
                <w:szCs w:val="16"/>
              </w:rPr>
              <w:t>;</w:t>
            </w:r>
          </w:p>
          <w:p w:rsidR="005177C8" w:rsidRPr="005177C8" w:rsidRDefault="005177C8" w:rsidP="005177C8">
            <w:pPr>
              <w:pStyle w:val="ListParagraph"/>
              <w:numPr>
                <w:ilvl w:val="0"/>
                <w:numId w:val="80"/>
              </w:numPr>
              <w:rPr>
                <w:rFonts w:cs="Arial"/>
                <w:sz w:val="16"/>
                <w:szCs w:val="16"/>
                <w:lang w:val="ru-RU"/>
              </w:rPr>
            </w:pPr>
            <w:r w:rsidRPr="005177C8">
              <w:rPr>
                <w:sz w:val="16"/>
                <w:szCs w:val="16"/>
                <w:lang w:val="ru-RU"/>
              </w:rPr>
              <w:t>Технопарк в Сиди-Сабете (</w:t>
            </w:r>
            <w:r w:rsidRPr="008C07F6">
              <w:rPr>
                <w:sz w:val="16"/>
                <w:szCs w:val="16"/>
              </w:rPr>
              <w:t>TST</w:t>
            </w:r>
            <w:r w:rsidRPr="005177C8">
              <w:rPr>
                <w:sz w:val="16"/>
                <w:szCs w:val="16"/>
                <w:lang w:val="ru-RU"/>
              </w:rPr>
              <w:t>).</w:t>
            </w:r>
          </w:p>
          <w:p w:rsidR="005177C8" w:rsidRPr="005177C8" w:rsidRDefault="005177C8" w:rsidP="005177C8">
            <w:pPr>
              <w:rPr>
                <w:rFonts w:cs="Arial"/>
                <w:i/>
                <w:sz w:val="16"/>
                <w:szCs w:val="16"/>
                <w:lang w:val="ru-RU"/>
              </w:rPr>
            </w:pPr>
          </w:p>
          <w:p w:rsidR="005177C8" w:rsidRPr="005177C8" w:rsidRDefault="005177C8" w:rsidP="005177C8">
            <w:pPr>
              <w:rPr>
                <w:rFonts w:cs="Arial"/>
                <w:sz w:val="16"/>
                <w:szCs w:val="16"/>
                <w:lang w:val="ru-RU"/>
              </w:rPr>
            </w:pPr>
            <w:r w:rsidRPr="005177C8">
              <w:rPr>
                <w:sz w:val="16"/>
                <w:szCs w:val="16"/>
                <w:lang w:val="ru-RU"/>
              </w:rPr>
              <w:t>Согласно результатам опроса, следующие филиппинские университеты сообщили в 2014</w:t>
            </w:r>
            <w:r w:rsidRPr="008C07F6">
              <w:rPr>
                <w:sz w:val="16"/>
                <w:szCs w:val="16"/>
              </w:rPr>
              <w:t> </w:t>
            </w:r>
            <w:r w:rsidRPr="005177C8">
              <w:rPr>
                <w:sz w:val="16"/>
                <w:szCs w:val="16"/>
                <w:lang w:val="ru-RU"/>
              </w:rPr>
              <w:t>г., что консультации и учебные курсы ВОИС были «полезны» или «крайне полезны» для них с точки зрения укрепления потенциала их БПТ:</w:t>
            </w:r>
          </w:p>
          <w:p w:rsidR="005177C8" w:rsidRPr="005177C8" w:rsidRDefault="005177C8" w:rsidP="005177C8">
            <w:pPr>
              <w:rPr>
                <w:rFonts w:cs="Arial"/>
                <w:sz w:val="16"/>
                <w:szCs w:val="16"/>
                <w:lang w:val="ru-RU"/>
              </w:rPr>
            </w:pPr>
            <w:r w:rsidRPr="005177C8">
              <w:rPr>
                <w:sz w:val="16"/>
                <w:szCs w:val="16"/>
                <w:lang w:val="ru-RU"/>
              </w:rPr>
              <w:t>(</w:t>
            </w:r>
            <w:r>
              <w:rPr>
                <w:sz w:val="16"/>
                <w:szCs w:val="16"/>
              </w:rPr>
              <w:t>i</w:t>
            </w:r>
            <w:r w:rsidRPr="005177C8">
              <w:rPr>
                <w:sz w:val="16"/>
                <w:szCs w:val="16"/>
                <w:lang w:val="ru-RU"/>
              </w:rPr>
              <w:t>)</w:t>
            </w:r>
            <w:r>
              <w:rPr>
                <w:sz w:val="16"/>
                <w:szCs w:val="16"/>
              </w:rPr>
              <w:t> </w:t>
            </w:r>
            <w:r w:rsidRPr="005177C8">
              <w:rPr>
                <w:sz w:val="16"/>
                <w:szCs w:val="16"/>
                <w:lang w:val="ru-RU"/>
              </w:rPr>
              <w:t>Филиппинский политехнический университет; (</w:t>
            </w:r>
            <w:r>
              <w:rPr>
                <w:sz w:val="16"/>
                <w:szCs w:val="16"/>
              </w:rPr>
              <w:t>ii</w:t>
            </w:r>
            <w:r w:rsidRPr="005177C8">
              <w:rPr>
                <w:sz w:val="16"/>
                <w:szCs w:val="16"/>
                <w:lang w:val="ru-RU"/>
              </w:rPr>
              <w:t>)</w:t>
            </w:r>
            <w:r>
              <w:rPr>
                <w:sz w:val="16"/>
                <w:szCs w:val="16"/>
              </w:rPr>
              <w:t> </w:t>
            </w:r>
            <w:r w:rsidRPr="005177C8">
              <w:rPr>
                <w:sz w:val="16"/>
                <w:szCs w:val="16"/>
                <w:lang w:val="ru-RU"/>
              </w:rPr>
              <w:t>Отдел научных исследований Государственного университета о.</w:t>
            </w:r>
            <w:r>
              <w:rPr>
                <w:sz w:val="16"/>
                <w:szCs w:val="16"/>
              </w:rPr>
              <w:t> </w:t>
            </w:r>
            <w:r w:rsidRPr="005177C8">
              <w:rPr>
                <w:sz w:val="16"/>
                <w:szCs w:val="16"/>
                <w:lang w:val="ru-RU"/>
              </w:rPr>
              <w:t>Самар; (</w:t>
            </w:r>
            <w:r>
              <w:rPr>
                <w:sz w:val="16"/>
                <w:szCs w:val="16"/>
              </w:rPr>
              <w:t>iii</w:t>
            </w:r>
            <w:r w:rsidRPr="005177C8">
              <w:rPr>
                <w:sz w:val="16"/>
                <w:szCs w:val="16"/>
                <w:lang w:val="ru-RU"/>
              </w:rPr>
              <w:t>)</w:t>
            </w:r>
            <w:r>
              <w:rPr>
                <w:sz w:val="16"/>
                <w:szCs w:val="16"/>
              </w:rPr>
              <w:t> </w:t>
            </w:r>
            <w:r w:rsidRPr="005177C8">
              <w:rPr>
                <w:sz w:val="16"/>
                <w:szCs w:val="16"/>
                <w:lang w:val="ru-RU"/>
              </w:rPr>
              <w:t>Колледж технического проектирования Государственного университета Западных Филиппин; (</w:t>
            </w:r>
            <w:r>
              <w:rPr>
                <w:sz w:val="16"/>
                <w:szCs w:val="16"/>
              </w:rPr>
              <w:t>iv</w:t>
            </w:r>
            <w:r w:rsidRPr="005177C8">
              <w:rPr>
                <w:sz w:val="16"/>
                <w:szCs w:val="16"/>
                <w:lang w:val="ru-RU"/>
              </w:rPr>
              <w:t>)</w:t>
            </w:r>
            <w:r>
              <w:rPr>
                <w:sz w:val="16"/>
                <w:szCs w:val="16"/>
              </w:rPr>
              <w:t> </w:t>
            </w:r>
            <w:r w:rsidRPr="005177C8">
              <w:rPr>
                <w:sz w:val="16"/>
                <w:szCs w:val="16"/>
                <w:lang w:val="ru-RU"/>
              </w:rPr>
              <w:t>Филиппинский университет; (</w:t>
            </w:r>
            <w:r>
              <w:rPr>
                <w:sz w:val="16"/>
                <w:szCs w:val="16"/>
              </w:rPr>
              <w:t>v</w:t>
            </w:r>
            <w:r w:rsidRPr="005177C8">
              <w:rPr>
                <w:sz w:val="16"/>
                <w:szCs w:val="16"/>
                <w:lang w:val="ru-RU"/>
              </w:rPr>
              <w:t>)</w:t>
            </w:r>
            <w:r>
              <w:rPr>
                <w:sz w:val="16"/>
                <w:szCs w:val="16"/>
              </w:rPr>
              <w:t> </w:t>
            </w:r>
            <w:r w:rsidRPr="005177C8">
              <w:rPr>
                <w:sz w:val="16"/>
                <w:szCs w:val="16"/>
                <w:lang w:val="ru-RU"/>
              </w:rPr>
              <w:t>Университет Санто-Томас; (</w:t>
            </w:r>
            <w:r>
              <w:rPr>
                <w:sz w:val="16"/>
                <w:szCs w:val="16"/>
              </w:rPr>
              <w:t>vi</w:t>
            </w:r>
            <w:r w:rsidRPr="005177C8">
              <w:rPr>
                <w:sz w:val="16"/>
                <w:szCs w:val="16"/>
                <w:lang w:val="ru-RU"/>
              </w:rPr>
              <w:t>)</w:t>
            </w:r>
            <w:r>
              <w:rPr>
                <w:sz w:val="16"/>
                <w:szCs w:val="16"/>
              </w:rPr>
              <w:t> </w:t>
            </w:r>
            <w:r w:rsidRPr="005177C8">
              <w:rPr>
                <w:sz w:val="16"/>
                <w:szCs w:val="16"/>
                <w:lang w:val="ru-RU"/>
              </w:rPr>
              <w:t>Университет Юго-Восточных Филиппин.</w:t>
            </w:r>
          </w:p>
        </w:tc>
        <w:tc>
          <w:tcPr>
            <w:tcW w:w="548" w:type="pct"/>
            <w:tcMar>
              <w:top w:w="110" w:type="dxa"/>
            </w:tcMar>
          </w:tcPr>
          <w:p w:rsidR="005177C8" w:rsidRPr="008C07F6" w:rsidRDefault="005177C8" w:rsidP="005177C8">
            <w:pPr>
              <w:keepNext/>
              <w:keepLines/>
              <w:jc w:val="center"/>
              <w:rPr>
                <w:rFonts w:cs="Arial"/>
                <w:b/>
                <w:bCs/>
                <w:color w:val="808080"/>
                <w:sz w:val="16"/>
                <w:szCs w:val="16"/>
              </w:rPr>
            </w:pPr>
            <w:r w:rsidRPr="008C07F6">
              <w:rPr>
                <w:b/>
                <w:color w:val="FF0000"/>
                <w:sz w:val="16"/>
                <w:szCs w:val="16"/>
              </w:rPr>
              <w:t>Не выполнено</w:t>
            </w:r>
          </w:p>
        </w:tc>
      </w:tr>
      <w:tr w:rsidR="005177C8" w:rsidRPr="008C07F6" w:rsidTr="005177C8">
        <w:trPr>
          <w:cantSplit/>
        </w:trPr>
        <w:tc>
          <w:tcPr>
            <w:tcW w:w="1091" w:type="pct"/>
          </w:tcPr>
          <w:p w:rsidR="005177C8" w:rsidRPr="005177C8" w:rsidRDefault="005177C8" w:rsidP="005177C8">
            <w:pPr>
              <w:rPr>
                <w:rFonts w:cs="Arial"/>
                <w:sz w:val="16"/>
                <w:szCs w:val="16"/>
                <w:lang w:val="ru-RU"/>
              </w:rPr>
            </w:pPr>
            <w:r w:rsidRPr="005177C8">
              <w:rPr>
                <w:sz w:val="16"/>
                <w:szCs w:val="16"/>
                <w:lang w:val="ru-RU"/>
              </w:rPr>
              <w:t>Число университетов и исследовательских учреждений, реализующих стратегии в области ИС</w:t>
            </w:r>
          </w:p>
        </w:tc>
        <w:tc>
          <w:tcPr>
            <w:tcW w:w="957" w:type="pct"/>
            <w:shd w:val="clear" w:color="auto" w:fill="auto"/>
          </w:tcPr>
          <w:p w:rsidR="005177C8" w:rsidRPr="008C07F6" w:rsidRDefault="005177C8" w:rsidP="005177C8">
            <w:pPr>
              <w:rPr>
                <w:rFonts w:cs="Arial"/>
                <w:sz w:val="16"/>
                <w:szCs w:val="16"/>
              </w:rPr>
            </w:pPr>
            <w:r w:rsidRPr="008C07F6">
              <w:rPr>
                <w:sz w:val="16"/>
                <w:szCs w:val="16"/>
              </w:rPr>
              <w:t>будет определено позднее</w:t>
            </w:r>
          </w:p>
        </w:tc>
        <w:tc>
          <w:tcPr>
            <w:tcW w:w="729" w:type="pct"/>
            <w:tcMar>
              <w:top w:w="110" w:type="dxa"/>
            </w:tcMar>
          </w:tcPr>
          <w:p w:rsidR="005177C8" w:rsidRPr="008C07F6" w:rsidRDefault="005177C8" w:rsidP="005177C8">
            <w:pPr>
              <w:rPr>
                <w:rFonts w:cs="Arial"/>
                <w:sz w:val="16"/>
                <w:szCs w:val="16"/>
              </w:rPr>
            </w:pPr>
            <w:r w:rsidRPr="008C07F6">
              <w:rPr>
                <w:sz w:val="16"/>
                <w:szCs w:val="16"/>
              </w:rPr>
              <w:t>Еще 20 университетов</w:t>
            </w:r>
          </w:p>
        </w:tc>
        <w:tc>
          <w:tcPr>
            <w:tcW w:w="1674" w:type="pct"/>
            <w:shd w:val="clear" w:color="auto" w:fill="FFFFFF"/>
            <w:tcMar>
              <w:top w:w="110" w:type="dxa"/>
            </w:tcMar>
          </w:tcPr>
          <w:p w:rsidR="005177C8" w:rsidRPr="005177C8" w:rsidRDefault="005177C8" w:rsidP="005177C8">
            <w:pPr>
              <w:rPr>
                <w:rFonts w:cs="Arial"/>
                <w:sz w:val="16"/>
                <w:szCs w:val="16"/>
                <w:lang w:val="ru-RU"/>
              </w:rPr>
            </w:pPr>
            <w:r w:rsidRPr="005177C8">
              <w:rPr>
                <w:sz w:val="16"/>
                <w:szCs w:val="16"/>
                <w:lang w:val="ru-RU"/>
              </w:rPr>
              <w:t>Собственную политику в области интеллектуальной собственности разработали и приняли 436 университетов:</w:t>
            </w:r>
          </w:p>
          <w:p w:rsidR="005177C8" w:rsidRPr="005177C8" w:rsidRDefault="005177C8" w:rsidP="005177C8">
            <w:pPr>
              <w:pStyle w:val="ListParagraph"/>
              <w:numPr>
                <w:ilvl w:val="0"/>
                <w:numId w:val="78"/>
              </w:numPr>
              <w:rPr>
                <w:rFonts w:cs="Arial"/>
                <w:sz w:val="16"/>
                <w:szCs w:val="16"/>
                <w:lang w:val="ru-RU"/>
              </w:rPr>
            </w:pPr>
            <w:r w:rsidRPr="005177C8">
              <w:rPr>
                <w:sz w:val="16"/>
                <w:szCs w:val="16"/>
                <w:lang w:val="ru-RU"/>
              </w:rPr>
              <w:t>Польша – 434 университета (в результате внесения поправок в законодательство в октябре 2014</w:t>
            </w:r>
            <w:r w:rsidRPr="008C07F6">
              <w:rPr>
                <w:sz w:val="16"/>
                <w:szCs w:val="16"/>
              </w:rPr>
              <w:t> </w:t>
            </w:r>
            <w:r w:rsidRPr="005177C8">
              <w:rPr>
                <w:sz w:val="16"/>
                <w:szCs w:val="16"/>
                <w:lang w:val="ru-RU"/>
              </w:rPr>
              <w:t xml:space="preserve">г.); </w:t>
            </w:r>
          </w:p>
          <w:p w:rsidR="005177C8" w:rsidRPr="008C07F6" w:rsidRDefault="005177C8" w:rsidP="005177C8">
            <w:pPr>
              <w:pStyle w:val="ListParagraph"/>
              <w:numPr>
                <w:ilvl w:val="0"/>
                <w:numId w:val="78"/>
              </w:numPr>
              <w:rPr>
                <w:rFonts w:cs="Arial"/>
                <w:sz w:val="16"/>
                <w:szCs w:val="16"/>
              </w:rPr>
            </w:pPr>
            <w:r w:rsidRPr="008C07F6">
              <w:rPr>
                <w:sz w:val="16"/>
                <w:szCs w:val="16"/>
              </w:rPr>
              <w:t xml:space="preserve">Российская Федерация (1); и </w:t>
            </w:r>
          </w:p>
          <w:p w:rsidR="005177C8" w:rsidRPr="008C07F6" w:rsidRDefault="005177C8" w:rsidP="005177C8">
            <w:pPr>
              <w:pStyle w:val="ListParagraph"/>
              <w:numPr>
                <w:ilvl w:val="0"/>
                <w:numId w:val="78"/>
              </w:numPr>
              <w:rPr>
                <w:rFonts w:cs="Arial"/>
                <w:sz w:val="16"/>
                <w:szCs w:val="16"/>
              </w:rPr>
            </w:pPr>
            <w:r w:rsidRPr="008C07F6">
              <w:rPr>
                <w:sz w:val="16"/>
                <w:szCs w:val="16"/>
              </w:rPr>
              <w:t>Узбекистан (1)</w:t>
            </w:r>
            <w:r w:rsidRPr="008C07F6">
              <w:rPr>
                <w:rStyle w:val="FootnoteReference"/>
                <w:sz w:val="16"/>
                <w:szCs w:val="16"/>
              </w:rPr>
              <w:t xml:space="preserve"> </w:t>
            </w:r>
            <w:r w:rsidRPr="008C07F6">
              <w:rPr>
                <w:rStyle w:val="FootnoteReference"/>
                <w:sz w:val="16"/>
                <w:szCs w:val="16"/>
              </w:rPr>
              <w:footnoteReference w:id="80"/>
            </w:r>
          </w:p>
        </w:tc>
        <w:tc>
          <w:tcPr>
            <w:tcW w:w="548" w:type="pct"/>
            <w:tcMar>
              <w:top w:w="110" w:type="dxa"/>
            </w:tcMar>
          </w:tcPr>
          <w:p w:rsidR="005177C8" w:rsidRPr="008C07F6" w:rsidRDefault="005177C8" w:rsidP="005177C8">
            <w:pPr>
              <w:keepNext/>
              <w:keepLines/>
              <w:jc w:val="center"/>
              <w:rPr>
                <w:rFonts w:asciiTheme="minorHAnsi" w:hAnsiTheme="minorHAnsi" w:cs="Arial"/>
                <w:b/>
                <w:bCs/>
                <w:color w:val="808080"/>
                <w:sz w:val="16"/>
                <w:szCs w:val="16"/>
              </w:rPr>
            </w:pPr>
            <w:r w:rsidRPr="008C07F6">
              <w:rPr>
                <w:rFonts w:asciiTheme="minorHAnsi" w:hAnsiTheme="minorHAnsi"/>
                <w:b/>
                <w:color w:val="00B050"/>
                <w:sz w:val="16"/>
                <w:szCs w:val="16"/>
              </w:rPr>
              <w:t>Выполнено</w:t>
            </w:r>
          </w:p>
        </w:tc>
      </w:tr>
    </w:tbl>
    <w:p w:rsidR="005177C8" w:rsidRDefault="005177C8" w:rsidP="005177C8">
      <w:pPr>
        <w:rPr>
          <w:rFonts w:cs="Arial"/>
          <w:color w:val="000000"/>
          <w:sz w:val="22"/>
          <w:szCs w:val="22"/>
        </w:rPr>
      </w:pPr>
    </w:p>
    <w:p w:rsidR="005177C8" w:rsidRDefault="005177C8" w:rsidP="005177C8">
      <w:pPr>
        <w:rPr>
          <w:rFonts w:cs="Arial"/>
          <w:color w:val="000000"/>
          <w:sz w:val="22"/>
          <w:szCs w:val="22"/>
        </w:rPr>
      </w:pPr>
    </w:p>
    <w:p w:rsidR="005177C8" w:rsidRPr="005177C8" w:rsidRDefault="005177C8" w:rsidP="005177C8">
      <w:pPr>
        <w:rPr>
          <w:rFonts w:cs="Arial"/>
          <w:color w:val="000000"/>
          <w:szCs w:val="22"/>
          <w:lang w:val="ru-RU"/>
        </w:rPr>
      </w:pPr>
      <w:r w:rsidRPr="005177C8">
        <w:rPr>
          <w:color w:val="000000"/>
          <w:lang w:val="ru-RU"/>
        </w:rPr>
        <w:t>ОТЧЕТ О РИСКАХ В ДВУХЛЕТНИЙ ПЕРИОД</w:t>
      </w:r>
    </w:p>
    <w:p w:rsidR="005177C8" w:rsidRPr="005177C8" w:rsidRDefault="005177C8" w:rsidP="005177C8">
      <w:pPr>
        <w:keepNext/>
        <w:keepLines/>
        <w:rPr>
          <w:lang w:val="ru-RU"/>
        </w:rPr>
      </w:pPr>
    </w:p>
    <w:tbl>
      <w:tblPr>
        <w:tblW w:w="5152" w:type="pct"/>
        <w:tblInd w:w="108" w:type="dxa"/>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319"/>
        <w:gridCol w:w="2821"/>
        <w:gridCol w:w="2511"/>
        <w:gridCol w:w="2110"/>
      </w:tblGrid>
      <w:tr w:rsidR="005177C8" w:rsidRPr="003C527B" w:rsidTr="005177C8">
        <w:trPr>
          <w:trHeight w:val="562"/>
        </w:trPr>
        <w:tc>
          <w:tcPr>
            <w:tcW w:w="1188" w:type="pct"/>
            <w:tcBorders>
              <w:top w:val="single" w:sz="8" w:space="0" w:color="auto"/>
              <w:bottom w:val="single" w:sz="8" w:space="0" w:color="auto"/>
            </w:tcBorders>
            <w:shd w:val="clear" w:color="auto" w:fill="C6D9F1" w:themeFill="text2" w:themeFillTint="33"/>
            <w:tcMar>
              <w:top w:w="0" w:type="dxa"/>
              <w:left w:w="108" w:type="dxa"/>
              <w:bottom w:w="0" w:type="dxa"/>
              <w:right w:w="108" w:type="dxa"/>
            </w:tcMar>
            <w:vAlign w:val="center"/>
            <w:hideMark/>
          </w:tcPr>
          <w:p w:rsidR="005177C8" w:rsidRPr="005177C8" w:rsidRDefault="005177C8" w:rsidP="005177C8">
            <w:pPr>
              <w:jc w:val="center"/>
              <w:rPr>
                <w:b/>
                <w:szCs w:val="18"/>
                <w:lang w:val="ru-RU"/>
              </w:rPr>
            </w:pPr>
            <w:r w:rsidRPr="005177C8">
              <w:rPr>
                <w:b/>
                <w:sz w:val="18"/>
                <w:lang w:val="ru-RU"/>
              </w:rPr>
              <w:t>Риск (риски) того, что результаты программы не будут достигнуты</w:t>
            </w:r>
          </w:p>
        </w:tc>
        <w:tc>
          <w:tcPr>
            <w:tcW w:w="1445" w:type="pct"/>
            <w:tcBorders>
              <w:top w:val="single" w:sz="8" w:space="0" w:color="auto"/>
              <w:bottom w:val="single" w:sz="8" w:space="0" w:color="auto"/>
            </w:tcBorders>
            <w:shd w:val="clear" w:color="auto" w:fill="C6D9F1" w:themeFill="text2" w:themeFillTint="33"/>
            <w:tcMar>
              <w:top w:w="0" w:type="dxa"/>
              <w:left w:w="108" w:type="dxa"/>
              <w:bottom w:w="0" w:type="dxa"/>
              <w:right w:w="108" w:type="dxa"/>
            </w:tcMar>
            <w:vAlign w:val="center"/>
            <w:hideMark/>
          </w:tcPr>
          <w:p w:rsidR="005177C8" w:rsidRPr="005177C8" w:rsidRDefault="005177C8" w:rsidP="005177C8">
            <w:pPr>
              <w:keepNext/>
              <w:keepLines/>
              <w:jc w:val="center"/>
              <w:rPr>
                <w:b/>
                <w:sz w:val="18"/>
                <w:szCs w:val="18"/>
                <w:lang w:val="ru-RU"/>
              </w:rPr>
            </w:pPr>
            <w:r w:rsidRPr="005177C8">
              <w:rPr>
                <w:b/>
                <w:sz w:val="18"/>
                <w:lang w:val="ru-RU"/>
              </w:rPr>
              <w:t>Действующие или разрабатываемые планы по снижению рисков</w:t>
            </w:r>
          </w:p>
        </w:tc>
        <w:tc>
          <w:tcPr>
            <w:tcW w:w="1286" w:type="pct"/>
            <w:tcBorders>
              <w:top w:val="single" w:sz="8" w:space="0" w:color="auto"/>
              <w:bottom w:val="single" w:sz="8" w:space="0" w:color="auto"/>
            </w:tcBorders>
            <w:shd w:val="clear" w:color="auto" w:fill="C6D9F1" w:themeFill="text2" w:themeFillTint="33"/>
          </w:tcPr>
          <w:p w:rsidR="005177C8" w:rsidRPr="005177C8" w:rsidRDefault="005177C8" w:rsidP="005177C8">
            <w:pPr>
              <w:keepNext/>
              <w:keepLines/>
              <w:jc w:val="center"/>
              <w:rPr>
                <w:b/>
                <w:bCs/>
                <w:sz w:val="18"/>
                <w:szCs w:val="18"/>
                <w:lang w:val="ru-RU"/>
              </w:rPr>
            </w:pPr>
            <w:r w:rsidRPr="005177C8">
              <w:rPr>
                <w:b/>
                <w:sz w:val="18"/>
                <w:lang w:val="ru-RU"/>
              </w:rPr>
              <w:t>Развитие риска (рисков) и стратегий его (их) снижения в двухлетний период</w:t>
            </w:r>
          </w:p>
        </w:tc>
        <w:tc>
          <w:tcPr>
            <w:tcW w:w="1081" w:type="pct"/>
            <w:tcBorders>
              <w:top w:val="single" w:sz="8" w:space="0" w:color="auto"/>
              <w:bottom w:val="single" w:sz="8" w:space="0" w:color="auto"/>
            </w:tcBorders>
            <w:shd w:val="clear" w:color="auto" w:fill="C6D9F1" w:themeFill="text2" w:themeFillTint="33"/>
          </w:tcPr>
          <w:p w:rsidR="005177C8" w:rsidRPr="003C527B" w:rsidRDefault="005177C8" w:rsidP="005177C8">
            <w:pPr>
              <w:keepNext/>
              <w:keepLines/>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5177C8" w:rsidRPr="005C6ABD" w:rsidTr="005177C8">
        <w:trPr>
          <w:trHeight w:val="900"/>
        </w:trPr>
        <w:tc>
          <w:tcPr>
            <w:tcW w:w="1188" w:type="pct"/>
            <w:tcBorders>
              <w:top w:val="single" w:sz="8" w:space="0" w:color="auto"/>
            </w:tcBorders>
            <w:shd w:val="clear" w:color="auto" w:fill="auto"/>
            <w:tcMar>
              <w:top w:w="57" w:type="dxa"/>
              <w:left w:w="108" w:type="dxa"/>
              <w:bottom w:w="0" w:type="dxa"/>
              <w:right w:w="108" w:type="dxa"/>
            </w:tcMar>
          </w:tcPr>
          <w:p w:rsidR="005177C8" w:rsidRPr="005177C8" w:rsidRDefault="005177C8" w:rsidP="005177C8">
            <w:pPr>
              <w:rPr>
                <w:sz w:val="16"/>
                <w:szCs w:val="16"/>
                <w:lang w:val="ru-RU"/>
              </w:rPr>
            </w:pPr>
            <w:r w:rsidRPr="005177C8">
              <w:rPr>
                <w:sz w:val="16"/>
                <w:lang w:val="ru-RU"/>
              </w:rPr>
              <w:t>В долгосрочной перспективе потребности развивающихся стран в области поддержки МСП могут меняться по мере развития национальных систем ИС.</w:t>
            </w:r>
            <w:r w:rsidRPr="008C07F6">
              <w:rPr>
                <w:sz w:val="16"/>
              </w:rPr>
              <w:t> </w:t>
            </w:r>
            <w:r w:rsidRPr="005177C8">
              <w:rPr>
                <w:sz w:val="16"/>
                <w:lang w:val="ru-RU"/>
              </w:rPr>
              <w:t xml:space="preserve"> Если не адаптировать материалы в соответствии с этими переменами, то эффективность мероприятий по наращиванию потенциала существенно снизится. </w:t>
            </w:r>
          </w:p>
          <w:p w:rsidR="005177C8" w:rsidRPr="005177C8" w:rsidRDefault="005177C8" w:rsidP="005177C8">
            <w:pPr>
              <w:keepNext/>
              <w:keepLines/>
              <w:rPr>
                <w:rFonts w:eastAsia="Calibri"/>
                <w:sz w:val="16"/>
                <w:szCs w:val="16"/>
                <w:lang w:val="ru-RU"/>
              </w:rPr>
            </w:pPr>
          </w:p>
        </w:tc>
        <w:tc>
          <w:tcPr>
            <w:tcW w:w="1445" w:type="pct"/>
            <w:tcBorders>
              <w:top w:val="single" w:sz="8" w:space="0" w:color="auto"/>
            </w:tcBorders>
            <w:shd w:val="clear" w:color="auto" w:fill="auto"/>
            <w:tcMar>
              <w:top w:w="57" w:type="dxa"/>
              <w:left w:w="108" w:type="dxa"/>
              <w:bottom w:w="0" w:type="dxa"/>
              <w:right w:w="108" w:type="dxa"/>
            </w:tcMar>
          </w:tcPr>
          <w:p w:rsidR="005177C8" w:rsidRPr="005177C8" w:rsidRDefault="005177C8" w:rsidP="005177C8">
            <w:pPr>
              <w:keepNext/>
              <w:keepLines/>
              <w:rPr>
                <w:rFonts w:eastAsia="Calibri"/>
                <w:sz w:val="16"/>
                <w:szCs w:val="16"/>
                <w:lang w:val="ru-RU"/>
              </w:rPr>
            </w:pPr>
            <w:r w:rsidRPr="005177C8">
              <w:rPr>
                <w:sz w:val="16"/>
                <w:lang w:val="ru-RU"/>
              </w:rPr>
              <w:t>Тесное взаимодействие с программами 9 и 10: накопленные в рамках этих программ знания о специфике соответствующих регионов позволят обеспечить актуальность разрабатываемых материалов и учет их потребностей</w:t>
            </w:r>
          </w:p>
        </w:tc>
        <w:tc>
          <w:tcPr>
            <w:tcW w:w="1286" w:type="pct"/>
            <w:tcBorders>
              <w:top w:val="single" w:sz="8" w:space="0" w:color="auto"/>
            </w:tcBorders>
            <w:tcMar>
              <w:top w:w="57" w:type="dxa"/>
            </w:tcMar>
          </w:tcPr>
          <w:p w:rsidR="005177C8" w:rsidRPr="005177C8" w:rsidRDefault="005177C8" w:rsidP="005177C8">
            <w:pPr>
              <w:keepNext/>
              <w:keepLines/>
              <w:rPr>
                <w:sz w:val="16"/>
                <w:szCs w:val="16"/>
                <w:lang w:val="ru-RU"/>
              </w:rPr>
            </w:pPr>
            <w:r w:rsidRPr="005177C8">
              <w:rPr>
                <w:sz w:val="16"/>
                <w:lang w:val="ru-RU"/>
              </w:rPr>
              <w:t xml:space="preserve">Активизация внутреннего сотрудничества (в частности, с программами 9 и 10) и внешнего сотрудничества с государствами-членами и другими международными организациями способствовала обеспечению актуальности контента для участников и его соответствия их нуждам. </w:t>
            </w:r>
          </w:p>
        </w:tc>
        <w:tc>
          <w:tcPr>
            <w:tcW w:w="1081" w:type="pct"/>
            <w:tcBorders>
              <w:top w:val="single" w:sz="8" w:space="0" w:color="auto"/>
            </w:tcBorders>
            <w:tcMar>
              <w:top w:w="57" w:type="dxa"/>
            </w:tcMar>
          </w:tcPr>
          <w:p w:rsidR="005177C8" w:rsidRPr="005177C8" w:rsidRDefault="005177C8" w:rsidP="005177C8">
            <w:pPr>
              <w:keepNext/>
              <w:keepLines/>
              <w:rPr>
                <w:sz w:val="16"/>
                <w:szCs w:val="16"/>
                <w:lang w:val="ru-RU"/>
              </w:rPr>
            </w:pPr>
            <w:r w:rsidRPr="005177C8">
              <w:rPr>
                <w:sz w:val="16"/>
                <w:lang w:val="ru-RU"/>
              </w:rPr>
              <w:t>Этот риск не оказал существенного воздействия на реализацию программы.</w:t>
            </w:r>
          </w:p>
        </w:tc>
      </w:tr>
      <w:tr w:rsidR="005177C8" w:rsidRPr="005C6ABD" w:rsidTr="005177C8">
        <w:trPr>
          <w:trHeight w:val="900"/>
        </w:trPr>
        <w:tc>
          <w:tcPr>
            <w:tcW w:w="1188" w:type="pct"/>
            <w:tcMar>
              <w:top w:w="57" w:type="dxa"/>
              <w:left w:w="108" w:type="dxa"/>
              <w:bottom w:w="0" w:type="dxa"/>
              <w:right w:w="108" w:type="dxa"/>
            </w:tcMar>
          </w:tcPr>
          <w:p w:rsidR="005177C8" w:rsidRPr="005177C8" w:rsidRDefault="005177C8" w:rsidP="005177C8">
            <w:pPr>
              <w:rPr>
                <w:rFonts w:eastAsia="Calibri"/>
                <w:sz w:val="16"/>
                <w:szCs w:val="16"/>
                <w:lang w:val="ru-RU"/>
              </w:rPr>
            </w:pPr>
            <w:r w:rsidRPr="005177C8">
              <w:rPr>
                <w:sz w:val="16"/>
                <w:lang w:val="ru-RU"/>
              </w:rPr>
              <w:t xml:space="preserve">В некоторых странах МСП будут оставаться недостаточно информированными о пользе системы ИС, вследствие чего они будут упускать возможности для повышения конкурентоспособности и прибыльности бизнеса. </w:t>
            </w:r>
          </w:p>
        </w:tc>
        <w:tc>
          <w:tcPr>
            <w:tcW w:w="1445" w:type="pct"/>
            <w:tcMar>
              <w:top w:w="57" w:type="dxa"/>
              <w:left w:w="108" w:type="dxa"/>
              <w:bottom w:w="0" w:type="dxa"/>
              <w:right w:w="108" w:type="dxa"/>
            </w:tcMar>
          </w:tcPr>
          <w:p w:rsidR="005177C8" w:rsidRPr="005177C8" w:rsidRDefault="005177C8" w:rsidP="005177C8">
            <w:pPr>
              <w:keepNext/>
              <w:keepLines/>
              <w:rPr>
                <w:sz w:val="16"/>
                <w:lang w:val="ru-RU"/>
              </w:rPr>
            </w:pPr>
            <w:r w:rsidRPr="005177C8">
              <w:rPr>
                <w:sz w:val="16"/>
                <w:lang w:val="ru-RU"/>
              </w:rPr>
              <w:t>Параллельная работа, направленная, во-первых, на повышение осведомленности МСП о преимуществах использования системы ИС для получения экономической выгоды за счет повышения конкурентоспособности и, во-вторых, на поощрение национальных государственных органов к созданию или совершенствованию структур поддержки МСП.</w:t>
            </w:r>
          </w:p>
          <w:p w:rsidR="005177C8" w:rsidRPr="005177C8" w:rsidRDefault="005177C8" w:rsidP="005177C8">
            <w:pPr>
              <w:keepNext/>
              <w:keepLines/>
              <w:rPr>
                <w:rFonts w:eastAsia="Calibri"/>
                <w:sz w:val="16"/>
                <w:szCs w:val="16"/>
                <w:lang w:val="ru-RU"/>
              </w:rPr>
            </w:pPr>
          </w:p>
        </w:tc>
        <w:tc>
          <w:tcPr>
            <w:tcW w:w="1286" w:type="pct"/>
            <w:tcMar>
              <w:top w:w="57" w:type="dxa"/>
            </w:tcMar>
          </w:tcPr>
          <w:p w:rsidR="005177C8" w:rsidRPr="005177C8" w:rsidRDefault="005177C8" w:rsidP="005177C8">
            <w:pPr>
              <w:keepNext/>
              <w:keepLines/>
              <w:rPr>
                <w:sz w:val="16"/>
                <w:szCs w:val="16"/>
                <w:lang w:val="ru-RU"/>
              </w:rPr>
            </w:pPr>
            <w:r w:rsidRPr="005177C8">
              <w:rPr>
                <w:sz w:val="16"/>
                <w:lang w:val="ru-RU"/>
              </w:rPr>
              <w:t>Этот риск присутствует постоянно.  Деятельность по снижению риска способствовала росту заинтересованности и участия местных правительств в разработке обучающих программ по вопросам ИС и проведении информационных мероприятий для МСП.</w:t>
            </w:r>
          </w:p>
        </w:tc>
        <w:tc>
          <w:tcPr>
            <w:tcW w:w="1081" w:type="pct"/>
            <w:tcMar>
              <w:top w:w="57" w:type="dxa"/>
            </w:tcMar>
          </w:tcPr>
          <w:p w:rsidR="005177C8" w:rsidRPr="005177C8" w:rsidRDefault="005177C8" w:rsidP="005177C8">
            <w:pPr>
              <w:keepNext/>
              <w:keepLines/>
              <w:rPr>
                <w:sz w:val="16"/>
                <w:szCs w:val="16"/>
                <w:lang w:val="ru-RU"/>
              </w:rPr>
            </w:pPr>
            <w:r w:rsidRPr="005177C8">
              <w:rPr>
                <w:sz w:val="16"/>
                <w:lang w:val="ru-RU"/>
              </w:rPr>
              <w:t>Этот риск не оказал существенного воздействия на реализацию программы.</w:t>
            </w:r>
          </w:p>
        </w:tc>
      </w:tr>
    </w:tbl>
    <w:p w:rsidR="005177C8" w:rsidRPr="00C61544" w:rsidRDefault="005177C8" w:rsidP="005177C8">
      <w:pPr>
        <w:rPr>
          <w:szCs w:val="20"/>
          <w:lang w:val="ru-RU"/>
        </w:rPr>
      </w:pPr>
      <w:r w:rsidRPr="00C61544">
        <w:rPr>
          <w:color w:val="000000"/>
          <w:lang w:val="ru-RU"/>
        </w:rPr>
        <w:t>ИСПОЛЬЗОВАНИЕ РЕСУРСОВ</w:t>
      </w:r>
    </w:p>
    <w:p w:rsidR="005177C8" w:rsidRPr="00C61544" w:rsidRDefault="005177C8" w:rsidP="005177C8">
      <w:pPr>
        <w:rPr>
          <w:sz w:val="16"/>
          <w:szCs w:val="20"/>
          <w:lang w:val="ru-RU"/>
        </w:rPr>
      </w:pPr>
    </w:p>
    <w:p w:rsidR="005177C8" w:rsidRPr="005177C8" w:rsidRDefault="005177C8" w:rsidP="005177C8">
      <w:pPr>
        <w:pStyle w:val="NormalWeb"/>
        <w:spacing w:before="0" w:beforeAutospacing="0" w:after="0" w:afterAutospacing="0"/>
        <w:jc w:val="center"/>
        <w:rPr>
          <w:sz w:val="20"/>
          <w:szCs w:val="20"/>
          <w:lang w:val="ru-RU"/>
        </w:rPr>
      </w:pPr>
      <w:r w:rsidRPr="005177C8">
        <w:rPr>
          <w:color w:val="000000"/>
          <w:sz w:val="20"/>
          <w:lang w:val="ru-RU"/>
        </w:rPr>
        <w:t xml:space="preserve">Бюджет и фактические расходы (в разбивке по результатам) </w:t>
      </w:r>
    </w:p>
    <w:p w:rsidR="005177C8" w:rsidRDefault="005177C8" w:rsidP="005177C8">
      <w:pPr>
        <w:pStyle w:val="NormalWeb"/>
        <w:spacing w:before="0" w:beforeAutospacing="0" w:after="0" w:afterAutospacing="0"/>
        <w:jc w:val="center"/>
        <w:rPr>
          <w:i/>
          <w:iCs/>
          <w:color w:val="000000"/>
          <w:sz w:val="20"/>
          <w:szCs w:val="20"/>
        </w:rPr>
      </w:pPr>
      <w:r>
        <w:rPr>
          <w:i/>
          <w:color w:val="000000"/>
          <w:sz w:val="20"/>
        </w:rPr>
        <w:t>(в тыс. шв. франков)</w:t>
      </w:r>
    </w:p>
    <w:p w:rsidR="005177C8" w:rsidRPr="005902C7" w:rsidRDefault="005177C8" w:rsidP="005177C8">
      <w:pPr>
        <w:pStyle w:val="NormalWeb"/>
        <w:spacing w:before="0" w:beforeAutospacing="0" w:after="0" w:afterAutospacing="0"/>
        <w:jc w:val="center"/>
        <w:rPr>
          <w:sz w:val="16"/>
          <w:szCs w:val="20"/>
        </w:rPr>
      </w:pPr>
    </w:p>
    <w:p w:rsidR="005177C8" w:rsidRDefault="005177C8" w:rsidP="005177C8">
      <w:pPr>
        <w:jc w:val="center"/>
      </w:pPr>
      <w:r>
        <w:rPr>
          <w:noProof/>
        </w:rPr>
        <w:drawing>
          <wp:inline distT="0" distB="0" distL="0" distR="0" wp14:anchorId="50D7C42A" wp14:editId="008D5BF3">
            <wp:extent cx="5868670" cy="3124646"/>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868670" cy="3124646"/>
                    </a:xfrm>
                    <a:prstGeom prst="rect">
                      <a:avLst/>
                    </a:prstGeom>
                    <a:noFill/>
                    <a:ln>
                      <a:noFill/>
                    </a:ln>
                  </pic:spPr>
                </pic:pic>
              </a:graphicData>
            </a:graphic>
          </wp:inline>
        </w:drawing>
      </w:r>
    </w:p>
    <w:p w:rsidR="005177C8" w:rsidRDefault="005177C8" w:rsidP="005177C8">
      <w:pPr>
        <w:jc w:val="center"/>
      </w:pPr>
    </w:p>
    <w:p w:rsidR="00AD2B92" w:rsidRDefault="00AD2B92" w:rsidP="005177C8">
      <w:pPr>
        <w:pStyle w:val="NormalWeb"/>
        <w:spacing w:before="0" w:beforeAutospacing="0" w:after="0" w:afterAutospacing="0"/>
        <w:jc w:val="center"/>
        <w:rPr>
          <w:color w:val="000000"/>
          <w:sz w:val="20"/>
          <w:lang w:val="ru-RU"/>
        </w:rPr>
      </w:pPr>
    </w:p>
    <w:p w:rsidR="005177C8" w:rsidRPr="005177C8" w:rsidRDefault="005177C8" w:rsidP="005177C8">
      <w:pPr>
        <w:pStyle w:val="NormalWeb"/>
        <w:spacing w:before="0" w:beforeAutospacing="0" w:after="0" w:afterAutospacing="0"/>
        <w:jc w:val="center"/>
        <w:rPr>
          <w:sz w:val="20"/>
          <w:szCs w:val="20"/>
          <w:lang w:val="ru-RU"/>
        </w:rPr>
      </w:pPr>
      <w:r w:rsidRPr="005177C8">
        <w:rPr>
          <w:color w:val="000000"/>
          <w:sz w:val="20"/>
          <w:lang w:val="ru-RU"/>
        </w:rPr>
        <w:t xml:space="preserve">Бюджет и фактические расходы (по персоналу и не связанные с персоналом) </w:t>
      </w:r>
    </w:p>
    <w:p w:rsidR="005177C8" w:rsidRPr="00383D2D" w:rsidRDefault="005177C8" w:rsidP="005177C8">
      <w:pPr>
        <w:pStyle w:val="NormalWeb"/>
        <w:spacing w:before="0" w:beforeAutospacing="0" w:after="0" w:afterAutospacing="0"/>
        <w:jc w:val="center"/>
        <w:rPr>
          <w:i/>
          <w:iCs/>
          <w:color w:val="000000"/>
          <w:sz w:val="20"/>
          <w:szCs w:val="20"/>
        </w:rPr>
      </w:pPr>
      <w:r>
        <w:rPr>
          <w:i/>
          <w:color w:val="000000"/>
          <w:sz w:val="20"/>
        </w:rPr>
        <w:t>(в тыс. шв. франков)</w:t>
      </w:r>
    </w:p>
    <w:p w:rsidR="005177C8" w:rsidRDefault="005177C8" w:rsidP="005177C8">
      <w:pPr>
        <w:pStyle w:val="NormalWeb"/>
        <w:keepNext/>
        <w:keepLines/>
        <w:spacing w:before="0" w:beforeAutospacing="0" w:after="0" w:afterAutospacing="0"/>
        <w:jc w:val="center"/>
      </w:pPr>
    </w:p>
    <w:p w:rsidR="005177C8" w:rsidRPr="001C6F4D" w:rsidRDefault="005177C8" w:rsidP="005177C8">
      <w:pPr>
        <w:widowControl w:val="0"/>
        <w:autoSpaceDE w:val="0"/>
        <w:autoSpaceDN w:val="0"/>
        <w:adjustRightInd w:val="0"/>
        <w:jc w:val="center"/>
        <w:rPr>
          <w:rFonts w:cs="Arial"/>
          <w:szCs w:val="20"/>
        </w:rPr>
      </w:pPr>
      <w:r>
        <w:rPr>
          <w:rFonts w:cs="Arial"/>
          <w:noProof/>
          <w:szCs w:val="20"/>
        </w:rPr>
        <w:drawing>
          <wp:inline distT="0" distB="0" distL="0" distR="0" wp14:anchorId="4A0D20D7" wp14:editId="74B1AE59">
            <wp:extent cx="5868670" cy="1315778"/>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868670" cy="1315778"/>
                    </a:xfrm>
                    <a:prstGeom prst="rect">
                      <a:avLst/>
                    </a:prstGeom>
                    <a:noFill/>
                    <a:ln>
                      <a:noFill/>
                    </a:ln>
                  </pic:spPr>
                </pic:pic>
              </a:graphicData>
            </a:graphic>
          </wp:inline>
        </w:drawing>
      </w:r>
    </w:p>
    <w:p w:rsidR="005177C8" w:rsidRDefault="005177C8" w:rsidP="005177C8">
      <w:pPr>
        <w:rPr>
          <w:rFonts w:cs="Arial"/>
          <w:szCs w:val="20"/>
        </w:rPr>
      </w:pPr>
    </w:p>
    <w:p w:rsidR="005177C8" w:rsidRDefault="005177C8" w:rsidP="005177C8">
      <w:pPr>
        <w:rPr>
          <w:rFonts w:cs="Arial"/>
          <w:szCs w:val="20"/>
        </w:rPr>
      </w:pPr>
    </w:p>
    <w:p w:rsidR="005177C8" w:rsidRPr="005177C8" w:rsidRDefault="005177C8" w:rsidP="005177C8">
      <w:pPr>
        <w:rPr>
          <w:rFonts w:cs="Arial"/>
          <w:u w:val="single"/>
          <w:lang w:val="ru-RU"/>
        </w:rPr>
      </w:pPr>
      <w:r>
        <w:t>A</w:t>
      </w:r>
      <w:r w:rsidRPr="005177C8">
        <w:rPr>
          <w:lang w:val="ru-RU"/>
        </w:rPr>
        <w:t>.</w:t>
      </w:r>
      <w:r w:rsidRPr="005177C8">
        <w:rPr>
          <w:lang w:val="ru-RU"/>
        </w:rPr>
        <w:tab/>
      </w:r>
      <w:r w:rsidRPr="005177C8">
        <w:rPr>
          <w:u w:val="single"/>
          <w:lang w:val="ru-RU"/>
        </w:rPr>
        <w:t xml:space="preserve">Итоговый бюджет на 2014–2015 гг. после перераспределения средств </w:t>
      </w:r>
    </w:p>
    <w:p w:rsidR="005177C8" w:rsidRPr="005177C8" w:rsidRDefault="005177C8" w:rsidP="005177C8">
      <w:pPr>
        <w:rPr>
          <w:rFonts w:cs="Arial"/>
          <w:u w:val="single"/>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lang w:val="ru-RU"/>
        </w:rPr>
      </w:pPr>
      <w:r w:rsidRPr="005177C8">
        <w:rPr>
          <w:lang w:val="ru-RU"/>
        </w:rPr>
        <w:t>Сокращение затрат, связанных с персоналом, в итоговом бюджете на 2014–2015</w:t>
      </w:r>
      <w:r>
        <w:t> </w:t>
      </w:r>
      <w:r w:rsidRPr="005177C8">
        <w:rPr>
          <w:lang w:val="ru-RU"/>
        </w:rPr>
        <w:t>гг. после перераспределения средств в сравнении с утвержденным бюджетом на 2014–2015</w:t>
      </w:r>
      <w:r>
        <w:t> </w:t>
      </w:r>
      <w:r w:rsidRPr="005177C8">
        <w:rPr>
          <w:lang w:val="ru-RU"/>
        </w:rPr>
        <w:t>гг. отражает (</w:t>
      </w:r>
      <w:r>
        <w:t>i</w:t>
      </w:r>
      <w:r w:rsidRPr="005177C8">
        <w:rPr>
          <w:lang w:val="ru-RU"/>
        </w:rPr>
        <w:t>)</w:t>
      </w:r>
      <w:r>
        <w:t> </w:t>
      </w:r>
      <w:r w:rsidRPr="005177C8">
        <w:rPr>
          <w:lang w:val="ru-RU"/>
        </w:rPr>
        <w:t>передачу ответственности за реализацию проекта ПДР «Открытые партнерские модели» и «Передача технологии» программе 5 (система РСТ) и (</w:t>
      </w:r>
      <w:r>
        <w:t>ii</w:t>
      </w:r>
      <w:r w:rsidRPr="005177C8">
        <w:rPr>
          <w:lang w:val="ru-RU"/>
        </w:rPr>
        <w:t>)</w:t>
      </w:r>
      <w:r>
        <w:t> </w:t>
      </w:r>
      <w:r w:rsidRPr="005177C8">
        <w:rPr>
          <w:lang w:val="ru-RU"/>
        </w:rPr>
        <w:t xml:space="preserve">задержка в определении требуемой квалификации и компетенции, необходимых для содействия проведению мероприятий программы в порядке компенсации вывода из программы одного сотрудника. </w:t>
      </w:r>
    </w:p>
    <w:p w:rsidR="005177C8" w:rsidRPr="005177C8" w:rsidRDefault="005177C8" w:rsidP="005177C8">
      <w:pPr>
        <w:pStyle w:val="ListParagraph"/>
        <w:tabs>
          <w:tab w:val="left" w:pos="709"/>
        </w:tabs>
        <w:ind w:left="0"/>
        <w:jc w:val="both"/>
        <w:rPr>
          <w:rFonts w:eastAsia="Arial" w:cs="Arial"/>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lang w:val="ru-RU"/>
        </w:rPr>
      </w:pPr>
      <w:r w:rsidRPr="005177C8">
        <w:rPr>
          <w:lang w:val="ru-RU"/>
        </w:rPr>
        <w:t>Чистое сокращение объема ресурсов, не связанных с персоналом, в основном обусловлено: (</w:t>
      </w:r>
      <w:r>
        <w:t>i</w:t>
      </w:r>
      <w:r w:rsidRPr="005177C8">
        <w:rPr>
          <w:lang w:val="ru-RU"/>
        </w:rPr>
        <w:t>)</w:t>
      </w:r>
      <w:r>
        <w:t> </w:t>
      </w:r>
      <w:r w:rsidRPr="005177C8">
        <w:rPr>
          <w:lang w:val="ru-RU"/>
        </w:rPr>
        <w:t>понижательной корректировкой в основном в связи с передачей ответственности за обучающие мероприятия по составлению патентной документации программе 1; и (</w:t>
      </w:r>
      <w:r>
        <w:t>ii</w:t>
      </w:r>
      <w:r w:rsidRPr="005177C8">
        <w:rPr>
          <w:lang w:val="ru-RU"/>
        </w:rPr>
        <w:t>)</w:t>
      </w:r>
      <w:r>
        <w:t> </w:t>
      </w:r>
      <w:r w:rsidRPr="005177C8">
        <w:rPr>
          <w:lang w:val="ru-RU"/>
        </w:rPr>
        <w:t>передачей не связанных с персоналом ресурсов по одному стажеру (в программу 23, в рамках которой в централизованном порядке ведется работа со стажерами).</w:t>
      </w:r>
    </w:p>
    <w:p w:rsidR="005177C8" w:rsidRPr="005177C8" w:rsidRDefault="005177C8" w:rsidP="005177C8">
      <w:pPr>
        <w:pStyle w:val="ListParagraph"/>
        <w:tabs>
          <w:tab w:val="left" w:pos="709"/>
        </w:tabs>
        <w:ind w:left="0"/>
        <w:jc w:val="both"/>
        <w:rPr>
          <w:rFonts w:cs="Arial"/>
          <w:lang w:val="ru-RU"/>
        </w:rPr>
      </w:pPr>
    </w:p>
    <w:p w:rsidR="005177C8" w:rsidRPr="005177C8" w:rsidRDefault="005177C8" w:rsidP="005177C8">
      <w:pPr>
        <w:pStyle w:val="ListParagraph"/>
        <w:numPr>
          <w:ilvl w:val="0"/>
          <w:numId w:val="79"/>
        </w:numPr>
        <w:autoSpaceDE w:val="0"/>
        <w:autoSpaceDN w:val="0"/>
        <w:adjustRightInd w:val="0"/>
        <w:ind w:left="0" w:firstLine="0"/>
        <w:jc w:val="both"/>
        <w:rPr>
          <w:rFonts w:cs="Arial"/>
          <w:lang w:val="ru-RU"/>
        </w:rPr>
      </w:pPr>
      <w:r w:rsidRPr="005177C8">
        <w:rPr>
          <w:lang w:val="ru-RU"/>
        </w:rPr>
        <w:t>В целом корректировки в распределении средств между ожидаемыми результатами в итоговом бюджете после перераспределения средств на 2014–2015</w:t>
      </w:r>
      <w:r>
        <w:t> </w:t>
      </w:r>
      <w:r w:rsidRPr="005177C8">
        <w:rPr>
          <w:lang w:val="ru-RU"/>
        </w:rPr>
        <w:t>гг. отражают новую и более точную методику распределения ресурсов, связанных с персоналом, которая стала результатом доработки системы планирования УОД в ходе ежегодных мер по планированию работы, принятых в 2014</w:t>
      </w:r>
      <w:r>
        <w:t> </w:t>
      </w:r>
      <w:r w:rsidRPr="005177C8">
        <w:rPr>
          <w:lang w:val="ru-RU"/>
        </w:rPr>
        <w:t xml:space="preserve">г., а также внутренней реорганизации программы. </w:t>
      </w:r>
    </w:p>
    <w:p w:rsidR="005177C8" w:rsidRPr="005177C8" w:rsidRDefault="005177C8" w:rsidP="005177C8">
      <w:pPr>
        <w:autoSpaceDE w:val="0"/>
        <w:autoSpaceDN w:val="0"/>
        <w:jc w:val="both"/>
        <w:rPr>
          <w:rFonts w:cs="Arial"/>
          <w:szCs w:val="20"/>
          <w:lang w:val="ru-RU"/>
        </w:rPr>
      </w:pPr>
    </w:p>
    <w:p w:rsidR="005177C8" w:rsidRPr="005177C8" w:rsidRDefault="005177C8" w:rsidP="005177C8">
      <w:pPr>
        <w:jc w:val="both"/>
        <w:rPr>
          <w:rFonts w:cs="Arial"/>
          <w:szCs w:val="20"/>
          <w:u w:val="single"/>
          <w:lang w:val="ru-RU"/>
        </w:rPr>
      </w:pPr>
      <w:r>
        <w:t>B</w:t>
      </w:r>
      <w:r w:rsidRPr="005177C8">
        <w:rPr>
          <w:lang w:val="ru-RU"/>
        </w:rPr>
        <w:t>.</w:t>
      </w:r>
      <w:r w:rsidRPr="005177C8">
        <w:rPr>
          <w:lang w:val="ru-RU"/>
        </w:rPr>
        <w:tab/>
      </w:r>
      <w:r w:rsidRPr="005177C8">
        <w:rPr>
          <w:u w:val="single"/>
          <w:lang w:val="ru-RU"/>
        </w:rPr>
        <w:t xml:space="preserve">Освоение бюджетных средств в 2014–2015 гг. </w:t>
      </w:r>
    </w:p>
    <w:p w:rsidR="005177C8" w:rsidRPr="005177C8" w:rsidRDefault="005177C8" w:rsidP="005177C8">
      <w:pPr>
        <w:rPr>
          <w:lang w:val="ru-RU"/>
        </w:rPr>
      </w:pPr>
    </w:p>
    <w:p w:rsidR="0089279A" w:rsidRPr="005177C8" w:rsidRDefault="005177C8" w:rsidP="005177C8">
      <w:pPr>
        <w:pStyle w:val="ListParagraph"/>
        <w:numPr>
          <w:ilvl w:val="0"/>
          <w:numId w:val="79"/>
        </w:numPr>
        <w:tabs>
          <w:tab w:val="left" w:pos="709"/>
        </w:tabs>
        <w:autoSpaceDE w:val="0"/>
        <w:autoSpaceDN w:val="0"/>
        <w:adjustRightInd w:val="0"/>
        <w:ind w:left="0" w:firstLine="0"/>
        <w:jc w:val="both"/>
        <w:rPr>
          <w:rFonts w:cs="Arial"/>
          <w:lang w:val="ru-RU"/>
        </w:rPr>
      </w:pPr>
      <w:r w:rsidRPr="005177C8">
        <w:rPr>
          <w:lang w:val="ru-RU"/>
        </w:rPr>
        <w:t>Несколько неполное использование ресурсов, не связанных с персоналом, в основном было обусловлено следующими факторами:  (</w:t>
      </w:r>
      <w:r>
        <w:t>i</w:t>
      </w:r>
      <w:r w:rsidRPr="005177C8">
        <w:rPr>
          <w:lang w:val="ru-RU"/>
        </w:rPr>
        <w:t>)</w:t>
      </w:r>
      <w:r>
        <w:t> </w:t>
      </w:r>
      <w:r w:rsidRPr="005177C8">
        <w:rPr>
          <w:lang w:val="ru-RU"/>
        </w:rPr>
        <w:t>общий темп реализации мероприятий, связанных с ожидаемыми результатами</w:t>
      </w:r>
      <w:r>
        <w:t> III</w:t>
      </w:r>
      <w:r w:rsidRPr="005177C8">
        <w:rPr>
          <w:lang w:val="ru-RU"/>
        </w:rPr>
        <w:t xml:space="preserve">.6 (укрепление потенциала МСП) и </w:t>
      </w:r>
      <w:r>
        <w:t>IV</w:t>
      </w:r>
      <w:r w:rsidRPr="005177C8">
        <w:rPr>
          <w:lang w:val="ru-RU"/>
        </w:rPr>
        <w:t>.2 (расширение доступа к информации и знаниям в области ИС и их использования) оказался ниже, чем ожидалось, и (</w:t>
      </w:r>
      <w:r>
        <w:t>ii</w:t>
      </w:r>
      <w:r w:rsidRPr="005177C8">
        <w:rPr>
          <w:lang w:val="ru-RU"/>
        </w:rPr>
        <w:t>)</w:t>
      </w:r>
      <w:r>
        <w:t> </w:t>
      </w:r>
      <w:r w:rsidRPr="005177C8">
        <w:rPr>
          <w:lang w:val="ru-RU"/>
        </w:rPr>
        <w:t xml:space="preserve">отмена или перенос на более поздний срок определенных мероприятий по запросу институтов-соорганизаторов и/или государств-членов по результатам </w:t>
      </w:r>
      <w:r>
        <w:t>III</w:t>
      </w:r>
      <w:r w:rsidRPr="005177C8">
        <w:rPr>
          <w:lang w:val="ru-RU"/>
        </w:rPr>
        <w:t xml:space="preserve">.1 (национальные стратегии и планы в области инноваций и ИС), </w:t>
      </w:r>
      <w:r>
        <w:t>III</w:t>
      </w:r>
      <w:r w:rsidRPr="005177C8">
        <w:rPr>
          <w:lang w:val="ru-RU"/>
        </w:rPr>
        <w:t xml:space="preserve">.6 (укрепление потенциала МСП) и </w:t>
      </w:r>
      <w:r>
        <w:t>IV</w:t>
      </w:r>
      <w:r w:rsidRPr="005177C8">
        <w:rPr>
          <w:lang w:val="ru-RU"/>
        </w:rPr>
        <w:t xml:space="preserve">.2 (расширение доступа к информации и знаниям в области ИС и их использования). </w:t>
      </w:r>
      <w:r w:rsidR="0089279A" w:rsidRPr="005177C8">
        <w:rPr>
          <w:rFonts w:cs="Arial"/>
          <w:lang w:val="ru-RU"/>
        </w:rPr>
        <w:t xml:space="preserve"> </w:t>
      </w:r>
    </w:p>
    <w:p w:rsidR="0089279A" w:rsidRPr="005177C8" w:rsidRDefault="0089279A">
      <w:pPr>
        <w:rPr>
          <w:lang w:val="ru-RU"/>
        </w:rPr>
      </w:pPr>
    </w:p>
    <w:p w:rsidR="00136AA7" w:rsidRPr="005177C8" w:rsidRDefault="00136AA7" w:rsidP="00CE4C9D">
      <w:pPr>
        <w:tabs>
          <w:tab w:val="left" w:pos="720"/>
        </w:tabs>
        <w:rPr>
          <w:rFonts w:cs="Arial"/>
          <w:lang w:val="ru-RU"/>
        </w:rPr>
      </w:pPr>
    </w:p>
    <w:p w:rsidR="0089279A" w:rsidRPr="005177C8" w:rsidRDefault="0089279A">
      <w:pPr>
        <w:rPr>
          <w:lang w:val="ru-RU"/>
        </w:rPr>
      </w:pPr>
      <w:r w:rsidRPr="005177C8">
        <w:rPr>
          <w:lang w:val="ru-RU"/>
        </w:rPr>
        <w:br w:type="page"/>
      </w:r>
    </w:p>
    <w:p w:rsidR="004C53FA" w:rsidRPr="00103107" w:rsidRDefault="00103107" w:rsidP="00C1753F">
      <w:pPr>
        <w:pStyle w:val="StyleHeading214ptAuto"/>
        <w:rPr>
          <w:rFonts w:ascii="Arial" w:hAnsi="Arial" w:cs="Arial"/>
          <w:sz w:val="20"/>
          <w:szCs w:val="20"/>
          <w:lang w:val="ru-RU"/>
        </w:rPr>
      </w:pPr>
      <w:bookmarkStart w:id="88" w:name="_Toc455388119"/>
      <w:bookmarkStart w:id="89" w:name="_Toc367350587"/>
      <w:r>
        <w:rPr>
          <w:rFonts w:ascii="Arial" w:hAnsi="Arial" w:cs="Arial"/>
          <w:sz w:val="20"/>
          <w:szCs w:val="20"/>
          <w:lang w:val="ru-RU"/>
        </w:rPr>
        <w:t>стратегическая цель</w:t>
      </w:r>
      <w:r w:rsidR="004C53FA" w:rsidRPr="00103107">
        <w:rPr>
          <w:rFonts w:ascii="Arial" w:hAnsi="Arial" w:cs="Arial"/>
          <w:sz w:val="20"/>
          <w:szCs w:val="20"/>
          <w:lang w:val="ru-RU"/>
        </w:rPr>
        <w:t xml:space="preserve"> </w:t>
      </w:r>
      <w:r w:rsidR="004C53FA" w:rsidRPr="00E07FBB">
        <w:rPr>
          <w:rFonts w:ascii="Arial" w:hAnsi="Arial" w:cs="Arial"/>
          <w:sz w:val="20"/>
          <w:szCs w:val="20"/>
        </w:rPr>
        <w:t>IV</w:t>
      </w:r>
      <w:bookmarkEnd w:id="88"/>
      <w:r w:rsidR="004C53FA" w:rsidRPr="00103107">
        <w:rPr>
          <w:rFonts w:ascii="Arial" w:hAnsi="Arial" w:cs="Arial"/>
          <w:sz w:val="20"/>
          <w:szCs w:val="20"/>
          <w:lang w:val="ru-RU"/>
        </w:rPr>
        <w:t xml:space="preserve"> </w:t>
      </w:r>
    </w:p>
    <w:p w:rsidR="004C53FA" w:rsidRPr="00103107" w:rsidRDefault="004C53FA" w:rsidP="003E2D93">
      <w:pPr>
        <w:jc w:val="center"/>
        <w:rPr>
          <w:lang w:val="ru-RU"/>
        </w:rPr>
      </w:pPr>
    </w:p>
    <w:bookmarkEnd w:id="89"/>
    <w:p w:rsidR="00103107" w:rsidRPr="003767D5" w:rsidRDefault="00103107" w:rsidP="00103107">
      <w:pPr>
        <w:jc w:val="center"/>
        <w:rPr>
          <w:b/>
          <w:lang w:val="ru-RU"/>
        </w:rPr>
      </w:pPr>
      <w:r w:rsidRPr="003767D5">
        <w:rPr>
          <w:b/>
          <w:lang w:val="ru-RU"/>
        </w:rPr>
        <w:t>КООРДИНАЦИЯ И РАЗВИТИЕ ГЛОБАЛЬНОЙ ИНФРАСТРУКТУРЫ ИС</w:t>
      </w:r>
    </w:p>
    <w:p w:rsidR="00103107" w:rsidRDefault="00103107" w:rsidP="00103107">
      <w:pPr>
        <w:jc w:val="center"/>
        <w:rPr>
          <w:lang w:val="ru-RU"/>
        </w:rPr>
      </w:pPr>
    </w:p>
    <w:p w:rsidR="00103107" w:rsidRPr="003A588C" w:rsidRDefault="00103107" w:rsidP="00103107">
      <w:pPr>
        <w:jc w:val="center"/>
        <w:rPr>
          <w:lang w:val="ru-RU"/>
        </w:rPr>
      </w:pPr>
    </w:p>
    <w:p w:rsidR="00103107" w:rsidRPr="003A588C" w:rsidRDefault="00103107" w:rsidP="00103107">
      <w:pPr>
        <w:jc w:val="center"/>
        <w:rPr>
          <w:b/>
          <w:lang w:val="ru-RU"/>
        </w:rPr>
      </w:pPr>
      <w:r w:rsidRPr="003A588C">
        <w:rPr>
          <w:b/>
          <w:lang w:val="ru-RU"/>
        </w:rPr>
        <w:t xml:space="preserve">Сводная таблица показателей результативности за двухлетний период </w:t>
      </w:r>
    </w:p>
    <w:p w:rsidR="00103107" w:rsidRPr="003A588C" w:rsidRDefault="00103107" w:rsidP="00103107">
      <w:pPr>
        <w:jc w:val="center"/>
        <w:rPr>
          <w:b/>
          <w:lang w:val="ru-RU"/>
        </w:rPr>
      </w:pPr>
    </w:p>
    <w:p w:rsidR="00103107" w:rsidRPr="003A588C" w:rsidRDefault="00103107" w:rsidP="00103107">
      <w:pPr>
        <w:autoSpaceDE w:val="0"/>
        <w:autoSpaceDN w:val="0"/>
        <w:adjustRightInd w:val="0"/>
        <w:jc w:val="both"/>
        <w:rPr>
          <w:rFonts w:cs="Arial"/>
          <w:lang w:val="ru-RU"/>
        </w:rPr>
      </w:pPr>
      <w:r w:rsidRPr="003A588C">
        <w:rPr>
          <w:rFonts w:cs="Arial"/>
          <w:lang w:val="ru-RU"/>
        </w:rPr>
        <w:t>Приводимая ниже сводная т</w:t>
      </w:r>
      <w:r>
        <w:rPr>
          <w:rFonts w:cs="Arial"/>
          <w:lang w:val="ru-RU"/>
        </w:rPr>
        <w:t>аблица содержит обзор достижений с точки зрения степени реализации</w:t>
      </w:r>
      <w:r w:rsidRPr="003A588C">
        <w:rPr>
          <w:rFonts w:cs="Arial"/>
          <w:lang w:val="ru-RU"/>
        </w:rPr>
        <w:t xml:space="preserve"> ожидаемых результатов в двухлетнем периоде 2014-201</w:t>
      </w:r>
      <w:r>
        <w:rPr>
          <w:rFonts w:cs="Arial"/>
          <w:lang w:val="ru-RU"/>
        </w:rPr>
        <w:t>5</w:t>
      </w:r>
      <w:r w:rsidRPr="003A588C">
        <w:rPr>
          <w:rFonts w:cs="Arial"/>
          <w:lang w:val="ru-RU"/>
        </w:rPr>
        <w:t xml:space="preserve"> гг.</w:t>
      </w:r>
      <w:r>
        <w:rPr>
          <w:rFonts w:cs="Arial"/>
          <w:lang w:val="ru-RU"/>
        </w:rPr>
        <w:t xml:space="preserve"> на основе</w:t>
      </w:r>
      <w:r w:rsidRPr="003A588C">
        <w:rPr>
          <w:rFonts w:cs="Arial"/>
          <w:lang w:val="ru-RU"/>
        </w:rPr>
        <w:t xml:space="preserve"> показател</w:t>
      </w:r>
      <w:r>
        <w:rPr>
          <w:rFonts w:cs="Arial"/>
          <w:lang w:val="ru-RU"/>
        </w:rPr>
        <w:t>ей</w:t>
      </w:r>
      <w:r w:rsidRPr="003A588C">
        <w:rPr>
          <w:rFonts w:cs="Arial"/>
          <w:lang w:val="ru-RU"/>
        </w:rPr>
        <w:t xml:space="preserve"> программ, </w:t>
      </w:r>
      <w:r>
        <w:rPr>
          <w:rFonts w:cs="Arial"/>
          <w:lang w:val="ru-RU"/>
        </w:rPr>
        <w:t>обеспечивающих претворение в жизнь</w:t>
      </w:r>
      <w:r w:rsidRPr="003A588C">
        <w:rPr>
          <w:rFonts w:cs="Arial"/>
          <w:lang w:val="ru-RU"/>
        </w:rPr>
        <w:t xml:space="preserve"> данной стратегической цели.  </w:t>
      </w:r>
    </w:p>
    <w:p w:rsidR="00103107" w:rsidRDefault="00103107" w:rsidP="00103107">
      <w:pPr>
        <w:jc w:val="center"/>
      </w:pPr>
      <w:r>
        <w:rPr>
          <w:noProof/>
        </w:rPr>
        <w:drawing>
          <wp:inline distT="0" distB="0" distL="0" distR="0" wp14:anchorId="5F7A7442" wp14:editId="77CADF6A">
            <wp:extent cx="5940425" cy="2976178"/>
            <wp:effectExtent l="0" t="0" r="317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940425" cy="2976178"/>
                    </a:xfrm>
                    <a:prstGeom prst="rect">
                      <a:avLst/>
                    </a:prstGeom>
                    <a:noFill/>
                    <a:ln>
                      <a:noFill/>
                    </a:ln>
                  </pic:spPr>
                </pic:pic>
              </a:graphicData>
            </a:graphic>
          </wp:inline>
        </w:drawing>
      </w:r>
    </w:p>
    <w:p w:rsidR="00103107" w:rsidRPr="00CB5A85" w:rsidRDefault="00103107" w:rsidP="00103107"/>
    <w:tbl>
      <w:tblPr>
        <w:tblW w:w="4942"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325"/>
        <w:gridCol w:w="3613"/>
        <w:gridCol w:w="1954"/>
        <w:gridCol w:w="1568"/>
      </w:tblGrid>
      <w:tr w:rsidR="00103107" w:rsidRPr="00AF5E7C" w:rsidTr="00AD2B92">
        <w:trPr>
          <w:cantSplit/>
          <w:trHeight w:val="401"/>
          <w:tblHeader/>
        </w:trPr>
        <w:tc>
          <w:tcPr>
            <w:tcW w:w="1482"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923CBC" w:rsidRDefault="00103107" w:rsidP="00103107">
            <w:pPr>
              <w:spacing w:after="120"/>
              <w:rPr>
                <w:rFonts w:cs="Arial"/>
                <w:b/>
                <w:bCs/>
                <w:sz w:val="18"/>
                <w:szCs w:val="18"/>
              </w:rPr>
            </w:pPr>
            <w:r w:rsidRPr="003A588C">
              <w:rPr>
                <w:rFonts w:cs="Arial"/>
                <w:b/>
                <w:bCs/>
                <w:sz w:val="18"/>
                <w:szCs w:val="18"/>
                <w:lang w:val="ru-RU"/>
              </w:rPr>
              <w:t>Ожидаемые результаты</w:t>
            </w:r>
          </w:p>
        </w:tc>
        <w:tc>
          <w:tcPr>
            <w:tcW w:w="2163"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923CBC" w:rsidRDefault="00103107" w:rsidP="00103107">
            <w:pPr>
              <w:spacing w:after="120"/>
              <w:rPr>
                <w:rFonts w:cs="Arial"/>
                <w:b/>
                <w:sz w:val="18"/>
                <w:szCs w:val="18"/>
              </w:rPr>
            </w:pPr>
            <w:r>
              <w:rPr>
                <w:rFonts w:cs="Arial"/>
                <w:b/>
                <w:sz w:val="18"/>
                <w:szCs w:val="18"/>
                <w:lang w:val="ru-RU"/>
              </w:rPr>
              <w:t>Показатели</w:t>
            </w:r>
            <w:r w:rsidRPr="003A588C">
              <w:rPr>
                <w:rFonts w:cs="Arial"/>
                <w:b/>
                <w:sz w:val="18"/>
                <w:szCs w:val="18"/>
                <w:lang w:val="ru-RU"/>
              </w:rPr>
              <w:t xml:space="preserve"> результативности</w:t>
            </w:r>
          </w:p>
        </w:tc>
        <w:tc>
          <w:tcPr>
            <w:tcW w:w="880"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923CBC" w:rsidRDefault="00103107" w:rsidP="00103107">
            <w:pPr>
              <w:spacing w:after="120"/>
              <w:ind w:left="85"/>
              <w:jc w:val="center"/>
              <w:rPr>
                <w:rFonts w:cs="Arial"/>
                <w:sz w:val="18"/>
                <w:szCs w:val="18"/>
              </w:rPr>
            </w:pPr>
            <w:r w:rsidRPr="003A588C">
              <w:rPr>
                <w:rFonts w:cs="Arial"/>
                <w:b/>
                <w:sz w:val="18"/>
                <w:szCs w:val="18"/>
                <w:lang w:val="ru-RU"/>
              </w:rPr>
              <w:t>Соответствующие программы</w:t>
            </w:r>
          </w:p>
        </w:tc>
        <w:tc>
          <w:tcPr>
            <w:tcW w:w="475" w:type="pct"/>
            <w:tcBorders>
              <w:top w:val="single" w:sz="4" w:space="0" w:color="auto"/>
              <w:bottom w:val="single" w:sz="4" w:space="0" w:color="auto"/>
            </w:tcBorders>
            <w:shd w:val="clear" w:color="auto" w:fill="C6D9F1" w:themeFill="text2" w:themeFillTint="33"/>
          </w:tcPr>
          <w:p w:rsidR="00103107" w:rsidRPr="00923CBC" w:rsidRDefault="00103107" w:rsidP="00103107">
            <w:pPr>
              <w:spacing w:after="120"/>
              <w:ind w:left="85"/>
              <w:jc w:val="center"/>
              <w:rPr>
                <w:rFonts w:cs="Arial"/>
                <w:b/>
                <w:bCs/>
                <w:sz w:val="18"/>
                <w:szCs w:val="18"/>
              </w:rPr>
            </w:pPr>
            <w:r w:rsidRPr="003A588C">
              <w:rPr>
                <w:rFonts w:cs="Arial"/>
                <w:b/>
                <w:bCs/>
                <w:sz w:val="18"/>
                <w:szCs w:val="18"/>
                <w:lang w:val="ru-RU"/>
              </w:rPr>
              <w:t>СИГНАЛЬНАЯ СИСТЕМА</w:t>
            </w:r>
          </w:p>
        </w:tc>
      </w:tr>
      <w:tr w:rsidR="00103107" w:rsidRPr="00AF5E7C" w:rsidTr="00103107">
        <w:trPr>
          <w:cantSplit/>
          <w:trHeight w:val="363"/>
        </w:trPr>
        <w:tc>
          <w:tcPr>
            <w:tcW w:w="1482" w:type="pct"/>
            <w:vMerge w:val="restart"/>
            <w:tcBorders>
              <w:top w:val="single" w:sz="4" w:space="0" w:color="auto"/>
            </w:tcBorders>
            <w:shd w:val="clear" w:color="auto" w:fill="auto"/>
            <w:tcMar>
              <w:top w:w="113" w:type="dxa"/>
              <w:bottom w:w="85" w:type="dxa"/>
            </w:tcMar>
          </w:tcPr>
          <w:p w:rsidR="00103107" w:rsidRPr="003A588C" w:rsidRDefault="00103107" w:rsidP="00103107">
            <w:pPr>
              <w:rPr>
                <w:rFonts w:cs="Arial"/>
                <w:sz w:val="16"/>
                <w:szCs w:val="16"/>
                <w:lang w:val="ru-RU"/>
              </w:rPr>
            </w:pPr>
            <w:r w:rsidRPr="003A588C">
              <w:rPr>
                <w:rFonts w:cs="Arial"/>
                <w:sz w:val="16"/>
                <w:szCs w:val="16"/>
                <w:lang w:val="ru-RU"/>
              </w:rPr>
              <w:t>IV.1. Обновленная и глобально принятая система международных классификаций и стандартов ВОИС для облегчения доступа, использования и распространения информации в области ИС среди заинтересованных сторон во всем мире</w:t>
            </w:r>
          </w:p>
        </w:tc>
        <w:tc>
          <w:tcPr>
            <w:tcW w:w="2163" w:type="pct"/>
            <w:tcBorders>
              <w:top w:val="single" w:sz="4" w:space="0" w:color="auto"/>
            </w:tcBorders>
            <w:shd w:val="clear" w:color="auto" w:fill="auto"/>
            <w:tcMar>
              <w:top w:w="113" w:type="dxa"/>
              <w:bottom w:w="85" w:type="dxa"/>
            </w:tcMar>
          </w:tcPr>
          <w:p w:rsidR="00103107" w:rsidRPr="003A588C" w:rsidRDefault="00103107" w:rsidP="00103107">
            <w:pPr>
              <w:rPr>
                <w:rFonts w:cs="Arial"/>
                <w:sz w:val="16"/>
                <w:szCs w:val="16"/>
                <w:lang w:val="ru-RU"/>
              </w:rPr>
            </w:pPr>
            <w:r w:rsidRPr="003A588C">
              <w:rPr>
                <w:rFonts w:cs="Arial"/>
                <w:sz w:val="16"/>
                <w:szCs w:val="16"/>
                <w:lang w:val="ru-RU"/>
              </w:rPr>
              <w:t xml:space="preserve">Число поправок к Ниццкой классификации и информационных дополнений </w:t>
            </w:r>
          </w:p>
        </w:tc>
        <w:tc>
          <w:tcPr>
            <w:tcW w:w="880" w:type="pct"/>
            <w:tcBorders>
              <w:top w:val="single" w:sz="4" w:space="0" w:color="auto"/>
            </w:tcBorders>
            <w:shd w:val="clear" w:color="auto" w:fill="FFFFFF"/>
            <w:tcMar>
              <w:top w:w="113" w:type="dxa"/>
              <w:bottom w:w="85"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12 </w:t>
            </w:r>
          </w:p>
        </w:tc>
        <w:tc>
          <w:tcPr>
            <w:tcW w:w="475" w:type="pct"/>
            <w:tcBorders>
              <w:top w:val="single" w:sz="4" w:space="0" w:color="auto"/>
            </w:tcBorders>
            <w:shd w:val="clear" w:color="auto" w:fill="FFFFFF"/>
          </w:tcPr>
          <w:p w:rsidR="00103107" w:rsidRPr="00CC3F44" w:rsidRDefault="00103107" w:rsidP="00103107">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AF5E7C" w:rsidTr="00103107">
        <w:trPr>
          <w:cantSplit/>
          <w:trHeight w:val="463"/>
        </w:trPr>
        <w:tc>
          <w:tcPr>
            <w:tcW w:w="1482" w:type="pct"/>
            <w:vMerge/>
            <w:shd w:val="clear" w:color="auto" w:fill="auto"/>
            <w:tcMar>
              <w:top w:w="113" w:type="dxa"/>
              <w:bottom w:w="85" w:type="dxa"/>
            </w:tcMar>
          </w:tcPr>
          <w:p w:rsidR="00103107" w:rsidRPr="00C10568" w:rsidRDefault="00103107" w:rsidP="00103107">
            <w:pPr>
              <w:rPr>
                <w:rFonts w:cs="Arial"/>
                <w:sz w:val="16"/>
                <w:szCs w:val="16"/>
              </w:rPr>
            </w:pPr>
          </w:p>
        </w:tc>
        <w:tc>
          <w:tcPr>
            <w:tcW w:w="2163" w:type="pct"/>
            <w:shd w:val="clear" w:color="auto" w:fill="auto"/>
            <w:tcMar>
              <w:top w:w="113" w:type="dxa"/>
              <w:bottom w:w="85" w:type="dxa"/>
            </w:tcMar>
          </w:tcPr>
          <w:p w:rsidR="00103107" w:rsidRPr="003A588C" w:rsidRDefault="00103107" w:rsidP="00103107">
            <w:pPr>
              <w:rPr>
                <w:rFonts w:cs="Arial"/>
                <w:sz w:val="16"/>
                <w:szCs w:val="16"/>
                <w:lang w:val="ru-RU"/>
              </w:rPr>
            </w:pPr>
            <w:r w:rsidRPr="003A588C">
              <w:rPr>
                <w:rFonts w:cs="Arial"/>
                <w:sz w:val="16"/>
                <w:szCs w:val="16"/>
                <w:lang w:val="ru-RU"/>
              </w:rPr>
              <w:t>Число новых подразделов, включенных в МПК за год</w:t>
            </w:r>
          </w:p>
        </w:tc>
        <w:tc>
          <w:tcPr>
            <w:tcW w:w="880" w:type="pct"/>
            <w:shd w:val="clear" w:color="auto" w:fill="FFFFFF"/>
            <w:tcMar>
              <w:top w:w="113" w:type="dxa"/>
              <w:bottom w:w="85" w:type="dxa"/>
            </w:tcMar>
          </w:tcPr>
          <w:p w:rsidR="00103107" w:rsidRPr="003A588C" w:rsidRDefault="00103107" w:rsidP="00103107">
            <w:pPr>
              <w:jc w:val="center"/>
              <w:rPr>
                <w:rFonts w:cs="Arial"/>
                <w:sz w:val="16"/>
                <w:szCs w:val="16"/>
                <w:lang w:val="ru-RU" w:bidi="th-TH"/>
              </w:rPr>
            </w:pPr>
            <w:r w:rsidRPr="003A588C">
              <w:rPr>
                <w:rFonts w:cs="Arial"/>
                <w:sz w:val="16"/>
                <w:szCs w:val="16"/>
                <w:lang w:val="ru-RU" w:bidi="th-TH"/>
              </w:rPr>
              <w:t xml:space="preserve">Программа 12 </w:t>
            </w:r>
          </w:p>
        </w:tc>
        <w:tc>
          <w:tcPr>
            <w:tcW w:w="4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E26B0A"/>
                <w:sz w:val="22"/>
                <w:szCs w:val="22"/>
              </w:rPr>
              <w:sym w:font="Wingdings" w:char="F06C"/>
            </w:r>
            <w:r w:rsidRPr="00CC3F44">
              <w:rPr>
                <w:rFonts w:cs="Arial"/>
                <w:color w:val="008000"/>
                <w:sz w:val="22"/>
                <w:szCs w:val="22"/>
              </w:rPr>
              <w:sym w:font="Wingdings" w:char="F06C"/>
            </w:r>
          </w:p>
        </w:tc>
      </w:tr>
      <w:tr w:rsidR="00103107" w:rsidRPr="00AF5E7C" w:rsidTr="00103107">
        <w:trPr>
          <w:cantSplit/>
          <w:trHeight w:val="319"/>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3A588C" w:rsidRDefault="00103107" w:rsidP="00103107">
            <w:pPr>
              <w:rPr>
                <w:rFonts w:cs="Arial"/>
                <w:sz w:val="16"/>
                <w:szCs w:val="16"/>
                <w:lang w:val="ru-RU"/>
              </w:rPr>
            </w:pPr>
            <w:r w:rsidRPr="003A588C">
              <w:rPr>
                <w:rFonts w:cs="Arial"/>
                <w:sz w:val="16"/>
                <w:szCs w:val="16"/>
                <w:lang w:val="ru-RU"/>
              </w:rPr>
              <w:t>Число измененных и вновь принятых стандартов</w:t>
            </w:r>
          </w:p>
        </w:tc>
        <w:tc>
          <w:tcPr>
            <w:tcW w:w="880" w:type="pct"/>
            <w:shd w:val="clear" w:color="auto" w:fill="FFFFFF"/>
            <w:tcMar>
              <w:top w:w="113" w:type="dxa"/>
              <w:bottom w:w="85" w:type="dxa"/>
            </w:tcMar>
          </w:tcPr>
          <w:p w:rsidR="00103107" w:rsidRPr="003A588C" w:rsidRDefault="00103107" w:rsidP="00103107">
            <w:pPr>
              <w:jc w:val="center"/>
              <w:rPr>
                <w:rFonts w:cs="Arial"/>
                <w:sz w:val="16"/>
                <w:szCs w:val="16"/>
                <w:lang w:val="ru-RU"/>
              </w:rPr>
            </w:pPr>
            <w:r w:rsidRPr="003A588C">
              <w:rPr>
                <w:rFonts w:cs="Arial"/>
                <w:sz w:val="16"/>
                <w:szCs w:val="16"/>
                <w:lang w:val="ru-RU"/>
              </w:rPr>
              <w:t xml:space="preserve">Программа 12 </w:t>
            </w:r>
          </w:p>
        </w:tc>
        <w:tc>
          <w:tcPr>
            <w:tcW w:w="475" w:type="pct"/>
            <w:shd w:val="clear" w:color="auto" w:fill="FFFFFF"/>
          </w:tcPr>
          <w:p w:rsidR="00103107" w:rsidRPr="00CC3F44" w:rsidRDefault="00103107" w:rsidP="00103107">
            <w:pPr>
              <w:jc w:val="center"/>
            </w:pPr>
            <w:r w:rsidRPr="00CC3F44">
              <w:rPr>
                <w:rFonts w:cs="Arial"/>
                <w:color w:val="E26B0A"/>
                <w:sz w:val="22"/>
                <w:szCs w:val="22"/>
              </w:rPr>
              <w:sym w:font="Wingdings" w:char="F06C"/>
            </w:r>
          </w:p>
        </w:tc>
      </w:tr>
      <w:tr w:rsidR="00103107" w:rsidRPr="00AF5E7C" w:rsidTr="00103107">
        <w:trPr>
          <w:cantSplit/>
          <w:trHeight w:val="616"/>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3A588C" w:rsidRDefault="00103107" w:rsidP="00103107">
            <w:pPr>
              <w:rPr>
                <w:rFonts w:cs="Arial"/>
                <w:sz w:val="16"/>
                <w:szCs w:val="16"/>
                <w:lang w:val="ru-RU"/>
              </w:rPr>
            </w:pPr>
            <w:r w:rsidRPr="003A588C">
              <w:rPr>
                <w:rFonts w:cs="Arial"/>
                <w:sz w:val="16"/>
                <w:szCs w:val="16"/>
                <w:lang w:val="ru-RU"/>
              </w:rPr>
              <w:t>Число пользователей, имеющих доступ к интернет-публикациям международных классификаций и стандартов, особенно в развивающихся странах</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rPr>
            </w:pPr>
            <w:r w:rsidRPr="003A588C">
              <w:rPr>
                <w:rFonts w:cs="Arial"/>
                <w:sz w:val="16"/>
                <w:szCs w:val="16"/>
                <w:lang w:val="ru-RU"/>
              </w:rPr>
              <w:t xml:space="preserve">Программа 12 </w:t>
            </w:r>
          </w:p>
        </w:tc>
        <w:tc>
          <w:tcPr>
            <w:tcW w:w="475" w:type="pct"/>
            <w:shd w:val="clear" w:color="auto" w:fill="FFFFFF"/>
          </w:tcPr>
          <w:p w:rsidR="00103107" w:rsidRDefault="00103107" w:rsidP="00103107">
            <w:pPr>
              <w:jc w:val="center"/>
              <w:rPr>
                <w:rFonts w:cs="Arial"/>
                <w:color w:val="A6A6A6" w:themeColor="background1" w:themeShade="A6"/>
                <w:sz w:val="22"/>
                <w:szCs w:val="22"/>
              </w:rPr>
            </w:pPr>
            <w:r w:rsidRPr="00CC3F44">
              <w:rPr>
                <w:rFonts w:cs="Arial"/>
                <w:color w:val="FF0000"/>
                <w:sz w:val="22"/>
                <w:szCs w:val="22"/>
              </w:rPr>
              <w:sym w:font="Wingdings" w:char="F06C"/>
            </w:r>
            <w:r w:rsidRPr="00CC3F44">
              <w:rPr>
                <w:rFonts w:cs="Arial"/>
                <w:color w:val="008000"/>
                <w:sz w:val="22"/>
                <w:szCs w:val="22"/>
              </w:rPr>
              <w:sym w:font="Wingdings" w:char="F06C"/>
            </w:r>
            <w:r w:rsidRPr="00CC3F44">
              <w:rPr>
                <w:rFonts w:cs="Arial"/>
                <w:color w:val="E26B0A"/>
                <w:sz w:val="22"/>
                <w:szCs w:val="22"/>
              </w:rPr>
              <w:sym w:font="Wingdings" w:char="F06C"/>
            </w:r>
            <w:r w:rsidRPr="00CC3F44">
              <w:rPr>
                <w:rFonts w:cs="Arial"/>
                <w:color w:val="008000"/>
                <w:sz w:val="22"/>
                <w:szCs w:val="22"/>
              </w:rPr>
              <w:sym w:font="Wingdings" w:char="F06C"/>
            </w:r>
          </w:p>
          <w:p w:rsidR="00103107" w:rsidRPr="00CC3F44" w:rsidRDefault="00103107" w:rsidP="00103107">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FF0000"/>
                <w:sz w:val="22"/>
                <w:szCs w:val="22"/>
              </w:rPr>
              <w:sym w:font="Wingdings" w:char="F06C"/>
            </w:r>
          </w:p>
        </w:tc>
      </w:tr>
      <w:tr w:rsidR="00103107" w:rsidRPr="00AF5E7C" w:rsidTr="00103107">
        <w:trPr>
          <w:cantSplit/>
          <w:trHeight w:val="607"/>
        </w:trPr>
        <w:tc>
          <w:tcPr>
            <w:tcW w:w="1482"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IV.2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доверенных посредников (ДП) и правообладателей (ПО), в том числе из развивающихся стран и НРС, ставших участниками сети TIGAR</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475" w:type="pct"/>
            <w:shd w:val="clear" w:color="auto" w:fill="FFFFFF"/>
          </w:tcPr>
          <w:p w:rsidR="00103107" w:rsidRPr="00CC3F44" w:rsidRDefault="00103107" w:rsidP="00103107">
            <w:pPr>
              <w:jc w:val="center"/>
            </w:pPr>
            <w:r w:rsidRPr="00CC3F44">
              <w:rPr>
                <w:rFonts w:cs="Arial"/>
                <w:sz w:val="22"/>
                <w:szCs w:val="22"/>
              </w:rPr>
              <w:sym w:font="Wingdings" w:char="F06C"/>
            </w:r>
          </w:p>
        </w:tc>
      </w:tr>
      <w:tr w:rsidR="00103107" w:rsidRPr="00AF5E7C" w:rsidTr="00103107">
        <w:trPr>
          <w:cantSplit/>
          <w:trHeight w:val="616"/>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охраняемых авторским правом произведений, распространенных через ДП и предоставленных ЛДЗ на трансграничной основе через сеть системы TIGAR</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475"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AF5E7C" w:rsidTr="00103107">
        <w:trPr>
          <w:cantSplit/>
          <w:trHeight w:val="436"/>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лиц, удовлетворенных помощью по укреплению потенциала в области авторско-правовой инфраструктуры</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475"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AF5E7C" w:rsidTr="00103107">
        <w:trPr>
          <w:cantSplit/>
          <w:trHeight w:val="154"/>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B004F2" w:rsidRDefault="00103107" w:rsidP="00103107">
            <w:pPr>
              <w:rPr>
                <w:rFonts w:cs="Arial"/>
                <w:sz w:val="16"/>
                <w:szCs w:val="16"/>
              </w:rPr>
            </w:pPr>
            <w:r w:rsidRPr="003A588C">
              <w:rPr>
                <w:rFonts w:cs="Arial"/>
                <w:sz w:val="16"/>
                <w:szCs w:val="16"/>
                <w:lang w:val="ru-RU"/>
              </w:rPr>
              <w:t>Число учреждений, использующих GDA</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475" w:type="pct"/>
            <w:shd w:val="clear" w:color="auto" w:fill="FFFFFF"/>
          </w:tcPr>
          <w:p w:rsidR="00103107" w:rsidRPr="00CC3F44" w:rsidRDefault="00103107" w:rsidP="00103107">
            <w:pPr>
              <w:jc w:val="center"/>
            </w:pPr>
            <w:r w:rsidRPr="00CC3F44">
              <w:rPr>
                <w:rFonts w:cs="Arial"/>
                <w:sz w:val="22"/>
                <w:szCs w:val="22"/>
              </w:rPr>
              <w:sym w:font="Wingdings" w:char="F06C"/>
            </w:r>
          </w:p>
        </w:tc>
      </w:tr>
      <w:tr w:rsidR="00103107" w:rsidRPr="00AF5E7C" w:rsidTr="00103107">
        <w:trPr>
          <w:cantSplit/>
          <w:trHeight w:val="496"/>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Использование справочной базы данных ВОИС по коллективному управлению</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475"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AF5E7C" w:rsidTr="00103107">
        <w:trPr>
          <w:cantSplit/>
          <w:trHeight w:val="868"/>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правовых документов, руководящих принципов, положений о принципах, помимо договоров, согласованных или утвержденных заинтересованными сторонами в таких областях, как ИС, спорт и авторское право в цифровой среде</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475"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AF5E7C" w:rsidTr="00103107">
        <w:trPr>
          <w:cantSplit/>
          <w:trHeight w:val="144"/>
        </w:trPr>
        <w:tc>
          <w:tcPr>
            <w:tcW w:w="1482" w:type="pct"/>
            <w:vMerge w:val="restart"/>
            <w:shd w:val="clear" w:color="auto" w:fill="auto"/>
            <w:tcMar>
              <w:top w:w="113" w:type="dxa"/>
              <w:bottom w:w="85" w:type="dxa"/>
            </w:tcMar>
          </w:tcPr>
          <w:p w:rsidR="00103107" w:rsidRPr="00AF5E7C" w:rsidRDefault="00103107" w:rsidP="00103107">
            <w:pPr>
              <w:rPr>
                <w:rFonts w:cs="Arial"/>
                <w:sz w:val="16"/>
                <w:szCs w:val="16"/>
              </w:rPr>
            </w:pPr>
          </w:p>
        </w:tc>
        <w:tc>
          <w:tcPr>
            <w:tcW w:w="2163"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Среднее число пользователей услуг ЦПТИ в разбивке по кварталам и странам</w:t>
            </w:r>
          </w:p>
          <w:p w:rsidR="00103107" w:rsidRPr="004F6688" w:rsidRDefault="00103107" w:rsidP="00103107">
            <w:pPr>
              <w:rPr>
                <w:rFonts w:cs="Arial"/>
                <w:sz w:val="16"/>
                <w:szCs w:val="16"/>
                <w:lang w:val="ru-RU"/>
              </w:rPr>
            </w:pPr>
          </w:p>
          <w:p w:rsidR="00103107" w:rsidRPr="004F6688" w:rsidRDefault="00103107" w:rsidP="00103107">
            <w:pPr>
              <w:rPr>
                <w:rFonts w:cs="Arial"/>
                <w:sz w:val="16"/>
                <w:szCs w:val="16"/>
                <w:lang w:val="ru-RU"/>
              </w:rPr>
            </w:pP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475" w:type="pct"/>
            <w:shd w:val="clear" w:color="auto" w:fill="FFFFFF"/>
          </w:tcPr>
          <w:p w:rsidR="00103107" w:rsidRPr="00CC3F44" w:rsidRDefault="00103107" w:rsidP="00103107">
            <w:pPr>
              <w:spacing w:before="40"/>
              <w:jc w:val="center"/>
              <w:rPr>
                <w:rFonts w:cs="Arial"/>
                <w:color w:val="008000"/>
                <w:sz w:val="22"/>
                <w:szCs w:val="22"/>
              </w:rPr>
            </w:pPr>
            <w:r w:rsidRPr="00CC3F44">
              <w:rPr>
                <w:rFonts w:cs="Arial"/>
                <w:color w:val="008000"/>
                <w:sz w:val="22"/>
                <w:szCs w:val="22"/>
              </w:rPr>
              <w:sym w:font="Wingdings" w:char="F06C"/>
            </w:r>
          </w:p>
        </w:tc>
      </w:tr>
      <w:tr w:rsidR="00103107" w:rsidRPr="00AF5E7C" w:rsidTr="00103107">
        <w:trPr>
          <w:cantSplit/>
          <w:trHeight w:val="144"/>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vMerge/>
            <w:shd w:val="clear" w:color="auto" w:fill="auto"/>
            <w:tcMar>
              <w:top w:w="113" w:type="dxa"/>
              <w:bottom w:w="85" w:type="dxa"/>
            </w:tcMar>
          </w:tcPr>
          <w:p w:rsidR="00103107" w:rsidRDefault="00103107" w:rsidP="00103107">
            <w:pPr>
              <w:rPr>
                <w:rFonts w:cs="Arial"/>
                <w:sz w:val="16"/>
                <w:szCs w:val="16"/>
              </w:rPr>
            </w:pP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475" w:type="pct"/>
            <w:shd w:val="clear" w:color="auto" w:fill="FFFFFF"/>
          </w:tcPr>
          <w:p w:rsidR="00103107" w:rsidRPr="00CC3F44" w:rsidRDefault="00103107" w:rsidP="00103107">
            <w:pPr>
              <w:spacing w:before="40"/>
              <w:jc w:val="center"/>
              <w:rPr>
                <w:rFonts w:cs="Arial"/>
                <w:color w:val="008000"/>
                <w:sz w:val="22"/>
                <w:szCs w:val="22"/>
              </w:rPr>
            </w:pPr>
            <w:r w:rsidRPr="00CC3F44">
              <w:rPr>
                <w:rFonts w:cs="Arial"/>
                <w:color w:val="008000"/>
                <w:sz w:val="22"/>
                <w:szCs w:val="22"/>
              </w:rPr>
              <w:sym w:font="Wingdings" w:char="F06C"/>
            </w:r>
          </w:p>
        </w:tc>
      </w:tr>
      <w:tr w:rsidR="00103107" w:rsidRPr="00AF5E7C" w:rsidTr="00103107">
        <w:trPr>
          <w:cantSplit/>
          <w:trHeight w:val="144"/>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vMerge/>
            <w:shd w:val="clear" w:color="auto" w:fill="auto"/>
            <w:tcMar>
              <w:top w:w="113" w:type="dxa"/>
              <w:bottom w:w="85" w:type="dxa"/>
            </w:tcMar>
          </w:tcPr>
          <w:p w:rsidR="00103107" w:rsidRDefault="00103107" w:rsidP="00103107">
            <w:pPr>
              <w:rPr>
                <w:rFonts w:cs="Arial"/>
                <w:sz w:val="16"/>
                <w:szCs w:val="16"/>
              </w:rPr>
            </w:pP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14 </w:t>
            </w:r>
          </w:p>
        </w:tc>
        <w:tc>
          <w:tcPr>
            <w:tcW w:w="475" w:type="pct"/>
            <w:shd w:val="clear" w:color="auto" w:fill="FFFFFF"/>
          </w:tcPr>
          <w:p w:rsidR="00103107" w:rsidRPr="00CC3F44" w:rsidRDefault="00103107" w:rsidP="00103107">
            <w:pPr>
              <w:spacing w:before="40"/>
              <w:jc w:val="center"/>
              <w:rPr>
                <w:rFonts w:cs="Arial"/>
                <w:color w:val="008000"/>
                <w:sz w:val="22"/>
                <w:szCs w:val="22"/>
              </w:rPr>
            </w:pPr>
            <w:r w:rsidRPr="00CC3F44">
              <w:rPr>
                <w:rFonts w:cs="Arial"/>
                <w:color w:val="008000"/>
                <w:sz w:val="22"/>
                <w:szCs w:val="22"/>
              </w:rPr>
              <w:sym w:font="Wingdings" w:char="F06C"/>
            </w:r>
          </w:p>
        </w:tc>
      </w:tr>
      <w:tr w:rsidR="00103107" w:rsidRPr="00AF5E7C" w:rsidTr="00103107">
        <w:trPr>
          <w:cantSplit/>
          <w:trHeight w:val="144"/>
        </w:trPr>
        <w:tc>
          <w:tcPr>
            <w:tcW w:w="1482" w:type="pct"/>
            <w:vMerge w:val="restart"/>
            <w:shd w:val="clear" w:color="auto" w:fill="auto"/>
            <w:tcMar>
              <w:top w:w="113" w:type="dxa"/>
              <w:bottom w:w="85" w:type="dxa"/>
            </w:tcMar>
          </w:tcPr>
          <w:p w:rsidR="00103107" w:rsidRPr="00AF5E7C" w:rsidRDefault="00103107" w:rsidP="00103107">
            <w:pPr>
              <w:rPr>
                <w:rFonts w:cs="Arial"/>
                <w:sz w:val="16"/>
                <w:szCs w:val="16"/>
              </w:rPr>
            </w:pPr>
          </w:p>
        </w:tc>
        <w:tc>
          <w:tcPr>
            <w:tcW w:w="2163"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устойчивых национальных сетей ЦПТИ</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475" w:type="pct"/>
            <w:shd w:val="clear" w:color="auto" w:fill="FFFFFF"/>
          </w:tcPr>
          <w:p w:rsidR="00103107" w:rsidRDefault="00103107" w:rsidP="00103107">
            <w:pPr>
              <w:spacing w:before="40"/>
              <w:jc w:val="center"/>
              <w:rPr>
                <w:rFonts w:cs="Arial"/>
                <w:color w:val="008000"/>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p w:rsidR="00103107" w:rsidRPr="00CC3F44" w:rsidRDefault="00103107" w:rsidP="00103107">
            <w:pPr>
              <w:spacing w:before="40"/>
              <w:jc w:val="center"/>
              <w:rPr>
                <w:rFonts w:cs="Arial"/>
                <w:color w:val="008000"/>
                <w:sz w:val="22"/>
                <w:szCs w:val="22"/>
              </w:rPr>
            </w:pPr>
            <w:r w:rsidRPr="00CC3F44">
              <w:rPr>
                <w:rFonts w:cs="Arial"/>
                <w:color w:val="008000"/>
                <w:sz w:val="22"/>
                <w:szCs w:val="22"/>
              </w:rPr>
              <w:sym w:font="Wingdings" w:char="F06C"/>
            </w:r>
          </w:p>
        </w:tc>
      </w:tr>
      <w:tr w:rsidR="00103107" w:rsidRPr="00AF5E7C" w:rsidTr="00103107">
        <w:trPr>
          <w:cantSplit/>
          <w:trHeight w:val="144"/>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vMerge/>
            <w:shd w:val="clear" w:color="auto" w:fill="auto"/>
            <w:tcMar>
              <w:top w:w="113" w:type="dxa"/>
              <w:bottom w:w="85" w:type="dxa"/>
            </w:tcMar>
          </w:tcPr>
          <w:p w:rsidR="00103107" w:rsidRPr="00DC0B8E" w:rsidRDefault="00103107" w:rsidP="00103107">
            <w:pPr>
              <w:rPr>
                <w:rFonts w:cs="Arial"/>
                <w:sz w:val="16"/>
                <w:szCs w:val="16"/>
              </w:rPr>
            </w:pP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475" w:type="pct"/>
            <w:shd w:val="clear" w:color="auto" w:fill="FFFFFF"/>
          </w:tcPr>
          <w:p w:rsidR="00103107" w:rsidRPr="00CC3F44" w:rsidRDefault="00103107" w:rsidP="00103107">
            <w:pPr>
              <w:spacing w:before="40"/>
              <w:jc w:val="center"/>
              <w:rPr>
                <w:rFonts w:cs="Arial"/>
                <w:color w:val="008000"/>
                <w:sz w:val="22"/>
                <w:szCs w:val="22"/>
              </w:rPr>
            </w:pPr>
            <w:r w:rsidRPr="00CC3F44">
              <w:rPr>
                <w:rFonts w:cs="Arial"/>
                <w:color w:val="E26B0A"/>
                <w:sz w:val="22"/>
                <w:szCs w:val="22"/>
              </w:rPr>
              <w:sym w:font="Wingdings" w:char="F06C"/>
            </w:r>
          </w:p>
        </w:tc>
      </w:tr>
      <w:tr w:rsidR="00103107" w:rsidRPr="00AF5E7C" w:rsidTr="00103107">
        <w:trPr>
          <w:cantSplit/>
          <w:trHeight w:val="144"/>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vMerge/>
            <w:shd w:val="clear" w:color="auto" w:fill="auto"/>
            <w:tcMar>
              <w:top w:w="113" w:type="dxa"/>
              <w:bottom w:w="85" w:type="dxa"/>
            </w:tcMar>
          </w:tcPr>
          <w:p w:rsidR="00103107" w:rsidRPr="00DC0B8E" w:rsidRDefault="00103107" w:rsidP="00103107">
            <w:pPr>
              <w:rPr>
                <w:rFonts w:cs="Arial"/>
                <w:sz w:val="16"/>
                <w:szCs w:val="16"/>
              </w:rPr>
            </w:pP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14 </w:t>
            </w:r>
          </w:p>
        </w:tc>
        <w:tc>
          <w:tcPr>
            <w:tcW w:w="475" w:type="pct"/>
            <w:shd w:val="clear" w:color="auto" w:fill="FFFFFF"/>
          </w:tcPr>
          <w:p w:rsidR="00103107" w:rsidRPr="00CC3F44" w:rsidRDefault="00103107" w:rsidP="00103107">
            <w:pPr>
              <w:spacing w:before="40"/>
              <w:jc w:val="center"/>
              <w:rPr>
                <w:rFonts w:cs="Arial"/>
                <w:color w:val="008000"/>
                <w:sz w:val="22"/>
                <w:szCs w:val="22"/>
              </w:rPr>
            </w:pPr>
            <w:r w:rsidRPr="00CC3F44">
              <w:rPr>
                <w:rFonts w:cs="Arial"/>
                <w:color w:val="008000"/>
                <w:sz w:val="22"/>
                <w:szCs w:val="22"/>
              </w:rPr>
              <w:sym w:font="Wingdings" w:char="F06C"/>
            </w:r>
          </w:p>
        </w:tc>
      </w:tr>
      <w:tr w:rsidR="00103107" w:rsidRPr="00AF5E7C" w:rsidTr="00103107">
        <w:trPr>
          <w:cantSplit/>
          <w:trHeight w:val="679"/>
        </w:trPr>
        <w:tc>
          <w:tcPr>
            <w:tcW w:w="1482" w:type="pct"/>
            <w:shd w:val="clear" w:color="auto" w:fill="auto"/>
            <w:tcMar>
              <w:top w:w="113" w:type="dxa"/>
              <w:bottom w:w="85" w:type="dxa"/>
            </w:tcMar>
          </w:tcPr>
          <w:p w:rsidR="00103107" w:rsidRPr="003E1C54"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стран, использующих базу данных по технической помощи в области ИС (IP-TAD) и Реестр консультантов в сфере ИС (IP_ROC)</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475" w:type="pct"/>
            <w:shd w:val="clear" w:color="auto" w:fill="FFFFFF"/>
          </w:tcPr>
          <w:p w:rsidR="00103107" w:rsidRPr="00CC3F44" w:rsidRDefault="00103107" w:rsidP="00103107">
            <w:pPr>
              <w:jc w:val="center"/>
            </w:pPr>
            <w:r w:rsidRPr="00CC3F44">
              <w:rPr>
                <w:rFonts w:cs="Arial"/>
                <w:color w:val="FF0000"/>
                <w:sz w:val="22"/>
                <w:szCs w:val="22"/>
              </w:rPr>
              <w:sym w:font="Wingdings" w:char="F06C"/>
            </w:r>
          </w:p>
        </w:tc>
      </w:tr>
      <w:tr w:rsidR="00103107" w:rsidRPr="00AF5E7C" w:rsidTr="00103107">
        <w:trPr>
          <w:cantSplit/>
          <w:trHeight w:val="323"/>
        </w:trPr>
        <w:tc>
          <w:tcPr>
            <w:tcW w:w="1482" w:type="pct"/>
            <w:shd w:val="clear" w:color="auto" w:fill="auto"/>
            <w:tcMar>
              <w:top w:w="113" w:type="dxa"/>
              <w:bottom w:w="85" w:type="dxa"/>
            </w:tcMar>
          </w:tcPr>
          <w:p w:rsidR="00103107" w:rsidRPr="003E1C54"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учрежденных БПТ и/или информационных центров по ИС</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475"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AF5E7C" w:rsidTr="00103107">
        <w:trPr>
          <w:cantSplit/>
          <w:trHeight w:val="454"/>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уникальных пользователей в квартал на систему (PATENTSCOPE / Глобальная база данных по брендам)</w:t>
            </w:r>
          </w:p>
        </w:tc>
        <w:tc>
          <w:tcPr>
            <w:tcW w:w="880"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13 </w:t>
            </w:r>
          </w:p>
        </w:tc>
        <w:tc>
          <w:tcPr>
            <w:tcW w:w="475" w:type="pct"/>
            <w:shd w:val="clear" w:color="auto" w:fill="FFFFFF"/>
          </w:tcPr>
          <w:p w:rsidR="00103107" w:rsidRPr="00CC3F44" w:rsidRDefault="00103107" w:rsidP="00103107">
            <w:pPr>
              <w:jc w:val="center"/>
              <w:rPr>
                <w:rFonts w:cs="Arial"/>
                <w:color w:val="008000"/>
                <w:sz w:val="22"/>
                <w:szCs w:val="22"/>
              </w:rPr>
            </w:pPr>
            <w:r w:rsidRPr="00CC3F44">
              <w:rPr>
                <w:rFonts w:cs="Arial"/>
                <w:color w:val="E26B0A"/>
                <w:sz w:val="22"/>
                <w:szCs w:val="22"/>
              </w:rPr>
              <w:sym w:font="Wingdings" w:char="F06C"/>
            </w:r>
            <w:r w:rsidRPr="00CC3F44">
              <w:rPr>
                <w:rFonts w:cs="Arial"/>
                <w:color w:val="008000"/>
                <w:sz w:val="22"/>
                <w:szCs w:val="22"/>
              </w:rPr>
              <w:sym w:font="Wingdings" w:char="F06C"/>
            </w:r>
            <w:r w:rsidRPr="00CC3F44">
              <w:rPr>
                <w:rFonts w:cs="Arial"/>
                <w:color w:val="A6A6A6" w:themeColor="background1" w:themeShade="A6"/>
                <w:sz w:val="22"/>
                <w:szCs w:val="22"/>
              </w:rPr>
              <w:sym w:font="Wingdings" w:char="F06C"/>
            </w:r>
          </w:p>
        </w:tc>
      </w:tr>
      <w:tr w:rsidR="00103107" w:rsidRPr="00AF5E7C" w:rsidTr="00103107">
        <w:trPr>
          <w:cantSplit/>
          <w:trHeight w:val="399"/>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языков, на которых можно осуществлять межъязыковой поиск</w:t>
            </w:r>
          </w:p>
        </w:tc>
        <w:tc>
          <w:tcPr>
            <w:tcW w:w="880"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13 </w:t>
            </w:r>
          </w:p>
        </w:tc>
        <w:tc>
          <w:tcPr>
            <w:tcW w:w="4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472"/>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языковых пар, доступных для машинного перевода названий и рефератов</w:t>
            </w:r>
          </w:p>
        </w:tc>
        <w:tc>
          <w:tcPr>
            <w:tcW w:w="880"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13 </w:t>
            </w:r>
          </w:p>
        </w:tc>
        <w:tc>
          <w:tcPr>
            <w:tcW w:w="4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328"/>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активных зарегистрированных пользователей ARDI и ASPI</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14 </w:t>
            </w:r>
          </w:p>
        </w:tc>
        <w:tc>
          <w:tcPr>
            <w:tcW w:w="4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616"/>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пользователей, выразивших удовлетворение по поводу дополнительных информационных услуг (WPIS, ICE, запрос данных о семействе патентов и правовом статусе)</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14 </w:t>
            </w:r>
          </w:p>
        </w:tc>
        <w:tc>
          <w:tcPr>
            <w:tcW w:w="475" w:type="pct"/>
            <w:shd w:val="clear" w:color="auto" w:fill="FFFFFF"/>
          </w:tcPr>
          <w:p w:rsidR="00103107" w:rsidRPr="00CC3F44" w:rsidRDefault="00103107" w:rsidP="00103107">
            <w:pPr>
              <w:jc w:val="center"/>
            </w:pPr>
            <w:r w:rsidRPr="00CC3F44">
              <w:rPr>
                <w:rFonts w:cs="Arial"/>
                <w:sz w:val="22"/>
                <w:szCs w:val="22"/>
              </w:rPr>
              <w:sym w:font="Wingdings" w:char="F06C"/>
            </w:r>
          </w:p>
        </w:tc>
      </w:tr>
      <w:tr w:rsidR="00103107" w:rsidRPr="00AF5E7C" w:rsidTr="00103107">
        <w:trPr>
          <w:cantSplit/>
          <w:trHeight w:val="163"/>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Процент пользователей, выразивших удовлетворение по поводу ОПЛ</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14 </w:t>
            </w:r>
          </w:p>
        </w:tc>
        <w:tc>
          <w:tcPr>
            <w:tcW w:w="475" w:type="pct"/>
            <w:shd w:val="clear" w:color="auto" w:fill="FFFFFF"/>
          </w:tcPr>
          <w:p w:rsidR="00103107" w:rsidRPr="00CC3F44" w:rsidRDefault="00103107" w:rsidP="00103107">
            <w:pPr>
              <w:jc w:val="center"/>
            </w:pPr>
            <w:r w:rsidRPr="00CC3F44">
              <w:rPr>
                <w:rFonts w:cs="Arial"/>
                <w:color w:val="A6A6A6" w:themeColor="background1" w:themeShade="A6"/>
                <w:sz w:val="22"/>
                <w:szCs w:val="22"/>
              </w:rPr>
              <w:sym w:font="Wingdings" w:char="F06C"/>
            </w:r>
          </w:p>
        </w:tc>
      </w:tr>
      <w:tr w:rsidR="00103107" w:rsidRPr="00AF5E7C" w:rsidTr="00103107">
        <w:trPr>
          <w:cantSplit/>
          <w:trHeight w:val="445"/>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стран, которые провели верификацию данных и включили национальные основные лекарственные препараты в базу данных WIPO Essential</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18 </w:t>
            </w:r>
          </w:p>
        </w:tc>
        <w:tc>
          <w:tcPr>
            <w:tcW w:w="475" w:type="pct"/>
            <w:shd w:val="clear" w:color="auto" w:fill="FFFFFF"/>
          </w:tcPr>
          <w:p w:rsidR="00103107" w:rsidRPr="00CC3F44" w:rsidRDefault="00103107" w:rsidP="00103107">
            <w:pPr>
              <w:jc w:val="center"/>
            </w:pPr>
            <w:r w:rsidRPr="00CC3F44">
              <w:rPr>
                <w:rFonts w:cs="Arial"/>
                <w:sz w:val="22"/>
                <w:szCs w:val="22"/>
              </w:rPr>
              <w:sym w:font="Wingdings" w:char="F06C"/>
            </w:r>
          </w:p>
        </w:tc>
      </w:tr>
      <w:tr w:rsidR="00103107" w:rsidRPr="00AF5E7C" w:rsidTr="00103107">
        <w:trPr>
          <w:cantSplit/>
          <w:trHeight w:val="517"/>
        </w:trPr>
        <w:tc>
          <w:tcPr>
            <w:tcW w:w="1482" w:type="pct"/>
            <w:shd w:val="clear" w:color="auto" w:fill="auto"/>
            <w:tcMar>
              <w:top w:w="113" w:type="dxa"/>
              <w:bottom w:w="85" w:type="dxa"/>
            </w:tcMar>
          </w:tcPr>
          <w:p w:rsidR="00103107" w:rsidRPr="00AF5E7C" w:rsidRDefault="00103107" w:rsidP="00103107">
            <w:pPr>
              <w:keepNext/>
              <w:keepLines/>
              <w:rPr>
                <w:rFonts w:cs="Arial"/>
                <w:sz w:val="16"/>
                <w:szCs w:val="16"/>
              </w:rPr>
            </w:pPr>
          </w:p>
        </w:tc>
        <w:tc>
          <w:tcPr>
            <w:tcW w:w="2163" w:type="pct"/>
            <w:shd w:val="clear" w:color="auto" w:fill="auto"/>
            <w:tcMar>
              <w:top w:w="113" w:type="dxa"/>
              <w:bottom w:w="85" w:type="dxa"/>
            </w:tcMar>
          </w:tcPr>
          <w:p w:rsidR="00103107" w:rsidRPr="004F6688" w:rsidRDefault="00103107" w:rsidP="00103107">
            <w:pPr>
              <w:keepNext/>
              <w:keepLines/>
              <w:rPr>
                <w:rFonts w:cs="Arial"/>
                <w:sz w:val="16"/>
                <w:szCs w:val="16"/>
                <w:lang w:val="ru-RU"/>
              </w:rPr>
            </w:pPr>
            <w:r w:rsidRPr="003A588C">
              <w:rPr>
                <w:rFonts w:cs="Arial"/>
                <w:sz w:val="16"/>
                <w:szCs w:val="16"/>
                <w:lang w:val="ru-RU"/>
              </w:rPr>
              <w:t>Число пользователей глобальных баз данных ВОИС (PATENTSCOPE и Глобальной базы данных по брендам)</w:t>
            </w:r>
          </w:p>
        </w:tc>
        <w:tc>
          <w:tcPr>
            <w:tcW w:w="880" w:type="pct"/>
            <w:shd w:val="clear" w:color="auto" w:fill="FFFFFF"/>
            <w:tcMar>
              <w:top w:w="113" w:type="dxa"/>
              <w:bottom w:w="85" w:type="dxa"/>
            </w:tcMar>
          </w:tcPr>
          <w:p w:rsidR="00103107" w:rsidRPr="004F6688" w:rsidRDefault="00103107" w:rsidP="00103107">
            <w:pPr>
              <w:keepNext/>
              <w:keepLines/>
              <w:jc w:val="center"/>
              <w:rPr>
                <w:rFonts w:cs="Arial"/>
                <w:sz w:val="16"/>
                <w:szCs w:val="16"/>
                <w:lang w:val="ru-RU" w:bidi="th-TH"/>
              </w:rPr>
            </w:pPr>
            <w:r w:rsidRPr="003A588C">
              <w:rPr>
                <w:rFonts w:cs="Arial"/>
                <w:sz w:val="16"/>
                <w:szCs w:val="16"/>
                <w:lang w:val="ru-RU" w:bidi="th-TH"/>
              </w:rPr>
              <w:t xml:space="preserve">Программа 20 </w:t>
            </w:r>
          </w:p>
        </w:tc>
        <w:tc>
          <w:tcPr>
            <w:tcW w:w="475" w:type="pct"/>
            <w:shd w:val="clear" w:color="auto" w:fill="FFFFFF"/>
          </w:tcPr>
          <w:p w:rsidR="00103107" w:rsidRDefault="00103107" w:rsidP="00103107">
            <w:pPr>
              <w:keepNext/>
              <w:keepLines/>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FF0000"/>
                <w:sz w:val="22"/>
                <w:szCs w:val="22"/>
              </w:rPr>
              <w:sym w:font="Wingdings" w:char="F06C"/>
            </w:r>
            <w:r w:rsidRPr="00CC3F44">
              <w:rPr>
                <w:rFonts w:cs="Arial"/>
                <w:color w:val="008000"/>
                <w:sz w:val="22"/>
                <w:szCs w:val="22"/>
              </w:rPr>
              <w:sym w:font="Wingdings" w:char="F06C"/>
            </w:r>
          </w:p>
          <w:p w:rsidR="00103107" w:rsidRPr="00CC3F44" w:rsidRDefault="00103107" w:rsidP="00103107">
            <w:pPr>
              <w:keepNext/>
              <w:keepLines/>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AF5E7C" w:rsidTr="00103107">
        <w:trPr>
          <w:cantSplit/>
          <w:trHeight w:val="337"/>
        </w:trPr>
        <w:tc>
          <w:tcPr>
            <w:tcW w:w="1482" w:type="pct"/>
            <w:vMerge w:val="restart"/>
            <w:shd w:val="clear" w:color="auto" w:fill="auto"/>
            <w:tcMar>
              <w:top w:w="113" w:type="dxa"/>
              <w:bottom w:w="85" w:type="dxa"/>
            </w:tcMar>
          </w:tcPr>
          <w:p w:rsidR="00103107" w:rsidRPr="00AF5E7C" w:rsidRDefault="00103107" w:rsidP="00103107">
            <w:pPr>
              <w:keepNext/>
              <w:keepLines/>
              <w:rPr>
                <w:rFonts w:cs="Arial"/>
                <w:sz w:val="16"/>
                <w:szCs w:val="16"/>
              </w:rPr>
            </w:pPr>
          </w:p>
        </w:tc>
        <w:tc>
          <w:tcPr>
            <w:tcW w:w="2163" w:type="pct"/>
            <w:shd w:val="clear" w:color="auto" w:fill="auto"/>
            <w:tcMar>
              <w:top w:w="113" w:type="dxa"/>
              <w:bottom w:w="85" w:type="dxa"/>
            </w:tcMar>
          </w:tcPr>
          <w:p w:rsidR="00103107" w:rsidRPr="004F6688" w:rsidRDefault="00103107" w:rsidP="00103107">
            <w:pPr>
              <w:keepNext/>
              <w:keepLines/>
              <w:rPr>
                <w:rFonts w:cs="Arial"/>
                <w:sz w:val="16"/>
                <w:szCs w:val="16"/>
                <w:lang w:val="ru-RU"/>
              </w:rPr>
            </w:pPr>
            <w:r w:rsidRPr="003A588C">
              <w:rPr>
                <w:rFonts w:cs="Arial"/>
                <w:sz w:val="16"/>
                <w:szCs w:val="16"/>
                <w:lang w:val="ru-RU"/>
              </w:rPr>
              <w:t>Рост числа пользователей WIPO Lex</w:t>
            </w:r>
            <w:r w:rsidRPr="004F6688">
              <w:rPr>
                <w:rFonts w:cs="Arial"/>
                <w:sz w:val="16"/>
                <w:szCs w:val="16"/>
                <w:lang w:val="ru-RU"/>
              </w:rPr>
              <w:t xml:space="preserve"> </w:t>
            </w:r>
          </w:p>
        </w:tc>
        <w:tc>
          <w:tcPr>
            <w:tcW w:w="880" w:type="pct"/>
            <w:shd w:val="clear" w:color="auto" w:fill="FFFFFF"/>
            <w:tcMar>
              <w:top w:w="113" w:type="dxa"/>
              <w:bottom w:w="85" w:type="dxa"/>
            </w:tcMar>
          </w:tcPr>
          <w:p w:rsidR="00103107" w:rsidRPr="00AF5E7C" w:rsidRDefault="00103107" w:rsidP="00103107">
            <w:pPr>
              <w:keepNext/>
              <w:keepLines/>
              <w:jc w:val="center"/>
              <w:rPr>
                <w:rFonts w:cs="Arial"/>
                <w:sz w:val="16"/>
                <w:szCs w:val="16"/>
                <w:lang w:bidi="th-TH"/>
              </w:rPr>
            </w:pPr>
            <w:r w:rsidRPr="003A588C">
              <w:rPr>
                <w:rFonts w:cs="Arial"/>
                <w:sz w:val="16"/>
                <w:szCs w:val="16"/>
                <w:lang w:val="ru-RU" w:bidi="th-TH"/>
              </w:rPr>
              <w:t xml:space="preserve">Программа 21 </w:t>
            </w:r>
          </w:p>
        </w:tc>
        <w:tc>
          <w:tcPr>
            <w:tcW w:w="475" w:type="pct"/>
            <w:shd w:val="clear" w:color="auto" w:fill="FFFFFF"/>
          </w:tcPr>
          <w:p w:rsidR="00103107" w:rsidRPr="00CC3F44" w:rsidRDefault="00103107" w:rsidP="00103107">
            <w:pPr>
              <w:keepNext/>
              <w:keepLines/>
              <w:jc w:val="center"/>
            </w:pPr>
            <w:r w:rsidRPr="00CC3F44">
              <w:rPr>
                <w:rFonts w:cs="Arial"/>
                <w:color w:val="008000"/>
                <w:sz w:val="22"/>
                <w:szCs w:val="22"/>
              </w:rPr>
              <w:sym w:font="Wingdings" w:char="F06C"/>
            </w:r>
          </w:p>
        </w:tc>
      </w:tr>
      <w:tr w:rsidR="00103107" w:rsidRPr="00AF5E7C" w:rsidTr="00103107">
        <w:trPr>
          <w:cantSplit/>
          <w:trHeight w:val="346"/>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учрежденных или укрупненных БПТ при вузах и научно-исследовательских учреждениях</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30 </w:t>
            </w:r>
          </w:p>
          <w:p w:rsidR="00103107" w:rsidRPr="004F6688" w:rsidRDefault="00103107" w:rsidP="00103107">
            <w:pPr>
              <w:ind w:left="660"/>
              <w:jc w:val="center"/>
              <w:rPr>
                <w:rFonts w:cs="Arial"/>
                <w:sz w:val="16"/>
                <w:szCs w:val="16"/>
                <w:lang w:val="ru-RU" w:bidi="th-TH"/>
              </w:rPr>
            </w:pPr>
          </w:p>
        </w:tc>
        <w:tc>
          <w:tcPr>
            <w:tcW w:w="4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FF0000"/>
                <w:sz w:val="22"/>
                <w:szCs w:val="22"/>
              </w:rPr>
              <w:sym w:font="Wingdings" w:char="F06C"/>
            </w:r>
          </w:p>
        </w:tc>
      </w:tr>
      <w:tr w:rsidR="00103107" w:rsidRPr="00AF5E7C" w:rsidTr="00103107">
        <w:trPr>
          <w:cantSplit/>
          <w:trHeight w:val="409"/>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университетов и исследовательских учреждений, реализующих стратегии в области инноваций</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30 </w:t>
            </w:r>
          </w:p>
        </w:tc>
        <w:tc>
          <w:tcPr>
            <w:tcW w:w="4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AF5E7C" w:rsidTr="00103107">
        <w:trPr>
          <w:cantSplit/>
          <w:trHeight w:val="256"/>
        </w:trPr>
        <w:tc>
          <w:tcPr>
            <w:tcW w:w="1482" w:type="pct"/>
            <w:vMerge w:val="restart"/>
            <w:shd w:val="clear" w:color="auto" w:fill="auto"/>
            <w:tcMar>
              <w:top w:w="113" w:type="dxa"/>
              <w:bottom w:w="85" w:type="dxa"/>
            </w:tcMar>
          </w:tcPr>
          <w:p w:rsidR="00103107" w:rsidRPr="004F6688" w:rsidRDefault="00103107" w:rsidP="00103107">
            <w:pPr>
              <w:keepNext/>
              <w:rPr>
                <w:rFonts w:cs="Arial"/>
                <w:sz w:val="16"/>
                <w:szCs w:val="16"/>
                <w:lang w:val="ru-RU"/>
              </w:rPr>
            </w:pPr>
            <w:r w:rsidRPr="003A588C">
              <w:rPr>
                <w:rFonts w:cs="Arial"/>
                <w:sz w:val="16"/>
                <w:szCs w:val="16"/>
                <w:lang w:val="ru-RU"/>
              </w:rPr>
              <w:t>IV.3. Широкая географическая сфера охвата информационных ресурсов и использования глобальных баз данных ВОИС в области ИС</w:t>
            </w:r>
          </w:p>
        </w:tc>
        <w:tc>
          <w:tcPr>
            <w:tcW w:w="2163" w:type="pct"/>
            <w:shd w:val="clear" w:color="auto" w:fill="auto"/>
            <w:tcMar>
              <w:top w:w="113" w:type="dxa"/>
              <w:bottom w:w="85" w:type="dxa"/>
            </w:tcMar>
          </w:tcPr>
          <w:p w:rsidR="00103107" w:rsidRPr="004F6688" w:rsidRDefault="00103107" w:rsidP="00103107">
            <w:pPr>
              <w:keepNext/>
              <w:rPr>
                <w:rFonts w:cs="Arial"/>
                <w:sz w:val="16"/>
                <w:szCs w:val="16"/>
                <w:lang w:val="ru-RU"/>
              </w:rPr>
            </w:pPr>
            <w:r w:rsidRPr="003A588C">
              <w:rPr>
                <w:rFonts w:cs="Arial"/>
                <w:sz w:val="16"/>
                <w:szCs w:val="16"/>
                <w:lang w:val="ru-RU"/>
              </w:rPr>
              <w:t>Число записей, содержащихся в PATENTSCOPE</w:t>
            </w:r>
            <w:r w:rsidRPr="004F6688">
              <w:rPr>
                <w:rFonts w:cs="Arial"/>
                <w:sz w:val="16"/>
                <w:szCs w:val="16"/>
                <w:lang w:val="ru-RU"/>
              </w:rPr>
              <w:t xml:space="preserve"> </w:t>
            </w:r>
          </w:p>
        </w:tc>
        <w:tc>
          <w:tcPr>
            <w:tcW w:w="880" w:type="pct"/>
            <w:shd w:val="clear" w:color="auto" w:fill="FFFFFF"/>
            <w:tcMar>
              <w:top w:w="113" w:type="dxa"/>
              <w:bottom w:w="85" w:type="dxa"/>
            </w:tcMar>
          </w:tcPr>
          <w:p w:rsidR="00103107" w:rsidRPr="00AF5E7C" w:rsidRDefault="00103107" w:rsidP="00103107">
            <w:pPr>
              <w:keepNext/>
              <w:jc w:val="center"/>
              <w:rPr>
                <w:rFonts w:cs="Arial"/>
                <w:sz w:val="16"/>
                <w:szCs w:val="16"/>
                <w:lang w:bidi="th-TH"/>
              </w:rPr>
            </w:pPr>
            <w:r w:rsidRPr="003A588C">
              <w:rPr>
                <w:rFonts w:cs="Arial"/>
                <w:sz w:val="16"/>
                <w:szCs w:val="16"/>
                <w:lang w:val="ru-RU" w:bidi="th-TH"/>
              </w:rPr>
              <w:t xml:space="preserve">Программа 13 </w:t>
            </w:r>
          </w:p>
        </w:tc>
        <w:tc>
          <w:tcPr>
            <w:tcW w:w="475" w:type="pct"/>
            <w:shd w:val="clear" w:color="auto" w:fill="FFFFFF"/>
          </w:tcPr>
          <w:p w:rsidR="00103107" w:rsidRPr="00CC3F44" w:rsidRDefault="00103107" w:rsidP="00103107">
            <w:pPr>
              <w:keepNext/>
              <w:jc w:val="center"/>
            </w:pPr>
            <w:r w:rsidRPr="00CC3F44">
              <w:rPr>
                <w:rFonts w:cs="Arial"/>
                <w:color w:val="008000"/>
                <w:sz w:val="22"/>
                <w:szCs w:val="22"/>
              </w:rPr>
              <w:sym w:font="Wingdings" w:char="F06C"/>
            </w:r>
          </w:p>
        </w:tc>
      </w:tr>
      <w:tr w:rsidR="00103107" w:rsidRPr="00AF5E7C" w:rsidTr="00103107">
        <w:trPr>
          <w:cantSplit/>
          <w:trHeight w:val="337"/>
        </w:trPr>
        <w:tc>
          <w:tcPr>
            <w:tcW w:w="1482" w:type="pct"/>
            <w:vMerge/>
            <w:shd w:val="clear" w:color="auto" w:fill="auto"/>
            <w:tcMar>
              <w:top w:w="113" w:type="dxa"/>
              <w:bottom w:w="85" w:type="dxa"/>
            </w:tcMar>
          </w:tcPr>
          <w:p w:rsidR="00103107" w:rsidRPr="003E1C54"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записей, содержащихся в Глобальной базе данных по брендам</w:t>
            </w:r>
          </w:p>
        </w:tc>
        <w:tc>
          <w:tcPr>
            <w:tcW w:w="880" w:type="pct"/>
            <w:shd w:val="clear" w:color="auto" w:fill="FFFFFF"/>
            <w:tcMar>
              <w:top w:w="113" w:type="dxa"/>
              <w:bottom w:w="85" w:type="dxa"/>
            </w:tcMar>
          </w:tcPr>
          <w:p w:rsidR="00103107" w:rsidRDefault="00103107" w:rsidP="00103107">
            <w:pPr>
              <w:jc w:val="center"/>
              <w:rPr>
                <w:rFonts w:cs="Arial"/>
                <w:sz w:val="16"/>
                <w:szCs w:val="16"/>
                <w:lang w:bidi="th-TH"/>
              </w:rPr>
            </w:pPr>
            <w:r w:rsidRPr="003A588C">
              <w:rPr>
                <w:rFonts w:cs="Arial"/>
                <w:sz w:val="16"/>
                <w:szCs w:val="16"/>
                <w:lang w:val="ru-RU" w:bidi="th-TH"/>
              </w:rPr>
              <w:t xml:space="preserve">Программа 13 </w:t>
            </w:r>
          </w:p>
        </w:tc>
        <w:tc>
          <w:tcPr>
            <w:tcW w:w="4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AF5E7C" w:rsidTr="00103107">
        <w:trPr>
          <w:cantSplit/>
          <w:trHeight w:val="370"/>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национальных фондов в PATENTSCOPE</w:t>
            </w:r>
          </w:p>
        </w:tc>
        <w:tc>
          <w:tcPr>
            <w:tcW w:w="880"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13 </w:t>
            </w:r>
          </w:p>
        </w:tc>
        <w:tc>
          <w:tcPr>
            <w:tcW w:w="4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445"/>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национальных фондов в Глобальной базе данных по брендам</w:t>
            </w:r>
          </w:p>
        </w:tc>
        <w:tc>
          <w:tcPr>
            <w:tcW w:w="880"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13 </w:t>
            </w:r>
          </w:p>
        </w:tc>
        <w:tc>
          <w:tcPr>
            <w:tcW w:w="4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436"/>
        </w:trPr>
        <w:tc>
          <w:tcPr>
            <w:tcW w:w="1482"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IV.4. Совершенствование технической инфраструктуры и инфраструктуры знаний для ведомств ИС и других учреждений ИС, ведущее к предоставлению улучшенных услуг (более дешевых, более быстрых, более качественных) их заинтересованным сторонам</w:t>
            </w: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правительств и ОКУ, подписавших соглашение с ВОИС о реорганизации WIPOCOS</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475"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AF5E7C" w:rsidTr="00103107">
        <w:trPr>
          <w:cantSplit/>
          <w:trHeight w:val="144"/>
        </w:trPr>
        <w:tc>
          <w:tcPr>
            <w:tcW w:w="1482" w:type="pct"/>
            <w:vMerge/>
            <w:shd w:val="clear" w:color="auto" w:fill="auto"/>
            <w:tcMar>
              <w:top w:w="113" w:type="dxa"/>
              <w:bottom w:w="85" w:type="dxa"/>
            </w:tcMar>
          </w:tcPr>
          <w:p w:rsidR="00103107" w:rsidRPr="00B004F2" w:rsidRDefault="00103107" w:rsidP="00103107">
            <w:pPr>
              <w:rPr>
                <w:rFonts w:cs="Arial"/>
                <w:sz w:val="16"/>
                <w:szCs w:val="16"/>
              </w:rPr>
            </w:pPr>
          </w:p>
        </w:tc>
        <w:tc>
          <w:tcPr>
            <w:tcW w:w="2163"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ОКУ в развивающихся странах и НРС, принимающих участие в региональных и глобальных сетях при содействии ВОИС</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475" w:type="pct"/>
            <w:shd w:val="clear" w:color="auto" w:fill="FFFFFF"/>
          </w:tcPr>
          <w:p w:rsidR="00103107" w:rsidRPr="00CC3F44" w:rsidRDefault="00103107" w:rsidP="00103107">
            <w:pPr>
              <w:spacing w:before="40"/>
              <w:jc w:val="center"/>
              <w:rPr>
                <w:rFonts w:cs="Arial"/>
                <w:color w:val="008000"/>
                <w:sz w:val="22"/>
                <w:szCs w:val="22"/>
              </w:rPr>
            </w:pPr>
            <w:r w:rsidRPr="00CC3F44">
              <w:rPr>
                <w:rFonts w:cs="Arial"/>
                <w:color w:val="008000"/>
                <w:sz w:val="22"/>
                <w:szCs w:val="22"/>
              </w:rPr>
              <w:sym w:font="Wingdings" w:char="F06C"/>
            </w:r>
          </w:p>
        </w:tc>
      </w:tr>
      <w:tr w:rsidR="00103107" w:rsidRPr="00AF5E7C" w:rsidTr="00103107">
        <w:trPr>
          <w:cantSplit/>
          <w:trHeight w:val="144"/>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vMerge/>
            <w:shd w:val="clear" w:color="auto" w:fill="auto"/>
            <w:tcMar>
              <w:top w:w="113" w:type="dxa"/>
              <w:bottom w:w="85" w:type="dxa"/>
            </w:tcMar>
          </w:tcPr>
          <w:p w:rsidR="00103107" w:rsidRPr="000900E1" w:rsidRDefault="00103107" w:rsidP="00103107">
            <w:pPr>
              <w:rPr>
                <w:rFonts w:cs="Arial"/>
                <w:sz w:val="16"/>
                <w:szCs w:val="16"/>
              </w:rPr>
            </w:pP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15 </w:t>
            </w:r>
          </w:p>
        </w:tc>
        <w:tc>
          <w:tcPr>
            <w:tcW w:w="475" w:type="pct"/>
            <w:shd w:val="clear" w:color="auto" w:fill="FFFFFF"/>
          </w:tcPr>
          <w:p w:rsidR="00103107" w:rsidRPr="00CC3F44" w:rsidRDefault="00103107" w:rsidP="00103107">
            <w:pPr>
              <w:jc w:val="center"/>
              <w:rPr>
                <w:rFonts w:cs="Arial"/>
                <w:color w:val="008000"/>
                <w:sz w:val="22"/>
                <w:szCs w:val="22"/>
              </w:rPr>
            </w:pPr>
            <w:r w:rsidRPr="00CC3F44">
              <w:rPr>
                <w:rFonts w:cs="Arial"/>
                <w:color w:val="FF0000"/>
                <w:sz w:val="22"/>
                <w:szCs w:val="22"/>
              </w:rPr>
              <w:sym w:font="Wingdings" w:char="F06C"/>
            </w:r>
          </w:p>
        </w:tc>
      </w:tr>
      <w:tr w:rsidR="00103107" w:rsidRPr="00AF5E7C" w:rsidTr="00103107">
        <w:trPr>
          <w:cantSplit/>
          <w:trHeight w:val="598"/>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Процент правительств, положительно отозвавшихся о повышении эффективности (и совершенствовании управления) авторско-правовых ведомств и других учреждений страны</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475" w:type="pct"/>
            <w:shd w:val="clear" w:color="auto" w:fill="FFFFFF"/>
          </w:tcPr>
          <w:p w:rsidR="00103107" w:rsidRPr="00CC3F44" w:rsidRDefault="00103107" w:rsidP="00103107">
            <w:pPr>
              <w:spacing w:before="40"/>
              <w:jc w:val="center"/>
              <w:rPr>
                <w:rFonts w:cs="Arial"/>
                <w:color w:val="008000"/>
                <w:sz w:val="22"/>
                <w:szCs w:val="22"/>
              </w:rPr>
            </w:pPr>
            <w:r w:rsidRPr="00CC3F44">
              <w:rPr>
                <w:rFonts w:cs="Arial"/>
                <w:color w:val="008000"/>
                <w:sz w:val="22"/>
                <w:szCs w:val="22"/>
              </w:rPr>
              <w:sym w:font="Wingdings" w:char="F06C"/>
            </w:r>
          </w:p>
        </w:tc>
      </w:tr>
      <w:tr w:rsidR="00103107" w:rsidRPr="00AF5E7C" w:rsidTr="00103107">
        <w:trPr>
          <w:cantSplit/>
          <w:trHeight w:val="363"/>
        </w:trPr>
        <w:tc>
          <w:tcPr>
            <w:tcW w:w="1482" w:type="pct"/>
            <w:shd w:val="clear" w:color="auto" w:fill="auto"/>
            <w:tcMar>
              <w:top w:w="113" w:type="dxa"/>
              <w:bottom w:w="85" w:type="dxa"/>
            </w:tcMar>
          </w:tcPr>
          <w:p w:rsidR="00103107" w:rsidRPr="00AF5E7C" w:rsidRDefault="00103107" w:rsidP="00103107">
            <w:pPr>
              <w:rPr>
                <w:rFonts w:cs="Arial"/>
                <w:sz w:val="16"/>
                <w:szCs w:val="16"/>
              </w:rPr>
            </w:pPr>
          </w:p>
        </w:tc>
        <w:tc>
          <w:tcPr>
            <w:tcW w:w="2163"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ведомств, использующих платформы инфраструктуры ВОИС</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15 </w:t>
            </w:r>
          </w:p>
        </w:tc>
        <w:tc>
          <w:tcPr>
            <w:tcW w:w="475" w:type="pct"/>
            <w:shd w:val="clear" w:color="auto" w:fill="FFFFFF"/>
          </w:tcPr>
          <w:p w:rsidR="00103107" w:rsidRPr="00CC3F44" w:rsidRDefault="00103107" w:rsidP="00103107">
            <w:pPr>
              <w:spacing w:before="40"/>
              <w:jc w:val="center"/>
              <w:rPr>
                <w:rFonts w:cs="Arial"/>
                <w:color w:val="008000"/>
                <w:sz w:val="22"/>
                <w:szCs w:val="22"/>
              </w:rPr>
            </w:pPr>
            <w:r w:rsidRPr="00CC3F44">
              <w:rPr>
                <w:rFonts w:cs="Arial"/>
                <w:color w:val="008000"/>
                <w:sz w:val="22"/>
                <w:szCs w:val="22"/>
              </w:rPr>
              <w:sym w:font="Wingdings" w:char="F06C"/>
            </w:r>
          </w:p>
        </w:tc>
      </w:tr>
      <w:tr w:rsidR="00103107" w:rsidRPr="00AF5E7C" w:rsidTr="00103107">
        <w:trPr>
          <w:cantSplit/>
          <w:trHeight w:val="256"/>
        </w:trPr>
        <w:tc>
          <w:tcPr>
            <w:tcW w:w="1482" w:type="pct"/>
            <w:vMerge w:val="restart"/>
            <w:shd w:val="clear" w:color="auto" w:fill="auto"/>
            <w:tcMar>
              <w:top w:w="113" w:type="dxa"/>
              <w:bottom w:w="85" w:type="dxa"/>
            </w:tcMar>
          </w:tcPr>
          <w:p w:rsidR="00103107" w:rsidRPr="00AF5E7C" w:rsidRDefault="00103107" w:rsidP="00103107">
            <w:pPr>
              <w:rPr>
                <w:rFonts w:cs="Arial"/>
                <w:sz w:val="16"/>
                <w:szCs w:val="16"/>
              </w:rPr>
            </w:pPr>
          </w:p>
        </w:tc>
        <w:tc>
          <w:tcPr>
            <w:tcW w:w="2163"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Средний уровень услуг ведомств ИС, получавших помощь (оценка от 1 до 5)</w:t>
            </w: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9 </w:t>
            </w:r>
          </w:p>
        </w:tc>
        <w:tc>
          <w:tcPr>
            <w:tcW w:w="4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AF5E7C" w:rsidTr="00103107">
        <w:trPr>
          <w:cantSplit/>
          <w:trHeight w:val="254"/>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vMerge/>
            <w:shd w:val="clear" w:color="auto" w:fill="auto"/>
            <w:tcMar>
              <w:top w:w="113" w:type="dxa"/>
              <w:bottom w:w="85" w:type="dxa"/>
            </w:tcMar>
          </w:tcPr>
          <w:p w:rsidR="00103107" w:rsidRPr="005362F0" w:rsidRDefault="00103107" w:rsidP="00103107">
            <w:pPr>
              <w:rPr>
                <w:rFonts w:cs="Arial"/>
                <w:sz w:val="16"/>
                <w:szCs w:val="16"/>
              </w:rPr>
            </w:pP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10 </w:t>
            </w:r>
          </w:p>
        </w:tc>
        <w:tc>
          <w:tcPr>
            <w:tcW w:w="475" w:type="pct"/>
            <w:shd w:val="clear" w:color="auto" w:fill="FFFFFF"/>
          </w:tcPr>
          <w:p w:rsidR="00103107" w:rsidRPr="00CC3F44" w:rsidRDefault="00103107" w:rsidP="00103107">
            <w:pPr>
              <w:spacing w:before="40"/>
              <w:jc w:val="center"/>
              <w:rPr>
                <w:rFonts w:cs="Arial"/>
                <w:color w:val="008000"/>
                <w:sz w:val="22"/>
                <w:szCs w:val="22"/>
              </w:rPr>
            </w:pPr>
            <w:r w:rsidRPr="00CC3F44">
              <w:rPr>
                <w:rFonts w:cs="Arial"/>
                <w:color w:val="008000"/>
                <w:sz w:val="22"/>
                <w:szCs w:val="22"/>
              </w:rPr>
              <w:sym w:font="Wingdings" w:char="F06C"/>
            </w:r>
          </w:p>
        </w:tc>
      </w:tr>
      <w:tr w:rsidR="00103107" w:rsidRPr="00AF5E7C" w:rsidTr="00103107">
        <w:trPr>
          <w:cantSplit/>
          <w:trHeight w:val="254"/>
        </w:trPr>
        <w:tc>
          <w:tcPr>
            <w:tcW w:w="1482" w:type="pct"/>
            <w:vMerge/>
            <w:shd w:val="clear" w:color="auto" w:fill="auto"/>
            <w:tcMar>
              <w:top w:w="113" w:type="dxa"/>
              <w:bottom w:w="85" w:type="dxa"/>
            </w:tcMar>
          </w:tcPr>
          <w:p w:rsidR="00103107" w:rsidRPr="00AF5E7C" w:rsidRDefault="00103107" w:rsidP="00103107">
            <w:pPr>
              <w:rPr>
                <w:rFonts w:cs="Arial"/>
                <w:sz w:val="16"/>
                <w:szCs w:val="16"/>
              </w:rPr>
            </w:pPr>
          </w:p>
        </w:tc>
        <w:tc>
          <w:tcPr>
            <w:tcW w:w="2163" w:type="pct"/>
            <w:vMerge/>
            <w:shd w:val="clear" w:color="auto" w:fill="auto"/>
            <w:tcMar>
              <w:top w:w="113" w:type="dxa"/>
              <w:bottom w:w="85" w:type="dxa"/>
            </w:tcMar>
          </w:tcPr>
          <w:p w:rsidR="00103107" w:rsidRPr="005362F0" w:rsidRDefault="00103107" w:rsidP="00103107">
            <w:pPr>
              <w:rPr>
                <w:rFonts w:cs="Arial"/>
                <w:sz w:val="16"/>
                <w:szCs w:val="16"/>
              </w:rPr>
            </w:pPr>
          </w:p>
        </w:tc>
        <w:tc>
          <w:tcPr>
            <w:tcW w:w="880"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15 </w:t>
            </w:r>
          </w:p>
        </w:tc>
        <w:tc>
          <w:tcPr>
            <w:tcW w:w="4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bl>
    <w:p w:rsidR="00103107" w:rsidRDefault="00103107" w:rsidP="00103107"/>
    <w:p w:rsidR="00C2795A" w:rsidRDefault="00C2795A" w:rsidP="00C2795A"/>
    <w:p w:rsidR="00B22C7E" w:rsidRDefault="00B22C7E"/>
    <w:p w:rsidR="00B22C7E" w:rsidRDefault="00B22C7E"/>
    <w:p w:rsidR="00B22C7E" w:rsidRDefault="00B22C7E"/>
    <w:p w:rsidR="00B22C7E" w:rsidRDefault="00B22C7E">
      <w:r>
        <w:br w:type="page"/>
      </w:r>
    </w:p>
    <w:p w:rsidR="0055116C" w:rsidRPr="0055116C" w:rsidRDefault="0055116C" w:rsidP="008A6A50">
      <w:pPr>
        <w:pStyle w:val="Heading2"/>
        <w:tabs>
          <w:tab w:val="clear" w:pos="567"/>
          <w:tab w:val="left" w:pos="1985"/>
        </w:tabs>
        <w:rPr>
          <w:lang w:val="ru-RU"/>
        </w:rPr>
      </w:pPr>
      <w:bookmarkStart w:id="90" w:name="_Toc422210496"/>
      <w:bookmarkStart w:id="91" w:name="_Toc455388120"/>
      <w:r w:rsidRPr="0055116C">
        <w:rPr>
          <w:lang w:val="ru-RU"/>
        </w:rPr>
        <w:t>ПРОГРАММА</w:t>
      </w:r>
      <w:r>
        <w:t> </w:t>
      </w:r>
      <w:r w:rsidRPr="0055116C">
        <w:rPr>
          <w:lang w:val="ru-RU"/>
        </w:rPr>
        <w:t>12</w:t>
      </w:r>
      <w:r w:rsidRPr="0055116C">
        <w:rPr>
          <w:lang w:val="ru-RU"/>
        </w:rPr>
        <w:tab/>
        <w:t xml:space="preserve"> МЕЖДУНАРОДНЫЕ КЛАССИФИКАЦИИ И СТАНДАРТЫ</w:t>
      </w:r>
      <w:bookmarkEnd w:id="90"/>
      <w:bookmarkEnd w:id="91"/>
    </w:p>
    <w:p w:rsidR="0055116C" w:rsidRPr="0055116C" w:rsidRDefault="0055116C" w:rsidP="0055116C">
      <w:pPr>
        <w:jc w:val="both"/>
        <w:rPr>
          <w:szCs w:val="20"/>
          <w:lang w:val="ru-RU"/>
        </w:rPr>
      </w:pPr>
    </w:p>
    <w:p w:rsidR="0055116C" w:rsidRPr="0055116C" w:rsidRDefault="0055116C" w:rsidP="0055116C">
      <w:pPr>
        <w:tabs>
          <w:tab w:val="left" w:pos="1985"/>
        </w:tabs>
        <w:jc w:val="both"/>
        <w:rPr>
          <w:b/>
          <w:szCs w:val="22"/>
          <w:lang w:val="ru-RU"/>
        </w:rPr>
      </w:pPr>
      <w:r w:rsidRPr="0055116C">
        <w:rPr>
          <w:b/>
          <w:lang w:val="ru-RU"/>
        </w:rPr>
        <w:t xml:space="preserve">Руководитель программы: </w:t>
      </w:r>
      <w:r w:rsidRPr="0055116C">
        <w:rPr>
          <w:lang w:val="ru-RU"/>
        </w:rPr>
        <w:tab/>
      </w:r>
      <w:r w:rsidRPr="0055116C">
        <w:rPr>
          <w:b/>
          <w:lang w:val="ru-RU"/>
        </w:rPr>
        <w:t>г-н Ё. Такаги</w:t>
      </w:r>
    </w:p>
    <w:p w:rsidR="0055116C" w:rsidRPr="0055116C" w:rsidRDefault="0055116C" w:rsidP="0055116C">
      <w:pPr>
        <w:jc w:val="both"/>
        <w:rPr>
          <w:szCs w:val="20"/>
          <w:lang w:val="ru-RU"/>
        </w:rPr>
      </w:pPr>
    </w:p>
    <w:p w:rsidR="0055116C" w:rsidRPr="0055116C" w:rsidRDefault="0055116C" w:rsidP="0055116C">
      <w:pPr>
        <w:jc w:val="both"/>
        <w:rPr>
          <w:szCs w:val="20"/>
          <w:lang w:val="ru-RU"/>
        </w:rPr>
      </w:pPr>
    </w:p>
    <w:p w:rsidR="0055116C" w:rsidRPr="0055116C" w:rsidRDefault="0055116C" w:rsidP="0055116C">
      <w:pPr>
        <w:jc w:val="both"/>
        <w:rPr>
          <w:bCs/>
          <w:szCs w:val="20"/>
          <w:lang w:val="ru-RU"/>
        </w:rPr>
      </w:pPr>
      <w:r w:rsidRPr="0055116C">
        <w:rPr>
          <w:lang w:val="ru-RU"/>
        </w:rPr>
        <w:t>ОБЗОР ДОСТИЖЕНИЙ ЗА ДВУХЛЕТНИЙ ПЕРИОД 2014–2015 ГГ.</w:t>
      </w:r>
    </w:p>
    <w:p w:rsidR="0055116C" w:rsidRPr="0055116C" w:rsidRDefault="0055116C" w:rsidP="0055116C">
      <w:pPr>
        <w:pStyle w:val="Default"/>
        <w:rPr>
          <w:lang w:val="ru-RU"/>
        </w:rPr>
      </w:pPr>
    </w:p>
    <w:p w:rsidR="0055116C" w:rsidRPr="0055116C" w:rsidRDefault="0055116C" w:rsidP="0055116C">
      <w:pPr>
        <w:pStyle w:val="Default"/>
        <w:numPr>
          <w:ilvl w:val="0"/>
          <w:numId w:val="28"/>
        </w:numPr>
        <w:ind w:left="0" w:firstLine="0"/>
        <w:jc w:val="both"/>
        <w:rPr>
          <w:sz w:val="20"/>
          <w:szCs w:val="20"/>
          <w:lang w:val="ru-RU"/>
        </w:rPr>
      </w:pPr>
      <w:r w:rsidRPr="0055116C">
        <w:rPr>
          <w:sz w:val="20"/>
          <w:lang w:val="ru-RU"/>
        </w:rPr>
        <w:t>Несмотря на неравномерный прогресс в 2014</w:t>
      </w:r>
      <w:r>
        <w:rPr>
          <w:sz w:val="20"/>
        </w:rPr>
        <w:t> </w:t>
      </w:r>
      <w:r w:rsidRPr="0055116C">
        <w:rPr>
          <w:sz w:val="20"/>
          <w:lang w:val="ru-RU"/>
        </w:rPr>
        <w:t>г., ситуация в сфере международных классификаций и стандартов ВОИС в области ИС значительно улучшилась в 2015</w:t>
      </w:r>
      <w:r>
        <w:rPr>
          <w:sz w:val="20"/>
        </w:rPr>
        <w:t> </w:t>
      </w:r>
      <w:r w:rsidRPr="0055116C">
        <w:rPr>
          <w:sz w:val="20"/>
          <w:lang w:val="ru-RU"/>
        </w:rPr>
        <w:t>г.: в некоторых областях результаты превзошли ожидания, хотя в других областях наблюдалось отставание.</w:t>
      </w:r>
    </w:p>
    <w:p w:rsidR="0055116C" w:rsidRPr="0055116C" w:rsidRDefault="0055116C" w:rsidP="0055116C">
      <w:pPr>
        <w:pStyle w:val="Default"/>
        <w:jc w:val="both"/>
        <w:rPr>
          <w:sz w:val="20"/>
          <w:szCs w:val="20"/>
          <w:lang w:val="ru-RU"/>
        </w:rPr>
      </w:pPr>
    </w:p>
    <w:p w:rsidR="0055116C" w:rsidRPr="0055116C" w:rsidRDefault="0055116C" w:rsidP="0055116C">
      <w:pPr>
        <w:pStyle w:val="Default"/>
        <w:numPr>
          <w:ilvl w:val="0"/>
          <w:numId w:val="28"/>
        </w:numPr>
        <w:ind w:left="0" w:firstLine="0"/>
        <w:jc w:val="both"/>
        <w:rPr>
          <w:sz w:val="20"/>
          <w:szCs w:val="20"/>
          <w:lang w:val="ru-RU"/>
        </w:rPr>
      </w:pPr>
      <w:r w:rsidRPr="0055116C">
        <w:rPr>
          <w:sz w:val="20"/>
          <w:lang w:val="ru-RU"/>
        </w:rPr>
        <w:t>Что касается Ниццкой классификации (</w:t>
      </w:r>
      <w:r>
        <w:rPr>
          <w:sz w:val="20"/>
        </w:rPr>
        <w:t>NCL</w:t>
      </w:r>
      <w:r w:rsidRPr="0055116C">
        <w:rPr>
          <w:sz w:val="20"/>
          <w:lang w:val="ru-RU"/>
        </w:rPr>
        <w:t>), то в рассматриваемый двухлетний период было внесено в общей сложности 1</w:t>
      </w:r>
      <w:r>
        <w:rPr>
          <w:sz w:val="20"/>
        </w:rPr>
        <w:t> </w:t>
      </w:r>
      <w:r w:rsidRPr="0055116C">
        <w:rPr>
          <w:sz w:val="20"/>
          <w:lang w:val="ru-RU"/>
        </w:rPr>
        <w:t>480</w:t>
      </w:r>
      <w:r>
        <w:rPr>
          <w:sz w:val="20"/>
        </w:rPr>
        <w:t> </w:t>
      </w:r>
      <w:r w:rsidRPr="0055116C">
        <w:rPr>
          <w:sz w:val="20"/>
          <w:lang w:val="ru-RU"/>
        </w:rPr>
        <w:t>новых поправок и 48</w:t>
      </w:r>
      <w:r>
        <w:rPr>
          <w:sz w:val="20"/>
        </w:rPr>
        <w:t> </w:t>
      </w:r>
      <w:r w:rsidRPr="0055116C">
        <w:rPr>
          <w:sz w:val="20"/>
          <w:lang w:val="ru-RU"/>
        </w:rPr>
        <w:t>информационных дополнений.  По сравнению с 2012–2013</w:t>
      </w:r>
      <w:r>
        <w:rPr>
          <w:sz w:val="20"/>
        </w:rPr>
        <w:t> </w:t>
      </w:r>
      <w:r w:rsidRPr="0055116C">
        <w:rPr>
          <w:sz w:val="20"/>
          <w:lang w:val="ru-RU"/>
        </w:rPr>
        <w:t xml:space="preserve">гг. число поправок возросло на 94%. Кроме того, официальная версия </w:t>
      </w:r>
      <w:r>
        <w:rPr>
          <w:sz w:val="20"/>
        </w:rPr>
        <w:t>NCL </w:t>
      </w:r>
      <w:r w:rsidRPr="0055116C">
        <w:rPr>
          <w:sz w:val="20"/>
          <w:lang w:val="ru-RU"/>
        </w:rPr>
        <w:t>10-2016 на испанском языке стала доступна в том же формате, что и аутентичные публикации на английском и французском языках. Все прошлые издания (от первого до девятого) стали также доступны в новом формате.</w:t>
      </w:r>
    </w:p>
    <w:p w:rsidR="0055116C" w:rsidRPr="0055116C" w:rsidRDefault="0055116C" w:rsidP="0055116C">
      <w:pPr>
        <w:pStyle w:val="Default"/>
        <w:jc w:val="both"/>
        <w:rPr>
          <w:sz w:val="20"/>
          <w:szCs w:val="20"/>
          <w:lang w:val="ru-RU"/>
        </w:rPr>
      </w:pPr>
    </w:p>
    <w:p w:rsidR="0055116C" w:rsidRPr="0055116C" w:rsidRDefault="0055116C" w:rsidP="0055116C">
      <w:pPr>
        <w:pStyle w:val="Default"/>
        <w:numPr>
          <w:ilvl w:val="0"/>
          <w:numId w:val="28"/>
        </w:numPr>
        <w:ind w:left="0" w:firstLine="0"/>
        <w:jc w:val="both"/>
        <w:rPr>
          <w:sz w:val="20"/>
          <w:szCs w:val="20"/>
          <w:lang w:val="ru-RU"/>
        </w:rPr>
      </w:pPr>
      <w:r w:rsidRPr="0055116C">
        <w:rPr>
          <w:sz w:val="20"/>
          <w:lang w:val="ru-RU"/>
        </w:rPr>
        <w:t>Что касается Международной патентной классификации (МПК), то в апреле 2014</w:t>
      </w:r>
      <w:r>
        <w:rPr>
          <w:sz w:val="20"/>
        </w:rPr>
        <w:t> </w:t>
      </w:r>
      <w:r w:rsidRPr="0055116C">
        <w:rPr>
          <w:sz w:val="20"/>
          <w:lang w:val="ru-RU"/>
        </w:rPr>
        <w:t>г. в целях содействия использованию этой системы была запущена новая платформа для публикаций, включающая в себя новый инструмент поиска и опцию параллельного просмотра МПК/СПК/</w:t>
      </w:r>
      <w:r>
        <w:rPr>
          <w:sz w:val="20"/>
        </w:rPr>
        <w:t>FI</w:t>
      </w:r>
      <w:r w:rsidRPr="0055116C">
        <w:rPr>
          <w:sz w:val="20"/>
          <w:lang w:val="ru-RU"/>
        </w:rPr>
        <w:t>.  В связи с увеличением числа проектов по пересмотру МПК, инициированных ведомствами группы «</w:t>
      </w:r>
      <w:r>
        <w:rPr>
          <w:sz w:val="20"/>
        </w:rPr>
        <w:t>IP</w:t>
      </w:r>
      <w:r w:rsidRPr="0055116C">
        <w:rPr>
          <w:sz w:val="20"/>
          <w:lang w:val="ru-RU"/>
        </w:rPr>
        <w:t>5» и сообществом МПК, число новых подразделов, введенных в 2015</w:t>
      </w:r>
      <w:r>
        <w:rPr>
          <w:sz w:val="20"/>
        </w:rPr>
        <w:t> </w:t>
      </w:r>
      <w:r w:rsidRPr="0055116C">
        <w:rPr>
          <w:sz w:val="20"/>
          <w:lang w:val="ru-RU"/>
        </w:rPr>
        <w:t>г. (1</w:t>
      </w:r>
      <w:r>
        <w:rPr>
          <w:sz w:val="20"/>
        </w:rPr>
        <w:t> </w:t>
      </w:r>
      <w:r w:rsidRPr="0055116C">
        <w:rPr>
          <w:sz w:val="20"/>
          <w:lang w:val="ru-RU"/>
        </w:rPr>
        <w:t>031) превысило ежегодные целевые показатели на 28 процентов, что свидетельствовало о восстановлении после снижения в 2014</w:t>
      </w:r>
      <w:r>
        <w:rPr>
          <w:sz w:val="20"/>
        </w:rPr>
        <w:t> </w:t>
      </w:r>
      <w:r w:rsidRPr="0055116C">
        <w:rPr>
          <w:sz w:val="20"/>
          <w:lang w:val="ru-RU"/>
        </w:rPr>
        <w:t xml:space="preserve">г. и позволило достичь целевых показателей. </w:t>
      </w:r>
    </w:p>
    <w:p w:rsidR="0055116C" w:rsidRPr="0055116C" w:rsidRDefault="0055116C" w:rsidP="0055116C">
      <w:pPr>
        <w:pStyle w:val="Default"/>
        <w:jc w:val="both"/>
        <w:rPr>
          <w:sz w:val="20"/>
          <w:szCs w:val="20"/>
          <w:lang w:val="ru-RU"/>
        </w:rPr>
      </w:pPr>
    </w:p>
    <w:p w:rsidR="0055116C" w:rsidRPr="0055116C" w:rsidRDefault="0055116C" w:rsidP="0055116C">
      <w:pPr>
        <w:pStyle w:val="Default"/>
        <w:numPr>
          <w:ilvl w:val="0"/>
          <w:numId w:val="28"/>
        </w:numPr>
        <w:ind w:left="0" w:firstLine="0"/>
        <w:jc w:val="both"/>
        <w:rPr>
          <w:sz w:val="20"/>
          <w:szCs w:val="20"/>
          <w:lang w:val="ru-RU"/>
        </w:rPr>
      </w:pPr>
      <w:r w:rsidRPr="0055116C">
        <w:rPr>
          <w:sz w:val="20"/>
          <w:lang w:val="ru-RU"/>
        </w:rPr>
        <w:t>Комитету по стандартам ВОИС (КСВ) на своей четвертой сессии не удалось утвердить повестку дня, вследствие чего неофициально согласованные решения официально приняты не были.  Несмотря на такое затруднение, в 2014</w:t>
      </w:r>
      <w:r>
        <w:rPr>
          <w:sz w:val="20"/>
        </w:rPr>
        <w:t> </w:t>
      </w:r>
      <w:r w:rsidRPr="0055116C">
        <w:rPr>
          <w:sz w:val="20"/>
          <w:lang w:val="ru-RU"/>
        </w:rPr>
        <w:t>г. был принят один новый стандарт, и один стандарт был пересмотрен в неофициальном порядке.  Эта тупиковая ситуация сохранилась и в 2015</w:t>
      </w:r>
      <w:r>
        <w:rPr>
          <w:sz w:val="20"/>
        </w:rPr>
        <w:t> </w:t>
      </w:r>
      <w:r w:rsidRPr="0055116C">
        <w:rPr>
          <w:sz w:val="20"/>
          <w:lang w:val="ru-RU"/>
        </w:rPr>
        <w:t>г., из-за чего не удалось обеспечить официальное утверждение новых стандартов.  Тем не менее, неофициальная работа по решению конкретных задач продолжалась в рамках целевых групп, групп, состоящих из экспертов, которые были назначены членами КСВ и наблюдателями.  Ожидается, что несколько стандартов будут утверждены после возобновления работы КСВ в 2016</w:t>
      </w:r>
      <w:r>
        <w:rPr>
          <w:sz w:val="20"/>
        </w:rPr>
        <w:t> </w:t>
      </w:r>
      <w:r w:rsidRPr="0055116C">
        <w:rPr>
          <w:sz w:val="20"/>
          <w:lang w:val="ru-RU"/>
        </w:rPr>
        <w:t>г.</w:t>
      </w:r>
    </w:p>
    <w:p w:rsidR="0055116C" w:rsidRPr="0055116C" w:rsidRDefault="0055116C" w:rsidP="0055116C">
      <w:pPr>
        <w:pStyle w:val="Default"/>
        <w:jc w:val="both"/>
        <w:rPr>
          <w:sz w:val="20"/>
          <w:szCs w:val="20"/>
          <w:lang w:val="ru-RU"/>
        </w:rPr>
      </w:pPr>
    </w:p>
    <w:p w:rsidR="0055116C" w:rsidRPr="0055116C" w:rsidRDefault="0055116C" w:rsidP="0055116C">
      <w:pPr>
        <w:pStyle w:val="Default"/>
        <w:numPr>
          <w:ilvl w:val="0"/>
          <w:numId w:val="28"/>
        </w:numPr>
        <w:ind w:left="0" w:firstLine="0"/>
        <w:jc w:val="both"/>
        <w:rPr>
          <w:sz w:val="20"/>
          <w:szCs w:val="20"/>
          <w:lang w:val="ru-RU"/>
        </w:rPr>
      </w:pPr>
      <w:r w:rsidRPr="0055116C">
        <w:rPr>
          <w:sz w:val="20"/>
          <w:lang w:val="ru-RU"/>
        </w:rPr>
        <w:t>Наблюдался устойчивый рост использования онлайновых инструментов доступа к публикациям о классификациях и стандартах: количество обращений к публикациям МПК значительно выросло (на 107% по сравнению с 2013</w:t>
      </w:r>
      <w:r>
        <w:rPr>
          <w:sz w:val="20"/>
        </w:rPr>
        <w:t> </w:t>
      </w:r>
      <w:r w:rsidRPr="0055116C">
        <w:rPr>
          <w:sz w:val="20"/>
          <w:lang w:val="ru-RU"/>
        </w:rPr>
        <w:t>г.) благодаря включению пересмотренных классификаций и новых инструментов.  Количество обращений к публикациям Ниццкой классификации, к Локарнской и Венской классификациям также возросло на 14</w:t>
      </w:r>
      <w:r>
        <w:rPr>
          <w:sz w:val="20"/>
        </w:rPr>
        <w:t> </w:t>
      </w:r>
      <w:r w:rsidRPr="0055116C">
        <w:rPr>
          <w:sz w:val="20"/>
          <w:lang w:val="ru-RU"/>
        </w:rPr>
        <w:t>процентов, 39,1</w:t>
      </w:r>
      <w:r>
        <w:rPr>
          <w:sz w:val="20"/>
        </w:rPr>
        <w:t> </w:t>
      </w:r>
      <w:r w:rsidRPr="0055116C">
        <w:rPr>
          <w:sz w:val="20"/>
          <w:lang w:val="ru-RU"/>
        </w:rPr>
        <w:t>процента и 7,4</w:t>
      </w:r>
      <w:r>
        <w:rPr>
          <w:sz w:val="20"/>
        </w:rPr>
        <w:t> </w:t>
      </w:r>
      <w:r w:rsidRPr="0055116C">
        <w:rPr>
          <w:sz w:val="20"/>
          <w:lang w:val="ru-RU"/>
        </w:rPr>
        <w:t>процента соответственно.  Число обращений к главной странице Ниццкой классификации оставалось на стабильном уровне, а число обращений к главной странице МПК снизилось на 6,6</w:t>
      </w:r>
      <w:r>
        <w:rPr>
          <w:sz w:val="20"/>
        </w:rPr>
        <w:t> </w:t>
      </w:r>
      <w:r w:rsidRPr="0055116C">
        <w:rPr>
          <w:sz w:val="20"/>
          <w:lang w:val="ru-RU"/>
        </w:rPr>
        <w:t>процента.  Число посещений Справочника по стандартам ВОИС также снизилось по сравнению с 2013</w:t>
      </w:r>
      <w:r>
        <w:rPr>
          <w:sz w:val="20"/>
        </w:rPr>
        <w:t> </w:t>
      </w:r>
      <w:r w:rsidRPr="0055116C">
        <w:rPr>
          <w:sz w:val="20"/>
          <w:lang w:val="ru-RU"/>
        </w:rPr>
        <w:t xml:space="preserve">г. на 26,7%, что, возможно, было связано с институциональными вызовами, с которыми столкнулся КСВ.  В целом во второй год двухлетнего периода были достигнуты более существенные результаты, чем в первый год.  </w:t>
      </w:r>
    </w:p>
    <w:p w:rsidR="0055116C" w:rsidRPr="0055116C" w:rsidRDefault="0055116C" w:rsidP="0055116C">
      <w:pPr>
        <w:pStyle w:val="Default"/>
        <w:jc w:val="both"/>
        <w:rPr>
          <w:sz w:val="16"/>
          <w:szCs w:val="20"/>
          <w:lang w:val="ru-RU"/>
        </w:rPr>
      </w:pPr>
    </w:p>
    <w:p w:rsidR="0055116C" w:rsidRPr="0055116C" w:rsidRDefault="0055116C" w:rsidP="0055116C">
      <w:pPr>
        <w:pStyle w:val="Default"/>
        <w:numPr>
          <w:ilvl w:val="0"/>
          <w:numId w:val="28"/>
        </w:numPr>
        <w:ind w:left="0" w:firstLine="0"/>
        <w:jc w:val="both"/>
        <w:rPr>
          <w:bCs/>
          <w:sz w:val="18"/>
          <w:szCs w:val="22"/>
          <w:lang w:val="ru-RU"/>
        </w:rPr>
      </w:pPr>
      <w:r w:rsidRPr="0055116C">
        <w:rPr>
          <w:sz w:val="20"/>
          <w:lang w:val="ru-RU"/>
        </w:rPr>
        <w:t>Работа в рамках программы 12 продолжала способствовать обеспечению доступа развивающихся стран к имеющейся в открытом доступе патентной информации, что содействовало выполнению рекомендаций 8, 30 и 31 ПДР.  Эта работа также способствовала усилиям, связанным с передачей технологии.  В период 2014–2015</w:t>
      </w:r>
      <w:r>
        <w:rPr>
          <w:sz w:val="20"/>
        </w:rPr>
        <w:t> </w:t>
      </w:r>
      <w:r w:rsidRPr="0055116C">
        <w:rPr>
          <w:sz w:val="20"/>
          <w:lang w:val="ru-RU"/>
        </w:rPr>
        <w:t>гг. доля обращений к домашней странице МПК, Ниццкой классификации, публикациям Ниццкой классификации и Справочнику по стандартам ВОИС из развивающихся стран значительно возросла: на 9,1</w:t>
      </w:r>
      <w:r>
        <w:rPr>
          <w:sz w:val="20"/>
        </w:rPr>
        <w:t> </w:t>
      </w:r>
      <w:r w:rsidRPr="0055116C">
        <w:rPr>
          <w:sz w:val="20"/>
          <w:lang w:val="ru-RU"/>
        </w:rPr>
        <w:t>процента, 36</w:t>
      </w:r>
      <w:r>
        <w:rPr>
          <w:sz w:val="20"/>
        </w:rPr>
        <w:t> </w:t>
      </w:r>
      <w:r w:rsidRPr="0055116C">
        <w:rPr>
          <w:sz w:val="20"/>
          <w:lang w:val="ru-RU"/>
        </w:rPr>
        <w:t>процентов, 11,7</w:t>
      </w:r>
      <w:r>
        <w:rPr>
          <w:sz w:val="20"/>
        </w:rPr>
        <w:t> </w:t>
      </w:r>
      <w:r w:rsidRPr="0055116C">
        <w:rPr>
          <w:sz w:val="20"/>
          <w:lang w:val="ru-RU"/>
        </w:rPr>
        <w:t>процента и 15,7</w:t>
      </w:r>
      <w:r>
        <w:rPr>
          <w:sz w:val="20"/>
        </w:rPr>
        <w:t> </w:t>
      </w:r>
      <w:r w:rsidRPr="0055116C">
        <w:rPr>
          <w:sz w:val="20"/>
          <w:lang w:val="ru-RU"/>
        </w:rPr>
        <w:t>процента соответственно, а к домашним страницам Локарнской и Венской классификаций – сократилась на 12,8</w:t>
      </w:r>
      <w:r>
        <w:rPr>
          <w:sz w:val="20"/>
        </w:rPr>
        <w:t> </w:t>
      </w:r>
      <w:r w:rsidRPr="0055116C">
        <w:rPr>
          <w:sz w:val="20"/>
          <w:lang w:val="ru-RU"/>
        </w:rPr>
        <w:t>процента и 31,1</w:t>
      </w:r>
      <w:r>
        <w:rPr>
          <w:sz w:val="20"/>
        </w:rPr>
        <w:t> </w:t>
      </w:r>
      <w:r w:rsidRPr="0055116C">
        <w:rPr>
          <w:sz w:val="20"/>
          <w:lang w:val="ru-RU"/>
        </w:rPr>
        <w:t>процента соответственно.</w:t>
      </w:r>
    </w:p>
    <w:p w:rsidR="0055116C" w:rsidRPr="0055116C" w:rsidRDefault="0055116C" w:rsidP="0055116C">
      <w:pPr>
        <w:jc w:val="both"/>
        <w:rPr>
          <w:rFonts w:cs="Arial"/>
          <w:sz w:val="22"/>
          <w:szCs w:val="22"/>
          <w:lang w:val="ru-RU"/>
        </w:rPr>
      </w:pPr>
    </w:p>
    <w:p w:rsidR="0055116C" w:rsidRPr="0055116C" w:rsidRDefault="0055116C" w:rsidP="0055116C">
      <w:pPr>
        <w:jc w:val="both"/>
        <w:rPr>
          <w:rFonts w:cs="Arial"/>
          <w:sz w:val="22"/>
          <w:szCs w:val="22"/>
          <w:lang w:val="ru-RU"/>
        </w:rPr>
      </w:pPr>
    </w:p>
    <w:p w:rsidR="0055116C" w:rsidRPr="00F61D62" w:rsidRDefault="0055116C" w:rsidP="0055116C">
      <w:pPr>
        <w:keepNext/>
        <w:keepLines/>
        <w:jc w:val="both"/>
        <w:rPr>
          <w:rFonts w:cs="Arial"/>
          <w:szCs w:val="22"/>
        </w:rPr>
      </w:pPr>
      <w:r>
        <w:t>ДАННЫЕ О РЕЗУЛЬТАТИВНОСТИ</w:t>
      </w:r>
    </w:p>
    <w:p w:rsidR="0055116C" w:rsidRDefault="0055116C" w:rsidP="0055116C">
      <w:pPr>
        <w:keepNext/>
        <w:keepLines/>
        <w:rPr>
          <w:bCs/>
          <w:sz w:val="22"/>
          <w:szCs w:val="22"/>
        </w:rPr>
      </w:pPr>
    </w:p>
    <w:tbl>
      <w:tblPr>
        <w:tblW w:w="5000"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36"/>
        <w:gridCol w:w="2234"/>
        <w:gridCol w:w="1487"/>
        <w:gridCol w:w="2427"/>
        <w:gridCol w:w="1187"/>
      </w:tblGrid>
      <w:tr w:rsidR="0055116C" w:rsidRPr="005C6ABD" w:rsidTr="0055116C">
        <w:tc>
          <w:tcPr>
            <w:tcW w:w="5000" w:type="pct"/>
            <w:gridSpan w:val="5"/>
            <w:tcBorders>
              <w:top w:val="single" w:sz="4" w:space="0" w:color="auto"/>
              <w:bottom w:val="single" w:sz="4" w:space="0" w:color="auto"/>
            </w:tcBorders>
            <w:shd w:val="clear" w:color="auto" w:fill="C6D9F1" w:themeFill="text2" w:themeFillTint="33"/>
            <w:vAlign w:val="center"/>
          </w:tcPr>
          <w:p w:rsidR="0055116C" w:rsidRPr="0055116C" w:rsidRDefault="0055116C" w:rsidP="00AD2B92">
            <w:pPr>
              <w:keepNext/>
              <w:keepLines/>
              <w:tabs>
                <w:tab w:val="left" w:pos="2302"/>
              </w:tabs>
              <w:spacing w:before="120" w:after="120"/>
              <w:ind w:left="2302" w:hanging="2302"/>
              <w:rPr>
                <w:rFonts w:cs="Arial"/>
                <w:b/>
                <w:bCs/>
                <w:sz w:val="16"/>
                <w:szCs w:val="16"/>
                <w:lang w:val="ru-RU"/>
              </w:rPr>
            </w:pPr>
            <w:r w:rsidRPr="0055116C">
              <w:rPr>
                <w:b/>
                <w:sz w:val="16"/>
                <w:szCs w:val="16"/>
                <w:lang w:val="ru-RU"/>
              </w:rPr>
              <w:t xml:space="preserve">Ожидаемый результат: </w:t>
            </w:r>
            <w:r w:rsidRPr="0055116C">
              <w:rPr>
                <w:sz w:val="16"/>
                <w:szCs w:val="16"/>
                <w:lang w:val="ru-RU"/>
              </w:rPr>
              <w:tab/>
            </w:r>
            <w:r w:rsidRPr="006A72EE">
              <w:rPr>
                <w:sz w:val="16"/>
                <w:szCs w:val="16"/>
              </w:rPr>
              <w:t>IV</w:t>
            </w:r>
            <w:r w:rsidRPr="0055116C">
              <w:rPr>
                <w:sz w:val="16"/>
                <w:szCs w:val="16"/>
                <w:lang w:val="ru-RU"/>
              </w:rPr>
              <w:t>.1 Обновленная и глобально признанная система</w:t>
            </w:r>
            <w:r w:rsidR="00AD2B92">
              <w:rPr>
                <w:sz w:val="16"/>
                <w:szCs w:val="16"/>
                <w:lang w:val="ru-RU"/>
              </w:rPr>
              <w:t xml:space="preserve"> международных классификаций и </w:t>
            </w:r>
            <w:r w:rsidRPr="0055116C">
              <w:rPr>
                <w:sz w:val="16"/>
                <w:szCs w:val="16"/>
                <w:lang w:val="ru-RU"/>
              </w:rPr>
              <w:t>стандартов ВОИС, облегчающая доступ, использование и рас</w:t>
            </w:r>
            <w:r w:rsidR="00AD2B92">
              <w:rPr>
                <w:sz w:val="16"/>
                <w:szCs w:val="16"/>
                <w:lang w:val="ru-RU"/>
              </w:rPr>
              <w:t xml:space="preserve">пространение информации в </w:t>
            </w:r>
            <w:r w:rsidRPr="0055116C">
              <w:rPr>
                <w:sz w:val="16"/>
                <w:szCs w:val="16"/>
                <w:lang w:val="ru-RU"/>
              </w:rPr>
              <w:t>области ИС среди заинтересованных сторон во всем мире.</w:t>
            </w:r>
          </w:p>
        </w:tc>
      </w:tr>
      <w:tr w:rsidR="0055116C" w:rsidRPr="006A72EE" w:rsidTr="00FE4E8D">
        <w:tc>
          <w:tcPr>
            <w:tcW w:w="1168" w:type="pct"/>
            <w:tcBorders>
              <w:top w:val="single" w:sz="4" w:space="0" w:color="auto"/>
            </w:tcBorders>
            <w:shd w:val="clear" w:color="auto" w:fill="auto"/>
            <w:vAlign w:val="center"/>
          </w:tcPr>
          <w:p w:rsidR="0055116C" w:rsidRPr="006A72EE" w:rsidRDefault="0055116C" w:rsidP="0055116C">
            <w:pPr>
              <w:keepNext/>
              <w:keepLines/>
              <w:rPr>
                <w:rFonts w:cs="Arial"/>
                <w:sz w:val="16"/>
                <w:szCs w:val="16"/>
              </w:rPr>
            </w:pPr>
            <w:r w:rsidRPr="006A72EE">
              <w:rPr>
                <w:b/>
                <w:sz w:val="16"/>
                <w:szCs w:val="16"/>
              </w:rPr>
              <w:t>Показатели результативности</w:t>
            </w:r>
          </w:p>
        </w:tc>
        <w:tc>
          <w:tcPr>
            <w:tcW w:w="1167" w:type="pct"/>
            <w:tcBorders>
              <w:top w:val="single" w:sz="4" w:space="0" w:color="auto"/>
            </w:tcBorders>
            <w:shd w:val="clear" w:color="auto" w:fill="auto"/>
            <w:vAlign w:val="center"/>
          </w:tcPr>
          <w:p w:rsidR="0055116C" w:rsidRPr="006A72EE" w:rsidRDefault="0055116C" w:rsidP="0055116C">
            <w:pPr>
              <w:keepNext/>
              <w:keepLines/>
              <w:rPr>
                <w:rFonts w:cs="Arial"/>
                <w:b/>
                <w:bCs/>
                <w:sz w:val="16"/>
                <w:szCs w:val="16"/>
              </w:rPr>
            </w:pPr>
            <w:r w:rsidRPr="006A72EE">
              <w:rPr>
                <w:b/>
                <w:sz w:val="16"/>
                <w:szCs w:val="16"/>
              </w:rPr>
              <w:t>Базовые показатели</w:t>
            </w:r>
          </w:p>
        </w:tc>
        <w:tc>
          <w:tcPr>
            <w:tcW w:w="777" w:type="pct"/>
            <w:tcBorders>
              <w:top w:val="single" w:sz="4" w:space="0" w:color="auto"/>
            </w:tcBorders>
            <w:shd w:val="clear" w:color="auto" w:fill="auto"/>
            <w:tcMar>
              <w:top w:w="110" w:type="dxa"/>
            </w:tcMar>
            <w:vAlign w:val="center"/>
          </w:tcPr>
          <w:p w:rsidR="0055116C" w:rsidRPr="006A72EE" w:rsidRDefault="0055116C" w:rsidP="0055116C">
            <w:pPr>
              <w:keepNext/>
              <w:keepLines/>
              <w:rPr>
                <w:rFonts w:cs="Arial"/>
                <w:b/>
                <w:sz w:val="16"/>
                <w:szCs w:val="16"/>
              </w:rPr>
            </w:pPr>
            <w:r w:rsidRPr="006A72EE">
              <w:rPr>
                <w:b/>
                <w:sz w:val="16"/>
                <w:szCs w:val="16"/>
              </w:rPr>
              <w:t>Цели</w:t>
            </w:r>
          </w:p>
        </w:tc>
        <w:tc>
          <w:tcPr>
            <w:tcW w:w="1268" w:type="pct"/>
            <w:tcBorders>
              <w:top w:val="single" w:sz="4" w:space="0" w:color="auto"/>
            </w:tcBorders>
            <w:shd w:val="clear" w:color="auto" w:fill="FFFFFF"/>
            <w:tcMar>
              <w:top w:w="110" w:type="dxa"/>
            </w:tcMar>
            <w:vAlign w:val="center"/>
          </w:tcPr>
          <w:p w:rsidR="0055116C" w:rsidRPr="006A72EE" w:rsidRDefault="0055116C" w:rsidP="0055116C">
            <w:pPr>
              <w:keepNext/>
              <w:keepLines/>
              <w:rPr>
                <w:rFonts w:cs="Arial"/>
                <w:sz w:val="16"/>
                <w:szCs w:val="16"/>
              </w:rPr>
            </w:pPr>
            <w:r w:rsidRPr="006A72EE">
              <w:rPr>
                <w:b/>
                <w:sz w:val="16"/>
                <w:szCs w:val="16"/>
              </w:rPr>
              <w:t>Данные о результативности</w:t>
            </w:r>
          </w:p>
        </w:tc>
        <w:tc>
          <w:tcPr>
            <w:tcW w:w="620" w:type="pct"/>
            <w:tcBorders>
              <w:top w:val="single" w:sz="4" w:space="0" w:color="auto"/>
            </w:tcBorders>
            <w:shd w:val="clear" w:color="auto" w:fill="auto"/>
            <w:tcMar>
              <w:top w:w="110" w:type="dxa"/>
            </w:tcMar>
            <w:vAlign w:val="center"/>
          </w:tcPr>
          <w:p w:rsidR="0055116C" w:rsidRPr="006A72EE" w:rsidRDefault="0055116C" w:rsidP="0055116C">
            <w:pPr>
              <w:keepNext/>
              <w:keepLines/>
              <w:jc w:val="center"/>
              <w:rPr>
                <w:rFonts w:cs="Arial"/>
                <w:b/>
                <w:bCs/>
                <w:sz w:val="16"/>
                <w:szCs w:val="16"/>
              </w:rPr>
            </w:pPr>
            <w:r w:rsidRPr="006A72EE">
              <w:rPr>
                <w:b/>
                <w:sz w:val="16"/>
                <w:szCs w:val="16"/>
              </w:rPr>
              <w:t>CC</w:t>
            </w:r>
          </w:p>
        </w:tc>
      </w:tr>
      <w:tr w:rsidR="0055116C" w:rsidRPr="006A72EE" w:rsidTr="00FE4E8D">
        <w:tc>
          <w:tcPr>
            <w:tcW w:w="1168" w:type="pct"/>
            <w:shd w:val="clear" w:color="auto" w:fill="auto"/>
          </w:tcPr>
          <w:p w:rsidR="0055116C" w:rsidRPr="0055116C" w:rsidRDefault="0055116C" w:rsidP="0055116C">
            <w:pPr>
              <w:keepNext/>
              <w:keepLines/>
              <w:rPr>
                <w:rFonts w:cs="Arial"/>
                <w:color w:val="000000"/>
                <w:sz w:val="16"/>
                <w:szCs w:val="16"/>
                <w:lang w:val="ru-RU"/>
              </w:rPr>
            </w:pPr>
            <w:r w:rsidRPr="0055116C">
              <w:rPr>
                <w:color w:val="000000"/>
                <w:sz w:val="16"/>
                <w:szCs w:val="16"/>
                <w:lang w:val="ru-RU"/>
              </w:rPr>
              <w:t>Число поправок к Ниццкой классификации и информационных дополнений</w:t>
            </w:r>
          </w:p>
        </w:tc>
        <w:tc>
          <w:tcPr>
            <w:tcW w:w="1167" w:type="pct"/>
            <w:shd w:val="clear" w:color="auto" w:fill="auto"/>
          </w:tcPr>
          <w:p w:rsidR="0055116C" w:rsidRPr="0055116C" w:rsidRDefault="0055116C" w:rsidP="0055116C">
            <w:pPr>
              <w:keepNext/>
              <w:keepLines/>
              <w:rPr>
                <w:rFonts w:cs="Arial"/>
                <w:color w:val="002060"/>
                <w:sz w:val="16"/>
                <w:szCs w:val="16"/>
                <w:lang w:val="ru-RU"/>
              </w:rPr>
            </w:pPr>
            <w:r w:rsidRPr="0055116C">
              <w:rPr>
                <w:i/>
                <w:color w:val="002060"/>
                <w:sz w:val="16"/>
                <w:szCs w:val="16"/>
                <w:lang w:val="ru-RU"/>
              </w:rPr>
              <w:t>Обновленные базовые показатели, конец 2013</w:t>
            </w:r>
            <w:r w:rsidRPr="006A72EE">
              <w:rPr>
                <w:i/>
                <w:color w:val="002060"/>
                <w:sz w:val="16"/>
                <w:szCs w:val="16"/>
              </w:rPr>
              <w:t> </w:t>
            </w:r>
            <w:r w:rsidRPr="0055116C">
              <w:rPr>
                <w:i/>
                <w:color w:val="002060"/>
                <w:sz w:val="16"/>
                <w:szCs w:val="16"/>
                <w:lang w:val="ru-RU"/>
              </w:rPr>
              <w:t xml:space="preserve">г.:  </w:t>
            </w:r>
          </w:p>
          <w:p w:rsidR="0055116C" w:rsidRPr="0055116C" w:rsidRDefault="0055116C" w:rsidP="0055116C">
            <w:pPr>
              <w:keepNext/>
              <w:keepLines/>
              <w:rPr>
                <w:rFonts w:cs="Arial"/>
                <w:color w:val="002060"/>
                <w:sz w:val="16"/>
                <w:szCs w:val="16"/>
                <w:lang w:val="ru-RU"/>
              </w:rPr>
            </w:pPr>
            <w:r w:rsidRPr="0055116C">
              <w:rPr>
                <w:color w:val="002060"/>
                <w:sz w:val="16"/>
                <w:szCs w:val="16"/>
                <w:lang w:val="ru-RU"/>
              </w:rPr>
              <w:t>423</w:t>
            </w:r>
            <w:r>
              <w:rPr>
                <w:color w:val="002060"/>
                <w:sz w:val="16"/>
                <w:szCs w:val="16"/>
              </w:rPr>
              <w:t> </w:t>
            </w:r>
            <w:r w:rsidRPr="0055116C">
              <w:rPr>
                <w:color w:val="002060"/>
                <w:sz w:val="16"/>
                <w:szCs w:val="16"/>
                <w:lang w:val="ru-RU"/>
              </w:rPr>
              <w:t>поправки в 2013</w:t>
            </w:r>
            <w:r w:rsidRPr="006A72EE">
              <w:rPr>
                <w:color w:val="002060"/>
                <w:sz w:val="16"/>
                <w:szCs w:val="16"/>
              </w:rPr>
              <w:t> </w:t>
            </w:r>
            <w:r w:rsidRPr="0055116C">
              <w:rPr>
                <w:color w:val="002060"/>
                <w:sz w:val="16"/>
                <w:szCs w:val="16"/>
                <w:lang w:val="ru-RU"/>
              </w:rPr>
              <w:t>г.</w:t>
            </w:r>
            <w:r w:rsidRPr="006A72EE">
              <w:rPr>
                <w:rStyle w:val="FootnoteReference"/>
                <w:color w:val="002060"/>
              </w:rPr>
              <w:footnoteReference w:id="81"/>
            </w:r>
          </w:p>
          <w:p w:rsidR="0055116C" w:rsidRPr="0055116C" w:rsidRDefault="0055116C" w:rsidP="0055116C">
            <w:pPr>
              <w:keepNext/>
              <w:keepLines/>
              <w:rPr>
                <w:rFonts w:cs="Arial"/>
                <w:color w:val="002060"/>
                <w:sz w:val="16"/>
                <w:szCs w:val="16"/>
                <w:lang w:val="ru-RU"/>
              </w:rPr>
            </w:pPr>
            <w:r w:rsidRPr="0055116C">
              <w:rPr>
                <w:color w:val="002060"/>
                <w:sz w:val="16"/>
                <w:szCs w:val="16"/>
                <w:lang w:val="ru-RU"/>
              </w:rPr>
              <w:t>339</w:t>
            </w:r>
            <w:r>
              <w:rPr>
                <w:color w:val="002060"/>
                <w:sz w:val="16"/>
                <w:szCs w:val="16"/>
              </w:rPr>
              <w:t> </w:t>
            </w:r>
            <w:r w:rsidRPr="0055116C">
              <w:rPr>
                <w:color w:val="002060"/>
                <w:sz w:val="16"/>
                <w:szCs w:val="16"/>
                <w:lang w:val="ru-RU"/>
              </w:rPr>
              <w:t>поправок в 2012</w:t>
            </w:r>
            <w:r w:rsidRPr="006A72EE">
              <w:rPr>
                <w:color w:val="002060"/>
                <w:sz w:val="16"/>
                <w:szCs w:val="16"/>
              </w:rPr>
              <w:t> </w:t>
            </w:r>
            <w:r w:rsidRPr="0055116C">
              <w:rPr>
                <w:color w:val="002060"/>
                <w:sz w:val="16"/>
                <w:szCs w:val="16"/>
                <w:lang w:val="ru-RU"/>
              </w:rPr>
              <w:t>г.</w:t>
            </w:r>
          </w:p>
          <w:p w:rsidR="0055116C" w:rsidRPr="0055116C" w:rsidRDefault="0055116C" w:rsidP="0055116C">
            <w:pPr>
              <w:keepNext/>
              <w:keepLines/>
              <w:rPr>
                <w:rFonts w:cs="Arial"/>
                <w:color w:val="002060"/>
                <w:sz w:val="16"/>
                <w:szCs w:val="16"/>
                <w:lang w:val="ru-RU"/>
              </w:rPr>
            </w:pPr>
          </w:p>
          <w:p w:rsidR="0055116C" w:rsidRPr="0055116C" w:rsidRDefault="0055116C" w:rsidP="0055116C">
            <w:pPr>
              <w:keepNext/>
              <w:keepLines/>
              <w:rPr>
                <w:rFonts w:cs="Arial"/>
                <w:i/>
                <w:color w:val="002060"/>
                <w:sz w:val="16"/>
                <w:szCs w:val="16"/>
                <w:lang w:val="ru-RU"/>
              </w:rPr>
            </w:pPr>
            <w:r w:rsidRPr="0055116C">
              <w:rPr>
                <w:color w:val="002060"/>
                <w:sz w:val="16"/>
                <w:szCs w:val="16"/>
                <w:lang w:val="ru-RU"/>
              </w:rPr>
              <w:t>9</w:t>
            </w:r>
            <w:r w:rsidRPr="006A72EE">
              <w:rPr>
                <w:color w:val="002060"/>
                <w:sz w:val="16"/>
                <w:szCs w:val="16"/>
              </w:rPr>
              <w:t> </w:t>
            </w:r>
            <w:r w:rsidRPr="0055116C">
              <w:rPr>
                <w:color w:val="002060"/>
                <w:sz w:val="16"/>
                <w:szCs w:val="16"/>
                <w:lang w:val="ru-RU"/>
              </w:rPr>
              <w:t>информационных дополнений пересмотрено и 17</w:t>
            </w:r>
            <w:r w:rsidRPr="006A72EE">
              <w:rPr>
                <w:color w:val="002060"/>
                <w:sz w:val="16"/>
                <w:szCs w:val="16"/>
              </w:rPr>
              <w:t> </w:t>
            </w:r>
            <w:r w:rsidRPr="0055116C">
              <w:rPr>
                <w:color w:val="002060"/>
                <w:sz w:val="16"/>
                <w:szCs w:val="16"/>
                <w:lang w:val="ru-RU"/>
              </w:rPr>
              <w:t>новых информационных дополнений внесено</w:t>
            </w:r>
          </w:p>
          <w:p w:rsidR="0055116C" w:rsidRPr="0055116C" w:rsidRDefault="0055116C" w:rsidP="0055116C">
            <w:pPr>
              <w:keepNext/>
              <w:keepLines/>
              <w:rPr>
                <w:rFonts w:cs="Arial"/>
                <w:i/>
                <w:sz w:val="16"/>
                <w:szCs w:val="16"/>
                <w:lang w:val="ru-RU"/>
              </w:rPr>
            </w:pPr>
          </w:p>
          <w:p w:rsidR="0055116C" w:rsidRPr="0055116C" w:rsidRDefault="0055116C" w:rsidP="0055116C">
            <w:pPr>
              <w:keepNext/>
              <w:keepLines/>
              <w:rPr>
                <w:rFonts w:cs="Arial"/>
                <w:sz w:val="16"/>
                <w:szCs w:val="16"/>
                <w:lang w:val="ru-RU"/>
              </w:rPr>
            </w:pPr>
            <w:r w:rsidRPr="0055116C">
              <w:rPr>
                <w:i/>
                <w:sz w:val="16"/>
                <w:szCs w:val="16"/>
                <w:lang w:val="ru-RU"/>
              </w:rPr>
              <w:t>Исходные базовые показатели ПиБ на 2014–2015 гг.:</w:t>
            </w:r>
            <w:r w:rsidRPr="0055116C">
              <w:rPr>
                <w:sz w:val="16"/>
                <w:szCs w:val="16"/>
                <w:lang w:val="ru-RU"/>
              </w:rPr>
              <w:t xml:space="preserve"> число поправок и информационных дополнений, внесенных в 2013</w:t>
            </w:r>
            <w:r w:rsidRPr="006A72EE">
              <w:rPr>
                <w:sz w:val="16"/>
                <w:szCs w:val="16"/>
              </w:rPr>
              <w:t> </w:t>
            </w:r>
            <w:r w:rsidRPr="0055116C">
              <w:rPr>
                <w:sz w:val="16"/>
                <w:szCs w:val="16"/>
                <w:lang w:val="ru-RU"/>
              </w:rPr>
              <w:t>г.</w:t>
            </w:r>
          </w:p>
          <w:p w:rsidR="0055116C" w:rsidRPr="0055116C" w:rsidRDefault="0055116C" w:rsidP="0055116C">
            <w:pPr>
              <w:keepNext/>
              <w:keepLines/>
              <w:rPr>
                <w:rFonts w:cs="Arial"/>
                <w:sz w:val="16"/>
                <w:szCs w:val="16"/>
                <w:lang w:val="ru-RU"/>
              </w:rPr>
            </w:pPr>
          </w:p>
        </w:tc>
        <w:tc>
          <w:tcPr>
            <w:tcW w:w="777" w:type="pct"/>
            <w:shd w:val="clear" w:color="auto" w:fill="auto"/>
            <w:tcMar>
              <w:top w:w="110" w:type="dxa"/>
            </w:tcMar>
          </w:tcPr>
          <w:p w:rsidR="0055116C" w:rsidRPr="0055116C" w:rsidRDefault="0055116C" w:rsidP="0055116C">
            <w:pPr>
              <w:keepNext/>
              <w:keepLines/>
              <w:rPr>
                <w:rFonts w:cs="Arial"/>
                <w:sz w:val="16"/>
                <w:szCs w:val="16"/>
                <w:lang w:val="ru-RU"/>
              </w:rPr>
            </w:pPr>
            <w:r w:rsidRPr="0055116C">
              <w:rPr>
                <w:sz w:val="16"/>
                <w:szCs w:val="16"/>
                <w:lang w:val="ru-RU"/>
              </w:rPr>
              <w:t>Увеличение по сравнению с базовыми показателями</w:t>
            </w:r>
          </w:p>
        </w:tc>
        <w:tc>
          <w:tcPr>
            <w:tcW w:w="1268" w:type="pct"/>
            <w:shd w:val="clear" w:color="auto" w:fill="FFFFFF"/>
            <w:tcMar>
              <w:top w:w="110" w:type="dxa"/>
            </w:tcMar>
          </w:tcPr>
          <w:p w:rsidR="0055116C" w:rsidRPr="0055116C" w:rsidRDefault="0055116C" w:rsidP="0055116C">
            <w:pPr>
              <w:pStyle w:val="Default"/>
              <w:keepNext/>
              <w:keepLines/>
              <w:rPr>
                <w:sz w:val="16"/>
                <w:szCs w:val="16"/>
                <w:lang w:val="ru-RU"/>
              </w:rPr>
            </w:pPr>
            <w:r w:rsidRPr="0055116C">
              <w:rPr>
                <w:sz w:val="16"/>
                <w:szCs w:val="16"/>
                <w:lang w:val="ru-RU"/>
              </w:rPr>
              <w:t>1</w:t>
            </w:r>
            <w:r>
              <w:rPr>
                <w:sz w:val="16"/>
                <w:szCs w:val="16"/>
              </w:rPr>
              <w:t> </w:t>
            </w:r>
            <w:r w:rsidRPr="0055116C">
              <w:rPr>
                <w:sz w:val="16"/>
                <w:szCs w:val="16"/>
                <w:lang w:val="ru-RU"/>
              </w:rPr>
              <w:t>480</w:t>
            </w:r>
            <w:r>
              <w:rPr>
                <w:sz w:val="16"/>
                <w:szCs w:val="16"/>
              </w:rPr>
              <w:t> </w:t>
            </w:r>
            <w:r w:rsidRPr="0055116C">
              <w:rPr>
                <w:sz w:val="16"/>
                <w:szCs w:val="16"/>
                <w:lang w:val="ru-RU"/>
              </w:rPr>
              <w:t>поправок в течение двухлетнего периода:</w:t>
            </w:r>
          </w:p>
          <w:p w:rsidR="0055116C" w:rsidRPr="006A72EE" w:rsidRDefault="0055116C" w:rsidP="0055116C">
            <w:pPr>
              <w:pStyle w:val="Default"/>
              <w:keepNext/>
              <w:keepLines/>
              <w:rPr>
                <w:sz w:val="16"/>
                <w:szCs w:val="16"/>
              </w:rPr>
            </w:pPr>
            <w:r>
              <w:rPr>
                <w:sz w:val="16"/>
                <w:szCs w:val="16"/>
              </w:rPr>
              <w:t>560 </w:t>
            </w:r>
            <w:r w:rsidRPr="006A72EE">
              <w:rPr>
                <w:sz w:val="16"/>
                <w:szCs w:val="16"/>
              </w:rPr>
              <w:t>поправок в 2014 г.</w:t>
            </w:r>
            <w:r w:rsidRPr="006A72EE">
              <w:rPr>
                <w:rStyle w:val="FootnoteReference"/>
              </w:rPr>
              <w:footnoteReference w:id="82"/>
            </w:r>
          </w:p>
          <w:p w:rsidR="0055116C" w:rsidRPr="006A72EE" w:rsidRDefault="0055116C" w:rsidP="0055116C">
            <w:pPr>
              <w:pStyle w:val="Default"/>
              <w:keepNext/>
              <w:keepLines/>
              <w:numPr>
                <w:ilvl w:val="0"/>
                <w:numId w:val="27"/>
              </w:numPr>
              <w:rPr>
                <w:sz w:val="16"/>
                <w:szCs w:val="16"/>
              </w:rPr>
            </w:pPr>
            <w:r w:rsidRPr="006A72EE">
              <w:rPr>
                <w:sz w:val="16"/>
                <w:szCs w:val="16"/>
              </w:rPr>
              <w:t>274</w:t>
            </w:r>
            <w:r>
              <w:rPr>
                <w:sz w:val="16"/>
                <w:szCs w:val="16"/>
              </w:rPr>
              <w:t> </w:t>
            </w:r>
            <w:r w:rsidRPr="006A72EE">
              <w:rPr>
                <w:sz w:val="16"/>
                <w:szCs w:val="16"/>
              </w:rPr>
              <w:t>поправки в английском тексте</w:t>
            </w:r>
          </w:p>
          <w:p w:rsidR="0055116C" w:rsidRPr="006A72EE" w:rsidRDefault="0055116C" w:rsidP="0055116C">
            <w:pPr>
              <w:pStyle w:val="Default"/>
              <w:keepNext/>
              <w:keepLines/>
              <w:numPr>
                <w:ilvl w:val="0"/>
                <w:numId w:val="27"/>
              </w:numPr>
              <w:rPr>
                <w:sz w:val="16"/>
                <w:szCs w:val="16"/>
              </w:rPr>
            </w:pPr>
            <w:r>
              <w:rPr>
                <w:sz w:val="16"/>
                <w:szCs w:val="16"/>
              </w:rPr>
              <w:t>286 </w:t>
            </w:r>
            <w:r w:rsidRPr="006A72EE">
              <w:rPr>
                <w:sz w:val="16"/>
                <w:szCs w:val="16"/>
              </w:rPr>
              <w:t>поправок во французском тексте</w:t>
            </w:r>
          </w:p>
          <w:p w:rsidR="0055116C" w:rsidRPr="006A72EE" w:rsidRDefault="0055116C" w:rsidP="0055116C">
            <w:pPr>
              <w:pStyle w:val="Default"/>
              <w:keepNext/>
              <w:keepLines/>
              <w:rPr>
                <w:sz w:val="16"/>
                <w:szCs w:val="16"/>
              </w:rPr>
            </w:pPr>
            <w:r>
              <w:rPr>
                <w:sz w:val="16"/>
                <w:szCs w:val="16"/>
              </w:rPr>
              <w:t>920 </w:t>
            </w:r>
            <w:r w:rsidRPr="006A72EE">
              <w:rPr>
                <w:sz w:val="16"/>
                <w:szCs w:val="16"/>
              </w:rPr>
              <w:t>поправок в 2015 г.</w:t>
            </w:r>
          </w:p>
          <w:p w:rsidR="0055116C" w:rsidRPr="006A72EE" w:rsidRDefault="0055116C" w:rsidP="0055116C">
            <w:pPr>
              <w:pStyle w:val="Default"/>
              <w:keepNext/>
              <w:keepLines/>
              <w:numPr>
                <w:ilvl w:val="0"/>
                <w:numId w:val="27"/>
              </w:numPr>
              <w:rPr>
                <w:sz w:val="16"/>
                <w:szCs w:val="16"/>
              </w:rPr>
            </w:pPr>
            <w:r>
              <w:rPr>
                <w:sz w:val="16"/>
                <w:szCs w:val="16"/>
              </w:rPr>
              <w:t>496 </w:t>
            </w:r>
            <w:r w:rsidRPr="006A72EE">
              <w:rPr>
                <w:sz w:val="16"/>
                <w:szCs w:val="16"/>
              </w:rPr>
              <w:t>поправок в английском тексте</w:t>
            </w:r>
          </w:p>
          <w:p w:rsidR="0055116C" w:rsidRPr="006A72EE" w:rsidRDefault="0055116C" w:rsidP="0055116C">
            <w:pPr>
              <w:pStyle w:val="Default"/>
              <w:keepNext/>
              <w:keepLines/>
              <w:numPr>
                <w:ilvl w:val="0"/>
                <w:numId w:val="27"/>
              </w:numPr>
              <w:rPr>
                <w:sz w:val="16"/>
                <w:szCs w:val="16"/>
              </w:rPr>
            </w:pPr>
            <w:r>
              <w:rPr>
                <w:sz w:val="16"/>
                <w:szCs w:val="16"/>
              </w:rPr>
              <w:t>424 </w:t>
            </w:r>
            <w:r w:rsidRPr="006A72EE">
              <w:rPr>
                <w:sz w:val="16"/>
                <w:szCs w:val="16"/>
              </w:rPr>
              <w:t>поправки во французском тексте</w:t>
            </w:r>
          </w:p>
          <w:p w:rsidR="0055116C" w:rsidRPr="006A72EE" w:rsidRDefault="0055116C" w:rsidP="0055116C">
            <w:pPr>
              <w:keepNext/>
              <w:keepLines/>
              <w:rPr>
                <w:sz w:val="16"/>
                <w:szCs w:val="16"/>
              </w:rPr>
            </w:pPr>
          </w:p>
          <w:p w:rsidR="0055116C" w:rsidRPr="006A72EE" w:rsidRDefault="0055116C" w:rsidP="0055116C">
            <w:pPr>
              <w:keepNext/>
              <w:keepLines/>
              <w:rPr>
                <w:sz w:val="16"/>
                <w:szCs w:val="16"/>
              </w:rPr>
            </w:pPr>
            <w:r>
              <w:rPr>
                <w:sz w:val="16"/>
                <w:szCs w:val="16"/>
              </w:rPr>
              <w:t>43 информационных дополнения</w:t>
            </w:r>
            <w:r w:rsidRPr="006A72EE">
              <w:rPr>
                <w:sz w:val="16"/>
                <w:szCs w:val="16"/>
              </w:rPr>
              <w:t xml:space="preserve"> пересмотрено </w:t>
            </w:r>
          </w:p>
          <w:p w:rsidR="0055116C" w:rsidRPr="006A72EE" w:rsidRDefault="0055116C" w:rsidP="0055116C">
            <w:pPr>
              <w:pStyle w:val="Default"/>
              <w:keepNext/>
              <w:keepLines/>
              <w:numPr>
                <w:ilvl w:val="0"/>
                <w:numId w:val="26"/>
              </w:numPr>
              <w:rPr>
                <w:sz w:val="16"/>
                <w:szCs w:val="16"/>
              </w:rPr>
            </w:pPr>
            <w:r w:rsidRPr="006A72EE">
              <w:rPr>
                <w:sz w:val="16"/>
                <w:szCs w:val="16"/>
              </w:rPr>
              <w:t>39 (2014 г.)</w:t>
            </w:r>
          </w:p>
          <w:p w:rsidR="0055116C" w:rsidRPr="006A72EE" w:rsidRDefault="0055116C" w:rsidP="0055116C">
            <w:pPr>
              <w:pStyle w:val="Default"/>
              <w:keepNext/>
              <w:keepLines/>
              <w:numPr>
                <w:ilvl w:val="0"/>
                <w:numId w:val="26"/>
              </w:numPr>
              <w:rPr>
                <w:sz w:val="16"/>
                <w:szCs w:val="16"/>
              </w:rPr>
            </w:pPr>
            <w:r w:rsidRPr="006A72EE">
              <w:rPr>
                <w:sz w:val="16"/>
                <w:szCs w:val="16"/>
              </w:rPr>
              <w:t>4 (2015 г.)</w:t>
            </w:r>
          </w:p>
          <w:p w:rsidR="0055116C" w:rsidRPr="006A72EE" w:rsidRDefault="0055116C" w:rsidP="0055116C">
            <w:pPr>
              <w:pStyle w:val="Default"/>
              <w:keepNext/>
              <w:keepLines/>
              <w:rPr>
                <w:sz w:val="16"/>
                <w:szCs w:val="16"/>
              </w:rPr>
            </w:pPr>
          </w:p>
          <w:p w:rsidR="0055116C" w:rsidRPr="006A72EE" w:rsidRDefault="0055116C" w:rsidP="0055116C">
            <w:pPr>
              <w:pStyle w:val="Default"/>
              <w:keepNext/>
              <w:keepLines/>
              <w:rPr>
                <w:sz w:val="16"/>
                <w:szCs w:val="16"/>
              </w:rPr>
            </w:pPr>
            <w:r>
              <w:rPr>
                <w:sz w:val="16"/>
                <w:szCs w:val="16"/>
              </w:rPr>
              <w:t>25 </w:t>
            </w:r>
            <w:r w:rsidRPr="006A72EE">
              <w:rPr>
                <w:sz w:val="16"/>
                <w:szCs w:val="16"/>
              </w:rPr>
              <w:t>новых информационных дополнений внесено</w:t>
            </w:r>
          </w:p>
          <w:p w:rsidR="0055116C" w:rsidRPr="006A72EE" w:rsidRDefault="0055116C" w:rsidP="0055116C">
            <w:pPr>
              <w:pStyle w:val="Default"/>
              <w:keepNext/>
              <w:keepLines/>
              <w:numPr>
                <w:ilvl w:val="0"/>
                <w:numId w:val="25"/>
              </w:numPr>
              <w:rPr>
                <w:sz w:val="16"/>
                <w:szCs w:val="16"/>
              </w:rPr>
            </w:pPr>
            <w:r>
              <w:rPr>
                <w:sz w:val="16"/>
                <w:szCs w:val="16"/>
              </w:rPr>
              <w:t>20 </w:t>
            </w:r>
            <w:r w:rsidRPr="006A72EE">
              <w:rPr>
                <w:sz w:val="16"/>
                <w:szCs w:val="16"/>
              </w:rPr>
              <w:t>(2014 г.)</w:t>
            </w:r>
          </w:p>
          <w:p w:rsidR="0055116C" w:rsidRPr="006A72EE" w:rsidRDefault="0055116C" w:rsidP="0055116C">
            <w:pPr>
              <w:pStyle w:val="Default"/>
              <w:keepNext/>
              <w:keepLines/>
              <w:numPr>
                <w:ilvl w:val="0"/>
                <w:numId w:val="25"/>
              </w:numPr>
              <w:rPr>
                <w:sz w:val="16"/>
                <w:szCs w:val="16"/>
              </w:rPr>
            </w:pPr>
            <w:r w:rsidRPr="006A72EE">
              <w:rPr>
                <w:sz w:val="16"/>
                <w:szCs w:val="16"/>
              </w:rPr>
              <w:t>5 (2015 г.)</w:t>
            </w:r>
          </w:p>
          <w:p w:rsidR="0055116C" w:rsidRPr="006A72EE" w:rsidRDefault="0055116C" w:rsidP="0055116C">
            <w:pPr>
              <w:keepNext/>
              <w:keepLines/>
              <w:rPr>
                <w:rFonts w:cs="Arial"/>
                <w:sz w:val="16"/>
                <w:szCs w:val="16"/>
              </w:rPr>
            </w:pPr>
          </w:p>
        </w:tc>
        <w:tc>
          <w:tcPr>
            <w:tcW w:w="620" w:type="pct"/>
            <w:shd w:val="clear" w:color="auto" w:fill="auto"/>
            <w:tcMar>
              <w:top w:w="110" w:type="dxa"/>
            </w:tcMar>
          </w:tcPr>
          <w:p w:rsidR="0055116C" w:rsidRPr="006A72EE" w:rsidRDefault="0055116C" w:rsidP="0055116C">
            <w:pPr>
              <w:keepNext/>
              <w:keepLines/>
              <w:jc w:val="center"/>
              <w:rPr>
                <w:rFonts w:cs="Arial"/>
                <w:b/>
                <w:bCs/>
                <w:color w:val="00B050"/>
                <w:sz w:val="16"/>
                <w:szCs w:val="16"/>
              </w:rPr>
            </w:pPr>
            <w:r w:rsidRPr="006A72EE">
              <w:rPr>
                <w:b/>
                <w:color w:val="00B050"/>
                <w:sz w:val="16"/>
                <w:szCs w:val="16"/>
              </w:rPr>
              <w:t>Выполнено</w:t>
            </w: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r w:rsidRPr="006A72EE">
              <w:rPr>
                <w:b/>
                <w:color w:val="00B050"/>
                <w:sz w:val="16"/>
                <w:szCs w:val="16"/>
              </w:rPr>
              <w:t>Выполнено</w:t>
            </w: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
                <w:bCs/>
                <w:color w:val="00B050"/>
                <w:sz w:val="16"/>
                <w:szCs w:val="16"/>
              </w:rPr>
            </w:pPr>
            <w:r w:rsidRPr="006A72EE">
              <w:rPr>
                <w:b/>
                <w:color w:val="00B050"/>
                <w:sz w:val="16"/>
                <w:szCs w:val="16"/>
              </w:rPr>
              <w:t>Выполнено</w:t>
            </w:r>
          </w:p>
          <w:p w:rsidR="0055116C" w:rsidRPr="006A72EE" w:rsidRDefault="0055116C" w:rsidP="0055116C">
            <w:pPr>
              <w:keepNext/>
              <w:keepLines/>
              <w:jc w:val="center"/>
              <w:rPr>
                <w:rFonts w:cs="Arial"/>
                <w:b/>
                <w:bCs/>
                <w:color w:val="00B050"/>
                <w:sz w:val="16"/>
                <w:szCs w:val="16"/>
              </w:rPr>
            </w:pPr>
          </w:p>
        </w:tc>
      </w:tr>
      <w:tr w:rsidR="0055116C" w:rsidRPr="006A72EE" w:rsidTr="00FE4E8D">
        <w:tc>
          <w:tcPr>
            <w:tcW w:w="1168" w:type="pct"/>
            <w:shd w:val="clear" w:color="auto" w:fill="auto"/>
          </w:tcPr>
          <w:p w:rsidR="0055116C" w:rsidRPr="0055116C" w:rsidRDefault="0055116C" w:rsidP="0055116C">
            <w:pPr>
              <w:rPr>
                <w:rFonts w:cs="Arial"/>
                <w:color w:val="000000"/>
                <w:sz w:val="16"/>
                <w:szCs w:val="16"/>
                <w:lang w:val="ru-RU"/>
              </w:rPr>
            </w:pPr>
            <w:r w:rsidRPr="0055116C">
              <w:rPr>
                <w:color w:val="000000"/>
                <w:sz w:val="16"/>
                <w:szCs w:val="16"/>
                <w:lang w:val="ru-RU"/>
              </w:rPr>
              <w:t>Число новых подразделов, включенных в МПК за год</w:t>
            </w:r>
          </w:p>
        </w:tc>
        <w:tc>
          <w:tcPr>
            <w:tcW w:w="1167" w:type="pct"/>
            <w:shd w:val="clear" w:color="auto" w:fill="auto"/>
          </w:tcPr>
          <w:p w:rsidR="0055116C" w:rsidRPr="0055116C" w:rsidRDefault="0055116C" w:rsidP="0055116C">
            <w:pPr>
              <w:rPr>
                <w:rFonts w:cs="Arial"/>
                <w:color w:val="002060"/>
                <w:sz w:val="16"/>
                <w:szCs w:val="16"/>
                <w:lang w:val="ru-RU"/>
              </w:rPr>
            </w:pPr>
            <w:r w:rsidRPr="0055116C">
              <w:rPr>
                <w:i/>
                <w:color w:val="002060"/>
                <w:sz w:val="16"/>
                <w:szCs w:val="16"/>
                <w:lang w:val="ru-RU"/>
              </w:rPr>
              <w:t>Обновленные базовые показатели, конец 2013</w:t>
            </w:r>
            <w:r w:rsidRPr="006A72EE">
              <w:rPr>
                <w:i/>
                <w:color w:val="002060"/>
                <w:sz w:val="16"/>
                <w:szCs w:val="16"/>
              </w:rPr>
              <w:t> </w:t>
            </w:r>
            <w:r w:rsidRPr="0055116C">
              <w:rPr>
                <w:i/>
                <w:color w:val="002060"/>
                <w:sz w:val="16"/>
                <w:szCs w:val="16"/>
                <w:lang w:val="ru-RU"/>
              </w:rPr>
              <w:t xml:space="preserve">г.:  </w:t>
            </w:r>
            <w:r w:rsidRPr="0055116C">
              <w:rPr>
                <w:color w:val="002060"/>
                <w:sz w:val="16"/>
                <w:szCs w:val="16"/>
                <w:lang w:val="ru-RU"/>
              </w:rPr>
              <w:t>617</w:t>
            </w:r>
          </w:p>
          <w:p w:rsidR="0055116C" w:rsidRPr="0055116C" w:rsidRDefault="0055116C" w:rsidP="0055116C">
            <w:pPr>
              <w:rPr>
                <w:rFonts w:cs="Arial"/>
                <w:i/>
                <w:sz w:val="16"/>
                <w:szCs w:val="16"/>
                <w:lang w:val="ru-RU"/>
              </w:rPr>
            </w:pPr>
          </w:p>
          <w:p w:rsidR="0055116C" w:rsidRPr="0055116C" w:rsidRDefault="0055116C" w:rsidP="0055116C">
            <w:pPr>
              <w:rPr>
                <w:rFonts w:cs="Arial"/>
                <w:i/>
                <w:color w:val="002060"/>
                <w:sz w:val="16"/>
                <w:szCs w:val="16"/>
                <w:lang w:val="ru-RU"/>
              </w:rPr>
            </w:pPr>
            <w:r w:rsidRPr="0055116C">
              <w:rPr>
                <w:i/>
                <w:sz w:val="16"/>
                <w:szCs w:val="16"/>
                <w:lang w:val="ru-RU"/>
              </w:rPr>
              <w:t>Исходные базовые показатели ПиБ на 2014–2015 гг.:</w:t>
            </w:r>
            <w:r w:rsidRPr="0055116C">
              <w:rPr>
                <w:sz w:val="16"/>
                <w:szCs w:val="16"/>
                <w:lang w:val="ru-RU"/>
              </w:rPr>
              <w:t xml:space="preserve"> 500</w:t>
            </w:r>
            <w:r>
              <w:rPr>
                <w:sz w:val="16"/>
                <w:szCs w:val="16"/>
              </w:rPr>
              <w:t> </w:t>
            </w:r>
            <w:r w:rsidRPr="0055116C">
              <w:rPr>
                <w:sz w:val="16"/>
                <w:szCs w:val="16"/>
                <w:lang w:val="ru-RU"/>
              </w:rPr>
              <w:t>новых групп (в среднем за период 2009–2013</w:t>
            </w:r>
            <w:r w:rsidRPr="006A72EE">
              <w:rPr>
                <w:sz w:val="16"/>
                <w:szCs w:val="16"/>
              </w:rPr>
              <w:t> </w:t>
            </w:r>
            <w:r w:rsidRPr="0055116C">
              <w:rPr>
                <w:sz w:val="16"/>
                <w:szCs w:val="16"/>
                <w:lang w:val="ru-RU"/>
              </w:rPr>
              <w:t>гг.)</w:t>
            </w:r>
          </w:p>
        </w:tc>
        <w:tc>
          <w:tcPr>
            <w:tcW w:w="777" w:type="pct"/>
            <w:shd w:val="clear" w:color="auto" w:fill="auto"/>
            <w:tcMar>
              <w:top w:w="110" w:type="dxa"/>
            </w:tcMar>
          </w:tcPr>
          <w:p w:rsidR="0055116C" w:rsidRPr="006A72EE" w:rsidRDefault="0055116C" w:rsidP="0055116C">
            <w:pPr>
              <w:rPr>
                <w:rFonts w:cs="Arial"/>
                <w:sz w:val="16"/>
                <w:szCs w:val="16"/>
              </w:rPr>
            </w:pPr>
            <w:r w:rsidRPr="006A72EE">
              <w:rPr>
                <w:sz w:val="16"/>
                <w:szCs w:val="16"/>
              </w:rPr>
              <w:t>800 новых групп в год</w:t>
            </w:r>
          </w:p>
        </w:tc>
        <w:tc>
          <w:tcPr>
            <w:tcW w:w="1268" w:type="pct"/>
            <w:shd w:val="clear" w:color="auto" w:fill="FFFFFF"/>
            <w:tcMar>
              <w:top w:w="110" w:type="dxa"/>
            </w:tcMar>
          </w:tcPr>
          <w:p w:rsidR="0055116C" w:rsidRPr="0055116C" w:rsidRDefault="0055116C" w:rsidP="0055116C">
            <w:pPr>
              <w:pStyle w:val="Default"/>
              <w:rPr>
                <w:sz w:val="16"/>
                <w:szCs w:val="16"/>
                <w:lang w:val="ru-RU"/>
              </w:rPr>
            </w:pPr>
            <w:r w:rsidRPr="0055116C">
              <w:rPr>
                <w:sz w:val="16"/>
                <w:szCs w:val="16"/>
                <w:lang w:val="ru-RU"/>
              </w:rPr>
              <w:t>2014</w:t>
            </w:r>
            <w:r w:rsidRPr="006A72EE">
              <w:rPr>
                <w:sz w:val="16"/>
                <w:szCs w:val="16"/>
              </w:rPr>
              <w:t> </w:t>
            </w:r>
            <w:r w:rsidRPr="0055116C">
              <w:rPr>
                <w:sz w:val="16"/>
                <w:szCs w:val="16"/>
                <w:lang w:val="ru-RU"/>
              </w:rPr>
              <w:t>г.:  337</w:t>
            </w:r>
            <w:r w:rsidRPr="006A72EE">
              <w:rPr>
                <w:sz w:val="16"/>
                <w:szCs w:val="16"/>
              </w:rPr>
              <w:t> </w:t>
            </w:r>
            <w:r w:rsidRPr="0055116C">
              <w:rPr>
                <w:sz w:val="16"/>
                <w:szCs w:val="16"/>
                <w:lang w:val="ru-RU"/>
              </w:rPr>
              <w:t xml:space="preserve">новых групп внесено в версию МПК 2015.01 </w:t>
            </w:r>
          </w:p>
          <w:p w:rsidR="0055116C" w:rsidRPr="0055116C" w:rsidRDefault="0055116C" w:rsidP="0055116C">
            <w:pPr>
              <w:pStyle w:val="Default"/>
              <w:rPr>
                <w:sz w:val="16"/>
                <w:szCs w:val="16"/>
                <w:lang w:val="ru-RU"/>
              </w:rPr>
            </w:pPr>
          </w:p>
          <w:p w:rsidR="0055116C" w:rsidRPr="006A72EE" w:rsidRDefault="0055116C" w:rsidP="0055116C">
            <w:pPr>
              <w:pStyle w:val="Default"/>
              <w:rPr>
                <w:sz w:val="16"/>
                <w:szCs w:val="16"/>
              </w:rPr>
            </w:pPr>
            <w:r w:rsidRPr="0055116C">
              <w:rPr>
                <w:sz w:val="16"/>
                <w:szCs w:val="16"/>
                <w:lang w:val="ru-RU"/>
              </w:rPr>
              <w:t>2015</w:t>
            </w:r>
            <w:r>
              <w:rPr>
                <w:sz w:val="16"/>
                <w:szCs w:val="16"/>
              </w:rPr>
              <w:t> </w:t>
            </w:r>
            <w:r w:rsidRPr="0055116C">
              <w:rPr>
                <w:sz w:val="16"/>
                <w:szCs w:val="16"/>
                <w:lang w:val="ru-RU"/>
              </w:rPr>
              <w:t>г.:  1</w:t>
            </w:r>
            <w:r>
              <w:rPr>
                <w:sz w:val="16"/>
                <w:szCs w:val="16"/>
              </w:rPr>
              <w:t> </w:t>
            </w:r>
            <w:r w:rsidRPr="0055116C">
              <w:rPr>
                <w:sz w:val="16"/>
                <w:szCs w:val="16"/>
                <w:lang w:val="ru-RU"/>
              </w:rPr>
              <w:t>031</w:t>
            </w:r>
            <w:r>
              <w:rPr>
                <w:sz w:val="16"/>
                <w:szCs w:val="16"/>
              </w:rPr>
              <w:t> </w:t>
            </w:r>
            <w:r w:rsidRPr="0055116C">
              <w:rPr>
                <w:sz w:val="16"/>
                <w:szCs w:val="16"/>
                <w:lang w:val="ru-RU"/>
              </w:rPr>
              <w:t xml:space="preserve">новая группа внесена в версию </w:t>
            </w:r>
            <w:r w:rsidRPr="006A72EE">
              <w:rPr>
                <w:sz w:val="16"/>
                <w:szCs w:val="16"/>
              </w:rPr>
              <w:t xml:space="preserve">МПК 2016.01 </w:t>
            </w:r>
          </w:p>
          <w:p w:rsidR="0055116C" w:rsidRPr="006A72EE" w:rsidRDefault="0055116C" w:rsidP="0055116C">
            <w:pPr>
              <w:rPr>
                <w:rFonts w:cs="Arial"/>
                <w:sz w:val="16"/>
                <w:szCs w:val="16"/>
              </w:rPr>
            </w:pPr>
          </w:p>
        </w:tc>
        <w:tc>
          <w:tcPr>
            <w:tcW w:w="620" w:type="pct"/>
            <w:shd w:val="clear" w:color="auto" w:fill="auto"/>
            <w:tcMar>
              <w:top w:w="110" w:type="dxa"/>
            </w:tcMar>
          </w:tcPr>
          <w:p w:rsidR="0055116C" w:rsidRPr="006A72EE" w:rsidRDefault="0055116C" w:rsidP="0055116C">
            <w:pPr>
              <w:keepNext/>
              <w:keepLines/>
              <w:jc w:val="center"/>
              <w:rPr>
                <w:rFonts w:cs="Arial"/>
                <w:b/>
                <w:bCs/>
                <w:color w:val="E36C0A" w:themeColor="accent6" w:themeShade="BF"/>
                <w:sz w:val="16"/>
                <w:szCs w:val="16"/>
              </w:rPr>
            </w:pPr>
            <w:r w:rsidRPr="006A72EE">
              <w:rPr>
                <w:b/>
                <w:color w:val="E36C0A" w:themeColor="accent6" w:themeShade="BF"/>
                <w:sz w:val="16"/>
                <w:szCs w:val="16"/>
              </w:rPr>
              <w:t>Частично выполнено</w:t>
            </w:r>
          </w:p>
          <w:p w:rsidR="0055116C" w:rsidRPr="006A72EE" w:rsidRDefault="0055116C" w:rsidP="0055116C">
            <w:pPr>
              <w:keepNext/>
              <w:keepLines/>
              <w:rPr>
                <w:rFonts w:cs="Arial"/>
                <w:b/>
                <w:bCs/>
                <w:color w:val="00B050"/>
                <w:sz w:val="16"/>
                <w:szCs w:val="16"/>
              </w:rPr>
            </w:pPr>
          </w:p>
          <w:p w:rsidR="0055116C" w:rsidRPr="006A72EE" w:rsidRDefault="0055116C" w:rsidP="0055116C">
            <w:pPr>
              <w:keepNext/>
              <w:keepLines/>
              <w:jc w:val="center"/>
              <w:rPr>
                <w:rFonts w:cs="Arial"/>
                <w:b/>
                <w:bCs/>
                <w:color w:val="FFB050"/>
                <w:sz w:val="16"/>
                <w:szCs w:val="16"/>
              </w:rPr>
            </w:pPr>
            <w:r w:rsidRPr="006A72EE">
              <w:rPr>
                <w:b/>
                <w:color w:val="00B050"/>
                <w:sz w:val="16"/>
                <w:szCs w:val="16"/>
              </w:rPr>
              <w:t>Выполнено</w:t>
            </w:r>
          </w:p>
        </w:tc>
      </w:tr>
      <w:tr w:rsidR="0055116C" w:rsidRPr="006A72EE" w:rsidTr="00FE4E8D">
        <w:tc>
          <w:tcPr>
            <w:tcW w:w="1168" w:type="pct"/>
            <w:shd w:val="clear" w:color="auto" w:fill="auto"/>
          </w:tcPr>
          <w:p w:rsidR="0055116C" w:rsidRPr="0055116C" w:rsidRDefault="0055116C" w:rsidP="0055116C">
            <w:pPr>
              <w:rPr>
                <w:rFonts w:cs="Arial"/>
                <w:color w:val="000000"/>
                <w:sz w:val="16"/>
                <w:szCs w:val="16"/>
                <w:lang w:val="ru-RU"/>
              </w:rPr>
            </w:pPr>
            <w:r w:rsidRPr="0055116C">
              <w:rPr>
                <w:color w:val="000000"/>
                <w:sz w:val="16"/>
                <w:szCs w:val="16"/>
                <w:lang w:val="ru-RU"/>
              </w:rPr>
              <w:t>Число измененных и новых принятых стандартов</w:t>
            </w:r>
          </w:p>
        </w:tc>
        <w:tc>
          <w:tcPr>
            <w:tcW w:w="1167" w:type="pct"/>
            <w:shd w:val="clear" w:color="auto" w:fill="auto"/>
          </w:tcPr>
          <w:p w:rsidR="0055116C" w:rsidRPr="0055116C" w:rsidRDefault="0055116C" w:rsidP="0055116C">
            <w:pPr>
              <w:pStyle w:val="CommentText"/>
              <w:rPr>
                <w:sz w:val="16"/>
                <w:szCs w:val="16"/>
                <w:lang w:val="ru-RU"/>
              </w:rPr>
            </w:pPr>
            <w:r w:rsidRPr="0055116C">
              <w:rPr>
                <w:i/>
                <w:color w:val="002060"/>
                <w:sz w:val="16"/>
                <w:szCs w:val="16"/>
                <w:lang w:val="ru-RU"/>
              </w:rPr>
              <w:t>Обновленные базовые показатели, конец 2013</w:t>
            </w:r>
            <w:r w:rsidRPr="006A72EE">
              <w:rPr>
                <w:i/>
                <w:color w:val="002060"/>
                <w:sz w:val="16"/>
                <w:szCs w:val="16"/>
              </w:rPr>
              <w:t> </w:t>
            </w:r>
            <w:r w:rsidRPr="0055116C">
              <w:rPr>
                <w:i/>
                <w:color w:val="002060"/>
                <w:sz w:val="16"/>
                <w:szCs w:val="16"/>
                <w:lang w:val="ru-RU"/>
              </w:rPr>
              <w:t xml:space="preserve">г.:  </w:t>
            </w:r>
          </w:p>
          <w:p w:rsidR="0055116C" w:rsidRPr="0055116C" w:rsidRDefault="0055116C" w:rsidP="0055116C">
            <w:pPr>
              <w:rPr>
                <w:rFonts w:cs="Arial"/>
                <w:i/>
                <w:sz w:val="16"/>
                <w:szCs w:val="16"/>
                <w:lang w:val="ru-RU"/>
              </w:rPr>
            </w:pPr>
            <w:r w:rsidRPr="0055116C">
              <w:rPr>
                <w:sz w:val="16"/>
                <w:szCs w:val="16"/>
                <w:lang w:val="ru-RU"/>
              </w:rPr>
              <w:t>в 2012</w:t>
            </w:r>
            <w:r w:rsidRPr="006A72EE">
              <w:rPr>
                <w:sz w:val="16"/>
                <w:szCs w:val="16"/>
              </w:rPr>
              <w:t> </w:t>
            </w:r>
            <w:r w:rsidRPr="0055116C">
              <w:rPr>
                <w:sz w:val="16"/>
                <w:szCs w:val="16"/>
                <w:lang w:val="ru-RU"/>
              </w:rPr>
              <w:t>г. принят один новый стандарт, внесены изменения в два стандарта.  В 2013</w:t>
            </w:r>
            <w:r w:rsidRPr="006A72EE">
              <w:rPr>
                <w:sz w:val="16"/>
                <w:szCs w:val="16"/>
              </w:rPr>
              <w:t> </w:t>
            </w:r>
            <w:r w:rsidRPr="0055116C">
              <w:rPr>
                <w:sz w:val="16"/>
                <w:szCs w:val="16"/>
                <w:lang w:val="ru-RU"/>
              </w:rPr>
              <w:t>г. внесены изменения в один стандарт и Глоссарий.</w:t>
            </w:r>
          </w:p>
          <w:p w:rsidR="0055116C" w:rsidRPr="0055116C" w:rsidRDefault="0055116C" w:rsidP="0055116C">
            <w:pPr>
              <w:rPr>
                <w:rFonts w:cs="Arial"/>
                <w:i/>
                <w:sz w:val="16"/>
                <w:szCs w:val="16"/>
                <w:lang w:val="ru-RU"/>
              </w:rPr>
            </w:pPr>
          </w:p>
          <w:p w:rsidR="0055116C" w:rsidRPr="006A72EE" w:rsidRDefault="0055116C" w:rsidP="0055116C">
            <w:pPr>
              <w:rPr>
                <w:rFonts w:cs="Arial"/>
                <w:i/>
                <w:color w:val="002060"/>
                <w:sz w:val="16"/>
                <w:szCs w:val="16"/>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w:t>
            </w:r>
            <w:r w:rsidRPr="0055116C">
              <w:rPr>
                <w:sz w:val="16"/>
                <w:szCs w:val="16"/>
                <w:lang w:val="ru-RU"/>
              </w:rPr>
              <w:t xml:space="preserve"> в среднем за 2012–2013</w:t>
            </w:r>
            <w:r w:rsidRPr="006A72EE">
              <w:rPr>
                <w:sz w:val="16"/>
                <w:szCs w:val="16"/>
              </w:rPr>
              <w:t> </w:t>
            </w:r>
            <w:r w:rsidRPr="0055116C">
              <w:rPr>
                <w:sz w:val="16"/>
                <w:szCs w:val="16"/>
                <w:lang w:val="ru-RU"/>
              </w:rPr>
              <w:t xml:space="preserve">гг. </w:t>
            </w:r>
            <w:r w:rsidRPr="006A72EE">
              <w:rPr>
                <w:sz w:val="16"/>
                <w:szCs w:val="16"/>
              </w:rPr>
              <w:t>(будет определено позднее)</w:t>
            </w:r>
          </w:p>
        </w:tc>
        <w:tc>
          <w:tcPr>
            <w:tcW w:w="777" w:type="pct"/>
            <w:shd w:val="clear" w:color="auto" w:fill="auto"/>
            <w:tcMar>
              <w:top w:w="110" w:type="dxa"/>
            </w:tcMar>
          </w:tcPr>
          <w:p w:rsidR="0055116C" w:rsidRPr="0055116C" w:rsidRDefault="0055116C" w:rsidP="0055116C">
            <w:pPr>
              <w:rPr>
                <w:rFonts w:cs="Arial"/>
                <w:sz w:val="16"/>
                <w:szCs w:val="16"/>
                <w:lang w:val="ru-RU"/>
              </w:rPr>
            </w:pPr>
            <w:r w:rsidRPr="0055116C">
              <w:rPr>
                <w:sz w:val="16"/>
                <w:szCs w:val="16"/>
                <w:lang w:val="ru-RU"/>
              </w:rPr>
              <w:t>Увеличение по сравнению с базовыми показателями</w:t>
            </w:r>
          </w:p>
        </w:tc>
        <w:tc>
          <w:tcPr>
            <w:tcW w:w="1268" w:type="pct"/>
            <w:shd w:val="clear" w:color="auto" w:fill="FFFFFF"/>
            <w:tcMar>
              <w:top w:w="110" w:type="dxa"/>
            </w:tcMar>
          </w:tcPr>
          <w:p w:rsidR="0055116C" w:rsidRPr="0055116C" w:rsidRDefault="00FE4E8D" w:rsidP="0055116C">
            <w:pPr>
              <w:pStyle w:val="Default"/>
              <w:rPr>
                <w:sz w:val="16"/>
                <w:szCs w:val="16"/>
                <w:lang w:val="ru-RU"/>
              </w:rPr>
            </w:pPr>
            <w:r>
              <w:rPr>
                <w:sz w:val="16"/>
                <w:szCs w:val="16"/>
                <w:lang w:val="ru-RU"/>
              </w:rPr>
              <w:t>О</w:t>
            </w:r>
            <w:r w:rsidR="0055116C" w:rsidRPr="0055116C">
              <w:rPr>
                <w:sz w:val="16"/>
                <w:szCs w:val="16"/>
                <w:lang w:val="ru-RU"/>
              </w:rPr>
              <w:t>дин новый стандарт</w:t>
            </w:r>
            <w:r>
              <w:rPr>
                <w:sz w:val="16"/>
                <w:szCs w:val="16"/>
                <w:lang w:val="ru-RU"/>
              </w:rPr>
              <w:t xml:space="preserve"> принят в неофициальном порядке</w:t>
            </w:r>
            <w:r w:rsidR="0055116C" w:rsidRPr="0055116C">
              <w:rPr>
                <w:sz w:val="16"/>
                <w:szCs w:val="16"/>
                <w:lang w:val="ru-RU"/>
              </w:rPr>
              <w:t>, и один стандарт пересмотрен (2014</w:t>
            </w:r>
            <w:r w:rsidR="0055116C" w:rsidRPr="006A72EE">
              <w:rPr>
                <w:sz w:val="16"/>
                <w:szCs w:val="16"/>
              </w:rPr>
              <w:t> </w:t>
            </w:r>
            <w:r w:rsidR="0055116C" w:rsidRPr="0055116C">
              <w:rPr>
                <w:sz w:val="16"/>
                <w:szCs w:val="16"/>
                <w:lang w:val="ru-RU"/>
              </w:rPr>
              <w:t>г.)</w:t>
            </w:r>
          </w:p>
          <w:p w:rsidR="0055116C" w:rsidRPr="0055116C" w:rsidRDefault="0055116C" w:rsidP="0055116C">
            <w:pPr>
              <w:pStyle w:val="Default"/>
              <w:rPr>
                <w:sz w:val="16"/>
                <w:szCs w:val="16"/>
                <w:lang w:val="ru-RU"/>
              </w:rPr>
            </w:pPr>
          </w:p>
          <w:p w:rsidR="0055116C" w:rsidRPr="006A72EE" w:rsidRDefault="0055116C" w:rsidP="0055116C">
            <w:pPr>
              <w:pStyle w:val="Default"/>
              <w:rPr>
                <w:sz w:val="16"/>
                <w:szCs w:val="16"/>
              </w:rPr>
            </w:pPr>
            <w:r w:rsidRPr="0055116C">
              <w:rPr>
                <w:sz w:val="16"/>
                <w:szCs w:val="16"/>
                <w:lang w:val="ru-RU"/>
              </w:rPr>
              <w:t xml:space="preserve">Официального утверждения новых стандартов не было. </w:t>
            </w:r>
            <w:r w:rsidRPr="006A72EE">
              <w:rPr>
                <w:sz w:val="16"/>
                <w:szCs w:val="16"/>
              </w:rPr>
              <w:t>Два стандарта пересмотрены (2015 г.)</w:t>
            </w:r>
          </w:p>
          <w:p w:rsidR="0055116C" w:rsidRPr="006A72EE" w:rsidRDefault="0055116C" w:rsidP="0055116C">
            <w:pPr>
              <w:pStyle w:val="Default"/>
              <w:rPr>
                <w:sz w:val="16"/>
                <w:szCs w:val="16"/>
              </w:rPr>
            </w:pPr>
            <w:r w:rsidRPr="006A72EE">
              <w:rPr>
                <w:sz w:val="16"/>
                <w:szCs w:val="16"/>
              </w:rPr>
              <w:t xml:space="preserve"> </w:t>
            </w:r>
          </w:p>
          <w:p w:rsidR="0055116C" w:rsidRPr="006A72EE" w:rsidRDefault="0055116C" w:rsidP="0055116C">
            <w:pPr>
              <w:rPr>
                <w:rFonts w:cs="Arial"/>
                <w:sz w:val="16"/>
                <w:szCs w:val="16"/>
              </w:rPr>
            </w:pPr>
          </w:p>
        </w:tc>
        <w:tc>
          <w:tcPr>
            <w:tcW w:w="620" w:type="pct"/>
            <w:shd w:val="clear" w:color="auto" w:fill="auto"/>
            <w:tcMar>
              <w:top w:w="110" w:type="dxa"/>
            </w:tcMar>
          </w:tcPr>
          <w:p w:rsidR="0055116C" w:rsidRPr="006A72EE" w:rsidRDefault="0055116C" w:rsidP="0055116C">
            <w:pPr>
              <w:keepNext/>
              <w:keepLines/>
              <w:jc w:val="center"/>
              <w:rPr>
                <w:rFonts w:cs="Arial"/>
                <w:b/>
                <w:bCs/>
                <w:color w:val="E36C0A" w:themeColor="accent6" w:themeShade="BF"/>
                <w:sz w:val="16"/>
                <w:szCs w:val="16"/>
              </w:rPr>
            </w:pPr>
            <w:r w:rsidRPr="006A72EE">
              <w:rPr>
                <w:b/>
                <w:color w:val="E36C0A" w:themeColor="accent6" w:themeShade="BF"/>
                <w:sz w:val="16"/>
                <w:szCs w:val="16"/>
              </w:rPr>
              <w:t>Частично выполнено</w:t>
            </w:r>
          </w:p>
          <w:p w:rsidR="0055116C" w:rsidRPr="006A72EE" w:rsidRDefault="0055116C" w:rsidP="0055116C">
            <w:pPr>
              <w:keepNext/>
              <w:keepLines/>
              <w:jc w:val="center"/>
              <w:rPr>
                <w:rFonts w:cs="Arial"/>
                <w:b/>
                <w:bCs/>
                <w:color w:val="FFB050"/>
                <w:sz w:val="16"/>
                <w:szCs w:val="16"/>
              </w:rPr>
            </w:pPr>
          </w:p>
        </w:tc>
      </w:tr>
      <w:tr w:rsidR="0055116C" w:rsidRPr="006A72EE" w:rsidTr="00FE4E8D">
        <w:tc>
          <w:tcPr>
            <w:tcW w:w="1168" w:type="pct"/>
            <w:shd w:val="clear" w:color="auto" w:fill="auto"/>
          </w:tcPr>
          <w:p w:rsidR="0055116C" w:rsidRPr="0055116C" w:rsidRDefault="0055116C" w:rsidP="0055116C">
            <w:pPr>
              <w:rPr>
                <w:rFonts w:cs="Arial"/>
                <w:color w:val="000000"/>
                <w:sz w:val="16"/>
                <w:szCs w:val="16"/>
                <w:lang w:val="ru-RU"/>
              </w:rPr>
            </w:pPr>
            <w:r w:rsidRPr="0055116C">
              <w:rPr>
                <w:color w:val="000000"/>
                <w:sz w:val="16"/>
                <w:szCs w:val="16"/>
                <w:lang w:val="ru-RU"/>
              </w:rPr>
              <w:t>Число пользователей, имеющих доступ к интернет-публикациям международных классификаций и стандартов, особенно в развивающихся странах</w:t>
            </w:r>
          </w:p>
        </w:tc>
        <w:tc>
          <w:tcPr>
            <w:tcW w:w="1167" w:type="pct"/>
            <w:shd w:val="clear" w:color="auto" w:fill="auto"/>
          </w:tcPr>
          <w:p w:rsidR="0055116C" w:rsidRPr="0055116C" w:rsidRDefault="0055116C" w:rsidP="0055116C">
            <w:pPr>
              <w:rPr>
                <w:rFonts w:cs="Arial"/>
                <w:i/>
                <w:color w:val="002060"/>
                <w:sz w:val="16"/>
                <w:szCs w:val="16"/>
                <w:lang w:val="ru-RU"/>
              </w:rPr>
            </w:pPr>
            <w:r w:rsidRPr="0055116C">
              <w:rPr>
                <w:i/>
                <w:color w:val="002060"/>
                <w:sz w:val="16"/>
                <w:szCs w:val="16"/>
                <w:lang w:val="ru-RU"/>
              </w:rPr>
              <w:t>Обновленные базовые показатели, конец 2013</w:t>
            </w:r>
            <w:r w:rsidRPr="006A72EE">
              <w:rPr>
                <w:i/>
                <w:color w:val="002060"/>
                <w:sz w:val="16"/>
                <w:szCs w:val="16"/>
              </w:rPr>
              <w:t> </w:t>
            </w:r>
            <w:r w:rsidRPr="0055116C">
              <w:rPr>
                <w:i/>
                <w:color w:val="002060"/>
                <w:sz w:val="16"/>
                <w:szCs w:val="16"/>
                <w:lang w:val="ru-RU"/>
              </w:rPr>
              <w:t xml:space="preserve">г.:  </w:t>
            </w:r>
          </w:p>
          <w:p w:rsidR="0055116C" w:rsidRPr="0055116C" w:rsidRDefault="0055116C" w:rsidP="0055116C">
            <w:pPr>
              <w:spacing w:after="120"/>
              <w:rPr>
                <w:rFonts w:cs="Arial"/>
                <w:color w:val="002060"/>
                <w:sz w:val="16"/>
                <w:szCs w:val="16"/>
                <w:lang w:val="ru-RU"/>
              </w:rPr>
            </w:pPr>
            <w:r w:rsidRPr="0055116C">
              <w:rPr>
                <w:color w:val="002060"/>
                <w:sz w:val="16"/>
                <w:szCs w:val="16"/>
                <w:lang w:val="ru-RU"/>
              </w:rPr>
              <w:t>Главная страница МПК: 387</w:t>
            </w:r>
            <w:r w:rsidRPr="006A72EE">
              <w:rPr>
                <w:color w:val="002060"/>
                <w:sz w:val="16"/>
                <w:szCs w:val="16"/>
              </w:rPr>
              <w:t> </w:t>
            </w:r>
            <w:r w:rsidRPr="0055116C">
              <w:rPr>
                <w:color w:val="002060"/>
                <w:sz w:val="16"/>
                <w:szCs w:val="16"/>
                <w:lang w:val="ru-RU"/>
              </w:rPr>
              <w:t>093</w:t>
            </w:r>
          </w:p>
          <w:p w:rsidR="0055116C" w:rsidRPr="0055116C" w:rsidRDefault="0055116C" w:rsidP="0055116C">
            <w:pPr>
              <w:spacing w:after="120"/>
              <w:rPr>
                <w:rFonts w:cs="Arial"/>
                <w:color w:val="002060"/>
                <w:sz w:val="16"/>
                <w:szCs w:val="16"/>
                <w:lang w:val="ru-RU"/>
              </w:rPr>
            </w:pPr>
            <w:r w:rsidRPr="0055116C">
              <w:rPr>
                <w:color w:val="002060"/>
                <w:sz w:val="16"/>
                <w:szCs w:val="16"/>
                <w:lang w:val="ru-RU"/>
              </w:rPr>
              <w:t>Публикации МПК: 670</w:t>
            </w:r>
            <w:r w:rsidRPr="006A72EE">
              <w:rPr>
                <w:color w:val="002060"/>
                <w:sz w:val="16"/>
                <w:szCs w:val="16"/>
              </w:rPr>
              <w:t> </w:t>
            </w:r>
            <w:r w:rsidRPr="0055116C">
              <w:rPr>
                <w:color w:val="002060"/>
                <w:sz w:val="16"/>
                <w:szCs w:val="16"/>
                <w:lang w:val="ru-RU"/>
              </w:rPr>
              <w:t>032 (на основе данных за январь – май 2013</w:t>
            </w:r>
            <w:r w:rsidRPr="006A72EE">
              <w:rPr>
                <w:color w:val="002060"/>
                <w:sz w:val="16"/>
                <w:szCs w:val="16"/>
              </w:rPr>
              <w:t> </w:t>
            </w:r>
            <w:r w:rsidRPr="0055116C">
              <w:rPr>
                <w:color w:val="002060"/>
                <w:sz w:val="16"/>
                <w:szCs w:val="16"/>
                <w:lang w:val="ru-RU"/>
              </w:rPr>
              <w:t>г. и с корректировкой по тому же методу измерения, который применялся к данным за 2014</w:t>
            </w:r>
            <w:r w:rsidRPr="006A72EE">
              <w:rPr>
                <w:color w:val="002060"/>
                <w:sz w:val="16"/>
                <w:szCs w:val="16"/>
              </w:rPr>
              <w:t> </w:t>
            </w:r>
            <w:r w:rsidRPr="0055116C">
              <w:rPr>
                <w:color w:val="002060"/>
                <w:sz w:val="16"/>
                <w:szCs w:val="16"/>
                <w:lang w:val="ru-RU"/>
              </w:rPr>
              <w:t>г.)</w:t>
            </w:r>
          </w:p>
          <w:p w:rsidR="0055116C" w:rsidRPr="0055116C" w:rsidRDefault="0055116C" w:rsidP="0055116C">
            <w:pPr>
              <w:spacing w:after="120"/>
              <w:rPr>
                <w:rFonts w:cs="Arial"/>
                <w:color w:val="002060"/>
                <w:sz w:val="16"/>
                <w:szCs w:val="16"/>
                <w:lang w:val="ru-RU"/>
              </w:rPr>
            </w:pPr>
            <w:r w:rsidRPr="0055116C">
              <w:rPr>
                <w:color w:val="002060"/>
                <w:sz w:val="16"/>
                <w:szCs w:val="16"/>
                <w:lang w:val="ru-RU"/>
              </w:rPr>
              <w:t>Главная страница Ниццкой классификации: 533</w:t>
            </w:r>
            <w:r w:rsidRPr="006A72EE">
              <w:rPr>
                <w:color w:val="002060"/>
                <w:sz w:val="16"/>
                <w:szCs w:val="16"/>
              </w:rPr>
              <w:t> </w:t>
            </w:r>
            <w:r w:rsidRPr="0055116C">
              <w:rPr>
                <w:color w:val="002060"/>
                <w:sz w:val="16"/>
                <w:szCs w:val="16"/>
                <w:lang w:val="ru-RU"/>
              </w:rPr>
              <w:t>846</w:t>
            </w:r>
          </w:p>
          <w:p w:rsidR="0055116C" w:rsidRPr="0055116C" w:rsidRDefault="0055116C" w:rsidP="0055116C">
            <w:pPr>
              <w:spacing w:after="120"/>
              <w:rPr>
                <w:rFonts w:cs="Arial"/>
                <w:color w:val="002060"/>
                <w:sz w:val="16"/>
                <w:szCs w:val="16"/>
                <w:lang w:val="ru-RU"/>
              </w:rPr>
            </w:pPr>
            <w:r w:rsidRPr="0055116C">
              <w:rPr>
                <w:color w:val="002060"/>
                <w:sz w:val="16"/>
                <w:szCs w:val="16"/>
                <w:lang w:val="ru-RU"/>
              </w:rPr>
              <w:t>Публикации Ниццкой классификации: 2</w:t>
            </w:r>
            <w:r w:rsidRPr="006A72EE">
              <w:rPr>
                <w:color w:val="002060"/>
                <w:sz w:val="16"/>
                <w:szCs w:val="16"/>
              </w:rPr>
              <w:t> </w:t>
            </w:r>
            <w:r w:rsidRPr="0055116C">
              <w:rPr>
                <w:color w:val="002060"/>
                <w:sz w:val="16"/>
                <w:szCs w:val="16"/>
                <w:lang w:val="ru-RU"/>
              </w:rPr>
              <w:t>386</w:t>
            </w:r>
            <w:r w:rsidRPr="006A72EE">
              <w:rPr>
                <w:color w:val="002060"/>
                <w:sz w:val="16"/>
                <w:szCs w:val="16"/>
              </w:rPr>
              <w:t> </w:t>
            </w:r>
            <w:r w:rsidRPr="0055116C">
              <w:rPr>
                <w:color w:val="002060"/>
                <w:sz w:val="16"/>
                <w:szCs w:val="16"/>
                <w:lang w:val="ru-RU"/>
              </w:rPr>
              <w:t>409</w:t>
            </w:r>
          </w:p>
          <w:p w:rsidR="0055116C" w:rsidRPr="0055116C" w:rsidRDefault="0055116C" w:rsidP="0055116C">
            <w:pPr>
              <w:spacing w:after="120"/>
              <w:rPr>
                <w:rFonts w:cs="Arial"/>
                <w:color w:val="002060"/>
                <w:sz w:val="16"/>
                <w:szCs w:val="16"/>
                <w:lang w:val="ru-RU"/>
              </w:rPr>
            </w:pPr>
            <w:r w:rsidRPr="0055116C">
              <w:rPr>
                <w:color w:val="002060"/>
                <w:sz w:val="16"/>
                <w:szCs w:val="16"/>
                <w:lang w:val="ru-RU"/>
              </w:rPr>
              <w:t>Главная страница Локарнской классификации 36</w:t>
            </w:r>
            <w:r w:rsidRPr="006A72EE">
              <w:rPr>
                <w:color w:val="002060"/>
                <w:sz w:val="16"/>
                <w:szCs w:val="16"/>
              </w:rPr>
              <w:t> </w:t>
            </w:r>
            <w:r w:rsidRPr="0055116C">
              <w:rPr>
                <w:color w:val="002060"/>
                <w:sz w:val="16"/>
                <w:szCs w:val="16"/>
                <w:lang w:val="ru-RU"/>
              </w:rPr>
              <w:t>727</w:t>
            </w:r>
          </w:p>
          <w:p w:rsidR="0055116C" w:rsidRPr="0055116C" w:rsidRDefault="0055116C" w:rsidP="0055116C">
            <w:pPr>
              <w:spacing w:after="120"/>
              <w:rPr>
                <w:rFonts w:cs="Arial"/>
                <w:color w:val="002060"/>
                <w:sz w:val="16"/>
                <w:szCs w:val="16"/>
                <w:lang w:val="ru-RU"/>
              </w:rPr>
            </w:pPr>
            <w:r w:rsidRPr="0055116C">
              <w:rPr>
                <w:color w:val="002060"/>
                <w:sz w:val="16"/>
                <w:szCs w:val="16"/>
                <w:lang w:val="ru-RU"/>
              </w:rPr>
              <w:t>Главная страница Венской классификации: 32</w:t>
            </w:r>
            <w:r w:rsidRPr="006A72EE">
              <w:rPr>
                <w:color w:val="002060"/>
                <w:sz w:val="16"/>
                <w:szCs w:val="16"/>
              </w:rPr>
              <w:t> </w:t>
            </w:r>
            <w:r w:rsidRPr="0055116C">
              <w:rPr>
                <w:color w:val="002060"/>
                <w:sz w:val="16"/>
                <w:szCs w:val="16"/>
                <w:lang w:val="ru-RU"/>
              </w:rPr>
              <w:t>416</w:t>
            </w:r>
          </w:p>
          <w:p w:rsidR="0055116C" w:rsidRPr="0055116C" w:rsidRDefault="0055116C" w:rsidP="0055116C">
            <w:pPr>
              <w:spacing w:after="120"/>
              <w:rPr>
                <w:rFonts w:cs="Arial"/>
                <w:color w:val="002060"/>
                <w:sz w:val="16"/>
                <w:szCs w:val="16"/>
                <w:lang w:val="ru-RU"/>
              </w:rPr>
            </w:pPr>
            <w:r w:rsidRPr="0055116C">
              <w:rPr>
                <w:color w:val="002060"/>
                <w:sz w:val="16"/>
                <w:szCs w:val="16"/>
                <w:lang w:val="ru-RU"/>
              </w:rPr>
              <w:t>Стандарты ВОИС (Справочник): 94</w:t>
            </w:r>
            <w:r w:rsidRPr="006A72EE">
              <w:rPr>
                <w:color w:val="002060"/>
                <w:sz w:val="16"/>
                <w:szCs w:val="16"/>
              </w:rPr>
              <w:t> </w:t>
            </w:r>
            <w:r w:rsidRPr="0055116C">
              <w:rPr>
                <w:color w:val="002060"/>
                <w:sz w:val="16"/>
                <w:szCs w:val="16"/>
                <w:lang w:val="ru-RU"/>
              </w:rPr>
              <w:t>463</w:t>
            </w:r>
          </w:p>
          <w:p w:rsidR="0055116C" w:rsidRPr="0055116C" w:rsidRDefault="0055116C" w:rsidP="0055116C">
            <w:pPr>
              <w:rPr>
                <w:rFonts w:cs="Arial"/>
                <w:i/>
                <w:color w:val="002060"/>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w:t>
            </w:r>
            <w:r w:rsidRPr="0055116C">
              <w:rPr>
                <w:sz w:val="16"/>
                <w:szCs w:val="16"/>
                <w:lang w:val="ru-RU"/>
              </w:rPr>
              <w:t xml:space="preserve">  будут определены в конце 2013</w:t>
            </w:r>
            <w:r w:rsidRPr="006A72EE">
              <w:rPr>
                <w:sz w:val="16"/>
                <w:szCs w:val="16"/>
              </w:rPr>
              <w:t> </w:t>
            </w:r>
            <w:r w:rsidRPr="0055116C">
              <w:rPr>
                <w:sz w:val="16"/>
                <w:szCs w:val="16"/>
                <w:lang w:val="ru-RU"/>
              </w:rPr>
              <w:t>г.</w:t>
            </w:r>
          </w:p>
        </w:tc>
        <w:tc>
          <w:tcPr>
            <w:tcW w:w="777" w:type="pct"/>
            <w:shd w:val="clear" w:color="auto" w:fill="auto"/>
            <w:tcMar>
              <w:top w:w="110" w:type="dxa"/>
            </w:tcMar>
          </w:tcPr>
          <w:p w:rsidR="0055116C" w:rsidRPr="0055116C" w:rsidRDefault="0055116C" w:rsidP="0055116C">
            <w:pPr>
              <w:rPr>
                <w:rFonts w:cs="Arial"/>
                <w:sz w:val="16"/>
                <w:szCs w:val="16"/>
                <w:lang w:val="ru-RU"/>
              </w:rPr>
            </w:pPr>
            <w:r w:rsidRPr="0055116C">
              <w:rPr>
                <w:sz w:val="16"/>
                <w:szCs w:val="16"/>
                <w:lang w:val="ru-RU"/>
              </w:rPr>
              <w:t>Увеличение на 5% по сравнению с базовыми показателями</w:t>
            </w:r>
          </w:p>
        </w:tc>
        <w:tc>
          <w:tcPr>
            <w:tcW w:w="1268" w:type="pct"/>
            <w:shd w:val="clear" w:color="auto" w:fill="FFFFFF"/>
            <w:tcMar>
              <w:top w:w="110" w:type="dxa"/>
            </w:tcMar>
          </w:tcPr>
          <w:p w:rsidR="0055116C" w:rsidRPr="0055116C" w:rsidRDefault="0055116C" w:rsidP="0055116C">
            <w:pPr>
              <w:pStyle w:val="Default"/>
              <w:rPr>
                <w:sz w:val="16"/>
                <w:szCs w:val="16"/>
                <w:lang w:val="ru-RU"/>
              </w:rPr>
            </w:pPr>
            <w:r w:rsidRPr="0055116C">
              <w:rPr>
                <w:sz w:val="16"/>
                <w:szCs w:val="16"/>
                <w:lang w:val="ru-RU"/>
              </w:rPr>
              <w:t>Главная страница МПК: 361</w:t>
            </w:r>
            <w:r w:rsidRPr="006A72EE">
              <w:rPr>
                <w:sz w:val="16"/>
                <w:szCs w:val="16"/>
              </w:rPr>
              <w:t> </w:t>
            </w:r>
            <w:r w:rsidRPr="0055116C">
              <w:rPr>
                <w:sz w:val="16"/>
                <w:szCs w:val="16"/>
                <w:lang w:val="ru-RU"/>
              </w:rPr>
              <w:t xml:space="preserve">378 (снижение на 6,6%) (48,1% посещений страницы приходится на развивающиеся страны) </w:t>
            </w:r>
          </w:p>
          <w:p w:rsidR="0055116C" w:rsidRPr="0055116C" w:rsidRDefault="0055116C" w:rsidP="0055116C">
            <w:pPr>
              <w:pStyle w:val="Default"/>
              <w:rPr>
                <w:sz w:val="16"/>
                <w:szCs w:val="16"/>
                <w:lang w:val="ru-RU"/>
              </w:rPr>
            </w:pPr>
          </w:p>
          <w:p w:rsidR="0055116C" w:rsidRPr="0055116C" w:rsidRDefault="0055116C" w:rsidP="0055116C">
            <w:pPr>
              <w:pStyle w:val="Default"/>
              <w:rPr>
                <w:sz w:val="16"/>
                <w:szCs w:val="16"/>
                <w:lang w:val="ru-RU"/>
              </w:rPr>
            </w:pPr>
            <w:r w:rsidRPr="0055116C">
              <w:rPr>
                <w:sz w:val="16"/>
                <w:szCs w:val="16"/>
                <w:lang w:val="ru-RU"/>
              </w:rPr>
              <w:t>Публикации МПК: 1</w:t>
            </w:r>
            <w:r w:rsidRPr="006A72EE">
              <w:rPr>
                <w:sz w:val="16"/>
                <w:szCs w:val="16"/>
              </w:rPr>
              <w:t> </w:t>
            </w:r>
            <w:r w:rsidRPr="0055116C">
              <w:rPr>
                <w:sz w:val="16"/>
                <w:szCs w:val="16"/>
                <w:lang w:val="ru-RU"/>
              </w:rPr>
              <w:t>389</w:t>
            </w:r>
            <w:r w:rsidRPr="006A72EE">
              <w:rPr>
                <w:sz w:val="16"/>
                <w:szCs w:val="16"/>
              </w:rPr>
              <w:t> </w:t>
            </w:r>
            <w:r w:rsidRPr="0055116C">
              <w:rPr>
                <w:sz w:val="16"/>
                <w:szCs w:val="16"/>
                <w:lang w:val="ru-RU"/>
              </w:rPr>
              <w:t xml:space="preserve">644 (рост на 107,4%) (36,3% посещений страницы приходится на развивающиеся страны) </w:t>
            </w:r>
          </w:p>
          <w:p w:rsidR="0055116C" w:rsidRPr="0055116C" w:rsidRDefault="0055116C" w:rsidP="0055116C">
            <w:pPr>
              <w:pStyle w:val="Default"/>
              <w:rPr>
                <w:sz w:val="16"/>
                <w:szCs w:val="16"/>
                <w:lang w:val="ru-RU"/>
              </w:rPr>
            </w:pPr>
          </w:p>
          <w:p w:rsidR="0055116C" w:rsidRPr="0055116C" w:rsidRDefault="0055116C" w:rsidP="0055116C">
            <w:pPr>
              <w:pStyle w:val="Default"/>
              <w:rPr>
                <w:sz w:val="16"/>
                <w:szCs w:val="16"/>
                <w:lang w:val="ru-RU"/>
              </w:rPr>
            </w:pPr>
            <w:r w:rsidRPr="0055116C">
              <w:rPr>
                <w:sz w:val="16"/>
                <w:szCs w:val="16"/>
                <w:lang w:val="ru-RU"/>
              </w:rPr>
              <w:t>Главная страница Ниццкой классификации: 532</w:t>
            </w:r>
            <w:r w:rsidRPr="006A72EE">
              <w:rPr>
                <w:sz w:val="16"/>
                <w:szCs w:val="16"/>
              </w:rPr>
              <w:t> </w:t>
            </w:r>
            <w:r w:rsidRPr="0055116C">
              <w:rPr>
                <w:sz w:val="16"/>
                <w:szCs w:val="16"/>
                <w:lang w:val="ru-RU"/>
              </w:rPr>
              <w:t>493 (не изменилось) (47,8% посещений страницы приходится на развивающиеся страны)</w:t>
            </w:r>
          </w:p>
          <w:p w:rsidR="0055116C" w:rsidRPr="0055116C" w:rsidRDefault="0055116C" w:rsidP="0055116C">
            <w:pPr>
              <w:pStyle w:val="Default"/>
              <w:rPr>
                <w:sz w:val="16"/>
                <w:szCs w:val="16"/>
                <w:lang w:val="ru-RU"/>
              </w:rPr>
            </w:pPr>
            <w:r w:rsidRPr="0055116C">
              <w:rPr>
                <w:sz w:val="16"/>
                <w:szCs w:val="16"/>
                <w:lang w:val="ru-RU"/>
              </w:rPr>
              <w:t xml:space="preserve"> </w:t>
            </w:r>
          </w:p>
          <w:p w:rsidR="0055116C" w:rsidRPr="0055116C" w:rsidRDefault="0055116C" w:rsidP="0055116C">
            <w:pPr>
              <w:pStyle w:val="Default"/>
              <w:rPr>
                <w:sz w:val="16"/>
                <w:szCs w:val="16"/>
                <w:lang w:val="ru-RU"/>
              </w:rPr>
            </w:pPr>
            <w:r w:rsidRPr="0055116C">
              <w:rPr>
                <w:sz w:val="16"/>
                <w:szCs w:val="16"/>
                <w:lang w:val="ru-RU"/>
              </w:rPr>
              <w:t>Публикации Ниццкой классификации: 2</w:t>
            </w:r>
            <w:r w:rsidRPr="006A72EE">
              <w:rPr>
                <w:sz w:val="16"/>
                <w:szCs w:val="16"/>
              </w:rPr>
              <w:t> </w:t>
            </w:r>
            <w:r w:rsidRPr="0055116C">
              <w:rPr>
                <w:sz w:val="16"/>
                <w:szCs w:val="16"/>
                <w:lang w:val="ru-RU"/>
              </w:rPr>
              <w:t>721</w:t>
            </w:r>
            <w:r w:rsidRPr="006A72EE">
              <w:rPr>
                <w:sz w:val="16"/>
                <w:szCs w:val="16"/>
              </w:rPr>
              <w:t> </w:t>
            </w:r>
            <w:r w:rsidRPr="0055116C">
              <w:rPr>
                <w:sz w:val="16"/>
                <w:szCs w:val="16"/>
                <w:lang w:val="ru-RU"/>
              </w:rPr>
              <w:t xml:space="preserve">537 (рост на 14%) (49,1% посещений страницы приходится на развивающиеся страны) </w:t>
            </w:r>
          </w:p>
          <w:p w:rsidR="0055116C" w:rsidRPr="0055116C" w:rsidRDefault="0055116C" w:rsidP="0055116C">
            <w:pPr>
              <w:pStyle w:val="Default"/>
              <w:rPr>
                <w:sz w:val="16"/>
                <w:szCs w:val="16"/>
                <w:lang w:val="ru-RU"/>
              </w:rPr>
            </w:pPr>
          </w:p>
          <w:p w:rsidR="0055116C" w:rsidRPr="0055116C" w:rsidRDefault="0055116C" w:rsidP="0055116C">
            <w:pPr>
              <w:pStyle w:val="Default"/>
              <w:rPr>
                <w:sz w:val="16"/>
                <w:szCs w:val="16"/>
                <w:lang w:val="ru-RU"/>
              </w:rPr>
            </w:pPr>
            <w:r w:rsidRPr="0055116C">
              <w:rPr>
                <w:sz w:val="16"/>
                <w:szCs w:val="16"/>
                <w:lang w:val="ru-RU"/>
              </w:rPr>
              <w:t>Главная страница Локарнской классификации 51</w:t>
            </w:r>
            <w:r w:rsidRPr="006A72EE">
              <w:rPr>
                <w:sz w:val="16"/>
                <w:szCs w:val="16"/>
              </w:rPr>
              <w:t> </w:t>
            </w:r>
            <w:r w:rsidRPr="0055116C">
              <w:rPr>
                <w:sz w:val="16"/>
                <w:szCs w:val="16"/>
                <w:lang w:val="ru-RU"/>
              </w:rPr>
              <w:t xml:space="preserve">075 (рост на 39,1%) (33,5% посещений страницы приходится на развивающиеся страны) </w:t>
            </w:r>
          </w:p>
          <w:p w:rsidR="0055116C" w:rsidRPr="0055116C" w:rsidRDefault="0055116C" w:rsidP="0055116C">
            <w:pPr>
              <w:pStyle w:val="Default"/>
              <w:rPr>
                <w:sz w:val="16"/>
                <w:szCs w:val="16"/>
                <w:lang w:val="ru-RU"/>
              </w:rPr>
            </w:pPr>
          </w:p>
          <w:p w:rsidR="0055116C" w:rsidRPr="0055116C" w:rsidRDefault="0055116C" w:rsidP="0055116C">
            <w:pPr>
              <w:pStyle w:val="Default"/>
              <w:rPr>
                <w:sz w:val="16"/>
                <w:szCs w:val="16"/>
                <w:lang w:val="ru-RU"/>
              </w:rPr>
            </w:pPr>
            <w:r w:rsidRPr="0055116C">
              <w:rPr>
                <w:sz w:val="16"/>
                <w:szCs w:val="16"/>
                <w:lang w:val="ru-RU"/>
              </w:rPr>
              <w:t>Главная страница Венской классификации: 34</w:t>
            </w:r>
            <w:r w:rsidRPr="006A72EE">
              <w:rPr>
                <w:sz w:val="16"/>
                <w:szCs w:val="16"/>
              </w:rPr>
              <w:t> </w:t>
            </w:r>
            <w:r w:rsidRPr="0055116C">
              <w:rPr>
                <w:sz w:val="16"/>
                <w:szCs w:val="16"/>
                <w:lang w:val="ru-RU"/>
              </w:rPr>
              <w:t xml:space="preserve">830 (рост на 7,4%) (38,8% посещений страницы приходится на развивающиеся страны) </w:t>
            </w:r>
          </w:p>
          <w:p w:rsidR="0055116C" w:rsidRPr="0055116C" w:rsidRDefault="0055116C" w:rsidP="0055116C">
            <w:pPr>
              <w:pStyle w:val="Default"/>
              <w:rPr>
                <w:sz w:val="16"/>
                <w:szCs w:val="16"/>
                <w:lang w:val="ru-RU"/>
              </w:rPr>
            </w:pPr>
          </w:p>
          <w:p w:rsidR="0055116C" w:rsidRPr="0055116C" w:rsidRDefault="0055116C" w:rsidP="0055116C">
            <w:pPr>
              <w:pStyle w:val="Default"/>
              <w:rPr>
                <w:sz w:val="16"/>
                <w:szCs w:val="16"/>
                <w:lang w:val="ru-RU"/>
              </w:rPr>
            </w:pPr>
            <w:r w:rsidRPr="0055116C">
              <w:rPr>
                <w:sz w:val="16"/>
                <w:szCs w:val="16"/>
                <w:lang w:val="ru-RU"/>
              </w:rPr>
              <w:t>Стандарты ВОИС (Справочник): 69</w:t>
            </w:r>
            <w:r w:rsidRPr="006A72EE">
              <w:rPr>
                <w:sz w:val="16"/>
                <w:szCs w:val="16"/>
              </w:rPr>
              <w:t> </w:t>
            </w:r>
            <w:r w:rsidRPr="0055116C">
              <w:rPr>
                <w:sz w:val="16"/>
                <w:szCs w:val="16"/>
                <w:lang w:val="ru-RU"/>
              </w:rPr>
              <w:t xml:space="preserve">288 (снижение на 26,7%) (33,6% посещений страницы приходится на развивающиеся страны) </w:t>
            </w:r>
          </w:p>
        </w:tc>
        <w:tc>
          <w:tcPr>
            <w:tcW w:w="620" w:type="pct"/>
            <w:shd w:val="clear" w:color="auto" w:fill="auto"/>
            <w:tcMar>
              <w:top w:w="110" w:type="dxa"/>
            </w:tcMar>
          </w:tcPr>
          <w:p w:rsidR="0055116C" w:rsidRPr="0055116C" w:rsidRDefault="0055116C" w:rsidP="0055116C">
            <w:pPr>
              <w:keepNext/>
              <w:keepLines/>
              <w:jc w:val="center"/>
              <w:rPr>
                <w:rFonts w:cs="Arial"/>
                <w:b/>
                <w:bCs/>
                <w:color w:val="00B050"/>
                <w:sz w:val="16"/>
                <w:szCs w:val="16"/>
                <w:lang w:val="ru-RU"/>
              </w:rPr>
            </w:pPr>
            <w:r w:rsidRPr="0055116C">
              <w:rPr>
                <w:b/>
                <w:color w:val="FF0000"/>
                <w:sz w:val="16"/>
                <w:szCs w:val="16"/>
                <w:lang w:val="ru-RU"/>
              </w:rPr>
              <w:t>Не выполнено</w:t>
            </w:r>
          </w:p>
          <w:p w:rsidR="0055116C" w:rsidRPr="0055116C" w:rsidRDefault="0055116C" w:rsidP="0055116C">
            <w:pPr>
              <w:keepNext/>
              <w:keepLines/>
              <w:jc w:val="center"/>
              <w:rPr>
                <w:rFonts w:cs="Arial"/>
                <w:b/>
                <w:bCs/>
                <w:color w:val="FF0000"/>
                <w:sz w:val="16"/>
                <w:szCs w:val="16"/>
                <w:lang w:val="ru-RU"/>
              </w:rPr>
            </w:pPr>
          </w:p>
          <w:p w:rsidR="0055116C" w:rsidRPr="0055116C" w:rsidRDefault="0055116C" w:rsidP="0055116C">
            <w:pPr>
              <w:keepNext/>
              <w:keepLines/>
              <w:jc w:val="center"/>
              <w:rPr>
                <w:rFonts w:cs="Arial"/>
                <w:b/>
                <w:bCs/>
                <w:color w:val="FF0000"/>
                <w:sz w:val="16"/>
                <w:szCs w:val="16"/>
                <w:lang w:val="ru-RU"/>
              </w:rPr>
            </w:pPr>
          </w:p>
          <w:p w:rsidR="0055116C" w:rsidRPr="0055116C" w:rsidRDefault="0055116C" w:rsidP="0055116C">
            <w:pPr>
              <w:keepNext/>
              <w:keepLines/>
              <w:jc w:val="center"/>
              <w:rPr>
                <w:rFonts w:cs="Arial"/>
                <w:b/>
                <w:bCs/>
                <w:color w:val="FF0000"/>
                <w:sz w:val="16"/>
                <w:szCs w:val="16"/>
                <w:lang w:val="ru-RU"/>
              </w:rPr>
            </w:pPr>
          </w:p>
          <w:p w:rsidR="0055116C" w:rsidRPr="0055116C" w:rsidRDefault="0055116C" w:rsidP="0055116C">
            <w:pPr>
              <w:keepNext/>
              <w:keepLines/>
              <w:jc w:val="center"/>
              <w:rPr>
                <w:rFonts w:cs="Arial"/>
                <w:b/>
                <w:bCs/>
                <w:color w:val="00B050"/>
                <w:sz w:val="16"/>
                <w:szCs w:val="16"/>
                <w:lang w:val="ru-RU"/>
              </w:rPr>
            </w:pPr>
            <w:r w:rsidRPr="0055116C">
              <w:rPr>
                <w:b/>
                <w:color w:val="00B050"/>
                <w:sz w:val="16"/>
                <w:szCs w:val="16"/>
                <w:lang w:val="ru-RU"/>
              </w:rPr>
              <w:t>Выполнено</w:t>
            </w: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E36C0A" w:themeColor="accent6" w:themeShade="BF"/>
                <w:sz w:val="16"/>
                <w:szCs w:val="16"/>
                <w:lang w:val="ru-RU"/>
              </w:rPr>
            </w:pPr>
            <w:r w:rsidRPr="0055116C">
              <w:rPr>
                <w:b/>
                <w:color w:val="E36C0A" w:themeColor="accent6" w:themeShade="BF"/>
                <w:sz w:val="16"/>
                <w:szCs w:val="16"/>
                <w:lang w:val="ru-RU"/>
              </w:rPr>
              <w:t>Частично выполнено</w:t>
            </w:r>
          </w:p>
          <w:p w:rsidR="0055116C" w:rsidRPr="0055116C" w:rsidRDefault="0055116C" w:rsidP="0055116C">
            <w:pPr>
              <w:keepNext/>
              <w:keepLines/>
              <w:jc w:val="center"/>
              <w:rPr>
                <w:rFonts w:cs="Arial"/>
                <w:b/>
                <w:bCs/>
                <w:color w:val="E36C0A" w:themeColor="accent6" w:themeShade="BF"/>
                <w:sz w:val="16"/>
                <w:szCs w:val="16"/>
                <w:lang w:val="ru-RU"/>
              </w:rPr>
            </w:pPr>
          </w:p>
          <w:p w:rsidR="0055116C" w:rsidRPr="0055116C" w:rsidRDefault="0055116C" w:rsidP="0055116C">
            <w:pPr>
              <w:keepNext/>
              <w:keepLines/>
              <w:jc w:val="center"/>
              <w:rPr>
                <w:rFonts w:cs="Arial"/>
                <w:b/>
                <w:bCs/>
                <w:color w:val="E36C0A" w:themeColor="accent6" w:themeShade="BF"/>
                <w:sz w:val="16"/>
                <w:szCs w:val="16"/>
                <w:lang w:val="ru-RU"/>
              </w:rPr>
            </w:pPr>
          </w:p>
          <w:p w:rsidR="0055116C" w:rsidRPr="0055116C" w:rsidRDefault="0055116C" w:rsidP="0055116C">
            <w:pPr>
              <w:keepNext/>
              <w:keepLines/>
              <w:jc w:val="center"/>
              <w:rPr>
                <w:rFonts w:cs="Arial"/>
                <w:b/>
                <w:bCs/>
                <w:color w:val="E36C0A" w:themeColor="accent6" w:themeShade="BF"/>
                <w:sz w:val="16"/>
                <w:szCs w:val="16"/>
                <w:lang w:val="ru-RU"/>
              </w:rPr>
            </w:pPr>
          </w:p>
          <w:p w:rsidR="0055116C" w:rsidRPr="0055116C" w:rsidRDefault="0055116C" w:rsidP="0055116C">
            <w:pPr>
              <w:keepNext/>
              <w:keepLines/>
              <w:jc w:val="center"/>
              <w:rPr>
                <w:rFonts w:cs="Arial"/>
                <w:b/>
                <w:bCs/>
                <w:color w:val="E36C0A" w:themeColor="accent6" w:themeShade="BF"/>
                <w:sz w:val="16"/>
                <w:szCs w:val="16"/>
                <w:lang w:val="ru-RU"/>
              </w:rPr>
            </w:pPr>
          </w:p>
          <w:p w:rsidR="0055116C" w:rsidRPr="0055116C" w:rsidRDefault="0055116C" w:rsidP="0055116C">
            <w:pPr>
              <w:keepNext/>
              <w:keepLines/>
              <w:jc w:val="center"/>
              <w:rPr>
                <w:rFonts w:cs="Arial"/>
                <w:b/>
                <w:bCs/>
                <w:color w:val="E36C0A" w:themeColor="accent6" w:themeShade="BF"/>
                <w:sz w:val="16"/>
                <w:szCs w:val="16"/>
                <w:lang w:val="ru-RU"/>
              </w:rPr>
            </w:pPr>
          </w:p>
          <w:p w:rsidR="0055116C" w:rsidRPr="0055116C" w:rsidRDefault="0055116C" w:rsidP="0055116C">
            <w:pPr>
              <w:keepNext/>
              <w:keepLines/>
              <w:jc w:val="center"/>
              <w:rPr>
                <w:rFonts w:cs="Arial"/>
                <w:b/>
                <w:bCs/>
                <w:color w:val="00B050"/>
                <w:sz w:val="16"/>
                <w:szCs w:val="16"/>
                <w:lang w:val="ru-RU"/>
              </w:rPr>
            </w:pPr>
            <w:r w:rsidRPr="0055116C">
              <w:rPr>
                <w:b/>
                <w:color w:val="00B050"/>
                <w:sz w:val="16"/>
                <w:szCs w:val="16"/>
                <w:lang w:val="ru-RU"/>
              </w:rPr>
              <w:t>Выполнено</w:t>
            </w:r>
          </w:p>
          <w:p w:rsidR="0055116C" w:rsidRPr="0055116C" w:rsidRDefault="0055116C" w:rsidP="0055116C">
            <w:pPr>
              <w:keepNext/>
              <w:keepLines/>
              <w:jc w:val="center"/>
              <w:rPr>
                <w:rFonts w:cs="Arial"/>
                <w:bCs/>
                <w:color w:val="808080"/>
                <w:sz w:val="16"/>
                <w:szCs w:val="16"/>
                <w:lang w:val="ru-RU"/>
              </w:rPr>
            </w:pPr>
          </w:p>
          <w:p w:rsidR="0055116C" w:rsidRPr="0055116C" w:rsidRDefault="0055116C" w:rsidP="0055116C">
            <w:pPr>
              <w:keepNext/>
              <w:keepLines/>
              <w:rPr>
                <w:rFonts w:cs="Arial"/>
                <w:bCs/>
                <w:color w:val="808080"/>
                <w:sz w:val="16"/>
                <w:szCs w:val="16"/>
                <w:lang w:val="ru-RU"/>
              </w:rPr>
            </w:pPr>
          </w:p>
          <w:p w:rsidR="0055116C" w:rsidRPr="0055116C" w:rsidRDefault="0055116C" w:rsidP="0055116C">
            <w:pPr>
              <w:keepNext/>
              <w:keepLines/>
              <w:rPr>
                <w:rFonts w:cs="Arial"/>
                <w:bCs/>
                <w:color w:val="808080"/>
                <w:sz w:val="16"/>
                <w:szCs w:val="16"/>
                <w:lang w:val="ru-RU"/>
              </w:rPr>
            </w:pPr>
          </w:p>
          <w:p w:rsidR="0055116C" w:rsidRPr="0055116C" w:rsidRDefault="0055116C" w:rsidP="0055116C">
            <w:pPr>
              <w:keepNext/>
              <w:keepLines/>
              <w:rPr>
                <w:rFonts w:cs="Arial"/>
                <w:bCs/>
                <w:color w:val="808080"/>
                <w:sz w:val="16"/>
                <w:szCs w:val="16"/>
                <w:lang w:val="ru-RU"/>
              </w:rPr>
            </w:pPr>
          </w:p>
          <w:p w:rsidR="0055116C" w:rsidRPr="0055116C" w:rsidRDefault="0055116C" w:rsidP="0055116C">
            <w:pPr>
              <w:keepNext/>
              <w:keepLines/>
              <w:rPr>
                <w:rFonts w:cs="Arial"/>
                <w:bCs/>
                <w:color w:val="808080"/>
                <w:sz w:val="16"/>
                <w:szCs w:val="16"/>
                <w:lang w:val="ru-RU"/>
              </w:rPr>
            </w:pPr>
          </w:p>
          <w:p w:rsidR="0055116C" w:rsidRPr="006A72EE" w:rsidRDefault="0055116C" w:rsidP="0055116C">
            <w:pPr>
              <w:keepNext/>
              <w:keepLines/>
              <w:jc w:val="center"/>
              <w:rPr>
                <w:rFonts w:cs="Arial"/>
                <w:b/>
                <w:bCs/>
                <w:color w:val="00B050"/>
                <w:sz w:val="16"/>
                <w:szCs w:val="16"/>
              </w:rPr>
            </w:pPr>
            <w:r w:rsidRPr="006A72EE">
              <w:rPr>
                <w:b/>
                <w:color w:val="00B050"/>
                <w:sz w:val="16"/>
                <w:szCs w:val="16"/>
              </w:rPr>
              <w:t>Выполнено</w:t>
            </w:r>
          </w:p>
          <w:p w:rsidR="0055116C" w:rsidRDefault="0055116C" w:rsidP="0055116C">
            <w:pPr>
              <w:keepNext/>
              <w:keepLines/>
              <w:jc w:val="center"/>
              <w:rPr>
                <w:rFonts w:cs="Arial"/>
                <w:bCs/>
                <w:color w:val="808080"/>
                <w:sz w:val="16"/>
                <w:szCs w:val="16"/>
              </w:rPr>
            </w:pPr>
          </w:p>
          <w:p w:rsidR="0055116C" w:rsidRDefault="0055116C" w:rsidP="0055116C">
            <w:pPr>
              <w:keepNext/>
              <w:keepLines/>
              <w:jc w:val="center"/>
              <w:rPr>
                <w:rFonts w:cs="Arial"/>
                <w:bCs/>
                <w:color w:val="808080"/>
                <w:sz w:val="16"/>
                <w:szCs w:val="16"/>
              </w:rPr>
            </w:pPr>
          </w:p>
          <w:p w:rsidR="0055116C" w:rsidRPr="006A72EE" w:rsidRDefault="0055116C" w:rsidP="0055116C">
            <w:pPr>
              <w:keepNext/>
              <w:keepLines/>
              <w:jc w:val="center"/>
              <w:rPr>
                <w:rFonts w:cs="Arial"/>
                <w:bCs/>
                <w:color w:val="808080"/>
                <w:sz w:val="16"/>
                <w:szCs w:val="16"/>
              </w:rPr>
            </w:pPr>
          </w:p>
          <w:p w:rsidR="0055116C" w:rsidRPr="006A72EE" w:rsidRDefault="0055116C" w:rsidP="0055116C">
            <w:pPr>
              <w:keepNext/>
              <w:keepLines/>
              <w:jc w:val="center"/>
              <w:rPr>
                <w:rFonts w:cs="Arial"/>
                <w:bCs/>
                <w:color w:val="808080"/>
                <w:sz w:val="16"/>
                <w:szCs w:val="16"/>
              </w:rPr>
            </w:pPr>
          </w:p>
          <w:p w:rsidR="0055116C" w:rsidRPr="006A72EE" w:rsidRDefault="0055116C" w:rsidP="0055116C">
            <w:pPr>
              <w:keepNext/>
              <w:keepLines/>
              <w:jc w:val="center"/>
              <w:rPr>
                <w:rFonts w:cs="Arial"/>
                <w:bCs/>
                <w:color w:val="808080"/>
                <w:sz w:val="16"/>
                <w:szCs w:val="16"/>
              </w:rPr>
            </w:pPr>
          </w:p>
          <w:p w:rsidR="0055116C" w:rsidRDefault="0055116C" w:rsidP="0055116C">
            <w:pPr>
              <w:keepNext/>
              <w:keepLines/>
              <w:jc w:val="center"/>
              <w:rPr>
                <w:b/>
                <w:color w:val="00B050"/>
                <w:sz w:val="16"/>
                <w:szCs w:val="16"/>
              </w:rPr>
            </w:pPr>
            <w:r w:rsidRPr="006A72EE">
              <w:rPr>
                <w:b/>
                <w:color w:val="00B050"/>
                <w:sz w:val="16"/>
                <w:szCs w:val="16"/>
              </w:rPr>
              <w:t>Выполнено</w:t>
            </w:r>
          </w:p>
          <w:p w:rsidR="0055116C" w:rsidRDefault="0055116C" w:rsidP="0055116C">
            <w:pPr>
              <w:keepNext/>
              <w:keepLines/>
              <w:jc w:val="center"/>
              <w:rPr>
                <w:b/>
                <w:color w:val="00B050"/>
                <w:sz w:val="16"/>
                <w:szCs w:val="16"/>
              </w:rPr>
            </w:pPr>
          </w:p>
          <w:p w:rsidR="0055116C" w:rsidRPr="006A72EE" w:rsidRDefault="0055116C" w:rsidP="0055116C">
            <w:pPr>
              <w:keepNext/>
              <w:keepLines/>
              <w:jc w:val="center"/>
              <w:rPr>
                <w:rFonts w:cs="Arial"/>
                <w:b/>
                <w:bCs/>
                <w:color w:val="00B050"/>
                <w:sz w:val="16"/>
                <w:szCs w:val="16"/>
              </w:rPr>
            </w:pPr>
          </w:p>
          <w:p w:rsidR="0055116C" w:rsidRPr="006A72EE" w:rsidRDefault="0055116C" w:rsidP="0055116C">
            <w:pPr>
              <w:keepNext/>
              <w:keepLines/>
              <w:jc w:val="center"/>
              <w:rPr>
                <w:rFonts w:cs="Arial"/>
                <w:bCs/>
                <w:color w:val="808080"/>
                <w:sz w:val="16"/>
                <w:szCs w:val="16"/>
              </w:rPr>
            </w:pPr>
          </w:p>
          <w:p w:rsidR="0055116C" w:rsidRPr="006A72EE" w:rsidRDefault="0055116C" w:rsidP="0055116C">
            <w:pPr>
              <w:keepNext/>
              <w:keepLines/>
              <w:jc w:val="center"/>
              <w:rPr>
                <w:rFonts w:cs="Arial"/>
                <w:b/>
                <w:bCs/>
                <w:color w:val="FF0000"/>
                <w:sz w:val="16"/>
                <w:szCs w:val="16"/>
              </w:rPr>
            </w:pPr>
          </w:p>
          <w:p w:rsidR="0055116C" w:rsidRPr="006A72EE" w:rsidRDefault="0055116C" w:rsidP="0055116C">
            <w:pPr>
              <w:keepNext/>
              <w:keepLines/>
              <w:jc w:val="center"/>
              <w:rPr>
                <w:rFonts w:cs="Arial"/>
                <w:b/>
                <w:bCs/>
                <w:color w:val="FF0000"/>
                <w:sz w:val="16"/>
                <w:szCs w:val="16"/>
              </w:rPr>
            </w:pPr>
            <w:r w:rsidRPr="006A72EE">
              <w:rPr>
                <w:b/>
                <w:color w:val="FF0000"/>
                <w:sz w:val="16"/>
                <w:szCs w:val="16"/>
              </w:rPr>
              <w:t>Не выполнено</w:t>
            </w:r>
          </w:p>
          <w:p w:rsidR="0055116C" w:rsidRPr="006A72EE" w:rsidRDefault="0055116C" w:rsidP="0055116C">
            <w:pPr>
              <w:keepNext/>
              <w:keepLines/>
              <w:spacing w:after="120"/>
              <w:jc w:val="center"/>
              <w:rPr>
                <w:rFonts w:cs="Arial"/>
                <w:bCs/>
                <w:color w:val="808080"/>
                <w:sz w:val="16"/>
                <w:szCs w:val="16"/>
              </w:rPr>
            </w:pPr>
          </w:p>
        </w:tc>
      </w:tr>
    </w:tbl>
    <w:p w:rsidR="0055116C" w:rsidRDefault="0055116C" w:rsidP="0055116C">
      <w:pPr>
        <w:jc w:val="both"/>
        <w:rPr>
          <w:rFonts w:cs="Arial"/>
          <w:color w:val="000000"/>
          <w:sz w:val="22"/>
          <w:szCs w:val="22"/>
        </w:rPr>
      </w:pPr>
    </w:p>
    <w:p w:rsidR="0055116C" w:rsidRDefault="0055116C" w:rsidP="0055116C">
      <w:pPr>
        <w:jc w:val="both"/>
        <w:rPr>
          <w:rFonts w:cs="Arial"/>
          <w:color w:val="000000"/>
          <w:sz w:val="22"/>
          <w:szCs w:val="22"/>
        </w:rPr>
      </w:pPr>
    </w:p>
    <w:p w:rsidR="0055116C" w:rsidRPr="0055116C" w:rsidRDefault="0055116C" w:rsidP="0055116C">
      <w:pPr>
        <w:keepNext/>
        <w:keepLines/>
        <w:rPr>
          <w:rFonts w:cs="Arial"/>
          <w:color w:val="000000"/>
          <w:szCs w:val="22"/>
          <w:lang w:val="ru-RU"/>
        </w:rPr>
      </w:pPr>
      <w:r w:rsidRPr="0055116C">
        <w:rPr>
          <w:color w:val="000000"/>
          <w:lang w:val="ru-RU"/>
        </w:rPr>
        <w:t>ОТЧЕТ О РИСКАХ В ДВУХЛЕТНИЙ ПЕРИОД</w:t>
      </w:r>
    </w:p>
    <w:p w:rsidR="0055116C" w:rsidRPr="0055116C" w:rsidRDefault="0055116C" w:rsidP="0055116C">
      <w:pPr>
        <w:keepNext/>
        <w:keepLines/>
        <w:rPr>
          <w:sz w:val="18"/>
          <w:lang w:val="ru-RU"/>
        </w:rPr>
      </w:pP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20"/>
        <w:gridCol w:w="2200"/>
        <w:gridCol w:w="2310"/>
        <w:gridCol w:w="2306"/>
      </w:tblGrid>
      <w:tr w:rsidR="0055116C" w:rsidRPr="003C527B" w:rsidTr="0055116C">
        <w:trPr>
          <w:trHeight w:val="597"/>
          <w:jc w:val="center"/>
        </w:trPr>
        <w:tc>
          <w:tcPr>
            <w:tcW w:w="2420" w:type="dxa"/>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keepNext/>
              <w:keepLines/>
              <w:autoSpaceDE w:val="0"/>
              <w:autoSpaceDN w:val="0"/>
              <w:adjustRightInd w:val="0"/>
              <w:ind w:right="-59"/>
              <w:jc w:val="center"/>
              <w:rPr>
                <w:b/>
                <w:bCs/>
                <w:iCs/>
                <w:sz w:val="18"/>
                <w:szCs w:val="18"/>
                <w:lang w:val="ru-RU"/>
              </w:rPr>
            </w:pPr>
            <w:r w:rsidRPr="0055116C">
              <w:rPr>
                <w:b/>
                <w:sz w:val="18"/>
                <w:lang w:val="ru-RU"/>
              </w:rPr>
              <w:t>Риск (риски) того, что программа не достигнет своих результатов</w:t>
            </w:r>
          </w:p>
        </w:tc>
        <w:tc>
          <w:tcPr>
            <w:tcW w:w="2200" w:type="dxa"/>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keepNext/>
              <w:keepLines/>
              <w:autoSpaceDE w:val="0"/>
              <w:autoSpaceDN w:val="0"/>
              <w:adjustRightInd w:val="0"/>
              <w:ind w:right="-59"/>
              <w:jc w:val="center"/>
              <w:rPr>
                <w:b/>
                <w:bCs/>
                <w:iCs/>
                <w:sz w:val="18"/>
                <w:szCs w:val="18"/>
                <w:lang w:val="ru-RU"/>
              </w:rPr>
            </w:pPr>
            <w:r w:rsidRPr="0055116C">
              <w:rPr>
                <w:b/>
                <w:sz w:val="18"/>
                <w:lang w:val="ru-RU"/>
              </w:rPr>
              <w:t xml:space="preserve">Внедренные или разрабатываемые планы мер по снижению рисков </w:t>
            </w:r>
          </w:p>
        </w:tc>
        <w:tc>
          <w:tcPr>
            <w:tcW w:w="2310" w:type="dxa"/>
            <w:tcBorders>
              <w:top w:val="single" w:sz="4" w:space="0" w:color="auto"/>
              <w:bottom w:val="single" w:sz="4" w:space="0" w:color="auto"/>
            </w:tcBorders>
            <w:shd w:val="clear" w:color="auto" w:fill="C6D9F1" w:themeFill="text2" w:themeFillTint="33"/>
          </w:tcPr>
          <w:p w:rsidR="0055116C" w:rsidRPr="0055116C" w:rsidRDefault="0055116C" w:rsidP="0055116C">
            <w:pPr>
              <w:jc w:val="center"/>
              <w:rPr>
                <w:b/>
                <w:bCs/>
                <w:sz w:val="18"/>
                <w:szCs w:val="18"/>
                <w:lang w:val="ru-RU"/>
              </w:rPr>
            </w:pPr>
            <w:r w:rsidRPr="0055116C">
              <w:rPr>
                <w:b/>
                <w:sz w:val="18"/>
                <w:lang w:val="ru-RU"/>
              </w:rPr>
              <w:t>Оценка риска (рисков) и стратегии его (их) смягчения в двухлетний период</w:t>
            </w:r>
          </w:p>
        </w:tc>
        <w:tc>
          <w:tcPr>
            <w:tcW w:w="2306" w:type="dxa"/>
            <w:tcBorders>
              <w:top w:val="single" w:sz="4" w:space="0" w:color="auto"/>
              <w:bottom w:val="single" w:sz="4" w:space="0" w:color="auto"/>
            </w:tcBorders>
            <w:shd w:val="clear" w:color="auto" w:fill="C6D9F1" w:themeFill="text2" w:themeFillTint="33"/>
          </w:tcPr>
          <w:p w:rsidR="0055116C" w:rsidRPr="003C527B" w:rsidRDefault="0055116C" w:rsidP="0055116C">
            <w:pPr>
              <w:jc w:val="center"/>
              <w:rPr>
                <w:b/>
                <w:bCs/>
                <w:sz w:val="18"/>
                <w:szCs w:val="18"/>
              </w:rPr>
            </w:pPr>
            <w:r>
              <w:rPr>
                <w:b/>
                <w:sz w:val="18"/>
              </w:rPr>
              <w:t>Влияние на реализацию программы</w:t>
            </w:r>
          </w:p>
        </w:tc>
      </w:tr>
      <w:tr w:rsidR="0055116C" w:rsidRPr="003C527B" w:rsidTr="0055116C">
        <w:trPr>
          <w:trHeight w:val="799"/>
          <w:jc w:val="center"/>
        </w:trPr>
        <w:tc>
          <w:tcPr>
            <w:tcW w:w="2420" w:type="dxa"/>
            <w:tcBorders>
              <w:top w:val="single" w:sz="4" w:space="0" w:color="auto"/>
            </w:tcBorders>
            <w:shd w:val="clear" w:color="auto" w:fill="auto"/>
            <w:tcMar>
              <w:top w:w="113" w:type="dxa"/>
            </w:tcMar>
          </w:tcPr>
          <w:p w:rsidR="0055116C" w:rsidRPr="0055116C" w:rsidRDefault="0055116C" w:rsidP="0055116C">
            <w:pPr>
              <w:autoSpaceDE w:val="0"/>
              <w:autoSpaceDN w:val="0"/>
              <w:adjustRightInd w:val="0"/>
              <w:ind w:right="-59"/>
              <w:rPr>
                <w:sz w:val="16"/>
                <w:szCs w:val="16"/>
                <w:lang w:val="ru-RU"/>
              </w:rPr>
            </w:pPr>
            <w:r w:rsidRPr="0055116C">
              <w:rPr>
                <w:color w:val="000000"/>
                <w:sz w:val="16"/>
                <w:lang w:val="ru-RU"/>
              </w:rPr>
              <w:t>Отсутствие консенсуса между группами стран может затруднить деятельность по техническому развитию стандартов и классификаций.</w:t>
            </w:r>
          </w:p>
        </w:tc>
        <w:tc>
          <w:tcPr>
            <w:tcW w:w="2200" w:type="dxa"/>
            <w:tcBorders>
              <w:top w:val="single" w:sz="4" w:space="0" w:color="auto"/>
            </w:tcBorders>
            <w:shd w:val="clear" w:color="auto" w:fill="auto"/>
            <w:tcMar>
              <w:top w:w="113" w:type="dxa"/>
            </w:tcMar>
          </w:tcPr>
          <w:p w:rsidR="0055116C" w:rsidRPr="003C527B" w:rsidRDefault="0055116C" w:rsidP="0055116C">
            <w:pPr>
              <w:autoSpaceDE w:val="0"/>
              <w:autoSpaceDN w:val="0"/>
              <w:adjustRightInd w:val="0"/>
              <w:ind w:right="-59"/>
              <w:rPr>
                <w:sz w:val="16"/>
                <w:szCs w:val="16"/>
              </w:rPr>
            </w:pPr>
            <w:r w:rsidRPr="0055116C">
              <w:rPr>
                <w:color w:val="000000"/>
                <w:sz w:val="16"/>
                <w:lang w:val="ru-RU"/>
              </w:rPr>
              <w:t xml:space="preserve">Обсуждение вопросов и поиск решений за рамками комитетов. Активизация дискуссий по техническим вопросам в рамках комитетов.  </w:t>
            </w:r>
            <w:r>
              <w:rPr>
                <w:color w:val="000000"/>
                <w:sz w:val="16"/>
              </w:rPr>
              <w:t xml:space="preserve">Контроль за выполнением долгосрочных планов. </w:t>
            </w:r>
          </w:p>
        </w:tc>
        <w:tc>
          <w:tcPr>
            <w:tcW w:w="2310" w:type="dxa"/>
            <w:tcBorders>
              <w:top w:val="single" w:sz="4" w:space="0" w:color="auto"/>
            </w:tcBorders>
          </w:tcPr>
          <w:p w:rsidR="0055116C" w:rsidRPr="0055116C" w:rsidRDefault="0055116C" w:rsidP="0055116C">
            <w:pPr>
              <w:autoSpaceDE w:val="0"/>
              <w:autoSpaceDN w:val="0"/>
              <w:adjustRightInd w:val="0"/>
              <w:ind w:right="-59"/>
              <w:rPr>
                <w:rFonts w:eastAsia="Arial Unicode MS"/>
                <w:color w:val="000000"/>
                <w:sz w:val="16"/>
                <w:szCs w:val="16"/>
                <w:lang w:val="ru-RU"/>
              </w:rPr>
            </w:pPr>
            <w:r w:rsidRPr="0055116C">
              <w:rPr>
                <w:color w:val="000000"/>
                <w:sz w:val="16"/>
                <w:lang w:val="ru-RU"/>
              </w:rPr>
              <w:t>Проблема, связанная с сессией КСВ, была по-прежнему актуальна, несмотря на несколько неофициальных встреч, проведенных в 2014</w:t>
            </w:r>
            <w:r>
              <w:rPr>
                <w:color w:val="000000"/>
                <w:sz w:val="16"/>
              </w:rPr>
              <w:t> </w:t>
            </w:r>
            <w:r w:rsidRPr="0055116C">
              <w:rPr>
                <w:color w:val="000000"/>
                <w:sz w:val="16"/>
                <w:lang w:val="ru-RU"/>
              </w:rPr>
              <w:t>г. и 2015</w:t>
            </w:r>
            <w:r>
              <w:rPr>
                <w:color w:val="000000"/>
                <w:sz w:val="16"/>
              </w:rPr>
              <w:t> </w:t>
            </w:r>
            <w:r w:rsidRPr="0055116C">
              <w:rPr>
                <w:color w:val="000000"/>
                <w:sz w:val="16"/>
                <w:lang w:val="ru-RU"/>
              </w:rPr>
              <w:t>г.</w:t>
            </w:r>
          </w:p>
        </w:tc>
        <w:tc>
          <w:tcPr>
            <w:tcW w:w="2306" w:type="dxa"/>
            <w:tcBorders>
              <w:top w:val="single" w:sz="4" w:space="0" w:color="auto"/>
            </w:tcBorders>
          </w:tcPr>
          <w:p w:rsidR="0055116C" w:rsidRPr="003C527B" w:rsidRDefault="0055116C" w:rsidP="0055116C">
            <w:pPr>
              <w:autoSpaceDE w:val="0"/>
              <w:autoSpaceDN w:val="0"/>
              <w:adjustRightInd w:val="0"/>
              <w:ind w:right="-59"/>
              <w:rPr>
                <w:rFonts w:eastAsia="Arial Unicode MS"/>
                <w:color w:val="000000"/>
                <w:sz w:val="16"/>
                <w:szCs w:val="16"/>
              </w:rPr>
            </w:pPr>
            <w:r w:rsidRPr="0055116C">
              <w:rPr>
                <w:color w:val="000000"/>
                <w:sz w:val="16"/>
                <w:lang w:val="ru-RU"/>
              </w:rPr>
              <w:t xml:space="preserve">КСВ не смог официально принять несколько новых стандартов.  Однако работа в неофициальном формате продолжалась. </w:t>
            </w:r>
            <w:r>
              <w:rPr>
                <w:color w:val="000000"/>
                <w:sz w:val="16"/>
              </w:rPr>
              <w:t>Ожидается, что несколько стандартов будут приняты в 2016 г.</w:t>
            </w:r>
          </w:p>
        </w:tc>
      </w:tr>
    </w:tbl>
    <w:p w:rsidR="0055116C" w:rsidRDefault="0055116C" w:rsidP="0055116C">
      <w:pPr>
        <w:jc w:val="both"/>
        <w:rPr>
          <w:rFonts w:cs="Arial"/>
          <w:color w:val="000000"/>
          <w:sz w:val="22"/>
          <w:szCs w:val="22"/>
        </w:rPr>
      </w:pPr>
    </w:p>
    <w:p w:rsidR="0055116C" w:rsidRDefault="0055116C" w:rsidP="0055116C">
      <w:pPr>
        <w:jc w:val="both"/>
        <w:rPr>
          <w:rFonts w:cs="Arial"/>
          <w:color w:val="000000"/>
          <w:sz w:val="22"/>
          <w:szCs w:val="22"/>
        </w:rPr>
      </w:pPr>
    </w:p>
    <w:p w:rsidR="0055116C" w:rsidRDefault="0055116C" w:rsidP="0055116C">
      <w:pPr>
        <w:jc w:val="both"/>
        <w:rPr>
          <w:rFonts w:cs="Arial"/>
          <w:color w:val="000000"/>
          <w:sz w:val="22"/>
          <w:szCs w:val="22"/>
        </w:rPr>
      </w:pPr>
    </w:p>
    <w:p w:rsidR="0055116C" w:rsidRDefault="0055116C" w:rsidP="0055116C">
      <w:pPr>
        <w:jc w:val="both"/>
        <w:rPr>
          <w:rFonts w:cs="Arial"/>
          <w:color w:val="000000"/>
          <w:sz w:val="22"/>
          <w:szCs w:val="22"/>
        </w:rPr>
      </w:pPr>
    </w:p>
    <w:p w:rsidR="0055116C" w:rsidRDefault="0055116C" w:rsidP="0055116C">
      <w:pPr>
        <w:jc w:val="both"/>
        <w:rPr>
          <w:rFonts w:cs="Arial"/>
          <w:color w:val="000000"/>
          <w:sz w:val="22"/>
          <w:szCs w:val="22"/>
        </w:rPr>
      </w:pPr>
    </w:p>
    <w:p w:rsidR="0055116C" w:rsidRDefault="0055116C" w:rsidP="0055116C">
      <w:pPr>
        <w:spacing w:after="200" w:line="276" w:lineRule="auto"/>
        <w:rPr>
          <w:color w:val="000000"/>
        </w:rPr>
      </w:pPr>
      <w:r>
        <w:rPr>
          <w:color w:val="000000"/>
        </w:rPr>
        <w:br w:type="page"/>
      </w:r>
    </w:p>
    <w:p w:rsidR="0055116C" w:rsidRPr="0055116C" w:rsidRDefault="0055116C" w:rsidP="0055116C">
      <w:pPr>
        <w:jc w:val="both"/>
        <w:rPr>
          <w:b/>
          <w:sz w:val="16"/>
          <w:szCs w:val="18"/>
          <w:lang w:val="ru-RU"/>
        </w:rPr>
      </w:pPr>
      <w:r w:rsidRPr="0055116C">
        <w:rPr>
          <w:color w:val="000000"/>
          <w:lang w:val="ru-RU"/>
        </w:rPr>
        <w:t>ИСПОЛЬЗОВАНИЕ РЕСУРСОВ</w:t>
      </w:r>
      <w:r w:rsidRPr="0055116C">
        <w:rPr>
          <w:lang w:val="ru-RU"/>
        </w:rPr>
        <w:tab/>
      </w:r>
    </w:p>
    <w:p w:rsidR="0055116C" w:rsidRPr="0055116C" w:rsidRDefault="0055116C" w:rsidP="0055116C">
      <w:pPr>
        <w:jc w:val="both"/>
        <w:rPr>
          <w:szCs w:val="20"/>
          <w:lang w:val="ru-RU"/>
        </w:rPr>
      </w:pPr>
    </w:p>
    <w:p w:rsidR="0055116C" w:rsidRPr="0055116C" w:rsidRDefault="0055116C" w:rsidP="0055116C">
      <w:pPr>
        <w:pStyle w:val="NormalWeb"/>
        <w:spacing w:before="0" w:beforeAutospacing="0" w:after="0" w:afterAutospacing="0"/>
        <w:jc w:val="center"/>
        <w:rPr>
          <w:sz w:val="20"/>
          <w:szCs w:val="20"/>
          <w:lang w:val="ru-RU"/>
        </w:rPr>
      </w:pPr>
      <w:r w:rsidRPr="0055116C">
        <w:rPr>
          <w:color w:val="000000"/>
          <w:sz w:val="20"/>
          <w:lang w:val="ru-RU"/>
        </w:rPr>
        <w:t>Бюджет и фактические расходы (в разбивке по результатам)</w:t>
      </w:r>
    </w:p>
    <w:p w:rsidR="0055116C" w:rsidRDefault="0055116C" w:rsidP="0055116C">
      <w:pPr>
        <w:pStyle w:val="NormalWeb"/>
        <w:spacing w:before="0" w:beforeAutospacing="0" w:after="0" w:afterAutospacing="0"/>
        <w:jc w:val="center"/>
        <w:rPr>
          <w:i/>
          <w:iCs/>
          <w:color w:val="000000"/>
          <w:sz w:val="20"/>
          <w:szCs w:val="20"/>
        </w:rPr>
      </w:pPr>
      <w:r>
        <w:rPr>
          <w:i/>
          <w:color w:val="000000"/>
          <w:sz w:val="20"/>
        </w:rPr>
        <w:t>(в тыс. шв. франков)</w:t>
      </w:r>
    </w:p>
    <w:p w:rsidR="0055116C" w:rsidRPr="00383D2D" w:rsidRDefault="0055116C" w:rsidP="0055116C">
      <w:pPr>
        <w:pStyle w:val="NormalWeb"/>
        <w:spacing w:before="0" w:beforeAutospacing="0" w:after="0" w:afterAutospacing="0"/>
        <w:jc w:val="both"/>
        <w:rPr>
          <w:sz w:val="20"/>
          <w:szCs w:val="20"/>
        </w:rPr>
      </w:pPr>
    </w:p>
    <w:p w:rsidR="0055116C" w:rsidRDefault="0055116C" w:rsidP="0055116C">
      <w:pPr>
        <w:jc w:val="center"/>
      </w:pPr>
      <w:r>
        <w:rPr>
          <w:noProof/>
        </w:rPr>
        <w:drawing>
          <wp:inline distT="0" distB="0" distL="0" distR="0" wp14:anchorId="3CE9E4BD" wp14:editId="73F8EA78">
            <wp:extent cx="6151880" cy="1503932"/>
            <wp:effectExtent l="0" t="0" r="1270" b="127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151880" cy="1503932"/>
                    </a:xfrm>
                    <a:prstGeom prst="rect">
                      <a:avLst/>
                    </a:prstGeom>
                    <a:noFill/>
                    <a:ln>
                      <a:noFill/>
                    </a:ln>
                  </pic:spPr>
                </pic:pic>
              </a:graphicData>
            </a:graphic>
          </wp:inline>
        </w:drawing>
      </w:r>
    </w:p>
    <w:p w:rsidR="0055116C" w:rsidRDefault="0055116C" w:rsidP="0055116C">
      <w:pPr>
        <w:jc w:val="both"/>
      </w:pPr>
    </w:p>
    <w:p w:rsidR="0055116C" w:rsidRDefault="0055116C" w:rsidP="0055116C">
      <w:pPr>
        <w:pStyle w:val="NormalWeb"/>
        <w:keepNext/>
        <w:keepLines/>
        <w:spacing w:before="0" w:beforeAutospacing="0" w:after="0" w:afterAutospacing="0"/>
        <w:jc w:val="center"/>
        <w:rPr>
          <w:color w:val="000000"/>
          <w:sz w:val="20"/>
          <w:szCs w:val="20"/>
        </w:rPr>
      </w:pPr>
    </w:p>
    <w:p w:rsidR="0055116C" w:rsidRPr="0055116C" w:rsidRDefault="0055116C" w:rsidP="0055116C">
      <w:pPr>
        <w:pStyle w:val="NormalWeb"/>
        <w:keepNext/>
        <w:keepLines/>
        <w:spacing w:before="0" w:beforeAutospacing="0" w:after="0" w:afterAutospacing="0"/>
        <w:jc w:val="center"/>
        <w:rPr>
          <w:sz w:val="20"/>
          <w:szCs w:val="20"/>
          <w:lang w:val="ru-RU"/>
        </w:rPr>
      </w:pPr>
      <w:r w:rsidRPr="0055116C">
        <w:rPr>
          <w:color w:val="000000"/>
          <w:sz w:val="20"/>
          <w:lang w:val="ru-RU"/>
        </w:rPr>
        <w:t>Бюджет и фактические расходы (по персоналу и не связанные с персоналом)</w:t>
      </w:r>
    </w:p>
    <w:p w:rsidR="0055116C" w:rsidRPr="00383D2D" w:rsidRDefault="0055116C" w:rsidP="0055116C">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55116C" w:rsidRDefault="0055116C" w:rsidP="0055116C">
      <w:pPr>
        <w:pStyle w:val="NormalWeb"/>
        <w:keepNext/>
        <w:keepLines/>
        <w:spacing w:before="0" w:beforeAutospacing="0" w:after="0" w:afterAutospacing="0"/>
        <w:jc w:val="both"/>
      </w:pPr>
    </w:p>
    <w:p w:rsidR="0055116C" w:rsidRPr="008F4A6D" w:rsidRDefault="0055116C" w:rsidP="0055116C">
      <w:pPr>
        <w:widowControl w:val="0"/>
        <w:autoSpaceDE w:val="0"/>
        <w:autoSpaceDN w:val="0"/>
        <w:adjustRightInd w:val="0"/>
        <w:jc w:val="center"/>
        <w:rPr>
          <w:rFonts w:cs="Arial"/>
          <w:szCs w:val="20"/>
        </w:rPr>
      </w:pPr>
      <w:r>
        <w:rPr>
          <w:rFonts w:cs="Arial"/>
          <w:noProof/>
          <w:szCs w:val="20"/>
        </w:rPr>
        <w:drawing>
          <wp:inline distT="0" distB="0" distL="0" distR="0" wp14:anchorId="2F47E632" wp14:editId="7456D584">
            <wp:extent cx="6151880" cy="1288065"/>
            <wp:effectExtent l="0" t="0" r="1270" b="762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51880" cy="1288065"/>
                    </a:xfrm>
                    <a:prstGeom prst="rect">
                      <a:avLst/>
                    </a:prstGeom>
                    <a:noFill/>
                    <a:ln>
                      <a:noFill/>
                    </a:ln>
                  </pic:spPr>
                </pic:pic>
              </a:graphicData>
            </a:graphic>
          </wp:inline>
        </w:drawing>
      </w:r>
    </w:p>
    <w:p w:rsidR="0055116C" w:rsidRDefault="0055116C" w:rsidP="0055116C">
      <w:pPr>
        <w:widowControl w:val="0"/>
        <w:autoSpaceDE w:val="0"/>
        <w:autoSpaceDN w:val="0"/>
        <w:adjustRightInd w:val="0"/>
        <w:jc w:val="both"/>
        <w:rPr>
          <w:rFonts w:cs="Arial"/>
          <w:szCs w:val="20"/>
        </w:rPr>
      </w:pPr>
    </w:p>
    <w:p w:rsidR="0055116C" w:rsidRPr="001C6F4D" w:rsidRDefault="0055116C" w:rsidP="0055116C">
      <w:pPr>
        <w:widowControl w:val="0"/>
        <w:autoSpaceDE w:val="0"/>
        <w:autoSpaceDN w:val="0"/>
        <w:adjustRightInd w:val="0"/>
        <w:jc w:val="both"/>
        <w:rPr>
          <w:rFonts w:cs="Arial"/>
          <w:szCs w:val="20"/>
        </w:rPr>
      </w:pPr>
    </w:p>
    <w:p w:rsidR="0055116C" w:rsidRPr="0055116C" w:rsidRDefault="0055116C" w:rsidP="0055116C">
      <w:pPr>
        <w:jc w:val="both"/>
        <w:rPr>
          <w:rFonts w:cs="Arial"/>
          <w:u w:val="single"/>
          <w:lang w:val="ru-RU"/>
        </w:rPr>
      </w:pPr>
      <w:r>
        <w:t>A</w:t>
      </w:r>
      <w:r w:rsidRPr="0055116C">
        <w:rPr>
          <w:lang w:val="ru-RU"/>
        </w:rPr>
        <w:t>.</w:t>
      </w:r>
      <w:r w:rsidRPr="0055116C">
        <w:rPr>
          <w:lang w:val="ru-RU"/>
        </w:rPr>
        <w:tab/>
      </w:r>
      <w:r w:rsidRPr="0055116C">
        <w:rPr>
          <w:u w:val="single"/>
          <w:lang w:val="ru-RU"/>
        </w:rPr>
        <w:t xml:space="preserve">Итоговый бюджет на 2014–2015 гг. после перераспределения средств </w:t>
      </w:r>
    </w:p>
    <w:p w:rsidR="0055116C" w:rsidRPr="0055116C" w:rsidRDefault="0055116C" w:rsidP="0055116C">
      <w:pPr>
        <w:pStyle w:val="ListParagraph"/>
        <w:tabs>
          <w:tab w:val="left" w:pos="709"/>
        </w:tabs>
        <w:ind w:left="0"/>
        <w:jc w:val="both"/>
        <w:rPr>
          <w:rFonts w:cs="Arial"/>
          <w:color w:val="000000"/>
          <w:lang w:val="ru-RU"/>
        </w:rPr>
      </w:pPr>
    </w:p>
    <w:p w:rsidR="0055116C" w:rsidRPr="0055116C" w:rsidRDefault="0055116C" w:rsidP="0055116C">
      <w:pPr>
        <w:pStyle w:val="Default"/>
        <w:numPr>
          <w:ilvl w:val="0"/>
          <w:numId w:val="28"/>
        </w:numPr>
        <w:ind w:left="0" w:firstLine="0"/>
        <w:jc w:val="both"/>
        <w:rPr>
          <w:sz w:val="20"/>
          <w:szCs w:val="20"/>
          <w:lang w:val="ru-RU"/>
        </w:rPr>
      </w:pPr>
      <w:r w:rsidRPr="0055116C">
        <w:rPr>
          <w:sz w:val="20"/>
          <w:lang w:val="ru-RU"/>
        </w:rPr>
        <w:t>Незначительное снижение размера итогового бюджета на 2014–2015</w:t>
      </w:r>
      <w:r>
        <w:rPr>
          <w:sz w:val="20"/>
        </w:rPr>
        <w:t> </w:t>
      </w:r>
      <w:r w:rsidRPr="0055116C">
        <w:rPr>
          <w:sz w:val="20"/>
          <w:lang w:val="ru-RU"/>
        </w:rPr>
        <w:t xml:space="preserve">гг. после перераспределения </w:t>
      </w:r>
      <w:r w:rsidRPr="0055116C">
        <w:rPr>
          <w:sz w:val="20"/>
          <w:szCs w:val="20"/>
          <w:lang w:val="ru-RU"/>
        </w:rPr>
        <w:t>средств (ресурсы, связанные с персоналом,) является результатом реклассификации должностей.</w:t>
      </w:r>
    </w:p>
    <w:p w:rsidR="0055116C" w:rsidRPr="0055116C" w:rsidRDefault="0055116C" w:rsidP="0055116C">
      <w:pPr>
        <w:pStyle w:val="Default"/>
        <w:jc w:val="both"/>
        <w:rPr>
          <w:sz w:val="20"/>
          <w:szCs w:val="20"/>
          <w:lang w:val="ru-RU"/>
        </w:rPr>
      </w:pPr>
    </w:p>
    <w:p w:rsidR="0055116C" w:rsidRPr="0055116C" w:rsidRDefault="0055116C" w:rsidP="0055116C">
      <w:pPr>
        <w:pStyle w:val="Default"/>
        <w:numPr>
          <w:ilvl w:val="0"/>
          <w:numId w:val="28"/>
        </w:numPr>
        <w:ind w:left="0" w:firstLine="0"/>
        <w:jc w:val="both"/>
        <w:rPr>
          <w:sz w:val="20"/>
          <w:szCs w:val="20"/>
          <w:lang w:val="ru-RU"/>
        </w:rPr>
      </w:pPr>
      <w:r w:rsidRPr="0055116C">
        <w:rPr>
          <w:sz w:val="20"/>
          <w:lang w:val="ru-RU"/>
        </w:rPr>
        <w:t xml:space="preserve">Увеличение ресурсов, не связанных с персоналом, главным образом объясняется более высокими, чем ожидалось, расходами на разработку и хостинг программного обеспечения, связанного с реклассификацией МПК, и более высокими расходами на устный перевод на мероприятиях, организованных в связи с администрированием Союза МПК.  </w:t>
      </w:r>
    </w:p>
    <w:p w:rsidR="0055116C" w:rsidRPr="0055116C" w:rsidRDefault="0055116C" w:rsidP="0055116C">
      <w:pPr>
        <w:pStyle w:val="ListParagraph"/>
        <w:tabs>
          <w:tab w:val="left" w:pos="709"/>
        </w:tabs>
        <w:ind w:left="0"/>
        <w:jc w:val="both"/>
        <w:rPr>
          <w:rFonts w:cs="Arial"/>
          <w:color w:val="000000"/>
          <w:lang w:val="ru-RU"/>
        </w:rPr>
      </w:pPr>
    </w:p>
    <w:p w:rsidR="0055116C" w:rsidRPr="0055116C" w:rsidRDefault="0055116C" w:rsidP="0055116C">
      <w:pPr>
        <w:pStyle w:val="ListParagraph"/>
        <w:tabs>
          <w:tab w:val="left" w:pos="709"/>
        </w:tabs>
        <w:ind w:left="0"/>
        <w:jc w:val="both"/>
        <w:rPr>
          <w:rFonts w:cs="Arial"/>
          <w:color w:val="000000"/>
          <w:lang w:val="ru-RU"/>
        </w:rPr>
      </w:pPr>
    </w:p>
    <w:p w:rsidR="0055116C" w:rsidRPr="0055116C" w:rsidRDefault="0055116C" w:rsidP="0055116C">
      <w:pPr>
        <w:jc w:val="both"/>
        <w:rPr>
          <w:rFonts w:cs="Arial"/>
          <w:szCs w:val="20"/>
          <w:u w:val="single"/>
          <w:lang w:val="ru-RU"/>
        </w:rPr>
      </w:pPr>
      <w:r>
        <w:t>B</w:t>
      </w:r>
      <w:r w:rsidRPr="0055116C">
        <w:rPr>
          <w:lang w:val="ru-RU"/>
        </w:rPr>
        <w:t>.</w:t>
      </w:r>
      <w:r w:rsidRPr="0055116C">
        <w:rPr>
          <w:lang w:val="ru-RU"/>
        </w:rPr>
        <w:tab/>
      </w:r>
      <w:r w:rsidRPr="0055116C">
        <w:rPr>
          <w:u w:val="single"/>
          <w:lang w:val="ru-RU"/>
        </w:rPr>
        <w:t>Освоение бюджетных средств в 2014–2015</w:t>
      </w:r>
      <w:r>
        <w:rPr>
          <w:u w:val="single"/>
        </w:rPr>
        <w:t> </w:t>
      </w:r>
      <w:r w:rsidRPr="0055116C">
        <w:rPr>
          <w:u w:val="single"/>
          <w:lang w:val="ru-RU"/>
        </w:rPr>
        <w:t xml:space="preserve">гг. </w:t>
      </w:r>
    </w:p>
    <w:p w:rsidR="0055116C" w:rsidRPr="0055116C" w:rsidRDefault="0055116C" w:rsidP="0055116C">
      <w:pPr>
        <w:tabs>
          <w:tab w:val="left" w:pos="709"/>
        </w:tabs>
        <w:jc w:val="both"/>
        <w:rPr>
          <w:rFonts w:cs="Arial"/>
          <w:szCs w:val="20"/>
          <w:u w:val="single"/>
          <w:lang w:val="ru-RU"/>
        </w:rPr>
      </w:pPr>
    </w:p>
    <w:p w:rsidR="00B22C7E" w:rsidRPr="0055116C" w:rsidRDefault="0055116C" w:rsidP="0055116C">
      <w:pPr>
        <w:pStyle w:val="Default"/>
        <w:numPr>
          <w:ilvl w:val="0"/>
          <w:numId w:val="28"/>
        </w:numPr>
        <w:tabs>
          <w:tab w:val="left" w:pos="709"/>
        </w:tabs>
        <w:ind w:left="0" w:firstLine="0"/>
        <w:jc w:val="both"/>
        <w:rPr>
          <w:sz w:val="20"/>
          <w:szCs w:val="20"/>
          <w:lang w:val="ru-RU"/>
        </w:rPr>
      </w:pPr>
      <w:r w:rsidRPr="0055116C">
        <w:rPr>
          <w:sz w:val="20"/>
          <w:lang w:val="ru-RU"/>
        </w:rPr>
        <w:t>Уровень освоения бюджетных средств находится в пределах, предусмотренных для рассматриваемого двухлетнего периода.</w:t>
      </w:r>
    </w:p>
    <w:p w:rsidR="00B22C7E" w:rsidRPr="0055116C" w:rsidRDefault="00B22C7E" w:rsidP="00C25166">
      <w:pPr>
        <w:tabs>
          <w:tab w:val="left" w:pos="709"/>
        </w:tabs>
        <w:jc w:val="both"/>
        <w:rPr>
          <w:lang w:val="ru-RU"/>
        </w:rPr>
      </w:pPr>
    </w:p>
    <w:p w:rsidR="00B22C7E" w:rsidRPr="0055116C" w:rsidRDefault="00B22C7E" w:rsidP="00B22C7E">
      <w:pPr>
        <w:rPr>
          <w:szCs w:val="20"/>
          <w:lang w:val="ru-RU"/>
        </w:rPr>
      </w:pPr>
    </w:p>
    <w:p w:rsidR="00B22C7E" w:rsidRPr="0055116C" w:rsidRDefault="00B22C7E" w:rsidP="00B22C7E">
      <w:pPr>
        <w:rPr>
          <w:lang w:val="ru-RU"/>
        </w:rPr>
      </w:pPr>
      <w:r w:rsidRPr="0055116C">
        <w:rPr>
          <w:lang w:val="ru-RU"/>
        </w:rPr>
        <w:br w:type="page"/>
      </w:r>
    </w:p>
    <w:p w:rsidR="0055116C" w:rsidRPr="0055116C" w:rsidRDefault="0055116C" w:rsidP="0055116C">
      <w:pPr>
        <w:pStyle w:val="Heading2"/>
        <w:tabs>
          <w:tab w:val="clear" w:pos="567"/>
          <w:tab w:val="left" w:pos="1985"/>
        </w:tabs>
        <w:rPr>
          <w:lang w:val="ru-RU"/>
        </w:rPr>
      </w:pPr>
      <w:bookmarkStart w:id="92" w:name="_Toc422210497"/>
      <w:bookmarkStart w:id="93" w:name="_Toc455388121"/>
      <w:r w:rsidRPr="0055116C">
        <w:rPr>
          <w:lang w:val="ru-RU"/>
        </w:rPr>
        <w:t>ПРОГРАММА</w:t>
      </w:r>
      <w:r>
        <w:t> </w:t>
      </w:r>
      <w:r w:rsidRPr="0055116C">
        <w:rPr>
          <w:lang w:val="ru-RU"/>
        </w:rPr>
        <w:t>13</w:t>
      </w:r>
      <w:r w:rsidRPr="0055116C">
        <w:rPr>
          <w:lang w:val="ru-RU"/>
        </w:rPr>
        <w:tab/>
        <w:t>ГЛОБАЛЬНЫЕ БАЗЫ ДАННЫХ</w:t>
      </w:r>
      <w:bookmarkEnd w:id="92"/>
      <w:bookmarkEnd w:id="93"/>
    </w:p>
    <w:p w:rsidR="0055116C" w:rsidRPr="0055116C" w:rsidRDefault="0055116C" w:rsidP="0055116C">
      <w:pPr>
        <w:rPr>
          <w:szCs w:val="20"/>
          <w:lang w:val="ru-RU"/>
        </w:rPr>
      </w:pPr>
    </w:p>
    <w:p w:rsidR="0055116C" w:rsidRPr="0055116C" w:rsidRDefault="0055116C" w:rsidP="0055116C">
      <w:pPr>
        <w:tabs>
          <w:tab w:val="left" w:pos="1985"/>
        </w:tabs>
        <w:rPr>
          <w:b/>
          <w:sz w:val="22"/>
          <w:szCs w:val="22"/>
          <w:lang w:val="ru-RU"/>
        </w:rPr>
      </w:pPr>
      <w:r w:rsidRPr="0055116C">
        <w:rPr>
          <w:b/>
          <w:lang w:val="ru-RU"/>
        </w:rPr>
        <w:t xml:space="preserve">Руководитель программы: </w:t>
      </w:r>
      <w:r w:rsidRPr="0055116C">
        <w:rPr>
          <w:lang w:val="ru-RU"/>
        </w:rPr>
        <w:tab/>
      </w:r>
      <w:r w:rsidRPr="0055116C">
        <w:rPr>
          <w:b/>
          <w:lang w:val="ru-RU"/>
        </w:rPr>
        <w:t>г-н Ё. Такаги</w:t>
      </w:r>
    </w:p>
    <w:p w:rsidR="0055116C" w:rsidRPr="0055116C" w:rsidRDefault="0055116C" w:rsidP="0055116C">
      <w:pPr>
        <w:rPr>
          <w:szCs w:val="20"/>
          <w:lang w:val="ru-RU"/>
        </w:rPr>
      </w:pPr>
    </w:p>
    <w:p w:rsidR="0055116C" w:rsidRPr="0055116C" w:rsidRDefault="0055116C" w:rsidP="0055116C">
      <w:pPr>
        <w:rPr>
          <w:szCs w:val="20"/>
          <w:lang w:val="ru-RU"/>
        </w:rPr>
      </w:pPr>
    </w:p>
    <w:p w:rsidR="0055116C" w:rsidRPr="0055116C" w:rsidRDefault="0055116C" w:rsidP="0055116C">
      <w:pPr>
        <w:rPr>
          <w:bCs/>
          <w:szCs w:val="20"/>
          <w:lang w:val="ru-RU"/>
        </w:rPr>
      </w:pPr>
      <w:r w:rsidRPr="0055116C">
        <w:rPr>
          <w:lang w:val="ru-RU"/>
        </w:rPr>
        <w:t>ОБЗОР ДОСТИЖЕНИЙ ЗА ДВУХЛЕТНИЙ ПЕРИОД 2014–2015 ГГ.</w:t>
      </w:r>
    </w:p>
    <w:p w:rsidR="0055116C" w:rsidRPr="0055116C" w:rsidRDefault="0055116C" w:rsidP="0055116C">
      <w:pPr>
        <w:jc w:val="both"/>
        <w:rPr>
          <w:bCs/>
          <w:szCs w:val="20"/>
          <w:lang w:val="ru-RU"/>
        </w:rPr>
      </w:pPr>
    </w:p>
    <w:p w:rsidR="0055116C" w:rsidRPr="0055116C" w:rsidRDefault="0055116C" w:rsidP="0055116C">
      <w:pPr>
        <w:pStyle w:val="ListParagraph"/>
        <w:numPr>
          <w:ilvl w:val="0"/>
          <w:numId w:val="29"/>
        </w:numPr>
        <w:tabs>
          <w:tab w:val="left" w:pos="709"/>
        </w:tabs>
        <w:ind w:left="0" w:firstLine="0"/>
        <w:jc w:val="both"/>
        <w:rPr>
          <w:rFonts w:eastAsia="MS Mincho"/>
          <w:lang w:val="ru-RU"/>
        </w:rPr>
      </w:pPr>
      <w:r w:rsidRPr="0055116C">
        <w:rPr>
          <w:lang w:val="ru-RU"/>
        </w:rPr>
        <w:t xml:space="preserve"> В 2014–2015</w:t>
      </w:r>
      <w:r>
        <w:t> </w:t>
      </w:r>
      <w:r w:rsidRPr="0055116C">
        <w:rPr>
          <w:lang w:val="ru-RU"/>
        </w:rPr>
        <w:t xml:space="preserve">гг. продолжалось укрепление системы </w:t>
      </w:r>
      <w:r>
        <w:t>PATENTSCOPE</w:t>
      </w:r>
      <w:r w:rsidRPr="0055116C">
        <w:rPr>
          <w:lang w:val="ru-RU"/>
        </w:rPr>
        <w:t xml:space="preserve">; при этом значительный акцент был сделан на улучшении доступа к системе в тех регионах, где существует проблема слишком длительного времени ожидания отклика системы. Были также достигнуты значительные улучшения в работе с пользователями из Азии.  В Систему межъязыкового поиска </w:t>
      </w:r>
      <w:r>
        <w:t>CLIR</w:t>
      </w:r>
      <w:r w:rsidRPr="0055116C">
        <w:rPr>
          <w:lang w:val="ru-RU"/>
        </w:rPr>
        <w:t xml:space="preserve"> были добавлены еще два языка (датский и польский), в результате чего к концу двухлетнего периода общее число языков достигло 14.  Была расширена разработанная специалистами ВОИС система статистического машинного перевода наименований и рефератов патентов </w:t>
      </w:r>
      <w:r>
        <w:t>WIPO</w:t>
      </w:r>
      <w:r w:rsidR="008A6A50">
        <w:rPr>
          <w:lang w:val="ru-RU"/>
        </w:rPr>
        <w:t> </w:t>
      </w:r>
      <w:r>
        <w:t>Translate</w:t>
      </w:r>
      <w:r>
        <w:rPr>
          <w:rStyle w:val="FootnoteReference"/>
        </w:rPr>
        <w:footnoteReference w:id="83"/>
      </w:r>
      <w:r w:rsidRPr="0055116C">
        <w:rPr>
          <w:lang w:val="ru-RU"/>
        </w:rPr>
        <w:t>, и к концу двухлетнего периода в нее были включены</w:t>
      </w:r>
      <w:r w:rsidR="008A6A50">
        <w:rPr>
          <w:lang w:val="ru-RU"/>
        </w:rPr>
        <w:t xml:space="preserve"> еще три сложные языковые пары (английский –</w:t>
      </w:r>
      <w:r w:rsidRPr="0055116C">
        <w:rPr>
          <w:lang w:val="ru-RU"/>
        </w:rPr>
        <w:t xml:space="preserve"> корейский, </w:t>
      </w:r>
      <w:r w:rsidR="008A6A50">
        <w:rPr>
          <w:lang w:val="ru-RU"/>
        </w:rPr>
        <w:t>английский –</w:t>
      </w:r>
      <w:r w:rsidRPr="0055116C">
        <w:rPr>
          <w:lang w:val="ru-RU"/>
        </w:rPr>
        <w:t xml:space="preserve"> русский</w:t>
      </w:r>
      <w:r w:rsidR="008A6A50">
        <w:rPr>
          <w:lang w:val="ru-RU"/>
        </w:rPr>
        <w:t xml:space="preserve"> и</w:t>
      </w:r>
      <w:r w:rsidR="008A6A50" w:rsidRPr="008A6A50">
        <w:rPr>
          <w:lang w:val="ru-RU"/>
        </w:rPr>
        <w:t xml:space="preserve"> </w:t>
      </w:r>
      <w:r w:rsidR="008A6A50">
        <w:rPr>
          <w:lang w:val="ru-RU"/>
        </w:rPr>
        <w:t>английский –</w:t>
      </w:r>
      <w:r w:rsidR="008A6A50" w:rsidRPr="0055116C">
        <w:rPr>
          <w:lang w:val="ru-RU"/>
        </w:rPr>
        <w:t xml:space="preserve"> </w:t>
      </w:r>
      <w:r w:rsidR="008A6A50">
        <w:rPr>
          <w:lang w:val="ru-RU"/>
        </w:rPr>
        <w:t>испанский</w:t>
      </w:r>
      <w:r w:rsidRPr="0055116C">
        <w:rPr>
          <w:lang w:val="ru-RU"/>
        </w:rPr>
        <w:t>), в результате чего их стало семь</w:t>
      </w:r>
      <w:r w:rsidR="008A6A50">
        <w:rPr>
          <w:lang w:val="ru-RU"/>
        </w:rPr>
        <w:t>, а также в сферу охвата пары «английский – китайский» вошли описания и формулы изобретений</w:t>
      </w:r>
      <w:r w:rsidRPr="0055116C">
        <w:rPr>
          <w:lang w:val="ru-RU"/>
        </w:rPr>
        <w:t>.  Кроме того, в рассматриваемый двухлетний период появилась возможность перевода полного описания и пунктов формул изобретения патентов для языковой пары английский – китайский.  В 2014–2015</w:t>
      </w:r>
      <w:r>
        <w:t> </w:t>
      </w:r>
      <w:r w:rsidRPr="0055116C">
        <w:rPr>
          <w:lang w:val="ru-RU"/>
        </w:rPr>
        <w:t xml:space="preserve">гг. также продолжались исследования дополнительных возможностей системы машинного перевода.  Продолжалось расширение применения системы </w:t>
      </w:r>
      <w:r>
        <w:t>WIPO</w:t>
      </w:r>
      <w:r w:rsidRPr="0055116C">
        <w:rPr>
          <w:lang w:val="ru-RU"/>
        </w:rPr>
        <w:t xml:space="preserve"> </w:t>
      </w:r>
      <w:r>
        <w:t>Translate</w:t>
      </w:r>
      <w:r w:rsidRPr="0055116C">
        <w:rPr>
          <w:lang w:val="ru-RU"/>
        </w:rPr>
        <w:t xml:space="preserve"> в других учреждениях системы ООН, где она получила отличные отзывы и систематически показывала более высокие результаты, чем другие инструменты машинного перевода, такие как </w:t>
      </w:r>
      <w:r>
        <w:t>Google</w:t>
      </w:r>
      <w:r w:rsidRPr="0055116C">
        <w:rPr>
          <w:lang w:val="ru-RU"/>
        </w:rPr>
        <w:t xml:space="preserve"> </w:t>
      </w:r>
      <w:r>
        <w:t>Translate</w:t>
      </w:r>
      <w:r w:rsidRPr="0055116C">
        <w:rPr>
          <w:lang w:val="ru-RU"/>
        </w:rPr>
        <w:t>.</w:t>
      </w:r>
    </w:p>
    <w:p w:rsidR="0055116C" w:rsidRPr="0055116C" w:rsidRDefault="0055116C" w:rsidP="0055116C">
      <w:pPr>
        <w:pStyle w:val="ListParagraph"/>
        <w:tabs>
          <w:tab w:val="left" w:pos="709"/>
        </w:tabs>
        <w:ind w:left="0"/>
        <w:jc w:val="both"/>
        <w:rPr>
          <w:rFonts w:eastAsia="MS Mincho"/>
          <w:lang w:val="ru-RU"/>
        </w:rPr>
      </w:pPr>
    </w:p>
    <w:p w:rsidR="0055116C" w:rsidRPr="0055116C" w:rsidRDefault="0055116C" w:rsidP="0055116C">
      <w:pPr>
        <w:pStyle w:val="ListParagraph"/>
        <w:numPr>
          <w:ilvl w:val="0"/>
          <w:numId w:val="29"/>
        </w:numPr>
        <w:tabs>
          <w:tab w:val="left" w:pos="709"/>
        </w:tabs>
        <w:ind w:left="0" w:firstLine="0"/>
        <w:jc w:val="both"/>
        <w:rPr>
          <w:rFonts w:eastAsia="MS Mincho"/>
          <w:lang w:val="ru-RU"/>
        </w:rPr>
      </w:pPr>
      <w:r w:rsidRPr="0055116C">
        <w:rPr>
          <w:lang w:val="ru-RU"/>
        </w:rPr>
        <w:t>В рассматриваемый двухлетний период значительно расширился охват и повысился уровень использования баз данных ВОИС по ИС.  В качестве одного из достижений отчетного периода следует особо отметить запуск нового сервиса – Глобальной базы данных по промышленным образцам, которая начала действовать в январе 2015</w:t>
      </w:r>
      <w:r>
        <w:t> </w:t>
      </w:r>
      <w:r w:rsidRPr="0055116C">
        <w:rPr>
          <w:lang w:val="ru-RU"/>
        </w:rPr>
        <w:t>г. К концу 2015</w:t>
      </w:r>
      <w:r>
        <w:t> </w:t>
      </w:r>
      <w:r w:rsidRPr="0055116C">
        <w:rPr>
          <w:lang w:val="ru-RU"/>
        </w:rPr>
        <w:t>г., всего через год после начала работы, число уникальных посетителей Глобальной базы данных по образцам за квартал достигло впечатляющего уровня в 14</w:t>
      </w:r>
      <w:r>
        <w:t> </w:t>
      </w:r>
      <w:r w:rsidRPr="0055116C">
        <w:rPr>
          <w:lang w:val="ru-RU"/>
        </w:rPr>
        <w:t>000.  Кроме того, число национальных фондов (на графике ниже они обозначены как «Другие источники») достигло пяти, а число содержащихся в них документов об образцах – 1,5</w:t>
      </w:r>
      <w:r>
        <w:t> </w:t>
      </w:r>
      <w:r w:rsidRPr="0055116C">
        <w:rPr>
          <w:lang w:val="ru-RU"/>
        </w:rPr>
        <w:t xml:space="preserve">миллиона.  </w:t>
      </w:r>
    </w:p>
    <w:p w:rsidR="0055116C" w:rsidRPr="0055116C" w:rsidRDefault="0055116C" w:rsidP="0055116C">
      <w:pPr>
        <w:pStyle w:val="ListParagraph"/>
        <w:tabs>
          <w:tab w:val="left" w:pos="709"/>
        </w:tabs>
        <w:ind w:left="0"/>
        <w:jc w:val="both"/>
        <w:rPr>
          <w:rFonts w:eastAsia="MS Mincho"/>
          <w:lang w:val="ru-RU"/>
        </w:rPr>
      </w:pPr>
    </w:p>
    <w:p w:rsidR="0055116C" w:rsidRPr="0055116C" w:rsidRDefault="0055116C" w:rsidP="0055116C">
      <w:pPr>
        <w:pStyle w:val="ListParagraph"/>
        <w:tabs>
          <w:tab w:val="left" w:pos="709"/>
        </w:tabs>
        <w:ind w:left="0"/>
        <w:jc w:val="center"/>
        <w:rPr>
          <w:rFonts w:eastAsia="MS Mincho"/>
          <w:lang w:val="ru-RU"/>
        </w:rPr>
      </w:pPr>
      <w:r w:rsidRPr="0055116C">
        <w:rPr>
          <w:lang w:val="ru-RU"/>
        </w:rPr>
        <w:t>Глобальная база данных по образцам 2015</w:t>
      </w:r>
      <w:r>
        <w:t> </w:t>
      </w:r>
      <w:r w:rsidRPr="0055116C">
        <w:rPr>
          <w:lang w:val="ru-RU"/>
        </w:rPr>
        <w:t>г.</w:t>
      </w:r>
    </w:p>
    <w:p w:rsidR="0055116C" w:rsidRPr="0055116C" w:rsidRDefault="0055116C" w:rsidP="0055116C">
      <w:pPr>
        <w:pStyle w:val="ListParagraph"/>
        <w:tabs>
          <w:tab w:val="left" w:pos="709"/>
        </w:tabs>
        <w:ind w:left="0"/>
        <w:jc w:val="center"/>
        <w:rPr>
          <w:rFonts w:eastAsia="MS Mincho"/>
          <w:b/>
          <w:lang w:val="ru-RU"/>
        </w:rPr>
      </w:pPr>
    </w:p>
    <w:p w:rsidR="0055116C" w:rsidRPr="000A6AAD" w:rsidRDefault="0055116C" w:rsidP="0055116C">
      <w:pPr>
        <w:pStyle w:val="ListParagraph"/>
        <w:tabs>
          <w:tab w:val="left" w:pos="709"/>
        </w:tabs>
        <w:ind w:left="0"/>
        <w:jc w:val="center"/>
        <w:rPr>
          <w:rFonts w:eastAsia="MS Mincho"/>
        </w:rPr>
      </w:pPr>
      <w:r>
        <w:rPr>
          <w:rFonts w:eastAsia="MS Mincho"/>
          <w:noProof/>
        </w:rPr>
        <w:drawing>
          <wp:inline distT="0" distB="0" distL="0" distR="0" wp14:anchorId="424A227D" wp14:editId="3119E0B7">
            <wp:extent cx="3448279" cy="2787267"/>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456762" cy="2794124"/>
                    </a:xfrm>
                    <a:prstGeom prst="rect">
                      <a:avLst/>
                    </a:prstGeom>
                    <a:noFill/>
                    <a:ln>
                      <a:noFill/>
                    </a:ln>
                  </pic:spPr>
                </pic:pic>
              </a:graphicData>
            </a:graphic>
          </wp:inline>
        </w:drawing>
      </w:r>
    </w:p>
    <w:p w:rsidR="0055116C" w:rsidRPr="00A6242A" w:rsidRDefault="0055116C" w:rsidP="0055116C">
      <w:pPr>
        <w:pStyle w:val="ListParagraph"/>
        <w:tabs>
          <w:tab w:val="left" w:pos="709"/>
        </w:tabs>
        <w:ind w:left="0"/>
        <w:jc w:val="both"/>
        <w:rPr>
          <w:rFonts w:eastAsia="MS Mincho"/>
        </w:rPr>
      </w:pPr>
    </w:p>
    <w:p w:rsidR="0055116C" w:rsidRPr="0055116C" w:rsidRDefault="0055116C" w:rsidP="0055116C">
      <w:pPr>
        <w:pStyle w:val="ListParagraph"/>
        <w:numPr>
          <w:ilvl w:val="0"/>
          <w:numId w:val="29"/>
        </w:numPr>
        <w:tabs>
          <w:tab w:val="left" w:pos="709"/>
        </w:tabs>
        <w:ind w:left="0" w:firstLine="0"/>
        <w:jc w:val="both"/>
        <w:rPr>
          <w:rFonts w:eastAsia="MS Mincho"/>
          <w:lang w:val="ru-RU"/>
        </w:rPr>
      </w:pPr>
      <w:r w:rsidRPr="0055116C">
        <w:rPr>
          <w:lang w:val="ru-RU"/>
        </w:rPr>
        <w:t>В результате внедрения мощной функции поиска схожих изображений, ставшей первой такого рода функцией в общедоступных системах поиска ИС, активность использования Глобальной базы данных по брендам в 2014–2015</w:t>
      </w:r>
      <w:r>
        <w:t> </w:t>
      </w:r>
      <w:r w:rsidRPr="0055116C">
        <w:rPr>
          <w:lang w:val="ru-RU"/>
        </w:rPr>
        <w:t>гг. превзошла все ожидания: число уникальных посетителей за квартал увеличилось в четыре раза: с 23</w:t>
      </w:r>
      <w:r>
        <w:t> </w:t>
      </w:r>
      <w:r w:rsidRPr="0055116C">
        <w:rPr>
          <w:lang w:val="ru-RU"/>
        </w:rPr>
        <w:t>000 в 2013</w:t>
      </w:r>
      <w:r>
        <w:t> </w:t>
      </w:r>
      <w:r w:rsidRPr="0055116C">
        <w:rPr>
          <w:lang w:val="ru-RU"/>
        </w:rPr>
        <w:t>г. до 80</w:t>
      </w:r>
      <w:r>
        <w:t> </w:t>
      </w:r>
      <w:r w:rsidRPr="0055116C">
        <w:rPr>
          <w:lang w:val="ru-RU"/>
        </w:rPr>
        <w:t>000.  Число национальных фондов (на графике ниже они обозначены как «Другие источники») увеличилось более чем в два раза с 12 в конце 2013</w:t>
      </w:r>
      <w:r>
        <w:t> </w:t>
      </w:r>
      <w:r w:rsidRPr="0055116C">
        <w:rPr>
          <w:lang w:val="ru-RU"/>
        </w:rPr>
        <w:t>г. до 26 в конце 2015</w:t>
      </w:r>
      <w:r>
        <w:t> </w:t>
      </w:r>
      <w:r w:rsidRPr="0055116C">
        <w:rPr>
          <w:lang w:val="ru-RU"/>
        </w:rPr>
        <w:t>г.  Точно так же общее число записей, содержащихся в системе, увеличилось более чем вдвое в 2014–2015</w:t>
      </w:r>
      <w:r>
        <w:t> </w:t>
      </w:r>
      <w:r w:rsidRPr="0055116C">
        <w:rPr>
          <w:lang w:val="ru-RU"/>
        </w:rPr>
        <w:t>гг.: с 12 миллионов до 24</w:t>
      </w:r>
      <w:r>
        <w:t> </w:t>
      </w:r>
      <w:r w:rsidRPr="0055116C">
        <w:rPr>
          <w:lang w:val="ru-RU"/>
        </w:rPr>
        <w:t>миллионов.</w:t>
      </w:r>
    </w:p>
    <w:p w:rsidR="0055116C" w:rsidRPr="0055116C" w:rsidRDefault="0055116C" w:rsidP="0055116C">
      <w:pPr>
        <w:pStyle w:val="ListParagraph"/>
        <w:tabs>
          <w:tab w:val="left" w:pos="709"/>
        </w:tabs>
        <w:ind w:left="0"/>
        <w:jc w:val="both"/>
        <w:rPr>
          <w:rFonts w:eastAsia="MS Mincho"/>
          <w:lang w:val="ru-RU"/>
        </w:rPr>
      </w:pPr>
    </w:p>
    <w:p w:rsidR="0055116C" w:rsidRPr="0055116C" w:rsidRDefault="0055116C" w:rsidP="0055116C">
      <w:pPr>
        <w:pStyle w:val="ListParagraph"/>
        <w:keepNext/>
        <w:keepLines/>
        <w:tabs>
          <w:tab w:val="left" w:pos="709"/>
        </w:tabs>
        <w:ind w:left="0"/>
        <w:jc w:val="center"/>
        <w:rPr>
          <w:rFonts w:eastAsia="MS Mincho"/>
          <w:lang w:val="ru-RU"/>
        </w:rPr>
      </w:pPr>
      <w:r w:rsidRPr="0055116C">
        <w:rPr>
          <w:lang w:val="ru-RU"/>
        </w:rPr>
        <w:t>Глобальная база данных по брендам; количество записей в 2014–2015</w:t>
      </w:r>
      <w:r>
        <w:t> </w:t>
      </w:r>
      <w:r w:rsidRPr="0055116C">
        <w:rPr>
          <w:lang w:val="ru-RU"/>
        </w:rPr>
        <w:t>гг.</w:t>
      </w:r>
    </w:p>
    <w:p w:rsidR="0055116C" w:rsidRPr="0055116C" w:rsidRDefault="0055116C" w:rsidP="0055116C">
      <w:pPr>
        <w:pStyle w:val="ListParagraph"/>
        <w:keepNext/>
        <w:keepLines/>
        <w:tabs>
          <w:tab w:val="left" w:pos="709"/>
        </w:tabs>
        <w:ind w:left="0"/>
        <w:jc w:val="center"/>
        <w:rPr>
          <w:rFonts w:eastAsia="MS Mincho"/>
          <w:b/>
          <w:lang w:val="ru-RU"/>
        </w:rPr>
      </w:pPr>
    </w:p>
    <w:p w:rsidR="0055116C" w:rsidRPr="00BD1DD9" w:rsidRDefault="0055116C" w:rsidP="0055116C">
      <w:pPr>
        <w:pStyle w:val="ListParagraph"/>
        <w:keepNext/>
        <w:keepLines/>
        <w:tabs>
          <w:tab w:val="left" w:pos="709"/>
        </w:tabs>
        <w:ind w:left="0"/>
        <w:jc w:val="center"/>
        <w:rPr>
          <w:rFonts w:eastAsia="MS Mincho"/>
          <w:b/>
        </w:rPr>
      </w:pPr>
      <w:r>
        <w:rPr>
          <w:rFonts w:eastAsia="MS Mincho"/>
          <w:b/>
          <w:noProof/>
        </w:rPr>
        <w:drawing>
          <wp:inline distT="0" distB="0" distL="0" distR="0" wp14:anchorId="48CE9503" wp14:editId="38376756">
            <wp:extent cx="3536414" cy="2741470"/>
            <wp:effectExtent l="0" t="0" r="6985" b="1905"/>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37791" cy="2742538"/>
                    </a:xfrm>
                    <a:prstGeom prst="rect">
                      <a:avLst/>
                    </a:prstGeom>
                    <a:noFill/>
                    <a:ln>
                      <a:noFill/>
                    </a:ln>
                  </pic:spPr>
                </pic:pic>
              </a:graphicData>
            </a:graphic>
          </wp:inline>
        </w:drawing>
      </w:r>
    </w:p>
    <w:p w:rsidR="0055116C" w:rsidRPr="00A6242A" w:rsidRDefault="0055116C" w:rsidP="0055116C">
      <w:pPr>
        <w:pStyle w:val="ListParagraph"/>
        <w:tabs>
          <w:tab w:val="left" w:pos="709"/>
        </w:tabs>
        <w:ind w:left="0"/>
        <w:jc w:val="center"/>
        <w:rPr>
          <w:rFonts w:eastAsia="MS Mincho"/>
          <w:highlight w:val="yellow"/>
        </w:rPr>
      </w:pPr>
    </w:p>
    <w:p w:rsidR="0055116C" w:rsidRPr="0055116C" w:rsidRDefault="0055116C" w:rsidP="0055116C">
      <w:pPr>
        <w:pStyle w:val="ListParagraph"/>
        <w:numPr>
          <w:ilvl w:val="0"/>
          <w:numId w:val="29"/>
        </w:numPr>
        <w:tabs>
          <w:tab w:val="left" w:pos="709"/>
        </w:tabs>
        <w:ind w:left="0" w:firstLine="0"/>
        <w:jc w:val="both"/>
        <w:rPr>
          <w:rFonts w:eastAsia="MS Mincho"/>
          <w:lang w:val="ru-RU"/>
        </w:rPr>
      </w:pPr>
      <w:r w:rsidRPr="0055116C">
        <w:rPr>
          <w:lang w:val="ru-RU"/>
        </w:rPr>
        <w:t xml:space="preserve">Сервис </w:t>
      </w:r>
      <w:r>
        <w:t>PATENTSCOPE</w:t>
      </w:r>
      <w:r w:rsidRPr="0055116C">
        <w:rPr>
          <w:lang w:val="ru-RU"/>
        </w:rPr>
        <w:t xml:space="preserve"> продолжал пользоваться большой популярностью: среднее число просмотров уникальными посетителями составляло 500</w:t>
      </w:r>
      <w:r>
        <w:t> </w:t>
      </w:r>
      <w:r w:rsidRPr="0055116C">
        <w:rPr>
          <w:lang w:val="ru-RU"/>
        </w:rPr>
        <w:t>000 в день.  Число уникальных посетителей было стабильным: к концу двухлетнего периода среднее число посетителей за квартал составляло 221</w:t>
      </w:r>
      <w:r>
        <w:t> </w:t>
      </w:r>
      <w:r w:rsidRPr="0055116C">
        <w:rPr>
          <w:lang w:val="ru-RU"/>
        </w:rPr>
        <w:t xml:space="preserve">000. Это говорит о том, что уровень обслуживания, обеспечиваемый поисковой системой </w:t>
      </w:r>
      <w:r>
        <w:t>PATENTSCOPE</w:t>
      </w:r>
      <w:r w:rsidRPr="0055116C">
        <w:rPr>
          <w:lang w:val="ru-RU"/>
        </w:rPr>
        <w:t xml:space="preserve">, в настоящее время достаточно высок, из-за чего темпы роста ее эффективности снижаются.  Число фондов в </w:t>
      </w:r>
      <w:r>
        <w:t>PATENTSCOPE</w:t>
      </w:r>
      <w:r w:rsidRPr="0055116C">
        <w:rPr>
          <w:lang w:val="ru-RU"/>
        </w:rPr>
        <w:t xml:space="preserve"> также увеличилось на 19</w:t>
      </w:r>
      <w:r>
        <w:t> </w:t>
      </w:r>
      <w:r w:rsidRPr="0055116C">
        <w:rPr>
          <w:lang w:val="ru-RU"/>
        </w:rPr>
        <w:t>% по сравнению с 2013</w:t>
      </w:r>
      <w:r>
        <w:t> </w:t>
      </w:r>
      <w:r w:rsidRPr="0055116C">
        <w:rPr>
          <w:lang w:val="ru-RU"/>
        </w:rPr>
        <w:t>г., в результате чего общее число национальных и региональных фондов (указанных как «Другие источники» на графике ниже) составило 43 (тогда как в конце 2013 г. их было 36), а общее число записей превысило 50</w:t>
      </w:r>
      <w:r>
        <w:t> </w:t>
      </w:r>
      <w:r w:rsidRPr="0055116C">
        <w:rPr>
          <w:lang w:val="ru-RU"/>
        </w:rPr>
        <w:t>миллионов (тогда как в конце 2013</w:t>
      </w:r>
      <w:r>
        <w:t> </w:t>
      </w:r>
      <w:r w:rsidRPr="0055116C">
        <w:rPr>
          <w:lang w:val="ru-RU"/>
        </w:rPr>
        <w:t>г. их было 34</w:t>
      </w:r>
      <w:r>
        <w:t> </w:t>
      </w:r>
      <w:r w:rsidRPr="0055116C">
        <w:rPr>
          <w:lang w:val="ru-RU"/>
        </w:rPr>
        <w:t>миллиона), что на 47% больше, чем в 2013</w:t>
      </w:r>
      <w:r>
        <w:t> </w:t>
      </w:r>
      <w:r w:rsidRPr="0055116C">
        <w:rPr>
          <w:lang w:val="ru-RU"/>
        </w:rPr>
        <w:t>г.</w:t>
      </w:r>
    </w:p>
    <w:p w:rsidR="0055116C" w:rsidRPr="0055116C" w:rsidRDefault="0055116C" w:rsidP="0055116C">
      <w:pPr>
        <w:pStyle w:val="ListParagraph"/>
        <w:tabs>
          <w:tab w:val="left" w:pos="709"/>
        </w:tabs>
        <w:ind w:left="0"/>
        <w:jc w:val="both"/>
        <w:rPr>
          <w:rFonts w:eastAsia="MS Mincho"/>
          <w:lang w:val="ru-RU"/>
        </w:rPr>
      </w:pPr>
    </w:p>
    <w:p w:rsidR="0055116C" w:rsidRPr="0055116C" w:rsidRDefault="0055116C" w:rsidP="0055116C">
      <w:pPr>
        <w:pStyle w:val="ListParagraph"/>
        <w:tabs>
          <w:tab w:val="left" w:pos="709"/>
        </w:tabs>
        <w:ind w:left="0"/>
        <w:jc w:val="center"/>
        <w:rPr>
          <w:rFonts w:eastAsia="MS Mincho"/>
          <w:lang w:val="ru-RU"/>
        </w:rPr>
      </w:pPr>
      <w:r w:rsidRPr="0055116C">
        <w:rPr>
          <w:lang w:val="ru-RU"/>
        </w:rPr>
        <w:t xml:space="preserve">Записи в </w:t>
      </w:r>
      <w:r>
        <w:t>PATENTSCOPE</w:t>
      </w:r>
      <w:r w:rsidRPr="0055116C">
        <w:rPr>
          <w:lang w:val="ru-RU"/>
        </w:rPr>
        <w:t xml:space="preserve"> в 2014–2015</w:t>
      </w:r>
      <w:r>
        <w:t> </w:t>
      </w:r>
      <w:r w:rsidRPr="0055116C">
        <w:rPr>
          <w:lang w:val="ru-RU"/>
        </w:rPr>
        <w:t>гг.</w:t>
      </w:r>
    </w:p>
    <w:p w:rsidR="0055116C" w:rsidRPr="0055116C" w:rsidRDefault="0055116C" w:rsidP="0055116C">
      <w:pPr>
        <w:pStyle w:val="ListParagraph"/>
        <w:tabs>
          <w:tab w:val="left" w:pos="709"/>
        </w:tabs>
        <w:ind w:left="0"/>
        <w:jc w:val="center"/>
        <w:rPr>
          <w:rFonts w:eastAsia="MS Mincho"/>
          <w:highlight w:val="yellow"/>
          <w:lang w:val="ru-RU"/>
        </w:rPr>
      </w:pPr>
    </w:p>
    <w:p w:rsidR="0055116C" w:rsidRPr="000A6AAD" w:rsidRDefault="0055116C" w:rsidP="0055116C">
      <w:pPr>
        <w:pStyle w:val="ListParagraph"/>
        <w:tabs>
          <w:tab w:val="left" w:pos="709"/>
        </w:tabs>
        <w:ind w:left="0"/>
        <w:jc w:val="center"/>
        <w:rPr>
          <w:rFonts w:eastAsia="MS Mincho"/>
        </w:rPr>
      </w:pPr>
      <w:r>
        <w:rPr>
          <w:rFonts w:eastAsia="MS Mincho"/>
          <w:noProof/>
        </w:rPr>
        <w:drawing>
          <wp:inline distT="0" distB="0" distL="0" distR="0" wp14:anchorId="40842084" wp14:editId="27E02C5D">
            <wp:extent cx="3833870" cy="2941503"/>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841722" cy="2947527"/>
                    </a:xfrm>
                    <a:prstGeom prst="rect">
                      <a:avLst/>
                    </a:prstGeom>
                    <a:noFill/>
                    <a:ln>
                      <a:noFill/>
                    </a:ln>
                  </pic:spPr>
                </pic:pic>
              </a:graphicData>
            </a:graphic>
          </wp:inline>
        </w:drawing>
      </w:r>
    </w:p>
    <w:p w:rsidR="0055116C" w:rsidRPr="00A6242A" w:rsidRDefault="0055116C" w:rsidP="0055116C">
      <w:pPr>
        <w:pStyle w:val="ListParagraph"/>
        <w:tabs>
          <w:tab w:val="left" w:pos="709"/>
        </w:tabs>
        <w:ind w:left="0"/>
        <w:jc w:val="both"/>
        <w:rPr>
          <w:rFonts w:eastAsia="MS Mincho"/>
        </w:rPr>
      </w:pPr>
    </w:p>
    <w:p w:rsidR="0055116C" w:rsidRPr="0055116C" w:rsidRDefault="0055116C" w:rsidP="0055116C">
      <w:pPr>
        <w:pStyle w:val="ListParagraph"/>
        <w:numPr>
          <w:ilvl w:val="0"/>
          <w:numId w:val="29"/>
        </w:numPr>
        <w:tabs>
          <w:tab w:val="left" w:pos="709"/>
        </w:tabs>
        <w:ind w:left="0" w:firstLine="0"/>
        <w:jc w:val="both"/>
        <w:rPr>
          <w:rFonts w:eastAsia="MS Mincho"/>
          <w:lang w:val="ru-RU"/>
        </w:rPr>
      </w:pPr>
      <w:r w:rsidRPr="0055116C">
        <w:rPr>
          <w:lang w:val="ru-RU"/>
        </w:rPr>
        <w:t>Работа в рамках Программы</w:t>
      </w:r>
      <w:r>
        <w:t> </w:t>
      </w:r>
      <w:r w:rsidRPr="0055116C">
        <w:rPr>
          <w:lang w:val="ru-RU"/>
        </w:rPr>
        <w:t>13 по-прежнему содействовала реализации рекомендаций</w:t>
      </w:r>
      <w:r>
        <w:t> </w:t>
      </w:r>
      <w:r w:rsidRPr="0055116C">
        <w:rPr>
          <w:lang w:val="ru-RU"/>
        </w:rPr>
        <w:t>24 и</w:t>
      </w:r>
      <w:r>
        <w:t> </w:t>
      </w:r>
      <w:r w:rsidRPr="0055116C">
        <w:rPr>
          <w:lang w:val="ru-RU"/>
        </w:rPr>
        <w:t>31 ПДР и была связана с ликвидацией цифрового разрыва и расширением доступа к находящейся в открытом доступе информации об ИС; с этой целью в рамках Программы продолжилось принятие мер для увеличения числа записей об ИС, по которым может осуществляться поиск, и расширения поисковых и межъязыковых вспомогательных инструментов.</w:t>
      </w:r>
    </w:p>
    <w:p w:rsidR="0055116C" w:rsidRPr="0055116C" w:rsidRDefault="0055116C" w:rsidP="0055116C">
      <w:pPr>
        <w:spacing w:after="200" w:line="276" w:lineRule="auto"/>
        <w:rPr>
          <w:rFonts w:cs="Arial"/>
          <w:sz w:val="22"/>
          <w:szCs w:val="22"/>
          <w:lang w:val="ru-RU"/>
        </w:rPr>
      </w:pPr>
    </w:p>
    <w:p w:rsidR="0055116C" w:rsidRPr="000E65D9" w:rsidRDefault="0055116C" w:rsidP="0055116C">
      <w:pPr>
        <w:keepNext/>
        <w:keepLines/>
        <w:rPr>
          <w:rFonts w:cs="Arial"/>
          <w:szCs w:val="22"/>
        </w:rPr>
      </w:pPr>
      <w:r>
        <w:t>ДАННЫЕ О РЕЗУЛЬТАТИВНОСТИ</w:t>
      </w:r>
    </w:p>
    <w:p w:rsidR="0055116C" w:rsidRDefault="0055116C" w:rsidP="0055116C">
      <w:pPr>
        <w:keepNext/>
        <w:keepLines/>
        <w:rPr>
          <w:bCs/>
          <w:sz w:val="22"/>
          <w:szCs w:val="22"/>
        </w:rPr>
      </w:pPr>
    </w:p>
    <w:tbl>
      <w:tblPr>
        <w:tblW w:w="4934"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64"/>
        <w:gridCol w:w="2412"/>
        <w:gridCol w:w="1419"/>
        <w:gridCol w:w="2271"/>
        <w:gridCol w:w="87"/>
        <w:gridCol w:w="992"/>
      </w:tblGrid>
      <w:tr w:rsidR="0055116C" w:rsidRPr="005C6ABD" w:rsidTr="0055116C">
        <w:trPr>
          <w:cantSplit/>
        </w:trPr>
        <w:tc>
          <w:tcPr>
            <w:tcW w:w="5000" w:type="pct"/>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rsidR="0055116C" w:rsidRPr="0055116C" w:rsidRDefault="0055116C" w:rsidP="00AD2B92">
            <w:pPr>
              <w:keepNext/>
              <w:keepLines/>
              <w:tabs>
                <w:tab w:val="left" w:pos="-675"/>
              </w:tabs>
              <w:spacing w:before="120" w:after="120"/>
              <w:ind w:left="2302" w:hanging="2302"/>
              <w:rPr>
                <w:rFonts w:cs="Arial"/>
                <w:b/>
                <w:bCs/>
                <w:sz w:val="16"/>
                <w:szCs w:val="16"/>
                <w:lang w:val="ru-RU"/>
              </w:rPr>
            </w:pPr>
            <w:r w:rsidRPr="0055116C">
              <w:rPr>
                <w:b/>
                <w:sz w:val="16"/>
                <w:szCs w:val="16"/>
                <w:lang w:val="ru-RU"/>
              </w:rPr>
              <w:t xml:space="preserve">Ожидаемый результат: </w:t>
            </w:r>
            <w:r w:rsidRPr="0055116C">
              <w:rPr>
                <w:sz w:val="16"/>
                <w:szCs w:val="16"/>
                <w:lang w:val="ru-RU"/>
              </w:rPr>
              <w:tab/>
            </w:r>
            <w:r w:rsidRPr="00A919E2">
              <w:rPr>
                <w:sz w:val="16"/>
                <w:szCs w:val="16"/>
              </w:rPr>
              <w:t>IV</w:t>
            </w:r>
            <w:r w:rsidRPr="0055116C">
              <w:rPr>
                <w:sz w:val="16"/>
                <w:szCs w:val="16"/>
                <w:lang w:val="ru-RU"/>
              </w:rPr>
              <w:t>.2 . Расширенный доступ учреждений ИС и широкой</w:t>
            </w:r>
            <w:r w:rsidR="00AD2B92">
              <w:rPr>
                <w:sz w:val="16"/>
                <w:szCs w:val="16"/>
                <w:lang w:val="ru-RU"/>
              </w:rPr>
              <w:t xml:space="preserve"> общественности к информации в </w:t>
            </w:r>
            <w:r w:rsidRPr="0055116C">
              <w:rPr>
                <w:sz w:val="16"/>
                <w:szCs w:val="16"/>
                <w:lang w:val="ru-RU"/>
              </w:rPr>
              <w:t>области ИС и активное использование такой информации</w:t>
            </w:r>
            <w:r w:rsidR="00AD2B92">
              <w:rPr>
                <w:sz w:val="16"/>
                <w:szCs w:val="16"/>
                <w:lang w:val="ru-RU"/>
              </w:rPr>
              <w:t xml:space="preserve"> в целях поощрения инноваций и </w:t>
            </w:r>
            <w:r w:rsidRPr="0055116C">
              <w:rPr>
                <w:sz w:val="16"/>
                <w:szCs w:val="16"/>
                <w:lang w:val="ru-RU"/>
              </w:rPr>
              <w:t>творчества</w:t>
            </w:r>
          </w:p>
        </w:tc>
      </w:tr>
      <w:tr w:rsidR="0055116C" w:rsidRPr="00A919E2" w:rsidTr="0055116C">
        <w:trPr>
          <w:cantSplit/>
        </w:trPr>
        <w:tc>
          <w:tcPr>
            <w:tcW w:w="1199" w:type="pct"/>
            <w:tcBorders>
              <w:top w:val="single" w:sz="4" w:space="0" w:color="auto"/>
              <w:left w:val="single" w:sz="4" w:space="0" w:color="auto"/>
              <w:bottom w:val="nil"/>
            </w:tcBorders>
            <w:shd w:val="clear" w:color="auto" w:fill="auto"/>
            <w:vAlign w:val="center"/>
          </w:tcPr>
          <w:p w:rsidR="0055116C" w:rsidRPr="00A919E2" w:rsidRDefault="0055116C" w:rsidP="0055116C">
            <w:pPr>
              <w:keepNext/>
              <w:keepLines/>
              <w:rPr>
                <w:rFonts w:cs="Arial"/>
                <w:sz w:val="16"/>
                <w:szCs w:val="16"/>
              </w:rPr>
            </w:pPr>
            <w:r w:rsidRPr="00A919E2">
              <w:rPr>
                <w:b/>
                <w:sz w:val="16"/>
                <w:szCs w:val="16"/>
              </w:rPr>
              <w:t>Показатели результативности</w:t>
            </w:r>
          </w:p>
        </w:tc>
        <w:tc>
          <w:tcPr>
            <w:tcW w:w="1277" w:type="pct"/>
            <w:tcBorders>
              <w:top w:val="single" w:sz="4" w:space="0" w:color="auto"/>
              <w:bottom w:val="nil"/>
            </w:tcBorders>
            <w:shd w:val="clear" w:color="auto" w:fill="auto"/>
            <w:vAlign w:val="center"/>
          </w:tcPr>
          <w:p w:rsidR="0055116C" w:rsidRPr="00A919E2" w:rsidRDefault="0055116C" w:rsidP="0055116C">
            <w:pPr>
              <w:keepNext/>
              <w:keepLines/>
              <w:rPr>
                <w:rFonts w:cs="Arial"/>
                <w:b/>
                <w:bCs/>
                <w:sz w:val="16"/>
                <w:szCs w:val="16"/>
              </w:rPr>
            </w:pPr>
            <w:r w:rsidRPr="00A919E2">
              <w:rPr>
                <w:b/>
                <w:sz w:val="16"/>
                <w:szCs w:val="16"/>
              </w:rPr>
              <w:t>Базовые показатели</w:t>
            </w:r>
          </w:p>
        </w:tc>
        <w:tc>
          <w:tcPr>
            <w:tcW w:w="751" w:type="pct"/>
            <w:tcBorders>
              <w:top w:val="single" w:sz="4" w:space="0" w:color="auto"/>
              <w:bottom w:val="nil"/>
            </w:tcBorders>
            <w:shd w:val="clear" w:color="auto" w:fill="auto"/>
            <w:tcMar>
              <w:top w:w="110" w:type="dxa"/>
            </w:tcMar>
            <w:vAlign w:val="center"/>
          </w:tcPr>
          <w:p w:rsidR="0055116C" w:rsidRPr="00A919E2" w:rsidRDefault="0055116C" w:rsidP="0055116C">
            <w:pPr>
              <w:keepNext/>
              <w:keepLines/>
              <w:rPr>
                <w:rFonts w:cs="Arial"/>
                <w:b/>
                <w:sz w:val="16"/>
                <w:szCs w:val="16"/>
              </w:rPr>
            </w:pPr>
            <w:r w:rsidRPr="00A919E2">
              <w:rPr>
                <w:b/>
                <w:sz w:val="16"/>
                <w:szCs w:val="16"/>
              </w:rPr>
              <w:t>Цели</w:t>
            </w:r>
          </w:p>
        </w:tc>
        <w:tc>
          <w:tcPr>
            <w:tcW w:w="1202" w:type="pct"/>
            <w:tcBorders>
              <w:top w:val="single" w:sz="4" w:space="0" w:color="auto"/>
              <w:bottom w:val="nil"/>
            </w:tcBorders>
            <w:shd w:val="clear" w:color="auto" w:fill="FFFFFF"/>
            <w:tcMar>
              <w:top w:w="110" w:type="dxa"/>
            </w:tcMar>
            <w:vAlign w:val="center"/>
          </w:tcPr>
          <w:p w:rsidR="0055116C" w:rsidRPr="00A919E2" w:rsidRDefault="0055116C" w:rsidP="0055116C">
            <w:pPr>
              <w:keepNext/>
              <w:keepLines/>
              <w:rPr>
                <w:rFonts w:cs="Arial"/>
                <w:sz w:val="16"/>
                <w:szCs w:val="16"/>
              </w:rPr>
            </w:pPr>
            <w:r w:rsidRPr="00A919E2">
              <w:rPr>
                <w:b/>
                <w:sz w:val="16"/>
                <w:szCs w:val="16"/>
              </w:rPr>
              <w:t>Данные о результативности</w:t>
            </w:r>
          </w:p>
        </w:tc>
        <w:tc>
          <w:tcPr>
            <w:tcW w:w="571" w:type="pct"/>
            <w:gridSpan w:val="2"/>
            <w:tcBorders>
              <w:top w:val="single" w:sz="4" w:space="0" w:color="auto"/>
              <w:bottom w:val="nil"/>
              <w:right w:val="single" w:sz="4" w:space="0" w:color="auto"/>
            </w:tcBorders>
            <w:shd w:val="clear" w:color="auto" w:fill="auto"/>
            <w:tcMar>
              <w:top w:w="110" w:type="dxa"/>
            </w:tcMar>
            <w:vAlign w:val="center"/>
          </w:tcPr>
          <w:p w:rsidR="0055116C" w:rsidRPr="00A919E2" w:rsidRDefault="0055116C" w:rsidP="0055116C">
            <w:pPr>
              <w:keepNext/>
              <w:keepLines/>
              <w:jc w:val="center"/>
              <w:rPr>
                <w:rFonts w:cs="Arial"/>
                <w:b/>
                <w:bCs/>
                <w:sz w:val="16"/>
                <w:szCs w:val="16"/>
              </w:rPr>
            </w:pPr>
            <w:r w:rsidRPr="00A919E2">
              <w:rPr>
                <w:b/>
                <w:sz w:val="16"/>
                <w:szCs w:val="16"/>
              </w:rPr>
              <w:t>CC</w:t>
            </w:r>
          </w:p>
        </w:tc>
      </w:tr>
      <w:tr w:rsidR="0055116C" w:rsidRPr="005C6ABD" w:rsidTr="0055116C">
        <w:trPr>
          <w:cantSplit/>
        </w:trPr>
        <w:tc>
          <w:tcPr>
            <w:tcW w:w="1199" w:type="pct"/>
            <w:tcBorders>
              <w:top w:val="nil"/>
              <w:left w:val="single" w:sz="4" w:space="0" w:color="auto"/>
              <w:bottom w:val="nil"/>
            </w:tcBorders>
            <w:shd w:val="clear" w:color="auto" w:fill="auto"/>
          </w:tcPr>
          <w:p w:rsidR="0055116C" w:rsidRPr="0055116C" w:rsidRDefault="0055116C" w:rsidP="0055116C">
            <w:pPr>
              <w:keepNext/>
              <w:keepLines/>
              <w:rPr>
                <w:rFonts w:cs="Arial"/>
                <w:sz w:val="16"/>
                <w:szCs w:val="16"/>
                <w:lang w:val="ru-RU"/>
              </w:rPr>
            </w:pPr>
            <w:r w:rsidRPr="0055116C">
              <w:rPr>
                <w:sz w:val="16"/>
                <w:szCs w:val="16"/>
                <w:lang w:val="ru-RU"/>
              </w:rPr>
              <w:t>Число уникальных пользователей за квартал по всем системам (</w:t>
            </w:r>
            <w:r w:rsidRPr="00A919E2">
              <w:rPr>
                <w:sz w:val="16"/>
                <w:szCs w:val="16"/>
              </w:rPr>
              <w:t>PATENTSCOPE</w:t>
            </w:r>
            <w:r w:rsidRPr="0055116C">
              <w:rPr>
                <w:sz w:val="16"/>
                <w:szCs w:val="16"/>
                <w:lang w:val="ru-RU"/>
              </w:rPr>
              <w:t xml:space="preserve"> / Глобальная база данных по брендам)</w:t>
            </w:r>
            <w:r w:rsidRPr="00A919E2">
              <w:rPr>
                <w:rStyle w:val="FootnoteReference"/>
                <w:sz w:val="16"/>
                <w:szCs w:val="16"/>
              </w:rPr>
              <w:footnoteReference w:id="84"/>
            </w:r>
          </w:p>
        </w:tc>
        <w:tc>
          <w:tcPr>
            <w:tcW w:w="1277" w:type="pct"/>
            <w:tcBorders>
              <w:top w:val="nil"/>
              <w:bottom w:val="nil"/>
            </w:tcBorders>
            <w:shd w:val="clear" w:color="auto" w:fill="auto"/>
          </w:tcPr>
          <w:p w:rsidR="0055116C" w:rsidRPr="0055116C" w:rsidRDefault="0055116C" w:rsidP="0055116C">
            <w:pPr>
              <w:keepNext/>
              <w:keepLines/>
              <w:rPr>
                <w:rFonts w:cs="Arial"/>
                <w:color w:val="002060"/>
                <w:sz w:val="16"/>
                <w:szCs w:val="16"/>
                <w:lang w:val="ru-RU"/>
              </w:rPr>
            </w:pPr>
            <w:r w:rsidRPr="0055116C">
              <w:rPr>
                <w:i/>
                <w:color w:val="002060"/>
                <w:sz w:val="16"/>
                <w:szCs w:val="16"/>
                <w:lang w:val="ru-RU"/>
              </w:rPr>
              <w:t>Обновленные базовые показатели, конец 2013</w:t>
            </w:r>
            <w:r w:rsidRPr="00A919E2">
              <w:rPr>
                <w:i/>
                <w:color w:val="002060"/>
                <w:sz w:val="16"/>
                <w:szCs w:val="16"/>
              </w:rPr>
              <w:t> </w:t>
            </w:r>
            <w:r w:rsidRPr="0055116C">
              <w:rPr>
                <w:i/>
                <w:color w:val="002060"/>
                <w:sz w:val="16"/>
                <w:szCs w:val="16"/>
                <w:lang w:val="ru-RU"/>
              </w:rPr>
              <w:t xml:space="preserve">г.: </w:t>
            </w:r>
            <w:r w:rsidRPr="00A919E2">
              <w:rPr>
                <w:color w:val="002060"/>
                <w:sz w:val="16"/>
                <w:szCs w:val="16"/>
              </w:rPr>
              <w:t>PATENTSCOPE</w:t>
            </w:r>
            <w:r w:rsidRPr="0055116C">
              <w:rPr>
                <w:color w:val="002060"/>
                <w:sz w:val="16"/>
                <w:szCs w:val="16"/>
                <w:lang w:val="ru-RU"/>
              </w:rPr>
              <w:t>: 237</w:t>
            </w:r>
            <w:r w:rsidRPr="00A919E2">
              <w:rPr>
                <w:color w:val="002060"/>
                <w:sz w:val="16"/>
                <w:szCs w:val="16"/>
              </w:rPr>
              <w:t> </w:t>
            </w:r>
            <w:r w:rsidRPr="0055116C">
              <w:rPr>
                <w:color w:val="002060"/>
                <w:sz w:val="16"/>
                <w:szCs w:val="16"/>
                <w:lang w:val="ru-RU"/>
              </w:rPr>
              <w:t>446 Глобальная база данных по брендам: 23</w:t>
            </w:r>
            <w:r w:rsidRPr="00A919E2">
              <w:rPr>
                <w:color w:val="002060"/>
                <w:sz w:val="16"/>
                <w:szCs w:val="16"/>
              </w:rPr>
              <w:t> </w:t>
            </w:r>
            <w:r w:rsidRPr="0055116C">
              <w:rPr>
                <w:color w:val="002060"/>
                <w:sz w:val="16"/>
                <w:szCs w:val="16"/>
                <w:lang w:val="ru-RU"/>
              </w:rPr>
              <w:t>000</w:t>
            </w:r>
            <w:r w:rsidRPr="0055116C">
              <w:rPr>
                <w:rFonts w:cs="Arial"/>
                <w:i/>
                <w:color w:val="002060"/>
                <w:sz w:val="16"/>
                <w:szCs w:val="16"/>
                <w:lang w:val="ru-RU"/>
              </w:rPr>
              <w:br/>
            </w:r>
          </w:p>
          <w:p w:rsidR="0055116C" w:rsidRPr="0055116C" w:rsidRDefault="0055116C" w:rsidP="0055116C">
            <w:pPr>
              <w:keepNext/>
              <w:keepLines/>
              <w:rPr>
                <w:i/>
                <w:sz w:val="16"/>
                <w:szCs w:val="16"/>
                <w:lang w:val="ru-RU"/>
              </w:rPr>
            </w:pPr>
            <w:r w:rsidRPr="0055116C">
              <w:rPr>
                <w:i/>
                <w:sz w:val="16"/>
                <w:szCs w:val="16"/>
                <w:lang w:val="ru-RU"/>
              </w:rPr>
              <w:t xml:space="preserve">Исходные базовые показатели ПиБ на 2014–2015 гг.: </w:t>
            </w:r>
          </w:p>
          <w:p w:rsidR="0055116C" w:rsidRPr="0055116C" w:rsidRDefault="0055116C" w:rsidP="0055116C">
            <w:pPr>
              <w:keepNext/>
              <w:keepLines/>
              <w:rPr>
                <w:rFonts w:cs="Arial"/>
                <w:sz w:val="16"/>
                <w:szCs w:val="16"/>
                <w:lang w:val="ru-RU"/>
              </w:rPr>
            </w:pPr>
            <w:r w:rsidRPr="00A919E2">
              <w:rPr>
                <w:sz w:val="16"/>
                <w:szCs w:val="16"/>
              </w:rPr>
              <w:t>PATENTSCOPE</w:t>
            </w:r>
            <w:r w:rsidRPr="0055116C">
              <w:rPr>
                <w:sz w:val="16"/>
                <w:szCs w:val="16"/>
                <w:lang w:val="ru-RU"/>
              </w:rPr>
              <w:t>: 566</w:t>
            </w:r>
            <w:r w:rsidRPr="00A919E2">
              <w:rPr>
                <w:sz w:val="16"/>
                <w:szCs w:val="16"/>
              </w:rPr>
              <w:t> </w:t>
            </w:r>
            <w:r w:rsidRPr="0055116C">
              <w:rPr>
                <w:sz w:val="16"/>
                <w:szCs w:val="16"/>
                <w:lang w:val="ru-RU"/>
              </w:rPr>
              <w:t>782 Глобальная база данных по брендам: 13</w:t>
            </w:r>
            <w:r w:rsidRPr="00A919E2">
              <w:rPr>
                <w:sz w:val="16"/>
                <w:szCs w:val="16"/>
              </w:rPr>
              <w:t> </w:t>
            </w:r>
            <w:r w:rsidRPr="0055116C">
              <w:rPr>
                <w:sz w:val="16"/>
                <w:szCs w:val="16"/>
                <w:lang w:val="ru-RU"/>
              </w:rPr>
              <w:t>339 уникальных посетителей (4-й квартал 2012</w:t>
            </w:r>
            <w:r w:rsidRPr="00A919E2">
              <w:rPr>
                <w:sz w:val="16"/>
                <w:szCs w:val="16"/>
              </w:rPr>
              <w:t> </w:t>
            </w:r>
            <w:r w:rsidRPr="0055116C">
              <w:rPr>
                <w:sz w:val="16"/>
                <w:szCs w:val="16"/>
                <w:lang w:val="ru-RU"/>
              </w:rPr>
              <w:t>г.)</w:t>
            </w:r>
          </w:p>
          <w:p w:rsidR="0055116C" w:rsidRPr="0055116C" w:rsidRDefault="0055116C" w:rsidP="0055116C">
            <w:pPr>
              <w:keepNext/>
              <w:keepLines/>
              <w:rPr>
                <w:rFonts w:cs="Arial"/>
                <w:sz w:val="16"/>
                <w:szCs w:val="16"/>
                <w:lang w:val="ru-RU"/>
              </w:rPr>
            </w:pPr>
          </w:p>
        </w:tc>
        <w:tc>
          <w:tcPr>
            <w:tcW w:w="751" w:type="pct"/>
            <w:tcBorders>
              <w:top w:val="nil"/>
              <w:bottom w:val="nil"/>
            </w:tcBorders>
            <w:shd w:val="clear" w:color="auto" w:fill="auto"/>
            <w:tcMar>
              <w:top w:w="110" w:type="dxa"/>
            </w:tcMar>
          </w:tcPr>
          <w:p w:rsidR="0055116C" w:rsidRPr="0055116C" w:rsidRDefault="0055116C" w:rsidP="0055116C">
            <w:pPr>
              <w:keepNext/>
              <w:keepLines/>
              <w:rPr>
                <w:rFonts w:cs="Arial"/>
                <w:sz w:val="16"/>
                <w:szCs w:val="16"/>
                <w:lang w:val="ru-RU"/>
              </w:rPr>
            </w:pPr>
            <w:r w:rsidRPr="00A919E2">
              <w:rPr>
                <w:sz w:val="16"/>
                <w:szCs w:val="16"/>
              </w:rPr>
              <w:t>PATENTSCOPE</w:t>
            </w:r>
            <w:r w:rsidRPr="0055116C">
              <w:rPr>
                <w:sz w:val="16"/>
                <w:szCs w:val="16"/>
                <w:lang w:val="ru-RU"/>
              </w:rPr>
              <w:t>: 650</w:t>
            </w:r>
            <w:r w:rsidRPr="00A919E2">
              <w:rPr>
                <w:sz w:val="16"/>
                <w:szCs w:val="16"/>
              </w:rPr>
              <w:t> </w:t>
            </w:r>
            <w:r w:rsidRPr="0055116C">
              <w:rPr>
                <w:sz w:val="16"/>
                <w:szCs w:val="16"/>
                <w:lang w:val="ru-RU"/>
              </w:rPr>
              <w:t xml:space="preserve">000  </w:t>
            </w:r>
          </w:p>
          <w:p w:rsidR="0055116C" w:rsidRPr="0055116C" w:rsidRDefault="0055116C" w:rsidP="0055116C">
            <w:pPr>
              <w:keepNext/>
              <w:keepLines/>
              <w:rPr>
                <w:rFonts w:cs="Arial"/>
                <w:sz w:val="16"/>
                <w:szCs w:val="16"/>
                <w:lang w:val="ru-RU"/>
              </w:rPr>
            </w:pPr>
          </w:p>
          <w:p w:rsidR="0055116C" w:rsidRPr="0055116C" w:rsidRDefault="0055116C" w:rsidP="0055116C">
            <w:pPr>
              <w:keepNext/>
              <w:keepLines/>
              <w:rPr>
                <w:rFonts w:cs="Arial"/>
                <w:sz w:val="16"/>
                <w:szCs w:val="16"/>
                <w:lang w:val="ru-RU"/>
              </w:rPr>
            </w:pPr>
          </w:p>
          <w:p w:rsidR="0055116C" w:rsidRPr="0055116C" w:rsidRDefault="0055116C" w:rsidP="0055116C">
            <w:pPr>
              <w:keepNext/>
              <w:keepLines/>
              <w:rPr>
                <w:rFonts w:cs="Arial"/>
                <w:sz w:val="16"/>
                <w:szCs w:val="16"/>
                <w:lang w:val="ru-RU"/>
              </w:rPr>
            </w:pPr>
            <w:r w:rsidRPr="0055116C">
              <w:rPr>
                <w:sz w:val="16"/>
                <w:szCs w:val="16"/>
                <w:lang w:val="ru-RU"/>
              </w:rPr>
              <w:t>Глобальная база данных по брендам: 20</w:t>
            </w:r>
            <w:r w:rsidRPr="00A919E2">
              <w:rPr>
                <w:sz w:val="16"/>
                <w:szCs w:val="16"/>
              </w:rPr>
              <w:t> </w:t>
            </w:r>
            <w:r w:rsidRPr="0055116C">
              <w:rPr>
                <w:sz w:val="16"/>
                <w:szCs w:val="16"/>
                <w:lang w:val="ru-RU"/>
              </w:rPr>
              <w:t>000</w:t>
            </w:r>
            <w:r w:rsidRPr="00A919E2">
              <w:rPr>
                <w:sz w:val="16"/>
                <w:szCs w:val="16"/>
              </w:rPr>
              <w:t> </w:t>
            </w:r>
            <w:r w:rsidRPr="0055116C">
              <w:rPr>
                <w:sz w:val="16"/>
                <w:szCs w:val="16"/>
                <w:lang w:val="ru-RU"/>
              </w:rPr>
              <w:t>уникальных посетителей в квартал</w:t>
            </w:r>
            <w:r w:rsidRPr="00A919E2">
              <w:rPr>
                <w:rStyle w:val="FootnoteReference"/>
                <w:sz w:val="16"/>
                <w:szCs w:val="16"/>
              </w:rPr>
              <w:footnoteReference w:id="85"/>
            </w:r>
          </w:p>
        </w:tc>
        <w:tc>
          <w:tcPr>
            <w:tcW w:w="1202" w:type="pct"/>
            <w:tcBorders>
              <w:top w:val="nil"/>
              <w:bottom w:val="nil"/>
            </w:tcBorders>
            <w:shd w:val="clear" w:color="auto" w:fill="FFFFFF"/>
            <w:tcMar>
              <w:top w:w="110" w:type="dxa"/>
            </w:tcMar>
          </w:tcPr>
          <w:p w:rsidR="0055116C" w:rsidRPr="0055116C" w:rsidRDefault="0055116C" w:rsidP="0055116C">
            <w:pPr>
              <w:keepNext/>
              <w:keepLines/>
              <w:rPr>
                <w:rFonts w:cs="Arial"/>
                <w:sz w:val="16"/>
                <w:szCs w:val="16"/>
                <w:lang w:val="ru-RU"/>
              </w:rPr>
            </w:pPr>
            <w:r w:rsidRPr="00A919E2">
              <w:rPr>
                <w:sz w:val="16"/>
                <w:szCs w:val="16"/>
              </w:rPr>
              <w:t>PATENTSCOPE</w:t>
            </w:r>
            <w:r w:rsidRPr="0055116C">
              <w:rPr>
                <w:sz w:val="16"/>
                <w:szCs w:val="16"/>
                <w:lang w:val="ru-RU"/>
              </w:rPr>
              <w:t>:</w:t>
            </w:r>
          </w:p>
          <w:p w:rsidR="0055116C" w:rsidRPr="0055116C" w:rsidRDefault="0055116C" w:rsidP="0055116C">
            <w:pPr>
              <w:keepNext/>
              <w:keepLines/>
              <w:rPr>
                <w:rFonts w:cs="Arial"/>
                <w:sz w:val="16"/>
                <w:szCs w:val="16"/>
                <w:lang w:val="ru-RU"/>
              </w:rPr>
            </w:pPr>
            <w:r w:rsidRPr="0055116C">
              <w:rPr>
                <w:sz w:val="16"/>
                <w:szCs w:val="16"/>
                <w:lang w:val="ru-RU"/>
              </w:rPr>
              <w:t>245</w:t>
            </w:r>
            <w:r w:rsidRPr="00A919E2">
              <w:rPr>
                <w:sz w:val="16"/>
                <w:szCs w:val="16"/>
              </w:rPr>
              <w:t> </w:t>
            </w:r>
            <w:r w:rsidRPr="0055116C">
              <w:rPr>
                <w:sz w:val="16"/>
                <w:szCs w:val="16"/>
                <w:lang w:val="ru-RU"/>
              </w:rPr>
              <w:t>769 (2014</w:t>
            </w:r>
            <w:r w:rsidRPr="00A919E2">
              <w:rPr>
                <w:sz w:val="16"/>
                <w:szCs w:val="16"/>
              </w:rPr>
              <w:t> </w:t>
            </w:r>
            <w:r w:rsidRPr="0055116C">
              <w:rPr>
                <w:sz w:val="16"/>
                <w:szCs w:val="16"/>
                <w:lang w:val="ru-RU"/>
              </w:rPr>
              <w:t xml:space="preserve">г.) </w:t>
            </w:r>
          </w:p>
          <w:p w:rsidR="0055116C" w:rsidRPr="0055116C" w:rsidRDefault="0055116C" w:rsidP="0055116C">
            <w:pPr>
              <w:keepNext/>
              <w:keepLines/>
              <w:rPr>
                <w:rFonts w:cs="Arial"/>
                <w:sz w:val="16"/>
                <w:szCs w:val="16"/>
                <w:lang w:val="ru-RU"/>
              </w:rPr>
            </w:pPr>
            <w:r w:rsidRPr="0055116C">
              <w:rPr>
                <w:sz w:val="16"/>
                <w:szCs w:val="16"/>
                <w:lang w:val="ru-RU"/>
              </w:rPr>
              <w:t>221</w:t>
            </w:r>
            <w:r w:rsidRPr="00A919E2">
              <w:rPr>
                <w:sz w:val="16"/>
                <w:szCs w:val="16"/>
              </w:rPr>
              <w:t> </w:t>
            </w:r>
            <w:r w:rsidRPr="0055116C">
              <w:rPr>
                <w:sz w:val="16"/>
                <w:szCs w:val="16"/>
                <w:lang w:val="ru-RU"/>
              </w:rPr>
              <w:t>981 (2015</w:t>
            </w:r>
            <w:r w:rsidRPr="00A919E2">
              <w:rPr>
                <w:sz w:val="16"/>
                <w:szCs w:val="16"/>
              </w:rPr>
              <w:t> </w:t>
            </w:r>
            <w:r w:rsidRPr="0055116C">
              <w:rPr>
                <w:sz w:val="16"/>
                <w:szCs w:val="16"/>
                <w:lang w:val="ru-RU"/>
              </w:rPr>
              <w:t>г.)</w:t>
            </w:r>
          </w:p>
          <w:p w:rsidR="0055116C" w:rsidRPr="0055116C" w:rsidRDefault="0055116C" w:rsidP="0055116C">
            <w:pPr>
              <w:keepNext/>
              <w:keepLines/>
              <w:rPr>
                <w:rFonts w:cs="Arial"/>
                <w:sz w:val="16"/>
                <w:szCs w:val="16"/>
                <w:lang w:val="ru-RU"/>
              </w:rPr>
            </w:pPr>
          </w:p>
          <w:p w:rsidR="0055116C" w:rsidRPr="0055116C" w:rsidRDefault="0055116C" w:rsidP="0055116C">
            <w:pPr>
              <w:keepNext/>
              <w:keepLines/>
              <w:rPr>
                <w:rFonts w:cs="Arial"/>
                <w:sz w:val="16"/>
                <w:szCs w:val="16"/>
                <w:lang w:val="ru-RU"/>
              </w:rPr>
            </w:pPr>
            <w:r w:rsidRPr="0055116C">
              <w:rPr>
                <w:sz w:val="16"/>
                <w:szCs w:val="16"/>
                <w:lang w:val="ru-RU"/>
              </w:rPr>
              <w:t xml:space="preserve">Глобальная база данных по брендам: </w:t>
            </w:r>
          </w:p>
          <w:p w:rsidR="0055116C" w:rsidRPr="0055116C" w:rsidRDefault="0055116C" w:rsidP="0055116C">
            <w:pPr>
              <w:keepNext/>
              <w:keepLines/>
              <w:rPr>
                <w:rFonts w:cs="Arial"/>
                <w:sz w:val="16"/>
                <w:szCs w:val="16"/>
                <w:lang w:val="ru-RU"/>
              </w:rPr>
            </w:pPr>
            <w:r w:rsidRPr="0055116C">
              <w:rPr>
                <w:sz w:val="16"/>
                <w:szCs w:val="16"/>
                <w:lang w:val="ru-RU"/>
              </w:rPr>
              <w:t>49</w:t>
            </w:r>
            <w:r w:rsidRPr="00A919E2">
              <w:rPr>
                <w:sz w:val="16"/>
                <w:szCs w:val="16"/>
              </w:rPr>
              <w:t> </w:t>
            </w:r>
            <w:r w:rsidRPr="0055116C">
              <w:rPr>
                <w:sz w:val="16"/>
                <w:szCs w:val="16"/>
                <w:lang w:val="ru-RU"/>
              </w:rPr>
              <w:t>977 (2014</w:t>
            </w:r>
            <w:r w:rsidRPr="00A919E2">
              <w:rPr>
                <w:sz w:val="16"/>
                <w:szCs w:val="16"/>
              </w:rPr>
              <w:t> </w:t>
            </w:r>
            <w:r w:rsidRPr="0055116C">
              <w:rPr>
                <w:sz w:val="16"/>
                <w:szCs w:val="16"/>
                <w:lang w:val="ru-RU"/>
              </w:rPr>
              <w:t>г.)</w:t>
            </w:r>
          </w:p>
          <w:p w:rsidR="0055116C" w:rsidRPr="0055116C" w:rsidRDefault="0055116C" w:rsidP="0055116C">
            <w:pPr>
              <w:keepNext/>
              <w:keepLines/>
              <w:rPr>
                <w:rFonts w:cs="Arial"/>
                <w:sz w:val="16"/>
                <w:szCs w:val="16"/>
                <w:lang w:val="ru-RU"/>
              </w:rPr>
            </w:pPr>
            <w:r w:rsidRPr="0055116C">
              <w:rPr>
                <w:sz w:val="16"/>
                <w:szCs w:val="16"/>
                <w:lang w:val="ru-RU"/>
              </w:rPr>
              <w:t>80</w:t>
            </w:r>
            <w:r w:rsidRPr="00A919E2">
              <w:rPr>
                <w:sz w:val="16"/>
                <w:szCs w:val="16"/>
              </w:rPr>
              <w:t> </w:t>
            </w:r>
            <w:r w:rsidRPr="0055116C">
              <w:rPr>
                <w:sz w:val="16"/>
                <w:szCs w:val="16"/>
                <w:lang w:val="ru-RU"/>
              </w:rPr>
              <w:t>490 (2015</w:t>
            </w:r>
            <w:r w:rsidRPr="00A919E2">
              <w:rPr>
                <w:sz w:val="16"/>
                <w:szCs w:val="16"/>
              </w:rPr>
              <w:t> </w:t>
            </w:r>
            <w:r w:rsidRPr="0055116C">
              <w:rPr>
                <w:sz w:val="16"/>
                <w:szCs w:val="16"/>
                <w:lang w:val="ru-RU"/>
              </w:rPr>
              <w:t>г.)</w:t>
            </w:r>
          </w:p>
          <w:p w:rsidR="0055116C" w:rsidRPr="0055116C" w:rsidRDefault="0055116C" w:rsidP="0055116C">
            <w:pPr>
              <w:keepNext/>
              <w:keepLines/>
              <w:rPr>
                <w:rFonts w:cs="Arial"/>
                <w:sz w:val="16"/>
                <w:szCs w:val="16"/>
                <w:lang w:val="ru-RU"/>
              </w:rPr>
            </w:pPr>
          </w:p>
          <w:p w:rsidR="0055116C" w:rsidRPr="0055116C" w:rsidRDefault="0055116C" w:rsidP="0055116C">
            <w:pPr>
              <w:keepNext/>
              <w:keepLines/>
              <w:rPr>
                <w:rFonts w:cs="Arial"/>
                <w:sz w:val="16"/>
                <w:szCs w:val="16"/>
                <w:lang w:val="ru-RU"/>
              </w:rPr>
            </w:pPr>
            <w:r w:rsidRPr="0055116C">
              <w:rPr>
                <w:sz w:val="16"/>
                <w:szCs w:val="16"/>
                <w:lang w:val="ru-RU"/>
              </w:rPr>
              <w:t>Глобальная база данных по брендам: 13</w:t>
            </w:r>
            <w:r w:rsidRPr="00A919E2">
              <w:rPr>
                <w:sz w:val="16"/>
                <w:szCs w:val="16"/>
              </w:rPr>
              <w:t> </w:t>
            </w:r>
            <w:r w:rsidRPr="0055116C">
              <w:rPr>
                <w:sz w:val="16"/>
                <w:szCs w:val="16"/>
                <w:lang w:val="ru-RU"/>
              </w:rPr>
              <w:t>946 (2015</w:t>
            </w:r>
            <w:r w:rsidRPr="00A919E2">
              <w:rPr>
                <w:sz w:val="16"/>
                <w:szCs w:val="16"/>
              </w:rPr>
              <w:t> </w:t>
            </w:r>
            <w:r w:rsidRPr="0055116C">
              <w:rPr>
                <w:sz w:val="16"/>
                <w:szCs w:val="16"/>
                <w:lang w:val="ru-RU"/>
              </w:rPr>
              <w:t>г.)</w:t>
            </w:r>
          </w:p>
        </w:tc>
        <w:tc>
          <w:tcPr>
            <w:tcW w:w="571" w:type="pct"/>
            <w:gridSpan w:val="2"/>
            <w:tcBorders>
              <w:top w:val="nil"/>
              <w:bottom w:val="nil"/>
              <w:right w:val="single" w:sz="4" w:space="0" w:color="auto"/>
            </w:tcBorders>
            <w:shd w:val="clear" w:color="auto" w:fill="auto"/>
            <w:tcMar>
              <w:top w:w="110" w:type="dxa"/>
            </w:tcMar>
          </w:tcPr>
          <w:p w:rsidR="0055116C" w:rsidRPr="0055116C" w:rsidRDefault="0055116C" w:rsidP="0055116C">
            <w:pPr>
              <w:keepNext/>
              <w:keepLines/>
              <w:jc w:val="center"/>
              <w:rPr>
                <w:rFonts w:cs="Arial"/>
                <w:b/>
                <w:bCs/>
                <w:color w:val="E36C0A" w:themeColor="accent6" w:themeShade="BF"/>
                <w:sz w:val="16"/>
                <w:szCs w:val="16"/>
                <w:lang w:val="ru-RU"/>
              </w:rPr>
            </w:pPr>
            <w:r w:rsidRPr="0055116C">
              <w:rPr>
                <w:b/>
                <w:color w:val="E36C0A" w:themeColor="accent6" w:themeShade="BF"/>
                <w:sz w:val="16"/>
                <w:szCs w:val="16"/>
                <w:lang w:val="ru-RU"/>
              </w:rPr>
              <w:t>Частично выполнено</w:t>
            </w:r>
          </w:p>
          <w:p w:rsidR="0055116C" w:rsidRPr="0055116C" w:rsidRDefault="0055116C" w:rsidP="0055116C">
            <w:pPr>
              <w:keepNext/>
              <w:keepLines/>
              <w:jc w:val="center"/>
              <w:rPr>
                <w:rFonts w:cs="Arial"/>
                <w:b/>
                <w:bCs/>
                <w:color w:val="FFC000"/>
                <w:sz w:val="16"/>
                <w:szCs w:val="16"/>
                <w:lang w:val="ru-RU"/>
              </w:rPr>
            </w:pPr>
          </w:p>
          <w:p w:rsidR="0055116C" w:rsidRPr="0055116C" w:rsidRDefault="0055116C" w:rsidP="0055116C">
            <w:pPr>
              <w:keepNext/>
              <w:keepLines/>
              <w:jc w:val="center"/>
              <w:rPr>
                <w:rFonts w:cs="Arial"/>
                <w:b/>
                <w:bCs/>
                <w:color w:val="FFC000"/>
                <w:sz w:val="16"/>
                <w:szCs w:val="16"/>
                <w:lang w:val="ru-RU"/>
              </w:rPr>
            </w:pPr>
          </w:p>
          <w:p w:rsidR="0055116C" w:rsidRPr="0055116C" w:rsidRDefault="0055116C" w:rsidP="0055116C">
            <w:pPr>
              <w:keepNext/>
              <w:keepLines/>
              <w:jc w:val="center"/>
              <w:rPr>
                <w:rStyle w:val="Style5"/>
                <w:rFonts w:cs="Arial"/>
                <w:b/>
                <w:color w:val="00B050"/>
                <w:sz w:val="16"/>
                <w:szCs w:val="16"/>
                <w:lang w:val="ru-RU"/>
              </w:rPr>
            </w:pPr>
            <w:r w:rsidRPr="0055116C">
              <w:rPr>
                <w:rStyle w:val="Style5"/>
                <w:b/>
                <w:color w:val="00B050"/>
                <w:sz w:val="16"/>
                <w:szCs w:val="16"/>
                <w:lang w:val="ru-RU"/>
              </w:rPr>
              <w:t>Выполнено</w:t>
            </w:r>
          </w:p>
          <w:p w:rsidR="0055116C" w:rsidRPr="0055116C" w:rsidRDefault="0055116C" w:rsidP="0055116C">
            <w:pPr>
              <w:keepNext/>
              <w:keepLines/>
              <w:jc w:val="center"/>
              <w:rPr>
                <w:rStyle w:val="Style5"/>
                <w:rFonts w:cs="Arial"/>
                <w:b/>
                <w:color w:val="00B050"/>
                <w:sz w:val="16"/>
                <w:szCs w:val="16"/>
                <w:lang w:val="ru-RU"/>
              </w:rPr>
            </w:pPr>
          </w:p>
          <w:p w:rsidR="0055116C" w:rsidRPr="0055116C" w:rsidRDefault="0055116C" w:rsidP="0055116C">
            <w:pPr>
              <w:keepNext/>
              <w:keepLines/>
              <w:jc w:val="center"/>
              <w:rPr>
                <w:rStyle w:val="Style5"/>
                <w:rFonts w:cs="Arial"/>
                <w:b/>
                <w:color w:val="00B050"/>
                <w:sz w:val="16"/>
                <w:szCs w:val="16"/>
                <w:lang w:val="ru-RU"/>
              </w:rPr>
            </w:pPr>
          </w:p>
          <w:p w:rsidR="0055116C" w:rsidRPr="0055116C" w:rsidRDefault="0055116C" w:rsidP="0055116C">
            <w:pPr>
              <w:keepNext/>
              <w:keepLines/>
              <w:jc w:val="center"/>
              <w:rPr>
                <w:rFonts w:cs="Arial"/>
                <w:b/>
                <w:bCs/>
                <w:color w:val="808080"/>
                <w:sz w:val="16"/>
                <w:szCs w:val="16"/>
                <w:lang w:val="ru-RU"/>
              </w:rPr>
            </w:pPr>
            <w:r w:rsidRPr="0055116C">
              <w:rPr>
                <w:rStyle w:val="Style5"/>
                <w:b/>
                <w:color w:val="808080"/>
                <w:sz w:val="16"/>
                <w:szCs w:val="16"/>
                <w:lang w:val="ru-RU"/>
              </w:rPr>
              <w:t>Не подлежит оценке</w:t>
            </w:r>
          </w:p>
        </w:tc>
      </w:tr>
      <w:tr w:rsidR="0055116C" w:rsidRPr="00A919E2" w:rsidTr="0055116C">
        <w:trPr>
          <w:cantSplit/>
        </w:trPr>
        <w:tc>
          <w:tcPr>
            <w:tcW w:w="1199" w:type="pct"/>
            <w:tcBorders>
              <w:top w:val="nil"/>
              <w:left w:val="single" w:sz="4" w:space="0" w:color="auto"/>
              <w:bottom w:val="nil"/>
            </w:tcBorders>
            <w:shd w:val="clear" w:color="auto" w:fill="FFFFFF"/>
          </w:tcPr>
          <w:p w:rsidR="0055116C" w:rsidRPr="00A919E2" w:rsidRDefault="0055116C" w:rsidP="0055116C">
            <w:pPr>
              <w:rPr>
                <w:rFonts w:cs="Arial"/>
                <w:sz w:val="16"/>
                <w:szCs w:val="16"/>
              </w:rPr>
            </w:pPr>
            <w:r w:rsidRPr="00A919E2">
              <w:rPr>
                <w:sz w:val="16"/>
                <w:szCs w:val="16"/>
              </w:rPr>
              <w:t>Число языков</w:t>
            </w:r>
            <w:r>
              <w:rPr>
                <w:sz w:val="16"/>
                <w:szCs w:val="16"/>
              </w:rPr>
              <w:t xml:space="preserve"> межъязыкового</w:t>
            </w:r>
            <w:r w:rsidRPr="00A919E2">
              <w:rPr>
                <w:sz w:val="16"/>
                <w:szCs w:val="16"/>
              </w:rPr>
              <w:t xml:space="preserve"> поиск</w:t>
            </w:r>
            <w:r>
              <w:rPr>
                <w:sz w:val="16"/>
                <w:szCs w:val="16"/>
              </w:rPr>
              <w:t>а</w:t>
            </w:r>
          </w:p>
        </w:tc>
        <w:tc>
          <w:tcPr>
            <w:tcW w:w="1277" w:type="pct"/>
            <w:tcBorders>
              <w:top w:val="nil"/>
              <w:bottom w:val="nil"/>
            </w:tcBorders>
            <w:shd w:val="clear" w:color="auto" w:fill="auto"/>
          </w:tcPr>
          <w:p w:rsidR="0055116C" w:rsidRPr="0055116C" w:rsidRDefault="0055116C" w:rsidP="0055116C">
            <w:pPr>
              <w:rPr>
                <w:rFonts w:cs="Arial"/>
                <w:color w:val="002060"/>
                <w:sz w:val="16"/>
                <w:szCs w:val="16"/>
                <w:lang w:val="ru-RU"/>
              </w:rPr>
            </w:pPr>
            <w:r w:rsidRPr="0055116C">
              <w:rPr>
                <w:i/>
                <w:color w:val="002060"/>
                <w:sz w:val="16"/>
                <w:szCs w:val="16"/>
                <w:lang w:val="ru-RU"/>
              </w:rPr>
              <w:t>Обновленные базовые показатели, конец 2013</w:t>
            </w:r>
            <w:r w:rsidRPr="00A919E2">
              <w:rPr>
                <w:i/>
                <w:color w:val="002060"/>
                <w:sz w:val="16"/>
                <w:szCs w:val="16"/>
              </w:rPr>
              <w:t> </w:t>
            </w:r>
            <w:r w:rsidRPr="0055116C">
              <w:rPr>
                <w:i/>
                <w:color w:val="002060"/>
                <w:sz w:val="16"/>
                <w:szCs w:val="16"/>
                <w:lang w:val="ru-RU"/>
              </w:rPr>
              <w:t xml:space="preserve">г.: </w:t>
            </w:r>
            <w:r w:rsidRPr="0055116C">
              <w:rPr>
                <w:color w:val="002060"/>
                <w:sz w:val="16"/>
                <w:szCs w:val="16"/>
                <w:lang w:val="ru-RU"/>
              </w:rPr>
              <w:t>12</w:t>
            </w:r>
            <w:r w:rsidRPr="0055116C">
              <w:rPr>
                <w:rFonts w:cs="Arial"/>
                <w:i/>
                <w:color w:val="002060"/>
                <w:sz w:val="16"/>
                <w:szCs w:val="16"/>
                <w:lang w:val="ru-RU"/>
              </w:rPr>
              <w:br/>
            </w:r>
          </w:p>
          <w:p w:rsidR="0055116C" w:rsidRPr="0055116C" w:rsidRDefault="0055116C" w:rsidP="0055116C">
            <w:pPr>
              <w:rPr>
                <w:i/>
                <w:sz w:val="16"/>
                <w:szCs w:val="16"/>
                <w:lang w:val="ru-RU"/>
              </w:rPr>
            </w:pPr>
            <w:r w:rsidRPr="0055116C">
              <w:rPr>
                <w:i/>
                <w:sz w:val="16"/>
                <w:szCs w:val="16"/>
                <w:lang w:val="ru-RU"/>
              </w:rPr>
              <w:t xml:space="preserve">Исходные базовые показатели ПиБ на 2014–2015 гг.: </w:t>
            </w:r>
          </w:p>
          <w:p w:rsidR="0055116C" w:rsidRPr="00A919E2" w:rsidRDefault="0055116C" w:rsidP="0055116C">
            <w:pPr>
              <w:autoSpaceDE w:val="0"/>
              <w:autoSpaceDN w:val="0"/>
              <w:adjustRightInd w:val="0"/>
              <w:rPr>
                <w:rFonts w:cs="Arial"/>
                <w:sz w:val="16"/>
                <w:szCs w:val="16"/>
              </w:rPr>
            </w:pPr>
            <w:r w:rsidRPr="00A919E2">
              <w:rPr>
                <w:sz w:val="16"/>
                <w:szCs w:val="16"/>
              </w:rPr>
              <w:t>12 (февраль 2013 г.)</w:t>
            </w:r>
          </w:p>
        </w:tc>
        <w:tc>
          <w:tcPr>
            <w:tcW w:w="751" w:type="pct"/>
            <w:tcBorders>
              <w:top w:val="nil"/>
              <w:bottom w:val="nil"/>
            </w:tcBorders>
            <w:shd w:val="clear" w:color="auto" w:fill="auto"/>
            <w:tcMar>
              <w:top w:w="110" w:type="dxa"/>
            </w:tcMar>
          </w:tcPr>
          <w:p w:rsidR="0055116C" w:rsidRPr="00A919E2" w:rsidRDefault="0055116C" w:rsidP="0055116C">
            <w:pPr>
              <w:rPr>
                <w:rFonts w:cs="Arial"/>
                <w:sz w:val="16"/>
                <w:szCs w:val="16"/>
              </w:rPr>
            </w:pPr>
            <w:r w:rsidRPr="00A919E2">
              <w:rPr>
                <w:sz w:val="16"/>
                <w:szCs w:val="16"/>
              </w:rPr>
              <w:t>13</w:t>
            </w:r>
          </w:p>
        </w:tc>
        <w:tc>
          <w:tcPr>
            <w:tcW w:w="1202" w:type="pct"/>
            <w:tcBorders>
              <w:top w:val="nil"/>
              <w:bottom w:val="nil"/>
            </w:tcBorders>
            <w:shd w:val="clear" w:color="auto" w:fill="FFFFFF"/>
            <w:tcMar>
              <w:top w:w="110" w:type="dxa"/>
            </w:tcMar>
          </w:tcPr>
          <w:p w:rsidR="0055116C" w:rsidRPr="0055116C" w:rsidRDefault="0055116C" w:rsidP="0055116C">
            <w:pPr>
              <w:rPr>
                <w:rFonts w:cs="Arial"/>
                <w:sz w:val="16"/>
                <w:szCs w:val="16"/>
                <w:lang w:val="ru-RU"/>
              </w:rPr>
            </w:pPr>
            <w:r w:rsidRPr="0055116C">
              <w:rPr>
                <w:sz w:val="16"/>
                <w:szCs w:val="16"/>
                <w:lang w:val="ru-RU"/>
              </w:rPr>
              <w:t>В 2014–2015</w:t>
            </w:r>
            <w:r w:rsidRPr="00A919E2">
              <w:rPr>
                <w:sz w:val="16"/>
                <w:szCs w:val="16"/>
              </w:rPr>
              <w:t> </w:t>
            </w:r>
            <w:r w:rsidRPr="0055116C">
              <w:rPr>
                <w:sz w:val="16"/>
                <w:szCs w:val="16"/>
                <w:lang w:val="ru-RU"/>
              </w:rPr>
              <w:t xml:space="preserve">гг. в Систему межъязыкового поиска </w:t>
            </w:r>
            <w:r w:rsidRPr="00A919E2">
              <w:rPr>
                <w:sz w:val="16"/>
                <w:szCs w:val="16"/>
              </w:rPr>
              <w:t>CLIR</w:t>
            </w:r>
            <w:r w:rsidRPr="0055116C">
              <w:rPr>
                <w:sz w:val="16"/>
                <w:szCs w:val="16"/>
                <w:lang w:val="ru-RU"/>
              </w:rPr>
              <w:t xml:space="preserve"> были добавлены еще два языка (датский и польский), в результате чего общее число языков достигло</w:t>
            </w:r>
            <w:r w:rsidRPr="00A919E2">
              <w:rPr>
                <w:sz w:val="16"/>
                <w:szCs w:val="16"/>
              </w:rPr>
              <w:t> </w:t>
            </w:r>
            <w:r w:rsidRPr="0055116C">
              <w:rPr>
                <w:sz w:val="16"/>
                <w:szCs w:val="16"/>
                <w:lang w:val="ru-RU"/>
              </w:rPr>
              <w:t>14.</w:t>
            </w:r>
          </w:p>
        </w:tc>
        <w:tc>
          <w:tcPr>
            <w:tcW w:w="571" w:type="pct"/>
            <w:gridSpan w:val="2"/>
            <w:tcBorders>
              <w:top w:val="nil"/>
              <w:bottom w:val="nil"/>
              <w:right w:val="single" w:sz="4" w:space="0" w:color="auto"/>
            </w:tcBorders>
            <w:shd w:val="clear" w:color="auto" w:fill="auto"/>
            <w:tcMar>
              <w:top w:w="110" w:type="dxa"/>
            </w:tcMar>
          </w:tcPr>
          <w:p w:rsidR="0055116C" w:rsidRPr="00A919E2" w:rsidRDefault="0055116C" w:rsidP="0055116C">
            <w:pPr>
              <w:keepNext/>
              <w:keepLines/>
              <w:jc w:val="center"/>
              <w:rPr>
                <w:rStyle w:val="Style5"/>
                <w:rFonts w:cs="Arial"/>
                <w:b/>
                <w:color w:val="00B050"/>
                <w:sz w:val="16"/>
                <w:szCs w:val="16"/>
              </w:rPr>
            </w:pPr>
            <w:r w:rsidRPr="00A919E2">
              <w:rPr>
                <w:rStyle w:val="Style5"/>
                <w:b/>
                <w:color w:val="00B050"/>
                <w:sz w:val="16"/>
                <w:szCs w:val="16"/>
              </w:rPr>
              <w:t>Выполнено</w:t>
            </w:r>
          </w:p>
        </w:tc>
      </w:tr>
      <w:tr w:rsidR="0055116C" w:rsidRPr="008A6A50" w:rsidTr="0055116C">
        <w:trPr>
          <w:cantSplit/>
        </w:trPr>
        <w:tc>
          <w:tcPr>
            <w:tcW w:w="1199" w:type="pct"/>
            <w:tcBorders>
              <w:top w:val="nil"/>
              <w:left w:val="single" w:sz="4" w:space="0" w:color="auto"/>
              <w:bottom w:val="single" w:sz="4" w:space="0" w:color="auto"/>
            </w:tcBorders>
            <w:shd w:val="clear" w:color="auto" w:fill="FFFFFF"/>
          </w:tcPr>
          <w:p w:rsidR="0055116C" w:rsidRPr="0055116C" w:rsidRDefault="0055116C" w:rsidP="0055116C">
            <w:pPr>
              <w:rPr>
                <w:rFonts w:cs="Arial"/>
                <w:sz w:val="16"/>
                <w:szCs w:val="16"/>
                <w:lang w:val="ru-RU"/>
              </w:rPr>
            </w:pPr>
            <w:r w:rsidRPr="0055116C">
              <w:rPr>
                <w:sz w:val="16"/>
                <w:szCs w:val="16"/>
                <w:lang w:val="ru-RU"/>
              </w:rPr>
              <w:t>Число языковых пар, доступных для машинного перевода названий и рефератов</w:t>
            </w:r>
          </w:p>
        </w:tc>
        <w:tc>
          <w:tcPr>
            <w:tcW w:w="1277" w:type="pct"/>
            <w:tcBorders>
              <w:top w:val="nil"/>
              <w:bottom w:val="single" w:sz="4" w:space="0" w:color="auto"/>
            </w:tcBorders>
            <w:shd w:val="clear" w:color="auto" w:fill="auto"/>
          </w:tcPr>
          <w:p w:rsidR="0055116C" w:rsidRPr="0055116C" w:rsidRDefault="0055116C" w:rsidP="0055116C">
            <w:pPr>
              <w:rPr>
                <w:i/>
                <w:color w:val="002060"/>
                <w:sz w:val="16"/>
                <w:szCs w:val="16"/>
                <w:lang w:val="ru-RU"/>
              </w:rPr>
            </w:pPr>
            <w:r w:rsidRPr="0055116C">
              <w:rPr>
                <w:i/>
                <w:color w:val="002060"/>
                <w:sz w:val="16"/>
                <w:szCs w:val="16"/>
                <w:lang w:val="ru-RU"/>
              </w:rPr>
              <w:t>Обновленные базовые показатели, конец 2013</w:t>
            </w:r>
            <w:r w:rsidRPr="00A919E2">
              <w:rPr>
                <w:i/>
                <w:color w:val="002060"/>
                <w:sz w:val="16"/>
                <w:szCs w:val="16"/>
              </w:rPr>
              <w:t> </w:t>
            </w:r>
            <w:r w:rsidRPr="0055116C">
              <w:rPr>
                <w:i/>
                <w:color w:val="002060"/>
                <w:sz w:val="16"/>
                <w:szCs w:val="16"/>
                <w:lang w:val="ru-RU"/>
              </w:rPr>
              <w:t xml:space="preserve">г.: </w:t>
            </w:r>
          </w:p>
          <w:p w:rsidR="0055116C" w:rsidRPr="0055116C" w:rsidRDefault="0055116C" w:rsidP="0055116C">
            <w:pPr>
              <w:rPr>
                <w:rFonts w:cs="Arial"/>
                <w:color w:val="002060"/>
                <w:sz w:val="16"/>
                <w:szCs w:val="16"/>
                <w:lang w:val="ru-RU"/>
              </w:rPr>
            </w:pPr>
            <w:r w:rsidRPr="0055116C">
              <w:rPr>
                <w:color w:val="002060"/>
                <w:sz w:val="16"/>
                <w:szCs w:val="16"/>
                <w:lang w:val="ru-RU"/>
              </w:rPr>
              <w:t>4 (всего)</w:t>
            </w:r>
            <w:r w:rsidRPr="0055116C">
              <w:rPr>
                <w:rFonts w:cs="Arial"/>
                <w:i/>
                <w:color w:val="002060"/>
                <w:sz w:val="16"/>
                <w:szCs w:val="16"/>
                <w:lang w:val="ru-RU"/>
              </w:rPr>
              <w:br/>
            </w:r>
          </w:p>
          <w:p w:rsidR="0055116C" w:rsidRPr="0055116C" w:rsidRDefault="0055116C" w:rsidP="0055116C">
            <w:pPr>
              <w:rPr>
                <w:i/>
                <w:sz w:val="16"/>
                <w:szCs w:val="16"/>
                <w:lang w:val="ru-RU"/>
              </w:rPr>
            </w:pPr>
            <w:r w:rsidRPr="0055116C">
              <w:rPr>
                <w:i/>
                <w:sz w:val="16"/>
                <w:szCs w:val="16"/>
                <w:lang w:val="ru-RU"/>
              </w:rPr>
              <w:t xml:space="preserve">Исходные базовые показатели ПиБ на 2014–2015 гг.: </w:t>
            </w:r>
          </w:p>
          <w:p w:rsidR="0055116C" w:rsidRDefault="0055116C" w:rsidP="0055116C">
            <w:pPr>
              <w:rPr>
                <w:sz w:val="16"/>
                <w:szCs w:val="16"/>
              </w:rPr>
            </w:pPr>
            <w:r w:rsidRPr="00A919E2">
              <w:rPr>
                <w:sz w:val="16"/>
                <w:szCs w:val="16"/>
              </w:rPr>
              <w:t>2 (февраль 2013 г.)</w:t>
            </w:r>
          </w:p>
          <w:p w:rsidR="0055116C" w:rsidRPr="00A919E2" w:rsidRDefault="0055116C" w:rsidP="0055116C">
            <w:pPr>
              <w:rPr>
                <w:rFonts w:cs="Arial"/>
                <w:i/>
                <w:color w:val="002060"/>
                <w:sz w:val="16"/>
                <w:szCs w:val="16"/>
              </w:rPr>
            </w:pPr>
          </w:p>
        </w:tc>
        <w:tc>
          <w:tcPr>
            <w:tcW w:w="751" w:type="pct"/>
            <w:tcBorders>
              <w:top w:val="nil"/>
              <w:bottom w:val="single" w:sz="4" w:space="0" w:color="auto"/>
            </w:tcBorders>
            <w:shd w:val="clear" w:color="auto" w:fill="auto"/>
            <w:tcMar>
              <w:top w:w="110" w:type="dxa"/>
            </w:tcMar>
          </w:tcPr>
          <w:p w:rsidR="0055116C" w:rsidRPr="00A919E2" w:rsidRDefault="0055116C" w:rsidP="0055116C">
            <w:pPr>
              <w:rPr>
                <w:rFonts w:cs="Arial"/>
                <w:sz w:val="16"/>
                <w:szCs w:val="16"/>
              </w:rPr>
            </w:pPr>
            <w:r w:rsidRPr="00A919E2">
              <w:rPr>
                <w:sz w:val="16"/>
                <w:szCs w:val="16"/>
              </w:rPr>
              <w:t>5</w:t>
            </w:r>
          </w:p>
        </w:tc>
        <w:tc>
          <w:tcPr>
            <w:tcW w:w="1202" w:type="pct"/>
            <w:tcBorders>
              <w:top w:val="nil"/>
              <w:bottom w:val="single" w:sz="4" w:space="0" w:color="auto"/>
            </w:tcBorders>
            <w:shd w:val="clear" w:color="auto" w:fill="FFFFFF"/>
            <w:tcMar>
              <w:top w:w="110" w:type="dxa"/>
            </w:tcMar>
          </w:tcPr>
          <w:p w:rsidR="008A6A50" w:rsidRPr="008A6A50" w:rsidRDefault="008A6A50" w:rsidP="0055116C">
            <w:pPr>
              <w:rPr>
                <w:rFonts w:cs="Arial"/>
                <w:sz w:val="16"/>
                <w:szCs w:val="16"/>
                <w:lang w:val="ru-RU"/>
              </w:rPr>
            </w:pPr>
            <w:r>
              <w:rPr>
                <w:sz w:val="16"/>
                <w:szCs w:val="16"/>
                <w:lang w:val="ru-RU"/>
              </w:rPr>
              <w:t xml:space="preserve">Кроме того, </w:t>
            </w:r>
            <w:r w:rsidRPr="008A6A50">
              <w:rPr>
                <w:sz w:val="16"/>
                <w:szCs w:val="16"/>
                <w:lang w:val="ru-RU"/>
              </w:rPr>
              <w:t>в сферу охвата пары «английский – китайский» вошли описания и формулы изобретений</w:t>
            </w:r>
            <w:r>
              <w:rPr>
                <w:sz w:val="16"/>
                <w:szCs w:val="16"/>
                <w:lang w:val="ru-RU"/>
              </w:rPr>
              <w:t>.</w:t>
            </w:r>
            <w:r w:rsidRPr="008A6A50">
              <w:rPr>
                <w:rFonts w:cs="Arial"/>
                <w:sz w:val="16"/>
                <w:szCs w:val="16"/>
                <w:lang w:val="ru-RU"/>
              </w:rPr>
              <w:t xml:space="preserve"> </w:t>
            </w:r>
          </w:p>
        </w:tc>
        <w:tc>
          <w:tcPr>
            <w:tcW w:w="571" w:type="pct"/>
            <w:gridSpan w:val="2"/>
            <w:tcBorders>
              <w:top w:val="nil"/>
              <w:bottom w:val="single" w:sz="4" w:space="0" w:color="auto"/>
              <w:right w:val="single" w:sz="4" w:space="0" w:color="auto"/>
            </w:tcBorders>
            <w:shd w:val="clear" w:color="auto" w:fill="auto"/>
            <w:tcMar>
              <w:top w:w="110" w:type="dxa"/>
            </w:tcMar>
          </w:tcPr>
          <w:p w:rsidR="0055116C" w:rsidRPr="008A6A50" w:rsidRDefault="0055116C" w:rsidP="0055116C">
            <w:pPr>
              <w:keepNext/>
              <w:keepLines/>
              <w:jc w:val="center"/>
              <w:rPr>
                <w:rStyle w:val="Style5"/>
                <w:rFonts w:cs="Arial"/>
                <w:b/>
                <w:color w:val="00B050"/>
                <w:sz w:val="16"/>
                <w:szCs w:val="16"/>
                <w:lang w:val="ru-RU"/>
              </w:rPr>
            </w:pPr>
            <w:r w:rsidRPr="008A6A50">
              <w:rPr>
                <w:rStyle w:val="Style5"/>
                <w:b/>
                <w:color w:val="00B050"/>
                <w:sz w:val="16"/>
                <w:szCs w:val="16"/>
                <w:lang w:val="ru-RU"/>
              </w:rPr>
              <w:t>Выполнено</w:t>
            </w:r>
          </w:p>
        </w:tc>
      </w:tr>
      <w:tr w:rsidR="0055116C" w:rsidRPr="005C6ABD" w:rsidTr="0055116C">
        <w:trPr>
          <w:cantSplit/>
        </w:trPr>
        <w:tc>
          <w:tcPr>
            <w:tcW w:w="5000" w:type="pct"/>
            <w:gridSpan w:val="6"/>
            <w:tcBorders>
              <w:top w:val="single" w:sz="4" w:space="0" w:color="auto"/>
              <w:left w:val="single" w:sz="4" w:space="0" w:color="auto"/>
              <w:bottom w:val="nil"/>
              <w:right w:val="single" w:sz="4" w:space="0" w:color="auto"/>
            </w:tcBorders>
            <w:shd w:val="clear" w:color="auto" w:fill="C6D9F1" w:themeFill="text2" w:themeFillTint="33"/>
            <w:vAlign w:val="center"/>
          </w:tcPr>
          <w:p w:rsidR="0055116C" w:rsidRPr="0055116C" w:rsidRDefault="0055116C" w:rsidP="00AD2B92">
            <w:pPr>
              <w:ind w:left="2302" w:hanging="2302"/>
              <w:rPr>
                <w:rFonts w:cs="Arial"/>
                <w:b/>
                <w:bCs/>
                <w:sz w:val="16"/>
                <w:szCs w:val="16"/>
                <w:lang w:val="ru-RU"/>
              </w:rPr>
            </w:pPr>
            <w:r w:rsidRPr="0055116C">
              <w:rPr>
                <w:b/>
                <w:sz w:val="16"/>
                <w:szCs w:val="16"/>
                <w:lang w:val="ru-RU"/>
              </w:rPr>
              <w:t xml:space="preserve">Ожидаемый результат: </w:t>
            </w:r>
            <w:r w:rsidRPr="0055116C">
              <w:rPr>
                <w:sz w:val="16"/>
                <w:szCs w:val="16"/>
                <w:lang w:val="ru-RU"/>
              </w:rPr>
              <w:tab/>
            </w:r>
            <w:r w:rsidRPr="00A919E2">
              <w:rPr>
                <w:sz w:val="16"/>
                <w:szCs w:val="16"/>
              </w:rPr>
              <w:t>IV</w:t>
            </w:r>
            <w:r w:rsidRPr="0055116C">
              <w:rPr>
                <w:sz w:val="16"/>
                <w:szCs w:val="16"/>
                <w:lang w:val="ru-RU"/>
              </w:rPr>
              <w:t>.3. Широкая географическая сфера охвата контента и использ</w:t>
            </w:r>
            <w:r w:rsidR="00AD2B92">
              <w:rPr>
                <w:sz w:val="16"/>
                <w:szCs w:val="16"/>
                <w:lang w:val="ru-RU"/>
              </w:rPr>
              <w:t>ования глобальных баз данных В</w:t>
            </w:r>
            <w:r w:rsidRPr="0055116C">
              <w:rPr>
                <w:sz w:val="16"/>
                <w:szCs w:val="16"/>
                <w:lang w:val="ru-RU"/>
              </w:rPr>
              <w:t>ОИС в области ИС</w:t>
            </w:r>
          </w:p>
        </w:tc>
      </w:tr>
      <w:tr w:rsidR="0055116C" w:rsidRPr="00A919E2" w:rsidTr="00AD2B92">
        <w:trPr>
          <w:cantSplit/>
        </w:trPr>
        <w:tc>
          <w:tcPr>
            <w:tcW w:w="1199" w:type="pct"/>
            <w:tcBorders>
              <w:top w:val="single" w:sz="4" w:space="0" w:color="auto"/>
              <w:left w:val="single" w:sz="4" w:space="0" w:color="auto"/>
              <w:bottom w:val="nil"/>
            </w:tcBorders>
            <w:shd w:val="clear" w:color="auto" w:fill="auto"/>
            <w:vAlign w:val="center"/>
          </w:tcPr>
          <w:p w:rsidR="0055116C" w:rsidRPr="00A919E2" w:rsidRDefault="0055116C" w:rsidP="0055116C">
            <w:pPr>
              <w:rPr>
                <w:rFonts w:cs="Arial"/>
                <w:b/>
                <w:sz w:val="16"/>
                <w:szCs w:val="16"/>
              </w:rPr>
            </w:pPr>
            <w:r w:rsidRPr="00A919E2">
              <w:rPr>
                <w:b/>
                <w:sz w:val="16"/>
                <w:szCs w:val="16"/>
              </w:rPr>
              <w:t>Показатели результативности</w:t>
            </w:r>
          </w:p>
        </w:tc>
        <w:tc>
          <w:tcPr>
            <w:tcW w:w="1277" w:type="pct"/>
            <w:tcBorders>
              <w:top w:val="single" w:sz="4" w:space="0" w:color="auto"/>
              <w:bottom w:val="nil"/>
            </w:tcBorders>
            <w:shd w:val="clear" w:color="auto" w:fill="auto"/>
            <w:vAlign w:val="center"/>
          </w:tcPr>
          <w:p w:rsidR="0055116C" w:rsidRPr="00A919E2" w:rsidRDefault="0055116C" w:rsidP="0055116C">
            <w:pPr>
              <w:keepNext/>
              <w:keepLines/>
              <w:rPr>
                <w:rFonts w:cs="Arial"/>
                <w:b/>
                <w:bCs/>
                <w:sz w:val="16"/>
                <w:szCs w:val="16"/>
              </w:rPr>
            </w:pPr>
            <w:r w:rsidRPr="00A919E2">
              <w:rPr>
                <w:b/>
                <w:sz w:val="16"/>
                <w:szCs w:val="16"/>
              </w:rPr>
              <w:t>Базовые показатели</w:t>
            </w:r>
          </w:p>
        </w:tc>
        <w:tc>
          <w:tcPr>
            <w:tcW w:w="751" w:type="pct"/>
            <w:tcBorders>
              <w:top w:val="single" w:sz="4" w:space="0" w:color="auto"/>
              <w:bottom w:val="nil"/>
            </w:tcBorders>
            <w:shd w:val="clear" w:color="auto" w:fill="auto"/>
            <w:tcMar>
              <w:top w:w="110" w:type="dxa"/>
            </w:tcMar>
            <w:vAlign w:val="center"/>
          </w:tcPr>
          <w:p w:rsidR="0055116C" w:rsidRPr="00A919E2" w:rsidRDefault="0055116C" w:rsidP="0055116C">
            <w:pPr>
              <w:keepNext/>
              <w:keepLines/>
              <w:rPr>
                <w:rFonts w:cs="Arial"/>
                <w:b/>
                <w:sz w:val="16"/>
                <w:szCs w:val="16"/>
              </w:rPr>
            </w:pPr>
            <w:r w:rsidRPr="00A919E2">
              <w:rPr>
                <w:b/>
                <w:sz w:val="16"/>
                <w:szCs w:val="16"/>
              </w:rPr>
              <w:t>Цели</w:t>
            </w:r>
          </w:p>
        </w:tc>
        <w:tc>
          <w:tcPr>
            <w:tcW w:w="1248" w:type="pct"/>
            <w:gridSpan w:val="2"/>
            <w:tcBorders>
              <w:top w:val="single" w:sz="4" w:space="0" w:color="auto"/>
              <w:bottom w:val="nil"/>
            </w:tcBorders>
            <w:shd w:val="clear" w:color="auto" w:fill="FFFFFF"/>
            <w:tcMar>
              <w:top w:w="110" w:type="dxa"/>
            </w:tcMar>
            <w:vAlign w:val="center"/>
          </w:tcPr>
          <w:p w:rsidR="0055116C" w:rsidRPr="00A919E2" w:rsidRDefault="0055116C" w:rsidP="0055116C">
            <w:pPr>
              <w:keepNext/>
              <w:keepLines/>
              <w:rPr>
                <w:rFonts w:cs="Arial"/>
                <w:sz w:val="16"/>
                <w:szCs w:val="16"/>
              </w:rPr>
            </w:pPr>
            <w:r w:rsidRPr="00A919E2">
              <w:rPr>
                <w:b/>
                <w:sz w:val="16"/>
                <w:szCs w:val="16"/>
              </w:rPr>
              <w:t>Данные о результативности</w:t>
            </w:r>
          </w:p>
        </w:tc>
        <w:tc>
          <w:tcPr>
            <w:tcW w:w="525" w:type="pct"/>
            <w:tcBorders>
              <w:top w:val="single" w:sz="4" w:space="0" w:color="auto"/>
              <w:bottom w:val="nil"/>
              <w:right w:val="single" w:sz="4" w:space="0" w:color="auto"/>
            </w:tcBorders>
            <w:shd w:val="clear" w:color="auto" w:fill="auto"/>
            <w:tcMar>
              <w:top w:w="110" w:type="dxa"/>
            </w:tcMar>
            <w:vAlign w:val="center"/>
          </w:tcPr>
          <w:p w:rsidR="0055116C" w:rsidRPr="00A919E2" w:rsidRDefault="0055116C" w:rsidP="0055116C">
            <w:pPr>
              <w:keepNext/>
              <w:keepLines/>
              <w:jc w:val="center"/>
              <w:rPr>
                <w:rFonts w:cs="Arial"/>
                <w:b/>
                <w:bCs/>
                <w:sz w:val="16"/>
                <w:szCs w:val="16"/>
              </w:rPr>
            </w:pPr>
            <w:r w:rsidRPr="00A919E2">
              <w:rPr>
                <w:b/>
                <w:sz w:val="16"/>
                <w:szCs w:val="16"/>
              </w:rPr>
              <w:t>CC</w:t>
            </w:r>
          </w:p>
        </w:tc>
      </w:tr>
      <w:tr w:rsidR="0055116C" w:rsidRPr="00A919E2" w:rsidTr="00AD2B92">
        <w:trPr>
          <w:cantSplit/>
        </w:trPr>
        <w:tc>
          <w:tcPr>
            <w:tcW w:w="1199" w:type="pct"/>
            <w:tcBorders>
              <w:top w:val="nil"/>
              <w:left w:val="single" w:sz="4" w:space="0" w:color="auto"/>
              <w:bottom w:val="single" w:sz="4" w:space="0" w:color="auto"/>
            </w:tcBorders>
            <w:shd w:val="clear" w:color="auto" w:fill="auto"/>
          </w:tcPr>
          <w:p w:rsidR="0055116C" w:rsidRPr="00A919E2" w:rsidRDefault="0055116C" w:rsidP="0055116C">
            <w:pPr>
              <w:rPr>
                <w:rFonts w:cs="Arial"/>
                <w:sz w:val="16"/>
                <w:szCs w:val="16"/>
              </w:rPr>
            </w:pPr>
            <w:r w:rsidRPr="00A919E2">
              <w:rPr>
                <w:sz w:val="16"/>
                <w:szCs w:val="16"/>
              </w:rPr>
              <w:t>Число записей в PATENTSCOPE</w:t>
            </w:r>
          </w:p>
        </w:tc>
        <w:tc>
          <w:tcPr>
            <w:tcW w:w="1277" w:type="pct"/>
            <w:tcBorders>
              <w:top w:val="nil"/>
              <w:bottom w:val="single" w:sz="4" w:space="0" w:color="auto"/>
            </w:tcBorders>
            <w:shd w:val="clear" w:color="auto" w:fill="auto"/>
          </w:tcPr>
          <w:p w:rsidR="0055116C" w:rsidRPr="0055116C" w:rsidRDefault="0055116C" w:rsidP="0055116C">
            <w:pPr>
              <w:keepNext/>
              <w:keepLines/>
              <w:rPr>
                <w:rFonts w:cs="Arial"/>
                <w:i/>
                <w:color w:val="002060"/>
                <w:sz w:val="16"/>
                <w:szCs w:val="16"/>
                <w:lang w:val="ru-RU"/>
              </w:rPr>
            </w:pPr>
            <w:r w:rsidRPr="0055116C">
              <w:rPr>
                <w:i/>
                <w:color w:val="002060"/>
                <w:sz w:val="16"/>
                <w:szCs w:val="16"/>
                <w:lang w:val="ru-RU"/>
              </w:rPr>
              <w:t>Обновленные базовые показатели, конец 2013</w:t>
            </w:r>
            <w:r w:rsidRPr="00A919E2">
              <w:rPr>
                <w:i/>
                <w:color w:val="002060"/>
                <w:sz w:val="16"/>
                <w:szCs w:val="16"/>
              </w:rPr>
              <w:t> </w:t>
            </w:r>
            <w:r w:rsidRPr="0055116C">
              <w:rPr>
                <w:i/>
                <w:color w:val="002060"/>
                <w:sz w:val="16"/>
                <w:szCs w:val="16"/>
                <w:lang w:val="ru-RU"/>
              </w:rPr>
              <w:t>г.:</w:t>
            </w:r>
            <w:r w:rsidRPr="0055116C">
              <w:rPr>
                <w:color w:val="002060"/>
                <w:sz w:val="16"/>
                <w:szCs w:val="16"/>
                <w:lang w:val="ru-RU"/>
              </w:rPr>
              <w:t xml:space="preserve"> 34</w:t>
            </w:r>
            <w:r w:rsidRPr="00A919E2">
              <w:rPr>
                <w:color w:val="002060"/>
                <w:sz w:val="16"/>
                <w:szCs w:val="16"/>
              </w:rPr>
              <w:t> </w:t>
            </w:r>
            <w:r w:rsidRPr="0055116C">
              <w:rPr>
                <w:color w:val="002060"/>
                <w:sz w:val="16"/>
                <w:szCs w:val="16"/>
                <w:lang w:val="ru-RU"/>
              </w:rPr>
              <w:t>000</w:t>
            </w:r>
            <w:r w:rsidRPr="00A919E2">
              <w:rPr>
                <w:color w:val="002060"/>
                <w:sz w:val="16"/>
                <w:szCs w:val="16"/>
              </w:rPr>
              <w:t> </w:t>
            </w:r>
            <w:r w:rsidRPr="0055116C">
              <w:rPr>
                <w:color w:val="002060"/>
                <w:sz w:val="16"/>
                <w:szCs w:val="16"/>
                <w:lang w:val="ru-RU"/>
              </w:rPr>
              <w:t>000</w:t>
            </w:r>
          </w:p>
          <w:p w:rsidR="0055116C" w:rsidRPr="0055116C" w:rsidRDefault="0055116C" w:rsidP="0055116C">
            <w:pPr>
              <w:keepNext/>
              <w:keepLines/>
              <w:rPr>
                <w:rFonts w:cs="Arial"/>
                <w:i/>
                <w:sz w:val="16"/>
                <w:szCs w:val="16"/>
                <w:lang w:val="ru-RU"/>
              </w:rPr>
            </w:pPr>
          </w:p>
          <w:p w:rsidR="0055116C" w:rsidRPr="0055116C" w:rsidRDefault="0055116C" w:rsidP="0055116C">
            <w:pPr>
              <w:keepNext/>
              <w:keepLines/>
              <w:rPr>
                <w:rFonts w:cs="Arial"/>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 18</w:t>
            </w:r>
            <w:r w:rsidRPr="00A919E2">
              <w:rPr>
                <w:i/>
                <w:sz w:val="16"/>
                <w:szCs w:val="16"/>
              </w:rPr>
              <w:t> </w:t>
            </w:r>
            <w:r w:rsidRPr="0055116C">
              <w:rPr>
                <w:i/>
                <w:sz w:val="16"/>
                <w:szCs w:val="16"/>
                <w:lang w:val="ru-RU"/>
              </w:rPr>
              <w:t>733</w:t>
            </w:r>
            <w:r w:rsidRPr="00A919E2">
              <w:rPr>
                <w:i/>
                <w:sz w:val="16"/>
                <w:szCs w:val="16"/>
              </w:rPr>
              <w:t> </w:t>
            </w:r>
            <w:r w:rsidRPr="0055116C">
              <w:rPr>
                <w:i/>
                <w:sz w:val="16"/>
                <w:szCs w:val="16"/>
                <w:lang w:val="ru-RU"/>
              </w:rPr>
              <w:t>406 (февраль 2013</w:t>
            </w:r>
            <w:r>
              <w:rPr>
                <w:i/>
                <w:sz w:val="16"/>
                <w:szCs w:val="16"/>
              </w:rPr>
              <w:t> </w:t>
            </w:r>
            <w:r w:rsidRPr="0055116C">
              <w:rPr>
                <w:i/>
                <w:sz w:val="16"/>
                <w:szCs w:val="16"/>
                <w:lang w:val="ru-RU"/>
              </w:rPr>
              <w:t>г.)</w:t>
            </w:r>
          </w:p>
          <w:p w:rsidR="0055116C" w:rsidRPr="0055116C" w:rsidRDefault="0055116C" w:rsidP="0055116C">
            <w:pPr>
              <w:keepNext/>
              <w:keepLines/>
              <w:rPr>
                <w:rFonts w:cs="Arial"/>
                <w:sz w:val="16"/>
                <w:szCs w:val="16"/>
                <w:lang w:val="ru-RU"/>
              </w:rPr>
            </w:pPr>
          </w:p>
        </w:tc>
        <w:tc>
          <w:tcPr>
            <w:tcW w:w="751" w:type="pct"/>
            <w:tcBorders>
              <w:top w:val="nil"/>
              <w:bottom w:val="single" w:sz="4" w:space="0" w:color="auto"/>
            </w:tcBorders>
            <w:shd w:val="clear" w:color="auto" w:fill="auto"/>
            <w:tcMar>
              <w:top w:w="110" w:type="dxa"/>
            </w:tcMar>
          </w:tcPr>
          <w:p w:rsidR="0055116C" w:rsidRPr="00A919E2" w:rsidRDefault="0055116C" w:rsidP="0055116C">
            <w:pPr>
              <w:keepNext/>
              <w:keepLines/>
              <w:rPr>
                <w:rFonts w:cs="Arial"/>
                <w:sz w:val="16"/>
                <w:szCs w:val="16"/>
              </w:rPr>
            </w:pPr>
            <w:r w:rsidRPr="00A919E2">
              <w:rPr>
                <w:sz w:val="16"/>
                <w:szCs w:val="16"/>
              </w:rPr>
              <w:t>40 000 000</w:t>
            </w:r>
          </w:p>
        </w:tc>
        <w:tc>
          <w:tcPr>
            <w:tcW w:w="1248" w:type="pct"/>
            <w:gridSpan w:val="2"/>
            <w:tcBorders>
              <w:top w:val="nil"/>
              <w:bottom w:val="single" w:sz="4" w:space="0" w:color="auto"/>
            </w:tcBorders>
            <w:shd w:val="clear" w:color="auto" w:fill="FFFFFF"/>
            <w:tcMar>
              <w:top w:w="110" w:type="dxa"/>
            </w:tcMar>
          </w:tcPr>
          <w:p w:rsidR="0055116C" w:rsidRPr="00A919E2" w:rsidRDefault="0055116C" w:rsidP="0055116C">
            <w:pPr>
              <w:keepNext/>
              <w:keepLines/>
              <w:rPr>
                <w:rFonts w:cs="Arial"/>
                <w:sz w:val="16"/>
                <w:szCs w:val="16"/>
              </w:rPr>
            </w:pPr>
            <w:r w:rsidRPr="00A919E2">
              <w:rPr>
                <w:sz w:val="16"/>
                <w:szCs w:val="16"/>
              </w:rPr>
              <w:t>50 000 000 (всего)</w:t>
            </w:r>
          </w:p>
        </w:tc>
        <w:tc>
          <w:tcPr>
            <w:tcW w:w="525" w:type="pct"/>
            <w:tcBorders>
              <w:top w:val="nil"/>
              <w:bottom w:val="single" w:sz="4" w:space="0" w:color="auto"/>
              <w:right w:val="single" w:sz="4" w:space="0" w:color="auto"/>
            </w:tcBorders>
            <w:shd w:val="clear" w:color="auto" w:fill="auto"/>
            <w:tcMar>
              <w:top w:w="110" w:type="dxa"/>
            </w:tcMar>
          </w:tcPr>
          <w:p w:rsidR="0055116C" w:rsidRPr="00A919E2" w:rsidRDefault="0055116C" w:rsidP="0055116C">
            <w:pPr>
              <w:keepNext/>
              <w:keepLines/>
              <w:jc w:val="center"/>
              <w:rPr>
                <w:rStyle w:val="Style5"/>
                <w:b/>
                <w:color w:val="00B050"/>
                <w:sz w:val="16"/>
                <w:szCs w:val="16"/>
              </w:rPr>
            </w:pPr>
            <w:r w:rsidRPr="00A919E2">
              <w:rPr>
                <w:rStyle w:val="Style5"/>
                <w:b/>
                <w:color w:val="00B050"/>
                <w:sz w:val="16"/>
                <w:szCs w:val="16"/>
              </w:rPr>
              <w:t>Выполнено</w:t>
            </w:r>
          </w:p>
        </w:tc>
      </w:tr>
      <w:tr w:rsidR="0055116C" w:rsidRPr="00A919E2" w:rsidTr="00AD2B92">
        <w:trPr>
          <w:cantSplit/>
        </w:trPr>
        <w:tc>
          <w:tcPr>
            <w:tcW w:w="1199" w:type="pct"/>
            <w:tcBorders>
              <w:top w:val="single" w:sz="4" w:space="0" w:color="auto"/>
              <w:left w:val="single" w:sz="4" w:space="0" w:color="auto"/>
              <w:bottom w:val="nil"/>
            </w:tcBorders>
            <w:shd w:val="clear" w:color="auto" w:fill="auto"/>
          </w:tcPr>
          <w:p w:rsidR="0055116C" w:rsidRPr="0055116C" w:rsidRDefault="0055116C" w:rsidP="0055116C">
            <w:pPr>
              <w:rPr>
                <w:rFonts w:cs="Arial"/>
                <w:sz w:val="16"/>
                <w:szCs w:val="16"/>
                <w:lang w:val="ru-RU"/>
              </w:rPr>
            </w:pPr>
            <w:r w:rsidRPr="0055116C">
              <w:rPr>
                <w:sz w:val="16"/>
                <w:szCs w:val="16"/>
                <w:lang w:val="ru-RU"/>
              </w:rPr>
              <w:t>Число записей в Глобальной базе данных по брендам</w:t>
            </w:r>
          </w:p>
        </w:tc>
        <w:tc>
          <w:tcPr>
            <w:tcW w:w="1277" w:type="pct"/>
            <w:tcBorders>
              <w:top w:val="single" w:sz="4" w:space="0" w:color="auto"/>
              <w:bottom w:val="nil"/>
            </w:tcBorders>
            <w:shd w:val="clear" w:color="auto" w:fill="auto"/>
          </w:tcPr>
          <w:p w:rsidR="0055116C" w:rsidRPr="0055116C" w:rsidRDefault="0055116C" w:rsidP="0055116C">
            <w:pPr>
              <w:keepNext/>
              <w:keepLines/>
              <w:rPr>
                <w:rFonts w:cs="Arial"/>
                <w:i/>
                <w:color w:val="002060"/>
                <w:sz w:val="16"/>
                <w:szCs w:val="16"/>
                <w:lang w:val="ru-RU"/>
              </w:rPr>
            </w:pPr>
            <w:r w:rsidRPr="0055116C">
              <w:rPr>
                <w:i/>
                <w:color w:val="002060"/>
                <w:sz w:val="16"/>
                <w:szCs w:val="16"/>
                <w:lang w:val="ru-RU"/>
              </w:rPr>
              <w:t>Обновленные базовые показатели, конец 2013</w:t>
            </w:r>
            <w:r w:rsidRPr="00A919E2">
              <w:rPr>
                <w:i/>
                <w:color w:val="002060"/>
                <w:sz w:val="16"/>
                <w:szCs w:val="16"/>
              </w:rPr>
              <w:t> </w:t>
            </w:r>
            <w:r w:rsidRPr="0055116C">
              <w:rPr>
                <w:i/>
                <w:color w:val="002060"/>
                <w:sz w:val="16"/>
                <w:szCs w:val="16"/>
                <w:lang w:val="ru-RU"/>
              </w:rPr>
              <w:t>г.:</w:t>
            </w:r>
            <w:r w:rsidRPr="0055116C">
              <w:rPr>
                <w:color w:val="002060"/>
                <w:sz w:val="16"/>
                <w:szCs w:val="16"/>
                <w:lang w:val="ru-RU"/>
              </w:rPr>
              <w:t xml:space="preserve"> 12</w:t>
            </w:r>
            <w:r w:rsidRPr="00A919E2">
              <w:rPr>
                <w:color w:val="002060"/>
                <w:sz w:val="16"/>
                <w:szCs w:val="16"/>
              </w:rPr>
              <w:t> </w:t>
            </w:r>
            <w:r w:rsidRPr="0055116C">
              <w:rPr>
                <w:color w:val="002060"/>
                <w:sz w:val="16"/>
                <w:szCs w:val="16"/>
                <w:lang w:val="ru-RU"/>
              </w:rPr>
              <w:t>000</w:t>
            </w:r>
            <w:r w:rsidRPr="00A919E2">
              <w:rPr>
                <w:color w:val="002060"/>
                <w:sz w:val="16"/>
                <w:szCs w:val="16"/>
              </w:rPr>
              <w:t> </w:t>
            </w:r>
            <w:r w:rsidRPr="0055116C">
              <w:rPr>
                <w:color w:val="002060"/>
                <w:sz w:val="16"/>
                <w:szCs w:val="16"/>
                <w:lang w:val="ru-RU"/>
              </w:rPr>
              <w:t>000</w:t>
            </w:r>
          </w:p>
          <w:p w:rsidR="0055116C" w:rsidRPr="0055116C" w:rsidRDefault="0055116C" w:rsidP="0055116C">
            <w:pPr>
              <w:keepNext/>
              <w:keepLines/>
              <w:rPr>
                <w:rFonts w:cs="Arial"/>
                <w:i/>
                <w:sz w:val="16"/>
                <w:szCs w:val="16"/>
                <w:lang w:val="ru-RU"/>
              </w:rPr>
            </w:pPr>
          </w:p>
          <w:p w:rsidR="0055116C" w:rsidRPr="0055116C" w:rsidRDefault="0055116C" w:rsidP="0055116C">
            <w:pPr>
              <w:keepNext/>
              <w:keepLines/>
              <w:rPr>
                <w:rFonts w:cs="Arial"/>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 10</w:t>
            </w:r>
            <w:r w:rsidRPr="00A919E2">
              <w:rPr>
                <w:i/>
                <w:sz w:val="16"/>
                <w:szCs w:val="16"/>
              </w:rPr>
              <w:t> </w:t>
            </w:r>
            <w:r w:rsidRPr="0055116C">
              <w:rPr>
                <w:i/>
                <w:sz w:val="16"/>
                <w:szCs w:val="16"/>
                <w:lang w:val="ru-RU"/>
              </w:rPr>
              <w:t>928</w:t>
            </w:r>
            <w:r w:rsidRPr="00A919E2">
              <w:rPr>
                <w:i/>
                <w:sz w:val="16"/>
                <w:szCs w:val="16"/>
              </w:rPr>
              <w:t> </w:t>
            </w:r>
            <w:r w:rsidRPr="0055116C">
              <w:rPr>
                <w:i/>
                <w:sz w:val="16"/>
                <w:szCs w:val="16"/>
                <w:lang w:val="ru-RU"/>
              </w:rPr>
              <w:t>326 (февраль 2013</w:t>
            </w:r>
            <w:r>
              <w:rPr>
                <w:i/>
                <w:sz w:val="16"/>
                <w:szCs w:val="16"/>
              </w:rPr>
              <w:t> </w:t>
            </w:r>
            <w:r w:rsidRPr="0055116C">
              <w:rPr>
                <w:i/>
                <w:sz w:val="16"/>
                <w:szCs w:val="16"/>
                <w:lang w:val="ru-RU"/>
              </w:rPr>
              <w:t>г.)</w:t>
            </w:r>
          </w:p>
          <w:p w:rsidR="0055116C" w:rsidRPr="0055116C" w:rsidRDefault="0055116C" w:rsidP="0055116C">
            <w:pPr>
              <w:keepNext/>
              <w:keepLines/>
              <w:rPr>
                <w:rFonts w:cs="Arial"/>
                <w:sz w:val="16"/>
                <w:szCs w:val="16"/>
                <w:lang w:val="ru-RU"/>
              </w:rPr>
            </w:pPr>
          </w:p>
        </w:tc>
        <w:tc>
          <w:tcPr>
            <w:tcW w:w="751" w:type="pct"/>
            <w:tcBorders>
              <w:top w:val="single" w:sz="4" w:space="0" w:color="auto"/>
              <w:bottom w:val="nil"/>
            </w:tcBorders>
            <w:shd w:val="clear" w:color="auto" w:fill="auto"/>
            <w:tcMar>
              <w:top w:w="110" w:type="dxa"/>
            </w:tcMar>
          </w:tcPr>
          <w:p w:rsidR="0055116C" w:rsidRPr="0055116C" w:rsidRDefault="0055116C" w:rsidP="0055116C">
            <w:pPr>
              <w:keepNext/>
              <w:keepLines/>
              <w:autoSpaceDE w:val="0"/>
              <w:autoSpaceDN w:val="0"/>
              <w:adjustRightInd w:val="0"/>
              <w:rPr>
                <w:rFonts w:cs="Arial"/>
                <w:sz w:val="16"/>
                <w:szCs w:val="16"/>
                <w:lang w:val="ru-RU"/>
              </w:rPr>
            </w:pPr>
          </w:p>
          <w:p w:rsidR="0055116C" w:rsidRPr="00A919E2" w:rsidRDefault="0055116C" w:rsidP="0055116C">
            <w:pPr>
              <w:keepNext/>
              <w:keepLines/>
              <w:autoSpaceDE w:val="0"/>
              <w:autoSpaceDN w:val="0"/>
              <w:adjustRightInd w:val="0"/>
              <w:rPr>
                <w:rFonts w:cs="Arial"/>
                <w:sz w:val="16"/>
                <w:szCs w:val="16"/>
              </w:rPr>
            </w:pPr>
            <w:r w:rsidRPr="00A919E2">
              <w:rPr>
                <w:sz w:val="16"/>
                <w:szCs w:val="16"/>
              </w:rPr>
              <w:t>20 000 000</w:t>
            </w:r>
          </w:p>
        </w:tc>
        <w:tc>
          <w:tcPr>
            <w:tcW w:w="1248" w:type="pct"/>
            <w:gridSpan w:val="2"/>
            <w:tcBorders>
              <w:top w:val="single" w:sz="4" w:space="0" w:color="auto"/>
              <w:bottom w:val="nil"/>
            </w:tcBorders>
            <w:shd w:val="clear" w:color="auto" w:fill="FFFFFF"/>
            <w:tcMar>
              <w:top w:w="110" w:type="dxa"/>
            </w:tcMar>
          </w:tcPr>
          <w:p w:rsidR="0055116C" w:rsidRPr="00A919E2" w:rsidRDefault="0055116C" w:rsidP="0055116C">
            <w:pPr>
              <w:keepNext/>
              <w:keepLines/>
              <w:rPr>
                <w:rFonts w:cs="Arial"/>
                <w:sz w:val="16"/>
                <w:szCs w:val="16"/>
              </w:rPr>
            </w:pPr>
          </w:p>
          <w:p w:rsidR="0055116C" w:rsidRPr="00A919E2" w:rsidRDefault="0055116C" w:rsidP="0055116C">
            <w:pPr>
              <w:keepNext/>
              <w:keepLines/>
              <w:rPr>
                <w:rFonts w:cs="Arial"/>
                <w:sz w:val="16"/>
                <w:szCs w:val="16"/>
              </w:rPr>
            </w:pPr>
            <w:r w:rsidRPr="00A919E2">
              <w:rPr>
                <w:sz w:val="16"/>
                <w:szCs w:val="16"/>
              </w:rPr>
              <w:t>24 500 000 (всего)</w:t>
            </w:r>
          </w:p>
        </w:tc>
        <w:tc>
          <w:tcPr>
            <w:tcW w:w="525" w:type="pct"/>
            <w:tcBorders>
              <w:top w:val="single" w:sz="4" w:space="0" w:color="auto"/>
              <w:bottom w:val="nil"/>
              <w:right w:val="single" w:sz="4" w:space="0" w:color="auto"/>
            </w:tcBorders>
            <w:shd w:val="clear" w:color="auto" w:fill="auto"/>
            <w:tcMar>
              <w:top w:w="110" w:type="dxa"/>
            </w:tcMar>
          </w:tcPr>
          <w:p w:rsidR="0055116C" w:rsidRPr="00A919E2" w:rsidRDefault="0055116C" w:rsidP="0055116C">
            <w:pPr>
              <w:keepNext/>
              <w:keepLines/>
              <w:jc w:val="center"/>
              <w:rPr>
                <w:rStyle w:val="Style5"/>
                <w:b/>
                <w:color w:val="00B050"/>
                <w:sz w:val="16"/>
                <w:szCs w:val="16"/>
              </w:rPr>
            </w:pPr>
            <w:r w:rsidRPr="00A919E2">
              <w:rPr>
                <w:rStyle w:val="Style5"/>
                <w:b/>
                <w:color w:val="00B050"/>
                <w:sz w:val="16"/>
                <w:szCs w:val="16"/>
              </w:rPr>
              <w:t>Выполнено</w:t>
            </w:r>
          </w:p>
        </w:tc>
      </w:tr>
      <w:tr w:rsidR="0055116C" w:rsidRPr="00A919E2" w:rsidTr="0055116C">
        <w:trPr>
          <w:cantSplit/>
        </w:trPr>
        <w:tc>
          <w:tcPr>
            <w:tcW w:w="1199" w:type="pct"/>
            <w:tcBorders>
              <w:top w:val="nil"/>
              <w:left w:val="single" w:sz="4" w:space="0" w:color="auto"/>
              <w:bottom w:val="nil"/>
            </w:tcBorders>
            <w:shd w:val="clear" w:color="auto" w:fill="auto"/>
          </w:tcPr>
          <w:p w:rsidR="0055116C" w:rsidRPr="0055116C" w:rsidRDefault="0055116C" w:rsidP="0055116C">
            <w:pPr>
              <w:rPr>
                <w:rFonts w:cs="Arial"/>
                <w:sz w:val="16"/>
                <w:szCs w:val="16"/>
                <w:lang w:val="ru-RU"/>
              </w:rPr>
            </w:pPr>
            <w:r w:rsidRPr="0055116C">
              <w:rPr>
                <w:sz w:val="16"/>
                <w:szCs w:val="16"/>
                <w:lang w:val="ru-RU"/>
              </w:rPr>
              <w:t xml:space="preserve">Число национальных/региональных фондов в </w:t>
            </w:r>
            <w:r w:rsidRPr="00A919E2">
              <w:rPr>
                <w:sz w:val="16"/>
                <w:szCs w:val="16"/>
              </w:rPr>
              <w:t>PATENTSCOPE</w:t>
            </w:r>
          </w:p>
        </w:tc>
        <w:tc>
          <w:tcPr>
            <w:tcW w:w="1277" w:type="pct"/>
            <w:tcBorders>
              <w:top w:val="nil"/>
              <w:bottom w:val="nil"/>
            </w:tcBorders>
            <w:shd w:val="clear" w:color="auto" w:fill="auto"/>
          </w:tcPr>
          <w:p w:rsidR="0055116C" w:rsidRPr="0055116C" w:rsidRDefault="0055116C" w:rsidP="0055116C">
            <w:pPr>
              <w:keepNext/>
              <w:keepLines/>
              <w:rPr>
                <w:rFonts w:cs="Arial"/>
                <w:i/>
                <w:color w:val="002060"/>
                <w:sz w:val="16"/>
                <w:szCs w:val="16"/>
                <w:lang w:val="ru-RU"/>
              </w:rPr>
            </w:pPr>
            <w:r w:rsidRPr="0055116C">
              <w:rPr>
                <w:i/>
                <w:color w:val="002060"/>
                <w:sz w:val="16"/>
                <w:szCs w:val="16"/>
                <w:lang w:val="ru-RU"/>
              </w:rPr>
              <w:t>Обновленные базовые показатели, конец 2013</w:t>
            </w:r>
            <w:r w:rsidRPr="00A919E2">
              <w:rPr>
                <w:i/>
                <w:color w:val="002060"/>
                <w:sz w:val="16"/>
                <w:szCs w:val="16"/>
              </w:rPr>
              <w:t> </w:t>
            </w:r>
            <w:r w:rsidRPr="0055116C">
              <w:rPr>
                <w:i/>
                <w:color w:val="002060"/>
                <w:sz w:val="16"/>
                <w:szCs w:val="16"/>
                <w:lang w:val="ru-RU"/>
              </w:rPr>
              <w:t>г.:</w:t>
            </w:r>
            <w:r w:rsidRPr="0055116C">
              <w:rPr>
                <w:color w:val="002060"/>
                <w:sz w:val="16"/>
                <w:szCs w:val="16"/>
                <w:lang w:val="ru-RU"/>
              </w:rPr>
              <w:t xml:space="preserve">  36 (всего)</w:t>
            </w:r>
          </w:p>
          <w:p w:rsidR="0055116C" w:rsidRPr="0055116C" w:rsidRDefault="0055116C" w:rsidP="0055116C">
            <w:pPr>
              <w:keepNext/>
              <w:keepLines/>
              <w:rPr>
                <w:rFonts w:cs="Arial"/>
                <w:i/>
                <w:sz w:val="16"/>
                <w:szCs w:val="16"/>
                <w:lang w:val="ru-RU"/>
              </w:rPr>
            </w:pPr>
          </w:p>
          <w:p w:rsidR="0055116C" w:rsidRPr="0055116C" w:rsidRDefault="0055116C" w:rsidP="0055116C">
            <w:pPr>
              <w:keepNext/>
              <w:keepLines/>
              <w:rPr>
                <w:rFonts w:cs="Arial"/>
                <w:sz w:val="16"/>
                <w:szCs w:val="16"/>
                <w:lang w:val="ru-RU"/>
              </w:rPr>
            </w:pPr>
            <w:r w:rsidRPr="0055116C">
              <w:rPr>
                <w:i/>
                <w:sz w:val="16"/>
                <w:szCs w:val="16"/>
                <w:lang w:val="ru-RU"/>
              </w:rPr>
              <w:t>Исходные базовые показатели ПиБ на 2014–2015 гг.: 27 (февраль 2013 г.)</w:t>
            </w:r>
          </w:p>
          <w:p w:rsidR="0055116C" w:rsidRPr="0055116C" w:rsidRDefault="0055116C" w:rsidP="0055116C">
            <w:pPr>
              <w:keepNext/>
              <w:keepLines/>
              <w:ind w:left="1" w:hanging="1"/>
              <w:rPr>
                <w:rFonts w:cs="Arial"/>
                <w:sz w:val="16"/>
                <w:szCs w:val="16"/>
                <w:lang w:val="ru-RU"/>
              </w:rPr>
            </w:pPr>
          </w:p>
        </w:tc>
        <w:tc>
          <w:tcPr>
            <w:tcW w:w="751" w:type="pct"/>
            <w:tcBorders>
              <w:top w:val="nil"/>
              <w:bottom w:val="nil"/>
            </w:tcBorders>
            <w:shd w:val="clear" w:color="auto" w:fill="auto"/>
            <w:tcMar>
              <w:top w:w="110" w:type="dxa"/>
            </w:tcMar>
          </w:tcPr>
          <w:p w:rsidR="0055116C" w:rsidRPr="00A919E2" w:rsidRDefault="0055116C" w:rsidP="0055116C">
            <w:pPr>
              <w:keepNext/>
              <w:keepLines/>
              <w:rPr>
                <w:rFonts w:cs="Arial"/>
                <w:sz w:val="16"/>
                <w:szCs w:val="16"/>
              </w:rPr>
            </w:pPr>
            <w:r w:rsidRPr="00A919E2">
              <w:rPr>
                <w:sz w:val="16"/>
                <w:szCs w:val="16"/>
              </w:rPr>
              <w:t>35</w:t>
            </w:r>
          </w:p>
        </w:tc>
        <w:tc>
          <w:tcPr>
            <w:tcW w:w="1248" w:type="pct"/>
            <w:gridSpan w:val="2"/>
            <w:tcBorders>
              <w:top w:val="nil"/>
              <w:bottom w:val="nil"/>
            </w:tcBorders>
            <w:shd w:val="clear" w:color="auto" w:fill="FFFFFF"/>
            <w:tcMar>
              <w:top w:w="110" w:type="dxa"/>
            </w:tcMar>
          </w:tcPr>
          <w:p w:rsidR="0055116C" w:rsidRPr="00A919E2" w:rsidRDefault="0055116C" w:rsidP="0055116C">
            <w:pPr>
              <w:keepNext/>
              <w:keepLines/>
              <w:rPr>
                <w:rFonts w:cs="Arial"/>
                <w:sz w:val="16"/>
                <w:szCs w:val="16"/>
              </w:rPr>
            </w:pPr>
            <w:r w:rsidRPr="00A919E2">
              <w:rPr>
                <w:sz w:val="16"/>
                <w:szCs w:val="16"/>
              </w:rPr>
              <w:t>43 (всего)</w:t>
            </w:r>
          </w:p>
        </w:tc>
        <w:tc>
          <w:tcPr>
            <w:tcW w:w="525" w:type="pct"/>
            <w:tcBorders>
              <w:top w:val="nil"/>
              <w:bottom w:val="nil"/>
              <w:right w:val="single" w:sz="4" w:space="0" w:color="auto"/>
            </w:tcBorders>
            <w:shd w:val="clear" w:color="auto" w:fill="auto"/>
            <w:tcMar>
              <w:top w:w="110" w:type="dxa"/>
            </w:tcMar>
          </w:tcPr>
          <w:p w:rsidR="0055116C" w:rsidRPr="00A919E2" w:rsidRDefault="0055116C" w:rsidP="0055116C">
            <w:pPr>
              <w:keepNext/>
              <w:keepLines/>
              <w:jc w:val="center"/>
              <w:rPr>
                <w:rStyle w:val="Style5"/>
                <w:rFonts w:cs="Arial"/>
                <w:b/>
                <w:color w:val="00B050"/>
                <w:sz w:val="16"/>
                <w:szCs w:val="16"/>
              </w:rPr>
            </w:pPr>
            <w:r w:rsidRPr="00A919E2">
              <w:rPr>
                <w:rStyle w:val="Style5"/>
                <w:b/>
                <w:color w:val="00B050"/>
                <w:sz w:val="16"/>
                <w:szCs w:val="16"/>
              </w:rPr>
              <w:t>Выполнено</w:t>
            </w:r>
          </w:p>
        </w:tc>
      </w:tr>
      <w:tr w:rsidR="0055116C" w:rsidRPr="00A919E2" w:rsidTr="0055116C">
        <w:trPr>
          <w:cantSplit/>
        </w:trPr>
        <w:tc>
          <w:tcPr>
            <w:tcW w:w="1199" w:type="pct"/>
            <w:tcBorders>
              <w:top w:val="nil"/>
              <w:left w:val="single" w:sz="4" w:space="0" w:color="auto"/>
              <w:bottom w:val="single" w:sz="4" w:space="0" w:color="auto"/>
            </w:tcBorders>
            <w:shd w:val="clear" w:color="auto" w:fill="auto"/>
          </w:tcPr>
          <w:p w:rsidR="0055116C" w:rsidRPr="0055116C" w:rsidRDefault="0055116C" w:rsidP="0055116C">
            <w:pPr>
              <w:keepNext/>
              <w:keepLines/>
              <w:rPr>
                <w:rFonts w:cs="Arial"/>
                <w:sz w:val="16"/>
                <w:szCs w:val="16"/>
                <w:lang w:val="ru-RU"/>
              </w:rPr>
            </w:pPr>
            <w:r w:rsidRPr="0055116C">
              <w:rPr>
                <w:sz w:val="16"/>
                <w:szCs w:val="16"/>
                <w:lang w:val="ru-RU"/>
              </w:rPr>
              <w:t>Число национальных/региональных фондов в Глобальной базе данных по брендам</w:t>
            </w:r>
          </w:p>
        </w:tc>
        <w:tc>
          <w:tcPr>
            <w:tcW w:w="1277" w:type="pct"/>
            <w:tcBorders>
              <w:top w:val="nil"/>
              <w:bottom w:val="single" w:sz="4" w:space="0" w:color="auto"/>
            </w:tcBorders>
            <w:shd w:val="clear" w:color="auto" w:fill="auto"/>
          </w:tcPr>
          <w:p w:rsidR="0055116C" w:rsidRPr="0055116C" w:rsidRDefault="0055116C" w:rsidP="0055116C">
            <w:pPr>
              <w:keepNext/>
              <w:keepLines/>
              <w:rPr>
                <w:rFonts w:cs="Arial"/>
                <w:i/>
                <w:color w:val="002060"/>
                <w:sz w:val="16"/>
                <w:szCs w:val="16"/>
                <w:lang w:val="ru-RU"/>
              </w:rPr>
            </w:pPr>
            <w:r w:rsidRPr="0055116C">
              <w:rPr>
                <w:i/>
                <w:color w:val="002060"/>
                <w:sz w:val="16"/>
                <w:szCs w:val="16"/>
                <w:lang w:val="ru-RU"/>
              </w:rPr>
              <w:t>Обновленные базовые показатели, конец 2013</w:t>
            </w:r>
            <w:r w:rsidRPr="00A919E2">
              <w:rPr>
                <w:i/>
                <w:color w:val="002060"/>
                <w:sz w:val="16"/>
                <w:szCs w:val="16"/>
              </w:rPr>
              <w:t> </w:t>
            </w:r>
            <w:r w:rsidRPr="0055116C">
              <w:rPr>
                <w:i/>
                <w:color w:val="002060"/>
                <w:sz w:val="16"/>
                <w:szCs w:val="16"/>
                <w:lang w:val="ru-RU"/>
              </w:rPr>
              <w:t>г.:</w:t>
            </w:r>
            <w:r w:rsidRPr="0055116C">
              <w:rPr>
                <w:color w:val="002060"/>
                <w:sz w:val="16"/>
                <w:szCs w:val="16"/>
                <w:lang w:val="ru-RU"/>
              </w:rPr>
              <w:t xml:space="preserve"> 12</w:t>
            </w:r>
          </w:p>
          <w:p w:rsidR="0055116C" w:rsidRPr="0055116C" w:rsidRDefault="0055116C" w:rsidP="0055116C">
            <w:pPr>
              <w:keepNext/>
              <w:keepLines/>
              <w:rPr>
                <w:rFonts w:cs="Arial"/>
                <w:i/>
                <w:sz w:val="16"/>
                <w:szCs w:val="16"/>
                <w:lang w:val="ru-RU"/>
              </w:rPr>
            </w:pPr>
          </w:p>
          <w:p w:rsidR="0055116C" w:rsidRPr="0055116C" w:rsidRDefault="0055116C" w:rsidP="0055116C">
            <w:pPr>
              <w:keepNext/>
              <w:keepLines/>
              <w:rPr>
                <w:i/>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 9 (февраль 2013</w:t>
            </w:r>
            <w:r>
              <w:rPr>
                <w:i/>
                <w:sz w:val="16"/>
                <w:szCs w:val="16"/>
              </w:rPr>
              <w:t> </w:t>
            </w:r>
            <w:r w:rsidRPr="0055116C">
              <w:rPr>
                <w:i/>
                <w:sz w:val="16"/>
                <w:szCs w:val="16"/>
                <w:lang w:val="ru-RU"/>
              </w:rPr>
              <w:t>г.)</w:t>
            </w:r>
          </w:p>
          <w:p w:rsidR="0055116C" w:rsidRPr="0055116C" w:rsidRDefault="0055116C" w:rsidP="0055116C">
            <w:pPr>
              <w:keepNext/>
              <w:keepLines/>
              <w:rPr>
                <w:rFonts w:cs="Arial"/>
                <w:i/>
                <w:color w:val="002060"/>
                <w:sz w:val="16"/>
                <w:szCs w:val="16"/>
                <w:lang w:val="ru-RU"/>
              </w:rPr>
            </w:pPr>
          </w:p>
        </w:tc>
        <w:tc>
          <w:tcPr>
            <w:tcW w:w="751" w:type="pct"/>
            <w:tcBorders>
              <w:top w:val="nil"/>
              <w:bottom w:val="single" w:sz="4" w:space="0" w:color="auto"/>
            </w:tcBorders>
            <w:shd w:val="clear" w:color="auto" w:fill="auto"/>
            <w:tcMar>
              <w:top w:w="110" w:type="dxa"/>
            </w:tcMar>
          </w:tcPr>
          <w:p w:rsidR="0055116C" w:rsidRPr="00A919E2" w:rsidRDefault="0055116C" w:rsidP="0055116C">
            <w:pPr>
              <w:keepNext/>
              <w:keepLines/>
              <w:rPr>
                <w:rFonts w:cs="Arial"/>
                <w:sz w:val="16"/>
                <w:szCs w:val="16"/>
              </w:rPr>
            </w:pPr>
            <w:r w:rsidRPr="00A919E2">
              <w:rPr>
                <w:sz w:val="16"/>
                <w:szCs w:val="16"/>
              </w:rPr>
              <w:t>18</w:t>
            </w:r>
          </w:p>
        </w:tc>
        <w:tc>
          <w:tcPr>
            <w:tcW w:w="1248" w:type="pct"/>
            <w:gridSpan w:val="2"/>
            <w:tcBorders>
              <w:top w:val="nil"/>
              <w:bottom w:val="single" w:sz="4" w:space="0" w:color="auto"/>
            </w:tcBorders>
            <w:shd w:val="clear" w:color="auto" w:fill="FFFFFF"/>
            <w:tcMar>
              <w:top w:w="110" w:type="dxa"/>
            </w:tcMar>
          </w:tcPr>
          <w:p w:rsidR="0055116C" w:rsidRPr="00A919E2" w:rsidRDefault="0055116C" w:rsidP="0055116C">
            <w:pPr>
              <w:keepNext/>
              <w:keepLines/>
              <w:rPr>
                <w:rFonts w:cs="Arial"/>
                <w:sz w:val="16"/>
                <w:szCs w:val="16"/>
              </w:rPr>
            </w:pPr>
            <w:r w:rsidRPr="00A919E2">
              <w:rPr>
                <w:sz w:val="16"/>
                <w:szCs w:val="16"/>
              </w:rPr>
              <w:t>26 (всего)</w:t>
            </w:r>
          </w:p>
        </w:tc>
        <w:tc>
          <w:tcPr>
            <w:tcW w:w="525" w:type="pct"/>
            <w:tcBorders>
              <w:top w:val="nil"/>
              <w:bottom w:val="single" w:sz="4" w:space="0" w:color="auto"/>
              <w:right w:val="single" w:sz="4" w:space="0" w:color="auto"/>
            </w:tcBorders>
            <w:shd w:val="clear" w:color="auto" w:fill="auto"/>
            <w:tcMar>
              <w:top w:w="110" w:type="dxa"/>
            </w:tcMar>
          </w:tcPr>
          <w:p w:rsidR="0055116C" w:rsidRPr="00A919E2" w:rsidRDefault="0055116C" w:rsidP="0055116C">
            <w:pPr>
              <w:keepNext/>
              <w:keepLines/>
              <w:jc w:val="center"/>
              <w:rPr>
                <w:rStyle w:val="Style5"/>
                <w:rFonts w:cs="Arial"/>
                <w:b/>
                <w:color w:val="00B050"/>
                <w:sz w:val="16"/>
                <w:szCs w:val="16"/>
              </w:rPr>
            </w:pPr>
            <w:r w:rsidRPr="00A919E2">
              <w:rPr>
                <w:rStyle w:val="Style5"/>
                <w:b/>
                <w:color w:val="00B050"/>
                <w:sz w:val="16"/>
                <w:szCs w:val="16"/>
              </w:rPr>
              <w:t>Выполнено</w:t>
            </w:r>
          </w:p>
        </w:tc>
      </w:tr>
    </w:tbl>
    <w:p w:rsidR="0055116C" w:rsidRPr="00801FF2" w:rsidRDefault="0055116C" w:rsidP="0055116C">
      <w:pPr>
        <w:rPr>
          <w:bCs/>
          <w:sz w:val="22"/>
          <w:szCs w:val="22"/>
        </w:rPr>
      </w:pPr>
    </w:p>
    <w:p w:rsidR="0055116C" w:rsidRDefault="0055116C" w:rsidP="0055116C">
      <w:pPr>
        <w:rPr>
          <w:rFonts w:cs="Arial"/>
          <w:color w:val="000000"/>
          <w:sz w:val="22"/>
          <w:szCs w:val="22"/>
        </w:rPr>
      </w:pPr>
    </w:p>
    <w:p w:rsidR="0055116C" w:rsidRPr="0055116C" w:rsidRDefault="0055116C" w:rsidP="0055116C">
      <w:pPr>
        <w:keepNext/>
        <w:keepLines/>
        <w:rPr>
          <w:rFonts w:cs="Arial"/>
          <w:color w:val="000000"/>
          <w:sz w:val="22"/>
          <w:szCs w:val="22"/>
          <w:lang w:val="ru-RU"/>
        </w:rPr>
      </w:pPr>
      <w:r w:rsidRPr="0055116C">
        <w:rPr>
          <w:color w:val="000000"/>
          <w:sz w:val="22"/>
          <w:lang w:val="ru-RU"/>
        </w:rPr>
        <w:t>ОТЧЕТ О РИСКАХ В ДВУХЛЕТНИЙ ПЕРИОД</w:t>
      </w:r>
    </w:p>
    <w:p w:rsidR="0055116C" w:rsidRPr="0055116C" w:rsidRDefault="0055116C" w:rsidP="0055116C">
      <w:pPr>
        <w:keepNext/>
        <w:keepLines/>
        <w:rPr>
          <w:lang w:val="ru-RU"/>
        </w:rPr>
      </w:pP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20"/>
        <w:gridCol w:w="2200"/>
        <w:gridCol w:w="2473"/>
        <w:gridCol w:w="2321"/>
      </w:tblGrid>
      <w:tr w:rsidR="0055116C" w:rsidRPr="003C527B" w:rsidTr="0055116C">
        <w:trPr>
          <w:trHeight w:val="638"/>
          <w:jc w:val="center"/>
        </w:trPr>
        <w:tc>
          <w:tcPr>
            <w:tcW w:w="2420" w:type="dxa"/>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keepNext/>
              <w:keepLines/>
              <w:autoSpaceDE w:val="0"/>
              <w:autoSpaceDN w:val="0"/>
              <w:adjustRightInd w:val="0"/>
              <w:ind w:right="-59"/>
              <w:jc w:val="center"/>
              <w:rPr>
                <w:b/>
                <w:bCs/>
                <w:iCs/>
                <w:sz w:val="18"/>
                <w:szCs w:val="18"/>
                <w:lang w:val="ru-RU"/>
              </w:rPr>
            </w:pPr>
            <w:r w:rsidRPr="0055116C">
              <w:rPr>
                <w:b/>
                <w:sz w:val="18"/>
                <w:lang w:val="ru-RU"/>
              </w:rPr>
              <w:t>Риск (риски) того, что программа не достигнет своих результатов</w:t>
            </w:r>
          </w:p>
        </w:tc>
        <w:tc>
          <w:tcPr>
            <w:tcW w:w="2200" w:type="dxa"/>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keepNext/>
              <w:keepLines/>
              <w:autoSpaceDE w:val="0"/>
              <w:autoSpaceDN w:val="0"/>
              <w:adjustRightInd w:val="0"/>
              <w:ind w:right="-59"/>
              <w:jc w:val="center"/>
              <w:rPr>
                <w:b/>
                <w:bCs/>
                <w:iCs/>
                <w:sz w:val="18"/>
                <w:szCs w:val="18"/>
                <w:lang w:val="ru-RU"/>
              </w:rPr>
            </w:pPr>
            <w:r w:rsidRPr="0055116C">
              <w:rPr>
                <w:b/>
                <w:sz w:val="18"/>
                <w:lang w:val="ru-RU"/>
              </w:rPr>
              <w:t>Внедренные или разрабатываемые планы мер по снижению рисков</w:t>
            </w:r>
          </w:p>
        </w:tc>
        <w:tc>
          <w:tcPr>
            <w:tcW w:w="2473" w:type="dxa"/>
            <w:tcBorders>
              <w:top w:val="single" w:sz="4" w:space="0" w:color="auto"/>
              <w:bottom w:val="single" w:sz="4" w:space="0" w:color="auto"/>
            </w:tcBorders>
            <w:shd w:val="clear" w:color="auto" w:fill="C6D9F1" w:themeFill="text2" w:themeFillTint="33"/>
          </w:tcPr>
          <w:p w:rsidR="0055116C" w:rsidRPr="0055116C" w:rsidRDefault="0055116C" w:rsidP="0055116C">
            <w:pPr>
              <w:keepNext/>
              <w:keepLines/>
              <w:jc w:val="center"/>
              <w:rPr>
                <w:b/>
                <w:bCs/>
                <w:sz w:val="18"/>
                <w:szCs w:val="18"/>
                <w:lang w:val="ru-RU"/>
              </w:rPr>
            </w:pPr>
            <w:r w:rsidRPr="0055116C">
              <w:rPr>
                <w:b/>
                <w:sz w:val="18"/>
                <w:lang w:val="ru-RU"/>
              </w:rPr>
              <w:t>Оценка риска (рисков) и стратегии его (их) смягчения в двухлетний период</w:t>
            </w:r>
          </w:p>
        </w:tc>
        <w:tc>
          <w:tcPr>
            <w:tcW w:w="2321" w:type="dxa"/>
            <w:tcBorders>
              <w:top w:val="single" w:sz="4" w:space="0" w:color="auto"/>
              <w:bottom w:val="single" w:sz="4" w:space="0" w:color="auto"/>
            </w:tcBorders>
            <w:shd w:val="clear" w:color="auto" w:fill="C6D9F1" w:themeFill="text2" w:themeFillTint="33"/>
          </w:tcPr>
          <w:p w:rsidR="0055116C" w:rsidRPr="003C527B" w:rsidRDefault="0055116C" w:rsidP="0055116C">
            <w:pPr>
              <w:keepNext/>
              <w:keepLines/>
              <w:jc w:val="center"/>
              <w:rPr>
                <w:b/>
                <w:bCs/>
                <w:sz w:val="18"/>
                <w:szCs w:val="18"/>
              </w:rPr>
            </w:pPr>
            <w:r>
              <w:rPr>
                <w:b/>
                <w:sz w:val="18"/>
              </w:rPr>
              <w:t>Влияние на реализацию программы</w:t>
            </w:r>
          </w:p>
        </w:tc>
      </w:tr>
      <w:tr w:rsidR="0055116C" w:rsidRPr="005C6ABD" w:rsidTr="0055116C">
        <w:trPr>
          <w:trHeight w:val="1779"/>
          <w:jc w:val="center"/>
        </w:trPr>
        <w:tc>
          <w:tcPr>
            <w:tcW w:w="2420" w:type="dxa"/>
            <w:tcBorders>
              <w:top w:val="single" w:sz="4" w:space="0" w:color="auto"/>
            </w:tcBorders>
            <w:shd w:val="clear" w:color="auto" w:fill="auto"/>
            <w:tcMar>
              <w:top w:w="113" w:type="dxa"/>
              <w:bottom w:w="113" w:type="dxa"/>
            </w:tcMar>
          </w:tcPr>
          <w:p w:rsidR="0055116C" w:rsidRPr="0055116C" w:rsidRDefault="0055116C" w:rsidP="0055116C">
            <w:pPr>
              <w:keepNext/>
              <w:keepLines/>
              <w:rPr>
                <w:sz w:val="16"/>
                <w:szCs w:val="16"/>
                <w:lang w:val="ru-RU"/>
              </w:rPr>
            </w:pPr>
            <w:r w:rsidRPr="0055116C">
              <w:rPr>
                <w:sz w:val="16"/>
                <w:lang w:val="ru-RU"/>
              </w:rPr>
              <w:t xml:space="preserve">Временная или постоянная утрата доступа к глобальным базам данных по причине локального сбоя интернет-соединения или технической неисправности в женевской штаб-квартире </w:t>
            </w:r>
          </w:p>
          <w:p w:rsidR="0055116C" w:rsidRPr="0055116C" w:rsidRDefault="0055116C" w:rsidP="0055116C">
            <w:pPr>
              <w:keepNext/>
              <w:keepLines/>
              <w:autoSpaceDE w:val="0"/>
              <w:autoSpaceDN w:val="0"/>
              <w:adjustRightInd w:val="0"/>
              <w:ind w:right="-59"/>
              <w:rPr>
                <w:sz w:val="16"/>
                <w:szCs w:val="16"/>
                <w:lang w:val="ru-RU"/>
              </w:rPr>
            </w:pPr>
          </w:p>
        </w:tc>
        <w:tc>
          <w:tcPr>
            <w:tcW w:w="2200" w:type="dxa"/>
            <w:tcBorders>
              <w:top w:val="single" w:sz="4" w:space="0" w:color="auto"/>
            </w:tcBorders>
            <w:shd w:val="clear" w:color="auto" w:fill="auto"/>
            <w:tcMar>
              <w:top w:w="113" w:type="dxa"/>
              <w:bottom w:w="113" w:type="dxa"/>
            </w:tcMar>
          </w:tcPr>
          <w:p w:rsidR="0055116C" w:rsidRPr="0055116C" w:rsidRDefault="0055116C" w:rsidP="0055116C">
            <w:pPr>
              <w:keepNext/>
              <w:keepLines/>
              <w:rPr>
                <w:sz w:val="16"/>
                <w:szCs w:val="16"/>
                <w:lang w:val="ru-RU"/>
              </w:rPr>
            </w:pPr>
            <w:r w:rsidRPr="0055116C">
              <w:rPr>
                <w:sz w:val="16"/>
                <w:lang w:val="ru-RU"/>
              </w:rPr>
              <w:t>Поиск потенциальных мест для хостинга с целью дублирования данных на случай аварийного восстановления и в целях обеспечения более широкого географического распределения. Рассмотрение возможности создания зеркальных сайтов для обеспечения доступа к данным во время локальных сбоев в работе.</w:t>
            </w:r>
          </w:p>
        </w:tc>
        <w:tc>
          <w:tcPr>
            <w:tcW w:w="2473" w:type="dxa"/>
            <w:tcBorders>
              <w:top w:val="single" w:sz="4" w:space="0" w:color="auto"/>
            </w:tcBorders>
          </w:tcPr>
          <w:p w:rsidR="0055116C" w:rsidRPr="0055116C" w:rsidRDefault="0055116C" w:rsidP="0055116C">
            <w:pPr>
              <w:keepNext/>
              <w:keepLines/>
              <w:rPr>
                <w:sz w:val="16"/>
                <w:szCs w:val="16"/>
                <w:lang w:val="ru-RU"/>
              </w:rPr>
            </w:pPr>
            <w:r w:rsidRPr="0055116C">
              <w:rPr>
                <w:sz w:val="16"/>
                <w:lang w:val="ru-RU"/>
              </w:rPr>
              <w:t xml:space="preserve">В рассматриваемый двухлетний период был улучшен географический охват системы </w:t>
            </w:r>
            <w:r>
              <w:rPr>
                <w:sz w:val="16"/>
              </w:rPr>
              <w:t>PATENTSCOPE</w:t>
            </w:r>
            <w:r w:rsidRPr="0055116C">
              <w:rPr>
                <w:sz w:val="16"/>
                <w:lang w:val="ru-RU"/>
              </w:rPr>
              <w:t>: в Азии была создана зеркальная система, представляющая собой удаленную копию. Она обеспечивает безопасность и позволяет снизить время ожидания при использовании системы в Азиатском регионе, тем самым снижая риски.</w:t>
            </w:r>
          </w:p>
        </w:tc>
        <w:tc>
          <w:tcPr>
            <w:tcW w:w="2321" w:type="dxa"/>
            <w:tcBorders>
              <w:top w:val="single" w:sz="4" w:space="0" w:color="auto"/>
            </w:tcBorders>
          </w:tcPr>
          <w:p w:rsidR="0055116C" w:rsidRPr="0055116C" w:rsidRDefault="0055116C" w:rsidP="0055116C">
            <w:pPr>
              <w:autoSpaceDE w:val="0"/>
              <w:autoSpaceDN w:val="0"/>
              <w:adjustRightInd w:val="0"/>
              <w:ind w:right="-59"/>
              <w:rPr>
                <w:sz w:val="16"/>
                <w:szCs w:val="16"/>
                <w:lang w:val="ru-RU"/>
              </w:rPr>
            </w:pPr>
            <w:r w:rsidRPr="0055116C">
              <w:rPr>
                <w:sz w:val="16"/>
                <w:lang w:val="ru-RU"/>
              </w:rPr>
              <w:t>Этот риск и его развитие не оказали существенного влияния на реализацию программы в 2014–2015 гг.</w:t>
            </w:r>
          </w:p>
          <w:p w:rsidR="0055116C" w:rsidRPr="0055116C" w:rsidRDefault="0055116C" w:rsidP="0055116C">
            <w:pPr>
              <w:keepNext/>
              <w:keepLines/>
              <w:rPr>
                <w:sz w:val="16"/>
                <w:szCs w:val="16"/>
                <w:lang w:val="ru-RU"/>
              </w:rPr>
            </w:pPr>
          </w:p>
        </w:tc>
      </w:tr>
    </w:tbl>
    <w:p w:rsidR="0055116C" w:rsidRPr="0055116C" w:rsidRDefault="0055116C" w:rsidP="0055116C">
      <w:pPr>
        <w:rPr>
          <w:rFonts w:cs="Arial"/>
          <w:color w:val="000000"/>
          <w:sz w:val="22"/>
          <w:szCs w:val="22"/>
          <w:lang w:val="ru-RU"/>
        </w:rPr>
      </w:pPr>
    </w:p>
    <w:p w:rsidR="0055116C" w:rsidRPr="0055116C" w:rsidRDefault="0055116C" w:rsidP="0055116C">
      <w:pPr>
        <w:rPr>
          <w:rFonts w:cs="Arial"/>
          <w:color w:val="000000"/>
          <w:sz w:val="22"/>
          <w:szCs w:val="22"/>
          <w:lang w:val="ru-RU"/>
        </w:rPr>
      </w:pPr>
    </w:p>
    <w:p w:rsidR="00AD2B92" w:rsidRDefault="00AD2B92">
      <w:pPr>
        <w:rPr>
          <w:color w:val="000000"/>
          <w:sz w:val="22"/>
          <w:lang w:val="ru-RU"/>
        </w:rPr>
      </w:pPr>
      <w:r>
        <w:rPr>
          <w:color w:val="000000"/>
          <w:sz w:val="22"/>
          <w:lang w:val="ru-RU"/>
        </w:rPr>
        <w:br w:type="page"/>
      </w:r>
    </w:p>
    <w:p w:rsidR="0055116C" w:rsidRPr="0055116C" w:rsidRDefault="0055116C" w:rsidP="0055116C">
      <w:pPr>
        <w:rPr>
          <w:b/>
          <w:sz w:val="18"/>
          <w:szCs w:val="18"/>
          <w:lang w:val="ru-RU"/>
        </w:rPr>
      </w:pPr>
      <w:r w:rsidRPr="0055116C">
        <w:rPr>
          <w:color w:val="000000"/>
          <w:sz w:val="22"/>
          <w:lang w:val="ru-RU"/>
        </w:rPr>
        <w:t>ИСПОЛЬЗОВАНИЕ РЕСУРСОВ</w:t>
      </w:r>
      <w:r w:rsidRPr="0055116C">
        <w:rPr>
          <w:lang w:val="ru-RU"/>
        </w:rPr>
        <w:tab/>
      </w:r>
    </w:p>
    <w:p w:rsidR="0055116C" w:rsidRPr="0055116C" w:rsidRDefault="0055116C" w:rsidP="0055116C">
      <w:pPr>
        <w:pStyle w:val="NormalWeb"/>
        <w:spacing w:before="0" w:beforeAutospacing="0" w:after="0" w:afterAutospacing="0"/>
        <w:jc w:val="center"/>
        <w:rPr>
          <w:color w:val="000000"/>
          <w:sz w:val="20"/>
          <w:szCs w:val="20"/>
          <w:lang w:val="ru-RU"/>
        </w:rPr>
      </w:pPr>
    </w:p>
    <w:p w:rsidR="0055116C" w:rsidRPr="0055116C" w:rsidRDefault="0055116C" w:rsidP="0055116C">
      <w:pPr>
        <w:pStyle w:val="NormalWeb"/>
        <w:spacing w:before="0" w:beforeAutospacing="0" w:after="0" w:afterAutospacing="0"/>
        <w:jc w:val="center"/>
        <w:rPr>
          <w:sz w:val="20"/>
          <w:szCs w:val="20"/>
          <w:lang w:val="ru-RU"/>
        </w:rPr>
      </w:pPr>
      <w:r w:rsidRPr="0055116C">
        <w:rPr>
          <w:color w:val="000000"/>
          <w:sz w:val="20"/>
          <w:lang w:val="ru-RU"/>
        </w:rPr>
        <w:t xml:space="preserve">Бюджет и фактические расходы (в разбивке по результатам) </w:t>
      </w:r>
    </w:p>
    <w:p w:rsidR="0055116C" w:rsidRDefault="0055116C" w:rsidP="0055116C">
      <w:pPr>
        <w:pStyle w:val="NormalWeb"/>
        <w:spacing w:before="0" w:beforeAutospacing="0" w:after="0" w:afterAutospacing="0"/>
        <w:jc w:val="center"/>
        <w:rPr>
          <w:i/>
          <w:iCs/>
          <w:color w:val="000000"/>
          <w:sz w:val="20"/>
          <w:szCs w:val="20"/>
        </w:rPr>
      </w:pPr>
      <w:r>
        <w:rPr>
          <w:i/>
          <w:color w:val="000000"/>
          <w:sz w:val="20"/>
        </w:rPr>
        <w:t>(в тыс. шв. франков)</w:t>
      </w:r>
    </w:p>
    <w:p w:rsidR="0055116C" w:rsidRDefault="0055116C" w:rsidP="0055116C">
      <w:pPr>
        <w:jc w:val="center"/>
      </w:pPr>
    </w:p>
    <w:p w:rsidR="0055116C" w:rsidRPr="00956DC7" w:rsidRDefault="0055116C" w:rsidP="0055116C">
      <w:pPr>
        <w:jc w:val="center"/>
      </w:pPr>
      <w:r>
        <w:rPr>
          <w:noProof/>
        </w:rPr>
        <w:drawing>
          <wp:inline distT="0" distB="0" distL="0" distR="0" wp14:anchorId="5E12BF67" wp14:editId="1045C789">
            <wp:extent cx="5354726" cy="1703183"/>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364533" cy="1706302"/>
                    </a:xfrm>
                    <a:prstGeom prst="rect">
                      <a:avLst/>
                    </a:prstGeom>
                    <a:noFill/>
                    <a:ln>
                      <a:noFill/>
                    </a:ln>
                  </pic:spPr>
                </pic:pic>
              </a:graphicData>
            </a:graphic>
          </wp:inline>
        </w:drawing>
      </w:r>
    </w:p>
    <w:p w:rsidR="0055116C" w:rsidRDefault="0055116C" w:rsidP="0055116C"/>
    <w:p w:rsidR="0055116C" w:rsidRDefault="0055116C" w:rsidP="0055116C">
      <w:pPr>
        <w:pStyle w:val="NormalWeb"/>
        <w:keepNext/>
        <w:keepLines/>
        <w:spacing w:before="0" w:beforeAutospacing="0" w:after="0" w:afterAutospacing="0"/>
        <w:jc w:val="center"/>
        <w:rPr>
          <w:color w:val="000000"/>
          <w:sz w:val="20"/>
          <w:szCs w:val="20"/>
        </w:rPr>
      </w:pPr>
    </w:p>
    <w:p w:rsidR="0055116C" w:rsidRPr="0055116C" w:rsidRDefault="0055116C" w:rsidP="0055116C">
      <w:pPr>
        <w:pStyle w:val="NormalWeb"/>
        <w:keepNext/>
        <w:keepLines/>
        <w:spacing w:before="0" w:beforeAutospacing="0" w:after="0" w:afterAutospacing="0"/>
        <w:jc w:val="center"/>
        <w:rPr>
          <w:sz w:val="20"/>
          <w:szCs w:val="20"/>
          <w:lang w:val="ru-RU"/>
        </w:rPr>
      </w:pPr>
      <w:r w:rsidRPr="0055116C">
        <w:rPr>
          <w:color w:val="000000"/>
          <w:sz w:val="20"/>
          <w:lang w:val="ru-RU"/>
        </w:rPr>
        <w:t xml:space="preserve">Бюджет и фактические расходы (по персоналу и не связанные с персоналом) </w:t>
      </w:r>
    </w:p>
    <w:p w:rsidR="0055116C" w:rsidRPr="00383D2D" w:rsidRDefault="0055116C" w:rsidP="0055116C">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55116C" w:rsidRPr="004312A2" w:rsidRDefault="0055116C" w:rsidP="0055116C">
      <w:pPr>
        <w:keepNext/>
        <w:autoSpaceDE w:val="0"/>
        <w:autoSpaceDN w:val="0"/>
        <w:rPr>
          <w:sz w:val="16"/>
          <w:szCs w:val="16"/>
        </w:rPr>
      </w:pPr>
      <w:r>
        <w:rPr>
          <w:i/>
          <w:sz w:val="16"/>
        </w:rPr>
        <w:t>.</w:t>
      </w:r>
    </w:p>
    <w:p w:rsidR="0055116C" w:rsidRPr="004312A2" w:rsidRDefault="0055116C" w:rsidP="0055116C">
      <w:pPr>
        <w:keepNext/>
        <w:autoSpaceDE w:val="0"/>
        <w:autoSpaceDN w:val="0"/>
        <w:jc w:val="center"/>
        <w:rPr>
          <w:sz w:val="16"/>
          <w:szCs w:val="16"/>
        </w:rPr>
      </w:pPr>
      <w:r>
        <w:rPr>
          <w:noProof/>
          <w:sz w:val="16"/>
          <w:szCs w:val="16"/>
        </w:rPr>
        <w:drawing>
          <wp:inline distT="0" distB="0" distL="0" distR="0" wp14:anchorId="60048292" wp14:editId="281216E6">
            <wp:extent cx="6151880" cy="1288065"/>
            <wp:effectExtent l="0" t="0" r="1270" b="762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151880" cy="1288065"/>
                    </a:xfrm>
                    <a:prstGeom prst="rect">
                      <a:avLst/>
                    </a:prstGeom>
                    <a:noFill/>
                    <a:ln>
                      <a:noFill/>
                    </a:ln>
                  </pic:spPr>
                </pic:pic>
              </a:graphicData>
            </a:graphic>
          </wp:inline>
        </w:drawing>
      </w:r>
    </w:p>
    <w:p w:rsidR="0055116C" w:rsidRPr="008F4A6D" w:rsidRDefault="0055116C" w:rsidP="0055116C">
      <w:pPr>
        <w:widowControl w:val="0"/>
        <w:autoSpaceDE w:val="0"/>
        <w:autoSpaceDN w:val="0"/>
        <w:adjustRightInd w:val="0"/>
        <w:jc w:val="center"/>
        <w:rPr>
          <w:rFonts w:cs="Arial"/>
          <w:szCs w:val="20"/>
        </w:rPr>
      </w:pPr>
    </w:p>
    <w:p w:rsidR="0055116C" w:rsidRDefault="0055116C" w:rsidP="0055116C">
      <w:pPr>
        <w:widowControl w:val="0"/>
        <w:autoSpaceDE w:val="0"/>
        <w:autoSpaceDN w:val="0"/>
        <w:adjustRightInd w:val="0"/>
        <w:rPr>
          <w:rFonts w:cs="Arial"/>
          <w:szCs w:val="20"/>
        </w:rPr>
      </w:pPr>
    </w:p>
    <w:p w:rsidR="0055116C" w:rsidRPr="001C6F4D" w:rsidRDefault="0055116C" w:rsidP="0055116C">
      <w:pPr>
        <w:widowControl w:val="0"/>
        <w:autoSpaceDE w:val="0"/>
        <w:autoSpaceDN w:val="0"/>
        <w:adjustRightInd w:val="0"/>
        <w:rPr>
          <w:rFonts w:cs="Arial"/>
          <w:szCs w:val="20"/>
        </w:rPr>
      </w:pPr>
    </w:p>
    <w:p w:rsidR="0055116C" w:rsidRPr="0055116C" w:rsidRDefault="0055116C" w:rsidP="0055116C">
      <w:pPr>
        <w:autoSpaceDE w:val="0"/>
        <w:autoSpaceDN w:val="0"/>
        <w:jc w:val="both"/>
        <w:rPr>
          <w:rFonts w:cs="Arial"/>
          <w:szCs w:val="20"/>
          <w:u w:val="single"/>
          <w:lang w:val="ru-RU"/>
        </w:rPr>
      </w:pPr>
      <w:r>
        <w:t>A</w:t>
      </w:r>
      <w:r w:rsidRPr="0055116C">
        <w:rPr>
          <w:lang w:val="ru-RU"/>
        </w:rPr>
        <w:t>.</w:t>
      </w:r>
      <w:r w:rsidRPr="0055116C">
        <w:rPr>
          <w:lang w:val="ru-RU"/>
        </w:rPr>
        <w:tab/>
      </w:r>
      <w:r w:rsidRPr="0055116C">
        <w:rPr>
          <w:u w:val="single"/>
          <w:lang w:val="ru-RU"/>
        </w:rPr>
        <w:t>Итоговый бюджет на 2014–2015</w:t>
      </w:r>
      <w:r>
        <w:rPr>
          <w:u w:val="single"/>
        </w:rPr>
        <w:t> </w:t>
      </w:r>
      <w:r w:rsidRPr="0055116C">
        <w:rPr>
          <w:u w:val="single"/>
          <w:lang w:val="ru-RU"/>
        </w:rPr>
        <w:t xml:space="preserve">гг. после перераспределения средств </w:t>
      </w:r>
    </w:p>
    <w:p w:rsidR="0055116C" w:rsidRPr="0055116C" w:rsidRDefault="0055116C" w:rsidP="0055116C">
      <w:pPr>
        <w:autoSpaceDE w:val="0"/>
        <w:autoSpaceDN w:val="0"/>
        <w:jc w:val="both"/>
        <w:rPr>
          <w:rFonts w:cs="Arial"/>
          <w:szCs w:val="20"/>
          <w:lang w:val="ru-RU"/>
        </w:rPr>
      </w:pPr>
    </w:p>
    <w:p w:rsidR="0055116C" w:rsidRPr="0055116C" w:rsidRDefault="0055116C" w:rsidP="0055116C">
      <w:pPr>
        <w:pStyle w:val="ListParagraph"/>
        <w:numPr>
          <w:ilvl w:val="0"/>
          <w:numId w:val="29"/>
        </w:numPr>
        <w:tabs>
          <w:tab w:val="left" w:pos="709"/>
        </w:tabs>
        <w:ind w:left="0" w:firstLine="0"/>
        <w:jc w:val="both"/>
        <w:rPr>
          <w:rFonts w:cs="Arial"/>
          <w:lang w:val="ru-RU"/>
        </w:rPr>
      </w:pPr>
      <w:r w:rsidRPr="0055116C">
        <w:rPr>
          <w:lang w:val="ru-RU"/>
        </w:rPr>
        <w:t>Увеличение итогового бюджета на 2014–2015</w:t>
      </w:r>
      <w:r>
        <w:t> </w:t>
      </w:r>
      <w:r w:rsidRPr="0055116C">
        <w:rPr>
          <w:lang w:val="ru-RU"/>
        </w:rPr>
        <w:t xml:space="preserve">гг. после перераспределения средств (ресурсы, связанные с персоналом) связано с реклассификацией должностей и передачей дополнительных ресурсов, связанных с персоналом, данной программе в целях обеспечения более широкого использования глобальных баз данных. Это увеличение также отражено в ожидаемом результате </w:t>
      </w:r>
      <w:r>
        <w:t>IV</w:t>
      </w:r>
      <w:r w:rsidRPr="0055116C">
        <w:rPr>
          <w:lang w:val="ru-RU"/>
        </w:rPr>
        <w:t xml:space="preserve">.2 (расширение доступа к информации и знаниям в области ИС и их использования).  Увеличение объема ресурсов по этому ожидаемому результату также связано с перераспределением ресурсов, связанных с персоналом, в рамках программы в целях развития поисковых механизмов баз данных. </w:t>
      </w:r>
    </w:p>
    <w:p w:rsidR="0055116C" w:rsidRPr="0055116C" w:rsidRDefault="0055116C" w:rsidP="0055116C">
      <w:pPr>
        <w:autoSpaceDE w:val="0"/>
        <w:autoSpaceDN w:val="0"/>
        <w:jc w:val="both"/>
        <w:rPr>
          <w:rFonts w:cs="Arial"/>
          <w:szCs w:val="20"/>
          <w:lang w:val="ru-RU"/>
        </w:rPr>
      </w:pPr>
    </w:p>
    <w:p w:rsidR="0055116C" w:rsidRPr="0055116C" w:rsidRDefault="0055116C" w:rsidP="0055116C">
      <w:pPr>
        <w:pStyle w:val="ListParagraph"/>
        <w:numPr>
          <w:ilvl w:val="0"/>
          <w:numId w:val="29"/>
        </w:numPr>
        <w:tabs>
          <w:tab w:val="left" w:pos="709"/>
        </w:tabs>
        <w:ind w:left="0" w:firstLine="0"/>
        <w:jc w:val="both"/>
        <w:rPr>
          <w:rFonts w:eastAsia="Batang"/>
          <w:lang w:val="ru-RU"/>
        </w:rPr>
      </w:pPr>
      <w:r w:rsidRPr="0055116C">
        <w:rPr>
          <w:lang w:val="ru-RU"/>
        </w:rPr>
        <w:t>Ресурсы, не связанные с персоналом, отражают корректировку в сторону повышения, что в основном связано с дополнительными затратами на услуги внешних поставщиков при загрузке национальных фондов, а также увеличением расходов на размещение серверного оборудования.</w:t>
      </w:r>
    </w:p>
    <w:p w:rsidR="0055116C" w:rsidRPr="0055116C" w:rsidRDefault="0055116C" w:rsidP="0055116C">
      <w:pPr>
        <w:autoSpaceDE w:val="0"/>
        <w:autoSpaceDN w:val="0"/>
        <w:jc w:val="both"/>
        <w:rPr>
          <w:rFonts w:asciiTheme="majorHAnsi" w:hAnsiTheme="majorHAnsi"/>
          <w:lang w:val="ru-RU"/>
        </w:rPr>
      </w:pPr>
    </w:p>
    <w:p w:rsidR="0055116C" w:rsidRPr="0055116C" w:rsidRDefault="0055116C" w:rsidP="0055116C">
      <w:pPr>
        <w:autoSpaceDE w:val="0"/>
        <w:autoSpaceDN w:val="0"/>
        <w:jc w:val="both"/>
        <w:rPr>
          <w:rFonts w:asciiTheme="majorHAnsi" w:hAnsiTheme="majorHAnsi"/>
          <w:lang w:val="ru-RU"/>
        </w:rPr>
      </w:pPr>
    </w:p>
    <w:p w:rsidR="0055116C" w:rsidRPr="0055116C" w:rsidRDefault="0055116C" w:rsidP="0055116C">
      <w:pPr>
        <w:autoSpaceDE w:val="0"/>
        <w:autoSpaceDN w:val="0"/>
        <w:jc w:val="both"/>
        <w:rPr>
          <w:rFonts w:cs="Arial"/>
          <w:szCs w:val="20"/>
          <w:u w:val="single"/>
          <w:lang w:val="ru-RU"/>
        </w:rPr>
      </w:pPr>
      <w:r>
        <w:t>B</w:t>
      </w:r>
      <w:r w:rsidRPr="0055116C">
        <w:rPr>
          <w:lang w:val="ru-RU"/>
        </w:rPr>
        <w:t>.</w:t>
      </w:r>
      <w:r w:rsidRPr="0055116C">
        <w:rPr>
          <w:lang w:val="ru-RU"/>
        </w:rPr>
        <w:tab/>
      </w:r>
      <w:r w:rsidRPr="0055116C">
        <w:rPr>
          <w:u w:val="single"/>
          <w:lang w:val="ru-RU"/>
        </w:rPr>
        <w:t xml:space="preserve">Освоение бюджетных средств в 2014–2015 гг. </w:t>
      </w:r>
    </w:p>
    <w:p w:rsidR="0055116C" w:rsidRPr="0055116C" w:rsidRDefault="0055116C" w:rsidP="0055116C">
      <w:pPr>
        <w:autoSpaceDE w:val="0"/>
        <w:autoSpaceDN w:val="0"/>
        <w:jc w:val="both"/>
        <w:rPr>
          <w:rFonts w:cs="Arial"/>
          <w:szCs w:val="20"/>
          <w:u w:val="single"/>
          <w:lang w:val="ru-RU"/>
        </w:rPr>
      </w:pPr>
    </w:p>
    <w:p w:rsidR="007852E3" w:rsidRPr="0055116C" w:rsidRDefault="0055116C" w:rsidP="0055116C">
      <w:pPr>
        <w:pStyle w:val="ListParagraph"/>
        <w:keepNext/>
        <w:keepLines/>
        <w:numPr>
          <w:ilvl w:val="0"/>
          <w:numId w:val="29"/>
        </w:numPr>
        <w:tabs>
          <w:tab w:val="left" w:pos="709"/>
        </w:tabs>
        <w:ind w:left="0" w:firstLine="0"/>
        <w:jc w:val="both"/>
        <w:rPr>
          <w:lang w:val="ru-RU"/>
        </w:rPr>
      </w:pPr>
      <w:r w:rsidRPr="0055116C">
        <w:rPr>
          <w:lang w:val="ru-RU"/>
        </w:rPr>
        <w:t>Уровень освоения бюджетных средств находится в пределах, предусмотренных для рассматриваемого двухлетнего периода.</w:t>
      </w:r>
    </w:p>
    <w:p w:rsidR="00714DE0" w:rsidRPr="0055116C" w:rsidRDefault="00714DE0">
      <w:pPr>
        <w:rPr>
          <w:lang w:val="ru-RU"/>
        </w:rPr>
      </w:pPr>
      <w:r w:rsidRPr="0055116C">
        <w:rPr>
          <w:lang w:val="ru-RU"/>
        </w:rPr>
        <w:br w:type="page"/>
      </w:r>
    </w:p>
    <w:p w:rsidR="0055116C" w:rsidRPr="0055116C" w:rsidRDefault="0055116C" w:rsidP="008A6A50">
      <w:pPr>
        <w:pStyle w:val="Heading2"/>
        <w:tabs>
          <w:tab w:val="clear" w:pos="567"/>
          <w:tab w:val="left" w:pos="1985"/>
        </w:tabs>
        <w:ind w:left="1980" w:hanging="1980"/>
        <w:rPr>
          <w:sz w:val="20"/>
          <w:szCs w:val="20"/>
          <w:lang w:val="ru-RU"/>
        </w:rPr>
      </w:pPr>
      <w:bookmarkStart w:id="94" w:name="_Toc422210498"/>
      <w:bookmarkStart w:id="95" w:name="_Toc455388122"/>
      <w:r w:rsidRPr="0055116C">
        <w:rPr>
          <w:lang w:val="ru-RU"/>
        </w:rPr>
        <w:t>ПРОГРАММА</w:t>
      </w:r>
      <w:r>
        <w:t> </w:t>
      </w:r>
      <w:r w:rsidRPr="0055116C">
        <w:rPr>
          <w:lang w:val="ru-RU"/>
        </w:rPr>
        <w:t>14</w:t>
      </w:r>
      <w:r w:rsidRPr="0055116C">
        <w:rPr>
          <w:lang w:val="ru-RU"/>
        </w:rPr>
        <w:tab/>
        <w:t>УСЛУГИ ПО ОБЕСПЕЧЕНИЮ ДОСТУПА К ИНФОРМАЦИИ И ЗНАНИЯМ</w:t>
      </w:r>
      <w:bookmarkEnd w:id="94"/>
      <w:bookmarkEnd w:id="95"/>
    </w:p>
    <w:p w:rsidR="0055116C" w:rsidRPr="0055116C" w:rsidRDefault="0055116C" w:rsidP="0055116C">
      <w:pPr>
        <w:jc w:val="both"/>
        <w:rPr>
          <w:szCs w:val="20"/>
          <w:lang w:val="ru-RU"/>
        </w:rPr>
      </w:pPr>
    </w:p>
    <w:p w:rsidR="0055116C" w:rsidRPr="0055116C" w:rsidRDefault="0055116C" w:rsidP="0055116C">
      <w:pPr>
        <w:tabs>
          <w:tab w:val="left" w:pos="1985"/>
        </w:tabs>
        <w:jc w:val="both"/>
        <w:rPr>
          <w:b/>
          <w:szCs w:val="20"/>
          <w:lang w:val="ru-RU"/>
        </w:rPr>
      </w:pPr>
      <w:r w:rsidRPr="0055116C">
        <w:rPr>
          <w:b/>
          <w:lang w:val="ru-RU"/>
        </w:rPr>
        <w:t xml:space="preserve">Руководитель программы: </w:t>
      </w:r>
      <w:r w:rsidRPr="0055116C">
        <w:rPr>
          <w:lang w:val="ru-RU"/>
        </w:rPr>
        <w:tab/>
      </w:r>
      <w:r w:rsidRPr="0055116C">
        <w:rPr>
          <w:b/>
          <w:lang w:val="ru-RU"/>
        </w:rPr>
        <w:t>г-н Ё. Такаги</w:t>
      </w:r>
    </w:p>
    <w:p w:rsidR="0055116C" w:rsidRPr="0055116C" w:rsidRDefault="0055116C" w:rsidP="0055116C">
      <w:pPr>
        <w:jc w:val="both"/>
        <w:rPr>
          <w:szCs w:val="20"/>
          <w:lang w:val="ru-RU"/>
        </w:rPr>
      </w:pPr>
    </w:p>
    <w:p w:rsidR="0055116C" w:rsidRPr="0055116C" w:rsidRDefault="0055116C" w:rsidP="0055116C">
      <w:pPr>
        <w:jc w:val="both"/>
        <w:rPr>
          <w:szCs w:val="22"/>
          <w:lang w:val="ru-RU"/>
        </w:rPr>
      </w:pPr>
    </w:p>
    <w:p w:rsidR="0055116C" w:rsidRPr="0055116C" w:rsidRDefault="0055116C" w:rsidP="0055116C">
      <w:pPr>
        <w:jc w:val="both"/>
        <w:rPr>
          <w:bCs/>
          <w:sz w:val="22"/>
          <w:szCs w:val="22"/>
          <w:lang w:val="ru-RU"/>
        </w:rPr>
      </w:pPr>
      <w:r w:rsidRPr="0055116C">
        <w:rPr>
          <w:lang w:val="ru-RU"/>
        </w:rPr>
        <w:t>ОБЗОР ДОСТИЖЕНИЙ ЗА ДВУХЛЕТНИЙ ПЕРИОД 2014–2015 ГГ.</w:t>
      </w:r>
    </w:p>
    <w:p w:rsidR="0055116C" w:rsidRPr="0055116C" w:rsidRDefault="0055116C" w:rsidP="0055116C">
      <w:pPr>
        <w:tabs>
          <w:tab w:val="left" w:pos="709"/>
        </w:tabs>
        <w:jc w:val="both"/>
        <w:rPr>
          <w:rFonts w:cs="Arial"/>
          <w:bCs/>
          <w:szCs w:val="22"/>
          <w:lang w:val="ru-RU"/>
        </w:rPr>
      </w:pPr>
    </w:p>
    <w:p w:rsidR="0055116C" w:rsidRPr="0055116C" w:rsidRDefault="0055116C" w:rsidP="0055116C">
      <w:pPr>
        <w:pStyle w:val="ListParagraph"/>
        <w:numPr>
          <w:ilvl w:val="0"/>
          <w:numId w:val="82"/>
        </w:numPr>
        <w:tabs>
          <w:tab w:val="left" w:pos="0"/>
          <w:tab w:val="left" w:pos="709"/>
        </w:tabs>
        <w:ind w:left="0" w:firstLine="0"/>
        <w:jc w:val="both"/>
        <w:rPr>
          <w:rFonts w:cs="Arial"/>
          <w:bCs/>
          <w:lang w:val="ru-RU"/>
        </w:rPr>
      </w:pPr>
      <w:r w:rsidRPr="0055116C">
        <w:rPr>
          <w:lang w:val="ru-RU"/>
        </w:rPr>
        <w:t>В двухлетний период 2014–2015</w:t>
      </w:r>
      <w:r>
        <w:t> </w:t>
      </w:r>
      <w:r w:rsidRPr="0055116C">
        <w:rPr>
          <w:lang w:val="ru-RU"/>
        </w:rPr>
        <w:t>гг. еще 11 стран официально создали сети Центров поддержки технологий и инноваций (ЦПТИ), и общее число таких стран достигло 50 (на 28</w:t>
      </w:r>
      <w:r>
        <w:t> </w:t>
      </w:r>
      <w:r w:rsidRPr="0055116C">
        <w:rPr>
          <w:lang w:val="ru-RU"/>
        </w:rPr>
        <w:t>процентов больше, чем в 2012–2013</w:t>
      </w:r>
      <w:r>
        <w:t> </w:t>
      </w:r>
      <w:r w:rsidRPr="0055116C">
        <w:rPr>
          <w:lang w:val="ru-RU"/>
        </w:rPr>
        <w:t>гг.). Основной целью программы по-прежнему являлось укрепление долгосрочной устойчивости сетей, и к концу 2015</w:t>
      </w:r>
      <w:r>
        <w:t> </w:t>
      </w:r>
      <w:r w:rsidRPr="0055116C">
        <w:rPr>
          <w:lang w:val="ru-RU"/>
        </w:rPr>
        <w:t>г. 25 сетей ЦПТИ были признаны устойчивыми.  Кроме того, в 2015</w:t>
      </w:r>
      <w:r>
        <w:t> </w:t>
      </w:r>
      <w:r w:rsidRPr="0055116C">
        <w:rPr>
          <w:lang w:val="ru-RU"/>
        </w:rPr>
        <w:t xml:space="preserve">г. были официально учреждены две субрегиональных сети ЦПТИ: сеть ЦПТИ АСЕАН для ее государств-членов и сеть </w:t>
      </w:r>
      <w:r>
        <w:t>CATI</w:t>
      </w:r>
      <w:r w:rsidRPr="0055116C">
        <w:rPr>
          <w:lang w:val="ru-RU"/>
        </w:rPr>
        <w:t>-</w:t>
      </w:r>
      <w:r>
        <w:t>CARD</w:t>
      </w:r>
      <w:r w:rsidRPr="0055116C">
        <w:rPr>
          <w:lang w:val="ru-RU"/>
        </w:rPr>
        <w:t xml:space="preserve"> для стран Центральной Америки и Доминиканской Республики.  По состоянию на конец 2015</w:t>
      </w:r>
      <w:r>
        <w:t> </w:t>
      </w:r>
      <w:r w:rsidRPr="0055116C">
        <w:rPr>
          <w:lang w:val="ru-RU"/>
        </w:rPr>
        <w:t>г. в Реестре ЦПТИ</w:t>
      </w:r>
      <w:bookmarkStart w:id="96" w:name="OLE_LINK4"/>
      <w:bookmarkEnd w:id="96"/>
      <w:r>
        <w:rPr>
          <w:rStyle w:val="FootnoteReference"/>
        </w:rPr>
        <w:footnoteReference w:id="86"/>
      </w:r>
      <w:r w:rsidRPr="0055116C">
        <w:rPr>
          <w:lang w:val="ru-RU"/>
        </w:rPr>
        <w:t xml:space="preserve"> содержался 331 ЦПТИ.  </w:t>
      </w:r>
    </w:p>
    <w:p w:rsidR="0055116C" w:rsidRPr="0055116C" w:rsidRDefault="0055116C" w:rsidP="0055116C">
      <w:pPr>
        <w:pStyle w:val="ListParagraph"/>
        <w:tabs>
          <w:tab w:val="left" w:pos="0"/>
          <w:tab w:val="left" w:pos="709"/>
        </w:tabs>
        <w:ind w:left="0"/>
        <w:jc w:val="both"/>
        <w:rPr>
          <w:rFonts w:cs="Arial"/>
          <w:bCs/>
          <w:lang w:val="ru-RU"/>
        </w:rPr>
      </w:pPr>
    </w:p>
    <w:p w:rsidR="0055116C" w:rsidRPr="0055116C" w:rsidRDefault="0055116C" w:rsidP="0055116C">
      <w:pPr>
        <w:pStyle w:val="ListParagraph"/>
        <w:numPr>
          <w:ilvl w:val="0"/>
          <w:numId w:val="82"/>
        </w:numPr>
        <w:tabs>
          <w:tab w:val="left" w:pos="0"/>
          <w:tab w:val="left" w:pos="709"/>
        </w:tabs>
        <w:ind w:left="0" w:firstLine="0"/>
        <w:jc w:val="both"/>
        <w:rPr>
          <w:rFonts w:cs="Arial"/>
          <w:bCs/>
          <w:lang w:val="ru-RU"/>
        </w:rPr>
      </w:pPr>
      <w:r w:rsidRPr="0055116C">
        <w:rPr>
          <w:lang w:val="ru-RU"/>
        </w:rPr>
        <w:t>В рассматриваемый двухлетний период активизировалась начатая в 2013</w:t>
      </w:r>
      <w:r>
        <w:t> </w:t>
      </w:r>
      <w:r w:rsidRPr="0055116C">
        <w:rPr>
          <w:lang w:val="ru-RU"/>
        </w:rPr>
        <w:t xml:space="preserve">г. реализация структурированной программы по наращиванию потенциала на местном уровне, включая проведение образовательных мероприятий и тренингов на местах, дополнительное мероприятий по повышению квалификации преподавателей и по проектному планированию. Чтобы обеспечить более активный обмен опытом и наилучшей практикой между странами, на региональном уровне были проведены в общей сложности 11 региональных/субрегиональных встреч, которые были организованы при участии 14 организаций, и 50 национальных практикумов по планированию и по подготовке инструкторов.  </w:t>
      </w:r>
    </w:p>
    <w:p w:rsidR="0055116C" w:rsidRPr="0055116C" w:rsidRDefault="0055116C" w:rsidP="0055116C">
      <w:pPr>
        <w:tabs>
          <w:tab w:val="left" w:pos="0"/>
          <w:tab w:val="left" w:pos="709"/>
        </w:tabs>
        <w:jc w:val="both"/>
        <w:rPr>
          <w:rFonts w:cs="Arial"/>
          <w:bCs/>
          <w:lang w:val="ru-RU"/>
        </w:rPr>
      </w:pPr>
    </w:p>
    <w:p w:rsidR="0055116C" w:rsidRDefault="0055116C" w:rsidP="0055116C">
      <w:pPr>
        <w:pStyle w:val="ListParagraph"/>
        <w:numPr>
          <w:ilvl w:val="0"/>
          <w:numId w:val="82"/>
        </w:numPr>
        <w:tabs>
          <w:tab w:val="left" w:pos="0"/>
          <w:tab w:val="left" w:pos="709"/>
        </w:tabs>
        <w:ind w:left="0" w:firstLine="0"/>
        <w:jc w:val="both"/>
        <w:rPr>
          <w:rFonts w:cs="Arial"/>
          <w:bCs/>
        </w:rPr>
      </w:pPr>
      <w:r w:rsidRPr="0055116C">
        <w:rPr>
          <w:lang w:val="ru-RU"/>
        </w:rPr>
        <w:t xml:space="preserve">Платформа управления знаниями </w:t>
      </w:r>
      <w:r>
        <w:t>eTISC</w:t>
      </w:r>
      <w:r>
        <w:rPr>
          <w:vertAlign w:val="superscript"/>
        </w:rPr>
        <w:footnoteReference w:id="87"/>
      </w:r>
      <w:r w:rsidRPr="0055116C">
        <w:rPr>
          <w:lang w:val="ru-RU"/>
        </w:rPr>
        <w:t xml:space="preserve"> продолжала активно развиваться, и число ее членов увеличилось более чем в два раза (к концу 2015</w:t>
      </w:r>
      <w:r>
        <w:t> </w:t>
      </w:r>
      <w:r w:rsidRPr="0055116C">
        <w:rPr>
          <w:lang w:val="ru-RU"/>
        </w:rPr>
        <w:t>г. в ней было почти 1</w:t>
      </w:r>
      <w:r>
        <w:t> </w:t>
      </w:r>
      <w:r w:rsidRPr="0055116C">
        <w:rPr>
          <w:lang w:val="ru-RU"/>
        </w:rPr>
        <w:t>500</w:t>
      </w:r>
      <w:r>
        <w:t> </w:t>
      </w:r>
      <w:r w:rsidRPr="0055116C">
        <w:rPr>
          <w:lang w:val="ru-RU"/>
        </w:rPr>
        <w:t>членов из 115</w:t>
      </w:r>
      <w:r>
        <w:t> </w:t>
      </w:r>
      <w:r w:rsidRPr="0055116C">
        <w:rPr>
          <w:lang w:val="ru-RU"/>
        </w:rPr>
        <w:t>стран, тогда как в конце предыдущего двухлетнего периода – 700).  В 2014–2015</w:t>
      </w:r>
      <w:r>
        <w:t> </w:t>
      </w:r>
      <w:r w:rsidRPr="0055116C">
        <w:rPr>
          <w:lang w:val="ru-RU"/>
        </w:rPr>
        <w:t xml:space="preserve">гг. в программу </w:t>
      </w:r>
      <w:r>
        <w:t>eTISC</w:t>
      </w:r>
      <w:r w:rsidRPr="0055116C">
        <w:rPr>
          <w:lang w:val="ru-RU"/>
        </w:rPr>
        <w:t xml:space="preserve"> было дополнительно включено 16</w:t>
      </w:r>
      <w:r>
        <w:t> </w:t>
      </w:r>
      <w:r w:rsidRPr="0055116C">
        <w:rPr>
          <w:lang w:val="ru-RU"/>
        </w:rPr>
        <w:t xml:space="preserve">учебных вебинаров и на этой платформе в режиме реального времени было проведено десять сессий вопросов и ответов с участием специалистов по поддержке инновационной деятельности.  Кроме того, сохранялся спрос на интерактивную электронную программу «Использование патентной информации», которая была доступна на </w:t>
      </w:r>
      <w:r>
        <w:t>CD</w:t>
      </w:r>
      <w:r w:rsidRPr="0055116C">
        <w:rPr>
          <w:lang w:val="ru-RU"/>
        </w:rPr>
        <w:t>-диске и онлайн на английском</w:t>
      </w:r>
      <w:r>
        <w:rPr>
          <w:vertAlign w:val="superscript"/>
        </w:rPr>
        <w:footnoteReference w:id="88"/>
      </w:r>
      <w:r w:rsidRPr="0055116C">
        <w:rPr>
          <w:lang w:val="ru-RU"/>
        </w:rPr>
        <w:t xml:space="preserve"> и французском</w:t>
      </w:r>
      <w:r>
        <w:rPr>
          <w:vertAlign w:val="superscript"/>
        </w:rPr>
        <w:footnoteReference w:id="89"/>
      </w:r>
      <w:r w:rsidRPr="0055116C">
        <w:rPr>
          <w:lang w:val="ru-RU"/>
        </w:rPr>
        <w:t xml:space="preserve"> языках.  </w:t>
      </w:r>
      <w:r>
        <w:t xml:space="preserve">В конце 2015 г. была завершена работа над испанской версией. </w:t>
      </w:r>
    </w:p>
    <w:p w:rsidR="0055116C" w:rsidRPr="00D41728" w:rsidRDefault="0055116C" w:rsidP="0055116C">
      <w:pPr>
        <w:tabs>
          <w:tab w:val="left" w:pos="0"/>
          <w:tab w:val="left" w:pos="709"/>
        </w:tabs>
        <w:jc w:val="both"/>
        <w:rPr>
          <w:rFonts w:cs="Arial"/>
        </w:rPr>
      </w:pPr>
    </w:p>
    <w:p w:rsidR="0055116C" w:rsidRPr="0055116C" w:rsidRDefault="0055116C" w:rsidP="0055116C">
      <w:pPr>
        <w:pStyle w:val="ListParagraph"/>
        <w:numPr>
          <w:ilvl w:val="0"/>
          <w:numId w:val="82"/>
        </w:numPr>
        <w:tabs>
          <w:tab w:val="left" w:pos="0"/>
          <w:tab w:val="left" w:pos="709"/>
        </w:tabs>
        <w:ind w:left="0" w:firstLine="0"/>
        <w:jc w:val="both"/>
        <w:rPr>
          <w:rFonts w:cs="Arial"/>
          <w:bCs/>
          <w:lang w:val="ru-RU"/>
        </w:rPr>
      </w:pPr>
      <w:r w:rsidRPr="0055116C">
        <w:rPr>
          <w:lang w:val="ru-RU"/>
        </w:rPr>
        <w:t>В 2015</w:t>
      </w:r>
      <w:r>
        <w:t> </w:t>
      </w:r>
      <w:r w:rsidRPr="0055116C">
        <w:rPr>
          <w:lang w:val="ru-RU"/>
        </w:rPr>
        <w:t>г. была запущена Программа помощи изобретателям (</w:t>
      </w:r>
      <w:r>
        <w:t>IAP</w:t>
      </w:r>
      <w:r w:rsidRPr="0055116C">
        <w:rPr>
          <w:lang w:val="ru-RU"/>
        </w:rPr>
        <w:t xml:space="preserve">), разработанная совместно ВОИС и Всемирным экономическим форумом (ВЭФ). Ее задача состоит в том, чтобы содействовать разработке инноваций на национальном уровне посредством предоставления правовой помощи при подаче патентных заявок местным изобретателям и малым предприятиям, не обладающим достаточными ресурсами. В рамках этой программы началась реализация двух пилотных проектов в Колумбии и Марокко.  В этой связи в интернете было размещено электронное руководство по патентам и бесплатным правовым услугам. </w:t>
      </w:r>
    </w:p>
    <w:p w:rsidR="0055116C" w:rsidRPr="0055116C" w:rsidRDefault="0055116C" w:rsidP="0055116C">
      <w:pPr>
        <w:tabs>
          <w:tab w:val="left" w:pos="0"/>
          <w:tab w:val="left" w:pos="709"/>
        </w:tabs>
        <w:jc w:val="both"/>
        <w:rPr>
          <w:rFonts w:cs="Arial"/>
          <w:bCs/>
          <w:lang w:val="ru-RU"/>
        </w:rPr>
      </w:pPr>
    </w:p>
    <w:p w:rsidR="0055116C" w:rsidRPr="0055116C" w:rsidRDefault="0055116C" w:rsidP="0055116C">
      <w:pPr>
        <w:pStyle w:val="ListParagraph"/>
        <w:numPr>
          <w:ilvl w:val="0"/>
          <w:numId w:val="82"/>
        </w:numPr>
        <w:tabs>
          <w:tab w:val="left" w:pos="0"/>
          <w:tab w:val="left" w:pos="709"/>
        </w:tabs>
        <w:ind w:left="0" w:firstLine="0"/>
        <w:jc w:val="both"/>
        <w:rPr>
          <w:rFonts w:cs="Arial"/>
          <w:bCs/>
          <w:lang w:val="ru-RU"/>
        </w:rPr>
      </w:pPr>
      <w:r w:rsidRPr="0055116C">
        <w:rPr>
          <w:lang w:val="ru-RU"/>
        </w:rPr>
        <w:t>В двухлетний период продолжался рост числа научно-технических изданий, доступных в программе обеспечения доступа к результатам исследований в интересах развития и инноваций (</w:t>
      </w:r>
      <w:r>
        <w:t>ARDI</w:t>
      </w:r>
      <w:r w:rsidRPr="0055116C">
        <w:rPr>
          <w:lang w:val="ru-RU"/>
        </w:rPr>
        <w:t xml:space="preserve">), в том числе благодаря партнерским программам </w:t>
      </w:r>
      <w:r>
        <w:t>Research</w:t>
      </w:r>
      <w:r w:rsidRPr="0055116C">
        <w:rPr>
          <w:lang w:val="ru-RU"/>
        </w:rPr>
        <w:t>4</w:t>
      </w:r>
      <w:r>
        <w:t>Life</w:t>
      </w:r>
      <w:r w:rsidRPr="0055116C">
        <w:rPr>
          <w:lang w:val="ru-RU"/>
        </w:rPr>
        <w:t>. Были достигнуты следующие показатели: 21</w:t>
      </w:r>
      <w:r>
        <w:t> </w:t>
      </w:r>
      <w:r w:rsidRPr="0055116C">
        <w:rPr>
          <w:lang w:val="ru-RU"/>
        </w:rPr>
        <w:t>243</w:t>
      </w:r>
      <w:r>
        <w:t> </w:t>
      </w:r>
      <w:r w:rsidRPr="0055116C">
        <w:rPr>
          <w:lang w:val="ru-RU"/>
        </w:rPr>
        <w:t>журнала, 48</w:t>
      </w:r>
      <w:r>
        <w:t> </w:t>
      </w:r>
      <w:r w:rsidRPr="0055116C">
        <w:rPr>
          <w:lang w:val="ru-RU"/>
        </w:rPr>
        <w:t>988 электронных книг и 169 справочных работ и баз данных.  В 2014–2015</w:t>
      </w:r>
      <w:r>
        <w:t> </w:t>
      </w:r>
      <w:r w:rsidRPr="0055116C">
        <w:rPr>
          <w:lang w:val="ru-RU"/>
        </w:rPr>
        <w:t xml:space="preserve">гг. число активных пользователей </w:t>
      </w:r>
      <w:r>
        <w:t>ARDI</w:t>
      </w:r>
      <w:r w:rsidRPr="0055116C">
        <w:rPr>
          <w:lang w:val="ru-RU"/>
        </w:rPr>
        <w:t xml:space="preserve"> утроилось, достигнув 623, тогда как в 2012–2013</w:t>
      </w:r>
      <w:r>
        <w:t> </w:t>
      </w:r>
      <w:r w:rsidRPr="0055116C">
        <w:rPr>
          <w:lang w:val="ru-RU"/>
        </w:rPr>
        <w:t>гг. их было 207. В 2014–2015</w:t>
      </w:r>
      <w:r>
        <w:t> </w:t>
      </w:r>
      <w:r w:rsidRPr="0055116C">
        <w:rPr>
          <w:lang w:val="ru-RU"/>
        </w:rPr>
        <w:t>гг. число активных зарегистрированных пользователей Программы обеспечения доступа к специализированной патентной информации (</w:t>
      </w:r>
      <w:r>
        <w:t>ASPI</w:t>
      </w:r>
      <w:r w:rsidRPr="0055116C">
        <w:rPr>
          <w:lang w:val="ru-RU"/>
        </w:rPr>
        <w:t>), которая дает доступ к коммерческим патентным базам данных, увеличилось более чем в два раза: число организаций, являющихся активными пользователями, достигло 42, что на 110% больше, чем в 2013</w:t>
      </w:r>
      <w:r>
        <w:t> </w:t>
      </w:r>
      <w:r w:rsidRPr="0055116C">
        <w:rPr>
          <w:lang w:val="ru-RU"/>
        </w:rPr>
        <w:t>г.</w:t>
      </w:r>
    </w:p>
    <w:p w:rsidR="0055116C" w:rsidRPr="0055116C" w:rsidRDefault="0055116C" w:rsidP="0055116C">
      <w:pPr>
        <w:tabs>
          <w:tab w:val="left" w:pos="0"/>
          <w:tab w:val="left" w:pos="709"/>
        </w:tabs>
        <w:jc w:val="both"/>
        <w:rPr>
          <w:rFonts w:cs="Arial"/>
          <w:bCs/>
          <w:lang w:val="ru-RU"/>
        </w:rPr>
      </w:pPr>
    </w:p>
    <w:p w:rsidR="0055116C" w:rsidRPr="0055116C" w:rsidRDefault="0055116C" w:rsidP="0055116C">
      <w:pPr>
        <w:pStyle w:val="ListParagraph"/>
        <w:numPr>
          <w:ilvl w:val="0"/>
          <w:numId w:val="82"/>
        </w:numPr>
        <w:tabs>
          <w:tab w:val="left" w:pos="0"/>
          <w:tab w:val="left" w:pos="709"/>
        </w:tabs>
        <w:ind w:left="0" w:firstLine="0"/>
        <w:jc w:val="both"/>
        <w:rPr>
          <w:rFonts w:cs="Arial"/>
          <w:bCs/>
          <w:lang w:val="ru-RU"/>
        </w:rPr>
      </w:pPr>
      <w:r w:rsidRPr="0055116C">
        <w:rPr>
          <w:lang w:val="ru-RU"/>
        </w:rPr>
        <w:t>В 2014–2015</w:t>
      </w:r>
      <w:r>
        <w:t> </w:t>
      </w:r>
      <w:r w:rsidRPr="0055116C">
        <w:rPr>
          <w:lang w:val="ru-RU"/>
        </w:rPr>
        <w:t>гг. ВОИС опубликовала следующие четыре Отчета о патентном ландшафте (ОПЛ):  (</w:t>
      </w:r>
      <w:r>
        <w:t>i</w:t>
      </w:r>
      <w:r w:rsidRPr="0055116C">
        <w:rPr>
          <w:lang w:val="ru-RU"/>
        </w:rPr>
        <w:t>)</w:t>
      </w:r>
      <w:r>
        <w:t> </w:t>
      </w:r>
      <w:r w:rsidRPr="0055116C">
        <w:rPr>
          <w:lang w:val="ru-RU"/>
        </w:rPr>
        <w:t>«Генетические ресурсы животных», первый масштабный качественный анализ основанной на патентах информации по генетическим ресурсам животных, который был подготовлен на основе сотрудничества с Продовольственной и сельскохозяйственной организацией (ФАО) и при активном участии программы 4;  (</w:t>
      </w:r>
      <w:r>
        <w:t>ii</w:t>
      </w:r>
      <w:r w:rsidRPr="0055116C">
        <w:rPr>
          <w:lang w:val="ru-RU"/>
        </w:rPr>
        <w:t>)</w:t>
      </w:r>
      <w:r>
        <w:t> </w:t>
      </w:r>
      <w:r w:rsidRPr="0055116C">
        <w:rPr>
          <w:lang w:val="ru-RU"/>
        </w:rPr>
        <w:t>отчет «Ассистивные устройства для лиц с нарушениями зрения и слуха», подготовленный на основе сотрудничества со Всемирной организацией здравоохранения (ВОЗ), который также включал в себя первую публикацию ВОИС в формате повышенной доступности;  (</w:t>
      </w:r>
      <w:r>
        <w:t>iii</w:t>
      </w:r>
      <w:r w:rsidRPr="0055116C">
        <w:rPr>
          <w:lang w:val="ru-RU"/>
        </w:rPr>
        <w:t>)</w:t>
      </w:r>
      <w:r>
        <w:t> </w:t>
      </w:r>
      <w:r w:rsidRPr="0055116C">
        <w:rPr>
          <w:lang w:val="ru-RU"/>
        </w:rPr>
        <w:t>отчет по технологиям, связанным с пальмовым маслом, который был подготовлен на основе сотрудничества с Корпорацией интеллектуальной собственности Малайзии (</w:t>
      </w:r>
      <w:r>
        <w:t>MyIPO</w:t>
      </w:r>
      <w:r w:rsidRPr="0055116C">
        <w:rPr>
          <w:lang w:val="ru-RU"/>
        </w:rPr>
        <w:t>) и Советом Малайзии по пальмовому маслу (</w:t>
      </w:r>
      <w:r>
        <w:t>MPOB</w:t>
      </w:r>
      <w:r w:rsidRPr="0055116C">
        <w:rPr>
          <w:lang w:val="ru-RU"/>
        </w:rPr>
        <w:t>); и (</w:t>
      </w:r>
      <w:r>
        <w:t>iv</w:t>
      </w:r>
      <w:r w:rsidRPr="0055116C">
        <w:rPr>
          <w:lang w:val="ru-RU"/>
        </w:rPr>
        <w:t>)</w:t>
      </w:r>
      <w:r>
        <w:t> </w:t>
      </w:r>
      <w:r w:rsidRPr="0055116C">
        <w:rPr>
          <w:lang w:val="ru-RU"/>
        </w:rPr>
        <w:t xml:space="preserve">обновленное издание ОПЛ по отдельным забытым болезням.   </w:t>
      </w:r>
    </w:p>
    <w:p w:rsidR="0055116C" w:rsidRPr="0055116C" w:rsidRDefault="0055116C" w:rsidP="0055116C">
      <w:pPr>
        <w:tabs>
          <w:tab w:val="left" w:pos="0"/>
          <w:tab w:val="left" w:pos="709"/>
        </w:tabs>
        <w:jc w:val="both"/>
        <w:rPr>
          <w:rFonts w:cs="Arial"/>
          <w:bCs/>
          <w:lang w:val="ru-RU"/>
        </w:rPr>
      </w:pPr>
    </w:p>
    <w:p w:rsidR="0055116C" w:rsidRPr="0055116C" w:rsidRDefault="0055116C" w:rsidP="0055116C">
      <w:pPr>
        <w:pStyle w:val="ListParagraph"/>
        <w:numPr>
          <w:ilvl w:val="0"/>
          <w:numId w:val="82"/>
        </w:numPr>
        <w:tabs>
          <w:tab w:val="left" w:pos="0"/>
          <w:tab w:val="left" w:pos="709"/>
        </w:tabs>
        <w:ind w:left="0" w:firstLine="0"/>
        <w:jc w:val="both"/>
        <w:rPr>
          <w:rFonts w:cs="Arial"/>
          <w:bCs/>
          <w:lang w:val="ru-RU"/>
        </w:rPr>
      </w:pPr>
      <w:r w:rsidRPr="0055116C">
        <w:rPr>
          <w:lang w:val="ru-RU"/>
        </w:rPr>
        <w:t>В двухлетний период сохранялся значительный интерес к ОПЛ, особенно в области водных технологий и технологий рециркуляции электронных отходов, о чем свидетельствуют 23</w:t>
      </w:r>
      <w:r>
        <w:t> </w:t>
      </w:r>
      <w:r w:rsidRPr="0055116C">
        <w:rPr>
          <w:lang w:val="ru-RU"/>
        </w:rPr>
        <w:t>634</w:t>
      </w:r>
      <w:r>
        <w:t> </w:t>
      </w:r>
      <w:r w:rsidRPr="0055116C">
        <w:rPr>
          <w:lang w:val="ru-RU"/>
        </w:rPr>
        <w:t>уникальных посещения сайта ОПЛ, 97</w:t>
      </w:r>
      <w:r>
        <w:t> </w:t>
      </w:r>
      <w:r w:rsidRPr="0055116C">
        <w:rPr>
          <w:lang w:val="ru-RU"/>
        </w:rPr>
        <w:t xml:space="preserve">172 загрузки </w:t>
      </w:r>
      <w:r>
        <w:t>PDF</w:t>
      </w:r>
      <w:r w:rsidRPr="0055116C">
        <w:rPr>
          <w:lang w:val="ru-RU"/>
        </w:rPr>
        <w:t>-версий отчетов и 8</w:t>
      </w:r>
      <w:r>
        <w:t> </w:t>
      </w:r>
      <w:r w:rsidRPr="0055116C">
        <w:rPr>
          <w:lang w:val="ru-RU"/>
        </w:rPr>
        <w:t>189 загрузок инфографических материалов.  Сайт ОПЛ был переведен на французский и испанский языки, и на нем было размещено 57 новых ОПЛ, подготовленных различными организациями частного и государственного сектора, включая публикации на восьми языках помимо английского.  Кроме того, в августе 2015</w:t>
      </w:r>
      <w:r>
        <w:t> </w:t>
      </w:r>
      <w:r w:rsidRPr="0055116C">
        <w:rPr>
          <w:lang w:val="ru-RU"/>
        </w:rPr>
        <w:t>г. было опубликовано Руководство по подготовке ОПЛ, которое было разработано с привлечением внешнего эксперта в 2013</w:t>
      </w:r>
      <w:r>
        <w:t> </w:t>
      </w:r>
      <w:r w:rsidRPr="0055116C">
        <w:rPr>
          <w:lang w:val="ru-RU"/>
        </w:rPr>
        <w:t>г. и работа над которым была завершена в августе 2015</w:t>
      </w:r>
      <w:r>
        <w:t> </w:t>
      </w:r>
      <w:r w:rsidRPr="0055116C">
        <w:rPr>
          <w:lang w:val="ru-RU"/>
        </w:rPr>
        <w:t>г.  Была также начата разработка руководства по различным бесплатным и основанным на открытом коде инструментам, чтобы сделать патентные данные и их анализ более доступными для людей, не разбирающихся в технике.  Поскольку обычно для работы с инструментами на основе открытого исходного кода требуются навыки программирования, данное руководство было написано языке, понятном пользователям, которые не являются программистами; в него были также включены подробные поэтапные инструкции.  Более подробные, нередактированные версии глав руководства были размещены на опенсорсной платформе</w:t>
      </w:r>
      <w:r>
        <w:rPr>
          <w:rStyle w:val="FootnoteReference"/>
        </w:rPr>
        <w:footnoteReference w:id="90"/>
      </w:r>
      <w:r w:rsidRPr="0055116C">
        <w:rPr>
          <w:lang w:val="ru-RU"/>
        </w:rPr>
        <w:t>, а окончательная версия, когда она будет готова, будет размещена на странице отчетов о патентном ландшафте.</w:t>
      </w:r>
    </w:p>
    <w:p w:rsidR="0055116C" w:rsidRPr="0055116C" w:rsidRDefault="0055116C" w:rsidP="0055116C">
      <w:pPr>
        <w:tabs>
          <w:tab w:val="left" w:pos="0"/>
          <w:tab w:val="left" w:pos="709"/>
        </w:tabs>
        <w:jc w:val="both"/>
        <w:rPr>
          <w:rFonts w:cs="Arial"/>
          <w:bCs/>
          <w:lang w:val="ru-RU"/>
        </w:rPr>
      </w:pPr>
    </w:p>
    <w:p w:rsidR="0055116C" w:rsidRPr="0055116C" w:rsidRDefault="0055116C" w:rsidP="0055116C">
      <w:pPr>
        <w:pStyle w:val="ListParagraph"/>
        <w:numPr>
          <w:ilvl w:val="0"/>
          <w:numId w:val="82"/>
        </w:numPr>
        <w:tabs>
          <w:tab w:val="left" w:pos="0"/>
          <w:tab w:val="left" w:pos="709"/>
        </w:tabs>
        <w:ind w:left="0" w:firstLine="0"/>
        <w:jc w:val="both"/>
        <w:rPr>
          <w:rFonts w:cs="Arial"/>
          <w:lang w:val="ru-RU"/>
        </w:rPr>
      </w:pPr>
      <w:r w:rsidRPr="0055116C">
        <w:rPr>
          <w:lang w:val="ru-RU"/>
        </w:rPr>
        <w:t>Разработка, планирование и осуществление деятельности в рамках программы</w:t>
      </w:r>
      <w:r>
        <w:t> </w:t>
      </w:r>
      <w:r w:rsidRPr="0055116C">
        <w:rPr>
          <w:lang w:val="ru-RU"/>
        </w:rPr>
        <w:t>14 производились с учетом и на основе рекомендаций ПДР, в частности рекомендаций 1, 8, 19, 30 и</w:t>
      </w:r>
      <w:r>
        <w:t> </w:t>
      </w:r>
      <w:r w:rsidRPr="0055116C">
        <w:rPr>
          <w:lang w:val="ru-RU"/>
        </w:rPr>
        <w:t>31.</w:t>
      </w:r>
    </w:p>
    <w:p w:rsidR="0055116C" w:rsidRPr="0055116C" w:rsidRDefault="0055116C" w:rsidP="0055116C">
      <w:pPr>
        <w:tabs>
          <w:tab w:val="left" w:pos="0"/>
          <w:tab w:val="left" w:pos="709"/>
        </w:tabs>
        <w:jc w:val="both"/>
        <w:rPr>
          <w:rFonts w:cs="Arial"/>
          <w:bCs/>
          <w:lang w:val="ru-RU"/>
        </w:rPr>
      </w:pPr>
    </w:p>
    <w:p w:rsidR="0055116C" w:rsidRPr="0055116C" w:rsidRDefault="0055116C" w:rsidP="0055116C">
      <w:pPr>
        <w:tabs>
          <w:tab w:val="left" w:pos="709"/>
        </w:tabs>
        <w:rPr>
          <w:rFonts w:cs="Arial"/>
          <w:szCs w:val="22"/>
          <w:lang w:val="ru-RU"/>
        </w:rPr>
      </w:pPr>
    </w:p>
    <w:p w:rsidR="0055116C" w:rsidRPr="00654FA4" w:rsidRDefault="0055116C" w:rsidP="0055116C">
      <w:pPr>
        <w:ind w:left="2268" w:hanging="2268"/>
        <w:rPr>
          <w:rFonts w:cs="Arial"/>
          <w:szCs w:val="20"/>
        </w:rPr>
      </w:pPr>
      <w:r>
        <w:t>ДАННЫЕ О РЕЗУЛЬТАТИВНОСТИ</w:t>
      </w:r>
    </w:p>
    <w:p w:rsidR="0055116C" w:rsidRDefault="0055116C" w:rsidP="0055116C">
      <w:pPr>
        <w:jc w:val="both"/>
        <w:rPr>
          <w:rFonts w:cs="Arial"/>
          <w:szCs w:val="20"/>
        </w:rPr>
      </w:pPr>
    </w:p>
    <w:tbl>
      <w:tblPr>
        <w:tblW w:w="5000"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47"/>
        <w:gridCol w:w="2554"/>
        <w:gridCol w:w="1774"/>
        <w:gridCol w:w="2316"/>
        <w:gridCol w:w="980"/>
      </w:tblGrid>
      <w:tr w:rsidR="0055116C" w:rsidRPr="005C6ABD" w:rsidTr="0055116C">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55116C" w:rsidRPr="0055116C" w:rsidRDefault="0055116C" w:rsidP="00AD2B92">
            <w:pPr>
              <w:keepNext/>
              <w:keepLines/>
              <w:spacing w:before="120" w:after="120"/>
              <w:ind w:left="2302" w:hanging="2302"/>
              <w:rPr>
                <w:rFonts w:cs="Arial"/>
                <w:b/>
                <w:bCs/>
                <w:sz w:val="16"/>
                <w:szCs w:val="16"/>
                <w:lang w:val="ru-RU"/>
              </w:rPr>
            </w:pPr>
            <w:r w:rsidRPr="0055116C">
              <w:rPr>
                <w:b/>
                <w:sz w:val="16"/>
                <w:lang w:val="ru-RU"/>
              </w:rPr>
              <w:t xml:space="preserve">Ожидаемый результат: </w:t>
            </w:r>
            <w:r w:rsidRPr="0055116C">
              <w:rPr>
                <w:lang w:val="ru-RU"/>
              </w:rPr>
              <w:tab/>
            </w:r>
            <w:r>
              <w:rPr>
                <w:sz w:val="16"/>
              </w:rPr>
              <w:t>IV</w:t>
            </w:r>
            <w:r w:rsidRPr="0055116C">
              <w:rPr>
                <w:sz w:val="16"/>
                <w:lang w:val="ru-RU"/>
              </w:rPr>
              <w:t>.2</w:t>
            </w:r>
            <w:r>
              <w:t> </w:t>
            </w:r>
            <w:r w:rsidRPr="0055116C">
              <w:rPr>
                <w:sz w:val="16"/>
                <w:lang w:val="ru-RU"/>
              </w:rPr>
              <w:t>Расширенный доступ учреждений ИС и широкой</w:t>
            </w:r>
            <w:r w:rsidR="00AD2B92">
              <w:rPr>
                <w:sz w:val="16"/>
                <w:lang w:val="ru-RU"/>
              </w:rPr>
              <w:t xml:space="preserve"> общественности к информации в </w:t>
            </w:r>
            <w:r w:rsidRPr="0055116C">
              <w:rPr>
                <w:sz w:val="16"/>
                <w:lang w:val="ru-RU"/>
              </w:rPr>
              <w:t>области ИС и активное использование такой информации</w:t>
            </w:r>
            <w:r w:rsidR="00AD2B92">
              <w:rPr>
                <w:sz w:val="16"/>
                <w:lang w:val="ru-RU"/>
              </w:rPr>
              <w:t xml:space="preserve"> в целях поощрения инноваций и </w:t>
            </w:r>
            <w:r w:rsidRPr="0055116C">
              <w:rPr>
                <w:sz w:val="16"/>
                <w:lang w:val="ru-RU"/>
              </w:rPr>
              <w:t>творчества</w:t>
            </w:r>
          </w:p>
        </w:tc>
      </w:tr>
      <w:tr w:rsidR="0055116C" w:rsidRPr="0068151C" w:rsidTr="0055116C">
        <w:trPr>
          <w:cantSplit/>
        </w:trPr>
        <w:tc>
          <w:tcPr>
            <w:tcW w:w="1017" w:type="pct"/>
            <w:tcBorders>
              <w:top w:val="single" w:sz="4" w:space="0" w:color="auto"/>
            </w:tcBorders>
            <w:shd w:val="clear" w:color="auto" w:fill="auto"/>
            <w:vAlign w:val="center"/>
          </w:tcPr>
          <w:p w:rsidR="0055116C" w:rsidRPr="0068151C" w:rsidRDefault="0055116C" w:rsidP="0055116C">
            <w:pPr>
              <w:rPr>
                <w:rFonts w:cs="Arial"/>
                <w:sz w:val="16"/>
                <w:szCs w:val="16"/>
              </w:rPr>
            </w:pPr>
            <w:r>
              <w:rPr>
                <w:b/>
                <w:sz w:val="16"/>
              </w:rPr>
              <w:t>Показатели результативности</w:t>
            </w:r>
          </w:p>
        </w:tc>
        <w:tc>
          <w:tcPr>
            <w:tcW w:w="1334" w:type="pct"/>
            <w:tcBorders>
              <w:top w:val="single" w:sz="4" w:space="0" w:color="auto"/>
            </w:tcBorders>
            <w:shd w:val="clear" w:color="auto" w:fill="auto"/>
            <w:vAlign w:val="center"/>
          </w:tcPr>
          <w:p w:rsidR="0055116C" w:rsidRPr="0068151C" w:rsidRDefault="0055116C" w:rsidP="0055116C">
            <w:pPr>
              <w:rPr>
                <w:rFonts w:cs="Arial"/>
                <w:b/>
                <w:bCs/>
                <w:sz w:val="16"/>
                <w:szCs w:val="16"/>
              </w:rPr>
            </w:pPr>
            <w:r>
              <w:rPr>
                <w:b/>
                <w:sz w:val="16"/>
              </w:rPr>
              <w:t>Базовые показатели</w:t>
            </w:r>
          </w:p>
        </w:tc>
        <w:tc>
          <w:tcPr>
            <w:tcW w:w="927" w:type="pct"/>
            <w:tcBorders>
              <w:top w:val="single" w:sz="4" w:space="0" w:color="auto"/>
            </w:tcBorders>
            <w:shd w:val="clear" w:color="auto" w:fill="auto"/>
            <w:tcMar>
              <w:top w:w="110" w:type="dxa"/>
            </w:tcMar>
            <w:vAlign w:val="center"/>
          </w:tcPr>
          <w:p w:rsidR="0055116C" w:rsidRPr="0068151C" w:rsidRDefault="0055116C" w:rsidP="0055116C">
            <w:pPr>
              <w:rPr>
                <w:rFonts w:cs="Arial"/>
                <w:b/>
                <w:sz w:val="16"/>
                <w:szCs w:val="16"/>
              </w:rPr>
            </w:pPr>
            <w:r>
              <w:rPr>
                <w:b/>
                <w:sz w:val="16"/>
              </w:rPr>
              <w:t>Цели</w:t>
            </w:r>
          </w:p>
        </w:tc>
        <w:tc>
          <w:tcPr>
            <w:tcW w:w="1210" w:type="pct"/>
            <w:tcBorders>
              <w:top w:val="single" w:sz="4" w:space="0" w:color="auto"/>
            </w:tcBorders>
            <w:shd w:val="clear" w:color="auto" w:fill="FFFFFF"/>
            <w:tcMar>
              <w:top w:w="110" w:type="dxa"/>
            </w:tcMar>
            <w:vAlign w:val="center"/>
          </w:tcPr>
          <w:p w:rsidR="0055116C" w:rsidRPr="0068151C" w:rsidRDefault="0055116C" w:rsidP="0055116C">
            <w:pPr>
              <w:rPr>
                <w:rFonts w:cs="Arial"/>
                <w:sz w:val="16"/>
                <w:szCs w:val="16"/>
              </w:rPr>
            </w:pPr>
            <w:r>
              <w:rPr>
                <w:b/>
                <w:sz w:val="16"/>
              </w:rPr>
              <w:t>Данные о результативности</w:t>
            </w:r>
          </w:p>
        </w:tc>
        <w:tc>
          <w:tcPr>
            <w:tcW w:w="512" w:type="pct"/>
            <w:tcBorders>
              <w:top w:val="single" w:sz="4" w:space="0" w:color="auto"/>
            </w:tcBorders>
            <w:shd w:val="clear" w:color="auto" w:fill="auto"/>
            <w:tcMar>
              <w:top w:w="110" w:type="dxa"/>
            </w:tcMar>
            <w:vAlign w:val="center"/>
          </w:tcPr>
          <w:p w:rsidR="0055116C" w:rsidRPr="0068151C" w:rsidRDefault="0055116C" w:rsidP="0055116C">
            <w:pPr>
              <w:keepNext/>
              <w:keepLines/>
              <w:jc w:val="center"/>
              <w:rPr>
                <w:rFonts w:cs="Arial"/>
                <w:b/>
                <w:bCs/>
                <w:sz w:val="16"/>
                <w:szCs w:val="16"/>
              </w:rPr>
            </w:pPr>
            <w:r>
              <w:rPr>
                <w:b/>
                <w:sz w:val="16"/>
              </w:rPr>
              <w:t>CC</w:t>
            </w:r>
          </w:p>
        </w:tc>
      </w:tr>
      <w:tr w:rsidR="0055116C" w:rsidRPr="0068151C" w:rsidTr="0055116C">
        <w:trPr>
          <w:cantSplit/>
        </w:trPr>
        <w:tc>
          <w:tcPr>
            <w:tcW w:w="1017" w:type="pct"/>
            <w:shd w:val="clear" w:color="auto" w:fill="auto"/>
          </w:tcPr>
          <w:p w:rsidR="0055116C" w:rsidRPr="0055116C" w:rsidRDefault="0055116C" w:rsidP="0055116C">
            <w:pPr>
              <w:rPr>
                <w:rFonts w:cs="Arial"/>
                <w:sz w:val="16"/>
                <w:szCs w:val="16"/>
                <w:lang w:val="ru-RU"/>
              </w:rPr>
            </w:pPr>
            <w:r w:rsidRPr="0055116C">
              <w:rPr>
                <w:sz w:val="16"/>
                <w:lang w:val="ru-RU"/>
              </w:rPr>
              <w:t>Число стабильно функционирующих национальных сетей ЦПТИ</w:t>
            </w:r>
          </w:p>
        </w:tc>
        <w:tc>
          <w:tcPr>
            <w:tcW w:w="1334" w:type="pct"/>
            <w:shd w:val="clear" w:color="auto" w:fill="auto"/>
          </w:tcPr>
          <w:p w:rsidR="0055116C" w:rsidRPr="0055116C" w:rsidRDefault="0055116C" w:rsidP="0055116C">
            <w:pPr>
              <w:rPr>
                <w:rFonts w:cs="Arial"/>
                <w:color w:val="002060"/>
                <w:sz w:val="16"/>
                <w:szCs w:val="16"/>
                <w:lang w:val="ru-RU"/>
              </w:rPr>
            </w:pPr>
            <w:r w:rsidRPr="0055116C">
              <w:rPr>
                <w:i/>
                <w:color w:val="002060"/>
                <w:sz w:val="16"/>
                <w:lang w:val="ru-RU"/>
              </w:rPr>
              <w:t>Обновленные базовые показатели, конец 2013</w:t>
            </w:r>
            <w:r>
              <w:rPr>
                <w:i/>
                <w:color w:val="002060"/>
                <w:sz w:val="16"/>
              </w:rPr>
              <w:t> </w:t>
            </w:r>
            <w:r w:rsidRPr="0055116C">
              <w:rPr>
                <w:i/>
                <w:color w:val="002060"/>
                <w:sz w:val="16"/>
                <w:lang w:val="ru-RU"/>
              </w:rPr>
              <w:t>г.:</w:t>
            </w:r>
            <w:r w:rsidRPr="0055116C">
              <w:rPr>
                <w:lang w:val="ru-RU"/>
              </w:rPr>
              <w:t xml:space="preserve"> </w:t>
            </w:r>
            <w:r w:rsidRPr="0055116C">
              <w:rPr>
                <w:color w:val="002060"/>
                <w:sz w:val="16"/>
                <w:lang w:val="ru-RU"/>
              </w:rPr>
              <w:t>15</w:t>
            </w:r>
            <w:r>
              <w:rPr>
                <w:color w:val="002060"/>
                <w:sz w:val="16"/>
              </w:rPr>
              <w:t> </w:t>
            </w:r>
            <w:r w:rsidRPr="0055116C">
              <w:rPr>
                <w:color w:val="002060"/>
                <w:sz w:val="16"/>
                <w:lang w:val="ru-RU"/>
              </w:rPr>
              <w:t>устойчивых (из 39 созданных) сетей ЦПТИ</w:t>
            </w:r>
            <w:r w:rsidRPr="0055116C">
              <w:rPr>
                <w:rFonts w:cs="Arial"/>
                <w:color w:val="002060"/>
                <w:sz w:val="16"/>
                <w:szCs w:val="16"/>
                <w:lang w:val="ru-RU"/>
              </w:rPr>
              <w:br/>
            </w:r>
          </w:p>
          <w:p w:rsidR="0055116C" w:rsidRPr="0055116C" w:rsidRDefault="0055116C" w:rsidP="0055116C">
            <w:pPr>
              <w:rPr>
                <w:rFonts w:cs="Arial"/>
                <w:color w:val="002060"/>
                <w:sz w:val="8"/>
                <w:szCs w:val="8"/>
                <w:lang w:val="ru-RU"/>
              </w:rPr>
            </w:pPr>
          </w:p>
          <w:p w:rsidR="0055116C" w:rsidRPr="0055116C" w:rsidRDefault="0055116C" w:rsidP="0055116C">
            <w:pPr>
              <w:rPr>
                <w:rFonts w:cs="Arial"/>
                <w:sz w:val="16"/>
                <w:szCs w:val="16"/>
                <w:lang w:val="ru-RU"/>
              </w:rPr>
            </w:pPr>
            <w:r w:rsidRPr="0055116C">
              <w:rPr>
                <w:i/>
                <w:sz w:val="16"/>
                <w:lang w:val="ru-RU"/>
              </w:rPr>
              <w:t>Исходные базовые показатели ПиБ на 2014–2015</w:t>
            </w:r>
            <w:r>
              <w:rPr>
                <w:i/>
                <w:sz w:val="16"/>
              </w:rPr>
              <w:t> </w:t>
            </w:r>
            <w:r w:rsidRPr="0055116C">
              <w:rPr>
                <w:i/>
                <w:sz w:val="16"/>
                <w:lang w:val="ru-RU"/>
              </w:rPr>
              <w:t xml:space="preserve">гг.: </w:t>
            </w:r>
            <w:r w:rsidRPr="0055116C">
              <w:rPr>
                <w:sz w:val="16"/>
                <w:lang w:val="ru-RU"/>
              </w:rPr>
              <w:t>15 национальных сетей ЦПТИ: (всего на конец первого квартала 2013</w:t>
            </w:r>
            <w:r>
              <w:rPr>
                <w:sz w:val="16"/>
              </w:rPr>
              <w:t> </w:t>
            </w:r>
            <w:r w:rsidRPr="0055116C">
              <w:rPr>
                <w:sz w:val="16"/>
                <w:lang w:val="ru-RU"/>
              </w:rPr>
              <w:t>г.)  Африка (6); Арабский регион (2); Азиатско-Тихоокеанский регион (2); Латинская Америка и Карибский бассейн (4); отдельные страны Европы и Азии (1)</w:t>
            </w:r>
          </w:p>
        </w:tc>
        <w:tc>
          <w:tcPr>
            <w:tcW w:w="927" w:type="pct"/>
            <w:shd w:val="clear" w:color="auto" w:fill="auto"/>
            <w:tcMar>
              <w:top w:w="110" w:type="dxa"/>
            </w:tcMar>
          </w:tcPr>
          <w:p w:rsidR="0055116C" w:rsidRPr="0055116C" w:rsidRDefault="0055116C" w:rsidP="0055116C">
            <w:pPr>
              <w:rPr>
                <w:rFonts w:cs="Arial"/>
                <w:i/>
                <w:sz w:val="16"/>
                <w:szCs w:val="16"/>
                <w:lang w:val="ru-RU"/>
              </w:rPr>
            </w:pPr>
            <w:r w:rsidRPr="0055116C">
              <w:rPr>
                <w:sz w:val="16"/>
                <w:lang w:val="ru-RU"/>
              </w:rPr>
              <w:t>25 национальных сетей ЦПТИ (всего): Африка (10</w:t>
            </w:r>
            <w:r>
              <w:rPr>
                <w:sz w:val="16"/>
              </w:rPr>
              <w:t> </w:t>
            </w:r>
            <w:r w:rsidRPr="0055116C">
              <w:rPr>
                <w:sz w:val="16"/>
                <w:lang w:val="ru-RU"/>
              </w:rPr>
              <w:t>стран, из которых 8 являются НРС); Арабский регион (3); Азиатско-Тихоокеанский регион (4, из которых 2 являются НРС); Латинская Америка и бассейн Карибского моря (6); отдельные страны Европы и Азии (2)</w:t>
            </w:r>
          </w:p>
        </w:tc>
        <w:tc>
          <w:tcPr>
            <w:tcW w:w="1210" w:type="pct"/>
            <w:shd w:val="clear" w:color="auto" w:fill="FFFFFF"/>
            <w:tcMar>
              <w:top w:w="110" w:type="dxa"/>
            </w:tcMar>
          </w:tcPr>
          <w:p w:rsidR="0055116C" w:rsidRPr="0055116C" w:rsidRDefault="0055116C" w:rsidP="0055116C">
            <w:pPr>
              <w:rPr>
                <w:rFonts w:cs="Arial"/>
                <w:sz w:val="16"/>
                <w:szCs w:val="16"/>
                <w:lang w:val="ru-RU"/>
              </w:rPr>
            </w:pPr>
            <w:r w:rsidRPr="0055116C">
              <w:rPr>
                <w:sz w:val="16"/>
                <w:lang w:val="ru-RU"/>
              </w:rPr>
              <w:t>25 устойчивых национальных сетей из 50</w:t>
            </w:r>
            <w:r>
              <w:rPr>
                <w:sz w:val="16"/>
              </w:rPr>
              <w:t> </w:t>
            </w:r>
            <w:r w:rsidRPr="0055116C">
              <w:rPr>
                <w:sz w:val="16"/>
                <w:lang w:val="ru-RU"/>
              </w:rPr>
              <w:t>официально созданных (всего): Африка (10 стран, из которых 8 являются НРС); арабские страны (3); Азиатско-Тихоокеанский регион (4 страны, из которых 1 является НРС); Латинская Америка и страны Карибского бассейна (7); отдельные страны Европы и Азии (1)</w:t>
            </w:r>
          </w:p>
        </w:tc>
        <w:tc>
          <w:tcPr>
            <w:tcW w:w="512" w:type="pct"/>
            <w:shd w:val="clear" w:color="auto" w:fill="auto"/>
            <w:tcMar>
              <w:top w:w="110" w:type="dxa"/>
            </w:tcMar>
          </w:tcPr>
          <w:p w:rsidR="0055116C" w:rsidRPr="00845557" w:rsidRDefault="0055116C" w:rsidP="0055116C">
            <w:pPr>
              <w:keepNext/>
              <w:keepLines/>
              <w:jc w:val="center"/>
              <w:rPr>
                <w:rFonts w:cs="Arial"/>
                <w:b/>
                <w:bCs/>
                <w:color w:val="00B050"/>
                <w:sz w:val="16"/>
                <w:szCs w:val="16"/>
              </w:rPr>
            </w:pPr>
            <w:r>
              <w:rPr>
                <w:b/>
                <w:color w:val="00B050"/>
                <w:sz w:val="16"/>
              </w:rPr>
              <w:t>Выполнено</w:t>
            </w:r>
          </w:p>
        </w:tc>
      </w:tr>
      <w:tr w:rsidR="0055116C" w:rsidRPr="0068151C" w:rsidTr="0055116C">
        <w:trPr>
          <w:cantSplit/>
        </w:trPr>
        <w:tc>
          <w:tcPr>
            <w:tcW w:w="1017" w:type="pct"/>
            <w:shd w:val="clear" w:color="auto" w:fill="auto"/>
          </w:tcPr>
          <w:p w:rsidR="0055116C" w:rsidRPr="0055116C" w:rsidRDefault="0055116C" w:rsidP="0055116C">
            <w:pPr>
              <w:rPr>
                <w:rFonts w:cs="Arial"/>
                <w:sz w:val="16"/>
                <w:szCs w:val="16"/>
                <w:lang w:val="ru-RU"/>
              </w:rPr>
            </w:pPr>
            <w:r w:rsidRPr="0055116C">
              <w:rPr>
                <w:sz w:val="16"/>
                <w:lang w:val="ru-RU"/>
              </w:rPr>
              <w:t>Среднее число пользователей, воспользовавшихся услугами ЦПТИ, в разбивке по кварталам и странам</w:t>
            </w:r>
          </w:p>
        </w:tc>
        <w:tc>
          <w:tcPr>
            <w:tcW w:w="1334" w:type="pct"/>
            <w:shd w:val="clear" w:color="auto" w:fill="auto"/>
          </w:tcPr>
          <w:p w:rsidR="0055116C" w:rsidRPr="0055116C" w:rsidRDefault="0055116C" w:rsidP="0055116C">
            <w:pPr>
              <w:rPr>
                <w:rFonts w:cs="Arial"/>
                <w:color w:val="002060"/>
                <w:sz w:val="16"/>
                <w:szCs w:val="16"/>
                <w:lang w:val="ru-RU"/>
              </w:rPr>
            </w:pPr>
            <w:r w:rsidRPr="0055116C">
              <w:rPr>
                <w:i/>
                <w:color w:val="002060"/>
                <w:sz w:val="16"/>
                <w:lang w:val="ru-RU"/>
              </w:rPr>
              <w:t>Обновленные базовые показатели, конец 2013</w:t>
            </w:r>
            <w:r>
              <w:rPr>
                <w:i/>
                <w:color w:val="002060"/>
                <w:sz w:val="16"/>
              </w:rPr>
              <w:t> </w:t>
            </w:r>
            <w:r w:rsidRPr="0055116C">
              <w:rPr>
                <w:i/>
                <w:color w:val="002060"/>
                <w:sz w:val="16"/>
                <w:lang w:val="ru-RU"/>
              </w:rPr>
              <w:t>г.:</w:t>
            </w:r>
            <w:r w:rsidRPr="0055116C">
              <w:rPr>
                <w:lang w:val="ru-RU"/>
              </w:rPr>
              <w:t xml:space="preserve"> </w:t>
            </w:r>
            <w:r w:rsidRPr="0055116C">
              <w:rPr>
                <w:color w:val="002060"/>
                <w:sz w:val="16"/>
                <w:lang w:val="ru-RU"/>
              </w:rPr>
              <w:t>среднее число пользователей, обслуживаемых центрами в день в 2013</w:t>
            </w:r>
            <w:r>
              <w:rPr>
                <w:color w:val="002060"/>
                <w:sz w:val="16"/>
              </w:rPr>
              <w:t> </w:t>
            </w:r>
            <w:r w:rsidRPr="0055116C">
              <w:rPr>
                <w:color w:val="002060"/>
                <w:sz w:val="16"/>
                <w:lang w:val="ru-RU"/>
              </w:rPr>
              <w:t>г.: 532 (мин.) – 1370 (макс.).</w:t>
            </w:r>
            <w:r w:rsidRPr="0055116C">
              <w:rPr>
                <w:rFonts w:cs="Arial"/>
                <w:color w:val="002060"/>
                <w:sz w:val="16"/>
                <w:szCs w:val="16"/>
                <w:lang w:val="ru-RU"/>
              </w:rPr>
              <w:br/>
            </w:r>
          </w:p>
          <w:p w:rsidR="0055116C" w:rsidRPr="0055116C" w:rsidRDefault="0055116C" w:rsidP="0055116C">
            <w:pPr>
              <w:rPr>
                <w:rFonts w:cs="Arial"/>
                <w:sz w:val="16"/>
                <w:szCs w:val="16"/>
                <w:lang w:val="ru-RU"/>
              </w:rPr>
            </w:pPr>
            <w:r w:rsidRPr="0055116C">
              <w:rPr>
                <w:i/>
                <w:sz w:val="16"/>
                <w:lang w:val="ru-RU"/>
              </w:rPr>
              <w:t>Исходные базовые показатели ПиБ на 2014–2015</w:t>
            </w:r>
            <w:r>
              <w:rPr>
                <w:i/>
                <w:sz w:val="16"/>
              </w:rPr>
              <w:t> </w:t>
            </w:r>
            <w:r w:rsidRPr="0055116C">
              <w:rPr>
                <w:i/>
                <w:sz w:val="16"/>
                <w:lang w:val="ru-RU"/>
              </w:rPr>
              <w:t xml:space="preserve">гг.: </w:t>
            </w:r>
            <w:r w:rsidRPr="0055116C">
              <w:rPr>
                <w:sz w:val="16"/>
                <w:lang w:val="ru-RU"/>
              </w:rPr>
              <w:t>200 (мин.) – 630 (макс.)</w:t>
            </w:r>
          </w:p>
        </w:tc>
        <w:tc>
          <w:tcPr>
            <w:tcW w:w="927" w:type="pct"/>
            <w:shd w:val="clear" w:color="auto" w:fill="auto"/>
            <w:tcMar>
              <w:top w:w="110" w:type="dxa"/>
            </w:tcMar>
          </w:tcPr>
          <w:p w:rsidR="0055116C" w:rsidRPr="0068151C" w:rsidRDefault="0055116C" w:rsidP="0055116C">
            <w:pPr>
              <w:rPr>
                <w:rFonts w:cs="Arial"/>
                <w:sz w:val="16"/>
                <w:szCs w:val="16"/>
              </w:rPr>
            </w:pPr>
            <w:r>
              <w:rPr>
                <w:sz w:val="16"/>
              </w:rPr>
              <w:t>300 (мин.) – 750 (макс.)</w:t>
            </w:r>
          </w:p>
        </w:tc>
        <w:tc>
          <w:tcPr>
            <w:tcW w:w="1210" w:type="pct"/>
            <w:shd w:val="clear" w:color="auto" w:fill="FFFFFF"/>
            <w:tcMar>
              <w:top w:w="110" w:type="dxa"/>
            </w:tcMar>
          </w:tcPr>
          <w:p w:rsidR="0055116C" w:rsidRPr="0068151C" w:rsidRDefault="0055116C" w:rsidP="0055116C">
            <w:pPr>
              <w:rPr>
                <w:rFonts w:cs="Arial"/>
                <w:sz w:val="16"/>
                <w:szCs w:val="16"/>
              </w:rPr>
            </w:pPr>
            <w:r>
              <w:rPr>
                <w:sz w:val="16"/>
              </w:rPr>
              <w:t>874 (мин.) – 2 631 (макс.)</w:t>
            </w:r>
          </w:p>
        </w:tc>
        <w:tc>
          <w:tcPr>
            <w:tcW w:w="512" w:type="pct"/>
            <w:shd w:val="clear" w:color="auto" w:fill="auto"/>
            <w:tcMar>
              <w:top w:w="110" w:type="dxa"/>
            </w:tcMar>
          </w:tcPr>
          <w:p w:rsidR="0055116C" w:rsidRPr="00BD71FF" w:rsidRDefault="0055116C" w:rsidP="0055116C">
            <w:pPr>
              <w:keepNext/>
              <w:keepLines/>
              <w:jc w:val="center"/>
              <w:rPr>
                <w:rFonts w:cs="Arial"/>
                <w:b/>
                <w:bCs/>
                <w:color w:val="808080"/>
                <w:sz w:val="16"/>
                <w:szCs w:val="16"/>
              </w:rPr>
            </w:pPr>
            <w:r>
              <w:rPr>
                <w:b/>
                <w:color w:val="00B050"/>
                <w:sz w:val="16"/>
              </w:rPr>
              <w:t>Выполнено</w:t>
            </w:r>
          </w:p>
        </w:tc>
      </w:tr>
      <w:tr w:rsidR="0055116C" w:rsidRPr="0068151C" w:rsidTr="0055116C">
        <w:trPr>
          <w:cantSplit/>
        </w:trPr>
        <w:tc>
          <w:tcPr>
            <w:tcW w:w="1017" w:type="pct"/>
            <w:shd w:val="clear" w:color="auto" w:fill="auto"/>
          </w:tcPr>
          <w:p w:rsidR="0055116C" w:rsidRPr="0055116C" w:rsidRDefault="0055116C" w:rsidP="0055116C">
            <w:pPr>
              <w:rPr>
                <w:rFonts w:cs="Arial"/>
                <w:sz w:val="16"/>
                <w:szCs w:val="16"/>
                <w:lang w:val="ru-RU"/>
              </w:rPr>
            </w:pPr>
            <w:r w:rsidRPr="0055116C">
              <w:rPr>
                <w:sz w:val="16"/>
                <w:lang w:val="ru-RU"/>
              </w:rPr>
              <w:t xml:space="preserve">Число зарегистрированных пользователей </w:t>
            </w:r>
            <w:r>
              <w:rPr>
                <w:sz w:val="16"/>
              </w:rPr>
              <w:t>ARDI</w:t>
            </w:r>
            <w:r w:rsidRPr="0055116C">
              <w:rPr>
                <w:sz w:val="16"/>
                <w:lang w:val="ru-RU"/>
              </w:rPr>
              <w:t xml:space="preserve"> и </w:t>
            </w:r>
            <w:r>
              <w:rPr>
                <w:sz w:val="16"/>
              </w:rPr>
              <w:t>ASPI</w:t>
            </w:r>
          </w:p>
        </w:tc>
        <w:tc>
          <w:tcPr>
            <w:tcW w:w="1334" w:type="pct"/>
            <w:shd w:val="clear" w:color="auto" w:fill="auto"/>
          </w:tcPr>
          <w:p w:rsidR="0055116C" w:rsidRPr="0055116C" w:rsidRDefault="0055116C" w:rsidP="0055116C">
            <w:pPr>
              <w:rPr>
                <w:rFonts w:cs="Arial"/>
                <w:color w:val="002060"/>
                <w:sz w:val="16"/>
                <w:szCs w:val="16"/>
                <w:lang w:val="ru-RU"/>
              </w:rPr>
            </w:pPr>
            <w:r w:rsidRPr="0055116C">
              <w:rPr>
                <w:i/>
                <w:color w:val="002060"/>
                <w:sz w:val="16"/>
                <w:lang w:val="ru-RU"/>
              </w:rPr>
              <w:t>Обновленные базовые показатели, конец 2013</w:t>
            </w:r>
            <w:r>
              <w:rPr>
                <w:i/>
                <w:color w:val="002060"/>
                <w:sz w:val="16"/>
              </w:rPr>
              <w:t> </w:t>
            </w:r>
            <w:r w:rsidRPr="0055116C">
              <w:rPr>
                <w:i/>
                <w:color w:val="002060"/>
                <w:sz w:val="16"/>
                <w:lang w:val="ru-RU"/>
              </w:rPr>
              <w:t>г.:</w:t>
            </w:r>
            <w:r w:rsidRPr="0055116C">
              <w:rPr>
                <w:lang w:val="ru-RU"/>
              </w:rPr>
              <w:t xml:space="preserve"> </w:t>
            </w:r>
            <w:r>
              <w:rPr>
                <w:color w:val="002060"/>
                <w:sz w:val="16"/>
              </w:rPr>
              <w:t>ARDI</w:t>
            </w:r>
            <w:r w:rsidRPr="0055116C">
              <w:rPr>
                <w:color w:val="002060"/>
                <w:sz w:val="16"/>
                <w:lang w:val="ru-RU"/>
              </w:rPr>
              <w:t xml:space="preserve"> (207 активных пользователей);</w:t>
            </w:r>
          </w:p>
          <w:p w:rsidR="0055116C" w:rsidRPr="0055116C" w:rsidRDefault="0055116C" w:rsidP="0055116C">
            <w:pPr>
              <w:rPr>
                <w:lang w:val="ru-RU"/>
              </w:rPr>
            </w:pPr>
            <w:r>
              <w:rPr>
                <w:color w:val="002060"/>
                <w:sz w:val="16"/>
              </w:rPr>
              <w:t>ASPI</w:t>
            </w:r>
            <w:r w:rsidRPr="0055116C">
              <w:rPr>
                <w:color w:val="002060"/>
                <w:sz w:val="16"/>
                <w:lang w:val="ru-RU"/>
              </w:rPr>
              <w:t xml:space="preserve"> (20 активных пользователей)</w:t>
            </w:r>
          </w:p>
          <w:p w:rsidR="0055116C" w:rsidRPr="0055116C" w:rsidRDefault="0055116C" w:rsidP="0055116C">
            <w:pPr>
              <w:rPr>
                <w:rFonts w:cs="Arial"/>
                <w:color w:val="002060"/>
                <w:sz w:val="16"/>
                <w:szCs w:val="16"/>
                <w:lang w:val="ru-RU"/>
              </w:rPr>
            </w:pPr>
          </w:p>
          <w:p w:rsidR="0055116C" w:rsidRPr="0055116C" w:rsidRDefault="0055116C" w:rsidP="0055116C">
            <w:pPr>
              <w:rPr>
                <w:lang w:val="ru-RU"/>
              </w:rPr>
            </w:pPr>
            <w:r w:rsidRPr="0055116C">
              <w:rPr>
                <w:i/>
                <w:sz w:val="16"/>
                <w:lang w:val="ru-RU"/>
              </w:rPr>
              <w:t>Исходные базовые показатели ПиБ на 2014–2015 гг.:</w:t>
            </w:r>
            <w:r w:rsidRPr="0055116C">
              <w:rPr>
                <w:lang w:val="ru-RU"/>
              </w:rPr>
              <w:t xml:space="preserve"> </w:t>
            </w:r>
          </w:p>
          <w:p w:rsidR="0055116C" w:rsidRPr="00DF4E63" w:rsidRDefault="0055116C" w:rsidP="0055116C">
            <w:pPr>
              <w:rPr>
                <w:rFonts w:cs="Arial"/>
                <w:sz w:val="16"/>
                <w:szCs w:val="16"/>
              </w:rPr>
            </w:pPr>
            <w:r>
              <w:rPr>
                <w:sz w:val="16"/>
              </w:rPr>
              <w:t>ARDI 50</w:t>
            </w:r>
          </w:p>
          <w:p w:rsidR="0055116C" w:rsidRPr="0068151C" w:rsidRDefault="0055116C" w:rsidP="0055116C">
            <w:pPr>
              <w:rPr>
                <w:rFonts w:cs="Arial"/>
                <w:sz w:val="16"/>
                <w:szCs w:val="16"/>
              </w:rPr>
            </w:pPr>
            <w:r>
              <w:rPr>
                <w:sz w:val="16"/>
              </w:rPr>
              <w:t>ASPI 20</w:t>
            </w:r>
          </w:p>
        </w:tc>
        <w:tc>
          <w:tcPr>
            <w:tcW w:w="927" w:type="pct"/>
            <w:shd w:val="clear" w:color="auto" w:fill="auto"/>
            <w:tcMar>
              <w:top w:w="110" w:type="dxa"/>
            </w:tcMar>
          </w:tcPr>
          <w:p w:rsidR="0055116C" w:rsidRPr="0015377F" w:rsidRDefault="0055116C" w:rsidP="0055116C">
            <w:pPr>
              <w:rPr>
                <w:rFonts w:cs="Arial"/>
                <w:sz w:val="16"/>
                <w:szCs w:val="16"/>
              </w:rPr>
            </w:pPr>
            <w:r>
              <w:rPr>
                <w:sz w:val="16"/>
              </w:rPr>
              <w:t>ARDI 300</w:t>
            </w:r>
          </w:p>
          <w:p w:rsidR="0055116C" w:rsidRPr="0068151C" w:rsidRDefault="0055116C" w:rsidP="0055116C">
            <w:pPr>
              <w:rPr>
                <w:rFonts w:cs="Arial"/>
                <w:i/>
                <w:sz w:val="16"/>
                <w:szCs w:val="16"/>
              </w:rPr>
            </w:pPr>
            <w:r>
              <w:rPr>
                <w:sz w:val="16"/>
              </w:rPr>
              <w:t>ASPI 30</w:t>
            </w:r>
          </w:p>
        </w:tc>
        <w:tc>
          <w:tcPr>
            <w:tcW w:w="1210" w:type="pct"/>
            <w:shd w:val="clear" w:color="auto" w:fill="FFFFFF"/>
            <w:tcMar>
              <w:top w:w="110" w:type="dxa"/>
            </w:tcMar>
          </w:tcPr>
          <w:p w:rsidR="0055116C" w:rsidRPr="00701465" w:rsidRDefault="0055116C" w:rsidP="0055116C">
            <w:pPr>
              <w:rPr>
                <w:rFonts w:cs="Arial"/>
                <w:sz w:val="16"/>
                <w:szCs w:val="16"/>
              </w:rPr>
            </w:pPr>
            <w:r>
              <w:rPr>
                <w:sz w:val="16"/>
              </w:rPr>
              <w:t>ARDI 623</w:t>
            </w:r>
          </w:p>
          <w:p w:rsidR="0055116C" w:rsidRPr="00701465" w:rsidRDefault="0055116C" w:rsidP="0055116C">
            <w:pPr>
              <w:rPr>
                <w:rFonts w:cs="Arial"/>
              </w:rPr>
            </w:pPr>
            <w:r>
              <w:rPr>
                <w:sz w:val="16"/>
              </w:rPr>
              <w:t>ASPI 42</w:t>
            </w:r>
          </w:p>
        </w:tc>
        <w:tc>
          <w:tcPr>
            <w:tcW w:w="512" w:type="pct"/>
            <w:shd w:val="clear" w:color="auto" w:fill="auto"/>
            <w:tcMar>
              <w:top w:w="110" w:type="dxa"/>
            </w:tcMar>
          </w:tcPr>
          <w:p w:rsidR="0055116C" w:rsidRPr="00BB6C53" w:rsidRDefault="0055116C" w:rsidP="0055116C">
            <w:pPr>
              <w:keepNext/>
              <w:keepLines/>
              <w:jc w:val="center"/>
              <w:rPr>
                <w:rFonts w:cs="Arial"/>
                <w:b/>
                <w:bCs/>
                <w:color w:val="808080"/>
                <w:sz w:val="16"/>
                <w:szCs w:val="16"/>
              </w:rPr>
            </w:pPr>
            <w:r>
              <w:rPr>
                <w:b/>
                <w:color w:val="00B050"/>
                <w:sz w:val="16"/>
              </w:rPr>
              <w:t>Выполнено</w:t>
            </w:r>
          </w:p>
        </w:tc>
      </w:tr>
      <w:tr w:rsidR="0055116C" w:rsidRPr="0068151C" w:rsidTr="0055116C">
        <w:trPr>
          <w:cantSplit/>
          <w:trHeight w:val="2243"/>
        </w:trPr>
        <w:tc>
          <w:tcPr>
            <w:tcW w:w="1017" w:type="pct"/>
            <w:shd w:val="clear" w:color="auto" w:fill="auto"/>
          </w:tcPr>
          <w:p w:rsidR="0055116C" w:rsidRPr="0055116C" w:rsidRDefault="0055116C" w:rsidP="0055116C">
            <w:pPr>
              <w:rPr>
                <w:rFonts w:cs="Arial"/>
                <w:sz w:val="16"/>
                <w:szCs w:val="16"/>
                <w:lang w:val="ru-RU"/>
              </w:rPr>
            </w:pPr>
            <w:r w:rsidRPr="0055116C">
              <w:rPr>
                <w:sz w:val="16"/>
                <w:lang w:val="ru-RU"/>
              </w:rPr>
              <w:t>Доля (%) пользователей, выразивших удовлетворение по поводу дополнительных информационных услуг (</w:t>
            </w:r>
            <w:r>
              <w:rPr>
                <w:sz w:val="16"/>
              </w:rPr>
              <w:t>WPIS</w:t>
            </w:r>
            <w:r w:rsidRPr="0055116C">
              <w:rPr>
                <w:sz w:val="16"/>
                <w:lang w:val="ru-RU"/>
              </w:rPr>
              <w:t xml:space="preserve">, </w:t>
            </w:r>
            <w:r>
              <w:rPr>
                <w:sz w:val="16"/>
              </w:rPr>
              <w:t>ICE</w:t>
            </w:r>
            <w:r w:rsidRPr="0055116C">
              <w:rPr>
                <w:sz w:val="16"/>
                <w:lang w:val="ru-RU"/>
              </w:rPr>
              <w:t>, запрос данных о семействе патентов и правовом статусе)</w:t>
            </w:r>
          </w:p>
        </w:tc>
        <w:tc>
          <w:tcPr>
            <w:tcW w:w="1334" w:type="pct"/>
            <w:shd w:val="clear" w:color="auto" w:fill="auto"/>
          </w:tcPr>
          <w:p w:rsidR="0055116C" w:rsidRPr="0055116C" w:rsidRDefault="0055116C" w:rsidP="0055116C">
            <w:pPr>
              <w:rPr>
                <w:rFonts w:cs="Arial"/>
                <w:color w:val="002060"/>
                <w:sz w:val="16"/>
                <w:szCs w:val="16"/>
                <w:lang w:val="ru-RU"/>
              </w:rPr>
            </w:pPr>
            <w:r w:rsidRPr="0055116C">
              <w:rPr>
                <w:i/>
                <w:color w:val="002060"/>
                <w:sz w:val="16"/>
                <w:lang w:val="ru-RU"/>
              </w:rPr>
              <w:t>Обновленные базовые показатели, конец 2013</w:t>
            </w:r>
            <w:r>
              <w:rPr>
                <w:i/>
                <w:color w:val="002060"/>
                <w:sz w:val="16"/>
              </w:rPr>
              <w:t> </w:t>
            </w:r>
            <w:r w:rsidRPr="0055116C">
              <w:rPr>
                <w:i/>
                <w:color w:val="002060"/>
                <w:sz w:val="16"/>
                <w:lang w:val="ru-RU"/>
              </w:rPr>
              <w:t>г.:</w:t>
            </w:r>
            <w:r w:rsidRPr="0055116C">
              <w:rPr>
                <w:lang w:val="ru-RU"/>
              </w:rPr>
              <w:t xml:space="preserve"> </w:t>
            </w:r>
            <w:r w:rsidRPr="0055116C">
              <w:rPr>
                <w:color w:val="002060"/>
                <w:sz w:val="16"/>
                <w:lang w:val="ru-RU"/>
              </w:rPr>
              <w:t xml:space="preserve">статистических исследований по </w:t>
            </w:r>
            <w:r>
              <w:rPr>
                <w:color w:val="002060"/>
                <w:sz w:val="16"/>
              </w:rPr>
              <w:t>WPIS</w:t>
            </w:r>
            <w:r w:rsidRPr="0055116C">
              <w:rPr>
                <w:color w:val="002060"/>
                <w:sz w:val="16"/>
                <w:lang w:val="ru-RU"/>
              </w:rPr>
              <w:t xml:space="preserve"> и </w:t>
            </w:r>
            <w:r>
              <w:rPr>
                <w:color w:val="002060"/>
                <w:sz w:val="16"/>
              </w:rPr>
              <w:t>ICE</w:t>
            </w:r>
            <w:r w:rsidRPr="0055116C">
              <w:rPr>
                <w:color w:val="002060"/>
                <w:sz w:val="16"/>
                <w:lang w:val="ru-RU"/>
              </w:rPr>
              <w:t xml:space="preserve"> проведено не было.  С ведомствами-донорами обсуждается вопрос о проведении оценки степени удовлетворенности пользователей.</w:t>
            </w:r>
          </w:p>
          <w:p w:rsidR="0055116C" w:rsidRPr="0055116C" w:rsidRDefault="0055116C" w:rsidP="0055116C">
            <w:pPr>
              <w:rPr>
                <w:rFonts w:cs="Arial"/>
                <w:color w:val="002060"/>
                <w:sz w:val="16"/>
                <w:szCs w:val="16"/>
                <w:lang w:val="ru-RU"/>
              </w:rPr>
            </w:pPr>
          </w:p>
          <w:p w:rsidR="0055116C" w:rsidRPr="0055116C" w:rsidRDefault="0055116C" w:rsidP="0055116C">
            <w:pPr>
              <w:rPr>
                <w:sz w:val="16"/>
                <w:lang w:val="ru-RU"/>
              </w:rPr>
            </w:pPr>
            <w:r w:rsidRPr="0055116C">
              <w:rPr>
                <w:i/>
                <w:sz w:val="16"/>
                <w:lang w:val="ru-RU"/>
              </w:rPr>
              <w:t>Исходные базовые показатели ПиБ на 2014–2015 гг.:</w:t>
            </w:r>
            <w:r w:rsidRPr="0055116C">
              <w:rPr>
                <w:lang w:val="ru-RU"/>
              </w:rPr>
              <w:t xml:space="preserve"> </w:t>
            </w:r>
            <w:r w:rsidRPr="0055116C">
              <w:rPr>
                <w:sz w:val="16"/>
                <w:lang w:val="ru-RU"/>
              </w:rPr>
              <w:t>отсутствуют</w:t>
            </w:r>
          </w:p>
          <w:p w:rsidR="0055116C" w:rsidRPr="0055116C" w:rsidRDefault="0055116C" w:rsidP="0055116C">
            <w:pPr>
              <w:rPr>
                <w:rFonts w:cs="Arial"/>
                <w:sz w:val="16"/>
                <w:szCs w:val="16"/>
                <w:lang w:val="ru-RU"/>
              </w:rPr>
            </w:pPr>
          </w:p>
        </w:tc>
        <w:tc>
          <w:tcPr>
            <w:tcW w:w="927" w:type="pct"/>
            <w:shd w:val="clear" w:color="auto" w:fill="auto"/>
            <w:tcMar>
              <w:top w:w="110" w:type="dxa"/>
            </w:tcMar>
          </w:tcPr>
          <w:p w:rsidR="0055116C" w:rsidRPr="0068151C" w:rsidRDefault="0055116C" w:rsidP="0055116C">
            <w:pPr>
              <w:rPr>
                <w:rFonts w:cs="Arial"/>
                <w:i/>
                <w:sz w:val="16"/>
                <w:szCs w:val="16"/>
              </w:rPr>
            </w:pPr>
            <w:r>
              <w:rPr>
                <w:sz w:val="16"/>
              </w:rPr>
              <w:t>75%</w:t>
            </w:r>
          </w:p>
        </w:tc>
        <w:tc>
          <w:tcPr>
            <w:tcW w:w="1210" w:type="pct"/>
            <w:shd w:val="clear" w:color="auto" w:fill="FFFFFF"/>
            <w:tcMar>
              <w:top w:w="110" w:type="dxa"/>
            </w:tcMar>
          </w:tcPr>
          <w:p w:rsidR="0055116C" w:rsidRPr="0055116C" w:rsidRDefault="0055116C" w:rsidP="0055116C">
            <w:pPr>
              <w:rPr>
                <w:rFonts w:cs="Arial"/>
                <w:sz w:val="16"/>
                <w:szCs w:val="16"/>
                <w:lang w:val="ru-RU"/>
              </w:rPr>
            </w:pPr>
            <w:r w:rsidRPr="0055116C">
              <w:rPr>
                <w:sz w:val="16"/>
                <w:lang w:val="ru-RU"/>
              </w:rPr>
              <w:t>Оценка этого показателя была прекращена по причине реорганизации служб патентной информации.</w:t>
            </w:r>
          </w:p>
        </w:tc>
        <w:tc>
          <w:tcPr>
            <w:tcW w:w="512" w:type="pct"/>
            <w:shd w:val="clear" w:color="auto" w:fill="auto"/>
            <w:tcMar>
              <w:top w:w="110" w:type="dxa"/>
            </w:tcMar>
          </w:tcPr>
          <w:p w:rsidR="0055116C" w:rsidRPr="00BD71FF" w:rsidRDefault="0055116C" w:rsidP="0055116C">
            <w:pPr>
              <w:keepNext/>
              <w:keepLines/>
              <w:jc w:val="center"/>
              <w:rPr>
                <w:rFonts w:cs="Arial"/>
                <w:b/>
                <w:bCs/>
                <w:color w:val="808080"/>
                <w:sz w:val="16"/>
                <w:szCs w:val="16"/>
              </w:rPr>
            </w:pPr>
            <w:r>
              <w:rPr>
                <w:b/>
                <w:sz w:val="14"/>
              </w:rPr>
              <w:t>Отменено</w:t>
            </w:r>
          </w:p>
        </w:tc>
      </w:tr>
      <w:tr w:rsidR="0055116C" w:rsidRPr="0068151C" w:rsidTr="0055116C">
        <w:trPr>
          <w:cantSplit/>
          <w:trHeight w:val="2514"/>
        </w:trPr>
        <w:tc>
          <w:tcPr>
            <w:tcW w:w="1017" w:type="pct"/>
            <w:shd w:val="clear" w:color="auto" w:fill="auto"/>
          </w:tcPr>
          <w:p w:rsidR="0055116C" w:rsidRPr="0055116C" w:rsidRDefault="0055116C" w:rsidP="0055116C">
            <w:pPr>
              <w:rPr>
                <w:rFonts w:cs="Arial"/>
                <w:sz w:val="16"/>
                <w:szCs w:val="16"/>
                <w:lang w:val="ru-RU"/>
              </w:rPr>
            </w:pPr>
            <w:r w:rsidRPr="0055116C">
              <w:rPr>
                <w:sz w:val="16"/>
                <w:lang w:val="ru-RU"/>
              </w:rPr>
              <w:t>Процент пользователей, выразивших удовлетворение по поводу ОПЛ</w:t>
            </w:r>
          </w:p>
        </w:tc>
        <w:tc>
          <w:tcPr>
            <w:tcW w:w="1334" w:type="pct"/>
            <w:shd w:val="clear" w:color="auto" w:fill="auto"/>
          </w:tcPr>
          <w:p w:rsidR="0055116C" w:rsidRPr="0055116C" w:rsidRDefault="0055116C" w:rsidP="0055116C">
            <w:pPr>
              <w:rPr>
                <w:rFonts w:cs="Arial"/>
                <w:color w:val="002060"/>
                <w:sz w:val="16"/>
                <w:szCs w:val="16"/>
                <w:lang w:val="ru-RU"/>
              </w:rPr>
            </w:pPr>
            <w:r w:rsidRPr="0055116C">
              <w:rPr>
                <w:i/>
                <w:color w:val="002060"/>
                <w:sz w:val="16"/>
                <w:lang w:val="ru-RU"/>
              </w:rPr>
              <w:t>Обновленные базовые показатели, конец 2013</w:t>
            </w:r>
            <w:r>
              <w:rPr>
                <w:i/>
                <w:color w:val="002060"/>
                <w:sz w:val="16"/>
              </w:rPr>
              <w:t> </w:t>
            </w:r>
            <w:r w:rsidRPr="0055116C">
              <w:rPr>
                <w:i/>
                <w:color w:val="002060"/>
                <w:sz w:val="16"/>
                <w:lang w:val="ru-RU"/>
              </w:rPr>
              <w:t>г.:</w:t>
            </w:r>
            <w:r w:rsidRPr="0055116C">
              <w:rPr>
                <w:lang w:val="ru-RU"/>
              </w:rPr>
              <w:t xml:space="preserve">  </w:t>
            </w:r>
            <w:r w:rsidRPr="0055116C">
              <w:rPr>
                <w:color w:val="002060"/>
                <w:sz w:val="16"/>
                <w:lang w:val="ru-RU"/>
              </w:rPr>
              <w:t>проведено обследование удовлетворенности пользователей ОПЛ в марте 2014</w:t>
            </w:r>
            <w:r>
              <w:rPr>
                <w:color w:val="002060"/>
                <w:sz w:val="16"/>
              </w:rPr>
              <w:t> </w:t>
            </w:r>
            <w:r w:rsidRPr="0055116C">
              <w:rPr>
                <w:color w:val="002060"/>
                <w:sz w:val="16"/>
                <w:lang w:val="ru-RU"/>
              </w:rPr>
              <w:t>г., получено 39</w:t>
            </w:r>
            <w:r>
              <w:rPr>
                <w:color w:val="002060"/>
                <w:sz w:val="16"/>
              </w:rPr>
              <w:t> </w:t>
            </w:r>
            <w:r w:rsidRPr="0055116C">
              <w:rPr>
                <w:color w:val="002060"/>
                <w:sz w:val="16"/>
                <w:lang w:val="ru-RU"/>
              </w:rPr>
              <w:t>ответов (3</w:t>
            </w:r>
            <w:r>
              <w:rPr>
                <w:color w:val="002060"/>
                <w:sz w:val="16"/>
              </w:rPr>
              <w:t> </w:t>
            </w:r>
            <w:r w:rsidRPr="0055116C">
              <w:rPr>
                <w:color w:val="002060"/>
                <w:sz w:val="16"/>
                <w:lang w:val="ru-RU"/>
              </w:rPr>
              <w:t>пользователя первого уровня; 36 пользователей второго уровня). Обследование показало, что около 70% пользователей удовлетворены качеством отчетов.</w:t>
            </w:r>
          </w:p>
          <w:p w:rsidR="0055116C" w:rsidRPr="0055116C" w:rsidRDefault="0055116C" w:rsidP="0055116C">
            <w:pPr>
              <w:rPr>
                <w:rFonts w:cs="Arial"/>
                <w:color w:val="002060"/>
                <w:sz w:val="16"/>
                <w:szCs w:val="16"/>
                <w:lang w:val="ru-RU"/>
              </w:rPr>
            </w:pPr>
          </w:p>
          <w:p w:rsidR="0055116C" w:rsidRPr="0055116C" w:rsidRDefault="0055116C" w:rsidP="0055116C">
            <w:pPr>
              <w:rPr>
                <w:sz w:val="16"/>
                <w:lang w:val="ru-RU"/>
              </w:rPr>
            </w:pPr>
            <w:r w:rsidRPr="0055116C">
              <w:rPr>
                <w:i/>
                <w:sz w:val="16"/>
                <w:lang w:val="ru-RU"/>
              </w:rPr>
              <w:t>Исходные базовые показатели ПиБ на 2014–2015 гг.:</w:t>
            </w:r>
            <w:r w:rsidRPr="0055116C">
              <w:rPr>
                <w:lang w:val="ru-RU"/>
              </w:rPr>
              <w:t xml:space="preserve"> </w:t>
            </w:r>
            <w:r w:rsidRPr="0055116C">
              <w:rPr>
                <w:sz w:val="16"/>
                <w:lang w:val="ru-RU"/>
              </w:rPr>
              <w:t>отсутствуют</w:t>
            </w:r>
          </w:p>
          <w:p w:rsidR="0055116C" w:rsidRPr="0055116C" w:rsidRDefault="0055116C" w:rsidP="0055116C">
            <w:pPr>
              <w:rPr>
                <w:rFonts w:cs="Arial"/>
                <w:i/>
                <w:color w:val="002060"/>
                <w:sz w:val="16"/>
                <w:szCs w:val="16"/>
                <w:lang w:val="ru-RU"/>
              </w:rPr>
            </w:pPr>
          </w:p>
        </w:tc>
        <w:tc>
          <w:tcPr>
            <w:tcW w:w="927" w:type="pct"/>
            <w:shd w:val="clear" w:color="auto" w:fill="auto"/>
            <w:tcMar>
              <w:top w:w="110" w:type="dxa"/>
            </w:tcMar>
          </w:tcPr>
          <w:p w:rsidR="0055116C" w:rsidRPr="0015377F" w:rsidRDefault="0055116C" w:rsidP="0055116C">
            <w:pPr>
              <w:rPr>
                <w:rFonts w:cs="Arial"/>
                <w:sz w:val="16"/>
                <w:szCs w:val="16"/>
              </w:rPr>
            </w:pPr>
            <w:r>
              <w:rPr>
                <w:sz w:val="16"/>
              </w:rPr>
              <w:t>75%</w:t>
            </w:r>
          </w:p>
        </w:tc>
        <w:tc>
          <w:tcPr>
            <w:tcW w:w="1210" w:type="pct"/>
            <w:shd w:val="clear" w:color="auto" w:fill="FFFFFF"/>
            <w:tcMar>
              <w:top w:w="110" w:type="dxa"/>
            </w:tcMar>
          </w:tcPr>
          <w:p w:rsidR="0055116C" w:rsidRPr="0055116C" w:rsidRDefault="0055116C" w:rsidP="0055116C">
            <w:pPr>
              <w:rPr>
                <w:rFonts w:cs="Arial"/>
                <w:sz w:val="16"/>
                <w:szCs w:val="16"/>
                <w:lang w:val="ru-RU"/>
              </w:rPr>
            </w:pPr>
            <w:r w:rsidRPr="0055116C">
              <w:rPr>
                <w:sz w:val="16"/>
                <w:lang w:val="ru-RU"/>
              </w:rPr>
              <w:t>В 2015</w:t>
            </w:r>
            <w:r w:rsidRPr="006D22C7">
              <w:rPr>
                <w:sz w:val="16"/>
              </w:rPr>
              <w:t> </w:t>
            </w:r>
            <w:r w:rsidRPr="0055116C">
              <w:rPr>
                <w:sz w:val="16"/>
                <w:lang w:val="ru-RU"/>
              </w:rPr>
              <w:t>г. не проводилось обследование степени удовлетворенности, результаты которого могли бы быть сопоставлены с более ранними результатами.</w:t>
            </w:r>
          </w:p>
          <w:p w:rsidR="0055116C" w:rsidRPr="0055116C" w:rsidRDefault="0055116C" w:rsidP="0055116C">
            <w:pPr>
              <w:rPr>
                <w:rFonts w:cs="Arial"/>
                <w:sz w:val="16"/>
                <w:szCs w:val="16"/>
                <w:lang w:val="ru-RU"/>
              </w:rPr>
            </w:pPr>
            <w:r w:rsidRPr="0055116C">
              <w:rPr>
                <w:sz w:val="16"/>
                <w:lang w:val="ru-RU"/>
              </w:rPr>
              <w:t xml:space="preserve"> </w:t>
            </w:r>
          </w:p>
        </w:tc>
        <w:tc>
          <w:tcPr>
            <w:tcW w:w="512" w:type="pct"/>
            <w:shd w:val="clear" w:color="auto" w:fill="auto"/>
            <w:tcMar>
              <w:top w:w="110" w:type="dxa"/>
            </w:tcMar>
          </w:tcPr>
          <w:p w:rsidR="0055116C" w:rsidRPr="00195235" w:rsidRDefault="0055116C" w:rsidP="0055116C">
            <w:pPr>
              <w:keepNext/>
              <w:keepLines/>
              <w:jc w:val="center"/>
              <w:rPr>
                <w:rFonts w:cs="Arial"/>
                <w:bCs/>
                <w:color w:val="808080"/>
                <w:sz w:val="13"/>
                <w:szCs w:val="13"/>
              </w:rPr>
            </w:pPr>
            <w:r>
              <w:rPr>
                <w:b/>
                <w:color w:val="808080"/>
                <w:sz w:val="13"/>
              </w:rPr>
              <w:t>Не подлежит оценке</w:t>
            </w:r>
          </w:p>
        </w:tc>
      </w:tr>
    </w:tbl>
    <w:p w:rsidR="0055116C" w:rsidRPr="00255E19" w:rsidRDefault="0055116C" w:rsidP="0055116C">
      <w:pPr>
        <w:jc w:val="both"/>
        <w:rPr>
          <w:rFonts w:cs="Arial"/>
          <w:szCs w:val="20"/>
        </w:rPr>
      </w:pPr>
    </w:p>
    <w:p w:rsidR="0055116C" w:rsidRPr="00255E19" w:rsidRDefault="0055116C" w:rsidP="0055116C">
      <w:pPr>
        <w:jc w:val="both"/>
        <w:rPr>
          <w:rFonts w:cs="Arial"/>
          <w:szCs w:val="20"/>
        </w:rPr>
      </w:pPr>
    </w:p>
    <w:p w:rsidR="0055116C" w:rsidRPr="0055116C" w:rsidRDefault="0055116C" w:rsidP="0055116C">
      <w:pPr>
        <w:rPr>
          <w:rFonts w:cs="Arial"/>
          <w:color w:val="000000"/>
          <w:szCs w:val="22"/>
          <w:lang w:val="ru-RU"/>
        </w:rPr>
      </w:pPr>
      <w:r w:rsidRPr="0055116C">
        <w:rPr>
          <w:color w:val="000000"/>
          <w:lang w:val="ru-RU"/>
        </w:rPr>
        <w:t>ОТЧЕТ О РИСКАХ В ДВУХЛЕТНИЙ ПЕРИОД</w:t>
      </w:r>
    </w:p>
    <w:p w:rsidR="0055116C" w:rsidRPr="0055116C" w:rsidRDefault="0055116C" w:rsidP="0055116C">
      <w:pPr>
        <w:rPr>
          <w:lang w:val="ru-RU"/>
        </w:rPr>
      </w:pPr>
    </w:p>
    <w:tbl>
      <w:tblPr>
        <w:tblW w:w="10100"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11"/>
        <w:gridCol w:w="2853"/>
        <w:gridCol w:w="2610"/>
        <w:gridCol w:w="2126"/>
      </w:tblGrid>
      <w:tr w:rsidR="0055116C" w:rsidRPr="003C527B" w:rsidTr="0055116C">
        <w:trPr>
          <w:trHeight w:val="380"/>
          <w:tblHeader/>
        </w:trPr>
        <w:tc>
          <w:tcPr>
            <w:tcW w:w="2511" w:type="dxa"/>
            <w:tcBorders>
              <w:top w:val="single" w:sz="4" w:space="0" w:color="auto"/>
              <w:bottom w:val="single" w:sz="4" w:space="0" w:color="auto"/>
            </w:tcBorders>
            <w:shd w:val="clear" w:color="auto" w:fill="C6D9F1" w:themeFill="text2" w:themeFillTint="33"/>
            <w:tcMar>
              <w:top w:w="113" w:type="dxa"/>
              <w:bottom w:w="113" w:type="dxa"/>
            </w:tcMar>
            <w:vAlign w:val="center"/>
          </w:tcPr>
          <w:p w:rsidR="0055116C" w:rsidRPr="0055116C" w:rsidRDefault="0055116C" w:rsidP="0055116C">
            <w:pPr>
              <w:autoSpaceDE w:val="0"/>
              <w:autoSpaceDN w:val="0"/>
              <w:adjustRightInd w:val="0"/>
              <w:ind w:right="-59"/>
              <w:jc w:val="center"/>
              <w:rPr>
                <w:b/>
                <w:bCs/>
                <w:iCs/>
                <w:sz w:val="18"/>
                <w:szCs w:val="18"/>
                <w:lang w:val="ru-RU"/>
              </w:rPr>
            </w:pPr>
            <w:r w:rsidRPr="0055116C">
              <w:rPr>
                <w:b/>
                <w:sz w:val="18"/>
                <w:lang w:val="ru-RU"/>
              </w:rPr>
              <w:t>Риск (риски) того, что результаты программы не будут достигнуты</w:t>
            </w:r>
          </w:p>
        </w:tc>
        <w:tc>
          <w:tcPr>
            <w:tcW w:w="2853" w:type="dxa"/>
            <w:tcBorders>
              <w:top w:val="single" w:sz="4" w:space="0" w:color="auto"/>
              <w:bottom w:val="single" w:sz="4" w:space="0" w:color="auto"/>
            </w:tcBorders>
            <w:shd w:val="clear" w:color="auto" w:fill="C6D9F1" w:themeFill="text2" w:themeFillTint="33"/>
            <w:tcMar>
              <w:top w:w="113" w:type="dxa"/>
              <w:bottom w:w="113" w:type="dxa"/>
            </w:tcMar>
            <w:vAlign w:val="center"/>
          </w:tcPr>
          <w:p w:rsidR="0055116C" w:rsidRPr="0055116C" w:rsidRDefault="0055116C" w:rsidP="0055116C">
            <w:pPr>
              <w:autoSpaceDE w:val="0"/>
              <w:autoSpaceDN w:val="0"/>
              <w:adjustRightInd w:val="0"/>
              <w:ind w:right="-59"/>
              <w:jc w:val="center"/>
              <w:rPr>
                <w:b/>
                <w:bCs/>
                <w:iCs/>
                <w:sz w:val="18"/>
                <w:szCs w:val="18"/>
                <w:lang w:val="ru-RU"/>
              </w:rPr>
            </w:pPr>
            <w:r w:rsidRPr="0055116C">
              <w:rPr>
                <w:b/>
                <w:sz w:val="18"/>
                <w:lang w:val="ru-RU"/>
              </w:rPr>
              <w:t xml:space="preserve">Действующие или разрабатываемые планы по снижению рисков </w:t>
            </w:r>
          </w:p>
        </w:tc>
        <w:tc>
          <w:tcPr>
            <w:tcW w:w="2610" w:type="dxa"/>
            <w:tcBorders>
              <w:top w:val="single" w:sz="4" w:space="0" w:color="auto"/>
              <w:bottom w:val="single" w:sz="4" w:space="0" w:color="auto"/>
            </w:tcBorders>
            <w:shd w:val="clear" w:color="auto" w:fill="C6D9F1" w:themeFill="text2" w:themeFillTint="33"/>
          </w:tcPr>
          <w:p w:rsidR="0055116C" w:rsidRPr="0055116C" w:rsidRDefault="0055116C" w:rsidP="0055116C">
            <w:pPr>
              <w:jc w:val="center"/>
              <w:rPr>
                <w:b/>
                <w:bCs/>
                <w:sz w:val="18"/>
                <w:szCs w:val="18"/>
                <w:lang w:val="ru-RU"/>
              </w:rPr>
            </w:pPr>
            <w:r w:rsidRPr="0055116C">
              <w:rPr>
                <w:b/>
                <w:sz w:val="18"/>
                <w:lang w:val="ru-RU"/>
              </w:rPr>
              <w:t>Развитие риска (рисков) и стратегий его (их) снижения в двухлетний период</w:t>
            </w:r>
          </w:p>
        </w:tc>
        <w:tc>
          <w:tcPr>
            <w:tcW w:w="2126" w:type="dxa"/>
            <w:tcBorders>
              <w:top w:val="single" w:sz="4" w:space="0" w:color="auto"/>
              <w:bottom w:val="single" w:sz="4" w:space="0" w:color="auto"/>
            </w:tcBorders>
            <w:shd w:val="clear" w:color="auto" w:fill="C6D9F1" w:themeFill="text2" w:themeFillTint="33"/>
          </w:tcPr>
          <w:p w:rsidR="0055116C" w:rsidRPr="003C527B" w:rsidRDefault="0055116C" w:rsidP="0055116C">
            <w:pPr>
              <w:jc w:val="center"/>
              <w:rPr>
                <w:b/>
                <w:bCs/>
                <w:sz w:val="18"/>
                <w:szCs w:val="18"/>
              </w:rPr>
            </w:pPr>
            <w:r>
              <w:rPr>
                <w:b/>
                <w:sz w:val="18"/>
              </w:rPr>
              <w:t>Влияние на реализацию программы</w:t>
            </w:r>
          </w:p>
        </w:tc>
      </w:tr>
      <w:tr w:rsidR="0055116C" w:rsidRPr="005C6ABD" w:rsidTr="0055116C">
        <w:trPr>
          <w:trHeight w:val="785"/>
        </w:trPr>
        <w:tc>
          <w:tcPr>
            <w:tcW w:w="2511" w:type="dxa"/>
            <w:tcBorders>
              <w:top w:val="single" w:sz="4" w:space="0" w:color="auto"/>
            </w:tcBorders>
            <w:shd w:val="clear" w:color="auto" w:fill="auto"/>
            <w:tcMar>
              <w:top w:w="113" w:type="dxa"/>
              <w:bottom w:w="113" w:type="dxa"/>
            </w:tcMar>
          </w:tcPr>
          <w:p w:rsidR="0055116C" w:rsidRPr="0055116C" w:rsidRDefault="0055116C" w:rsidP="0055116C">
            <w:pPr>
              <w:rPr>
                <w:sz w:val="16"/>
                <w:szCs w:val="16"/>
                <w:lang w:val="ru-RU"/>
              </w:rPr>
            </w:pPr>
            <w:r w:rsidRPr="0055116C">
              <w:rPr>
                <w:sz w:val="16"/>
                <w:lang w:val="ru-RU"/>
              </w:rPr>
              <w:t>Неспособность сети ЦПТИ к устойчивой и продолжительной автономной деятельности способна привести к закрытию ряда сетей ЦПТИ и таким образом исключению возможности доступа к услугам по предоставлению технической информации для отдельных изобретателей, МСП и других заинтересованных сторон.</w:t>
            </w:r>
          </w:p>
        </w:tc>
        <w:tc>
          <w:tcPr>
            <w:tcW w:w="2853" w:type="dxa"/>
            <w:tcBorders>
              <w:top w:val="single" w:sz="4" w:space="0" w:color="auto"/>
            </w:tcBorders>
            <w:shd w:val="clear" w:color="auto" w:fill="auto"/>
            <w:tcMar>
              <w:top w:w="113" w:type="dxa"/>
              <w:bottom w:w="113" w:type="dxa"/>
            </w:tcMar>
          </w:tcPr>
          <w:p w:rsidR="0055116C" w:rsidRPr="0055116C" w:rsidRDefault="0055116C" w:rsidP="0055116C">
            <w:pPr>
              <w:autoSpaceDE w:val="0"/>
              <w:autoSpaceDN w:val="0"/>
              <w:adjustRightInd w:val="0"/>
              <w:ind w:right="-59"/>
              <w:rPr>
                <w:sz w:val="16"/>
                <w:szCs w:val="16"/>
                <w:lang w:val="ru-RU"/>
              </w:rPr>
            </w:pPr>
            <w:r w:rsidRPr="0055116C">
              <w:rPr>
                <w:sz w:val="16"/>
                <w:lang w:val="ru-RU"/>
              </w:rPr>
              <w:t>Активизация участия принимающих стран в планировании и реализации проекта ЦПТИ</w:t>
            </w:r>
          </w:p>
          <w:p w:rsidR="0055116C" w:rsidRPr="0055116C" w:rsidRDefault="0055116C" w:rsidP="0055116C">
            <w:pPr>
              <w:autoSpaceDE w:val="0"/>
              <w:autoSpaceDN w:val="0"/>
              <w:adjustRightInd w:val="0"/>
              <w:ind w:right="-59"/>
              <w:rPr>
                <w:sz w:val="16"/>
                <w:szCs w:val="16"/>
                <w:lang w:val="ru-RU"/>
              </w:rPr>
            </w:pPr>
          </w:p>
        </w:tc>
        <w:tc>
          <w:tcPr>
            <w:tcW w:w="2610" w:type="dxa"/>
            <w:tcBorders>
              <w:top w:val="single" w:sz="4" w:space="0" w:color="auto"/>
            </w:tcBorders>
          </w:tcPr>
          <w:p w:rsidR="0055116C" w:rsidRPr="0055116C" w:rsidRDefault="0055116C" w:rsidP="0055116C">
            <w:pPr>
              <w:autoSpaceDE w:val="0"/>
              <w:autoSpaceDN w:val="0"/>
              <w:adjustRightInd w:val="0"/>
              <w:ind w:right="-59"/>
              <w:rPr>
                <w:sz w:val="16"/>
                <w:szCs w:val="16"/>
                <w:lang w:val="ru-RU"/>
              </w:rPr>
            </w:pPr>
            <w:r w:rsidRPr="0055116C">
              <w:rPr>
                <w:sz w:val="16"/>
                <w:lang w:val="ru-RU"/>
              </w:rPr>
              <w:t>Национальные координаторы и принимающие учреждения играли все более активную роль в планировании и реализации проекта ЦПТИ, а не просто полагались на поддержку со стороны ВОИС.</w:t>
            </w:r>
          </w:p>
        </w:tc>
        <w:tc>
          <w:tcPr>
            <w:tcW w:w="2126" w:type="dxa"/>
            <w:tcBorders>
              <w:top w:val="single" w:sz="4" w:space="0" w:color="auto"/>
            </w:tcBorders>
          </w:tcPr>
          <w:p w:rsidR="0055116C" w:rsidRPr="0055116C" w:rsidRDefault="0055116C" w:rsidP="0055116C">
            <w:pPr>
              <w:autoSpaceDE w:val="0"/>
              <w:autoSpaceDN w:val="0"/>
              <w:adjustRightInd w:val="0"/>
              <w:ind w:right="-59"/>
              <w:rPr>
                <w:sz w:val="16"/>
                <w:szCs w:val="16"/>
                <w:lang w:val="ru-RU"/>
              </w:rPr>
            </w:pPr>
            <w:r w:rsidRPr="0055116C">
              <w:rPr>
                <w:sz w:val="16"/>
                <w:lang w:val="ru-RU"/>
              </w:rPr>
              <w:t>Стратегия снижения риска способствовала повышению эффективности координации с принимающими странами, национальными координаторами и принимающими учреждениями, способствуя укреплению устойчивости.</w:t>
            </w:r>
          </w:p>
        </w:tc>
      </w:tr>
      <w:tr w:rsidR="0055116C" w:rsidRPr="005C6ABD" w:rsidTr="0055116C">
        <w:trPr>
          <w:trHeight w:val="781"/>
        </w:trPr>
        <w:tc>
          <w:tcPr>
            <w:tcW w:w="2511" w:type="dxa"/>
            <w:shd w:val="clear" w:color="auto" w:fill="auto"/>
            <w:tcMar>
              <w:top w:w="113" w:type="dxa"/>
              <w:bottom w:w="113" w:type="dxa"/>
            </w:tcMar>
          </w:tcPr>
          <w:p w:rsidR="0055116C" w:rsidRPr="0055116C" w:rsidRDefault="0055116C" w:rsidP="0055116C">
            <w:pPr>
              <w:rPr>
                <w:sz w:val="16"/>
                <w:szCs w:val="16"/>
                <w:lang w:val="ru-RU"/>
              </w:rPr>
            </w:pPr>
            <w:r w:rsidRPr="0055116C">
              <w:rPr>
                <w:sz w:val="16"/>
                <w:lang w:val="ru-RU"/>
              </w:rPr>
              <w:t xml:space="preserve">Неиспользование целевой аудиторией (отдельными изобретателями, исследователями, отраслевыми научными кругами, политиками и лицами, ответственными за принятие решений в сфере НИОКР) опубликованных ОПЛ.  </w:t>
            </w:r>
          </w:p>
        </w:tc>
        <w:tc>
          <w:tcPr>
            <w:tcW w:w="2853" w:type="dxa"/>
            <w:shd w:val="clear" w:color="auto" w:fill="auto"/>
            <w:tcMar>
              <w:top w:w="113" w:type="dxa"/>
              <w:bottom w:w="113" w:type="dxa"/>
            </w:tcMar>
          </w:tcPr>
          <w:p w:rsidR="0055116C" w:rsidRPr="0055116C" w:rsidRDefault="0055116C" w:rsidP="0055116C">
            <w:pPr>
              <w:autoSpaceDE w:val="0"/>
              <w:autoSpaceDN w:val="0"/>
              <w:adjustRightInd w:val="0"/>
              <w:ind w:right="-59"/>
              <w:rPr>
                <w:sz w:val="16"/>
                <w:szCs w:val="16"/>
                <w:lang w:val="ru-RU"/>
              </w:rPr>
            </w:pPr>
            <w:r w:rsidRPr="0055116C">
              <w:rPr>
                <w:sz w:val="16"/>
                <w:lang w:val="ru-RU"/>
              </w:rPr>
              <w:t>Тщательный отбор тем ОПЛ, более эффективное распространение отчетов и координация деятельности с целевыми партнерами.</w:t>
            </w:r>
          </w:p>
          <w:p w:rsidR="0055116C" w:rsidRPr="0055116C" w:rsidRDefault="0055116C" w:rsidP="0055116C">
            <w:pPr>
              <w:autoSpaceDE w:val="0"/>
              <w:autoSpaceDN w:val="0"/>
              <w:adjustRightInd w:val="0"/>
              <w:ind w:right="-59"/>
              <w:rPr>
                <w:sz w:val="16"/>
                <w:szCs w:val="16"/>
                <w:lang w:val="ru-RU"/>
              </w:rPr>
            </w:pPr>
          </w:p>
        </w:tc>
        <w:tc>
          <w:tcPr>
            <w:tcW w:w="2610" w:type="dxa"/>
          </w:tcPr>
          <w:p w:rsidR="0055116C" w:rsidRPr="0055116C" w:rsidRDefault="0055116C" w:rsidP="0055116C">
            <w:pPr>
              <w:autoSpaceDE w:val="0"/>
              <w:autoSpaceDN w:val="0"/>
              <w:adjustRightInd w:val="0"/>
              <w:ind w:right="-59"/>
              <w:rPr>
                <w:sz w:val="16"/>
                <w:szCs w:val="16"/>
                <w:lang w:val="ru-RU"/>
              </w:rPr>
            </w:pPr>
            <w:r w:rsidRPr="0055116C">
              <w:rPr>
                <w:sz w:val="16"/>
                <w:lang w:val="ru-RU"/>
              </w:rPr>
              <w:t xml:space="preserve">Этот риск не реализовался, так как реализация целевых стратегий по его снижению позволила снизить такую вероятность.  Использование более эффективных стратегий распространения информации через социальные сети, а также специальные встречи с целевой аудиторией позволило обратиться к тем людям, которые обычно не получают информацию о работе ВОИС, увеличив таким образом число тех, кто узнал об ОПЛ. </w:t>
            </w:r>
          </w:p>
        </w:tc>
        <w:tc>
          <w:tcPr>
            <w:tcW w:w="2126" w:type="dxa"/>
          </w:tcPr>
          <w:p w:rsidR="0055116C" w:rsidRPr="0055116C" w:rsidRDefault="0055116C" w:rsidP="0055116C">
            <w:pPr>
              <w:autoSpaceDE w:val="0"/>
              <w:autoSpaceDN w:val="0"/>
              <w:adjustRightInd w:val="0"/>
              <w:ind w:right="-59"/>
              <w:rPr>
                <w:sz w:val="16"/>
                <w:szCs w:val="16"/>
                <w:lang w:val="ru-RU"/>
              </w:rPr>
            </w:pPr>
            <w:r w:rsidRPr="0055116C">
              <w:rPr>
                <w:sz w:val="16"/>
                <w:lang w:val="ru-RU"/>
              </w:rPr>
              <w:t>Стратегии снижения рисков способствовали повышению уровня информированности, расширению доступа и использования ОПЛ.</w:t>
            </w:r>
          </w:p>
        </w:tc>
      </w:tr>
      <w:tr w:rsidR="0055116C" w:rsidRPr="005C6ABD" w:rsidTr="0055116C">
        <w:trPr>
          <w:trHeight w:val="339"/>
        </w:trPr>
        <w:tc>
          <w:tcPr>
            <w:tcW w:w="2511" w:type="dxa"/>
            <w:shd w:val="clear" w:color="auto" w:fill="auto"/>
            <w:tcMar>
              <w:top w:w="113" w:type="dxa"/>
              <w:bottom w:w="113" w:type="dxa"/>
            </w:tcMar>
          </w:tcPr>
          <w:p w:rsidR="0055116C" w:rsidRPr="0055116C" w:rsidRDefault="0055116C" w:rsidP="0055116C">
            <w:pPr>
              <w:rPr>
                <w:sz w:val="16"/>
                <w:szCs w:val="16"/>
                <w:lang w:val="ru-RU"/>
              </w:rPr>
            </w:pPr>
            <w:r w:rsidRPr="0055116C">
              <w:rPr>
                <w:sz w:val="16"/>
                <w:lang w:val="ru-RU"/>
              </w:rPr>
              <w:t xml:space="preserve">Процесс предоставления услуг в области патентной информации может быть затруднен несоответствием спроса и предложения, в частности, между ожидаемыми и фактическими качеством, количеством и своевременностью услуг в условиях недостатка ресурсов и с учетом добровольного участия на безвозмездной основе ведомств-доноров. </w:t>
            </w:r>
          </w:p>
        </w:tc>
        <w:tc>
          <w:tcPr>
            <w:tcW w:w="2853" w:type="dxa"/>
            <w:shd w:val="clear" w:color="auto" w:fill="auto"/>
            <w:tcMar>
              <w:top w:w="113" w:type="dxa"/>
              <w:bottom w:w="113" w:type="dxa"/>
            </w:tcMar>
          </w:tcPr>
          <w:p w:rsidR="0055116C" w:rsidRPr="0055116C" w:rsidRDefault="0055116C" w:rsidP="0055116C">
            <w:pPr>
              <w:autoSpaceDE w:val="0"/>
              <w:autoSpaceDN w:val="0"/>
              <w:adjustRightInd w:val="0"/>
              <w:ind w:right="-59"/>
              <w:rPr>
                <w:sz w:val="16"/>
                <w:szCs w:val="16"/>
                <w:lang w:val="ru-RU"/>
              </w:rPr>
            </w:pPr>
            <w:r w:rsidRPr="0055116C">
              <w:rPr>
                <w:sz w:val="16"/>
                <w:lang w:val="ru-RU"/>
              </w:rPr>
              <w:t>ВОИС будет стремиться к снижению рисков путем контроля своевременности и качества предоставляемых донорами услуг, сотрудничества по вопросам подготовки ОПЛ с внешними партнерскими учреждениями, продемонстрировавшими заинтересованность и потребность в такой работе, путем запроса и оценки откликов пользователей услуг, расстановки приоритетов в выполнении запросов в случае чрезмерного роста спроса, а в случае падения спроса – путем поощрения использования услуг.</w:t>
            </w:r>
          </w:p>
        </w:tc>
        <w:tc>
          <w:tcPr>
            <w:tcW w:w="2610" w:type="dxa"/>
          </w:tcPr>
          <w:p w:rsidR="0055116C" w:rsidRPr="0055116C" w:rsidRDefault="0055116C" w:rsidP="0055116C">
            <w:pPr>
              <w:autoSpaceDE w:val="0"/>
              <w:autoSpaceDN w:val="0"/>
              <w:adjustRightInd w:val="0"/>
              <w:ind w:right="-59"/>
              <w:rPr>
                <w:sz w:val="16"/>
                <w:szCs w:val="16"/>
                <w:lang w:val="ru-RU"/>
              </w:rPr>
            </w:pPr>
            <w:r w:rsidRPr="0055116C">
              <w:rPr>
                <w:sz w:val="16"/>
                <w:lang w:val="ru-RU"/>
              </w:rPr>
              <w:t xml:space="preserve">Этот риск не реализовался благодаря мерам по его снижению, предпринятым в рамках программы. </w:t>
            </w:r>
          </w:p>
        </w:tc>
        <w:tc>
          <w:tcPr>
            <w:tcW w:w="2126" w:type="dxa"/>
          </w:tcPr>
          <w:p w:rsidR="0055116C" w:rsidRPr="0055116C" w:rsidRDefault="0055116C" w:rsidP="0055116C">
            <w:pPr>
              <w:autoSpaceDE w:val="0"/>
              <w:autoSpaceDN w:val="0"/>
              <w:adjustRightInd w:val="0"/>
              <w:ind w:right="-59"/>
              <w:rPr>
                <w:sz w:val="16"/>
                <w:szCs w:val="16"/>
                <w:lang w:val="ru-RU"/>
              </w:rPr>
            </w:pPr>
            <w:r w:rsidRPr="0055116C">
              <w:rPr>
                <w:sz w:val="16"/>
                <w:lang w:val="ru-RU"/>
              </w:rPr>
              <w:t>Этот риск не оказал существенного воздействия на реализацию программы.</w:t>
            </w:r>
          </w:p>
        </w:tc>
      </w:tr>
    </w:tbl>
    <w:p w:rsidR="0055116C" w:rsidRPr="0055116C" w:rsidRDefault="0055116C" w:rsidP="0055116C">
      <w:pPr>
        <w:rPr>
          <w:rFonts w:cs="Arial"/>
          <w:color w:val="000000"/>
          <w:sz w:val="18"/>
          <w:szCs w:val="20"/>
          <w:lang w:val="ru-RU"/>
        </w:rPr>
      </w:pPr>
    </w:p>
    <w:p w:rsidR="0055116C" w:rsidRPr="0055116C" w:rsidRDefault="0055116C" w:rsidP="0055116C">
      <w:pPr>
        <w:rPr>
          <w:rFonts w:cs="Arial"/>
          <w:color w:val="000000"/>
          <w:sz w:val="18"/>
          <w:szCs w:val="20"/>
          <w:lang w:val="ru-RU"/>
        </w:rPr>
      </w:pPr>
    </w:p>
    <w:p w:rsidR="0055116C" w:rsidRPr="0055116C" w:rsidRDefault="0055116C" w:rsidP="0055116C">
      <w:pPr>
        <w:rPr>
          <w:b/>
          <w:szCs w:val="20"/>
          <w:lang w:val="ru-RU"/>
        </w:rPr>
      </w:pPr>
      <w:r w:rsidRPr="0055116C">
        <w:rPr>
          <w:color w:val="000000"/>
          <w:lang w:val="ru-RU"/>
        </w:rPr>
        <w:t>ИСПОЛЬЗОВАНИЕ РЕСУРСОВ</w:t>
      </w:r>
    </w:p>
    <w:p w:rsidR="0055116C" w:rsidRPr="0055116C" w:rsidRDefault="0055116C" w:rsidP="0055116C">
      <w:pPr>
        <w:jc w:val="both"/>
        <w:rPr>
          <w:sz w:val="18"/>
          <w:szCs w:val="20"/>
          <w:lang w:val="ru-RU"/>
        </w:rPr>
      </w:pPr>
    </w:p>
    <w:p w:rsidR="0055116C" w:rsidRPr="0055116C" w:rsidRDefault="0055116C" w:rsidP="0055116C">
      <w:pPr>
        <w:pStyle w:val="NormalWeb"/>
        <w:spacing w:before="0" w:beforeAutospacing="0" w:after="0" w:afterAutospacing="0"/>
        <w:jc w:val="center"/>
        <w:rPr>
          <w:sz w:val="20"/>
          <w:szCs w:val="20"/>
          <w:lang w:val="ru-RU"/>
        </w:rPr>
      </w:pPr>
      <w:r w:rsidRPr="0055116C">
        <w:rPr>
          <w:color w:val="000000"/>
          <w:sz w:val="20"/>
          <w:lang w:val="ru-RU"/>
        </w:rPr>
        <w:t>Бюджет и фактические расходы (в разбивке по результатам)</w:t>
      </w:r>
    </w:p>
    <w:p w:rsidR="0055116C" w:rsidRPr="00255E19" w:rsidRDefault="0055116C" w:rsidP="0055116C">
      <w:pPr>
        <w:pStyle w:val="NormalWeb"/>
        <w:spacing w:before="0" w:beforeAutospacing="0" w:after="0" w:afterAutospacing="0"/>
        <w:jc w:val="center"/>
        <w:rPr>
          <w:i/>
          <w:iCs/>
          <w:color w:val="000000"/>
          <w:sz w:val="20"/>
          <w:szCs w:val="20"/>
        </w:rPr>
      </w:pPr>
      <w:r>
        <w:rPr>
          <w:i/>
          <w:color w:val="000000"/>
          <w:sz w:val="20"/>
        </w:rPr>
        <w:t>(в тыс. шв. франков)</w:t>
      </w:r>
    </w:p>
    <w:p w:rsidR="0055116C" w:rsidRPr="00654FA4" w:rsidRDefault="0055116C" w:rsidP="0055116C">
      <w:pPr>
        <w:jc w:val="center"/>
        <w:rPr>
          <w:sz w:val="18"/>
          <w:szCs w:val="20"/>
        </w:rPr>
      </w:pPr>
    </w:p>
    <w:p w:rsidR="0055116C" w:rsidRPr="00255E19" w:rsidRDefault="0055116C" w:rsidP="0055116C">
      <w:pPr>
        <w:jc w:val="center"/>
        <w:rPr>
          <w:szCs w:val="20"/>
        </w:rPr>
      </w:pPr>
      <w:r>
        <w:rPr>
          <w:noProof/>
          <w:szCs w:val="20"/>
        </w:rPr>
        <w:drawing>
          <wp:inline distT="0" distB="0" distL="0" distR="0" wp14:anchorId="590532B2" wp14:editId="3776B8E5">
            <wp:extent cx="6151880" cy="1432630"/>
            <wp:effectExtent l="0" t="0" r="127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151880" cy="1432630"/>
                    </a:xfrm>
                    <a:prstGeom prst="rect">
                      <a:avLst/>
                    </a:prstGeom>
                    <a:noFill/>
                    <a:ln>
                      <a:noFill/>
                    </a:ln>
                  </pic:spPr>
                </pic:pic>
              </a:graphicData>
            </a:graphic>
          </wp:inline>
        </w:drawing>
      </w:r>
    </w:p>
    <w:p w:rsidR="0055116C" w:rsidRDefault="0055116C" w:rsidP="0055116C">
      <w:pPr>
        <w:pStyle w:val="NormalWeb"/>
        <w:spacing w:before="0" w:beforeAutospacing="0" w:after="0" w:afterAutospacing="0"/>
        <w:jc w:val="center"/>
        <w:rPr>
          <w:color w:val="000000"/>
          <w:szCs w:val="20"/>
        </w:rPr>
      </w:pPr>
    </w:p>
    <w:p w:rsidR="0055116C" w:rsidRPr="00654FA4" w:rsidRDefault="0055116C" w:rsidP="0055116C">
      <w:pPr>
        <w:pStyle w:val="NormalWeb"/>
        <w:spacing w:before="0" w:beforeAutospacing="0" w:after="0" w:afterAutospacing="0"/>
        <w:jc w:val="center"/>
        <w:rPr>
          <w:color w:val="000000"/>
          <w:szCs w:val="20"/>
        </w:rPr>
      </w:pPr>
    </w:p>
    <w:p w:rsidR="0055116C" w:rsidRDefault="0055116C">
      <w:pPr>
        <w:rPr>
          <w:rFonts w:cs="Arial"/>
          <w:color w:val="000000"/>
          <w:szCs w:val="18"/>
          <w:lang w:val="ru-RU"/>
        </w:rPr>
      </w:pPr>
      <w:r>
        <w:rPr>
          <w:color w:val="000000"/>
          <w:lang w:val="ru-RU"/>
        </w:rPr>
        <w:br w:type="page"/>
      </w:r>
    </w:p>
    <w:p w:rsidR="0055116C" w:rsidRPr="0055116C" w:rsidRDefault="0055116C" w:rsidP="0055116C">
      <w:pPr>
        <w:pStyle w:val="NormalWeb"/>
        <w:spacing w:before="0" w:beforeAutospacing="0" w:after="0" w:afterAutospacing="0"/>
        <w:jc w:val="center"/>
        <w:rPr>
          <w:sz w:val="20"/>
          <w:szCs w:val="20"/>
          <w:lang w:val="ru-RU"/>
        </w:rPr>
      </w:pPr>
      <w:r w:rsidRPr="0055116C">
        <w:rPr>
          <w:color w:val="000000"/>
          <w:sz w:val="20"/>
          <w:lang w:val="ru-RU"/>
        </w:rPr>
        <w:t>Бюджет и фактические расходы (по персоналу и не связанные с персоналом)</w:t>
      </w:r>
    </w:p>
    <w:p w:rsidR="0055116C" w:rsidRPr="00255E19" w:rsidRDefault="0055116C" w:rsidP="0055116C">
      <w:pPr>
        <w:pStyle w:val="NormalWeb"/>
        <w:spacing w:before="0" w:beforeAutospacing="0" w:after="0" w:afterAutospacing="0"/>
        <w:jc w:val="center"/>
        <w:rPr>
          <w:i/>
          <w:iCs/>
          <w:color w:val="000000"/>
          <w:sz w:val="20"/>
          <w:szCs w:val="20"/>
        </w:rPr>
      </w:pPr>
      <w:r>
        <w:rPr>
          <w:i/>
          <w:color w:val="000000"/>
          <w:sz w:val="20"/>
        </w:rPr>
        <w:t>(в тыс. шв. франков)</w:t>
      </w:r>
    </w:p>
    <w:p w:rsidR="0055116C" w:rsidRPr="00654FA4" w:rsidRDefault="0055116C" w:rsidP="0055116C">
      <w:pPr>
        <w:pStyle w:val="NormalWeb"/>
        <w:spacing w:before="0" w:beforeAutospacing="0" w:after="0" w:afterAutospacing="0"/>
        <w:jc w:val="both"/>
        <w:rPr>
          <w:szCs w:val="20"/>
        </w:rPr>
      </w:pPr>
    </w:p>
    <w:p w:rsidR="0055116C" w:rsidRPr="00654FA4" w:rsidRDefault="0055116C" w:rsidP="0055116C">
      <w:pPr>
        <w:widowControl w:val="0"/>
        <w:autoSpaceDE w:val="0"/>
        <w:autoSpaceDN w:val="0"/>
        <w:adjustRightInd w:val="0"/>
        <w:jc w:val="center"/>
        <w:rPr>
          <w:rFonts w:cs="Arial"/>
          <w:sz w:val="18"/>
          <w:szCs w:val="20"/>
        </w:rPr>
      </w:pPr>
      <w:r>
        <w:rPr>
          <w:rFonts w:cs="Arial"/>
          <w:noProof/>
          <w:sz w:val="18"/>
          <w:szCs w:val="20"/>
        </w:rPr>
        <w:drawing>
          <wp:inline distT="0" distB="0" distL="0" distR="0" wp14:anchorId="60A0080D" wp14:editId="7661B2E9">
            <wp:extent cx="6151880" cy="1316581"/>
            <wp:effectExtent l="0" t="0" r="127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151880" cy="1316581"/>
                    </a:xfrm>
                    <a:prstGeom prst="rect">
                      <a:avLst/>
                    </a:prstGeom>
                    <a:noFill/>
                    <a:ln>
                      <a:noFill/>
                    </a:ln>
                  </pic:spPr>
                </pic:pic>
              </a:graphicData>
            </a:graphic>
          </wp:inline>
        </w:drawing>
      </w:r>
    </w:p>
    <w:p w:rsidR="0055116C" w:rsidRPr="00654FA4" w:rsidRDefault="0055116C" w:rsidP="0055116C">
      <w:pPr>
        <w:jc w:val="both"/>
        <w:rPr>
          <w:rFonts w:cs="Arial"/>
          <w:sz w:val="18"/>
          <w:szCs w:val="20"/>
        </w:rPr>
      </w:pPr>
    </w:p>
    <w:p w:rsidR="0055116C" w:rsidRPr="0055116C" w:rsidRDefault="0055116C" w:rsidP="0055116C">
      <w:pPr>
        <w:jc w:val="both"/>
        <w:rPr>
          <w:rFonts w:cs="Arial"/>
          <w:szCs w:val="20"/>
          <w:u w:val="single"/>
          <w:lang w:val="ru-RU"/>
        </w:rPr>
      </w:pPr>
      <w:r>
        <w:t>A</w:t>
      </w:r>
      <w:r w:rsidRPr="0055116C">
        <w:rPr>
          <w:lang w:val="ru-RU"/>
        </w:rPr>
        <w:t>.</w:t>
      </w:r>
      <w:r w:rsidRPr="0055116C">
        <w:rPr>
          <w:lang w:val="ru-RU"/>
        </w:rPr>
        <w:tab/>
      </w:r>
      <w:r w:rsidRPr="0055116C">
        <w:rPr>
          <w:u w:val="single"/>
          <w:lang w:val="ru-RU"/>
        </w:rPr>
        <w:t>Итоговый бюджет на 2014–2015 гг. после перераспределения средств</w:t>
      </w:r>
    </w:p>
    <w:p w:rsidR="0055116C" w:rsidRPr="0055116C" w:rsidRDefault="0055116C" w:rsidP="0055116C">
      <w:pPr>
        <w:jc w:val="both"/>
        <w:rPr>
          <w:rFonts w:cs="Arial"/>
          <w:sz w:val="18"/>
          <w:szCs w:val="20"/>
          <w:u w:val="single"/>
          <w:lang w:val="ru-RU"/>
        </w:rPr>
      </w:pPr>
    </w:p>
    <w:p w:rsidR="0055116C" w:rsidRPr="0055116C" w:rsidRDefault="0055116C" w:rsidP="0055116C">
      <w:pPr>
        <w:pStyle w:val="ListParagraph"/>
        <w:numPr>
          <w:ilvl w:val="0"/>
          <w:numId w:val="82"/>
        </w:numPr>
        <w:tabs>
          <w:tab w:val="left" w:pos="0"/>
          <w:tab w:val="left" w:pos="709"/>
        </w:tabs>
        <w:ind w:left="0" w:firstLine="0"/>
        <w:jc w:val="both"/>
        <w:rPr>
          <w:rFonts w:cs="Arial"/>
          <w:bCs/>
          <w:lang w:val="ru-RU"/>
        </w:rPr>
      </w:pPr>
      <w:r w:rsidRPr="0055116C">
        <w:rPr>
          <w:lang w:val="ru-RU"/>
        </w:rPr>
        <w:t>Общее уменьшение размера итогового бюджета 2014–2015</w:t>
      </w:r>
      <w:r>
        <w:t> </w:t>
      </w:r>
      <w:r w:rsidRPr="0055116C">
        <w:rPr>
          <w:lang w:val="ru-RU"/>
        </w:rPr>
        <w:t>гг. после перераспределения средств (ресурсы, связанные с персоналом) в целом является результатом, с одной стороны, перевода в постоянный штат сотрудников, выполняющих постоянные функции, а с другой стороны, – перераспределения должностей для содействия работе бюро ВОИС в Китае (программа 20) и работе по поддержке МСП и предпринимательства (программа 30).</w:t>
      </w:r>
    </w:p>
    <w:p w:rsidR="0055116C" w:rsidRPr="0055116C" w:rsidRDefault="0055116C" w:rsidP="0055116C">
      <w:pPr>
        <w:autoSpaceDE w:val="0"/>
        <w:autoSpaceDN w:val="0"/>
        <w:jc w:val="both"/>
        <w:rPr>
          <w:rFonts w:cs="Arial"/>
          <w:sz w:val="18"/>
          <w:szCs w:val="20"/>
          <w:lang w:val="ru-RU"/>
        </w:rPr>
      </w:pPr>
    </w:p>
    <w:p w:rsidR="0055116C" w:rsidRPr="0055116C" w:rsidRDefault="0055116C" w:rsidP="0055116C">
      <w:pPr>
        <w:pStyle w:val="ListParagraph"/>
        <w:numPr>
          <w:ilvl w:val="0"/>
          <w:numId w:val="82"/>
        </w:numPr>
        <w:tabs>
          <w:tab w:val="left" w:pos="0"/>
          <w:tab w:val="left" w:pos="709"/>
        </w:tabs>
        <w:ind w:left="0" w:firstLine="0"/>
        <w:jc w:val="both"/>
        <w:rPr>
          <w:rFonts w:cs="Arial"/>
          <w:bCs/>
          <w:lang w:val="ru-RU"/>
        </w:rPr>
      </w:pPr>
      <w:r w:rsidRPr="0055116C">
        <w:rPr>
          <w:lang w:val="ru-RU"/>
        </w:rPr>
        <w:t xml:space="preserve">Снижение объема ресурсов, не связанных с персоналом, отражает в основном передачу ресурсов в программу 13 (глобальные базы данных), чтобы добавить возможность поиска по химическим формулам в </w:t>
      </w:r>
      <w:r>
        <w:t>PATENTSCOPE</w:t>
      </w:r>
      <w:r w:rsidRPr="0055116C">
        <w:rPr>
          <w:lang w:val="ru-RU"/>
        </w:rPr>
        <w:t>, и в программу 12 (классификации и стандарты) с целью финансирования расходов на разработку и хостинг ПО для реклассификации МПК, которые оказались больше, чем ожидалось.</w:t>
      </w:r>
    </w:p>
    <w:p w:rsidR="0055116C" w:rsidRPr="0055116C" w:rsidRDefault="0055116C" w:rsidP="0055116C">
      <w:pPr>
        <w:autoSpaceDE w:val="0"/>
        <w:autoSpaceDN w:val="0"/>
        <w:jc w:val="both"/>
        <w:rPr>
          <w:rFonts w:cs="Arial"/>
          <w:color w:val="000000"/>
          <w:sz w:val="18"/>
          <w:lang w:val="ru-RU"/>
        </w:rPr>
      </w:pPr>
    </w:p>
    <w:p w:rsidR="0055116C" w:rsidRPr="0055116C" w:rsidRDefault="0055116C" w:rsidP="0055116C">
      <w:pPr>
        <w:autoSpaceDE w:val="0"/>
        <w:autoSpaceDN w:val="0"/>
        <w:jc w:val="both"/>
        <w:rPr>
          <w:rFonts w:cs="Arial"/>
          <w:color w:val="000000"/>
          <w:sz w:val="18"/>
          <w:lang w:val="ru-RU"/>
        </w:rPr>
      </w:pPr>
    </w:p>
    <w:p w:rsidR="0055116C" w:rsidRPr="0055116C" w:rsidRDefault="0055116C" w:rsidP="0055116C">
      <w:pPr>
        <w:jc w:val="both"/>
        <w:rPr>
          <w:rFonts w:cs="Arial"/>
          <w:szCs w:val="20"/>
          <w:u w:val="single"/>
          <w:lang w:val="ru-RU"/>
        </w:rPr>
      </w:pPr>
      <w:r>
        <w:t>B</w:t>
      </w:r>
      <w:r w:rsidRPr="0055116C">
        <w:rPr>
          <w:lang w:val="ru-RU"/>
        </w:rPr>
        <w:t>.</w:t>
      </w:r>
      <w:r w:rsidRPr="0055116C">
        <w:rPr>
          <w:lang w:val="ru-RU"/>
        </w:rPr>
        <w:tab/>
      </w:r>
      <w:r w:rsidRPr="0055116C">
        <w:rPr>
          <w:u w:val="single"/>
          <w:lang w:val="ru-RU"/>
        </w:rPr>
        <w:t>Освоение бюджетных средств в 2014–2015 гг.</w:t>
      </w:r>
    </w:p>
    <w:p w:rsidR="0055116C" w:rsidRPr="0055116C" w:rsidRDefault="0055116C" w:rsidP="0055116C">
      <w:pPr>
        <w:jc w:val="both"/>
        <w:rPr>
          <w:rFonts w:cs="Arial"/>
          <w:szCs w:val="20"/>
          <w:u w:val="single"/>
          <w:lang w:val="ru-RU"/>
        </w:rPr>
      </w:pPr>
    </w:p>
    <w:p w:rsidR="0055116C" w:rsidRPr="0055116C" w:rsidRDefault="0055116C" w:rsidP="0055116C">
      <w:pPr>
        <w:pStyle w:val="ListParagraph"/>
        <w:numPr>
          <w:ilvl w:val="0"/>
          <w:numId w:val="82"/>
        </w:numPr>
        <w:tabs>
          <w:tab w:val="left" w:pos="0"/>
          <w:tab w:val="left" w:pos="709"/>
        </w:tabs>
        <w:ind w:left="0" w:firstLine="0"/>
        <w:jc w:val="both"/>
        <w:rPr>
          <w:lang w:val="ru-RU"/>
        </w:rPr>
      </w:pPr>
      <w:r w:rsidRPr="0055116C">
        <w:rPr>
          <w:lang w:val="ru-RU"/>
        </w:rPr>
        <w:t>Уровень освоения бюджетных средств находится в пределах, предусмотренных для рассматриваемого двухлетнего периода.</w:t>
      </w:r>
    </w:p>
    <w:p w:rsidR="000F04C0" w:rsidRPr="0055116C" w:rsidRDefault="000F04C0" w:rsidP="0055116C">
      <w:pPr>
        <w:pStyle w:val="ListParagraph"/>
        <w:tabs>
          <w:tab w:val="left" w:pos="0"/>
          <w:tab w:val="left" w:pos="709"/>
        </w:tabs>
        <w:ind w:left="0"/>
        <w:jc w:val="both"/>
        <w:rPr>
          <w:lang w:val="ru-RU"/>
        </w:rPr>
      </w:pPr>
    </w:p>
    <w:p w:rsidR="007852E3" w:rsidRPr="0055116C" w:rsidRDefault="007852E3">
      <w:pPr>
        <w:rPr>
          <w:lang w:val="ru-RU"/>
        </w:rPr>
      </w:pPr>
    </w:p>
    <w:p w:rsidR="00D97F1C" w:rsidRPr="0055116C" w:rsidRDefault="00D97F1C">
      <w:pPr>
        <w:rPr>
          <w:lang w:val="ru-RU"/>
        </w:rPr>
      </w:pPr>
      <w:r w:rsidRPr="0055116C">
        <w:rPr>
          <w:lang w:val="ru-RU"/>
        </w:rPr>
        <w:br w:type="page"/>
      </w:r>
    </w:p>
    <w:p w:rsidR="0055116C" w:rsidRPr="0055116C" w:rsidRDefault="0055116C" w:rsidP="008A6A50">
      <w:pPr>
        <w:pStyle w:val="Heading2"/>
        <w:tabs>
          <w:tab w:val="clear" w:pos="567"/>
          <w:tab w:val="left" w:pos="1985"/>
        </w:tabs>
        <w:rPr>
          <w:sz w:val="20"/>
          <w:szCs w:val="20"/>
          <w:lang w:val="ru-RU"/>
        </w:rPr>
      </w:pPr>
      <w:bookmarkStart w:id="97" w:name="_Toc422210499"/>
      <w:bookmarkStart w:id="98" w:name="_Toc455388123"/>
      <w:r w:rsidRPr="0055116C">
        <w:rPr>
          <w:lang w:val="ru-RU"/>
        </w:rPr>
        <w:t>ПРОГРАММА</w:t>
      </w:r>
      <w:r>
        <w:t> </w:t>
      </w:r>
      <w:r w:rsidRPr="0055116C">
        <w:rPr>
          <w:lang w:val="ru-RU"/>
        </w:rPr>
        <w:t>15</w:t>
      </w:r>
      <w:r w:rsidRPr="0055116C">
        <w:rPr>
          <w:lang w:val="ru-RU"/>
        </w:rPr>
        <w:tab/>
        <w:t>ДЕЛОВЫЕ РЕШЕНИЯ ДЛЯ ВЕДОМСТВ ИС</w:t>
      </w:r>
      <w:bookmarkEnd w:id="97"/>
      <w:bookmarkEnd w:id="98"/>
    </w:p>
    <w:p w:rsidR="0055116C" w:rsidRPr="0055116C" w:rsidRDefault="0055116C" w:rsidP="0055116C">
      <w:pPr>
        <w:jc w:val="both"/>
        <w:rPr>
          <w:rFonts w:cs="Arial"/>
          <w:szCs w:val="20"/>
          <w:lang w:val="ru-RU"/>
        </w:rPr>
      </w:pPr>
    </w:p>
    <w:p w:rsidR="0055116C" w:rsidRPr="0055116C" w:rsidRDefault="0055116C" w:rsidP="0055116C">
      <w:pPr>
        <w:tabs>
          <w:tab w:val="left" w:pos="1985"/>
        </w:tabs>
        <w:jc w:val="both"/>
        <w:rPr>
          <w:rFonts w:cs="Arial"/>
          <w:b/>
          <w:szCs w:val="20"/>
          <w:lang w:val="ru-RU"/>
        </w:rPr>
      </w:pPr>
      <w:r w:rsidRPr="0055116C">
        <w:rPr>
          <w:b/>
          <w:lang w:val="ru-RU"/>
        </w:rPr>
        <w:t xml:space="preserve">Руководитель программы: </w:t>
      </w:r>
      <w:r w:rsidRPr="0055116C">
        <w:rPr>
          <w:lang w:val="ru-RU"/>
        </w:rPr>
        <w:tab/>
      </w:r>
      <w:r w:rsidRPr="0055116C">
        <w:rPr>
          <w:b/>
          <w:lang w:val="ru-RU"/>
        </w:rPr>
        <w:t>г-н Ё. Такаги</w:t>
      </w:r>
    </w:p>
    <w:p w:rsidR="0055116C" w:rsidRPr="0055116C" w:rsidRDefault="0055116C" w:rsidP="0055116C">
      <w:pPr>
        <w:jc w:val="both"/>
        <w:rPr>
          <w:rFonts w:cs="Arial"/>
          <w:szCs w:val="20"/>
          <w:lang w:val="ru-RU"/>
        </w:rPr>
      </w:pPr>
    </w:p>
    <w:p w:rsidR="0055116C" w:rsidRPr="0055116C" w:rsidRDefault="0055116C" w:rsidP="0055116C">
      <w:pPr>
        <w:jc w:val="both"/>
        <w:rPr>
          <w:rFonts w:cs="Arial"/>
          <w:szCs w:val="20"/>
          <w:lang w:val="ru-RU"/>
        </w:rPr>
      </w:pPr>
    </w:p>
    <w:p w:rsidR="0055116C" w:rsidRPr="0055116C" w:rsidRDefault="0055116C" w:rsidP="0055116C">
      <w:pPr>
        <w:jc w:val="both"/>
        <w:rPr>
          <w:rFonts w:cs="Arial"/>
          <w:bCs/>
          <w:sz w:val="18"/>
          <w:szCs w:val="20"/>
          <w:lang w:val="ru-RU"/>
        </w:rPr>
      </w:pPr>
      <w:r w:rsidRPr="0055116C">
        <w:rPr>
          <w:lang w:val="ru-RU"/>
        </w:rPr>
        <w:t>ОБЗОР ДОСТИЖЕНИЙ ЗА ДВУХЛЕТНИЙ ПЕРИОД 2014–2015</w:t>
      </w:r>
      <w:r>
        <w:t> </w:t>
      </w:r>
      <w:r w:rsidRPr="0055116C">
        <w:rPr>
          <w:lang w:val="ru-RU"/>
        </w:rPr>
        <w:t>ГГ.</w:t>
      </w:r>
    </w:p>
    <w:p w:rsidR="0055116C" w:rsidRPr="0055116C" w:rsidRDefault="0055116C" w:rsidP="0055116C">
      <w:pPr>
        <w:jc w:val="both"/>
        <w:rPr>
          <w:rFonts w:cs="Arial"/>
          <w:szCs w:val="20"/>
          <w:lang w:val="ru-RU"/>
        </w:rPr>
      </w:pPr>
    </w:p>
    <w:p w:rsidR="0055116C" w:rsidRPr="0055116C" w:rsidRDefault="0055116C" w:rsidP="0055116C">
      <w:pPr>
        <w:pStyle w:val="ListParagraph"/>
        <w:numPr>
          <w:ilvl w:val="0"/>
          <w:numId w:val="8"/>
        </w:numPr>
        <w:tabs>
          <w:tab w:val="left" w:pos="567"/>
        </w:tabs>
        <w:ind w:left="0" w:firstLine="0"/>
        <w:jc w:val="both"/>
        <w:rPr>
          <w:rFonts w:cs="Arial"/>
          <w:lang w:val="ru-RU"/>
        </w:rPr>
      </w:pPr>
      <w:r w:rsidRPr="0055116C">
        <w:rPr>
          <w:lang w:val="ru-RU"/>
        </w:rPr>
        <w:t>В двухлетний период 2014–2015</w:t>
      </w:r>
      <w:r>
        <w:t> </w:t>
      </w:r>
      <w:r w:rsidRPr="0055116C">
        <w:rPr>
          <w:lang w:val="ru-RU"/>
        </w:rPr>
        <w:t xml:space="preserve">гг. среди ведомств ИС наблюдался рост спроса на техническую помощь, что выражалось как в увеличении числа ведомств, запрашивающих помощь, так и в уровне сложности запрашиваемой помощи, особенно в области систем управления электронным документооборотом, онлайновой подачи и онлайновой публикации.  </w:t>
      </w:r>
    </w:p>
    <w:p w:rsidR="0055116C" w:rsidRPr="0055116C" w:rsidRDefault="0055116C" w:rsidP="0055116C">
      <w:pPr>
        <w:pStyle w:val="ListParagraph"/>
        <w:tabs>
          <w:tab w:val="left" w:pos="567"/>
          <w:tab w:val="left" w:pos="709"/>
        </w:tabs>
        <w:ind w:left="0"/>
        <w:jc w:val="both"/>
        <w:rPr>
          <w:rFonts w:cs="Arial"/>
          <w:lang w:val="ru-RU"/>
        </w:rPr>
      </w:pPr>
    </w:p>
    <w:p w:rsidR="0055116C" w:rsidRPr="0055116C" w:rsidRDefault="0055116C" w:rsidP="0055116C">
      <w:pPr>
        <w:pStyle w:val="ListParagraph"/>
        <w:numPr>
          <w:ilvl w:val="0"/>
          <w:numId w:val="8"/>
        </w:numPr>
        <w:tabs>
          <w:tab w:val="left" w:pos="567"/>
          <w:tab w:val="left" w:pos="709"/>
        </w:tabs>
        <w:ind w:left="0" w:firstLine="0"/>
        <w:jc w:val="both"/>
        <w:rPr>
          <w:rFonts w:cs="Arial"/>
          <w:lang w:val="ru-RU"/>
        </w:rPr>
      </w:pPr>
      <w:r w:rsidRPr="0055116C">
        <w:rPr>
          <w:lang w:val="ru-RU"/>
        </w:rPr>
        <w:t>В целях удовлетворения растущего спроса МБ продолжало разработку продуктов для обеспечения основных деловых процессов ведомств ИС, в частности Автоматизированной системы промышленной собственности ВОИС (</w:t>
      </w:r>
      <w:r>
        <w:t>IPAS</w:t>
      </w:r>
      <w:r w:rsidRPr="0055116C">
        <w:rPr>
          <w:lang w:val="ru-RU"/>
        </w:rPr>
        <w:t xml:space="preserve">) и поддерживающих модулей.  Среди основных новых функций, внедренных в рассматриваемый двухлетний период, можно выделить более эффективную поддержку управления электронными документами и поддержку двуязычных операций, особенно для ведомств, ведущих работу на арабском языке. </w:t>
      </w:r>
    </w:p>
    <w:p w:rsidR="0055116C" w:rsidRPr="0055116C" w:rsidRDefault="0055116C" w:rsidP="0055116C">
      <w:pPr>
        <w:tabs>
          <w:tab w:val="left" w:pos="567"/>
          <w:tab w:val="left" w:pos="709"/>
        </w:tabs>
        <w:jc w:val="both"/>
        <w:rPr>
          <w:rFonts w:cs="Arial"/>
          <w:szCs w:val="20"/>
          <w:lang w:val="ru-RU"/>
        </w:rPr>
      </w:pPr>
    </w:p>
    <w:p w:rsidR="0055116C" w:rsidRPr="0055116C" w:rsidRDefault="0055116C" w:rsidP="0055116C">
      <w:pPr>
        <w:pStyle w:val="ListParagraph"/>
        <w:numPr>
          <w:ilvl w:val="0"/>
          <w:numId w:val="8"/>
        </w:numPr>
        <w:tabs>
          <w:tab w:val="left" w:pos="567"/>
          <w:tab w:val="left" w:pos="709"/>
        </w:tabs>
        <w:ind w:left="0" w:firstLine="0"/>
        <w:jc w:val="both"/>
        <w:rPr>
          <w:rFonts w:cs="Arial"/>
          <w:lang w:val="ru-RU"/>
        </w:rPr>
      </w:pPr>
      <w:r w:rsidRPr="0055116C">
        <w:rPr>
          <w:lang w:val="ru-RU"/>
        </w:rPr>
        <w:t xml:space="preserve">Два новых модуля были разработаны и испытаны в нескольких ведомствах ИС: </w:t>
      </w:r>
    </w:p>
    <w:p w:rsidR="0055116C" w:rsidRPr="0055116C" w:rsidRDefault="0055116C" w:rsidP="0055116C">
      <w:pPr>
        <w:tabs>
          <w:tab w:val="left" w:pos="567"/>
        </w:tabs>
        <w:jc w:val="both"/>
        <w:rPr>
          <w:rFonts w:cs="Arial"/>
          <w:szCs w:val="20"/>
          <w:lang w:val="ru-RU"/>
        </w:rPr>
      </w:pPr>
    </w:p>
    <w:p w:rsidR="0055116C" w:rsidRPr="0055116C" w:rsidRDefault="0055116C" w:rsidP="0055116C">
      <w:pPr>
        <w:pStyle w:val="ListParagraph"/>
        <w:numPr>
          <w:ilvl w:val="0"/>
          <w:numId w:val="7"/>
        </w:numPr>
        <w:tabs>
          <w:tab w:val="left" w:pos="567"/>
        </w:tabs>
        <w:ind w:left="993" w:hanging="426"/>
        <w:jc w:val="both"/>
        <w:rPr>
          <w:rFonts w:cs="Arial"/>
          <w:lang w:val="ru-RU"/>
        </w:rPr>
      </w:pPr>
      <w:r w:rsidRPr="0055116C">
        <w:rPr>
          <w:lang w:val="ru-RU"/>
        </w:rPr>
        <w:t xml:space="preserve">Была разработана система </w:t>
      </w:r>
      <w:r>
        <w:t>WIPO</w:t>
      </w:r>
      <w:r w:rsidRPr="0055116C">
        <w:rPr>
          <w:lang w:val="ru-RU"/>
        </w:rPr>
        <w:t xml:space="preserve"> </w:t>
      </w:r>
      <w:r>
        <w:t>Publish</w:t>
      </w:r>
      <w:r w:rsidRPr="0055116C">
        <w:rPr>
          <w:lang w:val="ru-RU"/>
        </w:rPr>
        <w:t>, предназначенная для удовлетворения потребностей ведомств в области онлайновой публикации данных об ИС, документов, информации о правовом статусе и досье, а также потребностей в обмене данными (включая обмен данными для глобальных баз данных ВОИС).  Она была внедрена для внутреннего пользования в более чем 10 ведомствах, а еще в нескольких ведомствах – для распространения информации по ИС через интернет.</w:t>
      </w:r>
    </w:p>
    <w:p w:rsidR="0055116C" w:rsidRPr="0055116C" w:rsidRDefault="0055116C" w:rsidP="0055116C">
      <w:pPr>
        <w:pStyle w:val="ListParagraph"/>
        <w:tabs>
          <w:tab w:val="left" w:pos="567"/>
        </w:tabs>
        <w:ind w:left="993" w:hanging="426"/>
        <w:jc w:val="both"/>
        <w:rPr>
          <w:rFonts w:cs="Arial"/>
          <w:lang w:val="ru-RU"/>
        </w:rPr>
      </w:pPr>
    </w:p>
    <w:p w:rsidR="0055116C" w:rsidRPr="0055116C" w:rsidRDefault="0055116C" w:rsidP="0055116C">
      <w:pPr>
        <w:pStyle w:val="ListParagraph"/>
        <w:numPr>
          <w:ilvl w:val="0"/>
          <w:numId w:val="7"/>
        </w:numPr>
        <w:tabs>
          <w:tab w:val="left" w:pos="567"/>
        </w:tabs>
        <w:ind w:left="993" w:hanging="426"/>
        <w:jc w:val="both"/>
        <w:rPr>
          <w:rFonts w:cs="Arial"/>
          <w:lang w:val="ru-RU"/>
        </w:rPr>
      </w:pPr>
      <w:r w:rsidRPr="0055116C">
        <w:rPr>
          <w:lang w:val="ru-RU"/>
        </w:rPr>
        <w:t xml:space="preserve">Система </w:t>
      </w:r>
      <w:r>
        <w:t>WIPO</w:t>
      </w:r>
      <w:r w:rsidRPr="0055116C">
        <w:rPr>
          <w:lang w:val="ru-RU"/>
        </w:rPr>
        <w:t xml:space="preserve"> </w:t>
      </w:r>
      <w:r>
        <w:t>File</w:t>
      </w:r>
      <w:r w:rsidRPr="0055116C">
        <w:rPr>
          <w:lang w:val="ru-RU"/>
        </w:rPr>
        <w:t xml:space="preserve"> была разработана как решение для онлайновой подачи заявок небольшими и средними ведомствами; система обладает большой гибкостью, позволяющей адаптировать ее к местным условиям (например, к местным платежным системам).  Система </w:t>
      </w:r>
      <w:r>
        <w:t>WIPO</w:t>
      </w:r>
      <w:r w:rsidRPr="0055116C">
        <w:rPr>
          <w:lang w:val="ru-RU"/>
        </w:rPr>
        <w:t xml:space="preserve"> </w:t>
      </w:r>
      <w:r>
        <w:t>File</w:t>
      </w:r>
      <w:r w:rsidRPr="0055116C">
        <w:rPr>
          <w:lang w:val="ru-RU"/>
        </w:rPr>
        <w:t xml:space="preserve"> была успешно испытана в одном ведомстве ИС и в настоящее время используется для онлайновой подачи в этом ведомстве.</w:t>
      </w:r>
    </w:p>
    <w:p w:rsidR="0055116C" w:rsidRPr="0055116C" w:rsidRDefault="0055116C" w:rsidP="0055116C">
      <w:pPr>
        <w:tabs>
          <w:tab w:val="left" w:pos="567"/>
        </w:tabs>
        <w:jc w:val="both"/>
        <w:rPr>
          <w:rFonts w:cs="Arial"/>
          <w:lang w:val="ru-RU"/>
        </w:rPr>
      </w:pPr>
    </w:p>
    <w:p w:rsidR="0055116C" w:rsidRPr="0055116C" w:rsidRDefault="0055116C" w:rsidP="0055116C">
      <w:pPr>
        <w:pStyle w:val="ListParagraph"/>
        <w:numPr>
          <w:ilvl w:val="0"/>
          <w:numId w:val="8"/>
        </w:numPr>
        <w:tabs>
          <w:tab w:val="left" w:pos="567"/>
          <w:tab w:val="left" w:pos="709"/>
        </w:tabs>
        <w:ind w:left="0" w:firstLine="0"/>
        <w:jc w:val="both"/>
        <w:rPr>
          <w:rFonts w:cs="Arial"/>
          <w:lang w:val="ru-RU"/>
        </w:rPr>
      </w:pPr>
      <w:r w:rsidRPr="0055116C">
        <w:rPr>
          <w:lang w:val="ru-RU"/>
        </w:rPr>
        <w:t xml:space="preserve">В ходе отчетного периода в рамках программы была внедрена новая стратегия активизации поддержки, передачи знаний и обучения.  В рамках этой стратегии была создана новая модель – Служба поддержки </w:t>
      </w:r>
      <w:r>
        <w:t>IPAS</w:t>
      </w:r>
      <w:r w:rsidRPr="0055116C">
        <w:rPr>
          <w:lang w:val="ru-RU"/>
        </w:rPr>
        <w:t>, располагающая целевыми ресурсами для оказания поддержки ведомствам ИС в соответствии с отраслевыми стандартами.  Были проведены восемь технических обучающих семинаров во всех регионах с целью передачи знаний сотрудникам ведомств ИС для повышения их автономности.  Кроме того, в рамках этой новой стратегии поддержки несколько подготовленных экспертов из ведомств ИС занимались оказанием помощи сотрудникам других ведомств из того же региона, тем самым укрепляя сотрудничество между ведомствами и поддержку, а также способствуя дальнейшему повышению уровня автономности посредством наращивания экспертных возможностей ведомств ИС.</w:t>
      </w:r>
    </w:p>
    <w:p w:rsidR="0055116C" w:rsidRPr="0055116C" w:rsidRDefault="0055116C" w:rsidP="0055116C">
      <w:pPr>
        <w:pStyle w:val="ListParagraph"/>
        <w:tabs>
          <w:tab w:val="left" w:pos="567"/>
          <w:tab w:val="left" w:pos="709"/>
        </w:tabs>
        <w:ind w:left="0"/>
        <w:jc w:val="both"/>
        <w:rPr>
          <w:rFonts w:cs="Arial"/>
          <w:lang w:val="ru-RU"/>
        </w:rPr>
      </w:pPr>
    </w:p>
    <w:p w:rsidR="0055116C" w:rsidRPr="0055116C" w:rsidRDefault="0055116C" w:rsidP="0055116C">
      <w:pPr>
        <w:pStyle w:val="ListParagraph"/>
        <w:numPr>
          <w:ilvl w:val="0"/>
          <w:numId w:val="8"/>
        </w:numPr>
        <w:tabs>
          <w:tab w:val="left" w:pos="567"/>
          <w:tab w:val="left" w:pos="709"/>
        </w:tabs>
        <w:ind w:left="0" w:firstLine="0"/>
        <w:jc w:val="both"/>
        <w:rPr>
          <w:rFonts w:cs="Arial"/>
          <w:lang w:val="ru-RU"/>
        </w:rPr>
      </w:pPr>
      <w:r w:rsidRPr="0055116C">
        <w:rPr>
          <w:lang w:val="ru-RU"/>
        </w:rPr>
        <w:t>При содействии правительства Японии по линии целевого фонда (ЦФ) в рамках программы были реализованы проекты по оцифровке материалов в ведомствах ИС (некоторые из них еще не завершены), в частности, в Африке (АРОИС, Эфиопия, Кении, Нигерия, АОИС, Зимбабве) и в Азиатско-Тихоокеанском регионе (Бруней-Даруссалам, Камбоджа, Лаосская Народно-Демократическая Республика).  Как в 2014</w:t>
      </w:r>
      <w:r>
        <w:t> </w:t>
      </w:r>
      <w:r w:rsidRPr="0055116C">
        <w:rPr>
          <w:lang w:val="ru-RU"/>
        </w:rPr>
        <w:t>г., так и в 2015</w:t>
      </w:r>
      <w:r>
        <w:t> </w:t>
      </w:r>
      <w:r w:rsidRPr="0055116C">
        <w:rPr>
          <w:lang w:val="ru-RU"/>
        </w:rPr>
        <w:t>г. были организованы практикумы по техническим требованиям, соблюдение которых необходимо для поддержки Программы АСЕАН по сотрудничеству при проведении патентной экспертизы (</w:t>
      </w:r>
      <w:r>
        <w:t>ASPEC</w:t>
      </w:r>
      <w:r w:rsidRPr="0055116C">
        <w:rPr>
          <w:lang w:val="ru-RU"/>
        </w:rPr>
        <w:t xml:space="preserve">) и портала ИС АСЕАН.  Был достигнут значительный прогресс в области интеграции новых ведомств, предоставляющих информацию, в систему </w:t>
      </w:r>
      <w:r>
        <w:t>CASE</w:t>
      </w:r>
      <w:r w:rsidRPr="0055116C">
        <w:rPr>
          <w:lang w:val="ru-RU"/>
        </w:rPr>
        <w:t xml:space="preserve"> ВОИС, в результате чего к концу двухлетнего периода таких ведомств было 10, включая МБ (информация по досье </w:t>
      </w:r>
      <w:r>
        <w:t>PCT</w:t>
      </w:r>
      <w:r w:rsidRPr="0055116C">
        <w:rPr>
          <w:lang w:val="ru-RU"/>
        </w:rPr>
        <w:t xml:space="preserve">) и четыре крупнейших патентных ведомства. </w:t>
      </w:r>
    </w:p>
    <w:p w:rsidR="0055116C" w:rsidRPr="0055116C" w:rsidRDefault="0055116C" w:rsidP="0055116C">
      <w:pPr>
        <w:tabs>
          <w:tab w:val="left" w:pos="567"/>
        </w:tabs>
        <w:jc w:val="both"/>
        <w:rPr>
          <w:rFonts w:cs="Arial"/>
          <w:szCs w:val="20"/>
          <w:lang w:val="ru-RU"/>
        </w:rPr>
      </w:pPr>
    </w:p>
    <w:p w:rsidR="0055116C" w:rsidRPr="0055116C" w:rsidRDefault="0055116C" w:rsidP="0055116C">
      <w:pPr>
        <w:pStyle w:val="ListParagraph"/>
        <w:numPr>
          <w:ilvl w:val="0"/>
          <w:numId w:val="8"/>
        </w:numPr>
        <w:tabs>
          <w:tab w:val="left" w:pos="567"/>
          <w:tab w:val="left" w:pos="709"/>
        </w:tabs>
        <w:ind w:left="0" w:firstLine="0"/>
        <w:jc w:val="both"/>
        <w:rPr>
          <w:rFonts w:cs="Arial"/>
          <w:lang w:val="ru-RU"/>
        </w:rPr>
      </w:pPr>
      <w:r w:rsidRPr="0055116C">
        <w:rPr>
          <w:lang w:val="ru-RU"/>
        </w:rPr>
        <w:t>Проект «</w:t>
      </w:r>
      <w:r>
        <w:t>WIPO</w:t>
      </w:r>
      <w:r w:rsidRPr="0055116C">
        <w:rPr>
          <w:lang w:val="ru-RU"/>
        </w:rPr>
        <w:t xml:space="preserve"> </w:t>
      </w:r>
      <w:r>
        <w:t>Copyright</w:t>
      </w:r>
      <w:r w:rsidRPr="0055116C">
        <w:rPr>
          <w:lang w:val="ru-RU"/>
        </w:rPr>
        <w:t xml:space="preserve"> </w:t>
      </w:r>
      <w:r>
        <w:t>Connection</w:t>
      </w:r>
      <w:r w:rsidRPr="0055116C">
        <w:rPr>
          <w:lang w:val="ru-RU"/>
        </w:rPr>
        <w:t>» (</w:t>
      </w:r>
      <w:r>
        <w:t>WCC</w:t>
      </w:r>
      <w:r w:rsidRPr="0055116C">
        <w:rPr>
          <w:lang w:val="ru-RU"/>
        </w:rPr>
        <w:t xml:space="preserve">) (который пришел на смену </w:t>
      </w:r>
      <w:r>
        <w:t>WIPOCOS</w:t>
      </w:r>
      <w:r w:rsidRPr="0055116C">
        <w:rPr>
          <w:lang w:val="ru-RU"/>
        </w:rPr>
        <w:t>) был также начат 2014</w:t>
      </w:r>
      <w:r>
        <w:t> </w:t>
      </w:r>
      <w:r w:rsidRPr="0055116C">
        <w:rPr>
          <w:lang w:val="ru-RU"/>
        </w:rPr>
        <w:t>г.; его цель заключается в разработке взаимосвязанной системы управления авторским правом и смежными правами.  Чтобы определить бизнес-потребности этой системы, вела работу Деловая экспертная группа (ДЭГ), состоящая из представителей ОКУ, действующих на добровольной основе, и деловых партнеров (представителей международных организаций и заинтересованных компаний).  В конце 2014</w:t>
      </w:r>
      <w:r>
        <w:t> </w:t>
      </w:r>
      <w:r w:rsidRPr="0055116C">
        <w:rPr>
          <w:lang w:val="ru-RU"/>
        </w:rPr>
        <w:t>г. был привлечен внешний подрядчик, и к середине 2015</w:t>
      </w:r>
      <w:r>
        <w:t> </w:t>
      </w:r>
      <w:r w:rsidRPr="0055116C">
        <w:rPr>
          <w:lang w:val="ru-RU"/>
        </w:rPr>
        <w:t>г. была проведена проверка правильности концепции.  В конце двухлетнего периода 2014–2015</w:t>
      </w:r>
      <w:r>
        <w:t> </w:t>
      </w:r>
      <w:r w:rsidRPr="0055116C">
        <w:rPr>
          <w:lang w:val="ru-RU"/>
        </w:rPr>
        <w:t>гг. система находилась на заключительной стадии разработки. Она будет внедряться в ОКУ развивающихся стран и НРС начиная с 2016</w:t>
      </w:r>
      <w:r>
        <w:t> </w:t>
      </w:r>
      <w:r w:rsidRPr="0055116C">
        <w:rPr>
          <w:lang w:val="ru-RU"/>
        </w:rPr>
        <w:t>г.</w:t>
      </w:r>
    </w:p>
    <w:p w:rsidR="0055116C" w:rsidRPr="0055116C" w:rsidRDefault="0055116C" w:rsidP="0055116C">
      <w:pPr>
        <w:tabs>
          <w:tab w:val="left" w:pos="567"/>
        </w:tabs>
        <w:jc w:val="both"/>
        <w:rPr>
          <w:rFonts w:cs="Arial"/>
          <w:szCs w:val="20"/>
          <w:lang w:val="ru-RU"/>
        </w:rPr>
      </w:pPr>
    </w:p>
    <w:p w:rsidR="0055116C" w:rsidRPr="0086013F" w:rsidRDefault="0055116C" w:rsidP="0086013F">
      <w:pPr>
        <w:rPr>
          <w:b/>
          <w:szCs w:val="20"/>
          <w:lang w:val="ru-RU"/>
        </w:rPr>
      </w:pPr>
      <w:bookmarkStart w:id="99" w:name="_Toc455052833"/>
      <w:r w:rsidRPr="0086013F">
        <w:rPr>
          <w:b/>
          <w:lang w:val="ru-RU"/>
        </w:rPr>
        <w:t>Программное обеспечение для бизнес-процессов Ведомств ИС</w:t>
      </w:r>
      <w:bookmarkEnd w:id="99"/>
      <w:r w:rsidRPr="0086013F">
        <w:rPr>
          <w:b/>
          <w:lang w:val="ru-RU"/>
        </w:rPr>
        <w:t xml:space="preserve"> </w:t>
      </w:r>
    </w:p>
    <w:p w:rsidR="0055116C" w:rsidRPr="0055116C" w:rsidRDefault="0055116C" w:rsidP="0055116C">
      <w:pPr>
        <w:keepNext/>
        <w:keepLines/>
        <w:tabs>
          <w:tab w:val="left" w:pos="567"/>
        </w:tabs>
        <w:jc w:val="both"/>
        <w:rPr>
          <w:rFonts w:cs="Arial"/>
          <w:szCs w:val="20"/>
          <w:lang w:val="ru-RU"/>
        </w:rPr>
      </w:pPr>
    </w:p>
    <w:p w:rsidR="0055116C" w:rsidRPr="00AD2B92" w:rsidRDefault="0055116C" w:rsidP="0055116C">
      <w:pPr>
        <w:pStyle w:val="ListParagraph"/>
        <w:keepNext/>
        <w:keepLines/>
        <w:numPr>
          <w:ilvl w:val="0"/>
          <w:numId w:val="8"/>
        </w:numPr>
        <w:tabs>
          <w:tab w:val="left" w:pos="567"/>
          <w:tab w:val="left" w:pos="709"/>
        </w:tabs>
        <w:ind w:left="0" w:firstLine="0"/>
        <w:jc w:val="both"/>
        <w:rPr>
          <w:rFonts w:cs="Arial"/>
        </w:rPr>
      </w:pPr>
      <w:r w:rsidRPr="0055116C">
        <w:rPr>
          <w:lang w:val="ru-RU"/>
        </w:rPr>
        <w:t>График ниже содержит данные о стабильном росте использования систем ВОИС для ведомств ИС за последние шесть лет.  По данным на конец 2015</w:t>
      </w:r>
      <w:r>
        <w:t> </w:t>
      </w:r>
      <w:r w:rsidRPr="0055116C">
        <w:rPr>
          <w:lang w:val="ru-RU"/>
        </w:rPr>
        <w:t>г., 77</w:t>
      </w:r>
      <w:r>
        <w:t> </w:t>
      </w:r>
      <w:r w:rsidRPr="0055116C">
        <w:rPr>
          <w:lang w:val="ru-RU"/>
        </w:rPr>
        <w:t xml:space="preserve">ведомств ИС использовали системы ВОИС для ведомств ИС (в том числе </w:t>
      </w:r>
      <w:r>
        <w:t>IPAS</w:t>
      </w:r>
      <w:r w:rsidRPr="0055116C">
        <w:rPr>
          <w:lang w:val="ru-RU"/>
        </w:rPr>
        <w:t xml:space="preserve">, Арабскую систему управления промышленной собственностью </w:t>
      </w:r>
      <w:r>
        <w:t>(AIPMS), систему электронного документооборота, WIPOScan и Мадридский модуль ВОИС)</w:t>
      </w:r>
      <w:r>
        <w:rPr>
          <w:rStyle w:val="FootnoteReference"/>
        </w:rPr>
        <w:footnoteReference w:id="91"/>
      </w:r>
      <w:r>
        <w:t>.</w:t>
      </w:r>
    </w:p>
    <w:p w:rsidR="00AD2B92" w:rsidRPr="00B738FB" w:rsidRDefault="00AD2B92" w:rsidP="00AD2B92">
      <w:pPr>
        <w:pStyle w:val="ListParagraph"/>
        <w:keepNext/>
        <w:keepLines/>
        <w:tabs>
          <w:tab w:val="left" w:pos="567"/>
          <w:tab w:val="left" w:pos="709"/>
        </w:tabs>
        <w:ind w:left="0"/>
        <w:jc w:val="both"/>
        <w:rPr>
          <w:rFonts w:cs="Arial"/>
        </w:rPr>
      </w:pPr>
    </w:p>
    <w:p w:rsidR="0055116C" w:rsidRDefault="0055116C" w:rsidP="0055116C">
      <w:pPr>
        <w:pStyle w:val="ListParagraph"/>
        <w:keepNext/>
        <w:keepLines/>
        <w:tabs>
          <w:tab w:val="left" w:pos="709"/>
        </w:tabs>
        <w:ind w:left="0"/>
        <w:jc w:val="center"/>
        <w:rPr>
          <w:rFonts w:cs="Arial"/>
        </w:rPr>
      </w:pPr>
      <w:r>
        <w:rPr>
          <w:rFonts w:cs="Arial"/>
          <w:noProof/>
        </w:rPr>
        <w:drawing>
          <wp:inline distT="0" distB="0" distL="0" distR="0" wp14:anchorId="1D198CD5" wp14:editId="783C8857">
            <wp:extent cx="5184950" cy="3000528"/>
            <wp:effectExtent l="0" t="0" r="0" b="9525"/>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189862" cy="3003371"/>
                    </a:xfrm>
                    <a:prstGeom prst="rect">
                      <a:avLst/>
                    </a:prstGeom>
                    <a:noFill/>
                    <a:ln>
                      <a:noFill/>
                    </a:ln>
                  </pic:spPr>
                </pic:pic>
              </a:graphicData>
            </a:graphic>
          </wp:inline>
        </w:drawing>
      </w:r>
    </w:p>
    <w:p w:rsidR="0055116C" w:rsidRPr="0055116C" w:rsidRDefault="0055116C" w:rsidP="0055116C">
      <w:pPr>
        <w:keepNext/>
        <w:keepLines/>
        <w:autoSpaceDE w:val="0"/>
        <w:autoSpaceDN w:val="0"/>
        <w:adjustRightInd w:val="0"/>
        <w:ind w:left="709" w:right="842"/>
        <w:rPr>
          <w:rFonts w:cs="Arial"/>
          <w:sz w:val="15"/>
          <w:szCs w:val="15"/>
          <w:lang w:val="ru-RU"/>
        </w:rPr>
      </w:pPr>
      <w:r w:rsidRPr="0055116C">
        <w:rPr>
          <w:rFonts w:cs="Arial"/>
          <w:sz w:val="15"/>
          <w:szCs w:val="15"/>
          <w:lang w:val="ru-RU"/>
        </w:rPr>
        <w:t xml:space="preserve">Системы ВОИС для ведомств ИС включают:  </w:t>
      </w:r>
      <w:r w:rsidRPr="00006356">
        <w:rPr>
          <w:rFonts w:cs="Arial"/>
          <w:sz w:val="15"/>
          <w:szCs w:val="15"/>
        </w:rPr>
        <w:t>IPAS</w:t>
      </w:r>
      <w:r w:rsidRPr="0055116C">
        <w:rPr>
          <w:rFonts w:cs="Arial"/>
          <w:sz w:val="15"/>
          <w:szCs w:val="15"/>
          <w:lang w:val="ru-RU"/>
        </w:rPr>
        <w:t xml:space="preserve"> (Система управления промышленной собственностью), </w:t>
      </w:r>
      <w:r w:rsidRPr="00006356">
        <w:rPr>
          <w:rFonts w:cs="Arial"/>
          <w:sz w:val="15"/>
          <w:szCs w:val="15"/>
        </w:rPr>
        <w:t>AIPMS</w:t>
      </w:r>
      <w:r w:rsidRPr="0055116C">
        <w:rPr>
          <w:rFonts w:cs="Arial"/>
          <w:sz w:val="15"/>
          <w:szCs w:val="15"/>
          <w:lang w:val="ru-RU"/>
        </w:rPr>
        <w:t xml:space="preserve"> (</w:t>
      </w:r>
      <w:r w:rsidRPr="0055116C">
        <w:rPr>
          <w:sz w:val="15"/>
          <w:szCs w:val="15"/>
          <w:lang w:val="ru-RU"/>
        </w:rPr>
        <w:t>Арабская система управления промышленной собственностью)</w:t>
      </w:r>
      <w:r w:rsidRPr="0055116C">
        <w:rPr>
          <w:rFonts w:cs="Arial"/>
          <w:sz w:val="15"/>
          <w:szCs w:val="15"/>
          <w:lang w:val="ru-RU"/>
        </w:rPr>
        <w:t xml:space="preserve">, </w:t>
      </w:r>
      <w:r w:rsidRPr="00006356">
        <w:rPr>
          <w:rFonts w:cs="Arial"/>
          <w:sz w:val="15"/>
          <w:szCs w:val="15"/>
        </w:rPr>
        <w:t>WIPO</w:t>
      </w:r>
      <w:r w:rsidRPr="0055116C">
        <w:rPr>
          <w:rFonts w:cs="Arial"/>
          <w:sz w:val="15"/>
          <w:szCs w:val="15"/>
          <w:lang w:val="ru-RU"/>
        </w:rPr>
        <w:t xml:space="preserve"> </w:t>
      </w:r>
      <w:r w:rsidRPr="00006356">
        <w:rPr>
          <w:rFonts w:cs="Arial"/>
          <w:sz w:val="15"/>
          <w:szCs w:val="15"/>
        </w:rPr>
        <w:t>Scan</w:t>
      </w:r>
      <w:r w:rsidRPr="0055116C">
        <w:rPr>
          <w:rFonts w:cs="Arial"/>
          <w:sz w:val="15"/>
          <w:szCs w:val="15"/>
          <w:lang w:val="ru-RU"/>
        </w:rPr>
        <w:t xml:space="preserve"> (оцифровывание), </w:t>
      </w:r>
      <w:r w:rsidRPr="00006356">
        <w:rPr>
          <w:rFonts w:cs="Arial"/>
          <w:sz w:val="15"/>
          <w:szCs w:val="15"/>
        </w:rPr>
        <w:t>EDMS</w:t>
      </w:r>
      <w:r w:rsidRPr="0055116C">
        <w:rPr>
          <w:rFonts w:cs="Arial"/>
          <w:sz w:val="15"/>
          <w:szCs w:val="15"/>
          <w:lang w:val="ru-RU"/>
        </w:rPr>
        <w:t xml:space="preserve"> (управление документооборотом), </w:t>
      </w:r>
      <w:r w:rsidRPr="00006356">
        <w:rPr>
          <w:rFonts w:cs="Arial"/>
          <w:sz w:val="15"/>
          <w:szCs w:val="15"/>
        </w:rPr>
        <w:t>WIPO</w:t>
      </w:r>
      <w:r w:rsidRPr="0055116C">
        <w:rPr>
          <w:rFonts w:cs="Arial"/>
          <w:sz w:val="15"/>
          <w:szCs w:val="15"/>
          <w:lang w:val="ru-RU"/>
        </w:rPr>
        <w:t xml:space="preserve"> </w:t>
      </w:r>
      <w:r w:rsidRPr="00006356">
        <w:rPr>
          <w:rFonts w:cs="Arial"/>
          <w:sz w:val="15"/>
          <w:szCs w:val="15"/>
        </w:rPr>
        <w:t>File</w:t>
      </w:r>
      <w:r w:rsidRPr="0055116C">
        <w:rPr>
          <w:rFonts w:cs="Arial"/>
          <w:sz w:val="15"/>
          <w:szCs w:val="15"/>
          <w:lang w:val="ru-RU"/>
        </w:rPr>
        <w:t xml:space="preserve"> (онлайновая подача заявок), </w:t>
      </w:r>
      <w:r w:rsidRPr="00006356">
        <w:rPr>
          <w:rFonts w:cs="Arial"/>
          <w:sz w:val="15"/>
          <w:szCs w:val="15"/>
        </w:rPr>
        <w:t>WIPO</w:t>
      </w:r>
      <w:r w:rsidRPr="0055116C">
        <w:rPr>
          <w:rFonts w:cs="Arial"/>
          <w:sz w:val="15"/>
          <w:szCs w:val="15"/>
          <w:lang w:val="ru-RU"/>
        </w:rPr>
        <w:t xml:space="preserve"> </w:t>
      </w:r>
      <w:r w:rsidRPr="00006356">
        <w:rPr>
          <w:rFonts w:cs="Arial"/>
          <w:sz w:val="15"/>
          <w:szCs w:val="15"/>
        </w:rPr>
        <w:t>Piblish</w:t>
      </w:r>
      <w:r w:rsidRPr="0055116C">
        <w:rPr>
          <w:rFonts w:cs="Arial"/>
          <w:sz w:val="15"/>
          <w:szCs w:val="15"/>
          <w:lang w:val="ru-RU"/>
        </w:rPr>
        <w:t xml:space="preserve"> (онлайновая база данных с функцией поиска).</w:t>
      </w:r>
    </w:p>
    <w:p w:rsidR="0055116C" w:rsidRPr="0055116C" w:rsidRDefault="0055116C" w:rsidP="0055116C">
      <w:pPr>
        <w:autoSpaceDE w:val="0"/>
        <w:autoSpaceDN w:val="0"/>
        <w:adjustRightInd w:val="0"/>
        <w:jc w:val="both"/>
        <w:rPr>
          <w:rFonts w:cs="Arial"/>
          <w:szCs w:val="20"/>
          <w:lang w:val="ru-RU"/>
        </w:rPr>
      </w:pPr>
    </w:p>
    <w:p w:rsidR="0055116C" w:rsidRPr="0086013F" w:rsidRDefault="0055116C" w:rsidP="0086013F">
      <w:pPr>
        <w:rPr>
          <w:b/>
          <w:szCs w:val="20"/>
        </w:rPr>
      </w:pPr>
      <w:bookmarkStart w:id="100" w:name="_Toc455052834"/>
      <w:r w:rsidRPr="0086013F">
        <w:rPr>
          <w:b/>
        </w:rPr>
        <w:t>Платформы обмена ресурсами</w:t>
      </w:r>
      <w:bookmarkEnd w:id="100"/>
      <w:r w:rsidRPr="0086013F">
        <w:rPr>
          <w:b/>
        </w:rPr>
        <w:t xml:space="preserve"> </w:t>
      </w:r>
    </w:p>
    <w:p w:rsidR="0055116C" w:rsidRPr="00CE1FA2" w:rsidRDefault="0055116C" w:rsidP="0055116C">
      <w:pPr>
        <w:jc w:val="both"/>
        <w:rPr>
          <w:rFonts w:cs="Arial"/>
          <w:szCs w:val="20"/>
        </w:rPr>
      </w:pPr>
    </w:p>
    <w:tbl>
      <w:tblPr>
        <w:tblW w:w="0" w:type="auto"/>
        <w:tblInd w:w="108" w:type="dxa"/>
        <w:tblLook w:val="01E0" w:firstRow="1" w:lastRow="1" w:firstColumn="1" w:lastColumn="1" w:noHBand="0" w:noVBand="0"/>
      </w:tblPr>
      <w:tblGrid>
        <w:gridCol w:w="1843"/>
        <w:gridCol w:w="7371"/>
      </w:tblGrid>
      <w:tr w:rsidR="0055116C" w:rsidRPr="009022DD" w:rsidTr="0055116C">
        <w:tc>
          <w:tcPr>
            <w:tcW w:w="1843" w:type="dxa"/>
            <w:shd w:val="clear" w:color="auto" w:fill="auto"/>
          </w:tcPr>
          <w:p w:rsidR="0055116C" w:rsidRPr="00CE1FA2" w:rsidRDefault="0055116C" w:rsidP="0055116C">
            <w:pPr>
              <w:tabs>
                <w:tab w:val="center" w:pos="4320"/>
                <w:tab w:val="right" w:pos="8640"/>
              </w:tabs>
              <w:jc w:val="both"/>
              <w:rPr>
                <w:rFonts w:cs="Arial"/>
                <w:szCs w:val="20"/>
              </w:rPr>
            </w:pPr>
            <w:r>
              <w:t xml:space="preserve">СЦД ВОИС </w:t>
            </w:r>
          </w:p>
        </w:tc>
        <w:tc>
          <w:tcPr>
            <w:tcW w:w="7371" w:type="dxa"/>
            <w:shd w:val="clear" w:color="auto" w:fill="auto"/>
          </w:tcPr>
          <w:p w:rsidR="0055116C" w:rsidRPr="00CE1FA2" w:rsidRDefault="0055116C" w:rsidP="0055116C">
            <w:pPr>
              <w:shd w:val="clear" w:color="auto" w:fill="FFFFFF"/>
              <w:jc w:val="both"/>
              <w:rPr>
                <w:rFonts w:cs="Arial"/>
                <w:szCs w:val="20"/>
              </w:rPr>
            </w:pPr>
            <w:r w:rsidRPr="0055116C">
              <w:rPr>
                <w:lang w:val="ru-RU"/>
              </w:rPr>
              <w:t>На основе новых спецификаций и результатов обзора с участием ведомств-партнеров в декабре 2014</w:t>
            </w:r>
            <w:r>
              <w:t> </w:t>
            </w:r>
            <w:r w:rsidRPr="0055116C">
              <w:rPr>
                <w:lang w:val="ru-RU"/>
              </w:rPr>
              <w:t>г. была введена в эксплуатацию новая версия портала Службы цифрового доступа (СЦД) для содействия работе пересмотренного механизма СЦД</w:t>
            </w:r>
            <w:r>
              <w:t> </w:t>
            </w:r>
            <w:r w:rsidRPr="0055116C">
              <w:rPr>
                <w:lang w:val="ru-RU"/>
              </w:rPr>
              <w:t xml:space="preserve">2.0. </w:t>
            </w:r>
            <w:r>
              <w:t>Число участвующих ведомств не изменилось (11).</w:t>
            </w:r>
          </w:p>
          <w:p w:rsidR="0055116C" w:rsidRPr="00CE1FA2" w:rsidRDefault="0055116C" w:rsidP="0055116C">
            <w:pPr>
              <w:tabs>
                <w:tab w:val="center" w:pos="4320"/>
                <w:tab w:val="right" w:pos="8640"/>
              </w:tabs>
              <w:jc w:val="both"/>
              <w:rPr>
                <w:rFonts w:cs="Arial"/>
                <w:szCs w:val="20"/>
              </w:rPr>
            </w:pPr>
          </w:p>
        </w:tc>
      </w:tr>
      <w:tr w:rsidR="0055116C" w:rsidRPr="005C6ABD" w:rsidTr="0055116C">
        <w:tc>
          <w:tcPr>
            <w:tcW w:w="1843" w:type="dxa"/>
            <w:shd w:val="clear" w:color="auto" w:fill="auto"/>
          </w:tcPr>
          <w:p w:rsidR="0055116C" w:rsidRPr="00CE1FA2" w:rsidRDefault="0055116C" w:rsidP="0055116C">
            <w:pPr>
              <w:tabs>
                <w:tab w:val="center" w:pos="4320"/>
                <w:tab w:val="right" w:pos="8640"/>
              </w:tabs>
              <w:jc w:val="both"/>
              <w:rPr>
                <w:rFonts w:cs="Arial"/>
                <w:szCs w:val="20"/>
              </w:rPr>
            </w:pPr>
            <w:r>
              <w:t xml:space="preserve">CASE ВОИС </w:t>
            </w:r>
          </w:p>
        </w:tc>
        <w:tc>
          <w:tcPr>
            <w:tcW w:w="7371" w:type="dxa"/>
            <w:shd w:val="clear" w:color="auto" w:fill="auto"/>
          </w:tcPr>
          <w:p w:rsidR="0055116C" w:rsidRPr="0055116C" w:rsidRDefault="0055116C" w:rsidP="0055116C">
            <w:pPr>
              <w:tabs>
                <w:tab w:val="center" w:pos="4320"/>
                <w:tab w:val="right" w:pos="8640"/>
              </w:tabs>
              <w:jc w:val="both"/>
              <w:rPr>
                <w:rFonts w:cs="Arial"/>
                <w:szCs w:val="20"/>
                <w:lang w:val="ru-RU"/>
              </w:rPr>
            </w:pPr>
            <w:r w:rsidRPr="0055116C">
              <w:rPr>
                <w:lang w:val="ru-RU"/>
              </w:rPr>
              <w:t>В апреле 2014</w:t>
            </w:r>
            <w:r>
              <w:t> </w:t>
            </w:r>
            <w:r w:rsidRPr="0055116C">
              <w:rPr>
                <w:lang w:val="ru-RU"/>
              </w:rPr>
              <w:t>г. Система централизованного доступа к поиску и экспертизе ВОИС (</w:t>
            </w:r>
            <w:r>
              <w:t>CASE</w:t>
            </w:r>
            <w:r w:rsidRPr="0055116C">
              <w:rPr>
                <w:lang w:val="ru-RU"/>
              </w:rPr>
              <w:t>) была связана с системой единого портала доступа к досье группы «</w:t>
            </w:r>
            <w:r>
              <w:t>IP</w:t>
            </w:r>
            <w:r w:rsidRPr="0055116C">
              <w:rPr>
                <w:lang w:val="ru-RU"/>
              </w:rPr>
              <w:t xml:space="preserve">5», что позволило наладить двусторонний обмен информацией по досье между </w:t>
            </w:r>
            <w:r>
              <w:t>CASE</w:t>
            </w:r>
            <w:r w:rsidRPr="0055116C">
              <w:rPr>
                <w:lang w:val="ru-RU"/>
              </w:rPr>
              <w:t xml:space="preserve"> и ведомствами группы «</w:t>
            </w:r>
            <w:r>
              <w:t>IP</w:t>
            </w:r>
            <w:r w:rsidRPr="0055116C">
              <w:rPr>
                <w:lang w:val="ru-RU"/>
              </w:rPr>
              <w:t xml:space="preserve">5».  В рассматриваемый двухлетний период несколько новых ведомств зарегистрировались, чтобы использовать </w:t>
            </w:r>
            <w:r>
              <w:t>CASE</w:t>
            </w:r>
            <w:r w:rsidRPr="0055116C">
              <w:rPr>
                <w:lang w:val="ru-RU"/>
              </w:rPr>
              <w:t xml:space="preserve"> ВОИС. В итоге общее число участвующих ведомств составило 21, 10 из которых согласились предоставлять информацию по своим досье другим ведомствам.</w:t>
            </w:r>
          </w:p>
        </w:tc>
      </w:tr>
    </w:tbl>
    <w:p w:rsidR="0055116C" w:rsidRPr="0055116C" w:rsidRDefault="0055116C" w:rsidP="0055116C">
      <w:pPr>
        <w:tabs>
          <w:tab w:val="left" w:pos="567"/>
        </w:tabs>
        <w:jc w:val="both"/>
        <w:rPr>
          <w:rFonts w:cs="Arial"/>
          <w:bCs/>
          <w:szCs w:val="20"/>
          <w:lang w:val="ru-RU"/>
        </w:rPr>
      </w:pPr>
    </w:p>
    <w:p w:rsidR="0055116C" w:rsidRPr="0055116C" w:rsidRDefault="0055116C" w:rsidP="0055116C">
      <w:pPr>
        <w:pStyle w:val="ListParagraph"/>
        <w:numPr>
          <w:ilvl w:val="0"/>
          <w:numId w:val="8"/>
        </w:numPr>
        <w:tabs>
          <w:tab w:val="left" w:pos="567"/>
          <w:tab w:val="left" w:pos="709"/>
        </w:tabs>
        <w:ind w:left="0" w:firstLine="0"/>
        <w:jc w:val="both"/>
        <w:rPr>
          <w:rFonts w:cs="Arial"/>
          <w:bCs/>
          <w:lang w:val="ru-RU"/>
        </w:rPr>
      </w:pPr>
      <w:r w:rsidRPr="0055116C">
        <w:rPr>
          <w:lang w:val="ru-RU"/>
        </w:rPr>
        <w:t>Разработка, планирование и осуществление деятельности в рамках программы</w:t>
      </w:r>
      <w:r>
        <w:t> </w:t>
      </w:r>
      <w:r w:rsidRPr="0055116C">
        <w:rPr>
          <w:lang w:val="ru-RU"/>
        </w:rPr>
        <w:t>15 производились с учетом и на основе рекомендаций ПДР, в частности рекомендаций</w:t>
      </w:r>
      <w:r>
        <w:t> </w:t>
      </w:r>
      <w:r w:rsidRPr="0055116C">
        <w:rPr>
          <w:lang w:val="ru-RU"/>
        </w:rPr>
        <w:t>1,</w:t>
      </w:r>
      <w:r>
        <w:t> </w:t>
      </w:r>
      <w:r w:rsidRPr="0055116C">
        <w:rPr>
          <w:lang w:val="ru-RU"/>
        </w:rPr>
        <w:t>2 и</w:t>
      </w:r>
      <w:r>
        <w:t> </w:t>
      </w:r>
      <w:r w:rsidRPr="0055116C">
        <w:rPr>
          <w:lang w:val="ru-RU"/>
        </w:rPr>
        <w:t>10.</w:t>
      </w:r>
      <w:r>
        <w:t> </w:t>
      </w:r>
      <w:r w:rsidRPr="0055116C">
        <w:rPr>
          <w:lang w:val="ru-RU"/>
        </w:rPr>
        <w:t xml:space="preserve"> </w:t>
      </w:r>
    </w:p>
    <w:p w:rsidR="0055116C" w:rsidRPr="0055116C" w:rsidRDefault="0055116C" w:rsidP="0055116C">
      <w:pPr>
        <w:keepNext/>
        <w:keepLines/>
        <w:tabs>
          <w:tab w:val="left" w:pos="567"/>
        </w:tabs>
        <w:rPr>
          <w:lang w:val="ru-RU"/>
        </w:rPr>
      </w:pPr>
    </w:p>
    <w:p w:rsidR="0055116C" w:rsidRPr="00B2467D" w:rsidRDefault="0055116C" w:rsidP="0055116C">
      <w:pPr>
        <w:keepNext/>
        <w:keepLines/>
        <w:tabs>
          <w:tab w:val="left" w:pos="567"/>
        </w:tabs>
        <w:rPr>
          <w:rFonts w:cs="Arial"/>
          <w:szCs w:val="22"/>
        </w:rPr>
      </w:pPr>
      <w:r>
        <w:t>ДАННЫЕ О РЕЗУЛЬТАТИВНОСТИ</w:t>
      </w:r>
    </w:p>
    <w:p w:rsidR="0055116C" w:rsidRDefault="0055116C" w:rsidP="0055116C">
      <w:pPr>
        <w:keepNext/>
        <w:keepLines/>
        <w:jc w:val="both"/>
        <w:rPr>
          <w:rFonts w:cs="Arial"/>
          <w:bCs/>
          <w:szCs w:val="20"/>
        </w:rPr>
      </w:pPr>
    </w:p>
    <w:tbl>
      <w:tblPr>
        <w:tblW w:w="4882"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26"/>
        <w:gridCol w:w="2149"/>
        <w:gridCol w:w="1521"/>
        <w:gridCol w:w="2553"/>
        <w:gridCol w:w="996"/>
      </w:tblGrid>
      <w:tr w:rsidR="0055116C" w:rsidRPr="005C6ABD" w:rsidTr="0055116C">
        <w:tc>
          <w:tcPr>
            <w:tcW w:w="5000" w:type="pct"/>
            <w:gridSpan w:val="5"/>
            <w:tcBorders>
              <w:top w:val="single" w:sz="4" w:space="0" w:color="auto"/>
              <w:bottom w:val="single" w:sz="4" w:space="0" w:color="auto"/>
            </w:tcBorders>
            <w:shd w:val="clear" w:color="auto" w:fill="C6D9F1" w:themeFill="text2" w:themeFillTint="33"/>
            <w:vAlign w:val="center"/>
          </w:tcPr>
          <w:p w:rsidR="0055116C" w:rsidRPr="0055116C" w:rsidRDefault="0055116C" w:rsidP="00D340AF">
            <w:pPr>
              <w:keepNext/>
              <w:keepLines/>
              <w:tabs>
                <w:tab w:val="left" w:pos="2302"/>
              </w:tabs>
              <w:spacing w:before="120" w:after="120"/>
              <w:ind w:left="2302" w:hanging="2302"/>
              <w:rPr>
                <w:rFonts w:cs="Arial"/>
                <w:b/>
                <w:bCs/>
                <w:sz w:val="16"/>
                <w:szCs w:val="16"/>
                <w:lang w:val="ru-RU"/>
              </w:rPr>
            </w:pPr>
            <w:r w:rsidRPr="0055116C">
              <w:rPr>
                <w:b/>
                <w:sz w:val="16"/>
                <w:szCs w:val="16"/>
                <w:lang w:val="ru-RU"/>
              </w:rPr>
              <w:t xml:space="preserve">Ожидаемый результат: </w:t>
            </w:r>
            <w:r w:rsidRPr="0055116C">
              <w:rPr>
                <w:sz w:val="16"/>
                <w:szCs w:val="16"/>
                <w:lang w:val="ru-RU"/>
              </w:rPr>
              <w:tab/>
            </w:r>
            <w:r w:rsidRPr="00B01B40">
              <w:rPr>
                <w:sz w:val="16"/>
                <w:szCs w:val="16"/>
              </w:rPr>
              <w:t>IV</w:t>
            </w:r>
            <w:r w:rsidRPr="0055116C">
              <w:rPr>
                <w:sz w:val="16"/>
                <w:szCs w:val="16"/>
                <w:lang w:val="ru-RU"/>
              </w:rPr>
              <w:t xml:space="preserve">.4. Совершенствование технической инфраструктуры и </w:t>
            </w:r>
            <w:r w:rsidR="00D340AF">
              <w:rPr>
                <w:sz w:val="16"/>
                <w:szCs w:val="16"/>
                <w:lang w:val="ru-RU"/>
              </w:rPr>
              <w:t xml:space="preserve">инфраструктуры знаний ведомств </w:t>
            </w:r>
            <w:r w:rsidRPr="0055116C">
              <w:rPr>
                <w:sz w:val="16"/>
                <w:szCs w:val="16"/>
                <w:lang w:val="ru-RU"/>
              </w:rPr>
              <w:t>ИС и других учреждений ИС в целях повышения к</w:t>
            </w:r>
            <w:r w:rsidR="00D340AF">
              <w:rPr>
                <w:sz w:val="16"/>
                <w:szCs w:val="16"/>
                <w:lang w:val="ru-RU"/>
              </w:rPr>
              <w:t xml:space="preserve">ачества услуг (оказание более </w:t>
            </w:r>
            <w:r w:rsidRPr="0055116C">
              <w:rPr>
                <w:sz w:val="16"/>
                <w:szCs w:val="16"/>
                <w:lang w:val="ru-RU"/>
              </w:rPr>
              <w:t>качественных услуг быстрее и дешевле), предоставляемых их заинтересованным сторонам</w:t>
            </w:r>
          </w:p>
        </w:tc>
      </w:tr>
      <w:tr w:rsidR="0055116C" w:rsidRPr="00B01B40" w:rsidTr="0055116C">
        <w:tc>
          <w:tcPr>
            <w:tcW w:w="1137" w:type="pct"/>
            <w:tcBorders>
              <w:top w:val="single" w:sz="4" w:space="0" w:color="auto"/>
            </w:tcBorders>
            <w:shd w:val="clear" w:color="auto" w:fill="auto"/>
            <w:vAlign w:val="center"/>
          </w:tcPr>
          <w:p w:rsidR="0055116C" w:rsidRPr="00B01B40" w:rsidRDefault="0055116C" w:rsidP="0055116C">
            <w:pPr>
              <w:spacing w:after="40"/>
              <w:rPr>
                <w:rFonts w:cs="Arial"/>
                <w:sz w:val="16"/>
                <w:szCs w:val="16"/>
              </w:rPr>
            </w:pPr>
            <w:r w:rsidRPr="00B01B40">
              <w:rPr>
                <w:b/>
                <w:sz w:val="16"/>
                <w:szCs w:val="16"/>
              </w:rPr>
              <w:t>Показатели результативности</w:t>
            </w:r>
          </w:p>
        </w:tc>
        <w:tc>
          <w:tcPr>
            <w:tcW w:w="1150" w:type="pct"/>
            <w:tcBorders>
              <w:top w:val="single" w:sz="4" w:space="0" w:color="auto"/>
            </w:tcBorders>
            <w:shd w:val="clear" w:color="auto" w:fill="auto"/>
            <w:vAlign w:val="center"/>
          </w:tcPr>
          <w:p w:rsidR="0055116C" w:rsidRPr="00B01B40" w:rsidRDefault="0055116C" w:rsidP="0055116C">
            <w:pPr>
              <w:spacing w:after="40"/>
              <w:rPr>
                <w:rFonts w:cs="Arial"/>
                <w:b/>
                <w:bCs/>
                <w:sz w:val="16"/>
                <w:szCs w:val="16"/>
              </w:rPr>
            </w:pPr>
            <w:r w:rsidRPr="00B01B40">
              <w:rPr>
                <w:b/>
                <w:sz w:val="16"/>
                <w:szCs w:val="16"/>
              </w:rPr>
              <w:t>Базовые показатели</w:t>
            </w:r>
          </w:p>
        </w:tc>
        <w:tc>
          <w:tcPr>
            <w:tcW w:w="814" w:type="pct"/>
            <w:tcBorders>
              <w:top w:val="single" w:sz="4" w:space="0" w:color="auto"/>
            </w:tcBorders>
            <w:shd w:val="clear" w:color="auto" w:fill="auto"/>
            <w:tcMar>
              <w:top w:w="110" w:type="dxa"/>
            </w:tcMar>
            <w:vAlign w:val="center"/>
          </w:tcPr>
          <w:p w:rsidR="0055116C" w:rsidRPr="00B01B40" w:rsidRDefault="0055116C" w:rsidP="0055116C">
            <w:pPr>
              <w:spacing w:after="40"/>
              <w:rPr>
                <w:rFonts w:cs="Arial"/>
                <w:b/>
                <w:sz w:val="16"/>
                <w:szCs w:val="16"/>
              </w:rPr>
            </w:pPr>
            <w:r w:rsidRPr="00B01B40">
              <w:rPr>
                <w:b/>
                <w:sz w:val="16"/>
                <w:szCs w:val="16"/>
              </w:rPr>
              <w:t>Цели</w:t>
            </w:r>
          </w:p>
        </w:tc>
        <w:tc>
          <w:tcPr>
            <w:tcW w:w="1366" w:type="pct"/>
            <w:tcBorders>
              <w:top w:val="single" w:sz="4" w:space="0" w:color="auto"/>
            </w:tcBorders>
            <w:shd w:val="clear" w:color="auto" w:fill="FFFFFF"/>
            <w:tcMar>
              <w:top w:w="110" w:type="dxa"/>
            </w:tcMar>
            <w:vAlign w:val="center"/>
          </w:tcPr>
          <w:p w:rsidR="0055116C" w:rsidRPr="00B01B40" w:rsidRDefault="0055116C" w:rsidP="0055116C">
            <w:pPr>
              <w:spacing w:after="40"/>
              <w:rPr>
                <w:rFonts w:cs="Arial"/>
                <w:sz w:val="16"/>
                <w:szCs w:val="16"/>
              </w:rPr>
            </w:pPr>
            <w:r w:rsidRPr="00B01B40">
              <w:rPr>
                <w:b/>
                <w:sz w:val="16"/>
                <w:szCs w:val="16"/>
              </w:rPr>
              <w:t>Данные о результативности</w:t>
            </w:r>
          </w:p>
        </w:tc>
        <w:tc>
          <w:tcPr>
            <w:tcW w:w="533" w:type="pct"/>
            <w:tcBorders>
              <w:top w:val="single" w:sz="4" w:space="0" w:color="auto"/>
            </w:tcBorders>
            <w:shd w:val="clear" w:color="auto" w:fill="auto"/>
            <w:tcMar>
              <w:top w:w="110" w:type="dxa"/>
            </w:tcMar>
            <w:vAlign w:val="center"/>
          </w:tcPr>
          <w:p w:rsidR="0055116C" w:rsidRPr="00B01B40" w:rsidRDefault="0055116C" w:rsidP="0055116C">
            <w:pPr>
              <w:keepNext/>
              <w:keepLines/>
              <w:spacing w:after="40"/>
              <w:jc w:val="center"/>
              <w:rPr>
                <w:rFonts w:cs="Arial"/>
                <w:b/>
                <w:bCs/>
                <w:sz w:val="16"/>
                <w:szCs w:val="16"/>
              </w:rPr>
            </w:pPr>
            <w:r w:rsidRPr="00B01B40">
              <w:rPr>
                <w:b/>
                <w:sz w:val="16"/>
                <w:szCs w:val="16"/>
              </w:rPr>
              <w:t>CC</w:t>
            </w:r>
          </w:p>
        </w:tc>
      </w:tr>
      <w:tr w:rsidR="0055116C" w:rsidRPr="00B01B40" w:rsidTr="0055116C">
        <w:tc>
          <w:tcPr>
            <w:tcW w:w="1137" w:type="pct"/>
            <w:shd w:val="clear" w:color="auto" w:fill="auto"/>
          </w:tcPr>
          <w:p w:rsidR="0055116C" w:rsidRPr="0055116C" w:rsidRDefault="0055116C" w:rsidP="0055116C">
            <w:pPr>
              <w:rPr>
                <w:rFonts w:cs="Arial"/>
                <w:sz w:val="16"/>
                <w:szCs w:val="16"/>
                <w:lang w:val="ru-RU"/>
              </w:rPr>
            </w:pPr>
            <w:r w:rsidRPr="0055116C">
              <w:rPr>
                <w:sz w:val="16"/>
                <w:szCs w:val="16"/>
                <w:lang w:val="ru-RU"/>
              </w:rPr>
              <w:t>Число ведомств, использующих инфраструктурные платформы ВОИС</w:t>
            </w:r>
          </w:p>
        </w:tc>
        <w:tc>
          <w:tcPr>
            <w:tcW w:w="1150" w:type="pct"/>
            <w:shd w:val="clear" w:color="auto" w:fill="auto"/>
          </w:tcPr>
          <w:p w:rsidR="0055116C" w:rsidRPr="0055116C" w:rsidRDefault="0055116C" w:rsidP="0055116C">
            <w:pPr>
              <w:rPr>
                <w:rFonts w:cs="Arial"/>
                <w:color w:val="002060"/>
                <w:sz w:val="16"/>
                <w:szCs w:val="16"/>
                <w:lang w:val="ru-RU"/>
              </w:rPr>
            </w:pPr>
            <w:r w:rsidRPr="0055116C">
              <w:rPr>
                <w:i/>
                <w:color w:val="002060"/>
                <w:sz w:val="16"/>
                <w:szCs w:val="16"/>
                <w:lang w:val="ru-RU"/>
              </w:rPr>
              <w:t>Обновленные базовые показатели, конец 2013</w:t>
            </w:r>
            <w:r w:rsidRPr="00B01B40">
              <w:rPr>
                <w:i/>
                <w:color w:val="002060"/>
                <w:sz w:val="16"/>
                <w:szCs w:val="16"/>
              </w:rPr>
              <w:t> </w:t>
            </w:r>
            <w:r w:rsidRPr="0055116C">
              <w:rPr>
                <w:i/>
                <w:color w:val="002060"/>
                <w:sz w:val="16"/>
                <w:szCs w:val="16"/>
                <w:lang w:val="ru-RU"/>
              </w:rPr>
              <w:t>г.:</w:t>
            </w:r>
            <w:r w:rsidRPr="0055116C">
              <w:rPr>
                <w:color w:val="002060"/>
                <w:sz w:val="16"/>
                <w:szCs w:val="16"/>
                <w:lang w:val="ru-RU"/>
              </w:rPr>
              <w:t xml:space="preserve">  </w:t>
            </w:r>
          </w:p>
          <w:p w:rsidR="0055116C" w:rsidRPr="0055116C" w:rsidRDefault="0055116C" w:rsidP="0055116C">
            <w:pPr>
              <w:spacing w:after="120"/>
              <w:rPr>
                <w:rFonts w:cs="Arial"/>
                <w:color w:val="002060"/>
                <w:sz w:val="16"/>
                <w:szCs w:val="16"/>
                <w:lang w:val="ru-RU"/>
              </w:rPr>
            </w:pPr>
            <w:r w:rsidRPr="0055116C">
              <w:rPr>
                <w:color w:val="002060"/>
                <w:sz w:val="16"/>
                <w:szCs w:val="16"/>
                <w:lang w:val="ru-RU"/>
              </w:rPr>
              <w:t>страны Азиатско-Тихоокеанского региона</w:t>
            </w:r>
            <w:r>
              <w:rPr>
                <w:color w:val="002060"/>
                <w:sz w:val="16"/>
                <w:szCs w:val="16"/>
              </w:rPr>
              <w:t> </w:t>
            </w:r>
            <w:r w:rsidRPr="0055116C">
              <w:rPr>
                <w:color w:val="002060"/>
                <w:sz w:val="16"/>
                <w:szCs w:val="16"/>
                <w:lang w:val="ru-RU"/>
              </w:rPr>
              <w:t>(5): Китай, Монголия, Республика Корея</w:t>
            </w:r>
            <w:r w:rsidRPr="00B01B40">
              <w:rPr>
                <w:rStyle w:val="FootnoteReference"/>
                <w:color w:val="002060"/>
                <w:sz w:val="16"/>
                <w:szCs w:val="16"/>
              </w:rPr>
              <w:footnoteReference w:id="92"/>
            </w:r>
            <w:r w:rsidRPr="0055116C">
              <w:rPr>
                <w:color w:val="002060"/>
                <w:sz w:val="16"/>
                <w:szCs w:val="16"/>
                <w:lang w:val="ru-RU"/>
              </w:rPr>
              <w:t>, Сингапур, Вьетнам</w:t>
            </w:r>
          </w:p>
          <w:p w:rsidR="0055116C" w:rsidRPr="0055116C" w:rsidRDefault="0055116C" w:rsidP="0055116C">
            <w:pPr>
              <w:rPr>
                <w:rFonts w:cs="Arial"/>
                <w:color w:val="002060"/>
                <w:sz w:val="16"/>
                <w:szCs w:val="16"/>
                <w:lang w:val="ru-RU"/>
              </w:rPr>
            </w:pPr>
            <w:r w:rsidRPr="0055116C">
              <w:rPr>
                <w:color w:val="002060"/>
                <w:sz w:val="16"/>
                <w:szCs w:val="16"/>
                <w:lang w:val="ru-RU"/>
              </w:rPr>
              <w:t>Прочие (11): Австралия, Канада, Дания, Финляндия, Израиль, Япония, Новая Зеландия, Испания, Швеция, Соединенное Королевство, Соединенные Штаты Америки (всего 16)</w:t>
            </w:r>
          </w:p>
          <w:p w:rsidR="0055116C" w:rsidRPr="0055116C" w:rsidRDefault="0055116C" w:rsidP="0055116C">
            <w:pPr>
              <w:rPr>
                <w:rFonts w:cs="Arial"/>
                <w:i/>
                <w:sz w:val="16"/>
                <w:szCs w:val="16"/>
                <w:lang w:val="ru-RU"/>
              </w:rPr>
            </w:pPr>
          </w:p>
          <w:p w:rsidR="0055116C" w:rsidRPr="0055116C" w:rsidRDefault="0055116C" w:rsidP="0055116C">
            <w:pPr>
              <w:rPr>
                <w:rFonts w:cs="Arial"/>
                <w:sz w:val="16"/>
                <w:szCs w:val="16"/>
                <w:lang w:val="ru-RU"/>
              </w:rPr>
            </w:pPr>
            <w:r w:rsidRPr="0055116C">
              <w:rPr>
                <w:i/>
                <w:sz w:val="16"/>
                <w:szCs w:val="16"/>
                <w:lang w:val="ru-RU"/>
              </w:rPr>
              <w:t>Исходные базовые показатели ПиБ на 2014–2015 гг.:</w:t>
            </w:r>
            <w:r w:rsidRPr="0055116C">
              <w:rPr>
                <w:sz w:val="16"/>
                <w:szCs w:val="16"/>
                <w:lang w:val="ru-RU"/>
              </w:rPr>
              <w:t xml:space="preserve">  Северная Америка – 2  </w:t>
            </w:r>
          </w:p>
          <w:p w:rsidR="0055116C" w:rsidRPr="0055116C" w:rsidRDefault="0055116C" w:rsidP="0055116C">
            <w:pPr>
              <w:rPr>
                <w:rFonts w:cs="Arial"/>
                <w:sz w:val="16"/>
                <w:szCs w:val="16"/>
                <w:lang w:val="ru-RU"/>
              </w:rPr>
            </w:pPr>
            <w:r w:rsidRPr="0055116C">
              <w:rPr>
                <w:sz w:val="16"/>
                <w:szCs w:val="16"/>
                <w:lang w:val="ru-RU"/>
              </w:rPr>
              <w:t xml:space="preserve">Западная Европа – 7;  </w:t>
            </w:r>
          </w:p>
          <w:p w:rsidR="0055116C" w:rsidRPr="0055116C" w:rsidRDefault="0055116C" w:rsidP="0055116C">
            <w:pPr>
              <w:rPr>
                <w:rFonts w:cs="Arial"/>
                <w:sz w:val="16"/>
                <w:szCs w:val="16"/>
                <w:lang w:val="ru-RU"/>
              </w:rPr>
            </w:pPr>
            <w:r w:rsidRPr="0055116C">
              <w:rPr>
                <w:sz w:val="16"/>
                <w:szCs w:val="16"/>
                <w:lang w:val="ru-RU"/>
              </w:rPr>
              <w:t xml:space="preserve">Азиатско-Тихоокеанский регион – 6.  </w:t>
            </w:r>
          </w:p>
        </w:tc>
        <w:tc>
          <w:tcPr>
            <w:tcW w:w="814" w:type="pct"/>
            <w:shd w:val="clear" w:color="auto" w:fill="auto"/>
            <w:tcMar>
              <w:top w:w="110" w:type="dxa"/>
            </w:tcMar>
          </w:tcPr>
          <w:p w:rsidR="0055116C" w:rsidRPr="00B01B40" w:rsidRDefault="0055116C" w:rsidP="0055116C">
            <w:pPr>
              <w:rPr>
                <w:rFonts w:cs="Arial"/>
                <w:color w:val="000000" w:themeColor="text1"/>
                <w:sz w:val="16"/>
                <w:szCs w:val="16"/>
              </w:rPr>
            </w:pPr>
            <w:r w:rsidRPr="00B01B40">
              <w:rPr>
                <w:color w:val="000000" w:themeColor="text1"/>
                <w:sz w:val="16"/>
                <w:szCs w:val="16"/>
              </w:rPr>
              <w:t>25 (в разбивке по регионам)</w:t>
            </w:r>
          </w:p>
        </w:tc>
        <w:tc>
          <w:tcPr>
            <w:tcW w:w="1366" w:type="pct"/>
            <w:shd w:val="clear" w:color="auto" w:fill="FFFFFF"/>
            <w:tcMar>
              <w:top w:w="110" w:type="dxa"/>
            </w:tcMar>
          </w:tcPr>
          <w:p w:rsidR="0055116C" w:rsidRPr="00B01B40" w:rsidRDefault="0055116C" w:rsidP="0055116C">
            <w:pPr>
              <w:spacing w:after="120"/>
              <w:rPr>
                <w:rFonts w:cs="Arial"/>
                <w:color w:val="002060"/>
                <w:sz w:val="16"/>
                <w:szCs w:val="16"/>
              </w:rPr>
            </w:pPr>
            <w:r w:rsidRPr="00B01B40">
              <w:rPr>
                <w:color w:val="002060"/>
                <w:sz w:val="16"/>
                <w:szCs w:val="16"/>
              </w:rPr>
              <w:t>еще 9 ведомств в 2014–2015 гг.:</w:t>
            </w:r>
          </w:p>
          <w:p w:rsidR="0055116C" w:rsidRPr="0055116C" w:rsidRDefault="0055116C" w:rsidP="0055116C">
            <w:pPr>
              <w:pStyle w:val="ListParagraph"/>
              <w:numPr>
                <w:ilvl w:val="0"/>
                <w:numId w:val="13"/>
              </w:numPr>
              <w:spacing w:after="120"/>
              <w:rPr>
                <w:rFonts w:cs="Arial"/>
                <w:color w:val="002060"/>
                <w:sz w:val="16"/>
                <w:szCs w:val="16"/>
                <w:lang w:val="ru-RU"/>
              </w:rPr>
            </w:pPr>
            <w:r w:rsidRPr="0055116C">
              <w:rPr>
                <w:color w:val="002060"/>
                <w:sz w:val="16"/>
                <w:szCs w:val="16"/>
                <w:lang w:val="ru-RU"/>
              </w:rPr>
              <w:t xml:space="preserve">еще 7 ведомств в Азиатско-Тихоокеанском регионе (всего 12): Бруней-Даруссалам, Индия, Индонезия, Лаосская Народно-Демократическая   Республика, Малайзия, Филиппины, Таиланд, </w:t>
            </w:r>
          </w:p>
          <w:p w:rsidR="0055116C" w:rsidRPr="0055116C" w:rsidRDefault="0055116C" w:rsidP="0055116C">
            <w:pPr>
              <w:pStyle w:val="ListParagraph"/>
              <w:numPr>
                <w:ilvl w:val="0"/>
                <w:numId w:val="13"/>
              </w:numPr>
              <w:spacing w:after="120"/>
              <w:rPr>
                <w:sz w:val="16"/>
                <w:szCs w:val="16"/>
                <w:lang w:val="ru-RU"/>
              </w:rPr>
            </w:pPr>
            <w:r w:rsidRPr="0055116C">
              <w:rPr>
                <w:color w:val="002060"/>
                <w:sz w:val="16"/>
                <w:szCs w:val="16"/>
                <w:lang w:val="ru-RU"/>
              </w:rPr>
              <w:t xml:space="preserve">еще 1 ведомство в регионе Латинской Америки и Карибского бассейна (всего 1): Чили </w:t>
            </w:r>
          </w:p>
          <w:p w:rsidR="0055116C" w:rsidRPr="0055116C" w:rsidRDefault="0055116C" w:rsidP="0055116C">
            <w:pPr>
              <w:pStyle w:val="ListParagraph"/>
              <w:numPr>
                <w:ilvl w:val="0"/>
                <w:numId w:val="13"/>
              </w:numPr>
              <w:rPr>
                <w:color w:val="000000" w:themeColor="text1"/>
                <w:sz w:val="16"/>
                <w:szCs w:val="16"/>
                <w:lang w:val="ru-RU"/>
              </w:rPr>
            </w:pPr>
            <w:r w:rsidRPr="0055116C">
              <w:rPr>
                <w:color w:val="002060"/>
                <w:sz w:val="16"/>
                <w:szCs w:val="16"/>
                <w:lang w:val="ru-RU"/>
              </w:rPr>
              <w:t>еще 1 ведомство в категории «прочие страны» (всего 17): Международное бюро</w:t>
            </w:r>
          </w:p>
          <w:p w:rsidR="0055116C" w:rsidRPr="0055116C" w:rsidRDefault="0055116C" w:rsidP="0055116C">
            <w:pPr>
              <w:pStyle w:val="ListParagraph"/>
              <w:ind w:left="360"/>
              <w:rPr>
                <w:color w:val="000000" w:themeColor="text1"/>
                <w:sz w:val="16"/>
                <w:szCs w:val="16"/>
                <w:lang w:val="ru-RU"/>
              </w:rPr>
            </w:pPr>
          </w:p>
          <w:p w:rsidR="0055116C" w:rsidRPr="00B01B40" w:rsidRDefault="0055116C" w:rsidP="0055116C">
            <w:pPr>
              <w:ind w:left="360"/>
              <w:rPr>
                <w:rFonts w:cs="Arial"/>
                <w:color w:val="002060"/>
                <w:sz w:val="16"/>
                <w:szCs w:val="16"/>
              </w:rPr>
            </w:pPr>
            <w:r w:rsidRPr="0055116C">
              <w:rPr>
                <w:color w:val="002060"/>
                <w:sz w:val="16"/>
                <w:szCs w:val="16"/>
                <w:lang w:val="ru-RU"/>
              </w:rPr>
              <w:t xml:space="preserve"> </w:t>
            </w:r>
            <w:r w:rsidRPr="00B01B40">
              <w:rPr>
                <w:color w:val="002060"/>
                <w:sz w:val="16"/>
                <w:szCs w:val="16"/>
              </w:rPr>
              <w:t>(всего 25 ведомств)</w:t>
            </w:r>
          </w:p>
          <w:p w:rsidR="0055116C" w:rsidRPr="00B01B40" w:rsidRDefault="0055116C" w:rsidP="0055116C">
            <w:pPr>
              <w:rPr>
                <w:rFonts w:cs="Arial"/>
                <w:color w:val="000000" w:themeColor="text1"/>
                <w:sz w:val="16"/>
                <w:szCs w:val="16"/>
              </w:rPr>
            </w:pPr>
          </w:p>
        </w:tc>
        <w:tc>
          <w:tcPr>
            <w:tcW w:w="533" w:type="pct"/>
            <w:shd w:val="clear" w:color="auto" w:fill="auto"/>
            <w:tcMar>
              <w:top w:w="110" w:type="dxa"/>
            </w:tcMar>
          </w:tcPr>
          <w:p w:rsidR="0055116C" w:rsidRPr="00B01B40" w:rsidRDefault="0055116C" w:rsidP="0055116C">
            <w:pPr>
              <w:keepNext/>
              <w:keepLines/>
              <w:jc w:val="center"/>
              <w:rPr>
                <w:rFonts w:cs="Arial"/>
                <w:b/>
                <w:bCs/>
                <w:color w:val="00B050"/>
                <w:sz w:val="16"/>
                <w:szCs w:val="16"/>
              </w:rPr>
            </w:pPr>
            <w:r w:rsidRPr="00B01B40">
              <w:rPr>
                <w:b/>
                <w:color w:val="00B050"/>
                <w:sz w:val="16"/>
                <w:szCs w:val="16"/>
              </w:rPr>
              <w:t>Выполнено</w:t>
            </w:r>
          </w:p>
        </w:tc>
      </w:tr>
      <w:tr w:rsidR="0055116C" w:rsidRPr="00B01B40" w:rsidTr="0055116C">
        <w:tc>
          <w:tcPr>
            <w:tcW w:w="1137" w:type="pct"/>
            <w:shd w:val="clear" w:color="auto" w:fill="auto"/>
          </w:tcPr>
          <w:p w:rsidR="0055116C" w:rsidRPr="0055116C" w:rsidRDefault="0055116C" w:rsidP="0055116C">
            <w:pPr>
              <w:ind w:firstLineChars="3" w:firstLine="5"/>
              <w:rPr>
                <w:rFonts w:cs="Arial"/>
                <w:sz w:val="16"/>
                <w:szCs w:val="16"/>
                <w:lang w:val="ru-RU"/>
              </w:rPr>
            </w:pPr>
            <w:r w:rsidRPr="0055116C">
              <w:rPr>
                <w:sz w:val="16"/>
                <w:szCs w:val="16"/>
                <w:lang w:val="ru-RU"/>
              </w:rPr>
              <w:t>Средний уровень услуг ведомств ИС, получивших помощь (оценка от 1 до 5)</w:t>
            </w:r>
          </w:p>
        </w:tc>
        <w:tc>
          <w:tcPr>
            <w:tcW w:w="1150" w:type="pct"/>
            <w:shd w:val="clear" w:color="auto" w:fill="auto"/>
          </w:tcPr>
          <w:p w:rsidR="0055116C" w:rsidRPr="0055116C" w:rsidRDefault="0055116C" w:rsidP="0055116C">
            <w:pPr>
              <w:rPr>
                <w:rFonts w:cs="Arial"/>
                <w:color w:val="002060"/>
                <w:sz w:val="16"/>
                <w:szCs w:val="16"/>
                <w:lang w:val="ru-RU"/>
              </w:rPr>
            </w:pPr>
            <w:r w:rsidRPr="0055116C">
              <w:rPr>
                <w:i/>
                <w:color w:val="002060"/>
                <w:sz w:val="16"/>
                <w:szCs w:val="16"/>
                <w:lang w:val="ru-RU"/>
              </w:rPr>
              <w:t>Обновленные базовые показатели, конец 2013</w:t>
            </w:r>
            <w:r w:rsidRPr="00B01B40">
              <w:rPr>
                <w:i/>
                <w:color w:val="002060"/>
                <w:sz w:val="16"/>
                <w:szCs w:val="16"/>
              </w:rPr>
              <w:t> </w:t>
            </w:r>
            <w:r w:rsidRPr="0055116C">
              <w:rPr>
                <w:i/>
                <w:color w:val="002060"/>
                <w:sz w:val="16"/>
                <w:szCs w:val="16"/>
                <w:lang w:val="ru-RU"/>
              </w:rPr>
              <w:t>г.:</w:t>
            </w:r>
            <w:r w:rsidRPr="0055116C">
              <w:rPr>
                <w:color w:val="002060"/>
                <w:sz w:val="16"/>
                <w:szCs w:val="16"/>
                <w:lang w:val="ru-RU"/>
              </w:rPr>
              <w:t xml:space="preserve">  </w:t>
            </w:r>
            <w:r w:rsidRPr="0055116C">
              <w:rPr>
                <w:color w:val="000000" w:themeColor="text1"/>
                <w:sz w:val="16"/>
                <w:szCs w:val="16"/>
                <w:lang w:val="ru-RU"/>
              </w:rPr>
              <w:t>2,8</w:t>
            </w:r>
          </w:p>
          <w:p w:rsidR="0055116C" w:rsidRPr="0055116C" w:rsidRDefault="0055116C" w:rsidP="0055116C">
            <w:pPr>
              <w:rPr>
                <w:rFonts w:cs="Arial"/>
                <w:i/>
                <w:sz w:val="16"/>
                <w:szCs w:val="16"/>
                <w:lang w:val="ru-RU"/>
              </w:rPr>
            </w:pPr>
          </w:p>
          <w:p w:rsidR="0055116C" w:rsidRPr="0055116C" w:rsidRDefault="0055116C" w:rsidP="0055116C">
            <w:pPr>
              <w:rPr>
                <w:rFonts w:cs="Arial"/>
                <w:sz w:val="16"/>
                <w:szCs w:val="16"/>
                <w:lang w:val="ru-RU"/>
              </w:rPr>
            </w:pPr>
            <w:r w:rsidRPr="0055116C">
              <w:rPr>
                <w:i/>
                <w:sz w:val="16"/>
                <w:szCs w:val="16"/>
                <w:lang w:val="ru-RU"/>
              </w:rPr>
              <w:t>Исходные базовые показатели ПиБ на 2014–2015 гг.:</w:t>
            </w:r>
            <w:r w:rsidRPr="0055116C">
              <w:rPr>
                <w:sz w:val="16"/>
                <w:szCs w:val="16"/>
                <w:lang w:val="ru-RU"/>
              </w:rPr>
              <w:t xml:space="preserve">  будет определено позднее</w:t>
            </w:r>
          </w:p>
          <w:p w:rsidR="0055116C" w:rsidRPr="0055116C" w:rsidRDefault="0055116C" w:rsidP="0055116C">
            <w:pPr>
              <w:rPr>
                <w:rFonts w:cs="Arial"/>
                <w:sz w:val="16"/>
                <w:szCs w:val="16"/>
                <w:lang w:val="ru-RU"/>
              </w:rPr>
            </w:pPr>
          </w:p>
        </w:tc>
        <w:tc>
          <w:tcPr>
            <w:tcW w:w="814" w:type="pct"/>
            <w:shd w:val="clear" w:color="auto" w:fill="auto"/>
            <w:tcMar>
              <w:top w:w="110" w:type="dxa"/>
            </w:tcMar>
          </w:tcPr>
          <w:p w:rsidR="0055116C" w:rsidRPr="0055116C" w:rsidRDefault="0055116C" w:rsidP="0055116C">
            <w:pPr>
              <w:pStyle w:val="Default"/>
              <w:rPr>
                <w:rFonts w:eastAsia="Times New Roman"/>
                <w:color w:val="002060"/>
                <w:sz w:val="16"/>
                <w:szCs w:val="16"/>
                <w:lang w:val="ru-RU"/>
              </w:rPr>
            </w:pPr>
            <w:r w:rsidRPr="0055116C">
              <w:rPr>
                <w:i/>
                <w:color w:val="002060"/>
                <w:sz w:val="16"/>
                <w:szCs w:val="16"/>
                <w:lang w:val="ru-RU"/>
              </w:rPr>
              <w:t xml:space="preserve">Установленный целевой показатель: </w:t>
            </w:r>
            <w:r w:rsidRPr="0055116C">
              <w:rPr>
                <w:color w:val="002060"/>
                <w:sz w:val="16"/>
                <w:szCs w:val="16"/>
                <w:lang w:val="ru-RU"/>
              </w:rPr>
              <w:t>3</w:t>
            </w:r>
          </w:p>
          <w:p w:rsidR="0055116C" w:rsidRPr="0055116C" w:rsidRDefault="0055116C" w:rsidP="0055116C">
            <w:pPr>
              <w:pStyle w:val="Default"/>
              <w:rPr>
                <w:rFonts w:eastAsia="Times New Roman"/>
                <w:color w:val="002060"/>
                <w:sz w:val="16"/>
                <w:szCs w:val="16"/>
                <w:lang w:val="ru-RU"/>
              </w:rPr>
            </w:pPr>
          </w:p>
          <w:p w:rsidR="0055116C" w:rsidRPr="0055116C" w:rsidRDefault="0055116C" w:rsidP="0055116C">
            <w:pPr>
              <w:pStyle w:val="Default"/>
              <w:rPr>
                <w:color w:val="000000" w:themeColor="text1"/>
                <w:sz w:val="16"/>
                <w:szCs w:val="16"/>
                <w:lang w:val="ru-RU"/>
              </w:rPr>
            </w:pPr>
            <w:r w:rsidRPr="0055116C">
              <w:rPr>
                <w:i/>
                <w:color w:val="002060"/>
                <w:sz w:val="16"/>
                <w:szCs w:val="16"/>
                <w:lang w:val="ru-RU"/>
              </w:rPr>
              <w:t xml:space="preserve">Исходные целевые показатели ПиБ на 2014–2015 гг.: </w:t>
            </w:r>
            <w:r w:rsidRPr="0055116C">
              <w:rPr>
                <w:color w:val="002060"/>
                <w:sz w:val="16"/>
                <w:szCs w:val="16"/>
                <w:lang w:val="ru-RU"/>
              </w:rPr>
              <w:t>будет определено позднее</w:t>
            </w:r>
          </w:p>
        </w:tc>
        <w:tc>
          <w:tcPr>
            <w:tcW w:w="1366" w:type="pct"/>
            <w:shd w:val="clear" w:color="auto" w:fill="FFFFFF"/>
            <w:tcMar>
              <w:top w:w="110" w:type="dxa"/>
            </w:tcMar>
          </w:tcPr>
          <w:p w:rsidR="0055116C" w:rsidRPr="00B01B40" w:rsidRDefault="0055116C" w:rsidP="0055116C">
            <w:pPr>
              <w:rPr>
                <w:color w:val="000000" w:themeColor="text1"/>
                <w:sz w:val="16"/>
                <w:szCs w:val="16"/>
              </w:rPr>
            </w:pPr>
            <w:r w:rsidRPr="00B01B40">
              <w:rPr>
                <w:color w:val="000000" w:themeColor="text1"/>
                <w:sz w:val="16"/>
                <w:szCs w:val="16"/>
              </w:rPr>
              <w:t>Всего: 2,9</w:t>
            </w:r>
          </w:p>
          <w:p w:rsidR="0055116C" w:rsidRPr="00B01B40" w:rsidRDefault="0055116C" w:rsidP="0055116C">
            <w:pPr>
              <w:pStyle w:val="ListParagraph"/>
              <w:numPr>
                <w:ilvl w:val="0"/>
                <w:numId w:val="5"/>
              </w:numPr>
              <w:rPr>
                <w:color w:val="000000" w:themeColor="text1"/>
                <w:sz w:val="16"/>
                <w:szCs w:val="16"/>
              </w:rPr>
            </w:pPr>
            <w:r w:rsidRPr="00B01B40">
              <w:rPr>
                <w:color w:val="000000" w:themeColor="text1"/>
                <w:sz w:val="16"/>
                <w:szCs w:val="16"/>
              </w:rPr>
              <w:t>Африка: 2,9</w:t>
            </w:r>
          </w:p>
          <w:p w:rsidR="0055116C" w:rsidRPr="00B01B40" w:rsidRDefault="0055116C" w:rsidP="0055116C">
            <w:pPr>
              <w:pStyle w:val="ListParagraph"/>
              <w:numPr>
                <w:ilvl w:val="0"/>
                <w:numId w:val="5"/>
              </w:numPr>
              <w:rPr>
                <w:color w:val="000000" w:themeColor="text1"/>
                <w:sz w:val="16"/>
                <w:szCs w:val="16"/>
              </w:rPr>
            </w:pPr>
            <w:r w:rsidRPr="00B01B40">
              <w:rPr>
                <w:color w:val="000000" w:themeColor="text1"/>
                <w:sz w:val="16"/>
                <w:szCs w:val="16"/>
              </w:rPr>
              <w:t>Арабский регион: 2,8</w:t>
            </w:r>
          </w:p>
          <w:p w:rsidR="0055116C" w:rsidRPr="00B01B40" w:rsidRDefault="0055116C" w:rsidP="0055116C">
            <w:pPr>
              <w:pStyle w:val="ListParagraph"/>
              <w:numPr>
                <w:ilvl w:val="0"/>
                <w:numId w:val="5"/>
              </w:numPr>
              <w:rPr>
                <w:color w:val="000000" w:themeColor="text1"/>
                <w:sz w:val="16"/>
                <w:szCs w:val="16"/>
              </w:rPr>
            </w:pPr>
            <w:r w:rsidRPr="00B01B40">
              <w:rPr>
                <w:color w:val="000000" w:themeColor="text1"/>
                <w:sz w:val="16"/>
                <w:szCs w:val="16"/>
              </w:rPr>
              <w:t>Азиатско-Тихоокеанский регион: 2,7</w:t>
            </w:r>
          </w:p>
          <w:p w:rsidR="0055116C" w:rsidRPr="0055116C" w:rsidRDefault="0055116C" w:rsidP="0055116C">
            <w:pPr>
              <w:pStyle w:val="ListParagraph"/>
              <w:numPr>
                <w:ilvl w:val="0"/>
                <w:numId w:val="5"/>
              </w:numPr>
              <w:rPr>
                <w:color w:val="000000" w:themeColor="text1"/>
                <w:sz w:val="16"/>
                <w:szCs w:val="16"/>
                <w:lang w:val="ru-RU"/>
              </w:rPr>
            </w:pPr>
            <w:r w:rsidRPr="0055116C">
              <w:rPr>
                <w:color w:val="000000" w:themeColor="text1"/>
                <w:sz w:val="16"/>
                <w:szCs w:val="16"/>
                <w:lang w:val="ru-RU"/>
              </w:rPr>
              <w:t>Отдельные страны Европы и Азии: 3,3</w:t>
            </w:r>
          </w:p>
          <w:p w:rsidR="0055116C" w:rsidRPr="0055116C" w:rsidRDefault="0055116C" w:rsidP="0055116C">
            <w:pPr>
              <w:pStyle w:val="ListParagraph"/>
              <w:numPr>
                <w:ilvl w:val="0"/>
                <w:numId w:val="5"/>
              </w:numPr>
              <w:rPr>
                <w:color w:val="000000" w:themeColor="text1"/>
                <w:sz w:val="16"/>
                <w:szCs w:val="16"/>
                <w:lang w:val="ru-RU"/>
              </w:rPr>
            </w:pPr>
            <w:r w:rsidRPr="0055116C">
              <w:rPr>
                <w:color w:val="000000" w:themeColor="text1"/>
                <w:sz w:val="16"/>
                <w:szCs w:val="16"/>
                <w:lang w:val="ru-RU"/>
              </w:rPr>
              <w:t>Латинская Америка и страны Карибского бассейна: 3</w:t>
            </w:r>
          </w:p>
          <w:p w:rsidR="0055116C" w:rsidRPr="00B01B40" w:rsidRDefault="0055116C" w:rsidP="0055116C">
            <w:pPr>
              <w:pStyle w:val="ListParagraph"/>
              <w:numPr>
                <w:ilvl w:val="0"/>
                <w:numId w:val="5"/>
              </w:numPr>
              <w:rPr>
                <w:color w:val="000000" w:themeColor="text1"/>
                <w:sz w:val="16"/>
                <w:szCs w:val="16"/>
              </w:rPr>
            </w:pPr>
            <w:r w:rsidRPr="00B01B40">
              <w:rPr>
                <w:color w:val="000000" w:themeColor="text1"/>
                <w:sz w:val="16"/>
                <w:szCs w:val="16"/>
              </w:rPr>
              <w:t>Прочее: 2,5</w:t>
            </w:r>
          </w:p>
        </w:tc>
        <w:tc>
          <w:tcPr>
            <w:tcW w:w="533" w:type="pct"/>
            <w:shd w:val="clear" w:color="auto" w:fill="auto"/>
            <w:tcMar>
              <w:top w:w="110" w:type="dxa"/>
            </w:tcMar>
          </w:tcPr>
          <w:p w:rsidR="0055116C" w:rsidRPr="00B01B40" w:rsidRDefault="0055116C" w:rsidP="0055116C">
            <w:pPr>
              <w:keepNext/>
              <w:keepLines/>
              <w:jc w:val="center"/>
              <w:rPr>
                <w:rStyle w:val="Style5"/>
                <w:b/>
                <w:color w:val="00B050"/>
                <w:sz w:val="16"/>
                <w:szCs w:val="16"/>
              </w:rPr>
            </w:pPr>
            <w:r w:rsidRPr="00B01B40">
              <w:rPr>
                <w:b/>
                <w:color w:val="00B050"/>
                <w:sz w:val="16"/>
                <w:szCs w:val="16"/>
              </w:rPr>
              <w:t>Выполнено</w:t>
            </w:r>
          </w:p>
        </w:tc>
      </w:tr>
      <w:tr w:rsidR="0055116C" w:rsidRPr="00B01B40" w:rsidTr="0055116C">
        <w:tc>
          <w:tcPr>
            <w:tcW w:w="1137" w:type="pct"/>
            <w:shd w:val="clear" w:color="auto" w:fill="auto"/>
          </w:tcPr>
          <w:p w:rsidR="0055116C" w:rsidRPr="0055116C" w:rsidRDefault="0055116C" w:rsidP="0055116C">
            <w:pPr>
              <w:ind w:firstLineChars="3" w:firstLine="5"/>
              <w:rPr>
                <w:rFonts w:cs="Arial"/>
                <w:sz w:val="16"/>
                <w:szCs w:val="16"/>
                <w:lang w:val="ru-RU"/>
              </w:rPr>
            </w:pPr>
            <w:r w:rsidRPr="0055116C">
              <w:rPr>
                <w:sz w:val="16"/>
                <w:szCs w:val="16"/>
                <w:lang w:val="ru-RU"/>
              </w:rPr>
              <w:t xml:space="preserve">Число организаций коллективного управления (ОКУ) в развивающихся странах и НРС, участвующих в региональных и глобальных сетях при содействии ВОИС </w:t>
            </w:r>
          </w:p>
        </w:tc>
        <w:tc>
          <w:tcPr>
            <w:tcW w:w="1150" w:type="pct"/>
            <w:shd w:val="clear" w:color="auto" w:fill="auto"/>
          </w:tcPr>
          <w:p w:rsidR="0055116C" w:rsidRPr="00B01B40" w:rsidRDefault="0055116C" w:rsidP="0055116C">
            <w:pPr>
              <w:rPr>
                <w:rFonts w:cs="Arial"/>
                <w:i/>
                <w:sz w:val="16"/>
                <w:szCs w:val="16"/>
              </w:rPr>
            </w:pPr>
            <w:r w:rsidRPr="00B01B40">
              <w:rPr>
                <w:sz w:val="16"/>
                <w:szCs w:val="16"/>
              </w:rPr>
              <w:t>0 (отсутствуют)</w:t>
            </w:r>
          </w:p>
        </w:tc>
        <w:tc>
          <w:tcPr>
            <w:tcW w:w="814" w:type="pct"/>
            <w:shd w:val="clear" w:color="auto" w:fill="auto"/>
            <w:tcMar>
              <w:top w:w="110" w:type="dxa"/>
            </w:tcMar>
          </w:tcPr>
          <w:p w:rsidR="0055116C" w:rsidRPr="00B01B40" w:rsidRDefault="0055116C" w:rsidP="0055116C">
            <w:pPr>
              <w:pStyle w:val="Default"/>
              <w:rPr>
                <w:i/>
                <w:color w:val="000000" w:themeColor="text1"/>
                <w:sz w:val="16"/>
                <w:szCs w:val="16"/>
              </w:rPr>
            </w:pPr>
            <w:r w:rsidRPr="00B01B40">
              <w:rPr>
                <w:color w:val="000000" w:themeColor="text1"/>
                <w:sz w:val="16"/>
                <w:szCs w:val="16"/>
              </w:rPr>
              <w:t>10</w:t>
            </w:r>
          </w:p>
        </w:tc>
        <w:tc>
          <w:tcPr>
            <w:tcW w:w="1366" w:type="pct"/>
            <w:shd w:val="clear" w:color="auto" w:fill="FFFFFF"/>
            <w:tcMar>
              <w:top w:w="110" w:type="dxa"/>
            </w:tcMar>
          </w:tcPr>
          <w:p w:rsidR="0055116C" w:rsidRPr="0055116C" w:rsidRDefault="0055116C" w:rsidP="0055116C">
            <w:pPr>
              <w:rPr>
                <w:rFonts w:cs="Arial"/>
                <w:color w:val="000000" w:themeColor="text1"/>
                <w:sz w:val="16"/>
                <w:szCs w:val="16"/>
                <w:lang w:val="ru-RU"/>
              </w:rPr>
            </w:pPr>
            <w:r w:rsidRPr="0055116C">
              <w:rPr>
                <w:color w:val="000000" w:themeColor="text1"/>
                <w:sz w:val="16"/>
                <w:szCs w:val="16"/>
                <w:lang w:val="ru-RU"/>
              </w:rPr>
              <w:t>В конце двухлетнего периода 2014–2015</w:t>
            </w:r>
            <w:r w:rsidRPr="00B01B40">
              <w:rPr>
                <w:color w:val="000000" w:themeColor="text1"/>
                <w:sz w:val="16"/>
                <w:szCs w:val="16"/>
              </w:rPr>
              <w:t> </w:t>
            </w:r>
            <w:r w:rsidRPr="0055116C">
              <w:rPr>
                <w:color w:val="000000" w:themeColor="text1"/>
                <w:sz w:val="16"/>
                <w:szCs w:val="16"/>
                <w:lang w:val="ru-RU"/>
              </w:rPr>
              <w:t xml:space="preserve">гг. система </w:t>
            </w:r>
            <w:r w:rsidRPr="00B01B40">
              <w:rPr>
                <w:color w:val="000000" w:themeColor="text1"/>
                <w:sz w:val="16"/>
                <w:szCs w:val="16"/>
              </w:rPr>
              <w:t>WCC</w:t>
            </w:r>
            <w:r w:rsidRPr="0055116C">
              <w:rPr>
                <w:color w:val="000000" w:themeColor="text1"/>
                <w:sz w:val="16"/>
                <w:szCs w:val="16"/>
                <w:lang w:val="ru-RU"/>
              </w:rPr>
              <w:t xml:space="preserve"> находилась на заключительной стадии разработки. Она будет внедряться в ОКУ развивающихся стран и НРС с 2016</w:t>
            </w:r>
            <w:r w:rsidRPr="00B01B40">
              <w:rPr>
                <w:color w:val="000000" w:themeColor="text1"/>
                <w:sz w:val="16"/>
                <w:szCs w:val="16"/>
              </w:rPr>
              <w:t> </w:t>
            </w:r>
            <w:r w:rsidRPr="0055116C">
              <w:rPr>
                <w:color w:val="000000" w:themeColor="text1"/>
                <w:sz w:val="16"/>
                <w:szCs w:val="16"/>
                <w:lang w:val="ru-RU"/>
              </w:rPr>
              <w:t>г.</w:t>
            </w:r>
          </w:p>
        </w:tc>
        <w:tc>
          <w:tcPr>
            <w:tcW w:w="533" w:type="pct"/>
            <w:shd w:val="clear" w:color="auto" w:fill="auto"/>
            <w:tcMar>
              <w:top w:w="110" w:type="dxa"/>
            </w:tcMar>
          </w:tcPr>
          <w:p w:rsidR="0055116C" w:rsidRPr="00B01B40" w:rsidRDefault="0055116C" w:rsidP="0055116C">
            <w:pPr>
              <w:keepNext/>
              <w:keepLines/>
              <w:jc w:val="center"/>
              <w:rPr>
                <w:rFonts w:cs="Arial"/>
                <w:b/>
                <w:bCs/>
                <w:color w:val="FF0000"/>
                <w:sz w:val="16"/>
                <w:szCs w:val="16"/>
              </w:rPr>
            </w:pPr>
            <w:r w:rsidRPr="00B01B40">
              <w:rPr>
                <w:b/>
                <w:color w:val="FF0000"/>
                <w:sz w:val="16"/>
                <w:szCs w:val="16"/>
              </w:rPr>
              <w:t>Не выполнено</w:t>
            </w:r>
          </w:p>
        </w:tc>
      </w:tr>
    </w:tbl>
    <w:p w:rsidR="0055116C" w:rsidRDefault="0055116C" w:rsidP="0055116C">
      <w:pPr>
        <w:rPr>
          <w:rFonts w:cs="Arial"/>
          <w:color w:val="000000"/>
          <w:szCs w:val="20"/>
        </w:rPr>
      </w:pPr>
    </w:p>
    <w:p w:rsidR="0055116C" w:rsidRPr="0055116C" w:rsidRDefault="0055116C" w:rsidP="0055116C">
      <w:pPr>
        <w:keepNext/>
        <w:keepLines/>
        <w:rPr>
          <w:rFonts w:cs="Arial"/>
          <w:color w:val="000000"/>
          <w:sz w:val="22"/>
          <w:szCs w:val="22"/>
          <w:lang w:val="ru-RU"/>
        </w:rPr>
      </w:pPr>
      <w:r w:rsidRPr="0055116C">
        <w:rPr>
          <w:color w:val="000000"/>
          <w:lang w:val="ru-RU"/>
        </w:rPr>
        <w:t>ОТЧЕТ О РИСКАХ В ДВУХЛЕТНИЙ ПЕРИОД</w:t>
      </w:r>
    </w:p>
    <w:p w:rsidR="0055116C" w:rsidRPr="0055116C" w:rsidRDefault="0055116C" w:rsidP="0055116C">
      <w:pPr>
        <w:keepNext/>
        <w:keepLines/>
        <w:rPr>
          <w:lang w:val="ru-RU"/>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39"/>
        <w:gridCol w:w="2181"/>
        <w:gridCol w:w="2310"/>
        <w:gridCol w:w="2306"/>
      </w:tblGrid>
      <w:tr w:rsidR="0055116C" w:rsidRPr="003C527B" w:rsidTr="0055116C">
        <w:trPr>
          <w:trHeight w:val="437"/>
          <w:tblHeader/>
        </w:trPr>
        <w:tc>
          <w:tcPr>
            <w:tcW w:w="2439"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keepNext/>
              <w:keepLines/>
              <w:autoSpaceDE w:val="0"/>
              <w:autoSpaceDN w:val="0"/>
              <w:adjustRightInd w:val="0"/>
              <w:ind w:right="-59"/>
              <w:jc w:val="center"/>
              <w:rPr>
                <w:b/>
                <w:bCs/>
                <w:iCs/>
                <w:sz w:val="18"/>
                <w:szCs w:val="18"/>
                <w:lang w:val="ru-RU"/>
              </w:rPr>
            </w:pPr>
            <w:r w:rsidRPr="0055116C">
              <w:rPr>
                <w:b/>
                <w:sz w:val="18"/>
                <w:lang w:val="ru-RU"/>
              </w:rPr>
              <w:t>Риск (риски) того, что программа не достигнет своих результатов</w:t>
            </w:r>
          </w:p>
        </w:tc>
        <w:tc>
          <w:tcPr>
            <w:tcW w:w="2181"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keepNext/>
              <w:keepLines/>
              <w:autoSpaceDE w:val="0"/>
              <w:autoSpaceDN w:val="0"/>
              <w:adjustRightInd w:val="0"/>
              <w:ind w:right="-59"/>
              <w:jc w:val="center"/>
              <w:rPr>
                <w:b/>
                <w:bCs/>
                <w:iCs/>
                <w:sz w:val="18"/>
                <w:szCs w:val="18"/>
                <w:lang w:val="ru-RU"/>
              </w:rPr>
            </w:pPr>
            <w:r w:rsidRPr="0055116C">
              <w:rPr>
                <w:b/>
                <w:sz w:val="18"/>
                <w:lang w:val="ru-RU"/>
              </w:rPr>
              <w:t>Действующие или разрабатываемые планы по снижению рисков</w:t>
            </w:r>
          </w:p>
        </w:tc>
        <w:tc>
          <w:tcPr>
            <w:tcW w:w="2310" w:type="dxa"/>
            <w:tcBorders>
              <w:top w:val="single" w:sz="4" w:space="0" w:color="auto"/>
              <w:bottom w:val="single" w:sz="4" w:space="0" w:color="auto"/>
            </w:tcBorders>
            <w:shd w:val="clear" w:color="auto" w:fill="C6D9F1" w:themeFill="text2" w:themeFillTint="33"/>
          </w:tcPr>
          <w:p w:rsidR="0055116C" w:rsidRPr="0055116C" w:rsidRDefault="0055116C" w:rsidP="0055116C">
            <w:pPr>
              <w:keepNext/>
              <w:keepLines/>
              <w:jc w:val="center"/>
              <w:rPr>
                <w:b/>
                <w:bCs/>
                <w:sz w:val="18"/>
                <w:szCs w:val="18"/>
                <w:lang w:val="ru-RU"/>
              </w:rPr>
            </w:pPr>
            <w:r w:rsidRPr="0055116C">
              <w:rPr>
                <w:b/>
                <w:sz w:val="18"/>
                <w:lang w:val="ru-RU"/>
              </w:rPr>
              <w:t>Развитие риска (рисков) и стратегий его (их) снижения в двухлетний период</w:t>
            </w:r>
          </w:p>
        </w:tc>
        <w:tc>
          <w:tcPr>
            <w:tcW w:w="2306" w:type="dxa"/>
            <w:tcBorders>
              <w:top w:val="single" w:sz="4" w:space="0" w:color="auto"/>
              <w:bottom w:val="single" w:sz="4" w:space="0" w:color="auto"/>
            </w:tcBorders>
            <w:shd w:val="clear" w:color="auto" w:fill="C6D9F1" w:themeFill="text2" w:themeFillTint="33"/>
          </w:tcPr>
          <w:p w:rsidR="0055116C" w:rsidRPr="003C527B" w:rsidRDefault="0055116C" w:rsidP="0055116C">
            <w:pPr>
              <w:keepNext/>
              <w:keepLines/>
              <w:jc w:val="center"/>
              <w:rPr>
                <w:b/>
                <w:bCs/>
                <w:sz w:val="18"/>
                <w:szCs w:val="18"/>
              </w:rPr>
            </w:pPr>
            <w:r>
              <w:rPr>
                <w:b/>
                <w:sz w:val="18"/>
              </w:rPr>
              <w:t>Влияние на реализацию программы</w:t>
            </w:r>
          </w:p>
        </w:tc>
      </w:tr>
      <w:tr w:rsidR="0055116C" w:rsidRPr="005C6ABD" w:rsidTr="0055116C">
        <w:trPr>
          <w:trHeight w:val="1051"/>
        </w:trPr>
        <w:tc>
          <w:tcPr>
            <w:tcW w:w="2439" w:type="dxa"/>
            <w:tcBorders>
              <w:top w:val="single" w:sz="4" w:space="0" w:color="auto"/>
            </w:tcBorders>
            <w:shd w:val="clear" w:color="auto" w:fill="auto"/>
            <w:tcMar>
              <w:top w:w="113" w:type="dxa"/>
              <w:bottom w:w="85" w:type="dxa"/>
            </w:tcMar>
          </w:tcPr>
          <w:p w:rsidR="0055116C" w:rsidRPr="0055116C" w:rsidRDefault="0055116C" w:rsidP="0055116C">
            <w:pPr>
              <w:keepNext/>
              <w:keepLines/>
              <w:rPr>
                <w:sz w:val="16"/>
                <w:szCs w:val="16"/>
                <w:lang w:val="ru-RU"/>
              </w:rPr>
            </w:pPr>
            <w:r w:rsidRPr="0055116C">
              <w:rPr>
                <w:sz w:val="16"/>
                <w:lang w:val="ru-RU"/>
              </w:rPr>
              <w:t xml:space="preserve">Потребность ведомств ИС во вводе в действие пакетов программ ВОИС может отличаться от рабочего плана.  Существует проблема реализации проектов в ведомствах, не располагающих необходимыми условиями (особенно местными ресурсами).  Это может привести к чрезмерному выделению ресурсов на персонал и ресурсов, не связанных с персоналом. </w:t>
            </w:r>
          </w:p>
        </w:tc>
        <w:tc>
          <w:tcPr>
            <w:tcW w:w="2181" w:type="dxa"/>
            <w:tcBorders>
              <w:top w:val="single" w:sz="4" w:space="0" w:color="auto"/>
            </w:tcBorders>
            <w:shd w:val="clear" w:color="auto" w:fill="auto"/>
            <w:tcMar>
              <w:top w:w="113" w:type="dxa"/>
              <w:bottom w:w="85" w:type="dxa"/>
            </w:tcMar>
          </w:tcPr>
          <w:p w:rsidR="0055116C" w:rsidRPr="0055116C" w:rsidRDefault="0055116C" w:rsidP="0055116C">
            <w:pPr>
              <w:keepNext/>
              <w:keepLines/>
              <w:autoSpaceDE w:val="0"/>
              <w:autoSpaceDN w:val="0"/>
              <w:adjustRightInd w:val="0"/>
              <w:ind w:right="-59"/>
              <w:rPr>
                <w:sz w:val="16"/>
                <w:szCs w:val="16"/>
                <w:lang w:val="ru-RU"/>
              </w:rPr>
            </w:pPr>
            <w:r w:rsidRPr="0055116C">
              <w:rPr>
                <w:sz w:val="16"/>
                <w:lang w:val="ru-RU"/>
              </w:rPr>
              <w:t>Оценка проектов до начала реализации.</w:t>
            </w:r>
            <w:r w:rsidRPr="0055116C">
              <w:rPr>
                <w:sz w:val="16"/>
                <w:szCs w:val="16"/>
                <w:lang w:val="ru-RU"/>
              </w:rPr>
              <w:br/>
            </w:r>
            <w:r w:rsidRPr="0055116C">
              <w:rPr>
                <w:sz w:val="16"/>
                <w:lang w:val="ru-RU"/>
              </w:rPr>
              <w:t>Четко согласованные роли и ответственность в рамках проектов, а также обязательства сторон в отношении выделения ресурсов.</w:t>
            </w:r>
          </w:p>
        </w:tc>
        <w:tc>
          <w:tcPr>
            <w:tcW w:w="2310" w:type="dxa"/>
            <w:tcBorders>
              <w:top w:val="single" w:sz="4" w:space="0" w:color="auto"/>
            </w:tcBorders>
          </w:tcPr>
          <w:p w:rsidR="0055116C" w:rsidRPr="0055116C" w:rsidRDefault="0055116C" w:rsidP="0055116C">
            <w:pPr>
              <w:keepNext/>
              <w:keepLines/>
              <w:autoSpaceDE w:val="0"/>
              <w:autoSpaceDN w:val="0"/>
              <w:adjustRightInd w:val="0"/>
              <w:ind w:right="-59"/>
              <w:rPr>
                <w:sz w:val="16"/>
                <w:szCs w:val="16"/>
                <w:lang w:val="ru-RU"/>
              </w:rPr>
            </w:pPr>
            <w:r w:rsidRPr="0055116C">
              <w:rPr>
                <w:sz w:val="16"/>
                <w:lang w:val="ru-RU"/>
              </w:rPr>
              <w:t>Этот риск не реализовался в рассматриваемый двухлетний период, но работа по его снижению велась посредством гибкого управления проектами, особенно посредством перераспределения ресурсов между проектами, что позволило программе адаптироваться к непредвиденным изменениям спроса в ходе двухлетнего периода.</w:t>
            </w:r>
          </w:p>
        </w:tc>
        <w:tc>
          <w:tcPr>
            <w:tcW w:w="2306" w:type="dxa"/>
            <w:tcBorders>
              <w:top w:val="single" w:sz="4" w:space="0" w:color="auto"/>
            </w:tcBorders>
          </w:tcPr>
          <w:p w:rsidR="0055116C" w:rsidRPr="0055116C" w:rsidRDefault="0055116C" w:rsidP="0055116C">
            <w:pPr>
              <w:autoSpaceDE w:val="0"/>
              <w:autoSpaceDN w:val="0"/>
              <w:adjustRightInd w:val="0"/>
              <w:ind w:right="-59"/>
              <w:rPr>
                <w:sz w:val="16"/>
                <w:szCs w:val="16"/>
                <w:lang w:val="ru-RU"/>
              </w:rPr>
            </w:pPr>
            <w:r w:rsidRPr="0055116C">
              <w:rPr>
                <w:sz w:val="16"/>
                <w:lang w:val="ru-RU"/>
              </w:rPr>
              <w:t xml:space="preserve">Этот риск и его развитие не оказали существенного влияния на реализацию программы в 2014–2015 гг.  </w:t>
            </w:r>
          </w:p>
          <w:p w:rsidR="0055116C" w:rsidRPr="0055116C" w:rsidRDefault="0055116C" w:rsidP="0055116C">
            <w:pPr>
              <w:keepNext/>
              <w:keepLines/>
              <w:autoSpaceDE w:val="0"/>
              <w:autoSpaceDN w:val="0"/>
              <w:adjustRightInd w:val="0"/>
              <w:ind w:right="-59"/>
              <w:rPr>
                <w:sz w:val="16"/>
                <w:szCs w:val="16"/>
                <w:lang w:val="ru-RU"/>
              </w:rPr>
            </w:pPr>
          </w:p>
        </w:tc>
      </w:tr>
      <w:tr w:rsidR="0055116C" w:rsidRPr="005C6ABD" w:rsidTr="0055116C">
        <w:trPr>
          <w:trHeight w:val="700"/>
        </w:trPr>
        <w:tc>
          <w:tcPr>
            <w:tcW w:w="2439" w:type="dxa"/>
            <w:shd w:val="clear" w:color="auto" w:fill="auto"/>
            <w:tcMar>
              <w:top w:w="113" w:type="dxa"/>
              <w:bottom w:w="85" w:type="dxa"/>
            </w:tcMar>
          </w:tcPr>
          <w:p w:rsidR="0055116C" w:rsidRPr="003C527B" w:rsidRDefault="0055116C" w:rsidP="0055116C">
            <w:pPr>
              <w:keepNext/>
              <w:keepLines/>
              <w:rPr>
                <w:sz w:val="16"/>
                <w:szCs w:val="16"/>
              </w:rPr>
            </w:pPr>
            <w:r w:rsidRPr="0055116C">
              <w:rPr>
                <w:sz w:val="16"/>
                <w:lang w:val="ru-RU"/>
              </w:rPr>
              <w:t xml:space="preserve">Пакеты программ ВОИС (предоставленные ведомствам ИС) разрабатываются и поддерживаются внешними подрядчиками.  </w:t>
            </w:r>
            <w:r>
              <w:rPr>
                <w:sz w:val="16"/>
              </w:rPr>
              <w:t>Это может привести к утрате знаний без предупреждения.</w:t>
            </w:r>
          </w:p>
        </w:tc>
        <w:tc>
          <w:tcPr>
            <w:tcW w:w="2181" w:type="dxa"/>
            <w:shd w:val="clear" w:color="auto" w:fill="auto"/>
            <w:tcMar>
              <w:top w:w="113" w:type="dxa"/>
              <w:bottom w:w="85" w:type="dxa"/>
            </w:tcMar>
          </w:tcPr>
          <w:p w:rsidR="0055116C" w:rsidRPr="0055116C" w:rsidRDefault="0055116C" w:rsidP="0055116C">
            <w:pPr>
              <w:keepNext/>
              <w:keepLines/>
              <w:autoSpaceDE w:val="0"/>
              <w:autoSpaceDN w:val="0"/>
              <w:adjustRightInd w:val="0"/>
              <w:ind w:right="-59"/>
              <w:rPr>
                <w:sz w:val="16"/>
                <w:szCs w:val="16"/>
                <w:lang w:val="ru-RU"/>
              </w:rPr>
            </w:pPr>
            <w:r w:rsidRPr="0055116C">
              <w:rPr>
                <w:sz w:val="16"/>
                <w:lang w:val="ru-RU"/>
              </w:rPr>
              <w:t>Необходимо, чтобы основными знаниями по возможности располагали сотрудники ВОИС. Необходимо включить в контракты с внешними подрядчиками положение о передаче знаний в случае расторжения контракта.</w:t>
            </w:r>
          </w:p>
        </w:tc>
        <w:tc>
          <w:tcPr>
            <w:tcW w:w="2310" w:type="dxa"/>
          </w:tcPr>
          <w:p w:rsidR="0055116C" w:rsidRPr="0055116C" w:rsidRDefault="0055116C" w:rsidP="0055116C">
            <w:pPr>
              <w:keepNext/>
              <w:keepLines/>
              <w:autoSpaceDE w:val="0"/>
              <w:autoSpaceDN w:val="0"/>
              <w:adjustRightInd w:val="0"/>
              <w:ind w:right="-59"/>
              <w:rPr>
                <w:sz w:val="16"/>
                <w:szCs w:val="16"/>
                <w:lang w:val="ru-RU"/>
              </w:rPr>
            </w:pPr>
            <w:r w:rsidRPr="0055116C">
              <w:rPr>
                <w:sz w:val="16"/>
                <w:lang w:val="ru-RU"/>
              </w:rPr>
              <w:t>В целях снижения этого риска в 2014</w:t>
            </w:r>
            <w:r>
              <w:rPr>
                <w:sz w:val="16"/>
              </w:rPr>
              <w:t> </w:t>
            </w:r>
            <w:r w:rsidRPr="0055116C">
              <w:rPr>
                <w:sz w:val="16"/>
                <w:lang w:val="ru-RU"/>
              </w:rPr>
              <w:t>г. к работе был привлечен архитектор ПО, а также были задействованы дополнительные кадровые ресурсы и подрядчики; они занимались передачей знаний от внешних подрядчиков.  В результате в рассматриваемый период уровень обмена знаниями и их сохранения повысился.</w:t>
            </w:r>
          </w:p>
        </w:tc>
        <w:tc>
          <w:tcPr>
            <w:tcW w:w="2306" w:type="dxa"/>
          </w:tcPr>
          <w:p w:rsidR="0055116C" w:rsidRPr="0055116C" w:rsidRDefault="0055116C" w:rsidP="0055116C">
            <w:pPr>
              <w:autoSpaceDE w:val="0"/>
              <w:autoSpaceDN w:val="0"/>
              <w:adjustRightInd w:val="0"/>
              <w:ind w:right="-59"/>
              <w:rPr>
                <w:sz w:val="16"/>
                <w:szCs w:val="16"/>
                <w:lang w:val="ru-RU"/>
              </w:rPr>
            </w:pPr>
            <w:r w:rsidRPr="0055116C">
              <w:rPr>
                <w:sz w:val="16"/>
                <w:lang w:val="ru-RU"/>
              </w:rPr>
              <w:t>Этот риск и его развитие не оказали существенного влияния на реализацию программы в 2014–2015 гг.</w:t>
            </w:r>
          </w:p>
          <w:p w:rsidR="0055116C" w:rsidRPr="0055116C" w:rsidRDefault="0055116C" w:rsidP="0055116C">
            <w:pPr>
              <w:keepNext/>
              <w:keepLines/>
              <w:autoSpaceDE w:val="0"/>
              <w:autoSpaceDN w:val="0"/>
              <w:adjustRightInd w:val="0"/>
              <w:ind w:right="-59"/>
              <w:rPr>
                <w:sz w:val="16"/>
                <w:szCs w:val="16"/>
                <w:lang w:val="ru-RU"/>
              </w:rPr>
            </w:pPr>
          </w:p>
        </w:tc>
      </w:tr>
      <w:tr w:rsidR="0055116C" w:rsidRPr="005C6ABD" w:rsidTr="0055116C">
        <w:trPr>
          <w:trHeight w:val="843"/>
        </w:trPr>
        <w:tc>
          <w:tcPr>
            <w:tcW w:w="2439" w:type="dxa"/>
            <w:shd w:val="clear" w:color="auto" w:fill="auto"/>
            <w:tcMar>
              <w:top w:w="113" w:type="dxa"/>
              <w:bottom w:w="85" w:type="dxa"/>
            </w:tcMar>
          </w:tcPr>
          <w:p w:rsidR="0055116C" w:rsidRPr="0055116C" w:rsidRDefault="0055116C" w:rsidP="0055116C">
            <w:pPr>
              <w:keepNext/>
              <w:keepLines/>
              <w:rPr>
                <w:sz w:val="16"/>
                <w:szCs w:val="16"/>
                <w:lang w:val="ru-RU"/>
              </w:rPr>
            </w:pPr>
            <w:r w:rsidRPr="0055116C">
              <w:rPr>
                <w:sz w:val="16"/>
                <w:lang w:val="ru-RU"/>
              </w:rPr>
              <w:t>Ведомства используют программные системы ВОИС для осуществления ключевых видов деятельности.  Сбой в работе одной из таких систем может крайне негативно сказаться на повседневной работе ведомства. Поэтому на непрерывную и достаточную поддержку ВОИС возлагаются большие надежды.</w:t>
            </w:r>
          </w:p>
        </w:tc>
        <w:tc>
          <w:tcPr>
            <w:tcW w:w="2181" w:type="dxa"/>
            <w:shd w:val="clear" w:color="auto" w:fill="auto"/>
            <w:tcMar>
              <w:top w:w="113" w:type="dxa"/>
              <w:bottom w:w="85" w:type="dxa"/>
            </w:tcMar>
          </w:tcPr>
          <w:p w:rsidR="0055116C" w:rsidRPr="003C527B" w:rsidRDefault="0055116C" w:rsidP="0055116C">
            <w:pPr>
              <w:keepNext/>
              <w:keepLines/>
              <w:autoSpaceDE w:val="0"/>
              <w:autoSpaceDN w:val="0"/>
              <w:adjustRightInd w:val="0"/>
              <w:ind w:right="-59"/>
              <w:rPr>
                <w:sz w:val="16"/>
                <w:szCs w:val="16"/>
              </w:rPr>
            </w:pPr>
            <w:r w:rsidRPr="0055116C">
              <w:rPr>
                <w:sz w:val="16"/>
                <w:lang w:val="ru-RU"/>
              </w:rPr>
              <w:t>Выделение достаточных ресурсов для поддержания работы программ.</w:t>
            </w:r>
            <w:r w:rsidRPr="0055116C">
              <w:rPr>
                <w:sz w:val="16"/>
                <w:szCs w:val="16"/>
                <w:lang w:val="ru-RU"/>
              </w:rPr>
              <w:br/>
            </w:r>
            <w:r w:rsidRPr="0055116C">
              <w:rPr>
                <w:sz w:val="16"/>
                <w:lang w:val="ru-RU"/>
              </w:rPr>
              <w:t xml:space="preserve">Обучение персонала ведомств ИС навыкам оказания поддержки первого уровня.  </w:t>
            </w:r>
            <w:r>
              <w:rPr>
                <w:sz w:val="16"/>
              </w:rPr>
              <w:t>Реализация официальных процедур поддержки и обслуживания.</w:t>
            </w:r>
          </w:p>
        </w:tc>
        <w:tc>
          <w:tcPr>
            <w:tcW w:w="2310" w:type="dxa"/>
          </w:tcPr>
          <w:p w:rsidR="0055116C" w:rsidRPr="003C527B" w:rsidRDefault="0055116C" w:rsidP="0055116C">
            <w:pPr>
              <w:keepNext/>
              <w:keepLines/>
              <w:autoSpaceDE w:val="0"/>
              <w:autoSpaceDN w:val="0"/>
              <w:adjustRightInd w:val="0"/>
              <w:ind w:right="-59"/>
              <w:rPr>
                <w:sz w:val="16"/>
                <w:szCs w:val="16"/>
              </w:rPr>
            </w:pPr>
            <w:r w:rsidRPr="0055116C">
              <w:rPr>
                <w:sz w:val="16"/>
                <w:lang w:val="ru-RU"/>
              </w:rPr>
              <w:t xml:space="preserve">Сотрудники местных ведомств ИС и эксперты ВОИС смогли эффективно урегулировать те инциденты, которые возникали в работе ведомств ИС в ходе рассматриваемого двухлетнего периода.  </w:t>
            </w:r>
            <w:r>
              <w:rPr>
                <w:sz w:val="16"/>
              </w:rPr>
              <w:t>Были выделены дополнительные ресурсы на обучение и передачу знаний.</w:t>
            </w:r>
          </w:p>
        </w:tc>
        <w:tc>
          <w:tcPr>
            <w:tcW w:w="2306" w:type="dxa"/>
          </w:tcPr>
          <w:p w:rsidR="0055116C" w:rsidRPr="0055116C" w:rsidRDefault="0055116C" w:rsidP="0055116C">
            <w:pPr>
              <w:autoSpaceDE w:val="0"/>
              <w:autoSpaceDN w:val="0"/>
              <w:adjustRightInd w:val="0"/>
              <w:ind w:right="-59"/>
              <w:rPr>
                <w:sz w:val="16"/>
                <w:szCs w:val="16"/>
                <w:lang w:val="ru-RU"/>
              </w:rPr>
            </w:pPr>
            <w:r w:rsidRPr="0055116C">
              <w:rPr>
                <w:sz w:val="16"/>
                <w:lang w:val="ru-RU"/>
              </w:rPr>
              <w:t>Этот риск и его развитие не оказали существенного влияния на реализацию программы в 2014–2015 гг.</w:t>
            </w:r>
          </w:p>
          <w:p w:rsidR="0055116C" w:rsidRPr="0055116C" w:rsidRDefault="0055116C" w:rsidP="0055116C">
            <w:pPr>
              <w:keepNext/>
              <w:keepLines/>
              <w:autoSpaceDE w:val="0"/>
              <w:autoSpaceDN w:val="0"/>
              <w:adjustRightInd w:val="0"/>
              <w:ind w:right="-59"/>
              <w:rPr>
                <w:sz w:val="16"/>
                <w:szCs w:val="16"/>
                <w:lang w:val="ru-RU"/>
              </w:rPr>
            </w:pPr>
          </w:p>
        </w:tc>
      </w:tr>
    </w:tbl>
    <w:p w:rsidR="0055116C" w:rsidRPr="0055116C" w:rsidRDefault="0055116C" w:rsidP="0055116C">
      <w:pPr>
        <w:jc w:val="both"/>
        <w:rPr>
          <w:rFonts w:cs="Arial"/>
          <w:color w:val="000000"/>
          <w:sz w:val="22"/>
          <w:szCs w:val="20"/>
          <w:lang w:val="ru-RU"/>
        </w:rPr>
      </w:pPr>
    </w:p>
    <w:p w:rsidR="0055116C" w:rsidRPr="0055116C" w:rsidRDefault="0055116C" w:rsidP="0055116C">
      <w:pPr>
        <w:jc w:val="both"/>
        <w:rPr>
          <w:rFonts w:cs="Arial"/>
          <w:color w:val="000000"/>
          <w:sz w:val="22"/>
          <w:szCs w:val="20"/>
          <w:lang w:val="ru-RU"/>
        </w:rPr>
      </w:pPr>
    </w:p>
    <w:p w:rsidR="0055116C" w:rsidRPr="0055116C" w:rsidRDefault="0055116C" w:rsidP="0055116C">
      <w:pPr>
        <w:jc w:val="both"/>
        <w:rPr>
          <w:rFonts w:cs="Arial"/>
          <w:color w:val="000000"/>
          <w:sz w:val="22"/>
          <w:szCs w:val="20"/>
          <w:lang w:val="ru-RU"/>
        </w:rPr>
      </w:pPr>
    </w:p>
    <w:p w:rsidR="0055116C" w:rsidRPr="0055116C" w:rsidRDefault="0055116C" w:rsidP="0055116C">
      <w:pPr>
        <w:jc w:val="both"/>
        <w:rPr>
          <w:rFonts w:cs="Arial"/>
          <w:color w:val="000000"/>
          <w:sz w:val="22"/>
          <w:szCs w:val="20"/>
          <w:lang w:val="ru-RU"/>
        </w:rPr>
      </w:pPr>
    </w:p>
    <w:p w:rsidR="0055116C" w:rsidRPr="0055116C" w:rsidRDefault="0055116C" w:rsidP="0055116C">
      <w:pPr>
        <w:spacing w:after="200" w:line="276" w:lineRule="auto"/>
        <w:rPr>
          <w:color w:val="000000"/>
          <w:lang w:val="ru-RU"/>
        </w:rPr>
      </w:pPr>
      <w:r w:rsidRPr="0055116C">
        <w:rPr>
          <w:color w:val="000000"/>
          <w:lang w:val="ru-RU"/>
        </w:rPr>
        <w:br w:type="page"/>
      </w:r>
    </w:p>
    <w:p w:rsidR="0055116C" w:rsidRPr="0055116C" w:rsidRDefault="0055116C" w:rsidP="0055116C">
      <w:pPr>
        <w:jc w:val="both"/>
        <w:rPr>
          <w:rFonts w:cs="Arial"/>
          <w:b/>
          <w:sz w:val="18"/>
          <w:szCs w:val="20"/>
          <w:lang w:val="ru-RU"/>
        </w:rPr>
      </w:pPr>
      <w:r w:rsidRPr="0055116C">
        <w:rPr>
          <w:color w:val="000000"/>
          <w:lang w:val="ru-RU"/>
        </w:rPr>
        <w:t>ИСПОЛЬЗОВАНИЕ РЕСУРСОВ</w:t>
      </w:r>
      <w:r w:rsidRPr="0055116C">
        <w:rPr>
          <w:lang w:val="ru-RU"/>
        </w:rPr>
        <w:tab/>
      </w:r>
    </w:p>
    <w:p w:rsidR="0055116C" w:rsidRPr="0055116C" w:rsidRDefault="0055116C" w:rsidP="0055116C">
      <w:pPr>
        <w:jc w:val="both"/>
        <w:rPr>
          <w:rFonts w:cs="Arial"/>
          <w:szCs w:val="20"/>
          <w:lang w:val="ru-RU"/>
        </w:rPr>
      </w:pPr>
    </w:p>
    <w:p w:rsidR="0055116C" w:rsidRPr="0055116C" w:rsidRDefault="0055116C" w:rsidP="0055116C">
      <w:pPr>
        <w:pStyle w:val="NormalWeb"/>
        <w:spacing w:before="0" w:beforeAutospacing="0" w:after="0" w:afterAutospacing="0"/>
        <w:jc w:val="center"/>
        <w:rPr>
          <w:sz w:val="20"/>
          <w:szCs w:val="20"/>
          <w:lang w:val="ru-RU"/>
        </w:rPr>
      </w:pPr>
      <w:r w:rsidRPr="0055116C">
        <w:rPr>
          <w:color w:val="000000"/>
          <w:sz w:val="20"/>
          <w:lang w:val="ru-RU"/>
        </w:rPr>
        <w:t>Бюджет и фактические расходы (в разбивке по результатам)</w:t>
      </w:r>
    </w:p>
    <w:p w:rsidR="0055116C" w:rsidRDefault="0055116C" w:rsidP="0055116C">
      <w:pPr>
        <w:pStyle w:val="NormalWeb"/>
        <w:spacing w:before="0" w:beforeAutospacing="0" w:after="0" w:afterAutospacing="0"/>
        <w:jc w:val="center"/>
        <w:rPr>
          <w:i/>
          <w:iCs/>
          <w:color w:val="000000"/>
          <w:sz w:val="20"/>
          <w:szCs w:val="20"/>
        </w:rPr>
      </w:pPr>
      <w:r>
        <w:rPr>
          <w:i/>
          <w:color w:val="000000"/>
          <w:sz w:val="20"/>
        </w:rPr>
        <w:t>(в тыс. шв. франков)</w:t>
      </w:r>
    </w:p>
    <w:p w:rsidR="0055116C" w:rsidRPr="0042593C" w:rsidRDefault="0055116C" w:rsidP="0055116C">
      <w:pPr>
        <w:pStyle w:val="NormalWeb"/>
        <w:spacing w:before="0" w:beforeAutospacing="0" w:after="0" w:afterAutospacing="0"/>
        <w:jc w:val="center"/>
        <w:rPr>
          <w:i/>
          <w:iCs/>
          <w:color w:val="000000"/>
          <w:sz w:val="14"/>
          <w:szCs w:val="20"/>
        </w:rPr>
      </w:pPr>
    </w:p>
    <w:p w:rsidR="0055116C" w:rsidRPr="009022DD" w:rsidRDefault="0055116C" w:rsidP="0055116C">
      <w:pPr>
        <w:jc w:val="center"/>
        <w:rPr>
          <w:rFonts w:cs="Arial"/>
          <w:szCs w:val="20"/>
        </w:rPr>
      </w:pPr>
      <w:r>
        <w:rPr>
          <w:rFonts w:cs="Arial"/>
          <w:noProof/>
          <w:szCs w:val="20"/>
        </w:rPr>
        <w:drawing>
          <wp:inline distT="0" distB="0" distL="0" distR="0" wp14:anchorId="45475DF4" wp14:editId="5DEC2624">
            <wp:extent cx="6115685" cy="1703456"/>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6115685" cy="1703456"/>
                    </a:xfrm>
                    <a:prstGeom prst="rect">
                      <a:avLst/>
                    </a:prstGeom>
                    <a:noFill/>
                    <a:ln>
                      <a:noFill/>
                    </a:ln>
                  </pic:spPr>
                </pic:pic>
              </a:graphicData>
            </a:graphic>
          </wp:inline>
        </w:drawing>
      </w:r>
    </w:p>
    <w:p w:rsidR="0055116C" w:rsidRPr="009022DD" w:rsidRDefault="0055116C" w:rsidP="0055116C">
      <w:pPr>
        <w:jc w:val="both"/>
        <w:rPr>
          <w:rFonts w:cs="Arial"/>
          <w:szCs w:val="20"/>
        </w:rPr>
      </w:pPr>
    </w:p>
    <w:p w:rsidR="0055116C" w:rsidRDefault="0055116C" w:rsidP="0055116C">
      <w:pPr>
        <w:pStyle w:val="NormalWeb"/>
        <w:keepNext/>
        <w:keepLines/>
        <w:spacing w:before="0" w:beforeAutospacing="0" w:after="0" w:afterAutospacing="0"/>
        <w:jc w:val="center"/>
        <w:rPr>
          <w:color w:val="000000"/>
          <w:sz w:val="20"/>
          <w:szCs w:val="20"/>
        </w:rPr>
      </w:pPr>
    </w:p>
    <w:p w:rsidR="0055116C" w:rsidRPr="0055116C" w:rsidRDefault="0055116C" w:rsidP="0055116C">
      <w:pPr>
        <w:pStyle w:val="NormalWeb"/>
        <w:keepNext/>
        <w:keepLines/>
        <w:spacing w:before="0" w:beforeAutospacing="0" w:after="0" w:afterAutospacing="0"/>
        <w:jc w:val="center"/>
        <w:rPr>
          <w:sz w:val="20"/>
          <w:szCs w:val="20"/>
          <w:lang w:val="ru-RU"/>
        </w:rPr>
      </w:pPr>
      <w:r w:rsidRPr="0055116C">
        <w:rPr>
          <w:color w:val="000000"/>
          <w:sz w:val="20"/>
          <w:lang w:val="ru-RU"/>
        </w:rPr>
        <w:t>Бюджет и фактические расходы (по персоналу и не связанные с персоналом)</w:t>
      </w:r>
    </w:p>
    <w:p w:rsidR="0055116C" w:rsidRDefault="0055116C" w:rsidP="0055116C">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55116C" w:rsidRPr="0042593C" w:rsidRDefault="0055116C" w:rsidP="0055116C">
      <w:pPr>
        <w:pStyle w:val="NormalWeb"/>
        <w:keepNext/>
        <w:keepLines/>
        <w:spacing w:before="0" w:beforeAutospacing="0" w:after="0" w:afterAutospacing="0"/>
        <w:jc w:val="center"/>
        <w:rPr>
          <w:i/>
          <w:iCs/>
          <w:color w:val="000000"/>
          <w:sz w:val="14"/>
          <w:szCs w:val="20"/>
        </w:rPr>
      </w:pPr>
    </w:p>
    <w:p w:rsidR="0055116C" w:rsidRPr="009022DD" w:rsidRDefault="0055116C" w:rsidP="0055116C">
      <w:pPr>
        <w:widowControl w:val="0"/>
        <w:autoSpaceDE w:val="0"/>
        <w:autoSpaceDN w:val="0"/>
        <w:adjustRightInd w:val="0"/>
        <w:jc w:val="center"/>
        <w:rPr>
          <w:rFonts w:cs="Arial"/>
          <w:szCs w:val="20"/>
        </w:rPr>
      </w:pPr>
      <w:r>
        <w:rPr>
          <w:rFonts w:cs="Arial"/>
          <w:noProof/>
          <w:szCs w:val="20"/>
        </w:rPr>
        <w:drawing>
          <wp:inline distT="0" distB="0" distL="0" distR="0" wp14:anchorId="47801E60" wp14:editId="191A26EA">
            <wp:extent cx="6115685" cy="1308834"/>
            <wp:effectExtent l="0" t="0" r="0" b="5715"/>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15685" cy="1308834"/>
                    </a:xfrm>
                    <a:prstGeom prst="rect">
                      <a:avLst/>
                    </a:prstGeom>
                    <a:noFill/>
                    <a:ln>
                      <a:noFill/>
                    </a:ln>
                  </pic:spPr>
                </pic:pic>
              </a:graphicData>
            </a:graphic>
          </wp:inline>
        </w:drawing>
      </w:r>
    </w:p>
    <w:p w:rsidR="0055116C" w:rsidRDefault="0055116C" w:rsidP="0055116C">
      <w:pPr>
        <w:jc w:val="both"/>
        <w:rPr>
          <w:rFonts w:cs="Arial"/>
          <w:szCs w:val="20"/>
        </w:rPr>
      </w:pPr>
    </w:p>
    <w:p w:rsidR="0055116C" w:rsidRDefault="0055116C" w:rsidP="0055116C">
      <w:pPr>
        <w:jc w:val="both"/>
        <w:rPr>
          <w:rFonts w:cs="Arial"/>
          <w:szCs w:val="20"/>
        </w:rPr>
      </w:pPr>
    </w:p>
    <w:p w:rsidR="0055116C" w:rsidRPr="0055116C" w:rsidRDefault="0055116C" w:rsidP="0055116C">
      <w:pPr>
        <w:jc w:val="both"/>
        <w:rPr>
          <w:rFonts w:cs="Arial"/>
          <w:szCs w:val="20"/>
          <w:u w:val="single"/>
          <w:lang w:val="ru-RU"/>
        </w:rPr>
      </w:pPr>
      <w:r>
        <w:t>A</w:t>
      </w:r>
      <w:r w:rsidRPr="0055116C">
        <w:rPr>
          <w:lang w:val="ru-RU"/>
        </w:rPr>
        <w:t>.</w:t>
      </w:r>
      <w:r w:rsidRPr="0055116C">
        <w:rPr>
          <w:lang w:val="ru-RU"/>
        </w:rPr>
        <w:tab/>
      </w:r>
      <w:r w:rsidRPr="0055116C">
        <w:rPr>
          <w:u w:val="single"/>
          <w:lang w:val="ru-RU"/>
        </w:rPr>
        <w:t>Итоговый бюджет на 2014–2015 гг. после перераспределения средств</w:t>
      </w:r>
    </w:p>
    <w:p w:rsidR="0055116C" w:rsidRPr="0055116C" w:rsidRDefault="0055116C" w:rsidP="0055116C">
      <w:pPr>
        <w:autoSpaceDE w:val="0"/>
        <w:autoSpaceDN w:val="0"/>
        <w:jc w:val="both"/>
        <w:rPr>
          <w:rFonts w:cs="Arial"/>
          <w:szCs w:val="20"/>
          <w:lang w:val="ru-RU"/>
        </w:rPr>
      </w:pPr>
    </w:p>
    <w:p w:rsidR="0055116C" w:rsidRPr="0055116C" w:rsidRDefault="0055116C" w:rsidP="0055116C">
      <w:pPr>
        <w:pStyle w:val="ListParagraph"/>
        <w:numPr>
          <w:ilvl w:val="0"/>
          <w:numId w:val="8"/>
        </w:numPr>
        <w:tabs>
          <w:tab w:val="left" w:pos="709"/>
        </w:tabs>
        <w:ind w:left="0" w:firstLine="0"/>
        <w:jc w:val="both"/>
        <w:rPr>
          <w:lang w:val="ru-RU"/>
        </w:rPr>
      </w:pPr>
      <w:r w:rsidRPr="0055116C">
        <w:rPr>
          <w:lang w:val="ru-RU"/>
        </w:rPr>
        <w:t>Рост итогового бюджета на 2014–2015</w:t>
      </w:r>
      <w:r>
        <w:t> </w:t>
      </w:r>
      <w:r w:rsidRPr="0055116C">
        <w:rPr>
          <w:lang w:val="ru-RU"/>
        </w:rPr>
        <w:t>гг. после перераспределения средств (ресурсы, связанные с персоналом) является в основном результатом передачи одной должности программе для оказания содействия ведомствам ИС в области внедрения и поддержки деловых решений ВОИС, в частности, касающихся архитектуры и дизайна ПО, а также содействия проекту «</w:t>
      </w:r>
      <w:r>
        <w:t>WIPO</w:t>
      </w:r>
      <w:r w:rsidRPr="0055116C">
        <w:rPr>
          <w:lang w:val="ru-RU"/>
        </w:rPr>
        <w:t xml:space="preserve"> </w:t>
      </w:r>
      <w:r>
        <w:t>Copyright</w:t>
      </w:r>
      <w:r w:rsidRPr="0055116C">
        <w:rPr>
          <w:lang w:val="ru-RU"/>
        </w:rPr>
        <w:t xml:space="preserve"> </w:t>
      </w:r>
      <w:r>
        <w:t>Connection</w:t>
      </w:r>
      <w:r w:rsidRPr="0055116C">
        <w:rPr>
          <w:lang w:val="ru-RU"/>
        </w:rPr>
        <w:t>» (</w:t>
      </w:r>
      <w:r>
        <w:t>WCC</w:t>
      </w:r>
      <w:r w:rsidRPr="0055116C">
        <w:rPr>
          <w:lang w:val="ru-RU"/>
        </w:rPr>
        <w:t>).</w:t>
      </w:r>
    </w:p>
    <w:p w:rsidR="0055116C" w:rsidRPr="0055116C" w:rsidRDefault="0055116C" w:rsidP="0055116C">
      <w:pPr>
        <w:tabs>
          <w:tab w:val="left" w:pos="709"/>
        </w:tabs>
        <w:autoSpaceDE w:val="0"/>
        <w:autoSpaceDN w:val="0"/>
        <w:jc w:val="both"/>
        <w:rPr>
          <w:rFonts w:cs="Arial"/>
          <w:szCs w:val="20"/>
          <w:lang w:val="ru-RU"/>
        </w:rPr>
      </w:pPr>
    </w:p>
    <w:p w:rsidR="0055116C" w:rsidRPr="0055116C" w:rsidRDefault="0055116C" w:rsidP="0055116C">
      <w:pPr>
        <w:pStyle w:val="ListParagraph"/>
        <w:numPr>
          <w:ilvl w:val="0"/>
          <w:numId w:val="8"/>
        </w:numPr>
        <w:tabs>
          <w:tab w:val="left" w:pos="709"/>
        </w:tabs>
        <w:ind w:left="0" w:firstLine="0"/>
        <w:jc w:val="both"/>
        <w:rPr>
          <w:rFonts w:cs="Arial"/>
          <w:lang w:val="ru-RU"/>
        </w:rPr>
      </w:pPr>
      <w:r w:rsidRPr="0055116C">
        <w:rPr>
          <w:lang w:val="ru-RU"/>
        </w:rPr>
        <w:t>Небольшое чистое увеличение ресурсов, не связанных с персоналом, отражает, с одной стороны, (</w:t>
      </w:r>
      <w:r>
        <w:t>i</w:t>
      </w:r>
      <w:r w:rsidRPr="0055116C">
        <w:rPr>
          <w:lang w:val="ru-RU"/>
        </w:rPr>
        <w:t xml:space="preserve">) выделение дополнительных ресурсов для покрытия расходов на ИКТ в связи с </w:t>
      </w:r>
      <w:r>
        <w:t>TIGAR</w:t>
      </w:r>
      <w:r w:rsidRPr="0055116C">
        <w:rPr>
          <w:lang w:val="ru-RU"/>
        </w:rPr>
        <w:t xml:space="preserve"> после переноса обязательств по ИКТ-компоненту </w:t>
      </w:r>
      <w:r>
        <w:t>TIGAR</w:t>
      </w:r>
      <w:r w:rsidRPr="0055116C">
        <w:rPr>
          <w:lang w:val="ru-RU"/>
        </w:rPr>
        <w:t xml:space="preserve"> в данную программу из программы</w:t>
      </w:r>
      <w:r>
        <w:t> </w:t>
      </w:r>
      <w:r w:rsidRPr="0055116C">
        <w:rPr>
          <w:lang w:val="ru-RU"/>
        </w:rPr>
        <w:t>3 (авторское право и смежные права), а с другой стороны, (</w:t>
      </w:r>
      <w:r>
        <w:t>ii</w:t>
      </w:r>
      <w:r w:rsidRPr="0055116C">
        <w:rPr>
          <w:lang w:val="ru-RU"/>
        </w:rPr>
        <w:t>)</w:t>
      </w:r>
      <w:r>
        <w:t> </w:t>
      </w:r>
      <w:r w:rsidRPr="0055116C">
        <w:rPr>
          <w:lang w:val="ru-RU"/>
        </w:rPr>
        <w:t xml:space="preserve">передачу ресурсов от данной программы программе 12 (международные классификации и стандарты) для покрытия более высоких, чем ожидалось, расходов на разработку и хостинг программного обеспечения, связанного с реклассификацией МПК. </w:t>
      </w:r>
    </w:p>
    <w:p w:rsidR="0055116C" w:rsidRPr="0055116C" w:rsidRDefault="0055116C" w:rsidP="0055116C">
      <w:pPr>
        <w:tabs>
          <w:tab w:val="left" w:pos="709"/>
        </w:tabs>
        <w:autoSpaceDE w:val="0"/>
        <w:autoSpaceDN w:val="0"/>
        <w:jc w:val="both"/>
        <w:rPr>
          <w:rFonts w:cs="Arial"/>
          <w:szCs w:val="20"/>
          <w:lang w:val="ru-RU"/>
        </w:rPr>
      </w:pPr>
    </w:p>
    <w:p w:rsidR="0055116C" w:rsidRPr="0055116C" w:rsidRDefault="0055116C" w:rsidP="0055116C">
      <w:pPr>
        <w:autoSpaceDE w:val="0"/>
        <w:autoSpaceDN w:val="0"/>
        <w:jc w:val="both"/>
        <w:rPr>
          <w:rFonts w:cs="Arial"/>
          <w:szCs w:val="20"/>
          <w:lang w:val="ru-RU"/>
        </w:rPr>
      </w:pPr>
    </w:p>
    <w:p w:rsidR="0055116C" w:rsidRPr="0055116C" w:rsidRDefault="0055116C" w:rsidP="0055116C">
      <w:pPr>
        <w:jc w:val="both"/>
        <w:rPr>
          <w:rFonts w:cs="Arial"/>
          <w:szCs w:val="20"/>
          <w:u w:val="single"/>
          <w:lang w:val="ru-RU"/>
        </w:rPr>
      </w:pPr>
      <w:r>
        <w:t>B</w:t>
      </w:r>
      <w:r w:rsidRPr="0055116C">
        <w:rPr>
          <w:lang w:val="ru-RU"/>
        </w:rPr>
        <w:t>.</w:t>
      </w:r>
      <w:r w:rsidRPr="0055116C">
        <w:rPr>
          <w:lang w:val="ru-RU"/>
        </w:rPr>
        <w:tab/>
      </w:r>
      <w:r w:rsidRPr="0055116C">
        <w:rPr>
          <w:u w:val="single"/>
          <w:lang w:val="ru-RU"/>
        </w:rPr>
        <w:t>Освоение бюджетных средств в 2014–2015 гг.</w:t>
      </w:r>
    </w:p>
    <w:p w:rsidR="0055116C" w:rsidRPr="0055116C" w:rsidRDefault="0055116C" w:rsidP="0055116C">
      <w:pPr>
        <w:tabs>
          <w:tab w:val="left" w:pos="709"/>
        </w:tabs>
        <w:jc w:val="both"/>
        <w:rPr>
          <w:rFonts w:cs="Arial"/>
          <w:szCs w:val="20"/>
          <w:u w:val="single"/>
          <w:lang w:val="ru-RU"/>
        </w:rPr>
      </w:pPr>
    </w:p>
    <w:p w:rsidR="008A4774" w:rsidRPr="0055116C" w:rsidRDefault="0055116C" w:rsidP="0055116C">
      <w:pPr>
        <w:pStyle w:val="ListParagraph"/>
        <w:numPr>
          <w:ilvl w:val="0"/>
          <w:numId w:val="8"/>
        </w:numPr>
        <w:tabs>
          <w:tab w:val="left" w:pos="709"/>
        </w:tabs>
        <w:ind w:left="0" w:firstLine="0"/>
        <w:jc w:val="both"/>
        <w:rPr>
          <w:lang w:val="ru-RU"/>
        </w:rPr>
      </w:pPr>
      <w:r w:rsidRPr="0055116C">
        <w:rPr>
          <w:lang w:val="ru-RU"/>
        </w:rPr>
        <w:t xml:space="preserve">Уровень освоения бюджета (расходы, не связанные персоналом) составил 91%, что связано с завершением фазы разработки платформы ПО для </w:t>
      </w:r>
      <w:r>
        <w:t>WCC</w:t>
      </w:r>
      <w:r w:rsidRPr="0055116C">
        <w:rPr>
          <w:lang w:val="ru-RU"/>
        </w:rPr>
        <w:t>. В результате ее внедрение будет проходить в 2016</w:t>
      </w:r>
      <w:r>
        <w:t> </w:t>
      </w:r>
      <w:r w:rsidRPr="0055116C">
        <w:rPr>
          <w:lang w:val="ru-RU"/>
        </w:rPr>
        <w:t>г., а не в предыдущий двухлетний период, как было первоначально запланировано.</w:t>
      </w:r>
    </w:p>
    <w:p w:rsidR="008A4774" w:rsidRPr="0055116C" w:rsidRDefault="008A4774">
      <w:pPr>
        <w:rPr>
          <w:lang w:val="ru-RU"/>
        </w:rPr>
      </w:pPr>
    </w:p>
    <w:p w:rsidR="00F27486" w:rsidRPr="0055116C" w:rsidRDefault="00F27486" w:rsidP="00FD7155">
      <w:pPr>
        <w:jc w:val="both"/>
        <w:rPr>
          <w:rFonts w:cs="Arial"/>
          <w:szCs w:val="20"/>
          <w:lang w:val="ru-RU"/>
        </w:rPr>
      </w:pPr>
    </w:p>
    <w:p w:rsidR="00DA7475" w:rsidRPr="0055116C" w:rsidRDefault="00DA7475">
      <w:pPr>
        <w:rPr>
          <w:lang w:val="ru-RU"/>
        </w:rPr>
      </w:pPr>
      <w:r w:rsidRPr="0055116C">
        <w:rPr>
          <w:lang w:val="ru-RU"/>
        </w:rPr>
        <w:br w:type="page"/>
      </w:r>
    </w:p>
    <w:p w:rsidR="00DA7475" w:rsidRPr="00103107" w:rsidRDefault="00103107" w:rsidP="00C1753F">
      <w:pPr>
        <w:pStyle w:val="StyleHeading214ptAuto"/>
        <w:rPr>
          <w:rFonts w:ascii="Arial" w:hAnsi="Arial" w:cs="Arial"/>
          <w:sz w:val="20"/>
          <w:szCs w:val="20"/>
          <w:lang w:val="ru-RU"/>
        </w:rPr>
      </w:pPr>
      <w:bookmarkStart w:id="101" w:name="_Toc455388124"/>
      <w:bookmarkStart w:id="102" w:name="_Toc367350592"/>
      <w:r>
        <w:rPr>
          <w:rFonts w:ascii="Arial" w:hAnsi="Arial" w:cs="Arial"/>
          <w:sz w:val="20"/>
          <w:szCs w:val="20"/>
          <w:lang w:val="ru-RU"/>
        </w:rPr>
        <w:t>стратегическая цель</w:t>
      </w:r>
      <w:r w:rsidR="00DA7475" w:rsidRPr="00103107">
        <w:rPr>
          <w:rFonts w:ascii="Arial" w:hAnsi="Arial" w:cs="Arial"/>
          <w:sz w:val="20"/>
          <w:szCs w:val="20"/>
          <w:lang w:val="ru-RU"/>
        </w:rPr>
        <w:t xml:space="preserve"> </w:t>
      </w:r>
      <w:r w:rsidR="00DA7475" w:rsidRPr="00E07FBB">
        <w:rPr>
          <w:rFonts w:ascii="Arial" w:hAnsi="Arial" w:cs="Arial"/>
          <w:sz w:val="20"/>
          <w:szCs w:val="20"/>
        </w:rPr>
        <w:t>V</w:t>
      </w:r>
      <w:bookmarkEnd w:id="101"/>
      <w:r w:rsidR="00DA7475" w:rsidRPr="00103107">
        <w:rPr>
          <w:rFonts w:ascii="Arial" w:hAnsi="Arial" w:cs="Arial"/>
          <w:sz w:val="20"/>
          <w:szCs w:val="20"/>
          <w:lang w:val="ru-RU"/>
        </w:rPr>
        <w:t xml:space="preserve"> </w:t>
      </w:r>
    </w:p>
    <w:p w:rsidR="00DA7475" w:rsidRPr="00103107" w:rsidRDefault="00DA7475" w:rsidP="003E2D93">
      <w:pPr>
        <w:rPr>
          <w:lang w:val="ru-RU"/>
        </w:rPr>
      </w:pPr>
    </w:p>
    <w:bookmarkEnd w:id="102"/>
    <w:p w:rsidR="00103107" w:rsidRPr="003767D5" w:rsidRDefault="00103107" w:rsidP="00103107">
      <w:pPr>
        <w:jc w:val="center"/>
        <w:rPr>
          <w:b/>
          <w:lang w:val="ru-RU"/>
        </w:rPr>
      </w:pPr>
      <w:r w:rsidRPr="003767D5">
        <w:rPr>
          <w:b/>
          <w:lang w:val="ru-RU"/>
        </w:rPr>
        <w:t xml:space="preserve">ВСЕМИРНЫЙ ИСТОЧНИК СПРАВОЧНОЙ ИНФОРМАЦИИ И АНАЛИТИЧЕСКИХ ДАННЫХ </w:t>
      </w:r>
      <w:r>
        <w:rPr>
          <w:b/>
          <w:lang w:val="ru-RU"/>
        </w:rPr>
        <w:br/>
      </w:r>
      <w:r w:rsidRPr="003767D5">
        <w:rPr>
          <w:b/>
          <w:lang w:val="ru-RU"/>
        </w:rPr>
        <w:t>В ОБЛАСТИ ИС</w:t>
      </w:r>
    </w:p>
    <w:p w:rsidR="00103107" w:rsidRDefault="00103107" w:rsidP="00103107">
      <w:pPr>
        <w:jc w:val="center"/>
        <w:rPr>
          <w:lang w:val="ru-RU"/>
        </w:rPr>
      </w:pPr>
    </w:p>
    <w:p w:rsidR="00103107" w:rsidRPr="004F6688" w:rsidRDefault="00103107" w:rsidP="00103107">
      <w:pPr>
        <w:jc w:val="center"/>
        <w:rPr>
          <w:lang w:val="ru-RU"/>
        </w:rPr>
      </w:pPr>
    </w:p>
    <w:p w:rsidR="00103107" w:rsidRPr="004F6688" w:rsidRDefault="00103107" w:rsidP="00103107">
      <w:pPr>
        <w:jc w:val="center"/>
        <w:rPr>
          <w:b/>
          <w:lang w:val="ru-RU"/>
        </w:rPr>
      </w:pPr>
      <w:r w:rsidRPr="003A588C">
        <w:rPr>
          <w:b/>
          <w:lang w:val="ru-RU"/>
        </w:rPr>
        <w:t>Сводная таблица показателей результативности за двухлетний период</w:t>
      </w:r>
      <w:r w:rsidRPr="004F6688">
        <w:rPr>
          <w:b/>
          <w:lang w:val="ru-RU"/>
        </w:rPr>
        <w:t xml:space="preserve"> </w:t>
      </w:r>
    </w:p>
    <w:p w:rsidR="00103107" w:rsidRPr="004F6688" w:rsidRDefault="00103107" w:rsidP="00103107">
      <w:pPr>
        <w:rPr>
          <w:lang w:val="ru-RU"/>
        </w:rPr>
      </w:pPr>
    </w:p>
    <w:p w:rsidR="00103107" w:rsidRPr="003A588C" w:rsidRDefault="00103107" w:rsidP="00103107">
      <w:pPr>
        <w:autoSpaceDE w:val="0"/>
        <w:autoSpaceDN w:val="0"/>
        <w:adjustRightInd w:val="0"/>
        <w:jc w:val="both"/>
        <w:rPr>
          <w:rFonts w:cs="Arial"/>
          <w:lang w:val="ru-RU"/>
        </w:rPr>
      </w:pPr>
      <w:r w:rsidRPr="003A588C">
        <w:rPr>
          <w:rFonts w:cs="Arial"/>
          <w:lang w:val="ru-RU"/>
        </w:rPr>
        <w:t>Приводимая ниже сводная т</w:t>
      </w:r>
      <w:r>
        <w:rPr>
          <w:rFonts w:cs="Arial"/>
          <w:lang w:val="ru-RU"/>
        </w:rPr>
        <w:t>аблица содержит обзор достижений с точки зрения степени реализации</w:t>
      </w:r>
      <w:r w:rsidRPr="003A588C">
        <w:rPr>
          <w:rFonts w:cs="Arial"/>
          <w:lang w:val="ru-RU"/>
        </w:rPr>
        <w:t xml:space="preserve"> ожидаемых результатов в двухлетнем периоде 2014-201</w:t>
      </w:r>
      <w:r>
        <w:rPr>
          <w:rFonts w:cs="Arial"/>
          <w:lang w:val="ru-RU"/>
        </w:rPr>
        <w:t>5</w:t>
      </w:r>
      <w:r w:rsidRPr="003A588C">
        <w:rPr>
          <w:rFonts w:cs="Arial"/>
          <w:lang w:val="ru-RU"/>
        </w:rPr>
        <w:t xml:space="preserve"> гг.</w:t>
      </w:r>
      <w:r>
        <w:rPr>
          <w:rFonts w:cs="Arial"/>
          <w:lang w:val="ru-RU"/>
        </w:rPr>
        <w:t xml:space="preserve"> на основе</w:t>
      </w:r>
      <w:r w:rsidRPr="003A588C">
        <w:rPr>
          <w:rFonts w:cs="Arial"/>
          <w:lang w:val="ru-RU"/>
        </w:rPr>
        <w:t xml:space="preserve"> показател</w:t>
      </w:r>
      <w:r>
        <w:rPr>
          <w:rFonts w:cs="Arial"/>
          <w:lang w:val="ru-RU"/>
        </w:rPr>
        <w:t>ей</w:t>
      </w:r>
      <w:r w:rsidRPr="003A588C">
        <w:rPr>
          <w:rFonts w:cs="Arial"/>
          <w:lang w:val="ru-RU"/>
        </w:rPr>
        <w:t xml:space="preserve"> программ, </w:t>
      </w:r>
      <w:r>
        <w:rPr>
          <w:rFonts w:cs="Arial"/>
          <w:lang w:val="ru-RU"/>
        </w:rPr>
        <w:t>обеспечивающих претворение в жизнь</w:t>
      </w:r>
      <w:r w:rsidRPr="003A588C">
        <w:rPr>
          <w:rFonts w:cs="Arial"/>
          <w:lang w:val="ru-RU"/>
        </w:rPr>
        <w:t xml:space="preserve"> данной стратегической цели.  </w:t>
      </w:r>
    </w:p>
    <w:p w:rsidR="00103107" w:rsidRPr="004F6688" w:rsidRDefault="00103107" w:rsidP="00103107">
      <w:pPr>
        <w:rPr>
          <w:lang w:val="ru-RU"/>
        </w:rPr>
      </w:pPr>
    </w:p>
    <w:p w:rsidR="00103107" w:rsidRPr="00591286" w:rsidRDefault="00103107" w:rsidP="00103107">
      <w:pPr>
        <w:jc w:val="center"/>
        <w:rPr>
          <w:lang w:val="ru-RU"/>
        </w:rPr>
      </w:pPr>
      <w:r>
        <w:rPr>
          <w:noProof/>
        </w:rPr>
        <w:drawing>
          <wp:inline distT="0" distB="0" distL="0" distR="0" wp14:anchorId="1B5390EA" wp14:editId="6FEB136F">
            <wp:extent cx="5940425" cy="2850180"/>
            <wp:effectExtent l="0" t="0" r="3175" b="762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940425" cy="2850180"/>
                    </a:xfrm>
                    <a:prstGeom prst="rect">
                      <a:avLst/>
                    </a:prstGeom>
                    <a:noFill/>
                    <a:ln>
                      <a:noFill/>
                    </a:ln>
                  </pic:spPr>
                </pic:pic>
              </a:graphicData>
            </a:graphic>
          </wp:inline>
        </w:drawing>
      </w:r>
    </w:p>
    <w:p w:rsidR="00103107" w:rsidRPr="00591286" w:rsidRDefault="00103107" w:rsidP="00103107">
      <w:pPr>
        <w:rPr>
          <w:b/>
          <w:bCs/>
          <w:caps/>
          <w:lang w:val="ru-RU"/>
        </w:rPr>
      </w:pPr>
    </w:p>
    <w:tbl>
      <w:tblPr>
        <w:tblW w:w="4942"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385"/>
        <w:gridCol w:w="3553"/>
        <w:gridCol w:w="1954"/>
        <w:gridCol w:w="1568"/>
      </w:tblGrid>
      <w:tr w:rsidR="00103107" w:rsidRPr="00B35175" w:rsidTr="00D340AF">
        <w:trPr>
          <w:cantSplit/>
          <w:trHeight w:val="605"/>
        </w:trPr>
        <w:tc>
          <w:tcPr>
            <w:tcW w:w="1544"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B35175" w:rsidRDefault="00103107" w:rsidP="00103107">
            <w:pPr>
              <w:spacing w:after="120"/>
              <w:rPr>
                <w:rFonts w:cs="Arial"/>
                <w:b/>
                <w:bCs/>
                <w:sz w:val="18"/>
                <w:szCs w:val="18"/>
              </w:rPr>
            </w:pPr>
            <w:r w:rsidRPr="003A588C">
              <w:rPr>
                <w:rFonts w:cs="Arial"/>
                <w:b/>
                <w:bCs/>
                <w:sz w:val="18"/>
                <w:szCs w:val="18"/>
                <w:lang w:val="ru-RU"/>
              </w:rPr>
              <w:t>Ожидаемые результаты</w:t>
            </w:r>
          </w:p>
        </w:tc>
        <w:tc>
          <w:tcPr>
            <w:tcW w:w="2161"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B35175" w:rsidRDefault="00103107" w:rsidP="00103107">
            <w:pPr>
              <w:spacing w:after="120"/>
              <w:rPr>
                <w:rFonts w:cs="Arial"/>
                <w:b/>
                <w:bCs/>
                <w:sz w:val="18"/>
                <w:szCs w:val="18"/>
              </w:rPr>
            </w:pPr>
            <w:r>
              <w:rPr>
                <w:rFonts w:cs="Arial"/>
                <w:b/>
                <w:bCs/>
                <w:sz w:val="18"/>
                <w:szCs w:val="18"/>
                <w:lang w:val="ru-RU"/>
              </w:rPr>
              <w:t>Показатели</w:t>
            </w:r>
            <w:r w:rsidRPr="003A588C">
              <w:rPr>
                <w:rFonts w:cs="Arial"/>
                <w:b/>
                <w:bCs/>
                <w:sz w:val="18"/>
                <w:szCs w:val="18"/>
                <w:lang w:val="ru-RU"/>
              </w:rPr>
              <w:t xml:space="preserve"> результативности</w:t>
            </w:r>
          </w:p>
        </w:tc>
        <w:tc>
          <w:tcPr>
            <w:tcW w:w="927"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B35175" w:rsidRDefault="00103107" w:rsidP="00103107">
            <w:pPr>
              <w:spacing w:after="120"/>
              <w:ind w:left="85"/>
              <w:jc w:val="center"/>
              <w:rPr>
                <w:rFonts w:cs="Arial"/>
                <w:b/>
                <w:bCs/>
                <w:sz w:val="18"/>
                <w:szCs w:val="18"/>
              </w:rPr>
            </w:pPr>
            <w:r w:rsidRPr="003A588C">
              <w:rPr>
                <w:rFonts w:cs="Arial"/>
                <w:b/>
                <w:bCs/>
                <w:sz w:val="18"/>
                <w:szCs w:val="18"/>
                <w:lang w:val="ru-RU"/>
              </w:rPr>
              <w:t>Соответствующие программы</w:t>
            </w:r>
          </w:p>
        </w:tc>
        <w:tc>
          <w:tcPr>
            <w:tcW w:w="368" w:type="pct"/>
            <w:tcBorders>
              <w:top w:val="single" w:sz="4" w:space="0" w:color="auto"/>
              <w:bottom w:val="single" w:sz="4" w:space="0" w:color="auto"/>
            </w:tcBorders>
            <w:shd w:val="clear" w:color="auto" w:fill="C6D9F1" w:themeFill="text2" w:themeFillTint="33"/>
            <w:vAlign w:val="center"/>
          </w:tcPr>
          <w:p w:rsidR="00103107" w:rsidRPr="00B35175" w:rsidRDefault="00103107" w:rsidP="00103107">
            <w:pPr>
              <w:spacing w:after="120"/>
              <w:ind w:left="85"/>
              <w:jc w:val="center"/>
              <w:rPr>
                <w:rFonts w:cs="Arial"/>
                <w:b/>
                <w:bCs/>
                <w:sz w:val="18"/>
                <w:szCs w:val="18"/>
              </w:rPr>
            </w:pPr>
            <w:r w:rsidRPr="003A588C">
              <w:rPr>
                <w:rFonts w:cs="Arial"/>
                <w:b/>
                <w:bCs/>
                <w:sz w:val="18"/>
                <w:szCs w:val="18"/>
                <w:lang w:val="ru-RU"/>
              </w:rPr>
              <w:t>СИГНАЛЬНАЯ СИСТЕМА</w:t>
            </w:r>
          </w:p>
        </w:tc>
      </w:tr>
      <w:tr w:rsidR="00103107" w:rsidRPr="00AF5E7C" w:rsidTr="00103107">
        <w:trPr>
          <w:cantSplit/>
        </w:trPr>
        <w:tc>
          <w:tcPr>
            <w:tcW w:w="1544" w:type="pct"/>
            <w:tcBorders>
              <w:top w:val="single" w:sz="4" w:space="0" w:color="auto"/>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V.1 Более широкое и более эффективное использование статистической информации ВОИС в области ИС</w:t>
            </w:r>
          </w:p>
        </w:tc>
        <w:tc>
          <w:tcPr>
            <w:tcW w:w="2161" w:type="pct"/>
            <w:tcBorders>
              <w:top w:val="single" w:sz="4" w:space="0" w:color="auto"/>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скачиваний четырех основных статистических отчетов (отчеты ВОИС и ежегодные обзоры PCT, Гаагской и Мадридской систем)</w:t>
            </w:r>
          </w:p>
        </w:tc>
        <w:tc>
          <w:tcPr>
            <w:tcW w:w="927" w:type="pct"/>
            <w:tcBorders>
              <w:top w:val="single" w:sz="4" w:space="0" w:color="auto"/>
            </w:tcBorders>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Программа 16</w:t>
            </w:r>
          </w:p>
        </w:tc>
        <w:tc>
          <w:tcPr>
            <w:tcW w:w="368" w:type="pct"/>
            <w:tcBorders>
              <w:top w:val="single" w:sz="4" w:space="0" w:color="auto"/>
            </w:tcBorders>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A6A6A6" w:themeColor="background1" w:themeShade="A6"/>
                <w:sz w:val="22"/>
                <w:szCs w:val="22"/>
              </w:rPr>
              <w:sym w:font="Wingdings" w:char="F06C"/>
            </w:r>
            <w:r w:rsidRPr="00CC3F44">
              <w:rPr>
                <w:rFonts w:cs="Arial"/>
                <w:color w:val="A6A6A6" w:themeColor="background1" w:themeShade="A6"/>
                <w:sz w:val="22"/>
                <w:szCs w:val="22"/>
              </w:rPr>
              <w:sym w:font="Wingdings" w:char="F06C"/>
            </w:r>
            <w:r w:rsidRPr="00CC3F44">
              <w:rPr>
                <w:rFonts w:cs="Arial"/>
                <w:color w:val="A6A6A6" w:themeColor="background1" w:themeShade="A6"/>
                <w:sz w:val="22"/>
                <w:szCs w:val="22"/>
              </w:rPr>
              <w:sym w:font="Wingdings" w:char="F06C"/>
            </w:r>
          </w:p>
        </w:tc>
      </w:tr>
      <w:tr w:rsidR="00103107" w:rsidRPr="00AF5E7C" w:rsidTr="00103107">
        <w:trPr>
          <w:cantSplit/>
          <w:trHeight w:val="319"/>
        </w:trPr>
        <w:tc>
          <w:tcPr>
            <w:tcW w:w="1544" w:type="pct"/>
            <w:shd w:val="clear" w:color="auto" w:fill="auto"/>
            <w:tcMar>
              <w:top w:w="113" w:type="dxa"/>
              <w:bottom w:w="85" w:type="dxa"/>
            </w:tcMar>
          </w:tcPr>
          <w:p w:rsidR="00103107" w:rsidRPr="00AF5E7C" w:rsidRDefault="00103107" w:rsidP="00103107">
            <w:pPr>
              <w:rPr>
                <w:rFonts w:cs="Arial"/>
                <w:sz w:val="16"/>
                <w:szCs w:val="16"/>
              </w:rPr>
            </w:pPr>
          </w:p>
        </w:tc>
        <w:tc>
          <w:tcPr>
            <w:tcW w:w="2161"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посетителей, пользующихся Центром статистических данных по ИС</w:t>
            </w:r>
          </w:p>
        </w:tc>
        <w:tc>
          <w:tcPr>
            <w:tcW w:w="927"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Программа 16</w:t>
            </w:r>
          </w:p>
        </w:tc>
        <w:tc>
          <w:tcPr>
            <w:tcW w:w="368"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526"/>
        </w:trPr>
        <w:tc>
          <w:tcPr>
            <w:tcW w:w="1544" w:type="pct"/>
            <w:shd w:val="clear" w:color="auto" w:fill="auto"/>
            <w:tcMar>
              <w:top w:w="113" w:type="dxa"/>
              <w:bottom w:w="85" w:type="dxa"/>
            </w:tcMar>
          </w:tcPr>
          <w:p w:rsidR="00103107" w:rsidRPr="004F6688" w:rsidRDefault="00103107" w:rsidP="00103107">
            <w:pPr>
              <w:tabs>
                <w:tab w:val="right" w:pos="2835"/>
              </w:tabs>
              <w:spacing w:after="60"/>
              <w:rPr>
                <w:rFonts w:cs="Arial"/>
                <w:sz w:val="15"/>
                <w:szCs w:val="15"/>
                <w:lang w:val="ru-RU"/>
              </w:rPr>
            </w:pPr>
            <w:r w:rsidRPr="003A588C">
              <w:rPr>
                <w:rFonts w:cs="Arial"/>
                <w:sz w:val="15"/>
                <w:szCs w:val="15"/>
                <w:lang w:val="ru-RU"/>
              </w:rPr>
              <w:t>V.2. Более широкое и более эффективное использование экономического анализа ВОИС при разработке политики</w:t>
            </w:r>
            <w:r w:rsidRPr="004F6688">
              <w:rPr>
                <w:rFonts w:cs="Arial"/>
                <w:sz w:val="15"/>
                <w:szCs w:val="15"/>
                <w:lang w:val="ru-RU"/>
              </w:rPr>
              <w:t xml:space="preserve"> </w:t>
            </w:r>
          </w:p>
        </w:tc>
        <w:tc>
          <w:tcPr>
            <w:tcW w:w="2161"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Использование правительствами и НПО результатов экономических исследований ВОИС по вопросам авторского права при принятии решений</w:t>
            </w:r>
          </w:p>
        </w:tc>
        <w:tc>
          <w:tcPr>
            <w:tcW w:w="927"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368" w:type="pct"/>
            <w:shd w:val="clear" w:color="auto" w:fill="FFFFFF"/>
          </w:tcPr>
          <w:p w:rsidR="00103107" w:rsidRPr="00CC3F44" w:rsidRDefault="00103107" w:rsidP="00103107">
            <w:pPr>
              <w:spacing w:before="40"/>
              <w:jc w:val="center"/>
            </w:pPr>
            <w:r w:rsidRPr="00CC3F44">
              <w:rPr>
                <w:rFonts w:cs="Arial"/>
                <w:color w:val="008000"/>
                <w:sz w:val="22"/>
                <w:szCs w:val="22"/>
              </w:rPr>
              <w:sym w:font="Wingdings" w:char="F06C"/>
            </w:r>
          </w:p>
        </w:tc>
      </w:tr>
      <w:tr w:rsidR="00103107" w:rsidRPr="00AF5E7C" w:rsidTr="00103107">
        <w:trPr>
          <w:cantSplit/>
          <w:trHeight w:val="607"/>
        </w:trPr>
        <w:tc>
          <w:tcPr>
            <w:tcW w:w="1544" w:type="pct"/>
            <w:shd w:val="clear" w:color="auto" w:fill="auto"/>
            <w:tcMar>
              <w:top w:w="113" w:type="dxa"/>
              <w:bottom w:w="85" w:type="dxa"/>
            </w:tcMar>
          </w:tcPr>
          <w:p w:rsidR="00103107" w:rsidRPr="00AF5E7C" w:rsidRDefault="00103107" w:rsidP="00103107">
            <w:pPr>
              <w:rPr>
                <w:rFonts w:cs="Arial"/>
                <w:sz w:val="16"/>
                <w:szCs w:val="16"/>
              </w:rPr>
            </w:pPr>
          </w:p>
        </w:tc>
        <w:tc>
          <w:tcPr>
            <w:tcW w:w="2161"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Национальные инициативы по разработке дополнительных статистических показателей по творческим отраслям, основанные на результатах работы ВОИС в данной области</w:t>
            </w:r>
          </w:p>
        </w:tc>
        <w:tc>
          <w:tcPr>
            <w:tcW w:w="927"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3 </w:t>
            </w:r>
          </w:p>
        </w:tc>
        <w:tc>
          <w:tcPr>
            <w:tcW w:w="368" w:type="pct"/>
            <w:shd w:val="clear" w:color="auto" w:fill="FFFFFF"/>
          </w:tcPr>
          <w:p w:rsidR="00103107" w:rsidRPr="00CC3F44" w:rsidRDefault="00103107" w:rsidP="00103107">
            <w:pPr>
              <w:spacing w:before="40"/>
              <w:jc w:val="center"/>
              <w:rPr>
                <w:color w:val="E26B0A"/>
              </w:rPr>
            </w:pPr>
            <w:r w:rsidRPr="00CC3F44">
              <w:rPr>
                <w:rFonts w:cs="Arial"/>
                <w:sz w:val="22"/>
                <w:szCs w:val="22"/>
              </w:rPr>
              <w:sym w:font="Wingdings" w:char="F06C"/>
            </w:r>
          </w:p>
        </w:tc>
      </w:tr>
      <w:tr w:rsidR="00103107" w:rsidRPr="00AF5E7C" w:rsidTr="00103107">
        <w:trPr>
          <w:cantSplit/>
          <w:trHeight w:val="346"/>
        </w:trPr>
        <w:tc>
          <w:tcPr>
            <w:tcW w:w="1544" w:type="pct"/>
            <w:shd w:val="clear" w:color="auto" w:fill="auto"/>
            <w:tcMar>
              <w:top w:w="113" w:type="dxa"/>
              <w:bottom w:w="85" w:type="dxa"/>
            </w:tcMar>
          </w:tcPr>
          <w:p w:rsidR="00103107" w:rsidRPr="00AF5E7C" w:rsidRDefault="00103107" w:rsidP="00103107">
            <w:pPr>
              <w:rPr>
                <w:rFonts w:cs="Arial"/>
                <w:sz w:val="16"/>
                <w:szCs w:val="16"/>
              </w:rPr>
            </w:pPr>
          </w:p>
        </w:tc>
        <w:tc>
          <w:tcPr>
            <w:tcW w:w="2161"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скачиваний основных экономических публикаций</w:t>
            </w:r>
          </w:p>
        </w:tc>
        <w:tc>
          <w:tcPr>
            <w:tcW w:w="927"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Программа 16</w:t>
            </w:r>
          </w:p>
        </w:tc>
        <w:tc>
          <w:tcPr>
            <w:tcW w:w="368"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A6A6A6" w:themeColor="background1" w:themeShade="A6"/>
                <w:sz w:val="22"/>
                <w:szCs w:val="22"/>
              </w:rPr>
              <w:sym w:font="Wingdings" w:char="F06C"/>
            </w:r>
            <w:r w:rsidRPr="00CC3F44">
              <w:rPr>
                <w:rFonts w:cs="Arial"/>
                <w:color w:val="A6A6A6" w:themeColor="background1" w:themeShade="A6"/>
                <w:sz w:val="22"/>
                <w:szCs w:val="22"/>
              </w:rPr>
              <w:sym w:font="Wingdings" w:char="F06C"/>
            </w:r>
          </w:p>
        </w:tc>
      </w:tr>
      <w:tr w:rsidR="00103107" w:rsidRPr="00AF5E7C" w:rsidTr="00103107">
        <w:trPr>
          <w:cantSplit/>
          <w:trHeight w:val="355"/>
        </w:trPr>
        <w:tc>
          <w:tcPr>
            <w:tcW w:w="1544" w:type="pct"/>
            <w:shd w:val="clear" w:color="auto" w:fill="auto"/>
            <w:tcMar>
              <w:top w:w="113" w:type="dxa"/>
              <w:bottom w:w="85" w:type="dxa"/>
            </w:tcMar>
          </w:tcPr>
          <w:p w:rsidR="00103107" w:rsidRPr="00AF5E7C" w:rsidRDefault="00103107" w:rsidP="00103107">
            <w:pPr>
              <w:rPr>
                <w:rFonts w:cs="Arial"/>
                <w:sz w:val="16"/>
                <w:szCs w:val="16"/>
              </w:rPr>
            </w:pPr>
          </w:p>
        </w:tc>
        <w:tc>
          <w:tcPr>
            <w:tcW w:w="2161" w:type="pct"/>
            <w:shd w:val="clear" w:color="auto" w:fill="auto"/>
            <w:tcMar>
              <w:top w:w="113" w:type="dxa"/>
              <w:bottom w:w="85" w:type="dxa"/>
            </w:tcMar>
          </w:tcPr>
          <w:p w:rsidR="00103107" w:rsidRPr="00A020B6" w:rsidRDefault="00103107" w:rsidP="00103107">
            <w:pPr>
              <w:rPr>
                <w:rFonts w:cs="Arial"/>
                <w:sz w:val="16"/>
                <w:szCs w:val="16"/>
              </w:rPr>
            </w:pPr>
            <w:r w:rsidRPr="003A588C">
              <w:rPr>
                <w:rFonts w:cs="Arial"/>
                <w:sz w:val="16"/>
                <w:szCs w:val="16"/>
                <w:lang w:val="ru-RU"/>
              </w:rPr>
              <w:t>Число скачиваний исследований</w:t>
            </w:r>
          </w:p>
        </w:tc>
        <w:tc>
          <w:tcPr>
            <w:tcW w:w="927"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Программа 16</w:t>
            </w:r>
          </w:p>
        </w:tc>
        <w:tc>
          <w:tcPr>
            <w:tcW w:w="368"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381"/>
        </w:trPr>
        <w:tc>
          <w:tcPr>
            <w:tcW w:w="1544" w:type="pct"/>
            <w:shd w:val="clear" w:color="auto" w:fill="auto"/>
            <w:tcMar>
              <w:top w:w="113" w:type="dxa"/>
              <w:bottom w:w="85" w:type="dxa"/>
            </w:tcMar>
          </w:tcPr>
          <w:p w:rsidR="00103107" w:rsidRPr="00AF5E7C" w:rsidRDefault="00103107" w:rsidP="00103107">
            <w:pPr>
              <w:rPr>
                <w:rFonts w:cs="Arial"/>
                <w:sz w:val="16"/>
                <w:szCs w:val="16"/>
              </w:rPr>
            </w:pPr>
          </w:p>
        </w:tc>
        <w:tc>
          <w:tcPr>
            <w:tcW w:w="2161" w:type="pct"/>
            <w:shd w:val="clear" w:color="auto" w:fill="auto"/>
            <w:tcMar>
              <w:top w:w="113" w:type="dxa"/>
              <w:bottom w:w="85" w:type="dxa"/>
            </w:tcMar>
          </w:tcPr>
          <w:p w:rsidR="00103107" w:rsidRPr="00A020B6" w:rsidRDefault="00103107" w:rsidP="00103107">
            <w:pPr>
              <w:rPr>
                <w:rFonts w:cs="Arial"/>
                <w:sz w:val="16"/>
                <w:szCs w:val="16"/>
              </w:rPr>
            </w:pPr>
            <w:r w:rsidRPr="003A588C">
              <w:rPr>
                <w:rFonts w:cs="Arial"/>
                <w:sz w:val="16"/>
                <w:szCs w:val="16"/>
                <w:lang w:val="ru-RU"/>
              </w:rPr>
              <w:t>Число загрузок семинаров</w:t>
            </w:r>
          </w:p>
        </w:tc>
        <w:tc>
          <w:tcPr>
            <w:tcW w:w="927"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Программа 16</w:t>
            </w:r>
          </w:p>
        </w:tc>
        <w:tc>
          <w:tcPr>
            <w:tcW w:w="368" w:type="pct"/>
            <w:shd w:val="clear" w:color="auto" w:fill="FFFFFF"/>
          </w:tcPr>
          <w:p w:rsidR="00103107" w:rsidRPr="00CC3F44" w:rsidRDefault="00103107" w:rsidP="00103107">
            <w:pPr>
              <w:jc w:val="center"/>
            </w:pPr>
            <w:r w:rsidRPr="00CC3F44">
              <w:rPr>
                <w:rFonts w:cs="Arial"/>
                <w:sz w:val="22"/>
                <w:szCs w:val="22"/>
              </w:rPr>
              <w:sym w:font="Wingdings" w:char="F06C"/>
            </w:r>
          </w:p>
        </w:tc>
      </w:tr>
    </w:tbl>
    <w:p w:rsidR="001562E0" w:rsidRDefault="001562E0">
      <w:pPr>
        <w:rPr>
          <w:rFonts w:cs="Arial"/>
          <w:b/>
          <w:bCs/>
          <w:iCs/>
          <w:sz w:val="22"/>
          <w:szCs w:val="28"/>
        </w:rPr>
      </w:pPr>
      <w:r>
        <w:br w:type="page"/>
      </w:r>
    </w:p>
    <w:p w:rsidR="0055116C" w:rsidRPr="0055116C" w:rsidRDefault="0055116C" w:rsidP="0055116C">
      <w:pPr>
        <w:pStyle w:val="Heading2"/>
        <w:tabs>
          <w:tab w:val="clear" w:pos="567"/>
          <w:tab w:val="clear" w:pos="9072"/>
        </w:tabs>
        <w:spacing w:before="240" w:after="60"/>
        <w:ind w:left="1985" w:hanging="1985"/>
        <w:rPr>
          <w:rFonts w:eastAsia="SimSun"/>
          <w:bCs w:val="0"/>
          <w:caps/>
          <w:szCs w:val="22"/>
          <w:lang w:val="ru-RU"/>
        </w:rPr>
      </w:pPr>
      <w:bookmarkStart w:id="103" w:name="_Toc422210501"/>
      <w:bookmarkStart w:id="104" w:name="_Toc455388125"/>
      <w:bookmarkEnd w:id="0"/>
      <w:r w:rsidRPr="0055116C">
        <w:rPr>
          <w:lang w:val="ru-RU"/>
        </w:rPr>
        <w:t>ПРОГРАММА</w:t>
      </w:r>
      <w:r>
        <w:t> </w:t>
      </w:r>
      <w:r w:rsidRPr="0055116C">
        <w:rPr>
          <w:lang w:val="ru-RU"/>
        </w:rPr>
        <w:t>16</w:t>
      </w:r>
      <w:r w:rsidRPr="0055116C">
        <w:rPr>
          <w:lang w:val="ru-RU"/>
        </w:rPr>
        <w:tab/>
      </w:r>
      <w:r w:rsidRPr="0055116C">
        <w:rPr>
          <w:lang w:val="ru-RU"/>
        </w:rPr>
        <w:tab/>
        <w:t>ЭКОНОМИКА И СТАТИСТИКА</w:t>
      </w:r>
      <w:bookmarkEnd w:id="103"/>
      <w:bookmarkEnd w:id="104"/>
    </w:p>
    <w:p w:rsidR="0055116C" w:rsidRPr="0055116C" w:rsidRDefault="0055116C" w:rsidP="0055116C">
      <w:pPr>
        <w:tabs>
          <w:tab w:val="left" w:pos="1985"/>
        </w:tabs>
        <w:jc w:val="both"/>
        <w:rPr>
          <w:szCs w:val="20"/>
          <w:lang w:val="ru-RU"/>
        </w:rPr>
      </w:pPr>
    </w:p>
    <w:p w:rsidR="0055116C" w:rsidRPr="0055116C" w:rsidRDefault="0055116C" w:rsidP="0055116C">
      <w:pPr>
        <w:tabs>
          <w:tab w:val="left" w:pos="1985"/>
        </w:tabs>
        <w:jc w:val="both"/>
        <w:rPr>
          <w:b/>
          <w:szCs w:val="22"/>
          <w:lang w:val="ru-RU"/>
        </w:rPr>
      </w:pPr>
      <w:r w:rsidRPr="0055116C">
        <w:rPr>
          <w:b/>
          <w:lang w:val="ru-RU"/>
        </w:rPr>
        <w:t xml:space="preserve">Руководитель программы: </w:t>
      </w:r>
      <w:r w:rsidRPr="0055116C">
        <w:rPr>
          <w:lang w:val="ru-RU"/>
        </w:rPr>
        <w:tab/>
      </w:r>
      <w:r w:rsidRPr="0055116C">
        <w:rPr>
          <w:b/>
          <w:lang w:val="ru-RU"/>
        </w:rPr>
        <w:t>Генеральный директор</w:t>
      </w:r>
    </w:p>
    <w:p w:rsidR="0055116C" w:rsidRPr="0055116C" w:rsidRDefault="0055116C" w:rsidP="0055116C">
      <w:pPr>
        <w:jc w:val="both"/>
        <w:rPr>
          <w:szCs w:val="20"/>
          <w:lang w:val="ru-RU"/>
        </w:rPr>
      </w:pPr>
    </w:p>
    <w:p w:rsidR="0055116C" w:rsidRPr="0055116C" w:rsidRDefault="0055116C" w:rsidP="0055116C">
      <w:pPr>
        <w:jc w:val="both"/>
        <w:rPr>
          <w:szCs w:val="20"/>
          <w:lang w:val="ru-RU"/>
        </w:rPr>
      </w:pPr>
    </w:p>
    <w:p w:rsidR="0055116C" w:rsidRPr="0055116C" w:rsidRDefault="0055116C" w:rsidP="0055116C">
      <w:pPr>
        <w:jc w:val="both"/>
        <w:rPr>
          <w:bCs/>
          <w:szCs w:val="22"/>
          <w:lang w:val="ru-RU"/>
        </w:rPr>
      </w:pPr>
      <w:r w:rsidRPr="0055116C">
        <w:rPr>
          <w:lang w:val="ru-RU"/>
        </w:rPr>
        <w:t>ОБЗОР ДОСТИЖЕНИЙ ЗА ДВУХЛЕТНИЙ ПЕРИОД 2014–2015 ГГ.</w:t>
      </w:r>
    </w:p>
    <w:p w:rsidR="0055116C" w:rsidRPr="0055116C" w:rsidRDefault="0055116C" w:rsidP="0055116C">
      <w:pPr>
        <w:jc w:val="both"/>
        <w:rPr>
          <w:szCs w:val="20"/>
          <w:lang w:val="ru-RU"/>
        </w:rPr>
      </w:pPr>
    </w:p>
    <w:p w:rsidR="0055116C" w:rsidRPr="0055116C" w:rsidRDefault="0055116C" w:rsidP="0055116C">
      <w:pPr>
        <w:pStyle w:val="ListParagraph"/>
        <w:numPr>
          <w:ilvl w:val="0"/>
          <w:numId w:val="17"/>
        </w:numPr>
        <w:tabs>
          <w:tab w:val="left" w:pos="709"/>
        </w:tabs>
        <w:ind w:left="0" w:firstLine="0"/>
        <w:jc w:val="both"/>
        <w:rPr>
          <w:lang w:val="ru-RU"/>
        </w:rPr>
      </w:pPr>
      <w:r w:rsidRPr="0055116C">
        <w:rPr>
          <w:lang w:val="ru-RU"/>
        </w:rPr>
        <w:t>В ходе статистической работы в двухлетний период 2014–2015</w:t>
      </w:r>
      <w:r>
        <w:t> </w:t>
      </w:r>
      <w:r w:rsidRPr="0055116C">
        <w:rPr>
          <w:lang w:val="ru-RU"/>
        </w:rPr>
        <w:t xml:space="preserve">гг. была достигнута цель, состоящая в предоставлении точной, всеобъемлющей и своевременно публикуемой статистической информации о функционировании системы ИС в мире.  Что особенно важно, были проведены статистические опросы национальных и региональных ведомств ИС, среднее число ответов на которые увеличилось до 121, тогда так в прошлый двухлетний период этот показатель составил 112.  </w:t>
      </w:r>
    </w:p>
    <w:p w:rsidR="0055116C" w:rsidRPr="0055116C" w:rsidRDefault="0055116C" w:rsidP="0055116C">
      <w:pPr>
        <w:jc w:val="both"/>
        <w:rPr>
          <w:szCs w:val="20"/>
          <w:lang w:val="ru-RU"/>
        </w:rPr>
      </w:pPr>
    </w:p>
    <w:p w:rsidR="0055116C" w:rsidRPr="0055116C" w:rsidRDefault="0055116C" w:rsidP="0055116C">
      <w:pPr>
        <w:pStyle w:val="ListParagraph"/>
        <w:numPr>
          <w:ilvl w:val="0"/>
          <w:numId w:val="17"/>
        </w:numPr>
        <w:tabs>
          <w:tab w:val="left" w:pos="709"/>
        </w:tabs>
        <w:ind w:left="0" w:firstLine="0"/>
        <w:jc w:val="both"/>
        <w:rPr>
          <w:lang w:val="ru-RU"/>
        </w:rPr>
      </w:pPr>
      <w:r w:rsidRPr="0055116C">
        <w:rPr>
          <w:lang w:val="ru-RU"/>
        </w:rPr>
        <w:t>Кроме того, широкий спектр статистической информации по Договору о патентной кооперации (</w:t>
      </w:r>
      <w:r>
        <w:t>PCT</w:t>
      </w:r>
      <w:r w:rsidRPr="0055116C">
        <w:rPr>
          <w:lang w:val="ru-RU"/>
        </w:rPr>
        <w:t xml:space="preserve">), Мадридской и Гаагской системе был собран на основе сотрудничества с программами 5, 6 и 31.  Как и в предыдущие годы, подборки статистической информации распространялись через самые разные публикации и веб-инструменты: в частности, через доклад о показателях ИС в мире и доклад «ИС: факты и цифры», а также через ежегодные обзоры работы системы </w:t>
      </w:r>
      <w:r>
        <w:t>PCT</w:t>
      </w:r>
      <w:r w:rsidRPr="0055116C">
        <w:rPr>
          <w:lang w:val="ru-RU"/>
        </w:rPr>
        <w:t>, Мадридской и Гаагской системы, через Центр статистических данных по ИС и страновые статистические обзоры по вопросам ИС.  В 2014–2015</w:t>
      </w:r>
      <w:r>
        <w:t> </w:t>
      </w:r>
      <w:r w:rsidRPr="0055116C">
        <w:rPr>
          <w:lang w:val="ru-RU"/>
        </w:rPr>
        <w:t>гг. были приняты особые меры для углубления анализа статистических тенденций, с одной стороны, и повышения удобства использования статистических данных пользователями, с другой стороны.  Можно привести следующие примеры таких мер: включение в статистические отчеты специальных разделов, где более глубоко рассматриваются определенные статистические вопросы, представление всемирных показателей ИС в новом виде, благодаря чему читателям стало проще искать нужную информацию, а также создание коротких видеороликов о ключевых тенденциях в области ИС в мире.  Статистические данные и отчеты ВОИС по-прежнему широко используются и цитируются в научных исследованиях, политических отчетах, статьях СМИ и других публикациях по всему миру.</w:t>
      </w:r>
    </w:p>
    <w:p w:rsidR="0055116C" w:rsidRPr="0055116C" w:rsidRDefault="0055116C" w:rsidP="0055116C">
      <w:pPr>
        <w:jc w:val="both"/>
        <w:rPr>
          <w:szCs w:val="20"/>
          <w:lang w:val="ru-RU"/>
        </w:rPr>
      </w:pPr>
    </w:p>
    <w:p w:rsidR="0055116C" w:rsidRPr="0055116C" w:rsidRDefault="0055116C" w:rsidP="0055116C">
      <w:pPr>
        <w:pStyle w:val="ListParagraph"/>
        <w:numPr>
          <w:ilvl w:val="0"/>
          <w:numId w:val="17"/>
        </w:numPr>
        <w:tabs>
          <w:tab w:val="left" w:pos="709"/>
        </w:tabs>
        <w:ind w:left="0" w:firstLine="0"/>
        <w:jc w:val="both"/>
        <w:rPr>
          <w:lang w:val="ru-RU"/>
        </w:rPr>
      </w:pPr>
      <w:r w:rsidRPr="0055116C">
        <w:rPr>
          <w:lang w:val="ru-RU"/>
        </w:rPr>
        <w:t xml:space="preserve">В проводимой в рамках этой программы работы по экономическому анализу также был достигнут существенный прогресс в достижении поставленной цели, которая состоит в том, чтобы предоставлять аналитическую информацию высокого качества об экономических вызовах в международной системе ИС и анализировать экономические последствия той или иной политики в области ИС.  Среди важнейших достижений – публикация третьего Доклада о положении дел в сфере интеллектуальной собственности, посвященного революционным инновациям и экономическому росту. После публикации этого доклада в свет вышло более 200 статей в СМИ; также к нему проявили интерес представители директивных органов и академических кругов по всему миру. Кроме того, ВОИС совместно с Корнельским университетом и школой бизнеса </w:t>
      </w:r>
      <w:r>
        <w:t>INSEAD</w:t>
      </w:r>
      <w:r w:rsidRPr="0055116C">
        <w:rPr>
          <w:lang w:val="ru-RU"/>
        </w:rPr>
        <w:t xml:space="preserve"> продолжила публикацию Глобального индекса инноваций (ГИИ).  В 2014–2015</w:t>
      </w:r>
      <w:r>
        <w:t> </w:t>
      </w:r>
      <w:r w:rsidRPr="0055116C">
        <w:rPr>
          <w:lang w:val="ru-RU"/>
        </w:rPr>
        <w:t>гг. презентации ГИИ впервые были проведены не в Женеве: в 2014</w:t>
      </w:r>
      <w:r>
        <w:t> </w:t>
      </w:r>
      <w:r w:rsidRPr="0055116C">
        <w:rPr>
          <w:lang w:val="ru-RU"/>
        </w:rPr>
        <w:t>г. презентация была организована при участии правительства Австралии, а в 2015</w:t>
      </w:r>
      <w:r>
        <w:t> </w:t>
      </w:r>
      <w:r w:rsidRPr="0055116C">
        <w:rPr>
          <w:lang w:val="ru-RU"/>
        </w:rPr>
        <w:t>г. – при участии правительства Соединенного Королевства.  Освещение в СМИ и социальных сетях также проходило активнее, чем в предыдущий двухлетний период.  Судя по ссылкам, запросам данных и просьбам о предоставлении консультативных услуг, ГИИ регулярно используется правительствами стран, международными организациями (в том числе организациями системы ООН) и другими участниками системы инновационной деятельности в качестве источника справочной информации.</w:t>
      </w:r>
    </w:p>
    <w:p w:rsidR="0055116C" w:rsidRPr="0055116C" w:rsidRDefault="0055116C" w:rsidP="0055116C">
      <w:pPr>
        <w:jc w:val="both"/>
        <w:rPr>
          <w:szCs w:val="20"/>
          <w:lang w:val="ru-RU"/>
        </w:rPr>
      </w:pPr>
    </w:p>
    <w:p w:rsidR="0055116C" w:rsidRPr="0055116C" w:rsidRDefault="0055116C" w:rsidP="0055116C">
      <w:pPr>
        <w:pStyle w:val="ListParagraph"/>
        <w:numPr>
          <w:ilvl w:val="0"/>
          <w:numId w:val="17"/>
        </w:numPr>
        <w:tabs>
          <w:tab w:val="left" w:pos="709"/>
        </w:tabs>
        <w:ind w:left="0" w:firstLine="0"/>
        <w:jc w:val="both"/>
        <w:rPr>
          <w:lang w:val="ru-RU"/>
        </w:rPr>
      </w:pPr>
      <w:r w:rsidRPr="0055116C">
        <w:rPr>
          <w:lang w:val="ru-RU"/>
        </w:rPr>
        <w:t>Существенные результаты в двухлетний период 2014–2015</w:t>
      </w:r>
      <w:r>
        <w:t> </w:t>
      </w:r>
      <w:r w:rsidRPr="0055116C">
        <w:rPr>
          <w:lang w:val="ru-RU"/>
        </w:rPr>
        <w:t>гг. были также достигнуты в области проведения целевых экономических исследований для поддержки работы комитетов ВОИС.  Кроме того, в рамках программы были проведены три проекта Повестки дня в области развития (ПДР): (</w:t>
      </w:r>
      <w:r>
        <w:t>i</w:t>
      </w:r>
      <w:r w:rsidRPr="0055116C">
        <w:rPr>
          <w:lang w:val="ru-RU"/>
        </w:rPr>
        <w:t>)</w:t>
      </w:r>
      <w:r>
        <w:t> </w:t>
      </w:r>
      <w:r w:rsidRPr="0055116C">
        <w:rPr>
          <w:lang w:val="ru-RU"/>
        </w:rPr>
        <w:t>ИС и социально-экономическое развитие; (</w:t>
      </w:r>
      <w:r>
        <w:t>ii</w:t>
      </w:r>
      <w:r w:rsidRPr="0055116C">
        <w:rPr>
          <w:lang w:val="ru-RU"/>
        </w:rPr>
        <w:t>)</w:t>
      </w:r>
      <w:r>
        <w:t> </w:t>
      </w:r>
      <w:r w:rsidRPr="0055116C">
        <w:rPr>
          <w:lang w:val="ru-RU"/>
        </w:rPr>
        <w:t>ИС и неформальный сектор экономики; (</w:t>
      </w:r>
      <w:r>
        <w:t>iii</w:t>
      </w:r>
      <w:r w:rsidRPr="0055116C">
        <w:rPr>
          <w:lang w:val="ru-RU"/>
        </w:rPr>
        <w:t>)</w:t>
      </w:r>
      <w:r>
        <w:t> </w:t>
      </w:r>
      <w:r w:rsidRPr="0055116C">
        <w:rPr>
          <w:lang w:val="ru-RU"/>
        </w:rPr>
        <w:t>ИС и «утечка умов». В 2015</w:t>
      </w:r>
      <w:r>
        <w:t> </w:t>
      </w:r>
      <w:r w:rsidRPr="0055116C">
        <w:rPr>
          <w:lang w:val="ru-RU"/>
        </w:rPr>
        <w:t xml:space="preserve">г. также началась реализация второй фазы проекта по ИС и социально-экономическому развитию, в рамках которого проведение соответствующей исследовательской деятельности должно осуществляться в других развивающихся странах.  Кроме того, в рамках программы был сделан вклад в работу других комитетов, в частности Рабочей группы </w:t>
      </w:r>
      <w:r>
        <w:t>PCT</w:t>
      </w:r>
      <w:r w:rsidRPr="0055116C">
        <w:rPr>
          <w:lang w:val="ru-RU"/>
        </w:rPr>
        <w:t xml:space="preserve"> и Постоянного комитета по патентному праву (ПКПП).  Благодаря этим исследованиям были получены эмпирические данные, которые легли в основу обсуждений лиц, принимающих решения, как на национальном уровне, так и во взаимодействии между государствами</w:t>
      </w:r>
      <w:r>
        <w:t> </w:t>
      </w:r>
      <w:r w:rsidRPr="0055116C">
        <w:rPr>
          <w:lang w:val="ru-RU"/>
        </w:rPr>
        <w:t xml:space="preserve">– членами ВОИС. Они также стали основой для проведения последующих исследований в академической среде.  </w:t>
      </w:r>
    </w:p>
    <w:p w:rsidR="0055116C" w:rsidRPr="0055116C" w:rsidRDefault="0055116C" w:rsidP="0055116C">
      <w:pPr>
        <w:jc w:val="both"/>
        <w:rPr>
          <w:szCs w:val="20"/>
          <w:lang w:val="ru-RU"/>
        </w:rPr>
      </w:pPr>
    </w:p>
    <w:p w:rsidR="0055116C" w:rsidRPr="0055116C" w:rsidRDefault="0055116C" w:rsidP="0055116C">
      <w:pPr>
        <w:pStyle w:val="ListParagraph"/>
        <w:numPr>
          <w:ilvl w:val="0"/>
          <w:numId w:val="17"/>
        </w:numPr>
        <w:tabs>
          <w:tab w:val="left" w:pos="709"/>
        </w:tabs>
        <w:ind w:left="0" w:firstLine="0"/>
        <w:jc w:val="both"/>
        <w:rPr>
          <w:rFonts w:cs="Arial"/>
          <w:lang w:val="ru-RU"/>
        </w:rPr>
      </w:pPr>
      <w:r w:rsidRPr="0055116C">
        <w:rPr>
          <w:lang w:val="ru-RU"/>
        </w:rPr>
        <w:t>Наконец, в рамках программы продолжалась координация работы сети экономистов, работающих в ведомствах ИС (которая открыта для всех ведомств, занимающихся экономическими исследованиями), в целях стимулирования и поощрения эмпирических и научно обоснованных экономических исследований по вопросам ИС. В рассматриваемый двухлетний период эта сеть расширилась: к ней присоединились еще четыре ведомства ИС, в результате чего общее число ведомств, участвующих в работе сети, достигло 13.</w:t>
      </w:r>
    </w:p>
    <w:p w:rsidR="0055116C" w:rsidRPr="0055116C" w:rsidRDefault="0055116C" w:rsidP="0055116C">
      <w:pPr>
        <w:jc w:val="both"/>
        <w:rPr>
          <w:szCs w:val="20"/>
          <w:lang w:val="ru-RU"/>
        </w:rPr>
      </w:pPr>
    </w:p>
    <w:p w:rsidR="0055116C" w:rsidRPr="0055116C" w:rsidRDefault="0055116C" w:rsidP="0055116C">
      <w:pPr>
        <w:jc w:val="both"/>
        <w:rPr>
          <w:szCs w:val="20"/>
          <w:lang w:val="ru-RU"/>
        </w:rPr>
      </w:pPr>
    </w:p>
    <w:p w:rsidR="0055116C" w:rsidRPr="003E047D" w:rsidRDefault="0055116C" w:rsidP="0055116C">
      <w:pPr>
        <w:rPr>
          <w:rFonts w:cs="Arial"/>
          <w:szCs w:val="22"/>
        </w:rPr>
      </w:pPr>
      <w:r>
        <w:t>ДАННЫЕ О РЕЗУЛЬТАТИВНОСТИ</w:t>
      </w:r>
    </w:p>
    <w:p w:rsidR="0055116C" w:rsidRPr="00383D2D" w:rsidRDefault="0055116C" w:rsidP="0055116C">
      <w:pPr>
        <w:keepNext/>
        <w:keepLines/>
        <w:jc w:val="both"/>
        <w:rPr>
          <w:b/>
          <w:szCs w:val="20"/>
        </w:rPr>
      </w:pPr>
    </w:p>
    <w:tbl>
      <w:tblPr>
        <w:tblW w:w="5223"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19"/>
        <w:gridCol w:w="2398"/>
        <w:gridCol w:w="1394"/>
        <w:gridCol w:w="152"/>
        <w:gridCol w:w="2697"/>
        <w:gridCol w:w="76"/>
        <w:gridCol w:w="1162"/>
      </w:tblGrid>
      <w:tr w:rsidR="0055116C" w:rsidRPr="005C6ABD" w:rsidTr="0055116C">
        <w:trPr>
          <w:cantSplit/>
        </w:trPr>
        <w:tc>
          <w:tcPr>
            <w:tcW w:w="5000" w:type="pct"/>
            <w:gridSpan w:val="7"/>
            <w:tcBorders>
              <w:top w:val="single" w:sz="4" w:space="0" w:color="auto"/>
              <w:bottom w:val="single" w:sz="4" w:space="0" w:color="auto"/>
            </w:tcBorders>
            <w:shd w:val="clear" w:color="auto" w:fill="C6D9F1" w:themeFill="text2" w:themeFillTint="33"/>
            <w:vAlign w:val="center"/>
          </w:tcPr>
          <w:p w:rsidR="0055116C" w:rsidRPr="0055116C" w:rsidRDefault="0055116C" w:rsidP="00D340AF">
            <w:pPr>
              <w:ind w:left="2302" w:hanging="2302"/>
              <w:rPr>
                <w:sz w:val="16"/>
                <w:szCs w:val="16"/>
                <w:lang w:val="ru-RU"/>
              </w:rPr>
            </w:pPr>
            <w:r w:rsidRPr="0055116C">
              <w:rPr>
                <w:b/>
                <w:sz w:val="16"/>
                <w:szCs w:val="16"/>
                <w:lang w:val="ru-RU"/>
              </w:rPr>
              <w:t xml:space="preserve">Ожидаемый результат: </w:t>
            </w:r>
            <w:r w:rsidRPr="0055116C">
              <w:rPr>
                <w:sz w:val="16"/>
                <w:szCs w:val="16"/>
                <w:lang w:val="ru-RU"/>
              </w:rPr>
              <w:tab/>
            </w:r>
            <w:r w:rsidRPr="000C6D79">
              <w:rPr>
                <w:sz w:val="16"/>
                <w:szCs w:val="16"/>
              </w:rPr>
              <w:t>V</w:t>
            </w:r>
            <w:r w:rsidRPr="0055116C">
              <w:rPr>
                <w:sz w:val="16"/>
                <w:szCs w:val="16"/>
                <w:lang w:val="ru-RU"/>
              </w:rPr>
              <w:t>.1 Более широкое и эффективное использование статистической информации ВОИС в области ИС</w:t>
            </w:r>
          </w:p>
          <w:p w:rsidR="0055116C" w:rsidRPr="0055116C" w:rsidRDefault="0055116C" w:rsidP="00D340AF">
            <w:pPr>
              <w:ind w:left="2019" w:hanging="2019"/>
              <w:rPr>
                <w:b/>
                <w:bCs/>
                <w:sz w:val="16"/>
                <w:szCs w:val="16"/>
                <w:lang w:val="ru-RU"/>
              </w:rPr>
            </w:pPr>
          </w:p>
        </w:tc>
      </w:tr>
      <w:tr w:rsidR="0055116C" w:rsidRPr="000C6D79" w:rsidTr="0055116C">
        <w:trPr>
          <w:cantSplit/>
        </w:trPr>
        <w:tc>
          <w:tcPr>
            <w:tcW w:w="1060" w:type="pct"/>
            <w:tcBorders>
              <w:top w:val="single" w:sz="4" w:space="0" w:color="auto"/>
            </w:tcBorders>
            <w:shd w:val="clear" w:color="auto" w:fill="auto"/>
            <w:vAlign w:val="center"/>
          </w:tcPr>
          <w:p w:rsidR="0055116C" w:rsidRPr="000C6D79" w:rsidRDefault="0055116C" w:rsidP="0055116C">
            <w:pPr>
              <w:rPr>
                <w:b/>
                <w:sz w:val="16"/>
                <w:szCs w:val="16"/>
              </w:rPr>
            </w:pPr>
            <w:r w:rsidRPr="000C6D79">
              <w:rPr>
                <w:b/>
                <w:sz w:val="16"/>
                <w:szCs w:val="16"/>
              </w:rPr>
              <w:t>Показатели результативности</w:t>
            </w:r>
          </w:p>
        </w:tc>
        <w:tc>
          <w:tcPr>
            <w:tcW w:w="1199" w:type="pct"/>
            <w:tcBorders>
              <w:top w:val="single" w:sz="4" w:space="0" w:color="auto"/>
            </w:tcBorders>
            <w:shd w:val="clear" w:color="auto" w:fill="auto"/>
            <w:vAlign w:val="center"/>
          </w:tcPr>
          <w:p w:rsidR="0055116C" w:rsidRPr="000C6D79" w:rsidRDefault="0055116C" w:rsidP="0055116C">
            <w:pPr>
              <w:keepNext/>
              <w:keepLines/>
              <w:rPr>
                <w:rFonts w:cs="Arial"/>
                <w:b/>
                <w:bCs/>
                <w:sz w:val="16"/>
                <w:szCs w:val="16"/>
              </w:rPr>
            </w:pPr>
            <w:r w:rsidRPr="000C6D79">
              <w:rPr>
                <w:rFonts w:cs="Arial"/>
                <w:b/>
                <w:sz w:val="16"/>
                <w:szCs w:val="16"/>
              </w:rPr>
              <w:t>Базовые показатели</w:t>
            </w:r>
          </w:p>
        </w:tc>
        <w:tc>
          <w:tcPr>
            <w:tcW w:w="697" w:type="pct"/>
            <w:tcBorders>
              <w:top w:val="single" w:sz="4" w:space="0" w:color="auto"/>
            </w:tcBorders>
            <w:shd w:val="clear" w:color="auto" w:fill="auto"/>
            <w:tcMar>
              <w:top w:w="110" w:type="dxa"/>
            </w:tcMar>
            <w:vAlign w:val="center"/>
          </w:tcPr>
          <w:p w:rsidR="0055116C" w:rsidRPr="000C6D79" w:rsidRDefault="0055116C" w:rsidP="0055116C">
            <w:pPr>
              <w:keepNext/>
              <w:keepLines/>
              <w:rPr>
                <w:rFonts w:cs="Arial"/>
                <w:b/>
                <w:sz w:val="16"/>
                <w:szCs w:val="16"/>
              </w:rPr>
            </w:pPr>
            <w:r w:rsidRPr="000C6D79">
              <w:rPr>
                <w:rFonts w:cs="Arial"/>
                <w:b/>
                <w:sz w:val="16"/>
                <w:szCs w:val="16"/>
              </w:rPr>
              <w:t>Цели</w:t>
            </w:r>
          </w:p>
        </w:tc>
        <w:tc>
          <w:tcPr>
            <w:tcW w:w="1425" w:type="pct"/>
            <w:gridSpan w:val="2"/>
            <w:tcBorders>
              <w:top w:val="single" w:sz="4" w:space="0" w:color="auto"/>
            </w:tcBorders>
            <w:shd w:val="clear" w:color="auto" w:fill="FFFFFF"/>
            <w:tcMar>
              <w:top w:w="110" w:type="dxa"/>
            </w:tcMar>
            <w:vAlign w:val="center"/>
          </w:tcPr>
          <w:p w:rsidR="0055116C" w:rsidRPr="000C6D79" w:rsidRDefault="0055116C" w:rsidP="0055116C">
            <w:pPr>
              <w:keepNext/>
              <w:keepLines/>
              <w:rPr>
                <w:rFonts w:cs="Arial"/>
                <w:sz w:val="16"/>
                <w:szCs w:val="16"/>
              </w:rPr>
            </w:pPr>
            <w:r w:rsidRPr="000C6D79">
              <w:rPr>
                <w:rFonts w:cs="Arial"/>
                <w:b/>
                <w:sz w:val="16"/>
                <w:szCs w:val="16"/>
              </w:rPr>
              <w:t>Данные о результативности</w:t>
            </w:r>
          </w:p>
        </w:tc>
        <w:tc>
          <w:tcPr>
            <w:tcW w:w="618" w:type="pct"/>
            <w:gridSpan w:val="2"/>
            <w:tcBorders>
              <w:top w:val="single" w:sz="4" w:space="0" w:color="auto"/>
            </w:tcBorders>
            <w:shd w:val="clear" w:color="auto" w:fill="auto"/>
            <w:tcMar>
              <w:top w:w="110" w:type="dxa"/>
            </w:tcMar>
            <w:vAlign w:val="center"/>
          </w:tcPr>
          <w:p w:rsidR="0055116C" w:rsidRPr="000C6D79" w:rsidRDefault="0055116C" w:rsidP="0055116C">
            <w:pPr>
              <w:keepNext/>
              <w:keepLines/>
              <w:jc w:val="center"/>
              <w:rPr>
                <w:rFonts w:cs="Arial"/>
                <w:b/>
                <w:bCs/>
                <w:sz w:val="16"/>
                <w:szCs w:val="16"/>
              </w:rPr>
            </w:pPr>
            <w:r w:rsidRPr="000C6D79">
              <w:rPr>
                <w:rFonts w:cs="Arial"/>
                <w:b/>
                <w:sz w:val="16"/>
                <w:szCs w:val="16"/>
              </w:rPr>
              <w:t>CC</w:t>
            </w:r>
          </w:p>
        </w:tc>
      </w:tr>
      <w:tr w:rsidR="0055116C" w:rsidRPr="000C6D79" w:rsidTr="0055116C">
        <w:trPr>
          <w:cantSplit/>
        </w:trPr>
        <w:tc>
          <w:tcPr>
            <w:tcW w:w="1060" w:type="pct"/>
            <w:shd w:val="clear" w:color="auto" w:fill="auto"/>
          </w:tcPr>
          <w:p w:rsidR="0055116C" w:rsidRPr="0055116C" w:rsidRDefault="0055116C" w:rsidP="0055116C">
            <w:pPr>
              <w:rPr>
                <w:sz w:val="16"/>
                <w:szCs w:val="16"/>
                <w:lang w:val="ru-RU"/>
              </w:rPr>
            </w:pPr>
            <w:r w:rsidRPr="0055116C">
              <w:rPr>
                <w:sz w:val="16"/>
                <w:szCs w:val="16"/>
                <w:lang w:val="ru-RU"/>
              </w:rPr>
              <w:t xml:space="preserve">Число скачиваний четырех основных статистических отчетов (отчеты ВОИС и ежегодные обзоры </w:t>
            </w:r>
            <w:r w:rsidRPr="000C6D79">
              <w:rPr>
                <w:sz w:val="16"/>
                <w:szCs w:val="16"/>
              </w:rPr>
              <w:t>PCT</w:t>
            </w:r>
            <w:r w:rsidRPr="0055116C">
              <w:rPr>
                <w:sz w:val="16"/>
                <w:szCs w:val="16"/>
                <w:lang w:val="ru-RU"/>
              </w:rPr>
              <w:t>, Гаагской и Мадридской систем)</w:t>
            </w:r>
          </w:p>
        </w:tc>
        <w:tc>
          <w:tcPr>
            <w:tcW w:w="1199" w:type="pct"/>
            <w:shd w:val="clear" w:color="auto" w:fill="auto"/>
          </w:tcPr>
          <w:p w:rsidR="0055116C" w:rsidRPr="0055116C" w:rsidRDefault="0055116C" w:rsidP="0055116C">
            <w:pPr>
              <w:keepNext/>
              <w:keepLines/>
              <w:rPr>
                <w:rFonts w:cs="Arial"/>
                <w:color w:val="002060"/>
                <w:sz w:val="16"/>
                <w:szCs w:val="16"/>
                <w:lang w:val="ru-RU"/>
              </w:rPr>
            </w:pPr>
            <w:r w:rsidRPr="0055116C">
              <w:rPr>
                <w:rFonts w:cs="Arial"/>
                <w:i/>
                <w:color w:val="002060"/>
                <w:sz w:val="16"/>
                <w:szCs w:val="16"/>
                <w:lang w:val="ru-RU"/>
              </w:rPr>
              <w:t>Обновленные базовые показатели, конец 2013</w:t>
            </w:r>
            <w:r w:rsidRPr="000C6D79">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за 2013</w:t>
            </w:r>
            <w:r w:rsidRPr="000C6D79">
              <w:rPr>
                <w:rFonts w:cs="Arial"/>
                <w:color w:val="002060"/>
                <w:sz w:val="16"/>
                <w:szCs w:val="16"/>
              </w:rPr>
              <w:t> </w:t>
            </w:r>
            <w:r w:rsidRPr="0055116C">
              <w:rPr>
                <w:rFonts w:cs="Arial"/>
                <w:color w:val="002060"/>
                <w:sz w:val="16"/>
                <w:szCs w:val="16"/>
                <w:lang w:val="ru-RU"/>
              </w:rPr>
              <w:t>г. два последних издания (2012 и 2013</w:t>
            </w:r>
            <w:r w:rsidRPr="000C6D79">
              <w:rPr>
                <w:rFonts w:cs="Arial"/>
                <w:color w:val="002060"/>
                <w:sz w:val="16"/>
                <w:szCs w:val="16"/>
              </w:rPr>
              <w:t> </w:t>
            </w:r>
            <w:r w:rsidRPr="0055116C">
              <w:rPr>
                <w:rFonts w:cs="Arial"/>
                <w:color w:val="002060"/>
                <w:sz w:val="16"/>
                <w:szCs w:val="16"/>
                <w:lang w:val="ru-RU"/>
              </w:rPr>
              <w:t>гг.) Доклада по всемирным показателям ИС (публикация 941) и «ИС: факты и цифры» (публикация 943) были загружены в общей сложности 52</w:t>
            </w:r>
            <w:r w:rsidRPr="000C6D79">
              <w:rPr>
                <w:rFonts w:cs="Arial"/>
                <w:color w:val="002060"/>
                <w:sz w:val="16"/>
                <w:szCs w:val="16"/>
              </w:rPr>
              <w:t> </w:t>
            </w:r>
            <w:r w:rsidRPr="0055116C">
              <w:rPr>
                <w:rFonts w:cs="Arial"/>
                <w:color w:val="002060"/>
                <w:sz w:val="16"/>
                <w:szCs w:val="16"/>
                <w:lang w:val="ru-RU"/>
              </w:rPr>
              <w:t>670 раз.</w:t>
            </w:r>
          </w:p>
          <w:p w:rsidR="0055116C" w:rsidRPr="0055116C" w:rsidRDefault="0055116C" w:rsidP="0055116C">
            <w:pPr>
              <w:keepNext/>
              <w:keepLines/>
              <w:spacing w:before="120"/>
              <w:rPr>
                <w:rFonts w:cs="Arial"/>
                <w:sz w:val="16"/>
                <w:szCs w:val="16"/>
                <w:lang w:val="ru-RU"/>
              </w:rPr>
            </w:pPr>
            <w:r w:rsidRPr="0055116C">
              <w:rPr>
                <w:rFonts w:cs="Arial"/>
                <w:i/>
                <w:sz w:val="16"/>
                <w:szCs w:val="16"/>
                <w:lang w:val="ru-RU"/>
              </w:rPr>
              <w:t xml:space="preserve">Исходные базовые показатели ПиБ на 2014–2015 гг.: </w:t>
            </w:r>
            <w:r w:rsidRPr="0055116C">
              <w:rPr>
                <w:rFonts w:cs="Arial"/>
                <w:sz w:val="16"/>
                <w:szCs w:val="16"/>
                <w:lang w:val="ru-RU"/>
              </w:rPr>
              <w:t>будет определено в конце 2013</w:t>
            </w:r>
            <w:r w:rsidRPr="000C6D79">
              <w:rPr>
                <w:rFonts w:cs="Arial"/>
                <w:sz w:val="16"/>
                <w:szCs w:val="16"/>
              </w:rPr>
              <w:t> </w:t>
            </w:r>
            <w:r w:rsidRPr="0055116C">
              <w:rPr>
                <w:rFonts w:cs="Arial"/>
                <w:sz w:val="16"/>
                <w:szCs w:val="16"/>
                <w:lang w:val="ru-RU"/>
              </w:rPr>
              <w:t>г.</w:t>
            </w:r>
          </w:p>
          <w:p w:rsidR="0055116C" w:rsidRPr="0055116C" w:rsidRDefault="0055116C" w:rsidP="0055116C">
            <w:pPr>
              <w:keepNext/>
              <w:keepLines/>
              <w:rPr>
                <w:rFonts w:cs="Arial"/>
                <w:i/>
                <w:sz w:val="16"/>
                <w:szCs w:val="16"/>
                <w:lang w:val="ru-RU"/>
              </w:rPr>
            </w:pPr>
          </w:p>
        </w:tc>
        <w:tc>
          <w:tcPr>
            <w:tcW w:w="697" w:type="pct"/>
            <w:shd w:val="clear" w:color="auto" w:fill="auto"/>
            <w:tcMar>
              <w:top w:w="110" w:type="dxa"/>
            </w:tcMar>
          </w:tcPr>
          <w:p w:rsidR="0055116C" w:rsidRPr="0055116C" w:rsidRDefault="0055116C" w:rsidP="0055116C">
            <w:pPr>
              <w:keepNext/>
              <w:keepLines/>
              <w:rPr>
                <w:rFonts w:cs="Arial"/>
                <w:i/>
                <w:sz w:val="16"/>
                <w:szCs w:val="16"/>
                <w:lang w:val="ru-RU"/>
              </w:rPr>
            </w:pPr>
            <w:r w:rsidRPr="0055116C">
              <w:rPr>
                <w:rFonts w:cs="Arial"/>
                <w:sz w:val="16"/>
                <w:szCs w:val="16"/>
                <w:lang w:val="ru-RU"/>
              </w:rPr>
              <w:t>Рост числа скачиваний и пользователей на 10% за 2012–2013</w:t>
            </w:r>
            <w:r w:rsidRPr="000C6D79">
              <w:rPr>
                <w:rFonts w:cs="Arial"/>
                <w:sz w:val="16"/>
                <w:szCs w:val="16"/>
              </w:rPr>
              <w:t> </w:t>
            </w:r>
            <w:r w:rsidRPr="0055116C">
              <w:rPr>
                <w:rFonts w:cs="Arial"/>
                <w:sz w:val="16"/>
                <w:szCs w:val="16"/>
                <w:lang w:val="ru-RU"/>
              </w:rPr>
              <w:t>гг.</w:t>
            </w:r>
          </w:p>
        </w:tc>
        <w:tc>
          <w:tcPr>
            <w:tcW w:w="1425" w:type="pct"/>
            <w:gridSpan w:val="2"/>
            <w:shd w:val="clear" w:color="auto" w:fill="FFFFFF"/>
            <w:tcMar>
              <w:top w:w="110" w:type="dxa"/>
            </w:tcMar>
          </w:tcPr>
          <w:p w:rsidR="0055116C" w:rsidRPr="0055116C" w:rsidRDefault="0055116C" w:rsidP="0055116C">
            <w:pPr>
              <w:pStyle w:val="ListParagraph"/>
              <w:keepNext/>
              <w:keepLines/>
              <w:ind w:left="11"/>
              <w:rPr>
                <w:rFonts w:cs="Arial"/>
                <w:sz w:val="16"/>
                <w:szCs w:val="16"/>
                <w:lang w:val="ru-RU"/>
              </w:rPr>
            </w:pPr>
            <w:r w:rsidRPr="0055116C">
              <w:rPr>
                <w:rFonts w:cs="Arial"/>
                <w:sz w:val="16"/>
                <w:szCs w:val="16"/>
                <w:lang w:val="ru-RU"/>
              </w:rPr>
              <w:t>В 2014–2015</w:t>
            </w:r>
            <w:r w:rsidRPr="000C6D79">
              <w:rPr>
                <w:rFonts w:cs="Arial"/>
                <w:sz w:val="16"/>
                <w:szCs w:val="16"/>
              </w:rPr>
              <w:t> </w:t>
            </w:r>
            <w:r w:rsidRPr="0055116C">
              <w:rPr>
                <w:rFonts w:cs="Arial"/>
                <w:sz w:val="16"/>
                <w:szCs w:val="16"/>
                <w:lang w:val="ru-RU"/>
              </w:rPr>
              <w:t>гг. два последних издания (2014</w:t>
            </w:r>
            <w:r w:rsidRPr="000C6D79">
              <w:rPr>
                <w:rFonts w:cs="Arial"/>
                <w:sz w:val="16"/>
                <w:szCs w:val="16"/>
              </w:rPr>
              <w:t> </w:t>
            </w:r>
            <w:r w:rsidRPr="0055116C">
              <w:rPr>
                <w:rFonts w:cs="Arial"/>
                <w:sz w:val="16"/>
                <w:szCs w:val="16"/>
                <w:lang w:val="ru-RU"/>
              </w:rPr>
              <w:t>г. и 2015</w:t>
            </w:r>
            <w:r w:rsidRPr="000C6D79">
              <w:rPr>
                <w:rFonts w:cs="Arial"/>
                <w:sz w:val="16"/>
                <w:szCs w:val="16"/>
              </w:rPr>
              <w:t> </w:t>
            </w:r>
            <w:r w:rsidRPr="0055116C">
              <w:rPr>
                <w:rFonts w:cs="Arial"/>
                <w:sz w:val="16"/>
                <w:szCs w:val="16"/>
                <w:lang w:val="ru-RU"/>
              </w:rPr>
              <w:t>г.) следующих докладов были загружены в общей сложности 215</w:t>
            </w:r>
            <w:r w:rsidRPr="000C6D79">
              <w:rPr>
                <w:rFonts w:cs="Arial"/>
                <w:sz w:val="16"/>
                <w:szCs w:val="16"/>
              </w:rPr>
              <w:t> </w:t>
            </w:r>
            <w:r w:rsidRPr="0055116C">
              <w:rPr>
                <w:rFonts w:cs="Arial"/>
                <w:sz w:val="16"/>
                <w:szCs w:val="16"/>
                <w:lang w:val="ru-RU"/>
              </w:rPr>
              <w:t>996</w:t>
            </w:r>
            <w:r w:rsidRPr="000C6D79">
              <w:rPr>
                <w:rFonts w:cs="Arial"/>
                <w:sz w:val="16"/>
                <w:szCs w:val="16"/>
              </w:rPr>
              <w:t> </w:t>
            </w:r>
            <w:r w:rsidRPr="0055116C">
              <w:rPr>
                <w:rFonts w:cs="Arial"/>
                <w:sz w:val="16"/>
                <w:szCs w:val="16"/>
                <w:lang w:val="ru-RU"/>
              </w:rPr>
              <w:t>раз:</w:t>
            </w:r>
          </w:p>
          <w:p w:rsidR="0055116C" w:rsidRPr="0055116C" w:rsidRDefault="0055116C" w:rsidP="0055116C">
            <w:pPr>
              <w:pStyle w:val="ListParagraph"/>
              <w:keepNext/>
              <w:keepLines/>
              <w:ind w:left="11"/>
              <w:rPr>
                <w:rFonts w:cs="Arial"/>
                <w:sz w:val="16"/>
                <w:szCs w:val="16"/>
                <w:lang w:val="ru-RU"/>
              </w:rPr>
            </w:pPr>
          </w:p>
          <w:p w:rsidR="0055116C" w:rsidRPr="0055116C" w:rsidRDefault="0055116C" w:rsidP="0055116C">
            <w:pPr>
              <w:pStyle w:val="ListParagraph"/>
              <w:keepNext/>
              <w:keepLines/>
              <w:numPr>
                <w:ilvl w:val="0"/>
                <w:numId w:val="16"/>
              </w:numPr>
              <w:rPr>
                <w:rFonts w:cs="Arial"/>
                <w:sz w:val="16"/>
                <w:szCs w:val="16"/>
                <w:lang w:val="ru-RU"/>
              </w:rPr>
            </w:pPr>
            <w:r w:rsidRPr="0055116C">
              <w:rPr>
                <w:rFonts w:cs="Arial"/>
                <w:sz w:val="16"/>
                <w:szCs w:val="16"/>
                <w:lang w:val="ru-RU"/>
              </w:rPr>
              <w:t>Доклад «Мировые показатели деятельности в области интеллектуальной собственности» (№ 941</w:t>
            </w:r>
            <w:r w:rsidRPr="000C6D79">
              <w:rPr>
                <w:rFonts w:cs="Arial"/>
                <w:sz w:val="16"/>
                <w:szCs w:val="16"/>
              </w:rPr>
              <w:t>E</w:t>
            </w:r>
            <w:r w:rsidRPr="0055116C">
              <w:rPr>
                <w:rFonts w:cs="Arial"/>
                <w:sz w:val="16"/>
                <w:szCs w:val="16"/>
                <w:lang w:val="ru-RU"/>
              </w:rPr>
              <w:t>/14 и 941</w:t>
            </w:r>
            <w:r w:rsidRPr="000C6D79">
              <w:rPr>
                <w:rFonts w:cs="Arial"/>
                <w:sz w:val="16"/>
                <w:szCs w:val="16"/>
              </w:rPr>
              <w:t>E</w:t>
            </w:r>
            <w:r w:rsidRPr="0055116C">
              <w:rPr>
                <w:rFonts w:cs="Arial"/>
                <w:sz w:val="16"/>
                <w:szCs w:val="16"/>
                <w:lang w:val="ru-RU"/>
              </w:rPr>
              <w:t>) и доклады «ИС: факты и цифры» (№</w:t>
            </w:r>
            <w:r w:rsidRPr="000C6D79">
              <w:rPr>
                <w:rFonts w:cs="Arial"/>
                <w:sz w:val="16"/>
                <w:szCs w:val="16"/>
              </w:rPr>
              <w:t> </w:t>
            </w:r>
            <w:r w:rsidRPr="0055116C">
              <w:rPr>
                <w:rFonts w:cs="Arial"/>
                <w:sz w:val="16"/>
                <w:szCs w:val="16"/>
                <w:lang w:val="ru-RU"/>
              </w:rPr>
              <w:t>943</w:t>
            </w:r>
            <w:r w:rsidRPr="000C6D79">
              <w:rPr>
                <w:rFonts w:cs="Arial"/>
                <w:sz w:val="16"/>
                <w:szCs w:val="16"/>
              </w:rPr>
              <w:t>E</w:t>
            </w:r>
            <w:r w:rsidRPr="0055116C">
              <w:rPr>
                <w:rFonts w:cs="Arial"/>
                <w:sz w:val="16"/>
                <w:szCs w:val="16"/>
                <w:lang w:val="ru-RU"/>
              </w:rPr>
              <w:t>/14 и 943</w:t>
            </w:r>
            <w:r w:rsidRPr="000C6D79">
              <w:rPr>
                <w:rFonts w:cs="Arial"/>
                <w:sz w:val="16"/>
                <w:szCs w:val="16"/>
              </w:rPr>
              <w:t>E</w:t>
            </w:r>
            <w:r w:rsidRPr="0055116C">
              <w:rPr>
                <w:rFonts w:cs="Arial"/>
                <w:sz w:val="16"/>
                <w:szCs w:val="16"/>
                <w:lang w:val="ru-RU"/>
              </w:rPr>
              <w:t>/15) были загружены в общей сложности 124</w:t>
            </w:r>
            <w:r w:rsidRPr="000C6D79">
              <w:rPr>
                <w:rFonts w:cs="Arial"/>
                <w:sz w:val="16"/>
                <w:szCs w:val="16"/>
              </w:rPr>
              <w:t> </w:t>
            </w:r>
            <w:r w:rsidRPr="0055116C">
              <w:rPr>
                <w:rFonts w:cs="Arial"/>
                <w:sz w:val="16"/>
                <w:szCs w:val="16"/>
                <w:lang w:val="ru-RU"/>
              </w:rPr>
              <w:t>642 раза:</w:t>
            </w:r>
          </w:p>
          <w:p w:rsidR="0055116C" w:rsidRPr="0055116C" w:rsidRDefault="0055116C" w:rsidP="0055116C">
            <w:pPr>
              <w:pStyle w:val="ListParagraph"/>
              <w:keepNext/>
              <w:keepLines/>
              <w:numPr>
                <w:ilvl w:val="0"/>
                <w:numId w:val="15"/>
              </w:numPr>
              <w:tabs>
                <w:tab w:val="left" w:pos="191"/>
              </w:tabs>
              <w:ind w:left="551"/>
              <w:rPr>
                <w:rFonts w:cs="Arial"/>
                <w:sz w:val="16"/>
                <w:szCs w:val="16"/>
                <w:lang w:val="ru-RU"/>
              </w:rPr>
            </w:pPr>
            <w:r w:rsidRPr="0055116C">
              <w:rPr>
                <w:rFonts w:cs="Arial"/>
                <w:sz w:val="16"/>
                <w:szCs w:val="16"/>
                <w:lang w:val="ru-RU"/>
              </w:rPr>
              <w:t>«Мировые показатели деятельности в области интеллектуальной собственности» (№</w:t>
            </w:r>
            <w:r w:rsidRPr="000C6D79">
              <w:rPr>
                <w:rFonts w:cs="Arial"/>
                <w:sz w:val="16"/>
                <w:szCs w:val="16"/>
              </w:rPr>
              <w:t> </w:t>
            </w:r>
            <w:r w:rsidRPr="0055116C">
              <w:rPr>
                <w:rFonts w:cs="Arial"/>
                <w:sz w:val="16"/>
                <w:szCs w:val="16"/>
                <w:lang w:val="ru-RU"/>
              </w:rPr>
              <w:t>941</w:t>
            </w:r>
            <w:r w:rsidRPr="000C6D79">
              <w:rPr>
                <w:rFonts w:cs="Arial"/>
                <w:sz w:val="16"/>
                <w:szCs w:val="16"/>
              </w:rPr>
              <w:t>E</w:t>
            </w:r>
            <w:r w:rsidRPr="0055116C">
              <w:rPr>
                <w:rFonts w:cs="Arial"/>
                <w:sz w:val="16"/>
                <w:szCs w:val="16"/>
                <w:lang w:val="ru-RU"/>
              </w:rPr>
              <w:t>/14 и 941</w:t>
            </w:r>
            <w:r w:rsidRPr="000C6D79">
              <w:rPr>
                <w:rFonts w:cs="Arial"/>
                <w:sz w:val="16"/>
                <w:szCs w:val="16"/>
              </w:rPr>
              <w:t>E</w:t>
            </w:r>
            <w:r w:rsidRPr="0055116C">
              <w:rPr>
                <w:rFonts w:cs="Arial"/>
                <w:sz w:val="16"/>
                <w:szCs w:val="16"/>
                <w:lang w:val="ru-RU"/>
              </w:rPr>
              <w:t>): 82</w:t>
            </w:r>
            <w:r w:rsidRPr="000C6D79">
              <w:rPr>
                <w:rFonts w:cs="Arial"/>
                <w:sz w:val="16"/>
                <w:szCs w:val="16"/>
              </w:rPr>
              <w:t> </w:t>
            </w:r>
            <w:r w:rsidRPr="0055116C">
              <w:rPr>
                <w:rFonts w:cs="Arial"/>
                <w:sz w:val="16"/>
                <w:szCs w:val="16"/>
                <w:lang w:val="ru-RU"/>
              </w:rPr>
              <w:t>914 раз</w:t>
            </w:r>
          </w:p>
          <w:p w:rsidR="0055116C" w:rsidRPr="0055116C" w:rsidRDefault="0055116C" w:rsidP="0055116C">
            <w:pPr>
              <w:pStyle w:val="ListParagraph"/>
              <w:keepNext/>
              <w:keepLines/>
              <w:numPr>
                <w:ilvl w:val="0"/>
                <w:numId w:val="15"/>
              </w:numPr>
              <w:tabs>
                <w:tab w:val="left" w:pos="191"/>
              </w:tabs>
              <w:ind w:left="551"/>
              <w:rPr>
                <w:rFonts w:cs="Arial"/>
                <w:sz w:val="16"/>
                <w:szCs w:val="16"/>
                <w:lang w:val="ru-RU"/>
              </w:rPr>
            </w:pPr>
            <w:r w:rsidRPr="0055116C">
              <w:rPr>
                <w:rFonts w:cs="Arial"/>
                <w:sz w:val="16"/>
                <w:szCs w:val="16"/>
                <w:lang w:val="ru-RU"/>
              </w:rPr>
              <w:t>доклад ВОИС «ИС: факты и цифры» (№</w:t>
            </w:r>
            <w:r w:rsidRPr="000C6D79">
              <w:rPr>
                <w:rFonts w:cs="Arial"/>
                <w:sz w:val="16"/>
                <w:szCs w:val="16"/>
              </w:rPr>
              <w:t> </w:t>
            </w:r>
            <w:r w:rsidRPr="0055116C">
              <w:rPr>
                <w:rFonts w:cs="Arial"/>
                <w:sz w:val="16"/>
                <w:szCs w:val="16"/>
                <w:lang w:val="ru-RU"/>
              </w:rPr>
              <w:t>943</w:t>
            </w:r>
            <w:r w:rsidRPr="000C6D79">
              <w:rPr>
                <w:rFonts w:cs="Arial"/>
                <w:sz w:val="16"/>
                <w:szCs w:val="16"/>
              </w:rPr>
              <w:t>E</w:t>
            </w:r>
            <w:r w:rsidRPr="0055116C">
              <w:rPr>
                <w:rFonts w:cs="Arial"/>
                <w:sz w:val="16"/>
                <w:szCs w:val="16"/>
                <w:lang w:val="ru-RU"/>
              </w:rPr>
              <w:t>/14 и 943</w:t>
            </w:r>
            <w:r w:rsidRPr="000C6D79">
              <w:rPr>
                <w:rFonts w:cs="Arial"/>
                <w:sz w:val="16"/>
                <w:szCs w:val="16"/>
              </w:rPr>
              <w:t>E</w:t>
            </w:r>
            <w:r w:rsidRPr="0055116C">
              <w:rPr>
                <w:rFonts w:cs="Arial"/>
                <w:sz w:val="16"/>
                <w:szCs w:val="16"/>
                <w:lang w:val="ru-RU"/>
              </w:rPr>
              <w:t>/15): 41</w:t>
            </w:r>
            <w:r w:rsidRPr="000C6D79">
              <w:rPr>
                <w:rFonts w:cs="Arial"/>
                <w:sz w:val="16"/>
                <w:szCs w:val="16"/>
              </w:rPr>
              <w:t> </w:t>
            </w:r>
            <w:r w:rsidRPr="0055116C">
              <w:rPr>
                <w:rFonts w:cs="Arial"/>
                <w:sz w:val="16"/>
                <w:szCs w:val="16"/>
                <w:lang w:val="ru-RU"/>
              </w:rPr>
              <w:t>728 раз</w:t>
            </w:r>
          </w:p>
          <w:p w:rsidR="0055116C" w:rsidRPr="0055116C" w:rsidRDefault="0055116C" w:rsidP="0055116C">
            <w:pPr>
              <w:pStyle w:val="ListParagraph"/>
              <w:keepNext/>
              <w:keepLines/>
              <w:tabs>
                <w:tab w:val="left" w:pos="191"/>
              </w:tabs>
              <w:ind w:left="11"/>
              <w:rPr>
                <w:rFonts w:cs="Arial"/>
                <w:sz w:val="16"/>
                <w:szCs w:val="16"/>
                <w:lang w:val="ru-RU"/>
              </w:rPr>
            </w:pPr>
          </w:p>
          <w:p w:rsidR="0055116C" w:rsidRPr="0055116C" w:rsidRDefault="0055116C" w:rsidP="0055116C">
            <w:pPr>
              <w:pStyle w:val="ListParagraph"/>
              <w:keepNext/>
              <w:keepLines/>
              <w:numPr>
                <w:ilvl w:val="0"/>
                <w:numId w:val="16"/>
              </w:numPr>
              <w:tabs>
                <w:tab w:val="left" w:pos="191"/>
              </w:tabs>
              <w:rPr>
                <w:rFonts w:cs="Arial"/>
                <w:sz w:val="16"/>
                <w:szCs w:val="16"/>
                <w:lang w:val="ru-RU"/>
              </w:rPr>
            </w:pPr>
            <w:r w:rsidRPr="0055116C">
              <w:rPr>
                <w:rFonts w:cs="Arial"/>
                <w:sz w:val="16"/>
                <w:szCs w:val="16"/>
                <w:lang w:val="ru-RU"/>
              </w:rPr>
              <w:t xml:space="preserve">    Годовой отчет </w:t>
            </w:r>
            <w:r w:rsidRPr="000C6D79">
              <w:rPr>
                <w:rFonts w:cs="Arial"/>
                <w:sz w:val="16"/>
                <w:szCs w:val="16"/>
              </w:rPr>
              <w:t>PCT</w:t>
            </w:r>
            <w:r w:rsidRPr="0055116C">
              <w:rPr>
                <w:rFonts w:cs="Arial"/>
                <w:sz w:val="16"/>
                <w:szCs w:val="16"/>
                <w:lang w:val="ru-RU"/>
              </w:rPr>
              <w:t xml:space="preserve"> (№ 901</w:t>
            </w:r>
            <w:r w:rsidRPr="000C6D79">
              <w:rPr>
                <w:rFonts w:cs="Arial"/>
                <w:sz w:val="16"/>
                <w:szCs w:val="16"/>
              </w:rPr>
              <w:t>E</w:t>
            </w:r>
            <w:r w:rsidRPr="0055116C">
              <w:rPr>
                <w:rFonts w:cs="Arial"/>
                <w:sz w:val="16"/>
                <w:szCs w:val="16"/>
                <w:lang w:val="ru-RU"/>
              </w:rPr>
              <w:t>/2014 и 901</w:t>
            </w:r>
            <w:r w:rsidRPr="000C6D79">
              <w:rPr>
                <w:rFonts w:cs="Arial"/>
                <w:sz w:val="16"/>
                <w:szCs w:val="16"/>
              </w:rPr>
              <w:t>E</w:t>
            </w:r>
            <w:r w:rsidRPr="0055116C">
              <w:rPr>
                <w:rFonts w:cs="Arial"/>
                <w:sz w:val="16"/>
                <w:szCs w:val="16"/>
                <w:lang w:val="ru-RU"/>
              </w:rPr>
              <w:t>/2015): 50</w:t>
            </w:r>
            <w:r w:rsidRPr="000C6D79">
              <w:rPr>
                <w:rFonts w:cs="Arial"/>
                <w:sz w:val="16"/>
                <w:szCs w:val="16"/>
              </w:rPr>
              <w:t> </w:t>
            </w:r>
            <w:r w:rsidRPr="0055116C">
              <w:rPr>
                <w:rFonts w:cs="Arial"/>
                <w:sz w:val="16"/>
                <w:szCs w:val="16"/>
                <w:lang w:val="ru-RU"/>
              </w:rPr>
              <w:t>746 скачиваний</w:t>
            </w:r>
          </w:p>
          <w:p w:rsidR="0055116C" w:rsidRPr="0055116C" w:rsidRDefault="0055116C" w:rsidP="0055116C">
            <w:pPr>
              <w:pStyle w:val="ListParagraph"/>
              <w:keepNext/>
              <w:keepLines/>
              <w:tabs>
                <w:tab w:val="left" w:pos="191"/>
              </w:tabs>
              <w:ind w:left="11"/>
              <w:rPr>
                <w:rFonts w:cs="Arial"/>
                <w:sz w:val="16"/>
                <w:szCs w:val="16"/>
                <w:lang w:val="ru-RU"/>
              </w:rPr>
            </w:pPr>
          </w:p>
          <w:p w:rsidR="0055116C" w:rsidRPr="0055116C" w:rsidRDefault="0055116C" w:rsidP="0055116C">
            <w:pPr>
              <w:pStyle w:val="ListParagraph"/>
              <w:keepNext/>
              <w:keepLines/>
              <w:numPr>
                <w:ilvl w:val="0"/>
                <w:numId w:val="16"/>
              </w:numPr>
              <w:tabs>
                <w:tab w:val="left" w:pos="191"/>
              </w:tabs>
              <w:rPr>
                <w:rFonts w:cs="Arial"/>
                <w:sz w:val="16"/>
                <w:szCs w:val="16"/>
                <w:lang w:val="ru-RU"/>
              </w:rPr>
            </w:pPr>
            <w:r w:rsidRPr="0055116C">
              <w:rPr>
                <w:rFonts w:cs="Arial"/>
                <w:sz w:val="16"/>
                <w:szCs w:val="16"/>
                <w:lang w:val="ru-RU"/>
              </w:rPr>
              <w:t>Ежегодный обзор Мадридской системы (№ 940</w:t>
            </w:r>
            <w:r w:rsidRPr="000C6D79">
              <w:rPr>
                <w:rFonts w:cs="Arial"/>
                <w:sz w:val="16"/>
                <w:szCs w:val="16"/>
              </w:rPr>
              <w:t>E</w:t>
            </w:r>
            <w:r w:rsidRPr="0055116C">
              <w:rPr>
                <w:rFonts w:cs="Arial"/>
                <w:sz w:val="16"/>
                <w:szCs w:val="16"/>
                <w:lang w:val="ru-RU"/>
              </w:rPr>
              <w:t>/14 и 940</w:t>
            </w:r>
            <w:r w:rsidRPr="000C6D79">
              <w:rPr>
                <w:rFonts w:cs="Arial"/>
                <w:sz w:val="16"/>
                <w:szCs w:val="16"/>
              </w:rPr>
              <w:t>E</w:t>
            </w:r>
            <w:r w:rsidRPr="0055116C">
              <w:rPr>
                <w:rFonts w:cs="Arial"/>
                <w:sz w:val="16"/>
                <w:szCs w:val="16"/>
                <w:lang w:val="ru-RU"/>
              </w:rPr>
              <w:t>/15): 20</w:t>
            </w:r>
            <w:r w:rsidRPr="000C6D79">
              <w:rPr>
                <w:rFonts w:cs="Arial"/>
                <w:sz w:val="16"/>
                <w:szCs w:val="16"/>
              </w:rPr>
              <w:t> </w:t>
            </w:r>
            <w:r w:rsidRPr="0055116C">
              <w:rPr>
                <w:rFonts w:cs="Arial"/>
                <w:sz w:val="16"/>
                <w:szCs w:val="16"/>
                <w:lang w:val="ru-RU"/>
              </w:rPr>
              <w:t>281 скачивание</w:t>
            </w:r>
          </w:p>
          <w:p w:rsidR="0055116C" w:rsidRPr="0055116C" w:rsidRDefault="0055116C" w:rsidP="0055116C">
            <w:pPr>
              <w:keepNext/>
              <w:keepLines/>
              <w:tabs>
                <w:tab w:val="left" w:pos="191"/>
              </w:tabs>
              <w:ind w:left="11"/>
              <w:rPr>
                <w:rFonts w:cs="Arial"/>
                <w:sz w:val="16"/>
                <w:szCs w:val="16"/>
                <w:lang w:val="ru-RU"/>
              </w:rPr>
            </w:pPr>
          </w:p>
          <w:p w:rsidR="0055116C" w:rsidRPr="0055116C" w:rsidRDefault="0055116C" w:rsidP="0055116C">
            <w:pPr>
              <w:pStyle w:val="ListParagraph"/>
              <w:keepNext/>
              <w:keepLines/>
              <w:numPr>
                <w:ilvl w:val="0"/>
                <w:numId w:val="16"/>
              </w:numPr>
              <w:tabs>
                <w:tab w:val="left" w:pos="191"/>
              </w:tabs>
              <w:rPr>
                <w:rFonts w:cs="Arial"/>
                <w:sz w:val="16"/>
                <w:szCs w:val="16"/>
                <w:lang w:val="ru-RU"/>
              </w:rPr>
            </w:pPr>
            <w:r w:rsidRPr="0055116C">
              <w:rPr>
                <w:rFonts w:cs="Arial"/>
                <w:sz w:val="16"/>
                <w:szCs w:val="16"/>
                <w:lang w:val="ru-RU"/>
              </w:rPr>
              <w:t>Ежегодный обзор Гаагской системы (№ 930</w:t>
            </w:r>
            <w:r w:rsidRPr="000C6D79">
              <w:rPr>
                <w:rFonts w:cs="Arial"/>
                <w:sz w:val="16"/>
                <w:szCs w:val="16"/>
              </w:rPr>
              <w:t>E</w:t>
            </w:r>
            <w:r w:rsidRPr="0055116C">
              <w:rPr>
                <w:rFonts w:cs="Arial"/>
                <w:sz w:val="16"/>
                <w:szCs w:val="16"/>
                <w:lang w:val="ru-RU"/>
              </w:rPr>
              <w:t>/14 и 930</w:t>
            </w:r>
            <w:r w:rsidRPr="000C6D79">
              <w:rPr>
                <w:rFonts w:cs="Arial"/>
                <w:sz w:val="16"/>
                <w:szCs w:val="16"/>
              </w:rPr>
              <w:t>E</w:t>
            </w:r>
            <w:r w:rsidRPr="0055116C">
              <w:rPr>
                <w:rFonts w:cs="Arial"/>
                <w:sz w:val="16"/>
                <w:szCs w:val="16"/>
                <w:lang w:val="ru-RU"/>
              </w:rPr>
              <w:t>15): 20</w:t>
            </w:r>
            <w:r w:rsidRPr="000C6D79">
              <w:rPr>
                <w:rFonts w:cs="Arial"/>
                <w:sz w:val="16"/>
                <w:szCs w:val="16"/>
              </w:rPr>
              <w:t> </w:t>
            </w:r>
            <w:r w:rsidRPr="0055116C">
              <w:rPr>
                <w:rFonts w:cs="Arial"/>
                <w:sz w:val="16"/>
                <w:szCs w:val="16"/>
                <w:lang w:val="ru-RU"/>
              </w:rPr>
              <w:t>237 скачиваний</w:t>
            </w:r>
          </w:p>
          <w:p w:rsidR="0055116C" w:rsidRPr="0055116C" w:rsidRDefault="0055116C" w:rsidP="0055116C">
            <w:pPr>
              <w:pStyle w:val="ListParagraph"/>
              <w:keepNext/>
              <w:keepLines/>
              <w:tabs>
                <w:tab w:val="left" w:pos="191"/>
              </w:tabs>
              <w:ind w:left="11"/>
              <w:rPr>
                <w:rFonts w:cs="Arial"/>
                <w:sz w:val="16"/>
                <w:szCs w:val="16"/>
                <w:lang w:val="ru-RU"/>
              </w:rPr>
            </w:pPr>
          </w:p>
        </w:tc>
        <w:tc>
          <w:tcPr>
            <w:tcW w:w="618" w:type="pct"/>
            <w:gridSpan w:val="2"/>
            <w:shd w:val="clear" w:color="auto" w:fill="auto"/>
            <w:tcMar>
              <w:top w:w="110" w:type="dxa"/>
            </w:tcMar>
          </w:tcPr>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r w:rsidRPr="0055116C">
              <w:rPr>
                <w:rFonts w:cs="Arial"/>
                <w:b/>
                <w:color w:val="00B050"/>
                <w:sz w:val="16"/>
                <w:szCs w:val="16"/>
                <w:lang w:val="ru-RU"/>
              </w:rPr>
              <w:t>Выполнено</w:t>
            </w:r>
          </w:p>
          <w:p w:rsidR="0055116C" w:rsidRPr="0055116C" w:rsidRDefault="0055116C" w:rsidP="0055116C">
            <w:pPr>
              <w:keepNext/>
              <w:keepLines/>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00B05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r w:rsidRPr="0055116C">
              <w:rPr>
                <w:rFonts w:cs="Arial"/>
                <w:b/>
                <w:color w:val="808080"/>
                <w:sz w:val="16"/>
                <w:szCs w:val="16"/>
                <w:lang w:val="ru-RU"/>
              </w:rPr>
              <w:t>Не подлежит оценке</w:t>
            </w: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r w:rsidRPr="0055116C">
              <w:rPr>
                <w:rFonts w:cs="Arial"/>
                <w:b/>
                <w:color w:val="808080"/>
                <w:sz w:val="16"/>
                <w:szCs w:val="16"/>
                <w:lang w:val="ru-RU"/>
              </w:rPr>
              <w:t>Не подлежит оценке</w:t>
            </w: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0C6D79" w:rsidRDefault="0055116C" w:rsidP="0055116C">
            <w:pPr>
              <w:keepNext/>
              <w:keepLines/>
              <w:jc w:val="center"/>
              <w:rPr>
                <w:rFonts w:cs="Arial"/>
                <w:b/>
                <w:bCs/>
                <w:color w:val="808080"/>
                <w:sz w:val="16"/>
                <w:szCs w:val="16"/>
              </w:rPr>
            </w:pPr>
            <w:r w:rsidRPr="000C6D79">
              <w:rPr>
                <w:rFonts w:cs="Arial"/>
                <w:b/>
                <w:color w:val="808080"/>
                <w:sz w:val="16"/>
                <w:szCs w:val="16"/>
              </w:rPr>
              <w:t>Не подлежит оценке</w:t>
            </w:r>
          </w:p>
        </w:tc>
      </w:tr>
      <w:tr w:rsidR="0055116C" w:rsidRPr="000C6D79" w:rsidTr="0055116C">
        <w:trPr>
          <w:cantSplit/>
        </w:trPr>
        <w:tc>
          <w:tcPr>
            <w:tcW w:w="1060" w:type="pct"/>
            <w:tcBorders>
              <w:bottom w:val="single" w:sz="4" w:space="0" w:color="auto"/>
            </w:tcBorders>
            <w:shd w:val="clear" w:color="auto" w:fill="auto"/>
          </w:tcPr>
          <w:p w:rsidR="0055116C" w:rsidRPr="0055116C" w:rsidRDefault="0055116C" w:rsidP="0055116C">
            <w:pPr>
              <w:rPr>
                <w:rFonts w:cs="Arial"/>
                <w:sz w:val="16"/>
                <w:szCs w:val="16"/>
                <w:lang w:val="ru-RU"/>
              </w:rPr>
            </w:pPr>
            <w:r w:rsidRPr="0055116C">
              <w:rPr>
                <w:rFonts w:cs="Arial"/>
                <w:sz w:val="16"/>
                <w:szCs w:val="16"/>
                <w:lang w:val="ru-RU"/>
              </w:rPr>
              <w:t>Число посетителей, пользующихся Центром статистических данных по ИС</w:t>
            </w:r>
          </w:p>
        </w:tc>
        <w:tc>
          <w:tcPr>
            <w:tcW w:w="1199" w:type="pct"/>
            <w:tcBorders>
              <w:bottom w:val="single" w:sz="4" w:space="0" w:color="auto"/>
            </w:tcBorders>
            <w:shd w:val="clear" w:color="auto" w:fill="auto"/>
          </w:tcPr>
          <w:p w:rsidR="0055116C" w:rsidRPr="0055116C" w:rsidRDefault="0055116C" w:rsidP="0055116C">
            <w:pPr>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0C6D79">
              <w:rPr>
                <w:rFonts w:cs="Arial"/>
                <w:i/>
                <w:color w:val="002060"/>
                <w:sz w:val="16"/>
                <w:szCs w:val="16"/>
              </w:rPr>
              <w:t> </w:t>
            </w:r>
            <w:r w:rsidRPr="0055116C">
              <w:rPr>
                <w:rFonts w:cs="Arial"/>
                <w:i/>
                <w:color w:val="002060"/>
                <w:sz w:val="16"/>
                <w:szCs w:val="16"/>
                <w:lang w:val="ru-RU"/>
              </w:rPr>
              <w:t xml:space="preserve">г.: </w:t>
            </w:r>
          </w:p>
          <w:p w:rsidR="0055116C" w:rsidRPr="0055116C" w:rsidRDefault="0055116C" w:rsidP="0055116C">
            <w:pPr>
              <w:rPr>
                <w:rFonts w:cs="Arial"/>
                <w:color w:val="002060"/>
                <w:sz w:val="16"/>
                <w:szCs w:val="16"/>
                <w:lang w:val="ru-RU"/>
              </w:rPr>
            </w:pPr>
            <w:r w:rsidRPr="0055116C">
              <w:rPr>
                <w:rFonts w:cs="Arial"/>
                <w:color w:val="002060"/>
                <w:sz w:val="16"/>
                <w:szCs w:val="16"/>
                <w:lang w:val="ru-RU"/>
              </w:rPr>
              <w:t>за 2013</w:t>
            </w:r>
            <w:r w:rsidRPr="000C6D79">
              <w:rPr>
                <w:rFonts w:cs="Arial"/>
                <w:color w:val="002060"/>
                <w:sz w:val="16"/>
                <w:szCs w:val="16"/>
              </w:rPr>
              <w:t> </w:t>
            </w:r>
            <w:r w:rsidRPr="0055116C">
              <w:rPr>
                <w:rFonts w:cs="Arial"/>
                <w:color w:val="002060"/>
                <w:sz w:val="16"/>
                <w:szCs w:val="16"/>
                <w:lang w:val="ru-RU"/>
              </w:rPr>
              <w:t>г. Центром статистических данных ВОИС воспользовалось 23</w:t>
            </w:r>
            <w:r w:rsidRPr="000C6D79">
              <w:rPr>
                <w:rFonts w:cs="Arial"/>
                <w:color w:val="002060"/>
                <w:sz w:val="16"/>
                <w:szCs w:val="16"/>
              </w:rPr>
              <w:t> </w:t>
            </w:r>
            <w:r w:rsidRPr="0055116C">
              <w:rPr>
                <w:rFonts w:cs="Arial"/>
                <w:color w:val="002060"/>
                <w:sz w:val="16"/>
                <w:szCs w:val="16"/>
                <w:lang w:val="ru-RU"/>
              </w:rPr>
              <w:t>496</w:t>
            </w:r>
            <w:r w:rsidRPr="000C6D79">
              <w:rPr>
                <w:rFonts w:cs="Arial"/>
                <w:color w:val="002060"/>
                <w:sz w:val="16"/>
                <w:szCs w:val="16"/>
              </w:rPr>
              <w:t> </w:t>
            </w:r>
            <w:r w:rsidRPr="0055116C">
              <w:rPr>
                <w:rFonts w:cs="Arial"/>
                <w:color w:val="002060"/>
                <w:sz w:val="16"/>
                <w:szCs w:val="16"/>
                <w:lang w:val="ru-RU"/>
              </w:rPr>
              <w:t>уникальных посетителей (1</w:t>
            </w:r>
            <w:r w:rsidRPr="000C6D79">
              <w:rPr>
                <w:rFonts w:cs="Arial"/>
                <w:color w:val="002060"/>
                <w:sz w:val="16"/>
                <w:szCs w:val="16"/>
              </w:rPr>
              <w:t> </w:t>
            </w:r>
            <w:r w:rsidRPr="0055116C">
              <w:rPr>
                <w:rFonts w:cs="Arial"/>
                <w:color w:val="002060"/>
                <w:sz w:val="16"/>
                <w:szCs w:val="16"/>
                <w:lang w:val="ru-RU"/>
              </w:rPr>
              <w:t>958 в месяц), которые просмотрели 162</w:t>
            </w:r>
            <w:r w:rsidRPr="000C6D79">
              <w:rPr>
                <w:rFonts w:cs="Arial"/>
                <w:color w:val="002060"/>
                <w:sz w:val="16"/>
                <w:szCs w:val="16"/>
              </w:rPr>
              <w:t> </w:t>
            </w:r>
            <w:r w:rsidRPr="0055116C">
              <w:rPr>
                <w:rFonts w:cs="Arial"/>
                <w:color w:val="002060"/>
                <w:sz w:val="16"/>
                <w:szCs w:val="16"/>
                <w:lang w:val="ru-RU"/>
              </w:rPr>
              <w:t>463</w:t>
            </w:r>
            <w:r w:rsidRPr="000C6D79">
              <w:rPr>
                <w:rFonts w:cs="Arial"/>
                <w:color w:val="002060"/>
                <w:sz w:val="16"/>
                <w:szCs w:val="16"/>
              </w:rPr>
              <w:t> </w:t>
            </w:r>
            <w:r w:rsidRPr="0055116C">
              <w:rPr>
                <w:rFonts w:cs="Arial"/>
                <w:color w:val="002060"/>
                <w:sz w:val="16"/>
                <w:szCs w:val="16"/>
                <w:lang w:val="ru-RU"/>
              </w:rPr>
              <w:t xml:space="preserve">страницы. </w:t>
            </w:r>
          </w:p>
          <w:p w:rsidR="0055116C" w:rsidRPr="0055116C" w:rsidRDefault="0055116C" w:rsidP="0055116C">
            <w:pPr>
              <w:spacing w:before="120"/>
              <w:rPr>
                <w:rFonts w:cs="Arial"/>
                <w:sz w:val="16"/>
                <w:szCs w:val="16"/>
                <w:lang w:val="ru-RU"/>
              </w:rPr>
            </w:pPr>
            <w:r w:rsidRPr="0055116C">
              <w:rPr>
                <w:rFonts w:cs="Arial"/>
                <w:i/>
                <w:sz w:val="16"/>
                <w:szCs w:val="16"/>
                <w:lang w:val="ru-RU"/>
              </w:rPr>
              <w:t xml:space="preserve">Исходные базовые показатели ПиБ на 2014–2015 гг.: </w:t>
            </w:r>
            <w:r w:rsidRPr="0055116C">
              <w:rPr>
                <w:rFonts w:cs="Arial"/>
                <w:sz w:val="16"/>
                <w:szCs w:val="16"/>
                <w:lang w:val="ru-RU"/>
              </w:rPr>
              <w:t>будет определено в конце 2013</w:t>
            </w:r>
            <w:r w:rsidRPr="000C6D79">
              <w:rPr>
                <w:rFonts w:cs="Arial"/>
                <w:sz w:val="16"/>
                <w:szCs w:val="16"/>
              </w:rPr>
              <w:t> </w:t>
            </w:r>
            <w:r w:rsidRPr="0055116C">
              <w:rPr>
                <w:rFonts w:cs="Arial"/>
                <w:sz w:val="16"/>
                <w:szCs w:val="16"/>
                <w:lang w:val="ru-RU"/>
              </w:rPr>
              <w:t>г.</w:t>
            </w:r>
            <w:r w:rsidRPr="0055116C">
              <w:rPr>
                <w:rFonts w:cs="Arial"/>
                <w:sz w:val="16"/>
                <w:szCs w:val="16"/>
                <w:lang w:val="ru-RU"/>
              </w:rPr>
              <w:br/>
            </w:r>
          </w:p>
        </w:tc>
        <w:tc>
          <w:tcPr>
            <w:tcW w:w="697" w:type="pct"/>
            <w:tcBorders>
              <w:bottom w:val="single" w:sz="4" w:space="0" w:color="auto"/>
            </w:tcBorders>
            <w:shd w:val="clear" w:color="auto" w:fill="auto"/>
            <w:tcMar>
              <w:top w:w="110" w:type="dxa"/>
            </w:tcMar>
          </w:tcPr>
          <w:p w:rsidR="0055116C" w:rsidRPr="0055116C" w:rsidRDefault="0055116C" w:rsidP="0055116C">
            <w:pPr>
              <w:rPr>
                <w:rFonts w:cs="Arial"/>
                <w:sz w:val="16"/>
                <w:szCs w:val="16"/>
                <w:lang w:val="ru-RU"/>
              </w:rPr>
            </w:pPr>
            <w:r w:rsidRPr="0055116C">
              <w:rPr>
                <w:rFonts w:cs="Arial"/>
                <w:sz w:val="16"/>
                <w:szCs w:val="16"/>
                <w:lang w:val="ru-RU"/>
              </w:rPr>
              <w:t>Рост числа пользователей на 10% за 2012–2013</w:t>
            </w:r>
            <w:r w:rsidRPr="000C6D79">
              <w:rPr>
                <w:rFonts w:cs="Arial"/>
                <w:sz w:val="16"/>
                <w:szCs w:val="16"/>
              </w:rPr>
              <w:t> </w:t>
            </w:r>
            <w:r w:rsidRPr="0055116C">
              <w:rPr>
                <w:rFonts w:cs="Arial"/>
                <w:sz w:val="16"/>
                <w:szCs w:val="16"/>
                <w:lang w:val="ru-RU"/>
              </w:rPr>
              <w:t>гг.</w:t>
            </w:r>
          </w:p>
          <w:p w:rsidR="0055116C" w:rsidRPr="0055116C" w:rsidRDefault="0055116C" w:rsidP="0055116C">
            <w:pPr>
              <w:rPr>
                <w:rFonts w:cs="Arial"/>
                <w:sz w:val="16"/>
                <w:szCs w:val="16"/>
                <w:lang w:val="ru-RU"/>
              </w:rPr>
            </w:pPr>
          </w:p>
          <w:p w:rsidR="0055116C" w:rsidRPr="0055116C" w:rsidRDefault="0055116C" w:rsidP="0055116C">
            <w:pPr>
              <w:rPr>
                <w:rFonts w:cs="Arial"/>
                <w:i/>
                <w:sz w:val="16"/>
                <w:szCs w:val="16"/>
                <w:lang w:val="ru-RU"/>
              </w:rPr>
            </w:pPr>
          </w:p>
        </w:tc>
        <w:tc>
          <w:tcPr>
            <w:tcW w:w="1425" w:type="pct"/>
            <w:gridSpan w:val="2"/>
            <w:tcBorders>
              <w:bottom w:val="single" w:sz="4" w:space="0" w:color="auto"/>
            </w:tcBorders>
            <w:shd w:val="clear" w:color="auto" w:fill="FFFFFF"/>
            <w:tcMar>
              <w:top w:w="110" w:type="dxa"/>
            </w:tcMar>
          </w:tcPr>
          <w:p w:rsidR="0055116C" w:rsidRPr="0055116C" w:rsidRDefault="0055116C" w:rsidP="0055116C">
            <w:pPr>
              <w:rPr>
                <w:rFonts w:cs="Arial"/>
                <w:sz w:val="16"/>
                <w:szCs w:val="16"/>
                <w:lang w:val="ru-RU"/>
              </w:rPr>
            </w:pPr>
            <w:r w:rsidRPr="0055116C">
              <w:rPr>
                <w:rFonts w:cs="Arial"/>
                <w:sz w:val="16"/>
                <w:szCs w:val="16"/>
                <w:lang w:val="ru-RU"/>
              </w:rPr>
              <w:t>Согласно оценкам, в 2014–2015</w:t>
            </w:r>
            <w:r w:rsidRPr="000C6D79">
              <w:rPr>
                <w:rFonts w:cs="Arial"/>
                <w:sz w:val="16"/>
                <w:szCs w:val="16"/>
              </w:rPr>
              <w:t> </w:t>
            </w:r>
            <w:r w:rsidRPr="0055116C">
              <w:rPr>
                <w:rFonts w:cs="Arial"/>
                <w:sz w:val="16"/>
                <w:szCs w:val="16"/>
                <w:lang w:val="ru-RU"/>
              </w:rPr>
              <w:t>гг. Центром статистических данных ВОИС воспользовалось 51</w:t>
            </w:r>
            <w:r w:rsidRPr="000C6D79">
              <w:rPr>
                <w:rFonts w:cs="Arial"/>
                <w:sz w:val="16"/>
                <w:szCs w:val="16"/>
              </w:rPr>
              <w:t> </w:t>
            </w:r>
            <w:r w:rsidRPr="0055116C">
              <w:rPr>
                <w:rFonts w:cs="Arial"/>
                <w:sz w:val="16"/>
                <w:szCs w:val="16"/>
                <w:lang w:val="ru-RU"/>
              </w:rPr>
              <w:t>383</w:t>
            </w:r>
            <w:r w:rsidRPr="000C6D79">
              <w:rPr>
                <w:rFonts w:cs="Arial"/>
                <w:sz w:val="16"/>
                <w:szCs w:val="16"/>
              </w:rPr>
              <w:t> </w:t>
            </w:r>
            <w:r w:rsidRPr="0055116C">
              <w:rPr>
                <w:rFonts w:cs="Arial"/>
                <w:sz w:val="16"/>
                <w:szCs w:val="16"/>
                <w:lang w:val="ru-RU"/>
              </w:rPr>
              <w:t>уникальных посетителя (2</w:t>
            </w:r>
            <w:r w:rsidRPr="000C6D79">
              <w:rPr>
                <w:rFonts w:cs="Arial"/>
                <w:sz w:val="16"/>
                <w:szCs w:val="16"/>
              </w:rPr>
              <w:t> </w:t>
            </w:r>
            <w:r w:rsidRPr="0055116C">
              <w:rPr>
                <w:rFonts w:cs="Arial"/>
                <w:sz w:val="16"/>
                <w:szCs w:val="16"/>
                <w:lang w:val="ru-RU"/>
              </w:rPr>
              <w:t>141 в месяц), которые просмотрели 608</w:t>
            </w:r>
            <w:r w:rsidRPr="000C6D79">
              <w:rPr>
                <w:rFonts w:cs="Arial"/>
                <w:sz w:val="16"/>
                <w:szCs w:val="16"/>
              </w:rPr>
              <w:t> </w:t>
            </w:r>
            <w:r w:rsidRPr="0055116C">
              <w:rPr>
                <w:rFonts w:cs="Arial"/>
                <w:sz w:val="16"/>
                <w:szCs w:val="16"/>
                <w:lang w:val="ru-RU"/>
              </w:rPr>
              <w:t>277</w:t>
            </w:r>
            <w:r w:rsidRPr="000C6D79">
              <w:rPr>
                <w:rFonts w:cs="Arial"/>
                <w:sz w:val="16"/>
                <w:szCs w:val="16"/>
              </w:rPr>
              <w:t> </w:t>
            </w:r>
            <w:r w:rsidRPr="0055116C">
              <w:rPr>
                <w:rFonts w:cs="Arial"/>
                <w:sz w:val="16"/>
                <w:szCs w:val="16"/>
                <w:lang w:val="ru-RU"/>
              </w:rPr>
              <w:t>страниц</w:t>
            </w:r>
            <w:r w:rsidRPr="000C6D79">
              <w:rPr>
                <w:rStyle w:val="FootnoteReference"/>
                <w:rFonts w:cs="Arial"/>
                <w:sz w:val="16"/>
                <w:szCs w:val="16"/>
              </w:rPr>
              <w:footnoteReference w:id="93"/>
            </w:r>
            <w:r w:rsidRPr="0055116C">
              <w:rPr>
                <w:rFonts w:cs="Arial"/>
                <w:sz w:val="16"/>
                <w:szCs w:val="16"/>
                <w:lang w:val="ru-RU"/>
              </w:rPr>
              <w:t>.</w:t>
            </w:r>
          </w:p>
          <w:p w:rsidR="0055116C" w:rsidRPr="0055116C" w:rsidRDefault="0055116C" w:rsidP="0055116C">
            <w:pPr>
              <w:pStyle w:val="ListParagraph"/>
              <w:ind w:left="360"/>
              <w:rPr>
                <w:rFonts w:cs="Arial"/>
                <w:sz w:val="16"/>
                <w:szCs w:val="16"/>
                <w:lang w:val="ru-RU"/>
              </w:rPr>
            </w:pPr>
          </w:p>
        </w:tc>
        <w:tc>
          <w:tcPr>
            <w:tcW w:w="618" w:type="pct"/>
            <w:gridSpan w:val="2"/>
            <w:tcBorders>
              <w:bottom w:val="single" w:sz="4" w:space="0" w:color="auto"/>
            </w:tcBorders>
            <w:shd w:val="clear" w:color="auto" w:fill="auto"/>
            <w:tcMar>
              <w:top w:w="110" w:type="dxa"/>
            </w:tcMar>
          </w:tcPr>
          <w:p w:rsidR="0055116C" w:rsidRPr="000C6D79" w:rsidRDefault="0055116C" w:rsidP="0055116C">
            <w:pPr>
              <w:keepNext/>
              <w:keepLines/>
              <w:jc w:val="center"/>
              <w:rPr>
                <w:rFonts w:cs="Arial"/>
                <w:b/>
                <w:bCs/>
                <w:color w:val="00B050"/>
                <w:sz w:val="16"/>
                <w:szCs w:val="16"/>
              </w:rPr>
            </w:pPr>
            <w:r w:rsidRPr="000C6D79">
              <w:rPr>
                <w:rFonts w:cs="Arial"/>
                <w:b/>
                <w:color w:val="00B050"/>
                <w:sz w:val="16"/>
                <w:szCs w:val="16"/>
              </w:rPr>
              <w:t>Выполнено</w:t>
            </w:r>
          </w:p>
        </w:tc>
      </w:tr>
      <w:tr w:rsidR="0055116C" w:rsidRPr="005C6ABD" w:rsidTr="0055116C">
        <w:trPr>
          <w:cantSplit/>
        </w:trPr>
        <w:tc>
          <w:tcPr>
            <w:tcW w:w="5000" w:type="pct"/>
            <w:gridSpan w:val="7"/>
            <w:tcBorders>
              <w:top w:val="single" w:sz="4" w:space="0" w:color="auto"/>
              <w:bottom w:val="single" w:sz="4" w:space="0" w:color="auto"/>
            </w:tcBorders>
            <w:shd w:val="clear" w:color="auto" w:fill="C6D9F1" w:themeFill="text2" w:themeFillTint="33"/>
            <w:vAlign w:val="center"/>
          </w:tcPr>
          <w:p w:rsidR="0055116C" w:rsidRPr="0055116C" w:rsidRDefault="0055116C" w:rsidP="00D340AF">
            <w:pPr>
              <w:ind w:left="2302" w:hanging="2302"/>
              <w:rPr>
                <w:b/>
                <w:bCs/>
                <w:sz w:val="16"/>
                <w:szCs w:val="16"/>
                <w:lang w:val="ru-RU"/>
              </w:rPr>
            </w:pPr>
            <w:r w:rsidRPr="0055116C">
              <w:rPr>
                <w:b/>
                <w:sz w:val="16"/>
                <w:szCs w:val="16"/>
                <w:lang w:val="ru-RU"/>
              </w:rPr>
              <w:t xml:space="preserve">Ожидаемый результат: </w:t>
            </w:r>
            <w:r w:rsidRPr="0055116C">
              <w:rPr>
                <w:sz w:val="16"/>
                <w:szCs w:val="16"/>
                <w:lang w:val="ru-RU"/>
              </w:rPr>
              <w:tab/>
            </w:r>
            <w:r w:rsidRPr="000C6D79">
              <w:rPr>
                <w:sz w:val="16"/>
                <w:szCs w:val="16"/>
              </w:rPr>
              <w:t>V</w:t>
            </w:r>
            <w:r w:rsidRPr="0055116C">
              <w:rPr>
                <w:sz w:val="16"/>
                <w:szCs w:val="16"/>
                <w:lang w:val="ru-RU"/>
              </w:rPr>
              <w:t>.2. Более широкое и эффективное использование экономического</w:t>
            </w:r>
            <w:r w:rsidR="00D340AF">
              <w:rPr>
                <w:sz w:val="16"/>
                <w:szCs w:val="16"/>
                <w:lang w:val="ru-RU"/>
              </w:rPr>
              <w:t xml:space="preserve"> анализа ВОИС при разработке </w:t>
            </w:r>
            <w:r w:rsidRPr="0055116C">
              <w:rPr>
                <w:sz w:val="16"/>
                <w:szCs w:val="16"/>
                <w:lang w:val="ru-RU"/>
              </w:rPr>
              <w:t>политики</w:t>
            </w:r>
          </w:p>
        </w:tc>
      </w:tr>
      <w:tr w:rsidR="0055116C" w:rsidRPr="000C6D79" w:rsidTr="0055116C">
        <w:trPr>
          <w:cantSplit/>
        </w:trPr>
        <w:tc>
          <w:tcPr>
            <w:tcW w:w="1060" w:type="pct"/>
            <w:tcBorders>
              <w:top w:val="single" w:sz="4" w:space="0" w:color="auto"/>
            </w:tcBorders>
            <w:shd w:val="clear" w:color="auto" w:fill="auto"/>
            <w:vAlign w:val="center"/>
          </w:tcPr>
          <w:p w:rsidR="0055116C" w:rsidRPr="000C6D79" w:rsidRDefault="0055116C" w:rsidP="0055116C">
            <w:pPr>
              <w:rPr>
                <w:b/>
                <w:sz w:val="16"/>
                <w:szCs w:val="16"/>
              </w:rPr>
            </w:pPr>
            <w:r w:rsidRPr="000C6D79">
              <w:rPr>
                <w:b/>
                <w:sz w:val="16"/>
                <w:szCs w:val="16"/>
              </w:rPr>
              <w:t>Показатели результативности</w:t>
            </w:r>
          </w:p>
        </w:tc>
        <w:tc>
          <w:tcPr>
            <w:tcW w:w="1199" w:type="pct"/>
            <w:tcBorders>
              <w:top w:val="single" w:sz="4" w:space="0" w:color="auto"/>
            </w:tcBorders>
            <w:shd w:val="clear" w:color="auto" w:fill="auto"/>
            <w:vAlign w:val="center"/>
          </w:tcPr>
          <w:p w:rsidR="0055116C" w:rsidRPr="000C6D79" w:rsidRDefault="0055116C" w:rsidP="0055116C">
            <w:pPr>
              <w:keepNext/>
              <w:keepLines/>
              <w:rPr>
                <w:rFonts w:cs="Arial"/>
                <w:b/>
                <w:bCs/>
                <w:sz w:val="16"/>
                <w:szCs w:val="16"/>
              </w:rPr>
            </w:pPr>
            <w:r w:rsidRPr="000C6D79">
              <w:rPr>
                <w:rFonts w:cs="Arial"/>
                <w:b/>
                <w:sz w:val="16"/>
                <w:szCs w:val="16"/>
              </w:rPr>
              <w:t>Базовые показатели</w:t>
            </w:r>
          </w:p>
        </w:tc>
        <w:tc>
          <w:tcPr>
            <w:tcW w:w="773" w:type="pct"/>
            <w:gridSpan w:val="2"/>
            <w:tcBorders>
              <w:top w:val="single" w:sz="4" w:space="0" w:color="auto"/>
            </w:tcBorders>
            <w:shd w:val="clear" w:color="auto" w:fill="auto"/>
            <w:tcMar>
              <w:top w:w="110" w:type="dxa"/>
            </w:tcMar>
            <w:vAlign w:val="center"/>
          </w:tcPr>
          <w:p w:rsidR="0055116C" w:rsidRPr="000C6D79" w:rsidRDefault="0055116C" w:rsidP="0055116C">
            <w:pPr>
              <w:keepNext/>
              <w:keepLines/>
              <w:rPr>
                <w:rFonts w:cs="Arial"/>
                <w:b/>
                <w:sz w:val="16"/>
                <w:szCs w:val="16"/>
              </w:rPr>
            </w:pPr>
            <w:r w:rsidRPr="000C6D79">
              <w:rPr>
                <w:rFonts w:cs="Arial"/>
                <w:b/>
                <w:sz w:val="16"/>
                <w:szCs w:val="16"/>
              </w:rPr>
              <w:t>Цели</w:t>
            </w:r>
          </w:p>
        </w:tc>
        <w:tc>
          <w:tcPr>
            <w:tcW w:w="1387" w:type="pct"/>
            <w:gridSpan w:val="2"/>
            <w:tcBorders>
              <w:top w:val="single" w:sz="4" w:space="0" w:color="auto"/>
            </w:tcBorders>
            <w:shd w:val="clear" w:color="auto" w:fill="FFFFFF"/>
            <w:tcMar>
              <w:top w:w="110" w:type="dxa"/>
            </w:tcMar>
            <w:vAlign w:val="center"/>
          </w:tcPr>
          <w:p w:rsidR="0055116C" w:rsidRPr="000C6D79" w:rsidRDefault="0055116C" w:rsidP="0055116C">
            <w:pPr>
              <w:keepNext/>
              <w:keepLines/>
              <w:rPr>
                <w:rFonts w:cs="Arial"/>
                <w:sz w:val="16"/>
                <w:szCs w:val="16"/>
              </w:rPr>
            </w:pPr>
            <w:r w:rsidRPr="000C6D79">
              <w:rPr>
                <w:rFonts w:cs="Arial"/>
                <w:b/>
                <w:sz w:val="16"/>
                <w:szCs w:val="16"/>
              </w:rPr>
              <w:t>Данные о результативности</w:t>
            </w:r>
          </w:p>
        </w:tc>
        <w:tc>
          <w:tcPr>
            <w:tcW w:w="582" w:type="pct"/>
            <w:tcBorders>
              <w:top w:val="single" w:sz="4" w:space="0" w:color="auto"/>
            </w:tcBorders>
            <w:shd w:val="clear" w:color="auto" w:fill="auto"/>
            <w:tcMar>
              <w:top w:w="110" w:type="dxa"/>
            </w:tcMar>
            <w:vAlign w:val="center"/>
          </w:tcPr>
          <w:p w:rsidR="0055116C" w:rsidRPr="000C6D79" w:rsidRDefault="0055116C" w:rsidP="0055116C">
            <w:pPr>
              <w:keepNext/>
              <w:keepLines/>
              <w:jc w:val="center"/>
              <w:rPr>
                <w:rFonts w:cs="Arial"/>
                <w:b/>
                <w:bCs/>
                <w:sz w:val="16"/>
                <w:szCs w:val="16"/>
              </w:rPr>
            </w:pPr>
            <w:r w:rsidRPr="000C6D79">
              <w:rPr>
                <w:rFonts w:cs="Arial"/>
                <w:b/>
                <w:sz w:val="16"/>
                <w:szCs w:val="16"/>
              </w:rPr>
              <w:t>CC</w:t>
            </w:r>
          </w:p>
        </w:tc>
      </w:tr>
      <w:tr w:rsidR="0055116C" w:rsidRPr="005C6ABD" w:rsidTr="0055116C">
        <w:trPr>
          <w:cantSplit/>
        </w:trPr>
        <w:tc>
          <w:tcPr>
            <w:tcW w:w="1060" w:type="pct"/>
            <w:shd w:val="clear" w:color="auto" w:fill="auto"/>
          </w:tcPr>
          <w:p w:rsidR="0055116C" w:rsidRPr="0055116C" w:rsidRDefault="0055116C" w:rsidP="0055116C">
            <w:pPr>
              <w:rPr>
                <w:sz w:val="16"/>
                <w:szCs w:val="16"/>
                <w:lang w:val="ru-RU"/>
              </w:rPr>
            </w:pPr>
            <w:r w:rsidRPr="0055116C">
              <w:rPr>
                <w:sz w:val="16"/>
                <w:szCs w:val="16"/>
                <w:lang w:val="ru-RU"/>
              </w:rPr>
              <w:t>Число скачиваний основных экономических публикаций</w:t>
            </w:r>
          </w:p>
        </w:tc>
        <w:tc>
          <w:tcPr>
            <w:tcW w:w="1199" w:type="pct"/>
            <w:shd w:val="clear" w:color="auto" w:fill="auto"/>
          </w:tcPr>
          <w:p w:rsidR="0055116C" w:rsidRPr="0055116C" w:rsidRDefault="0055116C" w:rsidP="0055116C">
            <w:pPr>
              <w:keepNext/>
              <w:keepLines/>
              <w:rPr>
                <w:rFonts w:cs="Arial"/>
                <w:sz w:val="16"/>
                <w:szCs w:val="16"/>
                <w:lang w:val="ru-RU"/>
              </w:rPr>
            </w:pPr>
            <w:r w:rsidRPr="0055116C">
              <w:rPr>
                <w:rFonts w:cs="Arial"/>
                <w:sz w:val="16"/>
                <w:szCs w:val="16"/>
                <w:lang w:val="ru-RU"/>
              </w:rPr>
              <w:t>Будет определено в конце 2013</w:t>
            </w:r>
            <w:r w:rsidRPr="000C6D79">
              <w:rPr>
                <w:rFonts w:cs="Arial"/>
                <w:sz w:val="16"/>
                <w:szCs w:val="16"/>
              </w:rPr>
              <w:t> </w:t>
            </w:r>
            <w:r w:rsidRPr="0055116C">
              <w:rPr>
                <w:rFonts w:cs="Arial"/>
                <w:sz w:val="16"/>
                <w:szCs w:val="16"/>
                <w:lang w:val="ru-RU"/>
              </w:rPr>
              <w:t>г.</w:t>
            </w:r>
          </w:p>
        </w:tc>
        <w:tc>
          <w:tcPr>
            <w:tcW w:w="773" w:type="pct"/>
            <w:gridSpan w:val="2"/>
            <w:shd w:val="clear" w:color="auto" w:fill="auto"/>
            <w:tcMar>
              <w:top w:w="110" w:type="dxa"/>
            </w:tcMar>
          </w:tcPr>
          <w:p w:rsidR="0055116C" w:rsidRPr="0055116C" w:rsidRDefault="0055116C" w:rsidP="0055116C">
            <w:pPr>
              <w:keepNext/>
              <w:keepLines/>
              <w:autoSpaceDE w:val="0"/>
              <w:autoSpaceDN w:val="0"/>
              <w:adjustRightInd w:val="0"/>
              <w:rPr>
                <w:rFonts w:cs="Arial"/>
                <w:sz w:val="16"/>
                <w:szCs w:val="16"/>
                <w:lang w:val="ru-RU"/>
              </w:rPr>
            </w:pPr>
            <w:r w:rsidRPr="0055116C">
              <w:rPr>
                <w:rFonts w:cs="Arial"/>
                <w:sz w:val="16"/>
                <w:szCs w:val="16"/>
                <w:lang w:val="ru-RU"/>
              </w:rPr>
              <w:t>Увеличение на 20% по сравнению с уровнем 2012–2013</w:t>
            </w:r>
            <w:r w:rsidRPr="000C6D79">
              <w:rPr>
                <w:rFonts w:cs="Arial"/>
                <w:sz w:val="16"/>
                <w:szCs w:val="16"/>
              </w:rPr>
              <w:t> </w:t>
            </w:r>
            <w:r w:rsidRPr="0055116C">
              <w:rPr>
                <w:rFonts w:cs="Arial"/>
                <w:sz w:val="16"/>
                <w:szCs w:val="16"/>
                <w:lang w:val="ru-RU"/>
              </w:rPr>
              <w:t>гг.</w:t>
            </w:r>
          </w:p>
        </w:tc>
        <w:tc>
          <w:tcPr>
            <w:tcW w:w="1387" w:type="pct"/>
            <w:gridSpan w:val="2"/>
            <w:shd w:val="clear" w:color="auto" w:fill="FFFFFF"/>
            <w:tcMar>
              <w:top w:w="110" w:type="dxa"/>
            </w:tcMar>
          </w:tcPr>
          <w:p w:rsidR="0055116C" w:rsidRPr="0055116C" w:rsidRDefault="0055116C" w:rsidP="0055116C">
            <w:pPr>
              <w:keepNext/>
              <w:keepLines/>
              <w:rPr>
                <w:rFonts w:cs="Arial"/>
                <w:sz w:val="16"/>
                <w:szCs w:val="16"/>
                <w:lang w:val="ru-RU"/>
              </w:rPr>
            </w:pPr>
            <w:r w:rsidRPr="0055116C">
              <w:rPr>
                <w:rFonts w:cs="Arial"/>
                <w:sz w:val="16"/>
                <w:szCs w:val="16"/>
                <w:lang w:val="ru-RU"/>
              </w:rPr>
              <w:t>В 2014–2015</w:t>
            </w:r>
            <w:r w:rsidRPr="000C6D79">
              <w:rPr>
                <w:rFonts w:cs="Arial"/>
                <w:sz w:val="16"/>
                <w:szCs w:val="16"/>
              </w:rPr>
              <w:t> </w:t>
            </w:r>
            <w:r w:rsidRPr="0055116C">
              <w:rPr>
                <w:rFonts w:cs="Arial"/>
                <w:sz w:val="16"/>
                <w:szCs w:val="16"/>
                <w:lang w:val="ru-RU"/>
              </w:rPr>
              <w:t>гг. две последние версии Глобального индекса инноваций (ГИИ) (за 2014</w:t>
            </w:r>
            <w:r w:rsidRPr="000C6D79">
              <w:rPr>
                <w:rFonts w:cs="Arial"/>
                <w:sz w:val="16"/>
                <w:szCs w:val="16"/>
              </w:rPr>
              <w:t> </w:t>
            </w:r>
            <w:r w:rsidRPr="0055116C">
              <w:rPr>
                <w:rFonts w:cs="Arial"/>
                <w:sz w:val="16"/>
                <w:szCs w:val="16"/>
                <w:lang w:val="ru-RU"/>
              </w:rPr>
              <w:t>г. и 2015</w:t>
            </w:r>
            <w:r w:rsidRPr="000C6D79">
              <w:rPr>
                <w:rFonts w:cs="Arial"/>
                <w:sz w:val="16"/>
                <w:szCs w:val="16"/>
              </w:rPr>
              <w:t> </w:t>
            </w:r>
            <w:r w:rsidRPr="0055116C">
              <w:rPr>
                <w:rFonts w:cs="Arial"/>
                <w:sz w:val="16"/>
                <w:szCs w:val="16"/>
                <w:lang w:val="ru-RU"/>
              </w:rPr>
              <w:t>г.) были загружены:</w:t>
            </w:r>
          </w:p>
          <w:p w:rsidR="0055116C" w:rsidRPr="0055116C" w:rsidRDefault="0055116C" w:rsidP="0055116C">
            <w:pPr>
              <w:pStyle w:val="ListParagraph"/>
              <w:keepNext/>
              <w:keepLines/>
              <w:numPr>
                <w:ilvl w:val="0"/>
                <w:numId w:val="14"/>
              </w:numPr>
              <w:rPr>
                <w:rFonts w:cs="Arial"/>
                <w:sz w:val="16"/>
                <w:szCs w:val="16"/>
                <w:lang w:val="ru-RU"/>
              </w:rPr>
            </w:pPr>
            <w:r w:rsidRPr="0055116C">
              <w:rPr>
                <w:rFonts w:cs="Arial"/>
                <w:sz w:val="16"/>
                <w:szCs w:val="16"/>
                <w:lang w:val="ru-RU"/>
              </w:rPr>
              <w:t>123</w:t>
            </w:r>
            <w:r w:rsidRPr="000C6D79">
              <w:rPr>
                <w:rFonts w:cs="Arial"/>
                <w:sz w:val="16"/>
                <w:szCs w:val="16"/>
              </w:rPr>
              <w:t> </w:t>
            </w:r>
            <w:r w:rsidRPr="0055116C">
              <w:rPr>
                <w:rFonts w:cs="Arial"/>
                <w:sz w:val="16"/>
                <w:szCs w:val="16"/>
                <w:lang w:val="ru-RU"/>
              </w:rPr>
              <w:t>161 раз с веб-страницы ГИИ ВОИС, которую посетили 50</w:t>
            </w:r>
            <w:r w:rsidRPr="000C6D79">
              <w:rPr>
                <w:rFonts w:cs="Arial"/>
                <w:sz w:val="16"/>
                <w:szCs w:val="16"/>
              </w:rPr>
              <w:t> </w:t>
            </w:r>
            <w:r w:rsidRPr="0055116C">
              <w:rPr>
                <w:rFonts w:cs="Arial"/>
                <w:sz w:val="16"/>
                <w:szCs w:val="16"/>
                <w:lang w:val="ru-RU"/>
              </w:rPr>
              <w:t>368 уникальных посетителей</w:t>
            </w:r>
            <w:r w:rsidRPr="000C6D79">
              <w:rPr>
                <w:rStyle w:val="FootnoteReference"/>
                <w:rFonts w:cs="Arial"/>
                <w:sz w:val="16"/>
                <w:szCs w:val="16"/>
              </w:rPr>
              <w:footnoteReference w:id="94"/>
            </w:r>
            <w:r w:rsidRPr="0055116C">
              <w:rPr>
                <w:rFonts w:cs="Arial"/>
                <w:sz w:val="16"/>
                <w:szCs w:val="16"/>
                <w:lang w:val="ru-RU"/>
              </w:rPr>
              <w:t>.</w:t>
            </w:r>
          </w:p>
          <w:p w:rsidR="0055116C" w:rsidRPr="0055116C" w:rsidRDefault="0055116C" w:rsidP="0055116C">
            <w:pPr>
              <w:pStyle w:val="ListParagraph"/>
              <w:keepNext/>
              <w:keepLines/>
              <w:numPr>
                <w:ilvl w:val="0"/>
                <w:numId w:val="14"/>
              </w:numPr>
              <w:rPr>
                <w:rFonts w:cs="Arial"/>
                <w:sz w:val="16"/>
                <w:szCs w:val="16"/>
                <w:lang w:val="ru-RU"/>
              </w:rPr>
            </w:pPr>
            <w:r w:rsidRPr="0055116C">
              <w:rPr>
                <w:rFonts w:cs="Arial"/>
                <w:sz w:val="16"/>
                <w:szCs w:val="16"/>
                <w:lang w:val="ru-RU"/>
              </w:rPr>
              <w:t>13</w:t>
            </w:r>
            <w:r w:rsidRPr="000C6D79">
              <w:rPr>
                <w:rFonts w:cs="Arial"/>
                <w:sz w:val="16"/>
                <w:szCs w:val="16"/>
              </w:rPr>
              <w:t> </w:t>
            </w:r>
            <w:r w:rsidRPr="0055116C">
              <w:rPr>
                <w:rFonts w:cs="Arial"/>
                <w:sz w:val="16"/>
                <w:szCs w:val="16"/>
                <w:lang w:val="ru-RU"/>
              </w:rPr>
              <w:t>943 раза со специального сайта, посвященного ГИИ, который посетили 300</w:t>
            </w:r>
            <w:r w:rsidRPr="000C6D79">
              <w:rPr>
                <w:rFonts w:cs="Arial"/>
                <w:sz w:val="16"/>
                <w:szCs w:val="16"/>
              </w:rPr>
              <w:t> </w:t>
            </w:r>
            <w:r w:rsidRPr="0055116C">
              <w:rPr>
                <w:rFonts w:cs="Arial"/>
                <w:sz w:val="16"/>
                <w:szCs w:val="16"/>
                <w:lang w:val="ru-RU"/>
              </w:rPr>
              <w:t>283 уникальных посетителя</w:t>
            </w:r>
            <w:r w:rsidRPr="000C6D79">
              <w:rPr>
                <w:rStyle w:val="FootnoteReference"/>
                <w:rFonts w:cs="Arial"/>
                <w:sz w:val="16"/>
                <w:szCs w:val="16"/>
              </w:rPr>
              <w:footnoteReference w:id="95"/>
            </w:r>
            <w:r w:rsidRPr="0055116C">
              <w:rPr>
                <w:rFonts w:cs="Arial"/>
                <w:sz w:val="16"/>
                <w:szCs w:val="16"/>
                <w:lang w:val="ru-RU"/>
              </w:rPr>
              <w:t>.</w:t>
            </w:r>
          </w:p>
          <w:p w:rsidR="0055116C" w:rsidRPr="0055116C" w:rsidRDefault="0055116C" w:rsidP="0055116C">
            <w:pPr>
              <w:keepNext/>
              <w:keepLines/>
              <w:rPr>
                <w:rFonts w:cs="Arial"/>
                <w:sz w:val="16"/>
                <w:szCs w:val="16"/>
                <w:lang w:val="ru-RU"/>
              </w:rPr>
            </w:pPr>
          </w:p>
          <w:p w:rsidR="0055116C" w:rsidRPr="0055116C" w:rsidRDefault="0055116C" w:rsidP="0055116C">
            <w:pPr>
              <w:keepNext/>
              <w:keepLines/>
              <w:rPr>
                <w:rFonts w:cs="Arial"/>
                <w:sz w:val="16"/>
                <w:szCs w:val="16"/>
                <w:lang w:val="ru-RU"/>
              </w:rPr>
            </w:pPr>
            <w:r w:rsidRPr="0055116C">
              <w:rPr>
                <w:rFonts w:cs="Arial"/>
                <w:sz w:val="16"/>
                <w:szCs w:val="16"/>
                <w:lang w:val="ru-RU"/>
              </w:rPr>
              <w:t>В 2014–2015</w:t>
            </w:r>
            <w:r w:rsidRPr="000C6D79">
              <w:rPr>
                <w:rFonts w:cs="Arial"/>
                <w:sz w:val="16"/>
                <w:szCs w:val="16"/>
              </w:rPr>
              <w:t> </w:t>
            </w:r>
            <w:r w:rsidRPr="0055116C">
              <w:rPr>
                <w:rFonts w:cs="Arial"/>
                <w:sz w:val="16"/>
                <w:szCs w:val="16"/>
                <w:lang w:val="ru-RU"/>
              </w:rPr>
              <w:t>гг. последний Доклад о положении в области ИС в мире (2015</w:t>
            </w:r>
            <w:r w:rsidRPr="000C6D79">
              <w:rPr>
                <w:rFonts w:cs="Arial"/>
                <w:sz w:val="16"/>
                <w:szCs w:val="16"/>
              </w:rPr>
              <w:t> </w:t>
            </w:r>
            <w:r w:rsidRPr="0055116C">
              <w:rPr>
                <w:rFonts w:cs="Arial"/>
                <w:sz w:val="16"/>
                <w:szCs w:val="16"/>
                <w:lang w:val="ru-RU"/>
              </w:rPr>
              <w:t>г.) (944</w:t>
            </w:r>
            <w:r w:rsidRPr="000C6D79">
              <w:rPr>
                <w:rFonts w:cs="Arial"/>
                <w:sz w:val="16"/>
                <w:szCs w:val="16"/>
              </w:rPr>
              <w:t>E</w:t>
            </w:r>
            <w:r w:rsidRPr="0055116C">
              <w:rPr>
                <w:rFonts w:cs="Arial"/>
                <w:sz w:val="16"/>
                <w:szCs w:val="16"/>
                <w:lang w:val="ru-RU"/>
              </w:rPr>
              <w:t>) был загружен в общей сложности 16</w:t>
            </w:r>
            <w:r w:rsidRPr="000C6D79">
              <w:rPr>
                <w:rFonts w:cs="Arial"/>
                <w:sz w:val="16"/>
                <w:szCs w:val="16"/>
              </w:rPr>
              <w:t> </w:t>
            </w:r>
            <w:r w:rsidRPr="0055116C">
              <w:rPr>
                <w:rFonts w:cs="Arial"/>
                <w:sz w:val="16"/>
                <w:szCs w:val="16"/>
                <w:lang w:val="ru-RU"/>
              </w:rPr>
              <w:t>218</w:t>
            </w:r>
            <w:r w:rsidRPr="000C6D79">
              <w:rPr>
                <w:rFonts w:cs="Arial"/>
                <w:sz w:val="16"/>
                <w:szCs w:val="16"/>
              </w:rPr>
              <w:t> </w:t>
            </w:r>
            <w:r w:rsidRPr="0055116C">
              <w:rPr>
                <w:rFonts w:cs="Arial"/>
                <w:sz w:val="16"/>
                <w:szCs w:val="16"/>
                <w:lang w:val="ru-RU"/>
              </w:rPr>
              <w:t>раз в период с 11</w:t>
            </w:r>
            <w:r w:rsidRPr="000C6D79">
              <w:rPr>
                <w:rFonts w:cs="Arial"/>
                <w:sz w:val="16"/>
                <w:szCs w:val="16"/>
              </w:rPr>
              <w:t> </w:t>
            </w:r>
            <w:r w:rsidRPr="0055116C">
              <w:rPr>
                <w:rFonts w:cs="Arial"/>
                <w:sz w:val="16"/>
                <w:szCs w:val="16"/>
                <w:lang w:val="ru-RU"/>
              </w:rPr>
              <w:t>ноября 2015</w:t>
            </w:r>
            <w:r w:rsidRPr="000C6D79">
              <w:rPr>
                <w:rFonts w:cs="Arial"/>
                <w:sz w:val="16"/>
                <w:szCs w:val="16"/>
              </w:rPr>
              <w:t> </w:t>
            </w:r>
            <w:r w:rsidRPr="0055116C">
              <w:rPr>
                <w:rFonts w:cs="Arial"/>
                <w:sz w:val="16"/>
                <w:szCs w:val="16"/>
                <w:lang w:val="ru-RU"/>
              </w:rPr>
              <w:t>г., когда он был размещен на сайте ВОИС, до конца 2015</w:t>
            </w:r>
            <w:r w:rsidRPr="000C6D79">
              <w:rPr>
                <w:rFonts w:cs="Arial"/>
                <w:sz w:val="16"/>
                <w:szCs w:val="16"/>
              </w:rPr>
              <w:t> </w:t>
            </w:r>
            <w:r w:rsidRPr="0055116C">
              <w:rPr>
                <w:rFonts w:cs="Arial"/>
                <w:sz w:val="16"/>
                <w:szCs w:val="16"/>
                <w:lang w:val="ru-RU"/>
              </w:rPr>
              <w:t xml:space="preserve">г. </w:t>
            </w:r>
          </w:p>
        </w:tc>
        <w:tc>
          <w:tcPr>
            <w:tcW w:w="582" w:type="pct"/>
            <w:shd w:val="clear" w:color="auto" w:fill="auto"/>
            <w:tcMar>
              <w:top w:w="110" w:type="dxa"/>
            </w:tcMar>
          </w:tcPr>
          <w:p w:rsidR="0055116C" w:rsidRPr="0055116C" w:rsidRDefault="0055116C" w:rsidP="0055116C">
            <w:pPr>
              <w:keepNext/>
              <w:keepLines/>
              <w:jc w:val="center"/>
              <w:rPr>
                <w:rFonts w:cs="Arial"/>
                <w:b/>
                <w:bCs/>
                <w:color w:val="808080"/>
                <w:sz w:val="16"/>
                <w:szCs w:val="16"/>
                <w:lang w:val="ru-RU"/>
              </w:rPr>
            </w:pPr>
            <w:r w:rsidRPr="0055116C">
              <w:rPr>
                <w:rFonts w:cs="Arial"/>
                <w:b/>
                <w:color w:val="808080"/>
                <w:sz w:val="16"/>
                <w:szCs w:val="16"/>
                <w:lang w:val="ru-RU"/>
              </w:rPr>
              <w:t>Не подлежит оценке</w:t>
            </w: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
                <w:bCs/>
                <w:color w:val="808080"/>
                <w:sz w:val="16"/>
                <w:szCs w:val="16"/>
                <w:lang w:val="ru-RU"/>
              </w:rPr>
            </w:pPr>
          </w:p>
          <w:p w:rsidR="0055116C" w:rsidRPr="0055116C" w:rsidRDefault="0055116C" w:rsidP="0055116C">
            <w:pPr>
              <w:keepNext/>
              <w:keepLines/>
              <w:jc w:val="center"/>
              <w:rPr>
                <w:rFonts w:cs="Arial"/>
                <w:bCs/>
                <w:color w:val="595959" w:themeColor="text1" w:themeTint="A6"/>
                <w:sz w:val="16"/>
                <w:szCs w:val="16"/>
                <w:lang w:val="ru-RU"/>
              </w:rPr>
            </w:pPr>
            <w:r w:rsidRPr="0055116C">
              <w:rPr>
                <w:rFonts w:cs="Arial"/>
                <w:b/>
                <w:color w:val="808080"/>
                <w:sz w:val="16"/>
                <w:szCs w:val="16"/>
                <w:lang w:val="ru-RU"/>
              </w:rPr>
              <w:t>Не подлежит оценке</w:t>
            </w:r>
          </w:p>
        </w:tc>
      </w:tr>
      <w:tr w:rsidR="0055116C" w:rsidRPr="000C6D79" w:rsidTr="0055116C">
        <w:trPr>
          <w:cantSplit/>
        </w:trPr>
        <w:tc>
          <w:tcPr>
            <w:tcW w:w="1060" w:type="pct"/>
            <w:shd w:val="clear" w:color="auto" w:fill="auto"/>
          </w:tcPr>
          <w:p w:rsidR="0055116C" w:rsidRPr="000C6D79" w:rsidRDefault="0055116C" w:rsidP="0055116C">
            <w:pPr>
              <w:rPr>
                <w:sz w:val="16"/>
                <w:szCs w:val="16"/>
              </w:rPr>
            </w:pPr>
            <w:r w:rsidRPr="000C6D79">
              <w:rPr>
                <w:sz w:val="16"/>
                <w:szCs w:val="16"/>
              </w:rPr>
              <w:t>Число скачиваний исследований</w:t>
            </w:r>
          </w:p>
        </w:tc>
        <w:tc>
          <w:tcPr>
            <w:tcW w:w="1199" w:type="pct"/>
            <w:shd w:val="clear" w:color="auto" w:fill="auto"/>
          </w:tcPr>
          <w:p w:rsidR="0055116C" w:rsidRPr="0055116C" w:rsidRDefault="0055116C" w:rsidP="0055116C">
            <w:pPr>
              <w:keepNext/>
              <w:keepLines/>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0C6D79">
              <w:rPr>
                <w:rFonts w:cs="Arial"/>
                <w:i/>
                <w:color w:val="002060"/>
                <w:sz w:val="16"/>
                <w:szCs w:val="16"/>
              </w:rPr>
              <w:t> </w:t>
            </w:r>
            <w:r w:rsidRPr="0055116C">
              <w:rPr>
                <w:rFonts w:cs="Arial"/>
                <w:i/>
                <w:color w:val="002060"/>
                <w:sz w:val="16"/>
                <w:szCs w:val="16"/>
                <w:lang w:val="ru-RU"/>
              </w:rPr>
              <w:t xml:space="preserve">г.: </w:t>
            </w:r>
          </w:p>
          <w:p w:rsidR="0055116C" w:rsidRPr="0055116C" w:rsidRDefault="0055116C" w:rsidP="0055116C">
            <w:pPr>
              <w:keepNext/>
              <w:keepLines/>
              <w:rPr>
                <w:rFonts w:cs="Arial"/>
                <w:color w:val="002060"/>
                <w:sz w:val="16"/>
                <w:szCs w:val="16"/>
                <w:lang w:val="ru-RU"/>
              </w:rPr>
            </w:pPr>
            <w:r w:rsidRPr="0055116C">
              <w:rPr>
                <w:rFonts w:cs="Arial"/>
                <w:color w:val="002060"/>
                <w:sz w:val="16"/>
                <w:szCs w:val="16"/>
                <w:lang w:val="ru-RU"/>
              </w:rPr>
              <w:t>в 2013</w:t>
            </w:r>
            <w:r w:rsidRPr="000C6D79">
              <w:rPr>
                <w:rFonts w:cs="Arial"/>
                <w:color w:val="002060"/>
                <w:sz w:val="16"/>
                <w:szCs w:val="16"/>
              </w:rPr>
              <w:t> </w:t>
            </w:r>
            <w:r w:rsidRPr="0055116C">
              <w:rPr>
                <w:rFonts w:cs="Arial"/>
                <w:color w:val="002060"/>
                <w:sz w:val="16"/>
                <w:szCs w:val="16"/>
                <w:lang w:val="ru-RU"/>
              </w:rPr>
              <w:t>г. опубликовано 7</w:t>
            </w:r>
            <w:r w:rsidRPr="000C6D79">
              <w:rPr>
                <w:rFonts w:cs="Arial"/>
                <w:color w:val="002060"/>
                <w:sz w:val="16"/>
                <w:szCs w:val="16"/>
              </w:rPr>
              <w:t> </w:t>
            </w:r>
            <w:r w:rsidRPr="0055116C">
              <w:rPr>
                <w:rFonts w:cs="Arial"/>
                <w:color w:val="002060"/>
                <w:sz w:val="16"/>
                <w:szCs w:val="16"/>
                <w:lang w:val="ru-RU"/>
              </w:rPr>
              <w:t xml:space="preserve">рабочих документов. </w:t>
            </w:r>
          </w:p>
          <w:p w:rsidR="0055116C" w:rsidRPr="0055116C" w:rsidRDefault="0055116C" w:rsidP="0055116C">
            <w:pPr>
              <w:keepNext/>
              <w:keepLines/>
              <w:rPr>
                <w:rFonts w:cs="Arial"/>
                <w:i/>
                <w:sz w:val="16"/>
                <w:szCs w:val="16"/>
                <w:lang w:val="ru-RU"/>
              </w:rPr>
            </w:pPr>
          </w:p>
          <w:p w:rsidR="0055116C" w:rsidRPr="0055116C" w:rsidRDefault="0055116C" w:rsidP="0055116C">
            <w:pPr>
              <w:keepNext/>
              <w:keepLines/>
              <w:autoSpaceDE w:val="0"/>
              <w:autoSpaceDN w:val="0"/>
              <w:adjustRightInd w:val="0"/>
              <w:rPr>
                <w:rFonts w:cs="Arial"/>
                <w:sz w:val="16"/>
                <w:szCs w:val="16"/>
                <w:lang w:val="ru-RU"/>
              </w:rPr>
            </w:pPr>
            <w:r w:rsidRPr="0055116C">
              <w:rPr>
                <w:rFonts w:cs="Arial"/>
                <w:i/>
                <w:sz w:val="16"/>
                <w:szCs w:val="16"/>
                <w:lang w:val="ru-RU"/>
              </w:rPr>
              <w:t xml:space="preserve">Исходные базовые показатели ПиБ на 2014–2015 гг.: </w:t>
            </w:r>
            <w:r w:rsidRPr="0055116C">
              <w:rPr>
                <w:rFonts w:cs="Arial"/>
                <w:sz w:val="16"/>
                <w:szCs w:val="16"/>
                <w:lang w:val="ru-RU"/>
              </w:rPr>
              <w:t>будут определены в конце 2013</w:t>
            </w:r>
            <w:r w:rsidRPr="000C6D79">
              <w:rPr>
                <w:rFonts w:cs="Arial"/>
                <w:sz w:val="16"/>
                <w:szCs w:val="16"/>
              </w:rPr>
              <w:t> </w:t>
            </w:r>
            <w:r w:rsidRPr="0055116C">
              <w:rPr>
                <w:rFonts w:cs="Arial"/>
                <w:sz w:val="16"/>
                <w:szCs w:val="16"/>
                <w:lang w:val="ru-RU"/>
              </w:rPr>
              <w:t>г.</w:t>
            </w:r>
            <w:r w:rsidRPr="0055116C">
              <w:rPr>
                <w:rFonts w:cs="Arial"/>
                <w:sz w:val="16"/>
                <w:szCs w:val="16"/>
                <w:lang w:val="ru-RU"/>
              </w:rPr>
              <w:br/>
            </w:r>
          </w:p>
        </w:tc>
        <w:tc>
          <w:tcPr>
            <w:tcW w:w="773" w:type="pct"/>
            <w:gridSpan w:val="2"/>
            <w:shd w:val="clear" w:color="auto" w:fill="auto"/>
            <w:tcMar>
              <w:top w:w="110" w:type="dxa"/>
            </w:tcMar>
          </w:tcPr>
          <w:p w:rsidR="0055116C" w:rsidRPr="000C6D79" w:rsidRDefault="0055116C" w:rsidP="0055116C">
            <w:pPr>
              <w:keepNext/>
              <w:keepLines/>
              <w:autoSpaceDE w:val="0"/>
              <w:autoSpaceDN w:val="0"/>
              <w:adjustRightInd w:val="0"/>
              <w:rPr>
                <w:rFonts w:cs="Arial"/>
                <w:sz w:val="16"/>
                <w:szCs w:val="16"/>
              </w:rPr>
            </w:pPr>
            <w:r w:rsidRPr="000C6D79">
              <w:rPr>
                <w:rFonts w:cs="Arial"/>
                <w:sz w:val="16"/>
                <w:szCs w:val="16"/>
              </w:rPr>
              <w:t>8 (восемь) новых рабочих документов</w:t>
            </w:r>
          </w:p>
          <w:p w:rsidR="0055116C" w:rsidRPr="000C6D79" w:rsidRDefault="0055116C" w:rsidP="0055116C">
            <w:pPr>
              <w:keepNext/>
              <w:keepLines/>
              <w:autoSpaceDE w:val="0"/>
              <w:autoSpaceDN w:val="0"/>
              <w:adjustRightInd w:val="0"/>
              <w:rPr>
                <w:rFonts w:cs="Arial"/>
                <w:sz w:val="16"/>
                <w:szCs w:val="16"/>
              </w:rPr>
            </w:pPr>
          </w:p>
          <w:p w:rsidR="0055116C" w:rsidRPr="000C6D79" w:rsidRDefault="0055116C" w:rsidP="0055116C">
            <w:pPr>
              <w:keepNext/>
              <w:keepLines/>
              <w:autoSpaceDE w:val="0"/>
              <w:autoSpaceDN w:val="0"/>
              <w:adjustRightInd w:val="0"/>
              <w:rPr>
                <w:rFonts w:cs="Arial"/>
                <w:sz w:val="16"/>
                <w:szCs w:val="16"/>
              </w:rPr>
            </w:pPr>
          </w:p>
        </w:tc>
        <w:tc>
          <w:tcPr>
            <w:tcW w:w="1387" w:type="pct"/>
            <w:gridSpan w:val="2"/>
            <w:shd w:val="clear" w:color="auto" w:fill="FFFFFF"/>
            <w:tcMar>
              <w:top w:w="110" w:type="dxa"/>
            </w:tcMar>
          </w:tcPr>
          <w:p w:rsidR="0055116C" w:rsidRPr="0055116C" w:rsidRDefault="0055116C" w:rsidP="0055116C">
            <w:pPr>
              <w:keepNext/>
              <w:keepLines/>
              <w:rPr>
                <w:rFonts w:cs="Arial"/>
                <w:sz w:val="16"/>
                <w:szCs w:val="16"/>
                <w:lang w:val="ru-RU"/>
              </w:rPr>
            </w:pPr>
            <w:r w:rsidRPr="0055116C">
              <w:rPr>
                <w:rFonts w:cs="Arial"/>
                <w:sz w:val="16"/>
                <w:szCs w:val="16"/>
                <w:lang w:val="ru-RU"/>
              </w:rPr>
              <w:t>11 рабочих документов опубликованы в 2014</w:t>
            </w:r>
            <w:r w:rsidRPr="000C6D79">
              <w:rPr>
                <w:rFonts w:cs="Arial"/>
                <w:sz w:val="16"/>
                <w:szCs w:val="16"/>
              </w:rPr>
              <w:t> </w:t>
            </w:r>
            <w:r w:rsidRPr="0055116C">
              <w:rPr>
                <w:rFonts w:cs="Arial"/>
                <w:sz w:val="16"/>
                <w:szCs w:val="16"/>
                <w:lang w:val="ru-RU"/>
              </w:rPr>
              <w:t>г.; 6</w:t>
            </w:r>
            <w:r>
              <w:rPr>
                <w:rFonts w:cs="Arial"/>
                <w:sz w:val="16"/>
                <w:szCs w:val="16"/>
              </w:rPr>
              <w:t> </w:t>
            </w:r>
            <w:r w:rsidRPr="0055116C">
              <w:rPr>
                <w:rFonts w:cs="Arial"/>
                <w:sz w:val="16"/>
                <w:szCs w:val="16"/>
                <w:lang w:val="ru-RU"/>
              </w:rPr>
              <w:t>рабочих документов опубликованы в 2015</w:t>
            </w:r>
            <w:r w:rsidRPr="000C6D79">
              <w:rPr>
                <w:rFonts w:cs="Arial"/>
                <w:sz w:val="16"/>
                <w:szCs w:val="16"/>
              </w:rPr>
              <w:t> </w:t>
            </w:r>
            <w:r w:rsidRPr="0055116C">
              <w:rPr>
                <w:rFonts w:cs="Arial"/>
                <w:sz w:val="16"/>
                <w:szCs w:val="16"/>
                <w:lang w:val="ru-RU"/>
              </w:rPr>
              <w:t>г.</w:t>
            </w:r>
          </w:p>
        </w:tc>
        <w:tc>
          <w:tcPr>
            <w:tcW w:w="582" w:type="pct"/>
            <w:shd w:val="clear" w:color="auto" w:fill="auto"/>
            <w:tcMar>
              <w:top w:w="110" w:type="dxa"/>
            </w:tcMar>
          </w:tcPr>
          <w:p w:rsidR="0055116C" w:rsidRPr="000C6D79" w:rsidRDefault="0055116C" w:rsidP="0055116C">
            <w:pPr>
              <w:keepNext/>
              <w:keepLines/>
              <w:jc w:val="center"/>
              <w:rPr>
                <w:rFonts w:cs="Arial"/>
                <w:bCs/>
                <w:color w:val="595959" w:themeColor="text1" w:themeTint="A6"/>
                <w:sz w:val="16"/>
                <w:szCs w:val="16"/>
              </w:rPr>
            </w:pPr>
            <w:r w:rsidRPr="000C6D79">
              <w:rPr>
                <w:rFonts w:cs="Arial"/>
                <w:b/>
                <w:color w:val="00B050"/>
                <w:sz w:val="16"/>
                <w:szCs w:val="16"/>
              </w:rPr>
              <w:t>Выполнено</w:t>
            </w:r>
          </w:p>
        </w:tc>
      </w:tr>
      <w:tr w:rsidR="0055116C" w:rsidRPr="000C6D79" w:rsidTr="0055116C">
        <w:trPr>
          <w:cantSplit/>
        </w:trPr>
        <w:tc>
          <w:tcPr>
            <w:tcW w:w="1060" w:type="pct"/>
            <w:shd w:val="clear" w:color="auto" w:fill="auto"/>
          </w:tcPr>
          <w:p w:rsidR="0055116C" w:rsidRPr="000C6D79" w:rsidRDefault="0055116C" w:rsidP="0055116C">
            <w:pPr>
              <w:rPr>
                <w:sz w:val="16"/>
                <w:szCs w:val="16"/>
              </w:rPr>
            </w:pPr>
            <w:r w:rsidRPr="000C6D79">
              <w:rPr>
                <w:sz w:val="16"/>
                <w:szCs w:val="16"/>
              </w:rPr>
              <w:t>Число загрузок семинаров</w:t>
            </w:r>
          </w:p>
        </w:tc>
        <w:tc>
          <w:tcPr>
            <w:tcW w:w="1199" w:type="pct"/>
            <w:shd w:val="clear" w:color="auto" w:fill="auto"/>
          </w:tcPr>
          <w:p w:rsidR="0055116C" w:rsidRPr="0055116C" w:rsidRDefault="0055116C" w:rsidP="0055116C">
            <w:pPr>
              <w:keepNext/>
              <w:keepLines/>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0C6D79">
              <w:rPr>
                <w:rFonts w:cs="Arial"/>
                <w:i/>
                <w:color w:val="002060"/>
                <w:sz w:val="16"/>
                <w:szCs w:val="16"/>
              </w:rPr>
              <w:t> </w:t>
            </w:r>
            <w:r w:rsidRPr="0055116C">
              <w:rPr>
                <w:rFonts w:cs="Arial"/>
                <w:i/>
                <w:color w:val="002060"/>
                <w:sz w:val="16"/>
                <w:szCs w:val="16"/>
                <w:lang w:val="ru-RU"/>
              </w:rPr>
              <w:t xml:space="preserve">г.: </w:t>
            </w:r>
          </w:p>
          <w:p w:rsidR="0055116C" w:rsidRPr="0055116C" w:rsidRDefault="0055116C" w:rsidP="0055116C">
            <w:pPr>
              <w:keepNext/>
              <w:keepLines/>
              <w:rPr>
                <w:rFonts w:cs="Arial"/>
                <w:color w:val="002060"/>
                <w:sz w:val="16"/>
                <w:szCs w:val="16"/>
                <w:lang w:val="ru-RU"/>
              </w:rPr>
            </w:pPr>
            <w:r w:rsidRPr="0055116C">
              <w:rPr>
                <w:rFonts w:cs="Arial"/>
                <w:color w:val="002060"/>
                <w:sz w:val="16"/>
                <w:szCs w:val="16"/>
                <w:lang w:val="ru-RU"/>
              </w:rPr>
              <w:t>Данные отсутствуют</w:t>
            </w:r>
          </w:p>
          <w:p w:rsidR="0055116C" w:rsidRPr="0055116C" w:rsidRDefault="0055116C" w:rsidP="0055116C">
            <w:pPr>
              <w:keepNext/>
              <w:keepLines/>
              <w:rPr>
                <w:rFonts w:cs="Arial"/>
                <w:i/>
                <w:sz w:val="16"/>
                <w:szCs w:val="16"/>
                <w:lang w:val="ru-RU"/>
              </w:rPr>
            </w:pPr>
          </w:p>
          <w:p w:rsidR="0055116C" w:rsidRPr="0055116C" w:rsidRDefault="0055116C" w:rsidP="0055116C">
            <w:pPr>
              <w:keepNext/>
              <w:keepLines/>
              <w:rPr>
                <w:rFonts w:cs="Arial"/>
                <w:i/>
                <w:color w:val="002060"/>
                <w:sz w:val="16"/>
                <w:szCs w:val="16"/>
                <w:lang w:val="ru-RU"/>
              </w:rPr>
            </w:pPr>
            <w:r w:rsidRPr="0055116C">
              <w:rPr>
                <w:rFonts w:cs="Arial"/>
                <w:i/>
                <w:sz w:val="16"/>
                <w:szCs w:val="16"/>
                <w:lang w:val="ru-RU"/>
              </w:rPr>
              <w:t>Исходные базовые показатели ПиБ на 2014–2015</w:t>
            </w:r>
            <w:r w:rsidRPr="000C6D79">
              <w:rPr>
                <w:rFonts w:cs="Arial"/>
                <w:i/>
                <w:sz w:val="16"/>
                <w:szCs w:val="16"/>
              </w:rPr>
              <w:t> </w:t>
            </w:r>
            <w:r w:rsidRPr="0055116C">
              <w:rPr>
                <w:rFonts w:cs="Arial"/>
                <w:i/>
                <w:sz w:val="16"/>
                <w:szCs w:val="16"/>
                <w:lang w:val="ru-RU"/>
              </w:rPr>
              <w:t xml:space="preserve">гг.: </w:t>
            </w:r>
            <w:r w:rsidRPr="0055116C">
              <w:rPr>
                <w:rFonts w:cs="Arial"/>
                <w:sz w:val="16"/>
                <w:szCs w:val="16"/>
                <w:lang w:val="ru-RU"/>
              </w:rPr>
              <w:t>будут определены в конце 2013</w:t>
            </w:r>
            <w:r w:rsidRPr="000C6D79">
              <w:rPr>
                <w:rFonts w:cs="Arial"/>
                <w:sz w:val="16"/>
                <w:szCs w:val="16"/>
              </w:rPr>
              <w:t> </w:t>
            </w:r>
            <w:r w:rsidRPr="0055116C">
              <w:rPr>
                <w:rFonts w:cs="Arial"/>
                <w:sz w:val="16"/>
                <w:szCs w:val="16"/>
                <w:lang w:val="ru-RU"/>
              </w:rPr>
              <w:t>г.</w:t>
            </w:r>
          </w:p>
        </w:tc>
        <w:tc>
          <w:tcPr>
            <w:tcW w:w="773" w:type="pct"/>
            <w:gridSpan w:val="2"/>
            <w:shd w:val="clear" w:color="auto" w:fill="auto"/>
            <w:tcMar>
              <w:top w:w="110" w:type="dxa"/>
            </w:tcMar>
          </w:tcPr>
          <w:p w:rsidR="0055116C" w:rsidRPr="0055116C" w:rsidRDefault="0055116C" w:rsidP="0055116C">
            <w:pPr>
              <w:keepNext/>
              <w:keepLines/>
              <w:autoSpaceDE w:val="0"/>
              <w:autoSpaceDN w:val="0"/>
              <w:adjustRightInd w:val="0"/>
              <w:rPr>
                <w:rFonts w:cs="Arial"/>
                <w:sz w:val="16"/>
                <w:szCs w:val="16"/>
                <w:lang w:val="ru-RU"/>
              </w:rPr>
            </w:pPr>
            <w:r w:rsidRPr="0055116C">
              <w:rPr>
                <w:rFonts w:cs="Arial"/>
                <w:sz w:val="16"/>
                <w:szCs w:val="16"/>
                <w:lang w:val="ru-RU"/>
              </w:rPr>
              <w:t>Сохранение результативности на уровне предыдущего двухлетнего периода</w:t>
            </w:r>
          </w:p>
          <w:p w:rsidR="0055116C" w:rsidRPr="0055116C" w:rsidRDefault="0055116C" w:rsidP="0055116C">
            <w:pPr>
              <w:keepNext/>
              <w:keepLines/>
              <w:autoSpaceDE w:val="0"/>
              <w:autoSpaceDN w:val="0"/>
              <w:adjustRightInd w:val="0"/>
              <w:rPr>
                <w:rFonts w:cs="Arial"/>
                <w:sz w:val="16"/>
                <w:szCs w:val="16"/>
                <w:lang w:val="ru-RU"/>
              </w:rPr>
            </w:pPr>
          </w:p>
          <w:p w:rsidR="0055116C" w:rsidRPr="0055116C" w:rsidRDefault="0055116C" w:rsidP="0055116C">
            <w:pPr>
              <w:keepNext/>
              <w:keepLines/>
              <w:autoSpaceDE w:val="0"/>
              <w:autoSpaceDN w:val="0"/>
              <w:adjustRightInd w:val="0"/>
              <w:rPr>
                <w:rFonts w:cs="Arial"/>
                <w:sz w:val="16"/>
                <w:szCs w:val="16"/>
                <w:lang w:val="ru-RU"/>
              </w:rPr>
            </w:pPr>
          </w:p>
        </w:tc>
        <w:tc>
          <w:tcPr>
            <w:tcW w:w="1387" w:type="pct"/>
            <w:gridSpan w:val="2"/>
            <w:shd w:val="clear" w:color="auto" w:fill="FFFFFF"/>
            <w:tcMar>
              <w:top w:w="110" w:type="dxa"/>
            </w:tcMar>
          </w:tcPr>
          <w:p w:rsidR="0055116C" w:rsidRPr="000C6D79" w:rsidRDefault="0055116C" w:rsidP="0055116C">
            <w:pPr>
              <w:keepNext/>
              <w:keepLines/>
              <w:rPr>
                <w:rFonts w:cs="Arial"/>
                <w:sz w:val="16"/>
                <w:szCs w:val="16"/>
              </w:rPr>
            </w:pPr>
            <w:r w:rsidRPr="000C6D79">
              <w:rPr>
                <w:rFonts w:cs="Arial"/>
                <w:sz w:val="16"/>
                <w:szCs w:val="16"/>
              </w:rPr>
              <w:t>Данные отсутствуют</w:t>
            </w:r>
          </w:p>
        </w:tc>
        <w:tc>
          <w:tcPr>
            <w:tcW w:w="582" w:type="pct"/>
            <w:shd w:val="clear" w:color="auto" w:fill="auto"/>
            <w:tcMar>
              <w:top w:w="110" w:type="dxa"/>
            </w:tcMar>
          </w:tcPr>
          <w:p w:rsidR="0055116C" w:rsidRPr="000C6D79" w:rsidRDefault="0055116C" w:rsidP="0055116C">
            <w:pPr>
              <w:keepNext/>
              <w:keepLines/>
              <w:jc w:val="center"/>
              <w:rPr>
                <w:rFonts w:cs="Arial"/>
                <w:b/>
                <w:bCs/>
                <w:color w:val="00B050"/>
                <w:sz w:val="16"/>
                <w:szCs w:val="16"/>
              </w:rPr>
            </w:pPr>
            <w:r w:rsidRPr="000C6D79">
              <w:rPr>
                <w:rFonts w:cs="Arial"/>
                <w:b/>
                <w:sz w:val="16"/>
                <w:szCs w:val="16"/>
              </w:rPr>
              <w:t>Отменено</w:t>
            </w:r>
          </w:p>
        </w:tc>
      </w:tr>
    </w:tbl>
    <w:p w:rsidR="0055116C" w:rsidRDefault="0055116C" w:rsidP="0055116C">
      <w:pPr>
        <w:jc w:val="both"/>
        <w:rPr>
          <w:bCs/>
          <w:sz w:val="22"/>
          <w:szCs w:val="22"/>
        </w:rPr>
      </w:pPr>
    </w:p>
    <w:p w:rsidR="0055116C" w:rsidRDefault="0055116C" w:rsidP="0055116C">
      <w:pPr>
        <w:jc w:val="both"/>
        <w:rPr>
          <w:bCs/>
          <w:sz w:val="22"/>
          <w:szCs w:val="22"/>
        </w:rPr>
      </w:pPr>
    </w:p>
    <w:p w:rsidR="0055116C" w:rsidRPr="0055116C" w:rsidRDefault="0055116C" w:rsidP="0055116C">
      <w:pPr>
        <w:jc w:val="both"/>
        <w:rPr>
          <w:rFonts w:cs="Arial"/>
          <w:color w:val="000000"/>
          <w:szCs w:val="22"/>
          <w:lang w:val="ru-RU"/>
        </w:rPr>
      </w:pPr>
      <w:r w:rsidRPr="0055116C">
        <w:rPr>
          <w:color w:val="000000"/>
          <w:lang w:val="ru-RU"/>
        </w:rPr>
        <w:t>ОТЧЕТ О РИСКАХ В ДВУХЛЕТНИЙ ПЕРИОД</w:t>
      </w:r>
    </w:p>
    <w:p w:rsidR="0055116C" w:rsidRPr="0055116C" w:rsidRDefault="0055116C" w:rsidP="0055116C">
      <w:pPr>
        <w:keepNext/>
        <w:keepLines/>
        <w:rPr>
          <w:lang w:val="ru-RU"/>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35"/>
        <w:gridCol w:w="2209"/>
        <w:gridCol w:w="2273"/>
        <w:gridCol w:w="2646"/>
      </w:tblGrid>
      <w:tr w:rsidR="0055116C" w:rsidTr="0055116C">
        <w:trPr>
          <w:trHeight w:val="380"/>
        </w:trPr>
        <w:tc>
          <w:tcPr>
            <w:tcW w:w="2390"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autoSpaceDE w:val="0"/>
              <w:autoSpaceDN w:val="0"/>
              <w:adjustRightInd w:val="0"/>
              <w:ind w:right="-59"/>
              <w:jc w:val="center"/>
              <w:rPr>
                <w:b/>
                <w:bCs/>
                <w:iCs/>
                <w:sz w:val="18"/>
                <w:szCs w:val="18"/>
                <w:lang w:val="ru-RU"/>
              </w:rPr>
            </w:pPr>
            <w:r w:rsidRPr="0055116C">
              <w:rPr>
                <w:b/>
                <w:sz w:val="18"/>
                <w:lang w:val="ru-RU"/>
              </w:rPr>
              <w:t>Риск (риски) того, что программа не достигнет своих результатов</w:t>
            </w:r>
          </w:p>
        </w:tc>
        <w:tc>
          <w:tcPr>
            <w:tcW w:w="2230"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autoSpaceDE w:val="0"/>
              <w:autoSpaceDN w:val="0"/>
              <w:adjustRightInd w:val="0"/>
              <w:ind w:right="-59"/>
              <w:jc w:val="center"/>
              <w:rPr>
                <w:b/>
                <w:bCs/>
                <w:iCs/>
                <w:sz w:val="18"/>
                <w:szCs w:val="18"/>
                <w:lang w:val="ru-RU"/>
              </w:rPr>
            </w:pPr>
            <w:r w:rsidRPr="0055116C">
              <w:rPr>
                <w:b/>
                <w:sz w:val="18"/>
                <w:lang w:val="ru-RU"/>
              </w:rPr>
              <w:t xml:space="preserve">Внедренные или разрабатываемые планы мер по снижению рисков </w:t>
            </w:r>
          </w:p>
        </w:tc>
        <w:tc>
          <w:tcPr>
            <w:tcW w:w="2310" w:type="dxa"/>
            <w:tcBorders>
              <w:top w:val="single" w:sz="4" w:space="0" w:color="auto"/>
              <w:bottom w:val="single" w:sz="4" w:space="0" w:color="auto"/>
            </w:tcBorders>
            <w:shd w:val="clear" w:color="auto" w:fill="C6D9F1" w:themeFill="text2" w:themeFillTint="33"/>
          </w:tcPr>
          <w:p w:rsidR="0055116C" w:rsidRPr="0055116C" w:rsidRDefault="0055116C" w:rsidP="0055116C">
            <w:pPr>
              <w:jc w:val="center"/>
              <w:rPr>
                <w:b/>
                <w:bCs/>
                <w:sz w:val="18"/>
                <w:szCs w:val="18"/>
                <w:lang w:val="ru-RU"/>
              </w:rPr>
            </w:pPr>
            <w:r w:rsidRPr="0055116C">
              <w:rPr>
                <w:b/>
                <w:sz w:val="18"/>
                <w:lang w:val="ru-RU"/>
              </w:rPr>
              <w:t>Оценка риска (рисков) и стратегии его (их) смягчения в двухлетний период</w:t>
            </w:r>
          </w:p>
        </w:tc>
        <w:tc>
          <w:tcPr>
            <w:tcW w:w="2709" w:type="dxa"/>
            <w:tcBorders>
              <w:top w:val="single" w:sz="4" w:space="0" w:color="auto"/>
              <w:bottom w:val="single" w:sz="4" w:space="0" w:color="auto"/>
            </w:tcBorders>
            <w:shd w:val="clear" w:color="auto" w:fill="C6D9F1" w:themeFill="text2" w:themeFillTint="33"/>
          </w:tcPr>
          <w:p w:rsidR="0055116C" w:rsidRPr="003C527B" w:rsidRDefault="0055116C" w:rsidP="0055116C">
            <w:pPr>
              <w:jc w:val="center"/>
              <w:rPr>
                <w:b/>
                <w:bCs/>
                <w:sz w:val="18"/>
                <w:szCs w:val="18"/>
              </w:rPr>
            </w:pPr>
            <w:r>
              <w:rPr>
                <w:b/>
                <w:sz w:val="18"/>
              </w:rPr>
              <w:t>Влияние на реализацию программы</w:t>
            </w:r>
          </w:p>
        </w:tc>
      </w:tr>
      <w:tr w:rsidR="0055116C" w:rsidRPr="005C6ABD" w:rsidTr="0055116C">
        <w:trPr>
          <w:trHeight w:val="789"/>
        </w:trPr>
        <w:tc>
          <w:tcPr>
            <w:tcW w:w="2390" w:type="dxa"/>
            <w:tcBorders>
              <w:top w:val="single" w:sz="4" w:space="0" w:color="auto"/>
            </w:tcBorders>
            <w:shd w:val="clear" w:color="auto" w:fill="auto"/>
            <w:tcMar>
              <w:top w:w="113" w:type="dxa"/>
              <w:bottom w:w="85" w:type="dxa"/>
            </w:tcMar>
          </w:tcPr>
          <w:p w:rsidR="0055116C" w:rsidRPr="0055116C" w:rsidRDefault="0055116C" w:rsidP="0055116C">
            <w:pPr>
              <w:autoSpaceDE w:val="0"/>
              <w:autoSpaceDN w:val="0"/>
              <w:adjustRightInd w:val="0"/>
              <w:ind w:right="-59"/>
              <w:rPr>
                <w:sz w:val="16"/>
                <w:szCs w:val="16"/>
                <w:lang w:val="ru-RU"/>
              </w:rPr>
            </w:pPr>
            <w:r w:rsidRPr="0055116C">
              <w:rPr>
                <w:sz w:val="16"/>
                <w:lang w:val="ru-RU"/>
              </w:rPr>
              <w:t>Государства-члены не имеют возможности проходить статистические опросы ВОИС или проходят их с задержкой.</w:t>
            </w:r>
          </w:p>
        </w:tc>
        <w:tc>
          <w:tcPr>
            <w:tcW w:w="2230" w:type="dxa"/>
            <w:tcBorders>
              <w:top w:val="single" w:sz="4" w:space="0" w:color="auto"/>
            </w:tcBorders>
            <w:shd w:val="clear" w:color="auto" w:fill="auto"/>
            <w:tcMar>
              <w:top w:w="113" w:type="dxa"/>
              <w:bottom w:w="85" w:type="dxa"/>
            </w:tcMar>
          </w:tcPr>
          <w:p w:rsidR="0055116C" w:rsidRPr="0055116C" w:rsidRDefault="0055116C" w:rsidP="0055116C">
            <w:pPr>
              <w:autoSpaceDE w:val="0"/>
              <w:autoSpaceDN w:val="0"/>
              <w:adjustRightInd w:val="0"/>
              <w:ind w:right="-59"/>
              <w:rPr>
                <w:sz w:val="16"/>
                <w:szCs w:val="16"/>
                <w:lang w:val="ru-RU"/>
              </w:rPr>
            </w:pPr>
            <w:r w:rsidRPr="0055116C">
              <w:rPr>
                <w:sz w:val="16"/>
                <w:lang w:val="ru-RU"/>
              </w:rPr>
              <w:t>Статистические опросники будут рассылаться в начале года (до февраля); в интересах последующего взаимодействия будет составляться перечень контактных лиц, отвечающих за вопросы статистики в национальных ведомствах по ИС; для осуществления последующего взаимодействия будут выделяться достаточные кадровые ресурсы.</w:t>
            </w:r>
          </w:p>
        </w:tc>
        <w:tc>
          <w:tcPr>
            <w:tcW w:w="2310" w:type="dxa"/>
            <w:tcBorders>
              <w:top w:val="single" w:sz="4" w:space="0" w:color="auto"/>
            </w:tcBorders>
          </w:tcPr>
          <w:p w:rsidR="0055116C" w:rsidRPr="0055116C" w:rsidRDefault="0055116C" w:rsidP="0055116C">
            <w:pPr>
              <w:autoSpaceDE w:val="0"/>
              <w:autoSpaceDN w:val="0"/>
              <w:adjustRightInd w:val="0"/>
              <w:ind w:right="-59"/>
              <w:rPr>
                <w:bCs/>
                <w:sz w:val="16"/>
                <w:szCs w:val="16"/>
                <w:lang w:val="ru-RU"/>
              </w:rPr>
            </w:pPr>
            <w:r w:rsidRPr="0055116C">
              <w:rPr>
                <w:sz w:val="16"/>
                <w:lang w:val="ru-RU"/>
              </w:rPr>
              <w:t xml:space="preserve">Это постоянный риск, смягчение и управление которым осуществляется посредством соответствующих целевых планов по снижению риска.  В результате в ходе рассматриваемого двухлетнего периода охват статистического опросника по ИС увеличился. </w:t>
            </w:r>
          </w:p>
        </w:tc>
        <w:tc>
          <w:tcPr>
            <w:tcW w:w="2709" w:type="dxa"/>
            <w:tcBorders>
              <w:top w:val="single" w:sz="4" w:space="0" w:color="auto"/>
            </w:tcBorders>
          </w:tcPr>
          <w:p w:rsidR="0055116C" w:rsidRPr="0055116C" w:rsidRDefault="0055116C" w:rsidP="0055116C">
            <w:pPr>
              <w:autoSpaceDE w:val="0"/>
              <w:autoSpaceDN w:val="0"/>
              <w:adjustRightInd w:val="0"/>
              <w:ind w:right="-59"/>
              <w:rPr>
                <w:bCs/>
                <w:sz w:val="16"/>
                <w:szCs w:val="16"/>
                <w:lang w:val="ru-RU"/>
              </w:rPr>
            </w:pPr>
            <w:r w:rsidRPr="0055116C">
              <w:rPr>
                <w:sz w:val="16"/>
                <w:lang w:val="ru-RU"/>
              </w:rPr>
              <w:t>Лишь в нескольких случаях статистические данные были предоставлены с задержкой, но это не оказало существенного влияния на ключевые статистические продукты в рамках программы.</w:t>
            </w:r>
          </w:p>
        </w:tc>
      </w:tr>
      <w:tr w:rsidR="0055116C" w:rsidRPr="005C6ABD" w:rsidTr="0055116C">
        <w:trPr>
          <w:trHeight w:val="1059"/>
        </w:trPr>
        <w:tc>
          <w:tcPr>
            <w:tcW w:w="2390" w:type="dxa"/>
            <w:shd w:val="clear" w:color="auto" w:fill="auto"/>
            <w:tcMar>
              <w:top w:w="113" w:type="dxa"/>
              <w:bottom w:w="85" w:type="dxa"/>
            </w:tcMar>
          </w:tcPr>
          <w:p w:rsidR="0055116C" w:rsidRPr="0055116C" w:rsidRDefault="0055116C" w:rsidP="0055116C">
            <w:pPr>
              <w:autoSpaceDE w:val="0"/>
              <w:autoSpaceDN w:val="0"/>
              <w:adjustRightInd w:val="0"/>
              <w:ind w:right="-59"/>
              <w:rPr>
                <w:bCs/>
                <w:sz w:val="16"/>
                <w:szCs w:val="16"/>
                <w:lang w:val="ru-RU"/>
              </w:rPr>
            </w:pPr>
            <w:r w:rsidRPr="0055116C">
              <w:rPr>
                <w:sz w:val="16"/>
                <w:lang w:val="ru-RU"/>
              </w:rPr>
              <w:t>Публикации ВОИС содержат неверные статистические данные или отражают аналитические ошибки</w:t>
            </w:r>
          </w:p>
        </w:tc>
        <w:tc>
          <w:tcPr>
            <w:tcW w:w="2230" w:type="dxa"/>
            <w:shd w:val="clear" w:color="auto" w:fill="auto"/>
            <w:tcMar>
              <w:top w:w="113" w:type="dxa"/>
              <w:bottom w:w="85" w:type="dxa"/>
            </w:tcMar>
          </w:tcPr>
          <w:p w:rsidR="0055116C" w:rsidRPr="0055116C" w:rsidRDefault="0055116C" w:rsidP="0055116C">
            <w:pPr>
              <w:autoSpaceDE w:val="0"/>
              <w:autoSpaceDN w:val="0"/>
              <w:adjustRightInd w:val="0"/>
              <w:ind w:right="-59"/>
              <w:rPr>
                <w:bCs/>
                <w:sz w:val="16"/>
                <w:szCs w:val="16"/>
                <w:lang w:val="ru-RU"/>
              </w:rPr>
            </w:pPr>
            <w:r w:rsidRPr="0055116C">
              <w:rPr>
                <w:sz w:val="16"/>
                <w:lang w:val="ru-RU"/>
              </w:rPr>
              <w:t>Внедряются механизмы контроля, которые позволяют находить неточности, допущенные при сборе статистической информации об ИС; все статистические публикации тщательно проверяются экспертами в области статистики и ответственными секторами ВОИС; все аналитические публикации проверяются внешними экспертами.</w:t>
            </w:r>
          </w:p>
        </w:tc>
        <w:tc>
          <w:tcPr>
            <w:tcW w:w="2310" w:type="dxa"/>
          </w:tcPr>
          <w:p w:rsidR="0055116C" w:rsidRPr="0055116C" w:rsidRDefault="0055116C" w:rsidP="0055116C">
            <w:pPr>
              <w:autoSpaceDE w:val="0"/>
              <w:autoSpaceDN w:val="0"/>
              <w:adjustRightInd w:val="0"/>
              <w:ind w:right="-59"/>
              <w:rPr>
                <w:bCs/>
                <w:sz w:val="16"/>
                <w:szCs w:val="16"/>
                <w:lang w:val="ru-RU"/>
              </w:rPr>
            </w:pPr>
            <w:r w:rsidRPr="0055116C">
              <w:rPr>
                <w:sz w:val="16"/>
                <w:lang w:val="ru-RU"/>
              </w:rPr>
              <w:t>Это еще один постоянно присутствующий при реализации программы риск. Управление им осуществляется посредством действующих планов по снижению риска, которые позволили в рассматриваемый двухлетний период выявить трудности, связанные с качеством данных (неточности), и устранить их, проведя работу с соответствующими государствами-членами.</w:t>
            </w:r>
          </w:p>
        </w:tc>
        <w:tc>
          <w:tcPr>
            <w:tcW w:w="2709" w:type="dxa"/>
          </w:tcPr>
          <w:p w:rsidR="0055116C" w:rsidRPr="0055116C" w:rsidRDefault="0055116C" w:rsidP="0055116C">
            <w:pPr>
              <w:autoSpaceDE w:val="0"/>
              <w:autoSpaceDN w:val="0"/>
              <w:adjustRightInd w:val="0"/>
              <w:ind w:right="-59"/>
              <w:rPr>
                <w:bCs/>
                <w:sz w:val="16"/>
                <w:szCs w:val="16"/>
                <w:lang w:val="ru-RU"/>
              </w:rPr>
            </w:pPr>
            <w:r w:rsidRPr="0055116C">
              <w:rPr>
                <w:sz w:val="16"/>
                <w:lang w:val="ru-RU"/>
              </w:rPr>
              <w:t>Задержки/ошибки при предоставлении данных стали причиной увеличения объема работы внутри Организации, но не стали причиной задержек или снижения качества публикаций.</w:t>
            </w:r>
          </w:p>
          <w:p w:rsidR="0055116C" w:rsidRPr="0055116C" w:rsidRDefault="0055116C" w:rsidP="0055116C">
            <w:pPr>
              <w:autoSpaceDE w:val="0"/>
              <w:autoSpaceDN w:val="0"/>
              <w:adjustRightInd w:val="0"/>
              <w:ind w:right="-59"/>
              <w:rPr>
                <w:bCs/>
                <w:sz w:val="16"/>
                <w:szCs w:val="16"/>
                <w:lang w:val="ru-RU"/>
              </w:rPr>
            </w:pPr>
          </w:p>
        </w:tc>
      </w:tr>
    </w:tbl>
    <w:p w:rsidR="0055116C" w:rsidRPr="0055116C" w:rsidRDefault="0055116C" w:rsidP="0055116C">
      <w:pPr>
        <w:rPr>
          <w:rFonts w:cs="Arial"/>
          <w:color w:val="000000"/>
          <w:sz w:val="22"/>
          <w:szCs w:val="22"/>
          <w:lang w:val="ru-RU"/>
        </w:rPr>
      </w:pPr>
    </w:p>
    <w:p w:rsidR="0055116C" w:rsidRPr="0055116C" w:rsidRDefault="0055116C" w:rsidP="0055116C">
      <w:pPr>
        <w:rPr>
          <w:rFonts w:cs="Arial"/>
          <w:color w:val="000000"/>
          <w:sz w:val="22"/>
          <w:szCs w:val="22"/>
          <w:lang w:val="ru-RU"/>
        </w:rPr>
      </w:pPr>
    </w:p>
    <w:p w:rsidR="0055116C" w:rsidRPr="0055116C" w:rsidRDefault="0055116C" w:rsidP="0055116C">
      <w:pPr>
        <w:keepNext/>
        <w:keepLines/>
        <w:spacing w:after="200"/>
        <w:rPr>
          <w:rFonts w:cs="Arial"/>
          <w:color w:val="000000"/>
          <w:szCs w:val="22"/>
          <w:lang w:val="ru-RU"/>
        </w:rPr>
      </w:pPr>
      <w:r w:rsidRPr="0055116C">
        <w:rPr>
          <w:color w:val="000000"/>
          <w:lang w:val="ru-RU"/>
        </w:rPr>
        <w:t>ИСПОЛЬЗОВАНИЕ РЕСУРСОВ</w:t>
      </w:r>
    </w:p>
    <w:p w:rsidR="0055116C" w:rsidRPr="0055116C" w:rsidRDefault="0055116C" w:rsidP="0055116C">
      <w:pPr>
        <w:pStyle w:val="NormalWeb"/>
        <w:keepNext/>
        <w:keepLines/>
        <w:spacing w:before="0" w:beforeAutospacing="0" w:after="0" w:afterAutospacing="0"/>
        <w:jc w:val="center"/>
        <w:rPr>
          <w:color w:val="000000"/>
          <w:sz w:val="20"/>
          <w:szCs w:val="20"/>
          <w:lang w:val="ru-RU"/>
        </w:rPr>
      </w:pPr>
    </w:p>
    <w:p w:rsidR="0055116C" w:rsidRPr="0055116C" w:rsidRDefault="0055116C" w:rsidP="0055116C">
      <w:pPr>
        <w:pStyle w:val="NormalWeb"/>
        <w:keepNext/>
        <w:keepLines/>
        <w:spacing w:before="0" w:beforeAutospacing="0" w:after="0" w:afterAutospacing="0"/>
        <w:jc w:val="center"/>
        <w:rPr>
          <w:sz w:val="20"/>
          <w:szCs w:val="20"/>
          <w:lang w:val="ru-RU"/>
        </w:rPr>
      </w:pPr>
      <w:r w:rsidRPr="0055116C">
        <w:rPr>
          <w:color w:val="000000"/>
          <w:sz w:val="20"/>
          <w:lang w:val="ru-RU"/>
        </w:rPr>
        <w:t>Бюджет и фактические расходы (в разбивке по результатам)</w:t>
      </w:r>
    </w:p>
    <w:p w:rsidR="0055116C" w:rsidRDefault="0055116C" w:rsidP="0055116C">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55116C" w:rsidRDefault="0055116C" w:rsidP="0055116C">
      <w:pPr>
        <w:keepNext/>
        <w:keepLines/>
        <w:jc w:val="both"/>
      </w:pPr>
    </w:p>
    <w:p w:rsidR="0055116C" w:rsidRDefault="0055116C" w:rsidP="0055116C">
      <w:pPr>
        <w:jc w:val="center"/>
      </w:pPr>
      <w:r>
        <w:rPr>
          <w:noProof/>
        </w:rPr>
        <w:drawing>
          <wp:inline distT="0" distB="0" distL="0" distR="0" wp14:anchorId="28556C88" wp14:editId="703163C3">
            <wp:extent cx="6151880" cy="1669323"/>
            <wp:effectExtent l="0" t="0" r="1270" b="762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151880" cy="1669323"/>
                    </a:xfrm>
                    <a:prstGeom prst="rect">
                      <a:avLst/>
                    </a:prstGeom>
                    <a:noFill/>
                    <a:ln>
                      <a:noFill/>
                    </a:ln>
                  </pic:spPr>
                </pic:pic>
              </a:graphicData>
            </a:graphic>
          </wp:inline>
        </w:drawing>
      </w:r>
    </w:p>
    <w:p w:rsidR="0055116C" w:rsidRDefault="0055116C" w:rsidP="0055116C">
      <w:pPr>
        <w:pStyle w:val="NormalWeb"/>
        <w:keepNext/>
        <w:keepLines/>
        <w:spacing w:before="0" w:beforeAutospacing="0" w:after="0" w:afterAutospacing="0"/>
        <w:rPr>
          <w:color w:val="000000"/>
          <w:sz w:val="20"/>
          <w:szCs w:val="20"/>
        </w:rPr>
      </w:pPr>
    </w:p>
    <w:p w:rsidR="0055116C" w:rsidRDefault="0055116C" w:rsidP="0055116C">
      <w:pPr>
        <w:pStyle w:val="NormalWeb"/>
        <w:keepNext/>
        <w:keepLines/>
        <w:spacing w:before="0" w:beforeAutospacing="0" w:after="0" w:afterAutospacing="0"/>
        <w:jc w:val="center"/>
        <w:rPr>
          <w:color w:val="000000"/>
          <w:sz w:val="20"/>
          <w:szCs w:val="20"/>
        </w:rPr>
      </w:pPr>
    </w:p>
    <w:p w:rsidR="0055116C" w:rsidRPr="0055116C" w:rsidRDefault="0055116C" w:rsidP="0055116C">
      <w:pPr>
        <w:pStyle w:val="NormalWeb"/>
        <w:keepNext/>
        <w:keepLines/>
        <w:spacing w:before="0" w:beforeAutospacing="0" w:after="0" w:afterAutospacing="0"/>
        <w:jc w:val="center"/>
        <w:rPr>
          <w:sz w:val="20"/>
          <w:szCs w:val="20"/>
          <w:lang w:val="ru-RU"/>
        </w:rPr>
      </w:pPr>
      <w:r w:rsidRPr="0055116C">
        <w:rPr>
          <w:color w:val="000000"/>
          <w:sz w:val="20"/>
          <w:lang w:val="ru-RU"/>
        </w:rPr>
        <w:t>Бюджет и фактические расходы (по персоналу и не связанные с персоналом)</w:t>
      </w:r>
    </w:p>
    <w:p w:rsidR="0055116C" w:rsidRPr="00383D2D" w:rsidRDefault="0055116C" w:rsidP="0055116C">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55116C" w:rsidRDefault="0055116C" w:rsidP="0055116C">
      <w:pPr>
        <w:pStyle w:val="NormalWeb"/>
        <w:keepNext/>
        <w:keepLines/>
        <w:spacing w:before="0" w:beforeAutospacing="0" w:after="0" w:afterAutospacing="0"/>
        <w:jc w:val="both"/>
      </w:pPr>
    </w:p>
    <w:p w:rsidR="0055116C" w:rsidRDefault="0055116C" w:rsidP="0055116C">
      <w:pPr>
        <w:widowControl w:val="0"/>
        <w:autoSpaceDE w:val="0"/>
        <w:autoSpaceDN w:val="0"/>
        <w:adjustRightInd w:val="0"/>
        <w:jc w:val="center"/>
        <w:rPr>
          <w:rFonts w:cs="Arial"/>
          <w:szCs w:val="20"/>
        </w:rPr>
      </w:pPr>
      <w:r>
        <w:rPr>
          <w:rFonts w:cs="Arial"/>
          <w:noProof/>
          <w:szCs w:val="20"/>
        </w:rPr>
        <w:drawing>
          <wp:inline distT="0" distB="0" distL="0" distR="0" wp14:anchorId="31CD1F2F" wp14:editId="253224C5">
            <wp:extent cx="6151880" cy="1292052"/>
            <wp:effectExtent l="0" t="0" r="1270" b="381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151880" cy="1292052"/>
                    </a:xfrm>
                    <a:prstGeom prst="rect">
                      <a:avLst/>
                    </a:prstGeom>
                    <a:noFill/>
                    <a:ln>
                      <a:noFill/>
                    </a:ln>
                  </pic:spPr>
                </pic:pic>
              </a:graphicData>
            </a:graphic>
          </wp:inline>
        </w:drawing>
      </w:r>
    </w:p>
    <w:p w:rsidR="0055116C" w:rsidRDefault="0055116C" w:rsidP="0055116C">
      <w:pPr>
        <w:widowControl w:val="0"/>
        <w:autoSpaceDE w:val="0"/>
        <w:autoSpaceDN w:val="0"/>
        <w:adjustRightInd w:val="0"/>
        <w:jc w:val="both"/>
        <w:rPr>
          <w:rFonts w:cs="Arial"/>
          <w:szCs w:val="20"/>
        </w:rPr>
      </w:pPr>
    </w:p>
    <w:p w:rsidR="0055116C" w:rsidRPr="001C6F4D" w:rsidRDefault="0055116C" w:rsidP="0055116C">
      <w:pPr>
        <w:widowControl w:val="0"/>
        <w:autoSpaceDE w:val="0"/>
        <w:autoSpaceDN w:val="0"/>
        <w:adjustRightInd w:val="0"/>
        <w:jc w:val="both"/>
        <w:rPr>
          <w:rFonts w:cs="Arial"/>
          <w:szCs w:val="20"/>
        </w:rPr>
      </w:pPr>
    </w:p>
    <w:p w:rsidR="0055116C" w:rsidRPr="0055116C" w:rsidRDefault="0055116C" w:rsidP="0055116C">
      <w:pPr>
        <w:jc w:val="both"/>
        <w:rPr>
          <w:rFonts w:cs="Arial"/>
          <w:u w:val="single"/>
          <w:lang w:val="ru-RU"/>
        </w:rPr>
      </w:pPr>
      <w:r>
        <w:t>A</w:t>
      </w:r>
      <w:r w:rsidRPr="0055116C">
        <w:rPr>
          <w:lang w:val="ru-RU"/>
        </w:rPr>
        <w:t>.</w:t>
      </w:r>
      <w:r w:rsidRPr="0055116C">
        <w:rPr>
          <w:lang w:val="ru-RU"/>
        </w:rPr>
        <w:tab/>
      </w:r>
      <w:r w:rsidRPr="0055116C">
        <w:rPr>
          <w:u w:val="single"/>
          <w:lang w:val="ru-RU"/>
        </w:rPr>
        <w:t>Итоговый бюджет на 2014–2015</w:t>
      </w:r>
      <w:r>
        <w:rPr>
          <w:u w:val="single"/>
        </w:rPr>
        <w:t> </w:t>
      </w:r>
      <w:r w:rsidRPr="0055116C">
        <w:rPr>
          <w:u w:val="single"/>
          <w:lang w:val="ru-RU"/>
        </w:rPr>
        <w:t xml:space="preserve">гг. после перераспределения средств </w:t>
      </w:r>
    </w:p>
    <w:p w:rsidR="0055116C" w:rsidRPr="0055116C" w:rsidRDefault="0055116C" w:rsidP="0055116C">
      <w:pPr>
        <w:autoSpaceDE w:val="0"/>
        <w:autoSpaceDN w:val="0"/>
        <w:jc w:val="both"/>
        <w:rPr>
          <w:rFonts w:cs="Arial"/>
          <w:szCs w:val="20"/>
          <w:lang w:val="ru-RU"/>
        </w:rPr>
      </w:pPr>
    </w:p>
    <w:p w:rsidR="0055116C" w:rsidRPr="0055116C" w:rsidRDefault="0055116C" w:rsidP="0055116C">
      <w:pPr>
        <w:pStyle w:val="ListParagraph"/>
        <w:numPr>
          <w:ilvl w:val="0"/>
          <w:numId w:val="17"/>
        </w:numPr>
        <w:tabs>
          <w:tab w:val="left" w:pos="709"/>
        </w:tabs>
        <w:ind w:left="0" w:firstLine="0"/>
        <w:jc w:val="both"/>
        <w:rPr>
          <w:rFonts w:cs="Arial"/>
          <w:lang w:val="ru-RU"/>
        </w:rPr>
      </w:pPr>
      <w:r w:rsidRPr="0055116C">
        <w:rPr>
          <w:lang w:val="ru-RU"/>
        </w:rPr>
        <w:t>Небольшое общее увеличение ресурсов, связанных с персоналом, было обусловлено добавлением двух должностей для анализа данных и проведения исследования по творческим отраслям.  Это увеличение было частично компенсировано корректировкой бюджета на Проект ПДР «ИС и социально-экономическое развитие» после утверждения второй фазы проекта на четырнадцатой сессии КРИС (</w:t>
      </w:r>
      <w:r>
        <w:t>CDIP</w:t>
      </w:r>
      <w:r w:rsidRPr="0055116C">
        <w:rPr>
          <w:lang w:val="ru-RU"/>
        </w:rPr>
        <w:t>/14/7).</w:t>
      </w:r>
    </w:p>
    <w:p w:rsidR="0055116C" w:rsidRPr="0055116C" w:rsidRDefault="0055116C" w:rsidP="0055116C">
      <w:pPr>
        <w:autoSpaceDE w:val="0"/>
        <w:autoSpaceDN w:val="0"/>
        <w:jc w:val="both"/>
        <w:rPr>
          <w:rFonts w:cs="Arial"/>
          <w:szCs w:val="20"/>
          <w:lang w:val="ru-RU"/>
        </w:rPr>
      </w:pPr>
    </w:p>
    <w:p w:rsidR="0055116C" w:rsidRPr="0055116C" w:rsidRDefault="0055116C" w:rsidP="0055116C">
      <w:pPr>
        <w:pStyle w:val="ListParagraph"/>
        <w:numPr>
          <w:ilvl w:val="0"/>
          <w:numId w:val="17"/>
        </w:numPr>
        <w:tabs>
          <w:tab w:val="left" w:pos="709"/>
        </w:tabs>
        <w:ind w:left="0" w:firstLine="0"/>
        <w:jc w:val="both"/>
        <w:rPr>
          <w:rFonts w:cs="Arial"/>
          <w:lang w:val="ru-RU"/>
        </w:rPr>
      </w:pPr>
      <w:r w:rsidRPr="0055116C">
        <w:rPr>
          <w:lang w:val="ru-RU"/>
        </w:rPr>
        <w:t>Общее сокращение объема ресурсов, не связанных с персоналом, обусловлено следующими причинами: (</w:t>
      </w:r>
      <w:r>
        <w:t>i</w:t>
      </w:r>
      <w:r w:rsidRPr="0055116C">
        <w:rPr>
          <w:lang w:val="ru-RU"/>
        </w:rPr>
        <w:t>)</w:t>
      </w:r>
      <w:r>
        <w:t> </w:t>
      </w:r>
      <w:r w:rsidRPr="0055116C">
        <w:rPr>
          <w:lang w:val="ru-RU"/>
        </w:rPr>
        <w:t>корректировка бюджета на реализацию Проекта ПДР «ИС и социально-экономическое развитие»; и (</w:t>
      </w:r>
      <w:r>
        <w:t>ii</w:t>
      </w:r>
      <w:r w:rsidRPr="0055116C">
        <w:rPr>
          <w:lang w:val="ru-RU"/>
        </w:rPr>
        <w:t>)</w:t>
      </w:r>
      <w:r>
        <w:t> </w:t>
      </w:r>
      <w:r w:rsidRPr="0055116C">
        <w:rPr>
          <w:lang w:val="ru-RU"/>
        </w:rPr>
        <w:t xml:space="preserve">перераспределение ресурсов, не связанных с персоналом, в пользу стажировок в программу 23 (ОУЛР) в целях содействия работе по программе. Это снижение было частично компенсировано увеличением объема ресурсов, не связанных с персоналом, на проведение рекламных мероприятий в связи с Докладом о положении в области ИС в мире и Глобальным индексом инноваций, а также на заказ специального исследования об эластичности числа заявок по размеру пошлины в рамках Мадридской системы.  </w:t>
      </w:r>
    </w:p>
    <w:p w:rsidR="0055116C" w:rsidRPr="0055116C" w:rsidRDefault="0055116C" w:rsidP="0055116C">
      <w:pPr>
        <w:autoSpaceDE w:val="0"/>
        <w:autoSpaceDN w:val="0"/>
        <w:jc w:val="both"/>
        <w:rPr>
          <w:rFonts w:cs="Arial"/>
          <w:szCs w:val="20"/>
          <w:lang w:val="ru-RU"/>
        </w:rPr>
      </w:pPr>
    </w:p>
    <w:p w:rsidR="0055116C" w:rsidRPr="0055116C" w:rsidRDefault="0055116C" w:rsidP="0055116C">
      <w:pPr>
        <w:autoSpaceDE w:val="0"/>
        <w:autoSpaceDN w:val="0"/>
        <w:jc w:val="both"/>
        <w:rPr>
          <w:rFonts w:cs="Arial"/>
          <w:szCs w:val="20"/>
          <w:lang w:val="ru-RU"/>
        </w:rPr>
      </w:pPr>
    </w:p>
    <w:p w:rsidR="0055116C" w:rsidRPr="0055116C" w:rsidRDefault="0055116C" w:rsidP="0055116C">
      <w:pPr>
        <w:jc w:val="both"/>
        <w:rPr>
          <w:rFonts w:cs="Arial"/>
          <w:szCs w:val="20"/>
          <w:u w:val="single"/>
          <w:lang w:val="ru-RU"/>
        </w:rPr>
      </w:pPr>
      <w:r>
        <w:t>B</w:t>
      </w:r>
      <w:r w:rsidRPr="0055116C">
        <w:rPr>
          <w:lang w:val="ru-RU"/>
        </w:rPr>
        <w:t>.</w:t>
      </w:r>
      <w:r w:rsidRPr="0055116C">
        <w:rPr>
          <w:lang w:val="ru-RU"/>
        </w:rPr>
        <w:tab/>
      </w:r>
      <w:r w:rsidRPr="0055116C">
        <w:rPr>
          <w:u w:val="single"/>
          <w:lang w:val="ru-RU"/>
        </w:rPr>
        <w:t xml:space="preserve">Освоение бюджетных средств в 2014–2015 гг. </w:t>
      </w:r>
    </w:p>
    <w:p w:rsidR="0055116C" w:rsidRPr="0055116C" w:rsidRDefault="0055116C" w:rsidP="0055116C">
      <w:pPr>
        <w:tabs>
          <w:tab w:val="left" w:pos="709"/>
        </w:tabs>
        <w:jc w:val="both"/>
        <w:rPr>
          <w:rFonts w:cs="Arial"/>
          <w:szCs w:val="20"/>
          <w:u w:val="single"/>
          <w:lang w:val="ru-RU"/>
        </w:rPr>
      </w:pPr>
    </w:p>
    <w:p w:rsidR="00E16443" w:rsidRPr="0055116C" w:rsidRDefault="0055116C" w:rsidP="0055116C">
      <w:pPr>
        <w:pStyle w:val="ListParagraph"/>
        <w:numPr>
          <w:ilvl w:val="0"/>
          <w:numId w:val="17"/>
        </w:numPr>
        <w:tabs>
          <w:tab w:val="left" w:pos="709"/>
        </w:tabs>
        <w:ind w:left="0" w:firstLine="0"/>
        <w:jc w:val="both"/>
        <w:rPr>
          <w:rFonts w:cs="Arial"/>
          <w:u w:val="single"/>
          <w:lang w:val="ru-RU" w:eastAsia="ko-KR"/>
        </w:rPr>
      </w:pPr>
      <w:r w:rsidRPr="0055116C">
        <w:rPr>
          <w:lang w:val="ru-RU"/>
        </w:rPr>
        <w:t>Освоение бюджетных средств, не связанных с персоналом, на 82% объясняется в первую очередь промедлением в назначении сотрудников для (</w:t>
      </w:r>
      <w:r>
        <w:t>i</w:t>
      </w:r>
      <w:r w:rsidRPr="0055116C">
        <w:rPr>
          <w:lang w:val="ru-RU"/>
        </w:rPr>
        <w:t>)</w:t>
      </w:r>
      <w:r>
        <w:t> </w:t>
      </w:r>
      <w:r w:rsidRPr="0055116C">
        <w:rPr>
          <w:lang w:val="ru-RU"/>
        </w:rPr>
        <w:t>Проекта ПДР по ИС и социально-экономическому развитию и (</w:t>
      </w:r>
      <w:r>
        <w:t>ii</w:t>
      </w:r>
      <w:r w:rsidRPr="0055116C">
        <w:rPr>
          <w:lang w:val="ru-RU"/>
        </w:rPr>
        <w:t>)</w:t>
      </w:r>
      <w:r>
        <w:t> </w:t>
      </w:r>
      <w:r w:rsidRPr="0055116C">
        <w:rPr>
          <w:lang w:val="ru-RU"/>
        </w:rPr>
        <w:t xml:space="preserve">исследовательской программы, посвященной творческим отраслям, что стало причиной задержек в осуществлении связанной с этими проектами деятельности. </w:t>
      </w:r>
      <w:r w:rsidR="00E16443" w:rsidRPr="0055116C">
        <w:rPr>
          <w:rFonts w:cs="Arial"/>
          <w:lang w:val="ru-RU"/>
        </w:rPr>
        <w:t xml:space="preserve"> </w:t>
      </w:r>
    </w:p>
    <w:p w:rsidR="00A8525E" w:rsidRPr="0055116C" w:rsidRDefault="00A8525E" w:rsidP="00981E14">
      <w:pPr>
        <w:jc w:val="both"/>
        <w:rPr>
          <w:szCs w:val="20"/>
          <w:lang w:val="ru-RU"/>
        </w:rPr>
      </w:pPr>
    </w:p>
    <w:p w:rsidR="000B01ED" w:rsidRPr="0055116C" w:rsidRDefault="000B01ED" w:rsidP="00981E14">
      <w:pPr>
        <w:jc w:val="both"/>
        <w:rPr>
          <w:szCs w:val="20"/>
          <w:lang w:val="ru-RU"/>
        </w:rPr>
      </w:pPr>
    </w:p>
    <w:p w:rsidR="000B01ED" w:rsidRPr="0055116C" w:rsidRDefault="000B01ED">
      <w:pPr>
        <w:rPr>
          <w:szCs w:val="20"/>
          <w:lang w:val="ru-RU"/>
        </w:rPr>
      </w:pPr>
      <w:r w:rsidRPr="0055116C">
        <w:rPr>
          <w:szCs w:val="20"/>
          <w:lang w:val="ru-RU"/>
        </w:rPr>
        <w:br w:type="page"/>
      </w:r>
    </w:p>
    <w:p w:rsidR="00DA7475" w:rsidRPr="0055116C" w:rsidRDefault="00DA7475">
      <w:pPr>
        <w:rPr>
          <w:lang w:val="ru-RU"/>
        </w:rPr>
      </w:pPr>
    </w:p>
    <w:p w:rsidR="00DA7475" w:rsidRPr="00103107" w:rsidRDefault="00103107" w:rsidP="00C1753F">
      <w:pPr>
        <w:pStyle w:val="StyleHeading214ptAuto"/>
        <w:rPr>
          <w:rFonts w:ascii="Arial" w:hAnsi="Arial" w:cs="Arial"/>
          <w:sz w:val="20"/>
          <w:szCs w:val="20"/>
          <w:lang w:val="ru-RU"/>
        </w:rPr>
      </w:pPr>
      <w:bookmarkStart w:id="105" w:name="_Toc455388126"/>
      <w:bookmarkStart w:id="106" w:name="_Toc367350594"/>
      <w:r>
        <w:rPr>
          <w:rFonts w:ascii="Arial" w:hAnsi="Arial" w:cs="Arial"/>
          <w:sz w:val="20"/>
          <w:szCs w:val="20"/>
          <w:lang w:val="ru-RU"/>
        </w:rPr>
        <w:t>стратегическая цель</w:t>
      </w:r>
      <w:r w:rsidR="00DA7475" w:rsidRPr="00103107">
        <w:rPr>
          <w:rFonts w:ascii="Arial" w:hAnsi="Arial" w:cs="Arial"/>
          <w:sz w:val="20"/>
          <w:szCs w:val="20"/>
          <w:lang w:val="ru-RU"/>
        </w:rPr>
        <w:t xml:space="preserve"> </w:t>
      </w:r>
      <w:r w:rsidR="00DA7475" w:rsidRPr="00E07FBB">
        <w:rPr>
          <w:rFonts w:ascii="Arial" w:hAnsi="Arial" w:cs="Arial"/>
          <w:sz w:val="20"/>
          <w:szCs w:val="20"/>
        </w:rPr>
        <w:t>VI</w:t>
      </w:r>
      <w:bookmarkEnd w:id="105"/>
    </w:p>
    <w:p w:rsidR="00DA7475" w:rsidRPr="00103107" w:rsidRDefault="00DA7475" w:rsidP="003E2D93">
      <w:pPr>
        <w:jc w:val="center"/>
        <w:rPr>
          <w:lang w:val="ru-RU"/>
        </w:rPr>
      </w:pPr>
    </w:p>
    <w:p w:rsidR="00103107" w:rsidRPr="00E24FAB" w:rsidRDefault="00DA7475" w:rsidP="00103107">
      <w:pPr>
        <w:jc w:val="center"/>
        <w:rPr>
          <w:b/>
          <w:lang w:val="ru-RU"/>
        </w:rPr>
      </w:pPr>
      <w:r w:rsidRPr="003E2D93">
        <w:rPr>
          <w:b/>
        </w:rPr>
        <w:t>I</w:t>
      </w:r>
      <w:bookmarkEnd w:id="106"/>
      <w:r w:rsidR="00103107" w:rsidRPr="00103107">
        <w:rPr>
          <w:b/>
          <w:lang w:val="ru-RU"/>
        </w:rPr>
        <w:t xml:space="preserve"> </w:t>
      </w:r>
      <w:r w:rsidR="00103107" w:rsidRPr="00E24FAB">
        <w:rPr>
          <w:b/>
          <w:lang w:val="ru-RU"/>
        </w:rPr>
        <w:t>МЕЖДУНАРОДНОЕ СОТРУДНИЧЕСТВО, НАПРАВЛЕННОЕ НА ОБЕСПЕЧЕНИЕ УВАЖЕНИЯ ИС</w:t>
      </w:r>
    </w:p>
    <w:p w:rsidR="00103107" w:rsidRDefault="00103107" w:rsidP="00103107">
      <w:pPr>
        <w:jc w:val="center"/>
        <w:rPr>
          <w:lang w:val="ru-RU"/>
        </w:rPr>
      </w:pPr>
    </w:p>
    <w:p w:rsidR="00103107" w:rsidRPr="004F6688" w:rsidRDefault="00103107" w:rsidP="00103107">
      <w:pPr>
        <w:jc w:val="center"/>
        <w:rPr>
          <w:lang w:val="ru-RU"/>
        </w:rPr>
      </w:pPr>
    </w:p>
    <w:p w:rsidR="00103107" w:rsidRPr="004F6688" w:rsidRDefault="00103107" w:rsidP="00103107">
      <w:pPr>
        <w:jc w:val="center"/>
        <w:rPr>
          <w:b/>
          <w:lang w:val="ru-RU"/>
        </w:rPr>
      </w:pPr>
      <w:r w:rsidRPr="003A588C">
        <w:rPr>
          <w:b/>
          <w:lang w:val="ru-RU"/>
        </w:rPr>
        <w:t>Сводная таблица показателей результативности за двухлетний период</w:t>
      </w:r>
      <w:r w:rsidRPr="004F6688">
        <w:rPr>
          <w:b/>
          <w:lang w:val="ru-RU"/>
        </w:rPr>
        <w:t xml:space="preserve"> </w:t>
      </w:r>
    </w:p>
    <w:p w:rsidR="00103107" w:rsidRPr="004F6688" w:rsidRDefault="00103107" w:rsidP="00103107">
      <w:pPr>
        <w:rPr>
          <w:lang w:val="ru-RU"/>
        </w:rPr>
      </w:pPr>
    </w:p>
    <w:p w:rsidR="00103107" w:rsidRPr="003A588C" w:rsidRDefault="00103107" w:rsidP="00103107">
      <w:pPr>
        <w:autoSpaceDE w:val="0"/>
        <w:autoSpaceDN w:val="0"/>
        <w:adjustRightInd w:val="0"/>
        <w:jc w:val="both"/>
        <w:rPr>
          <w:rFonts w:cs="Arial"/>
          <w:lang w:val="ru-RU"/>
        </w:rPr>
      </w:pPr>
      <w:r w:rsidRPr="003A588C">
        <w:rPr>
          <w:rFonts w:cs="Arial"/>
          <w:lang w:val="ru-RU"/>
        </w:rPr>
        <w:t>Приводимая ниже сводная т</w:t>
      </w:r>
      <w:r>
        <w:rPr>
          <w:rFonts w:cs="Arial"/>
          <w:lang w:val="ru-RU"/>
        </w:rPr>
        <w:t>аблица содержит обзор достижений с точки зрения степени реализации</w:t>
      </w:r>
      <w:r w:rsidRPr="003A588C">
        <w:rPr>
          <w:rFonts w:cs="Arial"/>
          <w:lang w:val="ru-RU"/>
        </w:rPr>
        <w:t xml:space="preserve"> ожидаемых результатов в двухлетнем периоде 2014-201</w:t>
      </w:r>
      <w:r>
        <w:rPr>
          <w:rFonts w:cs="Arial"/>
          <w:lang w:val="ru-RU"/>
        </w:rPr>
        <w:t>5</w:t>
      </w:r>
      <w:r w:rsidRPr="003A588C">
        <w:rPr>
          <w:rFonts w:cs="Arial"/>
          <w:lang w:val="ru-RU"/>
        </w:rPr>
        <w:t xml:space="preserve"> гг.</w:t>
      </w:r>
      <w:r>
        <w:rPr>
          <w:rFonts w:cs="Arial"/>
          <w:lang w:val="ru-RU"/>
        </w:rPr>
        <w:t xml:space="preserve"> на основе</w:t>
      </w:r>
      <w:r w:rsidRPr="003A588C">
        <w:rPr>
          <w:rFonts w:cs="Arial"/>
          <w:lang w:val="ru-RU"/>
        </w:rPr>
        <w:t xml:space="preserve"> показател</w:t>
      </w:r>
      <w:r>
        <w:rPr>
          <w:rFonts w:cs="Arial"/>
          <w:lang w:val="ru-RU"/>
        </w:rPr>
        <w:t>ей</w:t>
      </w:r>
      <w:r w:rsidRPr="003A588C">
        <w:rPr>
          <w:rFonts w:cs="Arial"/>
          <w:lang w:val="ru-RU"/>
        </w:rPr>
        <w:t xml:space="preserve"> программ, </w:t>
      </w:r>
      <w:r>
        <w:rPr>
          <w:rFonts w:cs="Arial"/>
          <w:lang w:val="ru-RU"/>
        </w:rPr>
        <w:t>обеспечивающих претворение в жизнь</w:t>
      </w:r>
      <w:r w:rsidRPr="003A588C">
        <w:rPr>
          <w:rFonts w:cs="Arial"/>
          <w:lang w:val="ru-RU"/>
        </w:rPr>
        <w:t xml:space="preserve"> данной стратегической цели.  </w:t>
      </w:r>
    </w:p>
    <w:p w:rsidR="00103107" w:rsidRDefault="00103107" w:rsidP="00103107">
      <w:pPr>
        <w:jc w:val="center"/>
      </w:pPr>
      <w:r>
        <w:rPr>
          <w:noProof/>
        </w:rPr>
        <w:drawing>
          <wp:inline distT="0" distB="0" distL="0" distR="0" wp14:anchorId="0FB9531D" wp14:editId="53B64631">
            <wp:extent cx="5940425" cy="2872569"/>
            <wp:effectExtent l="0" t="0" r="3175" b="4445"/>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940425" cy="2872569"/>
                    </a:xfrm>
                    <a:prstGeom prst="rect">
                      <a:avLst/>
                    </a:prstGeom>
                    <a:noFill/>
                    <a:ln>
                      <a:noFill/>
                    </a:ln>
                  </pic:spPr>
                </pic:pic>
              </a:graphicData>
            </a:graphic>
          </wp:inline>
        </w:drawing>
      </w:r>
    </w:p>
    <w:p w:rsidR="00103107" w:rsidRPr="00A522FE" w:rsidRDefault="00103107" w:rsidP="00103107">
      <w:pPr>
        <w:rPr>
          <w:b/>
          <w:bCs/>
          <w:caps/>
        </w:rPr>
      </w:pPr>
    </w:p>
    <w:tbl>
      <w:tblPr>
        <w:tblW w:w="4942"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426"/>
        <w:gridCol w:w="3597"/>
        <w:gridCol w:w="1954"/>
        <w:gridCol w:w="1483"/>
      </w:tblGrid>
      <w:tr w:rsidR="00103107" w:rsidRPr="00AF5E7C" w:rsidTr="00D340AF">
        <w:trPr>
          <w:cantSplit/>
          <w:trHeight w:val="455"/>
        </w:trPr>
        <w:tc>
          <w:tcPr>
            <w:tcW w:w="1544" w:type="pct"/>
            <w:tcBorders>
              <w:top w:val="single" w:sz="4" w:space="0" w:color="auto"/>
              <w:bottom w:val="single" w:sz="4" w:space="0" w:color="auto"/>
            </w:tcBorders>
            <w:shd w:val="clear" w:color="auto" w:fill="C6D9F1" w:themeFill="text2" w:themeFillTint="33"/>
            <w:vAlign w:val="center"/>
          </w:tcPr>
          <w:p w:rsidR="00103107" w:rsidRPr="002A1191" w:rsidRDefault="00103107" w:rsidP="00103107">
            <w:pPr>
              <w:spacing w:after="120"/>
              <w:rPr>
                <w:rFonts w:cs="Arial"/>
                <w:b/>
                <w:bCs/>
                <w:sz w:val="18"/>
                <w:szCs w:val="18"/>
              </w:rPr>
            </w:pPr>
            <w:r w:rsidRPr="003A588C">
              <w:rPr>
                <w:rFonts w:cs="Arial"/>
                <w:b/>
                <w:bCs/>
                <w:sz w:val="18"/>
                <w:szCs w:val="18"/>
                <w:lang w:val="ru-RU"/>
              </w:rPr>
              <w:t>Ожидаемые результаты</w:t>
            </w:r>
          </w:p>
        </w:tc>
        <w:tc>
          <w:tcPr>
            <w:tcW w:w="2162" w:type="pct"/>
            <w:tcBorders>
              <w:top w:val="single" w:sz="4" w:space="0" w:color="auto"/>
              <w:bottom w:val="single" w:sz="4" w:space="0" w:color="auto"/>
            </w:tcBorders>
            <w:shd w:val="clear" w:color="auto" w:fill="C6D9F1" w:themeFill="text2" w:themeFillTint="33"/>
            <w:tcMar>
              <w:top w:w="110" w:type="dxa"/>
            </w:tcMar>
            <w:vAlign w:val="center"/>
          </w:tcPr>
          <w:p w:rsidR="00103107" w:rsidRPr="002A1191" w:rsidRDefault="00103107" w:rsidP="00103107">
            <w:pPr>
              <w:spacing w:after="120"/>
              <w:rPr>
                <w:rFonts w:cs="Arial"/>
                <w:b/>
                <w:bCs/>
                <w:sz w:val="18"/>
                <w:szCs w:val="18"/>
              </w:rPr>
            </w:pPr>
            <w:r w:rsidRPr="003A588C">
              <w:rPr>
                <w:rFonts w:cs="Arial"/>
                <w:b/>
                <w:bCs/>
                <w:sz w:val="18"/>
                <w:szCs w:val="18"/>
                <w:lang w:val="ru-RU"/>
              </w:rPr>
              <w:t>Показател</w:t>
            </w:r>
            <w:r>
              <w:rPr>
                <w:rFonts w:cs="Arial"/>
                <w:b/>
                <w:bCs/>
                <w:sz w:val="18"/>
                <w:szCs w:val="18"/>
                <w:lang w:val="ru-RU"/>
              </w:rPr>
              <w:t>и</w:t>
            </w:r>
            <w:r w:rsidRPr="003A588C">
              <w:rPr>
                <w:rFonts w:cs="Arial"/>
                <w:b/>
                <w:bCs/>
                <w:sz w:val="18"/>
                <w:szCs w:val="18"/>
                <w:lang w:val="ru-RU"/>
              </w:rPr>
              <w:t xml:space="preserve"> результативности</w:t>
            </w:r>
          </w:p>
        </w:tc>
        <w:tc>
          <w:tcPr>
            <w:tcW w:w="927" w:type="pct"/>
            <w:tcBorders>
              <w:top w:val="single" w:sz="4" w:space="0" w:color="auto"/>
              <w:bottom w:val="single" w:sz="4" w:space="0" w:color="auto"/>
            </w:tcBorders>
            <w:shd w:val="clear" w:color="auto" w:fill="C6D9F1" w:themeFill="text2" w:themeFillTint="33"/>
            <w:tcMar>
              <w:top w:w="110" w:type="dxa"/>
            </w:tcMar>
            <w:vAlign w:val="center"/>
          </w:tcPr>
          <w:p w:rsidR="00103107" w:rsidRPr="002A1191" w:rsidRDefault="00103107" w:rsidP="00103107">
            <w:pPr>
              <w:spacing w:after="120"/>
              <w:ind w:left="85"/>
              <w:jc w:val="center"/>
              <w:rPr>
                <w:rFonts w:cs="Arial"/>
                <w:b/>
                <w:bCs/>
                <w:sz w:val="18"/>
                <w:szCs w:val="18"/>
              </w:rPr>
            </w:pPr>
            <w:r w:rsidRPr="003A588C">
              <w:rPr>
                <w:rFonts w:cs="Arial"/>
                <w:b/>
                <w:bCs/>
                <w:sz w:val="18"/>
                <w:szCs w:val="18"/>
                <w:lang w:val="ru-RU"/>
              </w:rPr>
              <w:t>Соответствующие программы</w:t>
            </w:r>
          </w:p>
        </w:tc>
        <w:tc>
          <w:tcPr>
            <w:tcW w:w="367" w:type="pct"/>
            <w:tcBorders>
              <w:top w:val="single" w:sz="4" w:space="0" w:color="auto"/>
              <w:bottom w:val="single" w:sz="4" w:space="0" w:color="auto"/>
            </w:tcBorders>
            <w:shd w:val="clear" w:color="auto" w:fill="C6D9F1" w:themeFill="text2" w:themeFillTint="33"/>
          </w:tcPr>
          <w:p w:rsidR="00103107" w:rsidRPr="002A1191" w:rsidRDefault="00103107" w:rsidP="00103107">
            <w:pPr>
              <w:spacing w:after="120"/>
              <w:ind w:left="85" w:hanging="85"/>
              <w:rPr>
                <w:rFonts w:cs="Arial"/>
                <w:b/>
                <w:bCs/>
                <w:sz w:val="18"/>
                <w:szCs w:val="18"/>
              </w:rPr>
            </w:pPr>
            <w:r w:rsidRPr="003A588C">
              <w:rPr>
                <w:rFonts w:cs="Arial"/>
                <w:b/>
                <w:bCs/>
                <w:sz w:val="18"/>
                <w:szCs w:val="18"/>
                <w:lang w:val="ru-RU"/>
              </w:rPr>
              <w:t>СИГНАЛЬНАЯ СИСТЕМА</w:t>
            </w:r>
          </w:p>
        </w:tc>
      </w:tr>
      <w:tr w:rsidR="00103107" w:rsidRPr="00AF5E7C" w:rsidTr="00103107">
        <w:trPr>
          <w:cantSplit/>
          <w:trHeight w:val="944"/>
        </w:trPr>
        <w:tc>
          <w:tcPr>
            <w:tcW w:w="1544" w:type="pct"/>
            <w:tcBorders>
              <w:top w:val="single" w:sz="4" w:space="0" w:color="auto"/>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VI.1. Прогресс в международном политическом диалоге между государствами-членами ВОИС по вопросам обеспечения уважения ИС в соответствии с рекомендацией 45 Повестки дня ВОИС в области развития</w:t>
            </w:r>
          </w:p>
        </w:tc>
        <w:tc>
          <w:tcPr>
            <w:tcW w:w="2162" w:type="pct"/>
            <w:tcBorders>
              <w:top w:val="single" w:sz="4" w:space="0" w:color="auto"/>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Сохранение единой позиции государств-членов по существенным вопросам деятельности Консультативного комитета ВОИС по защите прав (ККЗП), включая аспект проблем в области развития</w:t>
            </w:r>
          </w:p>
        </w:tc>
        <w:tc>
          <w:tcPr>
            <w:tcW w:w="927" w:type="pct"/>
            <w:tcBorders>
              <w:top w:val="single" w:sz="4" w:space="0" w:color="auto"/>
            </w:tcBorders>
            <w:shd w:val="clear" w:color="auto" w:fill="FFFFFF"/>
            <w:tcMar>
              <w:top w:w="113" w:type="dxa"/>
              <w:bottom w:w="85" w:type="dxa"/>
            </w:tcMar>
          </w:tcPr>
          <w:p w:rsidR="00103107" w:rsidRPr="00AF5E7C" w:rsidRDefault="00103107" w:rsidP="00103107">
            <w:pPr>
              <w:jc w:val="center"/>
              <w:rPr>
                <w:rFonts w:cs="Arial"/>
                <w:sz w:val="16"/>
                <w:szCs w:val="16"/>
              </w:rPr>
            </w:pPr>
            <w:r w:rsidRPr="003A588C">
              <w:rPr>
                <w:rFonts w:cs="Arial"/>
                <w:sz w:val="16"/>
                <w:szCs w:val="16"/>
                <w:lang w:val="ru-RU"/>
              </w:rPr>
              <w:t xml:space="preserve">Программа 17 </w:t>
            </w:r>
          </w:p>
        </w:tc>
        <w:tc>
          <w:tcPr>
            <w:tcW w:w="367" w:type="pct"/>
            <w:tcBorders>
              <w:top w:val="single" w:sz="4" w:space="0" w:color="auto"/>
            </w:tcBorders>
            <w:shd w:val="clear" w:color="auto" w:fill="FFFFFF"/>
          </w:tcPr>
          <w:p w:rsidR="00103107" w:rsidRPr="00F718E6" w:rsidRDefault="00103107" w:rsidP="00103107">
            <w:pPr>
              <w:jc w:val="center"/>
              <w:rPr>
                <w:rFonts w:cs="Arial"/>
                <w:color w:val="A6A6A6" w:themeColor="background1" w:themeShade="A6"/>
                <w:sz w:val="22"/>
                <w:szCs w:val="22"/>
              </w:rPr>
            </w:pPr>
            <w:r w:rsidRPr="005F33CE">
              <w:rPr>
                <w:rFonts w:cs="Arial"/>
                <w:color w:val="008000"/>
                <w:sz w:val="22"/>
                <w:szCs w:val="22"/>
              </w:rPr>
              <w:sym w:font="Wingdings" w:char="F06C"/>
            </w:r>
          </w:p>
        </w:tc>
      </w:tr>
      <w:tr w:rsidR="00103107" w:rsidRPr="00AF5E7C" w:rsidTr="00103107">
        <w:trPr>
          <w:cantSplit/>
          <w:trHeight w:val="704"/>
        </w:trPr>
        <w:tc>
          <w:tcPr>
            <w:tcW w:w="1544"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VI.2. Систематическое, эффективное и прозрачное сотрудничество и координация работы ВОИС и других международных организаций в области обеспечения уважения ИС</w:t>
            </w:r>
          </w:p>
        </w:tc>
        <w:tc>
          <w:tcPr>
            <w:tcW w:w="2162"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совместных мероприятий, направленных на обеспечение уважения ИС</w:t>
            </w:r>
          </w:p>
        </w:tc>
        <w:tc>
          <w:tcPr>
            <w:tcW w:w="927" w:type="pct"/>
            <w:shd w:val="clear" w:color="auto" w:fill="FFFFFF"/>
            <w:tcMar>
              <w:top w:w="113" w:type="dxa"/>
              <w:bottom w:w="85" w:type="dxa"/>
            </w:tcMar>
          </w:tcPr>
          <w:p w:rsidR="00103107" w:rsidRPr="00AF5E7C" w:rsidRDefault="00103107" w:rsidP="00103107">
            <w:pPr>
              <w:jc w:val="center"/>
              <w:rPr>
                <w:rFonts w:cs="Arial"/>
                <w:sz w:val="16"/>
                <w:szCs w:val="16"/>
              </w:rPr>
            </w:pPr>
            <w:r w:rsidRPr="003A588C">
              <w:rPr>
                <w:rFonts w:cs="Arial"/>
                <w:sz w:val="16"/>
                <w:szCs w:val="16"/>
                <w:lang w:val="ru-RU"/>
              </w:rPr>
              <w:t xml:space="preserve">Программа 17 </w:t>
            </w:r>
          </w:p>
        </w:tc>
        <w:tc>
          <w:tcPr>
            <w:tcW w:w="367" w:type="pct"/>
            <w:shd w:val="clear" w:color="auto" w:fill="FFFFFF"/>
          </w:tcPr>
          <w:p w:rsidR="00103107" w:rsidRDefault="00103107" w:rsidP="00103107">
            <w:pPr>
              <w:jc w:val="center"/>
            </w:pPr>
            <w:r w:rsidRPr="005F33CE">
              <w:rPr>
                <w:rFonts w:cs="Arial"/>
                <w:color w:val="008000"/>
                <w:sz w:val="22"/>
                <w:szCs w:val="22"/>
              </w:rPr>
              <w:sym w:font="Wingdings" w:char="F06C"/>
            </w:r>
          </w:p>
        </w:tc>
      </w:tr>
    </w:tbl>
    <w:p w:rsidR="00103107" w:rsidRDefault="00103107" w:rsidP="00103107"/>
    <w:p w:rsidR="00DA7475" w:rsidRDefault="00DA7475" w:rsidP="00103107">
      <w:pPr>
        <w:jc w:val="center"/>
      </w:pPr>
    </w:p>
    <w:p w:rsidR="00055B26" w:rsidRDefault="00055B26">
      <w:r>
        <w:br w:type="page"/>
      </w:r>
    </w:p>
    <w:p w:rsidR="0055116C" w:rsidRPr="0055116C" w:rsidRDefault="0055116C" w:rsidP="0055116C">
      <w:pPr>
        <w:pStyle w:val="Heading2"/>
        <w:tabs>
          <w:tab w:val="clear" w:pos="567"/>
          <w:tab w:val="left" w:pos="1985"/>
        </w:tabs>
        <w:jc w:val="both"/>
        <w:rPr>
          <w:szCs w:val="20"/>
          <w:lang w:val="ru-RU"/>
        </w:rPr>
      </w:pPr>
      <w:bookmarkStart w:id="107" w:name="_Toc422210503"/>
      <w:bookmarkStart w:id="108" w:name="_Toc455388127"/>
      <w:r w:rsidRPr="0055116C">
        <w:rPr>
          <w:lang w:val="ru-RU"/>
        </w:rPr>
        <w:t>ПРОГРАММА 17</w:t>
      </w:r>
      <w:r w:rsidRPr="0055116C">
        <w:rPr>
          <w:lang w:val="ru-RU"/>
        </w:rPr>
        <w:tab/>
        <w:t>ОБЕСПЕЧЕНИЕ УВАЖЕНИЯ ИС</w:t>
      </w:r>
      <w:bookmarkEnd w:id="107"/>
      <w:bookmarkEnd w:id="108"/>
    </w:p>
    <w:p w:rsidR="0055116C" w:rsidRPr="0055116C" w:rsidRDefault="0055116C" w:rsidP="0055116C">
      <w:pPr>
        <w:jc w:val="both"/>
        <w:rPr>
          <w:rFonts w:cs="Arial"/>
          <w:szCs w:val="20"/>
          <w:lang w:val="ru-RU"/>
        </w:rPr>
      </w:pPr>
    </w:p>
    <w:p w:rsidR="0055116C" w:rsidRPr="0055116C" w:rsidRDefault="0055116C" w:rsidP="0055116C">
      <w:pPr>
        <w:tabs>
          <w:tab w:val="left" w:pos="1985"/>
        </w:tabs>
        <w:jc w:val="both"/>
        <w:rPr>
          <w:rFonts w:cs="Arial"/>
          <w:b/>
          <w:szCs w:val="20"/>
          <w:lang w:val="ru-RU"/>
        </w:rPr>
      </w:pPr>
      <w:r w:rsidRPr="0055116C">
        <w:rPr>
          <w:b/>
          <w:lang w:val="ru-RU"/>
        </w:rPr>
        <w:t>Руководитель программы</w:t>
      </w:r>
      <w:r w:rsidRPr="0055116C">
        <w:rPr>
          <w:lang w:val="ru-RU"/>
        </w:rPr>
        <w:tab/>
      </w:r>
      <w:r w:rsidRPr="0055116C">
        <w:rPr>
          <w:b/>
          <w:lang w:val="ru-RU"/>
        </w:rPr>
        <w:t>г-н М. А. Гетахун</w:t>
      </w:r>
    </w:p>
    <w:p w:rsidR="0055116C" w:rsidRPr="0055116C" w:rsidRDefault="0055116C" w:rsidP="0055116C">
      <w:pPr>
        <w:jc w:val="both"/>
        <w:rPr>
          <w:rFonts w:cs="Arial"/>
          <w:szCs w:val="20"/>
          <w:lang w:val="ru-RU"/>
        </w:rPr>
      </w:pPr>
    </w:p>
    <w:p w:rsidR="0055116C" w:rsidRPr="0055116C" w:rsidRDefault="0055116C" w:rsidP="0055116C">
      <w:pPr>
        <w:jc w:val="both"/>
        <w:rPr>
          <w:rFonts w:cs="Arial"/>
          <w:szCs w:val="20"/>
          <w:lang w:val="ru-RU"/>
        </w:rPr>
      </w:pPr>
    </w:p>
    <w:p w:rsidR="0055116C" w:rsidRPr="0055116C" w:rsidRDefault="0055116C" w:rsidP="0055116C">
      <w:pPr>
        <w:jc w:val="both"/>
        <w:rPr>
          <w:rFonts w:cs="Arial"/>
          <w:bCs/>
          <w:szCs w:val="20"/>
          <w:lang w:val="ru-RU"/>
        </w:rPr>
      </w:pPr>
      <w:r w:rsidRPr="0055116C">
        <w:rPr>
          <w:lang w:val="ru-RU"/>
        </w:rPr>
        <w:t>ОБЗОР ДОСТИЖЕНИЙ ЗА ДВУХЛЕТНИЙ ПЕРИОД 2014–2015</w:t>
      </w:r>
      <w:r>
        <w:t> </w:t>
      </w:r>
      <w:r w:rsidRPr="0055116C">
        <w:rPr>
          <w:lang w:val="ru-RU"/>
        </w:rPr>
        <w:t>ГГ.</w:t>
      </w:r>
    </w:p>
    <w:p w:rsidR="0055116C" w:rsidRPr="0055116C" w:rsidRDefault="0055116C" w:rsidP="0055116C">
      <w:pPr>
        <w:tabs>
          <w:tab w:val="left" w:pos="709"/>
        </w:tabs>
        <w:jc w:val="both"/>
        <w:rPr>
          <w:rFonts w:cs="Arial"/>
          <w:szCs w:val="20"/>
          <w:lang w:val="ru-RU"/>
        </w:rPr>
      </w:pPr>
    </w:p>
    <w:p w:rsidR="0055116C" w:rsidRPr="0055116C" w:rsidRDefault="0055116C" w:rsidP="0055116C">
      <w:pPr>
        <w:tabs>
          <w:tab w:val="left" w:pos="709"/>
        </w:tabs>
        <w:jc w:val="both"/>
        <w:rPr>
          <w:rFonts w:cs="Arial"/>
          <w:szCs w:val="20"/>
          <w:lang w:val="ru-RU"/>
        </w:rPr>
      </w:pPr>
      <w:r w:rsidRPr="0055116C">
        <w:rPr>
          <w:lang w:val="ru-RU"/>
        </w:rPr>
        <w:t>17.1</w:t>
      </w:r>
      <w:r w:rsidRPr="0055116C">
        <w:rPr>
          <w:lang w:val="ru-RU"/>
        </w:rPr>
        <w:tab/>
        <w:t>Мероприятия программы</w:t>
      </w:r>
      <w:r>
        <w:t> </w:t>
      </w:r>
      <w:r w:rsidRPr="0055116C">
        <w:rPr>
          <w:lang w:val="ru-RU"/>
        </w:rPr>
        <w:t>17 были основаны на стратегической цели</w:t>
      </w:r>
      <w:r>
        <w:t> VI</w:t>
      </w:r>
      <w:r w:rsidRPr="0055116C">
        <w:rPr>
          <w:lang w:val="ru-RU"/>
        </w:rPr>
        <w:t xml:space="preserve"> и рекомендации 45</w:t>
      </w:r>
      <w:r>
        <w:t> </w:t>
      </w:r>
      <w:r w:rsidRPr="0055116C">
        <w:rPr>
          <w:lang w:val="ru-RU"/>
        </w:rPr>
        <w:t>ПДР и ориентированы на расширение международного сотрудничества, направленного на обеспечение уважения ИС и обеспечивающего достижение надлежащего баланса между частными правами и общественными интересами.</w:t>
      </w:r>
    </w:p>
    <w:p w:rsidR="0055116C" w:rsidRPr="0055116C" w:rsidRDefault="0055116C" w:rsidP="0055116C">
      <w:pPr>
        <w:tabs>
          <w:tab w:val="left" w:pos="709"/>
        </w:tabs>
        <w:jc w:val="both"/>
        <w:rPr>
          <w:rFonts w:cs="Arial"/>
          <w:szCs w:val="20"/>
          <w:lang w:val="ru-RU"/>
        </w:rPr>
      </w:pPr>
    </w:p>
    <w:p w:rsidR="0055116C" w:rsidRPr="0055116C" w:rsidRDefault="0055116C" w:rsidP="0055116C">
      <w:pPr>
        <w:tabs>
          <w:tab w:val="left" w:pos="709"/>
        </w:tabs>
        <w:jc w:val="both"/>
        <w:rPr>
          <w:rFonts w:cs="Arial"/>
          <w:szCs w:val="20"/>
          <w:lang w:val="ru-RU"/>
        </w:rPr>
      </w:pPr>
      <w:r w:rsidRPr="0055116C">
        <w:rPr>
          <w:lang w:val="ru-RU"/>
        </w:rPr>
        <w:t>17.2</w:t>
      </w:r>
      <w:r w:rsidRPr="0055116C">
        <w:rPr>
          <w:lang w:val="ru-RU"/>
        </w:rPr>
        <w:tab/>
        <w:t>В целях развития международного политического диалога между государствами</w:t>
      </w:r>
      <w:r>
        <w:t> </w:t>
      </w:r>
      <w:r w:rsidRPr="0055116C">
        <w:rPr>
          <w:lang w:val="ru-RU"/>
        </w:rPr>
        <w:t>– членами ВОИС по вопросам обеспечения уважения ИС девятая и десятая сессии Консультативного комитета по защите прав (ККЗП) (3–5 марта</w:t>
      </w:r>
      <w:r>
        <w:t> </w:t>
      </w:r>
      <w:r w:rsidRPr="0055116C">
        <w:rPr>
          <w:lang w:val="ru-RU"/>
        </w:rPr>
        <w:t>2014 г. и 23–25</w:t>
      </w:r>
      <w:r>
        <w:t> </w:t>
      </w:r>
      <w:r w:rsidRPr="0055116C">
        <w:rPr>
          <w:lang w:val="ru-RU"/>
        </w:rPr>
        <w:t>ноября 2015</w:t>
      </w:r>
      <w:r>
        <w:t> </w:t>
      </w:r>
      <w:r w:rsidRPr="0055116C">
        <w:rPr>
          <w:lang w:val="ru-RU"/>
        </w:rPr>
        <w:t>г.) стала своего рода «ярмаркой идей», способствуя обмену практикой и опытом по альтернативным механизмам урегулирования споров в области ИС, а также по дополняющим правоприменительные меры механизмам профилактики, таким как повышение информированности и разработка образовательных инструментов для молодежи, новых моделей работы, обеспечение безопасности производственно-сбытовых систем, создание добровольных механизмов и налаживание национальной координации в области обеспечения уважения ИС. Проведение обеих сессий сопровождалось аудиовизуальными выставками, презентациями общественных кампаний по обеспечению уважения ИС и инструментов повышения информированности молодежи.  Комитет принял решение на своей одиннадцатой сессии провести обмен информацией об опыте стран в следующих четырех областях: (</w:t>
      </w:r>
      <w:r>
        <w:t>i</w:t>
      </w:r>
      <w:r w:rsidRPr="0055116C">
        <w:rPr>
          <w:lang w:val="ru-RU"/>
        </w:rPr>
        <w:t>)</w:t>
      </w:r>
      <w:r>
        <w:t> </w:t>
      </w:r>
      <w:r w:rsidRPr="0055116C">
        <w:rPr>
          <w:lang w:val="ru-RU"/>
        </w:rPr>
        <w:t>информационно-просветительские кампании и стратегии как способ обеспечения уважения ИС среди широкой общественности, в особенности молодежи, в соответствии с приоритетами государств-членов в области образования и в других областях; (</w:t>
      </w:r>
      <w:r>
        <w:t>ii</w:t>
      </w:r>
      <w:r w:rsidRPr="0055116C">
        <w:rPr>
          <w:lang w:val="ru-RU"/>
        </w:rPr>
        <w:t>)</w:t>
      </w:r>
      <w:r>
        <w:t> </w:t>
      </w:r>
      <w:r w:rsidRPr="0055116C">
        <w:rPr>
          <w:lang w:val="ru-RU"/>
        </w:rPr>
        <w:t>институциональные механизмы осуществления политики и создания режимов защиты прав ИС, включая механизмы сбалансированного, комплексного и эффективного урегулирования споров по вопросам ИС; (</w:t>
      </w:r>
      <w:r>
        <w:t>iii</w:t>
      </w:r>
      <w:r w:rsidRPr="0055116C">
        <w:rPr>
          <w:lang w:val="ru-RU"/>
        </w:rPr>
        <w:t>)</w:t>
      </w:r>
      <w:r>
        <w:t> </w:t>
      </w:r>
      <w:r w:rsidRPr="0055116C">
        <w:rPr>
          <w:lang w:val="ru-RU"/>
        </w:rPr>
        <w:t>помощь ВОИС в законодательной области, особенно в подготовке проектов национальных законов о защите прав, обеспечивающих необходимую гибкость и учитывающих уровень развития, различия в правовых традициях и возможные злоупотребления процедурами защиты; и (</w:t>
      </w:r>
      <w:r>
        <w:t>iv</w:t>
      </w:r>
      <w:r w:rsidRPr="0055116C">
        <w:rPr>
          <w:lang w:val="ru-RU"/>
        </w:rPr>
        <w:t>)</w:t>
      </w:r>
      <w:r>
        <w:t> </w:t>
      </w:r>
      <w:r w:rsidRPr="0055116C">
        <w:rPr>
          <w:lang w:val="ru-RU"/>
        </w:rPr>
        <w:t xml:space="preserve">укрепление потенциала ВОИС и поддержка учебных мероприятий согласно соответствующим рекомендациям Повестки дня в области развития и мандату ККЗП.  В силу того, что государства-члены придают большое значение работе ККЗП, они попросили обеспечить проведение сессий этого Комитета ежегодно.  </w:t>
      </w:r>
    </w:p>
    <w:p w:rsidR="0055116C" w:rsidRPr="0055116C" w:rsidRDefault="0055116C" w:rsidP="0055116C">
      <w:pPr>
        <w:tabs>
          <w:tab w:val="left" w:pos="709"/>
        </w:tabs>
        <w:jc w:val="both"/>
        <w:rPr>
          <w:rFonts w:cs="Arial"/>
          <w:szCs w:val="20"/>
          <w:lang w:val="ru-RU"/>
        </w:rPr>
      </w:pPr>
    </w:p>
    <w:p w:rsidR="0055116C" w:rsidRPr="0055116C" w:rsidRDefault="0055116C" w:rsidP="0055116C">
      <w:pPr>
        <w:tabs>
          <w:tab w:val="left" w:pos="709"/>
        </w:tabs>
        <w:jc w:val="both"/>
        <w:rPr>
          <w:rFonts w:cs="Arial"/>
          <w:szCs w:val="20"/>
          <w:lang w:val="ru-RU"/>
        </w:rPr>
      </w:pPr>
      <w:r w:rsidRPr="0055116C">
        <w:rPr>
          <w:lang w:val="ru-RU"/>
        </w:rPr>
        <w:t>17.3</w:t>
      </w:r>
      <w:r w:rsidRPr="0055116C">
        <w:rPr>
          <w:lang w:val="ru-RU"/>
        </w:rPr>
        <w:tab/>
        <w:t>Чтобы обеспечить согласованность международной политики и ее максимальное воздействие с помощью совместного использования ресурсов, в рамках программы</w:t>
      </w:r>
      <w:r>
        <w:t> </w:t>
      </w:r>
      <w:r w:rsidRPr="0055116C">
        <w:rPr>
          <w:lang w:val="ru-RU"/>
        </w:rPr>
        <w:t>17 осуществлялась координация с межправительственными и неправительственными организациями, объединениями заинтересованных сторон и научными учреждениями.  Посредством систематического, транспарентного и эффективного сотрудничества ВОИС смогла обеспечить дальнейшую интеграцию стратегической цели</w:t>
      </w:r>
      <w:r>
        <w:t> VI</w:t>
      </w:r>
      <w:r w:rsidRPr="0055116C">
        <w:rPr>
          <w:lang w:val="ru-RU"/>
        </w:rPr>
        <w:t xml:space="preserve"> в совместные проекты со своими международными партнерами в соответствии с рекомендацией 40</w:t>
      </w:r>
      <w:r>
        <w:t> </w:t>
      </w:r>
      <w:r w:rsidRPr="0055116C">
        <w:rPr>
          <w:lang w:val="ru-RU"/>
        </w:rPr>
        <w:t>ПДР.  Один из вопросов, которому уделяется особое внимание, касается проблем, возникающих на стыке прав ИС и международного частного права. Этой теме был посвящен семинар, организованный совместно с Ассоциацией международного права в январе 2015</w:t>
      </w:r>
      <w:r>
        <w:t> </w:t>
      </w:r>
      <w:r w:rsidRPr="0055116C">
        <w:rPr>
          <w:lang w:val="ru-RU"/>
        </w:rPr>
        <w:t>г., а также доклад ВОИС «Вопросы международного частного права в спорах о нарушениях прав ИС в интернете с трансграничными элементами. Анализ национальных подходов»</w:t>
      </w:r>
      <w:r>
        <w:rPr>
          <w:rStyle w:val="FootnoteReference"/>
          <w:i/>
        </w:rPr>
        <w:footnoteReference w:id="96"/>
      </w:r>
      <w:r w:rsidRPr="0055116C">
        <w:rPr>
          <w:lang w:val="ru-RU"/>
        </w:rPr>
        <w:t>, который был опубликован в сентябре 2015</w:t>
      </w:r>
      <w:r>
        <w:t> </w:t>
      </w:r>
      <w:r w:rsidRPr="0055116C">
        <w:rPr>
          <w:lang w:val="ru-RU"/>
        </w:rPr>
        <w:t xml:space="preserve">г. </w:t>
      </w:r>
    </w:p>
    <w:p w:rsidR="0055116C" w:rsidRPr="0055116C" w:rsidRDefault="0055116C" w:rsidP="0055116C">
      <w:pPr>
        <w:tabs>
          <w:tab w:val="left" w:pos="709"/>
        </w:tabs>
        <w:jc w:val="both"/>
        <w:rPr>
          <w:rFonts w:cs="Arial"/>
          <w:szCs w:val="20"/>
          <w:lang w:val="ru-RU"/>
        </w:rPr>
      </w:pPr>
    </w:p>
    <w:p w:rsidR="0055116C" w:rsidRPr="0055116C" w:rsidRDefault="0055116C" w:rsidP="0055116C">
      <w:pPr>
        <w:tabs>
          <w:tab w:val="left" w:pos="709"/>
        </w:tabs>
        <w:jc w:val="both"/>
        <w:rPr>
          <w:rFonts w:cs="Arial"/>
          <w:szCs w:val="20"/>
          <w:lang w:val="ru-RU"/>
        </w:rPr>
      </w:pPr>
      <w:r w:rsidRPr="0055116C">
        <w:rPr>
          <w:lang w:val="ru-RU"/>
        </w:rPr>
        <w:t>17.4</w:t>
      </w:r>
      <w:r w:rsidRPr="0055116C">
        <w:rPr>
          <w:lang w:val="ru-RU"/>
        </w:rPr>
        <w:tab/>
        <w:t>В рассматриваемый двухлетний период продолжал расти спрос на получение помощи ВОИС в форме законодательных рекомендаций по вопросам совместимости разрабатываемых или действующих национальных законодательных положений в области защиты прав с нормами Части</w:t>
      </w:r>
      <w:r>
        <w:t> III</w:t>
      </w:r>
      <w:r w:rsidRPr="0055116C">
        <w:rPr>
          <w:lang w:val="ru-RU"/>
        </w:rPr>
        <w:t xml:space="preserve"> Соглашения ТРИПС. На основе тесного диалога с национальными законодательными органами в рамках программы была оказана помощь 12 государствам-членам в разработке законодательных решений, соответствующих национальным потребностям их стран с учетом имеющихся гибких возможностей и вариантов.  Мероприятия в области оказания помощи в выработке законодательства и норм регулирования и политики осуществлялись на основе рекомендаций</w:t>
      </w:r>
      <w:r>
        <w:t> </w:t>
      </w:r>
      <w:r w:rsidRPr="0055116C">
        <w:rPr>
          <w:lang w:val="ru-RU"/>
        </w:rPr>
        <w:t>1, 6,</w:t>
      </w:r>
      <w:r>
        <w:t> </w:t>
      </w:r>
      <w:r w:rsidRPr="0055116C">
        <w:rPr>
          <w:lang w:val="ru-RU"/>
        </w:rPr>
        <w:t>12,</w:t>
      </w:r>
      <w:r>
        <w:t> </w:t>
      </w:r>
      <w:r w:rsidRPr="0055116C">
        <w:rPr>
          <w:lang w:val="ru-RU"/>
        </w:rPr>
        <w:t>13,</w:t>
      </w:r>
      <w:r>
        <w:t> </w:t>
      </w:r>
      <w:r w:rsidRPr="0055116C">
        <w:rPr>
          <w:lang w:val="ru-RU"/>
        </w:rPr>
        <w:t>14 и</w:t>
      </w:r>
      <w:r>
        <w:t> </w:t>
      </w:r>
      <w:r w:rsidRPr="0055116C">
        <w:rPr>
          <w:lang w:val="ru-RU"/>
        </w:rPr>
        <w:t>17 ПДР.</w:t>
      </w:r>
    </w:p>
    <w:p w:rsidR="0055116C" w:rsidRPr="0055116C" w:rsidRDefault="0055116C" w:rsidP="0055116C">
      <w:pPr>
        <w:tabs>
          <w:tab w:val="left" w:pos="709"/>
        </w:tabs>
        <w:jc w:val="both"/>
        <w:rPr>
          <w:rFonts w:cs="Arial"/>
          <w:szCs w:val="20"/>
          <w:lang w:val="ru-RU"/>
        </w:rPr>
      </w:pPr>
    </w:p>
    <w:p w:rsidR="0055116C" w:rsidRPr="0055116C" w:rsidRDefault="0055116C" w:rsidP="0055116C">
      <w:pPr>
        <w:pStyle w:val="ListParagraph"/>
        <w:ind w:left="0"/>
        <w:jc w:val="both"/>
        <w:rPr>
          <w:rFonts w:cs="Arial"/>
          <w:lang w:val="ru-RU"/>
        </w:rPr>
      </w:pPr>
      <w:r w:rsidRPr="0055116C">
        <w:rPr>
          <w:lang w:val="ru-RU"/>
        </w:rPr>
        <w:t>17.5</w:t>
      </w:r>
      <w:r w:rsidRPr="0055116C">
        <w:rPr>
          <w:lang w:val="ru-RU"/>
        </w:rPr>
        <w:tab/>
        <w:t>Мероприятия по укреплению потенциала, которые осуществлялись в рамках программы, были направлены на повышение способности национальных властей укреплять уважение ИС на основе сочетания сбалансированных мероприятий по защите прав и мер, предотвращающих нарушение прав ИС, призванных сокращать спрос на продукцию, производимую с нарушением прав ИС и разъяснять важность формирования легитимного с точки зрения ИС рынка. Чтобы обеспечить долгосрочный эффект передачи знаний, были организованы конкретные программы сотрудничества с национальными учреждениями, где проходят обучения сотрудники правоохранительных органов, в целях проведения впоследствии учебных мероприятий в таких странах силами обученных сотрудников. Кроме того, было разработано руководство по расследованию преступлений в области ИС и уголовному преследованию, предназначенное для использования или адаптации в ходе обучения сотрудников правоохранительных органов и работников прокуратуры. Кроме того, в рассматриваемый двухлетний период было опубликовано французское издание и перевод на арабский язык изданного на английском языке сборника прецедентов ВОИС по теме «Защита прав ИС».  Мероприятия в данной области проводились на основе рекомендаций 3,</w:t>
      </w:r>
      <w:r>
        <w:t> </w:t>
      </w:r>
      <w:r w:rsidRPr="0055116C">
        <w:rPr>
          <w:lang w:val="ru-RU"/>
        </w:rPr>
        <w:t>10,</w:t>
      </w:r>
      <w:r>
        <w:t> </w:t>
      </w:r>
      <w:r w:rsidRPr="0055116C">
        <w:rPr>
          <w:lang w:val="ru-RU"/>
        </w:rPr>
        <w:t>и</w:t>
      </w:r>
      <w:r>
        <w:t> </w:t>
      </w:r>
      <w:r w:rsidRPr="0055116C">
        <w:rPr>
          <w:lang w:val="ru-RU"/>
        </w:rPr>
        <w:t>11 ПДР.</w:t>
      </w:r>
    </w:p>
    <w:p w:rsidR="0055116C" w:rsidRPr="0055116C" w:rsidRDefault="0055116C" w:rsidP="0055116C">
      <w:pPr>
        <w:pStyle w:val="ListParagraph"/>
        <w:ind w:left="0"/>
        <w:jc w:val="both"/>
        <w:rPr>
          <w:rFonts w:cs="Arial"/>
          <w:lang w:val="ru-RU"/>
        </w:rPr>
      </w:pPr>
      <w:r w:rsidRPr="0055116C">
        <w:rPr>
          <w:lang w:val="ru-RU"/>
        </w:rPr>
        <w:t xml:space="preserve"> </w:t>
      </w:r>
    </w:p>
    <w:p w:rsidR="0055116C" w:rsidRPr="0055116C" w:rsidRDefault="0055116C" w:rsidP="0055116C">
      <w:pPr>
        <w:jc w:val="both"/>
        <w:rPr>
          <w:rFonts w:eastAsia="Calibri" w:cs="Arial"/>
          <w:color w:val="212121"/>
          <w:szCs w:val="20"/>
          <w:lang w:val="ru-RU"/>
        </w:rPr>
      </w:pPr>
      <w:r w:rsidRPr="0055116C">
        <w:rPr>
          <w:lang w:val="ru-RU"/>
        </w:rPr>
        <w:t>17.6</w:t>
      </w:r>
      <w:r w:rsidRPr="0055116C">
        <w:rPr>
          <w:lang w:val="ru-RU"/>
        </w:rPr>
        <w:tab/>
        <w:t>Чтобы поддержать инициативы государств-членов в области обучения и повышения информированности по тематике ИС и тем самым способствовать сокращению числа нарушений прав ИС за счет изменения норм поведения, была разработана модульная методика формирования национальных стратегий повышения осведомленности, и двум государствам-членам была оказана помощь в ее применении с учетом соответствующих конкретных национальных потребностей.</w:t>
      </w:r>
      <w:r w:rsidRPr="0055116C">
        <w:rPr>
          <w:color w:val="212121"/>
          <w:lang w:val="ru-RU"/>
        </w:rPr>
        <w:t xml:space="preserve">  Кроме того, в рамках программы был разработан пакет обучающих материалов для школьников 10–15</w:t>
      </w:r>
      <w:r>
        <w:rPr>
          <w:color w:val="212121"/>
        </w:rPr>
        <w:t> </w:t>
      </w:r>
      <w:r w:rsidRPr="0055116C">
        <w:rPr>
          <w:color w:val="212121"/>
          <w:lang w:val="ru-RU"/>
        </w:rPr>
        <w:t xml:space="preserve">лет по вопросам авторского права; шести государствам-членам была оказана поддержка в организации школьных конкурсов по тематике обеспечения уважения ИС, а также был издан </w:t>
      </w:r>
      <w:r>
        <w:rPr>
          <w:color w:val="212121"/>
        </w:rPr>
        <w:t>DVD</w:t>
      </w:r>
      <w:r w:rsidRPr="0055116C">
        <w:rPr>
          <w:color w:val="212121"/>
          <w:lang w:val="ru-RU"/>
        </w:rPr>
        <w:t>-диск и рабочая тетрадь, где рассказывается о пингвинёнке Пороро. Продолжалось присуждение наград ВОИС, которыми были отмечены достижения изобретателей, работников творческих отраслей и инновационных компаний: 330</w:t>
      </w:r>
      <w:r>
        <w:rPr>
          <w:color w:val="212121"/>
        </w:rPr>
        <w:t> </w:t>
      </w:r>
      <w:r w:rsidRPr="0055116C">
        <w:rPr>
          <w:color w:val="212121"/>
          <w:lang w:val="ru-RU"/>
        </w:rPr>
        <w:t>наград ВОИС и 470</w:t>
      </w:r>
      <w:r>
        <w:rPr>
          <w:color w:val="212121"/>
        </w:rPr>
        <w:t> </w:t>
      </w:r>
      <w:r w:rsidRPr="0055116C">
        <w:rPr>
          <w:color w:val="212121"/>
          <w:lang w:val="ru-RU"/>
        </w:rPr>
        <w:t>сертификатов были вручены получателям из 54</w:t>
      </w:r>
      <w:r>
        <w:rPr>
          <w:color w:val="212121"/>
        </w:rPr>
        <w:t> </w:t>
      </w:r>
      <w:r w:rsidRPr="0055116C">
        <w:rPr>
          <w:color w:val="212121"/>
          <w:lang w:val="ru-RU"/>
        </w:rPr>
        <w:t>государств-членов. Мероприятия по повышению осведомленности в рамках программы способствовали реализации рекомендации</w:t>
      </w:r>
      <w:r>
        <w:rPr>
          <w:color w:val="212121"/>
        </w:rPr>
        <w:t> </w:t>
      </w:r>
      <w:r w:rsidRPr="0055116C">
        <w:rPr>
          <w:color w:val="212121"/>
          <w:lang w:val="ru-RU"/>
        </w:rPr>
        <w:t xml:space="preserve">3 ПДР. </w:t>
      </w:r>
    </w:p>
    <w:p w:rsidR="0055116C" w:rsidRPr="0055116C" w:rsidRDefault="0055116C" w:rsidP="0055116C">
      <w:pPr>
        <w:rPr>
          <w:lang w:val="ru-RU"/>
        </w:rPr>
      </w:pPr>
    </w:p>
    <w:p w:rsidR="0055116C" w:rsidRPr="0055116C" w:rsidRDefault="0055116C" w:rsidP="0055116C">
      <w:pPr>
        <w:rPr>
          <w:lang w:val="ru-RU"/>
        </w:rPr>
      </w:pPr>
    </w:p>
    <w:p w:rsidR="0055116C" w:rsidRDefault="0055116C" w:rsidP="0055116C">
      <w:pPr>
        <w:tabs>
          <w:tab w:val="left" w:pos="3705"/>
        </w:tabs>
      </w:pPr>
      <w:r>
        <w:t>ДАННЫЕ О РЕЗУЛЬТАТИВНОСТИ</w:t>
      </w:r>
    </w:p>
    <w:p w:rsidR="0055116C" w:rsidRPr="005D128B" w:rsidRDefault="0055116C" w:rsidP="0055116C">
      <w:pPr>
        <w:tabs>
          <w:tab w:val="left" w:pos="3705"/>
        </w:tabs>
        <w:rPr>
          <w:rFonts w:cs="Arial"/>
          <w:szCs w:val="22"/>
        </w:rPr>
      </w:pPr>
    </w:p>
    <w:tbl>
      <w:tblPr>
        <w:tblW w:w="5119" w:type="pct"/>
        <w:tblBorders>
          <w:top w:val="single" w:sz="4" w:space="0" w:color="auto"/>
          <w:left w:val="single" w:sz="4" w:space="0" w:color="auto"/>
          <w:bottom w:val="single" w:sz="4" w:space="0" w:color="auto"/>
          <w:right w:val="single" w:sz="4" w:space="0" w:color="auto"/>
        </w:tblBorders>
        <w:tblLayout w:type="fixed"/>
        <w:tblCellMar>
          <w:left w:w="115" w:type="dxa"/>
          <w:right w:w="115" w:type="dxa"/>
        </w:tblCellMar>
        <w:tblLook w:val="0000" w:firstRow="0" w:lastRow="0" w:firstColumn="0" w:lastColumn="0" w:noHBand="0" w:noVBand="0"/>
      </w:tblPr>
      <w:tblGrid>
        <w:gridCol w:w="2286"/>
        <w:gridCol w:w="2385"/>
        <w:gridCol w:w="1545"/>
        <w:gridCol w:w="2351"/>
        <w:gridCol w:w="1246"/>
      </w:tblGrid>
      <w:tr w:rsidR="0055116C" w:rsidRPr="005C6ABD" w:rsidTr="0055116C">
        <w:trPr>
          <w:trHeight w:val="423"/>
          <w:tblHeader/>
        </w:trPr>
        <w:tc>
          <w:tcPr>
            <w:tcW w:w="5000" w:type="pct"/>
            <w:gridSpan w:val="5"/>
            <w:tcBorders>
              <w:top w:val="single" w:sz="4" w:space="0" w:color="auto"/>
              <w:bottom w:val="single" w:sz="4" w:space="0" w:color="auto"/>
            </w:tcBorders>
            <w:shd w:val="clear" w:color="auto" w:fill="C6D9F1" w:themeFill="text2" w:themeFillTint="33"/>
            <w:vAlign w:val="center"/>
          </w:tcPr>
          <w:p w:rsidR="0055116C" w:rsidRPr="0055116C" w:rsidRDefault="0055116C" w:rsidP="00D340AF">
            <w:pPr>
              <w:tabs>
                <w:tab w:val="left" w:pos="2268"/>
              </w:tabs>
              <w:ind w:left="2268" w:hanging="2268"/>
              <w:rPr>
                <w:rFonts w:cs="Arial"/>
                <w:b/>
                <w:bCs/>
                <w:sz w:val="16"/>
                <w:szCs w:val="16"/>
                <w:lang w:val="ru-RU"/>
              </w:rPr>
            </w:pPr>
            <w:r w:rsidRPr="0055116C">
              <w:rPr>
                <w:rFonts w:cs="Arial"/>
                <w:b/>
                <w:sz w:val="16"/>
                <w:szCs w:val="16"/>
                <w:lang w:val="ru-RU"/>
              </w:rPr>
              <w:t xml:space="preserve">Ожидаемый </w:t>
            </w:r>
            <w:r w:rsidRPr="0055116C">
              <w:rPr>
                <w:b/>
                <w:sz w:val="16"/>
                <w:lang w:val="ru-RU"/>
              </w:rPr>
              <w:t>результат</w:t>
            </w:r>
            <w:r w:rsidRPr="0055116C">
              <w:rPr>
                <w:rFonts w:cs="Arial"/>
                <w:b/>
                <w:sz w:val="16"/>
                <w:szCs w:val="16"/>
                <w:lang w:val="ru-RU"/>
              </w:rPr>
              <w:t xml:space="preserve">: </w:t>
            </w:r>
            <w:r w:rsidRPr="0055116C">
              <w:rPr>
                <w:rFonts w:cs="Arial"/>
                <w:sz w:val="16"/>
                <w:szCs w:val="16"/>
                <w:lang w:val="ru-RU"/>
              </w:rPr>
              <w:tab/>
            </w:r>
            <w:r w:rsidRPr="006230E4">
              <w:rPr>
                <w:rFonts w:cs="Arial"/>
                <w:sz w:val="16"/>
                <w:szCs w:val="16"/>
              </w:rPr>
              <w:t>I</w:t>
            </w:r>
            <w:r w:rsidRPr="0055116C">
              <w:rPr>
                <w:rFonts w:cs="Arial"/>
                <w:sz w:val="16"/>
                <w:szCs w:val="16"/>
                <w:lang w:val="ru-RU"/>
              </w:rPr>
              <w:t>.2. Целевые и сбалансированные законодательные, регулятивные и политические положения ИС</w:t>
            </w:r>
          </w:p>
        </w:tc>
      </w:tr>
      <w:tr w:rsidR="0055116C" w:rsidRPr="006230E4" w:rsidTr="0055116C">
        <w:trPr>
          <w:tblHeader/>
        </w:trPr>
        <w:tc>
          <w:tcPr>
            <w:tcW w:w="1165" w:type="pct"/>
            <w:tcBorders>
              <w:top w:val="single" w:sz="4" w:space="0" w:color="auto"/>
            </w:tcBorders>
            <w:shd w:val="clear" w:color="auto" w:fill="auto"/>
            <w:vAlign w:val="center"/>
          </w:tcPr>
          <w:p w:rsidR="0055116C" w:rsidRPr="006230E4" w:rsidRDefault="0055116C" w:rsidP="0055116C">
            <w:pPr>
              <w:rPr>
                <w:rFonts w:cs="Arial"/>
                <w:sz w:val="16"/>
                <w:szCs w:val="16"/>
              </w:rPr>
            </w:pPr>
            <w:r w:rsidRPr="006230E4">
              <w:rPr>
                <w:rFonts w:cs="Arial"/>
                <w:b/>
                <w:sz w:val="16"/>
                <w:szCs w:val="16"/>
              </w:rPr>
              <w:t>Показатели результативности</w:t>
            </w:r>
          </w:p>
        </w:tc>
        <w:tc>
          <w:tcPr>
            <w:tcW w:w="1215" w:type="pct"/>
            <w:tcBorders>
              <w:top w:val="single" w:sz="4" w:space="0" w:color="auto"/>
            </w:tcBorders>
            <w:shd w:val="clear" w:color="auto" w:fill="auto"/>
            <w:vAlign w:val="center"/>
          </w:tcPr>
          <w:p w:rsidR="0055116C" w:rsidRPr="006230E4" w:rsidRDefault="0055116C" w:rsidP="0055116C">
            <w:pPr>
              <w:rPr>
                <w:rFonts w:cs="Arial"/>
                <w:b/>
                <w:bCs/>
                <w:sz w:val="16"/>
                <w:szCs w:val="16"/>
              </w:rPr>
            </w:pPr>
            <w:r w:rsidRPr="006230E4">
              <w:rPr>
                <w:rFonts w:cs="Arial"/>
                <w:b/>
                <w:sz w:val="16"/>
                <w:szCs w:val="16"/>
              </w:rPr>
              <w:t>Базовые показатели</w:t>
            </w:r>
          </w:p>
        </w:tc>
        <w:tc>
          <w:tcPr>
            <w:tcW w:w="787" w:type="pct"/>
            <w:tcBorders>
              <w:top w:val="single" w:sz="4" w:space="0" w:color="auto"/>
            </w:tcBorders>
            <w:shd w:val="clear" w:color="auto" w:fill="auto"/>
            <w:tcMar>
              <w:top w:w="110" w:type="dxa"/>
            </w:tcMar>
            <w:vAlign w:val="center"/>
          </w:tcPr>
          <w:p w:rsidR="0055116C" w:rsidRPr="006230E4" w:rsidRDefault="0055116C" w:rsidP="0055116C">
            <w:pPr>
              <w:rPr>
                <w:rFonts w:cs="Arial"/>
                <w:b/>
                <w:sz w:val="16"/>
                <w:szCs w:val="16"/>
              </w:rPr>
            </w:pPr>
            <w:r w:rsidRPr="006230E4">
              <w:rPr>
                <w:rFonts w:cs="Arial"/>
                <w:b/>
                <w:sz w:val="16"/>
                <w:szCs w:val="16"/>
              </w:rPr>
              <w:t>Цели</w:t>
            </w:r>
          </w:p>
        </w:tc>
        <w:tc>
          <w:tcPr>
            <w:tcW w:w="1198" w:type="pct"/>
            <w:tcBorders>
              <w:top w:val="single" w:sz="4" w:space="0" w:color="auto"/>
            </w:tcBorders>
            <w:shd w:val="clear" w:color="auto" w:fill="FFFFFF"/>
            <w:tcMar>
              <w:top w:w="110" w:type="dxa"/>
            </w:tcMar>
            <w:vAlign w:val="center"/>
          </w:tcPr>
          <w:p w:rsidR="0055116C" w:rsidRPr="006230E4" w:rsidRDefault="0055116C" w:rsidP="0055116C">
            <w:pPr>
              <w:rPr>
                <w:rFonts w:cs="Arial"/>
                <w:sz w:val="16"/>
                <w:szCs w:val="16"/>
              </w:rPr>
            </w:pPr>
            <w:r w:rsidRPr="006230E4">
              <w:rPr>
                <w:rFonts w:cs="Arial"/>
                <w:b/>
                <w:sz w:val="16"/>
                <w:szCs w:val="16"/>
              </w:rPr>
              <w:t>Данные о результативности</w:t>
            </w:r>
          </w:p>
        </w:tc>
        <w:tc>
          <w:tcPr>
            <w:tcW w:w="635" w:type="pct"/>
            <w:tcBorders>
              <w:top w:val="single" w:sz="4" w:space="0" w:color="auto"/>
            </w:tcBorders>
            <w:shd w:val="clear" w:color="auto" w:fill="auto"/>
            <w:tcMar>
              <w:top w:w="110" w:type="dxa"/>
            </w:tcMar>
            <w:vAlign w:val="center"/>
          </w:tcPr>
          <w:p w:rsidR="0055116C" w:rsidRPr="006230E4" w:rsidRDefault="0055116C" w:rsidP="0055116C">
            <w:pPr>
              <w:jc w:val="center"/>
              <w:rPr>
                <w:rFonts w:cs="Arial"/>
                <w:b/>
                <w:bCs/>
                <w:sz w:val="16"/>
                <w:szCs w:val="16"/>
              </w:rPr>
            </w:pPr>
            <w:r w:rsidRPr="006230E4">
              <w:rPr>
                <w:rFonts w:cs="Arial"/>
                <w:b/>
                <w:sz w:val="16"/>
                <w:szCs w:val="16"/>
              </w:rPr>
              <w:t>CC</w:t>
            </w:r>
          </w:p>
        </w:tc>
      </w:tr>
      <w:tr w:rsidR="0055116C" w:rsidRPr="006230E4" w:rsidTr="0055116C">
        <w:trPr>
          <w:trHeight w:val="2212"/>
          <w:tblHeader/>
        </w:trPr>
        <w:tc>
          <w:tcPr>
            <w:tcW w:w="1165" w:type="pct"/>
            <w:tcBorders>
              <w:bottom w:val="single" w:sz="4" w:space="0" w:color="auto"/>
            </w:tcBorders>
            <w:shd w:val="clear" w:color="auto" w:fill="auto"/>
          </w:tcPr>
          <w:p w:rsidR="0055116C" w:rsidRPr="0055116C" w:rsidRDefault="0055116C" w:rsidP="0055116C">
            <w:pPr>
              <w:rPr>
                <w:rFonts w:cs="Arial"/>
                <w:sz w:val="16"/>
                <w:szCs w:val="16"/>
                <w:lang w:val="ru-RU"/>
              </w:rPr>
            </w:pPr>
            <w:r w:rsidRPr="0055116C">
              <w:rPr>
                <w:rFonts w:cs="Arial"/>
                <w:sz w:val="16"/>
                <w:szCs w:val="16"/>
                <w:lang w:val="ru-RU"/>
              </w:rPr>
              <w:t xml:space="preserve">Число стран, которые получили помощь ВОИС и приняли соответствующие </w:t>
            </w:r>
            <w:r w:rsidRPr="0055116C">
              <w:rPr>
                <w:sz w:val="16"/>
                <w:lang w:val="ru-RU"/>
              </w:rPr>
              <w:t>положения</w:t>
            </w:r>
            <w:r w:rsidRPr="0055116C">
              <w:rPr>
                <w:rFonts w:cs="Arial"/>
                <w:sz w:val="16"/>
                <w:szCs w:val="16"/>
                <w:lang w:val="ru-RU"/>
              </w:rPr>
              <w:t xml:space="preserve"> или внесли в них изменения (или находятся в процессе принятия этих положений и внесения в них изменений)</w:t>
            </w:r>
          </w:p>
          <w:p w:rsidR="0055116C" w:rsidRPr="0055116C" w:rsidRDefault="0055116C" w:rsidP="0055116C">
            <w:pPr>
              <w:rPr>
                <w:rFonts w:cs="Arial"/>
                <w:sz w:val="16"/>
                <w:szCs w:val="16"/>
                <w:lang w:val="ru-RU"/>
              </w:rPr>
            </w:pPr>
          </w:p>
        </w:tc>
        <w:tc>
          <w:tcPr>
            <w:tcW w:w="1215" w:type="pct"/>
            <w:tcBorders>
              <w:bottom w:val="single" w:sz="4" w:space="0" w:color="auto"/>
            </w:tcBorders>
            <w:shd w:val="clear" w:color="auto" w:fill="auto"/>
          </w:tcPr>
          <w:p w:rsidR="0055116C" w:rsidRPr="0055116C" w:rsidRDefault="0055116C" w:rsidP="0055116C">
            <w:pPr>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6230E4">
              <w:rPr>
                <w:rFonts w:cs="Arial"/>
                <w:i/>
                <w:color w:val="002060"/>
                <w:sz w:val="16"/>
                <w:szCs w:val="16"/>
              </w:rPr>
              <w:t> </w:t>
            </w:r>
            <w:r w:rsidRPr="0055116C">
              <w:rPr>
                <w:rFonts w:cs="Arial"/>
                <w:i/>
                <w:color w:val="002060"/>
                <w:sz w:val="16"/>
                <w:szCs w:val="16"/>
                <w:lang w:val="ru-RU"/>
              </w:rPr>
              <w:t xml:space="preserve">г.:  </w:t>
            </w:r>
          </w:p>
          <w:p w:rsidR="0055116C" w:rsidRPr="0055116C" w:rsidRDefault="0055116C" w:rsidP="0055116C">
            <w:pPr>
              <w:rPr>
                <w:rFonts w:cs="Arial"/>
                <w:color w:val="002060"/>
                <w:sz w:val="16"/>
                <w:szCs w:val="16"/>
                <w:lang w:val="ru-RU"/>
              </w:rPr>
            </w:pPr>
            <w:r w:rsidRPr="0055116C">
              <w:rPr>
                <w:rFonts w:cs="Arial"/>
                <w:sz w:val="16"/>
                <w:szCs w:val="16"/>
                <w:lang w:val="ru-RU"/>
              </w:rPr>
              <w:t>9</w:t>
            </w:r>
            <w:r w:rsidRPr="006230E4">
              <w:rPr>
                <w:rFonts w:cs="Arial"/>
                <w:sz w:val="16"/>
                <w:szCs w:val="16"/>
              </w:rPr>
              <w:t> </w:t>
            </w:r>
            <w:r w:rsidRPr="0055116C">
              <w:rPr>
                <w:rFonts w:cs="Arial"/>
                <w:sz w:val="16"/>
                <w:szCs w:val="16"/>
                <w:lang w:val="ru-RU"/>
              </w:rPr>
              <w:t>стран/ организаций в процессе изменения и/или принятия соответствующих рамочных положений, направленных на обеспечение эффективной защиты ИС:</w:t>
            </w:r>
            <w:r w:rsidRPr="0055116C">
              <w:rPr>
                <w:rFonts w:cs="Arial"/>
                <w:color w:val="002060"/>
                <w:sz w:val="16"/>
                <w:szCs w:val="16"/>
                <w:lang w:val="ru-RU"/>
              </w:rPr>
              <w:t xml:space="preserve"> Африка (5); Азиатско-Тихоокеанский регион (2); Латинская Америка и Карибский бассейн (2)</w:t>
            </w:r>
          </w:p>
          <w:p w:rsidR="0055116C" w:rsidRPr="0055116C" w:rsidRDefault="0055116C" w:rsidP="0055116C">
            <w:pPr>
              <w:rPr>
                <w:rFonts w:cs="Arial"/>
                <w:color w:val="002060"/>
                <w:sz w:val="16"/>
                <w:szCs w:val="16"/>
                <w:lang w:val="ru-RU"/>
              </w:rPr>
            </w:pPr>
          </w:p>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w:t>
            </w:r>
            <w:r w:rsidRPr="006230E4">
              <w:rPr>
                <w:rFonts w:cs="Arial"/>
                <w:i/>
                <w:sz w:val="16"/>
                <w:szCs w:val="16"/>
              </w:rPr>
              <w:t> </w:t>
            </w:r>
            <w:r w:rsidRPr="0055116C">
              <w:rPr>
                <w:rFonts w:cs="Arial"/>
                <w:i/>
                <w:sz w:val="16"/>
                <w:szCs w:val="16"/>
                <w:lang w:val="ru-RU"/>
              </w:rPr>
              <w:t>гг.:</w:t>
            </w:r>
            <w:r w:rsidRPr="0055116C">
              <w:rPr>
                <w:rFonts w:cs="Arial"/>
                <w:sz w:val="16"/>
                <w:szCs w:val="16"/>
                <w:lang w:val="ru-RU"/>
              </w:rPr>
              <w:t xml:space="preserve"> будут определены</w:t>
            </w:r>
          </w:p>
          <w:p w:rsidR="0055116C" w:rsidRPr="0055116C" w:rsidRDefault="0055116C" w:rsidP="0055116C">
            <w:pPr>
              <w:rPr>
                <w:rFonts w:cs="Arial"/>
                <w:sz w:val="16"/>
                <w:szCs w:val="16"/>
                <w:lang w:val="ru-RU"/>
              </w:rPr>
            </w:pPr>
          </w:p>
        </w:tc>
        <w:tc>
          <w:tcPr>
            <w:tcW w:w="787" w:type="pct"/>
            <w:tcBorders>
              <w:bottom w:val="single" w:sz="4" w:space="0" w:color="auto"/>
            </w:tcBorders>
            <w:shd w:val="clear" w:color="auto" w:fill="auto"/>
            <w:tcMar>
              <w:top w:w="110" w:type="dxa"/>
            </w:tcMar>
          </w:tcPr>
          <w:p w:rsidR="0055116C" w:rsidRPr="006230E4" w:rsidRDefault="0055116C" w:rsidP="0055116C">
            <w:pPr>
              <w:rPr>
                <w:rFonts w:cs="Arial"/>
                <w:i/>
                <w:sz w:val="16"/>
                <w:szCs w:val="16"/>
              </w:rPr>
            </w:pPr>
            <w:r w:rsidRPr="006230E4">
              <w:rPr>
                <w:rFonts w:cs="Arial"/>
                <w:sz w:val="16"/>
                <w:szCs w:val="16"/>
              </w:rPr>
              <w:t xml:space="preserve">6 </w:t>
            </w:r>
          </w:p>
        </w:tc>
        <w:tc>
          <w:tcPr>
            <w:tcW w:w="1198" w:type="pct"/>
            <w:tcBorders>
              <w:bottom w:val="single" w:sz="4" w:space="0" w:color="auto"/>
            </w:tcBorders>
            <w:shd w:val="clear" w:color="auto" w:fill="FFFFFF"/>
            <w:tcMar>
              <w:top w:w="110" w:type="dxa"/>
            </w:tcMar>
          </w:tcPr>
          <w:p w:rsidR="0055116C" w:rsidRPr="0055116C" w:rsidRDefault="0055116C" w:rsidP="0055116C">
            <w:pPr>
              <w:rPr>
                <w:rFonts w:cs="Arial"/>
                <w:sz w:val="16"/>
                <w:szCs w:val="16"/>
                <w:lang w:val="ru-RU"/>
              </w:rPr>
            </w:pPr>
            <w:r w:rsidRPr="0055116C">
              <w:rPr>
                <w:rFonts w:cs="Arial"/>
                <w:sz w:val="16"/>
                <w:szCs w:val="16"/>
                <w:lang w:val="ru-RU"/>
              </w:rPr>
              <w:t xml:space="preserve">12 стран/ организаций изменили/приняли или находятся в процессе изменения и/или принятия соответствующих рамочных положений, направленных на обеспечение эффективной защиты ИС: Африка (4); Азиатско-Тихоокеанский регион (5); Латинская Америка и Карибский бассейн (3); </w:t>
            </w:r>
          </w:p>
          <w:p w:rsidR="0055116C" w:rsidRPr="006230E4" w:rsidRDefault="0055116C" w:rsidP="0055116C">
            <w:pPr>
              <w:rPr>
                <w:rFonts w:cs="Arial"/>
                <w:sz w:val="16"/>
                <w:szCs w:val="16"/>
              </w:rPr>
            </w:pPr>
            <w:r w:rsidRPr="006230E4">
              <w:rPr>
                <w:rFonts w:cs="Arial"/>
                <w:sz w:val="16"/>
                <w:szCs w:val="16"/>
              </w:rPr>
              <w:t xml:space="preserve">(всего 21)  </w:t>
            </w:r>
          </w:p>
        </w:tc>
        <w:tc>
          <w:tcPr>
            <w:tcW w:w="635" w:type="pct"/>
            <w:tcBorders>
              <w:bottom w:val="single" w:sz="4" w:space="0" w:color="auto"/>
            </w:tcBorders>
            <w:shd w:val="clear" w:color="auto" w:fill="auto"/>
            <w:tcMar>
              <w:top w:w="110" w:type="dxa"/>
            </w:tcMar>
          </w:tcPr>
          <w:p w:rsidR="0055116C" w:rsidRPr="006230E4" w:rsidRDefault="0055116C" w:rsidP="0055116C">
            <w:pPr>
              <w:jc w:val="center"/>
              <w:rPr>
                <w:rFonts w:cs="Arial"/>
                <w:b/>
                <w:bCs/>
                <w:color w:val="00B050"/>
                <w:sz w:val="16"/>
                <w:szCs w:val="16"/>
              </w:rPr>
            </w:pPr>
            <w:r w:rsidRPr="006230E4">
              <w:rPr>
                <w:rFonts w:cs="Arial"/>
                <w:b/>
                <w:color w:val="00B050"/>
                <w:sz w:val="16"/>
                <w:szCs w:val="16"/>
              </w:rPr>
              <w:t>Выполнено</w:t>
            </w:r>
          </w:p>
        </w:tc>
      </w:tr>
    </w:tbl>
    <w:p w:rsidR="0055116C" w:rsidRDefault="0055116C" w:rsidP="0055116C"/>
    <w:p w:rsidR="0055116C" w:rsidRDefault="0055116C">
      <w:r>
        <w:br w:type="page"/>
      </w:r>
    </w:p>
    <w:tbl>
      <w:tblPr>
        <w:tblW w:w="5160" w:type="pct"/>
        <w:tblBorders>
          <w:top w:val="single" w:sz="4" w:space="0" w:color="auto"/>
          <w:left w:val="single" w:sz="4" w:space="0" w:color="auto"/>
          <w:bottom w:val="single" w:sz="4" w:space="0" w:color="auto"/>
          <w:right w:val="single" w:sz="4" w:space="0" w:color="auto"/>
        </w:tblBorders>
        <w:tblLayout w:type="fixed"/>
        <w:tblCellMar>
          <w:left w:w="115" w:type="dxa"/>
          <w:right w:w="115" w:type="dxa"/>
        </w:tblCellMar>
        <w:tblLook w:val="0000" w:firstRow="0" w:lastRow="0" w:firstColumn="0" w:lastColumn="0" w:noHBand="0" w:noVBand="0"/>
      </w:tblPr>
      <w:tblGrid>
        <w:gridCol w:w="2285"/>
        <w:gridCol w:w="2384"/>
        <w:gridCol w:w="1545"/>
        <w:gridCol w:w="2604"/>
        <w:gridCol w:w="1074"/>
      </w:tblGrid>
      <w:tr w:rsidR="0055116C" w:rsidRPr="005C6ABD" w:rsidTr="0055116C">
        <w:trPr>
          <w:trHeight w:val="525"/>
          <w:tblHeader/>
        </w:trPr>
        <w:tc>
          <w:tcPr>
            <w:tcW w:w="5000" w:type="pct"/>
            <w:gridSpan w:val="5"/>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tabs>
                <w:tab w:val="left" w:pos="2268"/>
              </w:tabs>
              <w:ind w:left="2268" w:hanging="2268"/>
              <w:rPr>
                <w:rFonts w:cs="Arial"/>
                <w:b/>
                <w:bCs/>
                <w:sz w:val="16"/>
                <w:szCs w:val="16"/>
                <w:lang w:val="ru-RU"/>
              </w:rPr>
            </w:pPr>
            <w:r w:rsidRPr="0055116C">
              <w:rPr>
                <w:rFonts w:cs="Arial"/>
                <w:b/>
                <w:sz w:val="16"/>
                <w:szCs w:val="16"/>
                <w:lang w:val="ru-RU"/>
              </w:rPr>
              <w:t xml:space="preserve">Ожидаемый результат: </w:t>
            </w:r>
            <w:r w:rsidRPr="0055116C">
              <w:rPr>
                <w:rFonts w:cs="Arial"/>
                <w:sz w:val="16"/>
                <w:szCs w:val="16"/>
                <w:lang w:val="ru-RU"/>
              </w:rPr>
              <w:tab/>
            </w:r>
            <w:r w:rsidRPr="006230E4">
              <w:rPr>
                <w:rFonts w:cs="Arial"/>
                <w:sz w:val="16"/>
                <w:szCs w:val="16"/>
              </w:rPr>
              <w:t>III</w:t>
            </w:r>
            <w:r w:rsidRPr="0055116C">
              <w:rPr>
                <w:rFonts w:cs="Arial"/>
                <w:sz w:val="16"/>
                <w:szCs w:val="16"/>
                <w:lang w:val="ru-RU"/>
              </w:rPr>
              <w:t>.2. Повышение квалификации людских ресурсов для решения широкого круга вопросов, связанных с эффективным использованием ИС для целей развития в развивающихся странах, наименее развитых странах и странах с переходной экономикой</w:t>
            </w:r>
          </w:p>
        </w:tc>
      </w:tr>
      <w:tr w:rsidR="0055116C" w:rsidRPr="006230E4" w:rsidTr="0055116C">
        <w:trPr>
          <w:tblHeader/>
        </w:trPr>
        <w:tc>
          <w:tcPr>
            <w:tcW w:w="1155" w:type="pct"/>
            <w:tcBorders>
              <w:top w:val="single" w:sz="4" w:space="0" w:color="auto"/>
              <w:left w:val="single" w:sz="4" w:space="0" w:color="auto"/>
              <w:bottom w:val="nil"/>
            </w:tcBorders>
            <w:shd w:val="clear" w:color="auto" w:fill="auto"/>
            <w:vAlign w:val="center"/>
          </w:tcPr>
          <w:p w:rsidR="0055116C" w:rsidRPr="006230E4" w:rsidRDefault="0055116C" w:rsidP="0055116C">
            <w:pPr>
              <w:rPr>
                <w:rFonts w:cs="Arial"/>
                <w:sz w:val="16"/>
                <w:szCs w:val="16"/>
              </w:rPr>
            </w:pPr>
            <w:r w:rsidRPr="006230E4">
              <w:rPr>
                <w:rFonts w:cs="Arial"/>
                <w:b/>
                <w:sz w:val="16"/>
                <w:szCs w:val="16"/>
              </w:rPr>
              <w:t>Показатели результативности</w:t>
            </w:r>
          </w:p>
        </w:tc>
        <w:tc>
          <w:tcPr>
            <w:tcW w:w="1205" w:type="pct"/>
            <w:tcBorders>
              <w:top w:val="single" w:sz="4" w:space="0" w:color="auto"/>
              <w:bottom w:val="nil"/>
            </w:tcBorders>
            <w:shd w:val="clear" w:color="auto" w:fill="auto"/>
            <w:vAlign w:val="center"/>
          </w:tcPr>
          <w:p w:rsidR="0055116C" w:rsidRPr="006230E4" w:rsidRDefault="0055116C" w:rsidP="0055116C">
            <w:pPr>
              <w:rPr>
                <w:rFonts w:cs="Arial"/>
                <w:b/>
                <w:bCs/>
                <w:sz w:val="16"/>
                <w:szCs w:val="16"/>
              </w:rPr>
            </w:pPr>
            <w:r w:rsidRPr="006230E4">
              <w:rPr>
                <w:rFonts w:cs="Arial"/>
                <w:b/>
                <w:sz w:val="16"/>
                <w:szCs w:val="16"/>
              </w:rPr>
              <w:t>Базовые показатели</w:t>
            </w:r>
          </w:p>
        </w:tc>
        <w:tc>
          <w:tcPr>
            <w:tcW w:w="781" w:type="pct"/>
            <w:tcBorders>
              <w:top w:val="single" w:sz="4" w:space="0" w:color="auto"/>
              <w:bottom w:val="nil"/>
            </w:tcBorders>
            <w:shd w:val="clear" w:color="auto" w:fill="auto"/>
            <w:tcMar>
              <w:top w:w="110" w:type="dxa"/>
            </w:tcMar>
            <w:vAlign w:val="center"/>
          </w:tcPr>
          <w:p w:rsidR="0055116C" w:rsidRPr="006230E4" w:rsidRDefault="0055116C" w:rsidP="0055116C">
            <w:pPr>
              <w:rPr>
                <w:rFonts w:cs="Arial"/>
                <w:b/>
                <w:sz w:val="16"/>
                <w:szCs w:val="16"/>
              </w:rPr>
            </w:pPr>
            <w:r w:rsidRPr="006230E4">
              <w:rPr>
                <w:rFonts w:cs="Arial"/>
                <w:b/>
                <w:sz w:val="16"/>
                <w:szCs w:val="16"/>
              </w:rPr>
              <w:t>Цели</w:t>
            </w:r>
          </w:p>
        </w:tc>
        <w:tc>
          <w:tcPr>
            <w:tcW w:w="1316" w:type="pct"/>
            <w:tcBorders>
              <w:top w:val="single" w:sz="4" w:space="0" w:color="auto"/>
              <w:bottom w:val="nil"/>
            </w:tcBorders>
            <w:shd w:val="clear" w:color="auto" w:fill="FFFFFF"/>
            <w:tcMar>
              <w:top w:w="110" w:type="dxa"/>
            </w:tcMar>
            <w:vAlign w:val="center"/>
          </w:tcPr>
          <w:p w:rsidR="0055116C" w:rsidRPr="006230E4" w:rsidRDefault="0055116C" w:rsidP="0055116C">
            <w:pPr>
              <w:rPr>
                <w:rFonts w:cs="Arial"/>
                <w:sz w:val="16"/>
                <w:szCs w:val="16"/>
              </w:rPr>
            </w:pPr>
            <w:r w:rsidRPr="006230E4">
              <w:rPr>
                <w:rFonts w:cs="Arial"/>
                <w:b/>
                <w:sz w:val="16"/>
                <w:szCs w:val="16"/>
              </w:rPr>
              <w:t>Данные о результативности</w:t>
            </w:r>
          </w:p>
        </w:tc>
        <w:tc>
          <w:tcPr>
            <w:tcW w:w="543" w:type="pct"/>
            <w:tcBorders>
              <w:top w:val="single" w:sz="4" w:space="0" w:color="auto"/>
              <w:bottom w:val="nil"/>
              <w:right w:val="single" w:sz="4" w:space="0" w:color="auto"/>
            </w:tcBorders>
            <w:shd w:val="clear" w:color="auto" w:fill="auto"/>
            <w:tcMar>
              <w:top w:w="110" w:type="dxa"/>
            </w:tcMar>
            <w:vAlign w:val="center"/>
          </w:tcPr>
          <w:p w:rsidR="0055116C" w:rsidRPr="006230E4" w:rsidRDefault="0055116C" w:rsidP="0055116C">
            <w:pPr>
              <w:jc w:val="center"/>
              <w:rPr>
                <w:rFonts w:cs="Arial"/>
                <w:b/>
                <w:bCs/>
                <w:sz w:val="16"/>
                <w:szCs w:val="16"/>
              </w:rPr>
            </w:pPr>
            <w:r w:rsidRPr="006230E4">
              <w:rPr>
                <w:rFonts w:cs="Arial"/>
                <w:b/>
                <w:sz w:val="16"/>
                <w:szCs w:val="16"/>
              </w:rPr>
              <w:t>CC</w:t>
            </w:r>
          </w:p>
        </w:tc>
      </w:tr>
      <w:tr w:rsidR="0055116C" w:rsidRPr="006230E4" w:rsidTr="0055116C">
        <w:trPr>
          <w:tblHeader/>
        </w:trPr>
        <w:tc>
          <w:tcPr>
            <w:tcW w:w="1155" w:type="pct"/>
            <w:tcBorders>
              <w:top w:val="nil"/>
              <w:left w:val="single" w:sz="4" w:space="0" w:color="auto"/>
              <w:bottom w:val="nil"/>
            </w:tcBorders>
            <w:shd w:val="clear" w:color="auto" w:fill="auto"/>
          </w:tcPr>
          <w:p w:rsidR="0055116C" w:rsidRPr="0055116C" w:rsidRDefault="0055116C" w:rsidP="0055116C">
            <w:pPr>
              <w:rPr>
                <w:rFonts w:cs="Arial"/>
                <w:sz w:val="16"/>
                <w:szCs w:val="16"/>
                <w:lang w:val="ru-RU"/>
              </w:rPr>
            </w:pPr>
            <w:r w:rsidRPr="0055116C">
              <w:rPr>
                <w:rFonts w:cs="Arial"/>
                <w:color w:val="000000"/>
                <w:sz w:val="16"/>
                <w:szCs w:val="16"/>
                <w:lang w:val="ru-RU"/>
              </w:rPr>
              <w:t>Доля (%) прошедших обучение лиц, выразивших удовлетворение по поводу того, насколько это обучение полезно и актуально для их профессиональной деятельности</w:t>
            </w:r>
          </w:p>
        </w:tc>
        <w:tc>
          <w:tcPr>
            <w:tcW w:w="1205" w:type="pct"/>
            <w:tcBorders>
              <w:top w:val="nil"/>
              <w:bottom w:val="nil"/>
            </w:tcBorders>
            <w:shd w:val="clear" w:color="auto" w:fill="auto"/>
          </w:tcPr>
          <w:p w:rsidR="0055116C" w:rsidRPr="0055116C" w:rsidRDefault="0055116C" w:rsidP="0055116C">
            <w:pPr>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6230E4">
              <w:rPr>
                <w:rFonts w:cs="Arial"/>
                <w:i/>
                <w:color w:val="002060"/>
                <w:sz w:val="16"/>
                <w:szCs w:val="16"/>
              </w:rPr>
              <w:t> </w:t>
            </w:r>
            <w:r w:rsidRPr="0055116C">
              <w:rPr>
                <w:rFonts w:cs="Arial"/>
                <w:i/>
                <w:color w:val="002060"/>
                <w:sz w:val="16"/>
                <w:szCs w:val="16"/>
                <w:lang w:val="ru-RU"/>
              </w:rPr>
              <w:t xml:space="preserve">г.:  </w:t>
            </w:r>
          </w:p>
          <w:p w:rsidR="0055116C" w:rsidRPr="0055116C" w:rsidRDefault="0055116C" w:rsidP="0055116C">
            <w:pPr>
              <w:rPr>
                <w:rFonts w:cs="Arial"/>
                <w:color w:val="002060"/>
                <w:sz w:val="16"/>
                <w:szCs w:val="16"/>
                <w:lang w:val="ru-RU"/>
              </w:rPr>
            </w:pPr>
            <w:r w:rsidRPr="0055116C">
              <w:rPr>
                <w:rFonts w:cs="Arial"/>
                <w:color w:val="002060"/>
                <w:sz w:val="16"/>
                <w:szCs w:val="16"/>
                <w:lang w:val="ru-RU"/>
              </w:rPr>
              <w:t>85%</w:t>
            </w:r>
          </w:p>
          <w:p w:rsidR="0055116C" w:rsidRPr="0055116C" w:rsidRDefault="0055116C" w:rsidP="0055116C">
            <w:pPr>
              <w:rPr>
                <w:rFonts w:cs="Arial"/>
                <w:i/>
                <w:sz w:val="16"/>
                <w:szCs w:val="16"/>
                <w:lang w:val="ru-RU"/>
              </w:rPr>
            </w:pPr>
          </w:p>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br/>
              <w:t>75%</w:t>
            </w:r>
          </w:p>
          <w:p w:rsidR="0055116C" w:rsidRPr="0055116C" w:rsidRDefault="0055116C" w:rsidP="0055116C">
            <w:pPr>
              <w:rPr>
                <w:rFonts w:cs="Arial"/>
                <w:sz w:val="16"/>
                <w:szCs w:val="16"/>
                <w:lang w:val="ru-RU"/>
              </w:rPr>
            </w:pPr>
          </w:p>
        </w:tc>
        <w:tc>
          <w:tcPr>
            <w:tcW w:w="781" w:type="pct"/>
            <w:tcBorders>
              <w:top w:val="nil"/>
              <w:bottom w:val="nil"/>
            </w:tcBorders>
            <w:shd w:val="clear" w:color="auto" w:fill="auto"/>
            <w:tcMar>
              <w:top w:w="110" w:type="dxa"/>
            </w:tcMar>
          </w:tcPr>
          <w:p w:rsidR="0055116C" w:rsidRPr="006230E4" w:rsidRDefault="0055116C" w:rsidP="0055116C">
            <w:pPr>
              <w:rPr>
                <w:rFonts w:cs="Arial"/>
                <w:i/>
                <w:sz w:val="16"/>
                <w:szCs w:val="16"/>
              </w:rPr>
            </w:pPr>
            <w:r w:rsidRPr="006230E4">
              <w:rPr>
                <w:rFonts w:cs="Arial"/>
                <w:sz w:val="16"/>
                <w:szCs w:val="16"/>
              </w:rPr>
              <w:t>75%</w:t>
            </w:r>
          </w:p>
        </w:tc>
        <w:tc>
          <w:tcPr>
            <w:tcW w:w="1316" w:type="pct"/>
            <w:tcBorders>
              <w:top w:val="nil"/>
              <w:bottom w:val="nil"/>
            </w:tcBorders>
            <w:shd w:val="clear" w:color="auto" w:fill="FFFFFF"/>
            <w:tcMar>
              <w:top w:w="110" w:type="dxa"/>
            </w:tcMar>
          </w:tcPr>
          <w:p w:rsidR="0055116C" w:rsidRPr="0055116C" w:rsidRDefault="0055116C" w:rsidP="0055116C">
            <w:pPr>
              <w:pStyle w:val="ListParagraph"/>
              <w:tabs>
                <w:tab w:val="left" w:pos="307"/>
              </w:tabs>
              <w:ind w:left="24"/>
              <w:rPr>
                <w:rFonts w:cs="Arial"/>
                <w:sz w:val="16"/>
                <w:szCs w:val="16"/>
                <w:lang w:val="ru-RU"/>
              </w:rPr>
            </w:pPr>
            <w:r w:rsidRPr="0055116C">
              <w:rPr>
                <w:rFonts w:cs="Arial"/>
                <w:sz w:val="16"/>
                <w:szCs w:val="16"/>
                <w:lang w:val="ru-RU"/>
              </w:rPr>
              <w:t>Средний показатель полезности обучения: 93%</w:t>
            </w:r>
          </w:p>
          <w:p w:rsidR="0055116C" w:rsidRPr="0055116C" w:rsidRDefault="0055116C" w:rsidP="0055116C">
            <w:pPr>
              <w:pStyle w:val="ListParagraph"/>
              <w:tabs>
                <w:tab w:val="left" w:pos="307"/>
              </w:tabs>
              <w:ind w:left="24"/>
              <w:rPr>
                <w:rFonts w:cs="Arial"/>
                <w:sz w:val="16"/>
                <w:szCs w:val="16"/>
                <w:lang w:val="ru-RU"/>
              </w:rPr>
            </w:pPr>
            <w:r w:rsidRPr="0055116C">
              <w:rPr>
                <w:rFonts w:cs="Arial"/>
                <w:sz w:val="16"/>
                <w:szCs w:val="16"/>
                <w:lang w:val="ru-RU"/>
              </w:rPr>
              <w:t xml:space="preserve"> </w:t>
            </w:r>
          </w:p>
          <w:p w:rsidR="0055116C" w:rsidRPr="0055116C" w:rsidRDefault="0055116C" w:rsidP="0055116C">
            <w:pPr>
              <w:pStyle w:val="ListParagraph"/>
              <w:tabs>
                <w:tab w:val="left" w:pos="307"/>
              </w:tabs>
              <w:ind w:left="24"/>
              <w:rPr>
                <w:rFonts w:cs="Arial"/>
                <w:color w:val="C00000"/>
                <w:sz w:val="16"/>
                <w:szCs w:val="16"/>
                <w:lang w:val="ru-RU"/>
              </w:rPr>
            </w:pPr>
            <w:r w:rsidRPr="0055116C">
              <w:rPr>
                <w:rFonts w:cs="Arial"/>
                <w:sz w:val="16"/>
                <w:szCs w:val="16"/>
                <w:lang w:val="ru-RU"/>
              </w:rPr>
              <w:t xml:space="preserve">Средний показатель удовлетворенности обучением: 92% </w:t>
            </w:r>
          </w:p>
        </w:tc>
        <w:tc>
          <w:tcPr>
            <w:tcW w:w="543" w:type="pct"/>
            <w:tcBorders>
              <w:top w:val="nil"/>
              <w:bottom w:val="nil"/>
              <w:right w:val="single" w:sz="4" w:space="0" w:color="auto"/>
            </w:tcBorders>
            <w:shd w:val="clear" w:color="auto" w:fill="auto"/>
            <w:tcMar>
              <w:top w:w="110" w:type="dxa"/>
            </w:tcMar>
          </w:tcPr>
          <w:p w:rsidR="0055116C" w:rsidRPr="006230E4" w:rsidRDefault="0055116C" w:rsidP="0055116C">
            <w:pPr>
              <w:jc w:val="center"/>
              <w:rPr>
                <w:rFonts w:cs="Arial"/>
                <w:b/>
                <w:bCs/>
                <w:color w:val="808080"/>
                <w:sz w:val="16"/>
                <w:szCs w:val="16"/>
              </w:rPr>
            </w:pPr>
            <w:r w:rsidRPr="006230E4">
              <w:rPr>
                <w:rFonts w:cs="Arial"/>
                <w:b/>
                <w:color w:val="00B050"/>
                <w:sz w:val="16"/>
                <w:szCs w:val="16"/>
              </w:rPr>
              <w:t>Выполнено</w:t>
            </w:r>
          </w:p>
        </w:tc>
      </w:tr>
      <w:tr w:rsidR="0055116C" w:rsidRPr="006230E4" w:rsidTr="0055116C">
        <w:trPr>
          <w:tblHeader/>
        </w:trPr>
        <w:tc>
          <w:tcPr>
            <w:tcW w:w="1155" w:type="pct"/>
            <w:tcBorders>
              <w:top w:val="nil"/>
              <w:left w:val="single" w:sz="4" w:space="0" w:color="auto"/>
              <w:bottom w:val="nil"/>
            </w:tcBorders>
            <w:shd w:val="clear" w:color="auto" w:fill="auto"/>
          </w:tcPr>
          <w:p w:rsidR="0055116C" w:rsidRPr="006230E4" w:rsidRDefault="0055116C" w:rsidP="0055116C">
            <w:pPr>
              <w:rPr>
                <w:rFonts w:cs="Arial"/>
                <w:color w:val="000000"/>
                <w:sz w:val="16"/>
                <w:szCs w:val="16"/>
              </w:rPr>
            </w:pPr>
            <w:r w:rsidRPr="0055116C">
              <w:rPr>
                <w:rFonts w:cs="Arial"/>
                <w:color w:val="000000"/>
                <w:sz w:val="16"/>
                <w:szCs w:val="16"/>
                <w:lang w:val="ru-RU"/>
              </w:rPr>
              <w:t xml:space="preserve">Часть (в %) целевой аудитории, продемонстрировавшая общую осведомленность о сбалансированной системе ИС благодаря проведению </w:t>
            </w:r>
            <w:r w:rsidRPr="006230E4">
              <w:rPr>
                <w:rFonts w:cs="Arial"/>
                <w:color w:val="000000"/>
                <w:sz w:val="16"/>
                <w:szCs w:val="16"/>
              </w:rPr>
              <w:t>ВОИС соответствующих мероприятий</w:t>
            </w:r>
          </w:p>
        </w:tc>
        <w:tc>
          <w:tcPr>
            <w:tcW w:w="1205" w:type="pct"/>
            <w:tcBorders>
              <w:top w:val="nil"/>
              <w:bottom w:val="nil"/>
            </w:tcBorders>
            <w:shd w:val="clear" w:color="auto" w:fill="auto"/>
          </w:tcPr>
          <w:p w:rsidR="0055116C" w:rsidRPr="006230E4" w:rsidRDefault="0055116C" w:rsidP="0055116C">
            <w:pPr>
              <w:rPr>
                <w:rFonts w:cs="Arial"/>
                <w:i/>
                <w:color w:val="002060"/>
                <w:sz w:val="16"/>
                <w:szCs w:val="16"/>
              </w:rPr>
            </w:pPr>
            <w:r w:rsidRPr="006230E4">
              <w:rPr>
                <w:rFonts w:cs="Arial"/>
                <w:sz w:val="16"/>
                <w:szCs w:val="16"/>
              </w:rPr>
              <w:t>Данные отсутствуют</w:t>
            </w:r>
          </w:p>
        </w:tc>
        <w:tc>
          <w:tcPr>
            <w:tcW w:w="781" w:type="pct"/>
            <w:tcBorders>
              <w:top w:val="nil"/>
              <w:bottom w:val="nil"/>
            </w:tcBorders>
            <w:shd w:val="clear" w:color="auto" w:fill="auto"/>
            <w:tcMar>
              <w:top w:w="110" w:type="dxa"/>
            </w:tcMar>
          </w:tcPr>
          <w:p w:rsidR="0055116C" w:rsidRPr="006230E4" w:rsidRDefault="0055116C" w:rsidP="0055116C">
            <w:pPr>
              <w:rPr>
                <w:rFonts w:cs="Arial"/>
                <w:sz w:val="16"/>
                <w:szCs w:val="16"/>
              </w:rPr>
            </w:pPr>
            <w:r w:rsidRPr="006230E4">
              <w:rPr>
                <w:rFonts w:cs="Arial"/>
                <w:sz w:val="16"/>
                <w:szCs w:val="16"/>
              </w:rPr>
              <w:t>75%</w:t>
            </w:r>
          </w:p>
        </w:tc>
        <w:tc>
          <w:tcPr>
            <w:tcW w:w="1316" w:type="pct"/>
            <w:tcBorders>
              <w:top w:val="nil"/>
              <w:bottom w:val="nil"/>
            </w:tcBorders>
            <w:shd w:val="clear" w:color="auto" w:fill="FFFFFF"/>
            <w:tcMar>
              <w:top w:w="110" w:type="dxa"/>
            </w:tcMar>
          </w:tcPr>
          <w:p w:rsidR="0055116C" w:rsidRPr="0055116C" w:rsidRDefault="0055116C" w:rsidP="0055116C">
            <w:pPr>
              <w:pStyle w:val="ListParagraph"/>
              <w:tabs>
                <w:tab w:val="left" w:pos="307"/>
              </w:tabs>
              <w:ind w:left="24"/>
              <w:rPr>
                <w:rFonts w:cs="Arial"/>
                <w:sz w:val="16"/>
                <w:szCs w:val="16"/>
                <w:lang w:val="ru-RU"/>
              </w:rPr>
            </w:pPr>
            <w:r w:rsidRPr="0055116C">
              <w:rPr>
                <w:rFonts w:cs="Arial"/>
                <w:sz w:val="16"/>
                <w:szCs w:val="16"/>
                <w:lang w:val="ru-RU"/>
              </w:rPr>
              <w:t>&gt;75%.  Базовые знания были продемонстрированы на школьных конкурсах в странах-участницах.</w:t>
            </w:r>
          </w:p>
        </w:tc>
        <w:tc>
          <w:tcPr>
            <w:tcW w:w="543" w:type="pct"/>
            <w:tcBorders>
              <w:top w:val="nil"/>
              <w:bottom w:val="nil"/>
              <w:right w:val="single" w:sz="4" w:space="0" w:color="auto"/>
            </w:tcBorders>
            <w:shd w:val="clear" w:color="auto" w:fill="auto"/>
            <w:tcMar>
              <w:top w:w="110" w:type="dxa"/>
            </w:tcMar>
          </w:tcPr>
          <w:p w:rsidR="0055116C" w:rsidRPr="006230E4" w:rsidRDefault="0055116C" w:rsidP="0055116C">
            <w:pPr>
              <w:jc w:val="center"/>
              <w:rPr>
                <w:rFonts w:cs="Arial"/>
                <w:b/>
                <w:bCs/>
                <w:color w:val="00B050"/>
                <w:sz w:val="16"/>
                <w:szCs w:val="16"/>
              </w:rPr>
            </w:pPr>
            <w:r w:rsidRPr="006230E4">
              <w:rPr>
                <w:rFonts w:cs="Arial"/>
                <w:b/>
                <w:color w:val="00B050"/>
                <w:sz w:val="16"/>
                <w:szCs w:val="16"/>
              </w:rPr>
              <w:t>Выполнено</w:t>
            </w:r>
          </w:p>
        </w:tc>
      </w:tr>
      <w:tr w:rsidR="0055116C" w:rsidRPr="006230E4" w:rsidTr="0055116C">
        <w:trPr>
          <w:trHeight w:val="70"/>
          <w:tblHeader/>
        </w:trPr>
        <w:tc>
          <w:tcPr>
            <w:tcW w:w="1155" w:type="pct"/>
            <w:tcBorders>
              <w:top w:val="nil"/>
              <w:left w:val="single" w:sz="4" w:space="0" w:color="auto"/>
              <w:bottom w:val="single" w:sz="4" w:space="0" w:color="auto"/>
            </w:tcBorders>
            <w:shd w:val="clear" w:color="auto" w:fill="auto"/>
          </w:tcPr>
          <w:p w:rsidR="0055116C" w:rsidRPr="0055116C" w:rsidRDefault="0055116C" w:rsidP="0055116C">
            <w:pPr>
              <w:rPr>
                <w:rFonts w:cs="Arial"/>
                <w:color w:val="000000"/>
                <w:sz w:val="16"/>
                <w:szCs w:val="16"/>
                <w:lang w:val="ru-RU"/>
              </w:rPr>
            </w:pPr>
            <w:r w:rsidRPr="0055116C">
              <w:rPr>
                <w:rFonts w:cs="Arial"/>
                <w:color w:val="000000"/>
                <w:sz w:val="16"/>
                <w:szCs w:val="16"/>
                <w:lang w:val="ru-RU"/>
              </w:rPr>
              <w:t>Число стран – участниц Программы наград ВОИС</w:t>
            </w:r>
          </w:p>
        </w:tc>
        <w:tc>
          <w:tcPr>
            <w:tcW w:w="1205" w:type="pct"/>
            <w:tcBorders>
              <w:top w:val="nil"/>
              <w:bottom w:val="single" w:sz="4" w:space="0" w:color="auto"/>
            </w:tcBorders>
            <w:shd w:val="clear" w:color="auto" w:fill="auto"/>
          </w:tcPr>
          <w:p w:rsidR="0055116C" w:rsidRPr="0055116C" w:rsidRDefault="0055116C" w:rsidP="0055116C">
            <w:pPr>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6230E4">
              <w:rPr>
                <w:rFonts w:cs="Arial"/>
                <w:i/>
                <w:color w:val="002060"/>
                <w:sz w:val="16"/>
                <w:szCs w:val="16"/>
              </w:rPr>
              <w:t> </w:t>
            </w:r>
            <w:r w:rsidRPr="0055116C">
              <w:rPr>
                <w:rFonts w:cs="Arial"/>
                <w:i/>
                <w:color w:val="002060"/>
                <w:sz w:val="16"/>
                <w:szCs w:val="16"/>
                <w:lang w:val="ru-RU"/>
              </w:rPr>
              <w:t>г.:  42 в 2013 г.</w:t>
            </w:r>
          </w:p>
          <w:p w:rsidR="0055116C" w:rsidRPr="0055116C" w:rsidRDefault="0055116C" w:rsidP="0055116C">
            <w:pPr>
              <w:rPr>
                <w:rFonts w:cs="Arial"/>
                <w:i/>
                <w:sz w:val="16"/>
                <w:szCs w:val="16"/>
                <w:lang w:val="ru-RU"/>
              </w:rPr>
            </w:pPr>
          </w:p>
          <w:p w:rsidR="0055116C" w:rsidRPr="0055116C" w:rsidRDefault="0055116C" w:rsidP="0055116C">
            <w:pPr>
              <w:rPr>
                <w:rFonts w:cs="Arial"/>
                <w:i/>
                <w:color w:val="002060"/>
                <w:sz w:val="16"/>
                <w:szCs w:val="16"/>
                <w:lang w:val="ru-RU"/>
              </w:rPr>
            </w:pPr>
            <w:r w:rsidRPr="0055116C">
              <w:rPr>
                <w:rFonts w:cs="Arial"/>
                <w:i/>
                <w:sz w:val="16"/>
                <w:szCs w:val="16"/>
                <w:lang w:val="ru-RU"/>
              </w:rPr>
              <w:t xml:space="preserve">Исходные базовые показатели ПиБ на 2014–2015 гг.: </w:t>
            </w:r>
            <w:r w:rsidRPr="0055116C">
              <w:rPr>
                <w:rFonts w:cs="Arial"/>
                <w:sz w:val="16"/>
                <w:szCs w:val="16"/>
                <w:lang w:val="ru-RU"/>
              </w:rPr>
              <w:t>40 в год</w:t>
            </w:r>
          </w:p>
        </w:tc>
        <w:tc>
          <w:tcPr>
            <w:tcW w:w="781" w:type="pct"/>
            <w:tcBorders>
              <w:top w:val="nil"/>
              <w:bottom w:val="single" w:sz="4" w:space="0" w:color="auto"/>
            </w:tcBorders>
            <w:shd w:val="clear" w:color="auto" w:fill="auto"/>
            <w:tcMar>
              <w:top w:w="110" w:type="dxa"/>
            </w:tcMar>
          </w:tcPr>
          <w:p w:rsidR="0055116C" w:rsidRPr="006230E4" w:rsidRDefault="0055116C" w:rsidP="0055116C">
            <w:pPr>
              <w:rPr>
                <w:rFonts w:cs="Arial"/>
                <w:sz w:val="16"/>
                <w:szCs w:val="16"/>
              </w:rPr>
            </w:pPr>
            <w:r w:rsidRPr="006230E4">
              <w:rPr>
                <w:rFonts w:cs="Arial"/>
                <w:sz w:val="16"/>
                <w:szCs w:val="16"/>
              </w:rPr>
              <w:t>40 в год</w:t>
            </w:r>
          </w:p>
        </w:tc>
        <w:tc>
          <w:tcPr>
            <w:tcW w:w="1316" w:type="pct"/>
            <w:tcBorders>
              <w:top w:val="nil"/>
              <w:bottom w:val="single" w:sz="4" w:space="0" w:color="auto"/>
            </w:tcBorders>
            <w:shd w:val="clear" w:color="auto" w:fill="FFFFFF"/>
            <w:tcMar>
              <w:top w:w="110" w:type="dxa"/>
            </w:tcMar>
          </w:tcPr>
          <w:p w:rsidR="0055116C" w:rsidRPr="0055116C" w:rsidRDefault="0055116C" w:rsidP="0055116C">
            <w:pPr>
              <w:pStyle w:val="ListParagraph"/>
              <w:tabs>
                <w:tab w:val="left" w:pos="307"/>
              </w:tabs>
              <w:ind w:left="24"/>
              <w:rPr>
                <w:rFonts w:cs="Arial"/>
                <w:sz w:val="16"/>
                <w:szCs w:val="16"/>
                <w:lang w:val="ru-RU"/>
              </w:rPr>
            </w:pPr>
            <w:r w:rsidRPr="0055116C">
              <w:rPr>
                <w:rFonts w:cs="Arial"/>
                <w:sz w:val="16"/>
                <w:szCs w:val="16"/>
                <w:lang w:val="ru-RU"/>
              </w:rPr>
              <w:t>В 2014–2015</w:t>
            </w:r>
            <w:r w:rsidRPr="006230E4">
              <w:rPr>
                <w:rFonts w:cs="Arial"/>
                <w:sz w:val="16"/>
                <w:szCs w:val="16"/>
              </w:rPr>
              <w:t> </w:t>
            </w:r>
            <w:r w:rsidRPr="0055116C">
              <w:rPr>
                <w:rFonts w:cs="Arial"/>
                <w:sz w:val="16"/>
                <w:szCs w:val="16"/>
                <w:lang w:val="ru-RU"/>
              </w:rPr>
              <w:t>гг. в общей сложности 54 страны приняли участие в Программе наград ВОИС:</w:t>
            </w:r>
          </w:p>
          <w:p w:rsidR="0055116C" w:rsidRPr="0055116C" w:rsidRDefault="0055116C" w:rsidP="0055116C">
            <w:pPr>
              <w:pStyle w:val="ListParagraph"/>
              <w:tabs>
                <w:tab w:val="left" w:pos="307"/>
              </w:tabs>
              <w:ind w:left="24"/>
              <w:rPr>
                <w:rFonts w:cs="Arial"/>
                <w:sz w:val="16"/>
                <w:szCs w:val="16"/>
                <w:lang w:val="ru-RU"/>
              </w:rPr>
            </w:pPr>
          </w:p>
          <w:p w:rsidR="0055116C" w:rsidRPr="0055116C" w:rsidRDefault="0055116C" w:rsidP="0055116C">
            <w:pPr>
              <w:pStyle w:val="ListParagraph"/>
              <w:numPr>
                <w:ilvl w:val="0"/>
                <w:numId w:val="19"/>
              </w:numPr>
              <w:tabs>
                <w:tab w:val="left" w:pos="307"/>
              </w:tabs>
              <w:rPr>
                <w:rFonts w:cs="Arial"/>
                <w:sz w:val="16"/>
                <w:szCs w:val="16"/>
                <w:lang w:val="ru-RU"/>
              </w:rPr>
            </w:pPr>
            <w:r w:rsidRPr="0055116C">
              <w:rPr>
                <w:rFonts w:cs="Arial"/>
                <w:sz w:val="16"/>
                <w:szCs w:val="16"/>
                <w:lang w:val="ru-RU"/>
              </w:rPr>
              <w:t>40</w:t>
            </w:r>
            <w:r w:rsidRPr="006230E4">
              <w:rPr>
                <w:rStyle w:val="FootnoteReference"/>
                <w:rFonts w:cs="Arial"/>
                <w:sz w:val="16"/>
                <w:szCs w:val="16"/>
              </w:rPr>
              <w:footnoteReference w:id="97"/>
            </w:r>
            <w:r w:rsidRPr="006230E4">
              <w:rPr>
                <w:rFonts w:cs="Arial"/>
                <w:sz w:val="16"/>
                <w:szCs w:val="16"/>
              </w:rPr>
              <w:t> </w:t>
            </w:r>
            <w:r w:rsidRPr="0055116C">
              <w:rPr>
                <w:rFonts w:cs="Arial"/>
                <w:sz w:val="16"/>
                <w:szCs w:val="16"/>
                <w:lang w:val="ru-RU"/>
              </w:rPr>
              <w:t>в 2014</w:t>
            </w:r>
            <w:r w:rsidRPr="006230E4">
              <w:rPr>
                <w:rFonts w:cs="Arial"/>
                <w:sz w:val="16"/>
                <w:szCs w:val="16"/>
              </w:rPr>
              <w:t> </w:t>
            </w:r>
            <w:r w:rsidRPr="0055116C">
              <w:rPr>
                <w:rFonts w:cs="Arial"/>
                <w:sz w:val="16"/>
                <w:szCs w:val="16"/>
                <w:lang w:val="ru-RU"/>
              </w:rPr>
              <w:t>г.: Африка (5); Арабский регион (3); Азиатско-Тихоокеанский регион (10); некоторые страны Европы и Азии (8); Латинская Америка и Карибский бассейн (7); другие страны (7)</w:t>
            </w:r>
          </w:p>
          <w:p w:rsidR="0055116C" w:rsidRPr="0055116C" w:rsidRDefault="0055116C" w:rsidP="0055116C">
            <w:pPr>
              <w:pStyle w:val="ListParagraph"/>
              <w:tabs>
                <w:tab w:val="left" w:pos="307"/>
              </w:tabs>
              <w:ind w:left="384"/>
              <w:rPr>
                <w:rFonts w:cs="Arial"/>
                <w:sz w:val="16"/>
                <w:szCs w:val="16"/>
                <w:lang w:val="ru-RU"/>
              </w:rPr>
            </w:pPr>
            <w:r w:rsidRPr="0055116C">
              <w:rPr>
                <w:rFonts w:cs="Arial"/>
                <w:sz w:val="16"/>
                <w:szCs w:val="16"/>
                <w:lang w:val="ru-RU"/>
              </w:rPr>
              <w:t xml:space="preserve"> </w:t>
            </w:r>
          </w:p>
          <w:p w:rsidR="0055116C" w:rsidRPr="0055116C" w:rsidRDefault="0055116C" w:rsidP="0055116C">
            <w:pPr>
              <w:pStyle w:val="ListParagraph"/>
              <w:numPr>
                <w:ilvl w:val="0"/>
                <w:numId w:val="19"/>
              </w:numPr>
              <w:tabs>
                <w:tab w:val="left" w:pos="307"/>
              </w:tabs>
              <w:rPr>
                <w:rFonts w:cs="Arial"/>
                <w:sz w:val="16"/>
                <w:szCs w:val="16"/>
                <w:lang w:val="ru-RU"/>
              </w:rPr>
            </w:pPr>
            <w:r w:rsidRPr="0055116C">
              <w:rPr>
                <w:rFonts w:cs="Arial"/>
                <w:sz w:val="16"/>
                <w:szCs w:val="16"/>
                <w:lang w:val="ru-RU"/>
              </w:rPr>
              <w:t>43</w:t>
            </w:r>
            <w:r w:rsidRPr="006230E4">
              <w:rPr>
                <w:rFonts w:cs="Arial"/>
                <w:sz w:val="16"/>
                <w:szCs w:val="16"/>
              </w:rPr>
              <w:t> </w:t>
            </w:r>
            <w:r w:rsidRPr="0055116C">
              <w:rPr>
                <w:rFonts w:cs="Arial"/>
                <w:sz w:val="16"/>
                <w:szCs w:val="16"/>
                <w:lang w:val="ru-RU"/>
              </w:rPr>
              <w:t>в 2015</w:t>
            </w:r>
            <w:r w:rsidRPr="006230E4">
              <w:rPr>
                <w:rFonts w:cs="Arial"/>
                <w:sz w:val="16"/>
                <w:szCs w:val="16"/>
              </w:rPr>
              <w:t> </w:t>
            </w:r>
            <w:r w:rsidRPr="0055116C">
              <w:rPr>
                <w:rFonts w:cs="Arial"/>
                <w:sz w:val="16"/>
                <w:szCs w:val="16"/>
                <w:lang w:val="ru-RU"/>
              </w:rPr>
              <w:t>г.: Африка (1); Арабский регион (4); Азиатско-Тихоокеанский регион (8); некоторые страны Европы и Азии (15); Латинская Америка и Карибский бассейн (9); другие страны (6)</w:t>
            </w:r>
          </w:p>
          <w:p w:rsidR="0055116C" w:rsidRPr="0055116C" w:rsidRDefault="0055116C" w:rsidP="0055116C">
            <w:pPr>
              <w:tabs>
                <w:tab w:val="left" w:pos="307"/>
              </w:tabs>
              <w:rPr>
                <w:rFonts w:cs="Arial"/>
                <w:sz w:val="16"/>
                <w:szCs w:val="16"/>
                <w:lang w:val="ru-RU"/>
              </w:rPr>
            </w:pPr>
          </w:p>
        </w:tc>
        <w:tc>
          <w:tcPr>
            <w:tcW w:w="543" w:type="pct"/>
            <w:tcBorders>
              <w:top w:val="nil"/>
              <w:bottom w:val="single" w:sz="4" w:space="0" w:color="auto"/>
              <w:right w:val="single" w:sz="4" w:space="0" w:color="auto"/>
            </w:tcBorders>
            <w:shd w:val="clear" w:color="auto" w:fill="auto"/>
            <w:tcMar>
              <w:top w:w="110" w:type="dxa"/>
            </w:tcMar>
          </w:tcPr>
          <w:p w:rsidR="0055116C" w:rsidRPr="006230E4" w:rsidRDefault="0055116C" w:rsidP="0055116C">
            <w:pPr>
              <w:jc w:val="center"/>
              <w:rPr>
                <w:rFonts w:cs="Arial"/>
                <w:b/>
                <w:bCs/>
                <w:color w:val="00B050"/>
                <w:sz w:val="16"/>
                <w:szCs w:val="16"/>
              </w:rPr>
            </w:pPr>
            <w:r w:rsidRPr="006230E4">
              <w:rPr>
                <w:rFonts w:cs="Arial"/>
                <w:b/>
                <w:color w:val="00B050"/>
                <w:sz w:val="16"/>
                <w:szCs w:val="16"/>
              </w:rPr>
              <w:t>Выполнено</w:t>
            </w:r>
          </w:p>
        </w:tc>
      </w:tr>
      <w:tr w:rsidR="0055116C" w:rsidRPr="005C6ABD" w:rsidTr="0055116C">
        <w:trPr>
          <w:trHeight w:val="513"/>
          <w:tblHeader/>
        </w:trPr>
        <w:tc>
          <w:tcPr>
            <w:tcW w:w="5000" w:type="pct"/>
            <w:gridSpan w:val="5"/>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tabs>
                <w:tab w:val="left" w:pos="2268"/>
              </w:tabs>
              <w:ind w:left="2268" w:hanging="2268"/>
              <w:rPr>
                <w:rFonts w:cs="Arial"/>
                <w:b/>
                <w:bCs/>
                <w:sz w:val="16"/>
                <w:szCs w:val="16"/>
                <w:lang w:val="ru-RU"/>
              </w:rPr>
            </w:pPr>
            <w:r w:rsidRPr="0055116C">
              <w:rPr>
                <w:rFonts w:cs="Arial"/>
                <w:b/>
                <w:sz w:val="16"/>
                <w:szCs w:val="16"/>
                <w:lang w:val="ru-RU"/>
              </w:rPr>
              <w:t xml:space="preserve">Ожидаемый результат: </w:t>
            </w:r>
            <w:r w:rsidRPr="0055116C">
              <w:rPr>
                <w:rFonts w:cs="Arial"/>
                <w:sz w:val="16"/>
                <w:szCs w:val="16"/>
                <w:lang w:val="ru-RU"/>
              </w:rPr>
              <w:tab/>
            </w:r>
            <w:r w:rsidRPr="006230E4">
              <w:rPr>
                <w:rFonts w:cs="Arial"/>
                <w:sz w:val="16"/>
                <w:szCs w:val="16"/>
              </w:rPr>
              <w:t>VI</w:t>
            </w:r>
            <w:r w:rsidRPr="0055116C">
              <w:rPr>
                <w:rFonts w:cs="Arial"/>
                <w:sz w:val="16"/>
                <w:szCs w:val="16"/>
                <w:lang w:val="ru-RU"/>
              </w:rPr>
              <w:t>.1. Прогресс в международном политическом диалоге между государствами-членами ВОИС по вопросам обеспечения уважения ИС в соответствии с рекомендацией 45 Повестки дня ВОИС в области развития</w:t>
            </w:r>
          </w:p>
        </w:tc>
      </w:tr>
      <w:tr w:rsidR="0055116C" w:rsidRPr="006230E4" w:rsidTr="0055116C">
        <w:trPr>
          <w:tblHeader/>
        </w:trPr>
        <w:tc>
          <w:tcPr>
            <w:tcW w:w="1155" w:type="pct"/>
            <w:tcBorders>
              <w:top w:val="single" w:sz="4" w:space="0" w:color="auto"/>
            </w:tcBorders>
            <w:shd w:val="clear" w:color="auto" w:fill="auto"/>
            <w:vAlign w:val="center"/>
          </w:tcPr>
          <w:p w:rsidR="0055116C" w:rsidRPr="006230E4" w:rsidRDefault="0055116C" w:rsidP="0055116C">
            <w:pPr>
              <w:rPr>
                <w:rFonts w:cs="Arial"/>
                <w:sz w:val="16"/>
                <w:szCs w:val="16"/>
              </w:rPr>
            </w:pPr>
            <w:r w:rsidRPr="006230E4">
              <w:rPr>
                <w:rFonts w:cs="Arial"/>
                <w:b/>
                <w:sz w:val="16"/>
                <w:szCs w:val="16"/>
              </w:rPr>
              <w:t>Показатели результативности</w:t>
            </w:r>
          </w:p>
        </w:tc>
        <w:tc>
          <w:tcPr>
            <w:tcW w:w="1205" w:type="pct"/>
            <w:tcBorders>
              <w:top w:val="single" w:sz="4" w:space="0" w:color="auto"/>
            </w:tcBorders>
            <w:shd w:val="clear" w:color="auto" w:fill="auto"/>
            <w:vAlign w:val="center"/>
          </w:tcPr>
          <w:p w:rsidR="0055116C" w:rsidRPr="006230E4" w:rsidRDefault="0055116C" w:rsidP="0055116C">
            <w:pPr>
              <w:rPr>
                <w:rFonts w:cs="Arial"/>
                <w:b/>
                <w:bCs/>
                <w:sz w:val="16"/>
                <w:szCs w:val="16"/>
              </w:rPr>
            </w:pPr>
            <w:r w:rsidRPr="006230E4">
              <w:rPr>
                <w:rFonts w:cs="Arial"/>
                <w:b/>
                <w:sz w:val="16"/>
                <w:szCs w:val="16"/>
              </w:rPr>
              <w:t>Базовые показатели</w:t>
            </w:r>
          </w:p>
        </w:tc>
        <w:tc>
          <w:tcPr>
            <w:tcW w:w="781" w:type="pct"/>
            <w:tcBorders>
              <w:top w:val="single" w:sz="4" w:space="0" w:color="auto"/>
            </w:tcBorders>
            <w:shd w:val="clear" w:color="auto" w:fill="auto"/>
            <w:tcMar>
              <w:top w:w="110" w:type="dxa"/>
            </w:tcMar>
            <w:vAlign w:val="center"/>
          </w:tcPr>
          <w:p w:rsidR="0055116C" w:rsidRPr="006230E4" w:rsidRDefault="0055116C" w:rsidP="0055116C">
            <w:pPr>
              <w:rPr>
                <w:rFonts w:cs="Arial"/>
                <w:b/>
                <w:sz w:val="16"/>
                <w:szCs w:val="16"/>
              </w:rPr>
            </w:pPr>
            <w:r w:rsidRPr="006230E4">
              <w:rPr>
                <w:rFonts w:cs="Arial"/>
                <w:b/>
                <w:sz w:val="16"/>
                <w:szCs w:val="16"/>
              </w:rPr>
              <w:t>Цели</w:t>
            </w:r>
          </w:p>
        </w:tc>
        <w:tc>
          <w:tcPr>
            <w:tcW w:w="1316" w:type="pct"/>
            <w:tcBorders>
              <w:top w:val="single" w:sz="4" w:space="0" w:color="auto"/>
            </w:tcBorders>
            <w:shd w:val="clear" w:color="auto" w:fill="FFFFFF"/>
            <w:tcMar>
              <w:top w:w="110" w:type="dxa"/>
            </w:tcMar>
            <w:vAlign w:val="center"/>
          </w:tcPr>
          <w:p w:rsidR="0055116C" w:rsidRPr="006230E4" w:rsidRDefault="0055116C" w:rsidP="0055116C">
            <w:pPr>
              <w:rPr>
                <w:rFonts w:cs="Arial"/>
                <w:sz w:val="16"/>
                <w:szCs w:val="16"/>
              </w:rPr>
            </w:pPr>
            <w:r w:rsidRPr="006230E4">
              <w:rPr>
                <w:rFonts w:cs="Arial"/>
                <w:b/>
                <w:sz w:val="16"/>
                <w:szCs w:val="16"/>
              </w:rPr>
              <w:t>Данные о результативности</w:t>
            </w:r>
          </w:p>
        </w:tc>
        <w:tc>
          <w:tcPr>
            <w:tcW w:w="543" w:type="pct"/>
            <w:tcBorders>
              <w:top w:val="single" w:sz="4" w:space="0" w:color="auto"/>
            </w:tcBorders>
            <w:shd w:val="clear" w:color="auto" w:fill="auto"/>
            <w:tcMar>
              <w:top w:w="110" w:type="dxa"/>
            </w:tcMar>
            <w:vAlign w:val="center"/>
          </w:tcPr>
          <w:p w:rsidR="0055116C" w:rsidRPr="006230E4" w:rsidRDefault="0055116C" w:rsidP="0055116C">
            <w:pPr>
              <w:jc w:val="center"/>
              <w:rPr>
                <w:rFonts w:cs="Arial"/>
                <w:b/>
                <w:bCs/>
                <w:sz w:val="16"/>
                <w:szCs w:val="16"/>
              </w:rPr>
            </w:pPr>
            <w:r w:rsidRPr="006230E4">
              <w:rPr>
                <w:rFonts w:cs="Arial"/>
                <w:b/>
                <w:sz w:val="16"/>
                <w:szCs w:val="16"/>
              </w:rPr>
              <w:t>CC</w:t>
            </w:r>
          </w:p>
        </w:tc>
      </w:tr>
      <w:tr w:rsidR="0055116C" w:rsidRPr="006230E4" w:rsidTr="0055116C">
        <w:trPr>
          <w:trHeight w:val="1591"/>
          <w:tblHeader/>
        </w:trPr>
        <w:tc>
          <w:tcPr>
            <w:tcW w:w="1155" w:type="pct"/>
            <w:shd w:val="clear" w:color="auto" w:fill="auto"/>
          </w:tcPr>
          <w:p w:rsidR="0055116C" w:rsidRPr="0055116C" w:rsidRDefault="0055116C" w:rsidP="0055116C">
            <w:pPr>
              <w:rPr>
                <w:rFonts w:cs="Arial"/>
                <w:sz w:val="16"/>
                <w:szCs w:val="16"/>
                <w:lang w:val="ru-RU"/>
              </w:rPr>
            </w:pPr>
            <w:r w:rsidRPr="0055116C">
              <w:rPr>
                <w:rFonts w:cs="Arial"/>
                <w:sz w:val="16"/>
                <w:szCs w:val="16"/>
                <w:lang w:val="ru-RU"/>
              </w:rPr>
              <w:t>Сохранение единой позиции государств-членов по существенным вопросам деятельности Консультативного комитета ВОИС по защите прав (ККЗП) в течение двухлетнего периода, включая вопросы развития</w:t>
            </w:r>
          </w:p>
        </w:tc>
        <w:tc>
          <w:tcPr>
            <w:tcW w:w="1205" w:type="pct"/>
            <w:shd w:val="clear" w:color="auto" w:fill="auto"/>
          </w:tcPr>
          <w:p w:rsidR="0055116C" w:rsidRPr="0055116C" w:rsidRDefault="0055116C" w:rsidP="0055116C">
            <w:pPr>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6230E4">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 xml:space="preserve">согласование программы работы 9-й сессии ККЗП </w:t>
            </w:r>
          </w:p>
          <w:p w:rsidR="0055116C" w:rsidRPr="0055116C" w:rsidRDefault="0055116C" w:rsidP="0055116C">
            <w:pPr>
              <w:rPr>
                <w:rFonts w:cs="Arial"/>
                <w:i/>
                <w:sz w:val="16"/>
                <w:szCs w:val="16"/>
                <w:lang w:val="ru-RU"/>
              </w:rPr>
            </w:pPr>
          </w:p>
          <w:p w:rsidR="0055116C" w:rsidRPr="0055116C" w:rsidRDefault="0055116C" w:rsidP="0055116C">
            <w:pPr>
              <w:rPr>
                <w:rFonts w:cs="Arial"/>
                <w:sz w:val="16"/>
                <w:szCs w:val="16"/>
                <w:lang w:val="ru-RU"/>
              </w:rPr>
            </w:pPr>
            <w:r w:rsidRPr="0055116C">
              <w:rPr>
                <w:rFonts w:cs="Arial"/>
                <w:i/>
                <w:sz w:val="16"/>
                <w:szCs w:val="16"/>
                <w:lang w:val="ru-RU"/>
              </w:rPr>
              <w:t xml:space="preserve">Исходные базовые показатели ПиБ на 2014–2015 гг.: </w:t>
            </w:r>
            <w:r w:rsidRPr="0055116C">
              <w:rPr>
                <w:rFonts w:cs="Arial"/>
                <w:sz w:val="16"/>
                <w:szCs w:val="16"/>
                <w:lang w:val="ru-RU"/>
              </w:rPr>
              <w:t>согласование программы работы 8-й сессии ККЗП</w:t>
            </w:r>
          </w:p>
          <w:p w:rsidR="0055116C" w:rsidRPr="0055116C" w:rsidRDefault="0055116C" w:rsidP="0055116C">
            <w:pPr>
              <w:rPr>
                <w:rFonts w:cs="Arial"/>
                <w:sz w:val="16"/>
                <w:szCs w:val="16"/>
                <w:lang w:val="ru-RU"/>
              </w:rPr>
            </w:pPr>
          </w:p>
        </w:tc>
        <w:tc>
          <w:tcPr>
            <w:tcW w:w="781" w:type="pct"/>
            <w:shd w:val="clear" w:color="auto" w:fill="auto"/>
            <w:tcMar>
              <w:top w:w="110" w:type="dxa"/>
            </w:tcMar>
          </w:tcPr>
          <w:p w:rsidR="0055116C" w:rsidRPr="0055116C" w:rsidRDefault="0055116C" w:rsidP="0055116C">
            <w:pPr>
              <w:rPr>
                <w:rFonts w:cs="Arial"/>
                <w:i/>
                <w:sz w:val="16"/>
                <w:szCs w:val="16"/>
                <w:lang w:val="ru-RU"/>
              </w:rPr>
            </w:pPr>
            <w:r w:rsidRPr="0055116C">
              <w:rPr>
                <w:rFonts w:cs="Arial"/>
                <w:sz w:val="16"/>
                <w:szCs w:val="16"/>
                <w:lang w:val="ru-RU"/>
              </w:rPr>
              <w:t>Согласование программы работы следующей сессии ККЗП</w:t>
            </w:r>
          </w:p>
        </w:tc>
        <w:tc>
          <w:tcPr>
            <w:tcW w:w="1316" w:type="pct"/>
            <w:shd w:val="clear" w:color="auto" w:fill="FFFFFF"/>
            <w:tcMar>
              <w:top w:w="110" w:type="dxa"/>
            </w:tcMar>
          </w:tcPr>
          <w:p w:rsidR="0055116C" w:rsidRPr="0055116C" w:rsidRDefault="0055116C" w:rsidP="0055116C">
            <w:pPr>
              <w:pStyle w:val="ListParagraph"/>
              <w:ind w:left="0"/>
              <w:rPr>
                <w:rFonts w:cs="Arial"/>
                <w:color w:val="C00000"/>
                <w:sz w:val="16"/>
                <w:szCs w:val="16"/>
                <w:lang w:val="ru-RU"/>
              </w:rPr>
            </w:pPr>
            <w:r w:rsidRPr="0055116C">
              <w:rPr>
                <w:rFonts w:cs="Arial"/>
                <w:sz w:val="16"/>
                <w:szCs w:val="16"/>
                <w:lang w:val="ru-RU"/>
              </w:rPr>
              <w:t>Программа работы была согласована на девятой и десятой сессиях ККЗП (</w:t>
            </w:r>
            <w:r w:rsidRPr="006230E4">
              <w:rPr>
                <w:rFonts w:cs="Arial"/>
                <w:sz w:val="16"/>
                <w:szCs w:val="16"/>
              </w:rPr>
              <w:t>WIPO</w:t>
            </w:r>
            <w:r w:rsidRPr="0055116C">
              <w:rPr>
                <w:rFonts w:cs="Arial"/>
                <w:sz w:val="16"/>
                <w:szCs w:val="16"/>
                <w:lang w:val="ru-RU"/>
              </w:rPr>
              <w:t>/</w:t>
            </w:r>
            <w:r w:rsidRPr="006230E4">
              <w:rPr>
                <w:rFonts w:cs="Arial"/>
                <w:sz w:val="16"/>
                <w:szCs w:val="16"/>
              </w:rPr>
              <w:t>ACE</w:t>
            </w:r>
            <w:r w:rsidRPr="0055116C">
              <w:rPr>
                <w:rFonts w:cs="Arial"/>
                <w:sz w:val="16"/>
                <w:szCs w:val="16"/>
                <w:lang w:val="ru-RU"/>
              </w:rPr>
              <w:t xml:space="preserve">/9/29, пункт 44 и </w:t>
            </w:r>
            <w:r w:rsidRPr="006230E4">
              <w:rPr>
                <w:rFonts w:cs="Arial"/>
                <w:sz w:val="16"/>
                <w:szCs w:val="16"/>
              </w:rPr>
              <w:t>WIPO</w:t>
            </w:r>
            <w:r w:rsidRPr="0055116C">
              <w:rPr>
                <w:rFonts w:cs="Arial"/>
                <w:sz w:val="16"/>
                <w:szCs w:val="16"/>
                <w:lang w:val="ru-RU"/>
              </w:rPr>
              <w:t>/</w:t>
            </w:r>
            <w:r w:rsidRPr="006230E4">
              <w:rPr>
                <w:rFonts w:cs="Arial"/>
                <w:sz w:val="16"/>
                <w:szCs w:val="16"/>
              </w:rPr>
              <w:t>ACE</w:t>
            </w:r>
            <w:r w:rsidRPr="0055116C">
              <w:rPr>
                <w:rFonts w:cs="Arial"/>
                <w:sz w:val="16"/>
                <w:szCs w:val="16"/>
                <w:lang w:val="ru-RU"/>
              </w:rPr>
              <w:t xml:space="preserve">/10/26 </w:t>
            </w:r>
            <w:r w:rsidRPr="006230E4">
              <w:rPr>
                <w:rFonts w:cs="Arial"/>
                <w:sz w:val="16"/>
                <w:szCs w:val="16"/>
              </w:rPr>
              <w:t>PROV</w:t>
            </w:r>
            <w:r w:rsidRPr="0055116C">
              <w:rPr>
                <w:rFonts w:cs="Arial"/>
                <w:sz w:val="16"/>
                <w:szCs w:val="16"/>
                <w:lang w:val="ru-RU"/>
              </w:rPr>
              <w:t>.</w:t>
            </w:r>
            <w:r w:rsidRPr="006230E4">
              <w:rPr>
                <w:rFonts w:cs="Arial"/>
                <w:sz w:val="16"/>
                <w:szCs w:val="16"/>
              </w:rPr>
              <w:t>WIPO</w:t>
            </w:r>
            <w:r w:rsidRPr="0055116C">
              <w:rPr>
                <w:rFonts w:cs="Arial"/>
                <w:sz w:val="16"/>
                <w:szCs w:val="16"/>
                <w:lang w:val="ru-RU"/>
              </w:rPr>
              <w:t>/</w:t>
            </w:r>
            <w:r w:rsidRPr="006230E4">
              <w:rPr>
                <w:rFonts w:cs="Arial"/>
                <w:sz w:val="16"/>
                <w:szCs w:val="16"/>
              </w:rPr>
              <w:t>ACE</w:t>
            </w:r>
            <w:r w:rsidRPr="0055116C">
              <w:rPr>
                <w:rFonts w:cs="Arial"/>
                <w:sz w:val="16"/>
                <w:szCs w:val="16"/>
                <w:lang w:val="ru-RU"/>
              </w:rPr>
              <w:t xml:space="preserve">/10/26 </w:t>
            </w:r>
            <w:r w:rsidRPr="006230E4">
              <w:rPr>
                <w:rFonts w:cs="Arial"/>
                <w:sz w:val="16"/>
                <w:szCs w:val="16"/>
              </w:rPr>
              <w:t>PROV</w:t>
            </w:r>
            <w:r w:rsidRPr="0055116C">
              <w:rPr>
                <w:rFonts w:cs="Arial"/>
                <w:sz w:val="16"/>
                <w:szCs w:val="16"/>
                <w:lang w:val="ru-RU"/>
              </w:rPr>
              <w:t xml:space="preserve">., пункт 40). </w:t>
            </w:r>
          </w:p>
        </w:tc>
        <w:tc>
          <w:tcPr>
            <w:tcW w:w="543" w:type="pct"/>
            <w:shd w:val="clear" w:color="auto" w:fill="auto"/>
            <w:tcMar>
              <w:top w:w="110" w:type="dxa"/>
            </w:tcMar>
          </w:tcPr>
          <w:p w:rsidR="0055116C" w:rsidRPr="006230E4" w:rsidRDefault="0055116C" w:rsidP="0055116C">
            <w:pPr>
              <w:jc w:val="center"/>
              <w:rPr>
                <w:rFonts w:cs="Arial"/>
                <w:bCs/>
                <w:color w:val="C00000"/>
                <w:sz w:val="16"/>
                <w:szCs w:val="16"/>
              </w:rPr>
            </w:pPr>
            <w:r w:rsidRPr="006230E4">
              <w:rPr>
                <w:rFonts w:cs="Arial"/>
                <w:b/>
                <w:color w:val="00B050"/>
                <w:sz w:val="16"/>
                <w:szCs w:val="16"/>
              </w:rPr>
              <w:t>Выполнено</w:t>
            </w:r>
          </w:p>
        </w:tc>
      </w:tr>
    </w:tbl>
    <w:p w:rsidR="0055116C" w:rsidRDefault="0055116C">
      <w:r>
        <w:br w:type="page"/>
      </w:r>
    </w:p>
    <w:tbl>
      <w:tblPr>
        <w:tblW w:w="5160" w:type="pct"/>
        <w:tblBorders>
          <w:top w:val="single" w:sz="4" w:space="0" w:color="auto"/>
          <w:left w:val="single" w:sz="4" w:space="0" w:color="auto"/>
          <w:bottom w:val="single" w:sz="4" w:space="0" w:color="auto"/>
          <w:right w:val="single" w:sz="4" w:space="0" w:color="auto"/>
        </w:tblBorders>
        <w:tblLayout w:type="fixed"/>
        <w:tblCellMar>
          <w:left w:w="115" w:type="dxa"/>
          <w:right w:w="115" w:type="dxa"/>
        </w:tblCellMar>
        <w:tblLook w:val="0000" w:firstRow="0" w:lastRow="0" w:firstColumn="0" w:lastColumn="0" w:noHBand="0" w:noVBand="0"/>
      </w:tblPr>
      <w:tblGrid>
        <w:gridCol w:w="2285"/>
        <w:gridCol w:w="2384"/>
        <w:gridCol w:w="1545"/>
        <w:gridCol w:w="2604"/>
        <w:gridCol w:w="1074"/>
      </w:tblGrid>
      <w:tr w:rsidR="0055116C" w:rsidRPr="005C6ABD" w:rsidTr="0055116C">
        <w:trPr>
          <w:trHeight w:val="549"/>
          <w:tblHeader/>
        </w:trPr>
        <w:tc>
          <w:tcPr>
            <w:tcW w:w="5000" w:type="pct"/>
            <w:gridSpan w:val="5"/>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tabs>
                <w:tab w:val="left" w:pos="2268"/>
              </w:tabs>
              <w:ind w:left="2268" w:hanging="2268"/>
              <w:rPr>
                <w:rFonts w:cs="Arial"/>
                <w:b/>
                <w:bCs/>
                <w:sz w:val="16"/>
                <w:szCs w:val="16"/>
                <w:lang w:val="ru-RU"/>
              </w:rPr>
            </w:pPr>
            <w:r w:rsidRPr="0055116C">
              <w:rPr>
                <w:rFonts w:cs="Arial"/>
                <w:b/>
                <w:sz w:val="16"/>
                <w:szCs w:val="16"/>
                <w:lang w:val="ru-RU"/>
              </w:rPr>
              <w:t xml:space="preserve">Ожидаемый результат: </w:t>
            </w:r>
            <w:r w:rsidRPr="0055116C">
              <w:rPr>
                <w:rFonts w:cs="Arial"/>
                <w:sz w:val="16"/>
                <w:szCs w:val="16"/>
                <w:lang w:val="ru-RU"/>
              </w:rPr>
              <w:tab/>
            </w:r>
            <w:r w:rsidRPr="006230E4">
              <w:rPr>
                <w:rFonts w:cs="Arial"/>
                <w:sz w:val="16"/>
                <w:szCs w:val="16"/>
              </w:rPr>
              <w:t>VI</w:t>
            </w:r>
            <w:r w:rsidRPr="0055116C">
              <w:rPr>
                <w:rFonts w:cs="Arial"/>
                <w:sz w:val="16"/>
                <w:szCs w:val="16"/>
                <w:lang w:val="ru-RU"/>
              </w:rPr>
              <w:t>.2. Систематическое и эффективное сотрудничество и координация между работой ВОИС и других международных организаций в области обеспечения уважения ИС</w:t>
            </w:r>
          </w:p>
        </w:tc>
      </w:tr>
      <w:tr w:rsidR="0055116C" w:rsidRPr="006230E4" w:rsidTr="0055116C">
        <w:trPr>
          <w:tblHeader/>
        </w:trPr>
        <w:tc>
          <w:tcPr>
            <w:tcW w:w="1155" w:type="pct"/>
            <w:tcBorders>
              <w:top w:val="single" w:sz="4" w:space="0" w:color="auto"/>
            </w:tcBorders>
            <w:shd w:val="clear" w:color="auto" w:fill="auto"/>
            <w:vAlign w:val="center"/>
          </w:tcPr>
          <w:p w:rsidR="0055116C" w:rsidRPr="006230E4" w:rsidRDefault="0055116C" w:rsidP="0055116C">
            <w:pPr>
              <w:rPr>
                <w:rFonts w:cs="Arial"/>
                <w:sz w:val="16"/>
                <w:szCs w:val="16"/>
              </w:rPr>
            </w:pPr>
            <w:r w:rsidRPr="006230E4">
              <w:rPr>
                <w:rFonts w:cs="Arial"/>
                <w:b/>
                <w:sz w:val="16"/>
                <w:szCs w:val="16"/>
              </w:rPr>
              <w:t>Показатели результативности</w:t>
            </w:r>
          </w:p>
        </w:tc>
        <w:tc>
          <w:tcPr>
            <w:tcW w:w="1205" w:type="pct"/>
            <w:tcBorders>
              <w:top w:val="single" w:sz="4" w:space="0" w:color="auto"/>
            </w:tcBorders>
            <w:shd w:val="clear" w:color="auto" w:fill="auto"/>
            <w:vAlign w:val="center"/>
          </w:tcPr>
          <w:p w:rsidR="0055116C" w:rsidRPr="006230E4" w:rsidRDefault="0055116C" w:rsidP="0055116C">
            <w:pPr>
              <w:rPr>
                <w:rFonts w:cs="Arial"/>
                <w:b/>
                <w:bCs/>
                <w:sz w:val="16"/>
                <w:szCs w:val="16"/>
              </w:rPr>
            </w:pPr>
            <w:r w:rsidRPr="006230E4">
              <w:rPr>
                <w:rFonts w:cs="Arial"/>
                <w:b/>
                <w:sz w:val="16"/>
                <w:szCs w:val="16"/>
              </w:rPr>
              <w:t>Базовые показатели</w:t>
            </w:r>
          </w:p>
        </w:tc>
        <w:tc>
          <w:tcPr>
            <w:tcW w:w="781" w:type="pct"/>
            <w:tcBorders>
              <w:top w:val="single" w:sz="4" w:space="0" w:color="auto"/>
            </w:tcBorders>
            <w:shd w:val="clear" w:color="auto" w:fill="auto"/>
            <w:tcMar>
              <w:top w:w="110" w:type="dxa"/>
            </w:tcMar>
            <w:vAlign w:val="center"/>
          </w:tcPr>
          <w:p w:rsidR="0055116C" w:rsidRPr="006230E4" w:rsidRDefault="0055116C" w:rsidP="0055116C">
            <w:pPr>
              <w:rPr>
                <w:rFonts w:cs="Arial"/>
                <w:b/>
                <w:sz w:val="16"/>
                <w:szCs w:val="16"/>
              </w:rPr>
            </w:pPr>
            <w:r w:rsidRPr="006230E4">
              <w:rPr>
                <w:rFonts w:cs="Arial"/>
                <w:b/>
                <w:sz w:val="16"/>
                <w:szCs w:val="16"/>
              </w:rPr>
              <w:t>Цели</w:t>
            </w:r>
          </w:p>
        </w:tc>
        <w:tc>
          <w:tcPr>
            <w:tcW w:w="1316" w:type="pct"/>
            <w:tcBorders>
              <w:top w:val="single" w:sz="4" w:space="0" w:color="auto"/>
            </w:tcBorders>
            <w:shd w:val="clear" w:color="auto" w:fill="FFFFFF"/>
            <w:tcMar>
              <w:top w:w="110" w:type="dxa"/>
            </w:tcMar>
            <w:vAlign w:val="center"/>
          </w:tcPr>
          <w:p w:rsidR="0055116C" w:rsidRPr="006230E4" w:rsidRDefault="0055116C" w:rsidP="0055116C">
            <w:pPr>
              <w:rPr>
                <w:rFonts w:cs="Arial"/>
                <w:sz w:val="16"/>
                <w:szCs w:val="16"/>
              </w:rPr>
            </w:pPr>
            <w:r w:rsidRPr="006230E4">
              <w:rPr>
                <w:rFonts w:cs="Arial"/>
                <w:b/>
                <w:sz w:val="16"/>
                <w:szCs w:val="16"/>
              </w:rPr>
              <w:t>Данные о результативности</w:t>
            </w:r>
          </w:p>
        </w:tc>
        <w:tc>
          <w:tcPr>
            <w:tcW w:w="543" w:type="pct"/>
            <w:tcBorders>
              <w:top w:val="single" w:sz="4" w:space="0" w:color="auto"/>
            </w:tcBorders>
            <w:shd w:val="clear" w:color="auto" w:fill="auto"/>
            <w:tcMar>
              <w:top w:w="110" w:type="dxa"/>
            </w:tcMar>
            <w:vAlign w:val="center"/>
          </w:tcPr>
          <w:p w:rsidR="0055116C" w:rsidRPr="006230E4" w:rsidRDefault="0055116C" w:rsidP="0055116C">
            <w:pPr>
              <w:jc w:val="center"/>
              <w:rPr>
                <w:rFonts w:cs="Arial"/>
                <w:b/>
                <w:bCs/>
                <w:sz w:val="16"/>
                <w:szCs w:val="16"/>
              </w:rPr>
            </w:pPr>
            <w:r w:rsidRPr="006230E4">
              <w:rPr>
                <w:rFonts w:cs="Arial"/>
                <w:b/>
                <w:sz w:val="16"/>
                <w:szCs w:val="16"/>
              </w:rPr>
              <w:t>CC</w:t>
            </w:r>
          </w:p>
        </w:tc>
      </w:tr>
      <w:tr w:rsidR="0055116C" w:rsidRPr="006230E4" w:rsidTr="0055116C">
        <w:trPr>
          <w:trHeight w:val="1357"/>
          <w:tblHeader/>
        </w:trPr>
        <w:tc>
          <w:tcPr>
            <w:tcW w:w="1155" w:type="pct"/>
            <w:shd w:val="clear" w:color="auto" w:fill="auto"/>
          </w:tcPr>
          <w:p w:rsidR="0055116C" w:rsidRPr="0055116C" w:rsidRDefault="0055116C" w:rsidP="0055116C">
            <w:pPr>
              <w:rPr>
                <w:rFonts w:cs="Arial"/>
                <w:sz w:val="16"/>
                <w:szCs w:val="16"/>
                <w:lang w:val="ru-RU"/>
              </w:rPr>
            </w:pPr>
            <w:r w:rsidRPr="0055116C">
              <w:rPr>
                <w:rFonts w:cs="Arial"/>
                <w:sz w:val="16"/>
                <w:szCs w:val="16"/>
                <w:lang w:val="ru-RU"/>
              </w:rPr>
              <w:t>Число совместных мероприятий, нацеленных на обеспечение уважения ИС</w:t>
            </w:r>
          </w:p>
        </w:tc>
        <w:tc>
          <w:tcPr>
            <w:tcW w:w="1205" w:type="pct"/>
            <w:shd w:val="clear" w:color="auto" w:fill="auto"/>
          </w:tcPr>
          <w:p w:rsidR="0055116C" w:rsidRPr="0055116C" w:rsidRDefault="0055116C" w:rsidP="0055116C">
            <w:pPr>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6230E4">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39 в 2012–13</w:t>
            </w:r>
            <w:r w:rsidRPr="006230E4">
              <w:rPr>
                <w:rFonts w:cs="Arial"/>
                <w:color w:val="002060"/>
                <w:sz w:val="16"/>
                <w:szCs w:val="16"/>
              </w:rPr>
              <w:t> </w:t>
            </w:r>
            <w:r w:rsidRPr="0055116C">
              <w:rPr>
                <w:rFonts w:cs="Arial"/>
                <w:color w:val="002060"/>
                <w:sz w:val="16"/>
                <w:szCs w:val="16"/>
                <w:lang w:val="ru-RU"/>
              </w:rPr>
              <w:t>гг.</w:t>
            </w:r>
          </w:p>
          <w:p w:rsidR="0055116C" w:rsidRPr="0055116C" w:rsidRDefault="0055116C" w:rsidP="0055116C">
            <w:pPr>
              <w:rPr>
                <w:rFonts w:cs="Arial"/>
                <w:i/>
                <w:sz w:val="16"/>
                <w:szCs w:val="16"/>
                <w:lang w:val="ru-RU"/>
              </w:rPr>
            </w:pPr>
          </w:p>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30</w:t>
            </w:r>
          </w:p>
        </w:tc>
        <w:tc>
          <w:tcPr>
            <w:tcW w:w="781" w:type="pct"/>
            <w:shd w:val="clear" w:color="auto" w:fill="auto"/>
            <w:tcMar>
              <w:top w:w="110" w:type="dxa"/>
            </w:tcMar>
          </w:tcPr>
          <w:p w:rsidR="0055116C" w:rsidRPr="006230E4" w:rsidRDefault="0055116C" w:rsidP="0055116C">
            <w:pPr>
              <w:rPr>
                <w:rFonts w:cs="Arial"/>
                <w:sz w:val="16"/>
                <w:szCs w:val="16"/>
              </w:rPr>
            </w:pPr>
            <w:r w:rsidRPr="006230E4">
              <w:rPr>
                <w:rFonts w:cs="Arial"/>
                <w:sz w:val="16"/>
                <w:szCs w:val="16"/>
              </w:rPr>
              <w:t xml:space="preserve">30 </w:t>
            </w:r>
          </w:p>
        </w:tc>
        <w:tc>
          <w:tcPr>
            <w:tcW w:w="1316" w:type="pct"/>
            <w:shd w:val="clear" w:color="auto" w:fill="FFFFFF"/>
            <w:tcMar>
              <w:top w:w="110" w:type="dxa"/>
            </w:tcMar>
          </w:tcPr>
          <w:p w:rsidR="0055116C" w:rsidRPr="0055116C" w:rsidRDefault="0055116C" w:rsidP="0055116C">
            <w:pPr>
              <w:rPr>
                <w:rFonts w:cs="Arial"/>
                <w:sz w:val="16"/>
                <w:szCs w:val="16"/>
                <w:lang w:val="ru-RU"/>
              </w:rPr>
            </w:pPr>
            <w:r w:rsidRPr="0055116C">
              <w:rPr>
                <w:rFonts w:cs="Arial"/>
                <w:sz w:val="16"/>
                <w:szCs w:val="16"/>
                <w:lang w:val="ru-RU"/>
              </w:rPr>
              <w:t>В 2014–2015</w:t>
            </w:r>
            <w:r w:rsidRPr="006230E4">
              <w:rPr>
                <w:rFonts w:cs="Arial"/>
                <w:sz w:val="16"/>
                <w:szCs w:val="16"/>
              </w:rPr>
              <w:t> </w:t>
            </w:r>
            <w:r w:rsidRPr="0055116C">
              <w:rPr>
                <w:rFonts w:cs="Arial"/>
                <w:sz w:val="16"/>
                <w:szCs w:val="16"/>
                <w:lang w:val="ru-RU"/>
              </w:rPr>
              <w:t>гг. было создано семь стратегических союзов</w:t>
            </w:r>
            <w:r w:rsidRPr="006230E4">
              <w:rPr>
                <w:rStyle w:val="FootnoteReference"/>
                <w:rFonts w:cs="Arial"/>
                <w:sz w:val="16"/>
                <w:szCs w:val="16"/>
              </w:rPr>
              <w:footnoteReference w:id="98"/>
            </w:r>
            <w:r w:rsidRPr="0055116C">
              <w:rPr>
                <w:rFonts w:cs="Arial"/>
                <w:sz w:val="16"/>
                <w:szCs w:val="16"/>
                <w:lang w:val="ru-RU"/>
              </w:rPr>
              <w:t xml:space="preserve"> (всего); 55</w:t>
            </w:r>
            <w:r w:rsidRPr="006230E4">
              <w:rPr>
                <w:rFonts w:cs="Arial"/>
                <w:sz w:val="16"/>
                <w:szCs w:val="16"/>
              </w:rPr>
              <w:t> </w:t>
            </w:r>
            <w:r w:rsidRPr="0055116C">
              <w:rPr>
                <w:rFonts w:cs="Arial"/>
                <w:sz w:val="16"/>
                <w:szCs w:val="16"/>
                <w:lang w:val="ru-RU"/>
              </w:rPr>
              <w:t>мероприятий были проведены совместно с организациями-партнерами и заинтересованными сторонами и/или при участии программы</w:t>
            </w:r>
            <w:r>
              <w:rPr>
                <w:rFonts w:cs="Arial"/>
                <w:sz w:val="16"/>
                <w:szCs w:val="16"/>
              </w:rPr>
              <w:t> </w:t>
            </w:r>
            <w:r w:rsidRPr="0055116C">
              <w:rPr>
                <w:rFonts w:cs="Arial"/>
                <w:sz w:val="16"/>
                <w:szCs w:val="16"/>
                <w:lang w:val="ru-RU"/>
              </w:rPr>
              <w:t>17:</w:t>
            </w:r>
          </w:p>
          <w:p w:rsidR="0055116C" w:rsidRPr="0055116C" w:rsidRDefault="0055116C" w:rsidP="0055116C">
            <w:pPr>
              <w:pStyle w:val="ListParagraph"/>
              <w:numPr>
                <w:ilvl w:val="0"/>
                <w:numId w:val="20"/>
              </w:numPr>
              <w:rPr>
                <w:rFonts w:cs="Arial"/>
                <w:sz w:val="16"/>
                <w:szCs w:val="16"/>
                <w:lang w:val="ru-RU"/>
              </w:rPr>
            </w:pPr>
            <w:r w:rsidRPr="0055116C">
              <w:rPr>
                <w:rFonts w:cs="Arial"/>
                <w:sz w:val="16"/>
                <w:szCs w:val="16"/>
                <w:lang w:val="ru-RU"/>
              </w:rPr>
              <w:t>6 стратегических союзов и 29 других совместных мероприятий в 2014</w:t>
            </w:r>
            <w:r w:rsidRPr="006230E4">
              <w:rPr>
                <w:rFonts w:cs="Arial"/>
                <w:sz w:val="16"/>
                <w:szCs w:val="16"/>
              </w:rPr>
              <w:t> </w:t>
            </w:r>
            <w:r w:rsidRPr="0055116C">
              <w:rPr>
                <w:rFonts w:cs="Arial"/>
                <w:sz w:val="16"/>
                <w:szCs w:val="16"/>
                <w:lang w:val="ru-RU"/>
              </w:rPr>
              <w:t>г.</w:t>
            </w:r>
            <w:r w:rsidRPr="006230E4">
              <w:rPr>
                <w:rStyle w:val="FootnoteReference"/>
                <w:rFonts w:cs="Arial"/>
                <w:sz w:val="16"/>
                <w:szCs w:val="16"/>
              </w:rPr>
              <w:footnoteReference w:id="99"/>
            </w:r>
          </w:p>
          <w:p w:rsidR="0055116C" w:rsidRPr="0055116C" w:rsidRDefault="0055116C" w:rsidP="0055116C">
            <w:pPr>
              <w:pStyle w:val="ListParagraph"/>
              <w:numPr>
                <w:ilvl w:val="0"/>
                <w:numId w:val="20"/>
              </w:numPr>
              <w:rPr>
                <w:rFonts w:cs="Arial"/>
                <w:sz w:val="16"/>
                <w:szCs w:val="16"/>
                <w:lang w:val="ru-RU"/>
              </w:rPr>
            </w:pPr>
            <w:r w:rsidRPr="0055116C">
              <w:rPr>
                <w:rFonts w:cs="Arial"/>
                <w:sz w:val="16"/>
                <w:szCs w:val="16"/>
                <w:lang w:val="ru-RU"/>
              </w:rPr>
              <w:t>7</w:t>
            </w:r>
            <w:r w:rsidRPr="006230E4">
              <w:rPr>
                <w:rFonts w:cs="Arial"/>
                <w:sz w:val="16"/>
                <w:szCs w:val="16"/>
              </w:rPr>
              <w:t> </w:t>
            </w:r>
            <w:r w:rsidRPr="0055116C">
              <w:rPr>
                <w:rFonts w:cs="Arial"/>
                <w:sz w:val="16"/>
                <w:szCs w:val="16"/>
                <w:lang w:val="ru-RU"/>
              </w:rPr>
              <w:t>стратегических союзов (1</w:t>
            </w:r>
            <w:r w:rsidRPr="006230E4">
              <w:rPr>
                <w:rFonts w:cs="Arial"/>
                <w:sz w:val="16"/>
                <w:szCs w:val="16"/>
              </w:rPr>
              <w:t> </w:t>
            </w:r>
            <w:r w:rsidRPr="0055116C">
              <w:rPr>
                <w:rFonts w:cs="Arial"/>
                <w:sz w:val="16"/>
                <w:szCs w:val="16"/>
                <w:lang w:val="ru-RU"/>
              </w:rPr>
              <w:t>дополнительный) и 26</w:t>
            </w:r>
            <w:r w:rsidRPr="006230E4">
              <w:rPr>
                <w:rFonts w:cs="Arial"/>
                <w:sz w:val="16"/>
                <w:szCs w:val="16"/>
              </w:rPr>
              <w:t> </w:t>
            </w:r>
            <w:r w:rsidRPr="0055116C">
              <w:rPr>
                <w:rFonts w:cs="Arial"/>
                <w:sz w:val="16"/>
                <w:szCs w:val="16"/>
                <w:lang w:val="ru-RU"/>
              </w:rPr>
              <w:t>других совместных мероприятий в 2015</w:t>
            </w:r>
            <w:r w:rsidRPr="006230E4">
              <w:rPr>
                <w:rFonts w:cs="Arial"/>
                <w:sz w:val="16"/>
                <w:szCs w:val="16"/>
              </w:rPr>
              <w:t> </w:t>
            </w:r>
            <w:r w:rsidRPr="0055116C">
              <w:rPr>
                <w:rFonts w:cs="Arial"/>
                <w:sz w:val="16"/>
                <w:szCs w:val="16"/>
                <w:lang w:val="ru-RU"/>
              </w:rPr>
              <w:t>г.</w:t>
            </w:r>
          </w:p>
          <w:p w:rsidR="0055116C" w:rsidRPr="0055116C" w:rsidRDefault="0055116C" w:rsidP="0055116C">
            <w:pPr>
              <w:pStyle w:val="ListParagraph"/>
              <w:ind w:left="360"/>
              <w:rPr>
                <w:rFonts w:cs="Arial"/>
                <w:sz w:val="16"/>
                <w:szCs w:val="16"/>
                <w:lang w:val="ru-RU"/>
              </w:rPr>
            </w:pPr>
          </w:p>
        </w:tc>
        <w:tc>
          <w:tcPr>
            <w:tcW w:w="543" w:type="pct"/>
            <w:shd w:val="clear" w:color="auto" w:fill="auto"/>
            <w:tcMar>
              <w:top w:w="110" w:type="dxa"/>
            </w:tcMar>
          </w:tcPr>
          <w:p w:rsidR="0055116C" w:rsidRPr="006230E4" w:rsidRDefault="0055116C" w:rsidP="0055116C">
            <w:pPr>
              <w:jc w:val="center"/>
              <w:rPr>
                <w:rFonts w:cs="Arial"/>
                <w:b/>
                <w:bCs/>
                <w:color w:val="008000"/>
                <w:sz w:val="16"/>
                <w:szCs w:val="16"/>
              </w:rPr>
            </w:pPr>
            <w:r w:rsidRPr="006230E4">
              <w:rPr>
                <w:rFonts w:cs="Arial"/>
                <w:b/>
                <w:color w:val="00B050"/>
                <w:sz w:val="16"/>
                <w:szCs w:val="16"/>
              </w:rPr>
              <w:t>Выполнено</w:t>
            </w:r>
          </w:p>
        </w:tc>
      </w:tr>
    </w:tbl>
    <w:p w:rsidR="0055116C" w:rsidRDefault="0055116C" w:rsidP="0055116C">
      <w:pPr>
        <w:jc w:val="both"/>
        <w:rPr>
          <w:rFonts w:cs="Arial"/>
          <w:color w:val="000000"/>
          <w:sz w:val="22"/>
          <w:szCs w:val="22"/>
        </w:rPr>
      </w:pPr>
    </w:p>
    <w:p w:rsidR="0055116C" w:rsidRDefault="0055116C" w:rsidP="0055116C">
      <w:pPr>
        <w:jc w:val="both"/>
        <w:rPr>
          <w:rFonts w:cs="Arial"/>
          <w:color w:val="000000"/>
          <w:szCs w:val="20"/>
        </w:rPr>
      </w:pPr>
    </w:p>
    <w:p w:rsidR="0055116C" w:rsidRPr="0055116C" w:rsidRDefault="0055116C" w:rsidP="0055116C">
      <w:pPr>
        <w:rPr>
          <w:rFonts w:cs="Arial"/>
          <w:szCs w:val="22"/>
          <w:lang w:val="ru-RU"/>
        </w:rPr>
      </w:pPr>
      <w:r w:rsidRPr="0055116C">
        <w:rPr>
          <w:lang w:val="ru-RU"/>
        </w:rPr>
        <w:t>ОТЧЕТ О РИСКАХ В ДВУХЛЕТНИЙ ПЕРИОД</w:t>
      </w:r>
    </w:p>
    <w:p w:rsidR="0055116C" w:rsidRPr="0055116C" w:rsidRDefault="0055116C" w:rsidP="0055116C">
      <w:pPr>
        <w:rPr>
          <w:lang w:val="ru-RU"/>
        </w:rPr>
      </w:pPr>
    </w:p>
    <w:tbl>
      <w:tblPr>
        <w:tblW w:w="9753"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20"/>
        <w:gridCol w:w="2597"/>
        <w:gridCol w:w="2310"/>
        <w:gridCol w:w="2426"/>
      </w:tblGrid>
      <w:tr w:rsidR="0055116C" w:rsidRPr="003C527B" w:rsidTr="0055116C">
        <w:trPr>
          <w:trHeight w:val="378"/>
        </w:trPr>
        <w:tc>
          <w:tcPr>
            <w:tcW w:w="2420"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rPr>
                <w:b/>
                <w:bCs/>
                <w:iCs/>
                <w:sz w:val="18"/>
                <w:szCs w:val="18"/>
                <w:lang w:val="ru-RU"/>
              </w:rPr>
            </w:pPr>
            <w:r w:rsidRPr="0055116C">
              <w:rPr>
                <w:b/>
                <w:sz w:val="18"/>
                <w:lang w:val="ru-RU"/>
              </w:rPr>
              <w:t>Риск (риски) того, что программа не достигнет своих результатов</w:t>
            </w:r>
          </w:p>
        </w:tc>
        <w:tc>
          <w:tcPr>
            <w:tcW w:w="2597"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keepNext/>
              <w:keepLines/>
              <w:autoSpaceDE w:val="0"/>
              <w:autoSpaceDN w:val="0"/>
              <w:adjustRightInd w:val="0"/>
              <w:ind w:right="-59"/>
              <w:jc w:val="center"/>
              <w:rPr>
                <w:b/>
                <w:bCs/>
                <w:iCs/>
                <w:sz w:val="18"/>
                <w:szCs w:val="18"/>
                <w:lang w:val="ru-RU"/>
              </w:rPr>
            </w:pPr>
            <w:r w:rsidRPr="0055116C">
              <w:rPr>
                <w:b/>
                <w:sz w:val="18"/>
                <w:lang w:val="ru-RU"/>
              </w:rPr>
              <w:t xml:space="preserve">Действующие или разрабатываемые планы по снижению рисков </w:t>
            </w:r>
          </w:p>
        </w:tc>
        <w:tc>
          <w:tcPr>
            <w:tcW w:w="2310" w:type="dxa"/>
            <w:tcBorders>
              <w:top w:val="single" w:sz="4" w:space="0" w:color="auto"/>
              <w:bottom w:val="single" w:sz="4" w:space="0" w:color="auto"/>
            </w:tcBorders>
            <w:shd w:val="clear" w:color="auto" w:fill="C6D9F1" w:themeFill="text2" w:themeFillTint="33"/>
          </w:tcPr>
          <w:p w:rsidR="0055116C" w:rsidRPr="0055116C" w:rsidRDefault="0055116C" w:rsidP="0055116C">
            <w:pPr>
              <w:keepNext/>
              <w:keepLines/>
              <w:jc w:val="center"/>
              <w:rPr>
                <w:b/>
                <w:bCs/>
                <w:sz w:val="18"/>
                <w:szCs w:val="18"/>
                <w:lang w:val="ru-RU"/>
              </w:rPr>
            </w:pPr>
            <w:r w:rsidRPr="0055116C">
              <w:rPr>
                <w:b/>
                <w:sz w:val="18"/>
                <w:lang w:val="ru-RU"/>
              </w:rPr>
              <w:t>Развитие риска (рисков) и стратегий его (их) снижения в двухлетний период</w:t>
            </w:r>
          </w:p>
        </w:tc>
        <w:tc>
          <w:tcPr>
            <w:tcW w:w="2426" w:type="dxa"/>
            <w:tcBorders>
              <w:top w:val="single" w:sz="4" w:space="0" w:color="auto"/>
              <w:bottom w:val="single" w:sz="4" w:space="0" w:color="auto"/>
            </w:tcBorders>
            <w:shd w:val="clear" w:color="auto" w:fill="C6D9F1" w:themeFill="text2" w:themeFillTint="33"/>
          </w:tcPr>
          <w:p w:rsidR="0055116C" w:rsidRPr="005105F6" w:rsidRDefault="0055116C" w:rsidP="0055116C">
            <w:pPr>
              <w:keepNext/>
              <w:keepLines/>
              <w:jc w:val="center"/>
              <w:rPr>
                <w:b/>
                <w:sz w:val="18"/>
              </w:rPr>
            </w:pPr>
            <w:r w:rsidRPr="005105F6">
              <w:rPr>
                <w:b/>
                <w:sz w:val="18"/>
              </w:rPr>
              <w:t xml:space="preserve">Влияние на </w:t>
            </w:r>
          </w:p>
          <w:p w:rsidR="0055116C" w:rsidRPr="005105F6" w:rsidRDefault="0055116C" w:rsidP="0055116C">
            <w:pPr>
              <w:keepNext/>
              <w:keepLines/>
              <w:jc w:val="center"/>
              <w:rPr>
                <w:b/>
                <w:sz w:val="18"/>
              </w:rPr>
            </w:pPr>
            <w:r w:rsidRPr="005105F6">
              <w:rPr>
                <w:b/>
                <w:sz w:val="18"/>
              </w:rPr>
              <w:t xml:space="preserve">реализацию </w:t>
            </w:r>
          </w:p>
          <w:p w:rsidR="0055116C" w:rsidRPr="003C527B" w:rsidRDefault="0055116C" w:rsidP="0055116C">
            <w:pPr>
              <w:keepNext/>
              <w:keepLines/>
              <w:jc w:val="center"/>
              <w:rPr>
                <w:b/>
                <w:bCs/>
                <w:sz w:val="18"/>
                <w:szCs w:val="18"/>
              </w:rPr>
            </w:pPr>
            <w:r w:rsidRPr="005105F6">
              <w:rPr>
                <w:b/>
                <w:sz w:val="18"/>
              </w:rPr>
              <w:t>программы</w:t>
            </w:r>
          </w:p>
        </w:tc>
      </w:tr>
      <w:tr w:rsidR="0055116C" w:rsidRPr="005C6ABD" w:rsidTr="0055116C">
        <w:trPr>
          <w:trHeight w:val="1219"/>
        </w:trPr>
        <w:tc>
          <w:tcPr>
            <w:tcW w:w="2420" w:type="dxa"/>
            <w:tcBorders>
              <w:top w:val="single" w:sz="4" w:space="0" w:color="auto"/>
            </w:tcBorders>
            <w:shd w:val="clear" w:color="auto" w:fill="auto"/>
            <w:tcMar>
              <w:top w:w="113" w:type="dxa"/>
              <w:bottom w:w="85" w:type="dxa"/>
            </w:tcMar>
          </w:tcPr>
          <w:p w:rsidR="0055116C" w:rsidRPr="0055116C" w:rsidRDefault="0055116C" w:rsidP="0055116C">
            <w:pPr>
              <w:rPr>
                <w:sz w:val="16"/>
                <w:szCs w:val="16"/>
                <w:lang w:val="ru-RU"/>
              </w:rPr>
            </w:pPr>
            <w:r w:rsidRPr="0055116C">
              <w:rPr>
                <w:sz w:val="16"/>
                <w:lang w:val="ru-RU"/>
              </w:rPr>
              <w:t xml:space="preserve">Разногласия между государствами-членами и недостаточная политическая поддержка с их стороны в вопросах работы ВОИС по обеспечению уважения ИС.  Это может поставить под удар роль ВОИС в обеспечении уважения ИС. </w:t>
            </w:r>
          </w:p>
        </w:tc>
        <w:tc>
          <w:tcPr>
            <w:tcW w:w="2597" w:type="dxa"/>
            <w:tcBorders>
              <w:top w:val="single" w:sz="4" w:space="0" w:color="auto"/>
            </w:tcBorders>
            <w:shd w:val="clear" w:color="auto" w:fill="auto"/>
            <w:tcMar>
              <w:top w:w="113" w:type="dxa"/>
              <w:bottom w:w="85" w:type="dxa"/>
            </w:tcMar>
          </w:tcPr>
          <w:p w:rsidR="0055116C" w:rsidRPr="0055116C" w:rsidRDefault="0055116C" w:rsidP="0055116C">
            <w:pPr>
              <w:keepNext/>
              <w:keepLines/>
              <w:autoSpaceDE w:val="0"/>
              <w:autoSpaceDN w:val="0"/>
              <w:adjustRightInd w:val="0"/>
              <w:ind w:right="-59"/>
              <w:rPr>
                <w:sz w:val="16"/>
                <w:szCs w:val="16"/>
                <w:lang w:val="ru-RU"/>
              </w:rPr>
            </w:pPr>
            <w:r w:rsidRPr="0055116C">
              <w:rPr>
                <w:sz w:val="16"/>
                <w:lang w:val="ru-RU"/>
              </w:rPr>
              <w:t>Данная программа предполагает регулярные консультации с государствами-членами, призванные привести их к согласию по вопросам актуальности, работы и политической функции ККЗП и соответствующих мероприятий по наращиванию потенциала.  Все виды деятельности регулируются строгими стандартами, обеспечивающими высокое качество, прозрачность, нейтральность и сбалансированный подход к работе.</w:t>
            </w:r>
          </w:p>
        </w:tc>
        <w:tc>
          <w:tcPr>
            <w:tcW w:w="2310" w:type="dxa"/>
            <w:tcBorders>
              <w:top w:val="single" w:sz="4" w:space="0" w:color="auto"/>
            </w:tcBorders>
          </w:tcPr>
          <w:p w:rsidR="0055116C" w:rsidRPr="0055116C" w:rsidRDefault="0055116C" w:rsidP="0055116C">
            <w:pPr>
              <w:keepNext/>
              <w:keepLines/>
              <w:autoSpaceDE w:val="0"/>
              <w:autoSpaceDN w:val="0"/>
              <w:adjustRightInd w:val="0"/>
              <w:ind w:right="-59"/>
              <w:rPr>
                <w:color w:val="C0504D" w:themeColor="accent2"/>
                <w:sz w:val="16"/>
                <w:szCs w:val="16"/>
                <w:lang w:val="ru-RU"/>
              </w:rPr>
            </w:pPr>
            <w:r w:rsidRPr="0055116C">
              <w:rPr>
                <w:sz w:val="16"/>
                <w:lang w:val="ru-RU"/>
              </w:rPr>
              <w:t xml:space="preserve">Хотя этот риск сохранял свою актуальность, его удавалось держать под контролем благодаря всеобъемлющему и неукоснительному выполнению плана по его снижению.  Государства-члены поддержали работу ВОИС в области обеспечения уважения ИС, что подтвердила проведенная ККЗП и ОВН Оценка работы по достижению стратегической цели </w:t>
            </w:r>
            <w:r>
              <w:rPr>
                <w:sz w:val="16"/>
              </w:rPr>
              <w:t>VI</w:t>
            </w:r>
            <w:r>
              <w:rPr>
                <w:rStyle w:val="FootnoteReference"/>
                <w:sz w:val="16"/>
              </w:rPr>
              <w:footnoteReference w:id="100"/>
            </w:r>
            <w:r w:rsidRPr="0055116C">
              <w:rPr>
                <w:sz w:val="16"/>
                <w:lang w:val="ru-RU"/>
              </w:rPr>
              <w:t xml:space="preserve">.  </w:t>
            </w:r>
          </w:p>
        </w:tc>
        <w:tc>
          <w:tcPr>
            <w:tcW w:w="2426" w:type="dxa"/>
            <w:tcBorders>
              <w:top w:val="single" w:sz="4" w:space="0" w:color="auto"/>
            </w:tcBorders>
          </w:tcPr>
          <w:p w:rsidR="0055116C" w:rsidRPr="0055116C" w:rsidRDefault="0055116C" w:rsidP="0055116C">
            <w:pPr>
              <w:keepNext/>
              <w:keepLines/>
              <w:autoSpaceDE w:val="0"/>
              <w:autoSpaceDN w:val="0"/>
              <w:adjustRightInd w:val="0"/>
              <w:ind w:right="-59"/>
              <w:rPr>
                <w:sz w:val="16"/>
                <w:szCs w:val="16"/>
                <w:lang w:val="ru-RU"/>
              </w:rPr>
            </w:pPr>
            <w:r w:rsidRPr="0055116C">
              <w:rPr>
                <w:sz w:val="16"/>
                <w:lang w:val="ru-RU"/>
              </w:rPr>
              <w:t xml:space="preserve">В рассматриваемый двухлетний период этот риск не реализовался.  Неукоснительное соблюдение плана по снижению риска обеспечило поддержку государств-членов и позволило достичь максимально возможных результатов в рамках программы. </w:t>
            </w:r>
          </w:p>
        </w:tc>
      </w:tr>
    </w:tbl>
    <w:p w:rsidR="0055116C" w:rsidRPr="0055116C" w:rsidRDefault="0055116C" w:rsidP="0055116C">
      <w:pPr>
        <w:rPr>
          <w:rFonts w:cs="Arial"/>
          <w:color w:val="000000"/>
          <w:sz w:val="22"/>
          <w:szCs w:val="20"/>
          <w:lang w:val="ru-RU"/>
        </w:rPr>
      </w:pPr>
    </w:p>
    <w:p w:rsidR="0055116C" w:rsidRPr="0055116C" w:rsidRDefault="0055116C" w:rsidP="0055116C">
      <w:pPr>
        <w:rPr>
          <w:rFonts w:cs="Arial"/>
          <w:color w:val="000000"/>
          <w:sz w:val="22"/>
          <w:szCs w:val="20"/>
          <w:lang w:val="ru-RU"/>
        </w:rPr>
      </w:pPr>
    </w:p>
    <w:p w:rsidR="0055116C" w:rsidRPr="0055116C" w:rsidRDefault="0055116C" w:rsidP="0055116C">
      <w:pPr>
        <w:spacing w:after="200" w:line="276" w:lineRule="auto"/>
        <w:rPr>
          <w:color w:val="000000"/>
          <w:lang w:val="ru-RU"/>
        </w:rPr>
      </w:pPr>
      <w:r w:rsidRPr="0055116C">
        <w:rPr>
          <w:color w:val="000000"/>
          <w:lang w:val="ru-RU"/>
        </w:rPr>
        <w:br w:type="page"/>
      </w:r>
    </w:p>
    <w:p w:rsidR="0055116C" w:rsidRPr="0055116C" w:rsidRDefault="0055116C" w:rsidP="0055116C">
      <w:pPr>
        <w:rPr>
          <w:rFonts w:cs="Arial"/>
          <w:color w:val="000000"/>
          <w:szCs w:val="20"/>
          <w:lang w:val="ru-RU"/>
        </w:rPr>
      </w:pPr>
      <w:r w:rsidRPr="0055116C">
        <w:rPr>
          <w:color w:val="000000"/>
          <w:lang w:val="ru-RU"/>
        </w:rPr>
        <w:t>ИСПОЛЬЗОВАНИЕ РЕСУРСОВ</w:t>
      </w:r>
    </w:p>
    <w:p w:rsidR="0055116C" w:rsidRPr="0055116C" w:rsidRDefault="0055116C" w:rsidP="0055116C">
      <w:pPr>
        <w:pStyle w:val="NormalWeb"/>
        <w:spacing w:before="0" w:beforeAutospacing="0" w:after="0" w:afterAutospacing="0"/>
        <w:jc w:val="center"/>
        <w:rPr>
          <w:color w:val="000000"/>
          <w:sz w:val="20"/>
          <w:szCs w:val="20"/>
          <w:lang w:val="ru-RU"/>
        </w:rPr>
      </w:pPr>
    </w:p>
    <w:p w:rsidR="0055116C" w:rsidRPr="0055116C" w:rsidRDefault="0055116C" w:rsidP="0055116C">
      <w:pPr>
        <w:pStyle w:val="NormalWeb"/>
        <w:spacing w:before="0" w:beforeAutospacing="0" w:after="0" w:afterAutospacing="0"/>
        <w:jc w:val="center"/>
        <w:rPr>
          <w:sz w:val="20"/>
          <w:szCs w:val="20"/>
          <w:lang w:val="ru-RU"/>
        </w:rPr>
      </w:pPr>
      <w:r w:rsidRPr="0055116C">
        <w:rPr>
          <w:color w:val="000000"/>
          <w:sz w:val="20"/>
          <w:lang w:val="ru-RU"/>
        </w:rPr>
        <w:t>Бюджет и фактические расходы (в разбивке по результатам)</w:t>
      </w:r>
    </w:p>
    <w:p w:rsidR="0055116C" w:rsidRPr="0057012D" w:rsidRDefault="0055116C" w:rsidP="0055116C">
      <w:pPr>
        <w:pStyle w:val="NormalWeb"/>
        <w:spacing w:before="0" w:beforeAutospacing="0" w:after="0" w:afterAutospacing="0"/>
        <w:jc w:val="center"/>
        <w:rPr>
          <w:i/>
          <w:iCs/>
          <w:color w:val="000000"/>
          <w:sz w:val="20"/>
          <w:szCs w:val="20"/>
        </w:rPr>
      </w:pPr>
      <w:r>
        <w:rPr>
          <w:i/>
          <w:color w:val="000000"/>
          <w:sz w:val="20"/>
        </w:rPr>
        <w:t>(в тыс. шв. франков)</w:t>
      </w:r>
    </w:p>
    <w:p w:rsidR="0055116C" w:rsidRPr="0057012D" w:rsidRDefault="0055116C" w:rsidP="0055116C">
      <w:pPr>
        <w:jc w:val="center"/>
        <w:rPr>
          <w:rFonts w:cs="Arial"/>
          <w:szCs w:val="20"/>
        </w:rPr>
      </w:pPr>
    </w:p>
    <w:p w:rsidR="0055116C" w:rsidRPr="0057012D" w:rsidRDefault="0055116C" w:rsidP="0055116C">
      <w:pPr>
        <w:jc w:val="center"/>
        <w:rPr>
          <w:rFonts w:cs="Arial"/>
          <w:szCs w:val="20"/>
        </w:rPr>
      </w:pPr>
      <w:r>
        <w:rPr>
          <w:rFonts w:cs="Arial"/>
          <w:noProof/>
          <w:szCs w:val="20"/>
        </w:rPr>
        <w:drawing>
          <wp:inline distT="0" distB="0" distL="0" distR="0" wp14:anchorId="12AFAAA8" wp14:editId="7832B53C">
            <wp:extent cx="6151880" cy="3366983"/>
            <wp:effectExtent l="0" t="0" r="1270" b="508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51880" cy="3366983"/>
                    </a:xfrm>
                    <a:prstGeom prst="rect">
                      <a:avLst/>
                    </a:prstGeom>
                    <a:noFill/>
                    <a:ln>
                      <a:noFill/>
                    </a:ln>
                  </pic:spPr>
                </pic:pic>
              </a:graphicData>
            </a:graphic>
          </wp:inline>
        </w:drawing>
      </w:r>
    </w:p>
    <w:p w:rsidR="0055116C" w:rsidRPr="0057012D" w:rsidRDefault="0055116C" w:rsidP="0055116C">
      <w:pPr>
        <w:jc w:val="both"/>
        <w:rPr>
          <w:rFonts w:cs="Arial"/>
          <w:szCs w:val="20"/>
        </w:rPr>
      </w:pPr>
    </w:p>
    <w:p w:rsidR="0055116C" w:rsidRDefault="0055116C" w:rsidP="0055116C">
      <w:pPr>
        <w:pStyle w:val="NormalWeb"/>
        <w:keepNext/>
        <w:keepLines/>
        <w:spacing w:before="0" w:beforeAutospacing="0" w:after="0" w:afterAutospacing="0"/>
        <w:jc w:val="center"/>
        <w:rPr>
          <w:color w:val="000000"/>
          <w:sz w:val="20"/>
          <w:szCs w:val="20"/>
        </w:rPr>
      </w:pPr>
    </w:p>
    <w:p w:rsidR="0055116C" w:rsidRPr="0055116C" w:rsidRDefault="0055116C" w:rsidP="0055116C">
      <w:pPr>
        <w:pStyle w:val="NormalWeb"/>
        <w:keepNext/>
        <w:keepLines/>
        <w:spacing w:before="0" w:beforeAutospacing="0" w:after="0" w:afterAutospacing="0"/>
        <w:jc w:val="center"/>
        <w:rPr>
          <w:sz w:val="20"/>
          <w:szCs w:val="20"/>
          <w:lang w:val="ru-RU"/>
        </w:rPr>
      </w:pPr>
      <w:r w:rsidRPr="0055116C">
        <w:rPr>
          <w:color w:val="000000"/>
          <w:sz w:val="20"/>
          <w:lang w:val="ru-RU"/>
        </w:rPr>
        <w:t>Бюджет и фактические расходы (по персоналу и не связанные с персоналом)</w:t>
      </w:r>
    </w:p>
    <w:p w:rsidR="0055116C" w:rsidRDefault="0055116C" w:rsidP="0055116C">
      <w:pPr>
        <w:pStyle w:val="NormalWeb"/>
        <w:keepNext/>
        <w:keepLines/>
        <w:spacing w:before="0" w:beforeAutospacing="0" w:after="120" w:afterAutospacing="0"/>
        <w:jc w:val="center"/>
        <w:rPr>
          <w:i/>
          <w:iCs/>
          <w:color w:val="000000"/>
          <w:sz w:val="20"/>
          <w:szCs w:val="20"/>
        </w:rPr>
      </w:pPr>
      <w:r>
        <w:rPr>
          <w:i/>
          <w:color w:val="000000"/>
          <w:sz w:val="20"/>
        </w:rPr>
        <w:t>(в тыс. шв. франков)</w:t>
      </w:r>
    </w:p>
    <w:p w:rsidR="0055116C" w:rsidRPr="0041109A" w:rsidRDefault="0055116C" w:rsidP="0055116C">
      <w:pPr>
        <w:pStyle w:val="NormalWeb"/>
        <w:keepNext/>
        <w:keepLines/>
        <w:spacing w:before="0" w:beforeAutospacing="0" w:after="0" w:afterAutospacing="0"/>
        <w:jc w:val="center"/>
        <w:rPr>
          <w:i/>
          <w:iCs/>
          <w:color w:val="000000"/>
          <w:sz w:val="20"/>
          <w:szCs w:val="20"/>
        </w:rPr>
      </w:pPr>
      <w:r>
        <w:rPr>
          <w:i/>
          <w:iCs/>
          <w:noProof/>
          <w:color w:val="000000"/>
          <w:sz w:val="20"/>
          <w:szCs w:val="20"/>
        </w:rPr>
        <w:drawing>
          <wp:inline distT="0" distB="0" distL="0" distR="0" wp14:anchorId="4C5FC691" wp14:editId="1151879D">
            <wp:extent cx="6151880" cy="1246261"/>
            <wp:effectExtent l="0" t="0" r="127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51880" cy="1246261"/>
                    </a:xfrm>
                    <a:prstGeom prst="rect">
                      <a:avLst/>
                    </a:prstGeom>
                    <a:noFill/>
                    <a:ln>
                      <a:noFill/>
                    </a:ln>
                  </pic:spPr>
                </pic:pic>
              </a:graphicData>
            </a:graphic>
          </wp:inline>
        </w:drawing>
      </w:r>
    </w:p>
    <w:p w:rsidR="0055116C" w:rsidRDefault="0055116C" w:rsidP="0055116C">
      <w:pPr>
        <w:jc w:val="center"/>
        <w:rPr>
          <w:rFonts w:cs="Arial"/>
          <w:szCs w:val="20"/>
        </w:rPr>
      </w:pPr>
    </w:p>
    <w:p w:rsidR="0055116C" w:rsidRDefault="0055116C" w:rsidP="0055116C">
      <w:pPr>
        <w:jc w:val="both"/>
        <w:rPr>
          <w:rFonts w:cs="Arial"/>
          <w:szCs w:val="20"/>
        </w:rPr>
      </w:pPr>
    </w:p>
    <w:p w:rsidR="0055116C" w:rsidRPr="0055116C" w:rsidRDefault="0055116C" w:rsidP="0055116C">
      <w:pPr>
        <w:jc w:val="both"/>
        <w:rPr>
          <w:rFonts w:cs="Arial"/>
          <w:szCs w:val="20"/>
          <w:u w:val="single"/>
          <w:lang w:val="ru-RU"/>
        </w:rPr>
      </w:pPr>
      <w:r>
        <w:t>A</w:t>
      </w:r>
      <w:r w:rsidRPr="0055116C">
        <w:rPr>
          <w:lang w:val="ru-RU"/>
        </w:rPr>
        <w:t>.</w:t>
      </w:r>
      <w:r w:rsidRPr="0055116C">
        <w:rPr>
          <w:lang w:val="ru-RU"/>
        </w:rPr>
        <w:tab/>
      </w:r>
      <w:r w:rsidRPr="0055116C">
        <w:rPr>
          <w:u w:val="single"/>
          <w:lang w:val="ru-RU"/>
        </w:rPr>
        <w:t>Итоговый бюджет на 2014–2015 гг. после перераспределения средств</w:t>
      </w:r>
    </w:p>
    <w:p w:rsidR="0055116C" w:rsidRPr="0055116C" w:rsidRDefault="0055116C" w:rsidP="0055116C">
      <w:pPr>
        <w:autoSpaceDE w:val="0"/>
        <w:autoSpaceDN w:val="0"/>
        <w:jc w:val="both"/>
        <w:rPr>
          <w:rFonts w:cs="Arial"/>
          <w:szCs w:val="20"/>
          <w:lang w:val="ru-RU"/>
        </w:rPr>
      </w:pPr>
    </w:p>
    <w:p w:rsidR="0055116C" w:rsidRPr="0055116C" w:rsidRDefault="0055116C" w:rsidP="0055116C">
      <w:pPr>
        <w:tabs>
          <w:tab w:val="left" w:pos="709"/>
        </w:tabs>
        <w:autoSpaceDE w:val="0"/>
        <w:autoSpaceDN w:val="0"/>
        <w:jc w:val="both"/>
        <w:rPr>
          <w:rFonts w:cs="Arial"/>
          <w:szCs w:val="20"/>
          <w:lang w:val="ru-RU"/>
        </w:rPr>
      </w:pPr>
      <w:r w:rsidRPr="0055116C">
        <w:rPr>
          <w:lang w:val="ru-RU"/>
        </w:rPr>
        <w:t>17.7</w:t>
      </w:r>
      <w:r w:rsidRPr="0055116C">
        <w:rPr>
          <w:lang w:val="ru-RU"/>
        </w:rPr>
        <w:tab/>
        <w:t>Корректировки перераспределения средств между результатами в итоговом бюджете после перераспределения средств на 2014–2015</w:t>
      </w:r>
      <w:r>
        <w:t> </w:t>
      </w:r>
      <w:r w:rsidRPr="0055116C">
        <w:rPr>
          <w:lang w:val="ru-RU"/>
        </w:rPr>
        <w:t>гг. в основном обусловлены:</w:t>
      </w:r>
    </w:p>
    <w:p w:rsidR="0055116C" w:rsidRPr="0055116C" w:rsidRDefault="0055116C" w:rsidP="0055116C">
      <w:pPr>
        <w:autoSpaceDE w:val="0"/>
        <w:autoSpaceDN w:val="0"/>
        <w:jc w:val="both"/>
        <w:rPr>
          <w:rFonts w:cs="Arial"/>
          <w:szCs w:val="20"/>
          <w:lang w:val="ru-RU"/>
        </w:rPr>
      </w:pPr>
    </w:p>
    <w:p w:rsidR="0055116C" w:rsidRPr="0055116C" w:rsidRDefault="0055116C" w:rsidP="0055116C">
      <w:pPr>
        <w:pStyle w:val="ListParagraph"/>
        <w:numPr>
          <w:ilvl w:val="0"/>
          <w:numId w:val="18"/>
        </w:numPr>
        <w:tabs>
          <w:tab w:val="left" w:pos="1276"/>
        </w:tabs>
        <w:autoSpaceDE w:val="0"/>
        <w:autoSpaceDN w:val="0"/>
        <w:ind w:hanging="11"/>
        <w:jc w:val="both"/>
        <w:rPr>
          <w:rFonts w:cs="Arial"/>
          <w:lang w:val="ru-RU"/>
        </w:rPr>
      </w:pPr>
      <w:r w:rsidRPr="0055116C">
        <w:rPr>
          <w:lang w:val="ru-RU"/>
        </w:rPr>
        <w:t xml:space="preserve">продолжавшимся ростом спроса государств-членов на юридические консультации, включая миссии по оценке, в результате чего было проведено перераспределение ресурсов от результата </w:t>
      </w:r>
      <w:r>
        <w:t>VI</w:t>
      </w:r>
      <w:r w:rsidRPr="0055116C">
        <w:rPr>
          <w:lang w:val="ru-RU"/>
        </w:rPr>
        <w:t xml:space="preserve">.2 (сотрудничество в области обеспечения уважения к ИС) в пользу результата </w:t>
      </w:r>
      <w:r>
        <w:t>I</w:t>
      </w:r>
      <w:r w:rsidRPr="0055116C">
        <w:rPr>
          <w:lang w:val="ru-RU"/>
        </w:rPr>
        <w:t xml:space="preserve">.2 (рекомендации по нормативным вопросам); а также </w:t>
      </w:r>
    </w:p>
    <w:p w:rsidR="0055116C" w:rsidRPr="0055116C" w:rsidRDefault="0055116C" w:rsidP="0055116C">
      <w:pPr>
        <w:pStyle w:val="ListParagraph"/>
        <w:tabs>
          <w:tab w:val="left" w:pos="1276"/>
        </w:tabs>
        <w:autoSpaceDE w:val="0"/>
        <w:autoSpaceDN w:val="0"/>
        <w:ind w:hanging="11"/>
        <w:jc w:val="both"/>
        <w:rPr>
          <w:rFonts w:cs="Arial"/>
          <w:lang w:val="ru-RU"/>
        </w:rPr>
      </w:pPr>
    </w:p>
    <w:p w:rsidR="0055116C" w:rsidRPr="0055116C" w:rsidRDefault="0055116C" w:rsidP="0055116C">
      <w:pPr>
        <w:pStyle w:val="ListParagraph"/>
        <w:numPr>
          <w:ilvl w:val="0"/>
          <w:numId w:val="18"/>
        </w:numPr>
        <w:tabs>
          <w:tab w:val="left" w:pos="1276"/>
        </w:tabs>
        <w:autoSpaceDE w:val="0"/>
        <w:autoSpaceDN w:val="0"/>
        <w:ind w:hanging="11"/>
        <w:jc w:val="both"/>
        <w:rPr>
          <w:rFonts w:cs="Arial"/>
          <w:lang w:val="ru-RU"/>
        </w:rPr>
      </w:pPr>
      <w:r w:rsidRPr="0055116C">
        <w:rPr>
          <w:lang w:val="ru-RU"/>
        </w:rPr>
        <w:t xml:space="preserve">проведением в рассматриваемый двухлетний период по запросу государств-членов двух сессий ККЗП вместо одной, как было предусмотрено изначально, в результате чего было проведено перераспределение ресурсов от результата </w:t>
      </w:r>
      <w:r>
        <w:t>VI</w:t>
      </w:r>
      <w:r w:rsidRPr="0055116C">
        <w:rPr>
          <w:lang w:val="ru-RU"/>
        </w:rPr>
        <w:t xml:space="preserve">.2 (сотрудничество в области обеспечения уважения к ИС) в пользу результата </w:t>
      </w:r>
      <w:r>
        <w:t>VI</w:t>
      </w:r>
      <w:r w:rsidRPr="0055116C">
        <w:rPr>
          <w:lang w:val="ru-RU"/>
        </w:rPr>
        <w:t>.1 (прогресс в международном политическом диалоге между государствами</w:t>
      </w:r>
      <w:r>
        <w:t> </w:t>
      </w:r>
      <w:r w:rsidRPr="0055116C">
        <w:rPr>
          <w:lang w:val="ru-RU"/>
        </w:rPr>
        <w:t xml:space="preserve">– членами ВОИС по вопросам обеспечения уважения ИС). </w:t>
      </w:r>
    </w:p>
    <w:p w:rsidR="0055116C" w:rsidRPr="0055116C" w:rsidRDefault="0055116C" w:rsidP="0055116C">
      <w:pPr>
        <w:pStyle w:val="ListParagraph"/>
        <w:rPr>
          <w:rFonts w:cs="Arial"/>
          <w:lang w:val="ru-RU"/>
        </w:rPr>
      </w:pPr>
    </w:p>
    <w:p w:rsidR="0055116C" w:rsidRPr="0055116C" w:rsidRDefault="0055116C" w:rsidP="0055116C">
      <w:pPr>
        <w:autoSpaceDE w:val="0"/>
        <w:autoSpaceDN w:val="0"/>
        <w:jc w:val="both"/>
        <w:rPr>
          <w:rFonts w:cs="Arial"/>
          <w:lang w:val="ru-RU"/>
        </w:rPr>
      </w:pPr>
      <w:r w:rsidRPr="0055116C">
        <w:rPr>
          <w:lang w:val="ru-RU"/>
        </w:rPr>
        <w:t>17.8</w:t>
      </w:r>
      <w:r w:rsidRPr="0055116C">
        <w:rPr>
          <w:lang w:val="ru-RU"/>
        </w:rPr>
        <w:tab/>
        <w:t xml:space="preserve">Чистое сокращение объема ресурсов, связанных с персоналом, отражает временный перевод сотрудника из программы 6 для обеспечения удовлетворения возросшего спроса на рекомендации по нормативным вопросам. </w:t>
      </w:r>
    </w:p>
    <w:p w:rsidR="0055116C" w:rsidRPr="0055116C" w:rsidRDefault="0055116C" w:rsidP="0055116C">
      <w:pPr>
        <w:autoSpaceDE w:val="0"/>
        <w:autoSpaceDN w:val="0"/>
        <w:jc w:val="both"/>
        <w:rPr>
          <w:rFonts w:cs="Arial"/>
          <w:szCs w:val="20"/>
          <w:lang w:val="ru-RU"/>
        </w:rPr>
      </w:pPr>
    </w:p>
    <w:p w:rsidR="0055116C" w:rsidRPr="0055116C" w:rsidRDefault="0055116C" w:rsidP="0055116C">
      <w:pPr>
        <w:jc w:val="both"/>
        <w:rPr>
          <w:rFonts w:cs="Arial"/>
          <w:szCs w:val="20"/>
          <w:u w:val="single"/>
          <w:lang w:val="ru-RU"/>
        </w:rPr>
      </w:pPr>
      <w:r>
        <w:t>B</w:t>
      </w:r>
      <w:r w:rsidRPr="0055116C">
        <w:rPr>
          <w:lang w:val="ru-RU"/>
        </w:rPr>
        <w:t>.</w:t>
      </w:r>
      <w:r w:rsidRPr="0055116C">
        <w:rPr>
          <w:lang w:val="ru-RU"/>
        </w:rPr>
        <w:tab/>
      </w:r>
      <w:r w:rsidRPr="0055116C">
        <w:rPr>
          <w:u w:val="single"/>
          <w:lang w:val="ru-RU"/>
        </w:rPr>
        <w:t xml:space="preserve">Освоение бюджетных средств в 2014–2015 гг. </w:t>
      </w:r>
    </w:p>
    <w:p w:rsidR="0055116C" w:rsidRPr="0055116C" w:rsidRDefault="0055116C" w:rsidP="0055116C">
      <w:pPr>
        <w:rPr>
          <w:lang w:val="ru-RU"/>
        </w:rPr>
      </w:pPr>
    </w:p>
    <w:p w:rsidR="000B01ED" w:rsidRPr="0055116C" w:rsidRDefault="0055116C" w:rsidP="0055116C">
      <w:pPr>
        <w:tabs>
          <w:tab w:val="left" w:pos="709"/>
        </w:tabs>
        <w:rPr>
          <w:lang w:val="ru-RU"/>
        </w:rPr>
      </w:pPr>
      <w:r w:rsidRPr="0055116C">
        <w:rPr>
          <w:lang w:val="ru-RU"/>
        </w:rPr>
        <w:t>17.9</w:t>
      </w:r>
      <w:r w:rsidRPr="0055116C">
        <w:rPr>
          <w:lang w:val="ru-RU"/>
        </w:rPr>
        <w:tab/>
        <w:t>Уровень освоения бюджетных средств находится в пределах, предусмотренных для рассматриваемого двухлетнего периода.</w:t>
      </w:r>
    </w:p>
    <w:p w:rsidR="005C6F8E" w:rsidRPr="0055116C" w:rsidRDefault="005C6F8E">
      <w:pPr>
        <w:rPr>
          <w:lang w:val="ru-RU"/>
        </w:rPr>
      </w:pPr>
    </w:p>
    <w:p w:rsidR="00DA7475" w:rsidRPr="0055116C" w:rsidRDefault="00DA7475">
      <w:pPr>
        <w:rPr>
          <w:lang w:val="ru-RU"/>
        </w:rPr>
      </w:pPr>
      <w:r w:rsidRPr="0055116C">
        <w:rPr>
          <w:lang w:val="ru-RU"/>
        </w:rPr>
        <w:br w:type="page"/>
      </w:r>
    </w:p>
    <w:p w:rsidR="00C1753F" w:rsidRPr="00103107" w:rsidRDefault="00103107" w:rsidP="00C1753F">
      <w:pPr>
        <w:pStyle w:val="StyleHeading214ptAuto"/>
        <w:rPr>
          <w:rFonts w:ascii="Arial" w:hAnsi="Arial" w:cs="Arial"/>
          <w:sz w:val="20"/>
          <w:szCs w:val="20"/>
          <w:lang w:val="ru-RU"/>
        </w:rPr>
      </w:pPr>
      <w:bookmarkStart w:id="109" w:name="_Toc455388128"/>
      <w:bookmarkStart w:id="110" w:name="_Toc367350596"/>
      <w:r>
        <w:rPr>
          <w:rFonts w:ascii="Arial" w:hAnsi="Arial" w:cs="Arial"/>
          <w:sz w:val="20"/>
          <w:szCs w:val="20"/>
          <w:lang w:val="ru-RU"/>
        </w:rPr>
        <w:t>стратегическая цель</w:t>
      </w:r>
      <w:r w:rsidR="00C1753F" w:rsidRPr="00103107">
        <w:rPr>
          <w:rFonts w:ascii="Arial" w:hAnsi="Arial" w:cs="Arial"/>
          <w:sz w:val="20"/>
          <w:szCs w:val="20"/>
          <w:lang w:val="ru-RU"/>
        </w:rPr>
        <w:t xml:space="preserve"> </w:t>
      </w:r>
      <w:r w:rsidR="00C1753F" w:rsidRPr="00E07FBB">
        <w:rPr>
          <w:rFonts w:ascii="Arial" w:hAnsi="Arial" w:cs="Arial"/>
          <w:sz w:val="20"/>
          <w:szCs w:val="20"/>
        </w:rPr>
        <w:t>VII</w:t>
      </w:r>
      <w:bookmarkEnd w:id="109"/>
    </w:p>
    <w:p w:rsidR="00C1753F" w:rsidRPr="00103107" w:rsidRDefault="00C1753F" w:rsidP="003E2D93">
      <w:pPr>
        <w:rPr>
          <w:lang w:val="ru-RU"/>
        </w:rPr>
      </w:pPr>
    </w:p>
    <w:bookmarkEnd w:id="110"/>
    <w:p w:rsidR="00103107" w:rsidRPr="00E24FAB" w:rsidRDefault="00103107" w:rsidP="00103107">
      <w:pPr>
        <w:jc w:val="center"/>
        <w:rPr>
          <w:b/>
          <w:lang w:val="ru-RU"/>
        </w:rPr>
      </w:pPr>
      <w:r w:rsidRPr="00E24FAB">
        <w:rPr>
          <w:b/>
          <w:lang w:val="ru-RU"/>
        </w:rPr>
        <w:t>РЕШЕНИЕ ВОПРОСОВ ИС В КОНТЕКСТЕ ГЛОБАЛЬНЫХ СТРАТЕГИЧЕСКИХ ЗАДАЧ</w:t>
      </w:r>
    </w:p>
    <w:p w:rsidR="00103107" w:rsidRDefault="00103107" w:rsidP="00103107">
      <w:pPr>
        <w:jc w:val="center"/>
        <w:rPr>
          <w:lang w:val="ru-RU"/>
        </w:rPr>
      </w:pPr>
    </w:p>
    <w:p w:rsidR="00103107" w:rsidRPr="004F6688" w:rsidRDefault="00103107" w:rsidP="00103107">
      <w:pPr>
        <w:jc w:val="center"/>
        <w:rPr>
          <w:lang w:val="ru-RU"/>
        </w:rPr>
      </w:pPr>
    </w:p>
    <w:p w:rsidR="00103107" w:rsidRPr="004F6688" w:rsidRDefault="00103107" w:rsidP="00103107">
      <w:pPr>
        <w:jc w:val="center"/>
        <w:rPr>
          <w:b/>
          <w:lang w:val="ru-RU"/>
        </w:rPr>
      </w:pPr>
      <w:r w:rsidRPr="003A588C">
        <w:rPr>
          <w:b/>
          <w:lang w:val="ru-RU"/>
        </w:rPr>
        <w:t>Сводная таблица показателей результативности за двухлетний период</w:t>
      </w:r>
      <w:r w:rsidRPr="004F6688">
        <w:rPr>
          <w:b/>
          <w:lang w:val="ru-RU"/>
        </w:rPr>
        <w:t xml:space="preserve"> </w:t>
      </w:r>
    </w:p>
    <w:p w:rsidR="00103107" w:rsidRPr="004F6688" w:rsidRDefault="00103107" w:rsidP="00103107">
      <w:pPr>
        <w:rPr>
          <w:lang w:val="ru-RU"/>
        </w:rPr>
      </w:pPr>
    </w:p>
    <w:p w:rsidR="00103107" w:rsidRPr="003A588C" w:rsidRDefault="00103107" w:rsidP="00103107">
      <w:pPr>
        <w:autoSpaceDE w:val="0"/>
        <w:autoSpaceDN w:val="0"/>
        <w:adjustRightInd w:val="0"/>
        <w:jc w:val="both"/>
        <w:rPr>
          <w:rFonts w:cs="Arial"/>
          <w:lang w:val="ru-RU"/>
        </w:rPr>
      </w:pPr>
      <w:r w:rsidRPr="003A588C">
        <w:rPr>
          <w:rFonts w:cs="Arial"/>
          <w:lang w:val="ru-RU"/>
        </w:rPr>
        <w:t>Приводимая ниже сводная т</w:t>
      </w:r>
      <w:r>
        <w:rPr>
          <w:rFonts w:cs="Arial"/>
          <w:lang w:val="ru-RU"/>
        </w:rPr>
        <w:t>аблица содержит обзор достижений с точки зрения степени реализации</w:t>
      </w:r>
      <w:r w:rsidRPr="003A588C">
        <w:rPr>
          <w:rFonts w:cs="Arial"/>
          <w:lang w:val="ru-RU"/>
        </w:rPr>
        <w:t xml:space="preserve"> ожидаемых результатов в двухлетнем периоде 2014-201</w:t>
      </w:r>
      <w:r>
        <w:rPr>
          <w:rFonts w:cs="Arial"/>
          <w:lang w:val="ru-RU"/>
        </w:rPr>
        <w:t>5</w:t>
      </w:r>
      <w:r w:rsidRPr="003A588C">
        <w:rPr>
          <w:rFonts w:cs="Arial"/>
          <w:lang w:val="ru-RU"/>
        </w:rPr>
        <w:t xml:space="preserve"> гг.</w:t>
      </w:r>
      <w:r>
        <w:rPr>
          <w:rFonts w:cs="Arial"/>
          <w:lang w:val="ru-RU"/>
        </w:rPr>
        <w:t xml:space="preserve"> на основе</w:t>
      </w:r>
      <w:r w:rsidRPr="003A588C">
        <w:rPr>
          <w:rFonts w:cs="Arial"/>
          <w:lang w:val="ru-RU"/>
        </w:rPr>
        <w:t xml:space="preserve"> показател</w:t>
      </w:r>
      <w:r>
        <w:rPr>
          <w:rFonts w:cs="Arial"/>
          <w:lang w:val="ru-RU"/>
        </w:rPr>
        <w:t>ей</w:t>
      </w:r>
      <w:r w:rsidRPr="003A588C">
        <w:rPr>
          <w:rFonts w:cs="Arial"/>
          <w:lang w:val="ru-RU"/>
        </w:rPr>
        <w:t xml:space="preserve"> программ, </w:t>
      </w:r>
      <w:r>
        <w:rPr>
          <w:rFonts w:cs="Arial"/>
          <w:lang w:val="ru-RU"/>
        </w:rPr>
        <w:t>обеспечивающих претворение в жизнь</w:t>
      </w:r>
      <w:r w:rsidRPr="003A588C">
        <w:rPr>
          <w:rFonts w:cs="Arial"/>
          <w:lang w:val="ru-RU"/>
        </w:rPr>
        <w:t xml:space="preserve"> данной стратегической цели.  </w:t>
      </w:r>
    </w:p>
    <w:p w:rsidR="00103107" w:rsidRDefault="00103107" w:rsidP="00103107">
      <w:pPr>
        <w:jc w:val="center"/>
        <w:rPr>
          <w:lang w:val="ru-RU"/>
        </w:rPr>
      </w:pPr>
      <w:r>
        <w:rPr>
          <w:noProof/>
        </w:rPr>
        <w:drawing>
          <wp:inline distT="0" distB="0" distL="0" distR="0" wp14:anchorId="7FCC4AD4" wp14:editId="5B5F9B14">
            <wp:extent cx="5940425" cy="3005511"/>
            <wp:effectExtent l="0" t="0" r="3175" b="4445"/>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940425" cy="3005511"/>
                    </a:xfrm>
                    <a:prstGeom prst="rect">
                      <a:avLst/>
                    </a:prstGeom>
                    <a:noFill/>
                    <a:ln>
                      <a:noFill/>
                    </a:ln>
                  </pic:spPr>
                </pic:pic>
              </a:graphicData>
            </a:graphic>
          </wp:inline>
        </w:drawing>
      </w:r>
    </w:p>
    <w:p w:rsidR="00103107" w:rsidRDefault="00103107" w:rsidP="00103107">
      <w:pPr>
        <w:jc w:val="center"/>
        <w:rPr>
          <w:lang w:val="ru-RU"/>
        </w:rPr>
      </w:pPr>
    </w:p>
    <w:p w:rsidR="00103107" w:rsidRPr="00E24FAB" w:rsidRDefault="00103107" w:rsidP="00103107">
      <w:pPr>
        <w:jc w:val="center"/>
        <w:rPr>
          <w:lang w:val="ru-RU"/>
        </w:rPr>
      </w:pPr>
    </w:p>
    <w:tbl>
      <w:tblPr>
        <w:tblW w:w="5148" w:type="pct"/>
        <w:tblInd w:w="-175"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576"/>
        <w:gridCol w:w="3926"/>
        <w:gridCol w:w="1869"/>
        <w:gridCol w:w="1483"/>
      </w:tblGrid>
      <w:tr w:rsidR="00103107" w:rsidRPr="00AF5E7C" w:rsidTr="00D340AF">
        <w:trPr>
          <w:cantSplit/>
          <w:tblHeader/>
        </w:trPr>
        <w:tc>
          <w:tcPr>
            <w:tcW w:w="1307"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206A01" w:rsidRDefault="00103107" w:rsidP="00103107">
            <w:pPr>
              <w:rPr>
                <w:b/>
                <w:bCs/>
                <w:sz w:val="18"/>
                <w:szCs w:val="18"/>
              </w:rPr>
            </w:pPr>
            <w:r w:rsidRPr="003A588C">
              <w:rPr>
                <w:b/>
                <w:bCs/>
                <w:sz w:val="18"/>
                <w:szCs w:val="18"/>
                <w:lang w:val="ru-RU"/>
              </w:rPr>
              <w:t>Ожидаемые результаты</w:t>
            </w:r>
          </w:p>
        </w:tc>
        <w:tc>
          <w:tcPr>
            <w:tcW w:w="1992"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206A01" w:rsidRDefault="00103107" w:rsidP="00103107">
            <w:pPr>
              <w:rPr>
                <w:b/>
                <w:sz w:val="18"/>
                <w:szCs w:val="18"/>
              </w:rPr>
            </w:pPr>
            <w:r w:rsidRPr="003A588C">
              <w:rPr>
                <w:b/>
                <w:sz w:val="18"/>
                <w:szCs w:val="18"/>
                <w:lang w:val="ru-RU"/>
              </w:rPr>
              <w:t>Показател</w:t>
            </w:r>
            <w:r>
              <w:rPr>
                <w:b/>
                <w:sz w:val="18"/>
                <w:szCs w:val="18"/>
                <w:lang w:val="ru-RU"/>
              </w:rPr>
              <w:t>и</w:t>
            </w:r>
            <w:r w:rsidRPr="003A588C">
              <w:rPr>
                <w:b/>
                <w:sz w:val="18"/>
                <w:szCs w:val="18"/>
                <w:lang w:val="ru-RU"/>
              </w:rPr>
              <w:t xml:space="preserve"> результативности</w:t>
            </w:r>
          </w:p>
        </w:tc>
        <w:tc>
          <w:tcPr>
            <w:tcW w:w="948"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206A01" w:rsidRDefault="00103107" w:rsidP="00103107">
            <w:pPr>
              <w:jc w:val="center"/>
              <w:rPr>
                <w:sz w:val="18"/>
                <w:szCs w:val="18"/>
              </w:rPr>
            </w:pPr>
            <w:r w:rsidRPr="003A588C">
              <w:rPr>
                <w:b/>
                <w:sz w:val="18"/>
                <w:szCs w:val="18"/>
                <w:lang w:val="ru-RU"/>
              </w:rPr>
              <w:t>Соответствующие программы</w:t>
            </w:r>
          </w:p>
        </w:tc>
        <w:tc>
          <w:tcPr>
            <w:tcW w:w="752" w:type="pct"/>
            <w:tcBorders>
              <w:top w:val="single" w:sz="4" w:space="0" w:color="auto"/>
              <w:bottom w:val="single" w:sz="4" w:space="0" w:color="auto"/>
            </w:tcBorders>
            <w:shd w:val="clear" w:color="auto" w:fill="C6D9F1" w:themeFill="text2" w:themeFillTint="33"/>
            <w:vAlign w:val="center"/>
          </w:tcPr>
          <w:p w:rsidR="00103107" w:rsidRPr="00206A01" w:rsidRDefault="00103107" w:rsidP="00103107">
            <w:pPr>
              <w:jc w:val="center"/>
              <w:rPr>
                <w:b/>
                <w:bCs/>
                <w:sz w:val="18"/>
                <w:szCs w:val="18"/>
              </w:rPr>
            </w:pPr>
            <w:r w:rsidRPr="003A588C">
              <w:rPr>
                <w:b/>
                <w:bCs/>
                <w:sz w:val="18"/>
                <w:szCs w:val="18"/>
                <w:lang w:val="ru-RU"/>
              </w:rPr>
              <w:t>СИГНАЛЬНАЯ СИСТЕМА</w:t>
            </w:r>
          </w:p>
        </w:tc>
      </w:tr>
      <w:tr w:rsidR="00103107" w:rsidRPr="00AF5E7C" w:rsidTr="00103107">
        <w:trPr>
          <w:cantSplit/>
          <w:trHeight w:val="486"/>
        </w:trPr>
        <w:tc>
          <w:tcPr>
            <w:tcW w:w="1307" w:type="pct"/>
            <w:vMerge w:val="restart"/>
            <w:tcBorders>
              <w:top w:val="single" w:sz="4" w:space="0" w:color="auto"/>
              <w:right w:val="nil"/>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VII.2. Использование платформ и инструментов на базе ИС для целей передачи знаний, а также адаптации и передачи технологий из развитых стран развивающимся и особенно наименее развитым странам, в интересах решения глобальных задач</w:t>
            </w:r>
          </w:p>
        </w:tc>
        <w:tc>
          <w:tcPr>
            <w:tcW w:w="1992" w:type="pct"/>
            <w:tcBorders>
              <w:top w:val="single" w:sz="4" w:space="0" w:color="auto"/>
              <w:left w:val="nil"/>
              <w:bottom w:val="nil"/>
              <w:right w:val="nil"/>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Увеличение числа участников платформы WIPO Re:Search, в том числе из развивающихся стран и НРС</w:t>
            </w:r>
            <w:r w:rsidRPr="004F6688">
              <w:rPr>
                <w:rFonts w:cs="Arial"/>
                <w:sz w:val="16"/>
                <w:szCs w:val="16"/>
                <w:lang w:val="ru-RU"/>
              </w:rPr>
              <w:t xml:space="preserve"> </w:t>
            </w:r>
          </w:p>
        </w:tc>
        <w:tc>
          <w:tcPr>
            <w:tcW w:w="948" w:type="pct"/>
            <w:tcBorders>
              <w:top w:val="single" w:sz="4" w:space="0" w:color="auto"/>
              <w:left w:val="nil"/>
              <w:bottom w:val="nil"/>
              <w:right w:val="nil"/>
            </w:tcBorders>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18 </w:t>
            </w:r>
          </w:p>
        </w:tc>
        <w:tc>
          <w:tcPr>
            <w:tcW w:w="752" w:type="pct"/>
            <w:tcBorders>
              <w:top w:val="single" w:sz="4" w:space="0" w:color="auto"/>
              <w:left w:val="nil"/>
            </w:tcBorders>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AF5E7C" w:rsidTr="00103107">
        <w:trPr>
          <w:cantSplit/>
          <w:trHeight w:val="294"/>
        </w:trPr>
        <w:tc>
          <w:tcPr>
            <w:tcW w:w="1307" w:type="pct"/>
            <w:vMerge/>
            <w:tcBorders>
              <w:right w:val="nil"/>
            </w:tcBorders>
            <w:shd w:val="clear" w:color="auto" w:fill="auto"/>
            <w:tcMar>
              <w:top w:w="113" w:type="dxa"/>
              <w:bottom w:w="85" w:type="dxa"/>
            </w:tcMar>
          </w:tcPr>
          <w:p w:rsidR="00103107" w:rsidRDefault="00103107" w:rsidP="00103107">
            <w:pPr>
              <w:rPr>
                <w:rFonts w:cs="Arial"/>
                <w:sz w:val="16"/>
                <w:szCs w:val="16"/>
              </w:rPr>
            </w:pPr>
          </w:p>
        </w:tc>
        <w:tc>
          <w:tcPr>
            <w:tcW w:w="1992" w:type="pct"/>
            <w:tcBorders>
              <w:top w:val="nil"/>
              <w:left w:val="nil"/>
              <w:bottom w:val="nil"/>
              <w:right w:val="nil"/>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Увеличение числа документов, внесенных в базу данных WIPO Re:Search</w:t>
            </w:r>
            <w:r w:rsidRPr="004F6688">
              <w:rPr>
                <w:rFonts w:cs="Arial"/>
                <w:sz w:val="16"/>
                <w:szCs w:val="16"/>
                <w:lang w:val="ru-RU"/>
              </w:rPr>
              <w:t xml:space="preserve"> </w:t>
            </w:r>
          </w:p>
        </w:tc>
        <w:tc>
          <w:tcPr>
            <w:tcW w:w="948" w:type="pct"/>
            <w:tcBorders>
              <w:top w:val="nil"/>
              <w:left w:val="nil"/>
              <w:bottom w:val="nil"/>
              <w:right w:val="nil"/>
            </w:tcBorders>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18 </w:t>
            </w:r>
          </w:p>
        </w:tc>
        <w:tc>
          <w:tcPr>
            <w:tcW w:w="752" w:type="pct"/>
            <w:tcBorders>
              <w:top w:val="nil"/>
              <w:left w:val="nil"/>
            </w:tcBorders>
            <w:shd w:val="clear" w:color="auto" w:fill="FFFFFF"/>
          </w:tcPr>
          <w:p w:rsidR="00103107" w:rsidRPr="00CC3F44" w:rsidRDefault="00103107" w:rsidP="00103107">
            <w:pPr>
              <w:jc w:val="center"/>
            </w:pPr>
            <w:r w:rsidRPr="00CC3F44">
              <w:rPr>
                <w:rFonts w:cs="Arial"/>
                <w:color w:val="FF0000"/>
                <w:sz w:val="22"/>
                <w:szCs w:val="22"/>
              </w:rPr>
              <w:sym w:font="Wingdings" w:char="F06C"/>
            </w:r>
          </w:p>
        </w:tc>
      </w:tr>
      <w:tr w:rsidR="00103107" w:rsidRPr="00AF5E7C" w:rsidTr="00103107">
        <w:trPr>
          <w:cantSplit/>
          <w:trHeight w:val="516"/>
        </w:trPr>
        <w:tc>
          <w:tcPr>
            <w:tcW w:w="1307" w:type="pct"/>
            <w:vMerge/>
            <w:tcBorders>
              <w:right w:val="nil"/>
            </w:tcBorders>
            <w:shd w:val="clear" w:color="auto" w:fill="auto"/>
            <w:tcMar>
              <w:top w:w="113" w:type="dxa"/>
              <w:bottom w:w="85" w:type="dxa"/>
            </w:tcMar>
          </w:tcPr>
          <w:p w:rsidR="00103107" w:rsidRDefault="00103107" w:rsidP="00103107">
            <w:pPr>
              <w:rPr>
                <w:rFonts w:cs="Arial"/>
                <w:sz w:val="16"/>
                <w:szCs w:val="16"/>
              </w:rPr>
            </w:pPr>
          </w:p>
        </w:tc>
        <w:tc>
          <w:tcPr>
            <w:tcW w:w="1992" w:type="pct"/>
            <w:tcBorders>
              <w:top w:val="nil"/>
              <w:left w:val="nil"/>
              <w:bottom w:val="nil"/>
              <w:right w:val="nil"/>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Увеличение числа соглашений в рамках WIPO Re:Search, позволяющих проводить новые или ускорять уже ведущиеся НИОКР по тематике забытых тропических болезней, малярии и туберкулеза</w:t>
            </w:r>
          </w:p>
        </w:tc>
        <w:tc>
          <w:tcPr>
            <w:tcW w:w="948" w:type="pct"/>
            <w:tcBorders>
              <w:top w:val="nil"/>
              <w:left w:val="nil"/>
              <w:bottom w:val="nil"/>
              <w:right w:val="nil"/>
            </w:tcBorders>
            <w:shd w:val="clear" w:color="auto" w:fill="FFFFFF"/>
            <w:tcMar>
              <w:top w:w="113" w:type="dxa"/>
              <w:bottom w:w="85" w:type="dxa"/>
            </w:tcMar>
          </w:tcPr>
          <w:p w:rsidR="00103107" w:rsidRDefault="00103107" w:rsidP="00103107">
            <w:pPr>
              <w:jc w:val="center"/>
              <w:rPr>
                <w:rFonts w:cs="Arial"/>
                <w:sz w:val="16"/>
                <w:szCs w:val="16"/>
                <w:lang w:bidi="th-TH"/>
              </w:rPr>
            </w:pPr>
            <w:r w:rsidRPr="003A588C">
              <w:rPr>
                <w:rFonts w:cs="Arial"/>
                <w:sz w:val="16"/>
                <w:szCs w:val="16"/>
                <w:lang w:val="ru-RU" w:bidi="th-TH"/>
              </w:rPr>
              <w:t xml:space="preserve">Программа 18 </w:t>
            </w:r>
          </w:p>
        </w:tc>
        <w:tc>
          <w:tcPr>
            <w:tcW w:w="752" w:type="pct"/>
            <w:tcBorders>
              <w:top w:val="nil"/>
              <w:left w:val="nil"/>
            </w:tcBorders>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272"/>
        </w:trPr>
        <w:tc>
          <w:tcPr>
            <w:tcW w:w="1307" w:type="pct"/>
            <w:shd w:val="clear" w:color="auto" w:fill="auto"/>
            <w:tcMar>
              <w:top w:w="113" w:type="dxa"/>
              <w:bottom w:w="85" w:type="dxa"/>
            </w:tcMar>
          </w:tcPr>
          <w:p w:rsidR="00103107" w:rsidRPr="00AF5E7C" w:rsidRDefault="00103107" w:rsidP="00103107">
            <w:pPr>
              <w:rPr>
                <w:rFonts w:cs="Arial"/>
                <w:sz w:val="16"/>
                <w:szCs w:val="16"/>
              </w:rPr>
            </w:pPr>
          </w:p>
        </w:tc>
        <w:tc>
          <w:tcPr>
            <w:tcW w:w="1992" w:type="pct"/>
            <w:tcBorders>
              <w:top w:val="nil"/>
            </w:tcBorders>
            <w:shd w:val="clear" w:color="auto" w:fill="auto"/>
            <w:tcMar>
              <w:top w:w="113" w:type="dxa"/>
              <w:bottom w:w="85" w:type="dxa"/>
            </w:tcMar>
          </w:tcPr>
          <w:p w:rsidR="00103107" w:rsidRPr="00300636" w:rsidRDefault="00103107" w:rsidP="00103107">
            <w:pPr>
              <w:rPr>
                <w:rFonts w:cs="Arial"/>
                <w:sz w:val="16"/>
                <w:szCs w:val="16"/>
              </w:rPr>
            </w:pPr>
            <w:r w:rsidRPr="003A588C">
              <w:rPr>
                <w:rFonts w:cs="Arial"/>
                <w:sz w:val="16"/>
                <w:szCs w:val="16"/>
                <w:lang w:val="ru-RU"/>
              </w:rPr>
              <w:t>Число участников WIPO GREEN</w:t>
            </w:r>
          </w:p>
        </w:tc>
        <w:tc>
          <w:tcPr>
            <w:tcW w:w="948" w:type="pct"/>
            <w:tcBorders>
              <w:top w:val="nil"/>
            </w:tcBorders>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18 </w:t>
            </w:r>
          </w:p>
        </w:tc>
        <w:tc>
          <w:tcPr>
            <w:tcW w:w="752" w:type="pct"/>
            <w:shd w:val="clear" w:color="auto" w:fill="FFFFFF"/>
          </w:tcPr>
          <w:p w:rsidR="00103107" w:rsidRPr="00CC3F44" w:rsidRDefault="00103107" w:rsidP="00103107">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AF5E7C" w:rsidTr="00103107">
        <w:trPr>
          <w:cantSplit/>
          <w:trHeight w:val="706"/>
        </w:trPr>
        <w:tc>
          <w:tcPr>
            <w:tcW w:w="1307" w:type="pct"/>
            <w:shd w:val="clear" w:color="auto" w:fill="auto"/>
            <w:tcMar>
              <w:top w:w="113" w:type="dxa"/>
              <w:bottom w:w="85" w:type="dxa"/>
            </w:tcMar>
          </w:tcPr>
          <w:p w:rsidR="00103107" w:rsidRPr="00AF5E7C" w:rsidRDefault="00103107" w:rsidP="00103107">
            <w:pPr>
              <w:rPr>
                <w:rFonts w:cs="Arial"/>
                <w:sz w:val="16"/>
                <w:szCs w:val="16"/>
              </w:rPr>
            </w:pPr>
          </w:p>
        </w:tc>
        <w:tc>
          <w:tcPr>
            <w:tcW w:w="1992"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установленных связей между платформой WIPO GREEN и соответствующими механизмами, такими, как Центры и сети климатических технологий (РКООНИК) и Центры климатических инноваций (infoDev)</w:t>
            </w:r>
          </w:p>
        </w:tc>
        <w:tc>
          <w:tcPr>
            <w:tcW w:w="948"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18 </w:t>
            </w:r>
          </w:p>
        </w:tc>
        <w:tc>
          <w:tcPr>
            <w:tcW w:w="752"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AF5E7C" w:rsidTr="00103107">
        <w:trPr>
          <w:cantSplit/>
          <w:trHeight w:val="296"/>
        </w:trPr>
        <w:tc>
          <w:tcPr>
            <w:tcW w:w="1307" w:type="pct"/>
            <w:shd w:val="clear" w:color="auto" w:fill="auto"/>
            <w:tcMar>
              <w:top w:w="113" w:type="dxa"/>
              <w:bottom w:w="85" w:type="dxa"/>
            </w:tcMar>
          </w:tcPr>
          <w:p w:rsidR="00103107" w:rsidRPr="00AF5E7C" w:rsidRDefault="00103107" w:rsidP="00103107">
            <w:pPr>
              <w:rPr>
                <w:rFonts w:cs="Arial"/>
                <w:sz w:val="16"/>
                <w:szCs w:val="16"/>
              </w:rPr>
            </w:pPr>
          </w:p>
        </w:tc>
        <w:tc>
          <w:tcPr>
            <w:tcW w:w="1992"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соглашений, для которых платформа WIPO GREEN стала своего рода катализатором, облегчая процесс передачи знаний и адаптации, передачи и/или распространения технологий</w:t>
            </w:r>
          </w:p>
        </w:tc>
        <w:tc>
          <w:tcPr>
            <w:tcW w:w="948"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18 </w:t>
            </w:r>
          </w:p>
        </w:tc>
        <w:tc>
          <w:tcPr>
            <w:tcW w:w="752" w:type="pct"/>
            <w:shd w:val="clear" w:color="auto" w:fill="FFFFFF"/>
          </w:tcPr>
          <w:p w:rsidR="00103107" w:rsidRPr="00CC3F44" w:rsidRDefault="00103107" w:rsidP="00103107">
            <w:pPr>
              <w:jc w:val="center"/>
            </w:pPr>
            <w:r w:rsidRPr="00CC3F44">
              <w:rPr>
                <w:rFonts w:cs="Arial"/>
                <w:color w:val="FF0000"/>
                <w:sz w:val="22"/>
                <w:szCs w:val="22"/>
              </w:rPr>
              <w:sym w:font="Wingdings" w:char="F06C"/>
            </w:r>
          </w:p>
        </w:tc>
      </w:tr>
      <w:tr w:rsidR="00103107" w:rsidRPr="00AF5E7C" w:rsidTr="00103107">
        <w:trPr>
          <w:cantSplit/>
          <w:trHeight w:val="292"/>
        </w:trPr>
        <w:tc>
          <w:tcPr>
            <w:tcW w:w="1307" w:type="pct"/>
            <w:shd w:val="clear" w:color="auto" w:fill="auto"/>
            <w:tcMar>
              <w:top w:w="113" w:type="dxa"/>
              <w:bottom w:w="85" w:type="dxa"/>
            </w:tcMar>
          </w:tcPr>
          <w:p w:rsidR="00103107" w:rsidRPr="00AF5E7C" w:rsidRDefault="00103107" w:rsidP="00103107">
            <w:pPr>
              <w:rPr>
                <w:rFonts w:cs="Arial"/>
                <w:sz w:val="16"/>
                <w:szCs w:val="16"/>
              </w:rPr>
            </w:pPr>
          </w:p>
        </w:tc>
        <w:tc>
          <w:tcPr>
            <w:tcW w:w="1992"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посетителей веб-сайта, посвященного глобальным вопросам</w:t>
            </w:r>
          </w:p>
        </w:tc>
        <w:tc>
          <w:tcPr>
            <w:tcW w:w="948"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18 </w:t>
            </w:r>
          </w:p>
        </w:tc>
        <w:tc>
          <w:tcPr>
            <w:tcW w:w="752"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FF0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FF0000"/>
                <w:sz w:val="22"/>
                <w:szCs w:val="22"/>
              </w:rPr>
              <w:sym w:font="Wingdings" w:char="F06C"/>
            </w:r>
          </w:p>
        </w:tc>
      </w:tr>
      <w:tr w:rsidR="00103107" w:rsidRPr="00AF5E7C" w:rsidTr="00103107">
        <w:trPr>
          <w:cantSplit/>
          <w:trHeight w:val="344"/>
        </w:trPr>
        <w:tc>
          <w:tcPr>
            <w:tcW w:w="1307" w:type="pct"/>
            <w:shd w:val="clear" w:color="auto" w:fill="auto"/>
            <w:tcMar>
              <w:top w:w="113" w:type="dxa"/>
              <w:bottom w:w="85" w:type="dxa"/>
            </w:tcMar>
          </w:tcPr>
          <w:p w:rsidR="00103107" w:rsidRPr="00AF5E7C" w:rsidRDefault="00103107" w:rsidP="00103107">
            <w:pPr>
              <w:rPr>
                <w:rFonts w:cs="Arial"/>
                <w:sz w:val="16"/>
                <w:szCs w:val="16"/>
              </w:rPr>
            </w:pPr>
          </w:p>
        </w:tc>
        <w:tc>
          <w:tcPr>
            <w:tcW w:w="1992"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Участие заинтересованных сторон в работе платформ ВОИС, таких как WIPO GREEN и WIPO Re:Search</w:t>
            </w:r>
          </w:p>
        </w:tc>
        <w:tc>
          <w:tcPr>
            <w:tcW w:w="948"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752" w:type="pct"/>
            <w:shd w:val="clear" w:color="auto" w:fill="FFFFFF"/>
          </w:tcPr>
          <w:p w:rsidR="00103107" w:rsidRPr="00CC3F44" w:rsidRDefault="00103107" w:rsidP="00103107">
            <w:pPr>
              <w:jc w:val="center"/>
              <w:rPr>
                <w:rFonts w:cs="Arial"/>
                <w:color w:val="008000"/>
                <w:sz w:val="22"/>
                <w:szCs w:val="22"/>
              </w:rPr>
            </w:pPr>
            <w:r w:rsidRPr="00CC3F44">
              <w:rPr>
                <w:rFonts w:cs="Arial"/>
                <w:color w:val="FF0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A6A6A6" w:themeColor="background1" w:themeShade="A6"/>
                <w:sz w:val="22"/>
                <w:szCs w:val="22"/>
              </w:rPr>
              <w:sym w:font="Wingdings" w:char="F06C"/>
            </w:r>
            <w:r w:rsidRPr="00CC3F44">
              <w:rPr>
                <w:rFonts w:cs="Arial"/>
                <w:color w:val="FF0000"/>
                <w:sz w:val="22"/>
                <w:szCs w:val="22"/>
              </w:rPr>
              <w:sym w:font="Wingdings" w:char="F06C"/>
            </w:r>
          </w:p>
        </w:tc>
      </w:tr>
      <w:tr w:rsidR="00103107" w:rsidRPr="00AF5E7C" w:rsidTr="00103107">
        <w:trPr>
          <w:cantSplit/>
          <w:trHeight w:val="400"/>
        </w:trPr>
        <w:tc>
          <w:tcPr>
            <w:tcW w:w="1307"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VII.3. Растущий авторитет ВОИС в качестве форума для анализа вопросов в области ИС и конкурентной политики</w:t>
            </w:r>
          </w:p>
        </w:tc>
        <w:tc>
          <w:tcPr>
            <w:tcW w:w="1992"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стран, обратившихся к ВОИС за конкретной информацией по ИС в связи с вопросами конкурентного права</w:t>
            </w:r>
          </w:p>
        </w:tc>
        <w:tc>
          <w:tcPr>
            <w:tcW w:w="948"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Программа 18 - ис и глобальные задачи</w:t>
            </w:r>
          </w:p>
        </w:tc>
        <w:tc>
          <w:tcPr>
            <w:tcW w:w="752"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344"/>
        </w:trPr>
        <w:tc>
          <w:tcPr>
            <w:tcW w:w="1307" w:type="pct"/>
            <w:vMerge/>
            <w:shd w:val="clear" w:color="auto" w:fill="auto"/>
            <w:tcMar>
              <w:top w:w="113" w:type="dxa"/>
              <w:bottom w:w="85" w:type="dxa"/>
            </w:tcMar>
          </w:tcPr>
          <w:p w:rsidR="00103107" w:rsidRPr="00AF5E7C" w:rsidRDefault="00103107" w:rsidP="00103107">
            <w:pPr>
              <w:rPr>
                <w:rFonts w:cs="Arial"/>
                <w:sz w:val="16"/>
                <w:szCs w:val="16"/>
              </w:rPr>
            </w:pPr>
          </w:p>
        </w:tc>
        <w:tc>
          <w:tcPr>
            <w:tcW w:w="1992" w:type="pct"/>
            <w:shd w:val="clear" w:color="auto" w:fill="auto"/>
            <w:tcMar>
              <w:top w:w="113" w:type="dxa"/>
              <w:bottom w:w="85" w:type="dxa"/>
            </w:tcMar>
          </w:tcPr>
          <w:p w:rsidR="00103107" w:rsidRPr="004F6688" w:rsidRDefault="00103107" w:rsidP="00103107">
            <w:pPr>
              <w:rPr>
                <w:rFonts w:eastAsia="MS Mincho" w:cs="Courier New"/>
                <w:sz w:val="16"/>
                <w:szCs w:val="16"/>
                <w:lang w:val="ru-RU" w:eastAsia="zh-CN" w:bidi="th-TH"/>
              </w:rPr>
            </w:pPr>
            <w:r w:rsidRPr="003A588C">
              <w:rPr>
                <w:rFonts w:eastAsia="MS Mincho" w:cs="Courier New"/>
                <w:sz w:val="16"/>
                <w:szCs w:val="16"/>
                <w:lang w:val="ru-RU" w:eastAsia="zh-CN" w:bidi="th-TH"/>
              </w:rPr>
              <w:t>Число и многообразие заинтересованных сторон (ведомства ИС, компетентные органы, занимающиеся вопросами конкуренции, соответствующие МПО и НПО), участвующих в диалоге с ВОИС</w:t>
            </w:r>
          </w:p>
        </w:tc>
        <w:tc>
          <w:tcPr>
            <w:tcW w:w="948"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18 </w:t>
            </w:r>
          </w:p>
        </w:tc>
        <w:tc>
          <w:tcPr>
            <w:tcW w:w="752"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bl>
    <w:p w:rsidR="00103107" w:rsidRDefault="00103107" w:rsidP="00103107">
      <w:pPr>
        <w:rPr>
          <w:rFonts w:cs="Arial"/>
          <w:b/>
          <w:bCs/>
          <w:iCs/>
          <w:caps/>
          <w:szCs w:val="20"/>
          <w:lang w:val="ru-RU" w:eastAsia="da-DK"/>
        </w:rPr>
      </w:pPr>
    </w:p>
    <w:p w:rsidR="00DD7BA9" w:rsidRDefault="00DD7BA9" w:rsidP="00DD7BA9">
      <w:pPr>
        <w:rPr>
          <w:rFonts w:cs="Arial"/>
          <w:b/>
          <w:bCs/>
          <w:iCs/>
          <w:caps/>
          <w:szCs w:val="20"/>
          <w:lang w:val="en-GB" w:eastAsia="da-DK"/>
        </w:rPr>
      </w:pPr>
      <w:r>
        <w:rPr>
          <w:rFonts w:cs="Arial"/>
          <w:b/>
          <w:bCs/>
          <w:iCs/>
          <w:caps/>
          <w:szCs w:val="20"/>
          <w:lang w:val="en-GB" w:eastAsia="da-DK"/>
        </w:rPr>
        <w:br w:type="page"/>
      </w:r>
    </w:p>
    <w:p w:rsidR="0055116C" w:rsidRPr="0055116C" w:rsidRDefault="0055116C" w:rsidP="0055116C">
      <w:pPr>
        <w:pStyle w:val="Heading2"/>
        <w:tabs>
          <w:tab w:val="clear" w:pos="567"/>
          <w:tab w:val="left" w:pos="1985"/>
          <w:tab w:val="left" w:pos="2268"/>
        </w:tabs>
        <w:rPr>
          <w:szCs w:val="22"/>
          <w:lang w:val="ru-RU"/>
        </w:rPr>
      </w:pPr>
      <w:bookmarkStart w:id="111" w:name="_Toc422210505"/>
      <w:bookmarkStart w:id="112" w:name="_Toc455388129"/>
      <w:r w:rsidRPr="0055116C">
        <w:rPr>
          <w:lang w:val="ru-RU"/>
        </w:rPr>
        <w:t>ПРОГРАММА 18</w:t>
      </w:r>
      <w:r w:rsidRPr="0055116C">
        <w:rPr>
          <w:lang w:val="ru-RU"/>
        </w:rPr>
        <w:tab/>
        <w:t>ИС И ГЛОБАЛЬНЫЕ ЗАДАЧИ</w:t>
      </w:r>
      <w:bookmarkEnd w:id="111"/>
      <w:bookmarkEnd w:id="112"/>
    </w:p>
    <w:p w:rsidR="0055116C" w:rsidRPr="0055116C" w:rsidRDefault="0055116C" w:rsidP="0055116C">
      <w:pPr>
        <w:rPr>
          <w:sz w:val="22"/>
          <w:szCs w:val="22"/>
          <w:lang w:val="ru-RU"/>
        </w:rPr>
      </w:pPr>
    </w:p>
    <w:p w:rsidR="0055116C" w:rsidRPr="0055116C" w:rsidRDefault="0055116C" w:rsidP="0055116C">
      <w:pPr>
        <w:tabs>
          <w:tab w:val="left" w:pos="1985"/>
        </w:tabs>
        <w:rPr>
          <w:b/>
          <w:szCs w:val="22"/>
          <w:lang w:val="ru-RU"/>
        </w:rPr>
      </w:pPr>
      <w:r w:rsidRPr="0055116C">
        <w:rPr>
          <w:b/>
          <w:lang w:val="ru-RU"/>
        </w:rPr>
        <w:t xml:space="preserve">Руководитель программы: </w:t>
      </w:r>
      <w:r w:rsidRPr="0055116C">
        <w:rPr>
          <w:lang w:val="ru-RU"/>
        </w:rPr>
        <w:tab/>
      </w:r>
      <w:r w:rsidRPr="0055116C">
        <w:rPr>
          <w:b/>
          <w:lang w:val="ru-RU"/>
        </w:rPr>
        <w:t>г-н М. А. Гетахун</w:t>
      </w:r>
    </w:p>
    <w:p w:rsidR="0055116C" w:rsidRPr="0055116C" w:rsidRDefault="0055116C" w:rsidP="0055116C">
      <w:pPr>
        <w:rPr>
          <w:sz w:val="22"/>
          <w:szCs w:val="22"/>
          <w:lang w:val="ru-RU"/>
        </w:rPr>
      </w:pPr>
    </w:p>
    <w:p w:rsidR="0055116C" w:rsidRPr="0055116C" w:rsidRDefault="0055116C" w:rsidP="0055116C">
      <w:pPr>
        <w:rPr>
          <w:sz w:val="22"/>
          <w:szCs w:val="22"/>
          <w:lang w:val="ru-RU"/>
        </w:rPr>
      </w:pPr>
    </w:p>
    <w:p w:rsidR="0055116C" w:rsidRPr="0055116C" w:rsidRDefault="0055116C" w:rsidP="0055116C">
      <w:pPr>
        <w:rPr>
          <w:bCs/>
          <w:szCs w:val="22"/>
          <w:lang w:val="ru-RU"/>
        </w:rPr>
      </w:pPr>
      <w:r w:rsidRPr="0055116C">
        <w:rPr>
          <w:lang w:val="ru-RU"/>
        </w:rPr>
        <w:t>ОБЗОР ДОСТИЖЕНИЙ ЗА ДВУХЛЕТНИЙ ПЕРИОД 2014–2015 ГГ.</w:t>
      </w:r>
    </w:p>
    <w:p w:rsidR="0055116C" w:rsidRPr="0055116C" w:rsidRDefault="0055116C" w:rsidP="0055116C">
      <w:pPr>
        <w:tabs>
          <w:tab w:val="left" w:pos="709"/>
        </w:tabs>
        <w:jc w:val="both"/>
        <w:rPr>
          <w:bCs/>
          <w:sz w:val="22"/>
          <w:szCs w:val="22"/>
          <w:lang w:val="ru-RU"/>
        </w:rPr>
      </w:pPr>
    </w:p>
    <w:p w:rsidR="0055116C" w:rsidRPr="005D5F9D" w:rsidRDefault="0055116C" w:rsidP="0055116C">
      <w:pPr>
        <w:pStyle w:val="Default"/>
        <w:numPr>
          <w:ilvl w:val="0"/>
          <w:numId w:val="68"/>
        </w:numPr>
        <w:tabs>
          <w:tab w:val="left" w:pos="709"/>
        </w:tabs>
        <w:ind w:left="0" w:firstLine="0"/>
        <w:jc w:val="both"/>
        <w:rPr>
          <w:bCs/>
          <w:color w:val="000000" w:themeColor="text1"/>
          <w:sz w:val="20"/>
          <w:szCs w:val="20"/>
        </w:rPr>
      </w:pPr>
      <w:r w:rsidRPr="0055116C">
        <w:rPr>
          <w:color w:val="000000" w:themeColor="text1"/>
          <w:sz w:val="20"/>
          <w:lang w:val="ru-RU"/>
        </w:rPr>
        <w:t>В рамках программы</w:t>
      </w:r>
      <w:r>
        <w:rPr>
          <w:color w:val="000000" w:themeColor="text1"/>
          <w:sz w:val="20"/>
        </w:rPr>
        <w:t> </w:t>
      </w:r>
      <w:r w:rsidRPr="0055116C">
        <w:rPr>
          <w:color w:val="000000" w:themeColor="text1"/>
          <w:sz w:val="20"/>
          <w:lang w:val="ru-RU"/>
        </w:rPr>
        <w:t>18 рассматриваются вопросы инноваций и ИС, находящиеся на стыке глобальных и взаимосвязанных проблем, в частности, проблем охраны здоровья населения мира, изменения климата и обеспечения продовольственной безопасности. В 2014–2015</w:t>
      </w:r>
      <w:r>
        <w:rPr>
          <w:color w:val="000000" w:themeColor="text1"/>
          <w:sz w:val="20"/>
        </w:rPr>
        <w:t> </w:t>
      </w:r>
      <w:r w:rsidRPr="0055116C">
        <w:rPr>
          <w:color w:val="000000" w:themeColor="text1"/>
          <w:sz w:val="20"/>
          <w:lang w:val="ru-RU"/>
        </w:rPr>
        <w:t xml:space="preserve">гг. мероприятия программы продолжали способствовать углублению понимания директивными органами взаимосвязи между глобальными задачами, инновациями и ИС, в том числе посредством двух платформ </w:t>
      </w:r>
      <w:r>
        <w:rPr>
          <w:color w:val="000000" w:themeColor="text1"/>
          <w:sz w:val="20"/>
        </w:rPr>
        <w:t>c</w:t>
      </w:r>
      <w:r w:rsidRPr="0055116C">
        <w:rPr>
          <w:color w:val="000000" w:themeColor="text1"/>
          <w:sz w:val="20"/>
          <w:lang w:val="ru-RU"/>
        </w:rPr>
        <w:t xml:space="preserve"> участием многих заинтересованных сторон (</w:t>
      </w:r>
      <w:r>
        <w:rPr>
          <w:color w:val="000000" w:themeColor="text1"/>
          <w:sz w:val="20"/>
        </w:rPr>
        <w:t>WIPO</w:t>
      </w:r>
      <w:r w:rsidRPr="0055116C">
        <w:rPr>
          <w:color w:val="000000" w:themeColor="text1"/>
          <w:sz w:val="20"/>
          <w:lang w:val="ru-RU"/>
        </w:rPr>
        <w:t xml:space="preserve"> </w:t>
      </w:r>
      <w:r>
        <w:rPr>
          <w:color w:val="000000" w:themeColor="text1"/>
          <w:sz w:val="20"/>
        </w:rPr>
        <w:t>Re</w:t>
      </w:r>
      <w:r w:rsidRPr="0055116C">
        <w:rPr>
          <w:color w:val="000000" w:themeColor="text1"/>
          <w:sz w:val="20"/>
          <w:lang w:val="ru-RU"/>
        </w:rPr>
        <w:t>:</w:t>
      </w:r>
      <w:r>
        <w:rPr>
          <w:color w:val="000000" w:themeColor="text1"/>
          <w:sz w:val="20"/>
        </w:rPr>
        <w:t>Search</w:t>
      </w:r>
      <w:r w:rsidRPr="0055116C">
        <w:rPr>
          <w:color w:val="000000" w:themeColor="text1"/>
          <w:sz w:val="20"/>
          <w:lang w:val="ru-RU"/>
        </w:rPr>
        <w:t xml:space="preserve"> и </w:t>
      </w:r>
      <w:r>
        <w:rPr>
          <w:color w:val="000000" w:themeColor="text1"/>
          <w:sz w:val="20"/>
        </w:rPr>
        <w:t>WIPO</w:t>
      </w:r>
      <w:r w:rsidRPr="0055116C">
        <w:rPr>
          <w:color w:val="000000" w:themeColor="text1"/>
          <w:sz w:val="20"/>
          <w:lang w:val="ru-RU"/>
        </w:rPr>
        <w:t xml:space="preserve"> </w:t>
      </w:r>
      <w:r>
        <w:rPr>
          <w:color w:val="000000" w:themeColor="text1"/>
          <w:sz w:val="20"/>
        </w:rPr>
        <w:t>GREEN</w:t>
      </w:r>
      <w:r w:rsidRPr="0055116C">
        <w:rPr>
          <w:color w:val="000000" w:themeColor="text1"/>
          <w:sz w:val="20"/>
          <w:lang w:val="ru-RU"/>
        </w:rPr>
        <w:t>) и продолжения сотрудничества с ВОЗ и ВТО по вопросам, находящимся на стыке здравоохранения, ИС, инноваций и международной торговли.  В</w:t>
      </w:r>
      <w:r>
        <w:rPr>
          <w:color w:val="000000" w:themeColor="text1"/>
          <w:sz w:val="20"/>
        </w:rPr>
        <w:t> </w:t>
      </w:r>
      <w:r w:rsidRPr="0055116C">
        <w:rPr>
          <w:color w:val="000000" w:themeColor="text1"/>
          <w:sz w:val="20"/>
          <w:lang w:val="ru-RU"/>
        </w:rPr>
        <w:t xml:space="preserve">рассматриваемый двухлетний период сотрудники программы продолжали получать позитивные отзывы от самых разных заинтересованных сторон о работе, проводимой ВОИС по направлению </w:t>
      </w:r>
      <w:r>
        <w:rPr>
          <w:color w:val="000000" w:themeColor="text1"/>
          <w:sz w:val="20"/>
        </w:rPr>
        <w:t>«ИС и глобальные задачи».</w:t>
      </w:r>
    </w:p>
    <w:p w:rsidR="0055116C" w:rsidRPr="005D5F9D" w:rsidRDefault="0055116C" w:rsidP="0055116C">
      <w:pPr>
        <w:pStyle w:val="Default"/>
        <w:tabs>
          <w:tab w:val="left" w:pos="709"/>
        </w:tabs>
        <w:jc w:val="both"/>
        <w:rPr>
          <w:bCs/>
          <w:color w:val="000000" w:themeColor="text1"/>
          <w:sz w:val="20"/>
          <w:szCs w:val="20"/>
        </w:rPr>
      </w:pPr>
    </w:p>
    <w:p w:rsidR="0055116C" w:rsidRPr="0055116C" w:rsidRDefault="0055116C" w:rsidP="0055116C">
      <w:pPr>
        <w:pStyle w:val="Default"/>
        <w:numPr>
          <w:ilvl w:val="0"/>
          <w:numId w:val="68"/>
        </w:numPr>
        <w:tabs>
          <w:tab w:val="left" w:pos="709"/>
        </w:tabs>
        <w:ind w:left="0" w:firstLine="0"/>
        <w:jc w:val="both"/>
        <w:rPr>
          <w:bCs/>
          <w:color w:val="000000" w:themeColor="text1"/>
          <w:sz w:val="20"/>
          <w:szCs w:val="20"/>
          <w:lang w:val="ru-RU"/>
        </w:rPr>
      </w:pPr>
      <w:r w:rsidRPr="0055116C">
        <w:rPr>
          <w:color w:val="000000" w:themeColor="text1"/>
          <w:sz w:val="20"/>
          <w:lang w:val="ru-RU"/>
        </w:rPr>
        <w:t xml:space="preserve">Благодаря реализации данной программы в тесном взаимодействии с другими соответствующими программами ВОИС, прежде всего с программой 20 (внешние связи, партнерство и внешние бюро) и программой 30 (МСП и инновации), ВОИС упрочила свой авторитет в качестве признанного инструмента поддержки, сотрудничества и источника справочной информации по вопросам </w:t>
      </w:r>
      <w:r w:rsidRPr="0055116C">
        <w:rPr>
          <w:color w:val="000000" w:themeColor="text1"/>
          <w:sz w:val="20"/>
          <w:szCs w:val="20"/>
          <w:lang w:val="ru-RU"/>
        </w:rPr>
        <w:t xml:space="preserve">взаимосвязи публичной политики и ИС, благодаря чему она продолжала получать приглашения участвовать в форумах, проводимых другими международными и неправительственными организациями, в том числе ВОЗ, ВТО, НПО, организациями частного сектора и университетами.  </w:t>
      </w:r>
      <w:r w:rsidRPr="0055116C">
        <w:rPr>
          <w:sz w:val="20"/>
          <w:szCs w:val="20"/>
          <w:lang w:val="ru-RU"/>
        </w:rPr>
        <w:t>В 2014–2015</w:t>
      </w:r>
      <w:r w:rsidRPr="004265A0">
        <w:rPr>
          <w:sz w:val="20"/>
          <w:szCs w:val="20"/>
        </w:rPr>
        <w:t> </w:t>
      </w:r>
      <w:r w:rsidRPr="0055116C">
        <w:rPr>
          <w:sz w:val="20"/>
          <w:szCs w:val="20"/>
          <w:lang w:val="ru-RU"/>
        </w:rPr>
        <w:t>гг. состоялось три семинара ВОИС по глобальным задачам, в ходе которых участники смогли обменяться идеями, опытом и информацией: (</w:t>
      </w:r>
      <w:r>
        <w:rPr>
          <w:sz w:val="20"/>
          <w:szCs w:val="20"/>
        </w:rPr>
        <w:t>i</w:t>
      </w:r>
      <w:r w:rsidRPr="0055116C">
        <w:rPr>
          <w:sz w:val="20"/>
          <w:szCs w:val="20"/>
          <w:lang w:val="ru-RU"/>
        </w:rPr>
        <w:t>)</w:t>
      </w:r>
      <w:r>
        <w:rPr>
          <w:sz w:val="20"/>
          <w:szCs w:val="20"/>
        </w:rPr>
        <w:t> </w:t>
      </w:r>
      <w:r w:rsidRPr="0055116C">
        <w:rPr>
          <w:sz w:val="20"/>
          <w:szCs w:val="20"/>
          <w:lang w:val="ru-RU"/>
        </w:rPr>
        <w:t>Патентный ландшафт для возобновляемой энергетики (июнь 2014</w:t>
      </w:r>
      <w:r>
        <w:rPr>
          <w:sz w:val="20"/>
          <w:szCs w:val="20"/>
        </w:rPr>
        <w:t> </w:t>
      </w:r>
      <w:r w:rsidRPr="0055116C">
        <w:rPr>
          <w:sz w:val="20"/>
          <w:szCs w:val="20"/>
          <w:lang w:val="ru-RU"/>
        </w:rPr>
        <w:t>г.); (</w:t>
      </w:r>
      <w:r>
        <w:rPr>
          <w:sz w:val="20"/>
          <w:szCs w:val="20"/>
        </w:rPr>
        <w:t>ii</w:t>
      </w:r>
      <w:r w:rsidRPr="0055116C">
        <w:rPr>
          <w:sz w:val="20"/>
          <w:szCs w:val="20"/>
          <w:lang w:val="ru-RU"/>
        </w:rPr>
        <w:t>)</w:t>
      </w:r>
      <w:r>
        <w:rPr>
          <w:sz w:val="20"/>
          <w:szCs w:val="20"/>
        </w:rPr>
        <w:t> </w:t>
      </w:r>
      <w:r w:rsidRPr="0055116C">
        <w:rPr>
          <w:sz w:val="20"/>
          <w:szCs w:val="20"/>
          <w:lang w:val="ru-RU"/>
        </w:rPr>
        <w:t xml:space="preserve">Инновации и доступ к лекарствам: борьба против ВИЧ/СПИДа и гепатита </w:t>
      </w:r>
      <w:r w:rsidRPr="004265A0">
        <w:rPr>
          <w:sz w:val="20"/>
          <w:szCs w:val="20"/>
        </w:rPr>
        <w:t>C</w:t>
      </w:r>
      <w:r w:rsidRPr="0055116C">
        <w:rPr>
          <w:sz w:val="20"/>
          <w:szCs w:val="20"/>
          <w:lang w:val="ru-RU"/>
        </w:rPr>
        <w:t xml:space="preserve"> </w:t>
      </w:r>
      <w:r w:rsidRPr="0055116C">
        <w:rPr>
          <w:rStyle w:val="Hyperlink"/>
          <w:color w:val="auto"/>
          <w:sz w:val="20"/>
          <w:szCs w:val="20"/>
          <w:lang w:val="ru-RU"/>
        </w:rPr>
        <w:t>(декабрь 2014</w:t>
      </w:r>
      <w:r>
        <w:rPr>
          <w:rStyle w:val="Hyperlink"/>
          <w:color w:val="auto"/>
          <w:sz w:val="20"/>
          <w:szCs w:val="20"/>
        </w:rPr>
        <w:t> </w:t>
      </w:r>
      <w:r w:rsidRPr="0055116C">
        <w:rPr>
          <w:rStyle w:val="Hyperlink"/>
          <w:color w:val="auto"/>
          <w:sz w:val="20"/>
          <w:szCs w:val="20"/>
          <w:lang w:val="ru-RU"/>
        </w:rPr>
        <w:t>г.); и (</w:t>
      </w:r>
      <w:r>
        <w:rPr>
          <w:rStyle w:val="Hyperlink"/>
          <w:color w:val="auto"/>
          <w:sz w:val="20"/>
          <w:szCs w:val="20"/>
        </w:rPr>
        <w:t>iii</w:t>
      </w:r>
      <w:r w:rsidRPr="0055116C">
        <w:rPr>
          <w:rStyle w:val="Hyperlink"/>
          <w:color w:val="auto"/>
          <w:sz w:val="20"/>
          <w:szCs w:val="20"/>
          <w:lang w:val="ru-RU"/>
        </w:rPr>
        <w:t>)</w:t>
      </w:r>
      <w:r>
        <w:rPr>
          <w:rStyle w:val="Hyperlink"/>
          <w:color w:val="auto"/>
          <w:sz w:val="20"/>
          <w:szCs w:val="20"/>
        </w:rPr>
        <w:t> </w:t>
      </w:r>
      <w:r w:rsidRPr="0055116C">
        <w:rPr>
          <w:sz w:val="20"/>
          <w:szCs w:val="20"/>
          <w:lang w:val="ru-RU"/>
        </w:rPr>
        <w:t>Продвижение нового поколения продуктов для борьбы с забытыми тропическими болезнями (</w:t>
      </w:r>
      <w:r w:rsidRPr="0055116C">
        <w:rPr>
          <w:rStyle w:val="Hyperlink"/>
          <w:color w:val="auto"/>
          <w:sz w:val="20"/>
          <w:szCs w:val="20"/>
          <w:lang w:val="ru-RU"/>
        </w:rPr>
        <w:t>октябрь 2015</w:t>
      </w:r>
      <w:r w:rsidRPr="004265A0">
        <w:rPr>
          <w:rStyle w:val="Hyperlink"/>
          <w:color w:val="auto"/>
          <w:sz w:val="20"/>
          <w:szCs w:val="20"/>
        </w:rPr>
        <w:t> </w:t>
      </w:r>
      <w:r w:rsidRPr="0055116C">
        <w:rPr>
          <w:rStyle w:val="Hyperlink"/>
          <w:color w:val="auto"/>
          <w:sz w:val="20"/>
          <w:szCs w:val="20"/>
          <w:lang w:val="ru-RU"/>
        </w:rPr>
        <w:t>г.).  Кроме того,</w:t>
      </w:r>
      <w:r w:rsidRPr="0055116C">
        <w:rPr>
          <w:rStyle w:val="Hyperlink"/>
          <w:sz w:val="20"/>
          <w:szCs w:val="20"/>
          <w:lang w:val="ru-RU"/>
        </w:rPr>
        <w:t xml:space="preserve"> </w:t>
      </w:r>
      <w:r w:rsidRPr="0055116C">
        <w:rPr>
          <w:sz w:val="20"/>
          <w:szCs w:val="20"/>
          <w:lang w:val="ru-RU"/>
        </w:rPr>
        <w:t>были опубликованы четыре аналитические записки</w:t>
      </w:r>
      <w:r w:rsidRPr="004265A0">
        <w:rPr>
          <w:rStyle w:val="FootnoteReference"/>
          <w:color w:val="000000" w:themeColor="text1"/>
          <w:sz w:val="20"/>
          <w:szCs w:val="20"/>
        </w:rPr>
        <w:footnoteReference w:id="101"/>
      </w:r>
      <w:r w:rsidRPr="0055116C">
        <w:rPr>
          <w:sz w:val="20"/>
          <w:szCs w:val="20"/>
          <w:lang w:val="ru-RU"/>
        </w:rPr>
        <w:t xml:space="preserve"> и три доклада по глобальным проблемам</w:t>
      </w:r>
      <w:r w:rsidRPr="004265A0">
        <w:rPr>
          <w:rStyle w:val="FootnoteReference"/>
          <w:color w:val="000000" w:themeColor="text1"/>
          <w:sz w:val="20"/>
          <w:szCs w:val="20"/>
        </w:rPr>
        <w:footnoteReference w:id="102"/>
      </w:r>
      <w:r w:rsidRPr="0055116C">
        <w:rPr>
          <w:sz w:val="20"/>
          <w:szCs w:val="20"/>
          <w:lang w:val="ru-RU"/>
        </w:rPr>
        <w:t>.</w:t>
      </w:r>
      <w:r w:rsidRPr="0055116C">
        <w:rPr>
          <w:color w:val="000000" w:themeColor="text1"/>
          <w:sz w:val="20"/>
          <w:szCs w:val="20"/>
          <w:lang w:val="ru-RU"/>
        </w:rPr>
        <w:t xml:space="preserve">  </w:t>
      </w:r>
      <w:r w:rsidRPr="0055116C">
        <w:rPr>
          <w:sz w:val="20"/>
          <w:szCs w:val="20"/>
          <w:lang w:val="ru-RU"/>
        </w:rPr>
        <w:t xml:space="preserve">В рамках работы платформы </w:t>
      </w:r>
      <w:r w:rsidRPr="004265A0">
        <w:rPr>
          <w:sz w:val="20"/>
          <w:szCs w:val="20"/>
        </w:rPr>
        <w:t>WIPO</w:t>
      </w:r>
      <w:r w:rsidRPr="0055116C">
        <w:rPr>
          <w:sz w:val="20"/>
          <w:szCs w:val="20"/>
          <w:lang w:val="ru-RU"/>
        </w:rPr>
        <w:t xml:space="preserve"> </w:t>
      </w:r>
      <w:r w:rsidRPr="004265A0">
        <w:rPr>
          <w:sz w:val="20"/>
          <w:szCs w:val="20"/>
        </w:rPr>
        <w:t>Re</w:t>
      </w:r>
      <w:r w:rsidRPr="0055116C">
        <w:rPr>
          <w:sz w:val="20"/>
          <w:szCs w:val="20"/>
          <w:lang w:val="ru-RU"/>
        </w:rPr>
        <w:t>:</w:t>
      </w:r>
      <w:r w:rsidRPr="004265A0">
        <w:rPr>
          <w:sz w:val="20"/>
          <w:szCs w:val="20"/>
        </w:rPr>
        <w:t>Search</w:t>
      </w:r>
      <w:r w:rsidRPr="0055116C">
        <w:rPr>
          <w:sz w:val="20"/>
          <w:szCs w:val="20"/>
          <w:lang w:val="ru-RU"/>
        </w:rPr>
        <w:t xml:space="preserve"> по укреплению потенциала развивающихся стран</w:t>
      </w:r>
      <w:r w:rsidRPr="0055116C">
        <w:rPr>
          <w:sz w:val="20"/>
          <w:lang w:val="ru-RU"/>
        </w:rPr>
        <w:t xml:space="preserve"> совместно с программой</w:t>
      </w:r>
      <w:r>
        <w:rPr>
          <w:sz w:val="20"/>
        </w:rPr>
        <w:t> </w:t>
      </w:r>
      <w:r w:rsidRPr="0055116C">
        <w:rPr>
          <w:sz w:val="20"/>
          <w:lang w:val="ru-RU"/>
        </w:rPr>
        <w:t>9 (региональные бюро) и программой 30 (МСП и инновации) были организованы два учебных семинара на тему «Регулирование механизмов интеллектуальной собственности» для ученых развивающихся стран</w:t>
      </w:r>
      <w:r>
        <w:rPr>
          <w:sz w:val="20"/>
        </w:rPr>
        <w:t> </w:t>
      </w:r>
      <w:r w:rsidRPr="0055116C">
        <w:rPr>
          <w:sz w:val="20"/>
          <w:lang w:val="ru-RU"/>
        </w:rPr>
        <w:t xml:space="preserve">– участников платформы. </w:t>
      </w:r>
    </w:p>
    <w:p w:rsidR="0055116C" w:rsidRPr="0055116C" w:rsidRDefault="0055116C" w:rsidP="0055116C">
      <w:pPr>
        <w:pStyle w:val="Default"/>
        <w:tabs>
          <w:tab w:val="left" w:pos="709"/>
        </w:tabs>
        <w:jc w:val="both"/>
        <w:rPr>
          <w:bCs/>
          <w:color w:val="auto"/>
          <w:sz w:val="20"/>
          <w:szCs w:val="20"/>
          <w:lang w:val="ru-RU"/>
        </w:rPr>
      </w:pPr>
    </w:p>
    <w:p w:rsidR="0055116C" w:rsidRPr="0055116C" w:rsidRDefault="0055116C" w:rsidP="0055116C">
      <w:pPr>
        <w:pStyle w:val="Default"/>
        <w:numPr>
          <w:ilvl w:val="0"/>
          <w:numId w:val="68"/>
        </w:numPr>
        <w:tabs>
          <w:tab w:val="left" w:pos="709"/>
        </w:tabs>
        <w:ind w:left="0" w:firstLine="0"/>
        <w:jc w:val="both"/>
        <w:rPr>
          <w:bCs/>
          <w:color w:val="000000" w:themeColor="text1"/>
          <w:sz w:val="20"/>
          <w:szCs w:val="20"/>
          <w:lang w:val="ru-RU"/>
        </w:rPr>
      </w:pPr>
      <w:r w:rsidRPr="0055116C">
        <w:rPr>
          <w:color w:val="auto"/>
          <w:sz w:val="20"/>
          <w:lang w:val="ru-RU"/>
        </w:rPr>
        <w:t>2014</w:t>
      </w:r>
      <w:r>
        <w:rPr>
          <w:color w:val="auto"/>
          <w:sz w:val="20"/>
        </w:rPr>
        <w:t> </w:t>
      </w:r>
      <w:r w:rsidRPr="0055116C">
        <w:rPr>
          <w:color w:val="auto"/>
          <w:sz w:val="20"/>
          <w:lang w:val="ru-RU"/>
        </w:rPr>
        <w:t xml:space="preserve">г. стал первым полным годом функционирования платформы </w:t>
      </w:r>
      <w:r>
        <w:rPr>
          <w:color w:val="auto"/>
          <w:sz w:val="20"/>
        </w:rPr>
        <w:t>WIPO</w:t>
      </w:r>
      <w:r w:rsidRPr="0055116C">
        <w:rPr>
          <w:color w:val="auto"/>
          <w:sz w:val="20"/>
          <w:lang w:val="ru-RU"/>
        </w:rPr>
        <w:t xml:space="preserve"> </w:t>
      </w:r>
      <w:r>
        <w:rPr>
          <w:color w:val="auto"/>
          <w:sz w:val="20"/>
        </w:rPr>
        <w:t>GREEN</w:t>
      </w:r>
      <w:r w:rsidRPr="0055116C">
        <w:rPr>
          <w:color w:val="auto"/>
          <w:sz w:val="20"/>
          <w:lang w:val="ru-RU"/>
        </w:rPr>
        <w:t>, которая существует с ноября 2013</w:t>
      </w:r>
      <w:r>
        <w:rPr>
          <w:color w:val="auto"/>
          <w:sz w:val="20"/>
        </w:rPr>
        <w:t> </w:t>
      </w:r>
      <w:r w:rsidRPr="0055116C">
        <w:rPr>
          <w:color w:val="auto"/>
          <w:sz w:val="20"/>
          <w:lang w:val="ru-RU"/>
        </w:rPr>
        <w:t>г.  Благодаря продуманной информационной кампании «Рынок устойчивых технологий» в 2014–2015</w:t>
      </w:r>
      <w:r>
        <w:rPr>
          <w:color w:val="auto"/>
          <w:sz w:val="20"/>
        </w:rPr>
        <w:t> </w:t>
      </w:r>
      <w:r w:rsidRPr="0055116C">
        <w:rPr>
          <w:color w:val="auto"/>
          <w:sz w:val="20"/>
          <w:lang w:val="ru-RU"/>
        </w:rPr>
        <w:t>гг. значительно возросла осведомленность общественности о возможностях платформы.  Сеть партнеров увеличилась с 36 в 2013</w:t>
      </w:r>
      <w:r>
        <w:rPr>
          <w:color w:val="auto"/>
          <w:sz w:val="20"/>
        </w:rPr>
        <w:t> </w:t>
      </w:r>
      <w:r w:rsidRPr="0055116C">
        <w:rPr>
          <w:color w:val="auto"/>
          <w:sz w:val="20"/>
          <w:lang w:val="ru-RU"/>
        </w:rPr>
        <w:t>г. до 54 в 2014</w:t>
      </w:r>
      <w:r>
        <w:rPr>
          <w:color w:val="auto"/>
          <w:sz w:val="20"/>
        </w:rPr>
        <w:t> </w:t>
      </w:r>
      <w:r w:rsidRPr="0055116C">
        <w:rPr>
          <w:color w:val="auto"/>
          <w:sz w:val="20"/>
          <w:lang w:val="ru-RU"/>
        </w:rPr>
        <w:t>г. и 65 в 2015</w:t>
      </w:r>
      <w:r>
        <w:rPr>
          <w:color w:val="auto"/>
          <w:sz w:val="20"/>
        </w:rPr>
        <w:t> </w:t>
      </w:r>
      <w:r w:rsidRPr="0055116C">
        <w:rPr>
          <w:color w:val="auto"/>
          <w:sz w:val="20"/>
          <w:lang w:val="ru-RU"/>
        </w:rPr>
        <w:t>г., а число зарегистрированных пользователей утроилось: с 160 в 2013</w:t>
      </w:r>
      <w:r>
        <w:rPr>
          <w:color w:val="auto"/>
          <w:sz w:val="20"/>
        </w:rPr>
        <w:t> </w:t>
      </w:r>
      <w:r w:rsidRPr="0055116C">
        <w:rPr>
          <w:color w:val="auto"/>
          <w:sz w:val="20"/>
          <w:lang w:val="ru-RU"/>
        </w:rPr>
        <w:t>г. до 490 в конце 2015</w:t>
      </w:r>
      <w:r>
        <w:rPr>
          <w:color w:val="auto"/>
          <w:sz w:val="20"/>
        </w:rPr>
        <w:t> </w:t>
      </w:r>
      <w:r w:rsidRPr="0055116C">
        <w:rPr>
          <w:color w:val="auto"/>
          <w:sz w:val="20"/>
          <w:lang w:val="ru-RU"/>
        </w:rPr>
        <w:t xml:space="preserve">г.  Благодаря заключению соглашений об объединении баз данных и загрузке материалов в индивидуальном порядке размер базы данных </w:t>
      </w:r>
      <w:r>
        <w:rPr>
          <w:color w:val="auto"/>
          <w:sz w:val="20"/>
        </w:rPr>
        <w:t>WIPO</w:t>
      </w:r>
      <w:r w:rsidRPr="0055116C">
        <w:rPr>
          <w:color w:val="auto"/>
          <w:sz w:val="20"/>
          <w:lang w:val="ru-RU"/>
        </w:rPr>
        <w:t xml:space="preserve"> </w:t>
      </w:r>
      <w:r>
        <w:rPr>
          <w:color w:val="auto"/>
          <w:sz w:val="20"/>
        </w:rPr>
        <w:t>GREEN</w:t>
      </w:r>
      <w:r w:rsidRPr="0055116C">
        <w:rPr>
          <w:color w:val="auto"/>
          <w:sz w:val="20"/>
          <w:lang w:val="ru-RU"/>
        </w:rPr>
        <w:t xml:space="preserve"> вырос более чем в два раза: с 830 позиций в 2013 г. до 2</w:t>
      </w:r>
      <w:r>
        <w:rPr>
          <w:color w:val="auto"/>
          <w:sz w:val="20"/>
        </w:rPr>
        <w:t> </w:t>
      </w:r>
      <w:r w:rsidRPr="0055116C">
        <w:rPr>
          <w:color w:val="auto"/>
          <w:sz w:val="20"/>
          <w:lang w:val="ru-RU"/>
        </w:rPr>
        <w:t>181 в 2015</w:t>
      </w:r>
      <w:r>
        <w:rPr>
          <w:color w:val="auto"/>
          <w:sz w:val="20"/>
        </w:rPr>
        <w:t> </w:t>
      </w:r>
      <w:r w:rsidRPr="0055116C">
        <w:rPr>
          <w:color w:val="auto"/>
          <w:sz w:val="20"/>
          <w:lang w:val="ru-RU"/>
        </w:rPr>
        <w:t xml:space="preserve">г.  </w:t>
      </w:r>
    </w:p>
    <w:p w:rsidR="0055116C" w:rsidRPr="0055116C" w:rsidRDefault="0055116C" w:rsidP="0055116C">
      <w:pPr>
        <w:pStyle w:val="Default"/>
        <w:tabs>
          <w:tab w:val="left" w:pos="709"/>
        </w:tabs>
        <w:jc w:val="both"/>
        <w:rPr>
          <w:rFonts w:eastAsia="Times New Roman"/>
          <w:bCs/>
          <w:color w:val="auto"/>
          <w:sz w:val="20"/>
          <w:szCs w:val="20"/>
          <w:lang w:val="ru-RU"/>
        </w:rPr>
      </w:pPr>
    </w:p>
    <w:p w:rsidR="0055116C" w:rsidRPr="00D8021C" w:rsidRDefault="0055116C">
      <w:pPr>
        <w:rPr>
          <w:i/>
          <w:sz w:val="16"/>
          <w:lang w:val="ru-RU"/>
        </w:rPr>
      </w:pPr>
      <w:r w:rsidRPr="00D8021C">
        <w:rPr>
          <w:i/>
          <w:sz w:val="16"/>
          <w:lang w:val="ru-RU"/>
        </w:rPr>
        <w:br w:type="page"/>
      </w:r>
    </w:p>
    <w:p w:rsidR="0055116C" w:rsidRPr="0055116C" w:rsidRDefault="0055116C" w:rsidP="0055116C">
      <w:pPr>
        <w:jc w:val="center"/>
        <w:rPr>
          <w:rFonts w:cs="Arial"/>
          <w:i/>
          <w:sz w:val="16"/>
          <w:szCs w:val="16"/>
          <w:lang w:val="ru-RU"/>
        </w:rPr>
      </w:pPr>
      <w:r>
        <w:rPr>
          <w:i/>
          <w:sz w:val="16"/>
        </w:rPr>
        <w:t>WIPO</w:t>
      </w:r>
      <w:r w:rsidRPr="0055116C">
        <w:rPr>
          <w:i/>
          <w:sz w:val="16"/>
          <w:lang w:val="ru-RU"/>
        </w:rPr>
        <w:t xml:space="preserve"> </w:t>
      </w:r>
      <w:r>
        <w:rPr>
          <w:i/>
          <w:sz w:val="16"/>
        </w:rPr>
        <w:t>GREEN</w:t>
      </w:r>
      <w:r w:rsidRPr="0055116C">
        <w:rPr>
          <w:i/>
          <w:sz w:val="16"/>
          <w:lang w:val="ru-RU"/>
        </w:rPr>
        <w:t>: число партнеров, зарегистрированных пользователей и загрузок, 2013–2015</w:t>
      </w:r>
      <w:r>
        <w:rPr>
          <w:i/>
          <w:sz w:val="16"/>
        </w:rPr>
        <w:t> </w:t>
      </w:r>
      <w:r w:rsidRPr="0055116C">
        <w:rPr>
          <w:i/>
          <w:sz w:val="16"/>
          <w:lang w:val="ru-RU"/>
        </w:rPr>
        <w:t>гг.</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1"/>
        <w:gridCol w:w="4800"/>
      </w:tblGrid>
      <w:tr w:rsidR="0055116C" w:rsidTr="00FA0032">
        <w:trPr>
          <w:trHeight w:val="2844"/>
          <w:jc w:val="center"/>
        </w:trPr>
        <w:tc>
          <w:tcPr>
            <w:tcW w:w="4554" w:type="dxa"/>
          </w:tcPr>
          <w:p w:rsidR="0055116C" w:rsidRDefault="00FA0032" w:rsidP="0055116C">
            <w:pPr>
              <w:pStyle w:val="Default"/>
              <w:tabs>
                <w:tab w:val="left" w:pos="709"/>
              </w:tabs>
              <w:jc w:val="center"/>
              <w:rPr>
                <w:rFonts w:eastAsia="Times New Roman"/>
                <w:bCs/>
                <w:color w:val="auto"/>
                <w:sz w:val="20"/>
                <w:szCs w:val="20"/>
              </w:rPr>
            </w:pPr>
            <w:r>
              <w:rPr>
                <w:rFonts w:eastAsia="Times New Roman"/>
                <w:bCs/>
                <w:noProof/>
                <w:color w:val="auto"/>
                <w:sz w:val="20"/>
                <w:szCs w:val="20"/>
                <w:lang w:eastAsia="en-US"/>
              </w:rPr>
              <w:drawing>
                <wp:inline distT="0" distB="0" distL="0" distR="0" wp14:anchorId="7DCD360A" wp14:editId="449F0D6D">
                  <wp:extent cx="2904724" cy="1738489"/>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912074" cy="1742888"/>
                          </a:xfrm>
                          <a:prstGeom prst="rect">
                            <a:avLst/>
                          </a:prstGeom>
                          <a:noFill/>
                          <a:ln>
                            <a:noFill/>
                          </a:ln>
                        </pic:spPr>
                      </pic:pic>
                    </a:graphicData>
                  </a:graphic>
                </wp:inline>
              </w:drawing>
            </w:r>
          </w:p>
        </w:tc>
        <w:tc>
          <w:tcPr>
            <w:tcW w:w="4893" w:type="dxa"/>
          </w:tcPr>
          <w:p w:rsidR="0055116C" w:rsidRDefault="00FA0032" w:rsidP="0055116C">
            <w:pPr>
              <w:pStyle w:val="Default"/>
              <w:tabs>
                <w:tab w:val="left" w:pos="709"/>
              </w:tabs>
              <w:jc w:val="both"/>
              <w:rPr>
                <w:rFonts w:eastAsia="Times New Roman"/>
                <w:bCs/>
                <w:color w:val="auto"/>
                <w:sz w:val="20"/>
                <w:szCs w:val="20"/>
              </w:rPr>
            </w:pPr>
            <w:r>
              <w:rPr>
                <w:rFonts w:eastAsia="Times New Roman"/>
                <w:bCs/>
                <w:noProof/>
                <w:color w:val="auto"/>
                <w:sz w:val="20"/>
                <w:szCs w:val="20"/>
                <w:lang w:eastAsia="en-US"/>
              </w:rPr>
              <w:drawing>
                <wp:inline distT="0" distB="0" distL="0" distR="0" wp14:anchorId="24D2E8BD" wp14:editId="4A3761D7">
                  <wp:extent cx="2923823" cy="1749920"/>
                  <wp:effectExtent l="0" t="0" r="0" b="3175"/>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927562" cy="1752158"/>
                          </a:xfrm>
                          <a:prstGeom prst="rect">
                            <a:avLst/>
                          </a:prstGeom>
                          <a:noFill/>
                          <a:ln>
                            <a:noFill/>
                          </a:ln>
                        </pic:spPr>
                      </pic:pic>
                    </a:graphicData>
                  </a:graphic>
                </wp:inline>
              </w:drawing>
            </w:r>
          </w:p>
        </w:tc>
      </w:tr>
    </w:tbl>
    <w:p w:rsidR="0055116C" w:rsidRPr="005F0B89" w:rsidRDefault="0055116C" w:rsidP="0055116C">
      <w:pPr>
        <w:pStyle w:val="Default"/>
        <w:tabs>
          <w:tab w:val="left" w:pos="709"/>
        </w:tabs>
        <w:jc w:val="both"/>
        <w:rPr>
          <w:bCs/>
          <w:color w:val="auto"/>
          <w:sz w:val="20"/>
          <w:szCs w:val="20"/>
        </w:rPr>
      </w:pPr>
    </w:p>
    <w:p w:rsidR="0055116C" w:rsidRPr="004265A0" w:rsidRDefault="0055116C" w:rsidP="0055116C">
      <w:pPr>
        <w:pStyle w:val="Default"/>
        <w:numPr>
          <w:ilvl w:val="0"/>
          <w:numId w:val="68"/>
        </w:numPr>
        <w:tabs>
          <w:tab w:val="left" w:pos="709"/>
        </w:tabs>
        <w:ind w:left="0" w:firstLine="0"/>
        <w:jc w:val="both"/>
        <w:rPr>
          <w:bCs/>
          <w:color w:val="auto"/>
          <w:sz w:val="20"/>
          <w:szCs w:val="20"/>
        </w:rPr>
      </w:pPr>
      <w:r w:rsidRPr="0055116C">
        <w:rPr>
          <w:sz w:val="20"/>
          <w:szCs w:val="20"/>
          <w:lang w:val="ru-RU"/>
        </w:rPr>
        <w:t>Хотя в 2014–2015</w:t>
      </w:r>
      <w:r w:rsidRPr="004265A0">
        <w:rPr>
          <w:sz w:val="20"/>
          <w:szCs w:val="20"/>
        </w:rPr>
        <w:t> </w:t>
      </w:r>
      <w:r w:rsidRPr="0055116C">
        <w:rPr>
          <w:sz w:val="20"/>
          <w:szCs w:val="20"/>
          <w:lang w:val="ru-RU"/>
        </w:rPr>
        <w:t xml:space="preserve">гг. основное внимание уделялось формированию прочной базы партнеров и увеличению числа записей в базе данных в целях активизации сотрудничества между партнерами и применения платформы при заключении сделок, на данном этапе нет данных, позволяющих подтвердить, что использование </w:t>
      </w:r>
      <w:r w:rsidRPr="004265A0">
        <w:rPr>
          <w:sz w:val="20"/>
          <w:szCs w:val="20"/>
        </w:rPr>
        <w:t>WIPO</w:t>
      </w:r>
      <w:r w:rsidRPr="0055116C">
        <w:rPr>
          <w:sz w:val="20"/>
          <w:szCs w:val="20"/>
          <w:lang w:val="ru-RU"/>
        </w:rPr>
        <w:t xml:space="preserve"> </w:t>
      </w:r>
      <w:r w:rsidRPr="004265A0">
        <w:rPr>
          <w:sz w:val="20"/>
          <w:szCs w:val="20"/>
        </w:rPr>
        <w:t>GREEN</w:t>
      </w:r>
      <w:r w:rsidRPr="0055116C">
        <w:rPr>
          <w:sz w:val="20"/>
          <w:szCs w:val="20"/>
          <w:lang w:val="ru-RU"/>
        </w:rPr>
        <w:t xml:space="preserve"> способствовало заключению конкретных сделок.</w:t>
      </w:r>
      <w:r w:rsidRPr="0055116C">
        <w:rPr>
          <w:color w:val="auto"/>
          <w:sz w:val="20"/>
          <w:szCs w:val="20"/>
          <w:lang w:val="ru-RU"/>
        </w:rPr>
        <w:t xml:space="preserve">  Кроме того, отсутствие в настоящий момент у </w:t>
      </w:r>
      <w:r w:rsidRPr="004265A0">
        <w:rPr>
          <w:color w:val="auto"/>
          <w:sz w:val="20"/>
          <w:szCs w:val="20"/>
        </w:rPr>
        <w:t>WIPO</w:t>
      </w:r>
      <w:r w:rsidRPr="0055116C">
        <w:rPr>
          <w:color w:val="auto"/>
          <w:sz w:val="20"/>
          <w:szCs w:val="20"/>
          <w:lang w:val="ru-RU"/>
        </w:rPr>
        <w:t xml:space="preserve"> </w:t>
      </w:r>
      <w:r w:rsidRPr="004265A0">
        <w:rPr>
          <w:color w:val="auto"/>
          <w:sz w:val="20"/>
          <w:szCs w:val="20"/>
        </w:rPr>
        <w:t>GREEN</w:t>
      </w:r>
      <w:r w:rsidRPr="0055116C">
        <w:rPr>
          <w:color w:val="auto"/>
          <w:sz w:val="20"/>
          <w:szCs w:val="20"/>
          <w:lang w:val="ru-RU"/>
        </w:rPr>
        <w:t xml:space="preserve"> «партнерского хаба» или поставщика услуг и длительные сроки заключения сделок тоже стали причиной того, что на базе этой платформы не было заключено ни одной сделки. В 2015</w:t>
      </w:r>
      <w:r w:rsidRPr="004265A0">
        <w:rPr>
          <w:color w:val="auto"/>
          <w:sz w:val="20"/>
          <w:szCs w:val="20"/>
        </w:rPr>
        <w:t> </w:t>
      </w:r>
      <w:r w:rsidRPr="0055116C">
        <w:rPr>
          <w:color w:val="auto"/>
          <w:sz w:val="20"/>
          <w:szCs w:val="20"/>
          <w:lang w:val="ru-RU"/>
        </w:rPr>
        <w:t>г. работа была сосредоточена на том, чтобы помочь желающим заключать сделки более точно сформулировать свои потребности и способствовать установлению связей. Поэтому в 2015</w:t>
      </w:r>
      <w:r w:rsidRPr="004265A0">
        <w:rPr>
          <w:color w:val="auto"/>
          <w:sz w:val="20"/>
          <w:szCs w:val="20"/>
        </w:rPr>
        <w:t> </w:t>
      </w:r>
      <w:r w:rsidRPr="0055116C">
        <w:rPr>
          <w:color w:val="auto"/>
          <w:sz w:val="20"/>
          <w:szCs w:val="20"/>
          <w:lang w:val="ru-RU"/>
        </w:rPr>
        <w:t>г. для них были разработаны более подробные руководящие принципы, благодаря чему повысилось качество описания потребностей.  В 2015</w:t>
      </w:r>
      <w:r w:rsidRPr="004265A0">
        <w:rPr>
          <w:color w:val="auto"/>
          <w:sz w:val="20"/>
          <w:szCs w:val="20"/>
        </w:rPr>
        <w:t> </w:t>
      </w:r>
      <w:r w:rsidRPr="0055116C">
        <w:rPr>
          <w:color w:val="auto"/>
          <w:sz w:val="20"/>
          <w:szCs w:val="20"/>
          <w:lang w:val="ru-RU"/>
        </w:rPr>
        <w:t xml:space="preserve">г. платформа </w:t>
      </w:r>
      <w:r w:rsidRPr="004265A0">
        <w:rPr>
          <w:color w:val="auto"/>
          <w:sz w:val="20"/>
          <w:szCs w:val="20"/>
        </w:rPr>
        <w:t>WIPO</w:t>
      </w:r>
      <w:r w:rsidRPr="0055116C">
        <w:rPr>
          <w:color w:val="auto"/>
          <w:sz w:val="20"/>
          <w:szCs w:val="20"/>
          <w:lang w:val="ru-RU"/>
        </w:rPr>
        <w:t xml:space="preserve"> </w:t>
      </w:r>
      <w:r w:rsidRPr="004265A0">
        <w:rPr>
          <w:color w:val="auto"/>
          <w:sz w:val="20"/>
          <w:szCs w:val="20"/>
        </w:rPr>
        <w:t>GREEN</w:t>
      </w:r>
      <w:r w:rsidRPr="0055116C">
        <w:rPr>
          <w:color w:val="auto"/>
          <w:sz w:val="20"/>
          <w:szCs w:val="20"/>
          <w:lang w:val="ru-RU"/>
        </w:rPr>
        <w:t xml:space="preserve"> провела первое мероприятие по установлению контактов «Содействие передаче и распространению экологически чистых технологий: перспективы, открывающиеся в связи с реализацией экспериментального проекта по очистке сточных вод в Юго-Восточной Азии», которое состоялось в Маниле (Филиппины). </w:t>
      </w:r>
      <w:r w:rsidRPr="004265A0">
        <w:rPr>
          <w:color w:val="auto"/>
          <w:sz w:val="20"/>
          <w:szCs w:val="20"/>
        </w:rPr>
        <w:t xml:space="preserve">В результате сторонами было подписано 16 писем о намерениях. </w:t>
      </w:r>
    </w:p>
    <w:p w:rsidR="0055116C" w:rsidRPr="004265A0" w:rsidRDefault="0055116C" w:rsidP="0055116C">
      <w:pPr>
        <w:pStyle w:val="Default"/>
        <w:tabs>
          <w:tab w:val="left" w:pos="709"/>
        </w:tabs>
        <w:jc w:val="both"/>
        <w:rPr>
          <w:bCs/>
          <w:color w:val="auto"/>
          <w:sz w:val="20"/>
          <w:szCs w:val="20"/>
        </w:rPr>
      </w:pPr>
    </w:p>
    <w:p w:rsidR="0055116C" w:rsidRPr="0055116C" w:rsidRDefault="0055116C" w:rsidP="0055116C">
      <w:pPr>
        <w:pStyle w:val="Default"/>
        <w:numPr>
          <w:ilvl w:val="0"/>
          <w:numId w:val="68"/>
        </w:numPr>
        <w:tabs>
          <w:tab w:val="left" w:pos="709"/>
        </w:tabs>
        <w:ind w:left="0" w:firstLine="0"/>
        <w:jc w:val="both"/>
        <w:rPr>
          <w:bCs/>
          <w:color w:val="000000" w:themeColor="text1"/>
          <w:sz w:val="20"/>
          <w:szCs w:val="20"/>
          <w:lang w:val="ru-RU"/>
        </w:rPr>
      </w:pPr>
      <w:r w:rsidRPr="0055116C">
        <w:rPr>
          <w:color w:val="auto"/>
          <w:sz w:val="20"/>
          <w:szCs w:val="20"/>
          <w:lang w:val="ru-RU"/>
        </w:rPr>
        <w:t xml:space="preserve">Платформа </w:t>
      </w:r>
      <w:r w:rsidRPr="004265A0">
        <w:rPr>
          <w:color w:val="auto"/>
          <w:sz w:val="20"/>
          <w:szCs w:val="20"/>
        </w:rPr>
        <w:t>WIPO</w:t>
      </w:r>
      <w:r w:rsidRPr="0055116C">
        <w:rPr>
          <w:color w:val="auto"/>
          <w:sz w:val="20"/>
          <w:szCs w:val="20"/>
          <w:lang w:val="ru-RU"/>
        </w:rPr>
        <w:t xml:space="preserve"> </w:t>
      </w:r>
      <w:r w:rsidRPr="004265A0">
        <w:rPr>
          <w:color w:val="auto"/>
          <w:sz w:val="20"/>
          <w:szCs w:val="20"/>
        </w:rPr>
        <w:t>Re</w:t>
      </w:r>
      <w:r w:rsidRPr="0055116C">
        <w:rPr>
          <w:color w:val="auto"/>
          <w:sz w:val="20"/>
          <w:szCs w:val="20"/>
          <w:lang w:val="ru-RU"/>
        </w:rPr>
        <w:t>:</w:t>
      </w:r>
      <w:r w:rsidRPr="004265A0">
        <w:rPr>
          <w:color w:val="auto"/>
          <w:sz w:val="20"/>
          <w:szCs w:val="20"/>
        </w:rPr>
        <w:t>Search</w:t>
      </w:r>
      <w:r w:rsidRPr="0055116C">
        <w:rPr>
          <w:color w:val="auto"/>
          <w:sz w:val="20"/>
          <w:szCs w:val="20"/>
          <w:lang w:val="ru-RU"/>
        </w:rPr>
        <w:t xml:space="preserve"> «Обмен результатами инноваций для борьбы с забытыми тропическими болезнями (</w:t>
      </w:r>
      <w:r w:rsidRPr="004265A0">
        <w:rPr>
          <w:color w:val="auto"/>
          <w:sz w:val="20"/>
          <w:szCs w:val="20"/>
        </w:rPr>
        <w:t>NTD</w:t>
      </w:r>
      <w:r w:rsidRPr="0055116C">
        <w:rPr>
          <w:color w:val="auto"/>
          <w:sz w:val="20"/>
          <w:szCs w:val="20"/>
          <w:lang w:val="ru-RU"/>
        </w:rPr>
        <w:t xml:space="preserve">)» завоевала признание в качестве платформы поддержки инноваций и обмена знаниями и технологиями, а также создания потенциала для исследований в области лечения </w:t>
      </w:r>
      <w:r w:rsidRPr="004265A0">
        <w:rPr>
          <w:color w:val="auto"/>
          <w:sz w:val="20"/>
          <w:szCs w:val="20"/>
        </w:rPr>
        <w:t>NTD</w:t>
      </w:r>
      <w:r w:rsidRPr="0055116C">
        <w:rPr>
          <w:color w:val="auto"/>
          <w:sz w:val="20"/>
          <w:szCs w:val="20"/>
          <w:lang w:val="ru-RU"/>
        </w:rPr>
        <w:t xml:space="preserve">, туберкулёза и малярии.  В рассматриваемый двухлетний период были созданы еще 52 партнерства между членами </w:t>
      </w:r>
      <w:r w:rsidRPr="004265A0">
        <w:rPr>
          <w:color w:val="auto"/>
          <w:sz w:val="20"/>
          <w:szCs w:val="20"/>
        </w:rPr>
        <w:t>WIPO</w:t>
      </w:r>
      <w:r w:rsidRPr="0055116C">
        <w:rPr>
          <w:color w:val="auto"/>
          <w:sz w:val="20"/>
          <w:szCs w:val="20"/>
          <w:lang w:val="ru-RU"/>
        </w:rPr>
        <w:t xml:space="preserve"> </w:t>
      </w:r>
      <w:r w:rsidRPr="004265A0">
        <w:rPr>
          <w:color w:val="auto"/>
          <w:sz w:val="20"/>
          <w:szCs w:val="20"/>
        </w:rPr>
        <w:t>Re</w:t>
      </w:r>
      <w:r w:rsidRPr="0055116C">
        <w:rPr>
          <w:color w:val="auto"/>
          <w:sz w:val="20"/>
          <w:szCs w:val="20"/>
          <w:lang w:val="ru-RU"/>
        </w:rPr>
        <w:t>:</w:t>
      </w:r>
      <w:r w:rsidRPr="004265A0">
        <w:rPr>
          <w:color w:val="auto"/>
          <w:sz w:val="20"/>
          <w:szCs w:val="20"/>
        </w:rPr>
        <w:t>Search</w:t>
      </w:r>
      <w:r w:rsidRPr="0055116C">
        <w:rPr>
          <w:color w:val="auto"/>
          <w:sz w:val="20"/>
          <w:szCs w:val="20"/>
          <w:lang w:val="ru-RU"/>
        </w:rPr>
        <w:t xml:space="preserve">. Кроме того, у платформы появилось 20 новых членов (шесть из них – из развивающихся стран), в результате чего общее число партнерств составило 96, а общее число членов – 100 (22 из них – из развивающихся стран).  </w:t>
      </w:r>
      <w:r w:rsidRPr="0055116C">
        <w:rPr>
          <w:sz w:val="20"/>
          <w:szCs w:val="20"/>
          <w:lang w:val="ru-RU"/>
        </w:rPr>
        <w:t>Кроме того, дополнительным свидетельством потенциала данной платформы в области передачи технологий и активов ИС, в том числе ноу-хау, и опыта из развитых стран в развивающиеся служит продолжающаяся работа по организации для шести африканских ученых академических отпусков в целях проведения научной работы в зарубежных научно-исследовательских учреждениях.</w:t>
      </w:r>
      <w:r w:rsidRPr="0055116C">
        <w:rPr>
          <w:color w:val="000000" w:themeColor="text1"/>
          <w:sz w:val="20"/>
          <w:szCs w:val="20"/>
          <w:lang w:val="ru-RU"/>
        </w:rPr>
        <w:t xml:space="preserve">  Практика предоставления таких академических отпусков, которая существует с прошлого двухлетнего периода, стала возможной благодаря финансированию из целевого фонда, созданного правительством Австралии.  По состоянию на конец двухлетнего периода четыре упомянутых академических отпуска закончились.</w:t>
      </w:r>
    </w:p>
    <w:p w:rsidR="0055116C" w:rsidRPr="0055116C" w:rsidRDefault="0055116C" w:rsidP="0055116C">
      <w:pPr>
        <w:pStyle w:val="Default"/>
        <w:tabs>
          <w:tab w:val="left" w:pos="709"/>
        </w:tabs>
        <w:jc w:val="both"/>
        <w:rPr>
          <w:bCs/>
          <w:color w:val="auto"/>
          <w:sz w:val="20"/>
          <w:szCs w:val="20"/>
          <w:lang w:val="ru-RU"/>
        </w:rPr>
      </w:pPr>
    </w:p>
    <w:p w:rsidR="0055116C" w:rsidRPr="0055116C" w:rsidRDefault="0055116C" w:rsidP="0055116C">
      <w:pPr>
        <w:pStyle w:val="Default"/>
        <w:numPr>
          <w:ilvl w:val="0"/>
          <w:numId w:val="68"/>
        </w:numPr>
        <w:tabs>
          <w:tab w:val="left" w:pos="709"/>
        </w:tabs>
        <w:ind w:left="0" w:firstLine="0"/>
        <w:jc w:val="both"/>
        <w:rPr>
          <w:bCs/>
          <w:color w:val="000000" w:themeColor="text1"/>
          <w:sz w:val="20"/>
          <w:szCs w:val="20"/>
          <w:lang w:val="ru-RU"/>
        </w:rPr>
      </w:pPr>
      <w:r w:rsidRPr="0055116C">
        <w:rPr>
          <w:sz w:val="20"/>
          <w:lang w:val="ru-RU"/>
        </w:rPr>
        <w:t>В рамках трехстороннего сотрудничества с ВОЗ и ВТО акцент, как и раньше, делался на обеспечении более глубокого понимания директивными органами взаимосвязанности вопросов здравоохранения, ИС и торговли.  В ноябре 2014</w:t>
      </w:r>
      <w:r>
        <w:rPr>
          <w:sz w:val="20"/>
        </w:rPr>
        <w:t> </w:t>
      </w:r>
      <w:r w:rsidRPr="0055116C">
        <w:rPr>
          <w:sz w:val="20"/>
          <w:lang w:val="ru-RU"/>
        </w:rPr>
        <w:t>г. и в октябре 2015</w:t>
      </w:r>
      <w:r>
        <w:rPr>
          <w:sz w:val="20"/>
        </w:rPr>
        <w:t> </w:t>
      </w:r>
      <w:r w:rsidRPr="0055116C">
        <w:rPr>
          <w:sz w:val="20"/>
          <w:lang w:val="ru-RU"/>
        </w:rPr>
        <w:t>г. в Женеве состоялся четвертый и пятый трехсторонний симпозиум, участники которого обсудили проблемы и возможности инновационной деятельности в области здравоохранения в странах со средним уровнем доходов, а также меры государственной политики, необходимые для обеспечения того, чтобы высокие темпы экономического роста способствовали обеспечению всеобщего доступа к услугам здравоохранения.  В октябре 2015</w:t>
      </w:r>
      <w:r>
        <w:rPr>
          <w:sz w:val="20"/>
        </w:rPr>
        <w:t> </w:t>
      </w:r>
      <w:r w:rsidRPr="0055116C">
        <w:rPr>
          <w:sz w:val="20"/>
          <w:lang w:val="ru-RU"/>
        </w:rPr>
        <w:t>г. в рамках трехстороннего сотрудничества был организован технический практикум по критериям патентоспособности, который получил в целом положительные оценки участников.</w:t>
      </w:r>
    </w:p>
    <w:p w:rsidR="0055116C" w:rsidRPr="0055116C" w:rsidRDefault="0055116C" w:rsidP="0055116C">
      <w:pPr>
        <w:pStyle w:val="Default"/>
        <w:tabs>
          <w:tab w:val="left" w:pos="709"/>
        </w:tabs>
        <w:jc w:val="both"/>
        <w:rPr>
          <w:bCs/>
          <w:sz w:val="20"/>
          <w:szCs w:val="20"/>
          <w:lang w:val="ru-RU"/>
        </w:rPr>
      </w:pPr>
    </w:p>
    <w:p w:rsidR="0055116C" w:rsidRPr="0055116C" w:rsidRDefault="0055116C" w:rsidP="0055116C">
      <w:pPr>
        <w:pStyle w:val="ListParagraph"/>
        <w:numPr>
          <w:ilvl w:val="0"/>
          <w:numId w:val="68"/>
        </w:numPr>
        <w:tabs>
          <w:tab w:val="left" w:pos="709"/>
        </w:tabs>
        <w:ind w:left="0" w:firstLine="0"/>
        <w:jc w:val="both"/>
        <w:rPr>
          <w:bCs/>
          <w:lang w:val="ru-RU"/>
        </w:rPr>
      </w:pPr>
      <w:r w:rsidRPr="0055116C">
        <w:rPr>
          <w:lang w:val="ru-RU"/>
        </w:rPr>
        <w:t>Интерес государств-членов по-прежнему привлекали проблемы взаимосвязи ИС и антимонопольной политики, и они стремились вести диалог, направленный на углубление понимания этой взаимосвязи.  Просьбы о проведении мероприятий поступали как от ведомств ИС, так и от антимонопольных органов, включая учреждения стран, менее знакомых с проблематикой антимонопольной политики в контексте ИС.</w:t>
      </w:r>
    </w:p>
    <w:p w:rsidR="0055116C" w:rsidRPr="0055116C" w:rsidRDefault="0055116C" w:rsidP="0055116C">
      <w:pPr>
        <w:pStyle w:val="ListParagraph"/>
        <w:tabs>
          <w:tab w:val="left" w:pos="709"/>
        </w:tabs>
        <w:ind w:left="0"/>
        <w:jc w:val="both"/>
        <w:rPr>
          <w:bCs/>
          <w:lang w:val="ru-RU"/>
        </w:rPr>
      </w:pPr>
    </w:p>
    <w:p w:rsidR="0055116C" w:rsidRPr="0055116C" w:rsidRDefault="0055116C" w:rsidP="0055116C">
      <w:pPr>
        <w:pStyle w:val="Default"/>
        <w:numPr>
          <w:ilvl w:val="0"/>
          <w:numId w:val="68"/>
        </w:numPr>
        <w:tabs>
          <w:tab w:val="left" w:pos="709"/>
        </w:tabs>
        <w:ind w:left="0" w:firstLine="0"/>
        <w:jc w:val="both"/>
        <w:rPr>
          <w:color w:val="auto"/>
          <w:sz w:val="20"/>
          <w:szCs w:val="20"/>
          <w:lang w:val="ru-RU"/>
        </w:rPr>
      </w:pPr>
      <w:r w:rsidRPr="0055116C">
        <w:rPr>
          <w:color w:val="auto"/>
          <w:sz w:val="20"/>
          <w:szCs w:val="20"/>
          <w:lang w:val="ru-RU"/>
        </w:rPr>
        <w:t>Число антимонопольных органов, участвующих в диалоге с ВОИС, достигло 39. При этом углублялось структурированное неформальное сотрудничество с другими организациями, работающими в данной области, прежде всего с ОЭСР, ЮНКТАД, ВТО, Международной сетью по вопросам конкуренции (</w:t>
      </w:r>
      <w:r w:rsidRPr="005F0B89">
        <w:rPr>
          <w:color w:val="auto"/>
          <w:sz w:val="20"/>
          <w:szCs w:val="20"/>
        </w:rPr>
        <w:t>ICN</w:t>
      </w:r>
      <w:r w:rsidRPr="0055116C">
        <w:rPr>
          <w:color w:val="auto"/>
          <w:sz w:val="20"/>
          <w:szCs w:val="20"/>
          <w:lang w:val="ru-RU"/>
        </w:rPr>
        <w:t xml:space="preserve">) и Общим рынком стран востока и юга Африки (КОМЕСА), начавшееся в предыдущий двухлетний период.  ВОИС стала со-организатором и/или участником девяти практических семинаров. Такие совместные усилия ведомств ИС и антимонопольных органов позволили создать эффективный форум для диалога и обсуждения вопросов взаимовлияния прав ИС и антимонопольной политики. </w:t>
      </w:r>
    </w:p>
    <w:p w:rsidR="0055116C" w:rsidRPr="0055116C" w:rsidRDefault="0055116C" w:rsidP="0055116C">
      <w:pPr>
        <w:pStyle w:val="ListParagraph"/>
        <w:rPr>
          <w:lang w:val="ru-RU"/>
        </w:rPr>
      </w:pPr>
    </w:p>
    <w:p w:rsidR="0055116C" w:rsidRPr="0055116C" w:rsidRDefault="0055116C" w:rsidP="0055116C">
      <w:pPr>
        <w:pStyle w:val="Default"/>
        <w:numPr>
          <w:ilvl w:val="0"/>
          <w:numId w:val="68"/>
        </w:numPr>
        <w:tabs>
          <w:tab w:val="left" w:pos="709"/>
        </w:tabs>
        <w:ind w:left="0" w:firstLine="0"/>
        <w:jc w:val="both"/>
        <w:rPr>
          <w:color w:val="auto"/>
          <w:sz w:val="20"/>
          <w:szCs w:val="20"/>
          <w:lang w:val="ru-RU"/>
        </w:rPr>
      </w:pPr>
      <w:r w:rsidRPr="0055116C">
        <w:rPr>
          <w:color w:val="auto"/>
          <w:sz w:val="20"/>
          <w:szCs w:val="20"/>
          <w:lang w:val="ru-RU"/>
        </w:rPr>
        <w:t>Планирование и реализация конкретных мероприятий, осуществлявшихся по линии программы 18, были основаны на соответствующих рекомендациях ПДР, в частности, на рекомендациях</w:t>
      </w:r>
      <w:r w:rsidRPr="005F0B89">
        <w:rPr>
          <w:color w:val="auto"/>
          <w:sz w:val="20"/>
          <w:szCs w:val="20"/>
        </w:rPr>
        <w:t> </w:t>
      </w:r>
      <w:r w:rsidRPr="0055116C">
        <w:rPr>
          <w:color w:val="auto"/>
          <w:sz w:val="20"/>
          <w:szCs w:val="20"/>
          <w:lang w:val="ru-RU"/>
        </w:rPr>
        <w:t>19, 25, 30, 40, и 42.</w:t>
      </w:r>
    </w:p>
    <w:p w:rsidR="0055116C" w:rsidRPr="0055116C" w:rsidRDefault="0055116C" w:rsidP="0055116C">
      <w:pPr>
        <w:rPr>
          <w:rFonts w:cs="Arial"/>
          <w:sz w:val="22"/>
          <w:szCs w:val="22"/>
          <w:lang w:val="ru-RU"/>
        </w:rPr>
      </w:pPr>
    </w:p>
    <w:p w:rsidR="0055116C" w:rsidRPr="00787DDC" w:rsidRDefault="0055116C" w:rsidP="0055116C">
      <w:pPr>
        <w:rPr>
          <w:rFonts w:cs="Arial"/>
          <w:sz w:val="18"/>
        </w:rPr>
      </w:pPr>
      <w:r>
        <w:t>ДАННЫЕ О РЕЗУЛЬТАТИВНОСТИ</w:t>
      </w:r>
    </w:p>
    <w:p w:rsidR="0055116C" w:rsidRDefault="0055116C" w:rsidP="0055116C">
      <w:pPr>
        <w:rPr>
          <w:bCs/>
          <w:sz w:val="22"/>
          <w:szCs w:val="22"/>
        </w:rPr>
      </w:pPr>
    </w:p>
    <w:tbl>
      <w:tblPr>
        <w:tblW w:w="5051"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70"/>
        <w:gridCol w:w="43"/>
        <w:gridCol w:w="137"/>
        <w:gridCol w:w="2253"/>
        <w:gridCol w:w="226"/>
        <w:gridCol w:w="56"/>
        <w:gridCol w:w="10"/>
        <w:gridCol w:w="1267"/>
        <w:gridCol w:w="54"/>
        <w:gridCol w:w="2338"/>
        <w:gridCol w:w="6"/>
        <w:gridCol w:w="1209"/>
      </w:tblGrid>
      <w:tr w:rsidR="0055116C" w:rsidRPr="005C6ABD" w:rsidTr="0055116C">
        <w:trPr>
          <w:cantSplit/>
          <w:trHeight w:val="479"/>
        </w:trPr>
        <w:tc>
          <w:tcPr>
            <w:tcW w:w="5000" w:type="pct"/>
            <w:gridSpan w:val="12"/>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keepNext/>
              <w:keepLines/>
              <w:tabs>
                <w:tab w:val="left" w:pos="2302"/>
              </w:tabs>
              <w:ind w:left="2302" w:hanging="2268"/>
              <w:rPr>
                <w:rFonts w:cs="Arial"/>
                <w:b/>
                <w:bCs/>
                <w:sz w:val="16"/>
                <w:szCs w:val="16"/>
                <w:lang w:val="ru-RU"/>
              </w:rPr>
            </w:pPr>
            <w:r w:rsidRPr="0055116C">
              <w:rPr>
                <w:rFonts w:cs="Arial"/>
                <w:b/>
                <w:sz w:val="16"/>
                <w:szCs w:val="16"/>
                <w:lang w:val="ru-RU"/>
              </w:rPr>
              <w:t xml:space="preserve">Ожидаемый результат: </w:t>
            </w:r>
            <w:r w:rsidRPr="0055116C">
              <w:rPr>
                <w:rFonts w:cs="Arial"/>
                <w:sz w:val="16"/>
                <w:szCs w:val="16"/>
                <w:lang w:val="ru-RU"/>
              </w:rPr>
              <w:tab/>
            </w:r>
            <w:r w:rsidRPr="00B53CB4">
              <w:rPr>
                <w:rFonts w:cs="Arial"/>
                <w:sz w:val="16"/>
                <w:szCs w:val="16"/>
              </w:rPr>
              <w:t>III</w:t>
            </w:r>
            <w:r w:rsidRPr="0055116C">
              <w:rPr>
                <w:rFonts w:cs="Arial"/>
                <w:sz w:val="16"/>
                <w:szCs w:val="16"/>
                <w:lang w:val="ru-RU"/>
              </w:rPr>
              <w:t xml:space="preserve">.2. Повышение квалификации людских ресурсов для решения широкого круга вопросов, связанных с эффективным использованием ИС для </w:t>
            </w:r>
            <w:r w:rsidR="00D340AF">
              <w:rPr>
                <w:rFonts w:cs="Arial"/>
                <w:sz w:val="16"/>
                <w:szCs w:val="16"/>
                <w:lang w:val="ru-RU"/>
              </w:rPr>
              <w:t xml:space="preserve">целей развития в развивающихся </w:t>
            </w:r>
            <w:r w:rsidRPr="0055116C">
              <w:rPr>
                <w:rFonts w:cs="Arial"/>
                <w:sz w:val="16"/>
                <w:szCs w:val="16"/>
                <w:lang w:val="ru-RU"/>
              </w:rPr>
              <w:t>странах, наименее развитых странах и странах с переходной экономикой</w:t>
            </w:r>
          </w:p>
        </w:tc>
      </w:tr>
      <w:tr w:rsidR="0055116C" w:rsidRPr="00B53CB4" w:rsidTr="0055116C">
        <w:trPr>
          <w:cantSplit/>
        </w:trPr>
        <w:tc>
          <w:tcPr>
            <w:tcW w:w="1071" w:type="pct"/>
            <w:tcBorders>
              <w:top w:val="single" w:sz="4" w:space="0" w:color="auto"/>
            </w:tcBorders>
            <w:shd w:val="clear" w:color="auto" w:fill="auto"/>
            <w:vAlign w:val="center"/>
          </w:tcPr>
          <w:p w:rsidR="0055116C" w:rsidRPr="00B53CB4" w:rsidRDefault="0055116C" w:rsidP="0055116C">
            <w:pPr>
              <w:rPr>
                <w:rFonts w:cs="Arial"/>
                <w:sz w:val="16"/>
                <w:szCs w:val="16"/>
              </w:rPr>
            </w:pPr>
            <w:r w:rsidRPr="00B53CB4">
              <w:rPr>
                <w:rFonts w:cs="Arial"/>
                <w:b/>
                <w:sz w:val="16"/>
                <w:szCs w:val="16"/>
              </w:rPr>
              <w:t>Показатели результативности</w:t>
            </w:r>
          </w:p>
        </w:tc>
        <w:tc>
          <w:tcPr>
            <w:tcW w:w="1258" w:type="pct"/>
            <w:gridSpan w:val="3"/>
            <w:tcBorders>
              <w:top w:val="single" w:sz="4" w:space="0" w:color="auto"/>
            </w:tcBorders>
            <w:shd w:val="clear" w:color="auto" w:fill="auto"/>
            <w:vAlign w:val="center"/>
          </w:tcPr>
          <w:p w:rsidR="0055116C" w:rsidRPr="00B53CB4" w:rsidRDefault="0055116C" w:rsidP="0055116C">
            <w:pPr>
              <w:rPr>
                <w:rFonts w:cs="Arial"/>
                <w:b/>
                <w:bCs/>
                <w:sz w:val="16"/>
                <w:szCs w:val="16"/>
              </w:rPr>
            </w:pPr>
            <w:r w:rsidRPr="00B53CB4">
              <w:rPr>
                <w:rFonts w:cs="Arial"/>
                <w:b/>
                <w:sz w:val="16"/>
                <w:szCs w:val="16"/>
              </w:rPr>
              <w:t>Базовые показатели</w:t>
            </w:r>
          </w:p>
        </w:tc>
        <w:tc>
          <w:tcPr>
            <w:tcW w:w="833" w:type="pct"/>
            <w:gridSpan w:val="5"/>
            <w:tcBorders>
              <w:top w:val="single" w:sz="4" w:space="0" w:color="auto"/>
            </w:tcBorders>
            <w:shd w:val="clear" w:color="auto" w:fill="auto"/>
            <w:tcMar>
              <w:top w:w="110" w:type="dxa"/>
            </w:tcMar>
            <w:vAlign w:val="center"/>
          </w:tcPr>
          <w:p w:rsidR="0055116C" w:rsidRPr="00B53CB4" w:rsidRDefault="0055116C" w:rsidP="0055116C">
            <w:pPr>
              <w:rPr>
                <w:rFonts w:cs="Arial"/>
                <w:b/>
                <w:sz w:val="16"/>
                <w:szCs w:val="16"/>
              </w:rPr>
            </w:pPr>
            <w:r w:rsidRPr="00B53CB4">
              <w:rPr>
                <w:rFonts w:cs="Arial"/>
                <w:b/>
                <w:sz w:val="16"/>
                <w:szCs w:val="16"/>
              </w:rPr>
              <w:t>Цели</w:t>
            </w:r>
          </w:p>
        </w:tc>
        <w:tc>
          <w:tcPr>
            <w:tcW w:w="1209" w:type="pct"/>
            <w:tcBorders>
              <w:top w:val="single" w:sz="4" w:space="0" w:color="auto"/>
            </w:tcBorders>
            <w:shd w:val="clear" w:color="auto" w:fill="FFFFFF"/>
            <w:tcMar>
              <w:top w:w="110" w:type="dxa"/>
            </w:tcMar>
            <w:vAlign w:val="center"/>
          </w:tcPr>
          <w:p w:rsidR="0055116C" w:rsidRPr="00B53CB4" w:rsidRDefault="0055116C" w:rsidP="0055116C">
            <w:pPr>
              <w:rPr>
                <w:rFonts w:cs="Arial"/>
                <w:sz w:val="16"/>
                <w:szCs w:val="16"/>
              </w:rPr>
            </w:pPr>
            <w:r w:rsidRPr="00B53CB4">
              <w:rPr>
                <w:rFonts w:cs="Arial"/>
                <w:b/>
                <w:sz w:val="16"/>
                <w:szCs w:val="16"/>
              </w:rPr>
              <w:t>Данные о результативности</w:t>
            </w:r>
          </w:p>
        </w:tc>
        <w:tc>
          <w:tcPr>
            <w:tcW w:w="629" w:type="pct"/>
            <w:gridSpan w:val="2"/>
            <w:tcBorders>
              <w:top w:val="single" w:sz="4" w:space="0" w:color="auto"/>
            </w:tcBorders>
            <w:shd w:val="clear" w:color="auto" w:fill="auto"/>
            <w:tcMar>
              <w:top w:w="110" w:type="dxa"/>
            </w:tcMar>
            <w:vAlign w:val="center"/>
          </w:tcPr>
          <w:p w:rsidR="0055116C" w:rsidRPr="00B53CB4" w:rsidRDefault="0055116C" w:rsidP="0055116C">
            <w:pPr>
              <w:keepNext/>
              <w:keepLines/>
              <w:jc w:val="center"/>
              <w:rPr>
                <w:rFonts w:cs="Arial"/>
                <w:b/>
                <w:bCs/>
                <w:sz w:val="16"/>
                <w:szCs w:val="16"/>
              </w:rPr>
            </w:pPr>
            <w:r w:rsidRPr="00B53CB4">
              <w:rPr>
                <w:rFonts w:cs="Arial"/>
                <w:b/>
                <w:sz w:val="16"/>
                <w:szCs w:val="16"/>
              </w:rPr>
              <w:t>CC</w:t>
            </w:r>
          </w:p>
        </w:tc>
      </w:tr>
      <w:tr w:rsidR="0055116C" w:rsidRPr="00B53CB4" w:rsidTr="0055116C">
        <w:trPr>
          <w:cantSplit/>
        </w:trPr>
        <w:tc>
          <w:tcPr>
            <w:tcW w:w="1071" w:type="pct"/>
            <w:shd w:val="clear" w:color="auto" w:fill="auto"/>
          </w:tcPr>
          <w:p w:rsidR="0055116C" w:rsidRPr="0055116C" w:rsidRDefault="0055116C" w:rsidP="0055116C">
            <w:pPr>
              <w:rPr>
                <w:rFonts w:cs="Arial"/>
                <w:sz w:val="16"/>
                <w:szCs w:val="16"/>
                <w:lang w:val="ru-RU"/>
              </w:rPr>
            </w:pPr>
            <w:r w:rsidRPr="0055116C">
              <w:rPr>
                <w:rFonts w:cs="Arial"/>
                <w:sz w:val="16"/>
                <w:szCs w:val="16"/>
                <w:lang w:val="ru-RU"/>
              </w:rPr>
              <w:t>Число соглашений о длительных командировках ученых из развивающихся стран</w:t>
            </w:r>
          </w:p>
          <w:p w:rsidR="0055116C" w:rsidRPr="0055116C" w:rsidRDefault="0055116C" w:rsidP="0055116C">
            <w:pPr>
              <w:rPr>
                <w:rFonts w:cs="Arial"/>
                <w:sz w:val="16"/>
                <w:szCs w:val="16"/>
                <w:lang w:val="ru-RU"/>
              </w:rPr>
            </w:pPr>
          </w:p>
        </w:tc>
        <w:tc>
          <w:tcPr>
            <w:tcW w:w="1258" w:type="pct"/>
            <w:gridSpan w:val="3"/>
            <w:shd w:val="clear" w:color="auto" w:fill="auto"/>
          </w:tcPr>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w:t>
            </w:r>
            <w:r w:rsidRPr="0055116C">
              <w:rPr>
                <w:rFonts w:cs="Arial"/>
                <w:i/>
                <w:sz w:val="16"/>
                <w:szCs w:val="16"/>
                <w:lang w:val="ru-RU"/>
              </w:rPr>
              <w:t>5</w:t>
            </w:r>
          </w:p>
          <w:p w:rsidR="0055116C" w:rsidRPr="0055116C" w:rsidRDefault="0055116C" w:rsidP="0055116C">
            <w:pPr>
              <w:rPr>
                <w:rFonts w:cs="Arial"/>
                <w:sz w:val="16"/>
                <w:szCs w:val="16"/>
                <w:lang w:val="ru-RU"/>
              </w:rPr>
            </w:pPr>
          </w:p>
        </w:tc>
        <w:tc>
          <w:tcPr>
            <w:tcW w:w="833" w:type="pct"/>
            <w:gridSpan w:val="5"/>
            <w:shd w:val="clear" w:color="auto" w:fill="auto"/>
            <w:tcMar>
              <w:top w:w="110" w:type="dxa"/>
            </w:tcMar>
          </w:tcPr>
          <w:p w:rsidR="0055116C" w:rsidRPr="00B53CB4" w:rsidRDefault="0055116C" w:rsidP="0055116C">
            <w:pPr>
              <w:autoSpaceDE w:val="0"/>
              <w:autoSpaceDN w:val="0"/>
              <w:adjustRightInd w:val="0"/>
              <w:rPr>
                <w:rFonts w:cs="Arial"/>
                <w:sz w:val="16"/>
                <w:szCs w:val="16"/>
              </w:rPr>
            </w:pPr>
            <w:r w:rsidRPr="00B53CB4">
              <w:rPr>
                <w:rFonts w:cs="Arial"/>
                <w:sz w:val="16"/>
                <w:szCs w:val="16"/>
              </w:rPr>
              <w:t>4</w:t>
            </w:r>
          </w:p>
        </w:tc>
        <w:tc>
          <w:tcPr>
            <w:tcW w:w="1209" w:type="pct"/>
            <w:shd w:val="clear" w:color="auto" w:fill="FFFFFF"/>
            <w:tcMar>
              <w:top w:w="110" w:type="dxa"/>
            </w:tcMar>
          </w:tcPr>
          <w:p w:rsidR="0055116C" w:rsidRPr="0055116C" w:rsidRDefault="0055116C" w:rsidP="0055116C">
            <w:pPr>
              <w:rPr>
                <w:rFonts w:cs="Arial"/>
                <w:sz w:val="16"/>
                <w:szCs w:val="16"/>
                <w:lang w:val="ru-RU"/>
              </w:rPr>
            </w:pPr>
            <w:r w:rsidRPr="0055116C">
              <w:rPr>
                <w:rFonts w:cs="Arial"/>
                <w:sz w:val="16"/>
                <w:szCs w:val="16"/>
                <w:lang w:val="ru-RU"/>
              </w:rPr>
              <w:t>одно новое соглашение о длительной командировке</w:t>
            </w:r>
          </w:p>
        </w:tc>
        <w:tc>
          <w:tcPr>
            <w:tcW w:w="629" w:type="pct"/>
            <w:gridSpan w:val="2"/>
            <w:shd w:val="clear" w:color="auto" w:fill="auto"/>
            <w:tcMar>
              <w:top w:w="110" w:type="dxa"/>
            </w:tcMar>
          </w:tcPr>
          <w:p w:rsidR="0055116C" w:rsidRPr="00B53CB4" w:rsidRDefault="0055116C" w:rsidP="0055116C">
            <w:pPr>
              <w:keepNext/>
              <w:keepLines/>
              <w:jc w:val="center"/>
              <w:rPr>
                <w:rFonts w:cs="Arial"/>
                <w:b/>
                <w:bCs/>
                <w:color w:val="FF0000"/>
                <w:sz w:val="16"/>
                <w:szCs w:val="16"/>
              </w:rPr>
            </w:pPr>
            <w:r w:rsidRPr="00B53CB4">
              <w:rPr>
                <w:rFonts w:cs="Arial"/>
                <w:b/>
                <w:color w:val="FF0000"/>
                <w:sz w:val="16"/>
                <w:szCs w:val="16"/>
              </w:rPr>
              <w:t>Не выполнено</w:t>
            </w:r>
          </w:p>
        </w:tc>
      </w:tr>
      <w:tr w:rsidR="0055116C" w:rsidRPr="005C6ABD" w:rsidTr="0055116C">
        <w:trPr>
          <w:cantSplit/>
          <w:trHeight w:val="492"/>
        </w:trPr>
        <w:tc>
          <w:tcPr>
            <w:tcW w:w="5000" w:type="pct"/>
            <w:gridSpan w:val="12"/>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keepNext/>
              <w:keepLines/>
              <w:tabs>
                <w:tab w:val="left" w:pos="2302"/>
              </w:tabs>
              <w:ind w:left="2302" w:hanging="2302"/>
              <w:rPr>
                <w:rFonts w:cs="Arial"/>
                <w:b/>
                <w:bCs/>
                <w:sz w:val="16"/>
                <w:szCs w:val="16"/>
                <w:lang w:val="ru-RU"/>
              </w:rPr>
            </w:pPr>
            <w:r w:rsidRPr="0055116C">
              <w:rPr>
                <w:rFonts w:cs="Arial"/>
                <w:b/>
                <w:sz w:val="16"/>
                <w:szCs w:val="16"/>
                <w:lang w:val="ru-RU"/>
              </w:rPr>
              <w:t xml:space="preserve">Ожидаемый результат: </w:t>
            </w:r>
            <w:r w:rsidRPr="0055116C">
              <w:rPr>
                <w:rFonts w:cs="Arial"/>
                <w:sz w:val="16"/>
                <w:szCs w:val="16"/>
                <w:lang w:val="ru-RU"/>
              </w:rPr>
              <w:tab/>
            </w:r>
            <w:r>
              <w:rPr>
                <w:rFonts w:cs="Arial"/>
                <w:sz w:val="16"/>
                <w:szCs w:val="16"/>
              </w:rPr>
              <w:t>IV</w:t>
            </w:r>
            <w:r w:rsidRPr="0055116C">
              <w:rPr>
                <w:rFonts w:cs="Arial"/>
                <w:sz w:val="16"/>
                <w:szCs w:val="16"/>
                <w:lang w:val="ru-RU"/>
              </w:rPr>
              <w:t>.2 Расширение доступа и использования информации в области ИС учреждениями ИС и общественностью для содействия инновациям и творчеству</w:t>
            </w:r>
          </w:p>
        </w:tc>
      </w:tr>
      <w:tr w:rsidR="0055116C" w:rsidRPr="00B53CB4" w:rsidTr="0055116C">
        <w:trPr>
          <w:cantSplit/>
        </w:trPr>
        <w:tc>
          <w:tcPr>
            <w:tcW w:w="1071" w:type="pct"/>
            <w:tcBorders>
              <w:top w:val="single" w:sz="4" w:space="0" w:color="auto"/>
            </w:tcBorders>
            <w:shd w:val="clear" w:color="auto" w:fill="auto"/>
            <w:vAlign w:val="center"/>
          </w:tcPr>
          <w:p w:rsidR="0055116C" w:rsidRPr="00B53CB4" w:rsidRDefault="0055116C" w:rsidP="0055116C">
            <w:pPr>
              <w:rPr>
                <w:rFonts w:cs="Arial"/>
                <w:sz w:val="16"/>
                <w:szCs w:val="16"/>
              </w:rPr>
            </w:pPr>
            <w:r w:rsidRPr="00B53CB4">
              <w:rPr>
                <w:rFonts w:cs="Arial"/>
                <w:b/>
                <w:sz w:val="16"/>
                <w:szCs w:val="16"/>
              </w:rPr>
              <w:t>Показатели результативности</w:t>
            </w:r>
          </w:p>
        </w:tc>
        <w:tc>
          <w:tcPr>
            <w:tcW w:w="1258" w:type="pct"/>
            <w:gridSpan w:val="3"/>
            <w:tcBorders>
              <w:top w:val="single" w:sz="4" w:space="0" w:color="auto"/>
            </w:tcBorders>
            <w:shd w:val="clear" w:color="auto" w:fill="auto"/>
            <w:vAlign w:val="center"/>
          </w:tcPr>
          <w:p w:rsidR="0055116C" w:rsidRPr="00B53CB4" w:rsidRDefault="0055116C" w:rsidP="0055116C">
            <w:pPr>
              <w:rPr>
                <w:rFonts w:cs="Arial"/>
                <w:b/>
                <w:bCs/>
                <w:sz w:val="16"/>
                <w:szCs w:val="16"/>
              </w:rPr>
            </w:pPr>
            <w:r w:rsidRPr="00B53CB4">
              <w:rPr>
                <w:rFonts w:cs="Arial"/>
                <w:b/>
                <w:sz w:val="16"/>
                <w:szCs w:val="16"/>
              </w:rPr>
              <w:t>Базовые показатели</w:t>
            </w:r>
          </w:p>
        </w:tc>
        <w:tc>
          <w:tcPr>
            <w:tcW w:w="833" w:type="pct"/>
            <w:gridSpan w:val="5"/>
            <w:tcBorders>
              <w:top w:val="single" w:sz="4" w:space="0" w:color="auto"/>
            </w:tcBorders>
            <w:shd w:val="clear" w:color="auto" w:fill="auto"/>
            <w:tcMar>
              <w:top w:w="110" w:type="dxa"/>
            </w:tcMar>
            <w:vAlign w:val="center"/>
          </w:tcPr>
          <w:p w:rsidR="0055116C" w:rsidRPr="00B53CB4" w:rsidRDefault="0055116C" w:rsidP="0055116C">
            <w:pPr>
              <w:rPr>
                <w:rFonts w:cs="Arial"/>
                <w:b/>
                <w:sz w:val="16"/>
                <w:szCs w:val="16"/>
              </w:rPr>
            </w:pPr>
            <w:r w:rsidRPr="00B53CB4">
              <w:rPr>
                <w:rFonts w:cs="Arial"/>
                <w:b/>
                <w:sz w:val="16"/>
                <w:szCs w:val="16"/>
              </w:rPr>
              <w:t>Цели</w:t>
            </w:r>
          </w:p>
        </w:tc>
        <w:tc>
          <w:tcPr>
            <w:tcW w:w="1209" w:type="pct"/>
            <w:tcBorders>
              <w:top w:val="single" w:sz="4" w:space="0" w:color="auto"/>
            </w:tcBorders>
            <w:shd w:val="clear" w:color="auto" w:fill="FFFFFF"/>
            <w:tcMar>
              <w:top w:w="110" w:type="dxa"/>
            </w:tcMar>
            <w:vAlign w:val="center"/>
          </w:tcPr>
          <w:p w:rsidR="0055116C" w:rsidRPr="00B53CB4" w:rsidRDefault="0055116C" w:rsidP="0055116C">
            <w:pPr>
              <w:rPr>
                <w:rFonts w:cs="Arial"/>
                <w:sz w:val="16"/>
                <w:szCs w:val="16"/>
              </w:rPr>
            </w:pPr>
            <w:r w:rsidRPr="00B53CB4">
              <w:rPr>
                <w:rFonts w:cs="Arial"/>
                <w:b/>
                <w:sz w:val="16"/>
                <w:szCs w:val="16"/>
              </w:rPr>
              <w:t>Данные о результативности</w:t>
            </w:r>
          </w:p>
        </w:tc>
        <w:tc>
          <w:tcPr>
            <w:tcW w:w="629" w:type="pct"/>
            <w:gridSpan w:val="2"/>
            <w:tcBorders>
              <w:top w:val="single" w:sz="4" w:space="0" w:color="auto"/>
            </w:tcBorders>
            <w:shd w:val="clear" w:color="auto" w:fill="auto"/>
            <w:tcMar>
              <w:top w:w="110" w:type="dxa"/>
            </w:tcMar>
            <w:vAlign w:val="center"/>
          </w:tcPr>
          <w:p w:rsidR="0055116C" w:rsidRPr="00B53CB4" w:rsidRDefault="0055116C" w:rsidP="0055116C">
            <w:pPr>
              <w:keepNext/>
              <w:keepLines/>
              <w:jc w:val="center"/>
              <w:rPr>
                <w:rFonts w:cs="Arial"/>
                <w:b/>
                <w:bCs/>
                <w:sz w:val="16"/>
                <w:szCs w:val="16"/>
              </w:rPr>
            </w:pPr>
            <w:r w:rsidRPr="00B53CB4">
              <w:rPr>
                <w:rFonts w:cs="Arial"/>
                <w:b/>
                <w:sz w:val="16"/>
                <w:szCs w:val="16"/>
              </w:rPr>
              <w:t>CC</w:t>
            </w:r>
          </w:p>
        </w:tc>
      </w:tr>
      <w:tr w:rsidR="0055116C" w:rsidRPr="00B53CB4" w:rsidTr="0055116C">
        <w:trPr>
          <w:cantSplit/>
        </w:trPr>
        <w:tc>
          <w:tcPr>
            <w:tcW w:w="1071" w:type="pct"/>
            <w:tcBorders>
              <w:bottom w:val="single" w:sz="4" w:space="0" w:color="auto"/>
            </w:tcBorders>
            <w:shd w:val="clear" w:color="auto" w:fill="auto"/>
          </w:tcPr>
          <w:p w:rsidR="0055116C" w:rsidRPr="0055116C" w:rsidRDefault="0055116C" w:rsidP="0055116C">
            <w:pPr>
              <w:rPr>
                <w:rFonts w:cs="Arial"/>
                <w:sz w:val="16"/>
                <w:szCs w:val="16"/>
                <w:lang w:val="ru-RU"/>
              </w:rPr>
            </w:pPr>
            <w:r w:rsidRPr="0055116C">
              <w:rPr>
                <w:rFonts w:cs="Arial"/>
                <w:sz w:val="16"/>
                <w:szCs w:val="16"/>
                <w:lang w:val="ru-RU"/>
              </w:rPr>
              <w:t xml:space="preserve">Число стран, которые провели верификацию данных и включили национальные основные лекарственные препараты в базу данных </w:t>
            </w:r>
            <w:r w:rsidRPr="00B53CB4">
              <w:rPr>
                <w:rFonts w:cs="Arial"/>
                <w:sz w:val="16"/>
                <w:szCs w:val="16"/>
              </w:rPr>
              <w:t>WIPO</w:t>
            </w:r>
            <w:r w:rsidRPr="0055116C">
              <w:rPr>
                <w:rFonts w:cs="Arial"/>
                <w:sz w:val="16"/>
                <w:szCs w:val="16"/>
                <w:lang w:val="ru-RU"/>
              </w:rPr>
              <w:t xml:space="preserve"> </w:t>
            </w:r>
            <w:r w:rsidRPr="00B53CB4">
              <w:rPr>
                <w:rFonts w:cs="Arial"/>
                <w:sz w:val="16"/>
                <w:szCs w:val="16"/>
              </w:rPr>
              <w:t>Essential</w:t>
            </w:r>
          </w:p>
          <w:p w:rsidR="0055116C" w:rsidRPr="0055116C" w:rsidRDefault="0055116C" w:rsidP="0055116C">
            <w:pPr>
              <w:rPr>
                <w:rFonts w:cs="Arial"/>
                <w:sz w:val="16"/>
                <w:szCs w:val="16"/>
                <w:lang w:val="ru-RU"/>
              </w:rPr>
            </w:pPr>
          </w:p>
        </w:tc>
        <w:tc>
          <w:tcPr>
            <w:tcW w:w="1258" w:type="pct"/>
            <w:gridSpan w:val="3"/>
            <w:tcBorders>
              <w:bottom w:val="single" w:sz="4" w:space="0" w:color="auto"/>
            </w:tcBorders>
            <w:shd w:val="clear" w:color="auto" w:fill="auto"/>
          </w:tcPr>
          <w:p w:rsidR="0055116C" w:rsidRPr="00B53CB4" w:rsidRDefault="0055116C" w:rsidP="0055116C">
            <w:pPr>
              <w:rPr>
                <w:rFonts w:cs="Arial"/>
                <w:sz w:val="16"/>
                <w:szCs w:val="16"/>
              </w:rPr>
            </w:pPr>
            <w:r w:rsidRPr="00B53CB4">
              <w:rPr>
                <w:rFonts w:cs="Arial"/>
                <w:sz w:val="16"/>
                <w:szCs w:val="16"/>
              </w:rPr>
              <w:t xml:space="preserve">0 (ноль) </w:t>
            </w:r>
          </w:p>
          <w:p w:rsidR="0055116C" w:rsidRPr="00B53CB4" w:rsidRDefault="0055116C" w:rsidP="0055116C">
            <w:pPr>
              <w:rPr>
                <w:rFonts w:cs="Arial"/>
                <w:sz w:val="16"/>
                <w:szCs w:val="16"/>
              </w:rPr>
            </w:pPr>
          </w:p>
        </w:tc>
        <w:tc>
          <w:tcPr>
            <w:tcW w:w="833" w:type="pct"/>
            <w:gridSpan w:val="5"/>
            <w:tcBorders>
              <w:bottom w:val="single" w:sz="4" w:space="0" w:color="auto"/>
            </w:tcBorders>
            <w:shd w:val="clear" w:color="auto" w:fill="auto"/>
            <w:tcMar>
              <w:top w:w="110" w:type="dxa"/>
            </w:tcMar>
          </w:tcPr>
          <w:p w:rsidR="0055116C" w:rsidRPr="0055116C" w:rsidRDefault="0055116C" w:rsidP="0055116C">
            <w:pPr>
              <w:rPr>
                <w:rFonts w:cs="Arial"/>
                <w:i/>
                <w:sz w:val="16"/>
                <w:szCs w:val="16"/>
                <w:lang w:val="ru-RU"/>
              </w:rPr>
            </w:pPr>
            <w:r w:rsidRPr="0055116C">
              <w:rPr>
                <w:rFonts w:cs="Arial"/>
                <w:sz w:val="16"/>
                <w:szCs w:val="16"/>
                <w:lang w:val="ru-RU"/>
              </w:rPr>
              <w:t>1 страна на регион (Африка, Азия, Латинская Америка и Карибский бассейн)</w:t>
            </w:r>
          </w:p>
        </w:tc>
        <w:tc>
          <w:tcPr>
            <w:tcW w:w="1209" w:type="pct"/>
            <w:tcBorders>
              <w:bottom w:val="single" w:sz="4" w:space="0" w:color="auto"/>
            </w:tcBorders>
            <w:shd w:val="clear" w:color="auto" w:fill="FFFFFF"/>
            <w:tcMar>
              <w:top w:w="110" w:type="dxa"/>
            </w:tcMar>
          </w:tcPr>
          <w:p w:rsidR="0055116C" w:rsidRPr="0055116C" w:rsidRDefault="0055116C" w:rsidP="0055116C">
            <w:pPr>
              <w:rPr>
                <w:rFonts w:cs="Arial"/>
                <w:sz w:val="16"/>
                <w:szCs w:val="16"/>
                <w:lang w:val="ru-RU"/>
              </w:rPr>
            </w:pPr>
            <w:r w:rsidRPr="0055116C">
              <w:rPr>
                <w:rFonts w:cs="Arial"/>
                <w:sz w:val="16"/>
                <w:szCs w:val="16"/>
                <w:lang w:val="ru-RU"/>
              </w:rPr>
              <w:t xml:space="preserve">В 2014 г. задачи </w:t>
            </w:r>
            <w:r w:rsidRPr="00B53CB4">
              <w:rPr>
                <w:rFonts w:cs="Arial"/>
                <w:sz w:val="16"/>
                <w:szCs w:val="16"/>
              </w:rPr>
              <w:t>WIPO</w:t>
            </w:r>
            <w:r w:rsidRPr="0055116C">
              <w:rPr>
                <w:rFonts w:cs="Arial"/>
                <w:sz w:val="16"/>
                <w:szCs w:val="16"/>
                <w:lang w:val="ru-RU"/>
              </w:rPr>
              <w:t xml:space="preserve"> </w:t>
            </w:r>
            <w:r w:rsidRPr="00B53CB4">
              <w:rPr>
                <w:rFonts w:cs="Arial"/>
                <w:sz w:val="16"/>
                <w:szCs w:val="16"/>
              </w:rPr>
              <w:t>Essential</w:t>
            </w:r>
            <w:r w:rsidRPr="0055116C">
              <w:rPr>
                <w:rFonts w:cs="Arial"/>
                <w:sz w:val="16"/>
                <w:szCs w:val="16"/>
                <w:lang w:val="ru-RU"/>
              </w:rPr>
              <w:t xml:space="preserve"> были пересмотрены: в настоящее время эта программа занимается исследованием патентного статуса лекарственных средств, содержащихся в Типовом перечне важнейших лекарств (</w:t>
            </w:r>
            <w:r w:rsidRPr="00B53CB4">
              <w:rPr>
                <w:rFonts w:cs="Arial"/>
                <w:sz w:val="16"/>
                <w:szCs w:val="16"/>
              </w:rPr>
              <w:t>MLEM</w:t>
            </w:r>
            <w:r w:rsidRPr="0055116C">
              <w:rPr>
                <w:rFonts w:cs="Arial"/>
                <w:sz w:val="16"/>
                <w:szCs w:val="16"/>
                <w:lang w:val="ru-RU"/>
              </w:rPr>
              <w:t xml:space="preserve">) ВОЗ. </w:t>
            </w:r>
          </w:p>
          <w:p w:rsidR="0055116C" w:rsidRPr="0055116C" w:rsidRDefault="0055116C" w:rsidP="0055116C">
            <w:pPr>
              <w:rPr>
                <w:rFonts w:cs="Arial"/>
                <w:sz w:val="16"/>
                <w:szCs w:val="16"/>
                <w:lang w:val="ru-RU"/>
              </w:rPr>
            </w:pPr>
          </w:p>
        </w:tc>
        <w:tc>
          <w:tcPr>
            <w:tcW w:w="629" w:type="pct"/>
            <w:gridSpan w:val="2"/>
            <w:tcBorders>
              <w:bottom w:val="single" w:sz="4" w:space="0" w:color="auto"/>
            </w:tcBorders>
            <w:shd w:val="clear" w:color="auto" w:fill="auto"/>
            <w:tcMar>
              <w:top w:w="110" w:type="dxa"/>
            </w:tcMar>
          </w:tcPr>
          <w:p w:rsidR="0055116C" w:rsidRPr="00B53CB4" w:rsidRDefault="0055116C" w:rsidP="0055116C">
            <w:pPr>
              <w:keepNext/>
              <w:keepLines/>
              <w:jc w:val="center"/>
              <w:rPr>
                <w:rFonts w:cs="Arial"/>
                <w:b/>
                <w:bCs/>
                <w:sz w:val="16"/>
                <w:szCs w:val="16"/>
              </w:rPr>
            </w:pPr>
            <w:r w:rsidRPr="00B53CB4">
              <w:rPr>
                <w:rFonts w:cs="Arial"/>
                <w:b/>
                <w:sz w:val="16"/>
                <w:szCs w:val="16"/>
              </w:rPr>
              <w:t>Отменено</w:t>
            </w:r>
          </w:p>
        </w:tc>
      </w:tr>
      <w:tr w:rsidR="0055116C" w:rsidRPr="005C6ABD" w:rsidTr="0055116C">
        <w:trPr>
          <w:cantSplit/>
          <w:trHeight w:val="430"/>
        </w:trPr>
        <w:tc>
          <w:tcPr>
            <w:tcW w:w="5000" w:type="pct"/>
            <w:gridSpan w:val="12"/>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keepNext/>
              <w:tabs>
                <w:tab w:val="left" w:pos="2302"/>
              </w:tabs>
              <w:ind w:left="2302" w:hanging="2302"/>
              <w:rPr>
                <w:rFonts w:cs="Arial"/>
                <w:b/>
                <w:bCs/>
                <w:sz w:val="16"/>
                <w:szCs w:val="16"/>
                <w:lang w:val="ru-RU"/>
              </w:rPr>
            </w:pPr>
            <w:r w:rsidRPr="0055116C">
              <w:rPr>
                <w:rFonts w:cs="Arial"/>
                <w:b/>
                <w:sz w:val="16"/>
                <w:szCs w:val="16"/>
                <w:lang w:val="ru-RU"/>
              </w:rPr>
              <w:t xml:space="preserve">Ожидаемый результат: </w:t>
            </w:r>
            <w:r w:rsidRPr="0055116C">
              <w:rPr>
                <w:rFonts w:cs="Arial"/>
                <w:sz w:val="16"/>
                <w:szCs w:val="16"/>
                <w:lang w:val="ru-RU"/>
              </w:rPr>
              <w:tab/>
            </w:r>
            <w:r w:rsidRPr="00B53CB4">
              <w:rPr>
                <w:rFonts w:cs="Arial"/>
                <w:sz w:val="16"/>
                <w:szCs w:val="16"/>
              </w:rPr>
              <w:t>VII</w:t>
            </w:r>
            <w:r w:rsidRPr="0055116C">
              <w:rPr>
                <w:rFonts w:cs="Arial"/>
                <w:sz w:val="16"/>
                <w:szCs w:val="16"/>
                <w:lang w:val="ru-RU"/>
              </w:rPr>
              <w:t>.2. Использование платформ и инструментов на базе ИС для целей передачи знаний, а также адаптации и передачи технологий из развитых стран развивающимся и особенно наименее развитым странам, в интересах решения глобальных задач</w:t>
            </w:r>
          </w:p>
        </w:tc>
      </w:tr>
      <w:tr w:rsidR="0055116C" w:rsidRPr="00B53CB4" w:rsidTr="0055116C">
        <w:trPr>
          <w:cantSplit/>
        </w:trPr>
        <w:tc>
          <w:tcPr>
            <w:tcW w:w="1164" w:type="pct"/>
            <w:gridSpan w:val="3"/>
            <w:tcBorders>
              <w:top w:val="single" w:sz="4" w:space="0" w:color="auto"/>
            </w:tcBorders>
            <w:shd w:val="clear" w:color="auto" w:fill="auto"/>
            <w:vAlign w:val="center"/>
          </w:tcPr>
          <w:p w:rsidR="0055116C" w:rsidRPr="00B53CB4" w:rsidRDefault="0055116C" w:rsidP="0055116C">
            <w:pPr>
              <w:keepNext/>
              <w:rPr>
                <w:rFonts w:cs="Arial"/>
                <w:sz w:val="16"/>
                <w:szCs w:val="16"/>
              </w:rPr>
            </w:pPr>
            <w:r w:rsidRPr="00B53CB4">
              <w:rPr>
                <w:rFonts w:cs="Arial"/>
                <w:b/>
                <w:sz w:val="16"/>
                <w:szCs w:val="16"/>
              </w:rPr>
              <w:t>Показатели результативности</w:t>
            </w:r>
          </w:p>
        </w:tc>
        <w:tc>
          <w:tcPr>
            <w:tcW w:w="1282" w:type="pct"/>
            <w:gridSpan w:val="2"/>
            <w:tcBorders>
              <w:top w:val="single" w:sz="4" w:space="0" w:color="auto"/>
            </w:tcBorders>
            <w:shd w:val="clear" w:color="auto" w:fill="auto"/>
            <w:vAlign w:val="center"/>
          </w:tcPr>
          <w:p w:rsidR="0055116C" w:rsidRPr="00B53CB4" w:rsidRDefault="0055116C" w:rsidP="0055116C">
            <w:pPr>
              <w:rPr>
                <w:rFonts w:cs="Arial"/>
                <w:b/>
                <w:bCs/>
                <w:sz w:val="16"/>
                <w:szCs w:val="16"/>
              </w:rPr>
            </w:pPr>
            <w:r w:rsidRPr="00B53CB4">
              <w:rPr>
                <w:rFonts w:cs="Arial"/>
                <w:b/>
                <w:sz w:val="16"/>
                <w:szCs w:val="16"/>
              </w:rPr>
              <w:t>Базовые показатели</w:t>
            </w:r>
          </w:p>
        </w:tc>
        <w:tc>
          <w:tcPr>
            <w:tcW w:w="717" w:type="pct"/>
            <w:gridSpan w:val="4"/>
            <w:tcBorders>
              <w:top w:val="single" w:sz="4" w:space="0" w:color="auto"/>
            </w:tcBorders>
            <w:shd w:val="clear" w:color="auto" w:fill="auto"/>
            <w:tcMar>
              <w:top w:w="110" w:type="dxa"/>
            </w:tcMar>
            <w:vAlign w:val="center"/>
          </w:tcPr>
          <w:p w:rsidR="0055116C" w:rsidRPr="00B53CB4" w:rsidRDefault="0055116C" w:rsidP="0055116C">
            <w:pPr>
              <w:rPr>
                <w:rFonts w:cs="Arial"/>
                <w:b/>
                <w:sz w:val="16"/>
                <w:szCs w:val="16"/>
              </w:rPr>
            </w:pPr>
            <w:r w:rsidRPr="00B53CB4">
              <w:rPr>
                <w:rFonts w:cs="Arial"/>
                <w:b/>
                <w:sz w:val="16"/>
                <w:szCs w:val="16"/>
              </w:rPr>
              <w:t>Цели</w:t>
            </w:r>
          </w:p>
        </w:tc>
        <w:tc>
          <w:tcPr>
            <w:tcW w:w="1209" w:type="pct"/>
            <w:tcBorders>
              <w:top w:val="single" w:sz="4" w:space="0" w:color="auto"/>
            </w:tcBorders>
            <w:shd w:val="clear" w:color="auto" w:fill="FFFFFF"/>
            <w:tcMar>
              <w:top w:w="110" w:type="dxa"/>
            </w:tcMar>
            <w:vAlign w:val="center"/>
          </w:tcPr>
          <w:p w:rsidR="0055116C" w:rsidRPr="00B53CB4" w:rsidRDefault="0055116C" w:rsidP="0055116C">
            <w:pPr>
              <w:rPr>
                <w:rFonts w:cs="Arial"/>
                <w:sz w:val="16"/>
                <w:szCs w:val="16"/>
              </w:rPr>
            </w:pPr>
            <w:r w:rsidRPr="00B53CB4">
              <w:rPr>
                <w:rFonts w:cs="Arial"/>
                <w:b/>
                <w:sz w:val="16"/>
                <w:szCs w:val="16"/>
              </w:rPr>
              <w:t>Данные о результативности</w:t>
            </w:r>
          </w:p>
        </w:tc>
        <w:tc>
          <w:tcPr>
            <w:tcW w:w="629" w:type="pct"/>
            <w:gridSpan w:val="2"/>
            <w:tcBorders>
              <w:top w:val="single" w:sz="4" w:space="0" w:color="auto"/>
            </w:tcBorders>
            <w:shd w:val="clear" w:color="auto" w:fill="auto"/>
            <w:tcMar>
              <w:top w:w="110" w:type="dxa"/>
            </w:tcMar>
            <w:vAlign w:val="center"/>
          </w:tcPr>
          <w:p w:rsidR="0055116C" w:rsidRPr="00B53CB4" w:rsidRDefault="0055116C" w:rsidP="0055116C">
            <w:pPr>
              <w:jc w:val="center"/>
              <w:rPr>
                <w:rFonts w:cs="Arial"/>
                <w:b/>
                <w:bCs/>
                <w:sz w:val="16"/>
                <w:szCs w:val="16"/>
              </w:rPr>
            </w:pPr>
            <w:r w:rsidRPr="00B53CB4">
              <w:rPr>
                <w:rFonts w:cs="Arial"/>
                <w:b/>
                <w:sz w:val="16"/>
                <w:szCs w:val="16"/>
              </w:rPr>
              <w:t>CC</w:t>
            </w:r>
          </w:p>
        </w:tc>
      </w:tr>
      <w:tr w:rsidR="0055116C" w:rsidRPr="00B53CB4" w:rsidTr="0055116C">
        <w:trPr>
          <w:cantSplit/>
        </w:trPr>
        <w:tc>
          <w:tcPr>
            <w:tcW w:w="1164" w:type="pct"/>
            <w:gridSpan w:val="3"/>
            <w:shd w:val="clear" w:color="auto" w:fill="auto"/>
          </w:tcPr>
          <w:p w:rsidR="0055116C" w:rsidRPr="0055116C" w:rsidRDefault="0055116C" w:rsidP="0055116C">
            <w:pPr>
              <w:rPr>
                <w:rFonts w:cs="Arial"/>
                <w:sz w:val="16"/>
                <w:szCs w:val="16"/>
                <w:lang w:val="ru-RU"/>
              </w:rPr>
            </w:pPr>
            <w:r w:rsidRPr="0055116C">
              <w:rPr>
                <w:rFonts w:cs="Arial"/>
                <w:sz w:val="16"/>
                <w:szCs w:val="16"/>
                <w:lang w:val="ru-RU"/>
              </w:rPr>
              <w:t xml:space="preserve">Увеличение числа участников платформы </w:t>
            </w:r>
            <w:r w:rsidRPr="00B53CB4">
              <w:rPr>
                <w:rFonts w:cs="Arial"/>
                <w:sz w:val="16"/>
                <w:szCs w:val="16"/>
              </w:rPr>
              <w:t>WIPO</w:t>
            </w:r>
            <w:r w:rsidRPr="0055116C">
              <w:rPr>
                <w:rFonts w:cs="Arial"/>
                <w:sz w:val="16"/>
                <w:szCs w:val="16"/>
                <w:lang w:val="ru-RU"/>
              </w:rPr>
              <w:t xml:space="preserve"> </w:t>
            </w:r>
            <w:r w:rsidRPr="00B53CB4">
              <w:rPr>
                <w:rFonts w:cs="Arial"/>
                <w:sz w:val="16"/>
                <w:szCs w:val="16"/>
              </w:rPr>
              <w:t>Re</w:t>
            </w:r>
            <w:r w:rsidRPr="0055116C">
              <w:rPr>
                <w:rFonts w:cs="Arial"/>
                <w:sz w:val="16"/>
                <w:szCs w:val="16"/>
                <w:lang w:val="ru-RU"/>
              </w:rPr>
              <w:t>:</w:t>
            </w:r>
            <w:r w:rsidRPr="00B53CB4">
              <w:rPr>
                <w:rFonts w:cs="Arial"/>
                <w:sz w:val="16"/>
                <w:szCs w:val="16"/>
              </w:rPr>
              <w:t>Search</w:t>
            </w:r>
            <w:r w:rsidRPr="0055116C">
              <w:rPr>
                <w:rFonts w:cs="Arial"/>
                <w:sz w:val="16"/>
                <w:szCs w:val="16"/>
                <w:lang w:val="ru-RU"/>
              </w:rPr>
              <w:t>, в том числе из развивающихся стран и НРС</w:t>
            </w:r>
          </w:p>
        </w:tc>
        <w:tc>
          <w:tcPr>
            <w:tcW w:w="1282" w:type="pct"/>
            <w:gridSpan w:val="2"/>
            <w:shd w:val="clear" w:color="auto" w:fill="auto"/>
          </w:tcPr>
          <w:p w:rsidR="0055116C" w:rsidRPr="0055116C" w:rsidRDefault="0055116C" w:rsidP="0055116C">
            <w:pPr>
              <w:rPr>
                <w:rFonts w:cs="Arial"/>
                <w:color w:val="002060"/>
                <w:sz w:val="16"/>
                <w:szCs w:val="16"/>
                <w:lang w:val="ru-RU"/>
              </w:rPr>
            </w:pPr>
            <w:r w:rsidRPr="0055116C">
              <w:rPr>
                <w:rFonts w:cs="Arial"/>
                <w:i/>
                <w:color w:val="002060"/>
                <w:sz w:val="16"/>
                <w:szCs w:val="16"/>
                <w:lang w:val="ru-RU"/>
              </w:rPr>
              <w:t>Обновленные базовые показатели, конец 2013</w:t>
            </w:r>
            <w:r w:rsidRPr="00B53CB4">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 xml:space="preserve">в рассматриваемый двухлетний период к </w:t>
            </w:r>
            <w:r w:rsidRPr="00B53CB4">
              <w:rPr>
                <w:rFonts w:cs="Arial"/>
                <w:color w:val="002060"/>
                <w:sz w:val="16"/>
                <w:szCs w:val="16"/>
              </w:rPr>
              <w:t>WIPO</w:t>
            </w:r>
            <w:r w:rsidRPr="0055116C">
              <w:rPr>
                <w:rFonts w:cs="Arial"/>
                <w:color w:val="002060"/>
                <w:sz w:val="16"/>
                <w:szCs w:val="16"/>
                <w:lang w:val="ru-RU"/>
              </w:rPr>
              <w:t xml:space="preserve"> </w:t>
            </w:r>
            <w:r w:rsidRPr="00B53CB4">
              <w:rPr>
                <w:rFonts w:cs="Arial"/>
                <w:color w:val="002060"/>
                <w:sz w:val="16"/>
                <w:szCs w:val="16"/>
              </w:rPr>
              <w:t>Re</w:t>
            </w:r>
            <w:r w:rsidRPr="0055116C">
              <w:rPr>
                <w:rFonts w:cs="Arial"/>
                <w:color w:val="002060"/>
                <w:sz w:val="16"/>
                <w:szCs w:val="16"/>
                <w:lang w:val="ru-RU"/>
              </w:rPr>
              <w:t>:</w:t>
            </w:r>
            <w:r w:rsidRPr="00B53CB4">
              <w:rPr>
                <w:rFonts w:cs="Arial"/>
                <w:color w:val="002060"/>
                <w:sz w:val="16"/>
                <w:szCs w:val="16"/>
              </w:rPr>
              <w:t>Search</w:t>
            </w:r>
            <w:r w:rsidRPr="0055116C">
              <w:rPr>
                <w:rFonts w:cs="Arial"/>
                <w:color w:val="002060"/>
                <w:sz w:val="16"/>
                <w:szCs w:val="16"/>
                <w:lang w:val="ru-RU"/>
              </w:rPr>
              <w:t xml:space="preserve"> присоединились 49 новых членов (провайдеров, пользователей и поддерживающих организаций), число записей в ее базе данных увеличилось на 167:</w:t>
            </w:r>
          </w:p>
          <w:p w:rsidR="0055116C" w:rsidRPr="0055116C" w:rsidRDefault="0055116C" w:rsidP="0055116C">
            <w:pPr>
              <w:numPr>
                <w:ilvl w:val="0"/>
                <w:numId w:val="67"/>
              </w:numPr>
              <w:ind w:left="278" w:hanging="278"/>
              <w:rPr>
                <w:rFonts w:cs="Arial"/>
                <w:color w:val="002060"/>
                <w:sz w:val="16"/>
                <w:szCs w:val="16"/>
                <w:lang w:val="ru-RU"/>
              </w:rPr>
            </w:pPr>
            <w:r w:rsidRPr="0055116C">
              <w:rPr>
                <w:rFonts w:cs="Arial"/>
                <w:color w:val="002060"/>
                <w:sz w:val="16"/>
                <w:szCs w:val="16"/>
                <w:lang w:val="ru-RU"/>
              </w:rPr>
              <w:t xml:space="preserve">30 новых членов и 90 новых записей в 2012 г.  </w:t>
            </w:r>
          </w:p>
          <w:p w:rsidR="0055116C" w:rsidRPr="0055116C" w:rsidRDefault="0055116C" w:rsidP="0055116C">
            <w:pPr>
              <w:numPr>
                <w:ilvl w:val="0"/>
                <w:numId w:val="67"/>
              </w:numPr>
              <w:ind w:left="278" w:hanging="278"/>
              <w:rPr>
                <w:rFonts w:cs="Arial"/>
                <w:color w:val="002060"/>
                <w:sz w:val="16"/>
                <w:szCs w:val="16"/>
                <w:lang w:val="ru-RU"/>
              </w:rPr>
            </w:pPr>
            <w:r w:rsidRPr="0055116C">
              <w:rPr>
                <w:rFonts w:cs="Arial"/>
                <w:color w:val="002060"/>
                <w:sz w:val="16"/>
                <w:szCs w:val="16"/>
                <w:lang w:val="ru-RU"/>
              </w:rPr>
              <w:t>19 новых членов и 77 новых записей в 2013 г.</w:t>
            </w:r>
          </w:p>
          <w:p w:rsidR="0055116C" w:rsidRPr="0055116C" w:rsidRDefault="0055116C" w:rsidP="0055116C">
            <w:pPr>
              <w:rPr>
                <w:rFonts w:cs="Arial"/>
                <w:color w:val="002060"/>
                <w:sz w:val="16"/>
                <w:szCs w:val="16"/>
                <w:lang w:val="ru-RU"/>
              </w:rPr>
            </w:pPr>
            <w:r w:rsidRPr="0055116C">
              <w:rPr>
                <w:rFonts w:cs="Arial"/>
                <w:color w:val="002060"/>
                <w:sz w:val="16"/>
                <w:szCs w:val="16"/>
                <w:lang w:val="ru-RU"/>
              </w:rPr>
              <w:t>В результате общее число членов достигло 80, общее число записей – 247.</w:t>
            </w:r>
          </w:p>
          <w:p w:rsidR="0055116C" w:rsidRPr="0055116C" w:rsidRDefault="0055116C" w:rsidP="0055116C">
            <w:pPr>
              <w:rPr>
                <w:rFonts w:cs="Arial"/>
                <w:i/>
                <w:color w:val="002060"/>
                <w:sz w:val="16"/>
                <w:szCs w:val="16"/>
                <w:lang w:val="ru-RU"/>
              </w:rPr>
            </w:pPr>
            <w:r w:rsidRPr="0055116C">
              <w:rPr>
                <w:rFonts w:cs="Arial"/>
                <w:color w:val="993300"/>
                <w:sz w:val="16"/>
                <w:szCs w:val="16"/>
                <w:lang w:val="ru-RU"/>
              </w:rPr>
              <w:br/>
            </w:r>
          </w:p>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67 членов; 16 из развивающихся стран</w:t>
            </w:r>
          </w:p>
        </w:tc>
        <w:tc>
          <w:tcPr>
            <w:tcW w:w="717" w:type="pct"/>
            <w:gridSpan w:val="4"/>
            <w:shd w:val="clear" w:color="auto" w:fill="auto"/>
            <w:tcMar>
              <w:top w:w="110" w:type="dxa"/>
            </w:tcMar>
          </w:tcPr>
          <w:p w:rsidR="0055116C" w:rsidRPr="0055116C" w:rsidRDefault="0055116C" w:rsidP="0055116C">
            <w:pPr>
              <w:rPr>
                <w:rFonts w:cs="Arial"/>
                <w:sz w:val="16"/>
                <w:szCs w:val="16"/>
                <w:lang w:val="ru-RU"/>
              </w:rPr>
            </w:pPr>
            <w:r w:rsidRPr="0055116C">
              <w:rPr>
                <w:rFonts w:cs="Arial"/>
                <w:sz w:val="16"/>
                <w:szCs w:val="16"/>
                <w:lang w:val="ru-RU"/>
              </w:rPr>
              <w:t>15 (из них не менее 5 из развивающихся стран/НРС)</w:t>
            </w:r>
          </w:p>
        </w:tc>
        <w:tc>
          <w:tcPr>
            <w:tcW w:w="1209" w:type="pct"/>
            <w:shd w:val="clear" w:color="auto" w:fill="FFFFFF"/>
            <w:tcMar>
              <w:top w:w="110" w:type="dxa"/>
            </w:tcMar>
          </w:tcPr>
          <w:p w:rsidR="0055116C" w:rsidRPr="0055116C" w:rsidRDefault="0055116C" w:rsidP="0055116C">
            <w:pPr>
              <w:rPr>
                <w:rFonts w:cs="Arial"/>
                <w:sz w:val="16"/>
                <w:szCs w:val="16"/>
                <w:lang w:val="ru-RU"/>
              </w:rPr>
            </w:pPr>
            <w:r w:rsidRPr="0055116C">
              <w:rPr>
                <w:rFonts w:cs="Arial"/>
                <w:sz w:val="16"/>
                <w:szCs w:val="16"/>
                <w:lang w:val="ru-RU"/>
              </w:rPr>
              <w:t xml:space="preserve">20 новых членов (из них 6 – из развивающихся стран/НРС) </w:t>
            </w:r>
            <w:r w:rsidRPr="0055116C">
              <w:rPr>
                <w:rFonts w:cs="Arial"/>
                <w:sz w:val="16"/>
                <w:szCs w:val="16"/>
                <w:lang w:val="ru-RU"/>
              </w:rPr>
              <w:br/>
              <w:t>всего 100 членов (из них 22 – из развивающихся стран/НРС)</w:t>
            </w:r>
          </w:p>
        </w:tc>
        <w:tc>
          <w:tcPr>
            <w:tcW w:w="629" w:type="pct"/>
            <w:gridSpan w:val="2"/>
            <w:shd w:val="clear" w:color="auto" w:fill="auto"/>
            <w:tcMar>
              <w:top w:w="110" w:type="dxa"/>
            </w:tcMar>
          </w:tcPr>
          <w:p w:rsidR="0055116C" w:rsidRPr="00B53CB4" w:rsidRDefault="0055116C" w:rsidP="0055116C">
            <w:pPr>
              <w:jc w:val="center"/>
              <w:rPr>
                <w:rFonts w:cs="Arial"/>
                <w:b/>
                <w:color w:val="00B050"/>
                <w:sz w:val="16"/>
                <w:szCs w:val="16"/>
              </w:rPr>
            </w:pPr>
            <w:r w:rsidRPr="00B53CB4">
              <w:rPr>
                <w:rFonts w:cs="Arial"/>
                <w:b/>
                <w:color w:val="00B050"/>
                <w:sz w:val="16"/>
                <w:szCs w:val="16"/>
              </w:rPr>
              <w:t>Выполнено</w:t>
            </w:r>
          </w:p>
        </w:tc>
      </w:tr>
      <w:tr w:rsidR="0055116C" w:rsidRPr="00B53CB4" w:rsidTr="0055116C">
        <w:trPr>
          <w:cantSplit/>
        </w:trPr>
        <w:tc>
          <w:tcPr>
            <w:tcW w:w="1164" w:type="pct"/>
            <w:gridSpan w:val="3"/>
            <w:tcBorders>
              <w:bottom w:val="nil"/>
            </w:tcBorders>
            <w:shd w:val="clear" w:color="auto" w:fill="auto"/>
          </w:tcPr>
          <w:p w:rsidR="0055116C" w:rsidRPr="0055116C" w:rsidRDefault="0055116C" w:rsidP="0055116C">
            <w:pPr>
              <w:rPr>
                <w:rFonts w:cs="Arial"/>
                <w:sz w:val="16"/>
                <w:szCs w:val="16"/>
                <w:lang w:val="ru-RU"/>
              </w:rPr>
            </w:pPr>
            <w:r w:rsidRPr="0055116C">
              <w:rPr>
                <w:rFonts w:cs="Arial"/>
                <w:sz w:val="16"/>
                <w:szCs w:val="16"/>
                <w:lang w:val="ru-RU"/>
              </w:rPr>
              <w:t xml:space="preserve">Увеличение числа документов, внесенных в базу данных </w:t>
            </w:r>
            <w:r w:rsidRPr="00B53CB4">
              <w:rPr>
                <w:rFonts w:cs="Arial"/>
                <w:sz w:val="16"/>
                <w:szCs w:val="16"/>
              </w:rPr>
              <w:t>WIPO</w:t>
            </w:r>
            <w:r w:rsidRPr="0055116C">
              <w:rPr>
                <w:rFonts w:cs="Arial"/>
                <w:sz w:val="16"/>
                <w:szCs w:val="16"/>
                <w:lang w:val="ru-RU"/>
              </w:rPr>
              <w:t xml:space="preserve"> </w:t>
            </w:r>
            <w:r w:rsidRPr="00B53CB4">
              <w:rPr>
                <w:rFonts w:cs="Arial"/>
                <w:sz w:val="16"/>
                <w:szCs w:val="16"/>
              </w:rPr>
              <w:t>Re</w:t>
            </w:r>
            <w:r w:rsidRPr="0055116C">
              <w:rPr>
                <w:rFonts w:cs="Arial"/>
                <w:sz w:val="16"/>
                <w:szCs w:val="16"/>
                <w:lang w:val="ru-RU"/>
              </w:rPr>
              <w:t>:</w:t>
            </w:r>
            <w:r w:rsidRPr="00B53CB4">
              <w:rPr>
                <w:rFonts w:cs="Arial"/>
                <w:sz w:val="16"/>
                <w:szCs w:val="16"/>
              </w:rPr>
              <w:t>Search</w:t>
            </w:r>
          </w:p>
        </w:tc>
        <w:tc>
          <w:tcPr>
            <w:tcW w:w="1282" w:type="pct"/>
            <w:gridSpan w:val="2"/>
            <w:tcBorders>
              <w:bottom w:val="nil"/>
            </w:tcBorders>
            <w:shd w:val="clear" w:color="auto" w:fill="auto"/>
          </w:tcPr>
          <w:p w:rsidR="0055116C" w:rsidRPr="0055116C" w:rsidRDefault="0055116C" w:rsidP="0055116C">
            <w:pPr>
              <w:keepNext/>
              <w:keepLines/>
              <w:rPr>
                <w:rFonts w:cs="Arial"/>
                <w:color w:val="002060"/>
                <w:sz w:val="16"/>
                <w:szCs w:val="16"/>
                <w:lang w:val="ru-RU"/>
              </w:rPr>
            </w:pPr>
            <w:r w:rsidRPr="0055116C">
              <w:rPr>
                <w:rFonts w:cs="Arial"/>
                <w:i/>
                <w:color w:val="002060"/>
                <w:sz w:val="16"/>
                <w:szCs w:val="16"/>
                <w:lang w:val="ru-RU"/>
              </w:rPr>
              <w:t>Обновленные базовые показатели, конец 2013</w:t>
            </w:r>
            <w:r w:rsidRPr="00B53CB4">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 xml:space="preserve">по состоянию на конец 2013 г. </w:t>
            </w:r>
            <w:r w:rsidRPr="00B53CB4">
              <w:rPr>
                <w:rFonts w:cs="Arial"/>
                <w:color w:val="002060"/>
                <w:sz w:val="16"/>
                <w:szCs w:val="16"/>
              </w:rPr>
              <w:t>WIPO</w:t>
            </w:r>
            <w:r w:rsidRPr="0055116C">
              <w:rPr>
                <w:rFonts w:cs="Arial"/>
                <w:color w:val="002060"/>
                <w:sz w:val="16"/>
                <w:szCs w:val="16"/>
                <w:lang w:val="ru-RU"/>
              </w:rPr>
              <w:t xml:space="preserve"> </w:t>
            </w:r>
            <w:r w:rsidRPr="00B53CB4">
              <w:rPr>
                <w:rFonts w:cs="Arial"/>
                <w:color w:val="002060"/>
                <w:sz w:val="16"/>
                <w:szCs w:val="16"/>
              </w:rPr>
              <w:t>Re</w:t>
            </w:r>
            <w:r w:rsidRPr="0055116C">
              <w:rPr>
                <w:rFonts w:cs="Arial"/>
                <w:color w:val="002060"/>
                <w:sz w:val="16"/>
                <w:szCs w:val="16"/>
                <w:lang w:val="ru-RU"/>
              </w:rPr>
              <w:t>:</w:t>
            </w:r>
            <w:r w:rsidRPr="00B53CB4">
              <w:rPr>
                <w:rFonts w:cs="Arial"/>
                <w:color w:val="002060"/>
                <w:sz w:val="16"/>
                <w:szCs w:val="16"/>
              </w:rPr>
              <w:t>Search</w:t>
            </w:r>
            <w:r w:rsidRPr="0055116C">
              <w:rPr>
                <w:rFonts w:cs="Arial"/>
                <w:color w:val="002060"/>
                <w:sz w:val="16"/>
                <w:szCs w:val="16"/>
                <w:lang w:val="ru-RU"/>
              </w:rPr>
              <w:t xml:space="preserve"> способствовала запуску 44</w:t>
            </w:r>
            <w:r>
              <w:rPr>
                <w:rFonts w:cs="Arial"/>
                <w:color w:val="002060"/>
                <w:sz w:val="16"/>
                <w:szCs w:val="16"/>
              </w:rPr>
              <w:t> </w:t>
            </w:r>
            <w:r w:rsidRPr="0055116C">
              <w:rPr>
                <w:rFonts w:cs="Arial"/>
                <w:color w:val="002060"/>
                <w:sz w:val="16"/>
                <w:szCs w:val="16"/>
                <w:lang w:val="ru-RU"/>
              </w:rPr>
              <w:t xml:space="preserve">проектов сотрудничества в научно-исследовательской области (в 2012 г. – 11 проектов, в 2013 г. – 33 проекта) </w:t>
            </w:r>
          </w:p>
          <w:p w:rsidR="0055116C" w:rsidRPr="0055116C" w:rsidRDefault="0055116C" w:rsidP="0055116C">
            <w:pPr>
              <w:keepNext/>
              <w:keepLines/>
              <w:rPr>
                <w:rFonts w:cs="Arial"/>
                <w:i/>
                <w:color w:val="002060"/>
                <w:sz w:val="16"/>
                <w:szCs w:val="16"/>
                <w:lang w:val="ru-RU"/>
              </w:rPr>
            </w:pPr>
            <w:r w:rsidRPr="0055116C">
              <w:rPr>
                <w:rFonts w:cs="Arial"/>
                <w:color w:val="993300"/>
                <w:sz w:val="16"/>
                <w:szCs w:val="16"/>
                <w:lang w:val="ru-RU"/>
              </w:rPr>
              <w:br/>
            </w:r>
          </w:p>
          <w:p w:rsidR="0055116C" w:rsidRPr="0055116C" w:rsidRDefault="0055116C" w:rsidP="0055116C">
            <w:pPr>
              <w:keepNext/>
              <w:keepLines/>
              <w:rPr>
                <w:rFonts w:cs="Arial"/>
                <w:i/>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200</w:t>
            </w:r>
          </w:p>
          <w:p w:rsidR="0055116C" w:rsidRPr="0055116C" w:rsidRDefault="0055116C" w:rsidP="0055116C">
            <w:pPr>
              <w:keepNext/>
              <w:keepLines/>
              <w:rPr>
                <w:rFonts w:cs="Arial"/>
                <w:sz w:val="16"/>
                <w:szCs w:val="16"/>
                <w:lang w:val="ru-RU"/>
              </w:rPr>
            </w:pPr>
          </w:p>
        </w:tc>
        <w:tc>
          <w:tcPr>
            <w:tcW w:w="717" w:type="pct"/>
            <w:gridSpan w:val="4"/>
            <w:tcBorders>
              <w:bottom w:val="nil"/>
            </w:tcBorders>
            <w:shd w:val="clear" w:color="auto" w:fill="auto"/>
            <w:tcMar>
              <w:top w:w="110" w:type="dxa"/>
            </w:tcMar>
          </w:tcPr>
          <w:p w:rsidR="0055116C" w:rsidRPr="00B53CB4" w:rsidRDefault="0055116C" w:rsidP="0055116C">
            <w:pPr>
              <w:keepNext/>
              <w:keepLines/>
              <w:rPr>
                <w:rFonts w:cs="Arial"/>
                <w:sz w:val="16"/>
                <w:szCs w:val="16"/>
              </w:rPr>
            </w:pPr>
            <w:r w:rsidRPr="00B53CB4">
              <w:rPr>
                <w:rFonts w:cs="Arial"/>
                <w:sz w:val="16"/>
                <w:szCs w:val="16"/>
              </w:rPr>
              <w:t>50%</w:t>
            </w:r>
          </w:p>
        </w:tc>
        <w:tc>
          <w:tcPr>
            <w:tcW w:w="1209" w:type="pct"/>
            <w:tcBorders>
              <w:bottom w:val="nil"/>
            </w:tcBorders>
            <w:shd w:val="clear" w:color="auto" w:fill="FFFFFF"/>
            <w:tcMar>
              <w:top w:w="110" w:type="dxa"/>
            </w:tcMar>
          </w:tcPr>
          <w:p w:rsidR="0055116C" w:rsidRPr="0055116C" w:rsidRDefault="0055116C" w:rsidP="0055116C">
            <w:pPr>
              <w:keepNext/>
              <w:keepLines/>
              <w:rPr>
                <w:rFonts w:cs="Arial"/>
                <w:sz w:val="16"/>
                <w:szCs w:val="16"/>
                <w:lang w:val="ru-RU"/>
              </w:rPr>
            </w:pPr>
            <w:r w:rsidRPr="0055116C">
              <w:rPr>
                <w:rFonts w:cs="Arial"/>
                <w:sz w:val="16"/>
                <w:szCs w:val="16"/>
                <w:lang w:val="ru-RU"/>
              </w:rPr>
              <w:t>193 документа внесены в базу данных к концу 2015</w:t>
            </w:r>
            <w:r w:rsidRPr="00B53CB4">
              <w:rPr>
                <w:rFonts w:cs="Arial"/>
                <w:sz w:val="16"/>
                <w:szCs w:val="16"/>
              </w:rPr>
              <w:t> </w:t>
            </w:r>
            <w:r w:rsidRPr="0055116C">
              <w:rPr>
                <w:rFonts w:cs="Arial"/>
                <w:sz w:val="16"/>
                <w:szCs w:val="16"/>
                <w:lang w:val="ru-RU"/>
              </w:rPr>
              <w:t>г. (-22% по сравнению с концом 2013</w:t>
            </w:r>
            <w:r w:rsidRPr="00B53CB4">
              <w:rPr>
                <w:rFonts w:cs="Arial"/>
                <w:sz w:val="16"/>
                <w:szCs w:val="16"/>
              </w:rPr>
              <w:t> </w:t>
            </w:r>
            <w:r w:rsidRPr="0055116C">
              <w:rPr>
                <w:rFonts w:cs="Arial"/>
                <w:sz w:val="16"/>
                <w:szCs w:val="16"/>
                <w:lang w:val="ru-RU"/>
              </w:rPr>
              <w:t>г., когда таких документов было 247)</w:t>
            </w:r>
          </w:p>
          <w:p w:rsidR="0055116C" w:rsidRPr="0055116C" w:rsidRDefault="0055116C" w:rsidP="0055116C">
            <w:pPr>
              <w:keepNext/>
              <w:keepLines/>
              <w:rPr>
                <w:rFonts w:cs="Arial"/>
                <w:sz w:val="16"/>
                <w:szCs w:val="16"/>
                <w:lang w:val="ru-RU"/>
              </w:rPr>
            </w:pPr>
            <w:r w:rsidRPr="0055116C">
              <w:rPr>
                <w:rFonts w:cs="Arial"/>
                <w:sz w:val="16"/>
                <w:szCs w:val="16"/>
                <w:lang w:val="ru-RU"/>
              </w:rPr>
              <w:br/>
              <w:t>Снижение числа записей было связано с выходом двух членов.</w:t>
            </w:r>
          </w:p>
        </w:tc>
        <w:tc>
          <w:tcPr>
            <w:tcW w:w="629" w:type="pct"/>
            <w:gridSpan w:val="2"/>
            <w:tcBorders>
              <w:bottom w:val="nil"/>
            </w:tcBorders>
            <w:shd w:val="clear" w:color="auto" w:fill="auto"/>
            <w:tcMar>
              <w:top w:w="110" w:type="dxa"/>
            </w:tcMar>
          </w:tcPr>
          <w:p w:rsidR="0055116C" w:rsidRPr="00B53CB4" w:rsidRDefault="0055116C" w:rsidP="0055116C">
            <w:pPr>
              <w:keepNext/>
              <w:keepLines/>
              <w:jc w:val="center"/>
              <w:rPr>
                <w:rFonts w:cs="Arial"/>
                <w:b/>
                <w:bCs/>
                <w:color w:val="FF0000"/>
                <w:sz w:val="16"/>
                <w:szCs w:val="16"/>
              </w:rPr>
            </w:pPr>
            <w:r w:rsidRPr="00B53CB4">
              <w:rPr>
                <w:rFonts w:cs="Arial"/>
                <w:b/>
                <w:color w:val="FF0000"/>
                <w:sz w:val="16"/>
                <w:szCs w:val="16"/>
              </w:rPr>
              <w:t>Не выполнено</w:t>
            </w:r>
          </w:p>
        </w:tc>
      </w:tr>
      <w:tr w:rsidR="0055116C" w:rsidRPr="00B53CB4" w:rsidTr="0055116C">
        <w:trPr>
          <w:cantSplit/>
        </w:trPr>
        <w:tc>
          <w:tcPr>
            <w:tcW w:w="1164" w:type="pct"/>
            <w:gridSpan w:val="3"/>
            <w:tcBorders>
              <w:top w:val="nil"/>
              <w:bottom w:val="nil"/>
            </w:tcBorders>
            <w:shd w:val="clear" w:color="auto" w:fill="auto"/>
          </w:tcPr>
          <w:p w:rsidR="0055116C" w:rsidRPr="0055116C" w:rsidRDefault="0055116C" w:rsidP="0055116C">
            <w:pPr>
              <w:rPr>
                <w:rFonts w:cs="Arial"/>
                <w:sz w:val="16"/>
                <w:szCs w:val="16"/>
                <w:lang w:val="ru-RU"/>
              </w:rPr>
            </w:pPr>
            <w:r w:rsidRPr="0055116C">
              <w:rPr>
                <w:rFonts w:cs="Arial"/>
                <w:sz w:val="16"/>
                <w:szCs w:val="16"/>
                <w:lang w:val="ru-RU"/>
              </w:rPr>
              <w:t xml:space="preserve">Увеличение числа соглашений в рамках </w:t>
            </w:r>
            <w:r w:rsidRPr="00B53CB4">
              <w:rPr>
                <w:rFonts w:cs="Arial"/>
                <w:sz w:val="16"/>
                <w:szCs w:val="16"/>
              </w:rPr>
              <w:t>WIPO</w:t>
            </w:r>
            <w:r w:rsidRPr="0055116C">
              <w:rPr>
                <w:rFonts w:cs="Arial"/>
                <w:sz w:val="16"/>
                <w:szCs w:val="16"/>
                <w:lang w:val="ru-RU"/>
              </w:rPr>
              <w:t xml:space="preserve"> </w:t>
            </w:r>
            <w:r w:rsidRPr="00B53CB4">
              <w:rPr>
                <w:rFonts w:cs="Arial"/>
                <w:sz w:val="16"/>
                <w:szCs w:val="16"/>
              </w:rPr>
              <w:t>Re</w:t>
            </w:r>
            <w:r w:rsidRPr="0055116C">
              <w:rPr>
                <w:rFonts w:cs="Arial"/>
                <w:sz w:val="16"/>
                <w:szCs w:val="16"/>
                <w:lang w:val="ru-RU"/>
              </w:rPr>
              <w:t>:</w:t>
            </w:r>
            <w:r w:rsidRPr="00B53CB4">
              <w:rPr>
                <w:rFonts w:cs="Arial"/>
                <w:sz w:val="16"/>
                <w:szCs w:val="16"/>
              </w:rPr>
              <w:t>Search</w:t>
            </w:r>
            <w:r w:rsidRPr="0055116C">
              <w:rPr>
                <w:rFonts w:cs="Arial"/>
                <w:sz w:val="16"/>
                <w:szCs w:val="16"/>
                <w:lang w:val="ru-RU"/>
              </w:rPr>
              <w:t>, результатом которых стало появление новых или ускорение уже ведущихся НИОКР по забытым тропическим болезням, малярии и туберкулезу</w:t>
            </w:r>
          </w:p>
        </w:tc>
        <w:tc>
          <w:tcPr>
            <w:tcW w:w="1282" w:type="pct"/>
            <w:gridSpan w:val="2"/>
            <w:tcBorders>
              <w:top w:val="nil"/>
              <w:bottom w:val="nil"/>
            </w:tcBorders>
            <w:shd w:val="clear" w:color="auto" w:fill="auto"/>
          </w:tcPr>
          <w:p w:rsidR="0055116C" w:rsidRPr="0055116C" w:rsidRDefault="0055116C" w:rsidP="0055116C">
            <w:pPr>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B53CB4">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44</w:t>
            </w:r>
          </w:p>
          <w:p w:rsidR="0055116C" w:rsidRPr="0055116C" w:rsidRDefault="0055116C" w:rsidP="0055116C">
            <w:pPr>
              <w:rPr>
                <w:rFonts w:cs="Arial"/>
                <w:i/>
                <w:color w:val="002060"/>
                <w:sz w:val="16"/>
                <w:szCs w:val="16"/>
                <w:lang w:val="ru-RU"/>
              </w:rPr>
            </w:pPr>
            <w:r w:rsidRPr="0055116C">
              <w:rPr>
                <w:rFonts w:cs="Arial"/>
                <w:color w:val="993300"/>
                <w:sz w:val="16"/>
                <w:szCs w:val="16"/>
                <w:lang w:val="ru-RU"/>
              </w:rPr>
              <w:br/>
            </w:r>
          </w:p>
          <w:p w:rsidR="0055116C" w:rsidRPr="0055116C" w:rsidRDefault="0055116C" w:rsidP="0055116C">
            <w:pPr>
              <w:rPr>
                <w:rFonts w:eastAsiaTheme="minorHAnsi" w:cs="Arial"/>
                <w:i/>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16</w:t>
            </w:r>
          </w:p>
        </w:tc>
        <w:tc>
          <w:tcPr>
            <w:tcW w:w="717" w:type="pct"/>
            <w:gridSpan w:val="4"/>
            <w:tcBorders>
              <w:top w:val="nil"/>
              <w:bottom w:val="nil"/>
            </w:tcBorders>
            <w:shd w:val="clear" w:color="auto" w:fill="auto"/>
            <w:tcMar>
              <w:top w:w="110" w:type="dxa"/>
            </w:tcMar>
          </w:tcPr>
          <w:p w:rsidR="0055116C" w:rsidRPr="00B53CB4" w:rsidRDefault="0055116C" w:rsidP="0055116C">
            <w:pPr>
              <w:rPr>
                <w:rFonts w:cs="Arial"/>
                <w:sz w:val="16"/>
                <w:szCs w:val="16"/>
              </w:rPr>
            </w:pPr>
            <w:r w:rsidRPr="00B53CB4">
              <w:rPr>
                <w:rFonts w:cs="Arial"/>
                <w:sz w:val="16"/>
                <w:szCs w:val="16"/>
              </w:rPr>
              <w:t>20</w:t>
            </w:r>
          </w:p>
        </w:tc>
        <w:tc>
          <w:tcPr>
            <w:tcW w:w="1209" w:type="pct"/>
            <w:tcBorders>
              <w:top w:val="nil"/>
              <w:bottom w:val="nil"/>
            </w:tcBorders>
            <w:shd w:val="clear" w:color="auto" w:fill="FFFFFF"/>
            <w:tcMar>
              <w:top w:w="110" w:type="dxa"/>
            </w:tcMar>
          </w:tcPr>
          <w:p w:rsidR="0055116C" w:rsidRPr="0055116C" w:rsidRDefault="0055116C" w:rsidP="0055116C">
            <w:pPr>
              <w:rPr>
                <w:rFonts w:cs="Arial"/>
                <w:sz w:val="16"/>
                <w:szCs w:val="16"/>
                <w:lang w:val="ru-RU"/>
              </w:rPr>
            </w:pPr>
            <w:r w:rsidRPr="0055116C">
              <w:rPr>
                <w:rFonts w:cs="Arial"/>
                <w:sz w:val="16"/>
                <w:szCs w:val="16"/>
                <w:lang w:val="ru-RU"/>
              </w:rPr>
              <w:t>52 новых соглашения о сотрудничестве (всего 96 соглашений)</w:t>
            </w:r>
          </w:p>
        </w:tc>
        <w:tc>
          <w:tcPr>
            <w:tcW w:w="629" w:type="pct"/>
            <w:gridSpan w:val="2"/>
            <w:tcBorders>
              <w:top w:val="nil"/>
              <w:bottom w:val="nil"/>
            </w:tcBorders>
            <w:shd w:val="clear" w:color="auto" w:fill="auto"/>
            <w:tcMar>
              <w:top w:w="110" w:type="dxa"/>
            </w:tcMar>
          </w:tcPr>
          <w:p w:rsidR="0055116C" w:rsidRPr="00B53CB4" w:rsidRDefault="0055116C" w:rsidP="0055116C">
            <w:pPr>
              <w:keepNext/>
              <w:keepLines/>
              <w:jc w:val="center"/>
              <w:rPr>
                <w:rFonts w:cs="Arial"/>
                <w:b/>
                <w:color w:val="00B050"/>
                <w:sz w:val="16"/>
                <w:szCs w:val="16"/>
              </w:rPr>
            </w:pPr>
            <w:r w:rsidRPr="00B53CB4">
              <w:rPr>
                <w:rFonts w:cs="Arial"/>
                <w:b/>
                <w:color w:val="00B050"/>
                <w:sz w:val="16"/>
                <w:szCs w:val="16"/>
              </w:rPr>
              <w:t>Выполнено</w:t>
            </w:r>
          </w:p>
        </w:tc>
      </w:tr>
      <w:tr w:rsidR="0055116C" w:rsidRPr="00B53CB4" w:rsidTr="0055116C">
        <w:trPr>
          <w:cantSplit/>
          <w:trHeight w:val="421"/>
        </w:trPr>
        <w:tc>
          <w:tcPr>
            <w:tcW w:w="1164" w:type="pct"/>
            <w:gridSpan w:val="3"/>
            <w:tcBorders>
              <w:top w:val="nil"/>
              <w:bottom w:val="single" w:sz="4" w:space="0" w:color="auto"/>
            </w:tcBorders>
            <w:shd w:val="clear" w:color="auto" w:fill="auto"/>
          </w:tcPr>
          <w:p w:rsidR="0055116C" w:rsidRPr="0055116C" w:rsidRDefault="0055116C" w:rsidP="0055116C">
            <w:pPr>
              <w:rPr>
                <w:rFonts w:cs="Arial"/>
                <w:sz w:val="16"/>
                <w:szCs w:val="16"/>
                <w:lang w:val="ru-RU"/>
              </w:rPr>
            </w:pPr>
            <w:r w:rsidRPr="0055116C">
              <w:rPr>
                <w:rFonts w:cs="Arial"/>
                <w:sz w:val="16"/>
                <w:szCs w:val="16"/>
                <w:lang w:val="ru-RU"/>
              </w:rPr>
              <w:t xml:space="preserve">Число членов проекта </w:t>
            </w:r>
            <w:r w:rsidRPr="00B53CB4">
              <w:rPr>
                <w:rFonts w:cs="Arial"/>
                <w:sz w:val="16"/>
                <w:szCs w:val="16"/>
              </w:rPr>
              <w:t>WIPO</w:t>
            </w:r>
            <w:r w:rsidRPr="0055116C">
              <w:rPr>
                <w:rFonts w:cs="Arial"/>
                <w:sz w:val="16"/>
                <w:szCs w:val="16"/>
                <w:lang w:val="ru-RU"/>
              </w:rPr>
              <w:t xml:space="preserve"> </w:t>
            </w:r>
            <w:r w:rsidRPr="00B53CB4">
              <w:rPr>
                <w:rFonts w:cs="Arial"/>
                <w:sz w:val="16"/>
                <w:szCs w:val="16"/>
              </w:rPr>
              <w:t>GREEN</w:t>
            </w:r>
          </w:p>
        </w:tc>
        <w:tc>
          <w:tcPr>
            <w:tcW w:w="1282" w:type="pct"/>
            <w:gridSpan w:val="2"/>
            <w:tcBorders>
              <w:top w:val="nil"/>
              <w:bottom w:val="single" w:sz="4" w:space="0" w:color="auto"/>
            </w:tcBorders>
            <w:shd w:val="clear" w:color="auto" w:fill="auto"/>
          </w:tcPr>
          <w:p w:rsidR="0055116C" w:rsidRPr="0055116C" w:rsidRDefault="0055116C" w:rsidP="0055116C">
            <w:pPr>
              <w:rPr>
                <w:rFonts w:cs="Arial"/>
                <w:color w:val="002060"/>
                <w:sz w:val="16"/>
                <w:szCs w:val="16"/>
                <w:lang w:val="ru-RU"/>
              </w:rPr>
            </w:pPr>
            <w:r w:rsidRPr="0055116C">
              <w:rPr>
                <w:rFonts w:cs="Arial"/>
                <w:i/>
                <w:color w:val="002060"/>
                <w:sz w:val="16"/>
                <w:szCs w:val="16"/>
                <w:lang w:val="ru-RU"/>
              </w:rPr>
              <w:t>Обновленные базовые показатели, конец 2013</w:t>
            </w:r>
            <w:r w:rsidRPr="00B53CB4">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36 партнеров, 160 пользователей, 830 загруженных материалов</w:t>
            </w:r>
            <w:r w:rsidRPr="00B53CB4">
              <w:rPr>
                <w:rStyle w:val="FootnoteReference"/>
                <w:rFonts w:cs="Arial"/>
                <w:color w:val="002060"/>
                <w:sz w:val="16"/>
                <w:szCs w:val="16"/>
              </w:rPr>
              <w:footnoteReference w:id="103"/>
            </w:r>
          </w:p>
          <w:p w:rsidR="0055116C" w:rsidRPr="0055116C" w:rsidRDefault="0055116C" w:rsidP="0055116C">
            <w:pPr>
              <w:rPr>
                <w:rFonts w:cs="Arial"/>
                <w:sz w:val="16"/>
                <w:szCs w:val="16"/>
                <w:lang w:val="ru-RU"/>
              </w:rPr>
            </w:pPr>
            <w:r w:rsidRPr="0055116C">
              <w:rPr>
                <w:rFonts w:cs="Arial"/>
                <w:color w:val="993300"/>
                <w:sz w:val="16"/>
                <w:szCs w:val="16"/>
                <w:lang w:val="ru-RU"/>
              </w:rPr>
              <w:br/>
            </w:r>
            <w:r w:rsidRPr="0055116C">
              <w:rPr>
                <w:rFonts w:cs="Arial"/>
                <w:color w:val="993300"/>
                <w:sz w:val="16"/>
                <w:szCs w:val="16"/>
                <w:lang w:val="ru-RU"/>
              </w:rPr>
              <w:br/>
            </w:r>
            <w:r w:rsidRPr="0055116C">
              <w:rPr>
                <w:rFonts w:cs="Arial"/>
                <w:i/>
                <w:sz w:val="16"/>
                <w:szCs w:val="16"/>
                <w:lang w:val="ru-RU"/>
              </w:rPr>
              <w:t xml:space="preserve">Исходные базовые показатели ПиБ на 2014–2015 гг.:  </w:t>
            </w:r>
            <w:r w:rsidRPr="0055116C">
              <w:rPr>
                <w:rFonts w:cs="Arial"/>
                <w:sz w:val="16"/>
                <w:szCs w:val="16"/>
                <w:lang w:val="ru-RU"/>
              </w:rPr>
              <w:t>1 партнер; 48 загруженных материалов</w:t>
            </w:r>
          </w:p>
          <w:p w:rsidR="0055116C" w:rsidRPr="0055116C" w:rsidRDefault="0055116C" w:rsidP="0055116C">
            <w:pPr>
              <w:rPr>
                <w:rFonts w:cs="Arial"/>
                <w:i/>
                <w:color w:val="002060"/>
                <w:sz w:val="16"/>
                <w:szCs w:val="16"/>
                <w:highlight w:val="yellow"/>
                <w:lang w:val="ru-RU"/>
              </w:rPr>
            </w:pPr>
          </w:p>
        </w:tc>
        <w:tc>
          <w:tcPr>
            <w:tcW w:w="717" w:type="pct"/>
            <w:gridSpan w:val="4"/>
            <w:tcBorders>
              <w:top w:val="nil"/>
              <w:bottom w:val="single" w:sz="4" w:space="0" w:color="auto"/>
            </w:tcBorders>
            <w:shd w:val="clear" w:color="auto" w:fill="auto"/>
            <w:tcMar>
              <w:top w:w="110" w:type="dxa"/>
            </w:tcMar>
          </w:tcPr>
          <w:p w:rsidR="0055116C" w:rsidRPr="0055116C" w:rsidRDefault="0055116C" w:rsidP="0055116C">
            <w:pPr>
              <w:rPr>
                <w:rFonts w:cs="Arial"/>
                <w:sz w:val="16"/>
                <w:szCs w:val="16"/>
                <w:lang w:val="ru-RU"/>
              </w:rPr>
            </w:pPr>
            <w:r w:rsidRPr="0055116C">
              <w:rPr>
                <w:rFonts w:cs="Arial"/>
                <w:sz w:val="16"/>
                <w:szCs w:val="16"/>
                <w:lang w:val="ru-RU"/>
              </w:rPr>
              <w:t xml:space="preserve">10 новых партнеров  </w:t>
            </w:r>
          </w:p>
          <w:p w:rsidR="0055116C" w:rsidRPr="0055116C" w:rsidRDefault="0055116C" w:rsidP="0055116C">
            <w:pPr>
              <w:spacing w:before="60" w:after="60"/>
              <w:rPr>
                <w:rFonts w:cs="Arial"/>
                <w:sz w:val="16"/>
                <w:szCs w:val="16"/>
                <w:lang w:val="ru-RU"/>
              </w:rPr>
            </w:pPr>
          </w:p>
          <w:p w:rsidR="0055116C" w:rsidRPr="0055116C" w:rsidRDefault="0055116C" w:rsidP="0055116C">
            <w:pPr>
              <w:spacing w:before="60" w:after="60"/>
              <w:rPr>
                <w:rFonts w:cs="Arial"/>
                <w:sz w:val="16"/>
                <w:szCs w:val="16"/>
                <w:lang w:val="ru-RU"/>
              </w:rPr>
            </w:pPr>
            <w:r w:rsidRPr="0055116C">
              <w:rPr>
                <w:rFonts w:cs="Arial"/>
                <w:sz w:val="16"/>
                <w:szCs w:val="16"/>
                <w:lang w:val="ru-RU"/>
              </w:rPr>
              <w:t xml:space="preserve">160 пользователей </w:t>
            </w:r>
          </w:p>
          <w:p w:rsidR="0055116C" w:rsidRPr="0055116C" w:rsidRDefault="0055116C" w:rsidP="0055116C">
            <w:pPr>
              <w:spacing w:before="60" w:after="60"/>
              <w:rPr>
                <w:rFonts w:cs="Arial"/>
                <w:sz w:val="16"/>
                <w:szCs w:val="16"/>
                <w:lang w:val="ru-RU"/>
              </w:rPr>
            </w:pPr>
            <w:r w:rsidRPr="0055116C">
              <w:rPr>
                <w:rFonts w:cs="Arial"/>
                <w:sz w:val="16"/>
                <w:szCs w:val="16"/>
                <w:lang w:val="ru-RU"/>
              </w:rPr>
              <w:br/>
              <w:t>400 загруженных материалов</w:t>
            </w:r>
          </w:p>
        </w:tc>
        <w:tc>
          <w:tcPr>
            <w:tcW w:w="1209" w:type="pct"/>
            <w:tcBorders>
              <w:top w:val="nil"/>
              <w:bottom w:val="single" w:sz="4" w:space="0" w:color="auto"/>
            </w:tcBorders>
            <w:shd w:val="clear" w:color="auto" w:fill="FFFFFF"/>
            <w:tcMar>
              <w:top w:w="110" w:type="dxa"/>
            </w:tcMar>
          </w:tcPr>
          <w:p w:rsidR="0055116C" w:rsidRPr="00B53CB4" w:rsidRDefault="0055116C" w:rsidP="0055116C">
            <w:pPr>
              <w:pStyle w:val="ListParagraph"/>
              <w:numPr>
                <w:ilvl w:val="0"/>
                <w:numId w:val="67"/>
              </w:numPr>
              <w:rPr>
                <w:rFonts w:cs="Arial"/>
                <w:sz w:val="16"/>
                <w:szCs w:val="16"/>
              </w:rPr>
            </w:pPr>
            <w:r w:rsidRPr="00B53CB4">
              <w:rPr>
                <w:rFonts w:cs="Arial"/>
                <w:sz w:val="16"/>
                <w:szCs w:val="16"/>
              </w:rPr>
              <w:t>29 новых партнеров (всего 65)</w:t>
            </w:r>
          </w:p>
          <w:p w:rsidR="0055116C" w:rsidRPr="00B53CB4" w:rsidRDefault="0055116C" w:rsidP="0055116C">
            <w:pPr>
              <w:pStyle w:val="ListParagraph"/>
              <w:numPr>
                <w:ilvl w:val="0"/>
                <w:numId w:val="67"/>
              </w:numPr>
              <w:spacing w:before="60" w:after="60"/>
              <w:rPr>
                <w:rFonts w:cs="Arial"/>
                <w:sz w:val="16"/>
                <w:szCs w:val="16"/>
              </w:rPr>
            </w:pPr>
            <w:r w:rsidRPr="00B53CB4">
              <w:rPr>
                <w:rFonts w:cs="Arial"/>
                <w:sz w:val="16"/>
                <w:szCs w:val="16"/>
              </w:rPr>
              <w:t>330 новых пользователей (всего 490)</w:t>
            </w:r>
          </w:p>
          <w:p w:rsidR="0055116C" w:rsidRPr="00B53CB4" w:rsidRDefault="0055116C" w:rsidP="0055116C">
            <w:pPr>
              <w:pStyle w:val="ListParagraph"/>
              <w:numPr>
                <w:ilvl w:val="0"/>
                <w:numId w:val="67"/>
              </w:numPr>
              <w:rPr>
                <w:rFonts w:cs="Arial"/>
                <w:sz w:val="16"/>
                <w:szCs w:val="16"/>
              </w:rPr>
            </w:pPr>
            <w:r w:rsidRPr="00B53CB4">
              <w:rPr>
                <w:rFonts w:cs="Arial"/>
                <w:sz w:val="16"/>
                <w:szCs w:val="16"/>
              </w:rPr>
              <w:t>1 351 новых загруженных материалов (всего 2 181</w:t>
            </w:r>
            <w:r w:rsidRPr="00B53CB4">
              <w:rPr>
                <w:rStyle w:val="FootnoteReference"/>
                <w:rFonts w:cs="Arial"/>
                <w:sz w:val="16"/>
                <w:szCs w:val="16"/>
              </w:rPr>
              <w:footnoteReference w:id="104"/>
            </w:r>
            <w:r w:rsidRPr="00B53CB4">
              <w:rPr>
                <w:rFonts w:cs="Arial"/>
                <w:sz w:val="16"/>
                <w:szCs w:val="16"/>
              </w:rPr>
              <w:t>)</w:t>
            </w:r>
          </w:p>
        </w:tc>
        <w:tc>
          <w:tcPr>
            <w:tcW w:w="629" w:type="pct"/>
            <w:gridSpan w:val="2"/>
            <w:tcBorders>
              <w:top w:val="nil"/>
              <w:bottom w:val="single" w:sz="4" w:space="0" w:color="auto"/>
            </w:tcBorders>
            <w:shd w:val="clear" w:color="auto" w:fill="auto"/>
            <w:tcMar>
              <w:top w:w="110" w:type="dxa"/>
            </w:tcMar>
          </w:tcPr>
          <w:p w:rsidR="0055116C" w:rsidRDefault="0055116C" w:rsidP="0055116C">
            <w:pPr>
              <w:keepNext/>
              <w:keepLines/>
              <w:spacing w:before="60" w:after="60"/>
              <w:jc w:val="center"/>
              <w:rPr>
                <w:rFonts w:cs="Arial"/>
                <w:b/>
                <w:color w:val="00B050"/>
                <w:sz w:val="16"/>
                <w:szCs w:val="16"/>
              </w:rPr>
            </w:pPr>
            <w:r w:rsidRPr="00B53CB4">
              <w:rPr>
                <w:rFonts w:cs="Arial"/>
                <w:b/>
                <w:color w:val="00B050"/>
                <w:sz w:val="16"/>
                <w:szCs w:val="16"/>
              </w:rPr>
              <w:t>Выполнено</w:t>
            </w:r>
          </w:p>
          <w:p w:rsidR="0055116C" w:rsidRPr="00B53CB4" w:rsidRDefault="0055116C" w:rsidP="0055116C">
            <w:pPr>
              <w:keepNext/>
              <w:keepLines/>
              <w:spacing w:before="60" w:after="60"/>
              <w:jc w:val="center"/>
              <w:rPr>
                <w:rFonts w:cs="Arial"/>
                <w:b/>
                <w:color w:val="00B050"/>
                <w:sz w:val="16"/>
                <w:szCs w:val="16"/>
              </w:rPr>
            </w:pPr>
          </w:p>
          <w:p w:rsidR="0055116C" w:rsidRDefault="0055116C" w:rsidP="0055116C">
            <w:pPr>
              <w:keepNext/>
              <w:keepLines/>
              <w:spacing w:before="60" w:after="60"/>
              <w:jc w:val="center"/>
              <w:rPr>
                <w:rFonts w:cs="Arial"/>
                <w:b/>
                <w:color w:val="00B050"/>
                <w:sz w:val="16"/>
                <w:szCs w:val="16"/>
              </w:rPr>
            </w:pPr>
            <w:r w:rsidRPr="00B53CB4">
              <w:rPr>
                <w:rFonts w:cs="Arial"/>
                <w:b/>
                <w:color w:val="00B050"/>
                <w:sz w:val="16"/>
                <w:szCs w:val="16"/>
              </w:rPr>
              <w:t>Выполнено</w:t>
            </w:r>
          </w:p>
          <w:p w:rsidR="0055116C" w:rsidRPr="00B53CB4" w:rsidRDefault="0055116C" w:rsidP="0055116C">
            <w:pPr>
              <w:keepNext/>
              <w:keepLines/>
              <w:spacing w:before="60" w:after="60"/>
              <w:jc w:val="center"/>
              <w:rPr>
                <w:rFonts w:cs="Arial"/>
                <w:b/>
                <w:color w:val="00B050"/>
                <w:sz w:val="16"/>
                <w:szCs w:val="16"/>
              </w:rPr>
            </w:pPr>
          </w:p>
          <w:p w:rsidR="0055116C" w:rsidRPr="00B53CB4" w:rsidRDefault="0055116C" w:rsidP="0055116C">
            <w:pPr>
              <w:keepNext/>
              <w:keepLines/>
              <w:spacing w:before="60" w:after="60"/>
              <w:jc w:val="center"/>
              <w:rPr>
                <w:rFonts w:cs="Arial"/>
                <w:b/>
                <w:bCs/>
                <w:color w:val="808080"/>
                <w:sz w:val="16"/>
                <w:szCs w:val="16"/>
              </w:rPr>
            </w:pPr>
            <w:r w:rsidRPr="00B53CB4">
              <w:rPr>
                <w:rFonts w:cs="Arial"/>
                <w:b/>
                <w:color w:val="00B050"/>
                <w:sz w:val="16"/>
                <w:szCs w:val="16"/>
              </w:rPr>
              <w:t>Выполнено</w:t>
            </w:r>
          </w:p>
        </w:tc>
      </w:tr>
      <w:tr w:rsidR="0055116C" w:rsidRPr="00B53CB4" w:rsidTr="0055116C">
        <w:trPr>
          <w:cantSplit/>
        </w:trPr>
        <w:tc>
          <w:tcPr>
            <w:tcW w:w="1164" w:type="pct"/>
            <w:gridSpan w:val="3"/>
            <w:tcBorders>
              <w:top w:val="single" w:sz="4" w:space="0" w:color="auto"/>
              <w:bottom w:val="nil"/>
            </w:tcBorders>
            <w:shd w:val="clear" w:color="auto" w:fill="auto"/>
          </w:tcPr>
          <w:p w:rsidR="0055116C" w:rsidRPr="0055116C" w:rsidRDefault="0055116C" w:rsidP="0055116C">
            <w:pPr>
              <w:rPr>
                <w:rFonts w:cs="Arial"/>
                <w:sz w:val="16"/>
                <w:szCs w:val="16"/>
                <w:lang w:val="ru-RU"/>
              </w:rPr>
            </w:pPr>
            <w:r w:rsidRPr="0055116C">
              <w:rPr>
                <w:rFonts w:cs="Arial"/>
                <w:sz w:val="16"/>
                <w:szCs w:val="16"/>
                <w:lang w:val="ru-RU"/>
              </w:rPr>
              <w:t xml:space="preserve">Число установленных связей между платформой </w:t>
            </w:r>
            <w:r w:rsidRPr="00B53CB4">
              <w:rPr>
                <w:rFonts w:cs="Arial"/>
                <w:sz w:val="16"/>
                <w:szCs w:val="16"/>
              </w:rPr>
              <w:t>WIPO</w:t>
            </w:r>
            <w:r w:rsidRPr="0055116C">
              <w:rPr>
                <w:rFonts w:cs="Arial"/>
                <w:sz w:val="16"/>
                <w:szCs w:val="16"/>
                <w:lang w:val="ru-RU"/>
              </w:rPr>
              <w:t xml:space="preserve"> </w:t>
            </w:r>
            <w:r w:rsidRPr="00B53CB4">
              <w:rPr>
                <w:rFonts w:cs="Arial"/>
                <w:sz w:val="16"/>
                <w:szCs w:val="16"/>
              </w:rPr>
              <w:t>GREEN</w:t>
            </w:r>
            <w:r w:rsidRPr="0055116C">
              <w:rPr>
                <w:rFonts w:cs="Arial"/>
                <w:sz w:val="16"/>
                <w:szCs w:val="16"/>
                <w:lang w:val="ru-RU"/>
              </w:rPr>
              <w:t xml:space="preserve"> и соответствующими механизмами, такими как Центры и сети климатических технологий (РКООНИК) и Центры климатических инноваций (</w:t>
            </w:r>
            <w:r w:rsidRPr="00B53CB4">
              <w:rPr>
                <w:rFonts w:cs="Arial"/>
                <w:sz w:val="16"/>
                <w:szCs w:val="16"/>
              </w:rPr>
              <w:t>infoDev</w:t>
            </w:r>
            <w:r w:rsidRPr="0055116C">
              <w:rPr>
                <w:rFonts w:cs="Arial"/>
                <w:sz w:val="16"/>
                <w:szCs w:val="16"/>
                <w:lang w:val="ru-RU"/>
              </w:rPr>
              <w:t>)</w:t>
            </w:r>
          </w:p>
          <w:p w:rsidR="0055116C" w:rsidRPr="0055116C" w:rsidRDefault="0055116C" w:rsidP="0055116C">
            <w:pPr>
              <w:rPr>
                <w:rFonts w:cs="Arial"/>
                <w:sz w:val="16"/>
                <w:szCs w:val="16"/>
                <w:lang w:val="ru-RU"/>
              </w:rPr>
            </w:pPr>
          </w:p>
        </w:tc>
        <w:tc>
          <w:tcPr>
            <w:tcW w:w="1282" w:type="pct"/>
            <w:gridSpan w:val="2"/>
            <w:tcBorders>
              <w:top w:val="single" w:sz="4" w:space="0" w:color="auto"/>
              <w:bottom w:val="nil"/>
            </w:tcBorders>
            <w:shd w:val="clear" w:color="auto" w:fill="auto"/>
          </w:tcPr>
          <w:p w:rsidR="0055116C" w:rsidRPr="0055116C" w:rsidRDefault="0055116C" w:rsidP="0055116C">
            <w:pPr>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B53CB4">
              <w:rPr>
                <w:rFonts w:cs="Arial"/>
                <w:i/>
                <w:color w:val="002060"/>
                <w:sz w:val="16"/>
                <w:szCs w:val="16"/>
              </w:rPr>
              <w:t> </w:t>
            </w:r>
            <w:r w:rsidRPr="0055116C">
              <w:rPr>
                <w:rFonts w:cs="Arial"/>
                <w:i/>
                <w:color w:val="002060"/>
                <w:sz w:val="16"/>
                <w:szCs w:val="16"/>
                <w:lang w:val="ru-RU"/>
              </w:rPr>
              <w:t xml:space="preserve">г.: </w:t>
            </w:r>
          </w:p>
          <w:p w:rsidR="0055116C" w:rsidRPr="0055116C" w:rsidRDefault="0055116C" w:rsidP="0055116C">
            <w:pPr>
              <w:rPr>
                <w:rFonts w:cs="Arial"/>
                <w:i/>
                <w:color w:val="002060"/>
                <w:sz w:val="16"/>
                <w:szCs w:val="16"/>
                <w:lang w:val="ru-RU"/>
              </w:rPr>
            </w:pPr>
            <w:r w:rsidRPr="0055116C">
              <w:rPr>
                <w:rFonts w:cs="Arial"/>
                <w:color w:val="002060"/>
                <w:sz w:val="16"/>
                <w:szCs w:val="16"/>
                <w:lang w:val="ru-RU"/>
              </w:rPr>
              <w:t>1 (Сеть климатических инноваций Восточной Африки (</w:t>
            </w:r>
            <w:r w:rsidRPr="00B53CB4">
              <w:rPr>
                <w:rFonts w:cs="Arial"/>
                <w:color w:val="002060"/>
                <w:sz w:val="16"/>
                <w:szCs w:val="16"/>
              </w:rPr>
              <w:t>EACIN</w:t>
            </w:r>
            <w:r w:rsidRPr="0055116C">
              <w:rPr>
                <w:rFonts w:cs="Arial"/>
                <w:color w:val="002060"/>
                <w:sz w:val="16"/>
                <w:szCs w:val="16"/>
                <w:lang w:val="ru-RU"/>
              </w:rPr>
              <w:t>))</w:t>
            </w:r>
          </w:p>
          <w:p w:rsidR="0055116C" w:rsidRPr="0055116C" w:rsidRDefault="0055116C" w:rsidP="0055116C">
            <w:pPr>
              <w:rPr>
                <w:rFonts w:cs="Arial"/>
                <w:i/>
                <w:color w:val="002060"/>
                <w:sz w:val="16"/>
                <w:szCs w:val="16"/>
                <w:lang w:val="ru-RU"/>
              </w:rPr>
            </w:pPr>
            <w:r w:rsidRPr="0055116C">
              <w:rPr>
                <w:rFonts w:cs="Arial"/>
                <w:color w:val="993300"/>
                <w:sz w:val="16"/>
                <w:szCs w:val="16"/>
                <w:lang w:val="ru-RU"/>
              </w:rPr>
              <w:br/>
            </w:r>
          </w:p>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0 (ноль)  </w:t>
            </w:r>
          </w:p>
          <w:p w:rsidR="0055116C" w:rsidRPr="0055116C" w:rsidRDefault="0055116C" w:rsidP="0055116C">
            <w:pPr>
              <w:rPr>
                <w:rFonts w:cs="Arial"/>
                <w:i/>
                <w:color w:val="002060"/>
                <w:sz w:val="16"/>
                <w:szCs w:val="16"/>
                <w:highlight w:val="yellow"/>
                <w:lang w:val="ru-RU"/>
              </w:rPr>
            </w:pPr>
          </w:p>
        </w:tc>
        <w:tc>
          <w:tcPr>
            <w:tcW w:w="717" w:type="pct"/>
            <w:gridSpan w:val="4"/>
            <w:tcBorders>
              <w:top w:val="single" w:sz="4" w:space="0" w:color="auto"/>
              <w:bottom w:val="nil"/>
            </w:tcBorders>
            <w:shd w:val="clear" w:color="auto" w:fill="auto"/>
            <w:tcMar>
              <w:top w:w="110" w:type="dxa"/>
            </w:tcMar>
          </w:tcPr>
          <w:p w:rsidR="0055116C" w:rsidRPr="00B53CB4" w:rsidRDefault="0055116C" w:rsidP="0055116C">
            <w:pPr>
              <w:rPr>
                <w:rFonts w:cs="Arial"/>
                <w:sz w:val="16"/>
                <w:szCs w:val="16"/>
              </w:rPr>
            </w:pPr>
            <w:r w:rsidRPr="00B53CB4">
              <w:rPr>
                <w:rFonts w:cs="Arial"/>
                <w:sz w:val="16"/>
                <w:szCs w:val="16"/>
              </w:rPr>
              <w:t>3</w:t>
            </w:r>
          </w:p>
        </w:tc>
        <w:tc>
          <w:tcPr>
            <w:tcW w:w="1209" w:type="pct"/>
            <w:tcBorders>
              <w:top w:val="single" w:sz="4" w:space="0" w:color="auto"/>
              <w:bottom w:val="nil"/>
            </w:tcBorders>
            <w:shd w:val="clear" w:color="auto" w:fill="FFFFFF"/>
            <w:tcMar>
              <w:top w:w="110" w:type="dxa"/>
            </w:tcMar>
          </w:tcPr>
          <w:p w:rsidR="0055116C" w:rsidRPr="00B53CB4" w:rsidRDefault="0055116C" w:rsidP="0055116C">
            <w:pPr>
              <w:rPr>
                <w:rFonts w:cs="Arial"/>
                <w:sz w:val="16"/>
                <w:szCs w:val="16"/>
              </w:rPr>
            </w:pPr>
            <w:r w:rsidRPr="00B53CB4">
              <w:rPr>
                <w:rFonts w:cs="Arial"/>
                <w:sz w:val="16"/>
                <w:szCs w:val="16"/>
              </w:rPr>
              <w:t xml:space="preserve">еще 6 в 2014–2015 гг.:  </w:t>
            </w:r>
          </w:p>
          <w:p w:rsidR="0055116C" w:rsidRPr="0055116C" w:rsidRDefault="0055116C" w:rsidP="0055116C">
            <w:pPr>
              <w:pStyle w:val="ListParagraph"/>
              <w:numPr>
                <w:ilvl w:val="0"/>
                <w:numId w:val="69"/>
              </w:numPr>
              <w:rPr>
                <w:rFonts w:cs="Arial"/>
                <w:sz w:val="16"/>
                <w:szCs w:val="16"/>
                <w:lang w:val="ru-RU"/>
              </w:rPr>
            </w:pPr>
            <w:r w:rsidRPr="0055116C">
              <w:rPr>
                <w:rFonts w:cs="Arial"/>
                <w:sz w:val="16"/>
                <w:szCs w:val="16"/>
                <w:lang w:val="ru-RU"/>
              </w:rPr>
              <w:t>Центр и сеть климатических технологий (</w:t>
            </w:r>
            <w:r w:rsidRPr="00B53CB4">
              <w:rPr>
                <w:rFonts w:cs="Arial"/>
                <w:sz w:val="16"/>
                <w:szCs w:val="16"/>
              </w:rPr>
              <w:t>CTCN</w:t>
            </w:r>
            <w:r w:rsidRPr="0055116C">
              <w:rPr>
                <w:rFonts w:cs="Arial"/>
                <w:sz w:val="16"/>
                <w:szCs w:val="16"/>
                <w:lang w:val="ru-RU"/>
              </w:rPr>
              <w:t xml:space="preserve">) </w:t>
            </w:r>
          </w:p>
          <w:p w:rsidR="0055116C" w:rsidRPr="00B53CB4" w:rsidRDefault="0055116C" w:rsidP="0055116C">
            <w:pPr>
              <w:pStyle w:val="ListParagraph"/>
              <w:numPr>
                <w:ilvl w:val="0"/>
                <w:numId w:val="69"/>
              </w:numPr>
              <w:rPr>
                <w:rFonts w:cs="Arial"/>
                <w:sz w:val="16"/>
                <w:szCs w:val="16"/>
              </w:rPr>
            </w:pPr>
            <w:r w:rsidRPr="00B53CB4">
              <w:rPr>
                <w:rFonts w:cs="Arial"/>
                <w:sz w:val="16"/>
                <w:szCs w:val="16"/>
              </w:rPr>
              <w:t xml:space="preserve">inforDev </w:t>
            </w:r>
          </w:p>
          <w:p w:rsidR="0055116C" w:rsidRPr="00B53CB4" w:rsidRDefault="0055116C" w:rsidP="0055116C">
            <w:pPr>
              <w:pStyle w:val="ListParagraph"/>
              <w:numPr>
                <w:ilvl w:val="0"/>
                <w:numId w:val="69"/>
              </w:numPr>
              <w:rPr>
                <w:rFonts w:cs="Arial"/>
                <w:sz w:val="16"/>
                <w:szCs w:val="16"/>
              </w:rPr>
            </w:pPr>
            <w:r w:rsidRPr="00B53CB4">
              <w:rPr>
                <w:rFonts w:cs="Arial"/>
                <w:sz w:val="16"/>
                <w:szCs w:val="16"/>
              </w:rPr>
              <w:t xml:space="preserve">База экологических патентов общего доступа </w:t>
            </w:r>
          </w:p>
          <w:p w:rsidR="0055116C" w:rsidRPr="0055116C" w:rsidRDefault="0055116C" w:rsidP="0055116C">
            <w:pPr>
              <w:pStyle w:val="ListParagraph"/>
              <w:numPr>
                <w:ilvl w:val="0"/>
                <w:numId w:val="69"/>
              </w:numPr>
              <w:rPr>
                <w:rFonts w:cs="Arial"/>
                <w:sz w:val="16"/>
                <w:szCs w:val="16"/>
                <w:lang w:val="ru-RU"/>
              </w:rPr>
            </w:pPr>
            <w:r w:rsidRPr="0055116C">
              <w:rPr>
                <w:rFonts w:cs="Arial"/>
                <w:sz w:val="16"/>
                <w:szCs w:val="16"/>
                <w:lang w:val="ru-RU"/>
              </w:rPr>
              <w:t>Кенийский центр климатических инноваций (</w:t>
            </w:r>
            <w:r w:rsidRPr="00B53CB4">
              <w:rPr>
                <w:rFonts w:cs="Arial"/>
                <w:sz w:val="16"/>
                <w:szCs w:val="16"/>
              </w:rPr>
              <w:t>KCIC</w:t>
            </w:r>
            <w:r w:rsidRPr="0055116C">
              <w:rPr>
                <w:rFonts w:cs="Arial"/>
                <w:sz w:val="16"/>
                <w:szCs w:val="16"/>
                <w:lang w:val="ru-RU"/>
              </w:rPr>
              <w:t>)</w:t>
            </w:r>
          </w:p>
          <w:p w:rsidR="0055116C" w:rsidRPr="00B53CB4" w:rsidRDefault="0055116C" w:rsidP="0055116C">
            <w:pPr>
              <w:pStyle w:val="ListParagraph"/>
              <w:numPr>
                <w:ilvl w:val="0"/>
                <w:numId w:val="69"/>
              </w:numPr>
              <w:rPr>
                <w:rFonts w:cs="Arial"/>
                <w:sz w:val="16"/>
                <w:szCs w:val="16"/>
              </w:rPr>
            </w:pPr>
            <w:r w:rsidRPr="00B53CB4">
              <w:rPr>
                <w:rFonts w:cs="Arial"/>
                <w:sz w:val="16"/>
                <w:szCs w:val="16"/>
              </w:rPr>
              <w:t>Climate KIC</w:t>
            </w:r>
          </w:p>
          <w:p w:rsidR="0055116C" w:rsidRPr="00B53CB4" w:rsidRDefault="0055116C" w:rsidP="0055116C">
            <w:pPr>
              <w:pStyle w:val="ListParagraph"/>
              <w:numPr>
                <w:ilvl w:val="0"/>
                <w:numId w:val="69"/>
              </w:numPr>
              <w:rPr>
                <w:rFonts w:cs="Arial"/>
                <w:sz w:val="16"/>
                <w:szCs w:val="16"/>
              </w:rPr>
            </w:pPr>
            <w:r w:rsidRPr="00B53CB4">
              <w:rPr>
                <w:rFonts w:cs="Arial"/>
                <w:sz w:val="16"/>
                <w:szCs w:val="16"/>
              </w:rPr>
              <w:t>Институт природоохранных технологий Васэда</w:t>
            </w:r>
          </w:p>
          <w:p w:rsidR="0055116C" w:rsidRPr="00B53CB4" w:rsidRDefault="0055116C" w:rsidP="0055116C">
            <w:pPr>
              <w:rPr>
                <w:rFonts w:cs="Arial"/>
                <w:sz w:val="16"/>
                <w:szCs w:val="16"/>
                <w:highlight w:val="yellow"/>
              </w:rPr>
            </w:pPr>
            <w:r w:rsidRPr="00B53CB4">
              <w:rPr>
                <w:rFonts w:cs="Arial"/>
                <w:sz w:val="16"/>
                <w:szCs w:val="16"/>
              </w:rPr>
              <w:t>(всего 7)</w:t>
            </w:r>
          </w:p>
        </w:tc>
        <w:tc>
          <w:tcPr>
            <w:tcW w:w="629" w:type="pct"/>
            <w:gridSpan w:val="2"/>
            <w:tcBorders>
              <w:top w:val="single" w:sz="4" w:space="0" w:color="auto"/>
              <w:bottom w:val="nil"/>
            </w:tcBorders>
            <w:shd w:val="clear" w:color="auto" w:fill="auto"/>
            <w:tcMar>
              <w:top w:w="110" w:type="dxa"/>
            </w:tcMar>
          </w:tcPr>
          <w:p w:rsidR="0055116C" w:rsidRPr="00B53CB4" w:rsidRDefault="0055116C" w:rsidP="0055116C">
            <w:pPr>
              <w:keepNext/>
              <w:keepLines/>
              <w:jc w:val="center"/>
              <w:rPr>
                <w:rFonts w:cs="Arial"/>
                <w:b/>
                <w:color w:val="00B050"/>
                <w:sz w:val="16"/>
                <w:szCs w:val="16"/>
              </w:rPr>
            </w:pPr>
            <w:r w:rsidRPr="00B53CB4">
              <w:rPr>
                <w:rFonts w:cs="Arial"/>
                <w:b/>
                <w:color w:val="00B050"/>
                <w:sz w:val="16"/>
                <w:szCs w:val="16"/>
              </w:rPr>
              <w:t>Выполнено</w:t>
            </w:r>
          </w:p>
        </w:tc>
      </w:tr>
      <w:tr w:rsidR="0055116C" w:rsidRPr="00B53CB4" w:rsidTr="0055116C">
        <w:trPr>
          <w:cantSplit/>
        </w:trPr>
        <w:tc>
          <w:tcPr>
            <w:tcW w:w="1164" w:type="pct"/>
            <w:gridSpan w:val="3"/>
            <w:tcBorders>
              <w:top w:val="nil"/>
              <w:left w:val="single" w:sz="4" w:space="0" w:color="auto"/>
              <w:bottom w:val="nil"/>
            </w:tcBorders>
            <w:shd w:val="clear" w:color="auto" w:fill="auto"/>
          </w:tcPr>
          <w:p w:rsidR="0055116C" w:rsidRPr="0055116C" w:rsidRDefault="0055116C" w:rsidP="0055116C">
            <w:pPr>
              <w:rPr>
                <w:rFonts w:cs="Arial"/>
                <w:sz w:val="16"/>
                <w:szCs w:val="16"/>
                <w:lang w:val="ru-RU"/>
              </w:rPr>
            </w:pPr>
            <w:r w:rsidRPr="0055116C">
              <w:rPr>
                <w:rFonts w:cs="Arial"/>
                <w:sz w:val="16"/>
                <w:szCs w:val="16"/>
                <w:lang w:val="ru-RU"/>
              </w:rPr>
              <w:t xml:space="preserve">Число заключенных при помощи </w:t>
            </w:r>
            <w:r w:rsidRPr="00B53CB4">
              <w:rPr>
                <w:rFonts w:cs="Arial"/>
                <w:sz w:val="16"/>
                <w:szCs w:val="16"/>
              </w:rPr>
              <w:t>WIPO</w:t>
            </w:r>
            <w:r w:rsidRPr="0055116C">
              <w:rPr>
                <w:rFonts w:cs="Arial"/>
                <w:sz w:val="16"/>
                <w:szCs w:val="16"/>
                <w:lang w:val="ru-RU"/>
              </w:rPr>
              <w:t xml:space="preserve"> </w:t>
            </w:r>
            <w:r w:rsidRPr="00B53CB4">
              <w:rPr>
                <w:rFonts w:cs="Arial"/>
                <w:sz w:val="16"/>
                <w:szCs w:val="16"/>
              </w:rPr>
              <w:t>GREEN</w:t>
            </w:r>
            <w:r w:rsidRPr="0055116C">
              <w:rPr>
                <w:rFonts w:cs="Arial"/>
                <w:sz w:val="16"/>
                <w:szCs w:val="16"/>
                <w:lang w:val="ru-RU"/>
              </w:rPr>
              <w:t xml:space="preserve"> соглашений, направленных на передачу знаний, а также адаптацию, передачу и/или распространение технологии</w:t>
            </w:r>
          </w:p>
        </w:tc>
        <w:tc>
          <w:tcPr>
            <w:tcW w:w="1282" w:type="pct"/>
            <w:gridSpan w:val="2"/>
            <w:tcBorders>
              <w:top w:val="nil"/>
              <w:bottom w:val="nil"/>
            </w:tcBorders>
            <w:shd w:val="clear" w:color="auto" w:fill="auto"/>
          </w:tcPr>
          <w:p w:rsidR="0055116C" w:rsidRPr="0055116C" w:rsidRDefault="0055116C" w:rsidP="0055116C">
            <w:pPr>
              <w:rPr>
                <w:rFonts w:cs="Arial"/>
                <w:color w:val="002060"/>
                <w:sz w:val="16"/>
                <w:szCs w:val="16"/>
                <w:lang w:val="ru-RU"/>
              </w:rPr>
            </w:pPr>
            <w:r w:rsidRPr="0055116C">
              <w:rPr>
                <w:rFonts w:cs="Arial"/>
                <w:i/>
                <w:color w:val="002060"/>
                <w:sz w:val="16"/>
                <w:szCs w:val="16"/>
                <w:lang w:val="ru-RU"/>
              </w:rPr>
              <w:t>Обновленные базовые показатели, конец 2013</w:t>
            </w:r>
            <w:r w:rsidRPr="00B53CB4">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 xml:space="preserve">в 2012 г. и 2013 г. платформа </w:t>
            </w:r>
            <w:r w:rsidRPr="00B53CB4">
              <w:rPr>
                <w:rFonts w:cs="Arial"/>
                <w:color w:val="002060"/>
                <w:sz w:val="16"/>
                <w:szCs w:val="16"/>
              </w:rPr>
              <w:t>WIPO</w:t>
            </w:r>
            <w:r w:rsidRPr="0055116C">
              <w:rPr>
                <w:rFonts w:cs="Arial"/>
                <w:color w:val="002060"/>
                <w:sz w:val="16"/>
                <w:szCs w:val="16"/>
                <w:lang w:val="ru-RU"/>
              </w:rPr>
              <w:t xml:space="preserve"> </w:t>
            </w:r>
            <w:r w:rsidRPr="00B53CB4">
              <w:rPr>
                <w:rFonts w:cs="Arial"/>
                <w:color w:val="002060"/>
                <w:sz w:val="16"/>
                <w:szCs w:val="16"/>
              </w:rPr>
              <w:t>GREEN</w:t>
            </w:r>
            <w:r w:rsidRPr="0055116C">
              <w:rPr>
                <w:rFonts w:cs="Arial"/>
                <w:color w:val="002060"/>
                <w:sz w:val="16"/>
                <w:szCs w:val="16"/>
                <w:lang w:val="ru-RU"/>
              </w:rPr>
              <w:t xml:space="preserve"> заключила: </w:t>
            </w:r>
          </w:p>
          <w:p w:rsidR="0055116C" w:rsidRPr="0055116C" w:rsidRDefault="0055116C" w:rsidP="0055116C">
            <w:pPr>
              <w:rPr>
                <w:rFonts w:cs="Arial"/>
                <w:color w:val="002060"/>
                <w:sz w:val="16"/>
                <w:szCs w:val="16"/>
                <w:lang w:val="ru-RU"/>
              </w:rPr>
            </w:pPr>
            <w:r w:rsidRPr="0055116C">
              <w:rPr>
                <w:rFonts w:cs="Arial"/>
                <w:color w:val="002060"/>
                <w:sz w:val="16"/>
                <w:szCs w:val="16"/>
                <w:lang w:val="ru-RU"/>
              </w:rPr>
              <w:t xml:space="preserve">два соглашения об интеграции данных с внешними партнерами </w:t>
            </w:r>
          </w:p>
          <w:p w:rsidR="0055116C" w:rsidRPr="0055116C" w:rsidRDefault="0055116C" w:rsidP="0055116C">
            <w:pPr>
              <w:rPr>
                <w:rFonts w:cs="Arial"/>
                <w:i/>
                <w:color w:val="002060"/>
                <w:sz w:val="16"/>
                <w:szCs w:val="16"/>
                <w:lang w:val="ru-RU"/>
              </w:rPr>
            </w:pPr>
            <w:r w:rsidRPr="0055116C">
              <w:rPr>
                <w:rFonts w:cs="Arial"/>
                <w:color w:val="002060"/>
                <w:sz w:val="16"/>
                <w:szCs w:val="16"/>
                <w:lang w:val="ru-RU"/>
              </w:rPr>
              <w:t>(Ассоциацией университетских менеджеров, занимающихся вопросами технологий (</w:t>
            </w:r>
            <w:r w:rsidRPr="00B53CB4">
              <w:rPr>
                <w:rFonts w:cs="Arial"/>
                <w:color w:val="002060"/>
                <w:sz w:val="16"/>
                <w:szCs w:val="16"/>
              </w:rPr>
              <w:t>AUTM</w:t>
            </w:r>
            <w:r w:rsidRPr="0055116C">
              <w:rPr>
                <w:rFonts w:cs="Arial"/>
                <w:color w:val="002060"/>
                <w:sz w:val="16"/>
                <w:szCs w:val="16"/>
                <w:lang w:val="ru-RU"/>
              </w:rPr>
              <w:t>) и Сетью климатических инноваций Восточной Африки (</w:t>
            </w:r>
            <w:r w:rsidRPr="00B53CB4">
              <w:rPr>
                <w:rFonts w:cs="Arial"/>
                <w:color w:val="002060"/>
                <w:sz w:val="16"/>
                <w:szCs w:val="16"/>
              </w:rPr>
              <w:t>EACIN</w:t>
            </w:r>
            <w:r w:rsidRPr="0055116C">
              <w:rPr>
                <w:rFonts w:cs="Arial"/>
                <w:color w:val="002060"/>
                <w:sz w:val="16"/>
                <w:szCs w:val="16"/>
                <w:lang w:val="ru-RU"/>
              </w:rPr>
              <w:t>))</w:t>
            </w:r>
            <w:r w:rsidRPr="0055116C">
              <w:rPr>
                <w:rFonts w:cs="Arial"/>
                <w:color w:val="993300"/>
                <w:sz w:val="16"/>
                <w:szCs w:val="16"/>
                <w:lang w:val="ru-RU"/>
              </w:rPr>
              <w:br/>
            </w:r>
          </w:p>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0 (ноль)</w:t>
            </w:r>
          </w:p>
          <w:p w:rsidR="0055116C" w:rsidRPr="0055116C" w:rsidRDefault="0055116C" w:rsidP="0055116C">
            <w:pPr>
              <w:rPr>
                <w:rFonts w:cs="Arial"/>
                <w:i/>
                <w:color w:val="002060"/>
                <w:sz w:val="16"/>
                <w:szCs w:val="16"/>
                <w:highlight w:val="yellow"/>
                <w:lang w:val="ru-RU"/>
              </w:rPr>
            </w:pPr>
          </w:p>
        </w:tc>
        <w:tc>
          <w:tcPr>
            <w:tcW w:w="717" w:type="pct"/>
            <w:gridSpan w:val="4"/>
            <w:tcBorders>
              <w:top w:val="nil"/>
              <w:bottom w:val="nil"/>
            </w:tcBorders>
            <w:shd w:val="clear" w:color="auto" w:fill="auto"/>
            <w:tcMar>
              <w:top w:w="110" w:type="dxa"/>
            </w:tcMar>
          </w:tcPr>
          <w:p w:rsidR="0055116C" w:rsidRPr="00B53CB4" w:rsidRDefault="0055116C" w:rsidP="0055116C">
            <w:pPr>
              <w:rPr>
                <w:rFonts w:cs="Arial"/>
                <w:sz w:val="16"/>
                <w:szCs w:val="16"/>
              </w:rPr>
            </w:pPr>
            <w:r w:rsidRPr="00B53CB4">
              <w:rPr>
                <w:rFonts w:cs="Arial"/>
                <w:sz w:val="16"/>
                <w:szCs w:val="16"/>
              </w:rPr>
              <w:t>250</w:t>
            </w:r>
          </w:p>
        </w:tc>
        <w:tc>
          <w:tcPr>
            <w:tcW w:w="1209" w:type="pct"/>
            <w:tcBorders>
              <w:top w:val="nil"/>
              <w:bottom w:val="nil"/>
            </w:tcBorders>
            <w:shd w:val="clear" w:color="auto" w:fill="FFFFFF"/>
            <w:tcMar>
              <w:top w:w="110" w:type="dxa"/>
            </w:tcMar>
          </w:tcPr>
          <w:p w:rsidR="0055116C" w:rsidRPr="00B53CB4" w:rsidRDefault="0055116C" w:rsidP="0055116C">
            <w:pPr>
              <w:rPr>
                <w:rFonts w:cs="Arial"/>
                <w:sz w:val="16"/>
                <w:szCs w:val="16"/>
              </w:rPr>
            </w:pPr>
            <w:r w:rsidRPr="00B53CB4">
              <w:rPr>
                <w:rFonts w:cs="Arial"/>
                <w:sz w:val="16"/>
                <w:szCs w:val="16"/>
              </w:rPr>
              <w:t xml:space="preserve">еще 5 соглашений в 2014–2015 гг.: </w:t>
            </w:r>
          </w:p>
          <w:p w:rsidR="0055116C" w:rsidRPr="0055116C" w:rsidRDefault="0055116C" w:rsidP="0055116C">
            <w:pPr>
              <w:pStyle w:val="ListParagraph"/>
              <w:numPr>
                <w:ilvl w:val="0"/>
                <w:numId w:val="70"/>
              </w:numPr>
              <w:rPr>
                <w:rFonts w:cs="Arial"/>
                <w:sz w:val="16"/>
                <w:szCs w:val="16"/>
                <w:lang w:val="ru-RU"/>
              </w:rPr>
            </w:pPr>
            <w:r w:rsidRPr="0055116C">
              <w:rPr>
                <w:rFonts w:cs="Arial"/>
                <w:sz w:val="16"/>
                <w:szCs w:val="16"/>
                <w:lang w:val="ru-RU"/>
              </w:rPr>
              <w:t>Датское ведомство по патентам и товарным знакам (</w:t>
            </w:r>
            <w:r w:rsidRPr="00B53CB4">
              <w:rPr>
                <w:rFonts w:cs="Arial"/>
                <w:sz w:val="16"/>
                <w:szCs w:val="16"/>
              </w:rPr>
              <w:t>DKPTO</w:t>
            </w:r>
            <w:r w:rsidRPr="0055116C">
              <w:rPr>
                <w:rFonts w:cs="Arial"/>
                <w:sz w:val="16"/>
                <w:szCs w:val="16"/>
                <w:lang w:val="ru-RU"/>
              </w:rPr>
              <w:t>)</w:t>
            </w:r>
          </w:p>
          <w:p w:rsidR="0055116C" w:rsidRPr="00B53CB4" w:rsidRDefault="0055116C" w:rsidP="0055116C">
            <w:pPr>
              <w:pStyle w:val="ListParagraph"/>
              <w:numPr>
                <w:ilvl w:val="0"/>
                <w:numId w:val="70"/>
              </w:numPr>
              <w:rPr>
                <w:rFonts w:cs="Arial"/>
                <w:sz w:val="16"/>
                <w:szCs w:val="16"/>
              </w:rPr>
            </w:pPr>
            <w:r w:rsidRPr="00B53CB4">
              <w:rPr>
                <w:rFonts w:cs="Arial"/>
                <w:sz w:val="16"/>
                <w:szCs w:val="16"/>
              </w:rPr>
              <w:t>KOTEC</w:t>
            </w:r>
          </w:p>
          <w:p w:rsidR="0055116C" w:rsidRPr="00B53CB4" w:rsidRDefault="0055116C" w:rsidP="0055116C">
            <w:pPr>
              <w:pStyle w:val="ListParagraph"/>
              <w:numPr>
                <w:ilvl w:val="0"/>
                <w:numId w:val="70"/>
              </w:numPr>
              <w:rPr>
                <w:rFonts w:cs="Arial"/>
                <w:sz w:val="16"/>
                <w:szCs w:val="16"/>
              </w:rPr>
            </w:pPr>
            <w:r w:rsidRPr="00B53CB4">
              <w:rPr>
                <w:rFonts w:cs="Arial"/>
                <w:sz w:val="16"/>
                <w:szCs w:val="16"/>
              </w:rPr>
              <w:t xml:space="preserve">Технологический альянс </w:t>
            </w:r>
          </w:p>
          <w:p w:rsidR="0055116C" w:rsidRPr="0055116C" w:rsidRDefault="0055116C" w:rsidP="0055116C">
            <w:pPr>
              <w:pStyle w:val="ListParagraph"/>
              <w:numPr>
                <w:ilvl w:val="0"/>
                <w:numId w:val="70"/>
              </w:numPr>
              <w:rPr>
                <w:rFonts w:cs="Arial"/>
                <w:sz w:val="16"/>
                <w:szCs w:val="16"/>
                <w:lang w:val="ru-RU"/>
              </w:rPr>
            </w:pPr>
            <w:r w:rsidRPr="0055116C">
              <w:rPr>
                <w:rFonts w:cs="Arial"/>
                <w:sz w:val="16"/>
                <w:szCs w:val="16"/>
                <w:lang w:val="ru-RU"/>
              </w:rPr>
              <w:t xml:space="preserve">Бюро Организации Объединенных Наций по сотрудничеству Юг-Юг (ЮНОССК) </w:t>
            </w:r>
          </w:p>
          <w:p w:rsidR="0055116C" w:rsidRPr="00B53CB4" w:rsidRDefault="0055116C" w:rsidP="0055116C">
            <w:pPr>
              <w:pStyle w:val="ListParagraph"/>
              <w:numPr>
                <w:ilvl w:val="0"/>
                <w:numId w:val="70"/>
              </w:numPr>
              <w:rPr>
                <w:rFonts w:cs="Arial"/>
                <w:sz w:val="16"/>
                <w:szCs w:val="16"/>
              </w:rPr>
            </w:pPr>
            <w:r w:rsidRPr="00B53CB4">
              <w:rPr>
                <w:rFonts w:cs="Arial"/>
                <w:sz w:val="16"/>
                <w:szCs w:val="16"/>
              </w:rPr>
              <w:t>Министерство экономики (Израиль)</w:t>
            </w:r>
          </w:p>
          <w:p w:rsidR="0055116C" w:rsidRPr="00B53CB4" w:rsidRDefault="0055116C" w:rsidP="0055116C">
            <w:pPr>
              <w:rPr>
                <w:rFonts w:cs="Arial"/>
                <w:sz w:val="16"/>
                <w:szCs w:val="16"/>
                <w:highlight w:val="yellow"/>
              </w:rPr>
            </w:pPr>
            <w:r w:rsidRPr="00B53CB4">
              <w:rPr>
                <w:rFonts w:cs="Arial"/>
                <w:sz w:val="16"/>
                <w:szCs w:val="16"/>
              </w:rPr>
              <w:t>(всего 7)</w:t>
            </w:r>
          </w:p>
        </w:tc>
        <w:tc>
          <w:tcPr>
            <w:tcW w:w="629" w:type="pct"/>
            <w:gridSpan w:val="2"/>
            <w:tcBorders>
              <w:top w:val="nil"/>
              <w:bottom w:val="nil"/>
              <w:right w:val="single" w:sz="4" w:space="0" w:color="auto"/>
            </w:tcBorders>
            <w:shd w:val="clear" w:color="auto" w:fill="auto"/>
            <w:tcMar>
              <w:top w:w="110" w:type="dxa"/>
            </w:tcMar>
          </w:tcPr>
          <w:p w:rsidR="0055116C" w:rsidRPr="00B53CB4" w:rsidRDefault="0055116C" w:rsidP="0055116C">
            <w:pPr>
              <w:keepNext/>
              <w:keepLines/>
              <w:jc w:val="center"/>
              <w:rPr>
                <w:rFonts w:cs="Arial"/>
                <w:b/>
                <w:bCs/>
                <w:color w:val="FF0000"/>
                <w:sz w:val="16"/>
                <w:szCs w:val="16"/>
              </w:rPr>
            </w:pPr>
            <w:r w:rsidRPr="00B53CB4">
              <w:rPr>
                <w:rFonts w:cs="Arial"/>
                <w:b/>
                <w:color w:val="FF0000"/>
                <w:sz w:val="16"/>
                <w:szCs w:val="16"/>
              </w:rPr>
              <w:t>Не выполнено</w:t>
            </w:r>
          </w:p>
        </w:tc>
      </w:tr>
      <w:tr w:rsidR="0055116C" w:rsidRPr="00B53CB4" w:rsidTr="0055116C">
        <w:trPr>
          <w:cantSplit/>
          <w:trHeight w:val="2060"/>
        </w:trPr>
        <w:tc>
          <w:tcPr>
            <w:tcW w:w="1164" w:type="pct"/>
            <w:gridSpan w:val="3"/>
            <w:tcBorders>
              <w:top w:val="nil"/>
              <w:left w:val="single" w:sz="4" w:space="0" w:color="auto"/>
              <w:bottom w:val="single" w:sz="4" w:space="0" w:color="auto"/>
            </w:tcBorders>
            <w:shd w:val="clear" w:color="auto" w:fill="auto"/>
          </w:tcPr>
          <w:p w:rsidR="0055116C" w:rsidRPr="0055116C" w:rsidRDefault="0055116C" w:rsidP="0055116C">
            <w:pPr>
              <w:rPr>
                <w:rFonts w:cs="Arial"/>
                <w:sz w:val="16"/>
                <w:szCs w:val="16"/>
                <w:lang w:val="ru-RU"/>
              </w:rPr>
            </w:pPr>
            <w:r w:rsidRPr="0055116C">
              <w:rPr>
                <w:rFonts w:cs="Arial"/>
                <w:sz w:val="16"/>
                <w:szCs w:val="16"/>
                <w:lang w:val="ru-RU"/>
              </w:rPr>
              <w:t>Число посетителей сайта, посвященного глобальным вопросам</w:t>
            </w:r>
          </w:p>
          <w:p w:rsidR="0055116C" w:rsidRPr="0055116C" w:rsidRDefault="0055116C" w:rsidP="0055116C">
            <w:pPr>
              <w:rPr>
                <w:rFonts w:cs="Arial"/>
                <w:sz w:val="16"/>
                <w:szCs w:val="16"/>
                <w:lang w:val="ru-RU"/>
              </w:rPr>
            </w:pPr>
          </w:p>
        </w:tc>
        <w:tc>
          <w:tcPr>
            <w:tcW w:w="1311" w:type="pct"/>
            <w:gridSpan w:val="3"/>
            <w:tcBorders>
              <w:top w:val="nil"/>
              <w:bottom w:val="single" w:sz="4" w:space="0" w:color="auto"/>
            </w:tcBorders>
            <w:shd w:val="clear" w:color="auto" w:fill="auto"/>
          </w:tcPr>
          <w:p w:rsidR="0055116C" w:rsidRPr="0055116C" w:rsidRDefault="0055116C" w:rsidP="0055116C">
            <w:pPr>
              <w:rPr>
                <w:rFonts w:cs="Arial"/>
                <w:i/>
                <w:sz w:val="16"/>
                <w:szCs w:val="16"/>
                <w:lang w:val="ru-RU"/>
              </w:rPr>
            </w:pPr>
            <w:r w:rsidRPr="0055116C">
              <w:rPr>
                <w:rFonts w:cs="Arial"/>
                <w:i/>
                <w:sz w:val="16"/>
                <w:szCs w:val="16"/>
                <w:lang w:val="ru-RU"/>
              </w:rPr>
              <w:t>Обновленные базовые показатели, конец 2013</w:t>
            </w:r>
            <w:r w:rsidRPr="00B53CB4">
              <w:rPr>
                <w:rFonts w:cs="Arial"/>
                <w:i/>
                <w:sz w:val="16"/>
                <w:szCs w:val="16"/>
              </w:rPr>
              <w:t> </w:t>
            </w:r>
            <w:r w:rsidRPr="0055116C">
              <w:rPr>
                <w:rFonts w:cs="Arial"/>
                <w:i/>
                <w:sz w:val="16"/>
                <w:szCs w:val="16"/>
                <w:lang w:val="ru-RU"/>
              </w:rPr>
              <w:t xml:space="preserve">г.: </w:t>
            </w:r>
          </w:p>
          <w:p w:rsidR="0055116C" w:rsidRPr="0055116C" w:rsidRDefault="0055116C" w:rsidP="0055116C">
            <w:pPr>
              <w:rPr>
                <w:rFonts w:cs="Arial"/>
                <w:color w:val="002060"/>
                <w:sz w:val="16"/>
                <w:szCs w:val="16"/>
                <w:lang w:val="ru-RU"/>
              </w:rPr>
            </w:pPr>
            <w:r w:rsidRPr="0055116C">
              <w:rPr>
                <w:rFonts w:cs="Arial"/>
                <w:color w:val="002060"/>
                <w:sz w:val="16"/>
                <w:szCs w:val="16"/>
                <w:lang w:val="ru-RU"/>
              </w:rPr>
              <w:t>6</w:t>
            </w:r>
            <w:r w:rsidRPr="00B53CB4">
              <w:rPr>
                <w:rFonts w:cs="Arial"/>
                <w:color w:val="002060"/>
                <w:sz w:val="16"/>
                <w:szCs w:val="16"/>
              </w:rPr>
              <w:t> </w:t>
            </w:r>
            <w:r w:rsidRPr="0055116C">
              <w:rPr>
                <w:rFonts w:cs="Arial"/>
                <w:color w:val="002060"/>
                <w:sz w:val="16"/>
                <w:szCs w:val="16"/>
                <w:lang w:val="ru-RU"/>
              </w:rPr>
              <w:t>476 просмотров сайта (</w:t>
            </w:r>
            <w:r w:rsidRPr="00B53CB4">
              <w:rPr>
                <w:rFonts w:cs="Arial"/>
                <w:color w:val="002060"/>
                <w:sz w:val="16"/>
                <w:szCs w:val="16"/>
              </w:rPr>
              <w:t>GCD</w:t>
            </w:r>
            <w:r w:rsidRPr="0055116C">
              <w:rPr>
                <w:rFonts w:cs="Arial"/>
                <w:color w:val="002060"/>
                <w:sz w:val="16"/>
                <w:szCs w:val="16"/>
                <w:lang w:val="ru-RU"/>
              </w:rPr>
              <w:t>)</w:t>
            </w:r>
            <w:r w:rsidRPr="0055116C">
              <w:rPr>
                <w:rFonts w:cs="Arial"/>
                <w:color w:val="002060"/>
                <w:sz w:val="16"/>
                <w:szCs w:val="16"/>
                <w:lang w:val="ru-RU"/>
              </w:rPr>
              <w:br/>
            </w:r>
          </w:p>
          <w:p w:rsidR="0055116C" w:rsidRPr="0055116C" w:rsidRDefault="0055116C" w:rsidP="0055116C">
            <w:pPr>
              <w:rPr>
                <w:rFonts w:cs="Arial"/>
                <w:color w:val="002060"/>
                <w:sz w:val="16"/>
                <w:szCs w:val="16"/>
                <w:lang w:val="ru-RU"/>
              </w:rPr>
            </w:pPr>
            <w:r w:rsidRPr="0055116C">
              <w:rPr>
                <w:rFonts w:cs="Arial"/>
                <w:color w:val="002060"/>
                <w:sz w:val="16"/>
                <w:szCs w:val="16"/>
                <w:lang w:val="ru-RU"/>
              </w:rPr>
              <w:t>3</w:t>
            </w:r>
            <w:r w:rsidRPr="00B53CB4">
              <w:rPr>
                <w:rFonts w:cs="Arial"/>
                <w:color w:val="002060"/>
                <w:sz w:val="16"/>
                <w:szCs w:val="16"/>
              </w:rPr>
              <w:t> </w:t>
            </w:r>
            <w:r w:rsidRPr="0055116C">
              <w:rPr>
                <w:rFonts w:cs="Arial"/>
                <w:color w:val="002060"/>
                <w:sz w:val="16"/>
                <w:szCs w:val="16"/>
                <w:lang w:val="ru-RU"/>
              </w:rPr>
              <w:t xml:space="preserve">773 загруженных материала в формате </w:t>
            </w:r>
            <w:r w:rsidRPr="00B53CB4">
              <w:rPr>
                <w:rFonts w:cs="Arial"/>
                <w:color w:val="002060"/>
                <w:sz w:val="16"/>
                <w:szCs w:val="16"/>
              </w:rPr>
              <w:t>pdf</w:t>
            </w:r>
          </w:p>
          <w:p w:rsidR="0055116C" w:rsidRPr="0055116C" w:rsidRDefault="0055116C" w:rsidP="0055116C">
            <w:pPr>
              <w:rPr>
                <w:rFonts w:cs="Arial"/>
                <w:color w:val="002060"/>
                <w:sz w:val="16"/>
                <w:szCs w:val="16"/>
                <w:lang w:val="ru-RU"/>
              </w:rPr>
            </w:pPr>
          </w:p>
          <w:p w:rsidR="0055116C" w:rsidRPr="0055116C" w:rsidRDefault="0055116C" w:rsidP="0055116C">
            <w:pPr>
              <w:rPr>
                <w:rFonts w:cs="Arial"/>
                <w:color w:val="002060"/>
                <w:sz w:val="16"/>
                <w:szCs w:val="16"/>
                <w:lang w:val="ru-RU"/>
              </w:rPr>
            </w:pPr>
            <w:r w:rsidRPr="0055116C">
              <w:rPr>
                <w:rFonts w:cs="Arial"/>
                <w:color w:val="002060"/>
                <w:sz w:val="16"/>
                <w:szCs w:val="16"/>
                <w:lang w:val="ru-RU"/>
              </w:rPr>
              <w:t>73</w:t>
            </w:r>
            <w:r w:rsidRPr="00B53CB4">
              <w:rPr>
                <w:rFonts w:cs="Arial"/>
                <w:color w:val="002060"/>
                <w:sz w:val="16"/>
                <w:szCs w:val="16"/>
              </w:rPr>
              <w:t> </w:t>
            </w:r>
            <w:r w:rsidRPr="0055116C">
              <w:rPr>
                <w:rFonts w:cs="Arial"/>
                <w:color w:val="002060"/>
                <w:sz w:val="16"/>
                <w:szCs w:val="16"/>
                <w:lang w:val="ru-RU"/>
              </w:rPr>
              <w:t xml:space="preserve">648 просмотров сайта </w:t>
            </w:r>
            <w:r w:rsidRPr="00B53CB4">
              <w:rPr>
                <w:rFonts w:cs="Arial"/>
                <w:color w:val="002060"/>
                <w:sz w:val="16"/>
                <w:szCs w:val="16"/>
              </w:rPr>
              <w:t>WIPO</w:t>
            </w:r>
            <w:r w:rsidRPr="0055116C">
              <w:rPr>
                <w:rFonts w:cs="Arial"/>
                <w:color w:val="002060"/>
                <w:sz w:val="16"/>
                <w:szCs w:val="16"/>
                <w:lang w:val="ru-RU"/>
              </w:rPr>
              <w:t xml:space="preserve"> </w:t>
            </w:r>
            <w:r w:rsidRPr="00B53CB4">
              <w:rPr>
                <w:rFonts w:cs="Arial"/>
                <w:color w:val="002060"/>
                <w:sz w:val="16"/>
                <w:szCs w:val="16"/>
              </w:rPr>
              <w:t>GREEN</w:t>
            </w:r>
          </w:p>
          <w:p w:rsidR="0055116C" w:rsidRPr="0055116C" w:rsidRDefault="0055116C" w:rsidP="0055116C">
            <w:pPr>
              <w:rPr>
                <w:rFonts w:cs="Arial"/>
                <w:i/>
                <w:color w:val="002060"/>
                <w:sz w:val="16"/>
                <w:szCs w:val="16"/>
                <w:lang w:val="ru-RU"/>
              </w:rPr>
            </w:pPr>
            <w:r w:rsidRPr="0055116C">
              <w:rPr>
                <w:rFonts w:cs="Arial"/>
                <w:color w:val="002060"/>
                <w:sz w:val="16"/>
                <w:szCs w:val="16"/>
                <w:lang w:val="ru-RU"/>
              </w:rPr>
              <w:t xml:space="preserve">60 712 просмотров сайта </w:t>
            </w:r>
            <w:r w:rsidRPr="00B53CB4">
              <w:rPr>
                <w:rFonts w:cs="Arial"/>
                <w:color w:val="002060"/>
                <w:sz w:val="16"/>
                <w:szCs w:val="16"/>
              </w:rPr>
              <w:t>WIPO</w:t>
            </w:r>
            <w:r w:rsidRPr="0055116C">
              <w:rPr>
                <w:rFonts w:cs="Arial"/>
                <w:color w:val="002060"/>
                <w:sz w:val="16"/>
                <w:szCs w:val="16"/>
                <w:lang w:val="ru-RU"/>
              </w:rPr>
              <w:t xml:space="preserve"> </w:t>
            </w:r>
            <w:r w:rsidRPr="00B53CB4">
              <w:rPr>
                <w:rFonts w:cs="Arial"/>
                <w:color w:val="002060"/>
                <w:sz w:val="16"/>
                <w:szCs w:val="16"/>
              </w:rPr>
              <w:t>Re</w:t>
            </w:r>
            <w:r w:rsidRPr="0055116C">
              <w:rPr>
                <w:rFonts w:cs="Arial"/>
                <w:color w:val="002060"/>
                <w:sz w:val="16"/>
                <w:szCs w:val="16"/>
                <w:lang w:val="ru-RU"/>
              </w:rPr>
              <w:t>:</w:t>
            </w:r>
            <w:r w:rsidRPr="00B53CB4">
              <w:rPr>
                <w:rFonts w:cs="Arial"/>
                <w:color w:val="002060"/>
                <w:sz w:val="16"/>
                <w:szCs w:val="16"/>
              </w:rPr>
              <w:t>Search</w:t>
            </w:r>
          </w:p>
          <w:p w:rsidR="0055116C" w:rsidRPr="0055116C" w:rsidRDefault="0055116C" w:rsidP="0055116C">
            <w:pPr>
              <w:rPr>
                <w:rFonts w:cs="Arial"/>
                <w:i/>
                <w:color w:val="002060"/>
                <w:sz w:val="16"/>
                <w:szCs w:val="16"/>
                <w:lang w:val="ru-RU"/>
              </w:rPr>
            </w:pPr>
          </w:p>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данные отсутствуют</w:t>
            </w:r>
          </w:p>
          <w:p w:rsidR="0055116C" w:rsidRPr="0055116C" w:rsidRDefault="0055116C" w:rsidP="0055116C">
            <w:pPr>
              <w:rPr>
                <w:rFonts w:cs="Arial"/>
                <w:i/>
                <w:color w:val="002060"/>
                <w:sz w:val="16"/>
                <w:szCs w:val="16"/>
                <w:highlight w:val="yellow"/>
                <w:lang w:val="ru-RU"/>
              </w:rPr>
            </w:pPr>
          </w:p>
        </w:tc>
        <w:tc>
          <w:tcPr>
            <w:tcW w:w="688" w:type="pct"/>
            <w:gridSpan w:val="3"/>
            <w:tcBorders>
              <w:top w:val="nil"/>
              <w:bottom w:val="single" w:sz="4" w:space="0" w:color="auto"/>
            </w:tcBorders>
            <w:shd w:val="clear" w:color="auto" w:fill="auto"/>
            <w:tcMar>
              <w:top w:w="110" w:type="dxa"/>
            </w:tcMar>
          </w:tcPr>
          <w:p w:rsidR="0055116C" w:rsidRPr="00B53CB4" w:rsidRDefault="0055116C" w:rsidP="0055116C">
            <w:pPr>
              <w:rPr>
                <w:rFonts w:cs="Arial"/>
                <w:sz w:val="16"/>
                <w:szCs w:val="16"/>
              </w:rPr>
            </w:pPr>
            <w:r w:rsidRPr="00B53CB4">
              <w:rPr>
                <w:rFonts w:cs="Arial"/>
                <w:sz w:val="16"/>
                <w:szCs w:val="16"/>
              </w:rPr>
              <w:t>Увеличение на 50%</w:t>
            </w:r>
          </w:p>
        </w:tc>
        <w:tc>
          <w:tcPr>
            <w:tcW w:w="1209" w:type="pct"/>
            <w:tcBorders>
              <w:top w:val="nil"/>
              <w:bottom w:val="single" w:sz="4" w:space="0" w:color="auto"/>
            </w:tcBorders>
            <w:shd w:val="clear" w:color="auto" w:fill="FFFFFF"/>
            <w:tcMar>
              <w:top w:w="110" w:type="dxa"/>
            </w:tcMar>
          </w:tcPr>
          <w:p w:rsidR="0055116C" w:rsidRPr="00B53CB4" w:rsidRDefault="0055116C" w:rsidP="0055116C">
            <w:pPr>
              <w:pStyle w:val="ListParagraph"/>
              <w:ind w:left="26"/>
              <w:rPr>
                <w:rFonts w:cs="Arial"/>
                <w:i/>
                <w:sz w:val="16"/>
                <w:szCs w:val="16"/>
              </w:rPr>
            </w:pPr>
            <w:r w:rsidRPr="00B53CB4">
              <w:rPr>
                <w:rFonts w:cs="Arial"/>
                <w:i/>
                <w:sz w:val="16"/>
                <w:szCs w:val="16"/>
              </w:rPr>
              <w:t>Число просмотров сайтов:</w:t>
            </w:r>
          </w:p>
          <w:p w:rsidR="0055116C" w:rsidRPr="00B53CB4" w:rsidRDefault="0055116C" w:rsidP="0055116C">
            <w:pPr>
              <w:pStyle w:val="ListParagraph"/>
              <w:numPr>
                <w:ilvl w:val="0"/>
                <w:numId w:val="67"/>
              </w:numPr>
              <w:rPr>
                <w:rFonts w:cs="Arial"/>
                <w:i/>
                <w:sz w:val="16"/>
                <w:szCs w:val="16"/>
              </w:rPr>
            </w:pPr>
            <w:r w:rsidRPr="00B53CB4">
              <w:rPr>
                <w:rFonts w:cs="Arial"/>
                <w:i/>
                <w:sz w:val="16"/>
                <w:szCs w:val="16"/>
              </w:rPr>
              <w:t>GCD: 2 693</w:t>
            </w:r>
          </w:p>
          <w:p w:rsidR="0055116C" w:rsidRPr="00B53CB4" w:rsidRDefault="0055116C" w:rsidP="0055116C">
            <w:pPr>
              <w:pStyle w:val="ListParagraph"/>
              <w:ind w:left="360"/>
              <w:rPr>
                <w:rFonts w:cs="Arial"/>
                <w:i/>
                <w:sz w:val="16"/>
                <w:szCs w:val="16"/>
              </w:rPr>
            </w:pPr>
          </w:p>
          <w:p w:rsidR="0055116C" w:rsidRPr="0055116C" w:rsidRDefault="0055116C" w:rsidP="0055116C">
            <w:pPr>
              <w:pStyle w:val="ListParagraph"/>
              <w:numPr>
                <w:ilvl w:val="0"/>
                <w:numId w:val="67"/>
              </w:numPr>
              <w:rPr>
                <w:rFonts w:cs="Arial"/>
                <w:i/>
                <w:sz w:val="16"/>
                <w:szCs w:val="16"/>
                <w:lang w:val="ru-RU"/>
              </w:rPr>
            </w:pPr>
            <w:r w:rsidRPr="0055116C">
              <w:rPr>
                <w:rFonts w:cs="Arial"/>
                <w:i/>
                <w:sz w:val="16"/>
                <w:szCs w:val="16"/>
                <w:lang w:val="ru-RU"/>
              </w:rPr>
              <w:t xml:space="preserve">Загруженные материалы в формате </w:t>
            </w:r>
            <w:r w:rsidRPr="00B53CB4">
              <w:rPr>
                <w:rFonts w:cs="Arial"/>
                <w:i/>
                <w:sz w:val="16"/>
                <w:szCs w:val="16"/>
              </w:rPr>
              <w:t>pdf</w:t>
            </w:r>
            <w:r w:rsidRPr="0055116C">
              <w:rPr>
                <w:rFonts w:cs="Arial"/>
                <w:i/>
                <w:sz w:val="16"/>
                <w:szCs w:val="16"/>
                <w:lang w:val="ru-RU"/>
              </w:rPr>
              <w:t>: 45</w:t>
            </w:r>
            <w:r w:rsidRPr="00B53CB4">
              <w:rPr>
                <w:rFonts w:cs="Arial"/>
                <w:i/>
                <w:sz w:val="16"/>
                <w:szCs w:val="16"/>
              </w:rPr>
              <w:t> </w:t>
            </w:r>
            <w:r w:rsidRPr="0055116C">
              <w:rPr>
                <w:rFonts w:cs="Arial"/>
                <w:i/>
                <w:sz w:val="16"/>
                <w:szCs w:val="16"/>
                <w:lang w:val="ru-RU"/>
              </w:rPr>
              <w:t>253</w:t>
            </w:r>
          </w:p>
          <w:p w:rsidR="0055116C" w:rsidRPr="00B53CB4" w:rsidRDefault="0055116C" w:rsidP="0055116C">
            <w:pPr>
              <w:pStyle w:val="ListParagraph"/>
              <w:numPr>
                <w:ilvl w:val="0"/>
                <w:numId w:val="67"/>
              </w:numPr>
              <w:rPr>
                <w:rFonts w:cs="Arial"/>
                <w:i/>
                <w:sz w:val="16"/>
                <w:szCs w:val="16"/>
              </w:rPr>
            </w:pPr>
            <w:r w:rsidRPr="00B53CB4">
              <w:rPr>
                <w:rFonts w:cs="Arial"/>
                <w:i/>
                <w:sz w:val="16"/>
                <w:szCs w:val="16"/>
              </w:rPr>
              <w:t>WIPO GREEN: 207 716</w:t>
            </w:r>
          </w:p>
          <w:p w:rsidR="0055116C" w:rsidRPr="00B53CB4" w:rsidRDefault="0055116C" w:rsidP="0055116C">
            <w:pPr>
              <w:pStyle w:val="ListParagraph"/>
              <w:numPr>
                <w:ilvl w:val="0"/>
                <w:numId w:val="67"/>
              </w:numPr>
              <w:rPr>
                <w:rFonts w:cs="Arial"/>
                <w:i/>
                <w:sz w:val="16"/>
                <w:szCs w:val="16"/>
              </w:rPr>
            </w:pPr>
            <w:r w:rsidRPr="00B53CB4">
              <w:rPr>
                <w:rFonts w:cs="Arial"/>
                <w:i/>
                <w:sz w:val="16"/>
                <w:szCs w:val="16"/>
              </w:rPr>
              <w:t>WIPO Re:Search: 62 118</w:t>
            </w:r>
          </w:p>
          <w:p w:rsidR="0055116C" w:rsidRPr="0055116C" w:rsidRDefault="0055116C" w:rsidP="0055116C">
            <w:pPr>
              <w:pStyle w:val="ListParagraph"/>
              <w:numPr>
                <w:ilvl w:val="0"/>
                <w:numId w:val="67"/>
              </w:numPr>
              <w:rPr>
                <w:rFonts w:cs="Arial"/>
                <w:i/>
                <w:sz w:val="16"/>
                <w:szCs w:val="16"/>
                <w:lang w:val="ru-RU"/>
              </w:rPr>
            </w:pPr>
            <w:r w:rsidRPr="0055116C">
              <w:rPr>
                <w:rFonts w:cs="Arial"/>
                <w:i/>
                <w:sz w:val="16"/>
                <w:szCs w:val="16"/>
                <w:lang w:val="ru-RU"/>
              </w:rPr>
              <w:t>Глобальное здравоохранение и ИС: 31</w:t>
            </w:r>
            <w:r w:rsidRPr="00B53CB4">
              <w:rPr>
                <w:rFonts w:cs="Arial"/>
                <w:i/>
                <w:sz w:val="16"/>
                <w:szCs w:val="16"/>
              </w:rPr>
              <w:t> </w:t>
            </w:r>
            <w:r w:rsidRPr="0055116C">
              <w:rPr>
                <w:rFonts w:cs="Arial"/>
                <w:i/>
                <w:sz w:val="16"/>
                <w:szCs w:val="16"/>
                <w:lang w:val="ru-RU"/>
              </w:rPr>
              <w:t>800</w:t>
            </w:r>
            <w:r w:rsidRPr="0055116C">
              <w:rPr>
                <w:rFonts w:cs="Arial"/>
                <w:i/>
                <w:sz w:val="16"/>
                <w:szCs w:val="16"/>
                <w:lang w:val="ru-RU"/>
              </w:rPr>
              <w:br/>
              <w:t>Изменение климата и ИС: 4</w:t>
            </w:r>
            <w:r w:rsidRPr="00B53CB4">
              <w:rPr>
                <w:rFonts w:cs="Arial"/>
                <w:i/>
                <w:sz w:val="16"/>
                <w:szCs w:val="16"/>
              </w:rPr>
              <w:t> </w:t>
            </w:r>
            <w:r w:rsidRPr="0055116C">
              <w:rPr>
                <w:rFonts w:cs="Arial"/>
                <w:i/>
                <w:sz w:val="16"/>
                <w:szCs w:val="16"/>
                <w:lang w:val="ru-RU"/>
              </w:rPr>
              <w:t>952</w:t>
            </w:r>
          </w:p>
          <w:p w:rsidR="0055116C" w:rsidRPr="0055116C" w:rsidRDefault="0055116C" w:rsidP="0055116C">
            <w:pPr>
              <w:pStyle w:val="ListParagraph"/>
              <w:ind w:left="360"/>
              <w:rPr>
                <w:rFonts w:cs="Arial"/>
                <w:i/>
                <w:sz w:val="16"/>
                <w:szCs w:val="16"/>
                <w:lang w:val="ru-RU"/>
              </w:rPr>
            </w:pPr>
          </w:p>
        </w:tc>
        <w:tc>
          <w:tcPr>
            <w:tcW w:w="629" w:type="pct"/>
            <w:gridSpan w:val="2"/>
            <w:tcBorders>
              <w:top w:val="nil"/>
              <w:bottom w:val="single" w:sz="4" w:space="0" w:color="auto"/>
              <w:right w:val="single" w:sz="4" w:space="0" w:color="auto"/>
            </w:tcBorders>
            <w:shd w:val="clear" w:color="auto" w:fill="auto"/>
            <w:tcMar>
              <w:top w:w="110" w:type="dxa"/>
            </w:tcMar>
          </w:tcPr>
          <w:p w:rsidR="0055116C" w:rsidRPr="0055116C" w:rsidRDefault="0055116C" w:rsidP="0055116C">
            <w:pPr>
              <w:keepNext/>
              <w:keepLines/>
              <w:jc w:val="center"/>
              <w:rPr>
                <w:rFonts w:cs="Arial"/>
                <w:color w:val="00B050"/>
                <w:sz w:val="16"/>
                <w:szCs w:val="16"/>
                <w:lang w:val="ru-RU"/>
              </w:rPr>
            </w:pPr>
          </w:p>
          <w:p w:rsidR="0055116C" w:rsidRPr="0055116C" w:rsidRDefault="0055116C" w:rsidP="0055116C">
            <w:pPr>
              <w:keepNext/>
              <w:keepLines/>
              <w:jc w:val="center"/>
              <w:rPr>
                <w:rFonts w:cs="Arial"/>
                <w:color w:val="00B050"/>
                <w:sz w:val="16"/>
                <w:szCs w:val="16"/>
                <w:lang w:val="ru-RU"/>
              </w:rPr>
            </w:pPr>
          </w:p>
          <w:p w:rsidR="0055116C" w:rsidRPr="00B53CB4" w:rsidRDefault="0055116C" w:rsidP="0055116C">
            <w:pPr>
              <w:keepNext/>
              <w:keepLines/>
              <w:jc w:val="center"/>
              <w:rPr>
                <w:rFonts w:cs="Arial"/>
                <w:b/>
                <w:bCs/>
                <w:color w:val="FF0000"/>
                <w:sz w:val="16"/>
                <w:szCs w:val="16"/>
              </w:rPr>
            </w:pPr>
            <w:r w:rsidRPr="00B53CB4">
              <w:rPr>
                <w:rFonts w:cs="Arial"/>
                <w:b/>
                <w:color w:val="FF0000"/>
                <w:sz w:val="16"/>
                <w:szCs w:val="16"/>
              </w:rPr>
              <w:t>Не выполнено</w:t>
            </w:r>
          </w:p>
          <w:p w:rsidR="0055116C" w:rsidRPr="00B53CB4" w:rsidRDefault="0055116C" w:rsidP="0055116C">
            <w:pPr>
              <w:keepNext/>
              <w:keepLines/>
              <w:jc w:val="center"/>
              <w:rPr>
                <w:rFonts w:cs="Arial"/>
                <w:b/>
                <w:bCs/>
                <w:color w:val="808080"/>
                <w:sz w:val="16"/>
                <w:szCs w:val="16"/>
              </w:rPr>
            </w:pPr>
            <w:r w:rsidRPr="00B53CB4">
              <w:rPr>
                <w:rFonts w:cs="Arial"/>
                <w:b/>
                <w:color w:val="00B050"/>
                <w:sz w:val="16"/>
                <w:szCs w:val="16"/>
              </w:rPr>
              <w:t>ВыполненоВыполнено</w:t>
            </w:r>
            <w:r w:rsidRPr="00B53CB4">
              <w:rPr>
                <w:rFonts w:cs="Arial"/>
                <w:b/>
                <w:color w:val="FF0000"/>
                <w:sz w:val="16"/>
                <w:szCs w:val="16"/>
              </w:rPr>
              <w:t>Не выполнено</w:t>
            </w:r>
            <w:r w:rsidRPr="00B53CB4">
              <w:rPr>
                <w:rFonts w:cs="Arial"/>
                <w:b/>
                <w:color w:val="808080"/>
                <w:sz w:val="16"/>
                <w:szCs w:val="16"/>
                <w:highlight w:val="yellow"/>
              </w:rPr>
              <w:t xml:space="preserve"> </w:t>
            </w:r>
          </w:p>
          <w:p w:rsidR="0055116C" w:rsidRPr="00B53CB4" w:rsidRDefault="0055116C" w:rsidP="0055116C">
            <w:pPr>
              <w:keepNext/>
              <w:keepLines/>
              <w:jc w:val="center"/>
              <w:rPr>
                <w:rFonts w:cs="Arial"/>
                <w:b/>
                <w:bCs/>
                <w:color w:val="FF0000"/>
                <w:sz w:val="16"/>
                <w:szCs w:val="16"/>
              </w:rPr>
            </w:pPr>
          </w:p>
        </w:tc>
      </w:tr>
      <w:tr w:rsidR="0055116C" w:rsidRPr="005C6ABD" w:rsidTr="0055116C">
        <w:trPr>
          <w:cantSplit/>
          <w:trHeight w:val="521"/>
        </w:trPr>
        <w:tc>
          <w:tcPr>
            <w:tcW w:w="5000" w:type="pct"/>
            <w:gridSpan w:val="12"/>
            <w:tcBorders>
              <w:top w:val="single" w:sz="4" w:space="0" w:color="auto"/>
              <w:bottom w:val="single" w:sz="4" w:space="0" w:color="auto"/>
            </w:tcBorders>
            <w:shd w:val="clear" w:color="auto" w:fill="C6D9F1" w:themeFill="text2" w:themeFillTint="33"/>
            <w:vAlign w:val="center"/>
          </w:tcPr>
          <w:p w:rsidR="0055116C" w:rsidRPr="0055116C" w:rsidRDefault="0055116C" w:rsidP="00FA0032">
            <w:pPr>
              <w:keepNext/>
              <w:keepLines/>
              <w:tabs>
                <w:tab w:val="left" w:pos="2160"/>
              </w:tabs>
              <w:ind w:left="2160" w:hanging="2160"/>
              <w:rPr>
                <w:rFonts w:cs="Arial"/>
                <w:b/>
                <w:bCs/>
                <w:sz w:val="16"/>
                <w:szCs w:val="16"/>
                <w:lang w:val="ru-RU"/>
              </w:rPr>
            </w:pPr>
            <w:r w:rsidRPr="0055116C">
              <w:rPr>
                <w:rFonts w:cs="Arial"/>
                <w:b/>
                <w:sz w:val="16"/>
                <w:szCs w:val="16"/>
                <w:lang w:val="ru-RU"/>
              </w:rPr>
              <w:t xml:space="preserve">Ожидаемый результат: </w:t>
            </w:r>
            <w:r w:rsidRPr="0055116C">
              <w:rPr>
                <w:rFonts w:cs="Arial"/>
                <w:sz w:val="16"/>
                <w:szCs w:val="16"/>
                <w:lang w:val="ru-RU"/>
              </w:rPr>
              <w:tab/>
            </w:r>
            <w:r w:rsidRPr="00B53CB4">
              <w:rPr>
                <w:rFonts w:cs="Arial"/>
                <w:sz w:val="16"/>
                <w:szCs w:val="16"/>
              </w:rPr>
              <w:t>VII</w:t>
            </w:r>
            <w:r w:rsidRPr="0055116C">
              <w:rPr>
                <w:rFonts w:cs="Arial"/>
                <w:sz w:val="16"/>
                <w:szCs w:val="16"/>
                <w:lang w:val="ru-RU"/>
              </w:rPr>
              <w:t>.3. Растущий авторитет ВОИС в качестве форума для а</w:t>
            </w:r>
            <w:r w:rsidR="00FA0032">
              <w:rPr>
                <w:rFonts w:cs="Arial"/>
                <w:sz w:val="16"/>
                <w:szCs w:val="16"/>
                <w:lang w:val="ru-RU"/>
              </w:rPr>
              <w:t xml:space="preserve">нализа вопросов в области ИС и </w:t>
            </w:r>
            <w:r w:rsidRPr="0055116C">
              <w:rPr>
                <w:rFonts w:cs="Arial"/>
                <w:sz w:val="16"/>
                <w:szCs w:val="16"/>
                <w:lang w:val="ru-RU"/>
              </w:rPr>
              <w:t>конкурентной политики</w:t>
            </w:r>
          </w:p>
        </w:tc>
      </w:tr>
      <w:tr w:rsidR="0055116C" w:rsidRPr="00B53CB4" w:rsidTr="0055116C">
        <w:trPr>
          <w:cantSplit/>
        </w:trPr>
        <w:tc>
          <w:tcPr>
            <w:tcW w:w="1093" w:type="pct"/>
            <w:gridSpan w:val="2"/>
            <w:tcBorders>
              <w:top w:val="single" w:sz="4" w:space="0" w:color="auto"/>
            </w:tcBorders>
            <w:shd w:val="clear" w:color="auto" w:fill="auto"/>
            <w:vAlign w:val="center"/>
          </w:tcPr>
          <w:p w:rsidR="0055116C" w:rsidRPr="00B53CB4" w:rsidRDefault="0055116C" w:rsidP="0055116C">
            <w:pPr>
              <w:rPr>
                <w:rFonts w:cs="Arial"/>
                <w:sz w:val="16"/>
                <w:szCs w:val="16"/>
              </w:rPr>
            </w:pPr>
            <w:r w:rsidRPr="00B53CB4">
              <w:rPr>
                <w:rFonts w:cs="Arial"/>
                <w:b/>
                <w:sz w:val="16"/>
                <w:szCs w:val="16"/>
              </w:rPr>
              <w:t>Показатели результативности</w:t>
            </w:r>
          </w:p>
        </w:tc>
        <w:tc>
          <w:tcPr>
            <w:tcW w:w="1387" w:type="pct"/>
            <w:gridSpan w:val="5"/>
            <w:tcBorders>
              <w:top w:val="single" w:sz="4" w:space="0" w:color="auto"/>
            </w:tcBorders>
            <w:shd w:val="clear" w:color="auto" w:fill="auto"/>
            <w:vAlign w:val="center"/>
          </w:tcPr>
          <w:p w:rsidR="0055116C" w:rsidRPr="00B53CB4" w:rsidRDefault="0055116C" w:rsidP="0055116C">
            <w:pPr>
              <w:rPr>
                <w:rFonts w:cs="Arial"/>
                <w:b/>
                <w:bCs/>
                <w:sz w:val="16"/>
                <w:szCs w:val="16"/>
              </w:rPr>
            </w:pPr>
            <w:r w:rsidRPr="00B53CB4">
              <w:rPr>
                <w:rFonts w:cs="Arial"/>
                <w:b/>
                <w:sz w:val="16"/>
                <w:szCs w:val="16"/>
              </w:rPr>
              <w:t>Базовые показатели</w:t>
            </w:r>
          </w:p>
        </w:tc>
        <w:tc>
          <w:tcPr>
            <w:tcW w:w="655" w:type="pct"/>
            <w:tcBorders>
              <w:top w:val="single" w:sz="4" w:space="0" w:color="auto"/>
            </w:tcBorders>
            <w:shd w:val="clear" w:color="auto" w:fill="auto"/>
            <w:tcMar>
              <w:top w:w="110" w:type="dxa"/>
            </w:tcMar>
            <w:vAlign w:val="center"/>
          </w:tcPr>
          <w:p w:rsidR="0055116C" w:rsidRPr="00B53CB4" w:rsidRDefault="0055116C" w:rsidP="0055116C">
            <w:pPr>
              <w:rPr>
                <w:rFonts w:cs="Arial"/>
                <w:b/>
                <w:sz w:val="16"/>
                <w:szCs w:val="16"/>
              </w:rPr>
            </w:pPr>
            <w:r w:rsidRPr="00B53CB4">
              <w:rPr>
                <w:rFonts w:cs="Arial"/>
                <w:b/>
                <w:sz w:val="16"/>
                <w:szCs w:val="16"/>
              </w:rPr>
              <w:t>Цели</w:t>
            </w:r>
          </w:p>
        </w:tc>
        <w:tc>
          <w:tcPr>
            <w:tcW w:w="1240" w:type="pct"/>
            <w:gridSpan w:val="3"/>
            <w:tcBorders>
              <w:top w:val="single" w:sz="4" w:space="0" w:color="auto"/>
            </w:tcBorders>
            <w:shd w:val="clear" w:color="auto" w:fill="FFFFFF"/>
            <w:tcMar>
              <w:top w:w="110" w:type="dxa"/>
            </w:tcMar>
            <w:vAlign w:val="center"/>
          </w:tcPr>
          <w:p w:rsidR="0055116C" w:rsidRPr="00B53CB4" w:rsidRDefault="0055116C" w:rsidP="0055116C">
            <w:pPr>
              <w:rPr>
                <w:rFonts w:cs="Arial"/>
                <w:sz w:val="16"/>
                <w:szCs w:val="16"/>
              </w:rPr>
            </w:pPr>
            <w:r w:rsidRPr="00B53CB4">
              <w:rPr>
                <w:rFonts w:cs="Arial"/>
                <w:b/>
                <w:sz w:val="16"/>
                <w:szCs w:val="16"/>
              </w:rPr>
              <w:t>Данные о результативности</w:t>
            </w:r>
          </w:p>
        </w:tc>
        <w:tc>
          <w:tcPr>
            <w:tcW w:w="625" w:type="pct"/>
            <w:tcBorders>
              <w:top w:val="single" w:sz="4" w:space="0" w:color="auto"/>
            </w:tcBorders>
            <w:shd w:val="clear" w:color="auto" w:fill="auto"/>
            <w:tcMar>
              <w:top w:w="110" w:type="dxa"/>
            </w:tcMar>
            <w:vAlign w:val="center"/>
          </w:tcPr>
          <w:p w:rsidR="0055116C" w:rsidRPr="00B53CB4" w:rsidRDefault="0055116C" w:rsidP="0055116C">
            <w:pPr>
              <w:keepNext/>
              <w:keepLines/>
              <w:jc w:val="center"/>
              <w:rPr>
                <w:rFonts w:cs="Arial"/>
                <w:b/>
                <w:bCs/>
                <w:sz w:val="16"/>
                <w:szCs w:val="16"/>
              </w:rPr>
            </w:pPr>
            <w:r w:rsidRPr="00B53CB4">
              <w:rPr>
                <w:rFonts w:cs="Arial"/>
                <w:b/>
                <w:sz w:val="16"/>
                <w:szCs w:val="16"/>
              </w:rPr>
              <w:t>CC</w:t>
            </w:r>
          </w:p>
        </w:tc>
      </w:tr>
      <w:tr w:rsidR="0055116C" w:rsidRPr="00B53CB4" w:rsidTr="0055116C">
        <w:trPr>
          <w:cantSplit/>
        </w:trPr>
        <w:tc>
          <w:tcPr>
            <w:tcW w:w="1093" w:type="pct"/>
            <w:gridSpan w:val="2"/>
            <w:shd w:val="clear" w:color="auto" w:fill="auto"/>
          </w:tcPr>
          <w:p w:rsidR="0055116C" w:rsidRPr="0055116C" w:rsidRDefault="0055116C" w:rsidP="0055116C">
            <w:pPr>
              <w:rPr>
                <w:rFonts w:cs="Arial"/>
                <w:sz w:val="16"/>
                <w:szCs w:val="16"/>
                <w:lang w:val="ru-RU"/>
              </w:rPr>
            </w:pPr>
            <w:r w:rsidRPr="0055116C">
              <w:rPr>
                <w:rFonts w:cs="Arial"/>
                <w:sz w:val="16"/>
                <w:szCs w:val="16"/>
                <w:lang w:val="ru-RU"/>
              </w:rPr>
              <w:t>Число стран, обратившихся к ВОИС за конкретной информацией по ИС в связи с вопросами конкурентного права</w:t>
            </w:r>
          </w:p>
        </w:tc>
        <w:tc>
          <w:tcPr>
            <w:tcW w:w="1387" w:type="pct"/>
            <w:gridSpan w:val="5"/>
            <w:shd w:val="clear" w:color="auto" w:fill="auto"/>
          </w:tcPr>
          <w:p w:rsidR="0055116C" w:rsidRPr="0055116C" w:rsidRDefault="0055116C" w:rsidP="0055116C">
            <w:pPr>
              <w:rPr>
                <w:rFonts w:cs="Arial"/>
                <w:i/>
                <w:color w:val="002060"/>
                <w:sz w:val="16"/>
                <w:szCs w:val="16"/>
                <w:lang w:val="ru-RU"/>
              </w:rPr>
            </w:pPr>
            <w:r w:rsidRPr="0055116C">
              <w:rPr>
                <w:rFonts w:cs="Arial"/>
                <w:i/>
                <w:color w:val="002060"/>
                <w:sz w:val="16"/>
                <w:szCs w:val="16"/>
                <w:lang w:val="ru-RU"/>
              </w:rPr>
              <w:t>Обновленные базовые показатели, конец 2013</w:t>
            </w:r>
            <w:r w:rsidRPr="00B53CB4">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6</w:t>
            </w:r>
            <w:r>
              <w:rPr>
                <w:rFonts w:cs="Arial"/>
                <w:color w:val="002060"/>
                <w:sz w:val="16"/>
                <w:szCs w:val="16"/>
              </w:rPr>
              <w:t> </w:t>
            </w:r>
            <w:r w:rsidRPr="0055116C">
              <w:rPr>
                <w:rFonts w:cs="Arial"/>
                <w:color w:val="002060"/>
                <w:sz w:val="16"/>
                <w:szCs w:val="16"/>
                <w:lang w:val="ru-RU"/>
              </w:rPr>
              <w:t>просьб о двустороннем обсуждении (Чили, Бразилия, Эквадор, Индия, Доминиканская Республика, Республика Молдова) и 1 просьба о законодательном содействии (Бутан).</w:t>
            </w:r>
          </w:p>
          <w:p w:rsidR="0055116C" w:rsidRPr="0055116C" w:rsidRDefault="0055116C" w:rsidP="0055116C">
            <w:pPr>
              <w:rPr>
                <w:rFonts w:cs="Arial"/>
                <w:i/>
                <w:color w:val="002060"/>
                <w:sz w:val="16"/>
                <w:szCs w:val="16"/>
                <w:lang w:val="ru-RU"/>
              </w:rPr>
            </w:pPr>
            <w:r w:rsidRPr="0055116C">
              <w:rPr>
                <w:rFonts w:cs="Arial"/>
                <w:color w:val="993300"/>
                <w:sz w:val="16"/>
                <w:szCs w:val="16"/>
                <w:lang w:val="ru-RU"/>
              </w:rPr>
              <w:br/>
            </w:r>
          </w:p>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12</w:t>
            </w:r>
          </w:p>
        </w:tc>
        <w:tc>
          <w:tcPr>
            <w:tcW w:w="655" w:type="pct"/>
            <w:shd w:val="clear" w:color="auto" w:fill="auto"/>
            <w:tcMar>
              <w:top w:w="110" w:type="dxa"/>
            </w:tcMar>
          </w:tcPr>
          <w:p w:rsidR="0055116C" w:rsidRPr="00B53CB4" w:rsidRDefault="0055116C" w:rsidP="0055116C">
            <w:pPr>
              <w:rPr>
                <w:rFonts w:cs="Arial"/>
                <w:sz w:val="16"/>
                <w:szCs w:val="16"/>
              </w:rPr>
            </w:pPr>
            <w:r w:rsidRPr="00B53CB4">
              <w:rPr>
                <w:rFonts w:cs="Arial"/>
                <w:sz w:val="16"/>
                <w:szCs w:val="16"/>
              </w:rPr>
              <w:t>15</w:t>
            </w:r>
          </w:p>
        </w:tc>
        <w:tc>
          <w:tcPr>
            <w:tcW w:w="1240" w:type="pct"/>
            <w:gridSpan w:val="3"/>
            <w:shd w:val="clear" w:color="auto" w:fill="FFFFFF"/>
            <w:tcMar>
              <w:top w:w="110" w:type="dxa"/>
            </w:tcMar>
          </w:tcPr>
          <w:p w:rsidR="0055116C" w:rsidRPr="0055116C" w:rsidRDefault="0055116C" w:rsidP="0055116C">
            <w:pPr>
              <w:rPr>
                <w:rFonts w:cs="Arial"/>
                <w:sz w:val="16"/>
                <w:szCs w:val="16"/>
                <w:lang w:val="ru-RU"/>
              </w:rPr>
            </w:pPr>
            <w:r w:rsidRPr="0055116C">
              <w:rPr>
                <w:rFonts w:cs="Arial"/>
                <w:sz w:val="16"/>
                <w:szCs w:val="16"/>
                <w:lang w:val="ru-RU"/>
              </w:rPr>
              <w:t>16 просьб о двустороннем обсуждении/ последующем обсуждении (Бразилия, Колумбия, Куба, Доминиканская Республика, Эквадор, Сальвадор, Гондурас, Индия, Италия, Кувейт, Специальный административный район Макао КНР, Перу, Филиппины, Сингапур, ЮАР, Вьетнам)</w:t>
            </w:r>
          </w:p>
        </w:tc>
        <w:tc>
          <w:tcPr>
            <w:tcW w:w="625" w:type="pct"/>
            <w:shd w:val="clear" w:color="auto" w:fill="auto"/>
            <w:tcMar>
              <w:top w:w="110" w:type="dxa"/>
            </w:tcMar>
          </w:tcPr>
          <w:p w:rsidR="0055116C" w:rsidRPr="00B53CB4" w:rsidRDefault="0055116C" w:rsidP="0055116C">
            <w:pPr>
              <w:keepNext/>
              <w:keepLines/>
              <w:jc w:val="center"/>
              <w:rPr>
                <w:rFonts w:cs="Arial"/>
                <w:b/>
                <w:color w:val="00B050"/>
                <w:sz w:val="16"/>
                <w:szCs w:val="16"/>
              </w:rPr>
            </w:pPr>
            <w:r w:rsidRPr="00B53CB4">
              <w:rPr>
                <w:rFonts w:cs="Arial"/>
                <w:b/>
                <w:color w:val="00B050"/>
                <w:sz w:val="16"/>
                <w:szCs w:val="16"/>
              </w:rPr>
              <w:t>Выполнено</w:t>
            </w:r>
          </w:p>
        </w:tc>
      </w:tr>
      <w:tr w:rsidR="0055116C" w:rsidRPr="00B53CB4" w:rsidTr="0055116C">
        <w:trPr>
          <w:cantSplit/>
        </w:trPr>
        <w:tc>
          <w:tcPr>
            <w:tcW w:w="1093" w:type="pct"/>
            <w:gridSpan w:val="2"/>
            <w:shd w:val="clear" w:color="auto" w:fill="auto"/>
          </w:tcPr>
          <w:p w:rsidR="0055116C" w:rsidRPr="0055116C" w:rsidRDefault="0055116C" w:rsidP="0055116C">
            <w:pPr>
              <w:rPr>
                <w:rFonts w:cs="Arial"/>
                <w:sz w:val="16"/>
                <w:szCs w:val="16"/>
                <w:lang w:val="ru-RU"/>
              </w:rPr>
            </w:pPr>
            <w:r w:rsidRPr="0055116C">
              <w:rPr>
                <w:rFonts w:cs="Arial"/>
                <w:sz w:val="16"/>
                <w:szCs w:val="16"/>
                <w:lang w:val="ru-RU"/>
              </w:rPr>
              <w:t>Число и разнообразие заинтересованных сторон (ведомства ИС, антимонопольные органы, соответствующие МПО и НПО), ведущих диалог с ВОИС</w:t>
            </w:r>
          </w:p>
          <w:p w:rsidR="0055116C" w:rsidRPr="0055116C" w:rsidRDefault="0055116C" w:rsidP="0055116C">
            <w:pPr>
              <w:rPr>
                <w:rFonts w:cs="Arial"/>
                <w:sz w:val="16"/>
                <w:szCs w:val="16"/>
                <w:lang w:val="ru-RU"/>
              </w:rPr>
            </w:pPr>
          </w:p>
        </w:tc>
        <w:tc>
          <w:tcPr>
            <w:tcW w:w="1387" w:type="pct"/>
            <w:gridSpan w:val="5"/>
            <w:shd w:val="clear" w:color="auto" w:fill="auto"/>
          </w:tcPr>
          <w:p w:rsidR="0055116C" w:rsidRPr="0055116C" w:rsidRDefault="0055116C" w:rsidP="0055116C">
            <w:pPr>
              <w:rPr>
                <w:rFonts w:cs="Arial"/>
                <w:color w:val="002060"/>
                <w:sz w:val="16"/>
                <w:szCs w:val="16"/>
                <w:lang w:val="ru-RU"/>
              </w:rPr>
            </w:pPr>
            <w:r w:rsidRPr="0055116C">
              <w:rPr>
                <w:rFonts w:cs="Arial"/>
                <w:i/>
                <w:color w:val="002060"/>
                <w:sz w:val="16"/>
                <w:szCs w:val="16"/>
                <w:lang w:val="ru-RU"/>
              </w:rPr>
              <w:t>Обновленные базовые показатели, конец 2013</w:t>
            </w:r>
            <w:r w:rsidRPr="00B53CB4">
              <w:rPr>
                <w:rFonts w:cs="Arial"/>
                <w:i/>
                <w:color w:val="002060"/>
                <w:sz w:val="16"/>
                <w:szCs w:val="16"/>
              </w:rPr>
              <w:t> </w:t>
            </w:r>
            <w:r w:rsidRPr="0055116C">
              <w:rPr>
                <w:rFonts w:cs="Arial"/>
                <w:i/>
                <w:color w:val="002060"/>
                <w:sz w:val="16"/>
                <w:szCs w:val="16"/>
                <w:lang w:val="ru-RU"/>
              </w:rPr>
              <w:t xml:space="preserve">г.: </w:t>
            </w:r>
            <w:r w:rsidRPr="0055116C">
              <w:rPr>
                <w:rFonts w:cs="Arial"/>
                <w:color w:val="002060"/>
                <w:sz w:val="16"/>
                <w:szCs w:val="16"/>
                <w:lang w:val="ru-RU"/>
              </w:rPr>
              <w:t>19</w:t>
            </w:r>
            <w:r w:rsidRPr="00B53CB4">
              <w:rPr>
                <w:rFonts w:cs="Arial"/>
                <w:color w:val="002060"/>
                <w:sz w:val="16"/>
                <w:szCs w:val="16"/>
              </w:rPr>
              <w:t> </w:t>
            </w:r>
            <w:r w:rsidRPr="0055116C">
              <w:rPr>
                <w:rFonts w:cs="Arial"/>
                <w:color w:val="002060"/>
                <w:sz w:val="16"/>
                <w:szCs w:val="16"/>
                <w:lang w:val="ru-RU"/>
              </w:rPr>
              <w:t>практикумов и встреч с участием представителей 38 антимонопольных органов и 5</w:t>
            </w:r>
            <w:r>
              <w:rPr>
                <w:rFonts w:cs="Arial"/>
                <w:color w:val="002060"/>
                <w:sz w:val="16"/>
                <w:szCs w:val="16"/>
              </w:rPr>
              <w:t> </w:t>
            </w:r>
            <w:r w:rsidRPr="0055116C">
              <w:rPr>
                <w:rFonts w:cs="Arial"/>
                <w:color w:val="002060"/>
                <w:sz w:val="16"/>
                <w:szCs w:val="16"/>
                <w:lang w:val="ru-RU"/>
              </w:rPr>
              <w:t xml:space="preserve">МПО. Создание неофициального механизма координации с ЮНКТАД, ВТО и ОЭСР.  Активное участие в Международной сети по вопросам конкуренции. Сотрудничество с Общим рынком стран востока и юга Африки (КОМЕСА). </w:t>
            </w:r>
          </w:p>
          <w:p w:rsidR="0055116C" w:rsidRPr="0055116C" w:rsidRDefault="0055116C" w:rsidP="0055116C">
            <w:pPr>
              <w:rPr>
                <w:rFonts w:cs="Arial"/>
                <w:i/>
                <w:color w:val="002060"/>
                <w:sz w:val="16"/>
                <w:szCs w:val="16"/>
                <w:lang w:val="ru-RU"/>
              </w:rPr>
            </w:pPr>
          </w:p>
          <w:p w:rsidR="0055116C" w:rsidRPr="0055116C" w:rsidRDefault="0055116C" w:rsidP="0055116C">
            <w:pPr>
              <w:rPr>
                <w:rFonts w:cs="Arial"/>
                <w:sz w:val="16"/>
                <w:szCs w:val="16"/>
                <w:lang w:val="ru-RU"/>
              </w:rPr>
            </w:pPr>
            <w:r w:rsidRPr="0055116C">
              <w:rPr>
                <w:rFonts w:cs="Arial"/>
                <w:i/>
                <w:sz w:val="16"/>
                <w:szCs w:val="16"/>
                <w:lang w:val="ru-RU"/>
              </w:rPr>
              <w:t>Исходные базовые показатели ПиБ на 2014–2015 гг.:</w:t>
            </w:r>
            <w:r w:rsidRPr="0055116C">
              <w:rPr>
                <w:rFonts w:cs="Arial"/>
                <w:sz w:val="16"/>
                <w:szCs w:val="16"/>
                <w:lang w:val="ru-RU"/>
              </w:rPr>
              <w:t xml:space="preserve"> ВОИС привлекла 25 национальных антимонопольных ведомств и 3 МПО </w:t>
            </w:r>
          </w:p>
          <w:p w:rsidR="0055116C" w:rsidRPr="0055116C" w:rsidRDefault="0055116C" w:rsidP="0055116C">
            <w:pPr>
              <w:rPr>
                <w:rFonts w:cs="Arial"/>
                <w:sz w:val="16"/>
                <w:szCs w:val="16"/>
                <w:lang w:val="ru-RU"/>
              </w:rPr>
            </w:pPr>
          </w:p>
        </w:tc>
        <w:tc>
          <w:tcPr>
            <w:tcW w:w="655" w:type="pct"/>
            <w:shd w:val="clear" w:color="auto" w:fill="auto"/>
            <w:tcMar>
              <w:top w:w="110" w:type="dxa"/>
            </w:tcMar>
          </w:tcPr>
          <w:p w:rsidR="0055116C" w:rsidRPr="0055116C" w:rsidRDefault="0055116C" w:rsidP="0055116C">
            <w:pPr>
              <w:autoSpaceDE w:val="0"/>
              <w:autoSpaceDN w:val="0"/>
              <w:adjustRightInd w:val="0"/>
              <w:rPr>
                <w:rFonts w:cs="Arial"/>
                <w:sz w:val="16"/>
                <w:szCs w:val="16"/>
                <w:lang w:val="ru-RU"/>
              </w:rPr>
            </w:pPr>
            <w:r w:rsidRPr="0055116C">
              <w:rPr>
                <w:rFonts w:cs="Arial"/>
                <w:sz w:val="16"/>
                <w:szCs w:val="16"/>
                <w:lang w:val="ru-RU"/>
              </w:rPr>
              <w:t>Рост числа партнеров, участвующих в мероприятиях ВОИС: 35</w:t>
            </w:r>
            <w:r w:rsidRPr="00B53CB4">
              <w:rPr>
                <w:rFonts w:cs="Arial"/>
                <w:sz w:val="16"/>
                <w:szCs w:val="16"/>
              </w:rPr>
              <w:t> </w:t>
            </w:r>
            <w:r w:rsidRPr="0055116C">
              <w:rPr>
                <w:rFonts w:cs="Arial"/>
                <w:sz w:val="16"/>
                <w:szCs w:val="16"/>
                <w:lang w:val="ru-RU"/>
              </w:rPr>
              <w:t>национальных органов и 5</w:t>
            </w:r>
            <w:r w:rsidRPr="00B53CB4">
              <w:rPr>
                <w:rFonts w:cs="Arial"/>
                <w:sz w:val="16"/>
                <w:szCs w:val="16"/>
              </w:rPr>
              <w:t> </w:t>
            </w:r>
            <w:r w:rsidRPr="0055116C">
              <w:rPr>
                <w:rFonts w:cs="Arial"/>
                <w:sz w:val="16"/>
                <w:szCs w:val="16"/>
                <w:lang w:val="ru-RU"/>
              </w:rPr>
              <w:t>МПО/НПО</w:t>
            </w:r>
          </w:p>
        </w:tc>
        <w:tc>
          <w:tcPr>
            <w:tcW w:w="1240" w:type="pct"/>
            <w:gridSpan w:val="3"/>
            <w:shd w:val="clear" w:color="auto" w:fill="FFFFFF"/>
            <w:tcMar>
              <w:top w:w="110" w:type="dxa"/>
            </w:tcMar>
          </w:tcPr>
          <w:p w:rsidR="0055116C" w:rsidRPr="00B53CB4" w:rsidRDefault="0055116C" w:rsidP="0055116C">
            <w:pPr>
              <w:rPr>
                <w:rFonts w:cs="Arial"/>
                <w:sz w:val="16"/>
                <w:szCs w:val="16"/>
              </w:rPr>
            </w:pPr>
            <w:r w:rsidRPr="0055116C">
              <w:rPr>
                <w:rFonts w:cs="Arial"/>
                <w:sz w:val="16"/>
                <w:szCs w:val="16"/>
                <w:lang w:val="ru-RU"/>
              </w:rPr>
              <w:t>Участие еще 39 антимонопольных органов и продолжение сотрудничества с 5</w:t>
            </w:r>
            <w:r>
              <w:rPr>
                <w:rFonts w:cs="Arial"/>
                <w:sz w:val="16"/>
                <w:szCs w:val="16"/>
              </w:rPr>
              <w:t> </w:t>
            </w:r>
            <w:r w:rsidRPr="0055116C">
              <w:rPr>
                <w:rFonts w:cs="Arial"/>
                <w:sz w:val="16"/>
                <w:szCs w:val="16"/>
                <w:lang w:val="ru-RU"/>
              </w:rPr>
              <w:t xml:space="preserve">МПО/НПО (ОЭСР, ЮНКТАД, ВТО, </w:t>
            </w:r>
            <w:r w:rsidRPr="00B53CB4">
              <w:rPr>
                <w:rFonts w:cs="Arial"/>
                <w:sz w:val="16"/>
                <w:szCs w:val="16"/>
              </w:rPr>
              <w:t>ICN</w:t>
            </w:r>
            <w:r w:rsidRPr="0055116C">
              <w:rPr>
                <w:rFonts w:cs="Arial"/>
                <w:sz w:val="16"/>
                <w:szCs w:val="16"/>
                <w:lang w:val="ru-RU"/>
              </w:rPr>
              <w:t xml:space="preserve">, КОМЕСА). Активное участие в работе Международной сети по вопросам конкуренции (включая членство в Рабочей группе по одностороннему поведению).  </w:t>
            </w:r>
            <w:r w:rsidRPr="00B53CB4">
              <w:rPr>
                <w:rFonts w:cs="Arial"/>
                <w:sz w:val="16"/>
                <w:szCs w:val="16"/>
              </w:rPr>
              <w:t>Сотрудничество с ЕС.</w:t>
            </w:r>
          </w:p>
        </w:tc>
        <w:tc>
          <w:tcPr>
            <w:tcW w:w="625" w:type="pct"/>
            <w:shd w:val="clear" w:color="auto" w:fill="auto"/>
            <w:tcMar>
              <w:top w:w="110" w:type="dxa"/>
            </w:tcMar>
          </w:tcPr>
          <w:p w:rsidR="0055116C" w:rsidRPr="00B53CB4" w:rsidRDefault="0055116C" w:rsidP="0055116C">
            <w:pPr>
              <w:keepNext/>
              <w:keepLines/>
              <w:jc w:val="center"/>
              <w:rPr>
                <w:rFonts w:cs="Arial"/>
                <w:b/>
                <w:color w:val="00B050"/>
                <w:sz w:val="16"/>
                <w:szCs w:val="16"/>
              </w:rPr>
            </w:pPr>
            <w:r w:rsidRPr="00B53CB4">
              <w:rPr>
                <w:rFonts w:cs="Arial"/>
                <w:b/>
                <w:color w:val="00B050"/>
                <w:sz w:val="16"/>
                <w:szCs w:val="16"/>
              </w:rPr>
              <w:t>Выполнено</w:t>
            </w:r>
          </w:p>
        </w:tc>
      </w:tr>
    </w:tbl>
    <w:p w:rsidR="0055116C" w:rsidRDefault="0055116C" w:rsidP="0055116C"/>
    <w:p w:rsidR="0055116C" w:rsidRDefault="0055116C" w:rsidP="0055116C"/>
    <w:p w:rsidR="0055116C" w:rsidRPr="0055116C" w:rsidRDefault="0055116C" w:rsidP="0055116C">
      <w:pPr>
        <w:rPr>
          <w:rFonts w:cs="Arial"/>
          <w:szCs w:val="22"/>
          <w:lang w:val="ru-RU"/>
        </w:rPr>
      </w:pPr>
      <w:r w:rsidRPr="0055116C">
        <w:rPr>
          <w:lang w:val="ru-RU"/>
        </w:rPr>
        <w:t>ОТЧЕТ О РИСКАХ В ДВУХЛЕТНИЙ ПЕРИОД</w:t>
      </w:r>
    </w:p>
    <w:p w:rsidR="0055116C" w:rsidRPr="0055116C" w:rsidRDefault="0055116C" w:rsidP="0055116C">
      <w:pPr>
        <w:rPr>
          <w:lang w:val="ru-RU"/>
        </w:rPr>
      </w:pPr>
    </w:p>
    <w:tbl>
      <w:tblPr>
        <w:tblW w:w="9497"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20"/>
        <w:gridCol w:w="2200"/>
        <w:gridCol w:w="2571"/>
        <w:gridCol w:w="2306"/>
      </w:tblGrid>
      <w:tr w:rsidR="0055116C" w:rsidRPr="00D63083" w:rsidTr="0055116C">
        <w:trPr>
          <w:cantSplit/>
          <w:trHeight w:val="458"/>
          <w:tblHeader/>
        </w:trPr>
        <w:tc>
          <w:tcPr>
            <w:tcW w:w="2420"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rPr>
                <w:b/>
                <w:iCs/>
                <w:szCs w:val="18"/>
                <w:lang w:val="ru-RU"/>
              </w:rPr>
            </w:pPr>
            <w:r w:rsidRPr="0055116C">
              <w:rPr>
                <w:b/>
                <w:sz w:val="18"/>
                <w:lang w:val="ru-RU"/>
              </w:rPr>
              <w:t>Риск (риски) того, что результаты программы не будут достигнуты</w:t>
            </w:r>
          </w:p>
        </w:tc>
        <w:tc>
          <w:tcPr>
            <w:tcW w:w="2200"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keepNext/>
              <w:keepLines/>
              <w:jc w:val="center"/>
              <w:rPr>
                <w:b/>
                <w:bCs/>
                <w:iCs/>
                <w:sz w:val="18"/>
                <w:szCs w:val="18"/>
                <w:lang w:val="ru-RU"/>
              </w:rPr>
            </w:pPr>
            <w:r w:rsidRPr="0055116C">
              <w:rPr>
                <w:b/>
                <w:sz w:val="18"/>
                <w:lang w:val="ru-RU"/>
              </w:rPr>
              <w:t>Действующие или разрабатываемые планы по снижению рисков</w:t>
            </w:r>
          </w:p>
        </w:tc>
        <w:tc>
          <w:tcPr>
            <w:tcW w:w="2571" w:type="dxa"/>
            <w:tcBorders>
              <w:top w:val="single" w:sz="4" w:space="0" w:color="auto"/>
              <w:bottom w:val="single" w:sz="4" w:space="0" w:color="auto"/>
            </w:tcBorders>
            <w:shd w:val="clear" w:color="auto" w:fill="C6D9F1" w:themeFill="text2" w:themeFillTint="33"/>
          </w:tcPr>
          <w:p w:rsidR="0055116C" w:rsidRPr="0055116C" w:rsidRDefault="0055116C" w:rsidP="0055116C">
            <w:pPr>
              <w:keepNext/>
              <w:keepLines/>
              <w:jc w:val="center"/>
              <w:rPr>
                <w:b/>
                <w:bCs/>
                <w:sz w:val="18"/>
                <w:szCs w:val="18"/>
                <w:lang w:val="ru-RU"/>
              </w:rPr>
            </w:pPr>
            <w:r w:rsidRPr="0055116C">
              <w:rPr>
                <w:b/>
                <w:sz w:val="18"/>
                <w:lang w:val="ru-RU"/>
              </w:rPr>
              <w:t>Развитие риска (рисков) и стратегий его (их) снижения в двухлетний период</w:t>
            </w:r>
          </w:p>
        </w:tc>
        <w:tc>
          <w:tcPr>
            <w:tcW w:w="2306" w:type="dxa"/>
            <w:tcBorders>
              <w:top w:val="single" w:sz="4" w:space="0" w:color="auto"/>
              <w:bottom w:val="single" w:sz="4" w:space="0" w:color="auto"/>
            </w:tcBorders>
            <w:shd w:val="clear" w:color="auto" w:fill="C6D9F1" w:themeFill="text2" w:themeFillTint="33"/>
          </w:tcPr>
          <w:p w:rsidR="0055116C" w:rsidRPr="003C527B" w:rsidRDefault="0055116C" w:rsidP="0055116C">
            <w:pPr>
              <w:keepNext/>
              <w:keepLines/>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55116C" w:rsidRPr="005C6ABD" w:rsidTr="0055116C">
        <w:trPr>
          <w:cantSplit/>
          <w:trHeight w:val="1350"/>
        </w:trPr>
        <w:tc>
          <w:tcPr>
            <w:tcW w:w="2420" w:type="dxa"/>
            <w:tcBorders>
              <w:top w:val="single" w:sz="4" w:space="0" w:color="auto"/>
            </w:tcBorders>
            <w:shd w:val="clear" w:color="auto" w:fill="auto"/>
            <w:tcMar>
              <w:top w:w="113" w:type="dxa"/>
              <w:bottom w:w="85" w:type="dxa"/>
            </w:tcMar>
          </w:tcPr>
          <w:p w:rsidR="0055116C" w:rsidRPr="0055116C" w:rsidRDefault="0055116C" w:rsidP="0055116C">
            <w:pPr>
              <w:rPr>
                <w:sz w:val="16"/>
                <w:szCs w:val="16"/>
                <w:lang w:val="ru-RU"/>
              </w:rPr>
            </w:pPr>
            <w:r w:rsidRPr="0055116C">
              <w:rPr>
                <w:sz w:val="16"/>
                <w:szCs w:val="16"/>
                <w:lang w:val="ru-RU"/>
              </w:rPr>
              <w:t>Недостаточная или сокращающаяся поддержка со стороны партнеров платформ, выход членов, а также недостаточный объем загружаемой членами информации непосредственно сказываются на работе платформ и выполняемой ими функции, равно как и на репутации проектов, в результате чего платформы могут оказаться ненужными на фоне схожих вне ВОИС</w:t>
            </w:r>
          </w:p>
        </w:tc>
        <w:tc>
          <w:tcPr>
            <w:tcW w:w="2200" w:type="dxa"/>
            <w:tcBorders>
              <w:top w:val="single" w:sz="4" w:space="0" w:color="auto"/>
            </w:tcBorders>
            <w:shd w:val="clear" w:color="auto" w:fill="auto"/>
            <w:tcMar>
              <w:top w:w="113" w:type="dxa"/>
              <w:bottom w:w="85" w:type="dxa"/>
            </w:tcMar>
          </w:tcPr>
          <w:p w:rsidR="0055116C" w:rsidRPr="0055116C" w:rsidRDefault="0055116C" w:rsidP="0055116C">
            <w:pPr>
              <w:keepNext/>
              <w:keepLines/>
              <w:rPr>
                <w:i/>
                <w:sz w:val="16"/>
                <w:szCs w:val="16"/>
                <w:lang w:val="ru-RU"/>
              </w:rPr>
            </w:pPr>
            <w:r w:rsidRPr="0055116C">
              <w:rPr>
                <w:sz w:val="16"/>
                <w:szCs w:val="16"/>
                <w:lang w:val="ru-RU"/>
              </w:rPr>
              <w:t>Постоянный тщательный анализ стратегии, условий и планов с целью раннего выявления тенденций и оперативного принятия надлежащих мер</w:t>
            </w:r>
          </w:p>
        </w:tc>
        <w:tc>
          <w:tcPr>
            <w:tcW w:w="2571" w:type="dxa"/>
            <w:tcBorders>
              <w:top w:val="single" w:sz="4" w:space="0" w:color="auto"/>
            </w:tcBorders>
          </w:tcPr>
          <w:p w:rsidR="0055116C" w:rsidRPr="0055116C" w:rsidRDefault="0055116C" w:rsidP="0055116C">
            <w:pPr>
              <w:keepNext/>
              <w:keepLines/>
              <w:rPr>
                <w:sz w:val="16"/>
                <w:szCs w:val="16"/>
                <w:highlight w:val="yellow"/>
                <w:lang w:val="ru-RU"/>
              </w:rPr>
            </w:pPr>
            <w:r w:rsidRPr="0055116C">
              <w:rPr>
                <w:sz w:val="16"/>
                <w:szCs w:val="16"/>
                <w:lang w:val="ru-RU"/>
              </w:rPr>
              <w:t xml:space="preserve">Второй член </w:t>
            </w:r>
            <w:r w:rsidRPr="00B53CB4">
              <w:rPr>
                <w:sz w:val="16"/>
                <w:szCs w:val="16"/>
              </w:rPr>
              <w:t>WIPO</w:t>
            </w:r>
            <w:r w:rsidRPr="0055116C">
              <w:rPr>
                <w:sz w:val="16"/>
                <w:szCs w:val="16"/>
                <w:lang w:val="ru-RU"/>
              </w:rPr>
              <w:t xml:space="preserve"> </w:t>
            </w:r>
            <w:r w:rsidRPr="00B53CB4">
              <w:rPr>
                <w:sz w:val="16"/>
                <w:szCs w:val="16"/>
              </w:rPr>
              <w:t>Re</w:t>
            </w:r>
            <w:r w:rsidRPr="0055116C">
              <w:rPr>
                <w:sz w:val="16"/>
                <w:szCs w:val="16"/>
                <w:lang w:val="ru-RU"/>
              </w:rPr>
              <w:t>:</w:t>
            </w:r>
            <w:r w:rsidRPr="00B53CB4">
              <w:rPr>
                <w:sz w:val="16"/>
                <w:szCs w:val="16"/>
              </w:rPr>
              <w:t>Search</w:t>
            </w:r>
            <w:r w:rsidRPr="0055116C">
              <w:rPr>
                <w:sz w:val="16"/>
                <w:szCs w:val="16"/>
                <w:lang w:val="ru-RU"/>
              </w:rPr>
              <w:t xml:space="preserve"> из частного сектора покинул платформу в 2015</w:t>
            </w:r>
            <w:r w:rsidRPr="00B53CB4">
              <w:rPr>
                <w:sz w:val="16"/>
                <w:szCs w:val="16"/>
              </w:rPr>
              <w:t> </w:t>
            </w:r>
            <w:r w:rsidRPr="0055116C">
              <w:rPr>
                <w:sz w:val="16"/>
                <w:szCs w:val="16"/>
                <w:lang w:val="ru-RU"/>
              </w:rPr>
              <w:t>г., а первый член из частного сектора сделал это в 2013</w:t>
            </w:r>
            <w:r w:rsidRPr="00B53CB4">
              <w:rPr>
                <w:sz w:val="16"/>
                <w:szCs w:val="16"/>
              </w:rPr>
              <w:t> </w:t>
            </w:r>
            <w:r w:rsidRPr="0055116C">
              <w:rPr>
                <w:sz w:val="16"/>
                <w:szCs w:val="16"/>
                <w:lang w:val="ru-RU"/>
              </w:rPr>
              <w:t xml:space="preserve">г.  Предпринятые усилия по привлечению новых корпоративных членов принесли свои плоды и позволили надлежащим образом компенсировать выход двух членов.  Ни один из членов </w:t>
            </w:r>
            <w:r w:rsidRPr="00B53CB4">
              <w:rPr>
                <w:sz w:val="16"/>
                <w:szCs w:val="16"/>
              </w:rPr>
              <w:t>WIPO</w:t>
            </w:r>
            <w:r w:rsidRPr="0055116C">
              <w:rPr>
                <w:sz w:val="16"/>
                <w:szCs w:val="16"/>
                <w:lang w:val="ru-RU"/>
              </w:rPr>
              <w:t xml:space="preserve"> </w:t>
            </w:r>
            <w:r w:rsidRPr="00B53CB4">
              <w:rPr>
                <w:sz w:val="16"/>
                <w:szCs w:val="16"/>
              </w:rPr>
              <w:t>GREEN</w:t>
            </w:r>
            <w:r w:rsidRPr="0055116C">
              <w:rPr>
                <w:sz w:val="16"/>
                <w:szCs w:val="16"/>
                <w:lang w:val="ru-RU"/>
              </w:rPr>
              <w:t xml:space="preserve"> не вышел из консорциума.</w:t>
            </w:r>
          </w:p>
        </w:tc>
        <w:tc>
          <w:tcPr>
            <w:tcW w:w="2306" w:type="dxa"/>
            <w:tcBorders>
              <w:top w:val="single" w:sz="4" w:space="0" w:color="auto"/>
            </w:tcBorders>
          </w:tcPr>
          <w:p w:rsidR="0055116C" w:rsidRPr="0055116C" w:rsidRDefault="0055116C" w:rsidP="0055116C">
            <w:pPr>
              <w:keepNext/>
              <w:keepLines/>
              <w:rPr>
                <w:sz w:val="16"/>
                <w:szCs w:val="16"/>
                <w:lang w:val="ru-RU"/>
              </w:rPr>
            </w:pPr>
            <w:r w:rsidRPr="0055116C">
              <w:rPr>
                <w:sz w:val="16"/>
                <w:lang w:val="ru-RU"/>
              </w:rPr>
              <w:t xml:space="preserve">Выход из </w:t>
            </w:r>
            <w:r>
              <w:rPr>
                <w:sz w:val="16"/>
              </w:rPr>
              <w:t>WIPO</w:t>
            </w:r>
            <w:r w:rsidRPr="0055116C">
              <w:rPr>
                <w:sz w:val="16"/>
                <w:lang w:val="ru-RU"/>
              </w:rPr>
              <w:t xml:space="preserve"> </w:t>
            </w:r>
            <w:r>
              <w:rPr>
                <w:sz w:val="16"/>
              </w:rPr>
              <w:t>Re</w:t>
            </w:r>
            <w:r w:rsidRPr="0055116C">
              <w:rPr>
                <w:sz w:val="16"/>
                <w:lang w:val="ru-RU"/>
              </w:rPr>
              <w:t>:</w:t>
            </w:r>
            <w:r>
              <w:rPr>
                <w:sz w:val="16"/>
              </w:rPr>
              <w:t>Search</w:t>
            </w:r>
            <w:r w:rsidRPr="0055116C">
              <w:rPr>
                <w:sz w:val="16"/>
                <w:lang w:val="ru-RU"/>
              </w:rPr>
              <w:t xml:space="preserve"> члена из частного сектора был компенсирован присоединением трех новых корпоративных членов в 2014</w:t>
            </w:r>
            <w:r>
              <w:rPr>
                <w:sz w:val="16"/>
              </w:rPr>
              <w:t> </w:t>
            </w:r>
            <w:r w:rsidRPr="0055116C">
              <w:rPr>
                <w:sz w:val="16"/>
                <w:lang w:val="ru-RU"/>
              </w:rPr>
              <w:t>г. (один член) и в 2015</w:t>
            </w:r>
            <w:r>
              <w:rPr>
                <w:sz w:val="16"/>
              </w:rPr>
              <w:t> </w:t>
            </w:r>
            <w:r w:rsidRPr="0055116C">
              <w:rPr>
                <w:sz w:val="16"/>
                <w:lang w:val="ru-RU"/>
              </w:rPr>
              <w:t xml:space="preserve">г. (два члена). Выход из </w:t>
            </w:r>
            <w:r>
              <w:rPr>
                <w:sz w:val="16"/>
              </w:rPr>
              <w:t>WIPO</w:t>
            </w:r>
            <w:r w:rsidRPr="0055116C">
              <w:rPr>
                <w:sz w:val="16"/>
                <w:lang w:val="ru-RU"/>
              </w:rPr>
              <w:t xml:space="preserve"> </w:t>
            </w:r>
            <w:r>
              <w:rPr>
                <w:sz w:val="16"/>
              </w:rPr>
              <w:t>Re</w:t>
            </w:r>
            <w:r w:rsidRPr="0055116C">
              <w:rPr>
                <w:sz w:val="16"/>
                <w:lang w:val="ru-RU"/>
              </w:rPr>
              <w:t>:</w:t>
            </w:r>
            <w:r>
              <w:rPr>
                <w:sz w:val="16"/>
              </w:rPr>
              <w:t>Search</w:t>
            </w:r>
            <w:r w:rsidRPr="0055116C">
              <w:rPr>
                <w:sz w:val="16"/>
                <w:lang w:val="ru-RU"/>
              </w:rPr>
              <w:t xml:space="preserve"> одного члена в 2013</w:t>
            </w:r>
            <w:r>
              <w:rPr>
                <w:sz w:val="16"/>
              </w:rPr>
              <w:t> </w:t>
            </w:r>
            <w:r w:rsidRPr="0055116C">
              <w:rPr>
                <w:sz w:val="16"/>
                <w:lang w:val="ru-RU"/>
              </w:rPr>
              <w:t>г. стал причиной снижения на 27</w:t>
            </w:r>
            <w:r>
              <w:rPr>
                <w:sz w:val="16"/>
              </w:rPr>
              <w:t> </w:t>
            </w:r>
            <w:r w:rsidRPr="0055116C">
              <w:rPr>
                <w:sz w:val="16"/>
                <w:lang w:val="ru-RU"/>
              </w:rPr>
              <w:t>процентов числа записей в базе данных, что было отчасти компенсировано увеличением числа записей в базе данных на семь процентов в 2015</w:t>
            </w:r>
            <w:r>
              <w:rPr>
                <w:sz w:val="16"/>
              </w:rPr>
              <w:t> </w:t>
            </w:r>
            <w:r w:rsidRPr="0055116C">
              <w:rPr>
                <w:sz w:val="16"/>
                <w:lang w:val="ru-RU"/>
              </w:rPr>
              <w:t xml:space="preserve">г.  </w:t>
            </w:r>
          </w:p>
        </w:tc>
      </w:tr>
      <w:tr w:rsidR="0055116C" w:rsidRPr="005C6ABD" w:rsidTr="0055116C">
        <w:trPr>
          <w:trHeight w:val="824"/>
        </w:trPr>
        <w:tc>
          <w:tcPr>
            <w:tcW w:w="2420" w:type="dxa"/>
            <w:shd w:val="clear" w:color="auto" w:fill="auto"/>
            <w:tcMar>
              <w:top w:w="113" w:type="dxa"/>
              <w:bottom w:w="85" w:type="dxa"/>
            </w:tcMar>
          </w:tcPr>
          <w:p w:rsidR="0055116C" w:rsidRPr="0055116C" w:rsidRDefault="0055116C" w:rsidP="0055116C">
            <w:pPr>
              <w:rPr>
                <w:sz w:val="16"/>
                <w:szCs w:val="16"/>
                <w:lang w:val="ru-RU"/>
              </w:rPr>
            </w:pPr>
            <w:r w:rsidRPr="0055116C">
              <w:rPr>
                <w:sz w:val="16"/>
                <w:szCs w:val="16"/>
                <w:lang w:val="ru-RU"/>
              </w:rPr>
              <w:t>Технические возможности доступа к базам данных по ИС и устойчивая работа и надежность инфраструктуры таких баз данных.  Регулярные проблемы с доступом могут отрицательно сказаться на репутации и доверии к ВОИС</w:t>
            </w:r>
          </w:p>
        </w:tc>
        <w:tc>
          <w:tcPr>
            <w:tcW w:w="2200" w:type="dxa"/>
            <w:shd w:val="clear" w:color="auto" w:fill="auto"/>
            <w:tcMar>
              <w:top w:w="113" w:type="dxa"/>
              <w:bottom w:w="85" w:type="dxa"/>
            </w:tcMar>
          </w:tcPr>
          <w:p w:rsidR="0055116C" w:rsidRPr="0055116C" w:rsidRDefault="0055116C" w:rsidP="0055116C">
            <w:pPr>
              <w:keepNext/>
              <w:keepLines/>
              <w:rPr>
                <w:sz w:val="16"/>
                <w:szCs w:val="16"/>
                <w:lang w:val="ru-RU"/>
              </w:rPr>
            </w:pPr>
            <w:r w:rsidRPr="0055116C">
              <w:rPr>
                <w:sz w:val="16"/>
                <w:szCs w:val="16"/>
                <w:lang w:val="ru-RU"/>
              </w:rPr>
              <w:t>Обеспечение наличия соответствующих услуг; эффективный маркетинг и тесное взаимодействие с ключевыми партнерами</w:t>
            </w:r>
          </w:p>
        </w:tc>
        <w:tc>
          <w:tcPr>
            <w:tcW w:w="2571" w:type="dxa"/>
          </w:tcPr>
          <w:p w:rsidR="0055116C" w:rsidRPr="0055116C" w:rsidRDefault="0055116C" w:rsidP="0055116C">
            <w:pPr>
              <w:keepNext/>
              <w:keepLines/>
              <w:rPr>
                <w:sz w:val="16"/>
                <w:szCs w:val="16"/>
                <w:lang w:val="ru-RU"/>
              </w:rPr>
            </w:pPr>
            <w:r w:rsidRPr="0055116C">
              <w:rPr>
                <w:sz w:val="16"/>
                <w:szCs w:val="16"/>
                <w:lang w:val="ru-RU"/>
              </w:rPr>
              <w:t xml:space="preserve">Этот риск сохраняет свою актуальность.  Специалисты по ИТ проводили регулярные проверки и тестирование работоспособности обеих баз данных, что доказало свою эффективность как стратегия снижения риска. </w:t>
            </w:r>
          </w:p>
        </w:tc>
        <w:tc>
          <w:tcPr>
            <w:tcW w:w="2306" w:type="dxa"/>
          </w:tcPr>
          <w:p w:rsidR="0055116C" w:rsidRPr="0055116C" w:rsidRDefault="0055116C" w:rsidP="0055116C">
            <w:pPr>
              <w:keepNext/>
              <w:keepLines/>
              <w:rPr>
                <w:sz w:val="16"/>
                <w:szCs w:val="16"/>
                <w:lang w:val="ru-RU"/>
              </w:rPr>
            </w:pPr>
            <w:r w:rsidRPr="0055116C">
              <w:rPr>
                <w:sz w:val="16"/>
                <w:lang w:val="ru-RU"/>
              </w:rPr>
              <w:t>Обе базы данных работали в целом стабильно, и на реализацию программы не было оказано негативное воздействие.</w:t>
            </w:r>
          </w:p>
        </w:tc>
      </w:tr>
      <w:tr w:rsidR="0055116C" w:rsidRPr="005C6ABD" w:rsidTr="0055116C">
        <w:trPr>
          <w:trHeight w:val="824"/>
        </w:trPr>
        <w:tc>
          <w:tcPr>
            <w:tcW w:w="2420" w:type="dxa"/>
            <w:shd w:val="clear" w:color="auto" w:fill="auto"/>
            <w:tcMar>
              <w:top w:w="113" w:type="dxa"/>
              <w:bottom w:w="85" w:type="dxa"/>
            </w:tcMar>
          </w:tcPr>
          <w:p w:rsidR="0055116C" w:rsidRPr="0055116C" w:rsidRDefault="0055116C" w:rsidP="0055116C">
            <w:pPr>
              <w:rPr>
                <w:sz w:val="16"/>
                <w:szCs w:val="16"/>
                <w:lang w:val="ru-RU"/>
              </w:rPr>
            </w:pPr>
            <w:r w:rsidRPr="0055116C">
              <w:rPr>
                <w:sz w:val="16"/>
                <w:lang w:val="ru-RU"/>
              </w:rPr>
              <w:t>Уровень вовлеченности национальных ведомств в работу ВОИС, связанную с ИС и конкуренцией, ниже, чем ожидалось.</w:t>
            </w:r>
          </w:p>
        </w:tc>
        <w:tc>
          <w:tcPr>
            <w:tcW w:w="2200" w:type="dxa"/>
            <w:shd w:val="clear" w:color="auto" w:fill="auto"/>
            <w:tcMar>
              <w:top w:w="113" w:type="dxa"/>
              <w:bottom w:w="85" w:type="dxa"/>
            </w:tcMar>
          </w:tcPr>
          <w:p w:rsidR="0055116C" w:rsidRPr="0055116C" w:rsidRDefault="0055116C" w:rsidP="0055116C">
            <w:pPr>
              <w:keepNext/>
              <w:keepLines/>
              <w:jc w:val="both"/>
              <w:rPr>
                <w:sz w:val="16"/>
                <w:szCs w:val="16"/>
                <w:lang w:val="ru-RU"/>
              </w:rPr>
            </w:pPr>
            <w:r w:rsidRPr="0055116C">
              <w:rPr>
                <w:sz w:val="16"/>
                <w:lang w:val="ru-RU"/>
              </w:rPr>
              <w:t xml:space="preserve">Активизация систематической разъяснительной работы с государствами-членами; демонстрация успешных примеров сотрудничества ведомств ИС с антимонопольными ведомствами, а также с соответствующими МПО и НПО. </w:t>
            </w:r>
          </w:p>
        </w:tc>
        <w:tc>
          <w:tcPr>
            <w:tcW w:w="2571" w:type="dxa"/>
          </w:tcPr>
          <w:p w:rsidR="0055116C" w:rsidRPr="0055116C" w:rsidRDefault="0055116C" w:rsidP="0055116C">
            <w:pPr>
              <w:pStyle w:val="ListParagraph"/>
              <w:keepNext/>
              <w:keepLines/>
              <w:tabs>
                <w:tab w:val="left" w:pos="709"/>
              </w:tabs>
              <w:ind w:left="0"/>
              <w:jc w:val="both"/>
              <w:rPr>
                <w:bCs/>
                <w:lang w:val="ru-RU"/>
              </w:rPr>
            </w:pPr>
            <w:r w:rsidRPr="0055116C">
              <w:rPr>
                <w:sz w:val="16"/>
                <w:lang w:val="ru-RU"/>
              </w:rPr>
              <w:t>В 2014–2015</w:t>
            </w:r>
            <w:r>
              <w:rPr>
                <w:sz w:val="16"/>
              </w:rPr>
              <w:t> </w:t>
            </w:r>
            <w:r w:rsidRPr="0055116C">
              <w:rPr>
                <w:sz w:val="16"/>
                <w:lang w:val="ru-RU"/>
              </w:rPr>
              <w:t>гг. уровень участия оставался высоким, и продолжалось сотрудничество с ведомствами ИС и антимонопольными органами в рамках осуществления программы, в частности в ходе семинаров-практикумов, где представители обоих сообществ обменивались мнениями по вопросам взаимодействия между ИС и конкуренцией.</w:t>
            </w:r>
          </w:p>
          <w:p w:rsidR="0055116C" w:rsidRPr="0055116C" w:rsidRDefault="0055116C" w:rsidP="0055116C">
            <w:pPr>
              <w:keepNext/>
              <w:keepLines/>
              <w:rPr>
                <w:sz w:val="16"/>
                <w:szCs w:val="16"/>
                <w:lang w:val="ru-RU"/>
              </w:rPr>
            </w:pPr>
          </w:p>
        </w:tc>
        <w:tc>
          <w:tcPr>
            <w:tcW w:w="2306" w:type="dxa"/>
          </w:tcPr>
          <w:p w:rsidR="0055116C" w:rsidRPr="0055116C" w:rsidRDefault="0055116C" w:rsidP="0055116C">
            <w:pPr>
              <w:keepNext/>
              <w:keepLines/>
              <w:rPr>
                <w:sz w:val="16"/>
                <w:szCs w:val="16"/>
                <w:lang w:val="ru-RU"/>
              </w:rPr>
            </w:pPr>
            <w:r w:rsidRPr="0055116C">
              <w:rPr>
                <w:sz w:val="16"/>
                <w:lang w:val="ru-RU"/>
              </w:rPr>
              <w:t>В 2014–2015</w:t>
            </w:r>
            <w:r>
              <w:rPr>
                <w:sz w:val="16"/>
              </w:rPr>
              <w:t> </w:t>
            </w:r>
            <w:r w:rsidRPr="0055116C">
              <w:rPr>
                <w:sz w:val="16"/>
                <w:lang w:val="ru-RU"/>
              </w:rPr>
              <w:t>гг. этот риск не оказал существенного воздействия на реализацию программы.</w:t>
            </w:r>
          </w:p>
        </w:tc>
      </w:tr>
    </w:tbl>
    <w:p w:rsidR="0055116C" w:rsidRPr="0055116C" w:rsidRDefault="0055116C" w:rsidP="0055116C">
      <w:pPr>
        <w:keepNext/>
        <w:keepLines/>
        <w:rPr>
          <w:szCs w:val="20"/>
          <w:lang w:val="ru-RU"/>
        </w:rPr>
      </w:pPr>
      <w:r w:rsidRPr="0055116C">
        <w:rPr>
          <w:color w:val="000000"/>
          <w:lang w:val="ru-RU"/>
        </w:rPr>
        <w:t>ИСПОЛЬЗОВАНИЕ РЕСУРСОВ</w:t>
      </w:r>
    </w:p>
    <w:p w:rsidR="0055116C" w:rsidRPr="0055116C" w:rsidRDefault="0055116C" w:rsidP="0055116C">
      <w:pPr>
        <w:keepNext/>
        <w:keepLines/>
        <w:rPr>
          <w:szCs w:val="20"/>
          <w:lang w:val="ru-RU"/>
        </w:rPr>
      </w:pPr>
    </w:p>
    <w:p w:rsidR="0055116C" w:rsidRPr="0055116C" w:rsidRDefault="0055116C" w:rsidP="0055116C">
      <w:pPr>
        <w:pStyle w:val="NormalWeb"/>
        <w:keepNext/>
        <w:keepLines/>
        <w:spacing w:before="0" w:beforeAutospacing="0" w:after="0" w:afterAutospacing="0"/>
        <w:jc w:val="center"/>
        <w:rPr>
          <w:sz w:val="20"/>
          <w:szCs w:val="20"/>
          <w:lang w:val="ru-RU"/>
        </w:rPr>
      </w:pPr>
      <w:r w:rsidRPr="0055116C">
        <w:rPr>
          <w:color w:val="000000"/>
          <w:sz w:val="20"/>
          <w:lang w:val="ru-RU"/>
        </w:rPr>
        <w:t xml:space="preserve">Бюджет и фактические расходы (в разбивке по результатам) </w:t>
      </w:r>
    </w:p>
    <w:p w:rsidR="0055116C" w:rsidRDefault="0055116C" w:rsidP="0055116C">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55116C" w:rsidRDefault="0055116C" w:rsidP="0055116C">
      <w:pPr>
        <w:pStyle w:val="NormalWeb"/>
        <w:keepNext/>
        <w:keepLines/>
        <w:spacing w:before="0" w:beforeAutospacing="0" w:after="0" w:afterAutospacing="0"/>
        <w:jc w:val="center"/>
        <w:rPr>
          <w:i/>
          <w:iCs/>
          <w:color w:val="000000"/>
          <w:sz w:val="20"/>
          <w:szCs w:val="20"/>
        </w:rPr>
      </w:pPr>
    </w:p>
    <w:p w:rsidR="0055116C" w:rsidRDefault="0055116C" w:rsidP="0055116C">
      <w:pPr>
        <w:keepNext/>
        <w:keepLines/>
        <w:jc w:val="center"/>
      </w:pPr>
      <w:r>
        <w:rPr>
          <w:noProof/>
        </w:rPr>
        <w:drawing>
          <wp:inline distT="0" distB="0" distL="0" distR="0" wp14:anchorId="49B16460" wp14:editId="3564869A">
            <wp:extent cx="5940425" cy="8163410"/>
            <wp:effectExtent l="0" t="0" r="3175" b="9525"/>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940425" cy="8163410"/>
                    </a:xfrm>
                    <a:prstGeom prst="rect">
                      <a:avLst/>
                    </a:prstGeom>
                    <a:noFill/>
                    <a:ln>
                      <a:noFill/>
                    </a:ln>
                  </pic:spPr>
                </pic:pic>
              </a:graphicData>
            </a:graphic>
          </wp:inline>
        </w:drawing>
      </w:r>
    </w:p>
    <w:p w:rsidR="0055116C" w:rsidRDefault="0055116C" w:rsidP="0055116C"/>
    <w:p w:rsidR="0055116C" w:rsidRDefault="0055116C" w:rsidP="0055116C"/>
    <w:p w:rsidR="0055116C" w:rsidRDefault="0055116C" w:rsidP="0055116C"/>
    <w:p w:rsidR="0055116C" w:rsidRPr="0055116C" w:rsidRDefault="0055116C" w:rsidP="0055116C">
      <w:pPr>
        <w:pStyle w:val="NormalWeb"/>
        <w:keepNext/>
        <w:keepLines/>
        <w:widowControl w:val="0"/>
        <w:spacing w:before="0" w:beforeAutospacing="0" w:after="0" w:afterAutospacing="0"/>
        <w:jc w:val="center"/>
        <w:rPr>
          <w:sz w:val="20"/>
          <w:szCs w:val="20"/>
          <w:lang w:val="ru-RU"/>
        </w:rPr>
      </w:pPr>
      <w:r w:rsidRPr="0055116C">
        <w:rPr>
          <w:color w:val="000000"/>
          <w:sz w:val="20"/>
          <w:lang w:val="ru-RU"/>
        </w:rPr>
        <w:t xml:space="preserve">Бюджет и фактические расходы (по персоналу и не связанные с персоналом) </w:t>
      </w:r>
    </w:p>
    <w:p w:rsidR="0055116C" w:rsidRDefault="0055116C" w:rsidP="0055116C">
      <w:pPr>
        <w:pStyle w:val="NormalWeb"/>
        <w:keepNext/>
        <w:keepLines/>
        <w:widowControl w:val="0"/>
        <w:spacing w:before="0" w:beforeAutospacing="0" w:after="0" w:afterAutospacing="0"/>
        <w:jc w:val="center"/>
        <w:rPr>
          <w:i/>
          <w:iCs/>
          <w:color w:val="000000"/>
          <w:sz w:val="20"/>
          <w:szCs w:val="20"/>
        </w:rPr>
      </w:pPr>
      <w:r>
        <w:rPr>
          <w:i/>
          <w:color w:val="000000"/>
          <w:sz w:val="20"/>
        </w:rPr>
        <w:t>(в тыс. шв. франков)</w:t>
      </w:r>
    </w:p>
    <w:p w:rsidR="0055116C" w:rsidRPr="00383D2D" w:rsidRDefault="0055116C" w:rsidP="0055116C">
      <w:pPr>
        <w:pStyle w:val="NormalWeb"/>
        <w:keepNext/>
        <w:keepLines/>
        <w:widowControl w:val="0"/>
        <w:spacing w:before="0" w:beforeAutospacing="0" w:after="0" w:afterAutospacing="0"/>
        <w:jc w:val="center"/>
        <w:rPr>
          <w:i/>
          <w:iCs/>
          <w:color w:val="000000"/>
          <w:sz w:val="20"/>
          <w:szCs w:val="20"/>
        </w:rPr>
      </w:pPr>
    </w:p>
    <w:p w:rsidR="0055116C" w:rsidRDefault="0055116C" w:rsidP="0055116C">
      <w:pPr>
        <w:keepNext/>
        <w:keepLines/>
        <w:widowControl w:val="0"/>
        <w:autoSpaceDE w:val="0"/>
        <w:autoSpaceDN w:val="0"/>
        <w:adjustRightInd w:val="0"/>
        <w:jc w:val="center"/>
        <w:rPr>
          <w:rFonts w:cs="Arial"/>
          <w:szCs w:val="20"/>
        </w:rPr>
      </w:pPr>
      <w:r>
        <w:rPr>
          <w:rFonts w:cs="Arial"/>
          <w:noProof/>
          <w:szCs w:val="20"/>
        </w:rPr>
        <w:drawing>
          <wp:inline distT="0" distB="0" distL="0" distR="0" wp14:anchorId="6C8C7F9C" wp14:editId="65087051">
            <wp:extent cx="5940425" cy="1267001"/>
            <wp:effectExtent l="0" t="0" r="3175" b="9525"/>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940425" cy="1267001"/>
                    </a:xfrm>
                    <a:prstGeom prst="rect">
                      <a:avLst/>
                    </a:prstGeom>
                    <a:noFill/>
                    <a:ln>
                      <a:noFill/>
                    </a:ln>
                  </pic:spPr>
                </pic:pic>
              </a:graphicData>
            </a:graphic>
          </wp:inline>
        </w:drawing>
      </w:r>
    </w:p>
    <w:p w:rsidR="0055116C" w:rsidRDefault="0055116C" w:rsidP="0055116C">
      <w:pPr>
        <w:keepNext/>
        <w:keepLines/>
        <w:widowControl w:val="0"/>
        <w:autoSpaceDE w:val="0"/>
        <w:autoSpaceDN w:val="0"/>
        <w:adjustRightInd w:val="0"/>
        <w:rPr>
          <w:rFonts w:cs="Arial"/>
          <w:szCs w:val="20"/>
        </w:rPr>
      </w:pPr>
    </w:p>
    <w:p w:rsidR="0055116C" w:rsidRPr="001C6F4D" w:rsidRDefault="0055116C" w:rsidP="0055116C">
      <w:pPr>
        <w:keepNext/>
        <w:keepLines/>
        <w:widowControl w:val="0"/>
        <w:autoSpaceDE w:val="0"/>
        <w:autoSpaceDN w:val="0"/>
        <w:adjustRightInd w:val="0"/>
        <w:rPr>
          <w:rFonts w:cs="Arial"/>
          <w:szCs w:val="20"/>
        </w:rPr>
      </w:pPr>
    </w:p>
    <w:p w:rsidR="0055116C" w:rsidRPr="0055116C" w:rsidRDefault="0055116C" w:rsidP="0055116C">
      <w:pPr>
        <w:keepNext/>
        <w:keepLines/>
        <w:rPr>
          <w:rFonts w:cs="Arial"/>
          <w:u w:val="single"/>
          <w:lang w:val="ru-RU"/>
        </w:rPr>
      </w:pPr>
      <w:r>
        <w:t>A</w:t>
      </w:r>
      <w:r w:rsidRPr="0055116C">
        <w:rPr>
          <w:lang w:val="ru-RU"/>
        </w:rPr>
        <w:t>.</w:t>
      </w:r>
      <w:r w:rsidRPr="0055116C">
        <w:rPr>
          <w:lang w:val="ru-RU"/>
        </w:rPr>
        <w:tab/>
      </w:r>
      <w:r w:rsidRPr="0055116C">
        <w:rPr>
          <w:u w:val="single"/>
          <w:lang w:val="ru-RU"/>
        </w:rPr>
        <w:t xml:space="preserve">Итоговый бюджет на 2014–2015 гг. после перераспределения средств </w:t>
      </w:r>
    </w:p>
    <w:p w:rsidR="0055116C" w:rsidRPr="0055116C" w:rsidRDefault="0055116C" w:rsidP="0055116C">
      <w:pPr>
        <w:pStyle w:val="Default"/>
        <w:rPr>
          <w:sz w:val="20"/>
          <w:szCs w:val="20"/>
          <w:lang w:val="ru-RU"/>
        </w:rPr>
      </w:pPr>
    </w:p>
    <w:p w:rsidR="0055116C" w:rsidRPr="0055116C" w:rsidRDefault="0055116C" w:rsidP="0055116C">
      <w:pPr>
        <w:pStyle w:val="Default"/>
        <w:numPr>
          <w:ilvl w:val="0"/>
          <w:numId w:val="68"/>
        </w:numPr>
        <w:tabs>
          <w:tab w:val="left" w:pos="709"/>
        </w:tabs>
        <w:ind w:left="0" w:firstLine="0"/>
        <w:jc w:val="both"/>
        <w:rPr>
          <w:bCs/>
          <w:color w:val="000000" w:themeColor="text1"/>
          <w:sz w:val="20"/>
          <w:szCs w:val="20"/>
          <w:lang w:val="ru-RU"/>
        </w:rPr>
      </w:pPr>
      <w:r w:rsidRPr="0055116C">
        <w:rPr>
          <w:color w:val="000000" w:themeColor="text1"/>
          <w:sz w:val="20"/>
          <w:lang w:val="ru-RU"/>
        </w:rPr>
        <w:t>Чистое сокращение объема ресурсов, связанных с персоналом, отражает: (</w:t>
      </w:r>
      <w:r>
        <w:rPr>
          <w:color w:val="000000" w:themeColor="text1"/>
          <w:sz w:val="20"/>
        </w:rPr>
        <w:t>i</w:t>
      </w:r>
      <w:r w:rsidRPr="0055116C">
        <w:rPr>
          <w:color w:val="000000" w:themeColor="text1"/>
          <w:sz w:val="20"/>
          <w:lang w:val="ru-RU"/>
        </w:rPr>
        <w:t>)</w:t>
      </w:r>
      <w:r>
        <w:rPr>
          <w:color w:val="000000" w:themeColor="text1"/>
          <w:sz w:val="20"/>
        </w:rPr>
        <w:t> </w:t>
      </w:r>
      <w:r w:rsidRPr="0055116C">
        <w:rPr>
          <w:color w:val="000000" w:themeColor="text1"/>
          <w:sz w:val="20"/>
          <w:lang w:val="ru-RU"/>
        </w:rPr>
        <w:t>временный перевод сотрудника в программу 6 для оказания содействия в осуществлении работы, связанной с присоединением новых стран к Мадридской системе; и (</w:t>
      </w:r>
      <w:r>
        <w:rPr>
          <w:color w:val="000000" w:themeColor="text1"/>
          <w:sz w:val="20"/>
        </w:rPr>
        <w:t>ii</w:t>
      </w:r>
      <w:r w:rsidRPr="0055116C">
        <w:rPr>
          <w:color w:val="000000" w:themeColor="text1"/>
          <w:sz w:val="20"/>
          <w:lang w:val="ru-RU"/>
        </w:rPr>
        <w:t>)</w:t>
      </w:r>
      <w:r>
        <w:rPr>
          <w:color w:val="000000" w:themeColor="text1"/>
          <w:sz w:val="20"/>
        </w:rPr>
        <w:t> </w:t>
      </w:r>
      <w:r w:rsidRPr="0055116C">
        <w:rPr>
          <w:color w:val="000000" w:themeColor="text1"/>
          <w:sz w:val="20"/>
          <w:lang w:val="ru-RU"/>
        </w:rPr>
        <w:t>вывод одного сотрудника за пределы программы в результате организационных изменений после принятия полномочий новой Группой старшего управленческого звена в декабре 2014</w:t>
      </w:r>
      <w:r>
        <w:rPr>
          <w:color w:val="000000" w:themeColor="text1"/>
          <w:sz w:val="20"/>
        </w:rPr>
        <w:t> </w:t>
      </w:r>
      <w:r w:rsidRPr="0055116C">
        <w:rPr>
          <w:color w:val="000000" w:themeColor="text1"/>
          <w:sz w:val="20"/>
          <w:lang w:val="ru-RU"/>
        </w:rPr>
        <w:t>г.</w:t>
      </w:r>
    </w:p>
    <w:p w:rsidR="0055116C" w:rsidRPr="0055116C" w:rsidRDefault="0055116C" w:rsidP="0055116C">
      <w:pPr>
        <w:autoSpaceDE w:val="0"/>
        <w:autoSpaceDN w:val="0"/>
        <w:jc w:val="both"/>
        <w:rPr>
          <w:rFonts w:cs="Arial"/>
          <w:szCs w:val="20"/>
          <w:lang w:val="ru-RU"/>
        </w:rPr>
      </w:pPr>
    </w:p>
    <w:p w:rsidR="0055116C" w:rsidRPr="0055116C" w:rsidRDefault="0055116C" w:rsidP="0055116C">
      <w:pPr>
        <w:pStyle w:val="Default"/>
        <w:numPr>
          <w:ilvl w:val="0"/>
          <w:numId w:val="68"/>
        </w:numPr>
        <w:tabs>
          <w:tab w:val="left" w:pos="709"/>
        </w:tabs>
        <w:ind w:left="0" w:firstLine="0"/>
        <w:jc w:val="both"/>
        <w:rPr>
          <w:bCs/>
          <w:color w:val="000000" w:themeColor="text1"/>
          <w:sz w:val="20"/>
          <w:szCs w:val="20"/>
          <w:lang w:val="ru-RU"/>
        </w:rPr>
      </w:pPr>
      <w:r w:rsidRPr="0055116C">
        <w:rPr>
          <w:color w:val="000000" w:themeColor="text1"/>
          <w:sz w:val="20"/>
          <w:lang w:val="ru-RU"/>
        </w:rPr>
        <w:t>Рост объема ресурсов, не связанных с персоналом, отражает:  (</w:t>
      </w:r>
      <w:r>
        <w:rPr>
          <w:color w:val="000000" w:themeColor="text1"/>
          <w:sz w:val="20"/>
        </w:rPr>
        <w:t>i</w:t>
      </w:r>
      <w:r w:rsidRPr="0055116C">
        <w:rPr>
          <w:color w:val="000000" w:themeColor="text1"/>
          <w:sz w:val="20"/>
          <w:lang w:val="ru-RU"/>
        </w:rPr>
        <w:t>)</w:t>
      </w:r>
      <w:r>
        <w:rPr>
          <w:color w:val="000000" w:themeColor="text1"/>
          <w:sz w:val="20"/>
        </w:rPr>
        <w:t> </w:t>
      </w:r>
      <w:r w:rsidRPr="0055116C">
        <w:rPr>
          <w:color w:val="000000" w:themeColor="text1"/>
          <w:sz w:val="20"/>
          <w:lang w:val="ru-RU"/>
        </w:rPr>
        <w:t>передачу средств на договорные услуги из программ 6 и 9 для компенсации вышеупомянутого временного перевода сотрудников в целях обеспечения беспрепятственного продолжения работы платформ и ИТ-приложений ВОИС в рамках Сектора глобальных вопросов; (</w:t>
      </w:r>
      <w:r>
        <w:rPr>
          <w:color w:val="000000" w:themeColor="text1"/>
          <w:sz w:val="20"/>
        </w:rPr>
        <w:t>ii</w:t>
      </w:r>
      <w:r w:rsidRPr="0055116C">
        <w:rPr>
          <w:color w:val="000000" w:themeColor="text1"/>
          <w:sz w:val="20"/>
          <w:lang w:val="ru-RU"/>
        </w:rPr>
        <w:t>)</w:t>
      </w:r>
      <w:r>
        <w:rPr>
          <w:color w:val="000000" w:themeColor="text1"/>
          <w:sz w:val="20"/>
        </w:rPr>
        <w:t> </w:t>
      </w:r>
      <w:r w:rsidRPr="0055116C">
        <w:rPr>
          <w:color w:val="000000" w:themeColor="text1"/>
          <w:sz w:val="20"/>
          <w:lang w:val="ru-RU"/>
        </w:rPr>
        <w:t>передачу дополнительных ресурсов, не связанных с персоналом, для содействия более активному использованию и совершенствованию платформ ВОИС; и (</w:t>
      </w:r>
      <w:r>
        <w:rPr>
          <w:color w:val="000000" w:themeColor="text1"/>
          <w:sz w:val="20"/>
        </w:rPr>
        <w:t>iii</w:t>
      </w:r>
      <w:r w:rsidRPr="0055116C">
        <w:rPr>
          <w:color w:val="000000" w:themeColor="text1"/>
          <w:sz w:val="20"/>
          <w:lang w:val="ru-RU"/>
        </w:rPr>
        <w:t>)</w:t>
      </w:r>
      <w:r>
        <w:rPr>
          <w:color w:val="000000" w:themeColor="text1"/>
          <w:sz w:val="20"/>
        </w:rPr>
        <w:t> </w:t>
      </w:r>
      <w:r w:rsidRPr="0055116C">
        <w:rPr>
          <w:color w:val="000000" w:themeColor="text1"/>
          <w:sz w:val="20"/>
          <w:lang w:val="ru-RU"/>
        </w:rPr>
        <w:t xml:space="preserve">передачу дополнительных средств на выполнение обязательств ВОИС по </w:t>
      </w:r>
      <w:r>
        <w:rPr>
          <w:color w:val="000000" w:themeColor="text1"/>
          <w:sz w:val="20"/>
        </w:rPr>
        <w:t>WIPO</w:t>
      </w:r>
      <w:r w:rsidRPr="0055116C">
        <w:rPr>
          <w:color w:val="000000" w:themeColor="text1"/>
          <w:sz w:val="20"/>
          <w:lang w:val="ru-RU"/>
        </w:rPr>
        <w:t xml:space="preserve"> </w:t>
      </w:r>
      <w:r>
        <w:rPr>
          <w:color w:val="000000" w:themeColor="text1"/>
          <w:sz w:val="20"/>
        </w:rPr>
        <w:t>Re</w:t>
      </w:r>
      <w:r w:rsidRPr="0055116C">
        <w:rPr>
          <w:color w:val="000000" w:themeColor="text1"/>
          <w:sz w:val="20"/>
          <w:lang w:val="ru-RU"/>
        </w:rPr>
        <w:t>:</w:t>
      </w:r>
      <w:r>
        <w:rPr>
          <w:color w:val="000000" w:themeColor="text1"/>
          <w:sz w:val="20"/>
        </w:rPr>
        <w:t>Search</w:t>
      </w:r>
      <w:r w:rsidRPr="0055116C">
        <w:rPr>
          <w:color w:val="000000" w:themeColor="text1"/>
          <w:sz w:val="20"/>
          <w:lang w:val="ru-RU"/>
        </w:rPr>
        <w:t xml:space="preserve"> в соответствии с Меморандумом о взаимопонимании (МоВ) с организацией «</w:t>
      </w:r>
      <w:r>
        <w:rPr>
          <w:color w:val="000000" w:themeColor="text1"/>
          <w:sz w:val="20"/>
        </w:rPr>
        <w:t>Bio</w:t>
      </w:r>
      <w:r w:rsidRPr="0055116C">
        <w:rPr>
          <w:color w:val="000000" w:themeColor="text1"/>
          <w:sz w:val="20"/>
          <w:lang w:val="ru-RU"/>
        </w:rPr>
        <w:t xml:space="preserve"> </w:t>
      </w:r>
      <w:r>
        <w:rPr>
          <w:color w:val="000000" w:themeColor="text1"/>
          <w:sz w:val="20"/>
        </w:rPr>
        <w:t>Ventures</w:t>
      </w:r>
      <w:r w:rsidRPr="0055116C">
        <w:rPr>
          <w:color w:val="000000" w:themeColor="text1"/>
          <w:sz w:val="20"/>
          <w:lang w:val="ru-RU"/>
        </w:rPr>
        <w:t xml:space="preserve"> </w:t>
      </w:r>
      <w:r>
        <w:rPr>
          <w:color w:val="000000" w:themeColor="text1"/>
          <w:sz w:val="20"/>
        </w:rPr>
        <w:t>for</w:t>
      </w:r>
      <w:r w:rsidRPr="0055116C">
        <w:rPr>
          <w:color w:val="000000" w:themeColor="text1"/>
          <w:sz w:val="20"/>
          <w:lang w:val="ru-RU"/>
        </w:rPr>
        <w:t xml:space="preserve"> </w:t>
      </w:r>
      <w:r>
        <w:rPr>
          <w:color w:val="000000" w:themeColor="text1"/>
          <w:sz w:val="20"/>
        </w:rPr>
        <w:t>Global</w:t>
      </w:r>
      <w:r w:rsidRPr="0055116C">
        <w:rPr>
          <w:color w:val="000000" w:themeColor="text1"/>
          <w:sz w:val="20"/>
          <w:lang w:val="ru-RU"/>
        </w:rPr>
        <w:t xml:space="preserve"> </w:t>
      </w:r>
      <w:r>
        <w:rPr>
          <w:color w:val="000000" w:themeColor="text1"/>
          <w:sz w:val="20"/>
        </w:rPr>
        <w:t>Health</w:t>
      </w:r>
      <w:r w:rsidRPr="0055116C">
        <w:rPr>
          <w:color w:val="000000" w:themeColor="text1"/>
          <w:sz w:val="20"/>
          <w:lang w:val="ru-RU"/>
        </w:rPr>
        <w:t>» (</w:t>
      </w:r>
      <w:r>
        <w:rPr>
          <w:color w:val="000000" w:themeColor="text1"/>
          <w:sz w:val="20"/>
        </w:rPr>
        <w:t>BVGH</w:t>
      </w:r>
      <w:r w:rsidRPr="0055116C">
        <w:rPr>
          <w:color w:val="000000" w:themeColor="text1"/>
          <w:sz w:val="20"/>
          <w:lang w:val="ru-RU"/>
        </w:rPr>
        <w:t xml:space="preserve">). </w:t>
      </w:r>
    </w:p>
    <w:p w:rsidR="0055116C" w:rsidRPr="0055116C" w:rsidRDefault="0055116C" w:rsidP="0055116C">
      <w:pPr>
        <w:autoSpaceDE w:val="0"/>
        <w:autoSpaceDN w:val="0"/>
        <w:jc w:val="both"/>
        <w:rPr>
          <w:rFonts w:cs="Arial"/>
          <w:szCs w:val="20"/>
          <w:lang w:val="ru-RU"/>
        </w:rPr>
      </w:pPr>
    </w:p>
    <w:p w:rsidR="0055116C" w:rsidRPr="0055116C" w:rsidRDefault="0055116C" w:rsidP="0055116C">
      <w:pPr>
        <w:pStyle w:val="Default"/>
        <w:numPr>
          <w:ilvl w:val="0"/>
          <w:numId w:val="68"/>
        </w:numPr>
        <w:tabs>
          <w:tab w:val="left" w:pos="709"/>
        </w:tabs>
        <w:ind w:left="0" w:firstLine="0"/>
        <w:jc w:val="both"/>
        <w:rPr>
          <w:bCs/>
          <w:color w:val="000000" w:themeColor="text1"/>
          <w:sz w:val="20"/>
          <w:szCs w:val="20"/>
          <w:lang w:val="ru-RU"/>
        </w:rPr>
      </w:pPr>
      <w:r w:rsidRPr="0055116C">
        <w:rPr>
          <w:color w:val="000000" w:themeColor="text1"/>
          <w:sz w:val="20"/>
          <w:lang w:val="ru-RU"/>
        </w:rPr>
        <w:t>В целом корректировки в распределении средств между ожидаемыми результатами в бюджете после перераспределения средств на 2014–2015</w:t>
      </w:r>
      <w:r>
        <w:rPr>
          <w:color w:val="000000" w:themeColor="text1"/>
          <w:sz w:val="20"/>
        </w:rPr>
        <w:t> </w:t>
      </w:r>
      <w:r w:rsidRPr="0055116C">
        <w:rPr>
          <w:color w:val="000000" w:themeColor="text1"/>
          <w:sz w:val="20"/>
          <w:lang w:val="ru-RU"/>
        </w:rPr>
        <w:t>гг. отражают новую и более точную методику распределения ресурсов, связанных с персоналом, которая стала результатом доработки системы планирования УОД в ходе ежегодных мер по планированию работы, принятых в 2014</w:t>
      </w:r>
      <w:r>
        <w:rPr>
          <w:color w:val="000000" w:themeColor="text1"/>
          <w:sz w:val="20"/>
        </w:rPr>
        <w:t> </w:t>
      </w:r>
      <w:r w:rsidRPr="0055116C">
        <w:rPr>
          <w:color w:val="000000" w:themeColor="text1"/>
          <w:sz w:val="20"/>
          <w:lang w:val="ru-RU"/>
        </w:rPr>
        <w:t>г. и 2015</w:t>
      </w:r>
      <w:r>
        <w:rPr>
          <w:color w:val="000000" w:themeColor="text1"/>
          <w:sz w:val="20"/>
        </w:rPr>
        <w:t> </w:t>
      </w:r>
      <w:r w:rsidRPr="0055116C">
        <w:rPr>
          <w:color w:val="000000" w:themeColor="text1"/>
          <w:sz w:val="20"/>
          <w:lang w:val="ru-RU"/>
        </w:rPr>
        <w:t xml:space="preserve">г. </w:t>
      </w:r>
    </w:p>
    <w:p w:rsidR="0055116C" w:rsidRPr="0055116C" w:rsidRDefault="0055116C" w:rsidP="0055116C">
      <w:pPr>
        <w:autoSpaceDE w:val="0"/>
        <w:autoSpaceDN w:val="0"/>
        <w:jc w:val="both"/>
        <w:rPr>
          <w:rFonts w:cs="Arial"/>
          <w:szCs w:val="20"/>
          <w:lang w:val="ru-RU"/>
        </w:rPr>
      </w:pPr>
    </w:p>
    <w:p w:rsidR="0055116C" w:rsidRPr="0055116C" w:rsidRDefault="0055116C" w:rsidP="0055116C">
      <w:pPr>
        <w:pStyle w:val="Default"/>
        <w:numPr>
          <w:ilvl w:val="0"/>
          <w:numId w:val="68"/>
        </w:numPr>
        <w:tabs>
          <w:tab w:val="left" w:pos="709"/>
        </w:tabs>
        <w:ind w:left="0" w:firstLine="0"/>
        <w:jc w:val="both"/>
        <w:rPr>
          <w:bCs/>
          <w:color w:val="000000" w:themeColor="text1"/>
          <w:sz w:val="20"/>
          <w:szCs w:val="20"/>
          <w:lang w:val="ru-RU"/>
        </w:rPr>
      </w:pPr>
      <w:r w:rsidRPr="0055116C">
        <w:rPr>
          <w:color w:val="000000" w:themeColor="text1"/>
          <w:sz w:val="20"/>
          <w:lang w:val="ru-RU"/>
        </w:rPr>
        <w:t xml:space="preserve">Ресурсы, выделенные на достижение ожидаемых результатов </w:t>
      </w:r>
      <w:r>
        <w:rPr>
          <w:color w:val="000000" w:themeColor="text1"/>
          <w:sz w:val="20"/>
        </w:rPr>
        <w:t>I</w:t>
      </w:r>
      <w:r w:rsidRPr="0055116C">
        <w:rPr>
          <w:color w:val="000000" w:themeColor="text1"/>
          <w:sz w:val="20"/>
          <w:lang w:val="ru-RU"/>
        </w:rPr>
        <w:t xml:space="preserve">.1, </w:t>
      </w:r>
      <w:r>
        <w:rPr>
          <w:color w:val="000000" w:themeColor="text1"/>
          <w:sz w:val="20"/>
        </w:rPr>
        <w:t>II</w:t>
      </w:r>
      <w:r w:rsidRPr="0055116C">
        <w:rPr>
          <w:color w:val="000000" w:themeColor="text1"/>
          <w:sz w:val="20"/>
          <w:lang w:val="ru-RU"/>
        </w:rPr>
        <w:t xml:space="preserve">.8, </w:t>
      </w:r>
      <w:r>
        <w:rPr>
          <w:color w:val="000000" w:themeColor="text1"/>
          <w:sz w:val="20"/>
        </w:rPr>
        <w:t>II</w:t>
      </w:r>
      <w:r w:rsidRPr="0055116C">
        <w:rPr>
          <w:color w:val="000000" w:themeColor="text1"/>
          <w:sz w:val="20"/>
          <w:lang w:val="ru-RU"/>
        </w:rPr>
        <w:t xml:space="preserve">.9, </w:t>
      </w:r>
      <w:r>
        <w:rPr>
          <w:color w:val="000000" w:themeColor="text1"/>
          <w:sz w:val="20"/>
        </w:rPr>
        <w:t>VI</w:t>
      </w:r>
      <w:r w:rsidRPr="0055116C">
        <w:rPr>
          <w:color w:val="000000" w:themeColor="text1"/>
          <w:sz w:val="20"/>
          <w:lang w:val="ru-RU"/>
        </w:rPr>
        <w:t xml:space="preserve">.1, </w:t>
      </w:r>
      <w:r>
        <w:rPr>
          <w:color w:val="000000" w:themeColor="text1"/>
          <w:sz w:val="20"/>
        </w:rPr>
        <w:t>VI</w:t>
      </w:r>
      <w:r w:rsidRPr="0055116C">
        <w:rPr>
          <w:color w:val="000000" w:themeColor="text1"/>
          <w:sz w:val="20"/>
          <w:lang w:val="ru-RU"/>
        </w:rPr>
        <w:t xml:space="preserve">.2 и </w:t>
      </w:r>
      <w:r>
        <w:rPr>
          <w:color w:val="000000" w:themeColor="text1"/>
          <w:sz w:val="20"/>
        </w:rPr>
        <w:t>VIII</w:t>
      </w:r>
      <w:r w:rsidRPr="0055116C">
        <w:rPr>
          <w:color w:val="000000" w:themeColor="text1"/>
          <w:sz w:val="20"/>
          <w:lang w:val="ru-RU"/>
        </w:rPr>
        <w:t>.5 данной программы отражают усилия, которые прилагались канцелярией помощника Генерального директора, курирующего Сектор глобальных вопросов, к реализации мероприятий программ</w:t>
      </w:r>
      <w:r>
        <w:rPr>
          <w:color w:val="000000" w:themeColor="text1"/>
          <w:sz w:val="20"/>
        </w:rPr>
        <w:t> </w:t>
      </w:r>
      <w:r w:rsidRPr="0055116C">
        <w:rPr>
          <w:color w:val="000000" w:themeColor="text1"/>
          <w:sz w:val="20"/>
          <w:lang w:val="ru-RU"/>
        </w:rPr>
        <w:t>4, 7, 17 и 20, соответственно.</w:t>
      </w:r>
    </w:p>
    <w:p w:rsidR="0055116C" w:rsidRPr="0055116C" w:rsidRDefault="0055116C" w:rsidP="0055116C">
      <w:pPr>
        <w:autoSpaceDE w:val="0"/>
        <w:autoSpaceDN w:val="0"/>
        <w:jc w:val="both"/>
        <w:rPr>
          <w:rFonts w:cs="Arial"/>
          <w:szCs w:val="20"/>
          <w:lang w:val="ru-RU"/>
        </w:rPr>
      </w:pPr>
    </w:p>
    <w:p w:rsidR="0055116C" w:rsidRPr="0055116C" w:rsidRDefault="0055116C" w:rsidP="0055116C">
      <w:pPr>
        <w:jc w:val="both"/>
        <w:rPr>
          <w:rFonts w:cs="Arial"/>
          <w:szCs w:val="20"/>
          <w:u w:val="single"/>
          <w:lang w:val="ru-RU"/>
        </w:rPr>
      </w:pPr>
      <w:r>
        <w:t>B</w:t>
      </w:r>
      <w:r w:rsidRPr="0055116C">
        <w:rPr>
          <w:lang w:val="ru-RU"/>
        </w:rPr>
        <w:t>.</w:t>
      </w:r>
      <w:r w:rsidRPr="0055116C">
        <w:rPr>
          <w:lang w:val="ru-RU"/>
        </w:rPr>
        <w:tab/>
      </w:r>
      <w:r w:rsidRPr="0055116C">
        <w:rPr>
          <w:u w:val="single"/>
          <w:lang w:val="ru-RU"/>
        </w:rPr>
        <w:t>Освоение бюджетных средств в 2014–2015 гг.</w:t>
      </w:r>
    </w:p>
    <w:p w:rsidR="0055116C" w:rsidRPr="004105A7" w:rsidRDefault="0055116C" w:rsidP="0055116C">
      <w:pPr>
        <w:pStyle w:val="Default"/>
        <w:rPr>
          <w:sz w:val="20"/>
          <w:szCs w:val="20"/>
          <w:lang w:val="ru-RU"/>
        </w:rPr>
      </w:pPr>
    </w:p>
    <w:p w:rsidR="006164BE" w:rsidRPr="004105A7" w:rsidRDefault="0055116C" w:rsidP="004105A7">
      <w:pPr>
        <w:pStyle w:val="Default"/>
        <w:numPr>
          <w:ilvl w:val="0"/>
          <w:numId w:val="68"/>
        </w:numPr>
        <w:tabs>
          <w:tab w:val="left" w:pos="709"/>
        </w:tabs>
        <w:ind w:left="0" w:firstLine="0"/>
        <w:jc w:val="both"/>
        <w:rPr>
          <w:sz w:val="20"/>
          <w:szCs w:val="20"/>
          <w:lang w:val="ru-RU"/>
        </w:rPr>
      </w:pPr>
      <w:r w:rsidRPr="004105A7">
        <w:rPr>
          <w:color w:val="000000" w:themeColor="text1"/>
          <w:sz w:val="20"/>
          <w:szCs w:val="20"/>
          <w:lang w:val="ru-RU"/>
        </w:rPr>
        <w:t>Несколько неполное использование ресурсов, не связанных с персоналом, является результатом: (</w:t>
      </w:r>
      <w:r w:rsidRPr="004105A7">
        <w:rPr>
          <w:color w:val="000000" w:themeColor="text1"/>
          <w:sz w:val="20"/>
          <w:szCs w:val="20"/>
        </w:rPr>
        <w:t>i</w:t>
      </w:r>
      <w:r w:rsidRPr="004105A7">
        <w:rPr>
          <w:color w:val="000000" w:themeColor="text1"/>
          <w:sz w:val="20"/>
          <w:szCs w:val="20"/>
          <w:lang w:val="ru-RU"/>
        </w:rPr>
        <w:t>) снижения расходов, в частности на оплату путевых расходов и организацию совещаний; и (</w:t>
      </w:r>
      <w:r w:rsidRPr="004105A7">
        <w:rPr>
          <w:color w:val="000000" w:themeColor="text1"/>
          <w:sz w:val="20"/>
          <w:szCs w:val="20"/>
        </w:rPr>
        <w:t>ii</w:t>
      </w:r>
      <w:r w:rsidRPr="004105A7">
        <w:rPr>
          <w:color w:val="000000" w:themeColor="text1"/>
          <w:sz w:val="20"/>
          <w:szCs w:val="20"/>
          <w:lang w:val="ru-RU"/>
        </w:rPr>
        <w:t>) ухода на пенсию директора Отдела по вопросам ИС и конкурентной политики в середине 2015</w:t>
      </w:r>
      <w:r w:rsidRPr="004105A7">
        <w:rPr>
          <w:color w:val="000000" w:themeColor="text1"/>
          <w:sz w:val="20"/>
          <w:szCs w:val="20"/>
        </w:rPr>
        <w:t> </w:t>
      </w:r>
      <w:r w:rsidRPr="004105A7">
        <w:rPr>
          <w:color w:val="000000" w:themeColor="text1"/>
          <w:sz w:val="20"/>
          <w:szCs w:val="20"/>
          <w:lang w:val="ru-RU"/>
        </w:rPr>
        <w:t>г.</w:t>
      </w:r>
    </w:p>
    <w:p w:rsidR="006164BE" w:rsidRPr="0055116C" w:rsidRDefault="006164BE">
      <w:pPr>
        <w:rPr>
          <w:lang w:val="ru-RU"/>
        </w:rPr>
      </w:pPr>
      <w:r w:rsidRPr="0055116C">
        <w:rPr>
          <w:lang w:val="ru-RU"/>
        </w:rPr>
        <w:br w:type="page"/>
      </w:r>
    </w:p>
    <w:p w:rsidR="006164BE" w:rsidRPr="00103107" w:rsidRDefault="00103107" w:rsidP="005A7878">
      <w:pPr>
        <w:pStyle w:val="StyleHeading214ptAuto"/>
        <w:rPr>
          <w:rFonts w:ascii="Arial" w:hAnsi="Arial" w:cs="Arial"/>
          <w:sz w:val="20"/>
          <w:szCs w:val="20"/>
          <w:lang w:val="ru-RU"/>
        </w:rPr>
      </w:pPr>
      <w:bookmarkStart w:id="113" w:name="_Toc455388130"/>
      <w:bookmarkStart w:id="114" w:name="_Toc367350598"/>
      <w:r>
        <w:rPr>
          <w:rFonts w:ascii="Arial" w:hAnsi="Arial" w:cs="Arial"/>
          <w:sz w:val="20"/>
          <w:szCs w:val="20"/>
          <w:lang w:val="ru-RU"/>
        </w:rPr>
        <w:t>стратегическая цель</w:t>
      </w:r>
      <w:r w:rsidR="006164BE" w:rsidRPr="00103107">
        <w:rPr>
          <w:rFonts w:ascii="Arial" w:hAnsi="Arial" w:cs="Arial"/>
          <w:sz w:val="20"/>
          <w:szCs w:val="20"/>
          <w:lang w:val="ru-RU"/>
        </w:rPr>
        <w:t xml:space="preserve"> </w:t>
      </w:r>
      <w:r w:rsidR="006164BE" w:rsidRPr="00E07FBB">
        <w:rPr>
          <w:rFonts w:ascii="Arial" w:hAnsi="Arial" w:cs="Arial"/>
          <w:sz w:val="20"/>
          <w:szCs w:val="20"/>
        </w:rPr>
        <w:t>VIII</w:t>
      </w:r>
      <w:bookmarkEnd w:id="113"/>
    </w:p>
    <w:p w:rsidR="006164BE" w:rsidRPr="00103107" w:rsidRDefault="006164BE" w:rsidP="00845557">
      <w:pPr>
        <w:jc w:val="center"/>
        <w:rPr>
          <w:lang w:val="ru-RU"/>
        </w:rPr>
      </w:pPr>
    </w:p>
    <w:bookmarkEnd w:id="114"/>
    <w:p w:rsidR="00103107" w:rsidRPr="004F6688" w:rsidRDefault="00103107" w:rsidP="00103107">
      <w:pPr>
        <w:jc w:val="center"/>
        <w:rPr>
          <w:lang w:val="ru-RU"/>
        </w:rPr>
      </w:pPr>
      <w:r w:rsidRPr="003A588C">
        <w:rPr>
          <w:b/>
          <w:lang w:val="ru-RU"/>
        </w:rPr>
        <w:t>ОБЕСПЕЧЕНИЕ ОПЕРАТИВНОЙ СВЯЗИ МЕЖДУ ВОИС, ЕЕ ГОСУДАРСТВАМИ-ЧЛЕНАМИ И ВСЕМИ ЗАИНТЕРЕСОВАННЫМИ СТОРОНАМИ</w:t>
      </w:r>
    </w:p>
    <w:p w:rsidR="00103107" w:rsidRDefault="00103107" w:rsidP="00103107">
      <w:pPr>
        <w:jc w:val="center"/>
        <w:rPr>
          <w:lang w:val="ru-RU"/>
        </w:rPr>
      </w:pPr>
    </w:p>
    <w:p w:rsidR="00103107" w:rsidRPr="004F6688" w:rsidRDefault="00103107" w:rsidP="00103107">
      <w:pPr>
        <w:jc w:val="center"/>
        <w:rPr>
          <w:lang w:val="ru-RU"/>
        </w:rPr>
      </w:pPr>
    </w:p>
    <w:p w:rsidR="00103107" w:rsidRPr="004F6688" w:rsidRDefault="00103107" w:rsidP="00103107">
      <w:pPr>
        <w:jc w:val="center"/>
        <w:rPr>
          <w:b/>
          <w:lang w:val="ru-RU"/>
        </w:rPr>
      </w:pPr>
      <w:r w:rsidRPr="003A588C">
        <w:rPr>
          <w:b/>
          <w:lang w:val="ru-RU"/>
        </w:rPr>
        <w:t>Сводная таблица показателей результативности за двухлетний период</w:t>
      </w:r>
      <w:r w:rsidRPr="004F6688">
        <w:rPr>
          <w:b/>
          <w:lang w:val="ru-RU"/>
        </w:rPr>
        <w:t xml:space="preserve"> </w:t>
      </w:r>
    </w:p>
    <w:p w:rsidR="00103107" w:rsidRPr="004F6688" w:rsidRDefault="00103107" w:rsidP="00103107">
      <w:pPr>
        <w:rPr>
          <w:lang w:val="ru-RU"/>
        </w:rPr>
      </w:pPr>
    </w:p>
    <w:p w:rsidR="00103107" w:rsidRPr="003A588C" w:rsidRDefault="00103107" w:rsidP="00103107">
      <w:pPr>
        <w:autoSpaceDE w:val="0"/>
        <w:autoSpaceDN w:val="0"/>
        <w:adjustRightInd w:val="0"/>
        <w:jc w:val="both"/>
        <w:rPr>
          <w:rFonts w:cs="Arial"/>
          <w:lang w:val="ru-RU"/>
        </w:rPr>
      </w:pPr>
      <w:r w:rsidRPr="003A588C">
        <w:rPr>
          <w:rFonts w:cs="Arial"/>
          <w:lang w:val="ru-RU"/>
        </w:rPr>
        <w:t>Приводимая ниже сводная т</w:t>
      </w:r>
      <w:r>
        <w:rPr>
          <w:rFonts w:cs="Arial"/>
          <w:lang w:val="ru-RU"/>
        </w:rPr>
        <w:t>аблица содержит обзор достижений с точки зрения степени реализации</w:t>
      </w:r>
      <w:r w:rsidRPr="003A588C">
        <w:rPr>
          <w:rFonts w:cs="Arial"/>
          <w:lang w:val="ru-RU"/>
        </w:rPr>
        <w:t xml:space="preserve"> ожидаемых результатов в двухлетнем периоде 2014-201</w:t>
      </w:r>
      <w:r>
        <w:rPr>
          <w:rFonts w:cs="Arial"/>
          <w:lang w:val="ru-RU"/>
        </w:rPr>
        <w:t>5</w:t>
      </w:r>
      <w:r w:rsidRPr="003A588C">
        <w:rPr>
          <w:rFonts w:cs="Arial"/>
          <w:lang w:val="ru-RU"/>
        </w:rPr>
        <w:t xml:space="preserve"> гг.</w:t>
      </w:r>
      <w:r>
        <w:rPr>
          <w:rFonts w:cs="Arial"/>
          <w:lang w:val="ru-RU"/>
        </w:rPr>
        <w:t xml:space="preserve"> на основе</w:t>
      </w:r>
      <w:r w:rsidRPr="003A588C">
        <w:rPr>
          <w:rFonts w:cs="Arial"/>
          <w:lang w:val="ru-RU"/>
        </w:rPr>
        <w:t xml:space="preserve"> показател</w:t>
      </w:r>
      <w:r>
        <w:rPr>
          <w:rFonts w:cs="Arial"/>
          <w:lang w:val="ru-RU"/>
        </w:rPr>
        <w:t>ей</w:t>
      </w:r>
      <w:r w:rsidRPr="003A588C">
        <w:rPr>
          <w:rFonts w:cs="Arial"/>
          <w:lang w:val="ru-RU"/>
        </w:rPr>
        <w:t xml:space="preserve"> программ, </w:t>
      </w:r>
      <w:r>
        <w:rPr>
          <w:rFonts w:cs="Arial"/>
          <w:lang w:val="ru-RU"/>
        </w:rPr>
        <w:t>обеспечивающих претворение в жизнь</w:t>
      </w:r>
      <w:r w:rsidRPr="003A588C">
        <w:rPr>
          <w:rFonts w:cs="Arial"/>
          <w:lang w:val="ru-RU"/>
        </w:rPr>
        <w:t xml:space="preserve"> данной стратегической цели.  </w:t>
      </w:r>
    </w:p>
    <w:p w:rsidR="00103107" w:rsidRDefault="00103107" w:rsidP="00103107">
      <w:pPr>
        <w:jc w:val="center"/>
      </w:pPr>
      <w:r>
        <w:rPr>
          <w:noProof/>
        </w:rPr>
        <w:drawing>
          <wp:inline distT="0" distB="0" distL="0" distR="0" wp14:anchorId="0FC9BBCE" wp14:editId="49368249">
            <wp:extent cx="5940425" cy="3000469"/>
            <wp:effectExtent l="0" t="0" r="3175" b="9525"/>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940425" cy="3000469"/>
                    </a:xfrm>
                    <a:prstGeom prst="rect">
                      <a:avLst/>
                    </a:prstGeom>
                    <a:noFill/>
                    <a:ln>
                      <a:noFill/>
                    </a:ln>
                  </pic:spPr>
                </pic:pic>
              </a:graphicData>
            </a:graphic>
          </wp:inline>
        </w:drawing>
      </w:r>
    </w:p>
    <w:p w:rsidR="00103107" w:rsidRPr="00CB5A85" w:rsidRDefault="00103107" w:rsidP="00103107"/>
    <w:tbl>
      <w:tblPr>
        <w:tblW w:w="4942"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418"/>
        <w:gridCol w:w="3590"/>
        <w:gridCol w:w="1954"/>
        <w:gridCol w:w="1498"/>
      </w:tblGrid>
      <w:tr w:rsidR="00103107" w:rsidRPr="00AF5E7C" w:rsidTr="00D340AF">
        <w:trPr>
          <w:cantSplit/>
          <w:trHeight w:val="383"/>
          <w:tblHeader/>
        </w:trPr>
        <w:tc>
          <w:tcPr>
            <w:tcW w:w="1541"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396294" w:rsidRDefault="00103107" w:rsidP="00103107">
            <w:pPr>
              <w:spacing w:after="120"/>
              <w:rPr>
                <w:rFonts w:cs="Arial"/>
                <w:b/>
                <w:bCs/>
                <w:sz w:val="18"/>
                <w:szCs w:val="18"/>
              </w:rPr>
            </w:pPr>
            <w:r w:rsidRPr="003A588C">
              <w:rPr>
                <w:rFonts w:cs="Arial"/>
                <w:b/>
                <w:bCs/>
                <w:sz w:val="18"/>
                <w:szCs w:val="18"/>
                <w:lang w:val="ru-RU"/>
              </w:rPr>
              <w:t>Ожидаемые результаты</w:t>
            </w:r>
          </w:p>
        </w:tc>
        <w:tc>
          <w:tcPr>
            <w:tcW w:w="2160"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396294" w:rsidRDefault="00103107" w:rsidP="00103107">
            <w:pPr>
              <w:spacing w:after="120"/>
              <w:rPr>
                <w:rFonts w:cs="Arial"/>
                <w:b/>
                <w:sz w:val="18"/>
                <w:szCs w:val="18"/>
              </w:rPr>
            </w:pPr>
            <w:r>
              <w:rPr>
                <w:rFonts w:cs="Arial"/>
                <w:b/>
                <w:sz w:val="18"/>
                <w:szCs w:val="18"/>
                <w:lang w:val="ru-RU"/>
              </w:rPr>
              <w:t>Показатели</w:t>
            </w:r>
            <w:r w:rsidRPr="003A588C">
              <w:rPr>
                <w:rFonts w:cs="Arial"/>
                <w:b/>
                <w:sz w:val="18"/>
                <w:szCs w:val="18"/>
                <w:lang w:val="ru-RU"/>
              </w:rPr>
              <w:t xml:space="preserve"> результативности</w:t>
            </w:r>
          </w:p>
        </w:tc>
        <w:tc>
          <w:tcPr>
            <w:tcW w:w="924" w:type="pct"/>
            <w:tcBorders>
              <w:top w:val="single" w:sz="4" w:space="0" w:color="auto"/>
              <w:bottom w:val="single" w:sz="4" w:space="0" w:color="auto"/>
            </w:tcBorders>
            <w:shd w:val="clear" w:color="auto" w:fill="C6D9F1" w:themeFill="text2" w:themeFillTint="33"/>
            <w:tcMar>
              <w:top w:w="113" w:type="dxa"/>
              <w:bottom w:w="85" w:type="dxa"/>
            </w:tcMar>
            <w:vAlign w:val="center"/>
          </w:tcPr>
          <w:p w:rsidR="00103107" w:rsidRPr="00396294" w:rsidRDefault="00103107" w:rsidP="00103107">
            <w:pPr>
              <w:spacing w:after="120"/>
              <w:ind w:left="85"/>
              <w:jc w:val="center"/>
              <w:rPr>
                <w:rFonts w:cs="Arial"/>
                <w:sz w:val="18"/>
                <w:szCs w:val="18"/>
              </w:rPr>
            </w:pPr>
            <w:r w:rsidRPr="003A588C">
              <w:rPr>
                <w:rFonts w:cs="Arial"/>
                <w:b/>
                <w:sz w:val="18"/>
                <w:szCs w:val="18"/>
                <w:lang w:val="ru-RU"/>
              </w:rPr>
              <w:t>Соответствующие программы</w:t>
            </w:r>
          </w:p>
        </w:tc>
        <w:tc>
          <w:tcPr>
            <w:tcW w:w="375" w:type="pct"/>
            <w:tcBorders>
              <w:top w:val="single" w:sz="4" w:space="0" w:color="auto"/>
              <w:bottom w:val="single" w:sz="4" w:space="0" w:color="auto"/>
            </w:tcBorders>
            <w:shd w:val="clear" w:color="auto" w:fill="C6D9F1" w:themeFill="text2" w:themeFillTint="33"/>
          </w:tcPr>
          <w:p w:rsidR="00103107" w:rsidRPr="00396294" w:rsidRDefault="00103107" w:rsidP="00103107">
            <w:pPr>
              <w:spacing w:after="120"/>
              <w:ind w:left="85" w:hanging="70"/>
              <w:jc w:val="center"/>
              <w:rPr>
                <w:rFonts w:cs="Arial"/>
                <w:b/>
                <w:bCs/>
                <w:sz w:val="18"/>
                <w:szCs w:val="18"/>
              </w:rPr>
            </w:pPr>
            <w:r w:rsidRPr="003A588C">
              <w:rPr>
                <w:rFonts w:cs="Arial"/>
                <w:b/>
                <w:bCs/>
                <w:sz w:val="18"/>
                <w:szCs w:val="18"/>
                <w:lang w:val="ru-RU"/>
              </w:rPr>
              <w:t>СИГНАЛЬНАЯ СИСТЕМА</w:t>
            </w:r>
          </w:p>
        </w:tc>
      </w:tr>
      <w:tr w:rsidR="00103107" w:rsidRPr="00AF5E7C" w:rsidTr="00103107">
        <w:trPr>
          <w:cantSplit/>
          <w:trHeight w:val="408"/>
        </w:trPr>
        <w:tc>
          <w:tcPr>
            <w:tcW w:w="1541" w:type="pct"/>
            <w:vMerge w:val="restart"/>
            <w:tcBorders>
              <w:top w:val="single" w:sz="4" w:space="0" w:color="auto"/>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VIII.1. Более эффективная организация общения с широкой общественностью по вопросам интеллектуальной собственности и роли ВОИС</w:t>
            </w:r>
          </w:p>
        </w:tc>
        <w:tc>
          <w:tcPr>
            <w:tcW w:w="2160" w:type="pct"/>
            <w:tcBorders>
              <w:top w:val="single" w:sz="4" w:space="0" w:color="auto"/>
            </w:tcBorders>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Уровень общественного интереса, вызванного отдельными значимыми мероприятиями/дости-жениями ВОИС</w:t>
            </w:r>
          </w:p>
        </w:tc>
        <w:tc>
          <w:tcPr>
            <w:tcW w:w="924" w:type="pct"/>
            <w:tcBorders>
              <w:top w:val="single" w:sz="4" w:space="0" w:color="auto"/>
            </w:tcBorders>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tcBorders>
              <w:top w:val="single" w:sz="4" w:space="0" w:color="auto"/>
            </w:tcBorders>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232"/>
        </w:trPr>
        <w:tc>
          <w:tcPr>
            <w:tcW w:w="1541" w:type="pct"/>
            <w:vMerge/>
            <w:shd w:val="clear" w:color="auto" w:fill="auto"/>
            <w:tcMar>
              <w:top w:w="113" w:type="dxa"/>
              <w:bottom w:w="85" w:type="dxa"/>
            </w:tcMar>
          </w:tcPr>
          <w:p w:rsidR="00103107" w:rsidRPr="00AF5E7C" w:rsidRDefault="00103107" w:rsidP="00103107">
            <w:pPr>
              <w:rPr>
                <w:rFonts w:cs="Arial"/>
                <w:sz w:val="16"/>
                <w:szCs w:val="16"/>
              </w:rPr>
            </w:pPr>
          </w:p>
        </w:tc>
        <w:tc>
          <w:tcPr>
            <w:tcW w:w="2160"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заинтересованных сторон, положительно отозвавшихся о цели, деятельности и организационном имидже ВОИС</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AF5E7C" w:rsidTr="00103107">
        <w:trPr>
          <w:cantSplit/>
          <w:trHeight w:val="231"/>
        </w:trPr>
        <w:tc>
          <w:tcPr>
            <w:tcW w:w="1541" w:type="pct"/>
            <w:vMerge/>
            <w:shd w:val="clear" w:color="auto" w:fill="auto"/>
            <w:tcMar>
              <w:top w:w="113" w:type="dxa"/>
              <w:bottom w:w="85" w:type="dxa"/>
            </w:tcMar>
          </w:tcPr>
          <w:p w:rsidR="00103107" w:rsidRPr="00AF5E7C" w:rsidRDefault="00103107" w:rsidP="00103107">
            <w:pPr>
              <w:rPr>
                <w:rFonts w:cs="Arial"/>
                <w:sz w:val="16"/>
                <w:szCs w:val="16"/>
              </w:rPr>
            </w:pPr>
          </w:p>
        </w:tc>
        <w:tc>
          <w:tcPr>
            <w:tcW w:w="2160" w:type="pct"/>
            <w:vMerge/>
            <w:shd w:val="clear" w:color="auto" w:fill="auto"/>
            <w:tcMar>
              <w:top w:w="113" w:type="dxa"/>
              <w:bottom w:w="85" w:type="dxa"/>
            </w:tcMar>
          </w:tcPr>
          <w:p w:rsidR="00103107" w:rsidRPr="00D2533A" w:rsidRDefault="00103107" w:rsidP="00103107">
            <w:pPr>
              <w:rPr>
                <w:rFonts w:cs="Arial"/>
                <w:sz w:val="16"/>
                <w:szCs w:val="16"/>
              </w:rPr>
            </w:pPr>
          </w:p>
        </w:tc>
        <w:tc>
          <w:tcPr>
            <w:tcW w:w="924"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AF5E7C" w:rsidTr="00103107">
        <w:trPr>
          <w:cantSplit/>
          <w:trHeight w:val="436"/>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Рост</w:t>
            </w:r>
            <w:r>
              <w:rPr>
                <w:rFonts w:cs="Arial"/>
                <w:sz w:val="16"/>
                <w:szCs w:val="16"/>
                <w:lang w:val="ru-RU"/>
              </w:rPr>
              <w:t xml:space="preserve"> </w:t>
            </w:r>
            <w:r w:rsidRPr="003A588C">
              <w:rPr>
                <w:rFonts w:cs="Arial"/>
                <w:sz w:val="16"/>
                <w:szCs w:val="16"/>
                <w:lang w:val="ru-RU"/>
              </w:rPr>
              <w:t xml:space="preserve">(%) числа просмотров печатных, видео- и фотоматериалов ВОИС </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shd w:val="clear" w:color="auto" w:fill="FFFFFF"/>
          </w:tcPr>
          <w:p w:rsidR="00103107" w:rsidRPr="00CC3F44" w:rsidRDefault="00103107" w:rsidP="00103107">
            <w:pPr>
              <w:jc w:val="center"/>
            </w:pPr>
            <w:r w:rsidRPr="00CC3F44">
              <w:rPr>
                <w:rFonts w:cs="Arial"/>
                <w:color w:val="FF0000"/>
                <w:sz w:val="22"/>
                <w:szCs w:val="22"/>
              </w:rPr>
              <w:sym w:font="Wingdings" w:char="F06C"/>
            </w:r>
            <w:r w:rsidRPr="00CC3F44">
              <w:rPr>
                <w:rFonts w:cs="Arial"/>
                <w:color w:val="FF0000"/>
                <w:sz w:val="22"/>
                <w:szCs w:val="22"/>
              </w:rPr>
              <w:sym w:font="Wingdings" w:char="F06C"/>
            </w:r>
            <w:r w:rsidRPr="00CC3F44">
              <w:rPr>
                <w:rFonts w:cs="Arial"/>
                <w:color w:val="008000"/>
                <w:sz w:val="22"/>
                <w:szCs w:val="22"/>
              </w:rPr>
              <w:sym w:font="Wingdings" w:char="F06C"/>
            </w:r>
          </w:p>
        </w:tc>
      </w:tr>
      <w:tr w:rsidR="00103107" w:rsidRPr="00AF5E7C" w:rsidTr="00103107">
        <w:trPr>
          <w:cantSplit/>
          <w:trHeight w:val="429"/>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D2533A" w:rsidRDefault="00103107" w:rsidP="00103107">
            <w:pPr>
              <w:rPr>
                <w:rFonts w:cs="Arial"/>
                <w:sz w:val="16"/>
                <w:szCs w:val="16"/>
              </w:rPr>
            </w:pPr>
            <w:r w:rsidRPr="003A588C">
              <w:rPr>
                <w:rFonts w:cs="Arial"/>
                <w:sz w:val="16"/>
                <w:szCs w:val="16"/>
                <w:lang w:val="ru-RU"/>
              </w:rPr>
              <w:t>Расширение</w:t>
            </w:r>
            <w:r>
              <w:rPr>
                <w:rFonts w:cs="Arial"/>
                <w:sz w:val="16"/>
                <w:szCs w:val="16"/>
                <w:lang w:val="ru-RU"/>
              </w:rPr>
              <w:t xml:space="preserve"> (</w:t>
            </w:r>
            <w:r w:rsidRPr="003A588C">
              <w:rPr>
                <w:rFonts w:cs="Arial"/>
                <w:sz w:val="16"/>
                <w:szCs w:val="16"/>
                <w:lang w:val="ru-RU"/>
              </w:rPr>
              <w:t xml:space="preserve">%) масштабов глобального участия в мероприятиях, приуроченных к Международному дню ИС, на странице в </w:t>
            </w:r>
            <w:r>
              <w:rPr>
                <w:rFonts w:cs="Arial"/>
                <w:sz w:val="16"/>
                <w:szCs w:val="16"/>
              </w:rPr>
              <w:t>Facebook</w:t>
            </w:r>
            <w:r w:rsidRPr="003A588C">
              <w:rPr>
                <w:rFonts w:cs="Arial"/>
                <w:sz w:val="16"/>
                <w:szCs w:val="16"/>
                <w:lang w:val="ru-RU"/>
              </w:rPr>
              <w:t xml:space="preserve"> (общий охват кампании) </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256"/>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 xml:space="preserve">Рост </w:t>
            </w:r>
            <w:r>
              <w:rPr>
                <w:rFonts w:cs="Arial"/>
                <w:sz w:val="16"/>
                <w:szCs w:val="16"/>
                <w:lang w:val="ru-RU"/>
              </w:rPr>
              <w:t>(</w:t>
            </w:r>
            <w:r w:rsidRPr="003A588C">
              <w:rPr>
                <w:rFonts w:cs="Arial"/>
                <w:sz w:val="16"/>
                <w:szCs w:val="16"/>
                <w:lang w:val="ru-RU"/>
              </w:rPr>
              <w:t xml:space="preserve">%)числа просмотров онлайн-публикаций </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shd w:val="clear" w:color="auto" w:fill="FFFFFF"/>
          </w:tcPr>
          <w:p w:rsidR="00103107" w:rsidRPr="00CC3F44" w:rsidRDefault="00103107" w:rsidP="00103107">
            <w:pPr>
              <w:jc w:val="center"/>
              <w:rPr>
                <w:rFonts w:cs="Arial"/>
                <w:color w:val="0070C0"/>
                <w:sz w:val="22"/>
                <w:szCs w:val="22"/>
              </w:rPr>
            </w:pPr>
            <w:r w:rsidRPr="00CC3F44">
              <w:rPr>
                <w:rFonts w:cs="Arial"/>
                <w:color w:val="A6A6A6" w:themeColor="background1" w:themeShade="A6"/>
                <w:sz w:val="22"/>
                <w:szCs w:val="22"/>
              </w:rPr>
              <w:sym w:font="Wingdings" w:char="F06C"/>
            </w:r>
            <w:r w:rsidRPr="00CC3F44">
              <w:rPr>
                <w:rFonts w:cs="Arial"/>
                <w:color w:val="008000"/>
                <w:sz w:val="22"/>
                <w:szCs w:val="22"/>
              </w:rPr>
              <w:sym w:font="Wingdings" w:char="F06C"/>
            </w:r>
          </w:p>
        </w:tc>
      </w:tr>
      <w:tr w:rsidR="00103107" w:rsidRPr="00AF5E7C" w:rsidTr="00103107">
        <w:trPr>
          <w:cantSplit/>
          <w:trHeight w:val="256"/>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пользователей, которых устраивает веб-сайт ВОИС</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shd w:val="clear" w:color="auto" w:fill="FFFFFF"/>
          </w:tcPr>
          <w:p w:rsidR="00103107" w:rsidRPr="00CC3F44" w:rsidRDefault="00103107" w:rsidP="00103107">
            <w:pPr>
              <w:jc w:val="center"/>
            </w:pPr>
            <w:r w:rsidRPr="00CC3F44">
              <w:rPr>
                <w:rFonts w:cs="Arial"/>
                <w:color w:val="A6A6A6" w:themeColor="background1" w:themeShade="A6"/>
                <w:sz w:val="22"/>
                <w:szCs w:val="22"/>
              </w:rPr>
              <w:sym w:font="Wingdings" w:char="F06C"/>
            </w:r>
          </w:p>
        </w:tc>
      </w:tr>
      <w:tr w:rsidR="00103107" w:rsidRPr="00AF5E7C" w:rsidTr="00103107">
        <w:trPr>
          <w:cantSplit/>
          <w:trHeight w:val="336"/>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Рост влиятельности и активности ВОИС в социальных сетях</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shd w:val="clear" w:color="auto" w:fill="FFFFFF"/>
          </w:tcPr>
          <w:p w:rsidR="00103107" w:rsidRPr="00CC3F44" w:rsidRDefault="00103107" w:rsidP="00103107">
            <w:pPr>
              <w:jc w:val="center"/>
            </w:pPr>
            <w:r w:rsidRPr="00CC3F44">
              <w:rPr>
                <w:rFonts w:cs="Arial"/>
                <w:sz w:val="22"/>
                <w:szCs w:val="22"/>
              </w:rPr>
              <w:sym w:font="Wingdings" w:char="F06C"/>
            </w:r>
            <w:r w:rsidRPr="00CC3F44">
              <w:rPr>
                <w:rFonts w:cs="Arial"/>
                <w:color w:val="008000"/>
                <w:sz w:val="22"/>
                <w:szCs w:val="22"/>
              </w:rPr>
              <w:sym w:font="Wingdings" w:char="F06C"/>
            </w:r>
          </w:p>
        </w:tc>
      </w:tr>
      <w:tr w:rsidR="00103107" w:rsidRPr="00AF5E7C" w:rsidTr="00103107">
        <w:trPr>
          <w:cantSplit/>
          <w:trHeight w:val="335"/>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Повышение посещаемости веб-сайта внешних бюро</w:t>
            </w:r>
          </w:p>
        </w:tc>
        <w:tc>
          <w:tcPr>
            <w:tcW w:w="924"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A6A6A6" w:themeColor="background1" w:themeShade="A6"/>
                <w:sz w:val="22"/>
                <w:szCs w:val="22"/>
              </w:rPr>
              <w:sym w:font="Wingdings" w:char="F06C"/>
            </w:r>
            <w:r w:rsidRPr="00CC3F44">
              <w:rPr>
                <w:rFonts w:cs="Arial"/>
                <w:color w:val="008000"/>
                <w:sz w:val="22"/>
                <w:szCs w:val="22"/>
              </w:rPr>
              <w:sym w:font="Wingdings" w:char="F06C"/>
            </w:r>
            <w:r w:rsidRPr="00CC3F44">
              <w:rPr>
                <w:rFonts w:cs="Arial"/>
                <w:color w:val="E26B0A"/>
                <w:sz w:val="22"/>
                <w:szCs w:val="22"/>
              </w:rPr>
              <w:sym w:font="Wingdings" w:char="F06C"/>
            </w:r>
          </w:p>
        </w:tc>
      </w:tr>
      <w:tr w:rsidR="00103107" w:rsidRPr="00AF5E7C" w:rsidTr="00103107">
        <w:trPr>
          <w:cantSplit/>
          <w:trHeight w:val="202"/>
        </w:trPr>
        <w:tc>
          <w:tcPr>
            <w:tcW w:w="1541"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VIII.2. Повышение степени ориентации на услуги и оперативности реагирования на запросы</w:t>
            </w: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пользователей, выразивших удовлетворенность услугами Библиотеки</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232"/>
        </w:trPr>
        <w:tc>
          <w:tcPr>
            <w:tcW w:w="1541" w:type="pct"/>
            <w:vMerge/>
            <w:shd w:val="clear" w:color="auto" w:fill="auto"/>
            <w:tcMar>
              <w:top w:w="113" w:type="dxa"/>
              <w:bottom w:w="85" w:type="dxa"/>
            </w:tcMar>
          </w:tcPr>
          <w:p w:rsidR="00103107" w:rsidRPr="00AF5E7C" w:rsidRDefault="00103107" w:rsidP="00103107">
            <w:pPr>
              <w:rPr>
                <w:rFonts w:cs="Arial"/>
                <w:sz w:val="16"/>
                <w:szCs w:val="16"/>
              </w:rPr>
            </w:pPr>
          </w:p>
        </w:tc>
        <w:tc>
          <w:tcPr>
            <w:tcW w:w="2160" w:type="pct"/>
            <w:vMerge w:val="restar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Степень удовлетворенности клиентов/ заинтересованных лиц</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A6A6A6" w:themeColor="background1" w:themeShade="A6"/>
                <w:sz w:val="22"/>
                <w:szCs w:val="22"/>
              </w:rPr>
              <w:sym w:font="Wingdings" w:char="F06C"/>
            </w:r>
          </w:p>
        </w:tc>
      </w:tr>
      <w:tr w:rsidR="00103107" w:rsidRPr="00AF5E7C" w:rsidTr="00103107">
        <w:trPr>
          <w:cantSplit/>
          <w:trHeight w:val="231"/>
        </w:trPr>
        <w:tc>
          <w:tcPr>
            <w:tcW w:w="1541" w:type="pct"/>
            <w:vMerge/>
            <w:shd w:val="clear" w:color="auto" w:fill="auto"/>
            <w:tcMar>
              <w:top w:w="113" w:type="dxa"/>
              <w:bottom w:w="85" w:type="dxa"/>
            </w:tcMar>
          </w:tcPr>
          <w:p w:rsidR="00103107" w:rsidRPr="00AF5E7C" w:rsidRDefault="00103107" w:rsidP="00103107">
            <w:pPr>
              <w:rPr>
                <w:rFonts w:cs="Arial"/>
                <w:sz w:val="16"/>
                <w:szCs w:val="16"/>
              </w:rPr>
            </w:pPr>
          </w:p>
        </w:tc>
        <w:tc>
          <w:tcPr>
            <w:tcW w:w="2160" w:type="pct"/>
            <w:vMerge/>
            <w:shd w:val="clear" w:color="auto" w:fill="auto"/>
            <w:tcMar>
              <w:top w:w="113" w:type="dxa"/>
              <w:bottom w:w="85" w:type="dxa"/>
            </w:tcMar>
          </w:tcPr>
          <w:p w:rsidR="00103107" w:rsidRPr="00512DF2" w:rsidRDefault="00103107" w:rsidP="00103107">
            <w:pPr>
              <w:rPr>
                <w:rFonts w:cs="Arial"/>
                <w:sz w:val="16"/>
                <w:szCs w:val="16"/>
              </w:rPr>
            </w:pPr>
          </w:p>
        </w:tc>
        <w:tc>
          <w:tcPr>
            <w:tcW w:w="924"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A6A6A6" w:themeColor="background1" w:themeShade="A6"/>
                <w:sz w:val="22"/>
                <w:szCs w:val="22"/>
              </w:rPr>
              <w:sym w:font="Wingdings" w:char="F06C"/>
            </w:r>
            <w:r w:rsidRPr="00CC3F44">
              <w:rPr>
                <w:rFonts w:cs="Arial"/>
                <w:color w:val="A6A6A6" w:themeColor="background1" w:themeShade="A6"/>
                <w:sz w:val="22"/>
                <w:szCs w:val="22"/>
              </w:rPr>
              <w:sym w:font="Wingdings" w:char="F06C"/>
            </w:r>
            <w:r w:rsidRPr="00CC3F44">
              <w:rPr>
                <w:rFonts w:cs="Arial"/>
                <w:color w:val="008000"/>
                <w:sz w:val="22"/>
                <w:szCs w:val="22"/>
              </w:rPr>
              <w:sym w:font="Wingdings" w:char="F06C"/>
            </w:r>
          </w:p>
        </w:tc>
      </w:tr>
      <w:tr w:rsidR="00103107" w:rsidRPr="00AF5E7C" w:rsidTr="00103107">
        <w:trPr>
          <w:cantSplit/>
          <w:trHeight w:val="317"/>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Целевые показатели стандартов обслуживания в соответствии с информацией, размещенной на веб-сайте ВОИС</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19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p>
        </w:tc>
      </w:tr>
      <w:tr w:rsidR="00103107" w:rsidRPr="00AF5E7C" w:rsidTr="00103107">
        <w:trPr>
          <w:cantSplit/>
          <w:trHeight w:val="297"/>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Время отклика на информационные запросы</w:t>
            </w:r>
          </w:p>
        </w:tc>
        <w:tc>
          <w:tcPr>
            <w:tcW w:w="924"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375" w:type="pct"/>
            <w:shd w:val="clear" w:color="auto" w:fill="FFFFFF"/>
          </w:tcPr>
          <w:p w:rsidR="00103107" w:rsidRPr="00CC3F44" w:rsidRDefault="00103107" w:rsidP="00103107">
            <w:pPr>
              <w:jc w:val="center"/>
            </w:pPr>
            <w:r w:rsidRPr="00CC3F44">
              <w:rPr>
                <w:rFonts w:cs="Arial"/>
                <w:color w:val="A6A6A6" w:themeColor="background1" w:themeShade="A6"/>
                <w:sz w:val="22"/>
                <w:szCs w:val="22"/>
              </w:rPr>
              <w:sym w:font="Wingdings" w:char="F06C"/>
            </w:r>
            <w:r w:rsidRPr="00CC3F44">
              <w:rPr>
                <w:rFonts w:cs="Arial"/>
                <w:color w:val="A6A6A6" w:themeColor="background1" w:themeShade="A6"/>
                <w:sz w:val="22"/>
                <w:szCs w:val="22"/>
              </w:rPr>
              <w:sym w:font="Wingdings" w:char="F06C"/>
            </w:r>
            <w:r w:rsidRPr="00CC3F44">
              <w:rPr>
                <w:rFonts w:cs="Arial"/>
                <w:color w:val="008000"/>
                <w:sz w:val="22"/>
                <w:szCs w:val="22"/>
              </w:rPr>
              <w:sym w:font="Wingdings" w:char="F06C"/>
            </w:r>
          </w:p>
        </w:tc>
      </w:tr>
      <w:tr w:rsidR="00103107" w:rsidRPr="00AF5E7C" w:rsidTr="00103107">
        <w:trPr>
          <w:cantSplit/>
          <w:trHeight w:val="463"/>
        </w:trPr>
        <w:tc>
          <w:tcPr>
            <w:tcW w:w="1541"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VIII.3. Эффективное взаимодействие с государствами-членами</w:t>
            </w: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заседаний комитетов, перед которыми для государств-членов организовывались предварительные информационные заседания</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21 </w:t>
            </w:r>
          </w:p>
        </w:tc>
        <w:tc>
          <w:tcPr>
            <w:tcW w:w="3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427"/>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писем ГД от государств-членов, на которые были даны ответы в течение двух недель</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21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AF5E7C" w:rsidTr="00103107">
        <w:trPr>
          <w:cantSplit/>
          <w:trHeight w:val="535"/>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случаев присоединения и других действий государств-членов, связанных с договорами ВОИС, которые обрабатываются в надлежащие сроки</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21 </w:t>
            </w:r>
          </w:p>
        </w:tc>
        <w:tc>
          <w:tcPr>
            <w:tcW w:w="3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409"/>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Уровень удовлетворенности государств-членов подготовкой и функционированием Ассамблей</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21 </w:t>
            </w:r>
          </w:p>
        </w:tc>
        <w:tc>
          <w:tcPr>
            <w:tcW w:w="3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337"/>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970B2F" w:rsidRDefault="00103107" w:rsidP="00103107">
            <w:pPr>
              <w:rPr>
                <w:rFonts w:cs="Arial"/>
                <w:sz w:val="16"/>
                <w:szCs w:val="16"/>
              </w:rPr>
            </w:pPr>
            <w:r w:rsidRPr="003A588C">
              <w:rPr>
                <w:rFonts w:cs="Arial"/>
                <w:sz w:val="16"/>
                <w:szCs w:val="16"/>
                <w:lang w:val="ru-RU"/>
              </w:rPr>
              <w:t>Своевременность публикации документов Ассамблей</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21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AF5E7C" w:rsidTr="00103107">
        <w:trPr>
          <w:cantSplit/>
          <w:trHeight w:val="522"/>
        </w:trPr>
        <w:tc>
          <w:tcPr>
            <w:tcW w:w="1541"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87% (данные обследования Ассамблей ВОИС 2014 г.)</w:t>
            </w: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Более широкое и эффективное участие неправительственных заинтересованных сторон в мероприятиях ВОИС и участие ВОИС в их мероприятиях</w:t>
            </w:r>
          </w:p>
        </w:tc>
        <w:tc>
          <w:tcPr>
            <w:tcW w:w="924"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3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537"/>
        </w:trPr>
        <w:tc>
          <w:tcPr>
            <w:tcW w:w="1541"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VIII.5. ВОИС эффективно осуществляет взаимодействие и партнерское сотрудничество в рамках процессов и переговоров по линии ООН и других МПО</w:t>
            </w: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Использование материалов ВОИС в отчетах, резолюциях и документах соответствующих мероприятий.</w:t>
            </w:r>
          </w:p>
        </w:tc>
        <w:tc>
          <w:tcPr>
            <w:tcW w:w="924"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3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373"/>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ответов на внешние запросы о предоставлении материалов от ООН, МПО и т.д.</w:t>
            </w:r>
          </w:p>
        </w:tc>
        <w:tc>
          <w:tcPr>
            <w:tcW w:w="924"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r w:rsidR="00103107" w:rsidRPr="00AF5E7C" w:rsidTr="00103107">
        <w:trPr>
          <w:cantSplit/>
          <w:trHeight w:val="436"/>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Число программ в области ИС, реализованных совместно с другими органами ООН и иными МПО</w:t>
            </w:r>
          </w:p>
        </w:tc>
        <w:tc>
          <w:tcPr>
            <w:tcW w:w="924" w:type="pct"/>
            <w:shd w:val="clear" w:color="auto" w:fill="FFFFFF"/>
            <w:tcMar>
              <w:top w:w="113" w:type="dxa"/>
              <w:bottom w:w="85" w:type="dxa"/>
            </w:tcMar>
          </w:tcPr>
          <w:p w:rsidR="00103107" w:rsidRPr="004F6688" w:rsidRDefault="00103107" w:rsidP="00103107">
            <w:pPr>
              <w:jc w:val="center"/>
              <w:rPr>
                <w:rFonts w:cs="Arial"/>
                <w:sz w:val="16"/>
                <w:szCs w:val="16"/>
                <w:lang w:val="ru-RU" w:bidi="th-TH"/>
              </w:rPr>
            </w:pPr>
            <w:r w:rsidRPr="003A588C">
              <w:rPr>
                <w:rFonts w:cs="Arial"/>
                <w:sz w:val="16"/>
                <w:szCs w:val="16"/>
                <w:lang w:val="ru-RU" w:bidi="th-TH"/>
              </w:rPr>
              <w:t xml:space="preserve">Программа 20 </w:t>
            </w:r>
          </w:p>
        </w:tc>
        <w:tc>
          <w:tcPr>
            <w:tcW w:w="3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247"/>
        </w:trPr>
        <w:tc>
          <w:tcPr>
            <w:tcW w:w="1541" w:type="pct"/>
            <w:shd w:val="clear" w:color="auto" w:fill="auto"/>
            <w:tcMar>
              <w:top w:w="113" w:type="dxa"/>
              <w:bottom w:w="85" w:type="dxa"/>
            </w:tcMar>
          </w:tcPr>
          <w:p w:rsidR="00103107" w:rsidRPr="0092679D"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Новые совместные инициативы с учреждениями ООН</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21 </w:t>
            </w:r>
          </w:p>
        </w:tc>
        <w:tc>
          <w:tcPr>
            <w:tcW w:w="375" w:type="pct"/>
            <w:shd w:val="clear" w:color="auto" w:fill="FFFFFF"/>
          </w:tcPr>
          <w:p w:rsidR="00103107" w:rsidRPr="00CC3F44" w:rsidRDefault="00103107" w:rsidP="00103107">
            <w:pPr>
              <w:jc w:val="center"/>
            </w:pPr>
            <w:r w:rsidRPr="00CC3F44">
              <w:rPr>
                <w:rFonts w:cs="Arial"/>
                <w:color w:val="008000"/>
                <w:sz w:val="22"/>
                <w:szCs w:val="22"/>
              </w:rPr>
              <w:sym w:font="Wingdings" w:char="F06C"/>
            </w:r>
          </w:p>
        </w:tc>
      </w:tr>
      <w:tr w:rsidR="00103107" w:rsidRPr="00AF5E7C" w:rsidTr="00103107">
        <w:trPr>
          <w:cantSplit/>
          <w:trHeight w:val="383"/>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bCs/>
                <w:sz w:val="16"/>
                <w:szCs w:val="16"/>
                <w:lang w:val="ru-RU"/>
              </w:rPr>
            </w:pPr>
            <w:r w:rsidRPr="003A588C">
              <w:rPr>
                <w:rFonts w:cs="Arial"/>
                <w:bCs/>
                <w:sz w:val="16"/>
                <w:szCs w:val="16"/>
                <w:lang w:val="ru-RU"/>
              </w:rPr>
              <w:t>Выполненные рекомендации КВУУ и вспомогательных сетевых структур</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24 </w:t>
            </w:r>
          </w:p>
        </w:tc>
        <w:tc>
          <w:tcPr>
            <w:tcW w:w="375" w:type="pct"/>
            <w:shd w:val="clear" w:color="auto" w:fill="FFFFFF"/>
          </w:tcPr>
          <w:p w:rsidR="00103107" w:rsidRPr="00CC3F44" w:rsidRDefault="00103107" w:rsidP="00103107">
            <w:pPr>
              <w:jc w:val="center"/>
            </w:pPr>
            <w:r w:rsidRPr="00CC3F44">
              <w:rPr>
                <w:rFonts w:cs="Arial"/>
                <w:color w:val="A6A6A6" w:themeColor="background1" w:themeShade="A6"/>
                <w:sz w:val="22"/>
                <w:szCs w:val="22"/>
              </w:rPr>
              <w:sym w:font="Wingdings" w:char="F06C"/>
            </w:r>
          </w:p>
        </w:tc>
      </w:tr>
      <w:tr w:rsidR="00103107" w:rsidRPr="00AF5E7C" w:rsidTr="00103107">
        <w:trPr>
          <w:cantSplit/>
          <w:trHeight w:val="400"/>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товаров и услуг местного производства в общем объеме товаров и услуг, приобретенных на нужды деятельности в целях развития</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24 </w:t>
            </w:r>
          </w:p>
        </w:tc>
        <w:tc>
          <w:tcPr>
            <w:tcW w:w="375" w:type="pct"/>
            <w:shd w:val="clear" w:color="auto" w:fill="FFFFFF"/>
          </w:tcPr>
          <w:p w:rsidR="00103107" w:rsidRPr="00CC3F44" w:rsidRDefault="00103107" w:rsidP="00103107">
            <w:pPr>
              <w:jc w:val="center"/>
            </w:pPr>
            <w:r w:rsidRPr="00CC3F44">
              <w:rPr>
                <w:rFonts w:cs="Arial"/>
                <w:color w:val="FF0000"/>
                <w:sz w:val="22"/>
                <w:szCs w:val="22"/>
              </w:rPr>
              <w:sym w:font="Wingdings" w:char="F06C"/>
            </w:r>
            <w:r w:rsidRPr="00CC3F44">
              <w:rPr>
                <w:rFonts w:cs="Arial"/>
                <w:color w:val="008000"/>
                <w:sz w:val="22"/>
                <w:szCs w:val="22"/>
              </w:rPr>
              <w:sym w:font="Wingdings" w:char="F06C"/>
            </w:r>
          </w:p>
        </w:tc>
      </w:tr>
      <w:tr w:rsidR="00103107" w:rsidRPr="00AF5E7C" w:rsidTr="00103107">
        <w:trPr>
          <w:cantSplit/>
          <w:trHeight w:val="518"/>
        </w:trPr>
        <w:tc>
          <w:tcPr>
            <w:tcW w:w="1541" w:type="pct"/>
            <w:shd w:val="clear" w:color="auto" w:fill="auto"/>
            <w:tcMar>
              <w:top w:w="113" w:type="dxa"/>
              <w:bottom w:w="85" w:type="dxa"/>
            </w:tcMar>
          </w:tcPr>
          <w:p w:rsidR="00103107" w:rsidRPr="00AF5E7C" w:rsidRDefault="00103107" w:rsidP="00103107">
            <w:pPr>
              <w:rPr>
                <w:rFonts w:cs="Arial"/>
                <w:sz w:val="16"/>
                <w:szCs w:val="16"/>
              </w:rPr>
            </w:pPr>
          </w:p>
        </w:tc>
        <w:tc>
          <w:tcPr>
            <w:tcW w:w="2160" w:type="pct"/>
            <w:shd w:val="clear" w:color="auto" w:fill="auto"/>
            <w:tcMar>
              <w:top w:w="113" w:type="dxa"/>
              <w:bottom w:w="85" w:type="dxa"/>
            </w:tcMar>
          </w:tcPr>
          <w:p w:rsidR="00103107" w:rsidRPr="004F6688" w:rsidRDefault="00103107" w:rsidP="00103107">
            <w:pPr>
              <w:rPr>
                <w:rFonts w:cs="Arial"/>
                <w:sz w:val="16"/>
                <w:szCs w:val="16"/>
                <w:lang w:val="ru-RU"/>
              </w:rPr>
            </w:pPr>
            <w:r w:rsidRPr="003A588C">
              <w:rPr>
                <w:rFonts w:cs="Arial"/>
                <w:sz w:val="16"/>
                <w:szCs w:val="16"/>
                <w:lang w:val="ru-RU"/>
              </w:rPr>
              <w:t>Доля (%) ресурсов, затраченных с экономией за счет кооперации с ООН (путем организации общих торгов или совместных закупок)</w:t>
            </w:r>
          </w:p>
        </w:tc>
        <w:tc>
          <w:tcPr>
            <w:tcW w:w="924" w:type="pct"/>
            <w:shd w:val="clear" w:color="auto" w:fill="FFFFFF"/>
            <w:tcMar>
              <w:top w:w="113" w:type="dxa"/>
              <w:bottom w:w="85" w:type="dxa"/>
            </w:tcMar>
          </w:tcPr>
          <w:p w:rsidR="00103107" w:rsidRPr="00AF5E7C" w:rsidRDefault="00103107" w:rsidP="00103107">
            <w:pPr>
              <w:jc w:val="center"/>
              <w:rPr>
                <w:rFonts w:cs="Arial"/>
                <w:sz w:val="16"/>
                <w:szCs w:val="16"/>
                <w:lang w:bidi="th-TH"/>
              </w:rPr>
            </w:pPr>
            <w:r w:rsidRPr="003A588C">
              <w:rPr>
                <w:rFonts w:cs="Arial"/>
                <w:sz w:val="16"/>
                <w:szCs w:val="16"/>
                <w:lang w:val="ru-RU" w:bidi="th-TH"/>
              </w:rPr>
              <w:t xml:space="preserve">Программа 24 </w:t>
            </w:r>
          </w:p>
        </w:tc>
        <w:tc>
          <w:tcPr>
            <w:tcW w:w="375" w:type="pct"/>
            <w:shd w:val="clear" w:color="auto" w:fill="FFFFFF"/>
          </w:tcPr>
          <w:p w:rsidR="00103107" w:rsidRPr="00CC3F44" w:rsidRDefault="00103107" w:rsidP="00103107">
            <w:pPr>
              <w:jc w:val="center"/>
              <w:rPr>
                <w:rFonts w:cs="Arial"/>
                <w:color w:val="A6A6A6" w:themeColor="background1" w:themeShade="A6"/>
                <w:sz w:val="22"/>
                <w:szCs w:val="22"/>
              </w:rPr>
            </w:pPr>
            <w:r w:rsidRPr="00CC3F44">
              <w:rPr>
                <w:rFonts w:cs="Arial"/>
                <w:color w:val="008000"/>
                <w:sz w:val="22"/>
                <w:szCs w:val="22"/>
              </w:rPr>
              <w:sym w:font="Wingdings" w:char="F06C"/>
            </w:r>
          </w:p>
        </w:tc>
      </w:tr>
    </w:tbl>
    <w:p w:rsidR="00103107" w:rsidRDefault="00103107" w:rsidP="00103107">
      <w:pPr>
        <w:rPr>
          <w:lang w:val="ru-RU"/>
        </w:rPr>
      </w:pPr>
    </w:p>
    <w:p w:rsidR="00DD7BA9" w:rsidRDefault="00DD7BA9" w:rsidP="00845557">
      <w:pPr>
        <w:jc w:val="center"/>
      </w:pPr>
    </w:p>
    <w:p w:rsidR="00D97F1C" w:rsidRDefault="00D97F1C">
      <w:r>
        <w:br w:type="page"/>
      </w:r>
    </w:p>
    <w:p w:rsidR="0055116C" w:rsidRPr="0055116C" w:rsidRDefault="0055116C" w:rsidP="0055116C">
      <w:pPr>
        <w:pStyle w:val="Heading2"/>
        <w:tabs>
          <w:tab w:val="clear" w:pos="567"/>
          <w:tab w:val="left" w:pos="1985"/>
        </w:tabs>
        <w:ind w:left="1985" w:hanging="1985"/>
        <w:jc w:val="both"/>
        <w:rPr>
          <w:sz w:val="20"/>
          <w:szCs w:val="16"/>
          <w:lang w:val="ru-RU"/>
        </w:rPr>
      </w:pPr>
      <w:bookmarkStart w:id="115" w:name="_Toc422210507"/>
      <w:bookmarkStart w:id="116" w:name="_Toc455388131"/>
      <w:r w:rsidRPr="0055116C">
        <w:rPr>
          <w:sz w:val="20"/>
          <w:szCs w:val="16"/>
          <w:lang w:val="ru-RU"/>
        </w:rPr>
        <w:t>ПРОГРАММА 19</w:t>
      </w:r>
      <w:r w:rsidRPr="0055116C">
        <w:rPr>
          <w:sz w:val="20"/>
          <w:szCs w:val="16"/>
          <w:lang w:val="ru-RU"/>
        </w:rPr>
        <w:tab/>
        <w:t>КОММУНИКАЦИЯ</w:t>
      </w:r>
      <w:bookmarkEnd w:id="115"/>
      <w:bookmarkEnd w:id="116"/>
    </w:p>
    <w:p w:rsidR="0055116C" w:rsidRPr="0055116C" w:rsidRDefault="0055116C" w:rsidP="0055116C">
      <w:pPr>
        <w:tabs>
          <w:tab w:val="left" w:pos="1985"/>
        </w:tabs>
        <w:jc w:val="both"/>
        <w:rPr>
          <w:szCs w:val="16"/>
          <w:lang w:val="ru-RU"/>
        </w:rPr>
      </w:pPr>
    </w:p>
    <w:p w:rsidR="0055116C" w:rsidRPr="0055116C" w:rsidRDefault="0055116C" w:rsidP="0055116C">
      <w:pPr>
        <w:tabs>
          <w:tab w:val="left" w:pos="1985"/>
        </w:tabs>
        <w:jc w:val="both"/>
        <w:rPr>
          <w:b/>
          <w:szCs w:val="16"/>
          <w:lang w:val="ru-RU"/>
        </w:rPr>
      </w:pPr>
      <w:r w:rsidRPr="0055116C">
        <w:rPr>
          <w:b/>
          <w:szCs w:val="16"/>
          <w:lang w:val="ru-RU"/>
        </w:rPr>
        <w:t>Руководитель программы:</w:t>
      </w:r>
      <w:r w:rsidRPr="0055116C">
        <w:rPr>
          <w:szCs w:val="16"/>
          <w:lang w:val="ru-RU"/>
        </w:rPr>
        <w:t xml:space="preserve"> </w:t>
      </w:r>
      <w:r w:rsidRPr="0055116C">
        <w:rPr>
          <w:szCs w:val="16"/>
          <w:lang w:val="ru-RU"/>
        </w:rPr>
        <w:tab/>
      </w:r>
      <w:r w:rsidRPr="0055116C">
        <w:rPr>
          <w:b/>
          <w:szCs w:val="16"/>
          <w:lang w:val="ru-RU"/>
        </w:rPr>
        <w:t>г-н Дж. Тарпи</w:t>
      </w:r>
      <w:r w:rsidR="004105A7">
        <w:rPr>
          <w:b/>
          <w:szCs w:val="16"/>
          <w:lang w:val="ru-RU"/>
        </w:rPr>
        <w:t xml:space="preserve"> (исполняющий обязанности)</w:t>
      </w:r>
    </w:p>
    <w:p w:rsidR="0055116C" w:rsidRPr="0055116C" w:rsidRDefault="0055116C" w:rsidP="0055116C">
      <w:pPr>
        <w:jc w:val="both"/>
        <w:rPr>
          <w:szCs w:val="16"/>
          <w:lang w:val="ru-RU"/>
        </w:rPr>
      </w:pPr>
    </w:p>
    <w:p w:rsidR="0055116C" w:rsidRPr="0055116C" w:rsidRDefault="0055116C" w:rsidP="0055116C">
      <w:pPr>
        <w:jc w:val="both"/>
        <w:rPr>
          <w:szCs w:val="16"/>
          <w:lang w:val="ru-RU"/>
        </w:rPr>
      </w:pPr>
    </w:p>
    <w:p w:rsidR="0055116C" w:rsidRPr="0055116C" w:rsidRDefault="0055116C" w:rsidP="0055116C">
      <w:pPr>
        <w:jc w:val="both"/>
        <w:rPr>
          <w:bCs/>
          <w:szCs w:val="16"/>
          <w:lang w:val="ru-RU"/>
        </w:rPr>
      </w:pPr>
      <w:r w:rsidRPr="0055116C">
        <w:rPr>
          <w:szCs w:val="16"/>
          <w:lang w:val="ru-RU"/>
        </w:rPr>
        <w:t>ОБЗОР ДОСТИЖЕНИЙ ЗА ДВУХЛЕТНИЙ ПЕРИОД 2014–2015 ГГ.</w:t>
      </w:r>
    </w:p>
    <w:p w:rsidR="0055116C" w:rsidRPr="0055116C" w:rsidRDefault="0055116C" w:rsidP="0055116C">
      <w:pPr>
        <w:shd w:val="clear" w:color="auto" w:fill="FFFFFF"/>
        <w:rPr>
          <w:b/>
          <w:szCs w:val="16"/>
          <w:lang w:val="ru-RU"/>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В рамках программы 19 продолжалась работа над созданием актуального высококачественного контента и его распространением, над обеспечением наглядности деятельности ВОИС и понимания общественностью ее сути, а также над укреплением культуры обслуживания в Организации.</w:t>
      </w:r>
    </w:p>
    <w:p w:rsidR="0055116C" w:rsidRPr="0055116C" w:rsidRDefault="0055116C" w:rsidP="0055116C">
      <w:pPr>
        <w:pStyle w:val="ListParagraph"/>
        <w:tabs>
          <w:tab w:val="left" w:pos="709"/>
        </w:tabs>
        <w:ind w:left="0"/>
        <w:jc w:val="both"/>
        <w:rPr>
          <w:rFonts w:cs="Arial"/>
          <w:szCs w:val="16"/>
          <w:lang w:val="ru-RU"/>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 xml:space="preserve">Благодаря проекту по рассылке электронных информационных писем было разработано новое решение в области </w:t>
      </w:r>
      <w:r w:rsidRPr="0055116C">
        <w:rPr>
          <w:b/>
          <w:szCs w:val="16"/>
          <w:lang w:val="ru-RU"/>
        </w:rPr>
        <w:t>маркетинга с помощью электронной почты</w:t>
      </w:r>
      <w:r w:rsidRPr="0055116C">
        <w:rPr>
          <w:szCs w:val="16"/>
          <w:lang w:val="ru-RU"/>
        </w:rPr>
        <w:t>, которое трансформировало возможности ВОИС по обеспечению эффективных, специализированных, цифровых коммуникаций для заинтересованных сторон.  В рамках этого проекта была проведена полная перестройка и изменение дизайна системы подписки ВОИС, дающей возможность выбирать из множества вариантов электронных писем, была внедрена новая политика в области электронных информационных писем в целях оказания качественных услуг подписчикам, а в июне 2015</w:t>
      </w:r>
      <w:r w:rsidRPr="008B3CE4">
        <w:rPr>
          <w:szCs w:val="16"/>
        </w:rPr>
        <w:t> </w:t>
      </w:r>
      <w:r w:rsidRPr="0055116C">
        <w:rPr>
          <w:szCs w:val="16"/>
          <w:lang w:val="ru-RU"/>
        </w:rPr>
        <w:t>г. начала работу высокотехнологичная почтовая платформа, позволяющая рассылать электронные информационные письма на шести языках.  В первые полгода функционирования этой платформы были разосланы 508</w:t>
      </w:r>
      <w:r>
        <w:rPr>
          <w:szCs w:val="16"/>
        </w:rPr>
        <w:t> </w:t>
      </w:r>
      <w:r w:rsidRPr="0055116C">
        <w:rPr>
          <w:szCs w:val="16"/>
          <w:lang w:val="ru-RU"/>
        </w:rPr>
        <w:t xml:space="preserve">информационных писем о различных областях деятельности ВОИС. На ее основе также была создана новостная рассылка </w:t>
      </w:r>
      <w:r w:rsidRPr="008B3CE4">
        <w:rPr>
          <w:szCs w:val="16"/>
        </w:rPr>
        <w:t>WIPO</w:t>
      </w:r>
      <w:r w:rsidRPr="0055116C">
        <w:rPr>
          <w:szCs w:val="16"/>
          <w:lang w:val="ru-RU"/>
        </w:rPr>
        <w:t xml:space="preserve"> </w:t>
      </w:r>
      <w:r w:rsidRPr="008B3CE4">
        <w:rPr>
          <w:szCs w:val="16"/>
        </w:rPr>
        <w:t>Wire</w:t>
      </w:r>
      <w:r w:rsidRPr="0055116C">
        <w:rPr>
          <w:szCs w:val="16"/>
          <w:lang w:val="ru-RU"/>
        </w:rPr>
        <w:t xml:space="preserve">, которая направляется подписчикам раз в две недели на шести языках и благодаря которой впервые появилась возможность быстро и интерактивно получать последнюю информацию обо всех мероприятиях и бесплатных ресурсах ВОИС.  В первые полгода после запуска </w:t>
      </w:r>
      <w:r w:rsidRPr="008B3CE4">
        <w:rPr>
          <w:szCs w:val="16"/>
        </w:rPr>
        <w:t>WIPO</w:t>
      </w:r>
      <w:r w:rsidRPr="0055116C">
        <w:rPr>
          <w:szCs w:val="16"/>
          <w:lang w:val="ru-RU"/>
        </w:rPr>
        <w:t xml:space="preserve"> </w:t>
      </w:r>
      <w:r w:rsidRPr="008B3CE4">
        <w:rPr>
          <w:szCs w:val="16"/>
        </w:rPr>
        <w:t>Wire</w:t>
      </w:r>
      <w:r w:rsidRPr="0055116C">
        <w:rPr>
          <w:szCs w:val="16"/>
          <w:lang w:val="ru-RU"/>
        </w:rPr>
        <w:t xml:space="preserve"> (в период до конца 2015</w:t>
      </w:r>
      <w:r w:rsidRPr="008B3CE4">
        <w:rPr>
          <w:szCs w:val="16"/>
        </w:rPr>
        <w:t> </w:t>
      </w:r>
      <w:r w:rsidRPr="0055116C">
        <w:rPr>
          <w:szCs w:val="16"/>
          <w:lang w:val="ru-RU"/>
        </w:rPr>
        <w:t>г.) число подписчиков превысило 10</w:t>
      </w:r>
      <w:r>
        <w:rPr>
          <w:szCs w:val="16"/>
        </w:rPr>
        <w:t> </w:t>
      </w:r>
      <w:r w:rsidRPr="0055116C">
        <w:rPr>
          <w:szCs w:val="16"/>
          <w:lang w:val="ru-RU"/>
        </w:rPr>
        <w:t>000 человек; среди них официальные лица государств-членов, специалисты в области ИС и директивные органы из 173 стран.</w:t>
      </w:r>
    </w:p>
    <w:p w:rsidR="0055116C" w:rsidRPr="0055116C" w:rsidRDefault="0055116C" w:rsidP="0055116C">
      <w:pPr>
        <w:pStyle w:val="ListParagraph"/>
        <w:tabs>
          <w:tab w:val="left" w:pos="709"/>
        </w:tabs>
        <w:ind w:left="0"/>
        <w:jc w:val="both"/>
        <w:rPr>
          <w:rFonts w:cs="Arial"/>
          <w:szCs w:val="16"/>
          <w:lang w:val="ru-RU"/>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 xml:space="preserve">Благодаря созданию более интегрированного контента и медиа-стратегии удалось обеспечить более эффективное </w:t>
      </w:r>
      <w:r w:rsidRPr="0055116C">
        <w:rPr>
          <w:b/>
          <w:szCs w:val="16"/>
          <w:lang w:val="ru-RU"/>
        </w:rPr>
        <w:t>воздействие</w:t>
      </w:r>
      <w:r w:rsidRPr="0055116C">
        <w:rPr>
          <w:szCs w:val="16"/>
          <w:lang w:val="ru-RU"/>
        </w:rPr>
        <w:t xml:space="preserve"> средств коммуникации при проведении крупных мероприятий ВОИС и выпуске новых продуктов.  В Лондоне Глобальный индекс инноваций (ГИИ) получил в </w:t>
      </w:r>
      <w:r w:rsidRPr="008B3CE4">
        <w:rPr>
          <w:szCs w:val="16"/>
        </w:rPr>
        <w:t>Twitter</w:t>
      </w:r>
      <w:r w:rsidRPr="0055116C">
        <w:rPr>
          <w:szCs w:val="16"/>
          <w:lang w:val="ru-RU"/>
        </w:rPr>
        <w:t xml:space="preserve"> статус «</w:t>
      </w:r>
      <w:r w:rsidRPr="008B3CE4">
        <w:rPr>
          <w:szCs w:val="16"/>
        </w:rPr>
        <w:t>trending</w:t>
      </w:r>
      <w:r w:rsidRPr="0055116C">
        <w:rPr>
          <w:szCs w:val="16"/>
          <w:lang w:val="ru-RU"/>
        </w:rPr>
        <w:t>» в день его презентации в Соединенном Королевстве в 2015</w:t>
      </w:r>
      <w:r w:rsidRPr="008B3CE4">
        <w:rPr>
          <w:szCs w:val="16"/>
        </w:rPr>
        <w:t> </w:t>
      </w:r>
      <w:r w:rsidRPr="0055116C">
        <w:rPr>
          <w:szCs w:val="16"/>
          <w:lang w:val="ru-RU"/>
        </w:rPr>
        <w:t>г.  Освещение в наиболее влиятельных мировых СМИ помогло позиционировать ключевые доклады ВОИС по вопросам ИС (ГИИ, Доклад о положении дел в сфере интеллектуальной собственности (</w:t>
      </w:r>
      <w:r w:rsidRPr="008B3CE4">
        <w:rPr>
          <w:szCs w:val="16"/>
        </w:rPr>
        <w:t>WIPR</w:t>
      </w:r>
      <w:r w:rsidRPr="0055116C">
        <w:rPr>
          <w:szCs w:val="16"/>
          <w:lang w:val="ru-RU"/>
        </w:rPr>
        <w:t xml:space="preserve">), ежегодные обзоры работы системы </w:t>
      </w:r>
      <w:r w:rsidRPr="008B3CE4">
        <w:rPr>
          <w:szCs w:val="16"/>
        </w:rPr>
        <w:t>PC</w:t>
      </w:r>
      <w:r>
        <w:rPr>
          <w:szCs w:val="16"/>
        </w:rPr>
        <w:t>T</w:t>
      </w:r>
      <w:r w:rsidRPr="0055116C">
        <w:rPr>
          <w:szCs w:val="16"/>
          <w:lang w:val="ru-RU"/>
        </w:rPr>
        <w:t xml:space="preserve">, Мадридской и Гаагской систем и отчет «Мировые показатели деятельности в области интеллектуальной собственности») в качестве глобального источника справочной информации по ИС и данных об инновациях.  Благодаря работе по продвижению </w:t>
      </w:r>
      <w:r w:rsidRPr="008B3CE4">
        <w:rPr>
          <w:szCs w:val="16"/>
        </w:rPr>
        <w:t>WIPR</w:t>
      </w:r>
      <w:r w:rsidRPr="0055116C">
        <w:rPr>
          <w:szCs w:val="16"/>
          <w:lang w:val="ru-RU"/>
        </w:rPr>
        <w:t>, в течение недели после его выпуска было опубликовано около 200 статей.  Согласованные усилия в работе с прессой и социальными СМИ в целях продвижения Дакарской министерской конференции 2014</w:t>
      </w:r>
      <w:r w:rsidRPr="008B3CE4">
        <w:rPr>
          <w:szCs w:val="16"/>
        </w:rPr>
        <w:t> </w:t>
      </w:r>
      <w:r w:rsidRPr="0055116C">
        <w:rPr>
          <w:szCs w:val="16"/>
          <w:lang w:val="ru-RU"/>
        </w:rPr>
        <w:t>г. позволили обеспечить широкое освещение этого мероприятия на радио и телевидении африканских стран, способствуя повышению общественного интереса к вопросам ИС и развития. При проведении всех крупных мероприятий создавались веб-страницы на всех шести языках. В рамках усилий по поддержке Консорциума доступных книг (</w:t>
      </w:r>
      <w:r w:rsidRPr="008B3CE4">
        <w:rPr>
          <w:szCs w:val="16"/>
        </w:rPr>
        <w:t>A</w:t>
      </w:r>
      <w:r>
        <w:rPr>
          <w:szCs w:val="16"/>
        </w:rPr>
        <w:t>BC</w:t>
      </w:r>
      <w:r w:rsidRPr="0055116C">
        <w:rPr>
          <w:szCs w:val="16"/>
          <w:lang w:val="ru-RU"/>
        </w:rPr>
        <w:t xml:space="preserve">) был снят интересный видеоролик о деятельности </w:t>
      </w:r>
      <w:r w:rsidRPr="008B3CE4">
        <w:rPr>
          <w:szCs w:val="16"/>
        </w:rPr>
        <w:t>ABC</w:t>
      </w:r>
      <w:r w:rsidRPr="0055116C">
        <w:rPr>
          <w:szCs w:val="16"/>
          <w:lang w:val="ru-RU"/>
        </w:rPr>
        <w:t xml:space="preserve"> в Индии, направленной на создание потенциала.  </w:t>
      </w:r>
    </w:p>
    <w:p w:rsidR="0055116C" w:rsidRPr="0055116C" w:rsidRDefault="0055116C" w:rsidP="0055116C">
      <w:pPr>
        <w:pStyle w:val="ListParagraph"/>
        <w:tabs>
          <w:tab w:val="left" w:pos="709"/>
        </w:tabs>
        <w:ind w:left="0"/>
        <w:jc w:val="both"/>
        <w:rPr>
          <w:rFonts w:cs="Arial"/>
          <w:szCs w:val="16"/>
          <w:lang w:val="ru-RU"/>
        </w:rPr>
      </w:pPr>
    </w:p>
    <w:p w:rsidR="0055116C" w:rsidRPr="0055116C" w:rsidRDefault="00B82873" w:rsidP="00B82873">
      <w:pPr>
        <w:pStyle w:val="ListParagraph"/>
        <w:numPr>
          <w:ilvl w:val="0"/>
          <w:numId w:val="63"/>
        </w:numPr>
        <w:tabs>
          <w:tab w:val="left" w:pos="709"/>
        </w:tabs>
        <w:ind w:left="0" w:firstLine="0"/>
        <w:rPr>
          <w:rFonts w:cs="Arial"/>
          <w:szCs w:val="16"/>
          <w:lang w:val="ru-RU"/>
        </w:rPr>
      </w:pPr>
      <w:r>
        <w:rPr>
          <w:szCs w:val="16"/>
          <w:lang w:val="ru-RU"/>
        </w:rPr>
        <w:t>В обоих годах</w:t>
      </w:r>
      <w:r w:rsidR="0055116C" w:rsidRPr="0055116C">
        <w:rPr>
          <w:szCs w:val="16"/>
          <w:lang w:val="ru-RU"/>
        </w:rPr>
        <w:t xml:space="preserve"> рассматриваемого двухлетнего периода </w:t>
      </w:r>
      <w:r w:rsidR="0055116C" w:rsidRPr="0055116C">
        <w:rPr>
          <w:b/>
          <w:szCs w:val="16"/>
          <w:lang w:val="ru-RU"/>
        </w:rPr>
        <w:t>участие</w:t>
      </w:r>
      <w:r w:rsidR="0055116C" w:rsidRPr="0055116C">
        <w:rPr>
          <w:szCs w:val="16"/>
          <w:lang w:val="ru-RU"/>
        </w:rPr>
        <w:t xml:space="preserve"> государств-членов и общественности в ежегодной кампании, приуроченной к Международному дню интеллектуальной собственности, оставалось на рекордно высоком уровне.  Тема 2015</w:t>
      </w:r>
      <w:r w:rsidR="0055116C" w:rsidRPr="008B3CE4">
        <w:rPr>
          <w:szCs w:val="16"/>
        </w:rPr>
        <w:t> </w:t>
      </w:r>
      <w:r w:rsidR="0055116C" w:rsidRPr="0055116C">
        <w:rPr>
          <w:szCs w:val="16"/>
          <w:lang w:val="ru-RU"/>
        </w:rPr>
        <w:t>г. «Поднимайся, вставай! За музыку!» стала основой для проведения порядка 350 мероприятий, посвященных ИС, в 105 странах (тогда как в 2013</w:t>
      </w:r>
      <w:r w:rsidR="0055116C" w:rsidRPr="008B3CE4">
        <w:rPr>
          <w:szCs w:val="16"/>
        </w:rPr>
        <w:t> </w:t>
      </w:r>
      <w:r w:rsidR="0055116C" w:rsidRPr="0055116C">
        <w:rPr>
          <w:szCs w:val="16"/>
          <w:lang w:val="ru-RU"/>
        </w:rPr>
        <w:t>г. было проведено 236 мероприятий в 93 странах), включая пользовавшиеся большой популярностью круглые столы и выставки, организованные в штаб-квартире ВОИС. Число потенциальных просмотров твитов ВОИС с тэгом #</w:t>
      </w:r>
      <w:r w:rsidR="0055116C" w:rsidRPr="008B3CE4">
        <w:rPr>
          <w:szCs w:val="16"/>
        </w:rPr>
        <w:t>WorldIPDay</w:t>
      </w:r>
      <w:r w:rsidR="0055116C" w:rsidRPr="0055116C">
        <w:rPr>
          <w:szCs w:val="16"/>
          <w:lang w:val="ru-RU"/>
        </w:rPr>
        <w:t xml:space="preserve"> в 2015</w:t>
      </w:r>
      <w:r w:rsidR="0055116C" w:rsidRPr="008B3CE4">
        <w:rPr>
          <w:szCs w:val="16"/>
        </w:rPr>
        <w:t> </w:t>
      </w:r>
      <w:r w:rsidR="0055116C" w:rsidRPr="0055116C">
        <w:rPr>
          <w:szCs w:val="16"/>
          <w:lang w:val="ru-RU"/>
        </w:rPr>
        <w:t>г. достигло 5,2</w:t>
      </w:r>
      <w:r w:rsidR="0055116C" w:rsidRPr="008B3CE4">
        <w:rPr>
          <w:szCs w:val="16"/>
        </w:rPr>
        <w:t> </w:t>
      </w:r>
      <w:r w:rsidR="0055116C" w:rsidRPr="0055116C">
        <w:rPr>
          <w:szCs w:val="16"/>
          <w:lang w:val="ru-RU"/>
        </w:rPr>
        <w:t>млн (тогда как в 2013</w:t>
      </w:r>
      <w:r w:rsidR="0055116C" w:rsidRPr="008B3CE4">
        <w:rPr>
          <w:szCs w:val="16"/>
        </w:rPr>
        <w:t> </w:t>
      </w:r>
      <w:r w:rsidR="0055116C" w:rsidRPr="0055116C">
        <w:rPr>
          <w:szCs w:val="16"/>
          <w:lang w:val="ru-RU"/>
        </w:rPr>
        <w:t>г. их число составило 1,55</w:t>
      </w:r>
      <w:r w:rsidR="0055116C" w:rsidRPr="008B3CE4">
        <w:rPr>
          <w:szCs w:val="16"/>
        </w:rPr>
        <w:t> </w:t>
      </w:r>
      <w:r w:rsidR="0055116C" w:rsidRPr="0055116C">
        <w:rPr>
          <w:szCs w:val="16"/>
          <w:lang w:val="ru-RU"/>
        </w:rPr>
        <w:t>млн). Кроме того, было сделано около 900 ретвитов.  Характер участия был действительно глобальным: в 2014</w:t>
      </w:r>
      <w:r w:rsidR="0055116C" w:rsidRPr="008B3CE4">
        <w:rPr>
          <w:szCs w:val="16"/>
        </w:rPr>
        <w:t> </w:t>
      </w:r>
      <w:r w:rsidR="0055116C" w:rsidRPr="0055116C">
        <w:rPr>
          <w:szCs w:val="16"/>
          <w:lang w:val="ru-RU"/>
        </w:rPr>
        <w:t xml:space="preserve">г. число просмотров на китайском языке превысило число просмотров на английском языке, а наибольшее число «лайков» страницы в </w:t>
      </w:r>
      <w:r w:rsidR="0055116C" w:rsidRPr="008B3CE4">
        <w:rPr>
          <w:szCs w:val="16"/>
        </w:rPr>
        <w:t>Facebook</w:t>
      </w:r>
      <w:r w:rsidR="0055116C" w:rsidRPr="0055116C">
        <w:rPr>
          <w:szCs w:val="16"/>
          <w:lang w:val="ru-RU"/>
        </w:rPr>
        <w:t xml:space="preserve"> приходилось (в порядке убывания) на Индию, Соединенные Штаты Америки, Мексику, Египет и Бразилию.</w:t>
      </w:r>
    </w:p>
    <w:p w:rsidR="0055116C" w:rsidRPr="0055116C" w:rsidRDefault="0055116C" w:rsidP="0055116C">
      <w:pPr>
        <w:pStyle w:val="ListParagraph"/>
        <w:tabs>
          <w:tab w:val="left" w:pos="709"/>
        </w:tabs>
        <w:ind w:left="0"/>
        <w:jc w:val="both"/>
        <w:rPr>
          <w:rFonts w:cs="Arial"/>
          <w:szCs w:val="16"/>
          <w:lang w:val="ru-RU"/>
        </w:rPr>
      </w:pPr>
    </w:p>
    <w:p w:rsidR="0055116C" w:rsidRPr="008B3CE4" w:rsidRDefault="0055116C" w:rsidP="0055116C">
      <w:pPr>
        <w:pStyle w:val="ListParagraph"/>
        <w:numPr>
          <w:ilvl w:val="0"/>
          <w:numId w:val="63"/>
        </w:numPr>
        <w:tabs>
          <w:tab w:val="left" w:pos="709"/>
        </w:tabs>
        <w:ind w:left="0" w:firstLine="0"/>
        <w:jc w:val="both"/>
        <w:rPr>
          <w:rFonts w:cs="Arial"/>
          <w:szCs w:val="16"/>
        </w:rPr>
      </w:pPr>
      <w:r w:rsidRPr="0055116C">
        <w:rPr>
          <w:szCs w:val="16"/>
          <w:lang w:val="ru-RU"/>
        </w:rPr>
        <w:t>В рамках прямого взаимодействия проводилась популярная Программа брифингов ВОИС.  В</w:t>
      </w:r>
      <w:r>
        <w:rPr>
          <w:szCs w:val="16"/>
        </w:rPr>
        <w:t> </w:t>
      </w:r>
      <w:r w:rsidRPr="0055116C">
        <w:rPr>
          <w:szCs w:val="16"/>
          <w:lang w:val="ru-RU"/>
        </w:rPr>
        <w:t>2014–2015</w:t>
      </w:r>
      <w:r>
        <w:rPr>
          <w:szCs w:val="16"/>
        </w:rPr>
        <w:t> </w:t>
      </w:r>
      <w:r w:rsidRPr="0055116C">
        <w:rPr>
          <w:szCs w:val="16"/>
          <w:lang w:val="ru-RU"/>
        </w:rPr>
        <w:t xml:space="preserve">гг. сотрудники провели специально подготовленные презентации для 178 групп посетителей (в их число вошли 4000 студентов университетов со всего мира).  Участие в местных мероприятиях, таких как День открытых дверей ООН, также дало возможности для эффективного общения с общественностью </w:t>
      </w:r>
      <w:r w:rsidRPr="008B3CE4">
        <w:rPr>
          <w:szCs w:val="16"/>
        </w:rPr>
        <w:t>Женевы.</w:t>
      </w:r>
    </w:p>
    <w:p w:rsidR="0055116C" w:rsidRPr="008B3CE4" w:rsidRDefault="0055116C" w:rsidP="0055116C">
      <w:pPr>
        <w:pStyle w:val="ListParagraph"/>
        <w:tabs>
          <w:tab w:val="left" w:pos="709"/>
        </w:tabs>
        <w:ind w:left="0"/>
        <w:jc w:val="both"/>
        <w:rPr>
          <w:rFonts w:cs="Arial"/>
          <w:szCs w:val="16"/>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В 2014–2015</w:t>
      </w:r>
      <w:r w:rsidRPr="008B3CE4">
        <w:rPr>
          <w:szCs w:val="16"/>
        </w:rPr>
        <w:t> </w:t>
      </w:r>
      <w:r w:rsidRPr="0055116C">
        <w:rPr>
          <w:szCs w:val="16"/>
          <w:lang w:val="ru-RU"/>
        </w:rPr>
        <w:t xml:space="preserve">гг. работа по созданию качественного </w:t>
      </w:r>
      <w:r w:rsidRPr="0055116C">
        <w:rPr>
          <w:b/>
          <w:szCs w:val="16"/>
          <w:lang w:val="ru-RU"/>
        </w:rPr>
        <w:t>текстового и визуального контента</w:t>
      </w:r>
      <w:r w:rsidRPr="0055116C">
        <w:rPr>
          <w:szCs w:val="16"/>
          <w:lang w:val="ru-RU"/>
        </w:rPr>
        <w:t xml:space="preserve"> продолжала давать свои плоды.  Число ретвитов инфографики, созданной для презентации данных ГИИ 2015</w:t>
      </w:r>
      <w:r w:rsidRPr="008B3CE4">
        <w:rPr>
          <w:szCs w:val="16"/>
        </w:rPr>
        <w:t> </w:t>
      </w:r>
      <w:r w:rsidRPr="0055116C">
        <w:rPr>
          <w:szCs w:val="16"/>
          <w:lang w:val="ru-RU"/>
        </w:rPr>
        <w:t>г., превысило 400, что сделало этот пост наиболее цитируемым постом ВОИС в соцсетях на данный момент. В 2014–2015</w:t>
      </w:r>
      <w:r w:rsidRPr="008B3CE4">
        <w:rPr>
          <w:szCs w:val="16"/>
        </w:rPr>
        <w:t> </w:t>
      </w:r>
      <w:r w:rsidRPr="0055116C">
        <w:rPr>
          <w:szCs w:val="16"/>
          <w:lang w:val="ru-RU"/>
        </w:rPr>
        <w:t>гг. было создано более 425 дизайнерских продуктов для использования в печати и онлайн, включая флаеры, публикации, веб-контент и рекламные материалы на разных языках.  Число уникальных просмотров страницы выходящего раз в два месяца Журнала ВОИС в отчетный период превысило один миллион (т.е. этот показатель вырос на 19 процентов), а читатели регулярно делились статьями из него в социальных сетях.  Обновленный онлайновый Медиацентр стал окном, позволяющим посмотреть на работу ВОИС и увидеть, какую пользу общественности она приносит. В его работе используется видеоконтент, короткие доклады и более длинные повествовательные формы.  Число просмотров традиционных пресс-релизов несколько снизилось (на 1,6</w:t>
      </w:r>
      <w:r w:rsidRPr="008B3CE4">
        <w:rPr>
          <w:szCs w:val="16"/>
        </w:rPr>
        <w:t> </w:t>
      </w:r>
      <w:r w:rsidRPr="0055116C">
        <w:rPr>
          <w:szCs w:val="16"/>
          <w:lang w:val="ru-RU"/>
        </w:rPr>
        <w:t>процента), что соответствует глобальным тенденциям в сфере средств коммуникации, а число просмотров наиболее доступного контента Медиацентра в рассматриваемый двухлетний период превысило 500</w:t>
      </w:r>
      <w:r w:rsidRPr="008B3CE4">
        <w:rPr>
          <w:szCs w:val="16"/>
        </w:rPr>
        <w:t> </w:t>
      </w:r>
      <w:r w:rsidRPr="0055116C">
        <w:rPr>
          <w:szCs w:val="16"/>
          <w:lang w:val="ru-RU"/>
        </w:rPr>
        <w:t xml:space="preserve">000.  </w:t>
      </w:r>
    </w:p>
    <w:p w:rsidR="0055116C" w:rsidRPr="0055116C" w:rsidRDefault="0055116C" w:rsidP="0055116C">
      <w:pPr>
        <w:pStyle w:val="ListParagraph"/>
        <w:tabs>
          <w:tab w:val="left" w:pos="709"/>
        </w:tabs>
        <w:ind w:left="0"/>
        <w:jc w:val="both"/>
        <w:rPr>
          <w:rFonts w:cs="Arial"/>
          <w:szCs w:val="16"/>
          <w:lang w:val="ru-RU"/>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 xml:space="preserve">ВОИС продолжала все более активно создавать видеоматериалы, так как такая форма передачи информации является наиболее популярной в мире.  Было создано 272 новых видеоролика, из которых 161 был размещен на </w:t>
      </w:r>
      <w:r w:rsidRPr="008B3CE4">
        <w:rPr>
          <w:szCs w:val="16"/>
        </w:rPr>
        <w:t>YouTube</w:t>
      </w:r>
      <w:r w:rsidRPr="0055116C">
        <w:rPr>
          <w:szCs w:val="16"/>
          <w:lang w:val="ru-RU"/>
        </w:rPr>
        <w:t xml:space="preserve"> в 2014–2015</w:t>
      </w:r>
      <w:r w:rsidRPr="008B3CE4">
        <w:rPr>
          <w:szCs w:val="16"/>
        </w:rPr>
        <w:t> </w:t>
      </w:r>
      <w:r w:rsidRPr="0055116C">
        <w:rPr>
          <w:szCs w:val="16"/>
          <w:lang w:val="ru-RU"/>
        </w:rPr>
        <w:t>гг. Среди них были новостные материалы, истории изобретателей/авторов произведений и рекламно-информационные материалы.  Хотя резкий скачок числа просмотров детских мультфильмов про Пороро, наблюдавшийся в 2012–2013</w:t>
      </w:r>
      <w:r w:rsidRPr="008B3CE4">
        <w:rPr>
          <w:szCs w:val="16"/>
        </w:rPr>
        <w:t> </w:t>
      </w:r>
      <w:r w:rsidRPr="0055116C">
        <w:rPr>
          <w:szCs w:val="16"/>
          <w:lang w:val="ru-RU"/>
        </w:rPr>
        <w:t xml:space="preserve">гг., пошел на спад, показатели числа просмотров других видеороликов (не мультфильмов) продолжали расти.  Число просмотров материалов, размещенных на канале ВОИС на сайте </w:t>
      </w:r>
      <w:r w:rsidRPr="008B3CE4">
        <w:rPr>
          <w:szCs w:val="16"/>
        </w:rPr>
        <w:t>YouTube</w:t>
      </w:r>
      <w:r w:rsidRPr="0055116C">
        <w:rPr>
          <w:szCs w:val="16"/>
          <w:lang w:val="ru-RU"/>
        </w:rPr>
        <w:t>, за период с момента его создания в апреле 2010</w:t>
      </w:r>
      <w:r w:rsidRPr="008B3CE4">
        <w:rPr>
          <w:szCs w:val="16"/>
        </w:rPr>
        <w:t> </w:t>
      </w:r>
      <w:r w:rsidRPr="0055116C">
        <w:rPr>
          <w:szCs w:val="16"/>
          <w:lang w:val="ru-RU"/>
        </w:rPr>
        <w:t xml:space="preserve">г. превысило девять миллионов.  Число просмотров фотографий ВОИС на сайте </w:t>
      </w:r>
      <w:r w:rsidRPr="008B3CE4">
        <w:rPr>
          <w:szCs w:val="16"/>
        </w:rPr>
        <w:t>Flickr</w:t>
      </w:r>
      <w:r w:rsidRPr="0055116C">
        <w:rPr>
          <w:szCs w:val="16"/>
          <w:lang w:val="ru-RU"/>
        </w:rPr>
        <w:t xml:space="preserve"> в 2014–2015</w:t>
      </w:r>
      <w:r w:rsidRPr="008B3CE4">
        <w:rPr>
          <w:szCs w:val="16"/>
        </w:rPr>
        <w:t> </w:t>
      </w:r>
      <w:r w:rsidRPr="0055116C">
        <w:rPr>
          <w:szCs w:val="16"/>
          <w:lang w:val="ru-RU"/>
        </w:rPr>
        <w:t>гг. превысило 2,5</w:t>
      </w:r>
      <w:r w:rsidRPr="008B3CE4">
        <w:rPr>
          <w:szCs w:val="16"/>
        </w:rPr>
        <w:t> </w:t>
      </w:r>
      <w:r w:rsidRPr="0055116C">
        <w:rPr>
          <w:szCs w:val="16"/>
          <w:lang w:val="ru-RU"/>
        </w:rPr>
        <w:t>млн, а общее число просмотров достигло 3,4 млн (тогда как в 2012–2013</w:t>
      </w:r>
      <w:r w:rsidRPr="008B3CE4">
        <w:rPr>
          <w:szCs w:val="16"/>
        </w:rPr>
        <w:t> </w:t>
      </w:r>
      <w:r w:rsidRPr="0055116C">
        <w:rPr>
          <w:szCs w:val="16"/>
          <w:lang w:val="ru-RU"/>
        </w:rPr>
        <w:t>гг. их было 900</w:t>
      </w:r>
      <w:r w:rsidRPr="008B3CE4">
        <w:rPr>
          <w:szCs w:val="16"/>
        </w:rPr>
        <w:t> </w:t>
      </w:r>
      <w:r w:rsidRPr="0055116C">
        <w:rPr>
          <w:szCs w:val="16"/>
          <w:lang w:val="ru-RU"/>
        </w:rPr>
        <w:t>000).</w:t>
      </w:r>
    </w:p>
    <w:p w:rsidR="0055116C" w:rsidRPr="0055116C" w:rsidRDefault="0055116C" w:rsidP="0055116C">
      <w:pPr>
        <w:pStyle w:val="ListParagraph"/>
        <w:tabs>
          <w:tab w:val="left" w:pos="709"/>
        </w:tabs>
        <w:ind w:left="0"/>
        <w:jc w:val="both"/>
        <w:rPr>
          <w:rFonts w:cs="Arial"/>
          <w:szCs w:val="16"/>
          <w:lang w:val="ru-RU"/>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 xml:space="preserve">В ходе работы на втором этапе проекта по комплексному обновлению </w:t>
      </w:r>
      <w:r w:rsidRPr="0055116C">
        <w:rPr>
          <w:b/>
          <w:szCs w:val="16"/>
          <w:lang w:val="ru-RU"/>
        </w:rPr>
        <w:t>сайта</w:t>
      </w:r>
      <w:r w:rsidRPr="0055116C">
        <w:rPr>
          <w:szCs w:val="16"/>
          <w:lang w:val="ru-RU"/>
        </w:rPr>
        <w:t xml:space="preserve"> ВОИС были достигнуты хорошие результаты с точки зрения систематической «очистки», улучшения и изменения дизайна страниц нижнего уровня, улучшения функциональности поиска, технического совершенствования системы управления контентом и подготовки к внедрению в 2016</w:t>
      </w:r>
      <w:r w:rsidRPr="008B3CE4">
        <w:rPr>
          <w:szCs w:val="16"/>
        </w:rPr>
        <w:t> </w:t>
      </w:r>
      <w:r w:rsidRPr="0055116C">
        <w:rPr>
          <w:szCs w:val="16"/>
          <w:lang w:val="ru-RU"/>
        </w:rPr>
        <w:t>г. дальнейших улучшений визуального дизайна. Новый веб-контент создавался, в частности, для внешних бюро, по теме «женщины и ИС», для Ассамблей, а также для всех крупных мероприятий, продуктов и новых инициатив.  Одной из приоритетных задач было обеспечение большей оперативности при переводе и публикации веб-контента на всех шести языках.  В 2015</w:t>
      </w:r>
      <w:r w:rsidRPr="008B3CE4">
        <w:rPr>
          <w:szCs w:val="16"/>
        </w:rPr>
        <w:t> </w:t>
      </w:r>
      <w:r w:rsidRPr="0055116C">
        <w:rPr>
          <w:szCs w:val="16"/>
          <w:lang w:val="ru-RU"/>
        </w:rPr>
        <w:t xml:space="preserve">г. сотрудники Отдела письменных переводов прошли обучение, в ходе которого они научились размещать контент на арабском, китайском и русском языках напрямую на сайте, что позволило повысить качество, увеличить объемы и скорость размещения публикаций в интернете на этих языках.  Что касается присутствия ВОИС в </w:t>
      </w:r>
      <w:r w:rsidRPr="0055116C">
        <w:rPr>
          <w:b/>
          <w:szCs w:val="16"/>
          <w:lang w:val="ru-RU"/>
        </w:rPr>
        <w:t>социальных медиа</w:t>
      </w:r>
      <w:r w:rsidRPr="0055116C">
        <w:rPr>
          <w:szCs w:val="16"/>
          <w:lang w:val="ru-RU"/>
        </w:rPr>
        <w:t xml:space="preserve">, то высокий уровень активности отмечался в </w:t>
      </w:r>
      <w:r>
        <w:rPr>
          <w:szCs w:val="16"/>
        </w:rPr>
        <w:t>Twitter</w:t>
      </w:r>
      <w:r w:rsidRPr="0055116C">
        <w:rPr>
          <w:szCs w:val="16"/>
          <w:lang w:val="ru-RU"/>
        </w:rPr>
        <w:t>; также начался пересмотр стратегии работы в соцсетях на 2016–2017</w:t>
      </w:r>
      <w:r w:rsidRPr="008B3CE4">
        <w:rPr>
          <w:szCs w:val="16"/>
        </w:rPr>
        <w:t> </w:t>
      </w:r>
      <w:r w:rsidRPr="0055116C">
        <w:rPr>
          <w:szCs w:val="16"/>
          <w:lang w:val="ru-RU"/>
        </w:rPr>
        <w:t xml:space="preserve">гг. </w:t>
      </w:r>
    </w:p>
    <w:p w:rsidR="0055116C" w:rsidRPr="0055116C" w:rsidRDefault="0055116C" w:rsidP="0055116C">
      <w:pPr>
        <w:pStyle w:val="ListParagraph"/>
        <w:tabs>
          <w:tab w:val="left" w:pos="709"/>
        </w:tabs>
        <w:ind w:left="0"/>
        <w:jc w:val="both"/>
        <w:rPr>
          <w:rFonts w:cs="Arial"/>
          <w:szCs w:val="16"/>
          <w:lang w:val="ru-RU"/>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 xml:space="preserve">Проходила реализация политики в области распространения </w:t>
      </w:r>
      <w:r w:rsidRPr="0055116C">
        <w:rPr>
          <w:b/>
          <w:szCs w:val="16"/>
          <w:lang w:val="ru-RU"/>
        </w:rPr>
        <w:t>публикаций</w:t>
      </w:r>
      <w:r w:rsidRPr="0055116C">
        <w:rPr>
          <w:szCs w:val="16"/>
          <w:lang w:val="ru-RU"/>
        </w:rPr>
        <w:t>. Ее задача состояла в том, чтобы все публикации и исследования ВОИС были доступны для бесплатной загрузки онлайн.  Были активизированы усилия по снижению объема производства, хранения и отправки бумажных публикаций. В частности, началось использование внешнего сервиса печати «по требованию».  Новая система управления публикациями, которая была внедрена в конце 2015</w:t>
      </w:r>
      <w:r w:rsidRPr="008B3CE4">
        <w:rPr>
          <w:szCs w:val="16"/>
        </w:rPr>
        <w:t> </w:t>
      </w:r>
      <w:r w:rsidRPr="0055116C">
        <w:rPr>
          <w:szCs w:val="16"/>
          <w:lang w:val="ru-RU"/>
        </w:rPr>
        <w:t>г. и заменила устаревшую систему контроля уровня запасов и обработки заказов, должна способствовать дальнейшему снижению издержек.  В ответ на запросы государств-членов в рассматриваемый двухлетний период были созданы еще 15 библиотек, где депонируются издания ВОИС, и их общее число достигло 105. При этом Библиотека ВОИС приняла 2</w:t>
      </w:r>
      <w:r w:rsidRPr="008B3CE4">
        <w:rPr>
          <w:szCs w:val="16"/>
        </w:rPr>
        <w:t> </w:t>
      </w:r>
      <w:r w:rsidRPr="0055116C">
        <w:rPr>
          <w:szCs w:val="16"/>
          <w:lang w:val="ru-RU"/>
        </w:rPr>
        <w:t>044 посетителей и ответила на 1</w:t>
      </w:r>
      <w:r w:rsidRPr="008B3CE4">
        <w:rPr>
          <w:szCs w:val="16"/>
        </w:rPr>
        <w:t> </w:t>
      </w:r>
      <w:r w:rsidRPr="0055116C">
        <w:rPr>
          <w:szCs w:val="16"/>
          <w:lang w:val="ru-RU"/>
        </w:rPr>
        <w:t xml:space="preserve">323 запроса о предоставлении информации из разных стран мира.  </w:t>
      </w:r>
    </w:p>
    <w:p w:rsidR="0055116C" w:rsidRPr="0055116C" w:rsidRDefault="0055116C" w:rsidP="0055116C">
      <w:pPr>
        <w:pStyle w:val="ListParagraph"/>
        <w:tabs>
          <w:tab w:val="left" w:pos="709"/>
        </w:tabs>
        <w:ind w:left="0"/>
        <w:jc w:val="both"/>
        <w:rPr>
          <w:rFonts w:cs="Arial"/>
          <w:szCs w:val="16"/>
          <w:lang w:val="ru-RU"/>
        </w:rPr>
      </w:pPr>
    </w:p>
    <w:p w:rsidR="0055116C" w:rsidRPr="008B3CE4" w:rsidRDefault="0055116C" w:rsidP="0055116C">
      <w:pPr>
        <w:pStyle w:val="ListParagraph"/>
        <w:numPr>
          <w:ilvl w:val="0"/>
          <w:numId w:val="63"/>
        </w:numPr>
        <w:tabs>
          <w:tab w:val="left" w:pos="709"/>
        </w:tabs>
        <w:ind w:left="0" w:firstLine="0"/>
        <w:jc w:val="both"/>
        <w:rPr>
          <w:rFonts w:cs="Arial"/>
          <w:szCs w:val="16"/>
        </w:rPr>
      </w:pPr>
      <w:r w:rsidRPr="0055116C">
        <w:rPr>
          <w:szCs w:val="16"/>
          <w:lang w:val="ru-RU"/>
        </w:rPr>
        <w:t>Работа по созданию бренда, проводившаяся в 2012–2013</w:t>
      </w:r>
      <w:r w:rsidRPr="008B3CE4">
        <w:rPr>
          <w:szCs w:val="16"/>
        </w:rPr>
        <w:t> </w:t>
      </w:r>
      <w:r w:rsidRPr="0055116C">
        <w:rPr>
          <w:szCs w:val="16"/>
          <w:lang w:val="ru-RU"/>
        </w:rPr>
        <w:t>гг. в целях повышения уровня узнаваемости фирменного стиля организации, активизировалась в 2014–2015</w:t>
      </w:r>
      <w:r>
        <w:rPr>
          <w:szCs w:val="16"/>
        </w:rPr>
        <w:t> </w:t>
      </w:r>
      <w:r w:rsidRPr="0055116C">
        <w:rPr>
          <w:szCs w:val="16"/>
          <w:lang w:val="ru-RU"/>
        </w:rPr>
        <w:t>гг.  В рамках процесса пересмотра текстовых и визуальным материалов обеспечивается ясность и последовательность в описании роли, миссии и ценностей ВОИС на систематической основе во всех средствах визуальной и вербальной коммуникации, используемых Организацией.  Проведенный в 2014</w:t>
      </w:r>
      <w:r w:rsidRPr="008B3CE4">
        <w:rPr>
          <w:szCs w:val="16"/>
        </w:rPr>
        <w:t> </w:t>
      </w:r>
      <w:r w:rsidRPr="0055116C">
        <w:rPr>
          <w:szCs w:val="16"/>
          <w:lang w:val="ru-RU"/>
        </w:rPr>
        <w:t xml:space="preserve">г. опрос заинтересованных сторон позволил выделить основные критерии, по которым о ВОИС судят ее партнеры, и разработать инструмент для мониторинга восприятия работы ВОИС по факторам, определяющим репутацию </w:t>
      </w:r>
      <w:r w:rsidRPr="008B3CE4">
        <w:rPr>
          <w:szCs w:val="16"/>
        </w:rPr>
        <w:t>Организации.</w:t>
      </w:r>
    </w:p>
    <w:p w:rsidR="0055116C" w:rsidRPr="008B3CE4" w:rsidRDefault="0055116C" w:rsidP="0055116C">
      <w:pPr>
        <w:pStyle w:val="ListParagraph"/>
        <w:tabs>
          <w:tab w:val="left" w:pos="709"/>
        </w:tabs>
        <w:ind w:left="0"/>
        <w:jc w:val="both"/>
        <w:rPr>
          <w:rFonts w:cs="Arial"/>
          <w:szCs w:val="16"/>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Твердая приверженность идее быстрого и эффективного реагирования на запросы разнообразных партнеров ВОИС по-прежнему лежала в основе работы, направленной на достижение цели Организации по продвижению культуры обслуживания, в рамках которой была разработана Хартия обслуживания клиентов ВОИС, проводились презентации для сотрудников, мероприятия по повышению уровня информированности и вторая Неделя сетевого этикета «Нэтикетт».  Сотрудники основного Центра по обслуживанию клиентов обработали 92</w:t>
      </w:r>
      <w:r w:rsidRPr="008B3CE4">
        <w:rPr>
          <w:szCs w:val="16"/>
        </w:rPr>
        <w:t> </w:t>
      </w:r>
      <w:r w:rsidRPr="0055116C">
        <w:rPr>
          <w:szCs w:val="16"/>
          <w:lang w:val="ru-RU"/>
        </w:rPr>
        <w:t>процента 10</w:t>
      </w:r>
      <w:r w:rsidRPr="008B3CE4">
        <w:rPr>
          <w:szCs w:val="16"/>
        </w:rPr>
        <w:t> </w:t>
      </w:r>
      <w:r w:rsidRPr="0055116C">
        <w:rPr>
          <w:szCs w:val="16"/>
          <w:lang w:val="ru-RU"/>
        </w:rPr>
        <w:t>280 запросов, поступивших менее чем за один рабочий день, и все 283 жалобы, полученные менее чем за восемь рабочих часов.  Система ВОИС для уведомления о поступивших запросах (</w:t>
      </w:r>
      <w:r w:rsidRPr="008B3CE4">
        <w:rPr>
          <w:szCs w:val="16"/>
        </w:rPr>
        <w:t>WINS</w:t>
      </w:r>
      <w:r w:rsidRPr="0055116C">
        <w:rPr>
          <w:szCs w:val="16"/>
          <w:lang w:val="ru-RU"/>
        </w:rPr>
        <w:t>) начала использоваться группами поддержки клиентов Мадридского реестра, дав им возможность более эффективно обрабатывать более 7</w:t>
      </w:r>
      <w:r w:rsidRPr="008B3CE4">
        <w:rPr>
          <w:szCs w:val="16"/>
        </w:rPr>
        <w:t> </w:t>
      </w:r>
      <w:r w:rsidRPr="0055116C">
        <w:rPr>
          <w:szCs w:val="16"/>
          <w:lang w:val="ru-RU"/>
        </w:rPr>
        <w:t>000 запросов, поступающих каждый месяц от клиентов этой системы, и 12</w:t>
      </w:r>
      <w:r w:rsidRPr="008B3CE4">
        <w:rPr>
          <w:szCs w:val="16"/>
        </w:rPr>
        <w:t> </w:t>
      </w:r>
      <w:r w:rsidRPr="0055116C">
        <w:rPr>
          <w:szCs w:val="16"/>
          <w:lang w:val="ru-RU"/>
        </w:rPr>
        <w:t xml:space="preserve">000 запросов по Организации в целом.  Мониторинг уровня </w:t>
      </w:r>
      <w:r w:rsidRPr="0055116C">
        <w:rPr>
          <w:b/>
          <w:szCs w:val="16"/>
          <w:lang w:val="ru-RU"/>
        </w:rPr>
        <w:t>удовлетворенности клиентов</w:t>
      </w:r>
      <w:r w:rsidRPr="0055116C">
        <w:rPr>
          <w:szCs w:val="16"/>
          <w:lang w:val="ru-RU"/>
        </w:rPr>
        <w:t xml:space="preserve"> включал в себя проведение комплексных обследований степени удовлетворенности (которые были впервые проведены на девяти языках) пользователей системы </w:t>
      </w:r>
      <w:r w:rsidRPr="008B3CE4">
        <w:rPr>
          <w:szCs w:val="16"/>
        </w:rPr>
        <w:t>PCT</w:t>
      </w:r>
      <w:r w:rsidRPr="0055116C">
        <w:rPr>
          <w:szCs w:val="16"/>
          <w:lang w:val="ru-RU"/>
        </w:rPr>
        <w:t xml:space="preserve"> и Мадридского реестра.</w:t>
      </w:r>
    </w:p>
    <w:p w:rsidR="0055116C" w:rsidRPr="0055116C" w:rsidRDefault="0055116C" w:rsidP="0055116C">
      <w:pPr>
        <w:pStyle w:val="ListParagraph"/>
        <w:tabs>
          <w:tab w:val="left" w:pos="709"/>
        </w:tabs>
        <w:ind w:left="0"/>
        <w:jc w:val="both"/>
        <w:rPr>
          <w:rFonts w:cs="Arial"/>
          <w:szCs w:val="16"/>
          <w:lang w:val="ru-RU"/>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Разработка, планирование и осуществление деятельности в рамках программы</w:t>
      </w:r>
      <w:r>
        <w:rPr>
          <w:szCs w:val="16"/>
        </w:rPr>
        <w:t> </w:t>
      </w:r>
      <w:r w:rsidRPr="0055116C">
        <w:rPr>
          <w:szCs w:val="16"/>
          <w:lang w:val="ru-RU"/>
        </w:rPr>
        <w:t>19 производилась с учетом и на основе рекомендаций ПДР.  По линии программы 19 продолжалась работа по созданию базы примеров из практики «</w:t>
      </w:r>
      <w:r>
        <w:rPr>
          <w:szCs w:val="16"/>
        </w:rPr>
        <w:t>IP</w:t>
      </w:r>
      <w:r w:rsidRPr="0055116C">
        <w:rPr>
          <w:szCs w:val="16"/>
          <w:lang w:val="ru-RU"/>
        </w:rPr>
        <w:t xml:space="preserve"> </w:t>
      </w:r>
      <w:r>
        <w:rPr>
          <w:szCs w:val="16"/>
        </w:rPr>
        <w:t>Advantage</w:t>
      </w:r>
      <w:r w:rsidRPr="0055116C">
        <w:rPr>
          <w:szCs w:val="16"/>
          <w:lang w:val="ru-RU"/>
        </w:rPr>
        <w:t>» (эта инициатива по линии ПДР была одобрена КРИС), веб-страницу которой в 2014–2015</w:t>
      </w:r>
      <w:r w:rsidRPr="008B3CE4">
        <w:rPr>
          <w:szCs w:val="16"/>
        </w:rPr>
        <w:t> </w:t>
      </w:r>
      <w:r w:rsidRPr="0055116C">
        <w:rPr>
          <w:szCs w:val="16"/>
          <w:lang w:val="ru-RU"/>
        </w:rPr>
        <w:t>гг. просматривали 468</w:t>
      </w:r>
      <w:r w:rsidRPr="008B3CE4">
        <w:rPr>
          <w:szCs w:val="16"/>
        </w:rPr>
        <w:t> </w:t>
      </w:r>
      <w:r w:rsidRPr="0055116C">
        <w:rPr>
          <w:szCs w:val="16"/>
          <w:lang w:val="ru-RU"/>
        </w:rPr>
        <w:t>200</w:t>
      </w:r>
      <w:r w:rsidRPr="008B3CE4">
        <w:rPr>
          <w:szCs w:val="16"/>
        </w:rPr>
        <w:t> </w:t>
      </w:r>
      <w:r w:rsidRPr="0055116C">
        <w:rPr>
          <w:szCs w:val="16"/>
          <w:lang w:val="ru-RU"/>
        </w:rPr>
        <w:t>раз (тогда как 2012–2013</w:t>
      </w:r>
      <w:r w:rsidRPr="008B3CE4">
        <w:rPr>
          <w:szCs w:val="16"/>
        </w:rPr>
        <w:t> </w:t>
      </w:r>
      <w:r w:rsidRPr="0055116C">
        <w:rPr>
          <w:szCs w:val="16"/>
          <w:lang w:val="ru-RU"/>
        </w:rPr>
        <w:t>гг. – 312</w:t>
      </w:r>
      <w:r w:rsidRPr="008B3CE4">
        <w:rPr>
          <w:szCs w:val="16"/>
        </w:rPr>
        <w:t> </w:t>
      </w:r>
      <w:r w:rsidRPr="0055116C">
        <w:rPr>
          <w:szCs w:val="16"/>
          <w:lang w:val="ru-RU"/>
        </w:rPr>
        <w:t>000</w:t>
      </w:r>
      <w:r w:rsidRPr="008B3CE4">
        <w:rPr>
          <w:szCs w:val="16"/>
        </w:rPr>
        <w:t> </w:t>
      </w:r>
      <w:r w:rsidRPr="0055116C">
        <w:rPr>
          <w:szCs w:val="16"/>
          <w:lang w:val="ru-RU"/>
        </w:rPr>
        <w:t xml:space="preserve">раз), и предоставлялись статьи, изображения, видеозаписи, сетевые и прочие материалы для коммуникационного обеспечения целого ряда продуктов и мероприятий других программ Организации. </w:t>
      </w:r>
    </w:p>
    <w:p w:rsidR="0055116C" w:rsidRPr="0055116C" w:rsidRDefault="0055116C" w:rsidP="0055116C">
      <w:pPr>
        <w:shd w:val="clear" w:color="auto" w:fill="FFFFFF"/>
        <w:jc w:val="both"/>
        <w:rPr>
          <w:rFonts w:cs="Arial"/>
          <w:szCs w:val="16"/>
          <w:lang w:val="ru-RU"/>
        </w:rPr>
      </w:pPr>
    </w:p>
    <w:p w:rsidR="0055116C" w:rsidRPr="0055116C" w:rsidRDefault="0055116C" w:rsidP="0055116C">
      <w:pPr>
        <w:shd w:val="clear" w:color="auto" w:fill="FFFFFF"/>
        <w:jc w:val="both"/>
        <w:rPr>
          <w:rFonts w:cs="Arial"/>
          <w:szCs w:val="16"/>
          <w:lang w:val="ru-RU"/>
        </w:rPr>
      </w:pPr>
    </w:p>
    <w:p w:rsidR="0055116C" w:rsidRPr="0055116C" w:rsidRDefault="0055116C" w:rsidP="0055116C">
      <w:pPr>
        <w:shd w:val="clear" w:color="auto" w:fill="FFFFFF"/>
        <w:jc w:val="both"/>
        <w:rPr>
          <w:rFonts w:cs="Arial"/>
          <w:szCs w:val="16"/>
          <w:lang w:val="ru-RU"/>
        </w:rPr>
      </w:pPr>
    </w:p>
    <w:p w:rsidR="0055116C" w:rsidRPr="008B3CE4" w:rsidRDefault="0055116C" w:rsidP="0055116C">
      <w:pPr>
        <w:shd w:val="clear" w:color="auto" w:fill="FFFFFF"/>
        <w:jc w:val="both"/>
        <w:rPr>
          <w:rFonts w:cs="Arial"/>
          <w:szCs w:val="16"/>
        </w:rPr>
      </w:pPr>
      <w:r w:rsidRPr="008B3CE4">
        <w:rPr>
          <w:szCs w:val="16"/>
        </w:rPr>
        <w:t>ДАННЫЕ О РЕЗУЛЬТАТИВНОСТИ</w:t>
      </w:r>
    </w:p>
    <w:p w:rsidR="0055116C" w:rsidRPr="006C4CF0" w:rsidRDefault="0055116C" w:rsidP="0055116C">
      <w:pPr>
        <w:jc w:val="both"/>
        <w:rPr>
          <w:b/>
          <w:sz w:val="16"/>
          <w:szCs w:val="16"/>
        </w:rPr>
      </w:pPr>
    </w:p>
    <w:tbl>
      <w:tblPr>
        <w:tblW w:w="5313" w:type="pct"/>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06"/>
        <w:gridCol w:w="61"/>
        <w:gridCol w:w="2646"/>
        <w:gridCol w:w="167"/>
        <w:gridCol w:w="1424"/>
        <w:gridCol w:w="602"/>
        <w:gridCol w:w="2107"/>
        <w:gridCol w:w="1157"/>
      </w:tblGrid>
      <w:tr w:rsidR="0055116C" w:rsidRPr="005C6ABD" w:rsidTr="0055116C">
        <w:trPr>
          <w:trHeight w:val="435"/>
        </w:trPr>
        <w:tc>
          <w:tcPr>
            <w:tcW w:w="5000" w:type="pct"/>
            <w:gridSpan w:val="8"/>
            <w:tcBorders>
              <w:top w:val="single" w:sz="4" w:space="0" w:color="auto"/>
              <w:bottom w:val="single" w:sz="4" w:space="0" w:color="auto"/>
            </w:tcBorders>
            <w:shd w:val="clear" w:color="auto" w:fill="C6D9F1" w:themeFill="text2" w:themeFillTint="33"/>
            <w:vAlign w:val="center"/>
          </w:tcPr>
          <w:p w:rsidR="0055116C" w:rsidRPr="0055116C" w:rsidRDefault="0055116C" w:rsidP="00D340AF">
            <w:pPr>
              <w:keepNext/>
              <w:keepLines/>
              <w:tabs>
                <w:tab w:val="left" w:pos="0"/>
              </w:tabs>
              <w:spacing w:before="120" w:after="120"/>
              <w:ind w:left="2268" w:hanging="2268"/>
              <w:rPr>
                <w:rFonts w:cs="Arial"/>
                <w:b/>
                <w:bCs/>
                <w:sz w:val="16"/>
                <w:szCs w:val="16"/>
                <w:lang w:val="ru-RU"/>
              </w:rPr>
            </w:pPr>
            <w:r w:rsidRPr="0055116C">
              <w:rPr>
                <w:b/>
                <w:sz w:val="16"/>
                <w:szCs w:val="16"/>
                <w:lang w:val="ru-RU"/>
              </w:rPr>
              <w:t xml:space="preserve">Ожидаемый результат: </w:t>
            </w:r>
            <w:r w:rsidRPr="0055116C">
              <w:rPr>
                <w:sz w:val="16"/>
                <w:szCs w:val="16"/>
                <w:lang w:val="ru-RU"/>
              </w:rPr>
              <w:tab/>
            </w:r>
            <w:r w:rsidRPr="008B3CE4">
              <w:rPr>
                <w:sz w:val="16"/>
                <w:szCs w:val="16"/>
              </w:rPr>
              <w:t>VIII</w:t>
            </w:r>
            <w:r w:rsidRPr="0055116C">
              <w:rPr>
                <w:sz w:val="16"/>
                <w:szCs w:val="16"/>
                <w:lang w:val="ru-RU"/>
              </w:rPr>
              <w:t>.1. Более эффективная организация общения с широк</w:t>
            </w:r>
            <w:r w:rsidR="00D340AF">
              <w:rPr>
                <w:sz w:val="16"/>
                <w:szCs w:val="16"/>
                <w:lang w:val="ru-RU"/>
              </w:rPr>
              <w:t xml:space="preserve">ой общественностью по вопросам </w:t>
            </w:r>
            <w:r w:rsidRPr="0055116C">
              <w:rPr>
                <w:sz w:val="16"/>
                <w:szCs w:val="16"/>
                <w:lang w:val="ru-RU"/>
              </w:rPr>
              <w:t>интеллектуальной собственности и роли ВОИС</w:t>
            </w:r>
          </w:p>
        </w:tc>
      </w:tr>
      <w:tr w:rsidR="0055116C" w:rsidRPr="008B3CE4" w:rsidTr="0055116C">
        <w:tc>
          <w:tcPr>
            <w:tcW w:w="986" w:type="pct"/>
            <w:tcBorders>
              <w:top w:val="single" w:sz="4" w:space="0" w:color="auto"/>
            </w:tcBorders>
            <w:vAlign w:val="center"/>
          </w:tcPr>
          <w:p w:rsidR="0055116C" w:rsidRPr="008B3CE4" w:rsidRDefault="0055116C" w:rsidP="0055116C">
            <w:pPr>
              <w:rPr>
                <w:rFonts w:cs="Arial"/>
                <w:sz w:val="16"/>
                <w:szCs w:val="16"/>
              </w:rPr>
            </w:pPr>
            <w:r w:rsidRPr="008B3CE4">
              <w:rPr>
                <w:b/>
                <w:sz w:val="16"/>
                <w:szCs w:val="16"/>
              </w:rPr>
              <w:t>Показатели результативности</w:t>
            </w:r>
          </w:p>
        </w:tc>
        <w:tc>
          <w:tcPr>
            <w:tcW w:w="1331" w:type="pct"/>
            <w:gridSpan w:val="2"/>
            <w:tcBorders>
              <w:top w:val="single" w:sz="4" w:space="0" w:color="auto"/>
            </w:tcBorders>
            <w:shd w:val="clear" w:color="auto" w:fill="auto"/>
            <w:vAlign w:val="center"/>
          </w:tcPr>
          <w:p w:rsidR="0055116C" w:rsidRPr="008B3CE4" w:rsidRDefault="0055116C" w:rsidP="0055116C">
            <w:pPr>
              <w:rPr>
                <w:rFonts w:cs="Arial"/>
                <w:b/>
                <w:bCs/>
                <w:sz w:val="16"/>
                <w:szCs w:val="16"/>
              </w:rPr>
            </w:pPr>
            <w:r w:rsidRPr="008B3CE4">
              <w:rPr>
                <w:b/>
                <w:sz w:val="16"/>
                <w:szCs w:val="16"/>
              </w:rPr>
              <w:t>Базовые показатели</w:t>
            </w:r>
          </w:p>
        </w:tc>
        <w:tc>
          <w:tcPr>
            <w:tcW w:w="782" w:type="pct"/>
            <w:gridSpan w:val="2"/>
            <w:tcBorders>
              <w:top w:val="single" w:sz="4" w:space="0" w:color="auto"/>
            </w:tcBorders>
            <w:tcMar>
              <w:top w:w="110" w:type="dxa"/>
            </w:tcMar>
            <w:vAlign w:val="center"/>
          </w:tcPr>
          <w:p w:rsidR="0055116C" w:rsidRPr="008B3CE4" w:rsidRDefault="0055116C" w:rsidP="0055116C">
            <w:pPr>
              <w:rPr>
                <w:rFonts w:cs="Arial"/>
                <w:b/>
                <w:bCs/>
                <w:sz w:val="16"/>
                <w:szCs w:val="16"/>
              </w:rPr>
            </w:pPr>
            <w:r w:rsidRPr="008B3CE4">
              <w:rPr>
                <w:b/>
                <w:sz w:val="16"/>
                <w:szCs w:val="16"/>
              </w:rPr>
              <w:t>Цели</w:t>
            </w:r>
          </w:p>
        </w:tc>
        <w:tc>
          <w:tcPr>
            <w:tcW w:w="1332" w:type="pct"/>
            <w:gridSpan w:val="2"/>
            <w:tcBorders>
              <w:top w:val="single" w:sz="4" w:space="0" w:color="auto"/>
            </w:tcBorders>
            <w:shd w:val="clear" w:color="auto" w:fill="FFFFFF"/>
            <w:tcMar>
              <w:top w:w="110" w:type="dxa"/>
            </w:tcMar>
            <w:vAlign w:val="center"/>
          </w:tcPr>
          <w:p w:rsidR="0055116C" w:rsidRPr="008B3CE4" w:rsidRDefault="0055116C" w:rsidP="0055116C">
            <w:pPr>
              <w:rPr>
                <w:rFonts w:cs="Arial"/>
                <w:sz w:val="16"/>
                <w:szCs w:val="16"/>
              </w:rPr>
            </w:pPr>
            <w:r w:rsidRPr="008B3CE4">
              <w:rPr>
                <w:b/>
                <w:sz w:val="16"/>
                <w:szCs w:val="16"/>
              </w:rPr>
              <w:t>Данные о результативности</w:t>
            </w:r>
          </w:p>
        </w:tc>
        <w:tc>
          <w:tcPr>
            <w:tcW w:w="570" w:type="pct"/>
            <w:tcBorders>
              <w:top w:val="single" w:sz="4" w:space="0" w:color="auto"/>
            </w:tcBorders>
            <w:tcMar>
              <w:top w:w="110" w:type="dxa"/>
            </w:tcMar>
            <w:vAlign w:val="center"/>
          </w:tcPr>
          <w:p w:rsidR="0055116C" w:rsidRPr="008B3CE4" w:rsidRDefault="0055116C" w:rsidP="0055116C">
            <w:pPr>
              <w:keepNext/>
              <w:keepLines/>
              <w:rPr>
                <w:rFonts w:cs="Arial"/>
                <w:b/>
                <w:bCs/>
                <w:sz w:val="16"/>
                <w:szCs w:val="16"/>
              </w:rPr>
            </w:pPr>
            <w:r w:rsidRPr="008B3CE4">
              <w:rPr>
                <w:b/>
                <w:sz w:val="16"/>
                <w:szCs w:val="16"/>
              </w:rPr>
              <w:t>CC</w:t>
            </w:r>
          </w:p>
        </w:tc>
      </w:tr>
      <w:tr w:rsidR="0055116C" w:rsidRPr="008B3CE4" w:rsidTr="0055116C">
        <w:trPr>
          <w:cantSplit/>
          <w:trHeight w:val="2527"/>
        </w:trPr>
        <w:tc>
          <w:tcPr>
            <w:tcW w:w="986" w:type="pct"/>
          </w:tcPr>
          <w:p w:rsidR="0055116C" w:rsidRPr="0055116C" w:rsidRDefault="0055116C" w:rsidP="0055116C">
            <w:pPr>
              <w:rPr>
                <w:rFonts w:cs="Arial"/>
                <w:sz w:val="16"/>
                <w:szCs w:val="16"/>
                <w:lang w:val="ru-RU"/>
              </w:rPr>
            </w:pPr>
            <w:r w:rsidRPr="0055116C">
              <w:rPr>
                <w:sz w:val="16"/>
                <w:szCs w:val="16"/>
                <w:lang w:val="ru-RU"/>
              </w:rPr>
              <w:t>Уровень общественного интереса, вызванного отдельными значимыми мероприятиями/достижениями ВОИС</w:t>
            </w:r>
          </w:p>
        </w:tc>
        <w:tc>
          <w:tcPr>
            <w:tcW w:w="1331" w:type="pct"/>
            <w:gridSpan w:val="2"/>
            <w:shd w:val="clear" w:color="auto" w:fill="auto"/>
          </w:tcPr>
          <w:p w:rsidR="0055116C" w:rsidRPr="0055116C" w:rsidRDefault="0055116C" w:rsidP="0055116C">
            <w:pPr>
              <w:keepNext/>
              <w:rPr>
                <w:rFonts w:cs="Arial"/>
                <w:color w:val="002060"/>
                <w:sz w:val="16"/>
                <w:szCs w:val="16"/>
                <w:lang w:val="ru-RU"/>
              </w:rPr>
            </w:pPr>
            <w:r w:rsidRPr="0055116C">
              <w:rPr>
                <w:i/>
                <w:color w:val="002060"/>
                <w:sz w:val="16"/>
                <w:szCs w:val="16"/>
                <w:lang w:val="ru-RU"/>
              </w:rPr>
              <w:t>Обновленные базовые показатели, конец 2013</w:t>
            </w:r>
            <w:r w:rsidRPr="008B3CE4">
              <w:rPr>
                <w:i/>
                <w:color w:val="002060"/>
                <w:sz w:val="16"/>
                <w:szCs w:val="16"/>
              </w:rPr>
              <w:t> </w:t>
            </w:r>
            <w:r w:rsidRPr="0055116C">
              <w:rPr>
                <w:i/>
                <w:color w:val="002060"/>
                <w:sz w:val="16"/>
                <w:szCs w:val="16"/>
                <w:lang w:val="ru-RU"/>
              </w:rPr>
              <w:t xml:space="preserve">г.:  </w:t>
            </w:r>
            <w:r w:rsidRPr="0055116C">
              <w:rPr>
                <w:color w:val="002060"/>
                <w:sz w:val="16"/>
                <w:szCs w:val="16"/>
                <w:lang w:val="ru-RU"/>
              </w:rPr>
              <w:t>Пример мероприятия= презентация ежегодного издания «Глобальный индекс инноваций» (ГИИ). Совокупное число просмотров (за 11-недельный период после презентации 2013 г.) всех веб-ресурсов (веб-страниц, пресс-релиза, инфографики) = 45 564 + 685 просмотров видеоматериалов</w:t>
            </w:r>
          </w:p>
          <w:p w:rsidR="0055116C" w:rsidRPr="0055116C" w:rsidRDefault="0055116C" w:rsidP="0055116C">
            <w:pPr>
              <w:keepNext/>
              <w:rPr>
                <w:rFonts w:cs="Arial"/>
                <w:i/>
                <w:color w:val="002060"/>
                <w:sz w:val="16"/>
                <w:szCs w:val="16"/>
                <w:lang w:val="ru-RU"/>
              </w:rPr>
            </w:pPr>
          </w:p>
          <w:p w:rsidR="0055116C" w:rsidRPr="0055116C" w:rsidRDefault="0055116C" w:rsidP="0055116C">
            <w:pPr>
              <w:keepNext/>
              <w:rPr>
                <w:rFonts w:cs="Arial"/>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 xml:space="preserve">гг.: </w:t>
            </w:r>
            <w:r w:rsidRPr="0055116C">
              <w:rPr>
                <w:sz w:val="16"/>
                <w:szCs w:val="16"/>
                <w:lang w:val="ru-RU"/>
              </w:rPr>
              <w:t>(пример мероприятия) 12</w:t>
            </w:r>
            <w:r>
              <w:rPr>
                <w:sz w:val="16"/>
                <w:szCs w:val="16"/>
              </w:rPr>
              <w:t> </w:t>
            </w:r>
            <w:r w:rsidRPr="0055116C">
              <w:rPr>
                <w:sz w:val="16"/>
                <w:szCs w:val="16"/>
                <w:lang w:val="ru-RU"/>
              </w:rPr>
              <w:t>111</w:t>
            </w:r>
            <w:r>
              <w:rPr>
                <w:sz w:val="16"/>
                <w:szCs w:val="16"/>
              </w:rPr>
              <w:t> </w:t>
            </w:r>
            <w:r w:rsidRPr="0055116C">
              <w:rPr>
                <w:sz w:val="16"/>
                <w:szCs w:val="16"/>
                <w:lang w:val="ru-RU"/>
              </w:rPr>
              <w:t>уникальных посетителей страницы пресс-релиза о Глобальном индексе инноваций (ГИИ) 2012</w:t>
            </w:r>
            <w:r w:rsidRPr="008B3CE4">
              <w:rPr>
                <w:sz w:val="16"/>
                <w:szCs w:val="16"/>
              </w:rPr>
              <w:t> </w:t>
            </w:r>
            <w:r w:rsidRPr="0055116C">
              <w:rPr>
                <w:sz w:val="16"/>
                <w:szCs w:val="16"/>
                <w:lang w:val="ru-RU"/>
              </w:rPr>
              <w:t>г. за 1</w:t>
            </w:r>
            <w:r>
              <w:rPr>
                <w:sz w:val="16"/>
                <w:szCs w:val="16"/>
              </w:rPr>
              <w:t> </w:t>
            </w:r>
            <w:r w:rsidRPr="0055116C">
              <w:rPr>
                <w:sz w:val="16"/>
                <w:szCs w:val="16"/>
                <w:lang w:val="ru-RU"/>
              </w:rPr>
              <w:t>месяц.</w:t>
            </w:r>
          </w:p>
        </w:tc>
        <w:tc>
          <w:tcPr>
            <w:tcW w:w="782" w:type="pct"/>
            <w:gridSpan w:val="2"/>
            <w:tcMar>
              <w:top w:w="110" w:type="dxa"/>
            </w:tcMar>
          </w:tcPr>
          <w:p w:rsidR="0055116C" w:rsidRPr="0055116C" w:rsidRDefault="0055116C" w:rsidP="0055116C">
            <w:pPr>
              <w:keepNext/>
              <w:rPr>
                <w:rFonts w:cs="Arial"/>
                <w:sz w:val="16"/>
                <w:szCs w:val="16"/>
                <w:lang w:val="ru-RU"/>
              </w:rPr>
            </w:pPr>
            <w:r w:rsidRPr="0055116C">
              <w:rPr>
                <w:sz w:val="16"/>
                <w:szCs w:val="16"/>
                <w:lang w:val="ru-RU"/>
              </w:rPr>
              <w:t>Рост числа просмотров соответствующей веб-страницы на 10%</w:t>
            </w:r>
          </w:p>
        </w:tc>
        <w:tc>
          <w:tcPr>
            <w:tcW w:w="1332" w:type="pct"/>
            <w:gridSpan w:val="2"/>
            <w:shd w:val="clear" w:color="auto" w:fill="FFFFFF"/>
            <w:tcMar>
              <w:top w:w="110" w:type="dxa"/>
            </w:tcMar>
          </w:tcPr>
          <w:p w:rsidR="0055116C" w:rsidRPr="0055116C" w:rsidRDefault="0055116C" w:rsidP="0055116C">
            <w:pPr>
              <w:keepNext/>
              <w:rPr>
                <w:rFonts w:cs="Arial"/>
                <w:sz w:val="16"/>
                <w:szCs w:val="16"/>
                <w:lang w:val="ru-RU"/>
              </w:rPr>
            </w:pPr>
            <w:r w:rsidRPr="0055116C">
              <w:rPr>
                <w:sz w:val="16"/>
                <w:szCs w:val="16"/>
                <w:lang w:val="ru-RU"/>
              </w:rPr>
              <w:t>Ежегодная презентация ГИИ: общее число просмотров (в течение 11</w:t>
            </w:r>
            <w:r>
              <w:rPr>
                <w:sz w:val="16"/>
                <w:szCs w:val="16"/>
              </w:rPr>
              <w:t> </w:t>
            </w:r>
            <w:r w:rsidRPr="0055116C">
              <w:rPr>
                <w:sz w:val="16"/>
                <w:szCs w:val="16"/>
                <w:lang w:val="ru-RU"/>
              </w:rPr>
              <w:t>недель после запуска) составило: 53</w:t>
            </w:r>
            <w:r>
              <w:rPr>
                <w:sz w:val="16"/>
                <w:szCs w:val="16"/>
              </w:rPr>
              <w:t> </w:t>
            </w:r>
            <w:r w:rsidRPr="0055116C">
              <w:rPr>
                <w:sz w:val="16"/>
                <w:szCs w:val="16"/>
                <w:lang w:val="ru-RU"/>
              </w:rPr>
              <w:t>062</w:t>
            </w:r>
            <w:r>
              <w:rPr>
                <w:sz w:val="16"/>
                <w:szCs w:val="16"/>
              </w:rPr>
              <w:t> </w:t>
            </w:r>
            <w:r w:rsidRPr="0055116C">
              <w:rPr>
                <w:sz w:val="16"/>
                <w:szCs w:val="16"/>
                <w:lang w:val="ru-RU"/>
              </w:rPr>
              <w:t>просмотра веб-контента + 9</w:t>
            </w:r>
            <w:r w:rsidRPr="008B3CE4">
              <w:rPr>
                <w:sz w:val="16"/>
                <w:szCs w:val="16"/>
              </w:rPr>
              <w:t> </w:t>
            </w:r>
            <w:r w:rsidRPr="0055116C">
              <w:rPr>
                <w:sz w:val="16"/>
                <w:szCs w:val="16"/>
                <w:lang w:val="ru-RU"/>
              </w:rPr>
              <w:t>563 просмотра видеороликов в 2014</w:t>
            </w:r>
            <w:r w:rsidRPr="008B3CE4">
              <w:rPr>
                <w:sz w:val="16"/>
                <w:szCs w:val="16"/>
              </w:rPr>
              <w:t> </w:t>
            </w:r>
            <w:r w:rsidRPr="0055116C">
              <w:rPr>
                <w:sz w:val="16"/>
                <w:szCs w:val="16"/>
                <w:lang w:val="ru-RU"/>
              </w:rPr>
              <w:t>г.; и 140</w:t>
            </w:r>
            <w:r w:rsidRPr="008B3CE4">
              <w:rPr>
                <w:sz w:val="16"/>
                <w:szCs w:val="16"/>
              </w:rPr>
              <w:t> </w:t>
            </w:r>
            <w:r w:rsidRPr="0055116C">
              <w:rPr>
                <w:sz w:val="16"/>
                <w:szCs w:val="16"/>
                <w:lang w:val="ru-RU"/>
              </w:rPr>
              <w:t>475 просмотров веб-контента + 10</w:t>
            </w:r>
            <w:r>
              <w:rPr>
                <w:sz w:val="16"/>
                <w:szCs w:val="16"/>
              </w:rPr>
              <w:t> </w:t>
            </w:r>
            <w:r w:rsidRPr="0055116C">
              <w:rPr>
                <w:sz w:val="16"/>
                <w:szCs w:val="16"/>
                <w:lang w:val="ru-RU"/>
              </w:rPr>
              <w:t>653 просмотра видеороликов в 2015</w:t>
            </w:r>
            <w:r w:rsidRPr="008B3CE4">
              <w:rPr>
                <w:sz w:val="16"/>
                <w:szCs w:val="16"/>
              </w:rPr>
              <w:t> </w:t>
            </w:r>
            <w:r w:rsidRPr="0055116C">
              <w:rPr>
                <w:sz w:val="16"/>
                <w:szCs w:val="16"/>
                <w:lang w:val="ru-RU"/>
              </w:rPr>
              <w:t>г.</w:t>
            </w:r>
          </w:p>
          <w:p w:rsidR="0055116C" w:rsidRPr="0055116C" w:rsidRDefault="0055116C" w:rsidP="0055116C">
            <w:pPr>
              <w:keepNext/>
              <w:rPr>
                <w:rFonts w:cs="Arial"/>
                <w:sz w:val="16"/>
                <w:szCs w:val="16"/>
                <w:lang w:val="ru-RU"/>
              </w:rPr>
            </w:pPr>
          </w:p>
          <w:p w:rsidR="0055116C" w:rsidRPr="0055116C" w:rsidRDefault="0055116C" w:rsidP="0055116C">
            <w:pPr>
              <w:keepNext/>
              <w:rPr>
                <w:rFonts w:cs="Arial"/>
                <w:sz w:val="16"/>
                <w:szCs w:val="16"/>
                <w:lang w:val="ru-RU"/>
              </w:rPr>
            </w:pPr>
            <w:r w:rsidRPr="0055116C">
              <w:rPr>
                <w:sz w:val="16"/>
                <w:szCs w:val="16"/>
                <w:lang w:val="ru-RU"/>
              </w:rPr>
              <w:t>Рост (2015</w:t>
            </w:r>
            <w:r w:rsidRPr="008B3CE4">
              <w:rPr>
                <w:sz w:val="16"/>
                <w:szCs w:val="16"/>
              </w:rPr>
              <w:t> </w:t>
            </w:r>
            <w:r w:rsidRPr="0055116C">
              <w:rPr>
                <w:sz w:val="16"/>
                <w:szCs w:val="16"/>
                <w:lang w:val="ru-RU"/>
              </w:rPr>
              <w:t>г. по сравнению с 2013</w:t>
            </w:r>
            <w:r w:rsidRPr="008B3CE4">
              <w:rPr>
                <w:sz w:val="16"/>
                <w:szCs w:val="16"/>
              </w:rPr>
              <w:t> </w:t>
            </w:r>
            <w:r w:rsidRPr="0055116C">
              <w:rPr>
                <w:sz w:val="16"/>
                <w:szCs w:val="16"/>
                <w:lang w:val="ru-RU"/>
              </w:rPr>
              <w:t xml:space="preserve">г.) = +208% для веб-контента и </w:t>
            </w:r>
          </w:p>
          <w:p w:rsidR="0055116C" w:rsidRPr="0055116C" w:rsidRDefault="0055116C" w:rsidP="0055116C">
            <w:pPr>
              <w:keepNext/>
              <w:rPr>
                <w:rFonts w:cs="Arial"/>
                <w:sz w:val="16"/>
                <w:szCs w:val="16"/>
                <w:lang w:val="ru-RU"/>
              </w:rPr>
            </w:pPr>
            <w:r w:rsidRPr="0055116C">
              <w:rPr>
                <w:sz w:val="16"/>
                <w:szCs w:val="16"/>
                <w:lang w:val="ru-RU"/>
              </w:rPr>
              <w:t>+1455% для видео-контента.</w:t>
            </w:r>
          </w:p>
          <w:p w:rsidR="0055116C" w:rsidRPr="0055116C" w:rsidRDefault="0055116C" w:rsidP="0055116C">
            <w:pPr>
              <w:keepNext/>
              <w:rPr>
                <w:rFonts w:cs="Arial"/>
                <w:sz w:val="16"/>
                <w:szCs w:val="16"/>
                <w:lang w:val="ru-RU"/>
              </w:rPr>
            </w:pPr>
          </w:p>
        </w:tc>
        <w:tc>
          <w:tcPr>
            <w:tcW w:w="570" w:type="pct"/>
            <w:tcMar>
              <w:top w:w="110" w:type="dxa"/>
            </w:tcMar>
          </w:tcPr>
          <w:p w:rsidR="0055116C" w:rsidRPr="008B3CE4" w:rsidRDefault="0055116C" w:rsidP="0055116C">
            <w:pPr>
              <w:keepNext/>
              <w:keepLines/>
              <w:jc w:val="center"/>
              <w:rPr>
                <w:rFonts w:cs="Arial"/>
                <w:b/>
                <w:color w:val="00B050"/>
                <w:sz w:val="16"/>
                <w:szCs w:val="16"/>
              </w:rPr>
            </w:pPr>
            <w:r w:rsidRPr="008B3CE4">
              <w:rPr>
                <w:b/>
                <w:color w:val="00B050"/>
                <w:sz w:val="16"/>
                <w:szCs w:val="16"/>
              </w:rPr>
              <w:t>Выполнено</w:t>
            </w:r>
          </w:p>
        </w:tc>
      </w:tr>
      <w:tr w:rsidR="0055116C" w:rsidRPr="008B3CE4" w:rsidTr="0055116C">
        <w:trPr>
          <w:trHeight w:val="232"/>
        </w:trPr>
        <w:tc>
          <w:tcPr>
            <w:tcW w:w="986" w:type="pct"/>
          </w:tcPr>
          <w:p w:rsidR="0055116C" w:rsidRPr="0055116C" w:rsidRDefault="0055116C" w:rsidP="0055116C">
            <w:pPr>
              <w:rPr>
                <w:rFonts w:cs="Arial"/>
                <w:sz w:val="16"/>
                <w:szCs w:val="16"/>
                <w:lang w:val="ru-RU"/>
              </w:rPr>
            </w:pPr>
            <w:r w:rsidRPr="0055116C">
              <w:rPr>
                <w:sz w:val="16"/>
                <w:szCs w:val="16"/>
                <w:lang w:val="ru-RU"/>
              </w:rPr>
              <w:t>Доля (%) заинтересованных сторон, положительно отозвавшихся о цели, деятельности и организационном имидже ВОИС</w:t>
            </w:r>
          </w:p>
        </w:tc>
        <w:tc>
          <w:tcPr>
            <w:tcW w:w="1331" w:type="pct"/>
            <w:gridSpan w:val="2"/>
            <w:shd w:val="clear" w:color="auto" w:fill="auto"/>
          </w:tcPr>
          <w:p w:rsidR="0055116C" w:rsidRPr="0055116C" w:rsidRDefault="0055116C" w:rsidP="0055116C">
            <w:pPr>
              <w:keepNext/>
              <w:rPr>
                <w:rFonts w:cs="Arial"/>
                <w:color w:val="002060"/>
                <w:sz w:val="16"/>
                <w:szCs w:val="16"/>
                <w:lang w:val="ru-RU"/>
              </w:rPr>
            </w:pPr>
            <w:r w:rsidRPr="0055116C">
              <w:rPr>
                <w:i/>
                <w:color w:val="002060"/>
                <w:sz w:val="16"/>
                <w:szCs w:val="16"/>
                <w:lang w:val="ru-RU"/>
              </w:rPr>
              <w:t>Обновленные базовые показатели, конец 2013</w:t>
            </w:r>
            <w:r w:rsidRPr="008B3CE4">
              <w:rPr>
                <w:i/>
                <w:color w:val="002060"/>
                <w:sz w:val="16"/>
                <w:szCs w:val="16"/>
              </w:rPr>
              <w:t> </w:t>
            </w:r>
            <w:r w:rsidRPr="0055116C">
              <w:rPr>
                <w:i/>
                <w:color w:val="002060"/>
                <w:sz w:val="16"/>
                <w:szCs w:val="16"/>
                <w:lang w:val="ru-RU"/>
              </w:rPr>
              <w:t xml:space="preserve">г.: </w:t>
            </w:r>
            <w:r w:rsidRPr="0055116C">
              <w:rPr>
                <w:color w:val="002060"/>
                <w:sz w:val="16"/>
                <w:szCs w:val="16"/>
                <w:lang w:val="ru-RU"/>
              </w:rPr>
              <w:t xml:space="preserve"> 87% респондентов воспринимали имидж ВОИС как хороший, очень хороший и великолепный. В качестве глобального форума по развитию ИС ВОИС рассматривал 81%</w:t>
            </w:r>
            <w:r>
              <w:rPr>
                <w:color w:val="002060"/>
                <w:sz w:val="16"/>
                <w:szCs w:val="16"/>
              </w:rPr>
              <w:t> </w:t>
            </w:r>
            <w:r w:rsidRPr="0055116C">
              <w:rPr>
                <w:color w:val="002060"/>
                <w:sz w:val="16"/>
                <w:szCs w:val="16"/>
                <w:lang w:val="ru-RU"/>
              </w:rPr>
              <w:t>респондентов. (Результаты Обследования ориентированности на предоставление услуг клиентам ВОИС, август 2013</w:t>
            </w:r>
            <w:r>
              <w:rPr>
                <w:color w:val="002060"/>
                <w:sz w:val="16"/>
                <w:szCs w:val="16"/>
              </w:rPr>
              <w:t> </w:t>
            </w:r>
            <w:r w:rsidRPr="0055116C">
              <w:rPr>
                <w:color w:val="002060"/>
                <w:sz w:val="16"/>
                <w:szCs w:val="16"/>
                <w:lang w:val="ru-RU"/>
              </w:rPr>
              <w:t>г.)</w:t>
            </w:r>
            <w:r w:rsidRPr="008B3CE4">
              <w:rPr>
                <w:rStyle w:val="FootnoteReference"/>
                <w:color w:val="002060"/>
                <w:sz w:val="16"/>
                <w:szCs w:val="16"/>
              </w:rPr>
              <w:footnoteReference w:id="105"/>
            </w:r>
          </w:p>
          <w:p w:rsidR="0055116C" w:rsidRPr="0055116C" w:rsidRDefault="0055116C" w:rsidP="0055116C">
            <w:pPr>
              <w:keepNext/>
              <w:rPr>
                <w:rFonts w:cs="Arial"/>
                <w:i/>
                <w:color w:val="002060"/>
                <w:sz w:val="16"/>
                <w:szCs w:val="16"/>
                <w:lang w:val="ru-RU"/>
              </w:rPr>
            </w:pPr>
          </w:p>
          <w:p w:rsidR="0055116C" w:rsidRPr="0055116C" w:rsidRDefault="0055116C" w:rsidP="0055116C">
            <w:pPr>
              <w:keepNext/>
              <w:rPr>
                <w:rFonts w:cs="Arial"/>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 xml:space="preserve">гг.:  </w:t>
            </w:r>
          </w:p>
          <w:p w:rsidR="0055116C" w:rsidRPr="0055116C" w:rsidRDefault="0055116C" w:rsidP="0055116C">
            <w:pPr>
              <w:rPr>
                <w:rFonts w:cs="Arial"/>
                <w:sz w:val="16"/>
                <w:szCs w:val="16"/>
                <w:lang w:val="ru-RU"/>
              </w:rPr>
            </w:pPr>
            <w:r w:rsidRPr="0055116C">
              <w:rPr>
                <w:sz w:val="16"/>
                <w:szCs w:val="16"/>
                <w:lang w:val="ru-RU"/>
              </w:rPr>
              <w:t>65% респондентов опроса воспринимают ВОИС как мирового лидера в деле охраны и продвижения ИС (Опрос мнений партнеров ВОИС, январь 2012 г.)</w:t>
            </w:r>
          </w:p>
        </w:tc>
        <w:tc>
          <w:tcPr>
            <w:tcW w:w="782" w:type="pct"/>
            <w:gridSpan w:val="2"/>
            <w:tcMar>
              <w:top w:w="110" w:type="dxa"/>
            </w:tcMar>
          </w:tcPr>
          <w:p w:rsidR="0055116C" w:rsidRPr="008B3CE4" w:rsidRDefault="0055116C" w:rsidP="0055116C">
            <w:pPr>
              <w:rPr>
                <w:rFonts w:cs="Arial"/>
                <w:sz w:val="16"/>
                <w:szCs w:val="16"/>
              </w:rPr>
            </w:pPr>
            <w:r w:rsidRPr="008B3CE4">
              <w:rPr>
                <w:sz w:val="16"/>
                <w:szCs w:val="16"/>
              </w:rPr>
              <w:t>75%</w:t>
            </w:r>
          </w:p>
        </w:tc>
        <w:tc>
          <w:tcPr>
            <w:tcW w:w="1332" w:type="pct"/>
            <w:gridSpan w:val="2"/>
            <w:shd w:val="clear" w:color="auto" w:fill="FFFFFF"/>
            <w:tcMar>
              <w:top w:w="110" w:type="dxa"/>
            </w:tcMar>
          </w:tcPr>
          <w:p w:rsidR="0055116C" w:rsidRPr="00EE0D83" w:rsidRDefault="0055116C" w:rsidP="0055116C">
            <w:pPr>
              <w:rPr>
                <w:rFonts w:cs="Arial"/>
                <w:i/>
                <w:sz w:val="16"/>
                <w:szCs w:val="16"/>
                <w:highlight w:val="yellow"/>
                <w:lang w:val="ru-RU"/>
              </w:rPr>
            </w:pPr>
            <w:r w:rsidRPr="0055116C">
              <w:rPr>
                <w:sz w:val="16"/>
                <w:szCs w:val="16"/>
                <w:lang w:val="ru-RU"/>
              </w:rPr>
              <w:t>70% респондентов рассматривали ВОИС в качестве глобального форума по продвижению услуг, формированию политики, распространению информации и содействия сотрудничеству в области ИС</w:t>
            </w:r>
            <w:r w:rsidRPr="008B3CE4">
              <w:rPr>
                <w:sz w:val="16"/>
                <w:szCs w:val="16"/>
                <w:vertAlign w:val="superscript"/>
              </w:rPr>
              <w:footnoteReference w:id="106"/>
            </w:r>
            <w:r w:rsidRPr="0055116C">
              <w:rPr>
                <w:sz w:val="16"/>
                <w:szCs w:val="16"/>
                <w:lang w:val="ru-RU"/>
              </w:rPr>
              <w:t>.  85% опрошенных согласны или совершенно согласны с тем, что в целом ВОИС обладает хорошей репутацией.</w:t>
            </w:r>
            <w:r w:rsidRPr="0055116C">
              <w:rPr>
                <w:rFonts w:cs="Arial"/>
                <w:sz w:val="16"/>
                <w:szCs w:val="16"/>
                <w:lang w:val="ru-RU"/>
              </w:rPr>
              <w:br/>
            </w:r>
            <w:r w:rsidRPr="00EE0D83">
              <w:rPr>
                <w:i/>
                <w:sz w:val="16"/>
                <w:szCs w:val="16"/>
                <w:lang w:val="ru-RU"/>
              </w:rPr>
              <w:t>Источник: Опрос мнений партнеров ВОИС, июнь 2014</w:t>
            </w:r>
            <w:r>
              <w:rPr>
                <w:i/>
                <w:sz w:val="16"/>
                <w:szCs w:val="16"/>
              </w:rPr>
              <w:t> </w:t>
            </w:r>
            <w:r w:rsidRPr="00EE0D83">
              <w:rPr>
                <w:i/>
                <w:sz w:val="16"/>
                <w:szCs w:val="16"/>
                <w:lang w:val="ru-RU"/>
              </w:rPr>
              <w:t>г.)</w:t>
            </w:r>
          </w:p>
        </w:tc>
        <w:tc>
          <w:tcPr>
            <w:tcW w:w="570" w:type="pct"/>
            <w:tcMar>
              <w:top w:w="110" w:type="dxa"/>
            </w:tcMar>
          </w:tcPr>
          <w:p w:rsidR="0055116C" w:rsidRPr="008B3CE4" w:rsidRDefault="0055116C" w:rsidP="0055116C">
            <w:pPr>
              <w:keepNext/>
              <w:keepLines/>
              <w:jc w:val="center"/>
              <w:rPr>
                <w:rFonts w:cs="Arial"/>
                <w:b/>
                <w:color w:val="00B050"/>
                <w:sz w:val="16"/>
                <w:szCs w:val="16"/>
              </w:rPr>
            </w:pPr>
            <w:r w:rsidRPr="008B3CE4">
              <w:rPr>
                <w:b/>
                <w:color w:val="00B050"/>
                <w:sz w:val="16"/>
                <w:szCs w:val="16"/>
              </w:rPr>
              <w:t>Выполнено</w:t>
            </w:r>
          </w:p>
        </w:tc>
      </w:tr>
      <w:tr w:rsidR="0055116C" w:rsidRPr="005C6ABD" w:rsidTr="0055116C">
        <w:trPr>
          <w:trHeight w:val="37"/>
        </w:trPr>
        <w:tc>
          <w:tcPr>
            <w:tcW w:w="986" w:type="pct"/>
          </w:tcPr>
          <w:p w:rsidR="0055116C" w:rsidRPr="0055116C" w:rsidRDefault="0055116C" w:rsidP="0055116C">
            <w:pPr>
              <w:rPr>
                <w:rFonts w:cs="Arial"/>
                <w:sz w:val="16"/>
                <w:szCs w:val="16"/>
                <w:lang w:val="ru-RU"/>
              </w:rPr>
            </w:pPr>
            <w:r w:rsidRPr="0055116C">
              <w:rPr>
                <w:sz w:val="16"/>
                <w:szCs w:val="16"/>
                <w:lang w:val="ru-RU"/>
              </w:rPr>
              <w:t>Рост числа просмотров печатных, видео- и фотоматериалов ВОИС (в %)</w:t>
            </w:r>
          </w:p>
        </w:tc>
        <w:tc>
          <w:tcPr>
            <w:tcW w:w="1331" w:type="pct"/>
            <w:gridSpan w:val="2"/>
            <w:shd w:val="clear" w:color="auto" w:fill="auto"/>
          </w:tcPr>
          <w:p w:rsidR="0055116C" w:rsidRPr="0055116C" w:rsidRDefault="0055116C" w:rsidP="0055116C">
            <w:pPr>
              <w:rPr>
                <w:rFonts w:cs="Arial"/>
                <w:i/>
                <w:color w:val="002060"/>
                <w:sz w:val="16"/>
                <w:szCs w:val="16"/>
                <w:lang w:val="ru-RU"/>
              </w:rPr>
            </w:pPr>
            <w:r w:rsidRPr="0055116C">
              <w:rPr>
                <w:i/>
                <w:color w:val="002060"/>
                <w:sz w:val="16"/>
                <w:szCs w:val="16"/>
                <w:lang w:val="ru-RU"/>
              </w:rPr>
              <w:t>Обновленные базовые показатели, конец 2013</w:t>
            </w:r>
            <w:r w:rsidRPr="008B3CE4">
              <w:rPr>
                <w:i/>
                <w:color w:val="002060"/>
                <w:sz w:val="16"/>
                <w:szCs w:val="16"/>
              </w:rPr>
              <w:t> </w:t>
            </w:r>
            <w:r w:rsidRPr="0055116C">
              <w:rPr>
                <w:i/>
                <w:color w:val="002060"/>
                <w:sz w:val="16"/>
                <w:szCs w:val="16"/>
                <w:lang w:val="ru-RU"/>
              </w:rPr>
              <w:t xml:space="preserve">г.:  </w:t>
            </w:r>
          </w:p>
          <w:p w:rsidR="0055116C" w:rsidRPr="0055116C" w:rsidRDefault="0055116C" w:rsidP="0055116C">
            <w:pPr>
              <w:rPr>
                <w:rFonts w:cs="Arial"/>
                <w:color w:val="002060"/>
                <w:sz w:val="16"/>
                <w:szCs w:val="16"/>
                <w:lang w:val="ru-RU"/>
              </w:rPr>
            </w:pPr>
            <w:r w:rsidRPr="0055116C">
              <w:rPr>
                <w:color w:val="002060"/>
                <w:sz w:val="16"/>
                <w:szCs w:val="16"/>
                <w:lang w:val="ru-RU"/>
              </w:rPr>
              <w:t>(</w:t>
            </w:r>
            <w:r>
              <w:rPr>
                <w:color w:val="002060"/>
                <w:sz w:val="16"/>
                <w:szCs w:val="16"/>
              </w:rPr>
              <w:t>i</w:t>
            </w:r>
            <w:r w:rsidRPr="0055116C">
              <w:rPr>
                <w:color w:val="002060"/>
                <w:sz w:val="16"/>
                <w:szCs w:val="16"/>
                <w:lang w:val="ru-RU"/>
              </w:rPr>
              <w:t>)</w:t>
            </w:r>
            <w:r>
              <w:rPr>
                <w:color w:val="002060"/>
                <w:sz w:val="16"/>
                <w:szCs w:val="16"/>
              </w:rPr>
              <w:t> </w:t>
            </w:r>
            <w:r w:rsidRPr="0055116C">
              <w:rPr>
                <w:color w:val="002060"/>
                <w:sz w:val="16"/>
                <w:szCs w:val="16"/>
                <w:lang w:val="ru-RU"/>
              </w:rPr>
              <w:t>в расчете на один пресс-релиз в среднем насчитывалось 5</w:t>
            </w:r>
            <w:r>
              <w:rPr>
                <w:color w:val="002060"/>
                <w:sz w:val="16"/>
                <w:szCs w:val="16"/>
              </w:rPr>
              <w:t> </w:t>
            </w:r>
            <w:r w:rsidRPr="0055116C">
              <w:rPr>
                <w:color w:val="002060"/>
                <w:sz w:val="16"/>
                <w:szCs w:val="16"/>
                <w:lang w:val="ru-RU"/>
              </w:rPr>
              <w:t>506 уникальных просмотров (143</w:t>
            </w:r>
            <w:r>
              <w:rPr>
                <w:color w:val="002060"/>
                <w:sz w:val="16"/>
                <w:szCs w:val="16"/>
              </w:rPr>
              <w:t> </w:t>
            </w:r>
            <w:r w:rsidRPr="0055116C">
              <w:rPr>
                <w:color w:val="002060"/>
                <w:sz w:val="16"/>
                <w:szCs w:val="16"/>
                <w:lang w:val="ru-RU"/>
              </w:rPr>
              <w:t>169 просмотров 26</w:t>
            </w:r>
            <w:r>
              <w:rPr>
                <w:color w:val="002060"/>
                <w:sz w:val="16"/>
                <w:szCs w:val="16"/>
              </w:rPr>
              <w:t> </w:t>
            </w:r>
            <w:r w:rsidRPr="0055116C">
              <w:rPr>
                <w:color w:val="002060"/>
                <w:sz w:val="16"/>
                <w:szCs w:val="16"/>
                <w:lang w:val="ru-RU"/>
              </w:rPr>
              <w:t>пресс-релизов, выпущенных в 2013 г. На всех языках.);</w:t>
            </w:r>
          </w:p>
          <w:p w:rsidR="0055116C" w:rsidRPr="0055116C" w:rsidRDefault="0055116C" w:rsidP="0055116C">
            <w:pPr>
              <w:rPr>
                <w:rFonts w:cs="Arial"/>
                <w:color w:val="002060"/>
                <w:sz w:val="16"/>
                <w:szCs w:val="16"/>
                <w:lang w:val="ru-RU"/>
              </w:rPr>
            </w:pPr>
            <w:r w:rsidRPr="0055116C">
              <w:rPr>
                <w:color w:val="002060"/>
                <w:sz w:val="16"/>
                <w:szCs w:val="16"/>
                <w:lang w:val="ru-RU"/>
              </w:rPr>
              <w:t>(</w:t>
            </w:r>
            <w:r>
              <w:rPr>
                <w:color w:val="002060"/>
                <w:sz w:val="16"/>
                <w:szCs w:val="16"/>
              </w:rPr>
              <w:t>ii</w:t>
            </w:r>
            <w:r w:rsidRPr="0055116C">
              <w:rPr>
                <w:color w:val="002060"/>
                <w:sz w:val="16"/>
                <w:szCs w:val="16"/>
                <w:lang w:val="ru-RU"/>
              </w:rPr>
              <w:t>)</w:t>
            </w:r>
            <w:r>
              <w:rPr>
                <w:color w:val="002060"/>
                <w:sz w:val="16"/>
                <w:szCs w:val="16"/>
              </w:rPr>
              <w:t> </w:t>
            </w:r>
            <w:r w:rsidRPr="0055116C">
              <w:rPr>
                <w:color w:val="002060"/>
                <w:sz w:val="16"/>
                <w:szCs w:val="16"/>
                <w:lang w:val="ru-RU"/>
              </w:rPr>
              <w:t>один видеоматериал в среднем просматривался 16</w:t>
            </w:r>
            <w:r>
              <w:rPr>
                <w:color w:val="002060"/>
                <w:sz w:val="16"/>
                <w:szCs w:val="16"/>
              </w:rPr>
              <w:t> </w:t>
            </w:r>
            <w:r w:rsidRPr="0055116C">
              <w:rPr>
                <w:color w:val="002060"/>
                <w:sz w:val="16"/>
                <w:szCs w:val="16"/>
                <w:lang w:val="ru-RU"/>
              </w:rPr>
              <w:t>612</w:t>
            </w:r>
            <w:r>
              <w:rPr>
                <w:color w:val="002060"/>
                <w:sz w:val="16"/>
                <w:szCs w:val="16"/>
              </w:rPr>
              <w:t> </w:t>
            </w:r>
            <w:r w:rsidRPr="0055116C">
              <w:rPr>
                <w:color w:val="002060"/>
                <w:sz w:val="16"/>
                <w:szCs w:val="16"/>
                <w:lang w:val="ru-RU"/>
              </w:rPr>
              <w:t>раза (3</w:t>
            </w:r>
            <w:r>
              <w:rPr>
                <w:color w:val="002060"/>
                <w:sz w:val="16"/>
                <w:szCs w:val="16"/>
              </w:rPr>
              <w:t> </w:t>
            </w:r>
            <w:r w:rsidRPr="0055116C">
              <w:rPr>
                <w:color w:val="002060"/>
                <w:sz w:val="16"/>
                <w:szCs w:val="16"/>
                <w:lang w:val="ru-RU"/>
              </w:rPr>
              <w:t>787</w:t>
            </w:r>
            <w:r>
              <w:rPr>
                <w:color w:val="002060"/>
                <w:sz w:val="16"/>
                <w:szCs w:val="16"/>
              </w:rPr>
              <w:t> </w:t>
            </w:r>
            <w:r w:rsidRPr="0055116C">
              <w:rPr>
                <w:color w:val="002060"/>
                <w:sz w:val="16"/>
                <w:szCs w:val="16"/>
                <w:lang w:val="ru-RU"/>
              </w:rPr>
              <w:t>601 просмотр 228</w:t>
            </w:r>
            <w:r w:rsidRPr="008B3CE4">
              <w:rPr>
                <w:rStyle w:val="FootnoteReference"/>
                <w:color w:val="002060"/>
                <w:sz w:val="16"/>
                <w:szCs w:val="16"/>
              </w:rPr>
              <w:footnoteReference w:id="107"/>
            </w:r>
            <w:r w:rsidRPr="0055116C">
              <w:rPr>
                <w:color w:val="002060"/>
                <w:sz w:val="16"/>
                <w:szCs w:val="16"/>
                <w:lang w:val="ru-RU"/>
              </w:rPr>
              <w:t xml:space="preserve"> видеоматериалов);</w:t>
            </w:r>
          </w:p>
          <w:p w:rsidR="0055116C" w:rsidRPr="0055116C" w:rsidRDefault="0055116C" w:rsidP="0055116C">
            <w:pPr>
              <w:rPr>
                <w:rFonts w:cs="Arial"/>
                <w:color w:val="002060"/>
                <w:sz w:val="16"/>
                <w:szCs w:val="16"/>
                <w:lang w:val="ru-RU"/>
              </w:rPr>
            </w:pPr>
            <w:r w:rsidRPr="0055116C">
              <w:rPr>
                <w:color w:val="002060"/>
                <w:sz w:val="16"/>
                <w:szCs w:val="16"/>
                <w:lang w:val="ru-RU"/>
              </w:rPr>
              <w:t>(</w:t>
            </w:r>
            <w:r>
              <w:rPr>
                <w:color w:val="002060"/>
                <w:sz w:val="16"/>
                <w:szCs w:val="16"/>
              </w:rPr>
              <w:t>iii</w:t>
            </w:r>
            <w:r w:rsidRPr="0055116C">
              <w:rPr>
                <w:color w:val="002060"/>
                <w:sz w:val="16"/>
                <w:szCs w:val="16"/>
                <w:lang w:val="ru-RU"/>
              </w:rPr>
              <w:t>)</w:t>
            </w:r>
            <w:r>
              <w:rPr>
                <w:color w:val="002060"/>
                <w:sz w:val="16"/>
                <w:szCs w:val="16"/>
              </w:rPr>
              <w:t> </w:t>
            </w:r>
            <w:r w:rsidRPr="0055116C">
              <w:rPr>
                <w:color w:val="002060"/>
                <w:sz w:val="16"/>
                <w:szCs w:val="16"/>
                <w:lang w:val="ru-RU"/>
              </w:rPr>
              <w:t>в общей сложности 900</w:t>
            </w:r>
            <w:r w:rsidRPr="008B3CE4">
              <w:rPr>
                <w:color w:val="002060"/>
                <w:sz w:val="16"/>
                <w:szCs w:val="16"/>
              </w:rPr>
              <w:t> </w:t>
            </w:r>
            <w:r w:rsidRPr="0055116C">
              <w:rPr>
                <w:color w:val="002060"/>
                <w:sz w:val="16"/>
                <w:szCs w:val="16"/>
                <w:lang w:val="ru-RU"/>
              </w:rPr>
              <w:t xml:space="preserve">000 просмотров фотографий на сайте </w:t>
            </w:r>
            <w:r w:rsidRPr="008B3CE4">
              <w:rPr>
                <w:color w:val="002060"/>
                <w:sz w:val="16"/>
                <w:szCs w:val="16"/>
              </w:rPr>
              <w:t>Flickr</w:t>
            </w:r>
            <w:r w:rsidRPr="0055116C">
              <w:rPr>
                <w:color w:val="002060"/>
                <w:sz w:val="16"/>
                <w:szCs w:val="16"/>
                <w:lang w:val="ru-RU"/>
              </w:rPr>
              <w:t>.</w:t>
            </w:r>
          </w:p>
          <w:p w:rsidR="0055116C" w:rsidRPr="0055116C" w:rsidRDefault="0055116C" w:rsidP="0055116C">
            <w:pPr>
              <w:rPr>
                <w:rFonts w:cs="Arial"/>
                <w:i/>
                <w:color w:val="002060"/>
                <w:sz w:val="16"/>
                <w:szCs w:val="16"/>
                <w:lang w:val="ru-RU"/>
              </w:rPr>
            </w:pPr>
          </w:p>
          <w:p w:rsidR="0055116C" w:rsidRPr="0055116C" w:rsidRDefault="0055116C" w:rsidP="0055116C">
            <w:pPr>
              <w:rPr>
                <w:rFonts w:cs="Arial"/>
                <w:i/>
                <w:sz w:val="16"/>
                <w:szCs w:val="16"/>
                <w:lang w:val="ru-RU"/>
              </w:rPr>
            </w:pPr>
          </w:p>
          <w:p w:rsidR="0055116C" w:rsidRPr="0055116C" w:rsidRDefault="0055116C" w:rsidP="0055116C">
            <w:pPr>
              <w:rPr>
                <w:rFonts w:cs="Arial"/>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w:t>
            </w:r>
            <w:r w:rsidRPr="0055116C">
              <w:rPr>
                <w:sz w:val="16"/>
                <w:szCs w:val="16"/>
                <w:lang w:val="ru-RU"/>
              </w:rPr>
              <w:t xml:space="preserve">  </w:t>
            </w:r>
          </w:p>
          <w:p w:rsidR="0055116C" w:rsidRPr="0055116C" w:rsidRDefault="0055116C" w:rsidP="0055116C">
            <w:pPr>
              <w:rPr>
                <w:rFonts w:cs="Arial"/>
                <w:sz w:val="16"/>
                <w:szCs w:val="16"/>
                <w:lang w:val="ru-RU"/>
              </w:rPr>
            </w:pPr>
            <w:r w:rsidRPr="0055116C">
              <w:rPr>
                <w:sz w:val="16"/>
                <w:szCs w:val="16"/>
                <w:lang w:val="ru-RU"/>
              </w:rPr>
              <w:t>(</w:t>
            </w:r>
            <w:r>
              <w:rPr>
                <w:sz w:val="16"/>
                <w:szCs w:val="16"/>
              </w:rPr>
              <w:t>i</w:t>
            </w:r>
            <w:r w:rsidRPr="0055116C">
              <w:rPr>
                <w:sz w:val="16"/>
                <w:szCs w:val="16"/>
                <w:lang w:val="ru-RU"/>
              </w:rPr>
              <w:t>)</w:t>
            </w:r>
            <w:r>
              <w:rPr>
                <w:sz w:val="16"/>
                <w:szCs w:val="16"/>
              </w:rPr>
              <w:t> </w:t>
            </w:r>
            <w:r w:rsidRPr="0055116C">
              <w:rPr>
                <w:sz w:val="16"/>
                <w:szCs w:val="16"/>
                <w:lang w:val="ru-RU"/>
              </w:rPr>
              <w:t>в 2012 г. среднее число уникальных просмотров одного пресс-релиза составляло 3</w:t>
            </w:r>
            <w:r>
              <w:rPr>
                <w:sz w:val="16"/>
                <w:szCs w:val="16"/>
              </w:rPr>
              <w:t> </w:t>
            </w:r>
            <w:r w:rsidRPr="0055116C">
              <w:rPr>
                <w:sz w:val="16"/>
                <w:szCs w:val="16"/>
                <w:lang w:val="ru-RU"/>
              </w:rPr>
              <w:t>575. (92</w:t>
            </w:r>
            <w:r>
              <w:rPr>
                <w:sz w:val="16"/>
                <w:szCs w:val="16"/>
              </w:rPr>
              <w:t> </w:t>
            </w:r>
            <w:r w:rsidRPr="0055116C">
              <w:rPr>
                <w:sz w:val="16"/>
                <w:szCs w:val="16"/>
                <w:lang w:val="ru-RU"/>
              </w:rPr>
              <w:t>958 просмотров 26</w:t>
            </w:r>
            <w:r>
              <w:rPr>
                <w:sz w:val="16"/>
                <w:szCs w:val="16"/>
              </w:rPr>
              <w:t> </w:t>
            </w:r>
            <w:r w:rsidRPr="0055116C">
              <w:rPr>
                <w:sz w:val="16"/>
                <w:szCs w:val="16"/>
                <w:lang w:val="ru-RU"/>
              </w:rPr>
              <w:t>статей, опубликованных в 2012</w:t>
            </w:r>
            <w:r>
              <w:rPr>
                <w:sz w:val="16"/>
                <w:szCs w:val="16"/>
              </w:rPr>
              <w:t> </w:t>
            </w:r>
            <w:r w:rsidRPr="0055116C">
              <w:rPr>
                <w:sz w:val="16"/>
                <w:szCs w:val="16"/>
                <w:lang w:val="ru-RU"/>
              </w:rPr>
              <w:t>г.)</w:t>
            </w:r>
          </w:p>
          <w:p w:rsidR="0055116C" w:rsidRPr="0055116C" w:rsidRDefault="0055116C" w:rsidP="0055116C">
            <w:pPr>
              <w:rPr>
                <w:rFonts w:cs="Arial"/>
                <w:sz w:val="16"/>
                <w:szCs w:val="16"/>
                <w:lang w:val="ru-RU"/>
              </w:rPr>
            </w:pPr>
            <w:r w:rsidRPr="0055116C">
              <w:rPr>
                <w:sz w:val="16"/>
                <w:szCs w:val="16"/>
                <w:lang w:val="ru-RU"/>
              </w:rPr>
              <w:t>(</w:t>
            </w:r>
            <w:r w:rsidRPr="008B3CE4">
              <w:rPr>
                <w:sz w:val="16"/>
                <w:szCs w:val="16"/>
              </w:rPr>
              <w:t>ii</w:t>
            </w:r>
            <w:r w:rsidRPr="0055116C">
              <w:rPr>
                <w:sz w:val="16"/>
                <w:szCs w:val="16"/>
                <w:lang w:val="ru-RU"/>
              </w:rPr>
              <w:t>)</w:t>
            </w:r>
            <w:r>
              <w:rPr>
                <w:sz w:val="16"/>
                <w:szCs w:val="16"/>
              </w:rPr>
              <w:t> </w:t>
            </w:r>
            <w:r w:rsidRPr="0055116C">
              <w:rPr>
                <w:sz w:val="16"/>
                <w:szCs w:val="16"/>
                <w:lang w:val="ru-RU"/>
              </w:rPr>
              <w:t>в 2012</w:t>
            </w:r>
            <w:r>
              <w:rPr>
                <w:sz w:val="16"/>
                <w:szCs w:val="16"/>
              </w:rPr>
              <w:t> </w:t>
            </w:r>
            <w:r w:rsidRPr="0055116C">
              <w:rPr>
                <w:sz w:val="16"/>
                <w:szCs w:val="16"/>
                <w:lang w:val="ru-RU"/>
              </w:rPr>
              <w:t>г. один видеоматериал в среднем просматривался 3</w:t>
            </w:r>
            <w:r>
              <w:rPr>
                <w:sz w:val="16"/>
                <w:szCs w:val="16"/>
              </w:rPr>
              <w:t> </w:t>
            </w:r>
            <w:r w:rsidRPr="0055116C">
              <w:rPr>
                <w:sz w:val="16"/>
                <w:szCs w:val="16"/>
                <w:lang w:val="ru-RU"/>
              </w:rPr>
              <w:t>280 раз (478</w:t>
            </w:r>
            <w:r>
              <w:rPr>
                <w:sz w:val="16"/>
                <w:szCs w:val="16"/>
              </w:rPr>
              <w:t> </w:t>
            </w:r>
            <w:r w:rsidRPr="0055116C">
              <w:rPr>
                <w:sz w:val="16"/>
                <w:szCs w:val="16"/>
                <w:lang w:val="ru-RU"/>
              </w:rPr>
              <w:t>888 просмотров 146</w:t>
            </w:r>
            <w:r>
              <w:rPr>
                <w:sz w:val="16"/>
                <w:szCs w:val="16"/>
              </w:rPr>
              <w:t> </w:t>
            </w:r>
            <w:r w:rsidRPr="0055116C">
              <w:rPr>
                <w:sz w:val="16"/>
                <w:szCs w:val="16"/>
                <w:lang w:val="ru-RU"/>
              </w:rPr>
              <w:t>видеоматериалов)</w:t>
            </w:r>
          </w:p>
          <w:p w:rsidR="0055116C" w:rsidRPr="0055116C" w:rsidRDefault="0055116C" w:rsidP="0055116C">
            <w:pPr>
              <w:rPr>
                <w:sz w:val="16"/>
                <w:szCs w:val="16"/>
                <w:lang w:val="ru-RU"/>
              </w:rPr>
            </w:pPr>
            <w:r w:rsidRPr="0055116C">
              <w:rPr>
                <w:sz w:val="16"/>
                <w:szCs w:val="16"/>
                <w:lang w:val="ru-RU"/>
              </w:rPr>
              <w:t>(</w:t>
            </w:r>
            <w:r w:rsidRPr="008B3CE4">
              <w:rPr>
                <w:sz w:val="16"/>
                <w:szCs w:val="16"/>
              </w:rPr>
              <w:t>iii</w:t>
            </w:r>
            <w:r w:rsidRPr="0055116C">
              <w:rPr>
                <w:sz w:val="16"/>
                <w:szCs w:val="16"/>
                <w:lang w:val="ru-RU"/>
              </w:rPr>
              <w:t>) по состоянию на конец 2012</w:t>
            </w:r>
            <w:r>
              <w:rPr>
                <w:sz w:val="16"/>
                <w:szCs w:val="16"/>
              </w:rPr>
              <w:t> </w:t>
            </w:r>
            <w:r w:rsidRPr="0055116C">
              <w:rPr>
                <w:sz w:val="16"/>
                <w:szCs w:val="16"/>
                <w:lang w:val="ru-RU"/>
              </w:rPr>
              <w:t xml:space="preserve">г. общее число просмотров фотографий на сайте </w:t>
            </w:r>
            <w:r w:rsidRPr="008B3CE4">
              <w:rPr>
                <w:sz w:val="16"/>
                <w:szCs w:val="16"/>
              </w:rPr>
              <w:t>Flickr</w:t>
            </w:r>
            <w:r w:rsidRPr="0055116C">
              <w:rPr>
                <w:sz w:val="16"/>
                <w:szCs w:val="16"/>
                <w:lang w:val="ru-RU"/>
              </w:rPr>
              <w:t xml:space="preserve"> составляло 155</w:t>
            </w:r>
            <w:r>
              <w:rPr>
                <w:sz w:val="16"/>
                <w:szCs w:val="16"/>
              </w:rPr>
              <w:t> </w:t>
            </w:r>
            <w:r w:rsidRPr="0055116C">
              <w:rPr>
                <w:sz w:val="16"/>
                <w:szCs w:val="16"/>
                <w:lang w:val="ru-RU"/>
              </w:rPr>
              <w:t>000.</w:t>
            </w:r>
          </w:p>
          <w:p w:rsidR="0055116C" w:rsidRPr="0055116C" w:rsidRDefault="0055116C" w:rsidP="0055116C">
            <w:pPr>
              <w:rPr>
                <w:rFonts w:cs="Arial"/>
                <w:sz w:val="16"/>
                <w:szCs w:val="16"/>
                <w:lang w:val="ru-RU"/>
              </w:rPr>
            </w:pPr>
          </w:p>
        </w:tc>
        <w:tc>
          <w:tcPr>
            <w:tcW w:w="782" w:type="pct"/>
            <w:gridSpan w:val="2"/>
            <w:tcMar>
              <w:top w:w="110" w:type="dxa"/>
            </w:tcMar>
          </w:tcPr>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r w:rsidRPr="0055116C">
              <w:rPr>
                <w:sz w:val="16"/>
                <w:szCs w:val="16"/>
                <w:lang w:val="ru-RU"/>
              </w:rPr>
              <w:t>(</w:t>
            </w:r>
            <w:r>
              <w:rPr>
                <w:sz w:val="16"/>
                <w:szCs w:val="16"/>
              </w:rPr>
              <w:t>i</w:t>
            </w:r>
            <w:r w:rsidRPr="0055116C">
              <w:rPr>
                <w:sz w:val="16"/>
                <w:szCs w:val="16"/>
                <w:lang w:val="ru-RU"/>
              </w:rPr>
              <w:t>)</w:t>
            </w:r>
            <w:r>
              <w:rPr>
                <w:sz w:val="16"/>
                <w:szCs w:val="16"/>
              </w:rPr>
              <w:t> </w:t>
            </w:r>
            <w:r w:rsidRPr="0055116C">
              <w:rPr>
                <w:sz w:val="16"/>
                <w:szCs w:val="16"/>
                <w:lang w:val="ru-RU"/>
              </w:rPr>
              <w:t xml:space="preserve">рост среднего числа просмотров в расчете на один пресс-релиз на 10% </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sz w:val="16"/>
                <w:szCs w:val="16"/>
                <w:lang w:val="ru-RU"/>
              </w:rPr>
            </w:pPr>
            <w:r w:rsidRPr="0055116C">
              <w:rPr>
                <w:sz w:val="16"/>
                <w:szCs w:val="16"/>
                <w:lang w:val="ru-RU"/>
              </w:rPr>
              <w:t>(</w:t>
            </w:r>
            <w:r>
              <w:rPr>
                <w:sz w:val="16"/>
                <w:szCs w:val="16"/>
              </w:rPr>
              <w:t>ii</w:t>
            </w:r>
            <w:r w:rsidRPr="0055116C">
              <w:rPr>
                <w:sz w:val="16"/>
                <w:szCs w:val="16"/>
                <w:lang w:val="ru-RU"/>
              </w:rPr>
              <w:t>)</w:t>
            </w:r>
            <w:r>
              <w:rPr>
                <w:sz w:val="16"/>
                <w:szCs w:val="16"/>
              </w:rPr>
              <w:t> </w:t>
            </w:r>
            <w:r w:rsidRPr="0055116C">
              <w:rPr>
                <w:sz w:val="16"/>
                <w:szCs w:val="16"/>
                <w:lang w:val="ru-RU"/>
              </w:rPr>
              <w:t xml:space="preserve">рост среднего числа просмотров на канале ВОИС на сайте </w:t>
            </w:r>
            <w:r w:rsidRPr="008B3CE4">
              <w:rPr>
                <w:sz w:val="16"/>
                <w:szCs w:val="16"/>
              </w:rPr>
              <w:t>YouTube</w:t>
            </w:r>
            <w:r w:rsidRPr="0055116C">
              <w:rPr>
                <w:sz w:val="16"/>
                <w:szCs w:val="16"/>
                <w:lang w:val="ru-RU"/>
              </w:rPr>
              <w:t xml:space="preserve"> в расчете на один видеоматериал на 10%;</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r w:rsidRPr="0055116C">
              <w:rPr>
                <w:sz w:val="16"/>
                <w:szCs w:val="16"/>
                <w:lang w:val="ru-RU"/>
              </w:rPr>
              <w:t>(</w:t>
            </w:r>
            <w:r>
              <w:rPr>
                <w:sz w:val="16"/>
                <w:szCs w:val="16"/>
              </w:rPr>
              <w:t>iii</w:t>
            </w:r>
            <w:r w:rsidRPr="0055116C">
              <w:rPr>
                <w:sz w:val="16"/>
                <w:szCs w:val="16"/>
                <w:lang w:val="ru-RU"/>
              </w:rPr>
              <w:t>)</w:t>
            </w:r>
            <w:r>
              <w:rPr>
                <w:sz w:val="16"/>
                <w:szCs w:val="16"/>
              </w:rPr>
              <w:t> </w:t>
            </w:r>
            <w:r w:rsidRPr="0055116C">
              <w:rPr>
                <w:sz w:val="16"/>
                <w:szCs w:val="16"/>
                <w:lang w:val="ru-RU"/>
              </w:rPr>
              <w:t>целевой показатель: еще 300</w:t>
            </w:r>
            <w:r>
              <w:rPr>
                <w:sz w:val="16"/>
                <w:szCs w:val="16"/>
              </w:rPr>
              <w:t> </w:t>
            </w:r>
            <w:r w:rsidRPr="0055116C">
              <w:rPr>
                <w:sz w:val="16"/>
                <w:szCs w:val="16"/>
                <w:lang w:val="ru-RU"/>
              </w:rPr>
              <w:t xml:space="preserve">000 просмотров фотографий на сайте </w:t>
            </w:r>
            <w:r w:rsidRPr="008B3CE4">
              <w:rPr>
                <w:sz w:val="16"/>
                <w:szCs w:val="16"/>
              </w:rPr>
              <w:t>Flickr</w:t>
            </w:r>
          </w:p>
        </w:tc>
        <w:tc>
          <w:tcPr>
            <w:tcW w:w="1332" w:type="pct"/>
            <w:gridSpan w:val="2"/>
            <w:shd w:val="clear" w:color="auto" w:fill="FFFFFF"/>
            <w:tcMar>
              <w:top w:w="110" w:type="dxa"/>
            </w:tcMar>
          </w:tcPr>
          <w:p w:rsidR="0055116C" w:rsidRPr="0055116C" w:rsidRDefault="0055116C" w:rsidP="0055116C">
            <w:pPr>
              <w:ind w:left="29"/>
              <w:rPr>
                <w:rFonts w:cs="Arial"/>
                <w:sz w:val="16"/>
                <w:szCs w:val="16"/>
                <w:lang w:val="ru-RU"/>
              </w:rPr>
            </w:pPr>
            <w:r w:rsidRPr="0055116C">
              <w:rPr>
                <w:sz w:val="16"/>
                <w:szCs w:val="16"/>
                <w:lang w:val="ru-RU"/>
              </w:rPr>
              <w:t>В 2014–2015</w:t>
            </w:r>
            <w:r w:rsidRPr="008B3CE4">
              <w:rPr>
                <w:sz w:val="16"/>
                <w:szCs w:val="16"/>
              </w:rPr>
              <w:t> </w:t>
            </w:r>
            <w:r w:rsidRPr="0055116C">
              <w:rPr>
                <w:sz w:val="16"/>
                <w:szCs w:val="16"/>
                <w:lang w:val="ru-RU"/>
              </w:rPr>
              <w:t xml:space="preserve">гг.: </w:t>
            </w:r>
          </w:p>
          <w:p w:rsidR="0055116C" w:rsidRPr="0055116C" w:rsidRDefault="0055116C" w:rsidP="0055116C">
            <w:pPr>
              <w:rPr>
                <w:rFonts w:cs="Arial"/>
                <w:sz w:val="16"/>
                <w:szCs w:val="16"/>
                <w:lang w:val="ru-RU"/>
              </w:rPr>
            </w:pPr>
            <w:r w:rsidRPr="0055116C">
              <w:rPr>
                <w:sz w:val="16"/>
                <w:szCs w:val="16"/>
                <w:lang w:val="ru-RU"/>
              </w:rPr>
              <w:t>(</w:t>
            </w:r>
            <w:r>
              <w:rPr>
                <w:sz w:val="16"/>
                <w:szCs w:val="16"/>
              </w:rPr>
              <w:t>i</w:t>
            </w:r>
            <w:r w:rsidRPr="0055116C">
              <w:rPr>
                <w:sz w:val="16"/>
                <w:szCs w:val="16"/>
                <w:lang w:val="ru-RU"/>
              </w:rPr>
              <w:t>)</w:t>
            </w:r>
            <w:r>
              <w:rPr>
                <w:sz w:val="16"/>
                <w:szCs w:val="16"/>
              </w:rPr>
              <w:t> </w:t>
            </w:r>
            <w:r w:rsidRPr="0055116C">
              <w:rPr>
                <w:sz w:val="16"/>
                <w:szCs w:val="16"/>
                <w:lang w:val="ru-RU"/>
              </w:rPr>
              <w:t>в среднем число уникальных просмотров одного пресс-релиза составляло 4</w:t>
            </w:r>
            <w:r w:rsidRPr="008B3CE4">
              <w:rPr>
                <w:sz w:val="16"/>
                <w:szCs w:val="16"/>
              </w:rPr>
              <w:t> </w:t>
            </w:r>
            <w:r w:rsidRPr="0055116C">
              <w:rPr>
                <w:sz w:val="16"/>
                <w:szCs w:val="16"/>
                <w:lang w:val="ru-RU"/>
              </w:rPr>
              <w:t>467 (-1,6% по сравнению с 2012–2013</w:t>
            </w:r>
            <w:r w:rsidRPr="008B3CE4">
              <w:rPr>
                <w:sz w:val="16"/>
                <w:szCs w:val="16"/>
              </w:rPr>
              <w:t> </w:t>
            </w:r>
            <w:r w:rsidRPr="0055116C">
              <w:rPr>
                <w:sz w:val="16"/>
                <w:szCs w:val="16"/>
                <w:lang w:val="ru-RU"/>
              </w:rPr>
              <w:t xml:space="preserve">г.)  </w:t>
            </w:r>
          </w:p>
          <w:p w:rsidR="0055116C" w:rsidRPr="0055116C" w:rsidRDefault="0055116C" w:rsidP="0055116C">
            <w:pPr>
              <w:pStyle w:val="ListParagraph"/>
              <w:numPr>
                <w:ilvl w:val="0"/>
                <w:numId w:val="64"/>
              </w:numPr>
              <w:rPr>
                <w:rFonts w:cs="Arial"/>
                <w:sz w:val="16"/>
                <w:szCs w:val="16"/>
                <w:lang w:val="ru-RU"/>
              </w:rPr>
            </w:pPr>
            <w:r w:rsidRPr="0055116C">
              <w:rPr>
                <w:sz w:val="16"/>
                <w:szCs w:val="16"/>
                <w:lang w:val="ru-RU"/>
              </w:rPr>
              <w:t>75</w:t>
            </w:r>
            <w:r>
              <w:rPr>
                <w:sz w:val="16"/>
                <w:szCs w:val="16"/>
              </w:rPr>
              <w:t> </w:t>
            </w:r>
            <w:r w:rsidRPr="0055116C">
              <w:rPr>
                <w:sz w:val="16"/>
                <w:szCs w:val="16"/>
                <w:lang w:val="ru-RU"/>
              </w:rPr>
              <w:t>173</w:t>
            </w:r>
            <w:r>
              <w:rPr>
                <w:sz w:val="16"/>
                <w:szCs w:val="16"/>
              </w:rPr>
              <w:t> </w:t>
            </w:r>
            <w:r w:rsidRPr="0055116C">
              <w:rPr>
                <w:sz w:val="16"/>
                <w:szCs w:val="16"/>
                <w:lang w:val="ru-RU"/>
              </w:rPr>
              <w:t>просмотра 18</w:t>
            </w:r>
            <w:r>
              <w:rPr>
                <w:sz w:val="16"/>
                <w:szCs w:val="16"/>
              </w:rPr>
              <w:t> </w:t>
            </w:r>
            <w:r w:rsidRPr="0055116C">
              <w:rPr>
                <w:sz w:val="16"/>
                <w:szCs w:val="16"/>
                <w:lang w:val="ru-RU"/>
              </w:rPr>
              <w:t>пресс-релизов, опубликованных в 2014</w:t>
            </w:r>
            <w:r>
              <w:rPr>
                <w:sz w:val="16"/>
                <w:szCs w:val="16"/>
              </w:rPr>
              <w:t> </w:t>
            </w:r>
            <w:r w:rsidRPr="0055116C">
              <w:rPr>
                <w:sz w:val="16"/>
                <w:szCs w:val="16"/>
                <w:lang w:val="ru-RU"/>
              </w:rPr>
              <w:t>г. (-24,2%</w:t>
            </w:r>
            <w:r w:rsidRPr="008B3CE4">
              <w:rPr>
                <w:sz w:val="16"/>
                <w:szCs w:val="16"/>
              </w:rPr>
              <w:t> </w:t>
            </w:r>
            <w:r w:rsidRPr="0055116C">
              <w:rPr>
                <w:sz w:val="16"/>
                <w:szCs w:val="16"/>
                <w:lang w:val="ru-RU"/>
              </w:rPr>
              <w:t>по сравнению с 2013</w:t>
            </w:r>
            <w:r w:rsidRPr="008B3CE4">
              <w:rPr>
                <w:sz w:val="16"/>
                <w:szCs w:val="16"/>
              </w:rPr>
              <w:t> </w:t>
            </w:r>
            <w:r w:rsidRPr="0055116C">
              <w:rPr>
                <w:sz w:val="16"/>
                <w:szCs w:val="16"/>
                <w:lang w:val="ru-RU"/>
              </w:rPr>
              <w:t>г.)</w:t>
            </w:r>
          </w:p>
          <w:p w:rsidR="0055116C" w:rsidRPr="0055116C" w:rsidRDefault="0055116C" w:rsidP="0055116C">
            <w:pPr>
              <w:pStyle w:val="ListParagraph"/>
              <w:numPr>
                <w:ilvl w:val="0"/>
                <w:numId w:val="64"/>
              </w:numPr>
              <w:rPr>
                <w:rFonts w:cs="Arial"/>
                <w:sz w:val="16"/>
                <w:szCs w:val="16"/>
                <w:lang w:val="ru-RU"/>
              </w:rPr>
            </w:pPr>
            <w:r w:rsidRPr="0055116C">
              <w:rPr>
                <w:sz w:val="16"/>
                <w:szCs w:val="16"/>
                <w:lang w:val="ru-RU"/>
              </w:rPr>
              <w:t>72</w:t>
            </w:r>
            <w:r w:rsidRPr="008B3CE4">
              <w:rPr>
                <w:sz w:val="16"/>
                <w:szCs w:val="16"/>
              </w:rPr>
              <w:t> </w:t>
            </w:r>
            <w:r w:rsidRPr="0055116C">
              <w:rPr>
                <w:sz w:val="16"/>
                <w:szCs w:val="16"/>
                <w:lang w:val="ru-RU"/>
              </w:rPr>
              <w:t>232 просмотра 15</w:t>
            </w:r>
            <w:r>
              <w:rPr>
                <w:sz w:val="16"/>
                <w:szCs w:val="16"/>
              </w:rPr>
              <w:t> </w:t>
            </w:r>
            <w:r w:rsidRPr="0055116C">
              <w:rPr>
                <w:sz w:val="16"/>
                <w:szCs w:val="16"/>
                <w:lang w:val="ru-RU"/>
              </w:rPr>
              <w:t>пресс-релизов, опубликованных в 2015</w:t>
            </w:r>
            <w:r>
              <w:rPr>
                <w:sz w:val="16"/>
                <w:szCs w:val="16"/>
              </w:rPr>
              <w:t> </w:t>
            </w:r>
            <w:r w:rsidRPr="0055116C">
              <w:rPr>
                <w:sz w:val="16"/>
                <w:szCs w:val="16"/>
                <w:lang w:val="ru-RU"/>
              </w:rPr>
              <w:t>г. (-12,5% по сравнению с 2014</w:t>
            </w:r>
            <w:r w:rsidRPr="008B3CE4">
              <w:rPr>
                <w:sz w:val="16"/>
                <w:szCs w:val="16"/>
              </w:rPr>
              <w:t> </w:t>
            </w:r>
            <w:r w:rsidRPr="0055116C">
              <w:rPr>
                <w:sz w:val="16"/>
                <w:szCs w:val="16"/>
                <w:lang w:val="ru-RU"/>
              </w:rPr>
              <w:t>г.)</w:t>
            </w:r>
          </w:p>
          <w:p w:rsidR="0055116C" w:rsidRPr="0055116C" w:rsidRDefault="0055116C" w:rsidP="0055116C">
            <w:pPr>
              <w:pStyle w:val="ListParagraph"/>
              <w:ind w:left="27"/>
              <w:rPr>
                <w:sz w:val="16"/>
                <w:szCs w:val="16"/>
                <w:highlight w:val="yellow"/>
                <w:lang w:val="ru-RU"/>
              </w:rPr>
            </w:pPr>
          </w:p>
          <w:p w:rsidR="0055116C" w:rsidRPr="0055116C" w:rsidRDefault="0055116C" w:rsidP="0055116C">
            <w:pPr>
              <w:pStyle w:val="ListParagraph"/>
              <w:ind w:left="27"/>
              <w:rPr>
                <w:sz w:val="16"/>
                <w:szCs w:val="16"/>
                <w:highlight w:val="yellow"/>
                <w:lang w:val="ru-RU"/>
              </w:rPr>
            </w:pPr>
          </w:p>
          <w:p w:rsidR="0055116C" w:rsidRPr="0055116C" w:rsidRDefault="0055116C" w:rsidP="0055116C">
            <w:pPr>
              <w:pStyle w:val="ListParagraph"/>
              <w:ind w:left="27"/>
              <w:rPr>
                <w:sz w:val="16"/>
                <w:szCs w:val="16"/>
                <w:highlight w:val="yellow"/>
                <w:lang w:val="ru-RU"/>
              </w:rPr>
            </w:pPr>
          </w:p>
          <w:p w:rsidR="0055116C" w:rsidRPr="0055116C" w:rsidRDefault="0055116C" w:rsidP="0055116C">
            <w:pPr>
              <w:pStyle w:val="ListParagraph"/>
              <w:ind w:left="27"/>
              <w:rPr>
                <w:sz w:val="16"/>
                <w:szCs w:val="16"/>
                <w:highlight w:val="yellow"/>
                <w:lang w:val="ru-RU"/>
              </w:rPr>
            </w:pPr>
          </w:p>
          <w:p w:rsidR="0055116C" w:rsidRPr="0055116C" w:rsidRDefault="0055116C" w:rsidP="0055116C">
            <w:pPr>
              <w:rPr>
                <w:rFonts w:cs="Arial"/>
                <w:sz w:val="16"/>
                <w:szCs w:val="16"/>
                <w:highlight w:val="yellow"/>
                <w:lang w:val="ru-RU"/>
              </w:rPr>
            </w:pPr>
            <w:r w:rsidRPr="0055116C">
              <w:rPr>
                <w:sz w:val="16"/>
                <w:szCs w:val="16"/>
                <w:lang w:val="ru-RU"/>
              </w:rPr>
              <w:t>(</w:t>
            </w:r>
            <w:r>
              <w:rPr>
                <w:sz w:val="16"/>
                <w:szCs w:val="16"/>
              </w:rPr>
              <w:t>ii</w:t>
            </w:r>
            <w:r w:rsidRPr="0055116C">
              <w:rPr>
                <w:sz w:val="16"/>
                <w:szCs w:val="16"/>
                <w:lang w:val="ru-RU"/>
              </w:rPr>
              <w:t>)</w:t>
            </w:r>
            <w:r>
              <w:rPr>
                <w:sz w:val="16"/>
                <w:szCs w:val="16"/>
              </w:rPr>
              <w:t> </w:t>
            </w:r>
            <w:r w:rsidRPr="0055116C">
              <w:rPr>
                <w:sz w:val="16"/>
                <w:szCs w:val="16"/>
                <w:lang w:val="ru-RU"/>
              </w:rPr>
              <w:t>один видеоматериал в среднем просматривался 12</w:t>
            </w:r>
            <w:r>
              <w:rPr>
                <w:sz w:val="16"/>
                <w:szCs w:val="16"/>
              </w:rPr>
              <w:t> </w:t>
            </w:r>
            <w:r w:rsidRPr="0055116C">
              <w:rPr>
                <w:sz w:val="16"/>
                <w:szCs w:val="16"/>
                <w:lang w:val="ru-RU"/>
              </w:rPr>
              <w:t>871</w:t>
            </w:r>
            <w:r>
              <w:rPr>
                <w:sz w:val="16"/>
                <w:szCs w:val="16"/>
              </w:rPr>
              <w:t> </w:t>
            </w:r>
            <w:r w:rsidRPr="0055116C">
              <w:rPr>
                <w:sz w:val="16"/>
                <w:szCs w:val="16"/>
                <w:lang w:val="ru-RU"/>
              </w:rPr>
              <w:t>раз (5</w:t>
            </w:r>
            <w:r w:rsidRPr="008B3CE4">
              <w:rPr>
                <w:sz w:val="16"/>
                <w:szCs w:val="16"/>
              </w:rPr>
              <w:t> </w:t>
            </w:r>
            <w:r w:rsidRPr="0055116C">
              <w:rPr>
                <w:sz w:val="16"/>
                <w:szCs w:val="16"/>
                <w:lang w:val="ru-RU"/>
              </w:rPr>
              <w:t>006</w:t>
            </w:r>
            <w:r w:rsidRPr="008B3CE4">
              <w:rPr>
                <w:sz w:val="16"/>
                <w:szCs w:val="16"/>
              </w:rPr>
              <w:t> </w:t>
            </w:r>
            <w:r w:rsidRPr="0055116C">
              <w:rPr>
                <w:sz w:val="16"/>
                <w:szCs w:val="16"/>
                <w:lang w:val="ru-RU"/>
              </w:rPr>
              <w:t>946 просмотров 389</w:t>
            </w:r>
            <w:r>
              <w:rPr>
                <w:sz w:val="16"/>
                <w:szCs w:val="16"/>
              </w:rPr>
              <w:t> </w:t>
            </w:r>
            <w:r w:rsidRPr="0055116C">
              <w:rPr>
                <w:sz w:val="16"/>
                <w:szCs w:val="16"/>
                <w:lang w:val="ru-RU"/>
              </w:rPr>
              <w:t>видеоматериалов по состоянию на конец 2014–2015</w:t>
            </w:r>
            <w:r w:rsidRPr="008B3CE4">
              <w:rPr>
                <w:sz w:val="16"/>
                <w:szCs w:val="16"/>
              </w:rPr>
              <w:t> </w:t>
            </w:r>
            <w:r w:rsidRPr="0055116C">
              <w:rPr>
                <w:sz w:val="16"/>
                <w:szCs w:val="16"/>
                <w:lang w:val="ru-RU"/>
              </w:rPr>
              <w:t>гг.) (</w:t>
            </w:r>
            <w:r w:rsidRPr="0055116C">
              <w:rPr>
                <w:sz w:val="16"/>
                <w:szCs w:val="16"/>
                <w:lang w:val="ru-RU"/>
              </w:rPr>
              <w:noBreakHyphen/>
              <w:t>31%)</w:t>
            </w:r>
          </w:p>
          <w:p w:rsidR="0055116C" w:rsidRPr="0055116C" w:rsidRDefault="0055116C" w:rsidP="0055116C">
            <w:pPr>
              <w:rPr>
                <w:rFonts w:cs="Arial"/>
                <w:sz w:val="16"/>
                <w:szCs w:val="16"/>
                <w:highlight w:val="yellow"/>
                <w:lang w:val="ru-RU"/>
              </w:rPr>
            </w:pPr>
          </w:p>
          <w:p w:rsidR="0055116C" w:rsidRPr="0055116C" w:rsidRDefault="0055116C" w:rsidP="0055116C">
            <w:pPr>
              <w:rPr>
                <w:rFonts w:cs="Arial"/>
                <w:sz w:val="16"/>
                <w:szCs w:val="16"/>
                <w:highlight w:val="yellow"/>
                <w:lang w:val="ru-RU"/>
              </w:rPr>
            </w:pPr>
          </w:p>
          <w:p w:rsidR="0055116C" w:rsidRPr="0055116C" w:rsidRDefault="0055116C" w:rsidP="0055116C">
            <w:pPr>
              <w:rPr>
                <w:rFonts w:cs="Arial"/>
                <w:sz w:val="16"/>
                <w:szCs w:val="16"/>
                <w:highlight w:val="yellow"/>
                <w:lang w:val="ru-RU"/>
              </w:rPr>
            </w:pPr>
          </w:p>
          <w:p w:rsidR="0055116C" w:rsidRPr="0055116C" w:rsidRDefault="0055116C" w:rsidP="0055116C">
            <w:pPr>
              <w:rPr>
                <w:rFonts w:cs="Arial"/>
                <w:sz w:val="16"/>
                <w:szCs w:val="16"/>
                <w:lang w:val="ru-RU"/>
              </w:rPr>
            </w:pPr>
            <w:r w:rsidRPr="0055116C">
              <w:rPr>
                <w:sz w:val="16"/>
                <w:szCs w:val="16"/>
                <w:lang w:val="ru-RU"/>
              </w:rPr>
              <w:t>(</w:t>
            </w:r>
            <w:r>
              <w:rPr>
                <w:sz w:val="16"/>
                <w:szCs w:val="16"/>
              </w:rPr>
              <w:t>iii</w:t>
            </w:r>
            <w:r w:rsidRPr="0055116C">
              <w:rPr>
                <w:sz w:val="16"/>
                <w:szCs w:val="16"/>
                <w:lang w:val="ru-RU"/>
              </w:rPr>
              <w:t>)еще</w:t>
            </w:r>
            <w:r>
              <w:rPr>
                <w:sz w:val="16"/>
                <w:szCs w:val="16"/>
              </w:rPr>
              <w:t> </w:t>
            </w:r>
            <w:r w:rsidRPr="0055116C">
              <w:rPr>
                <w:sz w:val="16"/>
                <w:szCs w:val="16"/>
                <w:lang w:val="ru-RU"/>
              </w:rPr>
              <w:t>2</w:t>
            </w:r>
            <w:r w:rsidRPr="008B3CE4">
              <w:rPr>
                <w:sz w:val="16"/>
                <w:szCs w:val="16"/>
              </w:rPr>
              <w:t> </w:t>
            </w:r>
            <w:r w:rsidRPr="0055116C">
              <w:rPr>
                <w:sz w:val="16"/>
                <w:szCs w:val="16"/>
                <w:lang w:val="ru-RU"/>
              </w:rPr>
              <w:t>541</w:t>
            </w:r>
            <w:r w:rsidRPr="008B3CE4">
              <w:rPr>
                <w:sz w:val="16"/>
                <w:szCs w:val="16"/>
              </w:rPr>
              <w:t> </w:t>
            </w:r>
            <w:r w:rsidRPr="0055116C">
              <w:rPr>
                <w:sz w:val="16"/>
                <w:szCs w:val="16"/>
                <w:lang w:val="ru-RU"/>
              </w:rPr>
              <w:t xml:space="preserve">702 просмотра фотографий на </w:t>
            </w:r>
            <w:r w:rsidRPr="008B3CE4">
              <w:rPr>
                <w:sz w:val="16"/>
                <w:szCs w:val="16"/>
              </w:rPr>
              <w:t>Flickr</w:t>
            </w:r>
            <w:r w:rsidRPr="0055116C">
              <w:rPr>
                <w:sz w:val="16"/>
                <w:szCs w:val="16"/>
                <w:lang w:val="ru-RU"/>
              </w:rPr>
              <w:t xml:space="preserve"> (+182%) (3</w:t>
            </w:r>
            <w:r w:rsidRPr="008B3CE4">
              <w:rPr>
                <w:sz w:val="16"/>
                <w:szCs w:val="16"/>
              </w:rPr>
              <w:t> </w:t>
            </w:r>
            <w:r w:rsidRPr="0055116C">
              <w:rPr>
                <w:sz w:val="16"/>
                <w:szCs w:val="16"/>
                <w:lang w:val="ru-RU"/>
              </w:rPr>
              <w:t>441</w:t>
            </w:r>
            <w:r w:rsidRPr="008B3CE4">
              <w:rPr>
                <w:sz w:val="16"/>
                <w:szCs w:val="16"/>
              </w:rPr>
              <w:t> </w:t>
            </w:r>
            <w:r w:rsidRPr="0055116C">
              <w:rPr>
                <w:sz w:val="16"/>
                <w:szCs w:val="16"/>
                <w:lang w:val="ru-RU"/>
              </w:rPr>
              <w:t>702 просмотров на конец 2015</w:t>
            </w:r>
            <w:r w:rsidRPr="008B3CE4">
              <w:rPr>
                <w:sz w:val="16"/>
                <w:szCs w:val="16"/>
              </w:rPr>
              <w:t> </w:t>
            </w:r>
            <w:r w:rsidRPr="0055116C">
              <w:rPr>
                <w:sz w:val="16"/>
                <w:szCs w:val="16"/>
                <w:lang w:val="ru-RU"/>
              </w:rPr>
              <w:t xml:space="preserve">г.) </w:t>
            </w:r>
          </w:p>
          <w:p w:rsidR="0055116C" w:rsidRPr="0055116C" w:rsidRDefault="0055116C" w:rsidP="0055116C">
            <w:pPr>
              <w:rPr>
                <w:rFonts w:cs="Arial"/>
                <w:sz w:val="16"/>
                <w:szCs w:val="16"/>
                <w:highlight w:val="yellow"/>
                <w:lang w:val="ru-RU"/>
              </w:rPr>
            </w:pPr>
          </w:p>
        </w:tc>
        <w:tc>
          <w:tcPr>
            <w:tcW w:w="570" w:type="pct"/>
            <w:tcMar>
              <w:top w:w="110" w:type="dxa"/>
            </w:tcMar>
          </w:tcPr>
          <w:p w:rsidR="0055116C" w:rsidRPr="0055116C" w:rsidRDefault="0055116C" w:rsidP="0055116C">
            <w:pPr>
              <w:keepNext/>
              <w:keepLines/>
              <w:jc w:val="center"/>
              <w:rPr>
                <w:rFonts w:cs="Arial"/>
                <w:b/>
                <w:color w:val="FF0000"/>
                <w:sz w:val="16"/>
                <w:szCs w:val="16"/>
                <w:lang w:val="ru-RU"/>
              </w:rPr>
            </w:pPr>
            <w:r w:rsidRPr="0055116C">
              <w:rPr>
                <w:b/>
                <w:color w:val="FF0000"/>
                <w:sz w:val="16"/>
                <w:szCs w:val="16"/>
                <w:lang w:val="ru-RU"/>
              </w:rPr>
              <w:t>Не выполнено</w:t>
            </w: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FF0000"/>
                <w:sz w:val="16"/>
                <w:szCs w:val="16"/>
                <w:lang w:val="ru-RU"/>
              </w:rPr>
            </w:pPr>
          </w:p>
          <w:p w:rsidR="0055116C" w:rsidRPr="0055116C" w:rsidRDefault="0055116C" w:rsidP="0055116C">
            <w:pPr>
              <w:keepNext/>
              <w:keepLines/>
              <w:jc w:val="center"/>
              <w:rPr>
                <w:rFonts w:cs="Arial"/>
                <w:b/>
                <w:color w:val="FF0000"/>
                <w:sz w:val="16"/>
                <w:szCs w:val="16"/>
                <w:lang w:val="ru-RU"/>
              </w:rPr>
            </w:pPr>
          </w:p>
          <w:p w:rsidR="0055116C" w:rsidRPr="0055116C" w:rsidRDefault="0055116C" w:rsidP="0055116C">
            <w:pPr>
              <w:keepNext/>
              <w:keepLines/>
              <w:jc w:val="center"/>
              <w:rPr>
                <w:rFonts w:cs="Arial"/>
                <w:b/>
                <w:color w:val="FF0000"/>
                <w:sz w:val="16"/>
                <w:szCs w:val="16"/>
                <w:lang w:val="ru-RU"/>
              </w:rPr>
            </w:pPr>
          </w:p>
          <w:p w:rsidR="0055116C" w:rsidRPr="0055116C" w:rsidRDefault="0055116C" w:rsidP="0055116C">
            <w:pPr>
              <w:keepNext/>
              <w:keepLines/>
              <w:jc w:val="center"/>
              <w:rPr>
                <w:rFonts w:cs="Arial"/>
                <w:b/>
                <w:color w:val="FF0000"/>
                <w:sz w:val="16"/>
                <w:szCs w:val="16"/>
                <w:lang w:val="ru-RU"/>
              </w:rPr>
            </w:pPr>
          </w:p>
          <w:p w:rsidR="0055116C" w:rsidRPr="0055116C" w:rsidRDefault="0055116C" w:rsidP="0055116C">
            <w:pPr>
              <w:keepNext/>
              <w:keepLines/>
              <w:jc w:val="center"/>
              <w:rPr>
                <w:rFonts w:cs="Arial"/>
                <w:b/>
                <w:color w:val="FF0000"/>
                <w:sz w:val="16"/>
                <w:szCs w:val="16"/>
                <w:lang w:val="ru-RU"/>
              </w:rPr>
            </w:pPr>
          </w:p>
          <w:p w:rsidR="0055116C" w:rsidRPr="0055116C" w:rsidRDefault="0055116C" w:rsidP="0055116C">
            <w:pPr>
              <w:keepNext/>
              <w:keepLines/>
              <w:jc w:val="center"/>
              <w:rPr>
                <w:rFonts w:cs="Arial"/>
                <w:b/>
                <w:color w:val="FF0000"/>
                <w:sz w:val="16"/>
                <w:szCs w:val="16"/>
                <w:lang w:val="ru-RU"/>
              </w:rPr>
            </w:pPr>
            <w:r w:rsidRPr="0055116C">
              <w:rPr>
                <w:b/>
                <w:color w:val="FF0000"/>
                <w:sz w:val="16"/>
                <w:szCs w:val="16"/>
                <w:lang w:val="ru-RU"/>
              </w:rPr>
              <w:t>Не выполнено</w:t>
            </w: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jc w:val="center"/>
              <w:rPr>
                <w:rFonts w:cs="Arial"/>
                <w:b/>
                <w:color w:val="FF0000"/>
                <w:sz w:val="16"/>
                <w:szCs w:val="16"/>
                <w:lang w:val="ru-RU"/>
              </w:rPr>
            </w:pPr>
            <w:r w:rsidRPr="0055116C">
              <w:rPr>
                <w:b/>
                <w:color w:val="00B050"/>
                <w:sz w:val="16"/>
                <w:szCs w:val="16"/>
                <w:lang w:val="ru-RU"/>
              </w:rPr>
              <w:t>Выполнено</w:t>
            </w:r>
          </w:p>
        </w:tc>
      </w:tr>
      <w:tr w:rsidR="0055116C" w:rsidRPr="008B3CE4" w:rsidTr="0055116C">
        <w:trPr>
          <w:trHeight w:val="1716"/>
        </w:trPr>
        <w:tc>
          <w:tcPr>
            <w:tcW w:w="986" w:type="pct"/>
          </w:tcPr>
          <w:p w:rsidR="0055116C" w:rsidRPr="008B3CE4" w:rsidRDefault="0055116C" w:rsidP="0055116C">
            <w:pPr>
              <w:rPr>
                <w:rFonts w:cs="Arial"/>
                <w:sz w:val="16"/>
                <w:szCs w:val="16"/>
              </w:rPr>
            </w:pPr>
            <w:r w:rsidRPr="0055116C">
              <w:rPr>
                <w:sz w:val="16"/>
                <w:szCs w:val="16"/>
                <w:lang w:val="ru-RU"/>
              </w:rPr>
              <w:t xml:space="preserve">Расширение масштабов глобального участия в мероприятиях, приуроченных к Международному дню </w:t>
            </w:r>
            <w:r w:rsidRPr="008B3CE4">
              <w:rPr>
                <w:sz w:val="16"/>
                <w:szCs w:val="16"/>
              </w:rPr>
              <w:t>ИС, на странице в Facebook (общий охват кампании) (в %)</w:t>
            </w:r>
          </w:p>
        </w:tc>
        <w:tc>
          <w:tcPr>
            <w:tcW w:w="1331" w:type="pct"/>
            <w:gridSpan w:val="2"/>
            <w:shd w:val="clear" w:color="auto" w:fill="auto"/>
          </w:tcPr>
          <w:p w:rsidR="0055116C" w:rsidRPr="0055116C" w:rsidRDefault="0055116C" w:rsidP="0055116C">
            <w:pPr>
              <w:rPr>
                <w:rFonts w:cs="Arial"/>
                <w:color w:val="002060"/>
                <w:sz w:val="16"/>
                <w:szCs w:val="16"/>
                <w:lang w:val="ru-RU"/>
              </w:rPr>
            </w:pPr>
            <w:r w:rsidRPr="0055116C">
              <w:rPr>
                <w:i/>
                <w:color w:val="002060"/>
                <w:sz w:val="16"/>
                <w:szCs w:val="16"/>
                <w:lang w:val="ru-RU"/>
              </w:rPr>
              <w:t>Обновленные базовые показатели, конец 2013</w:t>
            </w:r>
            <w:r w:rsidRPr="008B3CE4">
              <w:rPr>
                <w:i/>
                <w:color w:val="002060"/>
                <w:sz w:val="16"/>
                <w:szCs w:val="16"/>
              </w:rPr>
              <w:t> </w:t>
            </w:r>
            <w:r w:rsidRPr="0055116C">
              <w:rPr>
                <w:i/>
                <w:color w:val="002060"/>
                <w:sz w:val="16"/>
                <w:szCs w:val="16"/>
                <w:lang w:val="ru-RU"/>
              </w:rPr>
              <w:t xml:space="preserve">г.: </w:t>
            </w:r>
            <w:r w:rsidRPr="0055116C">
              <w:rPr>
                <w:color w:val="002060"/>
                <w:sz w:val="16"/>
                <w:szCs w:val="16"/>
                <w:lang w:val="ru-RU"/>
              </w:rPr>
              <w:t xml:space="preserve">благодаря кампании в </w:t>
            </w:r>
            <w:r w:rsidRPr="008B3CE4">
              <w:rPr>
                <w:color w:val="002060"/>
                <w:sz w:val="16"/>
                <w:szCs w:val="16"/>
              </w:rPr>
              <w:t>Facebook</w:t>
            </w:r>
            <w:r w:rsidRPr="0055116C">
              <w:rPr>
                <w:color w:val="002060"/>
                <w:sz w:val="16"/>
                <w:szCs w:val="16"/>
                <w:lang w:val="ru-RU"/>
              </w:rPr>
              <w:t xml:space="preserve"> в 2013</w:t>
            </w:r>
            <w:r>
              <w:rPr>
                <w:color w:val="002060"/>
                <w:sz w:val="16"/>
                <w:szCs w:val="16"/>
              </w:rPr>
              <w:t> </w:t>
            </w:r>
            <w:r w:rsidRPr="0055116C">
              <w:rPr>
                <w:color w:val="002060"/>
                <w:sz w:val="16"/>
                <w:szCs w:val="16"/>
                <w:lang w:val="ru-RU"/>
              </w:rPr>
              <w:t>г. контент, посвященный Международному дню ИС, увидели 414</w:t>
            </w:r>
            <w:r w:rsidRPr="008B3CE4">
              <w:rPr>
                <w:color w:val="002060"/>
                <w:sz w:val="16"/>
                <w:szCs w:val="16"/>
              </w:rPr>
              <w:t> </w:t>
            </w:r>
            <w:r w:rsidRPr="0055116C">
              <w:rPr>
                <w:color w:val="002060"/>
                <w:sz w:val="16"/>
                <w:szCs w:val="16"/>
                <w:lang w:val="ru-RU"/>
              </w:rPr>
              <w:t>121 человек (совокупный охват [постоянный показатель])</w:t>
            </w:r>
            <w:r w:rsidRPr="0055116C">
              <w:rPr>
                <w:i/>
                <w:color w:val="002060"/>
                <w:sz w:val="16"/>
                <w:szCs w:val="16"/>
                <w:lang w:val="ru-RU"/>
              </w:rPr>
              <w:t xml:space="preserve"> </w:t>
            </w:r>
          </w:p>
          <w:p w:rsidR="0055116C" w:rsidRPr="0055116C" w:rsidRDefault="0055116C" w:rsidP="0055116C">
            <w:pPr>
              <w:rPr>
                <w:rFonts w:cs="Arial"/>
                <w:i/>
                <w:color w:val="002060"/>
                <w:sz w:val="16"/>
                <w:szCs w:val="16"/>
                <w:lang w:val="ru-RU"/>
              </w:rPr>
            </w:pPr>
          </w:p>
          <w:p w:rsidR="0055116C" w:rsidRPr="0055116C" w:rsidRDefault="0055116C" w:rsidP="0055116C">
            <w:pPr>
              <w:rPr>
                <w:rFonts w:cs="Arial"/>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 xml:space="preserve">гг.:  </w:t>
            </w:r>
            <w:r w:rsidRPr="0055116C">
              <w:rPr>
                <w:sz w:val="16"/>
                <w:szCs w:val="16"/>
                <w:lang w:val="ru-RU"/>
              </w:rPr>
              <w:t>379</w:t>
            </w:r>
            <w:r>
              <w:rPr>
                <w:sz w:val="16"/>
                <w:szCs w:val="16"/>
              </w:rPr>
              <w:t> </w:t>
            </w:r>
            <w:r w:rsidRPr="0055116C">
              <w:rPr>
                <w:sz w:val="16"/>
                <w:szCs w:val="16"/>
                <w:lang w:val="ru-RU"/>
              </w:rPr>
              <w:t>600</w:t>
            </w:r>
            <w:r>
              <w:rPr>
                <w:sz w:val="16"/>
                <w:szCs w:val="16"/>
              </w:rPr>
              <w:t> </w:t>
            </w:r>
            <w:r w:rsidRPr="0055116C">
              <w:rPr>
                <w:sz w:val="16"/>
                <w:szCs w:val="16"/>
                <w:lang w:val="ru-RU"/>
              </w:rPr>
              <w:t xml:space="preserve">человек увидели материалы, связанные со Всемирным днем ИС благодаря кампании в </w:t>
            </w:r>
            <w:r w:rsidRPr="008B3CE4">
              <w:rPr>
                <w:sz w:val="16"/>
                <w:szCs w:val="16"/>
              </w:rPr>
              <w:t>Facebook</w:t>
            </w:r>
            <w:r w:rsidRPr="0055116C">
              <w:rPr>
                <w:sz w:val="16"/>
                <w:szCs w:val="16"/>
                <w:lang w:val="ru-RU"/>
              </w:rPr>
              <w:t xml:space="preserve"> в 2012 г.</w:t>
            </w:r>
          </w:p>
        </w:tc>
        <w:tc>
          <w:tcPr>
            <w:tcW w:w="782" w:type="pct"/>
            <w:gridSpan w:val="2"/>
            <w:tcMar>
              <w:top w:w="110" w:type="dxa"/>
            </w:tcMar>
          </w:tcPr>
          <w:p w:rsidR="0055116C" w:rsidRPr="008B3CE4" w:rsidRDefault="0055116C" w:rsidP="0055116C">
            <w:pPr>
              <w:rPr>
                <w:rFonts w:cs="Arial"/>
                <w:sz w:val="16"/>
                <w:szCs w:val="16"/>
              </w:rPr>
            </w:pPr>
            <w:r w:rsidRPr="0055116C">
              <w:rPr>
                <w:sz w:val="16"/>
                <w:szCs w:val="16"/>
                <w:lang w:val="ru-RU"/>
              </w:rPr>
              <w:t xml:space="preserve">Увеличение числа увидевших контент, посвященный Международному дню </w:t>
            </w:r>
            <w:r w:rsidRPr="008B3CE4">
              <w:rPr>
                <w:sz w:val="16"/>
                <w:szCs w:val="16"/>
              </w:rPr>
              <w:t>ИС, в Facebook на 30% (общий охват)</w:t>
            </w:r>
          </w:p>
        </w:tc>
        <w:tc>
          <w:tcPr>
            <w:tcW w:w="1332" w:type="pct"/>
            <w:gridSpan w:val="2"/>
            <w:shd w:val="clear" w:color="auto" w:fill="FFFFFF"/>
            <w:tcMar>
              <w:top w:w="110" w:type="dxa"/>
            </w:tcMar>
          </w:tcPr>
          <w:p w:rsidR="0055116C" w:rsidRPr="008B3CE4" w:rsidRDefault="0055116C" w:rsidP="0055116C">
            <w:pPr>
              <w:rPr>
                <w:rFonts w:cs="Arial"/>
                <w:sz w:val="16"/>
                <w:szCs w:val="16"/>
              </w:rPr>
            </w:pPr>
            <w:r w:rsidRPr="0055116C">
              <w:rPr>
                <w:sz w:val="16"/>
                <w:szCs w:val="16"/>
                <w:lang w:val="ru-RU"/>
              </w:rPr>
              <w:t>В 2014–2015</w:t>
            </w:r>
            <w:r w:rsidRPr="008B3CE4">
              <w:rPr>
                <w:sz w:val="16"/>
                <w:szCs w:val="16"/>
              </w:rPr>
              <w:t> </w:t>
            </w:r>
            <w:r w:rsidRPr="0055116C">
              <w:rPr>
                <w:sz w:val="16"/>
                <w:szCs w:val="16"/>
                <w:lang w:val="ru-RU"/>
              </w:rPr>
              <w:t>гг. 1</w:t>
            </w:r>
            <w:r w:rsidRPr="008B3CE4">
              <w:rPr>
                <w:sz w:val="16"/>
                <w:szCs w:val="16"/>
              </w:rPr>
              <w:t> </w:t>
            </w:r>
            <w:r w:rsidRPr="0055116C">
              <w:rPr>
                <w:sz w:val="16"/>
                <w:szCs w:val="16"/>
                <w:lang w:val="ru-RU"/>
              </w:rPr>
              <w:t>020</w:t>
            </w:r>
            <w:r w:rsidRPr="008B3CE4">
              <w:rPr>
                <w:sz w:val="16"/>
                <w:szCs w:val="16"/>
              </w:rPr>
              <w:t> </w:t>
            </w:r>
            <w:r w:rsidRPr="0055116C">
              <w:rPr>
                <w:sz w:val="16"/>
                <w:szCs w:val="16"/>
                <w:lang w:val="ru-RU"/>
              </w:rPr>
              <w:t xml:space="preserve">128 человек увидели контент, посвященный Всемирному дню </w:t>
            </w:r>
            <w:r>
              <w:rPr>
                <w:sz w:val="16"/>
                <w:szCs w:val="16"/>
              </w:rPr>
              <w:t>ИС, благодаря кампаниям</w:t>
            </w:r>
            <w:r w:rsidRPr="008B3CE4">
              <w:rPr>
                <w:sz w:val="16"/>
                <w:szCs w:val="16"/>
              </w:rPr>
              <w:t xml:space="preserve"> в Facebook (+28,5% по сравнению с 2012–2013 гг.):</w:t>
            </w:r>
          </w:p>
          <w:p w:rsidR="0055116C" w:rsidRPr="008B3CE4" w:rsidRDefault="0055116C" w:rsidP="0055116C">
            <w:pPr>
              <w:pStyle w:val="ListParagraph"/>
              <w:numPr>
                <w:ilvl w:val="0"/>
                <w:numId w:val="65"/>
              </w:numPr>
              <w:rPr>
                <w:rFonts w:cs="Arial"/>
                <w:sz w:val="16"/>
                <w:szCs w:val="16"/>
              </w:rPr>
            </w:pPr>
            <w:r>
              <w:rPr>
                <w:sz w:val="16"/>
                <w:szCs w:val="16"/>
              </w:rPr>
              <w:t>563 816 в 2014 </w:t>
            </w:r>
            <w:r w:rsidRPr="008B3CE4">
              <w:rPr>
                <w:sz w:val="16"/>
                <w:szCs w:val="16"/>
              </w:rPr>
              <w:t xml:space="preserve">г. </w:t>
            </w:r>
          </w:p>
          <w:p w:rsidR="0055116C" w:rsidRPr="008B3CE4" w:rsidRDefault="0055116C" w:rsidP="0055116C">
            <w:pPr>
              <w:pStyle w:val="ListParagraph"/>
              <w:numPr>
                <w:ilvl w:val="0"/>
                <w:numId w:val="65"/>
              </w:numPr>
              <w:rPr>
                <w:rFonts w:cs="Arial"/>
                <w:sz w:val="16"/>
                <w:szCs w:val="16"/>
              </w:rPr>
            </w:pPr>
            <w:r>
              <w:rPr>
                <w:sz w:val="16"/>
                <w:szCs w:val="16"/>
              </w:rPr>
              <w:t>456 312 в 2015 </w:t>
            </w:r>
            <w:r w:rsidRPr="008B3CE4">
              <w:rPr>
                <w:sz w:val="16"/>
                <w:szCs w:val="16"/>
              </w:rPr>
              <w:t xml:space="preserve">г. </w:t>
            </w:r>
          </w:p>
        </w:tc>
        <w:tc>
          <w:tcPr>
            <w:tcW w:w="570" w:type="pct"/>
            <w:tcMar>
              <w:top w:w="110" w:type="dxa"/>
            </w:tcMar>
          </w:tcPr>
          <w:p w:rsidR="0055116C" w:rsidRPr="008B3CE4" w:rsidRDefault="0055116C" w:rsidP="0055116C">
            <w:pPr>
              <w:keepNext/>
              <w:keepLines/>
              <w:jc w:val="center"/>
              <w:rPr>
                <w:rFonts w:cs="Arial"/>
                <w:b/>
                <w:color w:val="00B050"/>
                <w:sz w:val="16"/>
                <w:szCs w:val="16"/>
              </w:rPr>
            </w:pPr>
          </w:p>
          <w:p w:rsidR="0055116C" w:rsidRPr="008B3CE4" w:rsidRDefault="0055116C" w:rsidP="0055116C">
            <w:pPr>
              <w:keepNext/>
              <w:keepLines/>
              <w:jc w:val="center"/>
              <w:rPr>
                <w:rFonts w:cs="Arial"/>
                <w:b/>
                <w:color w:val="808080"/>
                <w:sz w:val="16"/>
                <w:szCs w:val="16"/>
              </w:rPr>
            </w:pPr>
            <w:r w:rsidRPr="008B3CE4">
              <w:rPr>
                <w:b/>
                <w:color w:val="00B050"/>
                <w:sz w:val="16"/>
                <w:szCs w:val="16"/>
              </w:rPr>
              <w:t>Выполнено</w:t>
            </w:r>
          </w:p>
        </w:tc>
      </w:tr>
      <w:tr w:rsidR="0055116C" w:rsidRPr="008B3CE4" w:rsidTr="0055116C">
        <w:tc>
          <w:tcPr>
            <w:tcW w:w="986" w:type="pct"/>
          </w:tcPr>
          <w:p w:rsidR="0055116C" w:rsidRPr="0055116C" w:rsidRDefault="0055116C" w:rsidP="0055116C">
            <w:pPr>
              <w:rPr>
                <w:rFonts w:cs="Arial"/>
                <w:sz w:val="16"/>
                <w:szCs w:val="16"/>
                <w:lang w:val="ru-RU"/>
              </w:rPr>
            </w:pPr>
            <w:r w:rsidRPr="0055116C">
              <w:rPr>
                <w:sz w:val="16"/>
                <w:szCs w:val="16"/>
                <w:lang w:val="ru-RU"/>
              </w:rPr>
              <w:t>Рост числа просмотров онлайн-публикаций (в %)</w:t>
            </w:r>
          </w:p>
        </w:tc>
        <w:tc>
          <w:tcPr>
            <w:tcW w:w="1331" w:type="pct"/>
            <w:gridSpan w:val="2"/>
            <w:shd w:val="clear" w:color="auto" w:fill="auto"/>
          </w:tcPr>
          <w:p w:rsidR="0055116C" w:rsidRPr="0055116C" w:rsidRDefault="0055116C" w:rsidP="0055116C">
            <w:pPr>
              <w:rPr>
                <w:rFonts w:cs="Arial"/>
                <w:color w:val="002060"/>
                <w:sz w:val="16"/>
                <w:szCs w:val="16"/>
                <w:lang w:val="ru-RU"/>
              </w:rPr>
            </w:pPr>
            <w:r w:rsidRPr="0055116C">
              <w:rPr>
                <w:color w:val="002060"/>
                <w:sz w:val="16"/>
                <w:szCs w:val="16"/>
                <w:lang w:val="ru-RU"/>
              </w:rPr>
              <w:t>(</w:t>
            </w:r>
            <w:r w:rsidRPr="008B3CE4">
              <w:rPr>
                <w:color w:val="002060"/>
                <w:sz w:val="16"/>
                <w:szCs w:val="16"/>
              </w:rPr>
              <w:t>i</w:t>
            </w:r>
            <w:r w:rsidRPr="0055116C">
              <w:rPr>
                <w:color w:val="002060"/>
                <w:sz w:val="16"/>
                <w:szCs w:val="16"/>
                <w:lang w:val="ru-RU"/>
              </w:rPr>
              <w:t xml:space="preserve">) </w:t>
            </w:r>
            <w:r w:rsidRPr="0055116C">
              <w:rPr>
                <w:i/>
                <w:color w:val="002060"/>
                <w:sz w:val="16"/>
                <w:szCs w:val="16"/>
                <w:lang w:val="ru-RU"/>
              </w:rPr>
              <w:t>Обновленные базовые показатели, конец 2013</w:t>
            </w:r>
            <w:r w:rsidRPr="008B3CE4">
              <w:rPr>
                <w:i/>
                <w:color w:val="002060"/>
                <w:sz w:val="16"/>
                <w:szCs w:val="16"/>
              </w:rPr>
              <w:t> </w:t>
            </w:r>
            <w:r w:rsidRPr="0055116C">
              <w:rPr>
                <w:i/>
                <w:color w:val="002060"/>
                <w:sz w:val="16"/>
                <w:szCs w:val="16"/>
                <w:lang w:val="ru-RU"/>
              </w:rPr>
              <w:t xml:space="preserve">г.: </w:t>
            </w:r>
            <w:r w:rsidRPr="0055116C">
              <w:rPr>
                <w:color w:val="002060"/>
                <w:sz w:val="16"/>
                <w:szCs w:val="16"/>
                <w:lang w:val="ru-RU"/>
              </w:rPr>
              <w:t>в 2013</w:t>
            </w:r>
            <w:r>
              <w:rPr>
                <w:color w:val="002060"/>
                <w:sz w:val="16"/>
                <w:szCs w:val="16"/>
              </w:rPr>
              <w:t> </w:t>
            </w:r>
            <w:r w:rsidRPr="0055116C">
              <w:rPr>
                <w:color w:val="002060"/>
                <w:sz w:val="16"/>
                <w:szCs w:val="16"/>
                <w:lang w:val="ru-RU"/>
              </w:rPr>
              <w:t>г. бесплатные публикации скачивались 3</w:t>
            </w:r>
            <w:r>
              <w:rPr>
                <w:color w:val="002060"/>
                <w:sz w:val="16"/>
                <w:szCs w:val="16"/>
              </w:rPr>
              <w:t> </w:t>
            </w:r>
            <w:r w:rsidRPr="0055116C">
              <w:rPr>
                <w:color w:val="002060"/>
                <w:sz w:val="16"/>
                <w:szCs w:val="16"/>
                <w:lang w:val="ru-RU"/>
              </w:rPr>
              <w:t>940</w:t>
            </w:r>
            <w:r>
              <w:rPr>
                <w:color w:val="002060"/>
                <w:sz w:val="16"/>
                <w:szCs w:val="16"/>
              </w:rPr>
              <w:t> </w:t>
            </w:r>
            <w:r w:rsidRPr="0055116C">
              <w:rPr>
                <w:color w:val="002060"/>
                <w:sz w:val="16"/>
                <w:szCs w:val="16"/>
                <w:lang w:val="ru-RU"/>
              </w:rPr>
              <w:t>490</w:t>
            </w:r>
            <w:r>
              <w:rPr>
                <w:color w:val="002060"/>
                <w:sz w:val="16"/>
                <w:szCs w:val="16"/>
              </w:rPr>
              <w:t> </w:t>
            </w:r>
            <w:r w:rsidRPr="0055116C">
              <w:rPr>
                <w:color w:val="002060"/>
                <w:sz w:val="16"/>
                <w:szCs w:val="16"/>
                <w:lang w:val="ru-RU"/>
              </w:rPr>
              <w:t>раз (на всех языках)</w:t>
            </w:r>
          </w:p>
          <w:p w:rsidR="0055116C" w:rsidRPr="0055116C" w:rsidRDefault="0055116C" w:rsidP="0055116C">
            <w:pPr>
              <w:rPr>
                <w:rFonts w:cs="Arial"/>
                <w:color w:val="002060"/>
                <w:sz w:val="16"/>
                <w:szCs w:val="16"/>
                <w:lang w:val="ru-RU"/>
              </w:rPr>
            </w:pPr>
            <w:r w:rsidRPr="0055116C">
              <w:rPr>
                <w:color w:val="002060"/>
                <w:sz w:val="16"/>
                <w:szCs w:val="16"/>
                <w:lang w:val="ru-RU"/>
              </w:rPr>
              <w:t>(</w:t>
            </w:r>
            <w:r>
              <w:rPr>
                <w:color w:val="002060"/>
                <w:sz w:val="16"/>
                <w:szCs w:val="16"/>
              </w:rPr>
              <w:t>ii</w:t>
            </w:r>
            <w:r w:rsidRPr="0055116C">
              <w:rPr>
                <w:color w:val="002060"/>
                <w:sz w:val="16"/>
                <w:szCs w:val="16"/>
                <w:lang w:val="ru-RU"/>
              </w:rPr>
              <w:t>)</w:t>
            </w:r>
            <w:r>
              <w:rPr>
                <w:color w:val="002060"/>
                <w:sz w:val="16"/>
                <w:szCs w:val="16"/>
              </w:rPr>
              <w:t> </w:t>
            </w:r>
            <w:r w:rsidRPr="0055116C">
              <w:rPr>
                <w:color w:val="002060"/>
                <w:sz w:val="16"/>
                <w:szCs w:val="16"/>
                <w:lang w:val="ru-RU"/>
              </w:rPr>
              <w:t>450</w:t>
            </w:r>
            <w:r>
              <w:rPr>
                <w:color w:val="002060"/>
                <w:sz w:val="16"/>
                <w:szCs w:val="16"/>
              </w:rPr>
              <w:t> </w:t>
            </w:r>
            <w:r w:rsidRPr="0055116C">
              <w:rPr>
                <w:color w:val="002060"/>
                <w:sz w:val="16"/>
                <w:szCs w:val="16"/>
                <w:lang w:val="ru-RU"/>
              </w:rPr>
              <w:t>499</w:t>
            </w:r>
            <w:r>
              <w:rPr>
                <w:color w:val="002060"/>
                <w:sz w:val="16"/>
                <w:szCs w:val="16"/>
              </w:rPr>
              <w:t> </w:t>
            </w:r>
            <w:r w:rsidRPr="0055116C">
              <w:rPr>
                <w:color w:val="002060"/>
                <w:sz w:val="16"/>
                <w:szCs w:val="16"/>
                <w:lang w:val="ru-RU"/>
              </w:rPr>
              <w:t>уникальных просмотров сайта Журнала ВОИС в 2013</w:t>
            </w:r>
            <w:r>
              <w:rPr>
                <w:color w:val="002060"/>
                <w:sz w:val="16"/>
                <w:szCs w:val="16"/>
              </w:rPr>
              <w:t> </w:t>
            </w:r>
            <w:r w:rsidRPr="0055116C">
              <w:rPr>
                <w:color w:val="002060"/>
                <w:sz w:val="16"/>
                <w:szCs w:val="16"/>
                <w:lang w:val="ru-RU"/>
              </w:rPr>
              <w:t>г. (на всех языках)</w:t>
            </w:r>
          </w:p>
          <w:p w:rsidR="0055116C" w:rsidRPr="0055116C" w:rsidRDefault="0055116C" w:rsidP="0055116C">
            <w:pPr>
              <w:rPr>
                <w:rFonts w:cs="Arial"/>
                <w:i/>
                <w:color w:val="002060"/>
                <w:sz w:val="16"/>
                <w:szCs w:val="16"/>
                <w:lang w:val="ru-RU"/>
              </w:rPr>
            </w:pPr>
          </w:p>
          <w:p w:rsidR="0055116C" w:rsidRPr="0055116C" w:rsidRDefault="0055116C" w:rsidP="0055116C">
            <w:pPr>
              <w:rPr>
                <w:rFonts w:cs="Arial"/>
                <w:iCs/>
                <w:sz w:val="16"/>
                <w:szCs w:val="16"/>
                <w:lang w:val="ru-RU"/>
              </w:rPr>
            </w:pPr>
            <w:r w:rsidRPr="0055116C">
              <w:rPr>
                <w:sz w:val="16"/>
                <w:szCs w:val="16"/>
                <w:lang w:val="ru-RU"/>
              </w:rPr>
              <w:t>(</w:t>
            </w:r>
            <w:r w:rsidRPr="008B3CE4">
              <w:rPr>
                <w:sz w:val="16"/>
                <w:szCs w:val="16"/>
              </w:rPr>
              <w:t>i</w:t>
            </w:r>
            <w:r w:rsidRPr="0055116C">
              <w:rPr>
                <w:sz w:val="16"/>
                <w:szCs w:val="16"/>
                <w:lang w:val="ru-RU"/>
              </w:rPr>
              <w:t xml:space="preserve">) </w:t>
            </w:r>
            <w:r w:rsidRPr="0055116C">
              <w:rPr>
                <w:i/>
                <w:sz w:val="16"/>
                <w:szCs w:val="16"/>
                <w:lang w:val="ru-RU"/>
              </w:rPr>
              <w:t>Исходные базовые показатели ПиБ на 2014–2015</w:t>
            </w:r>
            <w:r>
              <w:rPr>
                <w:i/>
                <w:sz w:val="16"/>
                <w:szCs w:val="16"/>
              </w:rPr>
              <w:t> </w:t>
            </w:r>
            <w:r w:rsidRPr="0055116C">
              <w:rPr>
                <w:i/>
                <w:sz w:val="16"/>
                <w:szCs w:val="16"/>
                <w:lang w:val="ru-RU"/>
              </w:rPr>
              <w:t xml:space="preserve">гг.:  </w:t>
            </w:r>
            <w:r w:rsidRPr="0055116C">
              <w:rPr>
                <w:sz w:val="16"/>
                <w:szCs w:val="16"/>
                <w:lang w:val="ru-RU"/>
              </w:rPr>
              <w:t>будут определены позднее (сопоставимая статистика по 2012 г. отсутствует)</w:t>
            </w:r>
          </w:p>
          <w:p w:rsidR="0055116C" w:rsidRPr="0055116C" w:rsidRDefault="0055116C" w:rsidP="0055116C">
            <w:pPr>
              <w:rPr>
                <w:sz w:val="16"/>
                <w:szCs w:val="16"/>
                <w:lang w:val="ru-RU"/>
              </w:rPr>
            </w:pPr>
            <w:r w:rsidRPr="0055116C">
              <w:rPr>
                <w:sz w:val="16"/>
                <w:szCs w:val="16"/>
                <w:lang w:val="ru-RU"/>
              </w:rPr>
              <w:t>(</w:t>
            </w:r>
            <w:r>
              <w:rPr>
                <w:sz w:val="16"/>
                <w:szCs w:val="16"/>
              </w:rPr>
              <w:t>ii</w:t>
            </w:r>
            <w:r w:rsidRPr="0055116C">
              <w:rPr>
                <w:sz w:val="16"/>
                <w:szCs w:val="16"/>
                <w:lang w:val="ru-RU"/>
              </w:rPr>
              <w:t>)</w:t>
            </w:r>
            <w:r>
              <w:rPr>
                <w:sz w:val="16"/>
                <w:szCs w:val="16"/>
              </w:rPr>
              <w:t> </w:t>
            </w:r>
            <w:r w:rsidRPr="0055116C">
              <w:rPr>
                <w:sz w:val="16"/>
                <w:szCs w:val="16"/>
                <w:lang w:val="ru-RU"/>
              </w:rPr>
              <w:t>409</w:t>
            </w:r>
            <w:r>
              <w:rPr>
                <w:sz w:val="16"/>
                <w:szCs w:val="16"/>
              </w:rPr>
              <w:t> </w:t>
            </w:r>
            <w:r w:rsidRPr="0055116C">
              <w:rPr>
                <w:sz w:val="16"/>
                <w:szCs w:val="16"/>
                <w:lang w:val="ru-RU"/>
              </w:rPr>
              <w:t>265 уникальных просмотров сайта Журнала ВОИС в 2012</w:t>
            </w:r>
            <w:r>
              <w:rPr>
                <w:sz w:val="16"/>
                <w:szCs w:val="16"/>
              </w:rPr>
              <w:t> </w:t>
            </w:r>
            <w:r w:rsidRPr="0055116C">
              <w:rPr>
                <w:sz w:val="16"/>
                <w:szCs w:val="16"/>
                <w:lang w:val="ru-RU"/>
              </w:rPr>
              <w:t>г.</w:t>
            </w:r>
          </w:p>
          <w:p w:rsidR="0055116C" w:rsidRPr="0055116C" w:rsidRDefault="0055116C" w:rsidP="0055116C">
            <w:pPr>
              <w:rPr>
                <w:rFonts w:cs="Arial"/>
                <w:sz w:val="16"/>
                <w:szCs w:val="16"/>
                <w:lang w:val="ru-RU"/>
              </w:rPr>
            </w:pPr>
          </w:p>
        </w:tc>
        <w:tc>
          <w:tcPr>
            <w:tcW w:w="782" w:type="pct"/>
            <w:gridSpan w:val="2"/>
            <w:tcMar>
              <w:top w:w="110" w:type="dxa"/>
            </w:tcMar>
          </w:tcPr>
          <w:p w:rsidR="0055116C" w:rsidRPr="0055116C" w:rsidRDefault="0055116C" w:rsidP="0055116C">
            <w:pPr>
              <w:rPr>
                <w:rFonts w:cs="Arial"/>
                <w:sz w:val="16"/>
                <w:szCs w:val="16"/>
                <w:lang w:val="ru-RU"/>
              </w:rPr>
            </w:pPr>
            <w:r w:rsidRPr="0055116C">
              <w:rPr>
                <w:sz w:val="16"/>
                <w:szCs w:val="16"/>
                <w:lang w:val="ru-RU"/>
              </w:rPr>
              <w:t>(</w:t>
            </w:r>
            <w:r w:rsidRPr="008B3CE4">
              <w:rPr>
                <w:sz w:val="16"/>
                <w:szCs w:val="16"/>
              </w:rPr>
              <w:t>i</w:t>
            </w:r>
            <w:r w:rsidRPr="0055116C">
              <w:rPr>
                <w:sz w:val="16"/>
                <w:szCs w:val="16"/>
                <w:lang w:val="ru-RU"/>
              </w:rPr>
              <w:t>)</w:t>
            </w:r>
            <w:r>
              <w:rPr>
                <w:sz w:val="16"/>
                <w:szCs w:val="16"/>
              </w:rPr>
              <w:t> </w:t>
            </w:r>
            <w:r w:rsidRPr="0055116C">
              <w:rPr>
                <w:sz w:val="16"/>
                <w:szCs w:val="16"/>
                <w:lang w:val="ru-RU"/>
              </w:rPr>
              <w:t>рост общего числа просмотров онлайн-публикаций на 10%</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r w:rsidRPr="0055116C">
              <w:rPr>
                <w:sz w:val="16"/>
                <w:szCs w:val="16"/>
                <w:lang w:val="ru-RU"/>
              </w:rPr>
              <w:t>(</w:t>
            </w:r>
            <w:r w:rsidRPr="008B3CE4">
              <w:rPr>
                <w:sz w:val="16"/>
                <w:szCs w:val="16"/>
              </w:rPr>
              <w:t>ii</w:t>
            </w:r>
            <w:r w:rsidRPr="0055116C">
              <w:rPr>
                <w:sz w:val="16"/>
                <w:szCs w:val="16"/>
                <w:lang w:val="ru-RU"/>
              </w:rPr>
              <w:t>) рост числа просмотров сайта Журнала ВОИС на 10%</w:t>
            </w:r>
          </w:p>
        </w:tc>
        <w:tc>
          <w:tcPr>
            <w:tcW w:w="1332" w:type="pct"/>
            <w:gridSpan w:val="2"/>
            <w:shd w:val="clear" w:color="auto" w:fill="FFFFFF"/>
            <w:tcMar>
              <w:top w:w="110" w:type="dxa"/>
            </w:tcMar>
          </w:tcPr>
          <w:p w:rsidR="0055116C" w:rsidRPr="0055116C" w:rsidRDefault="0055116C" w:rsidP="0055116C">
            <w:pPr>
              <w:rPr>
                <w:rFonts w:cs="Arial"/>
                <w:sz w:val="16"/>
                <w:szCs w:val="16"/>
                <w:lang w:val="ru-RU"/>
              </w:rPr>
            </w:pPr>
            <w:r w:rsidRPr="0055116C">
              <w:rPr>
                <w:sz w:val="16"/>
                <w:szCs w:val="16"/>
                <w:lang w:val="ru-RU"/>
              </w:rPr>
              <w:t>(</w:t>
            </w:r>
            <w:r>
              <w:rPr>
                <w:sz w:val="16"/>
                <w:szCs w:val="16"/>
              </w:rPr>
              <w:t>i</w:t>
            </w:r>
            <w:r w:rsidRPr="0055116C">
              <w:rPr>
                <w:sz w:val="16"/>
                <w:szCs w:val="16"/>
                <w:lang w:val="ru-RU"/>
              </w:rPr>
              <w:t>)</w:t>
            </w:r>
            <w:r>
              <w:rPr>
                <w:sz w:val="16"/>
                <w:szCs w:val="16"/>
              </w:rPr>
              <w:t> </w:t>
            </w:r>
            <w:r w:rsidRPr="0055116C">
              <w:rPr>
                <w:sz w:val="16"/>
                <w:szCs w:val="16"/>
                <w:lang w:val="ru-RU"/>
              </w:rPr>
              <w:t>По состоянию на конец двухлетнего периода новые статистические и методологические веб-инструменты находились по-прежнему на стадии разработки из-за задержек в ходе реализации проекта.</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r w:rsidRPr="0055116C">
              <w:rPr>
                <w:sz w:val="16"/>
                <w:szCs w:val="16"/>
                <w:lang w:val="ru-RU"/>
              </w:rPr>
              <w:t>(</w:t>
            </w:r>
            <w:r>
              <w:rPr>
                <w:sz w:val="16"/>
                <w:szCs w:val="16"/>
              </w:rPr>
              <w:t>ii</w:t>
            </w:r>
            <w:r w:rsidRPr="0055116C">
              <w:rPr>
                <w:sz w:val="16"/>
                <w:szCs w:val="16"/>
                <w:lang w:val="ru-RU"/>
              </w:rPr>
              <w:t>)</w:t>
            </w:r>
            <w:r>
              <w:rPr>
                <w:sz w:val="16"/>
                <w:szCs w:val="16"/>
              </w:rPr>
              <w:t> </w:t>
            </w:r>
            <w:r w:rsidRPr="0055116C">
              <w:rPr>
                <w:sz w:val="16"/>
                <w:szCs w:val="16"/>
                <w:lang w:val="ru-RU"/>
              </w:rPr>
              <w:t>1</w:t>
            </w:r>
            <w:r w:rsidRPr="008B3CE4">
              <w:rPr>
                <w:sz w:val="16"/>
                <w:szCs w:val="16"/>
              </w:rPr>
              <w:t> </w:t>
            </w:r>
            <w:r w:rsidRPr="0055116C">
              <w:rPr>
                <w:sz w:val="16"/>
                <w:szCs w:val="16"/>
                <w:lang w:val="ru-RU"/>
              </w:rPr>
              <w:t>024</w:t>
            </w:r>
            <w:r w:rsidRPr="008B3CE4">
              <w:rPr>
                <w:sz w:val="16"/>
                <w:szCs w:val="16"/>
              </w:rPr>
              <w:t> </w:t>
            </w:r>
            <w:r w:rsidRPr="0055116C">
              <w:rPr>
                <w:sz w:val="16"/>
                <w:szCs w:val="16"/>
                <w:lang w:val="ru-RU"/>
              </w:rPr>
              <w:t>787 уникальных просмотров сайта Журнала ВОИС за 2014–2015</w:t>
            </w:r>
            <w:r w:rsidRPr="008B3CE4">
              <w:rPr>
                <w:sz w:val="16"/>
                <w:szCs w:val="16"/>
              </w:rPr>
              <w:t> </w:t>
            </w:r>
            <w:r w:rsidRPr="0055116C">
              <w:rPr>
                <w:sz w:val="16"/>
                <w:szCs w:val="16"/>
                <w:lang w:val="ru-RU"/>
              </w:rPr>
              <w:t>гг., т.е. на 19,2% больше, чем в 2012–2013</w:t>
            </w:r>
            <w:r w:rsidRPr="008B3CE4">
              <w:rPr>
                <w:sz w:val="16"/>
                <w:szCs w:val="16"/>
              </w:rPr>
              <w:t> </w:t>
            </w:r>
            <w:r w:rsidRPr="0055116C">
              <w:rPr>
                <w:sz w:val="16"/>
                <w:szCs w:val="16"/>
                <w:lang w:val="ru-RU"/>
              </w:rPr>
              <w:t>гг.</w:t>
            </w:r>
          </w:p>
        </w:tc>
        <w:tc>
          <w:tcPr>
            <w:tcW w:w="570" w:type="pct"/>
            <w:tcMar>
              <w:top w:w="110" w:type="dxa"/>
            </w:tcMar>
          </w:tcPr>
          <w:p w:rsidR="0055116C" w:rsidRPr="008B3CE4" w:rsidRDefault="0055116C" w:rsidP="0055116C">
            <w:pPr>
              <w:keepNext/>
              <w:keepLines/>
              <w:jc w:val="center"/>
              <w:rPr>
                <w:rFonts w:cs="Arial"/>
                <w:b/>
                <w:sz w:val="16"/>
                <w:szCs w:val="16"/>
              </w:rPr>
            </w:pPr>
            <w:r w:rsidRPr="008B3CE4">
              <w:rPr>
                <w:b/>
                <w:color w:val="808080"/>
                <w:sz w:val="16"/>
                <w:szCs w:val="16"/>
              </w:rPr>
              <w:t>Не подлежит оценке</w:t>
            </w:r>
          </w:p>
          <w:p w:rsidR="0055116C" w:rsidRPr="008B3CE4" w:rsidRDefault="0055116C" w:rsidP="0055116C">
            <w:pPr>
              <w:keepNext/>
              <w:keepLines/>
              <w:jc w:val="center"/>
              <w:rPr>
                <w:rFonts w:cs="Arial"/>
                <w:b/>
                <w:sz w:val="16"/>
                <w:szCs w:val="16"/>
              </w:rPr>
            </w:pPr>
          </w:p>
          <w:p w:rsidR="0055116C" w:rsidRPr="008B3CE4" w:rsidRDefault="0055116C" w:rsidP="0055116C">
            <w:pPr>
              <w:keepNext/>
              <w:keepLines/>
              <w:jc w:val="center"/>
              <w:rPr>
                <w:rFonts w:cs="Arial"/>
                <w:b/>
                <w:sz w:val="16"/>
                <w:szCs w:val="16"/>
              </w:rPr>
            </w:pPr>
          </w:p>
          <w:p w:rsidR="0055116C" w:rsidRPr="008B3CE4" w:rsidRDefault="0055116C" w:rsidP="0055116C">
            <w:pPr>
              <w:keepNext/>
              <w:keepLines/>
              <w:jc w:val="center"/>
              <w:rPr>
                <w:rFonts w:cs="Arial"/>
                <w:b/>
                <w:sz w:val="16"/>
                <w:szCs w:val="16"/>
              </w:rPr>
            </w:pPr>
          </w:p>
          <w:p w:rsidR="0055116C" w:rsidRPr="008B3CE4" w:rsidRDefault="0055116C" w:rsidP="0055116C">
            <w:pPr>
              <w:keepNext/>
              <w:keepLines/>
              <w:jc w:val="center"/>
              <w:rPr>
                <w:rFonts w:cs="Arial"/>
                <w:b/>
                <w:sz w:val="16"/>
                <w:szCs w:val="16"/>
              </w:rPr>
            </w:pPr>
          </w:p>
          <w:p w:rsidR="0055116C" w:rsidRPr="008B3CE4" w:rsidRDefault="0055116C" w:rsidP="0055116C">
            <w:pPr>
              <w:keepNext/>
              <w:keepLines/>
              <w:jc w:val="center"/>
              <w:rPr>
                <w:rFonts w:cs="Arial"/>
                <w:b/>
                <w:sz w:val="16"/>
                <w:szCs w:val="16"/>
              </w:rPr>
            </w:pPr>
          </w:p>
          <w:p w:rsidR="0055116C" w:rsidRPr="008B3CE4" w:rsidRDefault="0055116C" w:rsidP="0055116C">
            <w:pPr>
              <w:keepNext/>
              <w:keepLines/>
              <w:jc w:val="center"/>
              <w:rPr>
                <w:rFonts w:cs="Arial"/>
                <w:b/>
                <w:color w:val="00B050"/>
                <w:sz w:val="16"/>
                <w:szCs w:val="16"/>
              </w:rPr>
            </w:pPr>
          </w:p>
          <w:p w:rsidR="0055116C" w:rsidRPr="008B3CE4" w:rsidRDefault="0055116C" w:rsidP="0055116C">
            <w:pPr>
              <w:keepNext/>
              <w:keepLines/>
              <w:jc w:val="center"/>
              <w:rPr>
                <w:rFonts w:cs="Arial"/>
                <w:b/>
                <w:color w:val="00B050"/>
                <w:sz w:val="16"/>
                <w:szCs w:val="16"/>
              </w:rPr>
            </w:pPr>
          </w:p>
          <w:p w:rsidR="0055116C" w:rsidRPr="008B3CE4" w:rsidRDefault="0055116C" w:rsidP="0055116C">
            <w:pPr>
              <w:keepNext/>
              <w:keepLines/>
              <w:jc w:val="center"/>
              <w:rPr>
                <w:rFonts w:cs="Arial"/>
                <w:b/>
                <w:color w:val="00B050"/>
                <w:sz w:val="16"/>
                <w:szCs w:val="16"/>
              </w:rPr>
            </w:pPr>
          </w:p>
          <w:p w:rsidR="0055116C" w:rsidRPr="008B3CE4" w:rsidRDefault="0055116C" w:rsidP="0055116C">
            <w:pPr>
              <w:keepNext/>
              <w:keepLines/>
              <w:jc w:val="center"/>
              <w:rPr>
                <w:rFonts w:cs="Arial"/>
                <w:b/>
                <w:sz w:val="16"/>
                <w:szCs w:val="16"/>
              </w:rPr>
            </w:pPr>
            <w:r w:rsidRPr="008B3CE4">
              <w:rPr>
                <w:b/>
                <w:color w:val="00B050"/>
                <w:sz w:val="16"/>
                <w:szCs w:val="16"/>
              </w:rPr>
              <w:t>Выполнено</w:t>
            </w:r>
          </w:p>
        </w:tc>
      </w:tr>
      <w:tr w:rsidR="0055116C" w:rsidRPr="008B3CE4" w:rsidTr="0055116C">
        <w:tc>
          <w:tcPr>
            <w:tcW w:w="986" w:type="pct"/>
          </w:tcPr>
          <w:p w:rsidR="0055116C" w:rsidRPr="0055116C" w:rsidRDefault="0055116C" w:rsidP="0055116C">
            <w:pPr>
              <w:keepNext/>
              <w:keepLines/>
              <w:rPr>
                <w:sz w:val="16"/>
                <w:szCs w:val="16"/>
                <w:lang w:val="ru-RU"/>
              </w:rPr>
            </w:pPr>
            <w:r w:rsidRPr="0055116C">
              <w:rPr>
                <w:sz w:val="16"/>
                <w:szCs w:val="16"/>
                <w:lang w:val="ru-RU"/>
              </w:rPr>
              <w:t>Доля (%) пользователей, которых устраивает сайт ВОИС</w:t>
            </w:r>
          </w:p>
          <w:p w:rsidR="0055116C" w:rsidRPr="0055116C" w:rsidRDefault="0055116C" w:rsidP="0055116C">
            <w:pPr>
              <w:keepNext/>
              <w:keepLines/>
              <w:rPr>
                <w:rFonts w:cs="Arial"/>
                <w:sz w:val="16"/>
                <w:szCs w:val="16"/>
                <w:lang w:val="ru-RU"/>
              </w:rPr>
            </w:pPr>
          </w:p>
        </w:tc>
        <w:tc>
          <w:tcPr>
            <w:tcW w:w="1331" w:type="pct"/>
            <w:gridSpan w:val="2"/>
            <w:shd w:val="clear" w:color="auto" w:fill="auto"/>
          </w:tcPr>
          <w:p w:rsidR="0055116C" w:rsidRPr="008B3CE4" w:rsidRDefault="0055116C" w:rsidP="0055116C">
            <w:pPr>
              <w:keepNext/>
              <w:keepLines/>
              <w:rPr>
                <w:rFonts w:cs="Arial"/>
                <w:sz w:val="16"/>
                <w:szCs w:val="16"/>
              </w:rPr>
            </w:pPr>
            <w:r w:rsidRPr="008B3CE4">
              <w:rPr>
                <w:sz w:val="16"/>
                <w:szCs w:val="16"/>
              </w:rPr>
              <w:t>Будет определено позднее</w:t>
            </w:r>
          </w:p>
        </w:tc>
        <w:tc>
          <w:tcPr>
            <w:tcW w:w="782" w:type="pct"/>
            <w:gridSpan w:val="2"/>
            <w:tcMar>
              <w:top w:w="110" w:type="dxa"/>
            </w:tcMar>
          </w:tcPr>
          <w:p w:rsidR="0055116C" w:rsidRPr="008B3CE4" w:rsidRDefault="0055116C" w:rsidP="0055116C">
            <w:pPr>
              <w:keepNext/>
              <w:keepLines/>
              <w:rPr>
                <w:rFonts w:cs="Arial"/>
                <w:sz w:val="16"/>
                <w:szCs w:val="16"/>
              </w:rPr>
            </w:pPr>
            <w:r w:rsidRPr="008B3CE4">
              <w:rPr>
                <w:sz w:val="16"/>
                <w:szCs w:val="16"/>
              </w:rPr>
              <w:t>≥ 60% удовлетворены</w:t>
            </w:r>
          </w:p>
        </w:tc>
        <w:tc>
          <w:tcPr>
            <w:tcW w:w="1332" w:type="pct"/>
            <w:gridSpan w:val="2"/>
            <w:shd w:val="clear" w:color="auto" w:fill="FFFFFF"/>
            <w:tcMar>
              <w:top w:w="110" w:type="dxa"/>
            </w:tcMar>
          </w:tcPr>
          <w:p w:rsidR="0055116C" w:rsidRPr="0055116C" w:rsidRDefault="0055116C" w:rsidP="0055116C">
            <w:pPr>
              <w:keepNext/>
              <w:keepLines/>
              <w:rPr>
                <w:rFonts w:cs="Arial"/>
                <w:sz w:val="16"/>
                <w:szCs w:val="16"/>
                <w:highlight w:val="yellow"/>
                <w:lang w:val="ru-RU"/>
              </w:rPr>
            </w:pPr>
            <w:r w:rsidRPr="0055116C">
              <w:rPr>
                <w:sz w:val="16"/>
                <w:szCs w:val="16"/>
                <w:lang w:val="ru-RU"/>
              </w:rPr>
              <w:t>В 2014–2015</w:t>
            </w:r>
            <w:r w:rsidRPr="008B3CE4">
              <w:rPr>
                <w:sz w:val="16"/>
                <w:szCs w:val="16"/>
              </w:rPr>
              <w:t> </w:t>
            </w:r>
            <w:r w:rsidRPr="0055116C">
              <w:rPr>
                <w:sz w:val="16"/>
                <w:szCs w:val="16"/>
                <w:lang w:val="ru-RU"/>
              </w:rPr>
              <w:t>гг. опрос не проводился</w:t>
            </w:r>
          </w:p>
        </w:tc>
        <w:tc>
          <w:tcPr>
            <w:tcW w:w="570" w:type="pct"/>
            <w:tcMar>
              <w:top w:w="110" w:type="dxa"/>
            </w:tcMar>
          </w:tcPr>
          <w:p w:rsidR="0055116C" w:rsidRPr="008B3CE4" w:rsidRDefault="0055116C" w:rsidP="0055116C">
            <w:pPr>
              <w:keepNext/>
              <w:keepLines/>
              <w:jc w:val="center"/>
              <w:rPr>
                <w:rFonts w:cs="Arial"/>
                <w:b/>
                <w:color w:val="808080"/>
                <w:sz w:val="16"/>
                <w:szCs w:val="16"/>
              </w:rPr>
            </w:pPr>
            <w:r w:rsidRPr="008B3CE4">
              <w:rPr>
                <w:b/>
                <w:color w:val="808080" w:themeColor="background1" w:themeShade="80"/>
                <w:sz w:val="16"/>
                <w:szCs w:val="16"/>
              </w:rPr>
              <w:t>Не подлежит оценке</w:t>
            </w:r>
          </w:p>
        </w:tc>
      </w:tr>
      <w:tr w:rsidR="0055116C" w:rsidRPr="008B3CE4" w:rsidTr="0055116C">
        <w:tc>
          <w:tcPr>
            <w:tcW w:w="986" w:type="pct"/>
            <w:tcBorders>
              <w:bottom w:val="single" w:sz="4" w:space="0" w:color="auto"/>
            </w:tcBorders>
          </w:tcPr>
          <w:p w:rsidR="0055116C" w:rsidRPr="0055116C" w:rsidRDefault="0055116C" w:rsidP="0055116C">
            <w:pPr>
              <w:rPr>
                <w:rFonts w:cs="Arial"/>
                <w:sz w:val="16"/>
                <w:szCs w:val="16"/>
                <w:lang w:val="ru-RU"/>
              </w:rPr>
            </w:pPr>
            <w:r w:rsidRPr="0055116C">
              <w:rPr>
                <w:sz w:val="16"/>
                <w:szCs w:val="16"/>
                <w:lang w:val="ru-RU"/>
              </w:rPr>
              <w:t>Рост влиятельности и активности ВОИС в социальных сетях</w:t>
            </w:r>
          </w:p>
        </w:tc>
        <w:tc>
          <w:tcPr>
            <w:tcW w:w="1331" w:type="pct"/>
            <w:gridSpan w:val="2"/>
            <w:tcBorders>
              <w:bottom w:val="single" w:sz="4" w:space="0" w:color="auto"/>
            </w:tcBorders>
            <w:shd w:val="clear" w:color="auto" w:fill="auto"/>
          </w:tcPr>
          <w:p w:rsidR="0055116C" w:rsidRPr="0055116C" w:rsidRDefault="0055116C" w:rsidP="0055116C">
            <w:pPr>
              <w:rPr>
                <w:rFonts w:cs="Arial"/>
                <w:i/>
                <w:color w:val="002060"/>
                <w:sz w:val="16"/>
                <w:szCs w:val="16"/>
                <w:lang w:val="ru-RU"/>
              </w:rPr>
            </w:pPr>
            <w:r w:rsidRPr="0055116C">
              <w:rPr>
                <w:i/>
                <w:color w:val="002060"/>
                <w:sz w:val="16"/>
                <w:szCs w:val="16"/>
                <w:lang w:val="ru-RU"/>
              </w:rPr>
              <w:t>Обновленные базовые показатели, конец 2013</w:t>
            </w:r>
            <w:r w:rsidRPr="008B3CE4">
              <w:rPr>
                <w:i/>
                <w:color w:val="002060"/>
                <w:sz w:val="16"/>
                <w:szCs w:val="16"/>
              </w:rPr>
              <w:t> </w:t>
            </w:r>
            <w:r w:rsidRPr="0055116C">
              <w:rPr>
                <w:i/>
                <w:color w:val="002060"/>
                <w:sz w:val="16"/>
                <w:szCs w:val="16"/>
                <w:lang w:val="ru-RU"/>
              </w:rPr>
              <w:t xml:space="preserve">г.:  </w:t>
            </w:r>
          </w:p>
          <w:p w:rsidR="0055116C" w:rsidRPr="0055116C" w:rsidRDefault="0055116C" w:rsidP="0055116C">
            <w:pPr>
              <w:rPr>
                <w:rFonts w:cs="Arial"/>
                <w:color w:val="002060"/>
                <w:sz w:val="16"/>
                <w:szCs w:val="16"/>
                <w:lang w:val="ru-RU"/>
              </w:rPr>
            </w:pPr>
            <w:r w:rsidRPr="0055116C">
              <w:rPr>
                <w:color w:val="002060"/>
                <w:sz w:val="16"/>
                <w:szCs w:val="16"/>
                <w:lang w:val="ru-RU"/>
              </w:rPr>
              <w:t>(</w:t>
            </w:r>
            <w:r>
              <w:rPr>
                <w:color w:val="002060"/>
                <w:sz w:val="16"/>
                <w:szCs w:val="16"/>
              </w:rPr>
              <w:t>i</w:t>
            </w:r>
            <w:r w:rsidRPr="0055116C">
              <w:rPr>
                <w:color w:val="002060"/>
                <w:sz w:val="16"/>
                <w:szCs w:val="16"/>
                <w:lang w:val="ru-RU"/>
              </w:rPr>
              <w:t>)</w:t>
            </w:r>
            <w:r>
              <w:rPr>
                <w:color w:val="002060"/>
                <w:sz w:val="16"/>
                <w:szCs w:val="16"/>
              </w:rPr>
              <w:t> </w:t>
            </w:r>
            <w:r w:rsidRPr="0055116C">
              <w:rPr>
                <w:color w:val="002060"/>
                <w:sz w:val="16"/>
                <w:szCs w:val="16"/>
                <w:lang w:val="ru-RU"/>
              </w:rPr>
              <w:t>на конец 2013</w:t>
            </w:r>
            <w:r>
              <w:rPr>
                <w:color w:val="002060"/>
                <w:sz w:val="16"/>
                <w:szCs w:val="16"/>
              </w:rPr>
              <w:t> </w:t>
            </w:r>
            <w:r w:rsidRPr="0055116C">
              <w:rPr>
                <w:color w:val="002060"/>
                <w:sz w:val="16"/>
                <w:szCs w:val="16"/>
                <w:lang w:val="ru-RU"/>
              </w:rPr>
              <w:t xml:space="preserve">г. индекс влиятельности </w:t>
            </w:r>
            <w:r>
              <w:rPr>
                <w:color w:val="002060"/>
                <w:sz w:val="16"/>
                <w:szCs w:val="16"/>
              </w:rPr>
              <w:t>Klout</w:t>
            </w:r>
            <w:r w:rsidRPr="0055116C">
              <w:rPr>
                <w:color w:val="002060"/>
                <w:sz w:val="16"/>
                <w:szCs w:val="16"/>
                <w:lang w:val="ru-RU"/>
              </w:rPr>
              <w:t xml:space="preserve"> составлял 64 (из</w:t>
            </w:r>
            <w:r>
              <w:rPr>
                <w:color w:val="002060"/>
                <w:sz w:val="16"/>
                <w:szCs w:val="16"/>
              </w:rPr>
              <w:t> </w:t>
            </w:r>
            <w:r w:rsidRPr="0055116C">
              <w:rPr>
                <w:color w:val="002060"/>
                <w:sz w:val="16"/>
                <w:szCs w:val="16"/>
                <w:lang w:val="ru-RU"/>
              </w:rPr>
              <w:t>100)</w:t>
            </w:r>
          </w:p>
          <w:p w:rsidR="0055116C" w:rsidRPr="0055116C" w:rsidRDefault="0055116C" w:rsidP="0055116C">
            <w:pPr>
              <w:rPr>
                <w:rFonts w:cs="Arial"/>
                <w:color w:val="002060"/>
                <w:sz w:val="16"/>
                <w:szCs w:val="16"/>
                <w:lang w:val="ru-RU"/>
              </w:rPr>
            </w:pPr>
            <w:r w:rsidRPr="0055116C">
              <w:rPr>
                <w:color w:val="002060"/>
                <w:sz w:val="16"/>
                <w:szCs w:val="16"/>
                <w:lang w:val="ru-RU"/>
              </w:rPr>
              <w:t>(</w:t>
            </w:r>
            <w:r>
              <w:rPr>
                <w:color w:val="002060"/>
                <w:sz w:val="16"/>
                <w:szCs w:val="16"/>
              </w:rPr>
              <w:t>ii</w:t>
            </w:r>
            <w:r w:rsidRPr="0055116C">
              <w:rPr>
                <w:color w:val="002060"/>
                <w:sz w:val="16"/>
                <w:szCs w:val="16"/>
                <w:lang w:val="ru-RU"/>
              </w:rPr>
              <w:t>)</w:t>
            </w:r>
            <w:r>
              <w:rPr>
                <w:color w:val="002060"/>
                <w:sz w:val="16"/>
                <w:szCs w:val="16"/>
              </w:rPr>
              <w:t> </w:t>
            </w:r>
            <w:r w:rsidRPr="0055116C">
              <w:rPr>
                <w:color w:val="002060"/>
                <w:sz w:val="16"/>
                <w:szCs w:val="16"/>
                <w:lang w:val="ru-RU"/>
              </w:rPr>
              <w:t>в общей сложности 6</w:t>
            </w:r>
            <w:r>
              <w:rPr>
                <w:color w:val="002060"/>
                <w:sz w:val="16"/>
                <w:szCs w:val="16"/>
              </w:rPr>
              <w:t> </w:t>
            </w:r>
            <w:r w:rsidRPr="0055116C">
              <w:rPr>
                <w:color w:val="002060"/>
                <w:sz w:val="16"/>
                <w:szCs w:val="16"/>
                <w:lang w:val="ru-RU"/>
              </w:rPr>
              <w:t>744</w:t>
            </w:r>
            <w:r>
              <w:rPr>
                <w:color w:val="002060"/>
                <w:sz w:val="16"/>
                <w:szCs w:val="16"/>
              </w:rPr>
              <w:t> </w:t>
            </w:r>
            <w:r w:rsidRPr="0055116C">
              <w:rPr>
                <w:color w:val="002060"/>
                <w:sz w:val="16"/>
                <w:szCs w:val="16"/>
                <w:lang w:val="ru-RU"/>
              </w:rPr>
              <w:t>ретвитов в 2013</w:t>
            </w:r>
            <w:r>
              <w:rPr>
                <w:color w:val="002060"/>
                <w:sz w:val="16"/>
                <w:szCs w:val="16"/>
              </w:rPr>
              <w:t> </w:t>
            </w:r>
            <w:r w:rsidRPr="0055116C">
              <w:rPr>
                <w:color w:val="002060"/>
                <w:sz w:val="16"/>
                <w:szCs w:val="16"/>
                <w:lang w:val="ru-RU"/>
              </w:rPr>
              <w:t>г.</w:t>
            </w:r>
          </w:p>
          <w:p w:rsidR="0055116C" w:rsidRPr="0055116C" w:rsidRDefault="0055116C" w:rsidP="0055116C">
            <w:pPr>
              <w:rPr>
                <w:rFonts w:cs="Arial"/>
                <w:color w:val="002060"/>
                <w:sz w:val="16"/>
                <w:szCs w:val="16"/>
                <w:lang w:val="ru-RU"/>
              </w:rPr>
            </w:pPr>
          </w:p>
          <w:p w:rsidR="0055116C" w:rsidRPr="0055116C" w:rsidRDefault="0055116C" w:rsidP="0055116C">
            <w:pPr>
              <w:rPr>
                <w:rFonts w:cs="Arial"/>
                <w:iCs/>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 xml:space="preserve">гг.:  </w:t>
            </w:r>
          </w:p>
          <w:p w:rsidR="0055116C" w:rsidRPr="0055116C" w:rsidRDefault="0055116C" w:rsidP="0055116C">
            <w:pPr>
              <w:rPr>
                <w:rFonts w:cs="Arial"/>
                <w:sz w:val="16"/>
                <w:szCs w:val="16"/>
                <w:lang w:val="ru-RU"/>
              </w:rPr>
            </w:pPr>
            <w:r w:rsidRPr="0055116C">
              <w:rPr>
                <w:sz w:val="16"/>
                <w:szCs w:val="16"/>
                <w:lang w:val="ru-RU"/>
              </w:rPr>
              <w:t>(</w:t>
            </w:r>
            <w:r>
              <w:rPr>
                <w:sz w:val="16"/>
                <w:szCs w:val="16"/>
              </w:rPr>
              <w:t>i</w:t>
            </w:r>
            <w:r w:rsidRPr="0055116C">
              <w:rPr>
                <w:sz w:val="16"/>
                <w:szCs w:val="16"/>
                <w:lang w:val="ru-RU"/>
              </w:rPr>
              <w:t>)</w:t>
            </w:r>
            <w:r>
              <w:rPr>
                <w:sz w:val="16"/>
                <w:szCs w:val="16"/>
              </w:rPr>
              <w:t> </w:t>
            </w:r>
            <w:r w:rsidRPr="0055116C">
              <w:rPr>
                <w:sz w:val="16"/>
                <w:szCs w:val="16"/>
                <w:lang w:val="ru-RU"/>
              </w:rPr>
              <w:t>1 января 2013</w:t>
            </w:r>
            <w:r>
              <w:rPr>
                <w:sz w:val="16"/>
                <w:szCs w:val="16"/>
              </w:rPr>
              <w:t> </w:t>
            </w:r>
            <w:r w:rsidRPr="0055116C">
              <w:rPr>
                <w:sz w:val="16"/>
                <w:szCs w:val="16"/>
                <w:lang w:val="ru-RU"/>
              </w:rPr>
              <w:t xml:space="preserve">г. индекс влиятельности </w:t>
            </w:r>
            <w:r>
              <w:rPr>
                <w:sz w:val="16"/>
                <w:szCs w:val="16"/>
              </w:rPr>
              <w:t>Klout</w:t>
            </w:r>
            <w:r w:rsidRPr="0055116C">
              <w:rPr>
                <w:sz w:val="16"/>
                <w:szCs w:val="16"/>
                <w:lang w:val="ru-RU"/>
              </w:rPr>
              <w:t xml:space="preserve"> составил</w:t>
            </w:r>
            <w:r>
              <w:rPr>
                <w:sz w:val="16"/>
                <w:szCs w:val="16"/>
              </w:rPr>
              <w:t> </w:t>
            </w:r>
            <w:r w:rsidRPr="0055116C">
              <w:rPr>
                <w:sz w:val="16"/>
                <w:szCs w:val="16"/>
                <w:lang w:val="ru-RU"/>
              </w:rPr>
              <w:t>62</w:t>
            </w:r>
          </w:p>
          <w:p w:rsidR="0055116C" w:rsidRPr="0055116C" w:rsidRDefault="0055116C" w:rsidP="0055116C">
            <w:pPr>
              <w:rPr>
                <w:rFonts w:cs="Arial"/>
                <w:sz w:val="16"/>
                <w:szCs w:val="16"/>
                <w:lang w:val="ru-RU"/>
              </w:rPr>
            </w:pPr>
            <w:r w:rsidRPr="0055116C">
              <w:rPr>
                <w:sz w:val="16"/>
                <w:szCs w:val="16"/>
                <w:lang w:val="ru-RU"/>
              </w:rPr>
              <w:t>(</w:t>
            </w:r>
            <w:r>
              <w:rPr>
                <w:sz w:val="16"/>
                <w:szCs w:val="16"/>
              </w:rPr>
              <w:t>ii</w:t>
            </w:r>
            <w:r w:rsidRPr="0055116C">
              <w:rPr>
                <w:sz w:val="16"/>
                <w:szCs w:val="16"/>
                <w:lang w:val="ru-RU"/>
              </w:rPr>
              <w:t>)</w:t>
            </w:r>
            <w:r>
              <w:rPr>
                <w:sz w:val="16"/>
                <w:szCs w:val="16"/>
              </w:rPr>
              <w:t> </w:t>
            </w:r>
            <w:r w:rsidRPr="0055116C">
              <w:rPr>
                <w:sz w:val="16"/>
                <w:szCs w:val="16"/>
                <w:lang w:val="ru-RU"/>
              </w:rPr>
              <w:t>в общей сложности 3</w:t>
            </w:r>
            <w:r>
              <w:rPr>
                <w:sz w:val="16"/>
                <w:szCs w:val="16"/>
              </w:rPr>
              <w:t> </w:t>
            </w:r>
            <w:r w:rsidRPr="0055116C">
              <w:rPr>
                <w:sz w:val="16"/>
                <w:szCs w:val="16"/>
                <w:lang w:val="ru-RU"/>
              </w:rPr>
              <w:t>112 ретвитов в 2012</w:t>
            </w:r>
            <w:r>
              <w:rPr>
                <w:sz w:val="16"/>
                <w:szCs w:val="16"/>
              </w:rPr>
              <w:t> </w:t>
            </w:r>
            <w:r w:rsidRPr="0055116C">
              <w:rPr>
                <w:sz w:val="16"/>
                <w:szCs w:val="16"/>
                <w:lang w:val="ru-RU"/>
              </w:rPr>
              <w:t>г.</w:t>
            </w:r>
          </w:p>
          <w:p w:rsidR="0055116C" w:rsidRPr="0055116C" w:rsidRDefault="0055116C" w:rsidP="0055116C">
            <w:pPr>
              <w:rPr>
                <w:rFonts w:cs="Arial"/>
                <w:sz w:val="16"/>
                <w:szCs w:val="16"/>
                <w:lang w:val="ru-RU"/>
              </w:rPr>
            </w:pPr>
          </w:p>
        </w:tc>
        <w:tc>
          <w:tcPr>
            <w:tcW w:w="782" w:type="pct"/>
            <w:gridSpan w:val="2"/>
            <w:tcBorders>
              <w:bottom w:val="single" w:sz="4" w:space="0" w:color="auto"/>
            </w:tcBorders>
            <w:tcMar>
              <w:top w:w="110" w:type="dxa"/>
            </w:tcMar>
          </w:tcPr>
          <w:p w:rsidR="0055116C" w:rsidRPr="0055116C" w:rsidRDefault="0055116C" w:rsidP="0055116C">
            <w:pPr>
              <w:ind w:firstLineChars="21" w:firstLine="34"/>
              <w:rPr>
                <w:rFonts w:cs="Arial"/>
                <w:sz w:val="16"/>
                <w:szCs w:val="16"/>
                <w:lang w:val="ru-RU"/>
              </w:rPr>
            </w:pPr>
            <w:r w:rsidRPr="0055116C">
              <w:rPr>
                <w:sz w:val="16"/>
                <w:szCs w:val="16"/>
                <w:lang w:val="ru-RU"/>
              </w:rPr>
              <w:t>(</w:t>
            </w:r>
            <w:r w:rsidRPr="008B3CE4">
              <w:rPr>
                <w:sz w:val="16"/>
                <w:szCs w:val="16"/>
              </w:rPr>
              <w:t>i</w:t>
            </w:r>
            <w:r w:rsidRPr="0055116C">
              <w:rPr>
                <w:sz w:val="16"/>
                <w:szCs w:val="16"/>
                <w:lang w:val="ru-RU"/>
              </w:rPr>
              <w:t xml:space="preserve">) повышение индекса влиятельности </w:t>
            </w:r>
            <w:r w:rsidRPr="008B3CE4">
              <w:rPr>
                <w:sz w:val="16"/>
                <w:szCs w:val="16"/>
              </w:rPr>
              <w:t>Klout</w:t>
            </w:r>
            <w:r w:rsidRPr="0055116C">
              <w:rPr>
                <w:sz w:val="16"/>
                <w:szCs w:val="16"/>
                <w:lang w:val="ru-RU"/>
              </w:rPr>
              <w:t xml:space="preserve"> до 73 </w:t>
            </w:r>
          </w:p>
          <w:p w:rsidR="0055116C" w:rsidRPr="0055116C" w:rsidRDefault="0055116C" w:rsidP="0055116C">
            <w:pPr>
              <w:ind w:firstLineChars="21" w:firstLine="34"/>
              <w:rPr>
                <w:rFonts w:cs="Arial"/>
                <w:sz w:val="16"/>
                <w:szCs w:val="16"/>
                <w:lang w:val="ru-RU"/>
              </w:rPr>
            </w:pPr>
          </w:p>
          <w:p w:rsidR="0055116C" w:rsidRPr="0055116C" w:rsidRDefault="0055116C" w:rsidP="0055116C">
            <w:pPr>
              <w:ind w:firstLineChars="21" w:firstLine="34"/>
              <w:rPr>
                <w:rFonts w:cs="Arial"/>
                <w:sz w:val="16"/>
                <w:szCs w:val="16"/>
                <w:lang w:val="ru-RU"/>
              </w:rPr>
            </w:pPr>
          </w:p>
          <w:p w:rsidR="0055116C" w:rsidRPr="0055116C" w:rsidRDefault="0055116C" w:rsidP="0055116C">
            <w:pPr>
              <w:ind w:firstLineChars="21" w:firstLine="34"/>
              <w:rPr>
                <w:rFonts w:cs="Arial"/>
                <w:sz w:val="16"/>
                <w:szCs w:val="16"/>
                <w:lang w:val="ru-RU"/>
              </w:rPr>
            </w:pPr>
          </w:p>
          <w:p w:rsidR="0055116C" w:rsidRPr="0055116C" w:rsidRDefault="0055116C" w:rsidP="0055116C">
            <w:pPr>
              <w:ind w:firstLineChars="21" w:firstLine="34"/>
              <w:rPr>
                <w:rFonts w:cs="Arial"/>
                <w:sz w:val="16"/>
                <w:szCs w:val="16"/>
                <w:lang w:val="ru-RU"/>
              </w:rPr>
            </w:pPr>
          </w:p>
          <w:p w:rsidR="0055116C" w:rsidRPr="0055116C" w:rsidRDefault="0055116C" w:rsidP="0055116C">
            <w:pPr>
              <w:ind w:firstLineChars="21" w:firstLine="34"/>
              <w:rPr>
                <w:rFonts w:cs="Arial"/>
                <w:sz w:val="16"/>
                <w:szCs w:val="16"/>
                <w:lang w:val="ru-RU"/>
              </w:rPr>
            </w:pPr>
          </w:p>
          <w:p w:rsidR="0055116C" w:rsidRPr="0055116C" w:rsidRDefault="0055116C" w:rsidP="0055116C">
            <w:pPr>
              <w:ind w:firstLineChars="21" w:firstLine="34"/>
              <w:rPr>
                <w:rFonts w:cs="Arial"/>
                <w:sz w:val="16"/>
                <w:szCs w:val="16"/>
                <w:lang w:val="ru-RU"/>
              </w:rPr>
            </w:pPr>
          </w:p>
          <w:p w:rsidR="0055116C" w:rsidRPr="0055116C" w:rsidRDefault="0055116C" w:rsidP="0055116C">
            <w:pPr>
              <w:ind w:firstLineChars="21" w:firstLine="34"/>
              <w:rPr>
                <w:rFonts w:cs="Arial"/>
                <w:sz w:val="16"/>
                <w:szCs w:val="16"/>
                <w:lang w:val="ru-RU"/>
              </w:rPr>
            </w:pPr>
          </w:p>
          <w:p w:rsidR="0055116C" w:rsidRPr="0055116C" w:rsidRDefault="0055116C" w:rsidP="0055116C">
            <w:pPr>
              <w:ind w:firstLineChars="21" w:firstLine="34"/>
              <w:rPr>
                <w:sz w:val="16"/>
                <w:szCs w:val="16"/>
                <w:lang w:val="ru-RU"/>
              </w:rPr>
            </w:pPr>
            <w:r w:rsidRPr="0055116C">
              <w:rPr>
                <w:sz w:val="16"/>
                <w:szCs w:val="16"/>
                <w:lang w:val="ru-RU"/>
              </w:rPr>
              <w:t>(</w:t>
            </w:r>
            <w:r w:rsidRPr="008B3CE4">
              <w:rPr>
                <w:sz w:val="16"/>
                <w:szCs w:val="16"/>
              </w:rPr>
              <w:t>ii</w:t>
            </w:r>
            <w:r w:rsidRPr="0055116C">
              <w:rPr>
                <w:sz w:val="16"/>
                <w:szCs w:val="16"/>
                <w:lang w:val="ru-RU"/>
              </w:rPr>
              <w:t>) увеличение общего числа ретвитов за год на 30%</w:t>
            </w:r>
          </w:p>
          <w:p w:rsidR="0055116C" w:rsidRPr="0055116C" w:rsidRDefault="0055116C" w:rsidP="0055116C">
            <w:pPr>
              <w:ind w:firstLineChars="21" w:firstLine="34"/>
              <w:rPr>
                <w:rFonts w:cs="Arial"/>
                <w:sz w:val="16"/>
                <w:szCs w:val="16"/>
                <w:lang w:val="ru-RU"/>
              </w:rPr>
            </w:pPr>
          </w:p>
        </w:tc>
        <w:tc>
          <w:tcPr>
            <w:tcW w:w="1332" w:type="pct"/>
            <w:gridSpan w:val="2"/>
            <w:tcBorders>
              <w:bottom w:val="single" w:sz="4" w:space="0" w:color="auto"/>
            </w:tcBorders>
            <w:shd w:val="clear" w:color="auto" w:fill="FFFFFF"/>
            <w:tcMar>
              <w:top w:w="110" w:type="dxa"/>
            </w:tcMar>
          </w:tcPr>
          <w:p w:rsidR="0055116C" w:rsidRPr="0055116C" w:rsidRDefault="0055116C" w:rsidP="0055116C">
            <w:pPr>
              <w:rPr>
                <w:rFonts w:cs="Arial"/>
                <w:sz w:val="16"/>
                <w:szCs w:val="16"/>
                <w:lang w:val="ru-RU"/>
              </w:rPr>
            </w:pPr>
            <w:r w:rsidRPr="0055116C">
              <w:rPr>
                <w:sz w:val="16"/>
                <w:szCs w:val="16"/>
                <w:lang w:val="ru-RU"/>
              </w:rPr>
              <w:t>(</w:t>
            </w:r>
            <w:r>
              <w:rPr>
                <w:sz w:val="16"/>
                <w:szCs w:val="16"/>
              </w:rPr>
              <w:t>i</w:t>
            </w:r>
            <w:r w:rsidRPr="0055116C">
              <w:rPr>
                <w:sz w:val="16"/>
                <w:szCs w:val="16"/>
                <w:lang w:val="ru-RU"/>
              </w:rPr>
              <w:t>)</w:t>
            </w:r>
            <w:r>
              <w:rPr>
                <w:sz w:val="16"/>
                <w:szCs w:val="16"/>
              </w:rPr>
              <w:t> </w:t>
            </w:r>
            <w:r w:rsidRPr="0055116C">
              <w:rPr>
                <w:sz w:val="16"/>
                <w:szCs w:val="16"/>
                <w:lang w:val="ru-RU"/>
              </w:rPr>
              <w:t xml:space="preserve">индекс </w:t>
            </w:r>
            <w:r w:rsidRPr="008B3CE4">
              <w:rPr>
                <w:sz w:val="16"/>
                <w:szCs w:val="16"/>
              </w:rPr>
              <w:t>Klout</w:t>
            </w:r>
            <w:r w:rsidRPr="0055116C">
              <w:rPr>
                <w:sz w:val="16"/>
                <w:szCs w:val="16"/>
                <w:lang w:val="ru-RU"/>
              </w:rPr>
              <w:t xml:space="preserve"> составил 66 в 2015</w:t>
            </w:r>
            <w:r w:rsidRPr="008B3CE4">
              <w:rPr>
                <w:sz w:val="16"/>
                <w:szCs w:val="16"/>
              </w:rPr>
              <w:t> </w:t>
            </w:r>
            <w:r w:rsidRPr="0055116C">
              <w:rPr>
                <w:sz w:val="16"/>
                <w:szCs w:val="16"/>
                <w:lang w:val="ru-RU"/>
              </w:rPr>
              <w:t>г. и 64 в конце 2014</w:t>
            </w:r>
            <w:r w:rsidRPr="008B3CE4">
              <w:rPr>
                <w:sz w:val="16"/>
                <w:szCs w:val="16"/>
              </w:rPr>
              <w:t> </w:t>
            </w:r>
            <w:r w:rsidRPr="0055116C">
              <w:rPr>
                <w:sz w:val="16"/>
                <w:szCs w:val="16"/>
                <w:lang w:val="ru-RU"/>
              </w:rPr>
              <w:t xml:space="preserve">г.  </w:t>
            </w:r>
            <w:r w:rsidRPr="0055116C">
              <w:rPr>
                <w:i/>
                <w:sz w:val="16"/>
                <w:szCs w:val="16"/>
                <w:lang w:val="ru-RU"/>
              </w:rPr>
              <w:t xml:space="preserve">Примечание: Оценка этого показателя была прекращена в связи с ограниченностью его сопоставимости и актуальности из-за изменений в методологии расчета </w:t>
            </w:r>
            <w:r w:rsidRPr="008B3CE4">
              <w:rPr>
                <w:i/>
                <w:sz w:val="16"/>
                <w:szCs w:val="16"/>
              </w:rPr>
              <w:t>Klout</w:t>
            </w:r>
            <w:r w:rsidRPr="0055116C">
              <w:rPr>
                <w:i/>
                <w:sz w:val="16"/>
                <w:szCs w:val="16"/>
                <w:lang w:val="ru-RU"/>
              </w:rPr>
              <w:t xml:space="preserve">. </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r w:rsidRPr="0055116C">
              <w:rPr>
                <w:sz w:val="16"/>
                <w:szCs w:val="16"/>
                <w:lang w:val="ru-RU"/>
              </w:rPr>
              <w:t>(</w:t>
            </w:r>
            <w:r w:rsidRPr="008B3CE4">
              <w:rPr>
                <w:sz w:val="16"/>
                <w:szCs w:val="16"/>
              </w:rPr>
              <w:t>ii</w:t>
            </w:r>
            <w:r w:rsidRPr="0055116C">
              <w:rPr>
                <w:sz w:val="16"/>
                <w:szCs w:val="16"/>
                <w:lang w:val="ru-RU"/>
              </w:rPr>
              <w:t>) в среднем 13</w:t>
            </w:r>
            <w:r w:rsidRPr="008B3CE4">
              <w:rPr>
                <w:sz w:val="16"/>
                <w:szCs w:val="16"/>
              </w:rPr>
              <w:t> </w:t>
            </w:r>
            <w:r w:rsidRPr="0055116C">
              <w:rPr>
                <w:sz w:val="16"/>
                <w:szCs w:val="16"/>
                <w:lang w:val="ru-RU"/>
              </w:rPr>
              <w:t>362 ретвитов в год, т.е. на 171% больше, чем в предыдущий двухлетний период.</w:t>
            </w:r>
          </w:p>
          <w:p w:rsidR="0055116C" w:rsidRPr="0055116C" w:rsidRDefault="0055116C" w:rsidP="0055116C">
            <w:pPr>
              <w:rPr>
                <w:rFonts w:cs="Arial"/>
                <w:sz w:val="16"/>
                <w:szCs w:val="16"/>
                <w:lang w:val="ru-RU"/>
              </w:rPr>
            </w:pPr>
          </w:p>
        </w:tc>
        <w:tc>
          <w:tcPr>
            <w:tcW w:w="570" w:type="pct"/>
            <w:tcBorders>
              <w:bottom w:val="single" w:sz="4" w:space="0" w:color="auto"/>
            </w:tcBorders>
            <w:tcMar>
              <w:top w:w="110" w:type="dxa"/>
            </w:tcMar>
          </w:tcPr>
          <w:p w:rsidR="0055116C" w:rsidRPr="008B3CE4" w:rsidRDefault="0055116C" w:rsidP="0055116C">
            <w:pPr>
              <w:keepNext/>
              <w:jc w:val="center"/>
              <w:rPr>
                <w:rFonts w:cs="Arial"/>
                <w:b/>
                <w:sz w:val="16"/>
                <w:szCs w:val="16"/>
              </w:rPr>
            </w:pPr>
            <w:r w:rsidRPr="008B3CE4">
              <w:rPr>
                <w:b/>
                <w:sz w:val="16"/>
                <w:szCs w:val="16"/>
              </w:rPr>
              <w:t>Отменено</w:t>
            </w: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p>
          <w:p w:rsidR="0055116C" w:rsidRPr="008B3CE4" w:rsidRDefault="0055116C" w:rsidP="0055116C">
            <w:pPr>
              <w:keepNext/>
              <w:jc w:val="center"/>
              <w:rPr>
                <w:rFonts w:cs="Arial"/>
                <w:b/>
                <w:color w:val="808080"/>
                <w:sz w:val="16"/>
                <w:szCs w:val="16"/>
              </w:rPr>
            </w:pPr>
            <w:r w:rsidRPr="008B3CE4">
              <w:rPr>
                <w:b/>
                <w:color w:val="00B050"/>
                <w:sz w:val="16"/>
                <w:szCs w:val="16"/>
              </w:rPr>
              <w:t>Выполнено</w:t>
            </w:r>
          </w:p>
        </w:tc>
      </w:tr>
      <w:tr w:rsidR="0055116C" w:rsidRPr="005C6ABD" w:rsidTr="0055116C">
        <w:tc>
          <w:tcPr>
            <w:tcW w:w="5000" w:type="pct"/>
            <w:gridSpan w:val="8"/>
            <w:tcBorders>
              <w:top w:val="single" w:sz="4" w:space="0" w:color="auto"/>
              <w:bottom w:val="single" w:sz="4" w:space="0" w:color="auto"/>
            </w:tcBorders>
            <w:shd w:val="clear" w:color="auto" w:fill="C6D9F1" w:themeFill="text2" w:themeFillTint="33"/>
            <w:vAlign w:val="center"/>
          </w:tcPr>
          <w:p w:rsidR="0055116C" w:rsidRPr="0055116C" w:rsidRDefault="0055116C" w:rsidP="0055116C">
            <w:pPr>
              <w:keepNext/>
              <w:keepLines/>
              <w:tabs>
                <w:tab w:val="left" w:pos="1452"/>
              </w:tabs>
              <w:spacing w:before="120" w:after="120"/>
              <w:ind w:left="1452" w:hanging="1452"/>
              <w:rPr>
                <w:rFonts w:cs="Arial"/>
                <w:bCs/>
                <w:sz w:val="16"/>
                <w:szCs w:val="16"/>
                <w:lang w:val="ru-RU"/>
              </w:rPr>
            </w:pPr>
            <w:r w:rsidRPr="0055116C">
              <w:rPr>
                <w:b/>
                <w:sz w:val="16"/>
                <w:szCs w:val="16"/>
                <w:lang w:val="ru-RU"/>
              </w:rPr>
              <w:t xml:space="preserve">Ожидаемый результат: </w:t>
            </w:r>
            <w:r w:rsidRPr="0055116C">
              <w:rPr>
                <w:sz w:val="16"/>
                <w:szCs w:val="16"/>
                <w:lang w:val="ru-RU"/>
              </w:rPr>
              <w:tab/>
            </w:r>
            <w:r w:rsidRPr="008B3CE4">
              <w:rPr>
                <w:sz w:val="16"/>
                <w:szCs w:val="16"/>
              </w:rPr>
              <w:t>VIII</w:t>
            </w:r>
            <w:r w:rsidRPr="0055116C">
              <w:rPr>
                <w:sz w:val="16"/>
                <w:szCs w:val="16"/>
                <w:lang w:val="ru-RU"/>
              </w:rPr>
              <w:t>.2. Повышение степени ориентации на услуги и оперативности реагирования на запросы</w:t>
            </w:r>
          </w:p>
        </w:tc>
      </w:tr>
      <w:tr w:rsidR="0055116C" w:rsidRPr="008B3CE4" w:rsidTr="0055116C">
        <w:tc>
          <w:tcPr>
            <w:tcW w:w="1016" w:type="pct"/>
            <w:gridSpan w:val="2"/>
            <w:tcBorders>
              <w:top w:val="single" w:sz="4" w:space="0" w:color="auto"/>
            </w:tcBorders>
            <w:vAlign w:val="center"/>
          </w:tcPr>
          <w:p w:rsidR="0055116C" w:rsidRPr="008B3CE4" w:rsidRDefault="0055116C" w:rsidP="0055116C">
            <w:pPr>
              <w:keepNext/>
              <w:keepLines/>
              <w:rPr>
                <w:rFonts w:cs="Arial"/>
                <w:sz w:val="16"/>
                <w:szCs w:val="16"/>
              </w:rPr>
            </w:pPr>
            <w:r w:rsidRPr="008B3CE4">
              <w:rPr>
                <w:b/>
                <w:sz w:val="16"/>
                <w:szCs w:val="16"/>
              </w:rPr>
              <w:t>Показатели результативности</w:t>
            </w:r>
          </w:p>
        </w:tc>
        <w:tc>
          <w:tcPr>
            <w:tcW w:w="1383" w:type="pct"/>
            <w:gridSpan w:val="2"/>
            <w:tcBorders>
              <w:top w:val="single" w:sz="4" w:space="0" w:color="auto"/>
            </w:tcBorders>
            <w:shd w:val="clear" w:color="auto" w:fill="auto"/>
            <w:vAlign w:val="center"/>
          </w:tcPr>
          <w:p w:rsidR="0055116C" w:rsidRPr="008B3CE4" w:rsidRDefault="0055116C" w:rsidP="0055116C">
            <w:pPr>
              <w:keepNext/>
              <w:keepLines/>
              <w:rPr>
                <w:rFonts w:cs="Arial"/>
                <w:b/>
                <w:bCs/>
                <w:sz w:val="16"/>
                <w:szCs w:val="16"/>
              </w:rPr>
            </w:pPr>
            <w:r w:rsidRPr="008B3CE4">
              <w:rPr>
                <w:b/>
                <w:sz w:val="16"/>
                <w:szCs w:val="16"/>
              </w:rPr>
              <w:t>Базовые показатели</w:t>
            </w:r>
          </w:p>
        </w:tc>
        <w:tc>
          <w:tcPr>
            <w:tcW w:w="996" w:type="pct"/>
            <w:gridSpan w:val="2"/>
            <w:tcBorders>
              <w:top w:val="single" w:sz="4" w:space="0" w:color="auto"/>
            </w:tcBorders>
            <w:tcMar>
              <w:top w:w="110" w:type="dxa"/>
            </w:tcMar>
            <w:vAlign w:val="center"/>
          </w:tcPr>
          <w:p w:rsidR="0055116C" w:rsidRPr="008B3CE4" w:rsidRDefault="0055116C" w:rsidP="0055116C">
            <w:pPr>
              <w:keepNext/>
              <w:keepLines/>
              <w:rPr>
                <w:rFonts w:cs="Arial"/>
                <w:b/>
                <w:bCs/>
                <w:sz w:val="16"/>
                <w:szCs w:val="16"/>
              </w:rPr>
            </w:pPr>
            <w:r w:rsidRPr="008B3CE4">
              <w:rPr>
                <w:b/>
                <w:sz w:val="16"/>
                <w:szCs w:val="16"/>
              </w:rPr>
              <w:t>Цели</w:t>
            </w:r>
          </w:p>
        </w:tc>
        <w:tc>
          <w:tcPr>
            <w:tcW w:w="1035" w:type="pct"/>
            <w:tcBorders>
              <w:top w:val="single" w:sz="4" w:space="0" w:color="auto"/>
            </w:tcBorders>
            <w:shd w:val="clear" w:color="auto" w:fill="FFFFFF"/>
            <w:tcMar>
              <w:top w:w="110" w:type="dxa"/>
            </w:tcMar>
            <w:vAlign w:val="center"/>
          </w:tcPr>
          <w:p w:rsidR="0055116C" w:rsidRPr="008B3CE4" w:rsidRDefault="0055116C" w:rsidP="0055116C">
            <w:pPr>
              <w:keepNext/>
              <w:keepLines/>
              <w:rPr>
                <w:rFonts w:cs="Arial"/>
                <w:sz w:val="16"/>
                <w:szCs w:val="16"/>
              </w:rPr>
            </w:pPr>
            <w:r w:rsidRPr="008B3CE4">
              <w:rPr>
                <w:b/>
                <w:sz w:val="16"/>
                <w:szCs w:val="16"/>
              </w:rPr>
              <w:t>Данные о результативности</w:t>
            </w:r>
          </w:p>
        </w:tc>
        <w:tc>
          <w:tcPr>
            <w:tcW w:w="570" w:type="pct"/>
            <w:tcBorders>
              <w:top w:val="single" w:sz="4" w:space="0" w:color="auto"/>
            </w:tcBorders>
            <w:tcMar>
              <w:top w:w="110" w:type="dxa"/>
            </w:tcMar>
            <w:vAlign w:val="center"/>
          </w:tcPr>
          <w:p w:rsidR="0055116C" w:rsidRPr="008B3CE4" w:rsidRDefault="0055116C" w:rsidP="0055116C">
            <w:pPr>
              <w:keepNext/>
              <w:keepLines/>
              <w:rPr>
                <w:rFonts w:cs="Arial"/>
                <w:b/>
                <w:bCs/>
                <w:sz w:val="16"/>
                <w:szCs w:val="16"/>
              </w:rPr>
            </w:pPr>
            <w:r w:rsidRPr="008B3CE4">
              <w:rPr>
                <w:b/>
                <w:sz w:val="16"/>
                <w:szCs w:val="16"/>
              </w:rPr>
              <w:t>CC</w:t>
            </w:r>
          </w:p>
        </w:tc>
      </w:tr>
      <w:tr w:rsidR="0055116C" w:rsidRPr="008B3CE4" w:rsidTr="0055116C">
        <w:tc>
          <w:tcPr>
            <w:tcW w:w="1016" w:type="pct"/>
            <w:gridSpan w:val="2"/>
          </w:tcPr>
          <w:p w:rsidR="0055116C" w:rsidRPr="0055116C" w:rsidRDefault="0055116C" w:rsidP="0055116C">
            <w:pPr>
              <w:rPr>
                <w:rFonts w:cs="Arial"/>
                <w:sz w:val="16"/>
                <w:szCs w:val="16"/>
                <w:lang w:val="ru-RU"/>
              </w:rPr>
            </w:pPr>
            <w:r w:rsidRPr="0055116C">
              <w:rPr>
                <w:sz w:val="16"/>
                <w:szCs w:val="16"/>
                <w:lang w:val="ru-RU"/>
              </w:rPr>
              <w:t xml:space="preserve">Доля (%) пользователей, выразивших удовлетворенность услугами Библиотеки </w:t>
            </w:r>
          </w:p>
        </w:tc>
        <w:tc>
          <w:tcPr>
            <w:tcW w:w="1383" w:type="pct"/>
            <w:gridSpan w:val="2"/>
            <w:shd w:val="clear" w:color="auto" w:fill="auto"/>
          </w:tcPr>
          <w:p w:rsidR="0055116C" w:rsidRPr="0055116C" w:rsidRDefault="0055116C" w:rsidP="0055116C">
            <w:pPr>
              <w:rPr>
                <w:rFonts w:cs="Arial"/>
                <w:color w:val="002060"/>
                <w:sz w:val="16"/>
                <w:szCs w:val="16"/>
                <w:lang w:val="ru-RU"/>
              </w:rPr>
            </w:pPr>
            <w:r w:rsidRPr="0055116C">
              <w:rPr>
                <w:i/>
                <w:color w:val="002060"/>
                <w:sz w:val="16"/>
                <w:szCs w:val="16"/>
                <w:lang w:val="ru-RU"/>
              </w:rPr>
              <w:t>Обновленные базовые показатели, конец 2013</w:t>
            </w:r>
            <w:r w:rsidRPr="008B3CE4">
              <w:rPr>
                <w:i/>
                <w:color w:val="002060"/>
                <w:sz w:val="16"/>
                <w:szCs w:val="16"/>
              </w:rPr>
              <w:t> </w:t>
            </w:r>
            <w:r w:rsidRPr="0055116C">
              <w:rPr>
                <w:i/>
                <w:color w:val="002060"/>
                <w:sz w:val="16"/>
                <w:szCs w:val="16"/>
                <w:lang w:val="ru-RU"/>
              </w:rPr>
              <w:t xml:space="preserve">г.: </w:t>
            </w:r>
            <w:r w:rsidRPr="0055116C">
              <w:rPr>
                <w:rFonts w:cs="Arial"/>
                <w:i/>
                <w:color w:val="002060"/>
                <w:sz w:val="16"/>
                <w:szCs w:val="16"/>
                <w:lang w:val="ru-RU"/>
              </w:rPr>
              <w:br/>
            </w:r>
            <w:r w:rsidRPr="0055116C">
              <w:rPr>
                <w:color w:val="002060"/>
                <w:sz w:val="16"/>
                <w:szCs w:val="16"/>
                <w:lang w:val="ru-RU"/>
              </w:rPr>
              <w:t>94% респондентов, заполнивших анкету для откликов, которая распространялась среди зарегистрированных сторонних посетителей (читателей Библиотеки) в 2013</w:t>
            </w:r>
            <w:r w:rsidRPr="008B3CE4">
              <w:rPr>
                <w:color w:val="002060"/>
                <w:sz w:val="16"/>
                <w:szCs w:val="16"/>
              </w:rPr>
              <w:t> </w:t>
            </w:r>
            <w:r w:rsidRPr="0055116C">
              <w:rPr>
                <w:color w:val="002060"/>
                <w:sz w:val="16"/>
                <w:szCs w:val="16"/>
                <w:lang w:val="ru-RU"/>
              </w:rPr>
              <w:t>г., указали, что они были удовлетворены или весьма удовлетворены качеством обслуживания</w:t>
            </w:r>
          </w:p>
          <w:p w:rsidR="0055116C" w:rsidRPr="0055116C" w:rsidRDefault="0055116C" w:rsidP="0055116C">
            <w:pPr>
              <w:rPr>
                <w:rFonts w:cs="Arial"/>
                <w:color w:val="002060"/>
                <w:sz w:val="16"/>
                <w:szCs w:val="16"/>
                <w:lang w:val="ru-RU"/>
              </w:rPr>
            </w:pPr>
          </w:p>
          <w:p w:rsidR="0055116C" w:rsidRPr="0055116C" w:rsidRDefault="0055116C" w:rsidP="0055116C">
            <w:pPr>
              <w:rPr>
                <w:rFonts w:cs="Arial"/>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w:t>
            </w:r>
            <w:r w:rsidRPr="0055116C">
              <w:rPr>
                <w:sz w:val="16"/>
                <w:szCs w:val="16"/>
                <w:lang w:val="ru-RU"/>
              </w:rPr>
              <w:t xml:space="preserve"> будет определено позднее</w:t>
            </w:r>
          </w:p>
        </w:tc>
        <w:tc>
          <w:tcPr>
            <w:tcW w:w="996" w:type="pct"/>
            <w:gridSpan w:val="2"/>
            <w:tcMar>
              <w:top w:w="110" w:type="dxa"/>
            </w:tcMar>
          </w:tcPr>
          <w:p w:rsidR="0055116C" w:rsidRPr="0055116C" w:rsidRDefault="0055116C" w:rsidP="0055116C">
            <w:pPr>
              <w:autoSpaceDE w:val="0"/>
              <w:autoSpaceDN w:val="0"/>
              <w:adjustRightInd w:val="0"/>
              <w:rPr>
                <w:rFonts w:cs="Arial"/>
                <w:sz w:val="16"/>
                <w:szCs w:val="16"/>
                <w:lang w:val="ru-RU"/>
              </w:rPr>
            </w:pPr>
            <w:r w:rsidRPr="0055116C">
              <w:rPr>
                <w:sz w:val="16"/>
                <w:szCs w:val="16"/>
                <w:lang w:val="ru-RU"/>
              </w:rPr>
              <w:t>Доля посетителей и онлайн-клиентов, удовлетворенных качеством услуг, не ниже 70%</w:t>
            </w:r>
          </w:p>
        </w:tc>
        <w:tc>
          <w:tcPr>
            <w:tcW w:w="1035" w:type="pct"/>
            <w:shd w:val="clear" w:color="auto" w:fill="FFFFFF"/>
            <w:tcMar>
              <w:top w:w="110" w:type="dxa"/>
            </w:tcMar>
          </w:tcPr>
          <w:p w:rsidR="0055116C" w:rsidRPr="008B3CE4" w:rsidRDefault="0055116C" w:rsidP="0055116C">
            <w:pPr>
              <w:rPr>
                <w:rFonts w:ascii="Calibri" w:hAnsi="Calibri" w:cs="Calibri"/>
                <w:sz w:val="16"/>
                <w:szCs w:val="16"/>
              </w:rPr>
            </w:pPr>
            <w:r w:rsidRPr="0055116C">
              <w:rPr>
                <w:sz w:val="16"/>
                <w:szCs w:val="16"/>
                <w:lang w:val="ru-RU"/>
              </w:rPr>
              <w:t xml:space="preserve">70% респондентов, заполнивших анкету для откликов, которая распространялась среди читателей Библиотеки, были весьма удовлетворены качеством обслуживания. </w:t>
            </w:r>
            <w:r w:rsidRPr="008B3CE4">
              <w:rPr>
                <w:sz w:val="16"/>
                <w:szCs w:val="16"/>
              </w:rPr>
              <w:t>(100</w:t>
            </w:r>
            <w:r>
              <w:rPr>
                <w:sz w:val="16"/>
                <w:szCs w:val="16"/>
              </w:rPr>
              <w:t>%</w:t>
            </w:r>
            <w:r w:rsidRPr="008B3CE4">
              <w:rPr>
                <w:sz w:val="16"/>
                <w:szCs w:val="16"/>
              </w:rPr>
              <w:t xml:space="preserve"> удовлет</w:t>
            </w:r>
            <w:r>
              <w:rPr>
                <w:sz w:val="16"/>
                <w:szCs w:val="16"/>
              </w:rPr>
              <w:t>ворены или весьма удовлетворены)</w:t>
            </w:r>
            <w:r w:rsidRPr="008B3CE4">
              <w:rPr>
                <w:sz w:val="16"/>
                <w:szCs w:val="16"/>
              </w:rPr>
              <w:t xml:space="preserve"> </w:t>
            </w:r>
          </w:p>
        </w:tc>
        <w:tc>
          <w:tcPr>
            <w:tcW w:w="570" w:type="pct"/>
            <w:tcMar>
              <w:top w:w="110" w:type="dxa"/>
            </w:tcMar>
          </w:tcPr>
          <w:p w:rsidR="0055116C" w:rsidRPr="008B3CE4" w:rsidRDefault="0055116C" w:rsidP="0055116C">
            <w:pPr>
              <w:keepNext/>
              <w:keepLines/>
              <w:jc w:val="center"/>
              <w:rPr>
                <w:rFonts w:cs="Arial"/>
                <w:b/>
                <w:color w:val="808080"/>
                <w:sz w:val="16"/>
                <w:szCs w:val="16"/>
              </w:rPr>
            </w:pPr>
            <w:r w:rsidRPr="008B3CE4">
              <w:rPr>
                <w:b/>
                <w:color w:val="00B050"/>
                <w:sz w:val="16"/>
                <w:szCs w:val="16"/>
              </w:rPr>
              <w:t>Выполнено</w:t>
            </w:r>
          </w:p>
        </w:tc>
      </w:tr>
      <w:tr w:rsidR="0055116C" w:rsidRPr="005C6ABD" w:rsidTr="0055116C">
        <w:tc>
          <w:tcPr>
            <w:tcW w:w="1016" w:type="pct"/>
            <w:gridSpan w:val="2"/>
          </w:tcPr>
          <w:p w:rsidR="0055116C" w:rsidRPr="0055116C" w:rsidRDefault="0055116C" w:rsidP="0055116C">
            <w:pPr>
              <w:rPr>
                <w:rFonts w:cs="Arial"/>
                <w:sz w:val="16"/>
                <w:szCs w:val="16"/>
                <w:lang w:val="ru-RU"/>
              </w:rPr>
            </w:pPr>
            <w:r w:rsidRPr="0055116C">
              <w:rPr>
                <w:sz w:val="16"/>
                <w:szCs w:val="16"/>
                <w:lang w:val="ru-RU"/>
              </w:rPr>
              <w:t>Степень удовлетворенности клиентов/ заинтересованных сторон</w:t>
            </w:r>
          </w:p>
        </w:tc>
        <w:tc>
          <w:tcPr>
            <w:tcW w:w="1383" w:type="pct"/>
            <w:gridSpan w:val="2"/>
            <w:shd w:val="clear" w:color="auto" w:fill="auto"/>
          </w:tcPr>
          <w:p w:rsidR="0055116C" w:rsidRPr="0055116C" w:rsidRDefault="0055116C" w:rsidP="0055116C">
            <w:pPr>
              <w:rPr>
                <w:rFonts w:cs="Arial"/>
                <w:i/>
                <w:color w:val="002060"/>
                <w:sz w:val="16"/>
                <w:szCs w:val="16"/>
                <w:lang w:val="ru-RU"/>
              </w:rPr>
            </w:pPr>
            <w:r w:rsidRPr="0055116C">
              <w:rPr>
                <w:i/>
                <w:color w:val="002060"/>
                <w:sz w:val="16"/>
                <w:szCs w:val="16"/>
                <w:lang w:val="ru-RU"/>
              </w:rPr>
              <w:t>Обновленные базовые показатели, конец 2013</w:t>
            </w:r>
            <w:r w:rsidRPr="008B3CE4">
              <w:rPr>
                <w:i/>
                <w:color w:val="002060"/>
                <w:sz w:val="16"/>
                <w:szCs w:val="16"/>
              </w:rPr>
              <w:t> </w:t>
            </w:r>
            <w:r w:rsidRPr="0055116C">
              <w:rPr>
                <w:i/>
                <w:color w:val="002060"/>
                <w:sz w:val="16"/>
                <w:szCs w:val="16"/>
                <w:lang w:val="ru-RU"/>
              </w:rPr>
              <w:t xml:space="preserve">г.:  </w:t>
            </w:r>
          </w:p>
          <w:p w:rsidR="0055116C" w:rsidRPr="0055116C" w:rsidRDefault="0055116C" w:rsidP="0055116C">
            <w:pPr>
              <w:rPr>
                <w:rFonts w:cs="Arial"/>
                <w:color w:val="002060"/>
                <w:sz w:val="16"/>
                <w:szCs w:val="16"/>
                <w:lang w:val="ru-RU"/>
              </w:rPr>
            </w:pPr>
            <w:r w:rsidRPr="0055116C">
              <w:rPr>
                <w:color w:val="002060"/>
                <w:sz w:val="16"/>
                <w:szCs w:val="16"/>
                <w:lang w:val="ru-RU"/>
              </w:rPr>
              <w:t>84% клиентов Мадридской и Гаагской систем были удовлетворены или весьма удовлетворены:</w:t>
            </w:r>
          </w:p>
          <w:p w:rsidR="0055116C" w:rsidRPr="0055116C" w:rsidRDefault="0055116C" w:rsidP="0055116C">
            <w:pPr>
              <w:rPr>
                <w:rFonts w:cs="Arial"/>
                <w:color w:val="002060"/>
                <w:sz w:val="16"/>
                <w:szCs w:val="16"/>
                <w:lang w:val="ru-RU"/>
              </w:rPr>
            </w:pPr>
            <w:r w:rsidRPr="0055116C">
              <w:rPr>
                <w:color w:val="002060"/>
                <w:sz w:val="16"/>
                <w:szCs w:val="16"/>
                <w:lang w:val="ru-RU"/>
              </w:rPr>
              <w:t>Мадридская система= 80%</w:t>
            </w:r>
          </w:p>
          <w:p w:rsidR="0055116C" w:rsidRPr="0055116C" w:rsidRDefault="0055116C" w:rsidP="0055116C">
            <w:pPr>
              <w:rPr>
                <w:rFonts w:cs="Arial"/>
                <w:color w:val="002060"/>
                <w:sz w:val="16"/>
                <w:szCs w:val="16"/>
                <w:lang w:val="ru-RU"/>
              </w:rPr>
            </w:pPr>
            <w:r w:rsidRPr="0055116C">
              <w:rPr>
                <w:color w:val="002060"/>
                <w:sz w:val="16"/>
                <w:szCs w:val="16"/>
                <w:lang w:val="ru-RU"/>
              </w:rPr>
              <w:t>Гаагская система= 88%</w:t>
            </w:r>
          </w:p>
          <w:p w:rsidR="0055116C" w:rsidRPr="0055116C" w:rsidRDefault="0055116C" w:rsidP="0055116C">
            <w:pPr>
              <w:rPr>
                <w:rFonts w:cs="Arial"/>
                <w:i/>
                <w:sz w:val="16"/>
                <w:szCs w:val="16"/>
                <w:lang w:val="ru-RU"/>
              </w:rPr>
            </w:pPr>
          </w:p>
          <w:p w:rsidR="0055116C" w:rsidRPr="0055116C" w:rsidRDefault="0055116C" w:rsidP="0055116C">
            <w:pPr>
              <w:rPr>
                <w:i/>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w:t>
            </w:r>
          </w:p>
          <w:p w:rsidR="0055116C" w:rsidRPr="0055116C" w:rsidRDefault="0055116C" w:rsidP="0055116C">
            <w:pPr>
              <w:rPr>
                <w:rFonts w:cs="Arial"/>
                <w:sz w:val="16"/>
                <w:szCs w:val="16"/>
                <w:lang w:val="ru-RU"/>
              </w:rPr>
            </w:pPr>
            <w:r w:rsidRPr="0055116C">
              <w:rPr>
                <w:sz w:val="16"/>
                <w:szCs w:val="16"/>
                <w:lang w:val="ru-RU"/>
              </w:rPr>
              <w:t>результаты обследования 2012</w:t>
            </w:r>
            <w:r>
              <w:rPr>
                <w:sz w:val="16"/>
                <w:szCs w:val="16"/>
              </w:rPr>
              <w:t> </w:t>
            </w:r>
            <w:r w:rsidRPr="0055116C">
              <w:rPr>
                <w:sz w:val="16"/>
                <w:szCs w:val="16"/>
                <w:lang w:val="ru-RU"/>
              </w:rPr>
              <w:t>г.: 86% клиентов Мадридской и Гаагской систем были удовлетворены или весьма удовлетворены</w:t>
            </w:r>
          </w:p>
          <w:p w:rsidR="0055116C" w:rsidRPr="0055116C" w:rsidRDefault="0055116C" w:rsidP="0055116C">
            <w:pPr>
              <w:autoSpaceDE w:val="0"/>
              <w:autoSpaceDN w:val="0"/>
              <w:adjustRightInd w:val="0"/>
              <w:rPr>
                <w:rFonts w:cs="Arial"/>
                <w:sz w:val="16"/>
                <w:szCs w:val="16"/>
                <w:lang w:val="ru-RU"/>
              </w:rPr>
            </w:pPr>
          </w:p>
        </w:tc>
        <w:tc>
          <w:tcPr>
            <w:tcW w:w="996" w:type="pct"/>
            <w:gridSpan w:val="2"/>
            <w:tcMar>
              <w:top w:w="110" w:type="dxa"/>
            </w:tcMar>
          </w:tcPr>
          <w:p w:rsidR="0055116C" w:rsidRPr="0055116C" w:rsidRDefault="0055116C" w:rsidP="0055116C">
            <w:pPr>
              <w:ind w:firstLineChars="21" w:firstLine="34"/>
              <w:rPr>
                <w:rFonts w:cs="Arial"/>
                <w:sz w:val="16"/>
                <w:szCs w:val="16"/>
                <w:lang w:val="ru-RU"/>
              </w:rPr>
            </w:pPr>
            <w:r w:rsidRPr="0055116C">
              <w:rPr>
                <w:sz w:val="16"/>
                <w:szCs w:val="16"/>
                <w:lang w:val="ru-RU"/>
              </w:rPr>
              <w:t>Доля клиентов, указавших, что они удовлетворены или весьма удовлетворены, не ниже 86%</w:t>
            </w:r>
          </w:p>
        </w:tc>
        <w:tc>
          <w:tcPr>
            <w:tcW w:w="1035" w:type="pct"/>
            <w:shd w:val="clear" w:color="auto" w:fill="FFFFFF"/>
            <w:tcMar>
              <w:top w:w="110" w:type="dxa"/>
            </w:tcMar>
          </w:tcPr>
          <w:p w:rsidR="0055116C" w:rsidRPr="0055116C" w:rsidRDefault="0055116C" w:rsidP="0055116C">
            <w:pPr>
              <w:rPr>
                <w:rFonts w:cs="Arial"/>
                <w:sz w:val="16"/>
                <w:szCs w:val="16"/>
                <w:lang w:val="ru-RU"/>
              </w:rPr>
            </w:pPr>
            <w:r w:rsidRPr="0055116C">
              <w:rPr>
                <w:sz w:val="16"/>
                <w:szCs w:val="16"/>
                <w:lang w:val="ru-RU"/>
              </w:rPr>
              <w:t xml:space="preserve">В целом 85% клиентов Мадридской системы и системы </w:t>
            </w:r>
            <w:r w:rsidRPr="008B3CE4">
              <w:rPr>
                <w:sz w:val="16"/>
                <w:szCs w:val="16"/>
              </w:rPr>
              <w:t>PCT</w:t>
            </w:r>
            <w:r w:rsidRPr="0055116C">
              <w:rPr>
                <w:sz w:val="16"/>
                <w:szCs w:val="16"/>
                <w:lang w:val="ru-RU"/>
              </w:rPr>
              <w:t xml:space="preserve"> были удовлетворены или весьма удовлетворены:</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r w:rsidRPr="008B3CE4">
              <w:rPr>
                <w:sz w:val="16"/>
                <w:szCs w:val="16"/>
              </w:rPr>
              <w:t>PCT</w:t>
            </w:r>
            <w:r w:rsidRPr="0055116C">
              <w:rPr>
                <w:sz w:val="16"/>
                <w:szCs w:val="16"/>
                <w:lang w:val="ru-RU"/>
              </w:rPr>
              <w:t xml:space="preserve"> = 89%</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lang w:val="ru-RU"/>
              </w:rPr>
            </w:pPr>
            <w:r w:rsidRPr="0055116C">
              <w:rPr>
                <w:sz w:val="16"/>
                <w:szCs w:val="16"/>
                <w:lang w:val="ru-RU"/>
              </w:rPr>
              <w:t>Мадридская система= 81%</w:t>
            </w:r>
          </w:p>
          <w:p w:rsidR="0055116C" w:rsidRPr="0055116C" w:rsidRDefault="0055116C" w:rsidP="0055116C">
            <w:pPr>
              <w:rPr>
                <w:rFonts w:cs="Arial"/>
                <w:sz w:val="16"/>
                <w:szCs w:val="16"/>
                <w:lang w:val="ru-RU"/>
              </w:rPr>
            </w:pPr>
          </w:p>
          <w:p w:rsidR="0055116C" w:rsidRPr="0055116C" w:rsidRDefault="0055116C" w:rsidP="0055116C">
            <w:pPr>
              <w:rPr>
                <w:rFonts w:cs="Arial"/>
                <w:sz w:val="16"/>
                <w:szCs w:val="16"/>
                <w:highlight w:val="yellow"/>
                <w:lang w:val="ru-RU"/>
              </w:rPr>
            </w:pPr>
            <w:r w:rsidRPr="0055116C">
              <w:rPr>
                <w:sz w:val="16"/>
                <w:szCs w:val="16"/>
                <w:lang w:val="ru-RU"/>
              </w:rPr>
              <w:t>Уровень удовлетворенности клиентов Гаагской системы в 2014–2015</w:t>
            </w:r>
            <w:r w:rsidRPr="008B3CE4">
              <w:rPr>
                <w:sz w:val="16"/>
                <w:szCs w:val="16"/>
              </w:rPr>
              <w:t> </w:t>
            </w:r>
            <w:r w:rsidRPr="0055116C">
              <w:rPr>
                <w:sz w:val="16"/>
                <w:szCs w:val="16"/>
                <w:lang w:val="ru-RU"/>
              </w:rPr>
              <w:t>гг. не оценивался.</w:t>
            </w:r>
          </w:p>
        </w:tc>
        <w:tc>
          <w:tcPr>
            <w:tcW w:w="570" w:type="pct"/>
            <w:tcMar>
              <w:top w:w="110" w:type="dxa"/>
            </w:tcMar>
          </w:tcPr>
          <w:p w:rsidR="0055116C" w:rsidRPr="0055116C" w:rsidRDefault="0055116C" w:rsidP="0055116C">
            <w:pPr>
              <w:keepNext/>
              <w:keepLines/>
              <w:jc w:val="center"/>
              <w:rPr>
                <w:rFonts w:cs="Arial"/>
                <w:b/>
                <w:color w:val="00B050"/>
                <w:sz w:val="16"/>
                <w:szCs w:val="16"/>
                <w:lang w:val="ru-RU"/>
              </w:rPr>
            </w:pPr>
          </w:p>
          <w:p w:rsidR="0055116C" w:rsidRPr="0055116C" w:rsidRDefault="0055116C" w:rsidP="0055116C">
            <w:pPr>
              <w:keepNext/>
              <w:keepLines/>
              <w:spacing w:before="60" w:after="60"/>
              <w:jc w:val="center"/>
              <w:rPr>
                <w:b/>
                <w:color w:val="00B050"/>
                <w:sz w:val="16"/>
                <w:szCs w:val="16"/>
                <w:lang w:val="ru-RU"/>
              </w:rPr>
            </w:pPr>
            <w:r w:rsidRPr="0055116C">
              <w:rPr>
                <w:b/>
                <w:color w:val="00B050"/>
                <w:sz w:val="16"/>
                <w:szCs w:val="16"/>
                <w:lang w:val="ru-RU"/>
              </w:rPr>
              <w:t>Выполнено</w:t>
            </w:r>
          </w:p>
          <w:p w:rsidR="0055116C" w:rsidRPr="0055116C" w:rsidRDefault="0055116C" w:rsidP="0055116C">
            <w:pPr>
              <w:keepNext/>
              <w:keepLines/>
              <w:spacing w:before="60" w:after="60"/>
              <w:jc w:val="center"/>
              <w:rPr>
                <w:b/>
                <w:color w:val="00B050"/>
                <w:sz w:val="16"/>
                <w:szCs w:val="16"/>
                <w:lang w:val="ru-RU"/>
              </w:rPr>
            </w:pPr>
          </w:p>
          <w:p w:rsidR="0055116C" w:rsidRPr="0055116C" w:rsidRDefault="0055116C" w:rsidP="0055116C">
            <w:pPr>
              <w:keepNext/>
              <w:keepLines/>
              <w:spacing w:before="60" w:after="60"/>
              <w:jc w:val="center"/>
              <w:rPr>
                <w:b/>
                <w:color w:val="00B050"/>
                <w:sz w:val="16"/>
                <w:szCs w:val="16"/>
                <w:lang w:val="ru-RU"/>
              </w:rPr>
            </w:pPr>
          </w:p>
          <w:p w:rsidR="0055116C" w:rsidRPr="0055116C" w:rsidRDefault="0055116C" w:rsidP="0055116C">
            <w:pPr>
              <w:keepNext/>
              <w:keepLines/>
              <w:spacing w:before="60" w:after="60"/>
              <w:jc w:val="center"/>
              <w:rPr>
                <w:rFonts w:cs="Arial"/>
                <w:b/>
                <w:color w:val="00B050"/>
                <w:sz w:val="16"/>
                <w:szCs w:val="16"/>
                <w:lang w:val="ru-RU"/>
              </w:rPr>
            </w:pPr>
          </w:p>
          <w:p w:rsidR="0055116C" w:rsidRPr="0055116C" w:rsidRDefault="0055116C" w:rsidP="0055116C">
            <w:pPr>
              <w:keepNext/>
              <w:keepLines/>
              <w:spacing w:before="60" w:after="60"/>
              <w:jc w:val="center"/>
              <w:rPr>
                <w:rFonts w:cs="Arial"/>
                <w:b/>
                <w:color w:val="00B050"/>
                <w:sz w:val="16"/>
                <w:szCs w:val="16"/>
                <w:lang w:val="ru-RU"/>
              </w:rPr>
            </w:pPr>
          </w:p>
          <w:p w:rsidR="0055116C" w:rsidRPr="0055116C" w:rsidRDefault="0055116C" w:rsidP="0055116C">
            <w:pPr>
              <w:keepNext/>
              <w:keepLines/>
              <w:spacing w:before="60" w:after="60"/>
              <w:jc w:val="center"/>
              <w:rPr>
                <w:b/>
                <w:color w:val="00B050"/>
                <w:sz w:val="16"/>
                <w:szCs w:val="16"/>
                <w:lang w:val="ru-RU"/>
              </w:rPr>
            </w:pPr>
            <w:r w:rsidRPr="0055116C">
              <w:rPr>
                <w:b/>
                <w:color w:val="00B050"/>
                <w:sz w:val="16"/>
                <w:szCs w:val="16"/>
                <w:lang w:val="ru-RU"/>
              </w:rPr>
              <w:t>Выполнено</w:t>
            </w:r>
          </w:p>
          <w:p w:rsidR="0055116C" w:rsidRPr="0055116C" w:rsidRDefault="0055116C" w:rsidP="0055116C">
            <w:pPr>
              <w:keepNext/>
              <w:keepLines/>
              <w:spacing w:before="60" w:after="60"/>
              <w:jc w:val="center"/>
              <w:rPr>
                <w:b/>
                <w:color w:val="00B050"/>
                <w:sz w:val="16"/>
                <w:szCs w:val="16"/>
                <w:lang w:val="ru-RU"/>
              </w:rPr>
            </w:pPr>
          </w:p>
          <w:p w:rsidR="0055116C" w:rsidRPr="0055116C" w:rsidRDefault="0055116C" w:rsidP="0055116C">
            <w:pPr>
              <w:keepNext/>
              <w:keepLines/>
              <w:spacing w:before="60" w:after="60"/>
              <w:jc w:val="center"/>
              <w:rPr>
                <w:rFonts w:cs="Arial"/>
                <w:b/>
                <w:color w:val="00B050"/>
                <w:sz w:val="16"/>
                <w:szCs w:val="16"/>
                <w:lang w:val="ru-RU"/>
              </w:rPr>
            </w:pPr>
          </w:p>
          <w:p w:rsidR="0055116C" w:rsidRPr="0055116C" w:rsidRDefault="0055116C" w:rsidP="0055116C">
            <w:pPr>
              <w:keepNext/>
              <w:keepLines/>
              <w:jc w:val="center"/>
              <w:rPr>
                <w:rFonts w:cs="Arial"/>
                <w:b/>
                <w:color w:val="A6A6A6" w:themeColor="background1" w:themeShade="A6"/>
                <w:sz w:val="16"/>
                <w:szCs w:val="16"/>
                <w:lang w:val="ru-RU"/>
              </w:rPr>
            </w:pPr>
            <w:r w:rsidRPr="0055116C">
              <w:rPr>
                <w:b/>
                <w:color w:val="808080" w:themeColor="background1" w:themeShade="80"/>
                <w:sz w:val="16"/>
                <w:szCs w:val="16"/>
                <w:lang w:val="ru-RU"/>
              </w:rPr>
              <w:t>Не подлежит оценке</w:t>
            </w:r>
          </w:p>
        </w:tc>
      </w:tr>
      <w:tr w:rsidR="0055116C" w:rsidRPr="008B3CE4" w:rsidTr="0055116C">
        <w:tc>
          <w:tcPr>
            <w:tcW w:w="1016" w:type="pct"/>
            <w:gridSpan w:val="2"/>
            <w:tcBorders>
              <w:bottom w:val="single" w:sz="4" w:space="0" w:color="auto"/>
            </w:tcBorders>
          </w:tcPr>
          <w:p w:rsidR="0055116C" w:rsidRPr="0055116C" w:rsidRDefault="0055116C" w:rsidP="0055116C">
            <w:pPr>
              <w:rPr>
                <w:rFonts w:cs="Arial"/>
                <w:sz w:val="16"/>
                <w:szCs w:val="16"/>
                <w:lang w:val="ru-RU"/>
              </w:rPr>
            </w:pPr>
            <w:r w:rsidRPr="0055116C">
              <w:rPr>
                <w:sz w:val="16"/>
                <w:szCs w:val="16"/>
                <w:lang w:val="ru-RU"/>
              </w:rPr>
              <w:t>Целевые показатели стандартов обслуживания в соответствии с информацией, размещенной на сайте ВОИС</w:t>
            </w:r>
          </w:p>
        </w:tc>
        <w:tc>
          <w:tcPr>
            <w:tcW w:w="1383" w:type="pct"/>
            <w:gridSpan w:val="2"/>
            <w:tcBorders>
              <w:bottom w:val="single" w:sz="4" w:space="0" w:color="auto"/>
            </w:tcBorders>
            <w:shd w:val="clear" w:color="auto" w:fill="auto"/>
          </w:tcPr>
          <w:p w:rsidR="0055116C" w:rsidRPr="0055116C" w:rsidRDefault="0055116C" w:rsidP="0055116C">
            <w:pPr>
              <w:rPr>
                <w:rFonts w:cs="Arial"/>
                <w:i/>
                <w:color w:val="002060"/>
                <w:sz w:val="16"/>
                <w:szCs w:val="16"/>
                <w:lang w:val="ru-RU"/>
              </w:rPr>
            </w:pPr>
            <w:r w:rsidRPr="0055116C">
              <w:rPr>
                <w:i/>
                <w:color w:val="002060"/>
                <w:sz w:val="16"/>
                <w:szCs w:val="16"/>
                <w:lang w:val="ru-RU"/>
              </w:rPr>
              <w:t>Обновленные базовые показатели, конец 2013</w:t>
            </w:r>
            <w:r w:rsidRPr="008B3CE4">
              <w:rPr>
                <w:i/>
                <w:color w:val="002060"/>
                <w:sz w:val="16"/>
                <w:szCs w:val="16"/>
              </w:rPr>
              <w:t> </w:t>
            </w:r>
            <w:r w:rsidRPr="0055116C">
              <w:rPr>
                <w:i/>
                <w:color w:val="002060"/>
                <w:sz w:val="16"/>
                <w:szCs w:val="16"/>
                <w:lang w:val="ru-RU"/>
              </w:rPr>
              <w:t xml:space="preserve">г.: </w:t>
            </w:r>
          </w:p>
          <w:p w:rsidR="0055116C" w:rsidRPr="0055116C" w:rsidRDefault="0055116C" w:rsidP="0055116C">
            <w:pPr>
              <w:rPr>
                <w:rFonts w:cs="Arial"/>
                <w:color w:val="002060"/>
                <w:sz w:val="16"/>
                <w:szCs w:val="16"/>
                <w:lang w:val="ru-RU"/>
              </w:rPr>
            </w:pPr>
            <w:r w:rsidRPr="0055116C">
              <w:rPr>
                <w:color w:val="002060"/>
                <w:sz w:val="16"/>
                <w:szCs w:val="16"/>
                <w:lang w:val="ru-RU"/>
              </w:rPr>
              <w:t>не определялись</w:t>
            </w:r>
          </w:p>
          <w:p w:rsidR="0055116C" w:rsidRPr="0055116C" w:rsidRDefault="0055116C" w:rsidP="0055116C">
            <w:pPr>
              <w:rPr>
                <w:rFonts w:cs="Arial"/>
                <w:color w:val="002060"/>
                <w:sz w:val="16"/>
                <w:szCs w:val="16"/>
                <w:lang w:val="ru-RU"/>
              </w:rPr>
            </w:pPr>
          </w:p>
          <w:p w:rsidR="0055116C" w:rsidRPr="0055116C" w:rsidRDefault="0055116C" w:rsidP="0055116C">
            <w:pPr>
              <w:rPr>
                <w:rFonts w:cs="Arial"/>
                <w:sz w:val="16"/>
                <w:szCs w:val="16"/>
                <w:lang w:val="ru-RU"/>
              </w:rPr>
            </w:pPr>
            <w:r w:rsidRPr="0055116C">
              <w:rPr>
                <w:i/>
                <w:sz w:val="16"/>
                <w:szCs w:val="16"/>
                <w:lang w:val="ru-RU"/>
              </w:rPr>
              <w:t>Исходные базовые показатели ПиБ на 2014–2015</w:t>
            </w:r>
            <w:r>
              <w:rPr>
                <w:i/>
                <w:sz w:val="16"/>
                <w:szCs w:val="16"/>
              </w:rPr>
              <w:t> </w:t>
            </w:r>
            <w:r w:rsidRPr="0055116C">
              <w:rPr>
                <w:i/>
                <w:sz w:val="16"/>
                <w:szCs w:val="16"/>
                <w:lang w:val="ru-RU"/>
              </w:rPr>
              <w:t>гг.:</w:t>
            </w:r>
            <w:r w:rsidRPr="0055116C">
              <w:rPr>
                <w:sz w:val="16"/>
                <w:szCs w:val="16"/>
                <w:lang w:val="ru-RU"/>
              </w:rPr>
              <w:t xml:space="preserve"> будут определены для отдельных областей</w:t>
            </w:r>
          </w:p>
          <w:p w:rsidR="0055116C" w:rsidRPr="0055116C" w:rsidRDefault="0055116C" w:rsidP="0055116C">
            <w:pPr>
              <w:rPr>
                <w:rFonts w:cs="Arial"/>
                <w:i/>
                <w:color w:val="002060"/>
                <w:sz w:val="16"/>
                <w:szCs w:val="16"/>
                <w:lang w:val="ru-RU"/>
              </w:rPr>
            </w:pPr>
          </w:p>
        </w:tc>
        <w:tc>
          <w:tcPr>
            <w:tcW w:w="996" w:type="pct"/>
            <w:gridSpan w:val="2"/>
            <w:tcBorders>
              <w:bottom w:val="single" w:sz="4" w:space="0" w:color="auto"/>
            </w:tcBorders>
            <w:tcMar>
              <w:top w:w="110" w:type="dxa"/>
            </w:tcMar>
          </w:tcPr>
          <w:p w:rsidR="0055116C" w:rsidRPr="0055116C" w:rsidRDefault="0055116C" w:rsidP="0055116C">
            <w:pPr>
              <w:autoSpaceDE w:val="0"/>
              <w:autoSpaceDN w:val="0"/>
              <w:adjustRightInd w:val="0"/>
              <w:rPr>
                <w:rFonts w:cs="Arial"/>
                <w:sz w:val="16"/>
                <w:szCs w:val="16"/>
                <w:lang w:val="ru-RU"/>
              </w:rPr>
            </w:pPr>
            <w:r w:rsidRPr="0055116C">
              <w:rPr>
                <w:i/>
                <w:sz w:val="16"/>
                <w:szCs w:val="16"/>
                <w:lang w:val="ru-RU"/>
              </w:rPr>
              <w:t>Установленный целевой показатель:</w:t>
            </w:r>
            <w:r w:rsidRPr="0055116C">
              <w:rPr>
                <w:sz w:val="16"/>
                <w:szCs w:val="16"/>
                <w:lang w:val="ru-RU"/>
              </w:rPr>
              <w:t xml:space="preserve"> Стандарты обслуживания Центра ВОИС по обслуживанию клиентов: </w:t>
            </w:r>
          </w:p>
          <w:p w:rsidR="0055116C" w:rsidRPr="0055116C" w:rsidRDefault="0055116C" w:rsidP="0055116C">
            <w:pPr>
              <w:autoSpaceDE w:val="0"/>
              <w:autoSpaceDN w:val="0"/>
              <w:adjustRightInd w:val="0"/>
              <w:rPr>
                <w:rFonts w:cs="Arial"/>
                <w:sz w:val="16"/>
                <w:szCs w:val="16"/>
                <w:lang w:val="ru-RU"/>
              </w:rPr>
            </w:pPr>
            <w:r w:rsidRPr="0055116C">
              <w:rPr>
                <w:sz w:val="16"/>
                <w:szCs w:val="16"/>
                <w:lang w:val="ru-RU"/>
              </w:rPr>
              <w:t>(</w:t>
            </w:r>
            <w:r>
              <w:rPr>
                <w:sz w:val="16"/>
                <w:szCs w:val="16"/>
              </w:rPr>
              <w:t>i</w:t>
            </w:r>
            <w:r w:rsidRPr="0055116C">
              <w:rPr>
                <w:sz w:val="16"/>
                <w:szCs w:val="16"/>
                <w:lang w:val="ru-RU"/>
              </w:rPr>
              <w:t>)</w:t>
            </w:r>
            <w:r>
              <w:rPr>
                <w:sz w:val="16"/>
                <w:szCs w:val="16"/>
              </w:rPr>
              <w:t> </w:t>
            </w:r>
            <w:r w:rsidRPr="0055116C">
              <w:rPr>
                <w:sz w:val="16"/>
                <w:szCs w:val="16"/>
                <w:lang w:val="ru-RU"/>
              </w:rPr>
              <w:t>обработка 90% обращений в течение одного дня;</w:t>
            </w:r>
          </w:p>
          <w:p w:rsidR="0055116C" w:rsidRPr="0055116C" w:rsidRDefault="0055116C" w:rsidP="0055116C">
            <w:pPr>
              <w:autoSpaceDE w:val="0"/>
              <w:autoSpaceDN w:val="0"/>
              <w:adjustRightInd w:val="0"/>
              <w:rPr>
                <w:rFonts w:cs="Arial"/>
                <w:sz w:val="16"/>
                <w:szCs w:val="16"/>
                <w:lang w:val="ru-RU"/>
              </w:rPr>
            </w:pPr>
          </w:p>
          <w:p w:rsidR="0055116C" w:rsidRPr="0055116C" w:rsidRDefault="0055116C" w:rsidP="0055116C">
            <w:pPr>
              <w:autoSpaceDE w:val="0"/>
              <w:autoSpaceDN w:val="0"/>
              <w:adjustRightInd w:val="0"/>
              <w:rPr>
                <w:rFonts w:cs="Arial"/>
                <w:sz w:val="16"/>
                <w:szCs w:val="16"/>
                <w:lang w:val="ru-RU"/>
              </w:rPr>
            </w:pPr>
            <w:r w:rsidRPr="0055116C">
              <w:rPr>
                <w:sz w:val="16"/>
                <w:szCs w:val="16"/>
                <w:lang w:val="ru-RU"/>
              </w:rPr>
              <w:t>(</w:t>
            </w:r>
            <w:r>
              <w:rPr>
                <w:sz w:val="16"/>
                <w:szCs w:val="16"/>
              </w:rPr>
              <w:t>ii</w:t>
            </w:r>
            <w:r w:rsidRPr="0055116C">
              <w:rPr>
                <w:sz w:val="16"/>
                <w:szCs w:val="16"/>
                <w:lang w:val="ru-RU"/>
              </w:rPr>
              <w:t>)</w:t>
            </w:r>
            <w:r>
              <w:rPr>
                <w:sz w:val="16"/>
                <w:szCs w:val="16"/>
              </w:rPr>
              <w:t> </w:t>
            </w:r>
            <w:r w:rsidRPr="0055116C">
              <w:rPr>
                <w:sz w:val="16"/>
                <w:szCs w:val="16"/>
                <w:lang w:val="ru-RU"/>
              </w:rPr>
              <w:t>обработка 90% жалоб в течение 8</w:t>
            </w:r>
            <w:r>
              <w:rPr>
                <w:sz w:val="16"/>
                <w:szCs w:val="16"/>
              </w:rPr>
              <w:t> </w:t>
            </w:r>
            <w:r w:rsidRPr="0055116C">
              <w:rPr>
                <w:sz w:val="16"/>
                <w:szCs w:val="16"/>
                <w:lang w:val="ru-RU"/>
              </w:rPr>
              <w:t>рабочих часов;</w:t>
            </w:r>
          </w:p>
          <w:p w:rsidR="0055116C" w:rsidRPr="0055116C" w:rsidRDefault="0055116C" w:rsidP="0055116C">
            <w:pPr>
              <w:autoSpaceDE w:val="0"/>
              <w:autoSpaceDN w:val="0"/>
              <w:adjustRightInd w:val="0"/>
              <w:rPr>
                <w:rFonts w:cs="Arial"/>
                <w:sz w:val="16"/>
                <w:szCs w:val="16"/>
                <w:lang w:val="ru-RU"/>
              </w:rPr>
            </w:pPr>
          </w:p>
          <w:p w:rsidR="0055116C" w:rsidRPr="0055116C" w:rsidRDefault="0055116C" w:rsidP="0055116C">
            <w:pPr>
              <w:autoSpaceDE w:val="0"/>
              <w:autoSpaceDN w:val="0"/>
              <w:adjustRightInd w:val="0"/>
              <w:rPr>
                <w:rFonts w:cs="Arial"/>
                <w:sz w:val="16"/>
                <w:szCs w:val="16"/>
                <w:lang w:val="ru-RU"/>
              </w:rPr>
            </w:pPr>
            <w:r w:rsidRPr="0055116C">
              <w:rPr>
                <w:i/>
                <w:sz w:val="16"/>
                <w:szCs w:val="16"/>
                <w:lang w:val="ru-RU"/>
              </w:rPr>
              <w:t>Исходные целевые показатели ПиБ на 2014–2015</w:t>
            </w:r>
            <w:r>
              <w:rPr>
                <w:i/>
                <w:sz w:val="16"/>
                <w:szCs w:val="16"/>
              </w:rPr>
              <w:t> </w:t>
            </w:r>
            <w:r w:rsidRPr="0055116C">
              <w:rPr>
                <w:i/>
                <w:sz w:val="16"/>
                <w:szCs w:val="16"/>
                <w:lang w:val="ru-RU"/>
              </w:rPr>
              <w:t>гг.:</w:t>
            </w:r>
            <w:r w:rsidRPr="0055116C">
              <w:rPr>
                <w:sz w:val="16"/>
                <w:szCs w:val="16"/>
                <w:lang w:val="ru-RU"/>
              </w:rPr>
              <w:t xml:space="preserve"> будут определены для отдельных областей</w:t>
            </w:r>
          </w:p>
          <w:p w:rsidR="0055116C" w:rsidRPr="0055116C" w:rsidRDefault="0055116C" w:rsidP="0055116C">
            <w:pPr>
              <w:autoSpaceDE w:val="0"/>
              <w:autoSpaceDN w:val="0"/>
              <w:adjustRightInd w:val="0"/>
              <w:rPr>
                <w:rFonts w:cs="Arial"/>
                <w:sz w:val="16"/>
                <w:szCs w:val="16"/>
                <w:lang w:val="ru-RU"/>
              </w:rPr>
            </w:pPr>
          </w:p>
        </w:tc>
        <w:tc>
          <w:tcPr>
            <w:tcW w:w="1035" w:type="pct"/>
            <w:tcBorders>
              <w:bottom w:val="single" w:sz="4" w:space="0" w:color="auto"/>
            </w:tcBorders>
            <w:shd w:val="clear" w:color="auto" w:fill="FFFFFF"/>
            <w:tcMar>
              <w:top w:w="110" w:type="dxa"/>
            </w:tcMar>
          </w:tcPr>
          <w:p w:rsidR="0055116C" w:rsidRPr="0055116C" w:rsidRDefault="0055116C" w:rsidP="0055116C">
            <w:pPr>
              <w:autoSpaceDE w:val="0"/>
              <w:autoSpaceDN w:val="0"/>
              <w:adjustRightInd w:val="0"/>
              <w:rPr>
                <w:rFonts w:cs="Arial"/>
                <w:sz w:val="16"/>
                <w:szCs w:val="16"/>
                <w:lang w:val="ru-RU"/>
              </w:rPr>
            </w:pPr>
            <w:r w:rsidRPr="0055116C">
              <w:rPr>
                <w:sz w:val="16"/>
                <w:szCs w:val="16"/>
                <w:lang w:val="ru-RU"/>
              </w:rPr>
              <w:t>(</w:t>
            </w:r>
            <w:r>
              <w:rPr>
                <w:sz w:val="16"/>
                <w:szCs w:val="16"/>
              </w:rPr>
              <w:t>i</w:t>
            </w:r>
            <w:r w:rsidRPr="0055116C">
              <w:rPr>
                <w:sz w:val="16"/>
                <w:szCs w:val="16"/>
                <w:lang w:val="ru-RU"/>
              </w:rPr>
              <w:t>)</w:t>
            </w:r>
            <w:r>
              <w:rPr>
                <w:sz w:val="16"/>
                <w:szCs w:val="16"/>
              </w:rPr>
              <w:t> </w:t>
            </w:r>
            <w:r w:rsidRPr="0055116C">
              <w:rPr>
                <w:sz w:val="16"/>
                <w:szCs w:val="16"/>
                <w:lang w:val="ru-RU"/>
              </w:rPr>
              <w:t>обработка 92% обращений в течение одного дня</w:t>
            </w:r>
          </w:p>
          <w:p w:rsidR="0055116C" w:rsidRPr="0055116C" w:rsidRDefault="0055116C" w:rsidP="0055116C">
            <w:pPr>
              <w:autoSpaceDE w:val="0"/>
              <w:autoSpaceDN w:val="0"/>
              <w:adjustRightInd w:val="0"/>
              <w:rPr>
                <w:rFonts w:cs="Arial"/>
                <w:sz w:val="16"/>
                <w:szCs w:val="16"/>
                <w:lang w:val="ru-RU"/>
              </w:rPr>
            </w:pPr>
          </w:p>
          <w:p w:rsidR="0055116C" w:rsidRPr="0055116C" w:rsidRDefault="0055116C" w:rsidP="0055116C">
            <w:pPr>
              <w:autoSpaceDE w:val="0"/>
              <w:autoSpaceDN w:val="0"/>
              <w:adjustRightInd w:val="0"/>
              <w:rPr>
                <w:rFonts w:cs="Arial"/>
                <w:sz w:val="16"/>
                <w:szCs w:val="16"/>
                <w:lang w:val="ru-RU"/>
              </w:rPr>
            </w:pPr>
            <w:r w:rsidRPr="0055116C">
              <w:rPr>
                <w:sz w:val="16"/>
                <w:szCs w:val="16"/>
                <w:lang w:val="ru-RU"/>
              </w:rPr>
              <w:t>(</w:t>
            </w:r>
            <w:r>
              <w:rPr>
                <w:sz w:val="16"/>
                <w:szCs w:val="16"/>
              </w:rPr>
              <w:t>ii</w:t>
            </w:r>
            <w:r w:rsidRPr="0055116C">
              <w:rPr>
                <w:sz w:val="16"/>
                <w:szCs w:val="16"/>
                <w:lang w:val="ru-RU"/>
              </w:rPr>
              <w:t>)</w:t>
            </w:r>
            <w:r>
              <w:rPr>
                <w:sz w:val="16"/>
                <w:szCs w:val="16"/>
              </w:rPr>
              <w:t> </w:t>
            </w:r>
            <w:r w:rsidRPr="0055116C">
              <w:rPr>
                <w:sz w:val="16"/>
                <w:szCs w:val="16"/>
                <w:lang w:val="ru-RU"/>
              </w:rPr>
              <w:t>обработка 100% жалоб в течение 8</w:t>
            </w:r>
            <w:r>
              <w:rPr>
                <w:sz w:val="16"/>
                <w:szCs w:val="16"/>
              </w:rPr>
              <w:t> </w:t>
            </w:r>
            <w:r w:rsidRPr="0055116C">
              <w:rPr>
                <w:sz w:val="16"/>
                <w:szCs w:val="16"/>
                <w:lang w:val="ru-RU"/>
              </w:rPr>
              <w:t>рабочих часов</w:t>
            </w:r>
          </w:p>
          <w:p w:rsidR="0055116C" w:rsidRPr="0055116C" w:rsidRDefault="0055116C" w:rsidP="0055116C">
            <w:pPr>
              <w:autoSpaceDE w:val="0"/>
              <w:autoSpaceDN w:val="0"/>
              <w:adjustRightInd w:val="0"/>
              <w:rPr>
                <w:rFonts w:cs="Arial"/>
                <w:sz w:val="16"/>
                <w:szCs w:val="16"/>
                <w:lang w:val="ru-RU"/>
              </w:rPr>
            </w:pPr>
          </w:p>
          <w:p w:rsidR="0055116C" w:rsidRPr="0055116C" w:rsidRDefault="0055116C" w:rsidP="0055116C">
            <w:pPr>
              <w:rPr>
                <w:rFonts w:cs="Arial"/>
                <w:sz w:val="16"/>
                <w:szCs w:val="16"/>
                <w:lang w:val="ru-RU"/>
              </w:rPr>
            </w:pPr>
          </w:p>
        </w:tc>
        <w:tc>
          <w:tcPr>
            <w:tcW w:w="570" w:type="pct"/>
            <w:tcBorders>
              <w:bottom w:val="single" w:sz="4" w:space="0" w:color="auto"/>
            </w:tcBorders>
            <w:tcMar>
              <w:top w:w="110" w:type="dxa"/>
            </w:tcMar>
          </w:tcPr>
          <w:p w:rsidR="0055116C" w:rsidRPr="0055116C" w:rsidRDefault="0055116C" w:rsidP="0055116C">
            <w:pPr>
              <w:keepNext/>
              <w:keepLines/>
              <w:jc w:val="center"/>
              <w:rPr>
                <w:b/>
                <w:color w:val="00B050"/>
                <w:sz w:val="16"/>
                <w:szCs w:val="16"/>
                <w:lang w:val="ru-RU"/>
              </w:rPr>
            </w:pPr>
          </w:p>
          <w:p w:rsidR="0055116C" w:rsidRPr="008B3CE4" w:rsidRDefault="0055116C" w:rsidP="0055116C">
            <w:pPr>
              <w:keepNext/>
              <w:keepLines/>
              <w:jc w:val="center"/>
              <w:rPr>
                <w:rFonts w:cs="Arial"/>
                <w:b/>
                <w:color w:val="00B050"/>
                <w:sz w:val="16"/>
                <w:szCs w:val="16"/>
              </w:rPr>
            </w:pPr>
            <w:r w:rsidRPr="008B3CE4">
              <w:rPr>
                <w:b/>
                <w:color w:val="00B050"/>
                <w:sz w:val="16"/>
                <w:szCs w:val="16"/>
              </w:rPr>
              <w:t>Выполнено</w:t>
            </w:r>
          </w:p>
          <w:p w:rsidR="0055116C" w:rsidRPr="008B3CE4" w:rsidRDefault="0055116C" w:rsidP="0055116C">
            <w:pPr>
              <w:keepNext/>
              <w:keepLines/>
              <w:jc w:val="center"/>
              <w:rPr>
                <w:rFonts w:cs="Arial"/>
                <w:b/>
                <w:color w:val="00B050"/>
                <w:sz w:val="16"/>
                <w:szCs w:val="16"/>
              </w:rPr>
            </w:pPr>
          </w:p>
          <w:p w:rsidR="0055116C" w:rsidRDefault="0055116C" w:rsidP="0055116C">
            <w:pPr>
              <w:keepNext/>
              <w:keepLines/>
              <w:jc w:val="center"/>
              <w:rPr>
                <w:b/>
                <w:color w:val="00B050"/>
                <w:sz w:val="16"/>
                <w:szCs w:val="16"/>
              </w:rPr>
            </w:pPr>
          </w:p>
          <w:p w:rsidR="0055116C" w:rsidRDefault="0055116C" w:rsidP="0055116C">
            <w:pPr>
              <w:keepNext/>
              <w:keepLines/>
              <w:jc w:val="center"/>
              <w:rPr>
                <w:b/>
                <w:color w:val="00B050"/>
                <w:sz w:val="16"/>
                <w:szCs w:val="16"/>
              </w:rPr>
            </w:pPr>
          </w:p>
          <w:p w:rsidR="0055116C" w:rsidRPr="008B3CE4" w:rsidRDefault="0055116C" w:rsidP="0055116C">
            <w:pPr>
              <w:keepNext/>
              <w:keepLines/>
              <w:jc w:val="center"/>
              <w:rPr>
                <w:rFonts w:cs="Arial"/>
                <w:b/>
                <w:bCs/>
                <w:color w:val="00B050"/>
                <w:sz w:val="16"/>
                <w:szCs w:val="16"/>
              </w:rPr>
            </w:pPr>
            <w:r w:rsidRPr="008B3CE4">
              <w:rPr>
                <w:b/>
                <w:color w:val="00B050"/>
                <w:sz w:val="16"/>
                <w:szCs w:val="16"/>
              </w:rPr>
              <w:t>Выполнено</w:t>
            </w:r>
          </w:p>
        </w:tc>
      </w:tr>
    </w:tbl>
    <w:p w:rsidR="0055116C" w:rsidRPr="006C4CF0" w:rsidRDefault="0055116C" w:rsidP="0055116C">
      <w:pPr>
        <w:jc w:val="both"/>
        <w:rPr>
          <w:rFonts w:cs="Arial"/>
          <w:color w:val="000000"/>
          <w:sz w:val="16"/>
          <w:szCs w:val="16"/>
        </w:rPr>
      </w:pPr>
    </w:p>
    <w:p w:rsidR="0055116C" w:rsidRPr="006C4CF0" w:rsidRDefault="0055116C" w:rsidP="0055116C">
      <w:pPr>
        <w:jc w:val="both"/>
        <w:rPr>
          <w:rFonts w:cs="Arial"/>
          <w:color w:val="000000"/>
          <w:sz w:val="16"/>
          <w:szCs w:val="16"/>
        </w:rPr>
      </w:pPr>
    </w:p>
    <w:p w:rsidR="0055116C" w:rsidRPr="0055116C" w:rsidRDefault="0055116C" w:rsidP="0055116C">
      <w:pPr>
        <w:keepNext/>
        <w:keepLines/>
        <w:rPr>
          <w:rFonts w:cs="Arial"/>
          <w:color w:val="000000"/>
          <w:szCs w:val="16"/>
          <w:lang w:val="ru-RU"/>
        </w:rPr>
      </w:pPr>
      <w:r w:rsidRPr="0055116C">
        <w:rPr>
          <w:color w:val="000000"/>
          <w:szCs w:val="16"/>
          <w:lang w:val="ru-RU"/>
        </w:rPr>
        <w:t>ОТЧЕТ О РИСКАХ В ДВУХЛЕТНИЙ ПЕРИОД</w:t>
      </w:r>
    </w:p>
    <w:p w:rsidR="0055116C" w:rsidRPr="0055116C" w:rsidRDefault="0055116C" w:rsidP="0055116C">
      <w:pPr>
        <w:keepNext/>
        <w:keepLines/>
        <w:rPr>
          <w:sz w:val="16"/>
          <w:szCs w:val="16"/>
          <w:lang w:val="ru-RU"/>
        </w:rPr>
      </w:pPr>
    </w:p>
    <w:tbl>
      <w:tblPr>
        <w:tblW w:w="9639" w:type="dxa"/>
        <w:tblInd w:w="108"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2420"/>
        <w:gridCol w:w="2200"/>
        <w:gridCol w:w="2310"/>
        <w:gridCol w:w="2709"/>
      </w:tblGrid>
      <w:tr w:rsidR="0055116C" w:rsidRPr="006C4CF0" w:rsidTr="0055116C">
        <w:trPr>
          <w:trHeight w:val="402"/>
          <w:tblHeader/>
        </w:trPr>
        <w:tc>
          <w:tcPr>
            <w:tcW w:w="2420"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keepNext/>
              <w:keepLines/>
              <w:autoSpaceDE w:val="0"/>
              <w:autoSpaceDN w:val="0"/>
              <w:adjustRightInd w:val="0"/>
              <w:ind w:right="-59"/>
              <w:jc w:val="center"/>
              <w:rPr>
                <w:b/>
                <w:bCs/>
                <w:sz w:val="18"/>
                <w:szCs w:val="16"/>
                <w:lang w:val="ru-RU"/>
              </w:rPr>
            </w:pPr>
            <w:r w:rsidRPr="0055116C">
              <w:rPr>
                <w:b/>
                <w:sz w:val="18"/>
                <w:szCs w:val="16"/>
                <w:lang w:val="ru-RU"/>
              </w:rPr>
              <w:t>Риск (риски) того, что результаты программы не будут достигнуты</w:t>
            </w:r>
          </w:p>
        </w:tc>
        <w:tc>
          <w:tcPr>
            <w:tcW w:w="2200" w:type="dxa"/>
            <w:tcBorders>
              <w:top w:val="single" w:sz="4" w:space="0" w:color="auto"/>
              <w:bottom w:val="single" w:sz="4" w:space="0" w:color="auto"/>
            </w:tcBorders>
            <w:shd w:val="clear" w:color="auto" w:fill="C6D9F1" w:themeFill="text2" w:themeFillTint="33"/>
            <w:tcMar>
              <w:top w:w="113" w:type="dxa"/>
              <w:bottom w:w="85" w:type="dxa"/>
            </w:tcMar>
            <w:vAlign w:val="center"/>
          </w:tcPr>
          <w:p w:rsidR="0055116C" w:rsidRPr="0055116C" w:rsidRDefault="0055116C" w:rsidP="0055116C">
            <w:pPr>
              <w:keepNext/>
              <w:keepLines/>
              <w:autoSpaceDE w:val="0"/>
              <w:autoSpaceDN w:val="0"/>
              <w:adjustRightInd w:val="0"/>
              <w:ind w:right="-59"/>
              <w:jc w:val="center"/>
              <w:rPr>
                <w:b/>
                <w:bCs/>
                <w:sz w:val="18"/>
                <w:szCs w:val="16"/>
                <w:lang w:val="ru-RU"/>
              </w:rPr>
            </w:pPr>
            <w:r w:rsidRPr="0055116C">
              <w:rPr>
                <w:b/>
                <w:sz w:val="18"/>
                <w:szCs w:val="16"/>
                <w:lang w:val="ru-RU"/>
              </w:rPr>
              <w:t xml:space="preserve">Действующие или разрабатываемые планы по снижению рисков </w:t>
            </w:r>
          </w:p>
        </w:tc>
        <w:tc>
          <w:tcPr>
            <w:tcW w:w="2310" w:type="dxa"/>
            <w:tcBorders>
              <w:top w:val="single" w:sz="4" w:space="0" w:color="auto"/>
              <w:bottom w:val="single" w:sz="4" w:space="0" w:color="auto"/>
            </w:tcBorders>
            <w:shd w:val="clear" w:color="auto" w:fill="C6D9F1" w:themeFill="text2" w:themeFillTint="33"/>
          </w:tcPr>
          <w:p w:rsidR="0055116C" w:rsidRPr="0055116C" w:rsidRDefault="0055116C" w:rsidP="0055116C">
            <w:pPr>
              <w:keepNext/>
              <w:keepLines/>
              <w:jc w:val="center"/>
              <w:rPr>
                <w:b/>
                <w:bCs/>
                <w:sz w:val="18"/>
                <w:szCs w:val="16"/>
                <w:lang w:val="ru-RU"/>
              </w:rPr>
            </w:pPr>
            <w:r w:rsidRPr="0055116C">
              <w:rPr>
                <w:b/>
                <w:sz w:val="18"/>
                <w:szCs w:val="16"/>
                <w:lang w:val="ru-RU"/>
              </w:rPr>
              <w:t>Развитие риска (рисков) и стратегий его (их) снижения в двухлетний период</w:t>
            </w:r>
          </w:p>
        </w:tc>
        <w:tc>
          <w:tcPr>
            <w:tcW w:w="2709" w:type="dxa"/>
            <w:tcBorders>
              <w:top w:val="single" w:sz="4" w:space="0" w:color="auto"/>
              <w:bottom w:val="single" w:sz="4" w:space="0" w:color="auto"/>
            </w:tcBorders>
            <w:shd w:val="clear" w:color="auto" w:fill="C6D9F1" w:themeFill="text2" w:themeFillTint="33"/>
          </w:tcPr>
          <w:p w:rsidR="0055116C" w:rsidRDefault="0055116C" w:rsidP="0055116C">
            <w:pPr>
              <w:keepNext/>
              <w:keepLines/>
              <w:jc w:val="center"/>
              <w:rPr>
                <w:b/>
                <w:sz w:val="18"/>
                <w:szCs w:val="16"/>
              </w:rPr>
            </w:pPr>
            <w:r w:rsidRPr="008B3CE4">
              <w:rPr>
                <w:b/>
                <w:sz w:val="18"/>
                <w:szCs w:val="16"/>
              </w:rPr>
              <w:t xml:space="preserve">Влияние </w:t>
            </w:r>
          </w:p>
          <w:p w:rsidR="0055116C" w:rsidRDefault="0055116C" w:rsidP="0055116C">
            <w:pPr>
              <w:keepNext/>
              <w:keepLines/>
              <w:jc w:val="center"/>
              <w:rPr>
                <w:b/>
                <w:sz w:val="18"/>
                <w:szCs w:val="16"/>
              </w:rPr>
            </w:pPr>
            <w:r w:rsidRPr="008B3CE4">
              <w:rPr>
                <w:b/>
                <w:sz w:val="18"/>
                <w:szCs w:val="16"/>
              </w:rPr>
              <w:t xml:space="preserve">на реализацию </w:t>
            </w:r>
          </w:p>
          <w:p w:rsidR="0055116C" w:rsidRPr="008B3CE4" w:rsidRDefault="0055116C" w:rsidP="0055116C">
            <w:pPr>
              <w:keepNext/>
              <w:keepLines/>
              <w:jc w:val="center"/>
              <w:rPr>
                <w:b/>
                <w:bCs/>
                <w:sz w:val="18"/>
                <w:szCs w:val="16"/>
              </w:rPr>
            </w:pPr>
            <w:r w:rsidRPr="008B3CE4">
              <w:rPr>
                <w:b/>
                <w:sz w:val="18"/>
                <w:szCs w:val="16"/>
              </w:rPr>
              <w:t>программы</w:t>
            </w:r>
          </w:p>
        </w:tc>
      </w:tr>
      <w:tr w:rsidR="0055116C" w:rsidRPr="005C6ABD" w:rsidTr="0055116C">
        <w:trPr>
          <w:trHeight w:val="782"/>
        </w:trPr>
        <w:tc>
          <w:tcPr>
            <w:tcW w:w="2420" w:type="dxa"/>
            <w:tcBorders>
              <w:top w:val="single" w:sz="4" w:space="0" w:color="auto"/>
            </w:tcBorders>
            <w:shd w:val="clear" w:color="auto" w:fill="auto"/>
            <w:tcMar>
              <w:top w:w="113" w:type="dxa"/>
              <w:bottom w:w="85" w:type="dxa"/>
            </w:tcMar>
          </w:tcPr>
          <w:p w:rsidR="0055116C" w:rsidRPr="0055116C" w:rsidRDefault="0055116C" w:rsidP="0055116C">
            <w:pPr>
              <w:keepNext/>
              <w:keepLines/>
              <w:autoSpaceDE w:val="0"/>
              <w:autoSpaceDN w:val="0"/>
              <w:adjustRightInd w:val="0"/>
              <w:ind w:right="-59"/>
              <w:rPr>
                <w:i/>
                <w:sz w:val="16"/>
                <w:szCs w:val="16"/>
                <w:lang w:val="ru-RU"/>
              </w:rPr>
            </w:pPr>
            <w:r w:rsidRPr="0055116C">
              <w:rPr>
                <w:sz w:val="16"/>
                <w:szCs w:val="16"/>
                <w:lang w:val="ru-RU"/>
              </w:rPr>
              <w:t>Рост числа новых потребностей не позволяет сосредоточить усилия в рамках программы и добиться результатов, необходимых для обеспечения эффективной коммуникации.</w:t>
            </w:r>
          </w:p>
        </w:tc>
        <w:tc>
          <w:tcPr>
            <w:tcW w:w="2200" w:type="dxa"/>
            <w:tcBorders>
              <w:top w:val="single" w:sz="4" w:space="0" w:color="auto"/>
            </w:tcBorders>
            <w:shd w:val="clear" w:color="auto" w:fill="auto"/>
            <w:tcMar>
              <w:top w:w="113" w:type="dxa"/>
              <w:bottom w:w="85" w:type="dxa"/>
            </w:tcMar>
          </w:tcPr>
          <w:p w:rsidR="0055116C" w:rsidRPr="0055116C" w:rsidRDefault="0055116C" w:rsidP="0055116C">
            <w:pPr>
              <w:keepNext/>
              <w:keepLines/>
              <w:autoSpaceDE w:val="0"/>
              <w:autoSpaceDN w:val="0"/>
              <w:adjustRightInd w:val="0"/>
              <w:ind w:right="-59"/>
              <w:rPr>
                <w:i/>
                <w:sz w:val="16"/>
                <w:szCs w:val="16"/>
                <w:lang w:val="ru-RU"/>
              </w:rPr>
            </w:pPr>
            <w:r w:rsidRPr="0055116C">
              <w:rPr>
                <w:sz w:val="16"/>
                <w:szCs w:val="16"/>
                <w:lang w:val="ru-RU"/>
              </w:rPr>
              <w:t xml:space="preserve">Каждый год ограниченному числу основных мероприятий/продуктов/достижений ВОИС будет присваиваться высший приоритет с точки зрения продвижения и маркетинга. </w:t>
            </w:r>
          </w:p>
        </w:tc>
        <w:tc>
          <w:tcPr>
            <w:tcW w:w="2310" w:type="dxa"/>
            <w:tcBorders>
              <w:top w:val="single" w:sz="4" w:space="0" w:color="auto"/>
            </w:tcBorders>
          </w:tcPr>
          <w:p w:rsidR="0055116C" w:rsidRPr="0055116C" w:rsidRDefault="0055116C" w:rsidP="0055116C">
            <w:pPr>
              <w:keepNext/>
              <w:keepLines/>
              <w:autoSpaceDE w:val="0"/>
              <w:autoSpaceDN w:val="0"/>
              <w:adjustRightInd w:val="0"/>
              <w:ind w:right="-59"/>
              <w:rPr>
                <w:sz w:val="16"/>
                <w:szCs w:val="16"/>
                <w:lang w:val="ru-RU"/>
              </w:rPr>
            </w:pPr>
            <w:r w:rsidRPr="0055116C">
              <w:rPr>
                <w:sz w:val="16"/>
                <w:szCs w:val="16"/>
                <w:lang w:val="ru-RU"/>
              </w:rPr>
              <w:t>Стратегия снижения рисков была эффективно реализована. Среди крупных мероприятий, которые были организованы в приоритетном порядке и успешно проведены, можно выделить следующие: Всемирный день ИС, презентация Глобального индекса инноваций, презентация Доклада о положении в области ИС в мире, Ассамблеи, Африканская министерская конференция.</w:t>
            </w:r>
          </w:p>
        </w:tc>
        <w:tc>
          <w:tcPr>
            <w:tcW w:w="2709" w:type="dxa"/>
            <w:tcBorders>
              <w:top w:val="single" w:sz="4" w:space="0" w:color="auto"/>
            </w:tcBorders>
          </w:tcPr>
          <w:p w:rsidR="0055116C" w:rsidRPr="0055116C" w:rsidRDefault="0055116C" w:rsidP="0055116C">
            <w:pPr>
              <w:keepNext/>
              <w:keepLines/>
              <w:autoSpaceDE w:val="0"/>
              <w:autoSpaceDN w:val="0"/>
              <w:adjustRightInd w:val="0"/>
              <w:ind w:right="-59"/>
              <w:rPr>
                <w:sz w:val="16"/>
                <w:szCs w:val="16"/>
                <w:lang w:val="ru-RU"/>
              </w:rPr>
            </w:pPr>
            <w:r w:rsidRPr="0055116C">
              <w:rPr>
                <w:sz w:val="16"/>
                <w:szCs w:val="16"/>
                <w:lang w:val="ru-RU"/>
              </w:rPr>
              <w:t xml:space="preserve">Как показывает расширение охвата в прессе и социальных сетях, а также уровень посещаемости сайта при проведении всех крупных мероприятий, идет процесс сосредоточения усилий и усиления влияния. </w:t>
            </w:r>
          </w:p>
        </w:tc>
      </w:tr>
      <w:tr w:rsidR="0055116C" w:rsidRPr="005C6ABD" w:rsidTr="0055116C">
        <w:trPr>
          <w:trHeight w:val="961"/>
        </w:trPr>
        <w:tc>
          <w:tcPr>
            <w:tcW w:w="2420" w:type="dxa"/>
            <w:shd w:val="clear" w:color="auto" w:fill="auto"/>
            <w:tcMar>
              <w:top w:w="113" w:type="dxa"/>
              <w:bottom w:w="85" w:type="dxa"/>
            </w:tcMar>
          </w:tcPr>
          <w:p w:rsidR="0055116C" w:rsidRPr="0055116C" w:rsidRDefault="0055116C" w:rsidP="0055116C">
            <w:pPr>
              <w:keepNext/>
              <w:keepLines/>
              <w:autoSpaceDE w:val="0"/>
              <w:autoSpaceDN w:val="0"/>
              <w:adjustRightInd w:val="0"/>
              <w:ind w:right="-59"/>
              <w:rPr>
                <w:sz w:val="16"/>
                <w:szCs w:val="16"/>
                <w:lang w:val="ru-RU"/>
              </w:rPr>
            </w:pPr>
            <w:r w:rsidRPr="0055116C">
              <w:rPr>
                <w:sz w:val="16"/>
                <w:szCs w:val="16"/>
                <w:lang w:val="ru-RU"/>
              </w:rPr>
              <w:t xml:space="preserve">ВОИС не успевает за меняющимися тенденциями и технологическими новшествами и сдает позиции в плане наглядности своей деятельности и влияния в условиях цифровых коммуникаций. </w:t>
            </w:r>
          </w:p>
        </w:tc>
        <w:tc>
          <w:tcPr>
            <w:tcW w:w="2200" w:type="dxa"/>
            <w:shd w:val="clear" w:color="auto" w:fill="auto"/>
            <w:tcMar>
              <w:top w:w="113" w:type="dxa"/>
              <w:bottom w:w="85" w:type="dxa"/>
            </w:tcMar>
          </w:tcPr>
          <w:p w:rsidR="0055116C" w:rsidRPr="0055116C" w:rsidRDefault="0055116C" w:rsidP="0055116C">
            <w:pPr>
              <w:keepNext/>
              <w:keepLines/>
              <w:autoSpaceDE w:val="0"/>
              <w:autoSpaceDN w:val="0"/>
              <w:adjustRightInd w:val="0"/>
              <w:ind w:right="-59"/>
              <w:rPr>
                <w:sz w:val="16"/>
                <w:szCs w:val="16"/>
                <w:lang w:val="ru-RU"/>
              </w:rPr>
            </w:pPr>
            <w:r w:rsidRPr="0055116C">
              <w:rPr>
                <w:sz w:val="16"/>
                <w:szCs w:val="16"/>
                <w:lang w:val="ru-RU"/>
              </w:rPr>
              <w:t>Занятые в программе сотрудники должны на регулярной основе получать новые знания и навыки, проходя учебные курсы и с помощью самообразования; гибкие структуры позволяют делиться новыми знаниями и навыками; для расширения потенциала штатных сотрудников используются внешние ресурсы и партнерства.</w:t>
            </w:r>
          </w:p>
        </w:tc>
        <w:tc>
          <w:tcPr>
            <w:tcW w:w="2310" w:type="dxa"/>
          </w:tcPr>
          <w:p w:rsidR="0055116C" w:rsidRPr="0055116C" w:rsidRDefault="0055116C" w:rsidP="0055116C">
            <w:pPr>
              <w:keepNext/>
              <w:keepLines/>
              <w:autoSpaceDE w:val="0"/>
              <w:autoSpaceDN w:val="0"/>
              <w:adjustRightInd w:val="0"/>
              <w:ind w:right="-59"/>
              <w:rPr>
                <w:sz w:val="16"/>
                <w:szCs w:val="16"/>
                <w:lang w:val="ru-RU"/>
              </w:rPr>
            </w:pPr>
            <w:r w:rsidRPr="0055116C">
              <w:rPr>
                <w:sz w:val="16"/>
                <w:szCs w:val="16"/>
                <w:lang w:val="ru-RU"/>
              </w:rPr>
              <w:t xml:space="preserve">Стратегии снижения рисков были эффективно реализованы. Тренинги, посвященные развитию навыков работы в цифровой среде, охватывали такие вопросы, как удобство пользования веб-страницами, создание веб-контента, социальные сети, веб-аналитика, </w:t>
            </w:r>
            <w:r w:rsidRPr="006C4CF0">
              <w:rPr>
                <w:sz w:val="16"/>
                <w:szCs w:val="16"/>
              </w:rPr>
              <w:t>HTML</w:t>
            </w:r>
            <w:r w:rsidRPr="0055116C">
              <w:rPr>
                <w:sz w:val="16"/>
                <w:szCs w:val="16"/>
                <w:lang w:val="ru-RU"/>
              </w:rPr>
              <w:t xml:space="preserve">. </w:t>
            </w:r>
            <w:r w:rsidRPr="006C4CF0">
              <w:rPr>
                <w:sz w:val="16"/>
                <w:szCs w:val="16"/>
              </w:rPr>
              <w:t> </w:t>
            </w:r>
            <w:r w:rsidRPr="0055116C">
              <w:rPr>
                <w:sz w:val="16"/>
                <w:szCs w:val="16"/>
                <w:lang w:val="ru-RU"/>
              </w:rPr>
              <w:t xml:space="preserve">Была внедрена новая технология, которая позволила создать в ВОИС высокопроизводительную платформу для обеспечения коммуникации посредством электронных писем и маркетинга. Перевод требующих печати на бумаге и офисных функций в цифровую форму способствовал расширению возможностей. </w:t>
            </w:r>
          </w:p>
        </w:tc>
        <w:tc>
          <w:tcPr>
            <w:tcW w:w="2709" w:type="dxa"/>
          </w:tcPr>
          <w:p w:rsidR="0055116C" w:rsidRPr="0055116C" w:rsidRDefault="0055116C" w:rsidP="0055116C">
            <w:pPr>
              <w:keepNext/>
              <w:keepLines/>
              <w:autoSpaceDE w:val="0"/>
              <w:autoSpaceDN w:val="0"/>
              <w:adjustRightInd w:val="0"/>
              <w:ind w:right="-59"/>
              <w:rPr>
                <w:sz w:val="16"/>
                <w:szCs w:val="16"/>
                <w:lang w:val="ru-RU"/>
              </w:rPr>
            </w:pPr>
            <w:r w:rsidRPr="0055116C">
              <w:rPr>
                <w:sz w:val="16"/>
                <w:szCs w:val="16"/>
                <w:lang w:val="ru-RU"/>
              </w:rPr>
              <w:t>На осуществление программы не было оказано существенного воздействия, за исключением сферы веб-аналитики, где задержки при внедрении новых инструментов негативно повлияли на возможности программы в области измерения некоторых ключевых показателей результативности.</w:t>
            </w:r>
          </w:p>
        </w:tc>
      </w:tr>
    </w:tbl>
    <w:p w:rsidR="0055116C" w:rsidRPr="0055116C" w:rsidRDefault="0055116C" w:rsidP="0055116C">
      <w:pPr>
        <w:rPr>
          <w:sz w:val="16"/>
          <w:szCs w:val="16"/>
          <w:lang w:val="ru-RU"/>
        </w:rPr>
      </w:pPr>
    </w:p>
    <w:p w:rsidR="0055116C" w:rsidRPr="0055116C" w:rsidRDefault="0055116C" w:rsidP="0055116C">
      <w:pPr>
        <w:jc w:val="both"/>
        <w:rPr>
          <w:rFonts w:cs="Arial"/>
          <w:color w:val="000000"/>
          <w:sz w:val="16"/>
          <w:szCs w:val="16"/>
          <w:lang w:val="ru-RU"/>
        </w:rPr>
      </w:pPr>
    </w:p>
    <w:p w:rsidR="0055116C" w:rsidRPr="0055116C" w:rsidRDefault="0055116C" w:rsidP="0055116C">
      <w:pPr>
        <w:jc w:val="both"/>
        <w:rPr>
          <w:rFonts w:cs="Arial"/>
          <w:color w:val="000000"/>
          <w:sz w:val="16"/>
          <w:szCs w:val="16"/>
          <w:lang w:val="ru-RU"/>
        </w:rPr>
      </w:pPr>
    </w:p>
    <w:p w:rsidR="0055116C" w:rsidRPr="0055116C" w:rsidRDefault="0055116C" w:rsidP="0055116C">
      <w:pPr>
        <w:jc w:val="both"/>
        <w:rPr>
          <w:rFonts w:cs="Arial"/>
          <w:color w:val="000000"/>
          <w:sz w:val="16"/>
          <w:szCs w:val="16"/>
          <w:lang w:val="ru-RU"/>
        </w:rPr>
      </w:pPr>
    </w:p>
    <w:p w:rsidR="0055116C" w:rsidRPr="0055116C" w:rsidRDefault="0055116C" w:rsidP="0055116C">
      <w:pPr>
        <w:rPr>
          <w:szCs w:val="16"/>
          <w:lang w:val="ru-RU"/>
        </w:rPr>
      </w:pPr>
    </w:p>
    <w:p w:rsidR="0055116C" w:rsidRPr="0055116C" w:rsidRDefault="0055116C" w:rsidP="0055116C">
      <w:pPr>
        <w:jc w:val="both"/>
        <w:rPr>
          <w:b/>
          <w:szCs w:val="16"/>
          <w:lang w:val="ru-RU"/>
        </w:rPr>
      </w:pPr>
      <w:r w:rsidRPr="0055116C">
        <w:rPr>
          <w:color w:val="000000"/>
          <w:szCs w:val="16"/>
          <w:lang w:val="ru-RU"/>
        </w:rPr>
        <w:t>ИСПОЛЬЗОВАНИЕ РЕСУРСОВ</w:t>
      </w:r>
    </w:p>
    <w:p w:rsidR="0055116C" w:rsidRPr="0055116C" w:rsidRDefault="0055116C" w:rsidP="0055116C">
      <w:pPr>
        <w:jc w:val="both"/>
        <w:rPr>
          <w:sz w:val="16"/>
          <w:szCs w:val="16"/>
          <w:lang w:val="ru-RU"/>
        </w:rPr>
      </w:pPr>
    </w:p>
    <w:p w:rsidR="0055116C" w:rsidRPr="0055116C" w:rsidRDefault="0055116C" w:rsidP="0055116C">
      <w:pPr>
        <w:pStyle w:val="NormalWeb"/>
        <w:spacing w:before="0" w:beforeAutospacing="0" w:after="0" w:afterAutospacing="0"/>
        <w:jc w:val="center"/>
        <w:rPr>
          <w:sz w:val="20"/>
          <w:szCs w:val="16"/>
          <w:lang w:val="ru-RU"/>
        </w:rPr>
      </w:pPr>
      <w:r w:rsidRPr="0055116C">
        <w:rPr>
          <w:color w:val="000000"/>
          <w:sz w:val="20"/>
          <w:szCs w:val="16"/>
          <w:lang w:val="ru-RU"/>
        </w:rPr>
        <w:t>Бюджет и фактические расходы (в разбивке по результатам)</w:t>
      </w:r>
    </w:p>
    <w:p w:rsidR="0055116C" w:rsidRPr="008B3CE4" w:rsidRDefault="0055116C" w:rsidP="0055116C">
      <w:pPr>
        <w:pStyle w:val="NormalWeb"/>
        <w:spacing w:before="0" w:beforeAutospacing="0" w:after="0" w:afterAutospacing="0"/>
        <w:jc w:val="center"/>
        <w:rPr>
          <w:i/>
          <w:iCs/>
          <w:color w:val="000000"/>
          <w:sz w:val="20"/>
          <w:szCs w:val="16"/>
        </w:rPr>
      </w:pPr>
      <w:r w:rsidRPr="008B3CE4">
        <w:rPr>
          <w:i/>
          <w:color w:val="000000"/>
          <w:sz w:val="20"/>
          <w:szCs w:val="16"/>
        </w:rPr>
        <w:t>(в тыс. шв. франков)</w:t>
      </w:r>
    </w:p>
    <w:p w:rsidR="0055116C" w:rsidRPr="006C4CF0" w:rsidRDefault="0055116C" w:rsidP="0055116C">
      <w:pPr>
        <w:pStyle w:val="NormalWeb"/>
        <w:spacing w:before="0" w:beforeAutospacing="0" w:after="0" w:afterAutospacing="0"/>
        <w:jc w:val="center"/>
        <w:rPr>
          <w:i/>
          <w:iCs/>
          <w:color w:val="000000"/>
          <w:sz w:val="16"/>
          <w:szCs w:val="16"/>
        </w:rPr>
      </w:pPr>
    </w:p>
    <w:p w:rsidR="0055116C" w:rsidRPr="006C4CF0" w:rsidRDefault="0055116C" w:rsidP="0055116C">
      <w:pPr>
        <w:pStyle w:val="NormalWeb"/>
        <w:spacing w:before="0" w:beforeAutospacing="0" w:after="0" w:afterAutospacing="0"/>
        <w:jc w:val="center"/>
        <w:rPr>
          <w:sz w:val="16"/>
          <w:szCs w:val="16"/>
        </w:rPr>
      </w:pPr>
      <w:r>
        <w:rPr>
          <w:noProof/>
          <w:sz w:val="16"/>
          <w:szCs w:val="16"/>
        </w:rPr>
        <w:drawing>
          <wp:inline distT="0" distB="0" distL="0" distR="0" wp14:anchorId="4B310A0E" wp14:editId="335B8544">
            <wp:extent cx="6151880" cy="1661944"/>
            <wp:effectExtent l="0" t="0" r="127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151880" cy="1661944"/>
                    </a:xfrm>
                    <a:prstGeom prst="rect">
                      <a:avLst/>
                    </a:prstGeom>
                    <a:noFill/>
                    <a:ln>
                      <a:noFill/>
                    </a:ln>
                  </pic:spPr>
                </pic:pic>
              </a:graphicData>
            </a:graphic>
          </wp:inline>
        </w:drawing>
      </w:r>
    </w:p>
    <w:p w:rsidR="0055116C" w:rsidRPr="006C4CF0" w:rsidRDefault="0055116C" w:rsidP="0055116C">
      <w:pPr>
        <w:jc w:val="center"/>
        <w:rPr>
          <w:sz w:val="16"/>
          <w:szCs w:val="16"/>
        </w:rPr>
      </w:pPr>
    </w:p>
    <w:p w:rsidR="0055116C" w:rsidRPr="006C4CF0" w:rsidRDefault="0055116C" w:rsidP="0055116C">
      <w:pPr>
        <w:jc w:val="both"/>
        <w:rPr>
          <w:sz w:val="16"/>
          <w:szCs w:val="16"/>
        </w:rPr>
      </w:pPr>
    </w:p>
    <w:p w:rsidR="0055116C" w:rsidRPr="0055116C" w:rsidRDefault="0055116C" w:rsidP="0055116C">
      <w:pPr>
        <w:pStyle w:val="NormalWeb"/>
        <w:keepNext/>
        <w:keepLines/>
        <w:spacing w:before="0" w:beforeAutospacing="0" w:after="0" w:afterAutospacing="0"/>
        <w:jc w:val="center"/>
        <w:rPr>
          <w:sz w:val="20"/>
          <w:szCs w:val="16"/>
          <w:lang w:val="ru-RU"/>
        </w:rPr>
      </w:pPr>
      <w:r w:rsidRPr="0055116C">
        <w:rPr>
          <w:color w:val="000000"/>
          <w:sz w:val="20"/>
          <w:szCs w:val="16"/>
          <w:lang w:val="ru-RU"/>
        </w:rPr>
        <w:t>Бюджет и фактические расходы (по персоналу и не связанные с персоналом)</w:t>
      </w:r>
    </w:p>
    <w:p w:rsidR="0055116C" w:rsidRPr="008B3CE4" w:rsidRDefault="0055116C" w:rsidP="0055116C">
      <w:pPr>
        <w:pStyle w:val="NormalWeb"/>
        <w:keepNext/>
        <w:keepLines/>
        <w:spacing w:before="0" w:beforeAutospacing="0" w:after="0" w:afterAutospacing="0"/>
        <w:jc w:val="center"/>
        <w:rPr>
          <w:i/>
          <w:iCs/>
          <w:color w:val="000000"/>
          <w:sz w:val="20"/>
          <w:szCs w:val="16"/>
        </w:rPr>
      </w:pPr>
      <w:r w:rsidRPr="008B3CE4">
        <w:rPr>
          <w:i/>
          <w:color w:val="000000"/>
          <w:sz w:val="20"/>
          <w:szCs w:val="16"/>
        </w:rPr>
        <w:t>(в тыс. шв. франков)</w:t>
      </w:r>
    </w:p>
    <w:p w:rsidR="0055116C" w:rsidRPr="008B3CE4" w:rsidRDefault="0055116C" w:rsidP="0055116C">
      <w:pPr>
        <w:pStyle w:val="NormalWeb"/>
        <w:keepNext/>
        <w:keepLines/>
        <w:spacing w:before="0" w:beforeAutospacing="0" w:after="0" w:afterAutospacing="0"/>
        <w:jc w:val="center"/>
        <w:rPr>
          <w:i/>
          <w:iCs/>
          <w:color w:val="000000"/>
          <w:sz w:val="20"/>
          <w:szCs w:val="16"/>
        </w:rPr>
      </w:pPr>
    </w:p>
    <w:p w:rsidR="0055116C" w:rsidRPr="006C4CF0" w:rsidRDefault="0055116C" w:rsidP="0055116C">
      <w:pPr>
        <w:pStyle w:val="NormalWeb"/>
        <w:keepNext/>
        <w:keepLines/>
        <w:spacing w:before="0" w:beforeAutospacing="0" w:after="0" w:afterAutospacing="0"/>
        <w:jc w:val="center"/>
        <w:rPr>
          <w:i/>
          <w:iCs/>
          <w:color w:val="000000"/>
          <w:sz w:val="16"/>
          <w:szCs w:val="16"/>
        </w:rPr>
      </w:pPr>
      <w:r>
        <w:rPr>
          <w:i/>
          <w:iCs/>
          <w:noProof/>
          <w:color w:val="000000"/>
          <w:sz w:val="16"/>
          <w:szCs w:val="16"/>
        </w:rPr>
        <w:drawing>
          <wp:inline distT="0" distB="0" distL="0" distR="0" wp14:anchorId="591454CC" wp14:editId="7C0600CE">
            <wp:extent cx="6151880" cy="1312101"/>
            <wp:effectExtent l="0" t="0" r="1270" b="254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6151880" cy="1312101"/>
                    </a:xfrm>
                    <a:prstGeom prst="rect">
                      <a:avLst/>
                    </a:prstGeom>
                    <a:noFill/>
                    <a:ln>
                      <a:noFill/>
                    </a:ln>
                  </pic:spPr>
                </pic:pic>
              </a:graphicData>
            </a:graphic>
          </wp:inline>
        </w:drawing>
      </w:r>
    </w:p>
    <w:p w:rsidR="0055116C" w:rsidRPr="006C4CF0" w:rsidRDefault="0055116C" w:rsidP="0055116C">
      <w:pPr>
        <w:pStyle w:val="NormalWeb"/>
        <w:keepNext/>
        <w:keepLines/>
        <w:spacing w:before="0" w:beforeAutospacing="0" w:after="0" w:afterAutospacing="0"/>
        <w:jc w:val="both"/>
        <w:rPr>
          <w:sz w:val="16"/>
          <w:szCs w:val="16"/>
        </w:rPr>
      </w:pPr>
    </w:p>
    <w:p w:rsidR="0055116C" w:rsidRPr="006C4CF0" w:rsidRDefault="0055116C" w:rsidP="0055116C">
      <w:pPr>
        <w:autoSpaceDE w:val="0"/>
        <w:autoSpaceDN w:val="0"/>
        <w:jc w:val="center"/>
        <w:rPr>
          <w:sz w:val="16"/>
          <w:szCs w:val="16"/>
        </w:rPr>
      </w:pPr>
    </w:p>
    <w:p w:rsidR="0055116C" w:rsidRPr="008B3CE4" w:rsidRDefault="0055116C" w:rsidP="0055116C">
      <w:pPr>
        <w:autoSpaceDE w:val="0"/>
        <w:autoSpaceDN w:val="0"/>
        <w:jc w:val="both"/>
        <w:rPr>
          <w:szCs w:val="16"/>
        </w:rPr>
      </w:pPr>
    </w:p>
    <w:p w:rsidR="0055116C" w:rsidRPr="0055116C" w:rsidRDefault="0055116C" w:rsidP="0055116C">
      <w:pPr>
        <w:jc w:val="both"/>
        <w:rPr>
          <w:szCs w:val="16"/>
          <w:u w:val="single"/>
          <w:lang w:val="ru-RU"/>
        </w:rPr>
      </w:pPr>
      <w:r w:rsidRPr="008B3CE4">
        <w:rPr>
          <w:szCs w:val="16"/>
        </w:rPr>
        <w:t>A</w:t>
      </w:r>
      <w:r w:rsidRPr="0055116C">
        <w:rPr>
          <w:szCs w:val="16"/>
          <w:lang w:val="ru-RU"/>
        </w:rPr>
        <w:t>.</w:t>
      </w:r>
      <w:r w:rsidRPr="0055116C">
        <w:rPr>
          <w:szCs w:val="16"/>
          <w:lang w:val="ru-RU"/>
        </w:rPr>
        <w:tab/>
      </w:r>
      <w:r w:rsidRPr="0055116C">
        <w:rPr>
          <w:szCs w:val="16"/>
          <w:u w:val="single"/>
          <w:lang w:val="ru-RU"/>
        </w:rPr>
        <w:t xml:space="preserve">Итоговый бюджет на 2014–2015 гг. после перераспределения средств </w:t>
      </w:r>
    </w:p>
    <w:p w:rsidR="0055116C" w:rsidRPr="0055116C" w:rsidRDefault="0055116C" w:rsidP="0055116C">
      <w:pPr>
        <w:pStyle w:val="ListParagraph"/>
        <w:tabs>
          <w:tab w:val="left" w:pos="709"/>
        </w:tabs>
        <w:ind w:left="0"/>
        <w:jc w:val="both"/>
        <w:rPr>
          <w:rFonts w:cs="Arial"/>
          <w:szCs w:val="16"/>
          <w:lang w:val="ru-RU"/>
        </w:rPr>
      </w:pPr>
    </w:p>
    <w:p w:rsidR="0055116C" w:rsidRPr="0055116C" w:rsidRDefault="0055116C" w:rsidP="0055116C">
      <w:pPr>
        <w:pStyle w:val="ListParagraph"/>
        <w:numPr>
          <w:ilvl w:val="0"/>
          <w:numId w:val="63"/>
        </w:numPr>
        <w:tabs>
          <w:tab w:val="left" w:pos="709"/>
        </w:tabs>
        <w:ind w:left="0" w:firstLine="0"/>
        <w:jc w:val="both"/>
        <w:rPr>
          <w:rFonts w:cs="Arial"/>
          <w:szCs w:val="16"/>
          <w:lang w:val="ru-RU"/>
        </w:rPr>
      </w:pPr>
      <w:r w:rsidRPr="0055116C">
        <w:rPr>
          <w:szCs w:val="16"/>
          <w:lang w:val="ru-RU"/>
        </w:rPr>
        <w:t>Уменьшение итогового бюджета на 2014–2015 гг. после перераспределения средств было преимущественно обусловлено:  (</w:t>
      </w:r>
      <w:r>
        <w:rPr>
          <w:szCs w:val="16"/>
        </w:rPr>
        <w:t>i</w:t>
      </w:r>
      <w:r w:rsidRPr="0055116C">
        <w:rPr>
          <w:szCs w:val="16"/>
          <w:lang w:val="ru-RU"/>
        </w:rPr>
        <w:t>)</w:t>
      </w:r>
      <w:r>
        <w:rPr>
          <w:szCs w:val="16"/>
        </w:rPr>
        <w:t> </w:t>
      </w:r>
      <w:r w:rsidRPr="0055116C">
        <w:rPr>
          <w:szCs w:val="16"/>
          <w:lang w:val="ru-RU"/>
        </w:rPr>
        <w:t>переносом позиции «Информационный центр ВОИС» в программу</w:t>
      </w:r>
      <w:r>
        <w:rPr>
          <w:szCs w:val="16"/>
        </w:rPr>
        <w:t> </w:t>
      </w:r>
      <w:r w:rsidRPr="0055116C">
        <w:rPr>
          <w:szCs w:val="16"/>
          <w:lang w:val="ru-RU"/>
        </w:rPr>
        <w:t>21 (исполнительное руководство) во второй половине 2014</w:t>
      </w:r>
      <w:r>
        <w:rPr>
          <w:szCs w:val="16"/>
        </w:rPr>
        <w:t> </w:t>
      </w:r>
      <w:r w:rsidRPr="0055116C">
        <w:rPr>
          <w:szCs w:val="16"/>
          <w:lang w:val="ru-RU"/>
        </w:rPr>
        <w:t>г.; (</w:t>
      </w:r>
      <w:r>
        <w:rPr>
          <w:szCs w:val="16"/>
        </w:rPr>
        <w:t>ii</w:t>
      </w:r>
      <w:r w:rsidRPr="0055116C">
        <w:rPr>
          <w:szCs w:val="16"/>
          <w:lang w:val="ru-RU"/>
        </w:rPr>
        <w:t>)</w:t>
      </w:r>
      <w:r>
        <w:rPr>
          <w:szCs w:val="16"/>
        </w:rPr>
        <w:t> </w:t>
      </w:r>
      <w:r w:rsidRPr="0055116C">
        <w:rPr>
          <w:szCs w:val="16"/>
          <w:lang w:val="ru-RU"/>
        </w:rPr>
        <w:t xml:space="preserve">передачей ресурсов, </w:t>
      </w:r>
      <w:r w:rsidRPr="0055116C">
        <w:rPr>
          <w:lang w:val="ru-RU"/>
        </w:rPr>
        <w:t xml:space="preserve">связанных с персоналом, </w:t>
      </w:r>
      <w:r w:rsidRPr="0055116C">
        <w:rPr>
          <w:szCs w:val="16"/>
          <w:lang w:val="ru-RU"/>
        </w:rPr>
        <w:t>чтобы справиться с увеличившейся рабочей нагрузкой в рамках Гаагского реестра после присоединения новых стран к Женевскому акту (1999</w:t>
      </w:r>
      <w:r w:rsidRPr="008B3CE4">
        <w:rPr>
          <w:szCs w:val="16"/>
        </w:rPr>
        <w:t> </w:t>
      </w:r>
      <w:r w:rsidRPr="0055116C">
        <w:rPr>
          <w:szCs w:val="16"/>
          <w:lang w:val="ru-RU"/>
        </w:rPr>
        <w:t>г.) Гаагского соглашения и (</w:t>
      </w:r>
      <w:r>
        <w:rPr>
          <w:szCs w:val="16"/>
        </w:rPr>
        <w:t>iii</w:t>
      </w:r>
      <w:r w:rsidRPr="0055116C">
        <w:rPr>
          <w:szCs w:val="16"/>
          <w:lang w:val="ru-RU"/>
        </w:rPr>
        <w:t>)</w:t>
      </w:r>
      <w:r>
        <w:rPr>
          <w:szCs w:val="16"/>
        </w:rPr>
        <w:t> </w:t>
      </w:r>
      <w:r w:rsidRPr="0055116C">
        <w:rPr>
          <w:szCs w:val="16"/>
          <w:lang w:val="ru-RU"/>
        </w:rPr>
        <w:t>передачей не связанных с персоналом ресурсов по одному стажеру (в программу 23, в рамках которой в централизованном порядке ведется работа со стажерами) для оказания помощи в работе по выпуску Журнала ВОИС и в подготовке Международного дня интеллектуальной собственности 2015 г.</w:t>
      </w:r>
    </w:p>
    <w:p w:rsidR="0055116C" w:rsidRPr="0055116C" w:rsidRDefault="0055116C" w:rsidP="0055116C">
      <w:pPr>
        <w:jc w:val="both"/>
        <w:rPr>
          <w:szCs w:val="16"/>
          <w:u w:val="single"/>
          <w:lang w:val="ru-RU"/>
        </w:rPr>
      </w:pPr>
    </w:p>
    <w:p w:rsidR="0055116C" w:rsidRPr="0055116C" w:rsidRDefault="0055116C" w:rsidP="0055116C">
      <w:pPr>
        <w:jc w:val="both"/>
        <w:rPr>
          <w:szCs w:val="16"/>
          <w:u w:val="single"/>
          <w:lang w:val="ru-RU"/>
        </w:rPr>
      </w:pPr>
      <w:r w:rsidRPr="008B3CE4">
        <w:rPr>
          <w:szCs w:val="16"/>
        </w:rPr>
        <w:t>B</w:t>
      </w:r>
      <w:r w:rsidRPr="0055116C">
        <w:rPr>
          <w:szCs w:val="16"/>
          <w:lang w:val="ru-RU"/>
        </w:rPr>
        <w:t>.</w:t>
      </w:r>
      <w:r w:rsidRPr="0055116C">
        <w:rPr>
          <w:szCs w:val="16"/>
          <w:lang w:val="ru-RU"/>
        </w:rPr>
        <w:tab/>
      </w:r>
      <w:r w:rsidRPr="0055116C">
        <w:rPr>
          <w:szCs w:val="16"/>
          <w:u w:val="single"/>
          <w:lang w:val="ru-RU"/>
        </w:rPr>
        <w:t xml:space="preserve">Освоение бюджетных средств в 2014–2015 гг. </w:t>
      </w:r>
    </w:p>
    <w:p w:rsidR="0055116C" w:rsidRPr="0055116C" w:rsidRDefault="0055116C" w:rsidP="0055116C">
      <w:pPr>
        <w:pStyle w:val="ListParagraph"/>
        <w:tabs>
          <w:tab w:val="left" w:pos="709"/>
        </w:tabs>
        <w:ind w:left="0"/>
        <w:jc w:val="both"/>
        <w:rPr>
          <w:rFonts w:cs="Arial"/>
          <w:szCs w:val="16"/>
          <w:lang w:val="ru-RU"/>
        </w:rPr>
      </w:pPr>
    </w:p>
    <w:p w:rsidR="00F838C5" w:rsidRPr="0055116C" w:rsidRDefault="0055116C" w:rsidP="0055116C">
      <w:pPr>
        <w:pStyle w:val="ListParagraph"/>
        <w:numPr>
          <w:ilvl w:val="0"/>
          <w:numId w:val="63"/>
        </w:numPr>
        <w:tabs>
          <w:tab w:val="left" w:pos="709"/>
        </w:tabs>
        <w:ind w:left="0" w:firstLine="0"/>
        <w:jc w:val="both"/>
        <w:rPr>
          <w:lang w:val="ru-RU"/>
        </w:rPr>
      </w:pPr>
      <w:r w:rsidRPr="0055116C">
        <w:rPr>
          <w:szCs w:val="16"/>
          <w:lang w:val="ru-RU"/>
        </w:rPr>
        <w:t xml:space="preserve">Расходы на персонал были немного ниже, чем предусматривалось в бюджете, что было обусловлено уходом на пенсию сотрудников и последующим промедлением в замещении свободных должностей.  Расходы, не связанные с персоналом, были ниже, чем предусматривалось в бюджете, что было в основном обусловлено тем, что проведение опроса клиентов Гаагской системы было отложено, а осуществление двух ИТ-проектов (база данных контактов </w:t>
      </w:r>
      <w:r w:rsidRPr="008B3CE4">
        <w:rPr>
          <w:szCs w:val="16"/>
        </w:rPr>
        <w:t>PROdest</w:t>
      </w:r>
      <w:r w:rsidRPr="0055116C">
        <w:rPr>
          <w:szCs w:val="16"/>
          <w:lang w:val="ru-RU"/>
        </w:rPr>
        <w:t xml:space="preserve"> и система распределения звонков </w:t>
      </w:r>
      <w:r w:rsidRPr="008B3CE4">
        <w:rPr>
          <w:szCs w:val="16"/>
        </w:rPr>
        <w:t>ACD</w:t>
      </w:r>
      <w:r w:rsidRPr="0055116C">
        <w:rPr>
          <w:szCs w:val="16"/>
          <w:lang w:val="ru-RU"/>
        </w:rPr>
        <w:t>) было частично отложено на следующий двухлетний период.</w:t>
      </w:r>
    </w:p>
    <w:p w:rsidR="008F2BDD" w:rsidRPr="0055116C" w:rsidRDefault="008F2BDD">
      <w:pPr>
        <w:rPr>
          <w:rFonts w:cs="Arial"/>
          <w:color w:val="000000"/>
          <w:sz w:val="22"/>
          <w:szCs w:val="22"/>
          <w:lang w:val="ru-RU"/>
        </w:rPr>
      </w:pPr>
    </w:p>
    <w:p w:rsidR="008F2BDD" w:rsidRPr="0055116C" w:rsidRDefault="008F2BDD">
      <w:pPr>
        <w:rPr>
          <w:rFonts w:cs="Arial"/>
          <w:color w:val="000000"/>
          <w:sz w:val="22"/>
          <w:szCs w:val="22"/>
          <w:lang w:val="ru-RU"/>
        </w:rPr>
      </w:pPr>
    </w:p>
    <w:p w:rsidR="005C6F8E" w:rsidRPr="0055116C" w:rsidRDefault="005C6F8E">
      <w:pPr>
        <w:rPr>
          <w:lang w:val="ru-RU"/>
        </w:rPr>
      </w:pPr>
    </w:p>
    <w:p w:rsidR="00D97F1C" w:rsidRPr="0055116C" w:rsidRDefault="00D97F1C">
      <w:pPr>
        <w:rPr>
          <w:lang w:val="ru-RU"/>
        </w:rPr>
      </w:pPr>
      <w:r w:rsidRPr="0055116C">
        <w:rPr>
          <w:lang w:val="ru-RU"/>
        </w:rPr>
        <w:br w:type="page"/>
      </w:r>
    </w:p>
    <w:p w:rsidR="00FA0032" w:rsidRPr="00FA0032" w:rsidRDefault="00FA0032" w:rsidP="00FA0032">
      <w:pPr>
        <w:pStyle w:val="NoSpacing"/>
        <w:tabs>
          <w:tab w:val="left" w:pos="1985"/>
        </w:tabs>
        <w:rPr>
          <w:b/>
          <w:lang w:val="ru-RU"/>
        </w:rPr>
      </w:pPr>
      <w:bookmarkStart w:id="117" w:name="_Toc422210508"/>
      <w:r w:rsidRPr="00FA0032">
        <w:rPr>
          <w:b/>
          <w:lang w:val="ru-RU"/>
        </w:rPr>
        <w:t>ПРОГРАММА 20</w:t>
      </w:r>
      <w:r w:rsidRPr="00FA0032">
        <w:rPr>
          <w:b/>
          <w:lang w:val="ru-RU"/>
        </w:rPr>
        <w:tab/>
        <w:t>ВНЕШНИЕ СВЯЗИ, ПАРТНЕРСТВО И ВНЕШНИЕ БЮРО</w:t>
      </w:r>
      <w:bookmarkEnd w:id="117"/>
    </w:p>
    <w:p w:rsidR="00FA0032" w:rsidRPr="00FA0032" w:rsidRDefault="00FA0032" w:rsidP="00FA0032">
      <w:pPr>
        <w:ind w:left="1985" w:hanging="1985"/>
        <w:rPr>
          <w:szCs w:val="20"/>
          <w:lang w:val="ru-RU"/>
        </w:rPr>
      </w:pPr>
    </w:p>
    <w:p w:rsidR="00FA0032" w:rsidRPr="00FA0032" w:rsidRDefault="00FA0032" w:rsidP="00FA0032">
      <w:pPr>
        <w:ind w:left="1985" w:hanging="1985"/>
        <w:rPr>
          <w:b/>
          <w:lang w:val="ru-RU"/>
        </w:rPr>
      </w:pPr>
      <w:r w:rsidRPr="00FA0032">
        <w:rPr>
          <w:b/>
          <w:lang w:val="ru-RU"/>
        </w:rPr>
        <w:t xml:space="preserve">Руководитель программы: </w:t>
      </w:r>
      <w:r w:rsidRPr="00FA0032">
        <w:rPr>
          <w:lang w:val="ru-RU"/>
        </w:rPr>
        <w:tab/>
      </w:r>
      <w:r w:rsidRPr="00FA0032">
        <w:rPr>
          <w:b/>
          <w:lang w:val="ru-RU"/>
        </w:rPr>
        <w:t>Генеральный директор</w:t>
      </w:r>
    </w:p>
    <w:p w:rsidR="00FA0032" w:rsidRPr="00FA0032" w:rsidRDefault="00FA0032" w:rsidP="00FA0032">
      <w:pPr>
        <w:ind w:left="1985"/>
        <w:rPr>
          <w:b/>
          <w:lang w:val="ru-RU"/>
        </w:rPr>
      </w:pPr>
      <w:r w:rsidRPr="00FA0032">
        <w:rPr>
          <w:b/>
          <w:lang w:val="ru-RU"/>
        </w:rPr>
        <w:tab/>
      </w:r>
      <w:r w:rsidRPr="00FA0032">
        <w:rPr>
          <w:b/>
          <w:lang w:val="ru-RU"/>
        </w:rPr>
        <w:tab/>
        <w:t>г-н М. А. Гетахун</w:t>
      </w:r>
    </w:p>
    <w:p w:rsidR="00FA0032" w:rsidRPr="00FA0032" w:rsidRDefault="00FA0032" w:rsidP="00FA0032">
      <w:pPr>
        <w:ind w:left="1985"/>
        <w:rPr>
          <w:b/>
          <w:lang w:val="ru-RU"/>
        </w:rPr>
      </w:pPr>
      <w:r w:rsidRPr="00FA0032">
        <w:rPr>
          <w:b/>
          <w:lang w:val="ru-RU"/>
        </w:rPr>
        <w:tab/>
      </w:r>
      <w:r w:rsidRPr="00FA0032">
        <w:rPr>
          <w:b/>
          <w:lang w:val="ru-RU"/>
        </w:rPr>
        <w:tab/>
        <w:t>г-н Ё. Такаги</w:t>
      </w:r>
    </w:p>
    <w:p w:rsidR="00FA0032" w:rsidRPr="00FA0032" w:rsidRDefault="00FA0032" w:rsidP="00FA0032">
      <w:pPr>
        <w:ind w:left="1985"/>
        <w:rPr>
          <w:b/>
          <w:lang w:val="ru-RU"/>
        </w:rPr>
      </w:pPr>
      <w:r w:rsidRPr="00FA0032">
        <w:rPr>
          <w:b/>
          <w:lang w:val="ru-RU"/>
        </w:rPr>
        <w:tab/>
      </w:r>
      <w:r w:rsidRPr="00FA0032">
        <w:rPr>
          <w:b/>
          <w:lang w:val="ru-RU"/>
        </w:rPr>
        <w:tab/>
        <w:t>г-жа Б. Ван</w:t>
      </w:r>
    </w:p>
    <w:p w:rsidR="00FA0032" w:rsidRPr="00FA0032" w:rsidRDefault="00FA0032" w:rsidP="00FA0032">
      <w:pPr>
        <w:rPr>
          <w:lang w:val="ru-RU"/>
        </w:rPr>
      </w:pPr>
    </w:p>
    <w:p w:rsidR="00FA0032" w:rsidRPr="00FA0032" w:rsidRDefault="00FA0032" w:rsidP="00FA0032">
      <w:pPr>
        <w:jc w:val="both"/>
        <w:rPr>
          <w:bCs/>
          <w:lang w:val="ru-RU"/>
        </w:rPr>
      </w:pPr>
      <w:r w:rsidRPr="00FA0032">
        <w:rPr>
          <w:lang w:val="ru-RU"/>
        </w:rPr>
        <w:t>ОБЗОР ДОСТИЖЕНИЙ ЗА ДВУХЛЕТНИЙ ПЕРИОД 2014–2015 ГГ.</w:t>
      </w:r>
    </w:p>
    <w:p w:rsidR="00FA0032" w:rsidRPr="00FA0032" w:rsidRDefault="00FA0032" w:rsidP="00FA0032">
      <w:pPr>
        <w:jc w:val="both"/>
        <w:rPr>
          <w:bCs/>
          <w:lang w:val="ru-RU"/>
        </w:rPr>
      </w:pPr>
    </w:p>
    <w:p w:rsidR="00FA0032" w:rsidRPr="00FA0032" w:rsidRDefault="00FA0032" w:rsidP="00FA0032">
      <w:pPr>
        <w:jc w:val="both"/>
        <w:rPr>
          <w:szCs w:val="20"/>
          <w:lang w:val="ru-RU"/>
        </w:rPr>
      </w:pPr>
    </w:p>
    <w:p w:rsidR="00FA0032" w:rsidRPr="00FA0032" w:rsidRDefault="00FA0032" w:rsidP="00FA0032">
      <w:pPr>
        <w:spacing w:after="200" w:line="276" w:lineRule="auto"/>
        <w:jc w:val="both"/>
        <w:rPr>
          <w:rFonts w:cs="Arial"/>
          <w:color w:val="000000"/>
          <w:szCs w:val="20"/>
          <w:lang w:val="ru-RU"/>
        </w:rPr>
      </w:pPr>
      <w:r w:rsidRPr="00FA0032">
        <w:rPr>
          <w:color w:val="000000"/>
          <w:lang w:val="ru-RU"/>
        </w:rPr>
        <w:t>ВНЕШНИЕ СВЯЗИ И ПАРТНЕРСТВО (г-н М.</w:t>
      </w:r>
      <w:r>
        <w:rPr>
          <w:color w:val="000000"/>
        </w:rPr>
        <w:t> </w:t>
      </w:r>
      <w:r w:rsidRPr="00FA0032">
        <w:rPr>
          <w:color w:val="000000"/>
          <w:lang w:val="ru-RU"/>
        </w:rPr>
        <w:t>А. Гетахун)</w:t>
      </w:r>
    </w:p>
    <w:p w:rsidR="00FA0032" w:rsidRPr="00FA0032" w:rsidRDefault="00FA0032" w:rsidP="00BF61DC">
      <w:pPr>
        <w:pStyle w:val="ListParagraph"/>
        <w:numPr>
          <w:ilvl w:val="0"/>
          <w:numId w:val="127"/>
        </w:numPr>
        <w:ind w:left="0" w:firstLine="0"/>
        <w:jc w:val="both"/>
        <w:rPr>
          <w:lang w:val="ru-RU"/>
        </w:rPr>
      </w:pPr>
      <w:r w:rsidRPr="00FA0032">
        <w:rPr>
          <w:lang w:val="ru-RU"/>
        </w:rPr>
        <w:t>В двухлетний период 2014–2015</w:t>
      </w:r>
      <w:r>
        <w:t> </w:t>
      </w:r>
      <w:r w:rsidRPr="00FA0032">
        <w:rPr>
          <w:lang w:val="ru-RU"/>
        </w:rPr>
        <w:t>гг. ООН и ее государства-члены завершили ряд крупных переговорных процессов, имеющих отношение к работе ВОИС.</w:t>
      </w:r>
      <w:r w:rsidRPr="00FA0032">
        <w:rPr>
          <w:color w:val="000000"/>
          <w:lang w:val="ru-RU"/>
        </w:rPr>
        <w:t xml:space="preserve">  </w:t>
      </w:r>
      <w:r w:rsidRPr="00FA0032">
        <w:rPr>
          <w:lang w:val="ru-RU"/>
        </w:rPr>
        <w:t>Среди них – принятие Аддис-Абебской программы действий (ААПД) на Третьей международной конференции по финансированию развития (</w:t>
      </w:r>
      <w:r>
        <w:t>FFD</w:t>
      </w:r>
      <w:r w:rsidRPr="00FA0032">
        <w:rPr>
          <w:lang w:val="ru-RU"/>
        </w:rPr>
        <w:t>3), принятие резолюции «Преобразование нашего мира: Повестка дня в области устойчивого развития на период до 2030 г.» и принятие Парижского соглашения в рамках Рамочной конвенции ООН об изменении климата (РКИКООН).  Как специализированное учреждение ООН и действуя в соответствии со своим мандатом, а также рекомендациями</w:t>
      </w:r>
      <w:r>
        <w:t> </w:t>
      </w:r>
      <w:r w:rsidRPr="00FA0032">
        <w:rPr>
          <w:lang w:val="ru-RU"/>
        </w:rPr>
        <w:t>30 и</w:t>
      </w:r>
      <w:r>
        <w:t> </w:t>
      </w:r>
      <w:r w:rsidRPr="00FA0032">
        <w:rPr>
          <w:lang w:val="ru-RU"/>
        </w:rPr>
        <w:t>40 своей Повестки дня в области развития, ВОИС продолжала содействовать этим процессам через стратегическое участие и предоставление сбалансированной и достоверной информации, а также своевременных ответов на конкретные запросы о предоставлении материалов и осуществлении сотрудничества.</w:t>
      </w:r>
      <w:r w:rsidRPr="00FA0032">
        <w:rPr>
          <w:color w:val="000000"/>
          <w:lang w:val="ru-RU"/>
        </w:rPr>
        <w:t xml:space="preserve">  В 2014–2015</w:t>
      </w:r>
      <w:r>
        <w:rPr>
          <w:color w:val="000000"/>
        </w:rPr>
        <w:t> </w:t>
      </w:r>
      <w:r w:rsidRPr="00FA0032">
        <w:rPr>
          <w:color w:val="000000"/>
          <w:lang w:val="ru-RU"/>
        </w:rPr>
        <w:t>гг. в рамках программы 20, в том числе через Координационное бюро ВОИС при ООН в Нью-Йорке, осуществлялось участие в том числе в следующих процессах:</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30"/>
        </w:numPr>
        <w:ind w:left="720"/>
        <w:jc w:val="both"/>
        <w:rPr>
          <w:rFonts w:cs="Arial"/>
          <w:lang w:val="ru-RU"/>
        </w:rPr>
      </w:pPr>
      <w:r w:rsidRPr="00FA0032">
        <w:rPr>
          <w:lang w:val="ru-RU"/>
        </w:rPr>
        <w:t>Внесение вклада в реализацию итоговых документов Всемирной встречи на высшем уровне по вопросам информационного общества (</w:t>
      </w:r>
      <w:r>
        <w:t>WSIS</w:t>
      </w:r>
      <w:r w:rsidRPr="00FA0032">
        <w:rPr>
          <w:lang w:val="ru-RU"/>
        </w:rPr>
        <w:t xml:space="preserve">) и оценку хода реализации рекомендаций итоговых документов </w:t>
      </w:r>
      <w:r>
        <w:t>WSIS</w:t>
      </w:r>
      <w:r w:rsidRPr="00FA0032">
        <w:rPr>
          <w:lang w:val="ru-RU"/>
        </w:rPr>
        <w:t xml:space="preserve"> за десятилетие в соответствии с резолюцией №</w:t>
      </w:r>
      <w:r>
        <w:t> </w:t>
      </w:r>
      <w:r w:rsidRPr="00FA0032">
        <w:rPr>
          <w:lang w:val="ru-RU"/>
        </w:rPr>
        <w:t>2013/9 Экономического и Социального Совета ООН (ЭКОСОС) и в целях реализации рекомендации</w:t>
      </w:r>
      <w:r>
        <w:t> </w:t>
      </w:r>
      <w:r w:rsidRPr="00FA0032">
        <w:rPr>
          <w:lang w:val="ru-RU"/>
        </w:rPr>
        <w:t xml:space="preserve">24 ПДР. ВОИС также принимала активное участие в совещаниях высокого уровня </w:t>
      </w:r>
      <w:r>
        <w:t>WSIS</w:t>
      </w:r>
      <w:r w:rsidRPr="00FA0032">
        <w:rPr>
          <w:lang w:val="ru-RU"/>
        </w:rPr>
        <w:t>+10 как в 2014</w:t>
      </w:r>
      <w:r>
        <w:t> </w:t>
      </w:r>
      <w:r w:rsidRPr="00FA0032">
        <w:rPr>
          <w:lang w:val="ru-RU"/>
        </w:rPr>
        <w:t>г., так и в 2015</w:t>
      </w:r>
      <w:r>
        <w:t> </w:t>
      </w:r>
      <w:r w:rsidRPr="00FA0032">
        <w:rPr>
          <w:lang w:val="ru-RU"/>
        </w:rPr>
        <w:t>г., а Генеральный директор выступил на церемониях их открытия.  В 2014</w:t>
      </w:r>
      <w:r>
        <w:t> </w:t>
      </w:r>
      <w:r w:rsidRPr="00FA0032">
        <w:rPr>
          <w:lang w:val="ru-RU"/>
        </w:rPr>
        <w:t>г. ВОИС также активно участвовала в работе Форума по вопросам управления интернетом (</w:t>
      </w:r>
      <w:r>
        <w:t>IGF</w:t>
      </w:r>
      <w:r w:rsidRPr="00FA0032">
        <w:rPr>
          <w:lang w:val="ru-RU"/>
        </w:rPr>
        <w:t>), выступив в качестве соорганизатора двух практикумов: «Бизнес творческой деятельности» и «Создание произведений цифровой культуры, их охрана и обеспечение доступа к ним».  В 2015</w:t>
      </w:r>
      <w:r>
        <w:t> </w:t>
      </w:r>
      <w:r w:rsidRPr="00FA0032">
        <w:rPr>
          <w:lang w:val="ru-RU"/>
        </w:rPr>
        <w:t>г. был также организован Открытый форум ВОИС, который занимался взаимодействием с организаций «</w:t>
      </w:r>
      <w:r>
        <w:t>Creative</w:t>
      </w:r>
      <w:r w:rsidRPr="00FA0032">
        <w:rPr>
          <w:lang w:val="ru-RU"/>
        </w:rPr>
        <w:t xml:space="preserve"> </w:t>
      </w:r>
      <w:r>
        <w:t>Commons</w:t>
      </w:r>
      <w:r w:rsidRPr="00FA0032">
        <w:rPr>
          <w:lang w:val="ru-RU"/>
        </w:rPr>
        <w:t>» (</w:t>
      </w:r>
      <w:r>
        <w:t>CC</w:t>
      </w:r>
      <w:r w:rsidRPr="00FA0032">
        <w:rPr>
          <w:lang w:val="ru-RU"/>
        </w:rPr>
        <w:t>) и другими межправительственными организациями (МПО) в целях продвижения политики открытого доступа и рассмотрения деятельности ВОИС по разработке ПО, в том числе ПО с открытым кодом и ПО в сфере видеоигр.</w:t>
      </w:r>
    </w:p>
    <w:p w:rsidR="00FA0032" w:rsidRPr="00FA0032" w:rsidRDefault="00FA0032" w:rsidP="00FA0032">
      <w:pPr>
        <w:jc w:val="both"/>
        <w:rPr>
          <w:rFonts w:cs="Arial"/>
          <w:i/>
          <w:lang w:val="ru-RU"/>
        </w:rPr>
      </w:pPr>
    </w:p>
    <w:p w:rsidR="00FA0032" w:rsidRPr="00FA0032" w:rsidRDefault="00FA0032" w:rsidP="00BF61DC">
      <w:pPr>
        <w:pStyle w:val="ListParagraph"/>
        <w:numPr>
          <w:ilvl w:val="0"/>
          <w:numId w:val="130"/>
        </w:numPr>
        <w:ind w:left="720"/>
        <w:jc w:val="both"/>
        <w:rPr>
          <w:rFonts w:cs="Arial"/>
          <w:i/>
          <w:lang w:val="ru-RU"/>
        </w:rPr>
      </w:pPr>
      <w:r w:rsidRPr="00FA0032">
        <w:rPr>
          <w:lang w:val="ru-RU"/>
        </w:rPr>
        <w:t>Участие в подготовке отчетов Целевой группы по оценке прогресса в достижении ЦРТ, в рамках которого в соответствии с рекомендацией 22 ПДР ВОИС работала совместно с ВТО и ВОЗ над разделами отчетов, связанных с обеспечением доступа к основным и доступным по цене лекарственным препаратам.</w:t>
      </w:r>
    </w:p>
    <w:p w:rsidR="00FA0032" w:rsidRPr="00FA0032" w:rsidRDefault="00FA0032" w:rsidP="00FA0032">
      <w:pPr>
        <w:pStyle w:val="ListParagraph"/>
        <w:ind w:left="1080"/>
        <w:rPr>
          <w:rFonts w:cs="Arial"/>
          <w:i/>
          <w:lang w:val="ru-RU"/>
        </w:rPr>
      </w:pPr>
    </w:p>
    <w:p w:rsidR="00FA0032" w:rsidRPr="00FA0032" w:rsidRDefault="00FA0032" w:rsidP="00BF61DC">
      <w:pPr>
        <w:pStyle w:val="ListParagraph"/>
        <w:numPr>
          <w:ilvl w:val="0"/>
          <w:numId w:val="130"/>
        </w:numPr>
        <w:ind w:left="720"/>
        <w:jc w:val="both"/>
        <w:rPr>
          <w:rFonts w:cs="Arial"/>
          <w:i/>
          <w:lang w:val="ru-RU"/>
        </w:rPr>
      </w:pPr>
      <w:r w:rsidRPr="00FA0032">
        <w:rPr>
          <w:lang w:val="ru-RU"/>
        </w:rPr>
        <w:t>ВОИС организовала в рамках Платформы действий по малым островным развивающимся государствам (</w:t>
      </w:r>
      <w:r>
        <w:t>SIDS</w:t>
      </w:r>
      <w:r w:rsidRPr="00FA0032">
        <w:rPr>
          <w:lang w:val="ru-RU"/>
        </w:rPr>
        <w:t>) девять партнерских проектов и участвовала в работе Межведомственной консультативной группы, занимающейся реализацией Программы действий по ускоренному развитию малых островных развивающихся государств («Путь Самоа»).  В рамках третьей Международной конференции по малым островным развивающимся государствам (</w:t>
      </w:r>
      <w:r>
        <w:t>SIDS</w:t>
      </w:r>
      <w:r w:rsidRPr="00FA0032">
        <w:rPr>
          <w:lang w:val="ru-RU"/>
        </w:rPr>
        <w:t>), которая состоялась в сентябре 2014</w:t>
      </w:r>
      <w:r>
        <w:t> </w:t>
      </w:r>
      <w:r w:rsidRPr="00FA0032">
        <w:rPr>
          <w:lang w:val="ru-RU"/>
        </w:rPr>
        <w:t>г., ВОИС организовала сопутствующее мероприятие, посвященное использованию системы ИС в целях устойчивого культурного и экономического развития таких государств.</w:t>
      </w:r>
    </w:p>
    <w:p w:rsidR="00FA0032" w:rsidRPr="00FA0032" w:rsidRDefault="00FA0032" w:rsidP="00FA0032">
      <w:pPr>
        <w:pStyle w:val="ListParagraph"/>
        <w:ind w:left="1080"/>
        <w:rPr>
          <w:rFonts w:cs="Arial"/>
          <w:lang w:val="ru-RU"/>
        </w:rPr>
      </w:pPr>
    </w:p>
    <w:p w:rsidR="00FA0032" w:rsidRPr="00FA0032" w:rsidRDefault="00FA0032" w:rsidP="00BF61DC">
      <w:pPr>
        <w:pStyle w:val="ListParagraph"/>
        <w:numPr>
          <w:ilvl w:val="0"/>
          <w:numId w:val="130"/>
        </w:numPr>
        <w:ind w:left="720"/>
        <w:jc w:val="both"/>
        <w:rPr>
          <w:rFonts w:cs="Arial"/>
          <w:i/>
          <w:lang w:val="ru-RU"/>
        </w:rPr>
      </w:pPr>
      <w:r w:rsidRPr="00FA0032">
        <w:rPr>
          <w:lang w:val="ru-RU"/>
        </w:rPr>
        <w:t>Участие в работе Межучрежденческой целевой группы по науке, технике и инновациям в интересах достижения ЦУР (</w:t>
      </w:r>
      <w:r>
        <w:t>IATT</w:t>
      </w:r>
      <w:r w:rsidRPr="00FA0032">
        <w:rPr>
          <w:lang w:val="ru-RU"/>
        </w:rPr>
        <w:t>), которая входит в Механизм содействия развитию технологий (МСРТ), а также в работе Межучрежденческой группы экспертов по ЦУР.  В</w:t>
      </w:r>
      <w:r>
        <w:t> </w:t>
      </w:r>
      <w:r w:rsidRPr="00FA0032">
        <w:rPr>
          <w:lang w:val="ru-RU"/>
        </w:rPr>
        <w:t xml:space="preserve">частности, ВОИС участвовала в работе </w:t>
      </w:r>
      <w:r>
        <w:t>IATT</w:t>
      </w:r>
      <w:r w:rsidRPr="00FA0032">
        <w:rPr>
          <w:lang w:val="ru-RU"/>
        </w:rPr>
        <w:t>, связанной с организацией Многостороннего форума по науке, технологиям и инновациям в интересах ЦУР, а также в работе над программой онлайновой Платформы для содействия развитию технологий в рамках МСРТ.  ВОИС совместно с ЮНКТАД и ЮНИДО выступила в качестве соорганизатора мероприятия по достижению синергетического эффекта между индустриализацией, инновациями и торговлей в целях стимулирования устойчивого развития, которое состоялось в штаб-квартире ООН в Нью-Йорке в мае 2015</w:t>
      </w:r>
      <w:r>
        <w:t> </w:t>
      </w:r>
      <w:r w:rsidRPr="00FA0032">
        <w:rPr>
          <w:lang w:val="ru-RU"/>
        </w:rPr>
        <w:t>г.  Кроме того, ВОИС совместно с Департаментом ООН по экономическим и социальным вопросам организовала сопутствующее мероприятие «Трансформирующая роль технологий и инноваций в развитии», которое состоялось в штаб-квартире ООН в Нью-Йорке в октябре 2015</w:t>
      </w:r>
      <w:r>
        <w:t> </w:t>
      </w:r>
      <w:r w:rsidRPr="00FA0032">
        <w:rPr>
          <w:lang w:val="ru-RU"/>
        </w:rPr>
        <w:t>г.</w:t>
      </w:r>
    </w:p>
    <w:p w:rsidR="00FA0032" w:rsidRPr="00FA0032" w:rsidRDefault="00FA0032" w:rsidP="00FA0032">
      <w:pPr>
        <w:pStyle w:val="ListParagraph"/>
        <w:rPr>
          <w:rFonts w:cs="Arial"/>
          <w:i/>
          <w:lang w:val="ru-RU"/>
        </w:rPr>
      </w:pPr>
    </w:p>
    <w:p w:rsidR="00FA0032" w:rsidRPr="00FA0032" w:rsidRDefault="00FA0032" w:rsidP="00BF61DC">
      <w:pPr>
        <w:pStyle w:val="ListParagraph"/>
        <w:numPr>
          <w:ilvl w:val="0"/>
          <w:numId w:val="130"/>
        </w:numPr>
        <w:ind w:left="720"/>
        <w:jc w:val="both"/>
        <w:rPr>
          <w:rFonts w:cs="Arial"/>
          <w:lang w:val="ru-RU"/>
        </w:rPr>
      </w:pPr>
      <w:r w:rsidRPr="00FA0032">
        <w:rPr>
          <w:lang w:val="ru-RU"/>
        </w:rPr>
        <w:t>Участие в работе, связанной с технологиями, по линии Рамочной конвенции ООН об изменении климата (РКИКООН), в частности, Механизма разработки технологий РКИКООН, Исполнительного Комитета по технологиям (</w:t>
      </w:r>
      <w:r>
        <w:t>TEC</w:t>
      </w:r>
      <w:r w:rsidRPr="00FA0032">
        <w:rPr>
          <w:lang w:val="ru-RU"/>
        </w:rPr>
        <w:t xml:space="preserve">), а также Центра и сети климатических технологий (ЦСКТ). В этом контексте в рамках программы была оказана поддержка проведению практикума </w:t>
      </w:r>
      <w:r>
        <w:t>TEC</w:t>
      </w:r>
      <w:r w:rsidRPr="00FA0032">
        <w:rPr>
          <w:lang w:val="ru-RU"/>
        </w:rPr>
        <w:t xml:space="preserve"> по национальным системам инноваций, на сессиях РКИКООН в июне 2014</w:t>
      </w:r>
      <w:r>
        <w:t> </w:t>
      </w:r>
      <w:r w:rsidRPr="00FA0032">
        <w:rPr>
          <w:lang w:val="ru-RU"/>
        </w:rPr>
        <w:t>г. был представлен Глобальный индекс инноваций. Кроме того, в 2014</w:t>
      </w:r>
      <w:r>
        <w:t> </w:t>
      </w:r>
      <w:r w:rsidRPr="00FA0032">
        <w:rPr>
          <w:lang w:val="ru-RU"/>
        </w:rPr>
        <w:t>г. в рамках программы осуществлялось содействие организации сопутствующего мероприятия совместно с Международным агентством по возобновляемым источникам энергии (</w:t>
      </w:r>
      <w:r>
        <w:t>IRENA</w:t>
      </w:r>
      <w:r w:rsidRPr="00FA0032">
        <w:rPr>
          <w:lang w:val="ru-RU"/>
        </w:rPr>
        <w:t>). В июне 2015</w:t>
      </w:r>
      <w:r>
        <w:t> </w:t>
      </w:r>
      <w:r w:rsidRPr="00FA0032">
        <w:rPr>
          <w:lang w:val="ru-RU"/>
        </w:rPr>
        <w:t>г. под эгидой программы было организовано параллельное мероприятие «Политика и доказательства для содействия передаче технологии и инноваций в области изменения климата», прошедшее на полях сессий РКИКООН и посвященное представлению доклада ВОИС по глобальным проблемам «Инновации и распространение "зеленых" технологий: роль интеллектуальной собственности и других стимулирующих факторов»; в декабре того же года во время КС-21 была организована выставка инновационных "чистых" технологий.</w:t>
      </w:r>
    </w:p>
    <w:p w:rsidR="00FA0032" w:rsidRPr="00FA0032" w:rsidRDefault="00FA0032" w:rsidP="00FA0032">
      <w:pPr>
        <w:jc w:val="both"/>
        <w:rPr>
          <w:rFonts w:cs="Arial"/>
          <w:lang w:val="ru-RU"/>
        </w:rPr>
      </w:pPr>
    </w:p>
    <w:p w:rsidR="00FA0032" w:rsidRPr="00FA0032" w:rsidRDefault="00FA0032" w:rsidP="00BF61DC">
      <w:pPr>
        <w:pStyle w:val="ListParagraph"/>
        <w:numPr>
          <w:ilvl w:val="0"/>
          <w:numId w:val="130"/>
        </w:numPr>
        <w:ind w:left="720"/>
        <w:jc w:val="both"/>
        <w:rPr>
          <w:rFonts w:cs="Arial"/>
          <w:lang w:val="ru-RU"/>
        </w:rPr>
      </w:pPr>
      <w:r w:rsidRPr="00FA0032">
        <w:rPr>
          <w:lang w:val="ru-RU"/>
        </w:rPr>
        <w:t>В контексте Конвенции ООН о правах инвалидов и кампании ООН «2015</w:t>
      </w:r>
      <w:r>
        <w:t> </w:t>
      </w:r>
      <w:r w:rsidRPr="00FA0032">
        <w:rPr>
          <w:lang w:val="ru-RU"/>
        </w:rPr>
        <w:t>год – время для глобальных действий в интересах людей и планеты» ВОИС в сотрудничестве с Департаментом ООН по экономическим и социальным вопросам организовала экспертное мероприятие «Инновационные технологии: как сделать мир книг доступным для лиц с ограниченными способностями воспринимать печатную информацию», которое состоялось в штаб-квартире ООН в Нью-Йорке в марте 2015</w:t>
      </w:r>
      <w:r>
        <w:t> </w:t>
      </w:r>
      <w:r w:rsidRPr="00FA0032">
        <w:rPr>
          <w:lang w:val="ru-RU"/>
        </w:rPr>
        <w:t>г.</w:t>
      </w:r>
    </w:p>
    <w:p w:rsidR="00FA0032" w:rsidRPr="00FA0032" w:rsidRDefault="00FA0032" w:rsidP="00FA0032">
      <w:pPr>
        <w:pStyle w:val="ListParagraph"/>
        <w:ind w:left="1080"/>
        <w:rPr>
          <w:rFonts w:cs="Arial"/>
          <w:lang w:val="ru-RU"/>
        </w:rPr>
      </w:pPr>
    </w:p>
    <w:p w:rsidR="00FA0032" w:rsidRPr="00FA0032" w:rsidRDefault="00FA0032" w:rsidP="00BF61DC">
      <w:pPr>
        <w:pStyle w:val="ListParagraph"/>
        <w:numPr>
          <w:ilvl w:val="0"/>
          <w:numId w:val="130"/>
        </w:numPr>
        <w:ind w:left="720"/>
        <w:jc w:val="both"/>
        <w:rPr>
          <w:rFonts w:cs="Arial"/>
          <w:i/>
          <w:lang w:val="ru-RU"/>
        </w:rPr>
      </w:pPr>
      <w:r w:rsidRPr="00FA0032">
        <w:rPr>
          <w:lang w:val="ru-RU"/>
        </w:rPr>
        <w:t>Участие в подготовке следующих докладов Генерального секретаря ООН: (</w:t>
      </w:r>
      <w:r>
        <w:t>i</w:t>
      </w:r>
      <w:r w:rsidRPr="00FA0032">
        <w:rPr>
          <w:lang w:val="ru-RU"/>
        </w:rPr>
        <w:t>)</w:t>
      </w:r>
      <w:r>
        <w:t> </w:t>
      </w:r>
      <w:r w:rsidRPr="00FA0032">
        <w:rPr>
          <w:lang w:val="ru-RU"/>
        </w:rPr>
        <w:t>«Поддержка системой ООН Нового партнерства в интересах развития Африки» (НЕПАД); и (</w:t>
      </w:r>
      <w:r>
        <w:t>ii</w:t>
      </w:r>
      <w:r w:rsidRPr="00FA0032">
        <w:rPr>
          <w:lang w:val="ru-RU"/>
        </w:rPr>
        <w:t>)</w:t>
      </w:r>
      <w:r>
        <w:t> </w:t>
      </w:r>
      <w:r w:rsidRPr="00FA0032">
        <w:rPr>
          <w:lang w:val="ru-RU"/>
        </w:rPr>
        <w:t>доклад по правам инвалидов во исполнение резолюции 24/3 Совета по правам человека, а также участие в подготовке электронной информационной рассылки ООН «</w:t>
      </w:r>
      <w:r>
        <w:t>Enable</w:t>
      </w:r>
      <w:r w:rsidRPr="00FA0032">
        <w:rPr>
          <w:lang w:val="ru-RU"/>
        </w:rPr>
        <w:t xml:space="preserve">» и в пересмотре рекомендации ЮНЕСКО о статусе научно-исследовательских работников (1974).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color w:val="000000"/>
          <w:lang w:val="ru-RU"/>
        </w:rPr>
      </w:pPr>
      <w:r w:rsidRPr="00FA0032">
        <w:rPr>
          <w:color w:val="000000"/>
          <w:lang w:val="ru-RU"/>
        </w:rPr>
        <w:t>В рассматриваемый двухлетний период ВОИС также продолжала вести работу по укреплению партнерских связей со своими ключевыми институциональными партнерами-МПО по следующим направлениям:</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30"/>
        </w:numPr>
        <w:ind w:left="720"/>
        <w:jc w:val="both"/>
        <w:rPr>
          <w:rFonts w:cs="Arial"/>
          <w:lang w:val="ru-RU"/>
        </w:rPr>
      </w:pPr>
      <w:r w:rsidRPr="00FA0032">
        <w:rPr>
          <w:lang w:val="ru-RU"/>
        </w:rPr>
        <w:t>ВОИС возобновила активное участие в проходящей в Женеве Всемирной неделе предпринимательства (ВНП) и выступила в качестве соорганизатора недели мероприятий и учебных семинаров в рамках ВНП в 2014</w:t>
      </w:r>
      <w:r>
        <w:t> </w:t>
      </w:r>
      <w:r w:rsidRPr="00FA0032">
        <w:rPr>
          <w:lang w:val="ru-RU"/>
        </w:rPr>
        <w:t>г. и 2015</w:t>
      </w:r>
      <w:r>
        <w:t> </w:t>
      </w:r>
      <w:r w:rsidRPr="00FA0032">
        <w:rPr>
          <w:lang w:val="ru-RU"/>
        </w:rPr>
        <w:t>г. на основе сотрудничества с ЮНКТАД, Отделением Организации Объединенных Наций в Женеве (ЮНОГ), Международной организацией труда (МОТ), Международным торговым центром (МТЦ), Департаментом экономического развития кантона Женева, Женевским университетом (</w:t>
      </w:r>
      <w:r>
        <w:t>UNIGE</w:t>
      </w:r>
      <w:r w:rsidRPr="00FA0032">
        <w:rPr>
          <w:lang w:val="ru-RU"/>
        </w:rPr>
        <w:t>) и Федерацией предприятий французской Швейцарии (</w:t>
      </w:r>
      <w:r>
        <w:t>FER</w:t>
      </w:r>
      <w:r w:rsidRPr="00FA0032">
        <w:rPr>
          <w:lang w:val="ru-RU"/>
        </w:rPr>
        <w:t>).  ВОИС уделяла основное внимание поощрению инноваций и предпринимательства среди молодежи, а также организации мероприятий по укреплению потенциала в области патентной информации, МСП и ИС. (Это способствовало выполнению рекомендаций</w:t>
      </w:r>
      <w:r>
        <w:t> </w:t>
      </w:r>
      <w:r w:rsidRPr="00FA0032">
        <w:rPr>
          <w:lang w:val="ru-RU"/>
        </w:rPr>
        <w:t>4, 11 и 40 ПДР, а также работе по программам 11, 14 и 30).</w:t>
      </w:r>
    </w:p>
    <w:p w:rsidR="00FA0032" w:rsidRPr="00FA0032" w:rsidRDefault="00FA0032" w:rsidP="00FA0032">
      <w:pPr>
        <w:pStyle w:val="ListParagraph"/>
        <w:jc w:val="both"/>
        <w:rPr>
          <w:rFonts w:cs="Arial"/>
          <w:lang w:val="ru-RU"/>
        </w:rPr>
      </w:pPr>
    </w:p>
    <w:p w:rsidR="00FA0032" w:rsidRPr="00FA0032" w:rsidRDefault="00FA0032" w:rsidP="00BF61DC">
      <w:pPr>
        <w:pStyle w:val="ListParagraph"/>
        <w:numPr>
          <w:ilvl w:val="0"/>
          <w:numId w:val="130"/>
        </w:numPr>
        <w:ind w:left="720"/>
        <w:jc w:val="both"/>
        <w:rPr>
          <w:rFonts w:cs="Arial"/>
          <w:lang w:val="ru-RU"/>
        </w:rPr>
      </w:pPr>
      <w:r w:rsidRPr="00FA0032">
        <w:rPr>
          <w:lang w:val="ru-RU"/>
        </w:rPr>
        <w:t>Важным приоритетом для ВОИС в двухлетний период оставалось сотрудничество с ВОЗ.  Помимо работы, проводившейся совместно с программами 1, 14 и 18 в контексте трехстороннего сотрудничества ВОИС</w:t>
      </w:r>
      <w:r>
        <w:t> </w:t>
      </w:r>
      <w:r w:rsidRPr="00FA0032">
        <w:rPr>
          <w:lang w:val="ru-RU"/>
        </w:rPr>
        <w:t>– ВОЗ</w:t>
      </w:r>
      <w:r>
        <w:t> </w:t>
      </w:r>
      <w:r w:rsidRPr="00FA0032">
        <w:rPr>
          <w:lang w:val="ru-RU"/>
        </w:rPr>
        <w:t>– ВТО, ВОИС активно участвовала в других совещаниях, мероприятиях и процессах ВОЗ, а также в серии заседаний в рамках Диалога ООН по неинфекционным заболеваниям (НИЗ).  В рамках выполнения рекомендации 14 о предоставлении развивающимся странам и НРС консультативной помощи в области осуществления и применения прав и обязательств, предусмотренных Соглашением ТРИПС, а также в области понимания и использования гибких возможностей, предусмотренных этим соглашением, по линии программы 20 проводилась работа совместно с соответствующими секторами ВОИС по обеспечению учета этой рекомендации при проведении мероприятий вместе с ВТО и ВОЗ.</w:t>
      </w:r>
    </w:p>
    <w:p w:rsidR="00FA0032" w:rsidRPr="00FA0032" w:rsidRDefault="00FA0032" w:rsidP="00FA0032">
      <w:pPr>
        <w:pStyle w:val="ListParagraph"/>
        <w:ind w:left="1080"/>
        <w:rPr>
          <w:rFonts w:cs="Arial"/>
          <w:lang w:val="ru-RU"/>
        </w:rPr>
      </w:pPr>
    </w:p>
    <w:p w:rsidR="00FA0032" w:rsidRPr="00FA0032" w:rsidRDefault="00FA0032" w:rsidP="00BF61DC">
      <w:pPr>
        <w:pStyle w:val="ListParagraph"/>
        <w:numPr>
          <w:ilvl w:val="0"/>
          <w:numId w:val="130"/>
        </w:numPr>
        <w:ind w:left="720"/>
        <w:contextualSpacing/>
        <w:jc w:val="both"/>
        <w:rPr>
          <w:lang w:val="ru-RU"/>
        </w:rPr>
      </w:pPr>
      <w:r w:rsidRPr="00FA0032">
        <w:rPr>
          <w:lang w:val="ru-RU"/>
        </w:rPr>
        <w:t>Совместно с программами 1, 2, 3, 4, 9, 17 и 18 в рамках программы 20 обеспечилось активное участие ВОИС в работе Совета ВТО по ТРИПС и осуществлялась координация участия ВОИС в национальных, региональных и международных практикумах ВТО по различной тематике, а также в симпозиуме ВТО «Достижение целей системы ИС в области развития: приоритетные потребности НРС в техническом и финансовом сотрудничестве», состоявшемся в Женеве, и в Ежегодном практикуме ВТО по вопросам торговли и здравоохранения.</w:t>
      </w:r>
    </w:p>
    <w:p w:rsidR="00FA0032" w:rsidRPr="00FA0032" w:rsidRDefault="00FA0032" w:rsidP="00FA0032">
      <w:pPr>
        <w:rPr>
          <w:rFonts w:cs="Arial"/>
          <w:lang w:val="ru-RU"/>
        </w:rPr>
      </w:pPr>
    </w:p>
    <w:p w:rsidR="00FA0032" w:rsidRPr="00FA0032" w:rsidRDefault="00FA0032" w:rsidP="00BF61DC">
      <w:pPr>
        <w:pStyle w:val="ListParagraph"/>
        <w:numPr>
          <w:ilvl w:val="0"/>
          <w:numId w:val="130"/>
        </w:numPr>
        <w:ind w:left="720"/>
        <w:jc w:val="both"/>
        <w:rPr>
          <w:rFonts w:cs="Arial"/>
          <w:lang w:val="ru-RU"/>
        </w:rPr>
      </w:pPr>
      <w:r w:rsidRPr="00FA0032">
        <w:rPr>
          <w:lang w:val="ru-RU"/>
        </w:rPr>
        <w:t>Кроме того, укреплялось сотрудничество с другими учреждениями ООН, в частности, с ЦЕРН, Международной организацией стандартизации (</w:t>
      </w:r>
      <w:r>
        <w:t>ISO</w:t>
      </w:r>
      <w:r w:rsidRPr="00FA0032">
        <w:rPr>
          <w:lang w:val="ru-RU"/>
        </w:rPr>
        <w:t xml:space="preserve">), МСЭ, ЮНЕСКО и ЮНИДО, в рамках которого продолжалось оказание взаимной поддержки в целях достижения ожидаемых результатов ВОИС и реализации ее Повестки дня в области развития.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Работа ВОИС по организации партнерств для реализации проектов в области ИС и привлечения добровольных финансовых пожертвований на эти цели продолжалась в 2014–2015</w:t>
      </w:r>
      <w:r>
        <w:t> </w:t>
      </w:r>
      <w:r w:rsidRPr="00FA0032">
        <w:rPr>
          <w:lang w:val="ru-RU"/>
        </w:rPr>
        <w:t xml:space="preserve">гг., отражая непрерывную и успешную интеграцию мероприятий по выполнению рекомендации 2 ПДР в работу, ведущуюся в рамках программы.  Значительная часть этой работы была связана с предоставлением консультаций и рекомендаций по выявлению потенциальных доноров и разработке стратегий налаживания партнерских отношений, а также по привлечению финансовой поддержки таких проектов ВОИС, как </w:t>
      </w:r>
      <w:r>
        <w:t>WIPO</w:t>
      </w:r>
      <w:r w:rsidRPr="00FA0032">
        <w:rPr>
          <w:lang w:val="ru-RU"/>
        </w:rPr>
        <w:t xml:space="preserve"> </w:t>
      </w:r>
      <w:r>
        <w:t>GREEN</w:t>
      </w:r>
      <w:r w:rsidRPr="00FA0032">
        <w:rPr>
          <w:lang w:val="ru-RU"/>
        </w:rPr>
        <w:t xml:space="preserve">, </w:t>
      </w:r>
      <w:r>
        <w:t>WIPO</w:t>
      </w:r>
      <w:r w:rsidRPr="00FA0032">
        <w:rPr>
          <w:lang w:val="ru-RU"/>
        </w:rPr>
        <w:t xml:space="preserve"> </w:t>
      </w:r>
      <w:r>
        <w:t>Re</w:t>
      </w:r>
      <w:r w:rsidRPr="00FA0032">
        <w:rPr>
          <w:lang w:val="ru-RU"/>
        </w:rPr>
        <w:t>:</w:t>
      </w:r>
      <w:r>
        <w:t>Search</w:t>
      </w:r>
      <w:r w:rsidRPr="00FA0032">
        <w:rPr>
          <w:lang w:val="ru-RU"/>
        </w:rPr>
        <w:t xml:space="preserve"> и Консорциум доступных книг </w:t>
      </w:r>
      <w:r>
        <w:t>ABC</w:t>
      </w:r>
      <w:r w:rsidRPr="00FA0032">
        <w:rPr>
          <w:lang w:val="ru-RU"/>
        </w:rPr>
        <w:t>.</w:t>
      </w:r>
    </w:p>
    <w:p w:rsidR="00FA0032" w:rsidRPr="00FA0032" w:rsidRDefault="00FA0032" w:rsidP="00FA0032">
      <w:pPr>
        <w:jc w:val="both"/>
        <w:rPr>
          <w:rFonts w:cs="Arial"/>
          <w:color w:val="000000"/>
          <w:szCs w:val="20"/>
          <w:lang w:val="ru-RU"/>
        </w:rPr>
      </w:pPr>
    </w:p>
    <w:p w:rsidR="00FA0032" w:rsidRPr="00FA0032" w:rsidRDefault="00FA0032" w:rsidP="00FA0032">
      <w:pPr>
        <w:jc w:val="both"/>
        <w:rPr>
          <w:rFonts w:cs="Arial"/>
          <w:color w:val="000000"/>
          <w:szCs w:val="20"/>
          <w:lang w:val="ru-RU"/>
        </w:rPr>
      </w:pPr>
    </w:p>
    <w:p w:rsidR="00FA0032" w:rsidRPr="00FA0032" w:rsidRDefault="00FA0032" w:rsidP="00FA0032">
      <w:pPr>
        <w:jc w:val="both"/>
        <w:rPr>
          <w:rFonts w:cs="Arial"/>
          <w:color w:val="000000"/>
          <w:szCs w:val="20"/>
          <w:lang w:val="ru-RU"/>
        </w:rPr>
      </w:pPr>
    </w:p>
    <w:p w:rsidR="00FA0032" w:rsidRPr="00FA0032" w:rsidRDefault="00FA0032" w:rsidP="00FA0032">
      <w:pPr>
        <w:jc w:val="both"/>
        <w:rPr>
          <w:rFonts w:cs="Arial"/>
          <w:szCs w:val="20"/>
          <w:lang w:val="ru-RU"/>
        </w:rPr>
      </w:pPr>
      <w:r w:rsidRPr="00FA0032">
        <w:rPr>
          <w:lang w:val="ru-RU"/>
        </w:rPr>
        <w:t>ОТНОШЕНИЯ С НПО И ПРОМЫШЛЕННОСТЬЮ (Генеральный директор)</w:t>
      </w:r>
    </w:p>
    <w:p w:rsidR="00FA0032" w:rsidRPr="00FA0032" w:rsidRDefault="00FA0032" w:rsidP="00FA0032">
      <w:pPr>
        <w:jc w:val="both"/>
        <w:rPr>
          <w:rFonts w:cs="Arial"/>
          <w:b/>
          <w:szCs w:val="20"/>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рассматриваемый двухлетний период ВОИС продолжала поиск и расширение возможностей для активизации участия негосударственных заинтересованных сторон в своей деятельности.  В 2014</w:t>
      </w:r>
      <w:r>
        <w:t> </w:t>
      </w:r>
      <w:r w:rsidRPr="00FA0032">
        <w:rPr>
          <w:lang w:val="ru-RU"/>
        </w:rPr>
        <w:t>г. и 2015</w:t>
      </w:r>
      <w:r>
        <w:t> </w:t>
      </w:r>
      <w:r w:rsidRPr="00FA0032">
        <w:rPr>
          <w:lang w:val="ru-RU"/>
        </w:rPr>
        <w:t>г. ВОИС участвовала в организации различных форумов, включая практикумы и семинары, консультации по конкретным проектам и тематические секции, при помощи которых она привлекала к участию и сотрудничеству представителей гражданского общества.  Такие возможности позволяли продолжать открытое, прозрачное и динамичное взаимодействие с такими заинтересованными сторонами в соответствие с рекомендацией 42</w:t>
      </w:r>
      <w:r>
        <w:t> </w:t>
      </w:r>
      <w:r w:rsidRPr="00FA0032">
        <w:rPr>
          <w:lang w:val="ru-RU"/>
        </w:rPr>
        <w:t>ПДР.  Весной 2014</w:t>
      </w:r>
      <w:r>
        <w:t> </w:t>
      </w:r>
      <w:r w:rsidRPr="00FA0032">
        <w:rPr>
          <w:lang w:val="ru-RU"/>
        </w:rPr>
        <w:t>г. и 2015</w:t>
      </w:r>
      <w:r>
        <w:t> </w:t>
      </w:r>
      <w:r w:rsidRPr="00FA0032">
        <w:rPr>
          <w:lang w:val="ru-RU"/>
        </w:rPr>
        <w:t>г. были проведены третья и четвертая ежегодные встречи с Генеральным директором, организованные только для аккредитованных НПО. Такой формат дает ценную возможность для непосредственного обмена мнениями по международной системе ИС в целом и по работе ВОИС в частности.</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Кроме того, ВОИС также поддерживала тесные отношения с неправительственными партнерами посредством развития многосторонних платформ и партнерств, которые вносят вклад в продвижение ИС в качестве инструмента экономического роста и развития во всем мире.  В частности, после успешного принятия в 2013</w:t>
      </w:r>
      <w:r>
        <w:t> </w:t>
      </w:r>
      <w:r w:rsidRPr="00FA0032">
        <w:rPr>
          <w:lang w:val="ru-RU"/>
        </w:rPr>
        <w:t>г. Марракешского договора по ЛНЗ ВОИС организовала серию семинаров в 2014</w:t>
      </w:r>
      <w:r>
        <w:t> </w:t>
      </w:r>
      <w:r w:rsidRPr="00FA0032">
        <w:rPr>
          <w:lang w:val="ru-RU"/>
        </w:rPr>
        <w:t>г. по теме «От политики к практике: реализация Марракешского договора и обеспечение доступности книг» для оказания консультативной помощи всем заинтересованным сторонам и разъяснения им норм договора, а также предоставления информации о практически-ориентированных многосторонних инициативах, направленных на более широкое распространение книг в доступных форматах, таких как Консорциум доступных книг.  В 2015</w:t>
      </w:r>
      <w:r>
        <w:t> </w:t>
      </w:r>
      <w:r w:rsidRPr="00FA0032">
        <w:rPr>
          <w:lang w:val="ru-RU"/>
        </w:rPr>
        <w:t>г. ярким примером эффективного взаимодействия с неправительственными партнерами, которое способствовало продвижению ИС как инструмента развития инноваций, творческой деятельности и экономической трансформации, стала организация практикума для молодых новаторов, авторов и предпринимателей из африканских стран в рамках состоявшейся в Дакаре Африканской министерской конференции 2015</w:t>
      </w:r>
      <w:r>
        <w:t> </w:t>
      </w:r>
      <w:r w:rsidRPr="00FA0032">
        <w:rPr>
          <w:lang w:val="ru-RU"/>
        </w:rPr>
        <w:t xml:space="preserve">г.  Результаты этого практикума, включая рекомендации, были представлены непосредственно на Министерской конференции и упомянуты в итоговой «Дакарской декларации по интеллектуальной собственности для Африки». </w:t>
      </w:r>
    </w:p>
    <w:p w:rsidR="00FA0032" w:rsidRPr="00FA0032" w:rsidRDefault="00FA0032" w:rsidP="00FA0032">
      <w:pPr>
        <w:jc w:val="both"/>
        <w:rPr>
          <w:rFonts w:cs="Arial"/>
          <w:bCs/>
          <w:szCs w:val="20"/>
          <w:lang w:val="ru-RU"/>
        </w:rPr>
      </w:pPr>
    </w:p>
    <w:p w:rsidR="00FA0032" w:rsidRPr="00FA0032" w:rsidRDefault="00FA0032" w:rsidP="00FA0032">
      <w:pPr>
        <w:jc w:val="both"/>
        <w:rPr>
          <w:rFonts w:cs="Arial"/>
          <w:bCs/>
          <w:szCs w:val="20"/>
          <w:lang w:val="ru-RU"/>
        </w:rPr>
      </w:pPr>
    </w:p>
    <w:p w:rsidR="00FA0032" w:rsidRPr="00FA0032" w:rsidRDefault="00FA0032" w:rsidP="00FA0032">
      <w:pPr>
        <w:spacing w:after="200" w:line="276" w:lineRule="auto"/>
        <w:rPr>
          <w:lang w:val="ru-RU"/>
        </w:rPr>
      </w:pPr>
      <w:r w:rsidRPr="00FA0032">
        <w:rPr>
          <w:lang w:val="ru-RU"/>
        </w:rPr>
        <w:br w:type="page"/>
      </w:r>
    </w:p>
    <w:p w:rsidR="00FA0032" w:rsidRDefault="00FA0032" w:rsidP="00FA0032">
      <w:pPr>
        <w:jc w:val="both"/>
        <w:rPr>
          <w:rFonts w:cs="Arial"/>
          <w:bCs/>
          <w:szCs w:val="20"/>
        </w:rPr>
      </w:pPr>
      <w:r>
        <w:t>ВНЕШНИЕ БЮРО</w:t>
      </w:r>
    </w:p>
    <w:p w:rsidR="00FA0032" w:rsidRDefault="00FA0032" w:rsidP="00FA0032">
      <w:pPr>
        <w:jc w:val="both"/>
        <w:rPr>
          <w:rFonts w:cs="Arial"/>
          <w:bCs/>
          <w:szCs w:val="20"/>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Сеть внешних бюро ВОИС является неотъемлемой частью Организации. Она призвана приблизить к государствам-членам, заинтересованным сторонам и партнерам деятельность по оказанию услуг и осуществлению сотрудничества в интересах повышения эффективности и оперативности мероприятий по реализации программ, а также обеспечения учета конкретных потребностей и приоритетов соответствующих стран и/или регионов.  В 2014</w:t>
      </w:r>
      <w:r>
        <w:t> </w:t>
      </w:r>
      <w:r w:rsidRPr="00FA0032">
        <w:rPr>
          <w:lang w:val="ru-RU"/>
        </w:rPr>
        <w:t>г. с открытием бюро ВОИС в Китае (</w:t>
      </w:r>
      <w:r>
        <w:t>WOC</w:t>
      </w:r>
      <w:r w:rsidRPr="00FA0032">
        <w:rPr>
          <w:lang w:val="ru-RU"/>
        </w:rPr>
        <w:t>) и в Российской Федерации (</w:t>
      </w:r>
      <w:r>
        <w:t>WRO</w:t>
      </w:r>
      <w:r w:rsidRPr="00FA0032">
        <w:rPr>
          <w:lang w:val="ru-RU"/>
        </w:rPr>
        <w:t>) общее число внешних бюро возросло до пяти.  Результаты, достигнутые в отчетный период, в очередной раз показали, какой важный вклад вносят внешние бюро в реализацию мандата Организации.</w:t>
      </w:r>
    </w:p>
    <w:p w:rsidR="00FA0032" w:rsidRPr="00FA0032" w:rsidRDefault="00FA0032" w:rsidP="00FA0032">
      <w:pPr>
        <w:jc w:val="both"/>
        <w:rPr>
          <w:rFonts w:cs="Arial"/>
          <w:bCs/>
          <w:szCs w:val="20"/>
          <w:lang w:val="ru-RU"/>
        </w:rPr>
      </w:pPr>
    </w:p>
    <w:p w:rsidR="00FA0032" w:rsidRPr="00FA0032" w:rsidRDefault="00FA0032" w:rsidP="00FA0032">
      <w:pPr>
        <w:jc w:val="both"/>
        <w:rPr>
          <w:rFonts w:cs="Arial"/>
          <w:bCs/>
          <w:szCs w:val="20"/>
          <w:u w:val="single"/>
          <w:lang w:val="ru-RU"/>
        </w:rPr>
      </w:pPr>
      <w:r w:rsidRPr="00FA0032">
        <w:rPr>
          <w:u w:val="single"/>
          <w:lang w:val="ru-RU"/>
        </w:rPr>
        <w:t>Бюро ВОИС в Бразилии (</w:t>
      </w:r>
      <w:r>
        <w:rPr>
          <w:u w:val="single"/>
        </w:rPr>
        <w:t>WBO</w:t>
      </w:r>
      <w:r w:rsidRPr="00FA0032">
        <w:rPr>
          <w:u w:val="single"/>
          <w:lang w:val="ru-RU"/>
        </w:rPr>
        <w:t>) (Генеральный директор)</w:t>
      </w:r>
    </w:p>
    <w:p w:rsidR="00FA0032" w:rsidRPr="00FA0032" w:rsidRDefault="00FA0032" w:rsidP="00FA0032">
      <w:pPr>
        <w:jc w:val="both"/>
        <w:rPr>
          <w:rFonts w:cs="Arial"/>
          <w:bCs/>
          <w:szCs w:val="20"/>
          <w:u w:val="single"/>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В рассматриваемый двухлетний период </w:t>
      </w:r>
      <w:r>
        <w:t>WBO</w:t>
      </w:r>
      <w:r w:rsidRPr="00FA0032">
        <w:rPr>
          <w:lang w:val="ru-RU"/>
        </w:rPr>
        <w:t xml:space="preserve"> уделяло большое внимание укреплению национального потенциала Бразилии и продвижению услуг ВОИС.  Поддерживая усилия Национального института промышленной собственности (</w:t>
      </w:r>
      <w:r>
        <w:t>INPI</w:t>
      </w:r>
      <w:r w:rsidRPr="00FA0032">
        <w:rPr>
          <w:lang w:val="ru-RU"/>
        </w:rPr>
        <w:t xml:space="preserve">), определившего для себя в качестве приоритетной задачи повышение производительности и эффективности работы, </w:t>
      </w:r>
      <w:r>
        <w:t>WBO</w:t>
      </w:r>
      <w:r w:rsidRPr="00FA0032">
        <w:rPr>
          <w:lang w:val="ru-RU"/>
        </w:rPr>
        <w:t xml:space="preserve"> оказывало ему помощь в организации мероприятий по укреплению потенциала в области патентной экспертизы.  Примером этого стало сотрудничество с Национальной конфедерацией промышленности в организации серии практических семинаров, в ходе которых распространялась информация о существующих международных инициативах по коллективному проведению патентной экспертизы.</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Бразильское бюро приложило массу сил к тому, чтобы выйти на заинтересованную аудиторию в Бразилии и информировать ее о преимуществах охраны ИС и важности коммерциализации интеллектуальных активов.  В контексте этой деятельности </w:t>
      </w:r>
      <w:r>
        <w:t>WBO</w:t>
      </w:r>
      <w:r w:rsidRPr="00FA0032">
        <w:rPr>
          <w:lang w:val="ru-RU"/>
        </w:rPr>
        <w:t xml:space="preserve"> тесно взаимодействовало с Национальной ассоциацией научных исследований и развития инновационного комплекса (</w:t>
      </w:r>
      <w:r>
        <w:t>ANPEI</w:t>
      </w:r>
      <w:r w:rsidRPr="00FA0032">
        <w:rPr>
          <w:lang w:val="ru-RU"/>
        </w:rPr>
        <w:t xml:space="preserve">) и было приглашено принять участие в работе двух комитетов, созданных в рамках этого объединения, в частности Комитета по развитию инноваций и Комитета по интеллектуальной собственности.  Участие в этой работе предоставило отличную возможность для распространения информации и системе РСТ и разъяснения ее процедур.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Целевой фонд Бразилии (ЦФ), созданный в 2012</w:t>
      </w:r>
      <w:r>
        <w:t> </w:t>
      </w:r>
      <w:r w:rsidRPr="00FA0032">
        <w:rPr>
          <w:lang w:val="ru-RU"/>
        </w:rPr>
        <w:t xml:space="preserve">г. для поддержки сотрудничества Юг-Юг и функционирующий под контролем </w:t>
      </w:r>
      <w:r>
        <w:t>WBO</w:t>
      </w:r>
      <w:r w:rsidRPr="00FA0032">
        <w:rPr>
          <w:lang w:val="ru-RU"/>
        </w:rPr>
        <w:t>, по-прежнему давал бюро ценные возможности для развития инициатив, в частности в сфере передачи технологий и коммерциализации ИС.  Региональный практикум на тему «ИС и передача технологии», состоявшийся в декабре 2014</w:t>
      </w:r>
      <w:r>
        <w:t> </w:t>
      </w:r>
      <w:r w:rsidRPr="00FA0032">
        <w:rPr>
          <w:lang w:val="ru-RU"/>
        </w:rPr>
        <w:t xml:space="preserve">г. в Уругвае, стал площадкой, на которой представители нескольких стран (Аргентины, Бразилии, Чили, Парагвая и Уругвая) обменялись информацией и опытом по таким вопросам, как разработка национальных и институциональных стратегий в области ИС и стратегические модели стимулирования инноваций.  Благодаря ресурсам ЦФ, в нескольких регионах страны были организованы программы обучения, позволившие повысить уровень знаний заинтересованных сторон на местах в вопросах лицензирования технологий и составления описания изобретения.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В рамках выполнения своих полномочий </w:t>
      </w:r>
      <w:r>
        <w:t>WBO</w:t>
      </w:r>
      <w:r w:rsidRPr="00FA0032">
        <w:rPr>
          <w:lang w:val="ru-RU"/>
        </w:rPr>
        <w:t xml:space="preserve"> наладило взаимодействие с бразильскими партнерами и партнерами из системы ООН по вопросам, представляющим взаимный интерес, таким как использование ресурсов и максимальное увеличение их объема.  В сотрудничестве с ПРООН и Бразильским инновационным агентством (</w:t>
      </w:r>
      <w:r>
        <w:t>FINPE</w:t>
      </w:r>
      <w:r w:rsidRPr="00FA0032">
        <w:rPr>
          <w:lang w:val="ru-RU"/>
        </w:rPr>
        <w:t>) началась работа по реализации проекта, направленного на подготовку посредников в переговорах по вопросам технологии и развития.  С этой целью в рамках соглашения о создании Целевого фонда, подписанного в октябре 2015</w:t>
      </w:r>
      <w:r>
        <w:t> </w:t>
      </w:r>
      <w:r w:rsidRPr="00FA0032">
        <w:rPr>
          <w:lang w:val="ru-RU"/>
        </w:rPr>
        <w:t xml:space="preserve">г. с ПРООН и </w:t>
      </w:r>
      <w:r>
        <w:t>FINPE</w:t>
      </w:r>
      <w:r w:rsidRPr="00FA0032">
        <w:rPr>
          <w:lang w:val="ru-RU"/>
        </w:rPr>
        <w:t>, была организована учебная программа для лиц, ведущих переговоры по вопросам разработки технологий, в которой приняли участие двадцать восемь руководителей, занимающихся вопросами технологий.  Что касается продвижения платформ ВОИС, то бразильское бюро продолжало сотрудничество с Национальной ассоциацией специалистов в области управления инновациями и передачи технологий Бразилии (</w:t>
      </w:r>
      <w:r>
        <w:t>FORTEC</w:t>
      </w:r>
      <w:r w:rsidRPr="00FA0032">
        <w:rPr>
          <w:lang w:val="ru-RU"/>
        </w:rPr>
        <w:t xml:space="preserve">) по </w:t>
      </w:r>
      <w:r>
        <w:t>WIPO</w:t>
      </w:r>
      <w:r w:rsidRPr="00FA0032">
        <w:rPr>
          <w:lang w:val="ru-RU"/>
        </w:rPr>
        <w:t xml:space="preserve"> </w:t>
      </w:r>
      <w:r>
        <w:t>GREEN</w:t>
      </w:r>
      <w:r w:rsidRPr="00FA0032">
        <w:rPr>
          <w:lang w:val="ru-RU"/>
        </w:rPr>
        <w:t>, которое начало давать результаты в 2015</w:t>
      </w:r>
      <w:r>
        <w:t> </w:t>
      </w:r>
      <w:r w:rsidRPr="00FA0032">
        <w:rPr>
          <w:lang w:val="ru-RU"/>
        </w:rPr>
        <w:t>г.: в эту базу данных были загружены первые семь технологий, разработанных бразильскими институтами/фирмами.</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2014–2015</w:t>
      </w:r>
      <w:r>
        <w:t> </w:t>
      </w:r>
      <w:r w:rsidRPr="00FA0032">
        <w:rPr>
          <w:lang w:val="ru-RU"/>
        </w:rPr>
        <w:t xml:space="preserve">гг. внимание бюро было также сосредоточено на экономических преимуществах использования системы географических указаний и охраны промышленных образцов.  Велась работа по продвижению Мадридской системы; представители бразильской промышленности особенно активно участвовали в организации обсуждений преимуществ Мадридской системы для обеспечения конкурентоспособности глобальных бразильских компаний. Кроме того, </w:t>
      </w:r>
      <w:r>
        <w:t>WBO</w:t>
      </w:r>
      <w:r w:rsidRPr="00FA0032">
        <w:rPr>
          <w:lang w:val="ru-RU"/>
        </w:rPr>
        <w:t xml:space="preserve"> осуществляло координацию с программой</w:t>
      </w:r>
      <w:r>
        <w:t> </w:t>
      </w:r>
      <w:r w:rsidRPr="00FA0032">
        <w:rPr>
          <w:lang w:val="ru-RU"/>
        </w:rPr>
        <w:t>7 (Арбитраж, посредничество и доменные имена) в целях укрепления сотрудничества с Бразильской франчайзинговой ассоциацией (</w:t>
      </w:r>
      <w:r>
        <w:t>ABF</w:t>
      </w:r>
      <w:r w:rsidRPr="00FA0032">
        <w:rPr>
          <w:lang w:val="ru-RU"/>
        </w:rPr>
        <w:t>) в интересах продвижения услуг посредничества в контексте франчайзинговых контрактов и контрактов о передаче технологий.</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bCs/>
          <w:u w:val="single"/>
          <w:lang w:val="ru-RU"/>
        </w:rPr>
      </w:pPr>
      <w:r w:rsidRPr="00FA0032">
        <w:rPr>
          <w:lang w:val="ru-RU"/>
        </w:rPr>
        <w:t>В сотрудничестве с Федерацией промышленности штата Рио-де-Жанейро (</w:t>
      </w:r>
      <w:r>
        <w:t>FIRJAN</w:t>
      </w:r>
      <w:r w:rsidRPr="00FA0032">
        <w:rPr>
          <w:lang w:val="ru-RU"/>
        </w:rPr>
        <w:t>), Корнельским университетом, Технологической сетью Рио-де-Жанейро (</w:t>
      </w:r>
      <w:r>
        <w:t>REDETEC</w:t>
      </w:r>
      <w:r w:rsidRPr="00FA0032">
        <w:rPr>
          <w:lang w:val="ru-RU"/>
        </w:rPr>
        <w:t>) и при поддержке Национального института промышленной собственности Бразилии (</w:t>
      </w:r>
      <w:r>
        <w:t>INPI</w:t>
      </w:r>
      <w:r w:rsidRPr="00FA0032">
        <w:rPr>
          <w:lang w:val="ru-RU"/>
        </w:rPr>
        <w:t>) бразильское бюро организовало региональную презентацию Глобального индекса инноваций (ГИИ) 2015</w:t>
      </w:r>
      <w:r>
        <w:t> </w:t>
      </w:r>
      <w:r w:rsidRPr="00FA0032">
        <w:rPr>
          <w:lang w:val="ru-RU"/>
        </w:rPr>
        <w:t>г., которая состоялась в Рио-де-Жанейро в сентябре 2015</w:t>
      </w:r>
      <w:r>
        <w:t> </w:t>
      </w:r>
      <w:r w:rsidRPr="00FA0032">
        <w:rPr>
          <w:lang w:val="ru-RU"/>
        </w:rPr>
        <w:t>г.</w:t>
      </w:r>
    </w:p>
    <w:p w:rsidR="00FA0032" w:rsidRPr="00FA0032" w:rsidRDefault="00FA0032" w:rsidP="00FA0032">
      <w:pPr>
        <w:jc w:val="both"/>
        <w:rPr>
          <w:rFonts w:cs="Arial"/>
          <w:bCs/>
          <w:szCs w:val="20"/>
          <w:u w:val="single"/>
          <w:lang w:val="ru-RU"/>
        </w:rPr>
      </w:pPr>
    </w:p>
    <w:p w:rsidR="00FA0032" w:rsidRPr="00FA0032" w:rsidRDefault="00FA0032" w:rsidP="00FA0032">
      <w:pPr>
        <w:jc w:val="both"/>
        <w:rPr>
          <w:rFonts w:cs="Arial"/>
          <w:bCs/>
          <w:szCs w:val="20"/>
          <w:u w:val="single"/>
          <w:lang w:val="ru-RU"/>
        </w:rPr>
      </w:pPr>
      <w:r w:rsidRPr="00FA0032">
        <w:rPr>
          <w:u w:val="single"/>
          <w:lang w:val="ru-RU"/>
        </w:rPr>
        <w:t>Бюро ВОИС в Китае (</w:t>
      </w:r>
      <w:r>
        <w:rPr>
          <w:u w:val="single"/>
        </w:rPr>
        <w:t>WOC</w:t>
      </w:r>
      <w:r w:rsidRPr="00FA0032">
        <w:rPr>
          <w:u w:val="single"/>
          <w:lang w:val="ru-RU"/>
        </w:rPr>
        <w:t>) (г-жа Б. Ван)</w:t>
      </w:r>
    </w:p>
    <w:p w:rsidR="00FA0032" w:rsidRPr="00FA0032" w:rsidRDefault="00FA0032" w:rsidP="00FA0032">
      <w:pPr>
        <w:jc w:val="both"/>
        <w:rPr>
          <w:rFonts w:cs="Arial"/>
          <w:bCs/>
          <w:szCs w:val="20"/>
          <w:u w:val="single"/>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Усилия </w:t>
      </w:r>
      <w:r>
        <w:t>WOC</w:t>
      </w:r>
      <w:r w:rsidRPr="00FA0032">
        <w:rPr>
          <w:lang w:val="ru-RU"/>
        </w:rPr>
        <w:t>, созданного в июле 2014</w:t>
      </w:r>
      <w:r>
        <w:t> </w:t>
      </w:r>
      <w:r w:rsidRPr="00FA0032">
        <w:rPr>
          <w:lang w:val="ru-RU"/>
        </w:rPr>
        <w:t>г., всю оставшуюся часть года были направлены на утверждение собственных позиций и укрепление административной структуры.  В этой связи было налажено тесное взаимодействие с органами принимающей страны, в частности с министерством иностранных дел, Государственным ведомством интеллектуальной собственности (</w:t>
      </w:r>
      <w:r>
        <w:t>SIPO</w:t>
      </w:r>
      <w:r w:rsidRPr="00FA0032">
        <w:rPr>
          <w:lang w:val="ru-RU"/>
        </w:rPr>
        <w:t>), Государственным управлением по вопросам промышленности и торговли (</w:t>
      </w:r>
      <w:r>
        <w:t>SAIC</w:t>
      </w:r>
      <w:r w:rsidRPr="00FA0032">
        <w:rPr>
          <w:lang w:val="ru-RU"/>
        </w:rPr>
        <w:t>), Национальной администрацией по авторскому праву (</w:t>
      </w:r>
      <w:r>
        <w:t>NCAC</w:t>
      </w:r>
      <w:r w:rsidRPr="00FA0032">
        <w:rPr>
          <w:lang w:val="ru-RU"/>
        </w:rPr>
        <w:t xml:space="preserve">) и муниципальным правительством Пекина, которые в значительной степени помогли китайскому бюро оперативно начать выполнение своих обязанностей.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Как в 2014</w:t>
      </w:r>
      <w:r>
        <w:t> </w:t>
      </w:r>
      <w:r w:rsidRPr="00FA0032">
        <w:rPr>
          <w:lang w:val="ru-RU"/>
        </w:rPr>
        <w:t>г., так и в 2015</w:t>
      </w:r>
      <w:r>
        <w:t> </w:t>
      </w:r>
      <w:r w:rsidRPr="00FA0032">
        <w:rPr>
          <w:lang w:val="ru-RU"/>
        </w:rPr>
        <w:t>г. Китай занимал четвертое и седьмое место в списках ведущих пользователей системы РСТ и Мадридской системы, соответственно, поэтому с самого начала функционирования бюро его приоритетным направлением работы являлось продвижение услуг ВОИС на китайском рынке.  В 2014–2015</w:t>
      </w:r>
      <w:r>
        <w:t> </w:t>
      </w:r>
      <w:r w:rsidRPr="00FA0032">
        <w:rPr>
          <w:lang w:val="ru-RU"/>
        </w:rPr>
        <w:t xml:space="preserve">гг. число заявок </w:t>
      </w:r>
      <w:r>
        <w:t>PCT</w:t>
      </w:r>
      <w:r w:rsidRPr="00FA0032">
        <w:rPr>
          <w:lang w:val="ru-RU"/>
        </w:rPr>
        <w:t xml:space="preserve"> из Китая возросло на 38</w:t>
      </w:r>
      <w:r>
        <w:t> </w:t>
      </w:r>
      <w:r w:rsidRPr="00FA0032">
        <w:rPr>
          <w:lang w:val="ru-RU"/>
        </w:rPr>
        <w:t>процентов (составив 55</w:t>
      </w:r>
      <w:r>
        <w:t> </w:t>
      </w:r>
      <w:r w:rsidRPr="00FA0032">
        <w:rPr>
          <w:lang w:val="ru-RU"/>
        </w:rPr>
        <w:t>394) по сравнению с 2012–2013</w:t>
      </w:r>
      <w:r>
        <w:t> </w:t>
      </w:r>
      <w:r w:rsidRPr="00FA0032">
        <w:rPr>
          <w:lang w:val="ru-RU"/>
        </w:rPr>
        <w:t>гг. (40</w:t>
      </w:r>
      <w:r>
        <w:t> </w:t>
      </w:r>
      <w:r w:rsidRPr="00FA0032">
        <w:rPr>
          <w:lang w:val="ru-RU"/>
        </w:rPr>
        <w:t>134).  В 2014–2015</w:t>
      </w:r>
      <w:r>
        <w:t> </w:t>
      </w:r>
      <w:r w:rsidRPr="00FA0032">
        <w:rPr>
          <w:lang w:val="ru-RU"/>
        </w:rPr>
        <w:t>гг. число заявок в рамках Мадридской системы из Китая возросло на два</w:t>
      </w:r>
      <w:r>
        <w:t> </w:t>
      </w:r>
      <w:r w:rsidRPr="00FA0032">
        <w:rPr>
          <w:lang w:val="ru-RU"/>
        </w:rPr>
        <w:t>процента (составив 4</w:t>
      </w:r>
      <w:r>
        <w:t> </w:t>
      </w:r>
      <w:r w:rsidRPr="00FA0032">
        <w:rPr>
          <w:lang w:val="ru-RU"/>
        </w:rPr>
        <w:t>461) по сравнению с 2012–2013</w:t>
      </w:r>
      <w:r>
        <w:t> </w:t>
      </w:r>
      <w:r w:rsidRPr="00FA0032">
        <w:rPr>
          <w:lang w:val="ru-RU"/>
        </w:rPr>
        <w:t>гг. (4</w:t>
      </w:r>
      <w:r>
        <w:t> </w:t>
      </w:r>
      <w:r w:rsidRPr="00FA0032">
        <w:rPr>
          <w:lang w:val="ru-RU"/>
        </w:rPr>
        <w:t>373).  Действительно, в 2015</w:t>
      </w:r>
      <w:r>
        <w:t> </w:t>
      </w:r>
      <w:r w:rsidRPr="00FA0032">
        <w:rPr>
          <w:lang w:val="ru-RU"/>
        </w:rPr>
        <w:t>г. число заявок из Китая достигло рекордного уровня (2</w:t>
      </w:r>
      <w:r>
        <w:t> </w:t>
      </w:r>
      <w:r w:rsidRPr="00FA0032">
        <w:rPr>
          <w:lang w:val="ru-RU"/>
        </w:rPr>
        <w:t>401) за период после его присоединения к системе в 1989</w:t>
      </w:r>
      <w:r>
        <w:t> </w:t>
      </w:r>
      <w:r w:rsidRPr="00FA0032">
        <w:rPr>
          <w:lang w:val="ru-RU"/>
        </w:rPr>
        <w:t xml:space="preserve">г.  В Пекине и за его пределами, а также в других областях были организованы мероприятия, адресованные текущим и потенциальным пользователям услуг ВОИС.  В рассматриваемый двухлетний период продолжалось развитие и укрепление контактов с представителями промышленности и другими заинтересованными сторонами в целях расширения географии информационно-разъяснительной деятельности и на другие регионы Китая.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2014</w:t>
      </w:r>
      <w:r>
        <w:t> </w:t>
      </w:r>
      <w:r w:rsidRPr="00FA0032">
        <w:rPr>
          <w:lang w:val="ru-RU"/>
        </w:rPr>
        <w:t>г. Китай ратифицировал Пекинский договор по аудиовизуальным исполнениям.  Бюро организовало ряд мероприятий совместно с правительством Китая в целях содействия более широкому пониманию Договора. В настоящее время китайское бюро также занимается продвижением Марракешского договора.  В декабре 2014</w:t>
      </w:r>
      <w:r>
        <w:t> </w:t>
      </w:r>
      <w:r w:rsidRPr="00FA0032">
        <w:rPr>
          <w:lang w:val="ru-RU"/>
        </w:rPr>
        <w:t xml:space="preserve">г. китайское бюро во взаимодействии с </w:t>
      </w:r>
      <w:r>
        <w:t>NCAC</w:t>
      </w:r>
      <w:r w:rsidRPr="00FA0032">
        <w:rPr>
          <w:lang w:val="ru-RU"/>
        </w:rPr>
        <w:t xml:space="preserve"> организовало семинар в формате «круглого стола», в котором приняли участие официальные представители университетов и правительства; были рассмотрены возможности присоединения к этому документу и необходимые подготовительные мероприятия.  Бюро также способствовало выпуску Марракешского договора (на китайском языке), набранного шрифтом Брайля, в формате </w:t>
      </w:r>
      <w:r>
        <w:t>Daisy</w:t>
      </w:r>
      <w:r w:rsidRPr="00FA0032">
        <w:rPr>
          <w:lang w:val="ru-RU"/>
        </w:rPr>
        <w:t xml:space="preserve"> и в аудиоформате.</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Что касается сферы промышленных образцов, то бюро продолжало оказывать поддержку Китаю в его стремлении присоединиться к Гаагской системе.  Осуществлялось налаживание контактов со старшими должностными лицами из административных и законодательных органов.  Китайское бюро участвовало в Международном симпозиуме и выступало в качестве организатора и соорганизатора множества семинаров по вопросам промышленных образцов, используя эти возможности, чтобы подчеркнуть преимущества и характер этой системы.  В то же время бюро осуществляло непосредственное взаимодействие с деловым сообществом в целях продвижения Гаагской системы. В результате китайская компания </w:t>
      </w:r>
      <w:r>
        <w:t>Lenovo</w:t>
      </w:r>
      <w:r w:rsidRPr="00FA0032">
        <w:rPr>
          <w:lang w:val="ru-RU"/>
        </w:rPr>
        <w:t xml:space="preserve"> стала седьмым по числу заявок пользователем Гаагской системы в 2014</w:t>
      </w:r>
      <w:r>
        <w:t> </w:t>
      </w:r>
      <w:r w:rsidRPr="00FA0032">
        <w:rPr>
          <w:lang w:val="ru-RU"/>
        </w:rPr>
        <w:t>г. В 2015</w:t>
      </w:r>
      <w:r>
        <w:t> </w:t>
      </w:r>
      <w:r w:rsidRPr="00FA0032">
        <w:rPr>
          <w:lang w:val="ru-RU"/>
        </w:rPr>
        <w:t xml:space="preserve">г. компании </w:t>
      </w:r>
      <w:r>
        <w:t>Huawei</w:t>
      </w:r>
      <w:r w:rsidRPr="00FA0032">
        <w:rPr>
          <w:lang w:val="ru-RU"/>
        </w:rPr>
        <w:t xml:space="preserve"> и </w:t>
      </w:r>
      <w:r>
        <w:t>Xiaomi</w:t>
      </w:r>
      <w:r w:rsidRPr="00FA0032">
        <w:rPr>
          <w:lang w:val="ru-RU"/>
        </w:rPr>
        <w:t xml:space="preserve"> тоже стали использовать Гаагскую систему.</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Китайское бюро в рассматриваемый двухлетний период также активно работало над реализацией целого ряда дополнительных инициатив. Удалось продвинуться в переговорах с </w:t>
      </w:r>
      <w:r>
        <w:t>SAIC</w:t>
      </w:r>
      <w:r w:rsidRPr="00FA0032">
        <w:rPr>
          <w:lang w:val="ru-RU"/>
        </w:rPr>
        <w:t xml:space="preserve"> о сотрудничестве с Китаем в области обмена данными для Глобальной базы данных ВОИС по брендам, в результате чего в 2015</w:t>
      </w:r>
      <w:r>
        <w:t> </w:t>
      </w:r>
      <w:r w:rsidRPr="00FA0032">
        <w:rPr>
          <w:lang w:val="ru-RU"/>
        </w:rPr>
        <w:t xml:space="preserve">г. начался обмен данными в тестовом режиме.  Продолжалось продвижение платформ ВОИС. Примечательно, что с учреждением китайского бюро к </w:t>
      </w:r>
      <w:r>
        <w:t>WIPO</w:t>
      </w:r>
      <w:r w:rsidRPr="00FA0032">
        <w:rPr>
          <w:lang w:val="ru-RU"/>
        </w:rPr>
        <w:t xml:space="preserve"> </w:t>
      </w:r>
      <w:r>
        <w:t>GREEN</w:t>
      </w:r>
      <w:r w:rsidRPr="00FA0032">
        <w:rPr>
          <w:lang w:val="ru-RU"/>
        </w:rPr>
        <w:t xml:space="preserve"> присоединилась еще одна компания – Группа </w:t>
      </w:r>
      <w:r>
        <w:t>Haier</w:t>
      </w:r>
      <w:r w:rsidRPr="00FA0032">
        <w:rPr>
          <w:lang w:val="ru-RU"/>
        </w:rPr>
        <w:t>, один из крупнейших мировых производителей бытовой электроники, а в 2014</w:t>
      </w:r>
      <w:r>
        <w:t> </w:t>
      </w:r>
      <w:r w:rsidRPr="00FA0032">
        <w:rPr>
          <w:lang w:val="ru-RU"/>
        </w:rPr>
        <w:t xml:space="preserve">г. – организация </w:t>
      </w:r>
      <w:r>
        <w:t>China</w:t>
      </w:r>
      <w:r w:rsidRPr="00FA0032">
        <w:rPr>
          <w:lang w:val="ru-RU"/>
        </w:rPr>
        <w:t xml:space="preserve"> </w:t>
      </w:r>
      <w:r>
        <w:t>Technology</w:t>
      </w:r>
      <w:r w:rsidRPr="00FA0032">
        <w:rPr>
          <w:lang w:val="ru-RU"/>
        </w:rPr>
        <w:t xml:space="preserve"> </w:t>
      </w:r>
      <w:r>
        <w:t>Exchange</w:t>
      </w:r>
      <w:r w:rsidRPr="00FA0032">
        <w:rPr>
          <w:lang w:val="ru-RU"/>
        </w:rPr>
        <w:t xml:space="preserve">.  Кроме того, </w:t>
      </w:r>
      <w:r>
        <w:t>WOC</w:t>
      </w:r>
      <w:r w:rsidRPr="00FA0032">
        <w:rPr>
          <w:lang w:val="ru-RU"/>
        </w:rPr>
        <w:t xml:space="preserve"> в сотрудничестве с Центром ВОИС по арбитражу и посредничеству (ЦАП) провело ряд рекламных мероприятий и учебных сессий в целях повышения осведомленности и поощрения заинтересованных сторон в Китае к использованию услуг, предлагаемых ЦАП.</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то же время китайское бюро организовало ряд мероприятий, призванных привлечь внимание общественности к своей деятельности и информировать о важности ИС и инноваций для развития Китая.  Яркими примерами такой работы являются 16-я церемония вручения премии ВОИС-</w:t>
      </w:r>
      <w:r>
        <w:t>SIPO</w:t>
      </w:r>
      <w:r w:rsidRPr="00FA0032">
        <w:rPr>
          <w:lang w:val="ru-RU"/>
        </w:rPr>
        <w:t xml:space="preserve"> за выдающееся китайское запатентованное изобретение и промышленный образец, а также 8-я Международная выставка изобретений, организатором которой выступила Ассоциация изобретателей Китая, в рамках которой бюро также вручило премии ВОИС.</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ноябре 2015</w:t>
      </w:r>
      <w:r>
        <w:t> </w:t>
      </w:r>
      <w:r w:rsidRPr="00FA0032">
        <w:rPr>
          <w:lang w:val="ru-RU"/>
        </w:rPr>
        <w:t xml:space="preserve">г. был подписан МоВ между ВОИС и </w:t>
      </w:r>
      <w:r>
        <w:t>NCAC</w:t>
      </w:r>
      <w:r w:rsidRPr="00FA0032">
        <w:rPr>
          <w:lang w:val="ru-RU"/>
        </w:rPr>
        <w:t>, что способствовало укреплению двустороннего сотрудничества с правительством принимающей страны.  Кроме того, продолжалось укрепление взаимодействия и сотрудничества с органами власти на уровне провинций и местном уровне.  В частности, были подписаны два МоВ между ВОИС и правительством шанхайского муниципалитета (2014 г.) и правительством пекинского муниципалитета (2015</w:t>
      </w:r>
      <w:r>
        <w:t> </w:t>
      </w:r>
      <w:r w:rsidRPr="00FA0032">
        <w:rPr>
          <w:lang w:val="ru-RU"/>
        </w:rPr>
        <w:t>г.).</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области технической помощи и создания потенциала китайское бюро оказывало поддержку работе по программе 11 (Академия ВОИС) в организации открытия первой Летней школы ВОИС на базе кампуса Восточно-китайского университета политологии и права в мае 2015</w:t>
      </w:r>
      <w:r>
        <w:t> </w:t>
      </w:r>
      <w:r w:rsidRPr="00FA0032">
        <w:rPr>
          <w:lang w:val="ru-RU"/>
        </w:rPr>
        <w:t>г., а также в подготовке МоВ с китайским Учебным центром по вопросам ИС.</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Продолжалась активизация работы с соответствующими заинтересованными сторонами в целях повышения информированности общественности о ВОИС и ПИС в Китае на основе сотрудничества с органами Китая, отвечающими за вопросы ИС, в том числе в рамках празднования Всемирного дня ИС.  В июле 2015</w:t>
      </w:r>
      <w:r>
        <w:t> </w:t>
      </w:r>
      <w:r w:rsidRPr="00FA0032">
        <w:rPr>
          <w:lang w:val="ru-RU"/>
        </w:rPr>
        <w:t xml:space="preserve">г. </w:t>
      </w:r>
      <w:r>
        <w:t>WOC</w:t>
      </w:r>
      <w:r w:rsidRPr="00FA0032">
        <w:rPr>
          <w:lang w:val="ru-RU"/>
        </w:rPr>
        <w:t xml:space="preserve"> организовало семинар, в котором приняли участие более 80 журналистов.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Кроме того, бюро также продолжило играть ключевую роль в обеспечении круглосуточного обслуживания пользователей услуг.  Китайское бюро ответило на более 700 запросов, поступивших по двум «горячим линиям» для клиентов и на электронную почту для клиентов, от пользователей услуг ВОИС в Китае. Ответы предоставлялись на мандаринском наречии китайского языка в течение рабочих часов по местному времени, что значительно повысило уровень удовлетворенности.</w:t>
      </w:r>
    </w:p>
    <w:p w:rsidR="00FA0032" w:rsidRPr="00FA0032" w:rsidRDefault="00FA0032" w:rsidP="00FA0032">
      <w:pPr>
        <w:pStyle w:val="ListParagraph"/>
        <w:ind w:left="0"/>
        <w:jc w:val="both"/>
        <w:rPr>
          <w:rFonts w:cs="Arial"/>
          <w:bCs/>
          <w:u w:val="single"/>
          <w:lang w:val="ru-RU"/>
        </w:rPr>
      </w:pPr>
    </w:p>
    <w:p w:rsidR="00FA0032" w:rsidRPr="00FA0032" w:rsidRDefault="00FA0032" w:rsidP="00FA0032">
      <w:pPr>
        <w:jc w:val="both"/>
        <w:rPr>
          <w:bCs/>
          <w:u w:val="single"/>
          <w:lang w:val="ru-RU"/>
        </w:rPr>
      </w:pPr>
      <w:r w:rsidRPr="00FA0032">
        <w:rPr>
          <w:u w:val="single"/>
          <w:lang w:val="ru-RU"/>
        </w:rPr>
        <w:t>Бюро ВОИС в Японии (</w:t>
      </w:r>
      <w:r>
        <w:rPr>
          <w:u w:val="single"/>
        </w:rPr>
        <w:t>WJO</w:t>
      </w:r>
      <w:r w:rsidRPr="00FA0032">
        <w:rPr>
          <w:u w:val="single"/>
          <w:lang w:val="ru-RU"/>
        </w:rPr>
        <w:t>) (г-н Ё. Такаги)</w:t>
      </w:r>
    </w:p>
    <w:p w:rsidR="00FA0032" w:rsidRPr="00FA0032" w:rsidRDefault="00FA0032" w:rsidP="00FA0032">
      <w:pPr>
        <w:jc w:val="both"/>
        <w:rPr>
          <w:bCs/>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рассматриваемый двухлетний период японское бюро продолжало заниматься на японском рынке работой, связанной с системами ИС ВОИС, глобальными базами данных и многосторонними платформами.  Усилия бюро заключались в том, чтобы обеспечить своевременное и качественное обслуживание пользователей этих услуг.  С одной стороны, предоставлялась консультативная помощь и информация в ответ на почти 1</w:t>
      </w:r>
      <w:r>
        <w:t> </w:t>
      </w:r>
      <w:r w:rsidRPr="00FA0032">
        <w:rPr>
          <w:lang w:val="ru-RU"/>
        </w:rPr>
        <w:t>500</w:t>
      </w:r>
      <w:r>
        <w:t> </w:t>
      </w:r>
      <w:r w:rsidRPr="00FA0032">
        <w:rPr>
          <w:lang w:val="ru-RU"/>
        </w:rPr>
        <w:t>запросов, полученных в отчетный период.  С другой стороны, работа бюро заключалась в том, чтобы выйти на пользователей услуг ВОИС и другие заинтересованные стороны, наладить тесное сотрудничество с государственными органами принимающей страны, представителями японской промышленности и университетов и заручиться их поддержкой. В этой связи в рамках информационно-разъяснительной работы были организованы 75</w:t>
      </w:r>
      <w:r>
        <w:t> </w:t>
      </w:r>
      <w:r w:rsidRPr="00FA0032">
        <w:rPr>
          <w:lang w:val="ru-RU"/>
        </w:rPr>
        <w:t>презентаций для ключевых японских партнеров, участие в которых приняли примерно 10</w:t>
      </w:r>
      <w:r>
        <w:t> </w:t>
      </w:r>
      <w:r w:rsidRPr="00FA0032">
        <w:rPr>
          <w:lang w:val="ru-RU"/>
        </w:rPr>
        <w:t>000</w:t>
      </w:r>
      <w:r>
        <w:t> </w:t>
      </w:r>
      <w:r w:rsidRPr="00FA0032">
        <w:rPr>
          <w:lang w:val="ru-RU"/>
        </w:rPr>
        <w:t xml:space="preserve">человек.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Важным достижением рассматриваемого двухлетнего периода стало присоединение Японии к Гаагской системе в феврале 2015</w:t>
      </w:r>
      <w:r>
        <w:t> </w:t>
      </w:r>
      <w:r w:rsidRPr="00FA0032">
        <w:rPr>
          <w:lang w:val="ru-RU"/>
        </w:rPr>
        <w:t>г.; в мае 2015</w:t>
      </w:r>
      <w:r>
        <w:t> </w:t>
      </w:r>
      <w:r w:rsidRPr="00FA0032">
        <w:rPr>
          <w:lang w:val="ru-RU"/>
        </w:rPr>
        <w:t xml:space="preserve">г. эта система начала свою работу.  Японское бюро предоставляло потенциальным пользователям, таким как компании и юридические фирмы, наиболее актуальную информацию о Гаагской системе.  В целях содействия более широкому использованию этой системы </w:t>
      </w:r>
      <w:r>
        <w:t>WJO</w:t>
      </w:r>
      <w:r w:rsidRPr="00FA0032">
        <w:rPr>
          <w:lang w:val="ru-RU"/>
        </w:rPr>
        <w:t xml:space="preserve"> проводило практические учебные занятия, на которых рассказывалось о подаче электронных заявок, и отвечало на вопросы пользователей, чтобы развеять их сомнения и добиться повышения интереса к системе и ее более широкого использования.  К концу двухлетнего периода, за семь с половиной месяцев использования системы, через нее были поданы заявки на 411 промышленных образцов.</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t>WJO</w:t>
      </w:r>
      <w:r w:rsidRPr="00FA0032">
        <w:rPr>
          <w:lang w:val="ru-RU"/>
        </w:rPr>
        <w:t xml:space="preserve"> также проводило работу по информированию общественности о ВОИС и ее деятельности в более широком плане.  Для этого проводилось множество встреч с участием заинтересованных сторон из Японии, обеспечивалось участие в различных мероприятиях, были организованы лекции в университетах и на базе онлайновых платформ, осуществлялось производство флаеров на японском языке, содержащих ключевую информацию, а также размещалась информация о ВОИС на сайте </w:t>
      </w:r>
      <w:r>
        <w:t>WJO</w:t>
      </w:r>
      <w:r w:rsidRPr="00FA0032">
        <w:rPr>
          <w:lang w:val="ru-RU"/>
        </w:rPr>
        <w:t>.  Бюро также продолжило играть важную роль в обеспечении круглосуточного обслуживания пользователей услуг ВОИС.</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Помимо продвижения </w:t>
      </w:r>
      <w:r>
        <w:t>PCT</w:t>
      </w:r>
      <w:r w:rsidRPr="00FA0032">
        <w:rPr>
          <w:lang w:val="ru-RU"/>
        </w:rPr>
        <w:t xml:space="preserve"> и </w:t>
      </w:r>
      <w:r>
        <w:t>PATENTSCOPE</w:t>
      </w:r>
      <w:r w:rsidRPr="00FA0032">
        <w:rPr>
          <w:lang w:val="ru-RU"/>
        </w:rPr>
        <w:t xml:space="preserve">, один из сотрудников </w:t>
      </w:r>
      <w:r>
        <w:t>WJO</w:t>
      </w:r>
      <w:r w:rsidRPr="00FA0032">
        <w:rPr>
          <w:lang w:val="ru-RU"/>
        </w:rPr>
        <w:t>, который активно занимался продвижением Мадридской системы, лично посетил порядка 200 компаний и выступил на множестве семинаров.  Благодаря этой инициативе, которая была направлена на предоставление текущим и потенциальным пользователям наиболее актуальной информации о законодательных изменениях и базах данных товарных знаков, значительно возросло число заявок в рамках Мадридской системы, поданных в Японии (как в ведомстве происхождения): с 1</w:t>
      </w:r>
      <w:r>
        <w:t> </w:t>
      </w:r>
      <w:r w:rsidRPr="00FA0032">
        <w:rPr>
          <w:lang w:val="ru-RU"/>
        </w:rPr>
        <w:t>845 в 2013</w:t>
      </w:r>
      <w:r>
        <w:t> </w:t>
      </w:r>
      <w:r w:rsidRPr="00FA0032">
        <w:rPr>
          <w:lang w:val="ru-RU"/>
        </w:rPr>
        <w:t>г. до 2</w:t>
      </w:r>
      <w:r>
        <w:t> </w:t>
      </w:r>
      <w:r w:rsidRPr="00FA0032">
        <w:rPr>
          <w:lang w:val="ru-RU"/>
        </w:rPr>
        <w:t>167</w:t>
      </w:r>
      <w:r>
        <w:t> </w:t>
      </w:r>
      <w:r w:rsidRPr="00FA0032">
        <w:rPr>
          <w:lang w:val="ru-RU"/>
        </w:rPr>
        <w:t>в 2015</w:t>
      </w:r>
      <w:r>
        <w:t> </w:t>
      </w:r>
      <w:r w:rsidRPr="00FA0032">
        <w:rPr>
          <w:lang w:val="ru-RU"/>
        </w:rPr>
        <w:t>г. (рост на 17</w:t>
      </w:r>
      <w:r>
        <w:t> </w:t>
      </w:r>
      <w:r w:rsidRPr="00FA0032">
        <w:rPr>
          <w:lang w:val="ru-RU"/>
        </w:rPr>
        <w:t xml:space="preserve">процентов).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t>WJO</w:t>
      </w:r>
      <w:r w:rsidRPr="00FA0032">
        <w:rPr>
          <w:lang w:val="ru-RU"/>
        </w:rPr>
        <w:t xml:space="preserve"> также занималось активным продвижением многосторонних платформ ВОИС. Благодаря этим усилиям в рассматриваемый двухлетний период четыре японских института были включены в </w:t>
      </w:r>
      <w:r>
        <w:t>WIPO</w:t>
      </w:r>
      <w:r w:rsidRPr="00FA0032">
        <w:rPr>
          <w:lang w:val="ru-RU"/>
        </w:rPr>
        <w:t xml:space="preserve"> </w:t>
      </w:r>
      <w:r>
        <w:t>GREEN</w:t>
      </w:r>
      <w:r w:rsidRPr="00FA0032">
        <w:rPr>
          <w:lang w:val="ru-RU"/>
        </w:rPr>
        <w:t xml:space="preserve"> в качестве новых партнеров, а одно фармацевтическое учреждение стало членом </w:t>
      </w:r>
      <w:r>
        <w:t>WIPO</w:t>
      </w:r>
      <w:r w:rsidRPr="00FA0032">
        <w:rPr>
          <w:lang w:val="ru-RU"/>
        </w:rPr>
        <w:t xml:space="preserve"> </w:t>
      </w:r>
      <w:r>
        <w:t>Re</w:t>
      </w:r>
      <w:r w:rsidRPr="00FA0032">
        <w:rPr>
          <w:lang w:val="ru-RU"/>
        </w:rPr>
        <w:t>:</w:t>
      </w:r>
      <w:r>
        <w:t>Search</w:t>
      </w:r>
      <w:r w:rsidRPr="00FA0032">
        <w:rPr>
          <w:lang w:val="ru-RU"/>
        </w:rPr>
        <w:t xml:space="preserve">.  Усилия </w:t>
      </w:r>
      <w:r>
        <w:t>WJO</w:t>
      </w:r>
      <w:r w:rsidRPr="00FA0032">
        <w:rPr>
          <w:lang w:val="ru-RU"/>
        </w:rPr>
        <w:t xml:space="preserve"> также способствовали росту числа регистраций в </w:t>
      </w:r>
      <w:r>
        <w:t>WIPO</w:t>
      </w:r>
      <w:r w:rsidRPr="00FA0032">
        <w:rPr>
          <w:lang w:val="ru-RU"/>
        </w:rPr>
        <w:t xml:space="preserve"> </w:t>
      </w:r>
      <w:r>
        <w:t>GREEN</w:t>
      </w:r>
      <w:r w:rsidRPr="00FA0032">
        <w:rPr>
          <w:lang w:val="ru-RU"/>
        </w:rPr>
        <w:t xml:space="preserve">.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Японское бюро играло ключевую роль в налаживании контактов между заинтересованными сторонами в Японии и штаб-квартирой посредством обеспечения позитивного взаимодействия, в частности, с помощью передачи отзывов в соответствующие подразделения в штаб-квартире, создания возможностей для сотрудников ВОИС направлять информацию заинтересованным сторонам о глобальных услугах ВОИС, глобальных базах данных, работе Центра арбитража и посредничества и докладе о положении в области ИС в мире.  </w:t>
      </w:r>
    </w:p>
    <w:p w:rsidR="00FA0032" w:rsidRPr="00FA0032" w:rsidRDefault="00FA0032" w:rsidP="00FA0032">
      <w:pPr>
        <w:pStyle w:val="ListParagraph"/>
        <w:ind w:left="0"/>
        <w:jc w:val="both"/>
        <w:rPr>
          <w:rFonts w:cs="Arial"/>
          <w:lang w:val="ru-RU"/>
        </w:rPr>
      </w:pPr>
      <w:r w:rsidRPr="00FA0032">
        <w:rPr>
          <w:lang w:val="ru-RU"/>
        </w:rPr>
        <w:t xml:space="preserve">  </w:t>
      </w: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Японский целевой фонд (ЦФ), занимающийся вопросами промышленной собственности, продолжал создавать для </w:t>
      </w:r>
      <w:r>
        <w:t>WJO</w:t>
      </w:r>
      <w:r w:rsidRPr="00FA0032">
        <w:rPr>
          <w:lang w:val="ru-RU"/>
        </w:rPr>
        <w:t xml:space="preserve"> ценные возможности по содействию в осуществлении деятельности в Японии.  Бюро продолжало вести и обновлять базу данных тематических исследований, в которых показано успешное использование ИС в интересах развития (</w:t>
      </w:r>
      <w:r>
        <w:t>IP Advantage</w:t>
      </w:r>
      <w:r w:rsidRPr="00FA0032">
        <w:rPr>
          <w:lang w:val="ru-RU"/>
        </w:rPr>
        <w:t xml:space="preserve">), на сайте ВОИС.  </w:t>
      </w:r>
      <w:r>
        <w:t>WJO</w:t>
      </w:r>
      <w:r w:rsidRPr="00FA0032">
        <w:rPr>
          <w:lang w:val="ru-RU"/>
        </w:rPr>
        <w:t xml:space="preserve"> добавило в базу данных 22 новых тематических исследования, касающихся использования ИС МСП и предпринимателями, и теперь в ней представлено 210 исследований.  Бюро провело шесть презентаций в университетах с использованием базы данных </w:t>
      </w:r>
      <w:r>
        <w:t>IP Advantage</w:t>
      </w:r>
      <w:r w:rsidRPr="00FA0032">
        <w:rPr>
          <w:lang w:val="ru-RU"/>
        </w:rPr>
        <w:t xml:space="preserve"> в целях демонстрации реальных примеров того, как ИС способствует развитию.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Японское бюро впервые реализовало четыре стипендиальные программы на основе координации с партнерами из штаб-квартиры (включая Академию ВОИС). В рамках этих программ участники из развивающихся стран Азиатско-Тихоокеанского региона прошли двухнедельное обучение в юридических компаниях Токио, занимающихся ИС.  Эти программы были ориентированы на выпускников магистерской программы ВОИС по праву ИС, и их задача состояла в том, чтобы подкрепить полученные в ходе учебы знания практическим опытом работы с ИС.</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Кроме того, японское бюро стало первым бюро, где было внедрено ИТ-решение под названием Архитектура глобального офиса (</w:t>
      </w:r>
      <w:r>
        <w:t>GOA</w:t>
      </w:r>
      <w:r w:rsidRPr="00FA0032">
        <w:rPr>
          <w:lang w:val="ru-RU"/>
        </w:rPr>
        <w:t>), призванное обеспечить беспрепятственную интеграцию и надежную связь со всеми административными ИТ-системами ВОИС, которые расположены в штаб-квартире.</w:t>
      </w:r>
    </w:p>
    <w:p w:rsidR="00FA0032" w:rsidRPr="00FA0032" w:rsidRDefault="00FA0032" w:rsidP="00FA0032">
      <w:pPr>
        <w:jc w:val="both"/>
        <w:rPr>
          <w:rFonts w:cs="Arial"/>
          <w:bCs/>
          <w:szCs w:val="20"/>
          <w:u w:val="single"/>
          <w:lang w:val="ru-RU"/>
        </w:rPr>
      </w:pPr>
    </w:p>
    <w:p w:rsidR="00FA0032" w:rsidRPr="00FA0032" w:rsidRDefault="00FA0032" w:rsidP="00FA0032">
      <w:pPr>
        <w:jc w:val="both"/>
        <w:rPr>
          <w:rFonts w:cs="Arial"/>
          <w:bCs/>
          <w:szCs w:val="20"/>
          <w:u w:val="single"/>
          <w:lang w:val="ru-RU"/>
        </w:rPr>
      </w:pPr>
    </w:p>
    <w:p w:rsidR="00FA0032" w:rsidRPr="00FA0032" w:rsidRDefault="00FA0032" w:rsidP="00FA0032">
      <w:pPr>
        <w:jc w:val="both"/>
        <w:rPr>
          <w:rFonts w:cs="Arial"/>
          <w:bCs/>
          <w:szCs w:val="20"/>
          <w:u w:val="single"/>
          <w:lang w:val="ru-RU"/>
        </w:rPr>
      </w:pPr>
      <w:r w:rsidRPr="00FA0032">
        <w:rPr>
          <w:u w:val="single"/>
          <w:lang w:val="ru-RU"/>
        </w:rPr>
        <w:t>Бюро ВОИС в Российской Федерации (</w:t>
      </w:r>
      <w:r>
        <w:rPr>
          <w:u w:val="single"/>
        </w:rPr>
        <w:t>WRO</w:t>
      </w:r>
      <w:r w:rsidRPr="00FA0032">
        <w:rPr>
          <w:u w:val="single"/>
          <w:lang w:val="ru-RU"/>
        </w:rPr>
        <w:t>) (Генеральный директор)</w:t>
      </w:r>
    </w:p>
    <w:p w:rsidR="00FA0032" w:rsidRPr="00FA0032" w:rsidRDefault="00FA0032" w:rsidP="00FA0032">
      <w:pPr>
        <w:jc w:val="both"/>
        <w:rPr>
          <w:rFonts w:cs="Arial"/>
          <w:bCs/>
          <w:szCs w:val="20"/>
          <w:u w:val="single"/>
          <w:lang w:val="ru-RU"/>
        </w:rPr>
      </w:pPr>
    </w:p>
    <w:p w:rsidR="00FA0032" w:rsidRPr="00FA0032" w:rsidRDefault="00FA0032" w:rsidP="00BF61DC">
      <w:pPr>
        <w:pStyle w:val="ListParagraph"/>
        <w:numPr>
          <w:ilvl w:val="0"/>
          <w:numId w:val="127"/>
        </w:numPr>
        <w:ind w:left="0" w:firstLine="0"/>
        <w:jc w:val="both"/>
        <w:rPr>
          <w:rFonts w:cs="Arial"/>
          <w:lang w:val="ru-RU"/>
        </w:rPr>
      </w:pPr>
      <w:r>
        <w:t>WRO</w:t>
      </w:r>
      <w:r w:rsidRPr="00FA0032">
        <w:rPr>
          <w:lang w:val="ru-RU"/>
        </w:rPr>
        <w:t xml:space="preserve"> начало функционировать в июле 2014</w:t>
      </w:r>
      <w:r>
        <w:t> </w:t>
      </w:r>
      <w:r w:rsidRPr="00FA0032">
        <w:rPr>
          <w:lang w:val="ru-RU"/>
        </w:rPr>
        <w:t>г. Как и китайское бюро, оно посвятило вторую половину 2014</w:t>
      </w:r>
      <w:r>
        <w:t> </w:t>
      </w:r>
      <w:r w:rsidRPr="00FA0032">
        <w:rPr>
          <w:lang w:val="ru-RU"/>
        </w:rPr>
        <w:t xml:space="preserve">г. тому, чтобы укрепить свои позиции и административную структуру.  С этой целью было налажено тесное сотрудничество с принимающей страной, прежде всего с Федеральной службой по интеллектуальной собственности (РОСПАТЕНТ) и Советом Федерации Федерального собрания Российской Федерации, Судом по интеллектуальным правам и Российской государственной академией интеллектуальной собственности (РГАИС).  Это сотрудничество в значительной степени способствовало тому, что бюро смогло оперативно приступить к выполнению своих обязанностей.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Деятельность </w:t>
      </w:r>
      <w:r>
        <w:t>WRO</w:t>
      </w:r>
      <w:r w:rsidRPr="00FA0032">
        <w:rPr>
          <w:lang w:val="ru-RU"/>
        </w:rPr>
        <w:t xml:space="preserve"> в рассматриваемый двухлетний период была сосредоточена на продвижении услуг ВОИС на российском рынке.  С этой целью бюро приняло участие в ряде национальных мероприятий, организованных РОСПАТЕНТОМ и ВОИС, а также в мероприятиях по созданию потенциала, прошедших в Москве и других городах и посвященных системе РСТ, Мадридской и Гаагской системам.  В рамках этих встреч представилась возможность поддержать усилия Российской Федерации по созданию сети ЦПТИ, укрепить потенциал местных университетов и научно-исследовательских центров в разработке политики в области ИС, а также информировать аудиторию о специфике международной системы ИС.  Кроме того, эти мероприятия позволили недавно созданному </w:t>
      </w:r>
      <w:r>
        <w:t>WRO</w:t>
      </w:r>
      <w:r w:rsidRPr="00FA0032">
        <w:rPr>
          <w:lang w:val="ru-RU"/>
        </w:rPr>
        <w:t xml:space="preserve"> установить контакты с национальными партнерами, например, с Торгово-промышленной палатой, с которой бюро намерено тесно взаимодействовать в будущем, осознавая, что самостоятельно охватить многочисленные и территориально удаленные регионы и области России весьма затруднительно.  </w:t>
      </w:r>
    </w:p>
    <w:p w:rsidR="00FA0032" w:rsidRPr="00FA0032" w:rsidRDefault="00FA0032" w:rsidP="00FA0032">
      <w:pPr>
        <w:rPr>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Бюро также оказывало содействие своей принимающей стране в присоединении к Пекинскому договору, которое состоялось в ноябре 2015</w:t>
      </w:r>
      <w:r>
        <w:t> </w:t>
      </w:r>
      <w:r w:rsidRPr="00FA0032">
        <w:rPr>
          <w:lang w:val="ru-RU"/>
        </w:rPr>
        <w:t>г., а также в отношении готовящихся присоединений к Марракешскому договору и Женевскому акту Гаагского соглашения.</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целях наращивания потенциала местных университетов и исследовательских институтов в области разработки политики по вопросам ИС, потенциала МСП в области эффективного использования ИС для защиты своих бизнес-активов, а также в целях повышения уровня информированности общественности о международной системе ИС, российское бюро поддерживало расширение сети ЦПТИ в Российской Федерации, осуществляя взаимодействие с заинтересованными сторонами из отдаленных регионов страны.</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Получив соответствующее предложение от правительства Российской Федерации, </w:t>
      </w:r>
      <w:r>
        <w:t>WRO</w:t>
      </w:r>
      <w:r w:rsidRPr="00FA0032">
        <w:rPr>
          <w:lang w:val="ru-RU"/>
        </w:rPr>
        <w:t xml:space="preserve"> в конце 2015</w:t>
      </w:r>
      <w:r>
        <w:t> </w:t>
      </w:r>
      <w:r w:rsidRPr="00FA0032">
        <w:rPr>
          <w:lang w:val="ru-RU"/>
        </w:rPr>
        <w:t xml:space="preserve">г. переехало в другое место на западе Москвы в Инновационный центр «Сколково», представляющий собой инновационную экосистему для поддержки новых технологий и инновационных компаний.  Новое место работы оборудовано ИТ-системой </w:t>
      </w:r>
      <w:r>
        <w:t>GOA</w:t>
      </w:r>
      <w:r w:rsidRPr="00FA0032">
        <w:rPr>
          <w:lang w:val="ru-RU"/>
        </w:rPr>
        <w:t>, которая обеспечивает беспрепятственную интеграцию и надежную связь со всеми административными ИТ-системами ВОИС, расположенными в штаб-квартире.</w:t>
      </w:r>
    </w:p>
    <w:p w:rsidR="00FA0032" w:rsidRPr="00FA0032" w:rsidRDefault="00FA0032" w:rsidP="00FA0032">
      <w:pPr>
        <w:jc w:val="both"/>
        <w:rPr>
          <w:rFonts w:cs="Arial"/>
          <w:bCs/>
          <w:szCs w:val="20"/>
          <w:u w:val="single"/>
          <w:lang w:val="ru-RU"/>
        </w:rPr>
      </w:pPr>
    </w:p>
    <w:p w:rsidR="00FA0032" w:rsidRPr="00FA0032" w:rsidRDefault="00FA0032" w:rsidP="00FA0032">
      <w:pPr>
        <w:jc w:val="both"/>
        <w:rPr>
          <w:rFonts w:cs="Arial"/>
          <w:bCs/>
          <w:szCs w:val="20"/>
          <w:u w:val="single"/>
          <w:lang w:val="ru-RU"/>
        </w:rPr>
      </w:pPr>
    </w:p>
    <w:p w:rsidR="00FA0032" w:rsidRPr="00FA0032" w:rsidRDefault="00FA0032" w:rsidP="00FA0032">
      <w:pPr>
        <w:jc w:val="both"/>
        <w:rPr>
          <w:rFonts w:cs="Arial"/>
          <w:szCs w:val="20"/>
          <w:lang w:val="ru-RU"/>
        </w:rPr>
      </w:pPr>
      <w:r w:rsidRPr="00FA0032">
        <w:rPr>
          <w:u w:val="single"/>
          <w:lang w:val="ru-RU"/>
        </w:rPr>
        <w:t>Бюро ВОИС в Сингапуре (</w:t>
      </w:r>
      <w:r>
        <w:rPr>
          <w:u w:val="single"/>
        </w:rPr>
        <w:t>WSO</w:t>
      </w:r>
      <w:r w:rsidRPr="00FA0032">
        <w:rPr>
          <w:u w:val="single"/>
          <w:lang w:val="ru-RU"/>
        </w:rPr>
        <w:t>) (Генеральный директор)</w:t>
      </w:r>
      <w:r w:rsidRPr="00FA0032">
        <w:rPr>
          <w:lang w:val="ru-RU"/>
        </w:rPr>
        <w:t xml:space="preserve"> </w:t>
      </w:r>
    </w:p>
    <w:p w:rsidR="00FA0032" w:rsidRPr="00FA0032" w:rsidRDefault="00FA0032" w:rsidP="00FA0032">
      <w:pPr>
        <w:jc w:val="both"/>
        <w:rPr>
          <w:rFonts w:cs="Arial"/>
          <w:szCs w:val="20"/>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двухлетний период 2014–2015</w:t>
      </w:r>
      <w:r>
        <w:t> </w:t>
      </w:r>
      <w:r w:rsidRPr="00FA0032">
        <w:rPr>
          <w:lang w:val="ru-RU"/>
        </w:rPr>
        <w:t>гг. бюро ВОИС в Сингапуре (</w:t>
      </w:r>
      <w:r>
        <w:t>WSO</w:t>
      </w:r>
      <w:r w:rsidRPr="00FA0032">
        <w:rPr>
          <w:lang w:val="ru-RU"/>
        </w:rPr>
        <w:t>) продолжало укреплять свое присутствие в качестве Центра по оказанию услуг ВОИС и форума по вопросам ИС для государств-членов, международных организаций, НПО и компаний региона, а также свои позиции как ключевой субъект экосистемы ИС в АСЕАН. Бюро продолжало заниматься активным продвижением глобальных услуг ВОИС в АСЕАН.  Основные итоги работы в регионе АСЕАН в 2014–2015</w:t>
      </w:r>
      <w:r>
        <w:t> </w:t>
      </w:r>
      <w:r w:rsidRPr="00FA0032">
        <w:rPr>
          <w:lang w:val="ru-RU"/>
        </w:rPr>
        <w:t>гг. включают в себя: (</w:t>
      </w:r>
      <w:r>
        <w:t>i</w:t>
      </w:r>
      <w:r w:rsidRPr="00FA0032">
        <w:rPr>
          <w:lang w:val="ru-RU"/>
        </w:rPr>
        <w:t>)</w:t>
      </w:r>
      <w:r>
        <w:t> </w:t>
      </w:r>
      <w:r w:rsidRPr="00FA0032">
        <w:rPr>
          <w:lang w:val="ru-RU"/>
        </w:rPr>
        <w:t>рост на 17</w:t>
      </w:r>
      <w:r>
        <w:t> </w:t>
      </w:r>
      <w:r w:rsidRPr="00FA0032">
        <w:rPr>
          <w:lang w:val="ru-RU"/>
        </w:rPr>
        <w:t xml:space="preserve">процентов числа заявок </w:t>
      </w:r>
      <w:r>
        <w:t>PCT</w:t>
      </w:r>
      <w:r w:rsidRPr="00FA0032">
        <w:rPr>
          <w:lang w:val="ru-RU"/>
        </w:rPr>
        <w:t xml:space="preserve"> по сравнению с уровнем 2012–2013</w:t>
      </w:r>
      <w:r>
        <w:t> </w:t>
      </w:r>
      <w:r w:rsidRPr="00FA0032">
        <w:rPr>
          <w:lang w:val="ru-RU"/>
        </w:rPr>
        <w:t>гг. и (</w:t>
      </w:r>
      <w:r>
        <w:t>ii</w:t>
      </w:r>
      <w:r w:rsidRPr="00FA0032">
        <w:rPr>
          <w:lang w:val="ru-RU"/>
        </w:rPr>
        <w:t>)</w:t>
      </w:r>
      <w:r>
        <w:t> </w:t>
      </w:r>
      <w:r w:rsidRPr="00FA0032">
        <w:rPr>
          <w:lang w:val="ru-RU"/>
        </w:rPr>
        <w:t>увеличение числа заявок в рамках Мадридской системы на четыре процента по сравнению с уровнем 2013</w:t>
      </w:r>
      <w:r>
        <w:t> </w:t>
      </w:r>
      <w:r w:rsidRPr="00FA0032">
        <w:rPr>
          <w:lang w:val="ru-RU"/>
        </w:rPr>
        <w:t>г. и на 45</w:t>
      </w:r>
      <w:r>
        <w:t> </w:t>
      </w:r>
      <w:r w:rsidRPr="00FA0032">
        <w:rPr>
          <w:lang w:val="ru-RU"/>
        </w:rPr>
        <w:t>процентов по сравнению с уровнем 2014</w:t>
      </w:r>
      <w:r>
        <w:t> </w:t>
      </w:r>
      <w:r w:rsidRPr="00FA0032">
        <w:rPr>
          <w:lang w:val="ru-RU"/>
        </w:rPr>
        <w:t>г.</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2015</w:t>
      </w:r>
      <w:r>
        <w:t> </w:t>
      </w:r>
      <w:r w:rsidRPr="00FA0032">
        <w:rPr>
          <w:lang w:val="ru-RU"/>
        </w:rPr>
        <w:t>г. исполнилось десять лет с момента основания сингапурского бюро ВОИС.  В ноябре 2015</w:t>
      </w:r>
      <w:r>
        <w:t> </w:t>
      </w:r>
      <w:r w:rsidRPr="00FA0032">
        <w:rPr>
          <w:lang w:val="ru-RU"/>
        </w:rPr>
        <w:t>г. более 130 человек со всего региона АСЕАН собрались на мероприятии по случаю этой даты, где были отмечены те достижения, которые были сделаны за прошедшее десятилетие в контексте ландшафта ИС. Обсуждалась также текущая ситуация и вероятные пути развития Сингапура и АСЕАН в следующие 10 лет.  Среди гостей этого мероприятия были более 15 послов и высоких представителей, а также руководители Сингапура и региональных сообществ, занимающихся вопросами ИС, инноваций и творчества.</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Благодаря организации мероприятий и участию в них вместе с многочисленными партнерами, такими как Азиатский форум «Легальный бизнес» (</w:t>
      </w:r>
      <w:r>
        <w:t>ALB</w:t>
      </w:r>
      <w:r w:rsidRPr="00FA0032">
        <w:rPr>
          <w:lang w:val="ru-RU"/>
        </w:rPr>
        <w:t>), отраслевые торговые палаты и предпринимательские объединения, Общество руководителей лицензионных проектов (</w:t>
      </w:r>
      <w:r>
        <w:t>LES</w:t>
      </w:r>
      <w:r w:rsidRPr="00FA0032">
        <w:rPr>
          <w:lang w:val="ru-RU"/>
        </w:rPr>
        <w:t>) и Национальный университет Сингапура (</w:t>
      </w:r>
      <w:r>
        <w:t>NUS</w:t>
      </w:r>
      <w:r w:rsidRPr="00FA0032">
        <w:rPr>
          <w:lang w:val="ru-RU"/>
        </w:rPr>
        <w:t xml:space="preserve">), </w:t>
      </w:r>
      <w:r>
        <w:t>WSO</w:t>
      </w:r>
      <w:r w:rsidRPr="00FA0032">
        <w:rPr>
          <w:lang w:val="ru-RU"/>
        </w:rPr>
        <w:t xml:space="preserve"> получило возможность донести информацию о глобальных услугах ВОИС в области ИС, программах </w:t>
      </w:r>
      <w:r>
        <w:t>WIPO</w:t>
      </w:r>
      <w:r w:rsidRPr="00FA0032">
        <w:rPr>
          <w:lang w:val="ru-RU"/>
        </w:rPr>
        <w:t xml:space="preserve"> </w:t>
      </w:r>
      <w:r>
        <w:t>GREEN</w:t>
      </w:r>
      <w:r w:rsidRPr="00FA0032">
        <w:rPr>
          <w:lang w:val="ru-RU"/>
        </w:rPr>
        <w:t xml:space="preserve">, </w:t>
      </w:r>
      <w:r>
        <w:t>WIPO</w:t>
      </w:r>
      <w:r w:rsidRPr="00FA0032">
        <w:rPr>
          <w:lang w:val="ru-RU"/>
        </w:rPr>
        <w:t xml:space="preserve"> </w:t>
      </w:r>
      <w:r>
        <w:t>Re</w:t>
      </w:r>
      <w:r w:rsidRPr="00FA0032">
        <w:rPr>
          <w:lang w:val="ru-RU"/>
        </w:rPr>
        <w:t>:</w:t>
      </w:r>
      <w:r>
        <w:t>Search</w:t>
      </w:r>
      <w:r w:rsidRPr="00FA0032">
        <w:rPr>
          <w:lang w:val="ru-RU"/>
        </w:rPr>
        <w:t xml:space="preserve">, глобальных базах данных ВОИС, программе ЦПТИ и проекте </w:t>
      </w:r>
      <w:r>
        <w:t>WIPO</w:t>
      </w:r>
      <w:r w:rsidRPr="00FA0032">
        <w:rPr>
          <w:lang w:val="ru-RU"/>
        </w:rPr>
        <w:t xml:space="preserve"> </w:t>
      </w:r>
      <w:r>
        <w:t>CASE</w:t>
      </w:r>
      <w:r w:rsidRPr="00FA0032">
        <w:rPr>
          <w:lang w:val="ru-RU"/>
        </w:rPr>
        <w:t xml:space="preserve"> до широкой аудитории заинтересованных сторон и пользователей.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 xml:space="preserve">В рассматриваемый двухлетний период было продолжено тесное взаимодействие со странами АСЕАН, и </w:t>
      </w:r>
      <w:r>
        <w:t>WSO</w:t>
      </w:r>
      <w:r w:rsidRPr="00FA0032">
        <w:rPr>
          <w:lang w:val="ru-RU"/>
        </w:rPr>
        <w:t xml:space="preserve"> все чаще играло ключевую роль в координации мероприятий, проводимых по просьбам Рабочей группы по сотрудничеству в области ИС (</w:t>
      </w:r>
      <w:r>
        <w:t>AWGIPC</w:t>
      </w:r>
      <w:r w:rsidRPr="00FA0032">
        <w:rPr>
          <w:lang w:val="ru-RU"/>
        </w:rPr>
        <w:t>) в рамках реализации Плана действий по охране ПИС в странах АСЕАН на 2011–2015</w:t>
      </w:r>
      <w:r>
        <w:t> </w:t>
      </w:r>
      <w:r w:rsidRPr="00FA0032">
        <w:rPr>
          <w:lang w:val="ru-RU"/>
        </w:rPr>
        <w:t>гг., в контексте задачи по созданию экономического сообщества АСЕАН (ЭСА) к концу 2015</w:t>
      </w:r>
      <w:r>
        <w:t> </w:t>
      </w:r>
      <w:r w:rsidRPr="00FA0032">
        <w:rPr>
          <w:lang w:val="ru-RU"/>
        </w:rPr>
        <w:t xml:space="preserve">г.  Кроме того, во всех странах АСЕАН были организованы семинары, призванные активизировать усилия по присоединению этих стран к Мадридской и Гаагской системам. Благодаря партнерским отношениям, установленным с заинтересованными сторонами и партнерами, на базе </w:t>
      </w:r>
      <w:r>
        <w:t>WSO</w:t>
      </w:r>
      <w:r w:rsidRPr="00FA0032">
        <w:rPr>
          <w:lang w:val="ru-RU"/>
        </w:rPr>
        <w:t xml:space="preserve"> были организованы такие крупные мероприятия, как субрегиональный семинар по тематике Гаагской системы для стран АСЕАН при содействии Ведомства по гармонизации на внутреннем рынке в рамках проекта по охране прав ИС, реализуемого ЕС и АСЕАН (</w:t>
      </w:r>
      <w:r>
        <w:t>OHIM</w:t>
      </w:r>
      <w:r w:rsidRPr="00FA0032">
        <w:rPr>
          <w:lang w:val="ru-RU"/>
        </w:rPr>
        <w:t>/</w:t>
      </w:r>
      <w:r>
        <w:t>ECAP</w:t>
      </w:r>
      <w:r w:rsidRPr="00FA0032">
        <w:rPr>
          <w:lang w:val="ru-RU"/>
        </w:rPr>
        <w:t xml:space="preserve"> </w:t>
      </w:r>
      <w:r>
        <w:t>III</w:t>
      </w:r>
      <w:r w:rsidRPr="00FA0032">
        <w:rPr>
          <w:lang w:val="ru-RU"/>
        </w:rPr>
        <w:t xml:space="preserve">), а также субрегиональный семинар по тематике Мадридской системы для экспертов по товарным знакам стран АСЕАН под эгидой стран-участниц Соглашения о создании зоны свободной торговли стран АСЕАН, Австралии и Новой Зеландии (ААНЗЗСТ) и ВОИС. </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2014–2015</w:t>
      </w:r>
      <w:r>
        <w:t> </w:t>
      </w:r>
      <w:r w:rsidRPr="00FA0032">
        <w:rPr>
          <w:lang w:val="ru-RU"/>
        </w:rPr>
        <w:t xml:space="preserve">гг. </w:t>
      </w:r>
      <w:r>
        <w:t>WSO</w:t>
      </w:r>
      <w:r w:rsidRPr="00FA0032">
        <w:rPr>
          <w:lang w:val="ru-RU"/>
        </w:rPr>
        <w:t xml:space="preserve"> продолжило работу по реализации положений МоВ, подписанного между ВОИС и правительством Сингапура, в котором основное внимание уделяется повышению уровня квалификации и знаний сотрудников ведомств ИС и заинтересованных сторон из стран Азиатско-Тихоокеанского региона, и выступило в качестве организатора и соорганизатора трех региональных семинаров.  Кроме того, для 34 государств-членов было организовано 27 мероприятий технической помощи по содействию более эффективной реализации систем управления правами ИС или связанных с использованием Мадридской и Гаагской систем, авторского права и смежных прав, касающихся деятельности ОКУ, образования, повышения информированности и укрепления потенциала.  В рассматриваемый двухлетний период </w:t>
      </w:r>
      <w:r>
        <w:t>WSO</w:t>
      </w:r>
      <w:r w:rsidRPr="00FA0032">
        <w:rPr>
          <w:lang w:val="ru-RU"/>
        </w:rPr>
        <w:t xml:space="preserve"> также организовало 17</w:t>
      </w:r>
      <w:r>
        <w:t> </w:t>
      </w:r>
      <w:r w:rsidRPr="00FA0032">
        <w:rPr>
          <w:lang w:val="ru-RU"/>
        </w:rPr>
        <w:t>поездок для заинтересованных сторон, связанных с ИС, из разных стран региона и ведущих учреждений Сингапура (в 2013</w:t>
      </w:r>
      <w:r>
        <w:t> </w:t>
      </w:r>
      <w:r w:rsidRPr="00FA0032">
        <w:rPr>
          <w:lang w:val="ru-RU"/>
        </w:rPr>
        <w:t>г. было организовано 6</w:t>
      </w:r>
      <w:r>
        <w:t> </w:t>
      </w:r>
      <w:r w:rsidRPr="00FA0032">
        <w:rPr>
          <w:lang w:val="ru-RU"/>
        </w:rPr>
        <w:t xml:space="preserve">таких поездок).  </w:t>
      </w:r>
      <w:r>
        <w:t>WSO</w:t>
      </w:r>
      <w:r w:rsidRPr="00FA0032">
        <w:rPr>
          <w:lang w:val="ru-RU"/>
        </w:rPr>
        <w:t xml:space="preserve"> также взаимодействовало с Ведомством интеллектуальной собственности Сингапура (</w:t>
      </w:r>
      <w:r>
        <w:t>IPOS</w:t>
      </w:r>
      <w:r w:rsidRPr="00FA0032">
        <w:rPr>
          <w:lang w:val="ru-RU"/>
        </w:rPr>
        <w:t xml:space="preserve">) в организации важных мероприятий и практикумов, а также в организации выступлений на ежегодном региональном мероприятии в рамках инициатив </w:t>
      </w:r>
      <w:r>
        <w:t>IP Week</w:t>
      </w:r>
      <w:r w:rsidRPr="00FA0032">
        <w:rPr>
          <w:lang w:val="ru-RU"/>
        </w:rPr>
        <w:t>@</w:t>
      </w:r>
      <w:r>
        <w:t>SG</w:t>
      </w:r>
      <w:r w:rsidRPr="00FA0032">
        <w:rPr>
          <w:lang w:val="ru-RU"/>
        </w:rPr>
        <w:t xml:space="preserve"> для представителей органов власти, частных компаний, изобретателей и авторов.  Кроме того, были организованы шесть практикумов по широкому кругу вопросов.  Сингапурское бюро продолжало поддерживать деятельность, осуществляемую ЦАП ВОИС, обеспечивая его присутствие в Сингапуре.</w:t>
      </w:r>
    </w:p>
    <w:p w:rsidR="00FA0032" w:rsidRPr="00FA0032" w:rsidRDefault="00FA0032" w:rsidP="00FA0032">
      <w:pPr>
        <w:pStyle w:val="ListParagraph"/>
        <w:ind w:left="0"/>
        <w:jc w:val="both"/>
        <w:rPr>
          <w:rFonts w:cs="Arial"/>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2014</w:t>
      </w:r>
      <w:r>
        <w:t> </w:t>
      </w:r>
      <w:r w:rsidRPr="00FA0032">
        <w:rPr>
          <w:lang w:val="ru-RU"/>
        </w:rPr>
        <w:t xml:space="preserve">г. деятельность по информированию общественности включала выступления сотрудников </w:t>
      </w:r>
      <w:r>
        <w:t>WSO</w:t>
      </w:r>
      <w:r w:rsidRPr="00FA0032">
        <w:rPr>
          <w:lang w:val="ru-RU"/>
        </w:rPr>
        <w:t xml:space="preserve"> на ключевых мероприятиях и конференциях межправительственных организаций, НПО, национальных учреждений стран региона и организаций, базирующихся в Сингапуре, таких как Ассоциация ИС стран АСЕАН (</w:t>
      </w:r>
      <w:r>
        <w:t>AIPA</w:t>
      </w:r>
      <w:r w:rsidRPr="00FA0032">
        <w:rPr>
          <w:lang w:val="ru-RU"/>
        </w:rPr>
        <w:t>), форум Азиатско-Тихоокеанского экономического сотрудничества (АТЭС), фонд «Азия-Европа» (</w:t>
      </w:r>
      <w:r>
        <w:t>ASEF</w:t>
      </w:r>
      <w:r w:rsidRPr="00FA0032">
        <w:rPr>
          <w:lang w:val="ru-RU"/>
        </w:rPr>
        <w:t>), Ассоциация ИС Малайзии (</w:t>
      </w:r>
      <w:r>
        <w:t>MIPA</w:t>
      </w:r>
      <w:r w:rsidRPr="00FA0032">
        <w:rPr>
          <w:lang w:val="ru-RU"/>
        </w:rPr>
        <w:t>), Экономический институт стран АСЕАН и Восточной Азии (</w:t>
      </w:r>
      <w:r>
        <w:t>ERIA</w:t>
      </w:r>
      <w:r w:rsidRPr="00FA0032">
        <w:rPr>
          <w:lang w:val="ru-RU"/>
        </w:rPr>
        <w:t>), Конфедерация международных обществ авторов и композиторов (</w:t>
      </w:r>
      <w:r>
        <w:t>CISAC</w:t>
      </w:r>
      <w:r w:rsidRPr="00FA0032">
        <w:rPr>
          <w:lang w:val="ru-RU"/>
        </w:rPr>
        <w:t xml:space="preserve">), а также Центральный суд по вопросам ИС и Международный коммерческий суд Таиланда. В этой связи ряд делегатов посетили </w:t>
      </w:r>
      <w:r>
        <w:t>WSO</w:t>
      </w:r>
      <w:r w:rsidRPr="00FA0032">
        <w:rPr>
          <w:lang w:val="ru-RU"/>
        </w:rPr>
        <w:t xml:space="preserve"> с ознакомительными визитами, в ходе которых был охвачен широкий спектр вопросов ПИС и деятельности ВОИС. Бюро также укрепляло контакты с научными кругами, принимая участие в регулярных лекциях, которые проводились в Национальном университете Сингапура (</w:t>
      </w:r>
      <w:r>
        <w:t>NUS</w:t>
      </w:r>
      <w:r w:rsidRPr="00FA0032">
        <w:rPr>
          <w:lang w:val="ru-RU"/>
        </w:rPr>
        <w:t>), Сингапурском университете управления (</w:t>
      </w:r>
      <w:r>
        <w:t>SMU</w:t>
      </w:r>
      <w:r w:rsidRPr="00FA0032">
        <w:rPr>
          <w:lang w:val="ru-RU"/>
        </w:rPr>
        <w:t xml:space="preserve">) и кампусе Сорбонна – Ассас школы бизнеса </w:t>
      </w:r>
      <w:r>
        <w:t>INSEAD</w:t>
      </w:r>
      <w:r w:rsidRPr="00FA0032">
        <w:rPr>
          <w:lang w:val="ru-RU"/>
        </w:rPr>
        <w:t xml:space="preserve"> Сингапура.  Участие в работе летних школ ВОИС в Сингапуре, Республике Корея и Индии, а также работа в рамках магистерской программы по праву в Австралии и участие в обсуждениях деятельности обществ коллективного управления правами в Японии тоже способствовало расширению географического охвата его деятельности. </w:t>
      </w:r>
    </w:p>
    <w:p w:rsidR="00FA0032" w:rsidRPr="00FA0032" w:rsidRDefault="00FA0032" w:rsidP="00FA0032">
      <w:pPr>
        <w:pStyle w:val="ListParagraph"/>
        <w:ind w:left="0"/>
        <w:jc w:val="both"/>
        <w:rPr>
          <w:rFonts w:cs="Arial"/>
          <w:lang w:val="ru-RU"/>
        </w:rPr>
      </w:pPr>
      <w:r w:rsidRPr="00FA0032">
        <w:rPr>
          <w:lang w:val="ru-RU"/>
        </w:rPr>
        <w:t xml:space="preserve"> </w:t>
      </w: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В 2015</w:t>
      </w:r>
      <w:r>
        <w:t> </w:t>
      </w:r>
      <w:r w:rsidRPr="00FA0032">
        <w:rPr>
          <w:lang w:val="ru-RU"/>
        </w:rPr>
        <w:t xml:space="preserve">г. проводилась интеграция </w:t>
      </w:r>
      <w:r>
        <w:t>WSO</w:t>
      </w:r>
      <w:r w:rsidRPr="00FA0032">
        <w:rPr>
          <w:lang w:val="ru-RU"/>
        </w:rPr>
        <w:t xml:space="preserve"> в более широкую ИТ-среду ВОИС через </w:t>
      </w:r>
      <w:r>
        <w:t>GOA</w:t>
      </w:r>
      <w:r w:rsidRPr="00FA0032">
        <w:rPr>
          <w:lang w:val="ru-RU"/>
        </w:rPr>
        <w:t xml:space="preserve">, что дало сотрудникам бюро возможность безопасного доступа ко всему спектру административных ИТ-систем ВОИС, расположенных в штаб-квартире, и значительно расширило возможности по проведению видеоконференций. Такие возможности вместе с системой </w:t>
      </w:r>
      <w:r>
        <w:t>IP</w:t>
      </w:r>
      <w:r w:rsidRPr="00FA0032">
        <w:rPr>
          <w:lang w:val="ru-RU"/>
        </w:rPr>
        <w:t xml:space="preserve"> </w:t>
      </w:r>
      <w:r>
        <w:t>Phone</w:t>
      </w:r>
      <w:r w:rsidRPr="00FA0032">
        <w:rPr>
          <w:lang w:val="ru-RU"/>
        </w:rPr>
        <w:t xml:space="preserve">, которая была внедрена в </w:t>
      </w:r>
      <w:r>
        <w:t>WSO</w:t>
      </w:r>
      <w:r w:rsidRPr="00FA0032">
        <w:rPr>
          <w:lang w:val="ru-RU"/>
        </w:rPr>
        <w:t xml:space="preserve"> в 2014</w:t>
      </w:r>
      <w:r>
        <w:t> </w:t>
      </w:r>
      <w:r w:rsidRPr="00FA0032">
        <w:rPr>
          <w:lang w:val="ru-RU"/>
        </w:rPr>
        <w:t xml:space="preserve">г., значительно укрепили связь между штаб-квартирой и </w:t>
      </w:r>
      <w:r>
        <w:t>WSO</w:t>
      </w:r>
      <w:r w:rsidRPr="00FA0032">
        <w:rPr>
          <w:lang w:val="ru-RU"/>
        </w:rPr>
        <w:t>.  Бюро также продолжило играть ключевую роль в обеспечении круглосуточного обслуживания пользователей услуг ВОИС.</w:t>
      </w:r>
    </w:p>
    <w:p w:rsidR="00D340AF" w:rsidRPr="00EE0D83" w:rsidRDefault="00D340AF">
      <w:pPr>
        <w:rPr>
          <w:color w:val="000000"/>
          <w:lang w:val="ru-RU"/>
        </w:rPr>
      </w:pPr>
      <w:r w:rsidRPr="00EE0D83">
        <w:rPr>
          <w:color w:val="000000"/>
          <w:lang w:val="ru-RU"/>
        </w:rPr>
        <w:br w:type="page"/>
      </w:r>
    </w:p>
    <w:p w:rsidR="00FA0032" w:rsidRPr="009A4846" w:rsidRDefault="00FA0032" w:rsidP="00FA0032">
      <w:pPr>
        <w:rPr>
          <w:rFonts w:cs="Arial"/>
          <w:color w:val="000000"/>
          <w:szCs w:val="20"/>
        </w:rPr>
      </w:pPr>
      <w:r>
        <w:rPr>
          <w:color w:val="000000"/>
        </w:rPr>
        <w:t>ДАННЫЕ О РЕЗУЛЬТАТИВНОСТИ</w:t>
      </w:r>
      <w:r>
        <w:rPr>
          <w:rStyle w:val="FootnoteReference"/>
          <w:color w:val="000000"/>
        </w:rPr>
        <w:footnoteReference w:id="108"/>
      </w:r>
    </w:p>
    <w:p w:rsidR="00FA0032" w:rsidRDefault="00FA0032" w:rsidP="00FA0032">
      <w:pPr>
        <w:rPr>
          <w:rFonts w:cs="Arial"/>
          <w:color w:val="000000"/>
          <w:szCs w:val="20"/>
        </w:rPr>
      </w:pPr>
    </w:p>
    <w:tbl>
      <w:tblPr>
        <w:tblW w:w="51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137"/>
        <w:gridCol w:w="1244"/>
        <w:gridCol w:w="2956"/>
        <w:gridCol w:w="1316"/>
        <w:gridCol w:w="18"/>
      </w:tblGrid>
      <w:tr w:rsidR="00FA0032" w:rsidRPr="005C6ABD" w:rsidTr="00D340AF">
        <w:tc>
          <w:tcPr>
            <w:tcW w:w="5000" w:type="pct"/>
            <w:gridSpan w:val="6"/>
            <w:tcBorders>
              <w:bottom w:val="single" w:sz="4" w:space="0" w:color="auto"/>
            </w:tcBorders>
            <w:shd w:val="clear" w:color="auto" w:fill="C6D9F1" w:themeFill="text2" w:themeFillTint="33"/>
          </w:tcPr>
          <w:p w:rsidR="00FA0032" w:rsidRPr="00FA0032" w:rsidRDefault="00FA0032" w:rsidP="00D340AF">
            <w:pPr>
              <w:keepNext/>
              <w:keepLines/>
              <w:tabs>
                <w:tab w:val="left" w:pos="-250"/>
              </w:tabs>
              <w:spacing w:before="120" w:after="120"/>
              <w:ind w:left="2302" w:hanging="2302"/>
              <w:rPr>
                <w:rFonts w:eastAsia="SimSun" w:cs="Arial"/>
                <w:b/>
                <w:bCs/>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color w:val="000000"/>
                <w:sz w:val="16"/>
                <w:szCs w:val="16"/>
              </w:rPr>
              <w:t>II</w:t>
            </w:r>
            <w:r w:rsidRPr="00FA0032">
              <w:rPr>
                <w:color w:val="000000"/>
                <w:sz w:val="16"/>
                <w:szCs w:val="16"/>
                <w:lang w:val="ru-RU"/>
              </w:rPr>
              <w:t xml:space="preserve">.1. Более широкое использование возможностей </w:t>
            </w:r>
            <w:r w:rsidRPr="00CD2604">
              <w:rPr>
                <w:color w:val="000000"/>
                <w:sz w:val="16"/>
                <w:szCs w:val="16"/>
              </w:rPr>
              <w:t>PCT</w:t>
            </w:r>
            <w:r w:rsidR="00D340AF">
              <w:rPr>
                <w:color w:val="000000"/>
                <w:sz w:val="16"/>
                <w:szCs w:val="16"/>
                <w:lang w:val="ru-RU"/>
              </w:rPr>
              <w:t xml:space="preserve"> для подачи международных </w:t>
            </w:r>
            <w:r w:rsidRPr="00FA0032">
              <w:rPr>
                <w:color w:val="000000"/>
                <w:sz w:val="16"/>
                <w:szCs w:val="16"/>
                <w:lang w:val="ru-RU"/>
              </w:rPr>
              <w:t>патентных заявок</w:t>
            </w:r>
          </w:p>
        </w:tc>
      </w:tr>
      <w:tr w:rsidR="00FA0032" w:rsidRPr="00CD2604" w:rsidTr="00D340AF">
        <w:trPr>
          <w:gridAfter w:val="1"/>
          <w:wAfter w:w="8" w:type="pct"/>
        </w:trPr>
        <w:tc>
          <w:tcPr>
            <w:tcW w:w="1141" w:type="pct"/>
            <w:tcBorders>
              <w:top w:val="single" w:sz="4" w:space="0" w:color="auto"/>
              <w:left w:val="single" w:sz="4" w:space="0" w:color="auto"/>
              <w:bottom w:val="nil"/>
              <w:right w:val="nil"/>
            </w:tcBorders>
            <w:shd w:val="clear" w:color="auto" w:fill="auto"/>
          </w:tcPr>
          <w:p w:rsidR="00FA0032" w:rsidRPr="00CD2604" w:rsidRDefault="00FA0032" w:rsidP="00C61544">
            <w:pPr>
              <w:rPr>
                <w:rFonts w:eastAsia="SimSun" w:cs="Arial"/>
                <w:sz w:val="16"/>
                <w:szCs w:val="16"/>
              </w:rPr>
            </w:pPr>
            <w:r w:rsidRPr="00CD2604">
              <w:rPr>
                <w:b/>
                <w:sz w:val="16"/>
                <w:szCs w:val="16"/>
              </w:rPr>
              <w:t>Показатели результативности</w:t>
            </w:r>
          </w:p>
        </w:tc>
        <w:tc>
          <w:tcPr>
            <w:tcW w:w="1075" w:type="pct"/>
            <w:tcBorders>
              <w:top w:val="single" w:sz="4" w:space="0" w:color="auto"/>
              <w:left w:val="nil"/>
              <w:bottom w:val="nil"/>
              <w:right w:val="nil"/>
            </w:tcBorders>
            <w:shd w:val="clear" w:color="auto" w:fill="auto"/>
          </w:tcPr>
          <w:p w:rsidR="00FA0032" w:rsidRPr="00CD2604" w:rsidRDefault="00FA0032" w:rsidP="00C61544">
            <w:pPr>
              <w:rPr>
                <w:rFonts w:eastAsia="SimSun" w:cs="Arial"/>
                <w:b/>
                <w:bCs/>
                <w:sz w:val="16"/>
                <w:szCs w:val="16"/>
              </w:rPr>
            </w:pPr>
            <w:r w:rsidRPr="00CD2604">
              <w:rPr>
                <w:b/>
                <w:sz w:val="16"/>
                <w:szCs w:val="16"/>
              </w:rPr>
              <w:t>Базовые показатели</w:t>
            </w:r>
          </w:p>
        </w:tc>
        <w:tc>
          <w:tcPr>
            <w:tcW w:w="626" w:type="pct"/>
            <w:tcBorders>
              <w:top w:val="single" w:sz="4" w:space="0" w:color="auto"/>
              <w:left w:val="nil"/>
              <w:bottom w:val="nil"/>
              <w:right w:val="nil"/>
            </w:tcBorders>
            <w:shd w:val="clear" w:color="auto" w:fill="auto"/>
            <w:tcMar>
              <w:top w:w="110" w:type="dxa"/>
            </w:tcMar>
          </w:tcPr>
          <w:p w:rsidR="00FA0032" w:rsidRPr="00CD2604" w:rsidRDefault="00FA0032" w:rsidP="00C61544">
            <w:pPr>
              <w:rPr>
                <w:rFonts w:eastAsia="SimSun" w:cs="Arial"/>
                <w:b/>
                <w:sz w:val="16"/>
                <w:szCs w:val="16"/>
              </w:rPr>
            </w:pPr>
            <w:r w:rsidRPr="00CD2604">
              <w:rPr>
                <w:b/>
                <w:sz w:val="16"/>
                <w:szCs w:val="16"/>
              </w:rPr>
              <w:t>Цели</w:t>
            </w:r>
          </w:p>
        </w:tc>
        <w:tc>
          <w:tcPr>
            <w:tcW w:w="1487" w:type="pct"/>
            <w:tcBorders>
              <w:top w:val="single" w:sz="4"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r w:rsidRPr="00CD2604">
              <w:rPr>
                <w:rStyle w:val="FootnoteReference"/>
                <w:b/>
                <w:szCs w:val="16"/>
              </w:rPr>
              <w:footnoteReference w:id="109"/>
            </w:r>
          </w:p>
        </w:tc>
        <w:tc>
          <w:tcPr>
            <w:tcW w:w="662" w:type="pct"/>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jc w:val="center"/>
              <w:rPr>
                <w:rFonts w:eastAsia="SimSun" w:cs="Arial"/>
                <w:b/>
                <w:bCs/>
                <w:sz w:val="16"/>
                <w:szCs w:val="16"/>
              </w:rPr>
            </w:pPr>
            <w:r w:rsidRPr="00CD2604">
              <w:rPr>
                <w:b/>
                <w:sz w:val="16"/>
                <w:szCs w:val="16"/>
              </w:rPr>
              <w:t>CC</w:t>
            </w:r>
          </w:p>
        </w:tc>
      </w:tr>
      <w:tr w:rsidR="00FA0032" w:rsidRPr="00CD2604" w:rsidTr="00D340AF">
        <w:trPr>
          <w:gridAfter w:val="1"/>
          <w:wAfter w:w="8" w:type="pct"/>
        </w:trPr>
        <w:tc>
          <w:tcPr>
            <w:tcW w:w="1141" w:type="pct"/>
            <w:tcBorders>
              <w:top w:val="nil"/>
              <w:left w:val="single" w:sz="4" w:space="0" w:color="auto"/>
              <w:bottom w:val="nil"/>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Процент заявок, подаваемых по процедуре РСТ</w:t>
            </w:r>
            <w:r w:rsidRPr="00CD2604">
              <w:rPr>
                <w:rStyle w:val="FootnoteReference"/>
                <w:color w:val="000000"/>
                <w:szCs w:val="16"/>
              </w:rPr>
              <w:footnoteReference w:id="110"/>
            </w:r>
          </w:p>
        </w:tc>
        <w:tc>
          <w:tcPr>
            <w:tcW w:w="1075" w:type="pct"/>
            <w:tcBorders>
              <w:top w:val="nil"/>
              <w:left w:val="nil"/>
              <w:bottom w:val="nil"/>
              <w:right w:val="nil"/>
            </w:tcBorders>
            <w:shd w:val="clear" w:color="auto" w:fill="auto"/>
          </w:tcPr>
          <w:p w:rsidR="00FA0032" w:rsidRPr="00FA0032" w:rsidRDefault="00FA0032" w:rsidP="00C61544">
            <w:pPr>
              <w:rPr>
                <w:rFonts w:cs="Arial"/>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г.:</w:t>
            </w:r>
            <w:r w:rsidRPr="00FA0032">
              <w:rPr>
                <w:color w:val="002060"/>
                <w:sz w:val="16"/>
                <w:szCs w:val="16"/>
                <w:lang w:val="ru-RU"/>
              </w:rPr>
              <w:t xml:space="preserve">   </w:t>
            </w:r>
          </w:p>
          <w:p w:rsidR="00FA0032" w:rsidRPr="00CD2604" w:rsidRDefault="00FA0032" w:rsidP="00C61544">
            <w:pPr>
              <w:rPr>
                <w:rFonts w:cs="Arial"/>
                <w:color w:val="002060"/>
                <w:sz w:val="16"/>
                <w:szCs w:val="16"/>
              </w:rPr>
            </w:pPr>
            <w:r w:rsidRPr="00CD2604">
              <w:rPr>
                <w:color w:val="002060"/>
                <w:sz w:val="16"/>
                <w:szCs w:val="16"/>
              </w:rPr>
              <w:t>2012 г</w:t>
            </w:r>
            <w:r>
              <w:rPr>
                <w:color w:val="002060"/>
                <w:sz w:val="16"/>
                <w:szCs w:val="16"/>
              </w:rPr>
              <w:t xml:space="preserve">.: </w:t>
            </w:r>
            <w:r w:rsidRPr="00CD2604">
              <w:rPr>
                <w:color w:val="002060"/>
                <w:sz w:val="16"/>
                <w:szCs w:val="16"/>
              </w:rPr>
              <w:t xml:space="preserve">588         </w:t>
            </w:r>
          </w:p>
          <w:p w:rsidR="00FA0032" w:rsidRPr="00CD2604" w:rsidRDefault="00FA0032" w:rsidP="00C61544">
            <w:pPr>
              <w:rPr>
                <w:rFonts w:cs="Arial"/>
                <w:color w:val="002060"/>
                <w:sz w:val="16"/>
                <w:szCs w:val="16"/>
              </w:rPr>
            </w:pPr>
            <w:r w:rsidRPr="00CD2604">
              <w:rPr>
                <w:color w:val="002060"/>
                <w:sz w:val="16"/>
                <w:szCs w:val="16"/>
              </w:rPr>
              <w:t>2013 г</w:t>
            </w:r>
            <w:r>
              <w:rPr>
                <w:color w:val="002060"/>
                <w:sz w:val="16"/>
                <w:szCs w:val="16"/>
              </w:rPr>
              <w:t>.:</w:t>
            </w:r>
            <w:r w:rsidRPr="00CD2604">
              <w:rPr>
                <w:color w:val="002060"/>
                <w:sz w:val="16"/>
                <w:szCs w:val="16"/>
              </w:rPr>
              <w:t xml:space="preserve"> 657 (WBO)</w:t>
            </w:r>
          </w:p>
          <w:p w:rsidR="00FA0032" w:rsidRPr="00CD2604" w:rsidRDefault="00FA0032" w:rsidP="00C61544">
            <w:pPr>
              <w:spacing w:before="60"/>
              <w:ind w:right="-72"/>
              <w:rPr>
                <w:rFonts w:cs="Arial"/>
                <w:color w:val="002060"/>
                <w:sz w:val="16"/>
                <w:szCs w:val="16"/>
              </w:rPr>
            </w:pPr>
            <w:r w:rsidRPr="00CD2604">
              <w:rPr>
                <w:color w:val="002060"/>
                <w:sz w:val="16"/>
                <w:szCs w:val="16"/>
              </w:rPr>
              <w:t>2012 г</w:t>
            </w:r>
            <w:r>
              <w:rPr>
                <w:color w:val="002060"/>
                <w:sz w:val="16"/>
                <w:szCs w:val="16"/>
              </w:rPr>
              <w:t xml:space="preserve">.: </w:t>
            </w:r>
            <w:r w:rsidRPr="00CD2604">
              <w:rPr>
                <w:color w:val="002060"/>
                <w:sz w:val="16"/>
                <w:szCs w:val="16"/>
              </w:rPr>
              <w:t xml:space="preserve">43 523      </w:t>
            </w:r>
          </w:p>
          <w:p w:rsidR="00FA0032" w:rsidRPr="00CD2604" w:rsidRDefault="00FA0032" w:rsidP="00C61544">
            <w:pPr>
              <w:ind w:right="-76"/>
              <w:rPr>
                <w:rFonts w:cs="Arial"/>
                <w:color w:val="002060"/>
                <w:sz w:val="16"/>
                <w:szCs w:val="16"/>
              </w:rPr>
            </w:pPr>
            <w:r w:rsidRPr="00CD2604">
              <w:rPr>
                <w:color w:val="002060"/>
                <w:sz w:val="16"/>
                <w:szCs w:val="16"/>
              </w:rPr>
              <w:t>2013 г</w:t>
            </w:r>
            <w:r>
              <w:rPr>
                <w:color w:val="002060"/>
                <w:sz w:val="16"/>
                <w:szCs w:val="16"/>
              </w:rPr>
              <w:t xml:space="preserve">.: </w:t>
            </w:r>
            <w:r w:rsidRPr="00CD2604">
              <w:rPr>
                <w:color w:val="002060"/>
                <w:sz w:val="16"/>
                <w:szCs w:val="16"/>
              </w:rPr>
              <w:t xml:space="preserve">43 771 (WJO)  </w:t>
            </w:r>
          </w:p>
          <w:p w:rsidR="00FA0032" w:rsidRPr="00FA0032" w:rsidRDefault="00FA0032" w:rsidP="00C61544">
            <w:pPr>
              <w:spacing w:before="60"/>
              <w:rPr>
                <w:rFonts w:cs="Arial"/>
                <w:color w:val="002060"/>
                <w:sz w:val="16"/>
                <w:szCs w:val="16"/>
                <w:lang w:val="ru-RU"/>
              </w:rPr>
            </w:pPr>
            <w:r w:rsidRPr="00FA0032">
              <w:rPr>
                <w:color w:val="002060"/>
                <w:sz w:val="16"/>
                <w:szCs w:val="16"/>
                <w:lang w:val="ru-RU"/>
              </w:rPr>
              <w:t>2012</w:t>
            </w:r>
            <w:r w:rsidRPr="00CD2604">
              <w:rPr>
                <w:color w:val="002060"/>
                <w:sz w:val="16"/>
                <w:szCs w:val="16"/>
              </w:rPr>
              <w:t> </w:t>
            </w:r>
            <w:r w:rsidRPr="00FA0032">
              <w:rPr>
                <w:color w:val="002060"/>
                <w:sz w:val="16"/>
                <w:szCs w:val="16"/>
                <w:lang w:val="ru-RU"/>
              </w:rPr>
              <w:t>г.: 1</w:t>
            </w:r>
            <w:r w:rsidRPr="00CD2604">
              <w:rPr>
                <w:color w:val="002060"/>
                <w:sz w:val="16"/>
                <w:szCs w:val="16"/>
              </w:rPr>
              <w:t> </w:t>
            </w:r>
            <w:r w:rsidRPr="00FA0032">
              <w:rPr>
                <w:color w:val="002060"/>
                <w:sz w:val="16"/>
                <w:szCs w:val="16"/>
                <w:lang w:val="ru-RU"/>
              </w:rPr>
              <w:t>124</w:t>
            </w:r>
          </w:p>
          <w:p w:rsidR="00FA0032" w:rsidRPr="00FA0032" w:rsidRDefault="00FA0032" w:rsidP="00C61544">
            <w:pPr>
              <w:rPr>
                <w:rFonts w:cs="Arial"/>
                <w:color w:val="002060"/>
                <w:sz w:val="16"/>
                <w:szCs w:val="16"/>
                <w:lang w:val="ru-RU"/>
              </w:rPr>
            </w:pPr>
            <w:r w:rsidRPr="00FA0032">
              <w:rPr>
                <w:color w:val="002060"/>
                <w:sz w:val="16"/>
                <w:szCs w:val="16"/>
                <w:lang w:val="ru-RU"/>
              </w:rPr>
              <w:t>2013</w:t>
            </w:r>
            <w:r w:rsidRPr="00CD2604">
              <w:rPr>
                <w:color w:val="002060"/>
                <w:sz w:val="16"/>
                <w:szCs w:val="16"/>
              </w:rPr>
              <w:t> </w:t>
            </w:r>
            <w:r w:rsidRPr="00FA0032">
              <w:rPr>
                <w:color w:val="002060"/>
                <w:sz w:val="16"/>
                <w:szCs w:val="16"/>
                <w:lang w:val="ru-RU"/>
              </w:rPr>
              <w:t>г.: 1</w:t>
            </w:r>
            <w:r w:rsidRPr="00CD2604">
              <w:rPr>
                <w:color w:val="002060"/>
                <w:sz w:val="16"/>
                <w:szCs w:val="16"/>
              </w:rPr>
              <w:t> </w:t>
            </w:r>
            <w:r w:rsidRPr="00FA0032">
              <w:rPr>
                <w:color w:val="002060"/>
                <w:sz w:val="16"/>
                <w:szCs w:val="16"/>
                <w:lang w:val="ru-RU"/>
              </w:rPr>
              <w:t>282 (</w:t>
            </w:r>
            <w:r w:rsidRPr="00CD2604">
              <w:rPr>
                <w:color w:val="002060"/>
                <w:sz w:val="16"/>
                <w:szCs w:val="16"/>
              </w:rPr>
              <w:t>WSO</w:t>
            </w:r>
            <w:r w:rsidRPr="00FA0032">
              <w:rPr>
                <w:color w:val="002060"/>
                <w:sz w:val="16"/>
                <w:szCs w:val="16"/>
                <w:lang w:val="ru-RU"/>
              </w:rPr>
              <w:t>)</w:t>
            </w:r>
          </w:p>
          <w:p w:rsidR="00FA0032" w:rsidRPr="00FA0032" w:rsidRDefault="00FA0032" w:rsidP="00C61544">
            <w:pPr>
              <w:rPr>
                <w:rFonts w:cs="Arial"/>
                <w:i/>
                <w:sz w:val="16"/>
                <w:szCs w:val="16"/>
                <w:lang w:val="ru-RU"/>
              </w:rPr>
            </w:pPr>
          </w:p>
          <w:p w:rsidR="00FA0032" w:rsidRPr="00FA0032" w:rsidRDefault="00FA0032" w:rsidP="00C61544">
            <w:pPr>
              <w:rPr>
                <w:rFonts w:eastAsia="SimSun" w:cs="Arial"/>
                <w:color w:val="000000"/>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519 в 2011</w:t>
            </w:r>
            <w:r w:rsidRPr="00CD2604">
              <w:rPr>
                <w:sz w:val="16"/>
                <w:szCs w:val="16"/>
              </w:rPr>
              <w:t> </w:t>
            </w:r>
            <w:r w:rsidRPr="00FA0032">
              <w:rPr>
                <w:sz w:val="16"/>
                <w:szCs w:val="16"/>
                <w:lang w:val="ru-RU"/>
              </w:rPr>
              <w:t>г. (</w:t>
            </w:r>
            <w:r w:rsidRPr="00CD2604">
              <w:rPr>
                <w:sz w:val="16"/>
                <w:szCs w:val="16"/>
              </w:rPr>
              <w:t>WBO</w:t>
            </w:r>
            <w:r w:rsidRPr="00FA0032">
              <w:rPr>
                <w:sz w:val="16"/>
                <w:szCs w:val="16"/>
                <w:lang w:val="ru-RU"/>
              </w:rPr>
              <w:t>) будет определено (</w:t>
            </w:r>
            <w:r w:rsidRPr="00CD2604">
              <w:rPr>
                <w:sz w:val="16"/>
                <w:szCs w:val="16"/>
              </w:rPr>
              <w:t>WJO</w:t>
            </w:r>
            <w:r w:rsidRPr="00FA0032">
              <w:rPr>
                <w:sz w:val="16"/>
                <w:szCs w:val="16"/>
                <w:lang w:val="ru-RU"/>
              </w:rPr>
              <w:t>) будет определено (</w:t>
            </w:r>
            <w:r w:rsidRPr="00CD2604">
              <w:rPr>
                <w:sz w:val="16"/>
                <w:szCs w:val="16"/>
              </w:rPr>
              <w:t>WSO</w:t>
            </w:r>
            <w:r w:rsidRPr="00FA0032">
              <w:rPr>
                <w:sz w:val="16"/>
                <w:szCs w:val="16"/>
                <w:lang w:val="ru-RU"/>
              </w:rPr>
              <w:t xml:space="preserve">) </w:t>
            </w:r>
          </w:p>
        </w:tc>
        <w:tc>
          <w:tcPr>
            <w:tcW w:w="626" w:type="pct"/>
            <w:tcBorders>
              <w:top w:val="nil"/>
              <w:left w:val="nil"/>
              <w:bottom w:val="nil"/>
              <w:right w:val="nil"/>
            </w:tcBorders>
            <w:shd w:val="clear" w:color="auto" w:fill="auto"/>
            <w:tcMar>
              <w:top w:w="110" w:type="dxa"/>
            </w:tcMar>
          </w:tcPr>
          <w:p w:rsidR="00FA0032" w:rsidRPr="00FA0032" w:rsidRDefault="00FA0032" w:rsidP="00C61544">
            <w:pPr>
              <w:ind w:right="-107"/>
              <w:rPr>
                <w:rFonts w:eastAsia="SimSun" w:cs="Arial"/>
                <w:sz w:val="16"/>
                <w:szCs w:val="16"/>
                <w:lang w:val="ru-RU"/>
              </w:rPr>
            </w:pPr>
            <w:r w:rsidRPr="00FA0032">
              <w:rPr>
                <w:sz w:val="16"/>
                <w:szCs w:val="16"/>
                <w:lang w:val="ru-RU"/>
              </w:rPr>
              <w:t>Рост на 15%</w:t>
            </w:r>
          </w:p>
          <w:p w:rsidR="00FA0032" w:rsidRPr="00FA0032" w:rsidRDefault="00FA0032" w:rsidP="00C61544">
            <w:pPr>
              <w:rPr>
                <w:rFonts w:eastAsia="SimSun" w:cs="Arial"/>
                <w:sz w:val="16"/>
                <w:szCs w:val="16"/>
                <w:lang w:val="ru-RU"/>
              </w:rPr>
            </w:pPr>
            <w:r w:rsidRPr="00FA0032">
              <w:rPr>
                <w:sz w:val="16"/>
                <w:szCs w:val="16"/>
                <w:lang w:val="ru-RU"/>
              </w:rPr>
              <w:t>(</w:t>
            </w:r>
            <w:r w:rsidRPr="00CD2604">
              <w:rPr>
                <w:sz w:val="16"/>
                <w:szCs w:val="16"/>
              </w:rPr>
              <w:t>WBO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Рост на 1% (</w:t>
            </w:r>
            <w:r w:rsidRPr="00CD2604">
              <w:rPr>
                <w:sz w:val="16"/>
                <w:szCs w:val="16"/>
              </w:rPr>
              <w:t>WJO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CD2604" w:rsidRDefault="00FA0032" w:rsidP="00C61544">
            <w:pPr>
              <w:rPr>
                <w:rFonts w:eastAsia="SimSun" w:cs="Arial"/>
                <w:sz w:val="16"/>
                <w:szCs w:val="16"/>
              </w:rPr>
            </w:pPr>
            <w:r w:rsidRPr="00CD2604">
              <w:rPr>
                <w:sz w:val="16"/>
                <w:szCs w:val="16"/>
              </w:rPr>
              <w:t>Рост на 5% (WSO)</w:t>
            </w:r>
          </w:p>
        </w:tc>
        <w:tc>
          <w:tcPr>
            <w:tcW w:w="1487" w:type="pct"/>
            <w:tcBorders>
              <w:top w:val="nil"/>
              <w:left w:val="nil"/>
              <w:bottom w:val="nil"/>
              <w:right w:val="nil"/>
            </w:tcBorders>
            <w:shd w:val="clear" w:color="auto" w:fill="FFFFFF"/>
            <w:tcMar>
              <w:top w:w="110" w:type="dxa"/>
              <w:left w:w="29" w:type="dxa"/>
              <w:right w:w="29" w:type="dxa"/>
            </w:tcMar>
          </w:tcPr>
          <w:p w:rsidR="00FA0032" w:rsidRPr="00CD2604" w:rsidRDefault="00FA0032" w:rsidP="00C61544">
            <w:pPr>
              <w:rPr>
                <w:rFonts w:eastAsia="SimSun" w:cs="Arial"/>
                <w:sz w:val="16"/>
                <w:szCs w:val="16"/>
              </w:rPr>
            </w:pPr>
            <w:r w:rsidRPr="00CD2604">
              <w:rPr>
                <w:sz w:val="16"/>
                <w:szCs w:val="16"/>
              </w:rPr>
              <w:t>2014–2015 гг.: 1 128 (-9%)</w:t>
            </w:r>
          </w:p>
          <w:p w:rsidR="00FA0032" w:rsidRPr="00CD2604" w:rsidRDefault="00FA0032" w:rsidP="00BF61DC">
            <w:pPr>
              <w:pStyle w:val="ListParagraph"/>
              <w:numPr>
                <w:ilvl w:val="0"/>
                <w:numId w:val="128"/>
              </w:numPr>
              <w:ind w:left="347" w:hanging="347"/>
              <w:rPr>
                <w:rFonts w:eastAsia="SimSun" w:cs="Arial"/>
                <w:sz w:val="16"/>
                <w:szCs w:val="16"/>
              </w:rPr>
            </w:pPr>
            <w:r w:rsidRPr="00CD2604">
              <w:rPr>
                <w:sz w:val="16"/>
                <w:szCs w:val="16"/>
              </w:rPr>
              <w:t>2014 г.:  580 (-12%)</w:t>
            </w:r>
          </w:p>
          <w:p w:rsidR="00FA0032" w:rsidRPr="00CD2604" w:rsidRDefault="00FA0032" w:rsidP="00BF61DC">
            <w:pPr>
              <w:pStyle w:val="ListParagraph"/>
              <w:numPr>
                <w:ilvl w:val="0"/>
                <w:numId w:val="128"/>
              </w:numPr>
              <w:ind w:left="347" w:hanging="347"/>
              <w:rPr>
                <w:rFonts w:eastAsia="SimSun" w:cs="Arial"/>
                <w:sz w:val="16"/>
                <w:szCs w:val="16"/>
              </w:rPr>
            </w:pPr>
            <w:r w:rsidRPr="00CD2604">
              <w:rPr>
                <w:sz w:val="16"/>
                <w:szCs w:val="16"/>
              </w:rPr>
              <w:t>2015 г.:  547 (-6%)</w:t>
            </w:r>
          </w:p>
          <w:p w:rsidR="00FA0032" w:rsidRPr="00CD2604" w:rsidRDefault="00FA0032" w:rsidP="00C61544">
            <w:pPr>
              <w:rPr>
                <w:rFonts w:eastAsia="SimSun" w:cs="Arial"/>
                <w:sz w:val="16"/>
                <w:szCs w:val="16"/>
              </w:rPr>
            </w:pPr>
            <w:r w:rsidRPr="00CD2604">
              <w:rPr>
                <w:sz w:val="16"/>
                <w:szCs w:val="16"/>
              </w:rPr>
              <w:t>(WBO)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2014–2015 гг.:  86 616 (-1%)</w:t>
            </w:r>
          </w:p>
          <w:p w:rsidR="00FA0032" w:rsidRPr="00CD2604" w:rsidRDefault="00FA0032" w:rsidP="00BF61DC">
            <w:pPr>
              <w:pStyle w:val="ListParagraph"/>
              <w:numPr>
                <w:ilvl w:val="0"/>
                <w:numId w:val="128"/>
              </w:numPr>
              <w:ind w:left="347" w:hanging="347"/>
              <w:rPr>
                <w:rFonts w:eastAsia="SimSun" w:cs="Arial"/>
                <w:sz w:val="16"/>
                <w:szCs w:val="16"/>
              </w:rPr>
            </w:pPr>
            <w:r w:rsidRPr="00CD2604">
              <w:rPr>
                <w:sz w:val="16"/>
                <w:szCs w:val="16"/>
              </w:rPr>
              <w:t>2014 г.:  42 381(-3%)</w:t>
            </w:r>
          </w:p>
          <w:p w:rsidR="00FA0032" w:rsidRPr="00CD2604" w:rsidRDefault="00FA0032" w:rsidP="00BF61DC">
            <w:pPr>
              <w:pStyle w:val="ListParagraph"/>
              <w:numPr>
                <w:ilvl w:val="0"/>
                <w:numId w:val="128"/>
              </w:numPr>
              <w:ind w:left="347" w:right="-92" w:hanging="347"/>
              <w:rPr>
                <w:rFonts w:eastAsia="SimSun" w:cs="Arial"/>
                <w:sz w:val="16"/>
                <w:szCs w:val="16"/>
              </w:rPr>
            </w:pPr>
            <w:r w:rsidRPr="00CD2604">
              <w:rPr>
                <w:sz w:val="16"/>
                <w:szCs w:val="16"/>
              </w:rPr>
              <w:t>2015 г.:  44 235 (+4%)</w:t>
            </w:r>
          </w:p>
          <w:p w:rsidR="00FA0032" w:rsidRPr="00CD2604" w:rsidRDefault="00FA0032" w:rsidP="00C61544">
            <w:pPr>
              <w:rPr>
                <w:rFonts w:eastAsia="SimSun" w:cs="Arial"/>
                <w:sz w:val="16"/>
                <w:szCs w:val="16"/>
              </w:rPr>
            </w:pPr>
            <w:r w:rsidRPr="00CD2604">
              <w:rPr>
                <w:sz w:val="16"/>
                <w:szCs w:val="16"/>
              </w:rPr>
              <w:t>(WJO)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2014–2015 гг.:  2 809 (+17%)</w:t>
            </w:r>
          </w:p>
          <w:p w:rsidR="00FA0032" w:rsidRPr="00CD2604" w:rsidRDefault="00FA0032" w:rsidP="00BF61DC">
            <w:pPr>
              <w:pStyle w:val="ListParagraph"/>
              <w:numPr>
                <w:ilvl w:val="0"/>
                <w:numId w:val="128"/>
              </w:numPr>
              <w:ind w:left="347" w:right="-92" w:hanging="347"/>
              <w:rPr>
                <w:rFonts w:eastAsia="SimSun" w:cs="Arial"/>
                <w:sz w:val="16"/>
                <w:szCs w:val="16"/>
              </w:rPr>
            </w:pPr>
            <w:r w:rsidRPr="00CD2604">
              <w:rPr>
                <w:sz w:val="16"/>
                <w:szCs w:val="16"/>
              </w:rPr>
              <w:t>2014 г.:  1 394 (+9%)</w:t>
            </w:r>
          </w:p>
          <w:p w:rsidR="00FA0032" w:rsidRPr="00CD2604" w:rsidRDefault="00FA0032" w:rsidP="00BF61DC">
            <w:pPr>
              <w:pStyle w:val="ListParagraph"/>
              <w:numPr>
                <w:ilvl w:val="0"/>
                <w:numId w:val="128"/>
              </w:numPr>
              <w:ind w:left="347" w:right="-92" w:hanging="347"/>
              <w:rPr>
                <w:rFonts w:eastAsia="SimSun" w:cs="Arial"/>
                <w:sz w:val="16"/>
                <w:szCs w:val="16"/>
              </w:rPr>
            </w:pPr>
            <w:r w:rsidRPr="00CD2604">
              <w:rPr>
                <w:sz w:val="16"/>
                <w:szCs w:val="16"/>
              </w:rPr>
              <w:t>2015 г.:  1 415 (+2%)</w:t>
            </w:r>
          </w:p>
          <w:p w:rsidR="00FA0032" w:rsidRPr="00CD2604" w:rsidRDefault="00FA0032" w:rsidP="00C61544">
            <w:pPr>
              <w:rPr>
                <w:rFonts w:eastAsia="SimSun" w:cs="Arial"/>
                <w:sz w:val="16"/>
                <w:szCs w:val="16"/>
              </w:rPr>
            </w:pPr>
            <w:r w:rsidRPr="00CD2604">
              <w:rPr>
                <w:sz w:val="16"/>
                <w:szCs w:val="16"/>
              </w:rPr>
              <w:t>(WSO)</w:t>
            </w:r>
          </w:p>
        </w:tc>
        <w:tc>
          <w:tcPr>
            <w:tcW w:w="662" w:type="pct"/>
            <w:tcBorders>
              <w:top w:val="nil"/>
              <w:left w:val="nil"/>
              <w:bottom w:val="nil"/>
              <w:right w:val="single" w:sz="4" w:space="0" w:color="auto"/>
            </w:tcBorders>
            <w:shd w:val="clear" w:color="auto" w:fill="auto"/>
            <w:tcMar>
              <w:top w:w="110" w:type="dxa"/>
            </w:tcMar>
          </w:tcPr>
          <w:p w:rsidR="00FA0032" w:rsidRPr="00CD2604" w:rsidRDefault="00FA0032" w:rsidP="00C61544">
            <w:pPr>
              <w:keepNext/>
              <w:keepLines/>
              <w:ind w:right="20"/>
              <w:jc w:val="center"/>
              <w:rPr>
                <w:rFonts w:eastAsia="SimSun" w:cs="Arial"/>
                <w:b/>
                <w:color w:val="FF0000"/>
                <w:sz w:val="16"/>
                <w:szCs w:val="16"/>
              </w:rPr>
            </w:pPr>
            <w:r w:rsidRPr="00CD2604">
              <w:rPr>
                <w:b/>
                <w:color w:val="FF0000"/>
                <w:sz w:val="16"/>
                <w:szCs w:val="16"/>
              </w:rPr>
              <w:t>Не выполнено</w:t>
            </w:r>
          </w:p>
          <w:p w:rsidR="00FA0032" w:rsidRPr="00CD2604" w:rsidRDefault="00FA0032" w:rsidP="00C61544">
            <w:pPr>
              <w:keepNext/>
              <w:keepLines/>
              <w:ind w:right="20"/>
              <w:rPr>
                <w:rFonts w:eastAsia="SimSun" w:cs="Arial"/>
                <w:b/>
                <w:color w:val="FF0000"/>
                <w:sz w:val="16"/>
                <w:szCs w:val="16"/>
              </w:rPr>
            </w:pPr>
          </w:p>
          <w:p w:rsidR="00FA0032" w:rsidRPr="00CD2604" w:rsidRDefault="00FA0032" w:rsidP="00C61544">
            <w:pPr>
              <w:keepNext/>
              <w:keepLines/>
              <w:ind w:right="20"/>
              <w:rPr>
                <w:rFonts w:eastAsia="SimSun" w:cs="Arial"/>
                <w:b/>
                <w:color w:val="FF0000"/>
                <w:sz w:val="16"/>
                <w:szCs w:val="16"/>
              </w:rPr>
            </w:pPr>
          </w:p>
          <w:p w:rsidR="00FA0032" w:rsidRPr="00CD2604" w:rsidRDefault="00FA0032" w:rsidP="00C61544">
            <w:pPr>
              <w:keepNext/>
              <w:keepLines/>
              <w:ind w:right="20"/>
              <w:rPr>
                <w:rFonts w:eastAsia="SimSun" w:cs="Arial"/>
                <w:b/>
                <w:color w:val="FF0000"/>
                <w:sz w:val="16"/>
                <w:szCs w:val="16"/>
              </w:rPr>
            </w:pPr>
          </w:p>
          <w:p w:rsidR="00FA0032" w:rsidRPr="00CD2604" w:rsidRDefault="00FA0032" w:rsidP="00C61544">
            <w:pPr>
              <w:keepNext/>
              <w:keepLines/>
              <w:ind w:left="71" w:right="20"/>
              <w:jc w:val="center"/>
              <w:rPr>
                <w:rFonts w:eastAsia="SimSun" w:cs="Arial"/>
                <w:b/>
                <w:color w:val="FF0000"/>
                <w:sz w:val="16"/>
                <w:szCs w:val="16"/>
              </w:rPr>
            </w:pPr>
            <w:r w:rsidRPr="00CD2604">
              <w:rPr>
                <w:b/>
                <w:color w:val="FF0000"/>
                <w:sz w:val="16"/>
                <w:szCs w:val="16"/>
              </w:rPr>
              <w:t>Не выполнено</w:t>
            </w:r>
          </w:p>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left="71" w:right="20"/>
              <w:jc w:val="center"/>
              <w:rPr>
                <w:rFonts w:eastAsia="SimSun" w:cs="Arial"/>
                <w:b/>
                <w:bCs/>
                <w:color w:val="00B050"/>
                <w:sz w:val="16"/>
                <w:szCs w:val="16"/>
              </w:rPr>
            </w:pPr>
          </w:p>
        </w:tc>
      </w:tr>
      <w:tr w:rsidR="00FA0032" w:rsidRPr="00CD2604" w:rsidTr="00D340AF">
        <w:trPr>
          <w:gridAfter w:val="1"/>
          <w:wAfter w:w="8" w:type="pct"/>
        </w:trPr>
        <w:tc>
          <w:tcPr>
            <w:tcW w:w="1141" w:type="pct"/>
            <w:tcBorders>
              <w:top w:val="nil"/>
              <w:left w:val="single" w:sz="4" w:space="0" w:color="auto"/>
              <w:bottom w:val="single" w:sz="4" w:space="0" w:color="auto"/>
              <w:right w:val="nil"/>
            </w:tcBorders>
            <w:shd w:val="clear" w:color="auto" w:fill="auto"/>
          </w:tcPr>
          <w:p w:rsidR="00FA0032" w:rsidRPr="00CD2604" w:rsidRDefault="00FA0032" w:rsidP="00C61544">
            <w:pPr>
              <w:rPr>
                <w:rFonts w:eastAsia="SimSun" w:cs="Arial"/>
                <w:color w:val="000000"/>
                <w:sz w:val="16"/>
                <w:szCs w:val="16"/>
              </w:rPr>
            </w:pPr>
          </w:p>
          <w:p w:rsidR="00FA0032" w:rsidRPr="00FA0032" w:rsidRDefault="00FA0032" w:rsidP="00C61544">
            <w:pPr>
              <w:rPr>
                <w:rFonts w:eastAsia="SimSun" w:cs="Arial"/>
                <w:color w:val="000000"/>
                <w:sz w:val="16"/>
                <w:szCs w:val="16"/>
                <w:lang w:val="ru-RU"/>
              </w:rPr>
            </w:pPr>
            <w:r w:rsidRPr="00FA0032">
              <w:rPr>
                <w:color w:val="000000"/>
                <w:sz w:val="16"/>
                <w:szCs w:val="16"/>
                <w:lang w:val="ru-RU"/>
              </w:rPr>
              <w:t>Доля (%) лиц, ответственных за разработку политики, государственных должностных лиц, практикующих специалистов в сфере ИС и участников целевых семинаров, сформировавших более глубокое понимание системы РСТ и связанных с ней вопросов</w:t>
            </w:r>
          </w:p>
        </w:tc>
        <w:tc>
          <w:tcPr>
            <w:tcW w:w="1075" w:type="pct"/>
            <w:tcBorders>
              <w:top w:val="nil"/>
              <w:left w:val="nil"/>
              <w:bottom w:val="single" w:sz="4" w:space="0" w:color="auto"/>
              <w:right w:val="nil"/>
            </w:tcBorders>
            <w:shd w:val="clear" w:color="auto" w:fill="auto"/>
          </w:tcPr>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WBO</w:t>
            </w:r>
            <w:r w:rsidRPr="00FA0032">
              <w:rPr>
                <w:sz w:val="16"/>
                <w:szCs w:val="16"/>
                <w:lang w:val="ru-RU"/>
              </w:rPr>
              <w:t>)</w:t>
            </w: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WJO</w:t>
            </w:r>
            <w:r w:rsidRPr="00FA0032">
              <w:rPr>
                <w:sz w:val="16"/>
                <w:szCs w:val="16"/>
                <w:lang w:val="ru-RU"/>
              </w:rPr>
              <w:t>)</w:t>
            </w:r>
          </w:p>
          <w:p w:rsidR="00FA0032" w:rsidRPr="00FA0032" w:rsidRDefault="00FA0032" w:rsidP="00C61544">
            <w:pPr>
              <w:rPr>
                <w:rFonts w:cs="Arial"/>
                <w:sz w:val="16"/>
                <w:szCs w:val="16"/>
                <w:lang w:val="ru-RU"/>
              </w:rPr>
            </w:pPr>
          </w:p>
          <w:p w:rsidR="00FA0032" w:rsidRPr="00CD2604" w:rsidRDefault="00FA0032" w:rsidP="00C61544">
            <w:pPr>
              <w:rPr>
                <w:rFonts w:eastAsia="SimSun" w:cs="Arial"/>
                <w:color w:val="000000"/>
                <w:sz w:val="16"/>
                <w:szCs w:val="16"/>
              </w:rPr>
            </w:pPr>
            <w:r w:rsidRPr="00CD2604">
              <w:rPr>
                <w:sz w:val="16"/>
                <w:szCs w:val="16"/>
              </w:rPr>
              <w:t>данные отсутствуют (WSO)</w:t>
            </w:r>
          </w:p>
        </w:tc>
        <w:tc>
          <w:tcPr>
            <w:tcW w:w="626" w:type="pct"/>
            <w:tcBorders>
              <w:top w:val="nil"/>
              <w:left w:val="nil"/>
              <w:bottom w:val="single" w:sz="4" w:space="0" w:color="auto"/>
              <w:right w:val="nil"/>
            </w:tcBorders>
            <w:shd w:val="clear" w:color="auto" w:fill="auto"/>
            <w:tcMar>
              <w:top w:w="110" w:type="dxa"/>
            </w:tcMar>
          </w:tcPr>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75% (WBO)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75% (WJO)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75% (WSO)</w:t>
            </w:r>
          </w:p>
        </w:tc>
        <w:tc>
          <w:tcPr>
            <w:tcW w:w="1487" w:type="pct"/>
            <w:tcBorders>
              <w:top w:val="nil"/>
              <w:left w:val="nil"/>
              <w:bottom w:val="single" w:sz="4" w:space="0" w:color="auto"/>
              <w:right w:val="nil"/>
            </w:tcBorders>
            <w:shd w:val="clear" w:color="auto" w:fill="FFFFFF"/>
            <w:tcMar>
              <w:top w:w="110" w:type="dxa"/>
            </w:tcMa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15" w:type="dxa"/>
                <w:right w:w="115" w:type="dxa"/>
              </w:tblCellMar>
              <w:tblLook w:val="04A0" w:firstRow="1" w:lastRow="0" w:firstColumn="1" w:lastColumn="0" w:noHBand="0" w:noVBand="1"/>
            </w:tblPr>
            <w:tblGrid>
              <w:gridCol w:w="708"/>
              <w:gridCol w:w="720"/>
              <w:gridCol w:w="720"/>
            </w:tblGrid>
            <w:tr w:rsidR="00FA0032" w:rsidRPr="00CD2604" w:rsidTr="00C61544">
              <w:trPr>
                <w:trHeight w:val="20"/>
              </w:trPr>
              <w:tc>
                <w:tcPr>
                  <w:tcW w:w="708" w:type="dxa"/>
                </w:tcPr>
                <w:p w:rsidR="00FA0032" w:rsidRPr="00CD2604" w:rsidRDefault="00FA0032" w:rsidP="00C61544">
                  <w:pPr>
                    <w:jc w:val="center"/>
                    <w:rPr>
                      <w:rFonts w:eastAsia="SimSun" w:cs="Arial"/>
                      <w:sz w:val="16"/>
                      <w:szCs w:val="16"/>
                    </w:rPr>
                  </w:pPr>
                </w:p>
              </w:tc>
              <w:tc>
                <w:tcPr>
                  <w:tcW w:w="720" w:type="dxa"/>
                  <w:vAlign w:val="bottom"/>
                </w:tcPr>
                <w:p w:rsidR="00FA0032" w:rsidRPr="00CD2604" w:rsidRDefault="00FA0032" w:rsidP="00C61544">
                  <w:pPr>
                    <w:jc w:val="center"/>
                    <w:rPr>
                      <w:rFonts w:eastAsia="SimSun" w:cs="Arial"/>
                      <w:sz w:val="16"/>
                      <w:szCs w:val="16"/>
                    </w:rPr>
                  </w:pPr>
                  <w:r w:rsidRPr="00CD2604">
                    <w:rPr>
                      <w:sz w:val="16"/>
                      <w:szCs w:val="16"/>
                    </w:rPr>
                    <w:t>2014</w:t>
                  </w:r>
                </w:p>
              </w:tc>
              <w:tc>
                <w:tcPr>
                  <w:tcW w:w="720" w:type="dxa"/>
                  <w:vAlign w:val="bottom"/>
                </w:tcPr>
                <w:p w:rsidR="00FA0032" w:rsidRPr="00CD2604" w:rsidRDefault="00FA0032" w:rsidP="00C61544">
                  <w:pPr>
                    <w:jc w:val="center"/>
                    <w:rPr>
                      <w:rFonts w:eastAsia="SimSun" w:cs="Arial"/>
                      <w:sz w:val="16"/>
                      <w:szCs w:val="16"/>
                    </w:rPr>
                  </w:pPr>
                  <w:r w:rsidRPr="00CD2604">
                    <w:rPr>
                      <w:sz w:val="16"/>
                      <w:szCs w:val="16"/>
                    </w:rPr>
                    <w:t>2015</w:t>
                  </w:r>
                </w:p>
              </w:tc>
            </w:tr>
            <w:tr w:rsidR="00FA0032" w:rsidRPr="00CD2604" w:rsidTr="00C61544">
              <w:trPr>
                <w:trHeight w:val="216"/>
              </w:trPr>
              <w:tc>
                <w:tcPr>
                  <w:tcW w:w="708" w:type="dxa"/>
                  <w:vAlign w:val="center"/>
                </w:tcPr>
                <w:p w:rsidR="00FA0032" w:rsidRPr="00CD2604" w:rsidRDefault="00FA0032" w:rsidP="00C61544">
                  <w:pPr>
                    <w:jc w:val="center"/>
                    <w:rPr>
                      <w:rFonts w:eastAsia="SimSun" w:cs="Arial"/>
                      <w:sz w:val="16"/>
                      <w:szCs w:val="16"/>
                    </w:rPr>
                  </w:pPr>
                  <w:r w:rsidRPr="00CD2604">
                    <w:rPr>
                      <w:sz w:val="16"/>
                      <w:szCs w:val="16"/>
                    </w:rPr>
                    <w:t>WBO</w:t>
                  </w:r>
                </w:p>
              </w:tc>
              <w:tc>
                <w:tcPr>
                  <w:tcW w:w="720" w:type="dxa"/>
                  <w:vAlign w:val="center"/>
                </w:tcPr>
                <w:p w:rsidR="00FA0032" w:rsidRPr="00CD2604" w:rsidRDefault="00FA0032" w:rsidP="00C61544">
                  <w:pPr>
                    <w:jc w:val="center"/>
                    <w:rPr>
                      <w:rFonts w:eastAsia="SimSun" w:cs="Arial"/>
                      <w:sz w:val="16"/>
                      <w:szCs w:val="16"/>
                    </w:rPr>
                  </w:pPr>
                  <w:r w:rsidRPr="00CD2604">
                    <w:rPr>
                      <w:sz w:val="16"/>
                      <w:szCs w:val="16"/>
                    </w:rPr>
                    <w:t>80%</w:t>
                  </w:r>
                </w:p>
              </w:tc>
              <w:tc>
                <w:tcPr>
                  <w:tcW w:w="720" w:type="dxa"/>
                  <w:vAlign w:val="center"/>
                </w:tcPr>
                <w:p w:rsidR="00FA0032" w:rsidRPr="00CD2604" w:rsidRDefault="00FA0032" w:rsidP="00C61544">
                  <w:pPr>
                    <w:jc w:val="center"/>
                    <w:rPr>
                      <w:rFonts w:eastAsia="SimSun" w:cs="Arial"/>
                      <w:sz w:val="16"/>
                      <w:szCs w:val="16"/>
                    </w:rPr>
                  </w:pPr>
                  <w:r w:rsidRPr="00CD2604">
                    <w:rPr>
                      <w:sz w:val="16"/>
                      <w:szCs w:val="16"/>
                    </w:rPr>
                    <w:t>75%</w:t>
                  </w:r>
                </w:p>
              </w:tc>
            </w:tr>
            <w:tr w:rsidR="00FA0032" w:rsidRPr="00CD2604" w:rsidTr="00C61544">
              <w:trPr>
                <w:trHeight w:val="441"/>
              </w:trPr>
              <w:tc>
                <w:tcPr>
                  <w:tcW w:w="708" w:type="dxa"/>
                  <w:vAlign w:val="center"/>
                </w:tcPr>
                <w:p w:rsidR="00FA0032" w:rsidRPr="00CD2604" w:rsidRDefault="00FA0032" w:rsidP="00C61544">
                  <w:pPr>
                    <w:jc w:val="center"/>
                    <w:rPr>
                      <w:rFonts w:eastAsia="SimSun" w:cs="Arial"/>
                      <w:sz w:val="16"/>
                      <w:szCs w:val="16"/>
                    </w:rPr>
                  </w:pPr>
                  <w:r w:rsidRPr="00CD2604">
                    <w:rPr>
                      <w:sz w:val="16"/>
                      <w:szCs w:val="16"/>
                    </w:rPr>
                    <w:t>WJO</w:t>
                  </w:r>
                </w:p>
              </w:tc>
              <w:tc>
                <w:tcPr>
                  <w:tcW w:w="720" w:type="dxa"/>
                  <w:vAlign w:val="center"/>
                </w:tcPr>
                <w:p w:rsidR="00FA0032" w:rsidRPr="00CD2604" w:rsidRDefault="00FA0032" w:rsidP="00C61544">
                  <w:pPr>
                    <w:jc w:val="center"/>
                    <w:rPr>
                      <w:rFonts w:eastAsia="SimSun" w:cs="Arial"/>
                      <w:sz w:val="16"/>
                      <w:szCs w:val="16"/>
                    </w:rPr>
                  </w:pPr>
                  <w:r w:rsidRPr="00CD2604">
                    <w:rPr>
                      <w:sz w:val="16"/>
                      <w:szCs w:val="16"/>
                    </w:rPr>
                    <w:t>94%</w:t>
                  </w:r>
                </w:p>
              </w:tc>
              <w:tc>
                <w:tcPr>
                  <w:tcW w:w="720" w:type="dxa"/>
                  <w:vAlign w:val="center"/>
                </w:tcPr>
                <w:p w:rsidR="00FA0032" w:rsidRPr="00CD2604" w:rsidRDefault="00FA0032" w:rsidP="00C61544">
                  <w:pPr>
                    <w:jc w:val="center"/>
                    <w:rPr>
                      <w:rFonts w:eastAsia="SimSun" w:cs="Arial"/>
                      <w:sz w:val="16"/>
                      <w:szCs w:val="16"/>
                    </w:rPr>
                  </w:pPr>
                  <w:r w:rsidRPr="00CD2604">
                    <w:rPr>
                      <w:sz w:val="16"/>
                      <w:szCs w:val="16"/>
                    </w:rPr>
                    <w:t>91%</w:t>
                  </w:r>
                </w:p>
              </w:tc>
            </w:tr>
            <w:tr w:rsidR="00FA0032" w:rsidRPr="00CD2604" w:rsidTr="00C61544">
              <w:trPr>
                <w:trHeight w:val="288"/>
              </w:trPr>
              <w:tc>
                <w:tcPr>
                  <w:tcW w:w="708" w:type="dxa"/>
                  <w:vAlign w:val="center"/>
                </w:tcPr>
                <w:p w:rsidR="00FA0032" w:rsidRPr="00CD2604" w:rsidRDefault="00FA0032" w:rsidP="00C61544">
                  <w:pPr>
                    <w:jc w:val="center"/>
                    <w:rPr>
                      <w:rFonts w:eastAsia="SimSun" w:cs="Arial"/>
                      <w:sz w:val="16"/>
                      <w:szCs w:val="16"/>
                    </w:rPr>
                  </w:pPr>
                  <w:r w:rsidRPr="00CD2604">
                    <w:rPr>
                      <w:sz w:val="16"/>
                      <w:szCs w:val="16"/>
                    </w:rPr>
                    <w:t>WSO</w:t>
                  </w:r>
                </w:p>
              </w:tc>
              <w:tc>
                <w:tcPr>
                  <w:tcW w:w="720" w:type="dxa"/>
                  <w:vAlign w:val="center"/>
                </w:tcPr>
                <w:p w:rsidR="00FA0032" w:rsidRPr="00CD2604" w:rsidRDefault="00FA0032" w:rsidP="00C61544">
                  <w:pPr>
                    <w:jc w:val="center"/>
                    <w:rPr>
                      <w:rFonts w:eastAsia="SimSun" w:cs="Arial"/>
                      <w:sz w:val="16"/>
                      <w:szCs w:val="16"/>
                    </w:rPr>
                  </w:pPr>
                  <w:r w:rsidRPr="00CD2604">
                    <w:rPr>
                      <w:sz w:val="16"/>
                      <w:szCs w:val="16"/>
                    </w:rPr>
                    <w:t>93%</w:t>
                  </w:r>
                </w:p>
              </w:tc>
              <w:tc>
                <w:tcPr>
                  <w:tcW w:w="720" w:type="dxa"/>
                  <w:vAlign w:val="center"/>
                </w:tcPr>
                <w:p w:rsidR="00FA0032" w:rsidRPr="00CD2604" w:rsidRDefault="00FA0032" w:rsidP="00C61544">
                  <w:pPr>
                    <w:jc w:val="center"/>
                    <w:rPr>
                      <w:rFonts w:eastAsia="SimSun" w:cs="Arial"/>
                      <w:sz w:val="16"/>
                      <w:szCs w:val="16"/>
                    </w:rPr>
                  </w:pPr>
                  <w:r w:rsidRPr="00CD2604">
                    <w:rPr>
                      <w:sz w:val="16"/>
                      <w:szCs w:val="16"/>
                    </w:rPr>
                    <w:t>95%</w:t>
                  </w:r>
                </w:p>
              </w:tc>
            </w:tr>
          </w:tbl>
          <w:p w:rsidR="00FA0032" w:rsidRPr="00CD2604" w:rsidRDefault="00FA0032" w:rsidP="00C61544">
            <w:pPr>
              <w:rPr>
                <w:rFonts w:eastAsia="SimSun" w:cs="Arial"/>
                <w:sz w:val="16"/>
                <w:szCs w:val="16"/>
              </w:rPr>
            </w:pPr>
          </w:p>
        </w:tc>
        <w:tc>
          <w:tcPr>
            <w:tcW w:w="662" w:type="pct"/>
            <w:tcBorders>
              <w:top w:val="nil"/>
              <w:left w:val="nil"/>
              <w:bottom w:val="single" w:sz="4" w:space="0" w:color="auto"/>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left="71"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left="71" w:right="20"/>
              <w:jc w:val="center"/>
              <w:rPr>
                <w:rFonts w:eastAsia="SimSun" w:cs="Arial"/>
                <w:b/>
                <w:bCs/>
                <w:color w:val="00B050"/>
                <w:sz w:val="16"/>
                <w:szCs w:val="16"/>
              </w:rPr>
            </w:pPr>
            <w:r w:rsidRPr="00CD2604">
              <w:rPr>
                <w:b/>
                <w:color w:val="00B050"/>
                <w:sz w:val="16"/>
                <w:szCs w:val="16"/>
              </w:rPr>
              <w:t>Выполнено</w:t>
            </w:r>
          </w:p>
        </w:tc>
      </w:tr>
      <w:tr w:rsidR="00FA0032" w:rsidRPr="005C6ABD" w:rsidTr="00D340AF">
        <w:tc>
          <w:tcPr>
            <w:tcW w:w="5000" w:type="pct"/>
            <w:gridSpan w:val="6"/>
            <w:tcBorders>
              <w:top w:val="single" w:sz="4" w:space="0" w:color="auto"/>
              <w:bottom w:val="single" w:sz="4" w:space="0" w:color="auto"/>
            </w:tcBorders>
            <w:shd w:val="clear" w:color="auto" w:fill="C6D9F1" w:themeFill="text2" w:themeFillTint="33"/>
          </w:tcPr>
          <w:p w:rsidR="00FA0032" w:rsidRPr="00FA0032" w:rsidRDefault="00FA0032" w:rsidP="00D340AF">
            <w:pPr>
              <w:keepNext/>
              <w:keepLines/>
              <w:tabs>
                <w:tab w:val="left" w:pos="-675"/>
              </w:tabs>
              <w:spacing w:before="120" w:after="120"/>
              <w:ind w:left="2302" w:hanging="2302"/>
              <w:rPr>
                <w:rFonts w:eastAsia="SimSun" w:cs="Arial"/>
                <w:b/>
                <w:bCs/>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color w:val="000000"/>
                <w:sz w:val="16"/>
                <w:szCs w:val="16"/>
              </w:rPr>
              <w:t>II</w:t>
            </w:r>
            <w:r w:rsidRPr="00FA0032">
              <w:rPr>
                <w:color w:val="000000"/>
                <w:sz w:val="16"/>
                <w:szCs w:val="16"/>
                <w:lang w:val="ru-RU"/>
              </w:rPr>
              <w:t>.4. Более широкое и эффективное использование</w:t>
            </w:r>
            <w:r w:rsidR="00D340AF">
              <w:rPr>
                <w:color w:val="000000"/>
                <w:sz w:val="16"/>
                <w:szCs w:val="16"/>
                <w:lang w:val="ru-RU"/>
              </w:rPr>
              <w:t xml:space="preserve"> Гаагской системы, в том числе </w:t>
            </w:r>
            <w:r w:rsidRPr="00FA0032">
              <w:rPr>
                <w:color w:val="000000"/>
                <w:sz w:val="16"/>
                <w:szCs w:val="16"/>
                <w:lang w:val="ru-RU"/>
              </w:rPr>
              <w:t>развивающимися странами и НРС</w:t>
            </w:r>
          </w:p>
        </w:tc>
      </w:tr>
      <w:tr w:rsidR="00FA0032" w:rsidRPr="00CD2604" w:rsidTr="00D340AF">
        <w:trPr>
          <w:gridAfter w:val="1"/>
          <w:wAfter w:w="8" w:type="pct"/>
        </w:trPr>
        <w:tc>
          <w:tcPr>
            <w:tcW w:w="1141" w:type="pct"/>
            <w:tcBorders>
              <w:top w:val="single" w:sz="4" w:space="0" w:color="auto"/>
              <w:left w:val="single" w:sz="4" w:space="0" w:color="auto"/>
              <w:bottom w:val="nil"/>
              <w:right w:val="nil"/>
            </w:tcBorders>
            <w:shd w:val="clear" w:color="auto" w:fill="auto"/>
          </w:tcPr>
          <w:p w:rsidR="00FA0032" w:rsidRPr="00CD2604" w:rsidRDefault="00FA0032" w:rsidP="00C61544">
            <w:pPr>
              <w:keepNext/>
              <w:keepLines/>
              <w:rPr>
                <w:rFonts w:eastAsia="SimSun" w:cs="Arial"/>
                <w:sz w:val="16"/>
                <w:szCs w:val="16"/>
              </w:rPr>
            </w:pPr>
            <w:r w:rsidRPr="00CD2604">
              <w:rPr>
                <w:b/>
                <w:sz w:val="16"/>
                <w:szCs w:val="16"/>
              </w:rPr>
              <w:t>Показатели результативности</w:t>
            </w:r>
          </w:p>
        </w:tc>
        <w:tc>
          <w:tcPr>
            <w:tcW w:w="1075" w:type="pct"/>
            <w:tcBorders>
              <w:top w:val="single" w:sz="4" w:space="0" w:color="auto"/>
              <w:left w:val="nil"/>
              <w:bottom w:val="nil"/>
              <w:right w:val="nil"/>
            </w:tcBorders>
            <w:shd w:val="clear" w:color="auto" w:fill="auto"/>
          </w:tcPr>
          <w:p w:rsidR="00FA0032" w:rsidRPr="00CD2604" w:rsidRDefault="00FA0032" w:rsidP="00C61544">
            <w:pPr>
              <w:keepNext/>
              <w:keepLines/>
              <w:rPr>
                <w:rFonts w:eastAsia="SimSun" w:cs="Arial"/>
                <w:b/>
                <w:bCs/>
                <w:sz w:val="16"/>
                <w:szCs w:val="16"/>
              </w:rPr>
            </w:pPr>
            <w:r w:rsidRPr="00CD2604">
              <w:rPr>
                <w:b/>
                <w:sz w:val="16"/>
                <w:szCs w:val="16"/>
              </w:rPr>
              <w:t>Базовые показатели</w:t>
            </w:r>
          </w:p>
        </w:tc>
        <w:tc>
          <w:tcPr>
            <w:tcW w:w="626" w:type="pct"/>
            <w:tcBorders>
              <w:top w:val="single" w:sz="4" w:space="0" w:color="auto"/>
              <w:left w:val="nil"/>
              <w:bottom w:val="nil"/>
              <w:right w:val="nil"/>
            </w:tcBorders>
            <w:shd w:val="clear" w:color="auto" w:fill="auto"/>
            <w:tcMar>
              <w:top w:w="110" w:type="dxa"/>
            </w:tcMar>
          </w:tcPr>
          <w:p w:rsidR="00FA0032" w:rsidRPr="00CD2604" w:rsidRDefault="00FA0032" w:rsidP="00C61544">
            <w:pPr>
              <w:keepNext/>
              <w:keepLines/>
              <w:rPr>
                <w:rFonts w:eastAsia="SimSun" w:cs="Arial"/>
                <w:b/>
                <w:sz w:val="16"/>
                <w:szCs w:val="16"/>
              </w:rPr>
            </w:pPr>
            <w:r w:rsidRPr="00CD2604">
              <w:rPr>
                <w:b/>
                <w:sz w:val="16"/>
                <w:szCs w:val="16"/>
              </w:rPr>
              <w:t>Цели</w:t>
            </w:r>
          </w:p>
        </w:tc>
        <w:tc>
          <w:tcPr>
            <w:tcW w:w="1487" w:type="pct"/>
            <w:tcBorders>
              <w:top w:val="single" w:sz="4"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p>
        </w:tc>
        <w:tc>
          <w:tcPr>
            <w:tcW w:w="662" w:type="pct"/>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sz w:val="16"/>
                <w:szCs w:val="16"/>
              </w:rPr>
            </w:pPr>
            <w:r w:rsidRPr="00CD2604">
              <w:rPr>
                <w:b/>
                <w:sz w:val="16"/>
                <w:szCs w:val="16"/>
              </w:rPr>
              <w:t>CC</w:t>
            </w:r>
          </w:p>
        </w:tc>
      </w:tr>
      <w:tr w:rsidR="00FA0032" w:rsidRPr="00CD2604" w:rsidTr="00D340AF">
        <w:trPr>
          <w:gridAfter w:val="1"/>
          <w:wAfter w:w="8" w:type="pct"/>
          <w:trHeight w:val="1042"/>
        </w:trPr>
        <w:tc>
          <w:tcPr>
            <w:tcW w:w="1141" w:type="pct"/>
            <w:tcBorders>
              <w:top w:val="nil"/>
              <w:left w:val="single" w:sz="4" w:space="0" w:color="auto"/>
              <w:bottom w:val="nil"/>
              <w:right w:val="nil"/>
            </w:tcBorders>
            <w:shd w:val="clear" w:color="auto" w:fill="auto"/>
          </w:tcPr>
          <w:p w:rsidR="00FA0032" w:rsidRPr="00FA0032" w:rsidRDefault="00FA0032" w:rsidP="00C61544">
            <w:pPr>
              <w:keepNext/>
              <w:keepLines/>
              <w:rPr>
                <w:rFonts w:eastAsia="SimSun" w:cs="Arial"/>
                <w:sz w:val="16"/>
                <w:szCs w:val="16"/>
                <w:lang w:val="ru-RU"/>
              </w:rPr>
            </w:pPr>
            <w:r w:rsidRPr="00FA0032">
              <w:rPr>
                <w:sz w:val="16"/>
                <w:szCs w:val="16"/>
                <w:lang w:val="ru-RU"/>
              </w:rPr>
              <w:t>Число стран, выработавших политику по вопросу об их присоединении к Гаагскому соглашению и/или реализующих такую политику</w:t>
            </w:r>
          </w:p>
        </w:tc>
        <w:tc>
          <w:tcPr>
            <w:tcW w:w="1075" w:type="pct"/>
            <w:tcBorders>
              <w:top w:val="nil"/>
              <w:left w:val="nil"/>
              <w:bottom w:val="nil"/>
              <w:right w:val="nil"/>
            </w:tcBorders>
            <w:shd w:val="clear" w:color="auto" w:fill="auto"/>
          </w:tcPr>
          <w:p w:rsidR="00FA0032" w:rsidRPr="00CD2604" w:rsidRDefault="00FA0032" w:rsidP="00C61544">
            <w:pPr>
              <w:rPr>
                <w:rFonts w:cs="Arial"/>
                <w:sz w:val="16"/>
                <w:szCs w:val="16"/>
              </w:rPr>
            </w:pPr>
            <w:r w:rsidRPr="00CD2604">
              <w:rPr>
                <w:sz w:val="16"/>
                <w:szCs w:val="16"/>
              </w:rPr>
              <w:t>данные отсутствуют (WSO)</w:t>
            </w:r>
          </w:p>
          <w:p w:rsidR="00FA0032" w:rsidRPr="00CD2604" w:rsidRDefault="00FA0032" w:rsidP="00C61544">
            <w:pPr>
              <w:keepNext/>
              <w:keepLines/>
              <w:rPr>
                <w:rFonts w:eastAsia="SimSun" w:cs="Arial"/>
                <w:color w:val="000000"/>
                <w:sz w:val="16"/>
                <w:szCs w:val="16"/>
              </w:rPr>
            </w:pPr>
          </w:p>
        </w:tc>
        <w:tc>
          <w:tcPr>
            <w:tcW w:w="626" w:type="pct"/>
            <w:tcBorders>
              <w:top w:val="nil"/>
              <w:left w:val="nil"/>
              <w:bottom w:val="nil"/>
              <w:right w:val="nil"/>
            </w:tcBorders>
            <w:shd w:val="clear" w:color="auto" w:fill="auto"/>
            <w:tcMar>
              <w:top w:w="110" w:type="dxa"/>
            </w:tcMar>
          </w:tcPr>
          <w:p w:rsidR="00FA0032" w:rsidRPr="00CD2604" w:rsidRDefault="00FA0032" w:rsidP="00C61544">
            <w:pPr>
              <w:keepNext/>
              <w:keepLines/>
              <w:rPr>
                <w:rFonts w:eastAsia="SimSun" w:cs="Arial"/>
                <w:color w:val="000000"/>
                <w:sz w:val="16"/>
                <w:szCs w:val="16"/>
              </w:rPr>
            </w:pPr>
            <w:r w:rsidRPr="00CD2604">
              <w:rPr>
                <w:color w:val="000000"/>
                <w:sz w:val="16"/>
                <w:szCs w:val="16"/>
              </w:rPr>
              <w:t>7 стран АСЕАН (WSO)</w:t>
            </w:r>
          </w:p>
        </w:tc>
        <w:tc>
          <w:tcPr>
            <w:tcW w:w="1487" w:type="pct"/>
            <w:tcBorders>
              <w:top w:val="nil"/>
              <w:left w:val="nil"/>
              <w:bottom w:val="nil"/>
              <w:right w:val="nil"/>
            </w:tcBorders>
            <w:shd w:val="clear" w:color="auto" w:fill="FFFFFF"/>
            <w:tcMar>
              <w:top w:w="110" w:type="dxa"/>
            </w:tcMar>
          </w:tcPr>
          <w:p w:rsidR="00FA0032" w:rsidRPr="00FA0032" w:rsidRDefault="00FA0032" w:rsidP="00C61544">
            <w:pPr>
              <w:rPr>
                <w:rFonts w:eastAsia="SimSun" w:cs="Arial"/>
                <w:sz w:val="16"/>
                <w:szCs w:val="16"/>
                <w:lang w:val="ru-RU"/>
              </w:rPr>
            </w:pPr>
            <w:r w:rsidRPr="00FA0032">
              <w:rPr>
                <w:sz w:val="16"/>
                <w:szCs w:val="16"/>
                <w:lang w:val="ru-RU"/>
              </w:rPr>
              <w:t>7 стран АСЕАН (Камбоджа, Индонезия, Лаосская Народно-Демократическая Республика, Малайзия, Филиппины, Таиланд, Вьетнам)</w:t>
            </w:r>
          </w:p>
        </w:tc>
        <w:tc>
          <w:tcPr>
            <w:tcW w:w="662" w:type="pct"/>
            <w:tcBorders>
              <w:top w:val="nil"/>
              <w:left w:val="nil"/>
              <w:bottom w:val="nil"/>
              <w:right w:val="single" w:sz="4" w:space="0" w:color="auto"/>
            </w:tcBorders>
            <w:shd w:val="clear" w:color="auto" w:fill="auto"/>
            <w:tcMar>
              <w:top w:w="110" w:type="dxa"/>
            </w:tcMar>
          </w:tcPr>
          <w:p w:rsidR="00FA0032" w:rsidRPr="00CD2604" w:rsidRDefault="00FA0032" w:rsidP="00C61544">
            <w:pPr>
              <w:keepNext/>
              <w:keepLines/>
              <w:ind w:right="20"/>
              <w:jc w:val="center"/>
              <w:rPr>
                <w:rFonts w:eastAsia="SimSun" w:cs="Arial"/>
                <w:b/>
                <w:bCs/>
                <w:color w:val="808080"/>
                <w:sz w:val="16"/>
                <w:szCs w:val="16"/>
              </w:rPr>
            </w:pPr>
            <w:r w:rsidRPr="00CD2604">
              <w:rPr>
                <w:b/>
                <w:color w:val="00B050"/>
                <w:sz w:val="16"/>
                <w:szCs w:val="16"/>
              </w:rPr>
              <w:t>Выполнено</w:t>
            </w:r>
          </w:p>
        </w:tc>
      </w:tr>
      <w:tr w:rsidR="00FA0032" w:rsidRPr="00CD2604" w:rsidTr="00D340AF">
        <w:trPr>
          <w:gridAfter w:val="1"/>
          <w:wAfter w:w="8" w:type="pct"/>
        </w:trPr>
        <w:tc>
          <w:tcPr>
            <w:tcW w:w="1141" w:type="pct"/>
            <w:tcBorders>
              <w:top w:val="nil"/>
              <w:left w:val="single" w:sz="4" w:space="0" w:color="auto"/>
              <w:bottom w:val="single" w:sz="4" w:space="0" w:color="auto"/>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Доля (%) лиц, ответственных за разработку политики, правительственных должностных лиц, практикующих специалистов в сфере ИС и участников целевых семинаров, сформировавших более глубокое понимание Гаагской системы</w:t>
            </w:r>
          </w:p>
        </w:tc>
        <w:tc>
          <w:tcPr>
            <w:tcW w:w="1075" w:type="pct"/>
            <w:tcBorders>
              <w:top w:val="nil"/>
              <w:left w:val="nil"/>
              <w:bottom w:val="single" w:sz="4" w:space="0" w:color="auto"/>
              <w:right w:val="nil"/>
            </w:tcBorders>
            <w:shd w:val="clear" w:color="auto" w:fill="auto"/>
          </w:tcPr>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WBO</w:t>
            </w:r>
            <w:r w:rsidRPr="00FA0032">
              <w:rPr>
                <w:sz w:val="16"/>
                <w:szCs w:val="16"/>
                <w:lang w:val="ru-RU"/>
              </w:rPr>
              <w:t>)</w:t>
            </w:r>
          </w:p>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WJO</w:t>
            </w:r>
            <w:r w:rsidRPr="00FA0032">
              <w:rPr>
                <w:sz w:val="16"/>
                <w:szCs w:val="16"/>
                <w:lang w:val="ru-RU"/>
              </w:rPr>
              <w:t>)</w:t>
            </w:r>
          </w:p>
          <w:p w:rsidR="00FA0032" w:rsidRPr="00CD2604" w:rsidDel="00436D89" w:rsidRDefault="00FA0032" w:rsidP="00C61544">
            <w:pPr>
              <w:rPr>
                <w:rFonts w:cs="Arial"/>
                <w:i/>
                <w:color w:val="002060"/>
                <w:sz w:val="16"/>
                <w:szCs w:val="16"/>
              </w:rPr>
            </w:pPr>
            <w:r w:rsidRPr="00CD2604">
              <w:rPr>
                <w:sz w:val="16"/>
                <w:szCs w:val="16"/>
              </w:rPr>
              <w:t>данные отсутствуют (WSO)</w:t>
            </w:r>
          </w:p>
        </w:tc>
        <w:tc>
          <w:tcPr>
            <w:tcW w:w="626" w:type="pct"/>
            <w:tcBorders>
              <w:top w:val="nil"/>
              <w:left w:val="nil"/>
              <w:bottom w:val="single" w:sz="4" w:space="0" w:color="auto"/>
              <w:right w:val="nil"/>
            </w:tcBorders>
            <w:shd w:val="clear" w:color="auto" w:fill="auto"/>
            <w:tcMar>
              <w:top w:w="110" w:type="dxa"/>
            </w:tcMar>
          </w:tcPr>
          <w:p w:rsidR="00FA0032" w:rsidRPr="00CD2604" w:rsidRDefault="00FA0032" w:rsidP="00C61544">
            <w:pPr>
              <w:rPr>
                <w:rFonts w:eastAsia="SimSun" w:cs="Arial"/>
                <w:color w:val="000000"/>
                <w:sz w:val="16"/>
                <w:szCs w:val="16"/>
              </w:rPr>
            </w:pPr>
            <w:r w:rsidRPr="00CD2604">
              <w:rPr>
                <w:color w:val="000000"/>
                <w:sz w:val="16"/>
                <w:szCs w:val="16"/>
              </w:rPr>
              <w:t>75% (WBO)</w:t>
            </w:r>
          </w:p>
          <w:p w:rsidR="00FA0032" w:rsidRPr="00CD2604" w:rsidRDefault="00FA0032" w:rsidP="00C61544">
            <w:pPr>
              <w:rPr>
                <w:rFonts w:eastAsia="SimSun" w:cs="Arial"/>
                <w:color w:val="000000"/>
                <w:sz w:val="16"/>
                <w:szCs w:val="16"/>
              </w:rPr>
            </w:pPr>
          </w:p>
          <w:p w:rsidR="00FA0032" w:rsidRPr="00CD2604" w:rsidRDefault="00FA0032" w:rsidP="00C61544">
            <w:pPr>
              <w:rPr>
                <w:rFonts w:eastAsia="SimSun" w:cs="Arial"/>
                <w:color w:val="000000"/>
                <w:sz w:val="16"/>
                <w:szCs w:val="16"/>
              </w:rPr>
            </w:pPr>
            <w:r w:rsidRPr="00CD2604">
              <w:rPr>
                <w:color w:val="000000"/>
                <w:sz w:val="16"/>
                <w:szCs w:val="16"/>
              </w:rPr>
              <w:t>75% (WJO)</w:t>
            </w:r>
          </w:p>
          <w:p w:rsidR="00FA0032" w:rsidRPr="00CD2604" w:rsidRDefault="00FA0032" w:rsidP="00C61544">
            <w:pPr>
              <w:rPr>
                <w:rFonts w:eastAsia="SimSun" w:cs="Arial"/>
                <w:color w:val="000000"/>
                <w:sz w:val="16"/>
                <w:szCs w:val="16"/>
              </w:rPr>
            </w:pPr>
          </w:p>
          <w:p w:rsidR="00FA0032" w:rsidRPr="00CD2604" w:rsidRDefault="00FA0032" w:rsidP="00C61544">
            <w:pPr>
              <w:rPr>
                <w:rFonts w:eastAsia="SimSun" w:cs="Arial"/>
                <w:color w:val="000000"/>
                <w:sz w:val="16"/>
                <w:szCs w:val="16"/>
              </w:rPr>
            </w:pPr>
            <w:r w:rsidRPr="00CD2604">
              <w:rPr>
                <w:color w:val="000000"/>
                <w:sz w:val="16"/>
                <w:szCs w:val="16"/>
              </w:rPr>
              <w:t>75% (WSO)</w:t>
            </w:r>
          </w:p>
          <w:p w:rsidR="00FA0032" w:rsidRPr="00CD2604" w:rsidRDefault="00FA0032" w:rsidP="00C61544">
            <w:pPr>
              <w:rPr>
                <w:rFonts w:eastAsia="SimSun" w:cs="Arial"/>
                <w:color w:val="000000"/>
                <w:sz w:val="16"/>
                <w:szCs w:val="16"/>
              </w:rPr>
            </w:pPr>
          </w:p>
          <w:p w:rsidR="00FA0032" w:rsidRPr="00CD2604" w:rsidRDefault="00FA0032" w:rsidP="00C61544">
            <w:pPr>
              <w:rPr>
                <w:rFonts w:eastAsia="SimSun" w:cs="Arial"/>
                <w:color w:val="000000"/>
                <w:sz w:val="16"/>
                <w:szCs w:val="16"/>
              </w:rPr>
            </w:pPr>
          </w:p>
        </w:tc>
        <w:tc>
          <w:tcPr>
            <w:tcW w:w="1487" w:type="pct"/>
            <w:tcBorders>
              <w:top w:val="nil"/>
              <w:left w:val="nil"/>
              <w:bottom w:val="single" w:sz="4" w:space="0" w:color="auto"/>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sz w:val="16"/>
                <w:szCs w:val="16"/>
              </w:rPr>
              <w:t>75% (WBO)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94% (WJO)</w:t>
            </w:r>
          </w:p>
          <w:p w:rsidR="00FA0032" w:rsidRPr="00CD2604" w:rsidRDefault="00FA0032" w:rsidP="00C61544">
            <w:pPr>
              <w:rPr>
                <w:rFonts w:eastAsia="SimSun" w:cs="Arial"/>
                <w:sz w:val="16"/>
                <w:szCs w:val="16"/>
              </w:rPr>
            </w:pPr>
          </w:p>
          <w:p w:rsidR="00FA0032" w:rsidRPr="00CD2604" w:rsidDel="00436D89" w:rsidRDefault="00FA0032" w:rsidP="00C61544">
            <w:pPr>
              <w:rPr>
                <w:rFonts w:eastAsia="SimSun" w:cs="Arial"/>
                <w:sz w:val="16"/>
                <w:szCs w:val="16"/>
              </w:rPr>
            </w:pPr>
            <w:r w:rsidRPr="00CD2604">
              <w:rPr>
                <w:sz w:val="16"/>
                <w:szCs w:val="16"/>
              </w:rPr>
              <w:t>85% (WSO)</w:t>
            </w:r>
          </w:p>
        </w:tc>
        <w:tc>
          <w:tcPr>
            <w:tcW w:w="662" w:type="pct"/>
            <w:tcBorders>
              <w:top w:val="nil"/>
              <w:left w:val="nil"/>
              <w:bottom w:val="single" w:sz="4" w:space="0" w:color="auto"/>
              <w:right w:val="single" w:sz="4" w:space="0" w:color="auto"/>
            </w:tcBorders>
            <w:shd w:val="clear" w:color="auto" w:fill="auto"/>
            <w:tcMar>
              <w:top w:w="110" w:type="dxa"/>
            </w:tcMar>
          </w:tcPr>
          <w:p w:rsidR="00FA0032" w:rsidRPr="00CD2604" w:rsidRDefault="00FA0032" w:rsidP="00C61544">
            <w:pPr>
              <w:keepNext/>
              <w:keepLines/>
              <w:ind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left="-135" w:right="20"/>
              <w:jc w:val="center"/>
              <w:rPr>
                <w:rFonts w:eastAsia="SimSun" w:cs="Arial"/>
                <w:b/>
                <w:bCs/>
                <w:color w:val="808080"/>
                <w:sz w:val="16"/>
                <w:szCs w:val="16"/>
              </w:rPr>
            </w:pPr>
          </w:p>
        </w:tc>
      </w:tr>
    </w:tbl>
    <w:p w:rsidR="00D340AF" w:rsidRDefault="00D340AF">
      <w:r>
        <w:br w:type="page"/>
      </w:r>
    </w:p>
    <w:tbl>
      <w:tblPr>
        <w:tblW w:w="519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7"/>
        <w:gridCol w:w="1926"/>
        <w:gridCol w:w="221"/>
        <w:gridCol w:w="211"/>
        <w:gridCol w:w="1058"/>
        <w:gridCol w:w="181"/>
        <w:gridCol w:w="2743"/>
        <w:gridCol w:w="1332"/>
      </w:tblGrid>
      <w:tr w:rsidR="00FA0032" w:rsidRPr="00CD2604" w:rsidTr="00D340AF">
        <w:tc>
          <w:tcPr>
            <w:tcW w:w="1141" w:type="pct"/>
            <w:tcBorders>
              <w:top w:val="single" w:sz="4" w:space="0" w:color="auto"/>
              <w:left w:val="single" w:sz="4" w:space="0" w:color="auto"/>
              <w:bottom w:val="single" w:sz="4" w:space="0" w:color="auto"/>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Число Договаривающихся сторон Гаагской системы в Азиатско-Тихоокеанском регионе</w:t>
            </w:r>
          </w:p>
        </w:tc>
        <w:tc>
          <w:tcPr>
            <w:tcW w:w="1080" w:type="pct"/>
            <w:gridSpan w:val="2"/>
            <w:tcBorders>
              <w:top w:val="single" w:sz="4" w:space="0" w:color="auto"/>
              <w:left w:val="nil"/>
              <w:bottom w:val="single" w:sz="4" w:space="0" w:color="auto"/>
              <w:right w:val="nil"/>
            </w:tcBorders>
            <w:shd w:val="clear" w:color="auto" w:fill="auto"/>
          </w:tcPr>
          <w:p w:rsidR="00FA0032" w:rsidRPr="00FA0032" w:rsidRDefault="00FA0032" w:rsidP="00C61544">
            <w:pPr>
              <w:rPr>
                <w:rFonts w:cs="Arial"/>
                <w:i/>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p>
          <w:p w:rsidR="00FA0032" w:rsidRPr="00FA0032" w:rsidRDefault="00FA0032" w:rsidP="00C61544">
            <w:pPr>
              <w:rPr>
                <w:rFonts w:cs="Arial"/>
                <w:color w:val="002060"/>
                <w:sz w:val="16"/>
                <w:szCs w:val="16"/>
                <w:lang w:val="ru-RU"/>
              </w:rPr>
            </w:pPr>
            <w:r w:rsidRPr="00FA0032">
              <w:rPr>
                <w:color w:val="002060"/>
                <w:sz w:val="16"/>
                <w:szCs w:val="16"/>
                <w:lang w:val="ru-RU"/>
              </w:rPr>
              <w:t>Япония не входит в Гаагскую систему (</w:t>
            </w:r>
            <w:r w:rsidRPr="00CD2604">
              <w:rPr>
                <w:color w:val="002060"/>
                <w:sz w:val="16"/>
                <w:szCs w:val="16"/>
              </w:rPr>
              <w:t>WJO</w:t>
            </w:r>
            <w:r w:rsidRPr="00FA0032">
              <w:rPr>
                <w:color w:val="002060"/>
                <w:sz w:val="16"/>
                <w:szCs w:val="16"/>
                <w:lang w:val="ru-RU"/>
              </w:rPr>
              <w:t>)</w:t>
            </w:r>
          </w:p>
          <w:p w:rsidR="00FA0032" w:rsidRPr="00FA0032" w:rsidRDefault="00FA0032" w:rsidP="00C61544">
            <w:pPr>
              <w:rPr>
                <w:rFonts w:cs="Arial"/>
                <w:color w:val="002060"/>
                <w:sz w:val="16"/>
                <w:szCs w:val="16"/>
                <w:lang w:val="ru-RU"/>
              </w:rPr>
            </w:pPr>
            <w:r w:rsidRPr="00FA0032">
              <w:rPr>
                <w:color w:val="002060"/>
                <w:sz w:val="16"/>
                <w:szCs w:val="16"/>
                <w:lang w:val="ru-RU"/>
              </w:rPr>
              <w:t>2 страны из региона АСЕАН (Бруней-Даруссалам и Сингапур) (</w:t>
            </w:r>
            <w:r w:rsidRPr="00CD2604">
              <w:rPr>
                <w:color w:val="002060"/>
                <w:sz w:val="16"/>
                <w:szCs w:val="16"/>
              </w:rPr>
              <w:t>WSO</w:t>
            </w:r>
            <w:r w:rsidRPr="00FA0032">
              <w:rPr>
                <w:color w:val="002060"/>
                <w:sz w:val="16"/>
                <w:szCs w:val="16"/>
                <w:lang w:val="ru-RU"/>
              </w:rPr>
              <w:t>)</w:t>
            </w:r>
          </w:p>
          <w:p w:rsidR="00FA0032" w:rsidRPr="00FA0032" w:rsidRDefault="00FA0032" w:rsidP="00C61544">
            <w:pPr>
              <w:rPr>
                <w:rFonts w:cs="Arial"/>
                <w:i/>
                <w:sz w:val="16"/>
                <w:szCs w:val="16"/>
                <w:lang w:val="ru-RU"/>
              </w:rPr>
            </w:pPr>
          </w:p>
          <w:p w:rsidR="00FA0032" w:rsidRPr="00FA0032" w:rsidRDefault="00FA0032" w:rsidP="00C61544">
            <w:pPr>
              <w:rPr>
                <w:rFonts w:cs="Arial"/>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w:t>
            </w:r>
          </w:p>
          <w:p w:rsidR="00FA0032" w:rsidRPr="00FA0032" w:rsidRDefault="00FA0032" w:rsidP="00C61544">
            <w:pPr>
              <w:rPr>
                <w:rFonts w:cs="Arial"/>
                <w:sz w:val="16"/>
                <w:szCs w:val="16"/>
                <w:lang w:val="ru-RU"/>
              </w:rPr>
            </w:pPr>
            <w:r w:rsidRPr="00FA0032">
              <w:rPr>
                <w:sz w:val="16"/>
                <w:szCs w:val="16"/>
                <w:lang w:val="ru-RU"/>
              </w:rPr>
              <w:t>1 страна из региона АСЕАН (</w:t>
            </w:r>
            <w:r w:rsidRPr="00CD2604">
              <w:rPr>
                <w:sz w:val="16"/>
                <w:szCs w:val="16"/>
              </w:rPr>
              <w:t>WSO</w:t>
            </w:r>
            <w:r w:rsidRPr="00FA0032">
              <w:rPr>
                <w:sz w:val="16"/>
                <w:szCs w:val="16"/>
                <w:lang w:val="ru-RU"/>
              </w:rPr>
              <w:t xml:space="preserve">); Япония не является членом </w:t>
            </w:r>
          </w:p>
          <w:p w:rsidR="00FA0032" w:rsidRPr="00FA0032" w:rsidRDefault="00FA0032" w:rsidP="00C61544">
            <w:pPr>
              <w:rPr>
                <w:rFonts w:cs="Arial"/>
                <w:sz w:val="16"/>
                <w:szCs w:val="16"/>
                <w:lang w:val="ru-RU"/>
              </w:rPr>
            </w:pPr>
          </w:p>
        </w:tc>
        <w:tc>
          <w:tcPr>
            <w:tcW w:w="638" w:type="pct"/>
            <w:gridSpan w:val="2"/>
            <w:tcBorders>
              <w:top w:val="single" w:sz="4" w:space="0" w:color="auto"/>
              <w:left w:val="nil"/>
              <w:bottom w:val="single" w:sz="4" w:space="0" w:color="auto"/>
              <w:right w:val="nil"/>
            </w:tcBorders>
            <w:shd w:val="clear" w:color="auto" w:fill="auto"/>
            <w:tcMar>
              <w:top w:w="110" w:type="dxa"/>
            </w:tcMar>
          </w:tcPr>
          <w:p w:rsidR="00FA0032" w:rsidRPr="00FA0032" w:rsidRDefault="00FA0032" w:rsidP="00C61544">
            <w:pPr>
              <w:rPr>
                <w:rFonts w:eastAsia="SimSun" w:cs="Arial"/>
                <w:color w:val="000000"/>
                <w:sz w:val="16"/>
                <w:szCs w:val="16"/>
                <w:lang w:val="ru-RU"/>
              </w:rPr>
            </w:pPr>
            <w:r w:rsidRPr="00FA0032">
              <w:rPr>
                <w:color w:val="000000"/>
                <w:sz w:val="16"/>
                <w:szCs w:val="16"/>
                <w:lang w:val="ru-RU"/>
              </w:rPr>
              <w:t>Присоединение Японии (</w:t>
            </w:r>
            <w:r w:rsidRPr="00CD2604">
              <w:rPr>
                <w:color w:val="000000"/>
                <w:sz w:val="16"/>
                <w:szCs w:val="16"/>
              </w:rPr>
              <w:t>WJO</w:t>
            </w:r>
            <w:r w:rsidRPr="00FA0032">
              <w:rPr>
                <w:color w:val="000000"/>
                <w:sz w:val="16"/>
                <w:szCs w:val="16"/>
                <w:lang w:val="ru-RU"/>
              </w:rPr>
              <w:t>)</w:t>
            </w:r>
          </w:p>
          <w:p w:rsidR="00FA0032" w:rsidRPr="00FA0032" w:rsidRDefault="00FA0032" w:rsidP="00C61544">
            <w:pPr>
              <w:rPr>
                <w:rFonts w:eastAsia="SimSun" w:cs="Arial"/>
                <w:color w:val="000000"/>
                <w:sz w:val="16"/>
                <w:szCs w:val="16"/>
                <w:lang w:val="ru-RU"/>
              </w:rPr>
            </w:pPr>
          </w:p>
          <w:p w:rsidR="00FA0032" w:rsidRPr="00FA0032" w:rsidRDefault="00FA0032" w:rsidP="00C61544">
            <w:pPr>
              <w:rPr>
                <w:rFonts w:eastAsia="SimSun" w:cs="Arial"/>
                <w:color w:val="000000"/>
                <w:sz w:val="16"/>
                <w:szCs w:val="16"/>
                <w:lang w:val="ru-RU"/>
              </w:rPr>
            </w:pPr>
          </w:p>
          <w:p w:rsidR="00FA0032" w:rsidRPr="00FA0032" w:rsidRDefault="00FA0032" w:rsidP="00C61544">
            <w:pPr>
              <w:rPr>
                <w:rFonts w:eastAsia="SimSun" w:cs="Arial"/>
                <w:color w:val="000000"/>
                <w:sz w:val="16"/>
                <w:szCs w:val="16"/>
                <w:lang w:val="ru-RU"/>
              </w:rPr>
            </w:pPr>
            <w:r w:rsidRPr="00FA0032">
              <w:rPr>
                <w:color w:val="000000"/>
                <w:sz w:val="16"/>
                <w:szCs w:val="16"/>
                <w:lang w:val="ru-RU"/>
              </w:rPr>
              <w:t>7 стран из региона АСЕАН (</w:t>
            </w:r>
            <w:r w:rsidRPr="00CD2604">
              <w:rPr>
                <w:color w:val="000000"/>
                <w:sz w:val="16"/>
                <w:szCs w:val="16"/>
              </w:rPr>
              <w:t>WSO</w:t>
            </w:r>
            <w:r w:rsidRPr="00FA0032">
              <w:rPr>
                <w:color w:val="000000"/>
                <w:sz w:val="16"/>
                <w:szCs w:val="16"/>
                <w:lang w:val="ru-RU"/>
              </w:rPr>
              <w:t>)</w:t>
            </w:r>
          </w:p>
          <w:p w:rsidR="00FA0032" w:rsidRPr="00FA0032" w:rsidRDefault="00FA0032" w:rsidP="00C61544">
            <w:pPr>
              <w:rPr>
                <w:rFonts w:eastAsia="SimSun" w:cs="Arial"/>
                <w:color w:val="000000"/>
                <w:sz w:val="16"/>
                <w:szCs w:val="16"/>
                <w:lang w:val="ru-RU"/>
              </w:rPr>
            </w:pPr>
          </w:p>
          <w:p w:rsidR="00FA0032" w:rsidRPr="00FA0032" w:rsidRDefault="00FA0032" w:rsidP="00C61544">
            <w:pPr>
              <w:rPr>
                <w:rFonts w:eastAsia="SimSun" w:cs="Arial"/>
                <w:color w:val="000000"/>
                <w:sz w:val="16"/>
                <w:szCs w:val="16"/>
                <w:lang w:val="ru-RU"/>
              </w:rPr>
            </w:pPr>
          </w:p>
        </w:tc>
        <w:tc>
          <w:tcPr>
            <w:tcW w:w="1470" w:type="pct"/>
            <w:gridSpan w:val="2"/>
            <w:tcBorders>
              <w:top w:val="single" w:sz="4" w:space="0" w:color="auto"/>
              <w:left w:val="nil"/>
              <w:bottom w:val="single" w:sz="4" w:space="0" w:color="auto"/>
              <w:right w:val="nil"/>
            </w:tcBorders>
            <w:shd w:val="clear" w:color="auto" w:fill="FFFFFF"/>
            <w:tcMar>
              <w:top w:w="110" w:type="dxa"/>
            </w:tcMar>
          </w:tcPr>
          <w:p w:rsidR="00FA0032" w:rsidRPr="00FA0032" w:rsidRDefault="00FA0032" w:rsidP="00C61544">
            <w:pPr>
              <w:rPr>
                <w:rFonts w:eastAsia="SimSun" w:cs="Arial"/>
                <w:sz w:val="16"/>
                <w:szCs w:val="16"/>
                <w:lang w:val="ru-RU"/>
              </w:rPr>
            </w:pPr>
            <w:r w:rsidRPr="00FA0032">
              <w:rPr>
                <w:sz w:val="16"/>
                <w:szCs w:val="16"/>
                <w:lang w:val="ru-RU"/>
              </w:rPr>
              <w:t>Присоединение Японии в 2015</w:t>
            </w:r>
            <w:r w:rsidRPr="00CD2604">
              <w:rPr>
                <w:sz w:val="16"/>
                <w:szCs w:val="16"/>
              </w:rPr>
              <w:t> </w:t>
            </w:r>
            <w:r w:rsidRPr="00FA0032">
              <w:rPr>
                <w:sz w:val="16"/>
                <w:szCs w:val="16"/>
                <w:lang w:val="ru-RU"/>
              </w:rPr>
              <w:t>г. (</w:t>
            </w:r>
            <w:r w:rsidRPr="00CD2604">
              <w:rPr>
                <w:sz w:val="16"/>
                <w:szCs w:val="16"/>
              </w:rPr>
              <w:t>WJO</w:t>
            </w:r>
            <w:r w:rsidRPr="00FA0032">
              <w:rPr>
                <w:sz w:val="16"/>
                <w:szCs w:val="16"/>
                <w:lang w:val="ru-RU"/>
              </w:rPr>
              <w:t xml:space="preserve">) </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Число стран АСЕАН – участников Гаагской системы не изменилось (</w:t>
            </w:r>
            <w:r w:rsidRPr="00CD2604">
              <w:rPr>
                <w:sz w:val="16"/>
                <w:szCs w:val="16"/>
              </w:rPr>
              <w:t>WSO</w:t>
            </w:r>
            <w:r w:rsidRPr="00FA0032">
              <w:rPr>
                <w:sz w:val="16"/>
                <w:szCs w:val="16"/>
                <w:lang w:val="ru-RU"/>
              </w:rPr>
              <w:t>)</w:t>
            </w:r>
          </w:p>
          <w:p w:rsidR="00FA0032" w:rsidRPr="00FA0032" w:rsidRDefault="00FA0032" w:rsidP="00C61544">
            <w:pPr>
              <w:rPr>
                <w:rFonts w:eastAsia="SimSun" w:cs="Arial"/>
                <w:sz w:val="16"/>
                <w:szCs w:val="16"/>
                <w:lang w:val="ru-RU"/>
              </w:rPr>
            </w:pPr>
          </w:p>
        </w:tc>
        <w:tc>
          <w:tcPr>
            <w:tcW w:w="670" w:type="pct"/>
            <w:tcBorders>
              <w:top w:val="single" w:sz="4" w:space="0" w:color="auto"/>
              <w:left w:val="nil"/>
              <w:bottom w:val="single" w:sz="4" w:space="0" w:color="auto"/>
              <w:right w:val="single" w:sz="4" w:space="0" w:color="auto"/>
            </w:tcBorders>
            <w:shd w:val="clear" w:color="auto" w:fill="auto"/>
            <w:tcMar>
              <w:top w:w="110" w:type="dxa"/>
            </w:tcMar>
          </w:tcPr>
          <w:p w:rsidR="00FA0032" w:rsidRPr="00CD2604" w:rsidRDefault="00FA0032" w:rsidP="00C61544">
            <w:pPr>
              <w:keepNext/>
              <w:keepLines/>
              <w:ind w:left="-117"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left="-117" w:right="20"/>
              <w:jc w:val="center"/>
              <w:rPr>
                <w:rFonts w:eastAsia="SimSun" w:cs="Arial"/>
                <w:b/>
                <w:bCs/>
                <w:color w:val="00B050"/>
                <w:sz w:val="16"/>
                <w:szCs w:val="16"/>
              </w:rPr>
            </w:pPr>
          </w:p>
          <w:p w:rsidR="00FA0032" w:rsidRPr="00CD2604" w:rsidRDefault="00FA0032" w:rsidP="00C61544">
            <w:pPr>
              <w:keepNext/>
              <w:keepLines/>
              <w:ind w:left="-117" w:right="20"/>
              <w:rPr>
                <w:rFonts w:eastAsia="SimSun" w:cs="Arial"/>
                <w:b/>
                <w:bCs/>
                <w:color w:val="00B050"/>
                <w:sz w:val="16"/>
                <w:szCs w:val="16"/>
              </w:rPr>
            </w:pPr>
          </w:p>
          <w:p w:rsidR="00FA0032" w:rsidRPr="00CD2604" w:rsidRDefault="00FA0032" w:rsidP="00C61544">
            <w:pPr>
              <w:keepNext/>
              <w:keepLines/>
              <w:ind w:left="-117" w:right="20"/>
              <w:jc w:val="center"/>
              <w:rPr>
                <w:rFonts w:eastAsia="SimSun" w:cs="Arial"/>
                <w:b/>
                <w:bCs/>
                <w:color w:val="00B050"/>
                <w:sz w:val="16"/>
                <w:szCs w:val="16"/>
              </w:rPr>
            </w:pPr>
            <w:r w:rsidRPr="00CD2604">
              <w:rPr>
                <w:b/>
                <w:color w:val="FF0000"/>
                <w:sz w:val="16"/>
                <w:szCs w:val="16"/>
              </w:rPr>
              <w:t>Не выполнено</w:t>
            </w:r>
          </w:p>
        </w:tc>
      </w:tr>
      <w:tr w:rsidR="00FA0032" w:rsidRPr="005C6ABD" w:rsidTr="00D340AF">
        <w:tc>
          <w:tcPr>
            <w:tcW w:w="5000" w:type="pct"/>
            <w:gridSpan w:val="8"/>
            <w:tcBorders>
              <w:top w:val="single" w:sz="4" w:space="0" w:color="auto"/>
              <w:bottom w:val="single" w:sz="4" w:space="0" w:color="auto"/>
            </w:tcBorders>
            <w:shd w:val="clear" w:color="auto" w:fill="C6D9F1" w:themeFill="text2" w:themeFillTint="33"/>
          </w:tcPr>
          <w:p w:rsidR="00FA0032" w:rsidRPr="00FA0032" w:rsidRDefault="00FA0032" w:rsidP="00D340AF">
            <w:pPr>
              <w:keepNext/>
              <w:keepLines/>
              <w:tabs>
                <w:tab w:val="left" w:pos="1452"/>
              </w:tabs>
              <w:spacing w:before="120" w:after="120"/>
              <w:ind w:left="2302" w:hanging="2268"/>
              <w:rPr>
                <w:rFonts w:eastAsia="SimSun" w:cs="Arial"/>
                <w:b/>
                <w:bCs/>
                <w:sz w:val="16"/>
                <w:szCs w:val="16"/>
                <w:lang w:val="ru-RU"/>
              </w:rPr>
            </w:pPr>
            <w:r w:rsidRPr="00FA0032">
              <w:rPr>
                <w:b/>
                <w:sz w:val="16"/>
                <w:szCs w:val="16"/>
                <w:lang w:val="ru-RU"/>
              </w:rPr>
              <w:t xml:space="preserve">Ожидаемый результат : </w:t>
            </w:r>
            <w:r w:rsidRPr="00FA0032">
              <w:rPr>
                <w:sz w:val="16"/>
                <w:szCs w:val="16"/>
                <w:lang w:val="ru-RU"/>
              </w:rPr>
              <w:tab/>
            </w:r>
            <w:r w:rsidRPr="00CD2604">
              <w:rPr>
                <w:color w:val="000000"/>
                <w:sz w:val="16"/>
                <w:szCs w:val="16"/>
              </w:rPr>
              <w:t>II</w:t>
            </w:r>
            <w:r w:rsidRPr="00FA0032">
              <w:rPr>
                <w:color w:val="000000"/>
                <w:sz w:val="16"/>
                <w:szCs w:val="16"/>
                <w:lang w:val="ru-RU"/>
              </w:rPr>
              <w:t>.6. Более широкое и эффективное использование Мадр</w:t>
            </w:r>
            <w:r w:rsidR="00D340AF">
              <w:rPr>
                <w:color w:val="000000"/>
                <w:sz w:val="16"/>
                <w:szCs w:val="16"/>
                <w:lang w:val="ru-RU"/>
              </w:rPr>
              <w:t xml:space="preserve">идской и Лиссабонской систем, </w:t>
            </w:r>
            <w:r w:rsidR="00D340AF">
              <w:rPr>
                <w:color w:val="000000"/>
                <w:sz w:val="16"/>
                <w:szCs w:val="16"/>
                <w:lang w:val="ru-RU"/>
              </w:rPr>
              <w:tab/>
            </w:r>
            <w:r w:rsidRPr="00FA0032">
              <w:rPr>
                <w:color w:val="000000"/>
                <w:sz w:val="16"/>
                <w:szCs w:val="16"/>
                <w:lang w:val="ru-RU"/>
              </w:rPr>
              <w:t>в том числе развивающимися странами и НРС</w:t>
            </w:r>
          </w:p>
        </w:tc>
      </w:tr>
      <w:tr w:rsidR="00FA0032" w:rsidRPr="00CD2604" w:rsidTr="00D340AF">
        <w:tc>
          <w:tcPr>
            <w:tcW w:w="1141" w:type="pct"/>
            <w:tcBorders>
              <w:top w:val="single" w:sz="4" w:space="0" w:color="auto"/>
              <w:left w:val="single" w:sz="4" w:space="0" w:color="auto"/>
              <w:bottom w:val="nil"/>
              <w:right w:val="nil"/>
            </w:tcBorders>
            <w:shd w:val="clear" w:color="auto" w:fill="auto"/>
          </w:tcPr>
          <w:p w:rsidR="00FA0032" w:rsidRPr="00CD2604" w:rsidRDefault="00FA0032" w:rsidP="00C61544">
            <w:pPr>
              <w:rPr>
                <w:rFonts w:eastAsia="SimSun" w:cs="Arial"/>
                <w:sz w:val="16"/>
                <w:szCs w:val="16"/>
              </w:rPr>
            </w:pPr>
            <w:r w:rsidRPr="00CD2604">
              <w:rPr>
                <w:b/>
                <w:sz w:val="16"/>
                <w:szCs w:val="16"/>
              </w:rPr>
              <w:t>Показатели результативности</w:t>
            </w:r>
          </w:p>
        </w:tc>
        <w:tc>
          <w:tcPr>
            <w:tcW w:w="1186" w:type="pct"/>
            <w:gridSpan w:val="3"/>
            <w:tcBorders>
              <w:top w:val="single" w:sz="4" w:space="0" w:color="auto"/>
              <w:left w:val="nil"/>
              <w:bottom w:val="nil"/>
              <w:right w:val="nil"/>
            </w:tcBorders>
            <w:shd w:val="clear" w:color="auto" w:fill="auto"/>
          </w:tcPr>
          <w:p w:rsidR="00FA0032" w:rsidRPr="00CD2604" w:rsidRDefault="00FA0032" w:rsidP="00C61544">
            <w:pPr>
              <w:keepNext/>
              <w:keepLines/>
              <w:rPr>
                <w:rFonts w:eastAsia="SimSun" w:cs="Arial"/>
                <w:b/>
                <w:bCs/>
                <w:sz w:val="16"/>
                <w:szCs w:val="16"/>
              </w:rPr>
            </w:pPr>
            <w:r w:rsidRPr="00CD2604">
              <w:rPr>
                <w:b/>
                <w:sz w:val="16"/>
                <w:szCs w:val="16"/>
              </w:rPr>
              <w:t>Базовые показатели</w:t>
            </w:r>
          </w:p>
        </w:tc>
        <w:tc>
          <w:tcPr>
            <w:tcW w:w="622" w:type="pct"/>
            <w:gridSpan w:val="2"/>
            <w:tcBorders>
              <w:top w:val="single" w:sz="4" w:space="0" w:color="auto"/>
              <w:left w:val="nil"/>
              <w:bottom w:val="nil"/>
              <w:right w:val="nil"/>
            </w:tcBorders>
            <w:shd w:val="clear" w:color="auto" w:fill="auto"/>
            <w:tcMar>
              <w:top w:w="110" w:type="dxa"/>
            </w:tcMar>
          </w:tcPr>
          <w:p w:rsidR="00FA0032" w:rsidRPr="00CD2604" w:rsidRDefault="00FA0032" w:rsidP="00C61544">
            <w:pPr>
              <w:keepNext/>
              <w:keepLines/>
              <w:rPr>
                <w:rFonts w:eastAsia="SimSun" w:cs="Arial"/>
                <w:b/>
                <w:sz w:val="16"/>
                <w:szCs w:val="16"/>
              </w:rPr>
            </w:pPr>
            <w:r w:rsidRPr="00CD2604">
              <w:rPr>
                <w:b/>
                <w:sz w:val="16"/>
                <w:szCs w:val="16"/>
              </w:rPr>
              <w:t>Цели</w:t>
            </w:r>
          </w:p>
        </w:tc>
        <w:tc>
          <w:tcPr>
            <w:tcW w:w="1380" w:type="pct"/>
            <w:tcBorders>
              <w:top w:val="single" w:sz="4" w:space="0" w:color="auto"/>
              <w:left w:val="nil"/>
              <w:bottom w:val="nil"/>
              <w:right w:val="nil"/>
            </w:tcBorders>
            <w:shd w:val="clear" w:color="auto" w:fill="FFFFFF"/>
            <w:tcMar>
              <w:top w:w="110" w:type="dxa"/>
            </w:tcMar>
          </w:tcPr>
          <w:p w:rsidR="00FA0032" w:rsidRPr="00CD2604" w:rsidRDefault="00FA0032" w:rsidP="00C61544">
            <w:pPr>
              <w:keepNext/>
              <w:keepLines/>
              <w:rPr>
                <w:rFonts w:eastAsia="SimSun" w:cs="Arial"/>
                <w:sz w:val="16"/>
                <w:szCs w:val="16"/>
              </w:rPr>
            </w:pPr>
            <w:r w:rsidRPr="00CD2604">
              <w:rPr>
                <w:b/>
                <w:sz w:val="16"/>
                <w:szCs w:val="16"/>
              </w:rPr>
              <w:t>Данные о результативности</w:t>
            </w:r>
          </w:p>
        </w:tc>
        <w:tc>
          <w:tcPr>
            <w:tcW w:w="670" w:type="pct"/>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right="20" w:hanging="71"/>
              <w:jc w:val="center"/>
              <w:rPr>
                <w:rFonts w:eastAsia="SimSun" w:cs="Arial"/>
                <w:b/>
                <w:bCs/>
                <w:color w:val="008000"/>
                <w:sz w:val="16"/>
                <w:szCs w:val="16"/>
              </w:rPr>
            </w:pPr>
            <w:r w:rsidRPr="00CD2604">
              <w:rPr>
                <w:b/>
                <w:sz w:val="16"/>
                <w:szCs w:val="16"/>
              </w:rPr>
              <w:t>CC</w:t>
            </w:r>
          </w:p>
        </w:tc>
      </w:tr>
      <w:tr w:rsidR="00FA0032" w:rsidRPr="00CD2604" w:rsidTr="00D340AF">
        <w:tc>
          <w:tcPr>
            <w:tcW w:w="1141" w:type="pct"/>
            <w:tcBorders>
              <w:top w:val="nil"/>
              <w:left w:val="single" w:sz="4" w:space="0" w:color="auto"/>
              <w:bottom w:val="nil"/>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Число стран, выработавших политику по вопросу об их присоединении к Мадридскому протоколу и/или реализующих такую политику</w:t>
            </w:r>
          </w:p>
        </w:tc>
        <w:tc>
          <w:tcPr>
            <w:tcW w:w="1186" w:type="pct"/>
            <w:gridSpan w:val="3"/>
            <w:tcBorders>
              <w:top w:val="nil"/>
              <w:left w:val="nil"/>
              <w:bottom w:val="nil"/>
              <w:right w:val="nil"/>
            </w:tcBorders>
            <w:shd w:val="clear" w:color="auto" w:fill="auto"/>
          </w:tcPr>
          <w:p w:rsidR="00FA0032" w:rsidRPr="00CD2604" w:rsidRDefault="00FA0032" w:rsidP="00C61544">
            <w:pPr>
              <w:keepNext/>
              <w:keepLines/>
              <w:rPr>
                <w:rFonts w:eastAsia="SimSun" w:cs="Arial"/>
                <w:color w:val="000000"/>
                <w:sz w:val="16"/>
                <w:szCs w:val="16"/>
              </w:rPr>
            </w:pPr>
            <w:r w:rsidRPr="00CD2604">
              <w:rPr>
                <w:sz w:val="16"/>
                <w:szCs w:val="16"/>
              </w:rPr>
              <w:t>данные отсутствуют (WSO)</w:t>
            </w:r>
          </w:p>
        </w:tc>
        <w:tc>
          <w:tcPr>
            <w:tcW w:w="622" w:type="pct"/>
            <w:gridSpan w:val="2"/>
            <w:tcBorders>
              <w:top w:val="nil"/>
              <w:left w:val="nil"/>
              <w:bottom w:val="nil"/>
              <w:right w:val="nil"/>
            </w:tcBorders>
            <w:shd w:val="clear" w:color="auto" w:fill="auto"/>
            <w:tcMar>
              <w:top w:w="110" w:type="dxa"/>
            </w:tcMar>
          </w:tcPr>
          <w:p w:rsidR="00FA0032" w:rsidRPr="00CD2604" w:rsidRDefault="00FA0032" w:rsidP="00C61544">
            <w:pPr>
              <w:keepNext/>
              <w:keepLines/>
              <w:rPr>
                <w:rFonts w:eastAsia="SimSun" w:cs="Arial"/>
                <w:sz w:val="16"/>
                <w:szCs w:val="16"/>
              </w:rPr>
            </w:pPr>
            <w:r w:rsidRPr="00CD2604">
              <w:rPr>
                <w:sz w:val="16"/>
                <w:szCs w:val="16"/>
              </w:rPr>
              <w:t>6 стран – членов АСЕАН (WSO)</w:t>
            </w:r>
          </w:p>
        </w:tc>
        <w:tc>
          <w:tcPr>
            <w:tcW w:w="1380" w:type="pct"/>
            <w:tcBorders>
              <w:top w:val="nil"/>
              <w:left w:val="nil"/>
              <w:bottom w:val="nil"/>
              <w:right w:val="nil"/>
            </w:tcBorders>
            <w:shd w:val="clear" w:color="auto" w:fill="FFFFFF"/>
            <w:tcMar>
              <w:top w:w="110" w:type="dxa"/>
            </w:tcMar>
          </w:tcPr>
          <w:p w:rsidR="00FA0032" w:rsidRPr="00FA0032" w:rsidRDefault="00FA0032" w:rsidP="00C61544">
            <w:pPr>
              <w:keepNext/>
              <w:keepLines/>
              <w:tabs>
                <w:tab w:val="right" w:pos="2582"/>
              </w:tabs>
              <w:rPr>
                <w:rFonts w:eastAsia="SimSun" w:cs="Arial"/>
                <w:sz w:val="16"/>
                <w:szCs w:val="16"/>
                <w:lang w:val="ru-RU"/>
              </w:rPr>
            </w:pPr>
            <w:r w:rsidRPr="00FA0032">
              <w:rPr>
                <w:sz w:val="16"/>
                <w:szCs w:val="16"/>
                <w:lang w:val="ru-RU"/>
              </w:rPr>
              <w:t>6 стран</w:t>
            </w:r>
            <w:r w:rsidRPr="00CD2604">
              <w:rPr>
                <w:sz w:val="16"/>
                <w:szCs w:val="16"/>
              </w:rPr>
              <w:t> </w:t>
            </w:r>
            <w:r w:rsidRPr="00FA0032">
              <w:rPr>
                <w:sz w:val="16"/>
                <w:szCs w:val="16"/>
                <w:lang w:val="ru-RU"/>
              </w:rPr>
              <w:t>– членов АСЕАН (Бруней-Даруссалам, Камбоджа, Индонезия, Лаосская Народно-Демократическая Республика, Малайзия, Таиланд) (</w:t>
            </w:r>
            <w:r w:rsidRPr="00CD2604">
              <w:rPr>
                <w:sz w:val="16"/>
                <w:szCs w:val="16"/>
              </w:rPr>
              <w:t>WSO</w:t>
            </w:r>
            <w:r w:rsidRPr="00FA0032">
              <w:rPr>
                <w:sz w:val="16"/>
                <w:szCs w:val="16"/>
                <w:lang w:val="ru-RU"/>
              </w:rPr>
              <w:t>)</w:t>
            </w:r>
            <w:r w:rsidRPr="00FA0032">
              <w:rPr>
                <w:sz w:val="16"/>
                <w:szCs w:val="16"/>
                <w:lang w:val="ru-RU"/>
              </w:rPr>
              <w:tab/>
            </w:r>
          </w:p>
        </w:tc>
        <w:tc>
          <w:tcPr>
            <w:tcW w:w="670" w:type="pct"/>
            <w:tcBorders>
              <w:top w:val="nil"/>
              <w:left w:val="nil"/>
              <w:bottom w:val="nil"/>
              <w:right w:val="single" w:sz="4" w:space="0" w:color="auto"/>
            </w:tcBorders>
            <w:shd w:val="clear" w:color="auto" w:fill="auto"/>
            <w:tcMar>
              <w:top w:w="110" w:type="dxa"/>
            </w:tcMar>
          </w:tcPr>
          <w:p w:rsidR="00FA0032" w:rsidRPr="00CD2604" w:rsidRDefault="00FA0032" w:rsidP="00C61544">
            <w:pPr>
              <w:keepNext/>
              <w:keepLines/>
              <w:ind w:right="20" w:hanging="71"/>
              <w:jc w:val="center"/>
              <w:rPr>
                <w:rFonts w:eastAsia="SimSun" w:cs="Arial"/>
                <w:b/>
                <w:bCs/>
                <w:color w:val="808080"/>
                <w:sz w:val="16"/>
                <w:szCs w:val="16"/>
              </w:rPr>
            </w:pPr>
            <w:r w:rsidRPr="00CD2604">
              <w:rPr>
                <w:b/>
                <w:color w:val="00B050"/>
                <w:sz w:val="16"/>
                <w:szCs w:val="16"/>
              </w:rPr>
              <w:t>Выполнено</w:t>
            </w:r>
          </w:p>
        </w:tc>
      </w:tr>
      <w:tr w:rsidR="00FA0032" w:rsidRPr="00CD2604" w:rsidTr="00D340AF">
        <w:trPr>
          <w:trHeight w:val="1195"/>
        </w:trPr>
        <w:tc>
          <w:tcPr>
            <w:tcW w:w="1141" w:type="pct"/>
            <w:tcBorders>
              <w:top w:val="nil"/>
              <w:left w:val="single" w:sz="4" w:space="0" w:color="auto"/>
              <w:bottom w:val="nil"/>
              <w:right w:val="nil"/>
            </w:tcBorders>
            <w:shd w:val="clear" w:color="auto" w:fill="auto"/>
          </w:tcPr>
          <w:p w:rsidR="00FA0032" w:rsidRPr="00FA0032" w:rsidRDefault="00FA0032" w:rsidP="00C61544">
            <w:pPr>
              <w:keepNext/>
              <w:keepLines/>
              <w:rPr>
                <w:rFonts w:eastAsia="SimSun" w:cs="Arial"/>
                <w:color w:val="000000"/>
                <w:sz w:val="16"/>
                <w:szCs w:val="16"/>
                <w:lang w:val="ru-RU"/>
              </w:rPr>
            </w:pPr>
            <w:r w:rsidRPr="00FA0032">
              <w:rPr>
                <w:color w:val="000000"/>
                <w:sz w:val="16"/>
                <w:szCs w:val="16"/>
                <w:lang w:val="ru-RU"/>
              </w:rPr>
              <w:t>Доля (%) участников целевых семинаров/практикумов по темам, связанным с Мадридской системой, которые удовлетворены их результатами</w:t>
            </w:r>
          </w:p>
        </w:tc>
        <w:tc>
          <w:tcPr>
            <w:tcW w:w="1186" w:type="pct"/>
            <w:gridSpan w:val="3"/>
            <w:tcBorders>
              <w:top w:val="nil"/>
              <w:left w:val="nil"/>
              <w:bottom w:val="nil"/>
              <w:right w:val="nil"/>
            </w:tcBorders>
            <w:shd w:val="clear" w:color="auto" w:fill="auto"/>
          </w:tcPr>
          <w:p w:rsidR="00FA0032" w:rsidRPr="00FA0032" w:rsidRDefault="00FA0032" w:rsidP="00C61544">
            <w:pPr>
              <w:keepNext/>
              <w:keepLines/>
              <w:rPr>
                <w:rFonts w:cs="Arial"/>
                <w:i/>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p>
          <w:p w:rsidR="00FA0032" w:rsidRPr="00FA0032" w:rsidRDefault="00FA0032" w:rsidP="00C61544">
            <w:pPr>
              <w:keepNext/>
              <w:keepLines/>
              <w:rPr>
                <w:rFonts w:cs="Arial"/>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w:t>
            </w:r>
          </w:p>
          <w:p w:rsidR="00FA0032" w:rsidRPr="00CD2604" w:rsidRDefault="00FA0032" w:rsidP="00C61544">
            <w:pPr>
              <w:keepNext/>
              <w:keepLines/>
              <w:rPr>
                <w:rFonts w:eastAsia="SimSun" w:cs="Arial"/>
                <w:color w:val="000000"/>
                <w:sz w:val="16"/>
                <w:szCs w:val="16"/>
              </w:rPr>
            </w:pPr>
            <w:r w:rsidRPr="00CD2604">
              <w:rPr>
                <w:color w:val="000000"/>
                <w:sz w:val="16"/>
                <w:szCs w:val="16"/>
              </w:rPr>
              <w:t>65% (WBO)</w:t>
            </w:r>
          </w:p>
          <w:p w:rsidR="00FA0032" w:rsidRPr="00CD2604" w:rsidRDefault="00FA0032" w:rsidP="00C61544">
            <w:pPr>
              <w:keepNext/>
              <w:keepLines/>
              <w:rPr>
                <w:rFonts w:cs="Arial"/>
                <w:i/>
                <w:color w:val="002060"/>
                <w:sz w:val="16"/>
                <w:szCs w:val="16"/>
              </w:rPr>
            </w:pPr>
            <w:r w:rsidRPr="00CD2604">
              <w:rPr>
                <w:color w:val="000000"/>
                <w:sz w:val="16"/>
                <w:szCs w:val="16"/>
              </w:rPr>
              <w:t>65% (WSO)</w:t>
            </w:r>
          </w:p>
        </w:tc>
        <w:tc>
          <w:tcPr>
            <w:tcW w:w="622" w:type="pct"/>
            <w:gridSpan w:val="2"/>
            <w:tcBorders>
              <w:top w:val="nil"/>
              <w:left w:val="nil"/>
              <w:bottom w:val="nil"/>
              <w:right w:val="nil"/>
            </w:tcBorders>
            <w:shd w:val="clear" w:color="auto" w:fill="auto"/>
            <w:tcMar>
              <w:top w:w="110" w:type="dxa"/>
            </w:tcMar>
          </w:tcPr>
          <w:p w:rsidR="00FA0032" w:rsidRPr="00CD2604" w:rsidRDefault="00FA0032" w:rsidP="00C61544">
            <w:pPr>
              <w:keepNext/>
              <w:keepLines/>
              <w:rPr>
                <w:rFonts w:eastAsia="SimSun" w:cs="Arial"/>
                <w:sz w:val="16"/>
                <w:szCs w:val="16"/>
              </w:rPr>
            </w:pPr>
            <w:r w:rsidRPr="00CD2604">
              <w:rPr>
                <w:sz w:val="16"/>
                <w:szCs w:val="16"/>
              </w:rPr>
              <w:t>75% (WBO)</w:t>
            </w:r>
          </w:p>
          <w:p w:rsidR="00FA0032" w:rsidRPr="00CD2604" w:rsidRDefault="00FA0032" w:rsidP="00C61544">
            <w:pPr>
              <w:keepNext/>
              <w:keepLines/>
              <w:rPr>
                <w:rFonts w:eastAsia="SimSun" w:cs="Arial"/>
                <w:sz w:val="16"/>
                <w:szCs w:val="16"/>
              </w:rPr>
            </w:pPr>
            <w:r w:rsidRPr="00CD2604">
              <w:rPr>
                <w:sz w:val="16"/>
                <w:szCs w:val="16"/>
              </w:rPr>
              <w:t>75% (WSO)</w:t>
            </w:r>
          </w:p>
        </w:tc>
        <w:tc>
          <w:tcPr>
            <w:tcW w:w="1380" w:type="pct"/>
            <w:tcBorders>
              <w:top w:val="nil"/>
              <w:left w:val="nil"/>
              <w:bottom w:val="nil"/>
              <w:right w:val="nil"/>
            </w:tcBorders>
            <w:shd w:val="clear" w:color="auto" w:fill="FFFFFF"/>
            <w:tcMar>
              <w:top w:w="110" w:type="dxa"/>
            </w:tcMar>
          </w:tcPr>
          <w:p w:rsidR="00FA0032" w:rsidRPr="00FA0032" w:rsidRDefault="00FA0032" w:rsidP="00C61544">
            <w:pPr>
              <w:keepNext/>
              <w:keepLines/>
              <w:rPr>
                <w:rFonts w:eastAsia="SimSun" w:cs="Arial"/>
                <w:sz w:val="16"/>
                <w:szCs w:val="16"/>
                <w:lang w:val="ru-RU"/>
              </w:rPr>
            </w:pPr>
            <w:r w:rsidRPr="00FA0032">
              <w:rPr>
                <w:sz w:val="16"/>
                <w:szCs w:val="16"/>
                <w:lang w:val="ru-RU"/>
              </w:rPr>
              <w:t>В рассматриваемый двухлетний период в Бразилии не проводились семинары/практикумы, связанные с Мадридской системой (</w:t>
            </w:r>
            <w:r w:rsidRPr="00CD2604">
              <w:rPr>
                <w:sz w:val="16"/>
                <w:szCs w:val="16"/>
              </w:rPr>
              <w:t>WBO</w:t>
            </w:r>
            <w:r w:rsidRPr="00FA0032">
              <w:rPr>
                <w:sz w:val="16"/>
                <w:szCs w:val="16"/>
                <w:lang w:val="ru-RU"/>
              </w:rPr>
              <w:t>)</w:t>
            </w:r>
          </w:p>
          <w:p w:rsidR="00FA0032" w:rsidRPr="00FA0032" w:rsidRDefault="00FA0032" w:rsidP="00C61544">
            <w:pPr>
              <w:keepNext/>
              <w:keepLines/>
              <w:rPr>
                <w:rFonts w:eastAsia="SimSun" w:cs="Arial"/>
                <w:sz w:val="16"/>
                <w:szCs w:val="16"/>
                <w:lang w:val="ru-RU"/>
              </w:rPr>
            </w:pPr>
          </w:p>
          <w:p w:rsidR="00FA0032" w:rsidRPr="00CD2604" w:rsidRDefault="00FA0032" w:rsidP="00C61544">
            <w:pPr>
              <w:keepNext/>
              <w:keepLines/>
              <w:rPr>
                <w:rFonts w:eastAsia="SimSun" w:cs="Arial"/>
                <w:sz w:val="16"/>
                <w:szCs w:val="16"/>
              </w:rPr>
            </w:pPr>
            <w:r w:rsidRPr="00CD2604">
              <w:rPr>
                <w:sz w:val="16"/>
                <w:szCs w:val="16"/>
              </w:rPr>
              <w:t>86% (WSO)</w:t>
            </w:r>
          </w:p>
        </w:tc>
        <w:tc>
          <w:tcPr>
            <w:tcW w:w="670" w:type="pct"/>
            <w:tcBorders>
              <w:top w:val="nil"/>
              <w:left w:val="nil"/>
              <w:bottom w:val="nil"/>
              <w:right w:val="single" w:sz="4" w:space="0" w:color="auto"/>
            </w:tcBorders>
            <w:shd w:val="clear" w:color="auto" w:fill="auto"/>
            <w:tcMar>
              <w:top w:w="110" w:type="dxa"/>
            </w:tcMar>
          </w:tcPr>
          <w:p w:rsidR="00FA0032" w:rsidRPr="00CD2604" w:rsidRDefault="00FA0032" w:rsidP="00C61544">
            <w:pPr>
              <w:keepNext/>
              <w:keepLines/>
              <w:ind w:right="20" w:hanging="71"/>
              <w:jc w:val="center"/>
              <w:rPr>
                <w:rFonts w:eastAsia="SimSun" w:cs="Arial"/>
                <w:b/>
                <w:bCs/>
                <w:color w:val="00B050"/>
                <w:sz w:val="16"/>
                <w:szCs w:val="16"/>
              </w:rPr>
            </w:pPr>
            <w:r w:rsidRPr="00CD2604">
              <w:rPr>
                <w:b/>
                <w:color w:val="FF0000"/>
                <w:sz w:val="16"/>
                <w:szCs w:val="16"/>
              </w:rPr>
              <w:t>Не выполнено</w:t>
            </w:r>
          </w:p>
          <w:p w:rsidR="00FA0032" w:rsidRPr="00CD2604" w:rsidRDefault="00FA0032" w:rsidP="00C61544">
            <w:pPr>
              <w:keepNext/>
              <w:keepLines/>
              <w:ind w:right="20" w:hanging="71"/>
              <w:rPr>
                <w:rFonts w:eastAsia="SimSun" w:cs="Arial"/>
                <w:b/>
                <w:bCs/>
                <w:color w:val="00B050"/>
                <w:sz w:val="16"/>
                <w:szCs w:val="16"/>
              </w:rPr>
            </w:pPr>
          </w:p>
          <w:p w:rsidR="00FA0032" w:rsidRPr="00CD2604" w:rsidRDefault="00FA0032" w:rsidP="00C61544">
            <w:pPr>
              <w:keepNext/>
              <w:keepLines/>
              <w:ind w:right="20" w:hanging="71"/>
              <w:rPr>
                <w:rFonts w:eastAsia="SimSun" w:cs="Arial"/>
                <w:b/>
                <w:bCs/>
                <w:color w:val="00B050"/>
                <w:sz w:val="16"/>
                <w:szCs w:val="16"/>
              </w:rPr>
            </w:pPr>
          </w:p>
          <w:p w:rsidR="00FA0032" w:rsidRPr="00CD2604" w:rsidRDefault="00FA0032" w:rsidP="00C61544">
            <w:pPr>
              <w:keepNext/>
              <w:keepLines/>
              <w:ind w:right="20" w:hanging="71"/>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hanging="71"/>
              <w:jc w:val="center"/>
              <w:rPr>
                <w:rFonts w:eastAsia="SimSun" w:cs="Arial"/>
                <w:b/>
                <w:bCs/>
                <w:color w:val="00B050"/>
                <w:sz w:val="16"/>
                <w:szCs w:val="16"/>
              </w:rPr>
            </w:pPr>
          </w:p>
        </w:tc>
      </w:tr>
      <w:tr w:rsidR="00FA0032" w:rsidRPr="00CD2604" w:rsidTr="00D340AF">
        <w:tc>
          <w:tcPr>
            <w:tcW w:w="1141" w:type="pct"/>
            <w:tcBorders>
              <w:top w:val="nil"/>
              <w:left w:val="single" w:sz="4" w:space="0" w:color="auto"/>
              <w:bottom w:val="nil"/>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Число Договаривающихся сторон Мадридского протокола</w:t>
            </w:r>
          </w:p>
        </w:tc>
        <w:tc>
          <w:tcPr>
            <w:tcW w:w="1186" w:type="pct"/>
            <w:gridSpan w:val="3"/>
            <w:tcBorders>
              <w:top w:val="nil"/>
              <w:left w:val="nil"/>
              <w:bottom w:val="nil"/>
              <w:right w:val="nil"/>
            </w:tcBorders>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r w:rsidRPr="00FA0032">
              <w:rPr>
                <w:color w:val="002060"/>
                <w:sz w:val="16"/>
                <w:szCs w:val="16"/>
                <w:lang w:val="ru-RU"/>
              </w:rPr>
              <w:t>3 (Филиппины, Сингапур, Вьетнам) (</w:t>
            </w:r>
            <w:r w:rsidRPr="00CD2604">
              <w:rPr>
                <w:color w:val="002060"/>
                <w:sz w:val="16"/>
                <w:szCs w:val="16"/>
              </w:rPr>
              <w:t>WSO</w:t>
            </w:r>
            <w:r w:rsidRPr="00FA0032">
              <w:rPr>
                <w:color w:val="002060"/>
                <w:sz w:val="16"/>
                <w:szCs w:val="16"/>
                <w:lang w:val="ru-RU"/>
              </w:rPr>
              <w:t>)</w:t>
            </w:r>
          </w:p>
          <w:p w:rsidR="00FA0032" w:rsidRPr="00FA0032" w:rsidRDefault="00FA0032" w:rsidP="00C61544">
            <w:pPr>
              <w:rPr>
                <w:rFonts w:cs="Arial"/>
                <w:color w:val="002060"/>
                <w:sz w:val="16"/>
                <w:szCs w:val="16"/>
                <w:lang w:val="ru-RU"/>
              </w:rPr>
            </w:pPr>
          </w:p>
          <w:p w:rsidR="00FA0032" w:rsidRPr="00FA0032" w:rsidRDefault="00FA0032" w:rsidP="00C61544">
            <w:pPr>
              <w:rPr>
                <w:rFonts w:cs="Arial"/>
                <w:i/>
                <w:color w:val="002060"/>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3 (</w:t>
            </w:r>
            <w:r w:rsidRPr="00CD2604">
              <w:rPr>
                <w:sz w:val="16"/>
                <w:szCs w:val="16"/>
              </w:rPr>
              <w:t>WSO</w:t>
            </w:r>
            <w:r w:rsidRPr="00FA0032">
              <w:rPr>
                <w:sz w:val="16"/>
                <w:szCs w:val="16"/>
                <w:lang w:val="ru-RU"/>
              </w:rPr>
              <w:t>)</w:t>
            </w:r>
          </w:p>
        </w:tc>
        <w:tc>
          <w:tcPr>
            <w:tcW w:w="622" w:type="pct"/>
            <w:gridSpan w:val="2"/>
            <w:tcBorders>
              <w:top w:val="nil"/>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sz w:val="16"/>
                <w:szCs w:val="16"/>
              </w:rPr>
              <w:t>10 (WSO)</w:t>
            </w:r>
          </w:p>
        </w:tc>
        <w:tc>
          <w:tcPr>
            <w:tcW w:w="1380" w:type="pct"/>
            <w:tcBorders>
              <w:top w:val="nil"/>
              <w:left w:val="nil"/>
              <w:bottom w:val="nil"/>
              <w:right w:val="nil"/>
            </w:tcBorders>
            <w:shd w:val="clear" w:color="auto" w:fill="FFFFFF"/>
            <w:tcMar>
              <w:top w:w="110" w:type="dxa"/>
            </w:tcMar>
          </w:tcPr>
          <w:p w:rsidR="00FA0032" w:rsidRPr="00FA0032" w:rsidRDefault="00FA0032" w:rsidP="00C61544">
            <w:pPr>
              <w:rPr>
                <w:rFonts w:eastAsia="SimSun" w:cs="Arial"/>
                <w:sz w:val="16"/>
                <w:szCs w:val="16"/>
                <w:lang w:val="ru-RU"/>
              </w:rPr>
            </w:pPr>
            <w:r w:rsidRPr="00FA0032">
              <w:rPr>
                <w:sz w:val="16"/>
                <w:szCs w:val="16"/>
                <w:lang w:val="ru-RU"/>
              </w:rPr>
              <w:t>еще 2 страны</w:t>
            </w:r>
            <w:r w:rsidRPr="00CD2604">
              <w:rPr>
                <w:sz w:val="16"/>
                <w:szCs w:val="16"/>
              </w:rPr>
              <w:t> </w:t>
            </w:r>
            <w:r w:rsidRPr="00FA0032">
              <w:rPr>
                <w:sz w:val="16"/>
                <w:szCs w:val="16"/>
                <w:lang w:val="ru-RU"/>
              </w:rPr>
              <w:t>– члена АСЕАН в 2014–2015</w:t>
            </w:r>
            <w:r w:rsidRPr="00CD2604">
              <w:rPr>
                <w:sz w:val="16"/>
                <w:szCs w:val="16"/>
              </w:rPr>
              <w:t> </w:t>
            </w:r>
            <w:r w:rsidRPr="00FA0032">
              <w:rPr>
                <w:sz w:val="16"/>
                <w:szCs w:val="16"/>
                <w:lang w:val="ru-RU"/>
              </w:rPr>
              <w:t>гг. (Камбоджа, Лаосская Народно-Демократическая Республика)</w:t>
            </w:r>
          </w:p>
          <w:p w:rsidR="00FA0032" w:rsidRPr="00CD2604" w:rsidRDefault="00FA0032" w:rsidP="00C61544">
            <w:pPr>
              <w:rPr>
                <w:rFonts w:eastAsia="SimSun" w:cs="Arial"/>
                <w:sz w:val="16"/>
                <w:szCs w:val="16"/>
              </w:rPr>
            </w:pPr>
            <w:r w:rsidRPr="00CD2604">
              <w:rPr>
                <w:sz w:val="16"/>
                <w:szCs w:val="16"/>
              </w:rPr>
              <w:t>всего 5)</w:t>
            </w:r>
          </w:p>
        </w:tc>
        <w:tc>
          <w:tcPr>
            <w:tcW w:w="670" w:type="pct"/>
            <w:tcBorders>
              <w:top w:val="nil"/>
              <w:left w:val="nil"/>
              <w:bottom w:val="nil"/>
              <w:right w:val="single" w:sz="4" w:space="0" w:color="auto"/>
            </w:tcBorders>
            <w:shd w:val="clear" w:color="auto" w:fill="auto"/>
            <w:tcMar>
              <w:top w:w="110" w:type="dxa"/>
            </w:tcMar>
          </w:tcPr>
          <w:p w:rsidR="00FA0032" w:rsidRPr="00CD2604" w:rsidRDefault="00FA0032" w:rsidP="00C61544">
            <w:pPr>
              <w:keepNext/>
              <w:keepLines/>
              <w:ind w:right="20"/>
              <w:jc w:val="center"/>
              <w:rPr>
                <w:rFonts w:eastAsia="SimSun" w:cs="Arial"/>
                <w:b/>
                <w:bCs/>
                <w:color w:val="00B050"/>
                <w:sz w:val="16"/>
                <w:szCs w:val="16"/>
              </w:rPr>
            </w:pPr>
            <w:r w:rsidRPr="00CD2604">
              <w:rPr>
                <w:b/>
                <w:color w:val="E36C0A" w:themeColor="accent6" w:themeShade="BF"/>
                <w:sz w:val="16"/>
                <w:szCs w:val="16"/>
              </w:rPr>
              <w:t>Частично выполнено</w:t>
            </w:r>
          </w:p>
        </w:tc>
      </w:tr>
      <w:tr w:rsidR="00FA0032" w:rsidRPr="00CD2604" w:rsidTr="00D340AF">
        <w:tc>
          <w:tcPr>
            <w:tcW w:w="1141" w:type="pct"/>
            <w:tcBorders>
              <w:top w:val="nil"/>
              <w:left w:val="single" w:sz="4" w:space="0" w:color="auto"/>
              <w:bottom w:val="nil"/>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Число новых регистраций (Мадридская система)</w:t>
            </w:r>
          </w:p>
        </w:tc>
        <w:tc>
          <w:tcPr>
            <w:tcW w:w="1186" w:type="pct"/>
            <w:gridSpan w:val="3"/>
            <w:tcBorders>
              <w:top w:val="nil"/>
              <w:left w:val="nil"/>
              <w:bottom w:val="nil"/>
              <w:right w:val="nil"/>
            </w:tcBorders>
            <w:shd w:val="clear" w:color="auto" w:fill="auto"/>
          </w:tcPr>
          <w:p w:rsidR="00FA0032" w:rsidRPr="00FA0032" w:rsidRDefault="00FA0032" w:rsidP="00C61544">
            <w:pPr>
              <w:rPr>
                <w:rFonts w:cs="Arial"/>
                <w:i/>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p>
          <w:p w:rsidR="00FA0032" w:rsidRPr="00FA0032" w:rsidRDefault="00FA0032" w:rsidP="00C61544">
            <w:pPr>
              <w:rPr>
                <w:sz w:val="16"/>
                <w:szCs w:val="16"/>
                <w:lang w:val="ru-RU"/>
              </w:rPr>
            </w:pPr>
            <w:r w:rsidRPr="00FA0032">
              <w:rPr>
                <w:i/>
                <w:color w:val="002060"/>
                <w:sz w:val="16"/>
                <w:szCs w:val="16"/>
                <w:lang w:val="ru-RU"/>
              </w:rPr>
              <w:t>2012</w:t>
            </w:r>
            <w:r w:rsidRPr="00CD2604">
              <w:rPr>
                <w:i/>
                <w:color w:val="002060"/>
                <w:sz w:val="16"/>
                <w:szCs w:val="16"/>
              </w:rPr>
              <w:t> </w:t>
            </w:r>
            <w:r w:rsidRPr="00FA0032">
              <w:rPr>
                <w:i/>
                <w:color w:val="002060"/>
                <w:sz w:val="16"/>
                <w:szCs w:val="16"/>
                <w:lang w:val="ru-RU"/>
              </w:rPr>
              <w:t xml:space="preserve">г.: </w:t>
            </w:r>
            <w:r w:rsidRPr="00FA0032">
              <w:rPr>
                <w:color w:val="002060"/>
                <w:sz w:val="16"/>
                <w:szCs w:val="16"/>
                <w:lang w:val="ru-RU"/>
              </w:rPr>
              <w:t>2</w:t>
            </w:r>
            <w:r w:rsidRPr="00CD2604">
              <w:rPr>
                <w:color w:val="002060"/>
                <w:sz w:val="16"/>
                <w:szCs w:val="16"/>
              </w:rPr>
              <w:t> </w:t>
            </w:r>
            <w:r w:rsidRPr="00FA0032">
              <w:rPr>
                <w:color w:val="002060"/>
                <w:sz w:val="16"/>
                <w:szCs w:val="16"/>
                <w:lang w:val="ru-RU"/>
              </w:rPr>
              <w:t>054</w:t>
            </w:r>
            <w:r w:rsidRPr="00FA0032">
              <w:rPr>
                <w:sz w:val="16"/>
                <w:szCs w:val="16"/>
                <w:lang w:val="ru-RU"/>
              </w:rPr>
              <w:tab/>
            </w:r>
          </w:p>
          <w:p w:rsidR="00FA0032" w:rsidRPr="00FA0032" w:rsidRDefault="00FA0032" w:rsidP="00C61544">
            <w:pPr>
              <w:rPr>
                <w:rFonts w:cs="Arial"/>
                <w:i/>
                <w:color w:val="002060"/>
                <w:sz w:val="16"/>
                <w:szCs w:val="16"/>
                <w:lang w:val="ru-RU"/>
              </w:rPr>
            </w:pPr>
            <w:r w:rsidRPr="00FA0032">
              <w:rPr>
                <w:i/>
                <w:color w:val="002060"/>
                <w:sz w:val="16"/>
                <w:szCs w:val="16"/>
                <w:lang w:val="ru-RU"/>
              </w:rPr>
              <w:t>2013</w:t>
            </w:r>
            <w:r w:rsidRPr="00CD2604">
              <w:rPr>
                <w:color w:val="002060"/>
                <w:sz w:val="16"/>
                <w:szCs w:val="16"/>
              </w:rPr>
              <w:t> </w:t>
            </w:r>
            <w:r w:rsidRPr="00FA0032">
              <w:rPr>
                <w:i/>
                <w:color w:val="002060"/>
                <w:sz w:val="16"/>
                <w:szCs w:val="16"/>
                <w:lang w:val="ru-RU"/>
              </w:rPr>
              <w:t xml:space="preserve">г. </w:t>
            </w:r>
            <w:r w:rsidRPr="00FA0032">
              <w:rPr>
                <w:color w:val="002060"/>
                <w:sz w:val="16"/>
                <w:szCs w:val="16"/>
                <w:lang w:val="ru-RU"/>
              </w:rPr>
              <w:t>1</w:t>
            </w:r>
            <w:r w:rsidRPr="00CD2604">
              <w:rPr>
                <w:color w:val="002060"/>
                <w:sz w:val="16"/>
                <w:szCs w:val="16"/>
              </w:rPr>
              <w:t> </w:t>
            </w:r>
            <w:r w:rsidRPr="00FA0032">
              <w:rPr>
                <w:color w:val="002060"/>
                <w:sz w:val="16"/>
                <w:szCs w:val="16"/>
                <w:lang w:val="ru-RU"/>
              </w:rPr>
              <w:t>845 (</w:t>
            </w:r>
            <w:r w:rsidRPr="00CD2604">
              <w:rPr>
                <w:color w:val="002060"/>
                <w:sz w:val="16"/>
                <w:szCs w:val="16"/>
              </w:rPr>
              <w:t>WJO</w:t>
            </w:r>
            <w:r w:rsidRPr="00FA0032">
              <w:rPr>
                <w:color w:val="002060"/>
                <w:sz w:val="16"/>
                <w:szCs w:val="16"/>
                <w:lang w:val="ru-RU"/>
              </w:rPr>
              <w:t>)</w:t>
            </w:r>
          </w:p>
          <w:p w:rsidR="00FA0032" w:rsidRPr="00FA0032" w:rsidRDefault="00FA0032" w:rsidP="00C61544">
            <w:pPr>
              <w:rPr>
                <w:rFonts w:cs="Arial"/>
                <w:color w:val="002060"/>
                <w:sz w:val="16"/>
                <w:szCs w:val="16"/>
                <w:lang w:val="ru-RU"/>
              </w:rPr>
            </w:pPr>
            <w:r w:rsidRPr="00FA0032">
              <w:rPr>
                <w:color w:val="002060"/>
                <w:sz w:val="16"/>
                <w:szCs w:val="16"/>
                <w:lang w:val="ru-RU"/>
              </w:rPr>
              <w:t>2012 = 327</w:t>
            </w:r>
          </w:p>
          <w:p w:rsidR="00FA0032" w:rsidRPr="00FA0032" w:rsidRDefault="00FA0032" w:rsidP="00C61544">
            <w:pPr>
              <w:rPr>
                <w:color w:val="002060"/>
                <w:sz w:val="16"/>
                <w:szCs w:val="16"/>
                <w:lang w:val="ru-RU"/>
              </w:rPr>
            </w:pPr>
            <w:r w:rsidRPr="00FA0032">
              <w:rPr>
                <w:color w:val="002060"/>
                <w:sz w:val="16"/>
                <w:szCs w:val="16"/>
                <w:lang w:val="ru-RU"/>
              </w:rPr>
              <w:t>2013 = 337 (</w:t>
            </w:r>
            <w:r w:rsidRPr="00CD2604">
              <w:rPr>
                <w:color w:val="002060"/>
                <w:sz w:val="16"/>
                <w:szCs w:val="16"/>
              </w:rPr>
              <w:t>WSO</w:t>
            </w:r>
            <w:r w:rsidRPr="00FA0032">
              <w:rPr>
                <w:color w:val="002060"/>
                <w:sz w:val="16"/>
                <w:szCs w:val="16"/>
                <w:lang w:val="ru-RU"/>
              </w:rPr>
              <w:t>)</w:t>
            </w:r>
          </w:p>
          <w:p w:rsidR="00FA0032" w:rsidRPr="00FA0032" w:rsidRDefault="00FA0032" w:rsidP="00C61544">
            <w:pPr>
              <w:rPr>
                <w:rFonts w:cs="Arial"/>
                <w:color w:val="002060"/>
                <w:sz w:val="16"/>
                <w:szCs w:val="16"/>
                <w:lang w:val="ru-RU"/>
              </w:rPr>
            </w:pPr>
          </w:p>
          <w:p w:rsidR="00FA0032" w:rsidRPr="00FA0032" w:rsidRDefault="00FA0032" w:rsidP="00C61544">
            <w:pPr>
              <w:rPr>
                <w:rFonts w:cs="Arial"/>
                <w:color w:val="002060"/>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статистика использования Мадридской системы странами АСЕАН, Японией (</w:t>
            </w:r>
            <w:r w:rsidRPr="00CD2604">
              <w:rPr>
                <w:sz w:val="16"/>
                <w:szCs w:val="16"/>
              </w:rPr>
              <w:t>WSO</w:t>
            </w:r>
            <w:r w:rsidRPr="00FA0032">
              <w:rPr>
                <w:sz w:val="16"/>
                <w:szCs w:val="16"/>
                <w:lang w:val="ru-RU"/>
              </w:rPr>
              <w:t>)</w:t>
            </w:r>
          </w:p>
          <w:p w:rsidR="00FA0032" w:rsidRPr="00FA0032" w:rsidRDefault="00FA0032" w:rsidP="00C61544">
            <w:pPr>
              <w:rPr>
                <w:rFonts w:cs="Arial"/>
                <w:i/>
                <w:sz w:val="16"/>
                <w:szCs w:val="16"/>
                <w:lang w:val="ru-RU"/>
              </w:rPr>
            </w:pPr>
          </w:p>
          <w:p w:rsidR="00FA0032" w:rsidRPr="00FA0032" w:rsidRDefault="00FA0032" w:rsidP="00C61544">
            <w:pPr>
              <w:rPr>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статистика использования Мадридской системы странами АСЕАН (</w:t>
            </w:r>
            <w:r w:rsidRPr="00CD2604">
              <w:rPr>
                <w:sz w:val="16"/>
                <w:szCs w:val="16"/>
              </w:rPr>
              <w:t>WSO</w:t>
            </w:r>
            <w:r w:rsidRPr="00FA0032">
              <w:rPr>
                <w:sz w:val="16"/>
                <w:szCs w:val="16"/>
                <w:lang w:val="ru-RU"/>
              </w:rPr>
              <w:t>) в 2012–2013</w:t>
            </w:r>
            <w:r w:rsidRPr="00CD2604">
              <w:rPr>
                <w:sz w:val="16"/>
                <w:szCs w:val="16"/>
              </w:rPr>
              <w:t> </w:t>
            </w:r>
            <w:r w:rsidRPr="00FA0032">
              <w:rPr>
                <w:sz w:val="16"/>
                <w:szCs w:val="16"/>
                <w:lang w:val="ru-RU"/>
              </w:rPr>
              <w:t>гг.</w:t>
            </w:r>
          </w:p>
          <w:p w:rsidR="00FA0032" w:rsidRPr="00FA0032" w:rsidRDefault="00FA0032" w:rsidP="00C61544">
            <w:pPr>
              <w:rPr>
                <w:rFonts w:cs="Arial"/>
                <w:sz w:val="16"/>
                <w:szCs w:val="16"/>
                <w:lang w:val="ru-RU"/>
              </w:rPr>
            </w:pPr>
          </w:p>
          <w:p w:rsidR="00FA0032" w:rsidRPr="00FA0032" w:rsidRDefault="00FA0032" w:rsidP="00C61544">
            <w:pPr>
              <w:rPr>
                <w:rFonts w:eastAsia="SimSun" w:cs="Arial"/>
                <w:color w:val="000000"/>
                <w:sz w:val="16"/>
                <w:szCs w:val="16"/>
                <w:lang w:val="ru-RU"/>
              </w:rPr>
            </w:pPr>
            <w:r w:rsidRPr="00FA0032">
              <w:rPr>
                <w:sz w:val="16"/>
                <w:szCs w:val="16"/>
                <w:lang w:val="ru-RU"/>
              </w:rPr>
              <w:t>Статистика использования Мадридской системы странами АСЕАН, Японией (</w:t>
            </w:r>
            <w:r w:rsidRPr="00CD2604">
              <w:rPr>
                <w:sz w:val="16"/>
                <w:szCs w:val="16"/>
              </w:rPr>
              <w:t>WJO</w:t>
            </w:r>
            <w:r w:rsidRPr="00FA0032">
              <w:rPr>
                <w:sz w:val="16"/>
                <w:szCs w:val="16"/>
                <w:lang w:val="ru-RU"/>
              </w:rPr>
              <w:t>) 2012–2013</w:t>
            </w:r>
            <w:r w:rsidRPr="00CD2604">
              <w:rPr>
                <w:sz w:val="16"/>
                <w:szCs w:val="16"/>
              </w:rPr>
              <w:t> </w:t>
            </w:r>
            <w:r w:rsidRPr="00FA0032">
              <w:rPr>
                <w:sz w:val="16"/>
                <w:szCs w:val="16"/>
                <w:lang w:val="ru-RU"/>
              </w:rPr>
              <w:t>гг.</w:t>
            </w:r>
          </w:p>
        </w:tc>
        <w:tc>
          <w:tcPr>
            <w:tcW w:w="622" w:type="pct"/>
            <w:gridSpan w:val="2"/>
            <w:tcBorders>
              <w:top w:val="nil"/>
              <w:left w:val="nil"/>
              <w:bottom w:val="nil"/>
              <w:right w:val="nil"/>
            </w:tcBorders>
            <w:shd w:val="clear" w:color="auto" w:fill="auto"/>
            <w:tcMar>
              <w:top w:w="110" w:type="dxa"/>
            </w:tcMar>
          </w:tcPr>
          <w:p w:rsidR="00FA0032" w:rsidRPr="00FA0032" w:rsidRDefault="00FA0032" w:rsidP="00C61544">
            <w:pPr>
              <w:rPr>
                <w:rFonts w:eastAsia="SimSun" w:cs="Arial"/>
                <w:sz w:val="16"/>
                <w:szCs w:val="16"/>
                <w:lang w:val="ru-RU"/>
              </w:rPr>
            </w:pPr>
            <w:r w:rsidRPr="00FA0032">
              <w:rPr>
                <w:sz w:val="16"/>
                <w:szCs w:val="16"/>
                <w:lang w:val="ru-RU"/>
              </w:rPr>
              <w:t>Рост числа заявок (</w:t>
            </w:r>
            <w:r w:rsidRPr="00CD2604">
              <w:rPr>
                <w:sz w:val="16"/>
                <w:szCs w:val="16"/>
              </w:rPr>
              <w:t>WJO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Рост числа заявок на 5% (</w:t>
            </w:r>
            <w:r w:rsidRPr="00CD2604">
              <w:rPr>
                <w:sz w:val="16"/>
                <w:szCs w:val="16"/>
              </w:rPr>
              <w:t>WSO</w:t>
            </w:r>
            <w:r w:rsidRPr="00FA0032">
              <w:rPr>
                <w:sz w:val="16"/>
                <w:szCs w:val="16"/>
                <w:lang w:val="ru-RU"/>
              </w:rPr>
              <w:t>)</w:t>
            </w:r>
            <w:r w:rsidRPr="00CD2604">
              <w:rPr>
                <w:rStyle w:val="FootnoteReference"/>
                <w:szCs w:val="16"/>
              </w:rPr>
              <w:footnoteReference w:id="111"/>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tc>
        <w:tc>
          <w:tcPr>
            <w:tcW w:w="1380" w:type="pct"/>
            <w:tcBorders>
              <w:top w:val="nil"/>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sz w:val="16"/>
                <w:szCs w:val="16"/>
              </w:rPr>
              <w:t>2014–2015 гг.: 4 200 (+8%)</w:t>
            </w:r>
          </w:p>
          <w:p w:rsidR="00FA0032" w:rsidRPr="00CD2604" w:rsidRDefault="00FA0032" w:rsidP="00C61544">
            <w:pPr>
              <w:rPr>
                <w:rFonts w:eastAsia="SimSun" w:cs="Arial"/>
                <w:sz w:val="16"/>
                <w:szCs w:val="16"/>
              </w:rPr>
            </w:pPr>
            <w:r w:rsidRPr="00CD2604">
              <w:rPr>
                <w:sz w:val="16"/>
                <w:szCs w:val="16"/>
              </w:rPr>
              <w:t xml:space="preserve">2014 г.:  2 033 (+10%) </w:t>
            </w:r>
          </w:p>
          <w:p w:rsidR="00FA0032" w:rsidRPr="00CD2604" w:rsidRDefault="00FA0032" w:rsidP="00C61544">
            <w:pPr>
              <w:rPr>
                <w:rFonts w:eastAsia="SimSun" w:cs="Arial"/>
                <w:sz w:val="16"/>
                <w:szCs w:val="16"/>
              </w:rPr>
            </w:pPr>
            <w:r w:rsidRPr="00CD2604">
              <w:rPr>
                <w:sz w:val="16"/>
                <w:szCs w:val="16"/>
              </w:rPr>
              <w:t>2015 г.:  2 167 (+7%)</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2014–2015 гг.: 860 (+30%)</w:t>
            </w:r>
          </w:p>
          <w:p w:rsidR="00FA0032" w:rsidRPr="00CD2604" w:rsidRDefault="00FA0032" w:rsidP="00C61544">
            <w:pPr>
              <w:rPr>
                <w:rFonts w:eastAsia="SimSun" w:cs="Arial"/>
                <w:sz w:val="16"/>
                <w:szCs w:val="16"/>
              </w:rPr>
            </w:pPr>
            <w:r w:rsidRPr="00CD2604">
              <w:rPr>
                <w:sz w:val="16"/>
                <w:szCs w:val="16"/>
              </w:rPr>
              <w:t xml:space="preserve">2014 г.:  351 (+4%)  </w:t>
            </w:r>
          </w:p>
          <w:p w:rsidR="00FA0032" w:rsidRPr="00CD2604" w:rsidRDefault="00FA0032" w:rsidP="00C61544">
            <w:pPr>
              <w:rPr>
                <w:rFonts w:eastAsia="SimSun" w:cs="Arial"/>
                <w:sz w:val="16"/>
                <w:szCs w:val="16"/>
              </w:rPr>
            </w:pPr>
            <w:r w:rsidRPr="00CD2604">
              <w:rPr>
                <w:sz w:val="16"/>
                <w:szCs w:val="16"/>
              </w:rPr>
              <w:t>2015 г.:  509 (+44%</w:t>
            </w:r>
            <w:r w:rsidRPr="00CD2604">
              <w:rPr>
                <w:rStyle w:val="FootnoteReference"/>
                <w:szCs w:val="16"/>
              </w:rPr>
              <w:footnoteReference w:id="112"/>
            </w:r>
            <w:r w:rsidRPr="00CD2604">
              <w:rPr>
                <w:sz w:val="16"/>
                <w:szCs w:val="16"/>
              </w:rPr>
              <w:t>)</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p>
        </w:tc>
        <w:tc>
          <w:tcPr>
            <w:tcW w:w="670" w:type="pct"/>
            <w:tcBorders>
              <w:top w:val="nil"/>
              <w:left w:val="nil"/>
              <w:bottom w:val="nil"/>
              <w:right w:val="single" w:sz="4" w:space="0" w:color="auto"/>
            </w:tcBorders>
            <w:shd w:val="clear" w:color="auto" w:fill="auto"/>
            <w:tcMar>
              <w:top w:w="110" w:type="dxa"/>
            </w:tcMar>
          </w:tcPr>
          <w:p w:rsidR="00FA0032" w:rsidRPr="00CD2604" w:rsidRDefault="00FA0032" w:rsidP="00C61544">
            <w:pPr>
              <w:keepNext/>
              <w:keepLines/>
              <w:ind w:right="20" w:hanging="71"/>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hanging="71"/>
              <w:rPr>
                <w:rFonts w:eastAsia="SimSun" w:cs="Arial"/>
                <w:b/>
                <w:color w:val="808080"/>
                <w:sz w:val="16"/>
                <w:szCs w:val="16"/>
              </w:rPr>
            </w:pPr>
          </w:p>
          <w:p w:rsidR="00FA0032" w:rsidRPr="00CD2604" w:rsidRDefault="00FA0032" w:rsidP="00C61544">
            <w:pPr>
              <w:keepNext/>
              <w:keepLines/>
              <w:ind w:right="20" w:hanging="71"/>
              <w:rPr>
                <w:rFonts w:eastAsia="SimSun" w:cs="Arial"/>
                <w:b/>
                <w:color w:val="808080"/>
                <w:sz w:val="16"/>
                <w:szCs w:val="16"/>
              </w:rPr>
            </w:pPr>
          </w:p>
          <w:p w:rsidR="00FA0032" w:rsidRPr="00CD2604" w:rsidRDefault="00FA0032" w:rsidP="00C61544">
            <w:pPr>
              <w:keepNext/>
              <w:keepLines/>
              <w:ind w:right="20" w:hanging="71"/>
              <w:jc w:val="center"/>
              <w:rPr>
                <w:rFonts w:eastAsia="SimSun" w:cs="Arial"/>
                <w:b/>
                <w:bCs/>
                <w:color w:val="00B050"/>
                <w:sz w:val="16"/>
                <w:szCs w:val="16"/>
              </w:rPr>
            </w:pPr>
          </w:p>
          <w:p w:rsidR="00FA0032" w:rsidRPr="00CD2604" w:rsidRDefault="00FA0032" w:rsidP="00C61544">
            <w:pPr>
              <w:keepNext/>
              <w:keepLines/>
              <w:ind w:right="20" w:hanging="71"/>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hanging="71"/>
              <w:jc w:val="center"/>
              <w:rPr>
                <w:rFonts w:eastAsia="SimSun" w:cs="Arial"/>
                <w:b/>
                <w:color w:val="808080"/>
                <w:sz w:val="16"/>
                <w:szCs w:val="16"/>
              </w:rPr>
            </w:pPr>
          </w:p>
        </w:tc>
      </w:tr>
      <w:tr w:rsidR="00FA0032" w:rsidRPr="005C6ABD" w:rsidTr="00D340AF">
        <w:tc>
          <w:tcPr>
            <w:tcW w:w="1141" w:type="pct"/>
            <w:tcBorders>
              <w:top w:val="nil"/>
              <w:left w:val="single" w:sz="4" w:space="0" w:color="auto"/>
              <w:bottom w:val="single" w:sz="4" w:space="0" w:color="auto"/>
              <w:right w:val="nil"/>
            </w:tcBorders>
            <w:shd w:val="clear" w:color="auto" w:fill="auto"/>
          </w:tcPr>
          <w:p w:rsidR="00FA0032" w:rsidRPr="00CD2604" w:rsidRDefault="00FA0032" w:rsidP="00C61544">
            <w:pPr>
              <w:rPr>
                <w:rFonts w:eastAsia="SimSun" w:cs="Arial"/>
                <w:color w:val="000000"/>
                <w:sz w:val="16"/>
                <w:szCs w:val="16"/>
              </w:rPr>
            </w:pPr>
            <w:r w:rsidRPr="00CD2604">
              <w:rPr>
                <w:color w:val="000000"/>
                <w:sz w:val="16"/>
                <w:szCs w:val="16"/>
              </w:rPr>
              <w:t>Число продлений (Мадридская система)</w:t>
            </w:r>
          </w:p>
        </w:tc>
        <w:tc>
          <w:tcPr>
            <w:tcW w:w="1186" w:type="pct"/>
            <w:gridSpan w:val="3"/>
            <w:tcBorders>
              <w:top w:val="nil"/>
              <w:left w:val="nil"/>
              <w:bottom w:val="single" w:sz="4" w:space="0" w:color="auto"/>
              <w:right w:val="nil"/>
            </w:tcBorders>
            <w:shd w:val="clear" w:color="auto" w:fill="auto"/>
          </w:tcPr>
          <w:p w:rsidR="00FA0032" w:rsidRPr="00FA0032" w:rsidRDefault="00FA0032" w:rsidP="00C61544">
            <w:pPr>
              <w:rPr>
                <w:rFonts w:eastAsiaTheme="majorEastAsia" w:cs="Arial"/>
                <w:i/>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p>
          <w:p w:rsidR="00FA0032" w:rsidRPr="00CD2604" w:rsidRDefault="00FA0032" w:rsidP="00C61544">
            <w:pPr>
              <w:rPr>
                <w:rFonts w:cs="Arial"/>
                <w:color w:val="002060"/>
                <w:sz w:val="16"/>
                <w:szCs w:val="16"/>
              </w:rPr>
            </w:pPr>
            <w:r w:rsidRPr="00CD2604">
              <w:rPr>
                <w:color w:val="002060"/>
                <w:sz w:val="16"/>
                <w:szCs w:val="16"/>
              </w:rPr>
              <w:t>2012 г.: 187</w:t>
            </w:r>
          </w:p>
          <w:p w:rsidR="00FA0032" w:rsidRPr="00CD2604" w:rsidRDefault="00FA0032" w:rsidP="00C61544">
            <w:pPr>
              <w:rPr>
                <w:rFonts w:cs="Arial"/>
                <w:color w:val="002060"/>
                <w:sz w:val="16"/>
                <w:szCs w:val="16"/>
              </w:rPr>
            </w:pPr>
            <w:r w:rsidRPr="00CD2604">
              <w:rPr>
                <w:color w:val="002060"/>
                <w:sz w:val="16"/>
                <w:szCs w:val="16"/>
              </w:rPr>
              <w:t>2013 г.: 311 (WJO)</w:t>
            </w:r>
          </w:p>
          <w:p w:rsidR="00FA0032" w:rsidRPr="00CD2604" w:rsidRDefault="00FA0032" w:rsidP="00C61544">
            <w:pPr>
              <w:rPr>
                <w:rFonts w:cs="Arial"/>
                <w:color w:val="002060"/>
                <w:sz w:val="16"/>
                <w:szCs w:val="16"/>
              </w:rPr>
            </w:pPr>
            <w:r w:rsidRPr="00CD2604">
              <w:rPr>
                <w:color w:val="002060"/>
                <w:sz w:val="16"/>
                <w:szCs w:val="16"/>
              </w:rPr>
              <w:t>2012 г.: 51</w:t>
            </w:r>
          </w:p>
          <w:p w:rsidR="00FA0032" w:rsidRPr="00CD2604" w:rsidRDefault="00FA0032" w:rsidP="00C61544">
            <w:pPr>
              <w:rPr>
                <w:rFonts w:cs="Arial"/>
                <w:color w:val="002060"/>
                <w:sz w:val="16"/>
                <w:szCs w:val="16"/>
              </w:rPr>
            </w:pPr>
            <w:r w:rsidRPr="00CD2604">
              <w:rPr>
                <w:color w:val="002060"/>
                <w:sz w:val="16"/>
                <w:szCs w:val="16"/>
              </w:rPr>
              <w:t>2013 г.: 62 (WSO)</w:t>
            </w:r>
          </w:p>
          <w:p w:rsidR="00FA0032" w:rsidRPr="00FA0032" w:rsidRDefault="00FA0032" w:rsidP="00C61544">
            <w:pPr>
              <w:rPr>
                <w:rFonts w:eastAsiaTheme="majorEastAsia" w:cs="Arial"/>
                <w:i/>
                <w:color w:val="404040" w:themeColor="text1" w:themeTint="BF"/>
                <w:sz w:val="16"/>
                <w:szCs w:val="16"/>
                <w:lang w:val="ru-RU"/>
              </w:rPr>
            </w:pPr>
            <w:r w:rsidRPr="00FA0032">
              <w:rPr>
                <w:i/>
                <w:sz w:val="16"/>
                <w:szCs w:val="16"/>
                <w:lang w:val="ru-RU"/>
              </w:rPr>
              <w:t xml:space="preserve">Исходные базовые показатели ПиБ на 2014–2015 гг.: </w:t>
            </w:r>
          </w:p>
          <w:p w:rsidR="00FA0032" w:rsidRPr="00FA0032" w:rsidRDefault="00FA0032" w:rsidP="00C61544">
            <w:pPr>
              <w:rPr>
                <w:rFonts w:cs="Arial"/>
                <w:sz w:val="16"/>
                <w:szCs w:val="16"/>
                <w:lang w:val="ru-RU"/>
              </w:rPr>
            </w:pPr>
            <w:r w:rsidRPr="00FA0032">
              <w:rPr>
                <w:sz w:val="16"/>
                <w:szCs w:val="16"/>
                <w:lang w:val="ru-RU"/>
              </w:rPr>
              <w:t>Статистика использования Мадридской системы странами АСЕАН (</w:t>
            </w:r>
            <w:r w:rsidRPr="00CD2604">
              <w:rPr>
                <w:sz w:val="16"/>
                <w:szCs w:val="16"/>
              </w:rPr>
              <w:t>WSO</w:t>
            </w:r>
            <w:r w:rsidRPr="00FA0032">
              <w:rPr>
                <w:sz w:val="16"/>
                <w:szCs w:val="16"/>
                <w:lang w:val="ru-RU"/>
              </w:rPr>
              <w:t>)</w:t>
            </w:r>
          </w:p>
          <w:p w:rsidR="00FA0032" w:rsidRPr="00FA0032" w:rsidRDefault="00FA0032" w:rsidP="00C61544">
            <w:pPr>
              <w:rPr>
                <w:color w:val="000000"/>
                <w:sz w:val="16"/>
                <w:szCs w:val="16"/>
                <w:lang w:val="ru-RU"/>
              </w:rPr>
            </w:pPr>
            <w:r w:rsidRPr="00FA0032">
              <w:rPr>
                <w:color w:val="000000"/>
                <w:sz w:val="16"/>
                <w:szCs w:val="16"/>
                <w:lang w:val="ru-RU"/>
              </w:rPr>
              <w:t>Статистика использования Мадридской системы странами АСЕАН, Японией (</w:t>
            </w:r>
            <w:r w:rsidRPr="00CD2604">
              <w:rPr>
                <w:color w:val="000000"/>
                <w:sz w:val="16"/>
                <w:szCs w:val="16"/>
              </w:rPr>
              <w:t>WJO</w:t>
            </w:r>
            <w:r w:rsidRPr="00FA0032">
              <w:rPr>
                <w:color w:val="000000"/>
                <w:sz w:val="16"/>
                <w:szCs w:val="16"/>
                <w:lang w:val="ru-RU"/>
              </w:rPr>
              <w:t>)</w:t>
            </w:r>
          </w:p>
          <w:p w:rsidR="00FA0032" w:rsidRPr="00FA0032" w:rsidRDefault="00FA0032" w:rsidP="00C61544">
            <w:pPr>
              <w:rPr>
                <w:rFonts w:cs="Arial"/>
                <w:color w:val="002060"/>
                <w:sz w:val="16"/>
                <w:szCs w:val="16"/>
                <w:lang w:val="ru-RU"/>
              </w:rPr>
            </w:pPr>
          </w:p>
        </w:tc>
        <w:tc>
          <w:tcPr>
            <w:tcW w:w="622" w:type="pct"/>
            <w:gridSpan w:val="2"/>
            <w:tcBorders>
              <w:top w:val="nil"/>
              <w:left w:val="nil"/>
              <w:bottom w:val="single" w:sz="4" w:space="0" w:color="auto"/>
              <w:right w:val="nil"/>
            </w:tcBorders>
            <w:shd w:val="clear" w:color="auto" w:fill="auto"/>
            <w:tcMar>
              <w:top w:w="110" w:type="dxa"/>
            </w:tcMar>
          </w:tcPr>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Будут определены позднее (</w:t>
            </w:r>
            <w:r w:rsidRPr="00CD2604">
              <w:rPr>
                <w:sz w:val="16"/>
                <w:szCs w:val="16"/>
              </w:rPr>
              <w:t>WJO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Будут определены позднее (</w:t>
            </w:r>
            <w:r w:rsidRPr="00CD2604">
              <w:rPr>
                <w:sz w:val="16"/>
                <w:szCs w:val="16"/>
              </w:rPr>
              <w:t>WSO</w:t>
            </w:r>
            <w:r w:rsidRPr="00FA0032">
              <w:rPr>
                <w:sz w:val="16"/>
                <w:szCs w:val="16"/>
                <w:lang w:val="ru-RU"/>
              </w:rPr>
              <w:t>)</w:t>
            </w:r>
          </w:p>
          <w:p w:rsidR="00FA0032" w:rsidRPr="00FA0032" w:rsidRDefault="00FA0032" w:rsidP="00C61544">
            <w:pPr>
              <w:rPr>
                <w:rFonts w:eastAsia="SimSun" w:cs="Arial"/>
                <w:sz w:val="16"/>
                <w:szCs w:val="16"/>
                <w:lang w:val="ru-RU"/>
              </w:rPr>
            </w:pPr>
          </w:p>
        </w:tc>
        <w:tc>
          <w:tcPr>
            <w:tcW w:w="1380" w:type="pct"/>
            <w:tcBorders>
              <w:top w:val="nil"/>
              <w:left w:val="nil"/>
              <w:bottom w:val="single" w:sz="4" w:space="0" w:color="auto"/>
              <w:right w:val="nil"/>
            </w:tcBorders>
            <w:shd w:val="clear" w:color="auto" w:fill="FFFFFF"/>
            <w:tcMar>
              <w:top w:w="110" w:type="dxa"/>
            </w:tcMar>
          </w:tcPr>
          <w:tbl>
            <w:tblPr>
              <w:tblStyle w:val="TableGrid"/>
              <w:tblW w:w="23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5"/>
              <w:gridCol w:w="1063"/>
              <w:gridCol w:w="748"/>
            </w:tblGrid>
            <w:tr w:rsidR="00FA0032" w:rsidRPr="00CD2604" w:rsidTr="00C61544">
              <w:trPr>
                <w:trHeight w:val="200"/>
              </w:trPr>
              <w:tc>
                <w:tcPr>
                  <w:tcW w:w="525" w:type="dxa"/>
                  <w:tcMar>
                    <w:left w:w="29" w:type="dxa"/>
                    <w:bottom w:w="29" w:type="dxa"/>
                    <w:right w:w="29" w:type="dxa"/>
                  </w:tcMar>
                </w:tcPr>
                <w:p w:rsidR="00FA0032" w:rsidRPr="00FA0032" w:rsidRDefault="00FA0032" w:rsidP="00C61544">
                  <w:pPr>
                    <w:jc w:val="center"/>
                    <w:rPr>
                      <w:rFonts w:eastAsia="SimSun" w:cs="Arial"/>
                      <w:sz w:val="16"/>
                      <w:szCs w:val="16"/>
                      <w:lang w:val="ru-RU"/>
                    </w:rPr>
                  </w:pPr>
                </w:p>
              </w:tc>
              <w:tc>
                <w:tcPr>
                  <w:tcW w:w="1063" w:type="dxa"/>
                  <w:tcMar>
                    <w:left w:w="29" w:type="dxa"/>
                    <w:bottom w:w="29" w:type="dxa"/>
                    <w:right w:w="29" w:type="dxa"/>
                  </w:tcMar>
                </w:tcPr>
                <w:p w:rsidR="00FA0032" w:rsidRPr="00CD2604" w:rsidRDefault="00FA0032" w:rsidP="00C61544">
                  <w:pPr>
                    <w:jc w:val="center"/>
                    <w:rPr>
                      <w:rFonts w:eastAsia="SimSun" w:cs="Arial"/>
                      <w:sz w:val="16"/>
                      <w:szCs w:val="16"/>
                    </w:rPr>
                  </w:pPr>
                  <w:r w:rsidRPr="00CD2604">
                    <w:rPr>
                      <w:sz w:val="16"/>
                      <w:szCs w:val="16"/>
                    </w:rPr>
                    <w:t>2014</w:t>
                  </w:r>
                </w:p>
              </w:tc>
              <w:tc>
                <w:tcPr>
                  <w:tcW w:w="748" w:type="dxa"/>
                  <w:tcMar>
                    <w:left w:w="29" w:type="dxa"/>
                    <w:bottom w:w="29" w:type="dxa"/>
                    <w:right w:w="29" w:type="dxa"/>
                  </w:tcMar>
                </w:tcPr>
                <w:p w:rsidR="00FA0032" w:rsidRPr="00CD2604" w:rsidRDefault="00FA0032" w:rsidP="00C61544">
                  <w:pPr>
                    <w:jc w:val="center"/>
                    <w:rPr>
                      <w:rFonts w:eastAsia="SimSun" w:cs="Arial"/>
                      <w:sz w:val="16"/>
                      <w:szCs w:val="16"/>
                    </w:rPr>
                  </w:pPr>
                  <w:r w:rsidRPr="00CD2604">
                    <w:rPr>
                      <w:sz w:val="16"/>
                      <w:szCs w:val="16"/>
                    </w:rPr>
                    <w:t>2015</w:t>
                  </w:r>
                </w:p>
              </w:tc>
            </w:tr>
            <w:tr w:rsidR="00FA0032" w:rsidRPr="00CD2604" w:rsidTr="00C61544">
              <w:trPr>
                <w:trHeight w:val="562"/>
              </w:trPr>
              <w:tc>
                <w:tcPr>
                  <w:tcW w:w="525" w:type="dxa"/>
                  <w:tcMar>
                    <w:left w:w="29" w:type="dxa"/>
                    <w:bottom w:w="29" w:type="dxa"/>
                    <w:right w:w="29" w:type="dxa"/>
                  </w:tcMar>
                </w:tcPr>
                <w:p w:rsidR="00FA0032" w:rsidRPr="00CD2604" w:rsidRDefault="00FA0032" w:rsidP="00C61544">
                  <w:pPr>
                    <w:jc w:val="center"/>
                    <w:rPr>
                      <w:rFonts w:eastAsia="SimSun" w:cs="Arial"/>
                      <w:sz w:val="16"/>
                      <w:szCs w:val="16"/>
                    </w:rPr>
                  </w:pPr>
                  <w:r w:rsidRPr="00CD2604">
                    <w:rPr>
                      <w:sz w:val="16"/>
                      <w:szCs w:val="16"/>
                    </w:rPr>
                    <w:t>WJO</w:t>
                  </w:r>
                </w:p>
              </w:tc>
              <w:tc>
                <w:tcPr>
                  <w:tcW w:w="1063" w:type="dxa"/>
                  <w:tcMar>
                    <w:left w:w="29" w:type="dxa"/>
                    <w:bottom w:w="29" w:type="dxa"/>
                    <w:right w:w="29" w:type="dxa"/>
                  </w:tcMar>
                </w:tcPr>
                <w:p w:rsidR="00FA0032" w:rsidRPr="00CD2604" w:rsidRDefault="00FA0032" w:rsidP="00C61544">
                  <w:pPr>
                    <w:jc w:val="center"/>
                    <w:rPr>
                      <w:rFonts w:eastAsia="SimSun" w:cs="Arial"/>
                      <w:sz w:val="16"/>
                      <w:szCs w:val="16"/>
                    </w:rPr>
                  </w:pPr>
                  <w:r w:rsidRPr="00CD2604">
                    <w:rPr>
                      <w:sz w:val="16"/>
                      <w:szCs w:val="16"/>
                    </w:rPr>
                    <w:t>+49%</w:t>
                  </w:r>
                </w:p>
                <w:p w:rsidR="00FA0032" w:rsidRPr="00CD2604" w:rsidRDefault="00FA0032" w:rsidP="00C61544">
                  <w:pPr>
                    <w:jc w:val="center"/>
                    <w:rPr>
                      <w:rFonts w:eastAsia="SimSun" w:cs="Arial"/>
                      <w:sz w:val="16"/>
                      <w:szCs w:val="16"/>
                    </w:rPr>
                  </w:pPr>
                  <w:r w:rsidRPr="00CD2604">
                    <w:rPr>
                      <w:sz w:val="16"/>
                      <w:szCs w:val="16"/>
                    </w:rPr>
                    <w:t>(462)</w:t>
                  </w:r>
                </w:p>
              </w:tc>
              <w:tc>
                <w:tcPr>
                  <w:tcW w:w="748" w:type="dxa"/>
                  <w:tcMar>
                    <w:left w:w="29" w:type="dxa"/>
                    <w:bottom w:w="29" w:type="dxa"/>
                    <w:right w:w="29" w:type="dxa"/>
                  </w:tcMar>
                </w:tcPr>
                <w:p w:rsidR="00FA0032" w:rsidRPr="00CD2604" w:rsidRDefault="00FA0032" w:rsidP="00C61544">
                  <w:pPr>
                    <w:jc w:val="center"/>
                    <w:rPr>
                      <w:rFonts w:eastAsia="SimSun" w:cs="Arial"/>
                      <w:sz w:val="16"/>
                      <w:szCs w:val="16"/>
                    </w:rPr>
                  </w:pPr>
                  <w:r w:rsidRPr="00CD2604">
                    <w:rPr>
                      <w:sz w:val="16"/>
                      <w:szCs w:val="16"/>
                    </w:rPr>
                    <w:t>+27%</w:t>
                  </w:r>
                </w:p>
                <w:p w:rsidR="00FA0032" w:rsidRPr="00CD2604" w:rsidRDefault="00FA0032" w:rsidP="00C61544">
                  <w:pPr>
                    <w:jc w:val="center"/>
                    <w:rPr>
                      <w:rFonts w:eastAsia="SimSun" w:cs="Arial"/>
                      <w:sz w:val="16"/>
                      <w:szCs w:val="16"/>
                    </w:rPr>
                  </w:pPr>
                  <w:r w:rsidRPr="00CD2604">
                    <w:rPr>
                      <w:sz w:val="16"/>
                      <w:szCs w:val="16"/>
                    </w:rPr>
                    <w:t>(588)</w:t>
                  </w:r>
                </w:p>
              </w:tc>
            </w:tr>
            <w:tr w:rsidR="00FA0032" w:rsidRPr="00CD2604" w:rsidTr="00C61544">
              <w:trPr>
                <w:trHeight w:val="494"/>
              </w:trPr>
              <w:tc>
                <w:tcPr>
                  <w:tcW w:w="525" w:type="dxa"/>
                  <w:tcMar>
                    <w:left w:w="29" w:type="dxa"/>
                    <w:bottom w:w="29" w:type="dxa"/>
                    <w:right w:w="29" w:type="dxa"/>
                  </w:tcMar>
                </w:tcPr>
                <w:p w:rsidR="00FA0032" w:rsidRPr="00CD2604" w:rsidRDefault="00FA0032" w:rsidP="00C61544">
                  <w:pPr>
                    <w:jc w:val="center"/>
                    <w:rPr>
                      <w:rFonts w:eastAsia="SimSun" w:cs="Arial"/>
                      <w:sz w:val="16"/>
                      <w:szCs w:val="16"/>
                    </w:rPr>
                  </w:pPr>
                  <w:r w:rsidRPr="00CD2604">
                    <w:rPr>
                      <w:sz w:val="16"/>
                      <w:szCs w:val="16"/>
                    </w:rPr>
                    <w:t>WSO</w:t>
                  </w:r>
                </w:p>
              </w:tc>
              <w:tc>
                <w:tcPr>
                  <w:tcW w:w="1063" w:type="dxa"/>
                  <w:tcMar>
                    <w:left w:w="29" w:type="dxa"/>
                    <w:bottom w:w="29" w:type="dxa"/>
                    <w:right w:w="29" w:type="dxa"/>
                  </w:tcMar>
                </w:tcPr>
                <w:p w:rsidR="00FA0032" w:rsidRPr="00CD2604" w:rsidRDefault="00FA0032" w:rsidP="00C61544">
                  <w:pPr>
                    <w:jc w:val="center"/>
                    <w:rPr>
                      <w:rFonts w:eastAsia="SimSun" w:cs="Arial"/>
                      <w:sz w:val="16"/>
                      <w:szCs w:val="16"/>
                    </w:rPr>
                  </w:pPr>
                  <w:r w:rsidRPr="00CD2604">
                    <w:rPr>
                      <w:sz w:val="16"/>
                      <w:szCs w:val="16"/>
                    </w:rPr>
                    <w:t>+13%</w:t>
                  </w:r>
                </w:p>
                <w:p w:rsidR="00FA0032" w:rsidRPr="00CD2604" w:rsidRDefault="00FA0032" w:rsidP="00C61544">
                  <w:pPr>
                    <w:jc w:val="center"/>
                    <w:rPr>
                      <w:rFonts w:eastAsia="SimSun" w:cs="Arial"/>
                      <w:sz w:val="16"/>
                      <w:szCs w:val="16"/>
                    </w:rPr>
                  </w:pPr>
                  <w:r w:rsidRPr="00CD2604">
                    <w:rPr>
                      <w:sz w:val="16"/>
                      <w:szCs w:val="16"/>
                    </w:rPr>
                    <w:t>(54)</w:t>
                  </w:r>
                  <w:r w:rsidRPr="00CD2604">
                    <w:rPr>
                      <w:rStyle w:val="FootnoteReference"/>
                      <w:szCs w:val="16"/>
                    </w:rPr>
                    <w:footnoteReference w:id="113"/>
                  </w:r>
                </w:p>
                <w:p w:rsidR="00FA0032" w:rsidRPr="00CD2604" w:rsidRDefault="00FA0032" w:rsidP="00C61544">
                  <w:pPr>
                    <w:jc w:val="center"/>
                    <w:rPr>
                      <w:rFonts w:eastAsia="SimSun" w:cs="Arial"/>
                      <w:sz w:val="16"/>
                      <w:szCs w:val="16"/>
                    </w:rPr>
                  </w:pPr>
                </w:p>
              </w:tc>
              <w:tc>
                <w:tcPr>
                  <w:tcW w:w="748" w:type="dxa"/>
                  <w:tcMar>
                    <w:left w:w="29" w:type="dxa"/>
                    <w:bottom w:w="29" w:type="dxa"/>
                    <w:right w:w="29" w:type="dxa"/>
                  </w:tcMar>
                </w:tcPr>
                <w:p w:rsidR="00FA0032" w:rsidRPr="00CD2604" w:rsidRDefault="00FA0032" w:rsidP="00C61544">
                  <w:pPr>
                    <w:jc w:val="center"/>
                    <w:rPr>
                      <w:rFonts w:eastAsia="SimSun" w:cs="Arial"/>
                      <w:sz w:val="16"/>
                      <w:szCs w:val="16"/>
                    </w:rPr>
                  </w:pPr>
                  <w:r w:rsidRPr="00CD2604">
                    <w:rPr>
                      <w:sz w:val="16"/>
                      <w:szCs w:val="16"/>
                    </w:rPr>
                    <w:t>+52%</w:t>
                  </w:r>
                </w:p>
                <w:p w:rsidR="00FA0032" w:rsidRPr="00CD2604" w:rsidRDefault="00FA0032" w:rsidP="00C61544">
                  <w:pPr>
                    <w:jc w:val="center"/>
                    <w:rPr>
                      <w:rFonts w:eastAsia="SimSun" w:cs="Arial"/>
                      <w:sz w:val="16"/>
                      <w:szCs w:val="16"/>
                    </w:rPr>
                  </w:pPr>
                  <w:r w:rsidRPr="00CD2604">
                    <w:rPr>
                      <w:sz w:val="16"/>
                      <w:szCs w:val="16"/>
                    </w:rPr>
                    <w:t>(82)</w:t>
                  </w:r>
                </w:p>
              </w:tc>
            </w:tr>
          </w:tbl>
          <w:p w:rsidR="00FA0032" w:rsidRPr="00CD2604" w:rsidRDefault="00FA0032" w:rsidP="00C61544">
            <w:pPr>
              <w:rPr>
                <w:rFonts w:eastAsia="SimSun" w:cs="Arial"/>
                <w:sz w:val="16"/>
                <w:szCs w:val="16"/>
              </w:rPr>
            </w:pPr>
          </w:p>
        </w:tc>
        <w:tc>
          <w:tcPr>
            <w:tcW w:w="670" w:type="pct"/>
            <w:tcBorders>
              <w:top w:val="nil"/>
              <w:left w:val="nil"/>
              <w:bottom w:val="single" w:sz="4" w:space="0" w:color="auto"/>
              <w:right w:val="single" w:sz="4" w:space="0" w:color="auto"/>
            </w:tcBorders>
            <w:shd w:val="clear" w:color="auto" w:fill="auto"/>
            <w:tcMar>
              <w:top w:w="110" w:type="dxa"/>
            </w:tcMar>
          </w:tcPr>
          <w:p w:rsidR="00FA0032" w:rsidRPr="00FA0032" w:rsidRDefault="00FA0032" w:rsidP="00C61544">
            <w:pPr>
              <w:keepNext/>
              <w:keepLines/>
              <w:ind w:left="-78" w:right="20" w:firstLine="46"/>
              <w:jc w:val="center"/>
              <w:rPr>
                <w:rFonts w:eastAsia="SimSun" w:cs="Arial"/>
                <w:b/>
                <w:bCs/>
                <w:color w:val="808080"/>
                <w:sz w:val="16"/>
                <w:szCs w:val="16"/>
                <w:lang w:val="ru-RU"/>
              </w:rPr>
            </w:pPr>
          </w:p>
          <w:p w:rsidR="00FA0032" w:rsidRPr="00FA0032" w:rsidRDefault="00FA0032" w:rsidP="00C61544">
            <w:pPr>
              <w:keepNext/>
              <w:keepLines/>
              <w:ind w:left="-78" w:right="20" w:firstLine="46"/>
              <w:jc w:val="center"/>
              <w:rPr>
                <w:rFonts w:eastAsia="SimSun" w:cs="Arial"/>
                <w:b/>
                <w:bCs/>
                <w:color w:val="808080"/>
                <w:sz w:val="16"/>
                <w:szCs w:val="16"/>
                <w:lang w:val="ru-RU"/>
              </w:rPr>
            </w:pPr>
            <w:r w:rsidRPr="00FA0032">
              <w:rPr>
                <w:b/>
                <w:color w:val="808080"/>
                <w:sz w:val="16"/>
                <w:szCs w:val="16"/>
                <w:lang w:val="ru-RU"/>
              </w:rPr>
              <w:t>Не</w:t>
            </w:r>
          </w:p>
          <w:p w:rsidR="00FA0032" w:rsidRPr="00FA0032" w:rsidRDefault="00FA0032" w:rsidP="00C61544">
            <w:pPr>
              <w:keepNext/>
              <w:keepLines/>
              <w:ind w:left="-78" w:right="20" w:firstLine="46"/>
              <w:jc w:val="center"/>
              <w:rPr>
                <w:rFonts w:eastAsia="SimSun" w:cs="Arial"/>
                <w:b/>
                <w:bCs/>
                <w:color w:val="808080"/>
                <w:sz w:val="16"/>
                <w:szCs w:val="16"/>
                <w:lang w:val="ru-RU"/>
              </w:rPr>
            </w:pPr>
            <w:r w:rsidRPr="00FA0032">
              <w:rPr>
                <w:b/>
                <w:color w:val="808080"/>
                <w:sz w:val="16"/>
                <w:szCs w:val="16"/>
                <w:lang w:val="ru-RU"/>
              </w:rPr>
              <w:t>подлежит оценке</w:t>
            </w:r>
          </w:p>
          <w:p w:rsidR="00FA0032" w:rsidRPr="00FA0032" w:rsidRDefault="00FA0032" w:rsidP="00C61544">
            <w:pPr>
              <w:keepNext/>
              <w:keepLines/>
              <w:ind w:left="-135" w:right="20"/>
              <w:jc w:val="center"/>
              <w:rPr>
                <w:rFonts w:eastAsia="SimSun" w:cs="Arial"/>
                <w:b/>
                <w:bCs/>
                <w:color w:val="808080"/>
                <w:sz w:val="16"/>
                <w:szCs w:val="16"/>
                <w:lang w:val="ru-RU"/>
                <w14:textFill>
                  <w14:solidFill>
                    <w14:srgbClr w14:val="808080">
                      <w14:lumMod w14:val="50000"/>
                    </w14:srgbClr>
                  </w14:solidFill>
                </w14:textFill>
              </w:rPr>
            </w:pPr>
          </w:p>
          <w:p w:rsidR="00FA0032" w:rsidRPr="00FA0032" w:rsidRDefault="00FA0032" w:rsidP="00C61544">
            <w:pPr>
              <w:keepNext/>
              <w:keepLines/>
              <w:ind w:left="-78" w:right="20" w:firstLine="46"/>
              <w:jc w:val="center"/>
              <w:rPr>
                <w:rFonts w:eastAsia="SimSun" w:cs="Arial"/>
                <w:b/>
                <w:bCs/>
                <w:color w:val="808080"/>
                <w:sz w:val="16"/>
                <w:szCs w:val="16"/>
                <w:lang w:val="ru-RU"/>
              </w:rPr>
            </w:pPr>
            <w:r w:rsidRPr="00FA0032">
              <w:rPr>
                <w:b/>
                <w:color w:val="808080"/>
                <w:sz w:val="16"/>
                <w:szCs w:val="16"/>
                <w:lang w:val="ru-RU"/>
              </w:rPr>
              <w:t>Не подлежит оценке</w:t>
            </w:r>
          </w:p>
          <w:p w:rsidR="00FA0032" w:rsidRPr="00FA0032" w:rsidRDefault="00FA0032" w:rsidP="00C61544">
            <w:pPr>
              <w:keepNext/>
              <w:keepLines/>
              <w:ind w:right="20" w:hanging="71"/>
              <w:jc w:val="center"/>
              <w:rPr>
                <w:rFonts w:eastAsia="SimSun" w:cs="Arial"/>
                <w:b/>
                <w:bCs/>
                <w:color w:val="808080"/>
                <w:sz w:val="16"/>
                <w:szCs w:val="16"/>
                <w:lang w:val="ru-RU"/>
              </w:rPr>
            </w:pPr>
          </w:p>
        </w:tc>
      </w:tr>
      <w:tr w:rsidR="00FA0032" w:rsidRPr="005C6ABD" w:rsidTr="00D340AF">
        <w:tc>
          <w:tcPr>
            <w:tcW w:w="5000" w:type="pct"/>
            <w:gridSpan w:val="8"/>
            <w:tcBorders>
              <w:top w:val="single" w:sz="4" w:space="0" w:color="auto"/>
              <w:bottom w:val="single" w:sz="4" w:space="0" w:color="auto"/>
            </w:tcBorders>
            <w:shd w:val="clear" w:color="auto" w:fill="C6D9F1" w:themeFill="text2" w:themeFillTint="33"/>
          </w:tcPr>
          <w:p w:rsidR="00FA0032" w:rsidRPr="00FA0032" w:rsidRDefault="00FA0032" w:rsidP="00D340AF">
            <w:pPr>
              <w:keepNext/>
              <w:keepLines/>
              <w:tabs>
                <w:tab w:val="left" w:pos="-250"/>
              </w:tabs>
              <w:spacing w:before="120" w:after="120"/>
              <w:ind w:left="2302" w:hanging="2302"/>
              <w:rPr>
                <w:rFonts w:eastAsia="SimSun" w:cs="Arial"/>
                <w:b/>
                <w:bCs/>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color w:val="000000"/>
                <w:sz w:val="16"/>
                <w:szCs w:val="16"/>
              </w:rPr>
              <w:t>II</w:t>
            </w:r>
            <w:r w:rsidRPr="00FA0032">
              <w:rPr>
                <w:color w:val="000000"/>
                <w:sz w:val="16"/>
                <w:szCs w:val="16"/>
                <w:lang w:val="ru-RU"/>
              </w:rPr>
              <w:t xml:space="preserve">.8. Международные и внутренние споры по вопросам интеллектуальной собственности </w:t>
            </w:r>
            <w:r w:rsidRPr="00FA0032">
              <w:rPr>
                <w:color w:val="000000"/>
                <w:sz w:val="16"/>
                <w:szCs w:val="16"/>
                <w:lang w:val="ru-RU"/>
              </w:rPr>
              <w:tab/>
              <w:t>все в большей степени предотвращаются или урегулиру</w:t>
            </w:r>
            <w:r w:rsidR="00D340AF">
              <w:rPr>
                <w:color w:val="000000"/>
                <w:sz w:val="16"/>
                <w:szCs w:val="16"/>
                <w:lang w:val="ru-RU"/>
              </w:rPr>
              <w:t xml:space="preserve">ются с помощью посредничества, </w:t>
            </w:r>
            <w:r w:rsidRPr="00FA0032">
              <w:rPr>
                <w:color w:val="000000"/>
                <w:sz w:val="16"/>
                <w:szCs w:val="16"/>
                <w:lang w:val="ru-RU"/>
              </w:rPr>
              <w:t>арбитража и других используемых ВОИС методов альтернативного урегулирования споров</w:t>
            </w:r>
          </w:p>
        </w:tc>
      </w:tr>
      <w:tr w:rsidR="00FA0032" w:rsidRPr="00CD2604" w:rsidTr="00D340AF">
        <w:tc>
          <w:tcPr>
            <w:tcW w:w="1141" w:type="pct"/>
            <w:tcBorders>
              <w:top w:val="single" w:sz="4" w:space="0" w:color="auto"/>
              <w:left w:val="single" w:sz="4" w:space="0" w:color="auto"/>
              <w:bottom w:val="nil"/>
              <w:right w:val="nil"/>
            </w:tcBorders>
            <w:shd w:val="clear" w:color="auto" w:fill="auto"/>
          </w:tcPr>
          <w:p w:rsidR="00FA0032" w:rsidRPr="00CD2604" w:rsidRDefault="00FA0032" w:rsidP="00C61544">
            <w:pPr>
              <w:keepNext/>
              <w:keepLines/>
              <w:rPr>
                <w:rFonts w:eastAsia="SimSun" w:cs="Arial"/>
                <w:color w:val="000000"/>
                <w:sz w:val="16"/>
                <w:szCs w:val="16"/>
              </w:rPr>
            </w:pPr>
            <w:r w:rsidRPr="00CD2604">
              <w:rPr>
                <w:b/>
                <w:sz w:val="16"/>
                <w:szCs w:val="16"/>
              </w:rPr>
              <w:t>Показатели результативности</w:t>
            </w:r>
          </w:p>
        </w:tc>
        <w:tc>
          <w:tcPr>
            <w:tcW w:w="969" w:type="pct"/>
            <w:tcBorders>
              <w:top w:val="single" w:sz="4" w:space="0" w:color="auto"/>
              <w:left w:val="nil"/>
              <w:bottom w:val="nil"/>
              <w:right w:val="nil"/>
            </w:tcBorders>
            <w:shd w:val="clear" w:color="auto" w:fill="auto"/>
          </w:tcPr>
          <w:p w:rsidR="00FA0032" w:rsidRPr="00CD2604" w:rsidRDefault="00FA0032" w:rsidP="00C61544">
            <w:pPr>
              <w:rPr>
                <w:rFonts w:cs="Arial"/>
                <w:color w:val="002060"/>
                <w:sz w:val="16"/>
                <w:szCs w:val="16"/>
              </w:rPr>
            </w:pPr>
            <w:r w:rsidRPr="00CD2604">
              <w:rPr>
                <w:b/>
                <w:sz w:val="16"/>
                <w:szCs w:val="16"/>
              </w:rPr>
              <w:t>Базовые показатели</w:t>
            </w:r>
          </w:p>
        </w:tc>
        <w:tc>
          <w:tcPr>
            <w:tcW w:w="840" w:type="pct"/>
            <w:gridSpan w:val="4"/>
            <w:tcBorders>
              <w:top w:val="single" w:sz="4" w:space="0" w:color="auto"/>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b/>
                <w:sz w:val="16"/>
                <w:szCs w:val="16"/>
              </w:rPr>
              <w:t>Цели</w:t>
            </w:r>
          </w:p>
        </w:tc>
        <w:tc>
          <w:tcPr>
            <w:tcW w:w="1380" w:type="pct"/>
            <w:tcBorders>
              <w:top w:val="single" w:sz="4"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p>
        </w:tc>
        <w:tc>
          <w:tcPr>
            <w:tcW w:w="670" w:type="pct"/>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808080"/>
                <w:sz w:val="16"/>
                <w:szCs w:val="16"/>
              </w:rPr>
            </w:pPr>
            <w:r w:rsidRPr="00CD2604">
              <w:rPr>
                <w:b/>
                <w:sz w:val="16"/>
                <w:szCs w:val="16"/>
              </w:rPr>
              <w:t>CC</w:t>
            </w:r>
          </w:p>
        </w:tc>
      </w:tr>
      <w:tr w:rsidR="00FA0032" w:rsidRPr="00CD2604" w:rsidTr="00D340AF">
        <w:tc>
          <w:tcPr>
            <w:tcW w:w="1141" w:type="pct"/>
            <w:tcBorders>
              <w:top w:val="nil"/>
              <w:left w:val="single" w:sz="4" w:space="0" w:color="auto"/>
              <w:bottom w:val="single" w:sz="4" w:space="0" w:color="auto"/>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Рост тенденции использования услуг альтернативного урегулирования споров в связи со сделками, касающимися И</w:t>
            </w:r>
            <w:r w:rsidRPr="00CD2604">
              <w:rPr>
                <w:color w:val="000000"/>
                <w:sz w:val="16"/>
                <w:szCs w:val="16"/>
              </w:rPr>
              <w:t>C</w:t>
            </w:r>
            <w:r w:rsidRPr="00FA0032">
              <w:rPr>
                <w:color w:val="000000"/>
                <w:sz w:val="16"/>
                <w:szCs w:val="16"/>
                <w:lang w:val="ru-RU"/>
              </w:rPr>
              <w:t>, в том числе путем применения процедур ВОИС</w:t>
            </w:r>
          </w:p>
        </w:tc>
        <w:tc>
          <w:tcPr>
            <w:tcW w:w="969" w:type="pct"/>
            <w:tcBorders>
              <w:top w:val="nil"/>
              <w:left w:val="nil"/>
              <w:bottom w:val="single" w:sz="4" w:space="0" w:color="auto"/>
              <w:right w:val="nil"/>
            </w:tcBorders>
            <w:shd w:val="clear" w:color="auto" w:fill="auto"/>
          </w:tcPr>
          <w:p w:rsidR="00FA0032" w:rsidRPr="00CD2604" w:rsidDel="00862781" w:rsidRDefault="00FA0032" w:rsidP="00C61544">
            <w:pPr>
              <w:rPr>
                <w:rFonts w:cs="Arial"/>
                <w:i/>
                <w:color w:val="002060"/>
                <w:sz w:val="16"/>
                <w:szCs w:val="16"/>
              </w:rPr>
            </w:pPr>
            <w:r w:rsidRPr="00CD2604">
              <w:rPr>
                <w:sz w:val="16"/>
                <w:szCs w:val="16"/>
              </w:rPr>
              <w:t>данные отсутствуют (WBO)</w:t>
            </w:r>
          </w:p>
        </w:tc>
        <w:tc>
          <w:tcPr>
            <w:tcW w:w="840" w:type="pct"/>
            <w:gridSpan w:val="4"/>
            <w:tcBorders>
              <w:top w:val="nil"/>
              <w:left w:val="nil"/>
              <w:bottom w:val="single" w:sz="4" w:space="0" w:color="auto"/>
              <w:right w:val="nil"/>
            </w:tcBorders>
            <w:shd w:val="clear" w:color="auto" w:fill="auto"/>
            <w:tcMar>
              <w:top w:w="110" w:type="dxa"/>
            </w:tcMar>
          </w:tcPr>
          <w:p w:rsidR="00FA0032" w:rsidRPr="00FA0032" w:rsidRDefault="00FA0032" w:rsidP="00C61544">
            <w:pPr>
              <w:rPr>
                <w:rFonts w:eastAsia="SimSun" w:cs="Arial"/>
                <w:sz w:val="16"/>
                <w:szCs w:val="16"/>
                <w:lang w:val="ru-RU"/>
              </w:rPr>
            </w:pPr>
            <w:r w:rsidRPr="00FA0032">
              <w:rPr>
                <w:sz w:val="16"/>
                <w:szCs w:val="16"/>
                <w:lang w:val="ru-RU"/>
              </w:rPr>
              <w:t xml:space="preserve">30 споров, направленных бразильскими пользователями в </w:t>
            </w:r>
            <w:r w:rsidRPr="00CD2604">
              <w:rPr>
                <w:sz w:val="16"/>
                <w:szCs w:val="16"/>
              </w:rPr>
              <w:t>INPI</w:t>
            </w:r>
            <w:r w:rsidRPr="00FA0032">
              <w:rPr>
                <w:sz w:val="16"/>
                <w:szCs w:val="16"/>
                <w:lang w:val="ru-RU"/>
              </w:rPr>
              <w:t xml:space="preserve">, и 4 спора нерезидентов, направленных в </w:t>
            </w:r>
            <w:r w:rsidRPr="00CD2604">
              <w:rPr>
                <w:sz w:val="16"/>
                <w:szCs w:val="16"/>
              </w:rPr>
              <w:t>WBO</w:t>
            </w:r>
            <w:r w:rsidRPr="00FA0032">
              <w:rPr>
                <w:sz w:val="16"/>
                <w:szCs w:val="16"/>
                <w:lang w:val="ru-RU"/>
              </w:rPr>
              <w:t xml:space="preserve"> для рассмотрения в ВОИС </w:t>
            </w:r>
            <w:r w:rsidRPr="00CD2604">
              <w:rPr>
                <w:sz w:val="16"/>
                <w:szCs w:val="16"/>
              </w:rPr>
              <w:t>MAC</w:t>
            </w:r>
            <w:r w:rsidRPr="00FA0032">
              <w:rPr>
                <w:sz w:val="16"/>
                <w:szCs w:val="16"/>
                <w:lang w:val="ru-RU"/>
              </w:rPr>
              <w:t xml:space="preserve"> (</w:t>
            </w:r>
            <w:r w:rsidRPr="00CD2604">
              <w:rPr>
                <w:sz w:val="16"/>
                <w:szCs w:val="16"/>
              </w:rPr>
              <w:t>WBO</w:t>
            </w:r>
            <w:r w:rsidRPr="00FA0032">
              <w:rPr>
                <w:sz w:val="16"/>
                <w:szCs w:val="16"/>
                <w:lang w:val="ru-RU"/>
              </w:rPr>
              <w:t>)</w:t>
            </w:r>
          </w:p>
          <w:p w:rsidR="00FA0032" w:rsidRPr="00FA0032" w:rsidRDefault="00FA0032" w:rsidP="00C61544">
            <w:pPr>
              <w:rPr>
                <w:rFonts w:eastAsia="SimSun" w:cs="Arial"/>
                <w:sz w:val="16"/>
                <w:szCs w:val="16"/>
                <w:lang w:val="ru-RU"/>
              </w:rPr>
            </w:pPr>
          </w:p>
        </w:tc>
        <w:tc>
          <w:tcPr>
            <w:tcW w:w="1380" w:type="pct"/>
            <w:tcBorders>
              <w:top w:val="nil"/>
              <w:left w:val="nil"/>
              <w:bottom w:val="single" w:sz="4" w:space="0" w:color="auto"/>
              <w:right w:val="nil"/>
            </w:tcBorders>
            <w:shd w:val="clear" w:color="auto" w:fill="FFFFFF"/>
            <w:tcMar>
              <w:top w:w="110" w:type="dxa"/>
            </w:tcMar>
          </w:tcPr>
          <w:p w:rsidR="00FA0032" w:rsidRPr="00FA0032" w:rsidRDefault="00FA0032" w:rsidP="00C61544">
            <w:pPr>
              <w:rPr>
                <w:rFonts w:eastAsia="SimSun" w:cs="Arial"/>
                <w:sz w:val="16"/>
                <w:szCs w:val="16"/>
                <w:lang w:val="ru-RU"/>
              </w:rPr>
            </w:pPr>
            <w:r w:rsidRPr="00FA0032">
              <w:rPr>
                <w:sz w:val="16"/>
                <w:szCs w:val="16"/>
                <w:lang w:val="ru-RU"/>
              </w:rPr>
              <w:t xml:space="preserve">В связи с изменениями, имевшими место в </w:t>
            </w:r>
            <w:r w:rsidRPr="00CD2604">
              <w:rPr>
                <w:sz w:val="16"/>
                <w:szCs w:val="16"/>
              </w:rPr>
              <w:t>INPI</w:t>
            </w:r>
            <w:r w:rsidRPr="00FA0032">
              <w:rPr>
                <w:sz w:val="16"/>
                <w:szCs w:val="16"/>
                <w:lang w:val="ru-RU"/>
              </w:rPr>
              <w:t xml:space="preserve"> в 2014</w:t>
            </w:r>
            <w:r w:rsidRPr="00CD2604">
              <w:rPr>
                <w:sz w:val="16"/>
                <w:szCs w:val="16"/>
              </w:rPr>
              <w:t> </w:t>
            </w:r>
            <w:r w:rsidRPr="00FA0032">
              <w:rPr>
                <w:sz w:val="16"/>
                <w:szCs w:val="16"/>
                <w:lang w:val="ru-RU"/>
              </w:rPr>
              <w:t>г., проект использования услуг альтернативного урегулирования споров, связанных с ИС, приостановлен (</w:t>
            </w:r>
            <w:r w:rsidRPr="00CD2604">
              <w:rPr>
                <w:sz w:val="16"/>
                <w:szCs w:val="16"/>
              </w:rPr>
              <w:t>WBO</w:t>
            </w:r>
            <w:r w:rsidRPr="00FA0032">
              <w:rPr>
                <w:sz w:val="16"/>
                <w:szCs w:val="16"/>
                <w:lang w:val="ru-RU"/>
              </w:rPr>
              <w:t>)</w:t>
            </w:r>
          </w:p>
          <w:p w:rsidR="00FA0032" w:rsidRPr="00FA0032" w:rsidDel="00844714" w:rsidRDefault="00FA0032" w:rsidP="00C61544">
            <w:pPr>
              <w:rPr>
                <w:rFonts w:eastAsia="SimSun" w:cs="Arial"/>
                <w:sz w:val="16"/>
                <w:szCs w:val="16"/>
                <w:lang w:val="ru-RU"/>
              </w:rPr>
            </w:pPr>
          </w:p>
        </w:tc>
        <w:tc>
          <w:tcPr>
            <w:tcW w:w="670" w:type="pct"/>
            <w:tcBorders>
              <w:top w:val="nil"/>
              <w:left w:val="nil"/>
              <w:bottom w:val="single" w:sz="4" w:space="0" w:color="auto"/>
              <w:right w:val="single" w:sz="4" w:space="0" w:color="auto"/>
            </w:tcBorders>
            <w:shd w:val="clear" w:color="auto" w:fill="auto"/>
            <w:tcMar>
              <w:top w:w="110" w:type="dxa"/>
            </w:tcMar>
          </w:tcPr>
          <w:p w:rsidR="00FA0032" w:rsidRPr="00CD2604" w:rsidRDefault="00FA0032" w:rsidP="00C61544">
            <w:pPr>
              <w:keepNext/>
              <w:keepLines/>
              <w:ind w:left="-27" w:right="20"/>
              <w:jc w:val="center"/>
              <w:rPr>
                <w:rFonts w:eastAsia="SimSun" w:cs="Arial"/>
                <w:b/>
                <w:bCs/>
                <w:color w:val="FF0000"/>
                <w:sz w:val="16"/>
                <w:szCs w:val="16"/>
              </w:rPr>
            </w:pPr>
            <w:r w:rsidRPr="00CD2604">
              <w:rPr>
                <w:b/>
                <w:color w:val="FF0000"/>
                <w:sz w:val="16"/>
                <w:szCs w:val="16"/>
              </w:rPr>
              <w:t>Не выполнено</w:t>
            </w:r>
          </w:p>
        </w:tc>
      </w:tr>
      <w:tr w:rsidR="00FA0032" w:rsidRPr="005C6ABD" w:rsidTr="00D340AF">
        <w:trPr>
          <w:trHeight w:val="610"/>
        </w:trPr>
        <w:tc>
          <w:tcPr>
            <w:tcW w:w="5000" w:type="pct"/>
            <w:gridSpan w:val="8"/>
            <w:tcBorders>
              <w:top w:val="single" w:sz="4" w:space="0" w:color="auto"/>
              <w:bottom w:val="single" w:sz="2" w:space="0" w:color="auto"/>
            </w:tcBorders>
            <w:shd w:val="clear" w:color="auto" w:fill="C6D9F1" w:themeFill="text2" w:themeFillTint="33"/>
          </w:tcPr>
          <w:p w:rsidR="00FA0032" w:rsidRPr="00FA0032" w:rsidRDefault="00FA0032" w:rsidP="00D340AF">
            <w:pPr>
              <w:tabs>
                <w:tab w:val="left" w:pos="2160"/>
              </w:tabs>
              <w:spacing w:before="120" w:after="120"/>
              <w:ind w:left="2160" w:hanging="2160"/>
              <w:rPr>
                <w:rFonts w:eastAsia="SimSun" w:cs="Arial"/>
                <w:b/>
                <w:bCs/>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color w:val="000000"/>
                <w:sz w:val="16"/>
                <w:szCs w:val="16"/>
              </w:rPr>
              <w:t>III</w:t>
            </w:r>
            <w:r w:rsidRPr="00FA0032">
              <w:rPr>
                <w:color w:val="000000"/>
                <w:sz w:val="16"/>
                <w:szCs w:val="16"/>
                <w:lang w:val="ru-RU"/>
              </w:rPr>
              <w:t>.2. Повышение квалификации людских ресурсов для ре</w:t>
            </w:r>
            <w:r w:rsidR="00D340AF">
              <w:rPr>
                <w:color w:val="000000"/>
                <w:sz w:val="16"/>
                <w:szCs w:val="16"/>
                <w:lang w:val="ru-RU"/>
              </w:rPr>
              <w:t xml:space="preserve">шения широкого круга вопросов, </w:t>
            </w:r>
            <w:r w:rsidRPr="00FA0032">
              <w:rPr>
                <w:color w:val="000000"/>
                <w:sz w:val="16"/>
                <w:szCs w:val="16"/>
                <w:lang w:val="ru-RU"/>
              </w:rPr>
              <w:t xml:space="preserve">связанных с эффективным использованием ИС для целей развития в развивающихся </w:t>
            </w:r>
            <w:r w:rsidRPr="00FA0032">
              <w:rPr>
                <w:color w:val="000000"/>
                <w:sz w:val="16"/>
                <w:szCs w:val="16"/>
                <w:lang w:val="ru-RU"/>
              </w:rPr>
              <w:tab/>
              <w:t>странах, наименее развитых странах и странах с переходной экономикой</w:t>
            </w:r>
          </w:p>
        </w:tc>
      </w:tr>
      <w:tr w:rsidR="00FA0032" w:rsidRPr="00CD2604" w:rsidTr="00D340AF">
        <w:tc>
          <w:tcPr>
            <w:tcW w:w="1141" w:type="pct"/>
            <w:tcBorders>
              <w:top w:val="single" w:sz="2" w:space="0" w:color="auto"/>
              <w:left w:val="single" w:sz="2" w:space="0" w:color="auto"/>
              <w:bottom w:val="nil"/>
              <w:right w:val="nil"/>
            </w:tcBorders>
            <w:shd w:val="clear" w:color="auto" w:fill="auto"/>
          </w:tcPr>
          <w:p w:rsidR="00FA0032" w:rsidRPr="00CD2604" w:rsidRDefault="00FA0032" w:rsidP="00C61544">
            <w:pPr>
              <w:rPr>
                <w:rFonts w:eastAsia="SimSun" w:cs="Arial"/>
                <w:color w:val="000000"/>
                <w:sz w:val="16"/>
                <w:szCs w:val="16"/>
              </w:rPr>
            </w:pPr>
            <w:r w:rsidRPr="00CD2604">
              <w:rPr>
                <w:b/>
                <w:sz w:val="16"/>
                <w:szCs w:val="16"/>
              </w:rPr>
              <w:t>Показатели результативности</w:t>
            </w:r>
          </w:p>
        </w:tc>
        <w:tc>
          <w:tcPr>
            <w:tcW w:w="969" w:type="pct"/>
            <w:tcBorders>
              <w:top w:val="single" w:sz="2" w:space="0" w:color="auto"/>
              <w:left w:val="nil"/>
              <w:bottom w:val="nil"/>
              <w:right w:val="nil"/>
            </w:tcBorders>
            <w:shd w:val="clear" w:color="auto" w:fill="auto"/>
          </w:tcPr>
          <w:p w:rsidR="00FA0032" w:rsidRPr="00CD2604" w:rsidRDefault="00FA0032" w:rsidP="00C61544">
            <w:pPr>
              <w:rPr>
                <w:rFonts w:cs="Arial"/>
                <w:i/>
                <w:color w:val="002060"/>
                <w:sz w:val="16"/>
                <w:szCs w:val="16"/>
              </w:rPr>
            </w:pPr>
            <w:r w:rsidRPr="00CD2604">
              <w:rPr>
                <w:b/>
                <w:sz w:val="16"/>
                <w:szCs w:val="16"/>
              </w:rPr>
              <w:t>Базовые показатели</w:t>
            </w:r>
          </w:p>
        </w:tc>
        <w:tc>
          <w:tcPr>
            <w:tcW w:w="840" w:type="pct"/>
            <w:gridSpan w:val="4"/>
            <w:tcBorders>
              <w:top w:val="single" w:sz="2" w:space="0" w:color="auto"/>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b/>
                <w:sz w:val="16"/>
                <w:szCs w:val="16"/>
              </w:rPr>
              <w:t>Цели</w:t>
            </w:r>
          </w:p>
        </w:tc>
        <w:tc>
          <w:tcPr>
            <w:tcW w:w="1380" w:type="pct"/>
            <w:tcBorders>
              <w:top w:val="single" w:sz="2"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p>
        </w:tc>
        <w:tc>
          <w:tcPr>
            <w:tcW w:w="670" w:type="pct"/>
            <w:tcBorders>
              <w:top w:val="single" w:sz="2" w:space="0" w:color="auto"/>
              <w:left w:val="nil"/>
              <w:bottom w:val="nil"/>
              <w:right w:val="single" w:sz="2"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808080"/>
                <w:sz w:val="16"/>
                <w:szCs w:val="16"/>
              </w:rPr>
            </w:pPr>
            <w:r w:rsidRPr="00CD2604">
              <w:rPr>
                <w:b/>
                <w:sz w:val="16"/>
                <w:szCs w:val="16"/>
              </w:rPr>
              <w:t>CC</w:t>
            </w:r>
          </w:p>
        </w:tc>
      </w:tr>
      <w:tr w:rsidR="00FA0032" w:rsidRPr="00CD2604" w:rsidTr="00D340AF">
        <w:tc>
          <w:tcPr>
            <w:tcW w:w="1141" w:type="pct"/>
            <w:tcBorders>
              <w:top w:val="nil"/>
              <w:left w:val="single" w:sz="2" w:space="0" w:color="auto"/>
              <w:bottom w:val="single" w:sz="2" w:space="0" w:color="auto"/>
              <w:right w:val="nil"/>
            </w:tcBorders>
            <w:shd w:val="clear" w:color="auto" w:fill="auto"/>
          </w:tcPr>
          <w:p w:rsidR="00FA0032" w:rsidRPr="00FA0032" w:rsidRDefault="00FA0032" w:rsidP="00C61544">
            <w:pPr>
              <w:rPr>
                <w:color w:val="000000"/>
                <w:sz w:val="16"/>
                <w:szCs w:val="16"/>
                <w:lang w:val="ru-RU"/>
              </w:rPr>
            </w:pPr>
            <w:r w:rsidRPr="00FA0032">
              <w:rPr>
                <w:color w:val="000000"/>
                <w:sz w:val="16"/>
                <w:szCs w:val="16"/>
                <w:lang w:val="ru-RU"/>
              </w:rPr>
              <w:t>Доля (%) лиц, ответственных за разработку политики, должностных лиц, практикующих специалистов в сфере ИС и участников целевых семинаров, сформировавших более глубокое понимание роли ОКУ и возможностей эффективного использования ИС для целей развития</w:t>
            </w:r>
          </w:p>
          <w:p w:rsidR="00FA0032" w:rsidRPr="00FA0032" w:rsidRDefault="00FA0032" w:rsidP="00C61544">
            <w:pPr>
              <w:rPr>
                <w:rFonts w:eastAsia="SimSun" w:cs="Arial"/>
                <w:color w:val="000000"/>
                <w:sz w:val="16"/>
                <w:szCs w:val="16"/>
                <w:lang w:val="ru-RU"/>
              </w:rPr>
            </w:pPr>
          </w:p>
        </w:tc>
        <w:tc>
          <w:tcPr>
            <w:tcW w:w="969" w:type="pct"/>
            <w:tcBorders>
              <w:top w:val="nil"/>
              <w:left w:val="nil"/>
              <w:bottom w:val="single" w:sz="2" w:space="0" w:color="auto"/>
              <w:right w:val="nil"/>
            </w:tcBorders>
            <w:shd w:val="clear" w:color="auto" w:fill="auto"/>
          </w:tcPr>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WBO</w:t>
            </w:r>
            <w:r w:rsidRPr="00FA0032">
              <w:rPr>
                <w:sz w:val="16"/>
                <w:szCs w:val="16"/>
                <w:lang w:val="ru-RU"/>
              </w:rPr>
              <w:t>)</w:t>
            </w:r>
          </w:p>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WJO</w:t>
            </w:r>
            <w:r w:rsidRPr="00FA0032">
              <w:rPr>
                <w:sz w:val="16"/>
                <w:szCs w:val="16"/>
                <w:lang w:val="ru-RU"/>
              </w:rPr>
              <w:t>)</w:t>
            </w:r>
          </w:p>
          <w:p w:rsidR="00FA0032" w:rsidRPr="00CD2604" w:rsidRDefault="00FA0032" w:rsidP="00C61544">
            <w:pPr>
              <w:rPr>
                <w:rFonts w:cs="Arial"/>
                <w:sz w:val="16"/>
                <w:szCs w:val="16"/>
              </w:rPr>
            </w:pPr>
            <w:r w:rsidRPr="00CD2604">
              <w:rPr>
                <w:sz w:val="16"/>
                <w:szCs w:val="16"/>
              </w:rPr>
              <w:t>60% (WSO)</w:t>
            </w:r>
          </w:p>
          <w:p w:rsidR="00FA0032" w:rsidRPr="00CD2604" w:rsidRDefault="00FA0032" w:rsidP="00C61544">
            <w:pPr>
              <w:rPr>
                <w:rFonts w:cs="Arial"/>
                <w:i/>
                <w:color w:val="002060"/>
                <w:sz w:val="16"/>
                <w:szCs w:val="16"/>
              </w:rPr>
            </w:pPr>
          </w:p>
        </w:tc>
        <w:tc>
          <w:tcPr>
            <w:tcW w:w="840" w:type="pct"/>
            <w:gridSpan w:val="4"/>
            <w:tcBorders>
              <w:top w:val="nil"/>
              <w:left w:val="nil"/>
              <w:bottom w:val="single" w:sz="2" w:space="0" w:color="auto"/>
              <w:right w:val="nil"/>
            </w:tcBorders>
            <w:shd w:val="clear" w:color="auto" w:fill="auto"/>
            <w:tcMar>
              <w:top w:w="110" w:type="dxa"/>
            </w:tcMar>
          </w:tcPr>
          <w:p w:rsidR="00FA0032" w:rsidRPr="00CD2604" w:rsidRDefault="00FA0032" w:rsidP="00C61544">
            <w:pPr>
              <w:rPr>
                <w:rFonts w:eastAsia="SimSun" w:cs="Arial"/>
                <w:sz w:val="16"/>
                <w:szCs w:val="16"/>
              </w:rPr>
            </w:pPr>
            <w:r w:rsidRPr="00CD2604">
              <w:rPr>
                <w:sz w:val="16"/>
                <w:szCs w:val="16"/>
              </w:rPr>
              <w:t>75% (WBO)</w:t>
            </w:r>
          </w:p>
          <w:p w:rsidR="00FA0032" w:rsidRPr="00CD2604" w:rsidRDefault="00FA0032" w:rsidP="00C61544">
            <w:pPr>
              <w:rPr>
                <w:rFonts w:eastAsia="SimSun" w:cs="Arial"/>
                <w:sz w:val="16"/>
                <w:szCs w:val="16"/>
              </w:rPr>
            </w:pPr>
            <w:r w:rsidRPr="00CD2604">
              <w:rPr>
                <w:sz w:val="16"/>
                <w:szCs w:val="16"/>
              </w:rPr>
              <w:t>75% (WJO)</w:t>
            </w:r>
          </w:p>
          <w:p w:rsidR="00FA0032" w:rsidRPr="00CD2604" w:rsidRDefault="00FA0032" w:rsidP="00C61544">
            <w:pPr>
              <w:rPr>
                <w:rFonts w:eastAsia="SimSun" w:cs="Arial"/>
                <w:sz w:val="16"/>
                <w:szCs w:val="16"/>
              </w:rPr>
            </w:pPr>
            <w:r w:rsidRPr="00CD2604">
              <w:rPr>
                <w:sz w:val="16"/>
                <w:szCs w:val="16"/>
              </w:rPr>
              <w:t>70% (WSO)</w:t>
            </w:r>
          </w:p>
          <w:p w:rsidR="00FA0032" w:rsidRPr="00CD2604" w:rsidRDefault="00FA0032" w:rsidP="00C61544">
            <w:pPr>
              <w:rPr>
                <w:rFonts w:eastAsia="SimSun" w:cs="Arial"/>
                <w:sz w:val="16"/>
                <w:szCs w:val="16"/>
              </w:rPr>
            </w:pPr>
          </w:p>
        </w:tc>
        <w:tc>
          <w:tcPr>
            <w:tcW w:w="1380" w:type="pct"/>
            <w:tcBorders>
              <w:top w:val="nil"/>
              <w:left w:val="nil"/>
              <w:bottom w:val="single" w:sz="2" w:space="0" w:color="auto"/>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sz w:val="16"/>
                <w:szCs w:val="16"/>
              </w:rPr>
              <w:t>75% (WBO)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100% (WJO)</w:t>
            </w:r>
          </w:p>
          <w:p w:rsidR="00FA0032" w:rsidRPr="00CD2604" w:rsidRDefault="00FA0032" w:rsidP="00C61544">
            <w:pPr>
              <w:rPr>
                <w:rFonts w:eastAsia="SimSun" w:cs="Arial"/>
                <w:sz w:val="16"/>
                <w:szCs w:val="16"/>
              </w:rPr>
            </w:pPr>
          </w:p>
          <w:p w:rsidR="00FA0032" w:rsidRPr="00CD2604" w:rsidDel="00EA6FE2" w:rsidRDefault="00FA0032" w:rsidP="00C61544">
            <w:pPr>
              <w:rPr>
                <w:rFonts w:eastAsia="SimSun" w:cs="Arial"/>
                <w:sz w:val="16"/>
                <w:szCs w:val="16"/>
              </w:rPr>
            </w:pPr>
            <w:r w:rsidRPr="00CD2604">
              <w:rPr>
                <w:sz w:val="16"/>
                <w:szCs w:val="16"/>
              </w:rPr>
              <w:t>100% (WSO)</w:t>
            </w:r>
          </w:p>
        </w:tc>
        <w:tc>
          <w:tcPr>
            <w:tcW w:w="670" w:type="pct"/>
            <w:tcBorders>
              <w:top w:val="nil"/>
              <w:left w:val="nil"/>
              <w:bottom w:val="single" w:sz="2" w:space="0" w:color="auto"/>
              <w:right w:val="single" w:sz="2" w:space="0" w:color="auto"/>
            </w:tcBorders>
            <w:shd w:val="clear" w:color="auto" w:fill="auto"/>
            <w:tcMar>
              <w:top w:w="110" w:type="dxa"/>
            </w:tcMar>
          </w:tcPr>
          <w:p w:rsidR="00FA0032" w:rsidRPr="00CD2604" w:rsidRDefault="00FA0032" w:rsidP="00C61544">
            <w:pPr>
              <w:keepNext/>
              <w:keepLines/>
              <w:ind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left="71" w:right="20"/>
              <w:jc w:val="center"/>
              <w:rPr>
                <w:rFonts w:eastAsia="SimSun" w:cs="Arial"/>
                <w:b/>
                <w:bCs/>
                <w:color w:val="808080"/>
                <w:sz w:val="16"/>
                <w:szCs w:val="16"/>
              </w:rPr>
            </w:pPr>
          </w:p>
        </w:tc>
      </w:tr>
    </w:tbl>
    <w:p w:rsidR="00FA0032" w:rsidRDefault="00FA0032" w:rsidP="00FA0032">
      <w:r>
        <w:br w:type="page"/>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1926"/>
        <w:gridCol w:w="1667"/>
        <w:gridCol w:w="2645"/>
        <w:gridCol w:w="182"/>
        <w:gridCol w:w="90"/>
        <w:gridCol w:w="8"/>
        <w:gridCol w:w="1150"/>
      </w:tblGrid>
      <w:tr w:rsidR="00FA0032" w:rsidRPr="005C6ABD" w:rsidTr="00C61544">
        <w:tc>
          <w:tcPr>
            <w:tcW w:w="5000" w:type="pct"/>
            <w:gridSpan w:val="8"/>
            <w:tcBorders>
              <w:top w:val="single" w:sz="2" w:space="0" w:color="auto"/>
              <w:bottom w:val="single" w:sz="4" w:space="0" w:color="auto"/>
            </w:tcBorders>
            <w:shd w:val="clear" w:color="auto" w:fill="C6D9F1" w:themeFill="text2" w:themeFillTint="33"/>
          </w:tcPr>
          <w:p w:rsidR="00FA0032" w:rsidRPr="00FA0032" w:rsidRDefault="00FA0032" w:rsidP="00D340AF">
            <w:pPr>
              <w:tabs>
                <w:tab w:val="left" w:pos="2302"/>
              </w:tabs>
              <w:spacing w:before="120" w:after="120"/>
              <w:ind w:left="2302" w:hanging="2302"/>
              <w:rPr>
                <w:rFonts w:eastAsia="SimSun" w:cs="Arial"/>
                <w:b/>
                <w:bCs/>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color w:val="000000"/>
                <w:sz w:val="16"/>
                <w:szCs w:val="16"/>
              </w:rPr>
              <w:t>IV</w:t>
            </w:r>
            <w:r w:rsidRPr="00FA0032">
              <w:rPr>
                <w:color w:val="000000"/>
                <w:sz w:val="16"/>
                <w:szCs w:val="16"/>
                <w:lang w:val="ru-RU"/>
              </w:rPr>
              <w:t xml:space="preserve">.2. Расширение доступа и использования информации </w:t>
            </w:r>
            <w:r w:rsidR="00D340AF">
              <w:rPr>
                <w:color w:val="000000"/>
                <w:sz w:val="16"/>
                <w:szCs w:val="16"/>
                <w:lang w:val="ru-RU"/>
              </w:rPr>
              <w:t xml:space="preserve">в области ИС учреждениями ИС и </w:t>
            </w:r>
            <w:r w:rsidRPr="00FA0032">
              <w:rPr>
                <w:color w:val="000000"/>
                <w:sz w:val="16"/>
                <w:szCs w:val="16"/>
                <w:lang w:val="ru-RU"/>
              </w:rPr>
              <w:t>общественностью для содействия инновациям и творчеству</w:t>
            </w:r>
          </w:p>
        </w:tc>
      </w:tr>
      <w:tr w:rsidR="00FA0032" w:rsidRPr="00CD2604" w:rsidTr="00C61544">
        <w:tc>
          <w:tcPr>
            <w:tcW w:w="994" w:type="pct"/>
            <w:tcBorders>
              <w:top w:val="single" w:sz="4" w:space="0" w:color="auto"/>
              <w:left w:val="single" w:sz="4" w:space="0" w:color="auto"/>
              <w:bottom w:val="nil"/>
              <w:right w:val="nil"/>
            </w:tcBorders>
            <w:shd w:val="clear" w:color="auto" w:fill="auto"/>
          </w:tcPr>
          <w:p w:rsidR="00FA0032" w:rsidRPr="00CD2604" w:rsidRDefault="00FA0032" w:rsidP="00C61544">
            <w:pPr>
              <w:rPr>
                <w:rFonts w:eastAsia="SimSun" w:cs="Arial"/>
                <w:color w:val="000000"/>
                <w:sz w:val="16"/>
                <w:szCs w:val="16"/>
              </w:rPr>
            </w:pPr>
            <w:r w:rsidRPr="00CD2604">
              <w:rPr>
                <w:b/>
                <w:sz w:val="16"/>
                <w:szCs w:val="16"/>
              </w:rPr>
              <w:t>Показатели результативности</w:t>
            </w:r>
          </w:p>
        </w:tc>
        <w:tc>
          <w:tcPr>
            <w:tcW w:w="1006" w:type="pct"/>
            <w:tcBorders>
              <w:top w:val="single" w:sz="4" w:space="0" w:color="auto"/>
              <w:left w:val="nil"/>
              <w:bottom w:val="nil"/>
              <w:right w:val="nil"/>
            </w:tcBorders>
            <w:shd w:val="clear" w:color="auto" w:fill="auto"/>
          </w:tcPr>
          <w:p w:rsidR="00FA0032" w:rsidRPr="00CD2604" w:rsidRDefault="00FA0032" w:rsidP="00C61544">
            <w:pPr>
              <w:rPr>
                <w:rFonts w:cs="Arial"/>
                <w:i/>
                <w:color w:val="002060"/>
                <w:sz w:val="16"/>
                <w:szCs w:val="16"/>
              </w:rPr>
            </w:pPr>
            <w:r w:rsidRPr="00CD2604">
              <w:rPr>
                <w:b/>
                <w:sz w:val="16"/>
                <w:szCs w:val="16"/>
              </w:rPr>
              <w:t>Базовые показатели</w:t>
            </w:r>
          </w:p>
        </w:tc>
        <w:tc>
          <w:tcPr>
            <w:tcW w:w="871" w:type="pct"/>
            <w:tcBorders>
              <w:top w:val="single" w:sz="4" w:space="0" w:color="auto"/>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b/>
                <w:sz w:val="16"/>
                <w:szCs w:val="16"/>
              </w:rPr>
              <w:t>Цели</w:t>
            </w:r>
          </w:p>
        </w:tc>
        <w:tc>
          <w:tcPr>
            <w:tcW w:w="1382" w:type="pct"/>
            <w:tcBorders>
              <w:top w:val="single" w:sz="4"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r w:rsidRPr="00CD2604">
              <w:rPr>
                <w:rStyle w:val="FootnoteReference"/>
                <w:b/>
                <w:szCs w:val="16"/>
              </w:rPr>
              <w:footnoteReference w:id="114"/>
            </w:r>
          </w:p>
        </w:tc>
        <w:tc>
          <w:tcPr>
            <w:tcW w:w="747" w:type="pct"/>
            <w:gridSpan w:val="4"/>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808080"/>
                <w:sz w:val="16"/>
                <w:szCs w:val="16"/>
              </w:rPr>
            </w:pPr>
            <w:r w:rsidRPr="00CD2604">
              <w:rPr>
                <w:b/>
                <w:sz w:val="16"/>
                <w:szCs w:val="16"/>
              </w:rPr>
              <w:t>CC</w:t>
            </w:r>
          </w:p>
        </w:tc>
      </w:tr>
      <w:tr w:rsidR="00FA0032" w:rsidRPr="00CD2604" w:rsidTr="00C61544">
        <w:trPr>
          <w:trHeight w:val="4192"/>
        </w:trPr>
        <w:tc>
          <w:tcPr>
            <w:tcW w:w="994" w:type="pct"/>
            <w:tcBorders>
              <w:top w:val="nil"/>
              <w:left w:val="single" w:sz="4" w:space="0" w:color="auto"/>
              <w:bottom w:val="single" w:sz="4" w:space="0" w:color="auto"/>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 xml:space="preserve">Число пользователей глобальных баз данных ВОИС: </w:t>
            </w:r>
            <w:r w:rsidRPr="00CD2604">
              <w:rPr>
                <w:color w:val="000000"/>
                <w:sz w:val="16"/>
                <w:szCs w:val="16"/>
              </w:rPr>
              <w:t>PATENTSCOPE</w:t>
            </w:r>
            <w:r w:rsidRPr="00FA0032">
              <w:rPr>
                <w:color w:val="000000"/>
                <w:sz w:val="16"/>
                <w:szCs w:val="16"/>
                <w:lang w:val="ru-RU"/>
              </w:rPr>
              <w:t xml:space="preserve"> и Глобальная база данных по брендам</w:t>
            </w:r>
          </w:p>
        </w:tc>
        <w:tc>
          <w:tcPr>
            <w:tcW w:w="1006" w:type="pct"/>
            <w:tcBorders>
              <w:top w:val="nil"/>
              <w:left w:val="nil"/>
              <w:bottom w:val="single" w:sz="4" w:space="0" w:color="auto"/>
              <w:right w:val="nil"/>
            </w:tcBorders>
            <w:shd w:val="clear" w:color="auto" w:fill="auto"/>
          </w:tcPr>
          <w:p w:rsidR="00FA0032" w:rsidRPr="00FA0032" w:rsidRDefault="00FA0032" w:rsidP="00C61544">
            <w:pPr>
              <w:rPr>
                <w:rFonts w:cs="Arial"/>
                <w:i/>
                <w:color w:val="002060"/>
                <w:sz w:val="16"/>
                <w:szCs w:val="16"/>
                <w:lang w:val="ru-RU"/>
              </w:rPr>
            </w:pPr>
            <w:r w:rsidRPr="00FA0032">
              <w:rPr>
                <w:i/>
                <w:color w:val="002060"/>
                <w:sz w:val="16"/>
                <w:szCs w:val="16"/>
                <w:lang w:val="ru-RU"/>
              </w:rPr>
              <w:t>Обновленный базовый показатель на конец 2013</w:t>
            </w:r>
            <w:r w:rsidRPr="00CD2604">
              <w:rPr>
                <w:i/>
                <w:color w:val="002060"/>
                <w:sz w:val="16"/>
                <w:szCs w:val="16"/>
              </w:rPr>
              <w:t> </w:t>
            </w:r>
            <w:r w:rsidRPr="00FA0032">
              <w:rPr>
                <w:i/>
                <w:color w:val="002060"/>
                <w:sz w:val="16"/>
                <w:szCs w:val="16"/>
                <w:lang w:val="ru-RU"/>
              </w:rPr>
              <w:t>г.</w:t>
            </w:r>
            <w:r w:rsidRPr="00CD2604">
              <w:rPr>
                <w:rStyle w:val="FootnoteReference"/>
                <w:i/>
                <w:color w:val="002060"/>
                <w:szCs w:val="16"/>
              </w:rPr>
              <w:footnoteReference w:id="115"/>
            </w:r>
            <w:r w:rsidRPr="00FA0032">
              <w:rPr>
                <w:i/>
                <w:color w:val="002060"/>
                <w:sz w:val="16"/>
                <w:szCs w:val="16"/>
                <w:lang w:val="ru-RU"/>
              </w:rPr>
              <w:t xml:space="preserve">:  </w:t>
            </w:r>
          </w:p>
          <w:p w:rsidR="00FA0032" w:rsidRPr="00CD2604" w:rsidRDefault="00FA0032" w:rsidP="00C61544">
            <w:pPr>
              <w:rPr>
                <w:rFonts w:eastAsia="SimSun" w:cs="Arial"/>
                <w:sz w:val="16"/>
                <w:szCs w:val="16"/>
              </w:rPr>
            </w:pPr>
            <w:r w:rsidRPr="00CD2604">
              <w:rPr>
                <w:sz w:val="16"/>
                <w:szCs w:val="16"/>
              </w:rPr>
              <w:t xml:space="preserve">PATENTSCOPE (III кв. 2013 г.): </w:t>
            </w:r>
          </w:p>
          <w:p w:rsidR="00FA0032" w:rsidRPr="00CD2604" w:rsidRDefault="00FA0032" w:rsidP="00BF61DC">
            <w:pPr>
              <w:pStyle w:val="ListParagraph"/>
              <w:numPr>
                <w:ilvl w:val="0"/>
                <w:numId w:val="124"/>
              </w:numPr>
              <w:ind w:left="279" w:hanging="270"/>
              <w:contextualSpacing/>
              <w:rPr>
                <w:rFonts w:eastAsia="SimSun" w:cs="Arial"/>
                <w:sz w:val="16"/>
                <w:szCs w:val="16"/>
              </w:rPr>
            </w:pPr>
            <w:r w:rsidRPr="00CD2604">
              <w:rPr>
                <w:sz w:val="16"/>
                <w:szCs w:val="16"/>
              </w:rPr>
              <w:t>3 839 (WBO)</w:t>
            </w:r>
          </w:p>
          <w:p w:rsidR="00FA0032" w:rsidRPr="00CD2604" w:rsidRDefault="00FA0032" w:rsidP="00BF61DC">
            <w:pPr>
              <w:pStyle w:val="ListParagraph"/>
              <w:numPr>
                <w:ilvl w:val="0"/>
                <w:numId w:val="124"/>
              </w:numPr>
              <w:ind w:left="279" w:right="-39" w:hanging="270"/>
              <w:contextualSpacing/>
              <w:rPr>
                <w:rFonts w:eastAsia="SimSun" w:cs="Arial"/>
                <w:sz w:val="16"/>
                <w:szCs w:val="16"/>
              </w:rPr>
            </w:pPr>
            <w:r w:rsidRPr="00CD2604">
              <w:rPr>
                <w:sz w:val="16"/>
                <w:szCs w:val="16"/>
              </w:rPr>
              <w:t>14 906 (WJO)</w:t>
            </w:r>
          </w:p>
          <w:p w:rsidR="00FA0032" w:rsidRPr="00CD2604" w:rsidRDefault="00FA0032" w:rsidP="00BF61DC">
            <w:pPr>
              <w:pStyle w:val="ListParagraph"/>
              <w:numPr>
                <w:ilvl w:val="0"/>
                <w:numId w:val="124"/>
              </w:numPr>
              <w:spacing w:after="200"/>
              <w:ind w:left="279" w:hanging="270"/>
              <w:contextualSpacing/>
              <w:rPr>
                <w:rFonts w:eastAsia="SimSun" w:cs="Arial"/>
                <w:sz w:val="16"/>
                <w:szCs w:val="16"/>
              </w:rPr>
            </w:pPr>
            <w:r w:rsidRPr="00CD2604">
              <w:rPr>
                <w:sz w:val="16"/>
                <w:szCs w:val="16"/>
              </w:rPr>
              <w:t>6 772 (WSO)</w:t>
            </w:r>
          </w:p>
          <w:p w:rsidR="00FA0032" w:rsidRPr="00CD2604" w:rsidRDefault="00FA0032" w:rsidP="00C61544">
            <w:pPr>
              <w:rPr>
                <w:rFonts w:eastAsia="SimSun" w:cs="Arial"/>
                <w:sz w:val="16"/>
                <w:szCs w:val="16"/>
              </w:rPr>
            </w:pPr>
            <w:r w:rsidRPr="00CD2604">
              <w:rPr>
                <w:sz w:val="16"/>
                <w:szCs w:val="16"/>
              </w:rPr>
              <w:t xml:space="preserve">(III кв. 2012 г.): </w:t>
            </w:r>
          </w:p>
          <w:p w:rsidR="00FA0032" w:rsidRPr="00CD2604" w:rsidRDefault="00FA0032" w:rsidP="00BF61DC">
            <w:pPr>
              <w:pStyle w:val="ListParagraph"/>
              <w:numPr>
                <w:ilvl w:val="0"/>
                <w:numId w:val="124"/>
              </w:numPr>
              <w:ind w:left="279" w:hanging="270"/>
              <w:contextualSpacing/>
              <w:rPr>
                <w:rFonts w:eastAsia="SimSun" w:cs="Arial"/>
                <w:sz w:val="16"/>
                <w:szCs w:val="16"/>
              </w:rPr>
            </w:pPr>
            <w:r w:rsidRPr="00CD2604">
              <w:rPr>
                <w:sz w:val="16"/>
                <w:szCs w:val="16"/>
              </w:rPr>
              <w:t>3 891 (WBO)</w:t>
            </w:r>
          </w:p>
          <w:p w:rsidR="00FA0032" w:rsidRPr="00CD2604" w:rsidRDefault="00FA0032" w:rsidP="00BF61DC">
            <w:pPr>
              <w:pStyle w:val="ListParagraph"/>
              <w:numPr>
                <w:ilvl w:val="0"/>
                <w:numId w:val="124"/>
              </w:numPr>
              <w:ind w:left="279" w:right="-39" w:hanging="270"/>
              <w:contextualSpacing/>
              <w:rPr>
                <w:rFonts w:eastAsia="SimSun" w:cs="Arial"/>
                <w:sz w:val="16"/>
                <w:szCs w:val="16"/>
              </w:rPr>
            </w:pPr>
            <w:r w:rsidRPr="00CD2604">
              <w:rPr>
                <w:sz w:val="16"/>
                <w:szCs w:val="16"/>
              </w:rPr>
              <w:t>15 114 (WJO)</w:t>
            </w:r>
          </w:p>
          <w:p w:rsidR="00FA0032" w:rsidRPr="00CD2604" w:rsidRDefault="00FA0032" w:rsidP="00BF61DC">
            <w:pPr>
              <w:pStyle w:val="ListParagraph"/>
              <w:numPr>
                <w:ilvl w:val="0"/>
                <w:numId w:val="124"/>
              </w:numPr>
              <w:spacing w:after="200"/>
              <w:ind w:left="279" w:hanging="270"/>
              <w:contextualSpacing/>
              <w:rPr>
                <w:rFonts w:eastAsia="SimSun" w:cs="Arial"/>
                <w:sz w:val="16"/>
                <w:szCs w:val="16"/>
              </w:rPr>
            </w:pPr>
            <w:r w:rsidRPr="00CD2604">
              <w:rPr>
                <w:sz w:val="16"/>
                <w:szCs w:val="16"/>
              </w:rPr>
              <w:t>6 595 (WSO)</w:t>
            </w:r>
          </w:p>
          <w:p w:rsidR="00FA0032" w:rsidRPr="00CD2604" w:rsidRDefault="00FA0032" w:rsidP="00C61544">
            <w:pPr>
              <w:pStyle w:val="ListParagraph"/>
              <w:spacing w:after="200"/>
              <w:ind w:left="279"/>
              <w:contextualSpacing/>
              <w:rPr>
                <w:rFonts w:eastAsia="SimSun" w:cs="Arial"/>
                <w:sz w:val="16"/>
                <w:szCs w:val="16"/>
              </w:rPr>
            </w:pPr>
          </w:p>
          <w:p w:rsidR="00FA0032" w:rsidRPr="00FA0032" w:rsidRDefault="00FA0032" w:rsidP="00C61544">
            <w:pPr>
              <w:rPr>
                <w:rFonts w:eastAsia="SimSun" w:cs="Arial"/>
                <w:sz w:val="16"/>
                <w:szCs w:val="16"/>
                <w:lang w:val="ru-RU"/>
              </w:rPr>
            </w:pPr>
            <w:r w:rsidRPr="00FA0032">
              <w:rPr>
                <w:sz w:val="16"/>
                <w:szCs w:val="16"/>
                <w:lang w:val="ru-RU"/>
              </w:rPr>
              <w:t>Глобальная база данных по брендам (</w:t>
            </w:r>
            <w:r w:rsidRPr="00CD2604">
              <w:rPr>
                <w:sz w:val="16"/>
                <w:szCs w:val="16"/>
              </w:rPr>
              <w:t>III </w:t>
            </w:r>
            <w:r w:rsidRPr="00FA0032">
              <w:rPr>
                <w:sz w:val="16"/>
                <w:szCs w:val="16"/>
                <w:lang w:val="ru-RU"/>
              </w:rPr>
              <w:t>кв. 2013</w:t>
            </w:r>
            <w:r w:rsidRPr="00CD2604">
              <w:rPr>
                <w:sz w:val="16"/>
                <w:szCs w:val="16"/>
              </w:rPr>
              <w:t> </w:t>
            </w:r>
            <w:r w:rsidRPr="00FA0032">
              <w:rPr>
                <w:sz w:val="16"/>
                <w:szCs w:val="16"/>
                <w:lang w:val="ru-RU"/>
              </w:rPr>
              <w:t>г.):</w:t>
            </w:r>
          </w:p>
          <w:p w:rsidR="00FA0032" w:rsidRPr="00CD2604" w:rsidRDefault="00FA0032" w:rsidP="00BF61DC">
            <w:pPr>
              <w:pStyle w:val="ListParagraph"/>
              <w:numPr>
                <w:ilvl w:val="0"/>
                <w:numId w:val="125"/>
              </w:numPr>
              <w:ind w:left="279" w:hanging="279"/>
              <w:contextualSpacing/>
              <w:rPr>
                <w:rFonts w:eastAsia="SimSun" w:cs="Arial"/>
                <w:sz w:val="16"/>
                <w:szCs w:val="16"/>
              </w:rPr>
            </w:pPr>
            <w:r w:rsidRPr="00CD2604">
              <w:rPr>
                <w:sz w:val="16"/>
                <w:szCs w:val="16"/>
              </w:rPr>
              <w:t>186 (WBO)</w:t>
            </w:r>
          </w:p>
          <w:p w:rsidR="00FA0032" w:rsidRPr="00CD2604" w:rsidRDefault="00FA0032" w:rsidP="00BF61DC">
            <w:pPr>
              <w:pStyle w:val="ListParagraph"/>
              <w:numPr>
                <w:ilvl w:val="0"/>
                <w:numId w:val="125"/>
              </w:numPr>
              <w:ind w:left="279" w:hanging="279"/>
              <w:contextualSpacing/>
              <w:rPr>
                <w:rFonts w:eastAsia="SimSun" w:cs="Arial"/>
                <w:sz w:val="16"/>
                <w:szCs w:val="16"/>
              </w:rPr>
            </w:pPr>
            <w:r w:rsidRPr="00CD2604">
              <w:rPr>
                <w:sz w:val="16"/>
                <w:szCs w:val="16"/>
              </w:rPr>
              <w:t>543 (WJO)</w:t>
            </w:r>
          </w:p>
          <w:p w:rsidR="00FA0032" w:rsidRPr="00CD2604" w:rsidRDefault="00FA0032" w:rsidP="00BF61DC">
            <w:pPr>
              <w:pStyle w:val="ListParagraph"/>
              <w:numPr>
                <w:ilvl w:val="0"/>
                <w:numId w:val="125"/>
              </w:numPr>
              <w:ind w:left="279" w:right="-39" w:hanging="279"/>
              <w:contextualSpacing/>
              <w:rPr>
                <w:rFonts w:eastAsia="SimSun" w:cs="Arial"/>
                <w:sz w:val="16"/>
                <w:szCs w:val="16"/>
              </w:rPr>
            </w:pPr>
            <w:r w:rsidRPr="00CD2604">
              <w:rPr>
                <w:sz w:val="16"/>
                <w:szCs w:val="16"/>
              </w:rPr>
              <w:t>1 711 (WSO)</w:t>
            </w:r>
          </w:p>
          <w:p w:rsidR="00FA0032" w:rsidRPr="00CD2604" w:rsidRDefault="00FA0032" w:rsidP="00C61544">
            <w:pPr>
              <w:pStyle w:val="ListParagraph"/>
              <w:ind w:left="360"/>
              <w:rPr>
                <w:rFonts w:eastAsia="SimSun" w:cs="Arial"/>
                <w:sz w:val="16"/>
                <w:szCs w:val="16"/>
                <w:highlight w:val="yellow"/>
              </w:rPr>
            </w:pPr>
          </w:p>
          <w:p w:rsidR="00FA0032" w:rsidRPr="00CD2604" w:rsidRDefault="00FA0032" w:rsidP="00C61544">
            <w:pPr>
              <w:rPr>
                <w:rFonts w:eastAsia="SimSun" w:cs="Arial"/>
                <w:sz w:val="16"/>
                <w:szCs w:val="16"/>
              </w:rPr>
            </w:pPr>
            <w:r w:rsidRPr="00CD2604">
              <w:rPr>
                <w:sz w:val="16"/>
                <w:szCs w:val="16"/>
              </w:rPr>
              <w:t>(III кв. 2012 г.):</w:t>
            </w:r>
          </w:p>
          <w:p w:rsidR="00FA0032" w:rsidRPr="00CD2604" w:rsidRDefault="00FA0032" w:rsidP="00BF61DC">
            <w:pPr>
              <w:pStyle w:val="ListParagraph"/>
              <w:numPr>
                <w:ilvl w:val="0"/>
                <w:numId w:val="125"/>
              </w:numPr>
              <w:ind w:left="279" w:hanging="279"/>
              <w:contextualSpacing/>
              <w:rPr>
                <w:rFonts w:eastAsia="SimSun" w:cs="Arial"/>
                <w:sz w:val="16"/>
                <w:szCs w:val="16"/>
              </w:rPr>
            </w:pPr>
            <w:r w:rsidRPr="00CD2604">
              <w:rPr>
                <w:sz w:val="16"/>
                <w:szCs w:val="16"/>
              </w:rPr>
              <w:t>75 (WBO)</w:t>
            </w:r>
          </w:p>
          <w:p w:rsidR="00FA0032" w:rsidRPr="00CD2604" w:rsidRDefault="00FA0032" w:rsidP="00BF61DC">
            <w:pPr>
              <w:pStyle w:val="ListParagraph"/>
              <w:numPr>
                <w:ilvl w:val="0"/>
                <w:numId w:val="125"/>
              </w:numPr>
              <w:ind w:left="279" w:hanging="279"/>
              <w:contextualSpacing/>
              <w:rPr>
                <w:rFonts w:eastAsia="SimSun" w:cs="Arial"/>
                <w:sz w:val="16"/>
                <w:szCs w:val="16"/>
              </w:rPr>
            </w:pPr>
            <w:r w:rsidRPr="00CD2604">
              <w:rPr>
                <w:sz w:val="16"/>
                <w:szCs w:val="16"/>
              </w:rPr>
              <w:t>275 (WJO)</w:t>
            </w:r>
          </w:p>
          <w:p w:rsidR="00FA0032" w:rsidRPr="00CD2604" w:rsidRDefault="00FA0032" w:rsidP="00BF61DC">
            <w:pPr>
              <w:pStyle w:val="ListParagraph"/>
              <w:numPr>
                <w:ilvl w:val="0"/>
                <w:numId w:val="125"/>
              </w:numPr>
              <w:ind w:left="279" w:right="-39" w:hanging="279"/>
              <w:contextualSpacing/>
              <w:rPr>
                <w:rFonts w:eastAsia="SimSun" w:cs="Arial"/>
                <w:sz w:val="16"/>
                <w:szCs w:val="16"/>
              </w:rPr>
            </w:pPr>
            <w:r w:rsidRPr="00CD2604">
              <w:rPr>
                <w:sz w:val="16"/>
                <w:szCs w:val="16"/>
              </w:rPr>
              <w:t>415 (WSO)</w:t>
            </w:r>
          </w:p>
          <w:p w:rsidR="00FA0032" w:rsidRPr="00CD2604" w:rsidRDefault="00FA0032" w:rsidP="00C61544">
            <w:pPr>
              <w:rPr>
                <w:rFonts w:eastAsia="SimSun" w:cs="Arial"/>
                <w:sz w:val="16"/>
                <w:szCs w:val="16"/>
                <w:highlight w:val="yellow"/>
              </w:rPr>
            </w:pPr>
          </w:p>
          <w:p w:rsidR="00FA0032" w:rsidRPr="00FA0032" w:rsidRDefault="00FA0032" w:rsidP="00C61544">
            <w:pPr>
              <w:rPr>
                <w:rFonts w:cs="Arial"/>
                <w:i/>
                <w:sz w:val="16"/>
                <w:szCs w:val="16"/>
                <w:lang w:val="ru-RU"/>
              </w:rPr>
            </w:pPr>
            <w:r w:rsidRPr="00FA0032">
              <w:rPr>
                <w:i/>
                <w:sz w:val="16"/>
                <w:szCs w:val="16"/>
                <w:lang w:val="ru-RU"/>
              </w:rPr>
              <w:t>Исходные базовые показатели ПиБ на 2014–2015 гг.:</w:t>
            </w:r>
          </w:p>
          <w:p w:rsidR="00FA0032" w:rsidRPr="00FA0032" w:rsidRDefault="00FA0032" w:rsidP="00C61544">
            <w:pPr>
              <w:rPr>
                <w:rFonts w:cs="Arial"/>
                <w:i/>
                <w:sz w:val="16"/>
                <w:szCs w:val="16"/>
                <w:lang w:val="ru-RU"/>
              </w:rPr>
            </w:pPr>
            <w:r w:rsidRPr="00FA0032">
              <w:rPr>
                <w:sz w:val="16"/>
                <w:szCs w:val="16"/>
                <w:lang w:val="ru-RU"/>
              </w:rPr>
              <w:t>Статистика на конец 2013</w:t>
            </w:r>
            <w:r w:rsidRPr="00CD2604">
              <w:rPr>
                <w:sz w:val="16"/>
                <w:szCs w:val="16"/>
              </w:rPr>
              <w:t> </w:t>
            </w:r>
            <w:r w:rsidRPr="00FA0032">
              <w:rPr>
                <w:sz w:val="16"/>
                <w:szCs w:val="16"/>
                <w:lang w:val="ru-RU"/>
              </w:rPr>
              <w:t>г.</w:t>
            </w:r>
            <w:r w:rsidRPr="00FA0032">
              <w:rPr>
                <w:rFonts w:cs="Arial"/>
                <w:sz w:val="16"/>
                <w:szCs w:val="16"/>
                <w:lang w:val="ru-RU"/>
              </w:rPr>
              <w:br/>
            </w:r>
            <w:r w:rsidRPr="00FA0032">
              <w:rPr>
                <w:sz w:val="16"/>
                <w:szCs w:val="16"/>
                <w:lang w:val="ru-RU"/>
              </w:rPr>
              <w:t>(</w:t>
            </w:r>
            <w:r w:rsidRPr="00CD2604">
              <w:rPr>
                <w:sz w:val="16"/>
                <w:szCs w:val="16"/>
              </w:rPr>
              <w:t>WBO</w:t>
            </w:r>
            <w:r w:rsidRPr="00FA0032">
              <w:rPr>
                <w:sz w:val="16"/>
                <w:szCs w:val="16"/>
                <w:lang w:val="ru-RU"/>
              </w:rPr>
              <w:t>)</w:t>
            </w:r>
            <w:r w:rsidRPr="00FA0032">
              <w:rPr>
                <w:i/>
                <w:sz w:val="16"/>
                <w:szCs w:val="16"/>
                <w:lang w:val="ru-RU"/>
              </w:rPr>
              <w:t xml:space="preserve"> </w:t>
            </w:r>
          </w:p>
          <w:p w:rsidR="00FA0032" w:rsidRPr="00FA0032" w:rsidRDefault="00FA0032" w:rsidP="00C61544">
            <w:pPr>
              <w:rPr>
                <w:rFonts w:cs="Arial"/>
                <w:sz w:val="16"/>
                <w:szCs w:val="16"/>
                <w:lang w:val="ru-RU"/>
              </w:rPr>
            </w:pPr>
            <w:r w:rsidRPr="00FA0032">
              <w:rPr>
                <w:sz w:val="16"/>
                <w:szCs w:val="16"/>
                <w:lang w:val="ru-RU"/>
              </w:rPr>
              <w:t>Статистика на конец 2013</w:t>
            </w:r>
            <w:r w:rsidRPr="00CD2604">
              <w:rPr>
                <w:sz w:val="16"/>
                <w:szCs w:val="16"/>
              </w:rPr>
              <w:t> </w:t>
            </w:r>
            <w:r w:rsidRPr="00FA0032">
              <w:rPr>
                <w:sz w:val="16"/>
                <w:szCs w:val="16"/>
                <w:lang w:val="ru-RU"/>
              </w:rPr>
              <w:t>г.</w:t>
            </w:r>
            <w:r w:rsidRPr="00FA0032">
              <w:rPr>
                <w:rFonts w:cs="Arial"/>
                <w:sz w:val="16"/>
                <w:szCs w:val="16"/>
                <w:lang w:val="ru-RU"/>
              </w:rPr>
              <w:br/>
            </w:r>
            <w:r w:rsidRPr="00FA0032">
              <w:rPr>
                <w:sz w:val="16"/>
                <w:szCs w:val="16"/>
                <w:lang w:val="ru-RU"/>
              </w:rPr>
              <w:t>(</w:t>
            </w:r>
            <w:r w:rsidRPr="00CD2604">
              <w:rPr>
                <w:sz w:val="16"/>
                <w:szCs w:val="16"/>
              </w:rPr>
              <w:t>WJO</w:t>
            </w:r>
            <w:r w:rsidRPr="00FA0032">
              <w:rPr>
                <w:sz w:val="16"/>
                <w:szCs w:val="16"/>
                <w:lang w:val="ru-RU"/>
              </w:rPr>
              <w:t>)</w:t>
            </w:r>
          </w:p>
          <w:p w:rsidR="00FA0032" w:rsidRDefault="00FA0032" w:rsidP="00C61544">
            <w:pPr>
              <w:rPr>
                <w:sz w:val="16"/>
                <w:szCs w:val="16"/>
              </w:rPr>
            </w:pPr>
            <w:r w:rsidRPr="00CD2604">
              <w:rPr>
                <w:sz w:val="16"/>
                <w:szCs w:val="16"/>
              </w:rPr>
              <w:t>Будут определены позднее (WSO)</w:t>
            </w:r>
          </w:p>
          <w:p w:rsidR="00FA0032" w:rsidRPr="00CD2604" w:rsidRDefault="00FA0032" w:rsidP="00C61544">
            <w:pPr>
              <w:rPr>
                <w:rFonts w:cs="Arial"/>
                <w:i/>
                <w:color w:val="002060"/>
                <w:sz w:val="16"/>
                <w:szCs w:val="16"/>
              </w:rPr>
            </w:pPr>
          </w:p>
        </w:tc>
        <w:tc>
          <w:tcPr>
            <w:tcW w:w="871" w:type="pct"/>
            <w:tcBorders>
              <w:top w:val="nil"/>
              <w:left w:val="nil"/>
              <w:bottom w:val="single" w:sz="4" w:space="0" w:color="auto"/>
              <w:right w:val="nil"/>
            </w:tcBorders>
            <w:shd w:val="clear" w:color="auto" w:fill="auto"/>
            <w:tcMar>
              <w:top w:w="110" w:type="dxa"/>
            </w:tcMar>
          </w:tcPr>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5% (</w:t>
            </w:r>
            <w:r w:rsidRPr="00CD2604">
              <w:rPr>
                <w:sz w:val="16"/>
                <w:szCs w:val="16"/>
              </w:rPr>
              <w:t>WBO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Рост на 5% (</w:t>
            </w:r>
            <w:r w:rsidRPr="00CD2604">
              <w:rPr>
                <w:sz w:val="16"/>
                <w:szCs w:val="16"/>
              </w:rPr>
              <w:t>WJO</w:t>
            </w:r>
            <w:r w:rsidRPr="00FA0032">
              <w:rPr>
                <w:sz w:val="16"/>
                <w:szCs w:val="16"/>
                <w:lang w:val="ru-RU"/>
              </w:rPr>
              <w:t>)</w:t>
            </w:r>
            <w:r w:rsidRPr="00CD2604">
              <w:rPr>
                <w:rStyle w:val="FootnoteReference"/>
                <w:szCs w:val="16"/>
              </w:rPr>
              <w:footnoteReference w:id="116"/>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Рост на 5% среди пользователей в регионе АСЕАН (</w:t>
            </w:r>
            <w:r w:rsidRPr="00CD2604">
              <w:rPr>
                <w:sz w:val="16"/>
                <w:szCs w:val="16"/>
              </w:rPr>
              <w:t>WSO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tc>
        <w:tc>
          <w:tcPr>
            <w:tcW w:w="1382" w:type="pct"/>
            <w:tcBorders>
              <w:top w:val="nil"/>
              <w:left w:val="nil"/>
              <w:bottom w:val="single" w:sz="4" w:space="0" w:color="auto"/>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sz w:val="16"/>
                <w:szCs w:val="16"/>
              </w:rPr>
              <w:t>PATENTSCOPE:</w:t>
            </w:r>
          </w:p>
          <w:p w:rsidR="00FA0032" w:rsidRPr="00CD2604" w:rsidRDefault="00FA0032" w:rsidP="00C61544">
            <w:pPr>
              <w:rPr>
                <w:rFonts w:eastAsia="SimSun" w:cs="Arial"/>
                <w:sz w:val="16"/>
                <w:szCs w:val="16"/>
              </w:rPr>
            </w:pPr>
            <w:r w:rsidRPr="00CD2604">
              <w:rPr>
                <w:sz w:val="16"/>
                <w:szCs w:val="16"/>
              </w:rPr>
              <w:t>2014–2015 гг.: 8 533 (+10%)</w:t>
            </w:r>
          </w:p>
          <w:p w:rsidR="00FA0032" w:rsidRPr="00CD2604" w:rsidRDefault="00FA0032" w:rsidP="00BF61DC">
            <w:pPr>
              <w:pStyle w:val="ListParagraph"/>
              <w:numPr>
                <w:ilvl w:val="0"/>
                <w:numId w:val="128"/>
              </w:numPr>
              <w:ind w:left="347" w:hanging="347"/>
              <w:rPr>
                <w:rFonts w:eastAsia="SimSun" w:cs="Arial"/>
                <w:sz w:val="16"/>
                <w:szCs w:val="16"/>
              </w:rPr>
            </w:pPr>
            <w:r w:rsidRPr="00CD2604">
              <w:rPr>
                <w:sz w:val="16"/>
                <w:szCs w:val="16"/>
              </w:rPr>
              <w:t>2014 г.:  4 688 (+22%)</w:t>
            </w:r>
          </w:p>
          <w:p w:rsidR="00FA0032" w:rsidRPr="00CD2604" w:rsidRDefault="00FA0032" w:rsidP="00BF61DC">
            <w:pPr>
              <w:pStyle w:val="ListParagraph"/>
              <w:numPr>
                <w:ilvl w:val="0"/>
                <w:numId w:val="128"/>
              </w:numPr>
              <w:ind w:left="347" w:hanging="347"/>
              <w:rPr>
                <w:rFonts w:eastAsia="SimSun" w:cs="Arial"/>
                <w:sz w:val="16"/>
                <w:szCs w:val="16"/>
              </w:rPr>
            </w:pPr>
            <w:r w:rsidRPr="00CD2604">
              <w:rPr>
                <w:sz w:val="16"/>
                <w:szCs w:val="16"/>
              </w:rPr>
              <w:t>2015 г.:  3 845 (-18%)</w:t>
            </w:r>
          </w:p>
          <w:p w:rsidR="00FA0032" w:rsidRPr="00CD2604" w:rsidRDefault="00FA0032" w:rsidP="00C61544">
            <w:pPr>
              <w:rPr>
                <w:rFonts w:eastAsia="SimSun" w:cs="Arial"/>
                <w:sz w:val="16"/>
                <w:szCs w:val="16"/>
              </w:rPr>
            </w:pPr>
            <w:r w:rsidRPr="00CD2604">
              <w:rPr>
                <w:sz w:val="16"/>
                <w:szCs w:val="16"/>
              </w:rPr>
              <w:t>(WBO)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2014–2015 гг.: 30 743 (+2%)</w:t>
            </w:r>
          </w:p>
          <w:p w:rsidR="00FA0032" w:rsidRPr="00CD2604" w:rsidRDefault="00FA0032" w:rsidP="00BF61DC">
            <w:pPr>
              <w:pStyle w:val="ListParagraph"/>
              <w:numPr>
                <w:ilvl w:val="0"/>
                <w:numId w:val="128"/>
              </w:numPr>
              <w:ind w:left="347" w:hanging="347"/>
              <w:rPr>
                <w:rFonts w:eastAsia="SimSun" w:cs="Arial"/>
                <w:sz w:val="16"/>
                <w:szCs w:val="16"/>
              </w:rPr>
            </w:pPr>
            <w:r w:rsidRPr="00CD2604">
              <w:rPr>
                <w:sz w:val="16"/>
                <w:szCs w:val="16"/>
              </w:rPr>
              <w:t>2014 г.:  14 711(-1%)</w:t>
            </w:r>
          </w:p>
          <w:p w:rsidR="00FA0032" w:rsidRPr="00CD2604" w:rsidRDefault="00FA0032" w:rsidP="00BF61DC">
            <w:pPr>
              <w:pStyle w:val="ListParagraph"/>
              <w:numPr>
                <w:ilvl w:val="0"/>
                <w:numId w:val="128"/>
              </w:numPr>
              <w:ind w:left="347" w:right="-92" w:hanging="347"/>
              <w:rPr>
                <w:rFonts w:eastAsia="SimSun" w:cs="Arial"/>
                <w:sz w:val="16"/>
                <w:szCs w:val="16"/>
              </w:rPr>
            </w:pPr>
            <w:r w:rsidRPr="00CD2604">
              <w:rPr>
                <w:sz w:val="16"/>
                <w:szCs w:val="16"/>
              </w:rPr>
              <w:t>2015 г.:  16 032 (+2%</w:t>
            </w:r>
            <w:r w:rsidRPr="00CD2604">
              <w:rPr>
                <w:rStyle w:val="FootnoteReference"/>
                <w:szCs w:val="16"/>
              </w:rPr>
              <w:footnoteReference w:id="117"/>
            </w:r>
            <w:r w:rsidRPr="00CD2604">
              <w:rPr>
                <w:sz w:val="16"/>
                <w:szCs w:val="16"/>
              </w:rPr>
              <w:t>)</w:t>
            </w:r>
          </w:p>
          <w:p w:rsidR="00FA0032" w:rsidRPr="00CD2604" w:rsidRDefault="00FA0032" w:rsidP="00C61544">
            <w:pPr>
              <w:rPr>
                <w:rFonts w:eastAsia="SimSun" w:cs="Arial"/>
                <w:sz w:val="16"/>
                <w:szCs w:val="16"/>
              </w:rPr>
            </w:pPr>
            <w:r w:rsidRPr="00CD2604">
              <w:rPr>
                <w:sz w:val="16"/>
                <w:szCs w:val="16"/>
              </w:rPr>
              <w:t>(WJO)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2014–2015 гг.: 15 525 (+16%)</w:t>
            </w:r>
          </w:p>
          <w:p w:rsidR="00FA0032" w:rsidRPr="00CD2604" w:rsidRDefault="00FA0032" w:rsidP="00BF61DC">
            <w:pPr>
              <w:pStyle w:val="ListParagraph"/>
              <w:numPr>
                <w:ilvl w:val="0"/>
                <w:numId w:val="128"/>
              </w:numPr>
              <w:ind w:left="347" w:right="-92" w:hanging="347"/>
              <w:rPr>
                <w:rFonts w:eastAsia="SimSun" w:cs="Arial"/>
                <w:sz w:val="16"/>
                <w:szCs w:val="16"/>
              </w:rPr>
            </w:pPr>
            <w:r w:rsidRPr="00CD2604">
              <w:rPr>
                <w:sz w:val="16"/>
                <w:szCs w:val="16"/>
              </w:rPr>
              <w:t>2014 г.:  8 054 (+19%)</w:t>
            </w:r>
          </w:p>
          <w:p w:rsidR="00FA0032" w:rsidRPr="00CD2604" w:rsidRDefault="00FA0032" w:rsidP="00BF61DC">
            <w:pPr>
              <w:pStyle w:val="ListParagraph"/>
              <w:numPr>
                <w:ilvl w:val="0"/>
                <w:numId w:val="128"/>
              </w:numPr>
              <w:ind w:left="347" w:right="-92" w:hanging="347"/>
              <w:rPr>
                <w:rFonts w:eastAsia="SimSun" w:cs="Arial"/>
                <w:sz w:val="16"/>
                <w:szCs w:val="16"/>
              </w:rPr>
            </w:pPr>
            <w:r w:rsidRPr="00CD2604">
              <w:rPr>
                <w:sz w:val="16"/>
                <w:szCs w:val="16"/>
              </w:rPr>
              <w:t>2015 г.:  7 471 (-7,2%)</w:t>
            </w:r>
          </w:p>
          <w:p w:rsidR="00FA0032" w:rsidRPr="00CD2604" w:rsidRDefault="00FA0032" w:rsidP="00C61544">
            <w:pPr>
              <w:rPr>
                <w:rFonts w:eastAsia="SimSun" w:cs="Arial"/>
                <w:sz w:val="16"/>
                <w:szCs w:val="16"/>
              </w:rPr>
            </w:pPr>
            <w:r w:rsidRPr="00CD2604">
              <w:rPr>
                <w:sz w:val="16"/>
                <w:szCs w:val="16"/>
              </w:rPr>
              <w:t>(WSO)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p>
          <w:p w:rsidR="00FA0032" w:rsidRPr="00FA0032" w:rsidRDefault="00FA0032" w:rsidP="00C61544">
            <w:pPr>
              <w:rPr>
                <w:rFonts w:eastAsia="SimSun" w:cs="Arial"/>
                <w:sz w:val="16"/>
                <w:szCs w:val="16"/>
                <w:lang w:val="ru-RU"/>
              </w:rPr>
            </w:pPr>
            <w:r w:rsidRPr="00FA0032">
              <w:rPr>
                <w:sz w:val="16"/>
                <w:szCs w:val="16"/>
                <w:lang w:val="ru-RU"/>
              </w:rPr>
              <w:t>Глобальная база данных по брендам:</w:t>
            </w:r>
          </w:p>
          <w:p w:rsidR="00FA0032" w:rsidRPr="00CD2604" w:rsidRDefault="00FA0032" w:rsidP="00C61544">
            <w:pPr>
              <w:rPr>
                <w:rFonts w:eastAsia="SimSun" w:cs="Arial"/>
                <w:sz w:val="16"/>
                <w:szCs w:val="16"/>
              </w:rPr>
            </w:pPr>
            <w:r w:rsidRPr="00CD2604">
              <w:rPr>
                <w:sz w:val="16"/>
                <w:szCs w:val="16"/>
              </w:rPr>
              <w:t>2014–2015 гг.: 8 533 (+302%)</w:t>
            </w:r>
          </w:p>
          <w:p w:rsidR="00FA0032" w:rsidRPr="00CD2604" w:rsidRDefault="00FA0032" w:rsidP="00BF61DC">
            <w:pPr>
              <w:pStyle w:val="ListParagraph"/>
              <w:numPr>
                <w:ilvl w:val="0"/>
                <w:numId w:val="128"/>
              </w:numPr>
              <w:ind w:left="347" w:hanging="347"/>
              <w:rPr>
                <w:rFonts w:eastAsia="SimSun" w:cs="Arial"/>
                <w:sz w:val="16"/>
                <w:szCs w:val="16"/>
              </w:rPr>
            </w:pPr>
            <w:r w:rsidRPr="00CD2604">
              <w:rPr>
                <w:sz w:val="16"/>
                <w:szCs w:val="16"/>
              </w:rPr>
              <w:t>2014 г.:  532 (+186%)</w:t>
            </w:r>
          </w:p>
          <w:p w:rsidR="00FA0032" w:rsidRPr="00CD2604" w:rsidRDefault="00FA0032" w:rsidP="00BF61DC">
            <w:pPr>
              <w:pStyle w:val="ListParagraph"/>
              <w:numPr>
                <w:ilvl w:val="0"/>
                <w:numId w:val="128"/>
              </w:numPr>
              <w:ind w:left="347" w:hanging="347"/>
              <w:rPr>
                <w:rFonts w:eastAsia="SimSun" w:cs="Arial"/>
                <w:sz w:val="16"/>
                <w:szCs w:val="16"/>
              </w:rPr>
            </w:pPr>
            <w:r w:rsidRPr="00CD2604">
              <w:rPr>
                <w:sz w:val="16"/>
                <w:szCs w:val="16"/>
              </w:rPr>
              <w:t>2015 г.:  516 (+164%)</w:t>
            </w:r>
          </w:p>
          <w:p w:rsidR="00FA0032" w:rsidRPr="00CD2604" w:rsidRDefault="00FA0032" w:rsidP="00C61544">
            <w:pPr>
              <w:rPr>
                <w:rFonts w:eastAsia="SimSun" w:cs="Arial"/>
                <w:sz w:val="16"/>
                <w:szCs w:val="16"/>
              </w:rPr>
            </w:pPr>
            <w:r w:rsidRPr="00CD2604">
              <w:rPr>
                <w:sz w:val="16"/>
                <w:szCs w:val="16"/>
              </w:rPr>
              <w:t>(WBO)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2014–2015 гг.: 30 743 (+789%)</w:t>
            </w:r>
          </w:p>
          <w:p w:rsidR="00FA0032" w:rsidRPr="00CD2604" w:rsidRDefault="00FA0032" w:rsidP="00BF61DC">
            <w:pPr>
              <w:pStyle w:val="ListParagraph"/>
              <w:numPr>
                <w:ilvl w:val="0"/>
                <w:numId w:val="128"/>
              </w:numPr>
              <w:ind w:left="347" w:hanging="347"/>
              <w:rPr>
                <w:rFonts w:eastAsia="SimSun" w:cs="Arial"/>
                <w:sz w:val="16"/>
                <w:szCs w:val="16"/>
              </w:rPr>
            </w:pPr>
            <w:r w:rsidRPr="00CD2604">
              <w:rPr>
                <w:sz w:val="16"/>
                <w:szCs w:val="16"/>
              </w:rPr>
              <w:t>2014 г.:  3 096(+470%)</w:t>
            </w:r>
          </w:p>
          <w:p w:rsidR="00FA0032" w:rsidRPr="00CD2604" w:rsidRDefault="00FA0032" w:rsidP="00BF61DC">
            <w:pPr>
              <w:pStyle w:val="ListParagraph"/>
              <w:numPr>
                <w:ilvl w:val="0"/>
                <w:numId w:val="128"/>
              </w:numPr>
              <w:ind w:left="347" w:right="-92" w:hanging="347"/>
              <w:rPr>
                <w:rFonts w:eastAsia="SimSun" w:cs="Arial"/>
                <w:sz w:val="16"/>
                <w:szCs w:val="16"/>
              </w:rPr>
            </w:pPr>
            <w:r w:rsidRPr="00CD2604">
              <w:rPr>
                <w:sz w:val="16"/>
                <w:szCs w:val="16"/>
              </w:rPr>
              <w:t>2015 г.:  4 173 (+632%)</w:t>
            </w:r>
          </w:p>
          <w:p w:rsidR="00FA0032" w:rsidRPr="00CD2604" w:rsidRDefault="00FA0032" w:rsidP="00C61544">
            <w:pPr>
              <w:rPr>
                <w:rFonts w:eastAsia="SimSun" w:cs="Arial"/>
                <w:sz w:val="16"/>
                <w:szCs w:val="16"/>
              </w:rPr>
            </w:pPr>
            <w:r w:rsidRPr="00CD2604">
              <w:rPr>
                <w:sz w:val="16"/>
                <w:szCs w:val="16"/>
              </w:rPr>
              <w:t>(WJO)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2014–2015 гг.: 15 525 (+1 153%)</w:t>
            </w:r>
          </w:p>
          <w:p w:rsidR="00FA0032" w:rsidRPr="00CD2604" w:rsidRDefault="00FA0032" w:rsidP="00BF61DC">
            <w:pPr>
              <w:pStyle w:val="ListParagraph"/>
              <w:numPr>
                <w:ilvl w:val="0"/>
                <w:numId w:val="128"/>
              </w:numPr>
              <w:ind w:left="347" w:right="-92" w:hanging="347"/>
              <w:rPr>
                <w:rFonts w:eastAsia="SimSun" w:cs="Arial"/>
                <w:sz w:val="16"/>
                <w:szCs w:val="16"/>
              </w:rPr>
            </w:pPr>
            <w:r w:rsidRPr="00CD2604">
              <w:rPr>
                <w:sz w:val="16"/>
                <w:szCs w:val="16"/>
              </w:rPr>
              <w:t>2014 г.:  8 941 (+423%)</w:t>
            </w:r>
          </w:p>
          <w:p w:rsidR="00FA0032" w:rsidRPr="00CD2604" w:rsidRDefault="00FA0032" w:rsidP="00BF61DC">
            <w:pPr>
              <w:pStyle w:val="ListParagraph"/>
              <w:numPr>
                <w:ilvl w:val="0"/>
                <w:numId w:val="128"/>
              </w:numPr>
              <w:ind w:left="347" w:right="-92" w:hanging="347"/>
              <w:rPr>
                <w:rFonts w:eastAsia="SimSun" w:cs="Arial"/>
                <w:sz w:val="16"/>
                <w:szCs w:val="16"/>
              </w:rPr>
            </w:pPr>
            <w:r w:rsidRPr="00CD2604">
              <w:rPr>
                <w:sz w:val="16"/>
                <w:szCs w:val="16"/>
              </w:rPr>
              <w:t>2015 г.:  17 696 (+885%)</w:t>
            </w:r>
          </w:p>
          <w:p w:rsidR="00FA0032" w:rsidRPr="00CD2604" w:rsidRDefault="00FA0032" w:rsidP="00C61544">
            <w:pPr>
              <w:rPr>
                <w:rFonts w:eastAsia="SimSun" w:cs="Arial"/>
                <w:sz w:val="16"/>
                <w:szCs w:val="16"/>
              </w:rPr>
            </w:pPr>
            <w:r w:rsidRPr="00CD2604">
              <w:rPr>
                <w:sz w:val="16"/>
                <w:szCs w:val="16"/>
              </w:rPr>
              <w:t>(WSO)</w:t>
            </w:r>
          </w:p>
        </w:tc>
        <w:tc>
          <w:tcPr>
            <w:tcW w:w="747" w:type="pct"/>
            <w:gridSpan w:val="4"/>
            <w:tcBorders>
              <w:top w:val="nil"/>
              <w:left w:val="nil"/>
              <w:bottom w:val="single" w:sz="4" w:space="0" w:color="auto"/>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right="20"/>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right="20"/>
              <w:rPr>
                <w:rFonts w:eastAsia="SimSun" w:cs="Arial"/>
                <w:b/>
                <w:bCs/>
                <w:color w:val="00B050"/>
                <w:sz w:val="16"/>
                <w:szCs w:val="16"/>
              </w:rPr>
            </w:pPr>
          </w:p>
          <w:p w:rsidR="00FA0032" w:rsidRPr="00CD2604" w:rsidRDefault="00FA0032" w:rsidP="00C61544">
            <w:pPr>
              <w:keepNext/>
              <w:keepLines/>
              <w:ind w:right="20"/>
              <w:rPr>
                <w:rFonts w:eastAsia="SimSun" w:cs="Arial"/>
                <w:b/>
                <w:bCs/>
                <w:color w:val="00B050"/>
                <w:sz w:val="16"/>
                <w:szCs w:val="16"/>
              </w:rPr>
            </w:pPr>
          </w:p>
          <w:p w:rsidR="00FA0032" w:rsidRPr="00CD2604" w:rsidRDefault="00FA0032" w:rsidP="00C61544">
            <w:pPr>
              <w:keepNext/>
              <w:keepLines/>
              <w:ind w:left="71" w:right="20"/>
              <w:jc w:val="center"/>
              <w:rPr>
                <w:b/>
                <w:color w:val="FF0000"/>
                <w:sz w:val="16"/>
                <w:szCs w:val="16"/>
              </w:rPr>
            </w:pPr>
          </w:p>
          <w:p w:rsidR="00FA0032" w:rsidRPr="00CD2604" w:rsidRDefault="00FA0032" w:rsidP="00C61544">
            <w:pPr>
              <w:keepNext/>
              <w:keepLines/>
              <w:ind w:left="71" w:right="20"/>
              <w:jc w:val="center"/>
              <w:rPr>
                <w:rFonts w:eastAsia="SimSun" w:cs="Arial"/>
                <w:b/>
                <w:bCs/>
                <w:color w:val="FF0000"/>
                <w:sz w:val="16"/>
                <w:szCs w:val="16"/>
              </w:rPr>
            </w:pPr>
            <w:r w:rsidRPr="00CD2604">
              <w:rPr>
                <w:b/>
                <w:color w:val="FF0000"/>
                <w:sz w:val="16"/>
                <w:szCs w:val="16"/>
              </w:rPr>
              <w:t>Не выполнено</w:t>
            </w:r>
          </w:p>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left="71"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left="71" w:right="20"/>
              <w:jc w:val="center"/>
              <w:rPr>
                <w:rFonts w:eastAsia="SimSun" w:cs="Arial"/>
                <w:b/>
                <w:bCs/>
                <w:color w:val="00B050"/>
                <w:sz w:val="16"/>
                <w:szCs w:val="16"/>
              </w:rPr>
            </w:pPr>
            <w:r w:rsidRPr="00CD2604">
              <w:rPr>
                <w:b/>
                <w:color w:val="00B050"/>
                <w:sz w:val="16"/>
                <w:szCs w:val="16"/>
              </w:rPr>
              <w:t>Выполнено</w:t>
            </w:r>
          </w:p>
          <w:p w:rsidR="00FA0032" w:rsidRPr="00CD2604" w:rsidRDefault="00FA0032" w:rsidP="00C61544">
            <w:pPr>
              <w:keepNext/>
              <w:keepLines/>
              <w:ind w:right="20"/>
              <w:jc w:val="center"/>
              <w:rPr>
                <w:rFonts w:eastAsia="SimSun" w:cs="Arial"/>
                <w:b/>
                <w:bCs/>
                <w:color w:val="00B050"/>
                <w:sz w:val="16"/>
                <w:szCs w:val="16"/>
              </w:rPr>
            </w:pPr>
          </w:p>
        </w:tc>
      </w:tr>
      <w:tr w:rsidR="00FA0032" w:rsidRPr="005C6ABD" w:rsidTr="00C61544">
        <w:tc>
          <w:tcPr>
            <w:tcW w:w="5000" w:type="pct"/>
            <w:gridSpan w:val="8"/>
            <w:tcBorders>
              <w:top w:val="single" w:sz="4" w:space="0" w:color="auto"/>
              <w:bottom w:val="single" w:sz="4" w:space="0" w:color="auto"/>
            </w:tcBorders>
            <w:shd w:val="clear" w:color="auto" w:fill="C6D9F1" w:themeFill="text2" w:themeFillTint="33"/>
          </w:tcPr>
          <w:p w:rsidR="00FA0032" w:rsidRPr="00FA0032" w:rsidRDefault="00FA0032" w:rsidP="00D340AF">
            <w:pPr>
              <w:keepNext/>
              <w:keepLines/>
              <w:tabs>
                <w:tab w:val="left" w:pos="2160"/>
              </w:tabs>
              <w:spacing w:before="120" w:after="120"/>
              <w:ind w:left="2160" w:hanging="2160"/>
              <w:rPr>
                <w:rFonts w:eastAsia="SimSun" w:cs="Arial"/>
                <w:b/>
                <w:bCs/>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color w:val="000000"/>
                <w:sz w:val="16"/>
                <w:szCs w:val="16"/>
              </w:rPr>
              <w:t>VII</w:t>
            </w:r>
            <w:r w:rsidRPr="00FA0032">
              <w:rPr>
                <w:color w:val="000000"/>
                <w:sz w:val="16"/>
                <w:szCs w:val="16"/>
                <w:lang w:val="ru-RU"/>
              </w:rPr>
              <w:t>.2. Использование платформ и инструментов на базе И</w:t>
            </w:r>
            <w:r w:rsidR="00D340AF">
              <w:rPr>
                <w:color w:val="000000"/>
                <w:sz w:val="16"/>
                <w:szCs w:val="16"/>
                <w:lang w:val="ru-RU"/>
              </w:rPr>
              <w:t xml:space="preserve">С для целей передачи знаний, а </w:t>
            </w:r>
            <w:r w:rsidRPr="00FA0032">
              <w:rPr>
                <w:color w:val="000000"/>
                <w:sz w:val="16"/>
                <w:szCs w:val="16"/>
                <w:lang w:val="ru-RU"/>
              </w:rPr>
              <w:t xml:space="preserve">также адаптации и передачи технологий из развитых стран развивающимся и особенно </w:t>
            </w:r>
            <w:r w:rsidRPr="00FA0032">
              <w:rPr>
                <w:color w:val="000000"/>
                <w:sz w:val="16"/>
                <w:szCs w:val="16"/>
                <w:lang w:val="ru-RU"/>
              </w:rPr>
              <w:tab/>
              <w:t>наименее развитым странам, в интересах решения глобальных задач</w:t>
            </w:r>
          </w:p>
        </w:tc>
      </w:tr>
      <w:tr w:rsidR="00FA0032" w:rsidRPr="00CD2604" w:rsidTr="00C61544">
        <w:tc>
          <w:tcPr>
            <w:tcW w:w="994" w:type="pct"/>
            <w:tcBorders>
              <w:top w:val="single" w:sz="4" w:space="0" w:color="auto"/>
              <w:left w:val="single" w:sz="4" w:space="0" w:color="auto"/>
              <w:bottom w:val="nil"/>
              <w:right w:val="nil"/>
            </w:tcBorders>
            <w:shd w:val="clear" w:color="auto" w:fill="auto"/>
          </w:tcPr>
          <w:p w:rsidR="00FA0032" w:rsidRPr="00CD2604" w:rsidRDefault="00FA0032" w:rsidP="00C61544">
            <w:pPr>
              <w:rPr>
                <w:rFonts w:eastAsia="SimSun" w:cs="Arial"/>
                <w:color w:val="000000"/>
                <w:sz w:val="16"/>
                <w:szCs w:val="16"/>
              </w:rPr>
            </w:pPr>
            <w:r w:rsidRPr="00CD2604">
              <w:rPr>
                <w:b/>
                <w:sz w:val="16"/>
                <w:szCs w:val="16"/>
              </w:rPr>
              <w:t>Показатели результативности</w:t>
            </w:r>
          </w:p>
        </w:tc>
        <w:tc>
          <w:tcPr>
            <w:tcW w:w="1006" w:type="pct"/>
            <w:tcBorders>
              <w:top w:val="single" w:sz="4" w:space="0" w:color="auto"/>
              <w:left w:val="nil"/>
              <w:bottom w:val="nil"/>
              <w:right w:val="nil"/>
            </w:tcBorders>
            <w:shd w:val="clear" w:color="auto" w:fill="auto"/>
          </w:tcPr>
          <w:p w:rsidR="00FA0032" w:rsidRPr="00CD2604" w:rsidRDefault="00FA0032" w:rsidP="00C61544">
            <w:pPr>
              <w:rPr>
                <w:rFonts w:cs="Arial"/>
                <w:i/>
                <w:color w:val="002060"/>
                <w:sz w:val="16"/>
                <w:szCs w:val="16"/>
              </w:rPr>
            </w:pPr>
            <w:r w:rsidRPr="00CD2604">
              <w:rPr>
                <w:b/>
                <w:sz w:val="16"/>
                <w:szCs w:val="16"/>
              </w:rPr>
              <w:t>Базовые показатели</w:t>
            </w:r>
          </w:p>
        </w:tc>
        <w:tc>
          <w:tcPr>
            <w:tcW w:w="871" w:type="pct"/>
            <w:tcBorders>
              <w:top w:val="single" w:sz="4" w:space="0" w:color="auto"/>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b/>
                <w:sz w:val="16"/>
                <w:szCs w:val="16"/>
              </w:rPr>
              <w:t>Цели</w:t>
            </w:r>
          </w:p>
        </w:tc>
        <w:tc>
          <w:tcPr>
            <w:tcW w:w="1477" w:type="pct"/>
            <w:gridSpan w:val="2"/>
            <w:tcBorders>
              <w:top w:val="single" w:sz="4"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p>
        </w:tc>
        <w:tc>
          <w:tcPr>
            <w:tcW w:w="652" w:type="pct"/>
            <w:gridSpan w:val="3"/>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808080"/>
                <w:sz w:val="16"/>
                <w:szCs w:val="16"/>
              </w:rPr>
            </w:pPr>
            <w:r w:rsidRPr="00CD2604">
              <w:rPr>
                <w:b/>
                <w:sz w:val="16"/>
                <w:szCs w:val="16"/>
              </w:rPr>
              <w:t>CC</w:t>
            </w:r>
          </w:p>
        </w:tc>
      </w:tr>
      <w:tr w:rsidR="00FA0032" w:rsidRPr="00CD2604" w:rsidTr="00C61544">
        <w:trPr>
          <w:trHeight w:val="1330"/>
        </w:trPr>
        <w:tc>
          <w:tcPr>
            <w:tcW w:w="994" w:type="pct"/>
            <w:tcBorders>
              <w:top w:val="nil"/>
              <w:left w:val="single" w:sz="4" w:space="0" w:color="auto"/>
              <w:bottom w:val="single" w:sz="4" w:space="0" w:color="auto"/>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 xml:space="preserve">Участие заинтересованных сторон в работе платформ ВОИС, таких как </w:t>
            </w:r>
            <w:r w:rsidRPr="00CD2604">
              <w:rPr>
                <w:color w:val="000000"/>
                <w:sz w:val="16"/>
                <w:szCs w:val="16"/>
              </w:rPr>
              <w:t>WIPO</w:t>
            </w:r>
            <w:r w:rsidRPr="00FA0032">
              <w:rPr>
                <w:color w:val="000000"/>
                <w:sz w:val="16"/>
                <w:szCs w:val="16"/>
                <w:lang w:val="ru-RU"/>
              </w:rPr>
              <w:t xml:space="preserve"> </w:t>
            </w:r>
            <w:r w:rsidRPr="00CD2604">
              <w:rPr>
                <w:color w:val="000000"/>
                <w:sz w:val="16"/>
                <w:szCs w:val="16"/>
              </w:rPr>
              <w:t>GREEN</w:t>
            </w:r>
            <w:r w:rsidRPr="00FA0032">
              <w:rPr>
                <w:color w:val="000000"/>
                <w:sz w:val="16"/>
                <w:szCs w:val="16"/>
                <w:lang w:val="ru-RU"/>
              </w:rPr>
              <w:t xml:space="preserve"> и </w:t>
            </w:r>
            <w:r w:rsidRPr="00CD2604">
              <w:rPr>
                <w:color w:val="000000"/>
                <w:sz w:val="16"/>
                <w:szCs w:val="16"/>
              </w:rPr>
              <w:t>WIPO</w:t>
            </w:r>
            <w:r w:rsidRPr="00FA0032">
              <w:rPr>
                <w:color w:val="000000"/>
                <w:sz w:val="16"/>
                <w:szCs w:val="16"/>
                <w:lang w:val="ru-RU"/>
              </w:rPr>
              <w:t xml:space="preserve"> </w:t>
            </w:r>
            <w:r w:rsidRPr="00CD2604">
              <w:rPr>
                <w:color w:val="000000"/>
                <w:sz w:val="16"/>
                <w:szCs w:val="16"/>
              </w:rPr>
              <w:t>Re</w:t>
            </w:r>
            <w:r w:rsidRPr="00FA0032">
              <w:rPr>
                <w:color w:val="000000"/>
                <w:sz w:val="16"/>
                <w:szCs w:val="16"/>
                <w:lang w:val="ru-RU"/>
              </w:rPr>
              <w:t>:</w:t>
            </w:r>
            <w:r w:rsidRPr="00CD2604">
              <w:rPr>
                <w:color w:val="000000"/>
                <w:sz w:val="16"/>
                <w:szCs w:val="16"/>
              </w:rPr>
              <w:t>Search</w:t>
            </w:r>
          </w:p>
        </w:tc>
        <w:tc>
          <w:tcPr>
            <w:tcW w:w="1006" w:type="pct"/>
            <w:tcBorders>
              <w:top w:val="nil"/>
              <w:left w:val="nil"/>
              <w:bottom w:val="single" w:sz="4" w:space="0" w:color="auto"/>
              <w:right w:val="nil"/>
            </w:tcBorders>
            <w:shd w:val="clear" w:color="auto" w:fill="auto"/>
          </w:tcPr>
          <w:p w:rsidR="00FA0032" w:rsidRPr="00FA0032" w:rsidRDefault="00FA0032" w:rsidP="00C61544">
            <w:pPr>
              <w:rPr>
                <w:rFonts w:cs="Arial"/>
                <w:i/>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p>
          <w:p w:rsidR="00FA0032" w:rsidRPr="00FA0032" w:rsidRDefault="00FA0032" w:rsidP="00C61544">
            <w:pPr>
              <w:rPr>
                <w:rFonts w:cs="Arial"/>
                <w:color w:val="002060"/>
                <w:sz w:val="16"/>
                <w:szCs w:val="16"/>
                <w:lang w:val="ru-RU"/>
              </w:rPr>
            </w:pPr>
            <w:r w:rsidRPr="00FA0032">
              <w:rPr>
                <w:color w:val="002060"/>
                <w:sz w:val="16"/>
                <w:szCs w:val="16"/>
                <w:lang w:val="ru-RU"/>
              </w:rPr>
              <w:t>данные отсутствуют (</w:t>
            </w:r>
            <w:r w:rsidRPr="00CD2604">
              <w:rPr>
                <w:color w:val="002060"/>
                <w:sz w:val="16"/>
                <w:szCs w:val="16"/>
              </w:rPr>
              <w:t>WBO</w:t>
            </w:r>
            <w:r w:rsidRPr="00FA0032">
              <w:rPr>
                <w:color w:val="002060"/>
                <w:sz w:val="16"/>
                <w:szCs w:val="16"/>
                <w:lang w:val="ru-RU"/>
              </w:rPr>
              <w:t>)</w:t>
            </w: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r w:rsidRPr="00FA0032">
              <w:rPr>
                <w:sz w:val="16"/>
                <w:szCs w:val="16"/>
                <w:lang w:val="ru-RU"/>
              </w:rPr>
              <w:t>1 (ЯАИС) (</w:t>
            </w:r>
            <w:r w:rsidRPr="00CD2604">
              <w:rPr>
                <w:sz w:val="16"/>
                <w:szCs w:val="16"/>
              </w:rPr>
              <w:t>WJO</w:t>
            </w:r>
            <w:r w:rsidRPr="00FA0032">
              <w:rPr>
                <w:sz w:val="16"/>
                <w:szCs w:val="16"/>
                <w:lang w:val="ru-RU"/>
              </w:rPr>
              <w:t>)</w:t>
            </w:r>
          </w:p>
          <w:p w:rsidR="00FA0032" w:rsidRPr="00FA0032" w:rsidRDefault="00FA0032" w:rsidP="00C61544">
            <w:pPr>
              <w:rPr>
                <w:rFonts w:cs="Arial"/>
                <w:color w:val="002060"/>
                <w:sz w:val="16"/>
                <w:szCs w:val="16"/>
                <w:lang w:val="ru-RU"/>
              </w:rPr>
            </w:pPr>
          </w:p>
          <w:p w:rsidR="00FA0032" w:rsidRPr="00FA0032" w:rsidRDefault="00FA0032" w:rsidP="00C61544">
            <w:pPr>
              <w:rPr>
                <w:rFonts w:cs="Arial"/>
                <w:color w:val="002060"/>
                <w:sz w:val="16"/>
                <w:szCs w:val="16"/>
                <w:lang w:val="ru-RU"/>
              </w:rPr>
            </w:pPr>
            <w:r w:rsidRPr="00FA0032">
              <w:rPr>
                <w:color w:val="002060"/>
                <w:sz w:val="16"/>
                <w:szCs w:val="16"/>
                <w:lang w:val="ru-RU"/>
              </w:rPr>
              <w:t xml:space="preserve">Базовые показатели по </w:t>
            </w:r>
            <w:r w:rsidRPr="00CD2604">
              <w:rPr>
                <w:color w:val="002060"/>
                <w:sz w:val="16"/>
                <w:szCs w:val="16"/>
              </w:rPr>
              <w:t>WIPO</w:t>
            </w:r>
            <w:r w:rsidRPr="00FA0032">
              <w:rPr>
                <w:color w:val="002060"/>
                <w:sz w:val="16"/>
                <w:szCs w:val="16"/>
                <w:lang w:val="ru-RU"/>
              </w:rPr>
              <w:t xml:space="preserve"> </w:t>
            </w:r>
            <w:r w:rsidRPr="00CD2604">
              <w:rPr>
                <w:color w:val="002060"/>
                <w:sz w:val="16"/>
                <w:szCs w:val="16"/>
              </w:rPr>
              <w:t>GREEN</w:t>
            </w:r>
            <w:r w:rsidRPr="00FA0032">
              <w:rPr>
                <w:color w:val="002060"/>
                <w:sz w:val="16"/>
                <w:szCs w:val="16"/>
                <w:lang w:val="ru-RU"/>
              </w:rPr>
              <w:t xml:space="preserve"> отсутствуют, так как платформа начала функционировать только в ноябре 2013</w:t>
            </w:r>
            <w:r>
              <w:rPr>
                <w:color w:val="002060"/>
                <w:sz w:val="16"/>
                <w:szCs w:val="16"/>
              </w:rPr>
              <w:t> </w:t>
            </w:r>
            <w:r w:rsidRPr="00FA0032">
              <w:rPr>
                <w:color w:val="002060"/>
                <w:sz w:val="16"/>
                <w:szCs w:val="16"/>
                <w:lang w:val="ru-RU"/>
              </w:rPr>
              <w:t xml:space="preserve">г.; 848 посетителей сайта </w:t>
            </w:r>
            <w:r>
              <w:rPr>
                <w:color w:val="002060"/>
                <w:sz w:val="16"/>
                <w:szCs w:val="16"/>
              </w:rPr>
              <w:t>WIPO</w:t>
            </w:r>
            <w:r w:rsidRPr="00FA0032">
              <w:rPr>
                <w:color w:val="002060"/>
                <w:sz w:val="16"/>
                <w:szCs w:val="16"/>
                <w:lang w:val="ru-RU"/>
              </w:rPr>
              <w:t xml:space="preserve"> </w:t>
            </w:r>
            <w:r>
              <w:rPr>
                <w:color w:val="002060"/>
                <w:sz w:val="16"/>
                <w:szCs w:val="16"/>
              </w:rPr>
              <w:t>Re</w:t>
            </w:r>
            <w:r w:rsidRPr="00FA0032">
              <w:rPr>
                <w:color w:val="002060"/>
                <w:sz w:val="16"/>
                <w:szCs w:val="16"/>
                <w:lang w:val="ru-RU"/>
              </w:rPr>
              <w:t>:</w:t>
            </w:r>
            <w:r>
              <w:rPr>
                <w:color w:val="002060"/>
                <w:sz w:val="16"/>
                <w:szCs w:val="16"/>
              </w:rPr>
              <w:t>Search</w:t>
            </w:r>
            <w:r w:rsidRPr="00FA0032">
              <w:rPr>
                <w:color w:val="002060"/>
                <w:sz w:val="16"/>
                <w:szCs w:val="16"/>
                <w:lang w:val="ru-RU"/>
              </w:rPr>
              <w:t xml:space="preserve"> (</w:t>
            </w:r>
            <w:r>
              <w:rPr>
                <w:color w:val="002060"/>
                <w:sz w:val="16"/>
                <w:szCs w:val="16"/>
              </w:rPr>
              <w:t>WSO</w:t>
            </w:r>
            <w:r w:rsidRPr="00FA0032">
              <w:rPr>
                <w:color w:val="002060"/>
                <w:sz w:val="16"/>
                <w:szCs w:val="16"/>
                <w:lang w:val="ru-RU"/>
              </w:rPr>
              <w:t xml:space="preserve">)   </w:t>
            </w:r>
          </w:p>
          <w:p w:rsidR="00FA0032" w:rsidRPr="00FA0032" w:rsidRDefault="00FA0032" w:rsidP="00C61544">
            <w:pPr>
              <w:rPr>
                <w:rFonts w:cs="Arial"/>
                <w:i/>
                <w:sz w:val="16"/>
                <w:szCs w:val="16"/>
                <w:lang w:val="ru-RU"/>
              </w:rPr>
            </w:pPr>
          </w:p>
          <w:p w:rsidR="00FA0032" w:rsidRPr="00FA0032" w:rsidRDefault="00FA0032" w:rsidP="00C61544">
            <w:pPr>
              <w:rPr>
                <w:rFonts w:cs="Arial"/>
                <w:i/>
                <w:sz w:val="16"/>
                <w:szCs w:val="16"/>
                <w:lang w:val="ru-RU"/>
              </w:rPr>
            </w:pPr>
            <w:r w:rsidRPr="00FA0032">
              <w:rPr>
                <w:i/>
                <w:sz w:val="16"/>
                <w:szCs w:val="16"/>
                <w:lang w:val="ru-RU"/>
              </w:rPr>
              <w:t xml:space="preserve">Исходные базовые показатели ПиБ на 2014–2015 гг.: </w:t>
            </w:r>
          </w:p>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WBO</w:t>
            </w:r>
            <w:r w:rsidRPr="00FA0032">
              <w:rPr>
                <w:sz w:val="16"/>
                <w:szCs w:val="16"/>
                <w:lang w:val="ru-RU"/>
              </w:rPr>
              <w:t>)</w:t>
            </w:r>
          </w:p>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WJO</w:t>
            </w:r>
            <w:r w:rsidRPr="00FA0032">
              <w:rPr>
                <w:sz w:val="16"/>
                <w:szCs w:val="16"/>
                <w:lang w:val="ru-RU"/>
              </w:rPr>
              <w:t>)</w:t>
            </w:r>
          </w:p>
          <w:p w:rsidR="00FA0032" w:rsidRPr="00CD2604" w:rsidRDefault="00FA0032" w:rsidP="00C61544">
            <w:pPr>
              <w:rPr>
                <w:rFonts w:cs="Arial"/>
                <w:sz w:val="16"/>
                <w:szCs w:val="16"/>
              </w:rPr>
            </w:pPr>
            <w:r w:rsidRPr="00CD2604">
              <w:rPr>
                <w:sz w:val="16"/>
                <w:szCs w:val="16"/>
              </w:rPr>
              <w:t>Будут определены позднее (WSO)</w:t>
            </w:r>
          </w:p>
          <w:p w:rsidR="00FA0032" w:rsidRPr="00CD2604" w:rsidRDefault="00FA0032" w:rsidP="00C61544">
            <w:pPr>
              <w:rPr>
                <w:rFonts w:cs="Arial"/>
                <w:sz w:val="16"/>
                <w:szCs w:val="16"/>
              </w:rPr>
            </w:pPr>
          </w:p>
        </w:tc>
        <w:tc>
          <w:tcPr>
            <w:tcW w:w="871" w:type="pct"/>
            <w:tcBorders>
              <w:top w:val="nil"/>
              <w:left w:val="nil"/>
              <w:bottom w:val="single" w:sz="4" w:space="0" w:color="auto"/>
              <w:right w:val="nil"/>
            </w:tcBorders>
            <w:shd w:val="clear" w:color="auto" w:fill="auto"/>
            <w:tcMar>
              <w:top w:w="110" w:type="dxa"/>
            </w:tcMar>
          </w:tcPr>
          <w:p w:rsidR="00FA0032" w:rsidRPr="00FA0032" w:rsidRDefault="00FA0032" w:rsidP="00C61544">
            <w:pPr>
              <w:rPr>
                <w:rFonts w:eastAsia="SimSun" w:cs="Arial"/>
                <w:sz w:val="16"/>
                <w:szCs w:val="16"/>
                <w:lang w:val="ru-RU"/>
              </w:rPr>
            </w:pPr>
            <w:r w:rsidRPr="00FA0032">
              <w:rPr>
                <w:sz w:val="16"/>
                <w:szCs w:val="16"/>
                <w:lang w:val="ru-RU"/>
              </w:rPr>
              <w:t xml:space="preserve">30 технологий, разработанных бразильскими учреждениями и фирмами, внесены в базу данных </w:t>
            </w:r>
            <w:r w:rsidRPr="00CD2604">
              <w:rPr>
                <w:sz w:val="16"/>
                <w:szCs w:val="16"/>
              </w:rPr>
              <w:t>WIPO</w:t>
            </w:r>
            <w:r w:rsidRPr="00FA0032">
              <w:rPr>
                <w:sz w:val="16"/>
                <w:szCs w:val="16"/>
                <w:lang w:val="ru-RU"/>
              </w:rPr>
              <w:t xml:space="preserve"> </w:t>
            </w:r>
            <w:r w:rsidRPr="00CD2604">
              <w:rPr>
                <w:sz w:val="16"/>
                <w:szCs w:val="16"/>
              </w:rPr>
              <w:t>GREEN</w:t>
            </w:r>
            <w:r w:rsidRPr="00FA0032">
              <w:rPr>
                <w:sz w:val="16"/>
                <w:szCs w:val="16"/>
                <w:lang w:val="ru-RU"/>
              </w:rPr>
              <w:t xml:space="preserve"> (</w:t>
            </w:r>
            <w:r w:rsidRPr="00CD2604">
              <w:rPr>
                <w:sz w:val="16"/>
                <w:szCs w:val="16"/>
              </w:rPr>
              <w:t>WBO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 xml:space="preserve">Внесение новых технологий в базу данных </w:t>
            </w:r>
            <w:r>
              <w:rPr>
                <w:sz w:val="16"/>
                <w:szCs w:val="16"/>
              </w:rPr>
              <w:t>WIPO</w:t>
            </w:r>
            <w:r w:rsidRPr="00FA0032">
              <w:rPr>
                <w:sz w:val="16"/>
                <w:szCs w:val="16"/>
                <w:lang w:val="ru-RU"/>
              </w:rPr>
              <w:t xml:space="preserve"> </w:t>
            </w:r>
            <w:r>
              <w:rPr>
                <w:sz w:val="16"/>
                <w:szCs w:val="16"/>
              </w:rPr>
              <w:t>GREEN</w:t>
            </w:r>
            <w:r w:rsidRPr="00FA0032">
              <w:rPr>
                <w:sz w:val="16"/>
                <w:szCs w:val="16"/>
                <w:lang w:val="ru-RU"/>
              </w:rPr>
              <w:t xml:space="preserve"> или включение новых участников в </w:t>
            </w:r>
            <w:r w:rsidRPr="00CD2604">
              <w:rPr>
                <w:sz w:val="16"/>
                <w:szCs w:val="16"/>
              </w:rPr>
              <w:t>WIPO</w:t>
            </w:r>
            <w:r w:rsidRPr="00FA0032">
              <w:rPr>
                <w:sz w:val="16"/>
                <w:szCs w:val="16"/>
                <w:lang w:val="ru-RU"/>
              </w:rPr>
              <w:t xml:space="preserve"> </w:t>
            </w:r>
            <w:r w:rsidRPr="00CD2604">
              <w:rPr>
                <w:sz w:val="16"/>
                <w:szCs w:val="16"/>
              </w:rPr>
              <w:t>Re</w:t>
            </w:r>
            <w:r w:rsidRPr="00FA0032">
              <w:rPr>
                <w:sz w:val="16"/>
                <w:szCs w:val="16"/>
                <w:lang w:val="ru-RU"/>
              </w:rPr>
              <w:t>:</w:t>
            </w:r>
            <w:r w:rsidRPr="00CD2604">
              <w:rPr>
                <w:sz w:val="16"/>
                <w:szCs w:val="16"/>
              </w:rPr>
              <w:t>Search</w:t>
            </w:r>
            <w:r w:rsidRPr="00FA0032">
              <w:rPr>
                <w:sz w:val="16"/>
                <w:szCs w:val="16"/>
                <w:lang w:val="ru-RU"/>
              </w:rPr>
              <w:t xml:space="preserve"> (</w:t>
            </w:r>
            <w:r w:rsidRPr="00CD2604">
              <w:rPr>
                <w:sz w:val="16"/>
                <w:szCs w:val="16"/>
              </w:rPr>
              <w:t>WJO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Рост на 5% числа пользователей в регионе АСЕАН (</w:t>
            </w:r>
            <w:r w:rsidRPr="00CD2604">
              <w:rPr>
                <w:sz w:val="16"/>
                <w:szCs w:val="16"/>
              </w:rPr>
              <w:t>WSO</w:t>
            </w:r>
            <w:r w:rsidRPr="00FA0032">
              <w:rPr>
                <w:sz w:val="16"/>
                <w:szCs w:val="16"/>
                <w:lang w:val="ru-RU"/>
              </w:rPr>
              <w:t>)</w:t>
            </w:r>
          </w:p>
          <w:p w:rsidR="00FA0032" w:rsidRPr="00FA0032" w:rsidRDefault="00FA0032" w:rsidP="00C61544">
            <w:pPr>
              <w:rPr>
                <w:rFonts w:eastAsia="SimSun" w:cs="Arial"/>
                <w:sz w:val="16"/>
                <w:szCs w:val="16"/>
                <w:lang w:val="ru-RU"/>
              </w:rPr>
            </w:pPr>
          </w:p>
        </w:tc>
        <w:tc>
          <w:tcPr>
            <w:tcW w:w="1477" w:type="pct"/>
            <w:gridSpan w:val="2"/>
            <w:tcBorders>
              <w:top w:val="nil"/>
              <w:left w:val="nil"/>
              <w:bottom w:val="single" w:sz="4" w:space="0" w:color="auto"/>
              <w:right w:val="nil"/>
            </w:tcBorders>
            <w:shd w:val="clear" w:color="auto" w:fill="FFFFFF"/>
            <w:tcMar>
              <w:top w:w="110" w:type="dxa"/>
            </w:tcMar>
          </w:tcPr>
          <w:p w:rsidR="00FA0032" w:rsidRPr="00FA0032" w:rsidRDefault="00FA0032" w:rsidP="00C61544">
            <w:pPr>
              <w:rPr>
                <w:rFonts w:eastAsia="SimSun" w:cs="Arial"/>
                <w:sz w:val="16"/>
                <w:szCs w:val="16"/>
                <w:lang w:val="ru-RU"/>
              </w:rPr>
            </w:pPr>
            <w:r w:rsidRPr="00FA0032">
              <w:rPr>
                <w:sz w:val="16"/>
                <w:szCs w:val="16"/>
                <w:lang w:val="ru-RU"/>
              </w:rPr>
              <w:t>7</w:t>
            </w:r>
            <w:r w:rsidRPr="00CD2604">
              <w:rPr>
                <w:sz w:val="16"/>
                <w:szCs w:val="16"/>
              </w:rPr>
              <w:t> </w:t>
            </w:r>
            <w:r w:rsidRPr="00FA0032">
              <w:rPr>
                <w:sz w:val="16"/>
                <w:szCs w:val="16"/>
                <w:lang w:val="ru-RU"/>
              </w:rPr>
              <w:t xml:space="preserve">технологий, разработанных бразильскими учреждениями/фирмами, были внесены в </w:t>
            </w:r>
            <w:r w:rsidRPr="00CD2604">
              <w:rPr>
                <w:sz w:val="16"/>
                <w:szCs w:val="16"/>
              </w:rPr>
              <w:t>WIPO</w:t>
            </w:r>
            <w:r w:rsidRPr="00FA0032">
              <w:rPr>
                <w:sz w:val="16"/>
                <w:szCs w:val="16"/>
                <w:lang w:val="ru-RU"/>
              </w:rPr>
              <w:t xml:space="preserve"> </w:t>
            </w:r>
            <w:r w:rsidRPr="00CD2604">
              <w:rPr>
                <w:sz w:val="16"/>
                <w:szCs w:val="16"/>
              </w:rPr>
              <w:t>GREEN</w:t>
            </w:r>
            <w:r w:rsidRPr="00FA0032">
              <w:rPr>
                <w:sz w:val="16"/>
                <w:szCs w:val="16"/>
                <w:lang w:val="ru-RU"/>
              </w:rPr>
              <w:t xml:space="preserve"> в 2015</w:t>
            </w:r>
            <w:r w:rsidRPr="00CD2604">
              <w:rPr>
                <w:sz w:val="16"/>
                <w:szCs w:val="16"/>
              </w:rPr>
              <w:t> </w:t>
            </w:r>
            <w:r w:rsidRPr="00FA0032">
              <w:rPr>
                <w:sz w:val="16"/>
                <w:szCs w:val="16"/>
                <w:lang w:val="ru-RU"/>
              </w:rPr>
              <w:t>г. (</w:t>
            </w:r>
            <w:r w:rsidRPr="00CD2604">
              <w:rPr>
                <w:sz w:val="16"/>
                <w:szCs w:val="16"/>
              </w:rPr>
              <w:t>WBO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CD2604">
              <w:rPr>
                <w:sz w:val="16"/>
                <w:szCs w:val="16"/>
              </w:rPr>
              <w:t>WIPO</w:t>
            </w:r>
            <w:r w:rsidRPr="00FA0032">
              <w:rPr>
                <w:sz w:val="16"/>
                <w:szCs w:val="16"/>
                <w:lang w:val="ru-RU"/>
              </w:rPr>
              <w:t xml:space="preserve"> </w:t>
            </w:r>
            <w:r w:rsidRPr="00CD2604">
              <w:rPr>
                <w:sz w:val="16"/>
                <w:szCs w:val="16"/>
              </w:rPr>
              <w:t>GREEN</w:t>
            </w:r>
            <w:r w:rsidRPr="00FA0032">
              <w:rPr>
                <w:sz w:val="16"/>
                <w:szCs w:val="16"/>
                <w:lang w:val="ru-RU"/>
              </w:rPr>
              <w:t>: еще 22 технологии в 2014–2015</w:t>
            </w:r>
            <w:r w:rsidRPr="00CD2604">
              <w:rPr>
                <w:sz w:val="16"/>
                <w:szCs w:val="16"/>
              </w:rPr>
              <w:t> </w:t>
            </w:r>
            <w:r w:rsidRPr="00FA0032">
              <w:rPr>
                <w:sz w:val="16"/>
                <w:szCs w:val="16"/>
                <w:lang w:val="ru-RU"/>
              </w:rPr>
              <w:t xml:space="preserve">гг. (всего 50); еще 4 партнера (Институт Васэда, Группа Э-Кансай, </w:t>
            </w:r>
            <w:r w:rsidRPr="00CD2604">
              <w:rPr>
                <w:sz w:val="16"/>
                <w:szCs w:val="16"/>
              </w:rPr>
              <w:t>APICI</w:t>
            </w:r>
            <w:r w:rsidRPr="00FA0032">
              <w:rPr>
                <w:sz w:val="16"/>
                <w:szCs w:val="16"/>
                <w:lang w:val="ru-RU"/>
              </w:rPr>
              <w:t>-</w:t>
            </w:r>
            <w:r w:rsidRPr="00CD2604">
              <w:rPr>
                <w:sz w:val="16"/>
                <w:szCs w:val="16"/>
              </w:rPr>
              <w:t>JIPII</w:t>
            </w:r>
            <w:r w:rsidRPr="00FA0032">
              <w:rPr>
                <w:sz w:val="16"/>
                <w:szCs w:val="16"/>
                <w:lang w:val="ru-RU"/>
              </w:rPr>
              <w:t xml:space="preserve"> и компания </w:t>
            </w:r>
            <w:r w:rsidRPr="00CD2604">
              <w:rPr>
                <w:sz w:val="16"/>
                <w:szCs w:val="16"/>
              </w:rPr>
              <w:t>Teijin</w:t>
            </w:r>
            <w:r w:rsidRPr="00FA0032">
              <w:rPr>
                <w:sz w:val="16"/>
                <w:szCs w:val="16"/>
                <w:lang w:val="ru-RU"/>
              </w:rPr>
              <w:t>) в 2014–2015</w:t>
            </w:r>
            <w:r w:rsidRPr="00CD2604">
              <w:rPr>
                <w:sz w:val="16"/>
                <w:szCs w:val="16"/>
              </w:rPr>
              <w:t> </w:t>
            </w:r>
            <w:r w:rsidRPr="00FA0032">
              <w:rPr>
                <w:sz w:val="16"/>
                <w:szCs w:val="16"/>
                <w:lang w:val="ru-RU"/>
              </w:rPr>
              <w:t>гг. (</w:t>
            </w:r>
            <w:r w:rsidRPr="00CD2604">
              <w:rPr>
                <w:sz w:val="16"/>
                <w:szCs w:val="16"/>
              </w:rPr>
              <w:t>WJO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CD2604">
              <w:rPr>
                <w:sz w:val="16"/>
                <w:szCs w:val="16"/>
              </w:rPr>
              <w:t>WIPO</w:t>
            </w:r>
            <w:r w:rsidRPr="00FA0032">
              <w:rPr>
                <w:sz w:val="16"/>
                <w:szCs w:val="16"/>
                <w:lang w:val="ru-RU"/>
              </w:rPr>
              <w:t xml:space="preserve"> </w:t>
            </w:r>
            <w:r w:rsidRPr="00CD2604">
              <w:rPr>
                <w:sz w:val="16"/>
                <w:szCs w:val="16"/>
              </w:rPr>
              <w:t>Re</w:t>
            </w:r>
            <w:r w:rsidRPr="00FA0032">
              <w:rPr>
                <w:sz w:val="16"/>
                <w:szCs w:val="16"/>
                <w:lang w:val="ru-RU"/>
              </w:rPr>
              <w:t>:</w:t>
            </w:r>
            <w:r w:rsidRPr="00CD2604">
              <w:rPr>
                <w:sz w:val="16"/>
                <w:szCs w:val="16"/>
              </w:rPr>
              <w:t>Search</w:t>
            </w:r>
            <w:r w:rsidRPr="00FA0032">
              <w:rPr>
                <w:sz w:val="16"/>
                <w:szCs w:val="16"/>
                <w:lang w:val="ru-RU"/>
              </w:rPr>
              <w:t xml:space="preserve">:  4 компании загрузили технологии при содействии </w:t>
            </w:r>
            <w:r w:rsidRPr="00CD2604">
              <w:rPr>
                <w:sz w:val="16"/>
                <w:szCs w:val="16"/>
              </w:rPr>
              <w:t>WJO</w:t>
            </w:r>
            <w:r w:rsidRPr="00FA0032">
              <w:rPr>
                <w:sz w:val="16"/>
                <w:szCs w:val="16"/>
                <w:lang w:val="ru-RU"/>
              </w:rPr>
              <w:t xml:space="preserve">; 1 новый партнер (компания </w:t>
            </w:r>
            <w:r w:rsidRPr="00CD2604">
              <w:rPr>
                <w:sz w:val="16"/>
                <w:szCs w:val="16"/>
              </w:rPr>
              <w:t>Takeda</w:t>
            </w:r>
            <w:r w:rsidRPr="00FA0032">
              <w:rPr>
                <w:sz w:val="16"/>
                <w:szCs w:val="16"/>
                <w:lang w:val="ru-RU"/>
              </w:rPr>
              <w:t xml:space="preserve"> </w:t>
            </w:r>
            <w:r w:rsidRPr="00CD2604">
              <w:rPr>
                <w:sz w:val="16"/>
                <w:szCs w:val="16"/>
              </w:rPr>
              <w:t>Pharmaceutical</w:t>
            </w:r>
            <w:r w:rsidRPr="00FA0032">
              <w:rPr>
                <w:sz w:val="16"/>
                <w:szCs w:val="16"/>
                <w:lang w:val="ru-RU"/>
              </w:rPr>
              <w:t xml:space="preserve">) </w:t>
            </w:r>
          </w:p>
          <w:p w:rsidR="00FA0032" w:rsidRPr="00FA0032" w:rsidRDefault="00FA0032" w:rsidP="00C61544">
            <w:pPr>
              <w:rPr>
                <w:rFonts w:eastAsia="SimSun" w:cs="Arial"/>
                <w:sz w:val="16"/>
                <w:szCs w:val="16"/>
                <w:lang w:val="ru-RU"/>
              </w:rPr>
            </w:pPr>
            <w:r w:rsidRPr="00FA0032">
              <w:rPr>
                <w:sz w:val="16"/>
                <w:szCs w:val="16"/>
                <w:lang w:val="ru-RU"/>
              </w:rPr>
              <w:t>(</w:t>
            </w:r>
            <w:r w:rsidRPr="00CD2604">
              <w:rPr>
                <w:sz w:val="16"/>
                <w:szCs w:val="16"/>
              </w:rPr>
              <w:t>WJO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CD2604" w:rsidRDefault="00FA0032" w:rsidP="00C61544">
            <w:pPr>
              <w:rPr>
                <w:rFonts w:eastAsia="SimSun" w:cs="Arial"/>
                <w:sz w:val="16"/>
                <w:szCs w:val="16"/>
              </w:rPr>
            </w:pPr>
            <w:r w:rsidRPr="00CD2604">
              <w:rPr>
                <w:sz w:val="16"/>
                <w:szCs w:val="16"/>
              </w:rPr>
              <w:t>WIPO</w:t>
            </w:r>
            <w:r w:rsidRPr="00FA0032">
              <w:rPr>
                <w:sz w:val="16"/>
                <w:szCs w:val="16"/>
                <w:lang w:val="ru-RU"/>
              </w:rPr>
              <w:t xml:space="preserve"> </w:t>
            </w:r>
            <w:r w:rsidRPr="00CD2604">
              <w:rPr>
                <w:sz w:val="16"/>
                <w:szCs w:val="16"/>
              </w:rPr>
              <w:t>GREEN</w:t>
            </w:r>
            <w:r w:rsidRPr="00FA0032">
              <w:rPr>
                <w:sz w:val="16"/>
                <w:szCs w:val="16"/>
                <w:lang w:val="ru-RU"/>
              </w:rPr>
              <w:t>: 21</w:t>
            </w:r>
            <w:r w:rsidRPr="00957C0D">
              <w:rPr>
                <w:sz w:val="16"/>
                <w:szCs w:val="16"/>
              </w:rPr>
              <w:t> </w:t>
            </w:r>
            <w:r w:rsidRPr="00FA0032">
              <w:rPr>
                <w:sz w:val="16"/>
                <w:szCs w:val="16"/>
                <w:lang w:val="ru-RU"/>
              </w:rPr>
              <w:t>пользователь в 2014–2015</w:t>
            </w:r>
            <w:r w:rsidRPr="00CD2604">
              <w:rPr>
                <w:sz w:val="16"/>
                <w:szCs w:val="16"/>
              </w:rPr>
              <w:t> </w:t>
            </w:r>
            <w:r w:rsidRPr="00FA0032">
              <w:rPr>
                <w:sz w:val="16"/>
                <w:szCs w:val="16"/>
                <w:lang w:val="ru-RU"/>
              </w:rPr>
              <w:t xml:space="preserve">гг. </w:t>
            </w:r>
            <w:r w:rsidRPr="00CD2604">
              <w:rPr>
                <w:sz w:val="16"/>
                <w:szCs w:val="16"/>
              </w:rPr>
              <w:t>(WSO)</w:t>
            </w:r>
          </w:p>
          <w:p w:rsidR="00FA0032" w:rsidRPr="00CD2604" w:rsidRDefault="00FA0032" w:rsidP="00C61544">
            <w:pPr>
              <w:rPr>
                <w:rFonts w:eastAsia="SimSun" w:cs="Arial"/>
                <w:sz w:val="16"/>
                <w:szCs w:val="16"/>
              </w:rPr>
            </w:pPr>
          </w:p>
          <w:p w:rsidR="00FA0032" w:rsidRPr="00CD2604" w:rsidRDefault="00FA0032" w:rsidP="00C61544">
            <w:pPr>
              <w:rPr>
                <w:rFonts w:eastAsia="SimSun" w:cs="Arial"/>
                <w:sz w:val="16"/>
                <w:szCs w:val="16"/>
              </w:rPr>
            </w:pPr>
            <w:r w:rsidRPr="00CD2604">
              <w:rPr>
                <w:sz w:val="16"/>
                <w:szCs w:val="16"/>
              </w:rPr>
              <w:t>WIPO Re:Search:</w:t>
            </w:r>
          </w:p>
          <w:p w:rsidR="00FA0032" w:rsidRPr="00FA0032" w:rsidRDefault="00FA0032" w:rsidP="00BF61DC">
            <w:pPr>
              <w:pStyle w:val="ListParagraph"/>
              <w:numPr>
                <w:ilvl w:val="0"/>
                <w:numId w:val="129"/>
              </w:numPr>
              <w:rPr>
                <w:rFonts w:eastAsia="SimSun" w:cs="Arial"/>
                <w:sz w:val="16"/>
                <w:szCs w:val="16"/>
                <w:lang w:val="ru-RU"/>
              </w:rPr>
            </w:pPr>
            <w:r w:rsidRPr="00FA0032">
              <w:rPr>
                <w:sz w:val="16"/>
                <w:szCs w:val="16"/>
                <w:lang w:val="ru-RU"/>
              </w:rPr>
              <w:t xml:space="preserve">число посетителей </w:t>
            </w:r>
            <w:r w:rsidRPr="00CD2604">
              <w:rPr>
                <w:sz w:val="16"/>
                <w:szCs w:val="16"/>
              </w:rPr>
              <w:t>WIPO</w:t>
            </w:r>
            <w:r w:rsidRPr="00FA0032">
              <w:rPr>
                <w:sz w:val="16"/>
                <w:szCs w:val="16"/>
                <w:lang w:val="ru-RU"/>
              </w:rPr>
              <w:t xml:space="preserve"> </w:t>
            </w:r>
            <w:r w:rsidRPr="00CD2604">
              <w:rPr>
                <w:sz w:val="16"/>
                <w:szCs w:val="16"/>
              </w:rPr>
              <w:t>Re</w:t>
            </w:r>
            <w:r w:rsidRPr="00FA0032">
              <w:rPr>
                <w:sz w:val="16"/>
                <w:szCs w:val="16"/>
                <w:lang w:val="ru-RU"/>
              </w:rPr>
              <w:t>:</w:t>
            </w:r>
            <w:r w:rsidRPr="00CD2604">
              <w:rPr>
                <w:sz w:val="16"/>
                <w:szCs w:val="16"/>
              </w:rPr>
              <w:t>Search</w:t>
            </w:r>
            <w:r w:rsidRPr="00FA0032">
              <w:rPr>
                <w:sz w:val="16"/>
                <w:szCs w:val="16"/>
                <w:lang w:val="ru-RU"/>
              </w:rPr>
              <w:t xml:space="preserve"> в странах АСЕАН в 2014</w:t>
            </w:r>
            <w:r w:rsidRPr="00CD2604">
              <w:rPr>
                <w:sz w:val="16"/>
                <w:szCs w:val="16"/>
              </w:rPr>
              <w:t> </w:t>
            </w:r>
            <w:r w:rsidRPr="00FA0032">
              <w:rPr>
                <w:sz w:val="16"/>
                <w:szCs w:val="16"/>
                <w:lang w:val="ru-RU"/>
              </w:rPr>
              <w:t xml:space="preserve">г. достигло 959 (рост на 13%) </w:t>
            </w:r>
          </w:p>
          <w:p w:rsidR="00FA0032" w:rsidRPr="00FA0032" w:rsidRDefault="00FA0032" w:rsidP="00BF61DC">
            <w:pPr>
              <w:pStyle w:val="ListParagraph"/>
              <w:numPr>
                <w:ilvl w:val="0"/>
                <w:numId w:val="129"/>
              </w:numPr>
              <w:rPr>
                <w:rFonts w:eastAsia="SimSun" w:cs="Arial"/>
                <w:sz w:val="16"/>
                <w:szCs w:val="16"/>
                <w:lang w:val="ru-RU"/>
              </w:rPr>
            </w:pPr>
            <w:r w:rsidRPr="00FA0032">
              <w:rPr>
                <w:sz w:val="16"/>
                <w:szCs w:val="16"/>
                <w:lang w:val="ru-RU"/>
              </w:rPr>
              <w:t>417 посетителей из стран АСЕАН в 2015</w:t>
            </w:r>
            <w:r w:rsidRPr="00CD2604">
              <w:rPr>
                <w:sz w:val="16"/>
                <w:szCs w:val="16"/>
              </w:rPr>
              <w:t> </w:t>
            </w:r>
            <w:r w:rsidRPr="00FA0032">
              <w:rPr>
                <w:sz w:val="16"/>
                <w:szCs w:val="16"/>
                <w:lang w:val="ru-RU"/>
              </w:rPr>
              <w:t xml:space="preserve">г. (снижение на </w:t>
            </w:r>
            <w:r w:rsidRPr="00FA0032">
              <w:rPr>
                <w:sz w:val="16"/>
                <w:szCs w:val="16"/>
                <w:lang w:val="ru-RU"/>
              </w:rPr>
              <w:noBreakHyphen/>
              <w:t>57%)</w:t>
            </w:r>
          </w:p>
          <w:p w:rsidR="00FA0032" w:rsidRPr="00FA0032" w:rsidRDefault="00FA0032" w:rsidP="00C61544">
            <w:pPr>
              <w:rPr>
                <w:rFonts w:eastAsia="SimSun" w:cs="Arial"/>
                <w:sz w:val="16"/>
                <w:szCs w:val="16"/>
                <w:lang w:val="ru-RU"/>
              </w:rPr>
            </w:pPr>
            <w:r w:rsidRPr="00FA0032">
              <w:rPr>
                <w:sz w:val="16"/>
                <w:szCs w:val="16"/>
                <w:lang w:val="ru-RU"/>
              </w:rPr>
              <w:t>Кроме того, 1 новый партнер из Филиппин (Исследовательский институт тропической медицины)</w:t>
            </w:r>
          </w:p>
          <w:p w:rsidR="00FA0032" w:rsidRPr="00D340AF" w:rsidRDefault="00FA0032" w:rsidP="00C61544">
            <w:pPr>
              <w:rPr>
                <w:sz w:val="16"/>
                <w:szCs w:val="16"/>
                <w:lang w:val="ru-RU"/>
              </w:rPr>
            </w:pPr>
            <w:r w:rsidRPr="00CD2604">
              <w:rPr>
                <w:sz w:val="16"/>
                <w:szCs w:val="16"/>
              </w:rPr>
              <w:t xml:space="preserve">(WSO) </w:t>
            </w:r>
          </w:p>
        </w:tc>
        <w:tc>
          <w:tcPr>
            <w:tcW w:w="652" w:type="pct"/>
            <w:gridSpan w:val="3"/>
            <w:tcBorders>
              <w:top w:val="nil"/>
              <w:left w:val="nil"/>
              <w:bottom w:val="single" w:sz="4" w:space="0" w:color="auto"/>
              <w:right w:val="single" w:sz="4" w:space="0" w:color="auto"/>
            </w:tcBorders>
            <w:shd w:val="clear" w:color="auto" w:fill="auto"/>
            <w:tcMar>
              <w:top w:w="110" w:type="dxa"/>
            </w:tcMar>
          </w:tcPr>
          <w:p w:rsidR="00FA0032" w:rsidRPr="00FA0032" w:rsidRDefault="00FA0032" w:rsidP="00C61544">
            <w:pPr>
              <w:keepNext/>
              <w:keepLines/>
              <w:ind w:right="20"/>
              <w:jc w:val="center"/>
              <w:rPr>
                <w:rFonts w:eastAsia="SimSun" w:cs="Arial"/>
                <w:b/>
                <w:bCs/>
                <w:color w:val="00B050"/>
                <w:sz w:val="16"/>
                <w:szCs w:val="16"/>
                <w:lang w:val="ru-RU"/>
              </w:rPr>
            </w:pPr>
            <w:r w:rsidRPr="00FA0032">
              <w:rPr>
                <w:b/>
                <w:color w:val="FF0000"/>
                <w:sz w:val="16"/>
                <w:szCs w:val="16"/>
                <w:lang w:val="ru-RU"/>
              </w:rPr>
              <w:t>Не выполнено</w:t>
            </w:r>
          </w:p>
          <w:p w:rsidR="00FA0032" w:rsidRPr="00FA0032" w:rsidRDefault="00FA0032" w:rsidP="00C61544">
            <w:pPr>
              <w:keepNext/>
              <w:keepLines/>
              <w:ind w:right="20"/>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r w:rsidRPr="00FA0032">
              <w:rPr>
                <w:b/>
                <w:color w:val="00B050"/>
                <w:sz w:val="16"/>
                <w:szCs w:val="16"/>
                <w:lang w:val="ru-RU"/>
              </w:rPr>
              <w:t>Выполнено</w:t>
            </w:r>
          </w:p>
          <w:p w:rsidR="00FA0032" w:rsidRPr="00FA0032" w:rsidRDefault="00FA0032" w:rsidP="00C61544">
            <w:pPr>
              <w:keepNext/>
              <w:keepLines/>
              <w:ind w:right="20"/>
              <w:jc w:val="center"/>
              <w:rPr>
                <w:rFonts w:eastAsia="SimSun" w:cs="Arial"/>
                <w:b/>
                <w:bCs/>
                <w:color w:val="00B050"/>
                <w:sz w:val="16"/>
                <w:szCs w:val="16"/>
                <w:lang w:val="ru-RU"/>
              </w:rPr>
            </w:pPr>
          </w:p>
          <w:p w:rsidR="00FA0032" w:rsidRPr="00FA0032" w:rsidRDefault="00FA0032" w:rsidP="00C61544">
            <w:pPr>
              <w:keepNext/>
              <w:keepLines/>
              <w:ind w:right="20"/>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r w:rsidRPr="00FA0032">
              <w:rPr>
                <w:b/>
                <w:color w:val="00B050"/>
                <w:sz w:val="16"/>
                <w:szCs w:val="16"/>
                <w:lang w:val="ru-RU"/>
              </w:rPr>
              <w:t>Выполнено</w:t>
            </w:r>
          </w:p>
          <w:p w:rsidR="00FA0032" w:rsidRPr="00FA0032" w:rsidRDefault="00FA0032" w:rsidP="00C61544">
            <w:pPr>
              <w:keepNext/>
              <w:keepLines/>
              <w:ind w:right="20"/>
              <w:rPr>
                <w:rFonts w:eastAsia="SimSun" w:cs="Arial"/>
                <w:b/>
                <w:bCs/>
                <w:color w:val="808080" w:themeColor="background1" w:themeShade="80"/>
                <w:sz w:val="16"/>
                <w:szCs w:val="16"/>
                <w:lang w:val="ru-RU"/>
              </w:rPr>
            </w:pPr>
          </w:p>
          <w:p w:rsidR="00FA0032" w:rsidRPr="00FA0032" w:rsidRDefault="00FA0032" w:rsidP="00C61544">
            <w:pPr>
              <w:keepNext/>
              <w:keepLines/>
              <w:ind w:right="20"/>
              <w:jc w:val="center"/>
              <w:rPr>
                <w:rFonts w:eastAsia="SimSun" w:cs="Arial"/>
                <w:b/>
                <w:bCs/>
                <w:color w:val="808080" w:themeColor="background1" w:themeShade="80"/>
                <w:sz w:val="16"/>
                <w:szCs w:val="16"/>
                <w:lang w:val="ru-RU"/>
              </w:rPr>
            </w:pPr>
          </w:p>
          <w:p w:rsidR="00FA0032" w:rsidRPr="00FA0032" w:rsidRDefault="00FA0032" w:rsidP="00C61544">
            <w:pPr>
              <w:keepNext/>
              <w:keepLines/>
              <w:ind w:right="20"/>
              <w:jc w:val="center"/>
              <w:rPr>
                <w:rFonts w:eastAsia="SimSun" w:cs="Arial"/>
                <w:b/>
                <w:bCs/>
                <w:color w:val="808080"/>
                <w:sz w:val="16"/>
                <w:szCs w:val="16"/>
                <w:lang w:val="ru-RU"/>
              </w:rPr>
            </w:pPr>
          </w:p>
          <w:p w:rsidR="00FA0032" w:rsidRPr="00FA0032" w:rsidRDefault="00FA0032" w:rsidP="00C61544">
            <w:pPr>
              <w:keepNext/>
              <w:keepLines/>
              <w:ind w:left="-78" w:right="20" w:firstLine="46"/>
              <w:jc w:val="center"/>
              <w:rPr>
                <w:rFonts w:eastAsia="SimSun" w:cs="Arial"/>
                <w:b/>
                <w:bCs/>
                <w:color w:val="808080"/>
                <w:sz w:val="16"/>
                <w:szCs w:val="16"/>
                <w:lang w:val="ru-RU"/>
              </w:rPr>
            </w:pPr>
            <w:r w:rsidRPr="00FA0032">
              <w:rPr>
                <w:b/>
                <w:color w:val="808080"/>
                <w:sz w:val="16"/>
                <w:szCs w:val="16"/>
                <w:lang w:val="ru-RU"/>
              </w:rPr>
              <w:t>Не подлежит оценке</w:t>
            </w:r>
          </w:p>
          <w:p w:rsidR="00FA0032" w:rsidRPr="00FA0032" w:rsidRDefault="00FA0032" w:rsidP="00C61544">
            <w:pPr>
              <w:keepNext/>
              <w:keepLines/>
              <w:ind w:right="20"/>
              <w:rPr>
                <w:rFonts w:eastAsia="SimSun" w:cs="Arial"/>
                <w:b/>
                <w:bCs/>
                <w:color w:val="00B050"/>
                <w:sz w:val="16"/>
                <w:szCs w:val="16"/>
                <w:lang w:val="ru-RU"/>
              </w:rPr>
            </w:pPr>
          </w:p>
          <w:p w:rsidR="00FA0032" w:rsidRPr="00CD2604" w:rsidRDefault="00FA0032" w:rsidP="00C61544">
            <w:pPr>
              <w:keepNext/>
              <w:keepLines/>
              <w:ind w:right="20"/>
              <w:jc w:val="center"/>
              <w:rPr>
                <w:rFonts w:eastAsia="SimSun" w:cs="Arial"/>
                <w:b/>
                <w:bCs/>
                <w:color w:val="00B050"/>
                <w:sz w:val="16"/>
                <w:szCs w:val="16"/>
              </w:rPr>
            </w:pPr>
            <w:r w:rsidRPr="00CD2604">
              <w:rPr>
                <w:b/>
                <w:color w:val="FF0000"/>
                <w:sz w:val="16"/>
                <w:szCs w:val="16"/>
              </w:rPr>
              <w:t>Не выполнено</w:t>
            </w:r>
          </w:p>
          <w:p w:rsidR="00FA0032" w:rsidRPr="00CD2604" w:rsidRDefault="00FA0032" w:rsidP="00C61544">
            <w:pPr>
              <w:keepNext/>
              <w:keepLines/>
              <w:ind w:left="71" w:right="20"/>
              <w:jc w:val="center"/>
              <w:rPr>
                <w:rFonts w:eastAsia="SimSun" w:cs="Arial"/>
                <w:b/>
                <w:bCs/>
                <w:color w:val="00B050"/>
                <w:sz w:val="16"/>
                <w:szCs w:val="16"/>
              </w:rPr>
            </w:pPr>
          </w:p>
        </w:tc>
      </w:tr>
      <w:tr w:rsidR="00FA0032" w:rsidRPr="005C6ABD" w:rsidTr="00C61544">
        <w:tc>
          <w:tcPr>
            <w:tcW w:w="5000" w:type="pct"/>
            <w:gridSpan w:val="8"/>
            <w:tcBorders>
              <w:top w:val="single" w:sz="4" w:space="0" w:color="auto"/>
              <w:bottom w:val="single" w:sz="4" w:space="0" w:color="auto"/>
            </w:tcBorders>
            <w:shd w:val="clear" w:color="auto" w:fill="C6D9F1" w:themeFill="text2" w:themeFillTint="33"/>
          </w:tcPr>
          <w:p w:rsidR="00FA0032" w:rsidRPr="00FA0032" w:rsidRDefault="00FA0032" w:rsidP="00D340AF">
            <w:pPr>
              <w:keepNext/>
              <w:keepLines/>
              <w:tabs>
                <w:tab w:val="left" w:pos="2302"/>
              </w:tabs>
              <w:spacing w:before="120" w:after="120"/>
              <w:ind w:left="2302" w:hanging="2302"/>
              <w:rPr>
                <w:rFonts w:eastAsia="SimSun" w:cs="Arial"/>
                <w:b/>
                <w:bCs/>
                <w:color w:val="808080"/>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sz w:val="16"/>
                <w:szCs w:val="16"/>
              </w:rPr>
              <w:t>VIII</w:t>
            </w:r>
            <w:r w:rsidRPr="00FA0032">
              <w:rPr>
                <w:sz w:val="16"/>
                <w:szCs w:val="16"/>
                <w:lang w:val="ru-RU"/>
              </w:rPr>
              <w:t>.1. Более эффективная организация общения с широк</w:t>
            </w:r>
            <w:r w:rsidR="00D340AF">
              <w:rPr>
                <w:sz w:val="16"/>
                <w:szCs w:val="16"/>
                <w:lang w:val="ru-RU"/>
              </w:rPr>
              <w:t xml:space="preserve">ой общественностью по вопросам </w:t>
            </w:r>
            <w:r w:rsidRPr="00FA0032">
              <w:rPr>
                <w:sz w:val="16"/>
                <w:szCs w:val="16"/>
                <w:lang w:val="ru-RU"/>
              </w:rPr>
              <w:t>интеллектуальной собственности и роли ВОИС</w:t>
            </w:r>
          </w:p>
        </w:tc>
      </w:tr>
      <w:tr w:rsidR="00FA0032" w:rsidRPr="00CD2604" w:rsidTr="00C61544">
        <w:tc>
          <w:tcPr>
            <w:tcW w:w="994" w:type="pct"/>
            <w:tcBorders>
              <w:top w:val="single" w:sz="4" w:space="0" w:color="auto"/>
              <w:left w:val="single" w:sz="4" w:space="0" w:color="auto"/>
              <w:bottom w:val="nil"/>
              <w:right w:val="nil"/>
            </w:tcBorders>
            <w:shd w:val="clear" w:color="auto" w:fill="auto"/>
          </w:tcPr>
          <w:p w:rsidR="00FA0032" w:rsidRPr="00CD2604" w:rsidRDefault="00FA0032" w:rsidP="00C61544">
            <w:pPr>
              <w:rPr>
                <w:rFonts w:eastAsia="SimSun" w:cs="Arial"/>
                <w:color w:val="000000"/>
                <w:sz w:val="16"/>
                <w:szCs w:val="16"/>
              </w:rPr>
            </w:pPr>
            <w:r w:rsidRPr="00CD2604">
              <w:rPr>
                <w:b/>
                <w:sz w:val="16"/>
                <w:szCs w:val="16"/>
              </w:rPr>
              <w:t>Показатели результативности</w:t>
            </w:r>
          </w:p>
        </w:tc>
        <w:tc>
          <w:tcPr>
            <w:tcW w:w="1006" w:type="pct"/>
            <w:tcBorders>
              <w:top w:val="single" w:sz="4" w:space="0" w:color="auto"/>
              <w:left w:val="nil"/>
              <w:bottom w:val="nil"/>
              <w:right w:val="nil"/>
            </w:tcBorders>
            <w:shd w:val="clear" w:color="auto" w:fill="auto"/>
          </w:tcPr>
          <w:p w:rsidR="00FA0032" w:rsidRPr="00CD2604" w:rsidRDefault="00FA0032" w:rsidP="00C61544">
            <w:pPr>
              <w:rPr>
                <w:rFonts w:cs="Arial"/>
                <w:i/>
                <w:color w:val="002060"/>
                <w:sz w:val="16"/>
                <w:szCs w:val="16"/>
              </w:rPr>
            </w:pPr>
            <w:r w:rsidRPr="00CD2604">
              <w:rPr>
                <w:b/>
                <w:sz w:val="16"/>
                <w:szCs w:val="16"/>
              </w:rPr>
              <w:t>Базовые показатели</w:t>
            </w:r>
          </w:p>
        </w:tc>
        <w:tc>
          <w:tcPr>
            <w:tcW w:w="871" w:type="pct"/>
            <w:tcBorders>
              <w:top w:val="single" w:sz="4" w:space="0" w:color="auto"/>
              <w:left w:val="nil"/>
              <w:bottom w:val="nil"/>
              <w:right w:val="nil"/>
            </w:tcBorders>
            <w:shd w:val="clear" w:color="auto" w:fill="auto"/>
            <w:tcMar>
              <w:top w:w="110" w:type="dxa"/>
            </w:tcMar>
          </w:tcPr>
          <w:p w:rsidR="00FA0032" w:rsidRPr="00CD2604" w:rsidRDefault="00FA0032" w:rsidP="00C61544">
            <w:pPr>
              <w:ind w:left="-87"/>
              <w:rPr>
                <w:rFonts w:eastAsia="SimSun" w:cs="Arial"/>
                <w:sz w:val="16"/>
                <w:szCs w:val="16"/>
              </w:rPr>
            </w:pPr>
            <w:r w:rsidRPr="00CD2604">
              <w:rPr>
                <w:b/>
                <w:sz w:val="16"/>
                <w:szCs w:val="16"/>
              </w:rPr>
              <w:t>Цели</w:t>
            </w:r>
          </w:p>
        </w:tc>
        <w:tc>
          <w:tcPr>
            <w:tcW w:w="1477" w:type="pct"/>
            <w:gridSpan w:val="2"/>
            <w:tcBorders>
              <w:top w:val="single" w:sz="4"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p>
        </w:tc>
        <w:tc>
          <w:tcPr>
            <w:tcW w:w="652" w:type="pct"/>
            <w:gridSpan w:val="3"/>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808080"/>
                <w:sz w:val="16"/>
                <w:szCs w:val="16"/>
              </w:rPr>
            </w:pPr>
            <w:r w:rsidRPr="00CD2604">
              <w:rPr>
                <w:b/>
                <w:sz w:val="16"/>
                <w:szCs w:val="16"/>
              </w:rPr>
              <w:t>CC</w:t>
            </w:r>
          </w:p>
        </w:tc>
      </w:tr>
      <w:tr w:rsidR="00FA0032" w:rsidRPr="005C6ABD" w:rsidTr="00C61544">
        <w:tc>
          <w:tcPr>
            <w:tcW w:w="994" w:type="pct"/>
            <w:tcBorders>
              <w:top w:val="nil"/>
              <w:left w:val="single" w:sz="4" w:space="0" w:color="auto"/>
              <w:bottom w:val="nil"/>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Рост посещаемости сайта внешних бюро ВОИС</w:t>
            </w:r>
          </w:p>
        </w:tc>
        <w:tc>
          <w:tcPr>
            <w:tcW w:w="1006" w:type="pct"/>
            <w:tcBorders>
              <w:top w:val="nil"/>
              <w:left w:val="nil"/>
              <w:bottom w:val="nil"/>
              <w:right w:val="nil"/>
            </w:tcBorders>
            <w:shd w:val="clear" w:color="auto" w:fill="auto"/>
          </w:tcPr>
          <w:p w:rsidR="00FA0032" w:rsidRPr="00FA0032" w:rsidRDefault="00FA0032" w:rsidP="00C61544">
            <w:pPr>
              <w:rPr>
                <w:rFonts w:cs="Arial"/>
                <w:i/>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p>
          <w:p w:rsidR="00FA0032" w:rsidRPr="00FA0032" w:rsidRDefault="00FA0032" w:rsidP="00C61544">
            <w:pPr>
              <w:rPr>
                <w:rFonts w:cs="Arial"/>
                <w:color w:val="002060"/>
                <w:sz w:val="16"/>
                <w:szCs w:val="16"/>
                <w:lang w:val="ru-RU"/>
              </w:rPr>
            </w:pPr>
            <w:r w:rsidRPr="00FA0032">
              <w:rPr>
                <w:color w:val="002060"/>
                <w:sz w:val="16"/>
                <w:szCs w:val="16"/>
                <w:lang w:val="ru-RU"/>
              </w:rPr>
              <w:t>данные отсутствуют (</w:t>
            </w:r>
            <w:r w:rsidRPr="00CD2604">
              <w:rPr>
                <w:color w:val="002060"/>
                <w:sz w:val="16"/>
                <w:szCs w:val="16"/>
              </w:rPr>
              <w:t>WBO</w:t>
            </w:r>
            <w:r w:rsidRPr="00FA0032">
              <w:rPr>
                <w:color w:val="002060"/>
                <w:sz w:val="16"/>
                <w:szCs w:val="16"/>
                <w:lang w:val="ru-RU"/>
              </w:rPr>
              <w:t>)</w:t>
            </w:r>
          </w:p>
          <w:p w:rsidR="00FA0032" w:rsidRPr="00FA0032" w:rsidRDefault="00FA0032" w:rsidP="00C61544">
            <w:pPr>
              <w:rPr>
                <w:rFonts w:cs="Arial"/>
                <w:color w:val="002060"/>
                <w:sz w:val="16"/>
                <w:szCs w:val="16"/>
                <w:lang w:val="ru-RU"/>
              </w:rPr>
            </w:pPr>
            <w:r w:rsidRPr="00FA0032">
              <w:rPr>
                <w:color w:val="002060"/>
                <w:sz w:val="16"/>
                <w:szCs w:val="16"/>
                <w:lang w:val="ru-RU"/>
              </w:rPr>
              <w:t>5</w:t>
            </w:r>
            <w:r w:rsidRPr="00CD2604">
              <w:rPr>
                <w:color w:val="002060"/>
                <w:sz w:val="16"/>
                <w:szCs w:val="16"/>
              </w:rPr>
              <w:t> </w:t>
            </w:r>
            <w:r w:rsidRPr="00FA0032">
              <w:rPr>
                <w:color w:val="002060"/>
                <w:sz w:val="16"/>
                <w:szCs w:val="16"/>
                <w:lang w:val="ru-RU"/>
              </w:rPr>
              <w:t>900 (</w:t>
            </w:r>
            <w:r w:rsidRPr="00CD2604">
              <w:rPr>
                <w:color w:val="002060"/>
                <w:sz w:val="16"/>
                <w:szCs w:val="16"/>
              </w:rPr>
              <w:t>WJO</w:t>
            </w:r>
            <w:r w:rsidRPr="00FA0032">
              <w:rPr>
                <w:color w:val="002060"/>
                <w:sz w:val="16"/>
                <w:szCs w:val="16"/>
                <w:lang w:val="ru-RU"/>
              </w:rPr>
              <w:t>)</w:t>
            </w:r>
          </w:p>
          <w:p w:rsidR="00FA0032" w:rsidRPr="00FA0032" w:rsidRDefault="00FA0032" w:rsidP="00C61544">
            <w:pPr>
              <w:rPr>
                <w:color w:val="002060"/>
                <w:sz w:val="16"/>
                <w:szCs w:val="16"/>
                <w:lang w:val="ru-RU"/>
              </w:rPr>
            </w:pPr>
            <w:r w:rsidRPr="00FA0032">
              <w:rPr>
                <w:color w:val="002060"/>
                <w:sz w:val="16"/>
                <w:szCs w:val="16"/>
                <w:lang w:val="ru-RU"/>
              </w:rPr>
              <w:t>9</w:t>
            </w:r>
            <w:r w:rsidRPr="00CD2604">
              <w:rPr>
                <w:color w:val="002060"/>
                <w:sz w:val="16"/>
                <w:szCs w:val="16"/>
              </w:rPr>
              <w:t> </w:t>
            </w:r>
            <w:r w:rsidRPr="00FA0032">
              <w:rPr>
                <w:color w:val="002060"/>
                <w:sz w:val="16"/>
                <w:szCs w:val="16"/>
                <w:lang w:val="ru-RU"/>
              </w:rPr>
              <w:t>717 просмотров сайта (</w:t>
            </w:r>
            <w:r w:rsidRPr="00CD2604">
              <w:rPr>
                <w:color w:val="002060"/>
                <w:sz w:val="16"/>
                <w:szCs w:val="16"/>
              </w:rPr>
              <w:t>WSO</w:t>
            </w:r>
            <w:r w:rsidRPr="00FA0032">
              <w:rPr>
                <w:color w:val="002060"/>
                <w:sz w:val="16"/>
                <w:szCs w:val="16"/>
                <w:lang w:val="ru-RU"/>
              </w:rPr>
              <w:t>)</w:t>
            </w:r>
          </w:p>
          <w:p w:rsidR="00FA0032" w:rsidRPr="00FA0032" w:rsidRDefault="00FA0032" w:rsidP="00C61544">
            <w:pPr>
              <w:rPr>
                <w:rFonts w:cs="Arial"/>
                <w:color w:val="002060"/>
                <w:sz w:val="16"/>
                <w:szCs w:val="16"/>
                <w:lang w:val="ru-RU"/>
              </w:rPr>
            </w:pPr>
          </w:p>
          <w:p w:rsidR="00FA0032" w:rsidRPr="00FA0032" w:rsidRDefault="00FA0032" w:rsidP="00C61544">
            <w:pPr>
              <w:rPr>
                <w:rFonts w:cs="Arial"/>
                <w:i/>
                <w:sz w:val="16"/>
                <w:szCs w:val="16"/>
                <w:lang w:val="ru-RU"/>
              </w:rPr>
            </w:pPr>
            <w:r w:rsidRPr="00FA0032">
              <w:rPr>
                <w:i/>
                <w:sz w:val="16"/>
                <w:szCs w:val="16"/>
                <w:lang w:val="ru-RU"/>
              </w:rPr>
              <w:t>Исходные базовые показатели ПиБ на 2014–2015 гг.:</w:t>
            </w:r>
          </w:p>
          <w:p w:rsidR="00FA0032" w:rsidRPr="00FA0032" w:rsidRDefault="00FA0032" w:rsidP="00C61544">
            <w:pPr>
              <w:rPr>
                <w:rFonts w:cs="Arial"/>
                <w:i/>
                <w:sz w:val="16"/>
                <w:szCs w:val="16"/>
                <w:lang w:val="ru-RU"/>
              </w:rPr>
            </w:pPr>
            <w:r w:rsidRPr="00FA0032">
              <w:rPr>
                <w:sz w:val="16"/>
                <w:szCs w:val="16"/>
                <w:lang w:val="ru-RU"/>
              </w:rPr>
              <w:t>будут определены позднее (</w:t>
            </w:r>
            <w:r w:rsidRPr="00CD2604">
              <w:rPr>
                <w:sz w:val="16"/>
                <w:szCs w:val="16"/>
              </w:rPr>
              <w:t>WBO</w:t>
            </w:r>
            <w:r w:rsidRPr="00FA0032">
              <w:rPr>
                <w:sz w:val="16"/>
                <w:szCs w:val="16"/>
                <w:lang w:val="ru-RU"/>
              </w:rPr>
              <w:t>);</w:t>
            </w:r>
            <w:r w:rsidRPr="00FA0032">
              <w:rPr>
                <w:i/>
                <w:sz w:val="16"/>
                <w:szCs w:val="16"/>
                <w:lang w:val="ru-RU"/>
              </w:rPr>
              <w:t xml:space="preserve"> </w:t>
            </w:r>
          </w:p>
          <w:p w:rsidR="00FA0032" w:rsidRPr="00FA0032" w:rsidRDefault="00FA0032" w:rsidP="00C61544">
            <w:pPr>
              <w:rPr>
                <w:rFonts w:cs="Arial"/>
                <w:sz w:val="16"/>
                <w:szCs w:val="16"/>
                <w:lang w:val="ru-RU"/>
              </w:rPr>
            </w:pPr>
            <w:r w:rsidRPr="00FA0032">
              <w:rPr>
                <w:sz w:val="16"/>
                <w:szCs w:val="16"/>
                <w:lang w:val="ru-RU"/>
              </w:rPr>
              <w:t>будут определены позднее (</w:t>
            </w:r>
            <w:r w:rsidRPr="00CD2604">
              <w:rPr>
                <w:sz w:val="16"/>
                <w:szCs w:val="16"/>
              </w:rPr>
              <w:t>WJO</w:t>
            </w:r>
            <w:r w:rsidRPr="00FA0032">
              <w:rPr>
                <w:sz w:val="16"/>
                <w:szCs w:val="16"/>
                <w:lang w:val="ru-RU"/>
              </w:rPr>
              <w:t>);</w:t>
            </w:r>
          </w:p>
          <w:p w:rsidR="00FA0032" w:rsidRPr="00CD2604" w:rsidRDefault="00FA0032" w:rsidP="00C61544">
            <w:pPr>
              <w:rPr>
                <w:rFonts w:cs="Arial"/>
                <w:sz w:val="16"/>
                <w:szCs w:val="16"/>
              </w:rPr>
            </w:pPr>
            <w:r>
              <w:rPr>
                <w:sz w:val="16"/>
                <w:szCs w:val="16"/>
              </w:rPr>
              <w:t>б</w:t>
            </w:r>
            <w:r w:rsidRPr="00CD2604">
              <w:rPr>
                <w:sz w:val="16"/>
                <w:szCs w:val="16"/>
              </w:rPr>
              <w:t>удут определены позднее (WSO)</w:t>
            </w:r>
          </w:p>
        </w:tc>
        <w:tc>
          <w:tcPr>
            <w:tcW w:w="871" w:type="pct"/>
            <w:tcBorders>
              <w:top w:val="nil"/>
              <w:left w:val="nil"/>
              <w:bottom w:val="nil"/>
              <w:right w:val="nil"/>
            </w:tcBorders>
            <w:shd w:val="clear" w:color="auto" w:fill="auto"/>
            <w:tcMar>
              <w:top w:w="110" w:type="dxa"/>
            </w:tcMar>
          </w:tcPr>
          <w:p w:rsidR="00FA0032" w:rsidRPr="00FA0032" w:rsidRDefault="00FA0032" w:rsidP="00C61544">
            <w:pPr>
              <w:ind w:left="-87"/>
              <w:rPr>
                <w:rFonts w:eastAsia="SimSun" w:cs="Arial"/>
                <w:sz w:val="16"/>
                <w:szCs w:val="16"/>
                <w:lang w:val="ru-RU"/>
              </w:rPr>
            </w:pPr>
            <w:r w:rsidRPr="00FA0032">
              <w:rPr>
                <w:sz w:val="16"/>
                <w:szCs w:val="16"/>
                <w:lang w:val="ru-RU"/>
              </w:rPr>
              <w:t>Рост трафика на:</w:t>
            </w:r>
          </w:p>
          <w:p w:rsidR="00FA0032" w:rsidRPr="00FA0032" w:rsidRDefault="00FA0032" w:rsidP="00C61544">
            <w:pPr>
              <w:ind w:left="-87" w:right="-181"/>
              <w:rPr>
                <w:rFonts w:eastAsia="SimSun" w:cs="Arial"/>
                <w:sz w:val="16"/>
                <w:szCs w:val="16"/>
                <w:lang w:val="ru-RU"/>
              </w:rPr>
            </w:pPr>
          </w:p>
          <w:p w:rsidR="00FA0032" w:rsidRPr="00FA0032" w:rsidRDefault="00FA0032" w:rsidP="00C61544">
            <w:pPr>
              <w:ind w:left="-87" w:right="-181"/>
              <w:rPr>
                <w:rFonts w:eastAsia="SimSun" w:cs="Arial"/>
                <w:sz w:val="16"/>
                <w:szCs w:val="16"/>
                <w:lang w:val="ru-RU"/>
              </w:rPr>
            </w:pPr>
            <w:r w:rsidRPr="00FA0032">
              <w:rPr>
                <w:sz w:val="16"/>
                <w:szCs w:val="16"/>
                <w:lang w:val="ru-RU"/>
              </w:rPr>
              <w:t>5% из Бразилии (</w:t>
            </w:r>
            <w:r w:rsidRPr="00CD2604">
              <w:rPr>
                <w:sz w:val="16"/>
                <w:szCs w:val="16"/>
              </w:rPr>
              <w:t>WBO</w:t>
            </w:r>
            <w:r w:rsidRPr="00FA0032">
              <w:rPr>
                <w:sz w:val="16"/>
                <w:szCs w:val="16"/>
                <w:lang w:val="ru-RU"/>
              </w:rPr>
              <w:t>)</w:t>
            </w:r>
          </w:p>
          <w:p w:rsidR="00FA0032" w:rsidRPr="00FA0032" w:rsidRDefault="00FA0032" w:rsidP="00C61544">
            <w:pPr>
              <w:ind w:left="-87"/>
              <w:rPr>
                <w:rFonts w:eastAsia="SimSun" w:cs="Arial"/>
                <w:sz w:val="16"/>
                <w:szCs w:val="16"/>
                <w:lang w:val="ru-RU"/>
              </w:rPr>
            </w:pPr>
          </w:p>
          <w:p w:rsidR="00FA0032" w:rsidRPr="00FA0032" w:rsidRDefault="00FA0032" w:rsidP="00C61544">
            <w:pPr>
              <w:ind w:left="-87"/>
              <w:rPr>
                <w:rFonts w:eastAsia="SimSun" w:cs="Arial"/>
                <w:sz w:val="16"/>
                <w:szCs w:val="16"/>
                <w:lang w:val="ru-RU"/>
              </w:rPr>
            </w:pPr>
            <w:r w:rsidRPr="00FA0032">
              <w:rPr>
                <w:sz w:val="16"/>
                <w:szCs w:val="16"/>
                <w:lang w:val="ru-RU"/>
              </w:rPr>
              <w:t>5% (</w:t>
            </w:r>
            <w:r w:rsidRPr="00CD2604">
              <w:rPr>
                <w:sz w:val="16"/>
                <w:szCs w:val="16"/>
              </w:rPr>
              <w:t>WJO</w:t>
            </w:r>
            <w:r w:rsidRPr="00FA0032">
              <w:rPr>
                <w:sz w:val="16"/>
                <w:szCs w:val="16"/>
                <w:lang w:val="ru-RU"/>
              </w:rPr>
              <w:t>)</w:t>
            </w:r>
            <w:r w:rsidRPr="00CD2604">
              <w:rPr>
                <w:rStyle w:val="FootnoteReference"/>
                <w:szCs w:val="16"/>
              </w:rPr>
              <w:footnoteReference w:id="118"/>
            </w:r>
          </w:p>
          <w:p w:rsidR="00FA0032" w:rsidRPr="00FA0032" w:rsidRDefault="00FA0032" w:rsidP="00C61544">
            <w:pPr>
              <w:rPr>
                <w:rFonts w:eastAsia="SimSun" w:cs="Arial"/>
                <w:sz w:val="16"/>
                <w:szCs w:val="16"/>
                <w:lang w:val="ru-RU"/>
              </w:rPr>
            </w:pPr>
          </w:p>
          <w:p w:rsidR="00FA0032" w:rsidRPr="00FA0032" w:rsidRDefault="00FA0032" w:rsidP="00C61544">
            <w:pPr>
              <w:ind w:left="-87"/>
              <w:rPr>
                <w:rFonts w:eastAsia="SimSun" w:cs="Arial"/>
                <w:sz w:val="16"/>
                <w:szCs w:val="16"/>
                <w:lang w:val="ru-RU"/>
              </w:rPr>
            </w:pPr>
            <w:r w:rsidRPr="00FA0032">
              <w:rPr>
                <w:sz w:val="16"/>
                <w:szCs w:val="16"/>
                <w:lang w:val="ru-RU"/>
              </w:rPr>
              <w:t>5% из региона АСЕАН (</w:t>
            </w:r>
            <w:r w:rsidRPr="00CD2604">
              <w:rPr>
                <w:sz w:val="16"/>
                <w:szCs w:val="16"/>
              </w:rPr>
              <w:t>WSO</w:t>
            </w:r>
            <w:r w:rsidRPr="00FA0032">
              <w:rPr>
                <w:sz w:val="16"/>
                <w:szCs w:val="16"/>
                <w:lang w:val="ru-RU"/>
              </w:rPr>
              <w:t>)</w:t>
            </w:r>
          </w:p>
          <w:p w:rsidR="00FA0032" w:rsidRPr="00FA0032" w:rsidRDefault="00FA0032" w:rsidP="00C61544">
            <w:pPr>
              <w:ind w:left="-87"/>
              <w:rPr>
                <w:rFonts w:eastAsia="SimSun" w:cs="Arial"/>
                <w:sz w:val="16"/>
                <w:szCs w:val="16"/>
                <w:lang w:val="ru-RU"/>
              </w:rPr>
            </w:pPr>
          </w:p>
        </w:tc>
        <w:tc>
          <w:tcPr>
            <w:tcW w:w="1477" w:type="pct"/>
            <w:gridSpan w:val="2"/>
            <w:tcBorders>
              <w:top w:val="nil"/>
              <w:left w:val="nil"/>
              <w:bottom w:val="nil"/>
              <w:right w:val="nil"/>
            </w:tcBorders>
            <w:shd w:val="clear" w:color="auto" w:fill="FFFFFF"/>
            <w:tcMar>
              <w:top w:w="110" w:type="dxa"/>
            </w:tcMar>
          </w:tcPr>
          <w:tbl>
            <w:tblPr>
              <w:tblStyle w:val="TableGrid"/>
              <w:tblpPr w:leftFromText="180" w:rightFromText="180" w:vertAnchor="text" w:tblpY="1"/>
              <w:tblOverlap w:val="never"/>
              <w:tblW w:w="26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4" w:type="dxa"/>
                <w:right w:w="14" w:type="dxa"/>
              </w:tblCellMar>
              <w:tblLook w:val="04A0" w:firstRow="1" w:lastRow="0" w:firstColumn="1" w:lastColumn="0" w:noHBand="0" w:noVBand="1"/>
            </w:tblPr>
            <w:tblGrid>
              <w:gridCol w:w="450"/>
              <w:gridCol w:w="1080"/>
              <w:gridCol w:w="1080"/>
            </w:tblGrid>
            <w:tr w:rsidR="00FA0032" w:rsidRPr="00CD2604" w:rsidTr="00C61544">
              <w:tc>
                <w:tcPr>
                  <w:tcW w:w="450" w:type="dxa"/>
                  <w:tcMar>
                    <w:top w:w="29" w:type="dxa"/>
                    <w:left w:w="0" w:type="dxa"/>
                    <w:bottom w:w="29" w:type="dxa"/>
                    <w:right w:w="0" w:type="dxa"/>
                  </w:tcMar>
                </w:tcPr>
                <w:p w:rsidR="00FA0032" w:rsidRPr="00FA0032" w:rsidRDefault="00FA0032" w:rsidP="00C61544">
                  <w:pPr>
                    <w:jc w:val="center"/>
                    <w:rPr>
                      <w:rFonts w:eastAsia="SimSun" w:cs="Arial"/>
                      <w:sz w:val="16"/>
                      <w:szCs w:val="16"/>
                      <w:lang w:val="ru-RU"/>
                    </w:rPr>
                  </w:pPr>
                </w:p>
              </w:tc>
              <w:tc>
                <w:tcPr>
                  <w:tcW w:w="1080" w:type="dxa"/>
                  <w:tcMar>
                    <w:top w:w="29" w:type="dxa"/>
                    <w:left w:w="0" w:type="dxa"/>
                    <w:bottom w:w="29" w:type="dxa"/>
                    <w:right w:w="0" w:type="dxa"/>
                  </w:tcMar>
                </w:tcPr>
                <w:p w:rsidR="00FA0032" w:rsidRPr="00CD2604" w:rsidRDefault="00FA0032" w:rsidP="00C61544">
                  <w:pPr>
                    <w:jc w:val="center"/>
                    <w:rPr>
                      <w:rFonts w:eastAsia="SimSun" w:cs="Arial"/>
                      <w:sz w:val="16"/>
                      <w:szCs w:val="16"/>
                    </w:rPr>
                  </w:pPr>
                  <w:r w:rsidRPr="00CD2604">
                    <w:rPr>
                      <w:sz w:val="16"/>
                      <w:szCs w:val="16"/>
                    </w:rPr>
                    <w:t>2014</w:t>
                  </w:r>
                </w:p>
              </w:tc>
              <w:tc>
                <w:tcPr>
                  <w:tcW w:w="1080" w:type="dxa"/>
                  <w:tcMar>
                    <w:top w:w="29" w:type="dxa"/>
                    <w:left w:w="0" w:type="dxa"/>
                    <w:bottom w:w="29" w:type="dxa"/>
                    <w:right w:w="0" w:type="dxa"/>
                  </w:tcMar>
                </w:tcPr>
                <w:p w:rsidR="00FA0032" w:rsidRPr="00CD2604" w:rsidRDefault="00FA0032" w:rsidP="00C61544">
                  <w:pPr>
                    <w:jc w:val="center"/>
                    <w:rPr>
                      <w:rFonts w:eastAsia="SimSun" w:cs="Arial"/>
                      <w:sz w:val="16"/>
                      <w:szCs w:val="16"/>
                    </w:rPr>
                  </w:pPr>
                  <w:r w:rsidRPr="00CD2604">
                    <w:rPr>
                      <w:sz w:val="16"/>
                      <w:szCs w:val="16"/>
                    </w:rPr>
                    <w:t>2015</w:t>
                  </w:r>
                </w:p>
              </w:tc>
            </w:tr>
            <w:tr w:rsidR="00FA0032" w:rsidRPr="00CD2604" w:rsidTr="00C61544">
              <w:trPr>
                <w:trHeight w:val="288"/>
              </w:trPr>
              <w:tc>
                <w:tcPr>
                  <w:tcW w:w="450" w:type="dxa"/>
                  <w:tcMar>
                    <w:top w:w="29" w:type="dxa"/>
                    <w:left w:w="0" w:type="dxa"/>
                    <w:bottom w:w="29" w:type="dxa"/>
                    <w:right w:w="0" w:type="dxa"/>
                  </w:tcMar>
                  <w:vAlign w:val="center"/>
                </w:tcPr>
                <w:p w:rsidR="00FA0032" w:rsidRPr="00CD2604" w:rsidRDefault="00FA0032" w:rsidP="00C61544">
                  <w:pPr>
                    <w:jc w:val="center"/>
                    <w:rPr>
                      <w:rFonts w:eastAsia="SimSun" w:cs="Arial"/>
                      <w:sz w:val="16"/>
                      <w:szCs w:val="16"/>
                    </w:rPr>
                  </w:pPr>
                  <w:r w:rsidRPr="00CD2604">
                    <w:rPr>
                      <w:sz w:val="16"/>
                      <w:szCs w:val="16"/>
                    </w:rPr>
                    <w:t>WBO</w:t>
                  </w:r>
                </w:p>
              </w:tc>
              <w:tc>
                <w:tcPr>
                  <w:tcW w:w="1080" w:type="dxa"/>
                  <w:tcMar>
                    <w:top w:w="29" w:type="dxa"/>
                    <w:left w:w="0" w:type="dxa"/>
                    <w:bottom w:w="29" w:type="dxa"/>
                    <w:right w:w="0" w:type="dxa"/>
                  </w:tcMar>
                  <w:vAlign w:val="center"/>
                </w:tcPr>
                <w:p w:rsidR="00FA0032" w:rsidRPr="00CD2604" w:rsidRDefault="00FA0032" w:rsidP="00C61544">
                  <w:pPr>
                    <w:jc w:val="center"/>
                    <w:rPr>
                      <w:rFonts w:eastAsia="SimSun" w:cs="Arial"/>
                      <w:sz w:val="16"/>
                      <w:szCs w:val="16"/>
                    </w:rPr>
                  </w:pPr>
                  <w:r w:rsidRPr="00CD2604">
                    <w:rPr>
                      <w:sz w:val="16"/>
                      <w:szCs w:val="16"/>
                    </w:rPr>
                    <w:t>Данные отсутствуют</w:t>
                  </w:r>
                  <w:r w:rsidRPr="00CD2604">
                    <w:rPr>
                      <w:rStyle w:val="FootnoteReference"/>
                      <w:szCs w:val="16"/>
                    </w:rPr>
                    <w:footnoteReference w:id="119"/>
                  </w:r>
                </w:p>
              </w:tc>
              <w:tc>
                <w:tcPr>
                  <w:tcW w:w="1080" w:type="dxa"/>
                  <w:tcMar>
                    <w:top w:w="29" w:type="dxa"/>
                    <w:left w:w="0" w:type="dxa"/>
                    <w:bottom w:w="29" w:type="dxa"/>
                    <w:right w:w="0" w:type="dxa"/>
                  </w:tcMar>
                  <w:vAlign w:val="center"/>
                </w:tcPr>
                <w:p w:rsidR="00FA0032" w:rsidRPr="00CD2604" w:rsidRDefault="00FA0032" w:rsidP="00C61544">
                  <w:pPr>
                    <w:jc w:val="center"/>
                    <w:rPr>
                      <w:rFonts w:eastAsia="SimSun" w:cs="Arial"/>
                      <w:sz w:val="16"/>
                      <w:szCs w:val="16"/>
                    </w:rPr>
                  </w:pPr>
                  <w:r w:rsidRPr="00CD2604">
                    <w:rPr>
                      <w:sz w:val="16"/>
                      <w:szCs w:val="16"/>
                    </w:rPr>
                    <w:t>1 966</w:t>
                  </w:r>
                </w:p>
              </w:tc>
            </w:tr>
            <w:tr w:rsidR="00FA0032" w:rsidRPr="00CD2604" w:rsidTr="00C61544">
              <w:trPr>
                <w:trHeight w:val="288"/>
              </w:trPr>
              <w:tc>
                <w:tcPr>
                  <w:tcW w:w="450" w:type="dxa"/>
                  <w:tcMar>
                    <w:top w:w="29" w:type="dxa"/>
                    <w:left w:w="0" w:type="dxa"/>
                    <w:bottom w:w="29" w:type="dxa"/>
                    <w:right w:w="0" w:type="dxa"/>
                  </w:tcMar>
                  <w:vAlign w:val="center"/>
                </w:tcPr>
                <w:p w:rsidR="00FA0032" w:rsidRPr="00CD2604" w:rsidRDefault="00FA0032" w:rsidP="00C61544">
                  <w:pPr>
                    <w:jc w:val="center"/>
                    <w:rPr>
                      <w:rFonts w:eastAsia="SimSun" w:cs="Arial"/>
                      <w:sz w:val="16"/>
                      <w:szCs w:val="16"/>
                    </w:rPr>
                  </w:pPr>
                  <w:r w:rsidRPr="00CD2604">
                    <w:rPr>
                      <w:sz w:val="16"/>
                      <w:szCs w:val="16"/>
                    </w:rPr>
                    <w:t>WJO</w:t>
                  </w:r>
                </w:p>
              </w:tc>
              <w:tc>
                <w:tcPr>
                  <w:tcW w:w="1080" w:type="dxa"/>
                  <w:tcMar>
                    <w:top w:w="29" w:type="dxa"/>
                    <w:left w:w="0" w:type="dxa"/>
                    <w:bottom w:w="29" w:type="dxa"/>
                    <w:right w:w="0" w:type="dxa"/>
                  </w:tcMar>
                  <w:vAlign w:val="center"/>
                </w:tcPr>
                <w:p w:rsidR="00FA0032" w:rsidRPr="00CD2604" w:rsidRDefault="00FA0032" w:rsidP="00C61544">
                  <w:pPr>
                    <w:jc w:val="center"/>
                    <w:rPr>
                      <w:rFonts w:eastAsia="SimSun" w:cs="Arial"/>
                      <w:sz w:val="16"/>
                      <w:szCs w:val="16"/>
                    </w:rPr>
                  </w:pPr>
                  <w:r w:rsidRPr="00CD2604">
                    <w:rPr>
                      <w:sz w:val="16"/>
                      <w:szCs w:val="16"/>
                    </w:rPr>
                    <w:t xml:space="preserve">+30% </w:t>
                  </w:r>
                </w:p>
                <w:p w:rsidR="00FA0032" w:rsidRPr="00CD2604" w:rsidRDefault="00FA0032" w:rsidP="00C61544">
                  <w:pPr>
                    <w:jc w:val="center"/>
                    <w:rPr>
                      <w:rFonts w:eastAsia="SimSun" w:cs="Arial"/>
                      <w:sz w:val="16"/>
                      <w:szCs w:val="16"/>
                    </w:rPr>
                  </w:pPr>
                  <w:r w:rsidRPr="00CD2604">
                    <w:rPr>
                      <w:sz w:val="16"/>
                      <w:szCs w:val="16"/>
                    </w:rPr>
                    <w:t>(7 650 просмотров)</w:t>
                  </w:r>
                </w:p>
              </w:tc>
              <w:tc>
                <w:tcPr>
                  <w:tcW w:w="1080" w:type="dxa"/>
                  <w:tcMar>
                    <w:top w:w="29" w:type="dxa"/>
                    <w:left w:w="0" w:type="dxa"/>
                    <w:bottom w:w="29" w:type="dxa"/>
                    <w:right w:w="0" w:type="dxa"/>
                  </w:tcMar>
                  <w:vAlign w:val="center"/>
                </w:tcPr>
                <w:p w:rsidR="00FA0032" w:rsidRPr="00CD2604" w:rsidRDefault="00FA0032" w:rsidP="00C61544">
                  <w:pPr>
                    <w:jc w:val="center"/>
                    <w:rPr>
                      <w:rFonts w:eastAsia="SimSun" w:cs="Arial"/>
                      <w:sz w:val="16"/>
                      <w:szCs w:val="16"/>
                    </w:rPr>
                  </w:pPr>
                  <w:r w:rsidRPr="00CD2604">
                    <w:rPr>
                      <w:sz w:val="16"/>
                      <w:szCs w:val="16"/>
                    </w:rPr>
                    <w:t>+13%</w:t>
                  </w:r>
                  <w:r w:rsidRPr="00CD2604">
                    <w:rPr>
                      <w:rStyle w:val="FootnoteReference"/>
                      <w:szCs w:val="16"/>
                    </w:rPr>
                    <w:footnoteReference w:id="120"/>
                  </w:r>
                </w:p>
                <w:p w:rsidR="00FA0032" w:rsidRPr="00CD2604" w:rsidRDefault="00FA0032" w:rsidP="00C61544">
                  <w:pPr>
                    <w:jc w:val="center"/>
                    <w:rPr>
                      <w:rFonts w:eastAsia="SimSun" w:cs="Arial"/>
                      <w:sz w:val="16"/>
                      <w:szCs w:val="16"/>
                    </w:rPr>
                  </w:pPr>
                  <w:r w:rsidRPr="00CD2604">
                    <w:rPr>
                      <w:sz w:val="16"/>
                      <w:szCs w:val="16"/>
                    </w:rPr>
                    <w:t xml:space="preserve"> (7 027 просмотров)</w:t>
                  </w:r>
                </w:p>
              </w:tc>
            </w:tr>
            <w:tr w:rsidR="00FA0032" w:rsidRPr="00CD2604" w:rsidTr="00C61544">
              <w:trPr>
                <w:trHeight w:val="288"/>
              </w:trPr>
              <w:tc>
                <w:tcPr>
                  <w:tcW w:w="450" w:type="dxa"/>
                  <w:tcMar>
                    <w:top w:w="29" w:type="dxa"/>
                    <w:left w:w="0" w:type="dxa"/>
                    <w:bottom w:w="29" w:type="dxa"/>
                    <w:right w:w="0" w:type="dxa"/>
                  </w:tcMar>
                  <w:vAlign w:val="center"/>
                </w:tcPr>
                <w:p w:rsidR="00FA0032" w:rsidRPr="00CD2604" w:rsidRDefault="00FA0032" w:rsidP="00C61544">
                  <w:pPr>
                    <w:jc w:val="center"/>
                    <w:rPr>
                      <w:rFonts w:eastAsia="SimSun" w:cs="Arial"/>
                      <w:sz w:val="16"/>
                      <w:szCs w:val="16"/>
                    </w:rPr>
                  </w:pPr>
                  <w:r w:rsidRPr="00CD2604">
                    <w:rPr>
                      <w:sz w:val="16"/>
                      <w:szCs w:val="16"/>
                    </w:rPr>
                    <w:t>WSO</w:t>
                  </w:r>
                </w:p>
              </w:tc>
              <w:tc>
                <w:tcPr>
                  <w:tcW w:w="1080" w:type="dxa"/>
                  <w:tcMar>
                    <w:top w:w="29" w:type="dxa"/>
                    <w:left w:w="0" w:type="dxa"/>
                    <w:bottom w:w="29" w:type="dxa"/>
                    <w:right w:w="0" w:type="dxa"/>
                  </w:tcMar>
                  <w:vAlign w:val="center"/>
                </w:tcPr>
                <w:p w:rsidR="00FA0032" w:rsidRPr="00CD2604" w:rsidRDefault="00FA0032" w:rsidP="00C61544">
                  <w:pPr>
                    <w:jc w:val="center"/>
                    <w:rPr>
                      <w:rFonts w:eastAsia="SimSun" w:cs="Arial"/>
                      <w:sz w:val="16"/>
                      <w:szCs w:val="16"/>
                    </w:rPr>
                  </w:pPr>
                  <w:r w:rsidRPr="00CD2604">
                    <w:rPr>
                      <w:sz w:val="16"/>
                      <w:szCs w:val="16"/>
                    </w:rPr>
                    <w:t xml:space="preserve">+2% </w:t>
                  </w:r>
                </w:p>
                <w:p w:rsidR="00FA0032" w:rsidRPr="00CD2604" w:rsidRDefault="00FA0032" w:rsidP="00C61544">
                  <w:pPr>
                    <w:jc w:val="center"/>
                    <w:rPr>
                      <w:rFonts w:eastAsia="SimSun" w:cs="Arial"/>
                      <w:sz w:val="16"/>
                      <w:szCs w:val="16"/>
                    </w:rPr>
                  </w:pPr>
                  <w:r w:rsidRPr="00CD2604">
                    <w:rPr>
                      <w:sz w:val="16"/>
                      <w:szCs w:val="16"/>
                    </w:rPr>
                    <w:t>(9 882 просмотра)</w:t>
                  </w:r>
                </w:p>
              </w:tc>
              <w:tc>
                <w:tcPr>
                  <w:tcW w:w="1080" w:type="dxa"/>
                  <w:tcMar>
                    <w:top w:w="29" w:type="dxa"/>
                    <w:left w:w="0" w:type="dxa"/>
                    <w:bottom w:w="29" w:type="dxa"/>
                    <w:right w:w="0" w:type="dxa"/>
                  </w:tcMar>
                  <w:vAlign w:val="center"/>
                </w:tcPr>
                <w:p w:rsidR="00FA0032" w:rsidRPr="00CD2604" w:rsidRDefault="00FA0032" w:rsidP="00C61544">
                  <w:pPr>
                    <w:jc w:val="center"/>
                    <w:rPr>
                      <w:rFonts w:eastAsia="SimSun" w:cs="Arial"/>
                      <w:sz w:val="16"/>
                      <w:szCs w:val="16"/>
                    </w:rPr>
                  </w:pPr>
                  <w:r w:rsidRPr="00CD2604">
                    <w:rPr>
                      <w:sz w:val="16"/>
                      <w:szCs w:val="16"/>
                    </w:rPr>
                    <w:t>+2%</w:t>
                  </w:r>
                </w:p>
                <w:p w:rsidR="00FA0032" w:rsidRPr="00CD2604" w:rsidRDefault="00FA0032" w:rsidP="00C61544">
                  <w:pPr>
                    <w:jc w:val="center"/>
                    <w:rPr>
                      <w:rFonts w:eastAsia="SimSun" w:cs="Arial"/>
                      <w:sz w:val="16"/>
                      <w:szCs w:val="16"/>
                    </w:rPr>
                  </w:pPr>
                  <w:r w:rsidRPr="00CD2604">
                    <w:rPr>
                      <w:sz w:val="16"/>
                      <w:szCs w:val="16"/>
                    </w:rPr>
                    <w:t>(10 042 просмотра)</w:t>
                  </w:r>
                </w:p>
              </w:tc>
            </w:tr>
          </w:tbl>
          <w:p w:rsidR="00FA0032" w:rsidRPr="00CD2604" w:rsidRDefault="00FA0032" w:rsidP="00C61544">
            <w:pPr>
              <w:rPr>
                <w:rFonts w:eastAsia="SimSun" w:cs="Arial"/>
                <w:sz w:val="16"/>
                <w:szCs w:val="16"/>
              </w:rPr>
            </w:pPr>
          </w:p>
        </w:tc>
        <w:tc>
          <w:tcPr>
            <w:tcW w:w="652" w:type="pct"/>
            <w:gridSpan w:val="3"/>
            <w:tcBorders>
              <w:top w:val="nil"/>
              <w:left w:val="nil"/>
              <w:bottom w:val="nil"/>
              <w:right w:val="single" w:sz="4" w:space="0" w:color="auto"/>
            </w:tcBorders>
            <w:shd w:val="clear" w:color="auto" w:fill="auto"/>
            <w:tcMar>
              <w:top w:w="110" w:type="dxa"/>
            </w:tcMar>
          </w:tcPr>
          <w:p w:rsidR="00FA0032" w:rsidRPr="00FA0032" w:rsidRDefault="00FA0032" w:rsidP="00C61544">
            <w:pPr>
              <w:keepNext/>
              <w:keepLines/>
              <w:ind w:right="20"/>
              <w:rPr>
                <w:rFonts w:eastAsia="SimSun" w:cs="Arial"/>
                <w:b/>
                <w:bCs/>
                <w:color w:val="FF0000"/>
                <w:sz w:val="16"/>
                <w:szCs w:val="16"/>
                <w:lang w:val="ru-RU"/>
              </w:rPr>
            </w:pPr>
          </w:p>
          <w:p w:rsidR="00FA0032" w:rsidRPr="00FA0032" w:rsidRDefault="00FA0032" w:rsidP="00C61544">
            <w:pPr>
              <w:keepNext/>
              <w:keepLines/>
              <w:ind w:right="20"/>
              <w:rPr>
                <w:rFonts w:eastAsia="SimSun" w:cs="Arial"/>
                <w:b/>
                <w:bCs/>
                <w:color w:val="FF0000"/>
                <w:sz w:val="16"/>
                <w:szCs w:val="16"/>
                <w:lang w:val="ru-RU"/>
              </w:rPr>
            </w:pPr>
          </w:p>
          <w:p w:rsidR="00FA0032" w:rsidRPr="00FA0032" w:rsidRDefault="00FA0032" w:rsidP="00C61544">
            <w:pPr>
              <w:keepNext/>
              <w:keepLines/>
              <w:ind w:left="-117" w:right="-45" w:firstLine="19"/>
              <w:jc w:val="center"/>
              <w:rPr>
                <w:rFonts w:eastAsia="SimSun" w:cs="Arial"/>
                <w:b/>
                <w:bCs/>
                <w:color w:val="808080"/>
                <w:sz w:val="16"/>
                <w:szCs w:val="16"/>
                <w:lang w:val="ru-RU"/>
              </w:rPr>
            </w:pPr>
            <w:r w:rsidRPr="00FA0032">
              <w:rPr>
                <w:b/>
                <w:color w:val="808080"/>
                <w:sz w:val="16"/>
                <w:szCs w:val="16"/>
                <w:lang w:val="ru-RU"/>
              </w:rPr>
              <w:t>Не подлежит оценке</w:t>
            </w:r>
          </w:p>
          <w:p w:rsidR="00FA0032" w:rsidRPr="00FA0032" w:rsidRDefault="00FA0032" w:rsidP="00C61544">
            <w:pPr>
              <w:keepNext/>
              <w:keepLines/>
              <w:ind w:right="20"/>
              <w:jc w:val="center"/>
              <w:rPr>
                <w:rFonts w:eastAsia="SimSun" w:cs="Arial"/>
                <w:b/>
                <w:bCs/>
                <w:color w:val="00B050"/>
                <w:sz w:val="16"/>
                <w:szCs w:val="16"/>
                <w:lang w:val="ru-RU"/>
              </w:rPr>
            </w:pPr>
          </w:p>
          <w:p w:rsidR="00FA0032" w:rsidRPr="00FA0032" w:rsidRDefault="00FA0032" w:rsidP="00C61544">
            <w:pPr>
              <w:keepNext/>
              <w:keepLines/>
              <w:ind w:right="20"/>
              <w:jc w:val="center"/>
              <w:rPr>
                <w:rFonts w:eastAsia="SimSun" w:cs="Arial"/>
                <w:b/>
                <w:bCs/>
                <w:color w:val="00B050"/>
                <w:sz w:val="16"/>
                <w:szCs w:val="16"/>
                <w:lang w:val="ru-RU"/>
              </w:rPr>
            </w:pPr>
            <w:r w:rsidRPr="00FA0032">
              <w:rPr>
                <w:b/>
                <w:color w:val="00B050"/>
                <w:sz w:val="16"/>
                <w:szCs w:val="16"/>
                <w:lang w:val="ru-RU"/>
              </w:rPr>
              <w:t>Выполнено</w:t>
            </w:r>
          </w:p>
          <w:p w:rsidR="00FA0032" w:rsidRPr="00FA0032" w:rsidRDefault="00FA0032" w:rsidP="00C61544">
            <w:pPr>
              <w:keepNext/>
              <w:keepLines/>
              <w:ind w:right="20"/>
              <w:rPr>
                <w:rFonts w:eastAsia="SimSun" w:cs="Arial"/>
                <w:b/>
                <w:bCs/>
                <w:color w:val="FF0000"/>
                <w:sz w:val="16"/>
                <w:szCs w:val="16"/>
                <w:lang w:val="ru-RU"/>
              </w:rPr>
            </w:pPr>
          </w:p>
          <w:p w:rsidR="00FA0032" w:rsidRPr="00FA0032" w:rsidRDefault="00FA0032" w:rsidP="00C61544">
            <w:pPr>
              <w:keepNext/>
              <w:spacing w:line="276" w:lineRule="auto"/>
              <w:ind w:right="20"/>
              <w:jc w:val="center"/>
              <w:rPr>
                <w:b/>
                <w:bCs/>
                <w:color w:val="F79646" w:themeColor="accent6"/>
                <w:sz w:val="16"/>
                <w:szCs w:val="16"/>
                <w:lang w:val="ru-RU"/>
              </w:rPr>
            </w:pPr>
            <w:r w:rsidRPr="00FA0032">
              <w:rPr>
                <w:b/>
                <w:color w:val="F79646" w:themeColor="accent6"/>
                <w:sz w:val="16"/>
                <w:szCs w:val="16"/>
                <w:lang w:val="ru-RU"/>
              </w:rPr>
              <w:t>Частично выполнено</w:t>
            </w:r>
          </w:p>
          <w:p w:rsidR="00FA0032" w:rsidRPr="00FA0032" w:rsidRDefault="00FA0032" w:rsidP="00C61544">
            <w:pPr>
              <w:keepNext/>
              <w:keepLines/>
              <w:ind w:right="20"/>
              <w:jc w:val="center"/>
              <w:rPr>
                <w:rFonts w:eastAsia="SimSun" w:cs="Arial"/>
                <w:b/>
                <w:bCs/>
                <w:color w:val="FF0000"/>
                <w:sz w:val="16"/>
                <w:szCs w:val="16"/>
                <w:lang w:val="ru-RU"/>
              </w:rPr>
            </w:pPr>
          </w:p>
        </w:tc>
      </w:tr>
      <w:tr w:rsidR="00FA0032" w:rsidRPr="00CD2604" w:rsidTr="00C61544">
        <w:tc>
          <w:tcPr>
            <w:tcW w:w="994" w:type="pct"/>
            <w:tcBorders>
              <w:top w:val="nil"/>
              <w:left w:val="single" w:sz="4" w:space="0" w:color="auto"/>
              <w:bottom w:val="single" w:sz="4" w:space="0" w:color="auto"/>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Доля (%) заинтересованных сторон, высказавших положительные отзывы о миссии, деятельности и организационном имидже ВОИС</w:t>
            </w:r>
          </w:p>
        </w:tc>
        <w:tc>
          <w:tcPr>
            <w:tcW w:w="1006" w:type="pct"/>
            <w:tcBorders>
              <w:top w:val="nil"/>
              <w:left w:val="nil"/>
              <w:bottom w:val="single" w:sz="4" w:space="0" w:color="auto"/>
              <w:right w:val="nil"/>
            </w:tcBorders>
            <w:shd w:val="clear" w:color="auto" w:fill="auto"/>
          </w:tcPr>
          <w:p w:rsidR="00FA0032" w:rsidRPr="00FA0032" w:rsidRDefault="00FA0032" w:rsidP="00C61544">
            <w:pPr>
              <w:keepNext/>
              <w:keepLines/>
              <w:rPr>
                <w:rFonts w:cs="Arial"/>
                <w:sz w:val="16"/>
                <w:szCs w:val="16"/>
                <w:lang w:val="ru-RU"/>
              </w:rPr>
            </w:pPr>
            <w:r w:rsidRPr="00FA0032">
              <w:rPr>
                <w:sz w:val="16"/>
                <w:szCs w:val="16"/>
                <w:lang w:val="ru-RU"/>
              </w:rPr>
              <w:t>данные отсутствуют (</w:t>
            </w:r>
            <w:r w:rsidRPr="00CD2604">
              <w:rPr>
                <w:sz w:val="16"/>
                <w:szCs w:val="16"/>
              </w:rPr>
              <w:t>WBO</w:t>
            </w:r>
            <w:r w:rsidRPr="00FA0032">
              <w:rPr>
                <w:sz w:val="16"/>
                <w:szCs w:val="16"/>
                <w:lang w:val="ru-RU"/>
              </w:rPr>
              <w:t>)</w:t>
            </w:r>
          </w:p>
          <w:p w:rsidR="00FA0032" w:rsidRPr="00FA0032" w:rsidRDefault="00FA0032" w:rsidP="00C61544">
            <w:pPr>
              <w:keepNext/>
              <w:keepLines/>
              <w:rPr>
                <w:rFonts w:cs="Arial"/>
                <w:sz w:val="16"/>
                <w:szCs w:val="16"/>
                <w:lang w:val="ru-RU"/>
              </w:rPr>
            </w:pPr>
            <w:r w:rsidRPr="00FA0032">
              <w:rPr>
                <w:sz w:val="16"/>
                <w:szCs w:val="16"/>
                <w:lang w:val="ru-RU"/>
              </w:rPr>
              <w:t>данные отсутствуют (</w:t>
            </w:r>
            <w:r w:rsidRPr="00CD2604">
              <w:rPr>
                <w:sz w:val="16"/>
                <w:szCs w:val="16"/>
              </w:rPr>
              <w:t>WJO</w:t>
            </w:r>
            <w:r w:rsidRPr="00FA0032">
              <w:rPr>
                <w:sz w:val="16"/>
                <w:szCs w:val="16"/>
                <w:lang w:val="ru-RU"/>
              </w:rPr>
              <w:t>)</w:t>
            </w:r>
          </w:p>
          <w:p w:rsidR="00FA0032" w:rsidRPr="00CD2604" w:rsidRDefault="00FA0032" w:rsidP="00C61544">
            <w:pPr>
              <w:keepNext/>
              <w:keepLines/>
              <w:rPr>
                <w:rFonts w:cs="Arial"/>
                <w:i/>
                <w:color w:val="002060"/>
                <w:sz w:val="16"/>
                <w:szCs w:val="16"/>
              </w:rPr>
            </w:pPr>
            <w:r w:rsidRPr="00CD2604">
              <w:rPr>
                <w:sz w:val="16"/>
                <w:szCs w:val="16"/>
              </w:rPr>
              <w:t>данные отсутствуют (WSO)</w:t>
            </w:r>
          </w:p>
        </w:tc>
        <w:tc>
          <w:tcPr>
            <w:tcW w:w="871" w:type="pct"/>
            <w:tcBorders>
              <w:top w:val="nil"/>
              <w:left w:val="nil"/>
              <w:bottom w:val="single" w:sz="4" w:space="0" w:color="auto"/>
              <w:right w:val="nil"/>
            </w:tcBorders>
            <w:shd w:val="clear" w:color="auto" w:fill="auto"/>
            <w:tcMar>
              <w:top w:w="110" w:type="dxa"/>
            </w:tcMar>
          </w:tcPr>
          <w:p w:rsidR="00FA0032" w:rsidRPr="00FA0032" w:rsidRDefault="00FA0032" w:rsidP="00C61544">
            <w:pPr>
              <w:keepNext/>
              <w:keepLines/>
              <w:rPr>
                <w:rFonts w:eastAsia="SimSun" w:cs="Arial"/>
                <w:sz w:val="16"/>
                <w:szCs w:val="16"/>
                <w:lang w:val="ru-RU"/>
              </w:rPr>
            </w:pPr>
            <w:r w:rsidRPr="00FA0032">
              <w:rPr>
                <w:sz w:val="16"/>
                <w:szCs w:val="16"/>
                <w:lang w:val="ru-RU"/>
              </w:rPr>
              <w:t>75% (</w:t>
            </w:r>
            <w:r w:rsidRPr="00CD2604">
              <w:rPr>
                <w:sz w:val="16"/>
                <w:szCs w:val="16"/>
              </w:rPr>
              <w:t>WBO</w:t>
            </w:r>
            <w:r w:rsidRPr="00FA0032">
              <w:rPr>
                <w:sz w:val="16"/>
                <w:szCs w:val="16"/>
                <w:lang w:val="ru-RU"/>
              </w:rPr>
              <w:t>)</w:t>
            </w:r>
          </w:p>
          <w:p w:rsidR="00FA0032" w:rsidRPr="00FA0032" w:rsidRDefault="00FA0032" w:rsidP="00C61544">
            <w:pPr>
              <w:keepNext/>
              <w:keepLines/>
              <w:rPr>
                <w:rFonts w:eastAsia="SimSun" w:cs="Arial"/>
                <w:sz w:val="16"/>
                <w:szCs w:val="16"/>
                <w:lang w:val="ru-RU"/>
              </w:rPr>
            </w:pPr>
          </w:p>
          <w:p w:rsidR="00FA0032" w:rsidRPr="00FA0032" w:rsidRDefault="00FA0032" w:rsidP="00C61544">
            <w:pPr>
              <w:keepNext/>
              <w:keepLines/>
              <w:rPr>
                <w:rFonts w:eastAsia="SimSun" w:cs="Arial"/>
                <w:sz w:val="16"/>
                <w:szCs w:val="16"/>
                <w:lang w:val="ru-RU"/>
              </w:rPr>
            </w:pPr>
            <w:r w:rsidRPr="00FA0032">
              <w:rPr>
                <w:sz w:val="16"/>
                <w:szCs w:val="16"/>
                <w:lang w:val="ru-RU"/>
              </w:rPr>
              <w:t>75% (</w:t>
            </w:r>
            <w:r w:rsidRPr="00CD2604">
              <w:rPr>
                <w:sz w:val="16"/>
                <w:szCs w:val="16"/>
              </w:rPr>
              <w:t>WJO</w:t>
            </w:r>
            <w:r w:rsidRPr="00FA0032">
              <w:rPr>
                <w:sz w:val="16"/>
                <w:szCs w:val="16"/>
                <w:lang w:val="ru-RU"/>
              </w:rPr>
              <w:t>)</w:t>
            </w:r>
          </w:p>
          <w:p w:rsidR="00FA0032" w:rsidRPr="00FA0032" w:rsidRDefault="00FA0032" w:rsidP="00C61544">
            <w:pPr>
              <w:keepNext/>
              <w:keepLines/>
              <w:rPr>
                <w:rFonts w:eastAsia="SimSun" w:cs="Arial"/>
                <w:sz w:val="16"/>
                <w:szCs w:val="16"/>
                <w:lang w:val="ru-RU"/>
              </w:rPr>
            </w:pPr>
          </w:p>
          <w:p w:rsidR="00FA0032" w:rsidRPr="00FA0032" w:rsidRDefault="00FA0032" w:rsidP="00C61544">
            <w:pPr>
              <w:keepNext/>
              <w:keepLines/>
              <w:ind w:right="-34"/>
              <w:rPr>
                <w:rFonts w:eastAsia="SimSun" w:cs="Arial"/>
                <w:sz w:val="16"/>
                <w:szCs w:val="16"/>
                <w:lang w:val="ru-RU"/>
              </w:rPr>
            </w:pPr>
            <w:r w:rsidRPr="00FA0032">
              <w:rPr>
                <w:sz w:val="16"/>
                <w:szCs w:val="16"/>
                <w:lang w:val="ru-RU"/>
              </w:rPr>
              <w:t>&gt; 70% участников крупных мероприятий ВОИС (</w:t>
            </w:r>
            <w:r w:rsidRPr="00CD2604">
              <w:rPr>
                <w:sz w:val="16"/>
                <w:szCs w:val="16"/>
              </w:rPr>
              <w:t>WSO</w:t>
            </w:r>
            <w:r w:rsidRPr="00FA0032">
              <w:rPr>
                <w:sz w:val="16"/>
                <w:szCs w:val="16"/>
                <w:lang w:val="ru-RU"/>
              </w:rPr>
              <w:t>)</w:t>
            </w:r>
          </w:p>
        </w:tc>
        <w:tc>
          <w:tcPr>
            <w:tcW w:w="1477" w:type="pct"/>
            <w:gridSpan w:val="2"/>
            <w:tcBorders>
              <w:top w:val="nil"/>
              <w:left w:val="nil"/>
              <w:bottom w:val="single" w:sz="4" w:space="0" w:color="auto"/>
              <w:right w:val="nil"/>
            </w:tcBorders>
            <w:shd w:val="clear" w:color="auto" w:fill="FFFFFF"/>
            <w:tcMar>
              <w:top w:w="110" w:type="dxa"/>
            </w:tcMar>
          </w:tcPr>
          <w:p w:rsidR="00FA0032" w:rsidRPr="00CD2604" w:rsidRDefault="00FA0032" w:rsidP="00C61544">
            <w:pPr>
              <w:keepNext/>
              <w:keepLines/>
              <w:rPr>
                <w:rFonts w:eastAsia="SimSun" w:cs="Arial"/>
                <w:sz w:val="16"/>
                <w:szCs w:val="16"/>
              </w:rPr>
            </w:pPr>
            <w:r w:rsidRPr="00CD2604">
              <w:rPr>
                <w:sz w:val="16"/>
                <w:szCs w:val="16"/>
              </w:rPr>
              <w:t xml:space="preserve">75% (WBO) </w:t>
            </w:r>
          </w:p>
          <w:p w:rsidR="00FA0032" w:rsidRPr="00CD2604" w:rsidRDefault="00FA0032" w:rsidP="00C61544">
            <w:pPr>
              <w:keepNext/>
              <w:keepLines/>
              <w:rPr>
                <w:rFonts w:eastAsia="SimSun" w:cs="Arial"/>
                <w:sz w:val="16"/>
                <w:szCs w:val="16"/>
              </w:rPr>
            </w:pPr>
          </w:p>
          <w:p w:rsidR="00FA0032" w:rsidRPr="00CD2604" w:rsidRDefault="00FA0032" w:rsidP="00C61544">
            <w:pPr>
              <w:keepNext/>
              <w:keepLines/>
              <w:rPr>
                <w:rFonts w:eastAsia="SimSun" w:cs="Arial"/>
                <w:sz w:val="16"/>
                <w:szCs w:val="16"/>
              </w:rPr>
            </w:pPr>
            <w:r w:rsidRPr="00CD2604">
              <w:rPr>
                <w:sz w:val="16"/>
                <w:szCs w:val="16"/>
              </w:rPr>
              <w:t>94% (WJO)</w:t>
            </w:r>
          </w:p>
          <w:p w:rsidR="00FA0032" w:rsidRPr="00CD2604" w:rsidRDefault="00FA0032" w:rsidP="00C61544">
            <w:pPr>
              <w:keepNext/>
              <w:keepLines/>
              <w:rPr>
                <w:rFonts w:eastAsia="SimSun" w:cs="Arial"/>
                <w:sz w:val="16"/>
                <w:szCs w:val="16"/>
              </w:rPr>
            </w:pPr>
          </w:p>
          <w:p w:rsidR="00FA0032" w:rsidRPr="00CD2604" w:rsidRDefault="00FA0032" w:rsidP="00C61544">
            <w:pPr>
              <w:keepNext/>
              <w:keepLines/>
              <w:rPr>
                <w:rFonts w:eastAsia="SimSun" w:cs="Arial"/>
                <w:sz w:val="16"/>
                <w:szCs w:val="16"/>
              </w:rPr>
            </w:pPr>
            <w:r w:rsidRPr="00CD2604">
              <w:rPr>
                <w:sz w:val="16"/>
                <w:szCs w:val="16"/>
              </w:rPr>
              <w:t>90% (WSO)</w:t>
            </w:r>
          </w:p>
        </w:tc>
        <w:tc>
          <w:tcPr>
            <w:tcW w:w="652" w:type="pct"/>
            <w:gridSpan w:val="3"/>
            <w:tcBorders>
              <w:top w:val="nil"/>
              <w:left w:val="nil"/>
              <w:bottom w:val="single" w:sz="4" w:space="0" w:color="auto"/>
              <w:right w:val="single" w:sz="4" w:space="0" w:color="auto"/>
            </w:tcBorders>
            <w:shd w:val="clear" w:color="auto" w:fill="auto"/>
            <w:tcMar>
              <w:top w:w="110" w:type="dxa"/>
            </w:tcMar>
          </w:tcPr>
          <w:p w:rsidR="00FA0032" w:rsidRPr="00CD2604" w:rsidRDefault="00FA0032" w:rsidP="00C61544">
            <w:pPr>
              <w:keepNext/>
              <w:keepLines/>
              <w:ind w:right="20"/>
              <w:jc w:val="center"/>
              <w:rPr>
                <w:b/>
                <w:color w:val="00B050"/>
                <w:sz w:val="16"/>
                <w:szCs w:val="16"/>
              </w:rPr>
            </w:pPr>
            <w:r w:rsidRPr="00CD2604">
              <w:rPr>
                <w:b/>
                <w:color w:val="00B050"/>
                <w:sz w:val="16"/>
                <w:szCs w:val="16"/>
              </w:rPr>
              <w:t>Выполнено</w:t>
            </w: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b/>
                <w:color w:val="00B050"/>
                <w:sz w:val="16"/>
                <w:szCs w:val="16"/>
              </w:rPr>
            </w:pPr>
            <w:r w:rsidRPr="00CD2604">
              <w:rPr>
                <w:b/>
                <w:color w:val="00B050"/>
                <w:sz w:val="16"/>
                <w:szCs w:val="16"/>
              </w:rPr>
              <w:t>Выполнено</w:t>
            </w:r>
          </w:p>
          <w:p w:rsidR="00FA0032" w:rsidRPr="00CD2604" w:rsidRDefault="00FA0032" w:rsidP="00C61544">
            <w:pPr>
              <w:keepNext/>
              <w:keepLines/>
              <w:ind w:right="20"/>
              <w:jc w:val="center"/>
              <w:rPr>
                <w:rFonts w:eastAsia="SimSun" w:cs="Arial"/>
                <w:b/>
                <w:bCs/>
                <w:color w:val="00B050"/>
                <w:sz w:val="16"/>
                <w:szCs w:val="16"/>
              </w:rPr>
            </w:pPr>
          </w:p>
          <w:p w:rsidR="00FA0032" w:rsidRPr="00CD2604" w:rsidRDefault="00FA0032" w:rsidP="00C61544">
            <w:pPr>
              <w:keepNext/>
              <w:keepLines/>
              <w:ind w:right="20"/>
              <w:jc w:val="center"/>
              <w:rPr>
                <w:rFonts w:eastAsia="SimSun" w:cs="Arial"/>
                <w:b/>
                <w:bCs/>
                <w:color w:val="808080"/>
                <w:sz w:val="16"/>
                <w:szCs w:val="16"/>
              </w:rPr>
            </w:pPr>
            <w:r w:rsidRPr="00CD2604">
              <w:rPr>
                <w:b/>
                <w:color w:val="00B050"/>
                <w:sz w:val="16"/>
                <w:szCs w:val="16"/>
              </w:rPr>
              <w:t>Выполнено</w:t>
            </w:r>
          </w:p>
        </w:tc>
      </w:tr>
      <w:tr w:rsidR="00FA0032" w:rsidRPr="005C6ABD" w:rsidTr="00C61544">
        <w:tc>
          <w:tcPr>
            <w:tcW w:w="5000" w:type="pct"/>
            <w:gridSpan w:val="8"/>
            <w:tcBorders>
              <w:top w:val="single" w:sz="4" w:space="0" w:color="auto"/>
              <w:bottom w:val="single" w:sz="4" w:space="0" w:color="auto"/>
            </w:tcBorders>
            <w:shd w:val="clear" w:color="auto" w:fill="C6D9F1" w:themeFill="text2" w:themeFillTint="33"/>
          </w:tcPr>
          <w:p w:rsidR="00FA0032" w:rsidRPr="00FA0032" w:rsidRDefault="00FA0032" w:rsidP="00D340AF">
            <w:pPr>
              <w:tabs>
                <w:tab w:val="left" w:pos="2302"/>
              </w:tabs>
              <w:spacing w:before="120" w:after="120"/>
              <w:ind w:left="2302" w:hanging="2302"/>
              <w:rPr>
                <w:rFonts w:eastAsia="SimSun" w:cs="Arial"/>
                <w:b/>
                <w:bCs/>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sz w:val="16"/>
                <w:szCs w:val="16"/>
              </w:rPr>
              <w:t>VIII</w:t>
            </w:r>
            <w:r w:rsidRPr="00FA0032">
              <w:rPr>
                <w:sz w:val="16"/>
                <w:szCs w:val="16"/>
                <w:lang w:val="ru-RU"/>
              </w:rPr>
              <w:t>.2. Повышение степени ориентированности на услуги и</w:t>
            </w:r>
            <w:r w:rsidR="00D340AF">
              <w:rPr>
                <w:sz w:val="16"/>
                <w:szCs w:val="16"/>
                <w:lang w:val="ru-RU"/>
              </w:rPr>
              <w:t xml:space="preserve"> оперативности реагирования на </w:t>
            </w:r>
            <w:r w:rsidRPr="00FA0032">
              <w:rPr>
                <w:sz w:val="16"/>
                <w:szCs w:val="16"/>
                <w:lang w:val="ru-RU"/>
              </w:rPr>
              <w:t>запросы</w:t>
            </w:r>
          </w:p>
        </w:tc>
      </w:tr>
      <w:tr w:rsidR="00FA0032" w:rsidRPr="00CD2604" w:rsidTr="00C61544">
        <w:tc>
          <w:tcPr>
            <w:tcW w:w="994" w:type="pct"/>
            <w:tcBorders>
              <w:top w:val="single" w:sz="4" w:space="0" w:color="auto"/>
              <w:left w:val="single" w:sz="4" w:space="0" w:color="auto"/>
              <w:bottom w:val="nil"/>
              <w:right w:val="nil"/>
            </w:tcBorders>
            <w:shd w:val="clear" w:color="auto" w:fill="auto"/>
          </w:tcPr>
          <w:p w:rsidR="00FA0032" w:rsidRPr="00CD2604" w:rsidRDefault="00FA0032" w:rsidP="00C61544">
            <w:pPr>
              <w:rPr>
                <w:rFonts w:eastAsia="SimSun" w:cs="Arial"/>
                <w:color w:val="000000"/>
                <w:sz w:val="16"/>
                <w:szCs w:val="16"/>
              </w:rPr>
            </w:pPr>
            <w:r w:rsidRPr="00CD2604">
              <w:rPr>
                <w:b/>
                <w:sz w:val="16"/>
                <w:szCs w:val="16"/>
              </w:rPr>
              <w:t>Показатели результативности</w:t>
            </w:r>
          </w:p>
        </w:tc>
        <w:tc>
          <w:tcPr>
            <w:tcW w:w="1006" w:type="pct"/>
            <w:tcBorders>
              <w:top w:val="single" w:sz="4" w:space="0" w:color="auto"/>
              <w:left w:val="nil"/>
              <w:bottom w:val="nil"/>
              <w:right w:val="nil"/>
            </w:tcBorders>
            <w:shd w:val="clear" w:color="auto" w:fill="auto"/>
          </w:tcPr>
          <w:p w:rsidR="00FA0032" w:rsidRPr="00CD2604" w:rsidRDefault="00FA0032" w:rsidP="00C61544">
            <w:pPr>
              <w:rPr>
                <w:rFonts w:cs="Arial"/>
                <w:i/>
                <w:color w:val="002060"/>
                <w:sz w:val="16"/>
                <w:szCs w:val="16"/>
              </w:rPr>
            </w:pPr>
            <w:r w:rsidRPr="00CD2604">
              <w:rPr>
                <w:b/>
                <w:sz w:val="16"/>
                <w:szCs w:val="16"/>
              </w:rPr>
              <w:t>Базовые показатели</w:t>
            </w:r>
          </w:p>
        </w:tc>
        <w:tc>
          <w:tcPr>
            <w:tcW w:w="871" w:type="pct"/>
            <w:tcBorders>
              <w:top w:val="single" w:sz="4" w:space="0" w:color="auto"/>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b/>
                <w:sz w:val="16"/>
                <w:szCs w:val="16"/>
              </w:rPr>
              <w:t>Цели</w:t>
            </w:r>
          </w:p>
        </w:tc>
        <w:tc>
          <w:tcPr>
            <w:tcW w:w="1528" w:type="pct"/>
            <w:gridSpan w:val="4"/>
            <w:tcBorders>
              <w:top w:val="single" w:sz="4"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p>
        </w:tc>
        <w:tc>
          <w:tcPr>
            <w:tcW w:w="601" w:type="pct"/>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808080"/>
                <w:sz w:val="16"/>
                <w:szCs w:val="16"/>
              </w:rPr>
            </w:pPr>
            <w:r w:rsidRPr="00CD2604">
              <w:rPr>
                <w:b/>
                <w:sz w:val="16"/>
                <w:szCs w:val="16"/>
              </w:rPr>
              <w:t>CC</w:t>
            </w:r>
          </w:p>
        </w:tc>
      </w:tr>
      <w:tr w:rsidR="00FA0032" w:rsidRPr="00CD2604" w:rsidTr="00D340AF">
        <w:trPr>
          <w:trHeight w:val="1258"/>
        </w:trPr>
        <w:tc>
          <w:tcPr>
            <w:tcW w:w="994" w:type="pct"/>
            <w:tcBorders>
              <w:top w:val="nil"/>
              <w:left w:val="single" w:sz="4" w:space="0" w:color="auto"/>
              <w:bottom w:val="single" w:sz="4" w:space="0" w:color="auto"/>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Степень удовлетворенности клиентов/ заинтересованных лиц</w:t>
            </w:r>
          </w:p>
        </w:tc>
        <w:tc>
          <w:tcPr>
            <w:tcW w:w="1006" w:type="pct"/>
            <w:tcBorders>
              <w:top w:val="nil"/>
              <w:left w:val="nil"/>
              <w:bottom w:val="single" w:sz="4" w:space="0" w:color="auto"/>
              <w:right w:val="nil"/>
            </w:tcBorders>
            <w:shd w:val="clear" w:color="auto" w:fill="auto"/>
          </w:tcPr>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WBO</w:t>
            </w:r>
            <w:r w:rsidRPr="00FA0032">
              <w:rPr>
                <w:sz w:val="16"/>
                <w:szCs w:val="16"/>
                <w:lang w:val="ru-RU"/>
              </w:rPr>
              <w:t>)</w:t>
            </w:r>
          </w:p>
          <w:p w:rsidR="00FA0032" w:rsidRPr="00FA0032" w:rsidRDefault="00FA0032" w:rsidP="00C61544">
            <w:pPr>
              <w:rPr>
                <w:rFonts w:cs="Arial"/>
                <w:sz w:val="16"/>
                <w:szCs w:val="16"/>
                <w:lang w:val="ru-RU"/>
              </w:rPr>
            </w:pPr>
            <w:r w:rsidRPr="00FA0032">
              <w:rPr>
                <w:sz w:val="16"/>
                <w:szCs w:val="16"/>
                <w:lang w:val="ru-RU"/>
              </w:rPr>
              <w:t>данные отсутствуют (</w:t>
            </w:r>
            <w:r w:rsidRPr="00CD2604">
              <w:rPr>
                <w:sz w:val="16"/>
                <w:szCs w:val="16"/>
              </w:rPr>
              <w:t>WJO</w:t>
            </w:r>
            <w:r w:rsidRPr="00FA0032">
              <w:rPr>
                <w:sz w:val="16"/>
                <w:szCs w:val="16"/>
                <w:lang w:val="ru-RU"/>
              </w:rPr>
              <w:t>)</w:t>
            </w:r>
          </w:p>
          <w:p w:rsidR="00FA0032" w:rsidRPr="00CD2604" w:rsidRDefault="00FA0032" w:rsidP="00C61544">
            <w:pPr>
              <w:rPr>
                <w:rFonts w:cs="Arial"/>
                <w:i/>
                <w:color w:val="002060"/>
                <w:sz w:val="16"/>
                <w:szCs w:val="16"/>
              </w:rPr>
            </w:pPr>
            <w:r w:rsidRPr="00CD2604">
              <w:rPr>
                <w:sz w:val="16"/>
                <w:szCs w:val="16"/>
              </w:rPr>
              <w:t>данные отсутствуют (WSO)</w:t>
            </w:r>
          </w:p>
        </w:tc>
        <w:tc>
          <w:tcPr>
            <w:tcW w:w="871" w:type="pct"/>
            <w:tcBorders>
              <w:top w:val="nil"/>
              <w:left w:val="nil"/>
              <w:bottom w:val="single" w:sz="4" w:space="0" w:color="auto"/>
              <w:right w:val="nil"/>
            </w:tcBorders>
            <w:shd w:val="clear" w:color="auto" w:fill="auto"/>
            <w:tcMar>
              <w:top w:w="110" w:type="dxa"/>
            </w:tcMar>
          </w:tcPr>
          <w:p w:rsidR="00FA0032" w:rsidRPr="00FA0032" w:rsidRDefault="00FA0032" w:rsidP="00C61544">
            <w:pPr>
              <w:rPr>
                <w:rFonts w:eastAsia="SimSun" w:cs="Arial"/>
                <w:sz w:val="16"/>
                <w:szCs w:val="16"/>
                <w:lang w:val="ru-RU"/>
              </w:rPr>
            </w:pPr>
            <w:r w:rsidRPr="00FA0032">
              <w:rPr>
                <w:sz w:val="16"/>
                <w:szCs w:val="16"/>
                <w:lang w:val="ru-RU"/>
              </w:rPr>
              <w:t>Будут определены позднее (</w:t>
            </w:r>
            <w:r w:rsidRPr="00CD2604">
              <w:rPr>
                <w:sz w:val="16"/>
                <w:szCs w:val="16"/>
              </w:rPr>
              <w:t>WBO</w:t>
            </w:r>
            <w:r w:rsidRPr="00FA0032">
              <w:rPr>
                <w:sz w:val="16"/>
                <w:szCs w:val="16"/>
                <w:lang w:val="ru-RU"/>
              </w:rPr>
              <w:t>)</w:t>
            </w:r>
          </w:p>
          <w:p w:rsidR="00FA0032" w:rsidRPr="00FA0032" w:rsidRDefault="00FA0032" w:rsidP="00C61544">
            <w:pPr>
              <w:rPr>
                <w:rFonts w:eastAsia="SimSun" w:cs="Arial"/>
                <w:sz w:val="16"/>
                <w:szCs w:val="16"/>
                <w:lang w:val="ru-RU"/>
              </w:rPr>
            </w:pPr>
            <w:r w:rsidRPr="00FA0032">
              <w:rPr>
                <w:sz w:val="16"/>
                <w:szCs w:val="16"/>
                <w:lang w:val="ru-RU"/>
              </w:rPr>
              <w:t>Будут определены позднее (</w:t>
            </w:r>
            <w:r w:rsidRPr="00CD2604">
              <w:rPr>
                <w:sz w:val="16"/>
                <w:szCs w:val="16"/>
              </w:rPr>
              <w:t>WJO</w:t>
            </w:r>
            <w:r w:rsidRPr="00FA0032">
              <w:rPr>
                <w:sz w:val="16"/>
                <w:szCs w:val="16"/>
                <w:lang w:val="ru-RU"/>
              </w:rPr>
              <w:t>)</w:t>
            </w:r>
          </w:p>
          <w:p w:rsidR="00FA0032" w:rsidRPr="00FA0032" w:rsidRDefault="00FA0032" w:rsidP="00C61544">
            <w:pPr>
              <w:rPr>
                <w:rFonts w:eastAsia="SimSun" w:cs="Arial"/>
                <w:sz w:val="16"/>
                <w:szCs w:val="16"/>
                <w:lang w:val="ru-RU"/>
              </w:rPr>
            </w:pPr>
            <w:r w:rsidRPr="00FA0032">
              <w:rPr>
                <w:sz w:val="16"/>
                <w:szCs w:val="16"/>
                <w:lang w:val="ru-RU"/>
              </w:rPr>
              <w:t xml:space="preserve">&gt; 90% позвонивших были удовлетворены уровнем услуг, оказываемых </w:t>
            </w:r>
            <w:r w:rsidRPr="00CD2604">
              <w:rPr>
                <w:sz w:val="16"/>
                <w:szCs w:val="16"/>
              </w:rPr>
              <w:t>WSO</w:t>
            </w:r>
            <w:r w:rsidRPr="00FA0032">
              <w:rPr>
                <w:sz w:val="16"/>
                <w:szCs w:val="16"/>
                <w:lang w:val="ru-RU"/>
              </w:rPr>
              <w:t xml:space="preserve"> (</w:t>
            </w:r>
            <w:r w:rsidRPr="00CD2604">
              <w:rPr>
                <w:sz w:val="16"/>
                <w:szCs w:val="16"/>
              </w:rPr>
              <w:t>WSO</w:t>
            </w:r>
            <w:r w:rsidRPr="00FA0032">
              <w:rPr>
                <w:sz w:val="16"/>
                <w:szCs w:val="16"/>
                <w:lang w:val="ru-RU"/>
              </w:rPr>
              <w:t>)</w:t>
            </w:r>
          </w:p>
        </w:tc>
        <w:tc>
          <w:tcPr>
            <w:tcW w:w="1528" w:type="pct"/>
            <w:gridSpan w:val="4"/>
            <w:tcBorders>
              <w:top w:val="nil"/>
              <w:left w:val="nil"/>
              <w:bottom w:val="single" w:sz="4" w:space="0" w:color="auto"/>
              <w:right w:val="nil"/>
            </w:tcBorders>
            <w:shd w:val="clear" w:color="auto" w:fill="FFFFFF"/>
            <w:tcMar>
              <w:top w:w="110" w:type="dxa"/>
            </w:tcMar>
          </w:tcPr>
          <w:p w:rsidR="00FA0032" w:rsidRPr="00FA0032" w:rsidRDefault="00FA0032" w:rsidP="00C61544">
            <w:pPr>
              <w:rPr>
                <w:rFonts w:eastAsia="SimSun" w:cs="Arial"/>
                <w:sz w:val="16"/>
                <w:szCs w:val="16"/>
                <w:lang w:val="ru-RU"/>
              </w:rPr>
            </w:pPr>
            <w:r w:rsidRPr="00FA0032">
              <w:rPr>
                <w:sz w:val="16"/>
                <w:szCs w:val="16"/>
                <w:lang w:val="ru-RU"/>
              </w:rPr>
              <w:t>данные отсутствуют (</w:t>
            </w:r>
            <w:r w:rsidRPr="00CD2604">
              <w:rPr>
                <w:sz w:val="16"/>
                <w:szCs w:val="16"/>
              </w:rPr>
              <w:t>WBO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95% позвонивших удовлетворены (</w:t>
            </w:r>
            <w:r w:rsidRPr="00CD2604">
              <w:rPr>
                <w:sz w:val="16"/>
                <w:szCs w:val="16"/>
              </w:rPr>
              <w:t>WJO</w:t>
            </w:r>
            <w:r w:rsidRPr="00FA0032">
              <w:rPr>
                <w:sz w:val="16"/>
                <w:szCs w:val="16"/>
                <w:lang w:val="ru-RU"/>
              </w:rPr>
              <w:t>)</w:t>
            </w:r>
          </w:p>
          <w:p w:rsidR="00FA0032" w:rsidRPr="00FA0032" w:rsidRDefault="00FA0032" w:rsidP="00C61544">
            <w:pPr>
              <w:rPr>
                <w:rFonts w:eastAsia="SimSun" w:cs="Arial"/>
                <w:sz w:val="16"/>
                <w:szCs w:val="16"/>
                <w:lang w:val="ru-RU"/>
              </w:rPr>
            </w:pPr>
          </w:p>
          <w:p w:rsidR="00FA0032" w:rsidRPr="00CD2604" w:rsidRDefault="00FA0032" w:rsidP="00C61544">
            <w:pPr>
              <w:rPr>
                <w:rFonts w:eastAsia="SimSun" w:cs="Arial"/>
                <w:sz w:val="16"/>
                <w:szCs w:val="16"/>
              </w:rPr>
            </w:pPr>
            <w:r w:rsidRPr="00CD2604">
              <w:rPr>
                <w:sz w:val="16"/>
                <w:szCs w:val="16"/>
              </w:rPr>
              <w:t>93% позвонивших удовлетворены (WSO)</w:t>
            </w:r>
          </w:p>
        </w:tc>
        <w:tc>
          <w:tcPr>
            <w:tcW w:w="601" w:type="pct"/>
            <w:tcBorders>
              <w:top w:val="nil"/>
              <w:left w:val="nil"/>
              <w:bottom w:val="single" w:sz="4" w:space="0" w:color="auto"/>
              <w:right w:val="single" w:sz="4" w:space="0" w:color="auto"/>
            </w:tcBorders>
            <w:shd w:val="clear" w:color="auto" w:fill="auto"/>
            <w:tcMar>
              <w:top w:w="110" w:type="dxa"/>
            </w:tcMar>
          </w:tcPr>
          <w:p w:rsidR="00FA0032" w:rsidRPr="00FA0032" w:rsidRDefault="00FA0032" w:rsidP="00C61544">
            <w:pPr>
              <w:keepNext/>
              <w:keepLines/>
              <w:ind w:left="-117" w:right="20"/>
              <w:jc w:val="center"/>
              <w:rPr>
                <w:b/>
                <w:color w:val="808080" w:themeColor="background1" w:themeShade="80"/>
                <w:sz w:val="16"/>
                <w:szCs w:val="16"/>
                <w:lang w:val="ru-RU"/>
              </w:rPr>
            </w:pPr>
            <w:r w:rsidRPr="00FA0032">
              <w:rPr>
                <w:b/>
                <w:color w:val="808080" w:themeColor="background1" w:themeShade="80"/>
                <w:sz w:val="16"/>
                <w:szCs w:val="16"/>
                <w:lang w:val="ru-RU"/>
              </w:rPr>
              <w:t>Не подлежит оценке</w:t>
            </w:r>
          </w:p>
          <w:p w:rsidR="00FA0032" w:rsidRPr="00FA0032" w:rsidRDefault="00FA0032" w:rsidP="00C61544">
            <w:pPr>
              <w:keepNext/>
              <w:keepLines/>
              <w:ind w:left="-117" w:right="20"/>
              <w:jc w:val="center"/>
              <w:rPr>
                <w:rFonts w:eastAsia="SimSun" w:cs="Arial"/>
                <w:b/>
                <w:bCs/>
                <w:color w:val="808080" w:themeColor="background1" w:themeShade="80"/>
                <w:sz w:val="16"/>
                <w:szCs w:val="16"/>
                <w:lang w:val="ru-RU"/>
              </w:rPr>
            </w:pPr>
          </w:p>
          <w:p w:rsidR="00FA0032" w:rsidRPr="00FA0032" w:rsidRDefault="00FA0032" w:rsidP="00C61544">
            <w:pPr>
              <w:keepNext/>
              <w:keepLines/>
              <w:ind w:left="-117" w:right="20"/>
              <w:jc w:val="center"/>
              <w:rPr>
                <w:b/>
                <w:color w:val="808080" w:themeColor="background1" w:themeShade="80"/>
                <w:sz w:val="16"/>
                <w:szCs w:val="16"/>
                <w:lang w:val="ru-RU"/>
              </w:rPr>
            </w:pPr>
            <w:r w:rsidRPr="00FA0032">
              <w:rPr>
                <w:b/>
                <w:color w:val="808080" w:themeColor="background1" w:themeShade="80"/>
                <w:sz w:val="16"/>
                <w:szCs w:val="16"/>
                <w:lang w:val="ru-RU"/>
              </w:rPr>
              <w:t>Не подлежит оценке</w:t>
            </w:r>
          </w:p>
          <w:p w:rsidR="00FA0032" w:rsidRPr="00FA0032" w:rsidRDefault="00FA0032" w:rsidP="00C61544">
            <w:pPr>
              <w:keepNext/>
              <w:keepLines/>
              <w:ind w:left="-117" w:right="20"/>
              <w:jc w:val="center"/>
              <w:rPr>
                <w:rFonts w:eastAsia="SimSun" w:cs="Arial"/>
                <w:b/>
                <w:bCs/>
                <w:color w:val="808080" w:themeColor="background1" w:themeShade="80"/>
                <w:sz w:val="16"/>
                <w:szCs w:val="16"/>
                <w:lang w:val="ru-RU"/>
              </w:rPr>
            </w:pPr>
          </w:p>
          <w:p w:rsidR="00FA0032" w:rsidRPr="00CD2604" w:rsidRDefault="00FA0032" w:rsidP="00C61544">
            <w:pPr>
              <w:keepNext/>
              <w:keepLines/>
              <w:ind w:left="-117" w:right="20"/>
              <w:jc w:val="center"/>
              <w:rPr>
                <w:rFonts w:eastAsia="SimSun" w:cs="Arial"/>
                <w:b/>
                <w:bCs/>
                <w:sz w:val="16"/>
                <w:szCs w:val="16"/>
              </w:rPr>
            </w:pPr>
            <w:r w:rsidRPr="00CD2604">
              <w:rPr>
                <w:b/>
                <w:color w:val="00B050"/>
                <w:sz w:val="16"/>
                <w:szCs w:val="16"/>
              </w:rPr>
              <w:t>Выполнено</w:t>
            </w:r>
          </w:p>
        </w:tc>
      </w:tr>
      <w:tr w:rsidR="00FA0032" w:rsidRPr="00CD2604" w:rsidTr="00D340AF">
        <w:trPr>
          <w:trHeight w:val="1510"/>
        </w:trPr>
        <w:tc>
          <w:tcPr>
            <w:tcW w:w="994" w:type="pct"/>
            <w:tcBorders>
              <w:top w:val="single" w:sz="4" w:space="0" w:color="auto"/>
              <w:left w:val="single" w:sz="4" w:space="0" w:color="auto"/>
              <w:bottom w:val="single" w:sz="4" w:space="0" w:color="auto"/>
              <w:right w:val="nil"/>
            </w:tcBorders>
            <w:shd w:val="clear" w:color="auto" w:fill="auto"/>
          </w:tcPr>
          <w:p w:rsidR="00FA0032" w:rsidRPr="00CD2604" w:rsidRDefault="00FA0032" w:rsidP="00C61544">
            <w:pPr>
              <w:rPr>
                <w:rFonts w:eastAsia="SimSun" w:cs="Arial"/>
                <w:color w:val="000000"/>
                <w:sz w:val="16"/>
                <w:szCs w:val="16"/>
              </w:rPr>
            </w:pPr>
            <w:r w:rsidRPr="00CD2604">
              <w:rPr>
                <w:color w:val="000000"/>
                <w:sz w:val="16"/>
                <w:szCs w:val="16"/>
              </w:rPr>
              <w:t>Время обработки информационных запросов</w:t>
            </w:r>
          </w:p>
        </w:tc>
        <w:tc>
          <w:tcPr>
            <w:tcW w:w="1006" w:type="pct"/>
            <w:tcBorders>
              <w:top w:val="single" w:sz="4" w:space="0" w:color="auto"/>
              <w:left w:val="nil"/>
              <w:bottom w:val="single" w:sz="4" w:space="0" w:color="auto"/>
              <w:right w:val="nil"/>
            </w:tcBorders>
            <w:shd w:val="clear" w:color="auto" w:fill="auto"/>
          </w:tcPr>
          <w:p w:rsidR="00FA0032" w:rsidRPr="00FA0032" w:rsidRDefault="00FA0032" w:rsidP="00C61544">
            <w:pPr>
              <w:spacing w:after="120"/>
              <w:rPr>
                <w:rFonts w:cs="Arial"/>
                <w:sz w:val="16"/>
                <w:szCs w:val="16"/>
                <w:lang w:val="ru-RU"/>
              </w:rPr>
            </w:pPr>
            <w:r w:rsidRPr="00FA0032">
              <w:rPr>
                <w:sz w:val="16"/>
                <w:szCs w:val="16"/>
                <w:lang w:val="ru-RU"/>
              </w:rPr>
              <w:t>данные отсутствуют (</w:t>
            </w:r>
            <w:r w:rsidRPr="00CD2604">
              <w:rPr>
                <w:sz w:val="16"/>
                <w:szCs w:val="16"/>
              </w:rPr>
              <w:t>WBO</w:t>
            </w:r>
            <w:r w:rsidRPr="00FA0032">
              <w:rPr>
                <w:sz w:val="16"/>
                <w:szCs w:val="16"/>
                <w:lang w:val="ru-RU"/>
              </w:rPr>
              <w:t>)</w:t>
            </w:r>
          </w:p>
          <w:p w:rsidR="00FA0032" w:rsidRPr="00FA0032" w:rsidRDefault="00FA0032" w:rsidP="00C61544">
            <w:pPr>
              <w:spacing w:after="120"/>
              <w:rPr>
                <w:rFonts w:cs="Arial"/>
                <w:sz w:val="16"/>
                <w:szCs w:val="16"/>
                <w:lang w:val="ru-RU"/>
              </w:rPr>
            </w:pPr>
            <w:r w:rsidRPr="00FA0032">
              <w:rPr>
                <w:sz w:val="16"/>
                <w:szCs w:val="16"/>
                <w:lang w:val="ru-RU"/>
              </w:rPr>
              <w:t>данные отсутствуют (</w:t>
            </w:r>
            <w:r w:rsidRPr="00CD2604">
              <w:rPr>
                <w:sz w:val="16"/>
                <w:szCs w:val="16"/>
              </w:rPr>
              <w:t>WJO</w:t>
            </w:r>
            <w:r w:rsidRPr="00FA0032">
              <w:rPr>
                <w:sz w:val="16"/>
                <w:szCs w:val="16"/>
                <w:lang w:val="ru-RU"/>
              </w:rPr>
              <w:t>)</w:t>
            </w:r>
          </w:p>
          <w:p w:rsidR="00FA0032" w:rsidRPr="00CD2604" w:rsidRDefault="00FA0032" w:rsidP="00C61544">
            <w:pPr>
              <w:spacing w:after="120"/>
              <w:rPr>
                <w:rFonts w:cs="Arial"/>
                <w:sz w:val="16"/>
                <w:szCs w:val="16"/>
              </w:rPr>
            </w:pPr>
            <w:r w:rsidRPr="00CD2604">
              <w:rPr>
                <w:sz w:val="16"/>
                <w:szCs w:val="16"/>
              </w:rPr>
              <w:t>данные отсутствуют (WSO)</w:t>
            </w:r>
          </w:p>
        </w:tc>
        <w:tc>
          <w:tcPr>
            <w:tcW w:w="871" w:type="pct"/>
            <w:tcBorders>
              <w:top w:val="single" w:sz="4" w:space="0" w:color="auto"/>
              <w:left w:val="nil"/>
              <w:bottom w:val="single" w:sz="4" w:space="0" w:color="auto"/>
              <w:right w:val="nil"/>
            </w:tcBorders>
            <w:shd w:val="clear" w:color="auto" w:fill="auto"/>
            <w:tcMar>
              <w:top w:w="110" w:type="dxa"/>
            </w:tcMar>
          </w:tcPr>
          <w:p w:rsidR="00FA0032" w:rsidRPr="00FA0032" w:rsidRDefault="00FA0032" w:rsidP="00C61544">
            <w:pPr>
              <w:spacing w:after="120"/>
              <w:rPr>
                <w:rFonts w:eastAsia="SimSun" w:cs="Arial"/>
                <w:sz w:val="16"/>
                <w:szCs w:val="16"/>
                <w:lang w:val="ru-RU"/>
              </w:rPr>
            </w:pPr>
            <w:r w:rsidRPr="00FA0032">
              <w:rPr>
                <w:sz w:val="16"/>
                <w:szCs w:val="16"/>
                <w:lang w:val="ru-RU"/>
              </w:rPr>
              <w:t>Будут определены позднее (</w:t>
            </w:r>
            <w:r w:rsidRPr="00CD2604">
              <w:rPr>
                <w:sz w:val="16"/>
                <w:szCs w:val="16"/>
              </w:rPr>
              <w:t>WBO</w:t>
            </w:r>
            <w:r w:rsidRPr="00FA0032">
              <w:rPr>
                <w:sz w:val="16"/>
                <w:szCs w:val="16"/>
                <w:lang w:val="ru-RU"/>
              </w:rPr>
              <w:t>)</w:t>
            </w:r>
          </w:p>
          <w:p w:rsidR="00FA0032" w:rsidRPr="00FA0032" w:rsidRDefault="00FA0032" w:rsidP="00C61544">
            <w:pPr>
              <w:spacing w:after="120"/>
              <w:rPr>
                <w:rFonts w:eastAsia="SimSun" w:cs="Arial"/>
                <w:sz w:val="16"/>
                <w:szCs w:val="16"/>
                <w:lang w:val="ru-RU"/>
              </w:rPr>
            </w:pPr>
            <w:r w:rsidRPr="00FA0032">
              <w:rPr>
                <w:sz w:val="16"/>
                <w:szCs w:val="16"/>
                <w:lang w:val="ru-RU"/>
              </w:rPr>
              <w:t>Будут определены позднее (</w:t>
            </w:r>
            <w:r w:rsidRPr="00CD2604">
              <w:rPr>
                <w:sz w:val="16"/>
                <w:szCs w:val="16"/>
              </w:rPr>
              <w:t>WJO</w:t>
            </w:r>
            <w:r w:rsidRPr="00FA0032">
              <w:rPr>
                <w:sz w:val="16"/>
                <w:szCs w:val="16"/>
                <w:lang w:val="ru-RU"/>
              </w:rPr>
              <w:t>)</w:t>
            </w:r>
          </w:p>
          <w:p w:rsidR="00FA0032" w:rsidRPr="00FA0032" w:rsidRDefault="00FA0032" w:rsidP="00C61544">
            <w:pPr>
              <w:spacing w:after="120"/>
              <w:rPr>
                <w:rFonts w:eastAsia="SimSun" w:cs="Arial"/>
                <w:sz w:val="16"/>
                <w:szCs w:val="16"/>
                <w:lang w:val="ru-RU"/>
              </w:rPr>
            </w:pPr>
            <w:r w:rsidRPr="00FA0032">
              <w:rPr>
                <w:sz w:val="16"/>
                <w:szCs w:val="16"/>
                <w:lang w:val="ru-RU"/>
              </w:rPr>
              <w:t>В 95% случаев ответы были направлены в течение 3 рабочих дней (</w:t>
            </w:r>
            <w:r w:rsidRPr="00CD2604">
              <w:rPr>
                <w:sz w:val="16"/>
                <w:szCs w:val="16"/>
              </w:rPr>
              <w:t>WSO</w:t>
            </w:r>
            <w:r w:rsidRPr="00FA0032">
              <w:rPr>
                <w:sz w:val="16"/>
                <w:szCs w:val="16"/>
                <w:lang w:val="ru-RU"/>
              </w:rPr>
              <w:t>)</w:t>
            </w:r>
          </w:p>
        </w:tc>
        <w:tc>
          <w:tcPr>
            <w:tcW w:w="1528" w:type="pct"/>
            <w:gridSpan w:val="4"/>
            <w:tcBorders>
              <w:top w:val="single" w:sz="4" w:space="0" w:color="auto"/>
              <w:left w:val="nil"/>
              <w:bottom w:val="single" w:sz="4" w:space="0" w:color="auto"/>
              <w:right w:val="nil"/>
            </w:tcBorders>
            <w:shd w:val="clear" w:color="auto" w:fill="FFFFFF"/>
            <w:tcMar>
              <w:top w:w="110" w:type="dxa"/>
            </w:tcMar>
          </w:tcPr>
          <w:p w:rsidR="00FA0032" w:rsidRPr="00FA0032" w:rsidRDefault="00FA0032" w:rsidP="00C61544">
            <w:pPr>
              <w:spacing w:after="120"/>
              <w:rPr>
                <w:rFonts w:eastAsia="SimSun" w:cs="Arial"/>
                <w:sz w:val="16"/>
                <w:szCs w:val="16"/>
                <w:lang w:val="ru-RU"/>
              </w:rPr>
            </w:pPr>
            <w:r w:rsidRPr="00FA0032">
              <w:rPr>
                <w:sz w:val="16"/>
                <w:szCs w:val="16"/>
                <w:lang w:val="ru-RU"/>
              </w:rPr>
              <w:t>Данные отсутствуют (</w:t>
            </w:r>
            <w:r w:rsidRPr="00CD2604">
              <w:rPr>
                <w:sz w:val="16"/>
                <w:szCs w:val="16"/>
              </w:rPr>
              <w:t>WBO</w:t>
            </w:r>
            <w:r w:rsidRPr="00FA0032">
              <w:rPr>
                <w:sz w:val="16"/>
                <w:szCs w:val="16"/>
                <w:lang w:val="ru-RU"/>
              </w:rPr>
              <w:t>)</w:t>
            </w:r>
          </w:p>
          <w:p w:rsidR="00FA0032" w:rsidRPr="00FA0032" w:rsidRDefault="00FA0032" w:rsidP="00C61544">
            <w:pPr>
              <w:spacing w:after="120"/>
              <w:rPr>
                <w:rFonts w:eastAsia="SimSun" w:cs="Arial"/>
                <w:sz w:val="16"/>
                <w:szCs w:val="16"/>
                <w:lang w:val="ru-RU"/>
              </w:rPr>
            </w:pPr>
            <w:r w:rsidRPr="00FA0032">
              <w:rPr>
                <w:sz w:val="16"/>
                <w:szCs w:val="16"/>
                <w:lang w:val="ru-RU"/>
              </w:rPr>
              <w:t>В 99% случаев ответы были направлены в течение 3 рабочих дней (</w:t>
            </w:r>
            <w:r w:rsidRPr="00CD2604">
              <w:rPr>
                <w:sz w:val="16"/>
                <w:szCs w:val="16"/>
              </w:rPr>
              <w:t>WJO</w:t>
            </w:r>
            <w:r w:rsidRPr="00FA0032">
              <w:rPr>
                <w:sz w:val="16"/>
                <w:szCs w:val="16"/>
                <w:lang w:val="ru-RU"/>
              </w:rPr>
              <w:t>)</w:t>
            </w:r>
          </w:p>
          <w:p w:rsidR="00FA0032" w:rsidRPr="00FA0032" w:rsidRDefault="00FA0032" w:rsidP="00C61544">
            <w:pPr>
              <w:spacing w:after="120"/>
              <w:rPr>
                <w:rFonts w:eastAsia="SimSun" w:cs="Arial"/>
                <w:sz w:val="16"/>
                <w:szCs w:val="16"/>
                <w:lang w:val="ru-RU"/>
              </w:rPr>
            </w:pPr>
            <w:r w:rsidRPr="00FA0032">
              <w:rPr>
                <w:sz w:val="16"/>
                <w:szCs w:val="16"/>
                <w:lang w:val="ru-RU"/>
              </w:rPr>
              <w:t>В 95% случаев ответы были направлены в течение 3 рабочих дней (</w:t>
            </w:r>
            <w:r w:rsidRPr="00CD2604">
              <w:rPr>
                <w:sz w:val="16"/>
                <w:szCs w:val="16"/>
              </w:rPr>
              <w:t>WSO</w:t>
            </w:r>
            <w:r w:rsidRPr="00FA0032">
              <w:rPr>
                <w:sz w:val="16"/>
                <w:szCs w:val="16"/>
                <w:lang w:val="ru-RU"/>
              </w:rPr>
              <w:t>)</w:t>
            </w:r>
          </w:p>
        </w:tc>
        <w:tc>
          <w:tcPr>
            <w:tcW w:w="601" w:type="pct"/>
            <w:tcBorders>
              <w:top w:val="single" w:sz="4" w:space="0" w:color="auto"/>
              <w:left w:val="nil"/>
              <w:bottom w:val="single" w:sz="4" w:space="0" w:color="auto"/>
              <w:right w:val="single" w:sz="4" w:space="0" w:color="auto"/>
            </w:tcBorders>
            <w:shd w:val="clear" w:color="auto" w:fill="auto"/>
            <w:tcMar>
              <w:top w:w="110" w:type="dxa"/>
            </w:tcMar>
          </w:tcPr>
          <w:p w:rsidR="00FA0032" w:rsidRPr="00FA0032" w:rsidRDefault="00FA0032" w:rsidP="00C61544">
            <w:pPr>
              <w:keepNext/>
              <w:keepLines/>
              <w:ind w:left="-117" w:right="20"/>
              <w:jc w:val="center"/>
              <w:rPr>
                <w:b/>
                <w:color w:val="808080" w:themeColor="background1" w:themeShade="80"/>
                <w:sz w:val="16"/>
                <w:szCs w:val="16"/>
                <w:lang w:val="ru-RU"/>
              </w:rPr>
            </w:pPr>
            <w:r w:rsidRPr="00FA0032">
              <w:rPr>
                <w:b/>
                <w:color w:val="808080" w:themeColor="background1" w:themeShade="80"/>
                <w:sz w:val="16"/>
                <w:szCs w:val="16"/>
                <w:lang w:val="ru-RU"/>
              </w:rPr>
              <w:t>Не подлежит оценке</w:t>
            </w:r>
          </w:p>
          <w:p w:rsidR="00FA0032" w:rsidRPr="00FA0032" w:rsidRDefault="00FA0032" w:rsidP="00C61544">
            <w:pPr>
              <w:keepNext/>
              <w:keepLines/>
              <w:ind w:left="-117" w:right="20"/>
              <w:jc w:val="center"/>
              <w:rPr>
                <w:rFonts w:eastAsia="SimSun" w:cs="Arial"/>
                <w:b/>
                <w:bCs/>
                <w:color w:val="808080"/>
                <w:sz w:val="16"/>
                <w:szCs w:val="16"/>
                <w:lang w:val="ru-RU"/>
              </w:rPr>
            </w:pPr>
          </w:p>
          <w:p w:rsidR="00FA0032" w:rsidRPr="00FA0032" w:rsidRDefault="00FA0032" w:rsidP="00C61544">
            <w:pPr>
              <w:keepNext/>
              <w:keepLines/>
              <w:ind w:left="-117" w:right="20"/>
              <w:jc w:val="center"/>
              <w:rPr>
                <w:rFonts w:eastAsia="SimSun" w:cs="Arial"/>
                <w:b/>
                <w:bCs/>
                <w:color w:val="808080" w:themeColor="background1" w:themeShade="80"/>
                <w:sz w:val="16"/>
                <w:szCs w:val="16"/>
                <w:lang w:val="ru-RU"/>
              </w:rPr>
            </w:pPr>
            <w:r w:rsidRPr="00FA0032">
              <w:rPr>
                <w:b/>
                <w:color w:val="808080" w:themeColor="background1" w:themeShade="80"/>
                <w:sz w:val="16"/>
                <w:szCs w:val="16"/>
                <w:lang w:val="ru-RU"/>
              </w:rPr>
              <w:t>Не подлежит оценке</w:t>
            </w:r>
          </w:p>
          <w:p w:rsidR="00FA0032" w:rsidRPr="00FA0032" w:rsidRDefault="00FA0032" w:rsidP="00C61544">
            <w:pPr>
              <w:keepNext/>
              <w:keepLines/>
              <w:ind w:left="-117" w:right="20"/>
              <w:jc w:val="center"/>
              <w:rPr>
                <w:rFonts w:eastAsia="SimSun" w:cs="Arial"/>
                <w:b/>
                <w:bCs/>
                <w:color w:val="00B050"/>
                <w:sz w:val="16"/>
                <w:szCs w:val="16"/>
                <w:lang w:val="ru-RU"/>
              </w:rPr>
            </w:pPr>
          </w:p>
          <w:p w:rsidR="00FA0032" w:rsidRPr="00FA0032" w:rsidRDefault="00FA0032" w:rsidP="00C61544">
            <w:pPr>
              <w:keepNext/>
              <w:keepLines/>
              <w:ind w:left="-117" w:right="20"/>
              <w:jc w:val="center"/>
              <w:rPr>
                <w:rFonts w:eastAsia="SimSun" w:cs="Arial"/>
                <w:b/>
                <w:bCs/>
                <w:color w:val="00B050"/>
                <w:sz w:val="16"/>
                <w:szCs w:val="16"/>
                <w:lang w:val="ru-RU"/>
              </w:rPr>
            </w:pPr>
          </w:p>
          <w:p w:rsidR="00FA0032" w:rsidRPr="00CD2604" w:rsidRDefault="00FA0032" w:rsidP="00C61544">
            <w:pPr>
              <w:keepNext/>
              <w:keepLines/>
              <w:ind w:left="-117" w:right="20"/>
              <w:jc w:val="center"/>
              <w:rPr>
                <w:rFonts w:eastAsia="SimSun" w:cs="Arial"/>
                <w:b/>
                <w:bCs/>
                <w:color w:val="808080"/>
                <w:sz w:val="16"/>
                <w:szCs w:val="16"/>
              </w:rPr>
            </w:pPr>
            <w:r w:rsidRPr="00CD2604">
              <w:rPr>
                <w:b/>
                <w:color w:val="00B050"/>
                <w:sz w:val="16"/>
                <w:szCs w:val="16"/>
              </w:rPr>
              <w:t>Выполнено</w:t>
            </w:r>
          </w:p>
        </w:tc>
      </w:tr>
      <w:tr w:rsidR="00FA0032" w:rsidRPr="005C6ABD" w:rsidTr="00C61544">
        <w:tc>
          <w:tcPr>
            <w:tcW w:w="5000" w:type="pct"/>
            <w:gridSpan w:val="8"/>
            <w:tcBorders>
              <w:top w:val="single" w:sz="4" w:space="0" w:color="auto"/>
              <w:bottom w:val="single" w:sz="4" w:space="0" w:color="auto"/>
            </w:tcBorders>
            <w:shd w:val="clear" w:color="auto" w:fill="C6D9F1" w:themeFill="text2" w:themeFillTint="33"/>
          </w:tcPr>
          <w:p w:rsidR="00FA0032" w:rsidRPr="00FA0032" w:rsidRDefault="00FA0032" w:rsidP="00D340AF">
            <w:pPr>
              <w:keepNext/>
              <w:keepLines/>
              <w:tabs>
                <w:tab w:val="left" w:pos="2302"/>
              </w:tabs>
              <w:spacing w:before="120" w:after="120"/>
              <w:ind w:left="2302" w:hanging="2302"/>
              <w:rPr>
                <w:rFonts w:eastAsia="SimSun" w:cs="Arial"/>
                <w:b/>
                <w:bCs/>
                <w:color w:val="808080"/>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sz w:val="16"/>
                <w:szCs w:val="16"/>
              </w:rPr>
              <w:t>VIII</w:t>
            </w:r>
            <w:r w:rsidRPr="00FA0032">
              <w:rPr>
                <w:sz w:val="16"/>
                <w:szCs w:val="16"/>
                <w:lang w:val="ru-RU"/>
              </w:rPr>
              <w:t>.4. Открытое, транспарентное и эффективное взаимод</w:t>
            </w:r>
            <w:r w:rsidR="00D340AF">
              <w:rPr>
                <w:sz w:val="16"/>
                <w:szCs w:val="16"/>
                <w:lang w:val="ru-RU"/>
              </w:rPr>
              <w:t xml:space="preserve">ействие с неправительственными </w:t>
            </w:r>
            <w:r w:rsidRPr="00FA0032">
              <w:rPr>
                <w:sz w:val="16"/>
                <w:szCs w:val="16"/>
                <w:lang w:val="ru-RU"/>
              </w:rPr>
              <w:t>заинтересованными сторонами</w:t>
            </w:r>
          </w:p>
        </w:tc>
      </w:tr>
      <w:tr w:rsidR="00FA0032" w:rsidRPr="00CD2604" w:rsidTr="00C61544">
        <w:tc>
          <w:tcPr>
            <w:tcW w:w="994" w:type="pct"/>
            <w:tcBorders>
              <w:top w:val="single" w:sz="4" w:space="0" w:color="auto"/>
              <w:left w:val="single" w:sz="4" w:space="0" w:color="auto"/>
              <w:bottom w:val="nil"/>
              <w:right w:val="nil"/>
            </w:tcBorders>
            <w:shd w:val="clear" w:color="auto" w:fill="auto"/>
          </w:tcPr>
          <w:p w:rsidR="00FA0032" w:rsidRPr="00CD2604" w:rsidRDefault="00FA0032" w:rsidP="00C61544">
            <w:pPr>
              <w:rPr>
                <w:rFonts w:eastAsia="SimSun" w:cs="Arial"/>
                <w:color w:val="000000"/>
                <w:sz w:val="16"/>
                <w:szCs w:val="16"/>
              </w:rPr>
            </w:pPr>
            <w:r w:rsidRPr="00CD2604">
              <w:rPr>
                <w:b/>
                <w:sz w:val="16"/>
                <w:szCs w:val="16"/>
              </w:rPr>
              <w:t>Показатели результативности</w:t>
            </w:r>
          </w:p>
        </w:tc>
        <w:tc>
          <w:tcPr>
            <w:tcW w:w="1006" w:type="pct"/>
            <w:tcBorders>
              <w:top w:val="single" w:sz="4" w:space="0" w:color="auto"/>
              <w:left w:val="nil"/>
              <w:bottom w:val="nil"/>
              <w:right w:val="nil"/>
            </w:tcBorders>
            <w:shd w:val="clear" w:color="auto" w:fill="auto"/>
          </w:tcPr>
          <w:p w:rsidR="00FA0032" w:rsidRPr="00CD2604" w:rsidRDefault="00FA0032" w:rsidP="00C61544">
            <w:pPr>
              <w:rPr>
                <w:rFonts w:cs="Arial"/>
                <w:i/>
                <w:color w:val="002060"/>
                <w:sz w:val="16"/>
                <w:szCs w:val="16"/>
              </w:rPr>
            </w:pPr>
            <w:r w:rsidRPr="00CD2604">
              <w:rPr>
                <w:b/>
                <w:sz w:val="16"/>
                <w:szCs w:val="16"/>
              </w:rPr>
              <w:t>Базовые показатели</w:t>
            </w:r>
          </w:p>
        </w:tc>
        <w:tc>
          <w:tcPr>
            <w:tcW w:w="871" w:type="pct"/>
            <w:tcBorders>
              <w:top w:val="single" w:sz="4" w:space="0" w:color="auto"/>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b/>
                <w:sz w:val="16"/>
                <w:szCs w:val="16"/>
              </w:rPr>
              <w:t>Цели</w:t>
            </w:r>
          </w:p>
        </w:tc>
        <w:tc>
          <w:tcPr>
            <w:tcW w:w="1524" w:type="pct"/>
            <w:gridSpan w:val="3"/>
            <w:tcBorders>
              <w:top w:val="single" w:sz="4"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p>
        </w:tc>
        <w:tc>
          <w:tcPr>
            <w:tcW w:w="605" w:type="pct"/>
            <w:gridSpan w:val="2"/>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808080"/>
                <w:sz w:val="16"/>
                <w:szCs w:val="16"/>
              </w:rPr>
            </w:pPr>
            <w:r w:rsidRPr="00CD2604">
              <w:rPr>
                <w:b/>
                <w:sz w:val="16"/>
                <w:szCs w:val="16"/>
              </w:rPr>
              <w:t>CC</w:t>
            </w:r>
          </w:p>
        </w:tc>
      </w:tr>
      <w:tr w:rsidR="00FA0032" w:rsidRPr="00CD2604" w:rsidTr="00C61544">
        <w:tc>
          <w:tcPr>
            <w:tcW w:w="994" w:type="pct"/>
            <w:tcBorders>
              <w:top w:val="nil"/>
              <w:left w:val="single" w:sz="4" w:space="0" w:color="auto"/>
              <w:bottom w:val="single" w:sz="4" w:space="0" w:color="auto"/>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Более широкое и эффективное участие неправительственных заинтересованных сторон в мероприятиях ВОИС и участие ВОИС в их мероприятиях</w:t>
            </w:r>
          </w:p>
        </w:tc>
        <w:tc>
          <w:tcPr>
            <w:tcW w:w="1006" w:type="pct"/>
            <w:tcBorders>
              <w:top w:val="nil"/>
              <w:left w:val="nil"/>
              <w:bottom w:val="single" w:sz="4" w:space="0" w:color="auto"/>
              <w:right w:val="nil"/>
            </w:tcBorders>
            <w:shd w:val="clear" w:color="auto" w:fill="auto"/>
          </w:tcPr>
          <w:p w:rsidR="00FA0032" w:rsidRPr="00FA0032" w:rsidRDefault="00FA0032" w:rsidP="00C61544">
            <w:pPr>
              <w:spacing w:after="160"/>
              <w:rPr>
                <w:rFonts w:cs="Arial"/>
                <w:i/>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p>
          <w:p w:rsidR="00FA0032" w:rsidRPr="00FA0032" w:rsidRDefault="00FA0032" w:rsidP="00C61544">
            <w:pPr>
              <w:spacing w:after="160"/>
              <w:rPr>
                <w:rFonts w:cs="Arial"/>
                <w:color w:val="002060"/>
                <w:sz w:val="16"/>
                <w:szCs w:val="16"/>
                <w:lang w:val="ru-RU"/>
              </w:rPr>
            </w:pPr>
            <w:r w:rsidRPr="00FA0032">
              <w:rPr>
                <w:color w:val="002060"/>
                <w:sz w:val="16"/>
                <w:szCs w:val="16"/>
                <w:lang w:val="ru-RU"/>
              </w:rPr>
              <w:t>По состоянию на 31</w:t>
            </w:r>
            <w:r>
              <w:rPr>
                <w:color w:val="002060"/>
                <w:sz w:val="16"/>
                <w:szCs w:val="16"/>
              </w:rPr>
              <w:t> </w:t>
            </w:r>
            <w:r w:rsidRPr="00FA0032">
              <w:rPr>
                <w:color w:val="002060"/>
                <w:sz w:val="16"/>
                <w:szCs w:val="16"/>
                <w:lang w:val="ru-RU"/>
              </w:rPr>
              <w:t>декабря 2013</w:t>
            </w:r>
            <w:r w:rsidRPr="00CD2604">
              <w:rPr>
                <w:color w:val="002060"/>
                <w:sz w:val="16"/>
                <w:szCs w:val="16"/>
              </w:rPr>
              <w:t> </w:t>
            </w:r>
            <w:r w:rsidRPr="00FA0032">
              <w:rPr>
                <w:color w:val="002060"/>
                <w:sz w:val="16"/>
                <w:szCs w:val="16"/>
                <w:lang w:val="ru-RU"/>
              </w:rPr>
              <w:t>г. 227</w:t>
            </w:r>
            <w:r w:rsidRPr="00CD2604">
              <w:rPr>
                <w:color w:val="002060"/>
                <w:sz w:val="16"/>
                <w:szCs w:val="16"/>
              </w:rPr>
              <w:t> </w:t>
            </w:r>
            <w:r w:rsidRPr="00FA0032">
              <w:rPr>
                <w:color w:val="002060"/>
                <w:sz w:val="16"/>
                <w:szCs w:val="16"/>
                <w:lang w:val="ru-RU"/>
              </w:rPr>
              <w:t>представителей постоянно аккредитованных при ВОИС наблюдателей НПО участвовали в работе комитетов ВОИС</w:t>
            </w:r>
          </w:p>
          <w:p w:rsidR="00FA0032" w:rsidRPr="00FA0032" w:rsidRDefault="00FA0032" w:rsidP="00C61544">
            <w:pPr>
              <w:rPr>
                <w:sz w:val="16"/>
                <w:szCs w:val="16"/>
                <w:lang w:val="ru-RU"/>
              </w:rPr>
            </w:pPr>
            <w:r w:rsidRPr="00FA0032">
              <w:rPr>
                <w:i/>
                <w:sz w:val="16"/>
                <w:szCs w:val="16"/>
                <w:lang w:val="ru-RU"/>
              </w:rPr>
              <w:t xml:space="preserve">Исходные базовые показатели ПиБ на 2014–2015 гг.: </w:t>
            </w:r>
            <w:r w:rsidRPr="00FA0032">
              <w:rPr>
                <w:sz w:val="16"/>
                <w:szCs w:val="16"/>
                <w:lang w:val="ru-RU"/>
              </w:rPr>
              <w:t>будет определено позднее</w:t>
            </w:r>
          </w:p>
          <w:p w:rsidR="00FA0032" w:rsidRPr="00FA0032" w:rsidRDefault="00FA0032" w:rsidP="00C61544">
            <w:pPr>
              <w:rPr>
                <w:rFonts w:cs="Arial"/>
                <w:i/>
                <w:color w:val="002060"/>
                <w:sz w:val="16"/>
                <w:szCs w:val="16"/>
                <w:lang w:val="ru-RU"/>
              </w:rPr>
            </w:pPr>
          </w:p>
        </w:tc>
        <w:tc>
          <w:tcPr>
            <w:tcW w:w="871" w:type="pct"/>
            <w:tcBorders>
              <w:top w:val="nil"/>
              <w:left w:val="nil"/>
              <w:bottom w:val="single" w:sz="4" w:space="0" w:color="auto"/>
              <w:right w:val="nil"/>
            </w:tcBorders>
            <w:shd w:val="clear" w:color="auto" w:fill="auto"/>
            <w:tcMar>
              <w:top w:w="110" w:type="dxa"/>
            </w:tcMar>
          </w:tcPr>
          <w:p w:rsidR="00FA0032" w:rsidRPr="00FA0032" w:rsidRDefault="00FA0032" w:rsidP="00C61544">
            <w:pPr>
              <w:rPr>
                <w:rFonts w:eastAsia="SimSun" w:cs="Arial"/>
                <w:sz w:val="16"/>
                <w:szCs w:val="16"/>
                <w:lang w:val="ru-RU"/>
              </w:rPr>
            </w:pPr>
            <w:r w:rsidRPr="00FA0032">
              <w:rPr>
                <w:sz w:val="16"/>
                <w:szCs w:val="16"/>
                <w:lang w:val="ru-RU"/>
              </w:rPr>
              <w:t>Рост взаимодействия с различными заинтересованными сторонами на 10%</w:t>
            </w:r>
          </w:p>
          <w:p w:rsidR="00FA0032" w:rsidRPr="00FA0032" w:rsidRDefault="00FA0032" w:rsidP="00C61544">
            <w:pPr>
              <w:rPr>
                <w:rFonts w:eastAsia="SimSun" w:cs="Arial"/>
                <w:sz w:val="16"/>
                <w:szCs w:val="16"/>
                <w:lang w:val="ru-RU"/>
              </w:rPr>
            </w:pPr>
          </w:p>
        </w:tc>
        <w:tc>
          <w:tcPr>
            <w:tcW w:w="1524" w:type="pct"/>
            <w:gridSpan w:val="3"/>
            <w:tcBorders>
              <w:top w:val="nil"/>
              <w:left w:val="nil"/>
              <w:bottom w:val="single" w:sz="4" w:space="0" w:color="auto"/>
              <w:right w:val="nil"/>
            </w:tcBorders>
            <w:shd w:val="clear" w:color="auto" w:fill="FFFFFF"/>
            <w:tcMar>
              <w:top w:w="110" w:type="dxa"/>
            </w:tcMar>
          </w:tcPr>
          <w:p w:rsidR="00FA0032" w:rsidRPr="00FA0032" w:rsidRDefault="00FA0032" w:rsidP="00C61544">
            <w:pPr>
              <w:rPr>
                <w:rFonts w:eastAsia="SimSun" w:cs="Arial"/>
                <w:sz w:val="16"/>
                <w:szCs w:val="16"/>
                <w:lang w:val="ru-RU"/>
              </w:rPr>
            </w:pPr>
            <w:r w:rsidRPr="00FA0032">
              <w:rPr>
                <w:sz w:val="16"/>
                <w:szCs w:val="16"/>
                <w:lang w:val="ru-RU"/>
              </w:rPr>
              <w:t>В 2014</w:t>
            </w:r>
            <w:r w:rsidRPr="00CD2604">
              <w:rPr>
                <w:sz w:val="16"/>
                <w:szCs w:val="16"/>
              </w:rPr>
              <w:t> </w:t>
            </w:r>
            <w:r w:rsidRPr="00FA0032">
              <w:rPr>
                <w:sz w:val="16"/>
                <w:szCs w:val="16"/>
                <w:lang w:val="ru-RU"/>
              </w:rPr>
              <w:t>г. 292 представителя постоянно аккредитованных при ВОИС НПО посещали заседания комитетов ВОИС (13), что составило 71,4</w:t>
            </w:r>
            <w:r w:rsidRPr="00CD2604">
              <w:rPr>
                <w:sz w:val="16"/>
                <w:szCs w:val="16"/>
              </w:rPr>
              <w:t> </w:t>
            </w:r>
            <w:r w:rsidRPr="00FA0032">
              <w:rPr>
                <w:sz w:val="16"/>
                <w:szCs w:val="16"/>
                <w:lang w:val="ru-RU"/>
              </w:rPr>
              <w:t>процента от общего числа наблюдателей, присутствовавших на этих заседаниях.</w:t>
            </w:r>
          </w:p>
          <w:p w:rsidR="00FA0032" w:rsidRPr="00FA0032" w:rsidRDefault="00FA0032" w:rsidP="00C61544">
            <w:pPr>
              <w:rPr>
                <w:rFonts w:eastAsia="SimSun" w:cs="Arial"/>
                <w:sz w:val="16"/>
                <w:szCs w:val="16"/>
                <w:lang w:val="ru-RU"/>
              </w:rPr>
            </w:pPr>
          </w:p>
          <w:p w:rsidR="00FA0032" w:rsidRPr="00FA0032" w:rsidRDefault="00FA0032" w:rsidP="00C61544">
            <w:pPr>
              <w:rPr>
                <w:rFonts w:eastAsia="SimSun" w:cs="Arial"/>
                <w:sz w:val="16"/>
                <w:szCs w:val="16"/>
                <w:lang w:val="ru-RU"/>
              </w:rPr>
            </w:pPr>
            <w:r w:rsidRPr="00FA0032">
              <w:rPr>
                <w:sz w:val="16"/>
                <w:szCs w:val="16"/>
                <w:lang w:val="ru-RU"/>
              </w:rPr>
              <w:t>В 2015</w:t>
            </w:r>
            <w:r w:rsidRPr="00CD2604">
              <w:rPr>
                <w:sz w:val="16"/>
                <w:szCs w:val="16"/>
              </w:rPr>
              <w:t> </w:t>
            </w:r>
            <w:r w:rsidRPr="00FA0032">
              <w:rPr>
                <w:sz w:val="16"/>
                <w:szCs w:val="16"/>
                <w:lang w:val="ru-RU"/>
              </w:rPr>
              <w:t>г. 196</w:t>
            </w:r>
            <w:r w:rsidRPr="00CD2604">
              <w:rPr>
                <w:sz w:val="16"/>
                <w:szCs w:val="16"/>
              </w:rPr>
              <w:t> </w:t>
            </w:r>
            <w:r w:rsidRPr="00FA0032">
              <w:rPr>
                <w:sz w:val="16"/>
                <w:szCs w:val="16"/>
                <w:lang w:val="ru-RU"/>
              </w:rPr>
              <w:t>представителей постоянно аккредитованных при ВОИС НПО посещали заседания комитетов ВОИС, что составило 85,3</w:t>
            </w:r>
            <w:r w:rsidRPr="00CD2604">
              <w:rPr>
                <w:sz w:val="16"/>
                <w:szCs w:val="16"/>
              </w:rPr>
              <w:t> </w:t>
            </w:r>
            <w:r w:rsidRPr="00FA0032">
              <w:rPr>
                <w:sz w:val="16"/>
                <w:szCs w:val="16"/>
                <w:lang w:val="ru-RU"/>
              </w:rPr>
              <w:t>процента от общего числа наблюдателей, присутствовавших на этих заседаниях (рост на 13,9</w:t>
            </w:r>
            <w:r w:rsidRPr="00CD2604">
              <w:rPr>
                <w:sz w:val="16"/>
                <w:szCs w:val="16"/>
              </w:rPr>
              <w:t> </w:t>
            </w:r>
            <w:r w:rsidRPr="00FA0032">
              <w:rPr>
                <w:sz w:val="16"/>
                <w:szCs w:val="16"/>
                <w:lang w:val="ru-RU"/>
              </w:rPr>
              <w:t>процентных пункта по сравнению с 2014</w:t>
            </w:r>
            <w:r w:rsidRPr="00CD2604">
              <w:rPr>
                <w:sz w:val="16"/>
                <w:szCs w:val="16"/>
              </w:rPr>
              <w:t> </w:t>
            </w:r>
            <w:r w:rsidRPr="00FA0032">
              <w:rPr>
                <w:sz w:val="16"/>
                <w:szCs w:val="16"/>
                <w:lang w:val="ru-RU"/>
              </w:rPr>
              <w:t>г.)</w:t>
            </w:r>
          </w:p>
        </w:tc>
        <w:tc>
          <w:tcPr>
            <w:tcW w:w="605" w:type="pct"/>
            <w:gridSpan w:val="2"/>
            <w:tcBorders>
              <w:top w:val="nil"/>
              <w:left w:val="nil"/>
              <w:bottom w:val="single" w:sz="4" w:space="0" w:color="auto"/>
              <w:right w:val="single" w:sz="4" w:space="0" w:color="auto"/>
            </w:tcBorders>
            <w:shd w:val="clear" w:color="auto" w:fill="auto"/>
            <w:tcMar>
              <w:top w:w="110" w:type="dxa"/>
            </w:tcMar>
          </w:tcPr>
          <w:p w:rsidR="00FA0032" w:rsidRPr="00CD2604" w:rsidRDefault="00FA0032" w:rsidP="00C61544">
            <w:pPr>
              <w:keepNext/>
              <w:keepLines/>
              <w:ind w:left="-107" w:right="20"/>
              <w:jc w:val="center"/>
              <w:rPr>
                <w:rFonts w:eastAsia="SimSun" w:cs="Arial"/>
                <w:b/>
                <w:bCs/>
                <w:color w:val="00B050"/>
                <w:sz w:val="16"/>
                <w:szCs w:val="16"/>
              </w:rPr>
            </w:pPr>
            <w:r w:rsidRPr="00CD2604">
              <w:rPr>
                <w:b/>
                <w:color w:val="00B050"/>
                <w:sz w:val="16"/>
                <w:szCs w:val="16"/>
              </w:rPr>
              <w:t>Выполнено</w:t>
            </w:r>
          </w:p>
        </w:tc>
      </w:tr>
      <w:tr w:rsidR="00FA0032" w:rsidRPr="005C6ABD" w:rsidTr="00C61544">
        <w:tc>
          <w:tcPr>
            <w:tcW w:w="5000" w:type="pct"/>
            <w:gridSpan w:val="8"/>
            <w:tcBorders>
              <w:top w:val="single" w:sz="4" w:space="0" w:color="auto"/>
              <w:bottom w:val="single" w:sz="4" w:space="0" w:color="auto"/>
            </w:tcBorders>
            <w:shd w:val="clear" w:color="auto" w:fill="C6D9F1" w:themeFill="text2" w:themeFillTint="33"/>
          </w:tcPr>
          <w:p w:rsidR="00FA0032" w:rsidRPr="00FA0032" w:rsidRDefault="00FA0032" w:rsidP="00D340AF">
            <w:pPr>
              <w:keepNext/>
              <w:keepLines/>
              <w:tabs>
                <w:tab w:val="left" w:pos="2302"/>
              </w:tabs>
              <w:spacing w:before="120" w:after="120"/>
              <w:ind w:left="2302" w:hanging="2302"/>
              <w:rPr>
                <w:rFonts w:eastAsia="SimSun" w:cs="Arial"/>
                <w:b/>
                <w:bCs/>
                <w:color w:val="808080"/>
                <w:sz w:val="16"/>
                <w:szCs w:val="16"/>
                <w:lang w:val="ru-RU"/>
              </w:rPr>
            </w:pPr>
            <w:r w:rsidRPr="00FA0032">
              <w:rPr>
                <w:b/>
                <w:sz w:val="16"/>
                <w:szCs w:val="16"/>
                <w:lang w:val="ru-RU"/>
              </w:rPr>
              <w:t xml:space="preserve">Ожидаемый результат: </w:t>
            </w:r>
            <w:r w:rsidRPr="00FA0032">
              <w:rPr>
                <w:sz w:val="16"/>
                <w:szCs w:val="16"/>
                <w:lang w:val="ru-RU"/>
              </w:rPr>
              <w:tab/>
            </w:r>
            <w:r w:rsidRPr="00CD2604">
              <w:rPr>
                <w:sz w:val="16"/>
                <w:szCs w:val="16"/>
              </w:rPr>
              <w:t>VIII</w:t>
            </w:r>
            <w:r w:rsidRPr="00FA0032">
              <w:rPr>
                <w:sz w:val="16"/>
                <w:szCs w:val="16"/>
                <w:lang w:val="ru-RU"/>
              </w:rPr>
              <w:t>.5. ВОИС эффективно взаимодействует и является партнером в пр</w:t>
            </w:r>
            <w:r w:rsidR="00D340AF">
              <w:rPr>
                <w:sz w:val="16"/>
                <w:szCs w:val="16"/>
                <w:lang w:val="ru-RU"/>
              </w:rPr>
              <w:t xml:space="preserve">оцессах и </w:t>
            </w:r>
            <w:r w:rsidRPr="00FA0032">
              <w:rPr>
                <w:sz w:val="16"/>
                <w:szCs w:val="16"/>
                <w:lang w:val="ru-RU"/>
              </w:rPr>
              <w:t>переговорах ООН и других МПО</w:t>
            </w:r>
          </w:p>
        </w:tc>
      </w:tr>
      <w:tr w:rsidR="00FA0032" w:rsidRPr="00CD2604" w:rsidTr="00D340AF">
        <w:tc>
          <w:tcPr>
            <w:tcW w:w="994" w:type="pct"/>
            <w:tcBorders>
              <w:top w:val="single" w:sz="4" w:space="0" w:color="auto"/>
              <w:left w:val="single" w:sz="4" w:space="0" w:color="auto"/>
              <w:bottom w:val="nil"/>
              <w:right w:val="nil"/>
            </w:tcBorders>
            <w:shd w:val="clear" w:color="auto" w:fill="auto"/>
          </w:tcPr>
          <w:p w:rsidR="00FA0032" w:rsidRPr="00CD2604" w:rsidRDefault="00FA0032" w:rsidP="00C61544">
            <w:pPr>
              <w:rPr>
                <w:rFonts w:eastAsia="SimSun" w:cs="Arial"/>
                <w:color w:val="000000"/>
                <w:sz w:val="16"/>
                <w:szCs w:val="16"/>
              </w:rPr>
            </w:pPr>
            <w:r w:rsidRPr="00CD2604">
              <w:rPr>
                <w:b/>
                <w:sz w:val="16"/>
                <w:szCs w:val="16"/>
              </w:rPr>
              <w:t>Показатели результативности</w:t>
            </w:r>
          </w:p>
        </w:tc>
        <w:tc>
          <w:tcPr>
            <w:tcW w:w="1006" w:type="pct"/>
            <w:tcBorders>
              <w:top w:val="single" w:sz="4" w:space="0" w:color="auto"/>
              <w:left w:val="nil"/>
              <w:bottom w:val="nil"/>
              <w:right w:val="nil"/>
            </w:tcBorders>
            <w:shd w:val="clear" w:color="auto" w:fill="auto"/>
          </w:tcPr>
          <w:p w:rsidR="00FA0032" w:rsidRPr="00CD2604" w:rsidRDefault="00FA0032" w:rsidP="00C61544">
            <w:pPr>
              <w:rPr>
                <w:rFonts w:cs="Arial"/>
                <w:i/>
                <w:color w:val="002060"/>
                <w:sz w:val="16"/>
                <w:szCs w:val="16"/>
              </w:rPr>
            </w:pPr>
            <w:r w:rsidRPr="00CD2604">
              <w:rPr>
                <w:b/>
                <w:sz w:val="16"/>
                <w:szCs w:val="16"/>
              </w:rPr>
              <w:t>Базовые показатели</w:t>
            </w:r>
          </w:p>
        </w:tc>
        <w:tc>
          <w:tcPr>
            <w:tcW w:w="871" w:type="pct"/>
            <w:tcBorders>
              <w:top w:val="single" w:sz="4" w:space="0" w:color="auto"/>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b/>
                <w:sz w:val="16"/>
                <w:szCs w:val="16"/>
              </w:rPr>
              <w:t>Цели</w:t>
            </w:r>
          </w:p>
        </w:tc>
        <w:tc>
          <w:tcPr>
            <w:tcW w:w="1528" w:type="pct"/>
            <w:gridSpan w:val="4"/>
            <w:tcBorders>
              <w:top w:val="single" w:sz="4" w:space="0" w:color="auto"/>
              <w:left w:val="nil"/>
              <w:bottom w:val="nil"/>
              <w:right w:val="nil"/>
            </w:tcBorders>
            <w:shd w:val="clear" w:color="auto" w:fill="FFFFFF"/>
            <w:tcMar>
              <w:top w:w="110" w:type="dxa"/>
            </w:tcMar>
          </w:tcPr>
          <w:p w:rsidR="00FA0032" w:rsidRPr="00CD2604" w:rsidRDefault="00FA0032" w:rsidP="00C61544">
            <w:pPr>
              <w:rPr>
                <w:rFonts w:eastAsia="SimSun" w:cs="Arial"/>
                <w:sz w:val="16"/>
                <w:szCs w:val="16"/>
              </w:rPr>
            </w:pPr>
            <w:r w:rsidRPr="00CD2604">
              <w:rPr>
                <w:b/>
                <w:sz w:val="16"/>
                <w:szCs w:val="16"/>
              </w:rPr>
              <w:t>Данные о результативности</w:t>
            </w:r>
          </w:p>
        </w:tc>
        <w:tc>
          <w:tcPr>
            <w:tcW w:w="601" w:type="pct"/>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left="71" w:right="20"/>
              <w:jc w:val="center"/>
              <w:rPr>
                <w:rFonts w:eastAsia="SimSun" w:cs="Arial"/>
                <w:b/>
                <w:bCs/>
                <w:color w:val="808080"/>
                <w:sz w:val="16"/>
                <w:szCs w:val="16"/>
              </w:rPr>
            </w:pPr>
            <w:r w:rsidRPr="00CD2604">
              <w:rPr>
                <w:b/>
                <w:sz w:val="16"/>
                <w:szCs w:val="16"/>
              </w:rPr>
              <w:t>CC</w:t>
            </w:r>
          </w:p>
        </w:tc>
      </w:tr>
      <w:tr w:rsidR="00FA0032" w:rsidRPr="00CD2604" w:rsidTr="00D340AF">
        <w:trPr>
          <w:trHeight w:val="481"/>
        </w:trPr>
        <w:tc>
          <w:tcPr>
            <w:tcW w:w="994" w:type="pct"/>
            <w:tcBorders>
              <w:top w:val="nil"/>
              <w:left w:val="single" w:sz="4" w:space="0" w:color="auto"/>
              <w:bottom w:val="nil"/>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Использование материалов ВОИС в отчетах, резолюциях и документах соответствующих мероприятий.</w:t>
            </w:r>
          </w:p>
        </w:tc>
        <w:tc>
          <w:tcPr>
            <w:tcW w:w="1006" w:type="pct"/>
            <w:tcBorders>
              <w:top w:val="nil"/>
              <w:left w:val="nil"/>
              <w:bottom w:val="nil"/>
              <w:right w:val="nil"/>
            </w:tcBorders>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r w:rsidRPr="00FA0032">
              <w:rPr>
                <w:color w:val="002060"/>
                <w:sz w:val="16"/>
                <w:szCs w:val="16"/>
                <w:lang w:val="ru-RU"/>
              </w:rPr>
              <w:t>в</w:t>
            </w:r>
            <w:r>
              <w:rPr>
                <w:color w:val="002060"/>
                <w:sz w:val="16"/>
                <w:szCs w:val="16"/>
              </w:rPr>
              <w:t> </w:t>
            </w:r>
            <w:r w:rsidRPr="00FA0032">
              <w:rPr>
                <w:color w:val="002060"/>
                <w:sz w:val="16"/>
                <w:szCs w:val="16"/>
                <w:lang w:val="ru-RU"/>
              </w:rPr>
              <w:t>2012–2013</w:t>
            </w:r>
            <w:r w:rsidRPr="00CD2604">
              <w:rPr>
                <w:color w:val="002060"/>
                <w:sz w:val="16"/>
                <w:szCs w:val="16"/>
              </w:rPr>
              <w:t> </w:t>
            </w:r>
            <w:r w:rsidRPr="00FA0032">
              <w:rPr>
                <w:color w:val="002060"/>
                <w:sz w:val="16"/>
                <w:szCs w:val="16"/>
                <w:lang w:val="ru-RU"/>
              </w:rPr>
              <w:t>гг. представлено 38 материалов, все из которых были использованы в удовлетворительной степени.</w:t>
            </w:r>
          </w:p>
          <w:p w:rsidR="00FA0032" w:rsidRPr="00FA0032" w:rsidRDefault="00FA0032" w:rsidP="00C61544">
            <w:pPr>
              <w:rPr>
                <w:color w:val="002060"/>
                <w:sz w:val="16"/>
                <w:szCs w:val="16"/>
                <w:lang w:val="ru-RU"/>
              </w:rPr>
            </w:pPr>
          </w:p>
          <w:p w:rsidR="00FA0032" w:rsidRPr="00FA0032" w:rsidRDefault="00FA0032" w:rsidP="00C61544">
            <w:pPr>
              <w:rPr>
                <w:rFonts w:cs="Arial"/>
                <w:i/>
                <w:color w:val="002060"/>
                <w:sz w:val="16"/>
                <w:szCs w:val="16"/>
                <w:lang w:val="ru-RU"/>
              </w:rPr>
            </w:pPr>
            <w:r w:rsidRPr="00FA0032">
              <w:rPr>
                <w:i/>
                <w:sz w:val="16"/>
                <w:szCs w:val="16"/>
                <w:lang w:val="ru-RU"/>
              </w:rPr>
              <w:t xml:space="preserve">Исходные базовые показатели ПиБ на 2014–2015 гг.: </w:t>
            </w:r>
            <w:r w:rsidRPr="00FA0032">
              <w:rPr>
                <w:sz w:val="16"/>
                <w:szCs w:val="16"/>
                <w:lang w:val="ru-RU"/>
              </w:rPr>
              <w:t>20 из 24 (конец 2011</w:t>
            </w:r>
            <w:r w:rsidRPr="00CD2604">
              <w:rPr>
                <w:sz w:val="16"/>
                <w:szCs w:val="16"/>
              </w:rPr>
              <w:t> </w:t>
            </w:r>
            <w:r w:rsidRPr="00FA0032">
              <w:rPr>
                <w:sz w:val="16"/>
                <w:szCs w:val="16"/>
                <w:lang w:val="ru-RU"/>
              </w:rPr>
              <w:t>г.)</w:t>
            </w:r>
          </w:p>
        </w:tc>
        <w:tc>
          <w:tcPr>
            <w:tcW w:w="871" w:type="pct"/>
            <w:tcBorders>
              <w:top w:val="nil"/>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sz w:val="16"/>
                <w:szCs w:val="16"/>
              </w:rPr>
              <w:t>Использование материалов на 100%</w:t>
            </w:r>
          </w:p>
        </w:tc>
        <w:tc>
          <w:tcPr>
            <w:tcW w:w="1528" w:type="pct"/>
            <w:gridSpan w:val="4"/>
            <w:tcBorders>
              <w:top w:val="nil"/>
              <w:left w:val="nil"/>
              <w:bottom w:val="nil"/>
              <w:right w:val="nil"/>
            </w:tcBorders>
            <w:shd w:val="clear" w:color="auto" w:fill="FFFFFF"/>
            <w:tcMar>
              <w:top w:w="110" w:type="dxa"/>
            </w:tcMar>
          </w:tcPr>
          <w:p w:rsidR="00FA0032" w:rsidRPr="00FA0032" w:rsidRDefault="00FA0032" w:rsidP="00C61544">
            <w:pPr>
              <w:rPr>
                <w:rFonts w:eastAsia="SimSun" w:cs="Arial"/>
                <w:sz w:val="16"/>
                <w:szCs w:val="16"/>
                <w:lang w:val="ru-RU"/>
              </w:rPr>
            </w:pPr>
            <w:r w:rsidRPr="00FA0032">
              <w:rPr>
                <w:sz w:val="16"/>
                <w:szCs w:val="16"/>
                <w:lang w:val="ru-RU"/>
              </w:rPr>
              <w:t>В 2014–2015</w:t>
            </w:r>
            <w:r>
              <w:rPr>
                <w:sz w:val="16"/>
                <w:szCs w:val="16"/>
              </w:rPr>
              <w:t> </w:t>
            </w:r>
            <w:r w:rsidRPr="00FA0032">
              <w:rPr>
                <w:sz w:val="16"/>
                <w:szCs w:val="16"/>
                <w:lang w:val="ru-RU"/>
              </w:rPr>
              <w:t>гг. представлено 33</w:t>
            </w:r>
            <w:r>
              <w:rPr>
                <w:sz w:val="16"/>
                <w:szCs w:val="16"/>
              </w:rPr>
              <w:t> </w:t>
            </w:r>
            <w:r w:rsidRPr="00FA0032">
              <w:rPr>
                <w:sz w:val="16"/>
                <w:szCs w:val="16"/>
                <w:lang w:val="ru-RU"/>
              </w:rPr>
              <w:t>материала, все из которых были использованы в удовлетворительной степени.</w:t>
            </w:r>
          </w:p>
        </w:tc>
        <w:tc>
          <w:tcPr>
            <w:tcW w:w="601" w:type="pct"/>
            <w:tcBorders>
              <w:top w:val="nil"/>
              <w:left w:val="nil"/>
              <w:bottom w:val="nil"/>
              <w:right w:val="single" w:sz="4" w:space="0" w:color="auto"/>
            </w:tcBorders>
            <w:shd w:val="clear" w:color="auto" w:fill="auto"/>
            <w:tcMar>
              <w:top w:w="110" w:type="dxa"/>
            </w:tcMar>
          </w:tcPr>
          <w:p w:rsidR="00FA0032" w:rsidRPr="00CD2604" w:rsidRDefault="00FA0032" w:rsidP="00C61544">
            <w:pPr>
              <w:keepNext/>
              <w:keepLines/>
              <w:ind w:left="-116" w:right="20"/>
              <w:jc w:val="center"/>
              <w:rPr>
                <w:rFonts w:eastAsia="SimSun" w:cs="Arial"/>
                <w:b/>
                <w:bCs/>
                <w:color w:val="00B050"/>
                <w:sz w:val="16"/>
                <w:szCs w:val="16"/>
              </w:rPr>
            </w:pPr>
            <w:r w:rsidRPr="00CD2604">
              <w:rPr>
                <w:b/>
                <w:color w:val="00B050"/>
                <w:sz w:val="16"/>
                <w:szCs w:val="16"/>
              </w:rPr>
              <w:t>Выполнено</w:t>
            </w:r>
          </w:p>
        </w:tc>
      </w:tr>
      <w:tr w:rsidR="00FA0032" w:rsidRPr="00CD2604" w:rsidTr="00D340AF">
        <w:tc>
          <w:tcPr>
            <w:tcW w:w="994" w:type="pct"/>
            <w:tcBorders>
              <w:top w:val="nil"/>
              <w:left w:val="single" w:sz="4" w:space="0" w:color="auto"/>
              <w:bottom w:val="single" w:sz="4" w:space="0" w:color="auto"/>
              <w:right w:val="nil"/>
            </w:tcBorders>
            <w:shd w:val="clear" w:color="auto" w:fill="auto"/>
          </w:tcPr>
          <w:p w:rsidR="00FA0032" w:rsidRPr="00FA0032" w:rsidRDefault="00FA0032" w:rsidP="00C61544">
            <w:pPr>
              <w:keepNext/>
              <w:keepLines/>
              <w:rPr>
                <w:rFonts w:eastAsia="SimSun" w:cs="Arial"/>
                <w:color w:val="000000"/>
                <w:sz w:val="16"/>
                <w:szCs w:val="16"/>
                <w:lang w:val="ru-RU"/>
              </w:rPr>
            </w:pPr>
            <w:r w:rsidRPr="00FA0032">
              <w:rPr>
                <w:color w:val="000000"/>
                <w:sz w:val="16"/>
                <w:szCs w:val="16"/>
                <w:lang w:val="ru-RU"/>
              </w:rPr>
              <w:t>Доля (%) направленных в срок ответов на внешние запросы о предоставлении материалов от ООН, МПО и т.д.</w:t>
            </w:r>
          </w:p>
        </w:tc>
        <w:tc>
          <w:tcPr>
            <w:tcW w:w="1006" w:type="pct"/>
            <w:tcBorders>
              <w:top w:val="nil"/>
              <w:left w:val="nil"/>
              <w:bottom w:val="single" w:sz="4" w:space="0" w:color="auto"/>
              <w:right w:val="nil"/>
            </w:tcBorders>
            <w:shd w:val="clear" w:color="auto" w:fill="auto"/>
          </w:tcPr>
          <w:p w:rsidR="00FA0032" w:rsidRPr="00FA0032" w:rsidRDefault="00FA0032" w:rsidP="00C61544">
            <w:pPr>
              <w:keepNext/>
              <w:keepLines/>
              <w:rPr>
                <w:color w:val="002060"/>
                <w:sz w:val="16"/>
                <w:szCs w:val="16"/>
                <w:lang w:val="ru-RU"/>
              </w:rPr>
            </w:pPr>
            <w:r w:rsidRPr="00FA0032">
              <w:rPr>
                <w:i/>
                <w:color w:val="002060"/>
                <w:sz w:val="16"/>
                <w:szCs w:val="16"/>
                <w:lang w:val="ru-RU"/>
              </w:rPr>
              <w:t>Обновленные базовые показатели, конец 2013</w:t>
            </w:r>
            <w:r w:rsidRPr="00CD2604">
              <w:rPr>
                <w:i/>
                <w:color w:val="002060"/>
                <w:sz w:val="16"/>
                <w:szCs w:val="16"/>
              </w:rPr>
              <w:t> </w:t>
            </w:r>
            <w:r w:rsidRPr="00FA0032">
              <w:rPr>
                <w:i/>
                <w:color w:val="002060"/>
                <w:sz w:val="16"/>
                <w:szCs w:val="16"/>
                <w:lang w:val="ru-RU"/>
              </w:rPr>
              <w:t xml:space="preserve">г.:  </w:t>
            </w:r>
            <w:r w:rsidRPr="00FA0032">
              <w:rPr>
                <w:color w:val="002060"/>
                <w:sz w:val="16"/>
                <w:szCs w:val="16"/>
                <w:lang w:val="ru-RU"/>
              </w:rPr>
              <w:t>ответы на 90,5% всех запросов направляются в течение 5 рабочих дней</w:t>
            </w:r>
          </w:p>
          <w:p w:rsidR="00FA0032" w:rsidRPr="00FA0032" w:rsidRDefault="00FA0032" w:rsidP="00C61544">
            <w:pPr>
              <w:keepNext/>
              <w:keepLines/>
              <w:rPr>
                <w:rFonts w:cs="Arial"/>
                <w:color w:val="002060"/>
                <w:sz w:val="16"/>
                <w:szCs w:val="16"/>
                <w:lang w:val="ru-RU"/>
              </w:rPr>
            </w:pPr>
          </w:p>
          <w:p w:rsidR="00FA0032" w:rsidRPr="00FA0032" w:rsidRDefault="00FA0032" w:rsidP="00C61544">
            <w:pPr>
              <w:keepNext/>
              <w:keepLines/>
              <w:rPr>
                <w:rFonts w:cs="Arial"/>
                <w:i/>
                <w:sz w:val="16"/>
                <w:szCs w:val="16"/>
                <w:lang w:val="ru-RU"/>
              </w:rPr>
            </w:pPr>
            <w:r w:rsidRPr="00FA0032">
              <w:rPr>
                <w:i/>
                <w:sz w:val="16"/>
                <w:szCs w:val="16"/>
                <w:lang w:val="ru-RU"/>
              </w:rPr>
              <w:t xml:space="preserve">Исходные базовые показатели ПиБ на 2014–2015 гг.: </w:t>
            </w:r>
          </w:p>
          <w:p w:rsidR="00FA0032" w:rsidRPr="00FA0032" w:rsidDel="001B4F90" w:rsidRDefault="00FA0032" w:rsidP="00C61544">
            <w:pPr>
              <w:keepNext/>
              <w:keepLines/>
              <w:rPr>
                <w:rFonts w:cs="Arial"/>
                <w:i/>
                <w:color w:val="002060"/>
                <w:sz w:val="16"/>
                <w:szCs w:val="16"/>
                <w:lang w:val="ru-RU"/>
              </w:rPr>
            </w:pPr>
            <w:r w:rsidRPr="00FA0032">
              <w:rPr>
                <w:color w:val="000000"/>
                <w:sz w:val="16"/>
                <w:szCs w:val="16"/>
                <w:lang w:val="ru-RU"/>
              </w:rPr>
              <w:t>будут определены позднее (данные 2012</w:t>
            </w:r>
            <w:r>
              <w:rPr>
                <w:color w:val="000000"/>
                <w:sz w:val="16"/>
                <w:szCs w:val="16"/>
              </w:rPr>
              <w:t> </w:t>
            </w:r>
            <w:r w:rsidRPr="00FA0032">
              <w:rPr>
                <w:color w:val="000000"/>
                <w:sz w:val="16"/>
                <w:szCs w:val="16"/>
                <w:lang w:val="ru-RU"/>
              </w:rPr>
              <w:t>г.)</w:t>
            </w:r>
          </w:p>
        </w:tc>
        <w:tc>
          <w:tcPr>
            <w:tcW w:w="871" w:type="pct"/>
            <w:tcBorders>
              <w:top w:val="nil"/>
              <w:left w:val="nil"/>
              <w:bottom w:val="single" w:sz="4" w:space="0" w:color="auto"/>
              <w:right w:val="nil"/>
            </w:tcBorders>
            <w:shd w:val="clear" w:color="auto" w:fill="auto"/>
            <w:tcMar>
              <w:top w:w="110" w:type="dxa"/>
            </w:tcMar>
          </w:tcPr>
          <w:p w:rsidR="00FA0032" w:rsidRPr="00CD2604" w:rsidRDefault="00FA0032" w:rsidP="00C61544">
            <w:pPr>
              <w:keepNext/>
              <w:keepLines/>
              <w:rPr>
                <w:rFonts w:eastAsia="SimSun" w:cs="Arial"/>
                <w:sz w:val="16"/>
                <w:szCs w:val="16"/>
              </w:rPr>
            </w:pPr>
            <w:r w:rsidRPr="00CD2604">
              <w:rPr>
                <w:sz w:val="16"/>
                <w:szCs w:val="16"/>
              </w:rPr>
              <w:t>100%</w:t>
            </w:r>
          </w:p>
        </w:tc>
        <w:tc>
          <w:tcPr>
            <w:tcW w:w="1528" w:type="pct"/>
            <w:gridSpan w:val="4"/>
            <w:tcBorders>
              <w:top w:val="nil"/>
              <w:left w:val="nil"/>
              <w:bottom w:val="single" w:sz="4" w:space="0" w:color="auto"/>
              <w:right w:val="nil"/>
            </w:tcBorders>
            <w:shd w:val="clear" w:color="auto" w:fill="FFFFFF"/>
            <w:tcMar>
              <w:top w:w="110" w:type="dxa"/>
            </w:tcMar>
          </w:tcPr>
          <w:p w:rsidR="00FA0032" w:rsidRPr="00FA0032" w:rsidRDefault="00FA0032" w:rsidP="00C61544">
            <w:pPr>
              <w:keepNext/>
              <w:keepLines/>
              <w:rPr>
                <w:rFonts w:eastAsia="SimSun" w:cs="Arial"/>
                <w:sz w:val="16"/>
                <w:szCs w:val="16"/>
                <w:lang w:val="ru-RU"/>
              </w:rPr>
            </w:pPr>
            <w:r w:rsidRPr="00FA0032">
              <w:rPr>
                <w:sz w:val="16"/>
                <w:szCs w:val="16"/>
                <w:lang w:val="ru-RU"/>
              </w:rPr>
              <w:t>254 из 273 ответов (93%) направлены в срок (в течение 5 рабочих дней)</w:t>
            </w:r>
          </w:p>
        </w:tc>
        <w:tc>
          <w:tcPr>
            <w:tcW w:w="601" w:type="pct"/>
            <w:tcBorders>
              <w:top w:val="nil"/>
              <w:left w:val="nil"/>
              <w:bottom w:val="single" w:sz="4" w:space="0" w:color="auto"/>
              <w:right w:val="single" w:sz="4" w:space="0" w:color="auto"/>
            </w:tcBorders>
            <w:shd w:val="clear" w:color="auto" w:fill="auto"/>
            <w:tcMar>
              <w:top w:w="110" w:type="dxa"/>
            </w:tcMar>
          </w:tcPr>
          <w:p w:rsidR="00FA0032" w:rsidRPr="00CD2604" w:rsidRDefault="00FA0032" w:rsidP="00C61544">
            <w:pPr>
              <w:keepNext/>
              <w:keepLines/>
              <w:ind w:left="-116" w:right="20"/>
              <w:jc w:val="center"/>
              <w:rPr>
                <w:rFonts w:eastAsia="SimSun" w:cs="Arial"/>
                <w:b/>
                <w:bCs/>
                <w:color w:val="00B050"/>
                <w:sz w:val="16"/>
                <w:szCs w:val="16"/>
              </w:rPr>
            </w:pPr>
            <w:r w:rsidRPr="00CD2604">
              <w:rPr>
                <w:b/>
                <w:color w:val="00B050"/>
                <w:sz w:val="16"/>
                <w:szCs w:val="16"/>
              </w:rPr>
              <w:t>Выполнено</w:t>
            </w:r>
          </w:p>
        </w:tc>
      </w:tr>
    </w:tbl>
    <w:p w:rsidR="00D340AF" w:rsidRDefault="00D340AF">
      <w:r>
        <w:br w:type="page"/>
      </w: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1926"/>
        <w:gridCol w:w="1667"/>
        <w:gridCol w:w="2925"/>
        <w:gridCol w:w="1150"/>
      </w:tblGrid>
      <w:tr w:rsidR="00FA0032" w:rsidRPr="00CD2604" w:rsidTr="00D340AF">
        <w:trPr>
          <w:trHeight w:val="500"/>
        </w:trPr>
        <w:tc>
          <w:tcPr>
            <w:tcW w:w="994" w:type="pct"/>
            <w:tcBorders>
              <w:top w:val="single" w:sz="4" w:space="0" w:color="auto"/>
              <w:left w:val="single" w:sz="4" w:space="0" w:color="auto"/>
              <w:bottom w:val="nil"/>
              <w:right w:val="nil"/>
            </w:tcBorders>
            <w:shd w:val="clear" w:color="auto" w:fill="auto"/>
          </w:tcPr>
          <w:p w:rsidR="00FA0032" w:rsidRPr="00FA0032" w:rsidRDefault="00FA0032" w:rsidP="00C61544">
            <w:pPr>
              <w:rPr>
                <w:rFonts w:eastAsia="SimSun" w:cs="Arial"/>
                <w:color w:val="000000"/>
                <w:sz w:val="16"/>
                <w:szCs w:val="16"/>
                <w:lang w:val="ru-RU"/>
              </w:rPr>
            </w:pPr>
            <w:r w:rsidRPr="00FA0032">
              <w:rPr>
                <w:color w:val="000000"/>
                <w:sz w:val="16"/>
                <w:szCs w:val="16"/>
                <w:lang w:val="ru-RU"/>
              </w:rPr>
              <w:t>Число программ в области ИС, реализованных совместно с другими органами ООН и иными МПО</w:t>
            </w:r>
          </w:p>
        </w:tc>
        <w:tc>
          <w:tcPr>
            <w:tcW w:w="1006" w:type="pct"/>
            <w:tcBorders>
              <w:top w:val="single" w:sz="4" w:space="0" w:color="auto"/>
              <w:left w:val="nil"/>
              <w:bottom w:val="nil"/>
              <w:right w:val="nil"/>
            </w:tcBorders>
            <w:shd w:val="clear" w:color="auto" w:fill="auto"/>
          </w:tcPr>
          <w:p w:rsidR="00FA0032" w:rsidRPr="00CD2604" w:rsidRDefault="00FA0032" w:rsidP="00C61544">
            <w:pPr>
              <w:rPr>
                <w:rFonts w:cs="Arial"/>
                <w:i/>
                <w:color w:val="002060"/>
                <w:sz w:val="16"/>
                <w:szCs w:val="16"/>
              </w:rPr>
            </w:pPr>
            <w:r w:rsidRPr="00CD2604">
              <w:rPr>
                <w:sz w:val="16"/>
                <w:szCs w:val="16"/>
              </w:rPr>
              <w:t>0 (ноль) (WSO)</w:t>
            </w:r>
          </w:p>
        </w:tc>
        <w:tc>
          <w:tcPr>
            <w:tcW w:w="871" w:type="pct"/>
            <w:tcBorders>
              <w:top w:val="single" w:sz="4" w:space="0" w:color="auto"/>
              <w:left w:val="nil"/>
              <w:bottom w:val="nil"/>
              <w:right w:val="nil"/>
            </w:tcBorders>
            <w:shd w:val="clear" w:color="auto" w:fill="auto"/>
            <w:tcMar>
              <w:top w:w="110" w:type="dxa"/>
            </w:tcMar>
          </w:tcPr>
          <w:p w:rsidR="00FA0032" w:rsidRPr="00CD2604" w:rsidRDefault="00FA0032" w:rsidP="00C61544">
            <w:pPr>
              <w:rPr>
                <w:rFonts w:eastAsia="SimSun" w:cs="Arial"/>
                <w:sz w:val="16"/>
                <w:szCs w:val="16"/>
              </w:rPr>
            </w:pPr>
            <w:r w:rsidRPr="00CD2604">
              <w:rPr>
                <w:sz w:val="16"/>
                <w:szCs w:val="16"/>
              </w:rPr>
              <w:t>2 (WSO)</w:t>
            </w:r>
          </w:p>
        </w:tc>
        <w:tc>
          <w:tcPr>
            <w:tcW w:w="1528" w:type="pct"/>
            <w:tcBorders>
              <w:top w:val="single" w:sz="4" w:space="0" w:color="auto"/>
              <w:left w:val="nil"/>
              <w:bottom w:val="nil"/>
              <w:right w:val="nil"/>
            </w:tcBorders>
            <w:shd w:val="clear" w:color="auto" w:fill="FFFFFF"/>
            <w:tcMar>
              <w:top w:w="110" w:type="dxa"/>
            </w:tcMar>
          </w:tcPr>
          <w:p w:rsidR="00FA0032" w:rsidRPr="00FA0032" w:rsidRDefault="00FA0032" w:rsidP="00BF61DC">
            <w:pPr>
              <w:pStyle w:val="ListParagraph"/>
              <w:numPr>
                <w:ilvl w:val="0"/>
                <w:numId w:val="126"/>
              </w:numPr>
              <w:spacing w:after="60"/>
              <w:ind w:left="357" w:hanging="357"/>
              <w:rPr>
                <w:rFonts w:eastAsia="SimSun" w:cs="Arial"/>
                <w:sz w:val="16"/>
                <w:szCs w:val="16"/>
                <w:lang w:val="ru-RU"/>
              </w:rPr>
            </w:pPr>
            <w:r w:rsidRPr="00FA0032">
              <w:rPr>
                <w:sz w:val="16"/>
                <w:szCs w:val="16"/>
                <w:lang w:val="ru-RU"/>
              </w:rPr>
              <w:t xml:space="preserve">Совместно с учреждениями ООН (ЮНЕП и ЮНИДО) проведены 2 мероприятия </w:t>
            </w:r>
          </w:p>
          <w:p w:rsidR="00FA0032" w:rsidRPr="00FA0032" w:rsidRDefault="00FA0032" w:rsidP="00BF61DC">
            <w:pPr>
              <w:pStyle w:val="ListParagraph"/>
              <w:numPr>
                <w:ilvl w:val="0"/>
                <w:numId w:val="126"/>
              </w:numPr>
              <w:spacing w:after="60"/>
              <w:ind w:left="357" w:hanging="357"/>
              <w:rPr>
                <w:rFonts w:eastAsia="SimSun" w:cs="Arial"/>
                <w:sz w:val="16"/>
                <w:szCs w:val="16"/>
                <w:lang w:val="ru-RU"/>
              </w:rPr>
            </w:pPr>
            <w:r w:rsidRPr="00FA0032">
              <w:rPr>
                <w:sz w:val="16"/>
                <w:szCs w:val="16"/>
                <w:lang w:val="ru-RU"/>
              </w:rPr>
              <w:t>Множество мероприятий проведены совместно со странами</w:t>
            </w:r>
            <w:r w:rsidRPr="00CD2604">
              <w:rPr>
                <w:sz w:val="16"/>
                <w:szCs w:val="16"/>
              </w:rPr>
              <w:t> </w:t>
            </w:r>
            <w:r w:rsidRPr="00FA0032">
              <w:rPr>
                <w:sz w:val="16"/>
                <w:szCs w:val="16"/>
                <w:lang w:val="ru-RU"/>
              </w:rPr>
              <w:t>– участницами Соглашения о создании зоны свободной торговли стран АСЕАН, Австралии и Новой Зеландии (ААНЗЗСТ), Секретариатом АСЕАН, форумом Азиатско-Тихоокеанского экономического сотрудничества (АТЭС) и Проектом стран ЕС и АСЕАН в области охраны прав ИС, реализуемым Ведомством ЕС по гармонизации на внутреннем рынке (</w:t>
            </w:r>
            <w:r w:rsidRPr="00CD2604">
              <w:rPr>
                <w:sz w:val="16"/>
                <w:szCs w:val="16"/>
              </w:rPr>
              <w:t>OHIM</w:t>
            </w:r>
            <w:r w:rsidRPr="00FA0032">
              <w:rPr>
                <w:sz w:val="16"/>
                <w:szCs w:val="16"/>
                <w:lang w:val="ru-RU"/>
              </w:rPr>
              <w:t>/</w:t>
            </w:r>
            <w:r w:rsidRPr="00CD2604">
              <w:rPr>
                <w:sz w:val="16"/>
                <w:szCs w:val="16"/>
              </w:rPr>
              <w:t>ECAP</w:t>
            </w:r>
            <w:r w:rsidRPr="00FA0032">
              <w:rPr>
                <w:sz w:val="16"/>
                <w:szCs w:val="16"/>
                <w:lang w:val="ru-RU"/>
              </w:rPr>
              <w:t xml:space="preserve"> </w:t>
            </w:r>
            <w:r w:rsidRPr="00CD2604">
              <w:rPr>
                <w:sz w:val="16"/>
                <w:szCs w:val="16"/>
              </w:rPr>
              <w:t>III</w:t>
            </w:r>
            <w:r w:rsidRPr="00FA0032">
              <w:rPr>
                <w:sz w:val="16"/>
                <w:szCs w:val="16"/>
                <w:lang w:val="ru-RU"/>
              </w:rPr>
              <w:t>).</w:t>
            </w:r>
          </w:p>
          <w:p w:rsidR="00FA0032" w:rsidRPr="00FA0032" w:rsidRDefault="00FA0032" w:rsidP="00BF61DC">
            <w:pPr>
              <w:pStyle w:val="ListParagraph"/>
              <w:numPr>
                <w:ilvl w:val="0"/>
                <w:numId w:val="126"/>
              </w:numPr>
              <w:spacing w:after="60"/>
              <w:ind w:left="357" w:hanging="357"/>
              <w:rPr>
                <w:rFonts w:eastAsia="SimSun" w:cs="Arial"/>
                <w:sz w:val="16"/>
                <w:szCs w:val="16"/>
                <w:lang w:val="ru-RU"/>
              </w:rPr>
            </w:pPr>
            <w:r w:rsidRPr="00FA0032">
              <w:rPr>
                <w:sz w:val="16"/>
                <w:szCs w:val="16"/>
                <w:lang w:val="ru-RU"/>
              </w:rPr>
              <w:t>1 форум поставщиков технической помощи в области ИС</w:t>
            </w:r>
          </w:p>
          <w:p w:rsidR="00FA0032" w:rsidRPr="00FA0032" w:rsidRDefault="00FA0032" w:rsidP="00BF61DC">
            <w:pPr>
              <w:pStyle w:val="ListParagraph"/>
              <w:numPr>
                <w:ilvl w:val="0"/>
                <w:numId w:val="126"/>
              </w:numPr>
              <w:spacing w:after="60"/>
              <w:ind w:left="357" w:hanging="357"/>
              <w:rPr>
                <w:rFonts w:eastAsia="SimSun" w:cs="Arial"/>
                <w:sz w:val="16"/>
                <w:szCs w:val="16"/>
                <w:lang w:val="ru-RU"/>
              </w:rPr>
            </w:pPr>
            <w:r w:rsidRPr="00FA0032">
              <w:rPr>
                <w:sz w:val="16"/>
                <w:szCs w:val="16"/>
                <w:lang w:val="ru-RU"/>
              </w:rPr>
              <w:t>В организованном совместно с Советом по тихоокеанскому экономическому сотрудничеству (СТЭС) мероприятии приняли участие представители восьми других международных организаций и МПО.</w:t>
            </w:r>
          </w:p>
          <w:p w:rsidR="00FA0032" w:rsidRPr="00FA0032" w:rsidRDefault="00FA0032" w:rsidP="00BF61DC">
            <w:pPr>
              <w:pStyle w:val="ListParagraph"/>
              <w:numPr>
                <w:ilvl w:val="0"/>
                <w:numId w:val="126"/>
              </w:numPr>
              <w:spacing w:after="60"/>
              <w:ind w:left="357" w:hanging="357"/>
              <w:rPr>
                <w:rFonts w:eastAsia="SimSun" w:cs="Arial"/>
                <w:sz w:val="16"/>
                <w:szCs w:val="16"/>
                <w:lang w:val="ru-RU"/>
              </w:rPr>
            </w:pPr>
            <w:r w:rsidRPr="00FA0032">
              <w:rPr>
                <w:sz w:val="16"/>
                <w:szCs w:val="16"/>
                <w:lang w:val="ru-RU"/>
              </w:rPr>
              <w:t>Участие в одном мероприятии вместе с Ассоциацией Организации Объединенных Наций Сингапура (</w:t>
            </w:r>
            <w:r w:rsidRPr="00CD2604">
              <w:rPr>
                <w:sz w:val="16"/>
                <w:szCs w:val="16"/>
              </w:rPr>
              <w:t>UNAS</w:t>
            </w:r>
            <w:r w:rsidRPr="00FA0032">
              <w:rPr>
                <w:sz w:val="16"/>
                <w:szCs w:val="16"/>
                <w:lang w:val="ru-RU"/>
              </w:rPr>
              <w:t xml:space="preserve">). </w:t>
            </w:r>
          </w:p>
        </w:tc>
        <w:tc>
          <w:tcPr>
            <w:tcW w:w="601" w:type="pct"/>
            <w:tcBorders>
              <w:top w:val="single" w:sz="4" w:space="0" w:color="auto"/>
              <w:left w:val="nil"/>
              <w:bottom w:val="nil"/>
              <w:right w:val="single" w:sz="4" w:space="0" w:color="auto"/>
            </w:tcBorders>
            <w:shd w:val="clear" w:color="auto" w:fill="auto"/>
            <w:tcMar>
              <w:top w:w="110" w:type="dxa"/>
            </w:tcMar>
          </w:tcPr>
          <w:p w:rsidR="00FA0032" w:rsidRPr="00CD2604" w:rsidRDefault="00FA0032" w:rsidP="00C61544">
            <w:pPr>
              <w:keepNext/>
              <w:keepLines/>
              <w:ind w:left="-116" w:right="20"/>
              <w:jc w:val="center"/>
              <w:rPr>
                <w:rFonts w:eastAsia="SimSun" w:cs="Arial"/>
                <w:b/>
                <w:bCs/>
                <w:color w:val="00B050"/>
                <w:sz w:val="16"/>
                <w:szCs w:val="16"/>
              </w:rPr>
            </w:pPr>
            <w:r w:rsidRPr="00CD2604">
              <w:rPr>
                <w:b/>
                <w:color w:val="00B050"/>
                <w:sz w:val="16"/>
                <w:szCs w:val="16"/>
              </w:rPr>
              <w:t>Выполнено</w:t>
            </w:r>
          </w:p>
        </w:tc>
      </w:tr>
      <w:tr w:rsidR="00FA0032" w:rsidRPr="005C6ABD" w:rsidTr="00C61544">
        <w:trPr>
          <w:trHeight w:val="500"/>
        </w:trPr>
        <w:tc>
          <w:tcPr>
            <w:tcW w:w="994" w:type="pct"/>
            <w:tcBorders>
              <w:top w:val="nil"/>
              <w:left w:val="single" w:sz="4" w:space="0" w:color="auto"/>
              <w:bottom w:val="single" w:sz="4" w:space="0" w:color="auto"/>
              <w:right w:val="nil"/>
            </w:tcBorders>
            <w:shd w:val="clear" w:color="auto" w:fill="auto"/>
          </w:tcPr>
          <w:p w:rsidR="00FA0032" w:rsidRPr="00CD2604" w:rsidRDefault="00FA0032" w:rsidP="00C61544">
            <w:pPr>
              <w:rPr>
                <w:rFonts w:eastAsia="SimSun" w:cs="Arial"/>
                <w:color w:val="000000"/>
                <w:sz w:val="16"/>
                <w:szCs w:val="16"/>
              </w:rPr>
            </w:pPr>
          </w:p>
        </w:tc>
        <w:tc>
          <w:tcPr>
            <w:tcW w:w="1006" w:type="pct"/>
            <w:tcBorders>
              <w:top w:val="nil"/>
              <w:left w:val="nil"/>
              <w:bottom w:val="single" w:sz="4" w:space="0" w:color="auto"/>
              <w:right w:val="nil"/>
            </w:tcBorders>
            <w:shd w:val="clear" w:color="auto" w:fill="auto"/>
          </w:tcPr>
          <w:p w:rsidR="00FA0032" w:rsidRPr="00CD2604" w:rsidRDefault="00FA0032" w:rsidP="00C61544">
            <w:pPr>
              <w:rPr>
                <w:rFonts w:cs="Arial"/>
                <w:sz w:val="16"/>
                <w:szCs w:val="16"/>
              </w:rPr>
            </w:pPr>
          </w:p>
        </w:tc>
        <w:tc>
          <w:tcPr>
            <w:tcW w:w="871" w:type="pct"/>
            <w:tcBorders>
              <w:top w:val="nil"/>
              <w:left w:val="nil"/>
              <w:bottom w:val="single" w:sz="4" w:space="0" w:color="auto"/>
              <w:right w:val="nil"/>
            </w:tcBorders>
            <w:shd w:val="clear" w:color="auto" w:fill="auto"/>
            <w:tcMar>
              <w:top w:w="110" w:type="dxa"/>
            </w:tcMar>
          </w:tcPr>
          <w:p w:rsidR="00FA0032" w:rsidRPr="00CD2604" w:rsidRDefault="00FA0032" w:rsidP="00C61544">
            <w:pPr>
              <w:rPr>
                <w:rFonts w:eastAsia="SimSun" w:cs="Arial"/>
                <w:sz w:val="16"/>
                <w:szCs w:val="16"/>
              </w:rPr>
            </w:pPr>
          </w:p>
        </w:tc>
        <w:tc>
          <w:tcPr>
            <w:tcW w:w="1528" w:type="pct"/>
            <w:tcBorders>
              <w:top w:val="nil"/>
              <w:left w:val="nil"/>
              <w:bottom w:val="single" w:sz="4" w:space="0" w:color="auto"/>
              <w:right w:val="nil"/>
            </w:tcBorders>
            <w:shd w:val="clear" w:color="auto" w:fill="FFFFFF"/>
            <w:tcMar>
              <w:top w:w="110" w:type="dxa"/>
            </w:tcMar>
          </w:tcPr>
          <w:p w:rsidR="00FA0032" w:rsidRPr="00FA0032" w:rsidRDefault="00FA0032" w:rsidP="00BF61DC">
            <w:pPr>
              <w:pStyle w:val="ListParagraph"/>
              <w:numPr>
                <w:ilvl w:val="0"/>
                <w:numId w:val="126"/>
              </w:numPr>
              <w:spacing w:after="60"/>
              <w:ind w:left="357" w:hanging="357"/>
              <w:rPr>
                <w:rFonts w:eastAsia="SimSun" w:cs="Arial"/>
                <w:sz w:val="16"/>
                <w:szCs w:val="16"/>
                <w:lang w:val="ru-RU"/>
              </w:rPr>
            </w:pPr>
            <w:r w:rsidRPr="00FA0032">
              <w:rPr>
                <w:sz w:val="16"/>
                <w:szCs w:val="16"/>
                <w:lang w:val="ru-RU"/>
              </w:rPr>
              <w:t>Участие в 1 мероприятии группы Политического партнерства по науке, технологиям и инновациям форума Азиатско-Тихоокеанского экономического сотрудничества (АТЭС) (</w:t>
            </w:r>
            <w:r w:rsidRPr="00CD2604">
              <w:rPr>
                <w:sz w:val="16"/>
                <w:szCs w:val="16"/>
              </w:rPr>
              <w:t>WSO</w:t>
            </w:r>
            <w:r w:rsidRPr="00FA0032">
              <w:rPr>
                <w:sz w:val="16"/>
                <w:szCs w:val="16"/>
                <w:lang w:val="ru-RU"/>
              </w:rPr>
              <w:t>)</w:t>
            </w:r>
          </w:p>
        </w:tc>
        <w:tc>
          <w:tcPr>
            <w:tcW w:w="601" w:type="pct"/>
            <w:tcBorders>
              <w:top w:val="nil"/>
              <w:left w:val="nil"/>
              <w:bottom w:val="single" w:sz="4" w:space="0" w:color="auto"/>
              <w:right w:val="single" w:sz="4" w:space="0" w:color="auto"/>
            </w:tcBorders>
            <w:shd w:val="clear" w:color="auto" w:fill="auto"/>
            <w:tcMar>
              <w:top w:w="110" w:type="dxa"/>
            </w:tcMar>
          </w:tcPr>
          <w:p w:rsidR="00FA0032" w:rsidRPr="00FA0032" w:rsidRDefault="00FA0032" w:rsidP="00C61544">
            <w:pPr>
              <w:keepNext/>
              <w:keepLines/>
              <w:ind w:left="-116" w:right="20"/>
              <w:jc w:val="center"/>
              <w:rPr>
                <w:rFonts w:eastAsia="SimSun" w:cs="Arial"/>
                <w:b/>
                <w:bCs/>
                <w:color w:val="00B050"/>
                <w:sz w:val="16"/>
                <w:szCs w:val="16"/>
                <w:lang w:val="ru-RU"/>
              </w:rPr>
            </w:pPr>
          </w:p>
        </w:tc>
      </w:tr>
    </w:tbl>
    <w:p w:rsidR="00FA0032" w:rsidRPr="00FA0032" w:rsidRDefault="00FA0032" w:rsidP="00FA0032">
      <w:pPr>
        <w:rPr>
          <w:rFonts w:cs="Arial"/>
          <w:color w:val="000000"/>
          <w:sz w:val="22"/>
          <w:szCs w:val="22"/>
          <w:lang w:val="ru-RU"/>
        </w:rPr>
      </w:pPr>
    </w:p>
    <w:p w:rsidR="00FA0032" w:rsidRPr="00FA0032" w:rsidRDefault="00FA0032" w:rsidP="00FA0032">
      <w:pPr>
        <w:rPr>
          <w:rFonts w:cs="Arial"/>
          <w:color w:val="000000"/>
          <w:sz w:val="22"/>
          <w:szCs w:val="22"/>
          <w:lang w:val="ru-RU"/>
        </w:rPr>
      </w:pPr>
    </w:p>
    <w:p w:rsidR="00FA0032" w:rsidRPr="00FA0032" w:rsidRDefault="00FA0032" w:rsidP="00FA0032">
      <w:pPr>
        <w:rPr>
          <w:rFonts w:cs="Arial"/>
          <w:color w:val="000000"/>
          <w:sz w:val="22"/>
          <w:szCs w:val="22"/>
          <w:lang w:val="ru-RU"/>
        </w:rPr>
      </w:pPr>
    </w:p>
    <w:p w:rsidR="00FA0032" w:rsidRPr="00FA0032" w:rsidRDefault="00FA0032" w:rsidP="00FA0032">
      <w:pPr>
        <w:rPr>
          <w:rFonts w:cs="Arial"/>
          <w:color w:val="000000"/>
          <w:sz w:val="22"/>
          <w:szCs w:val="22"/>
          <w:lang w:val="ru-RU"/>
        </w:rPr>
      </w:pPr>
    </w:p>
    <w:p w:rsidR="00FA0032" w:rsidRPr="00FA0032" w:rsidRDefault="00FA0032" w:rsidP="00FA0032">
      <w:pPr>
        <w:rPr>
          <w:rFonts w:cs="Arial"/>
          <w:color w:val="000000"/>
          <w:sz w:val="22"/>
          <w:szCs w:val="22"/>
          <w:lang w:val="ru-RU"/>
        </w:rPr>
      </w:pPr>
    </w:p>
    <w:p w:rsidR="00FA0032" w:rsidRPr="00FA0032" w:rsidRDefault="00FA0032" w:rsidP="00FA0032">
      <w:pPr>
        <w:rPr>
          <w:rFonts w:cs="Arial"/>
          <w:color w:val="000000"/>
          <w:sz w:val="22"/>
          <w:szCs w:val="22"/>
          <w:lang w:val="ru-RU"/>
        </w:rPr>
      </w:pPr>
    </w:p>
    <w:p w:rsidR="00FA0032" w:rsidRPr="00FA0032" w:rsidRDefault="00FA0032" w:rsidP="00FA0032">
      <w:pPr>
        <w:rPr>
          <w:rFonts w:cs="Arial"/>
          <w:color w:val="000000"/>
          <w:sz w:val="22"/>
          <w:szCs w:val="22"/>
          <w:lang w:val="ru-RU"/>
        </w:rPr>
      </w:pPr>
    </w:p>
    <w:p w:rsidR="00FA0032" w:rsidRPr="00FA0032" w:rsidRDefault="00FA0032" w:rsidP="00FA0032">
      <w:pPr>
        <w:spacing w:after="200" w:line="276" w:lineRule="auto"/>
        <w:rPr>
          <w:rFonts w:cs="Arial"/>
          <w:color w:val="000000"/>
          <w:sz w:val="22"/>
          <w:szCs w:val="22"/>
          <w:lang w:val="ru-RU"/>
        </w:rPr>
      </w:pPr>
      <w:r w:rsidRPr="00FA0032">
        <w:rPr>
          <w:rFonts w:cs="Arial"/>
          <w:color w:val="000000"/>
          <w:sz w:val="22"/>
          <w:szCs w:val="22"/>
          <w:lang w:val="ru-RU"/>
        </w:rPr>
        <w:br w:type="page"/>
      </w:r>
    </w:p>
    <w:p w:rsidR="00FA0032" w:rsidRPr="00FA0032" w:rsidRDefault="00FA0032" w:rsidP="00FA0032">
      <w:pPr>
        <w:rPr>
          <w:rFonts w:cs="Arial"/>
          <w:color w:val="000000"/>
          <w:sz w:val="22"/>
          <w:szCs w:val="22"/>
          <w:lang w:val="ru-RU"/>
        </w:rPr>
      </w:pPr>
    </w:p>
    <w:p w:rsidR="00FA0032" w:rsidRPr="00FA0032" w:rsidRDefault="00FA0032" w:rsidP="00FA0032">
      <w:pPr>
        <w:keepNext/>
        <w:keepLines/>
        <w:rPr>
          <w:rFonts w:cs="Arial"/>
          <w:color w:val="000000"/>
          <w:szCs w:val="22"/>
          <w:lang w:val="ru-RU"/>
        </w:rPr>
      </w:pPr>
      <w:r w:rsidRPr="00FA0032">
        <w:rPr>
          <w:color w:val="000000"/>
          <w:lang w:val="ru-RU"/>
        </w:rPr>
        <w:t>ОТЧЕТ О РИСКАХ В ДВУХЛЕТНИЙ ПЕРИОД</w:t>
      </w:r>
    </w:p>
    <w:p w:rsidR="00FA0032" w:rsidRPr="00FA0032" w:rsidRDefault="00FA0032" w:rsidP="00FA0032">
      <w:pPr>
        <w:rPr>
          <w:rFonts w:cs="Arial"/>
          <w:color w:val="000000"/>
          <w:szCs w:val="22"/>
          <w:lang w:val="ru-RU"/>
        </w:rPr>
      </w:pPr>
    </w:p>
    <w:tbl>
      <w:tblPr>
        <w:tblW w:w="9498"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96"/>
        <w:gridCol w:w="2224"/>
        <w:gridCol w:w="2310"/>
        <w:gridCol w:w="2568"/>
      </w:tblGrid>
      <w:tr w:rsidR="00FA0032" w:rsidRPr="003C527B" w:rsidTr="00C61544">
        <w:trPr>
          <w:trHeight w:val="621"/>
        </w:trPr>
        <w:tc>
          <w:tcPr>
            <w:tcW w:w="2396" w:type="dxa"/>
            <w:tcBorders>
              <w:top w:val="single" w:sz="4" w:space="0" w:color="auto"/>
              <w:left w:val="single" w:sz="4" w:space="0" w:color="auto"/>
              <w:bottom w:val="single" w:sz="4" w:space="0" w:color="auto"/>
              <w:right w:val="nil"/>
            </w:tcBorders>
            <w:shd w:val="clear" w:color="auto" w:fill="C6D9F1" w:themeFill="text2" w:themeFillTint="33"/>
            <w:vAlign w:val="center"/>
          </w:tcPr>
          <w:p w:rsidR="00FA0032" w:rsidRPr="00FA0032" w:rsidRDefault="00FA0032" w:rsidP="00C61544">
            <w:pPr>
              <w:keepNext/>
              <w:keepLines/>
              <w:jc w:val="center"/>
              <w:rPr>
                <w:b/>
                <w:bCs/>
                <w:iCs/>
                <w:sz w:val="18"/>
                <w:szCs w:val="14"/>
                <w:lang w:val="ru-RU"/>
              </w:rPr>
            </w:pPr>
            <w:r w:rsidRPr="00FA0032">
              <w:rPr>
                <w:b/>
                <w:sz w:val="18"/>
                <w:lang w:val="ru-RU"/>
              </w:rPr>
              <w:t>Риск (риски) того, что результаты программы не будут достигнуты</w:t>
            </w:r>
          </w:p>
        </w:tc>
        <w:tc>
          <w:tcPr>
            <w:tcW w:w="2224" w:type="dxa"/>
            <w:tcBorders>
              <w:top w:val="single" w:sz="4" w:space="0" w:color="auto"/>
              <w:left w:val="nil"/>
              <w:bottom w:val="single" w:sz="4" w:space="0" w:color="auto"/>
              <w:right w:val="nil"/>
            </w:tcBorders>
            <w:shd w:val="clear" w:color="auto" w:fill="C6D9F1" w:themeFill="text2" w:themeFillTint="33"/>
            <w:vAlign w:val="center"/>
          </w:tcPr>
          <w:p w:rsidR="00FA0032" w:rsidRPr="00FA0032" w:rsidRDefault="00FA0032" w:rsidP="00C61544">
            <w:pPr>
              <w:keepNext/>
              <w:keepLines/>
              <w:jc w:val="center"/>
              <w:rPr>
                <w:b/>
                <w:bCs/>
                <w:iCs/>
                <w:sz w:val="18"/>
                <w:szCs w:val="14"/>
                <w:lang w:val="ru-RU"/>
              </w:rPr>
            </w:pPr>
            <w:r w:rsidRPr="00FA0032">
              <w:rPr>
                <w:b/>
                <w:sz w:val="18"/>
                <w:lang w:val="ru-RU"/>
              </w:rPr>
              <w:t>Действующие или разрабатываемые планы по снижению рисков</w:t>
            </w:r>
          </w:p>
        </w:tc>
        <w:tc>
          <w:tcPr>
            <w:tcW w:w="2310" w:type="dxa"/>
            <w:tcBorders>
              <w:top w:val="single" w:sz="4" w:space="0" w:color="auto"/>
              <w:left w:val="nil"/>
              <w:bottom w:val="single" w:sz="4" w:space="0" w:color="auto"/>
              <w:right w:val="nil"/>
            </w:tcBorders>
            <w:shd w:val="clear" w:color="auto" w:fill="C6D9F1" w:themeFill="text2" w:themeFillTint="33"/>
          </w:tcPr>
          <w:p w:rsidR="00FA0032" w:rsidRPr="00FA0032" w:rsidRDefault="00FA0032" w:rsidP="00C61544">
            <w:pPr>
              <w:keepNext/>
              <w:keepLines/>
              <w:jc w:val="center"/>
              <w:rPr>
                <w:b/>
                <w:bCs/>
                <w:sz w:val="18"/>
                <w:szCs w:val="18"/>
                <w:lang w:val="ru-RU"/>
              </w:rPr>
            </w:pPr>
            <w:r w:rsidRPr="00FA0032">
              <w:rPr>
                <w:b/>
                <w:sz w:val="18"/>
                <w:lang w:val="ru-RU"/>
              </w:rPr>
              <w:t>Развитие риска (рисков) и стратегий его (их) снижения в двухлетний период</w:t>
            </w:r>
          </w:p>
        </w:tc>
        <w:tc>
          <w:tcPr>
            <w:tcW w:w="2568" w:type="dxa"/>
            <w:tcBorders>
              <w:top w:val="single" w:sz="4" w:space="0" w:color="auto"/>
              <w:left w:val="nil"/>
              <w:bottom w:val="single" w:sz="4" w:space="0" w:color="auto"/>
              <w:right w:val="single" w:sz="4" w:space="0" w:color="auto"/>
            </w:tcBorders>
            <w:shd w:val="clear" w:color="auto" w:fill="C6D9F1" w:themeFill="text2" w:themeFillTint="33"/>
          </w:tcPr>
          <w:p w:rsidR="00FA0032" w:rsidRPr="003C527B" w:rsidRDefault="00FA0032" w:rsidP="00C61544">
            <w:pPr>
              <w:keepNext/>
              <w:keepLines/>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FA0032" w:rsidRPr="005C6ABD" w:rsidTr="00C61544">
        <w:trPr>
          <w:trHeight w:val="776"/>
        </w:trPr>
        <w:tc>
          <w:tcPr>
            <w:tcW w:w="2396" w:type="dxa"/>
            <w:tcBorders>
              <w:top w:val="single" w:sz="4" w:space="0" w:color="auto"/>
            </w:tcBorders>
            <w:shd w:val="clear" w:color="auto" w:fill="auto"/>
            <w:tcMar>
              <w:top w:w="113" w:type="dxa"/>
              <w:bottom w:w="85" w:type="dxa"/>
            </w:tcMar>
          </w:tcPr>
          <w:p w:rsidR="00FA0032" w:rsidRPr="00FA0032" w:rsidRDefault="00FA0032" w:rsidP="00C61544">
            <w:pPr>
              <w:keepNext/>
              <w:keepLines/>
              <w:tabs>
                <w:tab w:val="left" w:pos="3465"/>
              </w:tabs>
              <w:rPr>
                <w:sz w:val="16"/>
                <w:lang w:val="ru-RU"/>
              </w:rPr>
            </w:pPr>
            <w:r w:rsidRPr="00FA0032">
              <w:rPr>
                <w:sz w:val="16"/>
                <w:lang w:val="ru-RU"/>
              </w:rPr>
              <w:t>Эффективность процессов взаимодействия ВОИС с ООН и другими МПО и НПО зависит от признания ими того факта, что ВОИС является заслуживающим доверия и надежным источником поддержки, помощи и информации.</w:t>
            </w:r>
          </w:p>
        </w:tc>
        <w:tc>
          <w:tcPr>
            <w:tcW w:w="2224" w:type="dxa"/>
            <w:tcBorders>
              <w:top w:val="single" w:sz="4" w:space="0" w:color="auto"/>
            </w:tcBorders>
            <w:shd w:val="clear" w:color="auto" w:fill="auto"/>
            <w:tcMar>
              <w:top w:w="113" w:type="dxa"/>
              <w:bottom w:w="85" w:type="dxa"/>
            </w:tcMar>
          </w:tcPr>
          <w:p w:rsidR="00FA0032" w:rsidRPr="003C527B" w:rsidRDefault="00FA0032" w:rsidP="00C61544">
            <w:pPr>
              <w:keepNext/>
              <w:keepLines/>
              <w:autoSpaceDE w:val="0"/>
              <w:autoSpaceDN w:val="0"/>
              <w:adjustRightInd w:val="0"/>
              <w:ind w:right="-59"/>
              <w:rPr>
                <w:sz w:val="16"/>
              </w:rPr>
            </w:pPr>
            <w:r w:rsidRPr="00FA0032">
              <w:rPr>
                <w:sz w:val="16"/>
                <w:lang w:val="ru-RU"/>
              </w:rPr>
              <w:t xml:space="preserve">Обеспечение того, чтобы вклад ВОИС был основан на фактах и практическом опыте, был сбалансирован, отражал мнения всех заинтересованных сторон, своевременен и целенаправлен.  </w:t>
            </w:r>
            <w:r>
              <w:rPr>
                <w:sz w:val="16"/>
              </w:rPr>
              <w:t>Развитие партнерских отношений для повышения эффективности вклада ВОИС</w:t>
            </w:r>
          </w:p>
        </w:tc>
        <w:tc>
          <w:tcPr>
            <w:tcW w:w="2310" w:type="dxa"/>
            <w:tcBorders>
              <w:top w:val="single" w:sz="4" w:space="0" w:color="auto"/>
            </w:tcBorders>
          </w:tcPr>
          <w:p w:rsidR="00FA0032" w:rsidRPr="00FA0032" w:rsidRDefault="00FA0032" w:rsidP="00C61544">
            <w:pPr>
              <w:rPr>
                <w:sz w:val="16"/>
                <w:szCs w:val="16"/>
                <w:lang w:val="ru-RU"/>
              </w:rPr>
            </w:pPr>
            <w:r w:rsidRPr="00FA0032">
              <w:rPr>
                <w:sz w:val="16"/>
                <w:lang w:val="ru-RU"/>
              </w:rPr>
              <w:t>Этот риск стал более актуален, так как в силу крупных процессов ООН, происходивших в рассматриваемый двухлетний период, направлялись все более подробные и комплексные запросы о внесении вклада.  В целях обеспечения надлежащего снижения этого риска был сделан акцент на более активной координации как внутри Организации, так и в работе с внешними партнерами.</w:t>
            </w:r>
          </w:p>
        </w:tc>
        <w:tc>
          <w:tcPr>
            <w:tcW w:w="2568" w:type="dxa"/>
            <w:tcBorders>
              <w:top w:val="single" w:sz="4" w:space="0" w:color="auto"/>
            </w:tcBorders>
          </w:tcPr>
          <w:p w:rsidR="00FA0032" w:rsidRPr="00FA0032" w:rsidRDefault="00FA0032" w:rsidP="00C61544">
            <w:pPr>
              <w:rPr>
                <w:sz w:val="16"/>
                <w:szCs w:val="16"/>
                <w:lang w:val="ru-RU"/>
              </w:rPr>
            </w:pPr>
            <w:r w:rsidRPr="00FA0032">
              <w:rPr>
                <w:sz w:val="16"/>
                <w:lang w:val="ru-RU"/>
              </w:rPr>
              <w:t xml:space="preserve">Этот риск не оказал существенного воздействия на реализацию программы. </w:t>
            </w:r>
          </w:p>
        </w:tc>
      </w:tr>
      <w:tr w:rsidR="00FA0032" w:rsidRPr="005C6ABD" w:rsidTr="00C61544">
        <w:trPr>
          <w:trHeight w:val="939"/>
        </w:trPr>
        <w:tc>
          <w:tcPr>
            <w:tcW w:w="2396" w:type="dxa"/>
            <w:shd w:val="clear" w:color="auto" w:fill="auto"/>
            <w:tcMar>
              <w:top w:w="113" w:type="dxa"/>
              <w:bottom w:w="85" w:type="dxa"/>
            </w:tcMar>
          </w:tcPr>
          <w:p w:rsidR="00FA0032" w:rsidRPr="00FA0032" w:rsidRDefault="00FA0032" w:rsidP="00C61544">
            <w:pPr>
              <w:keepNext/>
              <w:keepLines/>
              <w:tabs>
                <w:tab w:val="left" w:pos="3465"/>
              </w:tabs>
              <w:rPr>
                <w:sz w:val="16"/>
                <w:lang w:val="ru-RU"/>
              </w:rPr>
            </w:pPr>
            <w:r w:rsidRPr="00FA0032">
              <w:rPr>
                <w:sz w:val="16"/>
                <w:lang w:val="ru-RU"/>
              </w:rPr>
              <w:t>Не будут выполнены цели по изысканию средств, что приведет к неспособности инициировать реализацию отдельных проектов по ИС в целях развития.</w:t>
            </w:r>
          </w:p>
        </w:tc>
        <w:tc>
          <w:tcPr>
            <w:tcW w:w="2224" w:type="dxa"/>
            <w:shd w:val="clear" w:color="auto" w:fill="auto"/>
            <w:tcMar>
              <w:top w:w="113" w:type="dxa"/>
              <w:bottom w:w="85" w:type="dxa"/>
            </w:tcMar>
          </w:tcPr>
          <w:p w:rsidR="00FA0032" w:rsidRPr="003C527B" w:rsidRDefault="00FA0032" w:rsidP="00C61544">
            <w:pPr>
              <w:keepNext/>
              <w:keepLines/>
              <w:rPr>
                <w:sz w:val="16"/>
              </w:rPr>
            </w:pPr>
            <w:r w:rsidRPr="00FA0032">
              <w:rPr>
                <w:sz w:val="16"/>
                <w:lang w:val="ru-RU"/>
              </w:rPr>
              <w:t xml:space="preserve">Обеспечение высокого качества проектов по мобилизации ресурсов с адресной направленностью на доноров.  Дальнейшее развитие организационных возможностей по мобилизации и регулированию внебюджетных ресурсов.  </w:t>
            </w:r>
            <w:r>
              <w:rPr>
                <w:sz w:val="16"/>
              </w:rPr>
              <w:t>Расширение понимания приоритетов доноров и контактов с донорами.</w:t>
            </w:r>
          </w:p>
        </w:tc>
        <w:tc>
          <w:tcPr>
            <w:tcW w:w="2310" w:type="dxa"/>
          </w:tcPr>
          <w:p w:rsidR="00FA0032" w:rsidRPr="00FA0032" w:rsidRDefault="00FA0032" w:rsidP="00C61544">
            <w:pPr>
              <w:rPr>
                <w:sz w:val="16"/>
                <w:szCs w:val="16"/>
                <w:lang w:val="ru-RU"/>
              </w:rPr>
            </w:pPr>
            <w:r w:rsidRPr="00FA0032">
              <w:rPr>
                <w:sz w:val="16"/>
                <w:lang w:val="ru-RU"/>
              </w:rPr>
              <w:t>Этот риск постоянно присутствует при реализации программы; благодаря принятию запланированных мер по снижению этого риска его удавалось держать под контролем.</w:t>
            </w:r>
          </w:p>
        </w:tc>
        <w:tc>
          <w:tcPr>
            <w:tcW w:w="2568" w:type="dxa"/>
          </w:tcPr>
          <w:p w:rsidR="00FA0032" w:rsidRPr="00FA0032" w:rsidRDefault="00FA0032" w:rsidP="00C61544">
            <w:pPr>
              <w:rPr>
                <w:sz w:val="16"/>
                <w:szCs w:val="16"/>
                <w:lang w:val="ru-RU"/>
              </w:rPr>
            </w:pPr>
            <w:r w:rsidRPr="00FA0032">
              <w:rPr>
                <w:sz w:val="16"/>
                <w:lang w:val="ru-RU"/>
              </w:rPr>
              <w:t>Этот риск не оказал существенного воздействия на реализацию программы.</w:t>
            </w:r>
          </w:p>
          <w:p w:rsidR="00FA0032" w:rsidRPr="00FA0032" w:rsidRDefault="00FA0032" w:rsidP="00C61544">
            <w:pPr>
              <w:rPr>
                <w:sz w:val="16"/>
                <w:szCs w:val="16"/>
                <w:lang w:val="ru-RU"/>
              </w:rPr>
            </w:pPr>
          </w:p>
        </w:tc>
      </w:tr>
      <w:tr w:rsidR="00FA0032" w:rsidRPr="005C6ABD" w:rsidTr="00C61544">
        <w:trPr>
          <w:trHeight w:val="939"/>
        </w:trPr>
        <w:tc>
          <w:tcPr>
            <w:tcW w:w="2396" w:type="dxa"/>
            <w:shd w:val="clear" w:color="auto" w:fill="auto"/>
            <w:tcMar>
              <w:top w:w="113" w:type="dxa"/>
              <w:bottom w:w="85" w:type="dxa"/>
            </w:tcMar>
          </w:tcPr>
          <w:p w:rsidR="00FA0032" w:rsidRPr="00FA0032" w:rsidRDefault="00FA0032" w:rsidP="00C61544">
            <w:pPr>
              <w:keepNext/>
              <w:keepLines/>
              <w:autoSpaceDE w:val="0"/>
              <w:autoSpaceDN w:val="0"/>
              <w:adjustRightInd w:val="0"/>
              <w:ind w:right="-59"/>
              <w:rPr>
                <w:sz w:val="16"/>
                <w:szCs w:val="16"/>
                <w:lang w:val="ru-RU"/>
              </w:rPr>
            </w:pPr>
            <w:r w:rsidRPr="00FA0032">
              <w:rPr>
                <w:sz w:val="16"/>
                <w:lang w:val="ru-RU"/>
              </w:rPr>
              <w:t>Проблемы безопасности и/или стихийные бедствия ставят под угрозу возможность достижения внешними бюро ожидаемых результатов своей деятельности.</w:t>
            </w:r>
          </w:p>
        </w:tc>
        <w:tc>
          <w:tcPr>
            <w:tcW w:w="2224" w:type="dxa"/>
            <w:shd w:val="clear" w:color="auto" w:fill="auto"/>
            <w:tcMar>
              <w:top w:w="113" w:type="dxa"/>
              <w:bottom w:w="85" w:type="dxa"/>
            </w:tcMar>
          </w:tcPr>
          <w:p w:rsidR="00FA0032" w:rsidRPr="00FA0032" w:rsidRDefault="00FA0032" w:rsidP="00C61544">
            <w:pPr>
              <w:keepNext/>
              <w:keepLines/>
              <w:autoSpaceDE w:val="0"/>
              <w:autoSpaceDN w:val="0"/>
              <w:adjustRightInd w:val="0"/>
              <w:ind w:right="-59"/>
              <w:rPr>
                <w:sz w:val="16"/>
                <w:szCs w:val="16"/>
                <w:lang w:val="ru-RU"/>
              </w:rPr>
            </w:pPr>
            <w:r w:rsidRPr="00FA0032">
              <w:rPr>
                <w:sz w:val="16"/>
                <w:lang w:val="ru-RU"/>
              </w:rPr>
              <w:t>Тесное сотрудничество с правительством принимающей страны и охват внешних бюро планом ВОИС по бесперебойному функционированию</w:t>
            </w:r>
          </w:p>
        </w:tc>
        <w:tc>
          <w:tcPr>
            <w:tcW w:w="2310" w:type="dxa"/>
          </w:tcPr>
          <w:p w:rsidR="00FA0032" w:rsidRPr="00FA0032" w:rsidRDefault="00FA0032" w:rsidP="00C61544">
            <w:pPr>
              <w:keepNext/>
              <w:keepLines/>
              <w:rPr>
                <w:sz w:val="16"/>
                <w:lang w:val="ru-RU"/>
              </w:rPr>
            </w:pPr>
            <w:r w:rsidRPr="00FA0032">
              <w:rPr>
                <w:sz w:val="16"/>
                <w:lang w:val="ru-RU"/>
              </w:rPr>
              <w:t>Это постоянный риск, который удавалось эффективно контролировать с помощью принятия запланированных мер по его снижению, включая более тесное сотрудничество с соответствующими органами и принятие мер для повышения готовности к стихийным бедствиям, в частности закупка аварийных запасов и создание внутренней системы коммуникации.</w:t>
            </w:r>
          </w:p>
        </w:tc>
        <w:tc>
          <w:tcPr>
            <w:tcW w:w="2568" w:type="dxa"/>
          </w:tcPr>
          <w:p w:rsidR="00FA0032" w:rsidRPr="00FA0032" w:rsidRDefault="00FA0032" w:rsidP="00C61544">
            <w:pPr>
              <w:keepNext/>
              <w:keepLines/>
              <w:rPr>
                <w:sz w:val="16"/>
                <w:lang w:val="ru-RU"/>
              </w:rPr>
            </w:pPr>
            <w:r w:rsidRPr="00FA0032">
              <w:rPr>
                <w:sz w:val="16"/>
                <w:lang w:val="ru-RU"/>
              </w:rPr>
              <w:t xml:space="preserve">Этот риск не оказал существенного воздействия на реализацию программы. </w:t>
            </w:r>
          </w:p>
        </w:tc>
      </w:tr>
    </w:tbl>
    <w:p w:rsidR="00FA0032" w:rsidRPr="00FA0032" w:rsidRDefault="00FA0032" w:rsidP="00FA0032">
      <w:pPr>
        <w:rPr>
          <w:rFonts w:cs="Arial"/>
          <w:color w:val="000000"/>
          <w:sz w:val="22"/>
          <w:szCs w:val="20"/>
          <w:lang w:val="ru-RU"/>
        </w:rPr>
      </w:pPr>
    </w:p>
    <w:p w:rsidR="00FA0032" w:rsidRPr="00FA0032" w:rsidRDefault="00FA0032" w:rsidP="00FA0032">
      <w:pPr>
        <w:rPr>
          <w:rFonts w:cs="Arial"/>
          <w:color w:val="000000"/>
          <w:sz w:val="22"/>
          <w:szCs w:val="20"/>
          <w:lang w:val="ru-RU"/>
        </w:rPr>
      </w:pPr>
    </w:p>
    <w:p w:rsidR="00FA0032" w:rsidRPr="00C61544" w:rsidRDefault="00FA0032" w:rsidP="00FA0032">
      <w:pPr>
        <w:keepNext/>
        <w:keepLines/>
        <w:rPr>
          <w:rFonts w:cs="Arial"/>
          <w:color w:val="000000"/>
          <w:szCs w:val="20"/>
          <w:lang w:val="ru-RU"/>
        </w:rPr>
      </w:pPr>
      <w:r w:rsidRPr="00C61544">
        <w:rPr>
          <w:color w:val="000000"/>
          <w:lang w:val="ru-RU"/>
        </w:rPr>
        <w:t>ИСПОЛЬЗОВАНИЕ РЕСУРСОВ</w:t>
      </w:r>
      <w:r w:rsidRPr="00C61544">
        <w:rPr>
          <w:lang w:val="ru-RU"/>
        </w:rPr>
        <w:tab/>
      </w:r>
    </w:p>
    <w:p w:rsidR="00FA0032" w:rsidRPr="00FA0032" w:rsidRDefault="00FA0032" w:rsidP="00FA0032">
      <w:pPr>
        <w:pStyle w:val="NormalWeb"/>
        <w:keepNext/>
        <w:keepLines/>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(в разбивке по результатам) </w:t>
      </w:r>
    </w:p>
    <w:p w:rsidR="00FA0032" w:rsidRPr="00FB7274" w:rsidRDefault="00FA0032" w:rsidP="00FA0032">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A0032" w:rsidRPr="000E1A74" w:rsidRDefault="00FA0032" w:rsidP="00FA0032">
      <w:pPr>
        <w:pStyle w:val="NormalWeb"/>
        <w:keepNext/>
        <w:keepLines/>
        <w:spacing w:before="0" w:beforeAutospacing="0" w:after="0" w:afterAutospacing="0"/>
        <w:jc w:val="center"/>
        <w:rPr>
          <w:szCs w:val="20"/>
        </w:rPr>
      </w:pPr>
    </w:p>
    <w:p w:rsidR="00FA0032" w:rsidRDefault="00FA0032" w:rsidP="00FA0032">
      <w:pPr>
        <w:jc w:val="center"/>
      </w:pPr>
      <w:r>
        <w:rPr>
          <w:noProof/>
        </w:rPr>
        <w:drawing>
          <wp:inline distT="0" distB="0" distL="0" distR="0" wp14:anchorId="0D59D1DB" wp14:editId="49D46B24">
            <wp:extent cx="5940425" cy="6508592"/>
            <wp:effectExtent l="0" t="0" r="3175" b="6985"/>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0425" cy="6508592"/>
                    </a:xfrm>
                    <a:prstGeom prst="rect">
                      <a:avLst/>
                    </a:prstGeom>
                    <a:noFill/>
                    <a:ln>
                      <a:noFill/>
                    </a:ln>
                  </pic:spPr>
                </pic:pic>
              </a:graphicData>
            </a:graphic>
          </wp:inline>
        </w:drawing>
      </w:r>
    </w:p>
    <w:p w:rsidR="00FA0032" w:rsidRDefault="00FA0032" w:rsidP="00FA0032">
      <w:pPr>
        <w:jc w:val="center"/>
      </w:pPr>
    </w:p>
    <w:p w:rsidR="00FA0032" w:rsidRPr="00FA0032" w:rsidRDefault="00FA0032" w:rsidP="00FA0032">
      <w:pPr>
        <w:pStyle w:val="NormalWeb"/>
        <w:keepNext/>
        <w:keepLines/>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(по персоналу и не связанные с персоналом) </w:t>
      </w:r>
    </w:p>
    <w:p w:rsidR="00FA0032" w:rsidRDefault="00FA0032" w:rsidP="00FA0032">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A0032" w:rsidRDefault="00FA0032" w:rsidP="00FA0032">
      <w:pPr>
        <w:pStyle w:val="NormalWeb"/>
        <w:keepNext/>
        <w:keepLines/>
        <w:spacing w:before="0" w:beforeAutospacing="0" w:after="0" w:afterAutospacing="0"/>
        <w:jc w:val="center"/>
      </w:pPr>
    </w:p>
    <w:p w:rsidR="00FA0032" w:rsidRPr="004C0C4E" w:rsidRDefault="00FA0032" w:rsidP="00FA0032">
      <w:pPr>
        <w:jc w:val="center"/>
        <w:rPr>
          <w:rFonts w:cs="Arial"/>
          <w:i/>
          <w:szCs w:val="16"/>
        </w:rPr>
      </w:pPr>
      <w:r>
        <w:rPr>
          <w:rFonts w:cs="Arial"/>
          <w:i/>
          <w:noProof/>
          <w:szCs w:val="16"/>
        </w:rPr>
        <w:drawing>
          <wp:inline distT="0" distB="0" distL="0" distR="0" wp14:anchorId="751F20D6" wp14:editId="463BAD00">
            <wp:extent cx="5940425" cy="1266820"/>
            <wp:effectExtent l="0" t="0" r="3175"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940425" cy="1266820"/>
                    </a:xfrm>
                    <a:prstGeom prst="rect">
                      <a:avLst/>
                    </a:prstGeom>
                    <a:noFill/>
                    <a:ln>
                      <a:noFill/>
                    </a:ln>
                  </pic:spPr>
                </pic:pic>
              </a:graphicData>
            </a:graphic>
          </wp:inline>
        </w:drawing>
      </w:r>
    </w:p>
    <w:p w:rsidR="00FA0032" w:rsidRDefault="00FA0032" w:rsidP="00FA0032">
      <w:pPr>
        <w:rPr>
          <w:rFonts w:cs="Arial"/>
          <w:i/>
          <w:szCs w:val="16"/>
        </w:rPr>
      </w:pPr>
    </w:p>
    <w:p w:rsidR="00FA0032" w:rsidRDefault="00FA0032" w:rsidP="00FA0032">
      <w:pPr>
        <w:rPr>
          <w:rFonts w:cs="Arial"/>
          <w:i/>
          <w:szCs w:val="16"/>
        </w:rPr>
      </w:pPr>
    </w:p>
    <w:p w:rsidR="00FA0032" w:rsidRPr="00FA0032" w:rsidRDefault="00FA0032" w:rsidP="00FA0032">
      <w:pPr>
        <w:rPr>
          <w:rFonts w:cs="Arial"/>
          <w:szCs w:val="20"/>
          <w:u w:val="single"/>
          <w:lang w:val="ru-RU"/>
        </w:rPr>
      </w:pPr>
      <w:r>
        <w:t>A</w:t>
      </w:r>
      <w:r w:rsidRPr="00FA0032">
        <w:rPr>
          <w:lang w:val="ru-RU"/>
        </w:rPr>
        <w:t>.</w:t>
      </w:r>
      <w:r w:rsidRPr="00FA0032">
        <w:rPr>
          <w:lang w:val="ru-RU"/>
        </w:rPr>
        <w:tab/>
      </w:r>
      <w:r w:rsidRPr="00FA0032">
        <w:rPr>
          <w:u w:val="single"/>
          <w:lang w:val="ru-RU"/>
        </w:rPr>
        <w:t xml:space="preserve">Итоговый бюджет на 2014–2015 гг. после перераспределения средств </w:t>
      </w:r>
    </w:p>
    <w:p w:rsidR="00FA0032" w:rsidRPr="00FA0032" w:rsidRDefault="00FA0032" w:rsidP="00FA0032">
      <w:pPr>
        <w:rPr>
          <w:rFonts w:cs="Arial"/>
          <w:szCs w:val="20"/>
          <w:u w:val="single"/>
          <w:lang w:val="ru-RU"/>
        </w:rPr>
      </w:pPr>
    </w:p>
    <w:p w:rsidR="00FA0032" w:rsidRPr="00FA0032" w:rsidRDefault="00FA0032" w:rsidP="00BF61DC">
      <w:pPr>
        <w:pStyle w:val="ListParagraph"/>
        <w:numPr>
          <w:ilvl w:val="0"/>
          <w:numId w:val="127"/>
        </w:numPr>
        <w:ind w:left="0" w:firstLine="0"/>
        <w:jc w:val="both"/>
        <w:rPr>
          <w:rFonts w:cs="Arial"/>
          <w:lang w:val="ru-RU"/>
        </w:rPr>
      </w:pPr>
      <w:r w:rsidRPr="00FA0032">
        <w:rPr>
          <w:lang w:val="ru-RU"/>
        </w:rPr>
        <w:t>Чистое снижение объема ресурсов, связанных с персоналом, в итоговом бюджете на 2014–2015</w:t>
      </w:r>
      <w:r>
        <w:t> </w:t>
      </w:r>
      <w:r w:rsidRPr="00FA0032">
        <w:rPr>
          <w:lang w:val="ru-RU"/>
        </w:rPr>
        <w:t xml:space="preserve">гг. после перераспределения средств отражает передачу таких ресурсов в программу 9 в целях укрепления деятельности Африканского бюро, в результате чего было отмечено снижение по результату </w:t>
      </w:r>
      <w:r>
        <w:t>VIII</w:t>
      </w:r>
      <w:r w:rsidRPr="00FA0032">
        <w:rPr>
          <w:lang w:val="ru-RU"/>
        </w:rPr>
        <w:t>.4 (открытое, транспарентное и эффективное взаимодействие с НПО).</w:t>
      </w:r>
    </w:p>
    <w:p w:rsidR="00FA0032" w:rsidRPr="00FA0032" w:rsidRDefault="00FA0032" w:rsidP="00FA0032">
      <w:pPr>
        <w:pStyle w:val="ListParagraph"/>
        <w:tabs>
          <w:tab w:val="left" w:pos="709"/>
        </w:tabs>
        <w:ind w:left="0"/>
        <w:contextualSpacing/>
        <w:jc w:val="both"/>
        <w:rPr>
          <w:rFonts w:cs="Arial"/>
          <w:lang w:val="ru-RU"/>
        </w:rPr>
      </w:pPr>
    </w:p>
    <w:p w:rsidR="00FA0032" w:rsidRPr="00FA0032" w:rsidRDefault="00FA0032" w:rsidP="00BF61DC">
      <w:pPr>
        <w:pStyle w:val="ListParagraph"/>
        <w:numPr>
          <w:ilvl w:val="0"/>
          <w:numId w:val="127"/>
        </w:numPr>
        <w:ind w:left="0" w:firstLine="0"/>
        <w:jc w:val="both"/>
        <w:rPr>
          <w:rFonts w:cs="Arial"/>
          <w:u w:val="single"/>
          <w:lang w:val="ru-RU"/>
        </w:rPr>
      </w:pPr>
      <w:r w:rsidRPr="00FA0032">
        <w:rPr>
          <w:lang w:val="ru-RU"/>
        </w:rPr>
        <w:t>Чистое увеличение объема ресурсов, не связанных с персоналом, в бюджете 2014–2015</w:t>
      </w:r>
      <w:r>
        <w:t> </w:t>
      </w:r>
      <w:r w:rsidRPr="00FA0032">
        <w:rPr>
          <w:lang w:val="ru-RU"/>
        </w:rPr>
        <w:t>гг. после перераспределения средств в основном обусловлено: (</w:t>
      </w:r>
      <w:r>
        <w:t>i</w:t>
      </w:r>
      <w:r w:rsidRPr="00FA0032">
        <w:rPr>
          <w:lang w:val="ru-RU"/>
        </w:rPr>
        <w:t>)</w:t>
      </w:r>
      <w:r>
        <w:t> </w:t>
      </w:r>
      <w:r w:rsidRPr="00FA0032">
        <w:rPr>
          <w:lang w:val="ru-RU"/>
        </w:rPr>
        <w:t xml:space="preserve">первоначальным выделением средств в пользу </w:t>
      </w:r>
      <w:r>
        <w:t>WOC</w:t>
      </w:r>
      <w:r w:rsidRPr="00FA0032">
        <w:rPr>
          <w:lang w:val="ru-RU"/>
        </w:rPr>
        <w:t xml:space="preserve"> и </w:t>
      </w:r>
      <w:r>
        <w:t>WRO</w:t>
      </w:r>
      <w:r w:rsidRPr="00FA0032">
        <w:rPr>
          <w:lang w:val="ru-RU"/>
        </w:rPr>
        <w:t>); (</w:t>
      </w:r>
      <w:r>
        <w:t>ii</w:t>
      </w:r>
      <w:r w:rsidRPr="00FA0032">
        <w:rPr>
          <w:lang w:val="ru-RU"/>
        </w:rPr>
        <w:t>)</w:t>
      </w:r>
      <w:r>
        <w:t> </w:t>
      </w:r>
      <w:r w:rsidRPr="00FA0032">
        <w:rPr>
          <w:lang w:val="ru-RU"/>
        </w:rPr>
        <w:t xml:space="preserve">передачей дополнительных средств </w:t>
      </w:r>
      <w:r>
        <w:t>WOC</w:t>
      </w:r>
      <w:r w:rsidRPr="00FA0032">
        <w:rPr>
          <w:lang w:val="ru-RU"/>
        </w:rPr>
        <w:t xml:space="preserve"> для проведения инфраструктурной работы по проекту </w:t>
      </w:r>
      <w:r>
        <w:t>GOA</w:t>
      </w:r>
      <w:r w:rsidRPr="00FA0032">
        <w:rPr>
          <w:lang w:val="ru-RU"/>
        </w:rPr>
        <w:t>; и (</w:t>
      </w:r>
      <w:r>
        <w:t>iii</w:t>
      </w:r>
      <w:r w:rsidRPr="00FA0032">
        <w:rPr>
          <w:lang w:val="ru-RU"/>
        </w:rPr>
        <w:t>)</w:t>
      </w:r>
      <w:r>
        <w:t> </w:t>
      </w:r>
      <w:r w:rsidRPr="00FA0032">
        <w:rPr>
          <w:lang w:val="ru-RU"/>
        </w:rPr>
        <w:t>передачей дополнительных средств внешними бюро для обеспечения участия руководителей внешних бюро в работе Генеральных Ассамблей ВОИС.</w:t>
      </w:r>
    </w:p>
    <w:p w:rsidR="00FA0032" w:rsidRPr="00FA0032" w:rsidRDefault="00FA0032" w:rsidP="00FA0032">
      <w:pPr>
        <w:pStyle w:val="ListParagraph"/>
        <w:tabs>
          <w:tab w:val="left" w:pos="709"/>
        </w:tabs>
        <w:ind w:left="0"/>
        <w:jc w:val="both"/>
        <w:rPr>
          <w:rFonts w:cs="Arial"/>
          <w:u w:val="single"/>
          <w:lang w:val="ru-RU"/>
        </w:rPr>
      </w:pPr>
    </w:p>
    <w:p w:rsidR="00FA0032" w:rsidRPr="00FA0032" w:rsidRDefault="00FA0032" w:rsidP="00BF61DC">
      <w:pPr>
        <w:pStyle w:val="ListParagraph"/>
        <w:numPr>
          <w:ilvl w:val="0"/>
          <w:numId w:val="127"/>
        </w:numPr>
        <w:ind w:left="0" w:firstLine="0"/>
        <w:jc w:val="both"/>
        <w:rPr>
          <w:rFonts w:cs="Arial"/>
          <w:u w:val="single"/>
          <w:lang w:val="ru-RU"/>
        </w:rPr>
      </w:pPr>
      <w:r w:rsidRPr="00FA0032">
        <w:rPr>
          <w:lang w:val="ru-RU"/>
        </w:rPr>
        <w:t>Перераспределение средств между ожидаемыми результатами в основном обусловлено следующим: (</w:t>
      </w:r>
      <w:r>
        <w:t>i</w:t>
      </w:r>
      <w:r w:rsidRPr="00FA0032">
        <w:rPr>
          <w:lang w:val="ru-RU"/>
        </w:rPr>
        <w:t>)</w:t>
      </w:r>
      <w:r>
        <w:t> </w:t>
      </w:r>
      <w:r w:rsidRPr="00FA0032">
        <w:rPr>
          <w:lang w:val="ru-RU"/>
        </w:rPr>
        <w:t xml:space="preserve">первоначальным выделением средств в пользу </w:t>
      </w:r>
      <w:r>
        <w:t>WOC</w:t>
      </w:r>
      <w:r w:rsidRPr="00FA0032">
        <w:rPr>
          <w:lang w:val="ru-RU"/>
        </w:rPr>
        <w:t xml:space="preserve"> и </w:t>
      </w:r>
      <w:r>
        <w:t>WRO</w:t>
      </w:r>
      <w:r w:rsidRPr="00FA0032">
        <w:rPr>
          <w:lang w:val="ru-RU"/>
        </w:rPr>
        <w:t xml:space="preserve">, что, в частности, нашло отражение в объеме средств, выделенных на достижение результатов </w:t>
      </w:r>
      <w:r>
        <w:t>II</w:t>
      </w:r>
      <w:r w:rsidRPr="00FA0032">
        <w:rPr>
          <w:lang w:val="ru-RU"/>
        </w:rPr>
        <w:t xml:space="preserve">.1 (более широкое использование возможностей </w:t>
      </w:r>
      <w:r>
        <w:t>PCT</w:t>
      </w:r>
      <w:r w:rsidRPr="00FA0032">
        <w:rPr>
          <w:lang w:val="ru-RU"/>
        </w:rPr>
        <w:t xml:space="preserve">) и </w:t>
      </w:r>
      <w:r>
        <w:t>II</w:t>
      </w:r>
      <w:r w:rsidRPr="00FA0032">
        <w:rPr>
          <w:lang w:val="ru-RU"/>
        </w:rPr>
        <w:t>.6 (более широкое и оптимальное использование возможностей Мадридской и Лиссабонской систем); (</w:t>
      </w:r>
      <w:r>
        <w:t>ii</w:t>
      </w:r>
      <w:r w:rsidRPr="00FA0032">
        <w:rPr>
          <w:lang w:val="ru-RU"/>
        </w:rPr>
        <w:t xml:space="preserve">) повышением эффективности работы внешних бюро в области популяризации глобальных услуг ВОИС в области ИС, что нашло отражение в объеме средств, выделенных на достижение результата </w:t>
      </w:r>
      <w:r>
        <w:t>VIII</w:t>
      </w:r>
      <w:r w:rsidRPr="00FA0032">
        <w:rPr>
          <w:lang w:val="ru-RU"/>
        </w:rPr>
        <w:t xml:space="preserve">.1 (более эффективная организация общения с широкой общественностью), и в области совершенствования системы обслуживания клиентов, что нашло отражение в объеме средств, выделенных на достижение результата </w:t>
      </w:r>
      <w:r>
        <w:t>VIII</w:t>
      </w:r>
      <w:r w:rsidRPr="00FA0032">
        <w:rPr>
          <w:lang w:val="ru-RU"/>
        </w:rPr>
        <w:t>.2 (повышение степени ориентации на услуги и оперативности реагирования на запросы) и (</w:t>
      </w:r>
      <w:r>
        <w:t>iii</w:t>
      </w:r>
      <w:r w:rsidRPr="00FA0032">
        <w:rPr>
          <w:lang w:val="ru-RU"/>
        </w:rPr>
        <w:t xml:space="preserve">) перераспределением ресурсов в пользу результата </w:t>
      </w:r>
      <w:r>
        <w:t>VIII</w:t>
      </w:r>
      <w:r w:rsidRPr="00FA0032">
        <w:rPr>
          <w:lang w:val="ru-RU"/>
        </w:rPr>
        <w:t xml:space="preserve">.5 (ВОИС эффективно взаимодействует и является партнером в процессах и переговорах ООН и других МПО) за счет результата </w:t>
      </w:r>
      <w:r>
        <w:t>VIII</w:t>
      </w:r>
      <w:r w:rsidRPr="00FA0032">
        <w:rPr>
          <w:lang w:val="ru-RU"/>
        </w:rPr>
        <w:t xml:space="preserve">.4 (открытое, транспарентное и эффективное взаимодействие с НПО) из-за внутренней реорганизации программы.  </w:t>
      </w:r>
    </w:p>
    <w:p w:rsidR="00FA0032" w:rsidRPr="00FA0032" w:rsidRDefault="00FA0032" w:rsidP="00FA0032">
      <w:pPr>
        <w:rPr>
          <w:rFonts w:cs="Arial"/>
          <w:szCs w:val="20"/>
          <w:lang w:val="ru-RU"/>
        </w:rPr>
      </w:pPr>
    </w:p>
    <w:p w:rsidR="00FA0032" w:rsidRPr="00FA0032" w:rsidRDefault="00FA0032" w:rsidP="00FA0032">
      <w:pPr>
        <w:jc w:val="both"/>
        <w:rPr>
          <w:rFonts w:cs="Arial"/>
          <w:szCs w:val="20"/>
          <w:u w:val="single"/>
          <w:lang w:val="ru-RU"/>
        </w:rPr>
      </w:pPr>
      <w:r>
        <w:t>B</w:t>
      </w:r>
      <w:r w:rsidRPr="00FA0032">
        <w:rPr>
          <w:lang w:val="ru-RU"/>
        </w:rPr>
        <w:t>.</w:t>
      </w:r>
      <w:r w:rsidRPr="00FA0032">
        <w:rPr>
          <w:lang w:val="ru-RU"/>
        </w:rPr>
        <w:tab/>
      </w:r>
      <w:r w:rsidRPr="00FA0032">
        <w:rPr>
          <w:u w:val="single"/>
          <w:lang w:val="ru-RU"/>
        </w:rPr>
        <w:t xml:space="preserve">Освоение бюджетных средств в 2014–2015 гг. </w:t>
      </w:r>
    </w:p>
    <w:p w:rsidR="00FA0032" w:rsidRPr="00FA0032" w:rsidRDefault="00FA0032" w:rsidP="00FA0032">
      <w:pPr>
        <w:jc w:val="both"/>
        <w:rPr>
          <w:rFonts w:cs="Arial"/>
          <w:szCs w:val="20"/>
          <w:u w:val="single"/>
          <w:lang w:val="ru-RU"/>
        </w:rPr>
      </w:pPr>
    </w:p>
    <w:p w:rsidR="00805A5E" w:rsidRPr="00FA0032" w:rsidRDefault="00FA0032" w:rsidP="00BF61DC">
      <w:pPr>
        <w:pStyle w:val="ListParagraph"/>
        <w:numPr>
          <w:ilvl w:val="0"/>
          <w:numId w:val="127"/>
        </w:numPr>
        <w:tabs>
          <w:tab w:val="left" w:pos="709"/>
        </w:tabs>
        <w:ind w:left="0" w:firstLine="0"/>
        <w:jc w:val="both"/>
        <w:rPr>
          <w:lang w:val="ru-RU"/>
        </w:rPr>
      </w:pPr>
      <w:r w:rsidRPr="00FA0032">
        <w:rPr>
          <w:color w:val="000000"/>
          <w:lang w:val="ru-RU"/>
        </w:rPr>
        <w:t>Общий уровень освоения бюджетных средств в двухлетний период 2014–2015</w:t>
      </w:r>
      <w:r>
        <w:rPr>
          <w:color w:val="000000"/>
        </w:rPr>
        <w:t> </w:t>
      </w:r>
      <w:r w:rsidRPr="00FA0032">
        <w:rPr>
          <w:color w:val="000000"/>
          <w:lang w:val="ru-RU"/>
        </w:rPr>
        <w:t>гг. достиг 81</w:t>
      </w:r>
      <w:r>
        <w:rPr>
          <w:color w:val="000000"/>
        </w:rPr>
        <w:t> </w:t>
      </w:r>
      <w:r w:rsidRPr="00FA0032">
        <w:rPr>
          <w:color w:val="000000"/>
          <w:lang w:val="ru-RU"/>
        </w:rPr>
        <w:t xml:space="preserve">процента.  </w:t>
      </w:r>
      <w:r w:rsidRPr="00FA0032">
        <w:rPr>
          <w:lang w:val="ru-RU"/>
        </w:rPr>
        <w:t>Это было в основном обусловлено:  (</w:t>
      </w:r>
      <w:r>
        <w:t>i</w:t>
      </w:r>
      <w:r w:rsidRPr="00FA0032">
        <w:rPr>
          <w:lang w:val="ru-RU"/>
        </w:rPr>
        <w:t>)</w:t>
      </w:r>
      <w:r>
        <w:t> </w:t>
      </w:r>
      <w:r w:rsidRPr="00FA0032">
        <w:rPr>
          <w:lang w:val="ru-RU"/>
        </w:rPr>
        <w:t xml:space="preserve">открытием </w:t>
      </w:r>
      <w:r>
        <w:t>WOC</w:t>
      </w:r>
      <w:r w:rsidRPr="00FA0032">
        <w:rPr>
          <w:lang w:val="ru-RU"/>
        </w:rPr>
        <w:t xml:space="preserve"> и </w:t>
      </w:r>
      <w:r>
        <w:t>WRO</w:t>
      </w:r>
      <w:r w:rsidRPr="00FA0032">
        <w:rPr>
          <w:lang w:val="ru-RU"/>
        </w:rPr>
        <w:t xml:space="preserve"> в июле 2014</w:t>
      </w:r>
      <w:r>
        <w:t> </w:t>
      </w:r>
      <w:r w:rsidRPr="00FA0032">
        <w:rPr>
          <w:lang w:val="ru-RU"/>
        </w:rPr>
        <w:t xml:space="preserve">г., то есть в середине года, что особенно отразилось на объеме средств, выделенных на достижение результатов </w:t>
      </w:r>
      <w:r>
        <w:t>II</w:t>
      </w:r>
      <w:r w:rsidRPr="00FA0032">
        <w:rPr>
          <w:lang w:val="ru-RU"/>
        </w:rPr>
        <w:t xml:space="preserve">.1 (более широкое использование возможностей </w:t>
      </w:r>
      <w:r>
        <w:t>PCT</w:t>
      </w:r>
      <w:r w:rsidRPr="00FA0032">
        <w:rPr>
          <w:lang w:val="ru-RU"/>
        </w:rPr>
        <w:t xml:space="preserve">), </w:t>
      </w:r>
      <w:r>
        <w:t>I</w:t>
      </w:r>
      <w:r w:rsidRPr="00FA0032">
        <w:rPr>
          <w:lang w:val="ru-RU"/>
        </w:rPr>
        <w:t xml:space="preserve">.6 (более широкое и оптимальное использование возможностей Мадридской и Лиссабонской систем) и </w:t>
      </w:r>
      <w:r>
        <w:t>III</w:t>
      </w:r>
      <w:r w:rsidRPr="00FA0032">
        <w:rPr>
          <w:lang w:val="ru-RU"/>
        </w:rPr>
        <w:t>.2 (укрепление потенциала людских ресурсов); (</w:t>
      </w:r>
      <w:r>
        <w:t>ii</w:t>
      </w:r>
      <w:r w:rsidRPr="00FA0032">
        <w:rPr>
          <w:lang w:val="ru-RU"/>
        </w:rPr>
        <w:t>)</w:t>
      </w:r>
      <w:r>
        <w:t> </w:t>
      </w:r>
      <w:r w:rsidRPr="00FA0032">
        <w:rPr>
          <w:lang w:val="ru-RU"/>
        </w:rPr>
        <w:t xml:space="preserve"> переносом мероприятий, связанных с проектом использования услуг по альтернативному урегулированию споров в отношении связанных с ИС сделок, в </w:t>
      </w:r>
      <w:r>
        <w:t>WBO</w:t>
      </w:r>
      <w:r w:rsidRPr="00FA0032">
        <w:rPr>
          <w:lang w:val="ru-RU"/>
        </w:rPr>
        <w:t xml:space="preserve">, что нашло отражение в объеме средств, выделенных на достижение результата </w:t>
      </w:r>
      <w:r>
        <w:t>II</w:t>
      </w:r>
      <w:r w:rsidRPr="00FA0032">
        <w:rPr>
          <w:lang w:val="ru-RU"/>
        </w:rPr>
        <w:t>.8 (международные и внутренние споры по вопросам ИС); (</w:t>
      </w:r>
      <w:r>
        <w:t>iii</w:t>
      </w:r>
      <w:r w:rsidRPr="00FA0032">
        <w:rPr>
          <w:lang w:val="ru-RU"/>
        </w:rPr>
        <w:t>)</w:t>
      </w:r>
      <w:r>
        <w:t> </w:t>
      </w:r>
      <w:r w:rsidRPr="00FA0032">
        <w:rPr>
          <w:lang w:val="ru-RU"/>
        </w:rPr>
        <w:t xml:space="preserve">реализацией некоторых мероприятий по укреплению потенциала, что нашло отражение в изменении объема средств, выделенных на достижение результата </w:t>
      </w:r>
      <w:r>
        <w:t>III</w:t>
      </w:r>
      <w:r w:rsidRPr="00FA0032">
        <w:rPr>
          <w:lang w:val="ru-RU"/>
        </w:rPr>
        <w:t>.2</w:t>
      </w:r>
      <w:r>
        <w:t> </w:t>
      </w:r>
      <w:r w:rsidRPr="00FA0032">
        <w:rPr>
          <w:lang w:val="ru-RU"/>
        </w:rPr>
        <w:t>(укрепление потенциала людских ресурсов), поскольку соответствующие мероприятия осуществлялись в рамках других программ непосредственно в странах/регионах, и  (</w:t>
      </w:r>
      <w:r>
        <w:t>iv</w:t>
      </w:r>
      <w:r w:rsidRPr="00FA0032">
        <w:rPr>
          <w:lang w:val="ru-RU"/>
        </w:rPr>
        <w:t>)</w:t>
      </w:r>
      <w:r>
        <w:t> </w:t>
      </w:r>
      <w:r w:rsidRPr="00FA0032">
        <w:rPr>
          <w:lang w:val="ru-RU"/>
        </w:rPr>
        <w:t xml:space="preserve">реализацией мер по повышению эффективности затрат на командировки специалистов, в особенности по результату </w:t>
      </w:r>
      <w:r>
        <w:t>VIII</w:t>
      </w:r>
      <w:r w:rsidRPr="00FA0032">
        <w:rPr>
          <w:lang w:val="ru-RU"/>
        </w:rPr>
        <w:t>.5</w:t>
      </w:r>
      <w:r>
        <w:t> </w:t>
      </w:r>
      <w:r w:rsidRPr="00FA0032">
        <w:rPr>
          <w:lang w:val="ru-RU"/>
        </w:rPr>
        <w:t>(ВОИС эффективно взаимодействует и является партнером в процессах и переговорах ООН и других МПО).</w:t>
      </w:r>
    </w:p>
    <w:p w:rsidR="00805A5E" w:rsidRPr="00FA0032" w:rsidRDefault="00805A5E" w:rsidP="00743383">
      <w:pPr>
        <w:tabs>
          <w:tab w:val="left" w:pos="709"/>
        </w:tabs>
        <w:rPr>
          <w:lang w:val="ru-RU"/>
        </w:rPr>
      </w:pPr>
    </w:p>
    <w:p w:rsidR="008D43FD" w:rsidRPr="00FA0032" w:rsidRDefault="008D43FD" w:rsidP="00743383">
      <w:pPr>
        <w:tabs>
          <w:tab w:val="left" w:pos="709"/>
        </w:tabs>
        <w:rPr>
          <w:lang w:val="ru-RU"/>
        </w:rPr>
      </w:pPr>
      <w:r w:rsidRPr="00FA0032">
        <w:rPr>
          <w:lang w:val="ru-RU"/>
        </w:rPr>
        <w:br w:type="page"/>
      </w:r>
    </w:p>
    <w:p w:rsidR="008D43FD" w:rsidRPr="00A336D0" w:rsidRDefault="00915629" w:rsidP="005A7878">
      <w:pPr>
        <w:pStyle w:val="StyleHeading214ptAuto"/>
        <w:rPr>
          <w:rFonts w:ascii="Arial" w:hAnsi="Arial" w:cs="Arial"/>
          <w:sz w:val="20"/>
          <w:szCs w:val="20"/>
          <w:lang w:val="ru-RU"/>
        </w:rPr>
      </w:pPr>
      <w:bookmarkStart w:id="118" w:name="_Toc455388132"/>
      <w:bookmarkStart w:id="119" w:name="_Toc367350601"/>
      <w:r>
        <w:rPr>
          <w:rFonts w:ascii="Arial" w:hAnsi="Arial" w:cs="Arial"/>
          <w:sz w:val="20"/>
          <w:szCs w:val="20"/>
          <w:lang w:val="ru-RU"/>
        </w:rPr>
        <w:t>стратегическая цель</w:t>
      </w:r>
      <w:r w:rsidR="008D43FD" w:rsidRPr="00A336D0">
        <w:rPr>
          <w:rFonts w:ascii="Arial" w:hAnsi="Arial" w:cs="Arial"/>
          <w:sz w:val="20"/>
          <w:szCs w:val="20"/>
          <w:lang w:val="ru-RU"/>
        </w:rPr>
        <w:t xml:space="preserve"> </w:t>
      </w:r>
      <w:r w:rsidR="008D43FD" w:rsidRPr="00E07FBB">
        <w:rPr>
          <w:rFonts w:ascii="Arial" w:hAnsi="Arial" w:cs="Arial"/>
          <w:sz w:val="20"/>
          <w:szCs w:val="20"/>
        </w:rPr>
        <w:t>IX</w:t>
      </w:r>
      <w:bookmarkEnd w:id="118"/>
    </w:p>
    <w:p w:rsidR="008D43FD" w:rsidRPr="00A336D0" w:rsidRDefault="008D43FD" w:rsidP="003E2D93">
      <w:pPr>
        <w:jc w:val="center"/>
        <w:rPr>
          <w:lang w:val="ru-RU"/>
        </w:rPr>
      </w:pPr>
    </w:p>
    <w:bookmarkEnd w:id="119"/>
    <w:p w:rsidR="00F512FB" w:rsidRPr="004F6688" w:rsidRDefault="00F512FB" w:rsidP="00F512FB">
      <w:pPr>
        <w:jc w:val="center"/>
        <w:rPr>
          <w:lang w:val="ru-RU"/>
        </w:rPr>
      </w:pPr>
      <w:r w:rsidRPr="003A588C">
        <w:rPr>
          <w:b/>
          <w:lang w:val="ru-RU"/>
        </w:rPr>
        <w:t>ЭФФЕКТИВНАЯ АДМИНИСТРАТИВНАЯ И ФИНАНСОВАЯ ПОДДЕРЖКА</w:t>
      </w:r>
    </w:p>
    <w:p w:rsidR="00F512FB" w:rsidRDefault="00F512FB" w:rsidP="00F512FB">
      <w:pPr>
        <w:jc w:val="center"/>
        <w:rPr>
          <w:lang w:val="ru-RU"/>
        </w:rPr>
      </w:pPr>
    </w:p>
    <w:p w:rsidR="00F512FB" w:rsidRPr="004F6688" w:rsidRDefault="00F512FB" w:rsidP="00F512FB">
      <w:pPr>
        <w:jc w:val="center"/>
        <w:rPr>
          <w:lang w:val="ru-RU"/>
        </w:rPr>
      </w:pPr>
    </w:p>
    <w:p w:rsidR="00F512FB" w:rsidRPr="004F6688" w:rsidRDefault="00F512FB" w:rsidP="00F512FB">
      <w:pPr>
        <w:jc w:val="center"/>
        <w:rPr>
          <w:b/>
          <w:lang w:val="ru-RU"/>
        </w:rPr>
      </w:pPr>
      <w:r w:rsidRPr="003A588C">
        <w:rPr>
          <w:b/>
          <w:lang w:val="ru-RU"/>
        </w:rPr>
        <w:t>Сводная таблица показателей результативности за двухлетний период</w:t>
      </w:r>
      <w:r w:rsidRPr="004F6688">
        <w:rPr>
          <w:b/>
          <w:lang w:val="ru-RU"/>
        </w:rPr>
        <w:t xml:space="preserve"> </w:t>
      </w:r>
    </w:p>
    <w:p w:rsidR="00F512FB" w:rsidRPr="004F6688" w:rsidRDefault="00F512FB" w:rsidP="00F512FB">
      <w:pPr>
        <w:jc w:val="center"/>
        <w:rPr>
          <w:b/>
          <w:lang w:val="ru-RU"/>
        </w:rPr>
      </w:pPr>
    </w:p>
    <w:p w:rsidR="00F512FB" w:rsidRPr="003A588C" w:rsidRDefault="00F512FB" w:rsidP="00F512FB">
      <w:pPr>
        <w:autoSpaceDE w:val="0"/>
        <w:autoSpaceDN w:val="0"/>
        <w:adjustRightInd w:val="0"/>
        <w:jc w:val="both"/>
        <w:rPr>
          <w:rFonts w:cs="Arial"/>
          <w:lang w:val="ru-RU"/>
        </w:rPr>
      </w:pPr>
      <w:r w:rsidRPr="003A588C">
        <w:rPr>
          <w:rFonts w:cs="Arial"/>
          <w:lang w:val="ru-RU"/>
        </w:rPr>
        <w:t>Приводимая ниже сводная т</w:t>
      </w:r>
      <w:r>
        <w:rPr>
          <w:rFonts w:cs="Arial"/>
          <w:lang w:val="ru-RU"/>
        </w:rPr>
        <w:t>аблица содержит обзор достижений с точки зрения степени реализации</w:t>
      </w:r>
      <w:r w:rsidRPr="003A588C">
        <w:rPr>
          <w:rFonts w:cs="Arial"/>
          <w:lang w:val="ru-RU"/>
        </w:rPr>
        <w:t xml:space="preserve"> ожидаемых результатов в двухлетнем периоде 2014-201</w:t>
      </w:r>
      <w:r>
        <w:rPr>
          <w:rFonts w:cs="Arial"/>
          <w:lang w:val="ru-RU"/>
        </w:rPr>
        <w:t>5</w:t>
      </w:r>
      <w:r w:rsidRPr="003A588C">
        <w:rPr>
          <w:rFonts w:cs="Arial"/>
          <w:lang w:val="ru-RU"/>
        </w:rPr>
        <w:t xml:space="preserve"> гг.</w:t>
      </w:r>
      <w:r>
        <w:rPr>
          <w:rFonts w:cs="Arial"/>
          <w:lang w:val="ru-RU"/>
        </w:rPr>
        <w:t xml:space="preserve"> на основе</w:t>
      </w:r>
      <w:r w:rsidRPr="003A588C">
        <w:rPr>
          <w:rFonts w:cs="Arial"/>
          <w:lang w:val="ru-RU"/>
        </w:rPr>
        <w:t xml:space="preserve"> показател</w:t>
      </w:r>
      <w:r>
        <w:rPr>
          <w:rFonts w:cs="Arial"/>
          <w:lang w:val="ru-RU"/>
        </w:rPr>
        <w:t>ей</w:t>
      </w:r>
      <w:r w:rsidRPr="003A588C">
        <w:rPr>
          <w:rFonts w:cs="Arial"/>
          <w:lang w:val="ru-RU"/>
        </w:rPr>
        <w:t xml:space="preserve"> программ, </w:t>
      </w:r>
      <w:r>
        <w:rPr>
          <w:rFonts w:cs="Arial"/>
          <w:lang w:val="ru-RU"/>
        </w:rPr>
        <w:t>обеспечивающих претворение в жизнь</w:t>
      </w:r>
      <w:r w:rsidRPr="003A588C">
        <w:rPr>
          <w:rFonts w:cs="Arial"/>
          <w:lang w:val="ru-RU"/>
        </w:rPr>
        <w:t xml:space="preserve"> данной стратегической цели.  </w:t>
      </w:r>
    </w:p>
    <w:p w:rsidR="00F512FB" w:rsidRPr="004F6688" w:rsidRDefault="00F512FB" w:rsidP="00F512FB">
      <w:pPr>
        <w:jc w:val="center"/>
        <w:rPr>
          <w:lang w:val="ru-RU"/>
        </w:rPr>
      </w:pPr>
    </w:p>
    <w:p w:rsidR="00F512FB" w:rsidRDefault="00F512FB" w:rsidP="00F512FB">
      <w:pPr>
        <w:jc w:val="center"/>
      </w:pPr>
      <w:r>
        <w:rPr>
          <w:noProof/>
        </w:rPr>
        <w:drawing>
          <wp:inline distT="0" distB="0" distL="0" distR="0" wp14:anchorId="7A68AB31" wp14:editId="1C7C80F9">
            <wp:extent cx="5940425" cy="3160578"/>
            <wp:effectExtent l="0" t="0" r="3175" b="1905"/>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940425" cy="3160578"/>
                    </a:xfrm>
                    <a:prstGeom prst="rect">
                      <a:avLst/>
                    </a:prstGeom>
                    <a:noFill/>
                    <a:ln>
                      <a:noFill/>
                    </a:ln>
                  </pic:spPr>
                </pic:pic>
              </a:graphicData>
            </a:graphic>
          </wp:inline>
        </w:drawing>
      </w:r>
    </w:p>
    <w:p w:rsidR="00F512FB" w:rsidRPr="00CB5A85" w:rsidRDefault="00F512FB" w:rsidP="00F512FB">
      <w:pPr>
        <w:jc w:val="center"/>
        <w:rPr>
          <w:szCs w:val="20"/>
        </w:rPr>
      </w:pPr>
    </w:p>
    <w:tbl>
      <w:tblPr>
        <w:tblW w:w="4942"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427"/>
        <w:gridCol w:w="3596"/>
        <w:gridCol w:w="1954"/>
        <w:gridCol w:w="1483"/>
      </w:tblGrid>
      <w:tr w:rsidR="00F512FB" w:rsidRPr="00AF5E7C" w:rsidTr="00D340AF">
        <w:trPr>
          <w:cantSplit/>
          <w:trHeight w:val="317"/>
          <w:tblHeader/>
        </w:trPr>
        <w:tc>
          <w:tcPr>
            <w:tcW w:w="1513" w:type="pct"/>
            <w:tcBorders>
              <w:top w:val="single" w:sz="4" w:space="0" w:color="auto"/>
              <w:bottom w:val="single" w:sz="4" w:space="0" w:color="auto"/>
            </w:tcBorders>
            <w:shd w:val="clear" w:color="auto" w:fill="C6D9F1" w:themeFill="text2" w:themeFillTint="33"/>
            <w:tcMar>
              <w:top w:w="113" w:type="dxa"/>
              <w:bottom w:w="85" w:type="dxa"/>
            </w:tcMar>
            <w:vAlign w:val="center"/>
          </w:tcPr>
          <w:p w:rsidR="00F512FB" w:rsidRPr="005967EA" w:rsidRDefault="00F512FB" w:rsidP="00F053BA">
            <w:pPr>
              <w:spacing w:after="120"/>
              <w:rPr>
                <w:rFonts w:cs="Arial"/>
                <w:b/>
                <w:bCs/>
                <w:sz w:val="18"/>
                <w:szCs w:val="18"/>
              </w:rPr>
            </w:pPr>
            <w:r w:rsidRPr="003A588C">
              <w:rPr>
                <w:rFonts w:cs="Arial"/>
                <w:b/>
                <w:bCs/>
                <w:sz w:val="18"/>
                <w:szCs w:val="18"/>
                <w:lang w:val="ru-RU"/>
              </w:rPr>
              <w:t>Ожидаемые результаты</w:t>
            </w:r>
          </w:p>
        </w:tc>
        <w:tc>
          <w:tcPr>
            <w:tcW w:w="2131" w:type="pct"/>
            <w:tcBorders>
              <w:top w:val="single" w:sz="4" w:space="0" w:color="auto"/>
              <w:bottom w:val="single" w:sz="4" w:space="0" w:color="auto"/>
            </w:tcBorders>
            <w:shd w:val="clear" w:color="auto" w:fill="C6D9F1" w:themeFill="text2" w:themeFillTint="33"/>
            <w:tcMar>
              <w:top w:w="113" w:type="dxa"/>
              <w:bottom w:w="85" w:type="dxa"/>
            </w:tcMar>
            <w:vAlign w:val="center"/>
          </w:tcPr>
          <w:p w:rsidR="00F512FB" w:rsidRPr="005967EA" w:rsidRDefault="00F512FB" w:rsidP="00F053BA">
            <w:pPr>
              <w:spacing w:after="120"/>
              <w:rPr>
                <w:rFonts w:cs="Arial"/>
                <w:b/>
                <w:sz w:val="18"/>
                <w:szCs w:val="18"/>
              </w:rPr>
            </w:pPr>
            <w:r w:rsidRPr="003A588C">
              <w:rPr>
                <w:rFonts w:cs="Arial"/>
                <w:b/>
                <w:sz w:val="18"/>
                <w:szCs w:val="18"/>
                <w:lang w:val="ru-RU"/>
              </w:rPr>
              <w:t>Показател</w:t>
            </w:r>
            <w:r>
              <w:rPr>
                <w:rFonts w:cs="Arial"/>
                <w:b/>
                <w:sz w:val="18"/>
                <w:szCs w:val="18"/>
                <w:lang w:val="ru-RU"/>
              </w:rPr>
              <w:t>и</w:t>
            </w:r>
            <w:r w:rsidRPr="003A588C">
              <w:rPr>
                <w:rFonts w:cs="Arial"/>
                <w:b/>
                <w:sz w:val="18"/>
                <w:szCs w:val="18"/>
                <w:lang w:val="ru-RU"/>
              </w:rPr>
              <w:t xml:space="preserve"> результативности</w:t>
            </w:r>
          </w:p>
        </w:tc>
        <w:tc>
          <w:tcPr>
            <w:tcW w:w="895" w:type="pct"/>
            <w:tcBorders>
              <w:top w:val="single" w:sz="4" w:space="0" w:color="auto"/>
              <w:bottom w:val="single" w:sz="4" w:space="0" w:color="auto"/>
            </w:tcBorders>
            <w:shd w:val="clear" w:color="auto" w:fill="C6D9F1" w:themeFill="text2" w:themeFillTint="33"/>
            <w:tcMar>
              <w:top w:w="113" w:type="dxa"/>
              <w:bottom w:w="85" w:type="dxa"/>
            </w:tcMar>
            <w:vAlign w:val="center"/>
          </w:tcPr>
          <w:p w:rsidR="00F512FB" w:rsidRPr="005967EA" w:rsidRDefault="00F512FB" w:rsidP="00F053BA">
            <w:pPr>
              <w:spacing w:after="120"/>
              <w:ind w:left="85"/>
              <w:jc w:val="center"/>
              <w:rPr>
                <w:rFonts w:cs="Arial"/>
                <w:sz w:val="18"/>
                <w:szCs w:val="18"/>
              </w:rPr>
            </w:pPr>
            <w:r w:rsidRPr="003A588C">
              <w:rPr>
                <w:rFonts w:cs="Arial"/>
                <w:b/>
                <w:sz w:val="18"/>
                <w:szCs w:val="18"/>
                <w:lang w:val="ru-RU"/>
              </w:rPr>
              <w:t>Соответствующие программы</w:t>
            </w:r>
          </w:p>
        </w:tc>
        <w:tc>
          <w:tcPr>
            <w:tcW w:w="461" w:type="pct"/>
            <w:tcBorders>
              <w:top w:val="single" w:sz="4" w:space="0" w:color="auto"/>
              <w:bottom w:val="single" w:sz="4" w:space="0" w:color="auto"/>
            </w:tcBorders>
            <w:shd w:val="clear" w:color="auto" w:fill="C6D9F1" w:themeFill="text2" w:themeFillTint="33"/>
            <w:vAlign w:val="center"/>
          </w:tcPr>
          <w:p w:rsidR="00F512FB" w:rsidRPr="005967EA" w:rsidRDefault="00F512FB" w:rsidP="00F053BA">
            <w:pPr>
              <w:spacing w:after="120"/>
              <w:ind w:left="85" w:hanging="85"/>
              <w:jc w:val="center"/>
              <w:rPr>
                <w:rFonts w:cs="Arial"/>
                <w:b/>
                <w:bCs/>
                <w:sz w:val="18"/>
                <w:szCs w:val="18"/>
              </w:rPr>
            </w:pPr>
            <w:r w:rsidRPr="003A588C">
              <w:rPr>
                <w:rFonts w:cs="Arial"/>
                <w:b/>
                <w:bCs/>
                <w:sz w:val="18"/>
                <w:szCs w:val="18"/>
                <w:lang w:val="ru-RU"/>
              </w:rPr>
              <w:t>СИГНАЛЬНАЯ СИСТЕМА</w:t>
            </w:r>
          </w:p>
        </w:tc>
      </w:tr>
      <w:tr w:rsidR="00F512FB" w:rsidRPr="00AF5E7C" w:rsidTr="00F053BA">
        <w:trPr>
          <w:cantSplit/>
          <w:trHeight w:val="704"/>
        </w:trPr>
        <w:tc>
          <w:tcPr>
            <w:tcW w:w="1513" w:type="pct"/>
            <w:tcBorders>
              <w:top w:val="single" w:sz="4" w:space="0" w:color="auto"/>
            </w:tcBorders>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IX.1 Эффективные, оперативные,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w:t>
            </w:r>
          </w:p>
        </w:tc>
        <w:tc>
          <w:tcPr>
            <w:tcW w:w="2131" w:type="pct"/>
            <w:tcBorders>
              <w:top w:val="single" w:sz="4" w:space="0" w:color="auto"/>
            </w:tcBorders>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Предоставление финансовой и управленческой отчетности и аналитических данных, требующихся высшему руководству, руководителям программ и государствам-членам, в согласованные сроки</w:t>
            </w:r>
          </w:p>
        </w:tc>
        <w:tc>
          <w:tcPr>
            <w:tcW w:w="895" w:type="pct"/>
            <w:tcBorders>
              <w:top w:val="single" w:sz="4" w:space="0" w:color="auto"/>
            </w:tcBorders>
            <w:shd w:val="clear" w:color="auto" w:fill="FFFFFF"/>
            <w:tcMar>
              <w:top w:w="113" w:type="dxa"/>
              <w:bottom w:w="85" w:type="dxa"/>
            </w:tcMar>
          </w:tcPr>
          <w:p w:rsidR="00F512FB" w:rsidRPr="004F6688" w:rsidRDefault="00F512FB" w:rsidP="00F053BA">
            <w:pPr>
              <w:jc w:val="center"/>
              <w:rPr>
                <w:rFonts w:cs="Arial"/>
                <w:sz w:val="16"/>
                <w:szCs w:val="16"/>
                <w:lang w:val="ru-RU"/>
              </w:rPr>
            </w:pPr>
            <w:r w:rsidRPr="003A588C">
              <w:rPr>
                <w:rFonts w:cs="Arial"/>
                <w:sz w:val="16"/>
                <w:szCs w:val="16"/>
                <w:lang w:val="ru-RU"/>
              </w:rPr>
              <w:t xml:space="preserve">Программа 22 </w:t>
            </w:r>
          </w:p>
        </w:tc>
        <w:tc>
          <w:tcPr>
            <w:tcW w:w="461" w:type="pct"/>
            <w:tcBorders>
              <w:top w:val="single" w:sz="4" w:space="0" w:color="auto"/>
            </w:tcBorders>
            <w:shd w:val="clear" w:color="auto" w:fill="FFFFFF"/>
          </w:tcPr>
          <w:p w:rsidR="00F512FB" w:rsidRPr="00CC3F44" w:rsidRDefault="00F512FB" w:rsidP="00F053BA">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FF0000"/>
                <w:sz w:val="22"/>
                <w:szCs w:val="22"/>
              </w:rPr>
              <w:sym w:font="Wingdings" w:char="F06C"/>
            </w:r>
          </w:p>
        </w:tc>
      </w:tr>
      <w:tr w:rsidR="00F512FB" w:rsidRPr="00AF5E7C" w:rsidTr="00F053BA">
        <w:trPr>
          <w:cantSplit/>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Урегулирование полученных внутренних/внешних запросов в установленные сроки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22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p>
        </w:tc>
      </w:tr>
      <w:tr w:rsidR="00F512FB" w:rsidRPr="00AF5E7C" w:rsidTr="00F053BA">
        <w:trPr>
          <w:cantSplit/>
          <w:trHeight w:val="247"/>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bCs/>
                <w:sz w:val="16"/>
                <w:szCs w:val="16"/>
                <w:lang w:val="ru-RU"/>
              </w:rPr>
            </w:pPr>
            <w:r w:rsidRPr="003A588C">
              <w:rPr>
                <w:rFonts w:cs="Arial"/>
                <w:bCs/>
                <w:sz w:val="16"/>
                <w:szCs w:val="16"/>
                <w:lang w:val="ru-RU"/>
              </w:rPr>
              <w:t>Доля (%) сотрудников, удовлетворенных качеством работы кадровых подразделений</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rPr>
            </w:pPr>
            <w:r w:rsidRPr="003A588C">
              <w:rPr>
                <w:rFonts w:cs="Arial"/>
                <w:sz w:val="16"/>
                <w:szCs w:val="16"/>
                <w:lang w:val="ru-RU"/>
              </w:rPr>
              <w:t xml:space="preserve">Программа 23 </w:t>
            </w:r>
          </w:p>
        </w:tc>
        <w:tc>
          <w:tcPr>
            <w:tcW w:w="461" w:type="pct"/>
            <w:shd w:val="clear" w:color="auto" w:fill="FFFFFF"/>
          </w:tcPr>
          <w:p w:rsidR="00F512FB" w:rsidRPr="00CC3F44" w:rsidRDefault="00F512FB" w:rsidP="00F053BA">
            <w:pPr>
              <w:jc w:val="center"/>
            </w:pPr>
            <w:r w:rsidRPr="00CC3F44">
              <w:rPr>
                <w:rFonts w:cs="Arial"/>
                <w:color w:val="A6A6A6" w:themeColor="background1" w:themeShade="A6"/>
                <w:sz w:val="22"/>
                <w:szCs w:val="22"/>
              </w:rPr>
              <w:sym w:font="Wingdings" w:char="F06C"/>
            </w:r>
          </w:p>
        </w:tc>
      </w:tr>
      <w:tr w:rsidR="00F512FB" w:rsidRPr="00AF5E7C" w:rsidTr="00F053BA">
        <w:trPr>
          <w:cantSplit/>
          <w:trHeight w:val="436"/>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Своевременное, точное и эффективное выполнение соответствующих операций службой ЛР</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rPr>
            </w:pPr>
            <w:r w:rsidRPr="003A588C">
              <w:rPr>
                <w:rFonts w:cs="Arial"/>
                <w:sz w:val="16"/>
                <w:szCs w:val="16"/>
                <w:lang w:val="ru-RU"/>
              </w:rPr>
              <w:t xml:space="preserve">Программа 23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472"/>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Завершение проекта строительства нового конференц-зала в соответствии с требованиями к качеству, в срок и в пределах бюджетных ассигнований</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29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400"/>
        </w:trPr>
        <w:tc>
          <w:tcPr>
            <w:tcW w:w="1513" w:type="pct"/>
            <w:shd w:val="clear" w:color="auto" w:fill="auto"/>
            <w:tcMar>
              <w:top w:w="113" w:type="dxa"/>
              <w:bottom w:w="85" w:type="dxa"/>
            </w:tcMar>
          </w:tcPr>
          <w:p w:rsidR="00F512FB" w:rsidRPr="00815648"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Использование конференц-зала как предпочтительного места для проведения встреч и мероприятий государств-членов</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29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43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bCs/>
                <w:sz w:val="16"/>
                <w:szCs w:val="16"/>
                <w:lang w:val="ru-RU"/>
              </w:rPr>
            </w:pPr>
            <w:r w:rsidRPr="003A588C">
              <w:rPr>
                <w:rFonts w:cs="Arial"/>
                <w:bCs/>
                <w:sz w:val="16"/>
                <w:szCs w:val="16"/>
                <w:lang w:val="ru-RU"/>
              </w:rPr>
              <w:t>Экономия затрат на товары и услуги, закупаемые ВОИС (на основе запросов о контрактных предложениях и прямых переговоров)</w:t>
            </w:r>
          </w:p>
        </w:tc>
        <w:tc>
          <w:tcPr>
            <w:tcW w:w="895" w:type="pct"/>
            <w:shd w:val="clear" w:color="auto" w:fill="FFFFFF"/>
            <w:tcMar>
              <w:top w:w="113" w:type="dxa"/>
              <w:bottom w:w="85" w:type="dxa"/>
            </w:tcMar>
          </w:tcPr>
          <w:p w:rsidR="00F512FB" w:rsidRDefault="00F512FB" w:rsidP="00F053BA">
            <w:pPr>
              <w:jc w:val="center"/>
              <w:rPr>
                <w:rFonts w:cs="Arial"/>
                <w:sz w:val="16"/>
                <w:szCs w:val="16"/>
                <w:lang w:bidi="th-TH"/>
              </w:rPr>
            </w:pPr>
            <w:r w:rsidRPr="003A588C">
              <w:rPr>
                <w:rFonts w:cs="Arial"/>
                <w:sz w:val="16"/>
                <w:szCs w:val="16"/>
                <w:lang w:val="ru-RU" w:bidi="th-TH"/>
              </w:rPr>
              <w:t xml:space="preserve">Программа 24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427"/>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внутренних клиентов, удовлетворенных работой служб закупки</w:t>
            </w:r>
          </w:p>
        </w:tc>
        <w:tc>
          <w:tcPr>
            <w:tcW w:w="895" w:type="pct"/>
            <w:shd w:val="clear" w:color="auto" w:fill="FFFFFF"/>
            <w:tcMar>
              <w:top w:w="113" w:type="dxa"/>
              <w:bottom w:w="85" w:type="dxa"/>
            </w:tcMar>
          </w:tcPr>
          <w:p w:rsidR="00F512FB" w:rsidRPr="004F6688" w:rsidRDefault="00F512FB" w:rsidP="00F053BA">
            <w:pPr>
              <w:jc w:val="center"/>
              <w:rPr>
                <w:sz w:val="16"/>
                <w:szCs w:val="16"/>
              </w:rPr>
            </w:pPr>
            <w:r w:rsidRPr="004F6688">
              <w:rPr>
                <w:sz w:val="16"/>
                <w:szCs w:val="16"/>
                <w:lang w:val="ru-RU"/>
              </w:rPr>
              <w:t xml:space="preserve">Программа 24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43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Время обработки связанных с поездками запросов (формы eTA и ER, визы)</w:t>
            </w:r>
          </w:p>
        </w:tc>
        <w:tc>
          <w:tcPr>
            <w:tcW w:w="895" w:type="pct"/>
            <w:shd w:val="clear" w:color="auto" w:fill="FFFFFF"/>
            <w:tcMar>
              <w:top w:w="113" w:type="dxa"/>
              <w:bottom w:w="85" w:type="dxa"/>
            </w:tcMar>
          </w:tcPr>
          <w:p w:rsidR="00F512FB" w:rsidRPr="004F6688" w:rsidRDefault="00F512FB" w:rsidP="00F053BA">
            <w:pPr>
              <w:jc w:val="center"/>
              <w:rPr>
                <w:sz w:val="16"/>
                <w:szCs w:val="16"/>
              </w:rPr>
            </w:pPr>
            <w:r w:rsidRPr="004F6688">
              <w:rPr>
                <w:sz w:val="16"/>
                <w:szCs w:val="16"/>
                <w:lang w:val="ru-RU"/>
              </w:rPr>
              <w:t xml:space="preserve">Программа 24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247"/>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Средняя стоимость билета (билеты КОП и ПРООН)</w:t>
            </w:r>
          </w:p>
        </w:tc>
        <w:tc>
          <w:tcPr>
            <w:tcW w:w="895" w:type="pct"/>
            <w:shd w:val="clear" w:color="auto" w:fill="FFFFFF"/>
            <w:tcMar>
              <w:top w:w="113" w:type="dxa"/>
              <w:bottom w:w="85" w:type="dxa"/>
            </w:tcMar>
          </w:tcPr>
          <w:p w:rsidR="00F512FB" w:rsidRPr="004F6688" w:rsidRDefault="00F512FB" w:rsidP="00F053BA">
            <w:pPr>
              <w:jc w:val="center"/>
              <w:rPr>
                <w:sz w:val="16"/>
                <w:szCs w:val="16"/>
              </w:rPr>
            </w:pPr>
            <w:r w:rsidRPr="004F6688">
              <w:rPr>
                <w:sz w:val="16"/>
                <w:szCs w:val="16"/>
                <w:lang w:val="ru-RU"/>
              </w:rPr>
              <w:t xml:space="preserve">Программа 24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51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Эффективное использование всех видов помещений на территории ВОИС (служебных, складских и архивных хранилищ)</w:t>
            </w:r>
          </w:p>
        </w:tc>
        <w:tc>
          <w:tcPr>
            <w:tcW w:w="895" w:type="pct"/>
            <w:shd w:val="clear" w:color="auto" w:fill="FFFFFF"/>
            <w:tcMar>
              <w:top w:w="113" w:type="dxa"/>
              <w:bottom w:w="85" w:type="dxa"/>
            </w:tcMar>
          </w:tcPr>
          <w:p w:rsidR="00F512FB" w:rsidRPr="004F6688" w:rsidRDefault="00F512FB" w:rsidP="00F053BA">
            <w:pPr>
              <w:jc w:val="center"/>
              <w:rPr>
                <w:sz w:val="16"/>
                <w:szCs w:val="16"/>
              </w:rPr>
            </w:pPr>
            <w:r w:rsidRPr="004F6688">
              <w:rPr>
                <w:sz w:val="16"/>
                <w:szCs w:val="16"/>
                <w:lang w:val="ru-RU"/>
              </w:rPr>
              <w:t xml:space="preserve">Программа 24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51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highlight w:val="yellow"/>
                <w:lang w:val="ru-RU"/>
              </w:rPr>
            </w:pPr>
            <w:r w:rsidRPr="00813FBE">
              <w:rPr>
                <w:color w:val="000000"/>
                <w:sz w:val="16"/>
                <w:szCs w:val="16"/>
                <w:lang w:val="ru-RU" w:bidi="ru-RU"/>
              </w:rPr>
              <w:t>Ремонт/ модернизация/ перестройка зданий на территории ВОИС для обеспечения их соответствия назначению</w:t>
            </w:r>
          </w:p>
        </w:tc>
        <w:tc>
          <w:tcPr>
            <w:tcW w:w="895" w:type="pct"/>
            <w:shd w:val="clear" w:color="auto" w:fill="FFFFFF"/>
            <w:tcMar>
              <w:top w:w="113" w:type="dxa"/>
              <w:bottom w:w="85" w:type="dxa"/>
            </w:tcMar>
          </w:tcPr>
          <w:p w:rsidR="00F512FB" w:rsidRPr="004F6688" w:rsidRDefault="00F512FB" w:rsidP="00F053BA">
            <w:pPr>
              <w:jc w:val="center"/>
              <w:rPr>
                <w:sz w:val="16"/>
                <w:szCs w:val="16"/>
              </w:rPr>
            </w:pPr>
            <w:r w:rsidRPr="004F6688">
              <w:rPr>
                <w:sz w:val="16"/>
                <w:szCs w:val="16"/>
                <w:lang w:val="ru-RU"/>
              </w:rPr>
              <w:t xml:space="preserve">Программа 24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481"/>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Обеспечение соответствия всех типов важнейших технических узлов действующим техническим требованиям</w:t>
            </w:r>
            <w:r w:rsidRPr="004F6688">
              <w:rPr>
                <w:color w:val="000000"/>
                <w:sz w:val="16"/>
                <w:szCs w:val="16"/>
                <w:lang w:val="ru-RU"/>
              </w:rPr>
              <w:t xml:space="preserve"> </w:t>
            </w:r>
          </w:p>
        </w:tc>
        <w:tc>
          <w:tcPr>
            <w:tcW w:w="895" w:type="pct"/>
            <w:shd w:val="clear" w:color="auto" w:fill="FFFFFF"/>
            <w:tcMar>
              <w:top w:w="113" w:type="dxa"/>
              <w:bottom w:w="85" w:type="dxa"/>
            </w:tcMar>
          </w:tcPr>
          <w:p w:rsidR="00F512FB" w:rsidRDefault="00F512FB" w:rsidP="00F053BA">
            <w:pPr>
              <w:jc w:val="center"/>
              <w:rPr>
                <w:rFonts w:cs="Arial"/>
                <w:sz w:val="16"/>
                <w:szCs w:val="16"/>
                <w:lang w:bidi="th-TH"/>
              </w:rPr>
            </w:pPr>
            <w:r w:rsidRPr="003A588C">
              <w:rPr>
                <w:rFonts w:cs="Arial"/>
                <w:sz w:val="16"/>
                <w:szCs w:val="16"/>
                <w:lang w:val="ru-RU" w:bidi="th-TH"/>
              </w:rPr>
              <w:t xml:space="preserve">Программа 24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43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Размещение платформ ИКТ на экономически выгодных условиях и управление ими в соответствии с потребностями, возникающими в процессе деятельности Организации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25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F512FB" w:rsidRPr="00AF5E7C" w:rsidTr="00F053BA">
        <w:trPr>
          <w:cantSplit/>
          <w:trHeight w:val="427"/>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Число соглашений об оказании услуг (СОУ) для размещенных систем и служб, соответствующих базе СОУ в области ИКТ</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25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4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Непрерывность ИКТ-обслуживания критических систем</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25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51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конечных пользователей и деловых сообществ, удовлетворенных услугами ИКТ</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25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52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Наличие легкодоступного для персонала комплексного интегрированного пакета технологий связи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25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517"/>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bCs/>
                <w:sz w:val="16"/>
                <w:szCs w:val="16"/>
                <w:lang w:val="ru-RU"/>
              </w:rPr>
            </w:pPr>
            <w:r w:rsidRPr="003A588C">
              <w:rPr>
                <w:rFonts w:cs="Arial"/>
                <w:bCs/>
                <w:sz w:val="16"/>
                <w:szCs w:val="16"/>
                <w:lang w:val="ru-RU"/>
              </w:rPr>
              <w:t>Доля (%) внутренних и внешних пользователей, которых удовлетворяет работой конференционной службы ВОИС</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27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4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Эффективная реализация Лингвистической политики ВОИС</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27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p>
        </w:tc>
      </w:tr>
      <w:tr w:rsidR="00F512FB" w:rsidRPr="00AF5E7C" w:rsidTr="00F053BA">
        <w:trPr>
          <w:cantSplit/>
          <w:trHeight w:val="34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E24FAB" w:rsidRDefault="00F512FB" w:rsidP="00F053BA">
            <w:pPr>
              <w:rPr>
                <w:rFonts w:cs="Arial"/>
                <w:sz w:val="16"/>
                <w:szCs w:val="16"/>
                <w:lang w:val="ru-RU"/>
              </w:rPr>
            </w:pPr>
            <w:r w:rsidRPr="003A588C">
              <w:rPr>
                <w:rFonts w:cs="Arial"/>
                <w:sz w:val="16"/>
                <w:szCs w:val="16"/>
                <w:lang w:val="ru-RU"/>
              </w:rPr>
              <w:t>Стоимость перевода</w:t>
            </w:r>
            <w:r>
              <w:rPr>
                <w:rFonts w:cs="Arial"/>
                <w:sz w:val="16"/>
                <w:szCs w:val="16"/>
                <w:lang w:val="ru-RU"/>
              </w:rPr>
              <w:t xml:space="preserve"> </w:t>
            </w:r>
            <w:r w:rsidRPr="003A588C">
              <w:rPr>
                <w:rFonts w:cs="Arial"/>
                <w:sz w:val="16"/>
                <w:szCs w:val="16"/>
                <w:lang w:val="ru-RU"/>
              </w:rPr>
              <w:t>в расчете на одно</w:t>
            </w:r>
            <w:r>
              <w:rPr>
                <w:rFonts w:cs="Arial"/>
                <w:sz w:val="16"/>
                <w:szCs w:val="16"/>
                <w:lang w:val="ru-RU"/>
              </w:rPr>
              <w:t xml:space="preserve"> </w:t>
            </w:r>
            <w:r w:rsidRPr="003A588C">
              <w:rPr>
                <w:rFonts w:cs="Arial"/>
                <w:sz w:val="16"/>
                <w:szCs w:val="16"/>
                <w:lang w:val="ru-RU"/>
              </w:rPr>
              <w:t>слово</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27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7"/>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DE7DBA" w:rsidRDefault="00F512FB" w:rsidP="00F053BA">
            <w:pPr>
              <w:rPr>
                <w:rFonts w:cs="Arial"/>
                <w:sz w:val="16"/>
                <w:szCs w:val="16"/>
              </w:rPr>
            </w:pPr>
            <w:r w:rsidRPr="003A588C">
              <w:rPr>
                <w:rFonts w:cs="Arial"/>
                <w:sz w:val="16"/>
                <w:szCs w:val="16"/>
                <w:lang w:val="ru-RU"/>
              </w:rPr>
              <w:t>Качество перевода</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27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A6A6A6" w:themeColor="background1" w:themeShade="A6"/>
                <w:sz w:val="22"/>
                <w:szCs w:val="22"/>
              </w:rPr>
              <w:sym w:font="Wingdings" w:char="F06C"/>
            </w:r>
          </w:p>
        </w:tc>
      </w:tr>
      <w:tr w:rsidR="00F512FB" w:rsidRPr="00AF5E7C" w:rsidTr="00F053BA">
        <w:trPr>
          <w:cantSplit/>
          <w:trHeight w:val="436"/>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Сокращение расходов на типографские услуги (в пересчете на страницу)</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27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517"/>
        </w:trPr>
        <w:tc>
          <w:tcPr>
            <w:tcW w:w="1513" w:type="pct"/>
            <w:shd w:val="clear" w:color="auto" w:fill="auto"/>
            <w:tcMar>
              <w:top w:w="113" w:type="dxa"/>
              <w:bottom w:w="85" w:type="dxa"/>
            </w:tcMar>
          </w:tcPr>
          <w:p w:rsidR="00F512FB" w:rsidRPr="00D8123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Своевременная публикация документов для комитетов и рабочих групп</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27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516"/>
        </w:trPr>
        <w:tc>
          <w:tcPr>
            <w:tcW w:w="1513"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IX.2. Динамичный и слаженно функционирующий Секретариат с правильно организованным штатом должным образом подготовленных сотрудников, которые эффективно добиваются результатов</w:t>
            </w: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запросов о консультативной помощи, на которые были получены оперативные, независимые и взвешенные ответы из Бюро Юрисконсульта</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21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815648"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Удовлетворительный финансовый отчет внешних аудиторов подтверждает соответствие финансовых операций положениям применимых конвенций и договоров ВОИС, финансовым положениям и пра</w:t>
            </w:r>
            <w:r>
              <w:rPr>
                <w:rFonts w:cs="Arial"/>
                <w:sz w:val="16"/>
                <w:szCs w:val="16"/>
                <w:lang w:val="ru-RU"/>
              </w:rPr>
              <w:t>вилам ВОИС</w:t>
            </w:r>
            <w:r w:rsidRPr="003A588C">
              <w:rPr>
                <w:rFonts w:cs="Arial"/>
                <w:sz w:val="16"/>
                <w:szCs w:val="16"/>
                <w:lang w:val="ru-RU"/>
              </w:rPr>
              <w:t xml:space="preserve"> и МСУГС</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22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A6A6A6" w:themeColor="background1" w:themeShade="A6"/>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815648"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Обеспечение доходности инвестированных средств в соответствии с ориентировочными показателями, установленными Консультативным комитетом по инвестициям (ККИ)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22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815648"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Своевременное осуществление платежей (включая уплату пошлин в рамках Мадридской и Гаагской систем)</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22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815648"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сотрудников, прошедших обучение и выразивших удовлетворенность подготовкой (вводные курсы; подготовка по ПОР; подготовка по УКР)</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22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815648"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респондентов ВОИС, считающих, что ВОИС отвечает за достигнутые результаты</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22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815648"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программ ВОИС, использующих данные о результативности работы для управления деятельностью в рамках программы</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22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265"/>
        </w:trPr>
        <w:tc>
          <w:tcPr>
            <w:tcW w:w="1513" w:type="pct"/>
            <w:shd w:val="clear" w:color="auto" w:fill="auto"/>
            <w:tcMar>
              <w:top w:w="113" w:type="dxa"/>
              <w:bottom w:w="85" w:type="dxa"/>
            </w:tcMar>
          </w:tcPr>
          <w:p w:rsidR="00F512FB" w:rsidRPr="001316A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Срок оформления на работу новых сотрудников</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23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1316A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структурных подразделений, имеющееся штатное расписание которых увязано с годовыми планами работы</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23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1316A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новых сотрудников, соответствующих потребностям Организации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23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1316A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штатных сотрудников, чья результативность работы оценивается исходя из их индивидуальных задач и компетенции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23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1316A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Доля (%) реализованных важнейших индивидуальных и коллективных потребностей в обучении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23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E26B0A"/>
                <w:sz w:val="22"/>
                <w:szCs w:val="22"/>
              </w:rPr>
              <w:sym w:font="Wingdings" w:char="F06C"/>
            </w: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1316A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Среднее число дней отпуска по болезни на одного сотрудника (невыход на работу)</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23 </w:t>
            </w:r>
          </w:p>
        </w:tc>
        <w:tc>
          <w:tcPr>
            <w:tcW w:w="461" w:type="pct"/>
            <w:shd w:val="clear" w:color="auto" w:fill="FFFFFF"/>
          </w:tcPr>
          <w:p w:rsidR="00F512FB" w:rsidRPr="00CC3F44" w:rsidRDefault="00F512FB" w:rsidP="00F053BA">
            <w:pPr>
              <w:jc w:val="center"/>
              <w:rPr>
                <w:color w:val="E26B0A"/>
              </w:rPr>
            </w:pPr>
            <w:r w:rsidRPr="00CC3F44">
              <w:rPr>
                <w:rFonts w:cs="Arial"/>
                <w:color w:val="E26B0A"/>
                <w:sz w:val="22"/>
                <w:szCs w:val="22"/>
              </w:rPr>
              <w:sym w:font="Wingdings" w:char="F06C"/>
            </w:r>
          </w:p>
        </w:tc>
      </w:tr>
      <w:tr w:rsidR="00F512FB" w:rsidRPr="00AF5E7C" w:rsidTr="00F053BA">
        <w:trPr>
          <w:cantSplit/>
          <w:trHeight w:val="301"/>
        </w:trPr>
        <w:tc>
          <w:tcPr>
            <w:tcW w:w="1513" w:type="pct"/>
            <w:shd w:val="clear" w:color="auto" w:fill="auto"/>
            <w:tcMar>
              <w:top w:w="113" w:type="dxa"/>
              <w:bottom w:w="85" w:type="dxa"/>
            </w:tcMar>
          </w:tcPr>
          <w:p w:rsidR="00F512FB" w:rsidRPr="001316A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Доля (%) женщин, занимающих должности в категории специалистов и более высокие должности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23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FF0000"/>
                <w:sz w:val="22"/>
                <w:szCs w:val="22"/>
              </w:rPr>
              <w:sym w:font="Wingdings" w:char="F06C"/>
            </w:r>
            <w:r w:rsidRPr="00CC3F44">
              <w:rPr>
                <w:rFonts w:cs="Arial"/>
                <w:color w:val="FF0000"/>
                <w:sz w:val="22"/>
                <w:szCs w:val="22"/>
              </w:rPr>
              <w:sym w:font="Wingdings" w:char="F06C"/>
            </w:r>
            <w:r w:rsidRPr="00CC3F44">
              <w:rPr>
                <w:rFonts w:cs="Arial"/>
                <w:color w:val="FF0000"/>
                <w:sz w:val="22"/>
                <w:szCs w:val="22"/>
              </w:rPr>
              <w:sym w:font="Wingdings" w:char="F06C"/>
            </w:r>
          </w:p>
        </w:tc>
      </w:tr>
      <w:tr w:rsidR="00F512FB" w:rsidRPr="00AF5E7C" w:rsidTr="00F053BA">
        <w:trPr>
          <w:cantSplit/>
          <w:trHeight w:val="436"/>
        </w:trPr>
        <w:tc>
          <w:tcPr>
            <w:tcW w:w="1513" w:type="pct"/>
            <w:shd w:val="clear" w:color="auto" w:fill="auto"/>
            <w:tcMar>
              <w:top w:w="113" w:type="dxa"/>
              <w:bottom w:w="85" w:type="dxa"/>
            </w:tcMar>
          </w:tcPr>
          <w:p w:rsidR="00F512FB" w:rsidRPr="001316A4"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Географическое распределение:</w:t>
            </w:r>
            <w:r w:rsidRPr="004F6688">
              <w:rPr>
                <w:color w:val="000000"/>
                <w:sz w:val="16"/>
                <w:szCs w:val="16"/>
                <w:lang w:val="ru-RU"/>
              </w:rPr>
              <w:t xml:space="preserve"> </w:t>
            </w:r>
          </w:p>
          <w:p w:rsidR="00F512FB" w:rsidRPr="004F6688" w:rsidRDefault="00F512FB" w:rsidP="00F053BA">
            <w:pPr>
              <w:rPr>
                <w:color w:val="000000"/>
                <w:sz w:val="16"/>
                <w:szCs w:val="16"/>
                <w:highlight w:val="red"/>
                <w:lang w:val="ru-RU"/>
              </w:rPr>
            </w:pPr>
            <w:r w:rsidRPr="004F6688">
              <w:rPr>
                <w:color w:val="000000"/>
                <w:sz w:val="16"/>
                <w:szCs w:val="16"/>
                <w:lang w:val="ru-RU"/>
              </w:rPr>
              <w:t>Доля (%) представленных государств-членов</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23 </w:t>
            </w:r>
          </w:p>
        </w:tc>
        <w:tc>
          <w:tcPr>
            <w:tcW w:w="461" w:type="pct"/>
            <w:shd w:val="clear" w:color="auto" w:fill="FFFFFF"/>
          </w:tcPr>
          <w:p w:rsidR="00F512FB" w:rsidRPr="00CC3F44" w:rsidRDefault="00F512FB" w:rsidP="00F053BA">
            <w:pPr>
              <w:jc w:val="center"/>
              <w:rPr>
                <w:color w:val="A6A6A6"/>
              </w:rPr>
            </w:pPr>
            <w:r w:rsidRPr="00CC3F44">
              <w:rPr>
                <w:rFonts w:cs="Arial"/>
                <w:color w:val="A6A6A6" w:themeColor="background1" w:themeShade="A6"/>
                <w:sz w:val="22"/>
                <w:szCs w:val="22"/>
              </w:rPr>
              <w:sym w:font="Wingdings" w:char="F06C"/>
            </w:r>
          </w:p>
        </w:tc>
      </w:tr>
      <w:tr w:rsidR="00F512FB" w:rsidRPr="00AF5E7C" w:rsidTr="00F053BA">
        <w:trPr>
          <w:cantSplit/>
          <w:trHeight w:val="335"/>
        </w:trPr>
        <w:tc>
          <w:tcPr>
            <w:tcW w:w="1513" w:type="pct"/>
            <w:vMerge w:val="restar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IX.3. Благоприятная рабочая среда, подкрепляемая эффективной нормативно-правовой базой и надлежащими каналами для решения проблем персонала</w:t>
            </w: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сотрудников ВОИС, осведомленных о предоставляемых Бюро омбудсмена услугах и неформальном механизме разрешения конфликтов</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21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A6A6A6" w:themeColor="background1" w:themeShade="A6"/>
                <w:sz w:val="22"/>
                <w:szCs w:val="22"/>
              </w:rPr>
              <w:sym w:font="Wingdings" w:char="F06C"/>
            </w:r>
          </w:p>
        </w:tc>
      </w:tr>
      <w:tr w:rsidR="00F512FB" w:rsidRPr="00AF5E7C" w:rsidTr="00F053BA">
        <w:trPr>
          <w:cantSplit/>
          <w:trHeight w:val="335"/>
        </w:trPr>
        <w:tc>
          <w:tcPr>
            <w:tcW w:w="1513" w:type="pct"/>
            <w:vMerge/>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участников обзора, осведомленных об этических принципах и правилах ВОИС</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21 </w:t>
            </w:r>
          </w:p>
        </w:tc>
        <w:tc>
          <w:tcPr>
            <w:tcW w:w="461" w:type="pct"/>
            <w:shd w:val="clear" w:color="auto" w:fill="FFFFFF"/>
          </w:tcPr>
          <w:p w:rsidR="00F512FB" w:rsidRPr="00CC3F44" w:rsidRDefault="00F512FB" w:rsidP="00F053BA">
            <w:pPr>
              <w:jc w:val="center"/>
            </w:pPr>
            <w:r w:rsidRPr="00CC3F44">
              <w:rPr>
                <w:rFonts w:cs="Arial"/>
                <w:color w:val="A6A6A6" w:themeColor="background1" w:themeShade="A6"/>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603C51"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Актуализация Финансовых положений и правил (ФПП) и соответствующих служебных инструкций (СИ)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22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256"/>
        </w:trPr>
        <w:tc>
          <w:tcPr>
            <w:tcW w:w="1513" w:type="pct"/>
            <w:vMerge w:val="restar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IX.4 Ответственная в экологическом и социальном плане Организация, в которой сотрудники ВОИС, делегаты, посетители, а также информационные и материальные активы находятся под охраной и в безопасности</w:t>
            </w: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Улучшение физического доступа на территорию ВОИС</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24 </w:t>
            </w:r>
          </w:p>
        </w:tc>
        <w:tc>
          <w:tcPr>
            <w:tcW w:w="461" w:type="pct"/>
            <w:shd w:val="clear" w:color="auto" w:fill="FFFFFF"/>
          </w:tcPr>
          <w:p w:rsidR="00F512FB" w:rsidRPr="00CC3F44" w:rsidRDefault="00F512FB" w:rsidP="00F053BA">
            <w:pPr>
              <w:jc w:val="center"/>
            </w:pPr>
            <w:r w:rsidRPr="00CC3F44">
              <w:rPr>
                <w:rFonts w:cs="Arial"/>
                <w:color w:val="FF0000"/>
                <w:sz w:val="22"/>
                <w:szCs w:val="22"/>
              </w:rPr>
              <w:sym w:font="Wingdings" w:char="F06C"/>
            </w:r>
          </w:p>
        </w:tc>
      </w:tr>
      <w:tr w:rsidR="00F512FB" w:rsidRPr="00AF5E7C" w:rsidTr="00F053BA">
        <w:trPr>
          <w:cantSplit/>
          <w:trHeight w:val="335"/>
        </w:trPr>
        <w:tc>
          <w:tcPr>
            <w:tcW w:w="1513" w:type="pct"/>
            <w:vMerge/>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Уменьшение воздействия ВОИС на окружающую среду</w:t>
            </w:r>
            <w:r w:rsidRPr="004F6688">
              <w:rPr>
                <w:color w:val="000000"/>
                <w:sz w:val="16"/>
                <w:szCs w:val="16"/>
                <w:lang w:val="ru-RU"/>
              </w:rPr>
              <w:t xml:space="preserve"> </w:t>
            </w:r>
          </w:p>
        </w:tc>
        <w:tc>
          <w:tcPr>
            <w:tcW w:w="895" w:type="pct"/>
            <w:shd w:val="clear" w:color="auto" w:fill="FFFFFF"/>
            <w:tcMar>
              <w:top w:w="113" w:type="dxa"/>
              <w:bottom w:w="85" w:type="dxa"/>
            </w:tcMar>
          </w:tcPr>
          <w:p w:rsidR="00F512FB" w:rsidRDefault="00F512FB" w:rsidP="00F053BA">
            <w:pPr>
              <w:jc w:val="center"/>
              <w:rPr>
                <w:rFonts w:cs="Arial"/>
                <w:sz w:val="16"/>
                <w:szCs w:val="16"/>
                <w:lang w:bidi="th-TH"/>
              </w:rPr>
            </w:pPr>
            <w:r w:rsidRPr="003A588C">
              <w:rPr>
                <w:rFonts w:cs="Arial"/>
                <w:sz w:val="16"/>
                <w:szCs w:val="16"/>
                <w:lang w:val="ru-RU" w:bidi="th-TH"/>
              </w:rPr>
              <w:t xml:space="preserve">Программа 24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335"/>
        </w:trPr>
        <w:tc>
          <w:tcPr>
            <w:tcW w:w="1513" w:type="pct"/>
            <w:vMerge/>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Обеспечение соответствия зданий ВОИС рекомендациям проверки, проведенной в 2009 г. Институтом по вопросам охраны и безопасности (Невшатель), и сопутствующим требованиям в области безопасности минимальных оперативных стандартов безопасности для штаб-квартир</w:t>
            </w:r>
          </w:p>
        </w:tc>
        <w:tc>
          <w:tcPr>
            <w:tcW w:w="895" w:type="pct"/>
            <w:shd w:val="clear" w:color="auto" w:fill="FFFFFF"/>
            <w:tcMar>
              <w:top w:w="113" w:type="dxa"/>
              <w:bottom w:w="85" w:type="dxa"/>
            </w:tcMar>
          </w:tcPr>
          <w:p w:rsidR="00F512FB" w:rsidRDefault="00F512FB" w:rsidP="00F053BA">
            <w:pPr>
              <w:jc w:val="center"/>
              <w:rPr>
                <w:rFonts w:cs="Arial"/>
                <w:sz w:val="16"/>
                <w:szCs w:val="16"/>
                <w:lang w:bidi="th-TH"/>
              </w:rPr>
            </w:pPr>
            <w:r w:rsidRPr="003A588C">
              <w:rPr>
                <w:rFonts w:cs="Arial"/>
                <w:sz w:val="16"/>
                <w:szCs w:val="16"/>
                <w:lang w:val="ru-RU" w:bidi="th-TH"/>
              </w:rPr>
              <w:t xml:space="preserve">Программа 24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Информационная безопасность усилена для защиты от участившихся интернет-атак</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25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 xml:space="preserve">Состояние сертификации по </w:t>
            </w:r>
            <w:r>
              <w:rPr>
                <w:color w:val="000000"/>
                <w:sz w:val="16"/>
                <w:szCs w:val="16"/>
              </w:rPr>
              <w:t>ISO</w:t>
            </w:r>
            <w:r w:rsidRPr="003A588C">
              <w:rPr>
                <w:color w:val="000000"/>
                <w:sz w:val="16"/>
                <w:szCs w:val="16"/>
                <w:lang w:val="ru-RU"/>
              </w:rPr>
              <w:t xml:space="preserve"> 27001 и процессы управления информационными рисками</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25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color w:val="000000"/>
                <w:sz w:val="16"/>
                <w:szCs w:val="16"/>
                <w:lang w:val="ru-RU"/>
              </w:rPr>
            </w:pPr>
            <w:r w:rsidRPr="003A588C">
              <w:rPr>
                <w:color w:val="000000"/>
                <w:sz w:val="16"/>
                <w:szCs w:val="16"/>
                <w:lang w:val="ru-RU"/>
              </w:rPr>
              <w:t>Эффективность контроля информационной безопасности (внутренней и внешней составляющих)</w:t>
            </w:r>
          </w:p>
        </w:tc>
        <w:tc>
          <w:tcPr>
            <w:tcW w:w="895" w:type="pct"/>
            <w:shd w:val="clear" w:color="auto" w:fill="FFFFFF"/>
            <w:tcMar>
              <w:top w:w="113" w:type="dxa"/>
              <w:bottom w:w="85" w:type="dxa"/>
            </w:tcMar>
          </w:tcPr>
          <w:p w:rsidR="00F512FB" w:rsidRPr="004F6688" w:rsidRDefault="00F512FB" w:rsidP="00F053BA">
            <w:pPr>
              <w:jc w:val="center"/>
              <w:rPr>
                <w:rFonts w:cs="Arial"/>
                <w:sz w:val="16"/>
                <w:szCs w:val="16"/>
                <w:lang w:val="ru-RU" w:bidi="th-TH"/>
              </w:rPr>
            </w:pPr>
            <w:r w:rsidRPr="003A588C">
              <w:rPr>
                <w:rFonts w:cs="Arial"/>
                <w:sz w:val="16"/>
                <w:szCs w:val="16"/>
                <w:lang w:val="ru-RU" w:bidi="th-TH"/>
              </w:rPr>
              <w:t xml:space="preserve">Программа 25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штатных сотрудников ВОИС, делегатов и посетителей, сообщивших об инцидентах, связанных с работой</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28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Доля (%) своевременных запросов об оказании помощи в отношении безопасности на конференциях или мероприятиях, проводимых в Женеве или за ее пределами</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28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Контроль реализации мер физического доступа, обеспечивающий полное соблюдение в ходе строительства нового конференц-зала и относящихся к нему объектов действующих стандартов</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29 </w:t>
            </w:r>
          </w:p>
        </w:tc>
        <w:tc>
          <w:tcPr>
            <w:tcW w:w="461" w:type="pct"/>
            <w:shd w:val="clear" w:color="auto" w:fill="FFFFFF"/>
          </w:tcPr>
          <w:p w:rsidR="00F512FB" w:rsidRPr="00CC3F44" w:rsidRDefault="00F512FB" w:rsidP="00F053BA">
            <w:pPr>
              <w:jc w:val="center"/>
            </w:pPr>
            <w:r w:rsidRPr="00CC3F44">
              <w:rPr>
                <w:rFonts w:cs="Arial"/>
                <w:color w:val="A6A6A6"/>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Контроль реализации природоохранных мер и мер по снижению энергопотребления в процессе строительства</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29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A6A6A6"/>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4F6688" w:rsidRDefault="00F512FB" w:rsidP="00F053BA">
            <w:pPr>
              <w:rPr>
                <w:rFonts w:cs="Arial"/>
                <w:sz w:val="16"/>
                <w:szCs w:val="16"/>
                <w:lang w:val="ru-RU"/>
              </w:rPr>
            </w:pPr>
            <w:r w:rsidRPr="003A588C">
              <w:rPr>
                <w:rFonts w:cs="Arial"/>
                <w:sz w:val="16"/>
                <w:szCs w:val="16"/>
                <w:lang w:val="ru-RU"/>
              </w:rPr>
              <w:t>Реализация мер обеспечения безопасности наружного ограждения нового конференц-зала согласно стандарту UN H-MOSS</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29 </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5"/>
        </w:trPr>
        <w:tc>
          <w:tcPr>
            <w:tcW w:w="1513" w:type="pct"/>
            <w:vMerge w:val="restart"/>
            <w:shd w:val="clear" w:color="auto" w:fill="auto"/>
            <w:tcMar>
              <w:top w:w="113" w:type="dxa"/>
              <w:bottom w:w="85" w:type="dxa"/>
            </w:tcMar>
          </w:tcPr>
          <w:p w:rsidR="00F512FB" w:rsidRPr="00735E14" w:rsidRDefault="00F512FB" w:rsidP="00F053BA">
            <w:pPr>
              <w:rPr>
                <w:rFonts w:cs="Arial"/>
                <w:sz w:val="16"/>
                <w:szCs w:val="16"/>
                <w:lang w:val="ru-RU"/>
              </w:rPr>
            </w:pPr>
            <w:r w:rsidRPr="003A588C">
              <w:rPr>
                <w:rFonts w:cs="Arial"/>
                <w:sz w:val="16"/>
                <w:szCs w:val="16"/>
                <w:lang w:val="ru-RU"/>
              </w:rPr>
              <w:t>IX.8 Улучшение положения в вопросах подотчетности, обучения на рабочем месте, рационального использования средств, разумного руководства, внутреннего контроля и корпоративного управления за счет положительного воздействия эффективного и независимого надзора</w:t>
            </w:r>
          </w:p>
        </w:tc>
        <w:tc>
          <w:tcPr>
            <w:tcW w:w="2131" w:type="pct"/>
            <w:shd w:val="clear" w:color="auto" w:fill="auto"/>
            <w:tcMar>
              <w:top w:w="113" w:type="dxa"/>
              <w:bottom w:w="85" w:type="dxa"/>
            </w:tcMar>
          </w:tcPr>
          <w:p w:rsidR="00F512FB" w:rsidRPr="00735E14" w:rsidRDefault="00F512FB" w:rsidP="00F053BA">
            <w:pPr>
              <w:rPr>
                <w:rFonts w:cs="Arial"/>
                <w:sz w:val="16"/>
                <w:szCs w:val="16"/>
                <w:lang w:val="ru-RU"/>
              </w:rPr>
            </w:pPr>
            <w:r w:rsidRPr="004F6688">
              <w:rPr>
                <w:rFonts w:cs="Arial"/>
                <w:sz w:val="16"/>
                <w:szCs w:val="16"/>
                <w:lang w:val="ru-RU"/>
              </w:rPr>
              <w:t>Невмешательство и предполагаемая независимость основных заинтересованных сторон</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26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p>
        </w:tc>
      </w:tr>
      <w:tr w:rsidR="00F512FB" w:rsidRPr="00AF5E7C" w:rsidTr="00F053BA">
        <w:trPr>
          <w:cantSplit/>
          <w:trHeight w:val="335"/>
        </w:trPr>
        <w:tc>
          <w:tcPr>
            <w:tcW w:w="1513" w:type="pct"/>
            <w:vMerge/>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E53192" w:rsidRDefault="00F512FB" w:rsidP="00F053BA">
            <w:pPr>
              <w:rPr>
                <w:rFonts w:cs="Arial"/>
                <w:sz w:val="16"/>
                <w:szCs w:val="16"/>
                <w:lang w:val="ru-RU"/>
              </w:rPr>
            </w:pPr>
            <w:r w:rsidRPr="003A588C">
              <w:rPr>
                <w:rFonts w:cs="Arial"/>
                <w:sz w:val="16"/>
                <w:szCs w:val="16"/>
                <w:lang w:val="ru-RU"/>
              </w:rPr>
              <w:t>ЭФФЕКТИВНОСТЬ</w:t>
            </w:r>
            <w:r>
              <w:rPr>
                <w:rFonts w:cs="Arial"/>
                <w:sz w:val="16"/>
                <w:szCs w:val="16"/>
                <w:lang w:val="ru-RU"/>
              </w:rPr>
              <w:t xml:space="preserve"> – </w:t>
            </w:r>
            <w:r w:rsidRPr="003A588C">
              <w:rPr>
                <w:rFonts w:cs="Arial"/>
                <w:sz w:val="16"/>
                <w:szCs w:val="16"/>
                <w:lang w:val="ru-RU"/>
              </w:rPr>
              <w:t>Доля (%) работы ОВАН, связанной с областями деятельности с высоким риском / важными областями</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Программа 26 - внутренний надзор</w:t>
            </w:r>
          </w:p>
        </w:tc>
        <w:tc>
          <w:tcPr>
            <w:tcW w:w="461" w:type="pct"/>
            <w:shd w:val="clear" w:color="auto" w:fill="FFFFFF"/>
          </w:tcPr>
          <w:p w:rsidR="00F512FB" w:rsidRPr="00CC3F44" w:rsidRDefault="00F512FB" w:rsidP="00F053BA">
            <w:pPr>
              <w:jc w:val="center"/>
            </w:pPr>
            <w:r w:rsidRPr="00CC3F44">
              <w:rPr>
                <w:rFonts w:cs="Arial"/>
                <w:color w:val="008000"/>
                <w:sz w:val="22"/>
                <w:szCs w:val="22"/>
              </w:rPr>
              <w:sym w:font="Wingdings" w:char="F06C"/>
            </w:r>
          </w:p>
        </w:tc>
      </w:tr>
      <w:tr w:rsidR="00F512FB" w:rsidRPr="00AF5E7C" w:rsidTr="00F053BA">
        <w:trPr>
          <w:cantSplit/>
          <w:trHeight w:val="335"/>
        </w:trPr>
        <w:tc>
          <w:tcPr>
            <w:tcW w:w="1513" w:type="pct"/>
            <w:vMerge/>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735E14" w:rsidRDefault="00F512FB" w:rsidP="00F053BA">
            <w:pPr>
              <w:rPr>
                <w:rFonts w:cs="Arial"/>
                <w:sz w:val="16"/>
                <w:szCs w:val="16"/>
                <w:lang w:val="ru-RU"/>
              </w:rPr>
            </w:pPr>
            <w:r w:rsidRPr="003A588C">
              <w:rPr>
                <w:rFonts w:cs="Arial"/>
                <w:sz w:val="16"/>
                <w:szCs w:val="16"/>
                <w:lang w:val="ru-RU"/>
              </w:rPr>
              <w:t>ПРОДУКТИВНОСТЬ:</w:t>
            </w:r>
            <w:r>
              <w:rPr>
                <w:rFonts w:cs="Arial"/>
                <w:sz w:val="16"/>
                <w:szCs w:val="16"/>
                <w:lang w:val="ru-RU"/>
              </w:rPr>
              <w:t xml:space="preserve"> </w:t>
            </w:r>
            <w:r w:rsidRPr="003A588C">
              <w:rPr>
                <w:rFonts w:cs="Arial"/>
                <w:sz w:val="16"/>
                <w:szCs w:val="16"/>
                <w:lang w:val="ru-RU"/>
              </w:rPr>
              <w:t xml:space="preserve"> (a) своевременная и качественн</w:t>
            </w:r>
            <w:r>
              <w:rPr>
                <w:rFonts w:cs="Arial"/>
                <w:sz w:val="16"/>
                <w:szCs w:val="16"/>
                <w:lang w:val="ru-RU"/>
              </w:rPr>
              <w:t xml:space="preserve">ая подготовка отчетов о надзоре;  </w:t>
            </w:r>
            <w:r w:rsidRPr="003A588C">
              <w:rPr>
                <w:rFonts w:cs="Arial"/>
                <w:sz w:val="16"/>
                <w:szCs w:val="16"/>
                <w:lang w:val="ru-RU"/>
              </w:rPr>
              <w:t>(b) число мероприятий по проверке и оценке, проведенных в соответствии с планом</w:t>
            </w:r>
            <w:r>
              <w:rPr>
                <w:rFonts w:cs="Arial"/>
                <w:sz w:val="16"/>
                <w:szCs w:val="16"/>
                <w:lang w:val="ru-RU"/>
              </w:rPr>
              <w:t xml:space="preserve">;  </w:t>
            </w:r>
            <w:r w:rsidRPr="003A588C">
              <w:rPr>
                <w:rFonts w:cs="Arial"/>
                <w:sz w:val="16"/>
                <w:szCs w:val="16"/>
                <w:lang w:val="ru-RU"/>
              </w:rPr>
              <w:t>(c) число рассмотренных жалоб/сообщений о возможных должностных проступках</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26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r w:rsidRPr="00CC3F44">
              <w:rPr>
                <w:rFonts w:cs="Arial"/>
                <w:color w:val="008000"/>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735E14" w:rsidRDefault="00F512FB" w:rsidP="00F053BA">
            <w:pPr>
              <w:rPr>
                <w:rFonts w:cs="Arial"/>
                <w:sz w:val="16"/>
                <w:szCs w:val="16"/>
                <w:lang w:val="ru-RU"/>
              </w:rPr>
            </w:pPr>
            <w:r w:rsidRPr="003A588C">
              <w:rPr>
                <w:rFonts w:cs="Arial"/>
                <w:sz w:val="16"/>
                <w:szCs w:val="16"/>
                <w:lang w:val="ru-RU"/>
              </w:rPr>
              <w:t>АКТУАЛЬНОСТЬ, ДОПОЛНИТЕЛЬНЫЙ ЭФФЕКТ И РАЗУМНОЕ РУКОВОДСТВО – Ощутимое снижение затрат или совершенствование оперативно-функциональных процессов и систем</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26 </w:t>
            </w:r>
          </w:p>
        </w:tc>
        <w:tc>
          <w:tcPr>
            <w:tcW w:w="461" w:type="pct"/>
            <w:shd w:val="clear" w:color="auto" w:fill="FFFFFF"/>
          </w:tcPr>
          <w:p w:rsidR="00F512FB" w:rsidRPr="00CC3F44" w:rsidRDefault="00F512FB" w:rsidP="00F053BA">
            <w:pPr>
              <w:jc w:val="center"/>
              <w:rPr>
                <w:color w:val="0070C0"/>
              </w:rPr>
            </w:pPr>
            <w:r w:rsidRPr="00CC3F44">
              <w:rPr>
                <w:rFonts w:cs="Arial"/>
                <w:color w:val="A6A6A6"/>
                <w:sz w:val="22"/>
                <w:szCs w:val="22"/>
              </w:rPr>
              <w:sym w:font="Wingdings" w:char="F06C"/>
            </w:r>
          </w:p>
        </w:tc>
      </w:tr>
      <w:tr w:rsidR="00F512FB" w:rsidRPr="00AF5E7C" w:rsidTr="00F053BA">
        <w:trPr>
          <w:cantSplit/>
          <w:trHeight w:val="335"/>
        </w:trPr>
        <w:tc>
          <w:tcPr>
            <w:tcW w:w="1513" w:type="pct"/>
            <w:shd w:val="clear" w:color="auto" w:fill="auto"/>
            <w:tcMar>
              <w:top w:w="113" w:type="dxa"/>
              <w:bottom w:w="85" w:type="dxa"/>
            </w:tcMar>
          </w:tcPr>
          <w:p w:rsidR="00F512FB" w:rsidRPr="00AF5E7C" w:rsidRDefault="00F512FB" w:rsidP="00F053BA">
            <w:pPr>
              <w:rPr>
                <w:rFonts w:cs="Arial"/>
                <w:sz w:val="16"/>
                <w:szCs w:val="16"/>
              </w:rPr>
            </w:pPr>
          </w:p>
        </w:tc>
        <w:tc>
          <w:tcPr>
            <w:tcW w:w="2131" w:type="pct"/>
            <w:shd w:val="clear" w:color="auto" w:fill="auto"/>
            <w:tcMar>
              <w:top w:w="113" w:type="dxa"/>
              <w:bottom w:w="85" w:type="dxa"/>
            </w:tcMar>
          </w:tcPr>
          <w:p w:rsidR="00F512FB" w:rsidRPr="00735E14" w:rsidRDefault="00F512FB" w:rsidP="00F053BA">
            <w:pPr>
              <w:rPr>
                <w:rFonts w:cs="Arial"/>
                <w:sz w:val="16"/>
                <w:szCs w:val="16"/>
                <w:lang w:val="ru-RU"/>
              </w:rPr>
            </w:pPr>
            <w:r w:rsidRPr="003A588C">
              <w:rPr>
                <w:rFonts w:cs="Arial"/>
                <w:sz w:val="16"/>
                <w:szCs w:val="16"/>
                <w:lang w:val="ru-RU"/>
              </w:rPr>
              <w:t>ИЗВЛЕЧЕНИЕ УРОКОВ НА УРОВНЕ ОРГАНИЗАЦИИ - Усвоение уроков и реализация рекомендаций по итогам надзорных мероприятий</w:t>
            </w:r>
          </w:p>
        </w:tc>
        <w:tc>
          <w:tcPr>
            <w:tcW w:w="895" w:type="pct"/>
            <w:shd w:val="clear" w:color="auto" w:fill="FFFFFF"/>
            <w:tcMar>
              <w:top w:w="113" w:type="dxa"/>
              <w:bottom w:w="85" w:type="dxa"/>
            </w:tcMar>
          </w:tcPr>
          <w:p w:rsidR="00F512FB" w:rsidRPr="00AF5E7C" w:rsidRDefault="00F512FB" w:rsidP="00F053BA">
            <w:pPr>
              <w:jc w:val="center"/>
              <w:rPr>
                <w:rFonts w:cs="Arial"/>
                <w:sz w:val="16"/>
                <w:szCs w:val="16"/>
                <w:lang w:bidi="th-TH"/>
              </w:rPr>
            </w:pPr>
            <w:r w:rsidRPr="003A588C">
              <w:rPr>
                <w:rFonts w:cs="Arial"/>
                <w:sz w:val="16"/>
                <w:szCs w:val="16"/>
                <w:lang w:val="ru-RU" w:bidi="th-TH"/>
              </w:rPr>
              <w:t xml:space="preserve">Программа 26 </w:t>
            </w:r>
          </w:p>
        </w:tc>
        <w:tc>
          <w:tcPr>
            <w:tcW w:w="461" w:type="pct"/>
            <w:shd w:val="clear" w:color="auto" w:fill="FFFFFF"/>
          </w:tcPr>
          <w:p w:rsidR="00F512FB" w:rsidRPr="00CC3F44" w:rsidRDefault="00F512FB" w:rsidP="00F053BA">
            <w:pPr>
              <w:jc w:val="center"/>
              <w:rPr>
                <w:rFonts w:cs="Arial"/>
                <w:color w:val="A6A6A6" w:themeColor="background1" w:themeShade="A6"/>
                <w:sz w:val="22"/>
                <w:szCs w:val="22"/>
              </w:rPr>
            </w:pPr>
            <w:r w:rsidRPr="00CC3F44">
              <w:rPr>
                <w:rFonts w:cs="Arial"/>
                <w:color w:val="008000"/>
                <w:sz w:val="22"/>
                <w:szCs w:val="22"/>
              </w:rPr>
              <w:sym w:font="Wingdings" w:char="F06C"/>
            </w:r>
            <w:r w:rsidRPr="00CC3F44">
              <w:rPr>
                <w:rFonts w:cs="Arial"/>
                <w:color w:val="E26B0A"/>
                <w:sz w:val="22"/>
                <w:szCs w:val="22"/>
              </w:rPr>
              <w:sym w:font="Wingdings" w:char="F06C"/>
            </w:r>
          </w:p>
        </w:tc>
      </w:tr>
    </w:tbl>
    <w:p w:rsidR="00F512FB" w:rsidRDefault="00F512FB" w:rsidP="00F512FB"/>
    <w:p w:rsidR="005A0381" w:rsidRDefault="005A0381" w:rsidP="005A0381"/>
    <w:p w:rsidR="008D43FD" w:rsidRDefault="008D43FD"/>
    <w:p w:rsidR="00D97F1C" w:rsidRDefault="00D97F1C">
      <w:r>
        <w:br w:type="page"/>
      </w:r>
    </w:p>
    <w:p w:rsidR="00684449" w:rsidRPr="00684449" w:rsidRDefault="00684449" w:rsidP="00684449">
      <w:pPr>
        <w:pStyle w:val="Heading2"/>
        <w:tabs>
          <w:tab w:val="clear" w:pos="567"/>
          <w:tab w:val="left" w:pos="1985"/>
        </w:tabs>
        <w:rPr>
          <w:lang w:val="ru-RU"/>
        </w:rPr>
      </w:pPr>
      <w:bookmarkStart w:id="120" w:name="_Toc422210510"/>
      <w:bookmarkStart w:id="121" w:name="_Toc455388133"/>
      <w:r w:rsidRPr="00684449">
        <w:rPr>
          <w:lang w:val="ru-RU"/>
        </w:rPr>
        <w:t>ПРОГРАММА</w:t>
      </w:r>
      <w:r>
        <w:t> </w:t>
      </w:r>
      <w:r w:rsidRPr="00684449">
        <w:rPr>
          <w:lang w:val="ru-RU"/>
        </w:rPr>
        <w:t>21</w:t>
      </w:r>
      <w:r w:rsidRPr="00684449">
        <w:rPr>
          <w:lang w:val="ru-RU"/>
        </w:rPr>
        <w:tab/>
        <w:t>ИСПОЛНИТЕЛЬНОЕ РУКОВОДСТВО</w:t>
      </w:r>
      <w:bookmarkEnd w:id="120"/>
      <w:bookmarkEnd w:id="121"/>
    </w:p>
    <w:p w:rsidR="00684449" w:rsidRPr="00684449" w:rsidRDefault="00684449" w:rsidP="00684449">
      <w:pPr>
        <w:rPr>
          <w:szCs w:val="20"/>
          <w:lang w:val="ru-RU"/>
        </w:rPr>
      </w:pPr>
    </w:p>
    <w:p w:rsidR="00684449" w:rsidRPr="00684449" w:rsidRDefault="00684449" w:rsidP="00684449">
      <w:pPr>
        <w:tabs>
          <w:tab w:val="left" w:pos="1985"/>
        </w:tabs>
        <w:rPr>
          <w:b/>
          <w:szCs w:val="22"/>
          <w:lang w:val="ru-RU"/>
        </w:rPr>
      </w:pPr>
      <w:r w:rsidRPr="00684449">
        <w:rPr>
          <w:b/>
          <w:lang w:val="ru-RU"/>
        </w:rPr>
        <w:t>Руководитель программы:</w:t>
      </w:r>
      <w:r w:rsidRPr="00684449">
        <w:rPr>
          <w:lang w:val="ru-RU"/>
        </w:rPr>
        <w:tab/>
      </w:r>
      <w:r w:rsidRPr="00684449">
        <w:rPr>
          <w:b/>
          <w:lang w:val="ru-RU"/>
        </w:rPr>
        <w:t>Генеральный директор</w:t>
      </w:r>
    </w:p>
    <w:p w:rsidR="00684449" w:rsidRPr="00684449" w:rsidRDefault="00684449" w:rsidP="00684449">
      <w:pPr>
        <w:rPr>
          <w:sz w:val="22"/>
          <w:szCs w:val="20"/>
          <w:lang w:val="ru-RU"/>
        </w:rPr>
      </w:pPr>
    </w:p>
    <w:p w:rsidR="00684449" w:rsidRPr="00684449" w:rsidRDefault="00684449" w:rsidP="00684449">
      <w:pPr>
        <w:rPr>
          <w:szCs w:val="20"/>
          <w:lang w:val="ru-RU"/>
        </w:rPr>
      </w:pPr>
    </w:p>
    <w:p w:rsidR="00684449" w:rsidRPr="00684449" w:rsidRDefault="00684449" w:rsidP="00684449">
      <w:pPr>
        <w:rPr>
          <w:bCs/>
          <w:szCs w:val="22"/>
          <w:lang w:val="ru-RU"/>
        </w:rPr>
      </w:pPr>
      <w:r w:rsidRPr="00684449">
        <w:rPr>
          <w:lang w:val="ru-RU"/>
        </w:rPr>
        <w:t>ОБЗОР ДОСТИЖЕНИЙ ЗА ДВУХЛЕТНИЙ ПЕРИОД 2014–2015 ГГ.</w:t>
      </w:r>
    </w:p>
    <w:p w:rsidR="00684449" w:rsidRPr="00684449" w:rsidRDefault="00684449" w:rsidP="00684449">
      <w:pPr>
        <w:jc w:val="both"/>
        <w:rPr>
          <w:lang w:val="ru-RU"/>
        </w:rPr>
      </w:pPr>
    </w:p>
    <w:p w:rsidR="00684449" w:rsidRPr="00684449" w:rsidRDefault="00684449" w:rsidP="00684449">
      <w:pPr>
        <w:pStyle w:val="Default"/>
        <w:jc w:val="both"/>
        <w:rPr>
          <w:color w:val="auto"/>
          <w:sz w:val="20"/>
          <w:szCs w:val="20"/>
          <w:lang w:val="ru-RU"/>
        </w:rPr>
      </w:pPr>
      <w:r w:rsidRPr="00684449">
        <w:rPr>
          <w:sz w:val="20"/>
          <w:szCs w:val="20"/>
          <w:lang w:val="ru-RU"/>
        </w:rPr>
        <w:t>21.1</w:t>
      </w:r>
      <w:r w:rsidRPr="00684449">
        <w:rPr>
          <w:sz w:val="20"/>
          <w:szCs w:val="20"/>
          <w:lang w:val="ru-RU"/>
        </w:rPr>
        <w:tab/>
        <w:t>Эффективное взаимодействие с государствами-членами по-прежнему является критически важным фактором прогресса в области достижения девяти стратегических целей Организации.</w:t>
      </w:r>
      <w:r w:rsidRPr="00684449">
        <w:rPr>
          <w:color w:val="auto"/>
          <w:sz w:val="20"/>
          <w:szCs w:val="20"/>
          <w:lang w:val="ru-RU"/>
        </w:rPr>
        <w:t xml:space="preserve"> В двухлетний период 2014–2015</w:t>
      </w:r>
      <w:r w:rsidRPr="009435C7">
        <w:rPr>
          <w:color w:val="auto"/>
          <w:sz w:val="20"/>
          <w:szCs w:val="20"/>
        </w:rPr>
        <w:t> </w:t>
      </w:r>
      <w:r w:rsidRPr="00684449">
        <w:rPr>
          <w:color w:val="auto"/>
          <w:sz w:val="20"/>
          <w:szCs w:val="20"/>
          <w:lang w:val="ru-RU"/>
        </w:rPr>
        <w:t xml:space="preserve">гг., по мере того, как государства-члены работали над формированием консенсуса по стратегическим целям, проявились определенные трудности.  Поэтому Генеральный директор в рамках различных форумов проводил с государствами-членами тематические обсуждения в целях создания условий для консенсуса и содействия его достижению.  В некоторых областях был достигнут прогресс: так, после нескольких лет сложных переговоров государства-члены смогли достичь консенсуса по вопросу открытия новых внешних бюро ВОИС.  Однако в других областях, особенно в сфере нормативной работы, по многим вопросам государствам-членам еще предстоит провести существенную работу.  Те же механизмы коммуникации, например, регулярные брифинги для послов, использовались в качестве важного средства получения обратной связи и рекомендаций в целях обеспечения прогресса во многих областях. </w:t>
      </w:r>
    </w:p>
    <w:p w:rsidR="00684449" w:rsidRPr="00684449" w:rsidRDefault="00684449" w:rsidP="00684449">
      <w:pPr>
        <w:pStyle w:val="Default"/>
        <w:jc w:val="both"/>
        <w:rPr>
          <w:color w:val="auto"/>
          <w:sz w:val="20"/>
          <w:szCs w:val="20"/>
          <w:lang w:val="ru-RU"/>
        </w:rPr>
      </w:pPr>
    </w:p>
    <w:p w:rsidR="00684449" w:rsidRPr="00684449" w:rsidRDefault="00684449" w:rsidP="00684449">
      <w:pPr>
        <w:pStyle w:val="Default"/>
        <w:jc w:val="both"/>
        <w:rPr>
          <w:color w:val="auto"/>
          <w:sz w:val="20"/>
          <w:szCs w:val="20"/>
          <w:lang w:val="ru-RU"/>
        </w:rPr>
      </w:pPr>
      <w:r w:rsidRPr="00684449">
        <w:rPr>
          <w:sz w:val="20"/>
          <w:szCs w:val="20"/>
          <w:lang w:val="ru-RU"/>
        </w:rPr>
        <w:t>21.2</w:t>
      </w:r>
      <w:r w:rsidRPr="00684449">
        <w:rPr>
          <w:sz w:val="20"/>
          <w:szCs w:val="20"/>
          <w:lang w:val="ru-RU"/>
        </w:rPr>
        <w:tab/>
        <w:t xml:space="preserve">Еще одним важным элементом реализации программ, содействующим достижению стратегических целей, было взаимодействие внутри Организации. </w:t>
      </w:r>
      <w:r w:rsidRPr="00684449">
        <w:rPr>
          <w:color w:val="auto"/>
          <w:sz w:val="20"/>
          <w:szCs w:val="20"/>
          <w:lang w:val="ru-RU"/>
        </w:rPr>
        <w:t>Взаимодействие с сотрудниками в рамках регулярных брифингов Генерального директора и других форматов было важным элементом работы по разъяснению необходимости изменений и обеспечению их поддержки. На регулярных заседаниях Группы старшего управленческого звена (ГСУЗ) принимались указания для подразделений, переводившие стратегические решения в плоскость конкретных оперативных задач.  Второй срок полномочий Генерального директора создал возможность для привнесения новой энергии и идей в работу ГСУЗ благодаря включению в ее состав четырех новых членов и сохранению опыта четырех членов из предыдущего состава ГСУЗ.  Кроме того, ГСУЗ была расширена: в ее состав вошли руководители, занимающиеся кадровыми и правовыми вопросами, которые являются важными сквозными элементами принятия стратегических решений.  После успешной реализации в 2013</w:t>
      </w:r>
      <w:r w:rsidRPr="009435C7">
        <w:rPr>
          <w:color w:val="auto"/>
          <w:sz w:val="20"/>
          <w:szCs w:val="20"/>
        </w:rPr>
        <w:t> </w:t>
      </w:r>
      <w:r w:rsidRPr="00684449">
        <w:rPr>
          <w:color w:val="auto"/>
          <w:sz w:val="20"/>
          <w:szCs w:val="20"/>
          <w:lang w:val="ru-RU"/>
        </w:rPr>
        <w:t xml:space="preserve">г. Программы стратегической перестройки ГСУЗ стала играть ключевую роль в обеспечении сохранения культурных и ценностных достижений, эффективности рабочих процессов и большей согласованности программ, структуры и ресурсов со стратегическими целями. </w:t>
      </w:r>
    </w:p>
    <w:p w:rsidR="00684449" w:rsidRPr="00684449" w:rsidRDefault="00684449" w:rsidP="00684449">
      <w:pPr>
        <w:jc w:val="both"/>
        <w:rPr>
          <w:szCs w:val="20"/>
          <w:lang w:val="ru-RU"/>
        </w:rPr>
      </w:pPr>
    </w:p>
    <w:p w:rsidR="00684449" w:rsidRPr="00684449" w:rsidRDefault="00684449" w:rsidP="00684449">
      <w:pPr>
        <w:pStyle w:val="Default"/>
        <w:jc w:val="both"/>
        <w:rPr>
          <w:sz w:val="20"/>
          <w:szCs w:val="20"/>
          <w:lang w:val="ru-RU"/>
        </w:rPr>
      </w:pPr>
      <w:r w:rsidRPr="00684449">
        <w:rPr>
          <w:sz w:val="20"/>
          <w:szCs w:val="20"/>
          <w:lang w:val="ru-RU"/>
        </w:rPr>
        <w:t>21.3</w:t>
      </w:r>
      <w:r w:rsidRPr="00684449">
        <w:rPr>
          <w:sz w:val="20"/>
          <w:szCs w:val="20"/>
          <w:lang w:val="ru-RU"/>
        </w:rPr>
        <w:tab/>
        <w:t>Бюро Юрисконсульта (БЮ) по-прежнему предоставляло оперативные и взвешенные юридические консультации и услуги, соответствующие нормативным требованиям и применимому законодательству, по конституционным вопросам, контрактному, международному договорному праву, а также вопросам, связанным с административными и людскими ресурсами, Генеральному директору, Секретариату и государствам-членам с учетом значительной, а в некоторых областях растущей востребованности.</w:t>
      </w:r>
      <w:r w:rsidRPr="00684449">
        <w:rPr>
          <w:color w:val="auto"/>
          <w:sz w:val="20"/>
          <w:szCs w:val="20"/>
          <w:lang w:val="ru-RU"/>
        </w:rPr>
        <w:t xml:space="preserve"> БЮ активно участвовало в процессе выдвижения кандидатуры и назначения Генерального директора в 2014</w:t>
      </w:r>
      <w:r w:rsidRPr="009435C7">
        <w:rPr>
          <w:color w:val="auto"/>
          <w:sz w:val="20"/>
          <w:szCs w:val="20"/>
        </w:rPr>
        <w:t> </w:t>
      </w:r>
      <w:r w:rsidRPr="00684449">
        <w:rPr>
          <w:color w:val="auto"/>
          <w:sz w:val="20"/>
          <w:szCs w:val="20"/>
          <w:lang w:val="ru-RU"/>
        </w:rPr>
        <w:t>г., а также занималось юридическим сопровождением при проведении дипломатической конференции для принятия Нового акта Лиссабонского соглашения в мае 2015</w:t>
      </w:r>
      <w:r w:rsidRPr="009435C7">
        <w:rPr>
          <w:color w:val="auto"/>
          <w:sz w:val="20"/>
          <w:szCs w:val="20"/>
        </w:rPr>
        <w:t> </w:t>
      </w:r>
      <w:r w:rsidRPr="00684449">
        <w:rPr>
          <w:color w:val="auto"/>
          <w:sz w:val="20"/>
          <w:szCs w:val="20"/>
          <w:lang w:val="ru-RU"/>
        </w:rPr>
        <w:t xml:space="preserve">г.   Одной из главных задач </w:t>
      </w:r>
      <w:r w:rsidRPr="00684449">
        <w:rPr>
          <w:sz w:val="20"/>
          <w:szCs w:val="20"/>
          <w:lang w:val="ru-RU"/>
        </w:rPr>
        <w:t>2014–2015</w:t>
      </w:r>
      <w:r w:rsidRPr="009435C7">
        <w:rPr>
          <w:sz w:val="20"/>
          <w:szCs w:val="20"/>
        </w:rPr>
        <w:t> </w:t>
      </w:r>
      <w:r w:rsidRPr="00684449">
        <w:rPr>
          <w:sz w:val="20"/>
          <w:szCs w:val="20"/>
          <w:lang w:val="ru-RU"/>
        </w:rPr>
        <w:t>гг. стал запуск новой системы внутреннего урегулирования споров, которая начала действовать 1</w:t>
      </w:r>
      <w:r w:rsidRPr="009435C7">
        <w:rPr>
          <w:sz w:val="20"/>
          <w:szCs w:val="20"/>
        </w:rPr>
        <w:t> </w:t>
      </w:r>
      <w:r w:rsidRPr="00684449">
        <w:rPr>
          <w:sz w:val="20"/>
          <w:szCs w:val="20"/>
          <w:lang w:val="ru-RU"/>
        </w:rPr>
        <w:t>января 2014</w:t>
      </w:r>
      <w:r w:rsidRPr="009435C7">
        <w:rPr>
          <w:sz w:val="20"/>
          <w:szCs w:val="20"/>
        </w:rPr>
        <w:t> </w:t>
      </w:r>
      <w:r w:rsidRPr="00684449">
        <w:rPr>
          <w:sz w:val="20"/>
          <w:szCs w:val="20"/>
          <w:lang w:val="ru-RU"/>
        </w:rPr>
        <w:t>г.  БЮ удалось безболезненно адаптироваться к новой системе при представлении интересов администрации в ходе рассмотрения апелляций и жалоб сотрудников.</w:t>
      </w:r>
      <w:r w:rsidRPr="00684449">
        <w:rPr>
          <w:color w:val="auto"/>
          <w:sz w:val="20"/>
          <w:szCs w:val="20"/>
          <w:lang w:val="ru-RU"/>
        </w:rPr>
        <w:t xml:space="preserve">  БЮ обеспечило эффективное выполнение депозитарных функций в отношении договоров, администрированием которых занимается ВОИС, несмотря на увеличение числа запросов о предоставлении консультаций.  В 2014–2015</w:t>
      </w:r>
      <w:r w:rsidRPr="009435C7">
        <w:rPr>
          <w:color w:val="auto"/>
          <w:sz w:val="20"/>
          <w:szCs w:val="20"/>
        </w:rPr>
        <w:t> </w:t>
      </w:r>
      <w:r w:rsidRPr="00684449">
        <w:rPr>
          <w:color w:val="auto"/>
          <w:sz w:val="20"/>
          <w:szCs w:val="20"/>
          <w:lang w:val="ru-RU"/>
        </w:rPr>
        <w:t>гг. более 3,3</w:t>
      </w:r>
      <w:r w:rsidRPr="009435C7">
        <w:rPr>
          <w:color w:val="auto"/>
          <w:sz w:val="20"/>
          <w:szCs w:val="20"/>
        </w:rPr>
        <w:t> </w:t>
      </w:r>
      <w:r w:rsidRPr="00684449">
        <w:rPr>
          <w:color w:val="auto"/>
          <w:sz w:val="20"/>
          <w:szCs w:val="20"/>
          <w:lang w:val="ru-RU"/>
        </w:rPr>
        <w:t xml:space="preserve">миллионов пользователей по всему миру обращались к базе данных правовой информации об ИС </w:t>
      </w:r>
      <w:r w:rsidRPr="009435C7">
        <w:rPr>
          <w:color w:val="auto"/>
          <w:sz w:val="20"/>
          <w:szCs w:val="20"/>
        </w:rPr>
        <w:t>WIPO</w:t>
      </w:r>
      <w:r w:rsidRPr="00684449">
        <w:rPr>
          <w:color w:val="auto"/>
          <w:sz w:val="20"/>
          <w:szCs w:val="20"/>
          <w:lang w:val="ru-RU"/>
        </w:rPr>
        <w:t xml:space="preserve"> </w:t>
      </w:r>
      <w:r w:rsidRPr="009435C7">
        <w:rPr>
          <w:color w:val="auto"/>
          <w:sz w:val="20"/>
          <w:szCs w:val="20"/>
        </w:rPr>
        <w:t>Lex</w:t>
      </w:r>
      <w:r w:rsidRPr="00684449">
        <w:rPr>
          <w:color w:val="auto"/>
          <w:sz w:val="20"/>
          <w:szCs w:val="20"/>
          <w:lang w:val="ru-RU"/>
        </w:rPr>
        <w:t>, тогда как в 2012–2013</w:t>
      </w:r>
      <w:r w:rsidRPr="009435C7">
        <w:rPr>
          <w:color w:val="auto"/>
          <w:sz w:val="20"/>
          <w:szCs w:val="20"/>
        </w:rPr>
        <w:t> </w:t>
      </w:r>
      <w:r w:rsidRPr="00684449">
        <w:rPr>
          <w:color w:val="auto"/>
          <w:sz w:val="20"/>
          <w:szCs w:val="20"/>
          <w:lang w:val="ru-RU"/>
        </w:rPr>
        <w:t>гг. их было 2,2</w:t>
      </w:r>
      <w:r w:rsidRPr="009435C7">
        <w:rPr>
          <w:color w:val="auto"/>
          <w:sz w:val="20"/>
          <w:szCs w:val="20"/>
        </w:rPr>
        <w:t> </w:t>
      </w:r>
      <w:r w:rsidRPr="00684449">
        <w:rPr>
          <w:color w:val="auto"/>
          <w:sz w:val="20"/>
          <w:szCs w:val="20"/>
          <w:lang w:val="ru-RU"/>
        </w:rPr>
        <w:t>миллиона.  БЮ уделяло значительное внимание взаимодействию с неправительственными заинтересованными сторонами, в частности, в ходе</w:t>
      </w:r>
      <w:r w:rsidRPr="00684449">
        <w:rPr>
          <w:color w:val="auto"/>
          <w:sz w:val="20"/>
          <w:lang w:val="ru-RU"/>
        </w:rPr>
        <w:t xml:space="preserve"> ежегодных встреч представителей аккредитованных неправительственных организаций с Генеральным директором в 2014</w:t>
      </w:r>
      <w:r>
        <w:rPr>
          <w:color w:val="auto"/>
          <w:sz w:val="20"/>
        </w:rPr>
        <w:t> </w:t>
      </w:r>
      <w:r w:rsidRPr="00684449">
        <w:rPr>
          <w:color w:val="auto"/>
          <w:sz w:val="20"/>
          <w:lang w:val="ru-RU"/>
        </w:rPr>
        <w:t>г. и 2015</w:t>
      </w:r>
      <w:r>
        <w:rPr>
          <w:color w:val="auto"/>
          <w:sz w:val="20"/>
        </w:rPr>
        <w:t> </w:t>
      </w:r>
      <w:r w:rsidRPr="00684449">
        <w:rPr>
          <w:color w:val="auto"/>
          <w:sz w:val="20"/>
          <w:lang w:val="ru-RU"/>
        </w:rPr>
        <w:t xml:space="preserve">г.  </w:t>
      </w:r>
    </w:p>
    <w:p w:rsidR="00684449" w:rsidRPr="00684449" w:rsidRDefault="00684449" w:rsidP="00684449">
      <w:pPr>
        <w:pStyle w:val="Default"/>
        <w:jc w:val="both"/>
        <w:rPr>
          <w:sz w:val="20"/>
          <w:szCs w:val="20"/>
          <w:lang w:val="ru-RU"/>
        </w:rPr>
      </w:pPr>
    </w:p>
    <w:p w:rsidR="00684449" w:rsidRPr="00684449" w:rsidRDefault="00684449" w:rsidP="00684449">
      <w:pPr>
        <w:pStyle w:val="Default"/>
        <w:jc w:val="both"/>
        <w:rPr>
          <w:sz w:val="20"/>
          <w:szCs w:val="20"/>
          <w:lang w:val="ru-RU"/>
        </w:rPr>
      </w:pPr>
      <w:r w:rsidRPr="00684449">
        <w:rPr>
          <w:sz w:val="20"/>
          <w:szCs w:val="20"/>
          <w:lang w:val="ru-RU"/>
        </w:rPr>
        <w:t>21.4</w:t>
      </w:r>
      <w:r w:rsidRPr="00684449">
        <w:rPr>
          <w:sz w:val="20"/>
          <w:szCs w:val="20"/>
          <w:lang w:val="ru-RU"/>
        </w:rPr>
        <w:tab/>
        <w:t>Отдел по делам Ассамблей и документации (ОДАД) координировал организацию очередных сессий Ассамблей в 2014</w:t>
      </w:r>
      <w:r w:rsidRPr="009435C7">
        <w:rPr>
          <w:sz w:val="20"/>
          <w:szCs w:val="20"/>
        </w:rPr>
        <w:t> </w:t>
      </w:r>
      <w:r w:rsidRPr="00684449">
        <w:rPr>
          <w:sz w:val="20"/>
          <w:szCs w:val="20"/>
          <w:lang w:val="ru-RU"/>
        </w:rPr>
        <w:t>г. и 2015</w:t>
      </w:r>
      <w:r w:rsidRPr="009435C7">
        <w:rPr>
          <w:sz w:val="20"/>
          <w:szCs w:val="20"/>
        </w:rPr>
        <w:t> </w:t>
      </w:r>
      <w:r w:rsidRPr="00684449">
        <w:rPr>
          <w:sz w:val="20"/>
          <w:szCs w:val="20"/>
          <w:lang w:val="ru-RU"/>
        </w:rPr>
        <w:t>г., а также двух внеочередных сессий в марте 2014</w:t>
      </w:r>
      <w:r w:rsidRPr="009435C7">
        <w:rPr>
          <w:sz w:val="20"/>
          <w:szCs w:val="20"/>
        </w:rPr>
        <w:t> </w:t>
      </w:r>
      <w:r w:rsidRPr="00684449">
        <w:rPr>
          <w:sz w:val="20"/>
          <w:szCs w:val="20"/>
          <w:lang w:val="ru-RU"/>
        </w:rPr>
        <w:t>г. (Координационный комитет) и в мае 2014</w:t>
      </w:r>
      <w:r w:rsidRPr="009435C7">
        <w:rPr>
          <w:sz w:val="20"/>
          <w:szCs w:val="20"/>
        </w:rPr>
        <w:t> </w:t>
      </w:r>
      <w:r w:rsidRPr="00684449">
        <w:rPr>
          <w:sz w:val="20"/>
          <w:szCs w:val="20"/>
          <w:lang w:val="ru-RU"/>
        </w:rPr>
        <w:t>г. (Генеральная Ассамблея).</w:t>
      </w:r>
      <w:r w:rsidRPr="00684449">
        <w:rPr>
          <w:color w:val="auto"/>
          <w:sz w:val="20"/>
          <w:szCs w:val="20"/>
          <w:lang w:val="ru-RU"/>
        </w:rPr>
        <w:t xml:space="preserve">  На каждой очередной сессии присутствовали около 1000 делегатов более чем из 200 государств-членов и наблюдателей.  Продолжалось внедрение и/или совершенствование организационных инноваций и методов рациональной работы (таких как веб-трансляция заседаний, электронная регистрация участников, бейджи с фотографиями, новый порядок оформления поездок) в целях повышения эффективности заседаний, снижения затрат и сокращения выбросов углерода, а также обеспечения большей открытости и доступности проводимых мероприятий.  Документация предоставлялась заблаговременно.  Уделялось большое внимание обеспечению эффективности Ассамблей и работы делегаций государств-членов во время Ассамблей, в результате чего в ходе опросов была получена очень высокая доля положительных отзывов.</w:t>
      </w:r>
      <w:r w:rsidRPr="00684449">
        <w:rPr>
          <w:sz w:val="20"/>
          <w:szCs w:val="20"/>
          <w:lang w:val="ru-RU"/>
        </w:rPr>
        <w:t xml:space="preserve"> </w:t>
      </w:r>
    </w:p>
    <w:p w:rsidR="00684449" w:rsidRPr="00684449" w:rsidRDefault="00684449" w:rsidP="00684449">
      <w:pPr>
        <w:pStyle w:val="Default"/>
        <w:jc w:val="both"/>
        <w:rPr>
          <w:sz w:val="20"/>
          <w:szCs w:val="20"/>
          <w:lang w:val="ru-RU"/>
        </w:rPr>
      </w:pPr>
    </w:p>
    <w:p w:rsidR="00684449" w:rsidRPr="00684449" w:rsidRDefault="00684449" w:rsidP="00684449">
      <w:pPr>
        <w:pStyle w:val="Default"/>
        <w:jc w:val="both"/>
        <w:rPr>
          <w:sz w:val="20"/>
          <w:szCs w:val="20"/>
          <w:lang w:val="ru-RU"/>
        </w:rPr>
      </w:pPr>
      <w:r w:rsidRPr="00684449">
        <w:rPr>
          <w:sz w:val="20"/>
          <w:szCs w:val="20"/>
          <w:lang w:val="ru-RU"/>
        </w:rPr>
        <w:t>21.5</w:t>
      </w:r>
      <w:r w:rsidRPr="00684449">
        <w:rPr>
          <w:sz w:val="20"/>
          <w:szCs w:val="20"/>
          <w:lang w:val="ru-RU"/>
        </w:rPr>
        <w:tab/>
        <w:t xml:space="preserve">ВОИС продолжала активно участвовать в работе системы ООН, в том числе в работе Координационного совета руководителей (КСР) и двух его комитетов: Комитета высокого уровня по вопросам управления (КВУУ) и Комитета высокого уровня по программам (КВУП). Это дало ВОИС хорошую возможность выразить свою точку зрения по тем вопросам, которые обсуждаются в системе ООН, обменяться примерами надлежащей административной и оперативной практики, а также привлечь Организацию к работе по обеспечению согласованности в рамках системы ООН. </w:t>
      </w:r>
    </w:p>
    <w:p w:rsidR="00684449" w:rsidRPr="00684449" w:rsidRDefault="00684449" w:rsidP="00684449">
      <w:pPr>
        <w:jc w:val="both"/>
        <w:rPr>
          <w:szCs w:val="20"/>
          <w:lang w:val="ru-RU"/>
        </w:rPr>
      </w:pPr>
    </w:p>
    <w:p w:rsidR="00684449" w:rsidRPr="00684449" w:rsidRDefault="00684449" w:rsidP="00684449">
      <w:pPr>
        <w:jc w:val="both"/>
        <w:rPr>
          <w:szCs w:val="20"/>
          <w:lang w:val="ru-RU"/>
        </w:rPr>
      </w:pPr>
      <w:r w:rsidRPr="00684449">
        <w:rPr>
          <w:lang w:val="ru-RU"/>
        </w:rPr>
        <w:t>21.6</w:t>
      </w:r>
      <w:r w:rsidRPr="00684449">
        <w:rPr>
          <w:lang w:val="ru-RU"/>
        </w:rPr>
        <w:tab/>
        <w:t>В декабре 2016</w:t>
      </w:r>
      <w:r>
        <w:t> </w:t>
      </w:r>
      <w:r w:rsidRPr="00684449">
        <w:rPr>
          <w:lang w:val="ru-RU"/>
        </w:rPr>
        <w:t>г. КГД было поручено осуществление общей координации работы всех внешних бюро, а также контроля за деятельностью сингапурского бюро ВОИС и бюро ВОИС в Бразилии.  В январе 2015</w:t>
      </w:r>
      <w:r>
        <w:t> </w:t>
      </w:r>
      <w:r w:rsidRPr="00684449">
        <w:rPr>
          <w:lang w:val="ru-RU"/>
        </w:rPr>
        <w:t>г. была начата серия целевых инициатив, направленных на обеспечение функциональной согласованности и полной интеграции внешних бюро в работу Организации.  Они включали в себя первое совещание глав ведомств в штаб-квартире, множество встреч рабочих групп для оценки влияния организационной политики на деятельность внешних бюро, регулярные видеоконференции, проводимые два раза в месяц, внедрение новой ИТ-архитектуры для обеспечения бесперебойного взаимодействия между внешними бюро и штаб-квартирой, а также обновление веб-страниц внешних бюро. Сразу же стали заметны признаки того, что в ВОИС формируется новая культура взаимодействия с внешними бюро, что оказало положительное влияние на выполнение мандата.</w:t>
      </w:r>
    </w:p>
    <w:p w:rsidR="00684449" w:rsidRPr="00684449" w:rsidRDefault="00684449" w:rsidP="00684449">
      <w:pPr>
        <w:jc w:val="both"/>
        <w:rPr>
          <w:szCs w:val="20"/>
          <w:lang w:val="ru-RU"/>
        </w:rPr>
      </w:pPr>
    </w:p>
    <w:p w:rsidR="00684449" w:rsidRPr="00684449" w:rsidRDefault="00684449" w:rsidP="00684449">
      <w:pPr>
        <w:pStyle w:val="Default"/>
        <w:jc w:val="both"/>
        <w:rPr>
          <w:color w:val="auto"/>
          <w:sz w:val="20"/>
          <w:szCs w:val="20"/>
          <w:lang w:val="ru-RU"/>
        </w:rPr>
      </w:pPr>
      <w:r w:rsidRPr="00684449">
        <w:rPr>
          <w:sz w:val="20"/>
          <w:szCs w:val="20"/>
          <w:lang w:val="ru-RU"/>
        </w:rPr>
        <w:t>21.7</w:t>
      </w:r>
      <w:r w:rsidRPr="00684449">
        <w:rPr>
          <w:sz w:val="20"/>
          <w:szCs w:val="20"/>
          <w:lang w:val="ru-RU"/>
        </w:rPr>
        <w:tab/>
        <w:t>На деятельность Бюро по этике повлияло отсутствие Главного сотрудника по вопросам этики с апреля по июль 2014</w:t>
      </w:r>
      <w:r w:rsidRPr="009435C7">
        <w:rPr>
          <w:sz w:val="20"/>
          <w:szCs w:val="20"/>
        </w:rPr>
        <w:t> </w:t>
      </w:r>
      <w:r w:rsidRPr="00684449">
        <w:rPr>
          <w:sz w:val="20"/>
          <w:szCs w:val="20"/>
          <w:lang w:val="ru-RU"/>
        </w:rPr>
        <w:t>г.</w:t>
      </w:r>
      <w:r w:rsidRPr="00684449">
        <w:rPr>
          <w:color w:val="auto"/>
          <w:sz w:val="20"/>
          <w:szCs w:val="20"/>
          <w:lang w:val="ru-RU"/>
        </w:rPr>
        <w:t xml:space="preserve">  Был назначен временный исполняющий обязанности Главного сотрудника по вопросам этики, который работал с августа 2014</w:t>
      </w:r>
      <w:r w:rsidRPr="009435C7">
        <w:rPr>
          <w:color w:val="auto"/>
          <w:sz w:val="20"/>
          <w:szCs w:val="20"/>
        </w:rPr>
        <w:t> </w:t>
      </w:r>
      <w:r w:rsidRPr="00684449">
        <w:rPr>
          <w:color w:val="auto"/>
          <w:sz w:val="20"/>
          <w:szCs w:val="20"/>
          <w:lang w:val="ru-RU"/>
        </w:rPr>
        <w:t>г. по сентябрь 2015</w:t>
      </w:r>
      <w:r w:rsidRPr="009435C7">
        <w:rPr>
          <w:color w:val="auto"/>
          <w:sz w:val="20"/>
          <w:szCs w:val="20"/>
        </w:rPr>
        <w:t> </w:t>
      </w:r>
      <w:r w:rsidRPr="00684449">
        <w:rPr>
          <w:color w:val="auto"/>
          <w:sz w:val="20"/>
          <w:szCs w:val="20"/>
          <w:lang w:val="ru-RU"/>
        </w:rPr>
        <w:t>г., когда был назначен новый Главный сотрудник по вопросам этики.  Бюро по этике продолжало реализацию политики декларирования экономических интересов, которая, в частности, предполагает раскрытие финансовых интересов в соответствии с МСУГС,</w:t>
      </w:r>
      <w:r w:rsidRPr="00684449">
        <w:rPr>
          <w:color w:val="auto"/>
          <w:sz w:val="20"/>
          <w:lang w:val="ru-RU"/>
        </w:rPr>
        <w:t xml:space="preserve"> а также пересмотрело Политику защиты сотрудников, осуществляющих сотрудничество в ходе надзорной деятельности или сообщающих о неправомерном поведении или иных нарушениях (Принципы защиты сотрудников, сообщающих о нарушениях в Организации), в которой описано значение участия сотрудников в осуществлении внутреннего надзора в Организации, и меры защиты на случай попыток отомстить за такое участие.  Кодекс этики ВОИС по-прежнему использовался в качестве свода руководящих принципов и ценностей, которыми должен руководствоваться персонал ВОИС при выполнении своих обязанностей, а Бюро оказывало консультативные услуги сотрудникам всех уровней по вопросам выполнения этого кодекса.  Кроме того, при поступлении на работу в Организацию проводилось обязательное обучение по вопросам этики, чтобы обеспечить ознакомление с принятыми в ВОИС этическими нормами всех новых сотрудников.  Также активизировалось взаимодействие с Сетью по вопросам этики многосторонних организаций. </w:t>
      </w:r>
    </w:p>
    <w:p w:rsidR="00684449" w:rsidRPr="00684449" w:rsidRDefault="00684449" w:rsidP="00684449">
      <w:pPr>
        <w:pStyle w:val="Default"/>
        <w:jc w:val="both"/>
        <w:rPr>
          <w:sz w:val="20"/>
          <w:szCs w:val="20"/>
          <w:lang w:val="ru-RU"/>
        </w:rPr>
      </w:pPr>
    </w:p>
    <w:p w:rsidR="00684449" w:rsidRPr="00684449" w:rsidRDefault="00684449" w:rsidP="00684449">
      <w:pPr>
        <w:pStyle w:val="Default"/>
        <w:jc w:val="both"/>
        <w:rPr>
          <w:sz w:val="20"/>
          <w:szCs w:val="20"/>
          <w:lang w:val="ru-RU"/>
        </w:rPr>
      </w:pPr>
      <w:r w:rsidRPr="00684449">
        <w:rPr>
          <w:sz w:val="20"/>
          <w:szCs w:val="20"/>
          <w:lang w:val="ru-RU"/>
        </w:rPr>
        <w:t>21.8</w:t>
      </w:r>
      <w:r w:rsidRPr="00684449">
        <w:rPr>
          <w:sz w:val="20"/>
          <w:szCs w:val="20"/>
          <w:lang w:val="ru-RU"/>
        </w:rPr>
        <w:tab/>
        <w:t>Бюро Омбудсмена, будучи неотъемлемой частью структуры обеспечения подотчетности и добросовестности Организации, продолжало укрепляться благодаря внедрению 1</w:t>
      </w:r>
      <w:r w:rsidRPr="009435C7">
        <w:rPr>
          <w:sz w:val="20"/>
          <w:szCs w:val="20"/>
        </w:rPr>
        <w:t> </w:t>
      </w:r>
      <w:r w:rsidRPr="00684449">
        <w:rPr>
          <w:sz w:val="20"/>
          <w:szCs w:val="20"/>
          <w:lang w:val="ru-RU"/>
        </w:rPr>
        <w:t>января 2014</w:t>
      </w:r>
      <w:r w:rsidRPr="009435C7">
        <w:rPr>
          <w:sz w:val="20"/>
          <w:szCs w:val="20"/>
        </w:rPr>
        <w:t> </w:t>
      </w:r>
      <w:r w:rsidRPr="00684449">
        <w:rPr>
          <w:sz w:val="20"/>
          <w:szCs w:val="20"/>
          <w:lang w:val="ru-RU"/>
        </w:rPr>
        <w:t>г. новой системы внутреннего урегулирования споров.  Ключевой аспект этой реформы был связан с признанием значимости предотвращения конфликтов, в результате чего в Положения и правила о персонале было включено положение о механизмах неофициального разрешения конфликтов.</w:t>
      </w:r>
      <w:r w:rsidRPr="00684449">
        <w:rPr>
          <w:color w:val="auto"/>
          <w:sz w:val="20"/>
          <w:szCs w:val="20"/>
          <w:lang w:val="ru-RU"/>
        </w:rPr>
        <w:t xml:space="preserve">  В дополнение</w:t>
      </w:r>
      <w:r w:rsidRPr="00684449">
        <w:rPr>
          <w:color w:val="auto"/>
          <w:sz w:val="20"/>
          <w:lang w:val="ru-RU"/>
        </w:rPr>
        <w:t xml:space="preserve"> к этому новшеству Бюро Омбудсмена сосредоточилось на повышении уровня осведомленности и компетенции в сфере урегулирования конфликтов среди сотрудников и провело учебные мероприятия, который включали в себя семинары-практикумы по неагрессивному взаимодействию, общеорганизационный двухдневный учебный курс по управлению конфликтами, в котором принял участие 631</w:t>
      </w:r>
      <w:r>
        <w:rPr>
          <w:color w:val="auto"/>
          <w:sz w:val="20"/>
        </w:rPr>
        <w:t> </w:t>
      </w:r>
      <w:r w:rsidRPr="00684449">
        <w:rPr>
          <w:color w:val="auto"/>
          <w:sz w:val="20"/>
          <w:lang w:val="ru-RU"/>
        </w:rPr>
        <w:t xml:space="preserve">сотрудник, и вводные программы для новых сотрудников.  </w:t>
      </w:r>
    </w:p>
    <w:p w:rsidR="00684449" w:rsidRPr="00684449" w:rsidRDefault="00684449" w:rsidP="00684449">
      <w:pPr>
        <w:pStyle w:val="Default"/>
        <w:jc w:val="both"/>
        <w:rPr>
          <w:sz w:val="20"/>
          <w:szCs w:val="20"/>
          <w:lang w:val="ru-RU"/>
        </w:rPr>
      </w:pPr>
    </w:p>
    <w:p w:rsidR="00684449" w:rsidRPr="00684449" w:rsidRDefault="00684449" w:rsidP="00684449">
      <w:pPr>
        <w:pStyle w:val="Default"/>
        <w:jc w:val="both"/>
        <w:rPr>
          <w:color w:val="auto"/>
          <w:sz w:val="20"/>
          <w:szCs w:val="20"/>
          <w:lang w:val="ru-RU"/>
        </w:rPr>
      </w:pPr>
      <w:r w:rsidRPr="00684449">
        <w:rPr>
          <w:sz w:val="20"/>
          <w:szCs w:val="20"/>
          <w:lang w:val="ru-RU"/>
        </w:rPr>
        <w:t>21.9</w:t>
      </w:r>
      <w:r w:rsidRPr="00684449">
        <w:rPr>
          <w:sz w:val="20"/>
          <w:szCs w:val="20"/>
          <w:lang w:val="ru-RU"/>
        </w:rPr>
        <w:tab/>
        <w:t>В мае 2014 г. в КГД была создана должность Координатора по вопросам обеспечения бесперебойного функционирования.</w:t>
      </w:r>
      <w:r w:rsidRPr="00684449">
        <w:rPr>
          <w:color w:val="auto"/>
          <w:sz w:val="20"/>
          <w:szCs w:val="20"/>
          <w:lang w:val="ru-RU"/>
        </w:rPr>
        <w:t xml:space="preserve">  Был достигнут значительный прогресс в практической реализации необходимых элементов специальной системы обеспечения организационной устойчивости, в частности был опубликован документ «Политика и стратегия обеспечения устойчивости Организации» и была введена – впервые в истории Организации – Система уведомлений в чрезвычайных ситуациях (</w:t>
      </w:r>
      <w:r w:rsidRPr="009435C7">
        <w:rPr>
          <w:color w:val="auto"/>
          <w:sz w:val="20"/>
          <w:szCs w:val="20"/>
        </w:rPr>
        <w:t>ENS</w:t>
      </w:r>
      <w:r w:rsidRPr="00684449">
        <w:rPr>
          <w:color w:val="auto"/>
          <w:sz w:val="20"/>
          <w:szCs w:val="20"/>
          <w:lang w:val="ru-RU"/>
        </w:rPr>
        <w:t>).  На этом концептуальном основании был проведен анализ воздействия на функционирование в целях выявления приоритетов и ожиданий Организации с точки зрения восстановления в случае сбоя.  Ожидается, что эти элементы станут надежной основой для дальнейшего развития системы в ходе предстоящего двухлетнего периода.</w:t>
      </w:r>
    </w:p>
    <w:p w:rsidR="00684449" w:rsidRPr="00684449" w:rsidRDefault="00684449" w:rsidP="00684449">
      <w:pPr>
        <w:pStyle w:val="Default"/>
        <w:jc w:val="both"/>
        <w:rPr>
          <w:sz w:val="20"/>
          <w:szCs w:val="20"/>
          <w:lang w:val="ru-RU"/>
        </w:rPr>
      </w:pPr>
    </w:p>
    <w:p w:rsidR="00684449" w:rsidRPr="00684449" w:rsidRDefault="00684449" w:rsidP="00684449">
      <w:pPr>
        <w:pStyle w:val="Default"/>
        <w:jc w:val="both"/>
        <w:rPr>
          <w:color w:val="auto"/>
          <w:sz w:val="20"/>
          <w:szCs w:val="20"/>
          <w:lang w:val="ru-RU"/>
        </w:rPr>
      </w:pPr>
      <w:r w:rsidRPr="00684449">
        <w:rPr>
          <w:sz w:val="20"/>
          <w:szCs w:val="20"/>
          <w:lang w:val="ru-RU"/>
        </w:rPr>
        <w:t>21.10</w:t>
      </w:r>
      <w:r w:rsidRPr="00684449">
        <w:rPr>
          <w:sz w:val="20"/>
          <w:szCs w:val="20"/>
          <w:lang w:val="ru-RU"/>
        </w:rPr>
        <w:tab/>
        <w:t>В феврале 2014</w:t>
      </w:r>
      <w:r w:rsidRPr="009435C7">
        <w:rPr>
          <w:sz w:val="20"/>
          <w:szCs w:val="20"/>
        </w:rPr>
        <w:t> </w:t>
      </w:r>
      <w:r w:rsidRPr="00684449">
        <w:rPr>
          <w:sz w:val="20"/>
          <w:szCs w:val="20"/>
          <w:lang w:val="ru-RU"/>
        </w:rPr>
        <w:t>г. после назначения Главы Секции протокола и официальных мероприятий вопросы проведения мероприятий были объединены с протокольными вопросами в целях оптимизации участия государств-членов и других заинтересованных сторон.</w:t>
      </w:r>
      <w:r w:rsidRPr="00684449">
        <w:rPr>
          <w:color w:val="auto"/>
          <w:sz w:val="20"/>
          <w:szCs w:val="20"/>
          <w:lang w:val="ru-RU"/>
        </w:rPr>
        <w:t xml:space="preserve">  В 2014</w:t>
      </w:r>
      <w:r w:rsidRPr="009435C7">
        <w:rPr>
          <w:color w:val="auto"/>
          <w:sz w:val="20"/>
          <w:szCs w:val="20"/>
        </w:rPr>
        <w:t> </w:t>
      </w:r>
      <w:r w:rsidRPr="00684449">
        <w:rPr>
          <w:color w:val="auto"/>
          <w:sz w:val="20"/>
          <w:szCs w:val="20"/>
          <w:lang w:val="ru-RU"/>
        </w:rPr>
        <w:t>г. и 2015</w:t>
      </w:r>
      <w:r w:rsidRPr="009435C7">
        <w:rPr>
          <w:color w:val="auto"/>
          <w:sz w:val="20"/>
          <w:szCs w:val="20"/>
        </w:rPr>
        <w:t> </w:t>
      </w:r>
      <w:r w:rsidRPr="00684449">
        <w:rPr>
          <w:color w:val="auto"/>
          <w:sz w:val="20"/>
          <w:szCs w:val="20"/>
          <w:lang w:val="ru-RU"/>
        </w:rPr>
        <w:t>г. в рамках Генеральных Ассамблей было запрошено и организовано значительно большее число основных и сопутствующих мероприятий, включая открытие нового конференц-зала ВОИС в 2014</w:t>
      </w:r>
      <w:r w:rsidRPr="009435C7">
        <w:rPr>
          <w:color w:val="auto"/>
          <w:sz w:val="20"/>
          <w:szCs w:val="20"/>
        </w:rPr>
        <w:t> </w:t>
      </w:r>
      <w:r w:rsidRPr="00684449">
        <w:rPr>
          <w:color w:val="auto"/>
          <w:sz w:val="20"/>
          <w:szCs w:val="20"/>
          <w:lang w:val="ru-RU"/>
        </w:rPr>
        <w:t>г.  Эти мероприятия получили положительную оценку, что нашло отражение в уровне удовлетворенности делегатов.  Число мероприятий, проведенных ВОИС, включая национальные дни, в 2015</w:t>
      </w:r>
      <w:r w:rsidRPr="009435C7">
        <w:rPr>
          <w:color w:val="auto"/>
          <w:sz w:val="20"/>
          <w:szCs w:val="20"/>
        </w:rPr>
        <w:t> </w:t>
      </w:r>
      <w:r w:rsidRPr="00684449">
        <w:rPr>
          <w:color w:val="auto"/>
          <w:sz w:val="20"/>
          <w:szCs w:val="20"/>
          <w:lang w:val="ru-RU"/>
        </w:rPr>
        <w:t>г. увеличилось, что отражает важную роль территории ВОИС как места встречи государств-членов и других заинтересованных сторон.</w:t>
      </w:r>
    </w:p>
    <w:p w:rsidR="00684449" w:rsidRPr="00684449" w:rsidRDefault="00684449" w:rsidP="00684449">
      <w:pPr>
        <w:pStyle w:val="Default"/>
        <w:jc w:val="both"/>
        <w:rPr>
          <w:sz w:val="20"/>
          <w:szCs w:val="20"/>
          <w:lang w:val="ru-RU"/>
        </w:rPr>
      </w:pPr>
    </w:p>
    <w:p w:rsidR="00684449" w:rsidRPr="00684449" w:rsidRDefault="00684449" w:rsidP="00684449">
      <w:pPr>
        <w:jc w:val="both"/>
        <w:rPr>
          <w:szCs w:val="20"/>
          <w:lang w:val="ru-RU"/>
        </w:rPr>
      </w:pPr>
      <w:r w:rsidRPr="00684449">
        <w:rPr>
          <w:szCs w:val="20"/>
          <w:lang w:val="ru-RU"/>
        </w:rPr>
        <w:t>21.11</w:t>
      </w:r>
      <w:r w:rsidRPr="00684449">
        <w:rPr>
          <w:szCs w:val="20"/>
          <w:lang w:val="ru-RU"/>
        </w:rPr>
        <w:tab/>
        <w:t>Эта программа, включая работу КГД, продолжала играть ключевую роль в обеспечении стратегического руководства и надзора в целях содействия учету и выполнению Повестки дня в области развития всеми соответствующими секторами ВОИС.</w:t>
      </w:r>
    </w:p>
    <w:p w:rsidR="00684449" w:rsidRPr="00684449" w:rsidRDefault="00684449" w:rsidP="00684449">
      <w:pPr>
        <w:rPr>
          <w:rFonts w:eastAsia="SimSun" w:cs="Arial"/>
          <w:sz w:val="22"/>
          <w:lang w:val="ru-RU"/>
        </w:rPr>
      </w:pPr>
    </w:p>
    <w:p w:rsidR="00684449" w:rsidRPr="00684449" w:rsidRDefault="00684449" w:rsidP="00684449">
      <w:pPr>
        <w:rPr>
          <w:rFonts w:eastAsia="SimSun" w:cs="Arial"/>
          <w:sz w:val="22"/>
          <w:lang w:val="ru-RU"/>
        </w:rPr>
      </w:pPr>
    </w:p>
    <w:p w:rsidR="00684449" w:rsidRPr="00684449" w:rsidRDefault="00684449" w:rsidP="00684449">
      <w:pPr>
        <w:keepNext/>
        <w:keepLines/>
        <w:rPr>
          <w:rFonts w:eastAsia="SimSun" w:cs="Arial"/>
          <w:iCs/>
          <w:szCs w:val="20"/>
          <w:lang w:val="ru-RU"/>
        </w:rPr>
      </w:pPr>
      <w:r w:rsidRPr="00684449">
        <w:rPr>
          <w:lang w:val="ru-RU"/>
        </w:rPr>
        <w:t>ДАННЫЕ О РЕЗУЛЬТАТИВНОСТИ</w:t>
      </w:r>
    </w:p>
    <w:p w:rsidR="00684449" w:rsidRPr="00684449" w:rsidRDefault="00684449" w:rsidP="00684449">
      <w:pPr>
        <w:keepNext/>
        <w:keepLines/>
        <w:rPr>
          <w:rFonts w:cs="Arial"/>
          <w:color w:val="000000"/>
          <w:sz w:val="22"/>
          <w:szCs w:val="22"/>
          <w:lang w:val="ru-RU"/>
        </w:rPr>
      </w:pPr>
    </w:p>
    <w:tbl>
      <w:tblPr>
        <w:tblW w:w="5059"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255"/>
        <w:gridCol w:w="2897"/>
        <w:gridCol w:w="1150"/>
        <w:gridCol w:w="103"/>
        <w:gridCol w:w="2299"/>
        <w:gridCol w:w="980"/>
      </w:tblGrid>
      <w:tr w:rsidR="00684449" w:rsidRPr="005C6ABD" w:rsidTr="00955E75">
        <w:trPr>
          <w:trHeight w:val="488"/>
        </w:trPr>
        <w:tc>
          <w:tcPr>
            <w:tcW w:w="5000" w:type="pct"/>
            <w:gridSpan w:val="6"/>
            <w:tcBorders>
              <w:top w:val="single" w:sz="4" w:space="0" w:color="auto"/>
              <w:bottom w:val="single" w:sz="4" w:space="0" w:color="auto"/>
            </w:tcBorders>
            <w:shd w:val="clear" w:color="auto" w:fill="C6D9F1" w:themeFill="text2" w:themeFillTint="33"/>
            <w:vAlign w:val="center"/>
          </w:tcPr>
          <w:p w:rsidR="00684449" w:rsidRPr="00684449" w:rsidRDefault="00684449" w:rsidP="00D340AF">
            <w:pPr>
              <w:keepNext/>
              <w:keepLines/>
              <w:tabs>
                <w:tab w:val="left" w:pos="2302"/>
              </w:tabs>
              <w:ind w:left="2302" w:hanging="2302"/>
              <w:rPr>
                <w:rFonts w:eastAsia="SimSun" w:cs="Arial"/>
                <w:b/>
                <w:bCs/>
                <w:sz w:val="16"/>
                <w:szCs w:val="16"/>
                <w:lang w:val="ru-RU"/>
              </w:rPr>
            </w:pPr>
            <w:r w:rsidRPr="00684449">
              <w:rPr>
                <w:rFonts w:cs="Arial"/>
                <w:b/>
                <w:sz w:val="16"/>
                <w:szCs w:val="16"/>
                <w:lang w:val="ru-RU"/>
              </w:rPr>
              <w:t xml:space="preserve">Ожидаемый результат: </w:t>
            </w:r>
            <w:r w:rsidRPr="00684449">
              <w:rPr>
                <w:rFonts w:cs="Arial"/>
                <w:sz w:val="16"/>
                <w:szCs w:val="16"/>
                <w:lang w:val="ru-RU"/>
              </w:rPr>
              <w:tab/>
            </w:r>
            <w:r w:rsidRPr="00D327E2">
              <w:rPr>
                <w:rFonts w:cs="Arial"/>
                <w:color w:val="000000"/>
                <w:sz w:val="16"/>
                <w:szCs w:val="16"/>
              </w:rPr>
              <w:t>IV</w:t>
            </w:r>
            <w:r w:rsidRPr="00684449">
              <w:rPr>
                <w:rFonts w:cs="Arial"/>
                <w:color w:val="000000"/>
                <w:sz w:val="16"/>
                <w:szCs w:val="16"/>
                <w:lang w:val="ru-RU"/>
              </w:rPr>
              <w:t xml:space="preserve">.2 Расширение доступа и использования информации в области ИС учреждениями </w:t>
            </w:r>
            <w:r w:rsidR="00D340AF">
              <w:rPr>
                <w:rFonts w:cs="Arial"/>
                <w:color w:val="000000"/>
                <w:sz w:val="16"/>
                <w:szCs w:val="16"/>
                <w:lang w:val="ru-RU"/>
              </w:rPr>
              <w:t xml:space="preserve">ИС и </w:t>
            </w:r>
            <w:r w:rsidRPr="00684449">
              <w:rPr>
                <w:rFonts w:cs="Arial"/>
                <w:color w:val="000000"/>
                <w:sz w:val="16"/>
                <w:szCs w:val="16"/>
                <w:lang w:val="ru-RU"/>
              </w:rPr>
              <w:t>общественностью для содействия инновациям и творчеству</w:t>
            </w:r>
          </w:p>
        </w:tc>
      </w:tr>
      <w:tr w:rsidR="00684449" w:rsidRPr="00D327E2" w:rsidTr="00955E75">
        <w:tc>
          <w:tcPr>
            <w:tcW w:w="1164" w:type="pct"/>
            <w:tcBorders>
              <w:top w:val="single" w:sz="4" w:space="0" w:color="auto"/>
            </w:tcBorders>
            <w:shd w:val="clear" w:color="auto" w:fill="auto"/>
            <w:vAlign w:val="center"/>
          </w:tcPr>
          <w:p w:rsidR="00684449" w:rsidRPr="00D327E2" w:rsidRDefault="00684449" w:rsidP="00955E75">
            <w:pPr>
              <w:rPr>
                <w:rFonts w:eastAsia="SimSun" w:cs="Arial"/>
                <w:sz w:val="16"/>
                <w:szCs w:val="16"/>
              </w:rPr>
            </w:pPr>
            <w:r w:rsidRPr="00D327E2">
              <w:rPr>
                <w:rFonts w:cs="Arial"/>
                <w:b/>
                <w:sz w:val="16"/>
                <w:szCs w:val="16"/>
              </w:rPr>
              <w:t>Показатели результативности</w:t>
            </w:r>
          </w:p>
        </w:tc>
        <w:tc>
          <w:tcPr>
            <w:tcW w:w="1496" w:type="pct"/>
            <w:tcBorders>
              <w:top w:val="single" w:sz="4" w:space="0" w:color="auto"/>
            </w:tcBorders>
            <w:shd w:val="clear" w:color="auto" w:fill="auto"/>
            <w:vAlign w:val="center"/>
          </w:tcPr>
          <w:p w:rsidR="00684449" w:rsidRPr="00D327E2" w:rsidRDefault="00684449" w:rsidP="00955E75">
            <w:pPr>
              <w:rPr>
                <w:rFonts w:eastAsia="SimSun" w:cs="Arial"/>
                <w:b/>
                <w:bCs/>
                <w:sz w:val="16"/>
                <w:szCs w:val="16"/>
              </w:rPr>
            </w:pPr>
            <w:r w:rsidRPr="00D327E2">
              <w:rPr>
                <w:rFonts w:cs="Arial"/>
                <w:b/>
                <w:sz w:val="16"/>
                <w:szCs w:val="16"/>
              </w:rPr>
              <w:t>Базовые показатели</w:t>
            </w:r>
          </w:p>
        </w:tc>
        <w:tc>
          <w:tcPr>
            <w:tcW w:w="594" w:type="pct"/>
            <w:tcBorders>
              <w:top w:val="single" w:sz="4" w:space="0" w:color="auto"/>
            </w:tcBorders>
            <w:shd w:val="clear" w:color="auto" w:fill="auto"/>
            <w:tcMar>
              <w:top w:w="110" w:type="dxa"/>
            </w:tcMar>
            <w:vAlign w:val="center"/>
          </w:tcPr>
          <w:p w:rsidR="00684449" w:rsidRPr="00D327E2" w:rsidRDefault="00684449" w:rsidP="00955E75">
            <w:pPr>
              <w:rPr>
                <w:rFonts w:eastAsia="SimSun" w:cs="Arial"/>
                <w:b/>
                <w:sz w:val="16"/>
                <w:szCs w:val="16"/>
              </w:rPr>
            </w:pPr>
            <w:r w:rsidRPr="00D327E2">
              <w:rPr>
                <w:rFonts w:cs="Arial"/>
                <w:b/>
                <w:sz w:val="16"/>
                <w:szCs w:val="16"/>
              </w:rPr>
              <w:t>Целевые показатели</w:t>
            </w:r>
          </w:p>
        </w:tc>
        <w:tc>
          <w:tcPr>
            <w:tcW w:w="1240" w:type="pct"/>
            <w:gridSpan w:val="2"/>
            <w:tcBorders>
              <w:top w:val="single" w:sz="4" w:space="0" w:color="auto"/>
            </w:tcBorders>
            <w:shd w:val="clear" w:color="auto" w:fill="FFFFFF"/>
            <w:tcMar>
              <w:top w:w="110" w:type="dxa"/>
            </w:tcMar>
            <w:vAlign w:val="center"/>
          </w:tcPr>
          <w:p w:rsidR="00684449" w:rsidRPr="00D327E2" w:rsidRDefault="00684449" w:rsidP="00955E75">
            <w:pPr>
              <w:rPr>
                <w:rFonts w:eastAsia="SimSun" w:cs="Arial"/>
                <w:sz w:val="16"/>
                <w:szCs w:val="16"/>
              </w:rPr>
            </w:pPr>
            <w:r w:rsidRPr="00D327E2">
              <w:rPr>
                <w:rFonts w:cs="Arial"/>
                <w:b/>
                <w:sz w:val="16"/>
                <w:szCs w:val="16"/>
              </w:rPr>
              <w:t>Данные о результативности</w:t>
            </w:r>
          </w:p>
        </w:tc>
        <w:tc>
          <w:tcPr>
            <w:tcW w:w="506" w:type="pct"/>
            <w:tcBorders>
              <w:top w:val="single" w:sz="4" w:space="0" w:color="auto"/>
            </w:tcBorders>
            <w:shd w:val="clear" w:color="auto" w:fill="auto"/>
            <w:tcMar>
              <w:top w:w="110" w:type="dxa"/>
            </w:tcMar>
            <w:vAlign w:val="center"/>
          </w:tcPr>
          <w:p w:rsidR="00684449" w:rsidRPr="00D327E2" w:rsidRDefault="00684449" w:rsidP="00955E75">
            <w:pPr>
              <w:keepNext/>
              <w:keepLines/>
              <w:jc w:val="center"/>
              <w:rPr>
                <w:rFonts w:eastAsia="SimSun" w:cs="Arial"/>
                <w:b/>
                <w:bCs/>
                <w:sz w:val="16"/>
                <w:szCs w:val="16"/>
              </w:rPr>
            </w:pPr>
            <w:r w:rsidRPr="00D327E2">
              <w:rPr>
                <w:rFonts w:cs="Arial"/>
                <w:b/>
                <w:sz w:val="16"/>
                <w:szCs w:val="16"/>
              </w:rPr>
              <w:t>CC</w:t>
            </w:r>
          </w:p>
        </w:tc>
      </w:tr>
      <w:tr w:rsidR="00684449" w:rsidRPr="00D327E2" w:rsidTr="00955E75">
        <w:tc>
          <w:tcPr>
            <w:tcW w:w="1164" w:type="pct"/>
            <w:shd w:val="clear" w:color="auto" w:fill="auto"/>
          </w:tcPr>
          <w:p w:rsidR="00684449" w:rsidRPr="00684449" w:rsidRDefault="00684449" w:rsidP="00955E75">
            <w:pPr>
              <w:rPr>
                <w:rFonts w:eastAsia="SimSun" w:cs="Arial"/>
                <w:color w:val="000000"/>
                <w:sz w:val="16"/>
                <w:szCs w:val="16"/>
                <w:lang w:val="ru-RU"/>
              </w:rPr>
            </w:pPr>
            <w:r w:rsidRPr="00684449">
              <w:rPr>
                <w:rFonts w:cs="Arial"/>
                <w:color w:val="000000"/>
                <w:sz w:val="16"/>
                <w:szCs w:val="16"/>
                <w:lang w:val="ru-RU"/>
              </w:rPr>
              <w:t xml:space="preserve">Рост числа пользователей </w:t>
            </w:r>
            <w:r w:rsidRPr="00D327E2">
              <w:rPr>
                <w:rFonts w:cs="Arial"/>
                <w:color w:val="000000"/>
                <w:sz w:val="16"/>
                <w:szCs w:val="16"/>
              </w:rPr>
              <w:t>WIPO</w:t>
            </w:r>
            <w:r w:rsidRPr="00684449">
              <w:rPr>
                <w:rFonts w:cs="Arial"/>
                <w:color w:val="000000"/>
                <w:sz w:val="16"/>
                <w:szCs w:val="16"/>
                <w:lang w:val="ru-RU"/>
              </w:rPr>
              <w:t xml:space="preserve"> </w:t>
            </w:r>
            <w:r w:rsidRPr="00D327E2">
              <w:rPr>
                <w:rFonts w:cs="Arial"/>
                <w:color w:val="000000"/>
                <w:sz w:val="16"/>
                <w:szCs w:val="16"/>
              </w:rPr>
              <w:t>Lex</w:t>
            </w:r>
          </w:p>
        </w:tc>
        <w:tc>
          <w:tcPr>
            <w:tcW w:w="1496" w:type="pct"/>
            <w:shd w:val="clear" w:color="auto" w:fill="auto"/>
          </w:tcPr>
          <w:p w:rsidR="00684449" w:rsidRPr="00684449" w:rsidRDefault="00684449" w:rsidP="00955E75">
            <w:pPr>
              <w:rPr>
                <w:rFonts w:eastAsiaTheme="minorHAnsi" w:cs="Arial"/>
                <w:i/>
                <w:color w:val="002060"/>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color w:val="002060"/>
                <w:sz w:val="16"/>
                <w:szCs w:val="16"/>
                <w:lang w:val="ru-RU"/>
              </w:rPr>
              <w:t>всего 2</w:t>
            </w:r>
            <w:r w:rsidRPr="00D327E2">
              <w:rPr>
                <w:rFonts w:cs="Arial"/>
                <w:color w:val="002060"/>
                <w:sz w:val="16"/>
                <w:szCs w:val="16"/>
              </w:rPr>
              <w:t> </w:t>
            </w:r>
            <w:r w:rsidRPr="00684449">
              <w:rPr>
                <w:rFonts w:cs="Arial"/>
                <w:color w:val="002060"/>
                <w:sz w:val="16"/>
                <w:szCs w:val="16"/>
                <w:lang w:val="ru-RU"/>
              </w:rPr>
              <w:t>236</w:t>
            </w:r>
            <w:r w:rsidRPr="00D327E2">
              <w:rPr>
                <w:rFonts w:cs="Arial"/>
                <w:color w:val="002060"/>
                <w:sz w:val="16"/>
                <w:szCs w:val="16"/>
              </w:rPr>
              <w:t> </w:t>
            </w:r>
            <w:r w:rsidRPr="00684449">
              <w:rPr>
                <w:rFonts w:cs="Arial"/>
                <w:color w:val="002060"/>
                <w:sz w:val="16"/>
                <w:szCs w:val="16"/>
                <w:lang w:val="ru-RU"/>
              </w:rPr>
              <w:t>486 пользователей в 2012–2013</w:t>
            </w:r>
            <w:r w:rsidRPr="00D327E2">
              <w:rPr>
                <w:rFonts w:cs="Arial"/>
                <w:color w:val="002060"/>
                <w:sz w:val="16"/>
                <w:szCs w:val="16"/>
              </w:rPr>
              <w:t> </w:t>
            </w:r>
            <w:r w:rsidRPr="00684449">
              <w:rPr>
                <w:rFonts w:cs="Arial"/>
                <w:color w:val="002060"/>
                <w:sz w:val="16"/>
                <w:szCs w:val="16"/>
                <w:lang w:val="ru-RU"/>
              </w:rPr>
              <w:t>гг. (1</w:t>
            </w:r>
            <w:r w:rsidRPr="00D327E2">
              <w:rPr>
                <w:rFonts w:cs="Arial"/>
                <w:color w:val="002060"/>
                <w:sz w:val="16"/>
                <w:szCs w:val="16"/>
              </w:rPr>
              <w:t> </w:t>
            </w:r>
            <w:r w:rsidRPr="00684449">
              <w:rPr>
                <w:rFonts w:cs="Arial"/>
                <w:color w:val="002060"/>
                <w:sz w:val="16"/>
                <w:szCs w:val="16"/>
                <w:lang w:val="ru-RU"/>
              </w:rPr>
              <w:t>461</w:t>
            </w:r>
            <w:r w:rsidRPr="00D327E2">
              <w:rPr>
                <w:rFonts w:cs="Arial"/>
                <w:color w:val="002060"/>
                <w:sz w:val="16"/>
                <w:szCs w:val="16"/>
              </w:rPr>
              <w:t> </w:t>
            </w:r>
            <w:r w:rsidRPr="00684449">
              <w:rPr>
                <w:rFonts w:cs="Arial"/>
                <w:color w:val="002060"/>
                <w:sz w:val="16"/>
                <w:szCs w:val="16"/>
                <w:lang w:val="ru-RU"/>
              </w:rPr>
              <w:t>841 в 2013</w:t>
            </w:r>
            <w:r w:rsidRPr="00D327E2">
              <w:rPr>
                <w:rFonts w:cs="Arial"/>
                <w:color w:val="002060"/>
                <w:sz w:val="16"/>
                <w:szCs w:val="16"/>
              </w:rPr>
              <w:t> </w:t>
            </w:r>
            <w:r w:rsidRPr="00684449">
              <w:rPr>
                <w:rFonts w:cs="Arial"/>
                <w:color w:val="002060"/>
                <w:sz w:val="16"/>
                <w:szCs w:val="16"/>
                <w:lang w:val="ru-RU"/>
              </w:rPr>
              <w:t>г.; 774</w:t>
            </w:r>
            <w:r w:rsidRPr="00D327E2">
              <w:rPr>
                <w:rFonts w:cs="Arial"/>
                <w:color w:val="002060"/>
                <w:sz w:val="16"/>
                <w:szCs w:val="16"/>
              </w:rPr>
              <w:t> </w:t>
            </w:r>
            <w:r w:rsidRPr="00684449">
              <w:rPr>
                <w:rFonts w:cs="Arial"/>
                <w:color w:val="002060"/>
                <w:sz w:val="16"/>
                <w:szCs w:val="16"/>
                <w:lang w:val="ru-RU"/>
              </w:rPr>
              <w:t>645 в 2012</w:t>
            </w:r>
            <w:r w:rsidRPr="00D327E2">
              <w:rPr>
                <w:rFonts w:cs="Arial"/>
                <w:color w:val="002060"/>
                <w:sz w:val="16"/>
                <w:szCs w:val="16"/>
              </w:rPr>
              <w:t> </w:t>
            </w:r>
            <w:r w:rsidRPr="00684449">
              <w:rPr>
                <w:rFonts w:cs="Arial"/>
                <w:color w:val="002060"/>
                <w:sz w:val="16"/>
                <w:szCs w:val="16"/>
                <w:lang w:val="ru-RU"/>
              </w:rPr>
              <w:t>г.)</w:t>
            </w:r>
          </w:p>
          <w:p w:rsidR="00684449" w:rsidRPr="00684449" w:rsidRDefault="00684449" w:rsidP="00955E75">
            <w:pPr>
              <w:rPr>
                <w:rFonts w:cs="Arial"/>
                <w:i/>
                <w:color w:val="002060"/>
                <w:sz w:val="16"/>
                <w:szCs w:val="16"/>
                <w:lang w:val="ru-RU"/>
              </w:rPr>
            </w:pPr>
          </w:p>
          <w:p w:rsidR="00684449" w:rsidRPr="00684449" w:rsidRDefault="00684449" w:rsidP="00955E75">
            <w:pPr>
              <w:rPr>
                <w:rFonts w:cs="Arial"/>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1</w:t>
            </w:r>
            <w:r w:rsidRPr="00D327E2">
              <w:rPr>
                <w:rFonts w:cs="Arial"/>
                <w:sz w:val="16"/>
                <w:szCs w:val="16"/>
              </w:rPr>
              <w:t> </w:t>
            </w:r>
            <w:r w:rsidRPr="00684449">
              <w:rPr>
                <w:rFonts w:cs="Arial"/>
                <w:sz w:val="16"/>
                <w:szCs w:val="16"/>
                <w:lang w:val="ru-RU"/>
              </w:rPr>
              <w:t>123</w:t>
            </w:r>
            <w:r w:rsidRPr="00D327E2">
              <w:rPr>
                <w:rFonts w:cs="Arial"/>
                <w:sz w:val="16"/>
                <w:szCs w:val="16"/>
              </w:rPr>
              <w:t> </w:t>
            </w:r>
            <w:r w:rsidRPr="00684449">
              <w:rPr>
                <w:rFonts w:cs="Arial"/>
                <w:sz w:val="16"/>
                <w:szCs w:val="16"/>
                <w:lang w:val="ru-RU"/>
              </w:rPr>
              <w:t>930</w:t>
            </w:r>
            <w:r w:rsidRPr="00D327E2">
              <w:rPr>
                <w:rStyle w:val="FootnoteReference"/>
                <w:rFonts w:cs="Arial"/>
                <w:sz w:val="16"/>
                <w:szCs w:val="16"/>
              </w:rPr>
              <w:footnoteReference w:id="121"/>
            </w:r>
          </w:p>
          <w:p w:rsidR="00684449" w:rsidRPr="00684449" w:rsidRDefault="00684449" w:rsidP="00955E75">
            <w:pPr>
              <w:rPr>
                <w:rFonts w:eastAsia="SimSun" w:cs="Arial"/>
                <w:color w:val="000000"/>
                <w:sz w:val="16"/>
                <w:szCs w:val="16"/>
                <w:lang w:val="ru-RU"/>
              </w:rPr>
            </w:pPr>
          </w:p>
        </w:tc>
        <w:tc>
          <w:tcPr>
            <w:tcW w:w="594" w:type="pct"/>
            <w:shd w:val="clear" w:color="auto" w:fill="auto"/>
            <w:tcMar>
              <w:top w:w="110" w:type="dxa"/>
            </w:tcMar>
          </w:tcPr>
          <w:p w:rsidR="00684449" w:rsidRPr="00D327E2" w:rsidRDefault="00684449" w:rsidP="00955E75">
            <w:pPr>
              <w:rPr>
                <w:rFonts w:eastAsia="SimSun" w:cs="Arial"/>
                <w:sz w:val="16"/>
                <w:szCs w:val="16"/>
              </w:rPr>
            </w:pPr>
            <w:r w:rsidRPr="00D327E2">
              <w:rPr>
                <w:rFonts w:cs="Arial"/>
                <w:sz w:val="16"/>
                <w:szCs w:val="16"/>
              </w:rPr>
              <w:t>20%</w:t>
            </w:r>
          </w:p>
          <w:p w:rsidR="00684449" w:rsidRPr="00D327E2" w:rsidRDefault="00684449" w:rsidP="00955E75">
            <w:pPr>
              <w:rPr>
                <w:rFonts w:eastAsia="SimSun" w:cs="Arial"/>
                <w:sz w:val="16"/>
                <w:szCs w:val="16"/>
              </w:rPr>
            </w:pPr>
          </w:p>
        </w:tc>
        <w:tc>
          <w:tcPr>
            <w:tcW w:w="1240" w:type="pct"/>
            <w:gridSpan w:val="2"/>
            <w:shd w:val="clear" w:color="auto" w:fill="FFFFFF"/>
            <w:tcMar>
              <w:top w:w="110" w:type="dxa"/>
            </w:tcMar>
          </w:tcPr>
          <w:p w:rsidR="00684449" w:rsidRPr="00684449" w:rsidRDefault="00684449" w:rsidP="00955E75">
            <w:pPr>
              <w:rPr>
                <w:rFonts w:cs="Arial"/>
                <w:sz w:val="16"/>
                <w:szCs w:val="16"/>
                <w:lang w:val="ru-RU"/>
              </w:rPr>
            </w:pPr>
            <w:r w:rsidRPr="00684449">
              <w:rPr>
                <w:rFonts w:cs="Arial"/>
                <w:sz w:val="16"/>
                <w:szCs w:val="16"/>
                <w:lang w:val="ru-RU"/>
              </w:rPr>
              <w:t>Всего 3</w:t>
            </w:r>
            <w:r w:rsidRPr="00D327E2">
              <w:rPr>
                <w:rFonts w:cs="Arial"/>
                <w:sz w:val="16"/>
                <w:szCs w:val="16"/>
              </w:rPr>
              <w:t> </w:t>
            </w:r>
            <w:r w:rsidRPr="00684449">
              <w:rPr>
                <w:rFonts w:cs="Arial"/>
                <w:sz w:val="16"/>
                <w:szCs w:val="16"/>
                <w:lang w:val="ru-RU"/>
              </w:rPr>
              <w:t>350</w:t>
            </w:r>
            <w:r w:rsidRPr="00D327E2">
              <w:rPr>
                <w:rFonts w:cs="Arial"/>
                <w:sz w:val="16"/>
                <w:szCs w:val="16"/>
              </w:rPr>
              <w:t> </w:t>
            </w:r>
            <w:r w:rsidRPr="00684449">
              <w:rPr>
                <w:rFonts w:cs="Arial"/>
                <w:sz w:val="16"/>
                <w:szCs w:val="16"/>
                <w:lang w:val="ru-RU"/>
              </w:rPr>
              <w:t>643 пользователей 2014–2015</w:t>
            </w:r>
            <w:r w:rsidRPr="00D327E2">
              <w:rPr>
                <w:rFonts w:cs="Arial"/>
                <w:sz w:val="16"/>
                <w:szCs w:val="16"/>
              </w:rPr>
              <w:t> </w:t>
            </w:r>
            <w:r w:rsidRPr="00684449">
              <w:rPr>
                <w:rFonts w:cs="Arial"/>
                <w:sz w:val="16"/>
                <w:szCs w:val="16"/>
                <w:lang w:val="ru-RU"/>
              </w:rPr>
              <w:t>гг. (рост на 49,8% в течение в 2012–2013</w:t>
            </w:r>
            <w:r w:rsidRPr="00D327E2">
              <w:rPr>
                <w:rFonts w:cs="Arial"/>
                <w:sz w:val="16"/>
                <w:szCs w:val="16"/>
              </w:rPr>
              <w:t> </w:t>
            </w:r>
            <w:r w:rsidRPr="00684449">
              <w:rPr>
                <w:rFonts w:cs="Arial"/>
                <w:sz w:val="16"/>
                <w:szCs w:val="16"/>
                <w:lang w:val="ru-RU"/>
              </w:rPr>
              <w:t>гг.)</w:t>
            </w:r>
          </w:p>
          <w:p w:rsidR="00684449" w:rsidRPr="00D327E2" w:rsidRDefault="00684449" w:rsidP="00684449">
            <w:pPr>
              <w:pStyle w:val="ListParagraph"/>
              <w:numPr>
                <w:ilvl w:val="0"/>
                <w:numId w:val="32"/>
              </w:numPr>
              <w:contextualSpacing/>
              <w:rPr>
                <w:rFonts w:eastAsia="SimSun" w:cs="Arial"/>
                <w:sz w:val="16"/>
                <w:szCs w:val="16"/>
              </w:rPr>
            </w:pPr>
            <w:r w:rsidRPr="00D327E2">
              <w:rPr>
                <w:rFonts w:cs="Arial"/>
                <w:sz w:val="16"/>
                <w:szCs w:val="16"/>
              </w:rPr>
              <w:t>1 506 508 (2014 г.)</w:t>
            </w:r>
          </w:p>
          <w:p w:rsidR="00684449" w:rsidRPr="00D327E2" w:rsidRDefault="00684449" w:rsidP="00684449">
            <w:pPr>
              <w:pStyle w:val="ListParagraph"/>
              <w:numPr>
                <w:ilvl w:val="0"/>
                <w:numId w:val="32"/>
              </w:numPr>
              <w:contextualSpacing/>
              <w:rPr>
                <w:rFonts w:eastAsia="SimSun" w:cs="Arial"/>
                <w:sz w:val="16"/>
                <w:szCs w:val="16"/>
              </w:rPr>
            </w:pPr>
            <w:r w:rsidRPr="00D327E2">
              <w:rPr>
                <w:rFonts w:cs="Arial"/>
                <w:sz w:val="16"/>
                <w:szCs w:val="16"/>
              </w:rPr>
              <w:t xml:space="preserve">1 844 135 (2015 г.) </w:t>
            </w:r>
          </w:p>
          <w:p w:rsidR="00684449" w:rsidRPr="00D327E2" w:rsidRDefault="00684449" w:rsidP="00955E75">
            <w:pPr>
              <w:rPr>
                <w:rFonts w:eastAsia="SimSun" w:cs="Arial"/>
                <w:sz w:val="16"/>
                <w:szCs w:val="16"/>
              </w:rPr>
            </w:pPr>
          </w:p>
        </w:tc>
        <w:tc>
          <w:tcPr>
            <w:tcW w:w="506" w:type="pct"/>
            <w:shd w:val="clear" w:color="auto" w:fill="auto"/>
            <w:tcMar>
              <w:top w:w="110" w:type="dxa"/>
            </w:tcMar>
          </w:tcPr>
          <w:p w:rsidR="00684449" w:rsidRPr="00D327E2" w:rsidRDefault="00684449" w:rsidP="00955E75">
            <w:pPr>
              <w:keepNext/>
              <w:keepLines/>
              <w:jc w:val="center"/>
              <w:rPr>
                <w:rFonts w:eastAsia="SimSun" w:cs="Arial"/>
                <w:b/>
                <w:bCs/>
                <w:color w:val="808080"/>
                <w:sz w:val="16"/>
                <w:szCs w:val="16"/>
              </w:rPr>
            </w:pPr>
            <w:r w:rsidRPr="00D327E2">
              <w:rPr>
                <w:rFonts w:cs="Arial"/>
                <w:b/>
                <w:color w:val="00B050"/>
                <w:sz w:val="16"/>
                <w:szCs w:val="16"/>
              </w:rPr>
              <w:t>Выполнено</w:t>
            </w:r>
          </w:p>
        </w:tc>
      </w:tr>
      <w:tr w:rsidR="00684449" w:rsidRPr="005C6ABD" w:rsidTr="00955E75">
        <w:trPr>
          <w:trHeight w:val="396"/>
        </w:trPr>
        <w:tc>
          <w:tcPr>
            <w:tcW w:w="5000" w:type="pct"/>
            <w:gridSpan w:val="6"/>
            <w:tcBorders>
              <w:top w:val="single" w:sz="4" w:space="0" w:color="auto"/>
              <w:bottom w:val="single" w:sz="4" w:space="0" w:color="auto"/>
            </w:tcBorders>
            <w:shd w:val="clear" w:color="auto" w:fill="C6D9F1" w:themeFill="text2" w:themeFillTint="33"/>
            <w:vAlign w:val="center"/>
          </w:tcPr>
          <w:p w:rsidR="00684449" w:rsidRPr="00684449" w:rsidRDefault="00684449" w:rsidP="00955E75">
            <w:pPr>
              <w:rPr>
                <w:rFonts w:eastAsia="SimSun" w:cs="Arial"/>
                <w:b/>
                <w:bCs/>
                <w:sz w:val="16"/>
                <w:szCs w:val="16"/>
                <w:lang w:val="ru-RU"/>
              </w:rPr>
            </w:pPr>
            <w:r w:rsidRPr="00684449">
              <w:rPr>
                <w:rFonts w:cs="Arial"/>
                <w:b/>
                <w:sz w:val="16"/>
                <w:szCs w:val="16"/>
                <w:lang w:val="ru-RU"/>
              </w:rPr>
              <w:t xml:space="preserve">Ожидаемый результат: </w:t>
            </w:r>
            <w:r w:rsidRPr="00684449">
              <w:rPr>
                <w:rFonts w:cs="Arial"/>
                <w:sz w:val="16"/>
                <w:szCs w:val="16"/>
                <w:lang w:val="ru-RU"/>
              </w:rPr>
              <w:tab/>
            </w:r>
            <w:r w:rsidRPr="00D327E2">
              <w:rPr>
                <w:rFonts w:cs="Arial"/>
                <w:sz w:val="16"/>
                <w:szCs w:val="16"/>
              </w:rPr>
              <w:t>VIII</w:t>
            </w:r>
            <w:r w:rsidRPr="00684449">
              <w:rPr>
                <w:rFonts w:cs="Arial"/>
                <w:sz w:val="16"/>
                <w:szCs w:val="16"/>
                <w:lang w:val="ru-RU"/>
              </w:rPr>
              <w:t>.3</w:t>
            </w:r>
            <w:r w:rsidRPr="00684449">
              <w:rPr>
                <w:rFonts w:cs="Arial"/>
                <w:sz w:val="16"/>
                <w:szCs w:val="16"/>
                <w:lang w:val="ru-RU"/>
              </w:rPr>
              <w:tab/>
              <w:t>Эффективное взаимодействие с государствами-членами</w:t>
            </w:r>
          </w:p>
        </w:tc>
      </w:tr>
      <w:tr w:rsidR="00684449" w:rsidRPr="00D327E2" w:rsidTr="00955E75">
        <w:tc>
          <w:tcPr>
            <w:tcW w:w="1164" w:type="pct"/>
            <w:tcBorders>
              <w:top w:val="single" w:sz="4" w:space="0" w:color="auto"/>
              <w:left w:val="single" w:sz="4" w:space="0" w:color="auto"/>
              <w:bottom w:val="nil"/>
            </w:tcBorders>
            <w:shd w:val="clear" w:color="auto" w:fill="auto"/>
            <w:vAlign w:val="center"/>
          </w:tcPr>
          <w:p w:rsidR="00684449" w:rsidRPr="00D327E2" w:rsidRDefault="00684449" w:rsidP="00955E75">
            <w:pPr>
              <w:rPr>
                <w:rFonts w:eastAsia="SimSun" w:cs="Arial"/>
                <w:b/>
                <w:sz w:val="16"/>
                <w:szCs w:val="16"/>
              </w:rPr>
            </w:pPr>
            <w:r w:rsidRPr="00D327E2">
              <w:rPr>
                <w:rFonts w:cs="Arial"/>
                <w:b/>
                <w:sz w:val="16"/>
                <w:szCs w:val="16"/>
              </w:rPr>
              <w:t>Показатели результативности</w:t>
            </w:r>
          </w:p>
        </w:tc>
        <w:tc>
          <w:tcPr>
            <w:tcW w:w="1496" w:type="pct"/>
            <w:tcBorders>
              <w:top w:val="single" w:sz="4" w:space="0" w:color="auto"/>
              <w:bottom w:val="nil"/>
            </w:tcBorders>
            <w:shd w:val="clear" w:color="auto" w:fill="auto"/>
            <w:vAlign w:val="center"/>
          </w:tcPr>
          <w:p w:rsidR="00684449" w:rsidRPr="00D327E2" w:rsidRDefault="00684449" w:rsidP="00955E75">
            <w:pPr>
              <w:keepNext/>
              <w:keepLines/>
              <w:rPr>
                <w:rFonts w:eastAsia="SimSun" w:cs="Arial"/>
                <w:b/>
                <w:bCs/>
                <w:sz w:val="16"/>
                <w:szCs w:val="16"/>
              </w:rPr>
            </w:pPr>
            <w:r w:rsidRPr="00D327E2">
              <w:rPr>
                <w:rFonts w:cs="Arial"/>
                <w:b/>
                <w:sz w:val="16"/>
                <w:szCs w:val="16"/>
              </w:rPr>
              <w:t>Базовые показатели</w:t>
            </w:r>
          </w:p>
        </w:tc>
        <w:tc>
          <w:tcPr>
            <w:tcW w:w="647" w:type="pct"/>
            <w:gridSpan w:val="2"/>
            <w:tcBorders>
              <w:top w:val="single" w:sz="4" w:space="0" w:color="auto"/>
              <w:bottom w:val="nil"/>
            </w:tcBorders>
            <w:shd w:val="clear" w:color="auto" w:fill="auto"/>
            <w:tcMar>
              <w:top w:w="110" w:type="dxa"/>
            </w:tcMar>
            <w:vAlign w:val="center"/>
          </w:tcPr>
          <w:p w:rsidR="00684449" w:rsidRPr="00D327E2" w:rsidRDefault="00684449" w:rsidP="00955E75">
            <w:pPr>
              <w:keepNext/>
              <w:keepLines/>
              <w:rPr>
                <w:rFonts w:eastAsia="SimSun" w:cs="Arial"/>
                <w:b/>
                <w:sz w:val="16"/>
                <w:szCs w:val="16"/>
              </w:rPr>
            </w:pPr>
            <w:r w:rsidRPr="00D327E2">
              <w:rPr>
                <w:rFonts w:cs="Arial"/>
                <w:b/>
                <w:sz w:val="16"/>
                <w:szCs w:val="16"/>
              </w:rPr>
              <w:t>Цели</w:t>
            </w:r>
          </w:p>
        </w:tc>
        <w:tc>
          <w:tcPr>
            <w:tcW w:w="1186" w:type="pct"/>
            <w:tcBorders>
              <w:top w:val="single" w:sz="4" w:space="0" w:color="auto"/>
              <w:bottom w:val="nil"/>
            </w:tcBorders>
            <w:shd w:val="clear" w:color="auto" w:fill="FFFFFF"/>
            <w:tcMar>
              <w:top w:w="110" w:type="dxa"/>
            </w:tcMar>
            <w:vAlign w:val="center"/>
          </w:tcPr>
          <w:p w:rsidR="00684449" w:rsidRPr="00D327E2" w:rsidRDefault="00684449" w:rsidP="00955E75">
            <w:pPr>
              <w:rPr>
                <w:rFonts w:eastAsia="SimSun" w:cs="Arial"/>
                <w:sz w:val="16"/>
                <w:szCs w:val="16"/>
              </w:rPr>
            </w:pPr>
            <w:r w:rsidRPr="00D327E2">
              <w:rPr>
                <w:rFonts w:cs="Arial"/>
                <w:b/>
                <w:sz w:val="16"/>
                <w:szCs w:val="16"/>
              </w:rPr>
              <w:t>Данные о результативности</w:t>
            </w:r>
          </w:p>
        </w:tc>
        <w:tc>
          <w:tcPr>
            <w:tcW w:w="506" w:type="pct"/>
            <w:tcBorders>
              <w:top w:val="single" w:sz="4" w:space="0" w:color="auto"/>
              <w:bottom w:val="nil"/>
              <w:right w:val="single" w:sz="4" w:space="0" w:color="auto"/>
            </w:tcBorders>
            <w:shd w:val="clear" w:color="auto" w:fill="auto"/>
            <w:tcMar>
              <w:top w:w="110" w:type="dxa"/>
            </w:tcMar>
            <w:vAlign w:val="center"/>
          </w:tcPr>
          <w:p w:rsidR="00684449" w:rsidRPr="00D327E2" w:rsidRDefault="00684449" w:rsidP="00955E75">
            <w:pPr>
              <w:keepNext/>
              <w:keepLines/>
              <w:jc w:val="center"/>
              <w:rPr>
                <w:rFonts w:eastAsia="SimSun" w:cs="Arial"/>
                <w:b/>
                <w:bCs/>
                <w:sz w:val="16"/>
                <w:szCs w:val="16"/>
              </w:rPr>
            </w:pPr>
            <w:r w:rsidRPr="00D327E2">
              <w:rPr>
                <w:rFonts w:cs="Arial"/>
                <w:b/>
                <w:sz w:val="16"/>
                <w:szCs w:val="16"/>
              </w:rPr>
              <w:t>CC</w:t>
            </w:r>
          </w:p>
        </w:tc>
      </w:tr>
      <w:tr w:rsidR="00684449" w:rsidRPr="00D327E2" w:rsidTr="00955E75">
        <w:tc>
          <w:tcPr>
            <w:tcW w:w="1164" w:type="pct"/>
            <w:tcBorders>
              <w:top w:val="nil"/>
              <w:left w:val="single" w:sz="4" w:space="0" w:color="auto"/>
              <w:bottom w:val="nil"/>
            </w:tcBorders>
            <w:shd w:val="clear" w:color="auto" w:fill="auto"/>
          </w:tcPr>
          <w:p w:rsidR="00684449" w:rsidRPr="00684449" w:rsidRDefault="00684449" w:rsidP="00955E75">
            <w:pPr>
              <w:rPr>
                <w:rFonts w:eastAsia="SimSun" w:cs="Arial"/>
                <w:sz w:val="16"/>
                <w:szCs w:val="16"/>
                <w:lang w:val="ru-RU"/>
              </w:rPr>
            </w:pPr>
            <w:r w:rsidRPr="00684449">
              <w:rPr>
                <w:rFonts w:cs="Arial"/>
                <w:sz w:val="16"/>
                <w:szCs w:val="16"/>
                <w:lang w:val="ru-RU"/>
              </w:rPr>
              <w:t>Доля (%) заседаний комитетов, в связи с которыми были организованы предварительные информационные заседания для государств-членов</w:t>
            </w:r>
          </w:p>
        </w:tc>
        <w:tc>
          <w:tcPr>
            <w:tcW w:w="1496" w:type="pct"/>
            <w:tcBorders>
              <w:top w:val="nil"/>
              <w:bottom w:val="nil"/>
            </w:tcBorders>
            <w:shd w:val="clear" w:color="auto" w:fill="auto"/>
          </w:tcPr>
          <w:p w:rsidR="00684449" w:rsidRPr="00684449" w:rsidRDefault="00684449" w:rsidP="00955E75">
            <w:pPr>
              <w:rPr>
                <w:rFonts w:eastAsiaTheme="minorHAnsi" w:cs="Arial"/>
                <w:i/>
                <w:color w:val="002060"/>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color w:val="002060"/>
                <w:sz w:val="16"/>
                <w:szCs w:val="16"/>
                <w:lang w:val="ru-RU"/>
              </w:rPr>
              <w:t>по данным опроса секретарей комитетов: 81%</w:t>
            </w:r>
          </w:p>
          <w:p w:rsidR="00684449" w:rsidRPr="00684449" w:rsidRDefault="00684449" w:rsidP="00955E75">
            <w:pPr>
              <w:rPr>
                <w:rFonts w:cs="Arial"/>
                <w:i/>
                <w:color w:val="002060"/>
                <w:sz w:val="16"/>
                <w:szCs w:val="16"/>
                <w:lang w:val="ru-RU"/>
              </w:rPr>
            </w:pPr>
          </w:p>
          <w:p w:rsidR="00684449" w:rsidRPr="00684449" w:rsidRDefault="00684449" w:rsidP="00955E75">
            <w:pPr>
              <w:keepNext/>
              <w:keepLines/>
              <w:rPr>
                <w:rFonts w:eastAsia="SimSun" w:cs="Arial"/>
                <w:color w:val="000000"/>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80%</w:t>
            </w:r>
          </w:p>
        </w:tc>
        <w:tc>
          <w:tcPr>
            <w:tcW w:w="647" w:type="pct"/>
            <w:gridSpan w:val="2"/>
            <w:tcBorders>
              <w:top w:val="nil"/>
              <w:bottom w:val="nil"/>
            </w:tcBorders>
            <w:shd w:val="clear" w:color="auto" w:fill="auto"/>
            <w:tcMar>
              <w:top w:w="110" w:type="dxa"/>
            </w:tcMar>
          </w:tcPr>
          <w:p w:rsidR="00684449" w:rsidRPr="00D327E2" w:rsidRDefault="00684449" w:rsidP="00955E75">
            <w:pPr>
              <w:keepNext/>
              <w:keepLines/>
              <w:rPr>
                <w:rFonts w:eastAsia="SimSun" w:cs="Arial"/>
                <w:color w:val="000000"/>
                <w:sz w:val="16"/>
                <w:szCs w:val="16"/>
              </w:rPr>
            </w:pPr>
            <w:r w:rsidRPr="00D327E2">
              <w:rPr>
                <w:rFonts w:cs="Arial"/>
                <w:color w:val="000000"/>
                <w:sz w:val="16"/>
                <w:szCs w:val="16"/>
              </w:rPr>
              <w:t>90%</w:t>
            </w:r>
          </w:p>
        </w:tc>
        <w:tc>
          <w:tcPr>
            <w:tcW w:w="1186" w:type="pct"/>
            <w:tcBorders>
              <w:top w:val="nil"/>
              <w:bottom w:val="nil"/>
            </w:tcBorders>
            <w:shd w:val="clear" w:color="auto" w:fill="FFFFFF"/>
            <w:tcMar>
              <w:top w:w="110" w:type="dxa"/>
            </w:tcMar>
          </w:tcPr>
          <w:p w:rsidR="00684449" w:rsidRPr="00684449" w:rsidRDefault="00684449" w:rsidP="00955E75">
            <w:pPr>
              <w:rPr>
                <w:rFonts w:eastAsia="SimSun" w:cs="Arial"/>
                <w:sz w:val="16"/>
                <w:szCs w:val="16"/>
                <w:lang w:val="ru-RU"/>
              </w:rPr>
            </w:pPr>
            <w:r w:rsidRPr="00684449">
              <w:rPr>
                <w:rFonts w:cs="Arial"/>
                <w:sz w:val="16"/>
                <w:szCs w:val="16"/>
                <w:lang w:val="ru-RU"/>
              </w:rPr>
              <w:t>97% по данным опроса секретарей комитетов</w:t>
            </w:r>
          </w:p>
        </w:tc>
        <w:tc>
          <w:tcPr>
            <w:tcW w:w="506" w:type="pct"/>
            <w:tcBorders>
              <w:top w:val="nil"/>
              <w:bottom w:val="nil"/>
              <w:right w:val="single" w:sz="4" w:space="0" w:color="auto"/>
            </w:tcBorders>
            <w:shd w:val="clear" w:color="auto" w:fill="auto"/>
            <w:tcMar>
              <w:top w:w="110" w:type="dxa"/>
            </w:tcMar>
          </w:tcPr>
          <w:p w:rsidR="00684449" w:rsidRPr="00D327E2" w:rsidRDefault="00684449" w:rsidP="00955E75">
            <w:pPr>
              <w:keepNext/>
              <w:keepLines/>
              <w:jc w:val="center"/>
              <w:rPr>
                <w:rFonts w:eastAsia="SimSun" w:cs="Arial"/>
                <w:b/>
                <w:color w:val="00B050"/>
                <w:sz w:val="16"/>
                <w:szCs w:val="16"/>
              </w:rPr>
            </w:pPr>
            <w:r w:rsidRPr="00D327E2">
              <w:rPr>
                <w:rFonts w:cs="Arial"/>
                <w:b/>
                <w:color w:val="00B050"/>
                <w:sz w:val="16"/>
                <w:szCs w:val="16"/>
              </w:rPr>
              <w:t>Выполнено</w:t>
            </w:r>
          </w:p>
        </w:tc>
      </w:tr>
      <w:tr w:rsidR="00684449" w:rsidRPr="00D327E2" w:rsidTr="00955E75">
        <w:tc>
          <w:tcPr>
            <w:tcW w:w="1164" w:type="pct"/>
            <w:tcBorders>
              <w:top w:val="nil"/>
              <w:left w:val="single" w:sz="4" w:space="0" w:color="auto"/>
              <w:bottom w:val="nil"/>
            </w:tcBorders>
            <w:shd w:val="clear" w:color="auto" w:fill="auto"/>
          </w:tcPr>
          <w:p w:rsidR="00684449" w:rsidRPr="00684449" w:rsidRDefault="00684449" w:rsidP="00955E75">
            <w:pPr>
              <w:rPr>
                <w:rFonts w:eastAsia="SimSun" w:cs="Arial"/>
                <w:color w:val="000000"/>
                <w:sz w:val="16"/>
                <w:szCs w:val="16"/>
                <w:lang w:val="ru-RU"/>
              </w:rPr>
            </w:pPr>
            <w:r w:rsidRPr="00684449">
              <w:rPr>
                <w:rFonts w:cs="Arial"/>
                <w:color w:val="000000"/>
                <w:sz w:val="16"/>
                <w:szCs w:val="16"/>
                <w:lang w:val="ru-RU"/>
              </w:rPr>
              <w:t>Доля (%) писем ГД от государств-членов, на которые были даны ответы в течение двух недель</w:t>
            </w:r>
          </w:p>
        </w:tc>
        <w:tc>
          <w:tcPr>
            <w:tcW w:w="1496" w:type="pct"/>
            <w:tcBorders>
              <w:top w:val="nil"/>
              <w:bottom w:val="nil"/>
            </w:tcBorders>
            <w:shd w:val="clear" w:color="auto" w:fill="auto"/>
          </w:tcPr>
          <w:p w:rsidR="00684449" w:rsidRPr="00684449" w:rsidRDefault="00684449" w:rsidP="00955E75">
            <w:pPr>
              <w:rPr>
                <w:rFonts w:eastAsiaTheme="minorHAnsi" w:cs="Arial"/>
                <w:i/>
                <w:color w:val="002060"/>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color w:val="002060"/>
                <w:sz w:val="16"/>
                <w:szCs w:val="16"/>
                <w:lang w:val="ru-RU"/>
              </w:rPr>
              <w:t>81% оценочного объема входящей и исходящей корреспонденции.</w:t>
            </w:r>
          </w:p>
          <w:p w:rsidR="00684449" w:rsidRPr="00684449" w:rsidRDefault="00684449" w:rsidP="00955E75">
            <w:pPr>
              <w:rPr>
                <w:rFonts w:cs="Arial"/>
                <w:i/>
                <w:color w:val="002060"/>
                <w:sz w:val="16"/>
                <w:szCs w:val="16"/>
                <w:lang w:val="ru-RU"/>
              </w:rPr>
            </w:pPr>
          </w:p>
          <w:p w:rsidR="00684449" w:rsidRPr="00684449" w:rsidRDefault="00684449" w:rsidP="00955E75">
            <w:pPr>
              <w:rPr>
                <w:rFonts w:cs="Arial"/>
                <w:i/>
                <w:color w:val="002060"/>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80%</w:t>
            </w:r>
          </w:p>
        </w:tc>
        <w:tc>
          <w:tcPr>
            <w:tcW w:w="647" w:type="pct"/>
            <w:gridSpan w:val="2"/>
            <w:tcBorders>
              <w:top w:val="nil"/>
              <w:bottom w:val="nil"/>
            </w:tcBorders>
            <w:shd w:val="clear" w:color="auto" w:fill="auto"/>
            <w:tcMar>
              <w:top w:w="110" w:type="dxa"/>
            </w:tcMar>
          </w:tcPr>
          <w:p w:rsidR="00684449" w:rsidRPr="00D327E2" w:rsidRDefault="00684449" w:rsidP="00955E75">
            <w:pPr>
              <w:rPr>
                <w:rFonts w:eastAsia="SimSun" w:cs="Arial"/>
                <w:color w:val="000000"/>
                <w:sz w:val="16"/>
                <w:szCs w:val="16"/>
              </w:rPr>
            </w:pPr>
            <w:r w:rsidRPr="00D327E2">
              <w:rPr>
                <w:rFonts w:cs="Arial"/>
                <w:color w:val="000000"/>
                <w:sz w:val="16"/>
                <w:szCs w:val="16"/>
              </w:rPr>
              <w:t>80%</w:t>
            </w:r>
          </w:p>
        </w:tc>
        <w:tc>
          <w:tcPr>
            <w:tcW w:w="1186" w:type="pct"/>
            <w:tcBorders>
              <w:top w:val="nil"/>
              <w:bottom w:val="nil"/>
            </w:tcBorders>
            <w:shd w:val="clear" w:color="auto" w:fill="FFFFFF"/>
            <w:tcMar>
              <w:top w:w="110" w:type="dxa"/>
            </w:tcMar>
          </w:tcPr>
          <w:p w:rsidR="00684449" w:rsidRPr="00684449" w:rsidRDefault="00684449" w:rsidP="00955E75">
            <w:pPr>
              <w:rPr>
                <w:rFonts w:eastAsia="SimSun" w:cs="Arial"/>
                <w:sz w:val="16"/>
                <w:szCs w:val="16"/>
                <w:lang w:val="ru-RU"/>
              </w:rPr>
            </w:pPr>
            <w:r w:rsidRPr="00684449">
              <w:rPr>
                <w:rFonts w:cs="Arial"/>
                <w:sz w:val="16"/>
                <w:szCs w:val="16"/>
                <w:lang w:val="ru-RU"/>
              </w:rPr>
              <w:t>80% оценочного объема входящей и исходящей корреспонденции</w:t>
            </w:r>
          </w:p>
        </w:tc>
        <w:tc>
          <w:tcPr>
            <w:tcW w:w="506" w:type="pct"/>
            <w:tcBorders>
              <w:top w:val="nil"/>
              <w:bottom w:val="nil"/>
              <w:right w:val="single" w:sz="4" w:space="0" w:color="auto"/>
            </w:tcBorders>
            <w:shd w:val="clear" w:color="auto" w:fill="auto"/>
            <w:tcMar>
              <w:top w:w="110" w:type="dxa"/>
            </w:tcMar>
          </w:tcPr>
          <w:p w:rsidR="00684449" w:rsidRPr="00D327E2" w:rsidRDefault="00684449" w:rsidP="00955E75">
            <w:pPr>
              <w:keepNext/>
              <w:keepLines/>
              <w:jc w:val="center"/>
              <w:rPr>
                <w:rFonts w:eastAsia="SimSun" w:cs="Arial"/>
                <w:b/>
                <w:color w:val="00B050"/>
                <w:sz w:val="16"/>
                <w:szCs w:val="16"/>
              </w:rPr>
            </w:pPr>
            <w:r w:rsidRPr="00D327E2">
              <w:rPr>
                <w:rFonts w:cs="Arial"/>
                <w:b/>
                <w:color w:val="00B050"/>
                <w:sz w:val="16"/>
                <w:szCs w:val="16"/>
              </w:rPr>
              <w:t>Выполнено</w:t>
            </w:r>
          </w:p>
        </w:tc>
      </w:tr>
      <w:tr w:rsidR="00684449" w:rsidRPr="00D327E2" w:rsidTr="00955E75">
        <w:tc>
          <w:tcPr>
            <w:tcW w:w="1164" w:type="pct"/>
            <w:tcBorders>
              <w:top w:val="nil"/>
              <w:left w:val="single" w:sz="4" w:space="0" w:color="auto"/>
              <w:bottom w:val="nil"/>
            </w:tcBorders>
            <w:shd w:val="clear" w:color="auto" w:fill="auto"/>
          </w:tcPr>
          <w:p w:rsidR="00684449" w:rsidRPr="00684449" w:rsidRDefault="00684449" w:rsidP="00955E75">
            <w:pPr>
              <w:rPr>
                <w:rFonts w:eastAsia="SimSun" w:cs="Arial"/>
                <w:color w:val="000000"/>
                <w:sz w:val="16"/>
                <w:szCs w:val="16"/>
                <w:lang w:val="ru-RU"/>
              </w:rPr>
            </w:pPr>
            <w:r w:rsidRPr="00684449">
              <w:rPr>
                <w:rFonts w:cs="Arial"/>
                <w:color w:val="000000"/>
                <w:sz w:val="16"/>
                <w:szCs w:val="16"/>
                <w:lang w:val="ru-RU"/>
              </w:rPr>
              <w:t>Доля (%) случаев присоединения и других действий государств-членов, связанных с договорами ВОИС, которые обрабатываются в надлежащие сроки</w:t>
            </w:r>
          </w:p>
        </w:tc>
        <w:tc>
          <w:tcPr>
            <w:tcW w:w="1496" w:type="pct"/>
            <w:tcBorders>
              <w:top w:val="nil"/>
              <w:bottom w:val="nil"/>
            </w:tcBorders>
            <w:shd w:val="clear" w:color="auto" w:fill="auto"/>
          </w:tcPr>
          <w:p w:rsidR="00684449" w:rsidRPr="00684449" w:rsidRDefault="00684449" w:rsidP="00955E75">
            <w:pPr>
              <w:rPr>
                <w:rFonts w:eastAsiaTheme="minorHAnsi" w:cs="Arial"/>
                <w:color w:val="002060"/>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sz w:val="16"/>
                <w:szCs w:val="16"/>
                <w:lang w:val="ru-RU"/>
              </w:rPr>
              <w:t>98% уведомлений о присоединении и иных действий, связанных с международными договорами, обрабатывались в течение трех дней.</w:t>
            </w:r>
          </w:p>
          <w:p w:rsidR="00684449" w:rsidRPr="00684449" w:rsidRDefault="00684449" w:rsidP="00955E75">
            <w:pPr>
              <w:rPr>
                <w:rFonts w:cs="Arial"/>
                <w:i/>
                <w:color w:val="002060"/>
                <w:sz w:val="16"/>
                <w:szCs w:val="16"/>
                <w:lang w:val="ru-RU"/>
              </w:rPr>
            </w:pPr>
          </w:p>
          <w:p w:rsidR="00684449" w:rsidRPr="00684449" w:rsidRDefault="00684449" w:rsidP="00955E75">
            <w:pPr>
              <w:rPr>
                <w:rFonts w:eastAsia="SimSun" w:cs="Arial"/>
                <w:color w:val="000000"/>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95% запросов обрабатываются в течение трех дней (на конец 2012</w:t>
            </w:r>
            <w:r>
              <w:rPr>
                <w:rFonts w:cs="Arial"/>
                <w:sz w:val="16"/>
                <w:szCs w:val="16"/>
              </w:rPr>
              <w:t> </w:t>
            </w:r>
            <w:r w:rsidRPr="00684449">
              <w:rPr>
                <w:rFonts w:cs="Arial"/>
                <w:sz w:val="16"/>
                <w:szCs w:val="16"/>
                <w:lang w:val="ru-RU"/>
              </w:rPr>
              <w:t>г.)</w:t>
            </w:r>
          </w:p>
        </w:tc>
        <w:tc>
          <w:tcPr>
            <w:tcW w:w="647" w:type="pct"/>
            <w:gridSpan w:val="2"/>
            <w:tcBorders>
              <w:top w:val="nil"/>
              <w:bottom w:val="nil"/>
            </w:tcBorders>
            <w:shd w:val="clear" w:color="auto" w:fill="auto"/>
            <w:tcMar>
              <w:top w:w="110" w:type="dxa"/>
            </w:tcMar>
          </w:tcPr>
          <w:p w:rsidR="00684449" w:rsidRPr="00684449" w:rsidRDefault="00684449" w:rsidP="00955E75">
            <w:pPr>
              <w:rPr>
                <w:rFonts w:eastAsia="SimSun" w:cs="Arial"/>
                <w:color w:val="000000"/>
                <w:sz w:val="16"/>
                <w:szCs w:val="16"/>
                <w:lang w:val="ru-RU"/>
              </w:rPr>
            </w:pPr>
            <w:r w:rsidRPr="00684449">
              <w:rPr>
                <w:rFonts w:cs="Arial"/>
                <w:color w:val="000000"/>
                <w:sz w:val="16"/>
                <w:szCs w:val="16"/>
                <w:lang w:val="ru-RU"/>
              </w:rPr>
              <w:t>90 % запросов обрабатывались в течение трех дней</w:t>
            </w:r>
          </w:p>
        </w:tc>
        <w:tc>
          <w:tcPr>
            <w:tcW w:w="1186" w:type="pct"/>
            <w:tcBorders>
              <w:top w:val="nil"/>
              <w:bottom w:val="nil"/>
            </w:tcBorders>
            <w:shd w:val="clear" w:color="auto" w:fill="FFFFFF"/>
            <w:tcMar>
              <w:top w:w="110" w:type="dxa"/>
            </w:tcMar>
          </w:tcPr>
          <w:p w:rsidR="00684449" w:rsidRPr="00684449" w:rsidRDefault="00684449" w:rsidP="00955E75">
            <w:pPr>
              <w:rPr>
                <w:rFonts w:eastAsia="SimSun" w:cs="Arial"/>
                <w:sz w:val="16"/>
                <w:szCs w:val="16"/>
                <w:lang w:val="ru-RU"/>
              </w:rPr>
            </w:pPr>
            <w:r w:rsidRPr="00684449">
              <w:rPr>
                <w:rFonts w:cs="Arial"/>
                <w:sz w:val="16"/>
                <w:szCs w:val="16"/>
                <w:lang w:val="ru-RU"/>
              </w:rPr>
              <w:t>90% уведомлений о присоединении и иных действий, связанных с международными договорами, обрабатывались в течение трех дней</w:t>
            </w:r>
          </w:p>
        </w:tc>
        <w:tc>
          <w:tcPr>
            <w:tcW w:w="506" w:type="pct"/>
            <w:tcBorders>
              <w:top w:val="nil"/>
              <w:bottom w:val="nil"/>
              <w:right w:val="single" w:sz="4" w:space="0" w:color="auto"/>
            </w:tcBorders>
            <w:shd w:val="clear" w:color="auto" w:fill="auto"/>
            <w:tcMar>
              <w:top w:w="110" w:type="dxa"/>
            </w:tcMar>
          </w:tcPr>
          <w:p w:rsidR="00684449" w:rsidRPr="00D327E2" w:rsidRDefault="00684449" w:rsidP="00955E75">
            <w:pPr>
              <w:keepNext/>
              <w:keepLines/>
              <w:jc w:val="center"/>
              <w:rPr>
                <w:rFonts w:eastAsia="SimSun" w:cs="Arial"/>
                <w:b/>
                <w:color w:val="00B050"/>
                <w:sz w:val="16"/>
                <w:szCs w:val="16"/>
              </w:rPr>
            </w:pPr>
            <w:r w:rsidRPr="00D327E2">
              <w:rPr>
                <w:rFonts w:cs="Arial"/>
                <w:b/>
                <w:color w:val="00B050"/>
                <w:sz w:val="16"/>
                <w:szCs w:val="16"/>
              </w:rPr>
              <w:t>Выполнено</w:t>
            </w:r>
          </w:p>
        </w:tc>
      </w:tr>
      <w:tr w:rsidR="00684449" w:rsidRPr="00D327E2" w:rsidTr="00955E75">
        <w:tc>
          <w:tcPr>
            <w:tcW w:w="1164" w:type="pct"/>
            <w:tcBorders>
              <w:top w:val="nil"/>
              <w:left w:val="single" w:sz="4" w:space="0" w:color="auto"/>
              <w:bottom w:val="nil"/>
            </w:tcBorders>
            <w:shd w:val="clear" w:color="auto" w:fill="auto"/>
          </w:tcPr>
          <w:p w:rsidR="00684449" w:rsidRPr="00684449" w:rsidRDefault="00684449" w:rsidP="00955E75">
            <w:pPr>
              <w:rPr>
                <w:rFonts w:eastAsia="SimSun" w:cs="Arial"/>
                <w:color w:val="000000"/>
                <w:sz w:val="16"/>
                <w:szCs w:val="16"/>
                <w:lang w:val="ru-RU"/>
              </w:rPr>
            </w:pPr>
            <w:r w:rsidRPr="00684449">
              <w:rPr>
                <w:rFonts w:cs="Arial"/>
                <w:color w:val="000000"/>
                <w:sz w:val="16"/>
                <w:szCs w:val="16"/>
                <w:lang w:val="ru-RU"/>
              </w:rPr>
              <w:t>Уровень удовлетворенности государств-членов подготовкой и функционированием Ассамблей</w:t>
            </w:r>
          </w:p>
        </w:tc>
        <w:tc>
          <w:tcPr>
            <w:tcW w:w="1496" w:type="pct"/>
            <w:tcBorders>
              <w:top w:val="nil"/>
              <w:bottom w:val="nil"/>
            </w:tcBorders>
            <w:shd w:val="clear" w:color="auto" w:fill="auto"/>
          </w:tcPr>
          <w:p w:rsidR="00684449" w:rsidRPr="00684449" w:rsidRDefault="00684449" w:rsidP="00955E75">
            <w:pPr>
              <w:rPr>
                <w:rFonts w:cs="Arial"/>
                <w:i/>
                <w:color w:val="002060"/>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sz w:val="16"/>
                <w:szCs w:val="16"/>
                <w:lang w:val="ru-RU"/>
              </w:rPr>
              <w:t>88% по данным опроса делегатов Ассамблей ВОИС 2012 г. (проведение опроса в 2013 г. оказалось невозможным в силу чрезвычайных обстоятельств; практика проведения опросов будет вновь введена в 2014 г.).</w:t>
            </w:r>
          </w:p>
          <w:p w:rsidR="00684449" w:rsidRPr="00684449" w:rsidRDefault="00684449" w:rsidP="00955E75">
            <w:pPr>
              <w:rPr>
                <w:rFonts w:cs="Arial"/>
                <w:i/>
                <w:color w:val="002060"/>
                <w:sz w:val="16"/>
                <w:szCs w:val="16"/>
                <w:lang w:val="ru-RU"/>
              </w:rPr>
            </w:pPr>
          </w:p>
          <w:p w:rsidR="00684449" w:rsidRPr="00684449" w:rsidRDefault="00684449" w:rsidP="00955E75">
            <w:pPr>
              <w:rPr>
                <w:rFonts w:cs="Arial"/>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88% удовлетворены организацией</w:t>
            </w:r>
          </w:p>
          <w:p w:rsidR="00684449" w:rsidRPr="00684449" w:rsidRDefault="00684449" w:rsidP="00955E75">
            <w:pPr>
              <w:rPr>
                <w:rFonts w:cs="Arial"/>
                <w:i/>
                <w:color w:val="002060"/>
                <w:sz w:val="16"/>
                <w:szCs w:val="16"/>
                <w:lang w:val="ru-RU"/>
              </w:rPr>
            </w:pPr>
          </w:p>
        </w:tc>
        <w:tc>
          <w:tcPr>
            <w:tcW w:w="647" w:type="pct"/>
            <w:gridSpan w:val="2"/>
            <w:tcBorders>
              <w:top w:val="nil"/>
              <w:bottom w:val="nil"/>
            </w:tcBorders>
            <w:shd w:val="clear" w:color="auto" w:fill="auto"/>
            <w:tcMar>
              <w:top w:w="110" w:type="dxa"/>
            </w:tcMar>
          </w:tcPr>
          <w:p w:rsidR="00684449" w:rsidRPr="00D327E2" w:rsidRDefault="00684449" w:rsidP="00955E75">
            <w:pPr>
              <w:rPr>
                <w:rFonts w:eastAsia="SimSun" w:cs="Arial"/>
                <w:color w:val="000000"/>
                <w:sz w:val="16"/>
                <w:szCs w:val="16"/>
              </w:rPr>
            </w:pPr>
            <w:r w:rsidRPr="00D327E2">
              <w:rPr>
                <w:rFonts w:cs="Arial"/>
                <w:color w:val="000000"/>
                <w:sz w:val="16"/>
                <w:szCs w:val="16"/>
              </w:rPr>
              <w:t>85% удовлетворены организацией</w:t>
            </w:r>
          </w:p>
        </w:tc>
        <w:tc>
          <w:tcPr>
            <w:tcW w:w="1186" w:type="pct"/>
            <w:tcBorders>
              <w:top w:val="nil"/>
              <w:bottom w:val="nil"/>
            </w:tcBorders>
            <w:shd w:val="clear" w:color="auto" w:fill="FFFFFF"/>
            <w:tcMar>
              <w:top w:w="110" w:type="dxa"/>
            </w:tcMar>
          </w:tcPr>
          <w:p w:rsidR="00684449" w:rsidRPr="00684449" w:rsidRDefault="00684449" w:rsidP="00955E75">
            <w:pPr>
              <w:rPr>
                <w:rFonts w:eastAsia="SimSun" w:cs="Arial"/>
                <w:sz w:val="16"/>
                <w:szCs w:val="16"/>
                <w:lang w:val="ru-RU"/>
              </w:rPr>
            </w:pPr>
            <w:r w:rsidRPr="00684449">
              <w:rPr>
                <w:rFonts w:cs="Arial"/>
                <w:sz w:val="16"/>
                <w:szCs w:val="16"/>
                <w:lang w:val="ru-RU"/>
              </w:rPr>
              <w:t>87% (по данным обследования Ассамблей ВОИС 2014</w:t>
            </w:r>
            <w:r w:rsidRPr="00D327E2">
              <w:rPr>
                <w:rFonts w:cs="Arial"/>
                <w:sz w:val="16"/>
                <w:szCs w:val="16"/>
              </w:rPr>
              <w:t> </w:t>
            </w:r>
            <w:r w:rsidRPr="00684449">
              <w:rPr>
                <w:rFonts w:cs="Arial"/>
                <w:sz w:val="16"/>
                <w:szCs w:val="16"/>
                <w:lang w:val="ru-RU"/>
              </w:rPr>
              <w:t>г.</w:t>
            </w:r>
            <w:r w:rsidRPr="00D327E2">
              <w:rPr>
                <w:rStyle w:val="FootnoteReference"/>
                <w:rFonts w:cs="Arial"/>
                <w:sz w:val="16"/>
                <w:szCs w:val="16"/>
              </w:rPr>
              <w:footnoteReference w:id="122"/>
            </w:r>
            <w:r w:rsidRPr="00684449">
              <w:rPr>
                <w:rFonts w:cs="Arial"/>
                <w:sz w:val="16"/>
                <w:szCs w:val="16"/>
                <w:lang w:val="ru-RU"/>
              </w:rPr>
              <w:t>)</w:t>
            </w:r>
          </w:p>
          <w:p w:rsidR="00684449" w:rsidRPr="00684449" w:rsidRDefault="00684449" w:rsidP="00955E75">
            <w:pPr>
              <w:rPr>
                <w:rFonts w:eastAsia="SimSun" w:cs="Arial"/>
                <w:sz w:val="16"/>
                <w:szCs w:val="16"/>
                <w:lang w:val="ru-RU"/>
              </w:rPr>
            </w:pPr>
          </w:p>
          <w:p w:rsidR="00684449" w:rsidRPr="00684449" w:rsidRDefault="00684449" w:rsidP="00955E75">
            <w:pPr>
              <w:rPr>
                <w:rFonts w:eastAsia="SimSun" w:cs="Arial"/>
                <w:sz w:val="16"/>
                <w:szCs w:val="16"/>
                <w:lang w:val="ru-RU"/>
              </w:rPr>
            </w:pPr>
            <w:r w:rsidRPr="00684449">
              <w:rPr>
                <w:rFonts w:cs="Arial"/>
                <w:sz w:val="16"/>
                <w:szCs w:val="16"/>
                <w:lang w:val="ru-RU"/>
              </w:rPr>
              <w:t>90% (по данным Обследования Ассамблей ВОИС 2015</w:t>
            </w:r>
            <w:r w:rsidRPr="00D327E2">
              <w:rPr>
                <w:rFonts w:cs="Arial"/>
                <w:sz w:val="16"/>
                <w:szCs w:val="16"/>
              </w:rPr>
              <w:t> </w:t>
            </w:r>
            <w:r w:rsidRPr="00684449">
              <w:rPr>
                <w:rFonts w:cs="Arial"/>
                <w:sz w:val="16"/>
                <w:szCs w:val="16"/>
                <w:lang w:val="ru-RU"/>
              </w:rPr>
              <w:t xml:space="preserve">г. ) </w:t>
            </w:r>
          </w:p>
        </w:tc>
        <w:tc>
          <w:tcPr>
            <w:tcW w:w="506" w:type="pct"/>
            <w:tcBorders>
              <w:top w:val="nil"/>
              <w:bottom w:val="nil"/>
              <w:right w:val="single" w:sz="4" w:space="0" w:color="auto"/>
            </w:tcBorders>
            <w:shd w:val="clear" w:color="auto" w:fill="auto"/>
            <w:tcMar>
              <w:top w:w="110" w:type="dxa"/>
            </w:tcMar>
          </w:tcPr>
          <w:p w:rsidR="00684449" w:rsidRPr="00D327E2" w:rsidRDefault="00684449" w:rsidP="00955E75">
            <w:pPr>
              <w:keepNext/>
              <w:keepLines/>
              <w:jc w:val="center"/>
              <w:rPr>
                <w:rFonts w:eastAsia="SimSun" w:cs="Arial"/>
                <w:b/>
                <w:color w:val="FF0000"/>
                <w:sz w:val="16"/>
                <w:szCs w:val="16"/>
              </w:rPr>
            </w:pPr>
            <w:r w:rsidRPr="00D327E2">
              <w:rPr>
                <w:rFonts w:cs="Arial"/>
                <w:b/>
                <w:color w:val="00B050"/>
                <w:sz w:val="16"/>
                <w:szCs w:val="16"/>
              </w:rPr>
              <w:t>Выполнено</w:t>
            </w:r>
          </w:p>
        </w:tc>
      </w:tr>
      <w:tr w:rsidR="00684449" w:rsidRPr="00D327E2" w:rsidTr="00955E75">
        <w:tc>
          <w:tcPr>
            <w:tcW w:w="1164" w:type="pct"/>
            <w:tcBorders>
              <w:top w:val="nil"/>
              <w:left w:val="single" w:sz="4" w:space="0" w:color="auto"/>
              <w:bottom w:val="single" w:sz="4" w:space="0" w:color="auto"/>
            </w:tcBorders>
            <w:shd w:val="clear" w:color="auto" w:fill="auto"/>
          </w:tcPr>
          <w:p w:rsidR="00684449" w:rsidRPr="00D327E2" w:rsidRDefault="00684449" w:rsidP="00955E75">
            <w:pPr>
              <w:rPr>
                <w:rFonts w:eastAsia="SimSun" w:cs="Arial"/>
                <w:color w:val="000000"/>
                <w:sz w:val="16"/>
                <w:szCs w:val="16"/>
              </w:rPr>
            </w:pPr>
            <w:r w:rsidRPr="00D327E2">
              <w:rPr>
                <w:rFonts w:cs="Arial"/>
                <w:color w:val="000000"/>
                <w:sz w:val="16"/>
                <w:szCs w:val="16"/>
              </w:rPr>
              <w:t>Своевременность публикации документов Ассамблей</w:t>
            </w:r>
          </w:p>
        </w:tc>
        <w:tc>
          <w:tcPr>
            <w:tcW w:w="1496" w:type="pct"/>
            <w:tcBorders>
              <w:top w:val="nil"/>
              <w:bottom w:val="single" w:sz="4" w:space="0" w:color="auto"/>
            </w:tcBorders>
            <w:shd w:val="clear" w:color="auto" w:fill="auto"/>
          </w:tcPr>
          <w:p w:rsidR="00684449" w:rsidRPr="00684449" w:rsidRDefault="00684449" w:rsidP="00955E75">
            <w:pPr>
              <w:rPr>
                <w:rFonts w:eastAsia="SimSun" w:cs="Arial"/>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sz w:val="16"/>
                <w:szCs w:val="16"/>
                <w:lang w:val="ru-RU"/>
              </w:rPr>
              <w:t xml:space="preserve">при проведении очередных Ассамблей 95% всех документов были опубликованы по крайней мере за два месяца до проведения Ассамблей.  </w:t>
            </w:r>
          </w:p>
          <w:p w:rsidR="00684449" w:rsidRPr="00684449" w:rsidRDefault="00684449" w:rsidP="00955E75">
            <w:pPr>
              <w:rPr>
                <w:rFonts w:cs="Arial"/>
                <w:i/>
                <w:color w:val="002060"/>
                <w:sz w:val="16"/>
                <w:szCs w:val="16"/>
                <w:lang w:val="ru-RU"/>
              </w:rPr>
            </w:pPr>
          </w:p>
          <w:p w:rsidR="00684449" w:rsidRPr="00684449" w:rsidRDefault="00684449" w:rsidP="00955E75">
            <w:pPr>
              <w:rPr>
                <w:rFonts w:cs="Arial"/>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все соответствующие документы опубликованы за два месяца до Ассамблей.</w:t>
            </w:r>
          </w:p>
          <w:p w:rsidR="00684449" w:rsidRPr="00684449" w:rsidRDefault="00684449" w:rsidP="00955E75">
            <w:pPr>
              <w:rPr>
                <w:rFonts w:cs="Arial"/>
                <w:sz w:val="16"/>
                <w:szCs w:val="16"/>
                <w:lang w:val="ru-RU"/>
              </w:rPr>
            </w:pPr>
          </w:p>
        </w:tc>
        <w:tc>
          <w:tcPr>
            <w:tcW w:w="647" w:type="pct"/>
            <w:gridSpan w:val="2"/>
            <w:tcBorders>
              <w:top w:val="nil"/>
              <w:bottom w:val="single" w:sz="4" w:space="0" w:color="auto"/>
            </w:tcBorders>
            <w:shd w:val="clear" w:color="auto" w:fill="auto"/>
            <w:tcMar>
              <w:top w:w="110" w:type="dxa"/>
            </w:tcMar>
          </w:tcPr>
          <w:p w:rsidR="00684449" w:rsidRPr="00684449" w:rsidRDefault="00684449" w:rsidP="00955E75">
            <w:pPr>
              <w:rPr>
                <w:rFonts w:eastAsia="SimSun" w:cs="Arial"/>
                <w:color w:val="000000"/>
                <w:sz w:val="16"/>
                <w:szCs w:val="16"/>
                <w:lang w:val="ru-RU"/>
              </w:rPr>
            </w:pPr>
            <w:r w:rsidRPr="00684449">
              <w:rPr>
                <w:rFonts w:cs="Arial"/>
                <w:color w:val="000000"/>
                <w:sz w:val="16"/>
                <w:szCs w:val="16"/>
                <w:lang w:val="ru-RU"/>
              </w:rPr>
              <w:t>Все соответствующие документы опубликованы за два месяца до Ассамблей.</w:t>
            </w:r>
          </w:p>
        </w:tc>
        <w:tc>
          <w:tcPr>
            <w:tcW w:w="1186" w:type="pct"/>
            <w:tcBorders>
              <w:top w:val="nil"/>
              <w:bottom w:val="single" w:sz="4" w:space="0" w:color="auto"/>
            </w:tcBorders>
            <w:shd w:val="clear" w:color="auto" w:fill="FFFFFF"/>
            <w:tcMar>
              <w:top w:w="110" w:type="dxa"/>
            </w:tcMar>
          </w:tcPr>
          <w:p w:rsidR="00684449" w:rsidRPr="00684449" w:rsidRDefault="00684449" w:rsidP="00955E75">
            <w:pPr>
              <w:rPr>
                <w:rFonts w:eastAsia="SimSun" w:cs="Arial"/>
                <w:sz w:val="16"/>
                <w:szCs w:val="16"/>
                <w:lang w:val="ru-RU"/>
              </w:rPr>
            </w:pPr>
            <w:r w:rsidRPr="00684449">
              <w:rPr>
                <w:rFonts w:cs="Arial"/>
                <w:sz w:val="16"/>
                <w:szCs w:val="16"/>
                <w:lang w:val="ru-RU"/>
              </w:rPr>
              <w:t>В 2014–2015 гг. 97% всех соответствующих документов было опубликовано за два месяца до Ассамблей:</w:t>
            </w:r>
          </w:p>
          <w:p w:rsidR="00684449" w:rsidRPr="00D327E2" w:rsidRDefault="00684449" w:rsidP="00684449">
            <w:pPr>
              <w:pStyle w:val="ListParagraph"/>
              <w:numPr>
                <w:ilvl w:val="0"/>
                <w:numId w:val="31"/>
              </w:numPr>
              <w:contextualSpacing/>
              <w:rPr>
                <w:rFonts w:eastAsia="SimSun" w:cs="Arial"/>
                <w:sz w:val="16"/>
                <w:szCs w:val="16"/>
              </w:rPr>
            </w:pPr>
            <w:r w:rsidRPr="00D327E2">
              <w:rPr>
                <w:rFonts w:cs="Arial"/>
                <w:sz w:val="16"/>
                <w:szCs w:val="16"/>
              </w:rPr>
              <w:t>95% перед Ассамблеями 2014 г.</w:t>
            </w:r>
          </w:p>
          <w:p w:rsidR="00684449" w:rsidRPr="00D327E2" w:rsidRDefault="00684449" w:rsidP="00684449">
            <w:pPr>
              <w:pStyle w:val="ListParagraph"/>
              <w:numPr>
                <w:ilvl w:val="0"/>
                <w:numId w:val="31"/>
              </w:numPr>
              <w:contextualSpacing/>
              <w:rPr>
                <w:rFonts w:eastAsia="SimSun" w:cs="Arial"/>
                <w:sz w:val="16"/>
                <w:szCs w:val="16"/>
              </w:rPr>
            </w:pPr>
            <w:r w:rsidRPr="00D327E2">
              <w:rPr>
                <w:rFonts w:cs="Arial"/>
                <w:sz w:val="16"/>
                <w:szCs w:val="16"/>
              </w:rPr>
              <w:t>99,5% перед Ассамблеями 2015 г.</w:t>
            </w:r>
          </w:p>
        </w:tc>
        <w:tc>
          <w:tcPr>
            <w:tcW w:w="506" w:type="pct"/>
            <w:tcBorders>
              <w:top w:val="nil"/>
              <w:bottom w:val="single" w:sz="4" w:space="0" w:color="auto"/>
              <w:right w:val="single" w:sz="4" w:space="0" w:color="auto"/>
            </w:tcBorders>
            <w:shd w:val="clear" w:color="auto" w:fill="auto"/>
            <w:tcMar>
              <w:top w:w="110" w:type="dxa"/>
            </w:tcMar>
          </w:tcPr>
          <w:p w:rsidR="00684449" w:rsidRPr="00D327E2" w:rsidRDefault="00684449" w:rsidP="00955E75">
            <w:pPr>
              <w:keepNext/>
              <w:keepLines/>
              <w:jc w:val="center"/>
              <w:rPr>
                <w:rFonts w:eastAsia="SimSun" w:cs="Arial"/>
                <w:b/>
                <w:color w:val="FF0000"/>
                <w:sz w:val="16"/>
                <w:szCs w:val="16"/>
              </w:rPr>
            </w:pPr>
            <w:r w:rsidRPr="00D327E2">
              <w:rPr>
                <w:rFonts w:cs="Arial"/>
                <w:b/>
                <w:color w:val="00B050"/>
                <w:sz w:val="16"/>
                <w:szCs w:val="16"/>
              </w:rPr>
              <w:t>Выполнено</w:t>
            </w:r>
          </w:p>
        </w:tc>
      </w:tr>
      <w:tr w:rsidR="00684449" w:rsidRPr="005C6ABD" w:rsidTr="00955E75">
        <w:trPr>
          <w:trHeight w:val="430"/>
        </w:trPr>
        <w:tc>
          <w:tcPr>
            <w:tcW w:w="5000" w:type="pct"/>
            <w:gridSpan w:val="6"/>
            <w:tcBorders>
              <w:top w:val="single" w:sz="4" w:space="0" w:color="auto"/>
              <w:bottom w:val="single" w:sz="4" w:space="0" w:color="auto"/>
            </w:tcBorders>
            <w:shd w:val="clear" w:color="auto" w:fill="C6D9F1" w:themeFill="text2" w:themeFillTint="33"/>
            <w:vAlign w:val="center"/>
          </w:tcPr>
          <w:p w:rsidR="00684449" w:rsidRPr="00684449" w:rsidRDefault="00684449" w:rsidP="00955E75">
            <w:pPr>
              <w:rPr>
                <w:rFonts w:eastAsia="SimSun"/>
                <w:b/>
                <w:bCs/>
                <w:sz w:val="16"/>
                <w:szCs w:val="16"/>
                <w:lang w:val="ru-RU"/>
              </w:rPr>
            </w:pPr>
            <w:r w:rsidRPr="00684449">
              <w:rPr>
                <w:b/>
                <w:sz w:val="16"/>
                <w:szCs w:val="16"/>
                <w:lang w:val="ru-RU"/>
              </w:rPr>
              <w:t xml:space="preserve">Ожидаемый результат: </w:t>
            </w:r>
            <w:r w:rsidRPr="00684449">
              <w:rPr>
                <w:sz w:val="16"/>
                <w:szCs w:val="16"/>
                <w:lang w:val="ru-RU"/>
              </w:rPr>
              <w:tab/>
            </w:r>
            <w:r>
              <w:rPr>
                <w:sz w:val="16"/>
                <w:szCs w:val="16"/>
              </w:rPr>
              <w:t>VIII</w:t>
            </w:r>
            <w:r w:rsidRPr="00684449">
              <w:rPr>
                <w:sz w:val="16"/>
                <w:szCs w:val="16"/>
                <w:lang w:val="ru-RU"/>
              </w:rPr>
              <w:t xml:space="preserve">.5. ВОИС эффективно взаимодействует и является партнером в процессах и переговорах </w:t>
            </w:r>
            <w:r w:rsidRPr="00684449">
              <w:rPr>
                <w:sz w:val="16"/>
                <w:szCs w:val="16"/>
                <w:lang w:val="ru-RU"/>
              </w:rPr>
              <w:tab/>
            </w:r>
            <w:r w:rsidRPr="00684449">
              <w:rPr>
                <w:sz w:val="16"/>
                <w:szCs w:val="16"/>
                <w:lang w:val="ru-RU"/>
              </w:rPr>
              <w:tab/>
            </w:r>
            <w:r w:rsidRPr="00684449">
              <w:rPr>
                <w:sz w:val="16"/>
                <w:szCs w:val="16"/>
                <w:lang w:val="ru-RU"/>
              </w:rPr>
              <w:tab/>
            </w:r>
            <w:r w:rsidRPr="00684449">
              <w:rPr>
                <w:sz w:val="16"/>
                <w:szCs w:val="16"/>
                <w:lang w:val="ru-RU"/>
              </w:rPr>
              <w:tab/>
              <w:t>ООН и других МПО</w:t>
            </w:r>
          </w:p>
        </w:tc>
      </w:tr>
      <w:tr w:rsidR="00684449" w:rsidRPr="00D327E2" w:rsidTr="00955E75">
        <w:tc>
          <w:tcPr>
            <w:tcW w:w="1164" w:type="pct"/>
            <w:tcBorders>
              <w:top w:val="single" w:sz="4" w:space="0" w:color="auto"/>
            </w:tcBorders>
            <w:shd w:val="clear" w:color="auto" w:fill="auto"/>
            <w:vAlign w:val="center"/>
          </w:tcPr>
          <w:p w:rsidR="00684449" w:rsidRPr="00D327E2" w:rsidRDefault="00684449" w:rsidP="00955E75">
            <w:pPr>
              <w:rPr>
                <w:rFonts w:eastAsia="SimSun"/>
                <w:b/>
                <w:sz w:val="16"/>
                <w:szCs w:val="16"/>
              </w:rPr>
            </w:pPr>
            <w:r w:rsidRPr="00D327E2">
              <w:rPr>
                <w:b/>
                <w:sz w:val="16"/>
                <w:szCs w:val="16"/>
              </w:rPr>
              <w:t>Показатели результативности</w:t>
            </w:r>
          </w:p>
        </w:tc>
        <w:tc>
          <w:tcPr>
            <w:tcW w:w="1496" w:type="pct"/>
            <w:tcBorders>
              <w:top w:val="single" w:sz="4" w:space="0" w:color="auto"/>
            </w:tcBorders>
            <w:shd w:val="clear" w:color="auto" w:fill="auto"/>
            <w:vAlign w:val="center"/>
          </w:tcPr>
          <w:p w:rsidR="00684449" w:rsidRPr="00D327E2" w:rsidRDefault="00684449" w:rsidP="00955E75">
            <w:pPr>
              <w:keepNext/>
              <w:keepLines/>
              <w:rPr>
                <w:rFonts w:eastAsia="SimSun" w:cs="Arial"/>
                <w:b/>
                <w:bCs/>
                <w:sz w:val="16"/>
                <w:szCs w:val="16"/>
              </w:rPr>
            </w:pPr>
            <w:r w:rsidRPr="00D327E2">
              <w:rPr>
                <w:rFonts w:cs="Arial"/>
                <w:b/>
                <w:sz w:val="16"/>
                <w:szCs w:val="16"/>
              </w:rPr>
              <w:t>Базовые показатели</w:t>
            </w:r>
          </w:p>
        </w:tc>
        <w:tc>
          <w:tcPr>
            <w:tcW w:w="594" w:type="pct"/>
            <w:tcBorders>
              <w:top w:val="single" w:sz="4" w:space="0" w:color="auto"/>
            </w:tcBorders>
            <w:shd w:val="clear" w:color="auto" w:fill="auto"/>
            <w:tcMar>
              <w:top w:w="110" w:type="dxa"/>
            </w:tcMar>
            <w:vAlign w:val="center"/>
          </w:tcPr>
          <w:p w:rsidR="00684449" w:rsidRPr="00D327E2" w:rsidRDefault="00684449" w:rsidP="00955E75">
            <w:pPr>
              <w:keepNext/>
              <w:keepLines/>
              <w:rPr>
                <w:rFonts w:eastAsia="SimSun" w:cs="Arial"/>
                <w:b/>
                <w:sz w:val="16"/>
                <w:szCs w:val="16"/>
              </w:rPr>
            </w:pPr>
            <w:r w:rsidRPr="00D327E2">
              <w:rPr>
                <w:rFonts w:cs="Arial"/>
                <w:b/>
                <w:sz w:val="16"/>
                <w:szCs w:val="16"/>
              </w:rPr>
              <w:t>Цели</w:t>
            </w:r>
          </w:p>
        </w:tc>
        <w:tc>
          <w:tcPr>
            <w:tcW w:w="1240" w:type="pct"/>
            <w:gridSpan w:val="2"/>
            <w:tcBorders>
              <w:top w:val="single" w:sz="4" w:space="0" w:color="auto"/>
            </w:tcBorders>
            <w:shd w:val="clear" w:color="auto" w:fill="FFFFFF"/>
            <w:tcMar>
              <w:top w:w="110" w:type="dxa"/>
            </w:tcMar>
            <w:vAlign w:val="center"/>
          </w:tcPr>
          <w:p w:rsidR="00684449" w:rsidRPr="00D327E2" w:rsidRDefault="00684449" w:rsidP="00955E75">
            <w:pPr>
              <w:keepNext/>
              <w:keepLines/>
              <w:rPr>
                <w:rFonts w:eastAsia="SimSun" w:cs="Arial"/>
                <w:sz w:val="16"/>
                <w:szCs w:val="16"/>
              </w:rPr>
            </w:pPr>
            <w:r w:rsidRPr="00D327E2">
              <w:rPr>
                <w:rFonts w:cs="Arial"/>
                <w:b/>
                <w:sz w:val="16"/>
                <w:szCs w:val="16"/>
              </w:rPr>
              <w:t>Данные о результативности</w:t>
            </w:r>
          </w:p>
        </w:tc>
        <w:tc>
          <w:tcPr>
            <w:tcW w:w="506" w:type="pct"/>
            <w:tcBorders>
              <w:top w:val="single" w:sz="4" w:space="0" w:color="auto"/>
            </w:tcBorders>
            <w:shd w:val="clear" w:color="auto" w:fill="auto"/>
            <w:tcMar>
              <w:top w:w="110" w:type="dxa"/>
            </w:tcMar>
            <w:vAlign w:val="center"/>
          </w:tcPr>
          <w:p w:rsidR="00684449" w:rsidRPr="00D327E2" w:rsidRDefault="00684449" w:rsidP="00955E75">
            <w:pPr>
              <w:keepNext/>
              <w:keepLines/>
              <w:jc w:val="center"/>
              <w:rPr>
                <w:rFonts w:eastAsia="SimSun" w:cs="Arial"/>
                <w:b/>
                <w:bCs/>
                <w:color w:val="008000"/>
                <w:sz w:val="16"/>
                <w:szCs w:val="16"/>
              </w:rPr>
            </w:pPr>
            <w:r w:rsidRPr="00D327E2">
              <w:rPr>
                <w:rFonts w:cs="Arial"/>
                <w:b/>
                <w:sz w:val="16"/>
                <w:szCs w:val="16"/>
              </w:rPr>
              <w:t>CC</w:t>
            </w:r>
          </w:p>
        </w:tc>
      </w:tr>
      <w:tr w:rsidR="00684449" w:rsidRPr="00D327E2" w:rsidTr="00955E75">
        <w:tc>
          <w:tcPr>
            <w:tcW w:w="1164" w:type="pct"/>
            <w:shd w:val="clear" w:color="auto" w:fill="auto"/>
          </w:tcPr>
          <w:p w:rsidR="00684449" w:rsidRPr="00684449" w:rsidRDefault="00684449" w:rsidP="00955E75">
            <w:pPr>
              <w:rPr>
                <w:rFonts w:eastAsia="SimSun"/>
                <w:sz w:val="16"/>
                <w:szCs w:val="16"/>
                <w:lang w:val="ru-RU"/>
              </w:rPr>
            </w:pPr>
            <w:r w:rsidRPr="00684449">
              <w:rPr>
                <w:sz w:val="16"/>
                <w:szCs w:val="16"/>
                <w:lang w:val="ru-RU"/>
              </w:rPr>
              <w:t>Новые совместные инициативы с другими специализированными учреждениями ООН</w:t>
            </w:r>
          </w:p>
        </w:tc>
        <w:tc>
          <w:tcPr>
            <w:tcW w:w="1496" w:type="pct"/>
            <w:shd w:val="clear" w:color="auto" w:fill="auto"/>
          </w:tcPr>
          <w:p w:rsidR="00684449" w:rsidRPr="00684449" w:rsidRDefault="00684449" w:rsidP="00955E75">
            <w:pPr>
              <w:rPr>
                <w:rFonts w:eastAsiaTheme="minorHAnsi" w:cs="Arial"/>
                <w:i/>
                <w:color w:val="002060"/>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sz w:val="16"/>
                <w:szCs w:val="16"/>
                <w:lang w:val="ru-RU"/>
              </w:rPr>
              <w:t>Генеральный директор выступил с двумя новыми инициативами (Генеральный директор вел заседание КВУУ 2012 года; Генеральный директор провел презентацию Глобального инновационного индекса на сессии ЭКОСОС в Женеве в 2013 г.).</w:t>
            </w:r>
          </w:p>
          <w:p w:rsidR="00684449" w:rsidRPr="00684449" w:rsidRDefault="00684449" w:rsidP="00955E75">
            <w:pPr>
              <w:rPr>
                <w:rFonts w:cs="Arial"/>
                <w:i/>
                <w:color w:val="002060"/>
                <w:sz w:val="16"/>
                <w:szCs w:val="16"/>
                <w:lang w:val="ru-RU"/>
              </w:rPr>
            </w:pPr>
          </w:p>
          <w:p w:rsidR="00684449" w:rsidRPr="00684449" w:rsidRDefault="00684449" w:rsidP="00955E75">
            <w:pPr>
              <w:keepNext/>
              <w:keepLines/>
              <w:rPr>
                <w:rFonts w:cs="Arial"/>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две</w:t>
            </w:r>
          </w:p>
          <w:p w:rsidR="00684449" w:rsidRPr="00684449" w:rsidRDefault="00684449" w:rsidP="00955E75">
            <w:pPr>
              <w:keepNext/>
              <w:keepLines/>
              <w:rPr>
                <w:rFonts w:eastAsia="SimSun" w:cs="Arial"/>
                <w:color w:val="000000"/>
                <w:sz w:val="16"/>
                <w:szCs w:val="16"/>
                <w:lang w:val="ru-RU"/>
              </w:rPr>
            </w:pPr>
          </w:p>
        </w:tc>
        <w:tc>
          <w:tcPr>
            <w:tcW w:w="594" w:type="pct"/>
            <w:shd w:val="clear" w:color="auto" w:fill="auto"/>
            <w:tcMar>
              <w:top w:w="110" w:type="dxa"/>
            </w:tcMar>
          </w:tcPr>
          <w:p w:rsidR="00684449" w:rsidRPr="00D327E2" w:rsidRDefault="00684449" w:rsidP="00955E75">
            <w:pPr>
              <w:keepNext/>
              <w:keepLines/>
              <w:rPr>
                <w:rFonts w:eastAsia="SimSun" w:cs="Arial"/>
                <w:sz w:val="16"/>
                <w:szCs w:val="16"/>
              </w:rPr>
            </w:pPr>
            <w:r>
              <w:rPr>
                <w:rFonts w:cs="Arial"/>
                <w:sz w:val="16"/>
                <w:szCs w:val="16"/>
              </w:rPr>
              <w:t>Две</w:t>
            </w:r>
          </w:p>
        </w:tc>
        <w:tc>
          <w:tcPr>
            <w:tcW w:w="1240" w:type="pct"/>
            <w:gridSpan w:val="2"/>
            <w:shd w:val="clear" w:color="auto" w:fill="FFFFFF"/>
            <w:tcMar>
              <w:top w:w="110" w:type="dxa"/>
            </w:tcMar>
          </w:tcPr>
          <w:p w:rsidR="00684449" w:rsidRPr="00684449" w:rsidRDefault="00684449" w:rsidP="00955E75">
            <w:pPr>
              <w:keepNext/>
              <w:keepLines/>
              <w:rPr>
                <w:rFonts w:cs="Arial"/>
                <w:sz w:val="16"/>
                <w:szCs w:val="16"/>
                <w:lang w:val="ru-RU"/>
              </w:rPr>
            </w:pPr>
            <w:r w:rsidRPr="00684449">
              <w:rPr>
                <w:rFonts w:cs="Arial"/>
                <w:sz w:val="16"/>
                <w:szCs w:val="16"/>
                <w:lang w:val="ru-RU"/>
              </w:rPr>
              <w:t>Генеральный директор выступил с двумя новыми инициативами:</w:t>
            </w:r>
          </w:p>
          <w:p w:rsidR="00684449" w:rsidRPr="00684449" w:rsidRDefault="00684449" w:rsidP="00684449">
            <w:pPr>
              <w:pStyle w:val="ListParagraph"/>
              <w:keepNext/>
              <w:keepLines/>
              <w:numPr>
                <w:ilvl w:val="0"/>
                <w:numId w:val="30"/>
              </w:numPr>
              <w:contextualSpacing/>
              <w:rPr>
                <w:rFonts w:eastAsia="SimSun" w:cs="Arial"/>
                <w:sz w:val="16"/>
                <w:szCs w:val="16"/>
                <w:lang w:val="ru-RU"/>
              </w:rPr>
            </w:pPr>
            <w:r w:rsidRPr="00684449">
              <w:rPr>
                <w:rFonts w:cs="Arial"/>
                <w:sz w:val="16"/>
                <w:szCs w:val="16"/>
                <w:lang w:val="ru-RU"/>
              </w:rPr>
              <w:t xml:space="preserve">в 2014 г. подана заявка на получение статуса наблюдателя в Международную организацию по миграции (МОМ); </w:t>
            </w:r>
          </w:p>
          <w:p w:rsidR="00684449" w:rsidRPr="00684449" w:rsidRDefault="00684449" w:rsidP="00684449">
            <w:pPr>
              <w:pStyle w:val="ListParagraph"/>
              <w:keepNext/>
              <w:keepLines/>
              <w:numPr>
                <w:ilvl w:val="0"/>
                <w:numId w:val="30"/>
              </w:numPr>
              <w:contextualSpacing/>
              <w:rPr>
                <w:rFonts w:eastAsia="SimSun" w:cs="Arial"/>
                <w:sz w:val="16"/>
                <w:szCs w:val="16"/>
                <w:lang w:val="ru-RU"/>
              </w:rPr>
            </w:pPr>
            <w:r w:rsidRPr="00684449">
              <w:rPr>
                <w:rFonts w:cs="Arial"/>
                <w:sz w:val="16"/>
                <w:szCs w:val="16"/>
                <w:lang w:val="ru-RU"/>
              </w:rPr>
              <w:t>в 2015 г. – членство в Межучрежденческой рабочей группе Организации Объединенных Наций по Механизму содействия развитию технологий (</w:t>
            </w:r>
            <w:r w:rsidRPr="00D327E2">
              <w:rPr>
                <w:rFonts w:cs="Arial"/>
                <w:sz w:val="16"/>
                <w:szCs w:val="16"/>
              </w:rPr>
              <w:t>IAWG</w:t>
            </w:r>
            <w:r w:rsidRPr="00684449">
              <w:rPr>
                <w:rFonts w:cs="Arial"/>
                <w:sz w:val="16"/>
                <w:szCs w:val="16"/>
                <w:lang w:val="ru-RU"/>
              </w:rPr>
              <w:t xml:space="preserve">) (создан в рамках Аддис-Абебского плана действий) </w:t>
            </w:r>
          </w:p>
        </w:tc>
        <w:tc>
          <w:tcPr>
            <w:tcW w:w="506" w:type="pct"/>
            <w:shd w:val="clear" w:color="auto" w:fill="auto"/>
            <w:tcMar>
              <w:top w:w="110" w:type="dxa"/>
            </w:tcMar>
          </w:tcPr>
          <w:p w:rsidR="00684449" w:rsidRPr="00D327E2" w:rsidRDefault="00684449" w:rsidP="00955E75">
            <w:pPr>
              <w:keepNext/>
              <w:keepLines/>
              <w:jc w:val="center"/>
              <w:rPr>
                <w:rFonts w:eastAsia="SimSun" w:cs="Arial"/>
                <w:bCs/>
                <w:color w:val="808080"/>
                <w:sz w:val="16"/>
                <w:szCs w:val="16"/>
              </w:rPr>
            </w:pPr>
            <w:r w:rsidRPr="00D327E2">
              <w:rPr>
                <w:rFonts w:cs="Arial"/>
                <w:b/>
                <w:color w:val="00B050"/>
                <w:sz w:val="16"/>
                <w:szCs w:val="16"/>
              </w:rPr>
              <w:t>Выполнено</w:t>
            </w:r>
          </w:p>
        </w:tc>
      </w:tr>
      <w:tr w:rsidR="00684449" w:rsidRPr="005C6ABD" w:rsidTr="00955E75">
        <w:trPr>
          <w:trHeight w:val="429"/>
        </w:trPr>
        <w:tc>
          <w:tcPr>
            <w:tcW w:w="5000" w:type="pct"/>
            <w:gridSpan w:val="6"/>
            <w:tcBorders>
              <w:top w:val="single" w:sz="4" w:space="0" w:color="auto"/>
              <w:bottom w:val="single" w:sz="4" w:space="0" w:color="auto"/>
            </w:tcBorders>
            <w:shd w:val="clear" w:color="auto" w:fill="C6D9F1" w:themeFill="text2" w:themeFillTint="33"/>
            <w:vAlign w:val="center"/>
          </w:tcPr>
          <w:p w:rsidR="00684449" w:rsidRPr="00684449" w:rsidRDefault="00684449" w:rsidP="00D340AF">
            <w:pPr>
              <w:keepNext/>
              <w:keepLines/>
              <w:tabs>
                <w:tab w:val="left" w:pos="2160"/>
              </w:tabs>
              <w:ind w:left="2160" w:hanging="2160"/>
              <w:rPr>
                <w:rFonts w:eastAsia="SimSun" w:cs="Arial"/>
                <w:b/>
                <w:bCs/>
                <w:sz w:val="16"/>
                <w:szCs w:val="16"/>
                <w:lang w:val="ru-RU"/>
              </w:rPr>
            </w:pPr>
            <w:r w:rsidRPr="00684449">
              <w:rPr>
                <w:rFonts w:cs="Arial"/>
                <w:b/>
                <w:sz w:val="16"/>
                <w:szCs w:val="16"/>
                <w:lang w:val="ru-RU"/>
              </w:rPr>
              <w:t xml:space="preserve">Ожидаемый результат: </w:t>
            </w:r>
            <w:r w:rsidRPr="00684449">
              <w:rPr>
                <w:rFonts w:cs="Arial"/>
                <w:sz w:val="16"/>
                <w:szCs w:val="16"/>
                <w:lang w:val="ru-RU"/>
              </w:rPr>
              <w:tab/>
            </w:r>
            <w:r w:rsidRPr="00D327E2">
              <w:rPr>
                <w:rFonts w:cs="Arial"/>
                <w:color w:val="000000"/>
                <w:sz w:val="16"/>
                <w:szCs w:val="16"/>
              </w:rPr>
              <w:t>IX</w:t>
            </w:r>
            <w:r w:rsidRPr="00684449">
              <w:rPr>
                <w:rFonts w:cs="Arial"/>
                <w:color w:val="000000"/>
                <w:sz w:val="16"/>
                <w:szCs w:val="16"/>
                <w:lang w:val="ru-RU"/>
              </w:rPr>
              <w:t>.2</w:t>
            </w:r>
            <w:r w:rsidRPr="00684449">
              <w:rPr>
                <w:rFonts w:cs="Arial"/>
                <w:sz w:val="16"/>
                <w:szCs w:val="16"/>
                <w:lang w:val="ru-RU"/>
              </w:rPr>
              <w:tab/>
            </w:r>
            <w:r w:rsidRPr="00684449">
              <w:rPr>
                <w:rFonts w:cs="Arial"/>
                <w:color w:val="000000"/>
                <w:sz w:val="16"/>
                <w:szCs w:val="16"/>
                <w:lang w:val="ru-RU"/>
              </w:rPr>
              <w:t>Динамичный и слаженно функционирующий Се</w:t>
            </w:r>
            <w:r w:rsidR="00D340AF">
              <w:rPr>
                <w:rFonts w:cs="Arial"/>
                <w:color w:val="000000"/>
                <w:sz w:val="16"/>
                <w:szCs w:val="16"/>
                <w:lang w:val="ru-RU"/>
              </w:rPr>
              <w:t xml:space="preserve">кретариат с надлежащим образом </w:t>
            </w:r>
            <w:r w:rsidRPr="00684449">
              <w:rPr>
                <w:rFonts w:cs="Arial"/>
                <w:color w:val="000000"/>
                <w:sz w:val="16"/>
                <w:szCs w:val="16"/>
                <w:lang w:val="ru-RU"/>
              </w:rPr>
              <w:t xml:space="preserve">управляемым и обладающим соответствующими навыками </w:t>
            </w:r>
            <w:r w:rsidR="00D340AF">
              <w:rPr>
                <w:rFonts w:cs="Arial"/>
                <w:color w:val="000000"/>
                <w:sz w:val="16"/>
                <w:szCs w:val="16"/>
                <w:lang w:val="ru-RU"/>
              </w:rPr>
              <w:t xml:space="preserve">персоналом, который эффективно </w:t>
            </w:r>
            <w:r w:rsidRPr="00684449">
              <w:rPr>
                <w:rFonts w:cs="Arial"/>
                <w:color w:val="000000"/>
                <w:sz w:val="16"/>
                <w:szCs w:val="16"/>
                <w:lang w:val="ru-RU"/>
              </w:rPr>
              <w:t>добивается результатов</w:t>
            </w:r>
          </w:p>
        </w:tc>
      </w:tr>
      <w:tr w:rsidR="00684449" w:rsidRPr="00D327E2" w:rsidTr="00955E75">
        <w:tc>
          <w:tcPr>
            <w:tcW w:w="1164" w:type="pct"/>
            <w:tcBorders>
              <w:top w:val="single" w:sz="4" w:space="0" w:color="auto"/>
              <w:left w:val="single" w:sz="4" w:space="0" w:color="auto"/>
              <w:bottom w:val="nil"/>
            </w:tcBorders>
            <w:shd w:val="clear" w:color="auto" w:fill="auto"/>
            <w:vAlign w:val="center"/>
          </w:tcPr>
          <w:p w:rsidR="00684449" w:rsidRPr="00D327E2" w:rsidRDefault="00684449" w:rsidP="00955E75">
            <w:pPr>
              <w:rPr>
                <w:rFonts w:eastAsia="SimSun" w:cs="Arial"/>
                <w:color w:val="000000"/>
                <w:sz w:val="16"/>
                <w:szCs w:val="16"/>
              </w:rPr>
            </w:pPr>
            <w:r w:rsidRPr="00D327E2">
              <w:rPr>
                <w:rFonts w:cs="Arial"/>
                <w:b/>
                <w:sz w:val="16"/>
                <w:szCs w:val="16"/>
              </w:rPr>
              <w:t>Показатели результативности</w:t>
            </w:r>
          </w:p>
        </w:tc>
        <w:tc>
          <w:tcPr>
            <w:tcW w:w="1496" w:type="pct"/>
            <w:tcBorders>
              <w:top w:val="single" w:sz="4" w:space="0" w:color="auto"/>
              <w:bottom w:val="nil"/>
            </w:tcBorders>
            <w:shd w:val="clear" w:color="auto" w:fill="auto"/>
            <w:vAlign w:val="center"/>
          </w:tcPr>
          <w:p w:rsidR="00684449" w:rsidRPr="00D327E2" w:rsidRDefault="00684449" w:rsidP="00955E75">
            <w:pPr>
              <w:rPr>
                <w:rFonts w:cs="Arial"/>
                <w:i/>
                <w:color w:val="002060"/>
                <w:sz w:val="16"/>
                <w:szCs w:val="16"/>
              </w:rPr>
            </w:pPr>
            <w:r w:rsidRPr="00D327E2">
              <w:rPr>
                <w:rFonts w:cs="Arial"/>
                <w:b/>
                <w:sz w:val="16"/>
                <w:szCs w:val="16"/>
              </w:rPr>
              <w:t>Базовые показатели</w:t>
            </w:r>
          </w:p>
        </w:tc>
        <w:tc>
          <w:tcPr>
            <w:tcW w:w="594" w:type="pct"/>
            <w:tcBorders>
              <w:top w:val="single" w:sz="4" w:space="0" w:color="auto"/>
              <w:bottom w:val="nil"/>
            </w:tcBorders>
            <w:shd w:val="clear" w:color="auto" w:fill="auto"/>
            <w:tcMar>
              <w:top w:w="110" w:type="dxa"/>
            </w:tcMar>
            <w:vAlign w:val="center"/>
          </w:tcPr>
          <w:p w:rsidR="00684449" w:rsidRPr="00D327E2" w:rsidRDefault="00684449" w:rsidP="00955E75">
            <w:pPr>
              <w:rPr>
                <w:rFonts w:eastAsia="SimSun" w:cs="Arial"/>
                <w:sz w:val="16"/>
                <w:szCs w:val="16"/>
              </w:rPr>
            </w:pPr>
            <w:r w:rsidRPr="00D327E2">
              <w:rPr>
                <w:rFonts w:cs="Arial"/>
                <w:b/>
                <w:sz w:val="16"/>
                <w:szCs w:val="16"/>
              </w:rPr>
              <w:t>Цели</w:t>
            </w:r>
          </w:p>
        </w:tc>
        <w:tc>
          <w:tcPr>
            <w:tcW w:w="1240" w:type="pct"/>
            <w:gridSpan w:val="2"/>
            <w:tcBorders>
              <w:top w:val="single" w:sz="4" w:space="0" w:color="auto"/>
              <w:bottom w:val="nil"/>
            </w:tcBorders>
            <w:shd w:val="clear" w:color="auto" w:fill="FFFFFF"/>
            <w:tcMar>
              <w:top w:w="110" w:type="dxa"/>
            </w:tcMar>
            <w:vAlign w:val="center"/>
          </w:tcPr>
          <w:p w:rsidR="00684449" w:rsidRPr="00D327E2" w:rsidRDefault="00684449" w:rsidP="00955E75">
            <w:pPr>
              <w:rPr>
                <w:rFonts w:eastAsia="SimSun" w:cs="Arial"/>
                <w:sz w:val="16"/>
                <w:szCs w:val="16"/>
              </w:rPr>
            </w:pPr>
            <w:r w:rsidRPr="00D327E2">
              <w:rPr>
                <w:rFonts w:cs="Arial"/>
                <w:b/>
                <w:sz w:val="16"/>
                <w:szCs w:val="16"/>
              </w:rPr>
              <w:t>Данные о результативности</w:t>
            </w:r>
          </w:p>
        </w:tc>
        <w:tc>
          <w:tcPr>
            <w:tcW w:w="506" w:type="pct"/>
            <w:tcBorders>
              <w:top w:val="single" w:sz="4" w:space="0" w:color="auto"/>
              <w:bottom w:val="nil"/>
              <w:right w:val="single" w:sz="4" w:space="0" w:color="auto"/>
            </w:tcBorders>
            <w:shd w:val="clear" w:color="auto" w:fill="auto"/>
            <w:tcMar>
              <w:top w:w="110" w:type="dxa"/>
            </w:tcMar>
            <w:vAlign w:val="center"/>
          </w:tcPr>
          <w:p w:rsidR="00684449" w:rsidRPr="00D327E2" w:rsidRDefault="00684449" w:rsidP="00955E75">
            <w:pPr>
              <w:keepNext/>
              <w:keepLines/>
              <w:jc w:val="center"/>
              <w:rPr>
                <w:rFonts w:eastAsia="SimSun" w:cs="Arial"/>
                <w:b/>
                <w:color w:val="00B050"/>
                <w:sz w:val="16"/>
                <w:szCs w:val="16"/>
              </w:rPr>
            </w:pPr>
            <w:r w:rsidRPr="00D327E2">
              <w:rPr>
                <w:rFonts w:cs="Arial"/>
                <w:b/>
                <w:sz w:val="16"/>
                <w:szCs w:val="16"/>
              </w:rPr>
              <w:t>CC</w:t>
            </w:r>
          </w:p>
        </w:tc>
      </w:tr>
      <w:tr w:rsidR="00684449" w:rsidRPr="00D327E2" w:rsidTr="00955E75">
        <w:tc>
          <w:tcPr>
            <w:tcW w:w="1164" w:type="pct"/>
            <w:tcBorders>
              <w:top w:val="nil"/>
              <w:bottom w:val="single" w:sz="4" w:space="0" w:color="auto"/>
            </w:tcBorders>
            <w:shd w:val="clear" w:color="auto" w:fill="auto"/>
          </w:tcPr>
          <w:p w:rsidR="00684449" w:rsidRPr="00684449" w:rsidRDefault="00684449" w:rsidP="00955E75">
            <w:pPr>
              <w:rPr>
                <w:rFonts w:eastAsia="SimSun" w:cs="Arial"/>
                <w:color w:val="000000"/>
                <w:sz w:val="16"/>
                <w:szCs w:val="16"/>
                <w:lang w:val="ru-RU"/>
              </w:rPr>
            </w:pPr>
            <w:r w:rsidRPr="00684449">
              <w:rPr>
                <w:rFonts w:cs="Arial"/>
                <w:color w:val="000000"/>
                <w:sz w:val="16"/>
                <w:szCs w:val="16"/>
                <w:lang w:val="ru-RU"/>
              </w:rPr>
              <w:t>Доля (%) запросов о консультативной помощи, на которые были получены оперативные, независимые и взвешенные ответы из Бюро Юрисконсульта</w:t>
            </w:r>
          </w:p>
        </w:tc>
        <w:tc>
          <w:tcPr>
            <w:tcW w:w="1496" w:type="pct"/>
            <w:tcBorders>
              <w:top w:val="nil"/>
              <w:bottom w:val="single" w:sz="4" w:space="0" w:color="auto"/>
            </w:tcBorders>
            <w:shd w:val="clear" w:color="auto" w:fill="auto"/>
          </w:tcPr>
          <w:p w:rsidR="00684449" w:rsidRPr="00684449" w:rsidRDefault="00684449" w:rsidP="00955E75">
            <w:pPr>
              <w:rPr>
                <w:rFonts w:eastAsiaTheme="minorHAnsi" w:cs="Arial"/>
                <w:i/>
                <w:color w:val="002060"/>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color w:val="002060"/>
                <w:sz w:val="16"/>
                <w:szCs w:val="16"/>
                <w:lang w:val="ru-RU"/>
              </w:rPr>
              <w:t>несмотря на повышение числа запросов о консультациях, а также затрагиваемых ими вопросов, БЮ дает оперативные и взвешенные ответы на 98% полученных запросов.</w:t>
            </w:r>
          </w:p>
          <w:p w:rsidR="00684449" w:rsidRPr="00684449" w:rsidRDefault="00684449" w:rsidP="00955E75">
            <w:pPr>
              <w:rPr>
                <w:rFonts w:cs="Arial"/>
                <w:i/>
                <w:color w:val="002060"/>
                <w:sz w:val="16"/>
                <w:szCs w:val="16"/>
                <w:lang w:val="ru-RU"/>
              </w:rPr>
            </w:pPr>
          </w:p>
          <w:p w:rsidR="00684449" w:rsidRPr="00684449" w:rsidRDefault="00684449" w:rsidP="00955E75">
            <w:pPr>
              <w:rPr>
                <w:rFonts w:cs="Arial"/>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100%</w:t>
            </w:r>
            <w:r w:rsidRPr="00684449">
              <w:rPr>
                <w:rFonts w:cs="Arial"/>
                <w:sz w:val="16"/>
                <w:szCs w:val="16"/>
                <w:lang w:val="ru-RU"/>
              </w:rPr>
              <w:br/>
            </w:r>
          </w:p>
        </w:tc>
        <w:tc>
          <w:tcPr>
            <w:tcW w:w="594" w:type="pct"/>
            <w:tcBorders>
              <w:top w:val="nil"/>
              <w:bottom w:val="single" w:sz="4" w:space="0" w:color="auto"/>
            </w:tcBorders>
            <w:shd w:val="clear" w:color="auto" w:fill="auto"/>
            <w:tcMar>
              <w:top w:w="110" w:type="dxa"/>
            </w:tcMar>
          </w:tcPr>
          <w:p w:rsidR="00684449" w:rsidRPr="00D327E2" w:rsidRDefault="00684449" w:rsidP="00955E75">
            <w:pPr>
              <w:rPr>
                <w:rFonts w:eastAsia="SimSun" w:cs="Arial"/>
                <w:sz w:val="16"/>
                <w:szCs w:val="16"/>
              </w:rPr>
            </w:pPr>
            <w:r w:rsidRPr="00D327E2">
              <w:rPr>
                <w:rFonts w:cs="Arial"/>
                <w:sz w:val="16"/>
                <w:szCs w:val="16"/>
              </w:rPr>
              <w:t>90%</w:t>
            </w:r>
          </w:p>
        </w:tc>
        <w:tc>
          <w:tcPr>
            <w:tcW w:w="1240" w:type="pct"/>
            <w:gridSpan w:val="2"/>
            <w:tcBorders>
              <w:top w:val="nil"/>
              <w:bottom w:val="single" w:sz="4" w:space="0" w:color="auto"/>
            </w:tcBorders>
            <w:shd w:val="clear" w:color="auto" w:fill="FFFFFF"/>
            <w:tcMar>
              <w:top w:w="110" w:type="dxa"/>
            </w:tcMar>
          </w:tcPr>
          <w:p w:rsidR="00684449" w:rsidRPr="00684449" w:rsidRDefault="00684449" w:rsidP="00955E75">
            <w:pPr>
              <w:rPr>
                <w:rFonts w:eastAsia="SimSun" w:cs="Arial"/>
                <w:sz w:val="16"/>
                <w:szCs w:val="16"/>
                <w:lang w:val="ru-RU"/>
              </w:rPr>
            </w:pPr>
            <w:r w:rsidRPr="00684449">
              <w:rPr>
                <w:rFonts w:cs="Arial"/>
                <w:sz w:val="16"/>
                <w:szCs w:val="16"/>
                <w:lang w:val="ru-RU"/>
              </w:rPr>
              <w:t>В контексте значительного и растущего спроса на свои услуги БЮ продолжало предоставлять оперативные, независимые и взвешенные ответы на 95% запросов и просьб о консультативной помощи в 2014–2015</w:t>
            </w:r>
            <w:r w:rsidRPr="00D327E2">
              <w:rPr>
                <w:rFonts w:cs="Arial"/>
                <w:sz w:val="16"/>
                <w:szCs w:val="16"/>
              </w:rPr>
              <w:t> </w:t>
            </w:r>
            <w:r w:rsidRPr="00684449">
              <w:rPr>
                <w:rFonts w:cs="Arial"/>
                <w:sz w:val="16"/>
                <w:szCs w:val="16"/>
                <w:lang w:val="ru-RU"/>
              </w:rPr>
              <w:t>гг.</w:t>
            </w:r>
          </w:p>
        </w:tc>
        <w:tc>
          <w:tcPr>
            <w:tcW w:w="506" w:type="pct"/>
            <w:tcBorders>
              <w:top w:val="nil"/>
              <w:bottom w:val="single" w:sz="4" w:space="0" w:color="auto"/>
            </w:tcBorders>
            <w:shd w:val="clear" w:color="auto" w:fill="auto"/>
            <w:tcMar>
              <w:top w:w="110" w:type="dxa"/>
            </w:tcMar>
          </w:tcPr>
          <w:p w:rsidR="00684449" w:rsidRPr="00D327E2" w:rsidRDefault="00684449" w:rsidP="00955E75">
            <w:pPr>
              <w:keepNext/>
              <w:keepLines/>
              <w:jc w:val="center"/>
              <w:rPr>
                <w:rFonts w:eastAsia="SimSun" w:cs="Arial"/>
                <w:b/>
                <w:color w:val="00B050"/>
                <w:sz w:val="16"/>
                <w:szCs w:val="16"/>
              </w:rPr>
            </w:pPr>
            <w:r w:rsidRPr="00D327E2">
              <w:rPr>
                <w:rFonts w:cs="Arial"/>
                <w:b/>
                <w:color w:val="00B050"/>
                <w:sz w:val="16"/>
                <w:szCs w:val="16"/>
              </w:rPr>
              <w:t>Выполнено</w:t>
            </w:r>
          </w:p>
        </w:tc>
      </w:tr>
      <w:tr w:rsidR="00684449" w:rsidRPr="005C6ABD" w:rsidTr="00955E75">
        <w:trPr>
          <w:trHeight w:val="493"/>
        </w:trPr>
        <w:tc>
          <w:tcPr>
            <w:tcW w:w="5000" w:type="pct"/>
            <w:gridSpan w:val="6"/>
            <w:tcBorders>
              <w:top w:val="single" w:sz="4" w:space="0" w:color="auto"/>
              <w:bottom w:val="single" w:sz="4" w:space="0" w:color="auto"/>
            </w:tcBorders>
            <w:shd w:val="clear" w:color="auto" w:fill="C6D9F1" w:themeFill="text2" w:themeFillTint="33"/>
            <w:vAlign w:val="center"/>
          </w:tcPr>
          <w:p w:rsidR="00684449" w:rsidRPr="00684449" w:rsidRDefault="00684449" w:rsidP="00D340AF">
            <w:pPr>
              <w:keepNext/>
              <w:keepLines/>
              <w:tabs>
                <w:tab w:val="left" w:pos="0"/>
              </w:tabs>
              <w:ind w:left="2302" w:hanging="2302"/>
              <w:rPr>
                <w:rFonts w:eastAsia="SimSun" w:cs="Arial"/>
                <w:b/>
                <w:bCs/>
                <w:sz w:val="16"/>
                <w:szCs w:val="16"/>
                <w:lang w:val="ru-RU"/>
              </w:rPr>
            </w:pPr>
            <w:r w:rsidRPr="00684449">
              <w:rPr>
                <w:rFonts w:cs="Arial"/>
                <w:b/>
                <w:sz w:val="16"/>
                <w:szCs w:val="16"/>
                <w:lang w:val="ru-RU"/>
              </w:rPr>
              <w:t>Ожидаемый результат:</w:t>
            </w:r>
            <w:r w:rsidRPr="00684449">
              <w:rPr>
                <w:rFonts w:cs="Arial"/>
                <w:sz w:val="16"/>
                <w:szCs w:val="16"/>
                <w:lang w:val="ru-RU"/>
              </w:rPr>
              <w:t xml:space="preserve"> </w:t>
            </w:r>
            <w:r w:rsidRPr="00684449">
              <w:rPr>
                <w:rFonts w:cs="Arial"/>
                <w:sz w:val="16"/>
                <w:szCs w:val="16"/>
                <w:lang w:val="ru-RU"/>
              </w:rPr>
              <w:tab/>
            </w:r>
            <w:r w:rsidRPr="00D327E2">
              <w:rPr>
                <w:rFonts w:cs="Arial"/>
                <w:color w:val="000000"/>
                <w:sz w:val="16"/>
                <w:szCs w:val="16"/>
              </w:rPr>
              <w:t>IX</w:t>
            </w:r>
            <w:r w:rsidRPr="00684449">
              <w:rPr>
                <w:rFonts w:cs="Arial"/>
                <w:color w:val="000000"/>
                <w:sz w:val="16"/>
                <w:szCs w:val="16"/>
                <w:lang w:val="ru-RU"/>
              </w:rPr>
              <w:t>.3. Благоприятная рабочая среда, подкрепляемая эффективной нормативно-правовой баз</w:t>
            </w:r>
            <w:r w:rsidR="00D340AF">
              <w:rPr>
                <w:rFonts w:cs="Arial"/>
                <w:color w:val="000000"/>
                <w:sz w:val="16"/>
                <w:szCs w:val="16"/>
                <w:lang w:val="ru-RU"/>
              </w:rPr>
              <w:t xml:space="preserve">ой и </w:t>
            </w:r>
            <w:r w:rsidRPr="00684449">
              <w:rPr>
                <w:rFonts w:cs="Arial"/>
                <w:color w:val="000000"/>
                <w:sz w:val="16"/>
                <w:szCs w:val="16"/>
                <w:lang w:val="ru-RU"/>
              </w:rPr>
              <w:t>надлежащими каналами для решения проблем персонала</w:t>
            </w:r>
          </w:p>
        </w:tc>
      </w:tr>
      <w:tr w:rsidR="00684449" w:rsidRPr="00D327E2" w:rsidTr="00955E75">
        <w:tc>
          <w:tcPr>
            <w:tcW w:w="1164" w:type="pct"/>
            <w:tcBorders>
              <w:top w:val="single" w:sz="4" w:space="0" w:color="auto"/>
              <w:left w:val="single" w:sz="4" w:space="0" w:color="auto"/>
              <w:bottom w:val="nil"/>
            </w:tcBorders>
            <w:shd w:val="clear" w:color="auto" w:fill="auto"/>
            <w:vAlign w:val="center"/>
          </w:tcPr>
          <w:p w:rsidR="00684449" w:rsidRPr="00D327E2" w:rsidRDefault="00684449" w:rsidP="00955E75">
            <w:pPr>
              <w:rPr>
                <w:rFonts w:eastAsia="SimSun" w:cs="Arial"/>
                <w:color w:val="000000"/>
                <w:sz w:val="16"/>
                <w:szCs w:val="16"/>
              </w:rPr>
            </w:pPr>
            <w:r w:rsidRPr="00D327E2">
              <w:rPr>
                <w:rFonts w:cs="Arial"/>
                <w:b/>
                <w:sz w:val="16"/>
                <w:szCs w:val="16"/>
              </w:rPr>
              <w:t>Показатели результативности</w:t>
            </w:r>
          </w:p>
        </w:tc>
        <w:tc>
          <w:tcPr>
            <w:tcW w:w="1496" w:type="pct"/>
            <w:tcBorders>
              <w:top w:val="single" w:sz="4" w:space="0" w:color="auto"/>
              <w:bottom w:val="nil"/>
            </w:tcBorders>
            <w:shd w:val="clear" w:color="auto" w:fill="auto"/>
            <w:vAlign w:val="center"/>
          </w:tcPr>
          <w:p w:rsidR="00684449" w:rsidRPr="00D327E2" w:rsidRDefault="00684449" w:rsidP="00955E75">
            <w:pPr>
              <w:rPr>
                <w:rFonts w:cs="Arial"/>
                <w:i/>
                <w:color w:val="002060"/>
                <w:sz w:val="16"/>
                <w:szCs w:val="16"/>
              </w:rPr>
            </w:pPr>
            <w:r w:rsidRPr="00D327E2">
              <w:rPr>
                <w:rFonts w:cs="Arial"/>
                <w:b/>
                <w:sz w:val="16"/>
                <w:szCs w:val="16"/>
              </w:rPr>
              <w:t>Базовые показатели</w:t>
            </w:r>
          </w:p>
        </w:tc>
        <w:tc>
          <w:tcPr>
            <w:tcW w:w="594" w:type="pct"/>
            <w:tcBorders>
              <w:top w:val="single" w:sz="4" w:space="0" w:color="auto"/>
              <w:bottom w:val="nil"/>
            </w:tcBorders>
            <w:shd w:val="clear" w:color="auto" w:fill="auto"/>
            <w:tcMar>
              <w:top w:w="110" w:type="dxa"/>
            </w:tcMar>
            <w:vAlign w:val="center"/>
          </w:tcPr>
          <w:p w:rsidR="00684449" w:rsidRPr="00D327E2" w:rsidRDefault="00684449" w:rsidP="00955E75">
            <w:pPr>
              <w:rPr>
                <w:rFonts w:eastAsia="SimSun" w:cs="Arial"/>
                <w:sz w:val="16"/>
                <w:szCs w:val="16"/>
              </w:rPr>
            </w:pPr>
            <w:r w:rsidRPr="00D327E2">
              <w:rPr>
                <w:rFonts w:cs="Arial"/>
                <w:b/>
                <w:sz w:val="16"/>
                <w:szCs w:val="16"/>
              </w:rPr>
              <w:t>Цели</w:t>
            </w:r>
          </w:p>
        </w:tc>
        <w:tc>
          <w:tcPr>
            <w:tcW w:w="1240" w:type="pct"/>
            <w:gridSpan w:val="2"/>
            <w:tcBorders>
              <w:top w:val="single" w:sz="4" w:space="0" w:color="auto"/>
              <w:bottom w:val="nil"/>
            </w:tcBorders>
            <w:shd w:val="clear" w:color="auto" w:fill="FFFFFF"/>
            <w:tcMar>
              <w:top w:w="110" w:type="dxa"/>
            </w:tcMar>
            <w:vAlign w:val="center"/>
          </w:tcPr>
          <w:p w:rsidR="00684449" w:rsidRPr="00D327E2" w:rsidRDefault="00684449" w:rsidP="00955E75">
            <w:pPr>
              <w:rPr>
                <w:rFonts w:eastAsia="SimSun" w:cs="Arial"/>
                <w:sz w:val="16"/>
                <w:szCs w:val="16"/>
              </w:rPr>
            </w:pPr>
            <w:r w:rsidRPr="00D327E2">
              <w:rPr>
                <w:rFonts w:cs="Arial"/>
                <w:b/>
                <w:sz w:val="16"/>
                <w:szCs w:val="16"/>
              </w:rPr>
              <w:t>Данные о результативности</w:t>
            </w:r>
          </w:p>
        </w:tc>
        <w:tc>
          <w:tcPr>
            <w:tcW w:w="506" w:type="pct"/>
            <w:tcBorders>
              <w:top w:val="single" w:sz="4" w:space="0" w:color="auto"/>
              <w:bottom w:val="nil"/>
              <w:right w:val="single" w:sz="4" w:space="0" w:color="auto"/>
            </w:tcBorders>
            <w:shd w:val="clear" w:color="auto" w:fill="auto"/>
            <w:tcMar>
              <w:top w:w="110" w:type="dxa"/>
            </w:tcMar>
            <w:vAlign w:val="center"/>
          </w:tcPr>
          <w:p w:rsidR="00684449" w:rsidRPr="00D327E2" w:rsidRDefault="00684449" w:rsidP="00955E75">
            <w:pPr>
              <w:keepNext/>
              <w:keepLines/>
              <w:jc w:val="center"/>
              <w:rPr>
                <w:rFonts w:eastAsia="SimSun" w:cs="Arial"/>
                <w:b/>
                <w:color w:val="808080" w:themeColor="background1" w:themeShade="80"/>
                <w:sz w:val="16"/>
                <w:szCs w:val="16"/>
              </w:rPr>
            </w:pPr>
            <w:r w:rsidRPr="00D327E2">
              <w:rPr>
                <w:rFonts w:cs="Arial"/>
                <w:b/>
                <w:sz w:val="16"/>
                <w:szCs w:val="16"/>
              </w:rPr>
              <w:t>CC</w:t>
            </w:r>
          </w:p>
        </w:tc>
      </w:tr>
      <w:tr w:rsidR="00684449" w:rsidRPr="00D327E2" w:rsidTr="00955E75">
        <w:tc>
          <w:tcPr>
            <w:tcW w:w="1164" w:type="pct"/>
            <w:tcBorders>
              <w:top w:val="nil"/>
              <w:bottom w:val="nil"/>
            </w:tcBorders>
            <w:shd w:val="clear" w:color="auto" w:fill="auto"/>
          </w:tcPr>
          <w:p w:rsidR="00684449" w:rsidRPr="00684449" w:rsidRDefault="00684449" w:rsidP="00955E75">
            <w:pPr>
              <w:rPr>
                <w:rFonts w:eastAsia="SimSun" w:cs="Arial"/>
                <w:color w:val="000000"/>
                <w:sz w:val="16"/>
                <w:szCs w:val="16"/>
                <w:lang w:val="ru-RU"/>
              </w:rPr>
            </w:pPr>
            <w:r w:rsidRPr="00684449">
              <w:rPr>
                <w:rFonts w:cs="Arial"/>
                <w:color w:val="000000"/>
                <w:sz w:val="16"/>
                <w:szCs w:val="16"/>
                <w:lang w:val="ru-RU"/>
              </w:rPr>
              <w:t>Доля (%) сотрудников ВОИС, осведомленных о предоставляемых Бюро Омбудсмена услугах и неофициальном механизме урегулирования конфликтов</w:t>
            </w:r>
          </w:p>
        </w:tc>
        <w:tc>
          <w:tcPr>
            <w:tcW w:w="1496" w:type="pct"/>
            <w:tcBorders>
              <w:top w:val="nil"/>
              <w:bottom w:val="nil"/>
            </w:tcBorders>
            <w:shd w:val="clear" w:color="auto" w:fill="auto"/>
          </w:tcPr>
          <w:p w:rsidR="00684449" w:rsidRPr="00684449" w:rsidRDefault="00684449" w:rsidP="00955E75">
            <w:pPr>
              <w:rPr>
                <w:rFonts w:cs="Arial"/>
                <w:color w:val="002060"/>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color w:val="002060"/>
                <w:sz w:val="16"/>
                <w:szCs w:val="16"/>
                <w:lang w:val="ru-RU"/>
              </w:rPr>
              <w:t>Результаты опроса персонала в 2013</w:t>
            </w:r>
            <w:r w:rsidRPr="00D327E2">
              <w:rPr>
                <w:rFonts w:cs="Arial"/>
                <w:color w:val="002060"/>
                <w:sz w:val="16"/>
                <w:szCs w:val="16"/>
              </w:rPr>
              <w:t> </w:t>
            </w:r>
            <w:r w:rsidRPr="00684449">
              <w:rPr>
                <w:rFonts w:cs="Arial"/>
                <w:color w:val="002060"/>
                <w:sz w:val="16"/>
                <w:szCs w:val="16"/>
                <w:lang w:val="ru-RU"/>
              </w:rPr>
              <w:t>г.: 63%</w:t>
            </w:r>
          </w:p>
          <w:p w:rsidR="00684449" w:rsidRPr="00684449" w:rsidRDefault="00684449" w:rsidP="00955E75">
            <w:pPr>
              <w:rPr>
                <w:rFonts w:cs="Arial"/>
                <w:color w:val="002060"/>
                <w:sz w:val="16"/>
                <w:szCs w:val="16"/>
                <w:lang w:val="ru-RU"/>
              </w:rPr>
            </w:pPr>
            <w:r w:rsidRPr="00684449">
              <w:rPr>
                <w:rFonts w:cs="Arial"/>
                <w:color w:val="002060"/>
                <w:sz w:val="16"/>
                <w:szCs w:val="16"/>
                <w:lang w:val="ru-RU"/>
              </w:rPr>
              <w:t>знакомы с функциями Омбудсмена,</w:t>
            </w:r>
          </w:p>
          <w:p w:rsidR="00684449" w:rsidRPr="00684449" w:rsidRDefault="00684449" w:rsidP="00955E75">
            <w:pPr>
              <w:rPr>
                <w:rFonts w:cs="Arial"/>
                <w:color w:val="002060"/>
                <w:sz w:val="16"/>
                <w:szCs w:val="16"/>
                <w:lang w:val="ru-RU"/>
              </w:rPr>
            </w:pPr>
            <w:r w:rsidRPr="00684449">
              <w:rPr>
                <w:rFonts w:cs="Arial"/>
                <w:color w:val="002060"/>
                <w:sz w:val="16"/>
                <w:szCs w:val="16"/>
                <w:lang w:val="ru-RU"/>
              </w:rPr>
              <w:t>32</w:t>
            </w:r>
            <w:r w:rsidRPr="00D327E2">
              <w:rPr>
                <w:rFonts w:cs="Arial"/>
                <w:color w:val="002060"/>
                <w:sz w:val="16"/>
                <w:szCs w:val="16"/>
              </w:rPr>
              <w:t> </w:t>
            </w:r>
            <w:r w:rsidRPr="00684449">
              <w:rPr>
                <w:rFonts w:cs="Arial"/>
                <w:color w:val="002060"/>
                <w:sz w:val="16"/>
                <w:szCs w:val="16"/>
                <w:lang w:val="ru-RU"/>
              </w:rPr>
              <w:t>% – частично знакомы</w:t>
            </w:r>
          </w:p>
          <w:p w:rsidR="00684449" w:rsidRPr="00684449" w:rsidRDefault="00684449" w:rsidP="00955E75">
            <w:pPr>
              <w:rPr>
                <w:rFonts w:cs="Arial"/>
                <w:color w:val="002060"/>
                <w:sz w:val="16"/>
                <w:szCs w:val="16"/>
                <w:lang w:val="ru-RU"/>
              </w:rPr>
            </w:pPr>
          </w:p>
          <w:p w:rsidR="00684449" w:rsidRPr="00684449" w:rsidRDefault="00684449" w:rsidP="00955E75">
            <w:pPr>
              <w:rPr>
                <w:rFonts w:eastAsiaTheme="minorHAnsi" w:cs="Arial"/>
                <w:color w:val="002060"/>
                <w:sz w:val="16"/>
                <w:szCs w:val="16"/>
                <w:lang w:val="ru-RU"/>
              </w:rPr>
            </w:pPr>
            <w:r w:rsidRPr="00684449">
              <w:rPr>
                <w:rFonts w:cs="Arial"/>
                <w:sz w:val="16"/>
                <w:szCs w:val="16"/>
                <w:lang w:val="ru-RU"/>
              </w:rPr>
              <w:t>77% по данным опроса пользователей 2012 г. (проведен в марте 2013</w:t>
            </w:r>
            <w:r w:rsidRPr="00D327E2">
              <w:rPr>
                <w:rFonts w:cs="Arial"/>
                <w:sz w:val="16"/>
                <w:szCs w:val="16"/>
              </w:rPr>
              <w:t> </w:t>
            </w:r>
            <w:r w:rsidRPr="00684449">
              <w:rPr>
                <w:rFonts w:cs="Arial"/>
                <w:sz w:val="16"/>
                <w:szCs w:val="16"/>
                <w:lang w:val="ru-RU"/>
              </w:rPr>
              <w:t>г.).</w:t>
            </w:r>
          </w:p>
          <w:p w:rsidR="00684449" w:rsidRPr="00684449" w:rsidRDefault="00684449" w:rsidP="00955E75">
            <w:pPr>
              <w:rPr>
                <w:rFonts w:cs="Arial"/>
                <w:i/>
                <w:color w:val="002060"/>
                <w:sz w:val="16"/>
                <w:szCs w:val="16"/>
                <w:lang w:val="ru-RU"/>
              </w:rPr>
            </w:pPr>
          </w:p>
          <w:p w:rsidR="00684449" w:rsidRPr="00684449" w:rsidRDefault="00684449" w:rsidP="00955E75">
            <w:pPr>
              <w:rPr>
                <w:rFonts w:cs="Arial"/>
                <w:i/>
                <w:color w:val="002060"/>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результаты опроса персонала в 2011</w:t>
            </w:r>
            <w:r w:rsidRPr="00D327E2">
              <w:rPr>
                <w:rFonts w:cs="Arial"/>
                <w:sz w:val="16"/>
                <w:szCs w:val="16"/>
              </w:rPr>
              <w:t> </w:t>
            </w:r>
            <w:r w:rsidRPr="00684449">
              <w:rPr>
                <w:rFonts w:cs="Arial"/>
                <w:sz w:val="16"/>
                <w:szCs w:val="16"/>
                <w:lang w:val="ru-RU"/>
              </w:rPr>
              <w:t>г.:  44% сотрудников знакомы с функциями Омбудсмена, 49% частично знакомы</w:t>
            </w:r>
          </w:p>
        </w:tc>
        <w:tc>
          <w:tcPr>
            <w:tcW w:w="594" w:type="pct"/>
            <w:tcBorders>
              <w:top w:val="nil"/>
              <w:bottom w:val="nil"/>
            </w:tcBorders>
            <w:shd w:val="clear" w:color="auto" w:fill="auto"/>
            <w:tcMar>
              <w:top w:w="110" w:type="dxa"/>
            </w:tcMar>
          </w:tcPr>
          <w:p w:rsidR="00684449" w:rsidRPr="00684449" w:rsidRDefault="00684449" w:rsidP="00955E75">
            <w:pPr>
              <w:rPr>
                <w:rFonts w:eastAsia="SimSun" w:cs="Arial"/>
                <w:sz w:val="16"/>
                <w:szCs w:val="16"/>
                <w:lang w:val="ru-RU"/>
              </w:rPr>
            </w:pPr>
            <w:r w:rsidRPr="00684449">
              <w:rPr>
                <w:rFonts w:cs="Arial"/>
                <w:sz w:val="16"/>
                <w:szCs w:val="16"/>
                <w:lang w:val="ru-RU"/>
              </w:rPr>
              <w:t>Повышение степени осведомленности персонала до 60%</w:t>
            </w:r>
          </w:p>
        </w:tc>
        <w:tc>
          <w:tcPr>
            <w:tcW w:w="1240" w:type="pct"/>
            <w:gridSpan w:val="2"/>
            <w:tcBorders>
              <w:top w:val="nil"/>
              <w:bottom w:val="nil"/>
            </w:tcBorders>
            <w:shd w:val="clear" w:color="auto" w:fill="FFFFFF"/>
            <w:tcMar>
              <w:top w:w="110" w:type="dxa"/>
            </w:tcMar>
          </w:tcPr>
          <w:p w:rsidR="00684449" w:rsidRPr="00684449" w:rsidRDefault="00684449" w:rsidP="00955E75">
            <w:pPr>
              <w:rPr>
                <w:rFonts w:eastAsia="SimSun" w:cs="Arial"/>
                <w:sz w:val="16"/>
                <w:szCs w:val="16"/>
                <w:lang w:val="ru-RU"/>
              </w:rPr>
            </w:pPr>
            <w:r w:rsidRPr="00684449">
              <w:rPr>
                <w:rFonts w:cs="Arial"/>
                <w:sz w:val="16"/>
                <w:szCs w:val="16"/>
                <w:lang w:val="ru-RU"/>
              </w:rPr>
              <w:t>Запланированный на 2015</w:t>
            </w:r>
            <w:r w:rsidRPr="00D327E2">
              <w:rPr>
                <w:rFonts w:cs="Arial"/>
                <w:sz w:val="16"/>
                <w:szCs w:val="16"/>
              </w:rPr>
              <w:t> </w:t>
            </w:r>
            <w:r w:rsidRPr="00684449">
              <w:rPr>
                <w:rFonts w:cs="Arial"/>
                <w:sz w:val="16"/>
                <w:szCs w:val="16"/>
                <w:lang w:val="ru-RU"/>
              </w:rPr>
              <w:t>г. опрос сотрудников проведен не был</w:t>
            </w:r>
          </w:p>
        </w:tc>
        <w:tc>
          <w:tcPr>
            <w:tcW w:w="506" w:type="pct"/>
            <w:tcBorders>
              <w:top w:val="nil"/>
              <w:bottom w:val="nil"/>
            </w:tcBorders>
            <w:shd w:val="clear" w:color="auto" w:fill="auto"/>
            <w:tcMar>
              <w:top w:w="110" w:type="dxa"/>
            </w:tcMar>
          </w:tcPr>
          <w:p w:rsidR="00684449" w:rsidRPr="00D327E2" w:rsidRDefault="00684449" w:rsidP="00955E75">
            <w:pPr>
              <w:keepNext/>
              <w:keepLines/>
              <w:jc w:val="center"/>
              <w:rPr>
                <w:rFonts w:eastAsia="SimSun" w:cs="Arial"/>
                <w:b/>
                <w:color w:val="00B050"/>
                <w:sz w:val="16"/>
                <w:szCs w:val="16"/>
              </w:rPr>
            </w:pPr>
            <w:r w:rsidRPr="00D327E2">
              <w:rPr>
                <w:rFonts w:cs="Arial"/>
                <w:b/>
                <w:color w:val="808080" w:themeColor="background1" w:themeShade="80"/>
                <w:sz w:val="16"/>
                <w:szCs w:val="16"/>
              </w:rPr>
              <w:t>Не подлежит оценке</w:t>
            </w:r>
          </w:p>
        </w:tc>
      </w:tr>
      <w:tr w:rsidR="00684449" w:rsidRPr="00D327E2" w:rsidTr="00955E75">
        <w:tc>
          <w:tcPr>
            <w:tcW w:w="1164" w:type="pct"/>
            <w:tcBorders>
              <w:top w:val="nil"/>
              <w:bottom w:val="single" w:sz="4" w:space="0" w:color="auto"/>
            </w:tcBorders>
            <w:shd w:val="clear" w:color="auto" w:fill="auto"/>
          </w:tcPr>
          <w:p w:rsidR="00684449" w:rsidRPr="00684449" w:rsidRDefault="00684449" w:rsidP="00955E75">
            <w:pPr>
              <w:rPr>
                <w:rFonts w:eastAsia="SimSun" w:cs="Arial"/>
                <w:color w:val="000000"/>
                <w:sz w:val="16"/>
                <w:szCs w:val="16"/>
                <w:lang w:val="ru-RU"/>
              </w:rPr>
            </w:pPr>
            <w:r w:rsidRPr="00684449">
              <w:rPr>
                <w:rFonts w:cs="Arial"/>
                <w:color w:val="000000"/>
                <w:sz w:val="16"/>
                <w:szCs w:val="16"/>
                <w:lang w:val="ru-RU"/>
              </w:rPr>
              <w:t>Доля (%) участников опроса, осведомленных об этических принципах и правилах ВОИС</w:t>
            </w:r>
          </w:p>
        </w:tc>
        <w:tc>
          <w:tcPr>
            <w:tcW w:w="1496" w:type="pct"/>
            <w:tcBorders>
              <w:top w:val="nil"/>
              <w:bottom w:val="single" w:sz="4" w:space="0" w:color="auto"/>
            </w:tcBorders>
            <w:shd w:val="clear" w:color="auto" w:fill="auto"/>
          </w:tcPr>
          <w:p w:rsidR="00684449" w:rsidRPr="00684449" w:rsidRDefault="00684449" w:rsidP="00955E75">
            <w:pPr>
              <w:rPr>
                <w:rFonts w:eastAsiaTheme="minorHAnsi" w:cs="Arial"/>
                <w:color w:val="002060"/>
                <w:sz w:val="16"/>
                <w:szCs w:val="16"/>
                <w:lang w:val="ru-RU"/>
              </w:rPr>
            </w:pPr>
            <w:r w:rsidRPr="00684449">
              <w:rPr>
                <w:rFonts w:cs="Arial"/>
                <w:i/>
                <w:color w:val="002060"/>
                <w:sz w:val="16"/>
                <w:szCs w:val="16"/>
                <w:lang w:val="ru-RU"/>
              </w:rPr>
              <w:t>Обновленные базовые показатели, конец 2013</w:t>
            </w:r>
            <w:r w:rsidRPr="00D327E2">
              <w:rPr>
                <w:rFonts w:cs="Arial"/>
                <w:i/>
                <w:color w:val="002060"/>
                <w:sz w:val="16"/>
                <w:szCs w:val="16"/>
              </w:rPr>
              <w:t> </w:t>
            </w:r>
            <w:r w:rsidRPr="00684449">
              <w:rPr>
                <w:rFonts w:cs="Arial"/>
                <w:i/>
                <w:color w:val="002060"/>
                <w:sz w:val="16"/>
                <w:szCs w:val="16"/>
                <w:lang w:val="ru-RU"/>
              </w:rPr>
              <w:t xml:space="preserve">г.:  </w:t>
            </w:r>
            <w:r w:rsidRPr="00684449">
              <w:rPr>
                <w:rFonts w:cs="Arial"/>
                <w:color w:val="002060"/>
                <w:sz w:val="16"/>
                <w:szCs w:val="16"/>
                <w:lang w:val="ru-RU"/>
              </w:rPr>
              <w:t>98% согласно данным опроса ПСП «Ключевые ценности» (проводился с января по февраль 2013 г.).</w:t>
            </w:r>
          </w:p>
          <w:p w:rsidR="00684449" w:rsidRPr="00684449" w:rsidRDefault="00684449" w:rsidP="00955E75">
            <w:pPr>
              <w:rPr>
                <w:rFonts w:cs="Arial"/>
                <w:i/>
                <w:color w:val="002060"/>
                <w:sz w:val="16"/>
                <w:szCs w:val="16"/>
                <w:lang w:val="ru-RU"/>
              </w:rPr>
            </w:pPr>
          </w:p>
          <w:p w:rsidR="00684449" w:rsidRPr="00684449" w:rsidRDefault="00684449" w:rsidP="00955E75">
            <w:pPr>
              <w:rPr>
                <w:rFonts w:cs="Arial"/>
                <w:sz w:val="16"/>
                <w:szCs w:val="16"/>
                <w:lang w:val="ru-RU"/>
              </w:rPr>
            </w:pPr>
            <w:r w:rsidRPr="00684449">
              <w:rPr>
                <w:rFonts w:cs="Arial"/>
                <w:i/>
                <w:sz w:val="16"/>
                <w:szCs w:val="16"/>
                <w:lang w:val="ru-RU"/>
              </w:rPr>
              <w:t>Исходные базовые показатели ПиБ на 2014–2015 гг.:</w:t>
            </w:r>
            <w:r w:rsidRPr="00684449">
              <w:rPr>
                <w:rFonts w:cs="Arial"/>
                <w:sz w:val="16"/>
                <w:szCs w:val="16"/>
                <w:lang w:val="ru-RU"/>
              </w:rPr>
              <w:t xml:space="preserve">  70%</w:t>
            </w:r>
          </w:p>
          <w:p w:rsidR="00684449" w:rsidRPr="00684449" w:rsidRDefault="00684449" w:rsidP="00955E75">
            <w:pPr>
              <w:rPr>
                <w:rFonts w:cs="Arial"/>
                <w:i/>
                <w:color w:val="002060"/>
                <w:sz w:val="16"/>
                <w:szCs w:val="16"/>
                <w:lang w:val="ru-RU"/>
              </w:rPr>
            </w:pPr>
          </w:p>
        </w:tc>
        <w:tc>
          <w:tcPr>
            <w:tcW w:w="594" w:type="pct"/>
            <w:tcBorders>
              <w:top w:val="nil"/>
              <w:bottom w:val="single" w:sz="4" w:space="0" w:color="auto"/>
            </w:tcBorders>
            <w:shd w:val="clear" w:color="auto" w:fill="auto"/>
            <w:tcMar>
              <w:top w:w="110" w:type="dxa"/>
            </w:tcMar>
          </w:tcPr>
          <w:p w:rsidR="00684449" w:rsidRPr="00D327E2" w:rsidRDefault="00684449" w:rsidP="00955E75">
            <w:pPr>
              <w:rPr>
                <w:rFonts w:eastAsia="SimSun" w:cs="Arial"/>
                <w:sz w:val="16"/>
                <w:szCs w:val="16"/>
              </w:rPr>
            </w:pPr>
            <w:r w:rsidRPr="00D327E2">
              <w:rPr>
                <w:rFonts w:cs="Arial"/>
                <w:sz w:val="16"/>
                <w:szCs w:val="16"/>
              </w:rPr>
              <w:t>75%</w:t>
            </w:r>
          </w:p>
        </w:tc>
        <w:tc>
          <w:tcPr>
            <w:tcW w:w="1240" w:type="pct"/>
            <w:gridSpan w:val="2"/>
            <w:tcBorders>
              <w:top w:val="nil"/>
              <w:bottom w:val="single" w:sz="4" w:space="0" w:color="auto"/>
            </w:tcBorders>
            <w:shd w:val="clear" w:color="auto" w:fill="FFFFFF"/>
            <w:tcMar>
              <w:top w:w="110" w:type="dxa"/>
            </w:tcMar>
          </w:tcPr>
          <w:p w:rsidR="00684449" w:rsidRPr="00684449" w:rsidRDefault="00684449" w:rsidP="00955E75">
            <w:pPr>
              <w:rPr>
                <w:rFonts w:eastAsia="SimSun" w:cs="Arial"/>
                <w:sz w:val="16"/>
                <w:szCs w:val="16"/>
                <w:lang w:val="ru-RU"/>
              </w:rPr>
            </w:pPr>
            <w:r w:rsidRPr="00684449">
              <w:rPr>
                <w:rFonts w:cs="Arial"/>
                <w:sz w:val="16"/>
                <w:szCs w:val="16"/>
                <w:lang w:val="ru-RU"/>
              </w:rPr>
              <w:t>Опрос сотрудников, запланированный на рассматриваемых двухлетний период, проведен не был</w:t>
            </w:r>
          </w:p>
        </w:tc>
        <w:tc>
          <w:tcPr>
            <w:tcW w:w="506" w:type="pct"/>
            <w:tcBorders>
              <w:top w:val="nil"/>
              <w:bottom w:val="single" w:sz="4" w:space="0" w:color="auto"/>
            </w:tcBorders>
            <w:shd w:val="clear" w:color="auto" w:fill="auto"/>
            <w:tcMar>
              <w:top w:w="110" w:type="dxa"/>
            </w:tcMar>
          </w:tcPr>
          <w:p w:rsidR="00684449" w:rsidRPr="00D327E2" w:rsidRDefault="00684449" w:rsidP="00955E75">
            <w:pPr>
              <w:keepNext/>
              <w:keepLines/>
              <w:jc w:val="center"/>
              <w:rPr>
                <w:rFonts w:eastAsia="SimSun" w:cs="Arial"/>
                <w:b/>
                <w:color w:val="00B050"/>
                <w:sz w:val="16"/>
                <w:szCs w:val="16"/>
              </w:rPr>
            </w:pPr>
            <w:r w:rsidRPr="00D327E2">
              <w:rPr>
                <w:rFonts w:cs="Arial"/>
                <w:b/>
                <w:color w:val="808080" w:themeColor="background1" w:themeShade="80"/>
                <w:sz w:val="16"/>
                <w:szCs w:val="16"/>
              </w:rPr>
              <w:t>Не подлежит оценке</w:t>
            </w:r>
          </w:p>
        </w:tc>
      </w:tr>
    </w:tbl>
    <w:p w:rsidR="00684449" w:rsidRDefault="00684449" w:rsidP="00684449">
      <w:pPr>
        <w:rPr>
          <w:rFonts w:cs="Arial"/>
          <w:color w:val="000000"/>
          <w:sz w:val="22"/>
          <w:szCs w:val="22"/>
        </w:rPr>
      </w:pPr>
    </w:p>
    <w:p w:rsidR="00684449" w:rsidRPr="00684449" w:rsidRDefault="00684449" w:rsidP="00684449">
      <w:pPr>
        <w:keepNext/>
        <w:keepLines/>
        <w:rPr>
          <w:rFonts w:cs="Arial"/>
          <w:color w:val="000000"/>
          <w:szCs w:val="22"/>
          <w:lang w:val="ru-RU"/>
        </w:rPr>
      </w:pPr>
      <w:r w:rsidRPr="00684449">
        <w:rPr>
          <w:color w:val="000000"/>
          <w:lang w:val="ru-RU"/>
        </w:rPr>
        <w:t>ОТЧЕТ О РИСКАХ В ДВУХЛЕТНИЙ ПЕРИОД</w:t>
      </w:r>
    </w:p>
    <w:p w:rsidR="00684449" w:rsidRPr="00684449" w:rsidRDefault="00684449" w:rsidP="00684449">
      <w:pPr>
        <w:keepNext/>
        <w:keepLines/>
        <w:rPr>
          <w:lang w:val="ru-RU"/>
        </w:rPr>
      </w:pPr>
    </w:p>
    <w:tbl>
      <w:tblPr>
        <w:tblW w:w="9778"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691"/>
        <w:gridCol w:w="2268"/>
        <w:gridCol w:w="2268"/>
        <w:gridCol w:w="2551"/>
      </w:tblGrid>
      <w:tr w:rsidR="00684449" w:rsidRPr="003C527B" w:rsidTr="00955E75">
        <w:trPr>
          <w:trHeight w:val="412"/>
        </w:trPr>
        <w:tc>
          <w:tcPr>
            <w:tcW w:w="2691" w:type="dxa"/>
            <w:tcBorders>
              <w:top w:val="single" w:sz="4" w:space="0" w:color="auto"/>
              <w:bottom w:val="single" w:sz="4" w:space="0" w:color="auto"/>
            </w:tcBorders>
            <w:shd w:val="clear" w:color="auto" w:fill="C6D9F1" w:themeFill="text2" w:themeFillTint="33"/>
            <w:tcMar>
              <w:top w:w="113" w:type="dxa"/>
              <w:bottom w:w="85" w:type="dxa"/>
            </w:tcMar>
            <w:vAlign w:val="center"/>
          </w:tcPr>
          <w:p w:rsidR="00684449" w:rsidRPr="00684449" w:rsidRDefault="00684449" w:rsidP="00955E75">
            <w:pPr>
              <w:keepNext/>
              <w:keepLines/>
              <w:jc w:val="center"/>
              <w:rPr>
                <w:lang w:val="ru-RU"/>
              </w:rPr>
            </w:pPr>
            <w:r w:rsidRPr="00684449">
              <w:rPr>
                <w:b/>
                <w:sz w:val="18"/>
                <w:lang w:val="ru-RU"/>
              </w:rPr>
              <w:t>Риск (риски) того, что результаты программы не будут достигнуты</w:t>
            </w:r>
          </w:p>
        </w:tc>
        <w:tc>
          <w:tcPr>
            <w:tcW w:w="2268" w:type="dxa"/>
            <w:tcBorders>
              <w:top w:val="single" w:sz="4" w:space="0" w:color="auto"/>
              <w:bottom w:val="single" w:sz="4" w:space="0" w:color="auto"/>
            </w:tcBorders>
            <w:shd w:val="clear" w:color="auto" w:fill="C6D9F1" w:themeFill="text2" w:themeFillTint="33"/>
            <w:tcMar>
              <w:top w:w="113" w:type="dxa"/>
              <w:bottom w:w="85" w:type="dxa"/>
            </w:tcMar>
            <w:vAlign w:val="center"/>
          </w:tcPr>
          <w:p w:rsidR="00684449" w:rsidRPr="00684449" w:rsidRDefault="00684449" w:rsidP="00955E75">
            <w:pPr>
              <w:keepNext/>
              <w:keepLines/>
              <w:jc w:val="center"/>
              <w:rPr>
                <w:lang w:val="ru-RU"/>
              </w:rPr>
            </w:pPr>
            <w:r w:rsidRPr="00684449">
              <w:rPr>
                <w:b/>
                <w:sz w:val="18"/>
                <w:lang w:val="ru-RU"/>
              </w:rPr>
              <w:t>Действующие или разрабатываемые планы по снижению рисков</w:t>
            </w:r>
          </w:p>
        </w:tc>
        <w:tc>
          <w:tcPr>
            <w:tcW w:w="2268" w:type="dxa"/>
            <w:tcBorders>
              <w:top w:val="single" w:sz="4" w:space="0" w:color="auto"/>
              <w:bottom w:val="single" w:sz="4" w:space="0" w:color="auto"/>
            </w:tcBorders>
            <w:shd w:val="clear" w:color="auto" w:fill="C6D9F1" w:themeFill="text2" w:themeFillTint="33"/>
          </w:tcPr>
          <w:p w:rsidR="00684449" w:rsidRPr="00684449" w:rsidRDefault="00684449" w:rsidP="00955E75">
            <w:pPr>
              <w:keepNext/>
              <w:keepLines/>
              <w:jc w:val="center"/>
              <w:rPr>
                <w:b/>
                <w:bCs/>
                <w:sz w:val="18"/>
                <w:szCs w:val="18"/>
                <w:lang w:val="ru-RU"/>
              </w:rPr>
            </w:pPr>
            <w:r w:rsidRPr="00684449">
              <w:rPr>
                <w:b/>
                <w:sz w:val="18"/>
                <w:lang w:val="ru-RU"/>
              </w:rPr>
              <w:t>Развитие риска (рисков) и стратегий его (их) снижения в двухлетний период</w:t>
            </w:r>
          </w:p>
        </w:tc>
        <w:tc>
          <w:tcPr>
            <w:tcW w:w="2551" w:type="dxa"/>
            <w:tcBorders>
              <w:top w:val="single" w:sz="4" w:space="0" w:color="auto"/>
              <w:bottom w:val="single" w:sz="4" w:space="0" w:color="auto"/>
            </w:tcBorders>
            <w:shd w:val="clear" w:color="auto" w:fill="C6D9F1" w:themeFill="text2" w:themeFillTint="33"/>
          </w:tcPr>
          <w:p w:rsidR="00684449" w:rsidRPr="003C527B" w:rsidRDefault="00684449" w:rsidP="00955E75">
            <w:pPr>
              <w:keepNext/>
              <w:keepLines/>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684449" w:rsidRPr="005C6ABD" w:rsidTr="00955E75">
        <w:tc>
          <w:tcPr>
            <w:tcW w:w="2691" w:type="dxa"/>
            <w:tcBorders>
              <w:top w:val="single" w:sz="4" w:space="0" w:color="auto"/>
            </w:tcBorders>
            <w:shd w:val="clear" w:color="auto" w:fill="auto"/>
            <w:tcMar>
              <w:top w:w="113" w:type="dxa"/>
              <w:bottom w:w="85" w:type="dxa"/>
            </w:tcMar>
          </w:tcPr>
          <w:p w:rsidR="00684449" w:rsidRPr="00684449" w:rsidRDefault="00684449" w:rsidP="00955E75">
            <w:pPr>
              <w:keepNext/>
              <w:keepLines/>
              <w:rPr>
                <w:sz w:val="16"/>
                <w:szCs w:val="16"/>
                <w:lang w:val="ru-RU"/>
              </w:rPr>
            </w:pPr>
            <w:r w:rsidRPr="00684449">
              <w:rPr>
                <w:sz w:val="16"/>
                <w:lang w:val="ru-RU"/>
              </w:rPr>
              <w:t>ВОИС сделала значительные инвестиции и добилась быстрого прогресса и успехов благодаря Программе стратегической перестройки, которая завершилась в начале 2013 года.  Без постоянного внимания к улучшениям со стороны старшего руководства, сотрудников и государств-членов, Организация рискует растерять часть успехов, достигнутых с помощью ПСП.  Инициативы, включающие в себя новые процессы (например, обеспечение непрерывности деятельности и управление рисками), подвержены особому риску.</w:t>
            </w:r>
          </w:p>
          <w:p w:rsidR="00684449" w:rsidRPr="00684449" w:rsidRDefault="00684449" w:rsidP="00955E75">
            <w:pPr>
              <w:keepNext/>
              <w:keepLines/>
              <w:rPr>
                <w:sz w:val="16"/>
                <w:szCs w:val="16"/>
                <w:lang w:val="ru-RU"/>
              </w:rPr>
            </w:pPr>
          </w:p>
        </w:tc>
        <w:tc>
          <w:tcPr>
            <w:tcW w:w="2268" w:type="dxa"/>
            <w:tcBorders>
              <w:top w:val="single" w:sz="4" w:space="0" w:color="auto"/>
            </w:tcBorders>
            <w:shd w:val="clear" w:color="auto" w:fill="auto"/>
            <w:tcMar>
              <w:top w:w="113" w:type="dxa"/>
              <w:bottom w:w="85" w:type="dxa"/>
            </w:tcMar>
          </w:tcPr>
          <w:p w:rsidR="00684449" w:rsidRPr="00684449" w:rsidRDefault="00684449" w:rsidP="00955E75">
            <w:pPr>
              <w:keepNext/>
              <w:keepLines/>
              <w:rPr>
                <w:sz w:val="16"/>
                <w:szCs w:val="16"/>
                <w:lang w:val="ru-RU"/>
              </w:rPr>
            </w:pPr>
            <w:r w:rsidRPr="00684449">
              <w:rPr>
                <w:sz w:val="16"/>
                <w:lang w:val="ru-RU"/>
              </w:rPr>
              <w:t xml:space="preserve">С самого начала структура управления ПСП включала в себя надзор ГСУЗ и регулярные отчеты НККН, что позволило сформировать ответственность за реализацию принципов ПСП. </w:t>
            </w:r>
          </w:p>
          <w:p w:rsidR="00684449" w:rsidRPr="00684449" w:rsidRDefault="00684449" w:rsidP="00955E75">
            <w:pPr>
              <w:keepNext/>
              <w:keepLines/>
              <w:rPr>
                <w:sz w:val="16"/>
                <w:szCs w:val="16"/>
                <w:lang w:val="ru-RU"/>
              </w:rPr>
            </w:pPr>
          </w:p>
          <w:p w:rsidR="00684449" w:rsidRPr="00684449" w:rsidRDefault="00684449" w:rsidP="00955E75">
            <w:pPr>
              <w:keepNext/>
              <w:keepLines/>
              <w:rPr>
                <w:sz w:val="16"/>
                <w:szCs w:val="16"/>
                <w:lang w:val="ru-RU"/>
              </w:rPr>
            </w:pPr>
            <w:r w:rsidRPr="00684449">
              <w:rPr>
                <w:sz w:val="16"/>
                <w:lang w:val="ru-RU"/>
              </w:rPr>
              <w:t>Поскольку Организация входит в период работы «после ПСП», сохранение внимания со стороны высшего руководства даст гарантию, что основные ценности и результаты каждой из инициатив будут по-прежнему сохраняться и использоваться на благо ВОИС и заинтересованных сторон.</w:t>
            </w:r>
          </w:p>
        </w:tc>
        <w:tc>
          <w:tcPr>
            <w:tcW w:w="2268" w:type="dxa"/>
            <w:tcBorders>
              <w:top w:val="single" w:sz="4" w:space="0" w:color="auto"/>
            </w:tcBorders>
          </w:tcPr>
          <w:p w:rsidR="00684449" w:rsidRPr="00684449" w:rsidRDefault="00684449" w:rsidP="00955E75">
            <w:pPr>
              <w:keepNext/>
              <w:keepLines/>
              <w:rPr>
                <w:sz w:val="16"/>
                <w:szCs w:val="16"/>
                <w:lang w:val="ru-RU"/>
              </w:rPr>
            </w:pPr>
            <w:r w:rsidRPr="00684449">
              <w:rPr>
                <w:sz w:val="16"/>
                <w:lang w:val="ru-RU"/>
              </w:rPr>
              <w:t>В рассматриваемый двухлетний период этот риск постепенно снижался, в основном благодаря применению стратегий упреждающего реагирования, которые предполагали распределение ответственности за надежное выполнение новых функций в целях дальнейшего развития и разработки инициатив, заложенных в контексте ПСП, в том числе в области управления риском, обеспечения бесперебойного функционирования, этики и добросовестности, внутренней коммуникации и т.д.</w:t>
            </w:r>
          </w:p>
        </w:tc>
        <w:tc>
          <w:tcPr>
            <w:tcW w:w="2551" w:type="dxa"/>
            <w:tcBorders>
              <w:top w:val="single" w:sz="4" w:space="0" w:color="auto"/>
            </w:tcBorders>
          </w:tcPr>
          <w:p w:rsidR="00684449" w:rsidRPr="00684449" w:rsidRDefault="00684449" w:rsidP="00955E75">
            <w:pPr>
              <w:keepNext/>
              <w:keepLines/>
              <w:rPr>
                <w:sz w:val="16"/>
                <w:szCs w:val="16"/>
                <w:lang w:val="ru-RU"/>
              </w:rPr>
            </w:pPr>
            <w:r w:rsidRPr="00684449">
              <w:rPr>
                <w:sz w:val="16"/>
                <w:lang w:val="ru-RU"/>
              </w:rPr>
              <w:t xml:space="preserve">Воздействие на реализацию программы нельзя назвать существенным, однако, воздействие на реализацию тех соответствующих программ, в рамках которых осуществляются эти инициативы ПСП, а также на деятельность Организации в целом было по-прежнему положительным, что в значительной степени способствовало непрерывному укреплению транспарентности, подотчетности и формированию благоприятных условий, позволяющих ВОИС оказывать услуги своим клиентам и заинтересованными сторонам. </w:t>
            </w:r>
          </w:p>
        </w:tc>
      </w:tr>
      <w:tr w:rsidR="00684449" w:rsidRPr="003C527B" w:rsidTr="00955E75">
        <w:trPr>
          <w:trHeight w:val="1349"/>
        </w:trPr>
        <w:tc>
          <w:tcPr>
            <w:tcW w:w="2691" w:type="dxa"/>
            <w:shd w:val="clear" w:color="auto" w:fill="auto"/>
            <w:tcMar>
              <w:top w:w="113" w:type="dxa"/>
              <w:bottom w:w="85" w:type="dxa"/>
            </w:tcMar>
          </w:tcPr>
          <w:p w:rsidR="00684449" w:rsidRPr="00684449" w:rsidRDefault="00684449" w:rsidP="00955E75">
            <w:pPr>
              <w:keepNext/>
              <w:keepLines/>
              <w:rPr>
                <w:sz w:val="16"/>
                <w:szCs w:val="16"/>
                <w:lang w:val="ru-RU"/>
              </w:rPr>
            </w:pPr>
            <w:r w:rsidRPr="00684449">
              <w:rPr>
                <w:sz w:val="16"/>
                <w:lang w:val="ru-RU"/>
              </w:rPr>
              <w:t>Для обеспечения своевременного получения результатов первостепенное значение имеет эффективность взаимодействия ВОИС с государствами-членами.  Риском является замедление прогресса в межправительственных процессах ВОИС, включая обсуждения по нормотворческим вопросам и увеличение стоимости или затягивание сроков реализации утвержденных программ.  Такая ситуация могла бы негативно сказаться на авторитете ВОИС как международного нормотворческого органа в области ИС.</w:t>
            </w:r>
          </w:p>
          <w:p w:rsidR="00684449" w:rsidRPr="00684449" w:rsidRDefault="00684449" w:rsidP="00955E75">
            <w:pPr>
              <w:keepNext/>
              <w:keepLines/>
              <w:rPr>
                <w:sz w:val="16"/>
                <w:szCs w:val="16"/>
                <w:lang w:val="ru-RU"/>
              </w:rPr>
            </w:pPr>
          </w:p>
        </w:tc>
        <w:tc>
          <w:tcPr>
            <w:tcW w:w="2268" w:type="dxa"/>
            <w:shd w:val="clear" w:color="auto" w:fill="auto"/>
            <w:tcMar>
              <w:top w:w="113" w:type="dxa"/>
              <w:bottom w:w="85" w:type="dxa"/>
            </w:tcMar>
          </w:tcPr>
          <w:p w:rsidR="00684449" w:rsidRPr="00684449" w:rsidRDefault="00684449" w:rsidP="00955E75">
            <w:pPr>
              <w:keepNext/>
              <w:keepLines/>
              <w:rPr>
                <w:sz w:val="16"/>
                <w:szCs w:val="16"/>
                <w:lang w:val="ru-RU"/>
              </w:rPr>
            </w:pPr>
            <w:r w:rsidRPr="00684449">
              <w:rPr>
                <w:sz w:val="16"/>
                <w:lang w:val="ru-RU"/>
              </w:rPr>
              <w:t>Сохранение тесных, доверительных и прозрачных отношений в рамках координации усилий Секретариата и государств-членов.</w:t>
            </w:r>
          </w:p>
        </w:tc>
        <w:tc>
          <w:tcPr>
            <w:tcW w:w="2268" w:type="dxa"/>
          </w:tcPr>
          <w:p w:rsidR="00684449" w:rsidRPr="00684449" w:rsidRDefault="00684449" w:rsidP="00955E75">
            <w:pPr>
              <w:keepNext/>
              <w:keepLines/>
              <w:rPr>
                <w:sz w:val="16"/>
                <w:szCs w:val="16"/>
                <w:lang w:val="ru-RU"/>
              </w:rPr>
            </w:pPr>
            <w:r w:rsidRPr="00684449">
              <w:rPr>
                <w:sz w:val="16"/>
                <w:lang w:val="ru-RU"/>
              </w:rPr>
              <w:t>Связанный с программой общий риск, описанный выше, не претерпел существенных изменений в рассматриваемый двухлетний период.  То же относится и к реализуемым планам по смягчению риска, которые будут актуальны и в двухлетний период 2016–2017</w:t>
            </w:r>
            <w:r>
              <w:rPr>
                <w:sz w:val="16"/>
              </w:rPr>
              <w:t> </w:t>
            </w:r>
            <w:r w:rsidRPr="00684449">
              <w:rPr>
                <w:sz w:val="16"/>
                <w:lang w:val="ru-RU"/>
              </w:rPr>
              <w:t>гг.</w:t>
            </w:r>
          </w:p>
        </w:tc>
        <w:tc>
          <w:tcPr>
            <w:tcW w:w="2551" w:type="dxa"/>
          </w:tcPr>
          <w:p w:rsidR="00684449" w:rsidRPr="003C527B" w:rsidRDefault="00684449" w:rsidP="00955E75">
            <w:pPr>
              <w:keepNext/>
              <w:keepLines/>
              <w:rPr>
                <w:sz w:val="16"/>
                <w:szCs w:val="16"/>
              </w:rPr>
            </w:pPr>
            <w:r w:rsidRPr="00684449">
              <w:rPr>
                <w:sz w:val="16"/>
                <w:lang w:val="ru-RU"/>
              </w:rPr>
              <w:t>Благодаря плотной, доверительной и прозрачной координации между Секретариатом и государствами-членами постоянно осуществляется смягчение рисков, имманентно присущих нормативно-правовой деятельности Организации.</w:t>
            </w:r>
            <w:r>
              <w:rPr>
                <w:sz w:val="16"/>
              </w:rPr>
              <w:t> </w:t>
            </w:r>
            <w:r w:rsidRPr="00684449">
              <w:rPr>
                <w:sz w:val="16"/>
                <w:lang w:val="ru-RU"/>
              </w:rPr>
              <w:t xml:space="preserve"> </w:t>
            </w:r>
            <w:r>
              <w:rPr>
                <w:sz w:val="16"/>
              </w:rPr>
              <w:t>Существенного воздействия на осуществление программы зафиксировано не было.</w:t>
            </w:r>
          </w:p>
        </w:tc>
      </w:tr>
    </w:tbl>
    <w:p w:rsidR="00684449" w:rsidRDefault="00684449" w:rsidP="00684449">
      <w:pPr>
        <w:rPr>
          <w:rFonts w:cs="Arial"/>
          <w:color w:val="000000"/>
          <w:sz w:val="22"/>
          <w:szCs w:val="22"/>
        </w:rPr>
      </w:pPr>
    </w:p>
    <w:p w:rsidR="00684449" w:rsidRDefault="00684449" w:rsidP="00684449">
      <w:pPr>
        <w:rPr>
          <w:rFonts w:cs="Arial"/>
          <w:color w:val="000000"/>
          <w:sz w:val="22"/>
          <w:szCs w:val="22"/>
        </w:rPr>
      </w:pPr>
    </w:p>
    <w:p w:rsidR="00684449" w:rsidRDefault="00684449" w:rsidP="00684449">
      <w:pPr>
        <w:spacing w:after="200" w:line="276" w:lineRule="auto"/>
        <w:rPr>
          <w:color w:val="000000"/>
        </w:rPr>
      </w:pPr>
      <w:r>
        <w:rPr>
          <w:color w:val="000000"/>
        </w:rPr>
        <w:br w:type="page"/>
      </w:r>
    </w:p>
    <w:p w:rsidR="00684449" w:rsidRPr="00684449" w:rsidRDefault="00684449" w:rsidP="00684449">
      <w:pPr>
        <w:rPr>
          <w:b/>
          <w:sz w:val="16"/>
          <w:szCs w:val="18"/>
          <w:lang w:val="ru-RU"/>
        </w:rPr>
      </w:pPr>
      <w:r w:rsidRPr="00684449">
        <w:rPr>
          <w:color w:val="000000"/>
          <w:lang w:val="ru-RU"/>
        </w:rPr>
        <w:t>ИСПОЛЬЗОВАНИЕ РЕСУРСОВ</w:t>
      </w:r>
      <w:r w:rsidRPr="00684449">
        <w:rPr>
          <w:lang w:val="ru-RU"/>
        </w:rPr>
        <w:tab/>
      </w:r>
    </w:p>
    <w:p w:rsidR="00684449" w:rsidRPr="00684449" w:rsidRDefault="00684449" w:rsidP="00684449">
      <w:pPr>
        <w:rPr>
          <w:szCs w:val="20"/>
          <w:lang w:val="ru-RU"/>
        </w:rPr>
      </w:pPr>
    </w:p>
    <w:p w:rsidR="00684449" w:rsidRPr="00684449" w:rsidRDefault="00684449" w:rsidP="00684449">
      <w:pPr>
        <w:pStyle w:val="NormalWeb"/>
        <w:spacing w:before="0" w:beforeAutospacing="0" w:after="0" w:afterAutospacing="0"/>
        <w:jc w:val="center"/>
        <w:rPr>
          <w:sz w:val="20"/>
          <w:szCs w:val="20"/>
          <w:lang w:val="ru-RU"/>
        </w:rPr>
      </w:pPr>
      <w:r w:rsidRPr="00684449">
        <w:rPr>
          <w:color w:val="000000"/>
          <w:sz w:val="20"/>
          <w:lang w:val="ru-RU"/>
        </w:rPr>
        <w:t xml:space="preserve">Бюджет и фактические расходы (в разбивке по результатам) </w:t>
      </w:r>
    </w:p>
    <w:p w:rsidR="00684449" w:rsidRDefault="00684449" w:rsidP="00684449">
      <w:pPr>
        <w:pStyle w:val="NormalWeb"/>
        <w:spacing w:before="0" w:beforeAutospacing="0" w:after="0" w:afterAutospacing="0"/>
        <w:jc w:val="center"/>
        <w:rPr>
          <w:i/>
          <w:iCs/>
          <w:color w:val="000000"/>
          <w:sz w:val="20"/>
          <w:szCs w:val="20"/>
        </w:rPr>
      </w:pPr>
      <w:r>
        <w:rPr>
          <w:i/>
          <w:color w:val="000000"/>
          <w:sz w:val="20"/>
        </w:rPr>
        <w:t>(в тыс. шв. франков)</w:t>
      </w:r>
    </w:p>
    <w:p w:rsidR="00684449" w:rsidRPr="007F434F" w:rsidRDefault="00684449" w:rsidP="00684449">
      <w:pPr>
        <w:pStyle w:val="NormalWeb"/>
        <w:spacing w:before="0" w:beforeAutospacing="0" w:after="0" w:afterAutospacing="0"/>
        <w:jc w:val="center"/>
        <w:rPr>
          <w:szCs w:val="20"/>
        </w:rPr>
      </w:pPr>
    </w:p>
    <w:p w:rsidR="00684449" w:rsidRPr="00297728" w:rsidRDefault="00684449" w:rsidP="00684449">
      <w:pPr>
        <w:jc w:val="center"/>
        <w:rPr>
          <w:lang w:val="ru-RU"/>
        </w:rPr>
      </w:pPr>
      <w:r>
        <w:rPr>
          <w:noProof/>
        </w:rPr>
        <w:drawing>
          <wp:inline distT="0" distB="0" distL="0" distR="0" wp14:anchorId="6F6C81D5" wp14:editId="30BDBD1E">
            <wp:extent cx="5466263" cy="3250346"/>
            <wp:effectExtent l="0" t="0" r="127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466901" cy="3250725"/>
                    </a:xfrm>
                    <a:prstGeom prst="rect">
                      <a:avLst/>
                    </a:prstGeom>
                    <a:noFill/>
                    <a:ln>
                      <a:noFill/>
                    </a:ln>
                  </pic:spPr>
                </pic:pic>
              </a:graphicData>
            </a:graphic>
          </wp:inline>
        </w:drawing>
      </w:r>
    </w:p>
    <w:p w:rsidR="00684449" w:rsidRDefault="00684449" w:rsidP="00684449"/>
    <w:p w:rsidR="00684449" w:rsidRDefault="00684449" w:rsidP="00684449"/>
    <w:p w:rsidR="00684449" w:rsidRPr="00684449" w:rsidRDefault="00684449" w:rsidP="00684449">
      <w:pPr>
        <w:pStyle w:val="NormalWeb"/>
        <w:keepNext/>
        <w:keepLines/>
        <w:spacing w:before="0" w:beforeAutospacing="0" w:after="0" w:afterAutospacing="0"/>
        <w:jc w:val="center"/>
        <w:rPr>
          <w:sz w:val="20"/>
          <w:szCs w:val="20"/>
          <w:lang w:val="ru-RU"/>
        </w:rPr>
      </w:pPr>
      <w:r w:rsidRPr="00684449">
        <w:rPr>
          <w:color w:val="000000"/>
          <w:sz w:val="20"/>
          <w:lang w:val="ru-RU"/>
        </w:rPr>
        <w:t xml:space="preserve">Бюджет и фактические расходы (по персоналу и не связанные с персоналом) </w:t>
      </w:r>
    </w:p>
    <w:p w:rsidR="00684449" w:rsidRPr="00383D2D" w:rsidRDefault="00684449" w:rsidP="00684449">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684449" w:rsidRDefault="00684449" w:rsidP="00684449">
      <w:pPr>
        <w:pStyle w:val="NormalWeb"/>
        <w:keepNext/>
        <w:keepLines/>
        <w:spacing w:before="0" w:beforeAutospacing="0" w:after="0" w:afterAutospacing="0"/>
        <w:jc w:val="center"/>
      </w:pPr>
    </w:p>
    <w:p w:rsidR="00684449" w:rsidRPr="008F4A6D" w:rsidRDefault="00684449" w:rsidP="00684449">
      <w:pPr>
        <w:widowControl w:val="0"/>
        <w:autoSpaceDE w:val="0"/>
        <w:autoSpaceDN w:val="0"/>
        <w:adjustRightInd w:val="0"/>
        <w:jc w:val="center"/>
        <w:rPr>
          <w:rFonts w:cs="Arial"/>
          <w:szCs w:val="20"/>
        </w:rPr>
      </w:pPr>
      <w:r>
        <w:rPr>
          <w:rFonts w:cs="Arial"/>
          <w:noProof/>
          <w:szCs w:val="20"/>
        </w:rPr>
        <w:drawing>
          <wp:inline distT="0" distB="0" distL="0" distR="0" wp14:anchorId="7A0D0196" wp14:editId="6002C197">
            <wp:extent cx="5355171" cy="118346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5353057" cy="1183001"/>
                    </a:xfrm>
                    <a:prstGeom prst="rect">
                      <a:avLst/>
                    </a:prstGeom>
                    <a:noFill/>
                    <a:ln>
                      <a:noFill/>
                    </a:ln>
                  </pic:spPr>
                </pic:pic>
              </a:graphicData>
            </a:graphic>
          </wp:inline>
        </w:drawing>
      </w:r>
    </w:p>
    <w:p w:rsidR="00684449" w:rsidRDefault="00684449" w:rsidP="00684449">
      <w:pPr>
        <w:widowControl w:val="0"/>
        <w:autoSpaceDE w:val="0"/>
        <w:autoSpaceDN w:val="0"/>
        <w:adjustRightInd w:val="0"/>
        <w:rPr>
          <w:rFonts w:cs="Arial"/>
          <w:szCs w:val="20"/>
        </w:rPr>
      </w:pPr>
    </w:p>
    <w:p w:rsidR="00684449" w:rsidRPr="001C6F4D" w:rsidRDefault="00684449" w:rsidP="00684449">
      <w:pPr>
        <w:widowControl w:val="0"/>
        <w:autoSpaceDE w:val="0"/>
        <w:autoSpaceDN w:val="0"/>
        <w:adjustRightInd w:val="0"/>
        <w:rPr>
          <w:rFonts w:cs="Arial"/>
          <w:szCs w:val="20"/>
        </w:rPr>
      </w:pPr>
    </w:p>
    <w:p w:rsidR="00684449" w:rsidRPr="00684449" w:rsidRDefault="00684449" w:rsidP="00684449">
      <w:pPr>
        <w:rPr>
          <w:rFonts w:cs="Arial"/>
          <w:u w:val="single"/>
          <w:lang w:val="ru-RU"/>
        </w:rPr>
      </w:pPr>
      <w:r>
        <w:t>A</w:t>
      </w:r>
      <w:r w:rsidRPr="00684449">
        <w:rPr>
          <w:lang w:val="ru-RU"/>
        </w:rPr>
        <w:t>.</w:t>
      </w:r>
      <w:r w:rsidRPr="00684449">
        <w:rPr>
          <w:lang w:val="ru-RU"/>
        </w:rPr>
        <w:tab/>
      </w:r>
      <w:r w:rsidRPr="00684449">
        <w:rPr>
          <w:u w:val="single"/>
          <w:lang w:val="ru-RU"/>
        </w:rPr>
        <w:t xml:space="preserve">Итоговый бюджет на 2014–2015 гг. после перераспределения средств </w:t>
      </w:r>
    </w:p>
    <w:p w:rsidR="00684449" w:rsidRPr="00684449" w:rsidRDefault="00684449" w:rsidP="00684449">
      <w:pPr>
        <w:autoSpaceDE w:val="0"/>
        <w:autoSpaceDN w:val="0"/>
        <w:jc w:val="both"/>
        <w:rPr>
          <w:rFonts w:cs="Arial"/>
          <w:szCs w:val="20"/>
          <w:lang w:val="ru-RU"/>
        </w:rPr>
      </w:pPr>
    </w:p>
    <w:p w:rsidR="00684449" w:rsidRPr="00684449" w:rsidRDefault="00867313" w:rsidP="00684449">
      <w:pPr>
        <w:jc w:val="both"/>
        <w:rPr>
          <w:rFonts w:cs="Arial"/>
          <w:szCs w:val="20"/>
          <w:lang w:val="ru-RU"/>
        </w:rPr>
      </w:pPr>
      <w:r>
        <w:rPr>
          <w:szCs w:val="20"/>
          <w:lang w:val="ru-RU"/>
        </w:rPr>
        <w:t>21.12</w:t>
      </w:r>
      <w:r>
        <w:rPr>
          <w:szCs w:val="20"/>
          <w:lang w:val="ru-RU"/>
        </w:rPr>
        <w:tab/>
      </w:r>
      <w:r w:rsidR="00684449" w:rsidRPr="00684449">
        <w:rPr>
          <w:szCs w:val="20"/>
          <w:lang w:val="ru-RU"/>
        </w:rPr>
        <w:t>Увеличение</w:t>
      </w:r>
      <w:r w:rsidR="00684449" w:rsidRPr="00684449">
        <w:rPr>
          <w:lang w:val="ru-RU"/>
        </w:rPr>
        <w:t xml:space="preserve"> расходов, связанных с персоналом, в бюджете на 2014–2015</w:t>
      </w:r>
      <w:r w:rsidR="00684449">
        <w:t> </w:t>
      </w:r>
      <w:r w:rsidR="00684449" w:rsidRPr="00684449">
        <w:rPr>
          <w:lang w:val="ru-RU"/>
        </w:rPr>
        <w:t>гг. после перераспределения средств было в основном связано с:</w:t>
      </w:r>
    </w:p>
    <w:p w:rsidR="00684449" w:rsidRPr="00684449" w:rsidRDefault="00684449" w:rsidP="00684449">
      <w:pPr>
        <w:autoSpaceDE w:val="0"/>
        <w:autoSpaceDN w:val="0"/>
        <w:jc w:val="both"/>
        <w:rPr>
          <w:rFonts w:cs="Arial"/>
          <w:szCs w:val="20"/>
          <w:lang w:val="ru-RU"/>
        </w:rPr>
      </w:pPr>
    </w:p>
    <w:p w:rsidR="00684449" w:rsidRPr="00684449" w:rsidRDefault="00684449" w:rsidP="00684449">
      <w:pPr>
        <w:pStyle w:val="ListParagraph"/>
        <w:numPr>
          <w:ilvl w:val="0"/>
          <w:numId w:val="33"/>
        </w:numPr>
        <w:autoSpaceDE w:val="0"/>
        <w:autoSpaceDN w:val="0"/>
        <w:spacing w:after="120"/>
        <w:ind w:left="547" w:hanging="360"/>
        <w:contextualSpacing/>
        <w:jc w:val="both"/>
        <w:rPr>
          <w:rFonts w:cs="Arial"/>
          <w:lang w:val="ru-RU"/>
        </w:rPr>
      </w:pPr>
      <w:r w:rsidRPr="00684449">
        <w:rPr>
          <w:lang w:val="ru-RU"/>
        </w:rPr>
        <w:t xml:space="preserve">переводом должностей в эту программу после совмещения деятельности по организации мероприятий с протокольными функциями, что отражено в ожидаемом результате </w:t>
      </w:r>
      <w:r>
        <w:t>VIII</w:t>
      </w:r>
      <w:r w:rsidRPr="00684449">
        <w:rPr>
          <w:lang w:val="ru-RU"/>
        </w:rPr>
        <w:t>.3 (эффективное взаимодействие с государствами-членами);</w:t>
      </w:r>
    </w:p>
    <w:p w:rsidR="00684449" w:rsidRPr="00684449" w:rsidRDefault="00684449" w:rsidP="00684449">
      <w:pPr>
        <w:pStyle w:val="ListParagraph"/>
        <w:numPr>
          <w:ilvl w:val="0"/>
          <w:numId w:val="33"/>
        </w:numPr>
        <w:autoSpaceDE w:val="0"/>
        <w:autoSpaceDN w:val="0"/>
        <w:spacing w:before="120" w:after="120"/>
        <w:ind w:left="547" w:hanging="360"/>
        <w:contextualSpacing/>
        <w:jc w:val="both"/>
        <w:rPr>
          <w:rFonts w:cs="Arial"/>
          <w:lang w:val="ru-RU"/>
        </w:rPr>
      </w:pPr>
      <w:r w:rsidRPr="00684449">
        <w:rPr>
          <w:lang w:val="ru-RU"/>
        </w:rPr>
        <w:t xml:space="preserve">созданием должности Координатора по вопросам обеспечения бесперебойного функционирования, что отражено в ожидаемом результате </w:t>
      </w:r>
      <w:r>
        <w:t>IV</w:t>
      </w:r>
      <w:r w:rsidRPr="00684449">
        <w:rPr>
          <w:lang w:val="ru-RU"/>
        </w:rPr>
        <w:t xml:space="preserve">.2 (расширенный доступ к информации в области ИС и ее использование); и </w:t>
      </w:r>
    </w:p>
    <w:p w:rsidR="00684449" w:rsidRPr="00684449" w:rsidRDefault="00684449" w:rsidP="00684449">
      <w:pPr>
        <w:pStyle w:val="ListParagraph"/>
        <w:numPr>
          <w:ilvl w:val="0"/>
          <w:numId w:val="33"/>
        </w:numPr>
        <w:autoSpaceDE w:val="0"/>
        <w:autoSpaceDN w:val="0"/>
        <w:spacing w:after="120"/>
        <w:ind w:left="547" w:hanging="360"/>
        <w:contextualSpacing/>
        <w:jc w:val="both"/>
        <w:rPr>
          <w:rFonts w:cs="Arial"/>
          <w:lang w:val="ru-RU"/>
        </w:rPr>
      </w:pPr>
      <w:r w:rsidRPr="00684449">
        <w:rPr>
          <w:lang w:val="ru-RU"/>
        </w:rPr>
        <w:t xml:space="preserve">усилением БЮ в целях удовлетворения растущих потребностей в юридических услугах, что нашло отражение в ожидаемых результатах </w:t>
      </w:r>
      <w:r>
        <w:t>VIII</w:t>
      </w:r>
      <w:r w:rsidRPr="00684449">
        <w:rPr>
          <w:lang w:val="ru-RU"/>
        </w:rPr>
        <w:t xml:space="preserve">.3 (эффективное взаимодействие с государствами-членами) и </w:t>
      </w:r>
      <w:r>
        <w:t>VIII</w:t>
      </w:r>
      <w:r w:rsidRPr="00684449">
        <w:rPr>
          <w:lang w:val="ru-RU"/>
        </w:rPr>
        <w:t xml:space="preserve">.5 (ВОИС эффективно взаимодействует и является партнером в процессах ООН и других МПО).  </w:t>
      </w:r>
    </w:p>
    <w:p w:rsidR="00684449" w:rsidRPr="00684449" w:rsidRDefault="00684449" w:rsidP="00684449">
      <w:pPr>
        <w:autoSpaceDE w:val="0"/>
        <w:autoSpaceDN w:val="0"/>
        <w:ind w:left="180"/>
        <w:jc w:val="both"/>
        <w:rPr>
          <w:rFonts w:cs="Arial"/>
          <w:szCs w:val="20"/>
          <w:lang w:val="ru-RU"/>
        </w:rPr>
      </w:pPr>
    </w:p>
    <w:p w:rsidR="00684449" w:rsidRPr="00684449" w:rsidRDefault="00867313" w:rsidP="00684449">
      <w:pPr>
        <w:jc w:val="both"/>
        <w:rPr>
          <w:rFonts w:cs="Arial"/>
          <w:szCs w:val="20"/>
          <w:lang w:val="ru-RU"/>
        </w:rPr>
      </w:pPr>
      <w:r>
        <w:rPr>
          <w:szCs w:val="20"/>
          <w:lang w:val="ru-RU"/>
        </w:rPr>
        <w:t>21.13</w:t>
      </w:r>
      <w:r>
        <w:rPr>
          <w:szCs w:val="20"/>
          <w:lang w:val="ru-RU"/>
        </w:rPr>
        <w:tab/>
      </w:r>
      <w:r w:rsidR="00684449" w:rsidRPr="00684449">
        <w:rPr>
          <w:szCs w:val="20"/>
          <w:lang w:val="ru-RU"/>
        </w:rPr>
        <w:t>Увеличение</w:t>
      </w:r>
      <w:r w:rsidR="00684449" w:rsidRPr="00684449">
        <w:rPr>
          <w:lang w:val="ru-RU"/>
        </w:rPr>
        <w:t xml:space="preserve"> объема ресурсов, не связанных с персоналом, главным образом объясняется появлением дополнительных требований, обусловленных необходимостью наращивания эффективного взаимодействия с государствами-членами (ожидаемый результат </w:t>
      </w:r>
      <w:r w:rsidR="00684449">
        <w:t>VIII</w:t>
      </w:r>
      <w:r w:rsidR="00684449" w:rsidRPr="00684449">
        <w:rPr>
          <w:lang w:val="ru-RU"/>
        </w:rPr>
        <w:t>.3).</w:t>
      </w:r>
    </w:p>
    <w:p w:rsidR="00684449" w:rsidRPr="00684449" w:rsidRDefault="00684449" w:rsidP="00684449">
      <w:pPr>
        <w:autoSpaceDE w:val="0"/>
        <w:autoSpaceDN w:val="0"/>
        <w:jc w:val="both"/>
        <w:rPr>
          <w:rFonts w:cs="Arial"/>
          <w:szCs w:val="20"/>
          <w:lang w:val="ru-RU"/>
        </w:rPr>
      </w:pPr>
    </w:p>
    <w:p w:rsidR="00684449" w:rsidRPr="00684449" w:rsidRDefault="00867313" w:rsidP="00684449">
      <w:pPr>
        <w:autoSpaceDE w:val="0"/>
        <w:autoSpaceDN w:val="0"/>
        <w:jc w:val="both"/>
        <w:rPr>
          <w:rFonts w:cs="Arial"/>
          <w:szCs w:val="20"/>
          <w:lang w:val="ru-RU"/>
        </w:rPr>
      </w:pPr>
      <w:r>
        <w:rPr>
          <w:lang w:val="ru-RU"/>
        </w:rPr>
        <w:t>21.14</w:t>
      </w:r>
      <w:r>
        <w:rPr>
          <w:lang w:val="ru-RU"/>
        </w:rPr>
        <w:tab/>
      </w:r>
      <w:r w:rsidR="00684449" w:rsidRPr="00684449">
        <w:rPr>
          <w:lang w:val="ru-RU"/>
        </w:rPr>
        <w:t xml:space="preserve">Помимо указанного выше, изменение объема ресурсов, выделяемых на достижение разных ожидаемых результатов, в частности ожидаемого результата </w:t>
      </w:r>
      <w:r w:rsidR="00684449">
        <w:t>IX</w:t>
      </w:r>
      <w:r w:rsidR="00684449" w:rsidRPr="00684449">
        <w:rPr>
          <w:lang w:val="ru-RU"/>
        </w:rPr>
        <w:t>.2 (динамичный и слаженно функционирующий Секретариат), также является результатом применения новой, более точной методологии распределения ресурсов, связанных с персоналом, после доработки системы планирования УОД в связи с планированием работы в 2014</w:t>
      </w:r>
      <w:r w:rsidR="00684449">
        <w:t> </w:t>
      </w:r>
      <w:r w:rsidR="00684449" w:rsidRPr="00684449">
        <w:rPr>
          <w:lang w:val="ru-RU"/>
        </w:rPr>
        <w:t>г. и 2015</w:t>
      </w:r>
      <w:r w:rsidR="00684449">
        <w:t> </w:t>
      </w:r>
      <w:r w:rsidR="00684449" w:rsidRPr="00684449">
        <w:rPr>
          <w:lang w:val="ru-RU"/>
        </w:rPr>
        <w:t>г.</w:t>
      </w:r>
    </w:p>
    <w:p w:rsidR="00684449" w:rsidRPr="00684449" w:rsidRDefault="00684449" w:rsidP="00684449">
      <w:pPr>
        <w:autoSpaceDE w:val="0"/>
        <w:autoSpaceDN w:val="0"/>
        <w:jc w:val="both"/>
        <w:rPr>
          <w:rFonts w:cs="Arial"/>
          <w:szCs w:val="20"/>
          <w:lang w:val="ru-RU"/>
        </w:rPr>
      </w:pPr>
    </w:p>
    <w:p w:rsidR="00684449" w:rsidRPr="00684449" w:rsidRDefault="00684449" w:rsidP="00684449">
      <w:pPr>
        <w:autoSpaceDE w:val="0"/>
        <w:autoSpaceDN w:val="0"/>
        <w:jc w:val="both"/>
        <w:rPr>
          <w:rFonts w:cs="Arial"/>
          <w:szCs w:val="20"/>
          <w:lang w:val="ru-RU"/>
        </w:rPr>
      </w:pPr>
    </w:p>
    <w:p w:rsidR="00684449" w:rsidRPr="00684449" w:rsidRDefault="00684449" w:rsidP="00684449">
      <w:pPr>
        <w:jc w:val="both"/>
        <w:rPr>
          <w:rFonts w:cs="Arial"/>
          <w:szCs w:val="20"/>
          <w:u w:val="single"/>
          <w:lang w:val="ru-RU"/>
        </w:rPr>
      </w:pPr>
      <w:r>
        <w:t>B</w:t>
      </w:r>
      <w:r w:rsidRPr="00684449">
        <w:rPr>
          <w:lang w:val="ru-RU"/>
        </w:rPr>
        <w:t>.</w:t>
      </w:r>
      <w:r w:rsidRPr="00684449">
        <w:rPr>
          <w:lang w:val="ru-RU"/>
        </w:rPr>
        <w:tab/>
      </w:r>
      <w:r w:rsidRPr="00684449">
        <w:rPr>
          <w:u w:val="single"/>
          <w:lang w:val="ru-RU"/>
        </w:rPr>
        <w:t xml:space="preserve">Освоение бюджетных средств в 2014–2015 гг. </w:t>
      </w:r>
    </w:p>
    <w:p w:rsidR="00684449" w:rsidRPr="00684449" w:rsidRDefault="00684449" w:rsidP="00684449">
      <w:pPr>
        <w:tabs>
          <w:tab w:val="left" w:pos="709"/>
        </w:tabs>
        <w:jc w:val="both"/>
        <w:rPr>
          <w:rFonts w:cs="Arial"/>
          <w:szCs w:val="20"/>
          <w:u w:val="single"/>
          <w:lang w:val="ru-RU"/>
        </w:rPr>
      </w:pPr>
    </w:p>
    <w:p w:rsidR="00684449" w:rsidRPr="00684449" w:rsidRDefault="00867313" w:rsidP="00684449">
      <w:pPr>
        <w:rPr>
          <w:rFonts w:cs="Arial"/>
          <w:szCs w:val="20"/>
          <w:u w:val="single"/>
          <w:lang w:val="ru-RU"/>
        </w:rPr>
      </w:pPr>
      <w:r>
        <w:rPr>
          <w:lang w:val="ru-RU"/>
        </w:rPr>
        <w:t>21.15</w:t>
      </w:r>
      <w:r>
        <w:rPr>
          <w:lang w:val="ru-RU"/>
        </w:rPr>
        <w:tab/>
      </w:r>
      <w:r w:rsidR="00684449" w:rsidRPr="00684449">
        <w:rPr>
          <w:lang w:val="ru-RU"/>
        </w:rPr>
        <w:t>Расходы на персонал были ниже, чем предусматривалось в бюджете, в связи с: (</w:t>
      </w:r>
      <w:r w:rsidR="00684449">
        <w:t>i</w:t>
      </w:r>
      <w:r w:rsidR="00684449" w:rsidRPr="00684449">
        <w:rPr>
          <w:lang w:val="ru-RU"/>
        </w:rPr>
        <w:t>) отсутствием Главного сотрудника по вопросам этики в первые восемь месяцев 2015</w:t>
      </w:r>
      <w:r w:rsidR="00684449">
        <w:t> </w:t>
      </w:r>
      <w:r w:rsidR="00684449" w:rsidRPr="00684449">
        <w:rPr>
          <w:lang w:val="ru-RU"/>
        </w:rPr>
        <w:t>г. и (</w:t>
      </w:r>
      <w:r w:rsidR="00684449">
        <w:t>ii</w:t>
      </w:r>
      <w:r w:rsidR="00684449" w:rsidRPr="00684449">
        <w:rPr>
          <w:lang w:val="ru-RU"/>
        </w:rPr>
        <w:t>) продолжением процессов приема сотрудников на работу, в частности в Бюро Юрисконсульта и Бюро Омбудсмена.  Это также стало причиной снижения расходов по соответствующим статьям, не связанным с персоналом.</w:t>
      </w:r>
    </w:p>
    <w:p w:rsidR="00F11DB9" w:rsidRPr="00684449" w:rsidRDefault="00F11DB9" w:rsidP="00867313">
      <w:pPr>
        <w:pStyle w:val="Default"/>
        <w:tabs>
          <w:tab w:val="left" w:pos="709"/>
        </w:tabs>
        <w:jc w:val="both"/>
        <w:rPr>
          <w:sz w:val="20"/>
          <w:szCs w:val="20"/>
          <w:u w:val="single"/>
          <w:lang w:val="ru-RU" w:eastAsia="ko-KR"/>
        </w:rPr>
      </w:pPr>
    </w:p>
    <w:p w:rsidR="00F11DB9" w:rsidRPr="00684449" w:rsidRDefault="00F11DB9">
      <w:pPr>
        <w:rPr>
          <w:szCs w:val="20"/>
          <w:lang w:val="ru-RU"/>
        </w:rPr>
      </w:pPr>
    </w:p>
    <w:p w:rsidR="005C6F8E" w:rsidRPr="00684449" w:rsidRDefault="005C6F8E">
      <w:pPr>
        <w:rPr>
          <w:lang w:val="ru-RU"/>
        </w:rPr>
      </w:pPr>
    </w:p>
    <w:p w:rsidR="00361A1E" w:rsidRPr="00684449" w:rsidRDefault="00361A1E">
      <w:pPr>
        <w:rPr>
          <w:lang w:val="ru-RU"/>
        </w:rPr>
      </w:pPr>
      <w:r w:rsidRPr="00684449">
        <w:rPr>
          <w:lang w:val="ru-RU"/>
        </w:rPr>
        <w:br w:type="page"/>
      </w:r>
    </w:p>
    <w:p w:rsidR="0048435A" w:rsidRPr="0048435A" w:rsidRDefault="0048435A" w:rsidP="0048435A">
      <w:pPr>
        <w:pStyle w:val="Heading2"/>
        <w:tabs>
          <w:tab w:val="clear" w:pos="567"/>
          <w:tab w:val="left" w:pos="1985"/>
        </w:tabs>
        <w:rPr>
          <w:lang w:val="ru-RU"/>
        </w:rPr>
      </w:pPr>
      <w:bookmarkStart w:id="122" w:name="_Toc422210511"/>
      <w:bookmarkStart w:id="123" w:name="_Toc455388134"/>
      <w:r w:rsidRPr="0048435A">
        <w:rPr>
          <w:lang w:val="ru-RU"/>
        </w:rPr>
        <w:t>ПРОГРАММА 22</w:t>
      </w:r>
      <w:r w:rsidRPr="0048435A">
        <w:rPr>
          <w:lang w:val="ru-RU"/>
        </w:rPr>
        <w:tab/>
        <w:t>УПРАВЛЕНИЕ ПРОГРАММАМИ И РЕСУРСАМИ</w:t>
      </w:r>
      <w:bookmarkEnd w:id="122"/>
      <w:bookmarkEnd w:id="123"/>
    </w:p>
    <w:p w:rsidR="0048435A" w:rsidRPr="0048435A" w:rsidRDefault="0048435A" w:rsidP="0048435A">
      <w:pPr>
        <w:rPr>
          <w:szCs w:val="20"/>
          <w:lang w:val="ru-RU"/>
        </w:rPr>
      </w:pPr>
    </w:p>
    <w:p w:rsidR="0048435A" w:rsidRPr="0048435A" w:rsidRDefault="0048435A" w:rsidP="0048435A">
      <w:pPr>
        <w:tabs>
          <w:tab w:val="left" w:pos="1985"/>
        </w:tabs>
        <w:rPr>
          <w:b/>
          <w:szCs w:val="22"/>
          <w:lang w:val="ru-RU"/>
        </w:rPr>
      </w:pPr>
      <w:r w:rsidRPr="0048435A">
        <w:rPr>
          <w:b/>
          <w:lang w:val="ru-RU"/>
        </w:rPr>
        <w:t xml:space="preserve">Руководитель программы: </w:t>
      </w:r>
      <w:r w:rsidRPr="0048435A">
        <w:rPr>
          <w:lang w:val="ru-RU"/>
        </w:rPr>
        <w:tab/>
      </w:r>
      <w:r w:rsidRPr="0048435A">
        <w:rPr>
          <w:b/>
          <w:lang w:val="ru-RU"/>
        </w:rPr>
        <w:t>г-н А. Сундарам</w:t>
      </w:r>
    </w:p>
    <w:p w:rsidR="0048435A" w:rsidRPr="0048435A" w:rsidRDefault="0048435A" w:rsidP="0048435A">
      <w:pPr>
        <w:rPr>
          <w:szCs w:val="20"/>
          <w:lang w:val="ru-RU"/>
        </w:rPr>
      </w:pPr>
    </w:p>
    <w:p w:rsidR="0048435A" w:rsidRPr="0048435A" w:rsidRDefault="0048435A" w:rsidP="0048435A">
      <w:pPr>
        <w:rPr>
          <w:szCs w:val="20"/>
          <w:lang w:val="ru-RU"/>
        </w:rPr>
      </w:pPr>
    </w:p>
    <w:p w:rsidR="0048435A" w:rsidRPr="0048435A" w:rsidRDefault="0048435A" w:rsidP="0048435A">
      <w:pPr>
        <w:rPr>
          <w:bCs/>
          <w:szCs w:val="22"/>
          <w:lang w:val="ru-RU"/>
        </w:rPr>
      </w:pPr>
      <w:r w:rsidRPr="0048435A">
        <w:rPr>
          <w:lang w:val="ru-RU"/>
        </w:rPr>
        <w:t>ОБЗОР ДОСТИЖЕНИЙ ЗА ДВУХЛЕТНИЙ ПЕРИОД 2014–2015 ГГ.</w:t>
      </w:r>
    </w:p>
    <w:p w:rsidR="0048435A" w:rsidRPr="0048435A" w:rsidRDefault="0048435A" w:rsidP="0048435A">
      <w:pPr>
        <w:tabs>
          <w:tab w:val="num" w:pos="540"/>
        </w:tabs>
        <w:rPr>
          <w:bCs/>
          <w:sz w:val="22"/>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Прогресс, достигнутый в 2012–2013</w:t>
      </w:r>
      <w:r>
        <w:t> </w:t>
      </w:r>
      <w:r w:rsidRPr="0048435A">
        <w:rPr>
          <w:lang w:val="ru-RU"/>
        </w:rPr>
        <w:t>гг., заложил основу для дальнейшего укрепления управления программами и финансами ВОИС в 2014 г. В целях повышения эффективности использования ресурсов, накопления передового опыта в вопросах планирования, организации, координации и поддержки оперативной деятельности в масштабах всей Организации, а также в целях укрепления «второй линии обороны»</w:t>
      </w:r>
      <w:r>
        <w:rPr>
          <w:rStyle w:val="FootnoteReference"/>
        </w:rPr>
        <w:footnoteReference w:id="123"/>
      </w:r>
      <w:r w:rsidRPr="0048435A">
        <w:rPr>
          <w:lang w:val="ru-RU"/>
        </w:rPr>
        <w:t xml:space="preserve"> в 2014</w:t>
      </w:r>
      <w:r>
        <w:t> </w:t>
      </w:r>
      <w:r w:rsidRPr="0048435A">
        <w:rPr>
          <w:lang w:val="ru-RU"/>
        </w:rPr>
        <w:t>г. в рамках программы был полностью отлажен механизм, созданный в результате стратегической реорганизации, проведенной в ноябре 2013</w:t>
      </w:r>
      <w:r>
        <w:t> </w:t>
      </w:r>
      <w:r w:rsidRPr="0048435A">
        <w:rPr>
          <w:lang w:val="ru-RU"/>
        </w:rPr>
        <w:t>г.  В частности: (</w:t>
      </w:r>
      <w:r>
        <w:t>i</w:t>
      </w:r>
      <w:r w:rsidRPr="0048435A">
        <w:rPr>
          <w:lang w:val="ru-RU"/>
        </w:rPr>
        <w:t>)</w:t>
      </w:r>
      <w:r>
        <w:t> </w:t>
      </w:r>
      <w:r w:rsidRPr="0048435A">
        <w:rPr>
          <w:lang w:val="ru-RU"/>
        </w:rPr>
        <w:t>Секция управления программами и оценки результативности и Бюджетная секция были слиты воедино с образованием Отдела реализации Программы и бюджета (ОРПБ), что позволило обеспечить более целостный подход к руководству программами; (</w:t>
      </w:r>
      <w:r>
        <w:t>ii</w:t>
      </w:r>
      <w:r w:rsidRPr="0048435A">
        <w:rPr>
          <w:lang w:val="ru-RU"/>
        </w:rPr>
        <w:t>)</w:t>
      </w:r>
      <w:r>
        <w:t> </w:t>
      </w:r>
      <w:r w:rsidRPr="0048435A">
        <w:rPr>
          <w:lang w:val="ru-RU"/>
        </w:rPr>
        <w:t>более точно была определена роль Бюро Контролера, в результате чего были четко разграничены и распределены функции в вопросах координации управления рисками, обеспечения соблюдения процедур внутреннего контроля, ведения и обновления базы финансового регулирования и проверки выполнения рекомендаций, вынесенных в порядке надзора; и (</w:t>
      </w:r>
      <w:r>
        <w:t>iii</w:t>
      </w:r>
      <w:r w:rsidRPr="0048435A">
        <w:rPr>
          <w:lang w:val="ru-RU"/>
        </w:rPr>
        <w:t>)</w:t>
      </w:r>
      <w:r>
        <w:t> </w:t>
      </w:r>
      <w:r w:rsidRPr="0048435A">
        <w:rPr>
          <w:lang w:val="ru-RU"/>
        </w:rPr>
        <w:t>в программу 22 были включены функции по управлению административными приложениями Организации и их функциональному обеспечению, что позволило добиться синергетического эффекта и эффективной интеграции систем, созданных в рамках портфеля проектов ПОР.</w:t>
      </w:r>
    </w:p>
    <w:p w:rsidR="0048435A" w:rsidRPr="0048435A" w:rsidRDefault="0048435A" w:rsidP="0048435A">
      <w:pPr>
        <w:tabs>
          <w:tab w:val="left" w:pos="709"/>
        </w:tabs>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Хорошие результаты были достигнуты в рассматриваемый двухлетний период в плане дальнейшего утверждения культуры управления, ориентированного на конкретные результаты, и укрепления цикла управления общеорганизационной деятельностью ВОИС. В 2014–2015</w:t>
      </w:r>
      <w:r>
        <w:t> </w:t>
      </w:r>
      <w:r w:rsidRPr="0048435A">
        <w:rPr>
          <w:lang w:val="ru-RU"/>
        </w:rPr>
        <w:t>гг. продолжалось совершенствование процессов планирования работы на двухлетний и годичный периоды.  В 2014</w:t>
      </w:r>
      <w:r>
        <w:t> </w:t>
      </w:r>
      <w:r w:rsidRPr="0048435A">
        <w:rPr>
          <w:lang w:val="ru-RU"/>
        </w:rPr>
        <w:t>г. было введено планирование штатного расписания, что позволило установить более тесные связи между ожидаемыми результатами программы и отдельным кадровыми задачами. Благодаря этому был повышен уровень транспарентности и точности в сфере распределения и использования ресурсов, связанных с персоналом.</w:t>
      </w:r>
    </w:p>
    <w:p w:rsidR="0048435A" w:rsidRPr="0048435A" w:rsidRDefault="0048435A" w:rsidP="0048435A">
      <w:pPr>
        <w:tabs>
          <w:tab w:val="left" w:pos="709"/>
        </w:tabs>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Дальнейшее развитие системы планирования УОД ПОР сыграло большую роль в обеспечении результатов, достигнутых в этот двухлетний период.  Для этого в 2014 г. были предложены два новых модуля, имеющие ключевое значение в рамках цикла обеспечения результативного функционирования ВОИС, а именно модуль «Осуществление и контроль» и модуль «Анализ результатов». Оба модуля способствуют использованию более проактивного и эффективного подхода к управлению и оценке программ.  Кроме того, данные инструменты расширяют возможности для сопоставительного анализа утвержденных планов работы и возникающих в течение года изменений, повышая качество управления программами и позволяя получить дополнительную информацию для будущих циклов планирования, в том числе для планирования на двухлетний период 2016–2017</w:t>
      </w:r>
      <w:r>
        <w:t> </w:t>
      </w:r>
      <w:r w:rsidRPr="0048435A">
        <w:rPr>
          <w:lang w:val="ru-RU"/>
        </w:rPr>
        <w:t xml:space="preserve">гг.  </w:t>
      </w:r>
    </w:p>
    <w:p w:rsidR="0048435A" w:rsidRPr="0048435A" w:rsidRDefault="0048435A" w:rsidP="0048435A">
      <w:pPr>
        <w:tabs>
          <w:tab w:val="left" w:pos="709"/>
        </w:tabs>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В результате проведения в 2014–2015</w:t>
      </w:r>
      <w:r>
        <w:t> </w:t>
      </w:r>
      <w:r w:rsidRPr="0048435A">
        <w:rPr>
          <w:lang w:val="ru-RU"/>
        </w:rPr>
        <w:t>гг. дальнейшей работы по интеграции компонентов ПОР были также укреплены механизмы представления отчетов и использования аналитических средств.  В 2014</w:t>
      </w:r>
      <w:r>
        <w:t> </w:t>
      </w:r>
      <w:r w:rsidRPr="0048435A">
        <w:rPr>
          <w:lang w:val="ru-RU"/>
        </w:rPr>
        <w:t>г. впервые были объединены финансовая система и система планирования, то есть система управления административной информацией (СУАИ) и система УОД, что позволило усовершенствовать механизм представления отчетов УОД с сопоставлением сметных и фактических расходов.  Кроме того, в январе 2014</w:t>
      </w:r>
      <w:r>
        <w:t> </w:t>
      </w:r>
      <w:r w:rsidRPr="0048435A">
        <w:rPr>
          <w:lang w:val="ru-RU"/>
        </w:rPr>
        <w:t>г. в рамках ПОР начала функционировать система управления людскими ресурсами и начисления заработной платы, а в апреле была завершена работа по ее интеграции с системой планирования УОД, в результате чего существенно возросли возможности управления штатным расписанием.  В рассматриваемый двухлетний период продвигалась работа по созданию Информационно-аналитического модуля (</w:t>
      </w:r>
      <w:r>
        <w:t>BI</w:t>
      </w:r>
      <w:r w:rsidRPr="0048435A">
        <w:rPr>
          <w:lang w:val="ru-RU"/>
        </w:rPr>
        <w:t>): в 2014</w:t>
      </w:r>
      <w:r>
        <w:t> </w:t>
      </w:r>
      <w:r w:rsidRPr="0048435A">
        <w:rPr>
          <w:lang w:val="ru-RU"/>
        </w:rPr>
        <w:t>г. управленческие панели были разработаны и внедрены в ключевых административных областях (ДУЛР, закупки и поездки, а также планирование и финансирование программы), а в 2015</w:t>
      </w:r>
      <w:r>
        <w:t> </w:t>
      </w:r>
      <w:r w:rsidRPr="0048435A">
        <w:rPr>
          <w:lang w:val="ru-RU"/>
        </w:rPr>
        <w:t>г. их использование началось во всех подразделениях организации. В 2015</w:t>
      </w:r>
      <w:r>
        <w:t> </w:t>
      </w:r>
      <w:r w:rsidRPr="0048435A">
        <w:rPr>
          <w:lang w:val="ru-RU"/>
        </w:rPr>
        <w:t xml:space="preserve">г. была также разработана и выпущена панель управления рисками. </w:t>
      </w:r>
    </w:p>
    <w:p w:rsidR="0048435A" w:rsidRPr="0048435A" w:rsidRDefault="0048435A" w:rsidP="0048435A">
      <w:pPr>
        <w:pStyle w:val="ListParagraph"/>
        <w:tabs>
          <w:tab w:val="left" w:pos="709"/>
        </w:tabs>
        <w:ind w:left="0"/>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Среди других улучшений, внесенных в портфель продуктов ПОР в рассматриваемый двухлетний период, которые позволили укрепить и повысить уровень эффективности управленческих функций, можно выделить следующие: (</w:t>
      </w:r>
      <w:r>
        <w:t>i</w:t>
      </w:r>
      <w:r w:rsidRPr="0048435A">
        <w:rPr>
          <w:lang w:val="ru-RU"/>
        </w:rPr>
        <w:t>) крупное обновление финансовой системы СУАИ до версии</w:t>
      </w:r>
      <w:r>
        <w:t> </w:t>
      </w:r>
      <w:r w:rsidRPr="0048435A">
        <w:rPr>
          <w:lang w:val="ru-RU"/>
        </w:rPr>
        <w:t>9.2, которая должна обеспечить наличие в системах ВОИС новейших функций с целью снижения затрат на поддержку; (</w:t>
      </w:r>
      <w:r>
        <w:t>ii</w:t>
      </w:r>
      <w:r w:rsidRPr="0048435A">
        <w:rPr>
          <w:lang w:val="ru-RU"/>
        </w:rPr>
        <w:t>) начало первого этапа внедрения кадровой системы, позволяющей сотрудникам самостоятельно решать те или иные вопросы, в частности, вносить изменения, что позволит снизить объем бумажного документооборота и потребности во внесении данных вручную при совершении кадровых операций; (</w:t>
      </w:r>
      <w:r>
        <w:t>ii</w:t>
      </w:r>
      <w:r w:rsidRPr="0048435A">
        <w:rPr>
          <w:lang w:val="ru-RU"/>
        </w:rPr>
        <w:t xml:space="preserve">) оплата труда сотрудников, работающих не в Женеве, через систему оплаты труда </w:t>
      </w:r>
      <w:r>
        <w:t>PeopleSoft</w:t>
      </w:r>
      <w:r w:rsidRPr="0048435A">
        <w:rPr>
          <w:lang w:val="ru-RU"/>
        </w:rPr>
        <w:t>; (</w:t>
      </w:r>
      <w:r>
        <w:t>iii</w:t>
      </w:r>
      <w:r w:rsidRPr="0048435A">
        <w:rPr>
          <w:lang w:val="ru-RU"/>
        </w:rPr>
        <w:t>)</w:t>
      </w:r>
      <w:r>
        <w:t> </w:t>
      </w:r>
      <w:r w:rsidRPr="0048435A">
        <w:rPr>
          <w:lang w:val="ru-RU"/>
        </w:rPr>
        <w:t>повышение эффективности процесса получения пособия на образование; (</w:t>
      </w:r>
      <w:r>
        <w:t>iv</w:t>
      </w:r>
      <w:r w:rsidRPr="0048435A">
        <w:rPr>
          <w:lang w:val="ru-RU"/>
        </w:rPr>
        <w:t>)</w:t>
      </w:r>
      <w:r>
        <w:t> </w:t>
      </w:r>
      <w:r w:rsidRPr="0048435A">
        <w:rPr>
          <w:lang w:val="ru-RU"/>
        </w:rPr>
        <w:t xml:space="preserve">полная интеграция системы перевода документации </w:t>
      </w:r>
      <w:r>
        <w:t>PCT</w:t>
      </w:r>
      <w:r w:rsidRPr="0048435A">
        <w:rPr>
          <w:lang w:val="ru-RU"/>
        </w:rPr>
        <w:t xml:space="preserve"> с финансовой системой СУАИ, что позволило снизить объем работы, которая делается вручную; (</w:t>
      </w:r>
      <w:r>
        <w:t>v</w:t>
      </w:r>
      <w:r w:rsidRPr="0048435A">
        <w:rPr>
          <w:lang w:val="ru-RU"/>
        </w:rPr>
        <w:t>)</w:t>
      </w:r>
      <w:r>
        <w:t> </w:t>
      </w:r>
      <w:r w:rsidRPr="0048435A">
        <w:rPr>
          <w:lang w:val="ru-RU"/>
        </w:rPr>
        <w:t>создание единого образовательного портала для ПОР, ИКТ и ОУЛР; (</w:t>
      </w:r>
      <w:r>
        <w:t>vi</w:t>
      </w:r>
      <w:r w:rsidRPr="0048435A">
        <w:rPr>
          <w:lang w:val="ru-RU"/>
        </w:rPr>
        <w:t>)</w:t>
      </w:r>
      <w:r>
        <w:t> </w:t>
      </w:r>
      <w:r w:rsidRPr="0048435A">
        <w:rPr>
          <w:lang w:val="ru-RU"/>
        </w:rPr>
        <w:t xml:space="preserve">интеграция данных об отсутствии на рабочем месте и о сверхурочной работе в </w:t>
      </w:r>
      <w:r>
        <w:t>BI</w:t>
      </w:r>
      <w:r w:rsidRPr="0048435A">
        <w:rPr>
          <w:lang w:val="ru-RU"/>
        </w:rPr>
        <w:t>; (</w:t>
      </w:r>
      <w:r>
        <w:t>vii</w:t>
      </w:r>
      <w:r w:rsidRPr="0048435A">
        <w:rPr>
          <w:lang w:val="ru-RU"/>
        </w:rPr>
        <w:t>)</w:t>
      </w:r>
      <w:r>
        <w:t> </w:t>
      </w:r>
      <w:r w:rsidRPr="0048435A">
        <w:rPr>
          <w:lang w:val="ru-RU"/>
        </w:rPr>
        <w:t xml:space="preserve">внедрение панелей контроля данных в </w:t>
      </w:r>
      <w:r>
        <w:t>BI</w:t>
      </w:r>
      <w:r w:rsidRPr="0048435A">
        <w:rPr>
          <w:lang w:val="ru-RU"/>
        </w:rPr>
        <w:t xml:space="preserve"> для обеспечения последовательности представления данных в разных приложениях и проактивного выявления несоответствий в целях последующего анализа/устранения.</w:t>
      </w:r>
    </w:p>
    <w:p w:rsidR="0048435A" w:rsidRPr="0048435A" w:rsidRDefault="0048435A" w:rsidP="0048435A">
      <w:pPr>
        <w:pStyle w:val="ListParagraph"/>
        <w:tabs>
          <w:tab w:val="left" w:pos="709"/>
        </w:tabs>
        <w:ind w:left="0"/>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 xml:space="preserve">В соответствии с дорожной картой по управлению рисками был разработан формализованный и согласованный механизм управления рисками и внутреннего контроля в Организации, включивший в себя систему подотчетности ВОИС, «Заявление ВОИС о параметрах приемлемого риска», создание Группы управления рисками (ГУР), политику по управлению рисками и разработку «Справочника по вопросам управления рисками и внутреннего контроля».  </w:t>
      </w:r>
    </w:p>
    <w:p w:rsidR="0048435A" w:rsidRPr="0048435A" w:rsidRDefault="0048435A" w:rsidP="0048435A">
      <w:pPr>
        <w:pStyle w:val="ListParagraph"/>
        <w:tabs>
          <w:tab w:val="left" w:pos="709"/>
        </w:tabs>
        <w:ind w:left="0"/>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В целях содействия обеспечению доступа к информации о рисках и средствах контроля в реальном режиме времени, оказания поддержки в осуществлении инициативного управления в вопросах рисков и контроля, а также обеспечения оперативной реакции на заключения органов аудита во втором полугодии 2014</w:t>
      </w:r>
      <w:r w:rsidRPr="004E3E42">
        <w:t> </w:t>
      </w:r>
      <w:r w:rsidRPr="0048435A">
        <w:rPr>
          <w:lang w:val="ru-RU"/>
        </w:rPr>
        <w:t>г. был внедрен механизм общеорганизационного управления рисками (ОУР), который использовался в процессе составления планов работы на 2015</w:t>
      </w:r>
      <w:r w:rsidRPr="004E3E42">
        <w:t> </w:t>
      </w:r>
      <w:r w:rsidRPr="0048435A">
        <w:rPr>
          <w:lang w:val="ru-RU"/>
        </w:rPr>
        <w:t>г., а также при разработке Программы и бюджета на 2016–2017</w:t>
      </w:r>
      <w:r w:rsidRPr="004E3E42">
        <w:t> </w:t>
      </w:r>
      <w:r w:rsidRPr="0048435A">
        <w:rPr>
          <w:lang w:val="ru-RU"/>
        </w:rPr>
        <w:t>гг. Проводилась также работа по укреплению процедур мониторинга рисков и представления информации о них; для этого (</w:t>
      </w:r>
      <w:r>
        <w:t>i</w:t>
      </w:r>
      <w:r w:rsidRPr="0048435A">
        <w:rPr>
          <w:lang w:val="ru-RU"/>
        </w:rPr>
        <w:t>)</w:t>
      </w:r>
      <w:r>
        <w:t> </w:t>
      </w:r>
      <w:r w:rsidRPr="0048435A">
        <w:rPr>
          <w:lang w:val="ru-RU"/>
        </w:rPr>
        <w:t>была введена система проведения раз в полгода обзоров рисков, (</w:t>
      </w:r>
      <w:r>
        <w:t>ii</w:t>
      </w:r>
      <w:r w:rsidRPr="0048435A">
        <w:rPr>
          <w:lang w:val="ru-RU"/>
        </w:rPr>
        <w:t>)</w:t>
      </w:r>
      <w:r>
        <w:t> </w:t>
      </w:r>
      <w:r w:rsidRPr="0048435A">
        <w:rPr>
          <w:lang w:val="ru-RU"/>
        </w:rPr>
        <w:t>продолжалась интеграция управления рисками в процессы управления реализацией программы и (</w:t>
      </w:r>
      <w:r>
        <w:t>iii</w:t>
      </w:r>
      <w:r w:rsidRPr="0048435A">
        <w:rPr>
          <w:lang w:val="ru-RU"/>
        </w:rPr>
        <w:t>)</w:t>
      </w:r>
      <w:r>
        <w:t> </w:t>
      </w:r>
      <w:r w:rsidRPr="0048435A">
        <w:rPr>
          <w:lang w:val="ru-RU"/>
        </w:rPr>
        <w:t>был разработан механизм внутреннего контроля с использованием ОУР для фиксации выявленных и оцененных средств контроля.</w:t>
      </w:r>
    </w:p>
    <w:p w:rsidR="0048435A" w:rsidRPr="0048435A" w:rsidRDefault="0048435A" w:rsidP="0048435A">
      <w:pPr>
        <w:pStyle w:val="ListParagraph"/>
        <w:tabs>
          <w:tab w:val="left" w:pos="709"/>
        </w:tabs>
        <w:ind w:left="0"/>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 xml:space="preserve">Продолжалась работа по обновлению нормативной базы: был пересмотрен и/или выпущен ряд служебных инструкций (СИ) (по таким вопросам, как закупки, представительские расходы, командировки, отпуска сотрудников на родину, выплата авансов в счет оклада, порядок использования наличных средств во внешних бюро, резервы, управление имуществом, добровольные взносы, политика использования мобильных устройств связи, создание Группы управления рисками, политика управления рисками). Были проанализированы и пересмотрены по решению государств-членов Финансовые положения и правила (ФПП) и создано новое электронное инструментальное средство для упрощения работы с программными обозначениями. </w:t>
      </w:r>
    </w:p>
    <w:p w:rsidR="0048435A" w:rsidRPr="0048435A" w:rsidRDefault="0048435A" w:rsidP="0048435A">
      <w:pPr>
        <w:tabs>
          <w:tab w:val="left" w:pos="709"/>
        </w:tabs>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Весной 2014</w:t>
      </w:r>
      <w:r>
        <w:t> </w:t>
      </w:r>
      <w:r w:rsidRPr="0048435A">
        <w:rPr>
          <w:lang w:val="ru-RU"/>
        </w:rPr>
        <w:t>г. было завершено комплексное исследование практики финансового управления ВОИС и соответствующих рисков, по итогам которого был вынесен ряд рекомендаций, в том числе в отношении использования методов хеджирования в качестве инструмента снижения риска валютных колебаний в рамках РСТ. В 2015</w:t>
      </w:r>
      <w:r>
        <w:t> </w:t>
      </w:r>
      <w:r w:rsidRPr="0048435A">
        <w:rPr>
          <w:lang w:val="ru-RU"/>
        </w:rPr>
        <w:t>г. был проведен комплексный обзор предлагаемой стратегии хеджирования, и в итоге было принято решение о создании модели хеджирования, которая позволит смоделировать воздействие хеджирования на результаты двухлетнего периода 2014–2015</w:t>
      </w:r>
      <w:r>
        <w:t> </w:t>
      </w:r>
      <w:r w:rsidRPr="0048435A">
        <w:rPr>
          <w:lang w:val="ru-RU"/>
        </w:rPr>
        <w:t>гг. и 2016</w:t>
      </w:r>
      <w:r>
        <w:t> </w:t>
      </w:r>
      <w:r w:rsidRPr="0048435A">
        <w:rPr>
          <w:lang w:val="ru-RU"/>
        </w:rPr>
        <w:t>г.  По итогам проведения обширного исследования условий, предлагаемых различными банками и финансовыми институтами, и изучения различных стратегий инвестирования, используемых в учреждениях системы ООН, в 2015</w:t>
      </w:r>
      <w:r>
        <w:t> </w:t>
      </w:r>
      <w:r w:rsidRPr="0048435A">
        <w:rPr>
          <w:lang w:val="ru-RU"/>
        </w:rPr>
        <w:t>г. была разработана и утверждена государствами-членами новая инвестиционная политика Организации. Ее реализация началась в конце 2015</w:t>
      </w:r>
      <w:r>
        <w:t> </w:t>
      </w:r>
      <w:r w:rsidRPr="0048435A">
        <w:rPr>
          <w:lang w:val="ru-RU"/>
        </w:rPr>
        <w:t>г. с подготовки документа о заинтересованности в управлении инвестиционным фондом.  Кроме того, были реализованы следующие инициативы в сфере финансов: (</w:t>
      </w:r>
      <w:r>
        <w:t>i</w:t>
      </w:r>
      <w:r w:rsidRPr="0048435A">
        <w:rPr>
          <w:lang w:val="ru-RU"/>
        </w:rPr>
        <w:t>)</w:t>
      </w:r>
      <w:r>
        <w:t> </w:t>
      </w:r>
      <w:r w:rsidRPr="0048435A">
        <w:rPr>
          <w:lang w:val="ru-RU"/>
        </w:rPr>
        <w:t>повышение эффективности управления денежными средствами в целях минимизации влияния отрицательных процентных ставок, действующих на данный момент в Швейцарии, включая проведение работы по установлению связей с двумя новыми банками; (</w:t>
      </w:r>
      <w:r>
        <w:t>ii</w:t>
      </w:r>
      <w:r w:rsidRPr="0048435A">
        <w:rPr>
          <w:lang w:val="ru-RU"/>
        </w:rPr>
        <w:t>) были приняты меры для увеличения числа получателей платежей от ВОИС с помощью электронных средств; (</w:t>
      </w:r>
      <w:r>
        <w:t>iii</w:t>
      </w:r>
      <w:r w:rsidRPr="0048435A">
        <w:rPr>
          <w:lang w:val="ru-RU"/>
        </w:rPr>
        <w:t>) создание возможности получения выплат от Организации с помощью еще двух кредитных карт; и (</w:t>
      </w:r>
      <w:r>
        <w:t>iv</w:t>
      </w:r>
      <w:r w:rsidRPr="0048435A">
        <w:rPr>
          <w:lang w:val="ru-RU"/>
        </w:rPr>
        <w:t>)</w:t>
      </w:r>
      <w:r>
        <w:t> </w:t>
      </w:r>
      <w:r w:rsidRPr="0048435A">
        <w:rPr>
          <w:lang w:val="ru-RU"/>
        </w:rPr>
        <w:t>внедрение системы динамической конвертации валют, благодаря которой владелец кредитной карты может получать платежи в своей местной валюте, что позволяет снизить размер комиссии за пользование кредитными картами для Организации.</w:t>
      </w:r>
    </w:p>
    <w:p w:rsidR="0048435A" w:rsidRPr="0048435A" w:rsidRDefault="0048435A" w:rsidP="0048435A">
      <w:pPr>
        <w:pStyle w:val="ListParagraph"/>
        <w:tabs>
          <w:tab w:val="left" w:pos="709"/>
        </w:tabs>
        <w:ind w:left="0"/>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 xml:space="preserve">Что касается </w:t>
      </w:r>
      <w:r>
        <w:t>PCT</w:t>
      </w:r>
      <w:r w:rsidRPr="0048435A">
        <w:rPr>
          <w:lang w:val="ru-RU"/>
        </w:rPr>
        <w:t>, то в 2014</w:t>
      </w:r>
      <w:r>
        <w:t> </w:t>
      </w:r>
      <w:r w:rsidRPr="0048435A">
        <w:rPr>
          <w:lang w:val="ru-RU"/>
        </w:rPr>
        <w:t>г. были назначены два новых международных поисковых органа (МПО), что требует новых выплат и внесения изменений в систему.  К Мадридской и Гаагской системам присоединились новые члены (всего восемь), что потребовало некоторой адаптации этих систем. При этом в результате присоединения к сервису электронной подачи в рамках Мадридской системы (</w:t>
      </w:r>
      <w:r>
        <w:t>IRPI</w:t>
      </w:r>
      <w:r w:rsidRPr="0048435A">
        <w:rPr>
          <w:lang w:val="ru-RU"/>
        </w:rPr>
        <w:t>) стран Бенилюкс и позднее Австралии потребовалось изменение характера распределения средств.</w:t>
      </w:r>
    </w:p>
    <w:p w:rsidR="0048435A" w:rsidRPr="0048435A" w:rsidRDefault="0048435A" w:rsidP="0048435A">
      <w:pPr>
        <w:pStyle w:val="ListParagraph"/>
        <w:tabs>
          <w:tab w:val="left" w:pos="709"/>
        </w:tabs>
        <w:ind w:left="0"/>
        <w:jc w:val="both"/>
        <w:rPr>
          <w:bCs/>
          <w:szCs w:val="22"/>
          <w:lang w:val="ru-RU"/>
        </w:rPr>
      </w:pPr>
    </w:p>
    <w:p w:rsidR="0048435A" w:rsidRPr="0048435A" w:rsidRDefault="0048435A" w:rsidP="0048435A">
      <w:pPr>
        <w:pStyle w:val="ListParagraph"/>
        <w:numPr>
          <w:ilvl w:val="0"/>
          <w:numId w:val="44"/>
        </w:numPr>
        <w:tabs>
          <w:tab w:val="left" w:pos="709"/>
        </w:tabs>
        <w:ind w:left="0" w:firstLine="0"/>
        <w:jc w:val="both"/>
        <w:rPr>
          <w:bCs/>
          <w:szCs w:val="22"/>
          <w:lang w:val="ru-RU"/>
        </w:rPr>
      </w:pPr>
      <w:r w:rsidRPr="0048435A">
        <w:rPr>
          <w:lang w:val="ru-RU"/>
        </w:rPr>
        <w:t>В соответствии с МоВ с ВПТЗ США, ЕПВ и МБ был успешно начат и пилотный проект, в рамках которого изучается возможность совершенствования практики управления валютными рисками в связи с уплатой пошлин за поиск.  Этот проект был позднее продлен еще на два года. Оценка проекта запланирована на 2016</w:t>
      </w:r>
      <w:r>
        <w:t> </w:t>
      </w:r>
      <w:r w:rsidRPr="0048435A">
        <w:rPr>
          <w:lang w:val="ru-RU"/>
        </w:rPr>
        <w:t>г. в рамках анализа предложения о механизме сальдирования, которое содержалось в одной из рекомендаций казначейского исследования.</w:t>
      </w:r>
    </w:p>
    <w:p w:rsidR="0048435A" w:rsidRPr="0048435A" w:rsidRDefault="0048435A" w:rsidP="0048435A">
      <w:pPr>
        <w:rPr>
          <w:bCs/>
          <w:szCs w:val="22"/>
          <w:lang w:val="ru-RU"/>
        </w:rPr>
      </w:pPr>
    </w:p>
    <w:p w:rsidR="0048435A" w:rsidRPr="0048435A" w:rsidRDefault="0048435A" w:rsidP="0048435A">
      <w:pPr>
        <w:rPr>
          <w:rFonts w:cs="Arial"/>
          <w:sz w:val="22"/>
          <w:szCs w:val="22"/>
          <w:lang w:val="ru-RU"/>
        </w:rPr>
      </w:pPr>
    </w:p>
    <w:p w:rsidR="0048435A" w:rsidRPr="00B361ED" w:rsidRDefault="0048435A" w:rsidP="0048435A">
      <w:pPr>
        <w:keepNext/>
        <w:keepLines/>
        <w:rPr>
          <w:rFonts w:cs="Arial"/>
          <w:szCs w:val="22"/>
        </w:rPr>
      </w:pPr>
      <w:r>
        <w:t>ДАННЫЕ О РЕЗУЛЬТАТИВНОСТИ</w:t>
      </w:r>
    </w:p>
    <w:p w:rsidR="0048435A" w:rsidRDefault="0048435A" w:rsidP="0048435A">
      <w:pPr>
        <w:keepNext/>
        <w:keepLines/>
        <w:rPr>
          <w:rFonts w:cs="Arial"/>
          <w:color w:val="000000"/>
          <w:sz w:val="22"/>
          <w:szCs w:val="22"/>
        </w:rPr>
      </w:pPr>
    </w:p>
    <w:tbl>
      <w:tblPr>
        <w:tblW w:w="5000" w:type="pct"/>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930"/>
        <w:gridCol w:w="1981"/>
        <w:gridCol w:w="1535"/>
        <w:gridCol w:w="2923"/>
        <w:gridCol w:w="1202"/>
      </w:tblGrid>
      <w:tr w:rsidR="0048435A" w:rsidRPr="005C6ABD" w:rsidTr="00955E75">
        <w:trPr>
          <w:cantSplit/>
        </w:trPr>
        <w:tc>
          <w:tcPr>
            <w:tcW w:w="5000" w:type="pct"/>
            <w:gridSpan w:val="5"/>
            <w:tcBorders>
              <w:top w:val="single" w:sz="4" w:space="0" w:color="auto"/>
              <w:bottom w:val="single" w:sz="4" w:space="0" w:color="auto"/>
            </w:tcBorders>
            <w:shd w:val="clear" w:color="auto" w:fill="C6D9F1" w:themeFill="text2" w:themeFillTint="33"/>
            <w:vAlign w:val="center"/>
            <w:hideMark/>
          </w:tcPr>
          <w:p w:rsidR="0048435A" w:rsidRPr="0048435A" w:rsidRDefault="0048435A" w:rsidP="00D340AF">
            <w:pPr>
              <w:keepNext/>
              <w:keepLines/>
              <w:tabs>
                <w:tab w:val="left" w:pos="2160"/>
              </w:tabs>
              <w:spacing w:before="120" w:after="120"/>
              <w:ind w:left="2160" w:hanging="2160"/>
              <w:rPr>
                <w:rFonts w:cs="Arial"/>
                <w:b/>
                <w:bCs/>
                <w:sz w:val="16"/>
                <w:szCs w:val="16"/>
                <w:lang w:val="ru-RU"/>
              </w:rPr>
            </w:pPr>
            <w:r w:rsidRPr="0048435A">
              <w:rPr>
                <w:rFonts w:cs="Arial"/>
                <w:b/>
                <w:sz w:val="16"/>
                <w:szCs w:val="16"/>
                <w:lang w:val="ru-RU"/>
              </w:rPr>
              <w:t>Ожидаемый результат</w:t>
            </w:r>
            <w:r w:rsidRPr="0048435A">
              <w:rPr>
                <w:rFonts w:cs="Arial"/>
                <w:sz w:val="16"/>
                <w:szCs w:val="16"/>
                <w:lang w:val="ru-RU"/>
              </w:rPr>
              <w:tab/>
            </w:r>
            <w:r w:rsidRPr="00F251C1">
              <w:rPr>
                <w:rFonts w:cs="Arial"/>
                <w:sz w:val="16"/>
                <w:szCs w:val="16"/>
              </w:rPr>
              <w:t>IX</w:t>
            </w:r>
            <w:r w:rsidRPr="0048435A">
              <w:rPr>
                <w:rFonts w:cs="Arial"/>
                <w:sz w:val="16"/>
                <w:szCs w:val="16"/>
                <w:lang w:val="ru-RU"/>
              </w:rPr>
              <w:t>.1. Эффективные, действенные, качественные и о</w:t>
            </w:r>
            <w:r w:rsidR="00D340AF">
              <w:rPr>
                <w:rFonts w:cs="Arial"/>
                <w:sz w:val="16"/>
                <w:szCs w:val="16"/>
                <w:lang w:val="ru-RU"/>
              </w:rPr>
              <w:t xml:space="preserve">риентированные на пользователя </w:t>
            </w:r>
            <w:r w:rsidRPr="0048435A">
              <w:rPr>
                <w:rFonts w:cs="Arial"/>
                <w:sz w:val="16"/>
                <w:szCs w:val="16"/>
                <w:lang w:val="ru-RU"/>
              </w:rPr>
              <w:t>вспомогательные услуги, предоставляемые как внут</w:t>
            </w:r>
            <w:r w:rsidR="00D340AF">
              <w:rPr>
                <w:rFonts w:cs="Arial"/>
                <w:sz w:val="16"/>
                <w:szCs w:val="16"/>
                <w:lang w:val="ru-RU"/>
              </w:rPr>
              <w:t xml:space="preserve">ренним клиентам, так и внешним </w:t>
            </w:r>
            <w:r w:rsidRPr="0048435A">
              <w:rPr>
                <w:rFonts w:cs="Arial"/>
                <w:sz w:val="16"/>
                <w:szCs w:val="16"/>
                <w:lang w:val="ru-RU"/>
              </w:rPr>
              <w:t>заинтересованным сторонам</w:t>
            </w:r>
          </w:p>
        </w:tc>
      </w:tr>
      <w:tr w:rsidR="0048435A" w:rsidRPr="00F251C1" w:rsidTr="00955E75">
        <w:trPr>
          <w:cantSplit/>
        </w:trPr>
        <w:tc>
          <w:tcPr>
            <w:tcW w:w="1008" w:type="pct"/>
            <w:tcBorders>
              <w:top w:val="single" w:sz="4" w:space="0" w:color="auto"/>
            </w:tcBorders>
            <w:vAlign w:val="center"/>
            <w:hideMark/>
          </w:tcPr>
          <w:p w:rsidR="0048435A" w:rsidRPr="00F251C1" w:rsidRDefault="0048435A" w:rsidP="00955E75">
            <w:pPr>
              <w:rPr>
                <w:rFonts w:cs="Arial"/>
                <w:sz w:val="16"/>
                <w:szCs w:val="16"/>
              </w:rPr>
            </w:pPr>
            <w:r w:rsidRPr="00F251C1">
              <w:rPr>
                <w:rFonts w:cs="Arial"/>
                <w:b/>
                <w:sz w:val="16"/>
                <w:szCs w:val="16"/>
              </w:rPr>
              <w:t>Показатели результативности</w:t>
            </w:r>
          </w:p>
        </w:tc>
        <w:tc>
          <w:tcPr>
            <w:tcW w:w="1035" w:type="pct"/>
            <w:tcBorders>
              <w:top w:val="single" w:sz="4" w:space="0" w:color="auto"/>
            </w:tcBorders>
            <w:vAlign w:val="center"/>
            <w:hideMark/>
          </w:tcPr>
          <w:p w:rsidR="0048435A" w:rsidRPr="00F251C1" w:rsidRDefault="0048435A" w:rsidP="00955E75">
            <w:pPr>
              <w:rPr>
                <w:rFonts w:cs="Arial"/>
                <w:b/>
                <w:bCs/>
                <w:sz w:val="16"/>
                <w:szCs w:val="16"/>
              </w:rPr>
            </w:pPr>
            <w:r w:rsidRPr="00F251C1">
              <w:rPr>
                <w:rFonts w:cs="Arial"/>
                <w:b/>
                <w:sz w:val="16"/>
                <w:szCs w:val="16"/>
              </w:rPr>
              <w:t>Базовые показатели</w:t>
            </w:r>
          </w:p>
        </w:tc>
        <w:tc>
          <w:tcPr>
            <w:tcW w:w="802" w:type="pct"/>
            <w:tcBorders>
              <w:top w:val="single" w:sz="4" w:space="0" w:color="auto"/>
            </w:tcBorders>
            <w:tcMar>
              <w:top w:w="110" w:type="dxa"/>
              <w:left w:w="108" w:type="dxa"/>
              <w:bottom w:w="0" w:type="dxa"/>
              <w:right w:w="108" w:type="dxa"/>
            </w:tcMar>
            <w:vAlign w:val="center"/>
            <w:hideMark/>
          </w:tcPr>
          <w:p w:rsidR="0048435A" w:rsidRPr="00F251C1" w:rsidRDefault="0048435A" w:rsidP="00955E75">
            <w:pPr>
              <w:rPr>
                <w:rFonts w:cs="Arial"/>
                <w:b/>
                <w:sz w:val="16"/>
                <w:szCs w:val="16"/>
              </w:rPr>
            </w:pPr>
            <w:r w:rsidRPr="00F251C1">
              <w:rPr>
                <w:rFonts w:cs="Arial"/>
                <w:b/>
                <w:sz w:val="16"/>
                <w:szCs w:val="16"/>
              </w:rPr>
              <w:t>Целевые показатели</w:t>
            </w:r>
          </w:p>
        </w:tc>
        <w:tc>
          <w:tcPr>
            <w:tcW w:w="1527" w:type="pct"/>
            <w:tcBorders>
              <w:top w:val="single" w:sz="4" w:space="0" w:color="auto"/>
            </w:tcBorders>
            <w:shd w:val="clear" w:color="auto" w:fill="FFFFFF"/>
            <w:tcMar>
              <w:top w:w="110" w:type="dxa"/>
              <w:left w:w="108" w:type="dxa"/>
              <w:bottom w:w="0" w:type="dxa"/>
              <w:right w:w="108" w:type="dxa"/>
            </w:tcMar>
            <w:vAlign w:val="center"/>
            <w:hideMark/>
          </w:tcPr>
          <w:p w:rsidR="0048435A" w:rsidRPr="00F251C1" w:rsidRDefault="0048435A" w:rsidP="00955E75">
            <w:pPr>
              <w:rPr>
                <w:rFonts w:cs="Arial"/>
                <w:sz w:val="16"/>
                <w:szCs w:val="16"/>
              </w:rPr>
            </w:pPr>
            <w:r w:rsidRPr="00F251C1">
              <w:rPr>
                <w:rFonts w:cs="Arial"/>
                <w:b/>
                <w:sz w:val="16"/>
                <w:szCs w:val="16"/>
              </w:rPr>
              <w:t>Данные о результативности</w:t>
            </w:r>
          </w:p>
        </w:tc>
        <w:tc>
          <w:tcPr>
            <w:tcW w:w="628" w:type="pct"/>
            <w:tcBorders>
              <w:top w:val="single" w:sz="4" w:space="0" w:color="auto"/>
            </w:tcBorders>
            <w:tcMar>
              <w:top w:w="110" w:type="dxa"/>
              <w:left w:w="108" w:type="dxa"/>
              <w:bottom w:w="0" w:type="dxa"/>
              <w:right w:w="108" w:type="dxa"/>
            </w:tcMar>
            <w:vAlign w:val="center"/>
            <w:hideMark/>
          </w:tcPr>
          <w:p w:rsidR="0048435A" w:rsidRPr="00F251C1" w:rsidRDefault="0048435A" w:rsidP="00955E75">
            <w:pPr>
              <w:keepNext/>
              <w:keepLines/>
              <w:jc w:val="center"/>
              <w:rPr>
                <w:rFonts w:cs="Arial"/>
                <w:b/>
                <w:bCs/>
                <w:sz w:val="16"/>
                <w:szCs w:val="16"/>
              </w:rPr>
            </w:pPr>
            <w:r w:rsidRPr="00F251C1">
              <w:rPr>
                <w:rFonts w:cs="Arial"/>
                <w:b/>
                <w:sz w:val="16"/>
                <w:szCs w:val="16"/>
              </w:rPr>
              <w:t>CC</w:t>
            </w:r>
          </w:p>
        </w:tc>
      </w:tr>
      <w:tr w:rsidR="0048435A" w:rsidRPr="005C6ABD" w:rsidTr="00955E75">
        <w:trPr>
          <w:cantSplit/>
        </w:trPr>
        <w:tc>
          <w:tcPr>
            <w:tcW w:w="1008" w:type="pct"/>
            <w:hideMark/>
          </w:tcPr>
          <w:p w:rsidR="0048435A" w:rsidRPr="0048435A" w:rsidRDefault="0048435A" w:rsidP="00955E75">
            <w:pPr>
              <w:rPr>
                <w:rFonts w:cs="Arial"/>
                <w:sz w:val="16"/>
                <w:szCs w:val="16"/>
                <w:lang w:val="ru-RU"/>
              </w:rPr>
            </w:pPr>
            <w:r w:rsidRPr="0048435A">
              <w:rPr>
                <w:rFonts w:cs="Arial"/>
                <w:sz w:val="16"/>
                <w:szCs w:val="16"/>
                <w:lang w:val="ru-RU"/>
              </w:rPr>
              <w:t>Предоставление финансовой и управленческой отчетности и аналитических данных, требующихся высшему руководству, руководителям программ и государствам-членам, в согласованные сроки</w:t>
            </w:r>
          </w:p>
        </w:tc>
        <w:tc>
          <w:tcPr>
            <w:tcW w:w="1035" w:type="pct"/>
            <w:hideMark/>
          </w:tcPr>
          <w:p w:rsidR="0048435A" w:rsidRPr="0048435A" w:rsidRDefault="0048435A" w:rsidP="00955E75">
            <w:pPr>
              <w:rPr>
                <w:rFonts w:cs="Arial"/>
                <w:sz w:val="16"/>
                <w:szCs w:val="16"/>
                <w:lang w:val="ru-RU"/>
              </w:rPr>
            </w:pPr>
            <w:r w:rsidRPr="0048435A">
              <w:rPr>
                <w:rFonts w:cs="Arial"/>
                <w:sz w:val="16"/>
                <w:szCs w:val="16"/>
                <w:lang w:val="ru-RU"/>
              </w:rPr>
              <w:t xml:space="preserve">Процедура закрытия месяца должна быть завершена в течение 10 рабочих дней после окончания месяца (кроме января, в котором закрытие месяца зависит от завершения операций по закрытию года). </w:t>
            </w:r>
          </w:p>
          <w:p w:rsidR="0048435A" w:rsidRPr="0048435A" w:rsidRDefault="0048435A" w:rsidP="00955E75">
            <w:pPr>
              <w:rPr>
                <w:rFonts w:cs="Arial"/>
                <w:i/>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Фиксированные онлайновые отчеты доступны на следующий день; ежеквартальные отчеты Центра наблюдений – в двухнедельный срок после закрытия квартала; ежемесячные стандартные отчеты – в течение недели после закрытия месяца</w:t>
            </w:r>
          </w:p>
        </w:tc>
        <w:tc>
          <w:tcPr>
            <w:tcW w:w="802" w:type="pct"/>
            <w:tcMar>
              <w:top w:w="110" w:type="dxa"/>
              <w:left w:w="108" w:type="dxa"/>
              <w:bottom w:w="0" w:type="dxa"/>
              <w:right w:w="108" w:type="dxa"/>
            </w:tcMar>
            <w:hideMark/>
          </w:tcPr>
          <w:p w:rsidR="0048435A" w:rsidRPr="0048435A" w:rsidRDefault="0048435A" w:rsidP="00955E75">
            <w:pPr>
              <w:rPr>
                <w:rFonts w:cs="Arial"/>
                <w:sz w:val="16"/>
                <w:szCs w:val="16"/>
                <w:lang w:val="ru-RU"/>
              </w:rPr>
            </w:pPr>
            <w:r w:rsidRPr="0048435A">
              <w:rPr>
                <w:rFonts w:cs="Arial"/>
                <w:sz w:val="16"/>
                <w:szCs w:val="16"/>
                <w:lang w:val="ru-RU"/>
              </w:rPr>
              <w:t>Совпадает с базовыми показателями</w:t>
            </w:r>
          </w:p>
          <w:p w:rsidR="0048435A" w:rsidRPr="0048435A" w:rsidRDefault="0048435A" w:rsidP="00955E75">
            <w:pPr>
              <w:rPr>
                <w:rFonts w:cs="Arial"/>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Параметризованные интерактивные онлайн-отчеты доступны в результате работы ПОР/</w:t>
            </w:r>
            <w:r>
              <w:rPr>
                <w:rFonts w:cs="Arial"/>
                <w:sz w:val="16"/>
                <w:szCs w:val="16"/>
              </w:rPr>
              <w:t>BI</w:t>
            </w:r>
            <w:r w:rsidRPr="0048435A">
              <w:rPr>
                <w:rFonts w:cs="Arial"/>
                <w:sz w:val="16"/>
                <w:szCs w:val="16"/>
                <w:lang w:val="ru-RU"/>
              </w:rPr>
              <w:t xml:space="preserve"> в 2014–2015</w:t>
            </w:r>
            <w:r w:rsidRPr="00F251C1">
              <w:rPr>
                <w:rFonts w:cs="Arial"/>
                <w:sz w:val="16"/>
                <w:szCs w:val="16"/>
              </w:rPr>
              <w:t> </w:t>
            </w:r>
            <w:r w:rsidRPr="0048435A">
              <w:rPr>
                <w:rFonts w:cs="Arial"/>
                <w:sz w:val="16"/>
                <w:szCs w:val="16"/>
                <w:lang w:val="ru-RU"/>
              </w:rPr>
              <w:t>гг.; ежеквартальные отчеты Центра наблюдений – в двухнедельный срок после закрытия квартала; ежемесячные стандартные отчеты – в течение недели после закрытия месяца.</w:t>
            </w:r>
            <w:r w:rsidRPr="0048435A">
              <w:rPr>
                <w:rFonts w:cs="Arial"/>
                <w:i/>
                <w:sz w:val="16"/>
                <w:szCs w:val="16"/>
                <w:lang w:val="ru-RU"/>
              </w:rPr>
              <w:t xml:space="preserve"> </w:t>
            </w:r>
          </w:p>
        </w:tc>
        <w:tc>
          <w:tcPr>
            <w:tcW w:w="1527" w:type="pct"/>
            <w:shd w:val="clear" w:color="auto" w:fill="FFFFFF"/>
            <w:tcMar>
              <w:top w:w="110" w:type="dxa"/>
              <w:left w:w="108" w:type="dxa"/>
              <w:bottom w:w="0" w:type="dxa"/>
              <w:right w:w="108" w:type="dxa"/>
            </w:tcMar>
          </w:tcPr>
          <w:p w:rsidR="0048435A" w:rsidRPr="0048435A" w:rsidRDefault="0048435A" w:rsidP="00955E75">
            <w:pPr>
              <w:rPr>
                <w:rFonts w:cs="Arial"/>
                <w:sz w:val="16"/>
                <w:szCs w:val="16"/>
                <w:lang w:val="ru-RU"/>
              </w:rPr>
            </w:pPr>
            <w:r w:rsidRPr="0048435A">
              <w:rPr>
                <w:rFonts w:cs="Arial"/>
                <w:sz w:val="16"/>
                <w:szCs w:val="16"/>
                <w:lang w:val="ru-RU"/>
              </w:rPr>
              <w:t>Закрытие на 10-й рабочий день или быстрее в течение 10</w:t>
            </w:r>
            <w:r>
              <w:rPr>
                <w:rFonts w:cs="Arial"/>
                <w:sz w:val="16"/>
                <w:szCs w:val="16"/>
              </w:rPr>
              <w:t> </w:t>
            </w:r>
            <w:r w:rsidRPr="0048435A">
              <w:rPr>
                <w:rFonts w:cs="Arial"/>
                <w:sz w:val="16"/>
                <w:szCs w:val="16"/>
                <w:lang w:val="ru-RU"/>
              </w:rPr>
              <w:t>месяцев. Исключениями были январь (согласно базовым показателям) и октябрь, когда проводилось обновление системы.</w:t>
            </w:r>
          </w:p>
          <w:p w:rsidR="0048435A" w:rsidRPr="0048435A" w:rsidRDefault="0048435A" w:rsidP="00955E75">
            <w:pPr>
              <w:rPr>
                <w:rFonts w:cs="Arial"/>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Первичные управленческие панели были разработаны и начали использоваться в ключевых административных областях (ДУЛР, закупки и поездки, планирование программной деятельности и финансы) в 2014</w:t>
            </w:r>
            <w:r w:rsidRPr="00F251C1">
              <w:rPr>
                <w:rFonts w:cs="Arial"/>
                <w:sz w:val="16"/>
                <w:szCs w:val="16"/>
              </w:rPr>
              <w:t> </w:t>
            </w:r>
            <w:r w:rsidRPr="0048435A">
              <w:rPr>
                <w:rFonts w:cs="Arial"/>
                <w:sz w:val="16"/>
                <w:szCs w:val="16"/>
                <w:lang w:val="ru-RU"/>
              </w:rPr>
              <w:t>г., а во всех подразделениях Организации – в 2015</w:t>
            </w:r>
            <w:r>
              <w:rPr>
                <w:rFonts w:cs="Arial"/>
                <w:sz w:val="16"/>
                <w:szCs w:val="16"/>
              </w:rPr>
              <w:t> </w:t>
            </w:r>
            <w:r w:rsidRPr="0048435A">
              <w:rPr>
                <w:rFonts w:cs="Arial"/>
                <w:sz w:val="16"/>
                <w:szCs w:val="16"/>
                <w:lang w:val="ru-RU"/>
              </w:rPr>
              <w:t>г.  В 2015</w:t>
            </w:r>
            <w:r w:rsidRPr="00F251C1">
              <w:rPr>
                <w:rFonts w:cs="Arial"/>
                <w:sz w:val="16"/>
                <w:szCs w:val="16"/>
              </w:rPr>
              <w:t> </w:t>
            </w:r>
            <w:r w:rsidRPr="0048435A">
              <w:rPr>
                <w:rFonts w:cs="Arial"/>
                <w:sz w:val="16"/>
                <w:szCs w:val="16"/>
                <w:lang w:val="ru-RU"/>
              </w:rPr>
              <w:t>г. была также разработана и выпущена панель управления рисками.</w:t>
            </w:r>
          </w:p>
          <w:p w:rsidR="0048435A" w:rsidRPr="0048435A" w:rsidRDefault="0048435A" w:rsidP="00955E75">
            <w:pPr>
              <w:rPr>
                <w:rFonts w:cs="Arial"/>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В среднем ежеквартальные и ежемесячные стандартные отчеты – в течение шести рабочих дней после закрытия периода.</w:t>
            </w:r>
          </w:p>
          <w:p w:rsidR="0048435A" w:rsidRPr="0048435A" w:rsidRDefault="0048435A" w:rsidP="00955E75">
            <w:pPr>
              <w:rPr>
                <w:rFonts w:cs="Arial"/>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Квартальные отчеты Центра наблюдений – в течение месяца закрытия периода.</w:t>
            </w:r>
          </w:p>
        </w:tc>
        <w:tc>
          <w:tcPr>
            <w:tcW w:w="628" w:type="pct"/>
            <w:tcMar>
              <w:top w:w="110" w:type="dxa"/>
              <w:left w:w="108" w:type="dxa"/>
              <w:bottom w:w="0" w:type="dxa"/>
              <w:right w:w="108" w:type="dxa"/>
            </w:tcMar>
          </w:tcPr>
          <w:p w:rsidR="0048435A" w:rsidRPr="0048435A" w:rsidRDefault="0048435A" w:rsidP="00955E75">
            <w:pPr>
              <w:keepNext/>
              <w:keepLines/>
              <w:jc w:val="center"/>
              <w:rPr>
                <w:rFonts w:cs="Arial"/>
                <w:b/>
                <w:bCs/>
                <w:color w:val="008000"/>
                <w:sz w:val="16"/>
                <w:szCs w:val="16"/>
                <w:lang w:val="ru-RU"/>
              </w:rPr>
            </w:pPr>
            <w:r w:rsidRPr="0048435A">
              <w:rPr>
                <w:rFonts w:cs="Arial"/>
                <w:b/>
                <w:color w:val="008000"/>
                <w:sz w:val="16"/>
                <w:szCs w:val="16"/>
                <w:lang w:val="ru-RU"/>
              </w:rPr>
              <w:t>Выполнено</w:t>
            </w: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r w:rsidRPr="0048435A">
              <w:rPr>
                <w:rFonts w:cs="Arial"/>
                <w:b/>
                <w:color w:val="008000"/>
                <w:sz w:val="16"/>
                <w:szCs w:val="16"/>
                <w:lang w:val="ru-RU"/>
              </w:rPr>
              <w:t>Выполнено</w:t>
            </w: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p>
          <w:p w:rsidR="0048435A" w:rsidRPr="0048435A" w:rsidRDefault="0048435A" w:rsidP="00955E75">
            <w:pPr>
              <w:keepNext/>
              <w:keepLines/>
              <w:jc w:val="center"/>
              <w:rPr>
                <w:rFonts w:cs="Arial"/>
                <w:b/>
                <w:bCs/>
                <w:color w:val="008000"/>
                <w:sz w:val="16"/>
                <w:szCs w:val="16"/>
                <w:lang w:val="ru-RU"/>
              </w:rPr>
            </w:pPr>
            <w:r w:rsidRPr="0048435A">
              <w:rPr>
                <w:rFonts w:cs="Arial"/>
                <w:b/>
                <w:color w:val="008000"/>
                <w:sz w:val="16"/>
                <w:szCs w:val="16"/>
                <w:lang w:val="ru-RU"/>
              </w:rPr>
              <w:t>Выполнено</w:t>
            </w:r>
          </w:p>
          <w:p w:rsidR="0048435A" w:rsidRPr="0048435A" w:rsidRDefault="0048435A" w:rsidP="00955E75">
            <w:pPr>
              <w:keepNext/>
              <w:keepLines/>
              <w:jc w:val="center"/>
              <w:rPr>
                <w:rFonts w:cs="Arial"/>
                <w:bCs/>
                <w:color w:val="808080"/>
                <w:sz w:val="16"/>
                <w:szCs w:val="16"/>
                <w:lang w:val="ru-RU"/>
              </w:rPr>
            </w:pPr>
          </w:p>
          <w:p w:rsidR="0048435A" w:rsidRPr="0048435A" w:rsidRDefault="0048435A" w:rsidP="00955E75">
            <w:pPr>
              <w:keepNext/>
              <w:keepLines/>
              <w:jc w:val="center"/>
              <w:rPr>
                <w:rFonts w:cs="Arial"/>
                <w:bCs/>
                <w:color w:val="808080"/>
                <w:sz w:val="16"/>
                <w:szCs w:val="16"/>
                <w:lang w:val="ru-RU"/>
              </w:rPr>
            </w:pPr>
          </w:p>
          <w:p w:rsidR="0048435A" w:rsidRPr="0048435A" w:rsidRDefault="0048435A" w:rsidP="00955E75">
            <w:pPr>
              <w:keepNext/>
              <w:keepLines/>
              <w:jc w:val="center"/>
              <w:rPr>
                <w:rFonts w:cs="Arial"/>
                <w:bCs/>
                <w:color w:val="808080"/>
                <w:sz w:val="16"/>
                <w:szCs w:val="16"/>
                <w:lang w:val="ru-RU"/>
              </w:rPr>
            </w:pPr>
          </w:p>
          <w:p w:rsidR="0048435A" w:rsidRPr="0048435A" w:rsidRDefault="0048435A" w:rsidP="00955E75">
            <w:pPr>
              <w:keepNext/>
              <w:keepLines/>
              <w:jc w:val="center"/>
              <w:rPr>
                <w:rFonts w:cs="Arial"/>
                <w:bCs/>
                <w:color w:val="808080"/>
                <w:sz w:val="16"/>
                <w:szCs w:val="16"/>
                <w:lang w:val="ru-RU"/>
              </w:rPr>
            </w:pPr>
          </w:p>
          <w:p w:rsidR="0048435A" w:rsidRPr="0048435A" w:rsidRDefault="0048435A" w:rsidP="00955E75">
            <w:pPr>
              <w:keepNext/>
              <w:keepLines/>
              <w:jc w:val="center"/>
              <w:rPr>
                <w:rFonts w:cs="Arial"/>
                <w:b/>
                <w:bCs/>
                <w:color w:val="FF0000"/>
                <w:sz w:val="16"/>
                <w:szCs w:val="16"/>
                <w:lang w:val="ru-RU"/>
              </w:rPr>
            </w:pPr>
            <w:r w:rsidRPr="0048435A">
              <w:rPr>
                <w:rFonts w:cs="Arial"/>
                <w:b/>
                <w:color w:val="FF0000"/>
                <w:sz w:val="16"/>
                <w:szCs w:val="16"/>
                <w:lang w:val="ru-RU"/>
              </w:rPr>
              <w:t>Не выполнено</w:t>
            </w:r>
          </w:p>
        </w:tc>
      </w:tr>
      <w:tr w:rsidR="0048435A" w:rsidRPr="00F251C1" w:rsidTr="00955E75">
        <w:trPr>
          <w:cantSplit/>
          <w:trHeight w:val="2653"/>
        </w:trPr>
        <w:tc>
          <w:tcPr>
            <w:tcW w:w="1008" w:type="pct"/>
            <w:hideMark/>
          </w:tcPr>
          <w:p w:rsidR="0048435A" w:rsidRPr="0048435A" w:rsidRDefault="0048435A" w:rsidP="00955E75">
            <w:pPr>
              <w:rPr>
                <w:rFonts w:cs="Arial"/>
                <w:sz w:val="16"/>
                <w:szCs w:val="16"/>
                <w:lang w:val="ru-RU"/>
              </w:rPr>
            </w:pPr>
            <w:r w:rsidRPr="0048435A">
              <w:rPr>
                <w:rFonts w:cs="Arial"/>
                <w:sz w:val="16"/>
                <w:szCs w:val="16"/>
                <w:lang w:val="ru-RU"/>
              </w:rPr>
              <w:t>Урегулирование полученных внутренних/внешних запросов в установленные сроки</w:t>
            </w:r>
          </w:p>
          <w:p w:rsidR="0048435A" w:rsidRPr="0048435A" w:rsidRDefault="0048435A" w:rsidP="00955E75">
            <w:pPr>
              <w:rPr>
                <w:rFonts w:cs="Arial"/>
                <w:sz w:val="16"/>
                <w:szCs w:val="16"/>
                <w:lang w:val="ru-RU"/>
              </w:rPr>
            </w:pPr>
          </w:p>
        </w:tc>
        <w:tc>
          <w:tcPr>
            <w:tcW w:w="1035" w:type="pct"/>
            <w:hideMark/>
          </w:tcPr>
          <w:p w:rsidR="0048435A" w:rsidRPr="0048435A" w:rsidRDefault="0048435A" w:rsidP="00955E75">
            <w:pPr>
              <w:rPr>
                <w:rFonts w:cs="Arial"/>
                <w:sz w:val="16"/>
                <w:szCs w:val="16"/>
                <w:lang w:val="ru-RU"/>
              </w:rPr>
            </w:pPr>
            <w:r w:rsidRPr="0048435A">
              <w:rPr>
                <w:rFonts w:cs="Arial"/>
                <w:sz w:val="16"/>
                <w:szCs w:val="16"/>
                <w:lang w:val="ru-RU"/>
              </w:rPr>
              <w:t xml:space="preserve">75% обращений должны закрываться (урегулироваться) в трехдневный срок с момента получения </w:t>
            </w:r>
          </w:p>
          <w:p w:rsidR="0048435A" w:rsidRPr="0048435A" w:rsidRDefault="0048435A" w:rsidP="00955E75">
            <w:pPr>
              <w:rPr>
                <w:rFonts w:cs="Arial"/>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Предоставление консультаций и/или ответов в связи с бюджетными документами и запросами в течение 72</w:t>
            </w:r>
            <w:r w:rsidRPr="00F251C1">
              <w:rPr>
                <w:rFonts w:cs="Arial"/>
                <w:sz w:val="16"/>
                <w:szCs w:val="16"/>
              </w:rPr>
              <w:t> </w:t>
            </w:r>
            <w:r w:rsidRPr="0048435A">
              <w:rPr>
                <w:rFonts w:cs="Arial"/>
                <w:sz w:val="16"/>
                <w:szCs w:val="16"/>
                <w:lang w:val="ru-RU"/>
              </w:rPr>
              <w:t>часов</w:t>
            </w:r>
          </w:p>
          <w:p w:rsidR="0048435A" w:rsidRPr="0048435A" w:rsidRDefault="0048435A" w:rsidP="00955E75">
            <w:pPr>
              <w:rPr>
                <w:rFonts w:cs="Arial"/>
                <w:sz w:val="16"/>
                <w:szCs w:val="16"/>
                <w:lang w:val="ru-RU"/>
              </w:rPr>
            </w:pPr>
          </w:p>
        </w:tc>
        <w:tc>
          <w:tcPr>
            <w:tcW w:w="802" w:type="pct"/>
            <w:tcMar>
              <w:top w:w="110" w:type="dxa"/>
              <w:left w:w="108" w:type="dxa"/>
              <w:bottom w:w="0" w:type="dxa"/>
              <w:right w:w="108" w:type="dxa"/>
            </w:tcMar>
            <w:hideMark/>
          </w:tcPr>
          <w:p w:rsidR="0048435A" w:rsidRPr="0048435A" w:rsidRDefault="0048435A" w:rsidP="00955E75">
            <w:pPr>
              <w:rPr>
                <w:rFonts w:cs="Arial"/>
                <w:sz w:val="16"/>
                <w:szCs w:val="16"/>
                <w:lang w:val="ru-RU"/>
              </w:rPr>
            </w:pPr>
            <w:r w:rsidRPr="0048435A">
              <w:rPr>
                <w:rFonts w:cs="Arial"/>
                <w:sz w:val="16"/>
                <w:szCs w:val="16"/>
                <w:lang w:val="ru-RU"/>
              </w:rPr>
              <w:t>Совпадает с базовыми показателями</w:t>
            </w:r>
          </w:p>
          <w:p w:rsidR="0048435A" w:rsidRPr="0048435A" w:rsidRDefault="0048435A" w:rsidP="00955E75">
            <w:pPr>
              <w:rPr>
                <w:rFonts w:cs="Arial"/>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Предоставление консультаций и/или ответов в связи с бюджетными документами и запросами в течение 48</w:t>
            </w:r>
            <w:r w:rsidRPr="00F251C1">
              <w:rPr>
                <w:rFonts w:cs="Arial"/>
                <w:sz w:val="16"/>
                <w:szCs w:val="16"/>
              </w:rPr>
              <w:t> </w:t>
            </w:r>
            <w:r w:rsidRPr="0048435A">
              <w:rPr>
                <w:rFonts w:cs="Arial"/>
                <w:sz w:val="16"/>
                <w:szCs w:val="16"/>
                <w:lang w:val="ru-RU"/>
              </w:rPr>
              <w:t>часов</w:t>
            </w:r>
          </w:p>
        </w:tc>
        <w:tc>
          <w:tcPr>
            <w:tcW w:w="1527" w:type="pct"/>
            <w:shd w:val="clear" w:color="auto" w:fill="FFFFFF"/>
            <w:tcMar>
              <w:top w:w="110" w:type="dxa"/>
              <w:left w:w="108" w:type="dxa"/>
              <w:bottom w:w="0" w:type="dxa"/>
              <w:right w:w="108" w:type="dxa"/>
            </w:tcMar>
          </w:tcPr>
          <w:p w:rsidR="0048435A" w:rsidRPr="0048435A" w:rsidRDefault="0048435A" w:rsidP="00955E75">
            <w:pPr>
              <w:rPr>
                <w:rFonts w:cs="Arial"/>
                <w:sz w:val="16"/>
                <w:szCs w:val="16"/>
                <w:lang w:val="ru-RU"/>
              </w:rPr>
            </w:pPr>
            <w:r w:rsidRPr="0048435A">
              <w:rPr>
                <w:rFonts w:cs="Arial"/>
                <w:sz w:val="16"/>
                <w:szCs w:val="16"/>
                <w:lang w:val="ru-RU"/>
              </w:rPr>
              <w:t>В 2014–2015</w:t>
            </w:r>
            <w:r w:rsidRPr="00F251C1">
              <w:rPr>
                <w:rFonts w:cs="Arial"/>
                <w:sz w:val="16"/>
                <w:szCs w:val="16"/>
              </w:rPr>
              <w:t> </w:t>
            </w:r>
            <w:r w:rsidRPr="0048435A">
              <w:rPr>
                <w:rFonts w:cs="Arial"/>
                <w:sz w:val="16"/>
                <w:szCs w:val="16"/>
                <w:lang w:val="ru-RU"/>
              </w:rPr>
              <w:t xml:space="preserve">гг. в среднем 84,5% обращений, зарегистрированных в системе </w:t>
            </w:r>
            <w:r w:rsidRPr="00F251C1">
              <w:rPr>
                <w:rFonts w:cs="Arial"/>
                <w:sz w:val="16"/>
                <w:szCs w:val="16"/>
              </w:rPr>
              <w:t>WINS</w:t>
            </w:r>
            <w:r w:rsidRPr="0048435A">
              <w:rPr>
                <w:rFonts w:cs="Arial"/>
                <w:sz w:val="16"/>
                <w:szCs w:val="16"/>
                <w:lang w:val="ru-RU"/>
              </w:rPr>
              <w:t>, были закрыты в течение трех дней:</w:t>
            </w:r>
          </w:p>
          <w:p w:rsidR="0048435A" w:rsidRPr="0048435A" w:rsidRDefault="0048435A" w:rsidP="00955E75">
            <w:pPr>
              <w:rPr>
                <w:rFonts w:cs="Arial"/>
                <w:sz w:val="16"/>
                <w:szCs w:val="16"/>
                <w:lang w:val="ru-RU"/>
              </w:rPr>
            </w:pPr>
          </w:p>
          <w:p w:rsidR="0048435A" w:rsidRPr="0048435A" w:rsidRDefault="0048435A" w:rsidP="0048435A">
            <w:pPr>
              <w:pStyle w:val="ListParagraph"/>
              <w:numPr>
                <w:ilvl w:val="0"/>
                <w:numId w:val="47"/>
              </w:numPr>
              <w:spacing w:after="60"/>
              <w:rPr>
                <w:rFonts w:cs="Arial"/>
                <w:sz w:val="16"/>
                <w:szCs w:val="16"/>
                <w:lang w:val="ru-RU"/>
              </w:rPr>
            </w:pPr>
            <w:r w:rsidRPr="0048435A">
              <w:rPr>
                <w:rFonts w:cs="Arial"/>
                <w:sz w:val="16"/>
                <w:szCs w:val="16"/>
                <w:lang w:val="ru-RU"/>
              </w:rPr>
              <w:t>В 2014</w:t>
            </w:r>
            <w:r w:rsidRPr="00F251C1">
              <w:rPr>
                <w:rFonts w:cs="Arial"/>
                <w:sz w:val="16"/>
                <w:szCs w:val="16"/>
              </w:rPr>
              <w:t> </w:t>
            </w:r>
            <w:r w:rsidRPr="0048435A">
              <w:rPr>
                <w:rFonts w:cs="Arial"/>
                <w:sz w:val="16"/>
                <w:szCs w:val="16"/>
                <w:lang w:val="ru-RU"/>
              </w:rPr>
              <w:t xml:space="preserve">г. 86% – в течение трех дней, из которых 71% – в тот же день, 6% – в течение двух дней и 9% – в течение трех дней.  </w:t>
            </w:r>
          </w:p>
          <w:p w:rsidR="0048435A" w:rsidRPr="0048435A" w:rsidRDefault="0048435A" w:rsidP="0048435A">
            <w:pPr>
              <w:pStyle w:val="ListParagraph"/>
              <w:numPr>
                <w:ilvl w:val="0"/>
                <w:numId w:val="47"/>
              </w:numPr>
              <w:rPr>
                <w:rFonts w:cs="Arial"/>
                <w:sz w:val="16"/>
                <w:szCs w:val="16"/>
                <w:lang w:val="ru-RU"/>
              </w:rPr>
            </w:pPr>
            <w:r w:rsidRPr="0048435A">
              <w:rPr>
                <w:rFonts w:cs="Arial"/>
                <w:sz w:val="16"/>
                <w:szCs w:val="16"/>
                <w:lang w:val="ru-RU"/>
              </w:rPr>
              <w:t>В 2015</w:t>
            </w:r>
            <w:r w:rsidRPr="00F251C1">
              <w:rPr>
                <w:rFonts w:cs="Arial"/>
                <w:sz w:val="16"/>
                <w:szCs w:val="16"/>
              </w:rPr>
              <w:t> </w:t>
            </w:r>
            <w:r w:rsidRPr="0048435A">
              <w:rPr>
                <w:rFonts w:cs="Arial"/>
                <w:sz w:val="16"/>
                <w:szCs w:val="16"/>
                <w:lang w:val="ru-RU"/>
              </w:rPr>
              <w:t>г. 85% – в течение трех дней, из которых 67% – в тот же день, 12% – в течение двух дней и 6% – в течение трех дней.</w:t>
            </w:r>
          </w:p>
          <w:p w:rsidR="0048435A" w:rsidRPr="0048435A" w:rsidRDefault="0048435A" w:rsidP="00955E75">
            <w:pPr>
              <w:rPr>
                <w:rFonts w:cs="Arial"/>
                <w:sz w:val="16"/>
                <w:szCs w:val="16"/>
                <w:lang w:val="ru-RU"/>
              </w:rPr>
            </w:pPr>
          </w:p>
          <w:p w:rsidR="0048435A" w:rsidRDefault="0048435A" w:rsidP="00955E75">
            <w:pPr>
              <w:rPr>
                <w:rFonts w:cs="Arial"/>
                <w:sz w:val="16"/>
                <w:szCs w:val="16"/>
              </w:rPr>
            </w:pPr>
            <w:r w:rsidRPr="0048435A">
              <w:rPr>
                <w:rFonts w:cs="Arial"/>
                <w:sz w:val="16"/>
                <w:szCs w:val="16"/>
                <w:lang w:val="ru-RU"/>
              </w:rPr>
              <w:t>В 2014 г. Отдел реализации Программы и бюджета (ОРПБ) получил около 2</w:t>
            </w:r>
            <w:r w:rsidRPr="00F251C1">
              <w:rPr>
                <w:rFonts w:cs="Arial"/>
                <w:sz w:val="16"/>
                <w:szCs w:val="16"/>
              </w:rPr>
              <w:t> </w:t>
            </w:r>
            <w:r w:rsidRPr="0048435A">
              <w:rPr>
                <w:rFonts w:cs="Arial"/>
                <w:sz w:val="16"/>
                <w:szCs w:val="16"/>
                <w:lang w:val="ru-RU"/>
              </w:rPr>
              <w:t xml:space="preserve">200 досье, требующих подтверждения по программам и/или бюджету.  </w:t>
            </w:r>
            <w:r w:rsidRPr="00F251C1">
              <w:rPr>
                <w:rFonts w:cs="Arial"/>
                <w:sz w:val="16"/>
                <w:szCs w:val="16"/>
              </w:rPr>
              <w:t>Для ответа требовалось в среднем 1,9 дня.</w:t>
            </w:r>
          </w:p>
          <w:p w:rsidR="0048435A" w:rsidRPr="00F251C1" w:rsidRDefault="0048435A" w:rsidP="00955E75">
            <w:pPr>
              <w:rPr>
                <w:rFonts w:cs="Arial"/>
                <w:sz w:val="16"/>
                <w:szCs w:val="16"/>
              </w:rPr>
            </w:pPr>
          </w:p>
        </w:tc>
        <w:tc>
          <w:tcPr>
            <w:tcW w:w="628" w:type="pct"/>
            <w:tcMar>
              <w:top w:w="110" w:type="dxa"/>
              <w:left w:w="108" w:type="dxa"/>
              <w:bottom w:w="0" w:type="dxa"/>
              <w:right w:w="108" w:type="dxa"/>
            </w:tcMar>
          </w:tcPr>
          <w:p w:rsidR="0048435A" w:rsidRPr="00F251C1" w:rsidRDefault="0048435A" w:rsidP="00955E75">
            <w:pPr>
              <w:keepNext/>
              <w:keepLines/>
              <w:jc w:val="center"/>
              <w:rPr>
                <w:rFonts w:cs="Arial"/>
                <w:b/>
                <w:bCs/>
                <w:color w:val="008000"/>
                <w:sz w:val="16"/>
                <w:szCs w:val="16"/>
              </w:rPr>
            </w:pPr>
            <w:r w:rsidRPr="00F251C1">
              <w:rPr>
                <w:rFonts w:cs="Arial"/>
                <w:b/>
                <w:color w:val="008000"/>
                <w:sz w:val="16"/>
                <w:szCs w:val="16"/>
              </w:rPr>
              <w:t>Выполнено</w:t>
            </w: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r w:rsidRPr="00F251C1">
              <w:rPr>
                <w:rFonts w:cs="Arial"/>
                <w:b/>
                <w:color w:val="008000"/>
                <w:sz w:val="16"/>
                <w:szCs w:val="16"/>
              </w:rPr>
              <w:t>Выполнено</w:t>
            </w:r>
          </w:p>
        </w:tc>
      </w:tr>
      <w:tr w:rsidR="0048435A" w:rsidRPr="005C6ABD" w:rsidTr="00955E75">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48435A" w:rsidRPr="0048435A" w:rsidRDefault="0048435A" w:rsidP="008320CF">
            <w:pPr>
              <w:keepNext/>
              <w:keepLines/>
              <w:tabs>
                <w:tab w:val="left" w:pos="2302"/>
              </w:tabs>
              <w:spacing w:before="120" w:after="120"/>
              <w:ind w:left="2302" w:hanging="2302"/>
              <w:rPr>
                <w:rFonts w:cs="Arial"/>
                <w:bCs/>
                <w:sz w:val="16"/>
                <w:szCs w:val="16"/>
                <w:lang w:val="ru-RU"/>
              </w:rPr>
            </w:pPr>
            <w:r w:rsidRPr="0048435A">
              <w:rPr>
                <w:rFonts w:cs="Arial"/>
                <w:b/>
                <w:sz w:val="16"/>
                <w:szCs w:val="16"/>
                <w:lang w:val="ru-RU"/>
              </w:rPr>
              <w:t xml:space="preserve">Ожидаемый результат: </w:t>
            </w:r>
            <w:r w:rsidRPr="0048435A">
              <w:rPr>
                <w:rFonts w:cs="Arial"/>
                <w:sz w:val="16"/>
                <w:szCs w:val="16"/>
                <w:lang w:val="ru-RU"/>
              </w:rPr>
              <w:tab/>
            </w:r>
            <w:r w:rsidRPr="00F251C1">
              <w:rPr>
                <w:rFonts w:cs="Arial"/>
                <w:sz w:val="16"/>
                <w:szCs w:val="16"/>
              </w:rPr>
              <w:t>IX</w:t>
            </w:r>
            <w:r w:rsidRPr="0048435A">
              <w:rPr>
                <w:rFonts w:cs="Arial"/>
                <w:sz w:val="16"/>
                <w:szCs w:val="16"/>
                <w:lang w:val="ru-RU"/>
              </w:rPr>
              <w:t>.2. Динамичный и слаженно функционирующий Секретар</w:t>
            </w:r>
            <w:r w:rsidR="008320CF">
              <w:rPr>
                <w:rFonts w:cs="Arial"/>
                <w:sz w:val="16"/>
                <w:szCs w:val="16"/>
                <w:lang w:val="ru-RU"/>
              </w:rPr>
              <w:t xml:space="preserve">иат с правильно организованным </w:t>
            </w:r>
            <w:r w:rsidRPr="0048435A">
              <w:rPr>
                <w:rFonts w:cs="Arial"/>
                <w:sz w:val="16"/>
                <w:szCs w:val="16"/>
                <w:lang w:val="ru-RU"/>
              </w:rPr>
              <w:t>штатом должным образом подготовленных сотрудников,</w:t>
            </w:r>
            <w:r w:rsidR="008320CF">
              <w:rPr>
                <w:rFonts w:cs="Arial"/>
                <w:sz w:val="16"/>
                <w:szCs w:val="16"/>
                <w:lang w:val="ru-RU"/>
              </w:rPr>
              <w:t xml:space="preserve"> которые эффективно добиваются </w:t>
            </w:r>
            <w:r w:rsidRPr="0048435A">
              <w:rPr>
                <w:rFonts w:cs="Arial"/>
                <w:sz w:val="16"/>
                <w:szCs w:val="16"/>
                <w:lang w:val="ru-RU"/>
              </w:rPr>
              <w:t>результатов</w:t>
            </w:r>
          </w:p>
        </w:tc>
      </w:tr>
      <w:tr w:rsidR="0048435A" w:rsidRPr="00F251C1" w:rsidTr="00955E75">
        <w:trPr>
          <w:cantSplit/>
        </w:trPr>
        <w:tc>
          <w:tcPr>
            <w:tcW w:w="1008" w:type="pct"/>
            <w:tcBorders>
              <w:top w:val="single" w:sz="4" w:space="0" w:color="auto"/>
              <w:left w:val="single" w:sz="4" w:space="0" w:color="auto"/>
            </w:tcBorders>
          </w:tcPr>
          <w:p w:rsidR="0048435A" w:rsidRPr="00F251C1" w:rsidRDefault="0048435A" w:rsidP="00955E75">
            <w:pPr>
              <w:rPr>
                <w:rFonts w:cs="Arial"/>
                <w:b/>
                <w:bCs/>
                <w:sz w:val="16"/>
                <w:szCs w:val="16"/>
              </w:rPr>
            </w:pPr>
            <w:r w:rsidRPr="00F251C1">
              <w:rPr>
                <w:rFonts w:cs="Arial"/>
                <w:b/>
                <w:sz w:val="16"/>
                <w:szCs w:val="16"/>
              </w:rPr>
              <w:t>Показатели результативности</w:t>
            </w:r>
          </w:p>
        </w:tc>
        <w:tc>
          <w:tcPr>
            <w:tcW w:w="1035" w:type="pct"/>
            <w:tcBorders>
              <w:top w:val="single" w:sz="4" w:space="0" w:color="auto"/>
            </w:tcBorders>
            <w:hideMark/>
          </w:tcPr>
          <w:p w:rsidR="0048435A" w:rsidRPr="00F251C1" w:rsidRDefault="0048435A" w:rsidP="00955E75">
            <w:pPr>
              <w:rPr>
                <w:rFonts w:cs="Arial"/>
                <w:b/>
                <w:bCs/>
                <w:sz w:val="16"/>
                <w:szCs w:val="16"/>
              </w:rPr>
            </w:pPr>
            <w:r w:rsidRPr="00F251C1">
              <w:rPr>
                <w:rFonts w:cs="Arial"/>
                <w:b/>
                <w:sz w:val="16"/>
                <w:szCs w:val="16"/>
              </w:rPr>
              <w:t>Базовые показатели</w:t>
            </w:r>
          </w:p>
        </w:tc>
        <w:tc>
          <w:tcPr>
            <w:tcW w:w="802" w:type="pct"/>
            <w:tcBorders>
              <w:top w:val="single" w:sz="4" w:space="0" w:color="auto"/>
            </w:tcBorders>
            <w:tcMar>
              <w:top w:w="110" w:type="dxa"/>
              <w:left w:w="108" w:type="dxa"/>
              <w:bottom w:w="0" w:type="dxa"/>
              <w:right w:w="108" w:type="dxa"/>
            </w:tcMar>
            <w:hideMark/>
          </w:tcPr>
          <w:p w:rsidR="0048435A" w:rsidRPr="00F251C1" w:rsidRDefault="0048435A" w:rsidP="00955E75">
            <w:pPr>
              <w:autoSpaceDE w:val="0"/>
              <w:autoSpaceDN w:val="0"/>
              <w:adjustRightInd w:val="0"/>
              <w:rPr>
                <w:rFonts w:cs="Arial"/>
                <w:b/>
                <w:bCs/>
                <w:sz w:val="16"/>
                <w:szCs w:val="16"/>
              </w:rPr>
            </w:pPr>
            <w:r w:rsidRPr="00F251C1">
              <w:rPr>
                <w:rFonts w:cs="Arial"/>
                <w:b/>
                <w:sz w:val="16"/>
                <w:szCs w:val="16"/>
              </w:rPr>
              <w:t>Цели</w:t>
            </w:r>
          </w:p>
        </w:tc>
        <w:tc>
          <w:tcPr>
            <w:tcW w:w="1527" w:type="pct"/>
            <w:tcBorders>
              <w:top w:val="single" w:sz="4" w:space="0" w:color="auto"/>
            </w:tcBorders>
            <w:shd w:val="clear" w:color="auto" w:fill="FFFFFF"/>
            <w:tcMar>
              <w:top w:w="110" w:type="dxa"/>
              <w:left w:w="108" w:type="dxa"/>
              <w:bottom w:w="0" w:type="dxa"/>
              <w:right w:w="108" w:type="dxa"/>
            </w:tcMar>
            <w:hideMark/>
          </w:tcPr>
          <w:p w:rsidR="0048435A" w:rsidRPr="00F251C1" w:rsidRDefault="0048435A" w:rsidP="00955E75">
            <w:pPr>
              <w:rPr>
                <w:rFonts w:cs="Arial"/>
                <w:b/>
                <w:bCs/>
                <w:sz w:val="16"/>
                <w:szCs w:val="16"/>
              </w:rPr>
            </w:pPr>
            <w:r w:rsidRPr="00F251C1">
              <w:rPr>
                <w:rFonts w:cs="Arial"/>
                <w:b/>
                <w:sz w:val="16"/>
                <w:szCs w:val="16"/>
              </w:rPr>
              <w:t>Данные о результативности</w:t>
            </w:r>
          </w:p>
        </w:tc>
        <w:tc>
          <w:tcPr>
            <w:tcW w:w="628" w:type="pct"/>
            <w:tcBorders>
              <w:top w:val="single" w:sz="4" w:space="0" w:color="auto"/>
              <w:right w:val="single" w:sz="4" w:space="0" w:color="auto"/>
            </w:tcBorders>
            <w:tcMar>
              <w:top w:w="110" w:type="dxa"/>
              <w:left w:w="108" w:type="dxa"/>
              <w:bottom w:w="0" w:type="dxa"/>
              <w:right w:w="108" w:type="dxa"/>
            </w:tcMar>
            <w:hideMark/>
          </w:tcPr>
          <w:p w:rsidR="0048435A" w:rsidRPr="00F251C1" w:rsidRDefault="0048435A" w:rsidP="00955E75">
            <w:pPr>
              <w:keepNext/>
              <w:keepLines/>
              <w:jc w:val="center"/>
              <w:rPr>
                <w:rFonts w:cs="Arial"/>
                <w:b/>
                <w:bCs/>
                <w:sz w:val="16"/>
                <w:szCs w:val="16"/>
              </w:rPr>
            </w:pPr>
            <w:r w:rsidRPr="00F251C1">
              <w:rPr>
                <w:rFonts w:cs="Arial"/>
                <w:b/>
                <w:sz w:val="16"/>
                <w:szCs w:val="16"/>
              </w:rPr>
              <w:t>CC</w:t>
            </w:r>
          </w:p>
        </w:tc>
      </w:tr>
      <w:tr w:rsidR="0048435A" w:rsidRPr="00F251C1" w:rsidTr="00955E75">
        <w:trPr>
          <w:cantSplit/>
        </w:trPr>
        <w:tc>
          <w:tcPr>
            <w:tcW w:w="1008" w:type="pct"/>
            <w:tcBorders>
              <w:left w:val="single" w:sz="4" w:space="0" w:color="auto"/>
            </w:tcBorders>
          </w:tcPr>
          <w:p w:rsidR="0048435A" w:rsidRPr="0048435A" w:rsidRDefault="0048435A" w:rsidP="00955E75">
            <w:pPr>
              <w:rPr>
                <w:rFonts w:cs="Arial"/>
                <w:sz w:val="16"/>
                <w:szCs w:val="16"/>
                <w:lang w:val="ru-RU"/>
              </w:rPr>
            </w:pPr>
            <w:r w:rsidRPr="0048435A">
              <w:rPr>
                <w:rFonts w:cs="Arial"/>
                <w:sz w:val="16"/>
                <w:szCs w:val="16"/>
                <w:lang w:val="ru-RU"/>
              </w:rPr>
              <w:t>Удовлетворительный финансовый отчет внешних аудиторов подтверждает соответствие финансовых операций положениям применимых конвенций и договоров ВОИС, финансовым положениям и правилам ВОИС и МСУГС</w:t>
            </w:r>
          </w:p>
        </w:tc>
        <w:tc>
          <w:tcPr>
            <w:tcW w:w="1035" w:type="pct"/>
          </w:tcPr>
          <w:p w:rsidR="0048435A" w:rsidRPr="0048435A" w:rsidRDefault="0048435A" w:rsidP="00955E75">
            <w:pPr>
              <w:rPr>
                <w:rFonts w:cs="Arial"/>
                <w:i/>
                <w:color w:val="002060"/>
                <w:sz w:val="16"/>
                <w:szCs w:val="16"/>
                <w:lang w:val="ru-RU"/>
              </w:rPr>
            </w:pPr>
            <w:r w:rsidRPr="0048435A">
              <w:rPr>
                <w:rFonts w:cs="Arial"/>
                <w:sz w:val="16"/>
                <w:szCs w:val="16"/>
                <w:lang w:val="ru-RU"/>
              </w:rPr>
              <w:t>Аудиторский отчет без оговорок за 2012 и 2013</w:t>
            </w:r>
            <w:r>
              <w:rPr>
                <w:rFonts w:cs="Arial"/>
                <w:sz w:val="16"/>
                <w:szCs w:val="16"/>
              </w:rPr>
              <w:t> </w:t>
            </w:r>
            <w:r w:rsidRPr="0048435A">
              <w:rPr>
                <w:rFonts w:cs="Arial"/>
                <w:sz w:val="16"/>
                <w:szCs w:val="16"/>
                <w:lang w:val="ru-RU"/>
              </w:rPr>
              <w:t>гг.; ответы даны на все рекомендации аудиторов</w:t>
            </w:r>
          </w:p>
        </w:tc>
        <w:tc>
          <w:tcPr>
            <w:tcW w:w="802" w:type="pct"/>
            <w:tcMar>
              <w:top w:w="110" w:type="dxa"/>
              <w:left w:w="108" w:type="dxa"/>
              <w:bottom w:w="0" w:type="dxa"/>
              <w:right w:w="108" w:type="dxa"/>
            </w:tcMar>
          </w:tcPr>
          <w:p w:rsidR="0048435A" w:rsidRPr="0048435A" w:rsidRDefault="0048435A" w:rsidP="00955E75">
            <w:pPr>
              <w:autoSpaceDE w:val="0"/>
              <w:autoSpaceDN w:val="0"/>
              <w:adjustRightInd w:val="0"/>
              <w:rPr>
                <w:rFonts w:cs="Arial"/>
                <w:sz w:val="16"/>
                <w:szCs w:val="16"/>
                <w:lang w:val="ru-RU"/>
              </w:rPr>
            </w:pPr>
            <w:r w:rsidRPr="0048435A">
              <w:rPr>
                <w:rFonts w:cs="Arial"/>
                <w:sz w:val="16"/>
                <w:szCs w:val="16"/>
                <w:lang w:val="ru-RU"/>
              </w:rPr>
              <w:t>Аудиторский отчет без оговорок за оба года двухлетнего периода</w:t>
            </w:r>
          </w:p>
        </w:tc>
        <w:tc>
          <w:tcPr>
            <w:tcW w:w="1527" w:type="pct"/>
            <w:shd w:val="clear" w:color="auto" w:fill="FFFFFF"/>
            <w:tcMar>
              <w:top w:w="110" w:type="dxa"/>
              <w:left w:w="108" w:type="dxa"/>
              <w:bottom w:w="0" w:type="dxa"/>
              <w:right w:w="108" w:type="dxa"/>
            </w:tcMar>
          </w:tcPr>
          <w:p w:rsidR="0048435A" w:rsidRPr="0048435A" w:rsidRDefault="0048435A" w:rsidP="00955E75">
            <w:pPr>
              <w:rPr>
                <w:rFonts w:cs="Arial"/>
                <w:sz w:val="16"/>
                <w:szCs w:val="16"/>
                <w:lang w:val="ru-RU"/>
              </w:rPr>
            </w:pPr>
            <w:r w:rsidRPr="0048435A">
              <w:rPr>
                <w:rFonts w:cs="Arial"/>
                <w:sz w:val="16"/>
                <w:szCs w:val="16"/>
                <w:lang w:val="ru-RU"/>
              </w:rPr>
              <w:t>Аудиторские отчет без оговорок получен за 2014</w:t>
            </w:r>
            <w:r w:rsidRPr="00F251C1">
              <w:rPr>
                <w:rFonts w:cs="Arial"/>
                <w:sz w:val="16"/>
                <w:szCs w:val="16"/>
              </w:rPr>
              <w:t> </w:t>
            </w:r>
            <w:r w:rsidRPr="0048435A">
              <w:rPr>
                <w:rFonts w:cs="Arial"/>
                <w:sz w:val="16"/>
                <w:szCs w:val="16"/>
                <w:lang w:val="ru-RU"/>
              </w:rPr>
              <w:t xml:space="preserve">г. </w:t>
            </w:r>
          </w:p>
          <w:p w:rsidR="0048435A" w:rsidRPr="0048435A" w:rsidRDefault="0048435A" w:rsidP="00955E75">
            <w:pPr>
              <w:rPr>
                <w:rFonts w:cs="Arial"/>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На момент выпуска этой публикации результаты аудита 2015</w:t>
            </w:r>
            <w:r w:rsidRPr="00F251C1">
              <w:rPr>
                <w:rFonts w:cs="Arial"/>
                <w:sz w:val="16"/>
                <w:szCs w:val="16"/>
              </w:rPr>
              <w:t> </w:t>
            </w:r>
            <w:r w:rsidRPr="0048435A">
              <w:rPr>
                <w:rFonts w:cs="Arial"/>
                <w:sz w:val="16"/>
                <w:szCs w:val="16"/>
                <w:lang w:val="ru-RU"/>
              </w:rPr>
              <w:t>г. еще не предоставлены.</w:t>
            </w:r>
          </w:p>
          <w:p w:rsidR="0048435A" w:rsidRPr="0048435A" w:rsidRDefault="0048435A" w:rsidP="00955E75">
            <w:pPr>
              <w:rPr>
                <w:rFonts w:cs="Arial"/>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Ответы предоставлены на все рекомендации аудита, полученные в 2014</w:t>
            </w:r>
            <w:r w:rsidRPr="00F251C1">
              <w:rPr>
                <w:rFonts w:cs="Arial"/>
                <w:sz w:val="16"/>
                <w:szCs w:val="16"/>
              </w:rPr>
              <w:t> </w:t>
            </w:r>
            <w:r w:rsidRPr="0048435A">
              <w:rPr>
                <w:rFonts w:cs="Arial"/>
                <w:sz w:val="16"/>
                <w:szCs w:val="16"/>
                <w:lang w:val="ru-RU"/>
              </w:rPr>
              <w:t>г. и 2015</w:t>
            </w:r>
            <w:r w:rsidRPr="00F251C1">
              <w:rPr>
                <w:rFonts w:cs="Arial"/>
                <w:sz w:val="16"/>
                <w:szCs w:val="16"/>
              </w:rPr>
              <w:t> </w:t>
            </w:r>
            <w:r w:rsidRPr="0048435A">
              <w:rPr>
                <w:rFonts w:cs="Arial"/>
                <w:sz w:val="16"/>
                <w:szCs w:val="16"/>
                <w:lang w:val="ru-RU"/>
              </w:rPr>
              <w:t xml:space="preserve">г.   </w:t>
            </w:r>
          </w:p>
          <w:p w:rsidR="0048435A" w:rsidRPr="0048435A" w:rsidRDefault="0048435A" w:rsidP="00955E75">
            <w:pPr>
              <w:rPr>
                <w:rFonts w:cs="Arial"/>
                <w:sz w:val="16"/>
                <w:szCs w:val="16"/>
                <w:lang w:val="ru-RU"/>
              </w:rPr>
            </w:pPr>
          </w:p>
        </w:tc>
        <w:tc>
          <w:tcPr>
            <w:tcW w:w="628" w:type="pct"/>
            <w:tcBorders>
              <w:right w:val="single" w:sz="4" w:space="0" w:color="auto"/>
            </w:tcBorders>
            <w:tcMar>
              <w:top w:w="110" w:type="dxa"/>
              <w:left w:w="108" w:type="dxa"/>
              <w:bottom w:w="0" w:type="dxa"/>
              <w:right w:w="108" w:type="dxa"/>
            </w:tcMar>
          </w:tcPr>
          <w:p w:rsidR="0048435A" w:rsidRPr="00F251C1" w:rsidRDefault="0048435A" w:rsidP="00955E75">
            <w:pPr>
              <w:keepNext/>
              <w:keepLines/>
              <w:jc w:val="center"/>
              <w:rPr>
                <w:rFonts w:cs="Arial"/>
                <w:b/>
                <w:bCs/>
                <w:color w:val="008000"/>
                <w:sz w:val="16"/>
                <w:szCs w:val="16"/>
              </w:rPr>
            </w:pPr>
            <w:r w:rsidRPr="00F251C1">
              <w:rPr>
                <w:rFonts w:cs="Arial"/>
                <w:b/>
                <w:color w:val="008000"/>
                <w:sz w:val="16"/>
                <w:szCs w:val="16"/>
              </w:rPr>
              <w:t>Выполнено</w:t>
            </w:r>
          </w:p>
          <w:p w:rsidR="0048435A"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
                <w:bCs/>
                <w:color w:val="008000"/>
                <w:sz w:val="16"/>
                <w:szCs w:val="16"/>
              </w:rPr>
            </w:pPr>
          </w:p>
          <w:p w:rsidR="0048435A" w:rsidRPr="00F251C1" w:rsidRDefault="0048435A" w:rsidP="00955E75">
            <w:pPr>
              <w:keepNext/>
              <w:keepLines/>
              <w:jc w:val="center"/>
              <w:rPr>
                <w:rFonts w:cs="Arial"/>
                <w:bCs/>
                <w:color w:val="404040" w:themeColor="text1" w:themeTint="BF"/>
                <w:sz w:val="16"/>
                <w:szCs w:val="16"/>
              </w:rPr>
            </w:pPr>
            <w:r w:rsidRPr="00F251C1">
              <w:rPr>
                <w:rFonts w:cs="Arial"/>
                <w:b/>
                <w:color w:val="A6A6A6" w:themeColor="background1" w:themeShade="A6"/>
                <w:sz w:val="16"/>
                <w:szCs w:val="16"/>
              </w:rPr>
              <w:t>Не подлежит оценке</w:t>
            </w:r>
          </w:p>
        </w:tc>
      </w:tr>
      <w:tr w:rsidR="0048435A" w:rsidRPr="00F251C1" w:rsidTr="00955E75">
        <w:trPr>
          <w:cantSplit/>
        </w:trPr>
        <w:tc>
          <w:tcPr>
            <w:tcW w:w="1008" w:type="pct"/>
            <w:tcBorders>
              <w:left w:val="single" w:sz="4" w:space="0" w:color="auto"/>
            </w:tcBorders>
          </w:tcPr>
          <w:p w:rsidR="0048435A" w:rsidRPr="0048435A" w:rsidRDefault="0048435A" w:rsidP="00955E75">
            <w:pPr>
              <w:rPr>
                <w:rFonts w:cs="Arial"/>
                <w:sz w:val="16"/>
                <w:szCs w:val="16"/>
                <w:lang w:val="ru-RU"/>
              </w:rPr>
            </w:pPr>
            <w:r w:rsidRPr="0048435A">
              <w:rPr>
                <w:rFonts w:cs="Arial"/>
                <w:sz w:val="16"/>
                <w:szCs w:val="16"/>
                <w:lang w:val="ru-RU"/>
              </w:rPr>
              <w:t>Обеспечение доходности инвестированных средств в соответствии с ориентировочными показателями, установленными Консультативным комитетом по инвестициям (ККИ)</w:t>
            </w:r>
          </w:p>
        </w:tc>
        <w:tc>
          <w:tcPr>
            <w:tcW w:w="1035" w:type="pct"/>
          </w:tcPr>
          <w:p w:rsidR="0048435A" w:rsidRPr="0048435A" w:rsidRDefault="0048435A" w:rsidP="00955E75">
            <w:pPr>
              <w:rPr>
                <w:rFonts w:cs="Arial"/>
                <w:sz w:val="16"/>
                <w:szCs w:val="16"/>
                <w:lang w:val="ru-RU"/>
              </w:rPr>
            </w:pPr>
            <w:r w:rsidRPr="0048435A">
              <w:rPr>
                <w:rFonts w:cs="Arial"/>
                <w:sz w:val="16"/>
                <w:szCs w:val="16"/>
                <w:lang w:val="ru-RU"/>
              </w:rPr>
              <w:t>Доходность инвестированных средств в соответствии с ориентировочными показателями, установленными ККИ в 2012–2013 гг.</w:t>
            </w:r>
          </w:p>
          <w:p w:rsidR="0048435A" w:rsidRPr="0048435A" w:rsidRDefault="0048435A" w:rsidP="00955E75">
            <w:pPr>
              <w:rPr>
                <w:rFonts w:cs="Arial"/>
                <w:sz w:val="16"/>
                <w:szCs w:val="16"/>
                <w:lang w:val="ru-RU"/>
              </w:rPr>
            </w:pPr>
          </w:p>
          <w:p w:rsidR="0048435A" w:rsidRPr="0048435A" w:rsidRDefault="0048435A" w:rsidP="00955E75">
            <w:pPr>
              <w:rPr>
                <w:rFonts w:cs="Arial"/>
                <w:i/>
                <w:color w:val="002060"/>
                <w:sz w:val="16"/>
                <w:szCs w:val="16"/>
                <w:lang w:val="ru-RU"/>
              </w:rPr>
            </w:pPr>
          </w:p>
        </w:tc>
        <w:tc>
          <w:tcPr>
            <w:tcW w:w="802" w:type="pct"/>
            <w:tcMar>
              <w:top w:w="110" w:type="dxa"/>
              <w:left w:w="108" w:type="dxa"/>
              <w:bottom w:w="0" w:type="dxa"/>
              <w:right w:w="108" w:type="dxa"/>
            </w:tcMar>
          </w:tcPr>
          <w:p w:rsidR="0048435A" w:rsidRPr="0048435A" w:rsidRDefault="0048435A" w:rsidP="00955E75">
            <w:pPr>
              <w:autoSpaceDE w:val="0"/>
              <w:autoSpaceDN w:val="0"/>
              <w:adjustRightInd w:val="0"/>
              <w:rPr>
                <w:rFonts w:cs="Arial"/>
                <w:sz w:val="16"/>
                <w:szCs w:val="16"/>
                <w:lang w:val="ru-RU"/>
              </w:rPr>
            </w:pPr>
            <w:r w:rsidRPr="0048435A">
              <w:rPr>
                <w:rFonts w:cs="Arial"/>
                <w:sz w:val="16"/>
                <w:szCs w:val="16"/>
                <w:lang w:val="ru-RU"/>
              </w:rPr>
              <w:t>Доходность инвестированных средств в соответствии с ориентировочными показателями, установленными ККИ в 2014–2015</w:t>
            </w:r>
            <w:r>
              <w:rPr>
                <w:rFonts w:cs="Arial"/>
                <w:sz w:val="16"/>
                <w:szCs w:val="16"/>
              </w:rPr>
              <w:t> </w:t>
            </w:r>
            <w:r w:rsidRPr="0048435A">
              <w:rPr>
                <w:rFonts w:cs="Arial"/>
                <w:sz w:val="16"/>
                <w:szCs w:val="16"/>
                <w:lang w:val="ru-RU"/>
              </w:rPr>
              <w:t>гг.</w:t>
            </w:r>
          </w:p>
          <w:p w:rsidR="0048435A" w:rsidRPr="0048435A" w:rsidRDefault="0048435A" w:rsidP="00955E75">
            <w:pPr>
              <w:autoSpaceDE w:val="0"/>
              <w:autoSpaceDN w:val="0"/>
              <w:adjustRightInd w:val="0"/>
              <w:rPr>
                <w:rFonts w:cs="Arial"/>
                <w:sz w:val="16"/>
                <w:szCs w:val="16"/>
                <w:lang w:val="ru-RU"/>
              </w:rPr>
            </w:pPr>
          </w:p>
        </w:tc>
        <w:tc>
          <w:tcPr>
            <w:tcW w:w="1527" w:type="pct"/>
            <w:shd w:val="clear" w:color="auto" w:fill="FFFFFF"/>
            <w:tcMar>
              <w:top w:w="110" w:type="dxa"/>
              <w:left w:w="108" w:type="dxa"/>
              <w:bottom w:w="0" w:type="dxa"/>
              <w:right w:w="108" w:type="dxa"/>
            </w:tcMar>
          </w:tcPr>
          <w:p w:rsidR="0048435A" w:rsidRPr="0048435A" w:rsidRDefault="0048435A" w:rsidP="00955E75">
            <w:pPr>
              <w:rPr>
                <w:rFonts w:cs="Arial"/>
                <w:sz w:val="16"/>
                <w:szCs w:val="16"/>
                <w:lang w:val="ru-RU"/>
              </w:rPr>
            </w:pPr>
            <w:r w:rsidRPr="0048435A">
              <w:rPr>
                <w:rFonts w:cs="Arial"/>
                <w:sz w:val="16"/>
                <w:szCs w:val="16"/>
                <w:lang w:val="ru-RU"/>
              </w:rPr>
              <w:t>Эта цель была достигнута в ходе рассматриваемого двухлетнего периода.  Инвестиции по-прежнему осуществлялись в швейцарских учреждениях в соответствии с ориентировочными показателями в 2014–2015</w:t>
            </w:r>
            <w:r w:rsidRPr="00F251C1">
              <w:rPr>
                <w:rFonts w:cs="Arial"/>
                <w:sz w:val="16"/>
                <w:szCs w:val="16"/>
              </w:rPr>
              <w:t> </w:t>
            </w:r>
            <w:r w:rsidRPr="0048435A">
              <w:rPr>
                <w:rFonts w:cs="Arial"/>
                <w:sz w:val="16"/>
                <w:szCs w:val="16"/>
                <w:lang w:val="ru-RU"/>
              </w:rPr>
              <w:t>гг.</w:t>
            </w:r>
          </w:p>
          <w:p w:rsidR="0048435A" w:rsidRPr="0048435A" w:rsidRDefault="0048435A" w:rsidP="00955E75">
            <w:pPr>
              <w:rPr>
                <w:rFonts w:cs="Arial"/>
                <w:sz w:val="16"/>
                <w:szCs w:val="16"/>
                <w:lang w:val="ru-RU"/>
              </w:rPr>
            </w:pPr>
          </w:p>
          <w:p w:rsidR="0048435A" w:rsidRPr="00F251C1" w:rsidRDefault="0048435A" w:rsidP="00955E75">
            <w:pPr>
              <w:rPr>
                <w:rFonts w:cs="Arial"/>
                <w:sz w:val="16"/>
                <w:szCs w:val="16"/>
              </w:rPr>
            </w:pPr>
            <w:r w:rsidRPr="0048435A">
              <w:rPr>
                <w:rFonts w:cs="Arial"/>
                <w:sz w:val="16"/>
                <w:szCs w:val="16"/>
                <w:lang w:val="ru-RU"/>
              </w:rPr>
              <w:t xml:space="preserve">Новые ориентировочные показатели должны быть установлены ККИ после внедрения новой инвестиционной политики осенью </w:t>
            </w:r>
            <w:r w:rsidRPr="00F251C1">
              <w:rPr>
                <w:rFonts w:cs="Arial"/>
                <w:sz w:val="16"/>
                <w:szCs w:val="16"/>
              </w:rPr>
              <w:t>2015 г.</w:t>
            </w:r>
          </w:p>
        </w:tc>
        <w:tc>
          <w:tcPr>
            <w:tcW w:w="628" w:type="pct"/>
            <w:tcBorders>
              <w:right w:val="single" w:sz="4" w:space="0" w:color="auto"/>
            </w:tcBorders>
            <w:tcMar>
              <w:top w:w="110" w:type="dxa"/>
              <w:left w:w="108" w:type="dxa"/>
              <w:bottom w:w="0" w:type="dxa"/>
              <w:right w:w="108" w:type="dxa"/>
            </w:tcMar>
          </w:tcPr>
          <w:p w:rsidR="0048435A" w:rsidRPr="00F251C1" w:rsidRDefault="0048435A" w:rsidP="00955E75">
            <w:pPr>
              <w:keepNext/>
              <w:keepLines/>
              <w:jc w:val="center"/>
              <w:rPr>
                <w:rFonts w:cs="Arial"/>
                <w:bCs/>
                <w:color w:val="404040" w:themeColor="text1" w:themeTint="BF"/>
                <w:sz w:val="16"/>
                <w:szCs w:val="16"/>
              </w:rPr>
            </w:pPr>
            <w:r w:rsidRPr="00F251C1">
              <w:rPr>
                <w:rFonts w:cs="Arial"/>
                <w:b/>
                <w:color w:val="008000"/>
                <w:sz w:val="16"/>
                <w:szCs w:val="16"/>
              </w:rPr>
              <w:t>Выполнено</w:t>
            </w:r>
          </w:p>
        </w:tc>
      </w:tr>
      <w:tr w:rsidR="0048435A" w:rsidRPr="00F251C1" w:rsidTr="00955E75">
        <w:trPr>
          <w:cantSplit/>
        </w:trPr>
        <w:tc>
          <w:tcPr>
            <w:tcW w:w="1008" w:type="pct"/>
            <w:tcBorders>
              <w:left w:val="single" w:sz="4" w:space="0" w:color="auto"/>
            </w:tcBorders>
          </w:tcPr>
          <w:p w:rsidR="0048435A" w:rsidRPr="0048435A" w:rsidRDefault="0048435A" w:rsidP="00955E75">
            <w:pPr>
              <w:rPr>
                <w:rFonts w:cs="Arial"/>
                <w:sz w:val="16"/>
                <w:szCs w:val="16"/>
                <w:lang w:val="ru-RU"/>
              </w:rPr>
            </w:pPr>
            <w:r w:rsidRPr="0048435A">
              <w:rPr>
                <w:rFonts w:cs="Arial"/>
                <w:sz w:val="16"/>
                <w:szCs w:val="16"/>
                <w:lang w:val="ru-RU"/>
              </w:rPr>
              <w:t>Своевременное осуществление платежей (включая уплату пошлин в рамках Мадридской и Гаагской систем)</w:t>
            </w:r>
          </w:p>
        </w:tc>
        <w:tc>
          <w:tcPr>
            <w:tcW w:w="1035" w:type="pct"/>
          </w:tcPr>
          <w:p w:rsidR="0048435A" w:rsidRPr="0048435A" w:rsidRDefault="0048435A" w:rsidP="00955E75">
            <w:pPr>
              <w:rPr>
                <w:rFonts w:cs="Arial"/>
                <w:sz w:val="16"/>
                <w:szCs w:val="16"/>
                <w:lang w:val="ru-RU"/>
              </w:rPr>
            </w:pPr>
            <w:r w:rsidRPr="0048435A">
              <w:rPr>
                <w:rFonts w:cs="Arial"/>
                <w:sz w:val="16"/>
                <w:szCs w:val="16"/>
                <w:lang w:val="ru-RU"/>
              </w:rPr>
              <w:t xml:space="preserve">90% платежей производится в течение семидневного срока платежа или в течение семи дней с даты получения (при получении с опозданием) в тех случаях, когда не возникает других вопросов при прохождении документации (например, не был отправлен </w:t>
            </w:r>
            <w:r w:rsidRPr="00F251C1">
              <w:rPr>
                <w:rFonts w:cs="Arial"/>
                <w:sz w:val="16"/>
                <w:szCs w:val="16"/>
              </w:rPr>
              <w:t>PO</w:t>
            </w:r>
            <w:r w:rsidRPr="0048435A">
              <w:rPr>
                <w:rFonts w:cs="Arial"/>
                <w:sz w:val="16"/>
                <w:szCs w:val="16"/>
                <w:lang w:val="ru-RU"/>
              </w:rPr>
              <w:t xml:space="preserve"> и т.п.).</w:t>
            </w:r>
          </w:p>
          <w:p w:rsidR="0048435A" w:rsidRPr="0048435A" w:rsidRDefault="0048435A" w:rsidP="00955E75">
            <w:pPr>
              <w:rPr>
                <w:rFonts w:cs="Arial"/>
                <w:i/>
                <w:color w:val="002060"/>
                <w:sz w:val="16"/>
                <w:szCs w:val="16"/>
                <w:lang w:val="ru-RU"/>
              </w:rPr>
            </w:pPr>
          </w:p>
        </w:tc>
        <w:tc>
          <w:tcPr>
            <w:tcW w:w="802" w:type="pct"/>
            <w:tcMar>
              <w:top w:w="110" w:type="dxa"/>
              <w:left w:w="108" w:type="dxa"/>
              <w:bottom w:w="0" w:type="dxa"/>
              <w:right w:w="108" w:type="dxa"/>
            </w:tcMar>
          </w:tcPr>
          <w:p w:rsidR="0048435A" w:rsidRPr="0048435A" w:rsidRDefault="0048435A" w:rsidP="00955E75">
            <w:pPr>
              <w:autoSpaceDE w:val="0"/>
              <w:autoSpaceDN w:val="0"/>
              <w:adjustRightInd w:val="0"/>
              <w:rPr>
                <w:rFonts w:cs="Arial"/>
                <w:sz w:val="16"/>
                <w:szCs w:val="16"/>
                <w:lang w:val="ru-RU"/>
              </w:rPr>
            </w:pPr>
            <w:r w:rsidRPr="0048435A">
              <w:rPr>
                <w:rFonts w:cs="Arial"/>
                <w:sz w:val="16"/>
                <w:szCs w:val="16"/>
                <w:lang w:val="ru-RU"/>
              </w:rPr>
              <w:t>Осуществление 90% платежей в течение двух-трех дней с даты получения счета</w:t>
            </w:r>
          </w:p>
        </w:tc>
        <w:tc>
          <w:tcPr>
            <w:tcW w:w="1527" w:type="pct"/>
            <w:shd w:val="clear" w:color="auto" w:fill="FFFFFF"/>
            <w:tcMar>
              <w:top w:w="110" w:type="dxa"/>
              <w:left w:w="108" w:type="dxa"/>
              <w:bottom w:w="0" w:type="dxa"/>
              <w:right w:w="108" w:type="dxa"/>
            </w:tcMar>
          </w:tcPr>
          <w:p w:rsidR="0048435A" w:rsidRPr="0048435A" w:rsidRDefault="0048435A" w:rsidP="00955E75">
            <w:pPr>
              <w:rPr>
                <w:rFonts w:cs="Arial"/>
                <w:sz w:val="16"/>
                <w:szCs w:val="16"/>
                <w:lang w:val="ru-RU"/>
              </w:rPr>
            </w:pPr>
            <w:r w:rsidRPr="0048435A">
              <w:rPr>
                <w:rFonts w:cs="Arial"/>
                <w:sz w:val="16"/>
                <w:szCs w:val="16"/>
                <w:lang w:val="ru-RU"/>
              </w:rPr>
              <w:t>Все счета оплачивались в соответствии с базовыми показателями, за исключением оформляемых задним числом и за исключением случаев отсутствия соответствующего наряда в системе</w:t>
            </w:r>
          </w:p>
          <w:p w:rsidR="0048435A" w:rsidRPr="0048435A" w:rsidRDefault="0048435A" w:rsidP="00955E75">
            <w:pPr>
              <w:rPr>
                <w:rFonts w:cs="Arial"/>
                <w:sz w:val="16"/>
                <w:szCs w:val="16"/>
                <w:lang w:val="ru-RU"/>
              </w:rPr>
            </w:pPr>
          </w:p>
          <w:p w:rsidR="0048435A" w:rsidRPr="0048435A" w:rsidRDefault="0048435A" w:rsidP="00955E75">
            <w:pPr>
              <w:rPr>
                <w:rFonts w:cs="Arial"/>
                <w:sz w:val="16"/>
                <w:szCs w:val="16"/>
                <w:lang w:val="ru-RU"/>
              </w:rPr>
            </w:pPr>
            <w:r w:rsidRPr="0048435A">
              <w:rPr>
                <w:rFonts w:cs="Arial"/>
                <w:sz w:val="16"/>
                <w:szCs w:val="16"/>
                <w:lang w:val="ru-RU"/>
              </w:rPr>
              <w:t>Месячное распределение средств было выплачено/зачислено на текущий счет/использовано в счет взносов предстоящего месяца в соответствии с Инструкцией</w:t>
            </w:r>
          </w:p>
          <w:p w:rsidR="0048435A" w:rsidRPr="0048435A" w:rsidRDefault="0048435A" w:rsidP="00955E75">
            <w:pPr>
              <w:rPr>
                <w:rFonts w:cs="Arial"/>
                <w:sz w:val="16"/>
                <w:szCs w:val="16"/>
                <w:lang w:val="ru-RU"/>
              </w:rPr>
            </w:pPr>
          </w:p>
        </w:tc>
        <w:tc>
          <w:tcPr>
            <w:tcW w:w="628" w:type="pct"/>
            <w:tcBorders>
              <w:right w:val="single" w:sz="4" w:space="0" w:color="auto"/>
            </w:tcBorders>
            <w:tcMar>
              <w:top w:w="110" w:type="dxa"/>
              <w:left w:w="108" w:type="dxa"/>
              <w:bottom w:w="0" w:type="dxa"/>
              <w:right w:w="108" w:type="dxa"/>
            </w:tcMar>
          </w:tcPr>
          <w:p w:rsidR="0048435A" w:rsidRPr="00F251C1" w:rsidRDefault="0048435A" w:rsidP="00955E75">
            <w:pPr>
              <w:keepNext/>
              <w:keepLines/>
              <w:jc w:val="center"/>
              <w:rPr>
                <w:rFonts w:cs="Arial"/>
                <w:bCs/>
                <w:color w:val="404040" w:themeColor="text1" w:themeTint="BF"/>
                <w:sz w:val="16"/>
                <w:szCs w:val="16"/>
              </w:rPr>
            </w:pPr>
            <w:r w:rsidRPr="00F251C1">
              <w:rPr>
                <w:rFonts w:cs="Arial"/>
                <w:b/>
                <w:color w:val="008000"/>
                <w:sz w:val="16"/>
                <w:szCs w:val="16"/>
              </w:rPr>
              <w:t>Выполнено</w:t>
            </w:r>
          </w:p>
        </w:tc>
      </w:tr>
      <w:tr w:rsidR="0048435A" w:rsidRPr="00F251C1" w:rsidTr="00955E75">
        <w:trPr>
          <w:cantSplit/>
        </w:trPr>
        <w:tc>
          <w:tcPr>
            <w:tcW w:w="1008" w:type="pct"/>
            <w:tcBorders>
              <w:left w:val="single" w:sz="4" w:space="0" w:color="auto"/>
            </w:tcBorders>
          </w:tcPr>
          <w:p w:rsidR="0048435A" w:rsidRPr="0048435A" w:rsidRDefault="0048435A" w:rsidP="00955E75">
            <w:pPr>
              <w:rPr>
                <w:rFonts w:cs="Arial"/>
                <w:sz w:val="16"/>
                <w:szCs w:val="16"/>
                <w:lang w:val="ru-RU"/>
              </w:rPr>
            </w:pPr>
            <w:r w:rsidRPr="0048435A">
              <w:rPr>
                <w:rFonts w:cs="Arial"/>
                <w:sz w:val="16"/>
                <w:szCs w:val="16"/>
                <w:lang w:val="ru-RU"/>
              </w:rPr>
              <w:t>Доля (%) сотрудников, прошедших обучение и выразивших удовлетворенность подготовкой (вводные курсы; подготовка по ПОР; подготовка по УКР)</w:t>
            </w:r>
          </w:p>
        </w:tc>
        <w:tc>
          <w:tcPr>
            <w:tcW w:w="1035" w:type="pct"/>
          </w:tcPr>
          <w:p w:rsidR="0048435A" w:rsidRPr="0048435A" w:rsidRDefault="0048435A" w:rsidP="00955E75">
            <w:pPr>
              <w:rPr>
                <w:rFonts w:cs="Arial"/>
                <w:color w:val="002060"/>
                <w:sz w:val="16"/>
                <w:szCs w:val="16"/>
                <w:lang w:val="ru-RU"/>
              </w:rPr>
            </w:pPr>
            <w:r w:rsidRPr="0048435A">
              <w:rPr>
                <w:rFonts w:cs="Arial"/>
                <w:i/>
                <w:color w:val="002060"/>
                <w:sz w:val="16"/>
                <w:szCs w:val="16"/>
                <w:lang w:val="ru-RU"/>
              </w:rPr>
              <w:t>Обновленные базовые показатели, конец 2013</w:t>
            </w:r>
            <w:r w:rsidRPr="00F251C1">
              <w:rPr>
                <w:rFonts w:cs="Arial"/>
                <w:i/>
                <w:color w:val="002060"/>
                <w:sz w:val="16"/>
                <w:szCs w:val="16"/>
              </w:rPr>
              <w:t> </w:t>
            </w:r>
            <w:r w:rsidRPr="0048435A">
              <w:rPr>
                <w:rFonts w:cs="Arial"/>
                <w:i/>
                <w:color w:val="002060"/>
                <w:sz w:val="16"/>
                <w:szCs w:val="16"/>
                <w:lang w:val="ru-RU"/>
              </w:rPr>
              <w:t xml:space="preserve">г.: </w:t>
            </w:r>
          </w:p>
          <w:p w:rsidR="0048435A" w:rsidRPr="0048435A" w:rsidRDefault="0048435A" w:rsidP="00955E75">
            <w:pPr>
              <w:rPr>
                <w:rFonts w:cs="Arial"/>
                <w:color w:val="002060"/>
                <w:sz w:val="16"/>
                <w:szCs w:val="16"/>
                <w:lang w:val="ru-RU"/>
              </w:rPr>
            </w:pPr>
            <w:r w:rsidRPr="0048435A">
              <w:rPr>
                <w:rFonts w:cs="Arial"/>
                <w:color w:val="002060"/>
                <w:sz w:val="16"/>
                <w:szCs w:val="16"/>
                <w:lang w:val="ru-RU"/>
              </w:rPr>
              <w:t>вводные курсы: 94%</w:t>
            </w:r>
          </w:p>
          <w:p w:rsidR="0048435A" w:rsidRPr="0048435A" w:rsidRDefault="0048435A" w:rsidP="00955E75">
            <w:pPr>
              <w:rPr>
                <w:rFonts w:cs="Arial"/>
                <w:color w:val="002060"/>
                <w:sz w:val="16"/>
                <w:szCs w:val="16"/>
                <w:lang w:val="ru-RU"/>
              </w:rPr>
            </w:pPr>
            <w:r w:rsidRPr="0048435A">
              <w:rPr>
                <w:rFonts w:cs="Arial"/>
                <w:color w:val="002060"/>
                <w:sz w:val="16"/>
                <w:szCs w:val="16"/>
                <w:lang w:val="ru-RU"/>
              </w:rPr>
              <w:t>курсы подготовки по тематике УКР/ПОР: 96%</w:t>
            </w:r>
          </w:p>
          <w:p w:rsidR="0048435A" w:rsidRPr="0048435A" w:rsidRDefault="0048435A" w:rsidP="00955E75">
            <w:pPr>
              <w:rPr>
                <w:rFonts w:cs="Arial"/>
                <w:i/>
                <w:color w:val="002060"/>
                <w:sz w:val="16"/>
                <w:szCs w:val="16"/>
                <w:lang w:val="ru-RU"/>
              </w:rPr>
            </w:pPr>
            <w:r w:rsidRPr="0048435A">
              <w:rPr>
                <w:rFonts w:cs="Arial"/>
                <w:color w:val="002060"/>
                <w:sz w:val="16"/>
                <w:szCs w:val="16"/>
                <w:lang w:val="ru-RU"/>
              </w:rPr>
              <w:t xml:space="preserve"> </w:t>
            </w:r>
            <w:r w:rsidRPr="0048435A">
              <w:rPr>
                <w:rFonts w:cs="Arial"/>
                <w:i/>
                <w:color w:val="002060"/>
                <w:sz w:val="16"/>
                <w:szCs w:val="16"/>
                <w:lang w:val="ru-RU"/>
              </w:rPr>
              <w:t xml:space="preserve"> </w:t>
            </w:r>
          </w:p>
          <w:p w:rsidR="0048435A" w:rsidRPr="0048435A" w:rsidRDefault="0048435A" w:rsidP="00955E75">
            <w:pPr>
              <w:rPr>
                <w:rFonts w:cs="Arial"/>
                <w:sz w:val="16"/>
                <w:szCs w:val="16"/>
                <w:lang w:val="ru-RU"/>
              </w:rPr>
            </w:pPr>
            <w:r w:rsidRPr="0048435A">
              <w:rPr>
                <w:rFonts w:cs="Arial"/>
                <w:i/>
                <w:sz w:val="16"/>
                <w:szCs w:val="16"/>
                <w:lang w:val="ru-RU"/>
              </w:rPr>
              <w:t>Исходные базовые показатели ПиБ на 2014–2015 гг.:</w:t>
            </w:r>
            <w:r w:rsidRPr="0048435A">
              <w:rPr>
                <w:rFonts w:cs="Arial"/>
                <w:sz w:val="16"/>
                <w:szCs w:val="16"/>
                <w:lang w:val="ru-RU"/>
              </w:rPr>
              <w:t xml:space="preserve">  будет определено позднее</w:t>
            </w:r>
          </w:p>
          <w:p w:rsidR="0048435A" w:rsidRPr="0048435A" w:rsidRDefault="0048435A" w:rsidP="00955E75">
            <w:pPr>
              <w:rPr>
                <w:rFonts w:cs="Arial"/>
                <w:i/>
                <w:color w:val="002060"/>
                <w:sz w:val="16"/>
                <w:szCs w:val="16"/>
                <w:lang w:val="ru-RU"/>
              </w:rPr>
            </w:pPr>
          </w:p>
        </w:tc>
        <w:tc>
          <w:tcPr>
            <w:tcW w:w="802" w:type="pct"/>
            <w:tcMar>
              <w:top w:w="110" w:type="dxa"/>
              <w:left w:w="108" w:type="dxa"/>
              <w:bottom w:w="0" w:type="dxa"/>
              <w:right w:w="108" w:type="dxa"/>
            </w:tcMar>
          </w:tcPr>
          <w:p w:rsidR="0048435A" w:rsidRPr="00F251C1" w:rsidRDefault="0048435A" w:rsidP="00955E75">
            <w:pPr>
              <w:autoSpaceDE w:val="0"/>
              <w:autoSpaceDN w:val="0"/>
              <w:adjustRightInd w:val="0"/>
              <w:rPr>
                <w:rFonts w:cs="Arial"/>
                <w:sz w:val="16"/>
                <w:szCs w:val="16"/>
              </w:rPr>
            </w:pPr>
            <w:r w:rsidRPr="00F251C1">
              <w:rPr>
                <w:rFonts w:cs="Arial"/>
                <w:sz w:val="16"/>
                <w:szCs w:val="16"/>
              </w:rPr>
              <w:t>85%</w:t>
            </w:r>
          </w:p>
        </w:tc>
        <w:tc>
          <w:tcPr>
            <w:tcW w:w="1527" w:type="pct"/>
            <w:shd w:val="clear" w:color="auto" w:fill="FFFFFF"/>
            <w:tcMar>
              <w:top w:w="110" w:type="dxa"/>
              <w:left w:w="108" w:type="dxa"/>
              <w:bottom w:w="0" w:type="dxa"/>
              <w:right w:w="108" w:type="dxa"/>
            </w:tcMar>
          </w:tcPr>
          <w:p w:rsidR="0048435A" w:rsidRPr="00F251C1" w:rsidRDefault="0048435A" w:rsidP="0048435A">
            <w:pPr>
              <w:pStyle w:val="ListParagraph"/>
              <w:numPr>
                <w:ilvl w:val="0"/>
                <w:numId w:val="45"/>
              </w:numPr>
              <w:rPr>
                <w:rFonts w:cs="Arial"/>
                <w:sz w:val="16"/>
                <w:szCs w:val="16"/>
              </w:rPr>
            </w:pPr>
            <w:r w:rsidRPr="00F251C1">
              <w:rPr>
                <w:rFonts w:cs="Arial"/>
                <w:sz w:val="16"/>
                <w:szCs w:val="16"/>
              </w:rPr>
              <w:t xml:space="preserve">вводные курсы: 94% </w:t>
            </w:r>
          </w:p>
          <w:p w:rsidR="0048435A" w:rsidRPr="0048435A" w:rsidRDefault="0048435A" w:rsidP="0048435A">
            <w:pPr>
              <w:pStyle w:val="ListParagraph"/>
              <w:numPr>
                <w:ilvl w:val="0"/>
                <w:numId w:val="45"/>
              </w:numPr>
              <w:rPr>
                <w:rFonts w:cs="Arial"/>
                <w:sz w:val="16"/>
                <w:szCs w:val="16"/>
                <w:lang w:val="ru-RU"/>
              </w:rPr>
            </w:pPr>
            <w:r w:rsidRPr="0048435A">
              <w:rPr>
                <w:rFonts w:cs="Arial"/>
                <w:sz w:val="16"/>
                <w:szCs w:val="16"/>
                <w:lang w:val="ru-RU"/>
              </w:rPr>
              <w:t>курсы подготовки по тематике УКР/ПОР: 94%</w:t>
            </w:r>
          </w:p>
          <w:p w:rsidR="0048435A" w:rsidRPr="0048435A" w:rsidRDefault="0048435A" w:rsidP="0048435A">
            <w:pPr>
              <w:pStyle w:val="ListParagraph"/>
              <w:numPr>
                <w:ilvl w:val="0"/>
                <w:numId w:val="45"/>
              </w:numPr>
              <w:rPr>
                <w:rFonts w:cs="Arial"/>
                <w:sz w:val="16"/>
                <w:szCs w:val="16"/>
                <w:lang w:val="ru-RU"/>
              </w:rPr>
            </w:pPr>
            <w:r w:rsidRPr="0048435A">
              <w:rPr>
                <w:rFonts w:cs="Arial"/>
                <w:sz w:val="16"/>
                <w:szCs w:val="16"/>
                <w:lang w:val="ru-RU"/>
              </w:rPr>
              <w:t>обучение по ОУР 87% (только 2015</w:t>
            </w:r>
            <w:r w:rsidRPr="00F251C1">
              <w:rPr>
                <w:rFonts w:cs="Arial"/>
                <w:sz w:val="16"/>
                <w:szCs w:val="16"/>
              </w:rPr>
              <w:t> </w:t>
            </w:r>
            <w:r w:rsidRPr="0048435A">
              <w:rPr>
                <w:rFonts w:cs="Arial"/>
                <w:sz w:val="16"/>
                <w:szCs w:val="16"/>
                <w:lang w:val="ru-RU"/>
              </w:rPr>
              <w:t>г.)</w:t>
            </w:r>
          </w:p>
          <w:p w:rsidR="0048435A" w:rsidRPr="0048435A" w:rsidRDefault="0048435A" w:rsidP="0048435A">
            <w:pPr>
              <w:pStyle w:val="ListParagraph"/>
              <w:numPr>
                <w:ilvl w:val="0"/>
                <w:numId w:val="45"/>
              </w:numPr>
              <w:rPr>
                <w:rFonts w:cs="Arial"/>
                <w:sz w:val="16"/>
                <w:szCs w:val="16"/>
                <w:lang w:val="ru-RU"/>
              </w:rPr>
            </w:pPr>
            <w:r w:rsidRPr="0048435A">
              <w:rPr>
                <w:rFonts w:cs="Arial"/>
                <w:sz w:val="16"/>
                <w:szCs w:val="16"/>
                <w:lang w:val="ru-RU"/>
              </w:rPr>
              <w:t>Управление проектами в управленческой среде, ориентированной на конкретные результаты: 97% (64% – отлично; 33% – хорошо)</w:t>
            </w:r>
          </w:p>
        </w:tc>
        <w:tc>
          <w:tcPr>
            <w:tcW w:w="628" w:type="pct"/>
            <w:tcBorders>
              <w:right w:val="single" w:sz="4" w:space="0" w:color="auto"/>
            </w:tcBorders>
            <w:tcMar>
              <w:top w:w="110" w:type="dxa"/>
              <w:left w:w="108" w:type="dxa"/>
              <w:bottom w:w="0" w:type="dxa"/>
              <w:right w:w="108" w:type="dxa"/>
            </w:tcMar>
          </w:tcPr>
          <w:p w:rsidR="0048435A" w:rsidRPr="00F251C1" w:rsidRDefault="0048435A" w:rsidP="00955E75">
            <w:pPr>
              <w:keepNext/>
              <w:keepLines/>
              <w:jc w:val="center"/>
              <w:rPr>
                <w:rFonts w:cs="Arial"/>
                <w:bCs/>
                <w:color w:val="404040" w:themeColor="text1" w:themeTint="BF"/>
                <w:sz w:val="16"/>
                <w:szCs w:val="16"/>
              </w:rPr>
            </w:pPr>
            <w:r w:rsidRPr="00F251C1">
              <w:rPr>
                <w:rFonts w:cs="Arial"/>
                <w:b/>
                <w:color w:val="008000"/>
                <w:sz w:val="16"/>
                <w:szCs w:val="16"/>
              </w:rPr>
              <w:t>Выполнено</w:t>
            </w:r>
          </w:p>
        </w:tc>
      </w:tr>
      <w:tr w:rsidR="0048435A" w:rsidRPr="00F251C1" w:rsidTr="00955E75">
        <w:trPr>
          <w:cantSplit/>
        </w:trPr>
        <w:tc>
          <w:tcPr>
            <w:tcW w:w="1008" w:type="pct"/>
            <w:tcBorders>
              <w:left w:val="single" w:sz="4" w:space="0" w:color="auto"/>
            </w:tcBorders>
          </w:tcPr>
          <w:p w:rsidR="0048435A" w:rsidRPr="0048435A" w:rsidRDefault="0048435A" w:rsidP="00955E75">
            <w:pPr>
              <w:rPr>
                <w:rFonts w:cs="Arial"/>
                <w:sz w:val="16"/>
                <w:szCs w:val="16"/>
                <w:lang w:val="ru-RU"/>
              </w:rPr>
            </w:pPr>
            <w:r w:rsidRPr="0048435A">
              <w:rPr>
                <w:rFonts w:cs="Arial"/>
                <w:sz w:val="16"/>
                <w:szCs w:val="16"/>
                <w:lang w:val="ru-RU"/>
              </w:rPr>
              <w:t>Доля (%) респондентов ВОИС, считающих, что ВОИС отвечает за достигнутые результаты</w:t>
            </w:r>
          </w:p>
        </w:tc>
        <w:tc>
          <w:tcPr>
            <w:tcW w:w="1035" w:type="pct"/>
          </w:tcPr>
          <w:p w:rsidR="0048435A" w:rsidRPr="0048435A" w:rsidRDefault="0048435A" w:rsidP="00955E75">
            <w:pPr>
              <w:rPr>
                <w:rFonts w:cs="Arial"/>
                <w:i/>
                <w:color w:val="002060"/>
                <w:sz w:val="16"/>
                <w:szCs w:val="16"/>
                <w:lang w:val="ru-RU"/>
              </w:rPr>
            </w:pPr>
            <w:r w:rsidRPr="0048435A">
              <w:rPr>
                <w:rFonts w:cs="Arial"/>
                <w:i/>
                <w:color w:val="002060"/>
                <w:sz w:val="16"/>
                <w:szCs w:val="16"/>
                <w:lang w:val="ru-RU"/>
              </w:rPr>
              <w:t>Обновленные базовые показатели, конец 2013</w:t>
            </w:r>
            <w:r w:rsidRPr="00F251C1">
              <w:rPr>
                <w:rFonts w:cs="Arial"/>
                <w:i/>
                <w:color w:val="002060"/>
                <w:sz w:val="16"/>
                <w:szCs w:val="16"/>
              </w:rPr>
              <w:t> </w:t>
            </w:r>
            <w:r w:rsidRPr="0048435A">
              <w:rPr>
                <w:rFonts w:cs="Arial"/>
                <w:i/>
                <w:color w:val="002060"/>
                <w:sz w:val="16"/>
                <w:szCs w:val="16"/>
                <w:lang w:val="ru-RU"/>
              </w:rPr>
              <w:t xml:space="preserve">г.: </w:t>
            </w:r>
            <w:r w:rsidRPr="0048435A">
              <w:rPr>
                <w:rFonts w:cs="Arial"/>
                <w:color w:val="002060"/>
                <w:sz w:val="16"/>
                <w:szCs w:val="16"/>
                <w:lang w:val="ru-RU"/>
              </w:rPr>
              <w:t>80,7%</w:t>
            </w:r>
            <w:r w:rsidRPr="0048435A">
              <w:rPr>
                <w:rFonts w:cs="Arial"/>
                <w:i/>
                <w:color w:val="002060"/>
                <w:sz w:val="16"/>
                <w:szCs w:val="16"/>
                <w:lang w:val="ru-RU"/>
              </w:rPr>
              <w:t xml:space="preserve">  </w:t>
            </w:r>
          </w:p>
          <w:p w:rsidR="0048435A" w:rsidRPr="0048435A" w:rsidRDefault="0048435A" w:rsidP="00955E75">
            <w:pPr>
              <w:rPr>
                <w:rFonts w:cs="Arial"/>
                <w:i/>
                <w:sz w:val="16"/>
                <w:szCs w:val="16"/>
                <w:lang w:val="ru-RU"/>
              </w:rPr>
            </w:pPr>
          </w:p>
          <w:p w:rsidR="0048435A" w:rsidRPr="0048435A" w:rsidRDefault="0048435A" w:rsidP="00955E75">
            <w:pPr>
              <w:rPr>
                <w:rFonts w:cs="Arial"/>
                <w:sz w:val="16"/>
                <w:szCs w:val="16"/>
                <w:lang w:val="ru-RU"/>
              </w:rPr>
            </w:pPr>
            <w:r w:rsidRPr="0048435A">
              <w:rPr>
                <w:rFonts w:cs="Arial"/>
                <w:i/>
                <w:sz w:val="16"/>
                <w:szCs w:val="16"/>
                <w:lang w:val="ru-RU"/>
              </w:rPr>
              <w:t>Исходные базовые показатели ПиБ на 2014–2015 гг.:</w:t>
            </w:r>
            <w:r w:rsidRPr="0048435A">
              <w:rPr>
                <w:rFonts w:cs="Arial"/>
                <w:sz w:val="16"/>
                <w:szCs w:val="16"/>
                <w:lang w:val="ru-RU"/>
              </w:rPr>
              <w:t xml:space="preserve"> 75% </w:t>
            </w:r>
          </w:p>
        </w:tc>
        <w:tc>
          <w:tcPr>
            <w:tcW w:w="802" w:type="pct"/>
            <w:tcMar>
              <w:top w:w="110" w:type="dxa"/>
              <w:left w:w="108" w:type="dxa"/>
              <w:bottom w:w="0" w:type="dxa"/>
              <w:right w:w="108" w:type="dxa"/>
            </w:tcMar>
          </w:tcPr>
          <w:p w:rsidR="0048435A" w:rsidRPr="00F251C1" w:rsidRDefault="0048435A" w:rsidP="00955E75">
            <w:pPr>
              <w:autoSpaceDE w:val="0"/>
              <w:autoSpaceDN w:val="0"/>
              <w:adjustRightInd w:val="0"/>
              <w:rPr>
                <w:rFonts w:cs="Arial"/>
                <w:sz w:val="16"/>
                <w:szCs w:val="16"/>
              </w:rPr>
            </w:pPr>
            <w:r w:rsidRPr="00F251C1">
              <w:rPr>
                <w:rFonts w:cs="Arial"/>
                <w:sz w:val="16"/>
                <w:szCs w:val="16"/>
              </w:rPr>
              <w:t>80%</w:t>
            </w:r>
          </w:p>
        </w:tc>
        <w:tc>
          <w:tcPr>
            <w:tcW w:w="1527" w:type="pct"/>
            <w:shd w:val="clear" w:color="auto" w:fill="FFFFFF"/>
            <w:tcMar>
              <w:top w:w="110" w:type="dxa"/>
              <w:left w:w="108" w:type="dxa"/>
              <w:bottom w:w="0" w:type="dxa"/>
              <w:right w:w="108" w:type="dxa"/>
            </w:tcMar>
          </w:tcPr>
          <w:p w:rsidR="0048435A" w:rsidRPr="0048435A" w:rsidRDefault="0048435A" w:rsidP="00955E75">
            <w:pPr>
              <w:rPr>
                <w:rFonts w:cs="Arial"/>
                <w:color w:val="FF0000"/>
                <w:sz w:val="16"/>
                <w:szCs w:val="16"/>
                <w:lang w:val="ru-RU"/>
              </w:rPr>
            </w:pPr>
            <w:r w:rsidRPr="0048435A">
              <w:rPr>
                <w:rFonts w:cs="Arial"/>
                <w:sz w:val="16"/>
                <w:szCs w:val="16"/>
                <w:lang w:val="ru-RU"/>
              </w:rPr>
              <w:t>94% (30% полностью согласны; 64% согласны) респондентов</w:t>
            </w:r>
            <w:r>
              <w:rPr>
                <w:rStyle w:val="FootnoteReference"/>
                <w:rFonts w:cs="Arial"/>
                <w:sz w:val="16"/>
                <w:szCs w:val="16"/>
              </w:rPr>
              <w:footnoteReference w:id="124"/>
            </w:r>
            <w:r w:rsidRPr="0048435A">
              <w:rPr>
                <w:rFonts w:cs="Arial"/>
                <w:sz w:val="16"/>
                <w:szCs w:val="16"/>
                <w:lang w:val="ru-RU"/>
              </w:rPr>
              <w:t xml:space="preserve"> указали, что данные о результативности используются для обеспечения подотчетности государствам-членам. </w:t>
            </w:r>
            <w:r w:rsidRPr="0048435A">
              <w:rPr>
                <w:rFonts w:cs="Arial"/>
                <w:i/>
                <w:sz w:val="16"/>
                <w:szCs w:val="16"/>
                <w:lang w:val="ru-RU"/>
              </w:rPr>
              <w:t>(согласно Отчету о проверке достоверности информации, представленной в ОРП 2014–2015</w:t>
            </w:r>
            <w:r>
              <w:rPr>
                <w:rFonts w:cs="Arial"/>
                <w:i/>
                <w:sz w:val="16"/>
                <w:szCs w:val="16"/>
              </w:rPr>
              <w:t> </w:t>
            </w:r>
            <w:r w:rsidRPr="0048435A">
              <w:rPr>
                <w:rFonts w:cs="Arial"/>
                <w:i/>
                <w:sz w:val="16"/>
                <w:szCs w:val="16"/>
                <w:lang w:val="ru-RU"/>
              </w:rPr>
              <w:t>гг.)</w:t>
            </w:r>
          </w:p>
        </w:tc>
        <w:tc>
          <w:tcPr>
            <w:tcW w:w="628" w:type="pct"/>
            <w:tcBorders>
              <w:right w:val="single" w:sz="4" w:space="0" w:color="auto"/>
            </w:tcBorders>
            <w:tcMar>
              <w:top w:w="110" w:type="dxa"/>
              <w:left w:w="108" w:type="dxa"/>
              <w:bottom w:w="0" w:type="dxa"/>
              <w:right w:w="108" w:type="dxa"/>
            </w:tcMar>
          </w:tcPr>
          <w:p w:rsidR="0048435A" w:rsidRPr="002B7310" w:rsidRDefault="0048435A" w:rsidP="00955E75">
            <w:pPr>
              <w:keepNext/>
              <w:keepLines/>
              <w:jc w:val="center"/>
              <w:rPr>
                <w:rFonts w:cs="Arial"/>
                <w:b/>
                <w:color w:val="008000"/>
                <w:sz w:val="16"/>
                <w:szCs w:val="16"/>
              </w:rPr>
            </w:pPr>
            <w:r w:rsidRPr="002B7310">
              <w:rPr>
                <w:rFonts w:cs="Arial"/>
                <w:b/>
                <w:color w:val="008000"/>
                <w:sz w:val="16"/>
                <w:szCs w:val="16"/>
              </w:rPr>
              <w:t>Выполнено</w:t>
            </w:r>
          </w:p>
        </w:tc>
      </w:tr>
      <w:tr w:rsidR="0048435A" w:rsidRPr="002B7310" w:rsidTr="00955E75">
        <w:trPr>
          <w:cantSplit/>
        </w:trPr>
        <w:tc>
          <w:tcPr>
            <w:tcW w:w="1008" w:type="pct"/>
            <w:tcBorders>
              <w:left w:val="single" w:sz="4" w:space="0" w:color="auto"/>
            </w:tcBorders>
          </w:tcPr>
          <w:p w:rsidR="0048435A" w:rsidRPr="0048435A" w:rsidRDefault="0048435A" w:rsidP="00955E75">
            <w:pPr>
              <w:rPr>
                <w:rFonts w:cs="Arial"/>
                <w:sz w:val="16"/>
                <w:szCs w:val="16"/>
                <w:lang w:val="ru-RU"/>
              </w:rPr>
            </w:pPr>
            <w:r w:rsidRPr="0048435A">
              <w:rPr>
                <w:rFonts w:cs="Arial"/>
                <w:sz w:val="16"/>
                <w:szCs w:val="16"/>
                <w:lang w:val="ru-RU"/>
              </w:rPr>
              <w:t>Доля (%) программ ВОИС, использующих данные о результативности работы для управления деятельностью в рамках программы</w:t>
            </w:r>
          </w:p>
          <w:p w:rsidR="0048435A" w:rsidRPr="0048435A" w:rsidRDefault="0048435A" w:rsidP="00955E75">
            <w:pPr>
              <w:rPr>
                <w:rFonts w:cs="Arial"/>
                <w:sz w:val="16"/>
                <w:szCs w:val="16"/>
                <w:lang w:val="ru-RU"/>
              </w:rPr>
            </w:pPr>
          </w:p>
        </w:tc>
        <w:tc>
          <w:tcPr>
            <w:tcW w:w="1035" w:type="pct"/>
            <w:hideMark/>
          </w:tcPr>
          <w:p w:rsidR="0048435A" w:rsidRPr="0048435A" w:rsidRDefault="0048435A" w:rsidP="00955E75">
            <w:pPr>
              <w:rPr>
                <w:rFonts w:cs="Arial"/>
                <w:i/>
                <w:color w:val="002060"/>
                <w:sz w:val="16"/>
                <w:szCs w:val="16"/>
                <w:lang w:val="ru-RU"/>
              </w:rPr>
            </w:pPr>
            <w:r w:rsidRPr="0048435A">
              <w:rPr>
                <w:rFonts w:cs="Arial"/>
                <w:i/>
                <w:color w:val="002060"/>
                <w:sz w:val="16"/>
                <w:szCs w:val="16"/>
                <w:lang w:val="ru-RU"/>
              </w:rPr>
              <w:t>Обновленные базовые показатели, конец 2013</w:t>
            </w:r>
            <w:r w:rsidRPr="00F251C1">
              <w:rPr>
                <w:rFonts w:cs="Arial"/>
                <w:i/>
                <w:color w:val="002060"/>
                <w:sz w:val="16"/>
                <w:szCs w:val="16"/>
              </w:rPr>
              <w:t> </w:t>
            </w:r>
            <w:r w:rsidRPr="0048435A">
              <w:rPr>
                <w:rFonts w:cs="Arial"/>
                <w:i/>
                <w:color w:val="002060"/>
                <w:sz w:val="16"/>
                <w:szCs w:val="16"/>
                <w:lang w:val="ru-RU"/>
              </w:rPr>
              <w:t>г.: 79% (согласно Отчету о проверке достоверности информации, представленной в ОРП 2012–2013</w:t>
            </w:r>
            <w:r w:rsidRPr="008D4D99">
              <w:rPr>
                <w:rFonts w:cs="Arial"/>
                <w:i/>
                <w:color w:val="002060"/>
                <w:sz w:val="16"/>
                <w:szCs w:val="16"/>
              </w:rPr>
              <w:t> </w:t>
            </w:r>
            <w:r w:rsidRPr="0048435A">
              <w:rPr>
                <w:rFonts w:cs="Arial"/>
                <w:i/>
                <w:color w:val="002060"/>
                <w:sz w:val="16"/>
                <w:szCs w:val="16"/>
                <w:lang w:val="ru-RU"/>
              </w:rPr>
              <w:t>гг.)</w:t>
            </w:r>
          </w:p>
          <w:p w:rsidR="0048435A" w:rsidRPr="0048435A" w:rsidRDefault="0048435A" w:rsidP="00955E75">
            <w:pPr>
              <w:rPr>
                <w:rFonts w:cs="Arial"/>
                <w:i/>
                <w:color w:val="002060"/>
                <w:sz w:val="16"/>
                <w:szCs w:val="16"/>
                <w:lang w:val="ru-RU"/>
              </w:rPr>
            </w:pPr>
          </w:p>
          <w:p w:rsidR="0048435A" w:rsidRPr="0048435A" w:rsidRDefault="0048435A" w:rsidP="00955E75">
            <w:pPr>
              <w:rPr>
                <w:rFonts w:cs="Arial"/>
                <w:i/>
                <w:color w:val="002060"/>
                <w:sz w:val="16"/>
                <w:szCs w:val="16"/>
                <w:lang w:val="ru-RU"/>
              </w:rPr>
            </w:pPr>
            <w:r w:rsidRPr="0048435A">
              <w:rPr>
                <w:rFonts w:cs="Arial"/>
                <w:i/>
                <w:color w:val="002060"/>
                <w:sz w:val="16"/>
                <w:szCs w:val="16"/>
                <w:lang w:val="ru-RU"/>
              </w:rPr>
              <w:t xml:space="preserve"> </w:t>
            </w:r>
            <w:r w:rsidRPr="0048435A">
              <w:rPr>
                <w:rFonts w:cs="Arial"/>
                <w:color w:val="002060"/>
                <w:sz w:val="16"/>
                <w:szCs w:val="16"/>
                <w:lang w:val="ru-RU"/>
              </w:rPr>
              <w:t>55%</w:t>
            </w:r>
            <w:r w:rsidRPr="00F251C1">
              <w:rPr>
                <w:rStyle w:val="FootnoteReference"/>
                <w:rFonts w:cs="Arial"/>
                <w:color w:val="002060"/>
                <w:sz w:val="16"/>
                <w:szCs w:val="16"/>
              </w:rPr>
              <w:footnoteReference w:id="125"/>
            </w:r>
            <w:r w:rsidRPr="0048435A">
              <w:rPr>
                <w:rFonts w:cs="Arial"/>
                <w:color w:val="002060"/>
                <w:sz w:val="16"/>
                <w:szCs w:val="16"/>
                <w:lang w:val="ru-RU"/>
              </w:rPr>
              <w:t xml:space="preserve"> (согласно Отчету о проверке достоверности информации, представленной в ОРП за 2010–2011 гг.)</w:t>
            </w:r>
          </w:p>
          <w:p w:rsidR="0048435A" w:rsidRPr="0048435A" w:rsidRDefault="0048435A" w:rsidP="00955E75">
            <w:pPr>
              <w:rPr>
                <w:rFonts w:cs="Arial"/>
                <w:i/>
                <w:sz w:val="16"/>
                <w:szCs w:val="16"/>
                <w:lang w:val="ru-RU"/>
              </w:rPr>
            </w:pPr>
          </w:p>
          <w:p w:rsidR="0048435A" w:rsidRPr="0048435A" w:rsidRDefault="0048435A" w:rsidP="00955E75">
            <w:pPr>
              <w:rPr>
                <w:rFonts w:cs="Arial"/>
                <w:sz w:val="16"/>
                <w:szCs w:val="16"/>
                <w:lang w:val="ru-RU"/>
              </w:rPr>
            </w:pPr>
            <w:r w:rsidRPr="0048435A">
              <w:rPr>
                <w:rFonts w:cs="Arial"/>
                <w:i/>
                <w:sz w:val="16"/>
                <w:szCs w:val="16"/>
                <w:lang w:val="ru-RU"/>
              </w:rPr>
              <w:t>Исходные базовые показатели ПиБ на 2014–2015 гг.:</w:t>
            </w:r>
            <w:r w:rsidRPr="0048435A">
              <w:rPr>
                <w:rFonts w:cs="Arial"/>
                <w:sz w:val="16"/>
                <w:szCs w:val="16"/>
                <w:lang w:val="ru-RU"/>
              </w:rPr>
              <w:t xml:space="preserve">  50</w:t>
            </w:r>
          </w:p>
          <w:p w:rsidR="0048435A" w:rsidRPr="0048435A" w:rsidRDefault="0048435A" w:rsidP="00955E75">
            <w:pPr>
              <w:rPr>
                <w:rFonts w:cs="Arial"/>
                <w:sz w:val="16"/>
                <w:szCs w:val="16"/>
                <w:lang w:val="ru-RU"/>
              </w:rPr>
            </w:pPr>
          </w:p>
        </w:tc>
        <w:tc>
          <w:tcPr>
            <w:tcW w:w="802" w:type="pct"/>
            <w:tcMar>
              <w:top w:w="110" w:type="dxa"/>
              <w:left w:w="108" w:type="dxa"/>
              <w:bottom w:w="0" w:type="dxa"/>
              <w:right w:w="108" w:type="dxa"/>
            </w:tcMar>
            <w:hideMark/>
          </w:tcPr>
          <w:p w:rsidR="0048435A" w:rsidRPr="00F251C1" w:rsidRDefault="0048435A" w:rsidP="00955E75">
            <w:pPr>
              <w:autoSpaceDE w:val="0"/>
              <w:autoSpaceDN w:val="0"/>
              <w:adjustRightInd w:val="0"/>
              <w:rPr>
                <w:rFonts w:cs="Arial"/>
                <w:sz w:val="16"/>
                <w:szCs w:val="16"/>
              </w:rPr>
            </w:pPr>
            <w:r w:rsidRPr="00F251C1">
              <w:rPr>
                <w:rFonts w:cs="Arial"/>
                <w:sz w:val="16"/>
                <w:szCs w:val="16"/>
              </w:rPr>
              <w:t>70</w:t>
            </w:r>
          </w:p>
        </w:tc>
        <w:tc>
          <w:tcPr>
            <w:tcW w:w="1527" w:type="pct"/>
            <w:shd w:val="clear" w:color="auto" w:fill="FFFFFF"/>
            <w:tcMar>
              <w:top w:w="110" w:type="dxa"/>
              <w:left w:w="108" w:type="dxa"/>
              <w:bottom w:w="0" w:type="dxa"/>
              <w:right w:w="108" w:type="dxa"/>
            </w:tcMar>
          </w:tcPr>
          <w:p w:rsidR="0048435A" w:rsidRPr="0048435A" w:rsidRDefault="0048435A" w:rsidP="0048435A">
            <w:pPr>
              <w:pStyle w:val="ListParagraph"/>
              <w:numPr>
                <w:ilvl w:val="0"/>
                <w:numId w:val="81"/>
              </w:numPr>
              <w:spacing w:after="60"/>
              <w:ind w:left="357" w:hanging="357"/>
              <w:rPr>
                <w:rFonts w:cs="Arial"/>
                <w:sz w:val="16"/>
                <w:szCs w:val="16"/>
                <w:lang w:val="ru-RU"/>
              </w:rPr>
            </w:pPr>
            <w:r w:rsidRPr="0048435A">
              <w:rPr>
                <w:rFonts w:cs="Arial"/>
                <w:sz w:val="16"/>
                <w:szCs w:val="16"/>
                <w:lang w:val="ru-RU"/>
              </w:rPr>
              <w:t>94% (30% полностью согласны; 64% согласны) респондентов</w:t>
            </w:r>
            <w:r w:rsidRPr="0048435A">
              <w:rPr>
                <w:rStyle w:val="FootnoteReference"/>
                <w:rFonts w:cs="Arial"/>
                <w:sz w:val="16"/>
                <w:szCs w:val="16"/>
                <w:lang w:val="ru-RU"/>
              </w:rPr>
              <w:t xml:space="preserve"> </w:t>
            </w:r>
            <w:r>
              <w:rPr>
                <w:rStyle w:val="FootnoteReference"/>
                <w:rFonts w:cs="Arial"/>
                <w:sz w:val="16"/>
                <w:szCs w:val="16"/>
              </w:rPr>
              <w:footnoteReference w:id="126"/>
            </w:r>
            <w:r w:rsidRPr="0048435A">
              <w:rPr>
                <w:rFonts w:cs="Arial"/>
                <w:sz w:val="16"/>
                <w:szCs w:val="16"/>
                <w:lang w:val="ru-RU"/>
              </w:rPr>
              <w:t xml:space="preserve"> указали, что данные о результативности используются для обеспечения регулярного мониторинга хода реализации деятельности по программе;</w:t>
            </w:r>
          </w:p>
          <w:p w:rsidR="0048435A" w:rsidRPr="0048435A" w:rsidRDefault="0048435A" w:rsidP="0048435A">
            <w:pPr>
              <w:pStyle w:val="ListParagraph"/>
              <w:numPr>
                <w:ilvl w:val="0"/>
                <w:numId w:val="81"/>
              </w:numPr>
              <w:ind w:left="360"/>
              <w:rPr>
                <w:rFonts w:cs="Arial"/>
                <w:sz w:val="16"/>
                <w:szCs w:val="16"/>
                <w:lang w:val="ru-RU"/>
              </w:rPr>
            </w:pPr>
            <w:r w:rsidRPr="0048435A">
              <w:rPr>
                <w:rFonts w:cs="Arial"/>
                <w:sz w:val="16"/>
                <w:szCs w:val="16"/>
                <w:lang w:val="ru-RU"/>
              </w:rPr>
              <w:t>85% (27% полностью согласны; 58% согласны) респондентов</w:t>
            </w:r>
            <w:r>
              <w:rPr>
                <w:rStyle w:val="FootnoteReference"/>
                <w:rFonts w:cs="Arial"/>
                <w:sz w:val="16"/>
                <w:szCs w:val="16"/>
              </w:rPr>
              <w:footnoteReference w:id="127"/>
            </w:r>
            <w:r w:rsidRPr="0048435A">
              <w:rPr>
                <w:rFonts w:cs="Arial"/>
                <w:sz w:val="16"/>
                <w:szCs w:val="16"/>
                <w:lang w:val="ru-RU"/>
              </w:rPr>
              <w:t xml:space="preserve"> что данные о результативности используются в целях принятия решений.</w:t>
            </w:r>
          </w:p>
          <w:p w:rsidR="0048435A" w:rsidRPr="0048435A" w:rsidRDefault="0048435A" w:rsidP="00955E75">
            <w:pPr>
              <w:rPr>
                <w:rFonts w:cs="Arial"/>
                <w:color w:val="FF0000"/>
                <w:sz w:val="16"/>
                <w:szCs w:val="16"/>
                <w:lang w:val="ru-RU"/>
              </w:rPr>
            </w:pPr>
            <w:r w:rsidRPr="0048435A">
              <w:rPr>
                <w:rFonts w:cs="Arial"/>
                <w:i/>
                <w:sz w:val="16"/>
                <w:szCs w:val="16"/>
                <w:lang w:val="ru-RU"/>
              </w:rPr>
              <w:t>(согласно Отчету о проверке достоверности информации, представленной в ОРП 2014–2015</w:t>
            </w:r>
            <w:r>
              <w:rPr>
                <w:rFonts w:cs="Arial"/>
                <w:i/>
                <w:sz w:val="16"/>
                <w:szCs w:val="16"/>
              </w:rPr>
              <w:t> </w:t>
            </w:r>
            <w:r w:rsidRPr="0048435A">
              <w:rPr>
                <w:rFonts w:cs="Arial"/>
                <w:i/>
                <w:sz w:val="16"/>
                <w:szCs w:val="16"/>
                <w:lang w:val="ru-RU"/>
              </w:rPr>
              <w:t>гг.)</w:t>
            </w:r>
          </w:p>
        </w:tc>
        <w:tc>
          <w:tcPr>
            <w:tcW w:w="628" w:type="pct"/>
            <w:tcBorders>
              <w:right w:val="single" w:sz="4" w:space="0" w:color="auto"/>
            </w:tcBorders>
            <w:tcMar>
              <w:top w:w="110" w:type="dxa"/>
              <w:left w:w="108" w:type="dxa"/>
              <w:bottom w:w="0" w:type="dxa"/>
              <w:right w:w="108" w:type="dxa"/>
            </w:tcMar>
          </w:tcPr>
          <w:p w:rsidR="0048435A" w:rsidRPr="002B7310" w:rsidRDefault="0048435A" w:rsidP="00955E75">
            <w:pPr>
              <w:keepNext/>
              <w:keepLines/>
              <w:jc w:val="center"/>
              <w:rPr>
                <w:rFonts w:cs="Arial"/>
                <w:bCs/>
                <w:color w:val="404040" w:themeColor="text1" w:themeTint="BF"/>
                <w:sz w:val="16"/>
                <w:szCs w:val="16"/>
              </w:rPr>
            </w:pPr>
            <w:r w:rsidRPr="002B7310">
              <w:rPr>
                <w:rFonts w:cs="Arial"/>
                <w:b/>
                <w:color w:val="008000"/>
                <w:sz w:val="16"/>
                <w:szCs w:val="16"/>
              </w:rPr>
              <w:t>Выполнено</w:t>
            </w:r>
          </w:p>
        </w:tc>
      </w:tr>
    </w:tbl>
    <w:p w:rsidR="0048435A" w:rsidRDefault="0048435A" w:rsidP="0048435A">
      <w:r>
        <w:br w:type="page"/>
      </w:r>
    </w:p>
    <w:tbl>
      <w:tblPr>
        <w:tblW w:w="5000" w:type="pct"/>
        <w:tblInd w:w="10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930"/>
        <w:gridCol w:w="1981"/>
        <w:gridCol w:w="1535"/>
        <w:gridCol w:w="2923"/>
        <w:gridCol w:w="1202"/>
      </w:tblGrid>
      <w:tr w:rsidR="0048435A" w:rsidRPr="005C6ABD" w:rsidTr="00955E75">
        <w:tc>
          <w:tcPr>
            <w:tcW w:w="5000"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tcPr>
          <w:p w:rsidR="0048435A" w:rsidRPr="0048435A" w:rsidRDefault="0048435A" w:rsidP="00955E75">
            <w:pPr>
              <w:tabs>
                <w:tab w:val="left" w:pos="2160"/>
              </w:tabs>
              <w:spacing w:before="120" w:after="120"/>
              <w:ind w:left="2160" w:hanging="2160"/>
              <w:rPr>
                <w:rFonts w:cs="Arial"/>
                <w:b/>
                <w:bCs/>
                <w:sz w:val="16"/>
                <w:szCs w:val="16"/>
                <w:lang w:val="ru-RU"/>
              </w:rPr>
            </w:pPr>
            <w:r w:rsidRPr="0048435A">
              <w:rPr>
                <w:rFonts w:cs="Arial"/>
                <w:b/>
                <w:sz w:val="16"/>
                <w:szCs w:val="16"/>
                <w:lang w:val="ru-RU"/>
              </w:rPr>
              <w:t>Ожидаемый результат</w:t>
            </w:r>
            <w:r w:rsidRPr="0048435A">
              <w:rPr>
                <w:rFonts w:cs="Arial"/>
                <w:sz w:val="16"/>
                <w:szCs w:val="16"/>
                <w:lang w:val="ru-RU"/>
              </w:rPr>
              <w:tab/>
            </w:r>
            <w:r w:rsidRPr="00F251C1">
              <w:rPr>
                <w:rFonts w:cs="Arial"/>
                <w:sz w:val="16"/>
                <w:szCs w:val="16"/>
              </w:rPr>
              <w:t>IX</w:t>
            </w:r>
            <w:r w:rsidRPr="0048435A">
              <w:rPr>
                <w:rFonts w:cs="Arial"/>
                <w:sz w:val="16"/>
                <w:szCs w:val="16"/>
                <w:lang w:val="ru-RU"/>
              </w:rPr>
              <w:t xml:space="preserve">.3. Благоприятная рабочая среда, подкрепляемая эффективной нормативно-правовой базой </w:t>
            </w:r>
            <w:r w:rsidRPr="0048435A">
              <w:rPr>
                <w:rFonts w:cs="Arial"/>
                <w:sz w:val="16"/>
                <w:szCs w:val="16"/>
                <w:lang w:val="ru-RU"/>
              </w:rPr>
              <w:tab/>
              <w:t>и надлежащими каналами для решения проблем персонала</w:t>
            </w:r>
          </w:p>
        </w:tc>
      </w:tr>
      <w:tr w:rsidR="0048435A" w:rsidRPr="00F251C1" w:rsidTr="00955E75">
        <w:tc>
          <w:tcPr>
            <w:tcW w:w="1008" w:type="pct"/>
            <w:tcBorders>
              <w:top w:val="single" w:sz="4" w:space="0" w:color="auto"/>
              <w:left w:val="single" w:sz="4" w:space="0" w:color="auto"/>
            </w:tcBorders>
          </w:tcPr>
          <w:p w:rsidR="0048435A" w:rsidRPr="00F251C1" w:rsidRDefault="0048435A" w:rsidP="00955E75">
            <w:pPr>
              <w:rPr>
                <w:rFonts w:cs="Arial"/>
                <w:sz w:val="16"/>
                <w:szCs w:val="16"/>
              </w:rPr>
            </w:pPr>
            <w:r w:rsidRPr="00F251C1">
              <w:rPr>
                <w:rFonts w:cs="Arial"/>
                <w:b/>
                <w:sz w:val="16"/>
                <w:szCs w:val="16"/>
              </w:rPr>
              <w:t>Показатели результативности</w:t>
            </w:r>
          </w:p>
        </w:tc>
        <w:tc>
          <w:tcPr>
            <w:tcW w:w="1035" w:type="pct"/>
            <w:tcBorders>
              <w:top w:val="single" w:sz="4" w:space="0" w:color="auto"/>
            </w:tcBorders>
            <w:hideMark/>
          </w:tcPr>
          <w:p w:rsidR="0048435A" w:rsidRPr="00F251C1" w:rsidRDefault="0048435A" w:rsidP="00955E75">
            <w:pPr>
              <w:rPr>
                <w:rFonts w:cs="Arial"/>
                <w:sz w:val="16"/>
                <w:szCs w:val="16"/>
              </w:rPr>
            </w:pPr>
            <w:r w:rsidRPr="00F251C1">
              <w:rPr>
                <w:rFonts w:cs="Arial"/>
                <w:b/>
                <w:sz w:val="16"/>
                <w:szCs w:val="16"/>
              </w:rPr>
              <w:t>Базовые показатели</w:t>
            </w:r>
          </w:p>
        </w:tc>
        <w:tc>
          <w:tcPr>
            <w:tcW w:w="802" w:type="pct"/>
            <w:tcBorders>
              <w:top w:val="single" w:sz="4" w:space="0" w:color="auto"/>
            </w:tcBorders>
            <w:tcMar>
              <w:top w:w="110" w:type="dxa"/>
              <w:left w:w="108" w:type="dxa"/>
              <w:bottom w:w="0" w:type="dxa"/>
              <w:right w:w="108" w:type="dxa"/>
            </w:tcMar>
            <w:hideMark/>
          </w:tcPr>
          <w:p w:rsidR="0048435A" w:rsidRPr="00F251C1" w:rsidRDefault="0048435A" w:rsidP="00955E75">
            <w:pPr>
              <w:autoSpaceDE w:val="0"/>
              <w:autoSpaceDN w:val="0"/>
              <w:adjustRightInd w:val="0"/>
              <w:rPr>
                <w:rFonts w:cs="Arial"/>
                <w:sz w:val="16"/>
                <w:szCs w:val="16"/>
              </w:rPr>
            </w:pPr>
            <w:r w:rsidRPr="00F251C1">
              <w:rPr>
                <w:rFonts w:cs="Arial"/>
                <w:b/>
                <w:sz w:val="16"/>
                <w:szCs w:val="16"/>
              </w:rPr>
              <w:t>Цели</w:t>
            </w:r>
          </w:p>
        </w:tc>
        <w:tc>
          <w:tcPr>
            <w:tcW w:w="1527" w:type="pct"/>
            <w:tcBorders>
              <w:top w:val="single" w:sz="4" w:space="0" w:color="auto"/>
            </w:tcBorders>
            <w:shd w:val="clear" w:color="auto" w:fill="FFFFFF"/>
            <w:tcMar>
              <w:top w:w="110" w:type="dxa"/>
              <w:left w:w="108" w:type="dxa"/>
              <w:bottom w:w="0" w:type="dxa"/>
              <w:right w:w="108" w:type="dxa"/>
            </w:tcMar>
            <w:hideMark/>
          </w:tcPr>
          <w:p w:rsidR="0048435A" w:rsidRPr="00F251C1" w:rsidRDefault="0048435A" w:rsidP="00955E75">
            <w:pPr>
              <w:rPr>
                <w:rFonts w:cs="Arial"/>
                <w:sz w:val="16"/>
                <w:szCs w:val="16"/>
              </w:rPr>
            </w:pPr>
            <w:r w:rsidRPr="00F251C1">
              <w:rPr>
                <w:rFonts w:cs="Arial"/>
                <w:b/>
                <w:sz w:val="16"/>
                <w:szCs w:val="16"/>
              </w:rPr>
              <w:t>Данные о результативности</w:t>
            </w:r>
          </w:p>
        </w:tc>
        <w:tc>
          <w:tcPr>
            <w:tcW w:w="628" w:type="pct"/>
            <w:tcBorders>
              <w:top w:val="single" w:sz="4" w:space="0" w:color="auto"/>
              <w:right w:val="single" w:sz="4" w:space="0" w:color="auto"/>
            </w:tcBorders>
            <w:tcMar>
              <w:top w:w="110" w:type="dxa"/>
              <w:left w:w="108" w:type="dxa"/>
              <w:bottom w:w="0" w:type="dxa"/>
              <w:right w:w="108" w:type="dxa"/>
            </w:tcMar>
            <w:hideMark/>
          </w:tcPr>
          <w:p w:rsidR="0048435A" w:rsidRPr="00F251C1" w:rsidRDefault="0048435A" w:rsidP="00955E75">
            <w:pPr>
              <w:jc w:val="center"/>
              <w:rPr>
                <w:rFonts w:cs="Arial"/>
                <w:bCs/>
                <w:color w:val="404040" w:themeColor="text1" w:themeTint="BF"/>
                <w:sz w:val="16"/>
                <w:szCs w:val="16"/>
              </w:rPr>
            </w:pPr>
            <w:r w:rsidRPr="00F251C1">
              <w:rPr>
                <w:rFonts w:cs="Arial"/>
                <w:b/>
                <w:sz w:val="16"/>
                <w:szCs w:val="16"/>
              </w:rPr>
              <w:t>CC</w:t>
            </w:r>
          </w:p>
        </w:tc>
      </w:tr>
      <w:tr w:rsidR="0048435A" w:rsidRPr="00F251C1" w:rsidTr="00955E75">
        <w:tc>
          <w:tcPr>
            <w:tcW w:w="1008" w:type="pct"/>
            <w:tcBorders>
              <w:left w:val="single" w:sz="4" w:space="0" w:color="auto"/>
            </w:tcBorders>
          </w:tcPr>
          <w:p w:rsidR="0048435A" w:rsidRPr="0048435A" w:rsidRDefault="0048435A" w:rsidP="00955E75">
            <w:pPr>
              <w:rPr>
                <w:rFonts w:cs="Arial"/>
                <w:sz w:val="16"/>
                <w:szCs w:val="16"/>
                <w:lang w:val="ru-RU"/>
              </w:rPr>
            </w:pPr>
            <w:r w:rsidRPr="0048435A">
              <w:rPr>
                <w:rFonts w:cs="Arial"/>
                <w:sz w:val="16"/>
                <w:szCs w:val="16"/>
                <w:lang w:val="ru-RU"/>
              </w:rPr>
              <w:t>Актуализация Финансовых положений и правил и соответствующих служебных инструкций (СИ)</w:t>
            </w:r>
          </w:p>
          <w:p w:rsidR="0048435A" w:rsidRPr="0048435A" w:rsidRDefault="0048435A" w:rsidP="00955E75">
            <w:pPr>
              <w:rPr>
                <w:rFonts w:cs="Arial"/>
                <w:sz w:val="16"/>
                <w:szCs w:val="16"/>
                <w:lang w:val="ru-RU"/>
              </w:rPr>
            </w:pPr>
          </w:p>
        </w:tc>
        <w:tc>
          <w:tcPr>
            <w:tcW w:w="1035" w:type="pct"/>
          </w:tcPr>
          <w:p w:rsidR="0048435A" w:rsidRPr="0048435A" w:rsidRDefault="0048435A" w:rsidP="00955E75">
            <w:pPr>
              <w:rPr>
                <w:rFonts w:cs="Arial"/>
                <w:i/>
                <w:color w:val="002060"/>
                <w:sz w:val="16"/>
                <w:szCs w:val="16"/>
                <w:lang w:val="ru-RU"/>
              </w:rPr>
            </w:pPr>
            <w:r w:rsidRPr="0048435A">
              <w:rPr>
                <w:rFonts w:cs="Arial"/>
                <w:i/>
                <w:color w:val="002060"/>
                <w:sz w:val="16"/>
                <w:szCs w:val="16"/>
                <w:lang w:val="ru-RU"/>
              </w:rPr>
              <w:t>Обновленные базовые показатели, конец 2013</w:t>
            </w:r>
            <w:r w:rsidRPr="00F251C1">
              <w:rPr>
                <w:rFonts w:cs="Arial"/>
                <w:i/>
                <w:color w:val="002060"/>
                <w:sz w:val="16"/>
                <w:szCs w:val="16"/>
              </w:rPr>
              <w:t> </w:t>
            </w:r>
            <w:r w:rsidRPr="0048435A">
              <w:rPr>
                <w:rFonts w:cs="Arial"/>
                <w:i/>
                <w:color w:val="002060"/>
                <w:sz w:val="16"/>
                <w:szCs w:val="16"/>
                <w:lang w:val="ru-RU"/>
              </w:rPr>
              <w:t xml:space="preserve">г.: </w:t>
            </w:r>
            <w:r w:rsidRPr="0048435A">
              <w:rPr>
                <w:rFonts w:cs="Arial"/>
                <w:sz w:val="16"/>
                <w:szCs w:val="16"/>
                <w:lang w:val="ru-RU"/>
              </w:rPr>
              <w:t>СИ, выпущенные в 2012 г. и 2013 г. ФПП с необходимыми поправками, внесенными в 2012 г. и 2013 г.</w:t>
            </w:r>
          </w:p>
          <w:p w:rsidR="0048435A" w:rsidRPr="0048435A" w:rsidRDefault="0048435A" w:rsidP="00955E75">
            <w:pPr>
              <w:rPr>
                <w:rFonts w:cs="Arial"/>
                <w:i/>
                <w:sz w:val="16"/>
                <w:szCs w:val="16"/>
                <w:lang w:val="ru-RU"/>
              </w:rPr>
            </w:pPr>
          </w:p>
          <w:p w:rsidR="0048435A" w:rsidRPr="0048435A" w:rsidRDefault="0048435A" w:rsidP="00955E75">
            <w:pPr>
              <w:rPr>
                <w:rFonts w:cs="Arial"/>
                <w:sz w:val="16"/>
                <w:szCs w:val="16"/>
                <w:lang w:val="ru-RU"/>
              </w:rPr>
            </w:pPr>
            <w:r w:rsidRPr="0048435A">
              <w:rPr>
                <w:rFonts w:cs="Arial"/>
                <w:i/>
                <w:sz w:val="16"/>
                <w:szCs w:val="16"/>
                <w:lang w:val="ru-RU"/>
              </w:rPr>
              <w:t>Исходные базовые показатели ПиБ на 2014–2015 гг.:</w:t>
            </w:r>
            <w:r w:rsidRPr="0048435A">
              <w:rPr>
                <w:rFonts w:cs="Arial"/>
                <w:sz w:val="16"/>
                <w:szCs w:val="16"/>
                <w:lang w:val="ru-RU"/>
              </w:rPr>
              <w:t xml:space="preserve">  СИ, выпущенные в 2012 г. и 2013 г. ФПП с необходимыми поправками, внесенными в 2012</w:t>
            </w:r>
            <w:r w:rsidRPr="00F251C1">
              <w:rPr>
                <w:rFonts w:cs="Arial"/>
                <w:sz w:val="16"/>
                <w:szCs w:val="16"/>
              </w:rPr>
              <w:t> </w:t>
            </w:r>
            <w:r w:rsidRPr="0048435A">
              <w:rPr>
                <w:rFonts w:cs="Arial"/>
                <w:sz w:val="16"/>
                <w:szCs w:val="16"/>
                <w:lang w:val="ru-RU"/>
              </w:rPr>
              <w:t>г.</w:t>
            </w:r>
          </w:p>
          <w:p w:rsidR="0048435A" w:rsidRPr="0048435A" w:rsidRDefault="0048435A" w:rsidP="00955E75">
            <w:pPr>
              <w:rPr>
                <w:rFonts w:cs="Arial"/>
                <w:i/>
                <w:color w:val="002060"/>
                <w:sz w:val="16"/>
                <w:szCs w:val="16"/>
                <w:lang w:val="ru-RU"/>
              </w:rPr>
            </w:pPr>
          </w:p>
        </w:tc>
        <w:tc>
          <w:tcPr>
            <w:tcW w:w="802" w:type="pct"/>
            <w:tcMar>
              <w:top w:w="110" w:type="dxa"/>
              <w:left w:w="108" w:type="dxa"/>
              <w:bottom w:w="0" w:type="dxa"/>
              <w:right w:w="108" w:type="dxa"/>
            </w:tcMar>
          </w:tcPr>
          <w:p w:rsidR="0048435A" w:rsidRPr="0048435A" w:rsidRDefault="0048435A" w:rsidP="00955E75">
            <w:pPr>
              <w:autoSpaceDE w:val="0"/>
              <w:autoSpaceDN w:val="0"/>
              <w:adjustRightInd w:val="0"/>
              <w:rPr>
                <w:rFonts w:cs="Arial"/>
                <w:sz w:val="16"/>
                <w:szCs w:val="16"/>
                <w:lang w:val="ru-RU"/>
              </w:rPr>
            </w:pPr>
            <w:r w:rsidRPr="0048435A">
              <w:rPr>
                <w:rFonts w:cs="Arial"/>
                <w:sz w:val="16"/>
                <w:szCs w:val="16"/>
                <w:lang w:val="ru-RU"/>
              </w:rPr>
              <w:t>Пересмотр и переработка нормативно-правовой базы в случае/по мере необходимости</w:t>
            </w:r>
          </w:p>
        </w:tc>
        <w:tc>
          <w:tcPr>
            <w:tcW w:w="1527" w:type="pct"/>
            <w:shd w:val="clear" w:color="auto" w:fill="FFFFFF"/>
            <w:tcMar>
              <w:top w:w="110" w:type="dxa"/>
              <w:left w:w="108" w:type="dxa"/>
              <w:bottom w:w="0" w:type="dxa"/>
              <w:right w:w="108" w:type="dxa"/>
            </w:tcMar>
          </w:tcPr>
          <w:p w:rsidR="0048435A" w:rsidRPr="0048435A" w:rsidRDefault="0048435A" w:rsidP="00955E75">
            <w:pPr>
              <w:spacing w:after="120"/>
              <w:contextualSpacing/>
              <w:rPr>
                <w:rFonts w:cs="Arial"/>
                <w:sz w:val="16"/>
                <w:szCs w:val="16"/>
                <w:lang w:val="ru-RU"/>
              </w:rPr>
            </w:pPr>
            <w:r w:rsidRPr="0048435A">
              <w:rPr>
                <w:rFonts w:cs="Arial"/>
                <w:sz w:val="16"/>
                <w:szCs w:val="16"/>
                <w:lang w:val="ru-RU"/>
              </w:rPr>
              <w:t>Пересмотр и/или выпуск СИ, в частности по следующим вопросам:</w:t>
            </w:r>
          </w:p>
          <w:p w:rsidR="0048435A" w:rsidRPr="0048435A" w:rsidRDefault="0048435A" w:rsidP="0048435A">
            <w:pPr>
              <w:pStyle w:val="ListParagraph"/>
              <w:numPr>
                <w:ilvl w:val="0"/>
                <w:numId w:val="46"/>
              </w:numPr>
              <w:spacing w:after="200"/>
              <w:ind w:left="598" w:hanging="284"/>
              <w:contextualSpacing/>
              <w:rPr>
                <w:rFonts w:cs="Arial"/>
                <w:sz w:val="16"/>
                <w:szCs w:val="16"/>
                <w:lang w:val="ru-RU"/>
              </w:rPr>
            </w:pPr>
            <w:r w:rsidRPr="0048435A">
              <w:rPr>
                <w:rFonts w:cs="Arial"/>
                <w:sz w:val="16"/>
                <w:szCs w:val="16"/>
                <w:lang w:val="ru-RU"/>
              </w:rPr>
              <w:t>основные принципы и основополагающие правила закупок;</w:t>
            </w:r>
          </w:p>
          <w:p w:rsidR="0048435A" w:rsidRPr="0048435A" w:rsidRDefault="0048435A" w:rsidP="0048435A">
            <w:pPr>
              <w:pStyle w:val="ListParagraph"/>
              <w:numPr>
                <w:ilvl w:val="0"/>
                <w:numId w:val="46"/>
              </w:numPr>
              <w:spacing w:after="200"/>
              <w:ind w:left="598" w:hanging="284"/>
              <w:contextualSpacing/>
              <w:rPr>
                <w:rFonts w:cs="Arial"/>
                <w:sz w:val="16"/>
                <w:szCs w:val="16"/>
                <w:lang w:val="ru-RU"/>
              </w:rPr>
            </w:pPr>
            <w:r w:rsidRPr="0048435A">
              <w:rPr>
                <w:rFonts w:cs="Arial"/>
                <w:sz w:val="16"/>
                <w:szCs w:val="16"/>
                <w:lang w:val="ru-RU"/>
              </w:rPr>
              <w:t>выплата авансов в счет оклада.</w:t>
            </w:r>
          </w:p>
          <w:p w:rsidR="0048435A" w:rsidRPr="0048435A" w:rsidRDefault="0048435A" w:rsidP="0048435A">
            <w:pPr>
              <w:pStyle w:val="ListParagraph"/>
              <w:numPr>
                <w:ilvl w:val="0"/>
                <w:numId w:val="46"/>
              </w:numPr>
              <w:spacing w:after="200"/>
              <w:ind w:left="598" w:hanging="284"/>
              <w:contextualSpacing/>
              <w:rPr>
                <w:rFonts w:cs="Arial"/>
                <w:sz w:val="16"/>
                <w:szCs w:val="16"/>
                <w:lang w:val="ru-RU"/>
              </w:rPr>
            </w:pPr>
            <w:r w:rsidRPr="0048435A">
              <w:rPr>
                <w:rFonts w:cs="Arial"/>
                <w:sz w:val="16"/>
                <w:szCs w:val="16"/>
                <w:lang w:val="ru-RU"/>
              </w:rPr>
              <w:t>политика использования мобильных устройств связи;</w:t>
            </w:r>
          </w:p>
          <w:p w:rsidR="0048435A" w:rsidRPr="00F251C1" w:rsidRDefault="0048435A" w:rsidP="0048435A">
            <w:pPr>
              <w:pStyle w:val="ListParagraph"/>
              <w:numPr>
                <w:ilvl w:val="0"/>
                <w:numId w:val="46"/>
              </w:numPr>
              <w:spacing w:after="200"/>
              <w:ind w:left="598" w:hanging="284"/>
              <w:contextualSpacing/>
              <w:rPr>
                <w:rFonts w:cs="Arial"/>
                <w:sz w:val="16"/>
                <w:szCs w:val="16"/>
              </w:rPr>
            </w:pPr>
            <w:r>
              <w:rPr>
                <w:rFonts w:cs="Arial"/>
                <w:sz w:val="16"/>
                <w:szCs w:val="16"/>
              </w:rPr>
              <w:t>с</w:t>
            </w:r>
            <w:r w:rsidRPr="00F251C1">
              <w:rPr>
                <w:rFonts w:cs="Arial"/>
                <w:sz w:val="16"/>
                <w:szCs w:val="16"/>
              </w:rPr>
              <w:t>оздание Группы управления рисками</w:t>
            </w:r>
            <w:r>
              <w:rPr>
                <w:rFonts w:cs="Arial"/>
                <w:sz w:val="16"/>
                <w:szCs w:val="16"/>
              </w:rPr>
              <w:t>;</w:t>
            </w:r>
          </w:p>
          <w:p w:rsidR="0048435A" w:rsidRPr="00F251C1" w:rsidRDefault="0048435A" w:rsidP="0048435A">
            <w:pPr>
              <w:pStyle w:val="ListParagraph"/>
              <w:numPr>
                <w:ilvl w:val="0"/>
                <w:numId w:val="46"/>
              </w:numPr>
              <w:spacing w:after="200"/>
              <w:ind w:left="598" w:hanging="284"/>
              <w:contextualSpacing/>
              <w:rPr>
                <w:rFonts w:cs="Arial"/>
                <w:sz w:val="16"/>
                <w:szCs w:val="16"/>
              </w:rPr>
            </w:pPr>
            <w:r>
              <w:rPr>
                <w:rFonts w:cs="Arial"/>
                <w:sz w:val="16"/>
                <w:szCs w:val="16"/>
              </w:rPr>
              <w:t>о</w:t>
            </w:r>
            <w:r w:rsidRPr="00F251C1">
              <w:rPr>
                <w:rFonts w:cs="Arial"/>
                <w:sz w:val="16"/>
                <w:szCs w:val="16"/>
              </w:rPr>
              <w:t>тпуск на родину</w:t>
            </w:r>
            <w:r>
              <w:rPr>
                <w:rFonts w:cs="Arial"/>
                <w:sz w:val="16"/>
                <w:szCs w:val="16"/>
              </w:rPr>
              <w:t>;</w:t>
            </w:r>
          </w:p>
          <w:p w:rsidR="0048435A" w:rsidRPr="00F251C1" w:rsidRDefault="0048435A" w:rsidP="0048435A">
            <w:pPr>
              <w:pStyle w:val="ListParagraph"/>
              <w:numPr>
                <w:ilvl w:val="0"/>
                <w:numId w:val="46"/>
              </w:numPr>
              <w:spacing w:after="200"/>
              <w:ind w:left="598" w:hanging="284"/>
              <w:contextualSpacing/>
              <w:rPr>
                <w:rFonts w:cs="Arial"/>
                <w:sz w:val="16"/>
                <w:szCs w:val="16"/>
              </w:rPr>
            </w:pPr>
            <w:r>
              <w:rPr>
                <w:rFonts w:cs="Arial"/>
                <w:sz w:val="16"/>
                <w:szCs w:val="16"/>
              </w:rPr>
              <w:t>п</w:t>
            </w:r>
            <w:r w:rsidRPr="00F251C1">
              <w:rPr>
                <w:rFonts w:cs="Arial"/>
                <w:sz w:val="16"/>
                <w:szCs w:val="16"/>
              </w:rPr>
              <w:t>олитики управления рисками ВОИС</w:t>
            </w:r>
            <w:r>
              <w:rPr>
                <w:rFonts w:cs="Arial"/>
                <w:sz w:val="16"/>
                <w:szCs w:val="16"/>
              </w:rPr>
              <w:t>;</w:t>
            </w:r>
          </w:p>
          <w:p w:rsidR="0048435A" w:rsidRPr="00F251C1" w:rsidRDefault="0048435A" w:rsidP="0048435A">
            <w:pPr>
              <w:pStyle w:val="ListParagraph"/>
              <w:keepNext/>
              <w:keepLines/>
              <w:numPr>
                <w:ilvl w:val="0"/>
                <w:numId w:val="46"/>
              </w:numPr>
              <w:spacing w:after="200"/>
              <w:ind w:left="596" w:hanging="284"/>
              <w:contextualSpacing/>
              <w:rPr>
                <w:rFonts w:cs="Arial"/>
                <w:sz w:val="16"/>
                <w:szCs w:val="16"/>
              </w:rPr>
            </w:pPr>
            <w:r w:rsidRPr="0048435A">
              <w:rPr>
                <w:rFonts w:cs="Arial"/>
                <w:sz w:val="16"/>
                <w:szCs w:val="16"/>
                <w:lang w:val="ru-RU"/>
              </w:rPr>
              <w:t xml:space="preserve">инструкция по вопросам использования наличных средств и финансовым вопросам для внешних бюро ВОИС. </w:t>
            </w:r>
            <w:r w:rsidRPr="00F251C1">
              <w:rPr>
                <w:rFonts w:cs="Arial"/>
                <w:sz w:val="16"/>
                <w:szCs w:val="16"/>
              </w:rPr>
              <w:t>Сфера применения и цели</w:t>
            </w:r>
            <w:r>
              <w:rPr>
                <w:rFonts w:cs="Arial"/>
                <w:sz w:val="16"/>
                <w:szCs w:val="16"/>
              </w:rPr>
              <w:t>;</w:t>
            </w:r>
          </w:p>
          <w:p w:rsidR="0048435A" w:rsidRPr="00F251C1" w:rsidRDefault="0048435A" w:rsidP="0048435A">
            <w:pPr>
              <w:pStyle w:val="ListParagraph"/>
              <w:numPr>
                <w:ilvl w:val="0"/>
                <w:numId w:val="46"/>
              </w:numPr>
              <w:spacing w:after="200"/>
              <w:ind w:left="598" w:hanging="284"/>
              <w:contextualSpacing/>
              <w:rPr>
                <w:rFonts w:cs="Arial"/>
                <w:sz w:val="16"/>
                <w:szCs w:val="16"/>
              </w:rPr>
            </w:pPr>
            <w:r>
              <w:rPr>
                <w:rFonts w:cs="Arial"/>
                <w:sz w:val="16"/>
                <w:szCs w:val="16"/>
              </w:rPr>
              <w:t>п</w:t>
            </w:r>
            <w:r w:rsidRPr="00F251C1">
              <w:rPr>
                <w:rFonts w:cs="Arial"/>
                <w:sz w:val="16"/>
                <w:szCs w:val="16"/>
              </w:rPr>
              <w:t>редставительские расходы</w:t>
            </w:r>
            <w:r>
              <w:rPr>
                <w:rFonts w:cs="Arial"/>
                <w:sz w:val="16"/>
                <w:szCs w:val="16"/>
              </w:rPr>
              <w:t>;</w:t>
            </w:r>
          </w:p>
          <w:p w:rsidR="0048435A" w:rsidRPr="0048435A" w:rsidRDefault="0048435A" w:rsidP="0048435A">
            <w:pPr>
              <w:pStyle w:val="ListParagraph"/>
              <w:numPr>
                <w:ilvl w:val="0"/>
                <w:numId w:val="46"/>
              </w:numPr>
              <w:spacing w:after="200"/>
              <w:ind w:left="598" w:hanging="284"/>
              <w:contextualSpacing/>
              <w:rPr>
                <w:rFonts w:cs="Arial"/>
                <w:sz w:val="16"/>
                <w:szCs w:val="16"/>
                <w:lang w:val="ru-RU"/>
              </w:rPr>
            </w:pPr>
            <w:r w:rsidRPr="0048435A">
              <w:rPr>
                <w:rFonts w:cs="Arial"/>
                <w:sz w:val="16"/>
                <w:szCs w:val="16"/>
                <w:lang w:val="ru-RU"/>
              </w:rPr>
              <w:t>служебные командировки и сопутствующие расходы;</w:t>
            </w:r>
          </w:p>
          <w:p w:rsidR="0048435A" w:rsidRPr="00F251C1" w:rsidRDefault="0048435A" w:rsidP="0048435A">
            <w:pPr>
              <w:pStyle w:val="ListParagraph"/>
              <w:numPr>
                <w:ilvl w:val="0"/>
                <w:numId w:val="46"/>
              </w:numPr>
              <w:spacing w:after="200"/>
              <w:ind w:left="598" w:hanging="284"/>
              <w:contextualSpacing/>
              <w:rPr>
                <w:rFonts w:cs="Arial"/>
                <w:sz w:val="16"/>
                <w:szCs w:val="16"/>
              </w:rPr>
            </w:pPr>
            <w:r>
              <w:rPr>
                <w:rFonts w:cs="Arial"/>
                <w:sz w:val="16"/>
                <w:szCs w:val="16"/>
              </w:rPr>
              <w:t>п</w:t>
            </w:r>
            <w:r w:rsidRPr="00F251C1">
              <w:rPr>
                <w:rFonts w:cs="Arial"/>
                <w:sz w:val="16"/>
                <w:szCs w:val="16"/>
              </w:rPr>
              <w:t>олитика в отношении резервов</w:t>
            </w:r>
            <w:r>
              <w:rPr>
                <w:rFonts w:cs="Arial"/>
                <w:sz w:val="16"/>
                <w:szCs w:val="16"/>
              </w:rPr>
              <w:t>;</w:t>
            </w:r>
          </w:p>
          <w:p w:rsidR="0048435A" w:rsidRPr="0048435A" w:rsidRDefault="0048435A" w:rsidP="0048435A">
            <w:pPr>
              <w:pStyle w:val="ListParagraph"/>
              <w:numPr>
                <w:ilvl w:val="0"/>
                <w:numId w:val="46"/>
              </w:numPr>
              <w:spacing w:after="200"/>
              <w:ind w:left="598" w:hanging="284"/>
              <w:contextualSpacing/>
              <w:rPr>
                <w:rFonts w:cs="Arial"/>
                <w:sz w:val="16"/>
                <w:szCs w:val="16"/>
                <w:lang w:val="ru-RU"/>
              </w:rPr>
            </w:pPr>
            <w:r w:rsidRPr="0048435A">
              <w:rPr>
                <w:rFonts w:cs="Arial"/>
                <w:sz w:val="16"/>
                <w:szCs w:val="16"/>
                <w:lang w:val="ru-RU"/>
              </w:rPr>
              <w:t>политика ВОИС в области управления имуществом</w:t>
            </w:r>
          </w:p>
          <w:p w:rsidR="0048435A" w:rsidRPr="0048435A" w:rsidRDefault="0048435A" w:rsidP="0048435A">
            <w:pPr>
              <w:pStyle w:val="ListParagraph"/>
              <w:numPr>
                <w:ilvl w:val="0"/>
                <w:numId w:val="46"/>
              </w:numPr>
              <w:spacing w:after="120"/>
              <w:ind w:left="596" w:hanging="284"/>
              <w:rPr>
                <w:rFonts w:cs="Arial"/>
                <w:sz w:val="16"/>
                <w:szCs w:val="16"/>
                <w:lang w:val="ru-RU"/>
              </w:rPr>
            </w:pPr>
            <w:r w:rsidRPr="0048435A">
              <w:rPr>
                <w:rFonts w:cs="Arial"/>
                <w:sz w:val="16"/>
                <w:szCs w:val="16"/>
                <w:lang w:val="ru-RU"/>
              </w:rPr>
              <w:t>политика ВОИС в области управления добровольными взносами.</w:t>
            </w:r>
          </w:p>
          <w:p w:rsidR="0048435A" w:rsidRPr="0048435A" w:rsidRDefault="0048435A" w:rsidP="00955E75">
            <w:pPr>
              <w:spacing w:after="120"/>
              <w:rPr>
                <w:rFonts w:cs="Arial"/>
                <w:sz w:val="16"/>
                <w:szCs w:val="16"/>
                <w:lang w:val="ru-RU"/>
              </w:rPr>
            </w:pPr>
            <w:r w:rsidRPr="0048435A">
              <w:rPr>
                <w:rFonts w:cs="Arial"/>
                <w:sz w:val="16"/>
                <w:szCs w:val="16"/>
                <w:lang w:val="ru-RU"/>
              </w:rPr>
              <w:t>Обзор и внесение изменений в ФПП в октябре 2014 г. и в октябре 2015</w:t>
            </w:r>
            <w:r w:rsidRPr="00F251C1">
              <w:rPr>
                <w:rFonts w:cs="Arial"/>
                <w:sz w:val="16"/>
                <w:szCs w:val="16"/>
              </w:rPr>
              <w:t> </w:t>
            </w:r>
            <w:r w:rsidRPr="0048435A">
              <w:rPr>
                <w:rFonts w:cs="Arial"/>
                <w:sz w:val="16"/>
                <w:szCs w:val="16"/>
                <w:lang w:val="ru-RU"/>
              </w:rPr>
              <w:t>г.</w:t>
            </w:r>
          </w:p>
          <w:p w:rsidR="0048435A" w:rsidRPr="0048435A" w:rsidRDefault="0048435A" w:rsidP="00955E75">
            <w:pPr>
              <w:spacing w:after="200"/>
              <w:contextualSpacing/>
              <w:rPr>
                <w:rFonts w:cs="Arial"/>
                <w:sz w:val="16"/>
                <w:szCs w:val="16"/>
                <w:lang w:val="ru-RU"/>
              </w:rPr>
            </w:pPr>
            <w:r w:rsidRPr="0048435A">
              <w:rPr>
                <w:rFonts w:cs="Arial"/>
                <w:sz w:val="16"/>
                <w:szCs w:val="16"/>
                <w:lang w:val="ru-RU"/>
              </w:rPr>
              <w:t>Обзор программных и административных обозначений и перечня лиц, имеющих в ПРООН право подписи, и внедрение электронного приложения для работы с программными обозначениями</w:t>
            </w:r>
          </w:p>
        </w:tc>
        <w:tc>
          <w:tcPr>
            <w:tcW w:w="628" w:type="pct"/>
            <w:tcBorders>
              <w:right w:val="single" w:sz="4" w:space="0" w:color="auto"/>
            </w:tcBorders>
            <w:tcMar>
              <w:top w:w="110" w:type="dxa"/>
              <w:left w:w="108" w:type="dxa"/>
              <w:bottom w:w="0" w:type="dxa"/>
              <w:right w:w="108" w:type="dxa"/>
            </w:tcMar>
          </w:tcPr>
          <w:p w:rsidR="0048435A" w:rsidRPr="00F251C1" w:rsidRDefault="0048435A" w:rsidP="00955E75">
            <w:pPr>
              <w:jc w:val="center"/>
              <w:rPr>
                <w:rFonts w:cs="Arial"/>
                <w:bCs/>
                <w:color w:val="404040" w:themeColor="text1" w:themeTint="BF"/>
                <w:sz w:val="16"/>
                <w:szCs w:val="16"/>
              </w:rPr>
            </w:pPr>
            <w:r w:rsidRPr="00F251C1">
              <w:rPr>
                <w:rFonts w:cs="Arial"/>
                <w:b/>
                <w:color w:val="008000"/>
                <w:sz w:val="16"/>
                <w:szCs w:val="16"/>
              </w:rPr>
              <w:t>Выполнено</w:t>
            </w:r>
          </w:p>
        </w:tc>
      </w:tr>
    </w:tbl>
    <w:p w:rsidR="0048435A" w:rsidRDefault="0048435A" w:rsidP="0048435A">
      <w:pPr>
        <w:rPr>
          <w:rFonts w:cs="Arial"/>
          <w:color w:val="000000"/>
          <w:sz w:val="22"/>
          <w:szCs w:val="22"/>
        </w:rPr>
      </w:pPr>
    </w:p>
    <w:p w:rsidR="0048435A" w:rsidRDefault="0048435A" w:rsidP="0048435A">
      <w:pPr>
        <w:rPr>
          <w:rFonts w:cs="Arial"/>
          <w:color w:val="000000"/>
          <w:sz w:val="22"/>
          <w:szCs w:val="22"/>
        </w:rPr>
      </w:pPr>
    </w:p>
    <w:p w:rsidR="008320CF" w:rsidRDefault="008320CF">
      <w:pPr>
        <w:rPr>
          <w:color w:val="000000"/>
          <w:sz w:val="22"/>
          <w:lang w:val="ru-RU"/>
        </w:rPr>
      </w:pPr>
      <w:r>
        <w:rPr>
          <w:color w:val="000000"/>
          <w:sz w:val="22"/>
          <w:lang w:val="ru-RU"/>
        </w:rPr>
        <w:br w:type="page"/>
      </w:r>
    </w:p>
    <w:p w:rsidR="0048435A" w:rsidRPr="0048435A" w:rsidRDefault="0048435A" w:rsidP="0048435A">
      <w:pPr>
        <w:keepNext/>
        <w:keepLines/>
        <w:rPr>
          <w:rFonts w:cs="Arial"/>
          <w:color w:val="000000"/>
          <w:sz w:val="22"/>
          <w:szCs w:val="22"/>
          <w:lang w:val="ru-RU"/>
        </w:rPr>
      </w:pPr>
      <w:r w:rsidRPr="0048435A">
        <w:rPr>
          <w:color w:val="000000"/>
          <w:sz w:val="22"/>
          <w:lang w:val="ru-RU"/>
        </w:rPr>
        <w:t>ОТЧЕТ О РИСКАХ В ДВУХЛЕТНИЙ ПЕРИОД</w:t>
      </w:r>
    </w:p>
    <w:p w:rsidR="0048435A" w:rsidRPr="0048435A" w:rsidRDefault="0048435A" w:rsidP="0048435A">
      <w:pPr>
        <w:keepNext/>
        <w:keepLines/>
        <w:rPr>
          <w:lang w:val="ru-RU"/>
        </w:rPr>
      </w:pPr>
    </w:p>
    <w:tbl>
      <w:tblPr>
        <w:tblW w:w="10128"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02"/>
        <w:gridCol w:w="2193"/>
        <w:gridCol w:w="2852"/>
        <w:gridCol w:w="2681"/>
      </w:tblGrid>
      <w:tr w:rsidR="0048435A" w:rsidRPr="00021359" w:rsidTr="00955E75">
        <w:trPr>
          <w:trHeight w:val="651"/>
        </w:trPr>
        <w:tc>
          <w:tcPr>
            <w:tcW w:w="2402" w:type="dxa"/>
            <w:tcBorders>
              <w:top w:val="single" w:sz="4" w:space="0" w:color="auto"/>
              <w:bottom w:val="single" w:sz="4" w:space="0" w:color="auto"/>
            </w:tcBorders>
            <w:shd w:val="clear" w:color="auto" w:fill="C6D9F1" w:themeFill="text2" w:themeFillTint="33"/>
            <w:vAlign w:val="center"/>
          </w:tcPr>
          <w:p w:rsidR="0048435A" w:rsidRPr="0048435A" w:rsidRDefault="0048435A" w:rsidP="00955E75">
            <w:pPr>
              <w:keepNext/>
              <w:keepLines/>
              <w:jc w:val="center"/>
              <w:rPr>
                <w:b/>
                <w:bCs/>
                <w:sz w:val="18"/>
                <w:szCs w:val="18"/>
                <w:lang w:val="ru-RU"/>
              </w:rPr>
            </w:pPr>
            <w:r w:rsidRPr="0048435A">
              <w:rPr>
                <w:b/>
                <w:sz w:val="18"/>
                <w:lang w:val="ru-RU"/>
              </w:rPr>
              <w:t>Риск (риски) того, что результаты программы не будут достигнуты</w:t>
            </w:r>
          </w:p>
        </w:tc>
        <w:tc>
          <w:tcPr>
            <w:tcW w:w="2193" w:type="dxa"/>
            <w:tcBorders>
              <w:top w:val="single" w:sz="4" w:space="0" w:color="auto"/>
              <w:bottom w:val="single" w:sz="4" w:space="0" w:color="auto"/>
            </w:tcBorders>
            <w:shd w:val="clear" w:color="auto" w:fill="C6D9F1" w:themeFill="text2" w:themeFillTint="33"/>
            <w:vAlign w:val="center"/>
          </w:tcPr>
          <w:p w:rsidR="0048435A" w:rsidRPr="0048435A" w:rsidRDefault="0048435A" w:rsidP="00955E75">
            <w:pPr>
              <w:keepNext/>
              <w:keepLines/>
              <w:jc w:val="center"/>
              <w:rPr>
                <w:b/>
                <w:bCs/>
                <w:sz w:val="18"/>
                <w:szCs w:val="18"/>
                <w:lang w:val="ru-RU"/>
              </w:rPr>
            </w:pPr>
            <w:r w:rsidRPr="0048435A">
              <w:rPr>
                <w:b/>
                <w:sz w:val="18"/>
                <w:lang w:val="ru-RU"/>
              </w:rPr>
              <w:t>Действующие или разрабатываемые планы по снижению рисков</w:t>
            </w:r>
          </w:p>
        </w:tc>
        <w:tc>
          <w:tcPr>
            <w:tcW w:w="2852" w:type="dxa"/>
            <w:tcBorders>
              <w:top w:val="single" w:sz="4" w:space="0" w:color="auto"/>
              <w:bottom w:val="single" w:sz="4" w:space="0" w:color="auto"/>
            </w:tcBorders>
            <w:shd w:val="clear" w:color="auto" w:fill="C6D9F1" w:themeFill="text2" w:themeFillTint="33"/>
          </w:tcPr>
          <w:p w:rsidR="0048435A" w:rsidRPr="0048435A" w:rsidRDefault="0048435A" w:rsidP="00955E75">
            <w:pPr>
              <w:keepNext/>
              <w:keepLines/>
              <w:jc w:val="center"/>
              <w:rPr>
                <w:b/>
                <w:bCs/>
                <w:sz w:val="18"/>
                <w:szCs w:val="18"/>
                <w:lang w:val="ru-RU"/>
              </w:rPr>
            </w:pPr>
            <w:r w:rsidRPr="0048435A">
              <w:rPr>
                <w:b/>
                <w:sz w:val="18"/>
                <w:lang w:val="ru-RU"/>
              </w:rPr>
              <w:t>Развитие риска (рисков) и стратегий его (их) снижения в двухлетний период</w:t>
            </w:r>
          </w:p>
        </w:tc>
        <w:tc>
          <w:tcPr>
            <w:tcW w:w="2681" w:type="dxa"/>
            <w:tcBorders>
              <w:top w:val="single" w:sz="4" w:space="0" w:color="auto"/>
              <w:bottom w:val="single" w:sz="4" w:space="0" w:color="auto"/>
            </w:tcBorders>
            <w:shd w:val="clear" w:color="auto" w:fill="C6D9F1" w:themeFill="text2" w:themeFillTint="33"/>
          </w:tcPr>
          <w:p w:rsidR="0048435A" w:rsidRPr="003C527B" w:rsidRDefault="0048435A" w:rsidP="00955E75">
            <w:pPr>
              <w:keepNext/>
              <w:keepLines/>
              <w:jc w:val="center"/>
              <w:rPr>
                <w:b/>
                <w:bCs/>
                <w:sz w:val="18"/>
                <w:szCs w:val="18"/>
              </w:rPr>
            </w:pPr>
            <w:r>
              <w:rPr>
                <w:b/>
                <w:sz w:val="18"/>
              </w:rPr>
              <w:t>Влияние на реализацию программы</w:t>
            </w:r>
          </w:p>
        </w:tc>
      </w:tr>
      <w:tr w:rsidR="0048435A" w:rsidRPr="005C6ABD" w:rsidTr="00955E75">
        <w:trPr>
          <w:trHeight w:val="459"/>
        </w:trPr>
        <w:tc>
          <w:tcPr>
            <w:tcW w:w="2402" w:type="dxa"/>
            <w:tcBorders>
              <w:top w:val="single" w:sz="4" w:space="0" w:color="auto"/>
            </w:tcBorders>
            <w:shd w:val="clear" w:color="auto" w:fill="auto"/>
            <w:tcMar>
              <w:top w:w="113" w:type="dxa"/>
              <w:bottom w:w="85" w:type="dxa"/>
            </w:tcMar>
          </w:tcPr>
          <w:p w:rsidR="0048435A" w:rsidRPr="0048435A" w:rsidRDefault="0048435A" w:rsidP="00955E75">
            <w:pPr>
              <w:rPr>
                <w:rFonts w:ascii="Tahoma" w:hAnsi="Tahoma" w:cs="Tahoma"/>
                <w:sz w:val="16"/>
                <w:szCs w:val="16"/>
                <w:lang w:val="ru-RU"/>
              </w:rPr>
            </w:pPr>
            <w:r w:rsidRPr="0048435A">
              <w:rPr>
                <w:sz w:val="16"/>
                <w:lang w:val="ru-RU"/>
              </w:rPr>
              <w:t>Продолжающийся глобальный экономический и финансовый кризис может привести к более низкому, чем планировалось, уровню доходов.  В сочетании с неспособностью оперативно принимать необходимые меры в целях сокращения расходов до надлежащего уровня это может привести к возникновению дефицита и негативно сказаться на реализации программы.</w:t>
            </w:r>
          </w:p>
        </w:tc>
        <w:tc>
          <w:tcPr>
            <w:tcW w:w="2193" w:type="dxa"/>
            <w:tcBorders>
              <w:top w:val="single" w:sz="4" w:space="0" w:color="auto"/>
            </w:tcBorders>
            <w:shd w:val="clear" w:color="auto" w:fill="auto"/>
            <w:tcMar>
              <w:top w:w="113" w:type="dxa"/>
              <w:bottom w:w="85" w:type="dxa"/>
            </w:tcMar>
          </w:tcPr>
          <w:p w:rsidR="0048435A" w:rsidRPr="0048435A" w:rsidRDefault="0048435A" w:rsidP="00955E75">
            <w:pPr>
              <w:autoSpaceDE w:val="0"/>
              <w:autoSpaceDN w:val="0"/>
              <w:adjustRightInd w:val="0"/>
              <w:ind w:right="-59"/>
              <w:rPr>
                <w:sz w:val="16"/>
                <w:szCs w:val="16"/>
                <w:lang w:val="ru-RU"/>
              </w:rPr>
            </w:pPr>
            <w:r w:rsidRPr="0048435A">
              <w:rPr>
                <w:sz w:val="16"/>
                <w:lang w:val="ru-RU"/>
              </w:rPr>
              <w:t>Организация поддерживает резервы на соответствующем уровне (около 18% от бюджета на двухлетний период), чтобы быть в состоянии справиться с возможным снижением доходов.</w:t>
            </w:r>
          </w:p>
          <w:p w:rsidR="0048435A" w:rsidRPr="0048435A" w:rsidRDefault="0048435A" w:rsidP="00955E75">
            <w:pPr>
              <w:autoSpaceDE w:val="0"/>
              <w:autoSpaceDN w:val="0"/>
              <w:adjustRightInd w:val="0"/>
              <w:ind w:right="-59"/>
              <w:rPr>
                <w:rFonts w:ascii="Tahoma" w:hAnsi="Tahoma" w:cs="Tahoma"/>
                <w:sz w:val="16"/>
                <w:szCs w:val="16"/>
                <w:lang w:val="ru-RU"/>
              </w:rPr>
            </w:pPr>
            <w:r w:rsidRPr="0048435A">
              <w:rPr>
                <w:sz w:val="16"/>
                <w:szCs w:val="16"/>
                <w:lang w:val="ru-RU"/>
              </w:rPr>
              <w:br/>
            </w:r>
            <w:r w:rsidRPr="0048435A">
              <w:rPr>
                <w:sz w:val="16"/>
                <w:lang w:val="ru-RU"/>
              </w:rPr>
              <w:t xml:space="preserve">Секретариат внимательно следит за расходами путем усиления мониторинга доходов и расходов, в т.ч. с привлечением Группы кризисного управления. </w:t>
            </w:r>
          </w:p>
        </w:tc>
        <w:tc>
          <w:tcPr>
            <w:tcW w:w="2852" w:type="dxa"/>
            <w:tcBorders>
              <w:top w:val="single" w:sz="4" w:space="0" w:color="auto"/>
            </w:tcBorders>
          </w:tcPr>
          <w:p w:rsidR="0048435A" w:rsidRPr="0048435A" w:rsidRDefault="0048435A" w:rsidP="00955E75">
            <w:pPr>
              <w:autoSpaceDE w:val="0"/>
              <w:autoSpaceDN w:val="0"/>
              <w:adjustRightInd w:val="0"/>
              <w:ind w:right="-59"/>
              <w:rPr>
                <w:sz w:val="16"/>
                <w:szCs w:val="16"/>
                <w:lang w:val="ru-RU"/>
              </w:rPr>
            </w:pPr>
            <w:r w:rsidRPr="0048435A">
              <w:rPr>
                <w:sz w:val="16"/>
                <w:lang w:val="ru-RU"/>
              </w:rPr>
              <w:t>В рассматриваемый двухлетний период уровень доходов был выше, чем ожидалось, а в отношении выявленных рисков продолжалось принятие соответствующих мер по их снижению.</w:t>
            </w: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r w:rsidRPr="0048435A">
              <w:rPr>
                <w:sz w:val="16"/>
                <w:lang w:val="ru-RU"/>
              </w:rPr>
              <w:t>Целевой уровень резервов был пересмотрен государствами-членами в рамках обзора политики ВОИС в отношении резервов, и этот уровень был повышен до 22% в целях более эффективного смягчения этого риска.</w:t>
            </w: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r w:rsidRPr="0048435A">
              <w:rPr>
                <w:sz w:val="16"/>
                <w:lang w:val="ru-RU"/>
              </w:rPr>
              <w:t>С помощью недавно созданной Группы управления рисками (ГУР) Организация продолжала тщательно следить за изменением уровня доходов и расходов.</w:t>
            </w: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r w:rsidRPr="0048435A">
              <w:rPr>
                <w:sz w:val="16"/>
                <w:lang w:val="ru-RU"/>
              </w:rPr>
              <w:t>15 января 2015 г. Национальный банк Швейцарии отменил фиксированный минимальный курс швейцарского франка к евро в размере 1,20 шв. франка за 1 евро и установил отрицательную процентную ставку для розничных покупателей.  Началось использование более эффективных процедур управления денежными средствами в целях минимизации влияния отрицательных процентных ставок на баланс наличности ВОИС.</w:t>
            </w:r>
          </w:p>
        </w:tc>
        <w:tc>
          <w:tcPr>
            <w:tcW w:w="2681" w:type="dxa"/>
            <w:tcBorders>
              <w:top w:val="single" w:sz="4" w:space="0" w:color="auto"/>
            </w:tcBorders>
          </w:tcPr>
          <w:p w:rsidR="0048435A" w:rsidRPr="0048435A" w:rsidRDefault="0048435A" w:rsidP="00955E75">
            <w:pPr>
              <w:autoSpaceDE w:val="0"/>
              <w:autoSpaceDN w:val="0"/>
              <w:adjustRightInd w:val="0"/>
              <w:ind w:right="-59"/>
              <w:rPr>
                <w:sz w:val="16"/>
                <w:szCs w:val="16"/>
                <w:lang w:val="ru-RU"/>
              </w:rPr>
            </w:pPr>
            <w:r w:rsidRPr="0048435A">
              <w:rPr>
                <w:sz w:val="16"/>
                <w:lang w:val="ru-RU"/>
              </w:rPr>
              <w:t>Этот риск и его развитие не оказали существенного влияния на реализацию программы в 2014–2015 гг.</w:t>
            </w: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p>
          <w:p w:rsidR="0048435A" w:rsidRPr="0048435A" w:rsidRDefault="0048435A" w:rsidP="00955E75">
            <w:pPr>
              <w:autoSpaceDE w:val="0"/>
              <w:autoSpaceDN w:val="0"/>
              <w:adjustRightInd w:val="0"/>
              <w:ind w:right="-59"/>
              <w:rPr>
                <w:sz w:val="16"/>
                <w:szCs w:val="16"/>
                <w:lang w:val="ru-RU"/>
              </w:rPr>
            </w:pPr>
            <w:r w:rsidRPr="0048435A">
              <w:rPr>
                <w:sz w:val="16"/>
                <w:lang w:val="ru-RU"/>
              </w:rPr>
              <w:t>Отмена фиксированного курса в целом оказала негативное влияния на эквивалент дохода в швейцарских франках, изначально получаемого в евро, а также означала существенное сокращение возможностей для получения процента с избытка денежных средств.</w:t>
            </w:r>
          </w:p>
        </w:tc>
      </w:tr>
    </w:tbl>
    <w:p w:rsidR="0048435A" w:rsidRPr="0048435A" w:rsidRDefault="0048435A" w:rsidP="0048435A">
      <w:pPr>
        <w:rPr>
          <w:rFonts w:cs="Arial"/>
          <w:color w:val="000000"/>
          <w:szCs w:val="22"/>
          <w:lang w:val="ru-RU"/>
        </w:rPr>
      </w:pPr>
    </w:p>
    <w:p w:rsidR="0048435A" w:rsidRPr="0048435A" w:rsidRDefault="0048435A" w:rsidP="0048435A">
      <w:pPr>
        <w:rPr>
          <w:rFonts w:cs="Arial"/>
          <w:color w:val="000000"/>
          <w:szCs w:val="22"/>
          <w:lang w:val="ru-RU"/>
        </w:rPr>
      </w:pPr>
    </w:p>
    <w:p w:rsidR="008320CF" w:rsidRDefault="008320CF">
      <w:pPr>
        <w:rPr>
          <w:color w:val="000000"/>
          <w:lang w:val="ru-RU"/>
        </w:rPr>
      </w:pPr>
      <w:r>
        <w:rPr>
          <w:color w:val="000000"/>
          <w:lang w:val="ru-RU"/>
        </w:rPr>
        <w:br w:type="page"/>
      </w:r>
    </w:p>
    <w:p w:rsidR="0048435A" w:rsidRPr="0048435A" w:rsidRDefault="0048435A" w:rsidP="0048435A">
      <w:pPr>
        <w:rPr>
          <w:b/>
          <w:sz w:val="16"/>
          <w:szCs w:val="18"/>
          <w:lang w:val="ru-RU"/>
        </w:rPr>
      </w:pPr>
      <w:r w:rsidRPr="0048435A">
        <w:rPr>
          <w:color w:val="000000"/>
          <w:lang w:val="ru-RU"/>
        </w:rPr>
        <w:t>ИСПОЛЬЗОВАНИЕ РЕСУРСОВ</w:t>
      </w:r>
      <w:r w:rsidRPr="0048435A">
        <w:rPr>
          <w:lang w:val="ru-RU"/>
        </w:rPr>
        <w:tab/>
      </w:r>
    </w:p>
    <w:p w:rsidR="0048435A" w:rsidRPr="0048435A" w:rsidRDefault="0048435A" w:rsidP="0048435A">
      <w:pPr>
        <w:rPr>
          <w:sz w:val="18"/>
          <w:szCs w:val="20"/>
          <w:lang w:val="ru-RU"/>
        </w:rPr>
      </w:pPr>
    </w:p>
    <w:p w:rsidR="0048435A" w:rsidRPr="0048435A" w:rsidRDefault="0048435A" w:rsidP="0048435A">
      <w:pPr>
        <w:pStyle w:val="NormalWeb"/>
        <w:spacing w:before="0" w:beforeAutospacing="0" w:after="0" w:afterAutospacing="0"/>
        <w:jc w:val="center"/>
        <w:rPr>
          <w:color w:val="000000"/>
          <w:sz w:val="20"/>
          <w:szCs w:val="20"/>
          <w:lang w:val="ru-RU"/>
        </w:rPr>
      </w:pPr>
    </w:p>
    <w:p w:rsidR="0048435A" w:rsidRPr="0048435A" w:rsidRDefault="0048435A" w:rsidP="0048435A">
      <w:pPr>
        <w:pStyle w:val="NormalWeb"/>
        <w:spacing w:before="0" w:beforeAutospacing="0" w:after="0" w:afterAutospacing="0"/>
        <w:jc w:val="center"/>
        <w:rPr>
          <w:sz w:val="20"/>
          <w:szCs w:val="20"/>
          <w:lang w:val="ru-RU"/>
        </w:rPr>
      </w:pPr>
      <w:r w:rsidRPr="0048435A">
        <w:rPr>
          <w:color w:val="000000"/>
          <w:sz w:val="20"/>
          <w:lang w:val="ru-RU"/>
        </w:rPr>
        <w:t xml:space="preserve">Бюджет и фактические расходы (в разбивке по результатам) </w:t>
      </w:r>
    </w:p>
    <w:p w:rsidR="0048435A" w:rsidRDefault="0048435A" w:rsidP="0048435A">
      <w:pPr>
        <w:pStyle w:val="NormalWeb"/>
        <w:spacing w:before="0" w:beforeAutospacing="0" w:after="0" w:afterAutospacing="0"/>
        <w:jc w:val="center"/>
        <w:rPr>
          <w:i/>
          <w:iCs/>
          <w:color w:val="000000"/>
          <w:sz w:val="20"/>
          <w:szCs w:val="20"/>
        </w:rPr>
      </w:pPr>
      <w:r>
        <w:rPr>
          <w:i/>
          <w:color w:val="000000"/>
          <w:sz w:val="20"/>
        </w:rPr>
        <w:t>(в тыс. шв. франков)</w:t>
      </w:r>
    </w:p>
    <w:p w:rsidR="0048435A" w:rsidRPr="00D72E68" w:rsidRDefault="0048435A" w:rsidP="0048435A">
      <w:pPr>
        <w:pStyle w:val="NormalWeb"/>
        <w:spacing w:before="0" w:beforeAutospacing="0" w:after="0" w:afterAutospacing="0"/>
        <w:jc w:val="center"/>
        <w:rPr>
          <w:sz w:val="16"/>
          <w:szCs w:val="20"/>
        </w:rPr>
      </w:pPr>
    </w:p>
    <w:p w:rsidR="0048435A" w:rsidRDefault="0048435A" w:rsidP="0048435A">
      <w:pPr>
        <w:jc w:val="center"/>
      </w:pPr>
      <w:r>
        <w:rPr>
          <w:noProof/>
        </w:rPr>
        <w:drawing>
          <wp:inline distT="0" distB="0" distL="0" distR="0" wp14:anchorId="64C99F7C" wp14:editId="25F84BE3">
            <wp:extent cx="6151880" cy="3661165"/>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6151880" cy="3661165"/>
                    </a:xfrm>
                    <a:prstGeom prst="rect">
                      <a:avLst/>
                    </a:prstGeom>
                    <a:noFill/>
                    <a:ln>
                      <a:noFill/>
                    </a:ln>
                  </pic:spPr>
                </pic:pic>
              </a:graphicData>
            </a:graphic>
          </wp:inline>
        </w:drawing>
      </w:r>
    </w:p>
    <w:p w:rsidR="0048435A" w:rsidRPr="008111DF" w:rsidRDefault="0048435A" w:rsidP="0048435A">
      <w:pPr>
        <w:keepNext/>
        <w:keepLines/>
        <w:jc w:val="center"/>
        <w:rPr>
          <w:szCs w:val="20"/>
        </w:rPr>
      </w:pPr>
    </w:p>
    <w:p w:rsidR="0048435A" w:rsidRPr="008111DF" w:rsidRDefault="0048435A" w:rsidP="0048435A">
      <w:pPr>
        <w:keepNext/>
        <w:keepLines/>
        <w:rPr>
          <w:szCs w:val="20"/>
        </w:rPr>
      </w:pPr>
    </w:p>
    <w:p w:rsidR="0048435A" w:rsidRPr="0048435A" w:rsidRDefault="0048435A" w:rsidP="0048435A">
      <w:pPr>
        <w:pStyle w:val="NormalWeb"/>
        <w:keepNext/>
        <w:keepLines/>
        <w:spacing w:before="0" w:beforeAutospacing="0" w:after="0" w:afterAutospacing="0"/>
        <w:jc w:val="center"/>
        <w:rPr>
          <w:sz w:val="20"/>
          <w:szCs w:val="20"/>
          <w:lang w:val="ru-RU"/>
        </w:rPr>
      </w:pPr>
      <w:r w:rsidRPr="0048435A">
        <w:rPr>
          <w:color w:val="000000"/>
          <w:sz w:val="20"/>
          <w:lang w:val="ru-RU"/>
        </w:rPr>
        <w:t xml:space="preserve">Бюджет и фактические расходы (по персоналу и не связанные с персоналом) </w:t>
      </w:r>
    </w:p>
    <w:p w:rsidR="0048435A" w:rsidRPr="008111DF" w:rsidRDefault="0048435A" w:rsidP="0048435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48435A" w:rsidRPr="008111DF" w:rsidRDefault="0048435A" w:rsidP="0048435A">
      <w:pPr>
        <w:pStyle w:val="NormalWeb"/>
        <w:keepNext/>
        <w:keepLines/>
        <w:spacing w:before="0" w:beforeAutospacing="0" w:after="0" w:afterAutospacing="0"/>
        <w:jc w:val="center"/>
        <w:rPr>
          <w:i/>
          <w:iCs/>
          <w:color w:val="000000"/>
          <w:sz w:val="20"/>
          <w:szCs w:val="20"/>
        </w:rPr>
      </w:pPr>
    </w:p>
    <w:p w:rsidR="0048435A" w:rsidRDefault="0048435A" w:rsidP="0048435A">
      <w:pPr>
        <w:pStyle w:val="NormalWeb"/>
        <w:keepNext/>
        <w:keepLines/>
        <w:spacing w:before="0" w:beforeAutospacing="0" w:after="0" w:afterAutospacing="0"/>
        <w:jc w:val="center"/>
      </w:pPr>
      <w:r>
        <w:rPr>
          <w:noProof/>
        </w:rPr>
        <w:drawing>
          <wp:inline distT="0" distB="0" distL="0" distR="0" wp14:anchorId="41841643" wp14:editId="0356D72B">
            <wp:extent cx="5408498" cy="1157488"/>
            <wp:effectExtent l="0" t="0" r="1905" b="50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5417266" cy="1159365"/>
                    </a:xfrm>
                    <a:prstGeom prst="rect">
                      <a:avLst/>
                    </a:prstGeom>
                    <a:noFill/>
                    <a:ln>
                      <a:noFill/>
                    </a:ln>
                  </pic:spPr>
                </pic:pic>
              </a:graphicData>
            </a:graphic>
          </wp:inline>
        </w:drawing>
      </w:r>
    </w:p>
    <w:p w:rsidR="0048435A" w:rsidRDefault="0048435A" w:rsidP="0048435A">
      <w:pPr>
        <w:widowControl w:val="0"/>
        <w:autoSpaceDE w:val="0"/>
        <w:autoSpaceDN w:val="0"/>
        <w:adjustRightInd w:val="0"/>
        <w:rPr>
          <w:rFonts w:cs="Arial"/>
          <w:szCs w:val="20"/>
        </w:rPr>
      </w:pPr>
    </w:p>
    <w:p w:rsidR="0048435A" w:rsidRPr="001C6F4D" w:rsidRDefault="0048435A" w:rsidP="0048435A">
      <w:pPr>
        <w:widowControl w:val="0"/>
        <w:autoSpaceDE w:val="0"/>
        <w:autoSpaceDN w:val="0"/>
        <w:adjustRightInd w:val="0"/>
        <w:rPr>
          <w:rFonts w:cs="Arial"/>
          <w:szCs w:val="20"/>
        </w:rPr>
      </w:pPr>
    </w:p>
    <w:p w:rsidR="0048435A" w:rsidRPr="0048435A" w:rsidRDefault="0048435A" w:rsidP="0048435A">
      <w:pPr>
        <w:keepNext/>
        <w:keepLines/>
        <w:rPr>
          <w:rFonts w:cs="Arial"/>
          <w:u w:val="single"/>
          <w:lang w:val="ru-RU"/>
        </w:rPr>
      </w:pPr>
      <w:r>
        <w:t>A</w:t>
      </w:r>
      <w:r w:rsidRPr="0048435A">
        <w:rPr>
          <w:lang w:val="ru-RU"/>
        </w:rPr>
        <w:t>.</w:t>
      </w:r>
      <w:r w:rsidRPr="0048435A">
        <w:rPr>
          <w:lang w:val="ru-RU"/>
        </w:rPr>
        <w:tab/>
      </w:r>
      <w:r w:rsidRPr="0048435A">
        <w:rPr>
          <w:u w:val="single"/>
          <w:lang w:val="ru-RU"/>
        </w:rPr>
        <w:t xml:space="preserve">Итоговый бюджет на 2014–2015 гг. после перераспределения средств </w:t>
      </w:r>
    </w:p>
    <w:p w:rsidR="0048435A" w:rsidRPr="0048435A" w:rsidRDefault="0048435A" w:rsidP="0048435A">
      <w:pPr>
        <w:keepNext/>
        <w:keepLines/>
        <w:rPr>
          <w:rFonts w:cs="Arial"/>
          <w:u w:val="single"/>
          <w:lang w:val="ru-RU"/>
        </w:rPr>
      </w:pPr>
    </w:p>
    <w:p w:rsidR="0048435A" w:rsidRPr="0048435A" w:rsidRDefault="0048435A" w:rsidP="0048435A">
      <w:pPr>
        <w:pStyle w:val="ListParagraph"/>
        <w:numPr>
          <w:ilvl w:val="0"/>
          <w:numId w:val="44"/>
        </w:numPr>
        <w:tabs>
          <w:tab w:val="left" w:pos="709"/>
        </w:tabs>
        <w:ind w:left="0" w:firstLine="0"/>
        <w:jc w:val="both"/>
        <w:rPr>
          <w:rFonts w:cs="Arial"/>
          <w:lang w:val="ru-RU"/>
        </w:rPr>
      </w:pPr>
      <w:r w:rsidRPr="0048435A">
        <w:rPr>
          <w:lang w:val="ru-RU"/>
        </w:rPr>
        <w:t>Общий рост объема ресурсов, связанных с персоналом, в итоговом бюджете на 2014–2015</w:t>
      </w:r>
      <w:r>
        <w:t> </w:t>
      </w:r>
      <w:r w:rsidRPr="0048435A">
        <w:rPr>
          <w:lang w:val="ru-RU"/>
        </w:rPr>
        <w:t>гг. после перераспределения средств является результатом текущего перевода в постоянный штат сотрудников, выполняющих постоянные функции, и перевода в программу одной временной должности (функция управления активами).</w:t>
      </w:r>
    </w:p>
    <w:p w:rsidR="0048435A" w:rsidRPr="0048435A" w:rsidRDefault="0048435A" w:rsidP="0048435A">
      <w:pPr>
        <w:jc w:val="both"/>
        <w:rPr>
          <w:rFonts w:cs="Arial"/>
          <w:szCs w:val="20"/>
          <w:lang w:val="ru-RU"/>
        </w:rPr>
      </w:pPr>
    </w:p>
    <w:p w:rsidR="0048435A" w:rsidRPr="0048435A" w:rsidRDefault="0048435A" w:rsidP="0048435A">
      <w:pPr>
        <w:pStyle w:val="ListParagraph"/>
        <w:numPr>
          <w:ilvl w:val="0"/>
          <w:numId w:val="44"/>
        </w:numPr>
        <w:tabs>
          <w:tab w:val="left" w:pos="709"/>
        </w:tabs>
        <w:ind w:left="0" w:firstLine="0"/>
        <w:jc w:val="both"/>
        <w:rPr>
          <w:rFonts w:cs="Arial"/>
          <w:u w:val="single"/>
          <w:lang w:val="ru-RU"/>
        </w:rPr>
      </w:pPr>
      <w:r w:rsidRPr="0048435A">
        <w:rPr>
          <w:lang w:val="ru-RU"/>
        </w:rPr>
        <w:t>Перераспределение средств между позициями ожидаемых результатов главным образом объясняется тем, что в утвержденном бюджете на 2014–2015</w:t>
      </w:r>
      <w:r>
        <w:t> </w:t>
      </w:r>
      <w:r w:rsidRPr="0048435A">
        <w:rPr>
          <w:lang w:val="ru-RU"/>
        </w:rPr>
        <w:t xml:space="preserve">гг. средства, выделенные на внедрение новых модулей и функциональных возможностей системы ПОР, увязывались с ожидаемым результатом </w:t>
      </w:r>
      <w:r>
        <w:t>IX</w:t>
      </w:r>
      <w:r w:rsidRPr="0048435A">
        <w:rPr>
          <w:lang w:val="ru-RU"/>
        </w:rPr>
        <w:t>.2 (динамичный и слаженно функционирующий Секретариат).  Но поскольку эти мероприятия преимущественно связаны с обслуживанием, в бюджете на 2014–2015</w:t>
      </w:r>
      <w:r>
        <w:t> </w:t>
      </w:r>
      <w:r w:rsidRPr="0048435A">
        <w:rPr>
          <w:lang w:val="ru-RU"/>
        </w:rPr>
        <w:t xml:space="preserve">гг. после перераспределения средств они более точно отражены в графе ожидаемого результата </w:t>
      </w:r>
      <w:r>
        <w:t>IX</w:t>
      </w:r>
      <w:r w:rsidRPr="0048435A">
        <w:rPr>
          <w:lang w:val="ru-RU"/>
        </w:rPr>
        <w:t xml:space="preserve">.1 (эффективные, действенные, качественные и ориентированные на пользователя вспомогательные услуги).  Рост по ожидаемому результату </w:t>
      </w:r>
      <w:r>
        <w:t>IX</w:t>
      </w:r>
      <w:r w:rsidRPr="0048435A">
        <w:rPr>
          <w:lang w:val="ru-RU"/>
        </w:rPr>
        <w:t>.8 (возросшая подотчетность, внутренний контроль и корпоративное управление) в основном вызван расширением поддержки, оказываемой по линии программы работе внешних аудиторов.</w:t>
      </w:r>
    </w:p>
    <w:p w:rsidR="0048435A" w:rsidRPr="0048435A" w:rsidRDefault="0048435A" w:rsidP="0048435A">
      <w:pPr>
        <w:autoSpaceDE w:val="0"/>
        <w:autoSpaceDN w:val="0"/>
        <w:jc w:val="both"/>
        <w:rPr>
          <w:rFonts w:cs="Arial"/>
          <w:szCs w:val="20"/>
          <w:lang w:val="ru-RU"/>
        </w:rPr>
      </w:pPr>
    </w:p>
    <w:p w:rsidR="0048435A" w:rsidRPr="0048435A" w:rsidRDefault="0048435A" w:rsidP="0048435A">
      <w:pPr>
        <w:jc w:val="both"/>
        <w:rPr>
          <w:rFonts w:cs="Arial"/>
          <w:szCs w:val="20"/>
          <w:u w:val="single"/>
          <w:lang w:val="ru-RU"/>
        </w:rPr>
      </w:pPr>
      <w:r>
        <w:t>B</w:t>
      </w:r>
      <w:r w:rsidRPr="0048435A">
        <w:rPr>
          <w:lang w:val="ru-RU"/>
        </w:rPr>
        <w:t>.</w:t>
      </w:r>
      <w:r w:rsidRPr="0048435A">
        <w:rPr>
          <w:lang w:val="ru-RU"/>
        </w:rPr>
        <w:tab/>
      </w:r>
      <w:r w:rsidRPr="0048435A">
        <w:rPr>
          <w:u w:val="single"/>
          <w:lang w:val="ru-RU"/>
        </w:rPr>
        <w:t xml:space="preserve">Освоение бюджетных средств в 2014–2015 гг. </w:t>
      </w:r>
    </w:p>
    <w:p w:rsidR="0048435A" w:rsidRPr="0048435A" w:rsidRDefault="0048435A" w:rsidP="0048435A">
      <w:pPr>
        <w:jc w:val="both"/>
        <w:rPr>
          <w:lang w:val="ru-RU"/>
        </w:rPr>
      </w:pPr>
    </w:p>
    <w:p w:rsidR="0048435A" w:rsidRPr="0048435A" w:rsidRDefault="0048435A" w:rsidP="0048435A">
      <w:pPr>
        <w:pStyle w:val="ListParagraph"/>
        <w:numPr>
          <w:ilvl w:val="0"/>
          <w:numId w:val="44"/>
        </w:numPr>
        <w:tabs>
          <w:tab w:val="left" w:pos="709"/>
        </w:tabs>
        <w:ind w:left="0" w:firstLine="0"/>
        <w:jc w:val="both"/>
        <w:rPr>
          <w:lang w:val="ru-RU"/>
        </w:rPr>
      </w:pPr>
      <w:r w:rsidRPr="0048435A">
        <w:rPr>
          <w:lang w:val="ru-RU"/>
        </w:rPr>
        <w:t>Уровень освоения бюджетных средств находится в пределах, предусмотренных для рассматриваемого двухлетнего периода.</w:t>
      </w:r>
    </w:p>
    <w:p w:rsidR="001346E3" w:rsidRPr="0048435A" w:rsidRDefault="001346E3" w:rsidP="000E148D">
      <w:pPr>
        <w:rPr>
          <w:szCs w:val="20"/>
          <w:lang w:val="ru-RU"/>
        </w:rPr>
      </w:pPr>
    </w:p>
    <w:p w:rsidR="00D97F1C" w:rsidRPr="0048435A" w:rsidRDefault="00D97F1C">
      <w:pPr>
        <w:rPr>
          <w:lang w:val="ru-RU"/>
        </w:rPr>
      </w:pPr>
      <w:r w:rsidRPr="0048435A">
        <w:rPr>
          <w:lang w:val="ru-RU"/>
        </w:rPr>
        <w:br w:type="page"/>
      </w:r>
    </w:p>
    <w:p w:rsidR="00FA0032" w:rsidRPr="00FA0032" w:rsidRDefault="00FA0032" w:rsidP="00FA0032">
      <w:pPr>
        <w:pStyle w:val="Heading2"/>
        <w:tabs>
          <w:tab w:val="clear" w:pos="567"/>
          <w:tab w:val="left" w:pos="1985"/>
        </w:tabs>
        <w:ind w:left="0" w:firstLine="0"/>
        <w:jc w:val="both"/>
        <w:rPr>
          <w:szCs w:val="20"/>
          <w:lang w:val="ru-RU"/>
        </w:rPr>
      </w:pPr>
      <w:bookmarkStart w:id="124" w:name="_Toc422210512"/>
      <w:bookmarkStart w:id="125" w:name="_Toc455388135"/>
      <w:r w:rsidRPr="00FA0032">
        <w:rPr>
          <w:lang w:val="ru-RU"/>
        </w:rPr>
        <w:t>ПРОГРАММА</w:t>
      </w:r>
      <w:r>
        <w:t> </w:t>
      </w:r>
      <w:r w:rsidRPr="00FA0032">
        <w:rPr>
          <w:lang w:val="ru-RU"/>
        </w:rPr>
        <w:t>23</w:t>
      </w:r>
      <w:r w:rsidRPr="00FA0032">
        <w:rPr>
          <w:lang w:val="ru-RU"/>
        </w:rPr>
        <w:tab/>
      </w:r>
      <w:r w:rsidRPr="00FA0032">
        <w:rPr>
          <w:lang w:val="ru-RU"/>
        </w:rPr>
        <w:tab/>
        <w:t>УПРАВЛЕНИЕ ЛЮДСКИМИ РЕСУРСАМИ И ИХ РАЗВИТИЕ</w:t>
      </w:r>
      <w:bookmarkEnd w:id="124"/>
      <w:bookmarkEnd w:id="125"/>
    </w:p>
    <w:p w:rsidR="00FA0032" w:rsidRPr="00FA0032" w:rsidRDefault="00FA0032" w:rsidP="00FA0032">
      <w:pPr>
        <w:tabs>
          <w:tab w:val="left" w:pos="1985"/>
        </w:tabs>
        <w:jc w:val="both"/>
        <w:rPr>
          <w:rFonts w:cs="Arial"/>
          <w:sz w:val="22"/>
          <w:szCs w:val="20"/>
          <w:lang w:val="ru-RU"/>
        </w:rPr>
      </w:pPr>
    </w:p>
    <w:p w:rsidR="00FA0032" w:rsidRPr="00FA0032" w:rsidRDefault="00FA0032" w:rsidP="00FA0032">
      <w:pPr>
        <w:tabs>
          <w:tab w:val="left" w:pos="1985"/>
        </w:tabs>
        <w:jc w:val="both"/>
        <w:rPr>
          <w:rFonts w:cs="Arial"/>
          <w:b/>
          <w:szCs w:val="20"/>
          <w:lang w:val="ru-RU"/>
        </w:rPr>
      </w:pPr>
      <w:r w:rsidRPr="00FA0032">
        <w:rPr>
          <w:b/>
          <w:lang w:val="ru-RU"/>
        </w:rPr>
        <w:t>Руководитель программы:</w:t>
      </w:r>
      <w:r w:rsidRPr="00FA0032">
        <w:rPr>
          <w:lang w:val="ru-RU"/>
        </w:rPr>
        <w:tab/>
      </w:r>
      <w:r w:rsidRPr="00FA0032">
        <w:rPr>
          <w:b/>
          <w:lang w:val="ru-RU"/>
        </w:rPr>
        <w:t>Генеральный директор</w:t>
      </w:r>
    </w:p>
    <w:p w:rsidR="00FA0032" w:rsidRPr="00FA0032" w:rsidRDefault="00FA0032" w:rsidP="00FA0032">
      <w:pPr>
        <w:jc w:val="both"/>
        <w:rPr>
          <w:rFonts w:cs="Arial"/>
          <w:szCs w:val="20"/>
          <w:lang w:val="ru-RU"/>
        </w:rPr>
      </w:pPr>
    </w:p>
    <w:p w:rsidR="00FA0032" w:rsidRPr="00FA0032" w:rsidRDefault="00FA0032" w:rsidP="00FA0032">
      <w:pPr>
        <w:jc w:val="both"/>
        <w:rPr>
          <w:rFonts w:cs="Arial"/>
          <w:bCs/>
          <w:szCs w:val="20"/>
          <w:lang w:val="ru-RU"/>
        </w:rPr>
      </w:pPr>
      <w:r w:rsidRPr="00FA0032">
        <w:rPr>
          <w:lang w:val="ru-RU"/>
        </w:rPr>
        <w:t>ОБЗОР ДОСТИЖЕНИЙ ЗА ДВУХЛЕТНИЙ ПЕРИОД 2014–2015 ГГ.</w:t>
      </w:r>
    </w:p>
    <w:p w:rsidR="00FA0032" w:rsidRPr="00FA0032" w:rsidRDefault="00FA0032" w:rsidP="00FA0032">
      <w:pPr>
        <w:jc w:val="both"/>
        <w:rPr>
          <w:rFonts w:cs="Arial"/>
          <w:szCs w:val="22"/>
          <w:lang w:val="ru-RU"/>
        </w:rPr>
      </w:pPr>
    </w:p>
    <w:p w:rsidR="00FA0032" w:rsidRPr="00FA0032" w:rsidRDefault="00FA0032" w:rsidP="00FA0032">
      <w:pPr>
        <w:jc w:val="both"/>
        <w:rPr>
          <w:rFonts w:cs="Arial"/>
          <w:szCs w:val="20"/>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Период 2014–2015 годов стал первым двухлетним периодом осуществления утвержденной государствами-членами в 2013</w:t>
      </w:r>
      <w:r>
        <w:t> </w:t>
      </w:r>
      <w:r w:rsidRPr="00FA0032">
        <w:rPr>
          <w:lang w:val="ru-RU"/>
        </w:rPr>
        <w:t>г. Стратегии в области людских ресурсов (ЛР).  В основном в рамках программы, как и раньше, осуществлялась текущая деятельность, однако продолжалось и взаимодействие с сотрудниками и руководителями, направленное на обеспечение эффективного и действенного достижения результатов.</w:t>
      </w:r>
    </w:p>
    <w:p w:rsidR="00FA0032" w:rsidRPr="00FA0032" w:rsidRDefault="00FA0032" w:rsidP="00FA0032">
      <w:pPr>
        <w:jc w:val="both"/>
        <w:rPr>
          <w:rFonts w:cs="Arial"/>
          <w:szCs w:val="20"/>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В 2014–2015 гг. активизировались усилия по повышению географического и гендерного разнообразия кадрового состава.  С 1</w:t>
      </w:r>
      <w:r>
        <w:t> </w:t>
      </w:r>
      <w:r w:rsidRPr="00FA0032">
        <w:rPr>
          <w:lang w:val="ru-RU"/>
        </w:rPr>
        <w:t>ноября 2014</w:t>
      </w:r>
      <w:r>
        <w:t> </w:t>
      </w:r>
      <w:r w:rsidRPr="00FA0032">
        <w:rPr>
          <w:lang w:val="ru-RU"/>
        </w:rPr>
        <w:t xml:space="preserve">г. начали действовать изменения к Положениям и правилам о персонале (ППП), согласно которым комиссия по назначениям должна составлять список рекомендуемых кандидатов с обоснованием своих рекомендаций, а не ограничиваться указанием имен приоритетных кандидатов, что позволит Генеральному директору заполнять должности по своему выбору, с тем чтобы сгладить гендерный и географический дисбаланс.  Государствам-членам было рекомендовано участвовать в этой деятельности, а внешним бюро ВОИС было настоятельно рекомендовано распространять информацию о ВОИС как о «предпочтительном работодателе». С этой целью во время проведения Ассамблей 2014 г. был подготовлен информационный стенд и была организована информационная сессия.  В целях повышения разнообразия был подготовлен отдельный реестр квалифицированных, прошедших предварительный отбор кандидатов из непредставленных государств-членов для заполнения должностей на основе временных и срочных контрактов.  Кроме того, ВОИС продолжала активизировать свою информационно-просветительскую деятельность путем проведения кампаний и использования социальных сетей (например, </w:t>
      </w:r>
      <w:r>
        <w:t>LinkedIn</w:t>
      </w:r>
      <w:r w:rsidRPr="00FA0032">
        <w:rPr>
          <w:lang w:val="ru-RU"/>
        </w:rPr>
        <w:t>).  Кроме того, осуществлялись и другие инициативы:  (</w:t>
      </w:r>
      <w:r>
        <w:t>i</w:t>
      </w:r>
      <w:r w:rsidRPr="00FA0032">
        <w:rPr>
          <w:lang w:val="ru-RU"/>
        </w:rPr>
        <w:t>)</w:t>
      </w:r>
      <w:r>
        <w:t> </w:t>
      </w:r>
      <w:r w:rsidRPr="00FA0032">
        <w:rPr>
          <w:lang w:val="ru-RU"/>
        </w:rPr>
        <w:t>разработка сайта с объявлениями о вакансиях в ВОИС</w:t>
      </w:r>
      <w:r>
        <w:rPr>
          <w:rStyle w:val="FootnoteReference"/>
        </w:rPr>
        <w:footnoteReference w:id="128"/>
      </w:r>
      <w:r w:rsidRPr="00FA0032">
        <w:rPr>
          <w:lang w:val="ru-RU"/>
        </w:rPr>
        <w:t>; (</w:t>
      </w:r>
      <w:r>
        <w:t>ii</w:t>
      </w:r>
      <w:r w:rsidRPr="00FA0032">
        <w:rPr>
          <w:lang w:val="ru-RU"/>
        </w:rPr>
        <w:t>)</w:t>
      </w:r>
      <w:r>
        <w:t> </w:t>
      </w:r>
      <w:r w:rsidRPr="00FA0032">
        <w:rPr>
          <w:lang w:val="ru-RU"/>
        </w:rPr>
        <w:t>разработка более удобных инструментов, которые используются при приеме на работу; (</w:t>
      </w:r>
      <w:r>
        <w:t>iii</w:t>
      </w:r>
      <w:r w:rsidRPr="00FA0032">
        <w:rPr>
          <w:lang w:val="ru-RU"/>
        </w:rPr>
        <w:t>)</w:t>
      </w:r>
      <w:r>
        <w:t> </w:t>
      </w:r>
      <w:r w:rsidRPr="00FA0032">
        <w:rPr>
          <w:lang w:val="ru-RU"/>
        </w:rPr>
        <w:t>определение координаторов в национальных ведомствах ИС и внедрение национальных стратегических платформ в целях адресного информирования о вакансиях ВОИС; (</w:t>
      </w:r>
      <w:r>
        <w:t>iv</w:t>
      </w:r>
      <w:r w:rsidRPr="00FA0032">
        <w:rPr>
          <w:lang w:val="ru-RU"/>
        </w:rPr>
        <w:t>)</w:t>
      </w:r>
      <w:r>
        <w:t> </w:t>
      </w:r>
      <w:r w:rsidRPr="00FA0032">
        <w:rPr>
          <w:lang w:val="ru-RU"/>
        </w:rPr>
        <w:t>создание списков рассылки для кандидатов из непредставленных или недопредставленных государств-членов.  Вследствие активизации этих усилий в конце 2015 года доля работников из Западной Европы снизилась и составила менее половины от общего числа сотрудников категории специалистов и выше, тогда как доля граждан других государств, в частности из Азиатско-Тихоокеанского региона, Восточной и Центральной Европы, Центральной Азии и Северной Америки, увеличилась.</w:t>
      </w:r>
    </w:p>
    <w:p w:rsidR="00FA0032" w:rsidRPr="00FA0032" w:rsidRDefault="00FA0032" w:rsidP="00FA0032">
      <w:pPr>
        <w:pStyle w:val="ListParagraph"/>
        <w:tabs>
          <w:tab w:val="left" w:pos="709"/>
        </w:tabs>
        <w:ind w:left="0"/>
        <w:jc w:val="both"/>
        <w:rPr>
          <w:rFonts w:cs="Arial"/>
          <w:lang w:val="ru-RU"/>
        </w:rPr>
      </w:pPr>
    </w:p>
    <w:p w:rsidR="00FA0032" w:rsidRPr="00FA0032" w:rsidRDefault="00FA0032" w:rsidP="00FA0032">
      <w:pPr>
        <w:pStyle w:val="Caption"/>
        <w:keepNext/>
        <w:jc w:val="center"/>
        <w:rPr>
          <w:b w:val="0"/>
          <w:i/>
          <w:sz w:val="16"/>
          <w:szCs w:val="16"/>
          <w:lang w:val="ru-RU"/>
        </w:rPr>
      </w:pPr>
      <w:r w:rsidRPr="00FA0032">
        <w:rPr>
          <w:b w:val="0"/>
          <w:i/>
          <w:sz w:val="16"/>
          <w:lang w:val="ru-RU"/>
        </w:rPr>
        <w:t>Доля сотрудников категории специалистов и выше по регионам, 2012–2015 гг.</w:t>
      </w:r>
    </w:p>
    <w:p w:rsidR="00FA0032" w:rsidRDefault="00FA0032" w:rsidP="00FA0032">
      <w:pPr>
        <w:pStyle w:val="Default"/>
        <w:tabs>
          <w:tab w:val="left" w:pos="709"/>
        </w:tabs>
        <w:jc w:val="center"/>
        <w:rPr>
          <w:color w:val="auto"/>
          <w:szCs w:val="20"/>
        </w:rPr>
      </w:pPr>
      <w:r>
        <w:rPr>
          <w:noProof/>
          <w:color w:val="auto"/>
          <w:szCs w:val="20"/>
          <w:lang w:eastAsia="en-US"/>
        </w:rPr>
        <w:drawing>
          <wp:inline distT="0" distB="0" distL="0" distR="0" wp14:anchorId="35894365" wp14:editId="6DEB4B10">
            <wp:extent cx="4051300" cy="1916576"/>
            <wp:effectExtent l="0" t="0" r="635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054103" cy="1917902"/>
                    </a:xfrm>
                    <a:prstGeom prst="rect">
                      <a:avLst/>
                    </a:prstGeom>
                    <a:noFill/>
                    <a:ln>
                      <a:noFill/>
                    </a:ln>
                  </pic:spPr>
                </pic:pic>
              </a:graphicData>
            </a:graphic>
          </wp:inline>
        </w:drawing>
      </w:r>
    </w:p>
    <w:p w:rsidR="00FA0032" w:rsidRPr="0093051A" w:rsidRDefault="00FA0032" w:rsidP="00FA0032">
      <w:pPr>
        <w:pStyle w:val="Default"/>
        <w:tabs>
          <w:tab w:val="left" w:pos="709"/>
        </w:tabs>
        <w:jc w:val="center"/>
        <w:rPr>
          <w:color w:val="auto"/>
          <w:szCs w:val="20"/>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В 2014</w:t>
      </w:r>
      <w:r>
        <w:t> </w:t>
      </w:r>
      <w:r w:rsidRPr="00FA0032">
        <w:rPr>
          <w:lang w:val="ru-RU"/>
        </w:rPr>
        <w:t>г. была опубликована первая Политика гендерного равенства ВОИС, направленная на увеличение значимости гендерных аспектов в деятельности ВОИС; в ней были намечены сроки достижения гендерного баланса среди сотрудников.  В этом контексте была создана сеть координационных пунктов по гендерным вопросам, охватывающая все программы ВОИС; кроме того, ВОИС присоединилась к Женевской сети сторонников гендерных изменений, став таким образом одним из участников коллективных усилий по улучшению положения женщин на рабочем месте.  В самой организации активизировалась работа по устранению гендерного разрыва в кадровом обеспечении.  В целях обеспечения гендерного равенства на рабочем месте были выдвинуты такие инициативы, как проведение в обеденное время дискуссий на тему «Гендер на работе» и реализация пилотной программы профессионального развития для женщин, работающих в среднем управленческом звене.  В программе участвуют пять сотрудников женского пола категории С4, занимающиеся руководящей работой и имеющие хороший послужной список.  Получены первые, весьма положительные, отзывы, и силами ОВН проведена оценка пилотного этапа программы (доклад об оценке будет выпущен в 2016 году).    По сравнению с базовым уровнем 2013</w:t>
      </w:r>
      <w:r>
        <w:t> </w:t>
      </w:r>
      <w:r w:rsidRPr="00FA0032">
        <w:rPr>
          <w:lang w:val="ru-RU"/>
        </w:rPr>
        <w:t>г. доля женщин на должностях категории С4 (46,1</w:t>
      </w:r>
      <w:r>
        <w:t> </w:t>
      </w:r>
      <w:r w:rsidRPr="00FA0032">
        <w:rPr>
          <w:lang w:val="ru-RU"/>
        </w:rPr>
        <w:t>процента) выросла на 2,7</w:t>
      </w:r>
      <w:r>
        <w:t> </w:t>
      </w:r>
      <w:r w:rsidRPr="00FA0032">
        <w:rPr>
          <w:lang w:val="ru-RU"/>
        </w:rPr>
        <w:t>процентных пункта, что полностью соответствует целевому показателю, однако в отношении управленческих должностей более высокого уровня достичь целевого уровня гендерного баланса по-прежнему не удавалось.  Назначение женщин на должности С5 и Д1 позволило не допустить увеличения гендерного разрыва после выхода в отставку женщин, занимавших эти должности, однако на уровне Д2 по сравнению с 2013</w:t>
      </w:r>
      <w:r>
        <w:t> </w:t>
      </w:r>
      <w:r w:rsidRPr="00FA0032">
        <w:rPr>
          <w:lang w:val="ru-RU"/>
        </w:rPr>
        <w:t xml:space="preserve">г. представленность женщин сократилась на 11,1 процентных пункта.  </w:t>
      </w:r>
    </w:p>
    <w:p w:rsidR="00FA0032" w:rsidRPr="00FA0032" w:rsidRDefault="00FA0032" w:rsidP="00FA0032">
      <w:pPr>
        <w:jc w:val="both"/>
        <w:rPr>
          <w:lang w:val="ru-RU"/>
        </w:rPr>
      </w:pPr>
    </w:p>
    <w:p w:rsidR="00FA0032" w:rsidRPr="00FA0032" w:rsidRDefault="00FA0032" w:rsidP="00FA0032">
      <w:pPr>
        <w:pStyle w:val="Caption"/>
        <w:keepNext/>
        <w:jc w:val="center"/>
        <w:rPr>
          <w:b w:val="0"/>
          <w:i/>
          <w:lang w:val="ru-RU"/>
        </w:rPr>
      </w:pPr>
      <w:r w:rsidRPr="00FA0032">
        <w:rPr>
          <w:b w:val="0"/>
          <w:i/>
          <w:lang w:val="ru-RU"/>
        </w:rPr>
        <w:t>Доля сотрудников категории специалистов и выше по регионам, 2012–2015 гг.</w:t>
      </w:r>
    </w:p>
    <w:p w:rsidR="00FA0032" w:rsidRDefault="00FA0032" w:rsidP="00FA0032">
      <w:pPr>
        <w:jc w:val="center"/>
      </w:pPr>
      <w:r>
        <w:rPr>
          <w:noProof/>
        </w:rPr>
        <w:drawing>
          <wp:inline distT="0" distB="0" distL="0" distR="0" wp14:anchorId="76AB88B0" wp14:editId="2DA7CD16">
            <wp:extent cx="4058607" cy="22542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058607" cy="2254250"/>
                    </a:xfrm>
                    <a:prstGeom prst="rect">
                      <a:avLst/>
                    </a:prstGeom>
                    <a:noFill/>
                    <a:ln>
                      <a:noFill/>
                    </a:ln>
                  </pic:spPr>
                </pic:pic>
              </a:graphicData>
            </a:graphic>
          </wp:inline>
        </w:drawing>
      </w:r>
    </w:p>
    <w:p w:rsidR="00FA0032" w:rsidRDefault="00FA0032" w:rsidP="00FA0032">
      <w:pPr>
        <w:jc w:val="cente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Кроме того, продолжалась работа по совершенствованию организационной структуры и кадрового планирования в качестве полностью интегрированных ключевых направлений деятельности.  В течение двухлетнего периода достигнуты следующие результаты:  (</w:t>
      </w:r>
      <w:r>
        <w:t>i</w:t>
      </w:r>
      <w:r w:rsidRPr="00FA0032">
        <w:rPr>
          <w:lang w:val="ru-RU"/>
        </w:rPr>
        <w:t>) активизировалось участие руководителей в проведении вводных практикумов по кадровому планированию и разработке соответствующих руководящих принципов; (</w:t>
      </w:r>
      <w:r>
        <w:t>ii</w:t>
      </w:r>
      <w:r w:rsidRPr="00FA0032">
        <w:rPr>
          <w:lang w:val="ru-RU"/>
        </w:rPr>
        <w:t>) разработаны планы действий в отношении кадров на 2014–2015</w:t>
      </w:r>
      <w:r>
        <w:t> </w:t>
      </w:r>
      <w:r w:rsidRPr="00FA0032">
        <w:rPr>
          <w:lang w:val="ru-RU"/>
        </w:rPr>
        <w:t>годы в каждом организационном подразделении в целях выявления основных действий, связанных с персоналом, и удовлетворения рабочих потребностей; (</w:t>
      </w:r>
      <w:r>
        <w:t>iii</w:t>
      </w:r>
      <w:r w:rsidRPr="00FA0032">
        <w:rPr>
          <w:lang w:val="ru-RU"/>
        </w:rPr>
        <w:t>) проведена общеорганизационная работа по обновлению всех должностных инструкций, с тем чтобы они точно отражали приоритеты деятельности; (</w:t>
      </w:r>
      <w:r>
        <w:t>iv</w:t>
      </w:r>
      <w:r w:rsidRPr="00FA0032">
        <w:rPr>
          <w:lang w:val="ru-RU"/>
        </w:rPr>
        <w:t xml:space="preserve">) проведена работа по систематизации и обеспечению взаимоувязанности должностных инструкций и ежегодных планов работы.  Были выпущены также новые руководящие принципы формирования штатного расписания, предусматривающие систематический пересмотр плановых допущений и учет общеорганизационных приоритетов до заполнения вакантных должностей.  Руководителям было рекомендовано в рамках кадрового планирования определить оптимальную структуру персонала, которая позволит эффективно удовлетворять рабочие потребности. </w:t>
      </w:r>
    </w:p>
    <w:p w:rsidR="00FA0032" w:rsidRPr="00FA0032" w:rsidRDefault="00FA0032" w:rsidP="00FA0032">
      <w:pPr>
        <w:rPr>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В 2014 г. был завершен процесс урегулирования статуса сотрудников, работающих в течение длительного времени по временным контрактам (СВК): после конкурса в 2014</w:t>
      </w:r>
      <w:r>
        <w:t> </w:t>
      </w:r>
      <w:r w:rsidRPr="00FA0032">
        <w:rPr>
          <w:lang w:val="ru-RU"/>
        </w:rPr>
        <w:t>г. в штат был зачислен 31 СВК.  Кроме того, в течение двухлетнего периода было объявлено об открытии 40 вакансий на должности по срочным контрактам в целях перевода в штат сотрудников, выполняющих постоянные функции (17 в 2014</w:t>
      </w:r>
      <w:r>
        <w:t> </w:t>
      </w:r>
      <w:r w:rsidRPr="00FA0032">
        <w:rPr>
          <w:lang w:val="ru-RU"/>
        </w:rPr>
        <w:t>г. и 23 в 2015</w:t>
      </w:r>
      <w:r>
        <w:t> </w:t>
      </w:r>
      <w:r w:rsidRPr="00FA0032">
        <w:rPr>
          <w:lang w:val="ru-RU"/>
        </w:rPr>
        <w:t>г.), причем 30 из них были заполнены к концу 2015</w:t>
      </w:r>
      <w:r>
        <w:t> </w:t>
      </w:r>
      <w:r w:rsidRPr="00FA0032">
        <w:rPr>
          <w:lang w:val="ru-RU"/>
        </w:rPr>
        <w:t xml:space="preserve">года.  </w:t>
      </w:r>
    </w:p>
    <w:p w:rsidR="00FA0032" w:rsidRPr="00FA0032" w:rsidRDefault="00FA0032" w:rsidP="00FA0032">
      <w:pPr>
        <w:pStyle w:val="ListParagraph"/>
        <w:tabs>
          <w:tab w:val="left" w:pos="709"/>
        </w:tabs>
        <w:ind w:left="0"/>
        <w:jc w:val="both"/>
        <w:rPr>
          <w:rFonts w:cs="Arial"/>
          <w:lang w:val="ru-RU"/>
        </w:rPr>
      </w:pPr>
    </w:p>
    <w:p w:rsidR="00FA0032" w:rsidRPr="005A5052" w:rsidRDefault="00FA0032" w:rsidP="00FA0032">
      <w:pPr>
        <w:pStyle w:val="ListParagraph"/>
        <w:numPr>
          <w:ilvl w:val="0"/>
          <w:numId w:val="72"/>
        </w:numPr>
        <w:tabs>
          <w:tab w:val="left" w:pos="709"/>
        </w:tabs>
        <w:ind w:left="0" w:firstLine="0"/>
        <w:jc w:val="both"/>
        <w:rPr>
          <w:rFonts w:cs="Arial"/>
        </w:rPr>
      </w:pPr>
      <w:r w:rsidRPr="00FA0032">
        <w:rPr>
          <w:lang w:val="ru-RU"/>
        </w:rPr>
        <w:t xml:space="preserve">В этот период, как и в предыдущий, прием на работу проводился довольно интенсивно, однако средний срок приема на работу в эти два года был продолжительнее, чем в 2012–2013 гг. (16,03 недели), и составил 19,77 недели.  За рассматриваемый период было организовано в общей сложности 255 конкурсов (183 на заполнение должностей со срочными контрактами, что на 29 процентов больше чем в 2012–2013 гг., и 72 на временные должности).  </w:t>
      </w:r>
      <w:r>
        <w:t xml:space="preserve">В общей сложности было получено 30 320 заявок. </w:t>
      </w:r>
    </w:p>
    <w:p w:rsidR="00FA0032" w:rsidRPr="00173627" w:rsidRDefault="00FA0032" w:rsidP="00FA0032">
      <w:pPr>
        <w:jc w:val="both"/>
        <w:rPr>
          <w:rFonts w:cs="Arial"/>
          <w:szCs w:val="20"/>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В течение двухлетнего периода продолжалась модернизация систем и процессов ОУЛР.  В 2015</w:t>
      </w:r>
      <w:r>
        <w:t> </w:t>
      </w:r>
      <w:r w:rsidRPr="00FA0032">
        <w:rPr>
          <w:lang w:val="ru-RU"/>
        </w:rPr>
        <w:t xml:space="preserve">г. началась разработка новой интегрированной платформы для приема на работу (на основе </w:t>
      </w:r>
      <w:r>
        <w:t>Taleo</w:t>
      </w:r>
      <w:r w:rsidRPr="00FA0032">
        <w:rPr>
          <w:lang w:val="ru-RU"/>
        </w:rPr>
        <w:t>), задача которой — обеспечить дальнейшее повышение эффективности набора персонала.  В начале 2014</w:t>
      </w:r>
      <w:r>
        <w:t> </w:t>
      </w:r>
      <w:r w:rsidRPr="00FA0032">
        <w:rPr>
          <w:lang w:val="ru-RU"/>
        </w:rPr>
        <w:t>г., был завершен первый этап ПОР: были интегрированы данные и процессы, касающиеся как самого ОУЛР, так и других административных и управленческих функций ВОИС.  К числу других достижений этого двухлетнего периода относятся: разработка и внедрение панели аналитических инструментов управления ЛР и функций самообслуживания, таких как онлайновое обновление личной информации и запрос о предоставлении пособия на образование; перевод все большего числа кадровых задач в сферу ответственности самих сотрудников при минимизации трудозатрат на их выполнение.</w:t>
      </w:r>
    </w:p>
    <w:p w:rsidR="00FA0032" w:rsidRPr="00FA0032" w:rsidRDefault="00FA0032" w:rsidP="00FA0032">
      <w:pPr>
        <w:pStyle w:val="ListParagraph"/>
        <w:tabs>
          <w:tab w:val="left" w:pos="709"/>
        </w:tabs>
        <w:ind w:left="0"/>
        <w:jc w:val="both"/>
        <w:rPr>
          <w:rFonts w:cs="Arial"/>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По итогам конкурса на страхование сотрудников от несчастных случаев и на случай потери заработка был заключен новый договор, предусматривающий меньшие страховые взносы.</w:t>
      </w:r>
      <w:r>
        <w:t> </w:t>
      </w:r>
      <w:r w:rsidRPr="00FA0032">
        <w:rPr>
          <w:lang w:val="ru-RU"/>
        </w:rPr>
        <w:t xml:space="preserve">  В 2015</w:t>
      </w:r>
      <w:r>
        <w:t> </w:t>
      </w:r>
      <w:r w:rsidRPr="00FA0032">
        <w:rPr>
          <w:lang w:val="ru-RU"/>
        </w:rPr>
        <w:t>г. был пересмотрен в сторону снижения страховых взносов договор на страхование жизни; новые условия вступят в силу в 2016</w:t>
      </w:r>
      <w:r>
        <w:t> </w:t>
      </w:r>
      <w:r w:rsidRPr="00FA0032">
        <w:rPr>
          <w:lang w:val="ru-RU"/>
        </w:rPr>
        <w:t xml:space="preserve">г.  Услуги, связанные с охраной труда, предоставлялись также подразделением ВОИС по медицинскому и социальному обеспечению или в сотрудничестве с медицинской службой ЮНОГ.  </w:t>
      </w:r>
    </w:p>
    <w:p w:rsidR="00FA0032" w:rsidRPr="00FA0032" w:rsidRDefault="00FA0032" w:rsidP="00FA0032">
      <w:pPr>
        <w:pStyle w:val="ListParagraph"/>
        <w:tabs>
          <w:tab w:val="left" w:pos="709"/>
        </w:tabs>
        <w:ind w:left="0"/>
        <w:jc w:val="both"/>
        <w:rPr>
          <w:rFonts w:cs="Arial"/>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Накопленный опыт применения процессов управления служебной деятельностью ВОИС позволил внести дальнейшие улучшения в работу Системы управления служебной деятельностью и повышения квалификации персонала (</w:t>
      </w:r>
      <w:r>
        <w:t>PMSDS</w:t>
      </w:r>
      <w:r w:rsidRPr="00FA0032">
        <w:rPr>
          <w:lang w:val="ru-RU"/>
        </w:rPr>
        <w:t xml:space="preserve">).  Ранее применявшиеся руководящие принципы </w:t>
      </w:r>
      <w:r>
        <w:t>PMSDS</w:t>
      </w:r>
      <w:r w:rsidRPr="00FA0032">
        <w:rPr>
          <w:lang w:val="ru-RU"/>
        </w:rPr>
        <w:t xml:space="preserve"> были заменены новой служебной инструкцией (СИ) и соответствующими справочниками по </w:t>
      </w:r>
      <w:r>
        <w:t>PMSDS</w:t>
      </w:r>
      <w:r w:rsidRPr="00FA0032">
        <w:rPr>
          <w:lang w:val="ru-RU"/>
        </w:rPr>
        <w:t xml:space="preserve">, что позволило отделить обязательные положения от положений справочного характера.  Кроме того, были внесены изменения, позволившие привести </w:t>
      </w:r>
      <w:r>
        <w:t>PMSDS</w:t>
      </w:r>
      <w:r w:rsidRPr="00FA0032">
        <w:rPr>
          <w:lang w:val="ru-RU"/>
        </w:rPr>
        <w:t xml:space="preserve"> в соответствие с ППП и связанными с ними СИ, и с учетом полученного опыта применения системы были разъяснены связанные с </w:t>
      </w:r>
      <w:r>
        <w:t>PMSDS</w:t>
      </w:r>
      <w:r w:rsidRPr="00FA0032">
        <w:rPr>
          <w:lang w:val="ru-RU"/>
        </w:rPr>
        <w:t xml:space="preserve"> вопросы.  Степень использования системы по-прежнему была весьма высокой: в 2014</w:t>
      </w:r>
      <w:r>
        <w:t> </w:t>
      </w:r>
      <w:r w:rsidRPr="00FA0032">
        <w:rPr>
          <w:lang w:val="ru-RU"/>
        </w:rPr>
        <w:t>г. 93,1</w:t>
      </w:r>
      <w:r>
        <w:t> </w:t>
      </w:r>
      <w:r w:rsidRPr="00FA0032">
        <w:rPr>
          <w:lang w:val="ru-RU"/>
        </w:rPr>
        <w:t>процента сотрудников, а в 2015</w:t>
      </w:r>
      <w:r>
        <w:t> </w:t>
      </w:r>
      <w:r w:rsidRPr="00FA0032">
        <w:rPr>
          <w:lang w:val="ru-RU"/>
        </w:rPr>
        <w:t xml:space="preserve">г. 92,8 процента сотрудников, учитываемых в </w:t>
      </w:r>
      <w:r>
        <w:t>PMSDS</w:t>
      </w:r>
      <w:r w:rsidRPr="00FA0032">
        <w:rPr>
          <w:lang w:val="ru-RU"/>
        </w:rPr>
        <w:t xml:space="preserve">, прошли оценку с учетом индивидуальных задач и профессиональной компетенции.  </w:t>
      </w:r>
    </w:p>
    <w:p w:rsidR="00FA0032" w:rsidRPr="00FA0032" w:rsidRDefault="00FA0032" w:rsidP="00FA0032">
      <w:pPr>
        <w:pStyle w:val="ListParagraph"/>
        <w:tabs>
          <w:tab w:val="left" w:pos="709"/>
        </w:tabs>
        <w:ind w:left="0"/>
        <w:jc w:val="both"/>
        <w:rPr>
          <w:rFonts w:cs="Arial"/>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Реализация Программы поощрения и признания заслуг сотрудников ВОИС (ПППЗ) в 2014</w:t>
      </w:r>
      <w:r>
        <w:t> </w:t>
      </w:r>
      <w:r w:rsidRPr="00FA0032">
        <w:rPr>
          <w:lang w:val="ru-RU"/>
        </w:rPr>
        <w:t>г. перешла на второй пилотный этап, который был впоследствии изучен ОВН.  Две трети респондентов сочли, что ПППЗ обеспечивает признание результативности работы.  С учетом рекомендаций ОВН о повышении прозрачности и более активном привлечении сотрудников был выпущен новый справочник «Демонстрация признания заслуг», и была создана соответствующая интранет-страница. Кроме того, была введена новая категория награждений, при этом сотрудники непосредственно участвовали в выдвижении кандидатов и определении победителей.  После двухэтапной пилотной реализации в 2015</w:t>
      </w:r>
      <w:r>
        <w:t> </w:t>
      </w:r>
      <w:r w:rsidRPr="00FA0032">
        <w:rPr>
          <w:lang w:val="ru-RU"/>
        </w:rPr>
        <w:t xml:space="preserve">г. была выпущена официальная политика применения ПППЗ.  </w:t>
      </w:r>
    </w:p>
    <w:p w:rsidR="00FA0032" w:rsidRPr="00FA0032" w:rsidRDefault="00FA0032" w:rsidP="00FA0032">
      <w:pPr>
        <w:pStyle w:val="ListParagraph"/>
        <w:tabs>
          <w:tab w:val="left" w:pos="709"/>
        </w:tabs>
        <w:ind w:left="0"/>
        <w:jc w:val="both"/>
        <w:rPr>
          <w:rFonts w:cs="Arial"/>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В 2014</w:t>
      </w:r>
      <w:r>
        <w:t> </w:t>
      </w:r>
      <w:r w:rsidRPr="00FA0032">
        <w:rPr>
          <w:lang w:val="ru-RU"/>
        </w:rPr>
        <w:t>г. началась реализация новой Политики обучения и развития в целях содействия развитию персонала и восполнения недостающих навыков. В целях повышения управленческого потенциала Организации и обеспечения более активного развития карьеры сотрудников были внедрены новые инициативы по урегулированию конфликтов, управлению стрессом, управлению качеством, управлению проектами и аккредитации предшествующего обучения. В 2015</w:t>
      </w:r>
      <w:r>
        <w:t> </w:t>
      </w:r>
      <w:r w:rsidRPr="00FA0032">
        <w:rPr>
          <w:lang w:val="ru-RU"/>
        </w:rPr>
        <w:t>г. средняя продолжительность обучения каждого сотрудника</w:t>
      </w:r>
      <w:r>
        <w:rPr>
          <w:rStyle w:val="FootnoteReference"/>
        </w:rPr>
        <w:footnoteReference w:id="129"/>
      </w:r>
      <w:r w:rsidRPr="00FA0032">
        <w:rPr>
          <w:lang w:val="ru-RU"/>
        </w:rPr>
        <w:t xml:space="preserve"> впервые выросла до шести дней, что выше показателя 2014</w:t>
      </w:r>
      <w:r>
        <w:t> </w:t>
      </w:r>
      <w:r w:rsidRPr="00FA0032">
        <w:rPr>
          <w:lang w:val="ru-RU"/>
        </w:rPr>
        <w:t>г. (пять дней) и на один день больше, чем указано в данных о практике ООН (пять дней).  Это увеличение отчасти объясняется тем, что в 2015</w:t>
      </w:r>
      <w:r>
        <w:t> </w:t>
      </w:r>
      <w:r w:rsidRPr="00FA0032">
        <w:rPr>
          <w:lang w:val="ru-RU"/>
        </w:rPr>
        <w:t xml:space="preserve">г. начались курсы по урегулированию конфликтов, в которых приняла участие примерно половина сотрудников ВОИС.  </w:t>
      </w:r>
    </w:p>
    <w:p w:rsidR="00FA0032" w:rsidRPr="00FA0032" w:rsidRDefault="00FA0032" w:rsidP="00FA0032">
      <w:pPr>
        <w:pStyle w:val="ListParagraph"/>
        <w:tabs>
          <w:tab w:val="left" w:pos="709"/>
        </w:tabs>
        <w:ind w:left="0"/>
        <w:jc w:val="both"/>
        <w:rPr>
          <w:rFonts w:cs="Arial"/>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В контексте разработки политики в области ЛР и после первой более чем за 40 лет полной переработки Положений и правил о персонале, проведенной в 2012</w:t>
      </w:r>
      <w:r>
        <w:t> </w:t>
      </w:r>
      <w:r w:rsidRPr="00FA0032">
        <w:rPr>
          <w:lang w:val="ru-RU"/>
        </w:rPr>
        <w:t>г., в течение 2014–2015</w:t>
      </w:r>
      <w:r>
        <w:t> </w:t>
      </w:r>
      <w:r w:rsidRPr="00FA0032">
        <w:rPr>
          <w:lang w:val="ru-RU"/>
        </w:rPr>
        <w:t>годов в ППП вносились дальнейшие поправки и корректировки и разрабатывались соответствующие основы политики в области ЛР.  Произведенные в течение этого периода изменения позволили ВОИС сохранить в надлежащем состоянии свою регулирующую базу, соответствующую требованиям передовой практики общей системы ООН, и полностью адаптировать ее к удовлетворению меняющихся потребностей и выполнению приоритетных задач Организации.  В 2014</w:t>
      </w:r>
      <w:r>
        <w:t> </w:t>
      </w:r>
      <w:r w:rsidRPr="00FA0032">
        <w:rPr>
          <w:lang w:val="ru-RU"/>
        </w:rPr>
        <w:t>г. в целях удовлетворения потребностей внешних бюро ВОИС в ППП была включена категория национальных сотрудников-специалистов (НСС).  В 2015</w:t>
      </w:r>
      <w:r>
        <w:t> </w:t>
      </w:r>
      <w:r w:rsidRPr="00FA0032">
        <w:rPr>
          <w:lang w:val="ru-RU"/>
        </w:rPr>
        <w:t xml:space="preserve">г. НСС был впервые назначен на временной основе в </w:t>
      </w:r>
      <w:r>
        <w:t>WBO</w:t>
      </w:r>
      <w:r w:rsidRPr="00FA0032">
        <w:rPr>
          <w:lang w:val="ru-RU"/>
        </w:rPr>
        <w:t>.</w:t>
      </w:r>
    </w:p>
    <w:p w:rsidR="00FA0032" w:rsidRPr="00FA0032" w:rsidRDefault="00FA0032" w:rsidP="00FA0032">
      <w:pPr>
        <w:pStyle w:val="ListParagraph"/>
        <w:tabs>
          <w:tab w:val="left" w:pos="709"/>
        </w:tabs>
        <w:ind w:left="0"/>
        <w:jc w:val="both"/>
        <w:rPr>
          <w:rFonts w:cs="Arial"/>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В июне 2014</w:t>
      </w:r>
      <w:r>
        <w:t> </w:t>
      </w:r>
      <w:r w:rsidRPr="00FA0032">
        <w:rPr>
          <w:lang w:val="ru-RU"/>
        </w:rPr>
        <w:t>г. была создана Объединенная консультативная группа (ОКГ), для которой ОУЛР выполняет функции секретариата; ее задача — консультировать Генерального директора по вопросам персонала и административным вопросам.  Сотрудники могут обращаться непосредственно в ОКГ, которая представляет собой дополнительный канал связи между руководством и персоналом.</w:t>
      </w:r>
    </w:p>
    <w:p w:rsidR="00FA0032" w:rsidRPr="00FA0032" w:rsidRDefault="00FA0032" w:rsidP="00FA0032">
      <w:pPr>
        <w:pStyle w:val="ListParagraph"/>
        <w:tabs>
          <w:tab w:val="left" w:pos="709"/>
        </w:tabs>
        <w:ind w:left="0"/>
        <w:jc w:val="both"/>
        <w:rPr>
          <w:rFonts w:cs="Arial"/>
          <w:lang w:val="ru-RU"/>
        </w:rPr>
      </w:pPr>
    </w:p>
    <w:p w:rsidR="00FA0032" w:rsidRDefault="00FA0032" w:rsidP="00FA0032">
      <w:pPr>
        <w:keepNext/>
        <w:keepLines/>
        <w:jc w:val="both"/>
        <w:rPr>
          <w:rFonts w:cs="Arial"/>
          <w:sz w:val="22"/>
          <w:szCs w:val="22"/>
        </w:rPr>
      </w:pPr>
      <w:r>
        <w:rPr>
          <w:sz w:val="22"/>
        </w:rPr>
        <w:t>ДАННЫЕ О РЕЗУЛЬТАТИВНОСТИ</w:t>
      </w:r>
    </w:p>
    <w:p w:rsidR="00FA0032" w:rsidRDefault="00FA0032" w:rsidP="00FA0032">
      <w:pPr>
        <w:keepNext/>
        <w:keepLines/>
        <w:jc w:val="both"/>
        <w:rPr>
          <w:rFonts w:cs="Arial"/>
          <w:sz w:val="22"/>
          <w:szCs w:val="22"/>
        </w:rPr>
      </w:pPr>
    </w:p>
    <w:tbl>
      <w:tblPr>
        <w:tblW w:w="4978" w:type="pct"/>
        <w:tblInd w:w="108" w:type="dxa"/>
        <w:tblBorders>
          <w:top w:val="single" w:sz="4" w:space="0" w:color="auto"/>
          <w:left w:val="single" w:sz="4" w:space="0" w:color="auto"/>
          <w:bottom w:val="single" w:sz="4" w:space="0" w:color="auto"/>
          <w:right w:val="single" w:sz="4" w:space="0" w:color="auto"/>
        </w:tblBorders>
        <w:tblLayout w:type="fixed"/>
        <w:tblCellMar>
          <w:left w:w="115" w:type="dxa"/>
          <w:right w:w="115" w:type="dxa"/>
        </w:tblCellMar>
        <w:tblLook w:val="0000" w:firstRow="0" w:lastRow="0" w:firstColumn="0" w:lastColumn="0" w:noHBand="0" w:noVBand="0"/>
      </w:tblPr>
      <w:tblGrid>
        <w:gridCol w:w="2078"/>
        <w:gridCol w:w="2913"/>
        <w:gridCol w:w="1403"/>
        <w:gridCol w:w="258"/>
        <w:gridCol w:w="1723"/>
        <w:gridCol w:w="82"/>
        <w:gridCol w:w="1086"/>
      </w:tblGrid>
      <w:tr w:rsidR="00FA0032" w:rsidRPr="005C6ABD" w:rsidTr="00C61544">
        <w:tc>
          <w:tcPr>
            <w:tcW w:w="5000" w:type="pct"/>
            <w:gridSpan w:val="7"/>
            <w:tcBorders>
              <w:top w:val="single" w:sz="4" w:space="0" w:color="auto"/>
              <w:bottom w:val="single" w:sz="4" w:space="0" w:color="auto"/>
            </w:tcBorders>
            <w:shd w:val="clear" w:color="auto" w:fill="C6D9F1" w:themeFill="text2" w:themeFillTint="33"/>
            <w:vAlign w:val="center"/>
          </w:tcPr>
          <w:p w:rsidR="00FA0032" w:rsidRPr="00FA0032" w:rsidRDefault="00FA0032" w:rsidP="00C61544">
            <w:pPr>
              <w:keepNext/>
              <w:keepLines/>
              <w:tabs>
                <w:tab w:val="left" w:pos="2019"/>
              </w:tabs>
              <w:spacing w:before="120" w:after="120"/>
              <w:ind w:left="2019" w:hanging="2019"/>
              <w:jc w:val="both"/>
              <w:rPr>
                <w:rFonts w:cs="Arial"/>
                <w:b/>
                <w:bCs/>
                <w:sz w:val="16"/>
                <w:szCs w:val="16"/>
                <w:lang w:val="ru-RU"/>
              </w:rPr>
            </w:pPr>
            <w:r w:rsidRPr="00FA0032">
              <w:rPr>
                <w:b/>
                <w:sz w:val="16"/>
                <w:lang w:val="ru-RU"/>
              </w:rPr>
              <w:t>Ожидаемый результат:</w:t>
            </w:r>
            <w:r w:rsidRPr="00FA0032">
              <w:rPr>
                <w:b/>
                <w:sz w:val="16"/>
                <w:lang w:val="ru-RU"/>
              </w:rPr>
              <w:tab/>
            </w:r>
            <w:r>
              <w:rPr>
                <w:sz w:val="16"/>
              </w:rPr>
              <w:t>IX</w:t>
            </w:r>
            <w:r w:rsidRPr="00FA0032">
              <w:rPr>
                <w:sz w:val="16"/>
                <w:lang w:val="ru-RU"/>
              </w:rPr>
              <w:t>.1. Эффективные, действенные, качественные и ориентированные на пользователя вспомогательные услуги, предоставляемые как внутренним клиентам, так и внешним заинтересованным сторонам</w:t>
            </w:r>
          </w:p>
        </w:tc>
      </w:tr>
      <w:tr w:rsidR="00FA0032" w:rsidRPr="00797FCA" w:rsidTr="00C61544">
        <w:trPr>
          <w:trHeight w:val="144"/>
        </w:trPr>
        <w:tc>
          <w:tcPr>
            <w:tcW w:w="1089" w:type="pct"/>
            <w:tcBorders>
              <w:top w:val="single" w:sz="4" w:space="0" w:color="auto"/>
            </w:tcBorders>
            <w:shd w:val="clear" w:color="auto" w:fill="auto"/>
            <w:tcMar>
              <w:left w:w="115" w:type="dxa"/>
              <w:right w:w="115" w:type="dxa"/>
            </w:tcMar>
            <w:vAlign w:val="center"/>
          </w:tcPr>
          <w:p w:rsidR="00FA0032" w:rsidRPr="00797FCA" w:rsidRDefault="00FA0032" w:rsidP="00C61544">
            <w:pPr>
              <w:keepNext/>
              <w:keepLines/>
              <w:spacing w:after="120"/>
              <w:rPr>
                <w:rFonts w:cs="Arial"/>
                <w:sz w:val="16"/>
                <w:szCs w:val="16"/>
              </w:rPr>
            </w:pPr>
            <w:r>
              <w:rPr>
                <w:b/>
                <w:sz w:val="16"/>
              </w:rPr>
              <w:t>Показатели результативности</w:t>
            </w:r>
          </w:p>
        </w:tc>
        <w:tc>
          <w:tcPr>
            <w:tcW w:w="1526" w:type="pct"/>
            <w:tcBorders>
              <w:top w:val="single" w:sz="4" w:space="0" w:color="auto"/>
            </w:tcBorders>
            <w:shd w:val="clear" w:color="auto" w:fill="auto"/>
            <w:tcMar>
              <w:left w:w="115" w:type="dxa"/>
              <w:right w:w="115" w:type="dxa"/>
            </w:tcMar>
            <w:vAlign w:val="center"/>
          </w:tcPr>
          <w:p w:rsidR="00FA0032" w:rsidRPr="00797FCA" w:rsidRDefault="00FA0032" w:rsidP="00C61544">
            <w:pPr>
              <w:keepNext/>
              <w:keepLines/>
              <w:spacing w:after="120"/>
              <w:rPr>
                <w:rFonts w:cs="Arial"/>
                <w:b/>
                <w:bCs/>
                <w:sz w:val="16"/>
                <w:szCs w:val="16"/>
              </w:rPr>
            </w:pPr>
            <w:r>
              <w:rPr>
                <w:b/>
                <w:sz w:val="16"/>
              </w:rPr>
              <w:t>Базовые показатели</w:t>
            </w:r>
          </w:p>
        </w:tc>
        <w:tc>
          <w:tcPr>
            <w:tcW w:w="870" w:type="pct"/>
            <w:gridSpan w:val="2"/>
            <w:tcBorders>
              <w:top w:val="single" w:sz="4" w:space="0" w:color="auto"/>
            </w:tcBorders>
            <w:shd w:val="clear" w:color="auto" w:fill="auto"/>
            <w:tcMar>
              <w:top w:w="110" w:type="dxa"/>
              <w:left w:w="115" w:type="dxa"/>
              <w:right w:w="115" w:type="dxa"/>
            </w:tcMar>
            <w:vAlign w:val="center"/>
          </w:tcPr>
          <w:p w:rsidR="00FA0032" w:rsidRPr="00797FCA" w:rsidRDefault="00FA0032" w:rsidP="00C61544">
            <w:pPr>
              <w:keepNext/>
              <w:keepLines/>
              <w:spacing w:after="120"/>
              <w:rPr>
                <w:rFonts w:cs="Arial"/>
                <w:b/>
                <w:sz w:val="16"/>
                <w:szCs w:val="16"/>
              </w:rPr>
            </w:pPr>
            <w:r>
              <w:rPr>
                <w:b/>
                <w:sz w:val="16"/>
              </w:rPr>
              <w:t>Цели</w:t>
            </w:r>
          </w:p>
        </w:tc>
        <w:tc>
          <w:tcPr>
            <w:tcW w:w="946" w:type="pct"/>
            <w:gridSpan w:val="2"/>
            <w:tcBorders>
              <w:top w:val="single" w:sz="4" w:space="0" w:color="auto"/>
            </w:tcBorders>
            <w:shd w:val="clear" w:color="auto" w:fill="FFFFFF"/>
            <w:tcMar>
              <w:top w:w="110" w:type="dxa"/>
              <w:left w:w="115" w:type="dxa"/>
              <w:right w:w="115" w:type="dxa"/>
            </w:tcMar>
            <w:vAlign w:val="center"/>
          </w:tcPr>
          <w:p w:rsidR="00FA0032" w:rsidRPr="00797FCA" w:rsidRDefault="00FA0032" w:rsidP="00C61544">
            <w:pPr>
              <w:keepNext/>
              <w:keepLines/>
              <w:spacing w:after="120"/>
              <w:rPr>
                <w:rFonts w:cs="Arial"/>
                <w:sz w:val="16"/>
                <w:szCs w:val="16"/>
              </w:rPr>
            </w:pPr>
            <w:r>
              <w:rPr>
                <w:b/>
                <w:sz w:val="16"/>
              </w:rPr>
              <w:t>Данные о результативности</w:t>
            </w:r>
          </w:p>
        </w:tc>
        <w:tc>
          <w:tcPr>
            <w:tcW w:w="569" w:type="pct"/>
            <w:tcBorders>
              <w:top w:val="single" w:sz="4" w:space="0" w:color="auto"/>
            </w:tcBorders>
            <w:shd w:val="clear" w:color="auto" w:fill="auto"/>
            <w:tcMar>
              <w:top w:w="110" w:type="dxa"/>
              <w:left w:w="115" w:type="dxa"/>
              <w:right w:w="115" w:type="dxa"/>
            </w:tcMar>
            <w:vAlign w:val="center"/>
          </w:tcPr>
          <w:p w:rsidR="00FA0032" w:rsidRPr="00797FCA" w:rsidRDefault="00FA0032" w:rsidP="00C61544">
            <w:pPr>
              <w:keepNext/>
              <w:keepLines/>
              <w:spacing w:after="120"/>
              <w:jc w:val="center"/>
              <w:rPr>
                <w:rFonts w:cs="Arial"/>
                <w:b/>
                <w:bCs/>
                <w:sz w:val="16"/>
                <w:szCs w:val="16"/>
              </w:rPr>
            </w:pPr>
            <w:r>
              <w:rPr>
                <w:b/>
                <w:sz w:val="16"/>
              </w:rPr>
              <w:t>CC</w:t>
            </w:r>
          </w:p>
        </w:tc>
      </w:tr>
      <w:tr w:rsidR="00FA0032" w:rsidRPr="00797FCA" w:rsidTr="00C61544">
        <w:trPr>
          <w:trHeight w:val="144"/>
        </w:trPr>
        <w:tc>
          <w:tcPr>
            <w:tcW w:w="1089" w:type="pct"/>
            <w:shd w:val="clear" w:color="auto" w:fill="auto"/>
          </w:tcPr>
          <w:p w:rsidR="00FA0032" w:rsidRPr="00FA0032" w:rsidRDefault="00FA0032" w:rsidP="00C61544">
            <w:pPr>
              <w:keepNext/>
              <w:keepLines/>
              <w:rPr>
                <w:rFonts w:cs="Arial"/>
                <w:sz w:val="16"/>
                <w:szCs w:val="16"/>
                <w:lang w:val="ru-RU"/>
              </w:rPr>
            </w:pPr>
            <w:r w:rsidRPr="00FA0032">
              <w:rPr>
                <w:sz w:val="16"/>
                <w:lang w:val="ru-RU"/>
              </w:rPr>
              <w:t>Доля (%) штатных сотрудников, удовлетворенных работой службы ЛР</w:t>
            </w:r>
          </w:p>
        </w:tc>
        <w:tc>
          <w:tcPr>
            <w:tcW w:w="1526" w:type="pct"/>
            <w:shd w:val="clear" w:color="auto" w:fill="auto"/>
          </w:tcPr>
          <w:p w:rsidR="00FA0032" w:rsidRPr="00FA0032" w:rsidRDefault="00FA0032" w:rsidP="00C61544">
            <w:pPr>
              <w:keepNext/>
              <w:keepLines/>
              <w:rPr>
                <w:i/>
                <w:color w:val="002060"/>
                <w:sz w:val="16"/>
                <w:lang w:val="ru-RU"/>
              </w:rPr>
            </w:pPr>
            <w:r w:rsidRPr="00FA0032">
              <w:rPr>
                <w:i/>
                <w:color w:val="002060"/>
                <w:sz w:val="16"/>
                <w:lang w:val="ru-RU"/>
              </w:rPr>
              <w:t>Обновленные базовые показатели, конец 2013</w:t>
            </w:r>
            <w:r>
              <w:rPr>
                <w:i/>
                <w:color w:val="002060"/>
                <w:sz w:val="16"/>
              </w:rPr>
              <w:t> </w:t>
            </w:r>
            <w:r w:rsidRPr="00FA0032">
              <w:rPr>
                <w:i/>
                <w:color w:val="002060"/>
                <w:sz w:val="16"/>
                <w:lang w:val="ru-RU"/>
              </w:rPr>
              <w:t xml:space="preserve">г.:  </w:t>
            </w:r>
          </w:p>
          <w:p w:rsidR="00FA0032" w:rsidRPr="00FA0032" w:rsidRDefault="00FA0032" w:rsidP="00C61544">
            <w:pPr>
              <w:keepNext/>
              <w:keepLines/>
              <w:rPr>
                <w:rFonts w:cs="Arial"/>
                <w:color w:val="002060"/>
                <w:sz w:val="16"/>
                <w:szCs w:val="16"/>
                <w:lang w:val="ru-RU"/>
              </w:rPr>
            </w:pPr>
            <w:r w:rsidRPr="00FA0032">
              <w:rPr>
                <w:color w:val="002060"/>
                <w:sz w:val="16"/>
                <w:lang w:val="ru-RU"/>
              </w:rPr>
              <w:t>полностью удовлетворены – 31,2%,</w:t>
            </w:r>
          </w:p>
          <w:p w:rsidR="00FA0032" w:rsidRPr="00FA0032" w:rsidRDefault="00FA0032" w:rsidP="00C61544">
            <w:pPr>
              <w:keepNext/>
              <w:keepLines/>
              <w:rPr>
                <w:rFonts w:cs="Arial"/>
                <w:color w:val="002060"/>
                <w:sz w:val="16"/>
                <w:szCs w:val="16"/>
                <w:lang w:val="ru-RU"/>
              </w:rPr>
            </w:pPr>
            <w:r w:rsidRPr="00FA0032">
              <w:rPr>
                <w:color w:val="002060"/>
                <w:sz w:val="16"/>
                <w:lang w:val="ru-RU"/>
              </w:rPr>
              <w:t>удовлетворены – 46,2%,</w:t>
            </w:r>
          </w:p>
          <w:p w:rsidR="00FA0032" w:rsidRPr="00FA0032" w:rsidRDefault="00FA0032" w:rsidP="00C61544">
            <w:pPr>
              <w:keepNext/>
              <w:keepLines/>
              <w:rPr>
                <w:rFonts w:cs="Arial"/>
                <w:color w:val="002060"/>
                <w:sz w:val="16"/>
                <w:szCs w:val="16"/>
                <w:lang w:val="ru-RU"/>
              </w:rPr>
            </w:pPr>
            <w:r w:rsidRPr="00FA0032">
              <w:rPr>
                <w:color w:val="002060"/>
                <w:sz w:val="16"/>
                <w:lang w:val="ru-RU"/>
              </w:rPr>
              <w:t>неудовлетворены – 18,9%,</w:t>
            </w:r>
          </w:p>
          <w:p w:rsidR="00FA0032" w:rsidRPr="00FA0032" w:rsidRDefault="00FA0032" w:rsidP="00C61544">
            <w:pPr>
              <w:keepNext/>
              <w:keepLines/>
              <w:rPr>
                <w:rFonts w:cs="Arial"/>
                <w:i/>
                <w:color w:val="002060"/>
                <w:sz w:val="16"/>
                <w:szCs w:val="16"/>
                <w:lang w:val="ru-RU"/>
              </w:rPr>
            </w:pPr>
            <w:r w:rsidRPr="00FA0032">
              <w:rPr>
                <w:color w:val="002060"/>
                <w:sz w:val="16"/>
                <w:lang w:val="ru-RU"/>
              </w:rPr>
              <w:t>не удовлетворены в крайней степени – 3,7%</w:t>
            </w:r>
          </w:p>
          <w:p w:rsidR="00FA0032" w:rsidRPr="00FA0032" w:rsidRDefault="00FA0032" w:rsidP="00C61544">
            <w:pPr>
              <w:keepNext/>
              <w:keepLines/>
              <w:rPr>
                <w:rFonts w:cs="Arial"/>
                <w:i/>
                <w:color w:val="002060"/>
                <w:sz w:val="8"/>
                <w:szCs w:val="8"/>
                <w:lang w:val="ru-RU"/>
              </w:rPr>
            </w:pPr>
          </w:p>
          <w:p w:rsidR="00FA0032" w:rsidRPr="00FA0032" w:rsidRDefault="00FA0032" w:rsidP="00C61544">
            <w:pPr>
              <w:keepNext/>
              <w:keepLines/>
              <w:rPr>
                <w:sz w:val="16"/>
                <w:lang w:val="ru-RU"/>
              </w:rPr>
            </w:pPr>
            <w:r w:rsidRPr="00FA0032">
              <w:rPr>
                <w:i/>
                <w:sz w:val="16"/>
                <w:lang w:val="ru-RU"/>
              </w:rPr>
              <w:t>Исходные базовые показатели ПиБ на 2014–2015 гг.:</w:t>
            </w:r>
            <w:r w:rsidRPr="00FA0032">
              <w:rPr>
                <w:sz w:val="16"/>
                <w:lang w:val="ru-RU"/>
              </w:rPr>
              <w:t xml:space="preserve">  </w:t>
            </w:r>
          </w:p>
          <w:p w:rsidR="00FA0032" w:rsidRPr="00FA0032" w:rsidRDefault="00FA0032" w:rsidP="00C61544">
            <w:pPr>
              <w:keepNext/>
              <w:keepLines/>
              <w:rPr>
                <w:rFonts w:cs="Arial"/>
                <w:sz w:val="16"/>
                <w:szCs w:val="16"/>
                <w:lang w:val="ru-RU"/>
              </w:rPr>
            </w:pPr>
            <w:r w:rsidRPr="00FA0032">
              <w:rPr>
                <w:sz w:val="16"/>
                <w:lang w:val="ru-RU"/>
              </w:rPr>
              <w:t>полностью удовлетворены – 31,2%</w:t>
            </w:r>
          </w:p>
          <w:p w:rsidR="00FA0032" w:rsidRPr="00FA0032" w:rsidRDefault="00FA0032" w:rsidP="00C61544">
            <w:pPr>
              <w:keepNext/>
              <w:keepLines/>
              <w:rPr>
                <w:rFonts w:cs="Arial"/>
                <w:sz w:val="16"/>
                <w:szCs w:val="16"/>
                <w:lang w:val="ru-RU"/>
              </w:rPr>
            </w:pPr>
            <w:r w:rsidRPr="00FA0032">
              <w:rPr>
                <w:sz w:val="16"/>
                <w:lang w:val="ru-RU"/>
              </w:rPr>
              <w:t>удовлетворены – 48,8%</w:t>
            </w:r>
          </w:p>
          <w:p w:rsidR="00FA0032" w:rsidRPr="00FA0032" w:rsidRDefault="00FA0032" w:rsidP="00C61544">
            <w:pPr>
              <w:keepNext/>
              <w:keepLines/>
              <w:rPr>
                <w:rFonts w:cs="Arial"/>
                <w:sz w:val="16"/>
                <w:szCs w:val="16"/>
                <w:lang w:val="ru-RU"/>
              </w:rPr>
            </w:pPr>
            <w:r w:rsidRPr="00FA0032">
              <w:rPr>
                <w:sz w:val="16"/>
                <w:lang w:val="ru-RU"/>
              </w:rPr>
              <w:t>неудовлетворены – 17,1%</w:t>
            </w:r>
          </w:p>
          <w:p w:rsidR="00FA0032" w:rsidRPr="00FA0032" w:rsidRDefault="00FA0032" w:rsidP="00C61544">
            <w:pPr>
              <w:keepNext/>
              <w:keepLines/>
              <w:rPr>
                <w:rFonts w:cs="Arial"/>
                <w:sz w:val="16"/>
                <w:szCs w:val="16"/>
                <w:lang w:val="ru-RU"/>
              </w:rPr>
            </w:pPr>
            <w:r w:rsidRPr="00FA0032">
              <w:rPr>
                <w:sz w:val="16"/>
                <w:lang w:val="ru-RU"/>
              </w:rPr>
              <w:t>Не удовлетворены в крайней степени – 2,9%</w:t>
            </w:r>
          </w:p>
        </w:tc>
        <w:tc>
          <w:tcPr>
            <w:tcW w:w="870" w:type="pct"/>
            <w:gridSpan w:val="2"/>
            <w:shd w:val="clear" w:color="auto" w:fill="auto"/>
            <w:tcMar>
              <w:top w:w="110" w:type="dxa"/>
            </w:tcMar>
          </w:tcPr>
          <w:p w:rsidR="00FA0032" w:rsidRPr="00797FCA" w:rsidRDefault="00FA0032" w:rsidP="00C61544">
            <w:pPr>
              <w:keepNext/>
              <w:keepLines/>
              <w:rPr>
                <w:rFonts w:cs="Arial"/>
                <w:sz w:val="16"/>
                <w:szCs w:val="16"/>
              </w:rPr>
            </w:pPr>
            <w:r>
              <w:rPr>
                <w:sz w:val="16"/>
              </w:rPr>
              <w:t>85 % полностью удовлетворены или удовлетворены</w:t>
            </w:r>
          </w:p>
        </w:tc>
        <w:tc>
          <w:tcPr>
            <w:tcW w:w="946" w:type="pct"/>
            <w:gridSpan w:val="2"/>
            <w:shd w:val="clear" w:color="auto" w:fill="FFFFFF"/>
            <w:tcMar>
              <w:top w:w="110" w:type="dxa"/>
            </w:tcMar>
          </w:tcPr>
          <w:p w:rsidR="00FA0032" w:rsidRPr="00FA0032" w:rsidRDefault="00FA0032" w:rsidP="00C61544">
            <w:pPr>
              <w:keepNext/>
              <w:keepLines/>
              <w:rPr>
                <w:rFonts w:cs="Arial"/>
                <w:sz w:val="16"/>
                <w:szCs w:val="16"/>
                <w:lang w:val="ru-RU"/>
              </w:rPr>
            </w:pPr>
            <w:r w:rsidRPr="00FA0032">
              <w:rPr>
                <w:sz w:val="16"/>
                <w:lang w:val="ru-RU"/>
              </w:rPr>
              <w:t>В 2014–2015</w:t>
            </w:r>
            <w:r>
              <w:rPr>
                <w:sz w:val="16"/>
              </w:rPr>
              <w:t> </w:t>
            </w:r>
            <w:r w:rsidRPr="00FA0032">
              <w:rPr>
                <w:sz w:val="16"/>
                <w:lang w:val="ru-RU"/>
              </w:rPr>
              <w:t>гг. опрос не проводился</w:t>
            </w:r>
          </w:p>
        </w:tc>
        <w:tc>
          <w:tcPr>
            <w:tcW w:w="569" w:type="pct"/>
            <w:shd w:val="clear" w:color="auto" w:fill="auto"/>
            <w:tcMar>
              <w:top w:w="110" w:type="dxa"/>
            </w:tcMar>
          </w:tcPr>
          <w:p w:rsidR="00FA0032" w:rsidRPr="00EB00A9" w:rsidRDefault="00FA0032" w:rsidP="00C61544">
            <w:pPr>
              <w:keepNext/>
              <w:keepLines/>
              <w:ind w:right="-114"/>
              <w:jc w:val="center"/>
              <w:rPr>
                <w:rFonts w:cs="Arial"/>
                <w:b/>
                <w:bCs/>
                <w:sz w:val="16"/>
                <w:szCs w:val="16"/>
              </w:rPr>
            </w:pPr>
            <w:r>
              <w:rPr>
                <w:b/>
                <w:color w:val="808080" w:themeColor="background1" w:themeShade="80"/>
                <w:sz w:val="16"/>
              </w:rPr>
              <w:t>Не подлежит оценке</w:t>
            </w:r>
          </w:p>
        </w:tc>
      </w:tr>
      <w:tr w:rsidR="00FA0032" w:rsidRPr="00797FCA" w:rsidTr="00C61544">
        <w:tc>
          <w:tcPr>
            <w:tcW w:w="1089" w:type="pct"/>
            <w:shd w:val="clear" w:color="auto" w:fill="auto"/>
          </w:tcPr>
          <w:p w:rsidR="00FA0032" w:rsidRPr="00FA0032" w:rsidRDefault="00FA0032" w:rsidP="00C61544">
            <w:pPr>
              <w:keepNext/>
              <w:keepLines/>
              <w:rPr>
                <w:rFonts w:cs="Arial"/>
                <w:sz w:val="16"/>
                <w:szCs w:val="16"/>
                <w:lang w:val="ru-RU"/>
              </w:rPr>
            </w:pPr>
            <w:r w:rsidRPr="00FA0032">
              <w:rPr>
                <w:sz w:val="16"/>
                <w:lang w:val="ru-RU"/>
              </w:rPr>
              <w:t>Своевременное, точное и эффективное выполнение соответствующих операций службой ЛР</w:t>
            </w:r>
          </w:p>
        </w:tc>
        <w:tc>
          <w:tcPr>
            <w:tcW w:w="1526" w:type="pct"/>
            <w:shd w:val="clear" w:color="auto" w:fill="auto"/>
          </w:tcPr>
          <w:p w:rsidR="00FA0032" w:rsidRPr="00797FCA" w:rsidRDefault="00FA0032" w:rsidP="00C61544">
            <w:pPr>
              <w:keepNext/>
              <w:keepLines/>
              <w:rPr>
                <w:rFonts w:cs="Arial"/>
                <w:sz w:val="16"/>
                <w:szCs w:val="16"/>
              </w:rPr>
            </w:pPr>
            <w:r>
              <w:rPr>
                <w:sz w:val="16"/>
              </w:rPr>
              <w:t>Семь рабочих дней</w:t>
            </w:r>
          </w:p>
          <w:p w:rsidR="00FA0032" w:rsidRPr="00797FCA" w:rsidRDefault="00FA0032" w:rsidP="00C61544">
            <w:pPr>
              <w:keepNext/>
              <w:keepLines/>
              <w:rPr>
                <w:rFonts w:cs="Arial"/>
                <w:sz w:val="16"/>
                <w:szCs w:val="16"/>
              </w:rPr>
            </w:pPr>
          </w:p>
        </w:tc>
        <w:tc>
          <w:tcPr>
            <w:tcW w:w="870" w:type="pct"/>
            <w:gridSpan w:val="2"/>
            <w:shd w:val="clear" w:color="auto" w:fill="auto"/>
            <w:tcMar>
              <w:top w:w="110" w:type="dxa"/>
            </w:tcMar>
          </w:tcPr>
          <w:p w:rsidR="00FA0032" w:rsidRPr="00797FCA" w:rsidRDefault="00FA0032" w:rsidP="00C61544">
            <w:pPr>
              <w:keepNext/>
              <w:keepLines/>
              <w:rPr>
                <w:rFonts w:cs="Arial"/>
                <w:sz w:val="16"/>
                <w:szCs w:val="16"/>
              </w:rPr>
            </w:pPr>
            <w:r>
              <w:rPr>
                <w:sz w:val="16"/>
              </w:rPr>
              <w:t>Пять рабочих дней</w:t>
            </w:r>
          </w:p>
        </w:tc>
        <w:tc>
          <w:tcPr>
            <w:tcW w:w="946" w:type="pct"/>
            <w:gridSpan w:val="2"/>
            <w:shd w:val="clear" w:color="auto" w:fill="FFFFFF"/>
            <w:tcMar>
              <w:top w:w="110" w:type="dxa"/>
            </w:tcMar>
          </w:tcPr>
          <w:p w:rsidR="00FA0032" w:rsidRPr="00FA0032" w:rsidRDefault="00FA0032" w:rsidP="00C61544">
            <w:pPr>
              <w:keepNext/>
              <w:keepLines/>
              <w:rPr>
                <w:rFonts w:cs="Arial"/>
                <w:sz w:val="16"/>
                <w:szCs w:val="16"/>
                <w:lang w:val="ru-RU"/>
              </w:rPr>
            </w:pPr>
            <w:r w:rsidRPr="00FA0032">
              <w:rPr>
                <w:sz w:val="16"/>
                <w:lang w:val="ru-RU"/>
              </w:rPr>
              <w:t xml:space="preserve">100% запросов, зарегистрированных в учетной системе </w:t>
            </w:r>
            <w:r>
              <w:rPr>
                <w:sz w:val="16"/>
              </w:rPr>
              <w:t>WINS</w:t>
            </w:r>
            <w:r w:rsidRPr="00FA0032">
              <w:rPr>
                <w:sz w:val="16"/>
                <w:lang w:val="ru-RU"/>
              </w:rPr>
              <w:t>, были обработаны в течение пяти рабочих дней</w:t>
            </w:r>
          </w:p>
        </w:tc>
        <w:tc>
          <w:tcPr>
            <w:tcW w:w="569" w:type="pct"/>
            <w:shd w:val="clear" w:color="auto" w:fill="auto"/>
            <w:tcMar>
              <w:top w:w="110" w:type="dxa"/>
            </w:tcMar>
          </w:tcPr>
          <w:p w:rsidR="00FA0032" w:rsidRPr="00EB00A9" w:rsidRDefault="00FA0032" w:rsidP="00C61544">
            <w:pPr>
              <w:keepNext/>
              <w:keepLines/>
              <w:ind w:left="-69"/>
              <w:jc w:val="center"/>
              <w:rPr>
                <w:rFonts w:cs="Arial"/>
                <w:b/>
                <w:bCs/>
                <w:sz w:val="16"/>
                <w:szCs w:val="16"/>
              </w:rPr>
            </w:pPr>
            <w:r>
              <w:rPr>
                <w:b/>
                <w:color w:val="00B050"/>
                <w:sz w:val="16"/>
              </w:rPr>
              <w:t>Выполнено</w:t>
            </w:r>
          </w:p>
        </w:tc>
      </w:tr>
      <w:tr w:rsidR="00FA0032" w:rsidRPr="005C6ABD" w:rsidTr="00C61544">
        <w:tc>
          <w:tcPr>
            <w:tcW w:w="5000" w:type="pct"/>
            <w:gridSpan w:val="7"/>
            <w:tcBorders>
              <w:top w:val="single" w:sz="4" w:space="0" w:color="auto"/>
              <w:bottom w:val="single" w:sz="4" w:space="0" w:color="auto"/>
            </w:tcBorders>
            <w:shd w:val="clear" w:color="auto" w:fill="C6D9F1" w:themeFill="text2" w:themeFillTint="33"/>
            <w:vAlign w:val="center"/>
          </w:tcPr>
          <w:p w:rsidR="00FA0032" w:rsidRPr="00FA0032" w:rsidRDefault="00FA0032" w:rsidP="00C61544">
            <w:pPr>
              <w:tabs>
                <w:tab w:val="left" w:pos="2019"/>
              </w:tabs>
              <w:spacing w:before="120" w:after="120"/>
              <w:ind w:left="2019" w:hanging="2019"/>
              <w:rPr>
                <w:rFonts w:cs="Arial"/>
                <w:b/>
                <w:bCs/>
                <w:sz w:val="16"/>
                <w:szCs w:val="16"/>
                <w:lang w:val="ru-RU"/>
              </w:rPr>
            </w:pPr>
            <w:r w:rsidRPr="00FA0032">
              <w:rPr>
                <w:b/>
                <w:sz w:val="16"/>
                <w:lang w:val="ru-RU"/>
              </w:rPr>
              <w:t>Ожидаемый результат:</w:t>
            </w:r>
            <w:r w:rsidRPr="00FA0032">
              <w:rPr>
                <w:lang w:val="ru-RU"/>
              </w:rPr>
              <w:tab/>
            </w:r>
            <w:r>
              <w:rPr>
                <w:sz w:val="16"/>
              </w:rPr>
              <w:t>IX</w:t>
            </w:r>
            <w:r w:rsidRPr="00FA0032">
              <w:rPr>
                <w:sz w:val="16"/>
                <w:lang w:val="ru-RU"/>
              </w:rPr>
              <w:t>.2. Динамичный и слаженно функционирующий Секретариат с правильно организованным штатом должным образом подготовленных сотрудников, которые эффективно добиваются результатов</w:t>
            </w:r>
          </w:p>
        </w:tc>
      </w:tr>
      <w:tr w:rsidR="00FA0032" w:rsidRPr="00797FCA" w:rsidTr="00C61544">
        <w:tc>
          <w:tcPr>
            <w:tcW w:w="1089" w:type="pct"/>
            <w:tcBorders>
              <w:top w:val="single" w:sz="4" w:space="0" w:color="auto"/>
            </w:tcBorders>
            <w:shd w:val="clear" w:color="auto" w:fill="auto"/>
            <w:vAlign w:val="center"/>
          </w:tcPr>
          <w:p w:rsidR="00FA0032" w:rsidRPr="00797FCA" w:rsidRDefault="00FA0032" w:rsidP="00C61544">
            <w:pPr>
              <w:rPr>
                <w:rFonts w:cs="Arial"/>
                <w:sz w:val="16"/>
                <w:szCs w:val="16"/>
              </w:rPr>
            </w:pPr>
            <w:r>
              <w:rPr>
                <w:b/>
                <w:sz w:val="16"/>
              </w:rPr>
              <w:t>Показатели результативности</w:t>
            </w:r>
          </w:p>
        </w:tc>
        <w:tc>
          <w:tcPr>
            <w:tcW w:w="1526" w:type="pct"/>
            <w:tcBorders>
              <w:top w:val="single" w:sz="4" w:space="0" w:color="auto"/>
            </w:tcBorders>
            <w:shd w:val="clear" w:color="auto" w:fill="auto"/>
            <w:vAlign w:val="center"/>
          </w:tcPr>
          <w:p w:rsidR="00FA0032" w:rsidRPr="00797FCA" w:rsidRDefault="00FA0032" w:rsidP="00C61544">
            <w:pPr>
              <w:rPr>
                <w:rFonts w:cs="Arial"/>
                <w:b/>
                <w:bCs/>
                <w:sz w:val="16"/>
                <w:szCs w:val="16"/>
              </w:rPr>
            </w:pPr>
            <w:r>
              <w:rPr>
                <w:b/>
                <w:sz w:val="16"/>
              </w:rPr>
              <w:t>Базовые показатели</w:t>
            </w:r>
          </w:p>
        </w:tc>
        <w:tc>
          <w:tcPr>
            <w:tcW w:w="870" w:type="pct"/>
            <w:gridSpan w:val="2"/>
            <w:tcBorders>
              <w:top w:val="single" w:sz="4" w:space="0" w:color="auto"/>
            </w:tcBorders>
            <w:shd w:val="clear" w:color="auto" w:fill="auto"/>
            <w:tcMar>
              <w:top w:w="110" w:type="dxa"/>
            </w:tcMar>
            <w:vAlign w:val="center"/>
          </w:tcPr>
          <w:p w:rsidR="00FA0032" w:rsidRPr="00797FCA" w:rsidRDefault="00FA0032" w:rsidP="00C61544">
            <w:pPr>
              <w:rPr>
                <w:rFonts w:cs="Arial"/>
                <w:b/>
                <w:sz w:val="16"/>
                <w:szCs w:val="16"/>
              </w:rPr>
            </w:pPr>
            <w:r>
              <w:rPr>
                <w:b/>
                <w:sz w:val="16"/>
              </w:rPr>
              <w:t>Цели</w:t>
            </w:r>
          </w:p>
        </w:tc>
        <w:tc>
          <w:tcPr>
            <w:tcW w:w="903" w:type="pct"/>
            <w:tcBorders>
              <w:top w:val="single" w:sz="4" w:space="0" w:color="auto"/>
            </w:tcBorders>
            <w:shd w:val="clear" w:color="auto" w:fill="FFFFFF"/>
            <w:tcMar>
              <w:top w:w="110" w:type="dxa"/>
            </w:tcMar>
            <w:vAlign w:val="center"/>
          </w:tcPr>
          <w:p w:rsidR="00FA0032" w:rsidRPr="00797FCA" w:rsidRDefault="00FA0032" w:rsidP="00C61544">
            <w:pPr>
              <w:rPr>
                <w:rFonts w:cs="Arial"/>
                <w:sz w:val="16"/>
                <w:szCs w:val="16"/>
              </w:rPr>
            </w:pPr>
            <w:r>
              <w:rPr>
                <w:b/>
                <w:sz w:val="16"/>
              </w:rPr>
              <w:t>Данные о результативности</w:t>
            </w:r>
          </w:p>
        </w:tc>
        <w:tc>
          <w:tcPr>
            <w:tcW w:w="612" w:type="pct"/>
            <w:gridSpan w:val="2"/>
            <w:tcBorders>
              <w:top w:val="single" w:sz="4" w:space="0" w:color="auto"/>
            </w:tcBorders>
            <w:shd w:val="clear" w:color="auto" w:fill="auto"/>
            <w:tcMar>
              <w:top w:w="110" w:type="dxa"/>
            </w:tcMar>
            <w:vAlign w:val="center"/>
          </w:tcPr>
          <w:p w:rsidR="00FA0032" w:rsidRPr="00797FCA" w:rsidRDefault="00FA0032" w:rsidP="00C61544">
            <w:pPr>
              <w:jc w:val="center"/>
              <w:rPr>
                <w:rFonts w:cs="Arial"/>
                <w:b/>
                <w:bCs/>
                <w:sz w:val="16"/>
                <w:szCs w:val="16"/>
              </w:rPr>
            </w:pPr>
            <w:r>
              <w:rPr>
                <w:b/>
                <w:sz w:val="16"/>
              </w:rPr>
              <w:t>CC</w:t>
            </w:r>
          </w:p>
        </w:tc>
      </w:tr>
      <w:tr w:rsidR="00FA0032" w:rsidRPr="00797FCA" w:rsidTr="00C61544">
        <w:trPr>
          <w:trHeight w:val="1285"/>
        </w:trPr>
        <w:tc>
          <w:tcPr>
            <w:tcW w:w="1089" w:type="pct"/>
            <w:shd w:val="clear" w:color="auto" w:fill="auto"/>
          </w:tcPr>
          <w:p w:rsidR="00FA0032" w:rsidRPr="00FA0032" w:rsidRDefault="00FA0032" w:rsidP="00C61544">
            <w:pPr>
              <w:rPr>
                <w:rFonts w:cs="Arial"/>
                <w:sz w:val="16"/>
                <w:szCs w:val="16"/>
                <w:lang w:val="ru-RU"/>
              </w:rPr>
            </w:pPr>
            <w:r w:rsidRPr="00FA0032">
              <w:rPr>
                <w:sz w:val="16"/>
                <w:lang w:val="ru-RU"/>
              </w:rPr>
              <w:t>Срок оформления на работу новых сотрудников</w:t>
            </w:r>
          </w:p>
        </w:tc>
        <w:tc>
          <w:tcPr>
            <w:tcW w:w="1526" w:type="pct"/>
            <w:shd w:val="clear" w:color="auto" w:fill="auto"/>
          </w:tcPr>
          <w:p w:rsidR="00FA0032" w:rsidRPr="00FA0032" w:rsidRDefault="00FA0032" w:rsidP="00C61544">
            <w:pPr>
              <w:rPr>
                <w:color w:val="002060"/>
                <w:sz w:val="16"/>
                <w:lang w:val="ru-RU"/>
              </w:rPr>
            </w:pPr>
            <w:r w:rsidRPr="00FA0032">
              <w:rPr>
                <w:i/>
                <w:color w:val="002060"/>
                <w:sz w:val="16"/>
                <w:lang w:val="ru-RU"/>
              </w:rPr>
              <w:t>Обновленные базовые показатели, конец 2013</w:t>
            </w:r>
            <w:r>
              <w:rPr>
                <w:i/>
                <w:color w:val="002060"/>
                <w:sz w:val="16"/>
              </w:rPr>
              <w:t> </w:t>
            </w:r>
            <w:r w:rsidRPr="00FA0032">
              <w:rPr>
                <w:i/>
                <w:color w:val="002060"/>
                <w:sz w:val="16"/>
                <w:lang w:val="ru-RU"/>
              </w:rPr>
              <w:t xml:space="preserve">г.:  </w:t>
            </w:r>
          </w:p>
          <w:p w:rsidR="00FA0032" w:rsidRPr="00FA0032" w:rsidRDefault="00FA0032" w:rsidP="00C61544">
            <w:pPr>
              <w:rPr>
                <w:rFonts w:cs="Arial"/>
                <w:color w:val="002060"/>
                <w:sz w:val="16"/>
                <w:szCs w:val="16"/>
                <w:lang w:val="ru-RU"/>
              </w:rPr>
            </w:pPr>
            <w:r w:rsidRPr="00FA0032">
              <w:rPr>
                <w:color w:val="002060"/>
                <w:sz w:val="16"/>
                <w:lang w:val="ru-RU"/>
              </w:rPr>
              <w:t>в среднем за двухлетний период – 16,03 недели (на 19 марта 2014 г.),</w:t>
            </w:r>
          </w:p>
          <w:p w:rsidR="00FA0032" w:rsidRPr="00FA0032" w:rsidRDefault="00FA0032" w:rsidP="00C61544">
            <w:pPr>
              <w:pStyle w:val="ListParagraph"/>
              <w:ind w:left="0"/>
              <w:rPr>
                <w:rFonts w:cs="Arial"/>
                <w:color w:val="002060"/>
                <w:sz w:val="16"/>
                <w:szCs w:val="16"/>
                <w:lang w:val="ru-RU"/>
              </w:rPr>
            </w:pPr>
            <w:r w:rsidRPr="00FA0032">
              <w:rPr>
                <w:color w:val="002060"/>
                <w:sz w:val="16"/>
                <w:lang w:val="ru-RU"/>
              </w:rPr>
              <w:t>2012</w:t>
            </w:r>
            <w:r>
              <w:rPr>
                <w:color w:val="002060"/>
                <w:sz w:val="16"/>
              </w:rPr>
              <w:t> </w:t>
            </w:r>
            <w:r w:rsidRPr="00FA0032">
              <w:rPr>
                <w:color w:val="002060"/>
                <w:sz w:val="16"/>
                <w:lang w:val="ru-RU"/>
              </w:rPr>
              <w:t>г. – 16,5 недели,</w:t>
            </w:r>
          </w:p>
          <w:p w:rsidR="00FA0032" w:rsidRPr="00FA0032" w:rsidRDefault="00FA0032" w:rsidP="00C61544">
            <w:pPr>
              <w:pStyle w:val="ListParagraph"/>
              <w:ind w:left="0"/>
              <w:rPr>
                <w:i/>
                <w:sz w:val="8"/>
                <w:szCs w:val="8"/>
                <w:lang w:val="ru-RU"/>
              </w:rPr>
            </w:pPr>
            <w:r w:rsidRPr="00FA0032">
              <w:rPr>
                <w:color w:val="002060"/>
                <w:sz w:val="16"/>
                <w:lang w:val="ru-RU"/>
              </w:rPr>
              <w:t>2013</w:t>
            </w:r>
            <w:r>
              <w:rPr>
                <w:color w:val="002060"/>
                <w:sz w:val="16"/>
              </w:rPr>
              <w:t> </w:t>
            </w:r>
            <w:r w:rsidRPr="00FA0032">
              <w:rPr>
                <w:color w:val="002060"/>
                <w:sz w:val="16"/>
                <w:lang w:val="ru-RU"/>
              </w:rPr>
              <w:t>г. – 15,56 недели</w:t>
            </w:r>
          </w:p>
          <w:p w:rsidR="00FA0032" w:rsidRPr="00FA0032" w:rsidRDefault="00FA0032" w:rsidP="00C61544">
            <w:pPr>
              <w:rPr>
                <w:rFonts w:cs="Arial"/>
                <w:i/>
                <w:color w:val="002060"/>
                <w:sz w:val="8"/>
                <w:szCs w:val="8"/>
                <w:lang w:val="ru-RU"/>
              </w:rPr>
            </w:pPr>
          </w:p>
          <w:p w:rsidR="00FA0032" w:rsidRPr="00FA0032" w:rsidRDefault="00FA0032" w:rsidP="00C61544">
            <w:pPr>
              <w:rPr>
                <w:rFonts w:cs="Arial"/>
                <w:sz w:val="16"/>
                <w:szCs w:val="16"/>
                <w:lang w:val="ru-RU"/>
              </w:rPr>
            </w:pPr>
            <w:r w:rsidRPr="00FA0032">
              <w:rPr>
                <w:i/>
                <w:sz w:val="16"/>
                <w:lang w:val="ru-RU"/>
              </w:rPr>
              <w:t>Исходные базовые показатели ПиБ на 2014–2015 гг.:</w:t>
            </w:r>
            <w:r w:rsidRPr="00FA0032">
              <w:rPr>
                <w:sz w:val="16"/>
                <w:lang w:val="ru-RU"/>
              </w:rPr>
              <w:t xml:space="preserve">  21 неделя</w:t>
            </w:r>
          </w:p>
        </w:tc>
        <w:tc>
          <w:tcPr>
            <w:tcW w:w="870" w:type="pct"/>
            <w:gridSpan w:val="2"/>
            <w:shd w:val="clear" w:color="auto" w:fill="auto"/>
            <w:tcMar>
              <w:top w:w="110" w:type="dxa"/>
            </w:tcMar>
          </w:tcPr>
          <w:p w:rsidR="00FA0032" w:rsidRPr="00797FCA" w:rsidRDefault="00FA0032" w:rsidP="00C61544">
            <w:pPr>
              <w:rPr>
                <w:rFonts w:cs="Arial"/>
                <w:sz w:val="16"/>
                <w:szCs w:val="16"/>
              </w:rPr>
            </w:pPr>
            <w:r>
              <w:rPr>
                <w:sz w:val="16"/>
              </w:rPr>
              <w:t>19 недель</w:t>
            </w:r>
          </w:p>
        </w:tc>
        <w:tc>
          <w:tcPr>
            <w:tcW w:w="903" w:type="pct"/>
            <w:shd w:val="clear" w:color="auto" w:fill="FFFFFF"/>
            <w:tcMar>
              <w:top w:w="110" w:type="dxa"/>
            </w:tcMar>
          </w:tcPr>
          <w:p w:rsidR="00FA0032" w:rsidRPr="00FA0032" w:rsidRDefault="00FA0032" w:rsidP="00C61544">
            <w:pPr>
              <w:ind w:right="-204"/>
              <w:rPr>
                <w:rFonts w:cs="Arial"/>
                <w:sz w:val="16"/>
                <w:szCs w:val="16"/>
                <w:lang w:val="ru-RU"/>
              </w:rPr>
            </w:pPr>
            <w:r w:rsidRPr="00FA0032">
              <w:rPr>
                <w:sz w:val="16"/>
                <w:lang w:val="ru-RU"/>
              </w:rPr>
              <w:t>В среднем за двухлетний период –</w:t>
            </w:r>
          </w:p>
          <w:p w:rsidR="00FA0032" w:rsidRPr="00FA0032" w:rsidRDefault="00FA0032" w:rsidP="00C61544">
            <w:pPr>
              <w:ind w:right="-113"/>
              <w:rPr>
                <w:rFonts w:cs="Arial"/>
                <w:sz w:val="16"/>
                <w:szCs w:val="16"/>
                <w:lang w:val="ru-RU"/>
              </w:rPr>
            </w:pPr>
            <w:r w:rsidRPr="00FA0032">
              <w:rPr>
                <w:sz w:val="16"/>
                <w:lang w:val="ru-RU"/>
              </w:rPr>
              <w:t>19,77,</w:t>
            </w:r>
          </w:p>
          <w:p w:rsidR="00FA0032" w:rsidRPr="00FA0032" w:rsidRDefault="00FA0032" w:rsidP="00C61544">
            <w:pPr>
              <w:rPr>
                <w:rFonts w:cs="Arial"/>
                <w:sz w:val="16"/>
                <w:szCs w:val="16"/>
                <w:lang w:val="ru-RU"/>
              </w:rPr>
            </w:pPr>
            <w:r w:rsidRPr="00FA0032">
              <w:rPr>
                <w:sz w:val="16"/>
                <w:lang w:val="ru-RU"/>
              </w:rPr>
              <w:t>2014</w:t>
            </w:r>
            <w:r>
              <w:rPr>
                <w:sz w:val="16"/>
              </w:rPr>
              <w:t> </w:t>
            </w:r>
            <w:r w:rsidRPr="00FA0032">
              <w:rPr>
                <w:sz w:val="16"/>
                <w:lang w:val="ru-RU"/>
              </w:rPr>
              <w:t>г. – 17,28</w:t>
            </w:r>
            <w:r>
              <w:rPr>
                <w:sz w:val="16"/>
              </w:rPr>
              <w:t> </w:t>
            </w:r>
            <w:r w:rsidRPr="00FA0032">
              <w:rPr>
                <w:sz w:val="16"/>
                <w:lang w:val="ru-RU"/>
              </w:rPr>
              <w:t>недели</w:t>
            </w:r>
            <w:r>
              <w:rPr>
                <w:rStyle w:val="FootnoteReference"/>
                <w:sz w:val="16"/>
              </w:rPr>
              <w:footnoteReference w:id="130"/>
            </w:r>
            <w:r w:rsidRPr="00FA0032">
              <w:rPr>
                <w:sz w:val="16"/>
                <w:lang w:val="ru-RU"/>
              </w:rPr>
              <w:t xml:space="preserve"> (включая 29 СВК),</w:t>
            </w:r>
          </w:p>
          <w:p w:rsidR="00FA0032" w:rsidRPr="00FA0032" w:rsidRDefault="00FA0032" w:rsidP="00C61544">
            <w:pPr>
              <w:rPr>
                <w:rFonts w:cs="Arial"/>
                <w:sz w:val="16"/>
                <w:szCs w:val="16"/>
                <w:lang w:val="ru-RU"/>
              </w:rPr>
            </w:pPr>
            <w:r w:rsidRPr="00FA0032">
              <w:rPr>
                <w:sz w:val="16"/>
                <w:lang w:val="ru-RU"/>
              </w:rPr>
              <w:t>2015</w:t>
            </w:r>
            <w:r>
              <w:rPr>
                <w:sz w:val="16"/>
              </w:rPr>
              <w:t> </w:t>
            </w:r>
            <w:r w:rsidRPr="00FA0032">
              <w:rPr>
                <w:sz w:val="16"/>
                <w:lang w:val="ru-RU"/>
              </w:rPr>
              <w:t>г. – 22,29 недели</w:t>
            </w:r>
            <w:r>
              <w:rPr>
                <w:rStyle w:val="FootnoteReference"/>
                <w:sz w:val="16"/>
              </w:rPr>
              <w:footnoteReference w:id="131"/>
            </w:r>
          </w:p>
          <w:p w:rsidR="00FA0032" w:rsidRPr="00797FCA" w:rsidRDefault="00FA0032" w:rsidP="00C61544">
            <w:pPr>
              <w:rPr>
                <w:rFonts w:cs="Arial"/>
                <w:sz w:val="16"/>
                <w:szCs w:val="16"/>
              </w:rPr>
            </w:pPr>
            <w:r>
              <w:rPr>
                <w:sz w:val="16"/>
              </w:rPr>
              <w:t>(0 СВК в 2015 г.)</w:t>
            </w:r>
          </w:p>
        </w:tc>
        <w:tc>
          <w:tcPr>
            <w:tcW w:w="612" w:type="pct"/>
            <w:gridSpan w:val="2"/>
            <w:shd w:val="clear" w:color="auto" w:fill="auto"/>
            <w:tcMar>
              <w:top w:w="110" w:type="dxa"/>
            </w:tcMar>
          </w:tcPr>
          <w:p w:rsidR="00FA0032" w:rsidRPr="00EB00A9" w:rsidRDefault="00FA0032" w:rsidP="00C61544">
            <w:pPr>
              <w:jc w:val="center"/>
              <w:rPr>
                <w:rFonts w:cs="Arial"/>
                <w:b/>
                <w:bCs/>
                <w:color w:val="00B050"/>
                <w:sz w:val="16"/>
                <w:szCs w:val="16"/>
              </w:rPr>
            </w:pPr>
            <w:r>
              <w:rPr>
                <w:b/>
                <w:color w:val="00B050"/>
                <w:sz w:val="16"/>
              </w:rPr>
              <w:t>Выполнено</w:t>
            </w:r>
          </w:p>
        </w:tc>
      </w:tr>
      <w:tr w:rsidR="00FA0032" w:rsidRPr="00797FCA" w:rsidTr="00C61544">
        <w:trPr>
          <w:trHeight w:val="709"/>
        </w:trPr>
        <w:tc>
          <w:tcPr>
            <w:tcW w:w="1089" w:type="pct"/>
            <w:shd w:val="clear" w:color="auto" w:fill="auto"/>
          </w:tcPr>
          <w:p w:rsidR="00FA0032" w:rsidRPr="00FA0032" w:rsidRDefault="00FA0032" w:rsidP="00C61544">
            <w:pPr>
              <w:rPr>
                <w:rFonts w:cs="Arial"/>
                <w:sz w:val="16"/>
                <w:szCs w:val="16"/>
                <w:lang w:val="ru-RU"/>
              </w:rPr>
            </w:pPr>
            <w:r w:rsidRPr="00FA0032">
              <w:rPr>
                <w:sz w:val="16"/>
                <w:lang w:val="ru-RU"/>
              </w:rPr>
              <w:t>Доля (%) структурных подразделений, имеющееся штатное расписание которых увязано с годовыми планами работы</w:t>
            </w:r>
          </w:p>
        </w:tc>
        <w:tc>
          <w:tcPr>
            <w:tcW w:w="1526" w:type="pct"/>
            <w:shd w:val="clear" w:color="auto" w:fill="auto"/>
          </w:tcPr>
          <w:p w:rsidR="00FA0032" w:rsidRPr="00FA0032" w:rsidRDefault="00FA0032" w:rsidP="00C61544">
            <w:pPr>
              <w:rPr>
                <w:rFonts w:cs="Arial"/>
                <w:color w:val="002060"/>
                <w:sz w:val="16"/>
                <w:szCs w:val="16"/>
                <w:lang w:val="ru-RU"/>
              </w:rPr>
            </w:pPr>
            <w:r w:rsidRPr="00FA0032">
              <w:rPr>
                <w:i/>
                <w:color w:val="002060"/>
                <w:sz w:val="16"/>
                <w:lang w:val="ru-RU"/>
              </w:rPr>
              <w:t>Обновленные базовые показатели, конец 2013</w:t>
            </w:r>
            <w:r>
              <w:rPr>
                <w:i/>
                <w:color w:val="002060"/>
                <w:sz w:val="16"/>
              </w:rPr>
              <w:t> </w:t>
            </w:r>
            <w:r w:rsidRPr="00FA0032">
              <w:rPr>
                <w:i/>
                <w:color w:val="002060"/>
                <w:sz w:val="16"/>
                <w:lang w:val="ru-RU"/>
              </w:rPr>
              <w:t xml:space="preserve">г.:  </w:t>
            </w:r>
            <w:r w:rsidRPr="00FA0032">
              <w:rPr>
                <w:color w:val="002060"/>
                <w:sz w:val="16"/>
                <w:lang w:val="ru-RU"/>
              </w:rPr>
              <w:t>0 (ноль)</w:t>
            </w:r>
          </w:p>
          <w:p w:rsidR="00FA0032" w:rsidRPr="00FA0032" w:rsidRDefault="00FA0032" w:rsidP="00C61544">
            <w:pPr>
              <w:rPr>
                <w:rFonts w:cs="Arial"/>
                <w:i/>
                <w:color w:val="002060"/>
                <w:sz w:val="8"/>
                <w:szCs w:val="8"/>
                <w:lang w:val="ru-RU"/>
              </w:rPr>
            </w:pPr>
          </w:p>
          <w:p w:rsidR="00FA0032" w:rsidRPr="00FA0032" w:rsidRDefault="00FA0032" w:rsidP="00C61544">
            <w:pPr>
              <w:rPr>
                <w:rFonts w:cs="Arial"/>
                <w:sz w:val="16"/>
                <w:szCs w:val="16"/>
                <w:lang w:val="ru-RU"/>
              </w:rPr>
            </w:pPr>
            <w:r w:rsidRPr="00FA0032">
              <w:rPr>
                <w:i/>
                <w:sz w:val="16"/>
                <w:lang w:val="ru-RU"/>
              </w:rPr>
              <w:t>Исходные базовые показатели ПиБ на 2014–2015 гг.:</w:t>
            </w:r>
            <w:r w:rsidRPr="00FA0032">
              <w:rPr>
                <w:sz w:val="16"/>
                <w:lang w:val="ru-RU"/>
              </w:rPr>
              <w:t xml:space="preserve">  будут определены позднее</w:t>
            </w:r>
          </w:p>
        </w:tc>
        <w:tc>
          <w:tcPr>
            <w:tcW w:w="870" w:type="pct"/>
            <w:gridSpan w:val="2"/>
            <w:shd w:val="clear" w:color="auto" w:fill="auto"/>
            <w:tcMar>
              <w:top w:w="110" w:type="dxa"/>
            </w:tcMar>
          </w:tcPr>
          <w:p w:rsidR="00FA0032" w:rsidRPr="00797FCA" w:rsidRDefault="00FA0032" w:rsidP="00C61544">
            <w:pPr>
              <w:autoSpaceDE w:val="0"/>
              <w:autoSpaceDN w:val="0"/>
              <w:adjustRightInd w:val="0"/>
              <w:rPr>
                <w:rFonts w:cs="Arial"/>
                <w:sz w:val="16"/>
                <w:szCs w:val="16"/>
              </w:rPr>
            </w:pPr>
            <w:r>
              <w:rPr>
                <w:sz w:val="16"/>
              </w:rPr>
              <w:t xml:space="preserve">70% </w:t>
            </w:r>
          </w:p>
          <w:p w:rsidR="00FA0032" w:rsidRPr="00784FF4" w:rsidRDefault="00FA0032" w:rsidP="00C61544">
            <w:pPr>
              <w:rPr>
                <w:rFonts w:cs="Arial"/>
                <w:sz w:val="16"/>
                <w:szCs w:val="16"/>
              </w:rPr>
            </w:pPr>
          </w:p>
        </w:tc>
        <w:tc>
          <w:tcPr>
            <w:tcW w:w="903" w:type="pct"/>
            <w:shd w:val="clear" w:color="auto" w:fill="FFFFFF"/>
            <w:tcMar>
              <w:top w:w="110" w:type="dxa"/>
            </w:tcMar>
          </w:tcPr>
          <w:p w:rsidR="00FA0032" w:rsidRPr="00CD5342" w:rsidRDefault="00FA0032" w:rsidP="00C61544">
            <w:pPr>
              <w:rPr>
                <w:rFonts w:cs="Arial"/>
                <w:sz w:val="16"/>
                <w:szCs w:val="16"/>
              </w:rPr>
            </w:pPr>
            <w:r>
              <w:rPr>
                <w:sz w:val="16"/>
              </w:rPr>
              <w:t>90%</w:t>
            </w:r>
          </w:p>
        </w:tc>
        <w:tc>
          <w:tcPr>
            <w:tcW w:w="612" w:type="pct"/>
            <w:gridSpan w:val="2"/>
            <w:shd w:val="clear" w:color="auto" w:fill="auto"/>
            <w:tcMar>
              <w:top w:w="110" w:type="dxa"/>
            </w:tcMar>
          </w:tcPr>
          <w:p w:rsidR="00FA0032" w:rsidRPr="00EB00A9" w:rsidRDefault="00FA0032" w:rsidP="00C61544">
            <w:pPr>
              <w:jc w:val="center"/>
              <w:rPr>
                <w:rFonts w:cs="Arial"/>
                <w:b/>
                <w:bCs/>
                <w:color w:val="00B050"/>
                <w:sz w:val="16"/>
                <w:szCs w:val="16"/>
              </w:rPr>
            </w:pPr>
            <w:r>
              <w:rPr>
                <w:b/>
                <w:color w:val="00B050"/>
                <w:sz w:val="16"/>
              </w:rPr>
              <w:t>Выполнено</w:t>
            </w:r>
          </w:p>
        </w:tc>
      </w:tr>
      <w:tr w:rsidR="00FA0032" w:rsidRPr="00797FCA" w:rsidTr="00C61544">
        <w:tc>
          <w:tcPr>
            <w:tcW w:w="1089" w:type="pct"/>
            <w:shd w:val="clear" w:color="auto" w:fill="auto"/>
          </w:tcPr>
          <w:p w:rsidR="00FA0032" w:rsidRPr="00FA0032" w:rsidRDefault="00FA0032" w:rsidP="00C61544">
            <w:pPr>
              <w:rPr>
                <w:rFonts w:cs="Arial"/>
                <w:sz w:val="16"/>
                <w:szCs w:val="16"/>
                <w:lang w:val="ru-RU"/>
              </w:rPr>
            </w:pPr>
            <w:r w:rsidRPr="00FA0032">
              <w:rPr>
                <w:sz w:val="16"/>
                <w:lang w:val="ru-RU"/>
              </w:rPr>
              <w:t>Доля (%) новых сотрудников, соответствующих потребностям Организации</w:t>
            </w:r>
          </w:p>
        </w:tc>
        <w:tc>
          <w:tcPr>
            <w:tcW w:w="1526" w:type="pct"/>
            <w:shd w:val="clear" w:color="auto" w:fill="auto"/>
          </w:tcPr>
          <w:p w:rsidR="00FA0032" w:rsidRPr="00797FCA" w:rsidRDefault="00FA0032" w:rsidP="00C61544">
            <w:pPr>
              <w:rPr>
                <w:rFonts w:cs="Arial"/>
                <w:sz w:val="16"/>
                <w:szCs w:val="16"/>
              </w:rPr>
            </w:pPr>
            <w:r>
              <w:rPr>
                <w:sz w:val="16"/>
              </w:rPr>
              <w:t>Будут определены позднее</w:t>
            </w:r>
          </w:p>
          <w:p w:rsidR="00FA0032" w:rsidRPr="00797FCA" w:rsidRDefault="00FA0032" w:rsidP="00C61544">
            <w:pPr>
              <w:rPr>
                <w:rFonts w:cs="Arial"/>
                <w:i/>
                <w:color w:val="002060"/>
                <w:sz w:val="16"/>
                <w:szCs w:val="16"/>
              </w:rPr>
            </w:pPr>
          </w:p>
        </w:tc>
        <w:tc>
          <w:tcPr>
            <w:tcW w:w="870" w:type="pct"/>
            <w:gridSpan w:val="2"/>
            <w:shd w:val="clear" w:color="auto" w:fill="auto"/>
            <w:tcMar>
              <w:top w:w="110" w:type="dxa"/>
            </w:tcMar>
          </w:tcPr>
          <w:p w:rsidR="00FA0032" w:rsidRPr="00FA0032" w:rsidRDefault="00FA0032" w:rsidP="00C61544">
            <w:pPr>
              <w:rPr>
                <w:rFonts w:cs="Arial"/>
                <w:sz w:val="16"/>
                <w:szCs w:val="16"/>
                <w:lang w:val="ru-RU"/>
              </w:rPr>
            </w:pPr>
            <w:r w:rsidRPr="00FA0032">
              <w:rPr>
                <w:sz w:val="16"/>
                <w:lang w:val="ru-RU"/>
              </w:rPr>
              <w:t>80% сотрудников, результативность работы которых оценивается как удовлетвори-тельная к окончанию испытательного срока</w:t>
            </w:r>
          </w:p>
        </w:tc>
        <w:tc>
          <w:tcPr>
            <w:tcW w:w="903" w:type="pct"/>
            <w:shd w:val="clear" w:color="auto" w:fill="FFFFFF"/>
            <w:tcMar>
              <w:top w:w="110" w:type="dxa"/>
            </w:tcMar>
          </w:tcPr>
          <w:p w:rsidR="00FA0032" w:rsidRPr="00FA0032" w:rsidRDefault="00FA0032" w:rsidP="00C61544">
            <w:pPr>
              <w:rPr>
                <w:rFonts w:cs="Arial"/>
                <w:sz w:val="16"/>
                <w:szCs w:val="16"/>
                <w:lang w:val="ru-RU"/>
              </w:rPr>
            </w:pPr>
            <w:r w:rsidRPr="00FA0032">
              <w:rPr>
                <w:sz w:val="16"/>
                <w:lang w:val="ru-RU"/>
              </w:rPr>
              <w:t>У 94,4% сотрудников, поступивших на работу в 2013</w:t>
            </w:r>
            <w:r>
              <w:rPr>
                <w:sz w:val="16"/>
              </w:rPr>
              <w:t> </w:t>
            </w:r>
            <w:r w:rsidRPr="00FA0032">
              <w:rPr>
                <w:sz w:val="16"/>
                <w:lang w:val="ru-RU"/>
              </w:rPr>
              <w:t>г. и 2014</w:t>
            </w:r>
            <w:r>
              <w:rPr>
                <w:sz w:val="16"/>
              </w:rPr>
              <w:t> </w:t>
            </w:r>
            <w:r w:rsidRPr="00FA0032">
              <w:rPr>
                <w:sz w:val="16"/>
                <w:lang w:val="ru-RU"/>
              </w:rPr>
              <w:t xml:space="preserve">г., удовлетвори-тельные показатели результативности работы в </w:t>
            </w:r>
            <w:r>
              <w:rPr>
                <w:sz w:val="16"/>
              </w:rPr>
              <w:t>PMSDS</w:t>
            </w:r>
          </w:p>
        </w:tc>
        <w:tc>
          <w:tcPr>
            <w:tcW w:w="612" w:type="pct"/>
            <w:gridSpan w:val="2"/>
            <w:shd w:val="clear" w:color="auto" w:fill="auto"/>
            <w:tcMar>
              <w:top w:w="110" w:type="dxa"/>
            </w:tcMar>
          </w:tcPr>
          <w:p w:rsidR="00FA0032" w:rsidRPr="00EB00A9" w:rsidRDefault="00FA0032" w:rsidP="00C61544">
            <w:pPr>
              <w:jc w:val="center"/>
              <w:rPr>
                <w:rFonts w:cs="Arial"/>
                <w:b/>
                <w:bCs/>
                <w:color w:val="00B050"/>
                <w:sz w:val="16"/>
                <w:szCs w:val="16"/>
              </w:rPr>
            </w:pPr>
            <w:r>
              <w:rPr>
                <w:b/>
                <w:color w:val="00B050"/>
                <w:sz w:val="16"/>
              </w:rPr>
              <w:t>Выполнено</w:t>
            </w:r>
          </w:p>
        </w:tc>
      </w:tr>
      <w:tr w:rsidR="00FA0032" w:rsidRPr="00797FCA" w:rsidTr="00C61544">
        <w:tc>
          <w:tcPr>
            <w:tcW w:w="1089" w:type="pct"/>
            <w:tcBorders>
              <w:bottom w:val="single" w:sz="4" w:space="0" w:color="auto"/>
            </w:tcBorders>
            <w:shd w:val="clear" w:color="auto" w:fill="auto"/>
          </w:tcPr>
          <w:p w:rsidR="00FA0032" w:rsidRPr="00FA0032" w:rsidRDefault="00FA0032" w:rsidP="00C61544">
            <w:pPr>
              <w:rPr>
                <w:rFonts w:cs="Arial"/>
                <w:sz w:val="16"/>
                <w:szCs w:val="16"/>
                <w:lang w:val="ru-RU"/>
              </w:rPr>
            </w:pPr>
            <w:r w:rsidRPr="00FA0032">
              <w:rPr>
                <w:sz w:val="16"/>
                <w:lang w:val="ru-RU"/>
              </w:rPr>
              <w:t>Доля (%) штатных сотрудников, результаты работы которых оцениваются с учетом их индивидуальных задач и профессиональной компетенции</w:t>
            </w:r>
          </w:p>
        </w:tc>
        <w:tc>
          <w:tcPr>
            <w:tcW w:w="1526" w:type="pct"/>
            <w:tcBorders>
              <w:bottom w:val="single" w:sz="4" w:space="0" w:color="auto"/>
            </w:tcBorders>
            <w:shd w:val="clear" w:color="auto" w:fill="auto"/>
          </w:tcPr>
          <w:p w:rsidR="00FA0032" w:rsidRPr="00FA0032" w:rsidRDefault="00FA0032" w:rsidP="00C61544">
            <w:pPr>
              <w:rPr>
                <w:color w:val="002060"/>
                <w:sz w:val="16"/>
                <w:lang w:val="ru-RU"/>
              </w:rPr>
            </w:pPr>
            <w:r w:rsidRPr="00FA0032">
              <w:rPr>
                <w:i/>
                <w:color w:val="002060"/>
                <w:sz w:val="16"/>
                <w:lang w:val="ru-RU"/>
              </w:rPr>
              <w:t>Обновленные базовые показатели, конец 2013</w:t>
            </w:r>
            <w:r>
              <w:rPr>
                <w:i/>
                <w:color w:val="002060"/>
                <w:sz w:val="16"/>
              </w:rPr>
              <w:t> </w:t>
            </w:r>
            <w:r w:rsidRPr="00FA0032">
              <w:rPr>
                <w:i/>
                <w:color w:val="002060"/>
                <w:sz w:val="16"/>
                <w:lang w:val="ru-RU"/>
              </w:rPr>
              <w:t xml:space="preserve">г.:  </w:t>
            </w:r>
          </w:p>
          <w:p w:rsidR="00FA0032" w:rsidRPr="00FA0032" w:rsidRDefault="00FA0032" w:rsidP="00C61544">
            <w:pPr>
              <w:rPr>
                <w:rFonts w:cs="Arial"/>
                <w:color w:val="002060"/>
                <w:sz w:val="16"/>
                <w:szCs w:val="16"/>
                <w:lang w:val="ru-RU"/>
              </w:rPr>
            </w:pPr>
            <w:r w:rsidRPr="00FA0032">
              <w:rPr>
                <w:color w:val="002060"/>
                <w:sz w:val="16"/>
                <w:lang w:val="ru-RU"/>
              </w:rPr>
              <w:t xml:space="preserve">двухлетний период – 90,75% сотрудников, учитываемых в системе </w:t>
            </w:r>
            <w:r>
              <w:rPr>
                <w:color w:val="002060"/>
                <w:sz w:val="16"/>
              </w:rPr>
              <w:t>PMSDS</w:t>
            </w:r>
            <w:r w:rsidRPr="00FA0032">
              <w:rPr>
                <w:color w:val="002060"/>
                <w:sz w:val="16"/>
                <w:lang w:val="ru-RU"/>
              </w:rPr>
              <w:t>, прошли оценку с учетом индивидуальных задач и профессиональной компетенции</w:t>
            </w:r>
          </w:p>
          <w:p w:rsidR="00FA0032" w:rsidRPr="00FA0032" w:rsidRDefault="00FA0032" w:rsidP="00C61544">
            <w:pPr>
              <w:rPr>
                <w:rFonts w:cs="Arial"/>
                <w:color w:val="002060"/>
                <w:sz w:val="16"/>
                <w:szCs w:val="16"/>
                <w:lang w:val="ru-RU"/>
              </w:rPr>
            </w:pPr>
          </w:p>
          <w:p w:rsidR="00FA0032" w:rsidRPr="00FA0032" w:rsidRDefault="00FA0032" w:rsidP="00C61544">
            <w:pPr>
              <w:rPr>
                <w:rFonts w:cs="Arial"/>
                <w:color w:val="002060"/>
                <w:sz w:val="16"/>
                <w:szCs w:val="16"/>
                <w:lang w:val="ru-RU"/>
              </w:rPr>
            </w:pPr>
            <w:r w:rsidRPr="00FA0032">
              <w:rPr>
                <w:color w:val="002060"/>
                <w:sz w:val="16"/>
                <w:lang w:val="ru-RU"/>
              </w:rPr>
              <w:t>2012</w:t>
            </w:r>
            <w:r>
              <w:rPr>
                <w:color w:val="002060"/>
                <w:sz w:val="16"/>
              </w:rPr>
              <w:t> </w:t>
            </w:r>
            <w:r w:rsidRPr="00FA0032">
              <w:rPr>
                <w:color w:val="002060"/>
                <w:sz w:val="16"/>
                <w:lang w:val="ru-RU"/>
              </w:rPr>
              <w:t>г. – 91</w:t>
            </w:r>
            <w:r>
              <w:rPr>
                <w:color w:val="002060"/>
                <w:sz w:val="16"/>
              </w:rPr>
              <w:t> </w:t>
            </w:r>
            <w:r w:rsidRPr="00FA0032">
              <w:rPr>
                <w:color w:val="002060"/>
                <w:sz w:val="16"/>
                <w:lang w:val="ru-RU"/>
              </w:rPr>
              <w:t xml:space="preserve">% сотрудников, учитываемых в системе </w:t>
            </w:r>
            <w:r>
              <w:rPr>
                <w:color w:val="002060"/>
                <w:sz w:val="16"/>
              </w:rPr>
              <w:t>PMSDS</w:t>
            </w:r>
            <w:r w:rsidRPr="00FA0032">
              <w:rPr>
                <w:color w:val="002060"/>
                <w:sz w:val="16"/>
                <w:lang w:val="ru-RU"/>
              </w:rPr>
              <w:t>, прошли оценку с учетом индивидуальных задач и профессиональной компетенции (конец апреля 2012 г.)</w:t>
            </w:r>
          </w:p>
          <w:p w:rsidR="00FA0032" w:rsidRPr="00FA0032" w:rsidRDefault="00FA0032" w:rsidP="00C61544">
            <w:pPr>
              <w:rPr>
                <w:rFonts w:cs="Arial"/>
                <w:color w:val="002060"/>
                <w:sz w:val="16"/>
                <w:szCs w:val="16"/>
                <w:lang w:val="ru-RU"/>
              </w:rPr>
            </w:pPr>
          </w:p>
          <w:p w:rsidR="00FA0032" w:rsidRPr="00FA0032" w:rsidRDefault="00FA0032" w:rsidP="00C61544">
            <w:pPr>
              <w:rPr>
                <w:rFonts w:cs="Arial"/>
                <w:color w:val="002060"/>
                <w:sz w:val="16"/>
                <w:szCs w:val="16"/>
                <w:lang w:val="ru-RU"/>
              </w:rPr>
            </w:pPr>
            <w:r w:rsidRPr="00FA0032">
              <w:rPr>
                <w:color w:val="002060"/>
                <w:sz w:val="16"/>
                <w:lang w:val="ru-RU"/>
              </w:rPr>
              <w:t>2013</w:t>
            </w:r>
            <w:r>
              <w:rPr>
                <w:color w:val="002060"/>
                <w:sz w:val="16"/>
              </w:rPr>
              <w:t> </w:t>
            </w:r>
            <w:r w:rsidRPr="00FA0032">
              <w:rPr>
                <w:color w:val="002060"/>
                <w:sz w:val="16"/>
                <w:lang w:val="ru-RU"/>
              </w:rPr>
              <w:t xml:space="preserve">г. – 90,5% сотрудников, учитываемых в системе </w:t>
            </w:r>
            <w:r>
              <w:rPr>
                <w:color w:val="002060"/>
                <w:sz w:val="16"/>
              </w:rPr>
              <w:t>PMSDS</w:t>
            </w:r>
            <w:r w:rsidRPr="00FA0032">
              <w:rPr>
                <w:color w:val="002060"/>
                <w:sz w:val="16"/>
                <w:lang w:val="ru-RU"/>
              </w:rPr>
              <w:t>, прошли оценку с учетом индивидуальных задач и профессиональной компетенции (конец апреля 2013 г.)</w:t>
            </w:r>
          </w:p>
          <w:p w:rsidR="00FA0032" w:rsidRPr="00FA0032" w:rsidRDefault="00FA0032" w:rsidP="00C61544">
            <w:pPr>
              <w:rPr>
                <w:rFonts w:cs="Arial"/>
                <w:i/>
                <w:color w:val="002060"/>
                <w:sz w:val="8"/>
                <w:szCs w:val="8"/>
                <w:lang w:val="ru-RU"/>
              </w:rPr>
            </w:pPr>
          </w:p>
          <w:p w:rsidR="00FA0032" w:rsidRPr="00FA0032" w:rsidRDefault="00FA0032" w:rsidP="00C61544">
            <w:pPr>
              <w:rPr>
                <w:rFonts w:cs="Arial"/>
                <w:sz w:val="16"/>
                <w:szCs w:val="16"/>
                <w:lang w:val="ru-RU"/>
              </w:rPr>
            </w:pPr>
            <w:r w:rsidRPr="00FA0032">
              <w:rPr>
                <w:i/>
                <w:sz w:val="16"/>
                <w:lang w:val="ru-RU"/>
              </w:rPr>
              <w:t>Исходные базовые показатели ПиБ на 2014–2015 гг.:</w:t>
            </w:r>
            <w:r w:rsidRPr="00FA0032">
              <w:rPr>
                <w:sz w:val="16"/>
                <w:lang w:val="ru-RU"/>
              </w:rPr>
              <w:t xml:space="preserve">  81% (2012 г.)</w:t>
            </w:r>
          </w:p>
          <w:p w:rsidR="00FA0032" w:rsidRPr="00FA0032" w:rsidRDefault="00FA0032" w:rsidP="00C61544">
            <w:pPr>
              <w:rPr>
                <w:rFonts w:cs="Arial"/>
                <w:sz w:val="16"/>
                <w:szCs w:val="16"/>
                <w:lang w:val="ru-RU"/>
              </w:rPr>
            </w:pPr>
          </w:p>
        </w:tc>
        <w:tc>
          <w:tcPr>
            <w:tcW w:w="870" w:type="pct"/>
            <w:gridSpan w:val="2"/>
            <w:tcBorders>
              <w:bottom w:val="single" w:sz="4" w:space="0" w:color="auto"/>
            </w:tcBorders>
            <w:shd w:val="clear" w:color="auto" w:fill="auto"/>
            <w:tcMar>
              <w:top w:w="110" w:type="dxa"/>
            </w:tcMar>
          </w:tcPr>
          <w:p w:rsidR="00FA0032" w:rsidRPr="00797FCA" w:rsidRDefault="00FA0032" w:rsidP="00C61544">
            <w:pPr>
              <w:rPr>
                <w:rFonts w:cs="Arial"/>
                <w:sz w:val="16"/>
                <w:szCs w:val="16"/>
              </w:rPr>
            </w:pPr>
            <w:r>
              <w:rPr>
                <w:sz w:val="16"/>
              </w:rPr>
              <w:t>90%</w:t>
            </w:r>
          </w:p>
        </w:tc>
        <w:tc>
          <w:tcPr>
            <w:tcW w:w="903" w:type="pct"/>
            <w:tcBorders>
              <w:bottom w:val="single" w:sz="4" w:space="0" w:color="auto"/>
            </w:tcBorders>
            <w:shd w:val="clear" w:color="auto" w:fill="FFFFFF"/>
            <w:tcMar>
              <w:top w:w="110" w:type="dxa"/>
            </w:tcMar>
          </w:tcPr>
          <w:p w:rsidR="00FA0032" w:rsidRPr="00CD5342" w:rsidRDefault="00FA0032" w:rsidP="00C61544">
            <w:pPr>
              <w:rPr>
                <w:rFonts w:cs="Arial"/>
                <w:sz w:val="16"/>
                <w:szCs w:val="16"/>
              </w:rPr>
            </w:pPr>
            <w:r>
              <w:rPr>
                <w:sz w:val="16"/>
              </w:rPr>
              <w:t>2014 г. – 93,1%,</w:t>
            </w:r>
          </w:p>
          <w:p w:rsidR="00FA0032" w:rsidRPr="00CD5342" w:rsidRDefault="00FA0032" w:rsidP="00C61544">
            <w:pPr>
              <w:rPr>
                <w:rFonts w:cs="Arial"/>
                <w:sz w:val="16"/>
                <w:szCs w:val="16"/>
              </w:rPr>
            </w:pPr>
            <w:r>
              <w:rPr>
                <w:sz w:val="16"/>
              </w:rPr>
              <w:t>2015 г. – 92,8%</w:t>
            </w:r>
          </w:p>
          <w:p w:rsidR="00FA0032" w:rsidRPr="00CD5342" w:rsidRDefault="00FA0032" w:rsidP="00C61544">
            <w:pPr>
              <w:rPr>
                <w:rFonts w:cs="Arial"/>
                <w:sz w:val="16"/>
                <w:szCs w:val="16"/>
              </w:rPr>
            </w:pPr>
          </w:p>
        </w:tc>
        <w:tc>
          <w:tcPr>
            <w:tcW w:w="612" w:type="pct"/>
            <w:gridSpan w:val="2"/>
            <w:tcBorders>
              <w:bottom w:val="single" w:sz="4" w:space="0" w:color="auto"/>
            </w:tcBorders>
            <w:shd w:val="clear" w:color="auto" w:fill="auto"/>
            <w:tcMar>
              <w:top w:w="110" w:type="dxa"/>
            </w:tcMar>
          </w:tcPr>
          <w:p w:rsidR="00FA0032" w:rsidRPr="00EB00A9" w:rsidRDefault="00FA0032" w:rsidP="00C61544">
            <w:pPr>
              <w:jc w:val="center"/>
              <w:rPr>
                <w:rFonts w:cs="Arial"/>
                <w:b/>
                <w:bCs/>
                <w:color w:val="808080"/>
                <w:sz w:val="16"/>
                <w:szCs w:val="16"/>
              </w:rPr>
            </w:pPr>
            <w:r>
              <w:rPr>
                <w:b/>
                <w:color w:val="00B050"/>
                <w:sz w:val="16"/>
              </w:rPr>
              <w:t>Выполнено</w:t>
            </w:r>
          </w:p>
        </w:tc>
      </w:tr>
      <w:tr w:rsidR="00FA0032" w:rsidRPr="005C6ABD" w:rsidTr="00C61544">
        <w:tc>
          <w:tcPr>
            <w:tcW w:w="5000" w:type="pct"/>
            <w:gridSpan w:val="7"/>
            <w:tcBorders>
              <w:top w:val="single" w:sz="4" w:space="0" w:color="auto"/>
              <w:bottom w:val="single" w:sz="4" w:space="0" w:color="auto"/>
            </w:tcBorders>
            <w:shd w:val="clear" w:color="auto" w:fill="B8CCE4" w:themeFill="accent1" w:themeFillTint="66"/>
            <w:vAlign w:val="center"/>
          </w:tcPr>
          <w:p w:rsidR="00FA0032" w:rsidRPr="00FA0032" w:rsidRDefault="00FA0032" w:rsidP="00C61544">
            <w:pPr>
              <w:tabs>
                <w:tab w:val="left" w:pos="2019"/>
              </w:tabs>
              <w:spacing w:before="120" w:after="120"/>
              <w:ind w:left="2019" w:hanging="1985"/>
              <w:rPr>
                <w:rFonts w:cs="Arial"/>
                <w:bCs/>
                <w:sz w:val="16"/>
                <w:szCs w:val="16"/>
                <w:lang w:val="ru-RU"/>
              </w:rPr>
            </w:pPr>
            <w:r w:rsidRPr="00FA0032">
              <w:rPr>
                <w:b/>
                <w:sz w:val="16"/>
                <w:lang w:val="ru-RU"/>
              </w:rPr>
              <w:t>Ожидаемый результат:</w:t>
            </w:r>
            <w:r w:rsidRPr="00FA0032">
              <w:rPr>
                <w:lang w:val="ru-RU"/>
              </w:rPr>
              <w:tab/>
            </w:r>
            <w:r>
              <w:rPr>
                <w:sz w:val="16"/>
              </w:rPr>
              <w:t>IX</w:t>
            </w:r>
            <w:r w:rsidRPr="00FA0032">
              <w:rPr>
                <w:sz w:val="16"/>
                <w:lang w:val="ru-RU"/>
              </w:rPr>
              <w:t>.2. Динамичный и слаженно функционирующий Секретариат с правильно организованным штатом должным образом подготовленных сотрудников, которые эффективно добиваются результатов</w:t>
            </w:r>
          </w:p>
        </w:tc>
      </w:tr>
      <w:tr w:rsidR="00FA0032" w:rsidRPr="00797FCA" w:rsidTr="00C61544">
        <w:tc>
          <w:tcPr>
            <w:tcW w:w="1089" w:type="pct"/>
            <w:tcBorders>
              <w:top w:val="single" w:sz="4" w:space="0" w:color="auto"/>
            </w:tcBorders>
            <w:shd w:val="clear" w:color="auto" w:fill="auto"/>
            <w:vAlign w:val="center"/>
          </w:tcPr>
          <w:p w:rsidR="00FA0032" w:rsidRPr="00797FCA" w:rsidRDefault="00FA0032" w:rsidP="00C61544">
            <w:pPr>
              <w:rPr>
                <w:rFonts w:cs="Arial"/>
                <w:sz w:val="16"/>
                <w:szCs w:val="16"/>
              </w:rPr>
            </w:pPr>
            <w:r>
              <w:rPr>
                <w:b/>
                <w:sz w:val="16"/>
              </w:rPr>
              <w:t>Показатели результативности</w:t>
            </w:r>
          </w:p>
        </w:tc>
        <w:tc>
          <w:tcPr>
            <w:tcW w:w="1526" w:type="pct"/>
            <w:tcBorders>
              <w:top w:val="single" w:sz="4" w:space="0" w:color="auto"/>
            </w:tcBorders>
            <w:shd w:val="clear" w:color="auto" w:fill="auto"/>
            <w:vAlign w:val="center"/>
          </w:tcPr>
          <w:p w:rsidR="00FA0032" w:rsidRPr="00797FCA" w:rsidRDefault="00FA0032" w:rsidP="00C61544">
            <w:pPr>
              <w:rPr>
                <w:rFonts w:cs="Arial"/>
                <w:b/>
                <w:bCs/>
                <w:sz w:val="16"/>
                <w:szCs w:val="16"/>
              </w:rPr>
            </w:pPr>
            <w:r>
              <w:rPr>
                <w:b/>
                <w:sz w:val="16"/>
              </w:rPr>
              <w:t>Базовые показатели</w:t>
            </w:r>
          </w:p>
        </w:tc>
        <w:tc>
          <w:tcPr>
            <w:tcW w:w="735" w:type="pct"/>
            <w:tcBorders>
              <w:top w:val="single" w:sz="4" w:space="0" w:color="auto"/>
            </w:tcBorders>
            <w:shd w:val="clear" w:color="auto" w:fill="auto"/>
            <w:tcMar>
              <w:top w:w="110" w:type="dxa"/>
            </w:tcMar>
            <w:vAlign w:val="center"/>
          </w:tcPr>
          <w:p w:rsidR="00FA0032" w:rsidRPr="00797FCA" w:rsidRDefault="00FA0032" w:rsidP="00C61544">
            <w:pPr>
              <w:rPr>
                <w:rFonts w:cs="Arial"/>
                <w:b/>
                <w:sz w:val="16"/>
                <w:szCs w:val="16"/>
              </w:rPr>
            </w:pPr>
            <w:r>
              <w:rPr>
                <w:b/>
                <w:sz w:val="16"/>
              </w:rPr>
              <w:t>Цели</w:t>
            </w:r>
          </w:p>
        </w:tc>
        <w:tc>
          <w:tcPr>
            <w:tcW w:w="1038" w:type="pct"/>
            <w:gridSpan w:val="2"/>
            <w:tcBorders>
              <w:top w:val="single" w:sz="4" w:space="0" w:color="auto"/>
            </w:tcBorders>
            <w:shd w:val="clear" w:color="auto" w:fill="FFFFFF"/>
            <w:tcMar>
              <w:top w:w="110" w:type="dxa"/>
            </w:tcMar>
            <w:vAlign w:val="center"/>
          </w:tcPr>
          <w:p w:rsidR="00FA0032" w:rsidRPr="00797FCA" w:rsidRDefault="00FA0032" w:rsidP="00C61544">
            <w:pPr>
              <w:rPr>
                <w:rFonts w:cs="Arial"/>
                <w:sz w:val="16"/>
                <w:szCs w:val="16"/>
              </w:rPr>
            </w:pPr>
            <w:r>
              <w:rPr>
                <w:b/>
                <w:sz w:val="16"/>
              </w:rPr>
              <w:t>Данные о результативности</w:t>
            </w:r>
          </w:p>
        </w:tc>
        <w:tc>
          <w:tcPr>
            <w:tcW w:w="612" w:type="pct"/>
            <w:gridSpan w:val="2"/>
            <w:tcBorders>
              <w:top w:val="single" w:sz="4" w:space="0" w:color="auto"/>
            </w:tcBorders>
            <w:shd w:val="clear" w:color="auto" w:fill="auto"/>
            <w:tcMar>
              <w:top w:w="110" w:type="dxa"/>
            </w:tcMar>
            <w:vAlign w:val="center"/>
          </w:tcPr>
          <w:p w:rsidR="00FA0032" w:rsidRPr="00797FCA" w:rsidRDefault="00FA0032" w:rsidP="00C61544">
            <w:pPr>
              <w:jc w:val="center"/>
              <w:rPr>
                <w:rFonts w:cs="Arial"/>
                <w:b/>
                <w:bCs/>
                <w:sz w:val="16"/>
                <w:szCs w:val="16"/>
              </w:rPr>
            </w:pPr>
            <w:r>
              <w:rPr>
                <w:b/>
                <w:sz w:val="16"/>
              </w:rPr>
              <w:t>CC</w:t>
            </w:r>
          </w:p>
        </w:tc>
      </w:tr>
      <w:tr w:rsidR="00FA0032" w:rsidRPr="00797FCA" w:rsidTr="00C61544">
        <w:tc>
          <w:tcPr>
            <w:tcW w:w="1089" w:type="pct"/>
            <w:shd w:val="clear" w:color="auto" w:fill="auto"/>
          </w:tcPr>
          <w:p w:rsidR="00FA0032" w:rsidRPr="00FA0032" w:rsidRDefault="00FA0032" w:rsidP="00C61544">
            <w:pPr>
              <w:rPr>
                <w:rFonts w:cs="Arial"/>
                <w:sz w:val="16"/>
                <w:szCs w:val="16"/>
                <w:lang w:val="ru-RU"/>
              </w:rPr>
            </w:pPr>
            <w:r w:rsidRPr="00FA0032">
              <w:rPr>
                <w:sz w:val="16"/>
                <w:lang w:val="ru-RU"/>
              </w:rPr>
              <w:t>Доля (%) реализованных важнейших индивидуальных и коллективных потребностей в обучении</w:t>
            </w:r>
          </w:p>
        </w:tc>
        <w:tc>
          <w:tcPr>
            <w:tcW w:w="1526" w:type="pct"/>
            <w:shd w:val="clear" w:color="auto" w:fill="auto"/>
          </w:tcPr>
          <w:p w:rsidR="00FA0032" w:rsidRPr="00FA0032" w:rsidRDefault="00FA0032" w:rsidP="00C61544">
            <w:pPr>
              <w:rPr>
                <w:rFonts w:cs="Arial"/>
                <w:color w:val="002060"/>
                <w:sz w:val="16"/>
                <w:szCs w:val="16"/>
                <w:lang w:val="ru-RU"/>
              </w:rPr>
            </w:pPr>
            <w:r w:rsidRPr="00FA0032">
              <w:rPr>
                <w:i/>
                <w:color w:val="002060"/>
                <w:sz w:val="16"/>
                <w:lang w:val="ru-RU"/>
              </w:rPr>
              <w:t>Обновленные базовые показатели, конец 2013</w:t>
            </w:r>
            <w:r>
              <w:rPr>
                <w:i/>
                <w:color w:val="002060"/>
                <w:sz w:val="16"/>
              </w:rPr>
              <w:t> </w:t>
            </w:r>
            <w:r w:rsidRPr="00FA0032">
              <w:rPr>
                <w:i/>
                <w:color w:val="002060"/>
                <w:sz w:val="16"/>
                <w:lang w:val="ru-RU"/>
              </w:rPr>
              <w:t xml:space="preserve">г.:  </w:t>
            </w:r>
            <w:r w:rsidRPr="00FA0032">
              <w:rPr>
                <w:color w:val="002060"/>
                <w:sz w:val="16"/>
                <w:lang w:val="ru-RU"/>
              </w:rPr>
              <w:t>оценка недоступна</w:t>
            </w:r>
          </w:p>
          <w:p w:rsidR="00FA0032" w:rsidRPr="00FA0032" w:rsidRDefault="00FA0032" w:rsidP="00C61544">
            <w:pPr>
              <w:rPr>
                <w:rFonts w:cs="Arial"/>
                <w:i/>
                <w:color w:val="002060"/>
                <w:sz w:val="8"/>
                <w:szCs w:val="8"/>
                <w:lang w:val="ru-RU"/>
              </w:rPr>
            </w:pPr>
          </w:p>
          <w:p w:rsidR="00FA0032" w:rsidRPr="00FA0032" w:rsidRDefault="00FA0032" w:rsidP="00C61544">
            <w:pPr>
              <w:rPr>
                <w:rFonts w:cs="Arial"/>
                <w:sz w:val="16"/>
                <w:szCs w:val="16"/>
                <w:lang w:val="ru-RU"/>
              </w:rPr>
            </w:pPr>
            <w:r w:rsidRPr="00FA0032">
              <w:rPr>
                <w:i/>
                <w:sz w:val="16"/>
                <w:szCs w:val="16"/>
                <w:lang w:val="ru-RU"/>
              </w:rPr>
              <w:t>Исходный базовый показатель</w:t>
            </w:r>
            <w:r w:rsidRPr="00FA0032">
              <w:rPr>
                <w:sz w:val="16"/>
                <w:szCs w:val="16"/>
                <w:lang w:val="ru-RU"/>
              </w:rPr>
              <w:t xml:space="preserve"> (Программа и бюджет на 2014–2015 гг.): оценка недоступна (будет доступна по состоянию на конец 2013</w:t>
            </w:r>
            <w:r w:rsidRPr="00300DAF">
              <w:rPr>
                <w:sz w:val="16"/>
                <w:szCs w:val="16"/>
              </w:rPr>
              <w:t> </w:t>
            </w:r>
            <w:r w:rsidRPr="00FA0032">
              <w:rPr>
                <w:sz w:val="16"/>
                <w:szCs w:val="16"/>
                <w:lang w:val="ru-RU"/>
              </w:rPr>
              <w:t>г.)</w:t>
            </w:r>
          </w:p>
          <w:p w:rsidR="00FA0032" w:rsidRPr="00FA0032" w:rsidRDefault="00FA0032" w:rsidP="00C61544">
            <w:pPr>
              <w:rPr>
                <w:rFonts w:cs="Arial"/>
                <w:i/>
                <w:color w:val="002060"/>
                <w:sz w:val="16"/>
                <w:szCs w:val="16"/>
                <w:lang w:val="ru-RU"/>
              </w:rPr>
            </w:pPr>
          </w:p>
        </w:tc>
        <w:tc>
          <w:tcPr>
            <w:tcW w:w="735" w:type="pct"/>
            <w:shd w:val="clear" w:color="auto" w:fill="auto"/>
            <w:tcMar>
              <w:top w:w="110" w:type="dxa"/>
            </w:tcMar>
          </w:tcPr>
          <w:p w:rsidR="00FA0032" w:rsidRPr="00FA0032" w:rsidRDefault="00FA0032" w:rsidP="00C61544">
            <w:pPr>
              <w:rPr>
                <w:rFonts w:cs="Arial"/>
                <w:sz w:val="16"/>
                <w:szCs w:val="16"/>
                <w:lang w:val="ru-RU"/>
              </w:rPr>
            </w:pPr>
            <w:r w:rsidRPr="00FA0032">
              <w:rPr>
                <w:sz w:val="16"/>
                <w:lang w:val="ru-RU"/>
              </w:rPr>
              <w:t xml:space="preserve">Важнейшие индивидуаль-ные потребности в обучении: </w:t>
            </w:r>
          </w:p>
          <w:p w:rsidR="00FA0032" w:rsidRPr="00FA0032" w:rsidRDefault="00FA0032" w:rsidP="00C61544">
            <w:pPr>
              <w:rPr>
                <w:rFonts w:cs="Arial"/>
                <w:sz w:val="16"/>
                <w:szCs w:val="16"/>
                <w:lang w:val="ru-RU"/>
              </w:rPr>
            </w:pPr>
            <w:r w:rsidRPr="00FA0032">
              <w:rPr>
                <w:sz w:val="16"/>
                <w:lang w:val="ru-RU"/>
              </w:rPr>
              <w:t>80% удовлетворено</w:t>
            </w: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r w:rsidRPr="00FA0032">
              <w:rPr>
                <w:sz w:val="16"/>
                <w:lang w:val="ru-RU"/>
              </w:rPr>
              <w:t xml:space="preserve">Важнейшие коллективные потребности в обучении: </w:t>
            </w:r>
          </w:p>
          <w:p w:rsidR="00FA0032" w:rsidRPr="00FA0032" w:rsidRDefault="00FA0032" w:rsidP="00C61544">
            <w:pPr>
              <w:rPr>
                <w:rFonts w:cs="Arial"/>
                <w:sz w:val="16"/>
                <w:szCs w:val="16"/>
                <w:lang w:val="ru-RU"/>
              </w:rPr>
            </w:pPr>
            <w:r w:rsidRPr="00FA0032">
              <w:rPr>
                <w:sz w:val="16"/>
                <w:lang w:val="ru-RU"/>
              </w:rPr>
              <w:t>80% потребностей удовлетворены в рамках программы обучения персонала</w:t>
            </w:r>
          </w:p>
          <w:p w:rsidR="00FA0032" w:rsidRPr="00FA0032" w:rsidRDefault="00FA0032" w:rsidP="00C61544">
            <w:pPr>
              <w:rPr>
                <w:rFonts w:cs="Arial"/>
                <w:sz w:val="16"/>
                <w:szCs w:val="16"/>
                <w:lang w:val="ru-RU"/>
              </w:rPr>
            </w:pPr>
          </w:p>
        </w:tc>
        <w:tc>
          <w:tcPr>
            <w:tcW w:w="1038" w:type="pct"/>
            <w:gridSpan w:val="2"/>
            <w:shd w:val="clear" w:color="auto" w:fill="FFFFFF"/>
            <w:tcMar>
              <w:top w:w="110" w:type="dxa"/>
            </w:tcMar>
          </w:tcPr>
          <w:p w:rsidR="00FA0032" w:rsidRDefault="00FA0032" w:rsidP="00C61544">
            <w:pPr>
              <w:rPr>
                <w:rFonts w:cs="Arial"/>
                <w:sz w:val="16"/>
                <w:szCs w:val="16"/>
              </w:rPr>
            </w:pPr>
            <w:r>
              <w:rPr>
                <w:sz w:val="16"/>
              </w:rPr>
              <w:t>60,94%</w:t>
            </w:r>
          </w:p>
          <w:p w:rsidR="00FA0032" w:rsidRDefault="00FA0032" w:rsidP="00C61544">
            <w:pPr>
              <w:rPr>
                <w:rFonts w:cs="Arial"/>
                <w:sz w:val="16"/>
                <w:szCs w:val="16"/>
              </w:rPr>
            </w:pPr>
          </w:p>
          <w:p w:rsidR="00FA0032" w:rsidRDefault="00FA0032" w:rsidP="00C61544">
            <w:pPr>
              <w:rPr>
                <w:rFonts w:cs="Arial"/>
                <w:sz w:val="16"/>
                <w:szCs w:val="16"/>
              </w:rPr>
            </w:pPr>
          </w:p>
          <w:p w:rsidR="00FA0032" w:rsidRDefault="00FA0032" w:rsidP="00C61544">
            <w:pPr>
              <w:rPr>
                <w:rFonts w:cs="Arial"/>
                <w:sz w:val="16"/>
                <w:szCs w:val="16"/>
              </w:rPr>
            </w:pPr>
          </w:p>
          <w:p w:rsidR="00FA0032" w:rsidRDefault="00FA0032" w:rsidP="00C61544">
            <w:pPr>
              <w:rPr>
                <w:rFonts w:cs="Arial"/>
                <w:sz w:val="16"/>
                <w:szCs w:val="16"/>
              </w:rPr>
            </w:pPr>
          </w:p>
          <w:p w:rsidR="00FA0032" w:rsidRPr="00797FCA" w:rsidRDefault="00FA0032" w:rsidP="00C61544">
            <w:pPr>
              <w:rPr>
                <w:rFonts w:cs="Arial"/>
                <w:sz w:val="16"/>
                <w:szCs w:val="16"/>
              </w:rPr>
            </w:pPr>
            <w:r>
              <w:rPr>
                <w:sz w:val="16"/>
              </w:rPr>
              <w:t>81,04%</w:t>
            </w:r>
          </w:p>
        </w:tc>
        <w:tc>
          <w:tcPr>
            <w:tcW w:w="612" w:type="pct"/>
            <w:gridSpan w:val="2"/>
            <w:shd w:val="clear" w:color="auto" w:fill="auto"/>
            <w:tcMar>
              <w:top w:w="110" w:type="dxa"/>
            </w:tcMar>
          </w:tcPr>
          <w:p w:rsidR="00FA0032" w:rsidRPr="001A0A8D" w:rsidRDefault="00FA0032" w:rsidP="00C61544">
            <w:pPr>
              <w:jc w:val="center"/>
              <w:rPr>
                <w:rFonts w:cs="Arial"/>
                <w:b/>
                <w:bCs/>
                <w:color w:val="FF0000"/>
                <w:sz w:val="16"/>
                <w:szCs w:val="16"/>
              </w:rPr>
            </w:pPr>
            <w:r>
              <w:rPr>
                <w:b/>
                <w:color w:val="E36C0A" w:themeColor="accent6" w:themeShade="BF"/>
                <w:sz w:val="16"/>
              </w:rPr>
              <w:t>Частично выполнено</w:t>
            </w:r>
            <w:r>
              <w:rPr>
                <w:b/>
                <w:color w:val="FFC000"/>
                <w:sz w:val="16"/>
              </w:rPr>
              <w:t xml:space="preserve"> </w:t>
            </w:r>
          </w:p>
          <w:p w:rsidR="00FA0032" w:rsidRPr="00EB00A9" w:rsidRDefault="00FA0032" w:rsidP="00C61544">
            <w:pPr>
              <w:jc w:val="center"/>
              <w:rPr>
                <w:rFonts w:cs="Arial"/>
                <w:b/>
                <w:bCs/>
                <w:color w:val="FF0000"/>
                <w:sz w:val="16"/>
                <w:szCs w:val="16"/>
              </w:rPr>
            </w:pPr>
          </w:p>
          <w:p w:rsidR="00FA0032" w:rsidRDefault="00FA0032" w:rsidP="00C61544">
            <w:pPr>
              <w:jc w:val="center"/>
              <w:rPr>
                <w:rFonts w:cs="Arial"/>
                <w:b/>
                <w:bCs/>
                <w:color w:val="00B050"/>
                <w:sz w:val="16"/>
                <w:szCs w:val="16"/>
              </w:rPr>
            </w:pPr>
          </w:p>
          <w:p w:rsidR="00FA0032" w:rsidRDefault="00FA0032" w:rsidP="00C61544">
            <w:pPr>
              <w:jc w:val="center"/>
              <w:rPr>
                <w:rFonts w:cs="Arial"/>
                <w:b/>
                <w:bCs/>
                <w:color w:val="00B050"/>
                <w:sz w:val="16"/>
                <w:szCs w:val="16"/>
              </w:rPr>
            </w:pPr>
          </w:p>
          <w:p w:rsidR="00FA0032" w:rsidRPr="001A0A8D" w:rsidDel="00AF185F" w:rsidRDefault="00FA0032" w:rsidP="00C61544">
            <w:pPr>
              <w:jc w:val="center"/>
              <w:rPr>
                <w:rFonts w:cs="Arial"/>
                <w:b/>
                <w:bCs/>
                <w:color w:val="FF0000"/>
                <w:sz w:val="16"/>
                <w:szCs w:val="16"/>
              </w:rPr>
            </w:pPr>
            <w:r>
              <w:rPr>
                <w:b/>
                <w:color w:val="00B050"/>
                <w:sz w:val="16"/>
              </w:rPr>
              <w:t>Выполнено</w:t>
            </w:r>
          </w:p>
        </w:tc>
      </w:tr>
      <w:tr w:rsidR="00FA0032" w:rsidRPr="00797FCA" w:rsidTr="00C61544">
        <w:tc>
          <w:tcPr>
            <w:tcW w:w="1089" w:type="pct"/>
            <w:shd w:val="clear" w:color="auto" w:fill="auto"/>
          </w:tcPr>
          <w:p w:rsidR="00FA0032" w:rsidRPr="00FA0032" w:rsidRDefault="00FA0032" w:rsidP="00C61544">
            <w:pPr>
              <w:keepNext/>
              <w:keepLines/>
              <w:rPr>
                <w:rFonts w:cs="Arial"/>
                <w:sz w:val="16"/>
                <w:szCs w:val="16"/>
                <w:lang w:val="ru-RU"/>
              </w:rPr>
            </w:pPr>
            <w:r w:rsidRPr="00FA0032">
              <w:rPr>
                <w:sz w:val="16"/>
                <w:lang w:val="ru-RU"/>
              </w:rPr>
              <w:t>Среднее число дней отпуска по болезни на одного сотрудника (невыход на работу)</w:t>
            </w:r>
          </w:p>
        </w:tc>
        <w:tc>
          <w:tcPr>
            <w:tcW w:w="1526" w:type="pct"/>
            <w:shd w:val="clear" w:color="auto" w:fill="auto"/>
          </w:tcPr>
          <w:p w:rsidR="00FA0032" w:rsidRPr="00FA0032" w:rsidRDefault="00FA0032" w:rsidP="00C61544">
            <w:pPr>
              <w:rPr>
                <w:color w:val="002060"/>
                <w:sz w:val="16"/>
                <w:lang w:val="ru-RU"/>
              </w:rPr>
            </w:pPr>
            <w:r w:rsidRPr="00FA0032">
              <w:rPr>
                <w:i/>
                <w:color w:val="002060"/>
                <w:sz w:val="16"/>
                <w:lang w:val="ru-RU"/>
              </w:rPr>
              <w:t>Обновленные базовые показатели, конец 2013</w:t>
            </w:r>
            <w:r>
              <w:rPr>
                <w:i/>
                <w:color w:val="002060"/>
                <w:sz w:val="16"/>
              </w:rPr>
              <w:t> </w:t>
            </w:r>
            <w:r w:rsidRPr="00FA0032">
              <w:rPr>
                <w:i/>
                <w:color w:val="002060"/>
                <w:sz w:val="16"/>
                <w:lang w:val="ru-RU"/>
              </w:rPr>
              <w:t xml:space="preserve">г.:  </w:t>
            </w:r>
          </w:p>
          <w:p w:rsidR="00FA0032" w:rsidRPr="002F18EA" w:rsidRDefault="00FA0032" w:rsidP="00C61544">
            <w:pPr>
              <w:rPr>
                <w:rFonts w:cs="Arial"/>
                <w:color w:val="002060"/>
                <w:sz w:val="16"/>
                <w:szCs w:val="16"/>
              </w:rPr>
            </w:pPr>
            <w:r>
              <w:rPr>
                <w:color w:val="002060"/>
                <w:sz w:val="16"/>
              </w:rPr>
              <w:t>за двухлетний период – 10,34,</w:t>
            </w:r>
          </w:p>
          <w:p w:rsidR="00FA0032" w:rsidRPr="002F18EA" w:rsidRDefault="00FA0032" w:rsidP="00FA0032">
            <w:pPr>
              <w:pStyle w:val="ListParagraph"/>
              <w:numPr>
                <w:ilvl w:val="0"/>
                <w:numId w:val="71"/>
              </w:numPr>
              <w:rPr>
                <w:rFonts w:cs="Arial"/>
                <w:color w:val="002060"/>
                <w:sz w:val="16"/>
                <w:szCs w:val="16"/>
              </w:rPr>
            </w:pPr>
            <w:r>
              <w:rPr>
                <w:color w:val="002060"/>
                <w:sz w:val="16"/>
              </w:rPr>
              <w:t>2012 г. – 9,07,</w:t>
            </w:r>
          </w:p>
          <w:p w:rsidR="00FA0032" w:rsidRPr="002F18EA" w:rsidRDefault="00FA0032" w:rsidP="00FA0032">
            <w:pPr>
              <w:pStyle w:val="ListParagraph"/>
              <w:numPr>
                <w:ilvl w:val="0"/>
                <w:numId w:val="71"/>
              </w:numPr>
              <w:rPr>
                <w:rFonts w:cs="Arial"/>
                <w:color w:val="002060"/>
                <w:sz w:val="16"/>
                <w:szCs w:val="16"/>
              </w:rPr>
            </w:pPr>
            <w:r>
              <w:rPr>
                <w:color w:val="002060"/>
                <w:sz w:val="16"/>
              </w:rPr>
              <w:t>2013 г. – 11,6</w:t>
            </w:r>
          </w:p>
          <w:p w:rsidR="00FA0032" w:rsidRPr="00797FCA" w:rsidRDefault="00FA0032" w:rsidP="00C61544">
            <w:pPr>
              <w:rPr>
                <w:rFonts w:cs="Arial"/>
                <w:i/>
                <w:color w:val="002060"/>
                <w:sz w:val="8"/>
                <w:szCs w:val="8"/>
              </w:rPr>
            </w:pPr>
          </w:p>
          <w:p w:rsidR="00FA0032" w:rsidRPr="00FA0032" w:rsidRDefault="00FA0032" w:rsidP="00C61544">
            <w:pPr>
              <w:rPr>
                <w:rFonts w:cs="Arial"/>
                <w:sz w:val="16"/>
                <w:szCs w:val="16"/>
                <w:lang w:val="ru-RU"/>
              </w:rPr>
            </w:pPr>
            <w:r w:rsidRPr="00FA0032">
              <w:rPr>
                <w:i/>
                <w:sz w:val="16"/>
                <w:lang w:val="ru-RU"/>
              </w:rPr>
              <w:t>Исходные базовые показатели ПиБ на 2014–2015 гг.:</w:t>
            </w:r>
            <w:r w:rsidRPr="00FA0032">
              <w:rPr>
                <w:sz w:val="16"/>
                <w:lang w:val="ru-RU"/>
              </w:rPr>
              <w:t xml:space="preserve">  9,07 (дек. 2012</w:t>
            </w:r>
            <w:r>
              <w:rPr>
                <w:sz w:val="16"/>
              </w:rPr>
              <w:t> </w:t>
            </w:r>
            <w:r w:rsidRPr="00FA0032">
              <w:rPr>
                <w:sz w:val="16"/>
                <w:lang w:val="ru-RU"/>
              </w:rPr>
              <w:t>г.)</w:t>
            </w:r>
          </w:p>
          <w:p w:rsidR="00FA0032" w:rsidRPr="00FA0032" w:rsidRDefault="00FA0032" w:rsidP="00C61544">
            <w:pPr>
              <w:rPr>
                <w:rFonts w:cs="Arial"/>
                <w:i/>
                <w:color w:val="002060"/>
                <w:sz w:val="16"/>
                <w:szCs w:val="16"/>
                <w:lang w:val="ru-RU"/>
              </w:rPr>
            </w:pPr>
          </w:p>
        </w:tc>
        <w:tc>
          <w:tcPr>
            <w:tcW w:w="735" w:type="pct"/>
            <w:shd w:val="clear" w:color="auto" w:fill="auto"/>
            <w:tcMar>
              <w:top w:w="110" w:type="dxa"/>
            </w:tcMar>
          </w:tcPr>
          <w:p w:rsidR="00FA0032" w:rsidRPr="00784FF4" w:rsidRDefault="00FA0032" w:rsidP="00C61544">
            <w:pPr>
              <w:keepNext/>
              <w:keepLines/>
              <w:rPr>
                <w:rFonts w:cs="Arial"/>
                <w:sz w:val="16"/>
                <w:szCs w:val="16"/>
              </w:rPr>
            </w:pPr>
            <w:r>
              <w:rPr>
                <w:sz w:val="16"/>
              </w:rPr>
              <w:t>9</w:t>
            </w:r>
          </w:p>
        </w:tc>
        <w:tc>
          <w:tcPr>
            <w:tcW w:w="1038" w:type="pct"/>
            <w:gridSpan w:val="2"/>
            <w:shd w:val="clear" w:color="auto" w:fill="FFFFFF"/>
            <w:tcMar>
              <w:top w:w="110" w:type="dxa"/>
            </w:tcMar>
          </w:tcPr>
          <w:p w:rsidR="00FA0032" w:rsidRDefault="00FA0032" w:rsidP="00C61544">
            <w:pPr>
              <w:rPr>
                <w:rFonts w:cs="Arial"/>
                <w:sz w:val="16"/>
                <w:szCs w:val="16"/>
              </w:rPr>
            </w:pPr>
            <w:r>
              <w:rPr>
                <w:sz w:val="16"/>
              </w:rPr>
              <w:t>2014 г. – 11,2</w:t>
            </w:r>
            <w:r>
              <w:rPr>
                <w:rStyle w:val="FootnoteReference"/>
                <w:sz w:val="16"/>
              </w:rPr>
              <w:footnoteReference w:id="132"/>
            </w:r>
            <w:r>
              <w:rPr>
                <w:sz w:val="16"/>
              </w:rPr>
              <w:t>,</w:t>
            </w:r>
          </w:p>
          <w:p w:rsidR="00FA0032" w:rsidRPr="00797FCA" w:rsidRDefault="00FA0032" w:rsidP="00C61544">
            <w:pPr>
              <w:rPr>
                <w:rFonts w:cs="Arial"/>
                <w:sz w:val="16"/>
                <w:szCs w:val="16"/>
              </w:rPr>
            </w:pPr>
            <w:r>
              <w:rPr>
                <w:sz w:val="16"/>
              </w:rPr>
              <w:t>2015 г. – 10,5</w:t>
            </w:r>
          </w:p>
        </w:tc>
        <w:tc>
          <w:tcPr>
            <w:tcW w:w="612" w:type="pct"/>
            <w:gridSpan w:val="2"/>
            <w:shd w:val="clear" w:color="auto" w:fill="auto"/>
            <w:tcMar>
              <w:top w:w="110" w:type="dxa"/>
            </w:tcMar>
          </w:tcPr>
          <w:p w:rsidR="00FA0032" w:rsidRPr="001A0A8D" w:rsidDel="00AF185F" w:rsidRDefault="00FA0032" w:rsidP="00C61544">
            <w:pPr>
              <w:keepNext/>
              <w:keepLines/>
              <w:jc w:val="center"/>
              <w:rPr>
                <w:rFonts w:cs="Arial"/>
                <w:b/>
                <w:bCs/>
                <w:color w:val="FF0000"/>
                <w:sz w:val="16"/>
                <w:szCs w:val="16"/>
              </w:rPr>
            </w:pPr>
            <w:r>
              <w:rPr>
                <w:b/>
                <w:color w:val="E36C0A" w:themeColor="accent6" w:themeShade="BF"/>
                <w:sz w:val="16"/>
              </w:rPr>
              <w:t>Частично выполнено</w:t>
            </w:r>
          </w:p>
        </w:tc>
      </w:tr>
      <w:tr w:rsidR="00FA0032" w:rsidRPr="005C6ABD" w:rsidTr="00C61544">
        <w:tc>
          <w:tcPr>
            <w:tcW w:w="1089" w:type="pct"/>
            <w:shd w:val="clear" w:color="auto" w:fill="auto"/>
          </w:tcPr>
          <w:p w:rsidR="00FA0032" w:rsidRPr="00FA0032" w:rsidRDefault="00FA0032" w:rsidP="00C61544">
            <w:pPr>
              <w:keepNext/>
              <w:keepLines/>
              <w:rPr>
                <w:rFonts w:cs="Arial"/>
                <w:sz w:val="16"/>
                <w:szCs w:val="16"/>
                <w:lang w:val="ru-RU"/>
              </w:rPr>
            </w:pPr>
            <w:r w:rsidRPr="00FA0032">
              <w:rPr>
                <w:sz w:val="16"/>
                <w:lang w:val="ru-RU"/>
              </w:rPr>
              <w:t>Доля (%) женщин на профессиональных и высоких постах</w:t>
            </w:r>
          </w:p>
        </w:tc>
        <w:tc>
          <w:tcPr>
            <w:tcW w:w="1526" w:type="pct"/>
            <w:shd w:val="clear" w:color="auto" w:fill="auto"/>
          </w:tcPr>
          <w:p w:rsidR="00FA0032" w:rsidRPr="00FA0032" w:rsidDel="00A15D98" w:rsidRDefault="00FA0032" w:rsidP="00C61544">
            <w:pPr>
              <w:rPr>
                <w:rFonts w:cs="Arial"/>
                <w:color w:val="002060"/>
                <w:sz w:val="16"/>
                <w:szCs w:val="16"/>
                <w:lang w:val="ru-RU"/>
              </w:rPr>
            </w:pPr>
            <w:r w:rsidRPr="00FA0032">
              <w:rPr>
                <w:i/>
                <w:color w:val="002060"/>
                <w:sz w:val="16"/>
                <w:lang w:val="ru-RU"/>
              </w:rPr>
              <w:t>Обновленные базовые показатели, конец 2013</w:t>
            </w:r>
            <w:r>
              <w:rPr>
                <w:i/>
                <w:color w:val="002060"/>
                <w:sz w:val="16"/>
              </w:rPr>
              <w:t> </w:t>
            </w:r>
            <w:r w:rsidRPr="00FA0032">
              <w:rPr>
                <w:i/>
                <w:color w:val="002060"/>
                <w:sz w:val="16"/>
                <w:lang w:val="ru-RU"/>
              </w:rPr>
              <w:t xml:space="preserve">г.:  </w:t>
            </w:r>
          </w:p>
          <w:tbl>
            <w:tblPr>
              <w:tblW w:w="2383" w:type="dxa"/>
              <w:tblLayout w:type="fixed"/>
              <w:tblLook w:val="04A0" w:firstRow="1" w:lastRow="0" w:firstColumn="1" w:lastColumn="0" w:noHBand="0" w:noVBand="1"/>
            </w:tblPr>
            <w:tblGrid>
              <w:gridCol w:w="580"/>
              <w:gridCol w:w="901"/>
              <w:gridCol w:w="902"/>
            </w:tblGrid>
            <w:tr w:rsidR="00FA0032" w:rsidRPr="005C6ABD" w:rsidTr="00C61544">
              <w:trPr>
                <w:trHeight w:val="255"/>
              </w:trPr>
              <w:tc>
                <w:tcPr>
                  <w:tcW w:w="580"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p>
              </w:tc>
              <w:tc>
                <w:tcPr>
                  <w:tcW w:w="901"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2012</w:t>
                  </w:r>
                  <w:r>
                    <w:rPr>
                      <w:color w:val="002060"/>
                      <w:sz w:val="16"/>
                    </w:rPr>
                    <w:t> </w:t>
                  </w:r>
                  <w:r w:rsidRPr="00FA0032">
                    <w:rPr>
                      <w:color w:val="002060"/>
                      <w:sz w:val="16"/>
                      <w:lang w:val="ru-RU"/>
                    </w:rPr>
                    <w:t>г.</w:t>
                  </w:r>
                </w:p>
              </w:tc>
              <w:tc>
                <w:tcPr>
                  <w:tcW w:w="902"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2013</w:t>
                  </w:r>
                  <w:r>
                    <w:rPr>
                      <w:color w:val="002060"/>
                      <w:sz w:val="16"/>
                    </w:rPr>
                    <w:t> </w:t>
                  </w:r>
                  <w:r w:rsidRPr="00FA0032">
                    <w:rPr>
                      <w:color w:val="002060"/>
                      <w:sz w:val="16"/>
                      <w:lang w:val="ru-RU"/>
                    </w:rPr>
                    <w:t>г.</w:t>
                  </w:r>
                </w:p>
              </w:tc>
            </w:tr>
            <w:tr w:rsidR="00FA0032" w:rsidRPr="005C6ABD" w:rsidTr="00C61544">
              <w:trPr>
                <w:trHeight w:val="255"/>
              </w:trPr>
              <w:tc>
                <w:tcPr>
                  <w:tcW w:w="580"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 xml:space="preserve">С4 – </w:t>
                  </w:r>
                </w:p>
              </w:tc>
              <w:tc>
                <w:tcPr>
                  <w:tcW w:w="901"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44,4%</w:t>
                  </w:r>
                </w:p>
              </w:tc>
              <w:tc>
                <w:tcPr>
                  <w:tcW w:w="902"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43,4%</w:t>
                  </w:r>
                </w:p>
              </w:tc>
            </w:tr>
            <w:tr w:rsidR="00FA0032" w:rsidRPr="005C6ABD" w:rsidTr="00C61544">
              <w:trPr>
                <w:trHeight w:val="255"/>
              </w:trPr>
              <w:tc>
                <w:tcPr>
                  <w:tcW w:w="580"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 xml:space="preserve">С5 – </w:t>
                  </w:r>
                </w:p>
              </w:tc>
              <w:tc>
                <w:tcPr>
                  <w:tcW w:w="901"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30,3%</w:t>
                  </w:r>
                </w:p>
              </w:tc>
              <w:tc>
                <w:tcPr>
                  <w:tcW w:w="902"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34,3%</w:t>
                  </w:r>
                </w:p>
              </w:tc>
            </w:tr>
            <w:tr w:rsidR="00FA0032" w:rsidRPr="005C6ABD" w:rsidTr="00C61544">
              <w:trPr>
                <w:trHeight w:val="255"/>
              </w:trPr>
              <w:tc>
                <w:tcPr>
                  <w:tcW w:w="580"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 xml:space="preserve">Д1 – </w:t>
                  </w:r>
                </w:p>
              </w:tc>
              <w:tc>
                <w:tcPr>
                  <w:tcW w:w="901"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24,4%</w:t>
                  </w:r>
                </w:p>
              </w:tc>
              <w:tc>
                <w:tcPr>
                  <w:tcW w:w="902"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26,8%</w:t>
                  </w:r>
                </w:p>
              </w:tc>
            </w:tr>
            <w:tr w:rsidR="00FA0032" w:rsidRPr="005C6ABD" w:rsidTr="00C61544">
              <w:trPr>
                <w:trHeight w:val="255"/>
              </w:trPr>
              <w:tc>
                <w:tcPr>
                  <w:tcW w:w="580"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 xml:space="preserve">Д2 – </w:t>
                  </w:r>
                </w:p>
              </w:tc>
              <w:tc>
                <w:tcPr>
                  <w:tcW w:w="901"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23,1%</w:t>
                  </w:r>
                </w:p>
              </w:tc>
              <w:tc>
                <w:tcPr>
                  <w:tcW w:w="902" w:type="dxa"/>
                  <w:tcBorders>
                    <w:top w:val="nil"/>
                    <w:left w:val="nil"/>
                    <w:bottom w:val="nil"/>
                    <w:right w:val="nil"/>
                  </w:tcBorders>
                  <w:shd w:val="clear" w:color="auto" w:fill="auto"/>
                  <w:noWrap/>
                  <w:vAlign w:val="bottom"/>
                  <w:hideMark/>
                </w:tcPr>
                <w:p w:rsidR="00FA0032" w:rsidRPr="00FA0032" w:rsidRDefault="00FA0032" w:rsidP="00C61544">
                  <w:pPr>
                    <w:rPr>
                      <w:rFonts w:cs="Arial"/>
                      <w:color w:val="002060"/>
                      <w:sz w:val="16"/>
                      <w:szCs w:val="16"/>
                      <w:lang w:val="ru-RU"/>
                    </w:rPr>
                  </w:pPr>
                  <w:r w:rsidRPr="00FA0032">
                    <w:rPr>
                      <w:color w:val="002060"/>
                      <w:sz w:val="16"/>
                      <w:lang w:val="ru-RU"/>
                    </w:rPr>
                    <w:t>33,3%</w:t>
                  </w:r>
                </w:p>
              </w:tc>
            </w:tr>
          </w:tbl>
          <w:p w:rsidR="00FA0032" w:rsidRPr="00FA0032" w:rsidRDefault="00FA0032" w:rsidP="00C61544">
            <w:pPr>
              <w:rPr>
                <w:rFonts w:cs="Arial"/>
                <w:color w:val="002060"/>
                <w:sz w:val="16"/>
                <w:szCs w:val="16"/>
                <w:lang w:val="ru-RU"/>
              </w:rPr>
            </w:pPr>
          </w:p>
          <w:p w:rsidR="00FA0032" w:rsidRPr="00FA0032" w:rsidRDefault="00FA0032" w:rsidP="00C61544">
            <w:pPr>
              <w:rPr>
                <w:rFonts w:cs="Arial"/>
                <w:i/>
                <w:color w:val="002060"/>
                <w:sz w:val="8"/>
                <w:szCs w:val="8"/>
                <w:lang w:val="ru-RU"/>
              </w:rPr>
            </w:pPr>
          </w:p>
          <w:p w:rsidR="00FA0032" w:rsidRPr="00FA0032" w:rsidRDefault="00FA0032" w:rsidP="00C61544">
            <w:pPr>
              <w:rPr>
                <w:rFonts w:cs="Arial"/>
                <w:sz w:val="16"/>
                <w:szCs w:val="16"/>
                <w:lang w:val="ru-RU"/>
              </w:rPr>
            </w:pPr>
            <w:r w:rsidRPr="00FA0032">
              <w:rPr>
                <w:i/>
                <w:sz w:val="16"/>
                <w:lang w:val="ru-RU"/>
              </w:rPr>
              <w:t>Исходные базовые показатели ПиБ на 2014–2015 гг.:</w:t>
            </w:r>
            <w:r w:rsidRPr="00FA0032">
              <w:rPr>
                <w:sz w:val="16"/>
                <w:lang w:val="ru-RU"/>
              </w:rPr>
              <w:t xml:space="preserve">  </w:t>
            </w:r>
          </w:p>
          <w:p w:rsidR="00FA0032" w:rsidRPr="00797FCA" w:rsidRDefault="00FA0032" w:rsidP="00C61544">
            <w:pPr>
              <w:rPr>
                <w:rFonts w:cs="Arial"/>
                <w:sz w:val="16"/>
                <w:szCs w:val="16"/>
              </w:rPr>
            </w:pPr>
            <w:r>
              <w:rPr>
                <w:sz w:val="16"/>
              </w:rPr>
              <w:t>С4 – 44,1%</w:t>
            </w:r>
          </w:p>
          <w:p w:rsidR="00FA0032" w:rsidRPr="00797FCA" w:rsidRDefault="00FA0032" w:rsidP="00C61544">
            <w:pPr>
              <w:rPr>
                <w:rFonts w:cs="Arial"/>
                <w:sz w:val="16"/>
                <w:szCs w:val="16"/>
              </w:rPr>
            </w:pPr>
            <w:r>
              <w:rPr>
                <w:sz w:val="16"/>
              </w:rPr>
              <w:t>С5 – 31,8%</w:t>
            </w:r>
          </w:p>
          <w:p w:rsidR="00FA0032" w:rsidRPr="00797FCA" w:rsidRDefault="00FA0032" w:rsidP="00C61544">
            <w:pPr>
              <w:rPr>
                <w:rFonts w:cs="Arial"/>
                <w:sz w:val="16"/>
                <w:szCs w:val="16"/>
              </w:rPr>
            </w:pPr>
            <w:r>
              <w:rPr>
                <w:sz w:val="16"/>
              </w:rPr>
              <w:t>Д1 – 26,2%</w:t>
            </w:r>
          </w:p>
          <w:p w:rsidR="00FA0032" w:rsidRPr="00797FCA" w:rsidRDefault="00FA0032" w:rsidP="00C61544">
            <w:pPr>
              <w:rPr>
                <w:rFonts w:cs="Arial"/>
                <w:sz w:val="16"/>
                <w:szCs w:val="16"/>
              </w:rPr>
            </w:pPr>
            <w:r>
              <w:rPr>
                <w:sz w:val="16"/>
              </w:rPr>
              <w:t>Д2 – 23,1%</w:t>
            </w:r>
          </w:p>
          <w:p w:rsidR="00FA0032" w:rsidRPr="00797FCA" w:rsidRDefault="00FA0032" w:rsidP="00C61544">
            <w:pPr>
              <w:rPr>
                <w:rFonts w:cs="Arial"/>
                <w:sz w:val="16"/>
                <w:szCs w:val="16"/>
              </w:rPr>
            </w:pPr>
            <w:r>
              <w:rPr>
                <w:sz w:val="16"/>
              </w:rPr>
              <w:t>(дек. 2012 г.)</w:t>
            </w:r>
          </w:p>
          <w:p w:rsidR="00FA0032" w:rsidRPr="00797FCA" w:rsidRDefault="00FA0032" w:rsidP="00C61544">
            <w:pPr>
              <w:rPr>
                <w:rFonts w:cs="Arial"/>
                <w:sz w:val="16"/>
                <w:szCs w:val="16"/>
              </w:rPr>
            </w:pPr>
          </w:p>
        </w:tc>
        <w:tc>
          <w:tcPr>
            <w:tcW w:w="735" w:type="pct"/>
            <w:shd w:val="clear" w:color="auto" w:fill="auto"/>
            <w:tcMar>
              <w:top w:w="110" w:type="dxa"/>
            </w:tcMar>
          </w:tcPr>
          <w:p w:rsidR="00FA0032" w:rsidRDefault="00FA0032" w:rsidP="00C61544">
            <w:pPr>
              <w:keepNext/>
              <w:keepLines/>
              <w:spacing w:after="160"/>
              <w:rPr>
                <w:rFonts w:cs="Arial"/>
                <w:sz w:val="16"/>
                <w:szCs w:val="16"/>
              </w:rPr>
            </w:pPr>
          </w:p>
          <w:p w:rsidR="00FA0032" w:rsidRPr="00784FF4" w:rsidRDefault="00FA0032" w:rsidP="00C61544">
            <w:pPr>
              <w:keepNext/>
              <w:keepLines/>
              <w:spacing w:after="160"/>
              <w:rPr>
                <w:rFonts w:cs="Arial"/>
                <w:sz w:val="16"/>
                <w:szCs w:val="16"/>
              </w:rPr>
            </w:pPr>
            <w:r>
              <w:rPr>
                <w:sz w:val="16"/>
              </w:rPr>
              <w:t>С4 – 46%</w:t>
            </w:r>
          </w:p>
          <w:p w:rsidR="00FA0032" w:rsidRPr="00784FF4" w:rsidRDefault="00FA0032" w:rsidP="00C61544">
            <w:pPr>
              <w:keepNext/>
              <w:keepLines/>
              <w:spacing w:after="160"/>
              <w:rPr>
                <w:rFonts w:cs="Arial"/>
                <w:sz w:val="16"/>
                <w:szCs w:val="16"/>
              </w:rPr>
            </w:pPr>
            <w:r>
              <w:rPr>
                <w:sz w:val="16"/>
              </w:rPr>
              <w:t>С5 – 35%</w:t>
            </w:r>
          </w:p>
          <w:p w:rsidR="00FA0032" w:rsidRPr="00784FF4" w:rsidRDefault="00FA0032" w:rsidP="00C61544">
            <w:pPr>
              <w:keepNext/>
              <w:keepLines/>
              <w:spacing w:after="160"/>
              <w:rPr>
                <w:rFonts w:cs="Arial"/>
                <w:sz w:val="16"/>
                <w:szCs w:val="16"/>
              </w:rPr>
            </w:pPr>
            <w:r>
              <w:rPr>
                <w:sz w:val="16"/>
              </w:rPr>
              <w:t>Д1 – 30%</w:t>
            </w:r>
          </w:p>
          <w:p w:rsidR="00FA0032" w:rsidRPr="00784FF4" w:rsidRDefault="00FA0032" w:rsidP="00C61544">
            <w:pPr>
              <w:keepNext/>
              <w:keepLines/>
              <w:spacing w:after="160"/>
              <w:rPr>
                <w:rFonts w:cs="Arial"/>
                <w:sz w:val="16"/>
                <w:szCs w:val="16"/>
              </w:rPr>
            </w:pPr>
            <w:r>
              <w:rPr>
                <w:sz w:val="16"/>
              </w:rPr>
              <w:t>Д2 – 30%</w:t>
            </w:r>
          </w:p>
        </w:tc>
        <w:tc>
          <w:tcPr>
            <w:tcW w:w="1038" w:type="pct"/>
            <w:gridSpan w:val="2"/>
            <w:shd w:val="clear" w:color="auto" w:fill="FFFFFF"/>
            <w:tcMar>
              <w:top w:w="110" w:type="dxa"/>
            </w:tcMar>
          </w:tcPr>
          <w:tbl>
            <w:tblPr>
              <w:tblW w:w="2067" w:type="dxa"/>
              <w:tblLayout w:type="fixed"/>
              <w:tblCellMar>
                <w:left w:w="14" w:type="dxa"/>
                <w:right w:w="14" w:type="dxa"/>
              </w:tblCellMar>
              <w:tblLook w:val="04A0" w:firstRow="1" w:lastRow="0" w:firstColumn="1" w:lastColumn="0" w:noHBand="0" w:noVBand="1"/>
            </w:tblPr>
            <w:tblGrid>
              <w:gridCol w:w="394"/>
              <w:gridCol w:w="836"/>
              <w:gridCol w:w="837"/>
            </w:tblGrid>
            <w:tr w:rsidR="00FA0032" w:rsidRPr="00A15D98" w:rsidTr="00C61544">
              <w:trPr>
                <w:trHeight w:val="255"/>
              </w:trPr>
              <w:tc>
                <w:tcPr>
                  <w:tcW w:w="394"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p>
              </w:tc>
              <w:tc>
                <w:tcPr>
                  <w:tcW w:w="836" w:type="dxa"/>
                  <w:tcBorders>
                    <w:top w:val="nil"/>
                    <w:left w:val="nil"/>
                    <w:bottom w:val="nil"/>
                    <w:right w:val="nil"/>
                  </w:tcBorders>
                  <w:shd w:val="clear" w:color="auto" w:fill="auto"/>
                  <w:noWrap/>
                  <w:hideMark/>
                </w:tcPr>
                <w:p w:rsidR="00FA0032" w:rsidRPr="00042396" w:rsidRDefault="00FA0032" w:rsidP="00C61544">
                  <w:pPr>
                    <w:rPr>
                      <w:rFonts w:cs="Arial"/>
                      <w:sz w:val="16"/>
                      <w:szCs w:val="16"/>
                    </w:rPr>
                  </w:pPr>
                  <w:r>
                    <w:rPr>
                      <w:sz w:val="16"/>
                    </w:rPr>
                    <w:t>2014 г.</w:t>
                  </w:r>
                </w:p>
              </w:tc>
              <w:tc>
                <w:tcPr>
                  <w:tcW w:w="837" w:type="dxa"/>
                  <w:tcBorders>
                    <w:top w:val="nil"/>
                    <w:left w:val="nil"/>
                    <w:bottom w:val="nil"/>
                    <w:right w:val="nil"/>
                  </w:tcBorders>
                  <w:shd w:val="clear" w:color="auto" w:fill="auto"/>
                  <w:noWrap/>
                  <w:hideMark/>
                </w:tcPr>
                <w:p w:rsidR="00FA0032" w:rsidRPr="00042396" w:rsidRDefault="00FA0032" w:rsidP="00C61544">
                  <w:pPr>
                    <w:rPr>
                      <w:rFonts w:cs="Arial"/>
                      <w:sz w:val="16"/>
                      <w:szCs w:val="16"/>
                    </w:rPr>
                  </w:pPr>
                  <w:r>
                    <w:rPr>
                      <w:sz w:val="16"/>
                    </w:rPr>
                    <w:t>2015 г.</w:t>
                  </w:r>
                </w:p>
              </w:tc>
            </w:tr>
            <w:tr w:rsidR="00FA0032" w:rsidRPr="00A15D98" w:rsidTr="00C61544">
              <w:trPr>
                <w:trHeight w:val="255"/>
              </w:trPr>
              <w:tc>
                <w:tcPr>
                  <w:tcW w:w="394"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r>
                    <w:rPr>
                      <w:sz w:val="16"/>
                    </w:rPr>
                    <w:t xml:space="preserve">С4 – </w:t>
                  </w:r>
                </w:p>
              </w:tc>
              <w:tc>
                <w:tcPr>
                  <w:tcW w:w="836"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r>
                    <w:rPr>
                      <w:sz w:val="16"/>
                    </w:rPr>
                    <w:t>44,4%</w:t>
                  </w:r>
                </w:p>
              </w:tc>
              <w:tc>
                <w:tcPr>
                  <w:tcW w:w="837"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r>
                    <w:rPr>
                      <w:sz w:val="16"/>
                    </w:rPr>
                    <w:t>46,1%</w:t>
                  </w:r>
                </w:p>
              </w:tc>
            </w:tr>
            <w:tr w:rsidR="00FA0032" w:rsidRPr="00A15D98" w:rsidTr="00C61544">
              <w:trPr>
                <w:trHeight w:val="255"/>
              </w:trPr>
              <w:tc>
                <w:tcPr>
                  <w:tcW w:w="394"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p>
                <w:p w:rsidR="00FA0032" w:rsidRPr="00042396" w:rsidRDefault="00FA0032" w:rsidP="00C61544">
                  <w:pPr>
                    <w:rPr>
                      <w:rFonts w:cs="Arial"/>
                      <w:sz w:val="16"/>
                      <w:szCs w:val="16"/>
                    </w:rPr>
                  </w:pPr>
                  <w:r>
                    <w:rPr>
                      <w:sz w:val="16"/>
                    </w:rPr>
                    <w:t xml:space="preserve">С5 – </w:t>
                  </w:r>
                </w:p>
              </w:tc>
              <w:tc>
                <w:tcPr>
                  <w:tcW w:w="836"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r>
                    <w:rPr>
                      <w:sz w:val="16"/>
                    </w:rPr>
                    <w:t>34,4%</w:t>
                  </w:r>
                </w:p>
              </w:tc>
              <w:tc>
                <w:tcPr>
                  <w:tcW w:w="837"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r>
                    <w:rPr>
                      <w:sz w:val="16"/>
                    </w:rPr>
                    <w:t>34,1%</w:t>
                  </w:r>
                </w:p>
              </w:tc>
            </w:tr>
            <w:tr w:rsidR="00FA0032" w:rsidRPr="00A15D98" w:rsidTr="00C61544">
              <w:trPr>
                <w:trHeight w:val="255"/>
              </w:trPr>
              <w:tc>
                <w:tcPr>
                  <w:tcW w:w="394"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p>
                <w:p w:rsidR="00FA0032" w:rsidRPr="00042396" w:rsidRDefault="00FA0032" w:rsidP="00C61544">
                  <w:pPr>
                    <w:rPr>
                      <w:rFonts w:cs="Arial"/>
                      <w:sz w:val="16"/>
                      <w:szCs w:val="16"/>
                    </w:rPr>
                  </w:pPr>
                  <w:r>
                    <w:rPr>
                      <w:sz w:val="16"/>
                    </w:rPr>
                    <w:t xml:space="preserve">Д1 – </w:t>
                  </w:r>
                </w:p>
              </w:tc>
              <w:tc>
                <w:tcPr>
                  <w:tcW w:w="836"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r>
                    <w:rPr>
                      <w:sz w:val="16"/>
                    </w:rPr>
                    <w:t>26,7%</w:t>
                  </w:r>
                </w:p>
              </w:tc>
              <w:tc>
                <w:tcPr>
                  <w:tcW w:w="837"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r>
                    <w:rPr>
                      <w:sz w:val="16"/>
                    </w:rPr>
                    <w:t>26,5%</w:t>
                  </w:r>
                </w:p>
              </w:tc>
            </w:tr>
            <w:tr w:rsidR="00FA0032" w:rsidRPr="00A15D98" w:rsidTr="00C61544">
              <w:trPr>
                <w:trHeight w:val="255"/>
              </w:trPr>
              <w:tc>
                <w:tcPr>
                  <w:tcW w:w="394"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p>
                <w:p w:rsidR="00FA0032" w:rsidRPr="00042396" w:rsidRDefault="00FA0032" w:rsidP="00C61544">
                  <w:pPr>
                    <w:rPr>
                      <w:rFonts w:cs="Arial"/>
                      <w:sz w:val="16"/>
                      <w:szCs w:val="16"/>
                    </w:rPr>
                  </w:pPr>
                  <w:r>
                    <w:rPr>
                      <w:sz w:val="16"/>
                    </w:rPr>
                    <w:t xml:space="preserve">Д2 – </w:t>
                  </w:r>
                </w:p>
              </w:tc>
              <w:tc>
                <w:tcPr>
                  <w:tcW w:w="836"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r>
                    <w:rPr>
                      <w:sz w:val="16"/>
                    </w:rPr>
                    <w:t>22,2%</w:t>
                  </w:r>
                </w:p>
              </w:tc>
              <w:tc>
                <w:tcPr>
                  <w:tcW w:w="837" w:type="dxa"/>
                  <w:tcBorders>
                    <w:top w:val="nil"/>
                    <w:left w:val="nil"/>
                    <w:bottom w:val="nil"/>
                    <w:right w:val="nil"/>
                  </w:tcBorders>
                  <w:shd w:val="clear" w:color="auto" w:fill="auto"/>
                  <w:noWrap/>
                  <w:vAlign w:val="bottom"/>
                  <w:hideMark/>
                </w:tcPr>
                <w:p w:rsidR="00FA0032" w:rsidRPr="00042396" w:rsidRDefault="00FA0032" w:rsidP="00C61544">
                  <w:pPr>
                    <w:rPr>
                      <w:rFonts w:cs="Arial"/>
                      <w:sz w:val="16"/>
                      <w:szCs w:val="16"/>
                    </w:rPr>
                  </w:pPr>
                  <w:r>
                    <w:rPr>
                      <w:sz w:val="16"/>
                    </w:rPr>
                    <w:t>22,2%</w:t>
                  </w:r>
                </w:p>
              </w:tc>
            </w:tr>
          </w:tbl>
          <w:p w:rsidR="00FA0032" w:rsidRDefault="00FA0032" w:rsidP="00C61544">
            <w:pPr>
              <w:pStyle w:val="PlainText"/>
              <w:keepNext/>
              <w:keepLines/>
              <w:spacing w:after="160"/>
              <w:rPr>
                <w:rFonts w:ascii="Arial" w:hAnsi="Arial" w:cs="Arial"/>
                <w:color w:val="auto"/>
                <w:sz w:val="16"/>
                <w:szCs w:val="16"/>
              </w:rPr>
            </w:pPr>
          </w:p>
          <w:p w:rsidR="00FA0032" w:rsidRDefault="00FA0032" w:rsidP="00C61544">
            <w:pPr>
              <w:pStyle w:val="PlainText"/>
              <w:keepNext/>
              <w:keepLines/>
              <w:spacing w:after="160"/>
              <w:rPr>
                <w:rFonts w:ascii="Arial" w:hAnsi="Arial" w:cs="Arial"/>
                <w:color w:val="auto"/>
                <w:sz w:val="16"/>
                <w:szCs w:val="16"/>
              </w:rPr>
            </w:pPr>
          </w:p>
          <w:p w:rsidR="00FA0032" w:rsidRPr="00797FCA" w:rsidRDefault="00FA0032" w:rsidP="00C61544">
            <w:pPr>
              <w:pStyle w:val="PlainText"/>
              <w:keepNext/>
              <w:keepLines/>
              <w:spacing w:after="160"/>
              <w:rPr>
                <w:rFonts w:ascii="Arial" w:hAnsi="Arial" w:cs="Arial"/>
                <w:sz w:val="16"/>
                <w:szCs w:val="16"/>
              </w:rPr>
            </w:pPr>
          </w:p>
        </w:tc>
        <w:tc>
          <w:tcPr>
            <w:tcW w:w="612" w:type="pct"/>
            <w:gridSpan w:val="2"/>
            <w:shd w:val="clear" w:color="auto" w:fill="auto"/>
            <w:tcMar>
              <w:top w:w="110" w:type="dxa"/>
            </w:tcMar>
          </w:tcPr>
          <w:p w:rsidR="00FA0032" w:rsidRPr="00FA0032" w:rsidRDefault="00FA0032" w:rsidP="00C61544">
            <w:pPr>
              <w:keepNext/>
              <w:keepLines/>
              <w:rPr>
                <w:rFonts w:cs="Arial"/>
                <w:b/>
                <w:bCs/>
                <w:color w:val="00B050"/>
                <w:sz w:val="16"/>
                <w:szCs w:val="16"/>
                <w:lang w:val="ru-RU"/>
              </w:rPr>
            </w:pPr>
          </w:p>
          <w:p w:rsidR="00FA0032" w:rsidRPr="00FA0032" w:rsidRDefault="00FA0032" w:rsidP="00C61544">
            <w:pPr>
              <w:keepNext/>
              <w:keepLines/>
              <w:jc w:val="center"/>
              <w:rPr>
                <w:rFonts w:cs="Arial"/>
                <w:b/>
                <w:bCs/>
                <w:color w:val="00B050"/>
                <w:sz w:val="16"/>
                <w:szCs w:val="16"/>
                <w:lang w:val="ru-RU"/>
              </w:rPr>
            </w:pPr>
            <w:r w:rsidRPr="00FA0032">
              <w:rPr>
                <w:b/>
                <w:color w:val="00B050"/>
                <w:sz w:val="16"/>
                <w:lang w:val="ru-RU"/>
              </w:rPr>
              <w:t>Выполнено</w:t>
            </w:r>
          </w:p>
          <w:p w:rsidR="00FA0032" w:rsidRPr="00FA0032" w:rsidRDefault="00FA0032" w:rsidP="00C61544">
            <w:pPr>
              <w:keepNext/>
              <w:keepLines/>
              <w:jc w:val="center"/>
              <w:rPr>
                <w:rFonts w:cs="Arial"/>
                <w:b/>
                <w:bCs/>
                <w:color w:val="FF0000"/>
                <w:sz w:val="16"/>
                <w:szCs w:val="16"/>
                <w:lang w:val="ru-RU"/>
              </w:rPr>
            </w:pPr>
            <w:r w:rsidRPr="00FA0032">
              <w:rPr>
                <w:b/>
                <w:color w:val="FF0000"/>
                <w:sz w:val="16"/>
                <w:lang w:val="ru-RU"/>
              </w:rPr>
              <w:t>Не выполнено</w:t>
            </w:r>
          </w:p>
          <w:p w:rsidR="00FA0032" w:rsidRPr="00FA0032" w:rsidRDefault="00FA0032" w:rsidP="00C61544">
            <w:pPr>
              <w:keepNext/>
              <w:keepLines/>
              <w:jc w:val="center"/>
              <w:rPr>
                <w:rFonts w:cs="Arial"/>
                <w:b/>
                <w:bCs/>
                <w:color w:val="FF0000"/>
                <w:sz w:val="16"/>
                <w:szCs w:val="16"/>
                <w:lang w:val="ru-RU"/>
              </w:rPr>
            </w:pPr>
            <w:r w:rsidRPr="00FA0032">
              <w:rPr>
                <w:b/>
                <w:color w:val="FF0000"/>
                <w:sz w:val="16"/>
                <w:lang w:val="ru-RU"/>
              </w:rPr>
              <w:t>Не выполнено</w:t>
            </w:r>
          </w:p>
          <w:p w:rsidR="00FA0032" w:rsidRPr="00FA0032" w:rsidRDefault="00FA0032" w:rsidP="00C61544">
            <w:pPr>
              <w:keepNext/>
              <w:keepLines/>
              <w:jc w:val="center"/>
              <w:rPr>
                <w:rFonts w:cs="Arial"/>
                <w:b/>
                <w:bCs/>
                <w:color w:val="FF0000"/>
                <w:sz w:val="16"/>
                <w:szCs w:val="16"/>
                <w:lang w:val="ru-RU"/>
              </w:rPr>
            </w:pPr>
            <w:r w:rsidRPr="00FA0032">
              <w:rPr>
                <w:b/>
                <w:color w:val="FF0000"/>
                <w:sz w:val="16"/>
                <w:lang w:val="ru-RU"/>
              </w:rPr>
              <w:t>Не выполнено</w:t>
            </w:r>
          </w:p>
          <w:p w:rsidR="00FA0032" w:rsidRPr="00FA0032" w:rsidRDefault="00FA0032" w:rsidP="00C61544">
            <w:pPr>
              <w:keepNext/>
              <w:keepLines/>
              <w:jc w:val="center"/>
              <w:rPr>
                <w:rFonts w:cs="Arial"/>
                <w:b/>
                <w:bCs/>
                <w:color w:val="FF0000"/>
                <w:sz w:val="16"/>
                <w:szCs w:val="16"/>
                <w:lang w:val="ru-RU"/>
              </w:rPr>
            </w:pPr>
          </w:p>
          <w:p w:rsidR="00FA0032" w:rsidRPr="00FA0032" w:rsidRDefault="00FA0032" w:rsidP="00C61544">
            <w:pPr>
              <w:keepNext/>
              <w:keepLines/>
              <w:jc w:val="center"/>
              <w:rPr>
                <w:rFonts w:cs="Arial"/>
                <w:b/>
                <w:bCs/>
                <w:color w:val="FF0000"/>
                <w:sz w:val="16"/>
                <w:szCs w:val="16"/>
                <w:lang w:val="ru-RU"/>
              </w:rPr>
            </w:pPr>
          </w:p>
          <w:p w:rsidR="00FA0032" w:rsidRPr="00FA0032" w:rsidRDefault="00FA0032" w:rsidP="00C61544">
            <w:pPr>
              <w:keepNext/>
              <w:keepLines/>
              <w:rPr>
                <w:rFonts w:cs="Arial"/>
                <w:b/>
                <w:bCs/>
                <w:color w:val="808080"/>
                <w:sz w:val="16"/>
                <w:szCs w:val="16"/>
                <w:lang w:val="ru-RU"/>
              </w:rPr>
            </w:pPr>
          </w:p>
        </w:tc>
      </w:tr>
      <w:tr w:rsidR="00FA0032" w:rsidRPr="0042593C" w:rsidTr="00C61544">
        <w:tc>
          <w:tcPr>
            <w:tcW w:w="1089" w:type="pct"/>
            <w:shd w:val="clear" w:color="auto" w:fill="auto"/>
          </w:tcPr>
          <w:p w:rsidR="00FA0032" w:rsidRPr="00FA0032" w:rsidRDefault="00FA0032" w:rsidP="00C61544">
            <w:pPr>
              <w:rPr>
                <w:rFonts w:cs="Arial"/>
                <w:sz w:val="16"/>
                <w:szCs w:val="16"/>
                <w:lang w:val="ru-RU"/>
              </w:rPr>
            </w:pPr>
            <w:r w:rsidRPr="00FA0032">
              <w:rPr>
                <w:sz w:val="16"/>
                <w:lang w:val="ru-RU"/>
              </w:rPr>
              <w:t xml:space="preserve">Географическое распределение:  </w:t>
            </w:r>
          </w:p>
          <w:p w:rsidR="00FA0032" w:rsidRPr="00FA0032" w:rsidRDefault="00FA0032" w:rsidP="00C61544">
            <w:pPr>
              <w:rPr>
                <w:rFonts w:cs="Arial"/>
                <w:sz w:val="16"/>
                <w:szCs w:val="16"/>
                <w:lang w:val="ru-RU"/>
              </w:rPr>
            </w:pPr>
            <w:r w:rsidRPr="00FA0032">
              <w:rPr>
                <w:sz w:val="16"/>
                <w:lang w:val="ru-RU"/>
              </w:rPr>
              <w:t>доля (%) сотрудников</w:t>
            </w:r>
            <w:r>
              <w:rPr>
                <w:rStyle w:val="FootnoteReference"/>
                <w:sz w:val="16"/>
              </w:rPr>
              <w:footnoteReference w:id="133"/>
            </w:r>
            <w:r w:rsidRPr="00FA0032">
              <w:rPr>
                <w:sz w:val="16"/>
                <w:lang w:val="ru-RU"/>
              </w:rPr>
              <w:t xml:space="preserve"> по регионам</w:t>
            </w:r>
          </w:p>
        </w:tc>
        <w:tc>
          <w:tcPr>
            <w:tcW w:w="1526" w:type="pct"/>
            <w:shd w:val="clear" w:color="auto" w:fill="auto"/>
          </w:tcPr>
          <w:p w:rsidR="00FA0032" w:rsidRPr="00FA0032" w:rsidRDefault="00FA0032" w:rsidP="00C61544">
            <w:pPr>
              <w:rPr>
                <w:rFonts w:cs="Arial"/>
                <w:i/>
                <w:color w:val="002060"/>
                <w:sz w:val="16"/>
                <w:szCs w:val="16"/>
                <w:lang w:val="ru-RU"/>
              </w:rPr>
            </w:pPr>
            <w:r w:rsidRPr="00FA0032">
              <w:rPr>
                <w:i/>
                <w:color w:val="002060"/>
                <w:sz w:val="16"/>
                <w:lang w:val="ru-RU"/>
              </w:rPr>
              <w:t>Обновленные базовые показатели, конец 2013</w:t>
            </w:r>
            <w:r>
              <w:rPr>
                <w:i/>
                <w:color w:val="002060"/>
                <w:sz w:val="16"/>
              </w:rPr>
              <w:t> </w:t>
            </w:r>
            <w:r w:rsidRPr="00FA0032">
              <w:rPr>
                <w:i/>
                <w:color w:val="002060"/>
                <w:sz w:val="16"/>
                <w:lang w:val="ru-RU"/>
              </w:rPr>
              <w:t xml:space="preserve">г.: </w:t>
            </w:r>
          </w:p>
          <w:p w:rsidR="00FA0032" w:rsidRPr="00FA0032" w:rsidRDefault="00FA0032" w:rsidP="00C61544">
            <w:pPr>
              <w:rPr>
                <w:rFonts w:cs="Arial"/>
                <w:color w:val="002060"/>
                <w:sz w:val="16"/>
                <w:szCs w:val="16"/>
                <w:lang w:val="ru-RU"/>
              </w:rPr>
            </w:pPr>
            <w:r w:rsidRPr="00FA0032">
              <w:rPr>
                <w:color w:val="002060"/>
                <w:sz w:val="16"/>
                <w:lang w:val="ru-RU"/>
              </w:rPr>
              <w:t>Африка – 11,4%,</w:t>
            </w:r>
          </w:p>
          <w:p w:rsidR="00FA0032" w:rsidRPr="00FA0032" w:rsidRDefault="00FA0032" w:rsidP="00C61544">
            <w:pPr>
              <w:rPr>
                <w:rFonts w:cs="Arial"/>
                <w:color w:val="002060"/>
                <w:sz w:val="16"/>
                <w:szCs w:val="16"/>
                <w:lang w:val="ru-RU"/>
              </w:rPr>
            </w:pPr>
            <w:r w:rsidRPr="00FA0032">
              <w:rPr>
                <w:color w:val="002060"/>
                <w:sz w:val="16"/>
                <w:lang w:val="ru-RU"/>
              </w:rPr>
              <w:t>Азиатско-Тихоокеанский регион – 13,7%,</w:t>
            </w:r>
          </w:p>
          <w:p w:rsidR="00FA0032" w:rsidRPr="00FA0032" w:rsidRDefault="00FA0032" w:rsidP="00C61544">
            <w:pPr>
              <w:rPr>
                <w:rFonts w:cs="Arial"/>
                <w:color w:val="002060"/>
                <w:sz w:val="16"/>
                <w:szCs w:val="16"/>
                <w:lang w:val="ru-RU"/>
              </w:rPr>
            </w:pPr>
            <w:r w:rsidRPr="00FA0032">
              <w:rPr>
                <w:color w:val="002060"/>
                <w:sz w:val="16"/>
                <w:lang w:val="ru-RU"/>
              </w:rPr>
              <w:t>Центральная и Восточная Европа и Центральная Азия – 5,9%,</w:t>
            </w:r>
          </w:p>
          <w:p w:rsidR="00FA0032" w:rsidRPr="00FA0032" w:rsidRDefault="00FA0032" w:rsidP="00C61544">
            <w:pPr>
              <w:rPr>
                <w:rFonts w:cs="Arial"/>
                <w:color w:val="002060"/>
                <w:sz w:val="16"/>
                <w:szCs w:val="16"/>
                <w:lang w:val="ru-RU"/>
              </w:rPr>
            </w:pPr>
            <w:r w:rsidRPr="00FA0032">
              <w:rPr>
                <w:color w:val="002060"/>
                <w:sz w:val="16"/>
                <w:lang w:val="ru-RU"/>
              </w:rPr>
              <w:t>Латинская Америка и Карибский бассейн – 8,6%,</w:t>
            </w:r>
          </w:p>
          <w:p w:rsidR="00FA0032" w:rsidRPr="00FA0032" w:rsidRDefault="00FA0032" w:rsidP="00C61544">
            <w:pPr>
              <w:rPr>
                <w:rFonts w:cs="Arial"/>
                <w:color w:val="002060"/>
                <w:sz w:val="16"/>
                <w:szCs w:val="16"/>
                <w:lang w:val="ru-RU"/>
              </w:rPr>
            </w:pPr>
            <w:r w:rsidRPr="00FA0032">
              <w:rPr>
                <w:color w:val="002060"/>
                <w:sz w:val="16"/>
                <w:lang w:val="ru-RU"/>
              </w:rPr>
              <w:t>Ближний Восток – 1,2%,</w:t>
            </w:r>
          </w:p>
          <w:p w:rsidR="00FA0032" w:rsidRPr="00FA0032" w:rsidRDefault="00FA0032" w:rsidP="00C61544">
            <w:pPr>
              <w:rPr>
                <w:color w:val="002060"/>
                <w:sz w:val="16"/>
                <w:lang w:val="ru-RU"/>
              </w:rPr>
            </w:pPr>
            <w:r w:rsidRPr="00FA0032">
              <w:rPr>
                <w:color w:val="002060"/>
                <w:sz w:val="16"/>
                <w:lang w:val="ru-RU"/>
              </w:rPr>
              <w:t>Северная Америка – 8,2%,</w:t>
            </w:r>
          </w:p>
          <w:p w:rsidR="00FA0032" w:rsidRPr="00FA0032" w:rsidRDefault="00FA0032" w:rsidP="00C61544">
            <w:pPr>
              <w:rPr>
                <w:rFonts w:cs="Arial"/>
                <w:color w:val="002060"/>
                <w:sz w:val="16"/>
                <w:szCs w:val="16"/>
                <w:lang w:val="ru-RU"/>
              </w:rPr>
            </w:pPr>
            <w:r w:rsidRPr="00FA0032">
              <w:rPr>
                <w:color w:val="002060"/>
                <w:sz w:val="16"/>
                <w:lang w:val="ru-RU"/>
              </w:rPr>
              <w:t>Западная Европа – 51,0%</w:t>
            </w:r>
          </w:p>
          <w:p w:rsidR="00FA0032" w:rsidRPr="00FA0032" w:rsidRDefault="00FA0032" w:rsidP="00C61544">
            <w:pPr>
              <w:rPr>
                <w:rFonts w:cs="Arial"/>
                <w:i/>
                <w:color w:val="002060"/>
                <w:sz w:val="8"/>
                <w:szCs w:val="8"/>
                <w:lang w:val="ru-RU"/>
              </w:rPr>
            </w:pPr>
          </w:p>
          <w:p w:rsidR="00FA0032" w:rsidRPr="00FA0032" w:rsidRDefault="00FA0032" w:rsidP="00C61544">
            <w:pPr>
              <w:rPr>
                <w:sz w:val="16"/>
                <w:lang w:val="ru-RU"/>
              </w:rPr>
            </w:pPr>
            <w:r w:rsidRPr="00FA0032">
              <w:rPr>
                <w:i/>
                <w:sz w:val="16"/>
                <w:lang w:val="ru-RU"/>
              </w:rPr>
              <w:t>Исходные базовые показатели ПиБ на 2014–2015 гг.:</w:t>
            </w:r>
            <w:r w:rsidRPr="00FA0032">
              <w:rPr>
                <w:sz w:val="16"/>
                <w:lang w:val="ru-RU"/>
              </w:rPr>
              <w:t xml:space="preserve"> </w:t>
            </w:r>
          </w:p>
          <w:p w:rsidR="00FA0032" w:rsidRPr="00FA0032" w:rsidRDefault="00FA0032" w:rsidP="00C61544">
            <w:pPr>
              <w:rPr>
                <w:rFonts w:cs="Arial"/>
                <w:sz w:val="16"/>
                <w:szCs w:val="16"/>
                <w:lang w:val="ru-RU"/>
              </w:rPr>
            </w:pPr>
            <w:r w:rsidRPr="00FA0032">
              <w:rPr>
                <w:sz w:val="16"/>
                <w:lang w:val="ru-RU"/>
              </w:rPr>
              <w:t>Африка – 11,0%,</w:t>
            </w:r>
          </w:p>
          <w:p w:rsidR="00FA0032" w:rsidRPr="00FA0032" w:rsidRDefault="00FA0032" w:rsidP="00C61544">
            <w:pPr>
              <w:rPr>
                <w:rFonts w:cs="Arial"/>
                <w:sz w:val="16"/>
                <w:szCs w:val="16"/>
                <w:lang w:val="ru-RU"/>
              </w:rPr>
            </w:pPr>
            <w:r w:rsidRPr="00FA0032">
              <w:rPr>
                <w:sz w:val="16"/>
                <w:lang w:val="ru-RU"/>
              </w:rPr>
              <w:t>Азиатско-Тихоокеанский регион – 13,7%,</w:t>
            </w:r>
          </w:p>
          <w:p w:rsidR="00FA0032" w:rsidRPr="00FA0032" w:rsidRDefault="00FA0032" w:rsidP="00C61544">
            <w:pPr>
              <w:rPr>
                <w:rFonts w:cs="Arial"/>
                <w:sz w:val="16"/>
                <w:szCs w:val="16"/>
                <w:lang w:val="ru-RU"/>
              </w:rPr>
            </w:pPr>
            <w:r w:rsidRPr="00FA0032">
              <w:rPr>
                <w:sz w:val="16"/>
                <w:lang w:val="ru-RU"/>
              </w:rPr>
              <w:t>Центральная и Восточная Европа и Центральная Азия – 6,2%,</w:t>
            </w:r>
          </w:p>
          <w:p w:rsidR="00FA0032" w:rsidRPr="00FA0032" w:rsidRDefault="00FA0032" w:rsidP="00C61544">
            <w:pPr>
              <w:rPr>
                <w:rFonts w:cs="Arial"/>
                <w:sz w:val="16"/>
                <w:szCs w:val="16"/>
                <w:lang w:val="ru-RU"/>
              </w:rPr>
            </w:pPr>
            <w:r w:rsidRPr="00FA0032">
              <w:rPr>
                <w:sz w:val="16"/>
                <w:lang w:val="ru-RU"/>
              </w:rPr>
              <w:t>Латинская Америка и Карибский бассейн – 8,6%,</w:t>
            </w:r>
          </w:p>
          <w:p w:rsidR="00FA0032" w:rsidRPr="00C61544" w:rsidRDefault="00FA0032" w:rsidP="00C61544">
            <w:pPr>
              <w:rPr>
                <w:rFonts w:cs="Arial"/>
                <w:sz w:val="16"/>
                <w:szCs w:val="16"/>
                <w:lang w:val="ru-RU"/>
              </w:rPr>
            </w:pPr>
            <w:r w:rsidRPr="00C61544">
              <w:rPr>
                <w:sz w:val="16"/>
                <w:lang w:val="ru-RU"/>
              </w:rPr>
              <w:t>Ближний Восток – 1,2%,</w:t>
            </w:r>
          </w:p>
          <w:p w:rsidR="00FA0032" w:rsidRPr="00C61544" w:rsidRDefault="00FA0032" w:rsidP="00C61544">
            <w:pPr>
              <w:rPr>
                <w:rFonts w:cs="Arial"/>
                <w:sz w:val="16"/>
                <w:szCs w:val="16"/>
                <w:lang w:val="ru-RU"/>
              </w:rPr>
            </w:pPr>
            <w:r w:rsidRPr="00C61544">
              <w:rPr>
                <w:sz w:val="16"/>
                <w:lang w:val="ru-RU"/>
              </w:rPr>
              <w:t>Северная Америка – 8,0%,</w:t>
            </w:r>
          </w:p>
          <w:p w:rsidR="00FA0032" w:rsidRPr="00C61544" w:rsidRDefault="00FA0032" w:rsidP="00C61544">
            <w:pPr>
              <w:rPr>
                <w:rFonts w:cs="Arial"/>
                <w:sz w:val="16"/>
                <w:szCs w:val="16"/>
                <w:lang w:val="ru-RU"/>
              </w:rPr>
            </w:pPr>
            <w:r w:rsidRPr="00C61544">
              <w:rPr>
                <w:sz w:val="16"/>
                <w:lang w:val="ru-RU"/>
              </w:rPr>
              <w:t>Западная Европа – 51,2%</w:t>
            </w:r>
          </w:p>
          <w:p w:rsidR="00FA0032" w:rsidRPr="00C61544" w:rsidRDefault="00FA0032" w:rsidP="00C61544">
            <w:pPr>
              <w:rPr>
                <w:rFonts w:cs="Arial"/>
                <w:sz w:val="16"/>
                <w:szCs w:val="16"/>
                <w:lang w:val="ru-RU"/>
              </w:rPr>
            </w:pPr>
          </w:p>
        </w:tc>
        <w:tc>
          <w:tcPr>
            <w:tcW w:w="735" w:type="pct"/>
            <w:shd w:val="clear" w:color="auto" w:fill="auto"/>
            <w:tcMar>
              <w:top w:w="110" w:type="dxa"/>
            </w:tcMar>
          </w:tcPr>
          <w:p w:rsidR="00FA0032" w:rsidRPr="00797FCA" w:rsidRDefault="00FA0032" w:rsidP="00C61544">
            <w:pPr>
              <w:rPr>
                <w:rFonts w:cs="Arial"/>
                <w:sz w:val="16"/>
                <w:szCs w:val="16"/>
              </w:rPr>
            </w:pPr>
            <w:r>
              <w:rPr>
                <w:sz w:val="16"/>
              </w:rPr>
              <w:t>Будут определены позднее</w:t>
            </w:r>
            <w:r>
              <w:rPr>
                <w:rStyle w:val="FootnoteReference"/>
                <w:sz w:val="16"/>
              </w:rPr>
              <w:footnoteReference w:id="134"/>
            </w:r>
          </w:p>
        </w:tc>
        <w:tc>
          <w:tcPr>
            <w:tcW w:w="1038" w:type="pct"/>
            <w:gridSpan w:val="2"/>
            <w:shd w:val="clear" w:color="auto" w:fill="FFFFFF"/>
            <w:tcMar>
              <w:top w:w="110" w:type="dxa"/>
            </w:tcMar>
          </w:tcPr>
          <w:p w:rsidR="00FA0032" w:rsidRPr="00C61544" w:rsidRDefault="00FA0032" w:rsidP="00C61544">
            <w:pPr>
              <w:rPr>
                <w:rFonts w:cs="Arial"/>
                <w:sz w:val="16"/>
                <w:szCs w:val="16"/>
                <w:lang w:val="ru-RU"/>
              </w:rPr>
            </w:pPr>
            <w:r w:rsidRPr="00C61544">
              <w:rPr>
                <w:sz w:val="16"/>
                <w:lang w:val="ru-RU"/>
              </w:rPr>
              <w:t>Африка – 10,7%,</w:t>
            </w:r>
          </w:p>
          <w:p w:rsidR="00FA0032" w:rsidRPr="00FA0032" w:rsidRDefault="00FA0032" w:rsidP="00C61544">
            <w:pPr>
              <w:rPr>
                <w:rFonts w:cs="Arial"/>
                <w:sz w:val="16"/>
                <w:szCs w:val="16"/>
                <w:lang w:val="ru-RU"/>
              </w:rPr>
            </w:pPr>
            <w:r w:rsidRPr="00FA0032">
              <w:rPr>
                <w:sz w:val="16"/>
                <w:lang w:val="ru-RU"/>
              </w:rPr>
              <w:t>Азиатско-Тихоокеанский регион – 14,3%,</w:t>
            </w:r>
          </w:p>
          <w:p w:rsidR="00FA0032" w:rsidRPr="00FA0032" w:rsidRDefault="00FA0032" w:rsidP="00C61544">
            <w:pPr>
              <w:rPr>
                <w:rFonts w:cs="Arial"/>
                <w:sz w:val="16"/>
                <w:szCs w:val="16"/>
                <w:lang w:val="ru-RU"/>
              </w:rPr>
            </w:pPr>
            <w:r w:rsidRPr="00FA0032">
              <w:rPr>
                <w:sz w:val="16"/>
                <w:lang w:val="ru-RU"/>
              </w:rPr>
              <w:t>Центральная и Восточная Европа и Центральная Азия – 6,9%,</w:t>
            </w:r>
          </w:p>
          <w:p w:rsidR="00FA0032" w:rsidRPr="00FA0032" w:rsidRDefault="00FA0032" w:rsidP="00C61544">
            <w:pPr>
              <w:rPr>
                <w:rFonts w:cs="Arial"/>
                <w:sz w:val="16"/>
                <w:szCs w:val="16"/>
                <w:lang w:val="ru-RU"/>
              </w:rPr>
            </w:pPr>
            <w:r w:rsidRPr="00FA0032">
              <w:rPr>
                <w:sz w:val="16"/>
                <w:lang w:val="ru-RU"/>
              </w:rPr>
              <w:t>Латинская Америка и Карибский бассейн – 8,4%,</w:t>
            </w:r>
          </w:p>
          <w:p w:rsidR="00FA0032" w:rsidRPr="00FA0032" w:rsidRDefault="00FA0032" w:rsidP="00C61544">
            <w:pPr>
              <w:rPr>
                <w:rFonts w:cs="Arial"/>
                <w:sz w:val="16"/>
                <w:szCs w:val="16"/>
                <w:lang w:val="ru-RU"/>
              </w:rPr>
            </w:pPr>
            <w:r w:rsidRPr="00FA0032">
              <w:rPr>
                <w:sz w:val="16"/>
                <w:lang w:val="ru-RU"/>
              </w:rPr>
              <w:t>Ближний Восток – 1,1%,</w:t>
            </w:r>
          </w:p>
          <w:p w:rsidR="00FA0032" w:rsidRPr="00FA0032" w:rsidRDefault="00FA0032" w:rsidP="00C61544">
            <w:pPr>
              <w:rPr>
                <w:sz w:val="16"/>
                <w:lang w:val="ru-RU"/>
              </w:rPr>
            </w:pPr>
            <w:r w:rsidRPr="00FA0032">
              <w:rPr>
                <w:sz w:val="16"/>
                <w:lang w:val="ru-RU"/>
              </w:rPr>
              <w:t>Северная Америка – 9,0%,</w:t>
            </w:r>
          </w:p>
          <w:p w:rsidR="00FA0032" w:rsidRPr="00FA0032" w:rsidRDefault="00FA0032" w:rsidP="00C61544">
            <w:pPr>
              <w:rPr>
                <w:rFonts w:cs="Arial"/>
                <w:sz w:val="16"/>
                <w:szCs w:val="16"/>
                <w:lang w:val="ru-RU"/>
              </w:rPr>
            </w:pPr>
            <w:r w:rsidRPr="00FA0032">
              <w:rPr>
                <w:sz w:val="16"/>
                <w:lang w:val="ru-RU"/>
              </w:rPr>
              <w:t>Западная Европа –49,5%</w:t>
            </w:r>
          </w:p>
          <w:p w:rsidR="00FA0032" w:rsidRPr="00797FCA" w:rsidRDefault="00FA0032" w:rsidP="00C61544">
            <w:pPr>
              <w:rPr>
                <w:rFonts w:cs="Arial"/>
                <w:color w:val="002060"/>
                <w:sz w:val="16"/>
                <w:szCs w:val="16"/>
              </w:rPr>
            </w:pPr>
            <w:r>
              <w:rPr>
                <w:sz w:val="16"/>
              </w:rPr>
              <w:t>(дек. 2015 г.)</w:t>
            </w:r>
          </w:p>
          <w:p w:rsidR="00FA0032" w:rsidRPr="00797FCA" w:rsidRDefault="00FA0032" w:rsidP="00C61544">
            <w:pPr>
              <w:rPr>
                <w:rFonts w:cs="Arial"/>
                <w:sz w:val="16"/>
                <w:szCs w:val="16"/>
              </w:rPr>
            </w:pPr>
          </w:p>
        </w:tc>
        <w:tc>
          <w:tcPr>
            <w:tcW w:w="612" w:type="pct"/>
            <w:gridSpan w:val="2"/>
            <w:shd w:val="clear" w:color="auto" w:fill="auto"/>
            <w:tcMar>
              <w:top w:w="110" w:type="dxa"/>
            </w:tcMar>
          </w:tcPr>
          <w:p w:rsidR="00FA0032" w:rsidRPr="000B54D5" w:rsidRDefault="00FA0032" w:rsidP="00C61544">
            <w:pPr>
              <w:keepNext/>
              <w:keepLines/>
              <w:ind w:left="-46"/>
              <w:jc w:val="center"/>
              <w:rPr>
                <w:rFonts w:cs="Arial"/>
                <w:b/>
                <w:bCs/>
                <w:color w:val="BFBFBF" w:themeColor="background1" w:themeShade="BF"/>
                <w:sz w:val="13"/>
                <w:szCs w:val="13"/>
              </w:rPr>
            </w:pPr>
            <w:r>
              <w:rPr>
                <w:b/>
                <w:color w:val="808080" w:themeColor="background1" w:themeShade="80"/>
                <w:sz w:val="13"/>
              </w:rPr>
              <w:t>Не подлежит оценке</w:t>
            </w:r>
          </w:p>
        </w:tc>
      </w:tr>
    </w:tbl>
    <w:p w:rsidR="00FA0032" w:rsidRDefault="00FA0032" w:rsidP="00FA0032">
      <w:pPr>
        <w:keepNext/>
        <w:keepLines/>
        <w:rPr>
          <w:color w:val="000000"/>
          <w:sz w:val="22"/>
        </w:rPr>
      </w:pPr>
    </w:p>
    <w:p w:rsidR="00FA0032" w:rsidRDefault="00FA0032">
      <w:pPr>
        <w:rPr>
          <w:color w:val="000000"/>
          <w:sz w:val="22"/>
          <w:lang w:val="ru-RU"/>
        </w:rPr>
      </w:pPr>
      <w:r>
        <w:rPr>
          <w:color w:val="000000"/>
          <w:sz w:val="22"/>
          <w:lang w:val="ru-RU"/>
        </w:rPr>
        <w:br w:type="page"/>
      </w:r>
    </w:p>
    <w:p w:rsidR="00FA0032" w:rsidRPr="00FA0032" w:rsidRDefault="00FA0032" w:rsidP="00FA0032">
      <w:pPr>
        <w:keepNext/>
        <w:keepLines/>
        <w:rPr>
          <w:rFonts w:cs="Arial"/>
          <w:color w:val="000000"/>
          <w:sz w:val="22"/>
          <w:szCs w:val="22"/>
          <w:lang w:val="ru-RU"/>
        </w:rPr>
      </w:pPr>
      <w:r w:rsidRPr="00FA0032">
        <w:rPr>
          <w:color w:val="000000"/>
          <w:sz w:val="22"/>
          <w:lang w:val="ru-RU"/>
        </w:rPr>
        <w:t>ОТЧЕТ О РИСКАХ В ДВУХЛЕТНИЙ ПЕРИОД</w:t>
      </w:r>
    </w:p>
    <w:p w:rsidR="00FA0032" w:rsidRPr="00FA0032" w:rsidRDefault="00FA0032" w:rsidP="00FA0032">
      <w:pPr>
        <w:keepNext/>
        <w:keepLines/>
        <w:rPr>
          <w:lang w:val="ru-RU"/>
        </w:rPr>
      </w:pP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68"/>
        <w:gridCol w:w="2177"/>
        <w:gridCol w:w="2277"/>
        <w:gridCol w:w="2649"/>
      </w:tblGrid>
      <w:tr w:rsidR="00FA0032" w:rsidTr="00C61544">
        <w:trPr>
          <w:trHeight w:val="638"/>
          <w:jc w:val="center"/>
        </w:trPr>
        <w:tc>
          <w:tcPr>
            <w:tcW w:w="2528"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rsidR="00FA0032" w:rsidRPr="00FA0032" w:rsidRDefault="00FA0032" w:rsidP="00C61544">
            <w:pPr>
              <w:autoSpaceDE w:val="0"/>
              <w:autoSpaceDN w:val="0"/>
              <w:adjustRightInd w:val="0"/>
              <w:spacing w:line="276" w:lineRule="auto"/>
              <w:ind w:right="-59"/>
              <w:jc w:val="center"/>
              <w:rPr>
                <w:b/>
                <w:bCs/>
                <w:iCs/>
                <w:sz w:val="18"/>
                <w:szCs w:val="18"/>
                <w:lang w:val="ru-RU"/>
              </w:rPr>
            </w:pPr>
            <w:r w:rsidRPr="00FA0032">
              <w:rPr>
                <w:b/>
                <w:sz w:val="18"/>
                <w:lang w:val="ru-RU"/>
              </w:rPr>
              <w:t>Риск (риски) того, что результаты программы не будут достигнуты</w:t>
            </w:r>
          </w:p>
        </w:tc>
        <w:tc>
          <w:tcPr>
            <w:tcW w:w="2200" w:type="dxa"/>
            <w:tcBorders>
              <w:top w:val="single" w:sz="4" w:space="0" w:color="auto"/>
              <w:left w:val="nil"/>
              <w:bottom w:val="single" w:sz="4" w:space="0" w:color="auto"/>
              <w:right w:val="nil"/>
            </w:tcBorders>
            <w:shd w:val="clear" w:color="auto" w:fill="C6D9F1" w:themeFill="text2" w:themeFillTint="33"/>
            <w:vAlign w:val="center"/>
            <w:hideMark/>
          </w:tcPr>
          <w:p w:rsidR="00FA0032" w:rsidRPr="00FA0032" w:rsidRDefault="00FA0032" w:rsidP="00C61544">
            <w:pPr>
              <w:autoSpaceDE w:val="0"/>
              <w:autoSpaceDN w:val="0"/>
              <w:adjustRightInd w:val="0"/>
              <w:spacing w:line="276" w:lineRule="auto"/>
              <w:ind w:right="-59"/>
              <w:jc w:val="center"/>
              <w:rPr>
                <w:b/>
                <w:bCs/>
                <w:iCs/>
                <w:sz w:val="18"/>
                <w:szCs w:val="18"/>
                <w:lang w:val="ru-RU"/>
              </w:rPr>
            </w:pPr>
            <w:r w:rsidRPr="00FA0032">
              <w:rPr>
                <w:b/>
                <w:sz w:val="18"/>
                <w:lang w:val="ru-RU"/>
              </w:rPr>
              <w:t xml:space="preserve">Действующие или разрабатываемые планы по снижению рисков </w:t>
            </w:r>
          </w:p>
        </w:tc>
        <w:tc>
          <w:tcPr>
            <w:tcW w:w="2310" w:type="dxa"/>
            <w:tcBorders>
              <w:top w:val="single" w:sz="4" w:space="0" w:color="auto"/>
              <w:left w:val="nil"/>
              <w:bottom w:val="single" w:sz="4" w:space="0" w:color="auto"/>
              <w:right w:val="nil"/>
            </w:tcBorders>
            <w:shd w:val="clear" w:color="auto" w:fill="C6D9F1" w:themeFill="text2" w:themeFillTint="33"/>
            <w:hideMark/>
          </w:tcPr>
          <w:p w:rsidR="00FA0032" w:rsidRPr="00FA0032" w:rsidRDefault="00FA0032" w:rsidP="00C61544">
            <w:pPr>
              <w:spacing w:line="276" w:lineRule="auto"/>
              <w:jc w:val="center"/>
              <w:rPr>
                <w:b/>
                <w:bCs/>
                <w:sz w:val="18"/>
                <w:szCs w:val="18"/>
                <w:lang w:val="ru-RU"/>
              </w:rPr>
            </w:pPr>
            <w:r w:rsidRPr="00FA0032">
              <w:rPr>
                <w:b/>
                <w:sz w:val="18"/>
                <w:lang w:val="ru-RU"/>
              </w:rPr>
              <w:t>Развитие риска (рисков) и стратегий его (их) снижения в двухлетний период</w:t>
            </w:r>
          </w:p>
        </w:tc>
        <w:tc>
          <w:tcPr>
            <w:tcW w:w="2713" w:type="dxa"/>
            <w:tcBorders>
              <w:top w:val="single" w:sz="4" w:space="0" w:color="auto"/>
              <w:left w:val="nil"/>
              <w:bottom w:val="single" w:sz="4" w:space="0" w:color="auto"/>
              <w:right w:val="single" w:sz="4" w:space="0" w:color="auto"/>
            </w:tcBorders>
            <w:shd w:val="clear" w:color="auto" w:fill="C6D9F1" w:themeFill="text2" w:themeFillTint="33"/>
            <w:hideMark/>
          </w:tcPr>
          <w:p w:rsidR="00FA0032" w:rsidRDefault="00FA0032" w:rsidP="00C61544">
            <w:pPr>
              <w:spacing w:line="276" w:lineRule="auto"/>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FA0032" w:rsidRPr="005C6ABD" w:rsidTr="00C61544">
        <w:trPr>
          <w:trHeight w:val="1320"/>
          <w:jc w:val="center"/>
        </w:trPr>
        <w:tc>
          <w:tcPr>
            <w:tcW w:w="2528" w:type="dxa"/>
            <w:tcBorders>
              <w:top w:val="single" w:sz="4" w:space="0" w:color="auto"/>
              <w:left w:val="single" w:sz="4" w:space="0" w:color="auto"/>
              <w:bottom w:val="nil"/>
              <w:right w:val="nil"/>
            </w:tcBorders>
            <w:tcMar>
              <w:top w:w="113" w:type="dxa"/>
              <w:left w:w="108" w:type="dxa"/>
              <w:bottom w:w="85" w:type="dxa"/>
              <w:right w:w="108" w:type="dxa"/>
            </w:tcMar>
            <w:hideMark/>
          </w:tcPr>
          <w:p w:rsidR="00FA0032" w:rsidRPr="00FA0032" w:rsidRDefault="00FA0032" w:rsidP="008320CF">
            <w:pPr>
              <w:autoSpaceDE w:val="0"/>
              <w:autoSpaceDN w:val="0"/>
              <w:adjustRightInd w:val="0"/>
              <w:ind w:right="-59"/>
              <w:rPr>
                <w:sz w:val="16"/>
                <w:szCs w:val="16"/>
                <w:lang w:val="ru-RU"/>
              </w:rPr>
            </w:pPr>
            <w:r w:rsidRPr="00FA0032">
              <w:rPr>
                <w:sz w:val="16"/>
                <w:lang w:val="ru-RU"/>
              </w:rPr>
              <w:t>Деловая среда за пределами Организации стремительно меняется, что ведет к необходимости применения новых процессов, навыков и решений в области ИТ. В результате этого может возникнуть несоответствие персонала ВОИС новым потребностям в жизненно важных направлениях деятельности Организации.  Это может привести к увеличению расходов на привлечение дополнительного персонала, работающего по краткосрочным трудовым договорам, неэффективности рабочего процесса, отставанию в ключевых областях деятельности и потере репутации ВОИС.</w:t>
            </w:r>
          </w:p>
        </w:tc>
        <w:tc>
          <w:tcPr>
            <w:tcW w:w="2200" w:type="dxa"/>
            <w:tcBorders>
              <w:top w:val="single" w:sz="4" w:space="0" w:color="auto"/>
              <w:left w:val="nil"/>
              <w:bottom w:val="nil"/>
              <w:right w:val="nil"/>
            </w:tcBorders>
            <w:tcMar>
              <w:top w:w="113" w:type="dxa"/>
              <w:left w:w="108" w:type="dxa"/>
              <w:bottom w:w="85" w:type="dxa"/>
              <w:right w:w="108" w:type="dxa"/>
            </w:tcMar>
            <w:hideMark/>
          </w:tcPr>
          <w:p w:rsidR="00FA0032" w:rsidRPr="00FA0032" w:rsidRDefault="00FA0032" w:rsidP="008320CF">
            <w:pPr>
              <w:autoSpaceDE w:val="0"/>
              <w:autoSpaceDN w:val="0"/>
              <w:adjustRightInd w:val="0"/>
              <w:ind w:right="-59"/>
              <w:rPr>
                <w:sz w:val="16"/>
                <w:szCs w:val="16"/>
                <w:lang w:val="ru-RU"/>
              </w:rPr>
            </w:pPr>
            <w:r w:rsidRPr="00FA0032">
              <w:rPr>
                <w:sz w:val="16"/>
                <w:lang w:val="ru-RU"/>
              </w:rPr>
              <w:t>Постепенное создание более быстро реагирующего и гибкого коллектива, структура которого позволяет реагировать на изменения спроса; подробный анализ и оценка потребностей в навыках и численности персонала с последующей выработкой планов реализации, в том числе планов перераспределения персонала, соответствующей подготовки персонала, набора персонала с жизненно важными навыками и привлечение внешних подрядчиков.</w:t>
            </w:r>
          </w:p>
        </w:tc>
        <w:tc>
          <w:tcPr>
            <w:tcW w:w="2310" w:type="dxa"/>
            <w:tcBorders>
              <w:top w:val="single" w:sz="4" w:space="0" w:color="auto"/>
              <w:left w:val="nil"/>
              <w:bottom w:val="nil"/>
              <w:right w:val="nil"/>
            </w:tcBorders>
            <w:hideMark/>
          </w:tcPr>
          <w:p w:rsidR="00FA0032" w:rsidRPr="00FA0032" w:rsidRDefault="00FA0032" w:rsidP="008320CF">
            <w:pPr>
              <w:autoSpaceDE w:val="0"/>
              <w:autoSpaceDN w:val="0"/>
              <w:adjustRightInd w:val="0"/>
              <w:ind w:right="-59"/>
              <w:rPr>
                <w:b/>
                <w:color w:val="FF0000"/>
                <w:sz w:val="16"/>
                <w:szCs w:val="16"/>
                <w:lang w:val="ru-RU"/>
              </w:rPr>
            </w:pPr>
            <w:r w:rsidRPr="00FA0032">
              <w:rPr>
                <w:sz w:val="16"/>
                <w:lang w:val="ru-RU"/>
              </w:rPr>
              <w:t>Благодаря официальному утверждению механизмов кадрового планирования и введению новых руководящих принципов формирования штатного расписания Организация на регулярной основе отслеживала динамику своих потребностей в людских ресурсах, а для удовлетворения новых/изменившихся потребностей по мере целесообразности принимались упреждающие меры в форме перераспределения обязанностей, обучения и аутсорсинга.</w:t>
            </w:r>
          </w:p>
        </w:tc>
        <w:tc>
          <w:tcPr>
            <w:tcW w:w="2713" w:type="dxa"/>
            <w:tcBorders>
              <w:top w:val="single" w:sz="4" w:space="0" w:color="auto"/>
              <w:left w:val="nil"/>
              <w:bottom w:val="nil"/>
              <w:right w:val="single" w:sz="4" w:space="0" w:color="auto"/>
            </w:tcBorders>
          </w:tcPr>
          <w:p w:rsidR="00FA0032" w:rsidRPr="00FA0032" w:rsidRDefault="00FA0032" w:rsidP="008320CF">
            <w:pPr>
              <w:autoSpaceDE w:val="0"/>
              <w:autoSpaceDN w:val="0"/>
              <w:adjustRightInd w:val="0"/>
              <w:ind w:right="-59"/>
              <w:rPr>
                <w:sz w:val="16"/>
                <w:szCs w:val="16"/>
                <w:lang w:val="ru-RU"/>
              </w:rPr>
            </w:pPr>
            <w:r w:rsidRPr="00FA0032">
              <w:rPr>
                <w:sz w:val="16"/>
                <w:lang w:val="ru-RU"/>
              </w:rPr>
              <w:t>В течение рассматриваемого периода на реализации программы благотворно сказались меры по снижению рисков, позволившие повысить эффективность управления людскими ресурсами и усовершенствовать стратегии поиска талантливых сотрудников.</w:t>
            </w:r>
          </w:p>
        </w:tc>
      </w:tr>
      <w:tr w:rsidR="00FA0032" w:rsidRPr="005C6ABD" w:rsidTr="00C61544">
        <w:trPr>
          <w:trHeight w:val="1049"/>
          <w:jc w:val="center"/>
        </w:trPr>
        <w:tc>
          <w:tcPr>
            <w:tcW w:w="2528" w:type="dxa"/>
            <w:tcBorders>
              <w:top w:val="nil"/>
              <w:left w:val="single" w:sz="4" w:space="0" w:color="auto"/>
              <w:bottom w:val="single" w:sz="4" w:space="0" w:color="auto"/>
              <w:right w:val="nil"/>
            </w:tcBorders>
            <w:tcMar>
              <w:top w:w="113" w:type="dxa"/>
              <w:left w:w="108" w:type="dxa"/>
              <w:bottom w:w="85" w:type="dxa"/>
              <w:right w:w="108" w:type="dxa"/>
            </w:tcMar>
            <w:hideMark/>
          </w:tcPr>
          <w:p w:rsidR="00FA0032" w:rsidRPr="00FA0032" w:rsidRDefault="00FA0032" w:rsidP="008320CF">
            <w:pPr>
              <w:autoSpaceDE w:val="0"/>
              <w:autoSpaceDN w:val="0"/>
              <w:adjustRightInd w:val="0"/>
              <w:ind w:right="-59"/>
              <w:rPr>
                <w:sz w:val="16"/>
                <w:szCs w:val="16"/>
                <w:lang w:val="ru-RU"/>
              </w:rPr>
            </w:pPr>
            <w:r w:rsidRPr="00FA0032">
              <w:rPr>
                <w:sz w:val="16"/>
                <w:lang w:val="ru-RU"/>
              </w:rPr>
              <w:t>В результате внедрения новых функциональных возможностей в ходе осуществления ПОР могут возникнуть сбои в обслуживании в процессе освоения сотрудниками новых процедур.  Эта работа может свестись к переходу с одного системного приложения на другое, при котором не будет уделяться достаточного внимания ни анализу, ни реорганизации рабочих процессов.</w:t>
            </w:r>
          </w:p>
        </w:tc>
        <w:tc>
          <w:tcPr>
            <w:tcW w:w="2200" w:type="dxa"/>
            <w:tcBorders>
              <w:top w:val="nil"/>
              <w:left w:val="nil"/>
              <w:bottom w:val="single" w:sz="4" w:space="0" w:color="auto"/>
              <w:right w:val="nil"/>
            </w:tcBorders>
            <w:tcMar>
              <w:top w:w="113" w:type="dxa"/>
              <w:left w:w="108" w:type="dxa"/>
              <w:bottom w:w="85" w:type="dxa"/>
              <w:right w:w="108" w:type="dxa"/>
            </w:tcMar>
            <w:hideMark/>
          </w:tcPr>
          <w:p w:rsidR="00FA0032" w:rsidRPr="00FA0032" w:rsidRDefault="00FA0032" w:rsidP="008320CF">
            <w:pPr>
              <w:autoSpaceDE w:val="0"/>
              <w:autoSpaceDN w:val="0"/>
              <w:adjustRightInd w:val="0"/>
              <w:ind w:right="-59"/>
              <w:rPr>
                <w:sz w:val="16"/>
                <w:szCs w:val="16"/>
                <w:lang w:val="ru-RU"/>
              </w:rPr>
            </w:pPr>
            <w:r w:rsidRPr="00FA0032">
              <w:rPr>
                <w:sz w:val="16"/>
                <w:lang w:val="ru-RU"/>
              </w:rPr>
              <w:t xml:space="preserve">Тщательная подготовка персонала кадровых подразделений и конечных пользователей, планы регулярной коммуникации, строгий контроль за прогрессом в работе группы по проекту ПОР и раннее предупреждение об областях, в которых имеются требующие решения трудности.  Постоянное совершенствование деловых процессов в рамках компоновки и развития этого технического решения. </w:t>
            </w:r>
          </w:p>
        </w:tc>
        <w:tc>
          <w:tcPr>
            <w:tcW w:w="2310" w:type="dxa"/>
            <w:tcBorders>
              <w:top w:val="nil"/>
              <w:left w:val="nil"/>
              <w:bottom w:val="single" w:sz="4" w:space="0" w:color="auto"/>
              <w:right w:val="nil"/>
            </w:tcBorders>
          </w:tcPr>
          <w:p w:rsidR="00FA0032" w:rsidRPr="00FA0032" w:rsidRDefault="00FA0032" w:rsidP="008320CF">
            <w:pPr>
              <w:autoSpaceDE w:val="0"/>
              <w:autoSpaceDN w:val="0"/>
              <w:adjustRightInd w:val="0"/>
              <w:ind w:right="-59"/>
              <w:rPr>
                <w:sz w:val="16"/>
                <w:szCs w:val="16"/>
                <w:lang w:val="ru-RU"/>
              </w:rPr>
            </w:pPr>
            <w:r w:rsidRPr="00FA0032">
              <w:rPr>
                <w:sz w:val="16"/>
                <w:lang w:val="ru-RU"/>
              </w:rPr>
              <w:t xml:space="preserve">Этот риск проявился в связи с необходимостью компенсировать в рамках данной программы возникшие препятствия в реализации проекта. Для этого были приняты дополнительные меры: в частности, была введена должность аналитика по рабочим процедурам. </w:t>
            </w:r>
          </w:p>
        </w:tc>
        <w:tc>
          <w:tcPr>
            <w:tcW w:w="2713" w:type="dxa"/>
            <w:tcBorders>
              <w:top w:val="nil"/>
              <w:left w:val="nil"/>
              <w:bottom w:val="single" w:sz="4" w:space="0" w:color="auto"/>
              <w:right w:val="single" w:sz="4" w:space="0" w:color="auto"/>
            </w:tcBorders>
          </w:tcPr>
          <w:p w:rsidR="00FA0032" w:rsidRPr="00FA0032" w:rsidRDefault="00FA0032" w:rsidP="008320CF">
            <w:pPr>
              <w:autoSpaceDE w:val="0"/>
              <w:autoSpaceDN w:val="0"/>
              <w:adjustRightInd w:val="0"/>
              <w:ind w:right="-59"/>
              <w:rPr>
                <w:sz w:val="16"/>
                <w:szCs w:val="16"/>
                <w:lang w:val="ru-RU"/>
              </w:rPr>
            </w:pPr>
            <w:r w:rsidRPr="00FA0032">
              <w:rPr>
                <w:sz w:val="16"/>
                <w:lang w:val="ru-RU"/>
              </w:rPr>
              <w:t>Возникновение этого риска несколько замедлило наем сотрудников, однако меры по его снижению позволили свести последствия к минимуму.</w:t>
            </w:r>
          </w:p>
        </w:tc>
      </w:tr>
    </w:tbl>
    <w:p w:rsidR="008320CF" w:rsidRDefault="008320CF" w:rsidP="00FA0032">
      <w:pPr>
        <w:keepNext/>
        <w:keepLines/>
        <w:rPr>
          <w:color w:val="000000"/>
          <w:sz w:val="22"/>
          <w:lang w:val="ru-RU"/>
        </w:rPr>
      </w:pPr>
    </w:p>
    <w:p w:rsidR="008320CF" w:rsidRDefault="008320CF">
      <w:pPr>
        <w:rPr>
          <w:color w:val="000000"/>
          <w:sz w:val="22"/>
          <w:lang w:val="ru-RU"/>
        </w:rPr>
      </w:pPr>
      <w:r>
        <w:rPr>
          <w:color w:val="000000"/>
          <w:sz w:val="22"/>
          <w:lang w:val="ru-RU"/>
        </w:rPr>
        <w:br w:type="page"/>
      </w:r>
    </w:p>
    <w:p w:rsidR="00FA0032" w:rsidRPr="00FA0032" w:rsidRDefault="00FA0032" w:rsidP="00FA0032">
      <w:pPr>
        <w:keepNext/>
        <w:keepLines/>
        <w:rPr>
          <w:rFonts w:cs="Arial"/>
          <w:szCs w:val="20"/>
          <w:lang w:val="ru-RU"/>
        </w:rPr>
      </w:pPr>
      <w:r w:rsidRPr="00FA0032">
        <w:rPr>
          <w:color w:val="000000"/>
          <w:sz w:val="22"/>
          <w:lang w:val="ru-RU"/>
        </w:rPr>
        <w:t>ИСПОЛЬЗОВАНИЕ РЕСУРСОВ</w:t>
      </w:r>
    </w:p>
    <w:p w:rsidR="00FA0032" w:rsidRPr="00FA0032" w:rsidRDefault="00FA0032" w:rsidP="00FA0032">
      <w:pPr>
        <w:pStyle w:val="NormalWeb"/>
        <w:keepNext/>
        <w:keepLines/>
        <w:spacing w:before="0" w:beforeAutospacing="0" w:after="0" w:afterAutospacing="0"/>
        <w:jc w:val="center"/>
        <w:rPr>
          <w:color w:val="000000"/>
          <w:sz w:val="20"/>
          <w:szCs w:val="20"/>
          <w:lang w:val="ru-RU"/>
        </w:rPr>
      </w:pPr>
    </w:p>
    <w:p w:rsidR="00FA0032" w:rsidRPr="00FA0032" w:rsidRDefault="00FA0032" w:rsidP="00FA0032">
      <w:pPr>
        <w:pStyle w:val="NormalWeb"/>
        <w:keepNext/>
        <w:keepLines/>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(в разбивке по результатам) </w:t>
      </w:r>
    </w:p>
    <w:p w:rsidR="00FA0032" w:rsidRDefault="00FA0032" w:rsidP="00FA0032">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A0032" w:rsidRDefault="00FA0032" w:rsidP="00FA0032">
      <w:pPr>
        <w:pStyle w:val="NormalWeb"/>
        <w:keepNext/>
        <w:keepLines/>
        <w:spacing w:before="0" w:beforeAutospacing="0" w:after="0" w:afterAutospacing="0"/>
        <w:jc w:val="center"/>
        <w:rPr>
          <w:sz w:val="20"/>
          <w:szCs w:val="20"/>
        </w:rPr>
      </w:pPr>
    </w:p>
    <w:p w:rsidR="00FA0032" w:rsidRDefault="00FA0032" w:rsidP="00FA0032">
      <w:pPr>
        <w:keepNext/>
        <w:keepLines/>
        <w:jc w:val="center"/>
        <w:rPr>
          <w:rFonts w:cs="Arial"/>
        </w:rPr>
      </w:pPr>
      <w:r>
        <w:rPr>
          <w:rFonts w:cs="Arial"/>
          <w:noProof/>
        </w:rPr>
        <w:drawing>
          <wp:inline distT="0" distB="0" distL="0" distR="0" wp14:anchorId="1973964B" wp14:editId="025971CC">
            <wp:extent cx="5340350" cy="2033128"/>
            <wp:effectExtent l="0" t="0" r="0" b="5715"/>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339248" cy="2032708"/>
                    </a:xfrm>
                    <a:prstGeom prst="rect">
                      <a:avLst/>
                    </a:prstGeom>
                    <a:noFill/>
                    <a:ln>
                      <a:noFill/>
                    </a:ln>
                  </pic:spPr>
                </pic:pic>
              </a:graphicData>
            </a:graphic>
          </wp:inline>
        </w:drawing>
      </w:r>
    </w:p>
    <w:p w:rsidR="00FA0032" w:rsidRDefault="00FA0032" w:rsidP="00FA0032">
      <w:pPr>
        <w:jc w:val="center"/>
        <w:rPr>
          <w:rFonts w:cs="Arial"/>
        </w:rPr>
      </w:pPr>
    </w:p>
    <w:p w:rsidR="00FA0032" w:rsidRDefault="00FA0032" w:rsidP="00FA0032">
      <w:pPr>
        <w:rPr>
          <w:rFonts w:cs="Arial"/>
        </w:rPr>
      </w:pPr>
    </w:p>
    <w:p w:rsidR="00FA0032" w:rsidRPr="00FA0032" w:rsidRDefault="00FA0032" w:rsidP="00FA0032">
      <w:pPr>
        <w:pStyle w:val="NormalWeb"/>
        <w:keepNext/>
        <w:keepLines/>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(по персоналу и не связанные с персоналом) </w:t>
      </w:r>
    </w:p>
    <w:p w:rsidR="00FA0032" w:rsidRDefault="00FA0032" w:rsidP="00FA0032">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A0032" w:rsidRDefault="00FA0032" w:rsidP="00FA0032">
      <w:pPr>
        <w:pStyle w:val="NormalWeb"/>
        <w:keepNext/>
        <w:keepLines/>
        <w:spacing w:before="0" w:beforeAutospacing="0" w:after="0" w:afterAutospacing="0"/>
        <w:jc w:val="center"/>
      </w:pPr>
    </w:p>
    <w:p w:rsidR="00FA0032" w:rsidRDefault="00FA0032" w:rsidP="00FA0032">
      <w:pPr>
        <w:keepNext/>
        <w:autoSpaceDE w:val="0"/>
        <w:autoSpaceDN w:val="0"/>
        <w:jc w:val="center"/>
        <w:rPr>
          <w:rFonts w:cs="Arial"/>
          <w:sz w:val="16"/>
          <w:szCs w:val="16"/>
        </w:rPr>
      </w:pPr>
    </w:p>
    <w:p w:rsidR="00FA0032" w:rsidRDefault="00FA0032" w:rsidP="00FA0032">
      <w:pPr>
        <w:widowControl w:val="0"/>
        <w:autoSpaceDE w:val="0"/>
        <w:autoSpaceDN w:val="0"/>
        <w:adjustRightInd w:val="0"/>
        <w:jc w:val="center"/>
        <w:rPr>
          <w:rFonts w:cs="Arial"/>
          <w:szCs w:val="20"/>
        </w:rPr>
      </w:pPr>
      <w:r>
        <w:rPr>
          <w:rFonts w:cs="Arial"/>
          <w:noProof/>
          <w:szCs w:val="20"/>
        </w:rPr>
        <w:drawing>
          <wp:inline distT="0" distB="0" distL="0" distR="0" wp14:anchorId="3C6F5B94" wp14:editId="171906A6">
            <wp:extent cx="5632450" cy="1201143"/>
            <wp:effectExtent l="0" t="0" r="635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5631287" cy="1200895"/>
                    </a:xfrm>
                    <a:prstGeom prst="rect">
                      <a:avLst/>
                    </a:prstGeom>
                    <a:noFill/>
                    <a:ln>
                      <a:noFill/>
                    </a:ln>
                  </pic:spPr>
                </pic:pic>
              </a:graphicData>
            </a:graphic>
          </wp:inline>
        </w:drawing>
      </w:r>
    </w:p>
    <w:p w:rsidR="00FA0032" w:rsidRDefault="00FA0032" w:rsidP="00FA0032">
      <w:pPr>
        <w:rPr>
          <w:rFonts w:cs="Arial"/>
          <w:szCs w:val="20"/>
        </w:rPr>
      </w:pPr>
    </w:p>
    <w:p w:rsidR="00FA0032" w:rsidRDefault="00FA0032" w:rsidP="00FA0032">
      <w:pPr>
        <w:keepNext/>
        <w:keepLines/>
        <w:rPr>
          <w:rFonts w:cs="Arial"/>
          <w:szCs w:val="20"/>
        </w:rPr>
      </w:pPr>
    </w:p>
    <w:p w:rsidR="00FA0032" w:rsidRDefault="00FA0032" w:rsidP="00FA0032">
      <w:pPr>
        <w:pStyle w:val="NormalWeb"/>
        <w:keepNext/>
        <w:keepLines/>
        <w:spacing w:before="0" w:beforeAutospacing="0" w:after="0" w:afterAutospacing="0"/>
        <w:jc w:val="center"/>
        <w:rPr>
          <w:color w:val="000000"/>
          <w:sz w:val="20"/>
          <w:szCs w:val="20"/>
        </w:rPr>
      </w:pPr>
    </w:p>
    <w:p w:rsidR="00FA0032" w:rsidRPr="00FA0032" w:rsidRDefault="00FA0032" w:rsidP="00FA0032">
      <w:pPr>
        <w:rPr>
          <w:rFonts w:cs="Arial"/>
          <w:u w:val="single"/>
          <w:lang w:val="ru-RU"/>
        </w:rPr>
      </w:pPr>
      <w:r>
        <w:t>A</w:t>
      </w:r>
      <w:r w:rsidRPr="00FA0032">
        <w:rPr>
          <w:lang w:val="ru-RU"/>
        </w:rPr>
        <w:t>.</w:t>
      </w:r>
      <w:r w:rsidRPr="00FA0032">
        <w:rPr>
          <w:lang w:val="ru-RU"/>
        </w:rPr>
        <w:tab/>
      </w:r>
      <w:r w:rsidRPr="00FA0032">
        <w:rPr>
          <w:u w:val="single"/>
          <w:lang w:val="ru-RU"/>
        </w:rPr>
        <w:t xml:space="preserve">Итоговый бюджет на 2014–2015 гг. после перераспределения средств </w:t>
      </w:r>
    </w:p>
    <w:p w:rsidR="00FA0032" w:rsidRPr="00FA0032" w:rsidRDefault="00FA0032" w:rsidP="00FA0032">
      <w:pPr>
        <w:pStyle w:val="ListParagraph"/>
        <w:tabs>
          <w:tab w:val="left" w:pos="709"/>
        </w:tabs>
        <w:ind w:left="0"/>
        <w:jc w:val="both"/>
        <w:rPr>
          <w:rFonts w:cs="Arial"/>
          <w:lang w:val="ru-RU"/>
        </w:rPr>
      </w:pPr>
    </w:p>
    <w:p w:rsidR="00FA0032" w:rsidRPr="00FA0032" w:rsidRDefault="00FA0032" w:rsidP="00FA0032">
      <w:pPr>
        <w:pStyle w:val="ListParagraph"/>
        <w:numPr>
          <w:ilvl w:val="0"/>
          <w:numId w:val="72"/>
        </w:numPr>
        <w:tabs>
          <w:tab w:val="left" w:pos="709"/>
        </w:tabs>
        <w:ind w:left="0" w:firstLine="0"/>
        <w:jc w:val="both"/>
        <w:rPr>
          <w:rFonts w:cs="Arial"/>
          <w:lang w:val="ru-RU"/>
        </w:rPr>
      </w:pPr>
      <w:r w:rsidRPr="00FA0032">
        <w:rPr>
          <w:lang w:val="ru-RU"/>
        </w:rPr>
        <w:t>Общее увеличение итогового бюджета на 2014–2015 гг. после перераспределения средств было преимущественно обусловлено: (</w:t>
      </w:r>
      <w:r>
        <w:t>i</w:t>
      </w:r>
      <w:r w:rsidRPr="00FA0032">
        <w:rPr>
          <w:lang w:val="ru-RU"/>
        </w:rPr>
        <w:t>)</w:t>
      </w:r>
      <w:r>
        <w:t> </w:t>
      </w:r>
      <w:r w:rsidRPr="00FA0032">
        <w:rPr>
          <w:lang w:val="ru-RU"/>
        </w:rPr>
        <w:t>финансированием работы временных сотрудников, чтобы компенсировать продолжительное отсутствие на рабочем месте; (</w:t>
      </w:r>
      <w:r>
        <w:t>ii</w:t>
      </w:r>
      <w:r w:rsidRPr="00FA0032">
        <w:rPr>
          <w:lang w:val="ru-RU"/>
        </w:rPr>
        <w:t>)</w:t>
      </w:r>
      <w:r>
        <w:t> </w:t>
      </w:r>
      <w:r w:rsidRPr="00FA0032">
        <w:rPr>
          <w:lang w:val="ru-RU"/>
        </w:rPr>
        <w:t>ростом затрат на деятельность, осуществляемую совместно с ООН; (</w:t>
      </w:r>
      <w:r>
        <w:t>iii</w:t>
      </w:r>
      <w:r w:rsidRPr="00FA0032">
        <w:rPr>
          <w:lang w:val="ru-RU"/>
        </w:rPr>
        <w:t>)</w:t>
      </w:r>
      <w:r>
        <w:t> </w:t>
      </w:r>
      <w:r w:rsidRPr="00FA0032">
        <w:rPr>
          <w:lang w:val="ru-RU"/>
        </w:rPr>
        <w:t>выделением дополнительных ресурсов Апелляционному совету ВОИС; (</w:t>
      </w:r>
      <w:r>
        <w:t>iv</w:t>
      </w:r>
      <w:r w:rsidRPr="00FA0032">
        <w:rPr>
          <w:lang w:val="ru-RU"/>
        </w:rPr>
        <w:t>)</w:t>
      </w:r>
      <w:r>
        <w:t> </w:t>
      </w:r>
      <w:r w:rsidRPr="00FA0032">
        <w:rPr>
          <w:lang w:val="ru-RU"/>
        </w:rPr>
        <w:t>запуском новых инициатив, включая ПППЗ ВОИС; (</w:t>
      </w:r>
      <w:r>
        <w:t>v</w:t>
      </w:r>
      <w:r w:rsidRPr="00FA0032">
        <w:rPr>
          <w:lang w:val="ru-RU"/>
        </w:rPr>
        <w:t>)</w:t>
      </w:r>
      <w:r>
        <w:t> </w:t>
      </w:r>
      <w:r w:rsidRPr="00FA0032">
        <w:rPr>
          <w:lang w:val="ru-RU"/>
        </w:rPr>
        <w:t>ростом расходов на страхование делегатов и участников заседаний ВОИС; (</w:t>
      </w:r>
      <w:r>
        <w:t>vi</w:t>
      </w:r>
      <w:r w:rsidRPr="00FA0032">
        <w:rPr>
          <w:lang w:val="ru-RU"/>
        </w:rPr>
        <w:t>)</w:t>
      </w:r>
      <w:r>
        <w:t> </w:t>
      </w:r>
      <w:r w:rsidRPr="00FA0032">
        <w:rPr>
          <w:lang w:val="ru-RU"/>
        </w:rPr>
        <w:t>переносом ресурсов на специализированную подготовку в области ИКТ из программы</w:t>
      </w:r>
      <w:r>
        <w:t> </w:t>
      </w:r>
      <w:r w:rsidRPr="00FA0032">
        <w:rPr>
          <w:lang w:val="ru-RU"/>
        </w:rPr>
        <w:t>25.</w:t>
      </w:r>
    </w:p>
    <w:p w:rsidR="00FA0032" w:rsidRPr="00FA0032" w:rsidRDefault="00FA0032" w:rsidP="00FA0032">
      <w:pPr>
        <w:rPr>
          <w:rFonts w:cs="Arial"/>
          <w:u w:val="single"/>
          <w:lang w:val="ru-RU"/>
        </w:rPr>
      </w:pPr>
    </w:p>
    <w:p w:rsidR="00FA0032" w:rsidRPr="00FA0032" w:rsidRDefault="00FA0032" w:rsidP="00FA0032">
      <w:pPr>
        <w:jc w:val="both"/>
        <w:rPr>
          <w:rFonts w:cs="Arial"/>
          <w:szCs w:val="20"/>
          <w:u w:val="single"/>
          <w:lang w:val="ru-RU"/>
        </w:rPr>
      </w:pPr>
      <w:r>
        <w:t>B</w:t>
      </w:r>
      <w:r w:rsidRPr="00FA0032">
        <w:rPr>
          <w:lang w:val="ru-RU"/>
        </w:rPr>
        <w:t>.</w:t>
      </w:r>
      <w:r w:rsidRPr="00FA0032">
        <w:rPr>
          <w:lang w:val="ru-RU"/>
        </w:rPr>
        <w:tab/>
      </w:r>
      <w:r w:rsidRPr="00FA0032">
        <w:rPr>
          <w:u w:val="single"/>
          <w:lang w:val="ru-RU"/>
        </w:rPr>
        <w:t xml:space="preserve">Освоение бюджетных средств в 2014–2015 гг. </w:t>
      </w:r>
    </w:p>
    <w:p w:rsidR="00FA0032" w:rsidRPr="00FA0032" w:rsidRDefault="00FA0032" w:rsidP="00FA0032">
      <w:pPr>
        <w:tabs>
          <w:tab w:val="left" w:pos="709"/>
        </w:tabs>
        <w:jc w:val="both"/>
        <w:rPr>
          <w:rFonts w:cs="Arial"/>
          <w:szCs w:val="20"/>
          <w:u w:val="single"/>
          <w:lang w:val="ru-RU"/>
        </w:rPr>
      </w:pPr>
    </w:p>
    <w:p w:rsidR="00E55863" w:rsidRPr="00FA0032" w:rsidRDefault="00FA0032" w:rsidP="00FA0032">
      <w:pPr>
        <w:pStyle w:val="ListParagraph"/>
        <w:numPr>
          <w:ilvl w:val="0"/>
          <w:numId w:val="72"/>
        </w:numPr>
        <w:tabs>
          <w:tab w:val="left" w:pos="709"/>
        </w:tabs>
        <w:ind w:left="0" w:firstLine="0"/>
        <w:jc w:val="both"/>
        <w:rPr>
          <w:lang w:val="ru-RU"/>
        </w:rPr>
      </w:pPr>
      <w:r w:rsidRPr="00FA0032">
        <w:rPr>
          <w:lang w:val="ru-RU"/>
        </w:rPr>
        <w:t>Степень освоения не связанных с персоналом бюджетных средств составила 91</w:t>
      </w:r>
      <w:r>
        <w:t> </w:t>
      </w:r>
      <w:r w:rsidRPr="00FA0032">
        <w:rPr>
          <w:lang w:val="ru-RU"/>
        </w:rPr>
        <w:t>процент, что обусловлено экономией средств, достигнутой главным образом за счет пересмотра условий новых договоров страхования и снижением по сравнению с плановыми показателями затрат:  (</w:t>
      </w:r>
      <w:r>
        <w:t>i</w:t>
      </w:r>
      <w:r w:rsidRPr="00FA0032">
        <w:rPr>
          <w:lang w:val="ru-RU"/>
        </w:rPr>
        <w:t>)</w:t>
      </w:r>
      <w:r>
        <w:t> </w:t>
      </w:r>
      <w:r w:rsidRPr="00FA0032">
        <w:rPr>
          <w:lang w:val="ru-RU"/>
        </w:rPr>
        <w:t>на оплату замещения на период отпусков по уходу за ребенком и отпусков по болезни;  (</w:t>
      </w:r>
      <w:r>
        <w:t>ii</w:t>
      </w:r>
      <w:r w:rsidRPr="00FA0032">
        <w:rPr>
          <w:lang w:val="ru-RU"/>
        </w:rPr>
        <w:t>) на Административный трибунал МОТ; (</w:t>
      </w:r>
      <w:r>
        <w:t>iii</w:t>
      </w:r>
      <w:r w:rsidRPr="00FA0032">
        <w:rPr>
          <w:lang w:val="ru-RU"/>
        </w:rPr>
        <w:t>) на языковую подготовку; (</w:t>
      </w:r>
      <w:r>
        <w:t>iv</w:t>
      </w:r>
      <w:r w:rsidRPr="00FA0032">
        <w:rPr>
          <w:lang w:val="ru-RU"/>
        </w:rPr>
        <w:t>)</w:t>
      </w:r>
      <w:r>
        <w:t> </w:t>
      </w:r>
      <w:r w:rsidRPr="00FA0032">
        <w:rPr>
          <w:lang w:val="ru-RU"/>
        </w:rPr>
        <w:t>на деятельность по классификации.</w:t>
      </w:r>
    </w:p>
    <w:p w:rsidR="00E55863" w:rsidRPr="00FA0032" w:rsidRDefault="00E55863" w:rsidP="007854A1">
      <w:pPr>
        <w:rPr>
          <w:rFonts w:cs="Arial"/>
          <w:sz w:val="22"/>
          <w:szCs w:val="22"/>
          <w:lang w:val="ru-RU"/>
        </w:rPr>
      </w:pPr>
    </w:p>
    <w:p w:rsidR="00D97F1C" w:rsidRPr="00FA0032" w:rsidRDefault="00D97F1C">
      <w:pPr>
        <w:rPr>
          <w:lang w:val="ru-RU"/>
        </w:rPr>
      </w:pPr>
    </w:p>
    <w:p w:rsidR="00E43AF7" w:rsidRPr="00FA0032" w:rsidRDefault="00E43AF7">
      <w:pPr>
        <w:rPr>
          <w:lang w:val="ru-RU"/>
        </w:rPr>
      </w:pPr>
      <w:r w:rsidRPr="00FA0032">
        <w:rPr>
          <w:lang w:val="ru-RU"/>
        </w:rPr>
        <w:br w:type="page"/>
      </w:r>
    </w:p>
    <w:p w:rsidR="00FA0032" w:rsidRPr="00FA0032" w:rsidRDefault="00FA0032" w:rsidP="00FA0032">
      <w:pPr>
        <w:pStyle w:val="Heading2"/>
        <w:tabs>
          <w:tab w:val="clear" w:pos="567"/>
          <w:tab w:val="left" w:pos="1985"/>
        </w:tabs>
        <w:ind w:left="1985" w:hanging="1985"/>
        <w:rPr>
          <w:lang w:val="ru-RU"/>
        </w:rPr>
      </w:pPr>
      <w:bookmarkStart w:id="126" w:name="_Toc422210513"/>
      <w:bookmarkStart w:id="127" w:name="_Toc455388136"/>
      <w:r w:rsidRPr="00FA0032">
        <w:rPr>
          <w:lang w:val="ru-RU"/>
        </w:rPr>
        <w:t>ПРОГРАММА</w:t>
      </w:r>
      <w:r>
        <w:t> </w:t>
      </w:r>
      <w:r w:rsidRPr="00FA0032">
        <w:rPr>
          <w:lang w:val="ru-RU"/>
        </w:rPr>
        <w:t>24:</w:t>
      </w:r>
      <w:r w:rsidRPr="00FA0032">
        <w:rPr>
          <w:lang w:val="ru-RU"/>
        </w:rPr>
        <w:tab/>
        <w:t>СЛУЖБЫ АДМИНИСТРАТИВНОЙ ПОДДЕРЖКИ</w:t>
      </w:r>
      <w:bookmarkEnd w:id="126"/>
      <w:bookmarkEnd w:id="127"/>
    </w:p>
    <w:p w:rsidR="00FA0032" w:rsidRPr="00FA0032" w:rsidRDefault="00FA0032" w:rsidP="00FA0032">
      <w:pPr>
        <w:ind w:left="1985" w:hanging="1985"/>
        <w:rPr>
          <w:rFonts w:cs="Arial"/>
          <w:b/>
          <w:szCs w:val="20"/>
          <w:lang w:val="ru-RU"/>
        </w:rPr>
      </w:pPr>
    </w:p>
    <w:p w:rsidR="00FA0032" w:rsidRPr="00FA0032" w:rsidRDefault="00FA0032" w:rsidP="00FA0032">
      <w:pPr>
        <w:ind w:left="1985" w:hanging="1985"/>
        <w:rPr>
          <w:rFonts w:cs="Arial"/>
          <w:b/>
          <w:szCs w:val="20"/>
          <w:lang w:val="ru-RU"/>
        </w:rPr>
      </w:pPr>
      <w:r w:rsidRPr="00FA0032">
        <w:rPr>
          <w:b/>
          <w:lang w:val="ru-RU"/>
        </w:rPr>
        <w:t>Руководитель программы:</w:t>
      </w:r>
      <w:r w:rsidRPr="00FA0032">
        <w:rPr>
          <w:lang w:val="ru-RU"/>
        </w:rPr>
        <w:tab/>
      </w:r>
      <w:r w:rsidRPr="00FA0032">
        <w:rPr>
          <w:b/>
          <w:lang w:val="ru-RU"/>
        </w:rPr>
        <w:t>г-н А. Сундарам</w:t>
      </w:r>
    </w:p>
    <w:p w:rsidR="00FA0032" w:rsidRPr="00FA0032" w:rsidRDefault="00FA0032" w:rsidP="00FA0032">
      <w:pPr>
        <w:ind w:left="2268" w:hanging="2268"/>
        <w:rPr>
          <w:rFonts w:cs="Arial"/>
          <w:b/>
          <w:bCs/>
          <w:szCs w:val="20"/>
          <w:lang w:val="ru-RU"/>
        </w:rPr>
      </w:pPr>
    </w:p>
    <w:p w:rsidR="00FA0032" w:rsidRPr="00FA0032" w:rsidRDefault="00FA0032" w:rsidP="00FA0032">
      <w:pPr>
        <w:rPr>
          <w:szCs w:val="20"/>
          <w:lang w:val="ru-RU"/>
        </w:rPr>
      </w:pPr>
    </w:p>
    <w:p w:rsidR="00FA0032" w:rsidRPr="00FA0032" w:rsidRDefault="00FA0032" w:rsidP="00FA0032">
      <w:pPr>
        <w:rPr>
          <w:rFonts w:cs="Arial"/>
          <w:szCs w:val="20"/>
          <w:lang w:val="ru-RU"/>
        </w:rPr>
      </w:pPr>
      <w:r w:rsidRPr="00FA0032">
        <w:rPr>
          <w:lang w:val="ru-RU"/>
        </w:rPr>
        <w:t>ОБЗОР ДОСТИЖЕНИЙ ЗА ДВУХЛЕТНИЙ ПЕРИОД 2014–2015 ГГ.</w:t>
      </w:r>
    </w:p>
    <w:p w:rsidR="00FA0032" w:rsidRPr="00FA0032" w:rsidRDefault="00FA0032" w:rsidP="00FA0032">
      <w:pPr>
        <w:rPr>
          <w:rFonts w:cs="Arial"/>
          <w:bCs/>
          <w:color w:val="000000"/>
          <w:szCs w:val="20"/>
          <w:lang w:val="ru-RU"/>
        </w:rPr>
      </w:pPr>
    </w:p>
    <w:p w:rsidR="00FA0032" w:rsidRPr="00FA0032" w:rsidRDefault="00FA0032" w:rsidP="00FA0032">
      <w:pPr>
        <w:pStyle w:val="ListParagraph"/>
        <w:numPr>
          <w:ilvl w:val="0"/>
          <w:numId w:val="66"/>
        </w:numPr>
        <w:tabs>
          <w:tab w:val="left" w:pos="709"/>
        </w:tabs>
        <w:ind w:left="0" w:firstLine="0"/>
        <w:jc w:val="both"/>
        <w:rPr>
          <w:rFonts w:cs="Arial"/>
          <w:bCs/>
          <w:lang w:val="ru-RU"/>
        </w:rPr>
      </w:pPr>
      <w:r w:rsidRPr="00FA0032">
        <w:rPr>
          <w:lang w:val="ru-RU"/>
        </w:rPr>
        <w:t>Помимо обеспечения стратегического руководства и поддержки в сфере администрирования и управления в ВОИС, программа охватывает также услуги, связанные с закупками, поездками и инфраструктурой помещений.</w:t>
      </w:r>
    </w:p>
    <w:p w:rsidR="00FA0032" w:rsidRPr="00FA0032" w:rsidRDefault="00FA0032" w:rsidP="00FA0032">
      <w:pPr>
        <w:jc w:val="both"/>
        <w:rPr>
          <w:bCs/>
          <w:sz w:val="22"/>
          <w:szCs w:val="22"/>
          <w:lang w:val="ru-RU"/>
        </w:rPr>
      </w:pPr>
    </w:p>
    <w:p w:rsidR="00FA0032" w:rsidRPr="00FA0032" w:rsidRDefault="00FA0032" w:rsidP="00FA0032">
      <w:pPr>
        <w:pStyle w:val="ListParagraph"/>
        <w:numPr>
          <w:ilvl w:val="0"/>
          <w:numId w:val="66"/>
        </w:numPr>
        <w:tabs>
          <w:tab w:val="left" w:pos="709"/>
        </w:tabs>
        <w:ind w:left="0" w:firstLine="0"/>
        <w:jc w:val="both"/>
        <w:rPr>
          <w:rFonts w:eastAsia="MS Mincho" w:cs="Arial"/>
          <w:lang w:val="ru-RU"/>
        </w:rPr>
      </w:pPr>
      <w:r w:rsidRPr="00FA0032">
        <w:rPr>
          <w:lang w:val="ru-RU"/>
        </w:rPr>
        <w:t>В 2014–2015</w:t>
      </w:r>
      <w:r>
        <w:t> </w:t>
      </w:r>
      <w:r w:rsidRPr="00FA0032">
        <w:rPr>
          <w:lang w:val="ru-RU"/>
        </w:rPr>
        <w:t>гг. в области закупок и поездок были достигнуты существенные результаты с точки зрения достижения целевых показателей посредством пакета мер, направленных на оптимизацию расходов ВОИС на закупку товаров и услуг, а также рационализацию процессов.  Эти меры включали в себя: (</w:t>
      </w:r>
      <w:r>
        <w:t>i</w:t>
      </w:r>
      <w:r w:rsidRPr="00FA0032">
        <w:rPr>
          <w:lang w:val="ru-RU"/>
        </w:rPr>
        <w:t>)</w:t>
      </w:r>
      <w:r>
        <w:t> </w:t>
      </w:r>
      <w:r w:rsidRPr="00FA0032">
        <w:rPr>
          <w:lang w:val="ru-RU"/>
        </w:rPr>
        <w:t>осуществление новой политики, касающейся Услуг по индивидуальным контрактам (УИК), а также включение управления УИК в сферу деятельности Отдела закупок и поездок; (</w:t>
      </w:r>
      <w:r>
        <w:t>ii</w:t>
      </w:r>
      <w:r w:rsidRPr="00FA0032">
        <w:rPr>
          <w:lang w:val="ru-RU"/>
        </w:rPr>
        <w:t>)</w:t>
      </w:r>
      <w:r>
        <w:t> </w:t>
      </w:r>
      <w:r w:rsidRPr="00FA0032">
        <w:rPr>
          <w:lang w:val="ru-RU"/>
        </w:rPr>
        <w:t>разработка новой нормативно-правовой основы для закупок, а также публикация в 2014</w:t>
      </w:r>
      <w:r>
        <w:t> </w:t>
      </w:r>
      <w:r w:rsidRPr="00FA0032">
        <w:rPr>
          <w:lang w:val="ru-RU"/>
        </w:rPr>
        <w:t>г. новой служебной инструкции об основных принципах и основополагающих правилах закупок и Руководства по закупкам; (</w:t>
      </w:r>
      <w:r>
        <w:t>iii</w:t>
      </w:r>
      <w:r w:rsidRPr="00FA0032">
        <w:rPr>
          <w:lang w:val="ru-RU"/>
        </w:rPr>
        <w:t>)</w:t>
      </w:r>
      <w:r>
        <w:t> </w:t>
      </w:r>
      <w:r w:rsidRPr="00FA0032">
        <w:rPr>
          <w:lang w:val="ru-RU"/>
        </w:rPr>
        <w:t>создание базы данных контрактов с поставщиками; (</w:t>
      </w:r>
      <w:r>
        <w:t>iv</w:t>
      </w:r>
      <w:r w:rsidRPr="00FA0032">
        <w:rPr>
          <w:lang w:val="ru-RU"/>
        </w:rPr>
        <w:t>)</w:t>
      </w:r>
      <w:r>
        <w:t> </w:t>
      </w:r>
      <w:r w:rsidRPr="00FA0032">
        <w:rPr>
          <w:lang w:val="ru-RU"/>
        </w:rPr>
        <w:t>осуществление ежегодных планов по закупкам; и (</w:t>
      </w:r>
      <w:r>
        <w:t>v</w:t>
      </w:r>
      <w:r w:rsidRPr="00FA0032">
        <w:rPr>
          <w:lang w:val="ru-RU"/>
        </w:rPr>
        <w:t>)</w:t>
      </w:r>
      <w:r>
        <w:t> </w:t>
      </w:r>
      <w:r w:rsidRPr="00FA0032">
        <w:rPr>
          <w:lang w:val="ru-RU"/>
        </w:rPr>
        <w:t>запуск Онлайновой системы бронирования в (</w:t>
      </w:r>
      <w:r>
        <w:t>OBT</w:t>
      </w:r>
      <w:r w:rsidRPr="00FA0032">
        <w:rPr>
          <w:lang w:val="ru-RU"/>
        </w:rPr>
        <w:t>) в целях сокращения затрат на услуги турагентств и снижения средней стоимости авиабилета посредством использования более ограничительных тарифов и более совершенной системы бронирования.</w:t>
      </w:r>
    </w:p>
    <w:p w:rsidR="00FA0032" w:rsidRPr="00FA0032" w:rsidRDefault="00FA0032" w:rsidP="00FA0032">
      <w:pPr>
        <w:jc w:val="both"/>
        <w:rPr>
          <w:rFonts w:eastAsia="MS Mincho" w:cs="Arial"/>
          <w:szCs w:val="20"/>
          <w:lang w:val="ru-RU"/>
        </w:rPr>
      </w:pPr>
    </w:p>
    <w:p w:rsidR="00FA0032" w:rsidRPr="00FA0032" w:rsidRDefault="00FA0032" w:rsidP="00FA0032">
      <w:pPr>
        <w:pStyle w:val="ListParagraph"/>
        <w:numPr>
          <w:ilvl w:val="0"/>
          <w:numId w:val="66"/>
        </w:numPr>
        <w:tabs>
          <w:tab w:val="left" w:pos="709"/>
        </w:tabs>
        <w:ind w:left="0" w:firstLine="0"/>
        <w:jc w:val="both"/>
        <w:rPr>
          <w:rFonts w:eastAsia="MS Mincho" w:cs="Arial"/>
          <w:lang w:val="ru-RU"/>
        </w:rPr>
      </w:pPr>
      <w:r w:rsidRPr="00FA0032">
        <w:rPr>
          <w:lang w:val="ru-RU"/>
        </w:rPr>
        <w:t>Благодаря принятию этих мер существенная экономия при закупке товаров и услуг продолжала обеспечиваться посредством проведения более жестких и прямых переговоров о цене: в результате в 2015</w:t>
      </w:r>
      <w:r>
        <w:t> </w:t>
      </w:r>
      <w:r w:rsidRPr="00FA0032">
        <w:rPr>
          <w:lang w:val="ru-RU"/>
        </w:rPr>
        <w:t>г. общий объем экономии средств составил 3,8</w:t>
      </w:r>
      <w:r>
        <w:t> </w:t>
      </w:r>
      <w:r w:rsidRPr="00FA0032">
        <w:rPr>
          <w:lang w:val="ru-RU"/>
        </w:rPr>
        <w:t>млн шв. франков, а в 2014 г. – 2,6</w:t>
      </w:r>
      <w:r>
        <w:t> </w:t>
      </w:r>
      <w:r w:rsidRPr="00FA0032">
        <w:rPr>
          <w:lang w:val="ru-RU"/>
        </w:rPr>
        <w:t>млн. шв. франков.  Доля совместных закупок, осуществляемых с Группой по совместной закупочной деятельности, также повысилась, и доля закупаемых таким образом товаров составила 5,8</w:t>
      </w:r>
      <w:r>
        <w:t> </w:t>
      </w:r>
      <w:r w:rsidRPr="00FA0032">
        <w:rPr>
          <w:lang w:val="ru-RU"/>
        </w:rPr>
        <w:t>процента.  Что касается затрат на поездки, то в 2015</w:t>
      </w:r>
      <w:r>
        <w:t> </w:t>
      </w:r>
      <w:r w:rsidRPr="00FA0032">
        <w:rPr>
          <w:lang w:val="ru-RU"/>
        </w:rPr>
        <w:t>г. средняя цена авиабилета была снижена на 14</w:t>
      </w:r>
      <w:r>
        <w:t> </w:t>
      </w:r>
      <w:r w:rsidRPr="00FA0032">
        <w:rPr>
          <w:lang w:val="ru-RU"/>
        </w:rPr>
        <w:t>процентов, достигнув 1</w:t>
      </w:r>
      <w:r>
        <w:t> </w:t>
      </w:r>
      <w:r w:rsidRPr="00FA0032">
        <w:rPr>
          <w:lang w:val="ru-RU"/>
        </w:rPr>
        <w:t>484</w:t>
      </w:r>
      <w:r>
        <w:t> </w:t>
      </w:r>
      <w:r w:rsidRPr="00FA0032">
        <w:rPr>
          <w:lang w:val="ru-RU"/>
        </w:rPr>
        <w:t>шв. франков, тогда как в 2013</w:t>
      </w:r>
      <w:r>
        <w:t> </w:t>
      </w:r>
      <w:r w:rsidRPr="00FA0032">
        <w:rPr>
          <w:lang w:val="ru-RU"/>
        </w:rPr>
        <w:t>г. она составляла 1</w:t>
      </w:r>
      <w:r>
        <w:t> </w:t>
      </w:r>
      <w:r w:rsidRPr="00FA0032">
        <w:rPr>
          <w:lang w:val="ru-RU"/>
        </w:rPr>
        <w:t>728</w:t>
      </w:r>
      <w:r>
        <w:t> </w:t>
      </w:r>
      <w:r w:rsidRPr="00FA0032">
        <w:rPr>
          <w:lang w:val="ru-RU"/>
        </w:rPr>
        <w:t xml:space="preserve">шв. франков, что позволило обеспечить существенную экономию в рассматриваемый двухлетний период.  После внедрения новой </w:t>
      </w:r>
      <w:r>
        <w:t>OBT</w:t>
      </w:r>
      <w:r w:rsidRPr="00FA0032">
        <w:rPr>
          <w:lang w:val="ru-RU"/>
        </w:rPr>
        <w:t xml:space="preserve"> в декабре 2014</w:t>
      </w:r>
      <w:r>
        <w:t> </w:t>
      </w:r>
      <w:r w:rsidRPr="00FA0032">
        <w:rPr>
          <w:lang w:val="ru-RU"/>
        </w:rPr>
        <w:t>г. общий средний операционный сбор также снизился на 20</w:t>
      </w:r>
      <w:r>
        <w:t> </w:t>
      </w:r>
      <w:r w:rsidRPr="00FA0032">
        <w:rPr>
          <w:lang w:val="ru-RU"/>
        </w:rPr>
        <w:t>процентов, несмотря на повышение агентского сбора в результате смены поставщика. В таблицах ниже отражены результаты, достигнутые в области закупок и поездок в 2014–2015</w:t>
      </w:r>
      <w:r>
        <w:t> </w:t>
      </w:r>
      <w:r w:rsidRPr="00FA0032">
        <w:rPr>
          <w:lang w:val="ru-RU"/>
        </w:rPr>
        <w:t>гг.</w:t>
      </w:r>
    </w:p>
    <w:p w:rsidR="00FA0032" w:rsidRPr="00FA0032" w:rsidRDefault="00FA0032" w:rsidP="00FA0032">
      <w:pPr>
        <w:rPr>
          <w:rFonts w:eastAsia="MS Mincho" w:cs="Arial"/>
          <w:szCs w:val="20"/>
          <w:lang w:val="ru-RU"/>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5"/>
        <w:gridCol w:w="4986"/>
      </w:tblGrid>
      <w:tr w:rsidR="00FA0032" w:rsidTr="00C61544">
        <w:trPr>
          <w:jc w:val="center"/>
        </w:trPr>
        <w:tc>
          <w:tcPr>
            <w:tcW w:w="4684" w:type="dxa"/>
          </w:tcPr>
          <w:p w:rsidR="00FA0032" w:rsidRDefault="00FA0032" w:rsidP="00C61544">
            <w:pPr>
              <w:spacing w:after="200" w:line="276" w:lineRule="auto"/>
            </w:pPr>
            <w:r>
              <w:rPr>
                <w:noProof/>
              </w:rPr>
              <w:drawing>
                <wp:inline distT="0" distB="0" distL="0" distR="0" wp14:anchorId="3620DC88" wp14:editId="25B91929">
                  <wp:extent cx="2608595" cy="1841500"/>
                  <wp:effectExtent l="0" t="0" r="1270" b="635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608595" cy="1841500"/>
                          </a:xfrm>
                          <a:prstGeom prst="rect">
                            <a:avLst/>
                          </a:prstGeom>
                          <a:noFill/>
                          <a:ln>
                            <a:noFill/>
                          </a:ln>
                        </pic:spPr>
                      </pic:pic>
                    </a:graphicData>
                  </a:graphic>
                </wp:inline>
              </w:drawing>
            </w:r>
          </w:p>
        </w:tc>
        <w:tc>
          <w:tcPr>
            <w:tcW w:w="4892" w:type="dxa"/>
          </w:tcPr>
          <w:p w:rsidR="00FA0032" w:rsidRDefault="00FA0032" w:rsidP="00C61544">
            <w:pPr>
              <w:spacing w:after="200" w:line="276" w:lineRule="auto"/>
            </w:pPr>
            <w:r>
              <w:rPr>
                <w:noProof/>
              </w:rPr>
              <w:drawing>
                <wp:inline distT="0" distB="0" distL="0" distR="0" wp14:anchorId="490705DF" wp14:editId="2D791CE5">
                  <wp:extent cx="3028036" cy="1803400"/>
                  <wp:effectExtent l="0" t="0" r="1270" b="635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028757" cy="1803829"/>
                          </a:xfrm>
                          <a:prstGeom prst="rect">
                            <a:avLst/>
                          </a:prstGeom>
                          <a:noFill/>
                          <a:ln>
                            <a:noFill/>
                          </a:ln>
                        </pic:spPr>
                      </pic:pic>
                    </a:graphicData>
                  </a:graphic>
                </wp:inline>
              </w:drawing>
            </w:r>
          </w:p>
        </w:tc>
      </w:tr>
    </w:tbl>
    <w:p w:rsidR="00FA0032" w:rsidRDefault="00FA0032" w:rsidP="00FA0032">
      <w:pPr>
        <w:spacing w:line="276" w:lineRule="auto"/>
      </w:pPr>
    </w:p>
    <w:p w:rsidR="00FA0032" w:rsidRPr="00FA0032" w:rsidRDefault="00FA0032" w:rsidP="00FA0032">
      <w:pPr>
        <w:pStyle w:val="ListParagraph"/>
        <w:numPr>
          <w:ilvl w:val="0"/>
          <w:numId w:val="66"/>
        </w:numPr>
        <w:tabs>
          <w:tab w:val="left" w:pos="709"/>
        </w:tabs>
        <w:ind w:left="0" w:firstLine="0"/>
        <w:jc w:val="both"/>
        <w:rPr>
          <w:lang w:val="ru-RU"/>
        </w:rPr>
      </w:pPr>
      <w:r w:rsidRPr="00FA0032">
        <w:rPr>
          <w:lang w:val="ru-RU"/>
        </w:rPr>
        <w:t>В рассматриваемый двухлетний период была проделана существенная работа по сокращению расходов на поездки, в результате которой снизилось как количество выдаваемых билетов, так и количество несвоевременно поданных заявок на поездки.  Наконец, благодаря тщательному контролю административных процедур, связанных с закупками и поездками, за последние пять лет удалось вдвое сократить сроки обработки заявок на осуществление закупок, обеспечив при этом повышение эффективности и гибкости процесса приобретения товаров и услуг.  Следует также отметить, что доля закупаемых на месте товаров и услуг для деятельности в интересах развития достигла 57</w:t>
      </w:r>
      <w:r>
        <w:t> </w:t>
      </w:r>
      <w:r w:rsidRPr="00FA0032">
        <w:rPr>
          <w:lang w:val="ru-RU"/>
        </w:rPr>
        <w:t>процентов в 2015</w:t>
      </w:r>
      <w:r>
        <w:t> </w:t>
      </w:r>
      <w:r w:rsidRPr="00FA0032">
        <w:rPr>
          <w:lang w:val="ru-RU"/>
        </w:rPr>
        <w:t>г., что на 9 процентов превышает уровень 2013</w:t>
      </w:r>
      <w:r>
        <w:t> </w:t>
      </w:r>
      <w:r w:rsidRPr="00FA0032">
        <w:rPr>
          <w:lang w:val="ru-RU"/>
        </w:rPr>
        <w:t>г. и на 12 процентов – уровень 2014</w:t>
      </w:r>
      <w:r>
        <w:t> </w:t>
      </w:r>
      <w:r w:rsidRPr="00FA0032">
        <w:rPr>
          <w:lang w:val="ru-RU"/>
        </w:rPr>
        <w:t>г.</w:t>
      </w:r>
    </w:p>
    <w:p w:rsidR="00FA0032" w:rsidRPr="00FA0032" w:rsidRDefault="00FA0032" w:rsidP="00FA0032">
      <w:pPr>
        <w:pStyle w:val="ListParagraph"/>
        <w:tabs>
          <w:tab w:val="left" w:pos="709"/>
        </w:tabs>
        <w:ind w:left="0"/>
        <w:jc w:val="both"/>
        <w:rPr>
          <w:lang w:val="ru-RU"/>
        </w:rPr>
      </w:pPr>
    </w:p>
    <w:p w:rsidR="00FA0032" w:rsidRPr="00FA0032" w:rsidRDefault="00FA0032" w:rsidP="00FA0032">
      <w:pPr>
        <w:pStyle w:val="ListParagraph"/>
        <w:numPr>
          <w:ilvl w:val="0"/>
          <w:numId w:val="66"/>
        </w:numPr>
        <w:tabs>
          <w:tab w:val="left" w:pos="709"/>
        </w:tabs>
        <w:ind w:left="0" w:firstLine="0"/>
        <w:jc w:val="both"/>
        <w:rPr>
          <w:rFonts w:cs="Arial"/>
          <w:lang w:val="ru-RU"/>
        </w:rPr>
      </w:pPr>
      <w:r w:rsidRPr="00FA0032">
        <w:rPr>
          <w:lang w:val="ru-RU"/>
        </w:rPr>
        <w:t>Что касается организации пространства в зданиях штаб-квартиры, то в конце 2015</w:t>
      </w:r>
      <w:r>
        <w:t> </w:t>
      </w:r>
      <w:r w:rsidRPr="00FA0032">
        <w:rPr>
          <w:lang w:val="ru-RU"/>
        </w:rPr>
        <w:t>г. было третий год подряд зафиксировано приемлемое соотношение заполненных (около 85</w:t>
      </w:r>
      <w:r>
        <w:t> </w:t>
      </w:r>
      <w:r w:rsidRPr="00FA0032">
        <w:rPr>
          <w:lang w:val="ru-RU"/>
        </w:rPr>
        <w:t>процентов) и незаполненных (около 15</w:t>
      </w:r>
      <w:r>
        <w:t> </w:t>
      </w:r>
      <w:r w:rsidRPr="00FA0032">
        <w:rPr>
          <w:lang w:val="ru-RU"/>
        </w:rPr>
        <w:t>процентов) рабочих площадей, однако такого соотношения не удалось добиться на равномерной основе по всем зданиям, как описано в предыдущих отчетах.  Повышение пространственной и экономической эффективности использования мест хранения и стоянки на территории организации и за ее пределами позволило прекратить аренду трех мест хранения и стоянки и сократить количество канцелярских расходных материалов (что в 2014–2015 гг. обеспечило экономию в сумме примерно 219</w:t>
      </w:r>
      <w:r>
        <w:t> </w:t>
      </w:r>
      <w:r w:rsidRPr="00FA0032">
        <w:rPr>
          <w:lang w:val="ru-RU"/>
        </w:rPr>
        <w:t>000 шв. франков).  Наконец, в рассматриваемый двухлетний период за счет сдачи отдельных помещений в аренду другим структурам (для размещения центра хранения данных, размещения на крыше антенн сотовой связи, размещения банкомата и сдачи одного служебного помещения в аренду Европейскому кооперативному объединению международных служащих (АМФИЭ)) была получена прибыль общим объемом 390</w:t>
      </w:r>
      <w:r>
        <w:t> </w:t>
      </w:r>
      <w:r w:rsidRPr="00FA0032">
        <w:rPr>
          <w:lang w:val="ru-RU"/>
        </w:rPr>
        <w:t>000 шв. франков</w:t>
      </w:r>
    </w:p>
    <w:p w:rsidR="00FA0032" w:rsidRPr="00FA0032" w:rsidRDefault="00FA0032" w:rsidP="00FA0032">
      <w:pPr>
        <w:tabs>
          <w:tab w:val="left" w:pos="709"/>
        </w:tabs>
        <w:jc w:val="both"/>
        <w:rPr>
          <w:rFonts w:cs="Arial"/>
          <w:szCs w:val="20"/>
          <w:lang w:val="ru-RU"/>
        </w:rPr>
      </w:pPr>
    </w:p>
    <w:p w:rsidR="00FA0032" w:rsidRPr="00FA0032" w:rsidRDefault="00FA0032" w:rsidP="00FA0032">
      <w:pPr>
        <w:pStyle w:val="ListParagraph"/>
        <w:numPr>
          <w:ilvl w:val="0"/>
          <w:numId w:val="66"/>
        </w:numPr>
        <w:tabs>
          <w:tab w:val="left" w:pos="709"/>
        </w:tabs>
        <w:ind w:left="0" w:firstLine="0"/>
        <w:jc w:val="both"/>
        <w:rPr>
          <w:rFonts w:cs="Arial"/>
          <w:lang w:val="ru-RU"/>
        </w:rPr>
      </w:pPr>
      <w:r w:rsidRPr="00FA0032">
        <w:rPr>
          <w:lang w:val="ru-RU"/>
        </w:rPr>
        <w:t>В отношении технических сооружений в течение года в соответствии с графиком проводилось регулярное техническое обслуживание основных и/или важнейших технических установок.  В 2014</w:t>
      </w:r>
      <w:r>
        <w:t> </w:t>
      </w:r>
      <w:r w:rsidRPr="00FA0032">
        <w:rPr>
          <w:lang w:val="ru-RU"/>
        </w:rPr>
        <w:t>г. был подготовлен первый подробный реестр всех важнейших установок, что будет содействовать проведению в будущем анализа более обширной программы профилактического обслуживания инфраструктуры и объектов.  В 2015</w:t>
      </w:r>
      <w:r>
        <w:t> </w:t>
      </w:r>
      <w:r w:rsidRPr="00FA0032">
        <w:rPr>
          <w:lang w:val="ru-RU"/>
        </w:rPr>
        <w:t>г. было проведено первое периодическое обновления этого реестра, что стало основой для будущих периодических обновлений.</w:t>
      </w:r>
    </w:p>
    <w:p w:rsidR="00FA0032" w:rsidRPr="00FA0032" w:rsidRDefault="00FA0032" w:rsidP="00FA0032">
      <w:pPr>
        <w:tabs>
          <w:tab w:val="left" w:pos="709"/>
        </w:tabs>
        <w:jc w:val="both"/>
        <w:rPr>
          <w:rFonts w:cs="Arial"/>
          <w:szCs w:val="20"/>
          <w:lang w:val="ru-RU"/>
        </w:rPr>
      </w:pPr>
    </w:p>
    <w:p w:rsidR="00FA0032" w:rsidRPr="00FA0032" w:rsidRDefault="00FA0032" w:rsidP="00FA0032">
      <w:pPr>
        <w:pStyle w:val="ListParagraph"/>
        <w:numPr>
          <w:ilvl w:val="0"/>
          <w:numId w:val="66"/>
        </w:numPr>
        <w:tabs>
          <w:tab w:val="left" w:pos="709"/>
        </w:tabs>
        <w:ind w:left="0" w:firstLine="0"/>
        <w:jc w:val="both"/>
        <w:rPr>
          <w:rFonts w:cs="Arial"/>
          <w:lang w:val="ru-RU"/>
        </w:rPr>
      </w:pPr>
      <w:r w:rsidRPr="00FA0032">
        <w:rPr>
          <w:lang w:val="ru-RU"/>
        </w:rPr>
        <w:t>Что касается модернизации старых объектов, то был достигнут значительный прогресс не только по проектам, предусмотренным Генеральным планом капитального ремонта (ГПКР) и финансируемым за счет резервов, но и по ряду менее значимых усовершенствований, имеющих более технический характер (см. подробные сведения в таблице с данными о результативности).</w:t>
      </w:r>
    </w:p>
    <w:p w:rsidR="00FA0032" w:rsidRPr="00FA0032" w:rsidRDefault="00FA0032" w:rsidP="00FA0032">
      <w:pPr>
        <w:tabs>
          <w:tab w:val="left" w:pos="709"/>
        </w:tabs>
        <w:jc w:val="both"/>
        <w:rPr>
          <w:rFonts w:cs="Arial"/>
          <w:szCs w:val="20"/>
          <w:lang w:val="ru-RU"/>
        </w:rPr>
      </w:pPr>
    </w:p>
    <w:p w:rsidR="00FA0032" w:rsidRPr="00FA0032" w:rsidRDefault="00FA0032" w:rsidP="00FA0032">
      <w:pPr>
        <w:pStyle w:val="ListParagraph"/>
        <w:numPr>
          <w:ilvl w:val="0"/>
          <w:numId w:val="66"/>
        </w:numPr>
        <w:tabs>
          <w:tab w:val="left" w:pos="709"/>
        </w:tabs>
        <w:ind w:left="0" w:firstLine="0"/>
        <w:jc w:val="both"/>
        <w:rPr>
          <w:rFonts w:eastAsiaTheme="minorHAnsi" w:cs="Arial"/>
          <w:lang w:val="ru-RU"/>
        </w:rPr>
      </w:pPr>
      <w:r w:rsidRPr="00FA0032">
        <w:rPr>
          <w:lang w:val="ru-RU"/>
        </w:rPr>
        <w:t>По сравнению с двухлетним периодом 2012–2013</w:t>
      </w:r>
      <w:r>
        <w:t> </w:t>
      </w:r>
      <w:r w:rsidRPr="00FA0032">
        <w:rPr>
          <w:lang w:val="ru-RU"/>
        </w:rPr>
        <w:t>гг. было сокращено потребление коммунальных услуг, особенно электроэнергии и воды, на пять и 33</w:t>
      </w:r>
      <w:r>
        <w:t> </w:t>
      </w:r>
      <w:r w:rsidRPr="00FA0032">
        <w:rPr>
          <w:lang w:val="ru-RU"/>
        </w:rPr>
        <w:t>процента соответственно, несмотря на дополнительное потребление в новом конференц-зале ВОИС с сентября 2014</w:t>
      </w:r>
      <w:r>
        <w:t> </w:t>
      </w:r>
      <w:r w:rsidRPr="00FA0032">
        <w:rPr>
          <w:lang w:val="ru-RU"/>
        </w:rPr>
        <w:t>г.  В</w:t>
      </w:r>
      <w:r>
        <w:t> </w:t>
      </w:r>
      <w:r w:rsidRPr="00FA0032">
        <w:rPr>
          <w:lang w:val="ru-RU"/>
        </w:rPr>
        <w:t>рассматриваемый двухлетний период на территории ВОИС была завершена последняя фаза масштабного перехода на работающую на местной основе и более экологически безопасную систему охлаждения с использованием охлажденной воды из Женевского озера, в ходе которой было проведено объединение и обновление технических установок.  Хотя потребление энергии и связанные с ним затраты на работу этой охлаждающей технологии во всех здания ВОИС повысились на 35 и 34</w:t>
      </w:r>
      <w:r>
        <w:t> </w:t>
      </w:r>
      <w:r w:rsidRPr="00FA0032">
        <w:rPr>
          <w:lang w:val="ru-RU"/>
        </w:rPr>
        <w:t>процента соответственно по сравнению с предыдущим двухлетним периодом, охватываемый объем зданий увеличился почти в два раза за тот же период.  Кроме того, увеличившиеся затраты были по большей части компенсированы снижением потребления других источников энергии (электричества и воды), а также стабилизацией потребления природного газа, использующегося для отопления, в результате чего общая экономия средств по сравнению с предыдущим двухлетним периодом составила около 479</w:t>
      </w:r>
      <w:r>
        <w:t> </w:t>
      </w:r>
      <w:r w:rsidRPr="00FA0032">
        <w:rPr>
          <w:lang w:val="ru-RU"/>
        </w:rPr>
        <w:t>000</w:t>
      </w:r>
      <w:r>
        <w:t> </w:t>
      </w:r>
      <w:r w:rsidRPr="00FA0032">
        <w:rPr>
          <w:lang w:val="ru-RU"/>
        </w:rPr>
        <w:t>шв. франков.  Наконец, тот поставщик электроэнергии, который работал с ВОИС по контракту до конца 2014</w:t>
      </w:r>
      <w:r>
        <w:t> </w:t>
      </w:r>
      <w:r w:rsidRPr="00FA0032">
        <w:rPr>
          <w:lang w:val="ru-RU"/>
        </w:rPr>
        <w:t>г., возместил часть стоимости неиспользованной электроэнергии за рассматриваемый год (т.е. 2014</w:t>
      </w:r>
      <w:r>
        <w:t> </w:t>
      </w:r>
      <w:r w:rsidRPr="00FA0032">
        <w:rPr>
          <w:lang w:val="ru-RU"/>
        </w:rPr>
        <w:t>г.) в размере 24</w:t>
      </w:r>
      <w:r>
        <w:t> </w:t>
      </w:r>
      <w:r w:rsidRPr="00FA0032">
        <w:rPr>
          <w:lang w:val="ru-RU"/>
        </w:rPr>
        <w:t>300</w:t>
      </w:r>
      <w:r>
        <w:t> </w:t>
      </w:r>
      <w:r w:rsidRPr="00FA0032">
        <w:rPr>
          <w:lang w:val="ru-RU"/>
        </w:rPr>
        <w:t xml:space="preserve">шв. франков.  </w:t>
      </w:r>
    </w:p>
    <w:p w:rsidR="00FA0032" w:rsidRPr="00FA0032" w:rsidRDefault="00FA0032" w:rsidP="00FA0032">
      <w:pPr>
        <w:tabs>
          <w:tab w:val="left" w:pos="709"/>
          <w:tab w:val="left" w:pos="1440"/>
        </w:tabs>
        <w:jc w:val="both"/>
        <w:rPr>
          <w:rFonts w:cs="Arial"/>
          <w:szCs w:val="20"/>
          <w:lang w:val="ru-RU"/>
        </w:rPr>
      </w:pPr>
    </w:p>
    <w:p w:rsidR="00FA0032" w:rsidRPr="00FA0032" w:rsidRDefault="00FA0032" w:rsidP="00FA0032">
      <w:pPr>
        <w:pStyle w:val="ListParagraph"/>
        <w:numPr>
          <w:ilvl w:val="0"/>
          <w:numId w:val="66"/>
        </w:numPr>
        <w:tabs>
          <w:tab w:val="left" w:pos="709"/>
        </w:tabs>
        <w:ind w:left="0" w:firstLine="0"/>
        <w:jc w:val="both"/>
        <w:rPr>
          <w:rFonts w:cs="Arial"/>
          <w:lang w:val="ru-RU"/>
        </w:rPr>
      </w:pPr>
      <w:r w:rsidRPr="00FA0032">
        <w:rPr>
          <w:lang w:val="ru-RU"/>
        </w:rPr>
        <w:t>Что касается управления активами, то рассматриваемый двухлетний период стал первым годом работы по новой процедуре, которая предполагает проведение внешней инвентаризации активов.  В 2014</w:t>
      </w:r>
      <w:r>
        <w:t> </w:t>
      </w:r>
      <w:r w:rsidRPr="00FA0032">
        <w:rPr>
          <w:lang w:val="ru-RU"/>
        </w:rPr>
        <w:t>г. к числу таких активов были отнесены объекты стоимостью более 1000</w:t>
      </w:r>
      <w:r>
        <w:t> </w:t>
      </w:r>
      <w:r w:rsidRPr="00FA0032">
        <w:rPr>
          <w:lang w:val="ru-RU"/>
        </w:rPr>
        <w:t>шв. франков, а также произведения искусства и привлекательные элементы независимо от их стоимости.  В 2015</w:t>
      </w:r>
      <w:r>
        <w:t> </w:t>
      </w:r>
      <w:r w:rsidRPr="00FA0032">
        <w:rPr>
          <w:lang w:val="ru-RU"/>
        </w:rPr>
        <w:t>г. к числу таких активов стали относиться объекты стоимостью более 5</w:t>
      </w:r>
      <w:r>
        <w:t> </w:t>
      </w:r>
      <w:r w:rsidRPr="00FA0032">
        <w:rPr>
          <w:lang w:val="ru-RU"/>
        </w:rPr>
        <w:t>000</w:t>
      </w:r>
      <w:r>
        <w:t> </w:t>
      </w:r>
      <w:r w:rsidRPr="00FA0032">
        <w:rPr>
          <w:lang w:val="ru-RU"/>
        </w:rPr>
        <w:t xml:space="preserve">шв. франков.  Такой двухэтапный подход, увязанный с программой работы на двухлетний период, использовался для структурирования деятельности по управлению активами как в плане учета и отчетности о физической деятельности, так и в отношении финансовой отчетности.  К концу двухлетнего периода была сформулирована новая политика управления активами, которая должна стать основой для создания более надежной системы в рамках Финансовых правил и положений. </w:t>
      </w:r>
    </w:p>
    <w:p w:rsidR="00FA0032" w:rsidRPr="00FA0032" w:rsidRDefault="00FA0032" w:rsidP="00FA0032">
      <w:pPr>
        <w:tabs>
          <w:tab w:val="left" w:pos="709"/>
        </w:tabs>
        <w:jc w:val="both"/>
        <w:rPr>
          <w:rFonts w:cs="Arial"/>
          <w:szCs w:val="20"/>
          <w:lang w:val="ru-RU"/>
        </w:rPr>
      </w:pPr>
    </w:p>
    <w:p w:rsidR="00FA0032" w:rsidRPr="00FA0032" w:rsidRDefault="00FA0032" w:rsidP="00FA0032">
      <w:pPr>
        <w:pStyle w:val="ListParagraph"/>
        <w:numPr>
          <w:ilvl w:val="0"/>
          <w:numId w:val="66"/>
        </w:numPr>
        <w:tabs>
          <w:tab w:val="left" w:pos="709"/>
        </w:tabs>
        <w:ind w:left="0" w:firstLine="0"/>
        <w:jc w:val="both"/>
        <w:rPr>
          <w:rFonts w:cs="Arial"/>
          <w:lang w:val="ru-RU"/>
        </w:rPr>
      </w:pPr>
      <w:r w:rsidRPr="00FA0032">
        <w:rPr>
          <w:lang w:val="ru-RU"/>
        </w:rPr>
        <w:t>В 2015</w:t>
      </w:r>
      <w:r>
        <w:t> </w:t>
      </w:r>
      <w:r w:rsidRPr="00FA0032">
        <w:rPr>
          <w:lang w:val="ru-RU"/>
        </w:rPr>
        <w:t>г. впервые наблюдался значительный рост числа и сложности культурных и иных мероприятий (культурные мероприятия также проводились одновременно).  В 2015</w:t>
      </w:r>
      <w:r>
        <w:t> </w:t>
      </w:r>
      <w:r w:rsidRPr="00FA0032">
        <w:rPr>
          <w:lang w:val="ru-RU"/>
        </w:rPr>
        <w:t>г. в ВОИС были проведены мероприятия по случаю празднования национальных дней шести государств-членов.  Кроме того, различные помещения ВОИС (включая новый конференц-зал ВОИС) несколько раз сдавались в аренду сторонним учреждениям – в некоторых случаях на условиях уплаты арендной платы и/или возмещения расходов, понесенных в связи с организацией таких мероприятий</w:t>
      </w:r>
      <w:r>
        <w:rPr>
          <w:rStyle w:val="FootnoteReference"/>
        </w:rPr>
        <w:footnoteReference w:id="135"/>
      </w:r>
      <w:r w:rsidRPr="00FA0032">
        <w:rPr>
          <w:lang w:val="ru-RU"/>
        </w:rPr>
        <w:t xml:space="preserve">.  </w:t>
      </w:r>
    </w:p>
    <w:p w:rsidR="00FA0032" w:rsidRPr="00FA0032" w:rsidRDefault="00FA0032" w:rsidP="00FA0032">
      <w:pPr>
        <w:tabs>
          <w:tab w:val="left" w:pos="709"/>
        </w:tabs>
        <w:jc w:val="both"/>
        <w:rPr>
          <w:rFonts w:cs="Arial"/>
          <w:szCs w:val="20"/>
          <w:lang w:val="ru-RU"/>
        </w:rPr>
      </w:pPr>
    </w:p>
    <w:p w:rsidR="00FA0032" w:rsidRPr="00FA0032" w:rsidRDefault="00FA0032" w:rsidP="00FA0032">
      <w:pPr>
        <w:pStyle w:val="ListParagraph"/>
        <w:numPr>
          <w:ilvl w:val="0"/>
          <w:numId w:val="66"/>
        </w:numPr>
        <w:tabs>
          <w:tab w:val="left" w:pos="709"/>
        </w:tabs>
        <w:ind w:left="0" w:firstLine="0"/>
        <w:jc w:val="both"/>
        <w:rPr>
          <w:rFonts w:cs="Arial"/>
          <w:lang w:val="ru-RU"/>
        </w:rPr>
      </w:pPr>
      <w:r w:rsidRPr="00FA0032">
        <w:rPr>
          <w:lang w:val="ru-RU"/>
        </w:rPr>
        <w:t>В рамках проекта «Обеспечение доступности помещений ВОИС» и на основе рекомендаций по итогам проведенных в 2012 и 2013</w:t>
      </w:r>
      <w:r>
        <w:t> </w:t>
      </w:r>
      <w:r w:rsidRPr="00FA0032">
        <w:rPr>
          <w:lang w:val="ru-RU"/>
        </w:rPr>
        <w:t>гг. аудиторских проверок в рассматриваемый двухлетний период был принят ряд мер по оптимизации доступа в несколько зданий.  Кроме того, в течение 2014</w:t>
      </w:r>
      <w:r>
        <w:t> </w:t>
      </w:r>
      <w:r w:rsidRPr="00FA0032">
        <w:rPr>
          <w:lang w:val="ru-RU"/>
        </w:rPr>
        <w:t xml:space="preserve">г. на этапе строительства и/или реконструкции были расширены некоторые функциональные возможности в соответствии с проектом строительства нового конференц-зала и реконструкции нескольких этажей здания </w:t>
      </w:r>
      <w:r>
        <w:t>AB</w:t>
      </w:r>
      <w:r w:rsidRPr="00FA0032">
        <w:rPr>
          <w:lang w:val="ru-RU"/>
        </w:rPr>
        <w:t>.  К числу внесенных улучшений относятся: (</w:t>
      </w:r>
      <w:r>
        <w:t>i</w:t>
      </w:r>
      <w:r w:rsidRPr="00FA0032">
        <w:rPr>
          <w:lang w:val="ru-RU"/>
        </w:rPr>
        <w:t xml:space="preserve">) дополнительные пандусы для инвалидных колясок (доступ в кабины синхронных переводчиков в новом конференц-зале в НЗ, доступ к трибуне в новом конференц-зале ВОИС, доступ к кабинам синхронных переводчиков в двух новых залах заседаний на обновленном этаже здания </w:t>
      </w:r>
      <w:r>
        <w:t>AB</w:t>
      </w:r>
      <w:r w:rsidRPr="00FA0032">
        <w:rPr>
          <w:lang w:val="ru-RU"/>
        </w:rPr>
        <w:t>); (</w:t>
      </w:r>
      <w:r>
        <w:t>ii</w:t>
      </w:r>
      <w:r w:rsidRPr="00FA0032">
        <w:rPr>
          <w:lang w:val="ru-RU"/>
        </w:rPr>
        <w:t xml:space="preserve">) установка терминалов для считывания пропусков на высоте, обеспечивающей доступ из инвалидной коляски, в зданиях </w:t>
      </w:r>
      <w:r>
        <w:t>AB</w:t>
      </w:r>
      <w:r w:rsidRPr="00FA0032">
        <w:rPr>
          <w:lang w:val="ru-RU"/>
        </w:rPr>
        <w:t>, РСТ и НЗ, а также в новом конференц-зале ВОИС. При этом некоторые улучшения не потребовали больших расходов и/или были объединены с работами по совершенствованию других объектов инфраструктуры или сооружений с минимальными дополнительными затратами.  Кроме того, в 2015</w:t>
      </w:r>
      <w:r>
        <w:t> </w:t>
      </w:r>
      <w:r w:rsidRPr="00FA0032">
        <w:rPr>
          <w:lang w:val="ru-RU"/>
        </w:rPr>
        <w:t xml:space="preserve">г. была организована презентация для сотрудников и представителей других расположенных в Женеве учреждений системы ООН, в ходе которой были продемонстрированы улучшения, сделанные в различных зданиях, а также проведен обмен опытом в области методологии, использованной для отбора и осуществления таких мер. </w:t>
      </w:r>
    </w:p>
    <w:p w:rsidR="00FA0032" w:rsidRPr="00FA0032" w:rsidRDefault="00FA0032" w:rsidP="00FA0032">
      <w:pPr>
        <w:tabs>
          <w:tab w:val="left" w:pos="709"/>
        </w:tabs>
        <w:jc w:val="both"/>
        <w:rPr>
          <w:rFonts w:cs="Arial"/>
          <w:szCs w:val="20"/>
          <w:lang w:val="ru-RU"/>
        </w:rPr>
      </w:pPr>
    </w:p>
    <w:p w:rsidR="00FA0032" w:rsidRPr="00FA0032" w:rsidRDefault="00FA0032" w:rsidP="00FA0032">
      <w:pPr>
        <w:pStyle w:val="ListParagraph"/>
        <w:numPr>
          <w:ilvl w:val="0"/>
          <w:numId w:val="66"/>
        </w:numPr>
        <w:tabs>
          <w:tab w:val="left" w:pos="709"/>
        </w:tabs>
        <w:ind w:left="0" w:firstLine="0"/>
        <w:jc w:val="both"/>
        <w:rPr>
          <w:lang w:val="ru-RU"/>
        </w:rPr>
      </w:pPr>
      <w:r w:rsidRPr="00FA0032">
        <w:rPr>
          <w:lang w:val="ru-RU"/>
        </w:rPr>
        <w:t>В рамках инициативы ВОИС в сфере экологической ответственности в рассматриваемый двухлетний период был проведен ряд мероприятий, направленных на повышение экологической осведомленности персонала и/или принятие конкретных практических мер.  Эти меры относились к вопросам, связанным с помещениями и использованием альтернативного транспорта по дороге на работу и с работы.  Вопросы, связанные с помещениями, включали в себя:  (</w:t>
      </w:r>
      <w:r>
        <w:t>i</w:t>
      </w:r>
      <w:r w:rsidRPr="00FA0032">
        <w:rPr>
          <w:lang w:val="ru-RU"/>
        </w:rPr>
        <w:t>)</w:t>
      </w:r>
      <w:r>
        <w:t> </w:t>
      </w:r>
      <w:r w:rsidRPr="00FA0032">
        <w:rPr>
          <w:lang w:val="ru-RU"/>
        </w:rPr>
        <w:t>замену технического оборудования на более экологичные решения; (</w:t>
      </w:r>
      <w:r>
        <w:t>ii</w:t>
      </w:r>
      <w:r w:rsidRPr="00FA0032">
        <w:rPr>
          <w:lang w:val="ru-RU"/>
        </w:rPr>
        <w:t>)</w:t>
      </w:r>
      <w:r>
        <w:t> </w:t>
      </w:r>
      <w:r w:rsidRPr="00FA0032">
        <w:rPr>
          <w:lang w:val="ru-RU"/>
        </w:rPr>
        <w:t>модернизацию электрооборудования, снижение расхода электроэнергии благодаря заключению договора с местным поставщиком электроэнергии до 2014</w:t>
      </w:r>
      <w:r>
        <w:t> </w:t>
      </w:r>
      <w:r w:rsidRPr="00FA0032">
        <w:rPr>
          <w:lang w:val="ru-RU"/>
        </w:rPr>
        <w:t>г.; (</w:t>
      </w:r>
      <w:r>
        <w:t>iii</w:t>
      </w:r>
      <w:r w:rsidRPr="00FA0032">
        <w:rPr>
          <w:lang w:val="ru-RU"/>
        </w:rPr>
        <w:t>)</w:t>
      </w:r>
      <w:r>
        <w:t> </w:t>
      </w:r>
      <w:r w:rsidRPr="00FA0032">
        <w:rPr>
          <w:lang w:val="ru-RU"/>
        </w:rPr>
        <w:t xml:space="preserve"> выбор для нового здания тарифа на электроэнергию с самой высокой долей инвестиций в производство электроэнергии из возобновляемых источников в кантоне Женева в 2014</w:t>
      </w:r>
      <w:r>
        <w:t> </w:t>
      </w:r>
      <w:r w:rsidRPr="00FA0032">
        <w:rPr>
          <w:lang w:val="ru-RU"/>
        </w:rPr>
        <w:t>г.; (</w:t>
      </w:r>
      <w:r>
        <w:t>iv</w:t>
      </w:r>
      <w:r w:rsidRPr="00FA0032">
        <w:rPr>
          <w:lang w:val="ru-RU"/>
        </w:rPr>
        <w:t>)</w:t>
      </w:r>
      <w:r>
        <w:t> </w:t>
      </w:r>
      <w:r w:rsidRPr="00FA0032">
        <w:rPr>
          <w:lang w:val="ru-RU"/>
        </w:rPr>
        <w:t>внедрение новой экологичной схемы совместно с новым поставщиком электроэнергии с января 2015</w:t>
      </w:r>
      <w:r>
        <w:t> </w:t>
      </w:r>
      <w:r w:rsidRPr="00FA0032">
        <w:rPr>
          <w:lang w:val="ru-RU"/>
        </w:rPr>
        <w:t>г.  Меры, связанные с использованием альтернативных видов транспорта по дороге на работу и с работы, включали в себя: (</w:t>
      </w:r>
      <w:r>
        <w:t>i</w:t>
      </w:r>
      <w:r w:rsidRPr="00FA0032">
        <w:rPr>
          <w:lang w:val="ru-RU"/>
        </w:rPr>
        <w:t>)</w:t>
      </w:r>
      <w:r>
        <w:t> </w:t>
      </w:r>
      <w:r w:rsidRPr="00FA0032">
        <w:rPr>
          <w:lang w:val="ru-RU"/>
        </w:rPr>
        <w:t>проведение дней и месяцев пережвижения на общественном транспорте; (</w:t>
      </w:r>
      <w:r>
        <w:t>ii</w:t>
      </w:r>
      <w:r w:rsidRPr="00FA0032">
        <w:rPr>
          <w:lang w:val="ru-RU"/>
        </w:rPr>
        <w:t>)</w:t>
      </w:r>
      <w:r>
        <w:t> </w:t>
      </w:r>
      <w:r w:rsidRPr="00FA0032">
        <w:rPr>
          <w:lang w:val="ru-RU"/>
        </w:rPr>
        <w:t>бесплатный прокат электрических велосипедов; и (</w:t>
      </w:r>
      <w:r>
        <w:t>iii</w:t>
      </w:r>
      <w:r w:rsidRPr="00FA0032">
        <w:rPr>
          <w:lang w:val="ru-RU"/>
        </w:rPr>
        <w:t>)</w:t>
      </w:r>
      <w:r>
        <w:t> </w:t>
      </w:r>
      <w:r w:rsidRPr="00FA0032">
        <w:rPr>
          <w:lang w:val="ru-RU"/>
        </w:rPr>
        <w:t>ремонт велосипедов.  Кроме того, ВОИС участвовала в ряде инициатив в рамках межучрежденческого сотрудничества в системе ООН, главным образом через Программу Организации Объединенных Наций по окружающей среде (ЮНЕП) и Систему устойчивого управления подразделениями ООН (</w:t>
      </w:r>
      <w:r>
        <w:t>SUN</w:t>
      </w:r>
      <w:r w:rsidRPr="00FA0032">
        <w:rPr>
          <w:lang w:val="ru-RU"/>
        </w:rPr>
        <w:t>), например, в ежегодном сборе данных для Калькулятора парниковых газов (</w:t>
      </w:r>
      <w:r>
        <w:t>GHG</w:t>
      </w:r>
      <w:r w:rsidRPr="00FA0032">
        <w:rPr>
          <w:lang w:val="ru-RU"/>
        </w:rPr>
        <w:t>), а также в различных встречах и форумах.  В рамках выполнения обязательства ВОИС по компенсации углеродосодержащих выбросов в 2015</w:t>
      </w:r>
      <w:r>
        <w:t> </w:t>
      </w:r>
      <w:r w:rsidRPr="00FA0032">
        <w:rPr>
          <w:lang w:val="ru-RU"/>
        </w:rPr>
        <w:t>г. Межучрежденческое совещание по вопросам перевода, документации и изданий (МУСВПДИ) было проведено в июне 2015</w:t>
      </w:r>
      <w:r>
        <w:t> </w:t>
      </w:r>
      <w:r w:rsidRPr="00FA0032">
        <w:rPr>
          <w:lang w:val="ru-RU"/>
        </w:rPr>
        <w:t>г. на территории ВОИС и было объявлено ЮНЕП «зеленым» совещанием в соответствии с требованиями ООН. Кроме того, в контексте поставленной ООН перед собой цели – к 2020 году свести объемы выбрасываемого углекислого газа к нулю, к которой ВОИС присоединилась в сентябре 2014</w:t>
      </w:r>
      <w:r>
        <w:t> </w:t>
      </w:r>
      <w:r w:rsidRPr="00FA0032">
        <w:rPr>
          <w:lang w:val="ru-RU"/>
        </w:rPr>
        <w:t>г., ВОИС закупила компенсационные сертификаты через Рамочную конвенцию Организации Объединенных Наций об изменении климата (РКИКООН) на период с 2014</w:t>
      </w:r>
      <w:r>
        <w:t> </w:t>
      </w:r>
      <w:r w:rsidRPr="00FA0032">
        <w:rPr>
          <w:lang w:val="ru-RU"/>
        </w:rPr>
        <w:t>г. до 2020</w:t>
      </w:r>
      <w:r>
        <w:t> </w:t>
      </w:r>
      <w:r w:rsidRPr="00FA0032">
        <w:rPr>
          <w:lang w:val="ru-RU"/>
        </w:rPr>
        <w:t>г. Эти сертификаты были рассчитаны на основе данных, использованных для калькулятора парниковых газов в 2014</w:t>
      </w:r>
      <w:r>
        <w:t> </w:t>
      </w:r>
      <w:r w:rsidRPr="00FA0032">
        <w:rPr>
          <w:lang w:val="ru-RU"/>
        </w:rPr>
        <w:t>г., разработанного ЮНЕП в целях внесения ООН своего вклада в работу КС-21 в ноябре 2015</w:t>
      </w:r>
      <w:r>
        <w:t> </w:t>
      </w:r>
      <w:r w:rsidRPr="00FA0032">
        <w:rPr>
          <w:lang w:val="ru-RU"/>
        </w:rPr>
        <w:t>г.   В результате ВОИС смогла заявить о компенсации своих углеродосодержащих выбросов до 2020</w:t>
      </w:r>
      <w:r>
        <w:t> </w:t>
      </w:r>
      <w:r w:rsidRPr="00FA0032">
        <w:rPr>
          <w:lang w:val="ru-RU"/>
        </w:rPr>
        <w:t>г. Таким образом, двухлетний период 2014–2015</w:t>
      </w:r>
      <w:r>
        <w:t> </w:t>
      </w:r>
      <w:r w:rsidRPr="00FA0032">
        <w:rPr>
          <w:lang w:val="ru-RU"/>
        </w:rPr>
        <w:t>гг. стал первым двухлетним периодом, когда ВОИС достигла такого результата в контексте поставленной ООН общеорганизационной цели, которая должна быть достигнута к 2020</w:t>
      </w:r>
      <w:r>
        <w:t> </w:t>
      </w:r>
      <w:r w:rsidRPr="00FA0032">
        <w:rPr>
          <w:lang w:val="ru-RU"/>
        </w:rPr>
        <w:t>г.</w:t>
      </w:r>
    </w:p>
    <w:p w:rsidR="00FA0032" w:rsidRPr="00FA0032" w:rsidRDefault="00FA0032" w:rsidP="00FA0032">
      <w:pPr>
        <w:pStyle w:val="ListParagraph"/>
        <w:tabs>
          <w:tab w:val="left" w:pos="709"/>
        </w:tabs>
        <w:ind w:left="0"/>
        <w:jc w:val="both"/>
        <w:rPr>
          <w:lang w:val="ru-RU"/>
        </w:rPr>
      </w:pPr>
    </w:p>
    <w:p w:rsidR="00B655FE" w:rsidRPr="006A1DE0" w:rsidRDefault="00B655FE">
      <w:pPr>
        <w:rPr>
          <w:lang w:val="ru-RU"/>
        </w:rPr>
      </w:pPr>
      <w:r w:rsidRPr="006A1DE0">
        <w:rPr>
          <w:lang w:val="ru-RU"/>
        </w:rPr>
        <w:br w:type="page"/>
      </w:r>
    </w:p>
    <w:p w:rsidR="00FA0032" w:rsidRDefault="00FA0032" w:rsidP="00FA0032">
      <w:r>
        <w:t>ДАННЫЕ О РЕЗУЛЬТАТИВНОСТИ</w:t>
      </w:r>
    </w:p>
    <w:p w:rsidR="00FA0032" w:rsidRPr="00A8525E" w:rsidRDefault="00FA0032" w:rsidP="00FA0032">
      <w:pPr>
        <w:rPr>
          <w:b/>
          <w:sz w:val="16"/>
          <w:szCs w:val="16"/>
        </w:rPr>
      </w:pPr>
    </w:p>
    <w:tbl>
      <w:tblPr>
        <w:tblW w:w="5064"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51"/>
        <w:gridCol w:w="76"/>
        <w:gridCol w:w="58"/>
        <w:gridCol w:w="2059"/>
        <w:gridCol w:w="268"/>
        <w:gridCol w:w="14"/>
        <w:gridCol w:w="1206"/>
        <w:gridCol w:w="306"/>
        <w:gridCol w:w="2679"/>
        <w:gridCol w:w="977"/>
      </w:tblGrid>
      <w:tr w:rsidR="00FA0032" w:rsidRPr="005C6ABD" w:rsidTr="00C61544">
        <w:trPr>
          <w:cantSplit/>
        </w:trPr>
        <w:tc>
          <w:tcPr>
            <w:tcW w:w="5000" w:type="pct"/>
            <w:gridSpan w:val="10"/>
            <w:tcBorders>
              <w:top w:val="single" w:sz="4" w:space="0" w:color="auto"/>
              <w:bottom w:val="single" w:sz="4" w:space="0" w:color="auto"/>
            </w:tcBorders>
            <w:shd w:val="clear" w:color="auto" w:fill="C6D9F1" w:themeFill="text2" w:themeFillTint="33"/>
            <w:vAlign w:val="center"/>
          </w:tcPr>
          <w:p w:rsidR="00FA0032" w:rsidRPr="00FA0032" w:rsidRDefault="00FA0032" w:rsidP="00B655FE">
            <w:pPr>
              <w:keepNext/>
              <w:keepLines/>
              <w:tabs>
                <w:tab w:val="left" w:pos="2160"/>
              </w:tabs>
              <w:spacing w:before="120" w:after="120"/>
              <w:ind w:left="2160" w:hanging="2160"/>
              <w:rPr>
                <w:rFonts w:cs="Arial"/>
                <w:b/>
                <w:bCs/>
                <w:sz w:val="16"/>
                <w:szCs w:val="16"/>
                <w:lang w:val="ru-RU"/>
              </w:rPr>
            </w:pPr>
            <w:r w:rsidRPr="00FA0032">
              <w:rPr>
                <w:b/>
                <w:sz w:val="16"/>
                <w:szCs w:val="16"/>
                <w:lang w:val="ru-RU"/>
              </w:rPr>
              <w:t>Ожидаемый результат:</w:t>
            </w:r>
            <w:r w:rsidRPr="00FA0032">
              <w:rPr>
                <w:sz w:val="16"/>
                <w:szCs w:val="16"/>
                <w:lang w:val="ru-RU"/>
              </w:rPr>
              <w:t xml:space="preserve"> </w:t>
            </w:r>
            <w:r w:rsidRPr="00FA0032">
              <w:rPr>
                <w:sz w:val="16"/>
                <w:szCs w:val="16"/>
                <w:lang w:val="ru-RU"/>
              </w:rPr>
              <w:tab/>
            </w:r>
            <w:r w:rsidRPr="000D6F9B">
              <w:rPr>
                <w:sz w:val="16"/>
                <w:szCs w:val="16"/>
              </w:rPr>
              <w:t>VIII</w:t>
            </w:r>
            <w:r w:rsidRPr="00FA0032">
              <w:rPr>
                <w:sz w:val="16"/>
                <w:szCs w:val="16"/>
                <w:lang w:val="ru-RU"/>
              </w:rPr>
              <w:t>.5. ВОИС эффективно взаимодействует и является партн</w:t>
            </w:r>
            <w:r w:rsidR="00B655FE">
              <w:rPr>
                <w:sz w:val="16"/>
                <w:szCs w:val="16"/>
                <w:lang w:val="ru-RU"/>
              </w:rPr>
              <w:t xml:space="preserve">ером в процессах и переговорах </w:t>
            </w:r>
            <w:r w:rsidRPr="00FA0032">
              <w:rPr>
                <w:sz w:val="16"/>
                <w:szCs w:val="16"/>
                <w:lang w:val="ru-RU"/>
              </w:rPr>
              <w:t>ООН и других МПО</w:t>
            </w:r>
          </w:p>
        </w:tc>
      </w:tr>
      <w:tr w:rsidR="00FA0032" w:rsidRPr="000D6F9B" w:rsidTr="008320CF">
        <w:trPr>
          <w:cantSplit/>
        </w:trPr>
        <w:tc>
          <w:tcPr>
            <w:tcW w:w="1097" w:type="pct"/>
            <w:gridSpan w:val="2"/>
            <w:tcBorders>
              <w:top w:val="single" w:sz="4" w:space="0" w:color="auto"/>
            </w:tcBorders>
            <w:shd w:val="clear" w:color="auto" w:fill="auto"/>
            <w:vAlign w:val="center"/>
          </w:tcPr>
          <w:p w:rsidR="00FA0032" w:rsidRPr="000D6F9B" w:rsidRDefault="00FA0032" w:rsidP="00C61544">
            <w:pPr>
              <w:rPr>
                <w:rFonts w:cs="Arial"/>
                <w:sz w:val="16"/>
                <w:szCs w:val="16"/>
              </w:rPr>
            </w:pPr>
            <w:r w:rsidRPr="000D6F9B">
              <w:rPr>
                <w:b/>
                <w:sz w:val="16"/>
                <w:szCs w:val="16"/>
              </w:rPr>
              <w:t>Показатели результативности</w:t>
            </w:r>
          </w:p>
        </w:tc>
        <w:tc>
          <w:tcPr>
            <w:tcW w:w="1237" w:type="pct"/>
            <w:gridSpan w:val="4"/>
            <w:tcBorders>
              <w:top w:val="single" w:sz="4" w:space="0" w:color="auto"/>
            </w:tcBorders>
            <w:shd w:val="clear" w:color="auto" w:fill="auto"/>
            <w:vAlign w:val="center"/>
          </w:tcPr>
          <w:p w:rsidR="00FA0032" w:rsidRPr="000D6F9B" w:rsidRDefault="00FA0032" w:rsidP="00C61544">
            <w:pPr>
              <w:rPr>
                <w:rFonts w:cs="Arial"/>
                <w:b/>
                <w:bCs/>
                <w:sz w:val="16"/>
                <w:szCs w:val="16"/>
              </w:rPr>
            </w:pPr>
            <w:r w:rsidRPr="000D6F9B">
              <w:rPr>
                <w:b/>
                <w:sz w:val="16"/>
                <w:szCs w:val="16"/>
              </w:rPr>
              <w:t>Базовые показатели</w:t>
            </w:r>
          </w:p>
        </w:tc>
        <w:tc>
          <w:tcPr>
            <w:tcW w:w="780" w:type="pct"/>
            <w:gridSpan w:val="2"/>
            <w:tcBorders>
              <w:top w:val="single" w:sz="4" w:space="0" w:color="auto"/>
            </w:tcBorders>
            <w:shd w:val="clear" w:color="auto" w:fill="auto"/>
            <w:tcMar>
              <w:top w:w="110" w:type="dxa"/>
            </w:tcMar>
            <w:vAlign w:val="center"/>
          </w:tcPr>
          <w:p w:rsidR="00FA0032" w:rsidRPr="000D6F9B" w:rsidRDefault="00FA0032" w:rsidP="00C61544">
            <w:pPr>
              <w:rPr>
                <w:rFonts w:cs="Arial"/>
                <w:b/>
                <w:sz w:val="16"/>
                <w:szCs w:val="16"/>
              </w:rPr>
            </w:pPr>
            <w:r w:rsidRPr="000D6F9B">
              <w:rPr>
                <w:b/>
                <w:sz w:val="16"/>
                <w:szCs w:val="16"/>
              </w:rPr>
              <w:t>Цели</w:t>
            </w:r>
          </w:p>
        </w:tc>
        <w:tc>
          <w:tcPr>
            <w:tcW w:w="1382" w:type="pct"/>
            <w:tcBorders>
              <w:top w:val="single" w:sz="4" w:space="0" w:color="auto"/>
            </w:tcBorders>
            <w:shd w:val="clear" w:color="auto" w:fill="FFFFFF"/>
            <w:tcMar>
              <w:top w:w="110" w:type="dxa"/>
            </w:tcMar>
            <w:vAlign w:val="center"/>
          </w:tcPr>
          <w:p w:rsidR="00FA0032" w:rsidRPr="000D6F9B" w:rsidRDefault="00FA0032" w:rsidP="00C61544">
            <w:pPr>
              <w:rPr>
                <w:rFonts w:cs="Arial"/>
                <w:sz w:val="16"/>
                <w:szCs w:val="16"/>
              </w:rPr>
            </w:pPr>
            <w:r w:rsidRPr="000D6F9B">
              <w:rPr>
                <w:b/>
                <w:sz w:val="16"/>
                <w:szCs w:val="16"/>
              </w:rPr>
              <w:t>Данные о результативности</w:t>
            </w:r>
          </w:p>
        </w:tc>
        <w:tc>
          <w:tcPr>
            <w:tcW w:w="504" w:type="pct"/>
            <w:tcBorders>
              <w:top w:val="single" w:sz="4" w:space="0" w:color="auto"/>
            </w:tcBorders>
            <w:shd w:val="clear" w:color="auto" w:fill="auto"/>
            <w:tcMar>
              <w:top w:w="110" w:type="dxa"/>
            </w:tcMar>
            <w:vAlign w:val="center"/>
          </w:tcPr>
          <w:p w:rsidR="00FA0032" w:rsidRPr="000D6F9B" w:rsidRDefault="00FA0032" w:rsidP="00C61544">
            <w:pPr>
              <w:keepNext/>
              <w:keepLines/>
              <w:jc w:val="center"/>
              <w:rPr>
                <w:rFonts w:cs="Arial"/>
                <w:b/>
                <w:bCs/>
                <w:sz w:val="16"/>
                <w:szCs w:val="16"/>
              </w:rPr>
            </w:pPr>
            <w:r w:rsidRPr="000D6F9B">
              <w:rPr>
                <w:b/>
                <w:sz w:val="16"/>
                <w:szCs w:val="16"/>
              </w:rPr>
              <w:t>CC</w:t>
            </w:r>
          </w:p>
        </w:tc>
      </w:tr>
      <w:tr w:rsidR="00FA0032" w:rsidRPr="000D6F9B" w:rsidTr="008320CF">
        <w:trPr>
          <w:cantSplit/>
        </w:trPr>
        <w:tc>
          <w:tcPr>
            <w:tcW w:w="1097" w:type="pct"/>
            <w:gridSpan w:val="2"/>
            <w:shd w:val="clear" w:color="auto" w:fill="auto"/>
          </w:tcPr>
          <w:p w:rsidR="00FA0032" w:rsidRPr="00FA0032" w:rsidRDefault="00FA0032" w:rsidP="00C61544">
            <w:pPr>
              <w:rPr>
                <w:rFonts w:cs="Arial"/>
                <w:sz w:val="16"/>
                <w:szCs w:val="16"/>
                <w:lang w:val="ru-RU"/>
              </w:rPr>
            </w:pPr>
            <w:r w:rsidRPr="00FA0032">
              <w:rPr>
                <w:sz w:val="16"/>
                <w:szCs w:val="16"/>
                <w:lang w:val="ru-RU"/>
              </w:rPr>
              <w:t>Выполненные рекомендации КВУУ и вспомогательных сетевых структур</w:t>
            </w:r>
          </w:p>
        </w:tc>
        <w:tc>
          <w:tcPr>
            <w:tcW w:w="1237" w:type="pct"/>
            <w:gridSpan w:val="4"/>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г.:</w:t>
            </w:r>
            <w:r w:rsidRPr="00FA0032">
              <w:rPr>
                <w:color w:val="002060"/>
                <w:sz w:val="16"/>
                <w:szCs w:val="16"/>
                <w:lang w:val="ru-RU"/>
              </w:rPr>
              <w:t xml:space="preserve">  13 из 36 невыполненных рекомендаций Объединенной инспекционной группы (ОИГ) законодательным органам были выполнены в 2013</w:t>
            </w:r>
            <w:r w:rsidRPr="000D6F9B">
              <w:rPr>
                <w:color w:val="002060"/>
                <w:sz w:val="16"/>
                <w:szCs w:val="16"/>
              </w:rPr>
              <w:t> </w:t>
            </w:r>
            <w:r w:rsidRPr="00FA0032">
              <w:rPr>
                <w:color w:val="002060"/>
                <w:sz w:val="16"/>
                <w:szCs w:val="16"/>
                <w:lang w:val="ru-RU"/>
              </w:rPr>
              <w:t>г. (36</w:t>
            </w:r>
            <w:r w:rsidRPr="000D6F9B">
              <w:rPr>
                <w:color w:val="002060"/>
                <w:sz w:val="16"/>
                <w:szCs w:val="16"/>
              </w:rPr>
              <w:t> </w:t>
            </w:r>
            <w:r w:rsidRPr="00FA0032">
              <w:rPr>
                <w:color w:val="002060"/>
                <w:sz w:val="16"/>
                <w:szCs w:val="16"/>
                <w:lang w:val="ru-RU"/>
              </w:rPr>
              <w:t>%)</w:t>
            </w:r>
          </w:p>
          <w:p w:rsidR="00FA0032" w:rsidRPr="00FA0032" w:rsidRDefault="00FA0032" w:rsidP="00C61544">
            <w:pPr>
              <w:rPr>
                <w:rFonts w:cs="Arial"/>
                <w:i/>
                <w:sz w:val="16"/>
                <w:szCs w:val="16"/>
                <w:lang w:val="ru-RU"/>
              </w:rPr>
            </w:pPr>
          </w:p>
          <w:p w:rsidR="00FA0032" w:rsidRPr="00FA0032" w:rsidRDefault="00FA0032" w:rsidP="00C61544">
            <w:pPr>
              <w:rPr>
                <w:sz w:val="16"/>
                <w:szCs w:val="16"/>
                <w:lang w:val="ru-RU"/>
              </w:rPr>
            </w:pPr>
            <w:r w:rsidRPr="00FA0032">
              <w:rPr>
                <w:i/>
                <w:sz w:val="16"/>
                <w:szCs w:val="16"/>
                <w:lang w:val="ru-RU"/>
              </w:rPr>
              <w:t xml:space="preserve">Исходные базовые показатели ПиБ на 2014–2015 гг.:  </w:t>
            </w:r>
            <w:r w:rsidRPr="00FA0032">
              <w:rPr>
                <w:sz w:val="16"/>
                <w:szCs w:val="16"/>
                <w:lang w:val="ru-RU"/>
              </w:rPr>
              <w:t>доля выполненных рекомендаций по состоянию на 1</w:t>
            </w:r>
            <w:r w:rsidRPr="000D6F9B">
              <w:rPr>
                <w:sz w:val="16"/>
                <w:szCs w:val="16"/>
              </w:rPr>
              <w:t> </w:t>
            </w:r>
            <w:r w:rsidRPr="00FA0032">
              <w:rPr>
                <w:sz w:val="16"/>
                <w:szCs w:val="16"/>
                <w:lang w:val="ru-RU"/>
              </w:rPr>
              <w:t>января 2013</w:t>
            </w:r>
            <w:r w:rsidRPr="000D6F9B">
              <w:rPr>
                <w:sz w:val="16"/>
                <w:szCs w:val="16"/>
              </w:rPr>
              <w:t> </w:t>
            </w:r>
            <w:r w:rsidRPr="00FA0032">
              <w:rPr>
                <w:sz w:val="16"/>
                <w:szCs w:val="16"/>
                <w:lang w:val="ru-RU"/>
              </w:rPr>
              <w:t>г.</w:t>
            </w:r>
          </w:p>
          <w:p w:rsidR="00FA0032" w:rsidRPr="00FA0032" w:rsidRDefault="00FA0032" w:rsidP="00C61544">
            <w:pPr>
              <w:rPr>
                <w:rFonts w:cstheme="minorBidi"/>
                <w:sz w:val="16"/>
                <w:szCs w:val="16"/>
                <w:lang w:val="ru-RU"/>
              </w:rPr>
            </w:pPr>
          </w:p>
        </w:tc>
        <w:tc>
          <w:tcPr>
            <w:tcW w:w="780" w:type="pct"/>
            <w:gridSpan w:val="2"/>
            <w:shd w:val="clear" w:color="auto" w:fill="auto"/>
            <w:tcMar>
              <w:top w:w="110" w:type="dxa"/>
            </w:tcMar>
          </w:tcPr>
          <w:p w:rsidR="00FA0032" w:rsidRPr="00FA0032" w:rsidRDefault="00FA0032" w:rsidP="00C61544">
            <w:pPr>
              <w:rPr>
                <w:rFonts w:cs="Arial"/>
                <w:sz w:val="16"/>
                <w:szCs w:val="16"/>
                <w:lang w:val="ru-RU"/>
              </w:rPr>
            </w:pPr>
            <w:r w:rsidRPr="00FA0032">
              <w:rPr>
                <w:sz w:val="16"/>
                <w:szCs w:val="16"/>
                <w:lang w:val="ru-RU"/>
              </w:rPr>
              <w:t>Доля выполненных рекомендаций по состоянию на 31</w:t>
            </w:r>
            <w:r w:rsidRPr="000D6F9B">
              <w:rPr>
                <w:sz w:val="16"/>
                <w:szCs w:val="16"/>
              </w:rPr>
              <w:t> </w:t>
            </w:r>
            <w:r w:rsidRPr="00FA0032">
              <w:rPr>
                <w:sz w:val="16"/>
                <w:szCs w:val="16"/>
                <w:lang w:val="ru-RU"/>
              </w:rPr>
              <w:t>декабря 2015</w:t>
            </w:r>
            <w:r w:rsidRPr="000D6F9B">
              <w:rPr>
                <w:sz w:val="16"/>
                <w:szCs w:val="16"/>
              </w:rPr>
              <w:t> </w:t>
            </w:r>
            <w:r w:rsidRPr="00FA0032">
              <w:rPr>
                <w:sz w:val="16"/>
                <w:szCs w:val="16"/>
                <w:lang w:val="ru-RU"/>
              </w:rPr>
              <w:t>г</w:t>
            </w:r>
            <w:r w:rsidRPr="000D6F9B">
              <w:rPr>
                <w:rStyle w:val="FootnoteReference"/>
                <w:sz w:val="16"/>
                <w:szCs w:val="16"/>
              </w:rPr>
              <w:footnoteReference w:id="136"/>
            </w:r>
            <w:r w:rsidRPr="00FA0032">
              <w:rPr>
                <w:sz w:val="16"/>
                <w:szCs w:val="16"/>
                <w:lang w:val="ru-RU"/>
              </w:rPr>
              <w:t>.</w:t>
            </w:r>
          </w:p>
        </w:tc>
        <w:tc>
          <w:tcPr>
            <w:tcW w:w="1382" w:type="pct"/>
            <w:shd w:val="clear" w:color="auto" w:fill="FFFFFF"/>
            <w:tcMar>
              <w:top w:w="110" w:type="dxa"/>
            </w:tcMar>
          </w:tcPr>
          <w:p w:rsidR="00FA0032" w:rsidRPr="00FA0032" w:rsidRDefault="00FA0032" w:rsidP="00C61544">
            <w:pPr>
              <w:rPr>
                <w:rFonts w:cs="Arial"/>
                <w:sz w:val="16"/>
                <w:szCs w:val="16"/>
                <w:lang w:val="ru-RU"/>
              </w:rPr>
            </w:pPr>
            <w:r w:rsidRPr="00FA0032">
              <w:rPr>
                <w:sz w:val="16"/>
                <w:szCs w:val="16"/>
                <w:lang w:val="ru-RU"/>
              </w:rPr>
              <w:t>В 2014–2015</w:t>
            </w:r>
            <w:r w:rsidRPr="000D6F9B">
              <w:rPr>
                <w:sz w:val="16"/>
                <w:szCs w:val="16"/>
              </w:rPr>
              <w:t> </w:t>
            </w:r>
            <w:r w:rsidRPr="00FA0032">
              <w:rPr>
                <w:sz w:val="16"/>
                <w:szCs w:val="16"/>
                <w:lang w:val="ru-RU"/>
              </w:rPr>
              <w:t>гг. 64</w:t>
            </w:r>
            <w:r w:rsidRPr="000D6F9B">
              <w:rPr>
                <w:sz w:val="16"/>
                <w:szCs w:val="16"/>
              </w:rPr>
              <w:t> </w:t>
            </w:r>
            <w:r w:rsidRPr="00FA0032">
              <w:rPr>
                <w:sz w:val="16"/>
                <w:szCs w:val="16"/>
                <w:lang w:val="ru-RU"/>
              </w:rPr>
              <w:t>процента (23 из 36) невыполненных рекомендаций Объединенной инспекционной группы (ОИГ) законодательным органам ВОИС были выполнены.</w:t>
            </w:r>
          </w:p>
        </w:tc>
        <w:tc>
          <w:tcPr>
            <w:tcW w:w="504" w:type="pct"/>
            <w:shd w:val="clear" w:color="auto" w:fill="auto"/>
            <w:tcMar>
              <w:top w:w="110" w:type="dxa"/>
            </w:tcMar>
          </w:tcPr>
          <w:p w:rsidR="00FA0032" w:rsidRPr="000D6F9B" w:rsidRDefault="00FA0032" w:rsidP="00C61544">
            <w:pPr>
              <w:jc w:val="center"/>
              <w:rPr>
                <w:sz w:val="16"/>
                <w:szCs w:val="16"/>
              </w:rPr>
            </w:pPr>
            <w:r w:rsidRPr="000D6F9B">
              <w:rPr>
                <w:b/>
                <w:color w:val="808080"/>
                <w:sz w:val="16"/>
                <w:szCs w:val="16"/>
              </w:rPr>
              <w:t>Не подлежит оценке</w:t>
            </w:r>
          </w:p>
          <w:p w:rsidR="00FA0032" w:rsidRPr="000D6F9B" w:rsidRDefault="00FA0032" w:rsidP="00C61544">
            <w:pPr>
              <w:keepNext/>
              <w:keepLines/>
              <w:jc w:val="center"/>
              <w:rPr>
                <w:rFonts w:cs="Arial"/>
                <w:b/>
                <w:bCs/>
                <w:color w:val="808080"/>
                <w:sz w:val="16"/>
                <w:szCs w:val="16"/>
              </w:rPr>
            </w:pPr>
          </w:p>
        </w:tc>
      </w:tr>
      <w:tr w:rsidR="00FA0032" w:rsidRPr="000D6F9B" w:rsidTr="008320CF">
        <w:trPr>
          <w:cantSplit/>
        </w:trPr>
        <w:tc>
          <w:tcPr>
            <w:tcW w:w="1097" w:type="pct"/>
            <w:gridSpan w:val="2"/>
            <w:shd w:val="clear" w:color="auto" w:fill="auto"/>
          </w:tcPr>
          <w:p w:rsidR="00FA0032" w:rsidRPr="00FA0032" w:rsidRDefault="00FA0032" w:rsidP="00C61544">
            <w:pPr>
              <w:rPr>
                <w:rFonts w:cs="Arial"/>
                <w:sz w:val="16"/>
                <w:szCs w:val="16"/>
                <w:lang w:val="ru-RU"/>
              </w:rPr>
            </w:pPr>
            <w:r w:rsidRPr="00FA0032">
              <w:rPr>
                <w:sz w:val="16"/>
                <w:szCs w:val="16"/>
                <w:lang w:val="ru-RU"/>
              </w:rPr>
              <w:t>Доля (%) закупаемых на месте товаров и услуг по сравнению с общим объемом закупок для деятельности в интересах развития</w:t>
            </w:r>
          </w:p>
        </w:tc>
        <w:tc>
          <w:tcPr>
            <w:tcW w:w="1237" w:type="pct"/>
            <w:gridSpan w:val="4"/>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 xml:space="preserve">г.:  </w:t>
            </w:r>
            <w:r w:rsidRPr="00FA0032">
              <w:rPr>
                <w:color w:val="002060"/>
                <w:sz w:val="16"/>
                <w:szCs w:val="16"/>
                <w:lang w:val="ru-RU"/>
              </w:rPr>
              <w:t xml:space="preserve">48% </w:t>
            </w:r>
          </w:p>
          <w:p w:rsidR="00FA0032" w:rsidRPr="00FA0032" w:rsidRDefault="00FA0032" w:rsidP="00C61544">
            <w:pPr>
              <w:rPr>
                <w:rFonts w:cstheme="minorBidi"/>
                <w:color w:val="002060"/>
                <w:sz w:val="16"/>
                <w:szCs w:val="16"/>
                <w:lang w:val="ru-RU"/>
              </w:rPr>
            </w:pPr>
          </w:p>
          <w:p w:rsidR="00FA0032" w:rsidRPr="00FA0032" w:rsidRDefault="00FA0032" w:rsidP="00C61544">
            <w:pPr>
              <w:rPr>
                <w:rFonts w:cstheme="minorBidi"/>
                <w:sz w:val="16"/>
                <w:szCs w:val="16"/>
                <w:lang w:val="ru-RU"/>
              </w:rPr>
            </w:pPr>
            <w:r w:rsidRPr="00FA0032">
              <w:rPr>
                <w:i/>
                <w:sz w:val="16"/>
                <w:szCs w:val="16"/>
                <w:lang w:val="ru-RU"/>
              </w:rPr>
              <w:t xml:space="preserve">Исходные базовые показатели ПиБ на 2014–2015 гг.: </w:t>
            </w:r>
            <w:r w:rsidRPr="00FA0032">
              <w:rPr>
                <w:sz w:val="16"/>
                <w:szCs w:val="16"/>
                <w:lang w:val="ru-RU"/>
              </w:rPr>
              <w:t>Результат за 2013</w:t>
            </w:r>
            <w:r w:rsidRPr="000D6F9B">
              <w:rPr>
                <w:sz w:val="16"/>
                <w:szCs w:val="16"/>
              </w:rPr>
              <w:t> </w:t>
            </w:r>
            <w:r w:rsidRPr="00FA0032">
              <w:rPr>
                <w:sz w:val="16"/>
                <w:szCs w:val="16"/>
                <w:lang w:val="ru-RU"/>
              </w:rPr>
              <w:t>г.</w:t>
            </w:r>
          </w:p>
        </w:tc>
        <w:tc>
          <w:tcPr>
            <w:tcW w:w="780" w:type="pct"/>
            <w:gridSpan w:val="2"/>
            <w:shd w:val="clear" w:color="auto" w:fill="auto"/>
            <w:tcMar>
              <w:top w:w="110" w:type="dxa"/>
            </w:tcMar>
          </w:tcPr>
          <w:p w:rsidR="00FA0032" w:rsidRPr="000D6F9B" w:rsidRDefault="00FA0032" w:rsidP="00C61544">
            <w:pPr>
              <w:rPr>
                <w:rFonts w:ascii="ArialMT" w:hAnsi="ArialMT" w:cs="ArialMT"/>
                <w:sz w:val="16"/>
                <w:szCs w:val="16"/>
              </w:rPr>
            </w:pPr>
            <w:r w:rsidRPr="000D6F9B">
              <w:rPr>
                <w:sz w:val="16"/>
                <w:szCs w:val="16"/>
              </w:rPr>
              <w:t>Результат за 2013 г. + 5%</w:t>
            </w:r>
          </w:p>
        </w:tc>
        <w:tc>
          <w:tcPr>
            <w:tcW w:w="1382" w:type="pct"/>
            <w:shd w:val="clear" w:color="auto" w:fill="FFFFFF"/>
            <w:tcMar>
              <w:top w:w="110" w:type="dxa"/>
            </w:tcMar>
          </w:tcPr>
          <w:p w:rsidR="00FA0032" w:rsidRPr="000D6F9B" w:rsidRDefault="00FA0032" w:rsidP="00C61544">
            <w:pPr>
              <w:rPr>
                <w:rFonts w:cs="Arial"/>
                <w:sz w:val="16"/>
                <w:szCs w:val="16"/>
              </w:rPr>
            </w:pPr>
            <w:r w:rsidRPr="000D6F9B">
              <w:rPr>
                <w:sz w:val="16"/>
                <w:szCs w:val="16"/>
              </w:rPr>
              <w:t>2014 г.: 45%</w:t>
            </w:r>
          </w:p>
          <w:p w:rsidR="00FA0032" w:rsidRPr="000D6F9B" w:rsidRDefault="00FA0032" w:rsidP="00C61544">
            <w:pPr>
              <w:rPr>
                <w:rFonts w:cs="Arial"/>
                <w:sz w:val="16"/>
                <w:szCs w:val="16"/>
                <w:highlight w:val="yellow"/>
              </w:rPr>
            </w:pPr>
          </w:p>
          <w:p w:rsidR="00FA0032" w:rsidRPr="000D6F9B" w:rsidRDefault="00FA0032" w:rsidP="00C61544">
            <w:pPr>
              <w:rPr>
                <w:rFonts w:cs="Arial"/>
                <w:sz w:val="16"/>
                <w:szCs w:val="16"/>
                <w:highlight w:val="yellow"/>
              </w:rPr>
            </w:pPr>
          </w:p>
          <w:p w:rsidR="00FA0032" w:rsidRPr="000D6F9B" w:rsidRDefault="00FA0032" w:rsidP="00C61544">
            <w:pPr>
              <w:rPr>
                <w:rFonts w:cs="Arial"/>
                <w:sz w:val="16"/>
                <w:szCs w:val="16"/>
              </w:rPr>
            </w:pPr>
            <w:r w:rsidRPr="000D6F9B">
              <w:rPr>
                <w:sz w:val="16"/>
                <w:szCs w:val="16"/>
              </w:rPr>
              <w:t>2015 г.: 57%</w:t>
            </w:r>
          </w:p>
        </w:tc>
        <w:tc>
          <w:tcPr>
            <w:tcW w:w="504" w:type="pct"/>
            <w:shd w:val="clear" w:color="auto" w:fill="auto"/>
            <w:tcMar>
              <w:top w:w="110" w:type="dxa"/>
            </w:tcMar>
          </w:tcPr>
          <w:p w:rsidR="00FA0032" w:rsidRPr="000D6F9B" w:rsidRDefault="00FA0032" w:rsidP="00C61544">
            <w:pPr>
              <w:jc w:val="center"/>
              <w:rPr>
                <w:rFonts w:cs="Arial"/>
                <w:b/>
                <w:bCs/>
                <w:color w:val="FF0000"/>
                <w:sz w:val="16"/>
                <w:szCs w:val="16"/>
              </w:rPr>
            </w:pPr>
            <w:r w:rsidRPr="000D6F9B">
              <w:rPr>
                <w:b/>
                <w:color w:val="FF0000"/>
                <w:sz w:val="16"/>
                <w:szCs w:val="16"/>
              </w:rPr>
              <w:t>Не выполнено</w:t>
            </w:r>
          </w:p>
          <w:p w:rsidR="00FA0032" w:rsidRPr="000D6F9B" w:rsidRDefault="00FA0032" w:rsidP="00C61544">
            <w:pPr>
              <w:keepNext/>
              <w:keepLines/>
              <w:jc w:val="center"/>
              <w:rPr>
                <w:rFonts w:cs="Arial"/>
                <w:b/>
                <w:bCs/>
                <w:color w:val="FF0000"/>
                <w:sz w:val="16"/>
                <w:szCs w:val="16"/>
              </w:rPr>
            </w:pPr>
          </w:p>
          <w:p w:rsidR="00FA0032" w:rsidRPr="000D6F9B" w:rsidRDefault="00FA0032" w:rsidP="00C61544">
            <w:pPr>
              <w:jc w:val="center"/>
              <w:rPr>
                <w:sz w:val="16"/>
                <w:szCs w:val="16"/>
              </w:rPr>
            </w:pPr>
            <w:r w:rsidRPr="000D6F9B">
              <w:rPr>
                <w:b/>
                <w:color w:val="22DE4F"/>
                <w:sz w:val="16"/>
                <w:szCs w:val="16"/>
              </w:rPr>
              <w:t>Выполнено</w:t>
            </w:r>
          </w:p>
          <w:p w:rsidR="00FA0032" w:rsidRPr="000D6F9B" w:rsidRDefault="00FA0032" w:rsidP="00C61544">
            <w:pPr>
              <w:keepNext/>
              <w:keepLines/>
              <w:jc w:val="center"/>
              <w:rPr>
                <w:rFonts w:cs="Arial"/>
                <w:b/>
                <w:bCs/>
                <w:color w:val="FF0000"/>
                <w:sz w:val="16"/>
                <w:szCs w:val="16"/>
              </w:rPr>
            </w:pPr>
          </w:p>
        </w:tc>
      </w:tr>
      <w:tr w:rsidR="00FA0032" w:rsidRPr="000D6F9B" w:rsidTr="008320CF">
        <w:trPr>
          <w:cantSplit/>
        </w:trPr>
        <w:tc>
          <w:tcPr>
            <w:tcW w:w="1097" w:type="pct"/>
            <w:gridSpan w:val="2"/>
            <w:shd w:val="clear" w:color="auto" w:fill="auto"/>
          </w:tcPr>
          <w:p w:rsidR="00FA0032" w:rsidRPr="00FA0032" w:rsidRDefault="00FA0032" w:rsidP="00C61544">
            <w:pPr>
              <w:rPr>
                <w:rFonts w:cs="Arial"/>
                <w:sz w:val="16"/>
                <w:szCs w:val="16"/>
                <w:lang w:val="ru-RU"/>
              </w:rPr>
            </w:pPr>
            <w:r w:rsidRPr="00FA0032">
              <w:rPr>
                <w:sz w:val="16"/>
                <w:szCs w:val="16"/>
                <w:lang w:val="ru-RU"/>
              </w:rPr>
              <w:t>Доля (%) расходов, при осуществлении которых имела место кооперация с ООН (через организацию общих торгов или совместных закупок)</w:t>
            </w:r>
          </w:p>
        </w:tc>
        <w:tc>
          <w:tcPr>
            <w:tcW w:w="1237" w:type="pct"/>
            <w:gridSpan w:val="4"/>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 xml:space="preserve">г.:  </w:t>
            </w:r>
            <w:r w:rsidRPr="00FA0032">
              <w:rPr>
                <w:color w:val="002060"/>
                <w:sz w:val="16"/>
                <w:szCs w:val="16"/>
                <w:lang w:val="ru-RU"/>
              </w:rPr>
              <w:t xml:space="preserve">4% </w:t>
            </w:r>
          </w:p>
          <w:p w:rsidR="00FA0032" w:rsidRPr="00FA0032" w:rsidRDefault="00FA0032" w:rsidP="00C61544">
            <w:pPr>
              <w:rPr>
                <w:rFonts w:cs="Arial"/>
                <w:i/>
                <w:sz w:val="16"/>
                <w:szCs w:val="16"/>
                <w:lang w:val="ru-RU"/>
              </w:rPr>
            </w:pPr>
          </w:p>
          <w:p w:rsidR="00FA0032" w:rsidRPr="00FA0032" w:rsidRDefault="00FA0032" w:rsidP="00C61544">
            <w:pPr>
              <w:rPr>
                <w:rFonts w:cstheme="minorBidi"/>
                <w:sz w:val="16"/>
                <w:szCs w:val="16"/>
                <w:lang w:val="ru-RU"/>
              </w:rPr>
            </w:pPr>
            <w:r w:rsidRPr="00FA0032">
              <w:rPr>
                <w:i/>
                <w:sz w:val="16"/>
                <w:szCs w:val="16"/>
                <w:lang w:val="ru-RU"/>
              </w:rPr>
              <w:t xml:space="preserve">Исходные базовые показатели ПиБ на 2014–2015 гг.: </w:t>
            </w:r>
            <w:r w:rsidRPr="00FA0032">
              <w:rPr>
                <w:sz w:val="16"/>
                <w:szCs w:val="16"/>
                <w:lang w:val="ru-RU"/>
              </w:rPr>
              <w:t>результат за 2013</w:t>
            </w:r>
            <w:r w:rsidRPr="000D6F9B">
              <w:rPr>
                <w:sz w:val="16"/>
                <w:szCs w:val="16"/>
              </w:rPr>
              <w:t> </w:t>
            </w:r>
            <w:r w:rsidRPr="00FA0032">
              <w:rPr>
                <w:sz w:val="16"/>
                <w:szCs w:val="16"/>
                <w:lang w:val="ru-RU"/>
              </w:rPr>
              <w:t>г.</w:t>
            </w:r>
          </w:p>
        </w:tc>
        <w:tc>
          <w:tcPr>
            <w:tcW w:w="780" w:type="pct"/>
            <w:gridSpan w:val="2"/>
            <w:shd w:val="clear" w:color="auto" w:fill="auto"/>
            <w:tcMar>
              <w:top w:w="110" w:type="dxa"/>
            </w:tcMar>
          </w:tcPr>
          <w:p w:rsidR="00FA0032" w:rsidRPr="00FA0032" w:rsidRDefault="00FA0032" w:rsidP="00C61544">
            <w:pPr>
              <w:rPr>
                <w:color w:val="002060"/>
                <w:sz w:val="16"/>
                <w:szCs w:val="16"/>
                <w:lang w:val="ru-RU"/>
              </w:rPr>
            </w:pPr>
            <w:r w:rsidRPr="00FA0032">
              <w:rPr>
                <w:color w:val="002060"/>
                <w:sz w:val="16"/>
                <w:szCs w:val="16"/>
                <w:lang w:val="ru-RU"/>
              </w:rPr>
              <w:t xml:space="preserve">Установленный целевой показатель: 4% </w:t>
            </w: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будет определено позднее.</w:t>
            </w:r>
          </w:p>
          <w:p w:rsidR="00FA0032" w:rsidRPr="00FA0032" w:rsidRDefault="00FA0032" w:rsidP="00C61544">
            <w:pPr>
              <w:rPr>
                <w:rFonts w:cstheme="minorBidi"/>
                <w:sz w:val="16"/>
                <w:szCs w:val="16"/>
                <w:lang w:val="ru-RU"/>
              </w:rPr>
            </w:pPr>
          </w:p>
        </w:tc>
        <w:tc>
          <w:tcPr>
            <w:tcW w:w="1382" w:type="pct"/>
            <w:shd w:val="clear" w:color="auto" w:fill="FFFFFF"/>
            <w:tcMar>
              <w:top w:w="110" w:type="dxa"/>
            </w:tcMar>
          </w:tcPr>
          <w:p w:rsidR="00FA0032" w:rsidRPr="000D6F9B" w:rsidRDefault="00FA0032" w:rsidP="00C61544">
            <w:pPr>
              <w:rPr>
                <w:rFonts w:cs="Arial"/>
                <w:sz w:val="16"/>
                <w:szCs w:val="16"/>
              </w:rPr>
            </w:pPr>
            <w:r w:rsidRPr="000D6F9B">
              <w:rPr>
                <w:sz w:val="16"/>
                <w:szCs w:val="16"/>
              </w:rPr>
              <w:t>2014 г.: 4,15%</w:t>
            </w:r>
          </w:p>
          <w:p w:rsidR="00FA0032" w:rsidRPr="000D6F9B" w:rsidRDefault="00FA0032" w:rsidP="00C61544">
            <w:pPr>
              <w:rPr>
                <w:rFonts w:cs="Arial"/>
                <w:sz w:val="16"/>
                <w:szCs w:val="16"/>
              </w:rPr>
            </w:pPr>
            <w:r w:rsidRPr="000D6F9B">
              <w:rPr>
                <w:sz w:val="16"/>
                <w:szCs w:val="16"/>
              </w:rPr>
              <w:t>2015 г.: 5,8%</w:t>
            </w:r>
          </w:p>
        </w:tc>
        <w:tc>
          <w:tcPr>
            <w:tcW w:w="504" w:type="pct"/>
            <w:shd w:val="clear" w:color="auto" w:fill="auto"/>
          </w:tcPr>
          <w:p w:rsidR="00FA0032" w:rsidRPr="000D6F9B" w:rsidRDefault="00FA0032" w:rsidP="00C61544">
            <w:pPr>
              <w:jc w:val="center"/>
              <w:rPr>
                <w:sz w:val="16"/>
                <w:szCs w:val="16"/>
              </w:rPr>
            </w:pPr>
            <w:r w:rsidRPr="000D6F9B">
              <w:rPr>
                <w:b/>
                <w:color w:val="22DE4F"/>
                <w:sz w:val="16"/>
                <w:szCs w:val="16"/>
              </w:rPr>
              <w:t>Выполнено</w:t>
            </w:r>
          </w:p>
          <w:p w:rsidR="00FA0032" w:rsidRPr="000D6F9B" w:rsidRDefault="00FA0032" w:rsidP="00C61544">
            <w:pPr>
              <w:keepNext/>
              <w:keepLines/>
              <w:jc w:val="center"/>
              <w:rPr>
                <w:rFonts w:cs="Arial"/>
                <w:b/>
                <w:bCs/>
                <w:color w:val="22DE4F"/>
                <w:sz w:val="16"/>
                <w:szCs w:val="16"/>
              </w:rPr>
            </w:pPr>
          </w:p>
        </w:tc>
      </w:tr>
      <w:tr w:rsidR="00FA0032" w:rsidRPr="005C6ABD" w:rsidTr="00C61544">
        <w:trPr>
          <w:cantSplit/>
        </w:trPr>
        <w:tc>
          <w:tcPr>
            <w:tcW w:w="5000" w:type="pct"/>
            <w:gridSpan w:val="10"/>
            <w:tcBorders>
              <w:top w:val="single" w:sz="4" w:space="0" w:color="auto"/>
              <w:bottom w:val="single" w:sz="4" w:space="0" w:color="auto"/>
            </w:tcBorders>
            <w:shd w:val="clear" w:color="auto" w:fill="C6D9F1" w:themeFill="text2" w:themeFillTint="33"/>
            <w:vAlign w:val="center"/>
          </w:tcPr>
          <w:p w:rsidR="00FA0032" w:rsidRPr="00FA0032" w:rsidRDefault="00FA0032" w:rsidP="00B655FE">
            <w:pPr>
              <w:keepNext/>
              <w:keepLines/>
              <w:tabs>
                <w:tab w:val="left" w:pos="2302"/>
              </w:tabs>
              <w:spacing w:before="120" w:after="120"/>
              <w:ind w:left="2302" w:hanging="2302"/>
              <w:rPr>
                <w:rFonts w:cs="Arial"/>
                <w:b/>
                <w:bCs/>
                <w:sz w:val="16"/>
                <w:szCs w:val="16"/>
                <w:lang w:val="ru-RU"/>
              </w:rPr>
            </w:pPr>
            <w:r w:rsidRPr="00FA0032">
              <w:rPr>
                <w:b/>
                <w:sz w:val="16"/>
                <w:szCs w:val="16"/>
                <w:lang w:val="ru-RU"/>
              </w:rPr>
              <w:t xml:space="preserve">Ожидаемый результат: </w:t>
            </w:r>
            <w:r w:rsidRPr="00FA0032">
              <w:rPr>
                <w:sz w:val="16"/>
                <w:szCs w:val="16"/>
                <w:lang w:val="ru-RU"/>
              </w:rPr>
              <w:tab/>
            </w:r>
            <w:r w:rsidRPr="000D6F9B">
              <w:rPr>
                <w:sz w:val="16"/>
                <w:szCs w:val="16"/>
              </w:rPr>
              <w:t>IX</w:t>
            </w:r>
            <w:r w:rsidRPr="00FA0032">
              <w:rPr>
                <w:sz w:val="16"/>
                <w:szCs w:val="16"/>
                <w:lang w:val="ru-RU"/>
              </w:rPr>
              <w:t>.1. Эффективные, действенные, качественные и о</w:t>
            </w:r>
            <w:r w:rsidR="00B655FE">
              <w:rPr>
                <w:sz w:val="16"/>
                <w:szCs w:val="16"/>
                <w:lang w:val="ru-RU"/>
              </w:rPr>
              <w:t>риентированные на пользователя</w:t>
            </w:r>
            <w:r w:rsidRPr="00FA0032">
              <w:rPr>
                <w:sz w:val="16"/>
                <w:szCs w:val="16"/>
                <w:lang w:val="ru-RU"/>
              </w:rPr>
              <w:t>вспомогательные услуги, предоставляемые как внут</w:t>
            </w:r>
            <w:r w:rsidR="00B655FE">
              <w:rPr>
                <w:sz w:val="16"/>
                <w:szCs w:val="16"/>
                <w:lang w:val="ru-RU"/>
              </w:rPr>
              <w:t xml:space="preserve">ренним клиентам, так и внешним </w:t>
            </w:r>
            <w:r w:rsidRPr="00FA0032">
              <w:rPr>
                <w:sz w:val="16"/>
                <w:szCs w:val="16"/>
                <w:lang w:val="ru-RU"/>
              </w:rPr>
              <w:t>заинтересованным сторонам</w:t>
            </w:r>
          </w:p>
        </w:tc>
      </w:tr>
      <w:tr w:rsidR="00FA0032" w:rsidRPr="000D6F9B" w:rsidTr="008320CF">
        <w:trPr>
          <w:cantSplit/>
        </w:trPr>
        <w:tc>
          <w:tcPr>
            <w:tcW w:w="1097" w:type="pct"/>
            <w:gridSpan w:val="2"/>
            <w:tcBorders>
              <w:top w:val="single" w:sz="4" w:space="0" w:color="auto"/>
            </w:tcBorders>
            <w:shd w:val="clear" w:color="auto" w:fill="auto"/>
            <w:vAlign w:val="center"/>
          </w:tcPr>
          <w:p w:rsidR="00FA0032" w:rsidRPr="000D6F9B" w:rsidRDefault="00FA0032" w:rsidP="00C61544">
            <w:pPr>
              <w:keepNext/>
              <w:keepLines/>
              <w:rPr>
                <w:rFonts w:cs="Arial"/>
                <w:sz w:val="16"/>
                <w:szCs w:val="16"/>
              </w:rPr>
            </w:pPr>
            <w:r w:rsidRPr="000D6F9B">
              <w:rPr>
                <w:b/>
                <w:sz w:val="16"/>
                <w:szCs w:val="16"/>
              </w:rPr>
              <w:t>Показатели результативности</w:t>
            </w:r>
          </w:p>
        </w:tc>
        <w:tc>
          <w:tcPr>
            <w:tcW w:w="1237" w:type="pct"/>
            <w:gridSpan w:val="4"/>
            <w:tcBorders>
              <w:top w:val="single" w:sz="4" w:space="0" w:color="auto"/>
            </w:tcBorders>
            <w:shd w:val="clear" w:color="auto" w:fill="auto"/>
            <w:vAlign w:val="center"/>
          </w:tcPr>
          <w:p w:rsidR="00FA0032" w:rsidRPr="000D6F9B" w:rsidRDefault="00FA0032" w:rsidP="00C61544">
            <w:pPr>
              <w:keepNext/>
              <w:keepLines/>
              <w:rPr>
                <w:rFonts w:cs="Arial"/>
                <w:b/>
                <w:bCs/>
                <w:sz w:val="16"/>
                <w:szCs w:val="16"/>
              </w:rPr>
            </w:pPr>
            <w:r w:rsidRPr="000D6F9B">
              <w:rPr>
                <w:b/>
                <w:sz w:val="16"/>
                <w:szCs w:val="16"/>
              </w:rPr>
              <w:t>Базовые показатели</w:t>
            </w:r>
          </w:p>
        </w:tc>
        <w:tc>
          <w:tcPr>
            <w:tcW w:w="780" w:type="pct"/>
            <w:gridSpan w:val="2"/>
            <w:tcBorders>
              <w:top w:val="single" w:sz="4" w:space="0" w:color="auto"/>
            </w:tcBorders>
            <w:shd w:val="clear" w:color="auto" w:fill="auto"/>
            <w:tcMar>
              <w:top w:w="110" w:type="dxa"/>
            </w:tcMar>
            <w:vAlign w:val="center"/>
          </w:tcPr>
          <w:p w:rsidR="00FA0032" w:rsidRPr="000D6F9B" w:rsidRDefault="00FA0032" w:rsidP="00C61544">
            <w:pPr>
              <w:keepNext/>
              <w:keepLines/>
              <w:rPr>
                <w:rFonts w:cs="Arial"/>
                <w:b/>
                <w:sz w:val="16"/>
                <w:szCs w:val="16"/>
              </w:rPr>
            </w:pPr>
            <w:r w:rsidRPr="000D6F9B">
              <w:rPr>
                <w:b/>
                <w:sz w:val="16"/>
                <w:szCs w:val="16"/>
              </w:rPr>
              <w:t>Цели</w:t>
            </w:r>
          </w:p>
        </w:tc>
        <w:tc>
          <w:tcPr>
            <w:tcW w:w="1382" w:type="pct"/>
            <w:tcBorders>
              <w:top w:val="single" w:sz="4" w:space="0" w:color="auto"/>
            </w:tcBorders>
            <w:shd w:val="clear" w:color="auto" w:fill="FFFFFF"/>
            <w:tcMar>
              <w:top w:w="110" w:type="dxa"/>
            </w:tcMar>
            <w:vAlign w:val="center"/>
          </w:tcPr>
          <w:p w:rsidR="00FA0032" w:rsidRPr="000D6F9B" w:rsidRDefault="00FA0032" w:rsidP="00C61544">
            <w:pPr>
              <w:keepNext/>
              <w:keepLines/>
              <w:rPr>
                <w:rFonts w:cs="Arial"/>
                <w:sz w:val="16"/>
                <w:szCs w:val="16"/>
              </w:rPr>
            </w:pPr>
            <w:r w:rsidRPr="000D6F9B">
              <w:rPr>
                <w:b/>
                <w:sz w:val="16"/>
                <w:szCs w:val="16"/>
              </w:rPr>
              <w:t>Данные о результативности</w:t>
            </w:r>
          </w:p>
        </w:tc>
        <w:tc>
          <w:tcPr>
            <w:tcW w:w="504" w:type="pct"/>
            <w:tcBorders>
              <w:top w:val="single" w:sz="4" w:space="0" w:color="auto"/>
            </w:tcBorders>
            <w:shd w:val="clear" w:color="auto" w:fill="auto"/>
            <w:tcMar>
              <w:top w:w="110" w:type="dxa"/>
            </w:tcMar>
            <w:vAlign w:val="center"/>
          </w:tcPr>
          <w:p w:rsidR="00FA0032" w:rsidRPr="000D6F9B" w:rsidRDefault="00FA0032" w:rsidP="00C61544">
            <w:pPr>
              <w:keepNext/>
              <w:keepLines/>
              <w:jc w:val="center"/>
              <w:rPr>
                <w:rFonts w:cs="Arial"/>
                <w:b/>
                <w:bCs/>
                <w:sz w:val="16"/>
                <w:szCs w:val="16"/>
              </w:rPr>
            </w:pPr>
            <w:r w:rsidRPr="000D6F9B">
              <w:rPr>
                <w:b/>
                <w:sz w:val="16"/>
                <w:szCs w:val="16"/>
              </w:rPr>
              <w:t>CC</w:t>
            </w:r>
          </w:p>
        </w:tc>
      </w:tr>
      <w:tr w:rsidR="00FA0032" w:rsidRPr="000D6F9B" w:rsidTr="008320CF">
        <w:trPr>
          <w:cantSplit/>
        </w:trPr>
        <w:tc>
          <w:tcPr>
            <w:tcW w:w="1097" w:type="pct"/>
            <w:gridSpan w:val="2"/>
            <w:shd w:val="clear" w:color="auto" w:fill="auto"/>
          </w:tcPr>
          <w:p w:rsidR="00FA0032" w:rsidRPr="00FA0032" w:rsidRDefault="00FA0032" w:rsidP="00C61544">
            <w:pPr>
              <w:keepNext/>
              <w:keepLines/>
              <w:rPr>
                <w:rFonts w:cs="Arial"/>
                <w:sz w:val="16"/>
                <w:szCs w:val="16"/>
                <w:lang w:val="ru-RU"/>
              </w:rPr>
            </w:pPr>
            <w:r w:rsidRPr="00FA0032">
              <w:rPr>
                <w:sz w:val="16"/>
                <w:szCs w:val="16"/>
                <w:lang w:val="ru-RU"/>
              </w:rPr>
              <w:t>Экономия средств на закупку товаров и услуг ВОИС (за счет ЗПП или прямых переговоров)</w:t>
            </w:r>
          </w:p>
        </w:tc>
        <w:tc>
          <w:tcPr>
            <w:tcW w:w="1237" w:type="pct"/>
            <w:gridSpan w:val="4"/>
            <w:shd w:val="clear" w:color="auto" w:fill="auto"/>
          </w:tcPr>
          <w:p w:rsidR="00FA0032" w:rsidRPr="00FA0032" w:rsidRDefault="00FA0032" w:rsidP="00C61544">
            <w:pPr>
              <w:keepNext/>
              <w:keepLines/>
              <w:rPr>
                <w:color w:val="002060"/>
                <w:sz w:val="16"/>
                <w:szCs w:val="16"/>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г.:</w:t>
            </w:r>
            <w:r w:rsidRPr="00FA0032">
              <w:rPr>
                <w:sz w:val="16"/>
                <w:szCs w:val="16"/>
                <w:lang w:val="ru-RU"/>
              </w:rPr>
              <w:t xml:space="preserve"> </w:t>
            </w:r>
            <w:r w:rsidRPr="00FA0032">
              <w:rPr>
                <w:color w:val="002060"/>
                <w:sz w:val="16"/>
                <w:szCs w:val="16"/>
                <w:lang w:val="ru-RU"/>
              </w:rPr>
              <w:t>531</w:t>
            </w:r>
            <w:r w:rsidRPr="000D6F9B">
              <w:rPr>
                <w:color w:val="002060"/>
                <w:sz w:val="16"/>
                <w:szCs w:val="16"/>
              </w:rPr>
              <w:t> </w:t>
            </w:r>
            <w:r w:rsidRPr="00FA0032">
              <w:rPr>
                <w:color w:val="002060"/>
                <w:sz w:val="16"/>
                <w:szCs w:val="16"/>
                <w:lang w:val="ru-RU"/>
              </w:rPr>
              <w:t xml:space="preserve">000 шв. франков </w:t>
            </w:r>
          </w:p>
          <w:p w:rsidR="00FA0032" w:rsidRPr="00FA0032" w:rsidRDefault="00FA0032" w:rsidP="00C61544">
            <w:pPr>
              <w:keepNext/>
              <w:keepLines/>
              <w:rPr>
                <w:rFonts w:cstheme="minorBidi"/>
                <w:color w:val="002060"/>
                <w:sz w:val="16"/>
                <w:szCs w:val="16"/>
                <w:lang w:val="ru-RU"/>
              </w:rPr>
            </w:pPr>
          </w:p>
          <w:p w:rsidR="00FA0032" w:rsidRPr="00FA0032" w:rsidRDefault="00FA0032" w:rsidP="00C61544">
            <w:pPr>
              <w:keepNext/>
              <w:keepLines/>
              <w:rPr>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результат за 2013</w:t>
            </w:r>
            <w:r w:rsidRPr="000D6F9B">
              <w:rPr>
                <w:sz w:val="16"/>
                <w:szCs w:val="16"/>
              </w:rPr>
              <w:t> </w:t>
            </w:r>
            <w:r w:rsidRPr="00FA0032">
              <w:rPr>
                <w:sz w:val="16"/>
                <w:szCs w:val="16"/>
                <w:lang w:val="ru-RU"/>
              </w:rPr>
              <w:t>г.</w:t>
            </w:r>
          </w:p>
          <w:p w:rsidR="00FA0032" w:rsidRPr="00FA0032" w:rsidRDefault="00FA0032" w:rsidP="00C61544">
            <w:pPr>
              <w:keepNext/>
              <w:keepLines/>
              <w:rPr>
                <w:rFonts w:cstheme="minorBidi"/>
                <w:sz w:val="16"/>
                <w:szCs w:val="16"/>
                <w:lang w:val="ru-RU"/>
              </w:rPr>
            </w:pPr>
          </w:p>
        </w:tc>
        <w:tc>
          <w:tcPr>
            <w:tcW w:w="780" w:type="pct"/>
            <w:gridSpan w:val="2"/>
            <w:shd w:val="clear" w:color="auto" w:fill="auto"/>
            <w:tcMar>
              <w:top w:w="110" w:type="dxa"/>
            </w:tcMar>
          </w:tcPr>
          <w:p w:rsidR="00FA0032" w:rsidRPr="000D6F9B" w:rsidRDefault="00FA0032" w:rsidP="00C61544">
            <w:pPr>
              <w:keepNext/>
              <w:keepLines/>
              <w:rPr>
                <w:rFonts w:cs="Arial"/>
                <w:sz w:val="16"/>
                <w:szCs w:val="16"/>
              </w:rPr>
            </w:pPr>
            <w:r w:rsidRPr="000D6F9B">
              <w:rPr>
                <w:sz w:val="16"/>
                <w:szCs w:val="16"/>
              </w:rPr>
              <w:t>Результат за 2013 г. + 5%</w:t>
            </w:r>
          </w:p>
        </w:tc>
        <w:tc>
          <w:tcPr>
            <w:tcW w:w="1382" w:type="pct"/>
            <w:shd w:val="clear" w:color="auto" w:fill="FFFFFF"/>
            <w:tcMar>
              <w:top w:w="110" w:type="dxa"/>
            </w:tcMar>
          </w:tcPr>
          <w:p w:rsidR="00FA0032" w:rsidRPr="00FA0032" w:rsidRDefault="00FA0032" w:rsidP="00C61544">
            <w:pPr>
              <w:keepNext/>
              <w:keepLines/>
              <w:rPr>
                <w:rFonts w:cs="Arial"/>
                <w:sz w:val="16"/>
                <w:szCs w:val="16"/>
                <w:lang w:val="ru-RU"/>
              </w:rPr>
            </w:pPr>
            <w:r w:rsidRPr="00FA0032">
              <w:rPr>
                <w:sz w:val="16"/>
                <w:szCs w:val="16"/>
                <w:lang w:val="ru-RU"/>
              </w:rPr>
              <w:t>2</w:t>
            </w:r>
            <w:r w:rsidRPr="000D6F9B">
              <w:rPr>
                <w:sz w:val="16"/>
                <w:szCs w:val="16"/>
              </w:rPr>
              <w:t> </w:t>
            </w:r>
            <w:r w:rsidRPr="00FA0032">
              <w:rPr>
                <w:sz w:val="16"/>
                <w:szCs w:val="16"/>
                <w:lang w:val="ru-RU"/>
              </w:rPr>
              <w:t>663</w:t>
            </w:r>
            <w:r w:rsidRPr="000D6F9B">
              <w:rPr>
                <w:sz w:val="16"/>
                <w:szCs w:val="16"/>
              </w:rPr>
              <w:t> </w:t>
            </w:r>
            <w:r w:rsidRPr="00FA0032">
              <w:rPr>
                <w:sz w:val="16"/>
                <w:szCs w:val="16"/>
                <w:lang w:val="ru-RU"/>
              </w:rPr>
              <w:t>000 шв. франка (2014</w:t>
            </w:r>
            <w:r>
              <w:rPr>
                <w:sz w:val="16"/>
                <w:szCs w:val="16"/>
              </w:rPr>
              <w:t> </w:t>
            </w:r>
            <w:r w:rsidRPr="00FA0032">
              <w:rPr>
                <w:sz w:val="16"/>
                <w:szCs w:val="16"/>
                <w:lang w:val="ru-RU"/>
              </w:rPr>
              <w:t>г.)</w:t>
            </w:r>
          </w:p>
          <w:p w:rsidR="00FA0032" w:rsidRPr="00FA0032" w:rsidRDefault="00FA0032" w:rsidP="00C61544">
            <w:pPr>
              <w:keepNext/>
              <w:keepLines/>
              <w:rPr>
                <w:rFonts w:cs="Arial"/>
                <w:sz w:val="16"/>
                <w:szCs w:val="16"/>
                <w:lang w:val="ru-RU"/>
              </w:rPr>
            </w:pPr>
          </w:p>
          <w:p w:rsidR="00FA0032" w:rsidRPr="00FA0032" w:rsidRDefault="00FA0032" w:rsidP="00C61544">
            <w:pPr>
              <w:keepNext/>
              <w:keepLines/>
              <w:rPr>
                <w:rFonts w:cs="Arial"/>
                <w:sz w:val="16"/>
                <w:szCs w:val="16"/>
                <w:lang w:val="ru-RU"/>
              </w:rPr>
            </w:pPr>
            <w:r w:rsidRPr="00FA0032">
              <w:rPr>
                <w:sz w:val="16"/>
                <w:szCs w:val="16"/>
                <w:lang w:val="ru-RU"/>
              </w:rPr>
              <w:t>3</w:t>
            </w:r>
            <w:r w:rsidRPr="000D6F9B">
              <w:rPr>
                <w:sz w:val="16"/>
                <w:szCs w:val="16"/>
              </w:rPr>
              <w:t> </w:t>
            </w:r>
            <w:r w:rsidRPr="00FA0032">
              <w:rPr>
                <w:sz w:val="16"/>
                <w:szCs w:val="16"/>
                <w:lang w:val="ru-RU"/>
              </w:rPr>
              <w:t>826</w:t>
            </w:r>
            <w:r w:rsidRPr="000D6F9B">
              <w:rPr>
                <w:sz w:val="16"/>
                <w:szCs w:val="16"/>
              </w:rPr>
              <w:t> </w:t>
            </w:r>
            <w:r w:rsidRPr="00FA0032">
              <w:rPr>
                <w:sz w:val="16"/>
                <w:szCs w:val="16"/>
                <w:lang w:val="ru-RU"/>
              </w:rPr>
              <w:t>361 шв. франка (2015</w:t>
            </w:r>
            <w:r>
              <w:rPr>
                <w:sz w:val="16"/>
                <w:szCs w:val="16"/>
              </w:rPr>
              <w:t> </w:t>
            </w:r>
            <w:r w:rsidRPr="00FA0032">
              <w:rPr>
                <w:sz w:val="16"/>
                <w:szCs w:val="16"/>
                <w:lang w:val="ru-RU"/>
              </w:rPr>
              <w:t>г.)</w:t>
            </w:r>
          </w:p>
        </w:tc>
        <w:tc>
          <w:tcPr>
            <w:tcW w:w="504" w:type="pct"/>
            <w:shd w:val="clear" w:color="auto" w:fill="auto"/>
            <w:tcMar>
              <w:top w:w="110" w:type="dxa"/>
            </w:tcMar>
          </w:tcPr>
          <w:p w:rsidR="00FA0032" w:rsidRPr="000D6F9B" w:rsidRDefault="00FA0032" w:rsidP="00C61544">
            <w:pPr>
              <w:keepNext/>
              <w:keepLines/>
              <w:jc w:val="center"/>
              <w:rPr>
                <w:rFonts w:cs="Arial"/>
                <w:b/>
                <w:bCs/>
                <w:color w:val="00B050"/>
                <w:sz w:val="16"/>
                <w:szCs w:val="16"/>
              </w:rPr>
            </w:pPr>
            <w:r w:rsidRPr="000D6F9B">
              <w:rPr>
                <w:b/>
                <w:color w:val="00B050"/>
                <w:sz w:val="16"/>
                <w:szCs w:val="16"/>
              </w:rPr>
              <w:t>Выполнено</w:t>
            </w:r>
          </w:p>
        </w:tc>
      </w:tr>
      <w:tr w:rsidR="00FA0032" w:rsidRPr="000D6F9B" w:rsidTr="008320CF">
        <w:trPr>
          <w:cantSplit/>
        </w:trPr>
        <w:tc>
          <w:tcPr>
            <w:tcW w:w="1097" w:type="pct"/>
            <w:gridSpan w:val="2"/>
            <w:shd w:val="clear" w:color="auto" w:fill="auto"/>
          </w:tcPr>
          <w:p w:rsidR="00FA0032" w:rsidRPr="00FA0032" w:rsidRDefault="00FA0032" w:rsidP="00C61544">
            <w:pPr>
              <w:rPr>
                <w:rFonts w:cs="Arial"/>
                <w:sz w:val="16"/>
                <w:szCs w:val="16"/>
                <w:lang w:val="ru-RU"/>
              </w:rPr>
            </w:pPr>
            <w:r w:rsidRPr="00FA0032">
              <w:rPr>
                <w:sz w:val="16"/>
                <w:szCs w:val="16"/>
                <w:lang w:val="ru-RU"/>
              </w:rPr>
              <w:t>Доля (%) внутренних клиентов, удовлетворенных работой служб закупки</w:t>
            </w:r>
          </w:p>
        </w:tc>
        <w:tc>
          <w:tcPr>
            <w:tcW w:w="1237" w:type="pct"/>
            <w:gridSpan w:val="4"/>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 xml:space="preserve">г.: </w:t>
            </w:r>
            <w:r w:rsidRPr="00FA0032">
              <w:rPr>
                <w:color w:val="002060"/>
                <w:sz w:val="16"/>
                <w:szCs w:val="16"/>
                <w:lang w:val="ru-RU"/>
              </w:rPr>
              <w:t xml:space="preserve">73% </w:t>
            </w:r>
          </w:p>
          <w:p w:rsidR="00FA0032" w:rsidRPr="00FA0032" w:rsidRDefault="00FA0032" w:rsidP="00C61544">
            <w:pPr>
              <w:rPr>
                <w:rFonts w:cstheme="minorBidi"/>
                <w:color w:val="002060"/>
                <w:sz w:val="16"/>
                <w:szCs w:val="16"/>
                <w:lang w:val="ru-RU"/>
              </w:rPr>
            </w:pPr>
          </w:p>
          <w:p w:rsidR="00FA0032" w:rsidRPr="00FA0032" w:rsidRDefault="00FA0032" w:rsidP="00C61544">
            <w:pPr>
              <w:rPr>
                <w:sz w:val="16"/>
                <w:szCs w:val="16"/>
                <w:lang w:val="ru-RU"/>
              </w:rPr>
            </w:pPr>
            <w:r w:rsidRPr="00FA0032">
              <w:rPr>
                <w:i/>
                <w:sz w:val="16"/>
                <w:szCs w:val="16"/>
                <w:lang w:val="ru-RU"/>
              </w:rPr>
              <w:t xml:space="preserve">Исходные базовые показатели ПиБ на 2014–2015 гг.:  </w:t>
            </w:r>
            <w:r w:rsidRPr="00FA0032">
              <w:rPr>
                <w:sz w:val="16"/>
                <w:szCs w:val="16"/>
                <w:lang w:val="ru-RU"/>
              </w:rPr>
              <w:t>результат за 2012</w:t>
            </w:r>
            <w:r w:rsidRPr="000D6F9B">
              <w:rPr>
                <w:sz w:val="16"/>
                <w:szCs w:val="16"/>
              </w:rPr>
              <w:t> </w:t>
            </w:r>
            <w:r w:rsidRPr="00FA0032">
              <w:rPr>
                <w:sz w:val="16"/>
                <w:szCs w:val="16"/>
                <w:lang w:val="ru-RU"/>
              </w:rPr>
              <w:t>г.</w:t>
            </w:r>
          </w:p>
        </w:tc>
        <w:tc>
          <w:tcPr>
            <w:tcW w:w="780" w:type="pct"/>
            <w:gridSpan w:val="2"/>
            <w:shd w:val="clear" w:color="auto" w:fill="auto"/>
            <w:tcMar>
              <w:top w:w="110" w:type="dxa"/>
            </w:tcMar>
          </w:tcPr>
          <w:p w:rsidR="00FA0032" w:rsidRPr="000D6F9B" w:rsidRDefault="00FA0032" w:rsidP="00C61544">
            <w:pPr>
              <w:rPr>
                <w:rFonts w:cs="Arial"/>
                <w:sz w:val="16"/>
                <w:szCs w:val="16"/>
              </w:rPr>
            </w:pPr>
            <w:r w:rsidRPr="000D6F9B">
              <w:rPr>
                <w:sz w:val="16"/>
                <w:szCs w:val="16"/>
              </w:rPr>
              <w:t>Результат за 2012 г. + 5%</w:t>
            </w:r>
          </w:p>
        </w:tc>
        <w:tc>
          <w:tcPr>
            <w:tcW w:w="1382" w:type="pct"/>
            <w:shd w:val="clear" w:color="auto" w:fill="FFFFFF"/>
            <w:tcMar>
              <w:top w:w="110" w:type="dxa"/>
            </w:tcMar>
          </w:tcPr>
          <w:p w:rsidR="00FA0032" w:rsidRPr="000D6F9B" w:rsidRDefault="00FA0032" w:rsidP="00C61544">
            <w:pPr>
              <w:rPr>
                <w:rFonts w:cs="Arial"/>
                <w:sz w:val="16"/>
                <w:szCs w:val="16"/>
              </w:rPr>
            </w:pPr>
            <w:r w:rsidRPr="000D6F9B">
              <w:rPr>
                <w:sz w:val="16"/>
                <w:szCs w:val="16"/>
              </w:rPr>
              <w:t xml:space="preserve">89% </w:t>
            </w:r>
          </w:p>
        </w:tc>
        <w:tc>
          <w:tcPr>
            <w:tcW w:w="504" w:type="pct"/>
            <w:shd w:val="clear" w:color="auto" w:fill="auto"/>
            <w:tcMar>
              <w:top w:w="110" w:type="dxa"/>
            </w:tcMar>
          </w:tcPr>
          <w:p w:rsidR="00FA0032" w:rsidRPr="000D6F9B" w:rsidRDefault="00FA0032" w:rsidP="00C61544">
            <w:pPr>
              <w:keepNext/>
              <w:keepLines/>
              <w:jc w:val="center"/>
              <w:rPr>
                <w:rFonts w:cs="Arial"/>
                <w:b/>
                <w:bCs/>
                <w:color w:val="00B050"/>
                <w:sz w:val="16"/>
                <w:szCs w:val="16"/>
              </w:rPr>
            </w:pPr>
            <w:r w:rsidRPr="000D6F9B">
              <w:rPr>
                <w:b/>
                <w:color w:val="00B050"/>
                <w:sz w:val="16"/>
                <w:szCs w:val="16"/>
              </w:rPr>
              <w:t>Выполнено</w:t>
            </w:r>
          </w:p>
        </w:tc>
      </w:tr>
      <w:tr w:rsidR="00FA0032" w:rsidRPr="000D6F9B" w:rsidTr="008320CF">
        <w:trPr>
          <w:cantSplit/>
        </w:trPr>
        <w:tc>
          <w:tcPr>
            <w:tcW w:w="1097" w:type="pct"/>
            <w:gridSpan w:val="2"/>
            <w:shd w:val="clear" w:color="auto" w:fill="auto"/>
          </w:tcPr>
          <w:p w:rsidR="00FA0032" w:rsidRPr="00FA0032" w:rsidRDefault="00FA0032" w:rsidP="00C61544">
            <w:pPr>
              <w:rPr>
                <w:rFonts w:cs="Arial"/>
                <w:sz w:val="16"/>
                <w:szCs w:val="16"/>
                <w:lang w:val="ru-RU"/>
              </w:rPr>
            </w:pPr>
            <w:r w:rsidRPr="00FA0032">
              <w:rPr>
                <w:sz w:val="16"/>
                <w:szCs w:val="16"/>
                <w:lang w:val="ru-RU"/>
              </w:rPr>
              <w:t xml:space="preserve">Время обработки связанных с поездками запросов (формы </w:t>
            </w:r>
            <w:r w:rsidRPr="000D6F9B">
              <w:rPr>
                <w:sz w:val="16"/>
                <w:szCs w:val="16"/>
              </w:rPr>
              <w:t>eTA</w:t>
            </w:r>
            <w:r w:rsidRPr="00FA0032">
              <w:rPr>
                <w:sz w:val="16"/>
                <w:szCs w:val="16"/>
                <w:lang w:val="ru-RU"/>
              </w:rPr>
              <w:t xml:space="preserve"> и </w:t>
            </w:r>
            <w:r w:rsidRPr="000D6F9B">
              <w:rPr>
                <w:sz w:val="16"/>
                <w:szCs w:val="16"/>
              </w:rPr>
              <w:t>ER</w:t>
            </w:r>
            <w:r w:rsidRPr="00FA0032">
              <w:rPr>
                <w:sz w:val="16"/>
                <w:szCs w:val="16"/>
                <w:lang w:val="ru-RU"/>
              </w:rPr>
              <w:t>, визы)</w:t>
            </w:r>
          </w:p>
        </w:tc>
        <w:tc>
          <w:tcPr>
            <w:tcW w:w="1237" w:type="pct"/>
            <w:gridSpan w:val="4"/>
            <w:shd w:val="clear" w:color="auto" w:fill="auto"/>
          </w:tcPr>
          <w:p w:rsidR="00FA0032" w:rsidRPr="00FA0032" w:rsidRDefault="00FA0032" w:rsidP="00C61544">
            <w:pPr>
              <w:rPr>
                <w:rFonts w:cs="Arial"/>
                <w:sz w:val="16"/>
                <w:szCs w:val="16"/>
                <w:lang w:val="ru-RU"/>
              </w:rPr>
            </w:pPr>
            <w:r w:rsidRPr="00FA0032">
              <w:rPr>
                <w:sz w:val="16"/>
                <w:szCs w:val="16"/>
                <w:lang w:val="ru-RU"/>
              </w:rPr>
              <w:t xml:space="preserve">Время обработки связанных с поездками запросов:  </w:t>
            </w:r>
          </w:p>
          <w:p w:rsidR="00FA0032" w:rsidRPr="00FA0032" w:rsidRDefault="00FA0032" w:rsidP="00C61544">
            <w:pPr>
              <w:rPr>
                <w:rFonts w:cs="Arial"/>
                <w:sz w:val="16"/>
                <w:szCs w:val="16"/>
                <w:lang w:val="ru-RU"/>
              </w:rPr>
            </w:pPr>
            <w:r w:rsidRPr="00FA0032">
              <w:rPr>
                <w:sz w:val="16"/>
                <w:szCs w:val="16"/>
                <w:lang w:val="ru-RU"/>
              </w:rPr>
              <w:t xml:space="preserve">форма </w:t>
            </w:r>
            <w:r w:rsidRPr="000D6F9B">
              <w:rPr>
                <w:sz w:val="16"/>
                <w:szCs w:val="16"/>
              </w:rPr>
              <w:t>eTA</w:t>
            </w:r>
            <w:r w:rsidRPr="00FA0032">
              <w:rPr>
                <w:sz w:val="16"/>
                <w:szCs w:val="16"/>
                <w:lang w:val="ru-RU"/>
              </w:rPr>
              <w:t xml:space="preserve"> = 1</w:t>
            </w:r>
            <w:r w:rsidRPr="000D6F9B">
              <w:rPr>
                <w:sz w:val="16"/>
                <w:szCs w:val="16"/>
              </w:rPr>
              <w:t> </w:t>
            </w:r>
            <w:r w:rsidRPr="00FA0032">
              <w:rPr>
                <w:sz w:val="16"/>
                <w:szCs w:val="16"/>
                <w:lang w:val="ru-RU"/>
              </w:rPr>
              <w:t>день</w:t>
            </w:r>
          </w:p>
          <w:p w:rsidR="00FA0032" w:rsidRPr="00FA0032" w:rsidRDefault="00FA0032" w:rsidP="00C61544">
            <w:pPr>
              <w:rPr>
                <w:rFonts w:cs="Arial"/>
                <w:sz w:val="16"/>
                <w:szCs w:val="16"/>
                <w:lang w:val="ru-RU"/>
              </w:rPr>
            </w:pPr>
            <w:r w:rsidRPr="00FA0032">
              <w:rPr>
                <w:sz w:val="16"/>
                <w:szCs w:val="16"/>
                <w:lang w:val="ru-RU"/>
              </w:rPr>
              <w:t xml:space="preserve">форма </w:t>
            </w:r>
            <w:r w:rsidRPr="000D6F9B">
              <w:rPr>
                <w:sz w:val="16"/>
                <w:szCs w:val="16"/>
              </w:rPr>
              <w:t>ER</w:t>
            </w:r>
            <w:r w:rsidRPr="00FA0032">
              <w:rPr>
                <w:sz w:val="16"/>
                <w:szCs w:val="16"/>
                <w:lang w:val="ru-RU"/>
              </w:rPr>
              <w:t xml:space="preserve"> = 2 часа</w:t>
            </w:r>
          </w:p>
          <w:p w:rsidR="00FA0032" w:rsidRPr="00FA0032" w:rsidRDefault="00FA0032" w:rsidP="00C61544">
            <w:pPr>
              <w:rPr>
                <w:rFonts w:cs="Arial"/>
                <w:i/>
                <w:sz w:val="16"/>
                <w:szCs w:val="16"/>
                <w:lang w:val="ru-RU"/>
              </w:rPr>
            </w:pPr>
            <w:r w:rsidRPr="00FA0032">
              <w:rPr>
                <w:sz w:val="16"/>
                <w:szCs w:val="16"/>
                <w:lang w:val="ru-RU"/>
              </w:rPr>
              <w:t>визы для третьих лиц = 2</w:t>
            </w:r>
            <w:r w:rsidRPr="000D6F9B">
              <w:rPr>
                <w:sz w:val="16"/>
                <w:szCs w:val="16"/>
              </w:rPr>
              <w:t> </w:t>
            </w:r>
            <w:r w:rsidRPr="00FA0032">
              <w:rPr>
                <w:sz w:val="16"/>
                <w:szCs w:val="16"/>
                <w:lang w:val="ru-RU"/>
              </w:rPr>
              <w:t>дня (базовый показатель 2013</w:t>
            </w:r>
            <w:r w:rsidRPr="000D6F9B">
              <w:rPr>
                <w:sz w:val="16"/>
                <w:szCs w:val="16"/>
              </w:rPr>
              <w:t> </w:t>
            </w:r>
            <w:r w:rsidRPr="00FA0032">
              <w:rPr>
                <w:sz w:val="16"/>
                <w:szCs w:val="16"/>
                <w:lang w:val="ru-RU"/>
              </w:rPr>
              <w:t>г.)</w:t>
            </w:r>
          </w:p>
        </w:tc>
        <w:tc>
          <w:tcPr>
            <w:tcW w:w="780" w:type="pct"/>
            <w:gridSpan w:val="2"/>
            <w:shd w:val="clear" w:color="auto" w:fill="auto"/>
            <w:tcMar>
              <w:top w:w="110" w:type="dxa"/>
            </w:tcMar>
          </w:tcPr>
          <w:p w:rsidR="00FA0032" w:rsidRPr="00FA0032" w:rsidRDefault="00FA0032" w:rsidP="00C61544">
            <w:pPr>
              <w:rPr>
                <w:rFonts w:cs="Arial"/>
                <w:sz w:val="16"/>
                <w:szCs w:val="16"/>
                <w:lang w:val="ru-RU"/>
              </w:rPr>
            </w:pPr>
            <w:r w:rsidRPr="00FA0032">
              <w:rPr>
                <w:sz w:val="16"/>
                <w:szCs w:val="16"/>
                <w:lang w:val="ru-RU"/>
              </w:rPr>
              <w:t xml:space="preserve">форма </w:t>
            </w:r>
            <w:r w:rsidRPr="000D6F9B">
              <w:rPr>
                <w:sz w:val="16"/>
                <w:szCs w:val="16"/>
              </w:rPr>
              <w:t>eTA</w:t>
            </w:r>
            <w:r w:rsidRPr="00FA0032">
              <w:rPr>
                <w:sz w:val="16"/>
                <w:szCs w:val="16"/>
                <w:lang w:val="ru-RU"/>
              </w:rPr>
              <w:t xml:space="preserve"> = 1/2 дня</w:t>
            </w:r>
          </w:p>
          <w:p w:rsidR="00FA0032" w:rsidRPr="00FA0032" w:rsidRDefault="00FA0032" w:rsidP="00C61544">
            <w:pPr>
              <w:rPr>
                <w:rFonts w:cs="Arial"/>
                <w:sz w:val="16"/>
                <w:szCs w:val="16"/>
                <w:lang w:val="ru-RU"/>
              </w:rPr>
            </w:pPr>
            <w:r w:rsidRPr="00FA0032">
              <w:rPr>
                <w:sz w:val="16"/>
                <w:szCs w:val="16"/>
                <w:lang w:val="ru-RU"/>
              </w:rPr>
              <w:t xml:space="preserve">форма </w:t>
            </w:r>
            <w:r w:rsidRPr="000D6F9B">
              <w:rPr>
                <w:sz w:val="16"/>
                <w:szCs w:val="16"/>
              </w:rPr>
              <w:t>ER</w:t>
            </w:r>
            <w:r w:rsidRPr="00FA0032">
              <w:rPr>
                <w:sz w:val="16"/>
                <w:szCs w:val="16"/>
                <w:lang w:val="ru-RU"/>
              </w:rPr>
              <w:t xml:space="preserve"> = 1 час</w:t>
            </w:r>
          </w:p>
          <w:p w:rsidR="00FA0032" w:rsidRPr="000D6F9B" w:rsidRDefault="00FA0032" w:rsidP="00C61544">
            <w:pPr>
              <w:rPr>
                <w:rFonts w:cs="Arial"/>
                <w:sz w:val="16"/>
                <w:szCs w:val="16"/>
              </w:rPr>
            </w:pPr>
            <w:r w:rsidRPr="000D6F9B">
              <w:rPr>
                <w:sz w:val="16"/>
                <w:szCs w:val="16"/>
              </w:rPr>
              <w:t>визы = 2 дня</w:t>
            </w:r>
          </w:p>
        </w:tc>
        <w:tc>
          <w:tcPr>
            <w:tcW w:w="1382" w:type="pct"/>
            <w:shd w:val="clear" w:color="auto" w:fill="FFFFFF"/>
            <w:tcMar>
              <w:top w:w="110" w:type="dxa"/>
            </w:tcMar>
          </w:tcPr>
          <w:p w:rsidR="00FA0032" w:rsidRPr="00FA0032" w:rsidRDefault="00FA0032" w:rsidP="00C61544">
            <w:pPr>
              <w:rPr>
                <w:rFonts w:cs="Arial"/>
                <w:sz w:val="16"/>
                <w:szCs w:val="16"/>
                <w:lang w:val="ru-RU"/>
              </w:rPr>
            </w:pPr>
            <w:r w:rsidRPr="00FA0032">
              <w:rPr>
                <w:sz w:val="16"/>
                <w:szCs w:val="16"/>
                <w:lang w:val="ru-RU"/>
              </w:rPr>
              <w:t xml:space="preserve">форма </w:t>
            </w:r>
            <w:r w:rsidRPr="000D6F9B">
              <w:rPr>
                <w:sz w:val="16"/>
                <w:szCs w:val="16"/>
              </w:rPr>
              <w:t>eTA</w:t>
            </w:r>
            <w:r w:rsidRPr="00FA0032">
              <w:rPr>
                <w:sz w:val="16"/>
                <w:szCs w:val="16"/>
                <w:lang w:val="ru-RU"/>
              </w:rPr>
              <w:t xml:space="preserve"> = 1/2 дня</w:t>
            </w:r>
          </w:p>
          <w:p w:rsidR="00FA0032" w:rsidRPr="00FA0032" w:rsidRDefault="00FA0032" w:rsidP="00C61544">
            <w:pPr>
              <w:rPr>
                <w:rFonts w:cs="Arial"/>
                <w:sz w:val="16"/>
                <w:szCs w:val="16"/>
                <w:lang w:val="ru-RU"/>
              </w:rPr>
            </w:pPr>
            <w:r w:rsidRPr="00FA0032">
              <w:rPr>
                <w:sz w:val="16"/>
                <w:szCs w:val="16"/>
                <w:lang w:val="ru-RU"/>
              </w:rPr>
              <w:t xml:space="preserve">форма </w:t>
            </w:r>
            <w:r w:rsidRPr="000D6F9B">
              <w:rPr>
                <w:sz w:val="16"/>
                <w:szCs w:val="16"/>
              </w:rPr>
              <w:t>ER</w:t>
            </w:r>
            <w:r w:rsidRPr="00FA0032">
              <w:rPr>
                <w:sz w:val="16"/>
                <w:szCs w:val="16"/>
                <w:lang w:val="ru-RU"/>
              </w:rPr>
              <w:t xml:space="preserve"> = &lt;1 час</w:t>
            </w:r>
          </w:p>
          <w:p w:rsidR="00FA0032" w:rsidRPr="000D6F9B" w:rsidRDefault="00FA0032" w:rsidP="00C61544">
            <w:pPr>
              <w:rPr>
                <w:rFonts w:cs="Arial"/>
                <w:sz w:val="16"/>
                <w:szCs w:val="16"/>
              </w:rPr>
            </w:pPr>
            <w:r w:rsidRPr="000D6F9B">
              <w:rPr>
                <w:sz w:val="16"/>
                <w:szCs w:val="16"/>
              </w:rPr>
              <w:t>визы &lt; 1 день</w:t>
            </w:r>
          </w:p>
        </w:tc>
        <w:tc>
          <w:tcPr>
            <w:tcW w:w="504" w:type="pct"/>
            <w:shd w:val="clear" w:color="auto" w:fill="auto"/>
            <w:tcMar>
              <w:top w:w="110" w:type="dxa"/>
            </w:tcMar>
          </w:tcPr>
          <w:p w:rsidR="00FA0032" w:rsidRPr="000D6F9B" w:rsidRDefault="00FA0032" w:rsidP="00C61544">
            <w:pPr>
              <w:keepNext/>
              <w:keepLines/>
              <w:jc w:val="center"/>
              <w:rPr>
                <w:rFonts w:cs="Arial"/>
                <w:b/>
                <w:bCs/>
                <w:color w:val="00B050"/>
                <w:sz w:val="16"/>
                <w:szCs w:val="16"/>
              </w:rPr>
            </w:pPr>
            <w:r w:rsidRPr="000D6F9B">
              <w:rPr>
                <w:b/>
                <w:color w:val="00B050"/>
                <w:sz w:val="16"/>
                <w:szCs w:val="16"/>
              </w:rPr>
              <w:t>Выполнено</w:t>
            </w:r>
          </w:p>
        </w:tc>
      </w:tr>
      <w:tr w:rsidR="00FA0032" w:rsidRPr="000D6F9B" w:rsidTr="008320CF">
        <w:trPr>
          <w:cantSplit/>
        </w:trPr>
        <w:tc>
          <w:tcPr>
            <w:tcW w:w="1097" w:type="pct"/>
            <w:gridSpan w:val="2"/>
            <w:shd w:val="clear" w:color="auto" w:fill="auto"/>
          </w:tcPr>
          <w:p w:rsidR="00FA0032" w:rsidRPr="00FA0032" w:rsidRDefault="00FA0032" w:rsidP="00C61544">
            <w:pPr>
              <w:rPr>
                <w:rFonts w:cs="Arial"/>
                <w:sz w:val="16"/>
                <w:szCs w:val="16"/>
                <w:lang w:val="ru-RU"/>
              </w:rPr>
            </w:pPr>
            <w:r w:rsidRPr="00FA0032">
              <w:rPr>
                <w:sz w:val="16"/>
                <w:szCs w:val="16"/>
                <w:lang w:val="ru-RU"/>
              </w:rPr>
              <w:t>Средняя стоимость билета (билеты КОП и ПРООН)</w:t>
            </w:r>
          </w:p>
        </w:tc>
        <w:tc>
          <w:tcPr>
            <w:tcW w:w="1237" w:type="pct"/>
            <w:gridSpan w:val="4"/>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 xml:space="preserve">г.: </w:t>
            </w:r>
            <w:r w:rsidRPr="00FA0032">
              <w:rPr>
                <w:color w:val="002060"/>
                <w:sz w:val="16"/>
                <w:szCs w:val="16"/>
                <w:lang w:val="ru-RU"/>
              </w:rPr>
              <w:t>2013= 1</w:t>
            </w:r>
            <w:r w:rsidRPr="000D6F9B">
              <w:rPr>
                <w:color w:val="002060"/>
                <w:sz w:val="16"/>
                <w:szCs w:val="16"/>
              </w:rPr>
              <w:t> </w:t>
            </w:r>
            <w:r w:rsidRPr="00FA0032">
              <w:rPr>
                <w:color w:val="002060"/>
                <w:sz w:val="16"/>
                <w:szCs w:val="16"/>
                <w:lang w:val="ru-RU"/>
              </w:rPr>
              <w:t xml:space="preserve">728 шв. франков. </w:t>
            </w:r>
          </w:p>
          <w:p w:rsidR="00FA0032" w:rsidRPr="00FA0032" w:rsidRDefault="00FA0032" w:rsidP="00C61544">
            <w:pPr>
              <w:rPr>
                <w:rFonts w:cstheme="minorBidi"/>
                <w:color w:val="002060"/>
                <w:sz w:val="16"/>
                <w:szCs w:val="16"/>
                <w:lang w:val="ru-RU"/>
              </w:rPr>
            </w:pPr>
          </w:p>
          <w:p w:rsidR="00FA0032" w:rsidRPr="00FA0032" w:rsidRDefault="00FA0032" w:rsidP="00C61544">
            <w:pPr>
              <w:rPr>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стоимость (базовые показатели в 2013</w:t>
            </w:r>
            <w:r w:rsidRPr="000D6F9B">
              <w:rPr>
                <w:sz w:val="16"/>
                <w:szCs w:val="16"/>
              </w:rPr>
              <w:t> </w:t>
            </w:r>
            <w:r w:rsidRPr="00FA0032">
              <w:rPr>
                <w:sz w:val="16"/>
                <w:szCs w:val="16"/>
                <w:lang w:val="ru-RU"/>
              </w:rPr>
              <w:t>г.)</w:t>
            </w:r>
          </w:p>
        </w:tc>
        <w:tc>
          <w:tcPr>
            <w:tcW w:w="780" w:type="pct"/>
            <w:gridSpan w:val="2"/>
            <w:shd w:val="clear" w:color="auto" w:fill="auto"/>
            <w:tcMar>
              <w:top w:w="110" w:type="dxa"/>
            </w:tcMar>
          </w:tcPr>
          <w:p w:rsidR="00FA0032" w:rsidRPr="000D6F9B" w:rsidRDefault="00FA0032" w:rsidP="00C61544">
            <w:pPr>
              <w:rPr>
                <w:rFonts w:cs="Arial"/>
                <w:sz w:val="16"/>
                <w:szCs w:val="16"/>
              </w:rPr>
            </w:pPr>
            <w:r w:rsidRPr="000D6F9B">
              <w:rPr>
                <w:sz w:val="16"/>
                <w:szCs w:val="16"/>
              </w:rPr>
              <w:t>Снижение средней стоимости билета</w:t>
            </w:r>
          </w:p>
        </w:tc>
        <w:tc>
          <w:tcPr>
            <w:tcW w:w="1382" w:type="pct"/>
            <w:shd w:val="clear" w:color="auto" w:fill="FFFFFF"/>
            <w:tcMar>
              <w:top w:w="110" w:type="dxa"/>
            </w:tcMar>
          </w:tcPr>
          <w:p w:rsidR="00FA0032" w:rsidRPr="00FA0032" w:rsidRDefault="00FA0032" w:rsidP="00C61544">
            <w:pPr>
              <w:rPr>
                <w:rFonts w:cs="Arial"/>
                <w:sz w:val="16"/>
                <w:szCs w:val="16"/>
                <w:lang w:val="ru-RU"/>
              </w:rPr>
            </w:pPr>
            <w:r w:rsidRPr="00FA0032">
              <w:rPr>
                <w:sz w:val="16"/>
                <w:szCs w:val="16"/>
                <w:lang w:val="ru-RU"/>
              </w:rPr>
              <w:t>1</w:t>
            </w:r>
            <w:r w:rsidRPr="000D6F9B">
              <w:rPr>
                <w:sz w:val="16"/>
                <w:szCs w:val="16"/>
              </w:rPr>
              <w:t> </w:t>
            </w:r>
            <w:r w:rsidRPr="00FA0032">
              <w:rPr>
                <w:sz w:val="16"/>
                <w:szCs w:val="16"/>
                <w:lang w:val="ru-RU"/>
              </w:rPr>
              <w:t>598 шв. франка (2014 г.)</w:t>
            </w: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r w:rsidRPr="00FA0032">
              <w:rPr>
                <w:sz w:val="16"/>
                <w:szCs w:val="16"/>
                <w:lang w:val="ru-RU"/>
              </w:rPr>
              <w:t>1</w:t>
            </w:r>
            <w:r w:rsidRPr="000D6F9B">
              <w:rPr>
                <w:sz w:val="16"/>
                <w:szCs w:val="16"/>
              </w:rPr>
              <w:t> </w:t>
            </w:r>
            <w:r w:rsidRPr="00FA0032">
              <w:rPr>
                <w:sz w:val="16"/>
                <w:szCs w:val="16"/>
                <w:lang w:val="ru-RU"/>
              </w:rPr>
              <w:t>481 шв. франка (2015 г.)</w:t>
            </w:r>
          </w:p>
        </w:tc>
        <w:tc>
          <w:tcPr>
            <w:tcW w:w="504" w:type="pct"/>
            <w:shd w:val="clear" w:color="auto" w:fill="auto"/>
            <w:tcMar>
              <w:top w:w="110" w:type="dxa"/>
            </w:tcMar>
          </w:tcPr>
          <w:p w:rsidR="00FA0032" w:rsidRPr="000D6F9B" w:rsidRDefault="00FA0032" w:rsidP="00C61544">
            <w:pPr>
              <w:keepNext/>
              <w:keepLines/>
              <w:jc w:val="center"/>
              <w:rPr>
                <w:rFonts w:cs="Arial"/>
                <w:b/>
                <w:bCs/>
                <w:color w:val="00B050"/>
                <w:sz w:val="16"/>
                <w:szCs w:val="16"/>
              </w:rPr>
            </w:pPr>
            <w:r w:rsidRPr="000D6F9B">
              <w:rPr>
                <w:b/>
                <w:color w:val="00B050"/>
                <w:sz w:val="16"/>
                <w:szCs w:val="16"/>
              </w:rPr>
              <w:t>Выполнено</w:t>
            </w:r>
          </w:p>
        </w:tc>
      </w:tr>
      <w:tr w:rsidR="00FA0032" w:rsidRPr="000D6F9B" w:rsidTr="008320CF">
        <w:trPr>
          <w:cantSplit/>
        </w:trPr>
        <w:tc>
          <w:tcPr>
            <w:tcW w:w="1097" w:type="pct"/>
            <w:gridSpan w:val="2"/>
            <w:shd w:val="clear" w:color="auto" w:fill="auto"/>
          </w:tcPr>
          <w:p w:rsidR="00FA0032" w:rsidRPr="00FA0032" w:rsidRDefault="00FA0032" w:rsidP="00C61544">
            <w:pPr>
              <w:rPr>
                <w:rFonts w:cs="Arial"/>
                <w:sz w:val="16"/>
                <w:szCs w:val="16"/>
                <w:lang w:val="ru-RU"/>
              </w:rPr>
            </w:pPr>
            <w:r w:rsidRPr="00FA0032">
              <w:rPr>
                <w:sz w:val="16"/>
                <w:szCs w:val="16"/>
                <w:lang w:val="ru-RU"/>
              </w:rPr>
              <w:t>Эффективное использование всех видов помещений на территории ВОИС (служебных, складских и архивных хранилищ)</w:t>
            </w:r>
          </w:p>
        </w:tc>
        <w:tc>
          <w:tcPr>
            <w:tcW w:w="1237" w:type="pct"/>
            <w:gridSpan w:val="4"/>
            <w:shd w:val="clear" w:color="auto" w:fill="auto"/>
          </w:tcPr>
          <w:p w:rsidR="00FA0032" w:rsidRPr="00FA0032" w:rsidRDefault="00FA0032" w:rsidP="00C61544">
            <w:pPr>
              <w:rPr>
                <w:i/>
                <w:color w:val="002060"/>
                <w:sz w:val="16"/>
                <w:szCs w:val="16"/>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 xml:space="preserve">г.: </w:t>
            </w:r>
            <w:r w:rsidRPr="00FA0032">
              <w:rPr>
                <w:color w:val="002060"/>
                <w:sz w:val="16"/>
                <w:szCs w:val="16"/>
                <w:lang w:val="ru-RU"/>
              </w:rPr>
              <w:t>80 рабочих мест (в ходе двухлетнего периода не было потребности в аренде дополнительных служебных помещений).</w:t>
            </w:r>
            <w:r w:rsidRPr="00FA0032">
              <w:rPr>
                <w:i/>
                <w:color w:val="002060"/>
                <w:sz w:val="16"/>
                <w:szCs w:val="16"/>
                <w:lang w:val="ru-RU"/>
              </w:rPr>
              <w:t xml:space="preserve"> </w:t>
            </w:r>
          </w:p>
          <w:p w:rsidR="00FA0032" w:rsidRPr="00FA0032" w:rsidRDefault="00FA0032" w:rsidP="00C61544">
            <w:pPr>
              <w:rPr>
                <w:rFonts w:cstheme="minorBidi"/>
                <w:color w:val="002060"/>
                <w:sz w:val="16"/>
                <w:szCs w:val="16"/>
                <w:lang w:val="ru-RU"/>
              </w:rPr>
            </w:pPr>
          </w:p>
          <w:p w:rsidR="00FA0032" w:rsidRPr="00FA0032" w:rsidRDefault="00FA0032" w:rsidP="00C61544">
            <w:pPr>
              <w:rPr>
                <w:rFonts w:cs="Arial"/>
                <w:i/>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сохранение числа рабочих мест во всех зданиях с расчетом на расширение подразделений ВОИС и изменений в деятельности ВОИС (число сотрудников по состоянию на конец 2013</w:t>
            </w:r>
            <w:r>
              <w:rPr>
                <w:sz w:val="16"/>
                <w:szCs w:val="16"/>
              </w:rPr>
              <w:t> </w:t>
            </w:r>
            <w:r w:rsidRPr="00FA0032">
              <w:rPr>
                <w:sz w:val="16"/>
                <w:szCs w:val="16"/>
                <w:lang w:val="ru-RU"/>
              </w:rPr>
              <w:t>г.); не более 80</w:t>
            </w:r>
            <w:r>
              <w:rPr>
                <w:sz w:val="16"/>
                <w:szCs w:val="16"/>
              </w:rPr>
              <w:t> </w:t>
            </w:r>
            <w:r w:rsidRPr="00FA0032">
              <w:rPr>
                <w:sz w:val="16"/>
                <w:szCs w:val="16"/>
                <w:lang w:val="ru-RU"/>
              </w:rPr>
              <w:t>арендуемых рабочих мест (в конце 2013</w:t>
            </w:r>
            <w:r w:rsidRPr="000D6F9B">
              <w:rPr>
                <w:sz w:val="16"/>
                <w:szCs w:val="16"/>
              </w:rPr>
              <w:t> </w:t>
            </w:r>
            <w:r w:rsidRPr="00FA0032">
              <w:rPr>
                <w:sz w:val="16"/>
                <w:szCs w:val="16"/>
                <w:lang w:val="ru-RU"/>
              </w:rPr>
              <w:t>г.); 6 складских помещений/ архивных хранилищ вне территории ВОИС (в конце 2013</w:t>
            </w:r>
            <w:r w:rsidRPr="000D6F9B">
              <w:rPr>
                <w:sz w:val="16"/>
                <w:szCs w:val="16"/>
              </w:rPr>
              <w:t> </w:t>
            </w:r>
            <w:r w:rsidRPr="00FA0032">
              <w:rPr>
                <w:sz w:val="16"/>
                <w:szCs w:val="16"/>
                <w:lang w:val="ru-RU"/>
              </w:rPr>
              <w:t>г.)</w:t>
            </w:r>
          </w:p>
          <w:p w:rsidR="00FA0032" w:rsidRPr="00FA0032" w:rsidRDefault="00FA0032" w:rsidP="00C61544">
            <w:pPr>
              <w:rPr>
                <w:sz w:val="16"/>
                <w:szCs w:val="16"/>
                <w:lang w:val="ru-RU"/>
              </w:rPr>
            </w:pPr>
          </w:p>
        </w:tc>
        <w:tc>
          <w:tcPr>
            <w:tcW w:w="780" w:type="pct"/>
            <w:gridSpan w:val="2"/>
            <w:shd w:val="clear" w:color="auto" w:fill="auto"/>
            <w:tcMar>
              <w:top w:w="110" w:type="dxa"/>
            </w:tcMar>
          </w:tcPr>
          <w:p w:rsidR="00FA0032" w:rsidRPr="00FA0032" w:rsidRDefault="00FA0032" w:rsidP="00C61544">
            <w:pPr>
              <w:rPr>
                <w:rFonts w:cs="Arial"/>
                <w:sz w:val="16"/>
                <w:szCs w:val="16"/>
                <w:lang w:val="ru-RU"/>
              </w:rPr>
            </w:pPr>
            <w:r w:rsidRPr="00FA0032">
              <w:rPr>
                <w:sz w:val="16"/>
                <w:szCs w:val="16"/>
                <w:lang w:val="ru-RU"/>
              </w:rPr>
              <w:t>Достижение уровня не более чем в 80</w:t>
            </w:r>
            <w:r w:rsidRPr="000D6F9B">
              <w:rPr>
                <w:sz w:val="16"/>
                <w:szCs w:val="16"/>
              </w:rPr>
              <w:t> </w:t>
            </w:r>
            <w:r w:rsidRPr="00FA0032">
              <w:rPr>
                <w:sz w:val="16"/>
                <w:szCs w:val="16"/>
                <w:lang w:val="ru-RU"/>
              </w:rPr>
              <w:t>арендуемых рабочих мест (из общего числа в 1</w:t>
            </w:r>
            <w:r w:rsidRPr="000D6F9B">
              <w:rPr>
                <w:sz w:val="16"/>
                <w:szCs w:val="16"/>
              </w:rPr>
              <w:t> </w:t>
            </w:r>
            <w:r w:rsidRPr="00FA0032">
              <w:rPr>
                <w:sz w:val="16"/>
                <w:szCs w:val="16"/>
                <w:lang w:val="ru-RU"/>
              </w:rPr>
              <w:t>582</w:t>
            </w:r>
            <w:r w:rsidRPr="000D6F9B">
              <w:rPr>
                <w:sz w:val="16"/>
                <w:szCs w:val="16"/>
              </w:rPr>
              <w:t> </w:t>
            </w:r>
            <w:r w:rsidRPr="00FA0032">
              <w:rPr>
                <w:sz w:val="16"/>
                <w:szCs w:val="16"/>
                <w:lang w:val="ru-RU"/>
              </w:rPr>
              <w:t>рабочих мест) и 6</w:t>
            </w:r>
            <w:r w:rsidRPr="000D6F9B">
              <w:rPr>
                <w:sz w:val="16"/>
                <w:szCs w:val="16"/>
              </w:rPr>
              <w:t> </w:t>
            </w:r>
            <w:r w:rsidRPr="00FA0032">
              <w:rPr>
                <w:sz w:val="16"/>
                <w:szCs w:val="16"/>
                <w:lang w:val="ru-RU"/>
              </w:rPr>
              <w:t>складских помещений/ архивных хранилищ</w:t>
            </w:r>
          </w:p>
        </w:tc>
        <w:tc>
          <w:tcPr>
            <w:tcW w:w="1382" w:type="pct"/>
            <w:shd w:val="clear" w:color="auto" w:fill="FFFFFF"/>
            <w:tcMar>
              <w:top w:w="110" w:type="dxa"/>
            </w:tcMar>
          </w:tcPr>
          <w:p w:rsidR="00FA0032" w:rsidRPr="00FA0032" w:rsidRDefault="00FA0032" w:rsidP="00C61544">
            <w:pPr>
              <w:rPr>
                <w:rFonts w:cs="Arial"/>
                <w:sz w:val="16"/>
                <w:szCs w:val="16"/>
                <w:highlight w:val="yellow"/>
                <w:lang w:val="ru-RU"/>
              </w:rPr>
            </w:pPr>
            <w:r w:rsidRPr="00FA0032">
              <w:rPr>
                <w:sz w:val="16"/>
                <w:szCs w:val="16"/>
                <w:lang w:val="ru-RU"/>
              </w:rPr>
              <w:t>80</w:t>
            </w:r>
            <w:r w:rsidRPr="000D6F9B">
              <w:rPr>
                <w:sz w:val="16"/>
                <w:szCs w:val="16"/>
              </w:rPr>
              <w:t> </w:t>
            </w:r>
            <w:r w:rsidRPr="00FA0032">
              <w:rPr>
                <w:sz w:val="16"/>
                <w:szCs w:val="16"/>
                <w:lang w:val="ru-RU"/>
              </w:rPr>
              <w:t>арендуемых рабочих мест (из общего числа в 1</w:t>
            </w:r>
            <w:r>
              <w:rPr>
                <w:sz w:val="16"/>
                <w:szCs w:val="16"/>
              </w:rPr>
              <w:t> </w:t>
            </w:r>
            <w:r w:rsidRPr="00FA0032">
              <w:rPr>
                <w:sz w:val="16"/>
                <w:szCs w:val="16"/>
                <w:lang w:val="ru-RU"/>
              </w:rPr>
              <w:t>645</w:t>
            </w:r>
            <w:r>
              <w:rPr>
                <w:sz w:val="16"/>
                <w:szCs w:val="16"/>
              </w:rPr>
              <w:t> </w:t>
            </w:r>
            <w:r w:rsidRPr="00FA0032">
              <w:rPr>
                <w:sz w:val="16"/>
                <w:szCs w:val="16"/>
                <w:lang w:val="ru-RU"/>
              </w:rPr>
              <w:t>рабочих мест); 4</w:t>
            </w:r>
            <w:r>
              <w:rPr>
                <w:sz w:val="16"/>
                <w:szCs w:val="16"/>
              </w:rPr>
              <w:t> </w:t>
            </w:r>
            <w:r w:rsidRPr="00FA0032">
              <w:rPr>
                <w:sz w:val="16"/>
                <w:szCs w:val="16"/>
                <w:lang w:val="ru-RU"/>
              </w:rPr>
              <w:t>складских помещения/ архивных хранилища в связи с прекращением аренды двух внешних складских помещений.  А также расторжение договора аренды закрытого автономного отсека на складе и прекращение аренды 57 парковочных мест вне территории ВОИС.</w:t>
            </w:r>
          </w:p>
        </w:tc>
        <w:tc>
          <w:tcPr>
            <w:tcW w:w="504" w:type="pct"/>
            <w:shd w:val="clear" w:color="auto" w:fill="auto"/>
            <w:tcMar>
              <w:top w:w="110" w:type="dxa"/>
            </w:tcMar>
          </w:tcPr>
          <w:p w:rsidR="00FA0032" w:rsidRPr="000D6F9B" w:rsidRDefault="00FA0032" w:rsidP="00C61544">
            <w:pPr>
              <w:pStyle w:val="Default"/>
              <w:jc w:val="center"/>
              <w:rPr>
                <w:color w:val="00AF50"/>
                <w:sz w:val="16"/>
                <w:szCs w:val="16"/>
              </w:rPr>
            </w:pPr>
            <w:r w:rsidRPr="000D6F9B">
              <w:rPr>
                <w:b/>
                <w:color w:val="00AF50"/>
                <w:sz w:val="16"/>
                <w:szCs w:val="16"/>
              </w:rPr>
              <w:t>Выполнено</w:t>
            </w:r>
          </w:p>
          <w:p w:rsidR="00FA0032" w:rsidRPr="000D6F9B" w:rsidRDefault="00FA0032" w:rsidP="00C61544">
            <w:pPr>
              <w:keepNext/>
              <w:keepLines/>
              <w:jc w:val="center"/>
              <w:rPr>
                <w:rFonts w:cs="Arial"/>
                <w:bCs/>
                <w:color w:val="FF0000"/>
                <w:sz w:val="16"/>
                <w:szCs w:val="16"/>
              </w:rPr>
            </w:pPr>
          </w:p>
        </w:tc>
      </w:tr>
      <w:tr w:rsidR="00FA0032" w:rsidRPr="005C6ABD" w:rsidTr="00C61544">
        <w:trPr>
          <w:cantSplit/>
          <w:trHeight w:val="530"/>
        </w:trPr>
        <w:tc>
          <w:tcPr>
            <w:tcW w:w="5000" w:type="pct"/>
            <w:gridSpan w:val="10"/>
            <w:tcBorders>
              <w:top w:val="single" w:sz="4" w:space="0" w:color="auto"/>
              <w:bottom w:val="single" w:sz="4" w:space="0" w:color="auto"/>
            </w:tcBorders>
            <w:shd w:val="clear" w:color="auto" w:fill="C6D9F1" w:themeFill="text2" w:themeFillTint="33"/>
            <w:vAlign w:val="center"/>
          </w:tcPr>
          <w:p w:rsidR="00FA0032" w:rsidRPr="00FA0032" w:rsidDel="007A1AB3" w:rsidRDefault="00FA0032" w:rsidP="00B655FE">
            <w:pPr>
              <w:pStyle w:val="Default"/>
              <w:ind w:left="2160" w:hanging="2160"/>
              <w:rPr>
                <w:b/>
                <w:bCs/>
                <w:color w:val="00AF50"/>
                <w:sz w:val="16"/>
                <w:szCs w:val="16"/>
                <w:lang w:val="ru-RU"/>
              </w:rPr>
            </w:pPr>
            <w:r w:rsidRPr="00FA0032">
              <w:rPr>
                <w:b/>
                <w:sz w:val="16"/>
                <w:szCs w:val="16"/>
                <w:lang w:val="ru-RU"/>
              </w:rPr>
              <w:t xml:space="preserve">Ожидаемый результат: </w:t>
            </w:r>
            <w:r w:rsidRPr="00FA0032">
              <w:rPr>
                <w:sz w:val="16"/>
                <w:szCs w:val="16"/>
                <w:lang w:val="ru-RU"/>
              </w:rPr>
              <w:tab/>
            </w:r>
            <w:r w:rsidRPr="000D6F9B">
              <w:rPr>
                <w:sz w:val="16"/>
                <w:szCs w:val="16"/>
              </w:rPr>
              <w:t>IX</w:t>
            </w:r>
            <w:r w:rsidRPr="00FA0032">
              <w:rPr>
                <w:sz w:val="16"/>
                <w:szCs w:val="16"/>
                <w:lang w:val="ru-RU"/>
              </w:rPr>
              <w:t>.1. Эффективные, действенные, качественные и орие</w:t>
            </w:r>
            <w:r w:rsidR="00B655FE">
              <w:rPr>
                <w:sz w:val="16"/>
                <w:szCs w:val="16"/>
                <w:lang w:val="ru-RU"/>
              </w:rPr>
              <w:t xml:space="preserve">нтированные на пользователя </w:t>
            </w:r>
            <w:r w:rsidRPr="00FA0032">
              <w:rPr>
                <w:sz w:val="16"/>
                <w:szCs w:val="16"/>
                <w:lang w:val="ru-RU"/>
              </w:rPr>
              <w:t>вспомогательные услуги, предоставляемые как внутренним клиентам, т</w:t>
            </w:r>
            <w:r w:rsidR="00B655FE">
              <w:rPr>
                <w:sz w:val="16"/>
                <w:szCs w:val="16"/>
                <w:lang w:val="ru-RU"/>
              </w:rPr>
              <w:t xml:space="preserve">ак и внешним </w:t>
            </w:r>
            <w:r w:rsidRPr="00FA0032">
              <w:rPr>
                <w:sz w:val="16"/>
                <w:szCs w:val="16"/>
                <w:lang w:val="ru-RU"/>
              </w:rPr>
              <w:t>заинтересованным сторонам</w:t>
            </w:r>
          </w:p>
        </w:tc>
      </w:tr>
      <w:tr w:rsidR="00FA0032" w:rsidRPr="00B655FE" w:rsidTr="008320CF">
        <w:tc>
          <w:tcPr>
            <w:tcW w:w="1058" w:type="pct"/>
            <w:tcBorders>
              <w:top w:val="single" w:sz="4" w:space="0" w:color="auto"/>
            </w:tcBorders>
            <w:shd w:val="clear" w:color="auto" w:fill="auto"/>
            <w:vAlign w:val="center"/>
          </w:tcPr>
          <w:p w:rsidR="00FA0032" w:rsidRPr="00B655FE" w:rsidRDefault="00FA0032" w:rsidP="00C61544">
            <w:pPr>
              <w:keepNext/>
              <w:keepLines/>
              <w:rPr>
                <w:rFonts w:cs="Arial"/>
                <w:sz w:val="16"/>
                <w:szCs w:val="16"/>
                <w:lang w:val="ru-RU"/>
              </w:rPr>
            </w:pPr>
            <w:r w:rsidRPr="00B655FE">
              <w:rPr>
                <w:b/>
                <w:sz w:val="16"/>
                <w:szCs w:val="16"/>
                <w:lang w:val="ru-RU"/>
              </w:rPr>
              <w:t>Показатели результативности</w:t>
            </w:r>
          </w:p>
        </w:tc>
        <w:tc>
          <w:tcPr>
            <w:tcW w:w="1269" w:type="pct"/>
            <w:gridSpan w:val="4"/>
            <w:tcBorders>
              <w:top w:val="single" w:sz="4" w:space="0" w:color="auto"/>
            </w:tcBorders>
            <w:shd w:val="clear" w:color="auto" w:fill="auto"/>
            <w:vAlign w:val="center"/>
          </w:tcPr>
          <w:p w:rsidR="00FA0032" w:rsidRPr="00B655FE" w:rsidRDefault="00FA0032" w:rsidP="00C61544">
            <w:pPr>
              <w:keepNext/>
              <w:keepLines/>
              <w:rPr>
                <w:rFonts w:cs="Arial"/>
                <w:b/>
                <w:bCs/>
                <w:sz w:val="16"/>
                <w:szCs w:val="16"/>
                <w:lang w:val="ru-RU"/>
              </w:rPr>
            </w:pPr>
            <w:r w:rsidRPr="00B655FE">
              <w:rPr>
                <w:b/>
                <w:sz w:val="16"/>
                <w:szCs w:val="16"/>
                <w:lang w:val="ru-RU"/>
              </w:rPr>
              <w:t>Базовые показатели</w:t>
            </w:r>
          </w:p>
        </w:tc>
        <w:tc>
          <w:tcPr>
            <w:tcW w:w="787" w:type="pct"/>
            <w:gridSpan w:val="3"/>
            <w:tcBorders>
              <w:top w:val="single" w:sz="4" w:space="0" w:color="auto"/>
            </w:tcBorders>
            <w:shd w:val="clear" w:color="auto" w:fill="auto"/>
            <w:tcMar>
              <w:top w:w="110" w:type="dxa"/>
            </w:tcMar>
            <w:vAlign w:val="center"/>
          </w:tcPr>
          <w:p w:rsidR="00FA0032" w:rsidRPr="00B655FE" w:rsidRDefault="00FA0032" w:rsidP="00C61544">
            <w:pPr>
              <w:keepNext/>
              <w:keepLines/>
              <w:rPr>
                <w:rFonts w:cs="Arial"/>
                <w:b/>
                <w:sz w:val="16"/>
                <w:szCs w:val="16"/>
                <w:lang w:val="ru-RU"/>
              </w:rPr>
            </w:pPr>
            <w:r w:rsidRPr="00B655FE">
              <w:rPr>
                <w:b/>
                <w:sz w:val="16"/>
                <w:szCs w:val="16"/>
                <w:lang w:val="ru-RU"/>
              </w:rPr>
              <w:t>Цели</w:t>
            </w:r>
          </w:p>
        </w:tc>
        <w:tc>
          <w:tcPr>
            <w:tcW w:w="1382" w:type="pct"/>
            <w:tcBorders>
              <w:top w:val="single" w:sz="4" w:space="0" w:color="auto"/>
            </w:tcBorders>
            <w:shd w:val="clear" w:color="auto" w:fill="FFFFFF"/>
            <w:tcMar>
              <w:top w:w="110" w:type="dxa"/>
            </w:tcMar>
            <w:vAlign w:val="center"/>
          </w:tcPr>
          <w:p w:rsidR="00FA0032" w:rsidRPr="00B655FE" w:rsidRDefault="00FA0032" w:rsidP="00C61544">
            <w:pPr>
              <w:keepNext/>
              <w:keepLines/>
              <w:rPr>
                <w:rFonts w:cs="Arial"/>
                <w:sz w:val="16"/>
                <w:szCs w:val="16"/>
                <w:lang w:val="ru-RU"/>
              </w:rPr>
            </w:pPr>
            <w:r w:rsidRPr="00B655FE">
              <w:rPr>
                <w:b/>
                <w:sz w:val="16"/>
                <w:szCs w:val="16"/>
                <w:lang w:val="ru-RU"/>
              </w:rPr>
              <w:t>Данные о результативности</w:t>
            </w:r>
          </w:p>
        </w:tc>
        <w:tc>
          <w:tcPr>
            <w:tcW w:w="504" w:type="pct"/>
            <w:tcBorders>
              <w:top w:val="single" w:sz="4" w:space="0" w:color="auto"/>
            </w:tcBorders>
            <w:shd w:val="clear" w:color="auto" w:fill="auto"/>
            <w:tcMar>
              <w:top w:w="110" w:type="dxa"/>
            </w:tcMar>
            <w:vAlign w:val="center"/>
          </w:tcPr>
          <w:p w:rsidR="00FA0032" w:rsidRPr="00B655FE" w:rsidRDefault="00FA0032" w:rsidP="00C61544">
            <w:pPr>
              <w:keepNext/>
              <w:keepLines/>
              <w:jc w:val="center"/>
              <w:rPr>
                <w:rFonts w:cs="Arial"/>
                <w:b/>
                <w:bCs/>
                <w:sz w:val="16"/>
                <w:szCs w:val="16"/>
                <w:lang w:val="ru-RU"/>
              </w:rPr>
            </w:pPr>
            <w:r w:rsidRPr="000D6F9B">
              <w:rPr>
                <w:b/>
                <w:sz w:val="16"/>
                <w:szCs w:val="16"/>
              </w:rPr>
              <w:t>CC</w:t>
            </w:r>
          </w:p>
        </w:tc>
      </w:tr>
      <w:tr w:rsidR="00FA0032" w:rsidRPr="000D6F9B" w:rsidTr="008320CF">
        <w:tc>
          <w:tcPr>
            <w:tcW w:w="1058" w:type="pct"/>
            <w:shd w:val="clear" w:color="auto" w:fill="auto"/>
          </w:tcPr>
          <w:p w:rsidR="00FA0032" w:rsidRPr="00FA0032" w:rsidRDefault="00FA0032" w:rsidP="00C61544">
            <w:pPr>
              <w:rPr>
                <w:rFonts w:cs="Arial"/>
                <w:sz w:val="16"/>
                <w:szCs w:val="16"/>
                <w:lang w:val="ru-RU"/>
              </w:rPr>
            </w:pPr>
            <w:r w:rsidRPr="00FA0032">
              <w:rPr>
                <w:sz w:val="16"/>
                <w:szCs w:val="16"/>
                <w:lang w:val="ru-RU"/>
              </w:rPr>
              <w:t>Ремонт/ модернизация/ перестройка зданий на территории ВОИС для обеспечения их соответствия назначению</w:t>
            </w:r>
          </w:p>
        </w:tc>
        <w:tc>
          <w:tcPr>
            <w:tcW w:w="1269" w:type="pct"/>
            <w:gridSpan w:val="4"/>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г.:</w:t>
            </w:r>
            <w:r w:rsidRPr="00FA0032">
              <w:rPr>
                <w:sz w:val="16"/>
                <w:szCs w:val="16"/>
                <w:lang w:val="ru-RU"/>
              </w:rPr>
              <w:t xml:space="preserve"> </w:t>
            </w:r>
            <w:r w:rsidRPr="00FA0032">
              <w:rPr>
                <w:color w:val="002060"/>
                <w:sz w:val="16"/>
                <w:szCs w:val="16"/>
                <w:lang w:val="ru-RU"/>
              </w:rPr>
              <w:t xml:space="preserve">системы охлаждения зданий </w:t>
            </w:r>
            <w:r w:rsidRPr="000D6F9B">
              <w:rPr>
                <w:color w:val="002060"/>
                <w:sz w:val="16"/>
                <w:szCs w:val="16"/>
              </w:rPr>
              <w:t>GBI</w:t>
            </w:r>
            <w:r w:rsidRPr="00FA0032">
              <w:rPr>
                <w:color w:val="002060"/>
                <w:sz w:val="16"/>
                <w:szCs w:val="16"/>
                <w:lang w:val="ru-RU"/>
              </w:rPr>
              <w:t xml:space="preserve"> и </w:t>
            </w:r>
            <w:r w:rsidRPr="000D6F9B">
              <w:rPr>
                <w:color w:val="002060"/>
                <w:sz w:val="16"/>
                <w:szCs w:val="16"/>
              </w:rPr>
              <w:t>GBII</w:t>
            </w:r>
            <w:r w:rsidRPr="00FA0032">
              <w:rPr>
                <w:color w:val="002060"/>
                <w:sz w:val="16"/>
                <w:szCs w:val="16"/>
                <w:lang w:val="ru-RU"/>
              </w:rPr>
              <w:t>, использующие водную систему Женевского озера, были обновлены, и их монтаж был завершен в 2012</w:t>
            </w:r>
            <w:r w:rsidRPr="000D6F9B">
              <w:rPr>
                <w:color w:val="002060"/>
                <w:sz w:val="16"/>
                <w:szCs w:val="16"/>
              </w:rPr>
              <w:t> </w:t>
            </w:r>
            <w:r w:rsidRPr="00FA0032">
              <w:rPr>
                <w:color w:val="002060"/>
                <w:sz w:val="16"/>
                <w:szCs w:val="16"/>
                <w:lang w:val="ru-RU"/>
              </w:rPr>
              <w:t>г. и июне 2013</w:t>
            </w:r>
            <w:r w:rsidRPr="000D6F9B">
              <w:rPr>
                <w:color w:val="002060"/>
                <w:sz w:val="16"/>
                <w:szCs w:val="16"/>
              </w:rPr>
              <w:t> </w:t>
            </w:r>
            <w:r w:rsidRPr="00FA0032">
              <w:rPr>
                <w:color w:val="002060"/>
                <w:sz w:val="16"/>
                <w:szCs w:val="16"/>
                <w:lang w:val="ru-RU"/>
              </w:rPr>
              <w:t>г. соответственно.</w:t>
            </w:r>
          </w:p>
          <w:p w:rsidR="00FA0032" w:rsidRPr="00FA0032" w:rsidRDefault="00FA0032" w:rsidP="00C61544">
            <w:pPr>
              <w:rPr>
                <w:color w:val="002060"/>
                <w:sz w:val="16"/>
                <w:szCs w:val="16"/>
                <w:lang w:val="ru-RU"/>
              </w:rPr>
            </w:pPr>
          </w:p>
          <w:p w:rsidR="00FA0032" w:rsidRPr="00FA0032" w:rsidRDefault="00FA0032" w:rsidP="00C61544">
            <w:pPr>
              <w:rPr>
                <w:rFonts w:cstheme="minorBidi"/>
                <w:color w:val="002060"/>
                <w:sz w:val="16"/>
                <w:szCs w:val="16"/>
                <w:lang w:val="ru-RU"/>
              </w:rPr>
            </w:pPr>
            <w:r w:rsidRPr="00FA0032">
              <w:rPr>
                <w:color w:val="002060"/>
                <w:sz w:val="16"/>
                <w:szCs w:val="16"/>
                <w:lang w:val="ru-RU"/>
              </w:rPr>
              <w:t>В 2012</w:t>
            </w:r>
            <w:r>
              <w:rPr>
                <w:color w:val="002060"/>
                <w:sz w:val="16"/>
                <w:szCs w:val="16"/>
              </w:rPr>
              <w:t> </w:t>
            </w:r>
            <w:r w:rsidRPr="00FA0032">
              <w:rPr>
                <w:color w:val="002060"/>
                <w:sz w:val="16"/>
                <w:szCs w:val="16"/>
                <w:lang w:val="ru-RU"/>
              </w:rPr>
              <w:t>г. началась модернизация электрооборудования самого старого здания (</w:t>
            </w:r>
            <w:r w:rsidRPr="000D6F9B">
              <w:rPr>
                <w:color w:val="002060"/>
                <w:sz w:val="16"/>
                <w:szCs w:val="16"/>
              </w:rPr>
              <w:t>GBI</w:t>
            </w:r>
            <w:r w:rsidRPr="00FA0032">
              <w:rPr>
                <w:color w:val="002060"/>
                <w:sz w:val="16"/>
                <w:szCs w:val="16"/>
                <w:lang w:val="ru-RU"/>
              </w:rPr>
              <w:t>), чтобы привести его в соответствие с недавно принятым местным законодательством и получить дополнительные преимущества за счет создания технической базы для снижения энергопотребления.  Она была завершена в 2013</w:t>
            </w:r>
            <w:r w:rsidRPr="000D6F9B">
              <w:rPr>
                <w:color w:val="002060"/>
                <w:sz w:val="16"/>
                <w:szCs w:val="16"/>
              </w:rPr>
              <w:t> </w:t>
            </w:r>
            <w:r w:rsidRPr="00FA0032">
              <w:rPr>
                <w:color w:val="002060"/>
                <w:sz w:val="16"/>
                <w:szCs w:val="16"/>
                <w:lang w:val="ru-RU"/>
              </w:rPr>
              <w:t xml:space="preserve">г. </w:t>
            </w:r>
          </w:p>
          <w:p w:rsidR="00FA0032" w:rsidRPr="00FA0032" w:rsidRDefault="00FA0032" w:rsidP="00C61544">
            <w:pPr>
              <w:rPr>
                <w:rFonts w:cstheme="minorBidi"/>
                <w:color w:val="002060"/>
                <w:sz w:val="16"/>
                <w:szCs w:val="16"/>
                <w:lang w:val="ru-RU"/>
              </w:rPr>
            </w:pPr>
          </w:p>
          <w:p w:rsidR="00FA0032" w:rsidRPr="00FA0032" w:rsidRDefault="00FA0032" w:rsidP="00C61544">
            <w:pPr>
              <w:rPr>
                <w:sz w:val="16"/>
                <w:szCs w:val="16"/>
                <w:lang w:val="ru-RU"/>
              </w:rPr>
            </w:pPr>
            <w:r w:rsidRPr="00FA0032">
              <w:rPr>
                <w:i/>
                <w:sz w:val="16"/>
                <w:szCs w:val="16"/>
                <w:lang w:val="ru-RU"/>
              </w:rPr>
              <w:t xml:space="preserve">Исходные базовые показатели ПиБ на 2014–2015 гг.: </w:t>
            </w:r>
            <w:r w:rsidRPr="00FA0032">
              <w:rPr>
                <w:sz w:val="16"/>
                <w:szCs w:val="16"/>
                <w:lang w:val="ru-RU"/>
              </w:rPr>
              <w:t>шестилетний план первого этапа необходимого ремонта, перестройки и(или) модернизации помещений на территории ВОИС</w:t>
            </w:r>
          </w:p>
        </w:tc>
        <w:tc>
          <w:tcPr>
            <w:tcW w:w="787" w:type="pct"/>
            <w:gridSpan w:val="3"/>
            <w:shd w:val="clear" w:color="auto" w:fill="auto"/>
            <w:tcMar>
              <w:top w:w="110" w:type="dxa"/>
            </w:tcMar>
          </w:tcPr>
          <w:p w:rsidR="00FA0032" w:rsidRPr="00FA0032" w:rsidRDefault="00FA0032" w:rsidP="00C61544">
            <w:pPr>
              <w:rPr>
                <w:rFonts w:cs="Arial"/>
                <w:sz w:val="16"/>
                <w:szCs w:val="16"/>
                <w:lang w:val="ru-RU"/>
              </w:rPr>
            </w:pPr>
            <w:r w:rsidRPr="00FA0032">
              <w:rPr>
                <w:sz w:val="16"/>
                <w:szCs w:val="16"/>
                <w:lang w:val="ru-RU"/>
              </w:rPr>
              <w:t>Осуществление проектов капитального ремонта, перестройки и(или) модернизации в соответствии с шестилетним планом</w:t>
            </w:r>
          </w:p>
        </w:tc>
        <w:tc>
          <w:tcPr>
            <w:tcW w:w="1382" w:type="pct"/>
            <w:shd w:val="clear" w:color="auto" w:fill="FFFFFF"/>
            <w:tcMar>
              <w:top w:w="110" w:type="dxa"/>
            </w:tcMar>
          </w:tcPr>
          <w:p w:rsidR="00FA0032" w:rsidRPr="00FA0032" w:rsidRDefault="00FA0032" w:rsidP="00C61544">
            <w:pPr>
              <w:pStyle w:val="Default"/>
              <w:rPr>
                <w:sz w:val="16"/>
                <w:szCs w:val="16"/>
                <w:lang w:val="ru-RU"/>
              </w:rPr>
            </w:pPr>
            <w:r w:rsidRPr="00FA0032">
              <w:rPr>
                <w:sz w:val="16"/>
                <w:szCs w:val="16"/>
                <w:lang w:val="ru-RU"/>
              </w:rPr>
              <w:t xml:space="preserve">См. дополнение </w:t>
            </w:r>
            <w:r w:rsidRPr="000D6F9B">
              <w:rPr>
                <w:sz w:val="16"/>
                <w:szCs w:val="16"/>
              </w:rPr>
              <w:t>III</w:t>
            </w:r>
            <w:r w:rsidRPr="00FA0032">
              <w:rPr>
                <w:sz w:val="16"/>
                <w:szCs w:val="16"/>
                <w:lang w:val="ru-RU"/>
              </w:rPr>
              <w:t>. Отчет о ходе реализации Генерального плана капитального ремонта (ГПКР) в 2014</w:t>
            </w:r>
            <w:r w:rsidRPr="000D6F9B">
              <w:rPr>
                <w:sz w:val="16"/>
                <w:szCs w:val="16"/>
              </w:rPr>
              <w:t> </w:t>
            </w:r>
            <w:r w:rsidRPr="00FA0032">
              <w:rPr>
                <w:sz w:val="16"/>
                <w:szCs w:val="16"/>
                <w:lang w:val="ru-RU"/>
              </w:rPr>
              <w:t>г.</w:t>
            </w:r>
            <w:r w:rsidRPr="000D6F9B">
              <w:rPr>
                <w:rStyle w:val="FootnoteReference"/>
                <w:sz w:val="16"/>
                <w:szCs w:val="16"/>
              </w:rPr>
              <w:footnoteReference w:id="137"/>
            </w:r>
            <w:r w:rsidRPr="00FA0032">
              <w:rPr>
                <w:sz w:val="16"/>
                <w:szCs w:val="16"/>
                <w:lang w:val="ru-RU"/>
              </w:rPr>
              <w:t xml:space="preserve"> и 2015</w:t>
            </w:r>
            <w:r w:rsidRPr="000D6F9B">
              <w:rPr>
                <w:sz w:val="16"/>
                <w:szCs w:val="16"/>
              </w:rPr>
              <w:t> </w:t>
            </w:r>
            <w:r w:rsidRPr="00FA0032">
              <w:rPr>
                <w:sz w:val="16"/>
                <w:szCs w:val="16"/>
                <w:lang w:val="ru-RU"/>
              </w:rPr>
              <w:t xml:space="preserve">г. </w:t>
            </w:r>
          </w:p>
          <w:p w:rsidR="00FA0032" w:rsidRPr="00FA0032" w:rsidRDefault="00FA0032" w:rsidP="00C61544">
            <w:pPr>
              <w:rPr>
                <w:rFonts w:cs="Arial"/>
                <w:sz w:val="16"/>
                <w:szCs w:val="16"/>
                <w:lang w:val="ru-RU"/>
              </w:rPr>
            </w:pPr>
          </w:p>
          <w:p w:rsidR="00FA0032" w:rsidRPr="00FA0032" w:rsidRDefault="00FA0032" w:rsidP="00C61544">
            <w:pPr>
              <w:pStyle w:val="Default"/>
              <w:rPr>
                <w:sz w:val="16"/>
                <w:szCs w:val="16"/>
                <w:lang w:val="ru-RU"/>
              </w:rPr>
            </w:pPr>
            <w:r w:rsidRPr="00FA0032">
              <w:rPr>
                <w:sz w:val="16"/>
                <w:szCs w:val="16"/>
                <w:lang w:val="ru-RU"/>
              </w:rPr>
              <w:t>Помимо ГПКР, в 2014</w:t>
            </w:r>
            <w:r w:rsidRPr="000D6F9B">
              <w:rPr>
                <w:sz w:val="16"/>
                <w:szCs w:val="16"/>
              </w:rPr>
              <w:t> </w:t>
            </w:r>
            <w:r w:rsidRPr="00FA0032">
              <w:rPr>
                <w:sz w:val="16"/>
                <w:szCs w:val="16"/>
                <w:lang w:val="ru-RU"/>
              </w:rPr>
              <w:t xml:space="preserve">г. были реализованы следующие проекты по модернизации и трансформации:  </w:t>
            </w:r>
          </w:p>
          <w:p w:rsidR="00FA0032" w:rsidRPr="00FA0032" w:rsidRDefault="00FA0032" w:rsidP="00C61544">
            <w:pPr>
              <w:pStyle w:val="Default"/>
              <w:rPr>
                <w:sz w:val="16"/>
                <w:szCs w:val="16"/>
                <w:lang w:val="ru-RU"/>
              </w:rPr>
            </w:pPr>
            <w:r w:rsidRPr="00FA0032">
              <w:rPr>
                <w:sz w:val="16"/>
                <w:szCs w:val="16"/>
                <w:lang w:val="ru-RU"/>
              </w:rPr>
              <w:t>(</w:t>
            </w:r>
            <w:r>
              <w:rPr>
                <w:sz w:val="16"/>
                <w:szCs w:val="16"/>
              </w:rPr>
              <w:t>i</w:t>
            </w:r>
            <w:r w:rsidRPr="00FA0032">
              <w:rPr>
                <w:sz w:val="16"/>
                <w:szCs w:val="16"/>
                <w:lang w:val="ru-RU"/>
              </w:rPr>
              <w:t>)</w:t>
            </w:r>
            <w:r>
              <w:rPr>
                <w:sz w:val="16"/>
                <w:szCs w:val="16"/>
              </w:rPr>
              <w:t> </w:t>
            </w:r>
            <w:r w:rsidRPr="00FA0032">
              <w:rPr>
                <w:sz w:val="16"/>
                <w:szCs w:val="16"/>
                <w:lang w:val="ru-RU"/>
              </w:rPr>
              <w:t>проведение основной структурной работы в мультимедийной студии; (</w:t>
            </w:r>
            <w:r>
              <w:rPr>
                <w:sz w:val="16"/>
                <w:szCs w:val="16"/>
              </w:rPr>
              <w:t>ii</w:t>
            </w:r>
            <w:r w:rsidRPr="00FA0032">
              <w:rPr>
                <w:sz w:val="16"/>
                <w:szCs w:val="16"/>
                <w:lang w:val="ru-RU"/>
              </w:rPr>
              <w:t>)</w:t>
            </w:r>
            <w:r>
              <w:rPr>
                <w:sz w:val="16"/>
                <w:szCs w:val="16"/>
              </w:rPr>
              <w:t> </w:t>
            </w:r>
            <w:r w:rsidRPr="00FA0032">
              <w:rPr>
                <w:sz w:val="16"/>
                <w:szCs w:val="16"/>
                <w:lang w:val="ru-RU"/>
              </w:rPr>
              <w:t xml:space="preserve">обновление технического оборудования и систем технического управления (электричество; система распределения воды; повышение мощности и охлаждающих возможностей в центре данных нового здания; замена охлаждающего стояка для дополнительного охлаждения; обновление молниеотвода в зданиях </w:t>
            </w:r>
            <w:r>
              <w:rPr>
                <w:sz w:val="16"/>
                <w:szCs w:val="16"/>
              </w:rPr>
              <w:t>PCT</w:t>
            </w:r>
            <w:r w:rsidRPr="00FA0032">
              <w:rPr>
                <w:sz w:val="16"/>
                <w:szCs w:val="16"/>
                <w:lang w:val="ru-RU"/>
              </w:rPr>
              <w:t xml:space="preserve"> и </w:t>
            </w:r>
            <w:r>
              <w:rPr>
                <w:sz w:val="16"/>
                <w:szCs w:val="16"/>
              </w:rPr>
              <w:t>GBII</w:t>
            </w:r>
            <w:r w:rsidRPr="00FA0032">
              <w:rPr>
                <w:sz w:val="16"/>
                <w:szCs w:val="16"/>
                <w:lang w:val="ru-RU"/>
              </w:rPr>
              <w:t>); (</w:t>
            </w:r>
            <w:r>
              <w:rPr>
                <w:sz w:val="16"/>
                <w:szCs w:val="16"/>
              </w:rPr>
              <w:t>iii</w:t>
            </w:r>
            <w:r w:rsidRPr="00FA0032">
              <w:rPr>
                <w:sz w:val="16"/>
                <w:szCs w:val="16"/>
                <w:lang w:val="ru-RU"/>
              </w:rPr>
              <w:t>)</w:t>
            </w:r>
            <w:r>
              <w:rPr>
                <w:sz w:val="16"/>
                <w:szCs w:val="16"/>
              </w:rPr>
              <w:t> </w:t>
            </w:r>
            <w:r w:rsidRPr="00FA0032">
              <w:rPr>
                <w:sz w:val="16"/>
                <w:szCs w:val="16"/>
                <w:lang w:val="ru-RU"/>
              </w:rPr>
              <w:t xml:space="preserve">обновление системы вентиляции в здании </w:t>
            </w:r>
            <w:r w:rsidRPr="000D6F9B">
              <w:rPr>
                <w:sz w:val="16"/>
                <w:szCs w:val="16"/>
              </w:rPr>
              <w:t>AB</w:t>
            </w:r>
            <w:r w:rsidRPr="00FA0032">
              <w:rPr>
                <w:sz w:val="16"/>
                <w:szCs w:val="16"/>
                <w:lang w:val="ru-RU"/>
              </w:rPr>
              <w:t xml:space="preserve"> (на 11-м и 13-м этажах); и (</w:t>
            </w:r>
            <w:r>
              <w:rPr>
                <w:sz w:val="16"/>
                <w:szCs w:val="16"/>
              </w:rPr>
              <w:t>iv</w:t>
            </w:r>
            <w:r w:rsidRPr="00FA0032">
              <w:rPr>
                <w:sz w:val="16"/>
                <w:szCs w:val="16"/>
                <w:lang w:val="ru-RU"/>
              </w:rPr>
              <w:t>)</w:t>
            </w:r>
            <w:r>
              <w:rPr>
                <w:sz w:val="16"/>
                <w:szCs w:val="16"/>
              </w:rPr>
              <w:t> </w:t>
            </w:r>
            <w:r w:rsidRPr="00FA0032">
              <w:rPr>
                <w:sz w:val="16"/>
                <w:szCs w:val="16"/>
                <w:lang w:val="ru-RU"/>
              </w:rPr>
              <w:t xml:space="preserve">обновление технической аварийной сигнальной системы в новом здании.  </w:t>
            </w:r>
          </w:p>
          <w:p w:rsidR="00FA0032" w:rsidRPr="00FA0032" w:rsidRDefault="00FA0032" w:rsidP="00C61544">
            <w:pPr>
              <w:pStyle w:val="Default"/>
              <w:rPr>
                <w:sz w:val="16"/>
                <w:szCs w:val="16"/>
                <w:lang w:val="ru-RU"/>
              </w:rPr>
            </w:pPr>
          </w:p>
          <w:p w:rsidR="00FA0032" w:rsidRPr="00FA0032" w:rsidRDefault="00FA0032" w:rsidP="00C61544">
            <w:pPr>
              <w:pStyle w:val="Default"/>
              <w:rPr>
                <w:sz w:val="16"/>
                <w:szCs w:val="16"/>
                <w:lang w:val="ru-RU"/>
              </w:rPr>
            </w:pPr>
            <w:r w:rsidRPr="00FA0032">
              <w:rPr>
                <w:sz w:val="16"/>
                <w:szCs w:val="16"/>
                <w:lang w:val="ru-RU"/>
              </w:rPr>
              <w:t>В 2015</w:t>
            </w:r>
            <w:r w:rsidRPr="000D6F9B">
              <w:rPr>
                <w:sz w:val="16"/>
                <w:szCs w:val="16"/>
              </w:rPr>
              <w:t> </w:t>
            </w:r>
            <w:r w:rsidRPr="00FA0032">
              <w:rPr>
                <w:sz w:val="16"/>
                <w:szCs w:val="16"/>
                <w:lang w:val="ru-RU"/>
              </w:rPr>
              <w:t xml:space="preserve">г. были реализованы следующие проекты по модернизации и трансформации:  </w:t>
            </w:r>
          </w:p>
          <w:p w:rsidR="00FA0032" w:rsidRPr="00FA0032" w:rsidRDefault="00FA0032" w:rsidP="00C61544">
            <w:pPr>
              <w:pStyle w:val="Default"/>
              <w:rPr>
                <w:sz w:val="16"/>
                <w:szCs w:val="16"/>
                <w:lang w:val="ru-RU"/>
              </w:rPr>
            </w:pPr>
            <w:r w:rsidRPr="00FA0032">
              <w:rPr>
                <w:sz w:val="16"/>
                <w:szCs w:val="16"/>
                <w:lang w:val="ru-RU"/>
              </w:rPr>
              <w:t>(</w:t>
            </w:r>
            <w:r w:rsidRPr="000D6F9B">
              <w:rPr>
                <w:sz w:val="16"/>
                <w:szCs w:val="16"/>
              </w:rPr>
              <w:t>i</w:t>
            </w:r>
            <w:r w:rsidRPr="00FA0032">
              <w:rPr>
                <w:sz w:val="16"/>
                <w:szCs w:val="16"/>
                <w:lang w:val="ru-RU"/>
              </w:rPr>
              <w:t>)</w:t>
            </w:r>
            <w:r w:rsidRPr="000D6F9B">
              <w:rPr>
                <w:sz w:val="16"/>
                <w:szCs w:val="16"/>
              </w:rPr>
              <w:t> </w:t>
            </w:r>
            <w:r w:rsidRPr="00FA0032">
              <w:rPr>
                <w:sz w:val="16"/>
                <w:szCs w:val="16"/>
                <w:lang w:val="ru-RU"/>
              </w:rPr>
              <w:t xml:space="preserve">модернизация электрооборудования и замена осветительных приборов на различных этажах и подземных уровнях здания </w:t>
            </w:r>
            <w:r w:rsidRPr="000D6F9B">
              <w:rPr>
                <w:sz w:val="16"/>
                <w:szCs w:val="16"/>
              </w:rPr>
              <w:t>AB</w:t>
            </w:r>
            <w:r w:rsidRPr="00FA0032">
              <w:rPr>
                <w:sz w:val="16"/>
                <w:szCs w:val="16"/>
                <w:lang w:val="ru-RU"/>
              </w:rPr>
              <w:t>; (</w:t>
            </w:r>
            <w:r w:rsidRPr="000D6F9B">
              <w:rPr>
                <w:sz w:val="16"/>
                <w:szCs w:val="16"/>
              </w:rPr>
              <w:t>ii</w:t>
            </w:r>
            <w:r w:rsidRPr="00FA0032">
              <w:rPr>
                <w:sz w:val="16"/>
                <w:szCs w:val="16"/>
                <w:lang w:val="ru-RU"/>
              </w:rPr>
              <w:t>)</w:t>
            </w:r>
            <w:r w:rsidRPr="000D6F9B">
              <w:rPr>
                <w:sz w:val="16"/>
                <w:szCs w:val="16"/>
              </w:rPr>
              <w:t> </w:t>
            </w:r>
            <w:r w:rsidRPr="00FA0032">
              <w:rPr>
                <w:sz w:val="16"/>
                <w:szCs w:val="16"/>
                <w:lang w:val="ru-RU"/>
              </w:rPr>
              <w:t>создание нового служебного входа в целях упрощения доступа автотранспорта на первый этаж нового здания; (</w:t>
            </w:r>
            <w:r w:rsidRPr="000D6F9B">
              <w:rPr>
                <w:sz w:val="16"/>
                <w:szCs w:val="16"/>
              </w:rPr>
              <w:t>iii</w:t>
            </w:r>
            <w:r w:rsidRPr="00FA0032">
              <w:rPr>
                <w:sz w:val="16"/>
                <w:szCs w:val="16"/>
                <w:lang w:val="ru-RU"/>
              </w:rPr>
              <w:t>)</w:t>
            </w:r>
            <w:r w:rsidRPr="000D6F9B">
              <w:rPr>
                <w:sz w:val="16"/>
                <w:szCs w:val="16"/>
              </w:rPr>
              <w:t> </w:t>
            </w:r>
            <w:r w:rsidRPr="00FA0032">
              <w:rPr>
                <w:sz w:val="16"/>
                <w:szCs w:val="16"/>
                <w:lang w:val="ru-RU"/>
              </w:rPr>
              <w:t xml:space="preserve">модернизация вентиляционного и охлаждающего оборудования в зданиях </w:t>
            </w:r>
            <w:r w:rsidRPr="000D6F9B">
              <w:rPr>
                <w:sz w:val="16"/>
                <w:szCs w:val="16"/>
              </w:rPr>
              <w:t>AB</w:t>
            </w:r>
            <w:r w:rsidRPr="00FA0032">
              <w:rPr>
                <w:sz w:val="16"/>
                <w:szCs w:val="16"/>
                <w:lang w:val="ru-RU"/>
              </w:rPr>
              <w:t xml:space="preserve"> и </w:t>
            </w:r>
            <w:r w:rsidRPr="000D6F9B">
              <w:rPr>
                <w:sz w:val="16"/>
                <w:szCs w:val="16"/>
              </w:rPr>
              <w:t>PCT</w:t>
            </w:r>
            <w:r w:rsidRPr="00FA0032">
              <w:rPr>
                <w:sz w:val="16"/>
                <w:szCs w:val="16"/>
                <w:lang w:val="ru-RU"/>
              </w:rPr>
              <w:t>; (</w:t>
            </w:r>
            <w:r w:rsidRPr="000D6F9B">
              <w:rPr>
                <w:sz w:val="16"/>
                <w:szCs w:val="16"/>
              </w:rPr>
              <w:t>iv</w:t>
            </w:r>
            <w:r w:rsidRPr="00FA0032">
              <w:rPr>
                <w:sz w:val="16"/>
                <w:szCs w:val="16"/>
                <w:lang w:val="ru-RU"/>
              </w:rPr>
              <w:t>)</w:t>
            </w:r>
            <w:r w:rsidRPr="000D6F9B">
              <w:rPr>
                <w:sz w:val="16"/>
                <w:szCs w:val="16"/>
              </w:rPr>
              <w:t> </w:t>
            </w:r>
            <w:r w:rsidRPr="00FA0032">
              <w:rPr>
                <w:sz w:val="16"/>
                <w:szCs w:val="16"/>
                <w:lang w:val="ru-RU"/>
              </w:rPr>
              <w:t xml:space="preserve">обслуживание одного эксплуатационного сегмента водопровода в здании </w:t>
            </w:r>
            <w:r w:rsidRPr="000D6F9B">
              <w:rPr>
                <w:sz w:val="16"/>
                <w:szCs w:val="16"/>
              </w:rPr>
              <w:t>AB</w:t>
            </w:r>
            <w:r w:rsidRPr="00FA0032">
              <w:rPr>
                <w:sz w:val="16"/>
                <w:szCs w:val="16"/>
                <w:lang w:val="ru-RU"/>
              </w:rPr>
              <w:t>; (</w:t>
            </w:r>
            <w:r w:rsidRPr="000D6F9B">
              <w:rPr>
                <w:sz w:val="16"/>
                <w:szCs w:val="16"/>
              </w:rPr>
              <w:t>v</w:t>
            </w:r>
            <w:r w:rsidRPr="00FA0032">
              <w:rPr>
                <w:sz w:val="16"/>
                <w:szCs w:val="16"/>
                <w:lang w:val="ru-RU"/>
              </w:rPr>
              <w:t>)</w:t>
            </w:r>
            <w:r w:rsidRPr="000D6F9B">
              <w:rPr>
                <w:sz w:val="16"/>
                <w:szCs w:val="16"/>
              </w:rPr>
              <w:t> </w:t>
            </w:r>
            <w:r w:rsidRPr="00FA0032">
              <w:rPr>
                <w:sz w:val="16"/>
                <w:szCs w:val="16"/>
                <w:lang w:val="ru-RU"/>
              </w:rPr>
              <w:t xml:space="preserve">замена промышленной посудомоечной машины в кафетерии в здании </w:t>
            </w:r>
            <w:r w:rsidRPr="000D6F9B">
              <w:rPr>
                <w:sz w:val="16"/>
                <w:szCs w:val="16"/>
              </w:rPr>
              <w:t>PCT</w:t>
            </w:r>
            <w:r w:rsidRPr="00FA0032">
              <w:rPr>
                <w:sz w:val="16"/>
                <w:szCs w:val="16"/>
                <w:lang w:val="ru-RU"/>
              </w:rPr>
              <w:t>.</w:t>
            </w:r>
          </w:p>
          <w:p w:rsidR="00FA0032" w:rsidRPr="00FA0032" w:rsidRDefault="00FA0032" w:rsidP="00C61544">
            <w:pPr>
              <w:pStyle w:val="Default"/>
              <w:rPr>
                <w:sz w:val="16"/>
                <w:szCs w:val="16"/>
                <w:lang w:val="ru-RU"/>
              </w:rPr>
            </w:pPr>
          </w:p>
        </w:tc>
        <w:tc>
          <w:tcPr>
            <w:tcW w:w="504" w:type="pct"/>
            <w:shd w:val="clear" w:color="auto" w:fill="auto"/>
            <w:tcMar>
              <w:top w:w="110" w:type="dxa"/>
            </w:tcMar>
          </w:tcPr>
          <w:p w:rsidR="00FA0032" w:rsidRPr="000D6F9B" w:rsidRDefault="00FA0032" w:rsidP="00C61544">
            <w:pPr>
              <w:pStyle w:val="Default"/>
              <w:jc w:val="center"/>
              <w:rPr>
                <w:color w:val="00AF50"/>
                <w:sz w:val="16"/>
                <w:szCs w:val="16"/>
              </w:rPr>
            </w:pPr>
            <w:r w:rsidRPr="000D6F9B">
              <w:rPr>
                <w:b/>
                <w:color w:val="00AF50"/>
                <w:sz w:val="16"/>
                <w:szCs w:val="16"/>
              </w:rPr>
              <w:t>Выполнено</w:t>
            </w:r>
          </w:p>
          <w:p w:rsidR="00FA0032" w:rsidRPr="000D6F9B" w:rsidRDefault="00FA0032" w:rsidP="00C61544">
            <w:pPr>
              <w:keepNext/>
              <w:keepLines/>
              <w:jc w:val="center"/>
              <w:rPr>
                <w:rFonts w:cs="Arial"/>
                <w:bCs/>
                <w:color w:val="FF0000"/>
                <w:sz w:val="16"/>
                <w:szCs w:val="16"/>
              </w:rPr>
            </w:pPr>
          </w:p>
        </w:tc>
      </w:tr>
      <w:tr w:rsidR="00FA0032" w:rsidRPr="000D6F9B" w:rsidTr="008320CF">
        <w:trPr>
          <w:cantSplit/>
        </w:trPr>
        <w:tc>
          <w:tcPr>
            <w:tcW w:w="1058" w:type="pct"/>
            <w:tcBorders>
              <w:bottom w:val="single" w:sz="4" w:space="0" w:color="auto"/>
            </w:tcBorders>
            <w:shd w:val="clear" w:color="auto" w:fill="auto"/>
          </w:tcPr>
          <w:p w:rsidR="00FA0032" w:rsidRPr="00FA0032" w:rsidRDefault="00FA0032" w:rsidP="00C61544">
            <w:pPr>
              <w:rPr>
                <w:rFonts w:cs="Arial"/>
                <w:sz w:val="16"/>
                <w:szCs w:val="16"/>
                <w:lang w:val="ru-RU"/>
              </w:rPr>
            </w:pPr>
            <w:r w:rsidRPr="00FA0032">
              <w:rPr>
                <w:sz w:val="16"/>
                <w:szCs w:val="16"/>
                <w:lang w:val="ru-RU"/>
              </w:rPr>
              <w:t>Обеспечение соответствия всех типов важнейших технических сооружений действующим техническим требованиям</w:t>
            </w:r>
          </w:p>
        </w:tc>
        <w:tc>
          <w:tcPr>
            <w:tcW w:w="1269" w:type="pct"/>
            <w:gridSpan w:val="4"/>
            <w:tcBorders>
              <w:bottom w:val="single" w:sz="4" w:space="0" w:color="auto"/>
            </w:tcBorders>
            <w:shd w:val="clear" w:color="auto" w:fill="auto"/>
          </w:tcPr>
          <w:p w:rsidR="00FA0032" w:rsidRPr="00FA0032" w:rsidRDefault="00FA0032" w:rsidP="00C61544">
            <w:pPr>
              <w:rPr>
                <w:rFonts w:cs="Arial"/>
                <w:sz w:val="16"/>
                <w:szCs w:val="16"/>
                <w:lang w:val="ru-RU"/>
              </w:rPr>
            </w:pPr>
            <w:r w:rsidRPr="00FA0032">
              <w:rPr>
                <w:sz w:val="16"/>
                <w:szCs w:val="16"/>
                <w:lang w:val="ru-RU"/>
              </w:rPr>
              <w:t>Обеспечение соответствия технических сооружений действующим стандартам и составление перечня важнейших сооружений</w:t>
            </w:r>
          </w:p>
          <w:p w:rsidR="00FA0032" w:rsidRPr="00FA0032" w:rsidRDefault="00FA0032" w:rsidP="00C61544">
            <w:pPr>
              <w:rPr>
                <w:rFonts w:cstheme="minorBidi"/>
                <w:sz w:val="16"/>
                <w:szCs w:val="16"/>
                <w:lang w:val="ru-RU"/>
              </w:rPr>
            </w:pPr>
          </w:p>
        </w:tc>
        <w:tc>
          <w:tcPr>
            <w:tcW w:w="787" w:type="pct"/>
            <w:gridSpan w:val="3"/>
            <w:tcBorders>
              <w:bottom w:val="single" w:sz="4" w:space="0" w:color="auto"/>
            </w:tcBorders>
            <w:shd w:val="clear" w:color="auto" w:fill="auto"/>
            <w:tcMar>
              <w:top w:w="110" w:type="dxa"/>
            </w:tcMar>
          </w:tcPr>
          <w:p w:rsidR="00FA0032" w:rsidRPr="00FA0032" w:rsidRDefault="00FA0032" w:rsidP="00C61544">
            <w:pPr>
              <w:rPr>
                <w:rFonts w:cs="Arial"/>
                <w:sz w:val="16"/>
                <w:szCs w:val="16"/>
                <w:lang w:val="ru-RU"/>
              </w:rPr>
            </w:pPr>
            <w:r w:rsidRPr="00FA0032">
              <w:rPr>
                <w:sz w:val="16"/>
                <w:szCs w:val="16"/>
                <w:lang w:val="ru-RU"/>
              </w:rPr>
              <w:t>Проверка и(или) усовершенствование/замена (при необходимости) важнейшего инженерного оборудования по мере необходимости</w:t>
            </w:r>
          </w:p>
        </w:tc>
        <w:tc>
          <w:tcPr>
            <w:tcW w:w="1382" w:type="pct"/>
            <w:tcBorders>
              <w:bottom w:val="single" w:sz="4" w:space="0" w:color="auto"/>
            </w:tcBorders>
            <w:shd w:val="clear" w:color="auto" w:fill="FFFFFF"/>
            <w:tcMar>
              <w:top w:w="110" w:type="dxa"/>
            </w:tcMar>
          </w:tcPr>
          <w:p w:rsidR="00FA0032" w:rsidRPr="000D6F9B" w:rsidRDefault="00FA0032" w:rsidP="00C61544">
            <w:pPr>
              <w:pStyle w:val="Default"/>
              <w:rPr>
                <w:sz w:val="16"/>
                <w:szCs w:val="16"/>
              </w:rPr>
            </w:pPr>
            <w:r w:rsidRPr="00FA0032">
              <w:rPr>
                <w:sz w:val="16"/>
                <w:szCs w:val="16"/>
                <w:lang w:val="ru-RU"/>
              </w:rPr>
              <w:t>Периодическая проверка основного инженерного оборудования.  В 2014</w:t>
            </w:r>
            <w:r w:rsidRPr="000D6F9B">
              <w:rPr>
                <w:sz w:val="16"/>
                <w:szCs w:val="16"/>
              </w:rPr>
              <w:t> </w:t>
            </w:r>
            <w:r w:rsidRPr="00FA0032">
              <w:rPr>
                <w:sz w:val="16"/>
                <w:szCs w:val="16"/>
                <w:lang w:val="ru-RU"/>
              </w:rPr>
              <w:t xml:space="preserve">г. была проведена первая подробная инвентаризация всего важнейшего оборудования.  </w:t>
            </w:r>
            <w:r w:rsidRPr="000D6F9B">
              <w:rPr>
                <w:sz w:val="16"/>
                <w:szCs w:val="16"/>
              </w:rPr>
              <w:t>С 2015 г. проводится регулярное обновление инвентаризации по мере необходимости.</w:t>
            </w:r>
          </w:p>
          <w:p w:rsidR="00FA0032" w:rsidRPr="000D6F9B" w:rsidRDefault="00FA0032" w:rsidP="00C61544">
            <w:pPr>
              <w:rPr>
                <w:rFonts w:cs="Arial"/>
                <w:sz w:val="16"/>
                <w:szCs w:val="16"/>
              </w:rPr>
            </w:pPr>
          </w:p>
        </w:tc>
        <w:tc>
          <w:tcPr>
            <w:tcW w:w="504" w:type="pct"/>
            <w:tcBorders>
              <w:bottom w:val="single" w:sz="4" w:space="0" w:color="auto"/>
            </w:tcBorders>
            <w:shd w:val="clear" w:color="auto" w:fill="auto"/>
            <w:tcMar>
              <w:top w:w="110" w:type="dxa"/>
            </w:tcMar>
          </w:tcPr>
          <w:p w:rsidR="00FA0032" w:rsidRPr="000D6F9B" w:rsidRDefault="00FA0032" w:rsidP="00C61544">
            <w:pPr>
              <w:pStyle w:val="Default"/>
              <w:jc w:val="center"/>
              <w:rPr>
                <w:color w:val="00AF50"/>
                <w:sz w:val="16"/>
                <w:szCs w:val="16"/>
              </w:rPr>
            </w:pPr>
            <w:r w:rsidRPr="000D6F9B">
              <w:rPr>
                <w:b/>
                <w:color w:val="00AF50"/>
                <w:sz w:val="16"/>
                <w:szCs w:val="16"/>
              </w:rPr>
              <w:t>Выполнено</w:t>
            </w:r>
          </w:p>
          <w:p w:rsidR="00FA0032" w:rsidRPr="000D6F9B" w:rsidRDefault="00FA0032" w:rsidP="00C61544">
            <w:pPr>
              <w:pStyle w:val="Default"/>
              <w:jc w:val="center"/>
              <w:rPr>
                <w:color w:val="00AF50"/>
                <w:sz w:val="16"/>
                <w:szCs w:val="16"/>
              </w:rPr>
            </w:pPr>
            <w:r w:rsidRPr="000D6F9B">
              <w:rPr>
                <w:b/>
                <w:color w:val="00AF50"/>
                <w:sz w:val="16"/>
                <w:szCs w:val="16"/>
              </w:rPr>
              <w:t xml:space="preserve"> </w:t>
            </w:r>
          </w:p>
          <w:p w:rsidR="00FA0032" w:rsidRPr="000D6F9B" w:rsidRDefault="00FA0032" w:rsidP="00C61544">
            <w:pPr>
              <w:keepNext/>
              <w:keepLines/>
              <w:jc w:val="center"/>
              <w:rPr>
                <w:rFonts w:cs="Arial"/>
                <w:bCs/>
                <w:color w:val="808080" w:themeColor="background1" w:themeShade="80"/>
                <w:sz w:val="16"/>
                <w:szCs w:val="16"/>
              </w:rPr>
            </w:pPr>
          </w:p>
        </w:tc>
      </w:tr>
      <w:tr w:rsidR="00FA0032" w:rsidRPr="005C6ABD" w:rsidTr="00C61544">
        <w:trPr>
          <w:cantSplit/>
        </w:trPr>
        <w:tc>
          <w:tcPr>
            <w:tcW w:w="5000" w:type="pct"/>
            <w:gridSpan w:val="10"/>
            <w:tcBorders>
              <w:top w:val="single" w:sz="4" w:space="0" w:color="auto"/>
              <w:bottom w:val="single" w:sz="4" w:space="0" w:color="auto"/>
            </w:tcBorders>
            <w:shd w:val="clear" w:color="auto" w:fill="C6D9F1" w:themeFill="text2" w:themeFillTint="33"/>
            <w:vAlign w:val="center"/>
          </w:tcPr>
          <w:p w:rsidR="00FA0032" w:rsidRPr="00FA0032" w:rsidRDefault="00FA0032" w:rsidP="00B655FE">
            <w:pPr>
              <w:ind w:left="2302" w:hanging="2302"/>
              <w:rPr>
                <w:rFonts w:cs="Arial"/>
                <w:b/>
                <w:bCs/>
                <w:sz w:val="16"/>
                <w:szCs w:val="16"/>
                <w:lang w:val="ru-RU"/>
              </w:rPr>
            </w:pPr>
            <w:r w:rsidRPr="00FA0032">
              <w:rPr>
                <w:b/>
                <w:sz w:val="16"/>
                <w:szCs w:val="16"/>
                <w:lang w:val="ru-RU"/>
              </w:rPr>
              <w:t xml:space="preserve">Ожидаемый результат: </w:t>
            </w:r>
            <w:r w:rsidRPr="00FA0032">
              <w:rPr>
                <w:sz w:val="16"/>
                <w:szCs w:val="16"/>
                <w:lang w:val="ru-RU"/>
              </w:rPr>
              <w:tab/>
            </w:r>
            <w:r w:rsidRPr="000D6F9B">
              <w:rPr>
                <w:sz w:val="16"/>
                <w:szCs w:val="16"/>
              </w:rPr>
              <w:t>IX</w:t>
            </w:r>
            <w:r w:rsidRPr="00FA0032">
              <w:rPr>
                <w:sz w:val="16"/>
                <w:szCs w:val="16"/>
                <w:lang w:val="ru-RU"/>
              </w:rPr>
              <w:t>.4. Ответственная в экологическом и социальном плане Органи</w:t>
            </w:r>
            <w:r w:rsidR="00B655FE">
              <w:rPr>
                <w:sz w:val="16"/>
                <w:szCs w:val="16"/>
                <w:lang w:val="ru-RU"/>
              </w:rPr>
              <w:t xml:space="preserve">зация, в которой сотрудники </w:t>
            </w:r>
            <w:r w:rsidRPr="00FA0032">
              <w:rPr>
                <w:sz w:val="16"/>
                <w:szCs w:val="16"/>
                <w:lang w:val="ru-RU"/>
              </w:rPr>
              <w:t>ВОИС, делегаты, посетители, а также информационные и материальные актив</w:t>
            </w:r>
            <w:r w:rsidR="00B655FE">
              <w:rPr>
                <w:sz w:val="16"/>
                <w:szCs w:val="16"/>
                <w:lang w:val="ru-RU"/>
              </w:rPr>
              <w:t xml:space="preserve">ы находятся </w:t>
            </w:r>
            <w:r w:rsidRPr="00FA0032">
              <w:rPr>
                <w:sz w:val="16"/>
                <w:szCs w:val="16"/>
                <w:lang w:val="ru-RU"/>
              </w:rPr>
              <w:t>под охраной и в безопасности</w:t>
            </w:r>
          </w:p>
        </w:tc>
      </w:tr>
      <w:tr w:rsidR="00FA0032" w:rsidRPr="000D6F9B" w:rsidTr="00C61544">
        <w:trPr>
          <w:cantSplit/>
        </w:trPr>
        <w:tc>
          <w:tcPr>
            <w:tcW w:w="1127" w:type="pct"/>
            <w:gridSpan w:val="3"/>
            <w:tcBorders>
              <w:top w:val="single" w:sz="4" w:space="0" w:color="auto"/>
            </w:tcBorders>
            <w:shd w:val="clear" w:color="auto" w:fill="auto"/>
            <w:vAlign w:val="center"/>
          </w:tcPr>
          <w:p w:rsidR="00FA0032" w:rsidRPr="000D6F9B" w:rsidRDefault="00FA0032" w:rsidP="00C61544">
            <w:pPr>
              <w:rPr>
                <w:rFonts w:cs="Arial"/>
                <w:b/>
                <w:sz w:val="16"/>
                <w:szCs w:val="16"/>
              </w:rPr>
            </w:pPr>
            <w:r w:rsidRPr="000D6F9B">
              <w:rPr>
                <w:b/>
                <w:sz w:val="16"/>
                <w:szCs w:val="16"/>
              </w:rPr>
              <w:t>Показатели результативности</w:t>
            </w:r>
          </w:p>
        </w:tc>
        <w:tc>
          <w:tcPr>
            <w:tcW w:w="1062" w:type="pct"/>
            <w:tcBorders>
              <w:top w:val="single" w:sz="4" w:space="0" w:color="auto"/>
            </w:tcBorders>
            <w:shd w:val="clear" w:color="auto" w:fill="auto"/>
            <w:vAlign w:val="center"/>
          </w:tcPr>
          <w:p w:rsidR="00FA0032" w:rsidRPr="000D6F9B" w:rsidRDefault="00FA0032" w:rsidP="00C61544">
            <w:pPr>
              <w:keepNext/>
              <w:keepLines/>
              <w:rPr>
                <w:rFonts w:cs="Arial"/>
                <w:b/>
                <w:bCs/>
                <w:sz w:val="16"/>
                <w:szCs w:val="16"/>
              </w:rPr>
            </w:pPr>
            <w:r w:rsidRPr="000D6F9B">
              <w:rPr>
                <w:b/>
                <w:sz w:val="16"/>
                <w:szCs w:val="16"/>
              </w:rPr>
              <w:t>Базовые показатели</w:t>
            </w:r>
          </w:p>
        </w:tc>
        <w:tc>
          <w:tcPr>
            <w:tcW w:w="767" w:type="pct"/>
            <w:gridSpan w:val="3"/>
            <w:tcBorders>
              <w:top w:val="single" w:sz="4" w:space="0" w:color="auto"/>
            </w:tcBorders>
            <w:shd w:val="clear" w:color="auto" w:fill="auto"/>
            <w:tcMar>
              <w:top w:w="110" w:type="dxa"/>
            </w:tcMar>
            <w:vAlign w:val="center"/>
          </w:tcPr>
          <w:p w:rsidR="00FA0032" w:rsidRPr="000D6F9B" w:rsidRDefault="00FA0032" w:rsidP="00C61544">
            <w:pPr>
              <w:keepNext/>
              <w:keepLines/>
              <w:rPr>
                <w:rFonts w:cs="Arial"/>
                <w:b/>
                <w:sz w:val="16"/>
                <w:szCs w:val="16"/>
              </w:rPr>
            </w:pPr>
            <w:r w:rsidRPr="000D6F9B">
              <w:rPr>
                <w:b/>
                <w:sz w:val="16"/>
                <w:szCs w:val="16"/>
              </w:rPr>
              <w:t>Цели</w:t>
            </w:r>
          </w:p>
        </w:tc>
        <w:tc>
          <w:tcPr>
            <w:tcW w:w="1539" w:type="pct"/>
            <w:gridSpan w:val="2"/>
            <w:tcBorders>
              <w:top w:val="single" w:sz="4" w:space="0" w:color="auto"/>
            </w:tcBorders>
            <w:shd w:val="clear" w:color="auto" w:fill="FFFFFF"/>
            <w:tcMar>
              <w:top w:w="110" w:type="dxa"/>
            </w:tcMar>
            <w:vAlign w:val="center"/>
          </w:tcPr>
          <w:p w:rsidR="00FA0032" w:rsidRPr="000D6F9B" w:rsidRDefault="00FA0032" w:rsidP="00C61544">
            <w:pPr>
              <w:keepNext/>
              <w:keepLines/>
              <w:rPr>
                <w:rFonts w:cs="Arial"/>
                <w:sz w:val="16"/>
                <w:szCs w:val="16"/>
              </w:rPr>
            </w:pPr>
            <w:r w:rsidRPr="000D6F9B">
              <w:rPr>
                <w:b/>
                <w:sz w:val="16"/>
                <w:szCs w:val="16"/>
              </w:rPr>
              <w:t>Данные о результативности</w:t>
            </w:r>
          </w:p>
        </w:tc>
        <w:tc>
          <w:tcPr>
            <w:tcW w:w="505" w:type="pct"/>
            <w:tcBorders>
              <w:top w:val="single" w:sz="4" w:space="0" w:color="auto"/>
            </w:tcBorders>
            <w:shd w:val="clear" w:color="auto" w:fill="auto"/>
            <w:tcMar>
              <w:top w:w="110" w:type="dxa"/>
            </w:tcMar>
            <w:vAlign w:val="center"/>
          </w:tcPr>
          <w:p w:rsidR="00FA0032" w:rsidRPr="000D6F9B" w:rsidRDefault="00FA0032" w:rsidP="00C61544">
            <w:pPr>
              <w:keepNext/>
              <w:keepLines/>
              <w:jc w:val="center"/>
              <w:rPr>
                <w:rFonts w:cs="Arial"/>
                <w:b/>
                <w:bCs/>
                <w:sz w:val="16"/>
                <w:szCs w:val="16"/>
              </w:rPr>
            </w:pPr>
            <w:r w:rsidRPr="000D6F9B">
              <w:rPr>
                <w:b/>
                <w:sz w:val="16"/>
                <w:szCs w:val="16"/>
              </w:rPr>
              <w:t>CC</w:t>
            </w:r>
          </w:p>
        </w:tc>
      </w:tr>
      <w:tr w:rsidR="00FA0032" w:rsidRPr="000D6F9B" w:rsidTr="00C61544">
        <w:trPr>
          <w:cantSplit/>
          <w:trHeight w:val="3949"/>
        </w:trPr>
        <w:tc>
          <w:tcPr>
            <w:tcW w:w="1127" w:type="pct"/>
            <w:gridSpan w:val="3"/>
            <w:shd w:val="clear" w:color="auto" w:fill="auto"/>
          </w:tcPr>
          <w:p w:rsidR="00FA0032" w:rsidRPr="00FA0032" w:rsidRDefault="00FA0032" w:rsidP="00C61544">
            <w:pPr>
              <w:rPr>
                <w:rFonts w:cs="Arial"/>
                <w:sz w:val="16"/>
                <w:szCs w:val="16"/>
                <w:lang w:val="ru-RU"/>
              </w:rPr>
            </w:pPr>
            <w:r w:rsidRPr="00FA0032">
              <w:rPr>
                <w:sz w:val="16"/>
                <w:szCs w:val="16"/>
                <w:lang w:val="ru-RU"/>
              </w:rPr>
              <w:t>Улучшение физического доступа на территорию ВОИС</w:t>
            </w:r>
          </w:p>
        </w:tc>
        <w:tc>
          <w:tcPr>
            <w:tcW w:w="1062" w:type="pct"/>
            <w:shd w:val="clear" w:color="auto" w:fill="auto"/>
          </w:tcPr>
          <w:p w:rsidR="00FA0032" w:rsidRPr="00FA0032" w:rsidRDefault="00FA0032" w:rsidP="00C61544">
            <w:pPr>
              <w:rPr>
                <w:color w:val="002060"/>
                <w:sz w:val="16"/>
                <w:szCs w:val="16"/>
                <w:highlight w:val="yellow"/>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г.:</w:t>
            </w:r>
            <w:r w:rsidRPr="00FA0032">
              <w:rPr>
                <w:sz w:val="16"/>
                <w:szCs w:val="16"/>
                <w:lang w:val="ru-RU"/>
              </w:rPr>
              <w:t xml:space="preserve"> </w:t>
            </w:r>
            <w:r w:rsidRPr="00FA0032">
              <w:rPr>
                <w:color w:val="002060"/>
                <w:sz w:val="16"/>
                <w:szCs w:val="16"/>
                <w:lang w:val="ru-RU"/>
              </w:rPr>
              <w:t>в конце 2013</w:t>
            </w:r>
            <w:r w:rsidRPr="000D6F9B">
              <w:rPr>
                <w:color w:val="002060"/>
                <w:sz w:val="16"/>
                <w:szCs w:val="16"/>
              </w:rPr>
              <w:t> </w:t>
            </w:r>
            <w:r w:rsidRPr="00FA0032">
              <w:rPr>
                <w:color w:val="002060"/>
                <w:sz w:val="16"/>
                <w:szCs w:val="16"/>
                <w:lang w:val="ru-RU"/>
              </w:rPr>
              <w:t xml:space="preserve">г. пятилетний план разработан не был. </w:t>
            </w:r>
            <w:r w:rsidRPr="00FA0032">
              <w:rPr>
                <w:color w:val="002060"/>
                <w:sz w:val="16"/>
                <w:szCs w:val="16"/>
                <w:highlight w:val="yellow"/>
                <w:lang w:val="ru-RU"/>
              </w:rPr>
              <w:t xml:space="preserve"> </w:t>
            </w:r>
          </w:p>
          <w:p w:rsidR="00FA0032" w:rsidRPr="00FA0032" w:rsidRDefault="00FA0032" w:rsidP="00C61544">
            <w:pPr>
              <w:rPr>
                <w:rFonts w:cs="Arial"/>
                <w:i/>
                <w:sz w:val="16"/>
                <w:szCs w:val="16"/>
                <w:lang w:val="ru-RU"/>
              </w:rPr>
            </w:pPr>
          </w:p>
          <w:p w:rsidR="00FA0032" w:rsidRPr="00FA0032" w:rsidRDefault="00FA0032" w:rsidP="00C61544">
            <w:pPr>
              <w:rPr>
                <w:rFonts w:cs="Arial"/>
                <w:sz w:val="16"/>
                <w:szCs w:val="16"/>
                <w:lang w:val="ru-RU"/>
              </w:rPr>
            </w:pPr>
            <w:r w:rsidRPr="00FA0032">
              <w:rPr>
                <w:i/>
                <w:sz w:val="16"/>
                <w:szCs w:val="16"/>
                <w:lang w:val="ru-RU"/>
              </w:rPr>
              <w:t xml:space="preserve">Исходные базовые показатели ПиБ на 2014–2015 гг.: </w:t>
            </w:r>
            <w:r w:rsidRPr="00FA0032">
              <w:rPr>
                <w:sz w:val="16"/>
                <w:szCs w:val="16"/>
                <w:lang w:val="ru-RU"/>
              </w:rPr>
              <w:t>пятилетний план по выполнению рекомендаций проведенной в 2012</w:t>
            </w:r>
            <w:r w:rsidRPr="000D6F9B">
              <w:rPr>
                <w:sz w:val="16"/>
                <w:szCs w:val="16"/>
              </w:rPr>
              <w:t> </w:t>
            </w:r>
            <w:r w:rsidRPr="00FA0032">
              <w:rPr>
                <w:sz w:val="16"/>
                <w:szCs w:val="16"/>
                <w:lang w:val="ru-RU"/>
              </w:rPr>
              <w:t>г. Оценки физического доступа (утверждение плана в конце 2013</w:t>
            </w:r>
            <w:r w:rsidRPr="000D6F9B">
              <w:rPr>
                <w:sz w:val="16"/>
                <w:szCs w:val="16"/>
              </w:rPr>
              <w:t> </w:t>
            </w:r>
            <w:r w:rsidRPr="00FA0032">
              <w:rPr>
                <w:sz w:val="16"/>
                <w:szCs w:val="16"/>
                <w:lang w:val="ru-RU"/>
              </w:rPr>
              <w:t>г.)</w:t>
            </w:r>
          </w:p>
        </w:tc>
        <w:tc>
          <w:tcPr>
            <w:tcW w:w="767" w:type="pct"/>
            <w:gridSpan w:val="3"/>
            <w:shd w:val="clear" w:color="auto" w:fill="auto"/>
            <w:tcMar>
              <w:top w:w="110" w:type="dxa"/>
            </w:tcMar>
          </w:tcPr>
          <w:p w:rsidR="00FA0032" w:rsidRPr="00FA0032" w:rsidRDefault="00FA0032" w:rsidP="00C61544">
            <w:pPr>
              <w:rPr>
                <w:rFonts w:cs="Arial"/>
                <w:sz w:val="16"/>
                <w:szCs w:val="16"/>
                <w:lang w:val="ru-RU"/>
              </w:rPr>
            </w:pPr>
            <w:r w:rsidRPr="00FA0032">
              <w:rPr>
                <w:sz w:val="16"/>
                <w:szCs w:val="16"/>
                <w:lang w:val="ru-RU"/>
              </w:rPr>
              <w:t>Выполнение рекомендаций по итогам проверки в соответствии с пятилетним планом</w:t>
            </w:r>
          </w:p>
        </w:tc>
        <w:tc>
          <w:tcPr>
            <w:tcW w:w="1539" w:type="pct"/>
            <w:gridSpan w:val="2"/>
            <w:shd w:val="clear" w:color="auto" w:fill="FFFFFF"/>
            <w:tcMar>
              <w:top w:w="110" w:type="dxa"/>
            </w:tcMar>
          </w:tcPr>
          <w:p w:rsidR="00FA0032" w:rsidRPr="00FA0032" w:rsidRDefault="00FA0032" w:rsidP="00C61544">
            <w:pPr>
              <w:pStyle w:val="Default"/>
              <w:rPr>
                <w:sz w:val="16"/>
                <w:szCs w:val="16"/>
                <w:lang w:val="ru-RU"/>
              </w:rPr>
            </w:pPr>
            <w:r w:rsidRPr="00FA0032">
              <w:rPr>
                <w:sz w:val="16"/>
                <w:szCs w:val="16"/>
                <w:lang w:val="ru-RU"/>
              </w:rPr>
              <w:t>К концу 2015</w:t>
            </w:r>
            <w:r w:rsidRPr="000D6F9B">
              <w:rPr>
                <w:sz w:val="16"/>
                <w:szCs w:val="16"/>
              </w:rPr>
              <w:t> </w:t>
            </w:r>
            <w:r w:rsidRPr="00FA0032">
              <w:rPr>
                <w:sz w:val="16"/>
                <w:szCs w:val="16"/>
                <w:lang w:val="ru-RU"/>
              </w:rPr>
              <w:t xml:space="preserve">г. пятилетний план подготовлен не был ввиду отсутствия пригодных к использованию ресурсов и доступа к строительной площадке нового конференц-зала ВОИС. </w:t>
            </w:r>
          </w:p>
          <w:p w:rsidR="00FA0032" w:rsidRPr="00FA0032" w:rsidRDefault="00FA0032" w:rsidP="00C61544">
            <w:pPr>
              <w:rPr>
                <w:sz w:val="16"/>
                <w:szCs w:val="16"/>
                <w:lang w:val="ru-RU"/>
              </w:rPr>
            </w:pPr>
            <w:r w:rsidRPr="00FA0032">
              <w:rPr>
                <w:sz w:val="16"/>
                <w:szCs w:val="16"/>
                <w:lang w:val="ru-RU"/>
              </w:rPr>
              <w:t xml:space="preserve">К числу внесенных улучшений относятся:  </w:t>
            </w:r>
          </w:p>
          <w:p w:rsidR="00FA0032" w:rsidRPr="00FA0032" w:rsidRDefault="00FA0032" w:rsidP="00C61544">
            <w:pPr>
              <w:rPr>
                <w:sz w:val="16"/>
                <w:szCs w:val="16"/>
                <w:lang w:val="ru-RU"/>
              </w:rPr>
            </w:pPr>
            <w:r w:rsidRPr="00FA0032">
              <w:rPr>
                <w:sz w:val="16"/>
                <w:szCs w:val="16"/>
                <w:lang w:val="ru-RU"/>
              </w:rPr>
              <w:t>(</w:t>
            </w:r>
            <w:r>
              <w:rPr>
                <w:sz w:val="16"/>
                <w:szCs w:val="16"/>
              </w:rPr>
              <w:t>i</w:t>
            </w:r>
            <w:r w:rsidRPr="00FA0032">
              <w:rPr>
                <w:sz w:val="16"/>
                <w:szCs w:val="16"/>
                <w:lang w:val="ru-RU"/>
              </w:rPr>
              <w:t>)</w:t>
            </w:r>
            <w:r>
              <w:rPr>
                <w:sz w:val="16"/>
                <w:szCs w:val="16"/>
              </w:rPr>
              <w:t> </w:t>
            </w:r>
            <w:r w:rsidRPr="00FA0032">
              <w:rPr>
                <w:sz w:val="16"/>
                <w:szCs w:val="16"/>
                <w:lang w:val="ru-RU"/>
              </w:rPr>
              <w:t>дополнительные пандусы для инвалидных колясок (доступ к кабинам синхронных переводчиков в новом конференц-зале в НЗ); (</w:t>
            </w:r>
            <w:r>
              <w:rPr>
                <w:sz w:val="16"/>
                <w:szCs w:val="16"/>
              </w:rPr>
              <w:t>ii</w:t>
            </w:r>
            <w:r w:rsidRPr="00FA0032">
              <w:rPr>
                <w:sz w:val="16"/>
                <w:szCs w:val="16"/>
                <w:lang w:val="ru-RU"/>
              </w:rPr>
              <w:t>)</w:t>
            </w:r>
            <w:r>
              <w:rPr>
                <w:sz w:val="16"/>
                <w:szCs w:val="16"/>
              </w:rPr>
              <w:t> </w:t>
            </w:r>
            <w:r w:rsidRPr="00FA0032">
              <w:rPr>
                <w:sz w:val="16"/>
                <w:szCs w:val="16"/>
                <w:lang w:val="ru-RU"/>
              </w:rPr>
              <w:t xml:space="preserve">установка терминалов для считывания пропусков на высоте, обеспечивающей доступ из инвалидной коляски, в зданиях </w:t>
            </w:r>
            <w:r w:rsidRPr="000D6F9B">
              <w:rPr>
                <w:sz w:val="16"/>
                <w:szCs w:val="16"/>
              </w:rPr>
              <w:t>AB</w:t>
            </w:r>
            <w:r w:rsidRPr="00FA0032">
              <w:rPr>
                <w:sz w:val="16"/>
                <w:szCs w:val="16"/>
                <w:lang w:val="ru-RU"/>
              </w:rPr>
              <w:t xml:space="preserve">, РСТ и НЗ.  Некоторые улучшения не потребовали больших расходов и/или были объединены с работами по совершенствованию других объектов инфраструктуры или сооружений с минимальными дополнительными затратами. </w:t>
            </w:r>
          </w:p>
          <w:p w:rsidR="00FA0032" w:rsidRPr="00FA0032" w:rsidRDefault="00FA0032" w:rsidP="00C61544">
            <w:pPr>
              <w:rPr>
                <w:sz w:val="16"/>
                <w:szCs w:val="16"/>
                <w:lang w:val="ru-RU"/>
              </w:rPr>
            </w:pPr>
          </w:p>
        </w:tc>
        <w:tc>
          <w:tcPr>
            <w:tcW w:w="505" w:type="pct"/>
            <w:shd w:val="clear" w:color="auto" w:fill="auto"/>
            <w:tcMar>
              <w:top w:w="110" w:type="dxa"/>
            </w:tcMar>
          </w:tcPr>
          <w:p w:rsidR="00FA0032" w:rsidRPr="000D6F9B" w:rsidRDefault="00FA0032" w:rsidP="00C61544">
            <w:pPr>
              <w:pStyle w:val="Default"/>
              <w:jc w:val="center"/>
              <w:rPr>
                <w:sz w:val="16"/>
                <w:szCs w:val="16"/>
              </w:rPr>
            </w:pPr>
            <w:r w:rsidRPr="000D6F9B">
              <w:rPr>
                <w:b/>
                <w:color w:val="FF0000"/>
                <w:sz w:val="16"/>
                <w:szCs w:val="16"/>
              </w:rPr>
              <w:t>Не выполнено</w:t>
            </w:r>
          </w:p>
          <w:p w:rsidR="00FA0032" w:rsidRPr="000D6F9B" w:rsidRDefault="00FA0032" w:rsidP="00C61544">
            <w:pPr>
              <w:keepNext/>
              <w:keepLines/>
              <w:jc w:val="center"/>
              <w:rPr>
                <w:rFonts w:cs="Arial"/>
                <w:b/>
                <w:color w:val="FF0000"/>
                <w:sz w:val="16"/>
                <w:szCs w:val="16"/>
              </w:rPr>
            </w:pPr>
          </w:p>
        </w:tc>
      </w:tr>
      <w:tr w:rsidR="00FA0032" w:rsidRPr="000D6F9B" w:rsidTr="00C61544">
        <w:trPr>
          <w:cantSplit/>
        </w:trPr>
        <w:tc>
          <w:tcPr>
            <w:tcW w:w="1127" w:type="pct"/>
            <w:gridSpan w:val="3"/>
            <w:shd w:val="clear" w:color="auto" w:fill="auto"/>
          </w:tcPr>
          <w:p w:rsidR="00FA0032" w:rsidRPr="00FA0032" w:rsidRDefault="00FA0032" w:rsidP="00C61544">
            <w:pPr>
              <w:rPr>
                <w:rFonts w:cs="Arial"/>
                <w:sz w:val="16"/>
                <w:szCs w:val="16"/>
                <w:lang w:val="ru-RU"/>
              </w:rPr>
            </w:pPr>
            <w:r w:rsidRPr="00FA0032">
              <w:rPr>
                <w:sz w:val="16"/>
                <w:szCs w:val="16"/>
                <w:lang w:val="ru-RU"/>
              </w:rPr>
              <w:t>Уменьшение воздействия ВОИС на окружающую среду</w:t>
            </w:r>
          </w:p>
        </w:tc>
        <w:tc>
          <w:tcPr>
            <w:tcW w:w="1062" w:type="pct"/>
            <w:shd w:val="clear" w:color="auto" w:fill="auto"/>
          </w:tcPr>
          <w:p w:rsidR="00FA0032" w:rsidRPr="00FA0032" w:rsidRDefault="00FA0032" w:rsidP="00C61544">
            <w:pPr>
              <w:rPr>
                <w:rFonts w:cs="Arial"/>
                <w:sz w:val="16"/>
                <w:szCs w:val="16"/>
                <w:lang w:val="ru-RU"/>
              </w:rPr>
            </w:pPr>
            <w:r w:rsidRPr="00FA0032">
              <w:rPr>
                <w:i/>
                <w:color w:val="002060"/>
                <w:sz w:val="16"/>
                <w:szCs w:val="16"/>
                <w:lang w:val="ru-RU"/>
              </w:rPr>
              <w:t>Обновленные базовые показатели, конец 2013</w:t>
            </w:r>
            <w:r w:rsidRPr="000D6F9B">
              <w:rPr>
                <w:i/>
                <w:color w:val="002060"/>
                <w:sz w:val="16"/>
                <w:szCs w:val="16"/>
              </w:rPr>
              <w:t> </w:t>
            </w:r>
            <w:r w:rsidRPr="00FA0032">
              <w:rPr>
                <w:i/>
                <w:color w:val="002060"/>
                <w:sz w:val="16"/>
                <w:szCs w:val="16"/>
                <w:lang w:val="ru-RU"/>
              </w:rPr>
              <w:t>г.:</w:t>
            </w:r>
            <w:r w:rsidRPr="00FA0032">
              <w:rPr>
                <w:color w:val="002060"/>
                <w:sz w:val="16"/>
                <w:szCs w:val="16"/>
                <w:lang w:val="ru-RU"/>
              </w:rPr>
              <w:t xml:space="preserve"> сокращение на 2% потребления электричества благодаря реализации ряда мер по обновлению оборудования; сокращение на 7% потребления воды благодаря обновлению охлаждающего оборудования в одном из центров данных.</w:t>
            </w:r>
          </w:p>
          <w:p w:rsidR="00FA0032" w:rsidRPr="00FA0032" w:rsidRDefault="00FA0032" w:rsidP="00C61544">
            <w:pPr>
              <w:rPr>
                <w:color w:val="002060"/>
                <w:sz w:val="16"/>
                <w:szCs w:val="16"/>
                <w:highlight w:val="yellow"/>
                <w:lang w:val="ru-RU"/>
              </w:rPr>
            </w:pPr>
          </w:p>
          <w:p w:rsidR="00FA0032" w:rsidRPr="00FA0032" w:rsidRDefault="00FA0032" w:rsidP="00C61544">
            <w:pPr>
              <w:rPr>
                <w:rFonts w:cstheme="minorBidi"/>
                <w:color w:val="002060"/>
                <w:sz w:val="16"/>
                <w:szCs w:val="16"/>
                <w:highlight w:val="yellow"/>
                <w:lang w:val="ru-RU"/>
              </w:rPr>
            </w:pPr>
          </w:p>
          <w:p w:rsidR="00FA0032" w:rsidRPr="00FA0032" w:rsidRDefault="00FA0032" w:rsidP="00C61544">
            <w:pPr>
              <w:rPr>
                <w:sz w:val="16"/>
                <w:szCs w:val="16"/>
                <w:lang w:val="ru-RU"/>
              </w:rPr>
            </w:pPr>
            <w:r w:rsidRPr="00FA0032">
              <w:rPr>
                <w:i/>
                <w:sz w:val="16"/>
                <w:szCs w:val="16"/>
                <w:lang w:val="ru-RU"/>
              </w:rPr>
              <w:t>Исходные базовые показатели ПиБ на 2014–2015 гг.:</w:t>
            </w:r>
            <w:r w:rsidRPr="00FA0032">
              <w:rPr>
                <w:sz w:val="16"/>
                <w:szCs w:val="16"/>
                <w:lang w:val="ru-RU"/>
              </w:rPr>
              <w:t xml:space="preserve"> потребление электроэнергии и воды в год (по состоянию на конец 2013</w:t>
            </w:r>
            <w:r w:rsidRPr="000D6F9B">
              <w:rPr>
                <w:sz w:val="16"/>
                <w:szCs w:val="16"/>
              </w:rPr>
              <w:t> </w:t>
            </w:r>
            <w:r w:rsidRPr="00FA0032">
              <w:rPr>
                <w:sz w:val="16"/>
                <w:szCs w:val="16"/>
                <w:lang w:val="ru-RU"/>
              </w:rPr>
              <w:t>г.)</w:t>
            </w:r>
          </w:p>
        </w:tc>
        <w:tc>
          <w:tcPr>
            <w:tcW w:w="767" w:type="pct"/>
            <w:gridSpan w:val="3"/>
            <w:shd w:val="clear" w:color="auto" w:fill="auto"/>
            <w:tcMar>
              <w:top w:w="110" w:type="dxa"/>
            </w:tcMar>
          </w:tcPr>
          <w:p w:rsidR="00FA0032" w:rsidRPr="00FA0032" w:rsidRDefault="00FA0032" w:rsidP="00C61544">
            <w:pPr>
              <w:rPr>
                <w:rFonts w:cs="Arial"/>
                <w:sz w:val="16"/>
                <w:szCs w:val="16"/>
                <w:lang w:val="ru-RU"/>
              </w:rPr>
            </w:pPr>
            <w:r w:rsidRPr="00FA0032">
              <w:rPr>
                <w:sz w:val="16"/>
                <w:szCs w:val="16"/>
                <w:lang w:val="ru-RU"/>
              </w:rPr>
              <w:t>Сокращение на 4% потребления электроэнергии и на 10% потребления воды к концу 2015</w:t>
            </w:r>
            <w:r w:rsidRPr="000D6F9B">
              <w:rPr>
                <w:sz w:val="16"/>
                <w:szCs w:val="16"/>
              </w:rPr>
              <w:t> </w:t>
            </w:r>
            <w:r w:rsidRPr="00FA0032">
              <w:rPr>
                <w:sz w:val="16"/>
                <w:szCs w:val="16"/>
                <w:lang w:val="ru-RU"/>
              </w:rPr>
              <w:t>г.</w:t>
            </w:r>
          </w:p>
        </w:tc>
        <w:tc>
          <w:tcPr>
            <w:tcW w:w="1539" w:type="pct"/>
            <w:gridSpan w:val="2"/>
            <w:shd w:val="clear" w:color="auto" w:fill="FFFFFF"/>
            <w:tcMar>
              <w:top w:w="110" w:type="dxa"/>
            </w:tcMar>
          </w:tcPr>
          <w:p w:rsidR="00FA0032" w:rsidRPr="00FA0032" w:rsidRDefault="00FA0032" w:rsidP="00C61544">
            <w:pPr>
              <w:pStyle w:val="Default"/>
              <w:rPr>
                <w:sz w:val="16"/>
                <w:szCs w:val="16"/>
                <w:lang w:val="ru-RU"/>
              </w:rPr>
            </w:pPr>
            <w:r w:rsidRPr="00FA0032">
              <w:rPr>
                <w:sz w:val="16"/>
                <w:szCs w:val="16"/>
                <w:lang w:val="ru-RU"/>
              </w:rPr>
              <w:t>Сокращение потребления электричества на 5%, сокращение потребления воды на 33% в 2014–2015</w:t>
            </w:r>
            <w:r w:rsidRPr="000D6F9B">
              <w:rPr>
                <w:sz w:val="16"/>
                <w:szCs w:val="16"/>
              </w:rPr>
              <w:t> </w:t>
            </w:r>
            <w:r w:rsidRPr="00FA0032">
              <w:rPr>
                <w:sz w:val="16"/>
                <w:szCs w:val="16"/>
                <w:lang w:val="ru-RU"/>
              </w:rPr>
              <w:t>гг. по сравнению с 2012–2013</w:t>
            </w:r>
            <w:r w:rsidRPr="000D6F9B">
              <w:rPr>
                <w:sz w:val="16"/>
                <w:szCs w:val="16"/>
              </w:rPr>
              <w:t> </w:t>
            </w:r>
            <w:r w:rsidRPr="00FA0032">
              <w:rPr>
                <w:sz w:val="16"/>
                <w:szCs w:val="16"/>
                <w:lang w:val="ru-RU"/>
              </w:rPr>
              <w:t>гг., несмотря на начало функционирования нового конференц-зала ВОИС в сентябре 2014</w:t>
            </w:r>
            <w:r w:rsidRPr="000D6F9B">
              <w:rPr>
                <w:sz w:val="16"/>
                <w:szCs w:val="16"/>
              </w:rPr>
              <w:t> </w:t>
            </w:r>
            <w:r w:rsidRPr="00FA0032">
              <w:rPr>
                <w:sz w:val="16"/>
                <w:szCs w:val="16"/>
                <w:lang w:val="ru-RU"/>
              </w:rPr>
              <w:t xml:space="preserve">г. </w:t>
            </w:r>
          </w:p>
          <w:p w:rsidR="00FA0032" w:rsidRPr="00FA0032" w:rsidRDefault="00FA0032" w:rsidP="00C61544">
            <w:pPr>
              <w:rPr>
                <w:rFonts w:cs="Arial"/>
                <w:sz w:val="16"/>
                <w:szCs w:val="16"/>
                <w:lang w:val="ru-RU"/>
              </w:rPr>
            </w:pPr>
          </w:p>
          <w:p w:rsidR="00FA0032" w:rsidRPr="00FA0032" w:rsidRDefault="00FA0032" w:rsidP="00C61544">
            <w:pPr>
              <w:rPr>
                <w:sz w:val="16"/>
                <w:szCs w:val="16"/>
                <w:lang w:val="ru-RU"/>
              </w:rPr>
            </w:pPr>
            <w:r w:rsidRPr="00FA0032">
              <w:rPr>
                <w:sz w:val="16"/>
                <w:szCs w:val="16"/>
                <w:lang w:val="ru-RU"/>
              </w:rPr>
              <w:t xml:space="preserve">Система охлаждения с использованием охлажденной воды из Женевского озера для зданий </w:t>
            </w:r>
            <w:r w:rsidRPr="000D6F9B">
              <w:rPr>
                <w:sz w:val="16"/>
                <w:szCs w:val="16"/>
              </w:rPr>
              <w:t>AB</w:t>
            </w:r>
            <w:r w:rsidRPr="00FA0032">
              <w:rPr>
                <w:sz w:val="16"/>
                <w:szCs w:val="16"/>
                <w:lang w:val="ru-RU"/>
              </w:rPr>
              <w:t xml:space="preserve"> и </w:t>
            </w:r>
            <w:r w:rsidRPr="000D6F9B">
              <w:rPr>
                <w:sz w:val="16"/>
                <w:szCs w:val="16"/>
              </w:rPr>
              <w:t>PCT</w:t>
            </w:r>
            <w:r w:rsidRPr="00FA0032">
              <w:rPr>
                <w:sz w:val="16"/>
                <w:szCs w:val="16"/>
                <w:lang w:val="ru-RU"/>
              </w:rPr>
              <w:t xml:space="preserve"> (согласно ГПКР, см. добавления) была сдана эксплуатацию в 2014</w:t>
            </w:r>
            <w:r w:rsidRPr="000D6F9B">
              <w:rPr>
                <w:sz w:val="16"/>
                <w:szCs w:val="16"/>
              </w:rPr>
              <w:t> </w:t>
            </w:r>
            <w:r w:rsidRPr="00FA0032">
              <w:rPr>
                <w:sz w:val="16"/>
                <w:szCs w:val="16"/>
                <w:lang w:val="ru-RU"/>
              </w:rPr>
              <w:t>г. и 2015</w:t>
            </w:r>
            <w:r w:rsidRPr="000D6F9B">
              <w:rPr>
                <w:sz w:val="16"/>
                <w:szCs w:val="16"/>
              </w:rPr>
              <w:t> </w:t>
            </w:r>
            <w:r w:rsidRPr="00FA0032">
              <w:rPr>
                <w:sz w:val="16"/>
                <w:szCs w:val="16"/>
                <w:lang w:val="ru-RU"/>
              </w:rPr>
              <w:t>г. соответственно и полностью интегрирована в систему обеспечения функционирования зданий.</w:t>
            </w:r>
          </w:p>
          <w:p w:rsidR="00FA0032" w:rsidRPr="00FA0032" w:rsidRDefault="00FA0032" w:rsidP="00C61544">
            <w:pPr>
              <w:rPr>
                <w:rFonts w:cs="Arial"/>
                <w:sz w:val="16"/>
                <w:szCs w:val="16"/>
                <w:lang w:val="ru-RU"/>
              </w:rPr>
            </w:pPr>
          </w:p>
          <w:p w:rsidR="00FA0032" w:rsidRPr="00FA0032" w:rsidRDefault="00FA0032" w:rsidP="00C61544">
            <w:pPr>
              <w:pStyle w:val="Default"/>
              <w:rPr>
                <w:sz w:val="16"/>
                <w:szCs w:val="16"/>
                <w:lang w:val="ru-RU"/>
              </w:rPr>
            </w:pPr>
            <w:r w:rsidRPr="00FA0032">
              <w:rPr>
                <w:sz w:val="16"/>
                <w:szCs w:val="16"/>
                <w:lang w:val="ru-RU"/>
              </w:rPr>
              <w:t>В 2014</w:t>
            </w:r>
            <w:r w:rsidRPr="000D6F9B">
              <w:rPr>
                <w:sz w:val="16"/>
                <w:szCs w:val="16"/>
              </w:rPr>
              <w:t> </w:t>
            </w:r>
            <w:r w:rsidRPr="00FA0032">
              <w:rPr>
                <w:sz w:val="16"/>
                <w:szCs w:val="16"/>
                <w:lang w:val="ru-RU"/>
              </w:rPr>
              <w:t xml:space="preserve">г. в новом здании была модернизирована система охлаждения, в которой используется охлажденная вода из Женевского озера. </w:t>
            </w:r>
          </w:p>
          <w:p w:rsidR="00FA0032" w:rsidRPr="00FA0032" w:rsidRDefault="00FA0032" w:rsidP="00C61544">
            <w:pPr>
              <w:rPr>
                <w:rFonts w:cs="Arial"/>
                <w:sz w:val="16"/>
                <w:szCs w:val="16"/>
                <w:lang w:val="ru-RU"/>
              </w:rPr>
            </w:pPr>
          </w:p>
          <w:p w:rsidR="00FA0032" w:rsidRPr="00FA0032" w:rsidRDefault="00FA0032" w:rsidP="00C61544">
            <w:pPr>
              <w:pStyle w:val="Default"/>
              <w:rPr>
                <w:sz w:val="16"/>
                <w:szCs w:val="16"/>
                <w:lang w:val="ru-RU"/>
              </w:rPr>
            </w:pPr>
            <w:r w:rsidRPr="00FA0032">
              <w:rPr>
                <w:sz w:val="16"/>
                <w:szCs w:val="16"/>
                <w:lang w:val="ru-RU"/>
              </w:rPr>
              <w:t>К числу других экологически обоснованных мер относились, главным образом, следующие: (</w:t>
            </w:r>
            <w:r w:rsidRPr="000D6F9B">
              <w:rPr>
                <w:sz w:val="16"/>
                <w:szCs w:val="16"/>
              </w:rPr>
              <w:t>i</w:t>
            </w:r>
            <w:r w:rsidRPr="00FA0032">
              <w:rPr>
                <w:sz w:val="16"/>
                <w:szCs w:val="16"/>
                <w:lang w:val="ru-RU"/>
              </w:rPr>
              <w:t>)</w:t>
            </w:r>
            <w:r w:rsidRPr="000D6F9B">
              <w:rPr>
                <w:sz w:val="16"/>
                <w:szCs w:val="16"/>
              </w:rPr>
              <w:t> </w:t>
            </w:r>
            <w:r w:rsidRPr="00FA0032">
              <w:rPr>
                <w:sz w:val="16"/>
                <w:szCs w:val="16"/>
                <w:lang w:val="ru-RU"/>
              </w:rPr>
              <w:t>потребление энергии для искусственного освещения было снижено благодаря замене обычных светильников новыми светодиодными светильниками; (</w:t>
            </w:r>
            <w:r>
              <w:rPr>
                <w:sz w:val="16"/>
                <w:szCs w:val="16"/>
              </w:rPr>
              <w:t>ii</w:t>
            </w:r>
            <w:r w:rsidRPr="00FA0032">
              <w:rPr>
                <w:sz w:val="16"/>
                <w:szCs w:val="16"/>
                <w:lang w:val="ru-RU"/>
              </w:rPr>
              <w:t>)</w:t>
            </w:r>
            <w:r>
              <w:rPr>
                <w:sz w:val="16"/>
                <w:szCs w:val="16"/>
              </w:rPr>
              <w:t> </w:t>
            </w:r>
            <w:r w:rsidRPr="00FA0032">
              <w:rPr>
                <w:sz w:val="16"/>
                <w:szCs w:val="16"/>
                <w:lang w:val="ru-RU"/>
              </w:rPr>
              <w:t xml:space="preserve">в нерабочее время освещение на служебных этажах в различных частях различных старых зданий активируется датчиком присутствия. </w:t>
            </w:r>
          </w:p>
          <w:p w:rsidR="00FA0032" w:rsidRPr="00FA0032" w:rsidRDefault="00FA0032" w:rsidP="00C61544">
            <w:pPr>
              <w:rPr>
                <w:rFonts w:cs="Arial"/>
                <w:sz w:val="16"/>
                <w:szCs w:val="16"/>
                <w:lang w:val="ru-RU"/>
              </w:rPr>
            </w:pPr>
          </w:p>
        </w:tc>
        <w:tc>
          <w:tcPr>
            <w:tcW w:w="505" w:type="pct"/>
            <w:shd w:val="clear" w:color="auto" w:fill="auto"/>
            <w:tcMar>
              <w:top w:w="110" w:type="dxa"/>
            </w:tcMar>
          </w:tcPr>
          <w:p w:rsidR="00FA0032" w:rsidRPr="000D6F9B" w:rsidRDefault="00FA0032" w:rsidP="00C61544">
            <w:pPr>
              <w:pStyle w:val="Default"/>
              <w:jc w:val="center"/>
              <w:rPr>
                <w:color w:val="00AF50"/>
                <w:sz w:val="16"/>
                <w:szCs w:val="16"/>
              </w:rPr>
            </w:pPr>
            <w:r w:rsidRPr="000D6F9B">
              <w:rPr>
                <w:b/>
                <w:color w:val="00AF50"/>
                <w:sz w:val="16"/>
                <w:szCs w:val="16"/>
              </w:rPr>
              <w:t>Выполнено</w:t>
            </w:r>
          </w:p>
          <w:p w:rsidR="00FA0032" w:rsidRPr="000D6F9B" w:rsidRDefault="00FA0032" w:rsidP="00C61544">
            <w:pPr>
              <w:keepNext/>
              <w:keepLines/>
              <w:jc w:val="center"/>
              <w:rPr>
                <w:rFonts w:ascii="Calibri" w:hAnsi="Calibri" w:cs="Arial"/>
                <w:sz w:val="16"/>
                <w:szCs w:val="16"/>
              </w:rPr>
            </w:pPr>
          </w:p>
        </w:tc>
      </w:tr>
      <w:tr w:rsidR="00FA0032" w:rsidRPr="000D6F9B" w:rsidTr="00C61544">
        <w:trPr>
          <w:cantSplit/>
        </w:trPr>
        <w:tc>
          <w:tcPr>
            <w:tcW w:w="1127" w:type="pct"/>
            <w:gridSpan w:val="3"/>
            <w:tcBorders>
              <w:bottom w:val="single" w:sz="4" w:space="0" w:color="auto"/>
            </w:tcBorders>
            <w:shd w:val="clear" w:color="auto" w:fill="auto"/>
          </w:tcPr>
          <w:p w:rsidR="00FA0032" w:rsidRPr="00FA0032" w:rsidRDefault="00FA0032" w:rsidP="00C61544">
            <w:pPr>
              <w:rPr>
                <w:rFonts w:cs="Arial"/>
                <w:sz w:val="16"/>
                <w:szCs w:val="16"/>
                <w:lang w:val="ru-RU"/>
              </w:rPr>
            </w:pPr>
            <w:r w:rsidRPr="00FA0032">
              <w:rPr>
                <w:sz w:val="16"/>
                <w:szCs w:val="16"/>
                <w:lang w:val="ru-RU"/>
              </w:rPr>
              <w:t>Обеспечение соответствия зданий ВОИС рекомендациям, сделанным по итогам проверки 2009</w:t>
            </w:r>
            <w:r w:rsidRPr="000D6F9B">
              <w:rPr>
                <w:sz w:val="16"/>
                <w:szCs w:val="16"/>
              </w:rPr>
              <w:t> </w:t>
            </w:r>
            <w:r w:rsidRPr="00FA0032">
              <w:rPr>
                <w:sz w:val="16"/>
                <w:szCs w:val="16"/>
                <w:lang w:val="ru-RU"/>
              </w:rPr>
              <w:t xml:space="preserve">г., которая проводилась Институтом по вопросам охраны и безопасности (Невшатель), и требованиям обеспечения безопасности наружного ограждения согласно стандарту </w:t>
            </w:r>
            <w:r w:rsidRPr="000D6F9B">
              <w:rPr>
                <w:sz w:val="16"/>
                <w:szCs w:val="16"/>
              </w:rPr>
              <w:t>UN</w:t>
            </w:r>
            <w:r w:rsidRPr="00FA0032">
              <w:rPr>
                <w:sz w:val="16"/>
                <w:szCs w:val="16"/>
                <w:lang w:val="ru-RU"/>
              </w:rPr>
              <w:t xml:space="preserve"> </w:t>
            </w:r>
            <w:r w:rsidRPr="000D6F9B">
              <w:rPr>
                <w:sz w:val="16"/>
                <w:szCs w:val="16"/>
              </w:rPr>
              <w:t>H</w:t>
            </w:r>
            <w:r w:rsidRPr="00FA0032">
              <w:rPr>
                <w:sz w:val="16"/>
                <w:szCs w:val="16"/>
                <w:lang w:val="ru-RU"/>
              </w:rPr>
              <w:t>-</w:t>
            </w:r>
            <w:r w:rsidRPr="000D6F9B">
              <w:rPr>
                <w:sz w:val="16"/>
                <w:szCs w:val="16"/>
              </w:rPr>
              <w:t>MOSS</w:t>
            </w:r>
          </w:p>
        </w:tc>
        <w:tc>
          <w:tcPr>
            <w:tcW w:w="1062" w:type="pct"/>
            <w:tcBorders>
              <w:bottom w:val="single" w:sz="4" w:space="0" w:color="auto"/>
            </w:tcBorders>
            <w:shd w:val="clear" w:color="auto" w:fill="auto"/>
          </w:tcPr>
          <w:p w:rsidR="00FA0032" w:rsidRPr="00FA0032" w:rsidRDefault="00FA0032" w:rsidP="00C61544">
            <w:pPr>
              <w:rPr>
                <w:rFonts w:cs="Arial"/>
                <w:sz w:val="16"/>
                <w:szCs w:val="16"/>
                <w:lang w:val="ru-RU"/>
              </w:rPr>
            </w:pPr>
            <w:r w:rsidRPr="00FA0032">
              <w:rPr>
                <w:sz w:val="16"/>
                <w:szCs w:val="16"/>
                <w:lang w:val="ru-RU"/>
              </w:rPr>
              <w:t>Шестилетний план по выполнению рекомендаций по итогам проверки, проведенной в 2009</w:t>
            </w:r>
            <w:r w:rsidRPr="000D6F9B">
              <w:rPr>
                <w:sz w:val="16"/>
                <w:szCs w:val="16"/>
              </w:rPr>
              <w:t> </w:t>
            </w:r>
            <w:r w:rsidRPr="00FA0032">
              <w:rPr>
                <w:sz w:val="16"/>
                <w:szCs w:val="16"/>
                <w:lang w:val="ru-RU"/>
              </w:rPr>
              <w:t>г. Институтом по вопросам охраны и безопасности (Невшатель)</w:t>
            </w:r>
          </w:p>
          <w:p w:rsidR="00FA0032" w:rsidRPr="00FA0032" w:rsidRDefault="00FA0032" w:rsidP="00C61544">
            <w:pPr>
              <w:rPr>
                <w:sz w:val="16"/>
                <w:szCs w:val="16"/>
                <w:lang w:val="ru-RU"/>
              </w:rPr>
            </w:pPr>
          </w:p>
        </w:tc>
        <w:tc>
          <w:tcPr>
            <w:tcW w:w="767" w:type="pct"/>
            <w:gridSpan w:val="3"/>
            <w:tcBorders>
              <w:bottom w:val="single" w:sz="4" w:space="0" w:color="auto"/>
            </w:tcBorders>
            <w:shd w:val="clear" w:color="auto" w:fill="auto"/>
            <w:tcMar>
              <w:top w:w="110" w:type="dxa"/>
            </w:tcMar>
          </w:tcPr>
          <w:p w:rsidR="00FA0032" w:rsidRPr="00FA0032" w:rsidRDefault="00FA0032" w:rsidP="00C61544">
            <w:pPr>
              <w:rPr>
                <w:rFonts w:cs="Arial"/>
                <w:sz w:val="16"/>
                <w:szCs w:val="16"/>
                <w:lang w:val="ru-RU"/>
              </w:rPr>
            </w:pPr>
            <w:r w:rsidRPr="00FA0032">
              <w:rPr>
                <w:sz w:val="16"/>
                <w:szCs w:val="16"/>
                <w:lang w:val="ru-RU"/>
              </w:rPr>
              <w:t>Выполнение рекомендаций по итогам проверки в соответствии с шестилетним планом и осуществление сопутствующих мер по обеспечению безопасности к концу 2015</w:t>
            </w:r>
            <w:r w:rsidRPr="000D6F9B">
              <w:rPr>
                <w:sz w:val="16"/>
                <w:szCs w:val="16"/>
              </w:rPr>
              <w:t> </w:t>
            </w:r>
            <w:r w:rsidRPr="00FA0032">
              <w:rPr>
                <w:sz w:val="16"/>
                <w:szCs w:val="16"/>
                <w:lang w:val="ru-RU"/>
              </w:rPr>
              <w:t>г.</w:t>
            </w:r>
          </w:p>
        </w:tc>
        <w:tc>
          <w:tcPr>
            <w:tcW w:w="1539" w:type="pct"/>
            <w:gridSpan w:val="2"/>
            <w:tcBorders>
              <w:bottom w:val="single" w:sz="4" w:space="0" w:color="auto"/>
            </w:tcBorders>
            <w:shd w:val="clear" w:color="auto" w:fill="FFFFFF"/>
            <w:tcMar>
              <w:top w:w="110" w:type="dxa"/>
            </w:tcMar>
          </w:tcPr>
          <w:p w:rsidR="00FA0032" w:rsidRPr="00FA0032" w:rsidRDefault="00FA0032" w:rsidP="00C61544">
            <w:pPr>
              <w:pStyle w:val="Default"/>
              <w:rPr>
                <w:sz w:val="16"/>
                <w:szCs w:val="16"/>
                <w:lang w:val="ru-RU"/>
              </w:rPr>
            </w:pPr>
            <w:r w:rsidRPr="00FA0032">
              <w:rPr>
                <w:sz w:val="16"/>
                <w:szCs w:val="16"/>
                <w:lang w:val="ru-RU"/>
              </w:rPr>
              <w:t>См. дополнение</w:t>
            </w:r>
            <w:r w:rsidRPr="000D6F9B">
              <w:rPr>
                <w:sz w:val="16"/>
                <w:szCs w:val="16"/>
              </w:rPr>
              <w:t> III</w:t>
            </w:r>
            <w:r w:rsidRPr="00FA0032">
              <w:rPr>
                <w:sz w:val="16"/>
                <w:szCs w:val="16"/>
                <w:lang w:val="ru-RU"/>
              </w:rPr>
              <w:t>. Отчет о ходе реализации Генерального плана капитального ремонта (ГПКР) в 2014</w:t>
            </w:r>
            <w:r w:rsidRPr="000D6F9B">
              <w:rPr>
                <w:sz w:val="16"/>
                <w:szCs w:val="16"/>
              </w:rPr>
              <w:t> </w:t>
            </w:r>
            <w:r w:rsidRPr="00FA0032">
              <w:rPr>
                <w:sz w:val="16"/>
                <w:szCs w:val="16"/>
                <w:lang w:val="ru-RU"/>
              </w:rPr>
              <w:t>г. и 2015</w:t>
            </w:r>
            <w:r w:rsidRPr="000D6F9B">
              <w:rPr>
                <w:sz w:val="16"/>
                <w:szCs w:val="16"/>
              </w:rPr>
              <w:t> </w:t>
            </w:r>
            <w:r w:rsidRPr="00FA0032">
              <w:rPr>
                <w:sz w:val="16"/>
                <w:szCs w:val="16"/>
                <w:lang w:val="ru-RU"/>
              </w:rPr>
              <w:t xml:space="preserve">г. </w:t>
            </w:r>
          </w:p>
          <w:p w:rsidR="00FA0032" w:rsidRPr="00FA0032" w:rsidRDefault="00FA0032" w:rsidP="00C61544">
            <w:pPr>
              <w:pStyle w:val="ListParagraph"/>
              <w:ind w:left="0"/>
              <w:rPr>
                <w:rFonts w:cs="Arial"/>
                <w:sz w:val="16"/>
                <w:szCs w:val="16"/>
                <w:lang w:val="ru-RU"/>
              </w:rPr>
            </w:pPr>
          </w:p>
          <w:p w:rsidR="00FA0032" w:rsidRPr="00FA0032" w:rsidRDefault="00FA0032" w:rsidP="00C61544">
            <w:pPr>
              <w:pStyle w:val="Default"/>
              <w:rPr>
                <w:sz w:val="16"/>
                <w:szCs w:val="16"/>
                <w:lang w:val="ru-RU"/>
              </w:rPr>
            </w:pPr>
            <w:r w:rsidRPr="00FA0032">
              <w:rPr>
                <w:sz w:val="16"/>
                <w:szCs w:val="16"/>
                <w:lang w:val="ru-RU"/>
              </w:rPr>
              <w:t xml:space="preserve">Помимо осуществления рекомендации, предусмотренной ГПКР, были реализованы следующие рекомендации:  </w:t>
            </w:r>
          </w:p>
          <w:p w:rsidR="00FA0032" w:rsidRPr="00FA0032" w:rsidRDefault="00FA0032" w:rsidP="00C61544">
            <w:pPr>
              <w:pStyle w:val="ListParagraph"/>
              <w:ind w:left="0"/>
              <w:rPr>
                <w:sz w:val="16"/>
                <w:szCs w:val="16"/>
                <w:lang w:val="ru-RU"/>
              </w:rPr>
            </w:pPr>
            <w:r w:rsidRPr="00FA0032">
              <w:rPr>
                <w:sz w:val="16"/>
                <w:szCs w:val="16"/>
                <w:lang w:val="ru-RU"/>
              </w:rPr>
              <w:t>(</w:t>
            </w:r>
            <w:r w:rsidRPr="000D6F9B">
              <w:rPr>
                <w:sz w:val="16"/>
                <w:szCs w:val="16"/>
              </w:rPr>
              <w:t>i</w:t>
            </w:r>
            <w:r w:rsidRPr="00FA0032">
              <w:rPr>
                <w:sz w:val="16"/>
                <w:szCs w:val="16"/>
                <w:lang w:val="ru-RU"/>
              </w:rPr>
              <w:t>)</w:t>
            </w:r>
            <w:r w:rsidRPr="000D6F9B">
              <w:rPr>
                <w:sz w:val="16"/>
                <w:szCs w:val="16"/>
              </w:rPr>
              <w:t> </w:t>
            </w:r>
            <w:r w:rsidRPr="00FA0032">
              <w:rPr>
                <w:sz w:val="16"/>
                <w:szCs w:val="16"/>
                <w:lang w:val="ru-RU"/>
              </w:rPr>
              <w:t xml:space="preserve">модернизация системы пожарной сигнализации (с установкой датчиков последнего поколения) на четырех уровнях подземной парковки здания </w:t>
            </w:r>
            <w:r w:rsidRPr="000D6F9B">
              <w:rPr>
                <w:sz w:val="16"/>
                <w:szCs w:val="16"/>
              </w:rPr>
              <w:t>AB</w:t>
            </w:r>
            <w:r w:rsidRPr="00FA0032">
              <w:rPr>
                <w:sz w:val="16"/>
                <w:szCs w:val="16"/>
                <w:lang w:val="ru-RU"/>
              </w:rPr>
              <w:t xml:space="preserve">; </w:t>
            </w:r>
          </w:p>
          <w:p w:rsidR="00FA0032" w:rsidRPr="00FA0032" w:rsidRDefault="00FA0032" w:rsidP="00C61544">
            <w:pPr>
              <w:pStyle w:val="ListParagraph"/>
              <w:ind w:left="0"/>
              <w:rPr>
                <w:sz w:val="16"/>
                <w:szCs w:val="16"/>
                <w:lang w:val="ru-RU"/>
              </w:rPr>
            </w:pPr>
            <w:r w:rsidRPr="00FA0032">
              <w:rPr>
                <w:sz w:val="16"/>
                <w:szCs w:val="16"/>
                <w:lang w:val="ru-RU"/>
              </w:rPr>
              <w:t>(</w:t>
            </w:r>
            <w:r w:rsidRPr="000D6F9B">
              <w:rPr>
                <w:sz w:val="16"/>
                <w:szCs w:val="16"/>
              </w:rPr>
              <w:t>ii</w:t>
            </w:r>
            <w:r w:rsidRPr="00FA0032">
              <w:rPr>
                <w:sz w:val="16"/>
                <w:szCs w:val="16"/>
                <w:lang w:val="ru-RU"/>
              </w:rPr>
              <w:t>)</w:t>
            </w:r>
            <w:r w:rsidRPr="000D6F9B">
              <w:rPr>
                <w:sz w:val="16"/>
                <w:szCs w:val="16"/>
              </w:rPr>
              <w:t> </w:t>
            </w:r>
            <w:r w:rsidRPr="00FA0032">
              <w:rPr>
                <w:sz w:val="16"/>
                <w:szCs w:val="16"/>
                <w:lang w:val="ru-RU"/>
              </w:rPr>
              <w:t xml:space="preserve">модернизация системы аварийного освещения на некоторых этажах здания </w:t>
            </w:r>
            <w:r w:rsidRPr="000D6F9B">
              <w:rPr>
                <w:sz w:val="16"/>
                <w:szCs w:val="16"/>
              </w:rPr>
              <w:t>GBI</w:t>
            </w:r>
            <w:r w:rsidRPr="00FA0032">
              <w:rPr>
                <w:sz w:val="16"/>
                <w:szCs w:val="16"/>
                <w:lang w:val="ru-RU"/>
              </w:rPr>
              <w:t>.</w:t>
            </w:r>
          </w:p>
          <w:p w:rsidR="00FA0032" w:rsidRPr="00FA0032" w:rsidRDefault="00FA0032" w:rsidP="00C61544">
            <w:pPr>
              <w:pStyle w:val="ListParagraph"/>
              <w:ind w:left="0"/>
              <w:rPr>
                <w:rFonts w:cs="Arial"/>
                <w:sz w:val="16"/>
                <w:szCs w:val="16"/>
                <w:lang w:val="ru-RU"/>
              </w:rPr>
            </w:pPr>
          </w:p>
        </w:tc>
        <w:tc>
          <w:tcPr>
            <w:tcW w:w="505" w:type="pct"/>
            <w:tcBorders>
              <w:bottom w:val="single" w:sz="4" w:space="0" w:color="auto"/>
            </w:tcBorders>
            <w:shd w:val="clear" w:color="auto" w:fill="auto"/>
            <w:tcMar>
              <w:top w:w="110" w:type="dxa"/>
            </w:tcMar>
          </w:tcPr>
          <w:p w:rsidR="00FA0032" w:rsidRPr="000D6F9B" w:rsidRDefault="00FA0032" w:rsidP="00C61544">
            <w:pPr>
              <w:pStyle w:val="Default"/>
              <w:jc w:val="center"/>
              <w:rPr>
                <w:color w:val="00AF50"/>
                <w:sz w:val="16"/>
                <w:szCs w:val="16"/>
              </w:rPr>
            </w:pPr>
            <w:r w:rsidRPr="000D6F9B">
              <w:rPr>
                <w:b/>
                <w:color w:val="00AF50"/>
                <w:sz w:val="16"/>
                <w:szCs w:val="16"/>
              </w:rPr>
              <w:t>Выполнено</w:t>
            </w:r>
          </w:p>
          <w:p w:rsidR="00FA0032" w:rsidRPr="000D6F9B" w:rsidRDefault="00FA0032" w:rsidP="00C61544">
            <w:pPr>
              <w:keepNext/>
              <w:keepLines/>
              <w:jc w:val="center"/>
              <w:rPr>
                <w:rFonts w:ascii="Calibri" w:hAnsi="Calibri" w:cs="Arial"/>
                <w:sz w:val="16"/>
                <w:szCs w:val="16"/>
              </w:rPr>
            </w:pPr>
          </w:p>
        </w:tc>
      </w:tr>
    </w:tbl>
    <w:p w:rsidR="00FA0032" w:rsidRDefault="00FA0032" w:rsidP="00FA0032">
      <w:pPr>
        <w:rPr>
          <w:rFonts w:cs="Arial"/>
          <w:color w:val="000000"/>
          <w:szCs w:val="22"/>
        </w:rPr>
      </w:pPr>
    </w:p>
    <w:p w:rsidR="00FA0032" w:rsidRDefault="00FA0032" w:rsidP="00FA0032">
      <w:pPr>
        <w:rPr>
          <w:rFonts w:cs="Arial"/>
          <w:color w:val="000000"/>
          <w:szCs w:val="22"/>
        </w:rPr>
      </w:pPr>
    </w:p>
    <w:p w:rsidR="00FA0032" w:rsidRPr="00FA0032" w:rsidRDefault="00FA0032" w:rsidP="00FA0032">
      <w:pPr>
        <w:keepNext/>
        <w:keepLines/>
        <w:rPr>
          <w:rFonts w:cs="Arial"/>
          <w:color w:val="000000"/>
          <w:szCs w:val="22"/>
          <w:lang w:val="ru-RU"/>
        </w:rPr>
      </w:pPr>
      <w:r w:rsidRPr="00FA0032">
        <w:rPr>
          <w:color w:val="000000"/>
          <w:lang w:val="ru-RU"/>
        </w:rPr>
        <w:t>ОТЧЕТ О РИСКАХ В ДВУХЛЕТНИЙ ПЕРИОД</w:t>
      </w:r>
    </w:p>
    <w:p w:rsidR="00FA0032" w:rsidRPr="00FA0032" w:rsidRDefault="00FA0032" w:rsidP="00FA0032">
      <w:pPr>
        <w:keepNext/>
        <w:keepLines/>
        <w:rPr>
          <w:lang w:val="ru-RU"/>
        </w:rPr>
      </w:pPr>
    </w:p>
    <w:tbl>
      <w:tblPr>
        <w:tblW w:w="9729" w:type="dxa"/>
        <w:jc w:val="center"/>
        <w:tblInd w:w="374"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78"/>
        <w:gridCol w:w="2201"/>
        <w:gridCol w:w="2872"/>
        <w:gridCol w:w="2278"/>
      </w:tblGrid>
      <w:tr w:rsidR="00FA0032" w:rsidRPr="0012568F" w:rsidTr="00B655FE">
        <w:trPr>
          <w:trHeight w:val="430"/>
          <w:jc w:val="center"/>
        </w:trPr>
        <w:tc>
          <w:tcPr>
            <w:tcW w:w="2378" w:type="dxa"/>
            <w:tcBorders>
              <w:top w:val="single" w:sz="4" w:space="0" w:color="auto"/>
              <w:bottom w:val="single" w:sz="4" w:space="0" w:color="auto"/>
            </w:tcBorders>
            <w:shd w:val="clear" w:color="auto" w:fill="C6D9F1" w:themeFill="text2" w:themeFillTint="33"/>
            <w:tcMar>
              <w:top w:w="113" w:type="dxa"/>
              <w:bottom w:w="85" w:type="dxa"/>
            </w:tcMar>
            <w:vAlign w:val="center"/>
          </w:tcPr>
          <w:p w:rsidR="00FA0032" w:rsidRPr="00FA0032" w:rsidRDefault="00FA0032" w:rsidP="00C61544">
            <w:pPr>
              <w:keepNext/>
              <w:keepLines/>
              <w:autoSpaceDE w:val="0"/>
              <w:autoSpaceDN w:val="0"/>
              <w:adjustRightInd w:val="0"/>
              <w:ind w:right="-59"/>
              <w:rPr>
                <w:b/>
                <w:iCs/>
                <w:sz w:val="18"/>
                <w:szCs w:val="18"/>
                <w:lang w:val="ru-RU"/>
              </w:rPr>
            </w:pPr>
            <w:r w:rsidRPr="00FA0032">
              <w:rPr>
                <w:b/>
                <w:sz w:val="18"/>
                <w:lang w:val="ru-RU"/>
              </w:rPr>
              <w:t>Риск (риски) того, что результаты программы не будут достигнуты</w:t>
            </w:r>
          </w:p>
        </w:tc>
        <w:tc>
          <w:tcPr>
            <w:tcW w:w="2201" w:type="dxa"/>
            <w:tcBorders>
              <w:top w:val="single" w:sz="4" w:space="0" w:color="auto"/>
              <w:bottom w:val="single" w:sz="4" w:space="0" w:color="auto"/>
            </w:tcBorders>
            <w:shd w:val="clear" w:color="auto" w:fill="C6D9F1" w:themeFill="text2" w:themeFillTint="33"/>
            <w:tcMar>
              <w:top w:w="113" w:type="dxa"/>
              <w:bottom w:w="85" w:type="dxa"/>
            </w:tcMar>
            <w:vAlign w:val="center"/>
          </w:tcPr>
          <w:p w:rsidR="00FA0032" w:rsidRPr="00FA0032" w:rsidDel="00C90E42" w:rsidRDefault="00FA0032" w:rsidP="00C61544">
            <w:pPr>
              <w:keepNext/>
              <w:keepLines/>
              <w:autoSpaceDE w:val="0"/>
              <w:autoSpaceDN w:val="0"/>
              <w:adjustRightInd w:val="0"/>
              <w:ind w:right="-59"/>
              <w:rPr>
                <w:b/>
                <w:iCs/>
                <w:sz w:val="18"/>
                <w:szCs w:val="18"/>
                <w:lang w:val="ru-RU"/>
              </w:rPr>
            </w:pPr>
            <w:r w:rsidRPr="00FA0032">
              <w:rPr>
                <w:b/>
                <w:sz w:val="18"/>
                <w:lang w:val="ru-RU"/>
              </w:rPr>
              <w:t xml:space="preserve">Действующие или разрабатываемые планы по снижению рисков </w:t>
            </w:r>
          </w:p>
        </w:tc>
        <w:tc>
          <w:tcPr>
            <w:tcW w:w="2872" w:type="dxa"/>
            <w:tcBorders>
              <w:top w:val="single" w:sz="4" w:space="0" w:color="auto"/>
              <w:bottom w:val="single" w:sz="4" w:space="0" w:color="auto"/>
            </w:tcBorders>
            <w:shd w:val="clear" w:color="auto" w:fill="C6D9F1" w:themeFill="text2" w:themeFillTint="33"/>
          </w:tcPr>
          <w:p w:rsidR="00FA0032" w:rsidRPr="00FA0032" w:rsidRDefault="00FA0032" w:rsidP="00C61544">
            <w:pPr>
              <w:jc w:val="center"/>
              <w:rPr>
                <w:b/>
                <w:bCs/>
                <w:sz w:val="18"/>
                <w:szCs w:val="18"/>
                <w:lang w:val="ru-RU"/>
              </w:rPr>
            </w:pPr>
            <w:r w:rsidRPr="00FA0032">
              <w:rPr>
                <w:b/>
                <w:sz w:val="18"/>
                <w:lang w:val="ru-RU"/>
              </w:rPr>
              <w:t>Развитие риска (рисков) и стратегий его (их) снижения в двухлетний период</w:t>
            </w:r>
          </w:p>
        </w:tc>
        <w:tc>
          <w:tcPr>
            <w:tcW w:w="2278" w:type="dxa"/>
            <w:tcBorders>
              <w:top w:val="single" w:sz="4" w:space="0" w:color="auto"/>
              <w:bottom w:val="single" w:sz="4" w:space="0" w:color="auto"/>
            </w:tcBorders>
            <w:shd w:val="clear" w:color="auto" w:fill="C6D9F1" w:themeFill="text2" w:themeFillTint="33"/>
          </w:tcPr>
          <w:p w:rsidR="00FA0032" w:rsidRPr="003C527B" w:rsidRDefault="00FA0032" w:rsidP="00C61544">
            <w:pPr>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FA0032" w:rsidRPr="005C6ABD" w:rsidTr="00B655FE">
        <w:trPr>
          <w:trHeight w:val="609"/>
          <w:jc w:val="center"/>
        </w:trPr>
        <w:tc>
          <w:tcPr>
            <w:tcW w:w="2378" w:type="dxa"/>
            <w:tcBorders>
              <w:top w:val="single" w:sz="4" w:space="0" w:color="auto"/>
            </w:tcBorders>
            <w:shd w:val="clear" w:color="auto" w:fill="auto"/>
            <w:tcMar>
              <w:top w:w="113" w:type="dxa"/>
              <w:bottom w:w="85" w:type="dxa"/>
            </w:tcMar>
          </w:tcPr>
          <w:p w:rsidR="00FA0032" w:rsidRPr="00FA0032" w:rsidRDefault="00FA0032" w:rsidP="00C61544">
            <w:pPr>
              <w:keepNext/>
              <w:keepLines/>
              <w:rPr>
                <w:sz w:val="16"/>
                <w:szCs w:val="16"/>
                <w:lang w:val="ru-RU"/>
              </w:rPr>
            </w:pPr>
            <w:r w:rsidRPr="00FA0032">
              <w:rPr>
                <w:sz w:val="16"/>
                <w:lang w:val="ru-RU"/>
              </w:rPr>
              <w:t>Невыполнение обязательств ключевыми поставщиками может привести к сбоям в предоставлении услуг внешним клиентам</w:t>
            </w:r>
          </w:p>
        </w:tc>
        <w:tc>
          <w:tcPr>
            <w:tcW w:w="2201" w:type="dxa"/>
            <w:tcBorders>
              <w:top w:val="single" w:sz="4" w:space="0" w:color="auto"/>
            </w:tcBorders>
            <w:shd w:val="clear" w:color="auto" w:fill="auto"/>
            <w:tcMar>
              <w:top w:w="113" w:type="dxa"/>
              <w:bottom w:w="85" w:type="dxa"/>
            </w:tcMar>
          </w:tcPr>
          <w:p w:rsidR="00FA0032" w:rsidRPr="00FA0032" w:rsidRDefault="00FA0032" w:rsidP="00C61544">
            <w:pPr>
              <w:keepNext/>
              <w:keepLines/>
              <w:autoSpaceDE w:val="0"/>
              <w:autoSpaceDN w:val="0"/>
              <w:adjustRightInd w:val="0"/>
              <w:ind w:right="-59"/>
              <w:rPr>
                <w:sz w:val="16"/>
                <w:szCs w:val="16"/>
                <w:lang w:val="ru-RU"/>
              </w:rPr>
            </w:pPr>
            <w:r w:rsidRPr="00FA0032">
              <w:rPr>
                <w:sz w:val="16"/>
                <w:lang w:val="ru-RU"/>
              </w:rPr>
              <w:t>Отделу закупок и организации поездок, а также программам ВОИС следует разработать план действий на случай чрезвычайных ситуаций, связанных с контрактами, риск в связи с которыми оценивается как высокий и которые крайне важны для обеспечения бесперебойного функционирования.</w:t>
            </w:r>
          </w:p>
          <w:p w:rsidR="00FA0032" w:rsidRPr="00FA0032" w:rsidRDefault="00FA0032" w:rsidP="00C61544">
            <w:pPr>
              <w:keepNext/>
              <w:keepLines/>
              <w:autoSpaceDE w:val="0"/>
              <w:autoSpaceDN w:val="0"/>
              <w:adjustRightInd w:val="0"/>
              <w:ind w:right="-59"/>
              <w:rPr>
                <w:sz w:val="16"/>
                <w:szCs w:val="16"/>
                <w:lang w:val="ru-RU"/>
              </w:rPr>
            </w:pPr>
          </w:p>
        </w:tc>
        <w:tc>
          <w:tcPr>
            <w:tcW w:w="2872" w:type="dxa"/>
            <w:tcBorders>
              <w:top w:val="single" w:sz="4" w:space="0" w:color="auto"/>
            </w:tcBorders>
          </w:tcPr>
          <w:p w:rsidR="00FA0032" w:rsidRPr="00FA0032" w:rsidRDefault="00FA0032" w:rsidP="00C61544">
            <w:pPr>
              <w:keepNext/>
              <w:keepLines/>
              <w:autoSpaceDE w:val="0"/>
              <w:autoSpaceDN w:val="0"/>
              <w:adjustRightInd w:val="0"/>
              <w:ind w:right="-59"/>
              <w:rPr>
                <w:sz w:val="16"/>
                <w:szCs w:val="16"/>
                <w:lang w:val="ru-RU"/>
              </w:rPr>
            </w:pPr>
            <w:r w:rsidRPr="00FA0032">
              <w:rPr>
                <w:sz w:val="16"/>
                <w:lang w:val="ru-RU"/>
              </w:rPr>
              <w:t>Этот риск постоянно присутствует в работе Организации. Его удалось определить более точно посредством составления перечня «критически важных» поставщиков в рамках закупочных планов программы, что было сделано на основе консультаций с ОЗП.  При рассмотрении планов закупок должное внимание уделяется устранению сбоев в предоставлении услуг, что также по мере целесообразности находит отражение в условиях контрактов.  Совместно с ОЗП и при участии программ продолжится работа над официальными планами действий в случае чрезвычайной ситуации.</w:t>
            </w:r>
          </w:p>
        </w:tc>
        <w:tc>
          <w:tcPr>
            <w:tcW w:w="2278" w:type="dxa"/>
            <w:tcBorders>
              <w:top w:val="single" w:sz="4" w:space="0" w:color="auto"/>
            </w:tcBorders>
          </w:tcPr>
          <w:p w:rsidR="00FA0032" w:rsidRPr="00FA0032" w:rsidRDefault="00FA0032" w:rsidP="00C61544">
            <w:pPr>
              <w:keepNext/>
              <w:keepLines/>
              <w:autoSpaceDE w:val="0"/>
              <w:autoSpaceDN w:val="0"/>
              <w:adjustRightInd w:val="0"/>
              <w:ind w:right="-59"/>
              <w:rPr>
                <w:sz w:val="16"/>
                <w:szCs w:val="16"/>
                <w:lang w:val="ru-RU"/>
              </w:rPr>
            </w:pPr>
            <w:r w:rsidRPr="00FA0032">
              <w:rPr>
                <w:sz w:val="16"/>
                <w:lang w:val="ru-RU"/>
              </w:rPr>
              <w:t>Этот риск и его развитие не оказали существенного влияния на реализацию программы в 2014–2015 гг.</w:t>
            </w:r>
          </w:p>
        </w:tc>
      </w:tr>
      <w:tr w:rsidR="00FA0032" w:rsidRPr="005C6ABD" w:rsidTr="00B655FE">
        <w:trPr>
          <w:trHeight w:val="703"/>
          <w:jc w:val="center"/>
        </w:trPr>
        <w:tc>
          <w:tcPr>
            <w:tcW w:w="2378" w:type="dxa"/>
            <w:shd w:val="clear" w:color="auto" w:fill="auto"/>
            <w:tcMar>
              <w:top w:w="113" w:type="dxa"/>
              <w:bottom w:w="85" w:type="dxa"/>
            </w:tcMar>
          </w:tcPr>
          <w:p w:rsidR="00FA0032" w:rsidRPr="00FA0032" w:rsidRDefault="00FA0032" w:rsidP="00C61544">
            <w:pPr>
              <w:rPr>
                <w:sz w:val="16"/>
                <w:szCs w:val="16"/>
                <w:highlight w:val="yellow"/>
                <w:lang w:val="ru-RU"/>
              </w:rPr>
            </w:pPr>
            <w:r w:rsidRPr="00FA0032">
              <w:rPr>
                <w:sz w:val="16"/>
                <w:lang w:val="ru-RU"/>
              </w:rPr>
              <w:t>Вследствие какого-либо внешнего события или происшествия на протяжении длительного времени окажется невозможно эксплуатировать одно или несколько зданий, что может послужить причиной сбоев в обслуживании внешних клиентов и потере ресурсов, и это отрицательно скажется на реализации программы</w:t>
            </w:r>
            <w:r w:rsidRPr="00FA0032">
              <w:rPr>
                <w:sz w:val="16"/>
                <w:szCs w:val="16"/>
                <w:highlight w:val="yellow"/>
                <w:lang w:val="ru-RU"/>
              </w:rPr>
              <w:br/>
            </w:r>
          </w:p>
        </w:tc>
        <w:tc>
          <w:tcPr>
            <w:tcW w:w="2201" w:type="dxa"/>
            <w:shd w:val="clear" w:color="auto" w:fill="auto"/>
            <w:tcMar>
              <w:top w:w="113" w:type="dxa"/>
              <w:bottom w:w="85" w:type="dxa"/>
            </w:tcMar>
          </w:tcPr>
          <w:p w:rsidR="00FA0032" w:rsidRPr="006D6B33" w:rsidRDefault="00FA0032" w:rsidP="00C61544">
            <w:pPr>
              <w:autoSpaceDE w:val="0"/>
              <w:autoSpaceDN w:val="0"/>
              <w:adjustRightInd w:val="0"/>
              <w:ind w:right="-59"/>
              <w:rPr>
                <w:sz w:val="16"/>
                <w:szCs w:val="16"/>
              </w:rPr>
            </w:pPr>
            <w:r w:rsidRPr="00FA0032">
              <w:rPr>
                <w:sz w:val="16"/>
                <w:lang w:val="ru-RU"/>
              </w:rPr>
              <w:t>Разработка плана реконструкции и капитального ремонта всех зданий и продолжение реализации</w:t>
            </w:r>
            <w:r>
              <w:rPr>
                <w:sz w:val="16"/>
              </w:rPr>
              <w:t> </w:t>
            </w:r>
            <w:r w:rsidRPr="00FA0032">
              <w:rPr>
                <w:sz w:val="16"/>
                <w:lang w:val="ru-RU"/>
              </w:rPr>
              <w:t>– при необходимости и более активное</w:t>
            </w:r>
            <w:r>
              <w:rPr>
                <w:sz w:val="16"/>
              </w:rPr>
              <w:t> </w:t>
            </w:r>
            <w:r w:rsidRPr="00FA0032">
              <w:rPr>
                <w:sz w:val="16"/>
                <w:lang w:val="ru-RU"/>
              </w:rPr>
              <w:t xml:space="preserve">– планового технического обслуживания всех основных технических сооружений.  Регулярный пересмотр и обновление плана мероприятий по обеспечению бесперебойного функционирования и приведение его в действие при необходимости.  </w:t>
            </w:r>
            <w:r>
              <w:rPr>
                <w:sz w:val="16"/>
              </w:rPr>
              <w:t>Поиск вариантов резервных служебных помещений.</w:t>
            </w:r>
          </w:p>
        </w:tc>
        <w:tc>
          <w:tcPr>
            <w:tcW w:w="2872" w:type="dxa"/>
          </w:tcPr>
          <w:p w:rsidR="00FA0032" w:rsidRPr="00FA0032" w:rsidRDefault="00FA0032" w:rsidP="00C61544">
            <w:pPr>
              <w:autoSpaceDE w:val="0"/>
              <w:autoSpaceDN w:val="0"/>
              <w:adjustRightInd w:val="0"/>
              <w:ind w:right="-59"/>
              <w:rPr>
                <w:sz w:val="16"/>
                <w:szCs w:val="16"/>
                <w:lang w:val="ru-RU"/>
              </w:rPr>
            </w:pPr>
            <w:r w:rsidRPr="00FA0032">
              <w:rPr>
                <w:sz w:val="16"/>
                <w:lang w:val="ru-RU"/>
              </w:rPr>
              <w:t>Этот риск постоянно присутствует в работе Организации, и для его смягчения действуют соответствующие стратегии снижения риска.  Этот вопрос был также включен в План ВОИС по обеспечению бесперебойного функционирования и в План ВОИС по обеспечению устойчивости к воздействию внешних факторов.</w:t>
            </w:r>
          </w:p>
          <w:p w:rsidR="00FA0032" w:rsidRPr="00FA0032" w:rsidRDefault="00FA0032" w:rsidP="00C61544">
            <w:pPr>
              <w:autoSpaceDE w:val="0"/>
              <w:autoSpaceDN w:val="0"/>
              <w:adjustRightInd w:val="0"/>
              <w:ind w:right="-59"/>
              <w:rPr>
                <w:sz w:val="16"/>
                <w:szCs w:val="16"/>
                <w:lang w:val="ru-RU"/>
              </w:rPr>
            </w:pPr>
          </w:p>
          <w:p w:rsidR="00FA0032" w:rsidRPr="00FA0032" w:rsidRDefault="00FA0032" w:rsidP="00C61544">
            <w:pPr>
              <w:autoSpaceDE w:val="0"/>
              <w:autoSpaceDN w:val="0"/>
              <w:adjustRightInd w:val="0"/>
              <w:ind w:right="-59"/>
              <w:rPr>
                <w:sz w:val="16"/>
                <w:szCs w:val="16"/>
                <w:lang w:val="ru-RU"/>
              </w:rPr>
            </w:pPr>
            <w:r w:rsidRPr="00FA0032">
              <w:rPr>
                <w:sz w:val="16"/>
                <w:lang w:val="ru-RU"/>
              </w:rPr>
              <w:t>Была разработана первая фаза плана реконструкции и капитального ремонта.</w:t>
            </w:r>
          </w:p>
          <w:p w:rsidR="00FA0032" w:rsidRPr="00FA0032" w:rsidRDefault="00FA0032" w:rsidP="00C61544">
            <w:pPr>
              <w:autoSpaceDE w:val="0"/>
              <w:autoSpaceDN w:val="0"/>
              <w:adjustRightInd w:val="0"/>
              <w:ind w:right="-59"/>
              <w:rPr>
                <w:sz w:val="16"/>
                <w:szCs w:val="16"/>
                <w:lang w:val="ru-RU"/>
              </w:rPr>
            </w:pPr>
          </w:p>
          <w:p w:rsidR="00FA0032" w:rsidRPr="00FA0032" w:rsidRDefault="00FA0032" w:rsidP="00C61544">
            <w:pPr>
              <w:autoSpaceDE w:val="0"/>
              <w:autoSpaceDN w:val="0"/>
              <w:adjustRightInd w:val="0"/>
              <w:ind w:right="-59"/>
              <w:rPr>
                <w:sz w:val="16"/>
                <w:szCs w:val="16"/>
                <w:lang w:val="ru-RU"/>
              </w:rPr>
            </w:pPr>
            <w:r w:rsidRPr="00FA0032">
              <w:rPr>
                <w:sz w:val="16"/>
                <w:lang w:val="ru-RU"/>
              </w:rPr>
              <w:t xml:space="preserve">Резервные служебные помещения – это прежде всего действующие внешние арендуемые помещения; более отдаленные помещения будут определены позднее. </w:t>
            </w:r>
          </w:p>
        </w:tc>
        <w:tc>
          <w:tcPr>
            <w:tcW w:w="2278" w:type="dxa"/>
          </w:tcPr>
          <w:p w:rsidR="00FA0032" w:rsidRPr="00FA0032" w:rsidRDefault="00FA0032" w:rsidP="00C61544">
            <w:pPr>
              <w:autoSpaceDE w:val="0"/>
              <w:autoSpaceDN w:val="0"/>
              <w:adjustRightInd w:val="0"/>
              <w:ind w:right="-59"/>
              <w:rPr>
                <w:sz w:val="16"/>
                <w:szCs w:val="16"/>
                <w:lang w:val="ru-RU"/>
              </w:rPr>
            </w:pPr>
            <w:r w:rsidRPr="00FA0032">
              <w:rPr>
                <w:sz w:val="16"/>
                <w:lang w:val="ru-RU"/>
              </w:rPr>
              <w:t>Этот риск и его развитие не оказали существенного влияния на реализацию программы в 2014–2015 гг.</w:t>
            </w:r>
          </w:p>
        </w:tc>
      </w:tr>
    </w:tbl>
    <w:p w:rsidR="00FA0032" w:rsidRPr="00FA0032" w:rsidRDefault="00FA0032" w:rsidP="00FA0032">
      <w:pPr>
        <w:rPr>
          <w:lang w:val="ru-RU"/>
        </w:rPr>
      </w:pPr>
    </w:p>
    <w:p w:rsidR="00FA0032" w:rsidRPr="00FA0032" w:rsidRDefault="00FA0032" w:rsidP="00FA0032">
      <w:pPr>
        <w:rPr>
          <w:rFonts w:cs="Arial"/>
          <w:color w:val="000000"/>
          <w:szCs w:val="22"/>
          <w:lang w:val="ru-RU"/>
        </w:rPr>
      </w:pPr>
    </w:p>
    <w:p w:rsidR="00FA0032" w:rsidRPr="00FA0032" w:rsidRDefault="00FA0032" w:rsidP="00FA0032">
      <w:pPr>
        <w:keepNext/>
        <w:keepLines/>
        <w:rPr>
          <w:b/>
          <w:sz w:val="18"/>
          <w:szCs w:val="18"/>
          <w:lang w:val="ru-RU"/>
        </w:rPr>
      </w:pPr>
      <w:r w:rsidRPr="00FA0032">
        <w:rPr>
          <w:color w:val="000000"/>
          <w:lang w:val="ru-RU"/>
        </w:rPr>
        <w:t>ИСПОЛЬЗОВАНИЕ РЕСУРСОВ</w:t>
      </w:r>
    </w:p>
    <w:p w:rsidR="00FA0032" w:rsidRPr="00FA0032" w:rsidRDefault="00FA0032" w:rsidP="00FA0032">
      <w:pPr>
        <w:keepNext/>
        <w:keepLines/>
        <w:rPr>
          <w:rFonts w:cs="Arial"/>
          <w:szCs w:val="22"/>
          <w:lang w:val="ru-RU"/>
        </w:rPr>
      </w:pPr>
    </w:p>
    <w:p w:rsidR="00FA0032" w:rsidRPr="00FA0032" w:rsidRDefault="00FA0032" w:rsidP="00FA0032">
      <w:pPr>
        <w:pStyle w:val="NormalWeb"/>
        <w:keepNext/>
        <w:keepLines/>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(в разбивке по результатам) </w:t>
      </w:r>
    </w:p>
    <w:p w:rsidR="00FA0032" w:rsidRDefault="00FA0032" w:rsidP="00FA0032">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A0032" w:rsidRPr="0087507C" w:rsidRDefault="00FA0032" w:rsidP="00FA0032">
      <w:pPr>
        <w:keepNext/>
        <w:keepLines/>
        <w:rPr>
          <w:rFonts w:cs="Arial"/>
          <w:sz w:val="18"/>
          <w:szCs w:val="22"/>
        </w:rPr>
      </w:pPr>
    </w:p>
    <w:p w:rsidR="00FA0032" w:rsidRDefault="00FA0032" w:rsidP="00FA0032">
      <w:pPr>
        <w:keepNext/>
        <w:keepLines/>
        <w:jc w:val="center"/>
        <w:rPr>
          <w:rFonts w:cs="Arial"/>
          <w:szCs w:val="22"/>
        </w:rPr>
      </w:pPr>
      <w:r>
        <w:rPr>
          <w:rFonts w:cs="Arial"/>
          <w:noProof/>
          <w:szCs w:val="22"/>
        </w:rPr>
        <w:drawing>
          <wp:inline distT="0" distB="0" distL="0" distR="0" wp14:anchorId="1A5651B7" wp14:editId="7C8988C2">
            <wp:extent cx="5312534" cy="2367718"/>
            <wp:effectExtent l="0" t="0" r="254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5311438" cy="2367229"/>
                    </a:xfrm>
                    <a:prstGeom prst="rect">
                      <a:avLst/>
                    </a:prstGeom>
                    <a:noFill/>
                    <a:ln>
                      <a:noFill/>
                    </a:ln>
                  </pic:spPr>
                </pic:pic>
              </a:graphicData>
            </a:graphic>
          </wp:inline>
        </w:drawing>
      </w:r>
    </w:p>
    <w:p w:rsidR="00FA0032" w:rsidRDefault="00FA0032" w:rsidP="00FA0032">
      <w:pPr>
        <w:pStyle w:val="NormalWeb"/>
        <w:keepNext/>
        <w:keepLines/>
        <w:spacing w:before="0" w:beforeAutospacing="0" w:after="0" w:afterAutospacing="0"/>
        <w:jc w:val="center"/>
        <w:rPr>
          <w:color w:val="000000"/>
          <w:sz w:val="20"/>
          <w:szCs w:val="20"/>
        </w:rPr>
      </w:pPr>
    </w:p>
    <w:p w:rsidR="00FA0032" w:rsidRPr="00FA0032" w:rsidRDefault="00FA0032" w:rsidP="00FA0032">
      <w:pPr>
        <w:pStyle w:val="NormalWeb"/>
        <w:keepNext/>
        <w:keepLines/>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(по персоналу и не связанные с персоналом) </w:t>
      </w:r>
    </w:p>
    <w:p w:rsidR="00FA0032" w:rsidRPr="00383D2D" w:rsidRDefault="00FA0032" w:rsidP="00FA0032">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A0032" w:rsidRPr="0087507C" w:rsidRDefault="00FA0032" w:rsidP="00FA0032">
      <w:pPr>
        <w:rPr>
          <w:rFonts w:cs="Arial"/>
          <w:szCs w:val="22"/>
        </w:rPr>
      </w:pPr>
    </w:p>
    <w:p w:rsidR="00FA0032" w:rsidRPr="008704A4" w:rsidRDefault="00FA0032" w:rsidP="00FA0032">
      <w:pPr>
        <w:widowControl w:val="0"/>
        <w:autoSpaceDE w:val="0"/>
        <w:autoSpaceDN w:val="0"/>
        <w:adjustRightInd w:val="0"/>
        <w:jc w:val="center"/>
        <w:rPr>
          <w:rFonts w:cs="Arial"/>
          <w:szCs w:val="20"/>
        </w:rPr>
      </w:pPr>
      <w:r>
        <w:rPr>
          <w:rFonts w:cs="Arial"/>
          <w:noProof/>
          <w:szCs w:val="20"/>
        </w:rPr>
        <w:drawing>
          <wp:inline distT="0" distB="0" distL="0" distR="0" wp14:anchorId="43506BEB" wp14:editId="7F48F05B">
            <wp:extent cx="5734050" cy="1247168"/>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732867" cy="1246911"/>
                    </a:xfrm>
                    <a:prstGeom prst="rect">
                      <a:avLst/>
                    </a:prstGeom>
                    <a:noFill/>
                    <a:ln>
                      <a:noFill/>
                    </a:ln>
                  </pic:spPr>
                </pic:pic>
              </a:graphicData>
            </a:graphic>
          </wp:inline>
        </w:drawing>
      </w:r>
    </w:p>
    <w:p w:rsidR="00FA0032" w:rsidRDefault="00FA0032" w:rsidP="00FA0032">
      <w:pPr>
        <w:rPr>
          <w:rFonts w:cs="Arial"/>
          <w:szCs w:val="20"/>
        </w:rPr>
      </w:pPr>
    </w:p>
    <w:p w:rsidR="00FA0032" w:rsidRDefault="00FA0032" w:rsidP="00FA0032">
      <w:pPr>
        <w:rPr>
          <w:rFonts w:cs="Arial"/>
          <w:szCs w:val="20"/>
        </w:rPr>
      </w:pPr>
    </w:p>
    <w:p w:rsidR="00FA0032" w:rsidRPr="00FA0032" w:rsidRDefault="00FA0032" w:rsidP="00FA0032">
      <w:pPr>
        <w:rPr>
          <w:rFonts w:cs="Arial"/>
          <w:szCs w:val="20"/>
          <w:u w:val="single"/>
          <w:lang w:val="ru-RU"/>
        </w:rPr>
      </w:pPr>
      <w:r>
        <w:t>A</w:t>
      </w:r>
      <w:r w:rsidRPr="00FA0032">
        <w:rPr>
          <w:lang w:val="ru-RU"/>
        </w:rPr>
        <w:t>.</w:t>
      </w:r>
      <w:r w:rsidRPr="00FA0032">
        <w:rPr>
          <w:lang w:val="ru-RU"/>
        </w:rPr>
        <w:tab/>
      </w:r>
      <w:r w:rsidRPr="00FA0032">
        <w:rPr>
          <w:u w:val="single"/>
          <w:lang w:val="ru-RU"/>
        </w:rPr>
        <w:t>Итоговый бюджет на 2014–2015 гг. после перераспределения средств</w:t>
      </w:r>
    </w:p>
    <w:p w:rsidR="00FA0032" w:rsidRPr="00FA0032" w:rsidRDefault="00FA0032" w:rsidP="00FA0032">
      <w:pPr>
        <w:rPr>
          <w:rFonts w:cs="Arial"/>
          <w:szCs w:val="20"/>
          <w:u w:val="single"/>
          <w:lang w:val="ru-RU"/>
        </w:rPr>
      </w:pPr>
      <w:r w:rsidRPr="00FA0032">
        <w:rPr>
          <w:u w:val="single"/>
          <w:lang w:val="ru-RU"/>
        </w:rPr>
        <w:t xml:space="preserve"> </w:t>
      </w:r>
    </w:p>
    <w:p w:rsidR="00FA0032" w:rsidRPr="00FA0032" w:rsidRDefault="00FA0032" w:rsidP="00FA0032">
      <w:pPr>
        <w:pStyle w:val="ListParagraph"/>
        <w:numPr>
          <w:ilvl w:val="0"/>
          <w:numId w:val="66"/>
        </w:numPr>
        <w:tabs>
          <w:tab w:val="left" w:pos="709"/>
        </w:tabs>
        <w:ind w:left="0" w:firstLine="0"/>
        <w:jc w:val="both"/>
        <w:rPr>
          <w:rFonts w:cs="Arial"/>
          <w:color w:val="000000"/>
          <w:lang w:val="ru-RU"/>
        </w:rPr>
      </w:pPr>
      <w:r w:rsidRPr="00FA0032">
        <w:rPr>
          <w:lang w:val="ru-RU"/>
        </w:rPr>
        <w:t>Увеличение итогового бюджета на 2014–2015</w:t>
      </w:r>
      <w:r>
        <w:t> </w:t>
      </w:r>
      <w:r w:rsidRPr="00FA0032">
        <w:rPr>
          <w:lang w:val="ru-RU"/>
        </w:rPr>
        <w:t>гг. после перераспределения средств (ресурсы, не связанные с персоналом) отражает выделение дополнительных ресурсов в пользу программы в целях: (</w:t>
      </w:r>
      <w:r>
        <w:t>i</w:t>
      </w:r>
      <w:r w:rsidRPr="00FA0032">
        <w:rPr>
          <w:lang w:val="ru-RU"/>
        </w:rPr>
        <w:t>)</w:t>
      </w:r>
      <w:r>
        <w:t> </w:t>
      </w:r>
      <w:r w:rsidRPr="00FA0032">
        <w:rPr>
          <w:lang w:val="ru-RU"/>
        </w:rPr>
        <w:t xml:space="preserve">оснащения здания </w:t>
      </w:r>
      <w:r>
        <w:t>AM</w:t>
      </w:r>
      <w:r w:rsidRPr="00FA0032">
        <w:rPr>
          <w:lang w:val="ru-RU"/>
        </w:rPr>
        <w:t>; и (</w:t>
      </w:r>
      <w:r>
        <w:t>ii</w:t>
      </w:r>
      <w:r w:rsidRPr="00FA0032">
        <w:rPr>
          <w:lang w:val="ru-RU"/>
        </w:rPr>
        <w:t>)</w:t>
      </w:r>
      <w:r>
        <w:t> </w:t>
      </w:r>
      <w:r w:rsidRPr="00FA0032">
        <w:rPr>
          <w:lang w:val="ru-RU"/>
        </w:rPr>
        <w:t>закупки различного оборудования и пополнения запасов, в частности мобильных выставочных панелей, электрооборудования, офисных перегородок и ковров.</w:t>
      </w:r>
      <w:r w:rsidRPr="00FA0032">
        <w:rPr>
          <w:color w:val="000000"/>
          <w:lang w:val="ru-RU"/>
        </w:rPr>
        <w:t xml:space="preserve">  Этот рост был компенсирован реализацией мер по повышению эффективности и передачей ресурсов программе 28 на установку около нового конференц-зала ВОИС изготовленной на заказ ограды для предотвращения несанкционированного проникновения.</w:t>
      </w:r>
    </w:p>
    <w:p w:rsidR="00FA0032" w:rsidRPr="00FA0032" w:rsidRDefault="00FA0032" w:rsidP="00FA0032">
      <w:pPr>
        <w:pStyle w:val="ListParagraph"/>
        <w:tabs>
          <w:tab w:val="left" w:pos="709"/>
        </w:tabs>
        <w:ind w:left="0"/>
        <w:jc w:val="both"/>
        <w:rPr>
          <w:rFonts w:cs="Arial"/>
          <w:color w:val="000000"/>
          <w:lang w:val="ru-RU"/>
        </w:rPr>
      </w:pPr>
    </w:p>
    <w:p w:rsidR="00FA0032" w:rsidRPr="00FA0032" w:rsidRDefault="00FA0032" w:rsidP="00FA0032">
      <w:pPr>
        <w:pStyle w:val="ListParagraph"/>
        <w:numPr>
          <w:ilvl w:val="0"/>
          <w:numId w:val="66"/>
        </w:numPr>
        <w:tabs>
          <w:tab w:val="left" w:pos="709"/>
        </w:tabs>
        <w:ind w:left="0" w:firstLine="0"/>
        <w:jc w:val="both"/>
        <w:rPr>
          <w:rFonts w:cs="Arial"/>
          <w:color w:val="000000"/>
          <w:lang w:val="ru-RU"/>
        </w:rPr>
      </w:pPr>
      <w:r w:rsidRPr="00FA0032">
        <w:rPr>
          <w:lang w:val="ru-RU"/>
        </w:rPr>
        <w:t>Незначительное увеличение итогового бюджета на 2014–2015</w:t>
      </w:r>
      <w:r>
        <w:t> </w:t>
      </w:r>
      <w:r w:rsidRPr="00FA0032">
        <w:rPr>
          <w:lang w:val="ru-RU"/>
        </w:rPr>
        <w:t>гг. после перераспределения средств (ресурсы, связанные с персоналом) является результатом, с одной стороны, перераспределения дополнительных ресурсов в пользу программы в целях: (</w:t>
      </w:r>
      <w:r>
        <w:t>i</w:t>
      </w:r>
      <w:r w:rsidRPr="00FA0032">
        <w:rPr>
          <w:lang w:val="ru-RU"/>
        </w:rPr>
        <w:t>)</w:t>
      </w:r>
      <w:r>
        <w:t> </w:t>
      </w:r>
      <w:r w:rsidRPr="00FA0032">
        <w:rPr>
          <w:lang w:val="ru-RU"/>
        </w:rPr>
        <w:t>оказания поддержки Апелляционному совету ВОИС; (</w:t>
      </w:r>
      <w:r>
        <w:t>ii</w:t>
      </w:r>
      <w:r w:rsidRPr="00FA0032">
        <w:rPr>
          <w:lang w:val="ru-RU"/>
        </w:rPr>
        <w:t>)</w:t>
      </w:r>
      <w:r>
        <w:t> </w:t>
      </w:r>
      <w:r w:rsidRPr="00FA0032">
        <w:rPr>
          <w:lang w:val="ru-RU"/>
        </w:rPr>
        <w:t>создания функции сертификации УИК при осуществлении закупок; и (</w:t>
      </w:r>
      <w:r>
        <w:t>iii</w:t>
      </w:r>
      <w:r w:rsidRPr="00FA0032">
        <w:rPr>
          <w:lang w:val="ru-RU"/>
        </w:rPr>
        <w:t>)</w:t>
      </w:r>
      <w:r>
        <w:t> </w:t>
      </w:r>
      <w:r w:rsidRPr="00FA0032">
        <w:rPr>
          <w:lang w:val="ru-RU"/>
        </w:rPr>
        <w:t>укрепления административной поддержки, оказываемой проектам по модернизации.</w:t>
      </w:r>
      <w:r w:rsidRPr="00FA0032">
        <w:rPr>
          <w:color w:val="000000"/>
          <w:lang w:val="ru-RU"/>
        </w:rPr>
        <w:t xml:space="preserve"> С другой стороны, такое увеличение было частично компенсировано перераспределением ресурсов, которые были переданы от программы в пользу программ 16, 22 и 28 для удовлетворения рабочих потребностей. </w:t>
      </w:r>
    </w:p>
    <w:p w:rsidR="00FA0032" w:rsidRPr="00FA0032" w:rsidRDefault="00FA0032" w:rsidP="00FA0032">
      <w:pPr>
        <w:jc w:val="both"/>
        <w:rPr>
          <w:rFonts w:cs="Arial"/>
          <w:color w:val="000000"/>
          <w:szCs w:val="20"/>
          <w:lang w:val="ru-RU"/>
        </w:rPr>
      </w:pPr>
    </w:p>
    <w:p w:rsidR="00FA0032" w:rsidRPr="00FA0032" w:rsidRDefault="00FA0032" w:rsidP="00FA0032">
      <w:pPr>
        <w:pStyle w:val="ListParagraph"/>
        <w:numPr>
          <w:ilvl w:val="0"/>
          <w:numId w:val="66"/>
        </w:numPr>
        <w:tabs>
          <w:tab w:val="left" w:pos="709"/>
        </w:tabs>
        <w:ind w:left="0" w:firstLine="0"/>
        <w:jc w:val="both"/>
        <w:rPr>
          <w:rFonts w:cs="Arial"/>
          <w:color w:val="000000"/>
          <w:lang w:val="ru-RU"/>
        </w:rPr>
      </w:pPr>
      <w:r w:rsidRPr="00FA0032">
        <w:rPr>
          <w:lang w:val="ru-RU"/>
        </w:rPr>
        <w:t xml:space="preserve">Перераспределение ресурсов между ожидаемыми результатами было связано прежде всего с перераспределением ресурсов, связанных с персоналом, от ожидаемого результата </w:t>
      </w:r>
      <w:r>
        <w:t>IX</w:t>
      </w:r>
      <w:r w:rsidRPr="00FA0032">
        <w:rPr>
          <w:lang w:val="ru-RU"/>
        </w:rPr>
        <w:t xml:space="preserve">.1 (эффективные, действенные, качественные и ориентированные на пользователя вспомогательные услуги) в пользу ожидаемого результата </w:t>
      </w:r>
      <w:r>
        <w:t>IX</w:t>
      </w:r>
      <w:r w:rsidRPr="00FA0032">
        <w:rPr>
          <w:lang w:val="ru-RU"/>
        </w:rPr>
        <w:t xml:space="preserve">.4 (ответственная в экологическом и социальном плане Организация) в целях осуществления экологической деятельности и повышения уровня безопасности сотрудников, посетителей и активов, а также в пользу ожидаемого результата </w:t>
      </w:r>
      <w:r>
        <w:t>VIII</w:t>
      </w:r>
      <w:r w:rsidRPr="00FA0032">
        <w:rPr>
          <w:lang w:val="ru-RU"/>
        </w:rPr>
        <w:t>.5 (ВОИС эффективно взаимодействует и является партнером в процессах ООН и других МПО) в целях активизации взаимодействия с другими учреждениями системы ООН в области:</w:t>
      </w:r>
      <w:r w:rsidRPr="00FA0032">
        <w:rPr>
          <w:color w:val="000000"/>
          <w:lang w:val="ru-RU"/>
        </w:rPr>
        <w:t xml:space="preserve">  (</w:t>
      </w:r>
      <w:r>
        <w:rPr>
          <w:color w:val="000000"/>
        </w:rPr>
        <w:t>i</w:t>
      </w:r>
      <w:r w:rsidRPr="00FA0032">
        <w:rPr>
          <w:color w:val="000000"/>
          <w:lang w:val="ru-RU"/>
        </w:rPr>
        <w:t>)</w:t>
      </w:r>
      <w:r>
        <w:rPr>
          <w:color w:val="000000"/>
        </w:rPr>
        <w:t> </w:t>
      </w:r>
      <w:r w:rsidRPr="00FA0032">
        <w:rPr>
          <w:color w:val="000000"/>
          <w:lang w:val="ru-RU"/>
        </w:rPr>
        <w:t>закупочной деятельности; и (</w:t>
      </w:r>
      <w:r>
        <w:rPr>
          <w:color w:val="000000"/>
        </w:rPr>
        <w:t>ii</w:t>
      </w:r>
      <w:r w:rsidRPr="00FA0032">
        <w:rPr>
          <w:color w:val="000000"/>
          <w:lang w:val="ru-RU"/>
        </w:rPr>
        <w:t>)</w:t>
      </w:r>
      <w:r>
        <w:t> </w:t>
      </w:r>
      <w:r w:rsidRPr="00FA0032">
        <w:rPr>
          <w:color w:val="000000"/>
          <w:lang w:val="ru-RU"/>
        </w:rPr>
        <w:t xml:space="preserve">реконструкции и обслуживания помещений. </w:t>
      </w:r>
    </w:p>
    <w:p w:rsidR="00FA0032" w:rsidRPr="00FA0032" w:rsidRDefault="00FA0032" w:rsidP="00FA0032">
      <w:pPr>
        <w:autoSpaceDE w:val="0"/>
        <w:autoSpaceDN w:val="0"/>
        <w:jc w:val="both"/>
        <w:rPr>
          <w:rFonts w:cs="Arial"/>
          <w:szCs w:val="20"/>
          <w:lang w:val="ru-RU"/>
        </w:rPr>
      </w:pPr>
    </w:p>
    <w:p w:rsidR="00FA0032" w:rsidRPr="00FA0032" w:rsidRDefault="00FA0032" w:rsidP="00FA0032">
      <w:pPr>
        <w:jc w:val="both"/>
        <w:rPr>
          <w:rFonts w:cs="Arial"/>
          <w:szCs w:val="20"/>
          <w:u w:val="single"/>
          <w:lang w:val="ru-RU"/>
        </w:rPr>
      </w:pPr>
      <w:r>
        <w:t>B</w:t>
      </w:r>
      <w:r w:rsidRPr="00FA0032">
        <w:rPr>
          <w:lang w:val="ru-RU"/>
        </w:rPr>
        <w:t>.</w:t>
      </w:r>
      <w:r w:rsidRPr="00FA0032">
        <w:rPr>
          <w:lang w:val="ru-RU"/>
        </w:rPr>
        <w:tab/>
      </w:r>
      <w:r w:rsidRPr="00FA0032">
        <w:rPr>
          <w:u w:val="single"/>
          <w:lang w:val="ru-RU"/>
        </w:rPr>
        <w:t>Освоение бюджетных средств в 2014–2015 гг.</w:t>
      </w:r>
    </w:p>
    <w:p w:rsidR="00FA0032" w:rsidRPr="00FA0032" w:rsidRDefault="00FA0032" w:rsidP="00FA0032">
      <w:pPr>
        <w:rPr>
          <w:lang w:val="ru-RU"/>
        </w:rPr>
      </w:pPr>
    </w:p>
    <w:p w:rsidR="001363EE" w:rsidRPr="00FA0032" w:rsidRDefault="00FA0032" w:rsidP="00FA0032">
      <w:pPr>
        <w:pStyle w:val="ListParagraph"/>
        <w:numPr>
          <w:ilvl w:val="0"/>
          <w:numId w:val="66"/>
        </w:numPr>
        <w:tabs>
          <w:tab w:val="left" w:pos="709"/>
        </w:tabs>
        <w:ind w:left="0" w:firstLine="0"/>
        <w:jc w:val="both"/>
        <w:rPr>
          <w:lang w:val="ru-RU"/>
        </w:rPr>
      </w:pPr>
      <w:r w:rsidRPr="00FA0032">
        <w:rPr>
          <w:lang w:val="ru-RU"/>
        </w:rPr>
        <w:t>Уровень освоения бюджетных средств находится в пределах, предусмотренных для рассматриваемого двухлетнего периода.</w:t>
      </w:r>
    </w:p>
    <w:p w:rsidR="00E43AF7" w:rsidRPr="00FA0032" w:rsidRDefault="00E43AF7" w:rsidP="008D1891">
      <w:pPr>
        <w:ind w:left="2268" w:hanging="2268"/>
        <w:rPr>
          <w:rFonts w:cs="Arial"/>
          <w:b/>
          <w:bCs/>
          <w:szCs w:val="20"/>
          <w:lang w:val="ru-RU"/>
        </w:rPr>
      </w:pPr>
    </w:p>
    <w:p w:rsidR="005E4C4F" w:rsidRPr="00FA0032" w:rsidRDefault="005E4C4F">
      <w:pPr>
        <w:rPr>
          <w:lang w:val="ru-RU"/>
        </w:rPr>
      </w:pPr>
      <w:r w:rsidRPr="00FA0032">
        <w:rPr>
          <w:lang w:val="ru-RU"/>
        </w:rPr>
        <w:br w:type="page"/>
      </w:r>
    </w:p>
    <w:p w:rsidR="00FA0032" w:rsidRPr="00FA0032" w:rsidRDefault="00FA0032" w:rsidP="00FA0032">
      <w:pPr>
        <w:pStyle w:val="Heading2"/>
        <w:tabs>
          <w:tab w:val="clear" w:pos="567"/>
          <w:tab w:val="left" w:pos="2268"/>
        </w:tabs>
        <w:ind w:left="1985" w:hanging="1985"/>
        <w:rPr>
          <w:lang w:val="ru-RU"/>
        </w:rPr>
      </w:pPr>
      <w:bookmarkStart w:id="128" w:name="_Toc422210514"/>
      <w:bookmarkStart w:id="129" w:name="_Toc455388137"/>
      <w:r w:rsidRPr="00FA0032">
        <w:rPr>
          <w:lang w:val="ru-RU"/>
        </w:rPr>
        <w:t>ПРОГРАММА 25</w:t>
      </w:r>
      <w:r w:rsidRPr="00FA0032">
        <w:rPr>
          <w:lang w:val="ru-RU"/>
        </w:rPr>
        <w:tab/>
        <w:t>ИНФОРМАЦИОННЫЕ И КОММУНИКАЦИОННЫЕ ТЕХНОЛОГИИ</w:t>
      </w:r>
      <w:bookmarkEnd w:id="128"/>
      <w:bookmarkEnd w:id="129"/>
    </w:p>
    <w:p w:rsidR="00FA0032" w:rsidRPr="00FA0032" w:rsidRDefault="00FA0032" w:rsidP="00FA0032">
      <w:pPr>
        <w:ind w:left="1985" w:hanging="1985"/>
        <w:rPr>
          <w:szCs w:val="20"/>
          <w:lang w:val="ru-RU"/>
        </w:rPr>
      </w:pPr>
    </w:p>
    <w:p w:rsidR="00FA0032" w:rsidRPr="00FA0032" w:rsidRDefault="00FA0032" w:rsidP="00FA0032">
      <w:pPr>
        <w:ind w:left="1985" w:hanging="1985"/>
        <w:rPr>
          <w:b/>
          <w:szCs w:val="20"/>
          <w:lang w:val="ru-RU"/>
        </w:rPr>
      </w:pPr>
      <w:r w:rsidRPr="00FA0032">
        <w:rPr>
          <w:b/>
          <w:lang w:val="ru-RU"/>
        </w:rPr>
        <w:t>Руководитель программы:</w:t>
      </w:r>
      <w:r w:rsidRPr="00FA0032">
        <w:rPr>
          <w:lang w:val="ru-RU"/>
        </w:rPr>
        <w:tab/>
      </w:r>
      <w:r w:rsidRPr="00FA0032">
        <w:rPr>
          <w:b/>
          <w:lang w:val="ru-RU"/>
        </w:rPr>
        <w:t>г-н А. Сундарам</w:t>
      </w:r>
    </w:p>
    <w:p w:rsidR="00FA0032" w:rsidRPr="00FA0032" w:rsidRDefault="00FA0032" w:rsidP="00FA0032">
      <w:pPr>
        <w:rPr>
          <w:szCs w:val="20"/>
          <w:lang w:val="ru-RU"/>
        </w:rPr>
      </w:pPr>
    </w:p>
    <w:p w:rsidR="00FA0032" w:rsidRPr="00FA0032" w:rsidRDefault="00FA0032" w:rsidP="00FA0032">
      <w:pPr>
        <w:rPr>
          <w:szCs w:val="20"/>
          <w:lang w:val="ru-RU"/>
        </w:rPr>
      </w:pPr>
    </w:p>
    <w:p w:rsidR="00FA0032" w:rsidRPr="00FA0032" w:rsidRDefault="00FA0032" w:rsidP="00FA0032">
      <w:pPr>
        <w:rPr>
          <w:bCs/>
          <w:szCs w:val="20"/>
          <w:lang w:val="ru-RU"/>
        </w:rPr>
      </w:pPr>
      <w:r w:rsidRPr="00FA0032">
        <w:rPr>
          <w:lang w:val="ru-RU"/>
        </w:rPr>
        <w:t>ОБЗОР ДОСТИЖЕНИЙ ЗА ДВУХЛЕТНИЙ ПЕРИОД 2014–2015 ГГ.</w:t>
      </w:r>
    </w:p>
    <w:p w:rsidR="00FA0032" w:rsidRPr="00FA0032" w:rsidRDefault="00FA0032" w:rsidP="00FA0032">
      <w:pPr>
        <w:jc w:val="both"/>
        <w:rPr>
          <w:rFonts w:cs="Arial"/>
          <w:color w:val="000000" w:themeColor="text1"/>
          <w:szCs w:val="20"/>
          <w:lang w:val="ru-RU"/>
        </w:rPr>
      </w:pPr>
    </w:p>
    <w:p w:rsidR="00FA0032" w:rsidRPr="00FA0032" w:rsidRDefault="00FA0032" w:rsidP="00FA0032">
      <w:pPr>
        <w:pStyle w:val="ONUME"/>
        <w:numPr>
          <w:ilvl w:val="0"/>
          <w:numId w:val="48"/>
        </w:numPr>
        <w:tabs>
          <w:tab w:val="left" w:pos="709"/>
        </w:tabs>
        <w:ind w:left="0" w:firstLine="0"/>
        <w:jc w:val="both"/>
        <w:rPr>
          <w:lang w:val="ru-RU"/>
        </w:rPr>
      </w:pPr>
      <w:r w:rsidRPr="00FA0032">
        <w:rPr>
          <w:lang w:val="ru-RU"/>
        </w:rPr>
        <w:t>В рассматриваемый двухлетний период информационные и коммуникационные технологии (ИКТ) продолжали выполнять две ключевые функции. На внешнем уровне на их основе создана оперативная, надежная и безопасная платформа для оказания услуг ИС на глобальном уровне, а также технические возможности для работы нового конференц-зала ВОИС и других конференционных служб. В работе внутри организации они обеспечивают эффективные и экономичные решения, используемые в повседневной работе ВОИС как в штаб-квартире, так и во внешних бюро (ВБ).</w:t>
      </w:r>
    </w:p>
    <w:p w:rsidR="00FA0032" w:rsidRPr="00FA0032" w:rsidRDefault="00FA0032" w:rsidP="00FA0032">
      <w:pPr>
        <w:pStyle w:val="ONUME"/>
        <w:numPr>
          <w:ilvl w:val="0"/>
          <w:numId w:val="48"/>
        </w:numPr>
        <w:tabs>
          <w:tab w:val="left" w:pos="709"/>
        </w:tabs>
        <w:ind w:left="0" w:firstLine="0"/>
        <w:jc w:val="both"/>
        <w:rPr>
          <w:lang w:val="ru-RU"/>
        </w:rPr>
      </w:pPr>
      <w:r w:rsidRPr="00FA0032">
        <w:rPr>
          <w:lang w:val="ru-RU"/>
        </w:rPr>
        <w:t>Перечисленные далее достижения, основанные на результатах прошлого двухлетнего периода, дают представление о достигнутом в 2014–2015</w:t>
      </w:r>
      <w:r>
        <w:t> </w:t>
      </w:r>
      <w:r w:rsidRPr="00FA0032">
        <w:rPr>
          <w:lang w:val="ru-RU"/>
        </w:rPr>
        <w:t>гг. прогрессе в области услуг, связанных с инфраструктурой и деловыми решениями (включая интернет-услуги):</w:t>
      </w:r>
    </w:p>
    <w:p w:rsidR="00FA0032" w:rsidRPr="00FA0032" w:rsidRDefault="00FA0032" w:rsidP="00FA0032">
      <w:pPr>
        <w:pStyle w:val="ONUME"/>
        <w:numPr>
          <w:ilvl w:val="0"/>
          <w:numId w:val="52"/>
        </w:numPr>
        <w:tabs>
          <w:tab w:val="left" w:pos="1134"/>
        </w:tabs>
        <w:ind w:left="567" w:firstLine="0"/>
        <w:jc w:val="both"/>
        <w:rPr>
          <w:lang w:val="ru-RU"/>
        </w:rPr>
      </w:pPr>
      <w:r w:rsidRPr="00FA0032">
        <w:rPr>
          <w:lang w:val="ru-RU"/>
        </w:rPr>
        <w:t xml:space="preserve">Проводилась работа по дальнейшему повышению устойчивости инфраструктуры ИКТ к воздействию внешних факторов и по обеспечению ее бесперебойного функционирования. В частности, были успешно внедрены и испытаны средства ИКТ высокого уровня для аварийного восстановления системы </w:t>
      </w:r>
      <w:r>
        <w:t>PCT</w:t>
      </w:r>
      <w:r w:rsidRPr="00FA0032">
        <w:rPr>
          <w:lang w:val="ru-RU"/>
        </w:rPr>
        <w:t xml:space="preserve">, благодаря которым в случае сбоев в работе центра данных ВОИС системы и процессы </w:t>
      </w:r>
      <w:r>
        <w:t>PCT</w:t>
      </w:r>
      <w:r w:rsidRPr="00FA0032">
        <w:rPr>
          <w:lang w:val="ru-RU"/>
        </w:rPr>
        <w:t xml:space="preserve"> не пострадают.  В будущем аналогичные средства будут применяться и в отношении других ключевых операций.</w:t>
      </w:r>
    </w:p>
    <w:p w:rsidR="00FA0032" w:rsidRPr="00FA0032" w:rsidRDefault="00FA0032" w:rsidP="00FA0032">
      <w:pPr>
        <w:pStyle w:val="ONUME"/>
        <w:numPr>
          <w:ilvl w:val="0"/>
          <w:numId w:val="52"/>
        </w:numPr>
        <w:tabs>
          <w:tab w:val="left" w:pos="1134"/>
        </w:tabs>
        <w:ind w:left="567" w:firstLine="0"/>
        <w:jc w:val="both"/>
        <w:rPr>
          <w:lang w:val="ru-RU"/>
        </w:rPr>
      </w:pPr>
      <w:r w:rsidRPr="00FA0032">
        <w:rPr>
          <w:lang w:val="ru-RU"/>
        </w:rPr>
        <w:t>Было разработано новое решение для ВБ ВОИС под названием Архитектура глобального офиса (</w:t>
      </w:r>
      <w:r>
        <w:t>GOA</w:t>
      </w:r>
      <w:r w:rsidRPr="00FA0032">
        <w:rPr>
          <w:lang w:val="ru-RU"/>
        </w:rPr>
        <w:t>) в целях обеспечения связи со всеми административными ИТ-системами ВОИС, расположенными в штаб-квартире, а также оказания централизованных и согласованных ИТ-услуг.  К концу 2015</w:t>
      </w:r>
      <w:r>
        <w:t> </w:t>
      </w:r>
      <w:r w:rsidRPr="00FA0032">
        <w:rPr>
          <w:lang w:val="ru-RU"/>
        </w:rPr>
        <w:t xml:space="preserve">г. </w:t>
      </w:r>
      <w:r>
        <w:t>GOA</w:t>
      </w:r>
      <w:r w:rsidRPr="00FA0032">
        <w:rPr>
          <w:lang w:val="ru-RU"/>
        </w:rPr>
        <w:t xml:space="preserve"> была развернута в трех ВБ (</w:t>
      </w:r>
      <w:r>
        <w:t>WJO</w:t>
      </w:r>
      <w:r w:rsidRPr="00FA0032">
        <w:rPr>
          <w:lang w:val="ru-RU"/>
        </w:rPr>
        <w:t xml:space="preserve">, </w:t>
      </w:r>
      <w:r>
        <w:t>WSO</w:t>
      </w:r>
      <w:r w:rsidRPr="00FA0032">
        <w:rPr>
          <w:lang w:val="ru-RU"/>
        </w:rPr>
        <w:t xml:space="preserve"> и </w:t>
      </w:r>
      <w:r>
        <w:t>WRO</w:t>
      </w:r>
      <w:r w:rsidRPr="00FA0032">
        <w:rPr>
          <w:lang w:val="ru-RU"/>
        </w:rPr>
        <w:t>).</w:t>
      </w:r>
    </w:p>
    <w:p w:rsidR="00FA0032" w:rsidRPr="00FA0032" w:rsidRDefault="00FA0032" w:rsidP="00FA0032">
      <w:pPr>
        <w:pStyle w:val="ONUME"/>
        <w:numPr>
          <w:ilvl w:val="0"/>
          <w:numId w:val="52"/>
        </w:numPr>
        <w:tabs>
          <w:tab w:val="left" w:pos="1134"/>
        </w:tabs>
        <w:ind w:left="567" w:firstLine="0"/>
        <w:jc w:val="both"/>
        <w:rPr>
          <w:lang w:val="ru-RU"/>
        </w:rPr>
      </w:pPr>
      <w:r w:rsidRPr="00FA0032">
        <w:rPr>
          <w:lang w:val="ru-RU"/>
        </w:rPr>
        <w:t>Работы по созданию инфраструктуры ИКТ для нового конференц-зала ВОИС были завершены к открытию двадцать второй сессии КПБ и пятьдесят четвертой серии заседаний Ассамблей ВОИС в 2014</w:t>
      </w:r>
      <w:r>
        <w:t> </w:t>
      </w:r>
      <w:r w:rsidRPr="00FA0032">
        <w:rPr>
          <w:lang w:val="ru-RU"/>
        </w:rPr>
        <w:t>г.</w:t>
      </w:r>
    </w:p>
    <w:p w:rsidR="00FA0032" w:rsidRPr="00FA0032" w:rsidRDefault="00FA0032" w:rsidP="00FA0032">
      <w:pPr>
        <w:pStyle w:val="ONUME"/>
        <w:numPr>
          <w:ilvl w:val="0"/>
          <w:numId w:val="52"/>
        </w:numPr>
        <w:tabs>
          <w:tab w:val="left" w:pos="1134"/>
        </w:tabs>
        <w:ind w:left="567" w:firstLine="0"/>
        <w:jc w:val="both"/>
        <w:rPr>
          <w:lang w:val="ru-RU"/>
        </w:rPr>
      </w:pPr>
      <w:r w:rsidRPr="00FA0032">
        <w:rPr>
          <w:lang w:val="ru-RU"/>
        </w:rPr>
        <w:t>Была завершена передача управления сетевой и серверной инфраструктурой Международному вычислительному центру Организации Объединенных Наций в целях обеспечения бесперебойной круглосуточной работы и своевременной установки обновлений.</w:t>
      </w:r>
    </w:p>
    <w:p w:rsidR="00FA0032" w:rsidRPr="00FA0032" w:rsidRDefault="00FA0032" w:rsidP="00FA0032">
      <w:pPr>
        <w:pStyle w:val="ONUME"/>
        <w:numPr>
          <w:ilvl w:val="0"/>
          <w:numId w:val="52"/>
        </w:numPr>
        <w:tabs>
          <w:tab w:val="left" w:pos="1134"/>
        </w:tabs>
        <w:ind w:left="567" w:firstLine="0"/>
        <w:jc w:val="both"/>
        <w:rPr>
          <w:lang w:val="ru-RU"/>
        </w:rPr>
      </w:pPr>
      <w:r w:rsidRPr="00FA0032">
        <w:rPr>
          <w:lang w:val="ru-RU"/>
        </w:rPr>
        <w:t>На основе тесного сотрудничества с ключевыми деловыми партнерами в 2014</w:t>
      </w:r>
      <w:r>
        <w:t> </w:t>
      </w:r>
      <w:r w:rsidRPr="00FA0032">
        <w:rPr>
          <w:lang w:val="ru-RU"/>
        </w:rPr>
        <w:t>г. были разработаны конкретные соглашения об оказании услуг (СОУ) в целях четкого отражения потребностей в области ИКТ по конкретным направлениям деятельности и обеспечения возможностей для более систематического отслеживания и мониторинга.</w:t>
      </w:r>
    </w:p>
    <w:p w:rsidR="00FA0032" w:rsidRPr="00FA0032" w:rsidRDefault="00FA0032" w:rsidP="00FA0032">
      <w:pPr>
        <w:pStyle w:val="ONUME"/>
        <w:numPr>
          <w:ilvl w:val="0"/>
          <w:numId w:val="52"/>
        </w:numPr>
        <w:tabs>
          <w:tab w:val="left" w:pos="1134"/>
        </w:tabs>
        <w:ind w:left="567" w:firstLine="0"/>
        <w:jc w:val="both"/>
        <w:rPr>
          <w:lang w:val="ru-RU"/>
        </w:rPr>
      </w:pPr>
      <w:r w:rsidRPr="00FA0032">
        <w:rPr>
          <w:lang w:val="ru-RU"/>
        </w:rPr>
        <w:t>Благодаря внедрению усовершенствованной системы факсимильной связи, которая была полностью интегрирована в компьютерные системы Мадридской системы и внутренние административные системы, удалось добиться повышения эффективности и значительно снизить число ошибок при использовании этого вида связи, из-за которых ранее возникали существенные временные затраты, связанные с повторной отправкой факсов.</w:t>
      </w:r>
    </w:p>
    <w:p w:rsidR="00FA0032" w:rsidRPr="00FA0032" w:rsidRDefault="00FA0032" w:rsidP="00FA0032">
      <w:pPr>
        <w:pStyle w:val="ONUME"/>
        <w:numPr>
          <w:ilvl w:val="0"/>
          <w:numId w:val="52"/>
        </w:numPr>
        <w:tabs>
          <w:tab w:val="left" w:pos="1134"/>
        </w:tabs>
        <w:ind w:left="567" w:firstLine="0"/>
        <w:jc w:val="both"/>
        <w:rPr>
          <w:lang w:val="ru-RU"/>
        </w:rPr>
      </w:pPr>
      <w:r w:rsidRPr="00FA0032">
        <w:rPr>
          <w:lang w:val="ru-RU"/>
        </w:rPr>
        <w:t>На основании рекомендаций, сделанных в подготовленном Объединенной инспекционной группой в 2014</w:t>
      </w:r>
      <w:r>
        <w:t> </w:t>
      </w:r>
      <w:r w:rsidRPr="00FA0032">
        <w:rPr>
          <w:lang w:val="ru-RU"/>
        </w:rPr>
        <w:t>г. Обзоре системы управления и администрации во Всемирной организации интеллектуальной собственности и в последующих внутренних оценках, в 2015</w:t>
      </w:r>
      <w:r>
        <w:t> </w:t>
      </w:r>
      <w:r w:rsidRPr="00FA0032">
        <w:rPr>
          <w:lang w:val="ru-RU"/>
        </w:rPr>
        <w:t>г. была разработана Стратегия управления знаниями</w:t>
      </w:r>
      <w:r w:rsidRPr="003F4AC2">
        <w:rPr>
          <w:vertAlign w:val="superscript"/>
        </w:rPr>
        <w:footnoteReference w:id="138"/>
      </w:r>
      <w:r w:rsidRPr="00FA0032">
        <w:rPr>
          <w:lang w:val="ru-RU"/>
        </w:rPr>
        <w:t>, с тем чтобы: (</w:t>
      </w:r>
      <w:r>
        <w:t>i</w:t>
      </w:r>
      <w:r w:rsidRPr="00FA0032">
        <w:rPr>
          <w:lang w:val="ru-RU"/>
        </w:rPr>
        <w:t>)</w:t>
      </w:r>
      <w:r>
        <w:t> </w:t>
      </w:r>
      <w:r w:rsidRPr="00FA0032">
        <w:rPr>
          <w:lang w:val="ru-RU"/>
        </w:rPr>
        <w:t>способствовать формированию в ВОИС культуры управления знаниями; (</w:t>
      </w:r>
      <w:r>
        <w:t>ii</w:t>
      </w:r>
      <w:r w:rsidRPr="00FA0032">
        <w:rPr>
          <w:lang w:val="ru-RU"/>
        </w:rPr>
        <w:t>)</w:t>
      </w:r>
      <w:r>
        <w:t> </w:t>
      </w:r>
      <w:r w:rsidRPr="00FA0032">
        <w:rPr>
          <w:lang w:val="ru-RU"/>
        </w:rPr>
        <w:t>внедрить общеорганизационный пакет процессов и инструментов для управления знаниями; (</w:t>
      </w:r>
      <w:r>
        <w:t>iii</w:t>
      </w:r>
      <w:r w:rsidRPr="00FA0032">
        <w:rPr>
          <w:lang w:val="ru-RU"/>
        </w:rPr>
        <w:t>)</w:t>
      </w:r>
      <w:r>
        <w:t> </w:t>
      </w:r>
      <w:r w:rsidRPr="00FA0032">
        <w:rPr>
          <w:lang w:val="ru-RU"/>
        </w:rPr>
        <w:t>создать и опубликовать «единый источник верной информации» об активах, связанных с информацией и знаниями; и (</w:t>
      </w:r>
      <w:r>
        <w:t>iv</w:t>
      </w:r>
      <w:r w:rsidRPr="00FA0032">
        <w:rPr>
          <w:lang w:val="ru-RU"/>
        </w:rPr>
        <w:t>)</w:t>
      </w:r>
      <w:r>
        <w:t> </w:t>
      </w:r>
      <w:r w:rsidRPr="00FA0032">
        <w:rPr>
          <w:lang w:val="ru-RU"/>
        </w:rPr>
        <w:t xml:space="preserve">обеспечить соответствие и интеграцию управления знаниями в Стратегию обеспечения организационной устойчивости ВОИС. </w:t>
      </w:r>
    </w:p>
    <w:p w:rsidR="00FA0032" w:rsidRPr="00FA0032" w:rsidRDefault="00FA0032" w:rsidP="00FA0032">
      <w:pPr>
        <w:pStyle w:val="ONUME"/>
        <w:numPr>
          <w:ilvl w:val="0"/>
          <w:numId w:val="52"/>
        </w:numPr>
        <w:tabs>
          <w:tab w:val="left" w:pos="1134"/>
        </w:tabs>
        <w:ind w:left="567" w:firstLine="0"/>
        <w:jc w:val="both"/>
        <w:rPr>
          <w:lang w:val="ru-RU"/>
        </w:rPr>
      </w:pPr>
      <w:r w:rsidRPr="00FA0032">
        <w:rPr>
          <w:lang w:val="ru-RU"/>
        </w:rPr>
        <w:t>Были официально определены процессы для операционализации перехода и интеграции проектов ИКТ, чтобы сделать процесс перехода более систематизированным и плавным.</w:t>
      </w:r>
    </w:p>
    <w:p w:rsidR="00FA0032" w:rsidRPr="00FA0032" w:rsidRDefault="00FA0032" w:rsidP="00FA0032">
      <w:pPr>
        <w:pStyle w:val="ONUME"/>
        <w:numPr>
          <w:ilvl w:val="0"/>
          <w:numId w:val="52"/>
        </w:numPr>
        <w:tabs>
          <w:tab w:val="left" w:pos="1134"/>
        </w:tabs>
        <w:ind w:left="567" w:firstLine="0"/>
        <w:jc w:val="both"/>
        <w:rPr>
          <w:lang w:val="ru-RU"/>
        </w:rPr>
      </w:pPr>
      <w:r w:rsidRPr="00FA0032">
        <w:rPr>
          <w:lang w:val="ru-RU"/>
        </w:rPr>
        <w:t>Были пересмотрены контракты на предоставление услуг и операционные процессы и приняты меры по обеспечению большей экономической эффективности операций, что позвоило сэкономить приблизительно 460</w:t>
      </w:r>
      <w:r>
        <w:t> </w:t>
      </w:r>
      <w:r w:rsidRPr="00FA0032">
        <w:rPr>
          <w:lang w:val="ru-RU"/>
        </w:rPr>
        <w:t>000</w:t>
      </w:r>
      <w:r>
        <w:t> </w:t>
      </w:r>
      <w:r w:rsidRPr="00FA0032">
        <w:rPr>
          <w:lang w:val="ru-RU"/>
        </w:rPr>
        <w:t>шв. франков по сравнению с 2013</w:t>
      </w:r>
      <w:r>
        <w:t> </w:t>
      </w:r>
      <w:r w:rsidRPr="00FA0032">
        <w:rPr>
          <w:lang w:val="ru-RU"/>
        </w:rPr>
        <w:t>г.</w:t>
      </w:r>
    </w:p>
    <w:p w:rsidR="00FA0032" w:rsidRPr="00FA0032" w:rsidRDefault="00FA0032" w:rsidP="00FA0032">
      <w:pPr>
        <w:pStyle w:val="ONUME"/>
        <w:numPr>
          <w:ilvl w:val="0"/>
          <w:numId w:val="48"/>
        </w:numPr>
        <w:tabs>
          <w:tab w:val="left" w:pos="709"/>
        </w:tabs>
        <w:spacing w:after="0"/>
        <w:ind w:left="0" w:firstLine="0"/>
        <w:jc w:val="both"/>
        <w:rPr>
          <w:lang w:val="ru-RU"/>
        </w:rPr>
      </w:pPr>
      <w:r w:rsidRPr="00FA0032">
        <w:rPr>
          <w:lang w:val="ru-RU"/>
        </w:rPr>
        <w:t>Что касается обеспечения целостности информации, то в двухлетний период 2014–2015</w:t>
      </w:r>
      <w:r>
        <w:t> </w:t>
      </w:r>
      <w:r w:rsidRPr="00FA0032">
        <w:rPr>
          <w:lang w:val="ru-RU"/>
        </w:rPr>
        <w:t>гг. была проведена стратегическая организационная реструктуризация, и в недавно созданный Отдел обеспечения безопасности и достоверности информации (</w:t>
      </w:r>
      <w:r>
        <w:t>SIAD</w:t>
      </w:r>
      <w:r w:rsidRPr="00FA0032">
        <w:rPr>
          <w:lang w:val="ru-RU"/>
        </w:rPr>
        <w:t>) была включена Секция информационной безопасности (СИБ), обеспечивающая более эффективную интеграцию физической и информационной безопасности.</w:t>
      </w:r>
    </w:p>
    <w:p w:rsidR="00FA0032" w:rsidRPr="00FA0032" w:rsidRDefault="00FA0032" w:rsidP="00FA0032">
      <w:pPr>
        <w:pStyle w:val="ONUME"/>
        <w:tabs>
          <w:tab w:val="left" w:pos="709"/>
        </w:tabs>
        <w:spacing w:after="0"/>
        <w:jc w:val="both"/>
        <w:rPr>
          <w:lang w:val="ru-RU"/>
        </w:rPr>
      </w:pPr>
    </w:p>
    <w:p w:rsidR="00FA0032" w:rsidRPr="00FA0032" w:rsidRDefault="00FA0032" w:rsidP="00FA0032">
      <w:pPr>
        <w:pStyle w:val="ONUME"/>
        <w:numPr>
          <w:ilvl w:val="0"/>
          <w:numId w:val="48"/>
        </w:numPr>
        <w:tabs>
          <w:tab w:val="left" w:pos="709"/>
        </w:tabs>
        <w:spacing w:after="0"/>
        <w:ind w:left="0" w:firstLine="0"/>
        <w:jc w:val="both"/>
        <w:rPr>
          <w:lang w:val="ru-RU"/>
        </w:rPr>
      </w:pPr>
      <w:r w:rsidRPr="00FA0032">
        <w:rPr>
          <w:lang w:val="ru-RU"/>
        </w:rPr>
        <w:t>Несмотря на уже проделанный значительный объем работы по обеспечению информационной безопасности, в двухлетний период 2014–2015</w:t>
      </w:r>
      <w:r>
        <w:t> </w:t>
      </w:r>
      <w:r w:rsidRPr="00FA0032">
        <w:rPr>
          <w:lang w:val="ru-RU"/>
        </w:rPr>
        <w:t>гг. был проведен ряд важных мероприятий, существенно повысивших уровень защиты и безопасности информационных систем ВОИС.</w:t>
      </w:r>
    </w:p>
    <w:p w:rsidR="00FA0032" w:rsidRPr="00FA0032" w:rsidRDefault="00FA0032" w:rsidP="00FA0032">
      <w:pPr>
        <w:pStyle w:val="ListParagraph"/>
        <w:rPr>
          <w:lang w:val="ru-RU"/>
        </w:rPr>
      </w:pPr>
    </w:p>
    <w:p w:rsidR="00FA0032" w:rsidRDefault="00FA0032" w:rsidP="00FA0032">
      <w:pPr>
        <w:pStyle w:val="ONUME"/>
        <w:numPr>
          <w:ilvl w:val="0"/>
          <w:numId w:val="48"/>
        </w:numPr>
        <w:tabs>
          <w:tab w:val="left" w:pos="709"/>
        </w:tabs>
        <w:spacing w:after="0"/>
        <w:ind w:left="0" w:firstLine="0"/>
        <w:jc w:val="both"/>
      </w:pPr>
      <w:r w:rsidRPr="00FA0032">
        <w:rPr>
          <w:lang w:val="ru-RU"/>
        </w:rPr>
        <w:t>В рамках процесса непрерывного совершенствования на основе стандарта ИСО 27001 в октябре 2014</w:t>
      </w:r>
      <w:r>
        <w:t> </w:t>
      </w:r>
      <w:r w:rsidRPr="00FA0032">
        <w:rPr>
          <w:lang w:val="ru-RU"/>
        </w:rPr>
        <w:t xml:space="preserve">г. система </w:t>
      </w:r>
      <w:r>
        <w:t>PCT</w:t>
      </w:r>
      <w:r w:rsidRPr="00FA0032">
        <w:rPr>
          <w:lang w:val="ru-RU"/>
        </w:rPr>
        <w:t xml:space="preserve"> прошла второй этап внешнего аудита для сертификации по ИСО 27001; при этом система </w:t>
      </w:r>
      <w:r>
        <w:t>PCT</w:t>
      </w:r>
      <w:r w:rsidRPr="00FA0032">
        <w:rPr>
          <w:lang w:val="ru-RU"/>
        </w:rPr>
        <w:t xml:space="preserve"> перешла с версии 2005</w:t>
      </w:r>
      <w:r>
        <w:t> </w:t>
      </w:r>
      <w:r w:rsidRPr="00FA0032">
        <w:rPr>
          <w:lang w:val="ru-RU"/>
        </w:rPr>
        <w:t>г. на новейший стандарт ИСО 27001:2013.</w:t>
      </w:r>
      <w:r>
        <w:t> </w:t>
      </w:r>
      <w:r w:rsidRPr="00FA0032">
        <w:rPr>
          <w:lang w:val="ru-RU"/>
        </w:rPr>
        <w:t xml:space="preserve"> В октябре 2015</w:t>
      </w:r>
      <w:r>
        <w:t> </w:t>
      </w:r>
      <w:r w:rsidRPr="00FA0032">
        <w:rPr>
          <w:lang w:val="ru-RU"/>
        </w:rPr>
        <w:t xml:space="preserve">г. область сертификации была расширена, и в нее, помимо системы </w:t>
      </w:r>
      <w:r>
        <w:t>PCT</w:t>
      </w:r>
      <w:r w:rsidRPr="00FA0032">
        <w:rPr>
          <w:lang w:val="ru-RU"/>
        </w:rPr>
        <w:t xml:space="preserve">, была включена деятельность в рамках Мадридской и Гаагской систем. </w:t>
      </w:r>
      <w:r>
        <w:t>Не было отмечено ни серьезных, ни незначительных несоответствий.</w:t>
      </w:r>
    </w:p>
    <w:p w:rsidR="00FA0032" w:rsidRPr="00675531" w:rsidRDefault="00FA0032" w:rsidP="00FA0032">
      <w:pPr>
        <w:pStyle w:val="ONUME"/>
        <w:tabs>
          <w:tab w:val="left" w:pos="709"/>
        </w:tabs>
        <w:spacing w:after="0"/>
        <w:jc w:val="both"/>
      </w:pPr>
    </w:p>
    <w:p w:rsidR="00FA0032" w:rsidRPr="00FA0032" w:rsidRDefault="00FA0032" w:rsidP="00FA0032">
      <w:pPr>
        <w:pStyle w:val="ONUME"/>
        <w:numPr>
          <w:ilvl w:val="0"/>
          <w:numId w:val="48"/>
        </w:numPr>
        <w:tabs>
          <w:tab w:val="left" w:pos="709"/>
        </w:tabs>
        <w:spacing w:after="0"/>
        <w:ind w:left="0" w:firstLine="0"/>
        <w:jc w:val="both"/>
        <w:rPr>
          <w:lang w:val="ru-RU"/>
        </w:rPr>
      </w:pPr>
      <w:r w:rsidRPr="00FA0032">
        <w:rPr>
          <w:lang w:val="ru-RU"/>
        </w:rPr>
        <w:t>После проведения перестройки структуры Организации в 2015</w:t>
      </w:r>
      <w:r>
        <w:t> </w:t>
      </w:r>
      <w:r w:rsidRPr="00FA0032">
        <w:rPr>
          <w:lang w:val="ru-RU"/>
        </w:rPr>
        <w:t>г., в результате которой был создан Отдел обеспечения безопасности и достоверности информации (</w:t>
      </w:r>
      <w:r w:rsidRPr="0010010F">
        <w:t>SIAD</w:t>
      </w:r>
      <w:r w:rsidRPr="00FA0032">
        <w:rPr>
          <w:lang w:val="ru-RU"/>
        </w:rPr>
        <w:t>), была разработана и утверждена Стратегия целостности информации (ЦИ), направленная на обеспечение предоставления высококачественных и надежных решений в области ИС ее государствам-членам и клиентам.</w:t>
      </w:r>
    </w:p>
    <w:p w:rsidR="00FA0032" w:rsidRPr="00FA0032" w:rsidRDefault="00FA0032" w:rsidP="00FA0032">
      <w:pPr>
        <w:pStyle w:val="ONUME"/>
        <w:tabs>
          <w:tab w:val="left" w:pos="709"/>
        </w:tabs>
        <w:spacing w:after="0"/>
        <w:jc w:val="both"/>
        <w:rPr>
          <w:lang w:val="ru-RU"/>
        </w:rPr>
      </w:pPr>
    </w:p>
    <w:p w:rsidR="00FA0032" w:rsidRPr="00FA0032" w:rsidRDefault="00FA0032" w:rsidP="00FA0032">
      <w:pPr>
        <w:pStyle w:val="ONUME"/>
        <w:numPr>
          <w:ilvl w:val="0"/>
          <w:numId w:val="48"/>
        </w:numPr>
        <w:tabs>
          <w:tab w:val="left" w:pos="709"/>
        </w:tabs>
        <w:spacing w:after="0"/>
        <w:ind w:left="0" w:firstLine="0"/>
        <w:jc w:val="both"/>
        <w:rPr>
          <w:lang w:val="ru-RU"/>
        </w:rPr>
      </w:pPr>
      <w:r w:rsidRPr="00FA0032">
        <w:rPr>
          <w:lang w:val="ru-RU"/>
        </w:rPr>
        <w:t>Кроме того, были приняты серьезные меры для укрепления технического потенциала в области безопасности, связанной с управлением привилегированными учетными записями, событиями информационной безопасности, отслеживанием попыток несанкционированного доступа (</w:t>
      </w:r>
      <w:r>
        <w:t>IOC</w:t>
      </w:r>
      <w:r w:rsidRPr="00FA0032">
        <w:rPr>
          <w:lang w:val="ru-RU"/>
        </w:rPr>
        <w:t>) и оповещением о них, а также реагированием на инциденты и управлением ими.  В 2014</w:t>
      </w:r>
      <w:r>
        <w:t> </w:t>
      </w:r>
      <w:r w:rsidRPr="00FA0032">
        <w:rPr>
          <w:lang w:val="ru-RU"/>
        </w:rPr>
        <w:t>г. был завершен проект внедрения в полном объеме системы управления событиями информационной безопасности (</w:t>
      </w:r>
      <w:r>
        <w:t>SEIM</w:t>
      </w:r>
      <w:r w:rsidRPr="00FA0032">
        <w:rPr>
          <w:lang w:val="ru-RU"/>
        </w:rPr>
        <w:t xml:space="preserve">) компании </w:t>
      </w:r>
      <w:r>
        <w:t>ArcSight</w:t>
      </w:r>
      <w:r w:rsidRPr="00FA0032">
        <w:rPr>
          <w:lang w:val="ru-RU"/>
        </w:rPr>
        <w:t xml:space="preserve">, что позволило легче выявлять потенциальные инциденты в сфере информационной безопасности в ИТ-сети ВОИС и оперативнее находить варианты ответных мер для урегулирования таких инцидентов.  Внедрение и интеграция таких технических решений позволила значительно сократить срок выявления и реагирования на потенциальные кибератаки и случаи несанкционированного доступа к данным.  В результате число серьезных инцидентов было минимальным: в каждый год двухлетнего периода произошел только один крупный инцидент, ни один из которых не стал причиной потери данных или несанкционированного доступа к ним.  </w:t>
      </w:r>
    </w:p>
    <w:p w:rsidR="00FA0032" w:rsidRPr="00FA0032" w:rsidRDefault="00FA0032" w:rsidP="00FA0032">
      <w:pPr>
        <w:pStyle w:val="ListParagraph"/>
        <w:rPr>
          <w:lang w:val="ru-RU"/>
        </w:rPr>
      </w:pPr>
    </w:p>
    <w:p w:rsidR="00FA0032" w:rsidRPr="00FA0032" w:rsidRDefault="00FA0032" w:rsidP="00FA0032">
      <w:pPr>
        <w:pStyle w:val="ONUME"/>
        <w:numPr>
          <w:ilvl w:val="0"/>
          <w:numId w:val="48"/>
        </w:numPr>
        <w:tabs>
          <w:tab w:val="left" w:pos="709"/>
        </w:tabs>
        <w:spacing w:after="0"/>
        <w:ind w:left="0" w:firstLine="0"/>
        <w:jc w:val="both"/>
        <w:rPr>
          <w:lang w:val="ru-RU"/>
        </w:rPr>
      </w:pPr>
      <w:r w:rsidRPr="00FA0032">
        <w:rPr>
          <w:lang w:val="ru-RU"/>
        </w:rPr>
        <w:t xml:space="preserve">Кроме того, в целях укрепления в ВОИС потенциала управления общеорганизационными рисками и создания возможностей для полноценного встраивания процедур управления рисками на базе ИСО в применяемые в Организации концепции управления рисками </w:t>
      </w:r>
      <w:r>
        <w:t>SIAD</w:t>
      </w:r>
      <w:r w:rsidRPr="00FA0032">
        <w:rPr>
          <w:lang w:val="ru-RU"/>
        </w:rPr>
        <w:t xml:space="preserve"> участвовал в выборе и практическом внедрении системы управления общеорганизационными рисками (</w:t>
      </w:r>
      <w:r>
        <w:t>Acuity</w:t>
      </w:r>
      <w:r w:rsidRPr="00FA0032">
        <w:rPr>
          <w:lang w:val="ru-RU"/>
        </w:rPr>
        <w:t xml:space="preserve"> </w:t>
      </w:r>
      <w:r>
        <w:t>Stream</w:t>
      </w:r>
      <w:r w:rsidRPr="00FA0032">
        <w:rPr>
          <w:lang w:val="ru-RU"/>
        </w:rPr>
        <w:t>) в 2014</w:t>
      </w:r>
      <w:r>
        <w:t> </w:t>
      </w:r>
      <w:r w:rsidRPr="00FA0032">
        <w:rPr>
          <w:lang w:val="ru-RU"/>
        </w:rPr>
        <w:t>г.  В 2015</w:t>
      </w:r>
      <w:r>
        <w:t> </w:t>
      </w:r>
      <w:r w:rsidRPr="00FA0032">
        <w:rPr>
          <w:lang w:val="ru-RU"/>
        </w:rPr>
        <w:t xml:space="preserve">г. решение для ОУР </w:t>
      </w:r>
      <w:r>
        <w:t>Acuity</w:t>
      </w:r>
      <w:r w:rsidRPr="00FA0032">
        <w:rPr>
          <w:lang w:val="ru-RU"/>
        </w:rPr>
        <w:t xml:space="preserve"> </w:t>
      </w:r>
      <w:r>
        <w:t>Stream</w:t>
      </w:r>
      <w:r w:rsidRPr="00FA0032">
        <w:rPr>
          <w:lang w:val="ru-RU"/>
        </w:rPr>
        <w:t xml:space="preserve"> стало использоваться более широко, и в него было включено управление связанными с ИСО информационными рисками в рамках расширения охвата сертификации по стандарту ИСО</w:t>
      </w:r>
      <w:r>
        <w:t> </w:t>
      </w:r>
      <w:r w:rsidRPr="00FA0032">
        <w:rPr>
          <w:lang w:val="ru-RU"/>
        </w:rPr>
        <w:t xml:space="preserve">27001. </w:t>
      </w:r>
    </w:p>
    <w:p w:rsidR="00FA0032" w:rsidRPr="00FA0032" w:rsidRDefault="00FA0032" w:rsidP="00FA0032">
      <w:pPr>
        <w:pStyle w:val="ListParagraph"/>
        <w:rPr>
          <w:lang w:val="ru-RU"/>
        </w:rPr>
      </w:pPr>
    </w:p>
    <w:p w:rsidR="00FA0032" w:rsidRPr="00FA0032" w:rsidRDefault="00FA0032" w:rsidP="00FA0032">
      <w:pPr>
        <w:pStyle w:val="ONUME"/>
        <w:numPr>
          <w:ilvl w:val="0"/>
          <w:numId w:val="48"/>
        </w:numPr>
        <w:tabs>
          <w:tab w:val="left" w:pos="709"/>
        </w:tabs>
        <w:spacing w:after="0"/>
        <w:ind w:left="0" w:firstLine="0"/>
        <w:jc w:val="both"/>
        <w:rPr>
          <w:lang w:val="ru-RU"/>
        </w:rPr>
      </w:pPr>
      <w:r w:rsidRPr="00FA0032">
        <w:rPr>
          <w:lang w:val="ru-RU"/>
        </w:rPr>
        <w:t>Моделирование ситуации фишинг-мошенничества, которое впервые было проведено в 2014</w:t>
      </w:r>
      <w:r>
        <w:t> </w:t>
      </w:r>
      <w:r w:rsidRPr="00FA0032">
        <w:rPr>
          <w:lang w:val="ru-RU"/>
        </w:rPr>
        <w:t>г., продолжало способствовать повышению уровня информированности об угрозах информационной безопасности, что подтверждает резкое увеличение числа пользователей, сообщивших о фишинге (с одного процента в 2014</w:t>
      </w:r>
      <w:r>
        <w:t> </w:t>
      </w:r>
      <w:r w:rsidRPr="00FA0032">
        <w:rPr>
          <w:lang w:val="ru-RU"/>
        </w:rPr>
        <w:t>г. до 59</w:t>
      </w:r>
      <w:r>
        <w:t> </w:t>
      </w:r>
      <w:r w:rsidRPr="00FA0032">
        <w:rPr>
          <w:lang w:val="ru-RU"/>
        </w:rPr>
        <w:t>процентов в 2015</w:t>
      </w:r>
      <w:r>
        <w:t> </w:t>
      </w:r>
      <w:r w:rsidRPr="00FA0032">
        <w:rPr>
          <w:lang w:val="ru-RU"/>
        </w:rPr>
        <w:t>г.), а также снижение на десять процентов числа пользователей, ставших жертвами фишинг-мошенничества (со среднего уровня в 17</w:t>
      </w:r>
      <w:r>
        <w:t> </w:t>
      </w:r>
      <w:r w:rsidRPr="00FA0032">
        <w:rPr>
          <w:lang w:val="ru-RU"/>
        </w:rPr>
        <w:t>процентов в 2014</w:t>
      </w:r>
      <w:r>
        <w:t> </w:t>
      </w:r>
      <w:r w:rsidRPr="00FA0032">
        <w:rPr>
          <w:lang w:val="ru-RU"/>
        </w:rPr>
        <w:t>г. до в среднем семи процентов в 2015</w:t>
      </w:r>
      <w:r>
        <w:t> </w:t>
      </w:r>
      <w:r w:rsidRPr="00FA0032">
        <w:rPr>
          <w:lang w:val="ru-RU"/>
        </w:rPr>
        <w:t>г.).</w:t>
      </w:r>
    </w:p>
    <w:p w:rsidR="00FA0032" w:rsidRPr="00FA0032" w:rsidRDefault="00FA0032" w:rsidP="00FA0032">
      <w:pPr>
        <w:pStyle w:val="ListParagraph"/>
        <w:rPr>
          <w:lang w:val="ru-RU"/>
        </w:rPr>
      </w:pPr>
    </w:p>
    <w:p w:rsidR="00FA0032" w:rsidRPr="00FA0032" w:rsidRDefault="00FA0032" w:rsidP="00FA0032">
      <w:pPr>
        <w:pStyle w:val="ONUME"/>
        <w:numPr>
          <w:ilvl w:val="0"/>
          <w:numId w:val="48"/>
        </w:numPr>
        <w:tabs>
          <w:tab w:val="left" w:pos="709"/>
        </w:tabs>
        <w:ind w:left="0" w:firstLine="0"/>
        <w:jc w:val="both"/>
        <w:rPr>
          <w:color w:val="000000" w:themeColor="text1"/>
          <w:lang w:val="ru-RU"/>
        </w:rPr>
      </w:pPr>
      <w:r w:rsidRPr="00FA0032">
        <w:rPr>
          <w:lang w:val="ru-RU"/>
        </w:rPr>
        <w:t xml:space="preserve">Проводя качественные оценки риска и оказывая содействие в области снижения риска, СИБ также поддерживала некоторые инициативы, связанные с рабочими процессами, такие как внедрение </w:t>
      </w:r>
      <w:r>
        <w:t>GOA</w:t>
      </w:r>
      <w:r w:rsidRPr="00FA0032">
        <w:rPr>
          <w:lang w:val="ru-RU"/>
        </w:rPr>
        <w:t xml:space="preserve">, создание в ВОИС среды для мобильных устройств и внедрение облачного решения в сфере набора персонала </w:t>
      </w:r>
      <w:r>
        <w:t>Taleo</w:t>
      </w:r>
      <w:r w:rsidRPr="00FA0032">
        <w:rPr>
          <w:lang w:val="ru-RU"/>
        </w:rPr>
        <w:t>. Кроме того, СИБ тесно взаимодействовала с группами специалистов РСТ в целях формирования и практического внедрения концепции разработки приложений на основе принципов жизненного цикла для создания безопасного программного обеспечения. Такой подход позволяет учитывать потребности информационной безопасности и предусматривать соответствующие инструменты контроля с самого начала проекта разработки программ, тем самым резко сокращая объем дополнительной работы при тестировании защищенности приложений.</w:t>
      </w:r>
    </w:p>
    <w:p w:rsidR="00FA0032" w:rsidRPr="00FA0032" w:rsidRDefault="00FA0032" w:rsidP="00FA0032">
      <w:pPr>
        <w:spacing w:after="200"/>
        <w:rPr>
          <w:rFonts w:cs="Arial"/>
          <w:color w:val="000000" w:themeColor="text1"/>
          <w:sz w:val="22"/>
          <w:szCs w:val="22"/>
          <w:lang w:val="ru-RU"/>
        </w:rPr>
      </w:pPr>
    </w:p>
    <w:p w:rsidR="00FA0032" w:rsidRPr="00257BEC" w:rsidRDefault="00FA0032" w:rsidP="00FA0032">
      <w:pPr>
        <w:spacing w:after="200"/>
        <w:rPr>
          <w:rFonts w:cs="Arial"/>
          <w:color w:val="000000" w:themeColor="text1"/>
          <w:szCs w:val="22"/>
        </w:rPr>
      </w:pPr>
      <w:r>
        <w:rPr>
          <w:color w:val="000000" w:themeColor="text1"/>
        </w:rPr>
        <w:t>ДАННЫЕ О РЕЗУЛЬТАТИВНОСТИ</w:t>
      </w:r>
    </w:p>
    <w:tbl>
      <w:tblPr>
        <w:tblW w:w="4814"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583"/>
        <w:gridCol w:w="477"/>
        <w:gridCol w:w="1834"/>
        <w:gridCol w:w="1493"/>
        <w:gridCol w:w="11"/>
        <w:gridCol w:w="2685"/>
        <w:gridCol w:w="1132"/>
      </w:tblGrid>
      <w:tr w:rsidR="00FA0032" w:rsidRPr="005C6ABD" w:rsidTr="00C61544">
        <w:trPr>
          <w:cantSplit/>
        </w:trPr>
        <w:tc>
          <w:tcPr>
            <w:tcW w:w="5000" w:type="pct"/>
            <w:gridSpan w:val="7"/>
            <w:tcBorders>
              <w:top w:val="single" w:sz="4" w:space="0" w:color="auto"/>
              <w:bottom w:val="single" w:sz="4" w:space="0" w:color="auto"/>
            </w:tcBorders>
            <w:shd w:val="clear" w:color="auto" w:fill="C6D9F1" w:themeFill="text2" w:themeFillTint="33"/>
            <w:vAlign w:val="center"/>
          </w:tcPr>
          <w:p w:rsidR="00FA0032" w:rsidRPr="00FA0032" w:rsidRDefault="00FA0032" w:rsidP="00B655FE">
            <w:pPr>
              <w:keepNext/>
              <w:keepLines/>
              <w:tabs>
                <w:tab w:val="left" w:pos="2160"/>
              </w:tabs>
              <w:spacing w:before="120" w:after="120"/>
              <w:ind w:left="2160" w:hanging="2160"/>
              <w:rPr>
                <w:rFonts w:cs="Arial"/>
                <w:b/>
                <w:bCs/>
                <w:color w:val="000000" w:themeColor="text1"/>
                <w:sz w:val="16"/>
                <w:szCs w:val="16"/>
                <w:lang w:val="ru-RU"/>
              </w:rPr>
            </w:pPr>
            <w:r w:rsidRPr="00FA0032">
              <w:rPr>
                <w:b/>
                <w:color w:val="000000" w:themeColor="text1"/>
                <w:sz w:val="16"/>
                <w:szCs w:val="16"/>
                <w:lang w:val="ru-RU"/>
              </w:rPr>
              <w:t xml:space="preserve">Ожидаемый результат: </w:t>
            </w:r>
            <w:r w:rsidRPr="00FA0032">
              <w:rPr>
                <w:sz w:val="16"/>
                <w:szCs w:val="16"/>
                <w:lang w:val="ru-RU"/>
              </w:rPr>
              <w:tab/>
            </w:r>
            <w:r w:rsidRPr="00AA3175">
              <w:rPr>
                <w:color w:val="000000" w:themeColor="text1"/>
                <w:sz w:val="16"/>
                <w:szCs w:val="16"/>
              </w:rPr>
              <w:t>IX</w:t>
            </w:r>
            <w:r w:rsidRPr="00FA0032">
              <w:rPr>
                <w:color w:val="000000" w:themeColor="text1"/>
                <w:sz w:val="16"/>
                <w:szCs w:val="16"/>
                <w:lang w:val="ru-RU"/>
              </w:rPr>
              <w:t>.1. Эффективные, действенные, качественные и о</w:t>
            </w:r>
            <w:r w:rsidR="00B655FE">
              <w:rPr>
                <w:color w:val="000000" w:themeColor="text1"/>
                <w:sz w:val="16"/>
                <w:szCs w:val="16"/>
                <w:lang w:val="ru-RU"/>
              </w:rPr>
              <w:t>риентированные на пользователя вс</w:t>
            </w:r>
            <w:r w:rsidRPr="00FA0032">
              <w:rPr>
                <w:color w:val="000000" w:themeColor="text1"/>
                <w:sz w:val="16"/>
                <w:szCs w:val="16"/>
                <w:lang w:val="ru-RU"/>
              </w:rPr>
              <w:t>помогательные услуги, предоставляемые как внут</w:t>
            </w:r>
            <w:r w:rsidR="00B655FE">
              <w:rPr>
                <w:color w:val="000000" w:themeColor="text1"/>
                <w:sz w:val="16"/>
                <w:szCs w:val="16"/>
                <w:lang w:val="ru-RU"/>
              </w:rPr>
              <w:t xml:space="preserve">ренним клиентам, так и внешним </w:t>
            </w:r>
            <w:r w:rsidRPr="00FA0032">
              <w:rPr>
                <w:color w:val="000000" w:themeColor="text1"/>
                <w:sz w:val="16"/>
                <w:szCs w:val="16"/>
                <w:lang w:val="ru-RU"/>
              </w:rPr>
              <w:t>заинтересованным сторонам</w:t>
            </w:r>
          </w:p>
        </w:tc>
      </w:tr>
      <w:tr w:rsidR="00FA0032" w:rsidRPr="00AA3175" w:rsidTr="00C61544">
        <w:trPr>
          <w:cantSplit/>
        </w:trPr>
        <w:tc>
          <w:tcPr>
            <w:tcW w:w="859" w:type="pct"/>
            <w:tcBorders>
              <w:top w:val="single" w:sz="4" w:space="0" w:color="auto"/>
              <w:left w:val="single" w:sz="4" w:space="0" w:color="auto"/>
              <w:bottom w:val="nil"/>
            </w:tcBorders>
            <w:shd w:val="clear" w:color="auto" w:fill="auto"/>
            <w:vAlign w:val="center"/>
          </w:tcPr>
          <w:p w:rsidR="00FA0032" w:rsidRPr="00AA3175" w:rsidRDefault="00FA0032" w:rsidP="00C61544">
            <w:pPr>
              <w:rPr>
                <w:rFonts w:cs="Arial"/>
                <w:color w:val="000000" w:themeColor="text1"/>
                <w:sz w:val="16"/>
                <w:szCs w:val="16"/>
              </w:rPr>
            </w:pPr>
            <w:r w:rsidRPr="00AA3175">
              <w:rPr>
                <w:b/>
                <w:color w:val="000000" w:themeColor="text1"/>
                <w:sz w:val="16"/>
                <w:szCs w:val="16"/>
              </w:rPr>
              <w:t>Показатели результативности</w:t>
            </w:r>
          </w:p>
        </w:tc>
        <w:tc>
          <w:tcPr>
            <w:tcW w:w="1254" w:type="pct"/>
            <w:gridSpan w:val="2"/>
            <w:tcBorders>
              <w:top w:val="single" w:sz="4" w:space="0" w:color="auto"/>
              <w:bottom w:val="nil"/>
            </w:tcBorders>
            <w:shd w:val="clear" w:color="auto" w:fill="auto"/>
            <w:vAlign w:val="center"/>
          </w:tcPr>
          <w:p w:rsidR="00FA0032" w:rsidRPr="00AA3175" w:rsidRDefault="00FA0032" w:rsidP="00C61544">
            <w:pPr>
              <w:rPr>
                <w:rFonts w:cs="Arial"/>
                <w:b/>
                <w:bCs/>
                <w:color w:val="000000" w:themeColor="text1"/>
                <w:sz w:val="16"/>
                <w:szCs w:val="16"/>
              </w:rPr>
            </w:pPr>
            <w:r w:rsidRPr="00AA3175">
              <w:rPr>
                <w:b/>
                <w:sz w:val="16"/>
                <w:szCs w:val="16"/>
              </w:rPr>
              <w:t>Базовые показатели</w:t>
            </w:r>
          </w:p>
        </w:tc>
        <w:tc>
          <w:tcPr>
            <w:tcW w:w="810" w:type="pct"/>
            <w:tcBorders>
              <w:top w:val="single" w:sz="4" w:space="0" w:color="auto"/>
              <w:bottom w:val="nil"/>
            </w:tcBorders>
            <w:shd w:val="clear" w:color="auto" w:fill="auto"/>
            <w:tcMar>
              <w:top w:w="110" w:type="dxa"/>
            </w:tcMar>
            <w:vAlign w:val="center"/>
          </w:tcPr>
          <w:p w:rsidR="00FA0032" w:rsidRPr="00AA3175" w:rsidRDefault="00FA0032" w:rsidP="00C61544">
            <w:pPr>
              <w:rPr>
                <w:rFonts w:cs="Arial"/>
                <w:b/>
                <w:color w:val="000000" w:themeColor="text1"/>
                <w:sz w:val="16"/>
                <w:szCs w:val="16"/>
              </w:rPr>
            </w:pPr>
            <w:r w:rsidRPr="00AA3175">
              <w:rPr>
                <w:b/>
                <w:sz w:val="16"/>
                <w:szCs w:val="16"/>
              </w:rPr>
              <w:t>Цели</w:t>
            </w:r>
          </w:p>
        </w:tc>
        <w:tc>
          <w:tcPr>
            <w:tcW w:w="1461" w:type="pct"/>
            <w:gridSpan w:val="2"/>
            <w:tcBorders>
              <w:top w:val="single" w:sz="4" w:space="0" w:color="auto"/>
              <w:bottom w:val="nil"/>
            </w:tcBorders>
            <w:shd w:val="clear" w:color="auto" w:fill="FFFFFF"/>
            <w:tcMar>
              <w:top w:w="110" w:type="dxa"/>
            </w:tcMar>
            <w:vAlign w:val="center"/>
          </w:tcPr>
          <w:p w:rsidR="00FA0032" w:rsidRPr="00AA3175" w:rsidRDefault="00FA0032" w:rsidP="00C61544">
            <w:pPr>
              <w:rPr>
                <w:rFonts w:cs="Arial"/>
                <w:color w:val="000000" w:themeColor="text1"/>
                <w:sz w:val="16"/>
                <w:szCs w:val="16"/>
              </w:rPr>
            </w:pPr>
            <w:r w:rsidRPr="00AA3175">
              <w:rPr>
                <w:b/>
                <w:color w:val="000000" w:themeColor="text1"/>
                <w:sz w:val="16"/>
                <w:szCs w:val="16"/>
              </w:rPr>
              <w:t>Данные о результативности</w:t>
            </w:r>
          </w:p>
        </w:tc>
        <w:tc>
          <w:tcPr>
            <w:tcW w:w="616" w:type="pct"/>
            <w:tcBorders>
              <w:top w:val="single" w:sz="4" w:space="0" w:color="auto"/>
              <w:bottom w:val="nil"/>
              <w:right w:val="single" w:sz="4" w:space="0" w:color="auto"/>
            </w:tcBorders>
            <w:shd w:val="clear" w:color="auto" w:fill="auto"/>
            <w:tcMar>
              <w:top w:w="110" w:type="dxa"/>
            </w:tcMar>
            <w:vAlign w:val="center"/>
          </w:tcPr>
          <w:p w:rsidR="00FA0032" w:rsidRPr="00AA3175" w:rsidRDefault="00FA0032" w:rsidP="00C61544">
            <w:pPr>
              <w:keepNext/>
              <w:keepLines/>
              <w:jc w:val="center"/>
              <w:rPr>
                <w:rFonts w:cs="Arial"/>
                <w:b/>
                <w:bCs/>
                <w:color w:val="000000" w:themeColor="text1"/>
                <w:sz w:val="16"/>
                <w:szCs w:val="16"/>
              </w:rPr>
            </w:pPr>
            <w:r w:rsidRPr="00AA3175">
              <w:rPr>
                <w:b/>
                <w:color w:val="000000" w:themeColor="text1"/>
                <w:sz w:val="16"/>
                <w:szCs w:val="16"/>
              </w:rPr>
              <w:t>CC</w:t>
            </w:r>
          </w:p>
        </w:tc>
      </w:tr>
      <w:tr w:rsidR="00FA0032" w:rsidRPr="00AA3175" w:rsidTr="00C61544">
        <w:trPr>
          <w:cantSplit/>
        </w:trPr>
        <w:tc>
          <w:tcPr>
            <w:tcW w:w="859" w:type="pct"/>
            <w:tcBorders>
              <w:top w:val="nil"/>
              <w:left w:val="single" w:sz="4" w:space="0" w:color="auto"/>
              <w:bottom w:val="nil"/>
            </w:tcBorders>
            <w:shd w:val="clear" w:color="auto" w:fill="auto"/>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Размещение платформ ИКТ на экономически выгодных условиях и управление ими в соответствии с потребностями, возникающими в процессе деятельности Организации</w:t>
            </w:r>
          </w:p>
        </w:tc>
        <w:tc>
          <w:tcPr>
            <w:tcW w:w="1254" w:type="pct"/>
            <w:gridSpan w:val="2"/>
            <w:tcBorders>
              <w:top w:val="nil"/>
              <w:bottom w:val="nil"/>
            </w:tcBorders>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AA3175">
              <w:rPr>
                <w:i/>
                <w:color w:val="002060"/>
                <w:sz w:val="16"/>
                <w:szCs w:val="16"/>
              </w:rPr>
              <w:t> </w:t>
            </w:r>
            <w:r w:rsidRPr="00FA0032">
              <w:rPr>
                <w:i/>
                <w:color w:val="002060"/>
                <w:sz w:val="16"/>
                <w:szCs w:val="16"/>
                <w:lang w:val="ru-RU"/>
              </w:rPr>
              <w:t>г.:</w:t>
            </w:r>
            <w:r w:rsidRPr="00FA0032">
              <w:rPr>
                <w:color w:val="002060"/>
                <w:sz w:val="16"/>
                <w:szCs w:val="16"/>
                <w:lang w:val="ru-RU"/>
              </w:rPr>
              <w:t xml:space="preserve">  ежемесячные расходы на обеспечение работы сервера Организации: 280</w:t>
            </w:r>
            <w:r>
              <w:rPr>
                <w:color w:val="002060"/>
                <w:sz w:val="16"/>
                <w:szCs w:val="16"/>
              </w:rPr>
              <w:t> </w:t>
            </w:r>
            <w:r w:rsidRPr="00FA0032">
              <w:rPr>
                <w:color w:val="002060"/>
                <w:sz w:val="16"/>
                <w:szCs w:val="16"/>
                <w:lang w:val="ru-RU"/>
              </w:rPr>
              <w:t>долл.</w:t>
            </w:r>
            <w:r>
              <w:rPr>
                <w:color w:val="002060"/>
                <w:sz w:val="16"/>
                <w:szCs w:val="16"/>
              </w:rPr>
              <w:t> </w:t>
            </w:r>
            <w:r w:rsidRPr="00FA0032">
              <w:rPr>
                <w:color w:val="002060"/>
                <w:sz w:val="16"/>
                <w:szCs w:val="16"/>
                <w:lang w:val="ru-RU"/>
              </w:rPr>
              <w:t>США; ежемесячные расходы на виртуальный сервер: 229</w:t>
            </w:r>
            <w:r>
              <w:rPr>
                <w:color w:val="002060"/>
                <w:sz w:val="16"/>
                <w:szCs w:val="16"/>
              </w:rPr>
              <w:t> </w:t>
            </w:r>
            <w:r w:rsidRPr="00FA0032">
              <w:rPr>
                <w:color w:val="002060"/>
                <w:sz w:val="16"/>
                <w:szCs w:val="16"/>
                <w:lang w:val="ru-RU"/>
              </w:rPr>
              <w:t xml:space="preserve">долл. США </w:t>
            </w:r>
          </w:p>
          <w:p w:rsidR="00FA0032" w:rsidRPr="00FA0032" w:rsidRDefault="00FA0032" w:rsidP="00C61544">
            <w:pPr>
              <w:tabs>
                <w:tab w:val="left" w:pos="129"/>
                <w:tab w:val="left" w:pos="391"/>
              </w:tabs>
              <w:ind w:right="-130"/>
              <w:rPr>
                <w:color w:val="002060"/>
                <w:sz w:val="16"/>
                <w:szCs w:val="16"/>
                <w:lang w:val="ru-RU"/>
              </w:rPr>
            </w:pPr>
            <w:r w:rsidRPr="00FA0032">
              <w:rPr>
                <w:color w:val="002060"/>
                <w:sz w:val="16"/>
                <w:szCs w:val="16"/>
                <w:lang w:val="ru-RU"/>
              </w:rPr>
              <w:t>(двухъядерный процессор, 8 ГБ); ежемесячные расходы на высокопроизводительную систему хранения данных: 420 долл. США/</w:t>
            </w:r>
            <w:r w:rsidRPr="00AA3175">
              <w:rPr>
                <w:color w:val="002060"/>
                <w:sz w:val="16"/>
                <w:szCs w:val="16"/>
              </w:rPr>
              <w:t>TB</w:t>
            </w:r>
            <w:r w:rsidRPr="00FA0032">
              <w:rPr>
                <w:color w:val="002060"/>
                <w:sz w:val="16"/>
                <w:szCs w:val="16"/>
                <w:lang w:val="ru-RU"/>
              </w:rPr>
              <w:t>; ежемесячные расходы на резервное копирование: 53,90</w:t>
            </w:r>
            <w:r w:rsidRPr="00AA3175">
              <w:rPr>
                <w:color w:val="002060"/>
                <w:sz w:val="16"/>
                <w:szCs w:val="16"/>
              </w:rPr>
              <w:t> </w:t>
            </w:r>
            <w:r w:rsidRPr="00FA0032">
              <w:rPr>
                <w:color w:val="002060"/>
                <w:sz w:val="16"/>
                <w:szCs w:val="16"/>
                <w:lang w:val="ru-RU"/>
              </w:rPr>
              <w:t>долл. США</w:t>
            </w:r>
          </w:p>
          <w:p w:rsidR="00FA0032" w:rsidRPr="00FA0032" w:rsidRDefault="00FA0032" w:rsidP="00C61544">
            <w:pPr>
              <w:rPr>
                <w:rFonts w:cs="Arial"/>
                <w:i/>
                <w:sz w:val="16"/>
                <w:szCs w:val="16"/>
                <w:lang w:val="ru-RU"/>
              </w:rPr>
            </w:pPr>
          </w:p>
          <w:p w:rsidR="00FA0032" w:rsidRPr="00FA0032" w:rsidRDefault="00FA0032" w:rsidP="00C61544">
            <w:pPr>
              <w:rPr>
                <w:rFonts w:cs="Arial"/>
                <w:color w:val="000000" w:themeColor="text1"/>
                <w:sz w:val="16"/>
                <w:szCs w:val="16"/>
                <w:lang w:val="ru-RU"/>
              </w:rPr>
            </w:pPr>
            <w:r w:rsidRPr="00FA0032">
              <w:rPr>
                <w:i/>
                <w:sz w:val="16"/>
                <w:szCs w:val="16"/>
                <w:lang w:val="ru-RU"/>
              </w:rPr>
              <w:t>Исходные базовые показатели ПиБ на 2014–2015 гг.:</w:t>
            </w:r>
            <w:r w:rsidRPr="00FA0032">
              <w:rPr>
                <w:color w:val="000000" w:themeColor="text1"/>
                <w:sz w:val="16"/>
                <w:szCs w:val="16"/>
                <w:lang w:val="ru-RU"/>
              </w:rPr>
              <w:t xml:space="preserve">  удельные расходы на реальные и виртуальные сервера и на хранение и резервное копирование данных</w:t>
            </w:r>
          </w:p>
        </w:tc>
        <w:tc>
          <w:tcPr>
            <w:tcW w:w="810" w:type="pct"/>
            <w:tcBorders>
              <w:top w:val="nil"/>
              <w:bottom w:val="nil"/>
            </w:tcBorders>
            <w:shd w:val="clear" w:color="auto" w:fill="auto"/>
            <w:tcMar>
              <w:top w:w="110" w:type="dxa"/>
            </w:tcMar>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 xml:space="preserve">Удельные расходы на размещение инфраструктуры на уровне базового показателя или ниже </w:t>
            </w:r>
          </w:p>
        </w:tc>
        <w:tc>
          <w:tcPr>
            <w:tcW w:w="1461" w:type="pct"/>
            <w:gridSpan w:val="2"/>
            <w:tcBorders>
              <w:top w:val="nil"/>
              <w:bottom w:val="nil"/>
            </w:tcBorders>
            <w:shd w:val="clear" w:color="auto" w:fill="FFFFFF"/>
            <w:tcMar>
              <w:top w:w="110" w:type="dxa"/>
            </w:tcMar>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2014</w:t>
            </w:r>
            <w:r w:rsidRPr="00AA3175">
              <w:rPr>
                <w:color w:val="000000" w:themeColor="text1"/>
                <w:sz w:val="16"/>
                <w:szCs w:val="16"/>
              </w:rPr>
              <w:t> </w:t>
            </w:r>
            <w:r w:rsidRPr="00FA0032">
              <w:rPr>
                <w:color w:val="000000" w:themeColor="text1"/>
                <w:sz w:val="16"/>
                <w:szCs w:val="16"/>
                <w:lang w:val="ru-RU"/>
              </w:rPr>
              <w:t>г.: размер ставок не изменился.  Ведутся переговоры по новым ставкам.</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2015</w:t>
            </w:r>
            <w:r w:rsidRPr="00AA3175">
              <w:rPr>
                <w:color w:val="000000" w:themeColor="text1"/>
                <w:sz w:val="16"/>
                <w:szCs w:val="16"/>
              </w:rPr>
              <w:t> </w:t>
            </w:r>
            <w:r w:rsidRPr="00FA0032">
              <w:rPr>
                <w:color w:val="000000" w:themeColor="text1"/>
                <w:sz w:val="16"/>
                <w:szCs w:val="16"/>
                <w:lang w:val="ru-RU"/>
              </w:rPr>
              <w:t>г.: ежемесячные расходы на сервер Организации: 250</w:t>
            </w:r>
            <w:r>
              <w:rPr>
                <w:color w:val="000000" w:themeColor="text1"/>
                <w:sz w:val="16"/>
                <w:szCs w:val="16"/>
              </w:rPr>
              <w:t> </w:t>
            </w:r>
            <w:r w:rsidRPr="00FA0032">
              <w:rPr>
                <w:color w:val="000000" w:themeColor="text1"/>
                <w:sz w:val="16"/>
                <w:szCs w:val="16"/>
                <w:lang w:val="ru-RU"/>
              </w:rPr>
              <w:t>шв.</w:t>
            </w:r>
            <w:r>
              <w:rPr>
                <w:color w:val="000000" w:themeColor="text1"/>
                <w:sz w:val="16"/>
                <w:szCs w:val="16"/>
              </w:rPr>
              <w:t> </w:t>
            </w:r>
            <w:r w:rsidRPr="00FA0032">
              <w:rPr>
                <w:color w:val="000000" w:themeColor="text1"/>
                <w:sz w:val="16"/>
                <w:szCs w:val="16"/>
                <w:lang w:val="ru-RU"/>
              </w:rPr>
              <w:t>франков</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 xml:space="preserve">ежемесячные расходы на виртуальный сервер: </w:t>
            </w:r>
          </w:p>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189 шв. франков</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r w:rsidRPr="00FA0032">
              <w:rPr>
                <w:sz w:val="16"/>
                <w:szCs w:val="16"/>
                <w:lang w:val="ru-RU"/>
              </w:rPr>
              <w:t>ежемесячные расходы на высокопроизводительную систему хранения данных: 240</w:t>
            </w:r>
            <w:r>
              <w:rPr>
                <w:sz w:val="16"/>
                <w:szCs w:val="16"/>
              </w:rPr>
              <w:t> </w:t>
            </w:r>
            <w:r w:rsidRPr="00FA0032">
              <w:rPr>
                <w:sz w:val="16"/>
                <w:szCs w:val="16"/>
                <w:lang w:val="ru-RU"/>
              </w:rPr>
              <w:t xml:space="preserve">шв. франков/ </w:t>
            </w:r>
            <w:r w:rsidRPr="00AA3175">
              <w:rPr>
                <w:sz w:val="16"/>
                <w:szCs w:val="16"/>
              </w:rPr>
              <w:t>TB</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ежемесячные расходы на резервное копирование: 41,10</w:t>
            </w:r>
            <w:r>
              <w:rPr>
                <w:color w:val="000000" w:themeColor="text1"/>
                <w:sz w:val="16"/>
                <w:szCs w:val="16"/>
              </w:rPr>
              <w:t> </w:t>
            </w:r>
            <w:r w:rsidRPr="00FA0032">
              <w:rPr>
                <w:color w:val="000000" w:themeColor="text1"/>
                <w:sz w:val="16"/>
                <w:szCs w:val="16"/>
                <w:lang w:val="ru-RU"/>
              </w:rPr>
              <w:t xml:space="preserve">шв. франка </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количество сервисных инцидентов средней и высокой степени серьезности: 1,75 в месяц</w:t>
            </w:r>
          </w:p>
        </w:tc>
        <w:tc>
          <w:tcPr>
            <w:tcW w:w="616" w:type="pct"/>
            <w:tcBorders>
              <w:top w:val="nil"/>
              <w:bottom w:val="nil"/>
              <w:right w:val="single" w:sz="4" w:space="0" w:color="auto"/>
            </w:tcBorders>
            <w:shd w:val="clear" w:color="auto" w:fill="auto"/>
            <w:tcMar>
              <w:top w:w="110" w:type="dxa"/>
            </w:tcMar>
          </w:tcPr>
          <w:p w:rsidR="00FA0032" w:rsidRPr="00FA0032" w:rsidRDefault="00FA0032" w:rsidP="00C61544">
            <w:pPr>
              <w:keepNext/>
              <w:keepLines/>
              <w:jc w:val="center"/>
              <w:rPr>
                <w:rFonts w:cs="Arial"/>
                <w:b/>
                <w:bCs/>
                <w:color w:val="00B050"/>
                <w:sz w:val="16"/>
                <w:szCs w:val="16"/>
                <w:lang w:val="ru-RU"/>
              </w:rPr>
            </w:pPr>
          </w:p>
          <w:p w:rsidR="00FA0032" w:rsidRPr="00FA0032" w:rsidRDefault="00FA0032" w:rsidP="00C61544">
            <w:pPr>
              <w:keepNext/>
              <w:keepLines/>
              <w:jc w:val="center"/>
              <w:rPr>
                <w:rFonts w:cs="Arial"/>
                <w:b/>
                <w:bCs/>
                <w:color w:val="00B050"/>
                <w:sz w:val="16"/>
                <w:szCs w:val="16"/>
                <w:lang w:val="ru-RU"/>
              </w:rPr>
            </w:pPr>
          </w:p>
          <w:p w:rsidR="00FA0032" w:rsidRPr="00FA0032" w:rsidRDefault="00FA0032" w:rsidP="00C61544">
            <w:pPr>
              <w:keepNext/>
              <w:keepLines/>
              <w:rPr>
                <w:rFonts w:cs="Arial"/>
                <w:b/>
                <w:bCs/>
                <w:color w:val="00B050"/>
                <w:sz w:val="16"/>
                <w:szCs w:val="16"/>
                <w:lang w:val="ru-RU"/>
              </w:rPr>
            </w:pPr>
          </w:p>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rPr>
                <w:rFonts w:cs="Arial"/>
                <w:b/>
                <w:bCs/>
                <w:color w:val="FF0000"/>
                <w:sz w:val="16"/>
                <w:szCs w:val="16"/>
              </w:rPr>
            </w:pPr>
          </w:p>
          <w:p w:rsidR="00FA0032" w:rsidRPr="00AA3175" w:rsidRDefault="00FA0032" w:rsidP="00C61544">
            <w:pPr>
              <w:keepNext/>
              <w:keepLines/>
              <w:rPr>
                <w:rFonts w:cs="Arial"/>
                <w:b/>
                <w:bCs/>
                <w:color w:val="FF0000"/>
                <w:sz w:val="16"/>
                <w:szCs w:val="16"/>
              </w:rPr>
            </w:pPr>
          </w:p>
          <w:p w:rsidR="00FA0032" w:rsidRPr="00AA3175" w:rsidRDefault="00FA0032" w:rsidP="00C61544">
            <w:pPr>
              <w:keepNext/>
              <w:keepLines/>
              <w:jc w:val="center"/>
              <w:rPr>
                <w:rFonts w:cs="Arial"/>
                <w:b/>
                <w:bCs/>
                <w:color w:val="FF0000"/>
                <w:sz w:val="16"/>
                <w:szCs w:val="16"/>
              </w:rPr>
            </w:pPr>
            <w:r w:rsidRPr="00AA3175">
              <w:rPr>
                <w:b/>
                <w:color w:val="00B050"/>
                <w:sz w:val="16"/>
                <w:szCs w:val="16"/>
              </w:rPr>
              <w:t>Выполнено</w:t>
            </w:r>
          </w:p>
          <w:p w:rsidR="00FA0032" w:rsidRPr="00AA3175" w:rsidRDefault="00FA0032" w:rsidP="00C61544">
            <w:pPr>
              <w:keepNext/>
              <w:keepLines/>
              <w:rPr>
                <w:rFonts w:cs="Arial"/>
                <w:b/>
                <w:bCs/>
                <w:color w:val="FF0000"/>
                <w:sz w:val="16"/>
                <w:szCs w:val="16"/>
              </w:rPr>
            </w:pPr>
          </w:p>
          <w:p w:rsidR="00FA0032" w:rsidRPr="00AA3175" w:rsidRDefault="00FA0032" w:rsidP="00C61544">
            <w:pPr>
              <w:keepNext/>
              <w:keepLines/>
              <w:jc w:val="center"/>
              <w:rPr>
                <w:rFonts w:cs="Arial"/>
                <w:b/>
                <w:bCs/>
                <w:color w:val="00B050"/>
                <w:sz w:val="16"/>
                <w:szCs w:val="16"/>
              </w:rPr>
            </w:pPr>
          </w:p>
        </w:tc>
      </w:tr>
      <w:tr w:rsidR="00FA0032" w:rsidRPr="00AA3175" w:rsidTr="00C61544">
        <w:trPr>
          <w:cantSplit/>
        </w:trPr>
        <w:tc>
          <w:tcPr>
            <w:tcW w:w="859" w:type="pct"/>
            <w:tcBorders>
              <w:top w:val="nil"/>
              <w:left w:val="single" w:sz="4" w:space="0" w:color="auto"/>
              <w:bottom w:val="single" w:sz="4" w:space="0" w:color="auto"/>
            </w:tcBorders>
            <w:shd w:val="clear" w:color="auto" w:fill="auto"/>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Число соглашений об оказании услуг (СОУ) для размещенных систем и служб, соответствующих базе СОУ в области ИКТ</w:t>
            </w:r>
          </w:p>
        </w:tc>
        <w:tc>
          <w:tcPr>
            <w:tcW w:w="1254" w:type="pct"/>
            <w:gridSpan w:val="2"/>
            <w:tcBorders>
              <w:top w:val="nil"/>
              <w:bottom w:val="single" w:sz="4" w:space="0" w:color="auto"/>
            </w:tcBorders>
            <w:shd w:val="clear" w:color="auto" w:fill="auto"/>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Имеющаяся стандартная база СОУ в области ИКТ</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p>
          <w:p w:rsidR="00FA0032" w:rsidRPr="00FA0032" w:rsidRDefault="00FA0032" w:rsidP="00C61544">
            <w:pPr>
              <w:rPr>
                <w:i/>
                <w:color w:val="002060"/>
                <w:sz w:val="16"/>
                <w:szCs w:val="16"/>
                <w:lang w:val="ru-RU"/>
              </w:rPr>
            </w:pPr>
          </w:p>
        </w:tc>
        <w:tc>
          <w:tcPr>
            <w:tcW w:w="810" w:type="pct"/>
            <w:tcBorders>
              <w:top w:val="nil"/>
              <w:bottom w:val="single" w:sz="4" w:space="0" w:color="auto"/>
            </w:tcBorders>
            <w:shd w:val="clear" w:color="auto" w:fill="auto"/>
            <w:tcMar>
              <w:top w:w="110" w:type="dxa"/>
            </w:tcMar>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Доля (%) СОУ, соответствующих имеющейся базе ИКТ</w:t>
            </w:r>
          </w:p>
        </w:tc>
        <w:tc>
          <w:tcPr>
            <w:tcW w:w="1461" w:type="pct"/>
            <w:gridSpan w:val="2"/>
            <w:tcBorders>
              <w:top w:val="nil"/>
              <w:bottom w:val="single" w:sz="4" w:space="0" w:color="auto"/>
            </w:tcBorders>
            <w:shd w:val="clear" w:color="auto" w:fill="FFFFFF"/>
            <w:tcMar>
              <w:top w:w="110" w:type="dxa"/>
            </w:tcMar>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В 2014–2015</w:t>
            </w:r>
            <w:r w:rsidRPr="00AA3175">
              <w:rPr>
                <w:color w:val="000000" w:themeColor="text1"/>
                <w:sz w:val="16"/>
                <w:szCs w:val="16"/>
              </w:rPr>
              <w:t> </w:t>
            </w:r>
            <w:r w:rsidRPr="00FA0032">
              <w:rPr>
                <w:color w:val="000000" w:themeColor="text1"/>
                <w:sz w:val="16"/>
                <w:szCs w:val="16"/>
                <w:lang w:val="ru-RU"/>
              </w:rPr>
              <w:t xml:space="preserve">гг. подписано 11 новых СОУ (Общеорганизационная система коммуникации, </w:t>
            </w:r>
            <w:r w:rsidRPr="00AA3175">
              <w:rPr>
                <w:color w:val="000000" w:themeColor="text1"/>
                <w:sz w:val="16"/>
                <w:szCs w:val="16"/>
              </w:rPr>
              <w:t>IRIS</w:t>
            </w:r>
            <w:r w:rsidRPr="00FA0032">
              <w:rPr>
                <w:color w:val="000000" w:themeColor="text1"/>
                <w:sz w:val="16"/>
                <w:szCs w:val="16"/>
                <w:lang w:val="ru-RU"/>
              </w:rPr>
              <w:t xml:space="preserve">, </w:t>
            </w:r>
            <w:r w:rsidRPr="00AA3175">
              <w:rPr>
                <w:color w:val="000000" w:themeColor="text1"/>
                <w:sz w:val="16"/>
                <w:szCs w:val="16"/>
              </w:rPr>
              <w:t>IRPI</w:t>
            </w:r>
            <w:r w:rsidRPr="00FA0032">
              <w:rPr>
                <w:color w:val="000000" w:themeColor="text1"/>
                <w:sz w:val="16"/>
                <w:szCs w:val="16"/>
                <w:lang w:val="ru-RU"/>
              </w:rPr>
              <w:t xml:space="preserve">, </w:t>
            </w:r>
            <w:r w:rsidRPr="00AA3175">
              <w:rPr>
                <w:color w:val="000000" w:themeColor="text1"/>
                <w:sz w:val="16"/>
                <w:szCs w:val="16"/>
              </w:rPr>
              <w:t>PCT</w:t>
            </w:r>
            <w:r w:rsidRPr="00FA0032">
              <w:rPr>
                <w:color w:val="000000" w:themeColor="text1"/>
                <w:sz w:val="16"/>
                <w:szCs w:val="16"/>
                <w:lang w:val="ru-RU"/>
              </w:rPr>
              <w:t xml:space="preserve">, </w:t>
            </w:r>
            <w:r w:rsidRPr="00AA3175">
              <w:rPr>
                <w:color w:val="000000" w:themeColor="text1"/>
                <w:sz w:val="16"/>
                <w:szCs w:val="16"/>
              </w:rPr>
              <w:t>PEARL</w:t>
            </w:r>
            <w:r w:rsidRPr="00FA0032">
              <w:rPr>
                <w:color w:val="000000" w:themeColor="text1"/>
                <w:sz w:val="16"/>
                <w:szCs w:val="16"/>
                <w:lang w:val="ru-RU"/>
              </w:rPr>
              <w:t xml:space="preserve">, </w:t>
            </w:r>
            <w:r w:rsidRPr="00AA3175">
              <w:rPr>
                <w:color w:val="000000" w:themeColor="text1"/>
                <w:sz w:val="16"/>
                <w:szCs w:val="16"/>
              </w:rPr>
              <w:t>SIGAGIP</w:t>
            </w:r>
            <w:r w:rsidRPr="00FA0032">
              <w:rPr>
                <w:color w:val="000000" w:themeColor="text1"/>
                <w:sz w:val="16"/>
                <w:szCs w:val="16"/>
                <w:lang w:val="ru-RU"/>
              </w:rPr>
              <w:t xml:space="preserve">, </w:t>
            </w:r>
            <w:r w:rsidRPr="00AA3175">
              <w:rPr>
                <w:color w:val="000000" w:themeColor="text1"/>
                <w:sz w:val="16"/>
                <w:szCs w:val="16"/>
              </w:rPr>
              <w:t>PATENTSCOPE</w:t>
            </w:r>
            <w:r w:rsidRPr="00FA0032">
              <w:rPr>
                <w:color w:val="000000" w:themeColor="text1"/>
                <w:sz w:val="16"/>
                <w:szCs w:val="16"/>
                <w:lang w:val="ru-RU"/>
              </w:rPr>
              <w:t xml:space="preserve">, </w:t>
            </w:r>
            <w:r w:rsidRPr="00AA3175">
              <w:rPr>
                <w:color w:val="000000" w:themeColor="text1"/>
                <w:sz w:val="16"/>
                <w:szCs w:val="16"/>
              </w:rPr>
              <w:t>CASE</w:t>
            </w:r>
            <w:r w:rsidRPr="00FA0032">
              <w:rPr>
                <w:color w:val="000000" w:themeColor="text1"/>
                <w:sz w:val="16"/>
                <w:szCs w:val="16"/>
                <w:lang w:val="ru-RU"/>
              </w:rPr>
              <w:t xml:space="preserve">, СЦД, Платофрма внешнего сотрудничества, </w:t>
            </w:r>
            <w:r w:rsidRPr="00AA3175">
              <w:rPr>
                <w:color w:val="000000" w:themeColor="text1"/>
                <w:sz w:val="16"/>
                <w:szCs w:val="16"/>
              </w:rPr>
              <w:t>GOA</w:t>
            </w:r>
            <w:r w:rsidRPr="00FA0032">
              <w:rPr>
                <w:color w:val="000000" w:themeColor="text1"/>
                <w:sz w:val="16"/>
                <w:szCs w:val="16"/>
                <w:lang w:val="ru-RU"/>
              </w:rPr>
              <w:t>), соответствующих имеющейся базе ИКТ (100%)</w:t>
            </w:r>
          </w:p>
        </w:tc>
        <w:tc>
          <w:tcPr>
            <w:tcW w:w="616" w:type="pct"/>
            <w:tcBorders>
              <w:top w:val="nil"/>
              <w:bottom w:val="single" w:sz="4" w:space="0" w:color="auto"/>
              <w:right w:val="single" w:sz="4" w:space="0" w:color="auto"/>
            </w:tcBorders>
            <w:shd w:val="clear" w:color="auto" w:fill="auto"/>
            <w:tcMar>
              <w:top w:w="110" w:type="dxa"/>
            </w:tcMar>
          </w:tcPr>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jc w:val="center"/>
              <w:rPr>
                <w:rFonts w:cs="Arial"/>
                <w:b/>
                <w:bCs/>
                <w:color w:val="000000" w:themeColor="text1"/>
                <w:sz w:val="16"/>
                <w:szCs w:val="16"/>
              </w:rPr>
            </w:pPr>
          </w:p>
        </w:tc>
      </w:tr>
      <w:tr w:rsidR="00FA0032" w:rsidRPr="00AA3175" w:rsidTr="00C61544">
        <w:trPr>
          <w:cantSplit/>
        </w:trPr>
        <w:tc>
          <w:tcPr>
            <w:tcW w:w="859" w:type="pct"/>
            <w:tcBorders>
              <w:top w:val="single" w:sz="4" w:space="0" w:color="auto"/>
              <w:left w:val="single" w:sz="4" w:space="0" w:color="auto"/>
              <w:bottom w:val="nil"/>
            </w:tcBorders>
            <w:shd w:val="clear" w:color="auto" w:fill="auto"/>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Непрерывность ИКТ-обслуживания критических систем</w:t>
            </w:r>
          </w:p>
        </w:tc>
        <w:tc>
          <w:tcPr>
            <w:tcW w:w="1254" w:type="pct"/>
            <w:gridSpan w:val="2"/>
            <w:tcBorders>
              <w:top w:val="single" w:sz="4" w:space="0" w:color="auto"/>
              <w:bottom w:val="nil"/>
            </w:tcBorders>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AA3175">
              <w:rPr>
                <w:i/>
                <w:color w:val="002060"/>
                <w:sz w:val="16"/>
                <w:szCs w:val="16"/>
              </w:rPr>
              <w:t> </w:t>
            </w:r>
            <w:r w:rsidRPr="00FA0032">
              <w:rPr>
                <w:i/>
                <w:color w:val="002060"/>
                <w:sz w:val="16"/>
                <w:szCs w:val="16"/>
                <w:lang w:val="ru-RU"/>
              </w:rPr>
              <w:t>г.:</w:t>
            </w:r>
            <w:r w:rsidRPr="00FA0032">
              <w:rPr>
                <w:color w:val="002060"/>
                <w:sz w:val="16"/>
                <w:szCs w:val="16"/>
                <w:lang w:val="ru-RU"/>
              </w:rPr>
              <w:t xml:space="preserve"> создание 2 тесно связанных между собой центров хранения и обработки данных; для их поддержки создаются центры серверной инфраструктуры и сетевой архитектуры; проведена оценка 38 основных ИКТ- сервисов и реализованы адекватные меры для уменьшения рисков и обеспечения более высокой операционной готовности сервисов.  </w:t>
            </w:r>
          </w:p>
          <w:p w:rsidR="00FA0032" w:rsidRPr="00FA0032" w:rsidRDefault="00FA0032" w:rsidP="00C61544">
            <w:pPr>
              <w:rPr>
                <w:rFonts w:cs="Arial"/>
                <w:i/>
                <w:sz w:val="16"/>
                <w:szCs w:val="16"/>
                <w:lang w:val="ru-RU"/>
              </w:rPr>
            </w:pPr>
          </w:p>
          <w:p w:rsidR="00FA0032" w:rsidRPr="00FA0032" w:rsidRDefault="00FA0032" w:rsidP="00C61544">
            <w:pPr>
              <w:ind w:leftChars="-11" w:left="-22"/>
              <w:rPr>
                <w:color w:val="000000" w:themeColor="text1"/>
                <w:sz w:val="16"/>
                <w:szCs w:val="16"/>
                <w:lang w:val="ru-RU"/>
              </w:rPr>
            </w:pPr>
            <w:r w:rsidRPr="00FA0032">
              <w:rPr>
                <w:i/>
                <w:sz w:val="16"/>
                <w:szCs w:val="16"/>
                <w:lang w:val="ru-RU"/>
              </w:rPr>
              <w:t xml:space="preserve">Исходные базовые показатели ПиБ на 2014–2015 гг.:  </w:t>
            </w:r>
            <w:r w:rsidRPr="00FA0032">
              <w:rPr>
                <w:color w:val="000000" w:themeColor="text1"/>
                <w:sz w:val="16"/>
                <w:szCs w:val="16"/>
                <w:lang w:val="ru-RU"/>
              </w:rPr>
              <w:t>сохранение данных на несетевом резервном носителе; для восстановления данных может потребоваться несколько дней</w:t>
            </w:r>
          </w:p>
          <w:p w:rsidR="00FA0032" w:rsidRPr="00FA0032" w:rsidRDefault="00FA0032" w:rsidP="00C61544">
            <w:pPr>
              <w:ind w:leftChars="-11" w:left="-22"/>
              <w:rPr>
                <w:rFonts w:cs="Arial"/>
                <w:color w:val="000000" w:themeColor="text1"/>
                <w:sz w:val="16"/>
                <w:szCs w:val="16"/>
                <w:lang w:val="ru-RU"/>
              </w:rPr>
            </w:pPr>
          </w:p>
        </w:tc>
        <w:tc>
          <w:tcPr>
            <w:tcW w:w="810" w:type="pct"/>
            <w:tcBorders>
              <w:top w:val="single" w:sz="4" w:space="0" w:color="auto"/>
              <w:bottom w:val="nil"/>
            </w:tcBorders>
            <w:shd w:val="clear" w:color="auto" w:fill="auto"/>
            <w:tcMar>
              <w:top w:w="110" w:type="dxa"/>
            </w:tcMar>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В случае крупных локальных сбоев критические системы могут быть своевременно восстановлены без утраты данных</w:t>
            </w:r>
          </w:p>
        </w:tc>
        <w:tc>
          <w:tcPr>
            <w:tcW w:w="1461" w:type="pct"/>
            <w:gridSpan w:val="2"/>
            <w:tcBorders>
              <w:top w:val="single" w:sz="4" w:space="0" w:color="auto"/>
              <w:bottom w:val="nil"/>
            </w:tcBorders>
            <w:shd w:val="clear" w:color="auto" w:fill="FFFFFF"/>
            <w:tcMar>
              <w:top w:w="110" w:type="dxa"/>
            </w:tcMar>
          </w:tcPr>
          <w:p w:rsidR="00FA0032" w:rsidRPr="00FA0032" w:rsidRDefault="00FA0032" w:rsidP="00C61544">
            <w:pPr>
              <w:rPr>
                <w:rFonts w:cs="Arial"/>
                <w:color w:val="000000" w:themeColor="text1"/>
                <w:sz w:val="16"/>
                <w:szCs w:val="16"/>
                <w:lang w:val="ru-RU"/>
              </w:rPr>
            </w:pPr>
            <w:r w:rsidRPr="00FA0032">
              <w:rPr>
                <w:rFonts w:hint="eastAsia"/>
                <w:color w:val="000000" w:themeColor="text1"/>
                <w:sz w:val="16"/>
                <w:szCs w:val="16"/>
                <w:lang w:val="ru-RU"/>
              </w:rPr>
              <w:t>Инфраструктура, связанная с серверами, хранением, резервным копирование и сетью, была расширена,</w:t>
            </w:r>
            <w:r w:rsidRPr="00FA0032">
              <w:rPr>
                <w:sz w:val="16"/>
                <w:szCs w:val="16"/>
                <w:lang w:val="ru-RU"/>
              </w:rPr>
              <w:t xml:space="preserve"> и в нее были включены основные услуги ИКТ.</w:t>
            </w:r>
            <w:r w:rsidRPr="00FA0032">
              <w:rPr>
                <w:color w:val="000000" w:themeColor="text1"/>
                <w:sz w:val="16"/>
                <w:szCs w:val="16"/>
                <w:lang w:val="ru-RU"/>
              </w:rPr>
              <w:t xml:space="preserve">  В 2014–2015</w:t>
            </w:r>
            <w:r w:rsidRPr="00AA3175">
              <w:rPr>
                <w:color w:val="000000" w:themeColor="text1"/>
                <w:sz w:val="16"/>
                <w:szCs w:val="16"/>
              </w:rPr>
              <w:t> </w:t>
            </w:r>
            <w:r w:rsidRPr="00FA0032">
              <w:rPr>
                <w:color w:val="000000" w:themeColor="text1"/>
                <w:sz w:val="16"/>
                <w:szCs w:val="16"/>
                <w:lang w:val="ru-RU"/>
              </w:rPr>
              <w:t>гг. была проведена оценка еще 12</w:t>
            </w:r>
            <w:r>
              <w:rPr>
                <w:color w:val="000000" w:themeColor="text1"/>
                <w:sz w:val="16"/>
                <w:szCs w:val="16"/>
              </w:rPr>
              <w:t> </w:t>
            </w:r>
            <w:r w:rsidRPr="00FA0032">
              <w:rPr>
                <w:color w:val="000000" w:themeColor="text1"/>
                <w:sz w:val="16"/>
                <w:szCs w:val="16"/>
                <w:lang w:val="ru-RU"/>
              </w:rPr>
              <w:t xml:space="preserve">ключевых ИКТ-сервисов, и были приняты необходимые меры для обеспечения бесперебойного функционирования. </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r w:rsidRPr="00FA0032">
              <w:rPr>
                <w:rFonts w:hint="eastAsia"/>
                <w:color w:val="000000" w:themeColor="text1"/>
                <w:sz w:val="16"/>
                <w:szCs w:val="16"/>
                <w:lang w:val="ru-RU"/>
              </w:rPr>
              <w:t>В 2015</w:t>
            </w:r>
            <w:r w:rsidRPr="00AA3175">
              <w:rPr>
                <w:rFonts w:hint="eastAsia"/>
                <w:color w:val="000000" w:themeColor="text1"/>
                <w:sz w:val="16"/>
                <w:szCs w:val="16"/>
              </w:rPr>
              <w:t> </w:t>
            </w:r>
            <w:r w:rsidRPr="00FA0032">
              <w:rPr>
                <w:rFonts w:hint="eastAsia"/>
                <w:color w:val="000000" w:themeColor="text1"/>
                <w:sz w:val="16"/>
                <w:szCs w:val="16"/>
                <w:lang w:val="ru-RU"/>
              </w:rPr>
              <w:t>г. система обеспечения непрерывного ИКТ-обслуживания была успешно протестирована</w:t>
            </w:r>
            <w:r w:rsidRPr="00FA0032">
              <w:rPr>
                <w:sz w:val="16"/>
                <w:szCs w:val="16"/>
                <w:lang w:val="ru-RU"/>
              </w:rPr>
              <w:t xml:space="preserve"> с помощью однодневного теста на аварийное восстановление; аварийное переключение </w:t>
            </w:r>
            <w:r w:rsidRPr="00AA3175">
              <w:rPr>
                <w:sz w:val="16"/>
                <w:szCs w:val="16"/>
              </w:rPr>
              <w:t>PCT</w:t>
            </w:r>
            <w:r w:rsidRPr="00FA0032">
              <w:rPr>
                <w:sz w:val="16"/>
                <w:szCs w:val="16"/>
                <w:lang w:val="ru-RU"/>
              </w:rPr>
              <w:t xml:space="preserve"> было завершено за 30 минут.</w:t>
            </w:r>
          </w:p>
        </w:tc>
        <w:tc>
          <w:tcPr>
            <w:tcW w:w="616" w:type="pct"/>
            <w:tcBorders>
              <w:top w:val="single" w:sz="4" w:space="0" w:color="auto"/>
              <w:bottom w:val="nil"/>
              <w:right w:val="single" w:sz="4" w:space="0" w:color="auto"/>
            </w:tcBorders>
            <w:shd w:val="clear" w:color="auto" w:fill="auto"/>
            <w:tcMar>
              <w:top w:w="110" w:type="dxa"/>
            </w:tcMar>
          </w:tcPr>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jc w:val="center"/>
              <w:rPr>
                <w:rFonts w:cs="Arial"/>
                <w:b/>
                <w:bCs/>
                <w:color w:val="00B050"/>
                <w:sz w:val="16"/>
                <w:szCs w:val="16"/>
              </w:rPr>
            </w:pPr>
          </w:p>
        </w:tc>
      </w:tr>
      <w:tr w:rsidR="00FA0032" w:rsidRPr="00AA3175" w:rsidTr="00C61544">
        <w:trPr>
          <w:cantSplit/>
        </w:trPr>
        <w:tc>
          <w:tcPr>
            <w:tcW w:w="859" w:type="pct"/>
            <w:tcBorders>
              <w:top w:val="nil"/>
              <w:left w:val="single" w:sz="4" w:space="0" w:color="auto"/>
              <w:bottom w:val="nil"/>
            </w:tcBorders>
            <w:shd w:val="clear" w:color="auto" w:fill="auto"/>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Доля (%) конечных пользователей и деловых сообществ, удовлетворенных услугами ИКТ</w:t>
            </w:r>
          </w:p>
        </w:tc>
        <w:tc>
          <w:tcPr>
            <w:tcW w:w="1254" w:type="pct"/>
            <w:gridSpan w:val="2"/>
            <w:tcBorders>
              <w:top w:val="nil"/>
              <w:bottom w:val="nil"/>
            </w:tcBorders>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AA3175">
              <w:rPr>
                <w:i/>
                <w:color w:val="002060"/>
                <w:sz w:val="16"/>
                <w:szCs w:val="16"/>
              </w:rPr>
              <w:t> </w:t>
            </w:r>
            <w:r w:rsidRPr="00FA0032">
              <w:rPr>
                <w:i/>
                <w:color w:val="002060"/>
                <w:sz w:val="16"/>
                <w:szCs w:val="16"/>
                <w:lang w:val="ru-RU"/>
              </w:rPr>
              <w:t>г.:</w:t>
            </w:r>
            <w:r w:rsidRPr="00FA0032">
              <w:rPr>
                <w:color w:val="002060"/>
                <w:sz w:val="16"/>
                <w:szCs w:val="16"/>
                <w:lang w:val="ru-RU"/>
              </w:rPr>
              <w:t xml:space="preserve">  обследование работы службы технической поддержки в 2013 году: оценку «весьма удовлетворены» дали 64% участников</w:t>
            </w:r>
          </w:p>
          <w:p w:rsidR="00FA0032" w:rsidRPr="00FA0032" w:rsidRDefault="00FA0032" w:rsidP="00C61544">
            <w:pPr>
              <w:ind w:leftChars="-11" w:left="-22"/>
              <w:rPr>
                <w:rFonts w:cs="Arial"/>
                <w:color w:val="000000" w:themeColor="text1"/>
                <w:sz w:val="16"/>
                <w:szCs w:val="16"/>
                <w:lang w:val="ru-RU"/>
              </w:rPr>
            </w:pPr>
          </w:p>
          <w:p w:rsidR="00FA0032" w:rsidRPr="00FA0032" w:rsidRDefault="00FA0032" w:rsidP="00C61544">
            <w:pPr>
              <w:ind w:leftChars="-11" w:left="-22"/>
              <w:rPr>
                <w:color w:val="000000" w:themeColor="text1"/>
                <w:sz w:val="16"/>
                <w:szCs w:val="16"/>
                <w:lang w:val="ru-RU"/>
              </w:rPr>
            </w:pPr>
            <w:r w:rsidRPr="00FA0032">
              <w:rPr>
                <w:i/>
                <w:sz w:val="16"/>
                <w:szCs w:val="16"/>
                <w:lang w:val="ru-RU"/>
              </w:rPr>
              <w:t xml:space="preserve">Исходные базовые показатели ПиБ на 2014–2015 гг.:  </w:t>
            </w:r>
            <w:r w:rsidRPr="00FA0032">
              <w:rPr>
                <w:color w:val="000000" w:themeColor="text1"/>
                <w:sz w:val="16"/>
                <w:szCs w:val="16"/>
                <w:lang w:val="ru-RU"/>
              </w:rPr>
              <w:t>по состоянию на начало двухлетнего периода руководящие сотрудники удовлетворены услугами в области ИКТ</w:t>
            </w:r>
          </w:p>
          <w:p w:rsidR="00FA0032" w:rsidRPr="00FA0032" w:rsidRDefault="00FA0032" w:rsidP="00C61544">
            <w:pPr>
              <w:ind w:leftChars="-11" w:left="-22"/>
              <w:rPr>
                <w:rFonts w:cs="Arial"/>
                <w:color w:val="000000" w:themeColor="text1"/>
                <w:sz w:val="16"/>
                <w:szCs w:val="16"/>
                <w:lang w:val="ru-RU"/>
              </w:rPr>
            </w:pPr>
          </w:p>
        </w:tc>
        <w:tc>
          <w:tcPr>
            <w:tcW w:w="810" w:type="pct"/>
            <w:tcBorders>
              <w:top w:val="nil"/>
              <w:bottom w:val="nil"/>
            </w:tcBorders>
            <w:shd w:val="clear" w:color="auto" w:fill="auto"/>
            <w:tcMar>
              <w:top w:w="110" w:type="dxa"/>
            </w:tcMar>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Сохранение или повышение уровня, отмеченного в качестве базового показателя</w:t>
            </w:r>
          </w:p>
        </w:tc>
        <w:tc>
          <w:tcPr>
            <w:tcW w:w="1461" w:type="pct"/>
            <w:gridSpan w:val="2"/>
            <w:tcBorders>
              <w:top w:val="nil"/>
              <w:bottom w:val="nil"/>
            </w:tcBorders>
            <w:shd w:val="clear" w:color="auto" w:fill="FFFFFF"/>
            <w:tcMar>
              <w:top w:w="110" w:type="dxa"/>
            </w:tcMar>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Обследование работы службы технической поддержки в 2014</w:t>
            </w:r>
            <w:r w:rsidRPr="00AA3175">
              <w:rPr>
                <w:color w:val="000000" w:themeColor="text1"/>
                <w:sz w:val="16"/>
                <w:szCs w:val="16"/>
              </w:rPr>
              <w:t> </w:t>
            </w:r>
            <w:r w:rsidRPr="00FA0032">
              <w:rPr>
                <w:color w:val="000000" w:themeColor="text1"/>
                <w:sz w:val="16"/>
                <w:szCs w:val="16"/>
                <w:lang w:val="ru-RU"/>
              </w:rPr>
              <w:t>г.: 67% полностью удовлетворены</w:t>
            </w:r>
          </w:p>
          <w:p w:rsidR="00FA0032" w:rsidRPr="00FA0032" w:rsidRDefault="00FA0032" w:rsidP="00C61544">
            <w:pPr>
              <w:rPr>
                <w:rFonts w:cs="Arial"/>
                <w:color w:val="000000" w:themeColor="text1"/>
                <w:sz w:val="16"/>
                <w:szCs w:val="16"/>
                <w:lang w:val="ru-RU"/>
              </w:rPr>
            </w:pPr>
          </w:p>
          <w:p w:rsidR="00FA0032" w:rsidRPr="00FA0032" w:rsidDel="00447A37" w:rsidRDefault="00FA0032" w:rsidP="00C61544">
            <w:pPr>
              <w:rPr>
                <w:rFonts w:cs="Arial"/>
                <w:color w:val="000000" w:themeColor="text1"/>
                <w:sz w:val="16"/>
                <w:szCs w:val="16"/>
                <w:lang w:val="ru-RU"/>
              </w:rPr>
            </w:pPr>
            <w:r w:rsidRPr="00FA0032">
              <w:rPr>
                <w:color w:val="000000" w:themeColor="text1"/>
                <w:sz w:val="16"/>
                <w:szCs w:val="16"/>
                <w:lang w:val="ru-RU"/>
              </w:rPr>
              <w:t>Обследование работы службы технической поддержки в 2015</w:t>
            </w:r>
            <w:r w:rsidRPr="00AA3175">
              <w:rPr>
                <w:color w:val="000000" w:themeColor="text1"/>
                <w:sz w:val="16"/>
                <w:szCs w:val="16"/>
              </w:rPr>
              <w:t> </w:t>
            </w:r>
            <w:r w:rsidRPr="00FA0032">
              <w:rPr>
                <w:color w:val="000000" w:themeColor="text1"/>
                <w:sz w:val="16"/>
                <w:szCs w:val="16"/>
                <w:lang w:val="ru-RU"/>
              </w:rPr>
              <w:t>г.: 97% «удовлетворены или полностью удовлетворены», при этом 70,5% «полностью удовлетворены»</w:t>
            </w:r>
            <w:r w:rsidRPr="00AA3175">
              <w:rPr>
                <w:rStyle w:val="FootnoteReference"/>
                <w:color w:val="000000" w:themeColor="text1"/>
                <w:sz w:val="16"/>
                <w:szCs w:val="16"/>
              </w:rPr>
              <w:footnoteReference w:id="139"/>
            </w:r>
            <w:r w:rsidRPr="00FA0032">
              <w:rPr>
                <w:color w:val="000000" w:themeColor="text1"/>
                <w:sz w:val="16"/>
                <w:szCs w:val="16"/>
                <w:lang w:val="ru-RU"/>
              </w:rPr>
              <w:t>.</w:t>
            </w:r>
          </w:p>
        </w:tc>
        <w:tc>
          <w:tcPr>
            <w:tcW w:w="616" w:type="pct"/>
            <w:tcBorders>
              <w:top w:val="nil"/>
              <w:bottom w:val="nil"/>
              <w:right w:val="single" w:sz="4" w:space="0" w:color="auto"/>
            </w:tcBorders>
            <w:shd w:val="clear" w:color="auto" w:fill="auto"/>
            <w:tcMar>
              <w:top w:w="110" w:type="dxa"/>
            </w:tcMar>
          </w:tcPr>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jc w:val="center"/>
              <w:rPr>
                <w:rFonts w:cs="Arial"/>
                <w:b/>
                <w:bCs/>
                <w:color w:val="00B050"/>
                <w:sz w:val="16"/>
                <w:szCs w:val="16"/>
              </w:rPr>
            </w:pPr>
          </w:p>
        </w:tc>
      </w:tr>
      <w:tr w:rsidR="00FA0032" w:rsidRPr="00AA3175" w:rsidTr="00C61544">
        <w:trPr>
          <w:cantSplit/>
        </w:trPr>
        <w:tc>
          <w:tcPr>
            <w:tcW w:w="859" w:type="pct"/>
            <w:tcBorders>
              <w:top w:val="nil"/>
              <w:left w:val="single" w:sz="4" w:space="0" w:color="auto"/>
              <w:bottom w:val="single" w:sz="4" w:space="0" w:color="auto"/>
            </w:tcBorders>
            <w:shd w:val="clear" w:color="auto" w:fill="auto"/>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Наличие доступного для персонала комплексного интегрированного пакета технологий связи</w:t>
            </w:r>
          </w:p>
        </w:tc>
        <w:tc>
          <w:tcPr>
            <w:tcW w:w="1254" w:type="pct"/>
            <w:gridSpan w:val="2"/>
            <w:tcBorders>
              <w:top w:val="nil"/>
              <w:bottom w:val="single" w:sz="4" w:space="0" w:color="auto"/>
            </w:tcBorders>
            <w:shd w:val="clear" w:color="auto" w:fill="auto"/>
          </w:tcPr>
          <w:p w:rsidR="00FA0032" w:rsidRPr="00FA0032" w:rsidRDefault="00FA0032" w:rsidP="00C61544">
            <w:pPr>
              <w:rPr>
                <w:i/>
                <w:color w:val="002060"/>
                <w:sz w:val="16"/>
                <w:szCs w:val="16"/>
                <w:lang w:val="ru-RU"/>
              </w:rPr>
            </w:pPr>
            <w:r w:rsidRPr="00FA0032">
              <w:rPr>
                <w:color w:val="000000" w:themeColor="text1"/>
                <w:sz w:val="16"/>
                <w:szCs w:val="16"/>
                <w:lang w:val="ru-RU"/>
              </w:rPr>
              <w:t>Возможность использования через стационарные ПК (и ноутбуки)</w:t>
            </w:r>
          </w:p>
        </w:tc>
        <w:tc>
          <w:tcPr>
            <w:tcW w:w="810" w:type="pct"/>
            <w:tcBorders>
              <w:top w:val="nil"/>
              <w:bottom w:val="single" w:sz="4" w:space="0" w:color="auto"/>
            </w:tcBorders>
            <w:shd w:val="clear" w:color="auto" w:fill="auto"/>
            <w:tcMar>
              <w:top w:w="110" w:type="dxa"/>
            </w:tcMar>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Возможность использования через другие мобильные устройства</w:t>
            </w:r>
          </w:p>
        </w:tc>
        <w:tc>
          <w:tcPr>
            <w:tcW w:w="1461" w:type="pct"/>
            <w:gridSpan w:val="2"/>
            <w:tcBorders>
              <w:top w:val="nil"/>
              <w:bottom w:val="single" w:sz="4" w:space="0" w:color="auto"/>
            </w:tcBorders>
            <w:shd w:val="clear" w:color="auto" w:fill="FFFFFF"/>
            <w:tcMar>
              <w:top w:w="110" w:type="dxa"/>
            </w:tcMar>
          </w:tcPr>
          <w:p w:rsidR="00FA0032" w:rsidRPr="00FA0032" w:rsidRDefault="00FA0032" w:rsidP="00C61544">
            <w:pPr>
              <w:rPr>
                <w:color w:val="000000" w:themeColor="text1"/>
                <w:sz w:val="16"/>
                <w:szCs w:val="16"/>
                <w:lang w:val="ru-RU"/>
              </w:rPr>
            </w:pPr>
            <w:r w:rsidRPr="00FA0032">
              <w:rPr>
                <w:rFonts w:hint="eastAsia"/>
                <w:color w:val="000000" w:themeColor="text1"/>
                <w:sz w:val="16"/>
                <w:szCs w:val="16"/>
                <w:lang w:val="ru-RU"/>
              </w:rPr>
              <w:t xml:space="preserve">Доступ к интранету и служебному автоответчику с мобильных устройств ВОИС; прямая голосовая и видеосвязь между внешними бюро и штаб-квартирой ВОИС; возможность звонить на стационарные телефоны с рабочего стола; возможность отправлять и получать факсы по электронной почте. </w:t>
            </w:r>
          </w:p>
          <w:p w:rsidR="00FA0032" w:rsidRPr="00FA0032" w:rsidDel="00447A37" w:rsidRDefault="00FA0032" w:rsidP="00C61544">
            <w:pPr>
              <w:rPr>
                <w:rFonts w:cs="Arial"/>
                <w:color w:val="000000" w:themeColor="text1"/>
                <w:sz w:val="16"/>
                <w:szCs w:val="16"/>
                <w:lang w:val="ru-RU"/>
              </w:rPr>
            </w:pPr>
          </w:p>
        </w:tc>
        <w:tc>
          <w:tcPr>
            <w:tcW w:w="616" w:type="pct"/>
            <w:tcBorders>
              <w:top w:val="nil"/>
              <w:bottom w:val="single" w:sz="4" w:space="0" w:color="auto"/>
              <w:right w:val="single" w:sz="4" w:space="0" w:color="auto"/>
            </w:tcBorders>
            <w:shd w:val="clear" w:color="auto" w:fill="auto"/>
            <w:tcMar>
              <w:top w:w="110" w:type="dxa"/>
            </w:tcMar>
          </w:tcPr>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jc w:val="center"/>
              <w:rPr>
                <w:rFonts w:cs="Arial"/>
                <w:b/>
                <w:bCs/>
                <w:color w:val="00B050"/>
                <w:sz w:val="16"/>
                <w:szCs w:val="16"/>
              </w:rPr>
            </w:pPr>
          </w:p>
        </w:tc>
      </w:tr>
      <w:tr w:rsidR="00FA0032" w:rsidRPr="005C6ABD" w:rsidTr="00C61544">
        <w:trPr>
          <w:cantSplit/>
        </w:trPr>
        <w:tc>
          <w:tcPr>
            <w:tcW w:w="5000" w:type="pct"/>
            <w:gridSpan w:val="7"/>
            <w:tcBorders>
              <w:top w:val="single" w:sz="4" w:space="0" w:color="auto"/>
              <w:bottom w:val="single" w:sz="4" w:space="0" w:color="auto"/>
            </w:tcBorders>
            <w:shd w:val="clear" w:color="auto" w:fill="C6D9F1" w:themeFill="text2" w:themeFillTint="33"/>
            <w:vAlign w:val="center"/>
          </w:tcPr>
          <w:p w:rsidR="00FA0032" w:rsidRPr="00FA0032" w:rsidRDefault="00FA0032" w:rsidP="00B655FE">
            <w:pPr>
              <w:keepNext/>
              <w:keepLines/>
              <w:tabs>
                <w:tab w:val="left" w:pos="2160"/>
              </w:tabs>
              <w:spacing w:before="120" w:after="120"/>
              <w:ind w:left="2160" w:hanging="2160"/>
              <w:rPr>
                <w:rFonts w:cs="Arial"/>
                <w:b/>
                <w:bCs/>
                <w:color w:val="000000" w:themeColor="text1"/>
                <w:sz w:val="16"/>
                <w:szCs w:val="16"/>
                <w:lang w:val="ru-RU"/>
              </w:rPr>
            </w:pPr>
            <w:r w:rsidRPr="00FA0032">
              <w:rPr>
                <w:b/>
                <w:color w:val="000000" w:themeColor="text1"/>
                <w:sz w:val="16"/>
                <w:szCs w:val="16"/>
                <w:lang w:val="ru-RU"/>
              </w:rPr>
              <w:t xml:space="preserve">Ожидаемый результат: </w:t>
            </w:r>
            <w:r w:rsidRPr="00FA0032">
              <w:rPr>
                <w:sz w:val="16"/>
                <w:szCs w:val="16"/>
                <w:lang w:val="ru-RU"/>
              </w:rPr>
              <w:tab/>
            </w:r>
            <w:r w:rsidRPr="00AA3175">
              <w:rPr>
                <w:color w:val="000000" w:themeColor="text1"/>
                <w:sz w:val="16"/>
                <w:szCs w:val="16"/>
              </w:rPr>
              <w:t>IX</w:t>
            </w:r>
            <w:r w:rsidRPr="00FA0032">
              <w:rPr>
                <w:color w:val="000000" w:themeColor="text1"/>
                <w:sz w:val="16"/>
                <w:szCs w:val="16"/>
                <w:lang w:val="ru-RU"/>
              </w:rPr>
              <w:t xml:space="preserve">.4. Ответственная в экологическом и социальном </w:t>
            </w:r>
            <w:r w:rsidR="00B655FE">
              <w:rPr>
                <w:color w:val="000000" w:themeColor="text1"/>
                <w:sz w:val="16"/>
                <w:szCs w:val="16"/>
                <w:lang w:val="ru-RU"/>
              </w:rPr>
              <w:t xml:space="preserve">плане Организация, в которой </w:t>
            </w:r>
            <w:r w:rsidRPr="00FA0032">
              <w:rPr>
                <w:color w:val="000000" w:themeColor="text1"/>
                <w:sz w:val="16"/>
                <w:szCs w:val="16"/>
                <w:lang w:val="ru-RU"/>
              </w:rPr>
              <w:t>сотрудники ВОИС, делегаты, посетители, а также и</w:t>
            </w:r>
            <w:r w:rsidR="00B655FE">
              <w:rPr>
                <w:color w:val="000000" w:themeColor="text1"/>
                <w:sz w:val="16"/>
                <w:szCs w:val="16"/>
                <w:lang w:val="ru-RU"/>
              </w:rPr>
              <w:t xml:space="preserve">нформационные и материальные </w:t>
            </w:r>
            <w:r w:rsidRPr="00FA0032">
              <w:rPr>
                <w:color w:val="000000" w:themeColor="text1"/>
                <w:sz w:val="16"/>
                <w:szCs w:val="16"/>
                <w:lang w:val="ru-RU"/>
              </w:rPr>
              <w:t>активы находятся под охраной и в безопасности</w:t>
            </w:r>
          </w:p>
        </w:tc>
      </w:tr>
      <w:tr w:rsidR="00FA0032" w:rsidRPr="00AA3175" w:rsidTr="00C61544">
        <w:trPr>
          <w:cantSplit/>
        </w:trPr>
        <w:tc>
          <w:tcPr>
            <w:tcW w:w="1118" w:type="pct"/>
            <w:gridSpan w:val="2"/>
            <w:tcBorders>
              <w:top w:val="single" w:sz="4" w:space="0" w:color="auto"/>
            </w:tcBorders>
            <w:shd w:val="clear" w:color="auto" w:fill="auto"/>
            <w:vAlign w:val="center"/>
          </w:tcPr>
          <w:p w:rsidR="00FA0032" w:rsidRPr="00AA3175" w:rsidRDefault="00FA0032" w:rsidP="00C61544">
            <w:pPr>
              <w:rPr>
                <w:rFonts w:cs="Arial"/>
                <w:color w:val="000000" w:themeColor="text1"/>
                <w:sz w:val="16"/>
                <w:szCs w:val="16"/>
              </w:rPr>
            </w:pPr>
            <w:r w:rsidRPr="00AA3175">
              <w:rPr>
                <w:b/>
                <w:color w:val="000000" w:themeColor="text1"/>
                <w:sz w:val="16"/>
                <w:szCs w:val="16"/>
              </w:rPr>
              <w:t>Показатели результативности</w:t>
            </w:r>
          </w:p>
        </w:tc>
        <w:tc>
          <w:tcPr>
            <w:tcW w:w="995" w:type="pct"/>
            <w:tcBorders>
              <w:top w:val="single" w:sz="4" w:space="0" w:color="auto"/>
            </w:tcBorders>
            <w:shd w:val="clear" w:color="auto" w:fill="auto"/>
            <w:vAlign w:val="center"/>
          </w:tcPr>
          <w:p w:rsidR="00FA0032" w:rsidRPr="00AA3175" w:rsidRDefault="00FA0032" w:rsidP="00C61544">
            <w:pPr>
              <w:rPr>
                <w:rFonts w:cs="Arial"/>
                <w:b/>
                <w:bCs/>
                <w:color w:val="000000" w:themeColor="text1"/>
                <w:sz w:val="16"/>
                <w:szCs w:val="16"/>
              </w:rPr>
            </w:pPr>
            <w:r w:rsidRPr="00AA3175">
              <w:rPr>
                <w:b/>
                <w:sz w:val="16"/>
                <w:szCs w:val="16"/>
              </w:rPr>
              <w:t>Базовые показатели</w:t>
            </w:r>
          </w:p>
        </w:tc>
        <w:tc>
          <w:tcPr>
            <w:tcW w:w="816" w:type="pct"/>
            <w:gridSpan w:val="2"/>
            <w:tcBorders>
              <w:top w:val="single" w:sz="4" w:space="0" w:color="auto"/>
            </w:tcBorders>
            <w:shd w:val="clear" w:color="auto" w:fill="auto"/>
            <w:tcMar>
              <w:top w:w="110" w:type="dxa"/>
            </w:tcMar>
            <w:vAlign w:val="center"/>
          </w:tcPr>
          <w:p w:rsidR="00FA0032" w:rsidRPr="00AA3175" w:rsidRDefault="00FA0032" w:rsidP="00C61544">
            <w:pPr>
              <w:rPr>
                <w:rFonts w:cs="Arial"/>
                <w:b/>
                <w:color w:val="000000" w:themeColor="text1"/>
                <w:sz w:val="16"/>
                <w:szCs w:val="16"/>
              </w:rPr>
            </w:pPr>
            <w:r w:rsidRPr="00AA3175">
              <w:rPr>
                <w:b/>
                <w:sz w:val="16"/>
                <w:szCs w:val="16"/>
              </w:rPr>
              <w:t>Цели</w:t>
            </w:r>
          </w:p>
        </w:tc>
        <w:tc>
          <w:tcPr>
            <w:tcW w:w="1457" w:type="pct"/>
            <w:tcBorders>
              <w:top w:val="single" w:sz="4" w:space="0" w:color="auto"/>
            </w:tcBorders>
            <w:shd w:val="clear" w:color="auto" w:fill="FFFFFF"/>
            <w:tcMar>
              <w:top w:w="110" w:type="dxa"/>
            </w:tcMar>
            <w:vAlign w:val="center"/>
          </w:tcPr>
          <w:p w:rsidR="00FA0032" w:rsidRPr="00AA3175" w:rsidRDefault="00FA0032" w:rsidP="00C61544">
            <w:pPr>
              <w:rPr>
                <w:rFonts w:cs="Arial"/>
                <w:color w:val="000000" w:themeColor="text1"/>
                <w:sz w:val="16"/>
                <w:szCs w:val="16"/>
              </w:rPr>
            </w:pPr>
            <w:r w:rsidRPr="00AA3175">
              <w:rPr>
                <w:b/>
                <w:color w:val="000000" w:themeColor="text1"/>
                <w:sz w:val="16"/>
                <w:szCs w:val="16"/>
              </w:rPr>
              <w:t>Данные о результативности</w:t>
            </w:r>
          </w:p>
        </w:tc>
        <w:tc>
          <w:tcPr>
            <w:tcW w:w="614" w:type="pct"/>
            <w:tcBorders>
              <w:top w:val="single" w:sz="4" w:space="0" w:color="auto"/>
            </w:tcBorders>
            <w:shd w:val="clear" w:color="auto" w:fill="auto"/>
            <w:tcMar>
              <w:top w:w="110" w:type="dxa"/>
            </w:tcMar>
            <w:vAlign w:val="center"/>
          </w:tcPr>
          <w:p w:rsidR="00FA0032" w:rsidRPr="00AA3175" w:rsidRDefault="00FA0032" w:rsidP="00C61544">
            <w:pPr>
              <w:keepNext/>
              <w:keepLines/>
              <w:jc w:val="center"/>
              <w:rPr>
                <w:rFonts w:cs="Arial"/>
                <w:b/>
                <w:bCs/>
                <w:color w:val="000000" w:themeColor="text1"/>
                <w:sz w:val="16"/>
                <w:szCs w:val="16"/>
              </w:rPr>
            </w:pPr>
            <w:r w:rsidRPr="00AA3175">
              <w:rPr>
                <w:b/>
                <w:color w:val="000000" w:themeColor="text1"/>
                <w:sz w:val="16"/>
                <w:szCs w:val="16"/>
              </w:rPr>
              <w:t>CC</w:t>
            </w:r>
          </w:p>
        </w:tc>
      </w:tr>
      <w:tr w:rsidR="00FA0032" w:rsidRPr="00AA3175" w:rsidTr="00C61544">
        <w:trPr>
          <w:cantSplit/>
        </w:trPr>
        <w:tc>
          <w:tcPr>
            <w:tcW w:w="1118" w:type="pct"/>
            <w:gridSpan w:val="2"/>
            <w:shd w:val="clear" w:color="auto" w:fill="auto"/>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Информационная безопасность усилена для защиты от участившихся интернет-атак</w:t>
            </w:r>
          </w:p>
        </w:tc>
        <w:tc>
          <w:tcPr>
            <w:tcW w:w="995" w:type="pct"/>
            <w:shd w:val="clear" w:color="auto" w:fill="auto"/>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Отсутствие серьезных брешей в информационных системах ВОИС</w:t>
            </w:r>
          </w:p>
        </w:tc>
        <w:tc>
          <w:tcPr>
            <w:tcW w:w="816" w:type="pct"/>
            <w:gridSpan w:val="2"/>
            <w:shd w:val="clear" w:color="auto" w:fill="auto"/>
            <w:tcMar>
              <w:top w:w="110" w:type="dxa"/>
            </w:tcMar>
          </w:tcPr>
          <w:p w:rsidR="00FA0032" w:rsidRPr="00FA0032" w:rsidRDefault="00FA0032" w:rsidP="00C61544">
            <w:pPr>
              <w:ind w:leftChars="14" w:left="28"/>
              <w:rPr>
                <w:rFonts w:cs="Arial"/>
                <w:color w:val="000000" w:themeColor="text1"/>
                <w:sz w:val="16"/>
                <w:szCs w:val="16"/>
                <w:lang w:val="ru-RU"/>
              </w:rPr>
            </w:pPr>
            <w:r w:rsidRPr="00FA0032">
              <w:rPr>
                <w:color w:val="000000" w:themeColor="text1"/>
                <w:sz w:val="16"/>
                <w:szCs w:val="16"/>
                <w:lang w:val="ru-RU"/>
              </w:rPr>
              <w:t>Отсутствие серьезных брешей в информационных системах ВОИС</w:t>
            </w:r>
          </w:p>
        </w:tc>
        <w:tc>
          <w:tcPr>
            <w:tcW w:w="1457" w:type="pct"/>
            <w:shd w:val="clear" w:color="auto" w:fill="FFFFFF"/>
            <w:tcMar>
              <w:top w:w="110" w:type="dxa"/>
            </w:tcMar>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Отсутствие серьезных брешей в информационных системах ВОИС в двухлетний период 2014–2015</w:t>
            </w:r>
            <w:r w:rsidRPr="00AA3175">
              <w:rPr>
                <w:color w:val="000000" w:themeColor="text1"/>
                <w:sz w:val="16"/>
                <w:szCs w:val="16"/>
              </w:rPr>
              <w:t> </w:t>
            </w:r>
            <w:r w:rsidRPr="00FA0032">
              <w:rPr>
                <w:color w:val="000000" w:themeColor="text1"/>
                <w:sz w:val="16"/>
                <w:szCs w:val="16"/>
                <w:lang w:val="ru-RU"/>
              </w:rPr>
              <w:t>гг.</w:t>
            </w:r>
          </w:p>
        </w:tc>
        <w:tc>
          <w:tcPr>
            <w:tcW w:w="614" w:type="pct"/>
            <w:shd w:val="clear" w:color="auto" w:fill="auto"/>
            <w:tcMar>
              <w:top w:w="110" w:type="dxa"/>
            </w:tcMar>
          </w:tcPr>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jc w:val="center"/>
              <w:rPr>
                <w:rFonts w:cs="Arial"/>
                <w:bCs/>
                <w:color w:val="000000" w:themeColor="text1"/>
                <w:sz w:val="16"/>
                <w:szCs w:val="16"/>
              </w:rPr>
            </w:pPr>
          </w:p>
        </w:tc>
      </w:tr>
      <w:tr w:rsidR="00FA0032" w:rsidRPr="00AA3175" w:rsidTr="00C61544">
        <w:trPr>
          <w:cantSplit/>
        </w:trPr>
        <w:tc>
          <w:tcPr>
            <w:tcW w:w="1118" w:type="pct"/>
            <w:gridSpan w:val="2"/>
            <w:shd w:val="clear" w:color="auto" w:fill="auto"/>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Состояние сертификации по ИСО 27001 и процессы управления информационными рисками</w:t>
            </w:r>
          </w:p>
        </w:tc>
        <w:tc>
          <w:tcPr>
            <w:tcW w:w="995" w:type="pct"/>
            <w:shd w:val="clear" w:color="auto" w:fill="auto"/>
          </w:tcPr>
          <w:p w:rsidR="00FA0032" w:rsidRPr="00FA0032" w:rsidRDefault="00FA0032" w:rsidP="00C61544">
            <w:pPr>
              <w:rPr>
                <w:color w:val="002060"/>
                <w:sz w:val="16"/>
                <w:szCs w:val="16"/>
                <w:lang w:val="ru-RU"/>
              </w:rPr>
            </w:pPr>
            <w:r w:rsidRPr="00FA0032">
              <w:rPr>
                <w:i/>
                <w:color w:val="002060"/>
                <w:sz w:val="16"/>
                <w:szCs w:val="16"/>
                <w:lang w:val="ru-RU"/>
              </w:rPr>
              <w:t>Обновленные базовые показатели, конец 2013</w:t>
            </w:r>
            <w:r w:rsidRPr="00AA3175">
              <w:rPr>
                <w:i/>
                <w:color w:val="002060"/>
                <w:sz w:val="16"/>
                <w:szCs w:val="16"/>
              </w:rPr>
              <w:t> </w:t>
            </w:r>
            <w:r w:rsidRPr="00FA0032">
              <w:rPr>
                <w:i/>
                <w:color w:val="002060"/>
                <w:sz w:val="16"/>
                <w:szCs w:val="16"/>
                <w:lang w:val="ru-RU"/>
              </w:rPr>
              <w:t>г.:</w:t>
            </w:r>
            <w:r w:rsidRPr="00FA0032">
              <w:rPr>
                <w:color w:val="002060"/>
                <w:sz w:val="16"/>
                <w:szCs w:val="16"/>
                <w:lang w:val="ru-RU"/>
              </w:rPr>
              <w:t xml:space="preserve">  156</w:t>
            </w:r>
            <w:r>
              <w:rPr>
                <w:color w:val="002060"/>
                <w:sz w:val="16"/>
                <w:szCs w:val="16"/>
              </w:rPr>
              <w:t> </w:t>
            </w:r>
            <w:r w:rsidRPr="00FA0032">
              <w:rPr>
                <w:color w:val="002060"/>
                <w:sz w:val="16"/>
                <w:szCs w:val="16"/>
                <w:lang w:val="ru-RU"/>
              </w:rPr>
              <w:t>незавершенных мероприятий по уменьшению риска</w:t>
            </w:r>
          </w:p>
          <w:p w:rsidR="00FA0032" w:rsidRPr="00FA0032" w:rsidRDefault="00FA0032" w:rsidP="00C61544">
            <w:pPr>
              <w:ind w:leftChars="-11" w:left="-22"/>
              <w:rPr>
                <w:color w:val="002060"/>
                <w:sz w:val="16"/>
                <w:szCs w:val="16"/>
                <w:lang w:val="ru-RU"/>
              </w:rPr>
            </w:pPr>
          </w:p>
          <w:p w:rsidR="00FA0032" w:rsidRPr="00FA0032" w:rsidRDefault="00FA0032" w:rsidP="00C61544">
            <w:pPr>
              <w:ind w:leftChars="-11" w:left="-22"/>
              <w:rPr>
                <w:color w:val="002060"/>
                <w:sz w:val="16"/>
                <w:szCs w:val="16"/>
                <w:lang w:val="ru-RU"/>
              </w:rPr>
            </w:pPr>
            <w:r w:rsidRPr="00FA0032">
              <w:rPr>
                <w:color w:val="002060"/>
                <w:sz w:val="16"/>
                <w:szCs w:val="16"/>
                <w:lang w:val="ru-RU"/>
              </w:rPr>
              <w:t xml:space="preserve">Реестр рисков информационной безопасности обновлялся два раза в год и был детально проанализирован в рамках сертификации операций </w:t>
            </w:r>
            <w:r w:rsidRPr="00AA3175">
              <w:rPr>
                <w:color w:val="002060"/>
                <w:sz w:val="16"/>
                <w:szCs w:val="16"/>
              </w:rPr>
              <w:t>PCT</w:t>
            </w:r>
            <w:r w:rsidRPr="00FA0032">
              <w:rPr>
                <w:color w:val="002060"/>
                <w:sz w:val="16"/>
                <w:szCs w:val="16"/>
                <w:lang w:val="ru-RU"/>
              </w:rPr>
              <w:t xml:space="preserve"> по стандарту ИСО 27001. </w:t>
            </w:r>
          </w:p>
          <w:p w:rsidR="00FA0032" w:rsidRPr="00FA0032" w:rsidRDefault="00FA0032" w:rsidP="00C61544">
            <w:pPr>
              <w:ind w:leftChars="-11" w:left="-22"/>
              <w:rPr>
                <w:color w:val="002060"/>
                <w:sz w:val="16"/>
                <w:szCs w:val="16"/>
                <w:lang w:val="ru-RU"/>
              </w:rPr>
            </w:pPr>
          </w:p>
          <w:p w:rsidR="00FA0032" w:rsidRPr="00FA0032" w:rsidRDefault="00FA0032" w:rsidP="00C61544">
            <w:pPr>
              <w:ind w:leftChars="-11" w:left="-22"/>
              <w:rPr>
                <w:color w:val="002060"/>
                <w:sz w:val="16"/>
                <w:szCs w:val="16"/>
                <w:lang w:val="ru-RU"/>
              </w:rPr>
            </w:pPr>
            <w:r w:rsidRPr="00FA0032">
              <w:rPr>
                <w:color w:val="002060"/>
                <w:sz w:val="16"/>
                <w:szCs w:val="16"/>
                <w:lang w:val="ru-RU"/>
              </w:rPr>
              <w:t xml:space="preserve">Система </w:t>
            </w:r>
            <w:r w:rsidRPr="00AA3175">
              <w:rPr>
                <w:color w:val="002060"/>
                <w:sz w:val="16"/>
                <w:szCs w:val="16"/>
              </w:rPr>
              <w:t>PCT</w:t>
            </w:r>
            <w:r w:rsidRPr="00FA0032">
              <w:rPr>
                <w:color w:val="002060"/>
                <w:sz w:val="16"/>
                <w:szCs w:val="16"/>
                <w:lang w:val="ru-RU"/>
              </w:rPr>
              <w:t xml:space="preserve"> прошла сертификацию по стандарту ИСО 27001:2005 (октябрь 2013 г.)</w:t>
            </w:r>
          </w:p>
          <w:p w:rsidR="00FA0032" w:rsidRPr="00FA0032" w:rsidRDefault="00FA0032" w:rsidP="00C61544">
            <w:pPr>
              <w:ind w:leftChars="-11" w:left="-22"/>
              <w:rPr>
                <w:color w:val="002060"/>
                <w:sz w:val="16"/>
                <w:szCs w:val="16"/>
                <w:lang w:val="ru-RU"/>
              </w:rPr>
            </w:pPr>
          </w:p>
          <w:p w:rsidR="00FA0032" w:rsidRPr="00FA0032" w:rsidRDefault="00FA0032" w:rsidP="00C61544">
            <w:pPr>
              <w:ind w:leftChars="-11" w:left="-22"/>
              <w:rPr>
                <w:rFonts w:cs="Arial"/>
                <w:i/>
                <w:sz w:val="16"/>
                <w:szCs w:val="16"/>
                <w:lang w:val="ru-RU"/>
              </w:rPr>
            </w:pPr>
            <w:r w:rsidRPr="00FA0032">
              <w:rPr>
                <w:i/>
                <w:sz w:val="16"/>
                <w:szCs w:val="16"/>
                <w:lang w:val="ru-RU"/>
              </w:rPr>
              <w:t>Исходные базовые показатели ПиБ на 2014–2015 гг.:</w:t>
            </w:r>
            <w:r w:rsidRPr="00FA0032">
              <w:rPr>
                <w:color w:val="000000" w:themeColor="text1"/>
                <w:sz w:val="16"/>
                <w:szCs w:val="16"/>
                <w:lang w:val="ru-RU"/>
              </w:rPr>
              <w:t xml:space="preserve">  </w:t>
            </w:r>
          </w:p>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число незавершенных мероприятий по уменьшению риска по состоянию на начало двухлетнего периода; прохождение секцией РСТ сертификации по стандарту ИСО 27001</w:t>
            </w:r>
          </w:p>
        </w:tc>
        <w:tc>
          <w:tcPr>
            <w:tcW w:w="816" w:type="pct"/>
            <w:gridSpan w:val="2"/>
            <w:shd w:val="clear" w:color="auto" w:fill="auto"/>
            <w:tcMar>
              <w:top w:w="110" w:type="dxa"/>
            </w:tcMar>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 xml:space="preserve">Завершение 90% мероприятий, указанных в качестве базового показателя, в течение двухлетнего периода;  </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 xml:space="preserve">устранение 60% возникающих новых рисков в течение трех месяцев с момента выявления; сертификация подразделений организации по мере необходимости; </w:t>
            </w:r>
          </w:p>
          <w:p w:rsidR="00FA0032" w:rsidRPr="00FA0032" w:rsidRDefault="00FA0032" w:rsidP="00C61544">
            <w:pPr>
              <w:ind w:leftChars="-11" w:left="-22"/>
              <w:rPr>
                <w:rFonts w:cs="Arial"/>
                <w:color w:val="000000" w:themeColor="text1"/>
                <w:sz w:val="16"/>
                <w:szCs w:val="16"/>
                <w:lang w:val="ru-RU"/>
              </w:rPr>
            </w:pPr>
          </w:p>
          <w:p w:rsidR="00FA0032" w:rsidRPr="00FA0032" w:rsidRDefault="00FA0032" w:rsidP="00C61544">
            <w:pPr>
              <w:ind w:leftChars="-11" w:left="-22"/>
              <w:rPr>
                <w:rFonts w:cs="Arial"/>
                <w:color w:val="000000" w:themeColor="text1"/>
                <w:sz w:val="16"/>
                <w:szCs w:val="16"/>
                <w:lang w:val="ru-RU"/>
              </w:rPr>
            </w:pPr>
          </w:p>
          <w:p w:rsidR="00FA0032" w:rsidRPr="00FA0032" w:rsidRDefault="00FA0032" w:rsidP="00C61544">
            <w:pPr>
              <w:ind w:leftChars="-11" w:left="-22"/>
              <w:rPr>
                <w:rFonts w:cs="Arial"/>
                <w:color w:val="000000" w:themeColor="text1"/>
                <w:sz w:val="16"/>
                <w:szCs w:val="16"/>
                <w:lang w:val="ru-RU"/>
              </w:rPr>
            </w:pPr>
          </w:p>
          <w:p w:rsidR="00FA0032" w:rsidRPr="00FA0032" w:rsidRDefault="00FA0032" w:rsidP="00C61544">
            <w:pPr>
              <w:ind w:leftChars="-11" w:left="-22"/>
              <w:rPr>
                <w:rFonts w:cs="Arial"/>
                <w:color w:val="000000" w:themeColor="text1"/>
                <w:sz w:val="16"/>
                <w:szCs w:val="16"/>
                <w:lang w:val="ru-RU"/>
              </w:rPr>
            </w:pPr>
          </w:p>
          <w:p w:rsidR="00FA0032" w:rsidRPr="00FA0032" w:rsidRDefault="00FA0032" w:rsidP="00C61544">
            <w:pPr>
              <w:ind w:leftChars="-11" w:left="-22"/>
              <w:rPr>
                <w:rFonts w:cs="Arial"/>
                <w:color w:val="000000" w:themeColor="text1"/>
                <w:sz w:val="16"/>
                <w:szCs w:val="16"/>
                <w:lang w:val="ru-RU"/>
              </w:rPr>
            </w:pPr>
          </w:p>
          <w:p w:rsidR="00FA0032" w:rsidRPr="00FA0032" w:rsidRDefault="00FA0032" w:rsidP="00C61544">
            <w:pPr>
              <w:ind w:leftChars="-11" w:left="-22"/>
              <w:rPr>
                <w:rFonts w:cs="Arial"/>
                <w:color w:val="000000" w:themeColor="text1"/>
                <w:sz w:val="16"/>
                <w:szCs w:val="16"/>
                <w:lang w:val="ru-RU"/>
              </w:rPr>
            </w:pPr>
          </w:p>
          <w:p w:rsidR="00FA0032" w:rsidRPr="00FA0032" w:rsidRDefault="00FA0032" w:rsidP="00C61544">
            <w:pPr>
              <w:ind w:leftChars="-11" w:left="-22"/>
              <w:rPr>
                <w:rFonts w:cs="Arial"/>
                <w:color w:val="000000" w:themeColor="text1"/>
                <w:sz w:val="16"/>
                <w:szCs w:val="16"/>
                <w:lang w:val="ru-RU"/>
              </w:rPr>
            </w:pPr>
          </w:p>
          <w:p w:rsidR="00FA0032" w:rsidRPr="00AA3175" w:rsidRDefault="00FA0032" w:rsidP="00C61544">
            <w:pPr>
              <w:rPr>
                <w:rFonts w:cs="Arial"/>
                <w:color w:val="000000" w:themeColor="text1"/>
                <w:sz w:val="16"/>
                <w:szCs w:val="16"/>
              </w:rPr>
            </w:pPr>
            <w:r w:rsidRPr="00AA3175">
              <w:rPr>
                <w:color w:val="000000" w:themeColor="text1"/>
                <w:sz w:val="16"/>
                <w:szCs w:val="16"/>
              </w:rPr>
              <w:t>подтверждение сертификации PCT</w:t>
            </w:r>
          </w:p>
        </w:tc>
        <w:tc>
          <w:tcPr>
            <w:tcW w:w="1457" w:type="pct"/>
            <w:shd w:val="clear" w:color="auto" w:fill="FFFFFF"/>
            <w:tcMar>
              <w:top w:w="110" w:type="dxa"/>
            </w:tcMar>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 xml:space="preserve">К концу двухлетнего периода были устранены 100% оставшихся рисков, включенных в базовые показатели: </w:t>
            </w:r>
          </w:p>
          <w:p w:rsidR="00FA0032" w:rsidRPr="00FA0032" w:rsidRDefault="00FA0032" w:rsidP="00FA0032">
            <w:pPr>
              <w:pStyle w:val="ListParagraph"/>
              <w:numPr>
                <w:ilvl w:val="0"/>
                <w:numId w:val="50"/>
              </w:numPr>
              <w:rPr>
                <w:rFonts w:cs="Arial"/>
                <w:color w:val="000000" w:themeColor="text1"/>
                <w:sz w:val="16"/>
                <w:szCs w:val="16"/>
                <w:lang w:val="ru-RU"/>
              </w:rPr>
            </w:pPr>
            <w:r w:rsidRPr="00FA0032">
              <w:rPr>
                <w:color w:val="000000" w:themeColor="text1"/>
                <w:sz w:val="16"/>
                <w:szCs w:val="16"/>
                <w:lang w:val="ru-RU"/>
              </w:rPr>
              <w:t>2014</w:t>
            </w:r>
            <w:r>
              <w:rPr>
                <w:color w:val="000000" w:themeColor="text1"/>
                <w:sz w:val="16"/>
                <w:szCs w:val="16"/>
              </w:rPr>
              <w:t> </w:t>
            </w:r>
            <w:r w:rsidRPr="00FA0032">
              <w:rPr>
                <w:color w:val="000000" w:themeColor="text1"/>
                <w:sz w:val="16"/>
                <w:szCs w:val="16"/>
                <w:lang w:val="ru-RU"/>
              </w:rPr>
              <w:t>г.:  89% из 156</w:t>
            </w:r>
            <w:r>
              <w:rPr>
                <w:color w:val="000000" w:themeColor="text1"/>
                <w:sz w:val="16"/>
                <w:szCs w:val="16"/>
              </w:rPr>
              <w:t> </w:t>
            </w:r>
            <w:r w:rsidRPr="00FA0032">
              <w:rPr>
                <w:color w:val="000000" w:themeColor="text1"/>
                <w:sz w:val="16"/>
                <w:szCs w:val="16"/>
                <w:lang w:val="ru-RU"/>
              </w:rPr>
              <w:t>рисков, включенных в базовые показатели, устранены; 17</w:t>
            </w:r>
            <w:r>
              <w:rPr>
                <w:color w:val="000000" w:themeColor="text1"/>
                <w:sz w:val="16"/>
                <w:szCs w:val="16"/>
              </w:rPr>
              <w:t> </w:t>
            </w:r>
            <w:r w:rsidRPr="00FA0032">
              <w:rPr>
                <w:color w:val="000000" w:themeColor="text1"/>
                <w:sz w:val="16"/>
                <w:szCs w:val="16"/>
                <w:lang w:val="ru-RU"/>
              </w:rPr>
              <w:t>актуальны</w:t>
            </w:r>
          </w:p>
          <w:p w:rsidR="00FA0032" w:rsidRPr="00FA0032" w:rsidRDefault="00FA0032" w:rsidP="00C61544">
            <w:pPr>
              <w:pStyle w:val="ListParagraph"/>
              <w:ind w:left="533"/>
              <w:rPr>
                <w:rFonts w:cs="Arial"/>
                <w:color w:val="000000" w:themeColor="text1"/>
                <w:sz w:val="16"/>
                <w:szCs w:val="16"/>
                <w:lang w:val="ru-RU"/>
              </w:rPr>
            </w:pPr>
          </w:p>
          <w:p w:rsidR="00FA0032" w:rsidRPr="00FA0032" w:rsidRDefault="00FA0032" w:rsidP="00FA0032">
            <w:pPr>
              <w:pStyle w:val="ListParagraph"/>
              <w:numPr>
                <w:ilvl w:val="0"/>
                <w:numId w:val="50"/>
              </w:numPr>
              <w:rPr>
                <w:rFonts w:cs="Arial"/>
                <w:color w:val="000000" w:themeColor="text1"/>
                <w:sz w:val="16"/>
                <w:szCs w:val="16"/>
                <w:lang w:val="ru-RU"/>
              </w:rPr>
            </w:pPr>
            <w:r w:rsidRPr="00FA0032">
              <w:rPr>
                <w:color w:val="000000" w:themeColor="text1"/>
                <w:sz w:val="16"/>
                <w:szCs w:val="16"/>
                <w:lang w:val="ru-RU"/>
              </w:rPr>
              <w:t>2015</w:t>
            </w:r>
            <w:r w:rsidRPr="00AA3175">
              <w:rPr>
                <w:color w:val="000000" w:themeColor="text1"/>
                <w:sz w:val="16"/>
                <w:szCs w:val="16"/>
              </w:rPr>
              <w:t> </w:t>
            </w:r>
            <w:r w:rsidRPr="00FA0032">
              <w:rPr>
                <w:color w:val="000000" w:themeColor="text1"/>
                <w:sz w:val="16"/>
                <w:szCs w:val="16"/>
                <w:lang w:val="ru-RU"/>
              </w:rPr>
              <w:t>г.: 100% из 23 рисков устранены (включая 17 остававшихся рисков, включенных в базовые показатели)</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sz w:val="16"/>
                <w:szCs w:val="16"/>
                <w:lang w:val="ru-RU"/>
              </w:rPr>
            </w:pPr>
            <w:r w:rsidRPr="00FA0032">
              <w:rPr>
                <w:sz w:val="16"/>
                <w:szCs w:val="16"/>
                <w:lang w:val="ru-RU"/>
              </w:rPr>
              <w:t>В 2014–2015</w:t>
            </w:r>
            <w:r w:rsidRPr="00AA3175">
              <w:rPr>
                <w:sz w:val="16"/>
                <w:szCs w:val="16"/>
              </w:rPr>
              <w:t> </w:t>
            </w:r>
            <w:r w:rsidRPr="00FA0032">
              <w:rPr>
                <w:sz w:val="16"/>
                <w:szCs w:val="16"/>
                <w:lang w:val="ru-RU"/>
              </w:rPr>
              <w:t>гг. были выявлены 37 новых рисков, связанных с ИСО</w:t>
            </w:r>
            <w:r>
              <w:rPr>
                <w:sz w:val="16"/>
                <w:szCs w:val="16"/>
              </w:rPr>
              <w:t> </w:t>
            </w:r>
            <w:r w:rsidRPr="00FA0032">
              <w:rPr>
                <w:sz w:val="16"/>
                <w:szCs w:val="16"/>
                <w:lang w:val="ru-RU"/>
              </w:rPr>
              <w:t>27001, из которых 25 (67%) были устранены в течение трех месяцев с момента выявления.</w:t>
            </w:r>
          </w:p>
          <w:p w:rsidR="00FA0032" w:rsidRPr="00AA3175" w:rsidRDefault="00FA0032" w:rsidP="00FA0032">
            <w:pPr>
              <w:pStyle w:val="ListParagraph"/>
              <w:numPr>
                <w:ilvl w:val="0"/>
                <w:numId w:val="51"/>
              </w:numPr>
              <w:rPr>
                <w:rFonts w:cs="Arial"/>
                <w:sz w:val="16"/>
                <w:szCs w:val="16"/>
              </w:rPr>
            </w:pPr>
            <w:r w:rsidRPr="00AA3175">
              <w:rPr>
                <w:sz w:val="16"/>
                <w:szCs w:val="16"/>
              </w:rPr>
              <w:t>8 из 12 (66%) в 2014 г.</w:t>
            </w:r>
          </w:p>
          <w:p w:rsidR="00FA0032" w:rsidRPr="00AA3175" w:rsidRDefault="00FA0032" w:rsidP="00FA0032">
            <w:pPr>
              <w:pStyle w:val="ListParagraph"/>
              <w:numPr>
                <w:ilvl w:val="0"/>
                <w:numId w:val="51"/>
              </w:numPr>
              <w:rPr>
                <w:rFonts w:cs="Arial"/>
                <w:sz w:val="16"/>
                <w:szCs w:val="16"/>
              </w:rPr>
            </w:pPr>
            <w:r w:rsidRPr="00AA3175">
              <w:rPr>
                <w:sz w:val="16"/>
                <w:szCs w:val="16"/>
              </w:rPr>
              <w:t>17 из 25 (68%) в 2015 г.</w:t>
            </w:r>
          </w:p>
          <w:p w:rsidR="00FA0032" w:rsidRPr="00AA3175" w:rsidRDefault="00FA0032" w:rsidP="00C61544">
            <w:pPr>
              <w:ind w:left="173"/>
              <w:rPr>
                <w:rFonts w:cs="Arial"/>
                <w:color w:val="000000" w:themeColor="text1"/>
                <w:sz w:val="16"/>
                <w:szCs w:val="16"/>
              </w:rPr>
            </w:pPr>
          </w:p>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 xml:space="preserve">Реестр рисков информационной безопасности обновлялся два раза в год; он был расширен, и в рамках процесса сертификации в него были включены информационные риски, связанные с Мадридской и Гаагской системами. </w:t>
            </w:r>
          </w:p>
          <w:p w:rsidR="00FA0032" w:rsidRPr="00FA0032" w:rsidRDefault="00FA0032" w:rsidP="00C61544">
            <w:pPr>
              <w:rPr>
                <w:rFonts w:cs="Arial"/>
                <w:color w:val="000000" w:themeColor="text1"/>
                <w:sz w:val="16"/>
                <w:szCs w:val="16"/>
                <w:lang w:val="ru-RU"/>
              </w:rPr>
            </w:pPr>
          </w:p>
          <w:p w:rsidR="00FA0032" w:rsidRPr="00FA0032" w:rsidRDefault="00FA0032" w:rsidP="00C61544">
            <w:pPr>
              <w:rPr>
                <w:color w:val="000000" w:themeColor="text1"/>
                <w:sz w:val="16"/>
                <w:szCs w:val="16"/>
                <w:lang w:val="ru-RU"/>
              </w:rPr>
            </w:pPr>
            <w:r w:rsidRPr="00FA0032">
              <w:rPr>
                <w:color w:val="000000" w:themeColor="text1"/>
                <w:sz w:val="16"/>
                <w:szCs w:val="16"/>
                <w:lang w:val="ru-RU"/>
              </w:rPr>
              <w:t xml:space="preserve">Успешно завершен переход системы </w:t>
            </w:r>
            <w:r w:rsidRPr="00AA3175">
              <w:rPr>
                <w:color w:val="000000" w:themeColor="text1"/>
                <w:sz w:val="16"/>
                <w:szCs w:val="16"/>
              </w:rPr>
              <w:t>PCT</w:t>
            </w:r>
            <w:r w:rsidRPr="00FA0032">
              <w:rPr>
                <w:color w:val="000000" w:themeColor="text1"/>
                <w:sz w:val="16"/>
                <w:szCs w:val="16"/>
                <w:lang w:val="ru-RU"/>
              </w:rPr>
              <w:t xml:space="preserve"> со стандарта ИСО 27001:2005 на стандарт ИСО 27001:2013.  В октябре 2015 г. сертификация была обновлена, и предметная область была расширена: в нее были включены Мадридская и Гаагская системы. </w:t>
            </w:r>
          </w:p>
        </w:tc>
        <w:tc>
          <w:tcPr>
            <w:tcW w:w="614" w:type="pct"/>
            <w:shd w:val="clear" w:color="auto" w:fill="auto"/>
            <w:tcMar>
              <w:top w:w="110" w:type="dxa"/>
            </w:tcMar>
          </w:tcPr>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jc w:val="center"/>
              <w:rPr>
                <w:rFonts w:cs="Arial"/>
                <w:bCs/>
                <w:color w:val="000000" w:themeColor="text1"/>
                <w:sz w:val="16"/>
                <w:szCs w:val="16"/>
              </w:rPr>
            </w:pPr>
          </w:p>
          <w:p w:rsidR="00FA0032" w:rsidRPr="00AA3175" w:rsidRDefault="00FA0032" w:rsidP="00C61544">
            <w:pPr>
              <w:keepNext/>
              <w:keepLines/>
              <w:jc w:val="center"/>
              <w:rPr>
                <w:rFonts w:cs="Arial"/>
                <w:bCs/>
                <w:color w:val="000000" w:themeColor="text1"/>
                <w:sz w:val="16"/>
                <w:szCs w:val="16"/>
              </w:rPr>
            </w:pPr>
          </w:p>
          <w:p w:rsidR="00FA0032" w:rsidRPr="00AA3175" w:rsidRDefault="00FA0032" w:rsidP="00C61544">
            <w:pPr>
              <w:keepNext/>
              <w:keepLines/>
              <w:jc w:val="center"/>
              <w:rPr>
                <w:rFonts w:cs="Arial"/>
                <w:bCs/>
                <w:color w:val="000000" w:themeColor="text1"/>
                <w:sz w:val="16"/>
                <w:szCs w:val="16"/>
              </w:rPr>
            </w:pPr>
          </w:p>
          <w:p w:rsidR="00FA0032" w:rsidRPr="00AA3175" w:rsidRDefault="00FA0032" w:rsidP="00C61544">
            <w:pPr>
              <w:keepNext/>
              <w:keepLines/>
              <w:jc w:val="center"/>
              <w:rPr>
                <w:rFonts w:cs="Arial"/>
                <w:bCs/>
                <w:color w:val="000000" w:themeColor="text1"/>
                <w:sz w:val="16"/>
                <w:szCs w:val="16"/>
              </w:rPr>
            </w:pPr>
          </w:p>
          <w:p w:rsidR="00FA0032" w:rsidRPr="00AA3175" w:rsidRDefault="00FA0032" w:rsidP="00C61544">
            <w:pPr>
              <w:keepNext/>
              <w:keepLines/>
              <w:jc w:val="center"/>
              <w:rPr>
                <w:rFonts w:cs="Arial"/>
                <w:bCs/>
                <w:color w:val="000000" w:themeColor="text1"/>
                <w:sz w:val="16"/>
                <w:szCs w:val="16"/>
              </w:rPr>
            </w:pPr>
          </w:p>
          <w:p w:rsidR="00FA0032" w:rsidRPr="00AA3175" w:rsidRDefault="00FA0032" w:rsidP="00C61544">
            <w:pPr>
              <w:keepNext/>
              <w:keepLines/>
              <w:jc w:val="center"/>
              <w:rPr>
                <w:rFonts w:cs="Arial"/>
                <w:bCs/>
                <w:color w:val="000000" w:themeColor="text1"/>
                <w:sz w:val="16"/>
                <w:szCs w:val="16"/>
              </w:rPr>
            </w:pPr>
          </w:p>
          <w:p w:rsidR="00FA0032" w:rsidRPr="00AA3175" w:rsidRDefault="00FA0032" w:rsidP="00C61544">
            <w:pPr>
              <w:keepNext/>
              <w:keepLines/>
              <w:jc w:val="center"/>
              <w:rPr>
                <w:rFonts w:cs="Arial"/>
                <w:bCs/>
                <w:color w:val="000000" w:themeColor="text1"/>
                <w:sz w:val="16"/>
                <w:szCs w:val="16"/>
              </w:rPr>
            </w:pPr>
          </w:p>
          <w:p w:rsidR="00FA0032" w:rsidRPr="00AA3175" w:rsidRDefault="00FA0032" w:rsidP="00C61544">
            <w:pPr>
              <w:keepNext/>
              <w:keepLines/>
              <w:jc w:val="center"/>
              <w:rPr>
                <w:rFonts w:cs="Arial"/>
                <w:bCs/>
                <w:color w:val="000000" w:themeColor="text1"/>
                <w:sz w:val="16"/>
                <w:szCs w:val="16"/>
              </w:rPr>
            </w:pPr>
          </w:p>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p>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jc w:val="center"/>
              <w:rPr>
                <w:rFonts w:cs="Arial"/>
                <w:bCs/>
                <w:color w:val="000000" w:themeColor="text1"/>
                <w:sz w:val="16"/>
                <w:szCs w:val="16"/>
              </w:rPr>
            </w:pPr>
          </w:p>
        </w:tc>
      </w:tr>
      <w:tr w:rsidR="00FA0032" w:rsidRPr="00AA3175" w:rsidTr="00C61544">
        <w:trPr>
          <w:cantSplit/>
        </w:trPr>
        <w:tc>
          <w:tcPr>
            <w:tcW w:w="1118" w:type="pct"/>
            <w:gridSpan w:val="2"/>
            <w:tcBorders>
              <w:bottom w:val="single" w:sz="4" w:space="0" w:color="auto"/>
            </w:tcBorders>
            <w:shd w:val="clear" w:color="auto" w:fill="auto"/>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 xml:space="preserve">Эффективность контроля информационной безопасности (внутренних и внешних компонентов) </w:t>
            </w:r>
          </w:p>
        </w:tc>
        <w:tc>
          <w:tcPr>
            <w:tcW w:w="995" w:type="pct"/>
            <w:tcBorders>
              <w:bottom w:val="single" w:sz="4" w:space="0" w:color="auto"/>
            </w:tcBorders>
            <w:shd w:val="clear" w:color="auto" w:fill="auto"/>
          </w:tcPr>
          <w:p w:rsidR="00FA0032" w:rsidRPr="00FA0032" w:rsidRDefault="00FA0032" w:rsidP="00C61544">
            <w:pPr>
              <w:ind w:leftChars="-11" w:left="-22"/>
              <w:rPr>
                <w:rFonts w:cs="Arial"/>
                <w:color w:val="000000" w:themeColor="text1"/>
                <w:sz w:val="16"/>
                <w:szCs w:val="16"/>
                <w:lang w:val="ru-RU"/>
              </w:rPr>
            </w:pPr>
            <w:r w:rsidRPr="00FA0032">
              <w:rPr>
                <w:color w:val="000000" w:themeColor="text1"/>
                <w:sz w:val="16"/>
                <w:szCs w:val="16"/>
                <w:lang w:val="ru-RU"/>
              </w:rPr>
              <w:t>Не более пяти инцидентов в год</w:t>
            </w:r>
          </w:p>
        </w:tc>
        <w:tc>
          <w:tcPr>
            <w:tcW w:w="816" w:type="pct"/>
            <w:gridSpan w:val="2"/>
            <w:tcBorders>
              <w:bottom w:val="single" w:sz="4" w:space="0" w:color="auto"/>
            </w:tcBorders>
            <w:shd w:val="clear" w:color="auto" w:fill="auto"/>
            <w:tcMar>
              <w:top w:w="110" w:type="dxa"/>
            </w:tcMar>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 xml:space="preserve">Не более двух инцидентов в год </w:t>
            </w:r>
          </w:p>
        </w:tc>
        <w:tc>
          <w:tcPr>
            <w:tcW w:w="1457" w:type="pct"/>
            <w:tcBorders>
              <w:bottom w:val="single" w:sz="4" w:space="0" w:color="auto"/>
            </w:tcBorders>
            <w:shd w:val="clear" w:color="auto" w:fill="FFFFFF"/>
            <w:tcMar>
              <w:top w:w="110" w:type="dxa"/>
            </w:tcMar>
          </w:tcPr>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 xml:space="preserve">В двухлетний период зафиксирован один крупный инцидент в год </w:t>
            </w:r>
          </w:p>
          <w:p w:rsidR="00FA0032" w:rsidRPr="00FA0032" w:rsidRDefault="00FA0032" w:rsidP="00C61544">
            <w:pPr>
              <w:rPr>
                <w:rFonts w:cs="Arial"/>
                <w:color w:val="000000" w:themeColor="text1"/>
                <w:sz w:val="16"/>
                <w:szCs w:val="16"/>
                <w:lang w:val="ru-RU"/>
              </w:rPr>
            </w:pPr>
          </w:p>
          <w:p w:rsidR="00FA0032" w:rsidRPr="00FA0032" w:rsidRDefault="00FA0032" w:rsidP="00C61544">
            <w:pPr>
              <w:rPr>
                <w:rFonts w:cs="Arial"/>
                <w:color w:val="000000" w:themeColor="text1"/>
                <w:sz w:val="16"/>
                <w:szCs w:val="16"/>
                <w:lang w:val="ru-RU"/>
              </w:rPr>
            </w:pPr>
            <w:r w:rsidRPr="00FA0032">
              <w:rPr>
                <w:color w:val="000000" w:themeColor="text1"/>
                <w:sz w:val="16"/>
                <w:szCs w:val="16"/>
                <w:lang w:val="ru-RU"/>
              </w:rPr>
              <w:t>Регулирование и устранение инцидентов осуществлялось в приемлемые сроки и в соответствии с Политикой управления инцидентами в сфере информационной безопасности.</w:t>
            </w:r>
          </w:p>
        </w:tc>
        <w:tc>
          <w:tcPr>
            <w:tcW w:w="614" w:type="pct"/>
            <w:tcBorders>
              <w:bottom w:val="single" w:sz="4" w:space="0" w:color="auto"/>
            </w:tcBorders>
            <w:shd w:val="clear" w:color="auto" w:fill="auto"/>
            <w:tcMar>
              <w:top w:w="110" w:type="dxa"/>
            </w:tcMar>
          </w:tcPr>
          <w:p w:rsidR="00FA0032" w:rsidRPr="00AA3175" w:rsidRDefault="00FA0032" w:rsidP="00C61544">
            <w:pPr>
              <w:keepNext/>
              <w:keepLines/>
              <w:jc w:val="center"/>
              <w:rPr>
                <w:rFonts w:cs="Arial"/>
                <w:b/>
                <w:bCs/>
                <w:color w:val="00B050"/>
                <w:sz w:val="16"/>
                <w:szCs w:val="16"/>
              </w:rPr>
            </w:pPr>
            <w:r w:rsidRPr="00AA3175">
              <w:rPr>
                <w:b/>
                <w:color w:val="00B050"/>
                <w:sz w:val="16"/>
                <w:szCs w:val="16"/>
              </w:rPr>
              <w:t>Выполнено</w:t>
            </w:r>
          </w:p>
          <w:p w:rsidR="00FA0032" w:rsidRPr="00AA3175" w:rsidRDefault="00FA0032" w:rsidP="00C61544">
            <w:pPr>
              <w:keepNext/>
              <w:keepLines/>
              <w:jc w:val="center"/>
              <w:rPr>
                <w:rFonts w:cs="Arial"/>
                <w:bCs/>
                <w:color w:val="000000" w:themeColor="text1"/>
                <w:sz w:val="16"/>
                <w:szCs w:val="16"/>
              </w:rPr>
            </w:pPr>
          </w:p>
        </w:tc>
      </w:tr>
    </w:tbl>
    <w:p w:rsidR="00FA0032" w:rsidRDefault="00FA0032" w:rsidP="00FA0032">
      <w:pPr>
        <w:rPr>
          <w:bCs/>
          <w:sz w:val="22"/>
          <w:szCs w:val="22"/>
        </w:rPr>
      </w:pPr>
    </w:p>
    <w:p w:rsidR="00FA0032" w:rsidRDefault="00FA0032" w:rsidP="00FA0032">
      <w:pPr>
        <w:rPr>
          <w:bCs/>
          <w:sz w:val="22"/>
          <w:szCs w:val="22"/>
        </w:rPr>
      </w:pPr>
    </w:p>
    <w:p w:rsidR="00FA0032" w:rsidRPr="00FA0032" w:rsidRDefault="00FA0032" w:rsidP="00FA0032">
      <w:pPr>
        <w:rPr>
          <w:rFonts w:cs="Arial"/>
          <w:color w:val="000000"/>
          <w:szCs w:val="22"/>
          <w:lang w:val="ru-RU"/>
        </w:rPr>
      </w:pPr>
      <w:r w:rsidRPr="00FA0032">
        <w:rPr>
          <w:color w:val="000000"/>
          <w:lang w:val="ru-RU"/>
        </w:rPr>
        <w:t>ОТЧЕТ О РИСКАХ В ДВУХЛЕТНИЙ ПЕРИОД</w:t>
      </w:r>
    </w:p>
    <w:p w:rsidR="00FA0032" w:rsidRPr="00FA0032" w:rsidRDefault="00FA0032" w:rsidP="00FA0032">
      <w:pPr>
        <w:rPr>
          <w:lang w:val="ru-RU"/>
        </w:rPr>
      </w:pPr>
    </w:p>
    <w:tbl>
      <w:tblPr>
        <w:tblW w:w="9356"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74"/>
        <w:gridCol w:w="2063"/>
        <w:gridCol w:w="2551"/>
        <w:gridCol w:w="2268"/>
      </w:tblGrid>
      <w:tr w:rsidR="00FA0032" w:rsidRPr="00AA3175" w:rsidTr="00C61544">
        <w:trPr>
          <w:trHeight w:val="380"/>
          <w:tblHeader/>
        </w:trPr>
        <w:tc>
          <w:tcPr>
            <w:tcW w:w="2474" w:type="dxa"/>
            <w:tcBorders>
              <w:top w:val="single" w:sz="4" w:space="0" w:color="auto"/>
              <w:bottom w:val="single" w:sz="4" w:space="0" w:color="auto"/>
            </w:tcBorders>
            <w:shd w:val="clear" w:color="auto" w:fill="C6D9F1" w:themeFill="text2" w:themeFillTint="33"/>
            <w:tcMar>
              <w:top w:w="113" w:type="dxa"/>
              <w:bottom w:w="85" w:type="dxa"/>
            </w:tcMar>
            <w:vAlign w:val="center"/>
          </w:tcPr>
          <w:p w:rsidR="00FA0032" w:rsidRPr="00FA0032" w:rsidRDefault="00FA0032" w:rsidP="00C61544">
            <w:pPr>
              <w:autoSpaceDE w:val="0"/>
              <w:autoSpaceDN w:val="0"/>
              <w:adjustRightInd w:val="0"/>
              <w:ind w:right="-59"/>
              <w:jc w:val="center"/>
              <w:rPr>
                <w:b/>
                <w:iCs/>
                <w:sz w:val="18"/>
                <w:szCs w:val="16"/>
                <w:lang w:val="ru-RU"/>
              </w:rPr>
            </w:pPr>
            <w:r w:rsidRPr="00FA0032">
              <w:rPr>
                <w:b/>
                <w:sz w:val="18"/>
                <w:szCs w:val="16"/>
                <w:lang w:val="ru-RU"/>
              </w:rPr>
              <w:t>Риск (риски) того, что результаты программы не будут достигнуты</w:t>
            </w:r>
          </w:p>
        </w:tc>
        <w:tc>
          <w:tcPr>
            <w:tcW w:w="2063" w:type="dxa"/>
            <w:tcBorders>
              <w:top w:val="single" w:sz="4" w:space="0" w:color="auto"/>
              <w:bottom w:val="single" w:sz="4" w:space="0" w:color="auto"/>
            </w:tcBorders>
            <w:shd w:val="clear" w:color="auto" w:fill="C6D9F1" w:themeFill="text2" w:themeFillTint="33"/>
            <w:tcMar>
              <w:top w:w="113" w:type="dxa"/>
              <w:bottom w:w="85" w:type="dxa"/>
            </w:tcMar>
            <w:vAlign w:val="center"/>
          </w:tcPr>
          <w:p w:rsidR="00FA0032" w:rsidRPr="00FA0032" w:rsidRDefault="00FA0032" w:rsidP="00C61544">
            <w:pPr>
              <w:autoSpaceDE w:val="0"/>
              <w:autoSpaceDN w:val="0"/>
              <w:adjustRightInd w:val="0"/>
              <w:ind w:right="-59"/>
              <w:jc w:val="center"/>
              <w:rPr>
                <w:b/>
                <w:iCs/>
                <w:sz w:val="18"/>
                <w:szCs w:val="16"/>
                <w:lang w:val="ru-RU"/>
              </w:rPr>
            </w:pPr>
            <w:r w:rsidRPr="00FA0032">
              <w:rPr>
                <w:b/>
                <w:sz w:val="18"/>
                <w:szCs w:val="16"/>
                <w:lang w:val="ru-RU"/>
              </w:rPr>
              <w:t xml:space="preserve">Действующие или разрабатываемые планы по снижению рисков </w:t>
            </w:r>
          </w:p>
        </w:tc>
        <w:tc>
          <w:tcPr>
            <w:tcW w:w="2551" w:type="dxa"/>
            <w:tcBorders>
              <w:top w:val="single" w:sz="4" w:space="0" w:color="auto"/>
              <w:bottom w:val="single" w:sz="4" w:space="0" w:color="auto"/>
            </w:tcBorders>
            <w:shd w:val="clear" w:color="auto" w:fill="C6D9F1" w:themeFill="text2" w:themeFillTint="33"/>
          </w:tcPr>
          <w:p w:rsidR="00FA0032" w:rsidRPr="00FA0032" w:rsidRDefault="00FA0032" w:rsidP="00C61544">
            <w:pPr>
              <w:jc w:val="center"/>
              <w:rPr>
                <w:b/>
                <w:bCs/>
                <w:sz w:val="18"/>
                <w:szCs w:val="16"/>
                <w:lang w:val="ru-RU"/>
              </w:rPr>
            </w:pPr>
            <w:r w:rsidRPr="00FA0032">
              <w:rPr>
                <w:b/>
                <w:sz w:val="18"/>
                <w:szCs w:val="16"/>
                <w:lang w:val="ru-RU"/>
              </w:rPr>
              <w:t>Развитие риска (рисков) и стратегий его (их) снижения в двухлетний период</w:t>
            </w:r>
          </w:p>
        </w:tc>
        <w:tc>
          <w:tcPr>
            <w:tcW w:w="2268" w:type="dxa"/>
            <w:tcBorders>
              <w:top w:val="single" w:sz="4" w:space="0" w:color="auto"/>
              <w:bottom w:val="single" w:sz="4" w:space="0" w:color="auto"/>
            </w:tcBorders>
            <w:shd w:val="clear" w:color="auto" w:fill="C6D9F1" w:themeFill="text2" w:themeFillTint="33"/>
          </w:tcPr>
          <w:p w:rsidR="00FA0032" w:rsidRPr="00AA3175" w:rsidRDefault="00FA0032" w:rsidP="00C61544">
            <w:pPr>
              <w:jc w:val="center"/>
              <w:rPr>
                <w:b/>
                <w:bCs/>
                <w:sz w:val="18"/>
                <w:szCs w:val="16"/>
              </w:rPr>
            </w:pPr>
            <w:r>
              <w:rPr>
                <w:b/>
                <w:sz w:val="18"/>
                <w:szCs w:val="16"/>
              </w:rPr>
              <w:t xml:space="preserve">Влияние на </w:t>
            </w:r>
            <w:r w:rsidRPr="00AA3175">
              <w:rPr>
                <w:b/>
                <w:bCs/>
                <w:sz w:val="18"/>
                <w:szCs w:val="16"/>
              </w:rPr>
              <w:br/>
            </w:r>
            <w:r>
              <w:rPr>
                <w:b/>
                <w:sz w:val="18"/>
                <w:szCs w:val="16"/>
              </w:rPr>
              <w:t xml:space="preserve">реализацию </w:t>
            </w:r>
            <w:r w:rsidRPr="00AA3175">
              <w:rPr>
                <w:b/>
                <w:bCs/>
                <w:sz w:val="18"/>
                <w:szCs w:val="16"/>
              </w:rPr>
              <w:br/>
            </w:r>
            <w:r w:rsidRPr="00AA3175">
              <w:rPr>
                <w:b/>
                <w:sz w:val="18"/>
                <w:szCs w:val="16"/>
              </w:rPr>
              <w:t>программы</w:t>
            </w:r>
          </w:p>
        </w:tc>
      </w:tr>
      <w:tr w:rsidR="00FA0032" w:rsidRPr="005C6ABD" w:rsidTr="00C61544">
        <w:trPr>
          <w:trHeight w:val="985"/>
        </w:trPr>
        <w:tc>
          <w:tcPr>
            <w:tcW w:w="2474" w:type="dxa"/>
            <w:tcBorders>
              <w:top w:val="single" w:sz="4" w:space="0" w:color="auto"/>
            </w:tcBorders>
            <w:shd w:val="clear" w:color="auto" w:fill="auto"/>
            <w:tcMar>
              <w:top w:w="113" w:type="dxa"/>
              <w:bottom w:w="85" w:type="dxa"/>
            </w:tcMar>
          </w:tcPr>
          <w:p w:rsidR="00FA0032" w:rsidRPr="00AA3175" w:rsidRDefault="00FA0032" w:rsidP="00C61544">
            <w:pPr>
              <w:autoSpaceDE w:val="0"/>
              <w:autoSpaceDN w:val="0"/>
              <w:adjustRightInd w:val="0"/>
              <w:ind w:right="-59"/>
              <w:rPr>
                <w:sz w:val="16"/>
                <w:szCs w:val="16"/>
              </w:rPr>
            </w:pPr>
            <w:r w:rsidRPr="00FA0032">
              <w:rPr>
                <w:sz w:val="16"/>
                <w:szCs w:val="16"/>
                <w:lang w:val="ru-RU"/>
              </w:rPr>
              <w:t xml:space="preserve">Количество прерываний связи в системе РСТ и связанных с ней информационных системах достигает неприемлемого уровня, в результате чего возникают проблемы с получением заявок РСТ и их последующей обработкой и публикацией.  </w:t>
            </w:r>
            <w:r w:rsidRPr="00AA3175">
              <w:rPr>
                <w:sz w:val="16"/>
                <w:szCs w:val="16"/>
              </w:rPr>
              <w:t>Такая ситуация отрицательно сказывается на репутации ВОИС.</w:t>
            </w:r>
          </w:p>
        </w:tc>
        <w:tc>
          <w:tcPr>
            <w:tcW w:w="2063" w:type="dxa"/>
            <w:tcBorders>
              <w:top w:val="single" w:sz="4" w:space="0" w:color="auto"/>
            </w:tcBorders>
            <w:shd w:val="clear" w:color="auto" w:fill="auto"/>
            <w:tcMar>
              <w:top w:w="113" w:type="dxa"/>
              <w:bottom w:w="85" w:type="dxa"/>
            </w:tcMar>
          </w:tcPr>
          <w:p w:rsidR="00FA0032" w:rsidRPr="00FA0032" w:rsidRDefault="00FA0032" w:rsidP="00C61544">
            <w:pPr>
              <w:autoSpaceDE w:val="0"/>
              <w:autoSpaceDN w:val="0"/>
              <w:adjustRightInd w:val="0"/>
              <w:ind w:right="-59"/>
              <w:rPr>
                <w:sz w:val="16"/>
                <w:szCs w:val="16"/>
                <w:lang w:val="ru-RU"/>
              </w:rPr>
            </w:pPr>
            <w:r w:rsidRPr="00FA0032">
              <w:rPr>
                <w:sz w:val="16"/>
                <w:szCs w:val="16"/>
                <w:lang w:val="ru-RU"/>
              </w:rPr>
              <w:t>Создание резервной инфраструктуры на удаленных объектах; дальнейшее развитие и доработка плана обеспечения непрерывного функционирования Организации</w:t>
            </w:r>
          </w:p>
        </w:tc>
        <w:tc>
          <w:tcPr>
            <w:tcW w:w="2551" w:type="dxa"/>
            <w:tcBorders>
              <w:top w:val="single" w:sz="4" w:space="0" w:color="auto"/>
            </w:tcBorders>
          </w:tcPr>
          <w:p w:rsidR="00FA0032" w:rsidRPr="00FA0032" w:rsidRDefault="00FA0032" w:rsidP="00C61544">
            <w:pPr>
              <w:autoSpaceDE w:val="0"/>
              <w:autoSpaceDN w:val="0"/>
              <w:adjustRightInd w:val="0"/>
              <w:ind w:right="-59"/>
              <w:rPr>
                <w:sz w:val="16"/>
                <w:szCs w:val="16"/>
                <w:lang w:val="ru-RU"/>
              </w:rPr>
            </w:pPr>
            <w:r w:rsidRPr="00FA0032">
              <w:rPr>
                <w:color w:val="000000" w:themeColor="text1"/>
                <w:sz w:val="16"/>
                <w:szCs w:val="16"/>
                <w:lang w:val="ru-RU"/>
              </w:rPr>
              <w:t xml:space="preserve">В двух точках была создана резервная ИКТ-инфраструктура, что позволяет </w:t>
            </w:r>
            <w:r w:rsidRPr="00AA3175">
              <w:rPr>
                <w:color w:val="000000" w:themeColor="text1"/>
                <w:sz w:val="16"/>
                <w:szCs w:val="16"/>
              </w:rPr>
              <w:t>PCT</w:t>
            </w:r>
            <w:r w:rsidRPr="00FA0032">
              <w:rPr>
                <w:color w:val="000000" w:themeColor="text1"/>
                <w:sz w:val="16"/>
                <w:szCs w:val="16"/>
                <w:lang w:val="ru-RU"/>
              </w:rPr>
              <w:t xml:space="preserve"> продолжать свою деятельность даже в случае возникновения ситуации негативного воздействия на основные здания и центр данных ВОИС.</w:t>
            </w:r>
          </w:p>
        </w:tc>
        <w:tc>
          <w:tcPr>
            <w:tcW w:w="2268" w:type="dxa"/>
            <w:tcBorders>
              <w:top w:val="single" w:sz="4" w:space="0" w:color="auto"/>
            </w:tcBorders>
          </w:tcPr>
          <w:p w:rsidR="00FA0032" w:rsidRPr="00FA0032" w:rsidRDefault="00FA0032" w:rsidP="00C61544">
            <w:pPr>
              <w:autoSpaceDE w:val="0"/>
              <w:autoSpaceDN w:val="0"/>
              <w:adjustRightInd w:val="0"/>
              <w:ind w:right="-59"/>
              <w:rPr>
                <w:sz w:val="16"/>
                <w:szCs w:val="16"/>
                <w:lang w:val="ru-RU"/>
              </w:rPr>
            </w:pPr>
            <w:r w:rsidRPr="00FA0032">
              <w:rPr>
                <w:sz w:val="16"/>
                <w:szCs w:val="16"/>
                <w:lang w:val="ru-RU"/>
              </w:rPr>
              <w:t>Этот риск и его развитие не оказали существенного влияния на реализацию программы в 2014–2015 гг.</w:t>
            </w:r>
          </w:p>
        </w:tc>
      </w:tr>
      <w:tr w:rsidR="00FA0032" w:rsidRPr="005C6ABD" w:rsidTr="00C61544">
        <w:trPr>
          <w:trHeight w:val="1060"/>
        </w:trPr>
        <w:tc>
          <w:tcPr>
            <w:tcW w:w="2474" w:type="dxa"/>
            <w:shd w:val="clear" w:color="auto" w:fill="auto"/>
            <w:tcMar>
              <w:top w:w="113" w:type="dxa"/>
              <w:bottom w:w="85" w:type="dxa"/>
            </w:tcMar>
          </w:tcPr>
          <w:p w:rsidR="00FA0032" w:rsidRPr="00AA3175" w:rsidRDefault="00FA0032" w:rsidP="00C61544">
            <w:pPr>
              <w:autoSpaceDE w:val="0"/>
              <w:autoSpaceDN w:val="0"/>
              <w:adjustRightInd w:val="0"/>
              <w:ind w:right="-59"/>
              <w:rPr>
                <w:sz w:val="16"/>
                <w:szCs w:val="16"/>
              </w:rPr>
            </w:pPr>
            <w:r w:rsidRPr="00FA0032">
              <w:rPr>
                <w:sz w:val="16"/>
                <w:szCs w:val="16"/>
                <w:lang w:val="ru-RU"/>
              </w:rPr>
              <w:t xml:space="preserve">В результате кибератак на информационные системы ВОИС нарушается их безопасность и возникает риск утечки конфиденциальной информации по злому умыслу или случайности.  </w:t>
            </w:r>
            <w:r w:rsidRPr="00AA3175">
              <w:rPr>
                <w:sz w:val="16"/>
                <w:szCs w:val="16"/>
              </w:rPr>
              <w:t>Подобные события серьезно повлияют на репутацию и работу ВОИС.</w:t>
            </w:r>
          </w:p>
        </w:tc>
        <w:tc>
          <w:tcPr>
            <w:tcW w:w="2063" w:type="dxa"/>
            <w:shd w:val="clear" w:color="auto" w:fill="auto"/>
            <w:tcMar>
              <w:top w:w="113" w:type="dxa"/>
              <w:bottom w:w="85" w:type="dxa"/>
            </w:tcMar>
          </w:tcPr>
          <w:p w:rsidR="00FA0032" w:rsidRPr="00AA3175" w:rsidRDefault="00FA0032" w:rsidP="00C61544">
            <w:pPr>
              <w:autoSpaceDE w:val="0"/>
              <w:autoSpaceDN w:val="0"/>
              <w:adjustRightInd w:val="0"/>
              <w:ind w:right="-59"/>
              <w:rPr>
                <w:sz w:val="16"/>
                <w:szCs w:val="16"/>
              </w:rPr>
            </w:pPr>
            <w:r w:rsidRPr="00FA0032">
              <w:rPr>
                <w:sz w:val="16"/>
                <w:szCs w:val="16"/>
                <w:lang w:val="ru-RU"/>
              </w:rPr>
              <w:t xml:space="preserve">Разделение веб-контента ВОИС и приложений исходя из различий в требованиях конфиденциальности и предполагаемого использования; создание отдельной инфраструктуры и разработка отдельных мер безопасности.  </w:t>
            </w:r>
            <w:r w:rsidRPr="00AA3175">
              <w:rPr>
                <w:sz w:val="16"/>
                <w:szCs w:val="16"/>
              </w:rPr>
              <w:t>Активная работа подразделения по безопасности ИТ.</w:t>
            </w:r>
          </w:p>
        </w:tc>
        <w:tc>
          <w:tcPr>
            <w:tcW w:w="2551" w:type="dxa"/>
          </w:tcPr>
          <w:p w:rsidR="00FA0032" w:rsidRPr="00FA0032" w:rsidRDefault="00FA0032" w:rsidP="00C61544">
            <w:pPr>
              <w:autoSpaceDE w:val="0"/>
              <w:autoSpaceDN w:val="0"/>
              <w:adjustRightInd w:val="0"/>
              <w:ind w:right="-59"/>
              <w:rPr>
                <w:color w:val="000000" w:themeColor="text1"/>
                <w:sz w:val="16"/>
                <w:szCs w:val="16"/>
                <w:lang w:val="ru-RU"/>
              </w:rPr>
            </w:pPr>
            <w:r w:rsidRPr="00FA0032">
              <w:rPr>
                <w:color w:val="000000" w:themeColor="text1"/>
                <w:sz w:val="16"/>
                <w:szCs w:val="16"/>
                <w:lang w:val="ru-RU"/>
              </w:rPr>
              <w:t>В отношении ВОИС продолжали проводиться случайные и целевые кибератаки, источником которых были различные акторы, стремящиеся украсть хранящуюся в ВОИС информацию.</w:t>
            </w:r>
          </w:p>
          <w:p w:rsidR="00FA0032" w:rsidRPr="00FA0032" w:rsidRDefault="00FA0032" w:rsidP="00C61544">
            <w:pPr>
              <w:autoSpaceDE w:val="0"/>
              <w:autoSpaceDN w:val="0"/>
              <w:adjustRightInd w:val="0"/>
              <w:ind w:right="-59"/>
              <w:rPr>
                <w:color w:val="000000" w:themeColor="text1"/>
                <w:sz w:val="16"/>
                <w:szCs w:val="16"/>
                <w:lang w:val="ru-RU"/>
              </w:rPr>
            </w:pPr>
            <w:r w:rsidRPr="00FA0032">
              <w:rPr>
                <w:color w:val="000000" w:themeColor="text1"/>
                <w:sz w:val="16"/>
                <w:szCs w:val="16"/>
                <w:lang w:val="ru-RU"/>
              </w:rPr>
              <w:t>В 2014–2015</w:t>
            </w:r>
            <w:r w:rsidRPr="00AA3175">
              <w:rPr>
                <w:color w:val="000000" w:themeColor="text1"/>
                <w:sz w:val="16"/>
                <w:szCs w:val="16"/>
              </w:rPr>
              <w:t> </w:t>
            </w:r>
            <w:r w:rsidRPr="00FA0032">
              <w:rPr>
                <w:color w:val="000000" w:themeColor="text1"/>
                <w:sz w:val="16"/>
                <w:szCs w:val="16"/>
                <w:lang w:val="ru-RU"/>
              </w:rPr>
              <w:t>гг. были внедрены несколько процедурных и технических методов контроля в целях обеспечения устойчивости информационных систем ВОИС к кибератакам.</w:t>
            </w:r>
          </w:p>
          <w:p w:rsidR="00FA0032" w:rsidRPr="00FA0032" w:rsidRDefault="00FA0032" w:rsidP="00C61544">
            <w:pPr>
              <w:autoSpaceDE w:val="0"/>
              <w:autoSpaceDN w:val="0"/>
              <w:adjustRightInd w:val="0"/>
              <w:ind w:right="-59"/>
              <w:rPr>
                <w:color w:val="000000" w:themeColor="text1"/>
                <w:sz w:val="16"/>
                <w:szCs w:val="16"/>
                <w:lang w:val="ru-RU"/>
              </w:rPr>
            </w:pPr>
            <w:r w:rsidRPr="00FA0032">
              <w:rPr>
                <w:color w:val="000000" w:themeColor="text1"/>
                <w:sz w:val="16"/>
                <w:szCs w:val="16"/>
                <w:lang w:val="ru-RU"/>
              </w:rPr>
              <w:t>Поэтапное осуществление целенаправленной Стратегии обеспечения целостности информации позволит ВОИС непрерывно повышать свою информационную безопасность и устойчивость Организации в плане обеспечения ЦИ, защиты людей, процедур и технологий.</w:t>
            </w:r>
          </w:p>
        </w:tc>
        <w:tc>
          <w:tcPr>
            <w:tcW w:w="2268" w:type="dxa"/>
          </w:tcPr>
          <w:p w:rsidR="00FA0032" w:rsidRPr="00FA0032" w:rsidRDefault="00FA0032" w:rsidP="00C61544">
            <w:pPr>
              <w:autoSpaceDE w:val="0"/>
              <w:autoSpaceDN w:val="0"/>
              <w:adjustRightInd w:val="0"/>
              <w:ind w:right="-59"/>
              <w:rPr>
                <w:color w:val="000000" w:themeColor="text1"/>
                <w:sz w:val="16"/>
                <w:szCs w:val="16"/>
                <w:lang w:val="ru-RU"/>
              </w:rPr>
            </w:pPr>
            <w:r w:rsidRPr="00FA0032">
              <w:rPr>
                <w:sz w:val="16"/>
                <w:szCs w:val="16"/>
                <w:lang w:val="ru-RU"/>
              </w:rPr>
              <w:t>В 2014</w:t>
            </w:r>
            <w:r w:rsidRPr="00AA3175">
              <w:rPr>
                <w:sz w:val="16"/>
                <w:szCs w:val="16"/>
              </w:rPr>
              <w:t> </w:t>
            </w:r>
            <w:r w:rsidRPr="00FA0032">
              <w:rPr>
                <w:sz w:val="16"/>
                <w:szCs w:val="16"/>
                <w:lang w:val="ru-RU"/>
              </w:rPr>
              <w:t>г. и 2015</w:t>
            </w:r>
            <w:r w:rsidRPr="00AA3175">
              <w:rPr>
                <w:sz w:val="16"/>
                <w:szCs w:val="16"/>
              </w:rPr>
              <w:t> </w:t>
            </w:r>
            <w:r w:rsidRPr="00FA0032">
              <w:rPr>
                <w:sz w:val="16"/>
                <w:szCs w:val="16"/>
                <w:lang w:val="ru-RU"/>
              </w:rPr>
              <w:t>г. осуществление планов работы и ведение реестров рисков позволяло в достаточной степени смягчать воздействие рисков в ходе отчетного периода; в 2014–2015</w:t>
            </w:r>
            <w:r w:rsidRPr="00AA3175">
              <w:rPr>
                <w:sz w:val="16"/>
                <w:szCs w:val="16"/>
              </w:rPr>
              <w:t> </w:t>
            </w:r>
            <w:r w:rsidRPr="00FA0032">
              <w:rPr>
                <w:sz w:val="16"/>
                <w:szCs w:val="16"/>
                <w:lang w:val="ru-RU"/>
              </w:rPr>
              <w:t>гг. существенного воздействия на реализацию программы оказано не было.</w:t>
            </w:r>
          </w:p>
        </w:tc>
      </w:tr>
    </w:tbl>
    <w:p w:rsidR="00FA0032" w:rsidRPr="00FA0032" w:rsidRDefault="00FA0032" w:rsidP="00FA0032">
      <w:pPr>
        <w:keepNext/>
        <w:keepLines/>
        <w:rPr>
          <w:rFonts w:cs="Arial"/>
          <w:color w:val="000000"/>
          <w:szCs w:val="22"/>
          <w:lang w:val="ru-RU"/>
        </w:rPr>
      </w:pPr>
    </w:p>
    <w:p w:rsidR="00FA0032" w:rsidRPr="00FA0032" w:rsidRDefault="00FA0032" w:rsidP="00FA0032">
      <w:pPr>
        <w:keepNext/>
        <w:keepLines/>
        <w:rPr>
          <w:rFonts w:cs="Arial"/>
          <w:color w:val="000000"/>
          <w:szCs w:val="22"/>
          <w:lang w:val="ru-RU"/>
        </w:rPr>
      </w:pPr>
    </w:p>
    <w:p w:rsidR="00FA0032" w:rsidRPr="00FA0032" w:rsidRDefault="00FA0032" w:rsidP="00FA0032">
      <w:pPr>
        <w:keepNext/>
        <w:keepLines/>
        <w:rPr>
          <w:szCs w:val="20"/>
          <w:lang w:val="ru-RU"/>
        </w:rPr>
      </w:pPr>
      <w:r w:rsidRPr="00FA0032">
        <w:rPr>
          <w:color w:val="000000"/>
          <w:lang w:val="ru-RU"/>
        </w:rPr>
        <w:t>ИСПОЛЬЗОВАНИЕ РЕСУРСОВ</w:t>
      </w:r>
    </w:p>
    <w:p w:rsidR="00FA0032" w:rsidRPr="00FA0032" w:rsidRDefault="00FA0032" w:rsidP="00FA0032">
      <w:pPr>
        <w:keepNext/>
        <w:keepLines/>
        <w:rPr>
          <w:szCs w:val="20"/>
          <w:lang w:val="ru-RU"/>
        </w:rPr>
      </w:pPr>
    </w:p>
    <w:p w:rsidR="00FA0032" w:rsidRPr="00FA0032" w:rsidRDefault="00FA0032" w:rsidP="00FA0032">
      <w:pPr>
        <w:pStyle w:val="NormalWeb"/>
        <w:keepNext/>
        <w:keepLines/>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(в разбивке по результатам) </w:t>
      </w:r>
    </w:p>
    <w:p w:rsidR="00FA0032" w:rsidRDefault="00FA0032" w:rsidP="00FA0032">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A0032" w:rsidRPr="00383D2D" w:rsidRDefault="00FA0032" w:rsidP="00FA0032">
      <w:pPr>
        <w:pStyle w:val="NormalWeb"/>
        <w:keepNext/>
        <w:keepLines/>
        <w:spacing w:before="0" w:beforeAutospacing="0" w:after="0" w:afterAutospacing="0"/>
        <w:jc w:val="center"/>
        <w:rPr>
          <w:sz w:val="20"/>
          <w:szCs w:val="20"/>
        </w:rPr>
      </w:pPr>
    </w:p>
    <w:p w:rsidR="00FA0032" w:rsidRDefault="00FA0032" w:rsidP="00FA0032">
      <w:pPr>
        <w:keepNext/>
        <w:keepLines/>
        <w:jc w:val="center"/>
      </w:pPr>
      <w:r>
        <w:rPr>
          <w:noProof/>
        </w:rPr>
        <w:drawing>
          <wp:inline distT="0" distB="0" distL="0" distR="0" wp14:anchorId="2C39D908" wp14:editId="4247D90E">
            <wp:extent cx="5022850" cy="1845961"/>
            <wp:effectExtent l="0" t="0" r="6350" b="1905"/>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023133" cy="1846065"/>
                    </a:xfrm>
                    <a:prstGeom prst="rect">
                      <a:avLst/>
                    </a:prstGeom>
                    <a:noFill/>
                    <a:ln>
                      <a:noFill/>
                    </a:ln>
                  </pic:spPr>
                </pic:pic>
              </a:graphicData>
            </a:graphic>
          </wp:inline>
        </w:drawing>
      </w:r>
    </w:p>
    <w:p w:rsidR="00FA0032" w:rsidRDefault="00FA0032" w:rsidP="00FA0032">
      <w:pPr>
        <w:pStyle w:val="NormalWeb"/>
        <w:keepNext/>
        <w:keepLines/>
        <w:spacing w:before="0" w:beforeAutospacing="0" w:after="0" w:afterAutospacing="0"/>
        <w:rPr>
          <w:color w:val="000000"/>
          <w:sz w:val="20"/>
          <w:szCs w:val="20"/>
        </w:rPr>
      </w:pPr>
    </w:p>
    <w:p w:rsidR="00FA0032" w:rsidRDefault="00FA0032" w:rsidP="00FA0032">
      <w:pPr>
        <w:pStyle w:val="NormalWeb"/>
        <w:keepNext/>
        <w:keepLines/>
        <w:spacing w:before="0" w:beforeAutospacing="0" w:after="0" w:afterAutospacing="0"/>
        <w:rPr>
          <w:color w:val="000000"/>
          <w:sz w:val="20"/>
          <w:szCs w:val="20"/>
        </w:rPr>
      </w:pPr>
    </w:p>
    <w:p w:rsidR="00FA0032" w:rsidRPr="00FA0032" w:rsidRDefault="00FA0032" w:rsidP="00FA0032">
      <w:pPr>
        <w:pStyle w:val="NormalWeb"/>
        <w:keepNext/>
        <w:keepLines/>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(по персоналу и не связанные с персоналом) </w:t>
      </w:r>
    </w:p>
    <w:p w:rsidR="00FA0032" w:rsidRPr="00383D2D" w:rsidRDefault="00FA0032" w:rsidP="00FA0032">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A0032" w:rsidRDefault="00FA0032" w:rsidP="00FA0032">
      <w:pPr>
        <w:pStyle w:val="NormalWeb"/>
        <w:keepNext/>
        <w:keepLines/>
        <w:spacing w:before="0" w:beforeAutospacing="0" w:after="0" w:afterAutospacing="0"/>
        <w:jc w:val="center"/>
      </w:pPr>
    </w:p>
    <w:p w:rsidR="00FA0032" w:rsidRPr="008F4A6D" w:rsidRDefault="00FA0032" w:rsidP="00FA0032">
      <w:pPr>
        <w:widowControl w:val="0"/>
        <w:autoSpaceDE w:val="0"/>
        <w:autoSpaceDN w:val="0"/>
        <w:adjustRightInd w:val="0"/>
        <w:jc w:val="center"/>
        <w:rPr>
          <w:rFonts w:cs="Arial"/>
          <w:szCs w:val="20"/>
        </w:rPr>
      </w:pPr>
      <w:r>
        <w:rPr>
          <w:rFonts w:cs="Arial"/>
          <w:noProof/>
          <w:szCs w:val="20"/>
        </w:rPr>
        <w:drawing>
          <wp:inline distT="0" distB="0" distL="0" distR="0" wp14:anchorId="595EBD0F" wp14:editId="2287D386">
            <wp:extent cx="5320150" cy="1098383"/>
            <wp:effectExtent l="0" t="0" r="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324027" cy="1099183"/>
                    </a:xfrm>
                    <a:prstGeom prst="rect">
                      <a:avLst/>
                    </a:prstGeom>
                    <a:noFill/>
                    <a:ln>
                      <a:noFill/>
                    </a:ln>
                  </pic:spPr>
                </pic:pic>
              </a:graphicData>
            </a:graphic>
          </wp:inline>
        </w:drawing>
      </w:r>
    </w:p>
    <w:p w:rsidR="00FA0032" w:rsidRDefault="00FA0032" w:rsidP="00FA0032">
      <w:pPr>
        <w:widowControl w:val="0"/>
        <w:autoSpaceDE w:val="0"/>
        <w:autoSpaceDN w:val="0"/>
        <w:adjustRightInd w:val="0"/>
        <w:rPr>
          <w:rFonts w:cs="Arial"/>
          <w:szCs w:val="20"/>
        </w:rPr>
      </w:pPr>
    </w:p>
    <w:p w:rsidR="00FA0032" w:rsidRPr="001C6F4D" w:rsidRDefault="00FA0032" w:rsidP="00FA0032">
      <w:pPr>
        <w:widowControl w:val="0"/>
        <w:autoSpaceDE w:val="0"/>
        <w:autoSpaceDN w:val="0"/>
        <w:adjustRightInd w:val="0"/>
        <w:rPr>
          <w:rFonts w:cs="Arial"/>
          <w:szCs w:val="20"/>
        </w:rPr>
      </w:pPr>
    </w:p>
    <w:p w:rsidR="00FA0032" w:rsidRPr="00FA0032" w:rsidRDefault="00FA0032" w:rsidP="00FA0032">
      <w:pPr>
        <w:pStyle w:val="ListParagraph"/>
        <w:numPr>
          <w:ilvl w:val="0"/>
          <w:numId w:val="49"/>
        </w:numPr>
        <w:jc w:val="both"/>
        <w:rPr>
          <w:u w:val="single"/>
          <w:lang w:val="ru-RU"/>
        </w:rPr>
      </w:pPr>
      <w:r w:rsidRPr="00FA0032">
        <w:rPr>
          <w:u w:val="single"/>
          <w:lang w:val="ru-RU"/>
        </w:rPr>
        <w:t xml:space="preserve">Итоговый бюджет на 2014–2015 гг. после перераспределения средств </w:t>
      </w:r>
    </w:p>
    <w:p w:rsidR="00FA0032" w:rsidRPr="00FA0032" w:rsidRDefault="00FA0032" w:rsidP="00FA0032">
      <w:pPr>
        <w:jc w:val="both"/>
        <w:rPr>
          <w:szCs w:val="20"/>
          <w:lang w:val="ru-RU"/>
        </w:rPr>
      </w:pPr>
    </w:p>
    <w:p w:rsidR="00FA0032" w:rsidRPr="00FA0032" w:rsidRDefault="00FA0032" w:rsidP="00FA0032">
      <w:pPr>
        <w:pStyle w:val="ONUME"/>
        <w:numPr>
          <w:ilvl w:val="0"/>
          <w:numId w:val="48"/>
        </w:numPr>
        <w:tabs>
          <w:tab w:val="left" w:pos="709"/>
        </w:tabs>
        <w:spacing w:after="0"/>
        <w:ind w:left="0" w:firstLine="0"/>
        <w:jc w:val="both"/>
        <w:rPr>
          <w:lang w:val="ru-RU"/>
        </w:rPr>
      </w:pPr>
      <w:r w:rsidRPr="00FA0032">
        <w:rPr>
          <w:lang w:val="ru-RU"/>
        </w:rPr>
        <w:t>Общее увеличение итогового бюджета на 2014–2015</w:t>
      </w:r>
      <w:r>
        <w:t> </w:t>
      </w:r>
      <w:r w:rsidRPr="00FA0032">
        <w:rPr>
          <w:lang w:val="ru-RU"/>
        </w:rPr>
        <w:t xml:space="preserve">гг. после перераспределения средств было обусловлено главным образом увеличением объема ресурсов, не связанных с персоналом, которые были выделены в рамках результата </w:t>
      </w:r>
      <w:r>
        <w:t>IX</w:t>
      </w:r>
      <w:r w:rsidRPr="00FA0032">
        <w:rPr>
          <w:lang w:val="ru-RU"/>
        </w:rPr>
        <w:t>.1 (эффективные, действенные, качественные и ориентированные на пользователя вспомогательные услуги), с тем чтобы охватить:  (</w:t>
      </w:r>
      <w:r>
        <w:t>i</w:t>
      </w:r>
      <w:r w:rsidRPr="00FA0032">
        <w:rPr>
          <w:lang w:val="ru-RU"/>
        </w:rPr>
        <w:t>)</w:t>
      </w:r>
      <w:r>
        <w:t> </w:t>
      </w:r>
      <w:r w:rsidRPr="00FA0032">
        <w:rPr>
          <w:lang w:val="ru-RU"/>
        </w:rPr>
        <w:t>внедрение устойчивой к воздействию внешних факторов инфраструктуры во внешних бюро ВОИС;  (</w:t>
      </w:r>
      <w:r>
        <w:t>ii</w:t>
      </w:r>
      <w:r w:rsidRPr="00FA0032">
        <w:rPr>
          <w:lang w:val="ru-RU"/>
        </w:rPr>
        <w:t>)</w:t>
      </w:r>
      <w:r>
        <w:t> </w:t>
      </w:r>
      <w:r w:rsidRPr="00FA0032">
        <w:rPr>
          <w:lang w:val="ru-RU"/>
        </w:rPr>
        <w:t>приобретение лицензий для управление общеорганизационным информационным контентом и конфигурацию управленческой базы данных; (</w:t>
      </w:r>
      <w:r>
        <w:t>iii</w:t>
      </w:r>
      <w:r w:rsidRPr="00FA0032">
        <w:rPr>
          <w:lang w:val="ru-RU"/>
        </w:rPr>
        <w:t>)</w:t>
      </w:r>
      <w:r>
        <w:t> </w:t>
      </w:r>
      <w:r w:rsidRPr="00FA0032">
        <w:rPr>
          <w:lang w:val="ru-RU"/>
        </w:rPr>
        <w:t>покупку ноутбуков для оснащения административного центра «Морийон» в качестве «горячего узла» на случай аварийной ситуации на местном уровне;  (</w:t>
      </w:r>
      <w:r>
        <w:t>iv</w:t>
      </w:r>
      <w:r w:rsidRPr="00FA0032">
        <w:rPr>
          <w:lang w:val="ru-RU"/>
        </w:rPr>
        <w:t>)</w:t>
      </w:r>
      <w:r>
        <w:t> </w:t>
      </w:r>
      <w:r w:rsidRPr="00FA0032">
        <w:rPr>
          <w:lang w:val="ru-RU"/>
        </w:rPr>
        <w:t>затраты на проведение исследования по управлению идентификацией и доступом пользователей;  (</w:t>
      </w:r>
      <w:r>
        <w:t>v</w:t>
      </w:r>
      <w:r w:rsidRPr="00FA0032">
        <w:rPr>
          <w:lang w:val="ru-RU"/>
        </w:rPr>
        <w:t>)</w:t>
      </w:r>
      <w:r>
        <w:t> </w:t>
      </w:r>
      <w:r w:rsidRPr="00FA0032">
        <w:rPr>
          <w:lang w:val="ru-RU"/>
        </w:rPr>
        <w:t>оплату решений в области информационной безопасности в целях увеличения потенциала защиты от инцидентов и реагирования на них;  и (</w:t>
      </w:r>
      <w:r>
        <w:t>vi</w:t>
      </w:r>
      <w:r w:rsidRPr="00FA0032">
        <w:rPr>
          <w:lang w:val="ru-RU"/>
        </w:rPr>
        <w:t>)</w:t>
      </w:r>
      <w:r>
        <w:t> </w:t>
      </w:r>
      <w:r w:rsidRPr="00FA0032">
        <w:rPr>
          <w:lang w:val="ru-RU"/>
        </w:rPr>
        <w:t>замену различного ИТ-оборудования, такого как мобильные телефоны, ноутбуки и мониторы.</w:t>
      </w:r>
    </w:p>
    <w:p w:rsidR="00FA0032" w:rsidRPr="00FA0032" w:rsidRDefault="00FA0032" w:rsidP="00FA0032">
      <w:pPr>
        <w:pStyle w:val="ONUME"/>
        <w:tabs>
          <w:tab w:val="left" w:pos="709"/>
        </w:tabs>
        <w:spacing w:after="0"/>
        <w:jc w:val="both"/>
        <w:rPr>
          <w:lang w:val="ru-RU"/>
        </w:rPr>
      </w:pPr>
    </w:p>
    <w:p w:rsidR="00FA0032" w:rsidRPr="00FA0032" w:rsidRDefault="00FA0032" w:rsidP="00FA0032">
      <w:pPr>
        <w:pStyle w:val="ONUME"/>
        <w:numPr>
          <w:ilvl w:val="0"/>
          <w:numId w:val="48"/>
        </w:numPr>
        <w:tabs>
          <w:tab w:val="left" w:pos="709"/>
        </w:tabs>
        <w:spacing w:after="0"/>
        <w:ind w:left="0" w:firstLine="0"/>
        <w:jc w:val="both"/>
        <w:rPr>
          <w:lang w:val="ru-RU"/>
        </w:rPr>
      </w:pPr>
      <w:r w:rsidRPr="00FA0032">
        <w:rPr>
          <w:lang w:val="ru-RU"/>
        </w:rPr>
        <w:t xml:space="preserve">Чистое увеличение объема ресурсов, связанных с персоналом, было обусловлено, с одной стороны, реклассификацией должностей и завершением перевода в постоянный штат сотрудников, выполняющих постоянные функции, а с другой стороны, – передачей одной временной должности в Отдел закупок и поездок в рамках программы 24 в целях создания функции сертификации УИК. </w:t>
      </w:r>
    </w:p>
    <w:p w:rsidR="00FA0032" w:rsidRPr="00FA0032" w:rsidRDefault="00FA0032" w:rsidP="00FA0032">
      <w:pPr>
        <w:jc w:val="both"/>
        <w:rPr>
          <w:szCs w:val="20"/>
          <w:lang w:val="ru-RU"/>
        </w:rPr>
      </w:pPr>
    </w:p>
    <w:p w:rsidR="00FA0032" w:rsidRPr="00FA0032" w:rsidRDefault="00FA0032" w:rsidP="00FA0032">
      <w:pPr>
        <w:pStyle w:val="ListParagraph"/>
        <w:numPr>
          <w:ilvl w:val="0"/>
          <w:numId w:val="49"/>
        </w:numPr>
        <w:jc w:val="both"/>
        <w:rPr>
          <w:u w:val="single"/>
          <w:lang w:val="ru-RU"/>
        </w:rPr>
      </w:pPr>
      <w:r w:rsidRPr="00FA0032">
        <w:rPr>
          <w:u w:val="single"/>
          <w:lang w:val="ru-RU"/>
        </w:rPr>
        <w:t xml:space="preserve">Освоение бюджетных средств в 2014–2015 гг. </w:t>
      </w:r>
    </w:p>
    <w:p w:rsidR="00FA0032" w:rsidRPr="00FA0032" w:rsidRDefault="00FA0032" w:rsidP="00FA0032">
      <w:pPr>
        <w:jc w:val="both"/>
        <w:rPr>
          <w:szCs w:val="20"/>
          <w:lang w:val="ru-RU"/>
        </w:rPr>
      </w:pPr>
    </w:p>
    <w:p w:rsidR="001346E3" w:rsidRPr="00FA0032" w:rsidRDefault="00FA0032" w:rsidP="00FA0032">
      <w:pPr>
        <w:pStyle w:val="ONUME"/>
        <w:numPr>
          <w:ilvl w:val="0"/>
          <w:numId w:val="48"/>
        </w:numPr>
        <w:tabs>
          <w:tab w:val="left" w:pos="709"/>
        </w:tabs>
        <w:ind w:left="0" w:firstLine="0"/>
        <w:jc w:val="both"/>
        <w:rPr>
          <w:lang w:val="ru-RU"/>
        </w:rPr>
      </w:pPr>
      <w:r w:rsidRPr="00FA0032">
        <w:rPr>
          <w:lang w:val="ru-RU"/>
        </w:rPr>
        <w:t>Уровень освоения бюджетных средств находится в пределах, предусмотренных для рассматриваемого двухлетнего периода.</w:t>
      </w:r>
      <w:r w:rsidR="001346E3" w:rsidRPr="00FA0032">
        <w:rPr>
          <w:lang w:val="ru-RU"/>
        </w:rPr>
        <w:t>.</w:t>
      </w:r>
    </w:p>
    <w:p w:rsidR="005E4C4F" w:rsidRPr="00FA0032" w:rsidRDefault="005E4C4F">
      <w:pPr>
        <w:rPr>
          <w:lang w:val="ru-RU"/>
        </w:rPr>
      </w:pPr>
    </w:p>
    <w:p w:rsidR="00FF768F" w:rsidRPr="00FA0032" w:rsidRDefault="00FF768F">
      <w:pPr>
        <w:rPr>
          <w:lang w:val="ru-RU"/>
        </w:rPr>
      </w:pPr>
      <w:r w:rsidRPr="00FA0032">
        <w:rPr>
          <w:lang w:val="ru-RU"/>
        </w:rPr>
        <w:br w:type="page"/>
      </w:r>
    </w:p>
    <w:p w:rsidR="00B655FE" w:rsidRPr="00B655FE" w:rsidRDefault="00B655FE" w:rsidP="00B655FE">
      <w:pPr>
        <w:pStyle w:val="Heading2"/>
        <w:tabs>
          <w:tab w:val="clear" w:pos="567"/>
          <w:tab w:val="clear" w:pos="9072"/>
        </w:tabs>
        <w:spacing w:before="240" w:after="60"/>
        <w:ind w:left="1985" w:hanging="1985"/>
        <w:rPr>
          <w:rFonts w:eastAsia="SimSun"/>
          <w:bCs w:val="0"/>
          <w:caps/>
          <w:szCs w:val="22"/>
          <w:lang w:val="ru-RU"/>
        </w:rPr>
      </w:pPr>
      <w:bookmarkStart w:id="130" w:name="_Toc421180448"/>
      <w:bookmarkStart w:id="131" w:name="_Toc422210515"/>
      <w:bookmarkStart w:id="132" w:name="_Toc455388138"/>
      <w:r w:rsidRPr="00B655FE">
        <w:rPr>
          <w:lang w:val="ru-RU"/>
        </w:rPr>
        <w:t>ПРОГРАММА</w:t>
      </w:r>
      <w:r>
        <w:t> </w:t>
      </w:r>
      <w:r w:rsidRPr="00B655FE">
        <w:rPr>
          <w:lang w:val="ru-RU"/>
        </w:rPr>
        <w:t>26</w:t>
      </w:r>
      <w:r w:rsidRPr="00B655FE">
        <w:rPr>
          <w:lang w:val="ru-RU"/>
        </w:rPr>
        <w:tab/>
        <w:t>ВНУТРЕННИЙ АУДИТ И НАДЗОР</w:t>
      </w:r>
      <w:bookmarkEnd w:id="130"/>
      <w:bookmarkEnd w:id="131"/>
      <w:bookmarkEnd w:id="132"/>
    </w:p>
    <w:p w:rsidR="00B655FE" w:rsidRPr="00B655FE" w:rsidRDefault="00B655FE" w:rsidP="00B655FE">
      <w:pPr>
        <w:tabs>
          <w:tab w:val="left" w:pos="1985"/>
        </w:tabs>
        <w:rPr>
          <w:szCs w:val="20"/>
          <w:lang w:val="ru-RU"/>
        </w:rPr>
      </w:pPr>
    </w:p>
    <w:p w:rsidR="00B655FE" w:rsidRPr="00B655FE" w:rsidRDefault="00B655FE" w:rsidP="00B655FE">
      <w:pPr>
        <w:tabs>
          <w:tab w:val="left" w:pos="1985"/>
        </w:tabs>
        <w:rPr>
          <w:b/>
          <w:szCs w:val="20"/>
          <w:lang w:val="ru-RU"/>
        </w:rPr>
      </w:pPr>
      <w:r w:rsidRPr="00B655FE">
        <w:rPr>
          <w:b/>
          <w:lang w:val="ru-RU"/>
        </w:rPr>
        <w:t xml:space="preserve">Руководитель программы: </w:t>
      </w:r>
      <w:r w:rsidRPr="00B655FE">
        <w:rPr>
          <w:lang w:val="ru-RU"/>
        </w:rPr>
        <w:tab/>
      </w:r>
      <w:r w:rsidRPr="00B655FE">
        <w:rPr>
          <w:b/>
          <w:lang w:val="ru-RU"/>
        </w:rPr>
        <w:t>г-н Т.</w:t>
      </w:r>
      <w:r>
        <w:rPr>
          <w:b/>
        </w:rPr>
        <w:t> </w:t>
      </w:r>
      <w:r w:rsidRPr="00B655FE">
        <w:rPr>
          <w:b/>
          <w:lang w:val="ru-RU"/>
        </w:rPr>
        <w:t>Эфендиоглу (исполняющий обязанности директора ОВН)</w:t>
      </w:r>
    </w:p>
    <w:p w:rsidR="00B655FE" w:rsidRPr="00B655FE" w:rsidRDefault="00B655FE" w:rsidP="00B655FE">
      <w:pPr>
        <w:rPr>
          <w:szCs w:val="20"/>
          <w:lang w:val="ru-RU"/>
        </w:rPr>
      </w:pPr>
    </w:p>
    <w:p w:rsidR="00B655FE" w:rsidRPr="00B655FE" w:rsidRDefault="00B655FE" w:rsidP="00B655FE">
      <w:pPr>
        <w:rPr>
          <w:szCs w:val="20"/>
          <w:lang w:val="ru-RU"/>
        </w:rPr>
      </w:pPr>
    </w:p>
    <w:p w:rsidR="00B655FE" w:rsidRPr="00B655FE" w:rsidRDefault="00B655FE" w:rsidP="00B655FE">
      <w:pPr>
        <w:rPr>
          <w:bCs/>
          <w:szCs w:val="20"/>
          <w:lang w:val="ru-RU"/>
        </w:rPr>
      </w:pPr>
      <w:r w:rsidRPr="00B655FE">
        <w:rPr>
          <w:lang w:val="ru-RU"/>
        </w:rPr>
        <w:t>ОБЗОР ДОСТИЖЕНИЙ ЗА ДВУХЛЕТНИЙ ПЕРИОД 2014–2015 ГГ.</w:t>
      </w:r>
    </w:p>
    <w:p w:rsidR="00B655FE" w:rsidRPr="00B655FE" w:rsidRDefault="00B655FE" w:rsidP="00B655FE">
      <w:pPr>
        <w:rPr>
          <w:szCs w:val="20"/>
          <w:lang w:val="ru-RU"/>
        </w:rPr>
      </w:pPr>
    </w:p>
    <w:p w:rsidR="00B655FE" w:rsidRPr="00B655FE" w:rsidRDefault="00B655FE" w:rsidP="00B655FE">
      <w:pPr>
        <w:pStyle w:val="ListParagraph"/>
        <w:numPr>
          <w:ilvl w:val="0"/>
          <w:numId w:val="21"/>
        </w:numPr>
        <w:ind w:left="0" w:firstLine="0"/>
        <w:jc w:val="both"/>
        <w:rPr>
          <w:rFonts w:cs="Arial"/>
          <w:lang w:val="ru-RU"/>
        </w:rPr>
      </w:pPr>
      <w:r w:rsidRPr="00B655FE">
        <w:rPr>
          <w:lang w:val="ru-RU"/>
        </w:rPr>
        <w:t>В 2014–2015</w:t>
      </w:r>
      <w:r>
        <w:t> </w:t>
      </w:r>
      <w:r w:rsidRPr="00B655FE">
        <w:rPr>
          <w:lang w:val="ru-RU"/>
        </w:rPr>
        <w:t>гг.  Отдел внутреннего надзора (ОВН) успешно прошел три внешние оценки (</w:t>
      </w:r>
      <w:r>
        <w:t>EQA</w:t>
      </w:r>
      <w:r w:rsidRPr="00B655FE">
        <w:rPr>
          <w:lang w:val="ru-RU"/>
        </w:rPr>
        <w:t>) качества выполнения функций по аудиту</w:t>
      </w:r>
      <w:r>
        <w:rPr>
          <w:rStyle w:val="FootnoteReference"/>
        </w:rPr>
        <w:footnoteReference w:id="140"/>
      </w:r>
      <w:r w:rsidRPr="00B655FE">
        <w:rPr>
          <w:lang w:val="ru-RU"/>
        </w:rPr>
        <w:t>, оценке</w:t>
      </w:r>
      <w:r>
        <w:rPr>
          <w:rStyle w:val="FootnoteReference"/>
        </w:rPr>
        <w:footnoteReference w:id="141"/>
      </w:r>
      <w:r w:rsidRPr="00B655FE">
        <w:rPr>
          <w:lang w:val="ru-RU"/>
        </w:rPr>
        <w:t xml:space="preserve"> и ведению расследований</w:t>
      </w:r>
      <w:r>
        <w:rPr>
          <w:rStyle w:val="FootnoteReference"/>
        </w:rPr>
        <w:footnoteReference w:id="142"/>
      </w:r>
      <w:r w:rsidRPr="00B655FE">
        <w:rPr>
          <w:lang w:val="ru-RU"/>
        </w:rPr>
        <w:t>. Независимые внешние эксперты по оценке пришли к выводу, что осуществление всех функций в целом осуществляется согласно стандартам соответствующей области</w:t>
      </w:r>
      <w:r>
        <w:rPr>
          <w:rStyle w:val="FootnoteReference"/>
        </w:rPr>
        <w:footnoteReference w:id="143"/>
      </w:r>
      <w:r w:rsidRPr="00B655FE">
        <w:rPr>
          <w:lang w:val="ru-RU"/>
        </w:rPr>
        <w:t xml:space="preserve">. </w:t>
      </w:r>
    </w:p>
    <w:p w:rsidR="00B655FE" w:rsidRPr="00B655FE" w:rsidRDefault="00B655FE" w:rsidP="00B655FE">
      <w:pPr>
        <w:pStyle w:val="ListParagraph"/>
        <w:ind w:left="0"/>
        <w:jc w:val="both"/>
        <w:rPr>
          <w:rFonts w:cs="Arial"/>
          <w:lang w:val="ru-RU"/>
        </w:rPr>
      </w:pPr>
      <w:r w:rsidRPr="00B655FE">
        <w:rPr>
          <w:lang w:val="ru-RU"/>
        </w:rPr>
        <w:t xml:space="preserve"> </w:t>
      </w:r>
    </w:p>
    <w:p w:rsidR="00B655FE" w:rsidRPr="00B655FE" w:rsidRDefault="00B655FE" w:rsidP="00B655FE">
      <w:pPr>
        <w:pStyle w:val="ListParagraph"/>
        <w:numPr>
          <w:ilvl w:val="0"/>
          <w:numId w:val="21"/>
        </w:numPr>
        <w:ind w:left="0" w:firstLine="0"/>
        <w:jc w:val="both"/>
        <w:rPr>
          <w:rFonts w:cs="Arial"/>
          <w:lang w:val="ru-RU"/>
        </w:rPr>
      </w:pPr>
      <w:r w:rsidRPr="00B655FE">
        <w:rPr>
          <w:lang w:val="ru-RU"/>
        </w:rPr>
        <w:t>ОВН также внес свой вклад в пересмотр Устава внутреннего надзора ВОИС, который был утвержден Генеральной Ассамблеей 30</w:t>
      </w:r>
      <w:r>
        <w:t> </w:t>
      </w:r>
      <w:r w:rsidRPr="00B655FE">
        <w:rPr>
          <w:lang w:val="ru-RU"/>
        </w:rPr>
        <w:t>сентября 2014</w:t>
      </w:r>
      <w:r>
        <w:t> </w:t>
      </w:r>
      <w:r w:rsidRPr="00B655FE">
        <w:rPr>
          <w:lang w:val="ru-RU"/>
        </w:rPr>
        <w:t>г. В результате этого: (</w:t>
      </w:r>
      <w:r>
        <w:t>i</w:t>
      </w:r>
      <w:r w:rsidRPr="00B655FE">
        <w:rPr>
          <w:lang w:val="ru-RU"/>
        </w:rPr>
        <w:t>)</w:t>
      </w:r>
      <w:r>
        <w:t> </w:t>
      </w:r>
      <w:r w:rsidRPr="00B655FE">
        <w:rPr>
          <w:lang w:val="ru-RU"/>
        </w:rPr>
        <w:t>его название было изменено на Отдел внутреннего надзора (ОВН); (</w:t>
      </w:r>
      <w:r>
        <w:t>ii</w:t>
      </w:r>
      <w:r w:rsidRPr="00B655FE">
        <w:rPr>
          <w:lang w:val="ru-RU"/>
        </w:rPr>
        <w:t>)</w:t>
      </w:r>
      <w:r>
        <w:t> </w:t>
      </w:r>
      <w:r w:rsidRPr="00B655FE">
        <w:rPr>
          <w:lang w:val="ru-RU"/>
        </w:rPr>
        <w:t>приобрело обязательный характер соблюдение Международных стандартов/руководящих принципов и норм ООН при проведении внутренних аудиторских проверок, оценок и расследований; (</w:t>
      </w:r>
      <w:r>
        <w:t>iii</w:t>
      </w:r>
      <w:r w:rsidRPr="00B655FE">
        <w:rPr>
          <w:lang w:val="ru-RU"/>
        </w:rPr>
        <w:t>)</w:t>
      </w:r>
      <w:r>
        <w:t> </w:t>
      </w:r>
      <w:r w:rsidRPr="00B655FE">
        <w:rPr>
          <w:lang w:val="ru-RU"/>
        </w:rPr>
        <w:t>было обеспечено более активное участие Независимого консультативного комитета по надзору (НККН) в разработке плана работы ОВН и (</w:t>
      </w:r>
      <w:r>
        <w:t>iv</w:t>
      </w:r>
      <w:r w:rsidRPr="00B655FE">
        <w:rPr>
          <w:lang w:val="ru-RU"/>
        </w:rPr>
        <w:t>)</w:t>
      </w:r>
      <w:r>
        <w:t> </w:t>
      </w:r>
      <w:r w:rsidRPr="00B655FE">
        <w:rPr>
          <w:lang w:val="ru-RU"/>
        </w:rPr>
        <w:t xml:space="preserve">был обеспечен открытый доступ к отчетам о внутренних аудиторских проверках, оценках и о последствиях для руководства. ВОИС стала первым специализированным учреждением ООН, утвердившим практику, которая в настоящее время является общепринятой в Секретариате ООН, ее фондах и программах.  </w:t>
      </w:r>
    </w:p>
    <w:p w:rsidR="00B655FE" w:rsidRPr="00B655FE" w:rsidRDefault="00B655FE" w:rsidP="00B655FE">
      <w:pPr>
        <w:pStyle w:val="ListParagraph"/>
        <w:ind w:left="0"/>
        <w:jc w:val="both"/>
        <w:rPr>
          <w:rFonts w:cs="Arial"/>
          <w:lang w:val="ru-RU"/>
        </w:rPr>
      </w:pPr>
    </w:p>
    <w:p w:rsidR="00B655FE" w:rsidRPr="00B655FE" w:rsidRDefault="00B655FE" w:rsidP="00B655FE">
      <w:pPr>
        <w:pStyle w:val="ListParagraph"/>
        <w:numPr>
          <w:ilvl w:val="0"/>
          <w:numId w:val="21"/>
        </w:numPr>
        <w:ind w:left="0" w:firstLine="0"/>
        <w:jc w:val="both"/>
        <w:rPr>
          <w:rFonts w:cs="Arial"/>
          <w:lang w:val="ru-RU"/>
        </w:rPr>
      </w:pPr>
      <w:r w:rsidRPr="00B655FE">
        <w:rPr>
          <w:lang w:val="ru-RU"/>
        </w:rPr>
        <w:t>ОВН выпустил 13 отчетов об аудиторских проверках, семь отчетов об оценке и отчет по итогам двухлетнего периода о проверке достоверности информации, представленной в ОРП за 2012–2013</w:t>
      </w:r>
      <w:r>
        <w:t> </w:t>
      </w:r>
      <w:r w:rsidRPr="00B655FE">
        <w:rPr>
          <w:lang w:val="ru-RU"/>
        </w:rPr>
        <w:t>гг. (</w:t>
      </w:r>
      <w:r>
        <w:t>WO</w:t>
      </w:r>
      <w:r w:rsidRPr="00B655FE">
        <w:rPr>
          <w:lang w:val="ru-RU"/>
        </w:rPr>
        <w:t>/</w:t>
      </w:r>
      <w:r>
        <w:t>PBC</w:t>
      </w:r>
      <w:r w:rsidRPr="00B655FE">
        <w:rPr>
          <w:lang w:val="ru-RU"/>
        </w:rPr>
        <w:t>/22/9), где в общей сложности содержалась 161</w:t>
      </w:r>
      <w:r>
        <w:t> </w:t>
      </w:r>
      <w:r w:rsidRPr="00B655FE">
        <w:rPr>
          <w:lang w:val="ru-RU"/>
        </w:rPr>
        <w:t>рекомендация по улучшению (74 в 2014</w:t>
      </w:r>
      <w:r>
        <w:t> </w:t>
      </w:r>
      <w:r w:rsidRPr="00B655FE">
        <w:rPr>
          <w:lang w:val="ru-RU"/>
        </w:rPr>
        <w:t>г. и 87 в 2015</w:t>
      </w:r>
      <w:r>
        <w:t> </w:t>
      </w:r>
      <w:r w:rsidRPr="00B655FE">
        <w:rPr>
          <w:lang w:val="ru-RU"/>
        </w:rPr>
        <w:t>г.).  План надзора ОВН был разработан с использованием созданной ОВН методологии оценки рисков и реестров внутренних рисков ВОИС с учетом особенностей оперативных органов ВОИС и соответствующих рабочих процессов, а также материалов, полученных от государств-членов, НККН, высшего руководства и внешнего аудитора. Аудиторские проверки и оценки охватывали различные области управления программами и проектами, включая вопросы управления, ориентированного на конечный результат, управления данными, охраны и безопасности, поощрения и признания заслуг, управления знаниями, управления мероприятиями и активами в Организации.</w:t>
      </w:r>
    </w:p>
    <w:p w:rsidR="00B655FE" w:rsidRPr="00B655FE" w:rsidRDefault="00B655FE" w:rsidP="00B655FE">
      <w:pPr>
        <w:pStyle w:val="ListParagraph"/>
        <w:ind w:left="0"/>
        <w:jc w:val="both"/>
        <w:rPr>
          <w:rFonts w:cs="Arial"/>
          <w:lang w:val="ru-RU"/>
        </w:rPr>
      </w:pPr>
    </w:p>
    <w:p w:rsidR="00B655FE" w:rsidRPr="00B655FE" w:rsidRDefault="00B655FE" w:rsidP="00B655FE">
      <w:pPr>
        <w:pStyle w:val="ListParagraph"/>
        <w:numPr>
          <w:ilvl w:val="0"/>
          <w:numId w:val="21"/>
        </w:numPr>
        <w:ind w:left="0" w:firstLine="0"/>
        <w:jc w:val="both"/>
        <w:rPr>
          <w:rFonts w:cs="Arial"/>
          <w:lang w:val="ru-RU"/>
        </w:rPr>
      </w:pPr>
      <w:r w:rsidRPr="00B655FE">
        <w:rPr>
          <w:lang w:val="ru-RU"/>
        </w:rPr>
        <w:t>В двухлетний период 2014–2015</w:t>
      </w:r>
      <w:r>
        <w:t> </w:t>
      </w:r>
      <w:r w:rsidRPr="00B655FE">
        <w:rPr>
          <w:lang w:val="ru-RU"/>
        </w:rPr>
        <w:t>гг. ОВН зарегистрировал 53 дела, требующих проведения расследования, и закрыл 43</w:t>
      </w:r>
      <w:r>
        <w:t> </w:t>
      </w:r>
      <w:r w:rsidRPr="00B655FE">
        <w:rPr>
          <w:lang w:val="ru-RU"/>
        </w:rPr>
        <w:t>дела.  В целом все дела были закрыты в сроки, предусмотренные в Политике проведения расследований ВОИС. Более 50</w:t>
      </w:r>
      <w:r>
        <w:t> </w:t>
      </w:r>
      <w:r w:rsidRPr="00B655FE">
        <w:rPr>
          <w:lang w:val="ru-RU"/>
        </w:rPr>
        <w:t xml:space="preserve">процентов дел касались домогательств, заявлений/действий, несовместимых с полномочиями международных гражданских служащих, и мошенничества, связанного с льготами/пособиями. </w:t>
      </w:r>
    </w:p>
    <w:p w:rsidR="00B655FE" w:rsidRPr="00B655FE" w:rsidRDefault="00B655FE" w:rsidP="00B655FE">
      <w:pPr>
        <w:pStyle w:val="ListParagraph"/>
        <w:ind w:left="0"/>
        <w:jc w:val="both"/>
        <w:rPr>
          <w:rFonts w:cs="Arial"/>
          <w:lang w:val="ru-RU"/>
        </w:rPr>
      </w:pPr>
    </w:p>
    <w:p w:rsidR="00B655FE" w:rsidRDefault="00B655FE" w:rsidP="00B655FE">
      <w:pPr>
        <w:pStyle w:val="ListParagraph"/>
        <w:numPr>
          <w:ilvl w:val="0"/>
          <w:numId w:val="21"/>
        </w:numPr>
        <w:ind w:left="0" w:firstLine="0"/>
        <w:jc w:val="both"/>
        <w:rPr>
          <w:rFonts w:cs="Arial"/>
        </w:rPr>
      </w:pPr>
      <w:r w:rsidRPr="00B655FE">
        <w:rPr>
          <w:lang w:val="ru-RU"/>
        </w:rPr>
        <w:t>В целях формирования и укрепления культуры непрерывной учебы и приверженности принципам подотчетности при содействии разработке более эффективных организационных процессов и операций в 2015</w:t>
      </w:r>
      <w:r>
        <w:t> </w:t>
      </w:r>
      <w:r w:rsidRPr="00B655FE">
        <w:rPr>
          <w:lang w:val="ru-RU"/>
        </w:rPr>
        <w:t xml:space="preserve">г. был организован Семинар по оценке ВОИС.  </w:t>
      </w:r>
      <w:r>
        <w:t>Участники в целом положительно оценили его результаты.</w:t>
      </w:r>
    </w:p>
    <w:p w:rsidR="00B655FE" w:rsidRPr="00C04464" w:rsidRDefault="00B655FE" w:rsidP="00B655FE">
      <w:pPr>
        <w:pStyle w:val="ListParagraph"/>
        <w:ind w:left="0"/>
        <w:jc w:val="both"/>
        <w:rPr>
          <w:rFonts w:cs="Arial"/>
        </w:rPr>
      </w:pPr>
    </w:p>
    <w:p w:rsidR="00B655FE" w:rsidRPr="00B655FE" w:rsidRDefault="00B655FE" w:rsidP="00B655FE">
      <w:pPr>
        <w:pStyle w:val="ListParagraph"/>
        <w:numPr>
          <w:ilvl w:val="0"/>
          <w:numId w:val="21"/>
        </w:numPr>
        <w:ind w:left="0" w:firstLine="0"/>
        <w:jc w:val="both"/>
        <w:rPr>
          <w:rFonts w:cs="Arial"/>
          <w:lang w:val="ru-RU"/>
        </w:rPr>
      </w:pPr>
      <w:r w:rsidRPr="00B655FE">
        <w:rPr>
          <w:lang w:val="ru-RU"/>
        </w:rPr>
        <w:t>Чтобы лучше понять ожидания коллег и получить их отзывы о деятельности надзорных органов, ОВН продолжил проводить опросы для выявления степени удовлетворенности клиентов. Такие опросы впервые были проведены в 2013</w:t>
      </w:r>
      <w:r>
        <w:t> </w:t>
      </w:r>
      <w:r w:rsidRPr="00B655FE">
        <w:rPr>
          <w:lang w:val="ru-RU"/>
        </w:rPr>
        <w:t>г., показав, что средний уровень удовлетворенности составляет 84%, и дали возможность ОВН лучше понять ожидания партнеров в отношении результативности его деятельности и более эффективно выявить области, где внесение улучшений позволит повысить качество работы.</w:t>
      </w:r>
    </w:p>
    <w:p w:rsidR="00B655FE" w:rsidRPr="00B655FE" w:rsidRDefault="00B655FE" w:rsidP="00B655FE">
      <w:pPr>
        <w:pStyle w:val="ListParagraph"/>
        <w:ind w:left="0"/>
        <w:jc w:val="both"/>
        <w:rPr>
          <w:rFonts w:cs="Arial"/>
          <w:lang w:val="ru-RU"/>
        </w:rPr>
      </w:pPr>
    </w:p>
    <w:p w:rsidR="00B655FE" w:rsidRPr="00B655FE" w:rsidRDefault="00B655FE" w:rsidP="00B655FE">
      <w:pPr>
        <w:pStyle w:val="ListParagraph"/>
        <w:numPr>
          <w:ilvl w:val="0"/>
          <w:numId w:val="21"/>
        </w:numPr>
        <w:ind w:left="0" w:firstLine="0"/>
        <w:jc w:val="both"/>
        <w:rPr>
          <w:rFonts w:cs="Arial"/>
          <w:lang w:val="ru-RU"/>
        </w:rPr>
      </w:pPr>
      <w:r w:rsidRPr="00B655FE">
        <w:rPr>
          <w:lang w:val="ru-RU"/>
        </w:rPr>
        <w:t>В рассматриваемый двухлетний период ОВН продолжал обмен мнениями с персоналом, руководством ВОИС и государствами-членами, проводя презентации и выпустив четыре информационных бюллетеня. ОВН также организовал ежегодную встречу руководителей служб внутреннего аудита (РСВА) международных организаций в Европе.</w:t>
      </w:r>
    </w:p>
    <w:p w:rsidR="00B655FE" w:rsidRPr="00B655FE" w:rsidRDefault="00B655FE" w:rsidP="00B655FE">
      <w:pPr>
        <w:pStyle w:val="ListParagraph"/>
        <w:ind w:left="0"/>
        <w:jc w:val="both"/>
        <w:rPr>
          <w:rFonts w:cs="Arial"/>
          <w:lang w:val="ru-RU"/>
        </w:rPr>
      </w:pPr>
    </w:p>
    <w:p w:rsidR="00B655FE" w:rsidRPr="00B655FE" w:rsidRDefault="00B655FE" w:rsidP="00B655FE">
      <w:pPr>
        <w:pStyle w:val="ListParagraph"/>
        <w:numPr>
          <w:ilvl w:val="0"/>
          <w:numId w:val="21"/>
        </w:numPr>
        <w:ind w:left="0" w:firstLine="0"/>
        <w:jc w:val="both"/>
        <w:rPr>
          <w:rFonts w:cs="Arial"/>
          <w:lang w:val="ru-RU"/>
        </w:rPr>
      </w:pPr>
      <w:r w:rsidRPr="00B655FE">
        <w:rPr>
          <w:lang w:val="ru-RU"/>
        </w:rPr>
        <w:t>ОВН контролировал исполнение рекомендаций прошлых лет, вынесенных в порядке надзора, в целях обеспечения их надлежащего исполнения руководством, подтвердив, что в общей сложности были закрыты 186</w:t>
      </w:r>
      <w:r>
        <w:t> </w:t>
      </w:r>
      <w:r w:rsidRPr="00B655FE">
        <w:rPr>
          <w:lang w:val="ru-RU"/>
        </w:rPr>
        <w:t>рекомендации, вынесенных в порядке надзора (94 в 2014</w:t>
      </w:r>
      <w:r>
        <w:t> </w:t>
      </w:r>
      <w:r w:rsidRPr="00B655FE">
        <w:rPr>
          <w:lang w:val="ru-RU"/>
        </w:rPr>
        <w:t>г. и 92 в 2015</w:t>
      </w:r>
      <w:r>
        <w:t> </w:t>
      </w:r>
      <w:r w:rsidRPr="00B655FE">
        <w:rPr>
          <w:lang w:val="ru-RU"/>
        </w:rPr>
        <w:t>г.)</w:t>
      </w:r>
      <w:r>
        <w:rPr>
          <w:rStyle w:val="FootnoteReference"/>
        </w:rPr>
        <w:footnoteReference w:id="144"/>
      </w:r>
      <w:r w:rsidRPr="00B655FE">
        <w:rPr>
          <w:lang w:val="ru-RU"/>
        </w:rPr>
        <w:t xml:space="preserve">. ОВН продолжал оказывать руководству ВОИС профессиональную консультативную помощь и делился своими замечаниями по вопросам руководства, управления рисками и внутреннего контроля, а также другим аспектам деятельности, например, по разработке или пересмотру политики, служебных инструкций (СИ) и/или руководящих принципов, а также по подготовке отчетов о внешней экспертизе. </w:t>
      </w:r>
    </w:p>
    <w:p w:rsidR="00B655FE" w:rsidRPr="00B655FE" w:rsidRDefault="00B655FE" w:rsidP="00B655FE">
      <w:pPr>
        <w:pStyle w:val="ListParagraph"/>
        <w:ind w:left="0"/>
        <w:jc w:val="both"/>
        <w:rPr>
          <w:rFonts w:cs="Arial"/>
          <w:lang w:val="ru-RU"/>
        </w:rPr>
      </w:pPr>
    </w:p>
    <w:p w:rsidR="00B655FE" w:rsidRPr="00B655FE" w:rsidRDefault="00B655FE" w:rsidP="00B655FE">
      <w:pPr>
        <w:pStyle w:val="ListParagraph"/>
        <w:numPr>
          <w:ilvl w:val="0"/>
          <w:numId w:val="21"/>
        </w:numPr>
        <w:ind w:left="0" w:firstLine="0"/>
        <w:jc w:val="both"/>
        <w:rPr>
          <w:rFonts w:cs="Arial"/>
          <w:lang w:val="ru-RU"/>
        </w:rPr>
      </w:pPr>
      <w:r w:rsidRPr="00B655FE">
        <w:rPr>
          <w:lang w:val="ru-RU"/>
        </w:rPr>
        <w:t>НККН продолжал тщательно анализировать работу ОВН, который воспользовался рекомендациями НККН в области реализации его плана надзора.</w:t>
      </w:r>
    </w:p>
    <w:p w:rsidR="00B655FE" w:rsidRPr="00B655FE" w:rsidRDefault="00B655FE" w:rsidP="00B655FE">
      <w:pPr>
        <w:jc w:val="both"/>
        <w:rPr>
          <w:rFonts w:cs="Arial"/>
          <w:szCs w:val="20"/>
          <w:lang w:val="ru-RU"/>
        </w:rPr>
      </w:pPr>
    </w:p>
    <w:p w:rsidR="00B655FE" w:rsidRPr="00B655FE" w:rsidRDefault="00B655FE" w:rsidP="00B655FE">
      <w:pPr>
        <w:jc w:val="both"/>
        <w:rPr>
          <w:rFonts w:cs="Arial"/>
          <w:szCs w:val="20"/>
          <w:lang w:val="ru-RU"/>
        </w:rPr>
      </w:pPr>
    </w:p>
    <w:p w:rsidR="00B655FE" w:rsidRPr="006A6733" w:rsidRDefault="00B655FE" w:rsidP="00B655FE">
      <w:pPr>
        <w:jc w:val="both"/>
        <w:rPr>
          <w:rFonts w:cs="Arial"/>
          <w:szCs w:val="20"/>
        </w:rPr>
      </w:pPr>
      <w:r>
        <w:t>ДАННЫЕ О РЕЗУЛЬТАТИВНОСТИ</w:t>
      </w:r>
    </w:p>
    <w:p w:rsidR="00B655FE" w:rsidRPr="00C3328E" w:rsidRDefault="00B655FE" w:rsidP="00B655FE">
      <w:pPr>
        <w:jc w:val="both"/>
        <w:rPr>
          <w:rFonts w:cs="Arial"/>
          <w:szCs w:val="20"/>
        </w:rPr>
      </w:pPr>
    </w:p>
    <w:tbl>
      <w:tblPr>
        <w:tblW w:w="4917"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34"/>
        <w:gridCol w:w="1978"/>
        <w:gridCol w:w="1978"/>
        <w:gridCol w:w="2129"/>
        <w:gridCol w:w="1193"/>
      </w:tblGrid>
      <w:tr w:rsidR="00B655FE" w:rsidRPr="005C6ABD" w:rsidTr="00955E75">
        <w:tc>
          <w:tcPr>
            <w:tcW w:w="5000" w:type="pct"/>
            <w:gridSpan w:val="5"/>
            <w:tcBorders>
              <w:top w:val="single" w:sz="4" w:space="0" w:color="auto"/>
              <w:bottom w:val="single" w:sz="4" w:space="0" w:color="auto"/>
            </w:tcBorders>
            <w:shd w:val="clear" w:color="auto" w:fill="C6D9F1" w:themeFill="text2" w:themeFillTint="33"/>
            <w:vAlign w:val="center"/>
          </w:tcPr>
          <w:p w:rsidR="00B655FE" w:rsidRPr="00B655FE" w:rsidRDefault="00B655FE" w:rsidP="008320CF">
            <w:pPr>
              <w:keepNext/>
              <w:keepLines/>
              <w:tabs>
                <w:tab w:val="left" w:pos="2302"/>
              </w:tabs>
              <w:spacing w:before="120" w:after="120"/>
              <w:ind w:left="2302" w:hanging="2302"/>
              <w:rPr>
                <w:rFonts w:cs="Arial"/>
                <w:b/>
                <w:bCs/>
                <w:sz w:val="16"/>
                <w:szCs w:val="16"/>
                <w:lang w:val="ru-RU"/>
              </w:rPr>
            </w:pPr>
            <w:r w:rsidRPr="00B655FE">
              <w:rPr>
                <w:rFonts w:cs="Arial"/>
                <w:b/>
                <w:sz w:val="16"/>
                <w:szCs w:val="16"/>
                <w:lang w:val="ru-RU"/>
              </w:rPr>
              <w:t xml:space="preserve">Ожидаемый результат: </w:t>
            </w:r>
            <w:r w:rsidRPr="00B655FE">
              <w:rPr>
                <w:rFonts w:cs="Arial"/>
                <w:sz w:val="16"/>
                <w:szCs w:val="16"/>
                <w:lang w:val="ru-RU"/>
              </w:rPr>
              <w:tab/>
            </w:r>
            <w:r w:rsidRPr="00B66E2E">
              <w:rPr>
                <w:rFonts w:cs="Arial"/>
                <w:sz w:val="16"/>
                <w:szCs w:val="16"/>
              </w:rPr>
              <w:t>IX</w:t>
            </w:r>
            <w:r w:rsidRPr="00B655FE">
              <w:rPr>
                <w:rFonts w:cs="Arial"/>
                <w:sz w:val="16"/>
                <w:szCs w:val="16"/>
                <w:lang w:val="ru-RU"/>
              </w:rPr>
              <w:t>.8. Рост подотчетности, обучение на рабочем месте, рацио</w:t>
            </w:r>
            <w:r w:rsidR="008320CF">
              <w:rPr>
                <w:rFonts w:cs="Arial"/>
                <w:sz w:val="16"/>
                <w:szCs w:val="16"/>
                <w:lang w:val="ru-RU"/>
              </w:rPr>
              <w:t xml:space="preserve">нальное использование средств, </w:t>
            </w:r>
            <w:r w:rsidRPr="00B655FE">
              <w:rPr>
                <w:rFonts w:cs="Arial"/>
                <w:sz w:val="16"/>
                <w:szCs w:val="16"/>
                <w:lang w:val="ru-RU"/>
              </w:rPr>
              <w:t>разумное руководство, внутренний контроль и корпоратив</w:t>
            </w:r>
            <w:r w:rsidR="008320CF">
              <w:rPr>
                <w:rFonts w:cs="Arial"/>
                <w:sz w:val="16"/>
                <w:szCs w:val="16"/>
                <w:lang w:val="ru-RU"/>
              </w:rPr>
              <w:t xml:space="preserve">ное управление, обеспечиваемые </w:t>
            </w:r>
            <w:r w:rsidRPr="00B655FE">
              <w:rPr>
                <w:rFonts w:cs="Arial"/>
                <w:sz w:val="16"/>
                <w:szCs w:val="16"/>
                <w:lang w:val="ru-RU"/>
              </w:rPr>
              <w:t>благодаря эффективному и независимому надзору</w:t>
            </w:r>
          </w:p>
        </w:tc>
      </w:tr>
      <w:tr w:rsidR="00B655FE" w:rsidRPr="00B66E2E" w:rsidTr="00955E75">
        <w:tc>
          <w:tcPr>
            <w:tcW w:w="1133" w:type="pct"/>
            <w:tcBorders>
              <w:top w:val="single" w:sz="4" w:space="0" w:color="auto"/>
              <w:left w:val="single" w:sz="4" w:space="0" w:color="auto"/>
              <w:bottom w:val="nil"/>
            </w:tcBorders>
            <w:shd w:val="clear" w:color="auto" w:fill="auto"/>
            <w:vAlign w:val="center"/>
          </w:tcPr>
          <w:p w:rsidR="00B655FE" w:rsidRPr="00B66E2E" w:rsidRDefault="00B655FE" w:rsidP="00955E75">
            <w:pPr>
              <w:rPr>
                <w:rFonts w:cs="Arial"/>
                <w:sz w:val="16"/>
                <w:szCs w:val="16"/>
              </w:rPr>
            </w:pPr>
            <w:r w:rsidRPr="00B66E2E">
              <w:rPr>
                <w:rFonts w:cs="Arial"/>
                <w:b/>
                <w:sz w:val="16"/>
                <w:szCs w:val="16"/>
              </w:rPr>
              <w:t>Показатели результативности</w:t>
            </w:r>
          </w:p>
        </w:tc>
        <w:tc>
          <w:tcPr>
            <w:tcW w:w="1051" w:type="pct"/>
            <w:tcBorders>
              <w:top w:val="single" w:sz="4" w:space="0" w:color="auto"/>
              <w:bottom w:val="nil"/>
            </w:tcBorders>
            <w:shd w:val="clear" w:color="auto" w:fill="auto"/>
            <w:vAlign w:val="center"/>
          </w:tcPr>
          <w:p w:rsidR="00B655FE" w:rsidRPr="00B66E2E" w:rsidRDefault="00B655FE" w:rsidP="00955E75">
            <w:pPr>
              <w:rPr>
                <w:rFonts w:cs="Arial"/>
                <w:b/>
                <w:bCs/>
                <w:sz w:val="16"/>
                <w:szCs w:val="16"/>
              </w:rPr>
            </w:pPr>
            <w:r w:rsidRPr="00B66E2E">
              <w:rPr>
                <w:rFonts w:cs="Arial"/>
                <w:b/>
                <w:sz w:val="16"/>
                <w:szCs w:val="16"/>
              </w:rPr>
              <w:t>Базовые показатели</w:t>
            </w:r>
          </w:p>
        </w:tc>
        <w:tc>
          <w:tcPr>
            <w:tcW w:w="1051" w:type="pct"/>
            <w:tcBorders>
              <w:top w:val="single" w:sz="4" w:space="0" w:color="auto"/>
              <w:bottom w:val="nil"/>
            </w:tcBorders>
            <w:shd w:val="clear" w:color="auto" w:fill="auto"/>
            <w:tcMar>
              <w:top w:w="110" w:type="dxa"/>
            </w:tcMar>
            <w:vAlign w:val="center"/>
          </w:tcPr>
          <w:p w:rsidR="00B655FE" w:rsidRPr="00B66E2E" w:rsidRDefault="00B655FE" w:rsidP="00955E75">
            <w:pPr>
              <w:rPr>
                <w:rFonts w:cs="Arial"/>
                <w:b/>
                <w:sz w:val="16"/>
                <w:szCs w:val="16"/>
              </w:rPr>
            </w:pPr>
            <w:r w:rsidRPr="00B66E2E">
              <w:rPr>
                <w:rFonts w:cs="Arial"/>
                <w:b/>
                <w:sz w:val="16"/>
                <w:szCs w:val="16"/>
              </w:rPr>
              <w:t>Цели</w:t>
            </w:r>
          </w:p>
        </w:tc>
        <w:tc>
          <w:tcPr>
            <w:tcW w:w="1131" w:type="pct"/>
            <w:tcBorders>
              <w:top w:val="single" w:sz="4" w:space="0" w:color="auto"/>
              <w:bottom w:val="nil"/>
            </w:tcBorders>
            <w:shd w:val="clear" w:color="auto" w:fill="FFFFFF"/>
            <w:tcMar>
              <w:top w:w="110" w:type="dxa"/>
            </w:tcMar>
            <w:vAlign w:val="center"/>
          </w:tcPr>
          <w:p w:rsidR="00B655FE" w:rsidRPr="00B66E2E" w:rsidRDefault="00B655FE" w:rsidP="00955E75">
            <w:pPr>
              <w:rPr>
                <w:rFonts w:cs="Arial"/>
                <w:sz w:val="16"/>
                <w:szCs w:val="16"/>
              </w:rPr>
            </w:pPr>
            <w:r w:rsidRPr="00B66E2E">
              <w:rPr>
                <w:rFonts w:cs="Arial"/>
                <w:b/>
                <w:sz w:val="16"/>
                <w:szCs w:val="16"/>
              </w:rPr>
              <w:t>Данные о результативности</w:t>
            </w:r>
          </w:p>
        </w:tc>
        <w:tc>
          <w:tcPr>
            <w:tcW w:w="634" w:type="pct"/>
            <w:tcBorders>
              <w:top w:val="single" w:sz="4" w:space="0" w:color="auto"/>
              <w:bottom w:val="nil"/>
              <w:right w:val="single" w:sz="4" w:space="0" w:color="auto"/>
            </w:tcBorders>
            <w:shd w:val="clear" w:color="auto" w:fill="auto"/>
            <w:tcMar>
              <w:top w:w="110" w:type="dxa"/>
            </w:tcMar>
            <w:vAlign w:val="center"/>
          </w:tcPr>
          <w:p w:rsidR="00B655FE" w:rsidRPr="00B66E2E" w:rsidRDefault="00B655FE" w:rsidP="00955E75">
            <w:pPr>
              <w:keepNext/>
              <w:keepLines/>
              <w:jc w:val="center"/>
              <w:rPr>
                <w:rFonts w:cs="Arial"/>
                <w:b/>
                <w:bCs/>
                <w:sz w:val="16"/>
                <w:szCs w:val="16"/>
              </w:rPr>
            </w:pPr>
            <w:r w:rsidRPr="00B66E2E">
              <w:rPr>
                <w:rFonts w:cs="Arial"/>
                <w:b/>
                <w:sz w:val="16"/>
                <w:szCs w:val="16"/>
              </w:rPr>
              <w:t>CC</w:t>
            </w:r>
          </w:p>
        </w:tc>
      </w:tr>
      <w:tr w:rsidR="00B655FE" w:rsidRPr="00B66E2E" w:rsidTr="00955E75">
        <w:trPr>
          <w:trHeight w:val="1328"/>
        </w:trPr>
        <w:tc>
          <w:tcPr>
            <w:tcW w:w="1133" w:type="pct"/>
            <w:tcBorders>
              <w:top w:val="nil"/>
              <w:left w:val="single" w:sz="4" w:space="0" w:color="auto"/>
              <w:bottom w:val="nil"/>
            </w:tcBorders>
            <w:shd w:val="clear" w:color="auto" w:fill="auto"/>
          </w:tcPr>
          <w:p w:rsidR="00B655FE" w:rsidRPr="00B655FE" w:rsidRDefault="00B655FE" w:rsidP="00955E75">
            <w:pPr>
              <w:keepNext/>
              <w:keepLines/>
              <w:rPr>
                <w:rFonts w:cs="Arial"/>
                <w:sz w:val="16"/>
                <w:szCs w:val="16"/>
                <w:lang w:val="ru-RU"/>
              </w:rPr>
            </w:pPr>
            <w:r w:rsidRPr="00B655FE">
              <w:rPr>
                <w:rFonts w:cs="Arial"/>
                <w:sz w:val="16"/>
                <w:szCs w:val="16"/>
                <w:lang w:val="ru-RU"/>
              </w:rPr>
              <w:t>Невмешательство и предполагаемая независимость основных заинтересованных сторон</w:t>
            </w:r>
          </w:p>
        </w:tc>
        <w:tc>
          <w:tcPr>
            <w:tcW w:w="1051" w:type="pct"/>
            <w:tcBorders>
              <w:top w:val="nil"/>
              <w:bottom w:val="nil"/>
            </w:tcBorders>
            <w:shd w:val="clear" w:color="auto" w:fill="auto"/>
          </w:tcPr>
          <w:p w:rsidR="00B655FE" w:rsidRPr="00B655FE" w:rsidRDefault="00B655FE" w:rsidP="00955E75">
            <w:pPr>
              <w:keepNext/>
              <w:keepLines/>
              <w:rPr>
                <w:rFonts w:cs="Arial"/>
                <w:i/>
                <w:color w:val="002060"/>
                <w:sz w:val="16"/>
                <w:szCs w:val="16"/>
                <w:lang w:val="ru-RU"/>
              </w:rPr>
            </w:pPr>
            <w:r w:rsidRPr="00B655FE">
              <w:rPr>
                <w:rFonts w:cs="Arial"/>
                <w:i/>
                <w:color w:val="002060"/>
                <w:sz w:val="16"/>
                <w:szCs w:val="16"/>
                <w:lang w:val="ru-RU"/>
              </w:rPr>
              <w:t>Обновленные базовые показатели, конец 2013</w:t>
            </w:r>
            <w:r w:rsidRPr="00B66E2E">
              <w:rPr>
                <w:rFonts w:cs="Arial"/>
                <w:i/>
                <w:color w:val="002060"/>
                <w:sz w:val="16"/>
                <w:szCs w:val="16"/>
              </w:rPr>
              <w:t> </w:t>
            </w:r>
            <w:r w:rsidRPr="00B655FE">
              <w:rPr>
                <w:rFonts w:cs="Arial"/>
                <w:i/>
                <w:color w:val="002060"/>
                <w:sz w:val="16"/>
                <w:szCs w:val="16"/>
                <w:lang w:val="ru-RU"/>
              </w:rPr>
              <w:t xml:space="preserve">г.:  </w:t>
            </w:r>
            <w:r w:rsidRPr="00B655FE">
              <w:rPr>
                <w:rFonts w:cs="Arial"/>
                <w:sz w:val="16"/>
                <w:szCs w:val="16"/>
                <w:lang w:val="ru-RU"/>
              </w:rPr>
              <w:t>невмешательство в работу ОВН</w:t>
            </w:r>
          </w:p>
          <w:p w:rsidR="00B655FE" w:rsidRPr="00B655FE" w:rsidRDefault="00B655FE" w:rsidP="00955E75">
            <w:pPr>
              <w:keepNext/>
              <w:keepLines/>
              <w:rPr>
                <w:rFonts w:cs="Arial"/>
                <w:i/>
                <w:color w:val="002060"/>
                <w:sz w:val="16"/>
                <w:szCs w:val="16"/>
                <w:lang w:val="ru-RU"/>
              </w:rPr>
            </w:pPr>
          </w:p>
          <w:p w:rsidR="00B655FE" w:rsidRPr="00B655FE" w:rsidRDefault="00B655FE" w:rsidP="00955E75">
            <w:pPr>
              <w:keepNext/>
              <w:keepLines/>
              <w:rPr>
                <w:rFonts w:cs="Arial"/>
                <w:sz w:val="16"/>
                <w:szCs w:val="16"/>
                <w:lang w:val="ru-RU"/>
              </w:rPr>
            </w:pPr>
            <w:r w:rsidRPr="00B655FE">
              <w:rPr>
                <w:rFonts w:cs="Arial"/>
                <w:i/>
                <w:sz w:val="16"/>
                <w:szCs w:val="16"/>
                <w:lang w:val="ru-RU"/>
              </w:rPr>
              <w:t xml:space="preserve">Исходные базовые показатели ПиБ на 2014–2015 гг.: </w:t>
            </w:r>
            <w:r w:rsidRPr="00B655FE">
              <w:rPr>
                <w:rFonts w:cs="Arial"/>
                <w:sz w:val="16"/>
                <w:szCs w:val="16"/>
                <w:lang w:val="ru-RU"/>
              </w:rPr>
              <w:t>невмешательство в работу ОВН</w:t>
            </w:r>
          </w:p>
        </w:tc>
        <w:tc>
          <w:tcPr>
            <w:tcW w:w="1051" w:type="pct"/>
            <w:tcBorders>
              <w:top w:val="nil"/>
              <w:bottom w:val="nil"/>
            </w:tcBorders>
            <w:shd w:val="clear" w:color="auto" w:fill="auto"/>
            <w:tcMar>
              <w:top w:w="110" w:type="dxa"/>
            </w:tcMar>
          </w:tcPr>
          <w:p w:rsidR="00B655FE" w:rsidRPr="00B655FE" w:rsidRDefault="00B655FE" w:rsidP="00955E75">
            <w:pPr>
              <w:keepNext/>
              <w:keepLines/>
              <w:rPr>
                <w:rFonts w:cs="Arial"/>
                <w:sz w:val="16"/>
                <w:szCs w:val="16"/>
                <w:lang w:val="ru-RU"/>
              </w:rPr>
            </w:pPr>
            <w:r w:rsidRPr="00B655FE">
              <w:rPr>
                <w:rFonts w:cs="Arial"/>
                <w:sz w:val="16"/>
                <w:szCs w:val="16"/>
                <w:lang w:val="ru-RU"/>
              </w:rPr>
              <w:t>Полная независимость и восприятие в качестве независимого органа ключевыми партнерами (клиентами/ НККН / государствами-членами)</w:t>
            </w:r>
          </w:p>
        </w:tc>
        <w:tc>
          <w:tcPr>
            <w:tcW w:w="1131" w:type="pct"/>
            <w:tcBorders>
              <w:top w:val="nil"/>
              <w:bottom w:val="nil"/>
            </w:tcBorders>
            <w:shd w:val="clear" w:color="auto" w:fill="FFFFFF"/>
            <w:tcMar>
              <w:top w:w="110" w:type="dxa"/>
            </w:tcMar>
          </w:tcPr>
          <w:p w:rsidR="00B655FE" w:rsidRPr="00B655FE" w:rsidRDefault="00B655FE" w:rsidP="00955E75">
            <w:pPr>
              <w:rPr>
                <w:rFonts w:cs="Arial"/>
                <w:sz w:val="16"/>
                <w:szCs w:val="16"/>
                <w:lang w:val="ru-RU"/>
              </w:rPr>
            </w:pPr>
            <w:r w:rsidRPr="00B655FE">
              <w:rPr>
                <w:rFonts w:cs="Arial"/>
                <w:sz w:val="16"/>
                <w:szCs w:val="16"/>
                <w:lang w:val="ru-RU"/>
              </w:rPr>
              <w:t xml:space="preserve">Невмешательство в работу ОВН, что отражено в ежегодных отчетах </w:t>
            </w:r>
            <w:r w:rsidRPr="00B66E2E">
              <w:rPr>
                <w:rFonts w:cs="Arial"/>
                <w:sz w:val="16"/>
                <w:szCs w:val="16"/>
              </w:rPr>
              <w:t>WO</w:t>
            </w:r>
            <w:r w:rsidRPr="00B655FE">
              <w:rPr>
                <w:rFonts w:cs="Arial"/>
                <w:sz w:val="16"/>
                <w:szCs w:val="16"/>
                <w:lang w:val="ru-RU"/>
              </w:rPr>
              <w:t>/</w:t>
            </w:r>
            <w:r w:rsidRPr="00B66E2E">
              <w:rPr>
                <w:rFonts w:cs="Arial"/>
                <w:sz w:val="16"/>
                <w:szCs w:val="16"/>
              </w:rPr>
              <w:t>PBC</w:t>
            </w:r>
            <w:r w:rsidRPr="00B655FE">
              <w:rPr>
                <w:rFonts w:cs="Arial"/>
                <w:sz w:val="16"/>
                <w:szCs w:val="16"/>
                <w:lang w:val="ru-RU"/>
              </w:rPr>
              <w:t xml:space="preserve">/22/4 и </w:t>
            </w:r>
            <w:r w:rsidRPr="00B66E2E">
              <w:rPr>
                <w:rFonts w:cs="Arial"/>
                <w:sz w:val="16"/>
                <w:szCs w:val="16"/>
              </w:rPr>
              <w:t>WO</w:t>
            </w:r>
            <w:r w:rsidRPr="00B655FE">
              <w:rPr>
                <w:rFonts w:cs="Arial"/>
                <w:sz w:val="16"/>
                <w:szCs w:val="16"/>
                <w:lang w:val="ru-RU"/>
              </w:rPr>
              <w:t>/</w:t>
            </w:r>
            <w:r w:rsidRPr="00B66E2E">
              <w:rPr>
                <w:rFonts w:cs="Arial"/>
                <w:sz w:val="16"/>
                <w:szCs w:val="16"/>
              </w:rPr>
              <w:t>PBC</w:t>
            </w:r>
            <w:r w:rsidRPr="00B655FE">
              <w:rPr>
                <w:rFonts w:cs="Arial"/>
                <w:sz w:val="16"/>
                <w:szCs w:val="16"/>
                <w:lang w:val="ru-RU"/>
              </w:rPr>
              <w:t xml:space="preserve">/24/6. </w:t>
            </w:r>
          </w:p>
          <w:p w:rsidR="00B655FE" w:rsidRPr="00B655FE" w:rsidRDefault="00B655FE" w:rsidP="00955E75">
            <w:pPr>
              <w:rPr>
                <w:rFonts w:cs="Arial"/>
                <w:sz w:val="16"/>
                <w:szCs w:val="16"/>
                <w:lang w:val="ru-RU"/>
              </w:rPr>
            </w:pPr>
          </w:p>
          <w:p w:rsidR="00B655FE" w:rsidRPr="00B655FE" w:rsidRDefault="00B655FE" w:rsidP="00955E75">
            <w:pPr>
              <w:rPr>
                <w:rFonts w:cs="Arial"/>
                <w:sz w:val="16"/>
                <w:szCs w:val="16"/>
                <w:lang w:val="ru-RU"/>
              </w:rPr>
            </w:pPr>
            <w:r w:rsidRPr="00B655FE">
              <w:rPr>
                <w:rFonts w:cs="Arial"/>
                <w:sz w:val="16"/>
                <w:szCs w:val="16"/>
                <w:lang w:val="ru-RU"/>
              </w:rPr>
              <w:t>Директор ОВН регулярно проводил встречи с Генеральным директоров, НККН и при необходимости – с представителями государств-членов.</w:t>
            </w:r>
          </w:p>
          <w:p w:rsidR="00B655FE" w:rsidRPr="00B655FE" w:rsidRDefault="00B655FE" w:rsidP="00955E75">
            <w:pPr>
              <w:rPr>
                <w:rFonts w:cs="Arial"/>
                <w:sz w:val="16"/>
                <w:szCs w:val="16"/>
                <w:lang w:val="ru-RU"/>
              </w:rPr>
            </w:pPr>
          </w:p>
          <w:p w:rsidR="00B655FE" w:rsidRPr="00B655FE" w:rsidRDefault="00B655FE" w:rsidP="00955E75">
            <w:pPr>
              <w:rPr>
                <w:rFonts w:cs="Arial"/>
                <w:sz w:val="16"/>
                <w:szCs w:val="16"/>
                <w:lang w:val="ru-RU"/>
              </w:rPr>
            </w:pPr>
            <w:r w:rsidRPr="00B655FE">
              <w:rPr>
                <w:rFonts w:cs="Arial"/>
                <w:sz w:val="16"/>
                <w:szCs w:val="16"/>
                <w:lang w:val="ru-RU"/>
              </w:rPr>
              <w:t>Случаи усматриваемого нарушения независимости были переданы в НККН в соответствии с пунктом 18 Устава.</w:t>
            </w:r>
          </w:p>
        </w:tc>
        <w:tc>
          <w:tcPr>
            <w:tcW w:w="634" w:type="pct"/>
            <w:tcBorders>
              <w:top w:val="nil"/>
              <w:bottom w:val="nil"/>
              <w:right w:val="single" w:sz="4" w:space="0" w:color="auto"/>
            </w:tcBorders>
            <w:shd w:val="clear" w:color="auto" w:fill="auto"/>
            <w:tcMar>
              <w:top w:w="110" w:type="dxa"/>
            </w:tcMar>
          </w:tcPr>
          <w:p w:rsidR="00B655FE" w:rsidRPr="00B66E2E" w:rsidRDefault="00B655FE" w:rsidP="00955E75">
            <w:pPr>
              <w:keepNext/>
              <w:keepLines/>
              <w:jc w:val="center"/>
              <w:rPr>
                <w:rFonts w:cs="Arial"/>
                <w:b/>
                <w:bCs/>
                <w:color w:val="00B050"/>
                <w:sz w:val="16"/>
                <w:szCs w:val="16"/>
              </w:rPr>
            </w:pPr>
            <w:r w:rsidRPr="00B66E2E">
              <w:rPr>
                <w:rFonts w:cs="Arial"/>
                <w:b/>
                <w:color w:val="00B050"/>
                <w:sz w:val="16"/>
                <w:szCs w:val="16"/>
              </w:rPr>
              <w:t>Выполнено</w:t>
            </w:r>
          </w:p>
        </w:tc>
      </w:tr>
      <w:tr w:rsidR="00B655FE" w:rsidRPr="00B66E2E" w:rsidTr="00955E75">
        <w:tc>
          <w:tcPr>
            <w:tcW w:w="1133" w:type="pct"/>
            <w:tcBorders>
              <w:top w:val="nil"/>
              <w:left w:val="single" w:sz="4" w:space="0" w:color="auto"/>
              <w:bottom w:val="nil"/>
            </w:tcBorders>
            <w:shd w:val="clear" w:color="auto" w:fill="auto"/>
          </w:tcPr>
          <w:p w:rsidR="00B655FE" w:rsidRPr="00B655FE" w:rsidRDefault="00B655FE" w:rsidP="00955E75">
            <w:pPr>
              <w:rPr>
                <w:rFonts w:cs="Arial"/>
                <w:sz w:val="16"/>
                <w:szCs w:val="16"/>
                <w:lang w:val="ru-RU"/>
              </w:rPr>
            </w:pPr>
            <w:r w:rsidRPr="00B655FE">
              <w:rPr>
                <w:rFonts w:cs="Arial"/>
                <w:sz w:val="16"/>
                <w:szCs w:val="16"/>
                <w:lang w:val="ru-RU"/>
              </w:rPr>
              <w:t xml:space="preserve">ЭФФЕКТИВНОСТЬ </w:t>
            </w:r>
          </w:p>
          <w:p w:rsidR="00B655FE" w:rsidRPr="00B655FE" w:rsidRDefault="00B655FE" w:rsidP="00955E75">
            <w:pPr>
              <w:rPr>
                <w:rFonts w:cs="Arial"/>
                <w:sz w:val="16"/>
                <w:szCs w:val="16"/>
                <w:lang w:val="ru-RU"/>
              </w:rPr>
            </w:pPr>
            <w:r w:rsidRPr="00B655FE">
              <w:rPr>
                <w:rFonts w:cs="Arial"/>
                <w:sz w:val="16"/>
                <w:szCs w:val="16"/>
                <w:lang w:val="ru-RU"/>
              </w:rPr>
              <w:t>Доля (%) работы ОВН, связанная с областями деятельности с высоким риском / важными областями</w:t>
            </w:r>
          </w:p>
        </w:tc>
        <w:tc>
          <w:tcPr>
            <w:tcW w:w="1051" w:type="pct"/>
            <w:tcBorders>
              <w:top w:val="nil"/>
              <w:bottom w:val="nil"/>
            </w:tcBorders>
            <w:shd w:val="clear" w:color="auto" w:fill="auto"/>
          </w:tcPr>
          <w:p w:rsidR="00B655FE" w:rsidRPr="00B655FE" w:rsidRDefault="00B655FE" w:rsidP="00955E75">
            <w:pPr>
              <w:keepNext/>
              <w:keepLines/>
              <w:rPr>
                <w:rFonts w:cs="Arial"/>
                <w:i/>
                <w:color w:val="002060"/>
                <w:sz w:val="16"/>
                <w:szCs w:val="16"/>
                <w:lang w:val="ru-RU"/>
              </w:rPr>
            </w:pPr>
            <w:r w:rsidRPr="00B655FE">
              <w:rPr>
                <w:rFonts w:cs="Arial"/>
                <w:i/>
                <w:color w:val="002060"/>
                <w:sz w:val="16"/>
                <w:szCs w:val="16"/>
                <w:lang w:val="ru-RU"/>
              </w:rPr>
              <w:t>Обновленные базовые показатели, конец 2013</w:t>
            </w:r>
            <w:r w:rsidRPr="00B66E2E">
              <w:rPr>
                <w:rFonts w:cs="Arial"/>
                <w:i/>
                <w:color w:val="002060"/>
                <w:sz w:val="16"/>
                <w:szCs w:val="16"/>
              </w:rPr>
              <w:t> </w:t>
            </w:r>
            <w:r w:rsidRPr="00B655FE">
              <w:rPr>
                <w:rFonts w:cs="Arial"/>
                <w:i/>
                <w:color w:val="002060"/>
                <w:sz w:val="16"/>
                <w:szCs w:val="16"/>
                <w:lang w:val="ru-RU"/>
              </w:rPr>
              <w:t xml:space="preserve">г.:  </w:t>
            </w:r>
            <w:r w:rsidRPr="00B655FE">
              <w:rPr>
                <w:rFonts w:cs="Arial"/>
                <w:sz w:val="16"/>
                <w:szCs w:val="16"/>
                <w:lang w:val="ru-RU"/>
              </w:rPr>
              <w:t>вся работа (100%) связана с областями деятельности с высоким риском/ важными областями</w:t>
            </w:r>
          </w:p>
          <w:p w:rsidR="00B655FE" w:rsidRPr="00B655FE" w:rsidRDefault="00B655FE" w:rsidP="00955E75">
            <w:pPr>
              <w:keepNext/>
              <w:keepLines/>
              <w:rPr>
                <w:rFonts w:cs="Arial"/>
                <w:i/>
                <w:color w:val="002060"/>
                <w:sz w:val="16"/>
                <w:szCs w:val="16"/>
                <w:lang w:val="ru-RU"/>
              </w:rPr>
            </w:pPr>
          </w:p>
          <w:p w:rsidR="00B655FE" w:rsidRPr="00B655FE" w:rsidRDefault="00B655FE" w:rsidP="00955E75">
            <w:pPr>
              <w:rPr>
                <w:rFonts w:cs="Arial"/>
                <w:sz w:val="16"/>
                <w:szCs w:val="16"/>
                <w:lang w:val="ru-RU"/>
              </w:rPr>
            </w:pPr>
            <w:r w:rsidRPr="00B655FE">
              <w:rPr>
                <w:rFonts w:cs="Arial"/>
                <w:i/>
                <w:sz w:val="16"/>
                <w:szCs w:val="16"/>
                <w:lang w:val="ru-RU"/>
              </w:rPr>
              <w:t xml:space="preserve">Исходные базовые показатели ПиБ на 2014–2015 гг.: </w:t>
            </w:r>
            <w:r w:rsidRPr="00B655FE">
              <w:rPr>
                <w:rFonts w:cs="Arial"/>
                <w:sz w:val="16"/>
                <w:szCs w:val="16"/>
                <w:lang w:val="ru-RU"/>
              </w:rPr>
              <w:t>вся работа (100%) связана с областями деятельности с высоким риском/ важными областями</w:t>
            </w:r>
          </w:p>
          <w:p w:rsidR="00B655FE" w:rsidRPr="00B655FE" w:rsidRDefault="00B655FE" w:rsidP="00955E75">
            <w:pPr>
              <w:rPr>
                <w:rFonts w:cs="Arial"/>
                <w:sz w:val="16"/>
                <w:szCs w:val="16"/>
                <w:lang w:val="ru-RU"/>
              </w:rPr>
            </w:pPr>
          </w:p>
        </w:tc>
        <w:tc>
          <w:tcPr>
            <w:tcW w:w="1051" w:type="pct"/>
            <w:tcBorders>
              <w:top w:val="nil"/>
              <w:bottom w:val="nil"/>
            </w:tcBorders>
            <w:shd w:val="clear" w:color="auto" w:fill="auto"/>
            <w:tcMar>
              <w:top w:w="110" w:type="dxa"/>
            </w:tcMar>
          </w:tcPr>
          <w:p w:rsidR="00B655FE" w:rsidRPr="00B655FE" w:rsidRDefault="00B655FE" w:rsidP="00955E75">
            <w:pPr>
              <w:rPr>
                <w:rFonts w:cs="Arial"/>
                <w:sz w:val="16"/>
                <w:szCs w:val="16"/>
                <w:lang w:val="ru-RU"/>
              </w:rPr>
            </w:pPr>
            <w:r w:rsidRPr="00B655FE">
              <w:rPr>
                <w:rFonts w:cs="Arial"/>
                <w:sz w:val="16"/>
                <w:szCs w:val="16"/>
                <w:lang w:val="ru-RU"/>
              </w:rPr>
              <w:t>вся работа (100%) связана с областями деятельности с высоким риском / важными областями</w:t>
            </w:r>
          </w:p>
        </w:tc>
        <w:tc>
          <w:tcPr>
            <w:tcW w:w="1131" w:type="pct"/>
            <w:tcBorders>
              <w:top w:val="nil"/>
              <w:bottom w:val="nil"/>
            </w:tcBorders>
            <w:shd w:val="clear" w:color="auto" w:fill="FFFFFF"/>
            <w:tcMar>
              <w:top w:w="110" w:type="dxa"/>
            </w:tcMar>
          </w:tcPr>
          <w:p w:rsidR="00B655FE" w:rsidRPr="00B655FE" w:rsidRDefault="00B655FE" w:rsidP="00955E75">
            <w:pPr>
              <w:rPr>
                <w:rFonts w:cs="Arial"/>
                <w:sz w:val="16"/>
                <w:szCs w:val="16"/>
                <w:lang w:val="ru-RU"/>
              </w:rPr>
            </w:pPr>
            <w:r w:rsidRPr="00B655FE">
              <w:rPr>
                <w:rFonts w:cs="Arial"/>
                <w:sz w:val="16"/>
                <w:szCs w:val="16"/>
                <w:lang w:val="ru-RU"/>
              </w:rPr>
              <w:t xml:space="preserve">вся работа (100%) связана с областями деятельности с высоким риском/ важными областями </w:t>
            </w:r>
          </w:p>
          <w:p w:rsidR="00B655FE" w:rsidRPr="00B655FE" w:rsidRDefault="00B655FE" w:rsidP="00955E75">
            <w:pPr>
              <w:rPr>
                <w:rFonts w:cs="Arial"/>
                <w:sz w:val="16"/>
                <w:szCs w:val="16"/>
                <w:lang w:val="ru-RU"/>
              </w:rPr>
            </w:pPr>
          </w:p>
        </w:tc>
        <w:tc>
          <w:tcPr>
            <w:tcW w:w="634" w:type="pct"/>
            <w:tcBorders>
              <w:top w:val="nil"/>
              <w:bottom w:val="nil"/>
              <w:right w:val="single" w:sz="4" w:space="0" w:color="auto"/>
            </w:tcBorders>
            <w:shd w:val="clear" w:color="auto" w:fill="auto"/>
            <w:tcMar>
              <w:top w:w="110" w:type="dxa"/>
            </w:tcMar>
          </w:tcPr>
          <w:p w:rsidR="00B655FE" w:rsidRPr="00B66E2E" w:rsidRDefault="00B655FE" w:rsidP="00955E75">
            <w:pPr>
              <w:keepNext/>
              <w:keepLines/>
              <w:jc w:val="center"/>
              <w:rPr>
                <w:rFonts w:cs="Arial"/>
                <w:bCs/>
                <w:color w:val="00B050"/>
                <w:sz w:val="16"/>
                <w:szCs w:val="16"/>
              </w:rPr>
            </w:pPr>
            <w:r w:rsidRPr="00B66E2E">
              <w:rPr>
                <w:rFonts w:cs="Arial"/>
                <w:b/>
                <w:color w:val="00B050"/>
                <w:sz w:val="16"/>
                <w:szCs w:val="16"/>
              </w:rPr>
              <w:t>Выполнено</w:t>
            </w:r>
          </w:p>
        </w:tc>
      </w:tr>
      <w:tr w:rsidR="00B655FE" w:rsidRPr="00B66E2E" w:rsidTr="00955E75">
        <w:tc>
          <w:tcPr>
            <w:tcW w:w="1133" w:type="pct"/>
            <w:tcBorders>
              <w:top w:val="nil"/>
              <w:left w:val="single" w:sz="4" w:space="0" w:color="auto"/>
              <w:bottom w:val="nil"/>
            </w:tcBorders>
            <w:shd w:val="clear" w:color="auto" w:fill="auto"/>
          </w:tcPr>
          <w:p w:rsidR="00B655FE" w:rsidRPr="00B655FE" w:rsidRDefault="00B655FE" w:rsidP="00955E75">
            <w:pPr>
              <w:rPr>
                <w:rFonts w:cs="Arial"/>
                <w:sz w:val="16"/>
                <w:szCs w:val="16"/>
                <w:lang w:val="ru-RU"/>
              </w:rPr>
            </w:pPr>
            <w:r w:rsidRPr="00B655FE">
              <w:rPr>
                <w:rFonts w:cs="Arial"/>
                <w:sz w:val="16"/>
                <w:szCs w:val="16"/>
                <w:lang w:val="ru-RU"/>
              </w:rPr>
              <w:t xml:space="preserve">ПРОДУКТИВНОСТЬ: </w:t>
            </w:r>
          </w:p>
          <w:p w:rsidR="00B655FE" w:rsidRPr="00B655FE" w:rsidRDefault="00B655FE" w:rsidP="00955E75">
            <w:pPr>
              <w:rPr>
                <w:rFonts w:cs="Arial"/>
                <w:sz w:val="16"/>
                <w:szCs w:val="16"/>
                <w:lang w:val="ru-RU"/>
              </w:rPr>
            </w:pPr>
            <w:r w:rsidRPr="00B655FE">
              <w:rPr>
                <w:rFonts w:cs="Arial"/>
                <w:sz w:val="16"/>
                <w:szCs w:val="16"/>
                <w:lang w:val="ru-RU"/>
              </w:rPr>
              <w:t>(</w:t>
            </w:r>
            <w:r>
              <w:rPr>
                <w:rFonts w:cs="Arial"/>
                <w:sz w:val="16"/>
                <w:szCs w:val="16"/>
              </w:rPr>
              <w:t>a</w:t>
            </w:r>
            <w:r w:rsidRPr="00B655FE">
              <w:rPr>
                <w:rFonts w:cs="Arial"/>
                <w:sz w:val="16"/>
                <w:szCs w:val="16"/>
                <w:lang w:val="ru-RU"/>
              </w:rPr>
              <w:t>)</w:t>
            </w:r>
            <w:r>
              <w:rPr>
                <w:rFonts w:cs="Arial"/>
                <w:sz w:val="16"/>
                <w:szCs w:val="16"/>
              </w:rPr>
              <w:t> </w:t>
            </w:r>
            <w:r w:rsidRPr="00B655FE">
              <w:rPr>
                <w:rFonts w:cs="Arial"/>
                <w:sz w:val="16"/>
                <w:szCs w:val="16"/>
                <w:lang w:val="ru-RU"/>
              </w:rPr>
              <w:t xml:space="preserve">своевременная и качественная подготовка отчетов о надзоре, </w:t>
            </w:r>
          </w:p>
          <w:p w:rsidR="00B655FE" w:rsidRPr="00B655FE" w:rsidRDefault="00B655FE" w:rsidP="00955E75">
            <w:pPr>
              <w:rPr>
                <w:rFonts w:cs="Arial"/>
                <w:sz w:val="16"/>
                <w:szCs w:val="16"/>
                <w:lang w:val="ru-RU"/>
              </w:rPr>
            </w:pPr>
            <w:r w:rsidRPr="00B655FE">
              <w:rPr>
                <w:rFonts w:cs="Arial"/>
                <w:sz w:val="16"/>
                <w:szCs w:val="16"/>
                <w:lang w:val="ru-RU"/>
              </w:rPr>
              <w:t>(</w:t>
            </w:r>
            <w:r>
              <w:rPr>
                <w:rFonts w:cs="Arial"/>
                <w:sz w:val="16"/>
                <w:szCs w:val="16"/>
              </w:rPr>
              <w:t>b</w:t>
            </w:r>
            <w:r w:rsidRPr="00B655FE">
              <w:rPr>
                <w:rFonts w:cs="Arial"/>
                <w:sz w:val="16"/>
                <w:szCs w:val="16"/>
                <w:lang w:val="ru-RU"/>
              </w:rPr>
              <w:t>)</w:t>
            </w:r>
            <w:r>
              <w:rPr>
                <w:rFonts w:cs="Arial"/>
                <w:sz w:val="16"/>
                <w:szCs w:val="16"/>
              </w:rPr>
              <w:t> </w:t>
            </w:r>
            <w:r w:rsidRPr="00B655FE">
              <w:rPr>
                <w:rFonts w:cs="Arial"/>
                <w:sz w:val="16"/>
                <w:szCs w:val="16"/>
                <w:lang w:val="ru-RU"/>
              </w:rPr>
              <w:t xml:space="preserve">число мероприятий по проверке и оценке, проведенных в соответствии с планом </w:t>
            </w:r>
          </w:p>
          <w:p w:rsidR="00B655FE" w:rsidRPr="00B655FE" w:rsidRDefault="00B655FE" w:rsidP="00955E75">
            <w:pPr>
              <w:rPr>
                <w:rFonts w:cs="Arial"/>
                <w:sz w:val="16"/>
                <w:szCs w:val="16"/>
                <w:lang w:val="ru-RU"/>
              </w:rPr>
            </w:pPr>
            <w:r w:rsidRPr="00B655FE">
              <w:rPr>
                <w:rFonts w:cs="Arial"/>
                <w:sz w:val="16"/>
                <w:szCs w:val="16"/>
                <w:lang w:val="ru-RU"/>
              </w:rPr>
              <w:t>(</w:t>
            </w:r>
            <w:r>
              <w:rPr>
                <w:rFonts w:cs="Arial"/>
                <w:sz w:val="16"/>
                <w:szCs w:val="16"/>
              </w:rPr>
              <w:t>c</w:t>
            </w:r>
            <w:r w:rsidRPr="00B655FE">
              <w:rPr>
                <w:rFonts w:cs="Arial"/>
                <w:sz w:val="16"/>
                <w:szCs w:val="16"/>
                <w:lang w:val="ru-RU"/>
              </w:rPr>
              <w:t>)</w:t>
            </w:r>
            <w:r>
              <w:rPr>
                <w:rFonts w:cs="Arial"/>
                <w:sz w:val="16"/>
                <w:szCs w:val="16"/>
              </w:rPr>
              <w:t> </w:t>
            </w:r>
            <w:r w:rsidRPr="00B655FE">
              <w:rPr>
                <w:rFonts w:cs="Arial"/>
                <w:sz w:val="16"/>
                <w:szCs w:val="16"/>
                <w:lang w:val="ru-RU"/>
              </w:rPr>
              <w:t>число рассмотренных жалоб/сообщений о возможных должностных проступках</w:t>
            </w:r>
          </w:p>
        </w:tc>
        <w:tc>
          <w:tcPr>
            <w:tcW w:w="1051" w:type="pct"/>
            <w:tcBorders>
              <w:top w:val="nil"/>
              <w:bottom w:val="nil"/>
            </w:tcBorders>
            <w:shd w:val="clear" w:color="auto" w:fill="auto"/>
          </w:tcPr>
          <w:p w:rsidR="00B655FE" w:rsidRPr="00B655FE" w:rsidRDefault="00B655FE" w:rsidP="00955E75">
            <w:pPr>
              <w:keepNext/>
              <w:keepLines/>
              <w:rPr>
                <w:rFonts w:cs="Arial"/>
                <w:i/>
                <w:color w:val="002060"/>
                <w:sz w:val="16"/>
                <w:szCs w:val="16"/>
                <w:lang w:val="ru-RU"/>
              </w:rPr>
            </w:pPr>
            <w:r w:rsidRPr="00B655FE">
              <w:rPr>
                <w:rFonts w:cs="Arial"/>
                <w:i/>
                <w:color w:val="002060"/>
                <w:sz w:val="16"/>
                <w:szCs w:val="16"/>
                <w:lang w:val="ru-RU"/>
              </w:rPr>
              <w:t>Обновленные базовые показатели, конец 2013</w:t>
            </w:r>
            <w:r w:rsidRPr="00B66E2E">
              <w:rPr>
                <w:rFonts w:cs="Arial"/>
                <w:i/>
                <w:color w:val="002060"/>
                <w:sz w:val="16"/>
                <w:szCs w:val="16"/>
              </w:rPr>
              <w:t> </w:t>
            </w:r>
            <w:r w:rsidRPr="00B655FE">
              <w:rPr>
                <w:rFonts w:cs="Arial"/>
                <w:i/>
                <w:color w:val="002060"/>
                <w:sz w:val="16"/>
                <w:szCs w:val="16"/>
                <w:lang w:val="ru-RU"/>
              </w:rPr>
              <w:t xml:space="preserve">г.: </w:t>
            </w:r>
          </w:p>
          <w:p w:rsidR="00B655FE" w:rsidRPr="00B655FE" w:rsidRDefault="00B655FE" w:rsidP="00955E75">
            <w:pPr>
              <w:keepNext/>
              <w:keepLines/>
              <w:rPr>
                <w:rFonts w:cs="Arial"/>
                <w:color w:val="002060"/>
                <w:sz w:val="16"/>
                <w:szCs w:val="16"/>
                <w:lang w:val="ru-RU"/>
              </w:rPr>
            </w:pPr>
            <w:r w:rsidRPr="00B655FE">
              <w:rPr>
                <w:rFonts w:cs="Arial"/>
                <w:color w:val="002060"/>
                <w:sz w:val="16"/>
                <w:szCs w:val="16"/>
                <w:lang w:val="ru-RU"/>
              </w:rPr>
              <w:t>(</w:t>
            </w:r>
            <w:r w:rsidRPr="00B66E2E">
              <w:rPr>
                <w:rFonts w:cs="Arial"/>
                <w:color w:val="002060"/>
                <w:sz w:val="16"/>
                <w:szCs w:val="16"/>
              </w:rPr>
              <w:t>a</w:t>
            </w:r>
            <w:r w:rsidRPr="00B655FE">
              <w:rPr>
                <w:rFonts w:cs="Arial"/>
                <w:color w:val="002060"/>
                <w:sz w:val="16"/>
                <w:szCs w:val="16"/>
                <w:lang w:val="ru-RU"/>
              </w:rPr>
              <w:t>)</w:t>
            </w:r>
            <w:r>
              <w:rPr>
                <w:rFonts w:cs="Arial"/>
                <w:sz w:val="16"/>
                <w:szCs w:val="16"/>
              </w:rPr>
              <w:t> </w:t>
            </w:r>
            <w:r w:rsidRPr="00B655FE">
              <w:rPr>
                <w:rFonts w:cs="Arial"/>
                <w:color w:val="002060"/>
                <w:sz w:val="16"/>
                <w:szCs w:val="16"/>
                <w:lang w:val="ru-RU"/>
              </w:rPr>
              <w:t>число расследований, завершенных в среднем за 3 месяца;</w:t>
            </w:r>
          </w:p>
          <w:p w:rsidR="00B655FE" w:rsidRPr="00B655FE" w:rsidRDefault="00B655FE" w:rsidP="00955E75">
            <w:pPr>
              <w:keepNext/>
              <w:keepLines/>
              <w:rPr>
                <w:rFonts w:cs="Arial"/>
                <w:color w:val="002060"/>
                <w:sz w:val="16"/>
                <w:szCs w:val="16"/>
                <w:lang w:val="ru-RU"/>
              </w:rPr>
            </w:pPr>
          </w:p>
          <w:p w:rsidR="00B655FE" w:rsidRPr="00B655FE" w:rsidRDefault="00B655FE" w:rsidP="00955E75">
            <w:pPr>
              <w:keepNext/>
              <w:keepLines/>
              <w:rPr>
                <w:rFonts w:cs="Arial"/>
                <w:color w:val="002060"/>
                <w:sz w:val="16"/>
                <w:szCs w:val="16"/>
                <w:lang w:val="ru-RU"/>
              </w:rPr>
            </w:pPr>
            <w:r w:rsidRPr="00B655FE">
              <w:rPr>
                <w:rFonts w:cs="Arial"/>
                <w:color w:val="002060"/>
                <w:sz w:val="16"/>
                <w:szCs w:val="16"/>
                <w:lang w:val="ru-RU"/>
              </w:rPr>
              <w:t>(</w:t>
            </w:r>
            <w:r w:rsidRPr="00B66E2E">
              <w:rPr>
                <w:rFonts w:cs="Arial"/>
                <w:color w:val="002060"/>
                <w:sz w:val="16"/>
                <w:szCs w:val="16"/>
              </w:rPr>
              <w:t>b</w:t>
            </w:r>
            <w:r w:rsidRPr="00B655FE">
              <w:rPr>
                <w:rFonts w:cs="Arial"/>
                <w:color w:val="002060"/>
                <w:sz w:val="16"/>
                <w:szCs w:val="16"/>
                <w:lang w:val="ru-RU"/>
              </w:rPr>
              <w:t>)</w:t>
            </w:r>
            <w:r>
              <w:rPr>
                <w:rFonts w:cs="Arial"/>
                <w:sz w:val="16"/>
                <w:szCs w:val="16"/>
              </w:rPr>
              <w:t> </w:t>
            </w:r>
            <w:r w:rsidRPr="00B655FE">
              <w:rPr>
                <w:rFonts w:cs="Arial"/>
                <w:color w:val="002060"/>
                <w:sz w:val="16"/>
                <w:szCs w:val="16"/>
                <w:lang w:val="ru-RU"/>
              </w:rPr>
              <w:t>7 аудиторских проверок и 2 оценки;</w:t>
            </w:r>
          </w:p>
          <w:p w:rsidR="00B655FE" w:rsidRPr="00B655FE" w:rsidRDefault="00B655FE" w:rsidP="00955E75">
            <w:pPr>
              <w:keepNext/>
              <w:keepLines/>
              <w:rPr>
                <w:rFonts w:cs="Arial"/>
                <w:color w:val="002060"/>
                <w:sz w:val="16"/>
                <w:szCs w:val="16"/>
                <w:lang w:val="ru-RU"/>
              </w:rPr>
            </w:pPr>
          </w:p>
          <w:p w:rsidR="00B655FE" w:rsidRPr="00B655FE" w:rsidRDefault="00B655FE" w:rsidP="00955E75">
            <w:pPr>
              <w:keepNext/>
              <w:keepLines/>
              <w:rPr>
                <w:rFonts w:cs="Arial"/>
                <w:color w:val="002060"/>
                <w:sz w:val="16"/>
                <w:szCs w:val="16"/>
                <w:lang w:val="ru-RU"/>
              </w:rPr>
            </w:pPr>
            <w:r w:rsidRPr="00B655FE">
              <w:rPr>
                <w:rFonts w:cs="Arial"/>
                <w:color w:val="002060"/>
                <w:sz w:val="16"/>
                <w:szCs w:val="16"/>
                <w:lang w:val="ru-RU"/>
              </w:rPr>
              <w:t>(</w:t>
            </w:r>
            <w:r w:rsidRPr="00B66E2E">
              <w:rPr>
                <w:rFonts w:cs="Arial"/>
                <w:color w:val="002060"/>
                <w:sz w:val="16"/>
                <w:szCs w:val="16"/>
              </w:rPr>
              <w:t>c</w:t>
            </w:r>
            <w:r w:rsidRPr="00B655FE">
              <w:rPr>
                <w:rFonts w:cs="Arial"/>
                <w:color w:val="002060"/>
                <w:sz w:val="16"/>
                <w:szCs w:val="16"/>
                <w:lang w:val="ru-RU"/>
              </w:rPr>
              <w:t>)</w:t>
            </w:r>
            <w:r>
              <w:rPr>
                <w:rFonts w:cs="Arial"/>
                <w:sz w:val="16"/>
                <w:szCs w:val="16"/>
              </w:rPr>
              <w:t> </w:t>
            </w:r>
            <w:r w:rsidRPr="00B655FE">
              <w:rPr>
                <w:rFonts w:cs="Arial"/>
                <w:color w:val="002060"/>
                <w:sz w:val="16"/>
                <w:szCs w:val="16"/>
                <w:lang w:val="ru-RU"/>
              </w:rPr>
              <w:t>19 расследований;</w:t>
            </w:r>
          </w:p>
          <w:p w:rsidR="00B655FE" w:rsidRPr="00B655FE" w:rsidRDefault="00B655FE" w:rsidP="00955E75">
            <w:pPr>
              <w:keepNext/>
              <w:keepLines/>
              <w:rPr>
                <w:rFonts w:cs="Arial"/>
                <w:color w:val="002060"/>
                <w:sz w:val="16"/>
                <w:szCs w:val="16"/>
                <w:lang w:val="ru-RU"/>
              </w:rPr>
            </w:pPr>
          </w:p>
          <w:p w:rsidR="00B655FE" w:rsidRPr="00B655FE" w:rsidRDefault="00B655FE" w:rsidP="00955E75">
            <w:pPr>
              <w:keepNext/>
              <w:keepLines/>
              <w:rPr>
                <w:rFonts w:cs="Arial"/>
                <w:color w:val="002060"/>
                <w:sz w:val="16"/>
                <w:szCs w:val="16"/>
                <w:lang w:val="ru-RU"/>
              </w:rPr>
            </w:pPr>
            <w:r w:rsidRPr="00B655FE">
              <w:rPr>
                <w:rFonts w:cs="Arial"/>
                <w:color w:val="002060"/>
                <w:sz w:val="16"/>
                <w:szCs w:val="16"/>
                <w:lang w:val="ru-RU"/>
              </w:rPr>
              <w:t>(</w:t>
            </w:r>
            <w:r w:rsidRPr="00B66E2E">
              <w:rPr>
                <w:rFonts w:cs="Arial"/>
                <w:color w:val="002060"/>
                <w:sz w:val="16"/>
                <w:szCs w:val="16"/>
              </w:rPr>
              <w:t>d</w:t>
            </w:r>
            <w:r w:rsidRPr="00B655FE">
              <w:rPr>
                <w:rFonts w:cs="Arial"/>
                <w:color w:val="002060"/>
                <w:sz w:val="16"/>
                <w:szCs w:val="16"/>
                <w:lang w:val="ru-RU"/>
              </w:rPr>
              <w:t>)</w:t>
            </w:r>
            <w:r>
              <w:rPr>
                <w:rFonts w:cs="Arial"/>
                <w:sz w:val="16"/>
                <w:szCs w:val="16"/>
              </w:rPr>
              <w:t> </w:t>
            </w:r>
            <w:r w:rsidRPr="00B655FE">
              <w:rPr>
                <w:rFonts w:cs="Arial"/>
                <w:color w:val="002060"/>
                <w:sz w:val="16"/>
                <w:szCs w:val="16"/>
                <w:lang w:val="ru-RU"/>
              </w:rPr>
              <w:t>осуществление всей работы в соответствии со стандартами.</w:t>
            </w:r>
          </w:p>
          <w:p w:rsidR="00B655FE" w:rsidRPr="00B655FE" w:rsidRDefault="00B655FE" w:rsidP="00955E75">
            <w:pPr>
              <w:keepNext/>
              <w:keepLines/>
              <w:rPr>
                <w:rFonts w:cs="Arial"/>
                <w:i/>
                <w:color w:val="002060"/>
                <w:sz w:val="16"/>
                <w:szCs w:val="16"/>
                <w:lang w:val="ru-RU"/>
              </w:rPr>
            </w:pPr>
          </w:p>
          <w:p w:rsidR="00B655FE" w:rsidRPr="00B655FE" w:rsidRDefault="00B655FE" w:rsidP="00955E75">
            <w:pPr>
              <w:rPr>
                <w:rFonts w:cs="Arial"/>
                <w:sz w:val="16"/>
                <w:szCs w:val="16"/>
                <w:lang w:val="ru-RU"/>
              </w:rPr>
            </w:pPr>
            <w:r w:rsidRPr="00B655FE">
              <w:rPr>
                <w:rFonts w:cs="Arial"/>
                <w:i/>
                <w:sz w:val="16"/>
                <w:szCs w:val="16"/>
                <w:lang w:val="ru-RU"/>
              </w:rPr>
              <w:t xml:space="preserve">Исходные базовые показатели ПиБ на 2014–2015 гг.: </w:t>
            </w:r>
            <w:r w:rsidRPr="00B655FE">
              <w:rPr>
                <w:rFonts w:cs="Arial"/>
                <w:sz w:val="16"/>
                <w:szCs w:val="16"/>
                <w:lang w:val="ru-RU"/>
              </w:rPr>
              <w:t>(</w:t>
            </w:r>
            <w:r>
              <w:rPr>
                <w:rFonts w:cs="Arial"/>
                <w:sz w:val="16"/>
                <w:szCs w:val="16"/>
              </w:rPr>
              <w:t>a</w:t>
            </w:r>
            <w:r w:rsidRPr="00B655FE">
              <w:rPr>
                <w:rFonts w:cs="Arial"/>
                <w:sz w:val="16"/>
                <w:szCs w:val="16"/>
                <w:lang w:val="ru-RU"/>
              </w:rPr>
              <w:t>)</w:t>
            </w:r>
            <w:r>
              <w:rPr>
                <w:rFonts w:cs="Arial"/>
                <w:sz w:val="16"/>
                <w:szCs w:val="16"/>
              </w:rPr>
              <w:t> </w:t>
            </w:r>
            <w:r w:rsidRPr="00B655FE">
              <w:rPr>
                <w:rFonts w:cs="Arial"/>
                <w:sz w:val="16"/>
                <w:szCs w:val="16"/>
                <w:lang w:val="ru-RU"/>
              </w:rPr>
              <w:t>число расследований, аудиторских проверок / оценок, завершенных в среднем за 10 и за пять месяцев в 2012</w:t>
            </w:r>
            <w:r w:rsidRPr="00B66E2E">
              <w:rPr>
                <w:rFonts w:cs="Arial"/>
                <w:sz w:val="16"/>
                <w:szCs w:val="16"/>
              </w:rPr>
              <w:t> </w:t>
            </w:r>
            <w:r w:rsidRPr="00B655FE">
              <w:rPr>
                <w:rFonts w:cs="Arial"/>
                <w:sz w:val="16"/>
                <w:szCs w:val="16"/>
                <w:lang w:val="ru-RU"/>
              </w:rPr>
              <w:t xml:space="preserve">г.; </w:t>
            </w:r>
          </w:p>
          <w:p w:rsidR="00B655FE" w:rsidRPr="00B655FE" w:rsidRDefault="00B655FE" w:rsidP="00955E75">
            <w:pPr>
              <w:rPr>
                <w:rFonts w:cs="Arial"/>
                <w:sz w:val="16"/>
                <w:szCs w:val="16"/>
                <w:lang w:val="ru-RU"/>
              </w:rPr>
            </w:pPr>
            <w:r w:rsidRPr="00B655FE">
              <w:rPr>
                <w:rFonts w:cs="Arial"/>
                <w:sz w:val="16"/>
                <w:szCs w:val="16"/>
                <w:lang w:val="ru-RU"/>
              </w:rPr>
              <w:t>(</w:t>
            </w:r>
            <w:r w:rsidRPr="00B66E2E">
              <w:rPr>
                <w:rFonts w:cs="Arial"/>
                <w:sz w:val="16"/>
                <w:szCs w:val="16"/>
              </w:rPr>
              <w:t>b</w:t>
            </w:r>
            <w:r w:rsidRPr="00B655FE">
              <w:rPr>
                <w:rFonts w:cs="Arial"/>
                <w:sz w:val="16"/>
                <w:szCs w:val="16"/>
                <w:lang w:val="ru-RU"/>
              </w:rPr>
              <w:t>)</w:t>
            </w:r>
            <w:r>
              <w:rPr>
                <w:rFonts w:cs="Arial"/>
                <w:sz w:val="16"/>
                <w:szCs w:val="16"/>
              </w:rPr>
              <w:t> </w:t>
            </w:r>
            <w:r w:rsidRPr="00B655FE">
              <w:rPr>
                <w:rFonts w:cs="Arial"/>
                <w:sz w:val="16"/>
                <w:szCs w:val="16"/>
                <w:lang w:val="ru-RU"/>
              </w:rPr>
              <w:t>три аудиторских проверки и пять оценок завершены в 2012</w:t>
            </w:r>
            <w:r w:rsidRPr="00B66E2E">
              <w:rPr>
                <w:rFonts w:cs="Arial"/>
                <w:sz w:val="16"/>
                <w:szCs w:val="16"/>
              </w:rPr>
              <w:t> </w:t>
            </w:r>
            <w:r w:rsidRPr="00B655FE">
              <w:rPr>
                <w:rFonts w:cs="Arial"/>
                <w:sz w:val="16"/>
                <w:szCs w:val="16"/>
                <w:lang w:val="ru-RU"/>
              </w:rPr>
              <w:t xml:space="preserve">г.; </w:t>
            </w:r>
          </w:p>
          <w:p w:rsidR="00B655FE" w:rsidRPr="00B655FE" w:rsidRDefault="00B655FE" w:rsidP="00955E75">
            <w:pPr>
              <w:rPr>
                <w:rFonts w:cs="Arial"/>
                <w:sz w:val="16"/>
                <w:szCs w:val="16"/>
                <w:lang w:val="ru-RU"/>
              </w:rPr>
            </w:pPr>
            <w:r w:rsidRPr="00B655FE">
              <w:rPr>
                <w:rFonts w:cs="Arial"/>
                <w:sz w:val="16"/>
                <w:szCs w:val="16"/>
                <w:lang w:val="ru-RU"/>
              </w:rPr>
              <w:t>(</w:t>
            </w:r>
            <w:r w:rsidRPr="00B66E2E">
              <w:rPr>
                <w:rFonts w:cs="Arial"/>
                <w:sz w:val="16"/>
                <w:szCs w:val="16"/>
              </w:rPr>
              <w:t>c</w:t>
            </w:r>
            <w:r w:rsidRPr="00B655FE">
              <w:rPr>
                <w:rFonts w:cs="Arial"/>
                <w:sz w:val="16"/>
                <w:szCs w:val="16"/>
                <w:lang w:val="ru-RU"/>
              </w:rPr>
              <w:t>)</w:t>
            </w:r>
            <w:r>
              <w:rPr>
                <w:rFonts w:cs="Arial"/>
                <w:sz w:val="16"/>
                <w:szCs w:val="16"/>
              </w:rPr>
              <w:t> </w:t>
            </w:r>
            <w:r w:rsidRPr="00B655FE">
              <w:rPr>
                <w:rFonts w:cs="Arial"/>
                <w:sz w:val="16"/>
                <w:szCs w:val="16"/>
                <w:lang w:val="ru-RU"/>
              </w:rPr>
              <w:t>15 расследований завершены в 2011</w:t>
            </w:r>
            <w:r w:rsidRPr="00B66E2E">
              <w:rPr>
                <w:rFonts w:cs="Arial"/>
                <w:sz w:val="16"/>
                <w:szCs w:val="16"/>
              </w:rPr>
              <w:t> </w:t>
            </w:r>
            <w:r w:rsidRPr="00B655FE">
              <w:rPr>
                <w:rFonts w:cs="Arial"/>
                <w:sz w:val="16"/>
                <w:szCs w:val="16"/>
                <w:lang w:val="ru-RU"/>
              </w:rPr>
              <w:t>г. и 23 – в 2012</w:t>
            </w:r>
            <w:r w:rsidRPr="00B66E2E">
              <w:rPr>
                <w:rFonts w:cs="Arial"/>
                <w:sz w:val="16"/>
                <w:szCs w:val="16"/>
              </w:rPr>
              <w:t> </w:t>
            </w:r>
            <w:r w:rsidRPr="00B655FE">
              <w:rPr>
                <w:rFonts w:cs="Arial"/>
                <w:sz w:val="16"/>
                <w:szCs w:val="16"/>
                <w:lang w:val="ru-RU"/>
              </w:rPr>
              <w:t xml:space="preserve">г.; </w:t>
            </w:r>
          </w:p>
          <w:p w:rsidR="00B655FE" w:rsidRPr="00B655FE" w:rsidRDefault="00B655FE" w:rsidP="00955E75">
            <w:pPr>
              <w:rPr>
                <w:rFonts w:cs="Arial"/>
                <w:sz w:val="16"/>
                <w:szCs w:val="16"/>
                <w:lang w:val="ru-RU"/>
              </w:rPr>
            </w:pPr>
            <w:r w:rsidRPr="00B655FE">
              <w:rPr>
                <w:rFonts w:cs="Arial"/>
                <w:sz w:val="16"/>
                <w:szCs w:val="16"/>
                <w:lang w:val="ru-RU"/>
              </w:rPr>
              <w:t>(</w:t>
            </w:r>
            <w:r w:rsidRPr="00B66E2E">
              <w:rPr>
                <w:rFonts w:cs="Arial"/>
                <w:sz w:val="16"/>
                <w:szCs w:val="16"/>
              </w:rPr>
              <w:t>d</w:t>
            </w:r>
            <w:r w:rsidRPr="00B655FE">
              <w:rPr>
                <w:rFonts w:cs="Arial"/>
                <w:sz w:val="16"/>
                <w:szCs w:val="16"/>
                <w:lang w:val="ru-RU"/>
              </w:rPr>
              <w:t>)</w:t>
            </w:r>
            <w:r>
              <w:rPr>
                <w:rFonts w:cs="Arial"/>
                <w:sz w:val="16"/>
                <w:szCs w:val="16"/>
              </w:rPr>
              <w:t> </w:t>
            </w:r>
            <w:r w:rsidRPr="00B655FE">
              <w:rPr>
                <w:rFonts w:cs="Arial"/>
                <w:sz w:val="16"/>
                <w:szCs w:val="16"/>
                <w:lang w:val="ru-RU"/>
              </w:rPr>
              <w:t>осуществление всей работы по надзору в соответствии со стандартами.</w:t>
            </w:r>
          </w:p>
        </w:tc>
        <w:tc>
          <w:tcPr>
            <w:tcW w:w="1051" w:type="pct"/>
            <w:tcBorders>
              <w:top w:val="nil"/>
              <w:bottom w:val="nil"/>
            </w:tcBorders>
            <w:shd w:val="clear" w:color="auto" w:fill="auto"/>
            <w:tcMar>
              <w:top w:w="110" w:type="dxa"/>
            </w:tcMar>
          </w:tcPr>
          <w:p w:rsidR="00B655FE" w:rsidRPr="00B655FE" w:rsidRDefault="00B655FE" w:rsidP="00955E75">
            <w:pPr>
              <w:autoSpaceDE w:val="0"/>
              <w:autoSpaceDN w:val="0"/>
              <w:adjustRightInd w:val="0"/>
              <w:rPr>
                <w:rFonts w:cs="Arial"/>
                <w:sz w:val="16"/>
                <w:szCs w:val="16"/>
                <w:lang w:val="ru-RU"/>
              </w:rPr>
            </w:pPr>
            <w:r w:rsidRPr="00B655FE">
              <w:rPr>
                <w:rFonts w:cs="Arial"/>
                <w:sz w:val="16"/>
                <w:szCs w:val="16"/>
                <w:lang w:val="ru-RU"/>
              </w:rPr>
              <w:t>(</w:t>
            </w:r>
            <w:r w:rsidRPr="00B66E2E">
              <w:rPr>
                <w:rFonts w:cs="Arial"/>
                <w:sz w:val="16"/>
                <w:szCs w:val="16"/>
              </w:rPr>
              <w:t>a</w:t>
            </w:r>
            <w:r w:rsidRPr="00B655FE">
              <w:rPr>
                <w:rFonts w:cs="Arial"/>
                <w:sz w:val="16"/>
                <w:szCs w:val="16"/>
                <w:lang w:val="ru-RU"/>
              </w:rPr>
              <w:t>)</w:t>
            </w:r>
            <w:r>
              <w:rPr>
                <w:rFonts w:cs="Arial"/>
                <w:sz w:val="16"/>
                <w:szCs w:val="16"/>
              </w:rPr>
              <w:t> </w:t>
            </w:r>
            <w:r w:rsidRPr="00B655FE">
              <w:rPr>
                <w:rFonts w:cs="Arial"/>
                <w:sz w:val="16"/>
                <w:szCs w:val="16"/>
                <w:lang w:val="ru-RU"/>
              </w:rPr>
              <w:t>число расследований, завершенных в среднем за шесть месяцев, аудиторских проверок и оценок</w:t>
            </w:r>
            <w:r w:rsidRPr="00B66E2E">
              <w:rPr>
                <w:rFonts w:cs="Arial"/>
                <w:sz w:val="16"/>
                <w:szCs w:val="16"/>
              </w:rPr>
              <w:t> </w:t>
            </w:r>
            <w:r w:rsidRPr="00B655FE">
              <w:rPr>
                <w:rFonts w:cs="Arial"/>
                <w:sz w:val="16"/>
                <w:szCs w:val="16"/>
                <w:lang w:val="ru-RU"/>
              </w:rPr>
              <w:t>— за 5 месяцев;</w:t>
            </w:r>
          </w:p>
          <w:p w:rsidR="00B655FE" w:rsidRPr="00B655FE" w:rsidRDefault="00B655FE" w:rsidP="00955E75">
            <w:pPr>
              <w:autoSpaceDE w:val="0"/>
              <w:autoSpaceDN w:val="0"/>
              <w:adjustRightInd w:val="0"/>
              <w:rPr>
                <w:rFonts w:cs="Arial"/>
                <w:sz w:val="16"/>
                <w:szCs w:val="16"/>
                <w:lang w:val="ru-RU"/>
              </w:rPr>
            </w:pPr>
          </w:p>
          <w:p w:rsidR="00B655FE" w:rsidRPr="00B655FE" w:rsidRDefault="00B655FE" w:rsidP="00955E75">
            <w:pPr>
              <w:autoSpaceDE w:val="0"/>
              <w:autoSpaceDN w:val="0"/>
              <w:adjustRightInd w:val="0"/>
              <w:rPr>
                <w:rFonts w:cs="Arial"/>
                <w:sz w:val="16"/>
                <w:szCs w:val="16"/>
                <w:lang w:val="ru-RU"/>
              </w:rPr>
            </w:pPr>
            <w:r w:rsidRPr="00B655FE">
              <w:rPr>
                <w:rFonts w:cs="Arial"/>
                <w:sz w:val="16"/>
                <w:szCs w:val="16"/>
                <w:lang w:val="ru-RU"/>
              </w:rPr>
              <w:t>(</w:t>
            </w:r>
            <w:r w:rsidRPr="00B66E2E">
              <w:rPr>
                <w:rFonts w:cs="Arial"/>
                <w:sz w:val="16"/>
                <w:szCs w:val="16"/>
              </w:rPr>
              <w:t>b</w:t>
            </w:r>
            <w:r w:rsidRPr="00B655FE">
              <w:rPr>
                <w:rFonts w:cs="Arial"/>
                <w:sz w:val="16"/>
                <w:szCs w:val="16"/>
                <w:lang w:val="ru-RU"/>
              </w:rPr>
              <w:t>)</w:t>
            </w:r>
            <w:r>
              <w:rPr>
                <w:rFonts w:cs="Arial"/>
                <w:sz w:val="16"/>
                <w:szCs w:val="16"/>
              </w:rPr>
              <w:t> </w:t>
            </w:r>
            <w:r w:rsidRPr="00B655FE">
              <w:rPr>
                <w:rFonts w:cs="Arial"/>
                <w:sz w:val="16"/>
                <w:szCs w:val="16"/>
                <w:lang w:val="ru-RU"/>
              </w:rPr>
              <w:t>12 аудиторских проверок и шесть оценок завершены;</w:t>
            </w:r>
          </w:p>
          <w:p w:rsidR="00B655FE" w:rsidRPr="00B655FE" w:rsidRDefault="00B655FE" w:rsidP="00955E75">
            <w:pPr>
              <w:autoSpaceDE w:val="0"/>
              <w:autoSpaceDN w:val="0"/>
              <w:adjustRightInd w:val="0"/>
              <w:rPr>
                <w:rFonts w:cs="Arial"/>
                <w:sz w:val="16"/>
                <w:szCs w:val="16"/>
                <w:lang w:val="ru-RU"/>
              </w:rPr>
            </w:pPr>
          </w:p>
          <w:p w:rsidR="00B655FE" w:rsidRPr="00B655FE" w:rsidRDefault="00B655FE" w:rsidP="00955E75">
            <w:pPr>
              <w:autoSpaceDE w:val="0"/>
              <w:autoSpaceDN w:val="0"/>
              <w:adjustRightInd w:val="0"/>
              <w:rPr>
                <w:rFonts w:cs="Arial"/>
                <w:sz w:val="16"/>
                <w:szCs w:val="16"/>
                <w:lang w:val="ru-RU"/>
              </w:rPr>
            </w:pPr>
            <w:r w:rsidRPr="00B655FE">
              <w:rPr>
                <w:rFonts w:cs="Arial"/>
                <w:sz w:val="16"/>
                <w:szCs w:val="16"/>
                <w:lang w:val="ru-RU"/>
              </w:rPr>
              <w:t>(</w:t>
            </w:r>
            <w:r w:rsidRPr="00B66E2E">
              <w:rPr>
                <w:rFonts w:cs="Arial"/>
                <w:sz w:val="16"/>
                <w:szCs w:val="16"/>
              </w:rPr>
              <w:t>c</w:t>
            </w:r>
            <w:r w:rsidRPr="00B655FE">
              <w:rPr>
                <w:rFonts w:cs="Arial"/>
                <w:sz w:val="16"/>
                <w:szCs w:val="16"/>
                <w:lang w:val="ru-RU"/>
              </w:rPr>
              <w:t>)</w:t>
            </w:r>
            <w:r>
              <w:rPr>
                <w:rFonts w:cs="Arial"/>
                <w:sz w:val="16"/>
                <w:szCs w:val="16"/>
              </w:rPr>
              <w:t> </w:t>
            </w:r>
            <w:r w:rsidRPr="00B655FE">
              <w:rPr>
                <w:rFonts w:cs="Arial"/>
                <w:sz w:val="16"/>
                <w:szCs w:val="16"/>
                <w:lang w:val="ru-RU"/>
              </w:rPr>
              <w:t xml:space="preserve">не менее 15 расследований закрыто; </w:t>
            </w:r>
          </w:p>
          <w:p w:rsidR="00B655FE" w:rsidRPr="00B655FE" w:rsidRDefault="00B655FE" w:rsidP="00955E75">
            <w:pPr>
              <w:autoSpaceDE w:val="0"/>
              <w:autoSpaceDN w:val="0"/>
              <w:adjustRightInd w:val="0"/>
              <w:rPr>
                <w:rFonts w:cs="Arial"/>
                <w:sz w:val="16"/>
                <w:szCs w:val="16"/>
                <w:lang w:val="ru-RU"/>
              </w:rPr>
            </w:pPr>
          </w:p>
          <w:p w:rsidR="00B655FE" w:rsidRPr="00B66E2E" w:rsidRDefault="00B655FE" w:rsidP="00955E75">
            <w:pPr>
              <w:autoSpaceDE w:val="0"/>
              <w:autoSpaceDN w:val="0"/>
              <w:adjustRightInd w:val="0"/>
              <w:rPr>
                <w:rFonts w:cs="Arial"/>
                <w:sz w:val="16"/>
                <w:szCs w:val="16"/>
              </w:rPr>
            </w:pPr>
            <w:r w:rsidRPr="00B66E2E">
              <w:rPr>
                <w:rFonts w:cs="Arial"/>
                <w:sz w:val="16"/>
                <w:szCs w:val="16"/>
              </w:rPr>
              <w:t>(d)</w:t>
            </w:r>
            <w:r>
              <w:rPr>
                <w:rFonts w:cs="Arial"/>
                <w:sz w:val="16"/>
                <w:szCs w:val="16"/>
              </w:rPr>
              <w:t> </w:t>
            </w:r>
            <w:r w:rsidRPr="00B66E2E">
              <w:rPr>
                <w:rFonts w:cs="Arial"/>
                <w:sz w:val="16"/>
                <w:szCs w:val="16"/>
              </w:rPr>
              <w:t>соответствие стандартам.</w:t>
            </w:r>
          </w:p>
        </w:tc>
        <w:tc>
          <w:tcPr>
            <w:tcW w:w="1131" w:type="pct"/>
            <w:tcBorders>
              <w:top w:val="nil"/>
              <w:bottom w:val="nil"/>
            </w:tcBorders>
            <w:shd w:val="clear" w:color="auto" w:fill="FFFFFF"/>
            <w:tcMar>
              <w:top w:w="110" w:type="dxa"/>
            </w:tcMar>
          </w:tcPr>
          <w:p w:rsidR="00B655FE" w:rsidRPr="00B655FE" w:rsidRDefault="00B655FE" w:rsidP="00955E75">
            <w:pPr>
              <w:rPr>
                <w:rFonts w:cs="Arial"/>
                <w:sz w:val="16"/>
                <w:szCs w:val="16"/>
                <w:lang w:val="ru-RU"/>
              </w:rPr>
            </w:pPr>
            <w:r w:rsidRPr="00B655FE">
              <w:rPr>
                <w:rFonts w:cs="Arial"/>
                <w:sz w:val="16"/>
                <w:szCs w:val="16"/>
                <w:lang w:val="ru-RU"/>
              </w:rPr>
              <w:t>В 2014–2015</w:t>
            </w:r>
            <w:r w:rsidRPr="00B66E2E">
              <w:rPr>
                <w:rFonts w:cs="Arial"/>
                <w:sz w:val="16"/>
                <w:szCs w:val="16"/>
              </w:rPr>
              <w:t> </w:t>
            </w:r>
            <w:r w:rsidRPr="00B655FE">
              <w:rPr>
                <w:rFonts w:cs="Arial"/>
                <w:sz w:val="16"/>
                <w:szCs w:val="16"/>
                <w:lang w:val="ru-RU"/>
              </w:rPr>
              <w:t>гг.:</w:t>
            </w:r>
          </w:p>
          <w:p w:rsidR="00B655FE" w:rsidRPr="00B655FE" w:rsidRDefault="00B655FE" w:rsidP="00955E75">
            <w:pPr>
              <w:rPr>
                <w:rFonts w:cs="Arial"/>
                <w:sz w:val="16"/>
                <w:szCs w:val="16"/>
                <w:lang w:val="ru-RU"/>
              </w:rPr>
            </w:pPr>
          </w:p>
          <w:p w:rsidR="00B655FE" w:rsidRPr="00B655FE" w:rsidRDefault="00B655FE" w:rsidP="00955E75">
            <w:pPr>
              <w:rPr>
                <w:rFonts w:cs="Arial"/>
                <w:sz w:val="16"/>
                <w:szCs w:val="16"/>
                <w:lang w:val="ru-RU"/>
              </w:rPr>
            </w:pPr>
            <w:r w:rsidRPr="00B655FE">
              <w:rPr>
                <w:rFonts w:cs="Arial"/>
                <w:sz w:val="16"/>
                <w:szCs w:val="16"/>
                <w:lang w:val="ru-RU"/>
              </w:rPr>
              <w:t>(</w:t>
            </w:r>
            <w:r w:rsidRPr="00B66E2E">
              <w:rPr>
                <w:rFonts w:cs="Arial"/>
                <w:sz w:val="16"/>
                <w:szCs w:val="16"/>
              </w:rPr>
              <w:t>a</w:t>
            </w:r>
            <w:r w:rsidRPr="00B655FE">
              <w:rPr>
                <w:rFonts w:cs="Arial"/>
                <w:sz w:val="16"/>
                <w:szCs w:val="16"/>
                <w:lang w:val="ru-RU"/>
              </w:rPr>
              <w:t>)</w:t>
            </w:r>
            <w:r>
              <w:rPr>
                <w:rFonts w:cs="Arial"/>
                <w:sz w:val="16"/>
                <w:szCs w:val="16"/>
              </w:rPr>
              <w:t> </w:t>
            </w:r>
            <w:r w:rsidRPr="00B655FE">
              <w:rPr>
                <w:rFonts w:cs="Arial"/>
                <w:sz w:val="16"/>
                <w:szCs w:val="16"/>
                <w:lang w:val="ru-RU"/>
              </w:rPr>
              <w:t>расследования, которые были начаты и закрыты в течение рассматриваемого периода, были по большей части проведены менее чем за пять месяцев;</w:t>
            </w:r>
          </w:p>
          <w:p w:rsidR="00B655FE" w:rsidRPr="00B655FE" w:rsidRDefault="00B655FE" w:rsidP="00955E75">
            <w:pPr>
              <w:rPr>
                <w:rFonts w:cs="Arial"/>
                <w:sz w:val="16"/>
                <w:szCs w:val="16"/>
                <w:lang w:val="ru-RU"/>
              </w:rPr>
            </w:pPr>
          </w:p>
          <w:p w:rsidR="00B655FE" w:rsidRPr="00B655FE" w:rsidRDefault="00B655FE" w:rsidP="00955E75">
            <w:pPr>
              <w:rPr>
                <w:rFonts w:cs="Arial"/>
                <w:sz w:val="16"/>
                <w:szCs w:val="16"/>
                <w:lang w:val="ru-RU"/>
              </w:rPr>
            </w:pPr>
            <w:r w:rsidRPr="00B655FE">
              <w:rPr>
                <w:rFonts w:cs="Arial"/>
                <w:sz w:val="16"/>
                <w:szCs w:val="16"/>
                <w:lang w:val="ru-RU"/>
              </w:rPr>
              <w:t>(</w:t>
            </w:r>
            <w:r w:rsidRPr="00B66E2E">
              <w:rPr>
                <w:rFonts w:cs="Arial"/>
                <w:sz w:val="16"/>
                <w:szCs w:val="16"/>
              </w:rPr>
              <w:t>b</w:t>
            </w:r>
            <w:r w:rsidRPr="00B655FE">
              <w:rPr>
                <w:rFonts w:cs="Arial"/>
                <w:sz w:val="16"/>
                <w:szCs w:val="16"/>
                <w:lang w:val="ru-RU"/>
              </w:rPr>
              <w:t>)</w:t>
            </w:r>
            <w:r>
              <w:rPr>
                <w:rFonts w:cs="Arial"/>
                <w:sz w:val="16"/>
                <w:szCs w:val="16"/>
              </w:rPr>
              <w:t> </w:t>
            </w:r>
            <w:r w:rsidRPr="00B655FE">
              <w:rPr>
                <w:rFonts w:cs="Arial"/>
                <w:sz w:val="16"/>
                <w:szCs w:val="16"/>
                <w:lang w:val="ru-RU"/>
              </w:rPr>
              <w:t>13 аудиторских проверок, семь отчетов об оценке и проверка достоверности информации в ОРП 2012–2013</w:t>
            </w:r>
            <w:r w:rsidRPr="00B66E2E">
              <w:rPr>
                <w:rFonts w:cs="Arial"/>
                <w:sz w:val="16"/>
                <w:szCs w:val="16"/>
              </w:rPr>
              <w:t> </w:t>
            </w:r>
            <w:r w:rsidRPr="00B655FE">
              <w:rPr>
                <w:rFonts w:cs="Arial"/>
                <w:sz w:val="16"/>
                <w:szCs w:val="16"/>
                <w:lang w:val="ru-RU"/>
              </w:rPr>
              <w:t xml:space="preserve">гг. завершены; </w:t>
            </w:r>
          </w:p>
          <w:p w:rsidR="00B655FE" w:rsidRPr="00B655FE" w:rsidRDefault="00B655FE" w:rsidP="00955E75">
            <w:pPr>
              <w:rPr>
                <w:rFonts w:cs="Arial"/>
                <w:sz w:val="16"/>
                <w:szCs w:val="16"/>
                <w:lang w:val="ru-RU"/>
              </w:rPr>
            </w:pPr>
          </w:p>
          <w:p w:rsidR="00B655FE" w:rsidRPr="00B655FE" w:rsidRDefault="00B655FE" w:rsidP="00955E75">
            <w:pPr>
              <w:rPr>
                <w:rFonts w:cs="Arial"/>
                <w:sz w:val="16"/>
                <w:szCs w:val="16"/>
                <w:lang w:val="ru-RU"/>
              </w:rPr>
            </w:pPr>
            <w:r w:rsidRPr="00B655FE">
              <w:rPr>
                <w:rFonts w:cs="Arial"/>
                <w:sz w:val="16"/>
                <w:szCs w:val="16"/>
                <w:lang w:val="ru-RU"/>
              </w:rPr>
              <w:t>(с)</w:t>
            </w:r>
            <w:r>
              <w:rPr>
                <w:rFonts w:cs="Arial"/>
                <w:sz w:val="16"/>
                <w:szCs w:val="16"/>
              </w:rPr>
              <w:t> </w:t>
            </w:r>
            <w:r w:rsidRPr="00B655FE">
              <w:rPr>
                <w:rFonts w:cs="Arial"/>
                <w:sz w:val="16"/>
                <w:szCs w:val="16"/>
                <w:lang w:val="ru-RU"/>
              </w:rPr>
              <w:t>43 расследования закрыты в течение рассматриваемого периода;</w:t>
            </w:r>
          </w:p>
          <w:p w:rsidR="00B655FE" w:rsidRPr="00B655FE" w:rsidRDefault="00B655FE" w:rsidP="00955E75">
            <w:pPr>
              <w:rPr>
                <w:rFonts w:cs="Arial"/>
                <w:sz w:val="16"/>
                <w:szCs w:val="16"/>
                <w:lang w:val="ru-RU"/>
              </w:rPr>
            </w:pPr>
          </w:p>
          <w:p w:rsidR="00B655FE" w:rsidRPr="00B655FE" w:rsidRDefault="00B655FE" w:rsidP="00955E75">
            <w:pPr>
              <w:rPr>
                <w:rFonts w:cs="Arial"/>
                <w:sz w:val="16"/>
                <w:szCs w:val="16"/>
                <w:lang w:val="ru-RU"/>
              </w:rPr>
            </w:pPr>
            <w:r w:rsidRPr="00B655FE">
              <w:rPr>
                <w:rFonts w:cs="Arial"/>
                <w:sz w:val="16"/>
                <w:szCs w:val="16"/>
                <w:lang w:val="ru-RU"/>
              </w:rPr>
              <w:t>(</w:t>
            </w:r>
            <w:r w:rsidRPr="00B66E2E">
              <w:rPr>
                <w:rFonts w:cs="Arial"/>
                <w:sz w:val="16"/>
                <w:szCs w:val="16"/>
              </w:rPr>
              <w:t>d</w:t>
            </w:r>
            <w:r w:rsidRPr="00B655FE">
              <w:rPr>
                <w:rFonts w:cs="Arial"/>
                <w:sz w:val="16"/>
                <w:szCs w:val="16"/>
                <w:lang w:val="ru-RU"/>
              </w:rPr>
              <w:t>)</w:t>
            </w:r>
            <w:r>
              <w:rPr>
                <w:rFonts w:cs="Arial"/>
                <w:sz w:val="16"/>
                <w:szCs w:val="16"/>
              </w:rPr>
              <w:t> </w:t>
            </w:r>
            <w:r w:rsidRPr="00B655FE">
              <w:rPr>
                <w:rFonts w:cs="Arial"/>
                <w:sz w:val="16"/>
                <w:szCs w:val="16"/>
                <w:lang w:val="ru-RU"/>
              </w:rPr>
              <w:t>общее соответствие стандартам, подтвержденное оценкой (</w:t>
            </w:r>
            <w:r>
              <w:rPr>
                <w:rFonts w:cs="Arial"/>
                <w:sz w:val="16"/>
                <w:szCs w:val="16"/>
              </w:rPr>
              <w:t>EQA</w:t>
            </w:r>
            <w:r w:rsidRPr="00B655FE">
              <w:rPr>
                <w:rFonts w:cs="Arial"/>
                <w:sz w:val="16"/>
                <w:szCs w:val="16"/>
                <w:lang w:val="ru-RU"/>
              </w:rPr>
              <w:t xml:space="preserve">) трех функций. </w:t>
            </w:r>
          </w:p>
        </w:tc>
        <w:tc>
          <w:tcPr>
            <w:tcW w:w="634" w:type="pct"/>
            <w:tcBorders>
              <w:top w:val="nil"/>
              <w:bottom w:val="nil"/>
              <w:right w:val="single" w:sz="4" w:space="0" w:color="auto"/>
            </w:tcBorders>
            <w:shd w:val="clear" w:color="auto" w:fill="auto"/>
            <w:tcMar>
              <w:top w:w="110" w:type="dxa"/>
            </w:tcMar>
          </w:tcPr>
          <w:p w:rsidR="00B655FE" w:rsidRPr="00B655FE" w:rsidRDefault="00B655FE" w:rsidP="00955E75">
            <w:pPr>
              <w:keepNext/>
              <w:keepLines/>
              <w:jc w:val="center"/>
              <w:rPr>
                <w:rFonts w:cs="Arial"/>
                <w:b/>
                <w:bCs/>
                <w:color w:val="00B050"/>
                <w:sz w:val="16"/>
                <w:szCs w:val="16"/>
                <w:lang w:val="ru-RU"/>
              </w:rPr>
            </w:pPr>
          </w:p>
          <w:p w:rsidR="00B655FE" w:rsidRPr="00B655FE" w:rsidRDefault="00B655FE" w:rsidP="00955E75">
            <w:pPr>
              <w:keepNext/>
              <w:keepLines/>
              <w:jc w:val="center"/>
              <w:rPr>
                <w:rFonts w:cs="Arial"/>
                <w:b/>
                <w:bCs/>
                <w:color w:val="00B050"/>
                <w:sz w:val="16"/>
                <w:szCs w:val="16"/>
                <w:lang w:val="ru-RU"/>
              </w:rPr>
            </w:pPr>
          </w:p>
          <w:p w:rsidR="00B655FE" w:rsidRPr="00B66E2E" w:rsidRDefault="00B655FE" w:rsidP="00955E75">
            <w:pPr>
              <w:keepNext/>
              <w:keepLines/>
              <w:jc w:val="center"/>
              <w:rPr>
                <w:rFonts w:cs="Arial"/>
                <w:b/>
                <w:bCs/>
                <w:color w:val="00B050"/>
                <w:sz w:val="16"/>
                <w:szCs w:val="16"/>
              </w:rPr>
            </w:pPr>
            <w:r w:rsidRPr="00B66E2E">
              <w:rPr>
                <w:rFonts w:cs="Arial"/>
                <w:b/>
                <w:color w:val="00B050"/>
                <w:sz w:val="16"/>
                <w:szCs w:val="16"/>
              </w:rPr>
              <w:t>Выполнено</w:t>
            </w:r>
          </w:p>
          <w:p w:rsidR="00B655FE" w:rsidRPr="00B66E2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Pr="00B66E2E" w:rsidRDefault="00B655FE" w:rsidP="00955E75">
            <w:pPr>
              <w:keepNext/>
              <w:keepLines/>
              <w:jc w:val="center"/>
              <w:rPr>
                <w:rFonts w:cs="Arial"/>
                <w:b/>
                <w:bCs/>
                <w:color w:val="00B050"/>
                <w:sz w:val="16"/>
                <w:szCs w:val="16"/>
              </w:rPr>
            </w:pPr>
          </w:p>
          <w:p w:rsidR="00B655FE" w:rsidRPr="00B66E2E" w:rsidRDefault="00B655FE" w:rsidP="00955E75">
            <w:pPr>
              <w:keepNext/>
              <w:keepLines/>
              <w:rPr>
                <w:rFonts w:cs="Arial"/>
                <w:b/>
                <w:bCs/>
                <w:color w:val="00B050"/>
                <w:sz w:val="16"/>
                <w:szCs w:val="16"/>
              </w:rPr>
            </w:pPr>
          </w:p>
          <w:p w:rsidR="00B655FE" w:rsidRPr="00B66E2E" w:rsidRDefault="00B655FE" w:rsidP="00955E75">
            <w:pPr>
              <w:keepNext/>
              <w:keepLines/>
              <w:jc w:val="center"/>
              <w:rPr>
                <w:rFonts w:cs="Arial"/>
                <w:b/>
                <w:bCs/>
                <w:color w:val="00B050"/>
                <w:sz w:val="16"/>
                <w:szCs w:val="16"/>
              </w:rPr>
            </w:pPr>
            <w:r w:rsidRPr="00B66E2E">
              <w:rPr>
                <w:rFonts w:cs="Arial"/>
                <w:b/>
                <w:color w:val="00B050"/>
                <w:sz w:val="16"/>
                <w:szCs w:val="16"/>
              </w:rPr>
              <w:t>Выполнено</w:t>
            </w:r>
          </w:p>
          <w:p w:rsidR="00B655FE" w:rsidRPr="00B66E2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Pr="00B66E2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Pr="00B66E2E" w:rsidRDefault="00B655FE" w:rsidP="00955E75">
            <w:pPr>
              <w:keepNext/>
              <w:keepLines/>
              <w:jc w:val="center"/>
              <w:rPr>
                <w:rFonts w:cs="Arial"/>
                <w:b/>
                <w:bCs/>
                <w:color w:val="00B050"/>
                <w:sz w:val="16"/>
                <w:szCs w:val="16"/>
              </w:rPr>
            </w:pPr>
          </w:p>
          <w:p w:rsidR="00B655FE" w:rsidRPr="00B66E2E" w:rsidRDefault="00B655FE" w:rsidP="00955E75">
            <w:pPr>
              <w:keepNext/>
              <w:keepLines/>
              <w:jc w:val="center"/>
              <w:rPr>
                <w:rFonts w:cs="Arial"/>
                <w:b/>
                <w:bCs/>
                <w:color w:val="00B050"/>
                <w:sz w:val="16"/>
                <w:szCs w:val="16"/>
              </w:rPr>
            </w:pPr>
            <w:r w:rsidRPr="00B66E2E">
              <w:rPr>
                <w:rFonts w:cs="Arial"/>
                <w:b/>
                <w:color w:val="00B050"/>
                <w:sz w:val="16"/>
                <w:szCs w:val="16"/>
              </w:rPr>
              <w:t>Выполнено</w:t>
            </w:r>
          </w:p>
          <w:p w:rsidR="00B655FE" w:rsidRPr="00B66E2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Default="00B655FE" w:rsidP="00955E75">
            <w:pPr>
              <w:keepNext/>
              <w:keepLines/>
              <w:jc w:val="center"/>
              <w:rPr>
                <w:rFonts w:cs="Arial"/>
                <w:b/>
                <w:bCs/>
                <w:color w:val="00B050"/>
                <w:sz w:val="16"/>
                <w:szCs w:val="16"/>
              </w:rPr>
            </w:pPr>
          </w:p>
          <w:p w:rsidR="00B655FE" w:rsidRPr="00B66E2E" w:rsidRDefault="00B655FE" w:rsidP="00955E75">
            <w:pPr>
              <w:keepNext/>
              <w:keepLines/>
              <w:jc w:val="center"/>
              <w:rPr>
                <w:rFonts w:cs="Arial"/>
                <w:b/>
                <w:bCs/>
                <w:color w:val="00B050"/>
                <w:sz w:val="16"/>
                <w:szCs w:val="16"/>
              </w:rPr>
            </w:pPr>
          </w:p>
          <w:p w:rsidR="00B655FE" w:rsidRPr="00B66E2E" w:rsidRDefault="00B655FE" w:rsidP="00955E75">
            <w:pPr>
              <w:keepNext/>
              <w:keepLines/>
              <w:jc w:val="center"/>
              <w:rPr>
                <w:rFonts w:cs="Arial"/>
                <w:bCs/>
                <w:color w:val="808080"/>
                <w:sz w:val="16"/>
                <w:szCs w:val="16"/>
              </w:rPr>
            </w:pPr>
            <w:r w:rsidRPr="00B66E2E">
              <w:rPr>
                <w:rFonts w:cs="Arial"/>
                <w:b/>
                <w:color w:val="00B050"/>
                <w:sz w:val="16"/>
                <w:szCs w:val="16"/>
              </w:rPr>
              <w:t>Выполнено</w:t>
            </w:r>
          </w:p>
        </w:tc>
      </w:tr>
      <w:tr w:rsidR="00B655FE" w:rsidRPr="00B66E2E" w:rsidTr="00955E75">
        <w:tc>
          <w:tcPr>
            <w:tcW w:w="1133" w:type="pct"/>
            <w:tcBorders>
              <w:top w:val="nil"/>
              <w:left w:val="single" w:sz="4" w:space="0" w:color="auto"/>
              <w:bottom w:val="nil"/>
            </w:tcBorders>
            <w:shd w:val="clear" w:color="auto" w:fill="auto"/>
          </w:tcPr>
          <w:p w:rsidR="00B655FE" w:rsidRPr="00B655FE" w:rsidRDefault="00B655FE" w:rsidP="00955E75">
            <w:pPr>
              <w:rPr>
                <w:rFonts w:cs="Arial"/>
                <w:sz w:val="16"/>
                <w:szCs w:val="16"/>
                <w:lang w:val="ru-RU"/>
              </w:rPr>
            </w:pPr>
            <w:r w:rsidRPr="00B655FE">
              <w:rPr>
                <w:rFonts w:cs="Arial"/>
                <w:sz w:val="16"/>
                <w:szCs w:val="16"/>
                <w:lang w:val="ru-RU"/>
              </w:rPr>
              <w:t>АКТУАЛЬНОСТЬ, ДОПОЛНИТЕЛЬНЫЙ ЭФФЕКТ И РАЗУМНОЕ РУКОВОДСТВО – ощутимое снижение затрат или совершенствование оперативно-функциональных процессов и систем</w:t>
            </w:r>
          </w:p>
          <w:p w:rsidR="00B655FE" w:rsidRPr="00B655FE" w:rsidRDefault="00B655FE" w:rsidP="00955E75">
            <w:pPr>
              <w:rPr>
                <w:rFonts w:cs="Arial"/>
                <w:sz w:val="16"/>
                <w:szCs w:val="16"/>
                <w:lang w:val="ru-RU"/>
              </w:rPr>
            </w:pPr>
          </w:p>
        </w:tc>
        <w:tc>
          <w:tcPr>
            <w:tcW w:w="1051" w:type="pct"/>
            <w:tcBorders>
              <w:top w:val="nil"/>
              <w:bottom w:val="nil"/>
            </w:tcBorders>
            <w:shd w:val="clear" w:color="auto" w:fill="auto"/>
          </w:tcPr>
          <w:p w:rsidR="00B655FE" w:rsidRPr="00B655FE" w:rsidRDefault="00B655FE" w:rsidP="00955E75">
            <w:pPr>
              <w:autoSpaceDE w:val="0"/>
              <w:autoSpaceDN w:val="0"/>
              <w:adjustRightInd w:val="0"/>
              <w:rPr>
                <w:rFonts w:cs="Arial"/>
                <w:i/>
                <w:color w:val="002060"/>
                <w:sz w:val="16"/>
                <w:szCs w:val="16"/>
                <w:lang w:val="ru-RU"/>
              </w:rPr>
            </w:pPr>
            <w:r w:rsidRPr="00B655FE">
              <w:rPr>
                <w:rFonts w:cs="Arial"/>
                <w:sz w:val="16"/>
                <w:szCs w:val="16"/>
                <w:lang w:val="ru-RU"/>
              </w:rPr>
              <w:t>На основе рекомендаций ОВН были выпущены 10 СИ/</w:t>
            </w:r>
            <w:r w:rsidRPr="00DB2397">
              <w:rPr>
                <w:rFonts w:cs="Arial"/>
                <w:sz w:val="16"/>
                <w:szCs w:val="16"/>
              </w:rPr>
              <w:t>IC</w:t>
            </w:r>
            <w:r w:rsidRPr="00B655FE">
              <w:rPr>
                <w:rFonts w:cs="Arial"/>
                <w:sz w:val="16"/>
                <w:szCs w:val="16"/>
                <w:lang w:val="ru-RU"/>
              </w:rPr>
              <w:t xml:space="preserve"> в целях совершенствования внутреннего контроля, рабочих процессов и операций.</w:t>
            </w:r>
          </w:p>
        </w:tc>
        <w:tc>
          <w:tcPr>
            <w:tcW w:w="1051" w:type="pct"/>
            <w:tcBorders>
              <w:top w:val="nil"/>
              <w:bottom w:val="nil"/>
            </w:tcBorders>
            <w:shd w:val="clear" w:color="auto" w:fill="auto"/>
            <w:tcMar>
              <w:top w:w="110" w:type="dxa"/>
            </w:tcMar>
          </w:tcPr>
          <w:p w:rsidR="00B655FE" w:rsidRPr="00B66E2E" w:rsidRDefault="00B655FE" w:rsidP="00955E75">
            <w:pPr>
              <w:autoSpaceDE w:val="0"/>
              <w:autoSpaceDN w:val="0"/>
              <w:adjustRightInd w:val="0"/>
              <w:rPr>
                <w:rFonts w:cs="Arial"/>
                <w:sz w:val="16"/>
                <w:szCs w:val="16"/>
              </w:rPr>
            </w:pPr>
            <w:r w:rsidRPr="00B66E2E">
              <w:rPr>
                <w:rFonts w:cs="Arial"/>
                <w:sz w:val="16"/>
                <w:szCs w:val="16"/>
              </w:rPr>
              <w:t>Будет определено позднее</w:t>
            </w:r>
          </w:p>
          <w:p w:rsidR="00B655FE" w:rsidRPr="00B66E2E" w:rsidRDefault="00B655FE" w:rsidP="00955E75">
            <w:pPr>
              <w:autoSpaceDE w:val="0"/>
              <w:autoSpaceDN w:val="0"/>
              <w:adjustRightInd w:val="0"/>
              <w:rPr>
                <w:rFonts w:cs="Arial"/>
                <w:sz w:val="16"/>
                <w:szCs w:val="16"/>
              </w:rPr>
            </w:pPr>
          </w:p>
        </w:tc>
        <w:tc>
          <w:tcPr>
            <w:tcW w:w="1131" w:type="pct"/>
            <w:tcBorders>
              <w:top w:val="nil"/>
              <w:bottom w:val="nil"/>
            </w:tcBorders>
            <w:shd w:val="clear" w:color="auto" w:fill="FFFFFF"/>
            <w:tcMar>
              <w:top w:w="110" w:type="dxa"/>
            </w:tcMar>
          </w:tcPr>
          <w:p w:rsidR="00B655FE" w:rsidRPr="00B655FE" w:rsidRDefault="00B655FE" w:rsidP="00955E75">
            <w:pPr>
              <w:autoSpaceDE w:val="0"/>
              <w:autoSpaceDN w:val="0"/>
              <w:adjustRightInd w:val="0"/>
              <w:rPr>
                <w:rFonts w:cs="Arial"/>
                <w:sz w:val="16"/>
                <w:szCs w:val="16"/>
                <w:lang w:val="ru-RU"/>
              </w:rPr>
            </w:pPr>
            <w:r w:rsidRPr="00B655FE">
              <w:rPr>
                <w:rFonts w:cs="Arial"/>
                <w:sz w:val="16"/>
                <w:szCs w:val="16"/>
                <w:lang w:val="ru-RU"/>
              </w:rPr>
              <w:t>На основе рекомендаций ОВН были выпущены 10 СИ/</w:t>
            </w:r>
            <w:r w:rsidRPr="00DB2397">
              <w:rPr>
                <w:rFonts w:cs="Arial"/>
                <w:sz w:val="16"/>
                <w:szCs w:val="16"/>
              </w:rPr>
              <w:t>IC</w:t>
            </w:r>
            <w:r w:rsidRPr="00B655FE">
              <w:rPr>
                <w:rFonts w:cs="Arial"/>
                <w:sz w:val="16"/>
                <w:szCs w:val="16"/>
                <w:lang w:val="ru-RU"/>
              </w:rPr>
              <w:t xml:space="preserve"> в целях совершенствования внутреннего контроля, рабочих процессов и операций.</w:t>
            </w:r>
          </w:p>
        </w:tc>
        <w:tc>
          <w:tcPr>
            <w:tcW w:w="634" w:type="pct"/>
            <w:tcBorders>
              <w:top w:val="nil"/>
              <w:bottom w:val="nil"/>
              <w:right w:val="single" w:sz="4" w:space="0" w:color="auto"/>
            </w:tcBorders>
            <w:shd w:val="clear" w:color="auto" w:fill="auto"/>
            <w:tcMar>
              <w:top w:w="110" w:type="dxa"/>
            </w:tcMar>
          </w:tcPr>
          <w:p w:rsidR="00B655FE" w:rsidRPr="00B66E2E" w:rsidRDefault="00B655FE" w:rsidP="00955E75">
            <w:pPr>
              <w:keepNext/>
              <w:keepLines/>
              <w:jc w:val="center"/>
              <w:rPr>
                <w:rFonts w:cs="Arial"/>
                <w:b/>
                <w:bCs/>
                <w:color w:val="808080"/>
                <w:sz w:val="16"/>
                <w:szCs w:val="16"/>
              </w:rPr>
            </w:pPr>
            <w:r w:rsidRPr="00B66E2E">
              <w:rPr>
                <w:rFonts w:cs="Arial"/>
                <w:b/>
                <w:color w:val="808080"/>
                <w:sz w:val="16"/>
                <w:szCs w:val="16"/>
              </w:rPr>
              <w:t>Не подлежит оценке</w:t>
            </w:r>
          </w:p>
        </w:tc>
      </w:tr>
      <w:tr w:rsidR="00B655FE" w:rsidRPr="00B66E2E" w:rsidTr="00955E75">
        <w:tc>
          <w:tcPr>
            <w:tcW w:w="1133" w:type="pct"/>
            <w:tcBorders>
              <w:top w:val="nil"/>
              <w:left w:val="single" w:sz="4" w:space="0" w:color="auto"/>
              <w:bottom w:val="single" w:sz="4" w:space="0" w:color="auto"/>
            </w:tcBorders>
            <w:shd w:val="clear" w:color="auto" w:fill="auto"/>
          </w:tcPr>
          <w:p w:rsidR="00B655FE" w:rsidRPr="00B655FE" w:rsidRDefault="00B655FE" w:rsidP="00955E75">
            <w:pPr>
              <w:rPr>
                <w:rFonts w:cs="Arial"/>
                <w:sz w:val="16"/>
                <w:szCs w:val="16"/>
                <w:lang w:val="ru-RU"/>
              </w:rPr>
            </w:pPr>
            <w:r w:rsidRPr="00B655FE">
              <w:rPr>
                <w:rFonts w:cs="Arial"/>
                <w:sz w:val="16"/>
                <w:szCs w:val="16"/>
                <w:lang w:val="ru-RU"/>
              </w:rPr>
              <w:t>ИЗВЛЕЧЕНИЕ УРОКОВ НА УРОВНЕ ОРГАНИЗАЦИИ – усвоение уроков и рекомендаций по итогам надзорных мероприятий.</w:t>
            </w:r>
          </w:p>
        </w:tc>
        <w:tc>
          <w:tcPr>
            <w:tcW w:w="1051" w:type="pct"/>
            <w:tcBorders>
              <w:top w:val="nil"/>
              <w:bottom w:val="single" w:sz="4" w:space="0" w:color="auto"/>
            </w:tcBorders>
            <w:shd w:val="clear" w:color="auto" w:fill="auto"/>
          </w:tcPr>
          <w:p w:rsidR="00B655FE" w:rsidRPr="00B655FE" w:rsidRDefault="00B655FE" w:rsidP="00955E75">
            <w:pPr>
              <w:keepNext/>
              <w:keepLines/>
              <w:rPr>
                <w:rFonts w:cs="Arial"/>
                <w:sz w:val="16"/>
                <w:szCs w:val="16"/>
                <w:lang w:val="ru-RU"/>
              </w:rPr>
            </w:pPr>
            <w:r w:rsidRPr="00B655FE">
              <w:rPr>
                <w:rFonts w:cs="Arial"/>
                <w:sz w:val="16"/>
                <w:szCs w:val="16"/>
                <w:lang w:val="ru-RU"/>
              </w:rPr>
              <w:t>Принятие 90% рекомендаций</w:t>
            </w:r>
          </w:p>
          <w:p w:rsidR="00B655FE" w:rsidRPr="00B655FE" w:rsidRDefault="00B655FE" w:rsidP="00955E75">
            <w:pPr>
              <w:keepNext/>
              <w:keepLines/>
              <w:rPr>
                <w:rFonts w:cs="Arial"/>
                <w:sz w:val="16"/>
                <w:szCs w:val="16"/>
                <w:lang w:val="ru-RU"/>
              </w:rPr>
            </w:pPr>
          </w:p>
          <w:p w:rsidR="00B655FE" w:rsidRPr="00B655FE" w:rsidRDefault="00B655FE" w:rsidP="00955E75">
            <w:pPr>
              <w:keepNext/>
              <w:keepLines/>
              <w:rPr>
                <w:rFonts w:cs="Arial"/>
                <w:i/>
                <w:color w:val="002060"/>
                <w:sz w:val="16"/>
                <w:szCs w:val="16"/>
                <w:lang w:val="ru-RU"/>
              </w:rPr>
            </w:pPr>
            <w:r w:rsidRPr="00B655FE">
              <w:rPr>
                <w:rFonts w:cs="Arial"/>
                <w:sz w:val="16"/>
                <w:szCs w:val="16"/>
                <w:lang w:val="ru-RU"/>
              </w:rPr>
              <w:t>Выполнение 90% рекомендаций в двухлетний срок</w:t>
            </w:r>
          </w:p>
        </w:tc>
        <w:tc>
          <w:tcPr>
            <w:tcW w:w="1051" w:type="pct"/>
            <w:tcBorders>
              <w:top w:val="nil"/>
              <w:bottom w:val="single" w:sz="4" w:space="0" w:color="auto"/>
            </w:tcBorders>
            <w:shd w:val="clear" w:color="auto" w:fill="auto"/>
            <w:tcMar>
              <w:top w:w="110" w:type="dxa"/>
            </w:tcMar>
          </w:tcPr>
          <w:p w:rsidR="00B655FE" w:rsidRPr="00B655FE" w:rsidRDefault="00B655FE" w:rsidP="00955E75">
            <w:pPr>
              <w:autoSpaceDE w:val="0"/>
              <w:autoSpaceDN w:val="0"/>
              <w:adjustRightInd w:val="0"/>
              <w:rPr>
                <w:rFonts w:cs="Arial"/>
                <w:sz w:val="16"/>
                <w:szCs w:val="16"/>
                <w:lang w:val="ru-RU"/>
              </w:rPr>
            </w:pPr>
            <w:r w:rsidRPr="00B655FE">
              <w:rPr>
                <w:rFonts w:cs="Arial"/>
                <w:sz w:val="16"/>
                <w:szCs w:val="16"/>
                <w:lang w:val="ru-RU"/>
              </w:rPr>
              <w:t xml:space="preserve">Принятие 90% рекомендаций </w:t>
            </w:r>
          </w:p>
          <w:p w:rsidR="00B655FE" w:rsidRPr="00B655FE" w:rsidRDefault="00B655FE" w:rsidP="00955E75">
            <w:pPr>
              <w:autoSpaceDE w:val="0"/>
              <w:autoSpaceDN w:val="0"/>
              <w:adjustRightInd w:val="0"/>
              <w:rPr>
                <w:rFonts w:cs="Arial"/>
                <w:sz w:val="16"/>
                <w:szCs w:val="16"/>
                <w:lang w:val="ru-RU"/>
              </w:rPr>
            </w:pPr>
          </w:p>
          <w:p w:rsidR="00B655FE" w:rsidRPr="00B655FE" w:rsidRDefault="00B655FE" w:rsidP="00955E75">
            <w:pPr>
              <w:autoSpaceDE w:val="0"/>
              <w:autoSpaceDN w:val="0"/>
              <w:adjustRightInd w:val="0"/>
              <w:rPr>
                <w:rFonts w:cs="Arial"/>
                <w:sz w:val="16"/>
                <w:szCs w:val="16"/>
                <w:lang w:val="ru-RU"/>
              </w:rPr>
            </w:pPr>
            <w:r w:rsidRPr="00B655FE">
              <w:rPr>
                <w:rFonts w:cs="Arial"/>
                <w:sz w:val="16"/>
                <w:szCs w:val="16"/>
                <w:lang w:val="ru-RU"/>
              </w:rPr>
              <w:t xml:space="preserve">Выполнение 90% рекомендаций в двухлетний срок </w:t>
            </w:r>
          </w:p>
        </w:tc>
        <w:tc>
          <w:tcPr>
            <w:tcW w:w="1131" w:type="pct"/>
            <w:tcBorders>
              <w:top w:val="nil"/>
              <w:bottom w:val="single" w:sz="4" w:space="0" w:color="auto"/>
            </w:tcBorders>
            <w:shd w:val="clear" w:color="auto" w:fill="FFFFFF"/>
            <w:tcMar>
              <w:top w:w="110" w:type="dxa"/>
            </w:tcMar>
          </w:tcPr>
          <w:p w:rsidR="00B655FE" w:rsidRPr="00B655FE" w:rsidRDefault="00B655FE" w:rsidP="00955E75">
            <w:pPr>
              <w:rPr>
                <w:rFonts w:cs="Arial"/>
                <w:sz w:val="16"/>
                <w:szCs w:val="16"/>
                <w:lang w:val="ru-RU"/>
              </w:rPr>
            </w:pPr>
            <w:r w:rsidRPr="00B655FE">
              <w:rPr>
                <w:rFonts w:cs="Arial"/>
                <w:sz w:val="16"/>
                <w:szCs w:val="16"/>
                <w:lang w:val="ru-RU"/>
              </w:rPr>
              <w:t xml:space="preserve">Принятие более 95% рекомендаций </w:t>
            </w:r>
          </w:p>
          <w:p w:rsidR="00B655FE" w:rsidRPr="00B655FE" w:rsidRDefault="00B655FE" w:rsidP="00955E75">
            <w:pPr>
              <w:rPr>
                <w:rFonts w:cs="Arial"/>
                <w:sz w:val="16"/>
                <w:szCs w:val="16"/>
                <w:lang w:val="ru-RU"/>
              </w:rPr>
            </w:pPr>
          </w:p>
          <w:p w:rsidR="00B655FE" w:rsidRPr="00B655FE" w:rsidRDefault="00B655FE" w:rsidP="00955E75">
            <w:pPr>
              <w:rPr>
                <w:rFonts w:cs="Arial"/>
                <w:sz w:val="16"/>
                <w:szCs w:val="16"/>
                <w:lang w:val="ru-RU"/>
              </w:rPr>
            </w:pPr>
            <w:r w:rsidRPr="00B655FE">
              <w:rPr>
                <w:rFonts w:cs="Arial"/>
                <w:sz w:val="16"/>
                <w:szCs w:val="16"/>
                <w:lang w:val="ru-RU"/>
              </w:rPr>
              <w:t xml:space="preserve">Выполнение 40% рекомендаций в двухлетний срок </w:t>
            </w:r>
          </w:p>
        </w:tc>
        <w:tc>
          <w:tcPr>
            <w:tcW w:w="634" w:type="pct"/>
            <w:tcBorders>
              <w:top w:val="nil"/>
              <w:bottom w:val="single" w:sz="4" w:space="0" w:color="auto"/>
              <w:right w:val="single" w:sz="4" w:space="0" w:color="auto"/>
            </w:tcBorders>
            <w:shd w:val="clear" w:color="auto" w:fill="auto"/>
            <w:tcMar>
              <w:top w:w="110" w:type="dxa"/>
            </w:tcMar>
          </w:tcPr>
          <w:p w:rsidR="00B655FE" w:rsidRPr="00B66E2E" w:rsidRDefault="00B655FE" w:rsidP="00955E75">
            <w:pPr>
              <w:keepNext/>
              <w:keepLines/>
              <w:jc w:val="center"/>
              <w:rPr>
                <w:rFonts w:cs="Arial"/>
                <w:b/>
                <w:bCs/>
                <w:color w:val="E36C0A" w:themeColor="accent6" w:themeShade="BF"/>
                <w:sz w:val="16"/>
                <w:szCs w:val="16"/>
              </w:rPr>
            </w:pPr>
            <w:r w:rsidRPr="00B66E2E">
              <w:rPr>
                <w:rFonts w:cs="Arial"/>
                <w:b/>
                <w:color w:val="00B050"/>
                <w:sz w:val="16"/>
                <w:szCs w:val="16"/>
              </w:rPr>
              <w:t>Выполнено</w:t>
            </w:r>
          </w:p>
          <w:p w:rsidR="00B655FE" w:rsidRDefault="00B655FE" w:rsidP="00955E75">
            <w:pPr>
              <w:keepNext/>
              <w:keepLines/>
              <w:rPr>
                <w:rFonts w:cs="Arial"/>
                <w:b/>
                <w:bCs/>
                <w:color w:val="E36C0A" w:themeColor="accent6" w:themeShade="BF"/>
                <w:sz w:val="16"/>
                <w:szCs w:val="16"/>
              </w:rPr>
            </w:pPr>
          </w:p>
          <w:p w:rsidR="00B655FE" w:rsidRPr="00B66E2E" w:rsidRDefault="00B655FE" w:rsidP="00955E75">
            <w:pPr>
              <w:keepNext/>
              <w:keepLines/>
              <w:rPr>
                <w:rFonts w:cs="Arial"/>
                <w:b/>
                <w:bCs/>
                <w:color w:val="E36C0A" w:themeColor="accent6" w:themeShade="BF"/>
                <w:sz w:val="16"/>
                <w:szCs w:val="16"/>
              </w:rPr>
            </w:pPr>
          </w:p>
          <w:p w:rsidR="00B655FE" w:rsidRPr="00B66E2E" w:rsidRDefault="00B655FE" w:rsidP="00955E75">
            <w:pPr>
              <w:keepNext/>
              <w:keepLines/>
              <w:jc w:val="center"/>
              <w:rPr>
                <w:rFonts w:cs="Arial"/>
                <w:b/>
                <w:bCs/>
                <w:color w:val="FFC000"/>
                <w:sz w:val="16"/>
                <w:szCs w:val="16"/>
              </w:rPr>
            </w:pPr>
            <w:r w:rsidRPr="00B66E2E">
              <w:rPr>
                <w:rFonts w:cs="Arial"/>
                <w:b/>
                <w:color w:val="E36C0A" w:themeColor="accent6" w:themeShade="BF"/>
                <w:sz w:val="16"/>
                <w:szCs w:val="16"/>
              </w:rPr>
              <w:t>Частично выполнено</w:t>
            </w:r>
          </w:p>
        </w:tc>
      </w:tr>
    </w:tbl>
    <w:p w:rsidR="00B655FE" w:rsidRPr="003E3E95" w:rsidRDefault="00B655FE" w:rsidP="00B655FE">
      <w:pPr>
        <w:keepNext/>
        <w:keepLines/>
        <w:rPr>
          <w:rFonts w:cs="Arial"/>
          <w:color w:val="000000"/>
          <w:szCs w:val="22"/>
        </w:rPr>
      </w:pPr>
    </w:p>
    <w:p w:rsidR="00B655FE" w:rsidRDefault="00B655FE" w:rsidP="00B655FE">
      <w:pPr>
        <w:keepNext/>
        <w:keepLines/>
        <w:rPr>
          <w:rFonts w:cs="Arial"/>
          <w:color w:val="000000"/>
          <w:szCs w:val="22"/>
        </w:rPr>
      </w:pPr>
    </w:p>
    <w:p w:rsidR="00B655FE" w:rsidRPr="003E3E95" w:rsidRDefault="00B655FE" w:rsidP="00B655FE">
      <w:pPr>
        <w:keepNext/>
        <w:keepLines/>
        <w:rPr>
          <w:rFonts w:cs="Arial"/>
          <w:color w:val="000000"/>
          <w:szCs w:val="22"/>
        </w:rPr>
      </w:pPr>
    </w:p>
    <w:p w:rsidR="00B655FE" w:rsidRDefault="00B655FE" w:rsidP="00B655FE">
      <w:pPr>
        <w:spacing w:after="200" w:line="276" w:lineRule="auto"/>
        <w:rPr>
          <w:color w:val="000000"/>
        </w:rPr>
      </w:pPr>
      <w:r>
        <w:rPr>
          <w:color w:val="000000"/>
        </w:rPr>
        <w:br w:type="page"/>
      </w:r>
    </w:p>
    <w:p w:rsidR="00B655FE" w:rsidRPr="00B655FE" w:rsidRDefault="00B655FE" w:rsidP="00B655FE">
      <w:pPr>
        <w:keepNext/>
        <w:keepLines/>
        <w:rPr>
          <w:rFonts w:cs="Arial"/>
          <w:color w:val="000000"/>
          <w:szCs w:val="22"/>
          <w:lang w:val="ru-RU"/>
        </w:rPr>
      </w:pPr>
      <w:r w:rsidRPr="00B655FE">
        <w:rPr>
          <w:color w:val="000000"/>
          <w:lang w:val="ru-RU"/>
        </w:rPr>
        <w:t>ОТЧЕТ О РИСКАХ В ДВУХЛЕТНИЙ ПЕРИОД</w:t>
      </w:r>
    </w:p>
    <w:p w:rsidR="00B655FE" w:rsidRPr="00B655FE" w:rsidRDefault="00B655FE" w:rsidP="00B655FE">
      <w:pPr>
        <w:keepNext/>
        <w:keepLines/>
        <w:rPr>
          <w:sz w:val="18"/>
          <w:lang w:val="ru-RU"/>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32"/>
        <w:gridCol w:w="1992"/>
        <w:gridCol w:w="2582"/>
        <w:gridCol w:w="2457"/>
      </w:tblGrid>
      <w:tr w:rsidR="00B655FE" w:rsidTr="00955E75">
        <w:trPr>
          <w:trHeight w:val="424"/>
        </w:trPr>
        <w:tc>
          <w:tcPr>
            <w:tcW w:w="2530" w:type="dxa"/>
            <w:tcBorders>
              <w:top w:val="single" w:sz="4" w:space="0" w:color="auto"/>
              <w:bottom w:val="single" w:sz="4" w:space="0" w:color="auto"/>
            </w:tcBorders>
            <w:shd w:val="clear" w:color="auto" w:fill="C6D9F1" w:themeFill="text2" w:themeFillTint="33"/>
            <w:tcMar>
              <w:top w:w="113" w:type="dxa"/>
              <w:bottom w:w="85" w:type="dxa"/>
            </w:tcMar>
            <w:vAlign w:val="center"/>
          </w:tcPr>
          <w:p w:rsidR="00B655FE" w:rsidRPr="00B655FE" w:rsidRDefault="00B655FE" w:rsidP="00955E75">
            <w:pPr>
              <w:jc w:val="center"/>
              <w:rPr>
                <w:b/>
                <w:sz w:val="18"/>
                <w:szCs w:val="18"/>
                <w:lang w:val="ru-RU"/>
              </w:rPr>
            </w:pPr>
            <w:r w:rsidRPr="00B655FE">
              <w:rPr>
                <w:b/>
                <w:sz w:val="18"/>
                <w:lang w:val="ru-RU"/>
              </w:rPr>
              <w:t>Риск (риски) того, что результаты программы не будут достигнуты</w:t>
            </w:r>
          </w:p>
        </w:tc>
        <w:tc>
          <w:tcPr>
            <w:tcW w:w="2006" w:type="dxa"/>
            <w:tcBorders>
              <w:top w:val="single" w:sz="4" w:space="0" w:color="auto"/>
              <w:bottom w:val="single" w:sz="4" w:space="0" w:color="auto"/>
            </w:tcBorders>
            <w:shd w:val="clear" w:color="auto" w:fill="C6D9F1" w:themeFill="text2" w:themeFillTint="33"/>
            <w:tcMar>
              <w:top w:w="113" w:type="dxa"/>
              <w:bottom w:w="85" w:type="dxa"/>
            </w:tcMar>
            <w:vAlign w:val="center"/>
          </w:tcPr>
          <w:p w:rsidR="00B655FE" w:rsidRPr="00B655FE" w:rsidRDefault="00B655FE" w:rsidP="00955E75">
            <w:pPr>
              <w:jc w:val="center"/>
              <w:rPr>
                <w:b/>
                <w:sz w:val="18"/>
                <w:szCs w:val="18"/>
                <w:lang w:val="ru-RU"/>
              </w:rPr>
            </w:pPr>
            <w:r w:rsidRPr="00B655FE">
              <w:rPr>
                <w:b/>
                <w:sz w:val="18"/>
                <w:lang w:val="ru-RU"/>
              </w:rPr>
              <w:t xml:space="preserve">Действующие или разрабатываемые планы по снижению рисков </w:t>
            </w:r>
          </w:p>
        </w:tc>
        <w:tc>
          <w:tcPr>
            <w:tcW w:w="2694" w:type="dxa"/>
            <w:tcBorders>
              <w:top w:val="single" w:sz="4" w:space="0" w:color="auto"/>
              <w:bottom w:val="single" w:sz="4" w:space="0" w:color="auto"/>
            </w:tcBorders>
            <w:shd w:val="clear" w:color="auto" w:fill="C6D9F1" w:themeFill="text2" w:themeFillTint="33"/>
          </w:tcPr>
          <w:p w:rsidR="00B655FE" w:rsidRPr="00B655FE" w:rsidRDefault="00B655FE" w:rsidP="00955E75">
            <w:pPr>
              <w:jc w:val="center"/>
              <w:rPr>
                <w:b/>
                <w:bCs/>
                <w:sz w:val="18"/>
                <w:szCs w:val="18"/>
                <w:lang w:val="ru-RU"/>
              </w:rPr>
            </w:pPr>
            <w:r w:rsidRPr="00B655FE">
              <w:rPr>
                <w:b/>
                <w:sz w:val="18"/>
                <w:lang w:val="ru-RU"/>
              </w:rPr>
              <w:t>Развитие риска (рисков) и стратегий его (их) снижения в двухлетний период</w:t>
            </w:r>
          </w:p>
        </w:tc>
        <w:tc>
          <w:tcPr>
            <w:tcW w:w="2551" w:type="dxa"/>
            <w:tcBorders>
              <w:top w:val="single" w:sz="4" w:space="0" w:color="auto"/>
              <w:bottom w:val="single" w:sz="4" w:space="0" w:color="auto"/>
            </w:tcBorders>
            <w:shd w:val="clear" w:color="auto" w:fill="C6D9F1" w:themeFill="text2" w:themeFillTint="33"/>
          </w:tcPr>
          <w:p w:rsidR="00B655FE" w:rsidRPr="003C527B" w:rsidRDefault="00B655FE" w:rsidP="00955E75">
            <w:pPr>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B655FE" w:rsidRPr="005C6ABD" w:rsidTr="00955E75">
        <w:trPr>
          <w:trHeight w:val="799"/>
        </w:trPr>
        <w:tc>
          <w:tcPr>
            <w:tcW w:w="2530" w:type="dxa"/>
            <w:tcBorders>
              <w:top w:val="single" w:sz="4" w:space="0" w:color="auto"/>
            </w:tcBorders>
            <w:shd w:val="clear" w:color="auto" w:fill="auto"/>
            <w:tcMar>
              <w:top w:w="113" w:type="dxa"/>
              <w:bottom w:w="85" w:type="dxa"/>
            </w:tcMar>
          </w:tcPr>
          <w:p w:rsidR="008320CF" w:rsidRDefault="008320CF" w:rsidP="008320CF">
            <w:pPr>
              <w:rPr>
                <w:sz w:val="16"/>
                <w:lang w:val="ru-RU"/>
              </w:rPr>
            </w:pPr>
          </w:p>
          <w:p w:rsidR="00B655FE" w:rsidRPr="00E5288B" w:rsidRDefault="00B655FE" w:rsidP="008320CF">
            <w:pPr>
              <w:rPr>
                <w:bCs/>
                <w:i/>
                <w:iCs/>
                <w:sz w:val="16"/>
                <w:szCs w:val="16"/>
              </w:rPr>
            </w:pPr>
            <w:r w:rsidRPr="00B655FE">
              <w:rPr>
                <w:sz w:val="16"/>
                <w:lang w:val="ru-RU"/>
              </w:rPr>
              <w:t xml:space="preserve">Подразделения, осуществляющие внутренний надзор, не являются независимыми, и сотрудники ОВН необъективны в своей работе.  Беспристрастность выполняемой работы будет поставлена под сомнение, и доверие к ней будет подорвано.  </w:t>
            </w:r>
            <w:r>
              <w:rPr>
                <w:sz w:val="16"/>
              </w:rPr>
              <w:t>Снизится уровень доверия к службе надзора.</w:t>
            </w:r>
          </w:p>
        </w:tc>
        <w:tc>
          <w:tcPr>
            <w:tcW w:w="2006" w:type="dxa"/>
            <w:tcBorders>
              <w:top w:val="single" w:sz="4" w:space="0" w:color="auto"/>
            </w:tcBorders>
            <w:shd w:val="clear" w:color="auto" w:fill="auto"/>
            <w:tcMar>
              <w:top w:w="113" w:type="dxa"/>
              <w:bottom w:w="85" w:type="dxa"/>
            </w:tcMar>
          </w:tcPr>
          <w:p w:rsidR="008320CF" w:rsidRDefault="008320CF" w:rsidP="008320CF">
            <w:pPr>
              <w:rPr>
                <w:sz w:val="16"/>
                <w:lang w:val="ru-RU"/>
              </w:rPr>
            </w:pPr>
          </w:p>
          <w:p w:rsidR="00B655FE" w:rsidRPr="00B655FE" w:rsidRDefault="00B655FE" w:rsidP="008320CF">
            <w:pPr>
              <w:rPr>
                <w:bCs/>
                <w:i/>
                <w:iCs/>
                <w:sz w:val="16"/>
                <w:szCs w:val="16"/>
                <w:lang w:val="ru-RU"/>
              </w:rPr>
            </w:pPr>
            <w:r w:rsidRPr="00B655FE">
              <w:rPr>
                <w:sz w:val="16"/>
                <w:lang w:val="ru-RU"/>
              </w:rPr>
              <w:t>ОВН и его сотрудники будут руководствоваться Уставом внутреннего надзора, регулярно отчитываться перед НККН и представлять ежегодные отчеты по вопросу о своей независимости Генеральной ассамблее ВОИС</w:t>
            </w:r>
          </w:p>
        </w:tc>
        <w:tc>
          <w:tcPr>
            <w:tcW w:w="2694" w:type="dxa"/>
            <w:tcBorders>
              <w:top w:val="single" w:sz="4" w:space="0" w:color="auto"/>
            </w:tcBorders>
          </w:tcPr>
          <w:p w:rsidR="008320CF" w:rsidRDefault="008320CF" w:rsidP="008320CF">
            <w:pPr>
              <w:rPr>
                <w:sz w:val="16"/>
                <w:lang w:val="ru-RU"/>
              </w:rPr>
            </w:pPr>
          </w:p>
          <w:p w:rsidR="00B655FE" w:rsidRPr="00B655FE" w:rsidRDefault="00B655FE" w:rsidP="008320CF">
            <w:pPr>
              <w:rPr>
                <w:sz w:val="16"/>
                <w:szCs w:val="16"/>
                <w:lang w:val="ru-RU"/>
              </w:rPr>
            </w:pPr>
            <w:r w:rsidRPr="00B655FE">
              <w:rPr>
                <w:sz w:val="16"/>
                <w:lang w:val="ru-RU"/>
              </w:rPr>
              <w:t>ОВН и его сотрудники соблюдают Устав внутреннего надзора и профессиональные кодексы поведения (если применимо).  В ходе рассматриваемого двухлетнего периода в ситуациях, когда директор ОВН или его сотрудники считали, что может возникнуть конфликт интересов, дело передавалось в НККН в соответствии с пунктом 18 Устава для получения консультации по поводу того, как следует продолжать работу.</w:t>
            </w:r>
          </w:p>
        </w:tc>
        <w:tc>
          <w:tcPr>
            <w:tcW w:w="2551" w:type="dxa"/>
            <w:tcBorders>
              <w:top w:val="single" w:sz="4" w:space="0" w:color="auto"/>
            </w:tcBorders>
          </w:tcPr>
          <w:p w:rsidR="008320CF" w:rsidRDefault="008320CF" w:rsidP="008320CF">
            <w:pPr>
              <w:rPr>
                <w:sz w:val="16"/>
                <w:lang w:val="ru-RU"/>
              </w:rPr>
            </w:pPr>
          </w:p>
          <w:p w:rsidR="00B655FE" w:rsidRPr="00B655FE" w:rsidRDefault="00B655FE" w:rsidP="008320CF">
            <w:pPr>
              <w:rPr>
                <w:sz w:val="16"/>
                <w:szCs w:val="16"/>
                <w:lang w:val="ru-RU"/>
              </w:rPr>
            </w:pPr>
            <w:r w:rsidRPr="00B655FE">
              <w:rPr>
                <w:sz w:val="16"/>
                <w:lang w:val="ru-RU"/>
              </w:rPr>
              <w:t>Благодаря действующим планам по снижению риска удалось минимизировать воздействие на достижение ожидаемых результатов и целевых показателей программы.</w:t>
            </w:r>
          </w:p>
        </w:tc>
      </w:tr>
      <w:tr w:rsidR="00B655FE" w:rsidRPr="005C6ABD" w:rsidTr="00955E75">
        <w:trPr>
          <w:trHeight w:val="937"/>
        </w:trPr>
        <w:tc>
          <w:tcPr>
            <w:tcW w:w="2530" w:type="dxa"/>
            <w:shd w:val="clear" w:color="auto" w:fill="auto"/>
            <w:tcMar>
              <w:top w:w="113" w:type="dxa"/>
              <w:bottom w:w="85" w:type="dxa"/>
            </w:tcMar>
          </w:tcPr>
          <w:p w:rsidR="00B655FE" w:rsidRPr="00E5288B" w:rsidRDefault="00B655FE" w:rsidP="008320CF">
            <w:pPr>
              <w:rPr>
                <w:sz w:val="16"/>
                <w:szCs w:val="16"/>
              </w:rPr>
            </w:pPr>
            <w:r w:rsidRPr="00B655FE">
              <w:rPr>
                <w:sz w:val="16"/>
                <w:lang w:val="ru-RU"/>
              </w:rPr>
              <w:t xml:space="preserve">Работа ОВН утратит свое значение и не будет помогать Организации в достижении желаемых результатов.  План надзора не затрагивает области, представляющие для Организации интерес с точки зрения достижения ее целей.  </w:t>
            </w:r>
            <w:r>
              <w:rPr>
                <w:sz w:val="16"/>
              </w:rPr>
              <w:t>Расследования не завершаются в срок.</w:t>
            </w:r>
          </w:p>
        </w:tc>
        <w:tc>
          <w:tcPr>
            <w:tcW w:w="2006" w:type="dxa"/>
            <w:shd w:val="clear" w:color="auto" w:fill="auto"/>
            <w:tcMar>
              <w:top w:w="113" w:type="dxa"/>
              <w:bottom w:w="85" w:type="dxa"/>
            </w:tcMar>
          </w:tcPr>
          <w:p w:rsidR="00B655FE" w:rsidRPr="00B655FE" w:rsidRDefault="00B655FE" w:rsidP="008320CF">
            <w:pPr>
              <w:rPr>
                <w:sz w:val="16"/>
                <w:szCs w:val="16"/>
                <w:lang w:val="ru-RU"/>
              </w:rPr>
            </w:pPr>
            <w:r w:rsidRPr="00B655FE">
              <w:rPr>
                <w:sz w:val="16"/>
                <w:lang w:val="ru-RU"/>
              </w:rPr>
              <w:t xml:space="preserve">Профессиональное планирование аудиторских проверок, оценок и расследований; участие в разработке плана Генерального директора, старшего управляющего персонала, государств-членов и координация с другими секторами. </w:t>
            </w:r>
          </w:p>
        </w:tc>
        <w:tc>
          <w:tcPr>
            <w:tcW w:w="2694" w:type="dxa"/>
          </w:tcPr>
          <w:p w:rsidR="00B655FE" w:rsidRPr="00B655FE" w:rsidRDefault="00B655FE" w:rsidP="008320CF">
            <w:pPr>
              <w:rPr>
                <w:sz w:val="16"/>
                <w:szCs w:val="16"/>
                <w:lang w:val="ru-RU"/>
              </w:rPr>
            </w:pPr>
            <w:r w:rsidRPr="00B655FE">
              <w:rPr>
                <w:sz w:val="16"/>
                <w:lang w:val="ru-RU"/>
              </w:rPr>
              <w:t xml:space="preserve">План надзора ОВН был разработан с использованием созданной ОВН методологии оценки рисков и реестров внутренних рисков ВОИС с учетом особенностей оперативных органов ВОИС и соответствующих рабочих процессов, а также материалов, полученных от государств-членов, НККН, высшего руководства и внешнего аудитора. </w:t>
            </w:r>
          </w:p>
          <w:p w:rsidR="00B655FE" w:rsidRPr="00B655FE" w:rsidRDefault="00B655FE" w:rsidP="008320CF">
            <w:pPr>
              <w:rPr>
                <w:sz w:val="16"/>
                <w:szCs w:val="16"/>
                <w:lang w:val="ru-RU"/>
              </w:rPr>
            </w:pPr>
          </w:p>
          <w:p w:rsidR="00B655FE" w:rsidRPr="00B655FE" w:rsidRDefault="00B655FE" w:rsidP="008320CF">
            <w:pPr>
              <w:rPr>
                <w:sz w:val="16"/>
                <w:szCs w:val="16"/>
                <w:lang w:val="ru-RU"/>
              </w:rPr>
            </w:pPr>
            <w:r w:rsidRPr="00B655FE">
              <w:rPr>
                <w:sz w:val="16"/>
                <w:lang w:val="ru-RU"/>
              </w:rPr>
              <w:t>В ходе двухлетнего периода 2014–2015</w:t>
            </w:r>
            <w:r>
              <w:rPr>
                <w:sz w:val="16"/>
              </w:rPr>
              <w:t> </w:t>
            </w:r>
            <w:r w:rsidRPr="00B655FE">
              <w:rPr>
                <w:sz w:val="16"/>
                <w:lang w:val="ru-RU"/>
              </w:rPr>
              <w:t>гг. ОВН испытывал трудности в области своевременного завершения расследований, которые были обусловлены: (</w:t>
            </w:r>
            <w:r>
              <w:rPr>
                <w:sz w:val="16"/>
              </w:rPr>
              <w:t>i</w:t>
            </w:r>
            <w:r w:rsidRPr="00B655FE">
              <w:rPr>
                <w:sz w:val="16"/>
                <w:lang w:val="ru-RU"/>
              </w:rPr>
              <w:t>)</w:t>
            </w:r>
            <w:r>
              <w:rPr>
                <w:sz w:val="16"/>
              </w:rPr>
              <w:t> </w:t>
            </w:r>
            <w:r w:rsidRPr="00B655FE">
              <w:rPr>
                <w:sz w:val="16"/>
                <w:lang w:val="ru-RU"/>
              </w:rPr>
              <w:t>ростом числа расследований; (</w:t>
            </w:r>
            <w:r>
              <w:rPr>
                <w:sz w:val="16"/>
              </w:rPr>
              <w:t>ii</w:t>
            </w:r>
            <w:r w:rsidRPr="00B655FE">
              <w:rPr>
                <w:sz w:val="16"/>
                <w:lang w:val="ru-RU"/>
              </w:rPr>
              <w:t>)</w:t>
            </w:r>
            <w:r>
              <w:t> </w:t>
            </w:r>
            <w:r w:rsidRPr="00B655FE">
              <w:rPr>
                <w:sz w:val="16"/>
                <w:lang w:val="ru-RU"/>
              </w:rPr>
              <w:t>недостаточно эффективным сотрудничеством между сотрудниками и (</w:t>
            </w:r>
            <w:r>
              <w:rPr>
                <w:sz w:val="16"/>
              </w:rPr>
              <w:t>iii</w:t>
            </w:r>
            <w:r w:rsidRPr="00B655FE">
              <w:rPr>
                <w:sz w:val="16"/>
                <w:lang w:val="ru-RU"/>
              </w:rPr>
              <w:t>)</w:t>
            </w:r>
            <w:r>
              <w:rPr>
                <w:sz w:val="16"/>
              </w:rPr>
              <w:t> </w:t>
            </w:r>
            <w:r w:rsidRPr="00B655FE">
              <w:rPr>
                <w:sz w:val="16"/>
                <w:lang w:val="ru-RU"/>
              </w:rPr>
              <w:t>нехваткой сотрудников, необходимых чтобы справиться с растущей рабочей нагрузкой.</w:t>
            </w:r>
            <w:r w:rsidRPr="00B655FE">
              <w:rPr>
                <w:lang w:val="ru-RU"/>
              </w:rPr>
              <w:t xml:space="preserve"> </w:t>
            </w:r>
            <w:r w:rsidRPr="00B655FE">
              <w:rPr>
                <w:sz w:val="16"/>
                <w:lang w:val="ru-RU"/>
              </w:rPr>
              <w:t xml:space="preserve"> В качестве способа снижения риска осуществлялось привлечение на гибкой основе дополнительных сотрудников, чтобы справиться с растущей рабочей нагрузкой по проведению расследований.</w:t>
            </w:r>
          </w:p>
        </w:tc>
        <w:tc>
          <w:tcPr>
            <w:tcW w:w="2551" w:type="dxa"/>
          </w:tcPr>
          <w:p w:rsidR="00B655FE" w:rsidRPr="00B655FE" w:rsidRDefault="00B655FE" w:rsidP="008320CF">
            <w:pPr>
              <w:rPr>
                <w:sz w:val="16"/>
                <w:szCs w:val="16"/>
                <w:lang w:val="ru-RU"/>
              </w:rPr>
            </w:pPr>
            <w:r w:rsidRPr="00B655FE">
              <w:rPr>
                <w:sz w:val="16"/>
                <w:lang w:val="ru-RU"/>
              </w:rPr>
              <w:t>Хотя средняя продолжительность расследований увеличилась по сравнению с базовыми показателями 2013</w:t>
            </w:r>
            <w:r>
              <w:rPr>
                <w:sz w:val="16"/>
              </w:rPr>
              <w:t> </w:t>
            </w:r>
            <w:r w:rsidRPr="00B655FE">
              <w:rPr>
                <w:sz w:val="16"/>
                <w:lang w:val="ru-RU"/>
              </w:rPr>
              <w:t>г., все расследования были завершены в срок, предусмотренный в Политике проведения расследований ВОИС, а целевые показатели, поставленные на рассматриваемых двухлетний период, были полностью достигнуты.</w:t>
            </w:r>
          </w:p>
        </w:tc>
      </w:tr>
    </w:tbl>
    <w:p w:rsidR="00B655FE" w:rsidRPr="00B655FE" w:rsidRDefault="00B655FE" w:rsidP="00B655FE">
      <w:pPr>
        <w:spacing w:after="200" w:line="276" w:lineRule="auto"/>
        <w:rPr>
          <w:rFonts w:cs="Arial"/>
          <w:color w:val="000000"/>
          <w:sz w:val="22"/>
          <w:szCs w:val="22"/>
          <w:lang w:val="ru-RU"/>
        </w:rPr>
      </w:pPr>
    </w:p>
    <w:p w:rsidR="00B655FE" w:rsidRPr="00B655FE" w:rsidRDefault="00B655FE" w:rsidP="00B655FE">
      <w:pPr>
        <w:rPr>
          <w:rFonts w:cs="Arial"/>
          <w:color w:val="000000"/>
          <w:szCs w:val="22"/>
          <w:lang w:val="ru-RU"/>
        </w:rPr>
      </w:pPr>
    </w:p>
    <w:p w:rsidR="00B655FE" w:rsidRPr="00B655FE" w:rsidRDefault="00B655FE" w:rsidP="00B655FE">
      <w:pPr>
        <w:spacing w:after="200" w:line="276" w:lineRule="auto"/>
        <w:rPr>
          <w:color w:val="000000"/>
          <w:lang w:val="ru-RU"/>
        </w:rPr>
      </w:pPr>
      <w:r w:rsidRPr="00B655FE">
        <w:rPr>
          <w:color w:val="000000"/>
          <w:lang w:val="ru-RU"/>
        </w:rPr>
        <w:br w:type="page"/>
      </w:r>
    </w:p>
    <w:p w:rsidR="00B655FE" w:rsidRPr="00B655FE" w:rsidRDefault="00B655FE" w:rsidP="00B655FE">
      <w:pPr>
        <w:rPr>
          <w:rFonts w:cs="Arial"/>
          <w:color w:val="000000"/>
          <w:szCs w:val="22"/>
          <w:lang w:val="ru-RU"/>
        </w:rPr>
      </w:pPr>
      <w:r w:rsidRPr="00B655FE">
        <w:rPr>
          <w:color w:val="000000"/>
          <w:lang w:val="ru-RU"/>
        </w:rPr>
        <w:t>ИСПОЛЬЗОВАНИЕ РЕСУРСОВ</w:t>
      </w:r>
      <w:r w:rsidRPr="00B655FE">
        <w:rPr>
          <w:lang w:val="ru-RU"/>
        </w:rPr>
        <w:tab/>
      </w:r>
    </w:p>
    <w:p w:rsidR="00B655FE" w:rsidRPr="00B655FE" w:rsidRDefault="00B655FE" w:rsidP="00B655FE">
      <w:pPr>
        <w:rPr>
          <w:rFonts w:cs="Arial"/>
          <w:color w:val="000000"/>
          <w:sz w:val="18"/>
          <w:szCs w:val="22"/>
          <w:lang w:val="ru-RU"/>
        </w:rPr>
      </w:pPr>
    </w:p>
    <w:p w:rsidR="00B655FE" w:rsidRPr="00B655FE" w:rsidRDefault="00B655FE" w:rsidP="00B655FE">
      <w:pPr>
        <w:pStyle w:val="NormalWeb"/>
        <w:spacing w:before="0" w:beforeAutospacing="0" w:after="0" w:afterAutospacing="0"/>
        <w:jc w:val="center"/>
        <w:rPr>
          <w:sz w:val="20"/>
          <w:szCs w:val="20"/>
          <w:lang w:val="ru-RU"/>
        </w:rPr>
      </w:pPr>
      <w:r w:rsidRPr="00B655FE">
        <w:rPr>
          <w:color w:val="000000"/>
          <w:sz w:val="20"/>
          <w:lang w:val="ru-RU"/>
        </w:rPr>
        <w:t xml:space="preserve">Бюджет и фактические расходы (в разбивке по результатам) </w:t>
      </w:r>
    </w:p>
    <w:p w:rsidR="00B655FE" w:rsidRDefault="00B655FE" w:rsidP="00B655FE">
      <w:pPr>
        <w:pStyle w:val="NormalWeb"/>
        <w:spacing w:before="0" w:beforeAutospacing="0" w:after="0" w:afterAutospacing="0"/>
        <w:jc w:val="center"/>
        <w:rPr>
          <w:i/>
          <w:iCs/>
          <w:color w:val="000000"/>
          <w:sz w:val="20"/>
          <w:szCs w:val="20"/>
        </w:rPr>
      </w:pPr>
      <w:r>
        <w:rPr>
          <w:i/>
          <w:color w:val="000000"/>
          <w:sz w:val="20"/>
        </w:rPr>
        <w:t>(в тыс. шв. франков)</w:t>
      </w:r>
    </w:p>
    <w:p w:rsidR="00B655FE" w:rsidRPr="00383D2D" w:rsidRDefault="00B655FE" w:rsidP="00B655FE">
      <w:pPr>
        <w:pStyle w:val="NormalWeb"/>
        <w:spacing w:before="0" w:beforeAutospacing="0" w:after="0" w:afterAutospacing="0"/>
        <w:jc w:val="center"/>
        <w:rPr>
          <w:sz w:val="20"/>
          <w:szCs w:val="20"/>
        </w:rPr>
      </w:pPr>
    </w:p>
    <w:p w:rsidR="00B655FE" w:rsidRDefault="00B655FE" w:rsidP="00B655FE">
      <w:pPr>
        <w:jc w:val="center"/>
      </w:pPr>
      <w:r>
        <w:rPr>
          <w:noProof/>
        </w:rPr>
        <w:drawing>
          <wp:inline distT="0" distB="0" distL="0" distR="0" wp14:anchorId="4FCA84CF" wp14:editId="2755DDD4">
            <wp:extent cx="6151880" cy="1647992"/>
            <wp:effectExtent l="0" t="0" r="127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51880" cy="1647992"/>
                    </a:xfrm>
                    <a:prstGeom prst="rect">
                      <a:avLst/>
                    </a:prstGeom>
                    <a:noFill/>
                    <a:ln>
                      <a:noFill/>
                    </a:ln>
                  </pic:spPr>
                </pic:pic>
              </a:graphicData>
            </a:graphic>
          </wp:inline>
        </w:drawing>
      </w:r>
    </w:p>
    <w:p w:rsidR="00B655FE" w:rsidRDefault="00B655FE" w:rsidP="00B655FE">
      <w:pPr>
        <w:jc w:val="center"/>
      </w:pPr>
    </w:p>
    <w:p w:rsidR="00B655FE" w:rsidRPr="00B655FE" w:rsidRDefault="00B655FE" w:rsidP="00B655FE">
      <w:pPr>
        <w:pStyle w:val="NormalWeb"/>
        <w:keepNext/>
        <w:keepLines/>
        <w:spacing w:before="0" w:beforeAutospacing="0" w:after="0" w:afterAutospacing="0"/>
        <w:jc w:val="center"/>
        <w:rPr>
          <w:sz w:val="20"/>
          <w:szCs w:val="20"/>
          <w:lang w:val="ru-RU"/>
        </w:rPr>
      </w:pPr>
      <w:r w:rsidRPr="00B655FE">
        <w:rPr>
          <w:color w:val="000000"/>
          <w:sz w:val="20"/>
          <w:lang w:val="ru-RU"/>
        </w:rPr>
        <w:t xml:space="preserve">Бюджет и фактические расходы (по персоналу и не связанные с персоналом) </w:t>
      </w:r>
    </w:p>
    <w:p w:rsidR="00B655FE" w:rsidRPr="00383D2D" w:rsidRDefault="00B655FE" w:rsidP="00B655FE">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B655FE" w:rsidRDefault="00B655FE" w:rsidP="00B655FE">
      <w:pPr>
        <w:pStyle w:val="NormalWeb"/>
        <w:keepNext/>
        <w:keepLines/>
        <w:spacing w:before="0" w:beforeAutospacing="0" w:after="0" w:afterAutospacing="0"/>
        <w:jc w:val="center"/>
      </w:pPr>
    </w:p>
    <w:p w:rsidR="00B655FE" w:rsidRPr="008F4A6D" w:rsidRDefault="00B655FE" w:rsidP="00B655FE">
      <w:pPr>
        <w:widowControl w:val="0"/>
        <w:autoSpaceDE w:val="0"/>
        <w:autoSpaceDN w:val="0"/>
        <w:adjustRightInd w:val="0"/>
        <w:jc w:val="center"/>
        <w:rPr>
          <w:rFonts w:cs="Arial"/>
          <w:szCs w:val="20"/>
        </w:rPr>
      </w:pPr>
      <w:r>
        <w:rPr>
          <w:rFonts w:cs="Arial"/>
          <w:noProof/>
          <w:szCs w:val="20"/>
        </w:rPr>
        <w:drawing>
          <wp:inline distT="0" distB="0" distL="0" distR="0" wp14:anchorId="242BE5AF" wp14:editId="431731FB">
            <wp:extent cx="6151880" cy="1293070"/>
            <wp:effectExtent l="0" t="0" r="1270" b="25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6151880" cy="1293070"/>
                    </a:xfrm>
                    <a:prstGeom prst="rect">
                      <a:avLst/>
                    </a:prstGeom>
                    <a:noFill/>
                    <a:ln>
                      <a:noFill/>
                    </a:ln>
                  </pic:spPr>
                </pic:pic>
              </a:graphicData>
            </a:graphic>
          </wp:inline>
        </w:drawing>
      </w:r>
    </w:p>
    <w:p w:rsidR="00B655FE" w:rsidRDefault="00B655FE" w:rsidP="00B655FE">
      <w:pPr>
        <w:widowControl w:val="0"/>
        <w:autoSpaceDE w:val="0"/>
        <w:autoSpaceDN w:val="0"/>
        <w:adjustRightInd w:val="0"/>
        <w:rPr>
          <w:rFonts w:cs="Arial"/>
          <w:szCs w:val="20"/>
        </w:rPr>
      </w:pPr>
    </w:p>
    <w:p w:rsidR="00B655FE" w:rsidRPr="001C6F4D" w:rsidRDefault="00B655FE" w:rsidP="00B655FE">
      <w:pPr>
        <w:widowControl w:val="0"/>
        <w:autoSpaceDE w:val="0"/>
        <w:autoSpaceDN w:val="0"/>
        <w:adjustRightInd w:val="0"/>
        <w:rPr>
          <w:rFonts w:cs="Arial"/>
          <w:szCs w:val="20"/>
        </w:rPr>
      </w:pPr>
    </w:p>
    <w:p w:rsidR="00B655FE" w:rsidRPr="00B655FE" w:rsidRDefault="00B655FE" w:rsidP="00B655FE">
      <w:pPr>
        <w:rPr>
          <w:rFonts w:cs="Arial"/>
          <w:u w:val="single"/>
          <w:lang w:val="ru-RU"/>
        </w:rPr>
      </w:pPr>
      <w:r>
        <w:t>A</w:t>
      </w:r>
      <w:r w:rsidRPr="00B655FE">
        <w:rPr>
          <w:lang w:val="ru-RU"/>
        </w:rPr>
        <w:t>.</w:t>
      </w:r>
      <w:r w:rsidRPr="00B655FE">
        <w:rPr>
          <w:lang w:val="ru-RU"/>
        </w:rPr>
        <w:tab/>
      </w:r>
      <w:r w:rsidRPr="00B655FE">
        <w:rPr>
          <w:u w:val="single"/>
          <w:lang w:val="ru-RU"/>
        </w:rPr>
        <w:t xml:space="preserve">Итоговый бюджет на 2014–2015 гг. после перераспределения средств </w:t>
      </w:r>
    </w:p>
    <w:p w:rsidR="00B655FE" w:rsidRPr="00B655FE" w:rsidRDefault="00B655FE" w:rsidP="00B655FE">
      <w:pPr>
        <w:jc w:val="both"/>
        <w:rPr>
          <w:rFonts w:cs="Arial"/>
          <w:u w:val="single"/>
          <w:lang w:val="ru-RU"/>
        </w:rPr>
      </w:pPr>
    </w:p>
    <w:p w:rsidR="00B655FE" w:rsidRPr="00B655FE" w:rsidRDefault="00B655FE" w:rsidP="00B655FE">
      <w:pPr>
        <w:jc w:val="both"/>
        <w:rPr>
          <w:rFonts w:cs="Arial"/>
          <w:lang w:val="ru-RU"/>
        </w:rPr>
      </w:pPr>
      <w:r w:rsidRPr="00B655FE">
        <w:rPr>
          <w:lang w:val="ru-RU"/>
        </w:rPr>
        <w:t>26.10</w:t>
      </w:r>
      <w:r w:rsidRPr="00B655FE">
        <w:rPr>
          <w:lang w:val="ru-RU"/>
        </w:rPr>
        <w:tab/>
        <w:t>Итоговый бюджет после перераспределения средств содержит корректировки в сторону уменьшения, сделанные в целях повышения эффективности затрат.</w:t>
      </w:r>
    </w:p>
    <w:p w:rsidR="00B655FE" w:rsidRPr="00B655FE" w:rsidRDefault="00B655FE" w:rsidP="00B655FE">
      <w:pPr>
        <w:jc w:val="both"/>
        <w:rPr>
          <w:rFonts w:cs="Arial"/>
          <w:u w:val="single"/>
          <w:lang w:val="ru-RU"/>
        </w:rPr>
      </w:pPr>
    </w:p>
    <w:p w:rsidR="00B655FE" w:rsidRPr="00B655FE" w:rsidRDefault="00B655FE" w:rsidP="00B655FE">
      <w:pPr>
        <w:autoSpaceDE w:val="0"/>
        <w:autoSpaceDN w:val="0"/>
        <w:jc w:val="both"/>
        <w:rPr>
          <w:rFonts w:cs="Arial"/>
          <w:szCs w:val="20"/>
          <w:lang w:val="ru-RU"/>
        </w:rPr>
      </w:pPr>
    </w:p>
    <w:p w:rsidR="00B655FE" w:rsidRPr="00B655FE" w:rsidRDefault="00B655FE" w:rsidP="00B655FE">
      <w:pPr>
        <w:jc w:val="both"/>
        <w:rPr>
          <w:rFonts w:cs="Arial"/>
          <w:szCs w:val="20"/>
          <w:u w:val="single"/>
          <w:lang w:val="ru-RU"/>
        </w:rPr>
      </w:pPr>
      <w:r>
        <w:t>B</w:t>
      </w:r>
      <w:r w:rsidRPr="00B655FE">
        <w:rPr>
          <w:lang w:val="ru-RU"/>
        </w:rPr>
        <w:t>.</w:t>
      </w:r>
      <w:r w:rsidRPr="00B655FE">
        <w:rPr>
          <w:lang w:val="ru-RU"/>
        </w:rPr>
        <w:tab/>
      </w:r>
      <w:r w:rsidRPr="00B655FE">
        <w:rPr>
          <w:u w:val="single"/>
          <w:lang w:val="ru-RU"/>
        </w:rPr>
        <w:t xml:space="preserve">Освоение бюджетных средств в 2014–2015 гг. </w:t>
      </w:r>
    </w:p>
    <w:p w:rsidR="00B655FE" w:rsidRPr="00B655FE" w:rsidRDefault="00B655FE" w:rsidP="00B655FE">
      <w:pPr>
        <w:jc w:val="both"/>
        <w:rPr>
          <w:rFonts w:cs="Arial"/>
          <w:szCs w:val="20"/>
          <w:u w:val="single"/>
          <w:lang w:val="ru-RU"/>
        </w:rPr>
      </w:pPr>
    </w:p>
    <w:p w:rsidR="00B655FE" w:rsidRPr="00B655FE" w:rsidRDefault="00B655FE" w:rsidP="00B655FE">
      <w:pPr>
        <w:jc w:val="both"/>
        <w:rPr>
          <w:lang w:val="ru-RU"/>
        </w:rPr>
      </w:pPr>
      <w:r w:rsidRPr="00B655FE">
        <w:rPr>
          <w:lang w:val="ru-RU"/>
        </w:rPr>
        <w:t>26.11</w:t>
      </w:r>
      <w:r w:rsidRPr="00B655FE">
        <w:rPr>
          <w:lang w:val="ru-RU"/>
        </w:rPr>
        <w:tab/>
        <w:t>Освоение бюджетных средств (расходы, связанные с персоналом) было несколько ниже, чем планировалось, в основном из-за увольнения директора ОВН в конце апреля 2015</w:t>
      </w:r>
      <w:r>
        <w:t> </w:t>
      </w:r>
      <w:r w:rsidRPr="00B655FE">
        <w:rPr>
          <w:lang w:val="ru-RU"/>
        </w:rPr>
        <w:t>г.  Освоение ресурсов, не связанных с персоналом, отражает тот факт, что оплата проведения крупного расследования, порученного третьей стороне, было отложено на 2016</w:t>
      </w:r>
      <w:r>
        <w:t> </w:t>
      </w:r>
      <w:r w:rsidRPr="00B655FE">
        <w:rPr>
          <w:lang w:val="ru-RU"/>
        </w:rPr>
        <w:t>г., хотя изначально было запланировано на 2015</w:t>
      </w:r>
      <w:r>
        <w:t> </w:t>
      </w:r>
      <w:r w:rsidRPr="00B655FE">
        <w:rPr>
          <w:lang w:val="ru-RU"/>
        </w:rPr>
        <w:t>г.</w:t>
      </w:r>
    </w:p>
    <w:p w:rsidR="00671363" w:rsidRPr="00B655FE" w:rsidRDefault="00671363" w:rsidP="002F1586">
      <w:pPr>
        <w:tabs>
          <w:tab w:val="left" w:pos="709"/>
        </w:tabs>
        <w:jc w:val="both"/>
        <w:rPr>
          <w:lang w:val="ru-RU"/>
        </w:rPr>
      </w:pPr>
    </w:p>
    <w:p w:rsidR="00671363" w:rsidRPr="00B655FE" w:rsidRDefault="00671363" w:rsidP="002F1586">
      <w:pPr>
        <w:tabs>
          <w:tab w:val="left" w:pos="709"/>
        </w:tabs>
        <w:rPr>
          <w:lang w:val="ru-RU"/>
        </w:rPr>
      </w:pPr>
    </w:p>
    <w:p w:rsidR="00671363" w:rsidRPr="00B655FE" w:rsidRDefault="00671363" w:rsidP="000E148D">
      <w:pPr>
        <w:rPr>
          <w:szCs w:val="20"/>
          <w:lang w:val="ru-RU"/>
        </w:rPr>
      </w:pPr>
    </w:p>
    <w:p w:rsidR="00FF768F" w:rsidRPr="00B655FE" w:rsidRDefault="00FF768F">
      <w:pPr>
        <w:rPr>
          <w:lang w:val="ru-RU"/>
        </w:rPr>
      </w:pPr>
      <w:r w:rsidRPr="00B655FE">
        <w:rPr>
          <w:lang w:val="ru-RU"/>
        </w:rPr>
        <w:br w:type="page"/>
      </w:r>
    </w:p>
    <w:p w:rsidR="00FA0032" w:rsidRPr="00FA0032" w:rsidRDefault="00FA0032" w:rsidP="00FA0032">
      <w:pPr>
        <w:pStyle w:val="Heading2"/>
        <w:tabs>
          <w:tab w:val="clear" w:pos="567"/>
          <w:tab w:val="left" w:pos="1985"/>
        </w:tabs>
        <w:ind w:left="1985" w:hanging="1985"/>
        <w:jc w:val="both"/>
        <w:rPr>
          <w:sz w:val="20"/>
          <w:szCs w:val="20"/>
          <w:lang w:val="ru-RU"/>
        </w:rPr>
      </w:pPr>
      <w:bookmarkStart w:id="133" w:name="_Toc422210516"/>
      <w:bookmarkStart w:id="134" w:name="_Toc455388139"/>
      <w:r w:rsidRPr="00FA0032">
        <w:rPr>
          <w:lang w:val="ru-RU"/>
        </w:rPr>
        <w:t>ПРОГРАММА 27</w:t>
      </w:r>
      <w:r w:rsidRPr="00FA0032">
        <w:rPr>
          <w:lang w:val="ru-RU"/>
        </w:rPr>
        <w:tab/>
        <w:t>КОНФЕРЕНЦИОННАЯ И ЛИНГВИСТИЧЕСКАЯ СЛУЖБЫ</w:t>
      </w:r>
      <w:bookmarkEnd w:id="133"/>
      <w:bookmarkEnd w:id="134"/>
    </w:p>
    <w:p w:rsidR="00FA0032" w:rsidRPr="00FA0032" w:rsidRDefault="00FA0032" w:rsidP="00FA0032">
      <w:pPr>
        <w:jc w:val="both"/>
        <w:rPr>
          <w:szCs w:val="20"/>
          <w:lang w:val="ru-RU"/>
        </w:rPr>
      </w:pPr>
    </w:p>
    <w:p w:rsidR="00FA0032" w:rsidRPr="00FA0032" w:rsidRDefault="00FA0032" w:rsidP="00FA0032">
      <w:pPr>
        <w:tabs>
          <w:tab w:val="left" w:pos="1985"/>
        </w:tabs>
        <w:jc w:val="both"/>
        <w:rPr>
          <w:b/>
          <w:szCs w:val="20"/>
          <w:lang w:val="ru-RU"/>
        </w:rPr>
      </w:pPr>
      <w:r w:rsidRPr="00FA0032">
        <w:rPr>
          <w:b/>
          <w:lang w:val="ru-RU"/>
        </w:rPr>
        <w:t xml:space="preserve">Руководитель программы: </w:t>
      </w:r>
      <w:r w:rsidRPr="00FA0032">
        <w:rPr>
          <w:lang w:val="ru-RU"/>
        </w:rPr>
        <w:tab/>
      </w:r>
      <w:r w:rsidRPr="00FA0032">
        <w:rPr>
          <w:b/>
          <w:lang w:val="ru-RU"/>
        </w:rPr>
        <w:t>г-н А. Сундарам</w:t>
      </w:r>
    </w:p>
    <w:p w:rsidR="00FA0032" w:rsidRPr="00FA0032" w:rsidRDefault="00FA0032" w:rsidP="00FA0032">
      <w:pPr>
        <w:jc w:val="both"/>
        <w:rPr>
          <w:szCs w:val="20"/>
          <w:lang w:val="ru-RU"/>
        </w:rPr>
      </w:pPr>
    </w:p>
    <w:p w:rsidR="00FA0032" w:rsidRPr="00FA0032" w:rsidRDefault="00FA0032" w:rsidP="00FA0032">
      <w:pPr>
        <w:jc w:val="both"/>
        <w:rPr>
          <w:szCs w:val="20"/>
          <w:lang w:val="ru-RU"/>
        </w:rPr>
      </w:pPr>
    </w:p>
    <w:p w:rsidR="00FA0032" w:rsidRPr="00FA0032" w:rsidRDefault="00FA0032" w:rsidP="00FA0032">
      <w:pPr>
        <w:jc w:val="both"/>
        <w:rPr>
          <w:bCs/>
          <w:szCs w:val="20"/>
          <w:lang w:val="ru-RU"/>
        </w:rPr>
      </w:pPr>
      <w:r w:rsidRPr="00FA0032">
        <w:rPr>
          <w:lang w:val="ru-RU"/>
        </w:rPr>
        <w:t>ОБЗОР ДОСТИЖЕНИЙ ЗА ДВУХЛЕТНИЙ ПЕРИОД 2014–2015 ГГ.</w:t>
      </w:r>
    </w:p>
    <w:p w:rsidR="00FA0032" w:rsidRPr="00FA0032" w:rsidRDefault="00FA0032" w:rsidP="00FA0032">
      <w:pPr>
        <w:keepNext/>
        <w:jc w:val="both"/>
        <w:rPr>
          <w:rFonts w:cs="Arial"/>
          <w:szCs w:val="20"/>
          <w:lang w:val="ru-RU"/>
        </w:rPr>
      </w:pPr>
    </w:p>
    <w:p w:rsidR="00FA0032" w:rsidRPr="00FA0032" w:rsidRDefault="00FA0032" w:rsidP="00FA0032">
      <w:pPr>
        <w:pStyle w:val="ListParagraph"/>
        <w:numPr>
          <w:ilvl w:val="0"/>
          <w:numId w:val="73"/>
        </w:numPr>
        <w:tabs>
          <w:tab w:val="left" w:pos="709"/>
        </w:tabs>
        <w:ind w:left="0" w:firstLine="0"/>
        <w:jc w:val="both"/>
        <w:rPr>
          <w:rFonts w:cs="Arial"/>
          <w:bCs/>
          <w:lang w:val="ru-RU"/>
        </w:rPr>
      </w:pPr>
      <w:r w:rsidRPr="00FA0032">
        <w:rPr>
          <w:lang w:val="ru-RU"/>
        </w:rPr>
        <w:t>В рассматриваемый двухлетний период Секретариат продолжал действенно осуществлять Лингвистическую политику ВОИС, обеспечивая поэтапное и экономически эффективное применение правила о переводе на шесть языков к документам рабочих групп.  В 2014–2015</w:t>
      </w:r>
      <w:r>
        <w:t> </w:t>
      </w:r>
      <w:r w:rsidRPr="00FA0032">
        <w:rPr>
          <w:lang w:val="ru-RU"/>
        </w:rPr>
        <w:t>гг.</w:t>
      </w:r>
      <w:r>
        <w:t> </w:t>
      </w:r>
      <w:r w:rsidRPr="00FA0032">
        <w:rPr>
          <w:lang w:val="ru-RU"/>
        </w:rPr>
        <w:t>согласно графику, установленному государствами-членами, это правило было распространено на: (</w:t>
      </w:r>
      <w:r>
        <w:t>i</w:t>
      </w:r>
      <w:r w:rsidRPr="00FA0032">
        <w:rPr>
          <w:lang w:val="ru-RU"/>
        </w:rPr>
        <w:t>)</w:t>
      </w:r>
      <w:r>
        <w:t> </w:t>
      </w:r>
      <w:r w:rsidRPr="00FA0032">
        <w:rPr>
          <w:lang w:val="ru-RU"/>
        </w:rPr>
        <w:t xml:space="preserve">Рабочую группу </w:t>
      </w:r>
      <w:r>
        <w:t>PCT</w:t>
      </w:r>
      <w:r w:rsidRPr="00FA0032">
        <w:rPr>
          <w:lang w:val="ru-RU"/>
        </w:rPr>
        <w:t>; (</w:t>
      </w:r>
      <w:r>
        <w:t>ii</w:t>
      </w:r>
      <w:r w:rsidRPr="00FA0032">
        <w:rPr>
          <w:lang w:val="ru-RU"/>
        </w:rPr>
        <w:t>)</w:t>
      </w:r>
      <w:r>
        <w:t> </w:t>
      </w:r>
      <w:r w:rsidRPr="00FA0032">
        <w:rPr>
          <w:lang w:val="ru-RU"/>
        </w:rPr>
        <w:t>Рабочую группа по правовому развитию Гаагской системы международной регистрации промышленных образцов; (</w:t>
      </w:r>
      <w:r>
        <w:t>iii</w:t>
      </w:r>
      <w:r w:rsidRPr="00FA0032">
        <w:rPr>
          <w:lang w:val="ru-RU"/>
        </w:rPr>
        <w:t>)</w:t>
      </w:r>
      <w:r>
        <w:t> </w:t>
      </w:r>
      <w:r w:rsidRPr="00FA0032">
        <w:rPr>
          <w:lang w:val="ru-RU"/>
        </w:rPr>
        <w:t>Рабочую группу по правовому развитию Мадридской системы международной регистрации знаков и (</w:t>
      </w:r>
      <w:r>
        <w:t>iv</w:t>
      </w:r>
      <w:r w:rsidRPr="00FA0032">
        <w:rPr>
          <w:lang w:val="ru-RU"/>
        </w:rPr>
        <w:t>)</w:t>
      </w:r>
      <w:r>
        <w:t> </w:t>
      </w:r>
      <w:r w:rsidRPr="00FA0032">
        <w:rPr>
          <w:lang w:val="ru-RU"/>
        </w:rPr>
        <w:t xml:space="preserve">Рабочую группу по пересмотру МПК.  </w:t>
      </w:r>
    </w:p>
    <w:p w:rsidR="00FA0032" w:rsidRPr="00FA0032" w:rsidRDefault="00FA0032" w:rsidP="00FA0032">
      <w:pPr>
        <w:jc w:val="both"/>
        <w:rPr>
          <w:rFonts w:cs="Arial"/>
          <w:bCs/>
          <w:szCs w:val="20"/>
          <w:lang w:val="ru-RU"/>
        </w:rPr>
      </w:pPr>
    </w:p>
    <w:p w:rsidR="00FA0032" w:rsidRPr="00FA0032" w:rsidRDefault="00FA0032" w:rsidP="00FA0032">
      <w:pPr>
        <w:pStyle w:val="ListParagraph"/>
        <w:numPr>
          <w:ilvl w:val="0"/>
          <w:numId w:val="73"/>
        </w:numPr>
        <w:tabs>
          <w:tab w:val="left" w:pos="709"/>
        </w:tabs>
        <w:ind w:left="0" w:firstLine="0"/>
        <w:jc w:val="both"/>
        <w:rPr>
          <w:rFonts w:cs="Arial"/>
          <w:bCs/>
          <w:lang w:val="ru-RU"/>
        </w:rPr>
      </w:pPr>
      <w:r w:rsidRPr="00FA0032">
        <w:rPr>
          <w:lang w:val="ru-RU"/>
        </w:rPr>
        <w:t>Лингвистические службы продолжали активно пользоваться практикой аутсорсинга услуг перевода в 2014–2015</w:t>
      </w:r>
      <w:r>
        <w:t> </w:t>
      </w:r>
      <w:r w:rsidRPr="00FA0032">
        <w:rPr>
          <w:lang w:val="ru-RU"/>
        </w:rPr>
        <w:t>гг.: в 2014</w:t>
      </w:r>
      <w:r>
        <w:t> </w:t>
      </w:r>
      <w:r w:rsidRPr="00FA0032">
        <w:rPr>
          <w:lang w:val="ru-RU"/>
        </w:rPr>
        <w:t>г. и 2015</w:t>
      </w:r>
      <w:r>
        <w:t> </w:t>
      </w:r>
      <w:r w:rsidRPr="00FA0032">
        <w:rPr>
          <w:lang w:val="ru-RU"/>
        </w:rPr>
        <w:t>г. сторонним индивидуальным переводчикам и переводческим компаниям было направлено 59% и 54% всех переводов соответственно, тогда как в 2013</w:t>
      </w:r>
      <w:r>
        <w:t> </w:t>
      </w:r>
      <w:r w:rsidRPr="00FA0032">
        <w:rPr>
          <w:lang w:val="ru-RU"/>
        </w:rPr>
        <w:t>г. – 56%.  Для обеспечения качества перевода при содействии основной внутренней группы переводчиков и редакторов была повышена эффективность контроля качества.  В 2014–2015</w:t>
      </w:r>
      <w:r>
        <w:t> </w:t>
      </w:r>
      <w:r w:rsidRPr="00FA0032">
        <w:rPr>
          <w:lang w:val="ru-RU"/>
        </w:rPr>
        <w:t xml:space="preserve">гг. были разработаны и оптимизированы новые меры и процессы работы, касающиеся всех языков.  </w:t>
      </w:r>
    </w:p>
    <w:p w:rsidR="00FA0032" w:rsidRPr="00FA0032" w:rsidRDefault="00FA0032" w:rsidP="00FA0032">
      <w:pPr>
        <w:jc w:val="both"/>
        <w:rPr>
          <w:rFonts w:cs="Arial"/>
          <w:bCs/>
          <w:szCs w:val="20"/>
          <w:lang w:val="ru-RU"/>
        </w:rPr>
      </w:pPr>
    </w:p>
    <w:p w:rsidR="00FA0032" w:rsidRPr="00FA0032" w:rsidRDefault="00FA0032" w:rsidP="00FA0032">
      <w:pPr>
        <w:pStyle w:val="ListParagraph"/>
        <w:numPr>
          <w:ilvl w:val="0"/>
          <w:numId w:val="73"/>
        </w:numPr>
        <w:tabs>
          <w:tab w:val="left" w:pos="709"/>
        </w:tabs>
        <w:ind w:left="0" w:firstLine="0"/>
        <w:jc w:val="both"/>
        <w:rPr>
          <w:rFonts w:cs="Arial"/>
          <w:bCs/>
          <w:lang w:val="ru-RU"/>
        </w:rPr>
      </w:pPr>
      <w:r w:rsidRPr="00FA0032">
        <w:rPr>
          <w:lang w:val="ru-RU"/>
        </w:rPr>
        <w:t>Кроме того, в 2014–2015</w:t>
      </w:r>
      <w:r>
        <w:t> </w:t>
      </w:r>
      <w:r w:rsidRPr="00FA0032">
        <w:rPr>
          <w:lang w:val="ru-RU"/>
        </w:rPr>
        <w:t>гг. продолжилось закрепление процедур контроля качества переводов, включая внедрение принципа «обеспечения качества у истока», путем пересмотра договорных отношений с внешними письменными переводчиками.  Были сохранены связи только с теми переводчиками, которые соответствуют установленным стандартам, а новые письменные переводчики привлекались только после тщательной проверки их навыков.  Кроме того, были внедрены системы для увязывания выплат с качеством и своевременностью сделанных сторонними специалистами переводов.  В результате общая доля переводов, подлежащих контролю качества, увеличилась с менее 10</w:t>
      </w:r>
      <w:r>
        <w:t> </w:t>
      </w:r>
      <w:r w:rsidRPr="00FA0032">
        <w:rPr>
          <w:lang w:val="ru-RU"/>
        </w:rPr>
        <w:t>процентов (до начала внедрения Лингвистической политики в конце 2011</w:t>
      </w:r>
      <w:r>
        <w:t> </w:t>
      </w:r>
      <w:r w:rsidRPr="00FA0032">
        <w:rPr>
          <w:lang w:val="ru-RU"/>
        </w:rPr>
        <w:t>г.) до 39</w:t>
      </w:r>
      <w:r>
        <w:t> </w:t>
      </w:r>
      <w:r w:rsidRPr="00FA0032">
        <w:rPr>
          <w:lang w:val="ru-RU"/>
        </w:rPr>
        <w:t>процентов в 2014</w:t>
      </w:r>
      <w:r>
        <w:t> </w:t>
      </w:r>
      <w:r w:rsidRPr="00FA0032">
        <w:rPr>
          <w:lang w:val="ru-RU"/>
        </w:rPr>
        <w:t>г. и 60</w:t>
      </w:r>
      <w:r>
        <w:t> </w:t>
      </w:r>
      <w:r w:rsidRPr="00FA0032">
        <w:rPr>
          <w:lang w:val="ru-RU"/>
        </w:rPr>
        <w:t>процентов к концу двухлетнего периода.</w:t>
      </w:r>
    </w:p>
    <w:p w:rsidR="00FA0032" w:rsidRPr="00FA0032" w:rsidRDefault="00FA0032" w:rsidP="00FA0032">
      <w:pPr>
        <w:pStyle w:val="ListParagraph"/>
        <w:tabs>
          <w:tab w:val="left" w:pos="709"/>
        </w:tabs>
        <w:ind w:left="0"/>
        <w:jc w:val="both"/>
        <w:rPr>
          <w:rFonts w:cs="Arial"/>
          <w:bCs/>
          <w:lang w:val="ru-RU"/>
        </w:rPr>
      </w:pPr>
    </w:p>
    <w:p w:rsidR="00FA0032" w:rsidRPr="00FA0032" w:rsidRDefault="00FA0032" w:rsidP="00FA0032">
      <w:pPr>
        <w:pStyle w:val="ListParagraph"/>
        <w:numPr>
          <w:ilvl w:val="0"/>
          <w:numId w:val="73"/>
        </w:numPr>
        <w:tabs>
          <w:tab w:val="left" w:pos="709"/>
        </w:tabs>
        <w:ind w:left="0" w:firstLine="0"/>
        <w:jc w:val="both"/>
        <w:rPr>
          <w:rFonts w:cs="Arial"/>
          <w:bCs/>
          <w:lang w:val="ru-RU"/>
        </w:rPr>
      </w:pPr>
      <w:r w:rsidRPr="00FA0032">
        <w:rPr>
          <w:lang w:val="ru-RU"/>
        </w:rPr>
        <w:t>Кроме того, на основе опыта аутсорсинга письменных переводов на французский и испанский языки были проведены международные конкурсы и отобраны новые агентства для выполнения письменных переводов на арабский, китайский и русский языки.</w:t>
      </w:r>
    </w:p>
    <w:p w:rsidR="00FA0032" w:rsidRPr="00FA0032" w:rsidRDefault="00FA0032" w:rsidP="00FA0032">
      <w:pPr>
        <w:pStyle w:val="ListParagraph"/>
        <w:tabs>
          <w:tab w:val="left" w:pos="709"/>
        </w:tabs>
        <w:ind w:left="0"/>
        <w:jc w:val="both"/>
        <w:rPr>
          <w:rFonts w:cs="Arial"/>
          <w:bCs/>
          <w:lang w:val="ru-RU"/>
        </w:rPr>
      </w:pPr>
    </w:p>
    <w:p w:rsidR="00FA0032" w:rsidRPr="00FA0032" w:rsidRDefault="00FA0032" w:rsidP="00FA0032">
      <w:pPr>
        <w:pStyle w:val="ListParagraph"/>
        <w:numPr>
          <w:ilvl w:val="0"/>
          <w:numId w:val="73"/>
        </w:numPr>
        <w:tabs>
          <w:tab w:val="left" w:pos="709"/>
        </w:tabs>
        <w:ind w:left="0" w:firstLine="0"/>
        <w:jc w:val="both"/>
        <w:rPr>
          <w:rFonts w:cs="Arial"/>
          <w:bCs/>
          <w:lang w:val="ru-RU"/>
        </w:rPr>
      </w:pPr>
      <w:r w:rsidRPr="00FA0032">
        <w:rPr>
          <w:lang w:val="ru-RU"/>
        </w:rPr>
        <w:t>На основе новых систем автоматизированного перевода и терминологии (САПТ), которые были введены в 2014</w:t>
      </w:r>
      <w:r>
        <w:t> </w:t>
      </w:r>
      <w:r w:rsidRPr="00FA0032">
        <w:rPr>
          <w:lang w:val="ru-RU"/>
        </w:rPr>
        <w:t xml:space="preserve">г., в рамках программы был начат беспрецедентный терминологический проект, предусматривающий публикацию терминологических материалов на всех шести языках ООН на новой терминологической платформе ВОИС </w:t>
      </w:r>
      <w:r>
        <w:t>Pearl</w:t>
      </w:r>
      <w:r w:rsidRPr="00FA0032">
        <w:rPr>
          <w:lang w:val="ru-RU"/>
        </w:rPr>
        <w:t xml:space="preserve">, которая в настоящее время содержит только термины </w:t>
      </w:r>
      <w:r>
        <w:t>PCT</w:t>
      </w:r>
      <w:r w:rsidRPr="00FA0032">
        <w:rPr>
          <w:lang w:val="ru-RU"/>
        </w:rPr>
        <w:t>.  В 2015</w:t>
      </w:r>
      <w:r>
        <w:t> </w:t>
      </w:r>
      <w:r w:rsidRPr="00FA0032">
        <w:rPr>
          <w:lang w:val="ru-RU"/>
        </w:rPr>
        <w:t>г. была проведена значительная работа по созданию, проверке и утверждению ее терминологической базы.  К концу двухлетнего периода 12</w:t>
      </w:r>
      <w:r>
        <w:t> </w:t>
      </w:r>
      <w:r w:rsidRPr="00FA0032">
        <w:rPr>
          <w:lang w:val="ru-RU"/>
        </w:rPr>
        <w:t>704 термина на шести официальных языках ООН прошли предварительную проверку для публикации на общей терминологической платформе, которой предстоит доработка с технической стороны и тестирование.</w:t>
      </w:r>
    </w:p>
    <w:p w:rsidR="00FA0032" w:rsidRPr="00FA0032" w:rsidRDefault="00FA0032" w:rsidP="00FA0032">
      <w:pPr>
        <w:pStyle w:val="ListParagraph"/>
        <w:tabs>
          <w:tab w:val="left" w:pos="709"/>
        </w:tabs>
        <w:ind w:left="0"/>
        <w:jc w:val="both"/>
        <w:rPr>
          <w:rFonts w:cs="Arial"/>
          <w:bCs/>
          <w:lang w:val="ru-RU"/>
        </w:rPr>
      </w:pPr>
    </w:p>
    <w:p w:rsidR="00FA0032" w:rsidRPr="00FA0032" w:rsidRDefault="00FA0032" w:rsidP="00FA0032">
      <w:pPr>
        <w:pStyle w:val="ListParagraph"/>
        <w:numPr>
          <w:ilvl w:val="0"/>
          <w:numId w:val="73"/>
        </w:numPr>
        <w:tabs>
          <w:tab w:val="left" w:pos="709"/>
        </w:tabs>
        <w:ind w:left="0" w:firstLine="0"/>
        <w:jc w:val="both"/>
        <w:rPr>
          <w:rFonts w:cs="Arial"/>
          <w:bCs/>
          <w:lang w:val="ru-RU"/>
        </w:rPr>
      </w:pPr>
      <w:r w:rsidRPr="00FA0032">
        <w:rPr>
          <w:lang w:val="ru-RU"/>
        </w:rPr>
        <w:t>Наконец, благодаря последовательному принятию мер по рационализации и контролю числа и объема документов по всем совещаниям, в 2014–2015</w:t>
      </w:r>
      <w:r>
        <w:t> </w:t>
      </w:r>
      <w:r w:rsidRPr="00FA0032">
        <w:rPr>
          <w:lang w:val="ru-RU"/>
        </w:rPr>
        <w:t>гг. удалось снизить объем переводов на 8,5</w:t>
      </w:r>
      <w:r>
        <w:t> </w:t>
      </w:r>
      <w:r w:rsidRPr="00FA0032">
        <w:rPr>
          <w:lang w:val="ru-RU"/>
        </w:rPr>
        <w:t>процента (30,35</w:t>
      </w:r>
      <w:r>
        <w:t> </w:t>
      </w:r>
      <w:r w:rsidRPr="00FA0032">
        <w:rPr>
          <w:lang w:val="ru-RU"/>
        </w:rPr>
        <w:t>млн слов в 2014–2015</w:t>
      </w:r>
      <w:r>
        <w:t> </w:t>
      </w:r>
      <w:r w:rsidRPr="00FA0032">
        <w:rPr>
          <w:lang w:val="ru-RU"/>
        </w:rPr>
        <w:t>гг. по сравнению с 33,17</w:t>
      </w:r>
      <w:r>
        <w:t> </w:t>
      </w:r>
      <w:r w:rsidRPr="00FA0032">
        <w:rPr>
          <w:lang w:val="ru-RU"/>
        </w:rPr>
        <w:t>млн слов в 2012–2013</w:t>
      </w:r>
      <w:r>
        <w:t> </w:t>
      </w:r>
      <w:r w:rsidRPr="00FA0032">
        <w:rPr>
          <w:lang w:val="ru-RU"/>
        </w:rPr>
        <w:t>гг.), несмотря на то, что в рассматриваемый двухлетний период правило о переводе на все языки стало распространяться на четыре основные рабочие группы.  Эти меры и инициативы способствовали повышению экономической эффективности в 2014–2015</w:t>
      </w:r>
      <w:r>
        <w:t> </w:t>
      </w:r>
      <w:r w:rsidRPr="00FA0032">
        <w:rPr>
          <w:lang w:val="ru-RU"/>
        </w:rPr>
        <w:t>гг.: стоимость перевода в расчете на одно слово существенно снизилась с 0,63</w:t>
      </w:r>
      <w:r>
        <w:t> </w:t>
      </w:r>
      <w:r w:rsidRPr="00FA0032">
        <w:rPr>
          <w:lang w:val="ru-RU"/>
        </w:rPr>
        <w:t>шв. франков в 2013</w:t>
      </w:r>
      <w:r>
        <w:t> </w:t>
      </w:r>
      <w:r w:rsidRPr="00FA0032">
        <w:rPr>
          <w:lang w:val="ru-RU"/>
        </w:rPr>
        <w:t>г. до 0,59</w:t>
      </w:r>
      <w:r>
        <w:t> </w:t>
      </w:r>
      <w:r w:rsidRPr="00FA0032">
        <w:rPr>
          <w:lang w:val="ru-RU"/>
        </w:rPr>
        <w:t>и 0,57 шв. франков в 2014</w:t>
      </w:r>
      <w:r>
        <w:t> </w:t>
      </w:r>
      <w:r w:rsidRPr="00FA0032">
        <w:rPr>
          <w:lang w:val="ru-RU"/>
        </w:rPr>
        <w:t>г. и 2015</w:t>
      </w:r>
      <w:r>
        <w:t> </w:t>
      </w:r>
      <w:r w:rsidRPr="00FA0032">
        <w:rPr>
          <w:lang w:val="ru-RU"/>
        </w:rPr>
        <w:t xml:space="preserve">г. соответственно.  </w:t>
      </w:r>
    </w:p>
    <w:p w:rsidR="00FA0032" w:rsidRPr="00FA0032" w:rsidRDefault="00FA0032" w:rsidP="00FA0032">
      <w:pPr>
        <w:spacing w:after="200" w:line="276" w:lineRule="auto"/>
        <w:rPr>
          <w:szCs w:val="20"/>
          <w:lang w:val="ru-RU"/>
        </w:rPr>
      </w:pPr>
      <w:r w:rsidRPr="00FA0032">
        <w:rPr>
          <w:lang w:val="ru-RU"/>
        </w:rPr>
        <w:br w:type="page"/>
      </w:r>
    </w:p>
    <w:p w:rsidR="00FA0032" w:rsidRPr="00FA0032" w:rsidRDefault="00FA0032" w:rsidP="00FA0032">
      <w:pPr>
        <w:pStyle w:val="ListParagraph"/>
        <w:tabs>
          <w:tab w:val="left" w:pos="709"/>
        </w:tabs>
        <w:ind w:left="0"/>
        <w:jc w:val="both"/>
        <w:rPr>
          <w:rFonts w:cs="Arial"/>
          <w:bCs/>
          <w:lang w:val="ru-R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FA0032" w:rsidRPr="005C6ABD" w:rsidTr="00C61544">
        <w:tc>
          <w:tcPr>
            <w:tcW w:w="4785" w:type="dxa"/>
          </w:tcPr>
          <w:p w:rsidR="00FA0032" w:rsidRDefault="00FA0032" w:rsidP="00C61544">
            <w:pPr>
              <w:tabs>
                <w:tab w:val="left" w:pos="709"/>
              </w:tabs>
              <w:jc w:val="center"/>
              <w:rPr>
                <w:rFonts w:cs="Arial"/>
                <w:bCs/>
              </w:rPr>
            </w:pPr>
            <w:r w:rsidRPr="00FA0032">
              <w:rPr>
                <w:lang w:val="ru-RU"/>
              </w:rPr>
              <w:tab/>
            </w:r>
            <w:r>
              <w:rPr>
                <w:i/>
                <w:sz w:val="16"/>
              </w:rPr>
              <w:t>Объем переводов в 2012–2015 гг.</w:t>
            </w:r>
          </w:p>
        </w:tc>
        <w:tc>
          <w:tcPr>
            <w:tcW w:w="4786" w:type="dxa"/>
          </w:tcPr>
          <w:p w:rsidR="00FA0032" w:rsidRPr="00FA0032" w:rsidRDefault="00FA0032" w:rsidP="00C61544">
            <w:pPr>
              <w:tabs>
                <w:tab w:val="left" w:pos="709"/>
              </w:tabs>
              <w:jc w:val="center"/>
              <w:rPr>
                <w:rFonts w:cs="Arial"/>
                <w:bCs/>
                <w:lang w:val="ru-RU"/>
              </w:rPr>
            </w:pPr>
            <w:r w:rsidRPr="00FA0032">
              <w:rPr>
                <w:i/>
                <w:sz w:val="16"/>
                <w:lang w:val="ru-RU"/>
              </w:rPr>
              <w:t>Стоимость перевода в расчете на одно слово в 2013–2015</w:t>
            </w:r>
            <w:r>
              <w:rPr>
                <w:i/>
                <w:sz w:val="16"/>
              </w:rPr>
              <w:t> </w:t>
            </w:r>
            <w:r w:rsidRPr="00FA0032">
              <w:rPr>
                <w:i/>
                <w:sz w:val="16"/>
                <w:lang w:val="ru-RU"/>
              </w:rPr>
              <w:t>гг.</w:t>
            </w:r>
          </w:p>
        </w:tc>
      </w:tr>
      <w:tr w:rsidR="00FA0032" w:rsidTr="00C61544">
        <w:tc>
          <w:tcPr>
            <w:tcW w:w="4785" w:type="dxa"/>
          </w:tcPr>
          <w:p w:rsidR="00FA0032" w:rsidRDefault="00FA0032" w:rsidP="00C61544">
            <w:pPr>
              <w:tabs>
                <w:tab w:val="left" w:pos="709"/>
              </w:tabs>
              <w:jc w:val="center"/>
              <w:rPr>
                <w:rFonts w:cs="Arial"/>
                <w:bCs/>
              </w:rPr>
            </w:pPr>
            <w:r>
              <w:rPr>
                <w:rFonts w:cs="Arial"/>
                <w:bCs/>
                <w:noProof/>
              </w:rPr>
              <w:drawing>
                <wp:inline distT="0" distB="0" distL="0" distR="0" wp14:anchorId="6BE547FE" wp14:editId="5607C4FF">
                  <wp:extent cx="2095081" cy="1403495"/>
                  <wp:effectExtent l="0" t="0" r="635"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098751" cy="1405954"/>
                          </a:xfrm>
                          <a:prstGeom prst="rect">
                            <a:avLst/>
                          </a:prstGeom>
                          <a:noFill/>
                          <a:ln>
                            <a:noFill/>
                          </a:ln>
                        </pic:spPr>
                      </pic:pic>
                    </a:graphicData>
                  </a:graphic>
                </wp:inline>
              </w:drawing>
            </w:r>
          </w:p>
        </w:tc>
        <w:tc>
          <w:tcPr>
            <w:tcW w:w="4786" w:type="dxa"/>
          </w:tcPr>
          <w:p w:rsidR="00FA0032" w:rsidRDefault="00FA0032" w:rsidP="00C61544">
            <w:pPr>
              <w:tabs>
                <w:tab w:val="left" w:pos="709"/>
              </w:tabs>
              <w:jc w:val="center"/>
              <w:rPr>
                <w:rFonts w:cs="Arial"/>
                <w:bCs/>
              </w:rPr>
            </w:pPr>
            <w:r>
              <w:rPr>
                <w:rFonts w:cs="Arial"/>
                <w:bCs/>
                <w:noProof/>
              </w:rPr>
              <w:drawing>
                <wp:inline distT="0" distB="0" distL="0" distR="0" wp14:anchorId="031D4FDE" wp14:editId="168DBA56">
                  <wp:extent cx="2387711" cy="1429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390468" cy="1431100"/>
                          </a:xfrm>
                          <a:prstGeom prst="rect">
                            <a:avLst/>
                          </a:prstGeom>
                          <a:noFill/>
                          <a:ln>
                            <a:noFill/>
                          </a:ln>
                        </pic:spPr>
                      </pic:pic>
                    </a:graphicData>
                  </a:graphic>
                </wp:inline>
              </w:drawing>
            </w:r>
          </w:p>
        </w:tc>
      </w:tr>
    </w:tbl>
    <w:p w:rsidR="00FA0032" w:rsidRDefault="00FA0032" w:rsidP="00FA0032">
      <w:pPr>
        <w:pStyle w:val="ListParagraph"/>
        <w:tabs>
          <w:tab w:val="left" w:pos="709"/>
        </w:tabs>
        <w:ind w:left="0"/>
        <w:jc w:val="both"/>
        <w:rPr>
          <w:rFonts w:cs="Arial"/>
          <w:bCs/>
        </w:rPr>
      </w:pPr>
    </w:p>
    <w:p w:rsidR="00FA0032" w:rsidRPr="00FA0032" w:rsidRDefault="00FA0032" w:rsidP="00FA0032">
      <w:pPr>
        <w:pStyle w:val="ListParagraph"/>
        <w:numPr>
          <w:ilvl w:val="0"/>
          <w:numId w:val="73"/>
        </w:numPr>
        <w:tabs>
          <w:tab w:val="left" w:pos="709"/>
        </w:tabs>
        <w:ind w:left="0" w:firstLine="0"/>
        <w:jc w:val="both"/>
        <w:rPr>
          <w:rFonts w:cs="Arial"/>
          <w:bCs/>
          <w:lang w:val="ru-RU"/>
        </w:rPr>
      </w:pPr>
      <w:r w:rsidRPr="00FA0032">
        <w:rPr>
          <w:lang w:val="ru-RU"/>
        </w:rPr>
        <w:t>Продолжалось эффективное и качественное оказание услуг устного перевода на всех совещаниях и других мероприятиях ВОИС в штаб-квартире и в других точках, где это было необходимо.</w:t>
      </w:r>
    </w:p>
    <w:p w:rsidR="00FA0032" w:rsidRPr="00FA0032" w:rsidRDefault="00FA0032" w:rsidP="00FA0032">
      <w:pPr>
        <w:pStyle w:val="ListParagraph"/>
        <w:tabs>
          <w:tab w:val="left" w:pos="709"/>
        </w:tabs>
        <w:ind w:left="0"/>
        <w:jc w:val="both"/>
        <w:rPr>
          <w:rFonts w:cs="Arial"/>
          <w:bCs/>
          <w:lang w:val="ru-RU"/>
        </w:rPr>
      </w:pPr>
    </w:p>
    <w:p w:rsidR="00FA0032" w:rsidRPr="00FA0032" w:rsidRDefault="00FA0032" w:rsidP="00FA0032">
      <w:pPr>
        <w:pStyle w:val="ListParagraph"/>
        <w:numPr>
          <w:ilvl w:val="0"/>
          <w:numId w:val="73"/>
        </w:numPr>
        <w:tabs>
          <w:tab w:val="left" w:pos="709"/>
        </w:tabs>
        <w:ind w:left="0" w:firstLine="0"/>
        <w:jc w:val="both"/>
        <w:rPr>
          <w:lang w:val="ru-RU"/>
        </w:rPr>
      </w:pPr>
      <w:r w:rsidRPr="00FA0032">
        <w:rPr>
          <w:lang w:val="ru-RU"/>
        </w:rPr>
        <w:t>После нескольких лет заметного роста в двухлетний период 2014–2015</w:t>
      </w:r>
      <w:r>
        <w:t> </w:t>
      </w:r>
      <w:r w:rsidRPr="00FA0032">
        <w:rPr>
          <w:lang w:val="ru-RU"/>
        </w:rPr>
        <w:t>гг. была отмечена стабилизация числа организуемых в Женеве совещаний: было проведено 209 основных совещаний, включая дипломатическую конференцию по принятию Лиссабонского соглашения об охране наименований мест происхождений и их международной регистрации, тогда как в 2012–2013</w:t>
      </w:r>
      <w:r>
        <w:t> </w:t>
      </w:r>
      <w:r w:rsidRPr="00FA0032">
        <w:rPr>
          <w:lang w:val="ru-RU"/>
        </w:rPr>
        <w:t>гг. было проведено 260 совещаний.  Конференционное обслуживание было также предоставлено в среднем для 5</w:t>
      </w:r>
      <w:r>
        <w:t> </w:t>
      </w:r>
      <w:r w:rsidRPr="00FA0032">
        <w:rPr>
          <w:lang w:val="ru-RU"/>
        </w:rPr>
        <w:t>600 (около 5</w:t>
      </w:r>
      <w:r>
        <w:t> </w:t>
      </w:r>
      <w:r w:rsidRPr="00FA0032">
        <w:rPr>
          <w:lang w:val="ru-RU"/>
        </w:rPr>
        <w:t>400 в 2014</w:t>
      </w:r>
      <w:r>
        <w:t> </w:t>
      </w:r>
      <w:r w:rsidRPr="00FA0032">
        <w:rPr>
          <w:lang w:val="ru-RU"/>
        </w:rPr>
        <w:t>г.; 5</w:t>
      </w:r>
      <w:r>
        <w:t> </w:t>
      </w:r>
      <w:r w:rsidRPr="00FA0032">
        <w:rPr>
          <w:lang w:val="ru-RU"/>
        </w:rPr>
        <w:t>800</w:t>
      </w:r>
      <w:r>
        <w:t> </w:t>
      </w:r>
      <w:r w:rsidRPr="00FA0032">
        <w:rPr>
          <w:lang w:val="ru-RU"/>
        </w:rPr>
        <w:t>– в 2015</w:t>
      </w:r>
      <w:r>
        <w:t> </w:t>
      </w:r>
      <w:r w:rsidRPr="00FA0032">
        <w:rPr>
          <w:lang w:val="ru-RU"/>
        </w:rPr>
        <w:t>г.) специальных мероприятий (неформальных консультаций, двусторонних встреч, презентаций, сопутствующих мероприятий, официальных визитов и внутренних совещаний), которые прошли в ВОИС в Женеве. Их число оставалось стабильным (в двухлетний период 2012–2013</w:t>
      </w:r>
      <w:r>
        <w:t> </w:t>
      </w:r>
      <w:r w:rsidRPr="00FA0032">
        <w:rPr>
          <w:lang w:val="ru-RU"/>
        </w:rPr>
        <w:t>гг. этот показатель составлял 11</w:t>
      </w:r>
      <w:r>
        <w:t> </w:t>
      </w:r>
      <w:r w:rsidRPr="00FA0032">
        <w:rPr>
          <w:lang w:val="ru-RU"/>
        </w:rPr>
        <w:t>200).  Обслуживание примерно 140 из этих совещаний было проведено вне стандартных часов проведения совещаний, то есть после 18.30 или в выходные дни, тогда как в 2012–2013</w:t>
      </w:r>
      <w:r>
        <w:t> </w:t>
      </w:r>
      <w:r w:rsidRPr="00FA0032">
        <w:rPr>
          <w:lang w:val="ru-RU"/>
        </w:rPr>
        <w:t xml:space="preserve">гг. таких мероприятий было 167.  </w:t>
      </w:r>
    </w:p>
    <w:p w:rsidR="00FA0032" w:rsidRPr="00FA0032" w:rsidRDefault="00FA0032" w:rsidP="00FA0032">
      <w:pPr>
        <w:tabs>
          <w:tab w:val="left" w:pos="709"/>
        </w:tabs>
        <w:jc w:val="both"/>
        <w:rPr>
          <w:rFonts w:cs="Arial"/>
          <w:bCs/>
          <w:lang w:val="ru-RU"/>
        </w:rPr>
      </w:pPr>
    </w:p>
    <w:p w:rsidR="00FA0032" w:rsidRDefault="00FA0032" w:rsidP="00FA0032">
      <w:pPr>
        <w:pStyle w:val="ListParagraph"/>
        <w:numPr>
          <w:ilvl w:val="0"/>
          <w:numId w:val="73"/>
        </w:numPr>
        <w:tabs>
          <w:tab w:val="left" w:pos="709"/>
        </w:tabs>
        <w:ind w:left="0" w:firstLine="0"/>
        <w:jc w:val="both"/>
      </w:pPr>
      <w:r w:rsidRPr="00FA0032">
        <w:rPr>
          <w:lang w:val="ru-RU"/>
        </w:rPr>
        <w:t>Особо следует отметить осуществленный в рассматриваемый двухлетний период плавный переход к использованию новых конференционных помещений и новой инфраструктуры регистрации, которые начали использоваться в последнем квартале 2014</w:t>
      </w:r>
      <w:r>
        <w:t> </w:t>
      </w:r>
      <w:r w:rsidRPr="00FA0032">
        <w:rPr>
          <w:lang w:val="ru-RU"/>
        </w:rPr>
        <w:t>г.  В 2015</w:t>
      </w:r>
      <w:r>
        <w:t> </w:t>
      </w:r>
      <w:r w:rsidRPr="00FA0032">
        <w:rPr>
          <w:lang w:val="ru-RU"/>
        </w:rPr>
        <w:t xml:space="preserve">г. после серии консультаций с соответствующими внутренними заинтересованными сторонами были утверждены условия такого использования в случае сдачи в аренду государствам-членам или сторонним учреждениям нового конференц-зала ВОИС и относящихся к нему сооружений для проведения мероприятий, не являющихся совещаниями ВОИС. </w:t>
      </w:r>
      <w:r>
        <w:t>Были организованы пять таких мероприятий</w:t>
      </w:r>
      <w:r>
        <w:rPr>
          <w:rStyle w:val="FootnoteReference"/>
        </w:rPr>
        <w:footnoteReference w:id="145"/>
      </w:r>
      <w:r>
        <w:t xml:space="preserve">.  </w:t>
      </w:r>
    </w:p>
    <w:p w:rsidR="00FA0032" w:rsidRPr="00BE5A7B" w:rsidRDefault="00FA0032" w:rsidP="00FA0032">
      <w:pPr>
        <w:pStyle w:val="ListParagraph"/>
        <w:tabs>
          <w:tab w:val="left" w:pos="709"/>
        </w:tabs>
        <w:ind w:left="0"/>
        <w:jc w:val="both"/>
      </w:pPr>
    </w:p>
    <w:p w:rsidR="00FA0032" w:rsidRPr="00FA0032" w:rsidRDefault="00FA0032" w:rsidP="00FA0032">
      <w:pPr>
        <w:pStyle w:val="ListParagraph"/>
        <w:numPr>
          <w:ilvl w:val="0"/>
          <w:numId w:val="73"/>
        </w:numPr>
        <w:tabs>
          <w:tab w:val="left" w:pos="709"/>
        </w:tabs>
        <w:ind w:left="0" w:firstLine="0"/>
        <w:jc w:val="both"/>
        <w:rPr>
          <w:lang w:val="ru-RU"/>
        </w:rPr>
      </w:pPr>
      <w:r w:rsidRPr="00FA0032">
        <w:rPr>
          <w:lang w:val="ru-RU"/>
        </w:rPr>
        <w:t>Что касается своевременной подготовки документов к совещаниям, то система контроля за датой публикации, внедренная в 2014</w:t>
      </w:r>
      <w:r>
        <w:t> </w:t>
      </w:r>
      <w:r w:rsidRPr="00FA0032">
        <w:rPr>
          <w:lang w:val="ru-RU"/>
        </w:rPr>
        <w:t>г., и механизмы последующего контроля, задействованные в секретариатах совещаний, позволили улучшить показатели своевременности в ходе рассматриваемого двухлетнего периода: в 2015</w:t>
      </w:r>
      <w:r>
        <w:t> </w:t>
      </w:r>
      <w:r w:rsidRPr="00FA0032">
        <w:rPr>
          <w:lang w:val="ru-RU"/>
        </w:rPr>
        <w:t>г. было достигнуто улучшение на 28</w:t>
      </w:r>
      <w:r>
        <w:t> </w:t>
      </w:r>
      <w:r w:rsidRPr="00FA0032">
        <w:rPr>
          <w:lang w:val="ru-RU"/>
        </w:rPr>
        <w:t>процентных пунктов (69 процентов документов были выпущены за два месяца до соответствующего совещания, тогда как в 2014</w:t>
      </w:r>
      <w:r>
        <w:t> </w:t>
      </w:r>
      <w:r w:rsidRPr="00FA0032">
        <w:rPr>
          <w:lang w:val="ru-RU"/>
        </w:rPr>
        <w:t>г. этот показатель составлял 41</w:t>
      </w:r>
      <w:r>
        <w:t> </w:t>
      </w:r>
      <w:r w:rsidRPr="00FA0032">
        <w:rPr>
          <w:lang w:val="ru-RU"/>
        </w:rPr>
        <w:t xml:space="preserve">процент). </w:t>
      </w:r>
    </w:p>
    <w:p w:rsidR="00FA0032" w:rsidRPr="00FA0032" w:rsidRDefault="00FA0032" w:rsidP="00FA0032">
      <w:pPr>
        <w:jc w:val="both"/>
        <w:rPr>
          <w:lang w:val="ru-RU"/>
        </w:rPr>
      </w:pPr>
      <w:r w:rsidRPr="00FA0032">
        <w:rPr>
          <w:lang w:val="ru-RU"/>
        </w:rPr>
        <w:t xml:space="preserve"> </w:t>
      </w:r>
    </w:p>
    <w:p w:rsidR="00FA0032" w:rsidRPr="00FA0032" w:rsidRDefault="00FA0032" w:rsidP="00FA0032">
      <w:pPr>
        <w:pStyle w:val="ListParagraph"/>
        <w:numPr>
          <w:ilvl w:val="0"/>
          <w:numId w:val="73"/>
        </w:numPr>
        <w:tabs>
          <w:tab w:val="left" w:pos="709"/>
        </w:tabs>
        <w:ind w:left="0" w:firstLine="0"/>
        <w:jc w:val="both"/>
        <w:rPr>
          <w:lang w:val="ru-RU"/>
        </w:rPr>
      </w:pPr>
      <w:r w:rsidRPr="00FA0032">
        <w:rPr>
          <w:lang w:val="ru-RU"/>
        </w:rPr>
        <w:t>После того, как в 2012–2013</w:t>
      </w:r>
      <w:r>
        <w:t> </w:t>
      </w:r>
      <w:r w:rsidRPr="00FA0032">
        <w:rPr>
          <w:lang w:val="ru-RU"/>
        </w:rPr>
        <w:t>гг. была утверждена политика ведения документации и хранения архивов, в 2014–2015</w:t>
      </w:r>
      <w:r>
        <w:t> </w:t>
      </w:r>
      <w:r w:rsidRPr="00FA0032">
        <w:rPr>
          <w:lang w:val="ru-RU"/>
        </w:rPr>
        <w:t>гг. были достигнуты хорошие результаты в области составления графика хранения документации и повышения эффективности ведения документации и хранения архивов.  В этих целях в 2015</w:t>
      </w:r>
      <w:r>
        <w:t> </w:t>
      </w:r>
      <w:r w:rsidRPr="00FA0032">
        <w:rPr>
          <w:lang w:val="ru-RU"/>
        </w:rPr>
        <w:t xml:space="preserve">г. программа </w:t>
      </w:r>
      <w:r>
        <w:t>Livelink</w:t>
      </w:r>
      <w:r w:rsidRPr="00FA0032">
        <w:rPr>
          <w:lang w:val="ru-RU"/>
        </w:rPr>
        <w:t>, использующаяся для управления документацией и архивами, была успешно обновлена, что позволило обеспечить: (</w:t>
      </w:r>
      <w:r>
        <w:t>i</w:t>
      </w:r>
      <w:r w:rsidRPr="00FA0032">
        <w:rPr>
          <w:lang w:val="ru-RU"/>
        </w:rPr>
        <w:t>)</w:t>
      </w:r>
      <w:r>
        <w:t> </w:t>
      </w:r>
      <w:r w:rsidRPr="00FA0032">
        <w:rPr>
          <w:lang w:val="ru-RU"/>
        </w:rPr>
        <w:t xml:space="preserve">ее совместимость с </w:t>
      </w:r>
      <w:r>
        <w:t>Windows</w:t>
      </w:r>
      <w:r w:rsidRPr="00FA0032">
        <w:rPr>
          <w:lang w:val="ru-RU"/>
        </w:rPr>
        <w:t xml:space="preserve"> 7 и </w:t>
      </w:r>
      <w:r>
        <w:t>Windows</w:t>
      </w:r>
      <w:r w:rsidRPr="00FA0032">
        <w:rPr>
          <w:lang w:val="ru-RU"/>
        </w:rPr>
        <w:t xml:space="preserve"> </w:t>
      </w:r>
      <w:r>
        <w:t>Server</w:t>
      </w:r>
      <w:r w:rsidRPr="00FA0032">
        <w:rPr>
          <w:lang w:val="ru-RU"/>
        </w:rPr>
        <w:t xml:space="preserve"> 2012; (</w:t>
      </w:r>
      <w:r>
        <w:t>ii</w:t>
      </w:r>
      <w:r w:rsidRPr="00FA0032">
        <w:rPr>
          <w:lang w:val="ru-RU"/>
        </w:rPr>
        <w:t>)</w:t>
      </w:r>
      <w:r>
        <w:t> </w:t>
      </w:r>
      <w:r w:rsidRPr="00FA0032">
        <w:rPr>
          <w:lang w:val="ru-RU"/>
        </w:rPr>
        <w:t>бесперебойное функционирование системы регистрации и хранения документации и архивов ВОИС, а также (</w:t>
      </w:r>
      <w:r>
        <w:t>iii</w:t>
      </w:r>
      <w:r w:rsidRPr="00FA0032">
        <w:rPr>
          <w:lang w:val="ru-RU"/>
        </w:rPr>
        <w:t>)</w:t>
      </w:r>
      <w:r>
        <w:t> </w:t>
      </w:r>
      <w:r w:rsidRPr="00FA0032">
        <w:rPr>
          <w:lang w:val="ru-RU"/>
        </w:rPr>
        <w:t>более эффективный способ архивирования документов различных секторов.</w:t>
      </w:r>
    </w:p>
    <w:p w:rsidR="00FA0032" w:rsidRPr="00FA0032" w:rsidRDefault="00FA0032" w:rsidP="00FA0032">
      <w:pPr>
        <w:pStyle w:val="ListParagraph"/>
        <w:tabs>
          <w:tab w:val="left" w:pos="709"/>
        </w:tabs>
        <w:ind w:left="0"/>
        <w:jc w:val="both"/>
        <w:rPr>
          <w:lang w:val="ru-RU"/>
        </w:rPr>
      </w:pPr>
    </w:p>
    <w:p w:rsidR="00FA0032" w:rsidRPr="00FA0032" w:rsidRDefault="00FA0032" w:rsidP="00FA0032">
      <w:pPr>
        <w:pStyle w:val="ListParagraph"/>
        <w:numPr>
          <w:ilvl w:val="0"/>
          <w:numId w:val="73"/>
        </w:numPr>
        <w:tabs>
          <w:tab w:val="left" w:pos="709"/>
        </w:tabs>
        <w:ind w:left="0" w:firstLine="0"/>
        <w:jc w:val="both"/>
        <w:rPr>
          <w:lang w:val="ru-RU"/>
        </w:rPr>
      </w:pPr>
      <w:r w:rsidRPr="00FA0032">
        <w:rPr>
          <w:lang w:val="ru-RU"/>
        </w:rPr>
        <w:t>В рамках программы продолжалось принятие мер для сокращения почтовых расходов посредством переговоров по тарифам с внешними поставщиками, расширения использования экономически эффективных вариантов отправки почты (например, заказных писем вместо курьерской доставки) и внедрения системы группировки адресов, благодаря чему в 2015</w:t>
      </w:r>
      <w:r>
        <w:t> </w:t>
      </w:r>
      <w:r w:rsidRPr="00FA0032">
        <w:rPr>
          <w:lang w:val="ru-RU"/>
        </w:rPr>
        <w:t>г. число отправлений снизилось на четыре процента по сравнению с 2014</w:t>
      </w:r>
      <w:r>
        <w:t> </w:t>
      </w:r>
      <w:r w:rsidRPr="00FA0032">
        <w:rPr>
          <w:lang w:val="ru-RU"/>
        </w:rPr>
        <w:t>г.  В целом эти согласованные усилия позволили снизить почтовые расходы на 7,2</w:t>
      </w:r>
      <w:r>
        <w:t> </w:t>
      </w:r>
      <w:r w:rsidRPr="00FA0032">
        <w:rPr>
          <w:lang w:val="ru-RU"/>
        </w:rPr>
        <w:t>процента в 2015</w:t>
      </w:r>
      <w:r>
        <w:t> </w:t>
      </w:r>
      <w:r w:rsidRPr="00FA0032">
        <w:rPr>
          <w:lang w:val="ru-RU"/>
        </w:rPr>
        <w:t>г. по сравнению с 2014</w:t>
      </w:r>
      <w:r>
        <w:t> </w:t>
      </w:r>
      <w:r w:rsidRPr="00FA0032">
        <w:rPr>
          <w:lang w:val="ru-RU"/>
        </w:rPr>
        <w:t>г. и на 11 процентов по сравнению с 2013 г.</w:t>
      </w:r>
    </w:p>
    <w:p w:rsidR="00FA0032" w:rsidRPr="00FA0032" w:rsidRDefault="00FA0032" w:rsidP="00FA0032">
      <w:pPr>
        <w:pStyle w:val="ListParagraph"/>
        <w:tabs>
          <w:tab w:val="left" w:pos="709"/>
        </w:tabs>
        <w:ind w:left="0"/>
        <w:jc w:val="both"/>
        <w:rPr>
          <w:lang w:val="ru-RU"/>
        </w:rPr>
      </w:pPr>
    </w:p>
    <w:p w:rsidR="00FA0032" w:rsidRPr="00FA0032" w:rsidRDefault="00FA0032" w:rsidP="00FA0032">
      <w:pPr>
        <w:pStyle w:val="ListParagraph"/>
        <w:numPr>
          <w:ilvl w:val="0"/>
          <w:numId w:val="73"/>
        </w:numPr>
        <w:tabs>
          <w:tab w:val="left" w:pos="709"/>
        </w:tabs>
        <w:ind w:left="0" w:firstLine="0"/>
        <w:jc w:val="both"/>
        <w:rPr>
          <w:rFonts w:cs="Arial"/>
          <w:bCs/>
          <w:lang w:val="ru-RU"/>
        </w:rPr>
      </w:pPr>
      <w:r w:rsidRPr="00FA0032">
        <w:rPr>
          <w:lang w:val="ru-RU"/>
        </w:rPr>
        <w:t>В 2014–2015</w:t>
      </w:r>
      <w:r>
        <w:t> </w:t>
      </w:r>
      <w:r w:rsidRPr="00FA0032">
        <w:rPr>
          <w:lang w:val="ru-RU"/>
        </w:rPr>
        <w:t>гг. ВОИС продолжала эффективно и своевременно предоставлять услуги печати.  Объем публикаций оставался на одном и том же уровне в течение обоих лет рассматриваемого двухлетнего периода.  Более того, снижение на 25 процентов расходов на печать одной страницы, достигнутое в 2014</w:t>
      </w:r>
      <w:r>
        <w:t> </w:t>
      </w:r>
      <w:r w:rsidRPr="00FA0032">
        <w:rPr>
          <w:lang w:val="ru-RU"/>
        </w:rPr>
        <w:t>г. в результате повторных переговоров о предоставлении лизинговых услуг, было сохранено в 2015</w:t>
      </w:r>
      <w:r>
        <w:t> </w:t>
      </w:r>
      <w:r w:rsidRPr="00FA0032">
        <w:rPr>
          <w:lang w:val="ru-RU"/>
        </w:rPr>
        <w:t>г., когда расходы на печать одной страницы составили 0,15 шв. франков, тогда как в конце 2013</w:t>
      </w:r>
      <w:r>
        <w:t> </w:t>
      </w:r>
      <w:r w:rsidRPr="00FA0032">
        <w:rPr>
          <w:lang w:val="ru-RU"/>
        </w:rPr>
        <w:t>г. этот показатель составлял 0,20</w:t>
      </w:r>
      <w:r>
        <w:rPr>
          <w:rStyle w:val="FootnoteReference"/>
        </w:rPr>
        <w:footnoteReference w:id="146"/>
      </w:r>
      <w:r w:rsidRPr="00FA0032">
        <w:rPr>
          <w:lang w:val="ru-RU"/>
        </w:rPr>
        <w:t xml:space="preserve"> шв. франков.</w:t>
      </w:r>
    </w:p>
    <w:p w:rsidR="00FA0032" w:rsidRPr="00FA0032" w:rsidRDefault="00FA0032" w:rsidP="00FA0032">
      <w:pPr>
        <w:rPr>
          <w:lang w:val="ru-RU"/>
        </w:rPr>
      </w:pPr>
    </w:p>
    <w:p w:rsidR="00FA0032" w:rsidRPr="00B8205F" w:rsidRDefault="00FA0032" w:rsidP="00FA0032">
      <w:pPr>
        <w:spacing w:after="200" w:line="276" w:lineRule="auto"/>
        <w:rPr>
          <w:rFonts w:cs="Arial"/>
          <w:szCs w:val="20"/>
        </w:rPr>
      </w:pPr>
      <w:r>
        <w:t>ДАННЫЕ О РЕЗУЛЬТАТИВНОСТИ</w:t>
      </w:r>
    </w:p>
    <w:tbl>
      <w:tblPr>
        <w:tblW w:w="4888"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27"/>
        <w:gridCol w:w="2126"/>
        <w:gridCol w:w="1559"/>
        <w:gridCol w:w="2553"/>
        <w:gridCol w:w="992"/>
      </w:tblGrid>
      <w:tr w:rsidR="00FA0032" w:rsidRPr="005C6ABD" w:rsidTr="00C61544">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FA0032" w:rsidRPr="00FA0032" w:rsidRDefault="00FA0032" w:rsidP="00165412">
            <w:pPr>
              <w:tabs>
                <w:tab w:val="left" w:pos="1452"/>
              </w:tabs>
              <w:spacing w:before="120" w:after="120"/>
              <w:ind w:left="2302" w:hanging="2302"/>
              <w:rPr>
                <w:rFonts w:cs="Arial"/>
                <w:b/>
                <w:bCs/>
                <w:sz w:val="16"/>
                <w:szCs w:val="16"/>
                <w:lang w:val="ru-RU"/>
              </w:rPr>
            </w:pPr>
            <w:r w:rsidRPr="00FA0032">
              <w:rPr>
                <w:rFonts w:cs="Arial"/>
                <w:b/>
                <w:sz w:val="16"/>
                <w:szCs w:val="16"/>
                <w:lang w:val="ru-RU"/>
              </w:rPr>
              <w:t xml:space="preserve">Ожидаемый результат: </w:t>
            </w:r>
            <w:r w:rsidRPr="00FA0032">
              <w:rPr>
                <w:rFonts w:cs="Arial"/>
                <w:sz w:val="16"/>
                <w:szCs w:val="16"/>
                <w:lang w:val="ru-RU"/>
              </w:rPr>
              <w:tab/>
            </w:r>
            <w:r w:rsidRPr="00985848">
              <w:rPr>
                <w:rFonts w:cs="Arial"/>
                <w:sz w:val="16"/>
                <w:szCs w:val="16"/>
              </w:rPr>
              <w:t>IX</w:t>
            </w:r>
            <w:r w:rsidRPr="00FA0032">
              <w:rPr>
                <w:rFonts w:cs="Arial"/>
                <w:sz w:val="16"/>
                <w:szCs w:val="16"/>
                <w:lang w:val="ru-RU"/>
              </w:rPr>
              <w:t>.1. Эффективные, действенные, качественные и о</w:t>
            </w:r>
            <w:r w:rsidR="00165412">
              <w:rPr>
                <w:rFonts w:cs="Arial"/>
                <w:sz w:val="16"/>
                <w:szCs w:val="16"/>
                <w:lang w:val="ru-RU"/>
              </w:rPr>
              <w:t xml:space="preserve">риентированные на пользователя </w:t>
            </w:r>
            <w:r w:rsidRPr="00FA0032">
              <w:rPr>
                <w:rFonts w:cs="Arial"/>
                <w:sz w:val="16"/>
                <w:szCs w:val="16"/>
                <w:lang w:val="ru-RU"/>
              </w:rPr>
              <w:t>вспомогательные услуги, предоставляемые как внут</w:t>
            </w:r>
            <w:r w:rsidR="00165412">
              <w:rPr>
                <w:rFonts w:cs="Arial"/>
                <w:sz w:val="16"/>
                <w:szCs w:val="16"/>
                <w:lang w:val="ru-RU"/>
              </w:rPr>
              <w:t xml:space="preserve">ренним клиентам, так и внешним </w:t>
            </w:r>
            <w:r w:rsidRPr="00FA0032">
              <w:rPr>
                <w:rFonts w:cs="Arial"/>
                <w:sz w:val="16"/>
                <w:szCs w:val="16"/>
                <w:lang w:val="ru-RU"/>
              </w:rPr>
              <w:t>заинтересованным сторонам</w:t>
            </w:r>
          </w:p>
        </w:tc>
      </w:tr>
      <w:tr w:rsidR="00FA0032" w:rsidRPr="00985848" w:rsidTr="00C61544">
        <w:trPr>
          <w:cantSplit/>
        </w:trPr>
        <w:tc>
          <w:tcPr>
            <w:tcW w:w="1137" w:type="pct"/>
            <w:tcBorders>
              <w:top w:val="single" w:sz="4" w:space="0" w:color="auto"/>
              <w:bottom w:val="nil"/>
              <w:right w:val="nil"/>
            </w:tcBorders>
            <w:shd w:val="clear" w:color="auto" w:fill="auto"/>
            <w:vAlign w:val="center"/>
          </w:tcPr>
          <w:p w:rsidR="00FA0032" w:rsidRPr="00985848" w:rsidRDefault="00FA0032" w:rsidP="00C61544">
            <w:pPr>
              <w:rPr>
                <w:rFonts w:cs="Arial"/>
                <w:sz w:val="16"/>
                <w:szCs w:val="16"/>
              </w:rPr>
            </w:pPr>
            <w:r w:rsidRPr="00985848">
              <w:rPr>
                <w:rFonts w:cs="Arial"/>
                <w:b/>
                <w:sz w:val="16"/>
                <w:szCs w:val="16"/>
              </w:rPr>
              <w:t>Показатели результативности</w:t>
            </w:r>
          </w:p>
        </w:tc>
        <w:tc>
          <w:tcPr>
            <w:tcW w:w="1136" w:type="pct"/>
            <w:tcBorders>
              <w:top w:val="single" w:sz="4" w:space="0" w:color="auto"/>
              <w:left w:val="nil"/>
              <w:bottom w:val="nil"/>
              <w:right w:val="nil"/>
            </w:tcBorders>
            <w:shd w:val="clear" w:color="auto" w:fill="auto"/>
            <w:vAlign w:val="center"/>
          </w:tcPr>
          <w:p w:rsidR="00FA0032" w:rsidRPr="00985848" w:rsidRDefault="00FA0032" w:rsidP="00C61544">
            <w:pPr>
              <w:rPr>
                <w:rFonts w:cs="Arial"/>
                <w:b/>
                <w:bCs/>
                <w:sz w:val="16"/>
                <w:szCs w:val="16"/>
              </w:rPr>
            </w:pPr>
            <w:r w:rsidRPr="00985848">
              <w:rPr>
                <w:rFonts w:cs="Arial"/>
                <w:b/>
                <w:sz w:val="16"/>
                <w:szCs w:val="16"/>
              </w:rPr>
              <w:t>Базовые показатели</w:t>
            </w:r>
          </w:p>
        </w:tc>
        <w:tc>
          <w:tcPr>
            <w:tcW w:w="833" w:type="pct"/>
            <w:tcBorders>
              <w:top w:val="single" w:sz="4" w:space="0" w:color="auto"/>
              <w:left w:val="nil"/>
              <w:bottom w:val="nil"/>
              <w:right w:val="nil"/>
            </w:tcBorders>
            <w:shd w:val="clear" w:color="auto" w:fill="auto"/>
            <w:tcMar>
              <w:top w:w="110" w:type="dxa"/>
            </w:tcMar>
            <w:vAlign w:val="center"/>
          </w:tcPr>
          <w:p w:rsidR="00FA0032" w:rsidRPr="00985848" w:rsidRDefault="00FA0032" w:rsidP="00C61544">
            <w:pPr>
              <w:rPr>
                <w:rFonts w:cs="Arial"/>
                <w:b/>
                <w:sz w:val="16"/>
                <w:szCs w:val="16"/>
              </w:rPr>
            </w:pPr>
            <w:r w:rsidRPr="00985848">
              <w:rPr>
                <w:rFonts w:cs="Arial"/>
                <w:b/>
                <w:sz w:val="16"/>
                <w:szCs w:val="16"/>
              </w:rPr>
              <w:t>Цели</w:t>
            </w:r>
          </w:p>
        </w:tc>
        <w:tc>
          <w:tcPr>
            <w:tcW w:w="1364" w:type="pct"/>
            <w:tcBorders>
              <w:top w:val="single" w:sz="4" w:space="0" w:color="auto"/>
              <w:left w:val="nil"/>
              <w:bottom w:val="nil"/>
              <w:right w:val="nil"/>
            </w:tcBorders>
            <w:shd w:val="clear" w:color="auto" w:fill="FFFFFF"/>
            <w:tcMar>
              <w:top w:w="110" w:type="dxa"/>
            </w:tcMar>
            <w:vAlign w:val="center"/>
          </w:tcPr>
          <w:p w:rsidR="00FA0032" w:rsidRPr="00985848" w:rsidRDefault="00FA0032" w:rsidP="00C61544">
            <w:pPr>
              <w:rPr>
                <w:rFonts w:cs="Arial"/>
                <w:sz w:val="16"/>
                <w:szCs w:val="16"/>
              </w:rPr>
            </w:pPr>
            <w:r w:rsidRPr="00985848">
              <w:rPr>
                <w:rFonts w:cs="Arial"/>
                <w:b/>
                <w:sz w:val="16"/>
                <w:szCs w:val="16"/>
              </w:rPr>
              <w:t>Данные о результативности</w:t>
            </w:r>
          </w:p>
        </w:tc>
        <w:tc>
          <w:tcPr>
            <w:tcW w:w="530" w:type="pct"/>
            <w:tcBorders>
              <w:top w:val="single" w:sz="4" w:space="0" w:color="auto"/>
              <w:left w:val="nil"/>
              <w:bottom w:val="nil"/>
            </w:tcBorders>
            <w:shd w:val="clear" w:color="auto" w:fill="auto"/>
            <w:tcMar>
              <w:top w:w="110" w:type="dxa"/>
            </w:tcMar>
            <w:vAlign w:val="center"/>
          </w:tcPr>
          <w:p w:rsidR="00FA0032" w:rsidRPr="00985848" w:rsidRDefault="00FA0032" w:rsidP="00C61544">
            <w:pPr>
              <w:jc w:val="center"/>
              <w:rPr>
                <w:rFonts w:cs="Arial"/>
                <w:b/>
                <w:bCs/>
                <w:sz w:val="16"/>
                <w:szCs w:val="16"/>
              </w:rPr>
            </w:pPr>
            <w:r w:rsidRPr="00985848">
              <w:rPr>
                <w:rFonts w:cs="Arial"/>
                <w:b/>
                <w:sz w:val="16"/>
                <w:szCs w:val="16"/>
              </w:rPr>
              <w:t>CC</w:t>
            </w:r>
          </w:p>
        </w:tc>
      </w:tr>
      <w:tr w:rsidR="00FA0032" w:rsidRPr="00985848" w:rsidTr="00C61544">
        <w:trPr>
          <w:cantSplit/>
        </w:trPr>
        <w:tc>
          <w:tcPr>
            <w:tcW w:w="1137" w:type="pct"/>
            <w:tcBorders>
              <w:top w:val="nil"/>
            </w:tcBorders>
            <w:shd w:val="clear" w:color="auto" w:fill="auto"/>
          </w:tcPr>
          <w:p w:rsidR="00FA0032" w:rsidRPr="00FA0032" w:rsidRDefault="00FA0032" w:rsidP="00C61544">
            <w:pPr>
              <w:ind w:leftChars="-1" w:left="1" w:hangingChars="2" w:hanging="3"/>
              <w:rPr>
                <w:rFonts w:cs="Arial"/>
                <w:sz w:val="16"/>
                <w:szCs w:val="16"/>
                <w:lang w:val="ru-RU"/>
              </w:rPr>
            </w:pPr>
            <w:r w:rsidRPr="00FA0032">
              <w:rPr>
                <w:rFonts w:cs="Arial"/>
                <w:sz w:val="16"/>
                <w:szCs w:val="16"/>
                <w:lang w:val="ru-RU"/>
              </w:rPr>
              <w:t>Доля (%) внутренних и внешних участников, удовлетворенных работой Службы конференционного обслуживания ВОИС</w:t>
            </w:r>
          </w:p>
        </w:tc>
        <w:tc>
          <w:tcPr>
            <w:tcW w:w="1136" w:type="pct"/>
            <w:tcBorders>
              <w:top w:val="nil"/>
            </w:tcBorders>
            <w:shd w:val="clear" w:color="auto" w:fill="auto"/>
          </w:tcPr>
          <w:p w:rsidR="00FA0032" w:rsidRPr="00FA0032" w:rsidRDefault="00FA0032" w:rsidP="00C61544">
            <w:pPr>
              <w:autoSpaceDE w:val="0"/>
              <w:autoSpaceDN w:val="0"/>
              <w:adjustRightInd w:val="0"/>
              <w:rPr>
                <w:rFonts w:eastAsia="Batang" w:cs="Arial"/>
                <w:color w:val="002060"/>
                <w:sz w:val="16"/>
                <w:szCs w:val="16"/>
                <w:lang w:val="ru-RU"/>
              </w:rPr>
            </w:pPr>
            <w:r w:rsidRPr="00FA0032">
              <w:rPr>
                <w:rFonts w:cs="Arial"/>
                <w:i/>
                <w:color w:val="002060"/>
                <w:sz w:val="16"/>
                <w:szCs w:val="16"/>
                <w:lang w:val="ru-RU"/>
              </w:rPr>
              <w:t>Обновленные базовые показатели, конец 2013</w:t>
            </w:r>
            <w:r w:rsidRPr="00985848">
              <w:rPr>
                <w:rFonts w:cs="Arial"/>
                <w:i/>
                <w:color w:val="002060"/>
                <w:sz w:val="16"/>
                <w:szCs w:val="16"/>
              </w:rPr>
              <w:t> </w:t>
            </w:r>
            <w:r w:rsidRPr="00FA0032">
              <w:rPr>
                <w:rFonts w:cs="Arial"/>
                <w:i/>
                <w:color w:val="002060"/>
                <w:sz w:val="16"/>
                <w:szCs w:val="16"/>
                <w:lang w:val="ru-RU"/>
              </w:rPr>
              <w:t xml:space="preserve">г.: </w:t>
            </w:r>
            <w:r w:rsidRPr="00FA0032">
              <w:rPr>
                <w:rFonts w:cs="Arial"/>
                <w:i/>
                <w:sz w:val="16"/>
                <w:szCs w:val="16"/>
                <w:lang w:val="ru-RU"/>
              </w:rPr>
              <w:t xml:space="preserve"> </w:t>
            </w:r>
            <w:r w:rsidRPr="00FA0032">
              <w:rPr>
                <w:rFonts w:cs="Arial"/>
                <w:sz w:val="16"/>
                <w:szCs w:val="16"/>
                <w:lang w:val="ru-RU"/>
              </w:rPr>
              <w:t>согласно результатам опроса, проведенного в 2013 г., 98% пользователей конференционных услуг ВОИС признали общий уровень качества этих услуг «отличным» (64%) или «хорошим» (34%).</w:t>
            </w:r>
          </w:p>
          <w:p w:rsidR="00FA0032" w:rsidRPr="00FA0032" w:rsidRDefault="00FA0032" w:rsidP="00C61544">
            <w:pPr>
              <w:rPr>
                <w:rFonts w:cs="Arial"/>
                <w:i/>
                <w:sz w:val="16"/>
                <w:szCs w:val="16"/>
                <w:lang w:val="ru-RU"/>
              </w:rPr>
            </w:pPr>
          </w:p>
          <w:p w:rsidR="00FA0032" w:rsidRPr="00FA0032" w:rsidRDefault="00FA0032" w:rsidP="00C61544">
            <w:pPr>
              <w:rPr>
                <w:rFonts w:cs="Arial"/>
                <w:sz w:val="16"/>
                <w:szCs w:val="16"/>
                <w:lang w:val="ru-RU"/>
              </w:rPr>
            </w:pPr>
            <w:r w:rsidRPr="00FA0032">
              <w:rPr>
                <w:rFonts w:cs="Arial"/>
                <w:i/>
                <w:sz w:val="16"/>
                <w:szCs w:val="16"/>
                <w:lang w:val="ru-RU"/>
              </w:rPr>
              <w:t xml:space="preserve">Исходные базовые показатели ПиБ на 2014–2015 гг.: </w:t>
            </w:r>
            <w:r w:rsidRPr="00FA0032">
              <w:rPr>
                <w:rFonts w:cs="Arial"/>
                <w:sz w:val="16"/>
                <w:szCs w:val="16"/>
                <w:lang w:val="ru-RU"/>
              </w:rPr>
              <w:t>показатели на конец 2013</w:t>
            </w:r>
            <w:r w:rsidRPr="00985848">
              <w:rPr>
                <w:rFonts w:cs="Arial"/>
                <w:sz w:val="16"/>
                <w:szCs w:val="16"/>
              </w:rPr>
              <w:t> </w:t>
            </w:r>
            <w:r w:rsidRPr="00FA0032">
              <w:rPr>
                <w:rFonts w:cs="Arial"/>
                <w:sz w:val="16"/>
                <w:szCs w:val="16"/>
                <w:lang w:val="ru-RU"/>
              </w:rPr>
              <w:t>г.</w:t>
            </w:r>
          </w:p>
        </w:tc>
        <w:tc>
          <w:tcPr>
            <w:tcW w:w="833" w:type="pct"/>
            <w:tcBorders>
              <w:top w:val="nil"/>
            </w:tcBorders>
            <w:shd w:val="clear" w:color="auto" w:fill="auto"/>
            <w:tcMar>
              <w:top w:w="110" w:type="dxa"/>
            </w:tcMar>
          </w:tcPr>
          <w:p w:rsidR="00FA0032" w:rsidRPr="00FA0032" w:rsidRDefault="00FA0032" w:rsidP="00C61544">
            <w:pPr>
              <w:rPr>
                <w:rFonts w:cs="Arial"/>
                <w:sz w:val="16"/>
                <w:szCs w:val="16"/>
                <w:lang w:val="ru-RU"/>
              </w:rPr>
            </w:pPr>
            <w:r w:rsidRPr="00FA0032">
              <w:rPr>
                <w:rFonts w:cs="Arial"/>
                <w:sz w:val="16"/>
                <w:szCs w:val="16"/>
                <w:lang w:val="ru-RU"/>
              </w:rPr>
              <w:t>Увеличение показателя на 10% к 2015</w:t>
            </w:r>
            <w:r w:rsidRPr="00985848">
              <w:rPr>
                <w:rFonts w:cs="Arial"/>
                <w:sz w:val="16"/>
                <w:szCs w:val="16"/>
              </w:rPr>
              <w:t> </w:t>
            </w:r>
            <w:r w:rsidRPr="00FA0032">
              <w:rPr>
                <w:rFonts w:cs="Arial"/>
                <w:sz w:val="16"/>
                <w:szCs w:val="16"/>
                <w:lang w:val="ru-RU"/>
              </w:rPr>
              <w:t>г.</w:t>
            </w:r>
          </w:p>
        </w:tc>
        <w:tc>
          <w:tcPr>
            <w:tcW w:w="1364" w:type="pct"/>
            <w:tcBorders>
              <w:top w:val="nil"/>
            </w:tcBorders>
            <w:shd w:val="clear" w:color="auto" w:fill="FFFFFF"/>
            <w:tcMar>
              <w:top w:w="110" w:type="dxa"/>
            </w:tcMar>
          </w:tcPr>
          <w:p w:rsidR="00FA0032" w:rsidRPr="00FA0032" w:rsidRDefault="00FA0032" w:rsidP="00C61544">
            <w:pPr>
              <w:rPr>
                <w:rFonts w:eastAsia="Batang" w:cs="Arial"/>
                <w:sz w:val="16"/>
                <w:szCs w:val="16"/>
                <w:lang w:val="ru-RU"/>
              </w:rPr>
            </w:pPr>
            <w:r w:rsidRPr="00FA0032">
              <w:rPr>
                <w:rFonts w:cs="Arial"/>
                <w:sz w:val="16"/>
                <w:szCs w:val="16"/>
                <w:lang w:val="ru-RU"/>
              </w:rPr>
              <w:t>Согласно результатам опроса, проведенного в 2014</w:t>
            </w:r>
            <w:r w:rsidRPr="00985848">
              <w:rPr>
                <w:rFonts w:cs="Arial"/>
                <w:sz w:val="16"/>
                <w:szCs w:val="16"/>
              </w:rPr>
              <w:t> </w:t>
            </w:r>
            <w:r w:rsidRPr="00FA0032">
              <w:rPr>
                <w:rFonts w:cs="Arial"/>
                <w:sz w:val="16"/>
                <w:szCs w:val="16"/>
                <w:lang w:val="ru-RU"/>
              </w:rPr>
              <w:t xml:space="preserve">г. и 2015 г., 97% пользователей конференционных услуг ВОИС признали общий уровень качества этих услуг «отличным» или «хорошим» в </w:t>
            </w:r>
            <w:r w:rsidR="00B82873">
              <w:rPr>
                <w:rFonts w:cs="Arial"/>
                <w:sz w:val="16"/>
                <w:szCs w:val="16"/>
                <w:lang w:val="ru-RU"/>
              </w:rPr>
              <w:t>обоих годах</w:t>
            </w:r>
            <w:r w:rsidRPr="00FA0032">
              <w:rPr>
                <w:rFonts w:cs="Arial"/>
                <w:sz w:val="16"/>
                <w:szCs w:val="16"/>
                <w:lang w:val="ru-RU"/>
              </w:rPr>
              <w:t>:</w:t>
            </w:r>
          </w:p>
          <w:p w:rsidR="00FA0032" w:rsidRPr="00985848" w:rsidRDefault="00FA0032" w:rsidP="00FA0032">
            <w:pPr>
              <w:pStyle w:val="ListParagraph"/>
              <w:numPr>
                <w:ilvl w:val="0"/>
                <w:numId w:val="75"/>
              </w:numPr>
              <w:rPr>
                <w:rFonts w:eastAsia="Batang" w:cs="Arial"/>
                <w:sz w:val="16"/>
                <w:szCs w:val="16"/>
              </w:rPr>
            </w:pPr>
            <w:r w:rsidRPr="00985848">
              <w:rPr>
                <w:rFonts w:cs="Arial"/>
                <w:sz w:val="16"/>
                <w:szCs w:val="16"/>
              </w:rPr>
              <w:t>2014 г.: «отличный» (48%) или «хороший» (49%);</w:t>
            </w:r>
          </w:p>
          <w:p w:rsidR="00FA0032" w:rsidRPr="00985848" w:rsidRDefault="00FA0032" w:rsidP="00FA0032">
            <w:pPr>
              <w:pStyle w:val="ListParagraph"/>
              <w:numPr>
                <w:ilvl w:val="0"/>
                <w:numId w:val="75"/>
              </w:numPr>
              <w:rPr>
                <w:rFonts w:eastAsia="Batang" w:cs="Arial"/>
                <w:color w:val="002060"/>
                <w:sz w:val="16"/>
                <w:szCs w:val="16"/>
              </w:rPr>
            </w:pPr>
            <w:r w:rsidRPr="00985848">
              <w:rPr>
                <w:rFonts w:cs="Arial"/>
                <w:sz w:val="16"/>
                <w:szCs w:val="16"/>
              </w:rPr>
              <w:t>2015 г.: «отличный» (60%) или «хороший» (37%);</w:t>
            </w:r>
          </w:p>
          <w:p w:rsidR="00FA0032" w:rsidRPr="00985848" w:rsidRDefault="00FA0032" w:rsidP="00C61544">
            <w:pPr>
              <w:rPr>
                <w:rFonts w:cs="Arial"/>
                <w:sz w:val="16"/>
                <w:szCs w:val="16"/>
              </w:rPr>
            </w:pPr>
          </w:p>
        </w:tc>
        <w:tc>
          <w:tcPr>
            <w:tcW w:w="530" w:type="pct"/>
            <w:tcBorders>
              <w:top w:val="nil"/>
            </w:tcBorders>
            <w:shd w:val="clear" w:color="auto" w:fill="auto"/>
            <w:tcMar>
              <w:top w:w="110" w:type="dxa"/>
            </w:tcMar>
          </w:tcPr>
          <w:p w:rsidR="00FA0032" w:rsidRPr="00985848" w:rsidRDefault="00FA0032" w:rsidP="00C61544">
            <w:pPr>
              <w:jc w:val="center"/>
              <w:rPr>
                <w:rFonts w:cs="Arial"/>
                <w:b/>
                <w:bCs/>
                <w:sz w:val="16"/>
                <w:szCs w:val="16"/>
              </w:rPr>
            </w:pPr>
            <w:r w:rsidRPr="00985848">
              <w:rPr>
                <w:rFonts w:cs="Arial"/>
                <w:b/>
                <w:color w:val="00B050"/>
                <w:sz w:val="16"/>
                <w:szCs w:val="16"/>
              </w:rPr>
              <w:t>Выполнено</w:t>
            </w:r>
          </w:p>
        </w:tc>
      </w:tr>
      <w:tr w:rsidR="00FA0032" w:rsidRPr="00985848" w:rsidTr="00C61544">
        <w:tc>
          <w:tcPr>
            <w:tcW w:w="1137" w:type="pct"/>
            <w:shd w:val="clear" w:color="auto" w:fill="auto"/>
          </w:tcPr>
          <w:p w:rsidR="00FA0032" w:rsidRPr="00FA0032" w:rsidRDefault="00FA0032" w:rsidP="00C61544">
            <w:pPr>
              <w:rPr>
                <w:rFonts w:cs="Arial"/>
                <w:sz w:val="16"/>
                <w:szCs w:val="16"/>
                <w:lang w:val="ru-RU"/>
              </w:rPr>
            </w:pPr>
            <w:r w:rsidRPr="00FA0032">
              <w:rPr>
                <w:rFonts w:cs="Arial"/>
                <w:sz w:val="16"/>
                <w:szCs w:val="16"/>
                <w:lang w:val="ru-RU"/>
              </w:rPr>
              <w:t>Эффективное выполнение лингвистической по</w:t>
            </w:r>
            <w:r w:rsidRPr="00FA0032">
              <w:rPr>
                <w:rFonts w:cs="Arial"/>
                <w:b/>
                <w:sz w:val="16"/>
                <w:szCs w:val="16"/>
                <w:lang w:val="ru-RU"/>
              </w:rPr>
              <w:t>л</w:t>
            </w:r>
            <w:r w:rsidRPr="00FA0032">
              <w:rPr>
                <w:rFonts w:cs="Arial"/>
                <w:sz w:val="16"/>
                <w:szCs w:val="16"/>
                <w:lang w:val="ru-RU"/>
              </w:rPr>
              <w:t>итики ВОИС</w:t>
            </w:r>
          </w:p>
        </w:tc>
        <w:tc>
          <w:tcPr>
            <w:tcW w:w="1136" w:type="pct"/>
            <w:shd w:val="clear" w:color="auto" w:fill="auto"/>
          </w:tcPr>
          <w:p w:rsidR="00FA0032" w:rsidRPr="00FA0032" w:rsidRDefault="00FA0032" w:rsidP="00C61544">
            <w:pPr>
              <w:rPr>
                <w:rFonts w:cs="Arial"/>
                <w:i/>
                <w:sz w:val="16"/>
                <w:szCs w:val="16"/>
                <w:lang w:val="ru-RU"/>
              </w:rPr>
            </w:pPr>
            <w:r w:rsidRPr="00FA0032">
              <w:rPr>
                <w:rFonts w:cs="Arial"/>
                <w:i/>
                <w:color w:val="002060"/>
                <w:sz w:val="16"/>
                <w:szCs w:val="16"/>
                <w:lang w:val="ru-RU"/>
              </w:rPr>
              <w:t>Обновленные базовые показатели, конец 2013</w:t>
            </w:r>
            <w:r w:rsidRPr="00985848">
              <w:rPr>
                <w:rFonts w:cs="Arial"/>
                <w:i/>
                <w:color w:val="002060"/>
                <w:sz w:val="16"/>
                <w:szCs w:val="16"/>
              </w:rPr>
              <w:t> </w:t>
            </w:r>
            <w:r w:rsidRPr="00FA0032">
              <w:rPr>
                <w:rFonts w:cs="Arial"/>
                <w:i/>
                <w:color w:val="002060"/>
                <w:sz w:val="16"/>
                <w:szCs w:val="16"/>
                <w:lang w:val="ru-RU"/>
              </w:rPr>
              <w:t xml:space="preserve">г.: </w:t>
            </w:r>
            <w:r w:rsidRPr="00FA0032">
              <w:rPr>
                <w:rFonts w:cs="Arial"/>
                <w:i/>
                <w:sz w:val="16"/>
                <w:szCs w:val="16"/>
                <w:lang w:val="ru-RU"/>
              </w:rPr>
              <w:t xml:space="preserve"> </w:t>
            </w:r>
            <w:r w:rsidRPr="00FA0032">
              <w:rPr>
                <w:rFonts w:cs="Arial"/>
                <w:color w:val="002060"/>
                <w:sz w:val="16"/>
                <w:szCs w:val="16"/>
                <w:lang w:val="ru-RU"/>
              </w:rPr>
              <w:t>распространение Лингвистической политики на документацию всех постоянных комитетов и основных органов ВОИС.</w:t>
            </w:r>
          </w:p>
          <w:p w:rsidR="00FA0032" w:rsidRPr="00FA0032" w:rsidRDefault="00FA0032" w:rsidP="00C61544">
            <w:pPr>
              <w:rPr>
                <w:rFonts w:cs="Arial"/>
                <w:i/>
                <w:sz w:val="16"/>
                <w:szCs w:val="16"/>
                <w:lang w:val="ru-RU"/>
              </w:rPr>
            </w:pPr>
          </w:p>
          <w:p w:rsidR="00FA0032" w:rsidRPr="00FA0032" w:rsidRDefault="00FA0032" w:rsidP="00C61544">
            <w:pPr>
              <w:rPr>
                <w:rFonts w:cs="Arial"/>
                <w:i/>
                <w:sz w:val="16"/>
                <w:szCs w:val="16"/>
                <w:lang w:val="ru-RU"/>
              </w:rPr>
            </w:pPr>
            <w:r w:rsidRPr="00FA0032">
              <w:rPr>
                <w:rFonts w:cs="Arial"/>
                <w:i/>
                <w:sz w:val="16"/>
                <w:szCs w:val="16"/>
                <w:lang w:val="ru-RU"/>
              </w:rPr>
              <w:t xml:space="preserve">Исходные базовые показатели ПиБ на 2014–2015 гг.: </w:t>
            </w:r>
          </w:p>
          <w:p w:rsidR="00FA0032" w:rsidRPr="00FA0032" w:rsidRDefault="00FA0032" w:rsidP="00C61544">
            <w:pPr>
              <w:rPr>
                <w:rFonts w:cs="Arial"/>
                <w:sz w:val="16"/>
                <w:szCs w:val="16"/>
                <w:lang w:val="ru-RU"/>
              </w:rPr>
            </w:pPr>
            <w:r w:rsidRPr="00FA0032">
              <w:rPr>
                <w:rFonts w:cs="Arial"/>
                <w:sz w:val="16"/>
                <w:szCs w:val="16"/>
                <w:lang w:val="ru-RU"/>
              </w:rPr>
              <w:t>правило о переводе на все языки применяется к документам отдельных комитетов / основных органов;</w:t>
            </w:r>
          </w:p>
          <w:p w:rsidR="00FA0032" w:rsidRPr="00985848" w:rsidRDefault="00FA0032" w:rsidP="00C61544">
            <w:pPr>
              <w:rPr>
                <w:rFonts w:cs="Arial"/>
                <w:sz w:val="16"/>
                <w:szCs w:val="16"/>
              </w:rPr>
            </w:pPr>
            <w:r>
              <w:rPr>
                <w:rFonts w:cs="Arial"/>
                <w:sz w:val="16"/>
                <w:szCs w:val="16"/>
              </w:rPr>
              <w:t>размер</w:t>
            </w:r>
            <w:r w:rsidRPr="00985848">
              <w:rPr>
                <w:rFonts w:cs="Arial"/>
                <w:sz w:val="16"/>
                <w:szCs w:val="16"/>
              </w:rPr>
              <w:t xml:space="preserve"> документов варьируется</w:t>
            </w:r>
          </w:p>
        </w:tc>
        <w:tc>
          <w:tcPr>
            <w:tcW w:w="833" w:type="pct"/>
            <w:shd w:val="clear" w:color="auto" w:fill="auto"/>
            <w:tcMar>
              <w:top w:w="110" w:type="dxa"/>
            </w:tcMar>
          </w:tcPr>
          <w:p w:rsidR="00FA0032" w:rsidRPr="00FA0032" w:rsidRDefault="00FA0032" w:rsidP="00C61544">
            <w:pPr>
              <w:autoSpaceDE w:val="0"/>
              <w:autoSpaceDN w:val="0"/>
              <w:adjustRightInd w:val="0"/>
              <w:rPr>
                <w:rFonts w:cs="Arial"/>
                <w:sz w:val="16"/>
                <w:szCs w:val="16"/>
                <w:lang w:val="ru-RU"/>
              </w:rPr>
            </w:pPr>
            <w:r w:rsidRPr="00FA0032">
              <w:rPr>
                <w:rFonts w:cs="Arial"/>
                <w:sz w:val="16"/>
                <w:szCs w:val="16"/>
                <w:lang w:val="ru-RU"/>
              </w:rPr>
              <w:t>Должен быть обеспечен качественный перевод документов всех комитетов/ основных органов;</w:t>
            </w:r>
          </w:p>
          <w:p w:rsidR="00FA0032" w:rsidRPr="00FA0032" w:rsidRDefault="00FA0032" w:rsidP="00C61544">
            <w:pPr>
              <w:autoSpaceDE w:val="0"/>
              <w:autoSpaceDN w:val="0"/>
              <w:adjustRightInd w:val="0"/>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r w:rsidRPr="00FA0032">
              <w:rPr>
                <w:rFonts w:cs="Arial"/>
                <w:sz w:val="16"/>
                <w:szCs w:val="16"/>
                <w:lang w:val="ru-RU"/>
              </w:rPr>
              <w:t>Размер документов комитетов/ основных органов должен сократиться до</w:t>
            </w:r>
            <w:r w:rsidRPr="00985848">
              <w:rPr>
                <w:rFonts w:cs="Arial"/>
                <w:sz w:val="16"/>
                <w:szCs w:val="16"/>
              </w:rPr>
              <w:t> </w:t>
            </w:r>
            <w:r w:rsidRPr="00FA0032">
              <w:rPr>
                <w:rFonts w:cs="Arial"/>
                <w:sz w:val="16"/>
                <w:szCs w:val="16"/>
                <w:lang w:val="ru-RU"/>
              </w:rPr>
              <w:t>3300 слов</w:t>
            </w:r>
          </w:p>
        </w:tc>
        <w:tc>
          <w:tcPr>
            <w:tcW w:w="1364" w:type="pct"/>
            <w:shd w:val="clear" w:color="auto" w:fill="FFFFFF"/>
            <w:tcMar>
              <w:top w:w="110" w:type="dxa"/>
            </w:tcMar>
          </w:tcPr>
          <w:p w:rsidR="00FA0032" w:rsidRPr="00FA0032" w:rsidRDefault="00FA0032" w:rsidP="00C61544">
            <w:pPr>
              <w:rPr>
                <w:rFonts w:cs="Arial"/>
                <w:sz w:val="16"/>
                <w:szCs w:val="16"/>
                <w:lang w:val="ru-RU"/>
              </w:rPr>
            </w:pPr>
            <w:r w:rsidRPr="00FA0032">
              <w:rPr>
                <w:rFonts w:cs="Arial"/>
                <w:sz w:val="16"/>
                <w:szCs w:val="16"/>
                <w:lang w:val="ru-RU"/>
              </w:rPr>
              <w:t>В 2014–2015</w:t>
            </w:r>
            <w:r w:rsidRPr="00985848">
              <w:rPr>
                <w:rFonts w:cs="Arial"/>
                <w:sz w:val="16"/>
                <w:szCs w:val="16"/>
              </w:rPr>
              <w:t> </w:t>
            </w:r>
            <w:r w:rsidRPr="00FA0032">
              <w:rPr>
                <w:rFonts w:cs="Arial"/>
                <w:sz w:val="16"/>
                <w:szCs w:val="16"/>
                <w:lang w:val="ru-RU"/>
              </w:rPr>
              <w:t>гг., помимо всех комитетов/ основных органов, правило перевода документов на шесть языков было распространено на четыре рабочие группы: (</w:t>
            </w:r>
            <w:r w:rsidRPr="00985848">
              <w:rPr>
                <w:rFonts w:cs="Arial"/>
                <w:sz w:val="16"/>
                <w:szCs w:val="16"/>
              </w:rPr>
              <w:t>i</w:t>
            </w:r>
            <w:r w:rsidRPr="00FA0032">
              <w:rPr>
                <w:rFonts w:cs="Arial"/>
                <w:sz w:val="16"/>
                <w:szCs w:val="16"/>
                <w:lang w:val="ru-RU"/>
              </w:rPr>
              <w:t>)</w:t>
            </w:r>
            <w:r w:rsidRPr="00985848">
              <w:rPr>
                <w:rFonts w:cs="Arial"/>
                <w:sz w:val="16"/>
                <w:szCs w:val="16"/>
              </w:rPr>
              <w:t> </w:t>
            </w:r>
            <w:r w:rsidRPr="00FA0032">
              <w:rPr>
                <w:rFonts w:cs="Arial"/>
                <w:sz w:val="16"/>
                <w:szCs w:val="16"/>
                <w:lang w:val="ru-RU"/>
              </w:rPr>
              <w:t xml:space="preserve">Рабочую группу </w:t>
            </w:r>
            <w:r w:rsidRPr="00985848">
              <w:rPr>
                <w:rFonts w:cs="Arial"/>
                <w:sz w:val="16"/>
                <w:szCs w:val="16"/>
              </w:rPr>
              <w:t>PCT</w:t>
            </w:r>
            <w:r w:rsidRPr="00FA0032">
              <w:rPr>
                <w:rFonts w:cs="Arial"/>
                <w:sz w:val="16"/>
                <w:szCs w:val="16"/>
                <w:lang w:val="ru-RU"/>
              </w:rPr>
              <w:t>; (</w:t>
            </w:r>
            <w:r w:rsidRPr="00985848">
              <w:rPr>
                <w:rFonts w:cs="Arial"/>
                <w:sz w:val="16"/>
                <w:szCs w:val="16"/>
              </w:rPr>
              <w:t>ii</w:t>
            </w:r>
            <w:r w:rsidRPr="00FA0032">
              <w:rPr>
                <w:rFonts w:cs="Arial"/>
                <w:sz w:val="16"/>
                <w:szCs w:val="16"/>
                <w:lang w:val="ru-RU"/>
              </w:rPr>
              <w:t>)</w:t>
            </w:r>
            <w:r w:rsidRPr="00985848">
              <w:rPr>
                <w:rFonts w:cs="Arial"/>
                <w:sz w:val="16"/>
                <w:szCs w:val="16"/>
              </w:rPr>
              <w:t> </w:t>
            </w:r>
            <w:r w:rsidRPr="00FA0032">
              <w:rPr>
                <w:rFonts w:cs="Arial"/>
                <w:sz w:val="16"/>
                <w:szCs w:val="16"/>
                <w:lang w:val="ru-RU"/>
              </w:rPr>
              <w:t>Рабочую группа по правовому развитию Гаагской системы международной регистрации промышленных образцов; (</w:t>
            </w:r>
            <w:r w:rsidRPr="00985848">
              <w:rPr>
                <w:rFonts w:cs="Arial"/>
                <w:sz w:val="16"/>
                <w:szCs w:val="16"/>
              </w:rPr>
              <w:t>iii</w:t>
            </w:r>
            <w:r w:rsidRPr="00FA0032">
              <w:rPr>
                <w:rFonts w:cs="Arial"/>
                <w:sz w:val="16"/>
                <w:szCs w:val="16"/>
                <w:lang w:val="ru-RU"/>
              </w:rPr>
              <w:t>)</w:t>
            </w:r>
            <w:r w:rsidRPr="00985848">
              <w:rPr>
                <w:rFonts w:cs="Arial"/>
                <w:sz w:val="16"/>
                <w:szCs w:val="16"/>
              </w:rPr>
              <w:t> </w:t>
            </w:r>
            <w:r w:rsidRPr="00FA0032">
              <w:rPr>
                <w:rFonts w:cs="Arial"/>
                <w:sz w:val="16"/>
                <w:szCs w:val="16"/>
                <w:lang w:val="ru-RU"/>
              </w:rPr>
              <w:t>Рабочую группу по правовому развитию Мадридской системы международной регистрации знаков и (</w:t>
            </w:r>
            <w:r w:rsidRPr="00985848">
              <w:rPr>
                <w:rFonts w:cs="Arial"/>
                <w:sz w:val="16"/>
                <w:szCs w:val="16"/>
              </w:rPr>
              <w:t>iv</w:t>
            </w:r>
            <w:r w:rsidRPr="00FA0032">
              <w:rPr>
                <w:rFonts w:cs="Arial"/>
                <w:sz w:val="16"/>
                <w:szCs w:val="16"/>
                <w:lang w:val="ru-RU"/>
              </w:rPr>
              <w:t>)</w:t>
            </w:r>
            <w:r w:rsidRPr="00985848">
              <w:rPr>
                <w:rFonts w:cs="Arial"/>
                <w:sz w:val="16"/>
                <w:szCs w:val="16"/>
              </w:rPr>
              <w:t> </w:t>
            </w:r>
            <w:r w:rsidRPr="00FA0032">
              <w:rPr>
                <w:rFonts w:cs="Arial"/>
                <w:sz w:val="16"/>
                <w:szCs w:val="16"/>
                <w:lang w:val="ru-RU"/>
              </w:rPr>
              <w:t>Рабочую группу по пересмотру МПК.</w:t>
            </w: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r w:rsidRPr="00FA0032">
              <w:rPr>
                <w:rFonts w:cs="Arial"/>
                <w:sz w:val="16"/>
                <w:szCs w:val="16"/>
                <w:lang w:val="ru-RU"/>
              </w:rPr>
              <w:t>Около 87% документов, направленных на перевод (3</w:t>
            </w:r>
            <w:r w:rsidRPr="00985848">
              <w:rPr>
                <w:rFonts w:cs="Arial"/>
                <w:sz w:val="16"/>
                <w:szCs w:val="16"/>
              </w:rPr>
              <w:t> </w:t>
            </w:r>
            <w:r w:rsidRPr="00FA0032">
              <w:rPr>
                <w:rFonts w:cs="Arial"/>
                <w:sz w:val="16"/>
                <w:szCs w:val="16"/>
                <w:lang w:val="ru-RU"/>
              </w:rPr>
              <w:t>489 из общего числа 4</w:t>
            </w:r>
            <w:r w:rsidRPr="00985848">
              <w:rPr>
                <w:rFonts w:cs="Arial"/>
                <w:sz w:val="16"/>
                <w:szCs w:val="16"/>
              </w:rPr>
              <w:t> </w:t>
            </w:r>
            <w:r w:rsidRPr="00FA0032">
              <w:rPr>
                <w:rFonts w:cs="Arial"/>
                <w:sz w:val="16"/>
                <w:szCs w:val="16"/>
                <w:lang w:val="ru-RU"/>
              </w:rPr>
              <w:t>030) были короче 3</w:t>
            </w:r>
            <w:r w:rsidRPr="00985848">
              <w:rPr>
                <w:rFonts w:cs="Arial"/>
                <w:sz w:val="16"/>
                <w:szCs w:val="16"/>
              </w:rPr>
              <w:t> </w:t>
            </w:r>
            <w:r w:rsidRPr="00FA0032">
              <w:rPr>
                <w:rFonts w:cs="Arial"/>
                <w:sz w:val="16"/>
                <w:szCs w:val="16"/>
                <w:lang w:val="ru-RU"/>
              </w:rPr>
              <w:t>300 слов.  Остальные документы, которые были длиннее этого порога, в основном представляли собой публикации, стенографические отчеты или другие ежегодные отчеты, документы, содержащие обзор практики государств-членов, а также документы, подготовленные в ответ на конкретные запросы государств-членов, к которым не применяется такое ограничение длины документа.</w:t>
            </w:r>
          </w:p>
        </w:tc>
        <w:tc>
          <w:tcPr>
            <w:tcW w:w="530" w:type="pct"/>
            <w:shd w:val="clear" w:color="auto" w:fill="auto"/>
            <w:tcMar>
              <w:top w:w="110" w:type="dxa"/>
            </w:tcMar>
          </w:tcPr>
          <w:p w:rsidR="00FA0032" w:rsidRPr="00985848" w:rsidRDefault="00FA0032" w:rsidP="00C61544">
            <w:pPr>
              <w:jc w:val="center"/>
              <w:rPr>
                <w:rFonts w:cs="Arial"/>
                <w:b/>
                <w:bCs/>
                <w:color w:val="00B050"/>
                <w:sz w:val="16"/>
                <w:szCs w:val="16"/>
              </w:rPr>
            </w:pPr>
            <w:r w:rsidRPr="00985848">
              <w:rPr>
                <w:rFonts w:cs="Arial"/>
                <w:b/>
                <w:color w:val="00B050"/>
                <w:sz w:val="16"/>
                <w:szCs w:val="16"/>
              </w:rPr>
              <w:t>Выполнено</w:t>
            </w: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
                <w:bCs/>
                <w:color w:val="00B050"/>
                <w:sz w:val="16"/>
                <w:szCs w:val="16"/>
              </w:rPr>
            </w:pPr>
          </w:p>
          <w:p w:rsidR="00FA0032" w:rsidRPr="00985848" w:rsidRDefault="00FA0032" w:rsidP="00C61544">
            <w:pPr>
              <w:jc w:val="center"/>
              <w:rPr>
                <w:rFonts w:cs="Arial"/>
                <w:bCs/>
                <w:color w:val="808080"/>
                <w:sz w:val="16"/>
                <w:szCs w:val="16"/>
              </w:rPr>
            </w:pPr>
            <w:r w:rsidRPr="00985848">
              <w:rPr>
                <w:rFonts w:cs="Arial"/>
                <w:b/>
                <w:color w:val="00B050"/>
                <w:sz w:val="16"/>
                <w:szCs w:val="16"/>
              </w:rPr>
              <w:t>Выполнено</w:t>
            </w:r>
          </w:p>
        </w:tc>
      </w:tr>
      <w:tr w:rsidR="00FA0032" w:rsidRPr="00985848" w:rsidTr="00C61544">
        <w:trPr>
          <w:cantSplit/>
        </w:trPr>
        <w:tc>
          <w:tcPr>
            <w:tcW w:w="1137" w:type="pct"/>
            <w:shd w:val="clear" w:color="auto" w:fill="auto"/>
          </w:tcPr>
          <w:p w:rsidR="00FA0032" w:rsidRPr="00FA0032" w:rsidRDefault="00FA0032" w:rsidP="00C61544">
            <w:pPr>
              <w:rPr>
                <w:rFonts w:cs="Arial"/>
                <w:sz w:val="16"/>
                <w:szCs w:val="16"/>
                <w:lang w:val="ru-RU"/>
              </w:rPr>
            </w:pPr>
            <w:r w:rsidRPr="00FA0032">
              <w:rPr>
                <w:rFonts w:cs="Arial"/>
                <w:spacing w:val="-4"/>
                <w:sz w:val="16"/>
                <w:szCs w:val="16"/>
                <w:lang w:val="ru-RU"/>
              </w:rPr>
              <w:t>Стоимость перевода (цена за слово)</w:t>
            </w:r>
          </w:p>
        </w:tc>
        <w:tc>
          <w:tcPr>
            <w:tcW w:w="1136" w:type="pct"/>
            <w:shd w:val="clear" w:color="auto" w:fill="auto"/>
          </w:tcPr>
          <w:p w:rsidR="00FA0032" w:rsidRPr="00FA0032" w:rsidRDefault="00FA0032" w:rsidP="00C61544">
            <w:pPr>
              <w:autoSpaceDE w:val="0"/>
              <w:autoSpaceDN w:val="0"/>
              <w:adjustRightInd w:val="0"/>
              <w:rPr>
                <w:rFonts w:eastAsia="Batang" w:cs="Arial"/>
                <w:color w:val="002060"/>
                <w:sz w:val="16"/>
                <w:szCs w:val="16"/>
                <w:lang w:val="ru-RU"/>
              </w:rPr>
            </w:pPr>
            <w:r w:rsidRPr="00FA0032">
              <w:rPr>
                <w:rFonts w:cs="Arial"/>
                <w:i/>
                <w:color w:val="002060"/>
                <w:sz w:val="16"/>
                <w:szCs w:val="16"/>
                <w:lang w:val="ru-RU"/>
              </w:rPr>
              <w:t>Обновленные базовые показатели, конец 2013</w:t>
            </w:r>
            <w:r w:rsidRPr="00985848">
              <w:rPr>
                <w:rFonts w:cs="Arial"/>
                <w:i/>
                <w:color w:val="002060"/>
                <w:sz w:val="16"/>
                <w:szCs w:val="16"/>
              </w:rPr>
              <w:t> </w:t>
            </w:r>
            <w:r w:rsidRPr="00FA0032">
              <w:rPr>
                <w:rFonts w:cs="Arial"/>
                <w:i/>
                <w:color w:val="002060"/>
                <w:sz w:val="16"/>
                <w:szCs w:val="16"/>
                <w:lang w:val="ru-RU"/>
              </w:rPr>
              <w:t xml:space="preserve">г.: </w:t>
            </w:r>
            <w:r w:rsidRPr="00FA0032">
              <w:rPr>
                <w:rFonts w:cs="Arial"/>
                <w:i/>
                <w:sz w:val="16"/>
                <w:szCs w:val="16"/>
                <w:lang w:val="ru-RU"/>
              </w:rPr>
              <w:t xml:space="preserve"> </w:t>
            </w:r>
            <w:r w:rsidRPr="00FA0032">
              <w:rPr>
                <w:rFonts w:cs="Arial"/>
                <w:color w:val="002060"/>
                <w:sz w:val="16"/>
                <w:szCs w:val="16"/>
                <w:lang w:val="ru-RU"/>
              </w:rPr>
              <w:t>в среднем 0,63</w:t>
            </w:r>
            <w:r w:rsidRPr="00985848">
              <w:rPr>
                <w:rFonts w:cs="Arial"/>
                <w:color w:val="002060"/>
                <w:sz w:val="16"/>
                <w:szCs w:val="16"/>
              </w:rPr>
              <w:t> </w:t>
            </w:r>
            <w:r w:rsidRPr="00FA0032">
              <w:rPr>
                <w:rFonts w:cs="Arial"/>
                <w:color w:val="002060"/>
                <w:sz w:val="16"/>
                <w:szCs w:val="16"/>
                <w:lang w:val="ru-RU"/>
              </w:rPr>
              <w:t>франка за слово</w:t>
            </w:r>
          </w:p>
          <w:p w:rsidR="00FA0032" w:rsidRPr="00FA0032" w:rsidRDefault="00FA0032" w:rsidP="00C61544">
            <w:pPr>
              <w:keepNext/>
              <w:rPr>
                <w:rFonts w:cs="Arial"/>
                <w:i/>
                <w:sz w:val="16"/>
                <w:szCs w:val="16"/>
                <w:lang w:val="ru-RU"/>
              </w:rPr>
            </w:pPr>
          </w:p>
          <w:p w:rsidR="00FA0032" w:rsidRPr="00FA0032" w:rsidRDefault="00FA0032" w:rsidP="00C61544">
            <w:pPr>
              <w:rPr>
                <w:rFonts w:cs="Arial"/>
                <w:sz w:val="16"/>
                <w:szCs w:val="16"/>
                <w:lang w:val="ru-RU"/>
              </w:rPr>
            </w:pPr>
            <w:r w:rsidRPr="00FA0032">
              <w:rPr>
                <w:rFonts w:cs="Arial"/>
                <w:i/>
                <w:sz w:val="16"/>
                <w:szCs w:val="16"/>
                <w:lang w:val="ru-RU"/>
              </w:rPr>
              <w:t>Исходные базовые показатели ПиБ на 2014–2015 гг.:</w:t>
            </w:r>
            <w:r w:rsidRPr="00FA0032">
              <w:rPr>
                <w:rFonts w:cs="Arial"/>
                <w:sz w:val="16"/>
                <w:szCs w:val="16"/>
                <w:lang w:val="ru-RU"/>
              </w:rPr>
              <w:t xml:space="preserve"> будет определено</w:t>
            </w:r>
          </w:p>
          <w:p w:rsidR="00FA0032" w:rsidRPr="00FA0032" w:rsidRDefault="00FA0032" w:rsidP="00C61544">
            <w:pPr>
              <w:rPr>
                <w:rFonts w:cs="Arial"/>
                <w:sz w:val="16"/>
                <w:szCs w:val="16"/>
                <w:lang w:val="ru-RU"/>
              </w:rPr>
            </w:pPr>
          </w:p>
        </w:tc>
        <w:tc>
          <w:tcPr>
            <w:tcW w:w="833" w:type="pct"/>
            <w:shd w:val="clear" w:color="auto" w:fill="auto"/>
            <w:tcMar>
              <w:top w:w="110" w:type="dxa"/>
            </w:tcMar>
          </w:tcPr>
          <w:p w:rsidR="00FA0032" w:rsidRPr="00FA0032" w:rsidRDefault="00FA0032" w:rsidP="00C61544">
            <w:pPr>
              <w:rPr>
                <w:rFonts w:eastAsia="Batang" w:cs="Arial"/>
                <w:i/>
                <w:color w:val="002060"/>
                <w:sz w:val="16"/>
                <w:szCs w:val="16"/>
                <w:lang w:val="ru-RU"/>
              </w:rPr>
            </w:pPr>
            <w:r w:rsidRPr="00FA0032">
              <w:rPr>
                <w:rFonts w:cs="Arial"/>
                <w:i/>
                <w:color w:val="002060"/>
                <w:sz w:val="16"/>
                <w:szCs w:val="16"/>
                <w:lang w:val="ru-RU"/>
              </w:rPr>
              <w:t>Целевой показатель:</w:t>
            </w:r>
          </w:p>
          <w:p w:rsidR="00FA0032" w:rsidRPr="00FA0032" w:rsidRDefault="00FA0032" w:rsidP="00C61544">
            <w:pPr>
              <w:rPr>
                <w:rFonts w:eastAsia="Batang" w:cs="Arial"/>
                <w:color w:val="002060"/>
                <w:sz w:val="16"/>
                <w:szCs w:val="16"/>
                <w:lang w:val="ru-RU"/>
              </w:rPr>
            </w:pPr>
            <w:r w:rsidRPr="00FA0032">
              <w:rPr>
                <w:rFonts w:cs="Arial"/>
                <w:color w:val="002060"/>
                <w:sz w:val="16"/>
                <w:szCs w:val="16"/>
                <w:lang w:val="ru-RU"/>
              </w:rPr>
              <w:t>поддержание средней стоимости перевода.</w:t>
            </w:r>
          </w:p>
          <w:p w:rsidR="00FA0032" w:rsidRPr="00FA0032" w:rsidRDefault="00FA0032" w:rsidP="00C61544">
            <w:pPr>
              <w:rPr>
                <w:rFonts w:eastAsia="Batang" w:cs="Arial"/>
                <w:color w:val="002060"/>
                <w:sz w:val="16"/>
                <w:szCs w:val="16"/>
                <w:lang w:val="ru-RU"/>
              </w:rPr>
            </w:pPr>
          </w:p>
          <w:p w:rsidR="00FA0032" w:rsidRPr="00FA0032" w:rsidRDefault="00FA0032" w:rsidP="00C61544">
            <w:pPr>
              <w:rPr>
                <w:rFonts w:eastAsia="Batang" w:cs="Arial"/>
                <w:sz w:val="16"/>
                <w:szCs w:val="16"/>
                <w:lang w:val="ru-RU"/>
              </w:rPr>
            </w:pPr>
            <w:r w:rsidRPr="00FA0032">
              <w:rPr>
                <w:rFonts w:cs="Arial"/>
                <w:i/>
                <w:sz w:val="16"/>
                <w:szCs w:val="16"/>
                <w:lang w:val="ru-RU"/>
              </w:rPr>
              <w:t>Исходные целевые показатели ПиБ на 2014–2015</w:t>
            </w:r>
            <w:r>
              <w:rPr>
                <w:rFonts w:cs="Arial"/>
                <w:i/>
                <w:sz w:val="16"/>
                <w:szCs w:val="16"/>
              </w:rPr>
              <w:t> </w:t>
            </w:r>
            <w:r w:rsidRPr="00FA0032">
              <w:rPr>
                <w:rFonts w:cs="Arial"/>
                <w:i/>
                <w:sz w:val="16"/>
                <w:szCs w:val="16"/>
                <w:lang w:val="ru-RU"/>
              </w:rPr>
              <w:t xml:space="preserve">гг.: </w:t>
            </w:r>
            <w:r w:rsidRPr="00FA0032">
              <w:rPr>
                <w:rFonts w:cs="Arial"/>
                <w:sz w:val="16"/>
                <w:szCs w:val="16"/>
                <w:lang w:val="ru-RU"/>
              </w:rPr>
              <w:t>будет определено позднее.</w:t>
            </w:r>
          </w:p>
          <w:p w:rsidR="00FA0032" w:rsidRPr="00FA0032" w:rsidRDefault="00FA0032" w:rsidP="00C61544">
            <w:pPr>
              <w:rPr>
                <w:rFonts w:cs="Arial"/>
                <w:sz w:val="16"/>
                <w:szCs w:val="16"/>
                <w:lang w:val="ru-RU"/>
              </w:rPr>
            </w:pPr>
          </w:p>
        </w:tc>
        <w:tc>
          <w:tcPr>
            <w:tcW w:w="1364" w:type="pct"/>
            <w:shd w:val="clear" w:color="auto" w:fill="FFFFFF"/>
            <w:tcMar>
              <w:top w:w="110" w:type="dxa"/>
            </w:tcMar>
          </w:tcPr>
          <w:p w:rsidR="00FA0032" w:rsidRPr="00FA0032" w:rsidRDefault="00FA0032" w:rsidP="00C61544">
            <w:pPr>
              <w:rPr>
                <w:rFonts w:cs="Arial"/>
                <w:sz w:val="16"/>
                <w:szCs w:val="16"/>
                <w:lang w:val="ru-RU"/>
              </w:rPr>
            </w:pPr>
            <w:r w:rsidRPr="00FA0032">
              <w:rPr>
                <w:rFonts w:cs="Arial"/>
                <w:sz w:val="16"/>
                <w:szCs w:val="16"/>
                <w:lang w:val="ru-RU"/>
              </w:rPr>
              <w:t>Стоимость перевода за слово составила:</w:t>
            </w:r>
          </w:p>
          <w:p w:rsidR="00FA0032" w:rsidRPr="00FA0032" w:rsidRDefault="00FA0032" w:rsidP="00C61544">
            <w:pPr>
              <w:rPr>
                <w:rFonts w:cs="Arial"/>
                <w:sz w:val="16"/>
                <w:szCs w:val="16"/>
                <w:lang w:val="ru-RU"/>
              </w:rPr>
            </w:pPr>
            <w:r w:rsidRPr="00FA0032">
              <w:rPr>
                <w:rFonts w:cs="Arial"/>
                <w:sz w:val="16"/>
                <w:szCs w:val="16"/>
                <w:lang w:val="ru-RU"/>
              </w:rPr>
              <w:t>– 0,59 шв. франка в 2014</w:t>
            </w:r>
            <w:r w:rsidRPr="00985848">
              <w:rPr>
                <w:rFonts w:cs="Arial"/>
                <w:sz w:val="16"/>
                <w:szCs w:val="16"/>
              </w:rPr>
              <w:t> </w:t>
            </w:r>
            <w:r w:rsidRPr="00FA0032">
              <w:rPr>
                <w:rFonts w:cs="Arial"/>
                <w:sz w:val="16"/>
                <w:szCs w:val="16"/>
                <w:lang w:val="ru-RU"/>
              </w:rPr>
              <w:t>г. (снижение на 6,3% по сравнению с 2013</w:t>
            </w:r>
            <w:r w:rsidRPr="00985848">
              <w:rPr>
                <w:rFonts w:cs="Arial"/>
                <w:sz w:val="16"/>
                <w:szCs w:val="16"/>
              </w:rPr>
              <w:t> </w:t>
            </w:r>
            <w:r w:rsidRPr="00FA0032">
              <w:rPr>
                <w:rFonts w:cs="Arial"/>
                <w:sz w:val="16"/>
                <w:szCs w:val="16"/>
                <w:lang w:val="ru-RU"/>
              </w:rPr>
              <w:t>г.)</w:t>
            </w:r>
          </w:p>
          <w:p w:rsidR="00FA0032" w:rsidRPr="00FA0032" w:rsidRDefault="00FA0032" w:rsidP="00C61544">
            <w:pPr>
              <w:rPr>
                <w:rFonts w:cs="Arial"/>
                <w:sz w:val="16"/>
                <w:szCs w:val="16"/>
                <w:lang w:val="ru-RU"/>
              </w:rPr>
            </w:pPr>
            <w:r w:rsidRPr="00FA0032">
              <w:rPr>
                <w:rFonts w:cs="Arial"/>
                <w:sz w:val="16"/>
                <w:szCs w:val="16"/>
                <w:lang w:val="ru-RU"/>
              </w:rPr>
              <w:t>– 0,57 шв. франка в 2015</w:t>
            </w:r>
            <w:r w:rsidRPr="00985848">
              <w:rPr>
                <w:rFonts w:cs="Arial"/>
                <w:sz w:val="16"/>
                <w:szCs w:val="16"/>
              </w:rPr>
              <w:t> </w:t>
            </w:r>
            <w:r w:rsidRPr="00FA0032">
              <w:rPr>
                <w:rFonts w:cs="Arial"/>
                <w:sz w:val="16"/>
                <w:szCs w:val="16"/>
                <w:lang w:val="ru-RU"/>
              </w:rPr>
              <w:t>г. (снижение на 3,4% по сравнению с 2014</w:t>
            </w:r>
            <w:r w:rsidRPr="00985848">
              <w:rPr>
                <w:rFonts w:cs="Arial"/>
                <w:sz w:val="16"/>
                <w:szCs w:val="16"/>
              </w:rPr>
              <w:t> </w:t>
            </w:r>
            <w:r w:rsidRPr="00FA0032">
              <w:rPr>
                <w:rFonts w:cs="Arial"/>
                <w:sz w:val="16"/>
                <w:szCs w:val="16"/>
                <w:lang w:val="ru-RU"/>
              </w:rPr>
              <w:t xml:space="preserve">г.) </w:t>
            </w:r>
          </w:p>
          <w:p w:rsidR="00FA0032" w:rsidRPr="00FA0032" w:rsidRDefault="00FA0032" w:rsidP="00C61544">
            <w:pPr>
              <w:rPr>
                <w:rFonts w:cs="Arial"/>
                <w:sz w:val="16"/>
                <w:szCs w:val="16"/>
                <w:lang w:val="ru-RU"/>
              </w:rPr>
            </w:pPr>
          </w:p>
          <w:p w:rsidR="00FA0032" w:rsidRPr="00FA0032" w:rsidRDefault="00FA0032" w:rsidP="00C61544">
            <w:pPr>
              <w:rPr>
                <w:rFonts w:cs="Arial"/>
                <w:sz w:val="16"/>
                <w:szCs w:val="16"/>
                <w:lang w:val="ru-RU"/>
              </w:rPr>
            </w:pPr>
            <w:r w:rsidRPr="00FA0032">
              <w:rPr>
                <w:rFonts w:cs="Arial"/>
                <w:sz w:val="16"/>
                <w:szCs w:val="16"/>
                <w:lang w:val="ru-RU"/>
              </w:rPr>
              <w:t>В 2014 г. общий объем переводов составил 15,03</w:t>
            </w:r>
            <w:r>
              <w:rPr>
                <w:rFonts w:cs="Arial"/>
                <w:sz w:val="16"/>
                <w:szCs w:val="16"/>
              </w:rPr>
              <w:t> </w:t>
            </w:r>
            <w:r w:rsidRPr="00FA0032">
              <w:rPr>
                <w:rFonts w:cs="Arial"/>
                <w:sz w:val="16"/>
                <w:szCs w:val="16"/>
                <w:lang w:val="ru-RU"/>
              </w:rPr>
              <w:t>млн. слов (45</w:t>
            </w:r>
            <w:r>
              <w:rPr>
                <w:rFonts w:cs="Arial"/>
                <w:sz w:val="16"/>
                <w:szCs w:val="16"/>
              </w:rPr>
              <w:t> </w:t>
            </w:r>
            <w:r w:rsidRPr="00FA0032">
              <w:rPr>
                <w:rFonts w:cs="Arial"/>
                <w:sz w:val="16"/>
                <w:szCs w:val="16"/>
                <w:lang w:val="ru-RU"/>
              </w:rPr>
              <w:t>537</w:t>
            </w:r>
            <w:r>
              <w:rPr>
                <w:rFonts w:cs="Arial"/>
                <w:sz w:val="16"/>
                <w:szCs w:val="16"/>
              </w:rPr>
              <w:t> </w:t>
            </w:r>
            <w:r w:rsidRPr="00FA0032">
              <w:rPr>
                <w:rFonts w:cs="Arial"/>
                <w:sz w:val="16"/>
                <w:szCs w:val="16"/>
                <w:lang w:val="ru-RU"/>
              </w:rPr>
              <w:t>стандартных страниц ООН), в 2015 г. – 15,32 млн. слов (46</w:t>
            </w:r>
            <w:r w:rsidRPr="00985848">
              <w:rPr>
                <w:rFonts w:cs="Arial"/>
                <w:sz w:val="16"/>
                <w:szCs w:val="16"/>
              </w:rPr>
              <w:t> </w:t>
            </w:r>
            <w:r w:rsidRPr="00FA0032">
              <w:rPr>
                <w:rFonts w:cs="Arial"/>
                <w:sz w:val="16"/>
                <w:szCs w:val="16"/>
                <w:lang w:val="ru-RU"/>
              </w:rPr>
              <w:t>420 страниц).</w:t>
            </w:r>
          </w:p>
          <w:p w:rsidR="00FA0032" w:rsidRPr="00FA0032" w:rsidRDefault="00FA0032" w:rsidP="00C61544">
            <w:pPr>
              <w:rPr>
                <w:rFonts w:cs="Arial"/>
                <w:sz w:val="16"/>
                <w:szCs w:val="16"/>
                <w:lang w:val="ru-RU"/>
              </w:rPr>
            </w:pPr>
          </w:p>
        </w:tc>
        <w:tc>
          <w:tcPr>
            <w:tcW w:w="530" w:type="pct"/>
            <w:shd w:val="clear" w:color="auto" w:fill="auto"/>
            <w:tcMar>
              <w:top w:w="110" w:type="dxa"/>
            </w:tcMar>
          </w:tcPr>
          <w:p w:rsidR="00FA0032" w:rsidRPr="00985848" w:rsidRDefault="00FA0032" w:rsidP="00C61544">
            <w:pPr>
              <w:keepNext/>
              <w:keepLines/>
              <w:jc w:val="center"/>
              <w:rPr>
                <w:rFonts w:cs="Arial"/>
                <w:bCs/>
                <w:color w:val="808080"/>
                <w:sz w:val="16"/>
                <w:szCs w:val="16"/>
              </w:rPr>
            </w:pPr>
            <w:r w:rsidRPr="00985848">
              <w:rPr>
                <w:rFonts w:cs="Arial"/>
                <w:b/>
                <w:color w:val="00B050"/>
                <w:sz w:val="16"/>
                <w:szCs w:val="16"/>
              </w:rPr>
              <w:t>Выполнено</w:t>
            </w:r>
          </w:p>
        </w:tc>
      </w:tr>
      <w:tr w:rsidR="00FA0032" w:rsidRPr="00985848" w:rsidTr="00C61544">
        <w:trPr>
          <w:cantSplit/>
        </w:trPr>
        <w:tc>
          <w:tcPr>
            <w:tcW w:w="1137" w:type="pct"/>
            <w:shd w:val="clear" w:color="auto" w:fill="auto"/>
          </w:tcPr>
          <w:p w:rsidR="00FA0032" w:rsidRPr="00985848" w:rsidRDefault="00FA0032" w:rsidP="00C61544">
            <w:pPr>
              <w:rPr>
                <w:rFonts w:cs="Arial"/>
                <w:sz w:val="16"/>
                <w:szCs w:val="16"/>
              </w:rPr>
            </w:pPr>
            <w:r w:rsidRPr="00985848">
              <w:rPr>
                <w:rFonts w:cs="Arial"/>
                <w:sz w:val="16"/>
                <w:szCs w:val="16"/>
              </w:rPr>
              <w:t>Качество переводов</w:t>
            </w:r>
          </w:p>
        </w:tc>
        <w:tc>
          <w:tcPr>
            <w:tcW w:w="1136" w:type="pct"/>
            <w:shd w:val="clear" w:color="auto" w:fill="auto"/>
          </w:tcPr>
          <w:p w:rsidR="00FA0032" w:rsidRPr="00FA0032" w:rsidRDefault="00FA0032" w:rsidP="00C61544">
            <w:pPr>
              <w:autoSpaceDE w:val="0"/>
              <w:autoSpaceDN w:val="0"/>
              <w:adjustRightInd w:val="0"/>
              <w:rPr>
                <w:rFonts w:eastAsia="Batang" w:cs="Arial"/>
                <w:color w:val="002060"/>
                <w:sz w:val="16"/>
                <w:szCs w:val="16"/>
                <w:lang w:val="ru-RU"/>
              </w:rPr>
            </w:pPr>
            <w:r w:rsidRPr="00FA0032">
              <w:rPr>
                <w:rFonts w:cs="Arial"/>
                <w:i/>
                <w:color w:val="002060"/>
                <w:sz w:val="16"/>
                <w:szCs w:val="16"/>
                <w:lang w:val="ru-RU"/>
              </w:rPr>
              <w:t>Обновленные базовые показатели, конец 2013</w:t>
            </w:r>
            <w:r w:rsidRPr="00985848">
              <w:rPr>
                <w:rFonts w:cs="Arial"/>
                <w:i/>
                <w:color w:val="002060"/>
                <w:sz w:val="16"/>
                <w:szCs w:val="16"/>
              </w:rPr>
              <w:t> </w:t>
            </w:r>
            <w:r w:rsidRPr="00FA0032">
              <w:rPr>
                <w:rFonts w:cs="Arial"/>
                <w:i/>
                <w:color w:val="002060"/>
                <w:sz w:val="16"/>
                <w:szCs w:val="16"/>
                <w:lang w:val="ru-RU"/>
              </w:rPr>
              <w:t xml:space="preserve">г.: </w:t>
            </w:r>
            <w:r w:rsidRPr="00FA0032">
              <w:rPr>
                <w:rFonts w:cs="Arial"/>
                <w:color w:val="002060"/>
                <w:sz w:val="16"/>
                <w:szCs w:val="16"/>
                <w:lang w:val="ru-RU"/>
              </w:rPr>
              <w:t>Доля (%) документов, соответствующих критериям качества</w:t>
            </w:r>
            <w:r w:rsidRPr="00FA0032">
              <w:rPr>
                <w:rFonts w:cs="Arial"/>
                <w:sz w:val="16"/>
                <w:szCs w:val="16"/>
                <w:lang w:val="ru-RU"/>
              </w:rPr>
              <w:t xml:space="preserve"> </w:t>
            </w:r>
          </w:p>
          <w:p w:rsidR="00FA0032" w:rsidRPr="00FA0032" w:rsidRDefault="00FA0032" w:rsidP="00C61544">
            <w:pPr>
              <w:keepNext/>
              <w:rPr>
                <w:rFonts w:cs="Arial"/>
                <w:i/>
                <w:sz w:val="16"/>
                <w:szCs w:val="16"/>
                <w:lang w:val="ru-RU"/>
              </w:rPr>
            </w:pPr>
          </w:p>
          <w:p w:rsidR="00FA0032" w:rsidRPr="00FA0032" w:rsidRDefault="00FA0032" w:rsidP="00C61544">
            <w:pPr>
              <w:rPr>
                <w:rFonts w:cs="Arial"/>
                <w:sz w:val="16"/>
                <w:szCs w:val="16"/>
                <w:lang w:val="ru-RU"/>
              </w:rPr>
            </w:pPr>
            <w:r w:rsidRPr="00FA0032">
              <w:rPr>
                <w:rFonts w:cs="Arial"/>
                <w:i/>
                <w:sz w:val="16"/>
                <w:szCs w:val="16"/>
                <w:lang w:val="ru-RU"/>
              </w:rPr>
              <w:t xml:space="preserve">Исходные базовые показатели ПиБ на 2014–2015 гг.: </w:t>
            </w:r>
            <w:r w:rsidRPr="00FA0032">
              <w:rPr>
                <w:rFonts w:cs="Arial"/>
                <w:sz w:val="16"/>
                <w:szCs w:val="16"/>
                <w:lang w:val="ru-RU"/>
              </w:rPr>
              <w:t>Доля (%) документов, соответствующих критериям качества</w:t>
            </w:r>
          </w:p>
        </w:tc>
        <w:tc>
          <w:tcPr>
            <w:tcW w:w="833" w:type="pct"/>
            <w:shd w:val="clear" w:color="auto" w:fill="auto"/>
            <w:tcMar>
              <w:top w:w="110" w:type="dxa"/>
            </w:tcMar>
          </w:tcPr>
          <w:p w:rsidR="00FA0032" w:rsidRPr="00985848" w:rsidRDefault="00FA0032" w:rsidP="00C61544">
            <w:pPr>
              <w:autoSpaceDE w:val="0"/>
              <w:autoSpaceDN w:val="0"/>
              <w:adjustRightInd w:val="0"/>
              <w:rPr>
                <w:rFonts w:eastAsia="Batang" w:cs="Arial"/>
                <w:sz w:val="16"/>
                <w:szCs w:val="16"/>
              </w:rPr>
            </w:pPr>
            <w:r w:rsidRPr="00985848">
              <w:rPr>
                <w:rFonts w:cs="Arial"/>
                <w:sz w:val="16"/>
                <w:szCs w:val="16"/>
              </w:rPr>
              <w:t>Доля (%) документов, соответствующих критериям качества</w:t>
            </w:r>
          </w:p>
          <w:p w:rsidR="00FA0032" w:rsidRPr="00985848" w:rsidRDefault="00FA0032" w:rsidP="00C61544">
            <w:pPr>
              <w:autoSpaceDE w:val="0"/>
              <w:autoSpaceDN w:val="0"/>
              <w:adjustRightInd w:val="0"/>
              <w:rPr>
                <w:rFonts w:eastAsia="Batang" w:cs="Arial"/>
                <w:sz w:val="16"/>
                <w:szCs w:val="16"/>
              </w:rPr>
            </w:pPr>
          </w:p>
          <w:p w:rsidR="00FA0032" w:rsidRPr="00985848" w:rsidRDefault="00FA0032" w:rsidP="00C61544">
            <w:pPr>
              <w:autoSpaceDE w:val="0"/>
              <w:autoSpaceDN w:val="0"/>
              <w:adjustRightInd w:val="0"/>
              <w:rPr>
                <w:rFonts w:eastAsia="Batang" w:cs="Arial"/>
                <w:sz w:val="16"/>
                <w:szCs w:val="16"/>
              </w:rPr>
            </w:pPr>
          </w:p>
        </w:tc>
        <w:tc>
          <w:tcPr>
            <w:tcW w:w="1364" w:type="pct"/>
            <w:shd w:val="clear" w:color="auto" w:fill="FFFFFF"/>
            <w:tcMar>
              <w:top w:w="110" w:type="dxa"/>
            </w:tcMar>
          </w:tcPr>
          <w:p w:rsidR="00FA0032" w:rsidRPr="00FA0032" w:rsidRDefault="00FA0032" w:rsidP="00C61544">
            <w:pPr>
              <w:rPr>
                <w:rFonts w:cs="Arial"/>
                <w:sz w:val="16"/>
                <w:szCs w:val="16"/>
                <w:lang w:val="ru-RU"/>
              </w:rPr>
            </w:pPr>
            <w:r w:rsidRPr="00FA0032">
              <w:rPr>
                <w:rFonts w:cs="Arial"/>
                <w:sz w:val="16"/>
                <w:szCs w:val="16"/>
                <w:lang w:val="ru-RU"/>
              </w:rPr>
              <w:t>В 2014–2015</w:t>
            </w:r>
            <w:r w:rsidRPr="00985848">
              <w:rPr>
                <w:rFonts w:cs="Arial"/>
                <w:sz w:val="16"/>
                <w:szCs w:val="16"/>
              </w:rPr>
              <w:t> </w:t>
            </w:r>
            <w:r w:rsidRPr="00FA0032">
              <w:rPr>
                <w:rFonts w:cs="Arial"/>
                <w:sz w:val="16"/>
                <w:szCs w:val="16"/>
                <w:lang w:val="ru-RU"/>
              </w:rPr>
              <w:t>гг. уровень удовлетворенности пользователей качеством перевода составил 96%.</w:t>
            </w:r>
          </w:p>
        </w:tc>
        <w:tc>
          <w:tcPr>
            <w:tcW w:w="530" w:type="pct"/>
            <w:shd w:val="clear" w:color="auto" w:fill="auto"/>
            <w:tcMar>
              <w:top w:w="110" w:type="dxa"/>
            </w:tcMar>
          </w:tcPr>
          <w:p w:rsidR="00FA0032" w:rsidRPr="00985848" w:rsidRDefault="00FA0032" w:rsidP="00C61544">
            <w:pPr>
              <w:keepNext/>
              <w:keepLines/>
              <w:ind w:right="-72"/>
              <w:jc w:val="center"/>
              <w:rPr>
                <w:rFonts w:cs="Arial"/>
                <w:bCs/>
                <w:color w:val="808080"/>
                <w:sz w:val="16"/>
                <w:szCs w:val="16"/>
              </w:rPr>
            </w:pPr>
            <w:r w:rsidRPr="00985848">
              <w:rPr>
                <w:rFonts w:cs="Arial"/>
                <w:b/>
                <w:color w:val="808080" w:themeColor="background1" w:themeShade="80"/>
                <w:sz w:val="16"/>
                <w:szCs w:val="16"/>
              </w:rPr>
              <w:t>Не подлежит оценке</w:t>
            </w:r>
          </w:p>
        </w:tc>
      </w:tr>
      <w:tr w:rsidR="00FA0032" w:rsidRPr="00985848" w:rsidTr="00C61544">
        <w:trPr>
          <w:cantSplit/>
        </w:trPr>
        <w:tc>
          <w:tcPr>
            <w:tcW w:w="1137" w:type="pct"/>
            <w:shd w:val="clear" w:color="auto" w:fill="auto"/>
          </w:tcPr>
          <w:p w:rsidR="00FA0032" w:rsidRPr="00FA0032" w:rsidRDefault="00FA0032" w:rsidP="00C61544">
            <w:pPr>
              <w:rPr>
                <w:rFonts w:cs="Arial"/>
                <w:sz w:val="16"/>
                <w:szCs w:val="16"/>
                <w:lang w:val="ru-RU"/>
              </w:rPr>
            </w:pPr>
            <w:r w:rsidRPr="00FA0032">
              <w:rPr>
                <w:rFonts w:cs="Arial"/>
                <w:sz w:val="16"/>
                <w:szCs w:val="16"/>
                <w:lang w:val="ru-RU"/>
              </w:rPr>
              <w:t xml:space="preserve">Сокращение расходов на типографские услуги (в пересчете на страницу) </w:t>
            </w:r>
          </w:p>
        </w:tc>
        <w:tc>
          <w:tcPr>
            <w:tcW w:w="1136" w:type="pct"/>
            <w:shd w:val="clear" w:color="auto" w:fill="auto"/>
          </w:tcPr>
          <w:p w:rsidR="00FA0032" w:rsidRPr="00FA0032" w:rsidRDefault="00FA0032" w:rsidP="00C61544">
            <w:pPr>
              <w:autoSpaceDE w:val="0"/>
              <w:autoSpaceDN w:val="0"/>
              <w:adjustRightInd w:val="0"/>
              <w:rPr>
                <w:rFonts w:eastAsia="Batang" w:cs="Arial"/>
                <w:color w:val="002060"/>
                <w:sz w:val="16"/>
                <w:szCs w:val="16"/>
                <w:lang w:val="ru-RU"/>
              </w:rPr>
            </w:pPr>
            <w:r w:rsidRPr="00FA0032">
              <w:rPr>
                <w:rFonts w:cs="Arial"/>
                <w:i/>
                <w:color w:val="002060"/>
                <w:sz w:val="16"/>
                <w:szCs w:val="16"/>
                <w:lang w:val="ru-RU"/>
              </w:rPr>
              <w:t>Обновленные базовые показатели, конец 2013</w:t>
            </w:r>
            <w:r w:rsidRPr="00985848">
              <w:rPr>
                <w:rFonts w:cs="Arial"/>
                <w:i/>
                <w:color w:val="002060"/>
                <w:sz w:val="16"/>
                <w:szCs w:val="16"/>
              </w:rPr>
              <w:t> </w:t>
            </w:r>
            <w:r w:rsidRPr="00FA0032">
              <w:rPr>
                <w:rFonts w:cs="Arial"/>
                <w:i/>
                <w:color w:val="002060"/>
                <w:sz w:val="16"/>
                <w:szCs w:val="16"/>
                <w:lang w:val="ru-RU"/>
              </w:rPr>
              <w:t xml:space="preserve">г.: </w:t>
            </w:r>
            <w:r w:rsidRPr="00FA0032">
              <w:rPr>
                <w:rFonts w:cs="Arial"/>
                <w:color w:val="002060"/>
                <w:sz w:val="16"/>
                <w:szCs w:val="16"/>
                <w:lang w:val="ru-RU"/>
              </w:rPr>
              <w:t>В 2013</w:t>
            </w:r>
            <w:r w:rsidRPr="00985848">
              <w:rPr>
                <w:rFonts w:cs="Arial"/>
                <w:color w:val="002060"/>
                <w:sz w:val="16"/>
                <w:szCs w:val="16"/>
              </w:rPr>
              <w:t> </w:t>
            </w:r>
            <w:r w:rsidRPr="00FA0032">
              <w:rPr>
                <w:rFonts w:cs="Arial"/>
                <w:color w:val="002060"/>
                <w:sz w:val="16"/>
                <w:szCs w:val="16"/>
                <w:lang w:val="ru-RU"/>
              </w:rPr>
              <w:t>г. средняя цена страницы составила 0,20</w:t>
            </w:r>
            <w:r w:rsidRPr="00985848">
              <w:rPr>
                <w:rFonts w:cs="Arial"/>
                <w:color w:val="002060"/>
                <w:sz w:val="16"/>
                <w:szCs w:val="16"/>
              </w:rPr>
              <w:t> </w:t>
            </w:r>
            <w:r w:rsidRPr="00FA0032">
              <w:rPr>
                <w:rFonts w:cs="Arial"/>
                <w:color w:val="002060"/>
                <w:sz w:val="16"/>
                <w:szCs w:val="16"/>
                <w:lang w:val="ru-RU"/>
              </w:rPr>
              <w:t>шв. франков</w:t>
            </w:r>
            <w:r w:rsidRPr="00985848">
              <w:rPr>
                <w:rStyle w:val="FootnoteReference"/>
                <w:rFonts w:cs="Arial"/>
                <w:color w:val="002060"/>
                <w:sz w:val="16"/>
                <w:szCs w:val="16"/>
              </w:rPr>
              <w:footnoteReference w:id="147"/>
            </w:r>
          </w:p>
          <w:p w:rsidR="00FA0032" w:rsidRPr="00FA0032" w:rsidRDefault="00FA0032" w:rsidP="00C61544">
            <w:pPr>
              <w:keepNext/>
              <w:rPr>
                <w:rFonts w:cs="Arial"/>
                <w:i/>
                <w:sz w:val="16"/>
                <w:szCs w:val="16"/>
                <w:lang w:val="ru-RU"/>
              </w:rPr>
            </w:pPr>
          </w:p>
          <w:p w:rsidR="00FA0032" w:rsidRPr="00FA0032" w:rsidRDefault="00FA0032" w:rsidP="00C61544">
            <w:pPr>
              <w:rPr>
                <w:rFonts w:cs="Arial"/>
                <w:sz w:val="16"/>
                <w:szCs w:val="16"/>
                <w:lang w:val="ru-RU"/>
              </w:rPr>
            </w:pPr>
            <w:r w:rsidRPr="00FA0032">
              <w:rPr>
                <w:rFonts w:cs="Arial"/>
                <w:i/>
                <w:sz w:val="16"/>
                <w:szCs w:val="16"/>
                <w:lang w:val="ru-RU"/>
              </w:rPr>
              <w:t xml:space="preserve">Исходные базовые показатели ПиБ на 2014–2015 гг.: </w:t>
            </w:r>
            <w:r w:rsidRPr="00FA0032">
              <w:rPr>
                <w:rFonts w:cs="Arial"/>
                <w:sz w:val="16"/>
                <w:szCs w:val="16"/>
                <w:lang w:val="ru-RU"/>
              </w:rPr>
              <w:t>будет определено позднее</w:t>
            </w:r>
          </w:p>
        </w:tc>
        <w:tc>
          <w:tcPr>
            <w:tcW w:w="833" w:type="pct"/>
            <w:shd w:val="clear" w:color="auto" w:fill="auto"/>
            <w:tcMar>
              <w:top w:w="110" w:type="dxa"/>
            </w:tcMar>
          </w:tcPr>
          <w:p w:rsidR="00FA0032" w:rsidRPr="00FA0032" w:rsidRDefault="00FA0032" w:rsidP="00C61544">
            <w:pPr>
              <w:rPr>
                <w:rFonts w:eastAsia="Batang" w:cs="Arial"/>
                <w:i/>
                <w:color w:val="002060"/>
                <w:sz w:val="16"/>
                <w:szCs w:val="16"/>
                <w:lang w:val="ru-RU"/>
              </w:rPr>
            </w:pPr>
            <w:r w:rsidRPr="00FA0032">
              <w:rPr>
                <w:rFonts w:cs="Arial"/>
                <w:i/>
                <w:color w:val="002060"/>
                <w:sz w:val="16"/>
                <w:szCs w:val="16"/>
                <w:lang w:val="ru-RU"/>
              </w:rPr>
              <w:t xml:space="preserve">Целевой показатель: </w:t>
            </w:r>
          </w:p>
          <w:p w:rsidR="00FA0032" w:rsidRPr="00FA0032" w:rsidRDefault="00FA0032" w:rsidP="00C61544">
            <w:pPr>
              <w:rPr>
                <w:rFonts w:eastAsia="Batang" w:cs="Arial"/>
                <w:color w:val="002060"/>
                <w:sz w:val="16"/>
                <w:szCs w:val="16"/>
                <w:lang w:val="ru-RU"/>
              </w:rPr>
            </w:pPr>
            <w:r w:rsidRPr="00FA0032">
              <w:rPr>
                <w:rFonts w:cs="Arial"/>
                <w:color w:val="002060"/>
                <w:sz w:val="16"/>
                <w:szCs w:val="16"/>
                <w:lang w:val="ru-RU"/>
              </w:rPr>
              <w:t xml:space="preserve">снижение на 5% стоимости печати одной страницы </w:t>
            </w:r>
          </w:p>
          <w:p w:rsidR="00FA0032" w:rsidRPr="00FA0032" w:rsidRDefault="00FA0032" w:rsidP="00C61544">
            <w:pPr>
              <w:rPr>
                <w:rFonts w:cs="Arial"/>
                <w:sz w:val="16"/>
                <w:szCs w:val="16"/>
                <w:lang w:val="ru-RU"/>
              </w:rPr>
            </w:pPr>
          </w:p>
          <w:p w:rsidR="00FA0032" w:rsidRPr="00FA0032" w:rsidRDefault="00FA0032" w:rsidP="00C61544">
            <w:pPr>
              <w:rPr>
                <w:rFonts w:eastAsia="Batang" w:cs="Arial"/>
                <w:sz w:val="16"/>
                <w:szCs w:val="16"/>
                <w:lang w:val="ru-RU"/>
              </w:rPr>
            </w:pPr>
            <w:r w:rsidRPr="00FA0032">
              <w:rPr>
                <w:rFonts w:cs="Arial"/>
                <w:i/>
                <w:sz w:val="16"/>
                <w:szCs w:val="16"/>
                <w:lang w:val="ru-RU"/>
              </w:rPr>
              <w:t>Исходные целевые показатели ПиБ на 2014–2015</w:t>
            </w:r>
            <w:r>
              <w:rPr>
                <w:rFonts w:cs="Arial"/>
                <w:i/>
                <w:sz w:val="16"/>
                <w:szCs w:val="16"/>
              </w:rPr>
              <w:t> </w:t>
            </w:r>
            <w:r w:rsidRPr="00FA0032">
              <w:rPr>
                <w:rFonts w:cs="Arial"/>
                <w:i/>
                <w:sz w:val="16"/>
                <w:szCs w:val="16"/>
                <w:lang w:val="ru-RU"/>
              </w:rPr>
              <w:t>гг.:</w:t>
            </w:r>
            <w:r w:rsidRPr="00FA0032">
              <w:rPr>
                <w:rFonts w:cs="Arial"/>
                <w:sz w:val="16"/>
                <w:szCs w:val="16"/>
                <w:lang w:val="ru-RU"/>
              </w:rPr>
              <w:t xml:space="preserve"> будет определено позднее.</w:t>
            </w:r>
          </w:p>
          <w:p w:rsidR="00FA0032" w:rsidRPr="00FA0032" w:rsidRDefault="00FA0032" w:rsidP="00C61544">
            <w:pPr>
              <w:rPr>
                <w:rFonts w:cs="Arial"/>
                <w:sz w:val="16"/>
                <w:szCs w:val="16"/>
                <w:lang w:val="ru-RU"/>
              </w:rPr>
            </w:pPr>
          </w:p>
        </w:tc>
        <w:tc>
          <w:tcPr>
            <w:tcW w:w="1364" w:type="pct"/>
            <w:shd w:val="clear" w:color="auto" w:fill="FFFFFF"/>
            <w:tcMar>
              <w:top w:w="110" w:type="dxa"/>
            </w:tcMar>
          </w:tcPr>
          <w:p w:rsidR="00FA0032" w:rsidRPr="00FA0032" w:rsidRDefault="00FA0032" w:rsidP="00C61544">
            <w:pPr>
              <w:rPr>
                <w:rFonts w:cs="Arial"/>
                <w:sz w:val="16"/>
                <w:szCs w:val="16"/>
                <w:lang w:val="ru-RU"/>
              </w:rPr>
            </w:pPr>
            <w:r w:rsidRPr="00FA0032">
              <w:rPr>
                <w:rFonts w:cs="Arial"/>
                <w:sz w:val="16"/>
                <w:szCs w:val="16"/>
                <w:lang w:val="ru-RU"/>
              </w:rPr>
              <w:t>средняя цена печати одной страницы в 2014</w:t>
            </w:r>
            <w:r w:rsidRPr="00985848">
              <w:rPr>
                <w:rFonts w:cs="Arial"/>
                <w:sz w:val="16"/>
                <w:szCs w:val="16"/>
              </w:rPr>
              <w:t> </w:t>
            </w:r>
            <w:r w:rsidRPr="00FA0032">
              <w:rPr>
                <w:rFonts w:cs="Arial"/>
                <w:sz w:val="16"/>
                <w:szCs w:val="16"/>
                <w:lang w:val="ru-RU"/>
              </w:rPr>
              <w:t>г.</w:t>
            </w:r>
            <w:r w:rsidRPr="00985848">
              <w:rPr>
                <w:rStyle w:val="FootnoteReference"/>
                <w:rFonts w:cs="Arial"/>
                <w:sz w:val="16"/>
                <w:szCs w:val="16"/>
              </w:rPr>
              <w:footnoteReference w:id="148"/>
            </w:r>
            <w:r w:rsidRPr="00FA0032">
              <w:rPr>
                <w:rFonts w:cs="Arial"/>
                <w:sz w:val="16"/>
                <w:szCs w:val="16"/>
                <w:lang w:val="ru-RU"/>
              </w:rPr>
              <w:t xml:space="preserve"> и в 2015</w:t>
            </w:r>
            <w:r w:rsidRPr="00985848">
              <w:rPr>
                <w:rFonts w:cs="Arial"/>
                <w:sz w:val="16"/>
                <w:szCs w:val="16"/>
              </w:rPr>
              <w:t> </w:t>
            </w:r>
            <w:r w:rsidRPr="00FA0032">
              <w:rPr>
                <w:rFonts w:cs="Arial"/>
                <w:sz w:val="16"/>
                <w:szCs w:val="16"/>
                <w:lang w:val="ru-RU"/>
              </w:rPr>
              <w:t>г. составила 0,15 шв. франков (сокращение на 25%).</w:t>
            </w:r>
          </w:p>
        </w:tc>
        <w:tc>
          <w:tcPr>
            <w:tcW w:w="530" w:type="pct"/>
            <w:shd w:val="clear" w:color="auto" w:fill="auto"/>
            <w:tcMar>
              <w:top w:w="110" w:type="dxa"/>
            </w:tcMar>
          </w:tcPr>
          <w:p w:rsidR="00FA0032" w:rsidRPr="00985848" w:rsidRDefault="00FA0032" w:rsidP="00C61544">
            <w:pPr>
              <w:keepNext/>
              <w:keepLines/>
              <w:jc w:val="center"/>
              <w:rPr>
                <w:rFonts w:cs="Arial"/>
                <w:bCs/>
                <w:color w:val="808080"/>
                <w:sz w:val="16"/>
                <w:szCs w:val="16"/>
              </w:rPr>
            </w:pPr>
            <w:r w:rsidRPr="00985848">
              <w:rPr>
                <w:rFonts w:cs="Arial"/>
                <w:b/>
                <w:color w:val="00B050"/>
                <w:sz w:val="16"/>
                <w:szCs w:val="16"/>
              </w:rPr>
              <w:t>Выполнено</w:t>
            </w:r>
          </w:p>
        </w:tc>
      </w:tr>
      <w:tr w:rsidR="00FA0032" w:rsidRPr="00985848" w:rsidTr="00C61544">
        <w:trPr>
          <w:cantSplit/>
        </w:trPr>
        <w:tc>
          <w:tcPr>
            <w:tcW w:w="1137" w:type="pct"/>
            <w:shd w:val="clear" w:color="auto" w:fill="auto"/>
          </w:tcPr>
          <w:p w:rsidR="00FA0032" w:rsidRPr="00FA0032" w:rsidRDefault="00FA0032" w:rsidP="00C61544">
            <w:pPr>
              <w:rPr>
                <w:rFonts w:cs="Arial"/>
                <w:sz w:val="16"/>
                <w:szCs w:val="16"/>
                <w:lang w:val="ru-RU"/>
              </w:rPr>
            </w:pPr>
            <w:r w:rsidRPr="00FA0032">
              <w:rPr>
                <w:rFonts w:cs="Arial"/>
                <w:sz w:val="16"/>
                <w:szCs w:val="16"/>
                <w:lang w:val="ru-RU"/>
              </w:rPr>
              <w:t>Своевременная публикация документов для комитетов и рабочих групп</w:t>
            </w:r>
          </w:p>
        </w:tc>
        <w:tc>
          <w:tcPr>
            <w:tcW w:w="1136" w:type="pct"/>
            <w:shd w:val="clear" w:color="auto" w:fill="auto"/>
          </w:tcPr>
          <w:p w:rsidR="00FA0032" w:rsidRPr="00FA0032" w:rsidRDefault="00FA0032" w:rsidP="00C61544">
            <w:pPr>
              <w:autoSpaceDE w:val="0"/>
              <w:autoSpaceDN w:val="0"/>
              <w:adjustRightInd w:val="0"/>
              <w:rPr>
                <w:rFonts w:eastAsia="Batang" w:cs="Arial"/>
                <w:color w:val="002060"/>
                <w:sz w:val="16"/>
                <w:szCs w:val="16"/>
                <w:lang w:val="ru-RU"/>
              </w:rPr>
            </w:pPr>
            <w:r w:rsidRPr="00FA0032">
              <w:rPr>
                <w:rFonts w:cs="Arial"/>
                <w:i/>
                <w:color w:val="002060"/>
                <w:sz w:val="16"/>
                <w:szCs w:val="16"/>
                <w:lang w:val="ru-RU"/>
              </w:rPr>
              <w:t>Обновленные базовые показатели, конец 2013</w:t>
            </w:r>
            <w:r w:rsidRPr="00985848">
              <w:rPr>
                <w:rFonts w:cs="Arial"/>
                <w:i/>
                <w:color w:val="002060"/>
                <w:sz w:val="16"/>
                <w:szCs w:val="16"/>
              </w:rPr>
              <w:t> </w:t>
            </w:r>
            <w:r w:rsidRPr="00FA0032">
              <w:rPr>
                <w:rFonts w:cs="Arial"/>
                <w:i/>
                <w:color w:val="002060"/>
                <w:sz w:val="16"/>
                <w:szCs w:val="16"/>
                <w:lang w:val="ru-RU"/>
              </w:rPr>
              <w:t xml:space="preserve">г.: </w:t>
            </w:r>
            <w:r w:rsidRPr="00FA0032">
              <w:rPr>
                <w:rFonts w:cs="Arial"/>
                <w:color w:val="002060"/>
                <w:sz w:val="16"/>
                <w:szCs w:val="16"/>
                <w:lang w:val="ru-RU"/>
              </w:rPr>
              <w:t>26% документов публикуются на всех языках за два месяца до проведения соответствующих совещаний.</w:t>
            </w:r>
          </w:p>
          <w:p w:rsidR="00FA0032" w:rsidRPr="00FA0032" w:rsidRDefault="00FA0032" w:rsidP="00C61544">
            <w:pPr>
              <w:keepNext/>
              <w:rPr>
                <w:rFonts w:cs="Arial"/>
                <w:i/>
                <w:sz w:val="16"/>
                <w:szCs w:val="16"/>
                <w:lang w:val="ru-RU"/>
              </w:rPr>
            </w:pPr>
          </w:p>
          <w:p w:rsidR="00FA0032" w:rsidRPr="00FA0032" w:rsidRDefault="00FA0032" w:rsidP="00C61544">
            <w:pPr>
              <w:autoSpaceDE w:val="0"/>
              <w:autoSpaceDN w:val="0"/>
              <w:adjustRightInd w:val="0"/>
              <w:rPr>
                <w:rFonts w:cs="Arial"/>
                <w:sz w:val="16"/>
                <w:szCs w:val="16"/>
                <w:lang w:val="ru-RU"/>
              </w:rPr>
            </w:pPr>
            <w:r w:rsidRPr="00FA0032">
              <w:rPr>
                <w:rFonts w:cs="Arial"/>
                <w:i/>
                <w:sz w:val="16"/>
                <w:szCs w:val="16"/>
                <w:lang w:val="ru-RU"/>
              </w:rPr>
              <w:t xml:space="preserve">Исходные базовые показатели ПиБ на 2014–2015 гг.: </w:t>
            </w:r>
            <w:r w:rsidRPr="00FA0032">
              <w:rPr>
                <w:rFonts w:cs="Arial"/>
                <w:sz w:val="16"/>
                <w:szCs w:val="16"/>
                <w:lang w:val="ru-RU"/>
              </w:rPr>
              <w:t>доля (%) документов, публикуемых за два месяца до проведения соответствующих совещаний (будет определена позднее)</w:t>
            </w:r>
          </w:p>
          <w:p w:rsidR="00FA0032" w:rsidRPr="00FA0032" w:rsidRDefault="00FA0032" w:rsidP="00C61544">
            <w:pPr>
              <w:autoSpaceDE w:val="0"/>
              <w:autoSpaceDN w:val="0"/>
              <w:adjustRightInd w:val="0"/>
              <w:rPr>
                <w:rFonts w:eastAsia="Batang" w:cs="Arial"/>
                <w:i/>
                <w:color w:val="002060"/>
                <w:sz w:val="16"/>
                <w:szCs w:val="16"/>
                <w:lang w:val="ru-RU"/>
              </w:rPr>
            </w:pPr>
          </w:p>
        </w:tc>
        <w:tc>
          <w:tcPr>
            <w:tcW w:w="833" w:type="pct"/>
            <w:shd w:val="clear" w:color="auto" w:fill="auto"/>
            <w:tcMar>
              <w:top w:w="110" w:type="dxa"/>
            </w:tcMar>
          </w:tcPr>
          <w:p w:rsidR="00FA0032" w:rsidRPr="00FA0032" w:rsidRDefault="00FA0032" w:rsidP="00C61544">
            <w:pPr>
              <w:rPr>
                <w:rFonts w:cs="Arial"/>
                <w:sz w:val="16"/>
                <w:szCs w:val="16"/>
                <w:lang w:val="ru-RU"/>
              </w:rPr>
            </w:pPr>
            <w:r w:rsidRPr="00FA0032">
              <w:rPr>
                <w:rFonts w:cs="Arial"/>
                <w:sz w:val="16"/>
                <w:szCs w:val="16"/>
                <w:lang w:val="ru-RU"/>
              </w:rPr>
              <w:t>65% документов публикуются за два месяца до проведения встречи.</w:t>
            </w:r>
          </w:p>
        </w:tc>
        <w:tc>
          <w:tcPr>
            <w:tcW w:w="1364" w:type="pct"/>
            <w:shd w:val="clear" w:color="auto" w:fill="FFFFFF"/>
            <w:tcMar>
              <w:top w:w="110" w:type="dxa"/>
            </w:tcMar>
          </w:tcPr>
          <w:p w:rsidR="00FA0032" w:rsidRPr="00FA0032" w:rsidRDefault="00FA0032" w:rsidP="00C61544">
            <w:pPr>
              <w:rPr>
                <w:rFonts w:eastAsiaTheme="minorHAnsi" w:cs="Arial"/>
                <w:sz w:val="16"/>
                <w:szCs w:val="16"/>
                <w:lang w:val="ru-RU"/>
              </w:rPr>
            </w:pPr>
            <w:r w:rsidRPr="00FA0032">
              <w:rPr>
                <w:rFonts w:eastAsiaTheme="minorHAnsi" w:cs="Arial"/>
                <w:sz w:val="16"/>
                <w:szCs w:val="16"/>
                <w:lang w:val="ru-RU"/>
              </w:rPr>
              <w:t>В 2014–2015</w:t>
            </w:r>
            <w:r w:rsidRPr="00985848">
              <w:rPr>
                <w:rFonts w:eastAsiaTheme="minorHAnsi" w:cs="Arial"/>
                <w:sz w:val="16"/>
                <w:szCs w:val="16"/>
              </w:rPr>
              <w:t> </w:t>
            </w:r>
            <w:r w:rsidRPr="00FA0032">
              <w:rPr>
                <w:rFonts w:eastAsiaTheme="minorHAnsi" w:cs="Arial"/>
                <w:sz w:val="16"/>
                <w:szCs w:val="16"/>
                <w:lang w:val="ru-RU"/>
              </w:rPr>
              <w:t>гг. 52,6% всех документов основных комитетов было выпущено на всех языках за два месяца до соответствующих заседаний</w:t>
            </w:r>
          </w:p>
          <w:p w:rsidR="00FA0032" w:rsidRPr="00985848" w:rsidRDefault="00FA0032" w:rsidP="00C61544">
            <w:pPr>
              <w:rPr>
                <w:rFonts w:eastAsiaTheme="minorHAnsi" w:cs="Arial"/>
                <w:sz w:val="16"/>
                <w:szCs w:val="16"/>
              </w:rPr>
            </w:pPr>
            <w:r>
              <w:rPr>
                <w:rFonts w:eastAsiaTheme="minorHAnsi" w:cs="Arial"/>
                <w:sz w:val="16"/>
                <w:szCs w:val="16"/>
              </w:rPr>
              <w:t xml:space="preserve">– 2014 г.: </w:t>
            </w:r>
            <w:r w:rsidRPr="00985848">
              <w:rPr>
                <w:rFonts w:eastAsiaTheme="minorHAnsi" w:cs="Arial"/>
                <w:sz w:val="16"/>
                <w:szCs w:val="16"/>
              </w:rPr>
              <w:t>41%</w:t>
            </w:r>
          </w:p>
          <w:p w:rsidR="00FA0032" w:rsidRPr="00985848" w:rsidRDefault="00FA0032" w:rsidP="00C61544">
            <w:pPr>
              <w:rPr>
                <w:rFonts w:eastAsiaTheme="minorHAnsi" w:cs="Arial"/>
                <w:sz w:val="16"/>
                <w:szCs w:val="16"/>
              </w:rPr>
            </w:pPr>
            <w:r w:rsidRPr="00985848">
              <w:rPr>
                <w:rFonts w:eastAsiaTheme="minorHAnsi" w:cs="Arial"/>
                <w:sz w:val="16"/>
                <w:szCs w:val="16"/>
              </w:rPr>
              <w:t>– 2015 г.: 69%</w:t>
            </w:r>
          </w:p>
          <w:p w:rsidR="00FA0032" w:rsidRPr="00985848" w:rsidRDefault="00FA0032" w:rsidP="00C61544">
            <w:pPr>
              <w:rPr>
                <w:rFonts w:eastAsiaTheme="minorHAnsi" w:cs="Arial"/>
                <w:sz w:val="16"/>
                <w:szCs w:val="16"/>
              </w:rPr>
            </w:pPr>
          </w:p>
        </w:tc>
        <w:tc>
          <w:tcPr>
            <w:tcW w:w="530" w:type="pct"/>
            <w:shd w:val="clear" w:color="auto" w:fill="auto"/>
            <w:tcMar>
              <w:top w:w="110" w:type="dxa"/>
            </w:tcMar>
          </w:tcPr>
          <w:p w:rsidR="00FA0032" w:rsidRPr="00985848" w:rsidRDefault="00FA0032" w:rsidP="00C61544">
            <w:pPr>
              <w:keepNext/>
              <w:keepLines/>
              <w:jc w:val="center"/>
              <w:rPr>
                <w:rFonts w:cs="Arial"/>
                <w:b/>
                <w:bCs/>
                <w:color w:val="00B050"/>
                <w:sz w:val="16"/>
                <w:szCs w:val="16"/>
              </w:rPr>
            </w:pPr>
            <w:r w:rsidRPr="00985848">
              <w:rPr>
                <w:rFonts w:cs="Arial"/>
                <w:b/>
                <w:color w:val="00B050"/>
                <w:sz w:val="16"/>
                <w:szCs w:val="16"/>
              </w:rPr>
              <w:t>Выполнено</w:t>
            </w:r>
          </w:p>
        </w:tc>
      </w:tr>
    </w:tbl>
    <w:p w:rsidR="00FA0032" w:rsidRPr="00FA0032" w:rsidRDefault="00FA0032" w:rsidP="00FA0032">
      <w:pPr>
        <w:keepNext/>
        <w:keepLines/>
        <w:rPr>
          <w:rFonts w:cs="Arial"/>
          <w:color w:val="000000"/>
          <w:szCs w:val="22"/>
          <w:lang w:val="ru-RU"/>
        </w:rPr>
      </w:pPr>
      <w:r w:rsidRPr="00FA0032">
        <w:rPr>
          <w:color w:val="000000"/>
          <w:lang w:val="ru-RU"/>
        </w:rPr>
        <w:t>ОТЧЕТ О РИСКАХ В ДВУХЛЕТНИЙ ПЕРИОД</w:t>
      </w:r>
    </w:p>
    <w:p w:rsidR="00FA0032" w:rsidRPr="00FA0032" w:rsidRDefault="00FA0032" w:rsidP="00FA0032">
      <w:pPr>
        <w:keepNext/>
        <w:keepLines/>
        <w:rPr>
          <w:lang w:val="ru-RU"/>
        </w:rPr>
      </w:pP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529"/>
        <w:gridCol w:w="2091"/>
        <w:gridCol w:w="2310"/>
        <w:gridCol w:w="2426"/>
      </w:tblGrid>
      <w:tr w:rsidR="00FA0032" w:rsidRPr="003C527B" w:rsidTr="00C61544">
        <w:trPr>
          <w:trHeight w:val="380"/>
        </w:trPr>
        <w:tc>
          <w:tcPr>
            <w:tcW w:w="2529" w:type="dxa"/>
            <w:tcBorders>
              <w:top w:val="single" w:sz="4" w:space="0" w:color="auto"/>
              <w:bottom w:val="single" w:sz="4" w:space="0" w:color="auto"/>
            </w:tcBorders>
            <w:shd w:val="clear" w:color="auto" w:fill="C6D9F1" w:themeFill="text2" w:themeFillTint="33"/>
            <w:tcMar>
              <w:top w:w="113" w:type="dxa"/>
              <w:bottom w:w="85" w:type="dxa"/>
            </w:tcMar>
            <w:vAlign w:val="center"/>
          </w:tcPr>
          <w:p w:rsidR="00FA0032" w:rsidRPr="00FA0032" w:rsidRDefault="00FA0032" w:rsidP="00C61544">
            <w:pPr>
              <w:keepNext/>
              <w:keepLines/>
              <w:jc w:val="center"/>
              <w:rPr>
                <w:b/>
                <w:bCs/>
                <w:iCs/>
                <w:sz w:val="18"/>
                <w:szCs w:val="18"/>
                <w:lang w:val="ru-RU"/>
              </w:rPr>
            </w:pPr>
            <w:r w:rsidRPr="00FA0032">
              <w:rPr>
                <w:b/>
                <w:sz w:val="18"/>
                <w:lang w:val="ru-RU"/>
              </w:rPr>
              <w:t>Риск (риски) того, что результаты программы не будут достигнуты</w:t>
            </w:r>
          </w:p>
        </w:tc>
        <w:tc>
          <w:tcPr>
            <w:tcW w:w="2091" w:type="dxa"/>
            <w:tcBorders>
              <w:top w:val="single" w:sz="4" w:space="0" w:color="auto"/>
              <w:bottom w:val="single" w:sz="4" w:space="0" w:color="auto"/>
            </w:tcBorders>
            <w:shd w:val="clear" w:color="auto" w:fill="C6D9F1" w:themeFill="text2" w:themeFillTint="33"/>
            <w:tcMar>
              <w:top w:w="113" w:type="dxa"/>
              <w:bottom w:w="85" w:type="dxa"/>
            </w:tcMar>
            <w:vAlign w:val="center"/>
          </w:tcPr>
          <w:p w:rsidR="00FA0032" w:rsidRPr="00FA0032" w:rsidRDefault="00FA0032" w:rsidP="00C61544">
            <w:pPr>
              <w:keepNext/>
              <w:keepLines/>
              <w:jc w:val="center"/>
              <w:rPr>
                <w:b/>
                <w:bCs/>
                <w:iCs/>
                <w:sz w:val="18"/>
                <w:szCs w:val="18"/>
                <w:lang w:val="ru-RU"/>
              </w:rPr>
            </w:pPr>
            <w:r w:rsidRPr="00FA0032">
              <w:rPr>
                <w:b/>
                <w:sz w:val="18"/>
                <w:lang w:val="ru-RU"/>
              </w:rPr>
              <w:t xml:space="preserve">Действующие или разрабатываемые планы по снижению рисков </w:t>
            </w:r>
          </w:p>
        </w:tc>
        <w:tc>
          <w:tcPr>
            <w:tcW w:w="2310" w:type="dxa"/>
            <w:tcBorders>
              <w:top w:val="single" w:sz="4" w:space="0" w:color="auto"/>
              <w:bottom w:val="single" w:sz="4" w:space="0" w:color="auto"/>
            </w:tcBorders>
            <w:shd w:val="clear" w:color="auto" w:fill="C6D9F1" w:themeFill="text2" w:themeFillTint="33"/>
          </w:tcPr>
          <w:p w:rsidR="00FA0032" w:rsidRPr="00FA0032" w:rsidRDefault="00FA0032" w:rsidP="00C61544">
            <w:pPr>
              <w:keepNext/>
              <w:keepLines/>
              <w:jc w:val="center"/>
              <w:rPr>
                <w:b/>
                <w:bCs/>
                <w:sz w:val="18"/>
                <w:szCs w:val="18"/>
                <w:lang w:val="ru-RU"/>
              </w:rPr>
            </w:pPr>
            <w:r w:rsidRPr="00FA0032">
              <w:rPr>
                <w:b/>
                <w:sz w:val="18"/>
                <w:lang w:val="ru-RU"/>
              </w:rPr>
              <w:t>Развитие риска (рисков) и стратегий его (их) снижения в двухлетний период</w:t>
            </w:r>
          </w:p>
        </w:tc>
        <w:tc>
          <w:tcPr>
            <w:tcW w:w="2426" w:type="dxa"/>
            <w:tcBorders>
              <w:top w:val="single" w:sz="4" w:space="0" w:color="auto"/>
              <w:bottom w:val="single" w:sz="4" w:space="0" w:color="auto"/>
            </w:tcBorders>
            <w:shd w:val="clear" w:color="auto" w:fill="C6D9F1" w:themeFill="text2" w:themeFillTint="33"/>
          </w:tcPr>
          <w:p w:rsidR="00FA0032" w:rsidRPr="003C527B" w:rsidRDefault="00FA0032" w:rsidP="00C61544">
            <w:pPr>
              <w:keepNext/>
              <w:keepLines/>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FA0032" w:rsidRPr="005C6ABD" w:rsidTr="00C61544">
        <w:tc>
          <w:tcPr>
            <w:tcW w:w="2529" w:type="dxa"/>
            <w:tcBorders>
              <w:top w:val="single" w:sz="4" w:space="0" w:color="auto"/>
            </w:tcBorders>
            <w:shd w:val="clear" w:color="auto" w:fill="auto"/>
            <w:tcMar>
              <w:top w:w="113" w:type="dxa"/>
              <w:bottom w:w="85" w:type="dxa"/>
            </w:tcMar>
          </w:tcPr>
          <w:p w:rsidR="00FA0032" w:rsidRPr="00FA0032" w:rsidRDefault="00FA0032" w:rsidP="00C61544">
            <w:pPr>
              <w:keepNext/>
              <w:keepLines/>
              <w:rPr>
                <w:sz w:val="16"/>
                <w:szCs w:val="16"/>
                <w:lang w:val="ru-RU"/>
              </w:rPr>
            </w:pPr>
            <w:r w:rsidRPr="00FA0032">
              <w:rPr>
                <w:sz w:val="16"/>
                <w:lang w:val="ru-RU"/>
              </w:rPr>
              <w:t>Ненадлежащая реализация Лингвистической политики</w:t>
            </w:r>
          </w:p>
          <w:p w:rsidR="00FA0032" w:rsidRPr="00FA0032" w:rsidRDefault="00FA0032" w:rsidP="00C61544">
            <w:pPr>
              <w:keepNext/>
              <w:keepLines/>
              <w:rPr>
                <w:sz w:val="16"/>
                <w:szCs w:val="16"/>
                <w:lang w:val="ru-RU"/>
              </w:rPr>
            </w:pPr>
          </w:p>
          <w:p w:rsidR="00FA0032" w:rsidRPr="00FA0032" w:rsidRDefault="00FA0032" w:rsidP="00C61544">
            <w:pPr>
              <w:keepNext/>
              <w:keepLines/>
              <w:rPr>
                <w:sz w:val="16"/>
                <w:szCs w:val="16"/>
                <w:lang w:val="ru-RU"/>
              </w:rPr>
            </w:pPr>
            <w:r w:rsidRPr="00FA0032">
              <w:rPr>
                <w:sz w:val="16"/>
                <w:lang w:val="ru-RU"/>
              </w:rPr>
              <w:t>В связи с увеличением числа заявок на перевод и несоблюдением установленных лимитов происходит значительный рост нагрузки на секции письменного перевода, что ведет к перерасходу бюджета</w:t>
            </w:r>
          </w:p>
        </w:tc>
        <w:tc>
          <w:tcPr>
            <w:tcW w:w="2091" w:type="dxa"/>
            <w:tcBorders>
              <w:top w:val="single" w:sz="4" w:space="0" w:color="auto"/>
            </w:tcBorders>
            <w:shd w:val="clear" w:color="auto" w:fill="auto"/>
            <w:tcMar>
              <w:top w:w="113" w:type="dxa"/>
              <w:bottom w:w="85" w:type="dxa"/>
            </w:tcMar>
          </w:tcPr>
          <w:p w:rsidR="00FA0032" w:rsidRPr="00FA0032" w:rsidRDefault="00FA0032" w:rsidP="00C61544">
            <w:pPr>
              <w:keepNext/>
              <w:keepLines/>
              <w:rPr>
                <w:sz w:val="16"/>
                <w:szCs w:val="16"/>
                <w:lang w:val="ru-RU"/>
              </w:rPr>
            </w:pPr>
            <w:r w:rsidRPr="00FA0032">
              <w:rPr>
                <w:sz w:val="16"/>
                <w:lang w:val="ru-RU"/>
              </w:rPr>
              <w:t>Контроль за числом и объемом документов; неукоснительное выполнение мер рационализации и контроля; поощрение заинтересованных секторов избегать повтора текста в документах</w:t>
            </w:r>
          </w:p>
        </w:tc>
        <w:tc>
          <w:tcPr>
            <w:tcW w:w="2310" w:type="dxa"/>
            <w:tcBorders>
              <w:top w:val="single" w:sz="4" w:space="0" w:color="auto"/>
            </w:tcBorders>
          </w:tcPr>
          <w:p w:rsidR="00FA0032" w:rsidRPr="00FA0032" w:rsidRDefault="00FA0032" w:rsidP="00C61544">
            <w:pPr>
              <w:keepNext/>
              <w:keepLines/>
              <w:rPr>
                <w:sz w:val="16"/>
                <w:szCs w:val="16"/>
                <w:lang w:val="ru-RU"/>
              </w:rPr>
            </w:pPr>
            <w:r w:rsidRPr="00FA0032">
              <w:rPr>
                <w:sz w:val="16"/>
                <w:lang w:val="ru-RU"/>
              </w:rPr>
              <w:t>Посредством более целевых мер контроля и проактивных мер рационализации велась работа по формированию у сотрудников рабочих подразделений понимания необходимости подготовки кратких документов, благодаря чему удалось более эффективно регулировать рабочую нагрузку в области перевода.  Что касается эффективной реализации лингвистической политики, то меры по снижению рисков включали в себя применение поэтапного подхода к ее реализации и более активное использование услуг внешних подрядчиков и переводческих технологий.</w:t>
            </w:r>
          </w:p>
        </w:tc>
        <w:tc>
          <w:tcPr>
            <w:tcW w:w="2426" w:type="dxa"/>
            <w:tcBorders>
              <w:top w:val="single" w:sz="4" w:space="0" w:color="auto"/>
            </w:tcBorders>
          </w:tcPr>
          <w:p w:rsidR="00FA0032" w:rsidRPr="00FA0032" w:rsidRDefault="00FA0032" w:rsidP="00C61544">
            <w:pPr>
              <w:keepNext/>
              <w:keepLines/>
              <w:rPr>
                <w:sz w:val="16"/>
                <w:szCs w:val="16"/>
                <w:lang w:val="ru-RU"/>
              </w:rPr>
            </w:pPr>
            <w:r w:rsidRPr="00FA0032">
              <w:rPr>
                <w:sz w:val="16"/>
                <w:lang w:val="ru-RU"/>
              </w:rPr>
              <w:t>Благодаря успешным мерам по снижению этого риска он не оказал влияния на реализацию программы в 2014–2015</w:t>
            </w:r>
            <w:r>
              <w:rPr>
                <w:sz w:val="16"/>
              </w:rPr>
              <w:t> </w:t>
            </w:r>
            <w:r w:rsidRPr="00FA0032">
              <w:rPr>
                <w:sz w:val="16"/>
                <w:lang w:val="ru-RU"/>
              </w:rPr>
              <w:t xml:space="preserve">гг. </w:t>
            </w:r>
          </w:p>
        </w:tc>
      </w:tr>
    </w:tbl>
    <w:p w:rsidR="00FA0032" w:rsidRPr="00FA0032" w:rsidRDefault="00FA0032" w:rsidP="00FA0032">
      <w:pPr>
        <w:rPr>
          <w:color w:val="000000"/>
          <w:lang w:val="ru-RU"/>
        </w:rPr>
      </w:pPr>
    </w:p>
    <w:p w:rsidR="00FA0032" w:rsidRPr="00FA0032" w:rsidRDefault="00FA0032" w:rsidP="00FA0032">
      <w:pPr>
        <w:rPr>
          <w:szCs w:val="20"/>
          <w:lang w:val="ru-RU"/>
        </w:rPr>
      </w:pPr>
      <w:r w:rsidRPr="00FA0032">
        <w:rPr>
          <w:color w:val="000000"/>
          <w:lang w:val="ru-RU"/>
        </w:rPr>
        <w:t>ИСПОЛЬЗОВАНИЕ РЕСУРСОВ</w:t>
      </w:r>
    </w:p>
    <w:p w:rsidR="00FA0032" w:rsidRPr="00FA0032" w:rsidRDefault="00FA0032" w:rsidP="00FA0032">
      <w:pPr>
        <w:rPr>
          <w:szCs w:val="20"/>
          <w:lang w:val="ru-RU"/>
        </w:rPr>
      </w:pPr>
    </w:p>
    <w:p w:rsidR="00FA0032" w:rsidRPr="00FA0032" w:rsidRDefault="00FA0032" w:rsidP="00FA0032">
      <w:pPr>
        <w:pStyle w:val="NormalWeb"/>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(в разбивке по результатам) </w:t>
      </w:r>
    </w:p>
    <w:p w:rsidR="00FA0032" w:rsidRPr="000B3AA7" w:rsidRDefault="00FA0032" w:rsidP="00FA0032">
      <w:pPr>
        <w:pStyle w:val="NormalWeb"/>
        <w:spacing w:before="0" w:beforeAutospacing="0" w:after="0" w:afterAutospacing="0"/>
        <w:jc w:val="center"/>
        <w:rPr>
          <w:i/>
          <w:iCs/>
          <w:color w:val="000000"/>
          <w:sz w:val="20"/>
          <w:szCs w:val="20"/>
        </w:rPr>
      </w:pPr>
      <w:r>
        <w:rPr>
          <w:i/>
          <w:color w:val="000000"/>
          <w:sz w:val="20"/>
        </w:rPr>
        <w:t>(в тыс. шв. франков)</w:t>
      </w:r>
    </w:p>
    <w:p w:rsidR="00FA0032" w:rsidRPr="000B3AA7" w:rsidRDefault="00FA0032" w:rsidP="00FA0032">
      <w:pPr>
        <w:pStyle w:val="NormalWeb"/>
        <w:spacing w:before="0" w:beforeAutospacing="0" w:after="0" w:afterAutospacing="0"/>
        <w:jc w:val="center"/>
        <w:rPr>
          <w:sz w:val="20"/>
          <w:szCs w:val="20"/>
        </w:rPr>
      </w:pPr>
    </w:p>
    <w:p w:rsidR="00FA0032" w:rsidRPr="000B3AA7" w:rsidRDefault="00FA0032" w:rsidP="00FA0032">
      <w:pPr>
        <w:jc w:val="center"/>
      </w:pPr>
      <w:r>
        <w:rPr>
          <w:noProof/>
        </w:rPr>
        <w:drawing>
          <wp:inline distT="0" distB="0" distL="0" distR="0" wp14:anchorId="5632420C" wp14:editId="611C97CE">
            <wp:extent cx="5565641" cy="1427001"/>
            <wp:effectExtent l="0" t="0" r="0" b="190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568449" cy="1427721"/>
                    </a:xfrm>
                    <a:prstGeom prst="rect">
                      <a:avLst/>
                    </a:prstGeom>
                    <a:noFill/>
                    <a:ln>
                      <a:noFill/>
                    </a:ln>
                  </pic:spPr>
                </pic:pic>
              </a:graphicData>
            </a:graphic>
          </wp:inline>
        </w:drawing>
      </w:r>
    </w:p>
    <w:p w:rsidR="00FA0032" w:rsidRPr="000B3AA7" w:rsidRDefault="00FA0032" w:rsidP="00FA0032">
      <w:pPr>
        <w:jc w:val="center"/>
      </w:pPr>
    </w:p>
    <w:p w:rsidR="00FA0032" w:rsidRPr="000B3AA7" w:rsidRDefault="00FA0032" w:rsidP="00FA0032"/>
    <w:p w:rsidR="00FA0032" w:rsidRPr="00FA0032" w:rsidRDefault="00FA0032" w:rsidP="00FA0032">
      <w:pPr>
        <w:pStyle w:val="NormalWeb"/>
        <w:keepNext/>
        <w:keepLines/>
        <w:spacing w:before="0" w:beforeAutospacing="0" w:after="0" w:afterAutospacing="0"/>
        <w:jc w:val="center"/>
        <w:rPr>
          <w:sz w:val="20"/>
          <w:szCs w:val="20"/>
          <w:lang w:val="ru-RU"/>
        </w:rPr>
      </w:pPr>
      <w:r w:rsidRPr="00FA0032">
        <w:rPr>
          <w:color w:val="000000"/>
          <w:sz w:val="20"/>
          <w:lang w:val="ru-RU"/>
        </w:rPr>
        <w:t xml:space="preserve">Бюджет и фактические расходы (по персоналу и не связанные с персоналом) </w:t>
      </w:r>
    </w:p>
    <w:p w:rsidR="00FA0032" w:rsidRPr="000B3AA7" w:rsidRDefault="00FA0032" w:rsidP="00FA0032">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FA0032" w:rsidRPr="000B3AA7" w:rsidRDefault="00FA0032" w:rsidP="00FA0032">
      <w:pPr>
        <w:pStyle w:val="NormalWeb"/>
        <w:keepNext/>
        <w:keepLines/>
        <w:spacing w:before="0" w:beforeAutospacing="0" w:after="0" w:afterAutospacing="0"/>
        <w:jc w:val="center"/>
      </w:pPr>
    </w:p>
    <w:p w:rsidR="00FA0032" w:rsidRPr="000B3AA7" w:rsidRDefault="00FA0032" w:rsidP="00FA0032">
      <w:pPr>
        <w:widowControl w:val="0"/>
        <w:autoSpaceDE w:val="0"/>
        <w:autoSpaceDN w:val="0"/>
        <w:adjustRightInd w:val="0"/>
        <w:jc w:val="center"/>
        <w:rPr>
          <w:rFonts w:cs="Arial"/>
          <w:szCs w:val="20"/>
        </w:rPr>
      </w:pPr>
      <w:r>
        <w:rPr>
          <w:rFonts w:cs="Arial"/>
          <w:noProof/>
          <w:szCs w:val="20"/>
        </w:rPr>
        <w:drawing>
          <wp:inline distT="0" distB="0" distL="0" distR="0" wp14:anchorId="20F8A4B0" wp14:editId="7DD2A829">
            <wp:extent cx="5270360" cy="1126325"/>
            <wp:effectExtent l="0" t="0" r="698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272001" cy="1126676"/>
                    </a:xfrm>
                    <a:prstGeom prst="rect">
                      <a:avLst/>
                    </a:prstGeom>
                    <a:noFill/>
                    <a:ln>
                      <a:noFill/>
                    </a:ln>
                  </pic:spPr>
                </pic:pic>
              </a:graphicData>
            </a:graphic>
          </wp:inline>
        </w:drawing>
      </w:r>
    </w:p>
    <w:p w:rsidR="00FA0032" w:rsidRPr="000B3AA7" w:rsidRDefault="00FA0032" w:rsidP="00FA0032">
      <w:pPr>
        <w:widowControl w:val="0"/>
        <w:autoSpaceDE w:val="0"/>
        <w:autoSpaceDN w:val="0"/>
        <w:adjustRightInd w:val="0"/>
        <w:rPr>
          <w:rFonts w:cs="Arial"/>
          <w:szCs w:val="20"/>
        </w:rPr>
      </w:pPr>
    </w:p>
    <w:p w:rsidR="00FA0032" w:rsidRDefault="00FA0032" w:rsidP="00FA0032">
      <w:pPr>
        <w:jc w:val="both"/>
        <w:rPr>
          <w:rFonts w:cs="Arial"/>
          <w:szCs w:val="20"/>
        </w:rPr>
      </w:pPr>
    </w:p>
    <w:p w:rsidR="00FA0032" w:rsidRPr="00FA0032" w:rsidRDefault="00FA0032" w:rsidP="00FA0032">
      <w:pPr>
        <w:pStyle w:val="ListParagraph"/>
        <w:numPr>
          <w:ilvl w:val="0"/>
          <w:numId w:val="74"/>
        </w:numPr>
        <w:jc w:val="both"/>
        <w:rPr>
          <w:u w:val="single"/>
          <w:lang w:val="ru-RU"/>
        </w:rPr>
      </w:pPr>
      <w:r w:rsidRPr="00FA0032">
        <w:rPr>
          <w:u w:val="single"/>
          <w:lang w:val="ru-RU"/>
        </w:rPr>
        <w:t xml:space="preserve">Итоговый бюджет на 2014–2015 гг. после перераспределения средств </w:t>
      </w:r>
    </w:p>
    <w:p w:rsidR="00FA0032" w:rsidRPr="00FA0032" w:rsidRDefault="00FA0032" w:rsidP="00FA0032">
      <w:pPr>
        <w:jc w:val="both"/>
        <w:rPr>
          <w:szCs w:val="20"/>
          <w:lang w:val="ru-RU"/>
        </w:rPr>
      </w:pPr>
    </w:p>
    <w:p w:rsidR="00FA0032" w:rsidRPr="00FA0032" w:rsidRDefault="00FA0032" w:rsidP="00FA0032">
      <w:pPr>
        <w:pStyle w:val="ListParagraph"/>
        <w:numPr>
          <w:ilvl w:val="0"/>
          <w:numId w:val="73"/>
        </w:numPr>
        <w:tabs>
          <w:tab w:val="left" w:pos="709"/>
        </w:tabs>
        <w:ind w:left="0" w:firstLine="0"/>
        <w:jc w:val="both"/>
        <w:rPr>
          <w:lang w:val="ru-RU"/>
        </w:rPr>
      </w:pPr>
      <w:r w:rsidRPr="00FA0032">
        <w:rPr>
          <w:lang w:val="ru-RU"/>
        </w:rPr>
        <w:t xml:space="preserve">Итоговый бюджет после перераспределения средств (по ресурсам, не связанным с персоналом) отражает небольшую понижательную корректировку, сделанную в целях повышения экономической эффективности, которая была компенсирована перераспределением ресурсов, связанных с персоналом, в пользу ресурсов, не связанных с персоналом, из-за принятия на работу временного секретаря, занимающегося работой в области проведения конференций и подготовки публикаций. </w:t>
      </w:r>
    </w:p>
    <w:p w:rsidR="00FA0032" w:rsidRPr="00FA0032" w:rsidRDefault="00FA0032" w:rsidP="00FA0032">
      <w:pPr>
        <w:pStyle w:val="ListParagraph"/>
        <w:tabs>
          <w:tab w:val="left" w:pos="709"/>
        </w:tabs>
        <w:ind w:left="0"/>
        <w:jc w:val="both"/>
        <w:rPr>
          <w:lang w:val="ru-RU"/>
        </w:rPr>
      </w:pPr>
    </w:p>
    <w:p w:rsidR="00FA0032" w:rsidRPr="00FA0032" w:rsidRDefault="00FA0032" w:rsidP="00FA0032">
      <w:pPr>
        <w:pStyle w:val="ListParagraph"/>
        <w:numPr>
          <w:ilvl w:val="0"/>
          <w:numId w:val="73"/>
        </w:numPr>
        <w:tabs>
          <w:tab w:val="left" w:pos="709"/>
        </w:tabs>
        <w:ind w:left="0" w:firstLine="0"/>
        <w:jc w:val="both"/>
        <w:rPr>
          <w:lang w:val="ru-RU"/>
        </w:rPr>
      </w:pPr>
      <w:r w:rsidRPr="00FA0032">
        <w:rPr>
          <w:lang w:val="ru-RU"/>
        </w:rPr>
        <w:t>Уменьшение итогового бюджета на 2014–2015 гг. после перераспределения средств было преимущественно связано с перераспределением ресурсов в целях: (</w:t>
      </w:r>
      <w:r>
        <w:t>i</w:t>
      </w:r>
      <w:r w:rsidRPr="00FA0032">
        <w:rPr>
          <w:lang w:val="ru-RU"/>
        </w:rPr>
        <w:t>)</w:t>
      </w:r>
      <w:r>
        <w:t> </w:t>
      </w:r>
      <w:r w:rsidRPr="00FA0032">
        <w:rPr>
          <w:lang w:val="ru-RU"/>
        </w:rPr>
        <w:t>укрепления административного обслуживания в Академии ВОИС (программа 11); (</w:t>
      </w:r>
      <w:r>
        <w:t>ii</w:t>
      </w:r>
      <w:r w:rsidRPr="00FA0032">
        <w:rPr>
          <w:lang w:val="ru-RU"/>
        </w:rPr>
        <w:t>)</w:t>
      </w:r>
      <w:r>
        <w:t> </w:t>
      </w:r>
      <w:r w:rsidRPr="00FA0032">
        <w:rPr>
          <w:lang w:val="ru-RU"/>
        </w:rPr>
        <w:t>повышения эффективности услуг, связанных с инфраструктурой помещений (программа 24), и (</w:t>
      </w:r>
      <w:r>
        <w:t>iii</w:t>
      </w:r>
      <w:r w:rsidRPr="00FA0032">
        <w:rPr>
          <w:lang w:val="ru-RU"/>
        </w:rPr>
        <w:t>)</w:t>
      </w:r>
      <w:r>
        <w:t> </w:t>
      </w:r>
      <w:r w:rsidRPr="00FA0032">
        <w:rPr>
          <w:lang w:val="ru-RU"/>
        </w:rPr>
        <w:t>перенаправления ресурсов на нужды, не связанные с персоналом, о чем упоминается выше.</w:t>
      </w:r>
    </w:p>
    <w:p w:rsidR="00FA0032" w:rsidRPr="00FA0032" w:rsidRDefault="00FA0032" w:rsidP="00FA0032">
      <w:pPr>
        <w:jc w:val="both"/>
        <w:rPr>
          <w:szCs w:val="20"/>
          <w:lang w:val="ru-RU"/>
        </w:rPr>
      </w:pPr>
    </w:p>
    <w:p w:rsidR="00FA0032" w:rsidRPr="00FA0032" w:rsidRDefault="00FA0032" w:rsidP="00FA0032">
      <w:pPr>
        <w:jc w:val="both"/>
        <w:rPr>
          <w:szCs w:val="20"/>
          <w:lang w:val="ru-RU"/>
        </w:rPr>
      </w:pPr>
    </w:p>
    <w:p w:rsidR="00FA0032" w:rsidRPr="00FA0032" w:rsidRDefault="00FA0032" w:rsidP="00FA0032">
      <w:pPr>
        <w:pStyle w:val="ListParagraph"/>
        <w:numPr>
          <w:ilvl w:val="0"/>
          <w:numId w:val="74"/>
        </w:numPr>
        <w:jc w:val="both"/>
        <w:rPr>
          <w:u w:val="single"/>
          <w:lang w:val="ru-RU"/>
        </w:rPr>
      </w:pPr>
      <w:r w:rsidRPr="00FA0032">
        <w:rPr>
          <w:u w:val="single"/>
          <w:lang w:val="ru-RU"/>
        </w:rPr>
        <w:t xml:space="preserve">Освоение бюджетных средств в 2014–2015 гг. </w:t>
      </w:r>
    </w:p>
    <w:p w:rsidR="00FA0032" w:rsidRPr="00FA0032" w:rsidRDefault="00FA0032" w:rsidP="00FA0032">
      <w:pPr>
        <w:jc w:val="both"/>
        <w:rPr>
          <w:szCs w:val="20"/>
          <w:lang w:val="ru-RU"/>
        </w:rPr>
      </w:pPr>
    </w:p>
    <w:p w:rsidR="00E321A5" w:rsidRPr="00FA0032" w:rsidRDefault="00FA0032" w:rsidP="00FA0032">
      <w:pPr>
        <w:pStyle w:val="ListParagraph"/>
        <w:numPr>
          <w:ilvl w:val="0"/>
          <w:numId w:val="73"/>
        </w:numPr>
        <w:tabs>
          <w:tab w:val="left" w:pos="709"/>
        </w:tabs>
        <w:autoSpaceDE w:val="0"/>
        <w:autoSpaceDN w:val="0"/>
        <w:ind w:left="0" w:firstLine="0"/>
        <w:jc w:val="both"/>
        <w:rPr>
          <w:lang w:val="ru-RU"/>
        </w:rPr>
      </w:pPr>
      <w:r w:rsidRPr="00FA0032">
        <w:rPr>
          <w:lang w:val="ru-RU"/>
        </w:rPr>
        <w:t>Неполное использование ресурсов, не связанных с персоналом, в основном было связано с повышением экономической эффективности в силу сокращения: (</w:t>
      </w:r>
      <w:r>
        <w:t>i</w:t>
      </w:r>
      <w:r w:rsidRPr="00FA0032">
        <w:rPr>
          <w:lang w:val="ru-RU"/>
        </w:rPr>
        <w:t>)</w:t>
      </w:r>
      <w:r>
        <w:t> </w:t>
      </w:r>
      <w:r w:rsidRPr="00FA0032">
        <w:rPr>
          <w:lang w:val="ru-RU"/>
        </w:rPr>
        <w:t>расходов на перевод благодаря пересмотру соглашений с внешними письменными переводчиками; (</w:t>
      </w:r>
      <w:r>
        <w:t>ii</w:t>
      </w:r>
      <w:r w:rsidRPr="00FA0032">
        <w:rPr>
          <w:lang w:val="ru-RU"/>
        </w:rPr>
        <w:t>)</w:t>
      </w:r>
      <w:r>
        <w:t> </w:t>
      </w:r>
      <w:r w:rsidRPr="00FA0032">
        <w:rPr>
          <w:lang w:val="ru-RU"/>
        </w:rPr>
        <w:t>расходов на печать в результате пересмотра лизинговых контрактов на использование принтеров; (</w:t>
      </w:r>
      <w:r>
        <w:t>iii</w:t>
      </w:r>
      <w:r w:rsidRPr="00FA0032">
        <w:rPr>
          <w:lang w:val="ru-RU"/>
        </w:rPr>
        <w:t>)</w:t>
      </w:r>
      <w:r>
        <w:t> </w:t>
      </w:r>
      <w:r w:rsidRPr="00FA0032">
        <w:rPr>
          <w:lang w:val="ru-RU"/>
        </w:rPr>
        <w:t>почтовых расходов в результате согласования более низких тарифов с внешними поставщиками почтовых услуг; и (</w:t>
      </w:r>
      <w:r>
        <w:t>iv</w:t>
      </w:r>
      <w:r w:rsidRPr="00FA0032">
        <w:rPr>
          <w:lang w:val="ru-RU"/>
        </w:rPr>
        <w:t>)</w:t>
      </w:r>
      <w:r>
        <w:t> </w:t>
      </w:r>
      <w:r w:rsidRPr="00FA0032">
        <w:rPr>
          <w:lang w:val="ru-RU"/>
        </w:rPr>
        <w:t>передачей ресурсов по одному стажеру (в пользу программы 23, в рамках которой в централизованном порядке ведется работа со стажерами).</w:t>
      </w:r>
    </w:p>
    <w:p w:rsidR="004E366B" w:rsidRPr="00FA0032" w:rsidRDefault="004E366B" w:rsidP="00295D7D">
      <w:pPr>
        <w:autoSpaceDE w:val="0"/>
        <w:autoSpaceDN w:val="0"/>
        <w:jc w:val="both"/>
        <w:rPr>
          <w:lang w:val="ru-RU"/>
        </w:rPr>
      </w:pPr>
    </w:p>
    <w:p w:rsidR="0036297A" w:rsidRPr="00FA0032" w:rsidRDefault="0036297A">
      <w:pPr>
        <w:rPr>
          <w:lang w:val="ru-RU"/>
        </w:rPr>
      </w:pPr>
      <w:r w:rsidRPr="00FA0032">
        <w:rPr>
          <w:lang w:val="ru-RU"/>
        </w:rPr>
        <w:br w:type="page"/>
      </w:r>
    </w:p>
    <w:p w:rsidR="0008579A" w:rsidRPr="0008579A" w:rsidRDefault="0008579A" w:rsidP="0008579A">
      <w:pPr>
        <w:pStyle w:val="Heading2"/>
        <w:tabs>
          <w:tab w:val="clear" w:pos="567"/>
          <w:tab w:val="left" w:pos="1985"/>
        </w:tabs>
        <w:ind w:left="1985" w:hanging="1985"/>
        <w:rPr>
          <w:szCs w:val="20"/>
          <w:lang w:val="ru-RU"/>
        </w:rPr>
      </w:pPr>
      <w:bookmarkStart w:id="135" w:name="_Toc422210517"/>
      <w:bookmarkStart w:id="136" w:name="_Toc455388140"/>
      <w:r w:rsidRPr="0008579A">
        <w:rPr>
          <w:lang w:val="ru-RU"/>
        </w:rPr>
        <w:t>ПРОГРАММА 28</w:t>
      </w:r>
      <w:r w:rsidRPr="0008579A">
        <w:rPr>
          <w:lang w:val="ru-RU"/>
        </w:rPr>
        <w:tab/>
        <w:t>ОХРАНА И БЕЗОПАСНОСТЬ</w:t>
      </w:r>
      <w:bookmarkEnd w:id="135"/>
      <w:bookmarkEnd w:id="136"/>
    </w:p>
    <w:p w:rsidR="0008579A" w:rsidRPr="0008579A" w:rsidRDefault="0008579A" w:rsidP="0008579A">
      <w:pPr>
        <w:tabs>
          <w:tab w:val="left" w:pos="1985"/>
        </w:tabs>
        <w:rPr>
          <w:szCs w:val="20"/>
          <w:lang w:val="ru-RU"/>
        </w:rPr>
      </w:pPr>
    </w:p>
    <w:p w:rsidR="0008579A" w:rsidRPr="0008579A" w:rsidRDefault="0008579A" w:rsidP="0008579A">
      <w:pPr>
        <w:tabs>
          <w:tab w:val="left" w:pos="1985"/>
        </w:tabs>
        <w:rPr>
          <w:b/>
          <w:szCs w:val="20"/>
          <w:lang w:val="ru-RU"/>
        </w:rPr>
      </w:pPr>
      <w:r w:rsidRPr="0008579A">
        <w:rPr>
          <w:b/>
          <w:lang w:val="ru-RU"/>
        </w:rPr>
        <w:t xml:space="preserve">Руководитель программы: </w:t>
      </w:r>
      <w:r w:rsidRPr="0008579A">
        <w:rPr>
          <w:lang w:val="ru-RU"/>
        </w:rPr>
        <w:tab/>
      </w:r>
      <w:r w:rsidRPr="0008579A">
        <w:rPr>
          <w:b/>
          <w:lang w:val="ru-RU"/>
        </w:rPr>
        <w:t>г-н А. Сундарам</w:t>
      </w:r>
    </w:p>
    <w:p w:rsidR="0008579A" w:rsidRPr="0008579A" w:rsidRDefault="0008579A" w:rsidP="0008579A">
      <w:pPr>
        <w:rPr>
          <w:szCs w:val="20"/>
          <w:lang w:val="ru-RU"/>
        </w:rPr>
      </w:pPr>
    </w:p>
    <w:p w:rsidR="0008579A" w:rsidRPr="0008579A" w:rsidRDefault="0008579A" w:rsidP="0008579A">
      <w:pPr>
        <w:rPr>
          <w:szCs w:val="20"/>
          <w:lang w:val="ru-RU"/>
        </w:rPr>
      </w:pPr>
    </w:p>
    <w:p w:rsidR="0008579A" w:rsidRPr="0008579A" w:rsidRDefault="0008579A" w:rsidP="0008579A">
      <w:pPr>
        <w:rPr>
          <w:bCs/>
          <w:szCs w:val="20"/>
          <w:lang w:val="ru-RU"/>
        </w:rPr>
      </w:pPr>
      <w:r w:rsidRPr="0008579A">
        <w:rPr>
          <w:lang w:val="ru-RU"/>
        </w:rPr>
        <w:t>ОБЗОР ДОСТИЖЕНИЙ ЗА ДВУХЛЕТНИЙ ПЕРИОД 2014–2015 ГГ.</w:t>
      </w:r>
    </w:p>
    <w:p w:rsidR="0008579A" w:rsidRPr="0008579A" w:rsidRDefault="0008579A" w:rsidP="0008579A">
      <w:pPr>
        <w:rPr>
          <w:bCs/>
          <w:szCs w:val="20"/>
          <w:lang w:val="ru-RU"/>
        </w:rPr>
      </w:pPr>
    </w:p>
    <w:p w:rsidR="0008579A" w:rsidRPr="0008579A" w:rsidRDefault="0008579A" w:rsidP="0008579A">
      <w:pPr>
        <w:pStyle w:val="ListParagraph"/>
        <w:numPr>
          <w:ilvl w:val="0"/>
          <w:numId w:val="36"/>
        </w:numPr>
        <w:tabs>
          <w:tab w:val="left" w:pos="709"/>
        </w:tabs>
        <w:ind w:left="0" w:firstLine="0"/>
        <w:jc w:val="both"/>
        <w:rPr>
          <w:bCs/>
          <w:lang w:val="ru-RU"/>
        </w:rPr>
      </w:pPr>
      <w:r w:rsidRPr="0008579A">
        <w:rPr>
          <w:lang w:val="ru-RU"/>
        </w:rPr>
        <w:t>В плане охраны и безопасности условия, в которых ВОИС работала в 2014–2015</w:t>
      </w:r>
      <w:r>
        <w:t> </w:t>
      </w:r>
      <w:r w:rsidRPr="0008579A">
        <w:rPr>
          <w:lang w:val="ru-RU"/>
        </w:rPr>
        <w:t>гг., в целом были по-прежнему сложными, однако в странах присутствия ВОИС – довольно стабильными.  На протяжении всего двухлетнего периода программа продолжала обеспечивать функционирование всех систем безопасности в масштабе Организации, включая объекты нового конференц-зала ВОИС, открывшегося в сентябре 2014</w:t>
      </w:r>
      <w:r>
        <w:t> </w:t>
      </w:r>
      <w:r w:rsidRPr="0008579A">
        <w:rPr>
          <w:lang w:val="ru-RU"/>
        </w:rPr>
        <w:t xml:space="preserve">г. </w:t>
      </w:r>
    </w:p>
    <w:p w:rsidR="0008579A" w:rsidRPr="0008579A" w:rsidRDefault="0008579A" w:rsidP="0008579A">
      <w:pPr>
        <w:jc w:val="both"/>
        <w:rPr>
          <w:bCs/>
          <w:szCs w:val="20"/>
          <w:lang w:val="ru-RU"/>
        </w:rPr>
      </w:pPr>
    </w:p>
    <w:p w:rsidR="0008579A" w:rsidRPr="0008579A" w:rsidRDefault="0008579A" w:rsidP="0008579A">
      <w:pPr>
        <w:pStyle w:val="ListParagraph"/>
        <w:numPr>
          <w:ilvl w:val="0"/>
          <w:numId w:val="36"/>
        </w:numPr>
        <w:tabs>
          <w:tab w:val="left" w:pos="709"/>
        </w:tabs>
        <w:ind w:left="0" w:firstLine="0"/>
        <w:jc w:val="both"/>
        <w:rPr>
          <w:bCs/>
          <w:lang w:val="ru-RU"/>
        </w:rPr>
      </w:pPr>
      <w:r w:rsidRPr="0008579A">
        <w:rPr>
          <w:lang w:val="ru-RU"/>
        </w:rPr>
        <w:t>Одним из важнейших направлений работы в 2014–2015</w:t>
      </w:r>
      <w:r>
        <w:t> </w:t>
      </w:r>
      <w:r w:rsidRPr="0008579A">
        <w:rPr>
          <w:lang w:val="ru-RU"/>
        </w:rPr>
        <w:t>гг., как и прежде, было обеспечение безопасности сотрудников ВОИС во время международных поездок, поскольку события, происшедшие в некоторых посещаемых ими регионах, особенно в конце 2015</w:t>
      </w:r>
      <w:r>
        <w:t> </w:t>
      </w:r>
      <w:r w:rsidRPr="0008579A">
        <w:rPr>
          <w:lang w:val="ru-RU"/>
        </w:rPr>
        <w:t>г., негативно сказались на стабильности и безопасности.  Трагические события в Париже, Франция, в ноябре 2015</w:t>
      </w:r>
      <w:r>
        <w:t> </w:t>
      </w:r>
      <w:r w:rsidRPr="0008579A">
        <w:rPr>
          <w:lang w:val="ru-RU"/>
        </w:rPr>
        <w:t>г. стали причиной активизации деятельности ВОИС в области охраны и безопасности с принятием дополнительных мер безопасности, включая налаживание более тесного сотрудничества с правительством принимающей страны.  Принятые меры позволили ВОИС выполнить обязательства по участию в мероприятиях и конференциях, таких как 21-я сессия Конференции Сторон РКИКООН (КС-21), состоявшаяся в Париже 7–8 декабря 2015</w:t>
      </w:r>
      <w:r>
        <w:t> </w:t>
      </w:r>
      <w:r w:rsidRPr="0008579A">
        <w:rPr>
          <w:lang w:val="ru-RU"/>
        </w:rPr>
        <w:t xml:space="preserve">г. </w:t>
      </w:r>
    </w:p>
    <w:p w:rsidR="0008579A" w:rsidRPr="0008579A" w:rsidRDefault="0008579A" w:rsidP="0008579A">
      <w:pPr>
        <w:jc w:val="both"/>
        <w:rPr>
          <w:bCs/>
          <w:szCs w:val="20"/>
          <w:lang w:val="ru-RU"/>
        </w:rPr>
      </w:pPr>
    </w:p>
    <w:p w:rsidR="0008579A" w:rsidRPr="0008579A" w:rsidRDefault="0008579A" w:rsidP="0008579A">
      <w:pPr>
        <w:pStyle w:val="ListParagraph"/>
        <w:numPr>
          <w:ilvl w:val="0"/>
          <w:numId w:val="36"/>
        </w:numPr>
        <w:tabs>
          <w:tab w:val="left" w:pos="709"/>
        </w:tabs>
        <w:ind w:left="0" w:firstLine="0"/>
        <w:jc w:val="both"/>
        <w:rPr>
          <w:bCs/>
          <w:lang w:val="ru-RU"/>
        </w:rPr>
      </w:pPr>
      <w:r w:rsidRPr="0008579A">
        <w:rPr>
          <w:lang w:val="ru-RU"/>
        </w:rPr>
        <w:t>В двухлетний период 2014–2015</w:t>
      </w:r>
      <w:r>
        <w:t> </w:t>
      </w:r>
      <w:r w:rsidRPr="0008579A">
        <w:rPr>
          <w:lang w:val="ru-RU"/>
        </w:rPr>
        <w:t>гг. также была завершена работа по некоторым важным достижениям в области охраны и безопасности, а по некоторым были достигнуты существенные результаты. Среди этих достижений открытие нового Центра доступа в здания комплекса ВОИС (стойка приема и обслуживания в здании АБ) и Операционного центра координации мер безопасности (</w:t>
      </w:r>
      <w:r>
        <w:t>SCOC</w:t>
      </w:r>
      <w:r w:rsidRPr="0008579A">
        <w:rPr>
          <w:lang w:val="ru-RU"/>
        </w:rPr>
        <w:t>) вовремя для обеспечения проведения двадцать второй сессии КПБ и Ассамблей ВОИС в 2014</w:t>
      </w:r>
      <w:r>
        <w:t> </w:t>
      </w:r>
      <w:r w:rsidRPr="0008579A">
        <w:rPr>
          <w:lang w:val="ru-RU"/>
        </w:rPr>
        <w:t>г., а также более 200 конференций и мероприятий в 2015</w:t>
      </w:r>
      <w:r>
        <w:t> </w:t>
      </w:r>
      <w:r w:rsidRPr="0008579A">
        <w:rPr>
          <w:lang w:val="ru-RU"/>
        </w:rPr>
        <w:t>г., в которых приняли участие сотрудники, делегаты, посетители и общественность.  Кроме того, в 2015</w:t>
      </w:r>
      <w:r>
        <w:t> </w:t>
      </w:r>
      <w:r w:rsidRPr="0008579A">
        <w:rPr>
          <w:lang w:val="ru-RU"/>
        </w:rPr>
        <w:t xml:space="preserve">г. </w:t>
      </w:r>
      <w:r>
        <w:t>c</w:t>
      </w:r>
      <w:r w:rsidRPr="0008579A">
        <w:rPr>
          <w:lang w:val="ru-RU"/>
        </w:rPr>
        <w:t xml:space="preserve"> завершением проекта «Минимальные оперативные стандарты безопасности штаб-квартиры» (</w:t>
      </w:r>
      <w:r>
        <w:t>H</w:t>
      </w:r>
      <w:r w:rsidRPr="0008579A">
        <w:rPr>
          <w:lang w:val="ru-RU"/>
        </w:rPr>
        <w:t>-</w:t>
      </w:r>
      <w:r>
        <w:t>MOSS</w:t>
      </w:r>
      <w:r w:rsidRPr="0008579A">
        <w:rPr>
          <w:lang w:val="ru-RU"/>
        </w:rPr>
        <w:t>) были значительно усилены механизмы охраны и безопасности на всей территории комплекса ВОИС, в частности (</w:t>
      </w:r>
      <w:r>
        <w:t>i</w:t>
      </w:r>
      <w:r w:rsidRPr="0008579A">
        <w:rPr>
          <w:lang w:val="ru-RU"/>
        </w:rPr>
        <w:t>)</w:t>
      </w:r>
      <w:r>
        <w:t> </w:t>
      </w:r>
      <w:r w:rsidRPr="0008579A">
        <w:rPr>
          <w:lang w:val="ru-RU"/>
        </w:rPr>
        <w:t>была внедрена новая система контроля доступа посетителей и транспортных средств; (</w:t>
      </w:r>
      <w:r>
        <w:t>ii</w:t>
      </w:r>
      <w:r w:rsidRPr="0008579A">
        <w:rPr>
          <w:lang w:val="ru-RU"/>
        </w:rPr>
        <w:t>)</w:t>
      </w:r>
      <w:r>
        <w:t> </w:t>
      </w:r>
      <w:r w:rsidRPr="0008579A">
        <w:rPr>
          <w:lang w:val="ru-RU"/>
        </w:rPr>
        <w:t>были применены высокотехнологичные меры предотвращения несанкционированного доступа; (</w:t>
      </w:r>
      <w:r>
        <w:t>iii</w:t>
      </w:r>
      <w:r w:rsidRPr="0008579A">
        <w:rPr>
          <w:lang w:val="ru-RU"/>
        </w:rPr>
        <w:t>)</w:t>
      </w:r>
      <w:r>
        <w:t> </w:t>
      </w:r>
      <w:r w:rsidRPr="0008579A">
        <w:rPr>
          <w:lang w:val="ru-RU"/>
        </w:rPr>
        <w:t>была установлена система охранного видеонаблюдения (СОВ); (</w:t>
      </w:r>
      <w:r>
        <w:t>iv</w:t>
      </w:r>
      <w:r w:rsidRPr="0008579A">
        <w:rPr>
          <w:lang w:val="ru-RU"/>
        </w:rPr>
        <w:t>)</w:t>
      </w:r>
      <w:r>
        <w:t> </w:t>
      </w:r>
      <w:r w:rsidRPr="0008579A">
        <w:rPr>
          <w:lang w:val="ru-RU"/>
        </w:rPr>
        <w:t>была проведена защищенная локальная вычислительная сеть (ЛВС); (</w:t>
      </w:r>
      <w:r>
        <w:t>v</w:t>
      </w:r>
      <w:r w:rsidRPr="0008579A">
        <w:rPr>
          <w:lang w:val="ru-RU"/>
        </w:rPr>
        <w:t>)</w:t>
      </w:r>
      <w:r>
        <w:t> </w:t>
      </w:r>
      <w:r w:rsidRPr="0008579A">
        <w:rPr>
          <w:lang w:val="ru-RU"/>
        </w:rPr>
        <w:t>была смонтирована система аварийной связи и аварийного реагирования; (</w:t>
      </w:r>
      <w:r>
        <w:t>vi</w:t>
      </w:r>
      <w:r w:rsidRPr="0008579A">
        <w:rPr>
          <w:lang w:val="ru-RU"/>
        </w:rPr>
        <w:t>)</w:t>
      </w:r>
      <w:r>
        <w:t> </w:t>
      </w:r>
      <w:r w:rsidRPr="0008579A">
        <w:rPr>
          <w:lang w:val="ru-RU"/>
        </w:rPr>
        <w:t>была установлена система обнаружения и тушения пожаров и управления рисками.  Кроме того, для повышения уровня внутренней безопасности и эффективности охраны ВОИС по итогам продолжительного конкурса отобрала новую компанию, оказывающую услуги охраны; передача функций новой охранной службе намечена на начало 2016</w:t>
      </w:r>
      <w:r>
        <w:t> </w:t>
      </w:r>
      <w:r w:rsidRPr="0008579A">
        <w:rPr>
          <w:lang w:val="ru-RU"/>
        </w:rPr>
        <w:t xml:space="preserve">г.  </w:t>
      </w:r>
    </w:p>
    <w:p w:rsidR="0008579A" w:rsidRPr="0008579A" w:rsidRDefault="0008579A" w:rsidP="0008579A">
      <w:pPr>
        <w:jc w:val="both"/>
        <w:rPr>
          <w:bCs/>
          <w:szCs w:val="20"/>
          <w:lang w:val="ru-RU"/>
        </w:rPr>
      </w:pPr>
    </w:p>
    <w:p w:rsidR="0008579A" w:rsidRPr="0008579A" w:rsidRDefault="0008579A" w:rsidP="0008579A">
      <w:pPr>
        <w:pStyle w:val="ListParagraph"/>
        <w:numPr>
          <w:ilvl w:val="0"/>
          <w:numId w:val="36"/>
        </w:numPr>
        <w:tabs>
          <w:tab w:val="left" w:pos="709"/>
        </w:tabs>
        <w:ind w:left="0" w:firstLine="0"/>
        <w:jc w:val="both"/>
        <w:rPr>
          <w:bCs/>
          <w:lang w:val="ru-RU"/>
        </w:rPr>
      </w:pPr>
      <w:r w:rsidRPr="0008579A">
        <w:rPr>
          <w:lang w:val="ru-RU"/>
        </w:rPr>
        <w:t xml:space="preserve">В целях дальнейшей оптимизации операционных возможностей системы </w:t>
      </w:r>
      <w:r>
        <w:t>SCOC</w:t>
      </w:r>
      <w:r w:rsidRPr="0008579A">
        <w:rPr>
          <w:lang w:val="ru-RU"/>
        </w:rPr>
        <w:t xml:space="preserve"> и новых систем сотрудники службы охраны и безопасности и персонал группы непосредственной охраны проходили специальную подготовку в 2014</w:t>
      </w:r>
      <w:r>
        <w:t> </w:t>
      </w:r>
      <w:r w:rsidRPr="0008579A">
        <w:rPr>
          <w:lang w:val="ru-RU"/>
        </w:rPr>
        <w:t>г. и 2015</w:t>
      </w:r>
      <w:r>
        <w:t> </w:t>
      </w:r>
      <w:r w:rsidRPr="0008579A">
        <w:rPr>
          <w:lang w:val="ru-RU"/>
        </w:rPr>
        <w:t>г.  В течение этого двухлетнего периода был введен новый регламент управления безопасностью, а также обновлены имеющиеся стандартные процедуры деятельности (СПД) и другие соответствующие нормативы.  Кроме того, в целях дальнейшего повышения оперативности и расширения возможностей реагирования в чрезвычайных ситуациях были разработаны и включены в СПД новые меры по оценке работы сотрудников службы безопасности.  Наконец, в соответствии со Стратегией обеспечения непрерывности деятельности (</w:t>
      </w:r>
      <w:r>
        <w:t>BCMS</w:t>
      </w:r>
      <w:r w:rsidRPr="0008579A">
        <w:rPr>
          <w:lang w:val="ru-RU"/>
        </w:rPr>
        <w:t>) и Планом кризисного управления (ПКУ) в 2015</w:t>
      </w:r>
      <w:r>
        <w:t> </w:t>
      </w:r>
      <w:r w:rsidRPr="0008579A">
        <w:rPr>
          <w:lang w:val="ru-RU"/>
        </w:rPr>
        <w:t>г. продолжалось совершенствование некоторых средств обеспечения безопасности и охраны в здании административного центра «Морийон» (контроль доступа, модернизация противопожарных экранов и датчиков возгорания, установка системы охранного видеонаблюдения) с тем, чтобы в перспективе создать в нем резервный центр кризисного управления.</w:t>
      </w:r>
    </w:p>
    <w:p w:rsidR="0008579A" w:rsidRPr="0008579A" w:rsidRDefault="0008579A" w:rsidP="0008579A">
      <w:pPr>
        <w:pStyle w:val="ListParagraph"/>
        <w:tabs>
          <w:tab w:val="left" w:pos="709"/>
        </w:tabs>
        <w:ind w:left="0"/>
        <w:jc w:val="both"/>
        <w:rPr>
          <w:bCs/>
          <w:lang w:val="ru-RU"/>
        </w:rPr>
      </w:pPr>
    </w:p>
    <w:p w:rsidR="0008579A" w:rsidRPr="0008579A" w:rsidRDefault="0008579A" w:rsidP="0008579A">
      <w:pPr>
        <w:pStyle w:val="ListParagraph"/>
        <w:numPr>
          <w:ilvl w:val="0"/>
          <w:numId w:val="36"/>
        </w:numPr>
        <w:tabs>
          <w:tab w:val="left" w:pos="709"/>
        </w:tabs>
        <w:ind w:left="0" w:firstLine="0"/>
        <w:jc w:val="both"/>
        <w:rPr>
          <w:bCs/>
          <w:lang w:val="ru-RU"/>
        </w:rPr>
      </w:pPr>
      <w:r w:rsidRPr="0008579A">
        <w:rPr>
          <w:lang w:val="ru-RU"/>
        </w:rPr>
        <w:t>Чтобы повысить степень безопасности/защищенности сотрудников ВОИС, повысить эффективность защиты имущества Организации и обеспечить соблюдение процедур охраны и безопасности ООН, в 2014–2015</w:t>
      </w:r>
      <w:r>
        <w:t> </w:t>
      </w:r>
      <w:r w:rsidRPr="0008579A">
        <w:rPr>
          <w:lang w:val="ru-RU"/>
        </w:rPr>
        <w:t>гг. во всех пяти внешних бюро была проведена проверка организации охраны и безопасности, при этом более 90</w:t>
      </w:r>
      <w:r>
        <w:t> </w:t>
      </w:r>
      <w:r w:rsidRPr="0008579A">
        <w:rPr>
          <w:lang w:val="ru-RU"/>
        </w:rPr>
        <w:t xml:space="preserve">процентов рекомендаций, вынесенных по итогам проверки, было закрыто к концу этого двухлетнего периода.  Помимо этого, по линии </w:t>
      </w:r>
      <w:r>
        <w:t>SCOC</w:t>
      </w:r>
      <w:r w:rsidRPr="0008579A">
        <w:rPr>
          <w:lang w:val="ru-RU"/>
        </w:rPr>
        <w:t xml:space="preserve"> для внешних бюро ВОИС была разработана программа информационно-разъяснительной работы в целях обеспечения более эффективного управления деятельностью в области охраны и безопасности на основе координации усилий и круглосуточного функционирования службы обеспечения соблюдения мер безопасности.</w:t>
      </w:r>
    </w:p>
    <w:p w:rsidR="0008579A" w:rsidRPr="0008579A" w:rsidRDefault="0008579A" w:rsidP="0008579A">
      <w:pPr>
        <w:jc w:val="both"/>
        <w:rPr>
          <w:bCs/>
          <w:szCs w:val="20"/>
          <w:lang w:val="ru-RU"/>
        </w:rPr>
      </w:pPr>
    </w:p>
    <w:p w:rsidR="0008579A" w:rsidRPr="0008579A" w:rsidRDefault="0008579A" w:rsidP="0008579A">
      <w:pPr>
        <w:pStyle w:val="ListParagraph"/>
        <w:numPr>
          <w:ilvl w:val="0"/>
          <w:numId w:val="36"/>
        </w:numPr>
        <w:tabs>
          <w:tab w:val="left" w:pos="709"/>
        </w:tabs>
        <w:ind w:left="0" w:firstLine="0"/>
        <w:jc w:val="both"/>
        <w:rPr>
          <w:bCs/>
          <w:lang w:val="ru-RU"/>
        </w:rPr>
      </w:pPr>
      <w:r w:rsidRPr="0008579A">
        <w:rPr>
          <w:lang w:val="ru-RU"/>
        </w:rPr>
        <w:t>Общее число инцидентов в области безопасности и охраны, зарегистрированных в течение рассматриваемого периода, по-прежнему было небольшим, при этом из 616 инцидентов, связанных с безопасностью, 7 (или 1,1</w:t>
      </w:r>
      <w:r>
        <w:t> </w:t>
      </w:r>
      <w:r w:rsidRPr="0008579A">
        <w:rPr>
          <w:lang w:val="ru-RU"/>
        </w:rPr>
        <w:t>процента) привели к травмам: 2 из 222 (0,9</w:t>
      </w:r>
      <w:r>
        <w:t> </w:t>
      </w:r>
      <w:r w:rsidRPr="0008579A">
        <w:rPr>
          <w:lang w:val="ru-RU"/>
        </w:rPr>
        <w:t>процента) в 2014</w:t>
      </w:r>
      <w:r>
        <w:t> </w:t>
      </w:r>
      <w:r w:rsidRPr="0008579A">
        <w:rPr>
          <w:lang w:val="ru-RU"/>
        </w:rPr>
        <w:t>г. и 5 из 394 (1,3</w:t>
      </w:r>
      <w:r>
        <w:t> </w:t>
      </w:r>
      <w:r w:rsidRPr="0008579A">
        <w:rPr>
          <w:lang w:val="ru-RU"/>
        </w:rPr>
        <w:t>процента) в 2015</w:t>
      </w:r>
      <w:r>
        <w:t> </w:t>
      </w:r>
      <w:r w:rsidRPr="0008579A">
        <w:rPr>
          <w:lang w:val="ru-RU"/>
        </w:rPr>
        <w:t>г.</w:t>
      </w:r>
    </w:p>
    <w:p w:rsidR="0008579A" w:rsidRPr="0008579A" w:rsidRDefault="0008579A" w:rsidP="0008579A">
      <w:pPr>
        <w:pStyle w:val="ListParagraph"/>
        <w:rPr>
          <w:bCs/>
          <w:lang w:val="ru-RU"/>
        </w:rPr>
      </w:pPr>
    </w:p>
    <w:p w:rsidR="0008579A" w:rsidRPr="00EC2855" w:rsidRDefault="0008579A" w:rsidP="0008579A">
      <w:pPr>
        <w:rPr>
          <w:rFonts w:cs="Arial"/>
          <w:szCs w:val="20"/>
        </w:rPr>
      </w:pPr>
      <w:r>
        <w:t>ДАННЫЕ О РЕЗУЛЬТАТИВНОСТИ</w:t>
      </w:r>
    </w:p>
    <w:p w:rsidR="0008579A" w:rsidRDefault="0008579A" w:rsidP="0008579A"/>
    <w:tbl>
      <w:tblPr>
        <w:tblW w:w="5000" w:type="pct"/>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95"/>
        <w:gridCol w:w="2705"/>
        <w:gridCol w:w="1216"/>
        <w:gridCol w:w="2575"/>
        <w:gridCol w:w="980"/>
      </w:tblGrid>
      <w:tr w:rsidR="0008579A" w:rsidRPr="005C6ABD" w:rsidTr="00955E75">
        <w:trPr>
          <w:cantSplit/>
        </w:trPr>
        <w:tc>
          <w:tcPr>
            <w:tcW w:w="5000" w:type="pct"/>
            <w:gridSpan w:val="5"/>
            <w:tcBorders>
              <w:top w:val="single" w:sz="4" w:space="0" w:color="auto"/>
              <w:bottom w:val="single" w:sz="4" w:space="0" w:color="auto"/>
            </w:tcBorders>
            <w:shd w:val="clear" w:color="auto" w:fill="C6D9F1" w:themeFill="text2" w:themeFillTint="33"/>
            <w:vAlign w:val="center"/>
          </w:tcPr>
          <w:p w:rsidR="0008579A" w:rsidRPr="0008579A" w:rsidRDefault="0008579A" w:rsidP="008320CF">
            <w:pPr>
              <w:spacing w:before="60"/>
              <w:ind w:left="2302" w:hanging="2302"/>
              <w:rPr>
                <w:rFonts w:cs="Arial"/>
                <w:b/>
                <w:bCs/>
                <w:sz w:val="16"/>
                <w:szCs w:val="16"/>
                <w:lang w:val="ru-RU"/>
              </w:rPr>
            </w:pPr>
            <w:r w:rsidRPr="0008579A">
              <w:rPr>
                <w:b/>
                <w:sz w:val="16"/>
                <w:szCs w:val="16"/>
                <w:lang w:val="ru-RU"/>
              </w:rPr>
              <w:t xml:space="preserve">Ожидаемый результат: </w:t>
            </w:r>
            <w:r w:rsidRPr="0008579A">
              <w:rPr>
                <w:sz w:val="16"/>
                <w:szCs w:val="16"/>
                <w:lang w:val="ru-RU"/>
              </w:rPr>
              <w:tab/>
            </w:r>
            <w:r w:rsidRPr="00B8682F">
              <w:rPr>
                <w:sz w:val="16"/>
                <w:szCs w:val="16"/>
              </w:rPr>
              <w:t>IX</w:t>
            </w:r>
            <w:r w:rsidRPr="0008579A">
              <w:rPr>
                <w:sz w:val="16"/>
                <w:szCs w:val="16"/>
                <w:lang w:val="ru-RU"/>
              </w:rPr>
              <w:t>.4. Ответственная в экологическом и социальном плане Органи</w:t>
            </w:r>
            <w:r w:rsidR="008320CF">
              <w:rPr>
                <w:sz w:val="16"/>
                <w:szCs w:val="16"/>
                <w:lang w:val="ru-RU"/>
              </w:rPr>
              <w:t xml:space="preserve">зация, в которой сотрудники </w:t>
            </w:r>
            <w:r w:rsidRPr="0008579A">
              <w:rPr>
                <w:sz w:val="16"/>
                <w:szCs w:val="16"/>
                <w:lang w:val="ru-RU"/>
              </w:rPr>
              <w:t>ВОИС, делегаты, посетители, а также информационные и матер</w:t>
            </w:r>
            <w:r w:rsidR="008320CF">
              <w:rPr>
                <w:sz w:val="16"/>
                <w:szCs w:val="16"/>
                <w:lang w:val="ru-RU"/>
              </w:rPr>
              <w:t xml:space="preserve">иальные активы находятся под </w:t>
            </w:r>
            <w:r w:rsidRPr="0008579A">
              <w:rPr>
                <w:sz w:val="16"/>
                <w:szCs w:val="16"/>
                <w:lang w:val="ru-RU"/>
              </w:rPr>
              <w:t>охраной и в безопасности</w:t>
            </w:r>
          </w:p>
        </w:tc>
      </w:tr>
      <w:tr w:rsidR="0008579A" w:rsidRPr="00B8682F" w:rsidTr="00955E75">
        <w:trPr>
          <w:cantSplit/>
        </w:trPr>
        <w:tc>
          <w:tcPr>
            <w:tcW w:w="1095" w:type="pct"/>
            <w:tcBorders>
              <w:top w:val="single" w:sz="4" w:space="0" w:color="auto"/>
            </w:tcBorders>
            <w:shd w:val="clear" w:color="auto" w:fill="auto"/>
            <w:vAlign w:val="center"/>
          </w:tcPr>
          <w:p w:rsidR="0008579A" w:rsidRPr="00B8682F" w:rsidRDefault="0008579A" w:rsidP="00955E75">
            <w:pPr>
              <w:rPr>
                <w:rFonts w:cs="Arial"/>
                <w:b/>
                <w:sz w:val="16"/>
                <w:szCs w:val="16"/>
              </w:rPr>
            </w:pPr>
            <w:r w:rsidRPr="00B8682F">
              <w:rPr>
                <w:b/>
                <w:sz w:val="16"/>
                <w:szCs w:val="16"/>
              </w:rPr>
              <w:t>Показатели результативности</w:t>
            </w:r>
          </w:p>
        </w:tc>
        <w:tc>
          <w:tcPr>
            <w:tcW w:w="1413" w:type="pct"/>
            <w:tcBorders>
              <w:top w:val="single" w:sz="4" w:space="0" w:color="auto"/>
            </w:tcBorders>
            <w:shd w:val="clear" w:color="auto" w:fill="auto"/>
            <w:vAlign w:val="center"/>
          </w:tcPr>
          <w:p w:rsidR="0008579A" w:rsidRPr="00B8682F" w:rsidRDefault="0008579A" w:rsidP="00955E75">
            <w:pPr>
              <w:keepNext/>
              <w:keepLines/>
              <w:rPr>
                <w:rFonts w:cs="Arial"/>
                <w:b/>
                <w:bCs/>
                <w:sz w:val="16"/>
                <w:szCs w:val="16"/>
              </w:rPr>
            </w:pPr>
            <w:r w:rsidRPr="00B8682F">
              <w:rPr>
                <w:b/>
                <w:sz w:val="16"/>
                <w:szCs w:val="16"/>
              </w:rPr>
              <w:t>Базовые показатели</w:t>
            </w:r>
          </w:p>
        </w:tc>
        <w:tc>
          <w:tcPr>
            <w:tcW w:w="635" w:type="pct"/>
            <w:tcBorders>
              <w:top w:val="single" w:sz="4" w:space="0" w:color="auto"/>
            </w:tcBorders>
            <w:shd w:val="clear" w:color="auto" w:fill="auto"/>
            <w:tcMar>
              <w:top w:w="110" w:type="dxa"/>
            </w:tcMar>
            <w:vAlign w:val="center"/>
          </w:tcPr>
          <w:p w:rsidR="0008579A" w:rsidRPr="00B8682F" w:rsidRDefault="0008579A" w:rsidP="00955E75">
            <w:pPr>
              <w:keepNext/>
              <w:keepLines/>
              <w:rPr>
                <w:rFonts w:cs="Arial"/>
                <w:b/>
                <w:sz w:val="16"/>
                <w:szCs w:val="16"/>
              </w:rPr>
            </w:pPr>
            <w:r w:rsidRPr="00B8682F">
              <w:rPr>
                <w:b/>
                <w:sz w:val="16"/>
                <w:szCs w:val="16"/>
              </w:rPr>
              <w:t>Цели</w:t>
            </w:r>
          </w:p>
        </w:tc>
        <w:tc>
          <w:tcPr>
            <w:tcW w:w="1345" w:type="pct"/>
            <w:tcBorders>
              <w:top w:val="single" w:sz="4" w:space="0" w:color="auto"/>
            </w:tcBorders>
            <w:shd w:val="clear" w:color="auto" w:fill="FFFFFF"/>
            <w:tcMar>
              <w:top w:w="110" w:type="dxa"/>
            </w:tcMar>
            <w:vAlign w:val="center"/>
          </w:tcPr>
          <w:p w:rsidR="0008579A" w:rsidRPr="00B8682F" w:rsidRDefault="0008579A" w:rsidP="00955E75">
            <w:pPr>
              <w:keepNext/>
              <w:keepLines/>
              <w:rPr>
                <w:rFonts w:cs="Arial"/>
                <w:sz w:val="16"/>
                <w:szCs w:val="16"/>
              </w:rPr>
            </w:pPr>
            <w:r w:rsidRPr="00B8682F">
              <w:rPr>
                <w:b/>
                <w:sz w:val="16"/>
                <w:szCs w:val="16"/>
              </w:rPr>
              <w:t>Данные о результативности</w:t>
            </w:r>
          </w:p>
        </w:tc>
        <w:tc>
          <w:tcPr>
            <w:tcW w:w="512" w:type="pct"/>
            <w:tcBorders>
              <w:top w:val="single" w:sz="4" w:space="0" w:color="auto"/>
            </w:tcBorders>
            <w:shd w:val="clear" w:color="auto" w:fill="auto"/>
            <w:tcMar>
              <w:top w:w="110" w:type="dxa"/>
            </w:tcMar>
            <w:vAlign w:val="center"/>
          </w:tcPr>
          <w:p w:rsidR="0008579A" w:rsidRPr="00B8682F" w:rsidRDefault="0008579A" w:rsidP="00955E75">
            <w:pPr>
              <w:keepNext/>
              <w:keepLines/>
              <w:jc w:val="center"/>
              <w:rPr>
                <w:rFonts w:cs="Arial"/>
                <w:b/>
                <w:bCs/>
                <w:sz w:val="16"/>
                <w:szCs w:val="16"/>
              </w:rPr>
            </w:pPr>
            <w:r w:rsidRPr="00B8682F">
              <w:rPr>
                <w:b/>
                <w:sz w:val="16"/>
                <w:szCs w:val="16"/>
              </w:rPr>
              <w:t>CC</w:t>
            </w:r>
          </w:p>
        </w:tc>
      </w:tr>
      <w:tr w:rsidR="0008579A" w:rsidRPr="00B8682F" w:rsidTr="00955E75">
        <w:trPr>
          <w:cantSplit/>
        </w:trPr>
        <w:tc>
          <w:tcPr>
            <w:tcW w:w="1095" w:type="pct"/>
            <w:shd w:val="clear" w:color="auto" w:fill="auto"/>
          </w:tcPr>
          <w:p w:rsidR="0008579A" w:rsidRPr="0008579A" w:rsidRDefault="0008579A" w:rsidP="00955E75">
            <w:pPr>
              <w:rPr>
                <w:rFonts w:cs="Arial"/>
                <w:sz w:val="16"/>
                <w:szCs w:val="16"/>
                <w:lang w:val="ru-RU"/>
              </w:rPr>
            </w:pPr>
            <w:r w:rsidRPr="0008579A">
              <w:rPr>
                <w:sz w:val="16"/>
                <w:szCs w:val="16"/>
                <w:lang w:val="ru-RU"/>
              </w:rPr>
              <w:t>Доля (%) штатных сотрудников ВОИС, делегатов и посетителей, сообщивших об инцидентах, связанных с работой</w:t>
            </w:r>
          </w:p>
        </w:tc>
        <w:tc>
          <w:tcPr>
            <w:tcW w:w="1413" w:type="pct"/>
            <w:shd w:val="clear" w:color="auto" w:fill="auto"/>
          </w:tcPr>
          <w:p w:rsidR="0008579A" w:rsidRPr="0008579A" w:rsidRDefault="0008579A" w:rsidP="00955E75">
            <w:pPr>
              <w:keepNext/>
              <w:keepLines/>
              <w:rPr>
                <w:rFonts w:cs="Arial"/>
                <w:i/>
                <w:color w:val="002060"/>
                <w:sz w:val="16"/>
                <w:szCs w:val="16"/>
                <w:lang w:val="ru-RU"/>
              </w:rPr>
            </w:pPr>
            <w:r w:rsidRPr="0008579A">
              <w:rPr>
                <w:i/>
                <w:color w:val="002060"/>
                <w:sz w:val="16"/>
                <w:szCs w:val="16"/>
                <w:lang w:val="ru-RU"/>
              </w:rPr>
              <w:t>Обновленные базовые показатели, конец 2013</w:t>
            </w:r>
            <w:r w:rsidRPr="00B8682F">
              <w:rPr>
                <w:i/>
                <w:color w:val="002060"/>
                <w:sz w:val="16"/>
                <w:szCs w:val="16"/>
              </w:rPr>
              <w:t> </w:t>
            </w:r>
            <w:r w:rsidRPr="0008579A">
              <w:rPr>
                <w:i/>
                <w:color w:val="002060"/>
                <w:sz w:val="16"/>
                <w:szCs w:val="16"/>
                <w:lang w:val="ru-RU"/>
              </w:rPr>
              <w:t xml:space="preserve">г.: </w:t>
            </w:r>
          </w:p>
          <w:p w:rsidR="0008579A" w:rsidRPr="0008579A" w:rsidRDefault="0008579A" w:rsidP="00955E75">
            <w:pPr>
              <w:keepNext/>
              <w:keepLines/>
              <w:rPr>
                <w:rFonts w:cs="Arial"/>
                <w:color w:val="002060"/>
                <w:sz w:val="16"/>
                <w:szCs w:val="16"/>
                <w:lang w:val="ru-RU"/>
              </w:rPr>
            </w:pPr>
            <w:r w:rsidRPr="0008579A">
              <w:rPr>
                <w:color w:val="002060"/>
                <w:sz w:val="16"/>
                <w:szCs w:val="16"/>
                <w:lang w:val="ru-RU"/>
              </w:rPr>
              <w:t>в 2012-2013 гг. совокупная доля происшествий с сотрудниками, окончившихся травмами, составляла менее 2%: (6 в 2012 г.; 4 в 2013 г.)</w:t>
            </w:r>
          </w:p>
          <w:p w:rsidR="0008579A" w:rsidRPr="0008579A" w:rsidRDefault="0008579A" w:rsidP="00955E75">
            <w:pPr>
              <w:keepNext/>
              <w:keepLines/>
              <w:rPr>
                <w:rFonts w:cs="Arial"/>
                <w:sz w:val="16"/>
                <w:szCs w:val="16"/>
                <w:lang w:val="ru-RU"/>
              </w:rPr>
            </w:pPr>
          </w:p>
          <w:p w:rsidR="0008579A" w:rsidRPr="0008579A" w:rsidRDefault="0008579A" w:rsidP="00955E75">
            <w:pPr>
              <w:keepNext/>
              <w:keepLines/>
              <w:rPr>
                <w:rFonts w:cs="Arial"/>
                <w:sz w:val="16"/>
                <w:szCs w:val="16"/>
                <w:lang w:val="ru-RU"/>
              </w:rPr>
            </w:pPr>
            <w:r w:rsidRPr="0008579A">
              <w:rPr>
                <w:i/>
                <w:sz w:val="16"/>
                <w:szCs w:val="16"/>
                <w:lang w:val="ru-RU"/>
              </w:rPr>
              <w:t>Исходные базовые показатели ПиБ на 2014–2015</w:t>
            </w:r>
            <w:r>
              <w:rPr>
                <w:i/>
                <w:sz w:val="16"/>
                <w:szCs w:val="16"/>
              </w:rPr>
              <w:t> </w:t>
            </w:r>
            <w:r w:rsidRPr="0008579A">
              <w:rPr>
                <w:i/>
                <w:sz w:val="16"/>
                <w:szCs w:val="16"/>
                <w:lang w:val="ru-RU"/>
              </w:rPr>
              <w:t xml:space="preserve">гг.: </w:t>
            </w:r>
            <w:r w:rsidRPr="0008579A">
              <w:rPr>
                <w:sz w:val="16"/>
                <w:szCs w:val="16"/>
                <w:lang w:val="ru-RU"/>
              </w:rPr>
              <w:t>поступление сообщений о травмах или инцидентах, связанных с работой, не более чем от 2% общего числа партнеров/клиентов</w:t>
            </w:r>
          </w:p>
          <w:p w:rsidR="0008579A" w:rsidRPr="0008579A" w:rsidRDefault="0008579A" w:rsidP="00955E75">
            <w:pPr>
              <w:keepNext/>
              <w:keepLines/>
              <w:rPr>
                <w:rFonts w:cs="Arial"/>
                <w:sz w:val="16"/>
                <w:szCs w:val="16"/>
                <w:lang w:val="ru-RU"/>
              </w:rPr>
            </w:pPr>
          </w:p>
        </w:tc>
        <w:tc>
          <w:tcPr>
            <w:tcW w:w="635" w:type="pct"/>
            <w:shd w:val="clear" w:color="auto" w:fill="auto"/>
            <w:tcMar>
              <w:top w:w="110" w:type="dxa"/>
            </w:tcMar>
          </w:tcPr>
          <w:p w:rsidR="0008579A" w:rsidRPr="00B8682F" w:rsidRDefault="0008579A" w:rsidP="00955E75">
            <w:pPr>
              <w:keepNext/>
              <w:keepLines/>
              <w:rPr>
                <w:rFonts w:cs="Arial"/>
                <w:sz w:val="16"/>
                <w:szCs w:val="16"/>
              </w:rPr>
            </w:pPr>
            <w:r w:rsidRPr="00B8682F">
              <w:rPr>
                <w:rFonts w:ascii="ArialMT" w:hAnsi="ArialMT"/>
                <w:sz w:val="16"/>
                <w:szCs w:val="16"/>
              </w:rPr>
              <w:t>2% или менее</w:t>
            </w:r>
          </w:p>
        </w:tc>
        <w:tc>
          <w:tcPr>
            <w:tcW w:w="1345" w:type="pct"/>
            <w:shd w:val="clear" w:color="auto" w:fill="FFFFFF"/>
            <w:tcMar>
              <w:top w:w="110" w:type="dxa"/>
            </w:tcMar>
          </w:tcPr>
          <w:p w:rsidR="0008579A" w:rsidRPr="0008579A" w:rsidRDefault="0008579A" w:rsidP="00955E75">
            <w:pPr>
              <w:keepNext/>
              <w:keepLines/>
              <w:rPr>
                <w:rFonts w:cs="Arial"/>
                <w:sz w:val="16"/>
                <w:szCs w:val="16"/>
                <w:lang w:val="ru-RU"/>
              </w:rPr>
            </w:pPr>
            <w:r w:rsidRPr="0008579A">
              <w:rPr>
                <w:sz w:val="16"/>
                <w:szCs w:val="16"/>
                <w:lang w:val="ru-RU"/>
              </w:rPr>
              <w:t>Общий процент инцидентов в области безопасности, связанных с травмами, в 2014–2015</w:t>
            </w:r>
            <w:r w:rsidRPr="00B8682F">
              <w:rPr>
                <w:sz w:val="16"/>
                <w:szCs w:val="16"/>
              </w:rPr>
              <w:t> </w:t>
            </w:r>
            <w:r w:rsidRPr="0008579A">
              <w:rPr>
                <w:sz w:val="16"/>
                <w:szCs w:val="16"/>
                <w:lang w:val="ru-RU"/>
              </w:rPr>
              <w:t>гг. составил 1,1%:</w:t>
            </w:r>
          </w:p>
          <w:p w:rsidR="0008579A" w:rsidRPr="0008579A" w:rsidRDefault="0008579A" w:rsidP="0008579A">
            <w:pPr>
              <w:pStyle w:val="ListParagraph"/>
              <w:keepNext/>
              <w:keepLines/>
              <w:numPr>
                <w:ilvl w:val="0"/>
                <w:numId w:val="37"/>
              </w:numPr>
              <w:rPr>
                <w:rFonts w:cs="Arial"/>
                <w:sz w:val="16"/>
                <w:szCs w:val="16"/>
                <w:lang w:val="ru-RU"/>
              </w:rPr>
            </w:pPr>
            <w:r w:rsidRPr="0008579A">
              <w:rPr>
                <w:sz w:val="16"/>
                <w:szCs w:val="16"/>
                <w:lang w:val="ru-RU"/>
              </w:rPr>
              <w:t>2 инцидента, связанных с безопасностью (2014</w:t>
            </w:r>
            <w:r w:rsidRPr="00B8682F">
              <w:rPr>
                <w:sz w:val="16"/>
                <w:szCs w:val="16"/>
              </w:rPr>
              <w:t> </w:t>
            </w:r>
            <w:r w:rsidRPr="0008579A">
              <w:rPr>
                <w:sz w:val="16"/>
                <w:szCs w:val="16"/>
                <w:lang w:val="ru-RU"/>
              </w:rPr>
              <w:t xml:space="preserve">г.) </w:t>
            </w:r>
          </w:p>
          <w:p w:rsidR="0008579A" w:rsidRPr="0008579A" w:rsidRDefault="0008579A" w:rsidP="0008579A">
            <w:pPr>
              <w:pStyle w:val="ListParagraph"/>
              <w:keepNext/>
              <w:keepLines/>
              <w:numPr>
                <w:ilvl w:val="0"/>
                <w:numId w:val="37"/>
              </w:numPr>
              <w:rPr>
                <w:rFonts w:cs="Arial"/>
                <w:sz w:val="16"/>
                <w:szCs w:val="16"/>
                <w:lang w:val="ru-RU"/>
              </w:rPr>
            </w:pPr>
            <w:r w:rsidRPr="0008579A">
              <w:rPr>
                <w:sz w:val="16"/>
                <w:szCs w:val="16"/>
                <w:lang w:val="ru-RU"/>
              </w:rPr>
              <w:t>5 инцидентов, связанных с безопасностью (2015</w:t>
            </w:r>
            <w:r w:rsidRPr="00B8682F">
              <w:rPr>
                <w:sz w:val="16"/>
                <w:szCs w:val="16"/>
              </w:rPr>
              <w:t> </w:t>
            </w:r>
            <w:r w:rsidRPr="0008579A">
              <w:rPr>
                <w:sz w:val="16"/>
                <w:szCs w:val="16"/>
                <w:lang w:val="ru-RU"/>
              </w:rPr>
              <w:t>г.)</w:t>
            </w:r>
          </w:p>
        </w:tc>
        <w:tc>
          <w:tcPr>
            <w:tcW w:w="512" w:type="pct"/>
            <w:shd w:val="clear" w:color="auto" w:fill="auto"/>
            <w:tcMar>
              <w:top w:w="110" w:type="dxa"/>
            </w:tcMar>
          </w:tcPr>
          <w:p w:rsidR="0008579A" w:rsidRPr="00B8682F" w:rsidRDefault="0008579A" w:rsidP="00955E75">
            <w:pPr>
              <w:keepNext/>
              <w:keepLines/>
              <w:jc w:val="center"/>
              <w:rPr>
                <w:rFonts w:cs="Arial"/>
                <w:b/>
                <w:bCs/>
                <w:color w:val="00B050"/>
                <w:sz w:val="16"/>
                <w:szCs w:val="16"/>
              </w:rPr>
            </w:pPr>
            <w:r w:rsidRPr="00B8682F">
              <w:rPr>
                <w:b/>
                <w:color w:val="00B050"/>
                <w:sz w:val="16"/>
                <w:szCs w:val="16"/>
              </w:rPr>
              <w:t>Выполнено</w:t>
            </w:r>
          </w:p>
        </w:tc>
      </w:tr>
      <w:tr w:rsidR="0008579A" w:rsidRPr="00B8682F" w:rsidTr="00955E75">
        <w:trPr>
          <w:cantSplit/>
        </w:trPr>
        <w:tc>
          <w:tcPr>
            <w:tcW w:w="1095" w:type="pct"/>
            <w:shd w:val="clear" w:color="auto" w:fill="auto"/>
          </w:tcPr>
          <w:p w:rsidR="0008579A" w:rsidRPr="0008579A" w:rsidRDefault="0008579A" w:rsidP="00955E75">
            <w:pPr>
              <w:rPr>
                <w:rFonts w:cs="Arial"/>
                <w:sz w:val="16"/>
                <w:szCs w:val="16"/>
                <w:lang w:val="ru-RU"/>
              </w:rPr>
            </w:pPr>
            <w:r w:rsidRPr="0008579A">
              <w:rPr>
                <w:sz w:val="16"/>
                <w:szCs w:val="16"/>
                <w:lang w:val="ru-RU"/>
              </w:rPr>
              <w:t>Доля (%) своевременно направляемых запросов об оказании помощи в обеспечении охраны и безопасности на конференциях и мероприятиях, проводимых в Женеве или за ее пределами</w:t>
            </w:r>
          </w:p>
        </w:tc>
        <w:tc>
          <w:tcPr>
            <w:tcW w:w="1413" w:type="pct"/>
            <w:shd w:val="clear" w:color="auto" w:fill="auto"/>
          </w:tcPr>
          <w:p w:rsidR="0008579A" w:rsidRPr="0008579A" w:rsidRDefault="0008579A" w:rsidP="00955E75">
            <w:pPr>
              <w:rPr>
                <w:rFonts w:cs="Arial"/>
                <w:i/>
                <w:color w:val="002060"/>
                <w:sz w:val="16"/>
                <w:szCs w:val="16"/>
                <w:lang w:val="ru-RU"/>
              </w:rPr>
            </w:pPr>
            <w:r w:rsidRPr="0008579A">
              <w:rPr>
                <w:i/>
                <w:color w:val="002060"/>
                <w:sz w:val="16"/>
                <w:szCs w:val="16"/>
                <w:lang w:val="ru-RU"/>
              </w:rPr>
              <w:t>Обновленные базовые показатели, конец 2013</w:t>
            </w:r>
            <w:r w:rsidRPr="00B8682F">
              <w:rPr>
                <w:i/>
                <w:color w:val="002060"/>
                <w:sz w:val="16"/>
                <w:szCs w:val="16"/>
              </w:rPr>
              <w:t> </w:t>
            </w:r>
            <w:r w:rsidRPr="0008579A">
              <w:rPr>
                <w:i/>
                <w:color w:val="002060"/>
                <w:sz w:val="16"/>
                <w:szCs w:val="16"/>
                <w:lang w:val="ru-RU"/>
              </w:rPr>
              <w:t xml:space="preserve">г.: </w:t>
            </w:r>
          </w:p>
          <w:p w:rsidR="0008579A" w:rsidRPr="0008579A" w:rsidRDefault="0008579A" w:rsidP="00955E75">
            <w:pPr>
              <w:rPr>
                <w:rFonts w:cs="Arial"/>
                <w:color w:val="002060"/>
                <w:sz w:val="16"/>
                <w:szCs w:val="16"/>
                <w:lang w:val="ru-RU"/>
              </w:rPr>
            </w:pPr>
            <w:r w:rsidRPr="0008579A">
              <w:rPr>
                <w:color w:val="002060"/>
                <w:sz w:val="16"/>
                <w:szCs w:val="16"/>
                <w:lang w:val="ru-RU"/>
              </w:rPr>
              <w:t>в течение двухлетнего периода было проведено в общей сложности семь проверок внешних конференций/совещаний при содействии отделений Департамента безопасности ООН в соответствующей стране и при соблюдении всех норм системы обеспечения охраны и безопасности ООН:</w:t>
            </w:r>
          </w:p>
          <w:p w:rsidR="0008579A" w:rsidRPr="0008579A" w:rsidRDefault="0008579A" w:rsidP="00955E75">
            <w:pPr>
              <w:rPr>
                <w:rFonts w:cs="Arial"/>
                <w:color w:val="002060"/>
                <w:sz w:val="16"/>
                <w:szCs w:val="16"/>
                <w:lang w:val="ru-RU"/>
              </w:rPr>
            </w:pPr>
          </w:p>
          <w:p w:rsidR="0008579A" w:rsidRPr="00B8682F" w:rsidRDefault="0008579A" w:rsidP="0008579A">
            <w:pPr>
              <w:pStyle w:val="ListParagraph"/>
              <w:numPr>
                <w:ilvl w:val="0"/>
                <w:numId w:val="35"/>
              </w:numPr>
              <w:ind w:left="460" w:hanging="284"/>
              <w:rPr>
                <w:rFonts w:cs="Arial"/>
                <w:color w:val="002060"/>
                <w:sz w:val="16"/>
                <w:szCs w:val="16"/>
              </w:rPr>
            </w:pPr>
            <w:r w:rsidRPr="00B8682F">
              <w:rPr>
                <w:color w:val="002060"/>
                <w:sz w:val="16"/>
                <w:szCs w:val="16"/>
              </w:rPr>
              <w:t>2012 г.: три проверки</w:t>
            </w:r>
          </w:p>
          <w:p w:rsidR="0008579A" w:rsidRPr="00B8682F" w:rsidRDefault="0008579A" w:rsidP="0008579A">
            <w:pPr>
              <w:pStyle w:val="ListParagraph"/>
              <w:numPr>
                <w:ilvl w:val="0"/>
                <w:numId w:val="35"/>
              </w:numPr>
              <w:ind w:left="460" w:hanging="284"/>
              <w:rPr>
                <w:rFonts w:cs="Arial"/>
                <w:color w:val="002060"/>
                <w:sz w:val="16"/>
                <w:szCs w:val="16"/>
              </w:rPr>
            </w:pPr>
            <w:r w:rsidRPr="00B8682F">
              <w:rPr>
                <w:color w:val="002060"/>
                <w:sz w:val="16"/>
                <w:szCs w:val="16"/>
              </w:rPr>
              <w:t>2013 г.: четыре проверки</w:t>
            </w:r>
            <w:r w:rsidRPr="00B8682F">
              <w:rPr>
                <w:rFonts w:cs="Arial"/>
                <w:color w:val="002060"/>
                <w:sz w:val="16"/>
                <w:szCs w:val="16"/>
              </w:rPr>
              <w:br/>
            </w:r>
          </w:p>
          <w:p w:rsidR="0008579A" w:rsidRPr="0008579A" w:rsidRDefault="0008579A" w:rsidP="00955E75">
            <w:pPr>
              <w:rPr>
                <w:rFonts w:cs="Arial"/>
                <w:color w:val="002060"/>
                <w:sz w:val="16"/>
                <w:szCs w:val="16"/>
                <w:lang w:val="ru-RU"/>
              </w:rPr>
            </w:pPr>
            <w:r w:rsidRPr="0008579A">
              <w:rPr>
                <w:color w:val="002060"/>
                <w:sz w:val="16"/>
                <w:szCs w:val="16"/>
                <w:lang w:val="ru-RU"/>
              </w:rPr>
              <w:t>Кроме того, были проведены проверки двух внешних мероприятий, проводимых под руководством ВОИС (ответы на все запросы были направлены своевременно).</w:t>
            </w:r>
          </w:p>
          <w:p w:rsidR="0008579A" w:rsidRPr="0008579A" w:rsidRDefault="0008579A" w:rsidP="00955E75">
            <w:pPr>
              <w:rPr>
                <w:rFonts w:cs="Arial"/>
                <w:color w:val="002060"/>
                <w:sz w:val="16"/>
                <w:szCs w:val="16"/>
                <w:lang w:val="ru-RU"/>
              </w:rPr>
            </w:pPr>
          </w:p>
          <w:p w:rsidR="0008579A" w:rsidRPr="0008579A" w:rsidRDefault="0008579A" w:rsidP="00955E75">
            <w:pPr>
              <w:rPr>
                <w:rFonts w:cs="Arial"/>
                <w:color w:val="002060"/>
                <w:sz w:val="16"/>
                <w:szCs w:val="16"/>
                <w:lang w:val="ru-RU"/>
              </w:rPr>
            </w:pPr>
            <w:r w:rsidRPr="0008579A">
              <w:rPr>
                <w:color w:val="002060"/>
                <w:sz w:val="16"/>
                <w:szCs w:val="16"/>
                <w:lang w:val="ru-RU"/>
              </w:rPr>
              <w:t>В 2012 г. были проведены проверки помещений двух внешних бюро ВОИС (в Сингапуре и Токио).</w:t>
            </w:r>
          </w:p>
          <w:p w:rsidR="0008579A" w:rsidRPr="0008579A" w:rsidRDefault="0008579A" w:rsidP="00955E75">
            <w:pPr>
              <w:rPr>
                <w:rFonts w:cs="Arial"/>
                <w:i/>
                <w:color w:val="002060"/>
                <w:sz w:val="16"/>
                <w:szCs w:val="16"/>
                <w:lang w:val="ru-RU"/>
              </w:rPr>
            </w:pPr>
          </w:p>
          <w:p w:rsidR="0008579A" w:rsidRPr="0008579A" w:rsidRDefault="0008579A" w:rsidP="00955E75">
            <w:pPr>
              <w:rPr>
                <w:rFonts w:cs="Arial"/>
                <w:sz w:val="16"/>
                <w:szCs w:val="16"/>
                <w:lang w:val="ru-RU"/>
              </w:rPr>
            </w:pPr>
            <w:r w:rsidRPr="0008579A">
              <w:rPr>
                <w:i/>
                <w:sz w:val="16"/>
                <w:szCs w:val="16"/>
                <w:lang w:val="ru-RU"/>
              </w:rPr>
              <w:t xml:space="preserve">Исходные базовые показатели ПиБ на 2014–2015 гг.: </w:t>
            </w:r>
            <w:r w:rsidRPr="0008579A">
              <w:rPr>
                <w:sz w:val="16"/>
                <w:szCs w:val="16"/>
                <w:lang w:val="ru-RU"/>
              </w:rPr>
              <w:t>доля партнеров/клиентов, своевременно направляющих запросы об оказании помощи в обеспечении охраны и безопасности на конференциях или мероприятиях, проводимых в Женеве или за ее пределами, на уровне не ниже 65%</w:t>
            </w:r>
          </w:p>
          <w:p w:rsidR="0008579A" w:rsidRPr="0008579A" w:rsidRDefault="0008579A" w:rsidP="00955E75">
            <w:pPr>
              <w:rPr>
                <w:rFonts w:cs="Arial"/>
                <w:sz w:val="16"/>
                <w:szCs w:val="16"/>
                <w:lang w:val="ru-RU"/>
              </w:rPr>
            </w:pPr>
          </w:p>
        </w:tc>
        <w:tc>
          <w:tcPr>
            <w:tcW w:w="635" w:type="pct"/>
            <w:shd w:val="clear" w:color="auto" w:fill="auto"/>
            <w:tcMar>
              <w:top w:w="110" w:type="dxa"/>
            </w:tcMar>
          </w:tcPr>
          <w:p w:rsidR="0008579A" w:rsidRPr="00B8682F" w:rsidRDefault="0008579A" w:rsidP="00955E75">
            <w:pPr>
              <w:rPr>
                <w:rFonts w:cs="Arial"/>
                <w:sz w:val="16"/>
                <w:szCs w:val="16"/>
              </w:rPr>
            </w:pPr>
            <w:r w:rsidRPr="00B8682F">
              <w:rPr>
                <w:rFonts w:ascii="ArialMT" w:hAnsi="ArialMT"/>
                <w:sz w:val="16"/>
                <w:szCs w:val="16"/>
              </w:rPr>
              <w:t>80% или более</w:t>
            </w:r>
          </w:p>
        </w:tc>
        <w:tc>
          <w:tcPr>
            <w:tcW w:w="1345" w:type="pct"/>
            <w:shd w:val="clear" w:color="auto" w:fill="FFFFFF"/>
            <w:tcMar>
              <w:top w:w="110" w:type="dxa"/>
            </w:tcMar>
          </w:tcPr>
          <w:p w:rsidR="0008579A" w:rsidRPr="0008579A" w:rsidRDefault="0008579A" w:rsidP="00955E75">
            <w:pPr>
              <w:rPr>
                <w:rFonts w:cs="Arial"/>
                <w:sz w:val="16"/>
                <w:szCs w:val="16"/>
                <w:lang w:val="ru-RU"/>
              </w:rPr>
            </w:pPr>
            <w:r w:rsidRPr="0008579A">
              <w:rPr>
                <w:sz w:val="16"/>
                <w:szCs w:val="16"/>
                <w:lang w:val="ru-RU"/>
              </w:rPr>
              <w:t>В 2014</w:t>
            </w:r>
            <w:r w:rsidRPr="00B8682F">
              <w:rPr>
                <w:sz w:val="16"/>
                <w:szCs w:val="16"/>
              </w:rPr>
              <w:t> </w:t>
            </w:r>
            <w:r w:rsidRPr="0008579A">
              <w:rPr>
                <w:sz w:val="16"/>
                <w:szCs w:val="16"/>
                <w:lang w:val="ru-RU"/>
              </w:rPr>
              <w:t>г. и 2015 г. были удовлетворены все запросы (100%) об оказании содействия в области охраны и безопасности в отношении конференций и мероприятий, проводимых как в Женеве, так и за ее пределами.</w:t>
            </w:r>
          </w:p>
          <w:p w:rsidR="0008579A" w:rsidRPr="0008579A" w:rsidRDefault="0008579A" w:rsidP="00955E75">
            <w:pPr>
              <w:rPr>
                <w:rFonts w:cs="Arial"/>
                <w:sz w:val="16"/>
                <w:szCs w:val="16"/>
                <w:lang w:val="ru-RU"/>
              </w:rPr>
            </w:pPr>
          </w:p>
          <w:p w:rsidR="0008579A" w:rsidRPr="0008579A" w:rsidRDefault="0008579A" w:rsidP="00955E75">
            <w:pPr>
              <w:rPr>
                <w:rFonts w:cs="Arial"/>
                <w:sz w:val="16"/>
                <w:szCs w:val="16"/>
                <w:lang w:val="ru-RU"/>
              </w:rPr>
            </w:pPr>
            <w:r w:rsidRPr="0008579A">
              <w:rPr>
                <w:sz w:val="16"/>
                <w:szCs w:val="16"/>
                <w:lang w:val="ru-RU"/>
              </w:rPr>
              <w:t>В 2014–2015</w:t>
            </w:r>
            <w:r w:rsidRPr="00B8682F">
              <w:rPr>
                <w:sz w:val="16"/>
                <w:szCs w:val="16"/>
              </w:rPr>
              <w:t> </w:t>
            </w:r>
            <w:r w:rsidRPr="0008579A">
              <w:rPr>
                <w:sz w:val="16"/>
                <w:szCs w:val="16"/>
                <w:lang w:val="ru-RU"/>
              </w:rPr>
              <w:t>гг. были проведены проверки организации охраны и безопасности во всех внешних бюро ВОИС, и 90% рекомендаций, сделанных по итогам таких проверок, были выполнены к концу двухлетнего периода.</w:t>
            </w:r>
          </w:p>
        </w:tc>
        <w:tc>
          <w:tcPr>
            <w:tcW w:w="512" w:type="pct"/>
            <w:shd w:val="clear" w:color="auto" w:fill="auto"/>
          </w:tcPr>
          <w:p w:rsidR="0008579A" w:rsidRPr="00B8682F" w:rsidRDefault="0008579A" w:rsidP="00955E75">
            <w:pPr>
              <w:keepNext/>
              <w:keepLines/>
              <w:jc w:val="center"/>
              <w:rPr>
                <w:rFonts w:cs="Arial"/>
                <w:b/>
                <w:bCs/>
                <w:color w:val="00B050"/>
                <w:sz w:val="16"/>
                <w:szCs w:val="16"/>
              </w:rPr>
            </w:pPr>
            <w:r w:rsidRPr="00B8682F">
              <w:rPr>
                <w:b/>
                <w:color w:val="00B050"/>
                <w:sz w:val="16"/>
                <w:szCs w:val="16"/>
              </w:rPr>
              <w:t>Выполнено</w:t>
            </w:r>
          </w:p>
        </w:tc>
      </w:tr>
    </w:tbl>
    <w:p w:rsidR="0008579A" w:rsidRPr="0008579A" w:rsidRDefault="0008579A" w:rsidP="0008579A">
      <w:pPr>
        <w:keepNext/>
        <w:keepLines/>
        <w:rPr>
          <w:rFonts w:cs="Arial"/>
          <w:color w:val="000000"/>
          <w:sz w:val="22"/>
          <w:szCs w:val="22"/>
          <w:lang w:val="ru-RU"/>
        </w:rPr>
      </w:pPr>
      <w:r w:rsidRPr="0008579A">
        <w:rPr>
          <w:color w:val="000000"/>
          <w:sz w:val="22"/>
          <w:lang w:val="ru-RU"/>
        </w:rPr>
        <w:t>ОТЧЕТ О РИСКАХ В ДВУХЛЕТНИЙ ПЕРИОД</w:t>
      </w:r>
    </w:p>
    <w:p w:rsidR="0008579A" w:rsidRPr="0008579A" w:rsidRDefault="0008579A" w:rsidP="0008579A">
      <w:pPr>
        <w:keepNext/>
        <w:keepLines/>
        <w:rPr>
          <w:lang w:val="ru-RU"/>
        </w:rPr>
      </w:pP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453"/>
        <w:gridCol w:w="2131"/>
        <w:gridCol w:w="2425"/>
        <w:gridCol w:w="2562"/>
      </w:tblGrid>
      <w:tr w:rsidR="0008579A" w:rsidRPr="003C527B" w:rsidTr="00955E75">
        <w:trPr>
          <w:trHeight w:val="669"/>
          <w:jc w:val="center"/>
        </w:trPr>
        <w:tc>
          <w:tcPr>
            <w:tcW w:w="2517" w:type="dxa"/>
            <w:tcBorders>
              <w:top w:val="single" w:sz="4" w:space="0" w:color="auto"/>
              <w:bottom w:val="single" w:sz="4" w:space="0" w:color="auto"/>
            </w:tcBorders>
            <w:shd w:val="clear" w:color="auto" w:fill="C6D9F1" w:themeFill="text2" w:themeFillTint="33"/>
            <w:vAlign w:val="center"/>
          </w:tcPr>
          <w:p w:rsidR="0008579A" w:rsidRPr="0008579A" w:rsidRDefault="0008579A" w:rsidP="00955E75">
            <w:pPr>
              <w:autoSpaceDE w:val="0"/>
              <w:autoSpaceDN w:val="0"/>
              <w:adjustRightInd w:val="0"/>
              <w:ind w:right="-59"/>
              <w:jc w:val="center"/>
              <w:rPr>
                <w:b/>
                <w:sz w:val="18"/>
                <w:szCs w:val="18"/>
                <w:lang w:val="ru-RU"/>
              </w:rPr>
            </w:pPr>
            <w:r w:rsidRPr="0008579A">
              <w:rPr>
                <w:b/>
                <w:sz w:val="18"/>
                <w:lang w:val="ru-RU"/>
              </w:rPr>
              <w:t>Риск (риски) того, что результаты программы не будут достигнуты</w:t>
            </w:r>
          </w:p>
        </w:tc>
        <w:tc>
          <w:tcPr>
            <w:tcW w:w="2152" w:type="dxa"/>
            <w:tcBorders>
              <w:top w:val="single" w:sz="4" w:space="0" w:color="auto"/>
              <w:bottom w:val="single" w:sz="4" w:space="0" w:color="auto"/>
            </w:tcBorders>
            <w:shd w:val="clear" w:color="auto" w:fill="C6D9F1" w:themeFill="text2" w:themeFillTint="33"/>
            <w:vAlign w:val="center"/>
          </w:tcPr>
          <w:p w:rsidR="0008579A" w:rsidRPr="0008579A" w:rsidRDefault="0008579A" w:rsidP="00955E75">
            <w:pPr>
              <w:autoSpaceDE w:val="0"/>
              <w:autoSpaceDN w:val="0"/>
              <w:adjustRightInd w:val="0"/>
              <w:ind w:right="-59"/>
              <w:jc w:val="center"/>
              <w:rPr>
                <w:b/>
                <w:sz w:val="18"/>
                <w:szCs w:val="18"/>
                <w:lang w:val="ru-RU"/>
              </w:rPr>
            </w:pPr>
            <w:r w:rsidRPr="0008579A">
              <w:rPr>
                <w:b/>
                <w:sz w:val="18"/>
                <w:lang w:val="ru-RU"/>
              </w:rPr>
              <w:t xml:space="preserve">Действующие или разрабатываемые планы по снижению рисков </w:t>
            </w:r>
          </w:p>
        </w:tc>
        <w:tc>
          <w:tcPr>
            <w:tcW w:w="2492" w:type="dxa"/>
            <w:tcBorders>
              <w:top w:val="single" w:sz="4" w:space="0" w:color="auto"/>
              <w:bottom w:val="single" w:sz="4" w:space="0" w:color="auto"/>
            </w:tcBorders>
            <w:shd w:val="clear" w:color="auto" w:fill="C6D9F1" w:themeFill="text2" w:themeFillTint="33"/>
          </w:tcPr>
          <w:p w:rsidR="0008579A" w:rsidRPr="0008579A" w:rsidRDefault="0008579A" w:rsidP="00955E75">
            <w:pPr>
              <w:jc w:val="center"/>
              <w:rPr>
                <w:b/>
                <w:bCs/>
                <w:sz w:val="18"/>
                <w:szCs w:val="18"/>
                <w:lang w:val="ru-RU"/>
              </w:rPr>
            </w:pPr>
            <w:r w:rsidRPr="0008579A">
              <w:rPr>
                <w:b/>
                <w:sz w:val="18"/>
                <w:lang w:val="ru-RU"/>
              </w:rPr>
              <w:t>Развитие риска (рисков) и стратегий его (их) снижения в двухлетний период</w:t>
            </w:r>
          </w:p>
        </w:tc>
        <w:tc>
          <w:tcPr>
            <w:tcW w:w="2634" w:type="dxa"/>
            <w:tcBorders>
              <w:top w:val="single" w:sz="4" w:space="0" w:color="auto"/>
              <w:bottom w:val="single" w:sz="4" w:space="0" w:color="auto"/>
            </w:tcBorders>
            <w:shd w:val="clear" w:color="auto" w:fill="C6D9F1" w:themeFill="text2" w:themeFillTint="33"/>
          </w:tcPr>
          <w:p w:rsidR="0008579A" w:rsidRPr="003C527B" w:rsidRDefault="0008579A" w:rsidP="00955E75">
            <w:pPr>
              <w:jc w:val="center"/>
              <w:rPr>
                <w:b/>
                <w:bCs/>
                <w:sz w:val="18"/>
                <w:szCs w:val="18"/>
              </w:rPr>
            </w:pPr>
            <w:r>
              <w:rPr>
                <w:b/>
                <w:sz w:val="18"/>
              </w:rPr>
              <w:t>Влияние на</w:t>
            </w:r>
            <w:r>
              <w:rPr>
                <w:b/>
                <w:bCs/>
                <w:sz w:val="18"/>
                <w:szCs w:val="18"/>
              </w:rPr>
              <w:br/>
            </w:r>
            <w:r>
              <w:rPr>
                <w:b/>
                <w:sz w:val="18"/>
              </w:rPr>
              <w:t xml:space="preserve">реализацию </w:t>
            </w:r>
            <w:r>
              <w:rPr>
                <w:b/>
                <w:bCs/>
                <w:sz w:val="18"/>
                <w:szCs w:val="18"/>
              </w:rPr>
              <w:br/>
            </w:r>
            <w:r>
              <w:rPr>
                <w:b/>
                <w:sz w:val="18"/>
              </w:rPr>
              <w:t>программы</w:t>
            </w:r>
          </w:p>
        </w:tc>
      </w:tr>
      <w:tr w:rsidR="0008579A" w:rsidRPr="003C527B" w:rsidTr="00955E75">
        <w:trPr>
          <w:trHeight w:val="859"/>
          <w:jc w:val="center"/>
        </w:trPr>
        <w:tc>
          <w:tcPr>
            <w:tcW w:w="2517" w:type="dxa"/>
            <w:tcBorders>
              <w:top w:val="single" w:sz="4" w:space="0" w:color="auto"/>
            </w:tcBorders>
            <w:shd w:val="clear" w:color="auto" w:fill="auto"/>
            <w:tcMar>
              <w:top w:w="113" w:type="dxa"/>
            </w:tcMar>
          </w:tcPr>
          <w:p w:rsidR="0008579A" w:rsidRPr="0008579A" w:rsidRDefault="0008579A" w:rsidP="00955E75">
            <w:pPr>
              <w:rPr>
                <w:sz w:val="16"/>
                <w:szCs w:val="16"/>
                <w:lang w:val="ru-RU"/>
              </w:rPr>
            </w:pPr>
            <w:r w:rsidRPr="0008579A">
              <w:rPr>
                <w:sz w:val="16"/>
                <w:lang w:val="ru-RU"/>
              </w:rPr>
              <w:t>Устаревшие физические системы и оборудование для обеспечения безопасности, использующиеся в зданиях ВОИС в настоящее время, если их не заменить, не позволят предотвратить инциденты в области безопасности</w:t>
            </w:r>
          </w:p>
          <w:p w:rsidR="0008579A" w:rsidRPr="0008579A" w:rsidRDefault="0008579A" w:rsidP="00955E75">
            <w:pPr>
              <w:rPr>
                <w:sz w:val="16"/>
                <w:szCs w:val="16"/>
                <w:lang w:val="ru-RU"/>
              </w:rPr>
            </w:pPr>
          </w:p>
          <w:p w:rsidR="0008579A" w:rsidRPr="0008579A" w:rsidRDefault="0008579A" w:rsidP="00955E75">
            <w:pPr>
              <w:rPr>
                <w:sz w:val="16"/>
                <w:szCs w:val="16"/>
                <w:lang w:val="ru-RU"/>
              </w:rPr>
            </w:pPr>
          </w:p>
          <w:p w:rsidR="0008579A" w:rsidRPr="0008579A" w:rsidRDefault="0008579A" w:rsidP="00955E75">
            <w:pPr>
              <w:rPr>
                <w:sz w:val="16"/>
                <w:szCs w:val="16"/>
                <w:lang w:val="ru-RU"/>
              </w:rPr>
            </w:pPr>
          </w:p>
          <w:p w:rsidR="0008579A" w:rsidRPr="0008579A" w:rsidRDefault="0008579A" w:rsidP="00955E75">
            <w:pPr>
              <w:ind w:firstLine="720"/>
              <w:rPr>
                <w:sz w:val="16"/>
                <w:szCs w:val="16"/>
                <w:lang w:val="ru-RU"/>
              </w:rPr>
            </w:pPr>
          </w:p>
        </w:tc>
        <w:tc>
          <w:tcPr>
            <w:tcW w:w="2152" w:type="dxa"/>
            <w:tcBorders>
              <w:top w:val="single" w:sz="4" w:space="0" w:color="auto"/>
            </w:tcBorders>
            <w:shd w:val="clear" w:color="auto" w:fill="auto"/>
            <w:tcMar>
              <w:top w:w="113" w:type="dxa"/>
            </w:tcMar>
          </w:tcPr>
          <w:p w:rsidR="0008579A" w:rsidRPr="003C527B" w:rsidRDefault="0008579A" w:rsidP="00955E75">
            <w:pPr>
              <w:autoSpaceDE w:val="0"/>
              <w:autoSpaceDN w:val="0"/>
              <w:adjustRightInd w:val="0"/>
              <w:ind w:right="108"/>
              <w:rPr>
                <w:sz w:val="16"/>
                <w:szCs w:val="16"/>
              </w:rPr>
            </w:pPr>
            <w:r w:rsidRPr="0008579A">
              <w:rPr>
                <w:sz w:val="16"/>
                <w:lang w:val="ru-RU"/>
              </w:rPr>
              <w:t>В ходе выполнения проекта модернизации зданий ВОИС (2012–2013</w:t>
            </w:r>
            <w:r>
              <w:rPr>
                <w:sz w:val="16"/>
              </w:rPr>
              <w:t> </w:t>
            </w:r>
            <w:r w:rsidRPr="0008579A">
              <w:rPr>
                <w:sz w:val="16"/>
                <w:lang w:val="ru-RU"/>
              </w:rPr>
              <w:t xml:space="preserve">гг.) существующие системы и оборудование будут постепенно заменены.  </w:t>
            </w:r>
            <w:r>
              <w:rPr>
                <w:sz w:val="16"/>
              </w:rPr>
              <w:t>Модернизацию планируется начать в 2014–2015 гг.</w:t>
            </w:r>
          </w:p>
        </w:tc>
        <w:tc>
          <w:tcPr>
            <w:tcW w:w="2492" w:type="dxa"/>
            <w:tcBorders>
              <w:top w:val="single" w:sz="4" w:space="0" w:color="auto"/>
            </w:tcBorders>
          </w:tcPr>
          <w:p w:rsidR="0008579A" w:rsidRPr="0008579A" w:rsidRDefault="0008579A" w:rsidP="00955E75">
            <w:pPr>
              <w:autoSpaceDE w:val="0"/>
              <w:autoSpaceDN w:val="0"/>
              <w:adjustRightInd w:val="0"/>
              <w:ind w:right="108"/>
              <w:rPr>
                <w:sz w:val="16"/>
                <w:szCs w:val="16"/>
                <w:lang w:val="ru-RU"/>
              </w:rPr>
            </w:pPr>
            <w:r w:rsidRPr="0008579A">
              <w:rPr>
                <w:sz w:val="16"/>
                <w:lang w:val="ru-RU"/>
              </w:rPr>
              <w:t>К концу 2015</w:t>
            </w:r>
            <w:r>
              <w:rPr>
                <w:sz w:val="16"/>
              </w:rPr>
              <w:t> </w:t>
            </w:r>
            <w:r w:rsidRPr="0008579A">
              <w:rPr>
                <w:sz w:val="16"/>
                <w:lang w:val="ru-RU"/>
              </w:rPr>
              <w:t xml:space="preserve">г. масштаб угроз и рисков глобального, регионального и местного масштаба увеличился. Однако благодаря завершению модернизации в соответствии с </w:t>
            </w:r>
            <w:r>
              <w:rPr>
                <w:sz w:val="16"/>
              </w:rPr>
              <w:t>HMOSS</w:t>
            </w:r>
            <w:r w:rsidRPr="0008579A">
              <w:rPr>
                <w:sz w:val="16"/>
                <w:lang w:val="ru-RU"/>
              </w:rPr>
              <w:t xml:space="preserve"> и внедрению нескольких систем охраны и безопасности эти риски удалось удержать на приемлемом уровне.</w:t>
            </w:r>
          </w:p>
        </w:tc>
        <w:tc>
          <w:tcPr>
            <w:tcW w:w="2634" w:type="dxa"/>
            <w:tcBorders>
              <w:top w:val="single" w:sz="4" w:space="0" w:color="auto"/>
            </w:tcBorders>
          </w:tcPr>
          <w:p w:rsidR="0008579A" w:rsidRPr="00FE4D16" w:rsidRDefault="0008579A" w:rsidP="00955E75">
            <w:pPr>
              <w:autoSpaceDE w:val="0"/>
              <w:autoSpaceDN w:val="0"/>
              <w:adjustRightInd w:val="0"/>
              <w:ind w:right="108"/>
              <w:rPr>
                <w:sz w:val="16"/>
                <w:szCs w:val="16"/>
              </w:rPr>
            </w:pPr>
            <w:r w:rsidRPr="0008579A">
              <w:rPr>
                <w:sz w:val="16"/>
                <w:lang w:val="ru-RU"/>
              </w:rPr>
              <w:t>В 2014</w:t>
            </w:r>
            <w:r>
              <w:rPr>
                <w:sz w:val="16"/>
              </w:rPr>
              <w:t> </w:t>
            </w:r>
            <w:r w:rsidRPr="0008579A">
              <w:rPr>
                <w:sz w:val="16"/>
                <w:lang w:val="ru-RU"/>
              </w:rPr>
              <w:t>г. и 2015</w:t>
            </w:r>
            <w:r>
              <w:rPr>
                <w:sz w:val="16"/>
              </w:rPr>
              <w:t> </w:t>
            </w:r>
            <w:r w:rsidRPr="0008579A">
              <w:rPr>
                <w:sz w:val="16"/>
                <w:lang w:val="ru-RU"/>
              </w:rPr>
              <w:t xml:space="preserve">г. осуществление планов работы </w:t>
            </w:r>
            <w:r>
              <w:rPr>
                <w:sz w:val="16"/>
              </w:rPr>
              <w:t>SSCS</w:t>
            </w:r>
            <w:r w:rsidRPr="0008579A">
              <w:rPr>
                <w:sz w:val="16"/>
                <w:lang w:val="ru-RU"/>
              </w:rPr>
              <w:t xml:space="preserve"> и ведение реестров рисков позволяло в достаточной степени смягчать воздействие рисков в ходе отчетного периода.  </w:t>
            </w:r>
            <w:r>
              <w:rPr>
                <w:sz w:val="16"/>
              </w:rPr>
              <w:t>Существенного воздействия на реализацию программы оказано не было.</w:t>
            </w:r>
          </w:p>
        </w:tc>
      </w:tr>
    </w:tbl>
    <w:p w:rsidR="0008579A" w:rsidRDefault="0008579A" w:rsidP="0008579A">
      <w:pPr>
        <w:keepNext/>
        <w:keepLines/>
        <w:rPr>
          <w:rFonts w:cs="Arial"/>
          <w:color w:val="000000"/>
          <w:sz w:val="22"/>
          <w:szCs w:val="22"/>
          <w:lang w:val="ru-RU"/>
        </w:rPr>
      </w:pPr>
    </w:p>
    <w:p w:rsidR="0008579A" w:rsidRPr="0008579A" w:rsidRDefault="0008579A" w:rsidP="0008579A">
      <w:pPr>
        <w:keepNext/>
        <w:keepLines/>
        <w:rPr>
          <w:rFonts w:cs="Arial"/>
          <w:color w:val="000000"/>
          <w:sz w:val="22"/>
          <w:szCs w:val="22"/>
          <w:lang w:val="ru-RU"/>
        </w:rPr>
      </w:pPr>
    </w:p>
    <w:p w:rsidR="0008579A" w:rsidRPr="007A5553" w:rsidRDefault="0008579A" w:rsidP="0008579A">
      <w:pPr>
        <w:keepNext/>
        <w:keepLines/>
        <w:rPr>
          <w:rFonts w:cs="Arial"/>
          <w:color w:val="000000"/>
          <w:szCs w:val="22"/>
        </w:rPr>
      </w:pPr>
      <w:r>
        <w:rPr>
          <w:color w:val="000000"/>
        </w:rPr>
        <w:t>ИСПОЛЬЗОВАНИЕ РЕСУРСОВ</w:t>
      </w:r>
      <w:r>
        <w:tab/>
      </w:r>
    </w:p>
    <w:p w:rsidR="0008579A" w:rsidRPr="008F4A6D" w:rsidRDefault="0008579A" w:rsidP="0008579A">
      <w:pPr>
        <w:keepNext/>
        <w:keepLines/>
        <w:rPr>
          <w:szCs w:val="20"/>
        </w:rPr>
      </w:pPr>
    </w:p>
    <w:p w:rsidR="0008579A" w:rsidRPr="0008579A" w:rsidRDefault="0008579A" w:rsidP="0008579A">
      <w:pPr>
        <w:pStyle w:val="NormalWeb"/>
        <w:keepNext/>
        <w:keepLines/>
        <w:spacing w:before="0" w:beforeAutospacing="0" w:after="0" w:afterAutospacing="0"/>
        <w:jc w:val="center"/>
        <w:rPr>
          <w:sz w:val="20"/>
          <w:szCs w:val="20"/>
          <w:lang w:val="ru-RU"/>
        </w:rPr>
      </w:pPr>
      <w:r w:rsidRPr="0008579A">
        <w:rPr>
          <w:color w:val="000000"/>
          <w:sz w:val="20"/>
          <w:lang w:val="ru-RU"/>
        </w:rPr>
        <w:t xml:space="preserve">Бюджет и фактические расходы (в разбивке по результатам) </w:t>
      </w:r>
    </w:p>
    <w:p w:rsidR="0008579A" w:rsidRDefault="0008579A" w:rsidP="0008579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08579A" w:rsidRPr="00383D2D" w:rsidRDefault="0008579A" w:rsidP="0008579A">
      <w:pPr>
        <w:pStyle w:val="NormalWeb"/>
        <w:keepNext/>
        <w:keepLines/>
        <w:spacing w:before="0" w:beforeAutospacing="0" w:after="0" w:afterAutospacing="0"/>
        <w:jc w:val="center"/>
        <w:rPr>
          <w:sz w:val="20"/>
          <w:szCs w:val="20"/>
        </w:rPr>
      </w:pPr>
    </w:p>
    <w:p w:rsidR="0008579A" w:rsidRDefault="0008579A" w:rsidP="0008579A">
      <w:pPr>
        <w:keepNext/>
        <w:keepLines/>
        <w:jc w:val="center"/>
      </w:pPr>
      <w:r>
        <w:rPr>
          <w:noProof/>
        </w:rPr>
        <w:drawing>
          <wp:inline distT="0" distB="0" distL="0" distR="0" wp14:anchorId="158A1DE4" wp14:editId="6EA96401">
            <wp:extent cx="5896296" cy="1445481"/>
            <wp:effectExtent l="0" t="0" r="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903169" cy="1447166"/>
                    </a:xfrm>
                    <a:prstGeom prst="rect">
                      <a:avLst/>
                    </a:prstGeom>
                    <a:noFill/>
                    <a:ln>
                      <a:noFill/>
                    </a:ln>
                  </pic:spPr>
                </pic:pic>
              </a:graphicData>
            </a:graphic>
          </wp:inline>
        </w:drawing>
      </w:r>
    </w:p>
    <w:p w:rsidR="0008579A" w:rsidRDefault="0008579A" w:rsidP="0008579A"/>
    <w:p w:rsidR="0008579A" w:rsidRDefault="0008579A" w:rsidP="0008579A">
      <w:pPr>
        <w:pStyle w:val="NormalWeb"/>
        <w:keepNext/>
        <w:keepLines/>
        <w:spacing w:before="0" w:beforeAutospacing="0" w:after="0" w:afterAutospacing="0"/>
        <w:jc w:val="center"/>
        <w:rPr>
          <w:color w:val="000000"/>
          <w:sz w:val="20"/>
          <w:szCs w:val="20"/>
        </w:rPr>
      </w:pPr>
    </w:p>
    <w:p w:rsidR="0008579A" w:rsidRPr="0008579A" w:rsidRDefault="0008579A" w:rsidP="0008579A">
      <w:pPr>
        <w:pStyle w:val="NormalWeb"/>
        <w:keepNext/>
        <w:keepLines/>
        <w:spacing w:before="0" w:beforeAutospacing="0" w:after="0" w:afterAutospacing="0"/>
        <w:jc w:val="center"/>
        <w:rPr>
          <w:sz w:val="20"/>
          <w:szCs w:val="20"/>
          <w:lang w:val="ru-RU"/>
        </w:rPr>
      </w:pPr>
      <w:r w:rsidRPr="0008579A">
        <w:rPr>
          <w:color w:val="000000"/>
          <w:sz w:val="20"/>
          <w:lang w:val="ru-RU"/>
        </w:rPr>
        <w:t xml:space="preserve">Бюджет и фактические расходы (по персоналу и не связанные с персоналом) </w:t>
      </w:r>
    </w:p>
    <w:p w:rsidR="0008579A" w:rsidRPr="00383D2D" w:rsidRDefault="0008579A" w:rsidP="0008579A">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08579A" w:rsidRDefault="0008579A" w:rsidP="0008579A">
      <w:pPr>
        <w:pStyle w:val="NormalWeb"/>
        <w:keepNext/>
        <w:keepLines/>
        <w:spacing w:before="0" w:beforeAutospacing="0" w:after="0" w:afterAutospacing="0"/>
        <w:jc w:val="center"/>
      </w:pPr>
    </w:p>
    <w:p w:rsidR="0008579A" w:rsidRPr="008F4A6D" w:rsidRDefault="0008579A" w:rsidP="0008579A">
      <w:pPr>
        <w:widowControl w:val="0"/>
        <w:autoSpaceDE w:val="0"/>
        <w:autoSpaceDN w:val="0"/>
        <w:adjustRightInd w:val="0"/>
        <w:jc w:val="center"/>
        <w:rPr>
          <w:rFonts w:cs="Arial"/>
          <w:szCs w:val="20"/>
        </w:rPr>
      </w:pPr>
      <w:r>
        <w:rPr>
          <w:rFonts w:cs="Arial"/>
          <w:noProof/>
          <w:szCs w:val="20"/>
        </w:rPr>
        <w:drawing>
          <wp:inline distT="0" distB="0" distL="0" distR="0" wp14:anchorId="736E72B2" wp14:editId="6F330BED">
            <wp:extent cx="5285502" cy="1091678"/>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294210" cy="1093477"/>
                    </a:xfrm>
                    <a:prstGeom prst="rect">
                      <a:avLst/>
                    </a:prstGeom>
                    <a:noFill/>
                    <a:ln>
                      <a:noFill/>
                    </a:ln>
                  </pic:spPr>
                </pic:pic>
              </a:graphicData>
            </a:graphic>
          </wp:inline>
        </w:drawing>
      </w:r>
    </w:p>
    <w:p w:rsidR="0008579A" w:rsidRPr="001C6F4D" w:rsidRDefault="0008579A" w:rsidP="0008579A">
      <w:pPr>
        <w:widowControl w:val="0"/>
        <w:autoSpaceDE w:val="0"/>
        <w:autoSpaceDN w:val="0"/>
        <w:adjustRightInd w:val="0"/>
        <w:rPr>
          <w:rFonts w:cs="Arial"/>
          <w:szCs w:val="20"/>
        </w:rPr>
      </w:pPr>
    </w:p>
    <w:p w:rsidR="0008579A" w:rsidRDefault="0008579A" w:rsidP="0008579A">
      <w:pPr>
        <w:rPr>
          <w:rFonts w:cs="Arial"/>
          <w:szCs w:val="20"/>
        </w:rPr>
      </w:pPr>
    </w:p>
    <w:p w:rsidR="0008579A" w:rsidRPr="0008579A" w:rsidRDefault="0008579A" w:rsidP="0008579A">
      <w:pPr>
        <w:rPr>
          <w:rFonts w:cs="Arial"/>
          <w:szCs w:val="20"/>
          <w:u w:val="single"/>
          <w:lang w:val="ru-RU"/>
        </w:rPr>
      </w:pPr>
      <w:r>
        <w:t>A</w:t>
      </w:r>
      <w:r w:rsidRPr="0008579A">
        <w:rPr>
          <w:lang w:val="ru-RU"/>
        </w:rPr>
        <w:t>.</w:t>
      </w:r>
      <w:r w:rsidRPr="0008579A">
        <w:rPr>
          <w:lang w:val="ru-RU"/>
        </w:rPr>
        <w:tab/>
      </w:r>
      <w:r w:rsidRPr="0008579A">
        <w:rPr>
          <w:u w:val="single"/>
          <w:lang w:val="ru-RU"/>
        </w:rPr>
        <w:t xml:space="preserve">Итоговый бюджет на 2014–2015 гг. после перераспределения средств </w:t>
      </w:r>
    </w:p>
    <w:p w:rsidR="0008579A" w:rsidRPr="0008579A" w:rsidRDefault="0008579A" w:rsidP="0008579A">
      <w:pPr>
        <w:rPr>
          <w:rFonts w:cs="Arial"/>
          <w:szCs w:val="20"/>
          <w:u w:val="single"/>
          <w:lang w:val="ru-RU"/>
        </w:rPr>
      </w:pPr>
    </w:p>
    <w:p w:rsidR="0008579A" w:rsidRPr="0008579A" w:rsidRDefault="0008579A" w:rsidP="0008579A">
      <w:pPr>
        <w:pStyle w:val="ListParagraph"/>
        <w:numPr>
          <w:ilvl w:val="0"/>
          <w:numId w:val="36"/>
        </w:numPr>
        <w:tabs>
          <w:tab w:val="left" w:pos="709"/>
        </w:tabs>
        <w:ind w:left="0" w:firstLine="0"/>
        <w:jc w:val="both"/>
        <w:rPr>
          <w:bCs/>
          <w:lang w:val="ru-RU"/>
        </w:rPr>
      </w:pPr>
      <w:r w:rsidRPr="0008579A">
        <w:rPr>
          <w:lang w:val="ru-RU"/>
        </w:rPr>
        <w:t>Чистое увеличение итогового бюджета на 2014–2015</w:t>
      </w:r>
      <w:r>
        <w:t> </w:t>
      </w:r>
      <w:r w:rsidRPr="0008579A">
        <w:rPr>
          <w:lang w:val="ru-RU"/>
        </w:rPr>
        <w:t>гг. после перераспределения ресурсов, не относящихся к персоналу, было главным образом обусловлено выделением дополнительных средств на покрытие расходов на (</w:t>
      </w:r>
      <w:r>
        <w:t>i</w:t>
      </w:r>
      <w:r w:rsidRPr="0008579A">
        <w:rPr>
          <w:lang w:val="ru-RU"/>
        </w:rPr>
        <w:t>)</w:t>
      </w:r>
      <w:r>
        <w:t> </w:t>
      </w:r>
      <w:r w:rsidRPr="0008579A">
        <w:rPr>
          <w:lang w:val="ru-RU"/>
        </w:rPr>
        <w:t>единый управляющий модуль электронных систем безопасности; (</w:t>
      </w:r>
      <w:r>
        <w:t>ii</w:t>
      </w:r>
      <w:r w:rsidRPr="0008579A">
        <w:rPr>
          <w:lang w:val="ru-RU"/>
        </w:rPr>
        <w:t>)</w:t>
      </w:r>
      <w:r>
        <w:t> </w:t>
      </w:r>
      <w:r w:rsidRPr="0008579A">
        <w:rPr>
          <w:lang w:val="ru-RU"/>
        </w:rPr>
        <w:t>совершенствование систем мониторинга и наблюдения в здании административного центра «Морийон» (контроль доступа, модернизация противопожарных экранов и датчиков возгорания, установка системы охранного видеонаблюдения); (</w:t>
      </w:r>
      <w:r>
        <w:t>iii</w:t>
      </w:r>
      <w:r w:rsidRPr="0008579A">
        <w:rPr>
          <w:lang w:val="ru-RU"/>
        </w:rPr>
        <w:t>)</w:t>
      </w:r>
      <w:r>
        <w:t> </w:t>
      </w:r>
      <w:r w:rsidRPr="0008579A">
        <w:rPr>
          <w:lang w:val="ru-RU"/>
        </w:rPr>
        <w:t>более частое задействование средств физической безопасности в связи с непредвиденными событиями; (</w:t>
      </w:r>
      <w:r>
        <w:t>iv</w:t>
      </w:r>
      <w:r w:rsidRPr="0008579A">
        <w:rPr>
          <w:lang w:val="ru-RU"/>
        </w:rPr>
        <w:t>)</w:t>
      </w:r>
      <w:r>
        <w:t> </w:t>
      </w:r>
      <w:r w:rsidRPr="0008579A">
        <w:rPr>
          <w:lang w:val="ru-RU"/>
        </w:rPr>
        <w:t>повышение уровня охраны и безопасности во внешних бюро ВОИС; (</w:t>
      </w:r>
      <w:r>
        <w:t>v</w:t>
      </w:r>
      <w:r w:rsidRPr="0008579A">
        <w:rPr>
          <w:lang w:val="ru-RU"/>
        </w:rPr>
        <w:t>)</w:t>
      </w:r>
      <w:r>
        <w:t> </w:t>
      </w:r>
      <w:r w:rsidRPr="0008579A">
        <w:rPr>
          <w:lang w:val="ru-RU"/>
        </w:rPr>
        <w:t>установку около нового здания конференц-зала ВОИС специального ограждения для предотвращения несанкционированного проникновения.</w:t>
      </w:r>
    </w:p>
    <w:p w:rsidR="0008579A" w:rsidRPr="0008579A" w:rsidRDefault="0008579A" w:rsidP="0008579A">
      <w:pPr>
        <w:pStyle w:val="ListParagraph"/>
        <w:tabs>
          <w:tab w:val="left" w:pos="709"/>
        </w:tabs>
        <w:ind w:left="0"/>
        <w:jc w:val="both"/>
        <w:rPr>
          <w:bCs/>
          <w:lang w:val="ru-RU"/>
        </w:rPr>
      </w:pPr>
    </w:p>
    <w:p w:rsidR="0008579A" w:rsidRPr="0008579A" w:rsidRDefault="0008579A" w:rsidP="0008579A">
      <w:pPr>
        <w:pStyle w:val="ListParagraph"/>
        <w:numPr>
          <w:ilvl w:val="0"/>
          <w:numId w:val="36"/>
        </w:numPr>
        <w:tabs>
          <w:tab w:val="left" w:pos="709"/>
        </w:tabs>
        <w:ind w:left="0" w:firstLine="0"/>
        <w:jc w:val="both"/>
        <w:rPr>
          <w:bCs/>
          <w:lang w:val="ru-RU"/>
        </w:rPr>
      </w:pPr>
      <w:r w:rsidRPr="0008579A">
        <w:rPr>
          <w:lang w:val="ru-RU"/>
        </w:rPr>
        <w:t>Общий рост объема ресурсов, связанных с персоналом, в итоговом бюджете на 2014–2015</w:t>
      </w:r>
      <w:r>
        <w:t> </w:t>
      </w:r>
      <w:r w:rsidRPr="0008579A">
        <w:rPr>
          <w:lang w:val="ru-RU"/>
        </w:rPr>
        <w:t xml:space="preserve">гг. после перераспределения средств является чистым результатом, с одной стороны, создания должности оперативного сотрудника по безопасности и создания временной должности ассистента по обслуживанию оборудования и систем безопасности в связи с совершенствованием стандартов </w:t>
      </w:r>
      <w:r>
        <w:t>UN</w:t>
      </w:r>
      <w:r w:rsidRPr="0008579A">
        <w:rPr>
          <w:lang w:val="ru-RU"/>
        </w:rPr>
        <w:t>-</w:t>
      </w:r>
      <w:r>
        <w:t>HMOSS</w:t>
      </w:r>
      <w:r w:rsidRPr="0008579A">
        <w:rPr>
          <w:lang w:val="ru-RU"/>
        </w:rPr>
        <w:t>, а с другой стороны, (</w:t>
      </w:r>
      <w:r>
        <w:t>i</w:t>
      </w:r>
      <w:r w:rsidRPr="0008579A">
        <w:rPr>
          <w:lang w:val="ru-RU"/>
        </w:rPr>
        <w:t>) понижения категории одной должности; (</w:t>
      </w:r>
      <w:r>
        <w:t>ii</w:t>
      </w:r>
      <w:r w:rsidRPr="0008579A">
        <w:rPr>
          <w:lang w:val="ru-RU"/>
        </w:rPr>
        <w:t>) переноса ресурсов, относящихся к УИК, в категорию, не связанную с персоналом, в целях повышения эффективности службы охраны и безопасности.</w:t>
      </w:r>
    </w:p>
    <w:p w:rsidR="0008579A" w:rsidRPr="0008579A" w:rsidRDefault="0008579A" w:rsidP="0008579A">
      <w:pPr>
        <w:keepNext/>
        <w:keepLines/>
        <w:autoSpaceDE w:val="0"/>
        <w:autoSpaceDN w:val="0"/>
        <w:jc w:val="both"/>
        <w:rPr>
          <w:rFonts w:cs="Arial"/>
          <w:szCs w:val="20"/>
          <w:lang w:val="ru-RU"/>
        </w:rPr>
      </w:pPr>
    </w:p>
    <w:p w:rsidR="0008579A" w:rsidRPr="0008579A" w:rsidRDefault="0008579A" w:rsidP="0008579A">
      <w:pPr>
        <w:keepNext/>
        <w:keepLines/>
        <w:jc w:val="both"/>
        <w:rPr>
          <w:rFonts w:cs="Arial"/>
          <w:szCs w:val="20"/>
          <w:u w:val="single"/>
          <w:lang w:val="ru-RU"/>
        </w:rPr>
      </w:pPr>
      <w:r>
        <w:t>B</w:t>
      </w:r>
      <w:r w:rsidRPr="0008579A">
        <w:rPr>
          <w:lang w:val="ru-RU"/>
        </w:rPr>
        <w:t>.</w:t>
      </w:r>
      <w:r w:rsidRPr="0008579A">
        <w:rPr>
          <w:lang w:val="ru-RU"/>
        </w:rPr>
        <w:tab/>
      </w:r>
      <w:r w:rsidRPr="0008579A">
        <w:rPr>
          <w:u w:val="single"/>
          <w:lang w:val="ru-RU"/>
        </w:rPr>
        <w:t xml:space="preserve">Освоение бюджетных средств в 2014–2015 гг. </w:t>
      </w:r>
    </w:p>
    <w:p w:rsidR="0008579A" w:rsidRPr="0008579A" w:rsidRDefault="0008579A" w:rsidP="0008579A">
      <w:pPr>
        <w:keepNext/>
        <w:keepLines/>
        <w:tabs>
          <w:tab w:val="left" w:pos="709"/>
        </w:tabs>
        <w:jc w:val="both"/>
        <w:rPr>
          <w:rFonts w:cs="Arial"/>
          <w:szCs w:val="20"/>
          <w:u w:val="single"/>
          <w:lang w:val="ru-RU"/>
        </w:rPr>
      </w:pPr>
    </w:p>
    <w:p w:rsidR="0008579A" w:rsidRPr="0008579A" w:rsidRDefault="0008579A" w:rsidP="0008579A">
      <w:pPr>
        <w:pStyle w:val="ListParagraph"/>
        <w:keepNext/>
        <w:keepLines/>
        <w:numPr>
          <w:ilvl w:val="0"/>
          <w:numId w:val="36"/>
        </w:numPr>
        <w:tabs>
          <w:tab w:val="left" w:pos="709"/>
        </w:tabs>
        <w:ind w:left="0" w:firstLine="0"/>
        <w:jc w:val="both"/>
        <w:rPr>
          <w:bCs/>
          <w:lang w:val="ru-RU"/>
        </w:rPr>
      </w:pPr>
      <w:r w:rsidRPr="0008579A">
        <w:rPr>
          <w:lang w:val="ru-RU"/>
        </w:rPr>
        <w:t>Уровень освоения бюджетных средств находится в пределах, предусмотренных для рассматриваемого двухлетнего периода.</w:t>
      </w:r>
    </w:p>
    <w:p w:rsidR="005C0E88" w:rsidRPr="0008579A" w:rsidRDefault="005C0E88" w:rsidP="0008579A">
      <w:pPr>
        <w:pStyle w:val="ListParagraph"/>
        <w:keepNext/>
        <w:keepLines/>
        <w:tabs>
          <w:tab w:val="left" w:pos="709"/>
        </w:tabs>
        <w:ind w:left="0"/>
        <w:jc w:val="both"/>
        <w:rPr>
          <w:bCs/>
          <w:lang w:val="ru-RU"/>
        </w:rPr>
      </w:pPr>
    </w:p>
    <w:p w:rsidR="005C0E88" w:rsidRPr="0008579A" w:rsidRDefault="005C0E88" w:rsidP="001363EE">
      <w:pPr>
        <w:keepNext/>
        <w:keepLines/>
        <w:rPr>
          <w:lang w:val="ru-RU"/>
        </w:rPr>
      </w:pPr>
    </w:p>
    <w:p w:rsidR="005C0E88" w:rsidRPr="0008579A" w:rsidRDefault="005C0E88" w:rsidP="008D1891">
      <w:pPr>
        <w:rPr>
          <w:szCs w:val="20"/>
          <w:lang w:val="ru-RU"/>
        </w:rPr>
      </w:pPr>
    </w:p>
    <w:p w:rsidR="007505A5" w:rsidRPr="0008579A" w:rsidRDefault="007505A5">
      <w:pPr>
        <w:rPr>
          <w:lang w:val="ru-RU"/>
        </w:rPr>
      </w:pPr>
      <w:r w:rsidRPr="0008579A">
        <w:rPr>
          <w:lang w:val="ru-RU"/>
        </w:rPr>
        <w:br w:type="page"/>
      </w:r>
    </w:p>
    <w:p w:rsidR="00ED1F8D" w:rsidRPr="00ED1F8D" w:rsidRDefault="00ED1F8D" w:rsidP="00ED1F8D">
      <w:pPr>
        <w:pStyle w:val="Heading2"/>
        <w:tabs>
          <w:tab w:val="clear" w:pos="567"/>
          <w:tab w:val="left" w:pos="1985"/>
        </w:tabs>
        <w:ind w:left="1985" w:hanging="1985"/>
        <w:rPr>
          <w:lang w:val="ru-RU"/>
        </w:rPr>
      </w:pPr>
      <w:bookmarkStart w:id="137" w:name="_Toc422210518"/>
      <w:bookmarkStart w:id="138" w:name="_Toc455388141"/>
      <w:r w:rsidRPr="00ED1F8D">
        <w:rPr>
          <w:lang w:val="ru-RU"/>
        </w:rPr>
        <w:t>ПРОГРАММА 29</w:t>
      </w:r>
      <w:r w:rsidRPr="00ED1F8D">
        <w:rPr>
          <w:lang w:val="ru-RU"/>
        </w:rPr>
        <w:tab/>
        <w:t>СТРОИТЕЛЬНЫЕ ПРОЕКТЫ</w:t>
      </w:r>
      <w:bookmarkEnd w:id="137"/>
      <w:bookmarkEnd w:id="138"/>
      <w:r w:rsidRPr="00ED1F8D">
        <w:rPr>
          <w:lang w:val="ru-RU"/>
        </w:rPr>
        <w:t xml:space="preserve"> </w:t>
      </w:r>
    </w:p>
    <w:p w:rsidR="00ED1F8D" w:rsidRPr="00ED1F8D" w:rsidRDefault="00ED1F8D" w:rsidP="00ED1F8D">
      <w:pPr>
        <w:tabs>
          <w:tab w:val="left" w:pos="1985"/>
        </w:tabs>
        <w:rPr>
          <w:szCs w:val="20"/>
          <w:lang w:val="ru-RU"/>
        </w:rPr>
      </w:pPr>
    </w:p>
    <w:p w:rsidR="00ED1F8D" w:rsidRPr="00ED1F8D" w:rsidRDefault="00ED1F8D" w:rsidP="00ED1F8D">
      <w:pPr>
        <w:tabs>
          <w:tab w:val="left" w:pos="1985"/>
        </w:tabs>
        <w:rPr>
          <w:b/>
          <w:szCs w:val="22"/>
          <w:lang w:val="ru-RU"/>
        </w:rPr>
      </w:pPr>
      <w:r w:rsidRPr="00ED1F8D">
        <w:rPr>
          <w:b/>
          <w:lang w:val="ru-RU"/>
        </w:rPr>
        <w:t xml:space="preserve">Руководитель программы: </w:t>
      </w:r>
      <w:r w:rsidRPr="00ED1F8D">
        <w:rPr>
          <w:lang w:val="ru-RU"/>
        </w:rPr>
        <w:tab/>
      </w:r>
      <w:r w:rsidRPr="00ED1F8D">
        <w:rPr>
          <w:b/>
          <w:lang w:val="ru-RU"/>
        </w:rPr>
        <w:t>г-н А. Сундарам</w:t>
      </w:r>
    </w:p>
    <w:p w:rsidR="00ED1F8D" w:rsidRPr="00ED1F8D" w:rsidRDefault="00ED1F8D" w:rsidP="00ED1F8D">
      <w:pPr>
        <w:rPr>
          <w:szCs w:val="20"/>
          <w:lang w:val="ru-RU"/>
        </w:rPr>
      </w:pPr>
    </w:p>
    <w:p w:rsidR="00ED1F8D" w:rsidRPr="00ED1F8D" w:rsidRDefault="00ED1F8D" w:rsidP="00ED1F8D">
      <w:pPr>
        <w:rPr>
          <w:szCs w:val="20"/>
          <w:lang w:val="ru-RU"/>
        </w:rPr>
      </w:pPr>
    </w:p>
    <w:p w:rsidR="00ED1F8D" w:rsidRPr="00ED1F8D" w:rsidRDefault="00ED1F8D" w:rsidP="00ED1F8D">
      <w:pPr>
        <w:rPr>
          <w:bCs/>
          <w:szCs w:val="20"/>
          <w:lang w:val="ru-RU"/>
        </w:rPr>
      </w:pPr>
      <w:r w:rsidRPr="00ED1F8D">
        <w:rPr>
          <w:lang w:val="ru-RU"/>
        </w:rPr>
        <w:t>ОБЗОР ДОСТИЖЕНИЙ ЗА ДВУХЛЕТНИЙ ПЕРИОД 2014–2015 ГГ.</w:t>
      </w:r>
    </w:p>
    <w:p w:rsidR="00ED1F8D" w:rsidRPr="00ED1F8D" w:rsidRDefault="00ED1F8D" w:rsidP="00ED1F8D">
      <w:pPr>
        <w:rPr>
          <w:bCs/>
          <w:szCs w:val="20"/>
          <w:lang w:val="ru-RU"/>
        </w:rPr>
      </w:pPr>
    </w:p>
    <w:p w:rsidR="00ED1F8D" w:rsidRPr="00ED1F8D" w:rsidRDefault="00ED1F8D" w:rsidP="00ED1F8D">
      <w:pPr>
        <w:rPr>
          <w:szCs w:val="20"/>
          <w:lang w:val="ru-RU"/>
        </w:rPr>
      </w:pPr>
    </w:p>
    <w:p w:rsidR="00ED1F8D" w:rsidRPr="00ED1F8D" w:rsidRDefault="00ED1F8D" w:rsidP="00ED1F8D">
      <w:pPr>
        <w:jc w:val="both"/>
        <w:rPr>
          <w:rFonts w:cs="Arial"/>
          <w:szCs w:val="20"/>
          <w:lang w:val="ru-RU"/>
        </w:rPr>
      </w:pPr>
      <w:r w:rsidRPr="00ED1F8D">
        <w:rPr>
          <w:lang w:val="ru-RU"/>
        </w:rPr>
        <w:t xml:space="preserve">ПРОЕКТ СТРОИТЕЛЬСТВА НОВОГО АДМИНИСТРАТИВНОГО ЗДАНИЯ </w:t>
      </w:r>
    </w:p>
    <w:p w:rsidR="00ED1F8D" w:rsidRPr="00ED1F8D" w:rsidRDefault="00ED1F8D" w:rsidP="00ED1F8D">
      <w:pPr>
        <w:jc w:val="both"/>
        <w:rPr>
          <w:rFonts w:cs="Arial"/>
          <w:szCs w:val="20"/>
          <w:lang w:val="ru-RU"/>
        </w:rPr>
      </w:pPr>
    </w:p>
    <w:p w:rsidR="00ED1F8D" w:rsidRPr="00ED1F8D" w:rsidRDefault="00ED1F8D" w:rsidP="00ED1F8D">
      <w:pPr>
        <w:jc w:val="both"/>
        <w:rPr>
          <w:rFonts w:cs="Arial"/>
          <w:szCs w:val="20"/>
          <w:lang w:val="ru-RU"/>
        </w:rPr>
      </w:pPr>
      <w:r w:rsidRPr="00ED1F8D">
        <w:rPr>
          <w:lang w:val="ru-RU"/>
        </w:rPr>
        <w:t>29.1</w:t>
      </w:r>
      <w:r w:rsidRPr="00ED1F8D">
        <w:rPr>
          <w:lang w:val="ru-RU"/>
        </w:rPr>
        <w:tab/>
        <w:t>Все незавершенные работы по ремонту, замене систем и элементов и отделке здания, начатые в середине 2011</w:t>
      </w:r>
      <w:r>
        <w:t> </w:t>
      </w:r>
      <w:r w:rsidRPr="00ED1F8D">
        <w:rPr>
          <w:lang w:val="ru-RU"/>
        </w:rPr>
        <w:t>г. после сдачи нового здания бывшим генеральным подрядчиком, были завершены к концу 2015 г.  Замена окон на первом этаже, которая была запланирована в 2014</w:t>
      </w:r>
      <w:r>
        <w:t> </w:t>
      </w:r>
      <w:r w:rsidRPr="00ED1F8D">
        <w:rPr>
          <w:lang w:val="ru-RU"/>
        </w:rPr>
        <w:t>г., проводилась после окончания зимнего сезона, т.е. с июня 2015</w:t>
      </w:r>
      <w:r>
        <w:t> </w:t>
      </w:r>
      <w:r w:rsidRPr="00ED1F8D">
        <w:rPr>
          <w:lang w:val="ru-RU"/>
        </w:rPr>
        <w:t>г., сразу после окончания дипломатической конференции, и до конца 2015</w:t>
      </w:r>
      <w:r>
        <w:t> </w:t>
      </w:r>
      <w:r w:rsidRPr="00ED1F8D">
        <w:rPr>
          <w:lang w:val="ru-RU"/>
        </w:rPr>
        <w:t>г.  Работа по соглашению с бывшим генеральным подрядчиком о расторжении контракта, подписанного в июле 2012 г., была окончательно завершена на компромиссной основе в конце августа 2014 г., и, соответственно, все неурегулированные моменты, касавшиеся работ по замене систем и элементов нового здания, были сняты.  Следует отметить, что ВОИС сохранила в своем распоряжении достаточный объем финансовых средств для оплаты этих работ и что Секретариату не пришлось прибегать к каким-либо потенциально затяжным правовым процедурам или механизмам урегулирования конфликтов для достижения этих результатов.</w:t>
      </w:r>
    </w:p>
    <w:p w:rsidR="00ED1F8D" w:rsidRPr="00ED1F8D" w:rsidRDefault="00ED1F8D" w:rsidP="00ED1F8D">
      <w:pPr>
        <w:rPr>
          <w:bCs/>
          <w:szCs w:val="20"/>
          <w:lang w:val="ru-RU"/>
        </w:rPr>
      </w:pPr>
    </w:p>
    <w:p w:rsidR="00ED1F8D" w:rsidRPr="00ED1F8D" w:rsidRDefault="00ED1F8D" w:rsidP="00ED1F8D">
      <w:pPr>
        <w:jc w:val="both"/>
        <w:rPr>
          <w:rFonts w:cs="Arial"/>
          <w:szCs w:val="20"/>
          <w:lang w:val="ru-RU"/>
        </w:rPr>
      </w:pPr>
      <w:r w:rsidRPr="00ED1F8D">
        <w:rPr>
          <w:lang w:val="ru-RU"/>
        </w:rPr>
        <w:t xml:space="preserve">ПРОЕКТ СТРОИТЕЛЬСТВА НОВОГО КОНФЕРЕНЦ-ЗАЛА </w:t>
      </w:r>
    </w:p>
    <w:p w:rsidR="00ED1F8D" w:rsidRPr="00ED1F8D" w:rsidRDefault="00ED1F8D" w:rsidP="00ED1F8D">
      <w:pPr>
        <w:jc w:val="both"/>
        <w:rPr>
          <w:rFonts w:cs="Arial"/>
          <w:szCs w:val="20"/>
          <w:lang w:val="ru-RU"/>
        </w:rPr>
      </w:pPr>
    </w:p>
    <w:p w:rsidR="00ED1F8D" w:rsidRPr="00ED1F8D" w:rsidRDefault="00ED1F8D" w:rsidP="00ED1F8D">
      <w:pPr>
        <w:jc w:val="both"/>
        <w:rPr>
          <w:rFonts w:cs="Arial"/>
          <w:szCs w:val="20"/>
          <w:lang w:val="ru-RU"/>
        </w:rPr>
      </w:pPr>
      <w:r w:rsidRPr="00ED1F8D">
        <w:rPr>
          <w:lang w:val="ru-RU"/>
        </w:rPr>
        <w:t>29.2.</w:t>
      </w:r>
      <w:r w:rsidRPr="00ED1F8D">
        <w:rPr>
          <w:lang w:val="ru-RU"/>
        </w:rPr>
        <w:tab/>
        <w:t>В соответствии с упомянутым выше соглашением о расторжении контракта, бывший генеральный подрядчик возместил ВОИС итоговый остаток средств, причитающийся по проекту.  Следует напомнить, что в августе 2012</w:t>
      </w:r>
      <w:r>
        <w:t> </w:t>
      </w:r>
      <w:r w:rsidRPr="00ED1F8D">
        <w:rPr>
          <w:lang w:val="ru-RU"/>
        </w:rPr>
        <w:t>г. Секретариат принял на себя прямую ответственность за проект, предусмотрев расширение полномочий архитекторов, инженеров и руководителя проекта, а также внеся поправки в структуру внутреннего управления проектом, обеспечивающие дополнительную гибкость и оперативность и позволяющие инициативно и своевременно принимать решения при внесении в проект определенных изменений и возникновении в ходе его реализации непредвиденных моментов.  Проект был реализован в несколько этапов, при этом различные технические тесты и испытания систем проводились параллельно, по участкам.  Новый центр доступа был сдан в июле 2014</w:t>
      </w:r>
      <w:r>
        <w:t> </w:t>
      </w:r>
      <w:r w:rsidRPr="00ED1F8D">
        <w:rPr>
          <w:lang w:val="ru-RU"/>
        </w:rPr>
        <w:t>г.; работы по устройству внешнего озеленения между новым зданием, новым конференц-залом ВОИС и зданием АБ были завершены в конце августа; сам новый конференц-зал ВОИС был сдан в конце августа, что позволило Организации провести в нем 1–5 сентября сессию КПБ; весь объем строительных работ, включая как новые, так и реконструированные объекты, по новому конференц-залу и трем этажам здания АБ, был завершен в сентябре 2014 г., что позволило провести 22–30</w:t>
      </w:r>
      <w:r>
        <w:t> </w:t>
      </w:r>
      <w:r w:rsidRPr="00ED1F8D">
        <w:rPr>
          <w:lang w:val="ru-RU"/>
        </w:rPr>
        <w:t>сентября 2014</w:t>
      </w:r>
      <w:r>
        <w:t> </w:t>
      </w:r>
      <w:r w:rsidRPr="00ED1F8D">
        <w:rPr>
          <w:lang w:val="ru-RU"/>
        </w:rPr>
        <w:t>г. сессию Ассамблей ВОИС, включая официальное открытие нового конференц-зала ВОИС в первый день сессии в присутствии должностных лиц принимающей страны (федерального, кантонального и муниципального уровней), представителей других учреждений ООН и более 70</w:t>
      </w:r>
      <w:r>
        <w:t> </w:t>
      </w:r>
      <w:r w:rsidRPr="00ED1F8D">
        <w:rPr>
          <w:lang w:val="ru-RU"/>
        </w:rPr>
        <w:t>компаний и организаций, участвовавших в строительстве и реализации проекта, а также делегатов государств</w:t>
      </w:r>
      <w:r>
        <w:t> </w:t>
      </w:r>
      <w:r w:rsidRPr="00ED1F8D">
        <w:rPr>
          <w:lang w:val="ru-RU"/>
        </w:rPr>
        <w:t>– членов ВОИС и наблюдателей.  Работы над рядом элементов внешнего озеленения проводились в 2015</w:t>
      </w:r>
      <w:r>
        <w:t> </w:t>
      </w:r>
      <w:r w:rsidRPr="00ED1F8D">
        <w:rPr>
          <w:lang w:val="ru-RU"/>
        </w:rPr>
        <w:t>г.  С конца 2014</w:t>
      </w:r>
      <w:r>
        <w:t> </w:t>
      </w:r>
      <w:r w:rsidRPr="00ED1F8D">
        <w:rPr>
          <w:lang w:val="ru-RU"/>
        </w:rPr>
        <w:t>г. новый конференц-зал ВОИС и относящиеся к нему новые или реконструированные сооружения использовались несколько раз для проведения встреч государств</w:t>
      </w:r>
      <w:r>
        <w:t> </w:t>
      </w:r>
      <w:r w:rsidRPr="00ED1F8D">
        <w:rPr>
          <w:lang w:val="ru-RU"/>
        </w:rPr>
        <w:t>– членов ВОИС и иных заседаний. Кроме того, они сдавались в аренду государствам-членам и сторонним учреждениям. Хотя в связи со сложностью работ, особенно в последние несколько месяцев, завершение проекта было перенесено с апреля на сентябрь 2014 г., он был завершен к моменту начала сессии Ассамблей ВОИС.  К концу 2014</w:t>
      </w:r>
      <w:r>
        <w:t> </w:t>
      </w:r>
      <w:r w:rsidRPr="00ED1F8D">
        <w:rPr>
          <w:lang w:val="ru-RU"/>
        </w:rPr>
        <w:t>г. была завершена проверка итоговых расчетов с рядом компаний и организаций, а большинство оставшихся расчетов были завершены к концу 2015 г. и лишь несколько – в начале 2016</w:t>
      </w:r>
      <w:r>
        <w:t> </w:t>
      </w:r>
      <w:r w:rsidRPr="00ED1F8D">
        <w:rPr>
          <w:lang w:val="ru-RU"/>
        </w:rPr>
        <w:t>г.</w:t>
      </w:r>
    </w:p>
    <w:p w:rsidR="00ED1F8D" w:rsidRPr="00ED1F8D" w:rsidRDefault="00ED1F8D" w:rsidP="00ED1F8D">
      <w:pPr>
        <w:rPr>
          <w:bCs/>
          <w:szCs w:val="20"/>
          <w:lang w:val="ru-RU"/>
        </w:rPr>
      </w:pPr>
    </w:p>
    <w:p w:rsidR="00ED1F8D" w:rsidRPr="00ED1F8D" w:rsidRDefault="00ED1F8D" w:rsidP="00ED1F8D">
      <w:pPr>
        <w:rPr>
          <w:bCs/>
          <w:szCs w:val="20"/>
          <w:lang w:val="ru-RU"/>
        </w:rPr>
      </w:pPr>
    </w:p>
    <w:p w:rsidR="00ED1F8D" w:rsidRPr="000C6C48" w:rsidRDefault="00ED1F8D" w:rsidP="00ED1F8D">
      <w:pPr>
        <w:keepNext/>
        <w:keepLines/>
        <w:rPr>
          <w:szCs w:val="20"/>
        </w:rPr>
      </w:pPr>
      <w:r>
        <w:t xml:space="preserve">ДАННЫЕ О РЕЗУЛЬТАТИВНОСТИ </w:t>
      </w:r>
    </w:p>
    <w:p w:rsidR="00ED1F8D" w:rsidRDefault="00ED1F8D" w:rsidP="00ED1F8D">
      <w:pPr>
        <w:keepNext/>
        <w:keepLines/>
      </w:pPr>
    </w:p>
    <w:tbl>
      <w:tblPr>
        <w:tblW w:w="5074" w:type="pct"/>
        <w:tblInd w:w="-3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21"/>
        <w:gridCol w:w="1560"/>
        <w:gridCol w:w="1560"/>
        <w:gridCol w:w="3536"/>
        <w:gridCol w:w="936"/>
      </w:tblGrid>
      <w:tr w:rsidR="00ED1F8D" w:rsidRPr="005C6ABD" w:rsidTr="00955E75">
        <w:trPr>
          <w:cantSplit/>
          <w:trHeight w:val="677"/>
        </w:trPr>
        <w:tc>
          <w:tcPr>
            <w:tcW w:w="5000" w:type="pct"/>
            <w:gridSpan w:val="5"/>
            <w:tcBorders>
              <w:top w:val="single" w:sz="4" w:space="0" w:color="auto"/>
              <w:left w:val="single" w:sz="4" w:space="0" w:color="auto"/>
              <w:bottom w:val="nil"/>
              <w:right w:val="single" w:sz="4" w:space="0" w:color="auto"/>
            </w:tcBorders>
            <w:shd w:val="clear" w:color="auto" w:fill="C6D9F1" w:themeFill="text2" w:themeFillTint="33"/>
            <w:vAlign w:val="center"/>
          </w:tcPr>
          <w:p w:rsidR="00ED1F8D" w:rsidRPr="00ED1F8D" w:rsidRDefault="00ED1F8D" w:rsidP="008320CF">
            <w:pPr>
              <w:keepNext/>
              <w:keepLines/>
              <w:tabs>
                <w:tab w:val="left" w:pos="2302"/>
              </w:tabs>
              <w:spacing w:before="120" w:after="120"/>
              <w:ind w:left="2302" w:hanging="2302"/>
              <w:rPr>
                <w:rFonts w:cs="Arial"/>
                <w:bCs/>
                <w:sz w:val="16"/>
                <w:szCs w:val="16"/>
                <w:lang w:val="ru-RU"/>
              </w:rPr>
            </w:pPr>
            <w:r w:rsidRPr="00ED1F8D">
              <w:rPr>
                <w:sz w:val="16"/>
                <w:szCs w:val="16"/>
                <w:lang w:val="ru-RU"/>
              </w:rPr>
              <w:t xml:space="preserve">Ожидаемый результат: </w:t>
            </w:r>
            <w:r w:rsidRPr="00ED1F8D">
              <w:rPr>
                <w:sz w:val="16"/>
                <w:szCs w:val="16"/>
                <w:lang w:val="ru-RU"/>
              </w:rPr>
              <w:tab/>
            </w:r>
            <w:r w:rsidRPr="00B3134E">
              <w:rPr>
                <w:sz w:val="16"/>
                <w:szCs w:val="16"/>
              </w:rPr>
              <w:t>IX</w:t>
            </w:r>
            <w:r w:rsidRPr="00ED1F8D">
              <w:rPr>
                <w:sz w:val="16"/>
                <w:szCs w:val="16"/>
                <w:lang w:val="ru-RU"/>
              </w:rPr>
              <w:t>.1. Эффективные, действенные, качественные и о</w:t>
            </w:r>
            <w:r w:rsidR="008320CF">
              <w:rPr>
                <w:sz w:val="16"/>
                <w:szCs w:val="16"/>
                <w:lang w:val="ru-RU"/>
              </w:rPr>
              <w:t xml:space="preserve">риентированные на пользователя </w:t>
            </w:r>
            <w:r w:rsidRPr="00ED1F8D">
              <w:rPr>
                <w:sz w:val="16"/>
                <w:szCs w:val="16"/>
                <w:lang w:val="ru-RU"/>
              </w:rPr>
              <w:t>вспомогательные услуги, предоставляемые как внут</w:t>
            </w:r>
            <w:r w:rsidR="008320CF">
              <w:rPr>
                <w:sz w:val="16"/>
                <w:szCs w:val="16"/>
                <w:lang w:val="ru-RU"/>
              </w:rPr>
              <w:t xml:space="preserve">ренним клиентам, так и внешним </w:t>
            </w:r>
            <w:r w:rsidRPr="00ED1F8D">
              <w:rPr>
                <w:sz w:val="16"/>
                <w:szCs w:val="16"/>
                <w:lang w:val="ru-RU"/>
              </w:rPr>
              <w:t>заинтересованным сторонам</w:t>
            </w:r>
          </w:p>
        </w:tc>
      </w:tr>
      <w:tr w:rsidR="00ED1F8D" w:rsidRPr="00B3134E" w:rsidTr="00955E75">
        <w:trPr>
          <w:cantSplit/>
        </w:trPr>
        <w:tc>
          <w:tcPr>
            <w:tcW w:w="1092" w:type="pct"/>
            <w:tcBorders>
              <w:top w:val="single" w:sz="4" w:space="0" w:color="auto"/>
              <w:left w:val="single" w:sz="4" w:space="0" w:color="auto"/>
              <w:bottom w:val="nil"/>
            </w:tcBorders>
            <w:shd w:val="clear" w:color="auto" w:fill="auto"/>
            <w:vAlign w:val="center"/>
          </w:tcPr>
          <w:p w:rsidR="00ED1F8D" w:rsidRPr="00B3134E" w:rsidRDefault="00ED1F8D" w:rsidP="00955E75">
            <w:pPr>
              <w:keepNext/>
              <w:keepLines/>
              <w:rPr>
                <w:rFonts w:cs="Arial"/>
                <w:b/>
                <w:sz w:val="16"/>
                <w:szCs w:val="16"/>
              </w:rPr>
            </w:pPr>
            <w:r w:rsidRPr="00B3134E">
              <w:rPr>
                <w:b/>
                <w:sz w:val="16"/>
                <w:szCs w:val="16"/>
              </w:rPr>
              <w:t>Показатели результативности</w:t>
            </w:r>
          </w:p>
        </w:tc>
        <w:tc>
          <w:tcPr>
            <w:tcW w:w="803" w:type="pct"/>
            <w:tcBorders>
              <w:top w:val="single" w:sz="4" w:space="0" w:color="auto"/>
              <w:bottom w:val="nil"/>
            </w:tcBorders>
            <w:shd w:val="clear" w:color="auto" w:fill="auto"/>
            <w:vAlign w:val="center"/>
          </w:tcPr>
          <w:p w:rsidR="00ED1F8D" w:rsidRPr="00B3134E" w:rsidRDefault="00ED1F8D" w:rsidP="00955E75">
            <w:pPr>
              <w:keepNext/>
              <w:keepLines/>
              <w:rPr>
                <w:rFonts w:cs="Arial"/>
                <w:b/>
                <w:bCs/>
                <w:sz w:val="16"/>
                <w:szCs w:val="16"/>
              </w:rPr>
            </w:pPr>
            <w:r w:rsidRPr="00B3134E">
              <w:rPr>
                <w:b/>
                <w:sz w:val="16"/>
                <w:szCs w:val="16"/>
              </w:rPr>
              <w:t>Базовые показатели</w:t>
            </w:r>
          </w:p>
        </w:tc>
        <w:tc>
          <w:tcPr>
            <w:tcW w:w="803" w:type="pct"/>
            <w:tcBorders>
              <w:top w:val="single" w:sz="4" w:space="0" w:color="auto"/>
              <w:bottom w:val="nil"/>
            </w:tcBorders>
            <w:shd w:val="clear" w:color="auto" w:fill="auto"/>
            <w:tcMar>
              <w:top w:w="110" w:type="dxa"/>
            </w:tcMar>
            <w:vAlign w:val="center"/>
          </w:tcPr>
          <w:p w:rsidR="00ED1F8D" w:rsidRPr="00B3134E" w:rsidRDefault="00ED1F8D" w:rsidP="00955E75">
            <w:pPr>
              <w:keepNext/>
              <w:keepLines/>
              <w:rPr>
                <w:rFonts w:cs="Arial"/>
                <w:b/>
                <w:sz w:val="16"/>
                <w:szCs w:val="16"/>
              </w:rPr>
            </w:pPr>
            <w:r w:rsidRPr="00B3134E">
              <w:rPr>
                <w:b/>
                <w:sz w:val="16"/>
                <w:szCs w:val="16"/>
              </w:rPr>
              <w:t>Цели</w:t>
            </w:r>
          </w:p>
        </w:tc>
        <w:tc>
          <w:tcPr>
            <w:tcW w:w="1819" w:type="pct"/>
            <w:tcBorders>
              <w:top w:val="single" w:sz="4" w:space="0" w:color="auto"/>
              <w:bottom w:val="nil"/>
            </w:tcBorders>
            <w:shd w:val="clear" w:color="auto" w:fill="FFFFFF"/>
            <w:tcMar>
              <w:top w:w="110" w:type="dxa"/>
            </w:tcMar>
            <w:vAlign w:val="center"/>
          </w:tcPr>
          <w:p w:rsidR="00ED1F8D" w:rsidRPr="00B3134E" w:rsidRDefault="00ED1F8D" w:rsidP="00955E75">
            <w:pPr>
              <w:keepNext/>
              <w:keepLines/>
              <w:rPr>
                <w:rFonts w:cs="Arial"/>
                <w:b/>
                <w:sz w:val="16"/>
                <w:szCs w:val="16"/>
              </w:rPr>
            </w:pPr>
            <w:r w:rsidRPr="00B3134E">
              <w:rPr>
                <w:b/>
                <w:sz w:val="16"/>
                <w:szCs w:val="16"/>
              </w:rPr>
              <w:t>Данные о результативности</w:t>
            </w:r>
          </w:p>
        </w:tc>
        <w:tc>
          <w:tcPr>
            <w:tcW w:w="482" w:type="pct"/>
            <w:tcBorders>
              <w:top w:val="single" w:sz="4" w:space="0" w:color="auto"/>
              <w:bottom w:val="nil"/>
              <w:right w:val="single" w:sz="4" w:space="0" w:color="auto"/>
            </w:tcBorders>
            <w:shd w:val="clear" w:color="auto" w:fill="auto"/>
            <w:tcMar>
              <w:top w:w="110" w:type="dxa"/>
            </w:tcMar>
            <w:vAlign w:val="center"/>
          </w:tcPr>
          <w:p w:rsidR="00ED1F8D" w:rsidRPr="00B3134E" w:rsidRDefault="00ED1F8D" w:rsidP="00955E75">
            <w:pPr>
              <w:keepNext/>
              <w:keepLines/>
              <w:jc w:val="center"/>
              <w:rPr>
                <w:rFonts w:cs="Arial"/>
                <w:b/>
                <w:bCs/>
                <w:sz w:val="16"/>
                <w:szCs w:val="16"/>
              </w:rPr>
            </w:pPr>
            <w:r w:rsidRPr="00B3134E">
              <w:rPr>
                <w:b/>
                <w:sz w:val="16"/>
                <w:szCs w:val="16"/>
              </w:rPr>
              <w:t>CC</w:t>
            </w:r>
          </w:p>
        </w:tc>
      </w:tr>
      <w:tr w:rsidR="00ED1F8D" w:rsidRPr="00B3134E" w:rsidTr="00955E75">
        <w:trPr>
          <w:cantSplit/>
        </w:trPr>
        <w:tc>
          <w:tcPr>
            <w:tcW w:w="1092" w:type="pct"/>
            <w:tcBorders>
              <w:top w:val="nil"/>
              <w:left w:val="single" w:sz="4" w:space="0" w:color="auto"/>
              <w:bottom w:val="nil"/>
            </w:tcBorders>
            <w:shd w:val="clear" w:color="auto" w:fill="auto"/>
          </w:tcPr>
          <w:p w:rsidR="00ED1F8D" w:rsidRPr="00ED1F8D" w:rsidRDefault="00ED1F8D" w:rsidP="00955E75">
            <w:pPr>
              <w:keepNext/>
              <w:keepLines/>
              <w:rPr>
                <w:rFonts w:cs="Arial"/>
                <w:sz w:val="16"/>
                <w:szCs w:val="16"/>
                <w:lang w:val="ru-RU"/>
              </w:rPr>
            </w:pPr>
            <w:r w:rsidRPr="00ED1F8D">
              <w:rPr>
                <w:sz w:val="16"/>
                <w:szCs w:val="16"/>
                <w:lang w:val="ru-RU"/>
              </w:rPr>
              <w:t>Завершение проекта строительства нового конференц-зала в соответствии с требованиями к качеству, в срок и в пределах бюджетных ассигнований</w:t>
            </w:r>
          </w:p>
        </w:tc>
        <w:tc>
          <w:tcPr>
            <w:tcW w:w="803" w:type="pct"/>
            <w:tcBorders>
              <w:top w:val="nil"/>
              <w:bottom w:val="nil"/>
            </w:tcBorders>
            <w:shd w:val="clear" w:color="auto" w:fill="auto"/>
          </w:tcPr>
          <w:p w:rsidR="00ED1F8D" w:rsidRPr="00ED1F8D" w:rsidRDefault="00ED1F8D" w:rsidP="00955E75">
            <w:pPr>
              <w:keepNext/>
              <w:keepLines/>
              <w:rPr>
                <w:rFonts w:cs="Arial"/>
                <w:sz w:val="16"/>
                <w:szCs w:val="16"/>
                <w:lang w:val="ru-RU"/>
              </w:rPr>
            </w:pPr>
            <w:r w:rsidRPr="00ED1F8D">
              <w:rPr>
                <w:sz w:val="16"/>
                <w:szCs w:val="16"/>
                <w:lang w:val="ru-RU"/>
              </w:rPr>
              <w:t>Обеспечение сдачи конференц-зала без превышения бюджета и в пересмотренные сроки завершения работ (в результате прекращения действия договора с генеральным подрядчиком) к сессии Ассамблей государств-членов 2014</w:t>
            </w:r>
            <w:r w:rsidRPr="00B3134E">
              <w:rPr>
                <w:sz w:val="16"/>
                <w:szCs w:val="16"/>
              </w:rPr>
              <w:t> </w:t>
            </w:r>
            <w:r w:rsidRPr="00ED1F8D">
              <w:rPr>
                <w:sz w:val="16"/>
                <w:szCs w:val="16"/>
                <w:lang w:val="ru-RU"/>
              </w:rPr>
              <w:t>г.</w:t>
            </w:r>
          </w:p>
          <w:p w:rsidR="00ED1F8D" w:rsidRPr="00ED1F8D" w:rsidRDefault="00ED1F8D" w:rsidP="00955E75">
            <w:pPr>
              <w:keepNext/>
              <w:keepLines/>
              <w:rPr>
                <w:rFonts w:cs="Arial"/>
                <w:i/>
                <w:sz w:val="16"/>
                <w:szCs w:val="16"/>
                <w:lang w:val="ru-RU"/>
              </w:rPr>
            </w:pPr>
          </w:p>
        </w:tc>
        <w:tc>
          <w:tcPr>
            <w:tcW w:w="803" w:type="pct"/>
            <w:tcBorders>
              <w:top w:val="nil"/>
              <w:bottom w:val="nil"/>
            </w:tcBorders>
            <w:shd w:val="clear" w:color="auto" w:fill="auto"/>
            <w:tcMar>
              <w:top w:w="110" w:type="dxa"/>
            </w:tcMar>
          </w:tcPr>
          <w:p w:rsidR="00ED1F8D" w:rsidRPr="00ED1F8D" w:rsidRDefault="00ED1F8D" w:rsidP="00955E75">
            <w:pPr>
              <w:keepNext/>
              <w:keepLines/>
              <w:rPr>
                <w:rFonts w:cs="Arial"/>
                <w:i/>
                <w:sz w:val="16"/>
                <w:szCs w:val="16"/>
                <w:lang w:val="ru-RU"/>
              </w:rPr>
            </w:pPr>
            <w:r w:rsidRPr="00ED1F8D">
              <w:rPr>
                <w:sz w:val="16"/>
                <w:szCs w:val="16"/>
                <w:lang w:val="ru-RU"/>
              </w:rPr>
              <w:t>Проведение сессии Ассамблей государств-членов 2014 г. в новом конференц-зале</w:t>
            </w:r>
          </w:p>
        </w:tc>
        <w:tc>
          <w:tcPr>
            <w:tcW w:w="1819" w:type="pct"/>
            <w:tcBorders>
              <w:top w:val="nil"/>
              <w:bottom w:val="nil"/>
            </w:tcBorders>
            <w:shd w:val="clear" w:color="auto" w:fill="FFFFFF"/>
            <w:tcMar>
              <w:top w:w="110" w:type="dxa"/>
            </w:tcMar>
          </w:tcPr>
          <w:p w:rsidR="00ED1F8D" w:rsidRPr="00ED1F8D" w:rsidRDefault="00ED1F8D" w:rsidP="00955E75">
            <w:pPr>
              <w:keepNext/>
              <w:keepLines/>
              <w:rPr>
                <w:rFonts w:cs="Arial"/>
                <w:sz w:val="16"/>
                <w:szCs w:val="16"/>
                <w:lang w:val="ru-RU"/>
              </w:rPr>
            </w:pPr>
            <w:r w:rsidRPr="00ED1F8D">
              <w:rPr>
                <w:sz w:val="16"/>
                <w:szCs w:val="16"/>
                <w:lang w:val="ru-RU"/>
              </w:rPr>
              <w:t>Проект строительства нового конференц-зала завершен и сдан в сроки в соответствии с требованиями к качеству.</w:t>
            </w:r>
          </w:p>
          <w:p w:rsidR="00ED1F8D" w:rsidRPr="00ED1F8D" w:rsidRDefault="00ED1F8D" w:rsidP="00955E75">
            <w:pPr>
              <w:keepNext/>
              <w:keepLines/>
              <w:rPr>
                <w:rFonts w:cs="Arial"/>
                <w:sz w:val="16"/>
                <w:szCs w:val="16"/>
                <w:lang w:val="ru-RU"/>
              </w:rPr>
            </w:pPr>
          </w:p>
          <w:p w:rsidR="00ED1F8D" w:rsidRPr="00ED1F8D" w:rsidRDefault="00ED1F8D" w:rsidP="00955E75">
            <w:pPr>
              <w:keepNext/>
              <w:keepLines/>
              <w:rPr>
                <w:rFonts w:cs="Arial"/>
                <w:sz w:val="16"/>
                <w:szCs w:val="16"/>
                <w:lang w:val="ru-RU"/>
              </w:rPr>
            </w:pPr>
            <w:r w:rsidRPr="00ED1F8D">
              <w:rPr>
                <w:sz w:val="16"/>
                <w:szCs w:val="16"/>
                <w:lang w:val="ru-RU"/>
              </w:rPr>
              <w:t>Первым официальным мероприятием, состоявшимся в новом конференц-зале ВОИС в 2014</w:t>
            </w:r>
            <w:r w:rsidRPr="00B3134E">
              <w:rPr>
                <w:sz w:val="16"/>
                <w:szCs w:val="16"/>
              </w:rPr>
              <w:t> </w:t>
            </w:r>
            <w:r w:rsidRPr="00ED1F8D">
              <w:rPr>
                <w:sz w:val="16"/>
                <w:szCs w:val="16"/>
                <w:lang w:val="ru-RU"/>
              </w:rPr>
              <w:t>г., стала сессия КПБ (1–5</w:t>
            </w:r>
            <w:r w:rsidRPr="00B3134E">
              <w:rPr>
                <w:sz w:val="16"/>
                <w:szCs w:val="16"/>
              </w:rPr>
              <w:t> </w:t>
            </w:r>
            <w:r w:rsidRPr="00ED1F8D">
              <w:rPr>
                <w:sz w:val="16"/>
                <w:szCs w:val="16"/>
                <w:lang w:val="ru-RU"/>
              </w:rPr>
              <w:t>сентября 2014</w:t>
            </w:r>
            <w:r w:rsidRPr="00B3134E">
              <w:rPr>
                <w:sz w:val="16"/>
                <w:szCs w:val="16"/>
              </w:rPr>
              <w:t> </w:t>
            </w:r>
            <w:r w:rsidRPr="00ED1F8D">
              <w:rPr>
                <w:sz w:val="16"/>
                <w:szCs w:val="16"/>
                <w:lang w:val="ru-RU"/>
              </w:rPr>
              <w:t>г.).  Сессия Ассамблей государств</w:t>
            </w:r>
            <w:r w:rsidRPr="00B3134E">
              <w:rPr>
                <w:sz w:val="16"/>
                <w:szCs w:val="16"/>
              </w:rPr>
              <w:t> </w:t>
            </w:r>
            <w:r w:rsidRPr="00ED1F8D">
              <w:rPr>
                <w:sz w:val="16"/>
                <w:szCs w:val="16"/>
                <w:lang w:val="ru-RU"/>
              </w:rPr>
              <w:t>– членов ВОИС 2014 г. прошла 22–30</w:t>
            </w:r>
            <w:r w:rsidRPr="00B3134E">
              <w:rPr>
                <w:sz w:val="16"/>
                <w:szCs w:val="16"/>
              </w:rPr>
              <w:t> </w:t>
            </w:r>
            <w:r w:rsidRPr="00ED1F8D">
              <w:rPr>
                <w:sz w:val="16"/>
                <w:szCs w:val="16"/>
                <w:lang w:val="ru-RU"/>
              </w:rPr>
              <w:t>сентября 2014</w:t>
            </w:r>
            <w:r w:rsidRPr="00B3134E">
              <w:rPr>
                <w:sz w:val="16"/>
                <w:szCs w:val="16"/>
              </w:rPr>
              <w:t> </w:t>
            </w:r>
            <w:r w:rsidRPr="00ED1F8D">
              <w:rPr>
                <w:sz w:val="16"/>
                <w:szCs w:val="16"/>
                <w:lang w:val="ru-RU"/>
              </w:rPr>
              <w:t>г., и в первый день сессии состоялась церемония официального открытия нового конференц-зала.</w:t>
            </w:r>
          </w:p>
          <w:p w:rsidR="00ED1F8D" w:rsidRPr="00ED1F8D" w:rsidRDefault="00ED1F8D" w:rsidP="00955E75">
            <w:pPr>
              <w:keepNext/>
              <w:keepLines/>
              <w:rPr>
                <w:rFonts w:cs="Arial"/>
                <w:sz w:val="16"/>
                <w:szCs w:val="16"/>
                <w:lang w:val="ru-RU"/>
              </w:rPr>
            </w:pPr>
          </w:p>
          <w:p w:rsidR="00ED1F8D" w:rsidRPr="00ED1F8D" w:rsidRDefault="00ED1F8D" w:rsidP="00955E75">
            <w:pPr>
              <w:keepNext/>
              <w:keepLines/>
              <w:rPr>
                <w:rFonts w:cs="Arial"/>
                <w:sz w:val="16"/>
                <w:szCs w:val="16"/>
                <w:lang w:val="ru-RU"/>
              </w:rPr>
            </w:pPr>
            <w:r w:rsidRPr="00ED1F8D">
              <w:rPr>
                <w:sz w:val="16"/>
                <w:szCs w:val="16"/>
                <w:lang w:val="ru-RU"/>
              </w:rPr>
              <w:t>Предполагается, что к концу 2015</w:t>
            </w:r>
            <w:r w:rsidRPr="00B3134E">
              <w:rPr>
                <w:sz w:val="16"/>
                <w:szCs w:val="16"/>
              </w:rPr>
              <w:t> </w:t>
            </w:r>
            <w:r w:rsidRPr="00ED1F8D">
              <w:rPr>
                <w:sz w:val="16"/>
                <w:szCs w:val="16"/>
                <w:lang w:val="ru-RU"/>
              </w:rPr>
              <w:t>г. оставшиеся выплаты, которые должны быть сделаны по всем итоговым счетам, будут покрыты за счет дополнительных бюджетных средств, выделение которых было одобрено государствами-членами в 2014</w:t>
            </w:r>
            <w:r w:rsidRPr="00B3134E">
              <w:rPr>
                <w:sz w:val="16"/>
                <w:szCs w:val="16"/>
              </w:rPr>
              <w:t> </w:t>
            </w:r>
            <w:r w:rsidRPr="00ED1F8D">
              <w:rPr>
                <w:sz w:val="16"/>
                <w:szCs w:val="16"/>
                <w:lang w:val="ru-RU"/>
              </w:rPr>
              <w:t>г. и 2015</w:t>
            </w:r>
            <w:r w:rsidRPr="00B3134E">
              <w:rPr>
                <w:sz w:val="16"/>
                <w:szCs w:val="16"/>
              </w:rPr>
              <w:t> </w:t>
            </w:r>
            <w:r w:rsidRPr="00ED1F8D">
              <w:rPr>
                <w:sz w:val="16"/>
                <w:szCs w:val="16"/>
                <w:lang w:val="ru-RU"/>
              </w:rPr>
              <w:t>г., а окончательная стоимость проекта будет рассчитана в 2016</w:t>
            </w:r>
            <w:r w:rsidRPr="00B3134E">
              <w:rPr>
                <w:sz w:val="16"/>
                <w:szCs w:val="16"/>
              </w:rPr>
              <w:t> </w:t>
            </w:r>
            <w:r w:rsidRPr="00ED1F8D">
              <w:rPr>
                <w:sz w:val="16"/>
                <w:szCs w:val="16"/>
                <w:lang w:val="ru-RU"/>
              </w:rPr>
              <w:t xml:space="preserve">г. после расчетов по всем счетам. </w:t>
            </w:r>
          </w:p>
          <w:p w:rsidR="00ED1F8D" w:rsidRPr="00ED1F8D" w:rsidRDefault="00ED1F8D" w:rsidP="00955E75">
            <w:pPr>
              <w:keepNext/>
              <w:keepLines/>
              <w:rPr>
                <w:rFonts w:cs="Arial"/>
                <w:sz w:val="16"/>
                <w:szCs w:val="16"/>
                <w:lang w:val="ru-RU"/>
              </w:rPr>
            </w:pPr>
          </w:p>
        </w:tc>
        <w:tc>
          <w:tcPr>
            <w:tcW w:w="482" w:type="pct"/>
            <w:tcBorders>
              <w:top w:val="nil"/>
              <w:bottom w:val="nil"/>
              <w:right w:val="single" w:sz="4" w:space="0" w:color="auto"/>
            </w:tcBorders>
            <w:shd w:val="clear" w:color="auto" w:fill="auto"/>
            <w:tcMar>
              <w:top w:w="110" w:type="dxa"/>
            </w:tcMar>
          </w:tcPr>
          <w:p w:rsidR="00ED1F8D" w:rsidRPr="00B3134E" w:rsidRDefault="00ED1F8D" w:rsidP="00955E75">
            <w:pPr>
              <w:keepNext/>
              <w:keepLines/>
              <w:jc w:val="center"/>
              <w:rPr>
                <w:rFonts w:cs="Arial"/>
                <w:b/>
                <w:bCs/>
                <w:color w:val="808080"/>
                <w:sz w:val="16"/>
                <w:szCs w:val="16"/>
              </w:rPr>
            </w:pPr>
            <w:r w:rsidRPr="00B3134E">
              <w:rPr>
                <w:b/>
                <w:color w:val="00B050"/>
                <w:sz w:val="16"/>
                <w:szCs w:val="16"/>
              </w:rPr>
              <w:t>Выполнено</w:t>
            </w:r>
          </w:p>
        </w:tc>
      </w:tr>
      <w:tr w:rsidR="00ED1F8D" w:rsidRPr="00B3134E" w:rsidTr="00955E75">
        <w:trPr>
          <w:cantSplit/>
        </w:trPr>
        <w:tc>
          <w:tcPr>
            <w:tcW w:w="1092" w:type="pct"/>
            <w:tcBorders>
              <w:top w:val="nil"/>
              <w:left w:val="single" w:sz="4" w:space="0" w:color="auto"/>
              <w:bottom w:val="single" w:sz="4" w:space="0" w:color="auto"/>
            </w:tcBorders>
            <w:shd w:val="clear" w:color="auto" w:fill="auto"/>
          </w:tcPr>
          <w:p w:rsidR="00ED1F8D" w:rsidRPr="00ED1F8D" w:rsidRDefault="00ED1F8D" w:rsidP="00955E75">
            <w:pPr>
              <w:rPr>
                <w:rFonts w:cs="Arial"/>
                <w:sz w:val="16"/>
                <w:szCs w:val="16"/>
                <w:lang w:val="ru-RU"/>
              </w:rPr>
            </w:pPr>
            <w:r w:rsidRPr="00ED1F8D">
              <w:rPr>
                <w:sz w:val="16"/>
                <w:szCs w:val="16"/>
                <w:lang w:val="ru-RU"/>
              </w:rPr>
              <w:t>Использование конференц-зала как предпочтительного места проведения встреч и мероприятий, организованных государствами-членами</w:t>
            </w:r>
          </w:p>
        </w:tc>
        <w:tc>
          <w:tcPr>
            <w:tcW w:w="803" w:type="pct"/>
            <w:tcBorders>
              <w:top w:val="nil"/>
              <w:bottom w:val="single" w:sz="4" w:space="0" w:color="auto"/>
            </w:tcBorders>
            <w:shd w:val="clear" w:color="auto" w:fill="auto"/>
          </w:tcPr>
          <w:p w:rsidR="00ED1F8D" w:rsidRPr="00ED1F8D" w:rsidRDefault="00ED1F8D" w:rsidP="00955E75">
            <w:pPr>
              <w:rPr>
                <w:rFonts w:cs="Arial"/>
                <w:sz w:val="16"/>
                <w:szCs w:val="16"/>
                <w:lang w:val="ru-RU"/>
              </w:rPr>
            </w:pPr>
            <w:r w:rsidRPr="00ED1F8D">
              <w:rPr>
                <w:sz w:val="16"/>
                <w:szCs w:val="16"/>
                <w:lang w:val="ru-RU"/>
              </w:rPr>
              <w:t>Начиная с 2015</w:t>
            </w:r>
            <w:r w:rsidRPr="00B3134E">
              <w:rPr>
                <w:sz w:val="16"/>
                <w:szCs w:val="16"/>
              </w:rPr>
              <w:t> </w:t>
            </w:r>
            <w:r w:rsidRPr="00ED1F8D">
              <w:rPr>
                <w:sz w:val="16"/>
                <w:szCs w:val="16"/>
                <w:lang w:val="ru-RU"/>
              </w:rPr>
              <w:t>г. государства-члены будут подавать заявки на пользование залом (для проведения совещаний и мероприятий, помимо совещаний и мероприятий, организуемых ВОИС)</w:t>
            </w:r>
          </w:p>
        </w:tc>
        <w:tc>
          <w:tcPr>
            <w:tcW w:w="803" w:type="pct"/>
            <w:tcBorders>
              <w:top w:val="nil"/>
              <w:bottom w:val="single" w:sz="4" w:space="0" w:color="auto"/>
            </w:tcBorders>
            <w:shd w:val="clear" w:color="auto" w:fill="auto"/>
            <w:tcMar>
              <w:top w:w="110" w:type="dxa"/>
            </w:tcMar>
          </w:tcPr>
          <w:p w:rsidR="00ED1F8D" w:rsidRPr="00ED1F8D" w:rsidRDefault="00ED1F8D" w:rsidP="00955E75">
            <w:pPr>
              <w:rPr>
                <w:rFonts w:cs="Arial"/>
                <w:sz w:val="16"/>
                <w:szCs w:val="16"/>
                <w:lang w:val="ru-RU"/>
              </w:rPr>
            </w:pPr>
            <w:r w:rsidRPr="00ED1F8D">
              <w:rPr>
                <w:sz w:val="16"/>
                <w:szCs w:val="16"/>
                <w:lang w:val="ru-RU"/>
              </w:rPr>
              <w:t>Подача государствами-членами и другими международными или иными организациями не менее двух заявок на проведение совещаний и/или мероприятий в год (кроме совещаний и мероприятий, организуемых ВОИС)</w:t>
            </w:r>
          </w:p>
          <w:p w:rsidR="00ED1F8D" w:rsidRPr="00ED1F8D" w:rsidRDefault="00ED1F8D" w:rsidP="00955E75">
            <w:pPr>
              <w:rPr>
                <w:rFonts w:cs="Arial"/>
                <w:sz w:val="16"/>
                <w:szCs w:val="16"/>
                <w:lang w:val="ru-RU"/>
              </w:rPr>
            </w:pPr>
          </w:p>
        </w:tc>
        <w:tc>
          <w:tcPr>
            <w:tcW w:w="1819" w:type="pct"/>
            <w:tcBorders>
              <w:top w:val="nil"/>
              <w:bottom w:val="single" w:sz="4" w:space="0" w:color="auto"/>
            </w:tcBorders>
            <w:shd w:val="clear" w:color="auto" w:fill="FFFFFF"/>
            <w:tcMar>
              <w:top w:w="110" w:type="dxa"/>
            </w:tcMar>
          </w:tcPr>
          <w:p w:rsidR="00ED1F8D" w:rsidRPr="00ED1F8D" w:rsidRDefault="00ED1F8D" w:rsidP="00955E75">
            <w:pPr>
              <w:rPr>
                <w:sz w:val="16"/>
                <w:szCs w:val="16"/>
                <w:lang w:val="ru-RU"/>
              </w:rPr>
            </w:pPr>
            <w:r w:rsidRPr="00ED1F8D">
              <w:rPr>
                <w:sz w:val="16"/>
                <w:szCs w:val="16"/>
                <w:lang w:val="ru-RU"/>
              </w:rPr>
              <w:t>В 2015</w:t>
            </w:r>
            <w:r w:rsidRPr="00B3134E">
              <w:rPr>
                <w:sz w:val="16"/>
                <w:szCs w:val="16"/>
              </w:rPr>
              <w:t> </w:t>
            </w:r>
            <w:r w:rsidRPr="00ED1F8D">
              <w:rPr>
                <w:sz w:val="16"/>
                <w:szCs w:val="16"/>
                <w:lang w:val="ru-RU"/>
              </w:rPr>
              <w:t>г. новый конференц-зал ВОИС и относящиеся к нему сооружения начали впервые сдаваться в аренду государствам-членам и сторонним учреждениям для проведения мероприятий, помимо заседаний ВОИС.  Было проведено пять таких мероприятий: (</w:t>
            </w:r>
            <w:r w:rsidRPr="00B3134E">
              <w:rPr>
                <w:sz w:val="16"/>
                <w:szCs w:val="16"/>
              </w:rPr>
              <w:t>i</w:t>
            </w:r>
            <w:r w:rsidRPr="00ED1F8D">
              <w:rPr>
                <w:sz w:val="16"/>
                <w:szCs w:val="16"/>
                <w:lang w:val="ru-RU"/>
              </w:rPr>
              <w:t>)</w:t>
            </w:r>
            <w:r w:rsidRPr="00B3134E">
              <w:rPr>
                <w:sz w:val="16"/>
                <w:szCs w:val="16"/>
              </w:rPr>
              <w:t> </w:t>
            </w:r>
            <w:r w:rsidRPr="00ED1F8D">
              <w:rPr>
                <w:sz w:val="16"/>
                <w:szCs w:val="16"/>
                <w:lang w:val="ru-RU"/>
              </w:rPr>
              <w:t>Всемирный форум МСЭ в мае 2015</w:t>
            </w:r>
            <w:r w:rsidRPr="00B3134E">
              <w:rPr>
                <w:sz w:val="16"/>
                <w:szCs w:val="16"/>
              </w:rPr>
              <w:t> </w:t>
            </w:r>
            <w:r w:rsidRPr="00ED1F8D">
              <w:rPr>
                <w:sz w:val="16"/>
                <w:szCs w:val="16"/>
                <w:lang w:val="ru-RU"/>
              </w:rPr>
              <w:t>г.; (</w:t>
            </w:r>
            <w:r w:rsidRPr="00B3134E">
              <w:rPr>
                <w:sz w:val="16"/>
                <w:szCs w:val="16"/>
              </w:rPr>
              <w:t>ii</w:t>
            </w:r>
            <w:r w:rsidRPr="00ED1F8D">
              <w:rPr>
                <w:sz w:val="16"/>
                <w:szCs w:val="16"/>
                <w:lang w:val="ru-RU"/>
              </w:rPr>
              <w:t>)</w:t>
            </w:r>
            <w:r w:rsidRPr="00B3134E">
              <w:rPr>
                <w:sz w:val="16"/>
                <w:szCs w:val="16"/>
              </w:rPr>
              <w:t> </w:t>
            </w:r>
            <w:r w:rsidRPr="00ED1F8D">
              <w:rPr>
                <w:sz w:val="16"/>
                <w:szCs w:val="16"/>
                <w:lang w:val="ru-RU"/>
              </w:rPr>
              <w:t>заседание Международного центра по спортивной безопасности в сентябре 2015</w:t>
            </w:r>
            <w:r w:rsidRPr="00B3134E">
              <w:rPr>
                <w:sz w:val="16"/>
                <w:szCs w:val="16"/>
              </w:rPr>
              <w:t> </w:t>
            </w:r>
            <w:r w:rsidRPr="00ED1F8D">
              <w:rPr>
                <w:sz w:val="16"/>
                <w:szCs w:val="16"/>
                <w:lang w:val="ru-RU"/>
              </w:rPr>
              <w:t>г.; (</w:t>
            </w:r>
            <w:r w:rsidRPr="00B3134E">
              <w:rPr>
                <w:sz w:val="16"/>
                <w:szCs w:val="16"/>
              </w:rPr>
              <w:t>iii</w:t>
            </w:r>
            <w:r w:rsidRPr="00ED1F8D">
              <w:rPr>
                <w:sz w:val="16"/>
                <w:szCs w:val="16"/>
                <w:lang w:val="ru-RU"/>
              </w:rPr>
              <w:t>)</w:t>
            </w:r>
            <w:r w:rsidRPr="00B3134E">
              <w:rPr>
                <w:sz w:val="16"/>
                <w:szCs w:val="16"/>
              </w:rPr>
              <w:t> </w:t>
            </w:r>
            <w:r w:rsidRPr="00ED1F8D">
              <w:rPr>
                <w:sz w:val="16"/>
                <w:szCs w:val="16"/>
                <w:lang w:val="ru-RU"/>
              </w:rPr>
              <w:t xml:space="preserve">мероприятие по случаю запуска </w:t>
            </w:r>
            <w:r w:rsidRPr="00B3134E">
              <w:rPr>
                <w:sz w:val="16"/>
                <w:szCs w:val="16"/>
              </w:rPr>
              <w:t>Geneva</w:t>
            </w:r>
            <w:r w:rsidRPr="00ED1F8D">
              <w:rPr>
                <w:sz w:val="16"/>
                <w:szCs w:val="16"/>
                <w:lang w:val="ru-RU"/>
              </w:rPr>
              <w:t xml:space="preserve"> </w:t>
            </w:r>
            <w:r w:rsidRPr="00B3134E">
              <w:rPr>
                <w:sz w:val="16"/>
                <w:szCs w:val="16"/>
              </w:rPr>
              <w:t>Water</w:t>
            </w:r>
            <w:r w:rsidRPr="00ED1F8D">
              <w:rPr>
                <w:sz w:val="16"/>
                <w:szCs w:val="16"/>
                <w:lang w:val="ru-RU"/>
              </w:rPr>
              <w:t xml:space="preserve"> </w:t>
            </w:r>
            <w:r w:rsidRPr="00B3134E">
              <w:rPr>
                <w:sz w:val="16"/>
                <w:szCs w:val="16"/>
              </w:rPr>
              <w:t>Hub</w:t>
            </w:r>
            <w:r w:rsidRPr="00ED1F8D">
              <w:rPr>
                <w:sz w:val="16"/>
                <w:szCs w:val="16"/>
                <w:lang w:val="ru-RU"/>
              </w:rPr>
              <w:t>, проведенное Швейцарией в ноябре 2015</w:t>
            </w:r>
            <w:r w:rsidRPr="00B3134E">
              <w:rPr>
                <w:sz w:val="16"/>
                <w:szCs w:val="16"/>
              </w:rPr>
              <w:t> </w:t>
            </w:r>
            <w:r w:rsidRPr="00ED1F8D">
              <w:rPr>
                <w:sz w:val="16"/>
                <w:szCs w:val="16"/>
                <w:lang w:val="ru-RU"/>
              </w:rPr>
              <w:t>г.; (</w:t>
            </w:r>
            <w:r w:rsidRPr="00B3134E">
              <w:rPr>
                <w:sz w:val="16"/>
                <w:szCs w:val="16"/>
              </w:rPr>
              <w:t>iv</w:t>
            </w:r>
            <w:r w:rsidRPr="00ED1F8D">
              <w:rPr>
                <w:sz w:val="16"/>
                <w:szCs w:val="16"/>
                <w:lang w:val="ru-RU"/>
              </w:rPr>
              <w:t>)</w:t>
            </w:r>
            <w:r w:rsidRPr="00B3134E">
              <w:rPr>
                <w:sz w:val="16"/>
                <w:szCs w:val="16"/>
              </w:rPr>
              <w:t> </w:t>
            </w:r>
            <w:r w:rsidRPr="00ED1F8D">
              <w:rPr>
                <w:sz w:val="16"/>
                <w:szCs w:val="16"/>
                <w:lang w:val="ru-RU"/>
              </w:rPr>
              <w:t>церемония вручения федеральных дипломов сотрудникам противопожарной службы Швейцарии (</w:t>
            </w:r>
            <w:r w:rsidRPr="00B3134E">
              <w:rPr>
                <w:sz w:val="16"/>
                <w:szCs w:val="16"/>
              </w:rPr>
              <w:t>Ecole</w:t>
            </w:r>
            <w:r w:rsidRPr="00ED1F8D">
              <w:rPr>
                <w:sz w:val="16"/>
                <w:szCs w:val="16"/>
                <w:lang w:val="ru-RU"/>
              </w:rPr>
              <w:t xml:space="preserve"> </w:t>
            </w:r>
            <w:r w:rsidRPr="00B3134E">
              <w:rPr>
                <w:sz w:val="16"/>
                <w:szCs w:val="16"/>
              </w:rPr>
              <w:t>latine</w:t>
            </w:r>
            <w:r w:rsidRPr="00ED1F8D">
              <w:rPr>
                <w:sz w:val="16"/>
                <w:szCs w:val="16"/>
                <w:lang w:val="ru-RU"/>
              </w:rPr>
              <w:t>) в ноябре 2015</w:t>
            </w:r>
            <w:r w:rsidRPr="00B3134E">
              <w:rPr>
                <w:sz w:val="16"/>
                <w:szCs w:val="16"/>
              </w:rPr>
              <w:t> </w:t>
            </w:r>
            <w:r w:rsidRPr="00ED1F8D">
              <w:rPr>
                <w:sz w:val="16"/>
                <w:szCs w:val="16"/>
                <w:lang w:val="ru-RU"/>
              </w:rPr>
              <w:t>г.; (</w:t>
            </w:r>
            <w:r w:rsidRPr="00B3134E">
              <w:rPr>
                <w:sz w:val="16"/>
                <w:szCs w:val="16"/>
              </w:rPr>
              <w:t>v</w:t>
            </w:r>
            <w:r w:rsidRPr="00ED1F8D">
              <w:rPr>
                <w:sz w:val="16"/>
                <w:szCs w:val="16"/>
                <w:lang w:val="ru-RU"/>
              </w:rPr>
              <w:t>)</w:t>
            </w:r>
            <w:r w:rsidRPr="00B3134E">
              <w:rPr>
                <w:sz w:val="16"/>
                <w:szCs w:val="16"/>
              </w:rPr>
              <w:t> </w:t>
            </w:r>
            <w:r w:rsidRPr="00ED1F8D">
              <w:rPr>
                <w:sz w:val="16"/>
                <w:szCs w:val="16"/>
                <w:lang w:val="ru-RU"/>
              </w:rPr>
              <w:t>ежегодное заседание Международной организации по миграции (МОМ) в ноябре 2015</w:t>
            </w:r>
            <w:r w:rsidRPr="00B3134E">
              <w:rPr>
                <w:sz w:val="16"/>
                <w:szCs w:val="16"/>
              </w:rPr>
              <w:t> </w:t>
            </w:r>
            <w:r w:rsidRPr="00ED1F8D">
              <w:rPr>
                <w:sz w:val="16"/>
                <w:szCs w:val="16"/>
                <w:lang w:val="ru-RU"/>
              </w:rPr>
              <w:t>г.</w:t>
            </w:r>
          </w:p>
          <w:p w:rsidR="00ED1F8D" w:rsidRPr="00ED1F8D" w:rsidRDefault="00ED1F8D" w:rsidP="00955E75">
            <w:pPr>
              <w:rPr>
                <w:rFonts w:cs="Arial"/>
                <w:sz w:val="16"/>
                <w:szCs w:val="16"/>
                <w:lang w:val="ru-RU"/>
              </w:rPr>
            </w:pPr>
          </w:p>
        </w:tc>
        <w:tc>
          <w:tcPr>
            <w:tcW w:w="482" w:type="pct"/>
            <w:tcBorders>
              <w:top w:val="nil"/>
              <w:bottom w:val="single" w:sz="4" w:space="0" w:color="auto"/>
              <w:right w:val="single" w:sz="4" w:space="0" w:color="auto"/>
            </w:tcBorders>
            <w:shd w:val="clear" w:color="auto" w:fill="auto"/>
            <w:tcMar>
              <w:top w:w="110" w:type="dxa"/>
            </w:tcMar>
          </w:tcPr>
          <w:p w:rsidR="00ED1F8D" w:rsidRPr="00B3134E" w:rsidRDefault="00ED1F8D" w:rsidP="00955E75">
            <w:pPr>
              <w:jc w:val="center"/>
              <w:rPr>
                <w:rStyle w:val="Style5"/>
                <w:rFonts w:cs="Arial"/>
                <w:b/>
                <w:color w:val="595959" w:themeColor="text1" w:themeTint="A6"/>
                <w:sz w:val="16"/>
                <w:szCs w:val="16"/>
              </w:rPr>
            </w:pPr>
            <w:r w:rsidRPr="00B3134E">
              <w:rPr>
                <w:b/>
                <w:color w:val="00B050"/>
                <w:sz w:val="16"/>
                <w:szCs w:val="16"/>
              </w:rPr>
              <w:t>Выполнено</w:t>
            </w:r>
          </w:p>
        </w:tc>
      </w:tr>
      <w:tr w:rsidR="00ED1F8D" w:rsidRPr="005C6ABD" w:rsidTr="00955E75">
        <w:trPr>
          <w:cantSplit/>
        </w:trPr>
        <w:tc>
          <w:tcPr>
            <w:tcW w:w="5000" w:type="pct"/>
            <w:gridSpan w:val="5"/>
            <w:tcBorders>
              <w:top w:val="single" w:sz="4" w:space="0" w:color="auto"/>
              <w:left w:val="single" w:sz="4" w:space="0" w:color="auto"/>
              <w:bottom w:val="nil"/>
              <w:right w:val="single" w:sz="4" w:space="0" w:color="auto"/>
            </w:tcBorders>
            <w:shd w:val="clear" w:color="auto" w:fill="C6D9F1" w:themeFill="text2" w:themeFillTint="33"/>
            <w:vAlign w:val="center"/>
          </w:tcPr>
          <w:p w:rsidR="00ED1F8D" w:rsidRPr="00ED1F8D" w:rsidRDefault="00ED1F8D" w:rsidP="008320CF">
            <w:pPr>
              <w:tabs>
                <w:tab w:val="left" w:pos="2302"/>
              </w:tabs>
              <w:spacing w:before="120" w:after="120"/>
              <w:ind w:left="2302" w:hanging="2302"/>
              <w:rPr>
                <w:rFonts w:cs="Arial"/>
                <w:bCs/>
                <w:sz w:val="16"/>
                <w:szCs w:val="16"/>
                <w:lang w:val="ru-RU"/>
              </w:rPr>
            </w:pPr>
            <w:r w:rsidRPr="00ED1F8D">
              <w:rPr>
                <w:sz w:val="16"/>
                <w:szCs w:val="16"/>
                <w:lang w:val="ru-RU"/>
              </w:rPr>
              <w:t xml:space="preserve">Ожидаемый результат: </w:t>
            </w:r>
            <w:r w:rsidRPr="00ED1F8D">
              <w:rPr>
                <w:sz w:val="16"/>
                <w:szCs w:val="16"/>
                <w:lang w:val="ru-RU"/>
              </w:rPr>
              <w:tab/>
            </w:r>
            <w:r w:rsidRPr="00B3134E">
              <w:rPr>
                <w:sz w:val="16"/>
                <w:szCs w:val="16"/>
              </w:rPr>
              <w:t>IX</w:t>
            </w:r>
            <w:r w:rsidRPr="00ED1F8D">
              <w:rPr>
                <w:sz w:val="16"/>
                <w:szCs w:val="16"/>
                <w:lang w:val="ru-RU"/>
              </w:rPr>
              <w:t>.4. Ответственная в экологическом и социальном плане Орг</w:t>
            </w:r>
            <w:r w:rsidR="008320CF">
              <w:rPr>
                <w:sz w:val="16"/>
                <w:szCs w:val="16"/>
                <w:lang w:val="ru-RU"/>
              </w:rPr>
              <w:t xml:space="preserve">анизация, в которой сотрудники </w:t>
            </w:r>
            <w:r w:rsidRPr="00ED1F8D">
              <w:rPr>
                <w:sz w:val="16"/>
                <w:szCs w:val="16"/>
                <w:lang w:val="ru-RU"/>
              </w:rPr>
              <w:t>ВОИС, делегаты, посетители, а также информационные и мат</w:t>
            </w:r>
            <w:r w:rsidR="008320CF">
              <w:rPr>
                <w:sz w:val="16"/>
                <w:szCs w:val="16"/>
                <w:lang w:val="ru-RU"/>
              </w:rPr>
              <w:t xml:space="preserve">ериальные активы находятся под </w:t>
            </w:r>
            <w:r w:rsidRPr="00ED1F8D">
              <w:rPr>
                <w:sz w:val="16"/>
                <w:szCs w:val="16"/>
                <w:lang w:val="ru-RU"/>
              </w:rPr>
              <w:t>охраной и в безопасности</w:t>
            </w:r>
          </w:p>
        </w:tc>
      </w:tr>
      <w:tr w:rsidR="00ED1F8D" w:rsidRPr="00B3134E" w:rsidTr="00955E75">
        <w:trPr>
          <w:cantSplit/>
        </w:trPr>
        <w:tc>
          <w:tcPr>
            <w:tcW w:w="1092" w:type="pct"/>
            <w:tcBorders>
              <w:top w:val="single" w:sz="4" w:space="0" w:color="auto"/>
              <w:left w:val="single" w:sz="4" w:space="0" w:color="auto"/>
              <w:bottom w:val="nil"/>
            </w:tcBorders>
            <w:shd w:val="clear" w:color="auto" w:fill="auto"/>
            <w:vAlign w:val="center"/>
          </w:tcPr>
          <w:p w:rsidR="00ED1F8D" w:rsidRPr="00B3134E" w:rsidRDefault="00ED1F8D" w:rsidP="00955E75">
            <w:pPr>
              <w:rPr>
                <w:rFonts w:cs="Arial"/>
                <w:b/>
                <w:sz w:val="16"/>
                <w:szCs w:val="16"/>
              </w:rPr>
            </w:pPr>
            <w:r w:rsidRPr="00B3134E">
              <w:rPr>
                <w:b/>
                <w:sz w:val="16"/>
                <w:szCs w:val="16"/>
              </w:rPr>
              <w:t>Показатели результативности</w:t>
            </w:r>
          </w:p>
        </w:tc>
        <w:tc>
          <w:tcPr>
            <w:tcW w:w="803" w:type="pct"/>
            <w:tcBorders>
              <w:top w:val="single" w:sz="4" w:space="0" w:color="auto"/>
              <w:bottom w:val="nil"/>
            </w:tcBorders>
            <w:shd w:val="clear" w:color="auto" w:fill="auto"/>
            <w:vAlign w:val="center"/>
          </w:tcPr>
          <w:p w:rsidR="00ED1F8D" w:rsidRPr="00B3134E" w:rsidRDefault="00ED1F8D" w:rsidP="00955E75">
            <w:pPr>
              <w:rPr>
                <w:rFonts w:cs="Arial"/>
                <w:b/>
                <w:bCs/>
                <w:sz w:val="16"/>
                <w:szCs w:val="16"/>
              </w:rPr>
            </w:pPr>
            <w:r w:rsidRPr="00B3134E">
              <w:rPr>
                <w:b/>
                <w:sz w:val="16"/>
                <w:szCs w:val="16"/>
              </w:rPr>
              <w:t>Базовые показатели</w:t>
            </w:r>
          </w:p>
        </w:tc>
        <w:tc>
          <w:tcPr>
            <w:tcW w:w="803" w:type="pct"/>
            <w:tcBorders>
              <w:top w:val="single" w:sz="4" w:space="0" w:color="auto"/>
              <w:bottom w:val="nil"/>
            </w:tcBorders>
            <w:shd w:val="clear" w:color="auto" w:fill="auto"/>
            <w:tcMar>
              <w:top w:w="110" w:type="dxa"/>
            </w:tcMar>
            <w:vAlign w:val="center"/>
          </w:tcPr>
          <w:p w:rsidR="00ED1F8D" w:rsidRPr="00B3134E" w:rsidRDefault="00ED1F8D" w:rsidP="00955E75">
            <w:pPr>
              <w:rPr>
                <w:rFonts w:cs="Arial"/>
                <w:b/>
                <w:sz w:val="16"/>
                <w:szCs w:val="16"/>
              </w:rPr>
            </w:pPr>
            <w:r w:rsidRPr="00B3134E">
              <w:rPr>
                <w:b/>
                <w:sz w:val="16"/>
                <w:szCs w:val="16"/>
              </w:rPr>
              <w:t>Цели</w:t>
            </w:r>
          </w:p>
        </w:tc>
        <w:tc>
          <w:tcPr>
            <w:tcW w:w="1820" w:type="pct"/>
            <w:tcBorders>
              <w:top w:val="single" w:sz="4" w:space="0" w:color="auto"/>
              <w:bottom w:val="nil"/>
            </w:tcBorders>
            <w:shd w:val="clear" w:color="auto" w:fill="FFFFFF"/>
            <w:tcMar>
              <w:top w:w="110" w:type="dxa"/>
            </w:tcMar>
            <w:vAlign w:val="center"/>
          </w:tcPr>
          <w:p w:rsidR="00ED1F8D" w:rsidRPr="00B3134E" w:rsidRDefault="00ED1F8D" w:rsidP="00955E75">
            <w:pPr>
              <w:rPr>
                <w:rFonts w:cs="Arial"/>
                <w:b/>
                <w:sz w:val="16"/>
                <w:szCs w:val="16"/>
              </w:rPr>
            </w:pPr>
            <w:r w:rsidRPr="00B3134E">
              <w:rPr>
                <w:b/>
                <w:sz w:val="16"/>
                <w:szCs w:val="16"/>
              </w:rPr>
              <w:t>Данные о результативности</w:t>
            </w:r>
          </w:p>
        </w:tc>
        <w:tc>
          <w:tcPr>
            <w:tcW w:w="482" w:type="pct"/>
            <w:tcBorders>
              <w:top w:val="single" w:sz="4" w:space="0" w:color="auto"/>
              <w:bottom w:val="nil"/>
              <w:right w:val="single" w:sz="4" w:space="0" w:color="auto"/>
            </w:tcBorders>
            <w:shd w:val="clear" w:color="auto" w:fill="auto"/>
            <w:tcMar>
              <w:top w:w="110" w:type="dxa"/>
            </w:tcMar>
            <w:vAlign w:val="center"/>
          </w:tcPr>
          <w:p w:rsidR="00ED1F8D" w:rsidRPr="00B3134E" w:rsidRDefault="00ED1F8D" w:rsidP="00955E75">
            <w:pPr>
              <w:jc w:val="center"/>
              <w:rPr>
                <w:rFonts w:cs="Arial"/>
                <w:b/>
                <w:bCs/>
                <w:sz w:val="16"/>
                <w:szCs w:val="16"/>
              </w:rPr>
            </w:pPr>
            <w:r w:rsidRPr="00B3134E">
              <w:rPr>
                <w:b/>
                <w:sz w:val="16"/>
                <w:szCs w:val="16"/>
              </w:rPr>
              <w:t>CC</w:t>
            </w:r>
          </w:p>
        </w:tc>
      </w:tr>
      <w:tr w:rsidR="00ED1F8D" w:rsidRPr="00B3134E" w:rsidTr="00955E75">
        <w:tc>
          <w:tcPr>
            <w:tcW w:w="1092" w:type="pct"/>
            <w:tcBorders>
              <w:top w:val="nil"/>
              <w:left w:val="single" w:sz="4" w:space="0" w:color="auto"/>
              <w:bottom w:val="nil"/>
            </w:tcBorders>
            <w:shd w:val="clear" w:color="auto" w:fill="auto"/>
          </w:tcPr>
          <w:p w:rsidR="00ED1F8D" w:rsidRPr="00ED1F8D" w:rsidRDefault="00ED1F8D" w:rsidP="00955E75">
            <w:pPr>
              <w:rPr>
                <w:rFonts w:cs="Arial"/>
                <w:sz w:val="16"/>
                <w:szCs w:val="16"/>
                <w:lang w:val="ru-RU"/>
              </w:rPr>
            </w:pPr>
            <w:r w:rsidRPr="00ED1F8D">
              <w:rPr>
                <w:sz w:val="16"/>
                <w:szCs w:val="16"/>
                <w:lang w:val="ru-RU"/>
              </w:rPr>
              <w:t>Контроль реализации мер физического доступа, обеспечивающий полное соблюдение в ходе строительства нового конференц-зала и относящихся к нему объектов действующих стандартов</w:t>
            </w:r>
          </w:p>
        </w:tc>
        <w:tc>
          <w:tcPr>
            <w:tcW w:w="803" w:type="pct"/>
            <w:tcBorders>
              <w:top w:val="nil"/>
              <w:bottom w:val="nil"/>
            </w:tcBorders>
            <w:shd w:val="clear" w:color="auto" w:fill="auto"/>
          </w:tcPr>
          <w:p w:rsidR="00ED1F8D" w:rsidRPr="00ED1F8D" w:rsidRDefault="00ED1F8D" w:rsidP="00955E75">
            <w:pPr>
              <w:rPr>
                <w:color w:val="002060"/>
                <w:sz w:val="16"/>
                <w:szCs w:val="16"/>
                <w:lang w:val="ru-RU"/>
              </w:rPr>
            </w:pPr>
            <w:r w:rsidRPr="00ED1F8D">
              <w:rPr>
                <w:i/>
                <w:sz w:val="16"/>
                <w:szCs w:val="16"/>
                <w:lang w:val="ru-RU"/>
              </w:rPr>
              <w:t>Обновленные базовые показатели, конец 2013</w:t>
            </w:r>
            <w:r w:rsidRPr="00B3134E">
              <w:rPr>
                <w:i/>
                <w:sz w:val="16"/>
                <w:szCs w:val="16"/>
              </w:rPr>
              <w:t> </w:t>
            </w:r>
            <w:r w:rsidRPr="00ED1F8D">
              <w:rPr>
                <w:i/>
                <w:sz w:val="16"/>
                <w:szCs w:val="16"/>
                <w:lang w:val="ru-RU"/>
              </w:rPr>
              <w:t>г.: не применимо</w:t>
            </w:r>
          </w:p>
          <w:p w:rsidR="00ED1F8D" w:rsidRPr="00ED1F8D" w:rsidRDefault="00ED1F8D" w:rsidP="00955E75">
            <w:pPr>
              <w:rPr>
                <w:color w:val="002060"/>
                <w:sz w:val="16"/>
                <w:szCs w:val="16"/>
                <w:highlight w:val="yellow"/>
                <w:lang w:val="ru-RU"/>
              </w:rPr>
            </w:pPr>
          </w:p>
          <w:p w:rsidR="00ED1F8D" w:rsidRPr="00ED1F8D" w:rsidRDefault="00ED1F8D" w:rsidP="00955E75">
            <w:pPr>
              <w:rPr>
                <w:rFonts w:cs="Arial"/>
                <w:sz w:val="16"/>
                <w:szCs w:val="16"/>
                <w:lang w:val="ru-RU"/>
              </w:rPr>
            </w:pPr>
            <w:r w:rsidRPr="00ED1F8D">
              <w:rPr>
                <w:i/>
                <w:sz w:val="16"/>
                <w:szCs w:val="16"/>
                <w:lang w:val="ru-RU"/>
              </w:rPr>
              <w:t>Исходные базовые показатели ПиБ на 2014–2015 гг.: будут определены в начале 2014 г., после сдачи в эксплуатацию нового конференц-зала и на основе выводов специальной архитектурной и технической экспертизы, проведенной в 2013 г.</w:t>
            </w:r>
          </w:p>
        </w:tc>
        <w:tc>
          <w:tcPr>
            <w:tcW w:w="803" w:type="pct"/>
            <w:tcBorders>
              <w:top w:val="nil"/>
              <w:bottom w:val="nil"/>
            </w:tcBorders>
            <w:shd w:val="clear" w:color="auto" w:fill="auto"/>
            <w:tcMar>
              <w:top w:w="110" w:type="dxa"/>
            </w:tcMar>
          </w:tcPr>
          <w:p w:rsidR="00ED1F8D" w:rsidRPr="00ED1F8D" w:rsidRDefault="00ED1F8D" w:rsidP="00955E75">
            <w:pPr>
              <w:rPr>
                <w:rFonts w:cs="Arial"/>
                <w:bCs/>
                <w:sz w:val="16"/>
                <w:szCs w:val="16"/>
                <w:lang w:val="ru-RU"/>
              </w:rPr>
            </w:pPr>
            <w:r w:rsidRPr="00ED1F8D">
              <w:rPr>
                <w:sz w:val="16"/>
                <w:szCs w:val="16"/>
                <w:lang w:val="ru-RU"/>
              </w:rPr>
              <w:t>Будут определены в начале 2014 г., после сдачи в эксплуатацию нового конференц-зала и на основе выводов специальной архитектурной и технической экспертизы, проведенной в 2013 г.</w:t>
            </w:r>
          </w:p>
        </w:tc>
        <w:tc>
          <w:tcPr>
            <w:tcW w:w="1820" w:type="pct"/>
            <w:tcBorders>
              <w:top w:val="nil"/>
              <w:bottom w:val="nil"/>
            </w:tcBorders>
            <w:shd w:val="clear" w:color="auto" w:fill="FFFFFF"/>
            <w:tcMar>
              <w:top w:w="110" w:type="dxa"/>
            </w:tcMar>
          </w:tcPr>
          <w:p w:rsidR="00ED1F8D" w:rsidRPr="00ED1F8D" w:rsidRDefault="00ED1F8D" w:rsidP="00955E75">
            <w:pPr>
              <w:rPr>
                <w:rFonts w:cs="Arial"/>
                <w:sz w:val="16"/>
                <w:szCs w:val="16"/>
                <w:lang w:val="ru-RU"/>
              </w:rPr>
            </w:pPr>
            <w:r w:rsidRPr="00ED1F8D">
              <w:rPr>
                <w:sz w:val="16"/>
                <w:szCs w:val="16"/>
                <w:lang w:val="ru-RU"/>
              </w:rPr>
              <w:t>К числу основных мер обеспечения физического доступа, реализованных в ходе строительства (до завершения строительства в августе 2014 г., а не в начале 2014 г.), относились: (</w:t>
            </w:r>
            <w:r w:rsidRPr="00B3134E">
              <w:rPr>
                <w:sz w:val="16"/>
                <w:szCs w:val="16"/>
              </w:rPr>
              <w:t>i</w:t>
            </w:r>
            <w:r w:rsidRPr="00ED1F8D">
              <w:rPr>
                <w:sz w:val="16"/>
                <w:szCs w:val="16"/>
                <w:lang w:val="ru-RU"/>
              </w:rPr>
              <w:t>)</w:t>
            </w:r>
            <w:r w:rsidRPr="00B3134E">
              <w:rPr>
                <w:sz w:val="16"/>
                <w:szCs w:val="16"/>
              </w:rPr>
              <w:t> </w:t>
            </w:r>
            <w:r w:rsidRPr="00ED1F8D">
              <w:rPr>
                <w:sz w:val="16"/>
                <w:szCs w:val="16"/>
                <w:lang w:val="ru-RU"/>
              </w:rPr>
              <w:t>пандус для доступа на подиум нового конференц-зала ВОИС для лиц, пользующихся инвалидными колясками, и обеспечение доступа ко всем сидячим местам на подиуме (31 место при полной конфигурации) для лиц, пользующихся инвалидными колясками; (</w:t>
            </w:r>
            <w:r w:rsidRPr="00B3134E">
              <w:rPr>
                <w:sz w:val="16"/>
                <w:szCs w:val="16"/>
              </w:rPr>
              <w:t>ii</w:t>
            </w:r>
            <w:r w:rsidRPr="00ED1F8D">
              <w:rPr>
                <w:sz w:val="16"/>
                <w:szCs w:val="16"/>
                <w:lang w:val="ru-RU"/>
              </w:rPr>
              <w:t>)</w:t>
            </w:r>
            <w:r w:rsidRPr="00B3134E">
              <w:rPr>
                <w:sz w:val="16"/>
                <w:szCs w:val="16"/>
              </w:rPr>
              <w:t> </w:t>
            </w:r>
            <w:r w:rsidRPr="00ED1F8D">
              <w:rPr>
                <w:sz w:val="16"/>
                <w:szCs w:val="16"/>
                <w:lang w:val="ru-RU"/>
              </w:rPr>
              <w:t>обеспечение доступа к 26 местам в трех различных зонах размещения столов делегатов для лиц, пользующихся инвалидными колясками; (</w:t>
            </w:r>
            <w:r w:rsidRPr="00B3134E">
              <w:rPr>
                <w:sz w:val="16"/>
                <w:szCs w:val="16"/>
              </w:rPr>
              <w:t>iii</w:t>
            </w:r>
            <w:r w:rsidRPr="00ED1F8D">
              <w:rPr>
                <w:sz w:val="16"/>
                <w:szCs w:val="16"/>
                <w:lang w:val="ru-RU"/>
              </w:rPr>
              <w:t>)</w:t>
            </w:r>
            <w:r w:rsidRPr="00B3134E">
              <w:rPr>
                <w:sz w:val="16"/>
                <w:szCs w:val="16"/>
              </w:rPr>
              <w:t> </w:t>
            </w:r>
            <w:r w:rsidRPr="00ED1F8D">
              <w:rPr>
                <w:sz w:val="16"/>
                <w:szCs w:val="16"/>
                <w:lang w:val="ru-RU"/>
              </w:rPr>
              <w:t>обеспечение возможности замены всех 850 с лишним стульев при столах для делегатов, при необходимости, стулом любого иного вида, отвечающего особым потребностям; (</w:t>
            </w:r>
            <w:r w:rsidRPr="00B3134E">
              <w:rPr>
                <w:sz w:val="16"/>
                <w:szCs w:val="16"/>
              </w:rPr>
              <w:t>iv</w:t>
            </w:r>
            <w:r w:rsidRPr="00ED1F8D">
              <w:rPr>
                <w:sz w:val="16"/>
                <w:szCs w:val="16"/>
                <w:lang w:val="ru-RU"/>
              </w:rPr>
              <w:t>)</w:t>
            </w:r>
            <w:r w:rsidRPr="00B3134E">
              <w:rPr>
                <w:sz w:val="16"/>
                <w:szCs w:val="16"/>
              </w:rPr>
              <w:t> </w:t>
            </w:r>
            <w:r w:rsidRPr="00ED1F8D">
              <w:rPr>
                <w:sz w:val="16"/>
                <w:szCs w:val="16"/>
                <w:lang w:val="ru-RU"/>
              </w:rPr>
              <w:t>дополнительный аварийный выход в нижней части нового конференц-зала ВОИС, позволяющий лицам, пользующимся инвалидными колясками, независимо попадать сразу на внешний пандус, ведущий к наружной площадке для прогулок; (</w:t>
            </w:r>
            <w:r w:rsidRPr="00B3134E">
              <w:rPr>
                <w:sz w:val="16"/>
                <w:szCs w:val="16"/>
              </w:rPr>
              <w:t>v</w:t>
            </w:r>
            <w:r w:rsidRPr="00ED1F8D">
              <w:rPr>
                <w:sz w:val="16"/>
                <w:szCs w:val="16"/>
                <w:lang w:val="ru-RU"/>
              </w:rPr>
              <w:t xml:space="preserve">) пандусы для доступа лиц, пользующихся инвалидными колясками, в кабины синхронного перевода в двух новых залах заседаний на одном реконструированном этаже здания </w:t>
            </w:r>
            <w:r w:rsidRPr="00B3134E">
              <w:rPr>
                <w:sz w:val="16"/>
                <w:szCs w:val="16"/>
              </w:rPr>
              <w:t>AB</w:t>
            </w:r>
            <w:r w:rsidRPr="00ED1F8D">
              <w:rPr>
                <w:sz w:val="16"/>
                <w:szCs w:val="16"/>
                <w:lang w:val="ru-RU"/>
              </w:rPr>
              <w:t>; (</w:t>
            </w:r>
            <w:r w:rsidRPr="00B3134E">
              <w:rPr>
                <w:sz w:val="16"/>
                <w:szCs w:val="16"/>
              </w:rPr>
              <w:t>vi</w:t>
            </w:r>
            <w:r w:rsidRPr="00ED1F8D">
              <w:rPr>
                <w:sz w:val="16"/>
                <w:szCs w:val="16"/>
                <w:lang w:val="ru-RU"/>
              </w:rPr>
              <w:t>)</w:t>
            </w:r>
            <w:r w:rsidRPr="00B3134E">
              <w:rPr>
                <w:sz w:val="16"/>
                <w:szCs w:val="16"/>
              </w:rPr>
              <w:t> </w:t>
            </w:r>
            <w:r w:rsidRPr="00ED1F8D">
              <w:rPr>
                <w:sz w:val="16"/>
                <w:szCs w:val="16"/>
                <w:lang w:val="ru-RU"/>
              </w:rPr>
              <w:t>туалеты, оборудованные для доступа лиц, пользующихся инвалидными колясками; (</w:t>
            </w:r>
            <w:r w:rsidRPr="00B3134E">
              <w:rPr>
                <w:sz w:val="16"/>
                <w:szCs w:val="16"/>
              </w:rPr>
              <w:t>vii</w:t>
            </w:r>
            <w:r w:rsidRPr="00ED1F8D">
              <w:rPr>
                <w:sz w:val="16"/>
                <w:szCs w:val="16"/>
                <w:lang w:val="ru-RU"/>
              </w:rPr>
              <w:t>)</w:t>
            </w:r>
            <w:r w:rsidRPr="00B3134E">
              <w:rPr>
                <w:sz w:val="16"/>
                <w:szCs w:val="16"/>
              </w:rPr>
              <w:t> </w:t>
            </w:r>
            <w:r w:rsidRPr="00ED1F8D">
              <w:rPr>
                <w:sz w:val="16"/>
                <w:szCs w:val="16"/>
                <w:lang w:val="ru-RU"/>
              </w:rPr>
              <w:t>противоскользящие полосы на ступенях всех лестниц в новом конференц-зале ВОИС и вокруг него; (</w:t>
            </w:r>
            <w:r w:rsidRPr="00B3134E">
              <w:rPr>
                <w:sz w:val="16"/>
                <w:szCs w:val="16"/>
              </w:rPr>
              <w:t>viii</w:t>
            </w:r>
            <w:r w:rsidRPr="00ED1F8D">
              <w:rPr>
                <w:sz w:val="16"/>
                <w:szCs w:val="16"/>
                <w:lang w:val="ru-RU"/>
              </w:rPr>
              <w:t>)</w:t>
            </w:r>
            <w:r w:rsidRPr="00B3134E">
              <w:rPr>
                <w:sz w:val="16"/>
                <w:szCs w:val="16"/>
              </w:rPr>
              <w:t> </w:t>
            </w:r>
            <w:r w:rsidRPr="00ED1F8D">
              <w:rPr>
                <w:sz w:val="16"/>
                <w:szCs w:val="16"/>
                <w:lang w:val="ru-RU"/>
              </w:rPr>
              <w:t>пандус, позволяющий лицам, пользующимся инвалидными колясками, попадать из главных дверей нового конференц-зала ВОИС к аварийному выходу на внешней стороне территории кампуса ВОИС; (</w:t>
            </w:r>
            <w:r w:rsidRPr="00B3134E">
              <w:rPr>
                <w:sz w:val="16"/>
                <w:szCs w:val="16"/>
              </w:rPr>
              <w:t>ix</w:t>
            </w:r>
            <w:r w:rsidRPr="00ED1F8D">
              <w:rPr>
                <w:sz w:val="16"/>
                <w:szCs w:val="16"/>
                <w:lang w:val="ru-RU"/>
              </w:rPr>
              <w:t>)</w:t>
            </w:r>
            <w:r w:rsidRPr="00B3134E">
              <w:rPr>
                <w:sz w:val="16"/>
                <w:szCs w:val="16"/>
              </w:rPr>
              <w:t> </w:t>
            </w:r>
            <w:r w:rsidRPr="00ED1F8D">
              <w:rPr>
                <w:sz w:val="16"/>
                <w:szCs w:val="16"/>
                <w:lang w:val="ru-RU"/>
              </w:rPr>
              <w:t>доступ с улицы через новый главный вход ВОИС для лиц, пользующихся инвалидными колясками, а также оборудование внутренних дверей для ускоренного прохода, ведущих к стойкам приема и регистрации для независимого доступа лиц, пользующихся инвалидными колясками; (</w:t>
            </w:r>
            <w:r w:rsidRPr="00B3134E">
              <w:rPr>
                <w:sz w:val="16"/>
                <w:szCs w:val="16"/>
              </w:rPr>
              <w:t>x</w:t>
            </w:r>
            <w:r w:rsidRPr="00ED1F8D">
              <w:rPr>
                <w:sz w:val="16"/>
                <w:szCs w:val="16"/>
                <w:lang w:val="ru-RU"/>
              </w:rPr>
              <w:t>)</w:t>
            </w:r>
            <w:r w:rsidRPr="00B3134E">
              <w:rPr>
                <w:sz w:val="16"/>
                <w:szCs w:val="16"/>
              </w:rPr>
              <w:t> </w:t>
            </w:r>
            <w:r w:rsidRPr="00ED1F8D">
              <w:rPr>
                <w:sz w:val="16"/>
                <w:szCs w:val="16"/>
                <w:lang w:val="ru-RU"/>
              </w:rPr>
              <w:t>выделенное мобильное место для лиц с ограниченными возможностями для использования по запросу в экстренной ситуации на этаже, на котором расположены кабины для перевода.</w:t>
            </w:r>
          </w:p>
        </w:tc>
        <w:tc>
          <w:tcPr>
            <w:tcW w:w="482" w:type="pct"/>
            <w:tcBorders>
              <w:top w:val="nil"/>
              <w:bottom w:val="nil"/>
              <w:right w:val="single" w:sz="4" w:space="0" w:color="auto"/>
            </w:tcBorders>
            <w:shd w:val="clear" w:color="auto" w:fill="auto"/>
            <w:tcMar>
              <w:top w:w="110" w:type="dxa"/>
            </w:tcMar>
          </w:tcPr>
          <w:p w:rsidR="00ED1F8D" w:rsidRPr="00B3134E" w:rsidRDefault="00ED1F8D" w:rsidP="00955E75">
            <w:pPr>
              <w:jc w:val="center"/>
              <w:rPr>
                <w:rFonts w:cs="Arial"/>
                <w:b/>
                <w:bCs/>
                <w:color w:val="808080"/>
                <w:sz w:val="16"/>
                <w:szCs w:val="16"/>
              </w:rPr>
            </w:pPr>
            <w:r w:rsidRPr="00B3134E">
              <w:rPr>
                <w:b/>
                <w:color w:val="808080"/>
                <w:sz w:val="16"/>
                <w:szCs w:val="16"/>
              </w:rPr>
              <w:t>Не подлежит оценке</w:t>
            </w:r>
          </w:p>
        </w:tc>
      </w:tr>
      <w:tr w:rsidR="00ED1F8D" w:rsidRPr="00B3134E" w:rsidTr="00955E75">
        <w:trPr>
          <w:cantSplit/>
        </w:trPr>
        <w:tc>
          <w:tcPr>
            <w:tcW w:w="1092" w:type="pct"/>
            <w:tcBorders>
              <w:top w:val="nil"/>
              <w:left w:val="single" w:sz="4" w:space="0" w:color="auto"/>
              <w:bottom w:val="single" w:sz="4" w:space="0" w:color="auto"/>
            </w:tcBorders>
            <w:shd w:val="clear" w:color="auto" w:fill="auto"/>
          </w:tcPr>
          <w:p w:rsidR="00ED1F8D" w:rsidRPr="00ED1F8D" w:rsidRDefault="00ED1F8D" w:rsidP="00955E75">
            <w:pPr>
              <w:rPr>
                <w:rFonts w:cs="Arial"/>
                <w:sz w:val="16"/>
                <w:szCs w:val="16"/>
                <w:lang w:val="ru-RU"/>
              </w:rPr>
            </w:pPr>
          </w:p>
          <w:p w:rsidR="00ED1F8D" w:rsidRPr="00ED1F8D" w:rsidRDefault="00ED1F8D" w:rsidP="00955E75">
            <w:pPr>
              <w:rPr>
                <w:rFonts w:cs="Arial"/>
                <w:sz w:val="16"/>
                <w:szCs w:val="16"/>
                <w:lang w:val="ru-RU"/>
              </w:rPr>
            </w:pPr>
            <w:r w:rsidRPr="00ED1F8D">
              <w:rPr>
                <w:sz w:val="16"/>
                <w:szCs w:val="16"/>
                <w:lang w:val="ru-RU"/>
              </w:rPr>
              <w:t>Контроль реализации природоохранных мер и мер по снижению энергопотребления в процессе строительства</w:t>
            </w:r>
          </w:p>
        </w:tc>
        <w:tc>
          <w:tcPr>
            <w:tcW w:w="803" w:type="pct"/>
            <w:tcBorders>
              <w:top w:val="nil"/>
              <w:bottom w:val="single" w:sz="4" w:space="0" w:color="auto"/>
            </w:tcBorders>
            <w:shd w:val="clear" w:color="auto" w:fill="auto"/>
          </w:tcPr>
          <w:p w:rsidR="00ED1F8D" w:rsidRPr="00ED1F8D" w:rsidRDefault="00ED1F8D" w:rsidP="00955E75">
            <w:pPr>
              <w:rPr>
                <w:i/>
                <w:color w:val="002060"/>
                <w:sz w:val="16"/>
                <w:szCs w:val="16"/>
                <w:lang w:val="ru-RU"/>
              </w:rPr>
            </w:pPr>
          </w:p>
          <w:p w:rsidR="00ED1F8D" w:rsidRPr="00ED1F8D" w:rsidRDefault="00ED1F8D" w:rsidP="00955E75">
            <w:pPr>
              <w:rPr>
                <w:color w:val="002060"/>
                <w:sz w:val="16"/>
                <w:szCs w:val="16"/>
                <w:highlight w:val="yellow"/>
                <w:lang w:val="ru-RU"/>
              </w:rPr>
            </w:pPr>
            <w:r w:rsidRPr="00ED1F8D">
              <w:rPr>
                <w:i/>
                <w:sz w:val="16"/>
                <w:szCs w:val="16"/>
                <w:lang w:val="ru-RU"/>
              </w:rPr>
              <w:t>Обновленные базовые показатели, конец 2013</w:t>
            </w:r>
            <w:r w:rsidRPr="00B3134E">
              <w:rPr>
                <w:i/>
                <w:sz w:val="16"/>
                <w:szCs w:val="16"/>
              </w:rPr>
              <w:t> </w:t>
            </w:r>
            <w:r w:rsidRPr="00ED1F8D">
              <w:rPr>
                <w:i/>
                <w:sz w:val="16"/>
                <w:szCs w:val="16"/>
                <w:lang w:val="ru-RU"/>
              </w:rPr>
              <w:t>г.: не применимо</w:t>
            </w:r>
          </w:p>
          <w:p w:rsidR="00ED1F8D" w:rsidRPr="00ED1F8D" w:rsidRDefault="00ED1F8D" w:rsidP="00955E75">
            <w:pPr>
              <w:rPr>
                <w:color w:val="002060"/>
                <w:sz w:val="16"/>
                <w:szCs w:val="16"/>
                <w:highlight w:val="yellow"/>
                <w:lang w:val="ru-RU"/>
              </w:rPr>
            </w:pPr>
          </w:p>
          <w:p w:rsidR="00ED1F8D" w:rsidRPr="00ED1F8D" w:rsidRDefault="00ED1F8D" w:rsidP="00955E75">
            <w:pPr>
              <w:rPr>
                <w:rFonts w:cs="Arial"/>
                <w:sz w:val="16"/>
                <w:szCs w:val="16"/>
                <w:lang w:val="ru-RU"/>
              </w:rPr>
            </w:pPr>
            <w:r w:rsidRPr="00ED1F8D">
              <w:rPr>
                <w:i/>
                <w:sz w:val="16"/>
                <w:szCs w:val="16"/>
                <w:lang w:val="ru-RU"/>
              </w:rPr>
              <w:t xml:space="preserve">Исходные базовые показатели ПиБ на 2014–2015 гг.: </w:t>
            </w:r>
            <w:r w:rsidRPr="00ED1F8D">
              <w:rPr>
                <w:sz w:val="16"/>
                <w:szCs w:val="16"/>
                <w:lang w:val="ru-RU"/>
              </w:rPr>
              <w:t>будут определены в начале 2014 г., после сдачи в эксплуатацию нового конференц-зала</w:t>
            </w:r>
          </w:p>
        </w:tc>
        <w:tc>
          <w:tcPr>
            <w:tcW w:w="803" w:type="pct"/>
            <w:tcBorders>
              <w:top w:val="nil"/>
              <w:bottom w:val="single" w:sz="4" w:space="0" w:color="auto"/>
            </w:tcBorders>
            <w:shd w:val="clear" w:color="auto" w:fill="auto"/>
            <w:tcMar>
              <w:top w:w="110" w:type="dxa"/>
            </w:tcMar>
          </w:tcPr>
          <w:p w:rsidR="00ED1F8D" w:rsidRPr="00ED1F8D" w:rsidRDefault="00ED1F8D" w:rsidP="00955E75">
            <w:pPr>
              <w:rPr>
                <w:rFonts w:cs="Arial"/>
                <w:sz w:val="16"/>
                <w:szCs w:val="16"/>
                <w:lang w:val="ru-RU"/>
              </w:rPr>
            </w:pPr>
          </w:p>
          <w:p w:rsidR="00ED1F8D" w:rsidRPr="00ED1F8D" w:rsidRDefault="00ED1F8D" w:rsidP="00955E75">
            <w:pPr>
              <w:rPr>
                <w:rFonts w:cs="Arial"/>
                <w:sz w:val="16"/>
                <w:szCs w:val="16"/>
                <w:lang w:val="ru-RU"/>
              </w:rPr>
            </w:pPr>
            <w:r w:rsidRPr="00ED1F8D">
              <w:rPr>
                <w:sz w:val="16"/>
                <w:szCs w:val="16"/>
                <w:lang w:val="ru-RU"/>
              </w:rPr>
              <w:t>Будут определены в начале 2014 г., после сдачи в эксплуатацию нового конференц-зала</w:t>
            </w:r>
          </w:p>
        </w:tc>
        <w:tc>
          <w:tcPr>
            <w:tcW w:w="1820" w:type="pct"/>
            <w:tcBorders>
              <w:top w:val="nil"/>
              <w:bottom w:val="single" w:sz="4" w:space="0" w:color="auto"/>
            </w:tcBorders>
            <w:shd w:val="clear" w:color="auto" w:fill="FFFFFF"/>
            <w:tcMar>
              <w:top w:w="110" w:type="dxa"/>
            </w:tcMar>
          </w:tcPr>
          <w:p w:rsidR="00ED1F8D" w:rsidRPr="00ED1F8D" w:rsidRDefault="00ED1F8D" w:rsidP="00955E75">
            <w:pPr>
              <w:rPr>
                <w:rFonts w:cs="Arial"/>
                <w:sz w:val="16"/>
                <w:szCs w:val="16"/>
                <w:lang w:val="ru-RU"/>
              </w:rPr>
            </w:pPr>
          </w:p>
          <w:p w:rsidR="00ED1F8D" w:rsidRPr="00ED1F8D" w:rsidRDefault="00ED1F8D" w:rsidP="00955E75">
            <w:pPr>
              <w:rPr>
                <w:rFonts w:cs="Arial"/>
                <w:sz w:val="16"/>
                <w:szCs w:val="16"/>
                <w:lang w:val="ru-RU"/>
              </w:rPr>
            </w:pPr>
            <w:r w:rsidRPr="00ED1F8D">
              <w:rPr>
                <w:sz w:val="16"/>
                <w:szCs w:val="16"/>
                <w:lang w:val="ru-RU"/>
              </w:rPr>
              <w:t>В ходе строительства (в период до завершения строительства в августе 2014 г., а не в начале 2014 г.) были реализованы, в частности, следующие основные природоохранные меры: (</w:t>
            </w:r>
            <w:r w:rsidRPr="00B3134E">
              <w:rPr>
                <w:sz w:val="16"/>
                <w:szCs w:val="16"/>
              </w:rPr>
              <w:t>i</w:t>
            </w:r>
            <w:r w:rsidRPr="00ED1F8D">
              <w:rPr>
                <w:sz w:val="16"/>
                <w:szCs w:val="16"/>
                <w:lang w:val="ru-RU"/>
              </w:rPr>
              <w:t>)</w:t>
            </w:r>
            <w:r w:rsidRPr="00B3134E">
              <w:rPr>
                <w:sz w:val="16"/>
                <w:szCs w:val="16"/>
              </w:rPr>
              <w:t> </w:t>
            </w:r>
            <w:r w:rsidRPr="00ED1F8D">
              <w:rPr>
                <w:sz w:val="16"/>
                <w:szCs w:val="16"/>
                <w:lang w:val="ru-RU"/>
              </w:rPr>
              <w:t>использование местной древесины при постройке основного сооружения и внутренней панельной облицовке (потолок, стены и пол) нового конференц-зала ВОИС; (</w:t>
            </w:r>
            <w:r w:rsidRPr="00B3134E">
              <w:rPr>
                <w:sz w:val="16"/>
                <w:szCs w:val="16"/>
              </w:rPr>
              <w:t>ii</w:t>
            </w:r>
            <w:r w:rsidRPr="00ED1F8D">
              <w:rPr>
                <w:sz w:val="16"/>
                <w:szCs w:val="16"/>
                <w:lang w:val="ru-RU"/>
              </w:rPr>
              <w:t>)</w:t>
            </w:r>
            <w:r w:rsidRPr="00B3134E">
              <w:rPr>
                <w:sz w:val="16"/>
                <w:szCs w:val="16"/>
              </w:rPr>
              <w:t> </w:t>
            </w:r>
            <w:r w:rsidRPr="00ED1F8D">
              <w:rPr>
                <w:sz w:val="16"/>
                <w:szCs w:val="16"/>
                <w:lang w:val="ru-RU"/>
              </w:rPr>
              <w:t>использование природного газа для отопления; (</w:t>
            </w:r>
            <w:r w:rsidRPr="00B3134E">
              <w:rPr>
                <w:sz w:val="16"/>
                <w:szCs w:val="16"/>
              </w:rPr>
              <w:t>iii</w:t>
            </w:r>
            <w:r w:rsidRPr="00ED1F8D">
              <w:rPr>
                <w:sz w:val="16"/>
                <w:szCs w:val="16"/>
                <w:lang w:val="ru-RU"/>
              </w:rPr>
              <w:t>)</w:t>
            </w:r>
            <w:r w:rsidRPr="00B3134E">
              <w:rPr>
                <w:sz w:val="16"/>
                <w:szCs w:val="16"/>
              </w:rPr>
              <w:t> </w:t>
            </w:r>
            <w:r w:rsidRPr="00ED1F8D">
              <w:rPr>
                <w:sz w:val="16"/>
                <w:szCs w:val="16"/>
                <w:lang w:val="ru-RU"/>
              </w:rPr>
              <w:t>система охлаждения, использующая охлажденную воду Женевского озера; (</w:t>
            </w:r>
            <w:r w:rsidRPr="00B3134E">
              <w:rPr>
                <w:sz w:val="16"/>
                <w:szCs w:val="16"/>
              </w:rPr>
              <w:t>iv</w:t>
            </w:r>
            <w:r w:rsidRPr="00ED1F8D">
              <w:rPr>
                <w:sz w:val="16"/>
                <w:szCs w:val="16"/>
                <w:lang w:val="ru-RU"/>
              </w:rPr>
              <w:t>)</w:t>
            </w:r>
            <w:r w:rsidRPr="00B3134E">
              <w:rPr>
                <w:sz w:val="16"/>
                <w:szCs w:val="16"/>
              </w:rPr>
              <w:t> </w:t>
            </w:r>
            <w:r w:rsidRPr="00ED1F8D">
              <w:rPr>
                <w:sz w:val="16"/>
                <w:szCs w:val="16"/>
                <w:lang w:val="ru-RU"/>
              </w:rPr>
              <w:t>сокращение применения ламп накаливания и связанного с этим расхода энергии за счет широкого использования светодиодной технологии (во всех сооружениях, относящихся к проекту), а также естественного света, поступающего через большие остеклённые выступы в стенах и несколько окон в крыше здания (нового конференц-зала ВОИС); (</w:t>
            </w:r>
            <w:r w:rsidRPr="00B3134E">
              <w:rPr>
                <w:sz w:val="16"/>
                <w:szCs w:val="16"/>
              </w:rPr>
              <w:t>v</w:t>
            </w:r>
            <w:r w:rsidRPr="00ED1F8D">
              <w:rPr>
                <w:sz w:val="16"/>
                <w:szCs w:val="16"/>
                <w:lang w:val="ru-RU"/>
              </w:rPr>
              <w:t>)</w:t>
            </w:r>
            <w:r w:rsidRPr="00B3134E">
              <w:rPr>
                <w:sz w:val="16"/>
                <w:szCs w:val="16"/>
              </w:rPr>
              <w:t> </w:t>
            </w:r>
            <w:r w:rsidRPr="00ED1F8D">
              <w:rPr>
                <w:sz w:val="16"/>
                <w:szCs w:val="16"/>
                <w:lang w:val="ru-RU"/>
              </w:rPr>
              <w:t>широкое использование естественного воздуха с применением радиально-осевой системы вентиляции; (</w:t>
            </w:r>
            <w:r w:rsidRPr="00B3134E">
              <w:rPr>
                <w:sz w:val="16"/>
                <w:szCs w:val="16"/>
              </w:rPr>
              <w:t>vi</w:t>
            </w:r>
            <w:r w:rsidRPr="00ED1F8D">
              <w:rPr>
                <w:sz w:val="16"/>
                <w:szCs w:val="16"/>
                <w:lang w:val="ru-RU"/>
              </w:rPr>
              <w:t>)</w:t>
            </w:r>
            <w:r w:rsidRPr="00B3134E">
              <w:rPr>
                <w:sz w:val="16"/>
                <w:szCs w:val="16"/>
              </w:rPr>
              <w:t> </w:t>
            </w:r>
            <w:r w:rsidRPr="00ED1F8D">
              <w:rPr>
                <w:sz w:val="16"/>
                <w:szCs w:val="16"/>
                <w:lang w:val="ru-RU"/>
              </w:rPr>
              <w:t>улучшение охлаждения и оттока дождевой воды благодаря устройству растительного покрова на крыше центра доступа; (</w:t>
            </w:r>
            <w:r w:rsidRPr="00B3134E">
              <w:rPr>
                <w:sz w:val="16"/>
                <w:szCs w:val="16"/>
              </w:rPr>
              <w:t>vii</w:t>
            </w:r>
            <w:r w:rsidRPr="00ED1F8D">
              <w:rPr>
                <w:sz w:val="16"/>
                <w:szCs w:val="16"/>
                <w:lang w:val="ru-RU"/>
              </w:rPr>
              <w:t>)</w:t>
            </w:r>
            <w:r w:rsidRPr="00B3134E">
              <w:rPr>
                <w:sz w:val="16"/>
                <w:szCs w:val="16"/>
              </w:rPr>
              <w:t> </w:t>
            </w:r>
            <w:r w:rsidRPr="00ED1F8D">
              <w:rPr>
                <w:sz w:val="16"/>
                <w:szCs w:val="16"/>
                <w:lang w:val="ru-RU"/>
              </w:rPr>
              <w:t xml:space="preserve">освещение, активируемое в нерабочие часы системой обнаружения присутствия. </w:t>
            </w:r>
          </w:p>
          <w:p w:rsidR="00ED1F8D" w:rsidRPr="00ED1F8D" w:rsidRDefault="00ED1F8D" w:rsidP="00955E75">
            <w:pPr>
              <w:rPr>
                <w:rFonts w:cs="Arial"/>
                <w:sz w:val="16"/>
                <w:szCs w:val="16"/>
                <w:lang w:val="ru-RU"/>
              </w:rPr>
            </w:pPr>
          </w:p>
        </w:tc>
        <w:tc>
          <w:tcPr>
            <w:tcW w:w="482" w:type="pct"/>
            <w:tcBorders>
              <w:top w:val="nil"/>
              <w:bottom w:val="single" w:sz="4" w:space="0" w:color="auto"/>
              <w:right w:val="single" w:sz="4" w:space="0" w:color="auto"/>
            </w:tcBorders>
            <w:shd w:val="clear" w:color="auto" w:fill="auto"/>
            <w:tcMar>
              <w:top w:w="110" w:type="dxa"/>
            </w:tcMar>
          </w:tcPr>
          <w:p w:rsidR="00ED1F8D" w:rsidRPr="00ED1F8D" w:rsidRDefault="00ED1F8D" w:rsidP="00955E75">
            <w:pPr>
              <w:jc w:val="center"/>
              <w:rPr>
                <w:rFonts w:cs="Arial"/>
                <w:b/>
                <w:bCs/>
                <w:color w:val="808080"/>
                <w:sz w:val="16"/>
                <w:szCs w:val="16"/>
                <w:lang w:val="ru-RU"/>
              </w:rPr>
            </w:pPr>
          </w:p>
          <w:p w:rsidR="00ED1F8D" w:rsidRPr="00B3134E" w:rsidRDefault="00ED1F8D" w:rsidP="00955E75">
            <w:pPr>
              <w:jc w:val="center"/>
              <w:rPr>
                <w:rStyle w:val="Style5"/>
                <w:rFonts w:cs="Arial"/>
                <w:color w:val="002060"/>
                <w:sz w:val="16"/>
                <w:szCs w:val="16"/>
              </w:rPr>
            </w:pPr>
            <w:r w:rsidRPr="00B3134E">
              <w:rPr>
                <w:b/>
                <w:color w:val="808080"/>
                <w:sz w:val="16"/>
                <w:szCs w:val="16"/>
              </w:rPr>
              <w:t>Не подлежит оценке</w:t>
            </w:r>
          </w:p>
        </w:tc>
      </w:tr>
      <w:tr w:rsidR="00ED1F8D" w:rsidRPr="00B3134E" w:rsidTr="00955E75">
        <w:trPr>
          <w:cantSplit/>
        </w:trPr>
        <w:tc>
          <w:tcPr>
            <w:tcW w:w="1092" w:type="pct"/>
            <w:tcBorders>
              <w:top w:val="single" w:sz="4" w:space="0" w:color="auto"/>
              <w:left w:val="single" w:sz="4" w:space="0" w:color="auto"/>
              <w:bottom w:val="single" w:sz="4" w:space="0" w:color="auto"/>
            </w:tcBorders>
            <w:shd w:val="clear" w:color="auto" w:fill="auto"/>
          </w:tcPr>
          <w:p w:rsidR="00ED1F8D" w:rsidRPr="00ED1F8D" w:rsidRDefault="00ED1F8D" w:rsidP="00955E75">
            <w:pPr>
              <w:rPr>
                <w:rFonts w:cs="Arial"/>
                <w:sz w:val="16"/>
                <w:szCs w:val="16"/>
                <w:lang w:val="ru-RU"/>
              </w:rPr>
            </w:pPr>
            <w:r w:rsidRPr="00ED1F8D">
              <w:rPr>
                <w:sz w:val="16"/>
                <w:szCs w:val="16"/>
                <w:lang w:val="ru-RU"/>
              </w:rPr>
              <w:t xml:space="preserve"> </w:t>
            </w:r>
          </w:p>
          <w:p w:rsidR="00ED1F8D" w:rsidRPr="00ED1F8D" w:rsidRDefault="00ED1F8D" w:rsidP="00955E75">
            <w:pPr>
              <w:rPr>
                <w:rFonts w:cs="Arial"/>
                <w:sz w:val="16"/>
                <w:szCs w:val="16"/>
                <w:lang w:val="ru-RU"/>
              </w:rPr>
            </w:pPr>
            <w:r w:rsidRPr="00ED1F8D">
              <w:rPr>
                <w:sz w:val="16"/>
                <w:szCs w:val="16"/>
                <w:lang w:val="ru-RU"/>
              </w:rPr>
              <w:t xml:space="preserve">Реализация мер обеспечения безопасности наружного ограждения нового конференц-зала согласно стандарту </w:t>
            </w:r>
            <w:r w:rsidRPr="00B3134E">
              <w:rPr>
                <w:sz w:val="16"/>
                <w:szCs w:val="16"/>
              </w:rPr>
              <w:t>UN</w:t>
            </w:r>
            <w:r w:rsidRPr="00ED1F8D">
              <w:rPr>
                <w:sz w:val="16"/>
                <w:szCs w:val="16"/>
                <w:lang w:val="ru-RU"/>
              </w:rPr>
              <w:t xml:space="preserve"> </w:t>
            </w:r>
            <w:r w:rsidRPr="00B3134E">
              <w:rPr>
                <w:sz w:val="16"/>
                <w:szCs w:val="16"/>
              </w:rPr>
              <w:t>H</w:t>
            </w:r>
            <w:r w:rsidRPr="00ED1F8D">
              <w:rPr>
                <w:sz w:val="16"/>
                <w:szCs w:val="16"/>
                <w:lang w:val="ru-RU"/>
              </w:rPr>
              <w:t>-</w:t>
            </w:r>
            <w:r w:rsidRPr="00B3134E">
              <w:rPr>
                <w:sz w:val="16"/>
                <w:szCs w:val="16"/>
              </w:rPr>
              <w:t>MOSS</w:t>
            </w:r>
          </w:p>
        </w:tc>
        <w:tc>
          <w:tcPr>
            <w:tcW w:w="803" w:type="pct"/>
            <w:tcBorders>
              <w:top w:val="single" w:sz="4" w:space="0" w:color="auto"/>
              <w:bottom w:val="single" w:sz="4" w:space="0" w:color="auto"/>
            </w:tcBorders>
            <w:shd w:val="clear" w:color="auto" w:fill="auto"/>
          </w:tcPr>
          <w:p w:rsidR="00ED1F8D" w:rsidRPr="00B3134E" w:rsidRDefault="00ED1F8D" w:rsidP="00955E75">
            <w:pPr>
              <w:rPr>
                <w:rFonts w:cs="Arial"/>
                <w:i/>
                <w:sz w:val="16"/>
                <w:szCs w:val="16"/>
              </w:rPr>
            </w:pPr>
            <w:r w:rsidRPr="00B3134E">
              <w:rPr>
                <w:i/>
                <w:sz w:val="16"/>
                <w:szCs w:val="16"/>
              </w:rPr>
              <w:t>не предусмотрено</w:t>
            </w:r>
          </w:p>
          <w:p w:rsidR="00ED1F8D" w:rsidRPr="00B3134E" w:rsidRDefault="00ED1F8D" w:rsidP="00955E75">
            <w:pPr>
              <w:rPr>
                <w:rFonts w:cs="Arial"/>
                <w:sz w:val="16"/>
                <w:szCs w:val="16"/>
              </w:rPr>
            </w:pPr>
          </w:p>
        </w:tc>
        <w:tc>
          <w:tcPr>
            <w:tcW w:w="803" w:type="pct"/>
            <w:tcBorders>
              <w:top w:val="single" w:sz="4" w:space="0" w:color="auto"/>
              <w:bottom w:val="single" w:sz="4" w:space="0" w:color="auto"/>
            </w:tcBorders>
            <w:shd w:val="clear" w:color="auto" w:fill="auto"/>
            <w:tcMar>
              <w:top w:w="110" w:type="dxa"/>
            </w:tcMar>
          </w:tcPr>
          <w:p w:rsidR="00ED1F8D" w:rsidRPr="00ED1F8D" w:rsidRDefault="00ED1F8D" w:rsidP="00955E75">
            <w:pPr>
              <w:rPr>
                <w:rFonts w:cs="Arial"/>
                <w:sz w:val="16"/>
                <w:szCs w:val="16"/>
                <w:lang w:val="ru-RU"/>
              </w:rPr>
            </w:pPr>
            <w:r w:rsidRPr="00ED1F8D">
              <w:rPr>
                <w:sz w:val="16"/>
                <w:szCs w:val="16"/>
                <w:lang w:val="ru-RU"/>
              </w:rPr>
              <w:t xml:space="preserve">Реализация мер обеспечения безопасности наружного ограждения согласно стандарту </w:t>
            </w:r>
            <w:r w:rsidRPr="00B3134E">
              <w:rPr>
                <w:sz w:val="16"/>
                <w:szCs w:val="16"/>
              </w:rPr>
              <w:t>UN</w:t>
            </w:r>
            <w:r w:rsidRPr="00ED1F8D">
              <w:rPr>
                <w:sz w:val="16"/>
                <w:szCs w:val="16"/>
                <w:lang w:val="ru-RU"/>
              </w:rPr>
              <w:t xml:space="preserve"> </w:t>
            </w:r>
            <w:r w:rsidRPr="00B3134E">
              <w:rPr>
                <w:sz w:val="16"/>
                <w:szCs w:val="16"/>
              </w:rPr>
              <w:t>H</w:t>
            </w:r>
            <w:r w:rsidRPr="00ED1F8D">
              <w:rPr>
                <w:sz w:val="16"/>
                <w:szCs w:val="16"/>
                <w:lang w:val="ru-RU"/>
              </w:rPr>
              <w:t>-</w:t>
            </w:r>
            <w:r w:rsidRPr="00B3134E">
              <w:rPr>
                <w:sz w:val="16"/>
                <w:szCs w:val="16"/>
              </w:rPr>
              <w:t>MOSS</w:t>
            </w:r>
            <w:r w:rsidRPr="00ED1F8D">
              <w:rPr>
                <w:sz w:val="16"/>
                <w:szCs w:val="16"/>
                <w:lang w:val="ru-RU"/>
              </w:rPr>
              <w:t xml:space="preserve"> к концу 2015</w:t>
            </w:r>
            <w:r w:rsidRPr="00B3134E">
              <w:rPr>
                <w:sz w:val="16"/>
                <w:szCs w:val="16"/>
              </w:rPr>
              <w:t> </w:t>
            </w:r>
            <w:r w:rsidRPr="00ED1F8D">
              <w:rPr>
                <w:sz w:val="16"/>
                <w:szCs w:val="16"/>
                <w:lang w:val="ru-RU"/>
              </w:rPr>
              <w:t>г.</w:t>
            </w:r>
          </w:p>
          <w:p w:rsidR="00ED1F8D" w:rsidRPr="00ED1F8D" w:rsidRDefault="00ED1F8D" w:rsidP="00955E75">
            <w:pPr>
              <w:rPr>
                <w:rFonts w:cs="Arial"/>
                <w:sz w:val="16"/>
                <w:szCs w:val="16"/>
                <w:lang w:val="ru-RU"/>
              </w:rPr>
            </w:pPr>
          </w:p>
        </w:tc>
        <w:tc>
          <w:tcPr>
            <w:tcW w:w="1820" w:type="pct"/>
            <w:tcBorders>
              <w:top w:val="single" w:sz="4" w:space="0" w:color="auto"/>
              <w:bottom w:val="single" w:sz="4" w:space="0" w:color="auto"/>
            </w:tcBorders>
            <w:shd w:val="clear" w:color="auto" w:fill="FFFFFF"/>
            <w:tcMar>
              <w:top w:w="110" w:type="dxa"/>
            </w:tcMar>
          </w:tcPr>
          <w:p w:rsidR="00ED1F8D" w:rsidRPr="00ED1F8D" w:rsidRDefault="00ED1F8D" w:rsidP="00955E75">
            <w:pPr>
              <w:rPr>
                <w:rFonts w:cs="Arial"/>
                <w:sz w:val="16"/>
                <w:szCs w:val="16"/>
                <w:lang w:val="ru-RU"/>
              </w:rPr>
            </w:pPr>
            <w:r w:rsidRPr="00ED1F8D">
              <w:rPr>
                <w:sz w:val="16"/>
                <w:szCs w:val="16"/>
                <w:lang w:val="ru-RU"/>
              </w:rPr>
              <w:t>В августе 2014 г. закончено строительство защитного ограждения перед новым конференц-залом со стороны здания АБ, а также взрывоустойчивой стены со стороны ул.</w:t>
            </w:r>
            <w:r w:rsidRPr="00B3134E">
              <w:rPr>
                <w:sz w:val="16"/>
                <w:szCs w:val="16"/>
              </w:rPr>
              <w:t> </w:t>
            </w:r>
            <w:r w:rsidRPr="00ED1F8D">
              <w:rPr>
                <w:sz w:val="16"/>
                <w:szCs w:val="16"/>
                <w:lang w:val="ru-RU"/>
              </w:rPr>
              <w:t>Ферне.</w:t>
            </w:r>
          </w:p>
          <w:p w:rsidR="00ED1F8D" w:rsidRPr="00ED1F8D" w:rsidRDefault="00ED1F8D" w:rsidP="00955E75">
            <w:pPr>
              <w:rPr>
                <w:rFonts w:cs="Arial"/>
                <w:sz w:val="16"/>
                <w:szCs w:val="16"/>
                <w:lang w:val="ru-RU"/>
              </w:rPr>
            </w:pPr>
          </w:p>
          <w:p w:rsidR="00ED1F8D" w:rsidRPr="00ED1F8D" w:rsidRDefault="00ED1F8D" w:rsidP="00955E75">
            <w:pPr>
              <w:rPr>
                <w:rFonts w:cs="Arial"/>
                <w:sz w:val="16"/>
                <w:szCs w:val="16"/>
                <w:lang w:val="ru-RU"/>
              </w:rPr>
            </w:pPr>
            <w:r w:rsidRPr="00ED1F8D">
              <w:rPr>
                <w:sz w:val="16"/>
                <w:szCs w:val="16"/>
                <w:lang w:val="ru-RU"/>
              </w:rPr>
              <w:t>Осуществление всех остальных мер в области безопасности, необходимое для завершения проекта, было закончено к концу 2015</w:t>
            </w:r>
            <w:r w:rsidRPr="00B3134E">
              <w:rPr>
                <w:sz w:val="16"/>
                <w:szCs w:val="16"/>
              </w:rPr>
              <w:t> </w:t>
            </w:r>
            <w:r w:rsidRPr="00ED1F8D">
              <w:rPr>
                <w:sz w:val="16"/>
                <w:szCs w:val="16"/>
                <w:lang w:val="ru-RU"/>
              </w:rPr>
              <w:t>г.</w:t>
            </w:r>
          </w:p>
        </w:tc>
        <w:tc>
          <w:tcPr>
            <w:tcW w:w="482" w:type="pct"/>
            <w:tcBorders>
              <w:top w:val="single" w:sz="4" w:space="0" w:color="auto"/>
              <w:bottom w:val="single" w:sz="4" w:space="0" w:color="auto"/>
              <w:right w:val="single" w:sz="4" w:space="0" w:color="auto"/>
            </w:tcBorders>
            <w:shd w:val="clear" w:color="auto" w:fill="auto"/>
            <w:tcMar>
              <w:top w:w="110" w:type="dxa"/>
            </w:tcMar>
          </w:tcPr>
          <w:p w:rsidR="00ED1F8D" w:rsidRPr="00B3134E" w:rsidRDefault="00ED1F8D" w:rsidP="00955E75">
            <w:pPr>
              <w:keepNext/>
              <w:keepLines/>
              <w:jc w:val="center"/>
              <w:rPr>
                <w:rStyle w:val="Style5"/>
                <w:rFonts w:cs="Arial"/>
                <w:b/>
                <w:color w:val="595959" w:themeColor="text1" w:themeTint="A6"/>
                <w:sz w:val="16"/>
                <w:szCs w:val="16"/>
              </w:rPr>
            </w:pPr>
            <w:r w:rsidRPr="00B3134E">
              <w:rPr>
                <w:rStyle w:val="Style5"/>
                <w:b/>
                <w:color w:val="00B050"/>
                <w:sz w:val="16"/>
                <w:szCs w:val="16"/>
              </w:rPr>
              <w:t>Выполнено</w:t>
            </w:r>
          </w:p>
        </w:tc>
      </w:tr>
    </w:tbl>
    <w:p w:rsidR="00ED1F8D" w:rsidRPr="000C6C48" w:rsidRDefault="00ED1F8D" w:rsidP="00ED1F8D">
      <w:pPr>
        <w:rPr>
          <w:rFonts w:cs="Arial"/>
          <w:color w:val="000000"/>
          <w:szCs w:val="22"/>
        </w:rPr>
      </w:pPr>
    </w:p>
    <w:p w:rsidR="00ED1F8D" w:rsidRPr="000C6C48" w:rsidRDefault="00ED1F8D" w:rsidP="00ED1F8D">
      <w:pPr>
        <w:rPr>
          <w:rFonts w:cs="Arial"/>
          <w:color w:val="000000"/>
          <w:szCs w:val="22"/>
        </w:rPr>
      </w:pPr>
    </w:p>
    <w:p w:rsidR="00ED1F8D" w:rsidRPr="00ED1F8D" w:rsidRDefault="00ED1F8D" w:rsidP="00ED1F8D">
      <w:pPr>
        <w:rPr>
          <w:rFonts w:cs="Arial"/>
          <w:color w:val="000000"/>
          <w:szCs w:val="22"/>
          <w:lang w:val="ru-RU"/>
        </w:rPr>
      </w:pPr>
      <w:r w:rsidRPr="00ED1F8D">
        <w:rPr>
          <w:color w:val="000000"/>
          <w:lang w:val="ru-RU"/>
        </w:rPr>
        <w:t>ОТЧЕТ О РИСКАХ В ДВУХЛЕТНИЙ ПЕРИОД</w:t>
      </w:r>
    </w:p>
    <w:p w:rsidR="00ED1F8D" w:rsidRPr="00ED1F8D" w:rsidRDefault="00ED1F8D" w:rsidP="00ED1F8D">
      <w:pPr>
        <w:keepNext/>
        <w:keepLines/>
        <w:rPr>
          <w:lang w:val="ru-RU"/>
        </w:rPr>
      </w:pPr>
    </w:p>
    <w:tbl>
      <w:tblPr>
        <w:tblW w:w="10065" w:type="dxa"/>
        <w:tblInd w:w="-34"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392"/>
        <w:gridCol w:w="2370"/>
        <w:gridCol w:w="2610"/>
        <w:gridCol w:w="2693"/>
      </w:tblGrid>
      <w:tr w:rsidR="00ED1F8D" w:rsidTr="00955E75">
        <w:trPr>
          <w:trHeight w:val="448"/>
        </w:trPr>
        <w:tc>
          <w:tcPr>
            <w:tcW w:w="2392" w:type="dxa"/>
            <w:tcBorders>
              <w:top w:val="single" w:sz="4" w:space="0" w:color="auto"/>
              <w:bottom w:val="single" w:sz="4" w:space="0" w:color="auto"/>
            </w:tcBorders>
            <w:shd w:val="clear" w:color="auto" w:fill="C6D9F1" w:themeFill="text2" w:themeFillTint="33"/>
            <w:tcMar>
              <w:top w:w="113" w:type="dxa"/>
              <w:bottom w:w="85" w:type="dxa"/>
            </w:tcMar>
            <w:vAlign w:val="center"/>
          </w:tcPr>
          <w:p w:rsidR="00ED1F8D" w:rsidRPr="00ED1F8D" w:rsidRDefault="00ED1F8D" w:rsidP="00955E75">
            <w:pPr>
              <w:autoSpaceDE w:val="0"/>
              <w:autoSpaceDN w:val="0"/>
              <w:adjustRightInd w:val="0"/>
              <w:ind w:right="-59"/>
              <w:jc w:val="center"/>
              <w:rPr>
                <w:b/>
                <w:sz w:val="18"/>
                <w:szCs w:val="18"/>
                <w:lang w:val="ru-RU"/>
              </w:rPr>
            </w:pPr>
            <w:r w:rsidRPr="00ED1F8D">
              <w:rPr>
                <w:b/>
                <w:sz w:val="18"/>
                <w:lang w:val="ru-RU"/>
              </w:rPr>
              <w:t>Риск (риски) того, что результаты программы не будут достигнуты</w:t>
            </w:r>
          </w:p>
        </w:tc>
        <w:tc>
          <w:tcPr>
            <w:tcW w:w="2370" w:type="dxa"/>
            <w:tcBorders>
              <w:top w:val="single" w:sz="4" w:space="0" w:color="auto"/>
              <w:bottom w:val="single" w:sz="4" w:space="0" w:color="auto"/>
            </w:tcBorders>
            <w:shd w:val="clear" w:color="auto" w:fill="C6D9F1" w:themeFill="text2" w:themeFillTint="33"/>
            <w:tcMar>
              <w:top w:w="113" w:type="dxa"/>
              <w:bottom w:w="85" w:type="dxa"/>
            </w:tcMar>
            <w:vAlign w:val="center"/>
          </w:tcPr>
          <w:p w:rsidR="00ED1F8D" w:rsidRPr="00ED1F8D" w:rsidRDefault="00ED1F8D" w:rsidP="00955E75">
            <w:pPr>
              <w:autoSpaceDE w:val="0"/>
              <w:autoSpaceDN w:val="0"/>
              <w:adjustRightInd w:val="0"/>
              <w:ind w:right="-59"/>
              <w:jc w:val="center"/>
              <w:rPr>
                <w:b/>
                <w:sz w:val="18"/>
                <w:szCs w:val="18"/>
                <w:lang w:val="ru-RU"/>
              </w:rPr>
            </w:pPr>
            <w:r w:rsidRPr="00ED1F8D">
              <w:rPr>
                <w:b/>
                <w:sz w:val="18"/>
                <w:lang w:val="ru-RU"/>
              </w:rPr>
              <w:t xml:space="preserve">Действующие или разрабатываемые планы по снижению рисков </w:t>
            </w:r>
          </w:p>
        </w:tc>
        <w:tc>
          <w:tcPr>
            <w:tcW w:w="2610" w:type="dxa"/>
            <w:tcBorders>
              <w:top w:val="single" w:sz="4" w:space="0" w:color="auto"/>
              <w:bottom w:val="single" w:sz="4" w:space="0" w:color="auto"/>
            </w:tcBorders>
            <w:shd w:val="clear" w:color="auto" w:fill="C6D9F1" w:themeFill="text2" w:themeFillTint="33"/>
          </w:tcPr>
          <w:p w:rsidR="00ED1F8D" w:rsidRPr="00ED1F8D" w:rsidRDefault="00ED1F8D" w:rsidP="00955E75">
            <w:pPr>
              <w:jc w:val="center"/>
              <w:rPr>
                <w:b/>
                <w:bCs/>
                <w:sz w:val="18"/>
                <w:szCs w:val="18"/>
                <w:lang w:val="ru-RU"/>
              </w:rPr>
            </w:pPr>
            <w:r w:rsidRPr="00ED1F8D">
              <w:rPr>
                <w:b/>
                <w:sz w:val="18"/>
                <w:lang w:val="ru-RU"/>
              </w:rPr>
              <w:t>Развитие риска (рисков) и стратегий его (их) снижения в двухлетний период</w:t>
            </w:r>
          </w:p>
        </w:tc>
        <w:tc>
          <w:tcPr>
            <w:tcW w:w="2693" w:type="dxa"/>
            <w:tcBorders>
              <w:top w:val="single" w:sz="4" w:space="0" w:color="auto"/>
              <w:bottom w:val="single" w:sz="4" w:space="0" w:color="auto"/>
            </w:tcBorders>
            <w:shd w:val="clear" w:color="auto" w:fill="C6D9F1" w:themeFill="text2" w:themeFillTint="33"/>
          </w:tcPr>
          <w:p w:rsidR="00ED1F8D" w:rsidRPr="003C527B" w:rsidRDefault="00ED1F8D" w:rsidP="00955E75">
            <w:pPr>
              <w:jc w:val="center"/>
              <w:rPr>
                <w:b/>
                <w:bCs/>
                <w:sz w:val="18"/>
                <w:szCs w:val="18"/>
              </w:rPr>
            </w:pPr>
            <w:r>
              <w:rPr>
                <w:b/>
                <w:sz w:val="18"/>
              </w:rPr>
              <w:t xml:space="preserve">Влияние на </w:t>
            </w:r>
            <w:r>
              <w:rPr>
                <w:b/>
                <w:bCs/>
                <w:sz w:val="18"/>
                <w:szCs w:val="18"/>
              </w:rPr>
              <w:br/>
            </w:r>
            <w:r>
              <w:rPr>
                <w:b/>
                <w:sz w:val="18"/>
              </w:rPr>
              <w:t xml:space="preserve">реализацию </w:t>
            </w:r>
            <w:r>
              <w:rPr>
                <w:b/>
                <w:bCs/>
                <w:sz w:val="18"/>
                <w:szCs w:val="18"/>
              </w:rPr>
              <w:br/>
            </w:r>
            <w:r>
              <w:rPr>
                <w:b/>
                <w:sz w:val="18"/>
              </w:rPr>
              <w:t>программы</w:t>
            </w:r>
          </w:p>
        </w:tc>
      </w:tr>
      <w:tr w:rsidR="00ED1F8D" w:rsidRPr="005C6ABD" w:rsidTr="00955E75">
        <w:trPr>
          <w:trHeight w:val="957"/>
        </w:trPr>
        <w:tc>
          <w:tcPr>
            <w:tcW w:w="2392" w:type="dxa"/>
            <w:tcBorders>
              <w:top w:val="single" w:sz="4" w:space="0" w:color="auto"/>
            </w:tcBorders>
            <w:shd w:val="clear" w:color="auto" w:fill="auto"/>
            <w:tcMar>
              <w:top w:w="113" w:type="dxa"/>
              <w:bottom w:w="85" w:type="dxa"/>
            </w:tcMar>
          </w:tcPr>
          <w:p w:rsidR="00ED1F8D" w:rsidRPr="00ED1F8D" w:rsidRDefault="00ED1F8D" w:rsidP="00955E75">
            <w:pPr>
              <w:autoSpaceDE w:val="0"/>
              <w:autoSpaceDN w:val="0"/>
              <w:adjustRightInd w:val="0"/>
              <w:ind w:right="-59"/>
              <w:rPr>
                <w:sz w:val="16"/>
                <w:szCs w:val="16"/>
                <w:lang w:val="ru-RU"/>
              </w:rPr>
            </w:pPr>
            <w:r w:rsidRPr="00ED1F8D">
              <w:rPr>
                <w:sz w:val="16"/>
                <w:lang w:val="ru-RU"/>
              </w:rPr>
              <w:t xml:space="preserve">При завершении строительства или после него будут обнаружены серьезные архитектурные или строительные дефекты, из-за которых использование нового конференц-зала станет невозможным или будет отсрочено  </w:t>
            </w:r>
          </w:p>
        </w:tc>
        <w:tc>
          <w:tcPr>
            <w:tcW w:w="2370" w:type="dxa"/>
            <w:tcBorders>
              <w:top w:val="single" w:sz="4" w:space="0" w:color="auto"/>
            </w:tcBorders>
            <w:shd w:val="clear" w:color="auto" w:fill="auto"/>
            <w:tcMar>
              <w:top w:w="113" w:type="dxa"/>
              <w:bottom w:w="85" w:type="dxa"/>
            </w:tcMar>
          </w:tcPr>
          <w:p w:rsidR="00ED1F8D" w:rsidRPr="00ED1F8D" w:rsidRDefault="00ED1F8D" w:rsidP="00955E75">
            <w:pPr>
              <w:autoSpaceDE w:val="0"/>
              <w:autoSpaceDN w:val="0"/>
              <w:adjustRightInd w:val="0"/>
              <w:ind w:right="-59"/>
              <w:rPr>
                <w:sz w:val="16"/>
                <w:szCs w:val="16"/>
                <w:lang w:val="ru-RU"/>
              </w:rPr>
            </w:pPr>
            <w:r w:rsidRPr="00ED1F8D">
              <w:rPr>
                <w:sz w:val="16"/>
                <w:lang w:val="ru-RU"/>
              </w:rPr>
              <w:t>Отбор высококлассных архитекторов и подрядчиков.  В состав лесопромышленного консорциума, который располагает собственными инженерами по дереву, входят квалифицированные и обладающие большим опытом местные компании.  Начальник строительной площадки осуществляет пристальное наблюдение за выполнением проекта через короткие промежутки времени.</w:t>
            </w:r>
          </w:p>
        </w:tc>
        <w:tc>
          <w:tcPr>
            <w:tcW w:w="2610" w:type="dxa"/>
            <w:tcBorders>
              <w:top w:val="single" w:sz="4" w:space="0" w:color="auto"/>
            </w:tcBorders>
          </w:tcPr>
          <w:p w:rsidR="00ED1F8D" w:rsidRPr="00ED1F8D" w:rsidRDefault="00ED1F8D" w:rsidP="00955E75">
            <w:pPr>
              <w:autoSpaceDE w:val="0"/>
              <w:autoSpaceDN w:val="0"/>
              <w:adjustRightInd w:val="0"/>
              <w:ind w:right="-59"/>
              <w:rPr>
                <w:sz w:val="16"/>
                <w:szCs w:val="16"/>
                <w:lang w:val="ru-RU"/>
              </w:rPr>
            </w:pPr>
            <w:r w:rsidRPr="00ED1F8D">
              <w:rPr>
                <w:sz w:val="16"/>
                <w:lang w:val="ru-RU"/>
              </w:rPr>
              <w:t>Этот риск потерял свою актуальность в конце рассматриваемого двухлетнего периода, так как новый конференц-зал ВОИС начал использоваться в сентябре 2014</w:t>
            </w:r>
            <w:r>
              <w:rPr>
                <w:sz w:val="16"/>
              </w:rPr>
              <w:t> </w:t>
            </w:r>
            <w:r w:rsidRPr="00ED1F8D">
              <w:rPr>
                <w:sz w:val="16"/>
                <w:lang w:val="ru-RU"/>
              </w:rPr>
              <w:t>г. для проведения заседаний ВОИС, включая проведение Ассамблей ВОИС в 2014</w:t>
            </w:r>
            <w:r>
              <w:rPr>
                <w:sz w:val="16"/>
              </w:rPr>
              <w:t> </w:t>
            </w:r>
            <w:r w:rsidRPr="00ED1F8D">
              <w:rPr>
                <w:sz w:val="16"/>
                <w:lang w:val="ru-RU"/>
              </w:rPr>
              <w:t>г. и в 2015</w:t>
            </w:r>
            <w:r>
              <w:rPr>
                <w:sz w:val="16"/>
              </w:rPr>
              <w:t> </w:t>
            </w:r>
            <w:r w:rsidRPr="00ED1F8D">
              <w:rPr>
                <w:sz w:val="16"/>
                <w:lang w:val="ru-RU"/>
              </w:rPr>
              <w:t xml:space="preserve">г., а также множества других заседаний и мероприятий в ходе оставшейся части двухлетнего периода. </w:t>
            </w:r>
          </w:p>
        </w:tc>
        <w:tc>
          <w:tcPr>
            <w:tcW w:w="2693" w:type="dxa"/>
            <w:tcBorders>
              <w:top w:val="single" w:sz="4" w:space="0" w:color="auto"/>
            </w:tcBorders>
          </w:tcPr>
          <w:p w:rsidR="00ED1F8D" w:rsidRPr="00ED1F8D" w:rsidRDefault="00ED1F8D" w:rsidP="00955E75">
            <w:pPr>
              <w:autoSpaceDE w:val="0"/>
              <w:autoSpaceDN w:val="0"/>
              <w:adjustRightInd w:val="0"/>
              <w:ind w:right="-59"/>
              <w:rPr>
                <w:sz w:val="16"/>
                <w:szCs w:val="16"/>
                <w:lang w:val="ru-RU"/>
              </w:rPr>
            </w:pPr>
            <w:r w:rsidRPr="00ED1F8D">
              <w:rPr>
                <w:sz w:val="16"/>
                <w:lang w:val="ru-RU"/>
              </w:rPr>
              <w:t>Этот риск и его развитие не оказали существенного влияния на реализацию программы в 2014–2015 гг.</w:t>
            </w:r>
          </w:p>
          <w:p w:rsidR="00ED1F8D" w:rsidRPr="00ED1F8D" w:rsidRDefault="00ED1F8D" w:rsidP="00955E75">
            <w:pPr>
              <w:autoSpaceDE w:val="0"/>
              <w:autoSpaceDN w:val="0"/>
              <w:adjustRightInd w:val="0"/>
              <w:ind w:right="-59"/>
              <w:rPr>
                <w:sz w:val="16"/>
                <w:szCs w:val="16"/>
                <w:lang w:val="ru-RU"/>
              </w:rPr>
            </w:pPr>
          </w:p>
        </w:tc>
      </w:tr>
    </w:tbl>
    <w:p w:rsidR="00ED1F8D" w:rsidRPr="00ED1F8D" w:rsidRDefault="00ED1F8D" w:rsidP="00ED1F8D">
      <w:pPr>
        <w:rPr>
          <w:rFonts w:cs="Arial"/>
          <w:color w:val="000000"/>
          <w:szCs w:val="20"/>
          <w:lang w:val="ru-RU"/>
        </w:rPr>
      </w:pPr>
    </w:p>
    <w:p w:rsidR="00ED1F8D" w:rsidRPr="00ED1F8D" w:rsidRDefault="00ED1F8D" w:rsidP="00ED1F8D">
      <w:pPr>
        <w:rPr>
          <w:rFonts w:cs="Arial"/>
          <w:color w:val="000000"/>
          <w:szCs w:val="20"/>
          <w:lang w:val="ru-RU"/>
        </w:rPr>
      </w:pPr>
    </w:p>
    <w:p w:rsidR="00ED1F8D" w:rsidRPr="00ED1F8D" w:rsidRDefault="00ED1F8D" w:rsidP="00ED1F8D">
      <w:pPr>
        <w:keepNext/>
        <w:keepLines/>
        <w:rPr>
          <w:b/>
          <w:sz w:val="18"/>
          <w:szCs w:val="20"/>
          <w:lang w:val="ru-RU"/>
        </w:rPr>
      </w:pPr>
      <w:r w:rsidRPr="00ED1F8D">
        <w:rPr>
          <w:color w:val="000000"/>
          <w:lang w:val="ru-RU"/>
        </w:rPr>
        <w:t>ИСПОЛЬЗОВАНИЕ РЕСУРСОВ</w:t>
      </w:r>
      <w:r w:rsidRPr="00ED1F8D">
        <w:rPr>
          <w:lang w:val="ru-RU"/>
        </w:rPr>
        <w:tab/>
      </w:r>
    </w:p>
    <w:p w:rsidR="00ED1F8D" w:rsidRPr="00ED1F8D" w:rsidRDefault="00ED1F8D" w:rsidP="00ED1F8D">
      <w:pPr>
        <w:keepNext/>
        <w:keepLines/>
        <w:rPr>
          <w:sz w:val="18"/>
          <w:szCs w:val="20"/>
          <w:lang w:val="ru-RU"/>
        </w:rPr>
      </w:pPr>
    </w:p>
    <w:p w:rsidR="00ED1F8D" w:rsidRPr="00ED1F8D" w:rsidRDefault="00ED1F8D" w:rsidP="00ED1F8D">
      <w:pPr>
        <w:pStyle w:val="NormalWeb"/>
        <w:keepNext/>
        <w:keepLines/>
        <w:spacing w:before="0" w:beforeAutospacing="0" w:after="0" w:afterAutospacing="0"/>
        <w:jc w:val="center"/>
        <w:rPr>
          <w:sz w:val="20"/>
          <w:szCs w:val="20"/>
          <w:lang w:val="ru-RU"/>
        </w:rPr>
      </w:pPr>
      <w:r w:rsidRPr="00ED1F8D">
        <w:rPr>
          <w:color w:val="000000"/>
          <w:sz w:val="20"/>
          <w:lang w:val="ru-RU"/>
        </w:rPr>
        <w:t xml:space="preserve">Бюджет и фактические расходы (в разбивке по результатам) </w:t>
      </w:r>
    </w:p>
    <w:p w:rsidR="00ED1F8D" w:rsidRDefault="00ED1F8D" w:rsidP="00ED1F8D">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ED1F8D" w:rsidRPr="00383D2D" w:rsidRDefault="00ED1F8D" w:rsidP="00ED1F8D">
      <w:pPr>
        <w:pStyle w:val="NormalWeb"/>
        <w:keepNext/>
        <w:keepLines/>
        <w:spacing w:before="0" w:beforeAutospacing="0" w:after="0" w:afterAutospacing="0"/>
        <w:jc w:val="center"/>
        <w:rPr>
          <w:sz w:val="20"/>
          <w:szCs w:val="20"/>
        </w:rPr>
      </w:pPr>
    </w:p>
    <w:p w:rsidR="00ED1F8D" w:rsidRDefault="00ED1F8D" w:rsidP="00ED1F8D">
      <w:pPr>
        <w:jc w:val="center"/>
      </w:pPr>
      <w:r>
        <w:rPr>
          <w:noProof/>
        </w:rPr>
        <w:drawing>
          <wp:inline distT="0" distB="0" distL="0" distR="0" wp14:anchorId="145D6748" wp14:editId="5E4FE316">
            <wp:extent cx="6151880" cy="2265989"/>
            <wp:effectExtent l="0" t="0" r="1270" b="127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6151880" cy="2265989"/>
                    </a:xfrm>
                    <a:prstGeom prst="rect">
                      <a:avLst/>
                    </a:prstGeom>
                    <a:noFill/>
                    <a:ln>
                      <a:noFill/>
                    </a:ln>
                  </pic:spPr>
                </pic:pic>
              </a:graphicData>
            </a:graphic>
          </wp:inline>
        </w:drawing>
      </w:r>
    </w:p>
    <w:p w:rsidR="00ED1F8D" w:rsidRDefault="00ED1F8D" w:rsidP="00ED1F8D"/>
    <w:p w:rsidR="00ED1F8D" w:rsidRPr="00ED1F8D" w:rsidRDefault="00ED1F8D" w:rsidP="00ED1F8D">
      <w:pPr>
        <w:pStyle w:val="NormalWeb"/>
        <w:keepNext/>
        <w:keepLines/>
        <w:spacing w:before="0" w:beforeAutospacing="0" w:after="0" w:afterAutospacing="0"/>
        <w:jc w:val="center"/>
        <w:rPr>
          <w:sz w:val="20"/>
          <w:szCs w:val="20"/>
          <w:lang w:val="ru-RU"/>
        </w:rPr>
      </w:pPr>
      <w:r w:rsidRPr="00ED1F8D">
        <w:rPr>
          <w:color w:val="000000"/>
          <w:sz w:val="20"/>
          <w:lang w:val="ru-RU"/>
        </w:rPr>
        <w:t xml:space="preserve">Бюджет и фактические расходы (по персоналу и не связанные с персоналом) </w:t>
      </w:r>
    </w:p>
    <w:p w:rsidR="00ED1F8D" w:rsidRPr="00383D2D" w:rsidRDefault="00ED1F8D" w:rsidP="00ED1F8D">
      <w:pPr>
        <w:pStyle w:val="NormalWeb"/>
        <w:keepNext/>
        <w:keepLines/>
        <w:spacing w:before="0" w:beforeAutospacing="0" w:after="0" w:afterAutospacing="0"/>
        <w:jc w:val="center"/>
        <w:rPr>
          <w:i/>
          <w:iCs/>
          <w:color w:val="000000"/>
          <w:sz w:val="20"/>
          <w:szCs w:val="20"/>
        </w:rPr>
      </w:pPr>
      <w:r>
        <w:rPr>
          <w:i/>
          <w:color w:val="000000"/>
          <w:sz w:val="20"/>
        </w:rPr>
        <w:t>(в тыс. шв. франков)</w:t>
      </w:r>
    </w:p>
    <w:p w:rsidR="00ED1F8D" w:rsidRDefault="00ED1F8D" w:rsidP="00ED1F8D">
      <w:pPr>
        <w:pStyle w:val="NormalWeb"/>
        <w:keepNext/>
        <w:keepLines/>
        <w:spacing w:before="0" w:beforeAutospacing="0" w:after="0" w:afterAutospacing="0"/>
        <w:jc w:val="center"/>
      </w:pPr>
    </w:p>
    <w:p w:rsidR="00ED1F8D" w:rsidRDefault="00ED1F8D" w:rsidP="00ED1F8D">
      <w:pPr>
        <w:widowControl w:val="0"/>
        <w:autoSpaceDE w:val="0"/>
        <w:autoSpaceDN w:val="0"/>
        <w:adjustRightInd w:val="0"/>
        <w:jc w:val="center"/>
        <w:rPr>
          <w:rFonts w:cs="Arial"/>
          <w:szCs w:val="20"/>
        </w:rPr>
      </w:pPr>
      <w:r>
        <w:rPr>
          <w:rFonts w:cs="Arial"/>
          <w:noProof/>
          <w:szCs w:val="20"/>
        </w:rPr>
        <w:drawing>
          <wp:inline distT="0" distB="0" distL="0" distR="0" wp14:anchorId="39C7AA18" wp14:editId="3BD53229">
            <wp:extent cx="6151880" cy="1269560"/>
            <wp:effectExtent l="0" t="0" r="1270" b="698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6151880" cy="1269560"/>
                    </a:xfrm>
                    <a:prstGeom prst="rect">
                      <a:avLst/>
                    </a:prstGeom>
                    <a:noFill/>
                    <a:ln>
                      <a:noFill/>
                    </a:ln>
                  </pic:spPr>
                </pic:pic>
              </a:graphicData>
            </a:graphic>
          </wp:inline>
        </w:drawing>
      </w:r>
    </w:p>
    <w:p w:rsidR="00ED1F8D" w:rsidRDefault="00ED1F8D" w:rsidP="00ED1F8D">
      <w:pPr>
        <w:widowControl w:val="0"/>
        <w:autoSpaceDE w:val="0"/>
        <w:autoSpaceDN w:val="0"/>
        <w:adjustRightInd w:val="0"/>
        <w:rPr>
          <w:rFonts w:cs="Arial"/>
          <w:szCs w:val="20"/>
        </w:rPr>
      </w:pPr>
    </w:p>
    <w:p w:rsidR="00ED1F8D" w:rsidRPr="001C6F4D" w:rsidRDefault="00ED1F8D" w:rsidP="00ED1F8D">
      <w:pPr>
        <w:widowControl w:val="0"/>
        <w:autoSpaceDE w:val="0"/>
        <w:autoSpaceDN w:val="0"/>
        <w:adjustRightInd w:val="0"/>
        <w:rPr>
          <w:rFonts w:cs="Arial"/>
          <w:szCs w:val="20"/>
        </w:rPr>
      </w:pPr>
    </w:p>
    <w:p w:rsidR="00ED1F8D" w:rsidRPr="00ED1F8D" w:rsidRDefault="00ED1F8D" w:rsidP="00ED1F8D">
      <w:pPr>
        <w:keepNext/>
        <w:keepLines/>
        <w:jc w:val="both"/>
        <w:rPr>
          <w:rFonts w:cs="Arial"/>
          <w:u w:val="single"/>
          <w:lang w:val="ru-RU"/>
        </w:rPr>
      </w:pPr>
      <w:r>
        <w:t>A</w:t>
      </w:r>
      <w:r w:rsidRPr="00ED1F8D">
        <w:rPr>
          <w:lang w:val="ru-RU"/>
        </w:rPr>
        <w:t>.</w:t>
      </w:r>
      <w:r w:rsidRPr="00ED1F8D">
        <w:rPr>
          <w:lang w:val="ru-RU"/>
        </w:rPr>
        <w:tab/>
      </w:r>
      <w:r w:rsidRPr="00ED1F8D">
        <w:rPr>
          <w:u w:val="single"/>
          <w:lang w:val="ru-RU"/>
        </w:rPr>
        <w:t xml:space="preserve">Итоговый бюджет на 2014–2015 гг. после перераспределения средств </w:t>
      </w:r>
    </w:p>
    <w:p w:rsidR="00ED1F8D" w:rsidRPr="00ED1F8D" w:rsidRDefault="00ED1F8D" w:rsidP="00ED1F8D">
      <w:pPr>
        <w:keepNext/>
        <w:keepLines/>
        <w:jc w:val="both"/>
        <w:rPr>
          <w:rFonts w:cs="Arial"/>
          <w:u w:val="single"/>
          <w:lang w:val="ru-RU"/>
        </w:rPr>
      </w:pPr>
      <w:r w:rsidRPr="00ED1F8D">
        <w:rPr>
          <w:u w:val="single"/>
          <w:lang w:val="ru-RU"/>
        </w:rPr>
        <w:t xml:space="preserve"> </w:t>
      </w:r>
    </w:p>
    <w:p w:rsidR="00ED1F8D" w:rsidRPr="00ED1F8D" w:rsidRDefault="00ED1F8D" w:rsidP="00ED1F8D">
      <w:pPr>
        <w:keepNext/>
        <w:keepLines/>
        <w:jc w:val="both"/>
        <w:rPr>
          <w:rFonts w:cs="Arial"/>
          <w:lang w:val="ru-RU"/>
        </w:rPr>
      </w:pPr>
    </w:p>
    <w:p w:rsidR="00ED1F8D" w:rsidRPr="00ED1F8D" w:rsidRDefault="00ED1F8D" w:rsidP="00ED1F8D">
      <w:pPr>
        <w:keepNext/>
        <w:keepLines/>
        <w:jc w:val="both"/>
        <w:rPr>
          <w:rFonts w:cs="Arial"/>
          <w:lang w:val="ru-RU"/>
        </w:rPr>
      </w:pPr>
      <w:r w:rsidRPr="00ED1F8D">
        <w:rPr>
          <w:lang w:val="ru-RU"/>
        </w:rPr>
        <w:t>2</w:t>
      </w:r>
      <w:r>
        <w:rPr>
          <w:lang w:val="ru-RU"/>
        </w:rPr>
        <w:t>9.3</w:t>
      </w:r>
      <w:r w:rsidRPr="00ED1F8D">
        <w:rPr>
          <w:lang w:val="ru-RU"/>
        </w:rPr>
        <w:tab/>
        <w:t>Общее увеличение итогового бюджета на 2014–2015</w:t>
      </w:r>
      <w:r>
        <w:t> </w:t>
      </w:r>
      <w:r w:rsidRPr="00ED1F8D">
        <w:rPr>
          <w:lang w:val="ru-RU"/>
        </w:rPr>
        <w:t>гг. после перераспределения средств было обусловлено главным образом выделением дополнительных ресурсов на покрытие расходов, связанных с завершением и закрытием проекта строительства нового конференц-зала, что было утверждено Ассамблеями ВОИС в октябре 2015</w:t>
      </w:r>
      <w:r>
        <w:t> </w:t>
      </w:r>
      <w:r w:rsidRPr="00ED1F8D">
        <w:rPr>
          <w:lang w:val="ru-RU"/>
        </w:rPr>
        <w:t xml:space="preserve">г.  Это нашло отражение в разделе, посвященном ожидаемому результату </w:t>
      </w:r>
      <w:r>
        <w:t>IX</w:t>
      </w:r>
      <w:r w:rsidRPr="00ED1F8D">
        <w:rPr>
          <w:lang w:val="ru-RU"/>
        </w:rPr>
        <w:t xml:space="preserve">.1. </w:t>
      </w:r>
    </w:p>
    <w:p w:rsidR="00ED1F8D" w:rsidRPr="00ED1F8D" w:rsidRDefault="00ED1F8D" w:rsidP="00ED1F8D">
      <w:pPr>
        <w:keepNext/>
        <w:keepLines/>
        <w:jc w:val="both"/>
        <w:rPr>
          <w:rFonts w:cs="Arial"/>
          <w:lang w:val="ru-RU"/>
        </w:rPr>
      </w:pPr>
    </w:p>
    <w:p w:rsidR="00ED1F8D" w:rsidRPr="00ED1F8D" w:rsidRDefault="00ED1F8D" w:rsidP="00ED1F8D">
      <w:pPr>
        <w:autoSpaceDE w:val="0"/>
        <w:autoSpaceDN w:val="0"/>
        <w:jc w:val="both"/>
        <w:rPr>
          <w:rFonts w:cs="Arial"/>
          <w:szCs w:val="20"/>
          <w:lang w:val="ru-RU"/>
        </w:rPr>
      </w:pPr>
    </w:p>
    <w:p w:rsidR="00ED1F8D" w:rsidRPr="00ED1F8D" w:rsidRDefault="00ED1F8D" w:rsidP="00ED1F8D">
      <w:pPr>
        <w:jc w:val="both"/>
        <w:rPr>
          <w:rFonts w:cs="Arial"/>
          <w:szCs w:val="20"/>
          <w:u w:val="single"/>
          <w:lang w:val="ru-RU"/>
        </w:rPr>
      </w:pPr>
      <w:r>
        <w:t>B</w:t>
      </w:r>
      <w:r w:rsidRPr="00ED1F8D">
        <w:rPr>
          <w:lang w:val="ru-RU"/>
        </w:rPr>
        <w:t>.</w:t>
      </w:r>
      <w:r w:rsidRPr="00ED1F8D">
        <w:rPr>
          <w:lang w:val="ru-RU"/>
        </w:rPr>
        <w:tab/>
      </w:r>
      <w:r w:rsidRPr="00ED1F8D">
        <w:rPr>
          <w:u w:val="single"/>
          <w:lang w:val="ru-RU"/>
        </w:rPr>
        <w:t xml:space="preserve">Освоение бюджетных средств в 2014–2015 гг. </w:t>
      </w:r>
    </w:p>
    <w:p w:rsidR="00ED1F8D" w:rsidRPr="00ED1F8D" w:rsidRDefault="00ED1F8D" w:rsidP="00ED1F8D">
      <w:pPr>
        <w:tabs>
          <w:tab w:val="left" w:pos="709"/>
        </w:tabs>
        <w:jc w:val="both"/>
        <w:rPr>
          <w:rFonts w:cs="Arial"/>
          <w:szCs w:val="20"/>
          <w:u w:val="single"/>
          <w:lang w:val="ru-RU"/>
        </w:rPr>
      </w:pPr>
    </w:p>
    <w:p w:rsidR="005B0F47" w:rsidRPr="00ED1F8D" w:rsidRDefault="00ED1F8D" w:rsidP="00ED1F8D">
      <w:pPr>
        <w:tabs>
          <w:tab w:val="left" w:pos="709"/>
        </w:tabs>
        <w:jc w:val="both"/>
        <w:rPr>
          <w:rFonts w:cs="Arial"/>
          <w:szCs w:val="20"/>
          <w:lang w:val="ru-RU"/>
        </w:rPr>
      </w:pPr>
      <w:r w:rsidRPr="00ED1F8D">
        <w:rPr>
          <w:lang w:val="ru-RU"/>
        </w:rPr>
        <w:t>29</w:t>
      </w:r>
      <w:r>
        <w:rPr>
          <w:lang w:val="ru-RU"/>
        </w:rPr>
        <w:t>.4</w:t>
      </w:r>
      <w:r w:rsidRPr="00ED1F8D">
        <w:rPr>
          <w:lang w:val="ru-RU"/>
        </w:rPr>
        <w:tab/>
        <w:t>Небольшое недоосвоение ресурсов, связанных с персоналом, обусловлено различиями между методикой исчисления нормативных расходов, которая использовалась в двухлетний период 2014–2015</w:t>
      </w:r>
      <w:r>
        <w:t> </w:t>
      </w:r>
      <w:r w:rsidRPr="00ED1F8D">
        <w:rPr>
          <w:lang w:val="ru-RU"/>
        </w:rPr>
        <w:t xml:space="preserve">гг., и фактическими расходами, связанными с персоналом. </w:t>
      </w:r>
    </w:p>
    <w:p w:rsidR="005B0F47" w:rsidRPr="00ED1F8D" w:rsidRDefault="005B0F47" w:rsidP="005B0F47">
      <w:pPr>
        <w:tabs>
          <w:tab w:val="left" w:pos="709"/>
        </w:tabs>
        <w:autoSpaceDE w:val="0"/>
        <w:autoSpaceDN w:val="0"/>
        <w:jc w:val="both"/>
        <w:rPr>
          <w:lang w:val="ru-RU"/>
        </w:rPr>
      </w:pPr>
    </w:p>
    <w:p w:rsidR="005B0F47" w:rsidRPr="00ED1F8D" w:rsidRDefault="005B0F47" w:rsidP="005B0F47">
      <w:pPr>
        <w:tabs>
          <w:tab w:val="left" w:pos="709"/>
        </w:tabs>
        <w:rPr>
          <w:lang w:val="ru-RU"/>
        </w:rPr>
      </w:pPr>
    </w:p>
    <w:p w:rsidR="007505A5" w:rsidRPr="00ED1F8D" w:rsidRDefault="007505A5" w:rsidP="005B0F47">
      <w:pPr>
        <w:tabs>
          <w:tab w:val="left" w:pos="709"/>
        </w:tabs>
        <w:rPr>
          <w:sz w:val="18"/>
          <w:szCs w:val="20"/>
          <w:lang w:val="ru-RU"/>
        </w:rPr>
      </w:pPr>
    </w:p>
    <w:p w:rsidR="007505A5" w:rsidRPr="00ED1F8D" w:rsidRDefault="007505A5" w:rsidP="00383D2D">
      <w:pPr>
        <w:tabs>
          <w:tab w:val="left" w:pos="709"/>
        </w:tabs>
        <w:jc w:val="both"/>
        <w:rPr>
          <w:rFonts w:cs="Arial"/>
          <w:szCs w:val="20"/>
          <w:u w:val="single"/>
          <w:lang w:val="ru-RU" w:eastAsia="ko-KR"/>
        </w:rPr>
      </w:pPr>
    </w:p>
    <w:p w:rsidR="007505A5" w:rsidRPr="00ED1F8D" w:rsidRDefault="007505A5" w:rsidP="00295D7D">
      <w:pPr>
        <w:autoSpaceDE w:val="0"/>
        <w:autoSpaceDN w:val="0"/>
        <w:jc w:val="both"/>
        <w:rPr>
          <w:lang w:val="ru-RU"/>
        </w:rPr>
      </w:pPr>
    </w:p>
    <w:p w:rsidR="0063033D" w:rsidRPr="00ED1F8D" w:rsidRDefault="0063033D">
      <w:pPr>
        <w:rPr>
          <w:lang w:val="ru-RU"/>
        </w:rPr>
        <w:sectPr w:rsidR="0063033D" w:rsidRPr="00ED1F8D" w:rsidSect="00CA722C">
          <w:headerReference w:type="even" r:id="rId197"/>
          <w:headerReference w:type="default" r:id="rId198"/>
          <w:footerReference w:type="even" r:id="rId199"/>
          <w:footerReference w:type="default" r:id="rId200"/>
          <w:headerReference w:type="first" r:id="rId201"/>
          <w:footerReference w:type="first" r:id="rId202"/>
          <w:pgSz w:w="11907" w:h="16840" w:code="9"/>
          <w:pgMar w:top="567" w:right="1134" w:bottom="1361" w:left="1418" w:header="567" w:footer="851" w:gutter="0"/>
          <w:pgNumType w:start="1"/>
          <w:cols w:space="720"/>
          <w:titlePg/>
          <w:docGrid w:linePitch="272"/>
        </w:sectPr>
      </w:pPr>
    </w:p>
    <w:p w:rsidR="0063033D" w:rsidRPr="0063033D" w:rsidRDefault="00C85043" w:rsidP="0063033D">
      <w:pPr>
        <w:pStyle w:val="Heading1"/>
        <w:ind w:hanging="578"/>
        <w:jc w:val="left"/>
      </w:pPr>
      <w:bookmarkStart w:id="139" w:name="_Toc455388142"/>
      <w:r>
        <w:rPr>
          <w:lang w:val="ru-RU"/>
        </w:rPr>
        <w:t>ДОПОЛНЕНИЯ</w:t>
      </w:r>
      <w:bookmarkEnd w:id="139"/>
    </w:p>
    <w:p w:rsidR="0063033D" w:rsidRDefault="0063033D" w:rsidP="008D1891">
      <w:pPr>
        <w:rPr>
          <w:rFonts w:eastAsia="SimSun"/>
          <w:b/>
          <w:bCs/>
          <w:sz w:val="22"/>
          <w:szCs w:val="28"/>
        </w:rPr>
      </w:pPr>
    </w:p>
    <w:p w:rsidR="0063033D" w:rsidRDefault="0063033D" w:rsidP="008D1891">
      <w:pPr>
        <w:rPr>
          <w:rFonts w:eastAsia="SimSun"/>
          <w:b/>
          <w:bCs/>
          <w:sz w:val="22"/>
          <w:szCs w:val="28"/>
        </w:rPr>
      </w:pPr>
    </w:p>
    <w:p w:rsidR="0063033D" w:rsidRPr="00C85043" w:rsidRDefault="00C85043" w:rsidP="006C404A">
      <w:pPr>
        <w:pStyle w:val="Heading2"/>
        <w:tabs>
          <w:tab w:val="clear" w:pos="567"/>
          <w:tab w:val="left" w:pos="2268"/>
        </w:tabs>
        <w:ind w:left="0" w:firstLine="0"/>
        <w:rPr>
          <w:rFonts w:eastAsia="SimSun"/>
          <w:b w:val="0"/>
          <w:bCs w:val="0"/>
          <w:lang w:val="ru-RU"/>
        </w:rPr>
      </w:pPr>
      <w:bookmarkStart w:id="140" w:name="_Toc455388143"/>
      <w:r>
        <w:rPr>
          <w:lang w:val="ru-RU"/>
        </w:rPr>
        <w:t>ДОПОЛНЕНИЕ</w:t>
      </w:r>
      <w:r w:rsidR="0063033D" w:rsidRPr="00C85043">
        <w:rPr>
          <w:lang w:val="ru-RU"/>
        </w:rPr>
        <w:t xml:space="preserve"> </w:t>
      </w:r>
      <w:r w:rsidR="0063033D" w:rsidRPr="0063033D">
        <w:t>I</w:t>
      </w:r>
      <w:r w:rsidR="006C404A" w:rsidRPr="00C85043">
        <w:rPr>
          <w:lang w:val="ru-RU"/>
        </w:rPr>
        <w:t xml:space="preserve">     </w:t>
      </w:r>
      <w:r w:rsidR="00815ABB" w:rsidRPr="00C85043">
        <w:rPr>
          <w:lang w:val="ru-RU"/>
        </w:rPr>
        <w:br/>
      </w:r>
      <w:r w:rsidR="00815ABB" w:rsidRPr="00C85043">
        <w:rPr>
          <w:lang w:val="ru-RU"/>
        </w:rPr>
        <w:br/>
      </w:r>
      <w:r>
        <w:rPr>
          <w:lang w:val="ru-RU"/>
        </w:rPr>
        <w:t>ОЦЕНКА РЕЗУЛЬТАТИВНОСТИ В РАЗБИВКЕ ПО ПРОГРАММАМ</w:t>
      </w:r>
      <w:bookmarkEnd w:id="140"/>
    </w:p>
    <w:p w:rsidR="002E3A73" w:rsidRPr="00C85043" w:rsidRDefault="002E3A73" w:rsidP="002732EA">
      <w:pPr>
        <w:jc w:val="center"/>
        <w:rPr>
          <w:lang w:val="ru-RU"/>
        </w:rPr>
      </w:pPr>
    </w:p>
    <w:p w:rsidR="002E3A73" w:rsidRPr="00C85043" w:rsidRDefault="002E3A73" w:rsidP="002732EA">
      <w:pPr>
        <w:jc w:val="center"/>
        <w:rPr>
          <w:lang w:val="ru-RU"/>
        </w:rPr>
      </w:pPr>
    </w:p>
    <w:p w:rsidR="00C85043" w:rsidRPr="00C85043" w:rsidRDefault="00C85043" w:rsidP="00C85043">
      <w:pPr>
        <w:jc w:val="both"/>
        <w:rPr>
          <w:lang w:val="ru-RU"/>
        </w:rPr>
      </w:pPr>
      <w:r w:rsidRPr="00C85043">
        <w:rPr>
          <w:lang w:val="ru-RU"/>
        </w:rPr>
        <w:t>Оценка результативности деятельности по отдельным программам в ОРП 2014–2015</w:t>
      </w:r>
      <w:r>
        <w:t> </w:t>
      </w:r>
      <w:r w:rsidRPr="00C85043">
        <w:rPr>
          <w:lang w:val="ru-RU"/>
        </w:rPr>
        <w:t>гг. включает:</w:t>
      </w:r>
    </w:p>
    <w:p w:rsidR="00C85043" w:rsidRPr="00C85043" w:rsidRDefault="00C85043" w:rsidP="00C85043">
      <w:pPr>
        <w:jc w:val="both"/>
        <w:rPr>
          <w:i/>
          <w:iCs/>
          <w:lang w:val="ru-RU"/>
        </w:rPr>
      </w:pPr>
    </w:p>
    <w:p w:rsidR="00C85043" w:rsidRPr="00C85043" w:rsidRDefault="00C85043" w:rsidP="00C85043">
      <w:pPr>
        <w:jc w:val="both"/>
        <w:rPr>
          <w:bCs/>
          <w:i/>
          <w:iCs/>
          <w:szCs w:val="22"/>
          <w:lang w:val="ru-RU"/>
        </w:rPr>
      </w:pPr>
      <w:r w:rsidRPr="00C85043">
        <w:rPr>
          <w:i/>
          <w:lang w:val="ru-RU"/>
        </w:rPr>
        <w:t>Раздел</w:t>
      </w:r>
      <w:r>
        <w:rPr>
          <w:i/>
        </w:rPr>
        <w:t> I</w:t>
      </w:r>
      <w:r w:rsidRPr="00C85043">
        <w:rPr>
          <w:i/>
          <w:lang w:val="ru-RU"/>
        </w:rPr>
        <w:t>: обзор достижений за двухлетний период 2014–2015</w:t>
      </w:r>
      <w:r>
        <w:rPr>
          <w:i/>
        </w:rPr>
        <w:t> </w:t>
      </w:r>
      <w:r w:rsidRPr="00C85043">
        <w:rPr>
          <w:i/>
          <w:lang w:val="ru-RU"/>
        </w:rPr>
        <w:t>гг.</w:t>
      </w:r>
    </w:p>
    <w:p w:rsidR="00C85043" w:rsidRPr="00C85043" w:rsidRDefault="00C85043" w:rsidP="00C85043">
      <w:pPr>
        <w:jc w:val="both"/>
        <w:rPr>
          <w:lang w:val="ru-RU"/>
        </w:rPr>
      </w:pPr>
    </w:p>
    <w:p w:rsidR="00C85043" w:rsidRPr="00C85043" w:rsidRDefault="00C85043" w:rsidP="00C85043">
      <w:pPr>
        <w:jc w:val="both"/>
        <w:rPr>
          <w:lang w:val="ru-RU"/>
        </w:rPr>
      </w:pPr>
      <w:r w:rsidRPr="00C85043">
        <w:rPr>
          <w:lang w:val="ru-RU"/>
        </w:rPr>
        <w:t>В этом разделе содержится краткий анализ результатов, достигнутых в двухлетний период 2014–2015</w:t>
      </w:r>
      <w:r>
        <w:t> </w:t>
      </w:r>
      <w:r w:rsidRPr="00C85043">
        <w:rPr>
          <w:lang w:val="ru-RU"/>
        </w:rPr>
        <w:t>гг. по соответствующей программе, и проблем, возникших в отчетный период.  Как и в 2014</w:t>
      </w:r>
      <w:r>
        <w:t> </w:t>
      </w:r>
      <w:r w:rsidRPr="00C85043">
        <w:rPr>
          <w:lang w:val="ru-RU"/>
        </w:rPr>
        <w:t>г., в Обзор достижений за двухлетний период 2014–2015</w:t>
      </w:r>
      <w:r>
        <w:t> </w:t>
      </w:r>
      <w:r w:rsidRPr="00C85043">
        <w:rPr>
          <w:lang w:val="ru-RU"/>
        </w:rPr>
        <w:t>гг. была включена и интегрирована оценка реализации Повестки дня в области развития (ПДР).  В соответствии с Бюджетным процессом, применяемым к проектам, предложенным Комитетом по развитию и интеллектуальной собственности (КРИС), и в целях реализации рекомендаций Повестки дня в области развития (ПДР), одобренных Ассамблеями ВОИС в 2010</w:t>
      </w:r>
      <w:r>
        <w:t> </w:t>
      </w:r>
      <w:r w:rsidRPr="00C85043">
        <w:rPr>
          <w:lang w:val="ru-RU"/>
        </w:rPr>
        <w:t>г.</w:t>
      </w:r>
      <w:r>
        <w:rPr>
          <w:rStyle w:val="FootnoteReference"/>
        </w:rPr>
        <w:footnoteReference w:id="149"/>
      </w:r>
      <w:r w:rsidRPr="00C85043">
        <w:rPr>
          <w:lang w:val="ru-RU"/>
        </w:rPr>
        <w:t>, отчетность по ПДР по-прежнему содержит подробные отчеты о реализации как проектов ПДР, так и рекомендаций ПДР.</w:t>
      </w:r>
    </w:p>
    <w:p w:rsidR="00C85043" w:rsidRPr="00C85043" w:rsidRDefault="00C85043" w:rsidP="00C85043">
      <w:pPr>
        <w:jc w:val="both"/>
        <w:rPr>
          <w:lang w:val="ru-RU"/>
        </w:rPr>
      </w:pPr>
    </w:p>
    <w:p w:rsidR="00C85043" w:rsidRPr="00C85043" w:rsidRDefault="00C85043" w:rsidP="00C85043">
      <w:pPr>
        <w:autoSpaceDE w:val="0"/>
        <w:autoSpaceDN w:val="0"/>
        <w:adjustRightInd w:val="0"/>
        <w:jc w:val="both"/>
        <w:rPr>
          <w:i/>
          <w:iCs/>
          <w:lang w:val="ru-RU"/>
        </w:rPr>
      </w:pPr>
      <w:r w:rsidRPr="00C85043">
        <w:rPr>
          <w:i/>
          <w:lang w:val="ru-RU"/>
        </w:rPr>
        <w:t>Раздел</w:t>
      </w:r>
      <w:r>
        <w:rPr>
          <w:i/>
        </w:rPr>
        <w:t> II</w:t>
      </w:r>
      <w:r w:rsidRPr="00C85043">
        <w:rPr>
          <w:i/>
          <w:lang w:val="ru-RU"/>
        </w:rPr>
        <w:t>:  данные о результативности</w:t>
      </w:r>
    </w:p>
    <w:p w:rsidR="00C85043" w:rsidRPr="00C85043" w:rsidRDefault="00C85043" w:rsidP="00C85043">
      <w:pPr>
        <w:jc w:val="both"/>
        <w:rPr>
          <w:lang w:val="ru-RU"/>
        </w:rPr>
      </w:pPr>
    </w:p>
    <w:p w:rsidR="00C85043" w:rsidRPr="00C85043" w:rsidRDefault="00C85043" w:rsidP="00C85043">
      <w:pPr>
        <w:jc w:val="both"/>
        <w:rPr>
          <w:lang w:val="ru-RU"/>
        </w:rPr>
      </w:pPr>
      <w:r w:rsidRPr="00C85043">
        <w:rPr>
          <w:lang w:val="ru-RU"/>
        </w:rPr>
        <w:t>В таблице этого раздела приводятся ожидаемые результаты, достижению которых способствует программа, и показатели результативности работы, которые характеризуют вклад программы в достижение результатов и которые были одобрены государствами-членами в Программе и бюджете на 2014–2015</w:t>
      </w:r>
      <w:r>
        <w:t> </w:t>
      </w:r>
      <w:r w:rsidRPr="00C85043">
        <w:rPr>
          <w:lang w:val="ru-RU"/>
        </w:rPr>
        <w:t>гг.  Базовые показатели были соответствующим образом обновлены и отражают положение дел по состоянию на конец 2013</w:t>
      </w:r>
      <w:r>
        <w:t> </w:t>
      </w:r>
      <w:r w:rsidRPr="00C85043">
        <w:rPr>
          <w:lang w:val="ru-RU"/>
        </w:rPr>
        <w:t>г. Таблицы с данными о результативности по-прежнему содержат как исходные базовые показатели (которые приводятся в Программе и бюджете на 2014–2015</w:t>
      </w:r>
      <w:r>
        <w:t> </w:t>
      </w:r>
      <w:r w:rsidRPr="00C85043">
        <w:rPr>
          <w:lang w:val="ru-RU"/>
        </w:rPr>
        <w:t>гг.), обновленные базовые показатели (на конец 2013</w:t>
      </w:r>
      <w:r>
        <w:t> </w:t>
      </w:r>
      <w:r w:rsidRPr="00C85043">
        <w:rPr>
          <w:lang w:val="ru-RU"/>
        </w:rPr>
        <w:t>г.), так и целевые показатели (которые приводятся в Программе и бюджете на 2014–2015</w:t>
      </w:r>
      <w:r>
        <w:t> </w:t>
      </w:r>
      <w:r w:rsidRPr="00C85043">
        <w:rPr>
          <w:lang w:val="ru-RU"/>
        </w:rPr>
        <w:t>гг.) в целях обеспечения сравнимости данных по результативности и оценок. В соответствии с запросами государств-членов таблицы были обновлены в 2014–2015</w:t>
      </w:r>
      <w:r>
        <w:t> </w:t>
      </w:r>
      <w:r w:rsidRPr="00C85043">
        <w:rPr>
          <w:lang w:val="ru-RU"/>
        </w:rPr>
        <w:t>гг. Появилась возможность в рамках программ определить целевые показатели, которые не были определены в Программе и бюджете на 2014–2015</w:t>
      </w:r>
      <w:r>
        <w:t> </w:t>
      </w:r>
      <w:r w:rsidRPr="00C85043">
        <w:rPr>
          <w:lang w:val="ru-RU"/>
        </w:rPr>
        <w:t>гг., то есть те целевые показатели, которые были помечены как «будут определены позднее», в ходе обновления базовых показателей (которое началось в июле 2014</w:t>
      </w:r>
      <w:r>
        <w:t> </w:t>
      </w:r>
      <w:r w:rsidRPr="00C85043">
        <w:rPr>
          <w:lang w:val="ru-RU"/>
        </w:rPr>
        <w:t>г.) на основе данных на конец 2013</w:t>
      </w:r>
      <w:r>
        <w:t> </w:t>
      </w:r>
      <w:r w:rsidRPr="00C85043">
        <w:rPr>
          <w:lang w:val="ru-RU"/>
        </w:rPr>
        <w:t>г.  Те целевые показатели, которые не были установлены в ходе этого процесса, остались неустановленными, а данные о результативности, следовательно, помечены как «не подлежащие оценке».  Данные о результативности за 2014–2015</w:t>
      </w:r>
      <w:r>
        <w:t> </w:t>
      </w:r>
      <w:r w:rsidRPr="00C85043">
        <w:rPr>
          <w:lang w:val="ru-RU"/>
        </w:rPr>
        <w:t>гг. применительно к каждому показателю представлены в четвертом столбце.  Как правило, в тех случаях, когда данные о результативности представлены в качестве изменений долей (увеличение или снижение), если не указано иное, изменение доли определяется сравнением с предыдущим годом, т.е. речь идет об изменении доли в 2014</w:t>
      </w:r>
      <w:r>
        <w:t> </w:t>
      </w:r>
      <w:r w:rsidRPr="00C85043">
        <w:rPr>
          <w:lang w:val="ru-RU"/>
        </w:rPr>
        <w:t>г. по сравнению с 2013</w:t>
      </w:r>
      <w:r>
        <w:t> </w:t>
      </w:r>
      <w:r w:rsidRPr="00C85043">
        <w:rPr>
          <w:lang w:val="ru-RU"/>
        </w:rPr>
        <w:t>г. и изменении доли в 2015</w:t>
      </w:r>
      <w:r>
        <w:t> </w:t>
      </w:r>
      <w:r w:rsidRPr="00C85043">
        <w:rPr>
          <w:lang w:val="ru-RU"/>
        </w:rPr>
        <w:t>г. по сравнению с 2014</w:t>
      </w:r>
      <w:r>
        <w:t> </w:t>
      </w:r>
      <w:r w:rsidRPr="00C85043">
        <w:rPr>
          <w:lang w:val="ru-RU"/>
        </w:rPr>
        <w:t xml:space="preserve">г.  В пятом столбце дается оценка результативности с использованием Сигнальной системы.  </w:t>
      </w:r>
    </w:p>
    <w:p w:rsidR="00C85043" w:rsidRPr="00C85043" w:rsidRDefault="00C85043" w:rsidP="00C85043">
      <w:pPr>
        <w:jc w:val="both"/>
        <w:rPr>
          <w:lang w:val="ru-RU"/>
        </w:rPr>
      </w:pPr>
    </w:p>
    <w:p w:rsidR="00C85043" w:rsidRPr="00C85043" w:rsidRDefault="00C85043" w:rsidP="00C85043">
      <w:pPr>
        <w:autoSpaceDE w:val="0"/>
        <w:autoSpaceDN w:val="0"/>
        <w:adjustRightInd w:val="0"/>
        <w:jc w:val="both"/>
        <w:rPr>
          <w:i/>
          <w:iCs/>
          <w:lang w:val="ru-RU"/>
        </w:rPr>
      </w:pPr>
      <w:r w:rsidRPr="00C85043">
        <w:rPr>
          <w:i/>
          <w:lang w:val="ru-RU"/>
        </w:rPr>
        <w:t>Раздел</w:t>
      </w:r>
      <w:r>
        <w:rPr>
          <w:i/>
        </w:rPr>
        <w:t> III</w:t>
      </w:r>
      <w:r w:rsidRPr="00C85043">
        <w:rPr>
          <w:i/>
          <w:lang w:val="ru-RU"/>
        </w:rPr>
        <w:t>:  отчет о рисках в двухлетний период</w:t>
      </w:r>
    </w:p>
    <w:p w:rsidR="00C85043" w:rsidRPr="00C85043" w:rsidRDefault="00C85043" w:rsidP="00C85043">
      <w:pPr>
        <w:autoSpaceDE w:val="0"/>
        <w:autoSpaceDN w:val="0"/>
        <w:adjustRightInd w:val="0"/>
        <w:jc w:val="both"/>
        <w:rPr>
          <w:iCs/>
          <w:lang w:val="ru-RU"/>
        </w:rPr>
      </w:pPr>
    </w:p>
    <w:p w:rsidR="00C85043" w:rsidRPr="00C85043" w:rsidRDefault="00C85043" w:rsidP="00C85043">
      <w:pPr>
        <w:jc w:val="both"/>
        <w:rPr>
          <w:szCs w:val="20"/>
          <w:lang w:val="ru-RU"/>
        </w:rPr>
      </w:pPr>
      <w:r w:rsidRPr="00C85043">
        <w:rPr>
          <w:lang w:val="ru-RU"/>
        </w:rPr>
        <w:t>В рамках стремления ВОИС к укреплению своей системы управления рисками в ОРП 2014–2015</w:t>
      </w:r>
      <w:r>
        <w:t> </w:t>
      </w:r>
      <w:r w:rsidRPr="00C85043">
        <w:rPr>
          <w:lang w:val="ru-RU"/>
        </w:rPr>
        <w:t>гг. впервые включен специальный раздел «Отчет о рисках в двухлетний период».  Представленная в нем таблица содержит четыре колонки.  Первые две колонки («Риск (риски) того, что результаты программы не будут достигнуты» и «Действующие или разрабатываемые планы по снижению рисков») отражают риски и стратегии их снижения согласно Программе и бюджету на 2014–2015</w:t>
      </w:r>
      <w:r>
        <w:t> </w:t>
      </w:r>
      <w:r w:rsidRPr="00C85043">
        <w:rPr>
          <w:lang w:val="ru-RU"/>
        </w:rPr>
        <w:t xml:space="preserve">гг.  В третьей колонке («Оценка риска (рисков) и стратегии его (их) смягчения в двухгодичный период») описано развитие риска в ходе двухлетнего периода, в частности указано, реализовался ли риск, и описано осуществление действующих стратегий или включение новых стратегий снижения этих рисков.  В четвертой колонке («Влияние на реализацию программы») описано воздействие на реализацию программы в ходе двухлетнего периода, обусловленное развитием соответствующего риска и осуществлением стратегии его снижения. </w:t>
      </w:r>
    </w:p>
    <w:p w:rsidR="00C85043" w:rsidRPr="00C85043" w:rsidRDefault="00C85043" w:rsidP="00C85043">
      <w:pPr>
        <w:jc w:val="both"/>
        <w:rPr>
          <w:szCs w:val="20"/>
          <w:lang w:val="ru-RU"/>
        </w:rPr>
      </w:pPr>
    </w:p>
    <w:p w:rsidR="00C85043" w:rsidRPr="00C85043" w:rsidRDefault="00C85043" w:rsidP="00C85043">
      <w:pPr>
        <w:jc w:val="both"/>
        <w:rPr>
          <w:i/>
          <w:iCs/>
          <w:lang w:val="ru-RU"/>
        </w:rPr>
      </w:pPr>
      <w:r w:rsidRPr="00C85043">
        <w:rPr>
          <w:i/>
          <w:lang w:val="ru-RU"/>
        </w:rPr>
        <w:t>Раздел</w:t>
      </w:r>
      <w:r>
        <w:rPr>
          <w:i/>
        </w:rPr>
        <w:t> IV</w:t>
      </w:r>
      <w:r w:rsidRPr="00C85043">
        <w:rPr>
          <w:i/>
          <w:lang w:val="ru-RU"/>
        </w:rPr>
        <w:t>: использование ресурсов за 2014–2015</w:t>
      </w:r>
      <w:r>
        <w:rPr>
          <w:i/>
        </w:rPr>
        <w:t> </w:t>
      </w:r>
      <w:r w:rsidRPr="00C85043">
        <w:rPr>
          <w:i/>
          <w:lang w:val="ru-RU"/>
        </w:rPr>
        <w:t>гг.</w:t>
      </w:r>
    </w:p>
    <w:p w:rsidR="00C85043" w:rsidRPr="00C85043" w:rsidRDefault="00C85043" w:rsidP="00C85043">
      <w:pPr>
        <w:jc w:val="both"/>
        <w:rPr>
          <w:lang w:val="ru-RU"/>
        </w:rPr>
      </w:pPr>
    </w:p>
    <w:p w:rsidR="00C85043" w:rsidRPr="00C85043" w:rsidRDefault="00C85043" w:rsidP="00C85043">
      <w:pPr>
        <w:tabs>
          <w:tab w:val="left" w:pos="851"/>
        </w:tabs>
        <w:jc w:val="both"/>
        <w:rPr>
          <w:rFonts w:cs="Arial"/>
          <w:lang w:val="ru-RU"/>
        </w:rPr>
      </w:pPr>
      <w:r w:rsidRPr="00C85043">
        <w:rPr>
          <w:lang w:val="ru-RU"/>
        </w:rPr>
        <w:t>В заключительном разделе представлены сведения об утвержденном бюджете на 2014–2015</w:t>
      </w:r>
      <w:r>
        <w:t> </w:t>
      </w:r>
      <w:r w:rsidRPr="00C85043">
        <w:rPr>
          <w:lang w:val="ru-RU"/>
        </w:rPr>
        <w:t>гг., итоговом бюджете после перераспределения средств на 2014–2015</w:t>
      </w:r>
      <w:r>
        <w:t> </w:t>
      </w:r>
      <w:r w:rsidRPr="00C85043">
        <w:rPr>
          <w:lang w:val="ru-RU"/>
        </w:rPr>
        <w:t>гг. и освоении бюджетных средств в 2014–2015</w:t>
      </w:r>
      <w:r>
        <w:t> </w:t>
      </w:r>
      <w:r w:rsidRPr="00C85043">
        <w:rPr>
          <w:lang w:val="ru-RU"/>
        </w:rPr>
        <w:t>гг.  Отчетность по этому разделу включает в себя две таблицы. В разделе «Бюджет и фактические расходы» (в разбивке по результатам) приводятся сведения об утвержденном бюджете на 2014–2015</w:t>
      </w:r>
      <w:r>
        <w:t> </w:t>
      </w:r>
      <w:r w:rsidRPr="00C85043">
        <w:rPr>
          <w:lang w:val="ru-RU"/>
        </w:rPr>
        <w:t>гг., итоговом бюджете после распределения средств на 2014–2015</w:t>
      </w:r>
      <w:r>
        <w:t> </w:t>
      </w:r>
      <w:r w:rsidRPr="00C85043">
        <w:rPr>
          <w:lang w:val="ru-RU"/>
        </w:rPr>
        <w:t>гг. и фактических расходах в разбивке по результатам на 2014–2015</w:t>
      </w:r>
      <w:r>
        <w:t> </w:t>
      </w:r>
      <w:r w:rsidRPr="00C85043">
        <w:rPr>
          <w:lang w:val="ru-RU"/>
        </w:rPr>
        <w:t>гг.  В 2014</w:t>
      </w:r>
      <w:r>
        <w:t> </w:t>
      </w:r>
      <w:r w:rsidRPr="00C85043">
        <w:rPr>
          <w:lang w:val="ru-RU"/>
        </w:rPr>
        <w:t xml:space="preserve">г. система планирования </w:t>
      </w:r>
      <w:r>
        <w:t>EPM</w:t>
      </w:r>
      <w:r w:rsidRPr="00C85043">
        <w:rPr>
          <w:lang w:val="ru-RU"/>
        </w:rPr>
        <w:t xml:space="preserve"> была усовершенствована, чтобы содействовать переходу Организации к планированию штатного расписания.  Корректировки результатов, внесенные в программы в бюджете после перераспределения средств на 2014–2015</w:t>
      </w:r>
      <w:r>
        <w:t> </w:t>
      </w:r>
      <w:r w:rsidRPr="00C85043">
        <w:rPr>
          <w:lang w:val="ru-RU"/>
        </w:rPr>
        <w:t xml:space="preserve">гг., отражают эту новую и более точную методологию распределения ресурсов, связанных с персоналом. </w:t>
      </w:r>
    </w:p>
    <w:p w:rsidR="00C85043" w:rsidRPr="00C85043" w:rsidRDefault="00C85043" w:rsidP="00C85043">
      <w:pPr>
        <w:jc w:val="both"/>
        <w:rPr>
          <w:lang w:val="ru-RU"/>
        </w:rPr>
      </w:pPr>
    </w:p>
    <w:p w:rsidR="00C85043" w:rsidRPr="00C85043" w:rsidRDefault="00C85043" w:rsidP="00C85043">
      <w:pPr>
        <w:autoSpaceDE w:val="0"/>
        <w:autoSpaceDN w:val="0"/>
        <w:adjustRightInd w:val="0"/>
        <w:jc w:val="both"/>
        <w:rPr>
          <w:lang w:val="ru-RU"/>
        </w:rPr>
      </w:pPr>
      <w:r w:rsidRPr="00C85043">
        <w:rPr>
          <w:lang w:val="ru-RU"/>
        </w:rPr>
        <w:t>В разделе «Бюджет и фактические расходы» (расходы на персонал и иные расходы) приводятся сведения об утвержденном бюджете на 2014–2015</w:t>
      </w:r>
      <w:r>
        <w:t> </w:t>
      </w:r>
      <w:r w:rsidRPr="00C85043">
        <w:rPr>
          <w:lang w:val="ru-RU"/>
        </w:rPr>
        <w:t>гг., итоговом бюджете после перераспределения средств на 2014–2015</w:t>
      </w:r>
      <w:r>
        <w:t> </w:t>
      </w:r>
      <w:r w:rsidRPr="00C85043">
        <w:rPr>
          <w:lang w:val="ru-RU"/>
        </w:rPr>
        <w:t>гг. и о фактических расходах (на персонал и об иных расходах) в 2014–2015</w:t>
      </w:r>
      <w:r>
        <w:t> </w:t>
      </w:r>
      <w:r w:rsidRPr="00C85043">
        <w:rPr>
          <w:lang w:val="ru-RU"/>
        </w:rPr>
        <w:t>гг.  Объяснены различия между утвержденным бюджетом и итоговым бюджетом после перераспределения средств, а также пояснено освоение бюджетных средств как с точки зрения результата, так и с точки зрения типа расходов (связанных или не связанных персоналом).</w:t>
      </w:r>
    </w:p>
    <w:p w:rsidR="00C85043" w:rsidRPr="00C85043" w:rsidRDefault="00C85043" w:rsidP="00C85043">
      <w:pPr>
        <w:autoSpaceDE w:val="0"/>
        <w:autoSpaceDN w:val="0"/>
        <w:adjustRightInd w:val="0"/>
        <w:jc w:val="both"/>
        <w:rPr>
          <w:lang w:val="ru-RU"/>
        </w:rPr>
      </w:pPr>
    </w:p>
    <w:p w:rsidR="00C85043" w:rsidRPr="00C85043" w:rsidRDefault="00C85043" w:rsidP="00C85043">
      <w:pPr>
        <w:autoSpaceDE w:val="0"/>
        <w:autoSpaceDN w:val="0"/>
        <w:adjustRightInd w:val="0"/>
        <w:jc w:val="both"/>
        <w:rPr>
          <w:lang w:val="ru-RU"/>
        </w:rPr>
      </w:pPr>
    </w:p>
    <w:p w:rsidR="002E3A73" w:rsidRPr="00BF61DC" w:rsidRDefault="00C85043" w:rsidP="00C85043">
      <w:pPr>
        <w:pStyle w:val="Endofdocument-Annex"/>
        <w:rPr>
          <w:sz w:val="20"/>
          <w:lang w:val="ru-RU"/>
        </w:rPr>
      </w:pPr>
      <w:r w:rsidRPr="00BF61DC">
        <w:rPr>
          <w:color w:val="000000"/>
          <w:lang w:val="ru-RU"/>
        </w:rPr>
        <w:t xml:space="preserve">[Дополнение </w:t>
      </w:r>
      <w:r>
        <w:rPr>
          <w:color w:val="000000"/>
        </w:rPr>
        <w:t>II</w:t>
      </w:r>
      <w:r w:rsidRPr="00BF61DC">
        <w:rPr>
          <w:color w:val="000000"/>
          <w:lang w:val="ru-RU"/>
        </w:rPr>
        <w:t xml:space="preserve"> следует]</w:t>
      </w:r>
    </w:p>
    <w:p w:rsidR="002E3A73" w:rsidRPr="00BF61DC" w:rsidRDefault="002E3A73" w:rsidP="008D1891">
      <w:pPr>
        <w:rPr>
          <w:lang w:val="ru-RU"/>
        </w:rPr>
      </w:pPr>
    </w:p>
    <w:p w:rsidR="008F2BDD" w:rsidRPr="00BF61DC" w:rsidRDefault="008F2BDD">
      <w:pPr>
        <w:rPr>
          <w:lang w:val="ru-RU"/>
        </w:rPr>
      </w:pPr>
      <w:r w:rsidRPr="00BF61DC">
        <w:rPr>
          <w:lang w:val="ru-RU"/>
        </w:rPr>
        <w:br w:type="page"/>
      </w:r>
    </w:p>
    <w:p w:rsidR="0063033D" w:rsidRPr="00BF61DC" w:rsidRDefault="0063033D" w:rsidP="008D1891">
      <w:pPr>
        <w:autoSpaceDE w:val="0"/>
        <w:autoSpaceDN w:val="0"/>
        <w:adjustRightInd w:val="0"/>
        <w:jc w:val="right"/>
        <w:rPr>
          <w:rFonts w:eastAsiaTheme="minorHAnsi" w:cs="Arial"/>
          <w:sz w:val="16"/>
          <w:szCs w:val="16"/>
          <w:lang w:val="ru-RU"/>
        </w:rPr>
      </w:pPr>
    </w:p>
    <w:p w:rsidR="00580A3D" w:rsidRPr="0096004B" w:rsidRDefault="00580A3D" w:rsidP="00580A3D">
      <w:pPr>
        <w:pStyle w:val="Heading2"/>
        <w:ind w:left="0" w:firstLine="0"/>
        <w:rPr>
          <w:bCs w:val="0"/>
          <w:szCs w:val="22"/>
          <w:lang w:val="ru-RU" w:eastAsia="zh-CN"/>
        </w:rPr>
      </w:pPr>
      <w:bookmarkStart w:id="141" w:name="_Toc422210521"/>
      <w:bookmarkStart w:id="142" w:name="_Toc455388144"/>
      <w:r w:rsidRPr="0096004B">
        <w:rPr>
          <w:szCs w:val="22"/>
          <w:lang w:val="ru-RU" w:eastAsia="zh-CN"/>
        </w:rPr>
        <w:t xml:space="preserve">ДОПОЛНЕНИЕ II  </w:t>
      </w:r>
      <w:r w:rsidRPr="0096004B">
        <w:rPr>
          <w:szCs w:val="22"/>
          <w:lang w:val="ru-RU" w:eastAsia="zh-CN"/>
        </w:rPr>
        <w:br/>
      </w:r>
      <w:r w:rsidRPr="0096004B">
        <w:rPr>
          <w:szCs w:val="22"/>
          <w:lang w:val="ru-RU" w:eastAsia="zh-CN"/>
        </w:rPr>
        <w:br/>
        <w:t>ИСПОЛЬЗОВАНИЕ ЦЕЛЕВЫХ ФОНДОВ В </w:t>
      </w:r>
      <w:bookmarkEnd w:id="141"/>
      <w:r w:rsidRPr="0096004B">
        <w:rPr>
          <w:szCs w:val="22"/>
          <w:lang w:val="ru-RU" w:eastAsia="zh-CN"/>
        </w:rPr>
        <w:t>2015 Г.</w:t>
      </w:r>
      <w:bookmarkEnd w:id="142"/>
    </w:p>
    <w:p w:rsidR="00580A3D" w:rsidRPr="0096004B" w:rsidRDefault="00580A3D" w:rsidP="00580A3D">
      <w:pPr>
        <w:rPr>
          <w:rFonts w:cs="Arial"/>
          <w:noProof/>
          <w:lang w:val="ru-RU"/>
        </w:rPr>
      </w:pPr>
    </w:p>
    <w:p w:rsidR="00580A3D" w:rsidRPr="00580A3D" w:rsidRDefault="00580A3D" w:rsidP="00580A3D">
      <w:pPr>
        <w:jc w:val="both"/>
        <w:rPr>
          <w:szCs w:val="20"/>
          <w:lang w:val="ru-RU"/>
        </w:rPr>
      </w:pPr>
      <w:r w:rsidRPr="0096004B">
        <w:rPr>
          <w:szCs w:val="20"/>
          <w:lang w:val="ru-RU"/>
        </w:rPr>
        <w:t xml:space="preserve">В настоящем Дополнении приводится обзор мероприятий, </w:t>
      </w:r>
      <w:r>
        <w:rPr>
          <w:szCs w:val="20"/>
          <w:lang w:val="ru-RU"/>
        </w:rPr>
        <w:t>финансируемых</w:t>
      </w:r>
      <w:r w:rsidRPr="0096004B">
        <w:rPr>
          <w:szCs w:val="20"/>
          <w:lang w:val="ru-RU"/>
        </w:rPr>
        <w:t xml:space="preserve"> за счет целевых фондов (ЦФ) ВОИС, подготовленный в интересах более полной интеграции всех мероприятий ВОИС в единую структуру управления, ориентированного на конечный результат, вне зависимости от источника их финансирования.  С другой стороны, настоящий отчет – это ответ на просьбу доноров представить более полный отчет о деятельности всех ЦФ, включающий как информацию по программам, так и финансовую информацию.  В рамках рационализации общего процесса отчетности настоящий отчет о деятельности ЦФ подготовлен как неотъемлемая часть Отчета о реализации программ (ОРП) и содержит обзор мероприятий, реализованных в 2015 г.  Следующий годовой отчет о деятельности ЦФ будет включен в ОРП за 2016 г.  Настоящее Дополнение содержит информацию о ЦФ, перечисленных в приводимой ниже таблице, и не включает информации о ЦФ, используем</w:t>
      </w:r>
      <w:r>
        <w:rPr>
          <w:szCs w:val="20"/>
          <w:lang w:val="ru-RU"/>
        </w:rPr>
        <w:t>ой</w:t>
      </w:r>
      <w:r w:rsidRPr="0096004B">
        <w:rPr>
          <w:szCs w:val="20"/>
          <w:lang w:val="ru-RU"/>
        </w:rPr>
        <w:t xml:space="preserve"> для финансирования должностей младших сотрудников категории специалистов (МСС).</w:t>
      </w:r>
      <w:r w:rsidR="008355F0" w:rsidRPr="00580A3D">
        <w:rPr>
          <w:szCs w:val="20"/>
          <w:lang w:val="ru-RU"/>
        </w:rPr>
        <w:t xml:space="preserve">  </w:t>
      </w:r>
    </w:p>
    <w:p w:rsidR="00580A3D" w:rsidRDefault="00580A3D" w:rsidP="003867F8">
      <w:pPr>
        <w:jc w:val="both"/>
        <w:rPr>
          <w:szCs w:val="20"/>
          <w:lang w:val="ru-RU"/>
        </w:rPr>
      </w:pPr>
    </w:p>
    <w:tbl>
      <w:tblPr>
        <w:tblStyle w:val="TableGrid"/>
        <w:tblW w:w="0" w:type="auto"/>
        <w:tblLook w:val="04A0" w:firstRow="1" w:lastRow="0" w:firstColumn="1" w:lastColumn="0" w:noHBand="0" w:noVBand="1"/>
      </w:tblPr>
      <w:tblGrid>
        <w:gridCol w:w="4785"/>
        <w:gridCol w:w="4786"/>
      </w:tblGrid>
      <w:tr w:rsidR="00580A3D" w:rsidRPr="00580A3D" w:rsidTr="00580A3D">
        <w:tc>
          <w:tcPr>
            <w:tcW w:w="4785" w:type="dxa"/>
            <w:shd w:val="clear" w:color="auto" w:fill="B8CCE4" w:themeFill="accent1" w:themeFillTint="66"/>
          </w:tcPr>
          <w:p w:rsidR="00580A3D" w:rsidRPr="00580A3D" w:rsidRDefault="00580A3D" w:rsidP="00580A3D">
            <w:pPr>
              <w:spacing w:before="120" w:after="120"/>
              <w:jc w:val="center"/>
              <w:rPr>
                <w:b/>
                <w:sz w:val="18"/>
                <w:szCs w:val="18"/>
                <w:lang w:val="ru-RU"/>
              </w:rPr>
            </w:pPr>
            <w:r w:rsidRPr="00580A3D">
              <w:rPr>
                <w:b/>
                <w:sz w:val="18"/>
                <w:szCs w:val="18"/>
                <w:lang w:val="ru-RU"/>
              </w:rPr>
              <w:t>ЦЕЛЕВОЙ ФОНД</w:t>
            </w:r>
          </w:p>
        </w:tc>
        <w:tc>
          <w:tcPr>
            <w:tcW w:w="4786" w:type="dxa"/>
            <w:shd w:val="clear" w:color="auto" w:fill="B8CCE4" w:themeFill="accent1" w:themeFillTint="66"/>
          </w:tcPr>
          <w:p w:rsidR="00580A3D" w:rsidRPr="00580A3D" w:rsidRDefault="00580A3D" w:rsidP="00580A3D">
            <w:pPr>
              <w:spacing w:before="120" w:after="120"/>
              <w:jc w:val="center"/>
              <w:rPr>
                <w:b/>
                <w:sz w:val="18"/>
                <w:szCs w:val="18"/>
                <w:lang w:val="ru-RU"/>
              </w:rPr>
            </w:pPr>
            <w:r w:rsidRPr="00580A3D">
              <w:rPr>
                <w:b/>
                <w:sz w:val="18"/>
                <w:szCs w:val="18"/>
                <w:lang w:val="ru-RU"/>
              </w:rPr>
              <w:t>СЕКТОР, ИСПОЛЬЗУЮЩИЙ СРЕДСТВА ФОНДА</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Австралия</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Канцелярия Генерального директора</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Бразилия</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Канцелярия Генерального директора</w:t>
            </w:r>
          </w:p>
        </w:tc>
      </w:tr>
      <w:tr w:rsidR="00580A3D" w:rsidTr="00975156">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Бразилия – Юг</w:t>
            </w:r>
          </w:p>
        </w:tc>
        <w:tc>
          <w:tcPr>
            <w:tcW w:w="4786" w:type="dxa"/>
            <w:vAlign w:val="center"/>
          </w:tcPr>
          <w:p w:rsidR="00580A3D" w:rsidRPr="0096004B" w:rsidRDefault="00580A3D" w:rsidP="00580A3D">
            <w:pPr>
              <w:spacing w:before="60" w:after="60"/>
              <w:rPr>
                <w:rFonts w:cs="Arial"/>
                <w:sz w:val="18"/>
                <w:szCs w:val="18"/>
                <w:lang w:val="ru-RU"/>
              </w:rPr>
            </w:pPr>
            <w:r w:rsidRPr="0096004B">
              <w:rPr>
                <w:rFonts w:cs="Arial"/>
                <w:sz w:val="18"/>
                <w:szCs w:val="18"/>
                <w:lang w:val="ru-RU"/>
              </w:rPr>
              <w:t>Канцелярия Генерального директора</w:t>
            </w:r>
          </w:p>
        </w:tc>
      </w:tr>
      <w:tr w:rsidR="00580A3D" w:rsidTr="00975156">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Бразилия – ПРООН</w:t>
            </w:r>
          </w:p>
        </w:tc>
        <w:tc>
          <w:tcPr>
            <w:tcW w:w="4786" w:type="dxa"/>
            <w:vAlign w:val="center"/>
          </w:tcPr>
          <w:p w:rsidR="00580A3D" w:rsidRPr="0096004B" w:rsidRDefault="00580A3D" w:rsidP="00580A3D">
            <w:pPr>
              <w:spacing w:before="60" w:after="60"/>
              <w:rPr>
                <w:rFonts w:cs="Arial"/>
                <w:sz w:val="18"/>
                <w:szCs w:val="18"/>
                <w:lang w:val="ru-RU"/>
              </w:rPr>
            </w:pPr>
            <w:r w:rsidRPr="0096004B">
              <w:rPr>
                <w:rFonts w:cs="Arial"/>
                <w:sz w:val="18"/>
                <w:szCs w:val="18"/>
                <w:lang w:val="ru-RU"/>
              </w:rPr>
              <w:t>Канцелярия Генерального директора</w:t>
            </w:r>
          </w:p>
        </w:tc>
      </w:tr>
      <w:tr w:rsidR="00580A3D" w:rsidTr="00975156">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ЕС – Проект для Пакистана</w:t>
            </w:r>
          </w:p>
        </w:tc>
        <w:tc>
          <w:tcPr>
            <w:tcW w:w="4786" w:type="dxa"/>
            <w:vAlign w:val="center"/>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r w:rsidR="00580A3D" w:rsidRPr="005C6AB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Финляндия – Авторское право</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культуры и творческих отраслей</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Франция – ИС</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 xml:space="preserve">Сектор развития  </w:t>
            </w:r>
          </w:p>
        </w:tc>
      </w:tr>
      <w:tr w:rsidR="00580A3D" w:rsidTr="00580A3D">
        <w:tc>
          <w:tcPr>
            <w:tcW w:w="4785" w:type="dxa"/>
          </w:tcPr>
          <w:p w:rsidR="00580A3D" w:rsidRPr="00580A3D" w:rsidRDefault="00580A3D" w:rsidP="00580A3D">
            <w:pPr>
              <w:spacing w:before="60" w:after="60"/>
              <w:rPr>
                <w:sz w:val="18"/>
                <w:szCs w:val="18"/>
                <w:lang w:val="ru-RU"/>
              </w:rPr>
            </w:pPr>
            <w:r w:rsidRPr="00580A3D">
              <w:rPr>
                <w:sz w:val="18"/>
                <w:szCs w:val="18"/>
                <w:lang w:val="ru-RU"/>
              </w:rPr>
              <w:t>Иберолатиноамериканская программа по промышленной собственности</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Италия</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r w:rsidR="00580A3D" w:rsidRPr="005C6AB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Япония – Авторское право</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культуры и творческих отраслей</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 xml:space="preserve">Япония – ИС </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Япония – ИС/Африка</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Республика Корея – Обеспечение уважения ИС</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глобальных вопросов</w:t>
            </w:r>
          </w:p>
        </w:tc>
      </w:tr>
      <w:tr w:rsidR="00580A3D" w:rsidRPr="005C6AB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Республика Корея – Авторское право</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культуры и творческих отраслей</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 xml:space="preserve">Республика Корея – Образование </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 xml:space="preserve">Республика Корея – ИС </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Мексика</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r w:rsidR="00580A3D" w:rsidTr="00580A3D">
        <w:tc>
          <w:tcPr>
            <w:tcW w:w="4785" w:type="dxa"/>
          </w:tcPr>
          <w:p w:rsidR="00580A3D" w:rsidRPr="00580A3D" w:rsidRDefault="00580A3D" w:rsidP="00580A3D">
            <w:pPr>
              <w:spacing w:before="60" w:after="60"/>
              <w:jc w:val="both"/>
              <w:rPr>
                <w:sz w:val="18"/>
                <w:szCs w:val="18"/>
                <w:lang w:val="ru-RU"/>
              </w:rPr>
            </w:pPr>
            <w:r w:rsidRPr="00580A3D">
              <w:rPr>
                <w:sz w:val="18"/>
                <w:szCs w:val="18"/>
                <w:lang w:val="ru-RU"/>
              </w:rPr>
              <w:t>Испания</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r w:rsidR="00580A3D" w:rsidTr="00580A3D">
        <w:tc>
          <w:tcPr>
            <w:tcW w:w="4785" w:type="dxa"/>
          </w:tcPr>
          <w:p w:rsidR="00580A3D" w:rsidRPr="00580A3D" w:rsidRDefault="00580A3D" w:rsidP="00580A3D">
            <w:pPr>
              <w:spacing w:before="60" w:after="60"/>
              <w:jc w:val="both"/>
              <w:rPr>
                <w:sz w:val="18"/>
                <w:szCs w:val="18"/>
                <w:lang w:val="ru-RU"/>
              </w:rPr>
            </w:pPr>
            <w:r>
              <w:rPr>
                <w:sz w:val="18"/>
                <w:szCs w:val="18"/>
                <w:lang w:val="ru-RU"/>
              </w:rPr>
              <w:t>Уругвай</w:t>
            </w:r>
          </w:p>
        </w:tc>
        <w:tc>
          <w:tcPr>
            <w:tcW w:w="4786" w:type="dxa"/>
          </w:tcPr>
          <w:p w:rsidR="00580A3D" w:rsidRPr="0096004B" w:rsidRDefault="00580A3D" w:rsidP="00580A3D">
            <w:pPr>
              <w:spacing w:before="60" w:after="60"/>
              <w:rPr>
                <w:rFonts w:cs="Arial"/>
                <w:sz w:val="18"/>
                <w:szCs w:val="18"/>
                <w:lang w:val="ru-RU"/>
              </w:rPr>
            </w:pPr>
            <w:r w:rsidRPr="0096004B">
              <w:rPr>
                <w:rFonts w:cs="Arial"/>
                <w:sz w:val="18"/>
                <w:szCs w:val="18"/>
                <w:lang w:val="ru-RU"/>
              </w:rPr>
              <w:t>Сектор развития</w:t>
            </w:r>
          </w:p>
        </w:tc>
      </w:tr>
    </w:tbl>
    <w:p w:rsidR="00580A3D" w:rsidRDefault="00580A3D" w:rsidP="003867F8">
      <w:pPr>
        <w:jc w:val="both"/>
        <w:rPr>
          <w:szCs w:val="20"/>
          <w:lang w:val="ru-RU"/>
        </w:rPr>
      </w:pPr>
    </w:p>
    <w:p w:rsidR="00580A3D" w:rsidRDefault="00580A3D" w:rsidP="003867F8">
      <w:pPr>
        <w:jc w:val="both"/>
        <w:rPr>
          <w:szCs w:val="20"/>
          <w:lang w:val="ru-RU"/>
        </w:rPr>
      </w:pPr>
    </w:p>
    <w:p w:rsidR="00580A3D" w:rsidRDefault="00580A3D" w:rsidP="003867F8">
      <w:pPr>
        <w:jc w:val="both"/>
        <w:rPr>
          <w:szCs w:val="20"/>
          <w:lang w:val="ru-RU"/>
        </w:rPr>
      </w:pPr>
    </w:p>
    <w:p w:rsidR="00580A3D" w:rsidRDefault="00580A3D" w:rsidP="003867F8">
      <w:pPr>
        <w:jc w:val="both"/>
        <w:rPr>
          <w:szCs w:val="20"/>
          <w:lang w:val="ru-RU"/>
        </w:rPr>
      </w:pPr>
    </w:p>
    <w:p w:rsidR="00580A3D" w:rsidRDefault="00580A3D" w:rsidP="003867F8">
      <w:pPr>
        <w:jc w:val="both"/>
        <w:rPr>
          <w:szCs w:val="20"/>
          <w:lang w:val="ru-RU"/>
        </w:rPr>
      </w:pPr>
    </w:p>
    <w:p w:rsidR="008355F0" w:rsidRPr="00580A3D" w:rsidRDefault="008355F0" w:rsidP="003867F8">
      <w:pPr>
        <w:jc w:val="both"/>
        <w:rPr>
          <w:szCs w:val="20"/>
          <w:lang w:val="ru-RU"/>
        </w:rPr>
      </w:pPr>
      <w:r w:rsidRPr="00580A3D">
        <w:rPr>
          <w:szCs w:val="20"/>
          <w:lang w:val="ru-RU"/>
        </w:rPr>
        <w:t xml:space="preserve"> </w:t>
      </w:r>
    </w:p>
    <w:p w:rsidR="008355F0" w:rsidRPr="00580A3D" w:rsidRDefault="008355F0">
      <w:pPr>
        <w:spacing w:after="200" w:line="276" w:lineRule="auto"/>
        <w:rPr>
          <w:rFonts w:cs="Arial"/>
          <w:b/>
          <w:szCs w:val="20"/>
          <w:lang w:val="ru-RU"/>
        </w:rPr>
      </w:pPr>
      <w:r w:rsidRPr="00580A3D">
        <w:rPr>
          <w:rFonts w:cs="Arial"/>
          <w:b/>
          <w:szCs w:val="20"/>
          <w:lang w:val="ru-RU"/>
        </w:rPr>
        <w:br w:type="page"/>
      </w:r>
    </w:p>
    <w:p w:rsidR="00580A3D" w:rsidRPr="0096004B" w:rsidRDefault="00580A3D" w:rsidP="00580A3D">
      <w:pPr>
        <w:rPr>
          <w:rFonts w:cs="Arial"/>
          <w:b/>
          <w:szCs w:val="20"/>
          <w:lang w:val="ru-RU"/>
        </w:rPr>
      </w:pPr>
      <w:r w:rsidRPr="0096004B">
        <w:rPr>
          <w:rFonts w:cs="Arial"/>
          <w:b/>
          <w:bCs/>
          <w:szCs w:val="20"/>
          <w:lang w:val="ru-RU"/>
        </w:rPr>
        <w:t>АВСТРАЛИЯ</w:t>
      </w:r>
    </w:p>
    <w:p w:rsidR="00580A3D" w:rsidRPr="0096004B" w:rsidRDefault="00580A3D" w:rsidP="00580A3D">
      <w:pPr>
        <w:rPr>
          <w:rFonts w:cs="Arial"/>
          <w:b/>
          <w:szCs w:val="20"/>
          <w:lang w:val="ru-RU"/>
        </w:rPr>
      </w:pPr>
    </w:p>
    <w:tbl>
      <w:tblPr>
        <w:tblW w:w="9781"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42"/>
        <w:gridCol w:w="1417"/>
        <w:gridCol w:w="284"/>
        <w:gridCol w:w="130"/>
        <w:gridCol w:w="12"/>
        <w:gridCol w:w="4819"/>
      </w:tblGrid>
      <w:tr w:rsidR="00580A3D" w:rsidRPr="005C6ABD" w:rsidTr="00975156">
        <w:trPr>
          <w:cantSplit/>
        </w:trPr>
        <w:tc>
          <w:tcPr>
            <w:tcW w:w="9781" w:type="dxa"/>
            <w:gridSpan w:val="8"/>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eastAsia="MS Mincho" w:cs="Arial"/>
                <w:bCs/>
                <w:color w:val="000000"/>
                <w:sz w:val="16"/>
                <w:szCs w:val="16"/>
                <w:lang w:val="ru-RU" w:eastAsia="ja-JP" w:bidi="th-TH"/>
              </w:rPr>
              <w:t>II.1. Более широкое использование возможностей PCT для подачи международных патентных заявок</w:t>
            </w:r>
          </w:p>
        </w:tc>
      </w:tr>
      <w:tr w:rsidR="00580A3D" w:rsidRPr="0096004B" w:rsidTr="00975156">
        <w:trPr>
          <w:cantSplit/>
        </w:trPr>
        <w:tc>
          <w:tcPr>
            <w:tcW w:w="184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276" w:type="dxa"/>
            <w:gridSpan w:val="2"/>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843" w:type="dxa"/>
            <w:gridSpan w:val="4"/>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000000"/>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49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sz w:val="16"/>
                <w:szCs w:val="16"/>
                <w:lang w:val="ru-RU"/>
              </w:rPr>
              <w:t>Выездные семинары по PCT для университетов</w:t>
            </w:r>
          </w:p>
        </w:tc>
        <w:tc>
          <w:tcPr>
            <w:tcW w:w="1276" w:type="dxa"/>
            <w:gridSpan w:val="2"/>
          </w:tcPr>
          <w:p w:rsidR="00580A3D" w:rsidRPr="0096004B" w:rsidRDefault="00580A3D" w:rsidP="00975156">
            <w:pPr>
              <w:autoSpaceDE w:val="0"/>
              <w:autoSpaceDN w:val="0"/>
              <w:adjustRightInd w:val="0"/>
              <w:spacing w:before="60" w:after="60"/>
              <w:rPr>
                <w:sz w:val="16"/>
                <w:szCs w:val="16"/>
                <w:lang w:val="ru-RU"/>
              </w:rPr>
            </w:pPr>
            <w:r w:rsidRPr="0096004B">
              <w:rPr>
                <w:sz w:val="16"/>
                <w:szCs w:val="16"/>
                <w:lang w:val="ru-RU"/>
              </w:rPr>
              <w:t>25–26 марта 2015 г.</w:t>
            </w:r>
          </w:p>
        </w:tc>
        <w:tc>
          <w:tcPr>
            <w:tcW w:w="1843" w:type="dxa"/>
            <w:gridSpan w:val="4"/>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sz w:val="16"/>
                <w:szCs w:val="16"/>
                <w:lang w:val="ru-RU"/>
              </w:rPr>
              <w:t>Южная Африка / 52 участника</w:t>
            </w:r>
          </w:p>
        </w:tc>
        <w:tc>
          <w:tcPr>
            <w:tcW w:w="4819"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Семинары информируют участников о том, как можно использовать PCT и международную патентную систему в целом для передачи знаний с примерам</w:t>
            </w:r>
            <w:r>
              <w:rPr>
                <w:rFonts w:cs="Arial"/>
                <w:color w:val="000000"/>
                <w:sz w:val="16"/>
                <w:szCs w:val="16"/>
                <w:lang w:val="ru-RU"/>
              </w:rPr>
              <w:t>и</w:t>
            </w:r>
            <w:r w:rsidRPr="0096004B">
              <w:rPr>
                <w:rFonts w:cs="Arial"/>
                <w:color w:val="000000"/>
                <w:sz w:val="16"/>
                <w:szCs w:val="16"/>
                <w:lang w:val="ru-RU"/>
              </w:rPr>
              <w:t xml:space="preserve"> из реальной жизни.  </w:t>
            </w:r>
          </w:p>
        </w:tc>
      </w:tr>
      <w:tr w:rsidR="00580A3D" w:rsidRPr="005C6ABD" w:rsidTr="00975156">
        <w:trPr>
          <w:cantSplit/>
          <w:trHeight w:val="49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Тренинги по PCT и ePCT для стран АСЕАН</w:t>
            </w:r>
          </w:p>
        </w:tc>
        <w:tc>
          <w:tcPr>
            <w:tcW w:w="1276"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24–25 марта 2015 г.</w:t>
            </w:r>
          </w:p>
        </w:tc>
        <w:tc>
          <w:tcPr>
            <w:tcW w:w="1843" w:type="dxa"/>
            <w:gridSpan w:val="4"/>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Сингапур / 18 участников из Брунея-Даруссалама, Камбоджи, Индонезии, Лаосской Народно-Демократической Республики, Малайзии, Мьянмы, Филиппин, Таиланда, Вьетнама  </w:t>
            </w:r>
          </w:p>
        </w:tc>
        <w:tc>
          <w:tcPr>
            <w:tcW w:w="4819"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Тренинги были призваны обеспечить основные функции и процедуры по PCT и ePCT для применения в соответствующих ведомствах.  Они также предоставили участникам полезную возможность обменяться своим опытом.  Кроме того, этот субрегиональный практикум позволил изучить актуальные темы, связанные с PCT, в частности, ePCT.</w:t>
            </w:r>
          </w:p>
        </w:tc>
      </w:tr>
      <w:tr w:rsidR="00580A3D" w:rsidRPr="005C6ABD" w:rsidTr="00975156">
        <w:trPr>
          <w:cantSplit/>
        </w:trPr>
        <w:tc>
          <w:tcPr>
            <w:tcW w:w="9781" w:type="dxa"/>
            <w:gridSpan w:val="8"/>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tabs>
                <w:tab w:val="left" w:pos="1740"/>
              </w:tabs>
              <w:spacing w:before="120" w:after="120"/>
              <w:ind w:left="1741" w:hanging="1741"/>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III.1. Национальные стратегии и планы в области инноваций и ИС, согласующиеся с целями национального развития</w:t>
            </w:r>
          </w:p>
        </w:tc>
      </w:tr>
      <w:tr w:rsidR="00580A3D" w:rsidRPr="0096004B" w:rsidTr="00975156">
        <w:trPr>
          <w:cantSplit/>
        </w:trPr>
        <w:tc>
          <w:tcPr>
            <w:tcW w:w="184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276" w:type="dxa"/>
            <w:gridSpan w:val="2"/>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843" w:type="dxa"/>
            <w:gridSpan w:val="4"/>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000000"/>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473"/>
        </w:trPr>
        <w:tc>
          <w:tcPr>
            <w:tcW w:w="1843"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Национальная консультация по проекту Национальной стратегии в области ИС </w:t>
            </w:r>
          </w:p>
        </w:tc>
        <w:tc>
          <w:tcPr>
            <w:tcW w:w="1276" w:type="dxa"/>
            <w:gridSpan w:val="2"/>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9–10 апреля 2015 г.</w:t>
            </w:r>
          </w:p>
        </w:tc>
        <w:tc>
          <w:tcPr>
            <w:tcW w:w="1831" w:type="dxa"/>
            <w:gridSpan w:val="3"/>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Острова Кука</w:t>
            </w:r>
          </w:p>
        </w:tc>
        <w:tc>
          <w:tcPr>
            <w:tcW w:w="4831" w:type="dxa"/>
            <w:gridSpan w:val="2"/>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Встреча с основными заинтересованными сторонами для представления и детального обсуждения проекта Национальной стратегии в области ИС.  По итогам обсуждения пересмотренная стратегия была представлена на утверждение правительства.</w:t>
            </w:r>
          </w:p>
        </w:tc>
      </w:tr>
      <w:tr w:rsidR="00580A3D" w:rsidRPr="005C6ABD" w:rsidTr="00975156">
        <w:trPr>
          <w:cantSplit/>
          <w:trHeight w:val="473"/>
        </w:trPr>
        <w:tc>
          <w:tcPr>
            <w:tcW w:w="1843"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Национальная консультация по проекту Национальной стратегии в области ИС </w:t>
            </w:r>
          </w:p>
        </w:tc>
        <w:tc>
          <w:tcPr>
            <w:tcW w:w="1276"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14–16 апреля 2015 г.</w:t>
            </w:r>
          </w:p>
        </w:tc>
        <w:tc>
          <w:tcPr>
            <w:tcW w:w="1831" w:type="dxa"/>
            <w:gridSpan w:val="3"/>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Соломоновы Острова</w:t>
            </w:r>
          </w:p>
        </w:tc>
        <w:tc>
          <w:tcPr>
            <w:tcW w:w="4831"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Проведение очных консультаций с заинтересованными сторонами внутри страны по текущему проекту Национальной стратегии в области ИС и его окончательная доработка перед представлением проекта на утверждение правительства.  </w:t>
            </w:r>
          </w:p>
        </w:tc>
      </w:tr>
      <w:tr w:rsidR="00580A3D" w:rsidRPr="005C6ABD" w:rsidTr="00975156">
        <w:trPr>
          <w:cantSplit/>
          <w:trHeight w:val="473"/>
        </w:trPr>
        <w:tc>
          <w:tcPr>
            <w:tcW w:w="1843"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Национальное консультативное совещание по разработке Национальной стратегии в области ИС </w:t>
            </w:r>
          </w:p>
        </w:tc>
        <w:tc>
          <w:tcPr>
            <w:tcW w:w="1276" w:type="dxa"/>
            <w:gridSpan w:val="2"/>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13 февраля 2015 г.</w:t>
            </w:r>
          </w:p>
        </w:tc>
        <w:tc>
          <w:tcPr>
            <w:tcW w:w="1831" w:type="dxa"/>
            <w:gridSpan w:val="3"/>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Мьянма</w:t>
            </w:r>
          </w:p>
        </w:tc>
        <w:tc>
          <w:tcPr>
            <w:tcW w:w="4831" w:type="dxa"/>
            <w:gridSpan w:val="2"/>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Расширение знаний о методике и процедуре разработки и реализации Национальной стратегии в области ИС, обсуждение вопросов экономической политики, на решение которых должна быть направлена стратегия, и ее возможных элементов с учетом существующих общенациональных целей и задач в области развития.  Национальное консультативное совещание позволило начать процесс разработки стратегии, и проектная группа, состоящая из двух международных и одного отечественного консультанта, провела обстоятельное камеральное исследование и исследование исходного состояния и подготовила отчет с предварительными выводами, который в свою очередь послужил основой для дальнейших консультационных совещаний на национальном уровне.</w:t>
            </w:r>
          </w:p>
        </w:tc>
      </w:tr>
      <w:tr w:rsidR="00580A3D" w:rsidRPr="005C6ABD" w:rsidTr="00975156">
        <w:trPr>
          <w:cantSplit/>
          <w:trHeight w:val="315"/>
        </w:trPr>
        <w:tc>
          <w:tcPr>
            <w:tcW w:w="9781" w:type="dxa"/>
            <w:gridSpan w:val="8"/>
            <w:tcBorders>
              <w:top w:val="single" w:sz="4" w:space="0" w:color="auto"/>
              <w:bottom w:val="single" w:sz="4" w:space="0" w:color="000000"/>
            </w:tcBorders>
            <w:shd w:val="clear" w:color="auto" w:fill="C6D9F1" w:themeFill="text2" w:themeFillTint="33"/>
          </w:tcPr>
          <w:p w:rsidR="00580A3D" w:rsidRPr="0096004B" w:rsidRDefault="00580A3D" w:rsidP="00975156">
            <w:pPr>
              <w:keepNext/>
              <w:keepLines/>
              <w:tabs>
                <w:tab w:val="left" w:pos="1740"/>
              </w:tabs>
              <w:spacing w:before="60" w:after="6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cantSplit/>
          <w:trHeight w:val="405"/>
        </w:trPr>
        <w:tc>
          <w:tcPr>
            <w:tcW w:w="184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276" w:type="dxa"/>
            <w:gridSpan w:val="2"/>
            <w:tcBorders>
              <w:top w:val="single" w:sz="4" w:space="0" w:color="000000"/>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1701" w:type="dxa"/>
            <w:gridSpan w:val="2"/>
            <w:tcBorders>
              <w:top w:val="single" w:sz="4" w:space="0" w:color="000000"/>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961" w:type="dxa"/>
            <w:gridSpan w:val="3"/>
            <w:tcBorders>
              <w:top w:val="single" w:sz="4" w:space="0" w:color="000000"/>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1242"/>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Национальный практикум ВОИС / ЦФ Австралии на тему «Составление патентных заявок и использование возможностей патентной системы»</w:t>
            </w:r>
          </w:p>
        </w:tc>
        <w:tc>
          <w:tcPr>
            <w:tcW w:w="1276"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26–29 мая 2015 г.</w:t>
            </w:r>
          </w:p>
        </w:tc>
        <w:tc>
          <w:tcPr>
            <w:tcW w:w="1701"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Индонезия</w:t>
            </w:r>
          </w:p>
        </w:tc>
        <w:tc>
          <w:tcPr>
            <w:tcW w:w="4961" w:type="dxa"/>
            <w:gridSpan w:val="3"/>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 результате тренинга специалисты получили:  углубленное понимание возможностей применения патентной системы как элемента стратегии коммерциализации активов ИС;  навыков для оказания помощи патентным поверенным в составлении патентных формул изобретений в области конкретных технологий;  углубленное понимание преимуществ подачи патентных заявок по процедуре PCT.</w:t>
            </w:r>
          </w:p>
        </w:tc>
      </w:tr>
      <w:tr w:rsidR="00580A3D" w:rsidRPr="005C6ABD" w:rsidTr="00975156">
        <w:trPr>
          <w:cantSplit/>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Продвинутая программа обучения ВОИС / ЦФ Австралии «Эффективные методы лицензирования технологий (STL)» </w:t>
            </w:r>
          </w:p>
        </w:tc>
        <w:tc>
          <w:tcPr>
            <w:tcW w:w="1276"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9–12 июня 2015 г.</w:t>
            </w:r>
          </w:p>
        </w:tc>
        <w:tc>
          <w:tcPr>
            <w:tcW w:w="1701"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Индонезия</w:t>
            </w:r>
          </w:p>
        </w:tc>
        <w:tc>
          <w:tcPr>
            <w:tcW w:w="4961" w:type="dxa"/>
            <w:gridSpan w:val="3"/>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Участники получили более глубокие знания о лицензировании прав ИС, позволяющие им принимать реальное участие в переговорах по вопросам лицензирования и подготавливать первоначальные проекты лицензионных соглашений.  </w:t>
            </w:r>
          </w:p>
        </w:tc>
      </w:tr>
      <w:tr w:rsidR="00580A3D" w:rsidRPr="005C6ABD" w:rsidTr="00975156">
        <w:trPr>
          <w:cantSplit/>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Продвинутая программа обучения ВОИС / ЦФ Австралии «Маркетинг и оценка стоимости ИС»</w:t>
            </w:r>
          </w:p>
        </w:tc>
        <w:tc>
          <w:tcPr>
            <w:tcW w:w="1276"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15–18 июня 2015 г.</w:t>
            </w:r>
          </w:p>
        </w:tc>
        <w:tc>
          <w:tcPr>
            <w:tcW w:w="1701"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Филиппины</w:t>
            </w:r>
          </w:p>
        </w:tc>
        <w:tc>
          <w:tcPr>
            <w:tcW w:w="4961" w:type="dxa"/>
            <w:gridSpan w:val="3"/>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Участники получили углубленное понимание взаимосвязей между маркетингом и оценкой стоимости прав ИС и умение выявлять потенциальные рынки сбыта для знаний и технологий, разработанных в их научно-исследовательских учреждениях.  Они получили общие навыки определения стоимости объектов интеллектуальной собственности, являющихся предметом переговоров о лицензировании.</w:t>
            </w:r>
          </w:p>
        </w:tc>
      </w:tr>
      <w:tr w:rsidR="00580A3D" w:rsidRPr="005C6ABD" w:rsidTr="00975156">
        <w:trPr>
          <w:cantSplit/>
          <w:trHeight w:val="315"/>
        </w:trPr>
        <w:tc>
          <w:tcPr>
            <w:tcW w:w="1843" w:type="dxa"/>
            <w:tcBorders>
              <w:left w:val="single" w:sz="4" w:space="0" w:color="000000"/>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Национальный практикум по авторскому праву и смежным правам</w:t>
            </w:r>
          </w:p>
        </w:tc>
        <w:tc>
          <w:tcPr>
            <w:tcW w:w="1276"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22–24 апреля 2015 г.</w:t>
            </w:r>
          </w:p>
        </w:tc>
        <w:tc>
          <w:tcPr>
            <w:tcW w:w="1701"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Острова Кука</w:t>
            </w:r>
          </w:p>
        </w:tc>
        <w:tc>
          <w:tcPr>
            <w:tcW w:w="4961" w:type="dxa"/>
            <w:gridSpan w:val="3"/>
            <w:tcBorders>
              <w:right w:val="single" w:sz="4" w:space="0" w:color="000000"/>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Это был первый национальный практикум по вопросам авторского права, организованный ВОИС на Островах Кука.  В ходе практикума государственным служащим и другим заинтересованным лицам была предоставлена информация об авторском праве и смежных правах, их культурной и экономической  значимости и о важности создания национальной системы охраны авторских и смежных прав и управления ими.</w:t>
            </w:r>
          </w:p>
        </w:tc>
      </w:tr>
      <w:tr w:rsidR="00580A3D" w:rsidRPr="005C6ABD" w:rsidTr="00975156">
        <w:trPr>
          <w:cantSplit/>
          <w:trHeight w:val="315"/>
        </w:trPr>
        <w:tc>
          <w:tcPr>
            <w:tcW w:w="1843" w:type="dxa"/>
            <w:tcBorders>
              <w:left w:val="single" w:sz="4" w:space="0" w:color="000000"/>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Субрегиональный практикум по вопросам авторского права и развития для сотрудников директивных органов</w:t>
            </w:r>
          </w:p>
        </w:tc>
        <w:tc>
          <w:tcPr>
            <w:tcW w:w="1276" w:type="dxa"/>
            <w:gridSpan w:val="2"/>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19–20 января 2015 г.</w:t>
            </w:r>
          </w:p>
        </w:tc>
        <w:tc>
          <w:tcPr>
            <w:tcW w:w="1701" w:type="dxa"/>
            <w:gridSpan w:val="2"/>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Фиджи, Ниуэ, Папуа – Новая Гвинея, Самоа, Соломоновы Острова, Тонга, Тувалу, Вануату</w:t>
            </w:r>
          </w:p>
        </w:tc>
        <w:tc>
          <w:tcPr>
            <w:tcW w:w="4961" w:type="dxa"/>
            <w:gridSpan w:val="3"/>
            <w:tcBorders>
              <w:right w:val="single" w:sz="4" w:space="0" w:color="000000"/>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Практикум был призван улучшить осознание и понимание роли и значения авторского права в культурном и экономическом развитии среди сотрудников директивных органов стран-участниц и секретариата Форума тихоокеанских островов.</w:t>
            </w:r>
          </w:p>
        </w:tc>
      </w:tr>
      <w:tr w:rsidR="00580A3D" w:rsidRPr="005C6ABD" w:rsidTr="00975156">
        <w:trPr>
          <w:cantSplit/>
          <w:trHeight w:val="315"/>
        </w:trPr>
        <w:tc>
          <w:tcPr>
            <w:tcW w:w="1843" w:type="dxa"/>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Национальный семинар по авторскому праву и смежным правам</w:t>
            </w:r>
          </w:p>
        </w:tc>
        <w:tc>
          <w:tcPr>
            <w:tcW w:w="1276" w:type="dxa"/>
            <w:gridSpan w:val="2"/>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21–22 января 2015 г.</w:t>
            </w:r>
          </w:p>
        </w:tc>
        <w:tc>
          <w:tcPr>
            <w:tcW w:w="1701" w:type="dxa"/>
            <w:gridSpan w:val="2"/>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Вануату</w:t>
            </w:r>
          </w:p>
        </w:tc>
        <w:tc>
          <w:tcPr>
            <w:tcW w:w="4961" w:type="dxa"/>
            <w:gridSpan w:val="3"/>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 xml:space="preserve">На семинаре, проведенном непосредственно после вышеупомянутого мероприятия, государственным служащим и другим отечественными заинтересованным сторонам была предоставлена информация об авторских и смежных правах, в т.ч. о практических аспектах работы системы.  </w:t>
            </w:r>
          </w:p>
        </w:tc>
      </w:tr>
      <w:tr w:rsidR="00580A3D" w:rsidRPr="005C6ABD" w:rsidTr="00975156">
        <w:trPr>
          <w:cantSplit/>
          <w:trHeight w:val="315"/>
        </w:trPr>
        <w:tc>
          <w:tcPr>
            <w:tcW w:w="9781" w:type="dxa"/>
            <w:gridSpan w:val="8"/>
            <w:tcBorders>
              <w:top w:val="single" w:sz="4" w:space="0" w:color="000000"/>
              <w:bottom w:val="single" w:sz="4" w:space="0" w:color="000000"/>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IV.2.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r>
      <w:tr w:rsidR="00580A3D" w:rsidRPr="0096004B" w:rsidTr="00975156">
        <w:trPr>
          <w:cantSplit/>
          <w:trHeight w:val="429"/>
        </w:trPr>
        <w:tc>
          <w:tcPr>
            <w:tcW w:w="1843" w:type="dxa"/>
            <w:tcBorders>
              <w:top w:val="single" w:sz="4" w:space="0" w:color="000000"/>
            </w:tcBorders>
            <w:vAlign w:val="center"/>
          </w:tcPr>
          <w:p w:rsidR="00580A3D" w:rsidRPr="0096004B" w:rsidRDefault="00580A3D" w:rsidP="00975156">
            <w:pPr>
              <w:keepNext/>
              <w:keepLines/>
              <w:spacing w:before="120" w:after="12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Дата</w:t>
            </w:r>
          </w:p>
        </w:tc>
        <w:tc>
          <w:tcPr>
            <w:tcW w:w="1559" w:type="dxa"/>
            <w:gridSpan w:val="2"/>
            <w:tcBorders>
              <w:top w:val="single" w:sz="4" w:space="0" w:color="000000"/>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5245" w:type="dxa"/>
            <w:gridSpan w:val="4"/>
            <w:tcBorders>
              <w:top w:val="single" w:sz="4" w:space="0" w:color="000000"/>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315"/>
        </w:trPr>
        <w:tc>
          <w:tcPr>
            <w:tcW w:w="1843"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Укрепление потен</w:t>
            </w:r>
            <w:r>
              <w:rPr>
                <w:rFonts w:cs="Arial"/>
                <w:color w:val="000000"/>
                <w:sz w:val="16"/>
                <w:szCs w:val="16"/>
                <w:lang w:val="ru-RU"/>
              </w:rPr>
              <w:softHyphen/>
            </w:r>
            <w:r w:rsidRPr="0096004B">
              <w:rPr>
                <w:rFonts w:cs="Arial"/>
                <w:color w:val="000000"/>
                <w:sz w:val="16"/>
                <w:szCs w:val="16"/>
                <w:lang w:val="ru-RU"/>
              </w:rPr>
              <w:t>циала (путем подпи</w:t>
            </w:r>
            <w:r>
              <w:rPr>
                <w:rFonts w:cs="Arial"/>
                <w:color w:val="000000"/>
                <w:sz w:val="16"/>
                <w:szCs w:val="16"/>
                <w:lang w:val="ru-RU"/>
              </w:rPr>
              <w:softHyphen/>
            </w:r>
            <w:r w:rsidRPr="0096004B">
              <w:rPr>
                <w:rFonts w:cs="Arial"/>
                <w:color w:val="000000"/>
                <w:sz w:val="16"/>
                <w:szCs w:val="16"/>
                <w:lang w:val="ru-RU"/>
              </w:rPr>
              <w:t>сания меморандума о взаимопонимании)</w:t>
            </w:r>
          </w:p>
        </w:tc>
        <w:tc>
          <w:tcPr>
            <w:tcW w:w="1134"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Выполня</w:t>
            </w:r>
            <w:r>
              <w:rPr>
                <w:rFonts w:cs="Arial"/>
                <w:color w:val="000000"/>
                <w:sz w:val="16"/>
                <w:szCs w:val="16"/>
                <w:lang w:val="ru-RU"/>
              </w:rPr>
              <w:softHyphen/>
            </w:r>
            <w:r w:rsidRPr="0096004B">
              <w:rPr>
                <w:rFonts w:cs="Arial"/>
                <w:color w:val="000000"/>
                <w:sz w:val="16"/>
                <w:szCs w:val="16"/>
                <w:lang w:val="ru-RU"/>
              </w:rPr>
              <w:t>лось с 2014 г., завершено в мае 2015 г.</w:t>
            </w:r>
          </w:p>
        </w:tc>
        <w:tc>
          <w:tcPr>
            <w:tcW w:w="1559" w:type="dxa"/>
            <w:gridSpan w:val="2"/>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 xml:space="preserve">Бангладеш </w:t>
            </w:r>
          </w:p>
        </w:tc>
        <w:tc>
          <w:tcPr>
            <w:tcW w:w="5245" w:type="dxa"/>
            <w:gridSpan w:val="4"/>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Передача местной организации «Социальное действие молодежи» (YPSA) экспертных знаний и оказание ей финансовой поддержки для проведения мероприятий по укреплению потенциала в Бангладеш.</w:t>
            </w:r>
          </w:p>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Мероприятия включали:  (i) обучение местных государственных и коммерческих издательских организаций, а также местных НПО по вопросам издания книг в доступных форматах;  (ii) издание 162 учебных книг в доступных форматах на бенгальском языке;  и (iii) приобретение 35 устройств на платформе Android для передачи в пользование ученикам и студентам с нарушениями зрения для чтения этих книг.  По оценке, аудитория изданных книг составит 10 тыс. учащихся с нарушениями зрения.</w:t>
            </w:r>
          </w:p>
        </w:tc>
      </w:tr>
      <w:tr w:rsidR="00580A3D" w:rsidRPr="005C6ABD" w:rsidTr="00975156">
        <w:trPr>
          <w:cantSplit/>
          <w:trHeight w:val="315"/>
        </w:trPr>
        <w:tc>
          <w:tcPr>
            <w:tcW w:w="1843"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Укрепление потенциала (путем подписания меморандума о взаимопонимании)</w:t>
            </w:r>
          </w:p>
        </w:tc>
        <w:tc>
          <w:tcPr>
            <w:tcW w:w="1134"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Выполня</w:t>
            </w:r>
            <w:r>
              <w:rPr>
                <w:rFonts w:cs="Arial"/>
                <w:color w:val="000000"/>
                <w:sz w:val="16"/>
                <w:szCs w:val="16"/>
                <w:lang w:val="ru-RU"/>
              </w:rPr>
              <w:softHyphen/>
            </w:r>
            <w:r w:rsidRPr="0096004B">
              <w:rPr>
                <w:rFonts w:cs="Arial"/>
                <w:color w:val="000000"/>
                <w:sz w:val="16"/>
                <w:szCs w:val="16"/>
                <w:lang w:val="ru-RU"/>
              </w:rPr>
              <w:t>лось с 2014 г., завершено в мае 2015 г.</w:t>
            </w:r>
          </w:p>
        </w:tc>
        <w:tc>
          <w:tcPr>
            <w:tcW w:w="1559" w:type="dxa"/>
            <w:gridSpan w:val="2"/>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Шри-Ланка</w:t>
            </w:r>
          </w:p>
        </w:tc>
        <w:tc>
          <w:tcPr>
            <w:tcW w:w="5245" w:type="dxa"/>
            <w:gridSpan w:val="4"/>
          </w:tcPr>
          <w:p w:rsidR="00580A3D" w:rsidRPr="0096004B" w:rsidRDefault="00580A3D" w:rsidP="00975156">
            <w:pPr>
              <w:autoSpaceDE w:val="0"/>
              <w:autoSpaceDN w:val="0"/>
              <w:spacing w:before="60" w:after="60"/>
              <w:rPr>
                <w:color w:val="000000"/>
                <w:sz w:val="16"/>
                <w:szCs w:val="16"/>
                <w:lang w:val="ru-RU"/>
              </w:rPr>
            </w:pPr>
            <w:r w:rsidRPr="0096004B">
              <w:rPr>
                <w:color w:val="000000"/>
                <w:sz w:val="16"/>
                <w:szCs w:val="16"/>
                <w:lang w:val="ru-RU"/>
              </w:rPr>
              <w:t xml:space="preserve">(i) Передача местной организации «Ланкийский фонд DAISY» (DLF) экспертных знаний и оказание ей финансовой поддержки для проведения мероприятий по укреплению потенциала в Шри-Ланке. </w:t>
            </w:r>
          </w:p>
          <w:p w:rsidR="00580A3D" w:rsidRPr="0096004B" w:rsidRDefault="00580A3D" w:rsidP="00975156">
            <w:pPr>
              <w:autoSpaceDE w:val="0"/>
              <w:autoSpaceDN w:val="0"/>
              <w:spacing w:before="60" w:after="60"/>
              <w:rPr>
                <w:sz w:val="16"/>
                <w:szCs w:val="16"/>
                <w:lang w:val="ru-RU"/>
              </w:rPr>
            </w:pPr>
            <w:r w:rsidRPr="0096004B">
              <w:rPr>
                <w:color w:val="000000"/>
                <w:sz w:val="16"/>
                <w:szCs w:val="16"/>
                <w:lang w:val="ru-RU"/>
              </w:rPr>
              <w:t>Мероприятия включали:  (i) обучение местных государственных и коммерческих издательских организаций, а также местных НПО по вопросам издания книг в доступных форматах:  (ii) издание 1069 учебных книг в доступных форматах на сингальском языке;  и (iii) приобретение 80 читающих устройств DAISY для передачи в пользование ученикам и студентам с нарушениями зрения для чтения этих книг.  По оценке, аудитория изданных книг составит 10 тыс. учащихся с нарушениями зрения.</w:t>
            </w:r>
          </w:p>
        </w:tc>
      </w:tr>
      <w:tr w:rsidR="00580A3D" w:rsidRPr="0096004B" w:rsidTr="00975156">
        <w:trPr>
          <w:cantSplit/>
          <w:trHeight w:val="315"/>
        </w:trPr>
        <w:tc>
          <w:tcPr>
            <w:tcW w:w="1843"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Укрепление потенциала (путем подписания меморандума о взаимопонимании)</w:t>
            </w:r>
          </w:p>
        </w:tc>
        <w:tc>
          <w:tcPr>
            <w:tcW w:w="1134"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Выполня</w:t>
            </w:r>
            <w:r>
              <w:rPr>
                <w:rFonts w:cs="Arial"/>
                <w:color w:val="000000"/>
                <w:sz w:val="16"/>
                <w:szCs w:val="16"/>
                <w:lang w:val="ru-RU"/>
              </w:rPr>
              <w:softHyphen/>
            </w:r>
            <w:r w:rsidRPr="0096004B">
              <w:rPr>
                <w:rFonts w:cs="Arial"/>
                <w:color w:val="000000"/>
                <w:sz w:val="16"/>
                <w:szCs w:val="16"/>
                <w:lang w:val="ru-RU"/>
              </w:rPr>
              <w:t>лось с 2014 г., завершено в сентябре 2015 г.</w:t>
            </w:r>
          </w:p>
        </w:tc>
        <w:tc>
          <w:tcPr>
            <w:tcW w:w="1559" w:type="dxa"/>
            <w:gridSpan w:val="2"/>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Шри-Ланка</w:t>
            </w:r>
          </w:p>
        </w:tc>
        <w:tc>
          <w:tcPr>
            <w:tcW w:w="5245" w:type="dxa"/>
            <w:gridSpan w:val="4"/>
          </w:tcPr>
          <w:p w:rsidR="00580A3D" w:rsidRPr="0096004B" w:rsidRDefault="00580A3D" w:rsidP="00975156">
            <w:pPr>
              <w:autoSpaceDE w:val="0"/>
              <w:autoSpaceDN w:val="0"/>
              <w:spacing w:before="60" w:after="60"/>
              <w:rPr>
                <w:sz w:val="16"/>
                <w:szCs w:val="16"/>
                <w:lang w:val="ru-RU"/>
              </w:rPr>
            </w:pPr>
            <w:r w:rsidRPr="0096004B">
              <w:rPr>
                <w:color w:val="000000"/>
                <w:sz w:val="16"/>
                <w:szCs w:val="16"/>
                <w:lang w:val="ru-RU"/>
              </w:rPr>
              <w:t>Разработка высококачественного приложения для компьютерного озвучивания текста на сингальском языке для лиц с нарушениями зрения, что позволит им читать книги в доступных форматах.  Существовавшая в прошлом программа озвучивания текста в речь на сингальском языке выдавала слишком искусственно звучащую речь.  Приложение было разработано на Факультете информационных технологий Университета Коломбо.</w:t>
            </w:r>
          </w:p>
        </w:tc>
      </w:tr>
      <w:tr w:rsidR="00580A3D" w:rsidRPr="005C6ABD" w:rsidTr="00975156">
        <w:trPr>
          <w:cantSplit/>
          <w:trHeight w:val="315"/>
        </w:trPr>
        <w:tc>
          <w:tcPr>
            <w:tcW w:w="1843"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Укрепление потенциала (путем подписания меморандума о взаимопонимании)</w:t>
            </w:r>
          </w:p>
        </w:tc>
        <w:tc>
          <w:tcPr>
            <w:tcW w:w="1134"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Выполня</w:t>
            </w:r>
            <w:r>
              <w:rPr>
                <w:rFonts w:cs="Arial"/>
                <w:color w:val="000000"/>
                <w:sz w:val="16"/>
                <w:szCs w:val="16"/>
                <w:lang w:val="ru-RU"/>
              </w:rPr>
              <w:softHyphen/>
            </w:r>
            <w:r w:rsidRPr="0096004B">
              <w:rPr>
                <w:rFonts w:cs="Arial"/>
                <w:color w:val="000000"/>
                <w:sz w:val="16"/>
                <w:szCs w:val="16"/>
                <w:lang w:val="ru-RU"/>
              </w:rPr>
              <w:t>лось с 2014 г., завершено в мае 2015 г.</w:t>
            </w:r>
          </w:p>
        </w:tc>
        <w:tc>
          <w:tcPr>
            <w:tcW w:w="1559" w:type="dxa"/>
            <w:gridSpan w:val="2"/>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Непал</w:t>
            </w:r>
          </w:p>
        </w:tc>
        <w:tc>
          <w:tcPr>
            <w:tcW w:w="5245" w:type="dxa"/>
            <w:gridSpan w:val="4"/>
          </w:tcPr>
          <w:p w:rsidR="00580A3D" w:rsidRPr="0096004B" w:rsidRDefault="00580A3D" w:rsidP="00975156">
            <w:pPr>
              <w:autoSpaceDE w:val="0"/>
              <w:autoSpaceDN w:val="0"/>
              <w:spacing w:before="60" w:after="60"/>
              <w:rPr>
                <w:color w:val="000000"/>
                <w:sz w:val="16"/>
                <w:szCs w:val="16"/>
                <w:lang w:val="ru-RU"/>
              </w:rPr>
            </w:pPr>
            <w:r w:rsidRPr="0096004B">
              <w:rPr>
                <w:color w:val="000000"/>
                <w:sz w:val="16"/>
                <w:szCs w:val="16"/>
                <w:lang w:val="ru-RU"/>
              </w:rPr>
              <w:t xml:space="preserve">Передача местной организации «За права лиц с ограниченными возможностями и развитие» (ADRAD) экспертных знаний и оказание ей финансовой поддержки для проведения мероприятий по укреплению потенциала в Непале. </w:t>
            </w:r>
          </w:p>
          <w:p w:rsidR="00580A3D" w:rsidRPr="0096004B" w:rsidRDefault="00580A3D" w:rsidP="00975156">
            <w:pPr>
              <w:autoSpaceDE w:val="0"/>
              <w:autoSpaceDN w:val="0"/>
              <w:spacing w:before="60" w:after="60"/>
              <w:rPr>
                <w:color w:val="000000"/>
                <w:sz w:val="16"/>
                <w:szCs w:val="16"/>
                <w:lang w:val="ru-RU"/>
              </w:rPr>
            </w:pPr>
            <w:r w:rsidRPr="0096004B">
              <w:rPr>
                <w:color w:val="000000"/>
                <w:sz w:val="16"/>
                <w:szCs w:val="16"/>
                <w:lang w:val="ru-RU"/>
              </w:rPr>
              <w:t>Мероприятия включали:  (i) обучение местных государственных и коммерческих издательских организаций, а также местных НПО по вопросам издания книг в доступных форматах;  (ii) издание 140 учебных книг в доступных форматах на английском и непальском языках;  и (iii) приобретение 100 устройств на платформе Android для передачи в пользование ученикам и студентам с нарушениями зрения для чтения этих книг.  По оценке, аудитория изданных книг составит 1,5 тыс. учащихся с нарушениями зрения.</w:t>
            </w:r>
          </w:p>
        </w:tc>
      </w:tr>
      <w:tr w:rsidR="00580A3D" w:rsidRPr="005C6ABD" w:rsidTr="00975156">
        <w:trPr>
          <w:cantSplit/>
          <w:trHeight w:val="315"/>
        </w:trPr>
        <w:tc>
          <w:tcPr>
            <w:tcW w:w="1843"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Укрепление потенциала: начальный комплект DAISY</w:t>
            </w:r>
          </w:p>
        </w:tc>
        <w:tc>
          <w:tcPr>
            <w:tcW w:w="1134" w:type="dxa"/>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Выполнялось с 2014 г., завершено в марте 2016 г.</w:t>
            </w:r>
          </w:p>
        </w:tc>
        <w:tc>
          <w:tcPr>
            <w:tcW w:w="1559" w:type="dxa"/>
            <w:gridSpan w:val="2"/>
          </w:tcPr>
          <w:p w:rsidR="00580A3D" w:rsidRPr="0096004B" w:rsidRDefault="00580A3D" w:rsidP="00975156">
            <w:pPr>
              <w:autoSpaceDE w:val="0"/>
              <w:autoSpaceDN w:val="0"/>
              <w:spacing w:before="60" w:after="60"/>
              <w:rPr>
                <w:rFonts w:cs="Arial"/>
                <w:color w:val="000000"/>
                <w:sz w:val="16"/>
                <w:szCs w:val="16"/>
                <w:lang w:val="ru-RU"/>
              </w:rPr>
            </w:pPr>
            <w:r w:rsidRPr="0096004B">
              <w:rPr>
                <w:rFonts w:cs="Arial"/>
                <w:color w:val="000000"/>
                <w:sz w:val="16"/>
                <w:szCs w:val="16"/>
                <w:lang w:val="ru-RU"/>
              </w:rPr>
              <w:t>Индия</w:t>
            </w:r>
          </w:p>
        </w:tc>
        <w:tc>
          <w:tcPr>
            <w:tcW w:w="5245" w:type="dxa"/>
            <w:gridSpan w:val="4"/>
          </w:tcPr>
          <w:p w:rsidR="00580A3D" w:rsidRPr="0096004B" w:rsidRDefault="00580A3D" w:rsidP="00975156">
            <w:pPr>
              <w:autoSpaceDE w:val="0"/>
              <w:autoSpaceDN w:val="0"/>
              <w:spacing w:before="60" w:after="60"/>
              <w:rPr>
                <w:color w:val="000000"/>
                <w:sz w:val="16"/>
                <w:szCs w:val="16"/>
                <w:lang w:val="ru-RU"/>
              </w:rPr>
            </w:pPr>
            <w:r w:rsidRPr="0096004B">
              <w:rPr>
                <w:color w:val="000000"/>
                <w:sz w:val="16"/>
                <w:szCs w:val="16"/>
                <w:lang w:val="ru-RU"/>
              </w:rPr>
              <w:t xml:space="preserve">Предоставление финансирования партнерской организации – </w:t>
            </w:r>
            <w:r w:rsidRPr="0096004B">
              <w:rPr>
                <w:color w:val="000000"/>
                <w:sz w:val="16"/>
                <w:szCs w:val="16"/>
                <w:lang w:val="en-GB"/>
              </w:rPr>
              <w:t>DAISY</w:t>
            </w:r>
            <w:r w:rsidRPr="006D7B9D">
              <w:rPr>
                <w:color w:val="000000"/>
                <w:sz w:val="16"/>
                <w:szCs w:val="16"/>
                <w:lang w:val="ru-RU"/>
              </w:rPr>
              <w:t xml:space="preserve"> </w:t>
            </w:r>
            <w:r w:rsidRPr="0096004B">
              <w:rPr>
                <w:color w:val="000000"/>
                <w:sz w:val="16"/>
                <w:szCs w:val="16"/>
                <w:lang w:val="en-GB"/>
              </w:rPr>
              <w:t>Consortium</w:t>
            </w:r>
            <w:r w:rsidRPr="0096004B">
              <w:rPr>
                <w:color w:val="000000"/>
                <w:sz w:val="16"/>
                <w:szCs w:val="16"/>
                <w:lang w:val="ru-RU"/>
              </w:rPr>
              <w:t xml:space="preserve">, подготовившей начальный комплект руководств и методик по изданию книг в доступных форматах в развивающихся странах.  </w:t>
            </w:r>
          </w:p>
        </w:tc>
      </w:tr>
      <w:tr w:rsidR="00580A3D" w:rsidRPr="005C6ABD" w:rsidTr="00975156">
        <w:trPr>
          <w:cantSplit/>
          <w:trHeight w:val="315"/>
        </w:trPr>
        <w:tc>
          <w:tcPr>
            <w:tcW w:w="9781" w:type="dxa"/>
            <w:gridSpan w:val="8"/>
            <w:tcBorders>
              <w:top w:val="single" w:sz="4" w:space="0" w:color="000000"/>
              <w:bottom w:val="single" w:sz="4" w:space="0" w:color="000000"/>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sz w:val="18"/>
                <w:szCs w:val="18"/>
                <w:lang w:val="ru-RU"/>
              </w:rPr>
            </w:pPr>
            <w:r w:rsidRPr="0096004B">
              <w:rPr>
                <w:rFonts w:cs="Arial"/>
                <w:b/>
                <w:bCs/>
                <w:color w:val="000000"/>
                <w:sz w:val="16"/>
                <w:szCs w:val="16"/>
                <w:lang w:val="ru-RU"/>
              </w:rPr>
              <w:t>РЕЗУЛЬТАТ</w:t>
            </w:r>
            <w:r w:rsidRPr="0096004B">
              <w:rPr>
                <w:rFonts w:cs="Arial"/>
                <w:bCs/>
                <w:color w:val="000000"/>
                <w:sz w:val="16"/>
                <w:szCs w:val="16"/>
                <w:lang w:val="ru-RU"/>
              </w:rPr>
              <w:t>:</w:t>
            </w:r>
            <w:r w:rsidRPr="0096004B">
              <w:rPr>
                <w:rFonts w:cs="Arial"/>
                <w:bCs/>
                <w:color w:val="000000"/>
                <w:sz w:val="16"/>
                <w:szCs w:val="16"/>
                <w:lang w:val="ru-RU"/>
              </w:rPr>
              <w:tab/>
              <w:t>VII.2. Использование платформ и инструментария, основанных на ИС, для целей распространения знаний, а также адаптации и передачи технологии развитыми странами развивающимся странам, особенно наименее развитыми из них, в интересах глобальных задач</w:t>
            </w:r>
          </w:p>
        </w:tc>
      </w:tr>
      <w:tr w:rsidR="00580A3D" w:rsidRPr="0096004B" w:rsidTr="00975156">
        <w:trPr>
          <w:cantSplit/>
          <w:trHeight w:val="487"/>
        </w:trPr>
        <w:tc>
          <w:tcPr>
            <w:tcW w:w="1843" w:type="dxa"/>
            <w:tcBorders>
              <w:top w:val="single" w:sz="4" w:space="0" w:color="000000"/>
            </w:tcBorders>
            <w:vAlign w:val="center"/>
          </w:tcPr>
          <w:p w:rsidR="00580A3D" w:rsidRPr="0096004B" w:rsidRDefault="00580A3D" w:rsidP="00975156">
            <w:pPr>
              <w:keepNext/>
              <w:keepLines/>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vAlign w:val="center"/>
          </w:tcPr>
          <w:p w:rsidR="00580A3D" w:rsidRPr="0096004B" w:rsidRDefault="00580A3D" w:rsidP="00975156">
            <w:pPr>
              <w:keepNext/>
              <w:keepLines/>
              <w:rPr>
                <w:rFonts w:cs="Arial"/>
                <w:sz w:val="16"/>
                <w:szCs w:val="16"/>
                <w:lang w:val="ru-RU"/>
              </w:rPr>
            </w:pPr>
            <w:r w:rsidRPr="0096004B">
              <w:rPr>
                <w:rFonts w:cs="Arial"/>
                <w:b/>
                <w:bCs/>
                <w:sz w:val="16"/>
                <w:szCs w:val="16"/>
                <w:lang w:val="ru-RU"/>
              </w:rPr>
              <w:t>Дата</w:t>
            </w:r>
          </w:p>
        </w:tc>
        <w:tc>
          <w:tcPr>
            <w:tcW w:w="1559" w:type="dxa"/>
            <w:gridSpan w:val="2"/>
            <w:tcBorders>
              <w:top w:val="single" w:sz="4" w:space="0" w:color="000000"/>
            </w:tcBorders>
            <w:vAlign w:val="center"/>
          </w:tcPr>
          <w:p w:rsidR="00580A3D" w:rsidRPr="0096004B" w:rsidRDefault="00580A3D" w:rsidP="00975156">
            <w:pPr>
              <w:keepNext/>
              <w:keepLines/>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5245" w:type="dxa"/>
            <w:gridSpan w:val="4"/>
            <w:tcBorders>
              <w:top w:val="single" w:sz="4" w:space="0" w:color="000000"/>
            </w:tcBorders>
            <w:vAlign w:val="center"/>
          </w:tcPr>
          <w:p w:rsidR="00580A3D" w:rsidRPr="0096004B" w:rsidRDefault="00580A3D" w:rsidP="00975156">
            <w:pPr>
              <w:keepNext/>
              <w:keepLines/>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1362"/>
        </w:trPr>
        <w:tc>
          <w:tcPr>
            <w:tcW w:w="1843" w:type="dxa"/>
          </w:tcPr>
          <w:p w:rsidR="00580A3D" w:rsidRPr="0096004B" w:rsidRDefault="00580A3D" w:rsidP="00975156">
            <w:pPr>
              <w:spacing w:before="120" w:after="120"/>
              <w:rPr>
                <w:rFonts w:cs="Arial"/>
                <w:color w:val="000000"/>
                <w:sz w:val="16"/>
                <w:szCs w:val="16"/>
                <w:lang w:val="ru-RU"/>
              </w:rPr>
            </w:pPr>
            <w:r w:rsidRPr="0096004B">
              <w:rPr>
                <w:rFonts w:cs="Arial"/>
                <w:color w:val="000000"/>
                <w:sz w:val="16"/>
                <w:szCs w:val="16"/>
                <w:lang w:val="ru-RU"/>
              </w:rPr>
              <w:t>Продолжение реализации договоренностей о длительных научных командировках африканских биологов и медиков в научно-исследовательские центры стран других континентов</w:t>
            </w:r>
          </w:p>
        </w:tc>
        <w:tc>
          <w:tcPr>
            <w:tcW w:w="1134" w:type="dxa"/>
          </w:tcPr>
          <w:p w:rsidR="00580A3D" w:rsidRPr="0096004B" w:rsidRDefault="00580A3D" w:rsidP="00975156">
            <w:pPr>
              <w:spacing w:before="120" w:after="120"/>
              <w:rPr>
                <w:rFonts w:cs="Arial"/>
                <w:color w:val="000000"/>
                <w:sz w:val="16"/>
                <w:szCs w:val="16"/>
                <w:lang w:val="ru-RU"/>
              </w:rPr>
            </w:pPr>
            <w:r w:rsidRPr="0096004B">
              <w:rPr>
                <w:rFonts w:cs="Arial"/>
                <w:color w:val="000000"/>
                <w:sz w:val="16"/>
                <w:szCs w:val="16"/>
                <w:lang w:val="ru-RU"/>
              </w:rPr>
              <w:t>Октябрь – декабрь 2015 г.</w:t>
            </w:r>
            <w:r w:rsidRPr="0096004B">
              <w:rPr>
                <w:rStyle w:val="FootnoteReference"/>
                <w:color w:val="000000"/>
                <w:sz w:val="16"/>
                <w:szCs w:val="16"/>
                <w:lang w:val="ru-RU"/>
              </w:rPr>
              <w:footnoteReference w:id="150"/>
            </w:r>
          </w:p>
        </w:tc>
        <w:tc>
          <w:tcPr>
            <w:tcW w:w="1559" w:type="dxa"/>
            <w:gridSpan w:val="2"/>
          </w:tcPr>
          <w:p w:rsidR="00580A3D" w:rsidRPr="0096004B" w:rsidRDefault="00580A3D" w:rsidP="00975156">
            <w:pPr>
              <w:spacing w:before="120" w:after="120" w:line="276" w:lineRule="auto"/>
              <w:rPr>
                <w:rFonts w:cs="Arial"/>
                <w:color w:val="000000"/>
                <w:sz w:val="16"/>
                <w:szCs w:val="16"/>
                <w:lang w:val="ru-RU"/>
              </w:rPr>
            </w:pPr>
            <w:r w:rsidRPr="0096004B">
              <w:rPr>
                <w:rFonts w:cs="Arial"/>
                <w:color w:val="000000"/>
                <w:sz w:val="16"/>
                <w:szCs w:val="16"/>
                <w:lang w:val="ru-RU"/>
              </w:rPr>
              <w:t xml:space="preserve">Калифорнийский университет в Сан-Диего (США) / </w:t>
            </w:r>
            <w:r w:rsidRPr="006D7B9D">
              <w:rPr>
                <w:rFonts w:cs="Arial"/>
                <w:color w:val="000000"/>
                <w:sz w:val="16"/>
                <w:szCs w:val="16"/>
                <w:lang w:val="ru-RU"/>
              </w:rPr>
              <w:br/>
            </w:r>
            <w:r w:rsidRPr="0096004B">
              <w:rPr>
                <w:rFonts w:cs="Arial"/>
                <w:color w:val="000000"/>
                <w:sz w:val="16"/>
                <w:szCs w:val="16"/>
                <w:lang w:val="ru-RU"/>
              </w:rPr>
              <w:t>д-р</w:t>
            </w:r>
            <w:r w:rsidRPr="006D7B9D">
              <w:rPr>
                <w:rFonts w:cs="Arial"/>
                <w:color w:val="000000"/>
                <w:sz w:val="16"/>
                <w:szCs w:val="16"/>
                <w:lang w:val="ru-RU"/>
              </w:rPr>
              <w:t xml:space="preserve"> </w:t>
            </w:r>
            <w:r w:rsidRPr="0096004B">
              <w:rPr>
                <w:rFonts w:cs="Arial"/>
                <w:color w:val="000000"/>
                <w:sz w:val="16"/>
                <w:szCs w:val="16"/>
                <w:lang w:val="ru-RU"/>
              </w:rPr>
              <w:t>Кристиан Агьяре и г-жа Кьере-Дэвис.</w:t>
            </w:r>
          </w:p>
        </w:tc>
        <w:tc>
          <w:tcPr>
            <w:tcW w:w="5245" w:type="dxa"/>
            <w:gridSpan w:val="4"/>
          </w:tcPr>
          <w:p w:rsidR="00580A3D" w:rsidRPr="0096004B" w:rsidRDefault="00580A3D" w:rsidP="00975156">
            <w:pPr>
              <w:spacing w:before="120" w:after="120"/>
              <w:rPr>
                <w:rFonts w:cs="Arial"/>
                <w:color w:val="000000"/>
                <w:sz w:val="16"/>
                <w:szCs w:val="16"/>
                <w:lang w:val="ru-RU"/>
              </w:rPr>
            </w:pPr>
            <w:r w:rsidRPr="0096004B">
              <w:rPr>
                <w:rFonts w:cs="Arial"/>
                <w:color w:val="000000"/>
                <w:sz w:val="16"/>
                <w:szCs w:val="16"/>
                <w:lang w:val="ru-RU"/>
              </w:rPr>
              <w:t>Содействие:  (i) эффективному использованию ИС для решения одной из сложных задач глобального здравоохранения – проблемы остающихся без внимания тропических болезней (ОБВТБ), актуальной для многих НРС;  и (ii) передачи знаний ученым, особенно из НРС.  Разработка специализированных научно-исследовательских программ, позволяющих их участникам повышать свою научную квалификацию и вносить значительный вклад в лечение ОБВТБ в их странах.</w:t>
            </w:r>
          </w:p>
        </w:tc>
      </w:tr>
    </w:tbl>
    <w:p w:rsidR="00580A3D" w:rsidRPr="0096004B" w:rsidRDefault="00580A3D" w:rsidP="00580A3D">
      <w:pPr>
        <w:rPr>
          <w:lang w:val="ru-RU"/>
        </w:rPr>
      </w:pPr>
    </w:p>
    <w:p w:rsidR="00580A3D" w:rsidRPr="0096004B" w:rsidRDefault="00580A3D" w:rsidP="00580A3D">
      <w:pPr>
        <w:rPr>
          <w:rFonts w:cs="Arial"/>
          <w:b/>
          <w:szCs w:val="20"/>
          <w:lang w:val="ru-RU"/>
        </w:rPr>
      </w:pPr>
    </w:p>
    <w:p w:rsidR="00580A3D" w:rsidRDefault="00580A3D">
      <w:pPr>
        <w:rPr>
          <w:rFonts w:cs="Arial"/>
          <w:b/>
          <w:bCs/>
          <w:szCs w:val="16"/>
          <w:lang w:val="ru-RU"/>
        </w:rPr>
      </w:pPr>
      <w:r>
        <w:rPr>
          <w:rFonts w:cs="Arial"/>
          <w:b/>
          <w:bCs/>
          <w:szCs w:val="16"/>
          <w:lang w:val="ru-RU"/>
        </w:rPr>
        <w:br w:type="page"/>
      </w:r>
    </w:p>
    <w:p w:rsidR="00580A3D" w:rsidRPr="0096004B" w:rsidRDefault="00580A3D" w:rsidP="00580A3D">
      <w:pPr>
        <w:rPr>
          <w:rFonts w:cs="Arial"/>
          <w:b/>
          <w:szCs w:val="16"/>
          <w:lang w:val="ru-RU"/>
        </w:rPr>
      </w:pPr>
      <w:r w:rsidRPr="0096004B">
        <w:rPr>
          <w:rFonts w:cs="Arial"/>
          <w:b/>
          <w:bCs/>
          <w:szCs w:val="16"/>
          <w:lang w:val="ru-RU"/>
        </w:rPr>
        <w:t>БРАЗИЛИЯ</w:t>
      </w:r>
    </w:p>
    <w:p w:rsidR="00580A3D" w:rsidRPr="0096004B" w:rsidRDefault="00580A3D" w:rsidP="00580A3D">
      <w:pPr>
        <w:rPr>
          <w:rFonts w:cs="Arial"/>
          <w:b/>
          <w:szCs w:val="16"/>
          <w:lang w:val="ru-RU"/>
        </w:rPr>
      </w:pPr>
    </w:p>
    <w:tbl>
      <w:tblPr>
        <w:tblW w:w="9782"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276"/>
        <w:gridCol w:w="1559"/>
        <w:gridCol w:w="5104"/>
      </w:tblGrid>
      <w:tr w:rsidR="00580A3D" w:rsidRPr="005C6ABD" w:rsidTr="00975156">
        <w:trPr>
          <w:cantSplit/>
          <w:trHeight w:val="315"/>
        </w:trPr>
        <w:tc>
          <w:tcPr>
            <w:tcW w:w="9782" w:type="dxa"/>
            <w:gridSpan w:val="4"/>
            <w:tcBorders>
              <w:top w:val="single" w:sz="4" w:space="0" w:color="000000"/>
              <w:bottom w:val="single" w:sz="4" w:space="0" w:color="000000"/>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cantSplit/>
          <w:trHeight w:val="402"/>
        </w:trPr>
        <w:tc>
          <w:tcPr>
            <w:tcW w:w="1843" w:type="dxa"/>
            <w:tcBorders>
              <w:top w:val="single" w:sz="4" w:space="0" w:color="000000"/>
            </w:tcBorders>
            <w:vAlign w:val="center"/>
          </w:tcPr>
          <w:p w:rsidR="00580A3D" w:rsidRPr="0096004B" w:rsidRDefault="00580A3D" w:rsidP="00975156">
            <w:pPr>
              <w:keepNext/>
              <w:keepLines/>
              <w:spacing w:before="120" w:after="120"/>
              <w:rPr>
                <w:rFonts w:cs="Arial"/>
                <w:b/>
                <w:bCs/>
                <w:sz w:val="16"/>
                <w:szCs w:val="16"/>
                <w:lang w:val="ru-RU"/>
              </w:rPr>
            </w:pPr>
            <w:r w:rsidRPr="0096004B">
              <w:rPr>
                <w:rFonts w:cs="Arial"/>
                <w:b/>
                <w:bCs/>
                <w:sz w:val="16"/>
                <w:szCs w:val="16"/>
                <w:lang w:val="ru-RU"/>
              </w:rPr>
              <w:t>Вид деятельности</w:t>
            </w:r>
          </w:p>
        </w:tc>
        <w:tc>
          <w:tcPr>
            <w:tcW w:w="1276" w:type="dxa"/>
            <w:tcBorders>
              <w:top w:val="single" w:sz="4" w:space="0" w:color="000000"/>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Дата</w:t>
            </w:r>
          </w:p>
        </w:tc>
        <w:tc>
          <w:tcPr>
            <w:tcW w:w="1559" w:type="dxa"/>
            <w:tcBorders>
              <w:top w:val="single" w:sz="4" w:space="0" w:color="000000"/>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5104" w:type="dxa"/>
            <w:tcBorders>
              <w:top w:val="single" w:sz="4" w:space="0" w:color="000000"/>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Цель (цели) / описание</w:t>
            </w:r>
          </w:p>
        </w:tc>
      </w:tr>
      <w:tr w:rsidR="00580A3D" w:rsidRPr="005C6ABD" w:rsidTr="00955E75">
        <w:trPr>
          <w:cantSplit/>
          <w:trHeight w:val="315"/>
        </w:trPr>
        <w:tc>
          <w:tcPr>
            <w:tcW w:w="1843" w:type="dxa"/>
            <w:tcBorders>
              <w:bottom w:val="nil"/>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IX Ежегодная встреча Бразильского форума менеджеров по вопросам инноваций и передачи технологии (FORTEC)</w:t>
            </w:r>
          </w:p>
        </w:tc>
        <w:tc>
          <w:tcPr>
            <w:tcW w:w="1276" w:type="dxa"/>
            <w:tcBorders>
              <w:bottom w:val="nil"/>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19–22 мая 2015 г.</w:t>
            </w:r>
          </w:p>
        </w:tc>
        <w:tc>
          <w:tcPr>
            <w:tcW w:w="1559" w:type="dxa"/>
            <w:tcBorders>
              <w:bottom w:val="nil"/>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Бразилия</w:t>
            </w:r>
          </w:p>
        </w:tc>
        <w:tc>
          <w:tcPr>
            <w:tcW w:w="5104" w:type="dxa"/>
            <w:tcBorders>
              <w:bottom w:val="nil"/>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Обсуждение тем, связанных с политикой и стратегиями в области инноваций, и развитие компетенции в сфере передачи технологии и управления правами ИС.</w:t>
            </w:r>
          </w:p>
        </w:tc>
      </w:tr>
      <w:tr w:rsidR="00580A3D" w:rsidRPr="005C6ABD" w:rsidTr="00955E75">
        <w:trPr>
          <w:cantSplit/>
          <w:trHeight w:val="315"/>
        </w:trPr>
        <w:tc>
          <w:tcPr>
            <w:tcW w:w="1843" w:type="dxa"/>
            <w:tcBorders>
              <w:top w:val="nil"/>
              <w:bottom w:val="nil"/>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Пра</w:t>
            </w:r>
            <w:r>
              <w:rPr>
                <w:rFonts w:cs="Arial"/>
                <w:color w:val="000000"/>
                <w:sz w:val="16"/>
                <w:szCs w:val="16"/>
                <w:lang w:val="ru-RU"/>
              </w:rPr>
              <w:t>ктикум по охране ИС и стратегиям</w:t>
            </w:r>
            <w:r w:rsidRPr="0096004B">
              <w:rPr>
                <w:rFonts w:cs="Arial"/>
                <w:color w:val="000000"/>
                <w:sz w:val="16"/>
                <w:szCs w:val="16"/>
                <w:lang w:val="ru-RU"/>
              </w:rPr>
              <w:t xml:space="preserve"> коммерциализации результатов научно-исследовательской деятельности </w:t>
            </w:r>
          </w:p>
        </w:tc>
        <w:tc>
          <w:tcPr>
            <w:tcW w:w="1276" w:type="dxa"/>
            <w:tcBorders>
              <w:top w:val="nil"/>
              <w:bottom w:val="nil"/>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6–10 июля 2015 г.</w:t>
            </w:r>
          </w:p>
        </w:tc>
        <w:tc>
          <w:tcPr>
            <w:tcW w:w="1559" w:type="dxa"/>
            <w:tcBorders>
              <w:top w:val="nil"/>
              <w:bottom w:val="nil"/>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Бразилия</w:t>
            </w:r>
          </w:p>
        </w:tc>
        <w:tc>
          <w:tcPr>
            <w:tcW w:w="5104" w:type="dxa"/>
            <w:tcBorders>
              <w:top w:val="nil"/>
              <w:bottom w:val="nil"/>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Практическое обучение стратегиям управления правами интеллектуальной собственности и их охраны в университетах и научно-исследовательских институтах</w:t>
            </w:r>
          </w:p>
        </w:tc>
      </w:tr>
      <w:tr w:rsidR="00580A3D" w:rsidRPr="005C6ABD" w:rsidTr="00955E75">
        <w:trPr>
          <w:cantSplit/>
          <w:trHeight w:val="315"/>
        </w:trPr>
        <w:tc>
          <w:tcPr>
            <w:tcW w:w="1843" w:type="dxa"/>
            <w:tcBorders>
              <w:top w:val="nil"/>
              <w:bottom w:val="nil"/>
            </w:tcBorders>
          </w:tcPr>
          <w:p w:rsidR="00580A3D" w:rsidRPr="0096004B" w:rsidRDefault="00580A3D" w:rsidP="00975156">
            <w:pPr>
              <w:autoSpaceDE w:val="0"/>
              <w:autoSpaceDN w:val="0"/>
              <w:adjustRightInd w:val="0"/>
              <w:spacing w:after="120"/>
              <w:rPr>
                <w:rFonts w:cs="Arial"/>
                <w:color w:val="000000"/>
                <w:sz w:val="16"/>
                <w:szCs w:val="16"/>
                <w:lang w:val="ru-RU"/>
              </w:rPr>
            </w:pPr>
            <w:r w:rsidRPr="0096004B">
              <w:rPr>
                <w:rFonts w:cs="Arial"/>
                <w:color w:val="000000"/>
                <w:sz w:val="16"/>
                <w:szCs w:val="16"/>
                <w:lang w:val="ru-RU"/>
              </w:rPr>
              <w:t>VIII совещание представителей вузов по вопросам интеллектуальной собственности, инноваций и развития (ENAPID)</w:t>
            </w:r>
          </w:p>
        </w:tc>
        <w:tc>
          <w:tcPr>
            <w:tcW w:w="1276" w:type="dxa"/>
            <w:tcBorders>
              <w:top w:val="nil"/>
              <w:bottom w:val="nil"/>
            </w:tcBorders>
          </w:tcPr>
          <w:p w:rsidR="00580A3D" w:rsidRPr="0096004B" w:rsidRDefault="00580A3D" w:rsidP="00975156">
            <w:pPr>
              <w:rPr>
                <w:rFonts w:cs="Arial"/>
                <w:sz w:val="16"/>
                <w:szCs w:val="16"/>
                <w:lang w:val="ru-RU"/>
              </w:rPr>
            </w:pPr>
            <w:r w:rsidRPr="0096004B">
              <w:rPr>
                <w:rFonts w:cs="Arial"/>
                <w:sz w:val="16"/>
                <w:szCs w:val="16"/>
                <w:lang w:val="ru-RU"/>
              </w:rPr>
              <w:t>11–14 августа 2015 г.</w:t>
            </w:r>
          </w:p>
        </w:tc>
        <w:tc>
          <w:tcPr>
            <w:tcW w:w="1559" w:type="dxa"/>
            <w:tcBorders>
              <w:top w:val="nil"/>
              <w:bottom w:val="nil"/>
            </w:tcBorders>
          </w:tcPr>
          <w:p w:rsidR="00580A3D" w:rsidRPr="0096004B" w:rsidRDefault="00580A3D" w:rsidP="00975156">
            <w:pPr>
              <w:rPr>
                <w:rFonts w:cs="Arial"/>
                <w:sz w:val="16"/>
                <w:szCs w:val="16"/>
                <w:lang w:val="ru-RU"/>
              </w:rPr>
            </w:pPr>
            <w:r w:rsidRPr="0096004B">
              <w:rPr>
                <w:rFonts w:cs="Arial"/>
                <w:sz w:val="16"/>
                <w:szCs w:val="16"/>
                <w:lang w:val="ru-RU"/>
              </w:rPr>
              <w:t>Бразилия</w:t>
            </w:r>
          </w:p>
        </w:tc>
        <w:tc>
          <w:tcPr>
            <w:tcW w:w="5104" w:type="dxa"/>
            <w:tcBorders>
              <w:top w:val="nil"/>
              <w:bottom w:val="nil"/>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Содействие устойчивым инновациям и поощрение актуальной роли системы ИС в мировой экономике</w:t>
            </w:r>
          </w:p>
        </w:tc>
      </w:tr>
      <w:tr w:rsidR="00580A3D" w:rsidRPr="005C6ABD" w:rsidTr="00955E75">
        <w:trPr>
          <w:cantSplit/>
          <w:trHeight w:val="315"/>
        </w:trPr>
        <w:tc>
          <w:tcPr>
            <w:tcW w:w="1843" w:type="dxa"/>
            <w:tcBorders>
              <w:top w:val="nil"/>
              <w:bottom w:val="single" w:sz="4" w:space="0" w:color="000000"/>
            </w:tcBorders>
          </w:tcPr>
          <w:p w:rsidR="00580A3D" w:rsidRPr="0096004B" w:rsidRDefault="00580A3D" w:rsidP="00975156">
            <w:pPr>
              <w:autoSpaceDE w:val="0"/>
              <w:autoSpaceDN w:val="0"/>
              <w:adjustRightInd w:val="0"/>
              <w:spacing w:after="120"/>
              <w:rPr>
                <w:rFonts w:cs="Arial"/>
                <w:color w:val="000000"/>
                <w:sz w:val="16"/>
                <w:szCs w:val="16"/>
                <w:lang w:val="ru-RU"/>
              </w:rPr>
            </w:pPr>
            <w:r w:rsidRPr="0096004B">
              <w:rPr>
                <w:rFonts w:cs="Arial"/>
                <w:color w:val="000000"/>
                <w:sz w:val="16"/>
                <w:szCs w:val="16"/>
                <w:lang w:val="ru-RU"/>
              </w:rPr>
              <w:t>II семинар «Географические указания (ГУ) и коллективные товарные знаки в ремесленном производстве»</w:t>
            </w:r>
          </w:p>
        </w:tc>
        <w:tc>
          <w:tcPr>
            <w:tcW w:w="1276" w:type="dxa"/>
            <w:tcBorders>
              <w:top w:val="nil"/>
              <w:bottom w:val="single" w:sz="4" w:space="0" w:color="000000"/>
            </w:tcBorders>
          </w:tcPr>
          <w:p w:rsidR="00580A3D" w:rsidRPr="0096004B" w:rsidRDefault="00580A3D" w:rsidP="00975156">
            <w:pPr>
              <w:rPr>
                <w:rFonts w:cs="Arial"/>
                <w:sz w:val="16"/>
                <w:szCs w:val="16"/>
                <w:lang w:val="ru-RU"/>
              </w:rPr>
            </w:pPr>
            <w:r w:rsidRPr="0096004B">
              <w:rPr>
                <w:rFonts w:cs="Arial"/>
                <w:sz w:val="16"/>
                <w:szCs w:val="16"/>
                <w:lang w:val="ru-RU"/>
              </w:rPr>
              <w:t>24–25 сентября 2015 г.</w:t>
            </w:r>
          </w:p>
        </w:tc>
        <w:tc>
          <w:tcPr>
            <w:tcW w:w="1559" w:type="dxa"/>
            <w:tcBorders>
              <w:top w:val="nil"/>
              <w:bottom w:val="single" w:sz="4" w:space="0" w:color="000000"/>
            </w:tcBorders>
          </w:tcPr>
          <w:p w:rsidR="00580A3D" w:rsidRPr="0096004B" w:rsidRDefault="00580A3D" w:rsidP="00975156">
            <w:pPr>
              <w:rPr>
                <w:rFonts w:cs="Arial"/>
                <w:sz w:val="16"/>
                <w:szCs w:val="16"/>
                <w:lang w:val="ru-RU"/>
              </w:rPr>
            </w:pPr>
            <w:r w:rsidRPr="0096004B">
              <w:rPr>
                <w:rFonts w:cs="Arial"/>
                <w:sz w:val="16"/>
                <w:szCs w:val="16"/>
                <w:lang w:val="ru-RU"/>
              </w:rPr>
              <w:t xml:space="preserve">Бразилия / Колумбия, Мексика, Перу </w:t>
            </w:r>
          </w:p>
        </w:tc>
        <w:tc>
          <w:tcPr>
            <w:tcW w:w="5104" w:type="dxa"/>
            <w:tcBorders>
              <w:top w:val="nil"/>
              <w:bottom w:val="single" w:sz="4" w:space="0" w:color="000000"/>
            </w:tcBorders>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color w:val="000000"/>
                <w:sz w:val="16"/>
                <w:szCs w:val="16"/>
                <w:lang w:val="ru-RU"/>
              </w:rPr>
              <w:t>Стимулирование обсуждения потенциального экономического и социального значения ГУ и коллективных товарных знаков для национального развития в целом и для ремесленного производства в частности.</w:t>
            </w:r>
          </w:p>
        </w:tc>
      </w:tr>
    </w:tbl>
    <w:p w:rsidR="00580A3D" w:rsidRPr="0096004B" w:rsidRDefault="00580A3D" w:rsidP="00580A3D">
      <w:pPr>
        <w:tabs>
          <w:tab w:val="left" w:pos="0"/>
          <w:tab w:val="left" w:pos="9071"/>
        </w:tabs>
        <w:rPr>
          <w:rFonts w:cs="Arial"/>
          <w:b/>
          <w:szCs w:val="16"/>
          <w:lang w:val="ru-RU"/>
        </w:rPr>
      </w:pPr>
    </w:p>
    <w:p w:rsidR="00580A3D" w:rsidRPr="0096004B" w:rsidRDefault="00580A3D" w:rsidP="00580A3D">
      <w:pPr>
        <w:rPr>
          <w:rFonts w:cs="Arial"/>
          <w:b/>
          <w:szCs w:val="16"/>
          <w:lang w:val="ru-RU"/>
        </w:rPr>
      </w:pPr>
    </w:p>
    <w:p w:rsidR="00580A3D" w:rsidRPr="0096004B" w:rsidRDefault="00580A3D" w:rsidP="00580A3D">
      <w:pPr>
        <w:rPr>
          <w:rFonts w:cs="Arial"/>
          <w:b/>
          <w:bCs/>
          <w:color w:val="000000"/>
          <w:szCs w:val="20"/>
          <w:lang w:val="ru-RU"/>
        </w:rPr>
      </w:pPr>
      <w:r w:rsidRPr="0096004B">
        <w:rPr>
          <w:rFonts w:cs="Arial"/>
          <w:b/>
          <w:bCs/>
          <w:szCs w:val="20"/>
          <w:lang w:val="ru-RU"/>
        </w:rPr>
        <w:t>БРАЗИЛИЯ: взносы доноров и расходы в 2015 г.</w:t>
      </w:r>
    </w:p>
    <w:p w:rsidR="00580A3D" w:rsidRPr="0096004B" w:rsidRDefault="00580A3D" w:rsidP="00580A3D">
      <w:pPr>
        <w:rPr>
          <w:rFonts w:cs="Arial"/>
          <w:szCs w:val="16"/>
          <w:lang w:val="ru-RU"/>
        </w:rPr>
      </w:pPr>
    </w:p>
    <w:tbl>
      <w:tblPr>
        <w:tblW w:w="9649" w:type="dxa"/>
        <w:tblInd w:w="98" w:type="dxa"/>
        <w:tblLook w:val="04A0" w:firstRow="1" w:lastRow="0" w:firstColumn="1" w:lastColumn="0" w:noHBand="0" w:noVBand="1"/>
      </w:tblPr>
      <w:tblGrid>
        <w:gridCol w:w="2040"/>
        <w:gridCol w:w="1640"/>
        <w:gridCol w:w="1860"/>
        <w:gridCol w:w="1780"/>
        <w:gridCol w:w="2329"/>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329"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333 211</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(27)</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102 850</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329"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230 334</w:t>
            </w:r>
          </w:p>
        </w:tc>
      </w:tr>
    </w:tbl>
    <w:p w:rsidR="00580A3D" w:rsidRPr="0096004B" w:rsidRDefault="00580A3D" w:rsidP="00580A3D">
      <w:pPr>
        <w:tabs>
          <w:tab w:val="left" w:pos="0"/>
          <w:tab w:val="left" w:pos="9071"/>
        </w:tabs>
        <w:rPr>
          <w:rFonts w:cs="Arial"/>
          <w:b/>
          <w:szCs w:val="16"/>
          <w:lang w:val="ru-RU"/>
        </w:rPr>
      </w:pPr>
    </w:p>
    <w:p w:rsidR="00580A3D" w:rsidRPr="0096004B" w:rsidRDefault="00580A3D" w:rsidP="00580A3D">
      <w:pPr>
        <w:tabs>
          <w:tab w:val="left" w:pos="0"/>
          <w:tab w:val="left" w:pos="9071"/>
        </w:tabs>
        <w:rPr>
          <w:rFonts w:cs="Arial"/>
          <w:b/>
          <w:szCs w:val="16"/>
          <w:lang w:val="ru-RU"/>
        </w:rPr>
      </w:pPr>
    </w:p>
    <w:p w:rsidR="00580A3D" w:rsidRPr="0096004B" w:rsidRDefault="00580A3D" w:rsidP="00580A3D">
      <w:pPr>
        <w:tabs>
          <w:tab w:val="left" w:pos="0"/>
          <w:tab w:val="left" w:pos="9071"/>
        </w:tabs>
        <w:rPr>
          <w:rFonts w:cs="Arial"/>
          <w:b/>
          <w:szCs w:val="16"/>
          <w:lang w:val="ru-RU"/>
        </w:rPr>
      </w:pPr>
      <w:r w:rsidRPr="0096004B">
        <w:rPr>
          <w:rFonts w:cs="Arial"/>
          <w:b/>
          <w:bCs/>
          <w:szCs w:val="16"/>
          <w:lang w:val="ru-RU"/>
        </w:rPr>
        <w:t>БРАЗИЛИЯ – ЮГ</w:t>
      </w:r>
    </w:p>
    <w:p w:rsidR="00580A3D" w:rsidRPr="0096004B" w:rsidRDefault="00580A3D" w:rsidP="00580A3D">
      <w:pPr>
        <w:tabs>
          <w:tab w:val="left" w:pos="0"/>
          <w:tab w:val="left" w:pos="9071"/>
        </w:tabs>
        <w:rPr>
          <w:rFonts w:cs="Arial"/>
          <w:b/>
          <w:szCs w:val="16"/>
          <w:lang w:val="ru-RU"/>
        </w:rPr>
      </w:pPr>
    </w:p>
    <w:tbl>
      <w:tblPr>
        <w:tblW w:w="9639"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2126"/>
        <w:gridCol w:w="4536"/>
      </w:tblGrid>
      <w:tr w:rsidR="00580A3D" w:rsidRPr="005C6ABD" w:rsidTr="00975156">
        <w:trPr>
          <w:cantSplit/>
          <w:trHeight w:val="315"/>
        </w:trPr>
        <w:tc>
          <w:tcPr>
            <w:tcW w:w="9639" w:type="dxa"/>
            <w:gridSpan w:val="4"/>
            <w:tcBorders>
              <w:top w:val="single" w:sz="4" w:space="0" w:color="000000"/>
              <w:bottom w:val="single" w:sz="4" w:space="0" w:color="000000"/>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cantSplit/>
          <w:trHeight w:val="402"/>
        </w:trPr>
        <w:tc>
          <w:tcPr>
            <w:tcW w:w="184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2126" w:type="dxa"/>
            <w:tcBorders>
              <w:top w:val="single" w:sz="4" w:space="0" w:color="000000"/>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536" w:type="dxa"/>
            <w:tcBorders>
              <w:top w:val="single" w:sz="4" w:space="0" w:color="000000"/>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II Региональный практикум «ИС и передача технологии»</w:t>
            </w:r>
          </w:p>
        </w:tc>
        <w:tc>
          <w:tcPr>
            <w:tcW w:w="1134"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7–8 мая 2015 г.</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Перу / Коста-Рика, Доминиканская Республика, Эквадор, Мексика, Перу и Уругвай</w:t>
            </w:r>
          </w:p>
        </w:tc>
        <w:tc>
          <w:tcPr>
            <w:tcW w:w="453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Обсуждение:  (i) вопросов разработки национальных и институциональных стратегий в области интеллектуальной собственности;  (ii) вопросов организации бюро по передаче технологии;  и (iii) стратегических моделей стимулирования инноваций.</w:t>
            </w:r>
          </w:p>
        </w:tc>
      </w:tr>
      <w:tr w:rsidR="00580A3D" w:rsidRPr="005C6ABD" w:rsidTr="00975156">
        <w:trPr>
          <w:cantSplit/>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III Региональный практикум «ИС и передача технологии»</w:t>
            </w:r>
          </w:p>
        </w:tc>
        <w:tc>
          <w:tcPr>
            <w:tcW w:w="1134"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18–20 ноября 2015 г.</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Мексика / Колумбия, Куба, Сальвадор, Перу и Мексика </w:t>
            </w:r>
          </w:p>
        </w:tc>
        <w:tc>
          <w:tcPr>
            <w:tcW w:w="453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Обсуждение:  (i) принятия политики в области передаче технологии;  и (ii) практических аспектов, связанных с составлением и заключением соглашений о передаче технологии.</w:t>
            </w:r>
          </w:p>
        </w:tc>
      </w:tr>
      <w:tr w:rsidR="00580A3D" w:rsidRPr="005C6ABD" w:rsidTr="00975156">
        <w:trPr>
          <w:cantSplit/>
          <w:trHeight w:val="315"/>
        </w:trPr>
        <w:tc>
          <w:tcPr>
            <w:tcW w:w="1843" w:type="dxa"/>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XXXIII семинар для сотрудников ведомств ИС стран Латинской Америки</w:t>
            </w:r>
          </w:p>
        </w:tc>
        <w:tc>
          <w:tcPr>
            <w:tcW w:w="1134" w:type="dxa"/>
          </w:tcPr>
          <w:p w:rsidR="00580A3D" w:rsidRPr="0096004B" w:rsidRDefault="00580A3D" w:rsidP="00975156">
            <w:pPr>
              <w:spacing w:before="60" w:after="60"/>
              <w:rPr>
                <w:rFonts w:cs="Arial"/>
                <w:sz w:val="16"/>
                <w:szCs w:val="16"/>
                <w:lang w:val="ru-RU"/>
              </w:rPr>
            </w:pPr>
            <w:r w:rsidRPr="0096004B">
              <w:rPr>
                <w:rFonts w:cs="Arial"/>
                <w:sz w:val="16"/>
                <w:szCs w:val="16"/>
                <w:lang w:val="ru-RU"/>
              </w:rPr>
              <w:t>31 августа – 3 сентября 2015 г.</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Бразилия / Аргентина, Боливия, Чили, Колумбия, Коста-Рика, Куба, Доминиканская Республика, Эквадор, Сальвадор, Гватемала, Гондурас, Мексика, Никарагуа, Панама, Парагвай, Перу, Уругвай и Венесуэла </w:t>
            </w:r>
          </w:p>
        </w:tc>
        <w:tc>
          <w:tcPr>
            <w:tcW w:w="4536" w:type="dxa"/>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Содействие обмену опытом между сотрудниками национальных ведомств ИС по различным темам с особым акцентом на международном сотрудничестве в области ИС.</w:t>
            </w:r>
          </w:p>
        </w:tc>
      </w:tr>
      <w:tr w:rsidR="00580A3D" w:rsidRPr="005C6ABD" w:rsidTr="00975156">
        <w:trPr>
          <w:cantSplit/>
          <w:trHeight w:val="315"/>
        </w:trPr>
        <w:tc>
          <w:tcPr>
            <w:tcW w:w="1843" w:type="dxa"/>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Региональная презентация издания «Глобальный индекс инноваций – 2015»</w:t>
            </w:r>
          </w:p>
        </w:tc>
        <w:tc>
          <w:tcPr>
            <w:tcW w:w="1134" w:type="dxa"/>
          </w:tcPr>
          <w:p w:rsidR="00580A3D" w:rsidRPr="0096004B" w:rsidRDefault="00580A3D" w:rsidP="00975156">
            <w:pPr>
              <w:spacing w:before="60" w:after="60"/>
              <w:rPr>
                <w:rFonts w:cs="Arial"/>
                <w:sz w:val="16"/>
                <w:szCs w:val="16"/>
                <w:lang w:val="ru-RU"/>
              </w:rPr>
            </w:pPr>
            <w:r w:rsidRPr="0096004B">
              <w:rPr>
                <w:rFonts w:cs="Arial"/>
                <w:sz w:val="16"/>
                <w:szCs w:val="16"/>
                <w:lang w:val="ru-RU"/>
              </w:rPr>
              <w:t>30 сентября 2015 г.</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Бразилия / Чили, Колумбия, Коста-Рика и Мексика</w:t>
            </w:r>
          </w:p>
        </w:tc>
        <w:tc>
          <w:tcPr>
            <w:tcW w:w="4536" w:type="dxa"/>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(i) Публикация ГИИ-2015 в латиноамериканском регионе;  и (ii) совещание между экспертами и представителями правительства и различных отраслей промышленности для обсуждения вопросов, связанных с экономикой инноваций.</w:t>
            </w:r>
          </w:p>
        </w:tc>
      </w:tr>
      <w:tr w:rsidR="00580A3D" w:rsidRPr="005C6ABD" w:rsidTr="00975156">
        <w:trPr>
          <w:cantSplit/>
          <w:trHeight w:val="315"/>
        </w:trPr>
        <w:tc>
          <w:tcPr>
            <w:tcW w:w="1843" w:type="dxa"/>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Региональный практикум по эффективным методам лицензирования технологий (STL), продвинутый уровень</w:t>
            </w:r>
          </w:p>
        </w:tc>
        <w:tc>
          <w:tcPr>
            <w:tcW w:w="1134" w:type="dxa"/>
          </w:tcPr>
          <w:p w:rsidR="00580A3D" w:rsidRPr="0096004B" w:rsidRDefault="00580A3D" w:rsidP="00975156">
            <w:pPr>
              <w:spacing w:before="60" w:after="60"/>
              <w:rPr>
                <w:rFonts w:cs="Arial"/>
                <w:sz w:val="16"/>
                <w:szCs w:val="16"/>
                <w:lang w:val="ru-RU"/>
              </w:rPr>
            </w:pPr>
            <w:r w:rsidRPr="0096004B">
              <w:rPr>
                <w:rFonts w:cs="Arial"/>
                <w:sz w:val="16"/>
                <w:szCs w:val="16"/>
                <w:lang w:val="ru-RU"/>
              </w:rPr>
              <w:t>7–11 декабря 2015 г.</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Бразилия / Куба, Перу и Уругвай</w:t>
            </w:r>
          </w:p>
        </w:tc>
        <w:tc>
          <w:tcPr>
            <w:tcW w:w="4536" w:type="dxa"/>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 xml:space="preserve">Повышение квалификации менеджеров по вопросам технологий, специалистов по бизнес-инновациям и юристов вузов и промышленных компаний в отношении:  (i) коммерциализации ИС – </w:t>
            </w:r>
            <w:r w:rsidRPr="0096004B">
              <w:rPr>
                <w:rFonts w:cs="Arial"/>
                <w:sz w:val="16"/>
                <w:szCs w:val="16"/>
                <w:lang w:val="ru-RU"/>
              </w:rPr>
              <w:tab/>
              <w:t>с особым акцентом на маркетинге ИС и оценке стоимости технологий;  и (ii)  составления и заключения лицензионных соглашений.</w:t>
            </w:r>
          </w:p>
        </w:tc>
      </w:tr>
    </w:tbl>
    <w:p w:rsidR="00580A3D" w:rsidRPr="0096004B" w:rsidRDefault="00580A3D" w:rsidP="00580A3D">
      <w:pPr>
        <w:tabs>
          <w:tab w:val="left" w:pos="0"/>
          <w:tab w:val="left" w:pos="9071"/>
        </w:tabs>
        <w:rPr>
          <w:rFonts w:cs="Arial"/>
          <w:b/>
          <w:szCs w:val="16"/>
          <w:lang w:val="ru-RU"/>
        </w:rPr>
      </w:pPr>
    </w:p>
    <w:p w:rsidR="00580A3D" w:rsidRPr="0096004B" w:rsidRDefault="00580A3D" w:rsidP="00580A3D">
      <w:pPr>
        <w:tabs>
          <w:tab w:val="left" w:pos="0"/>
          <w:tab w:val="left" w:pos="9071"/>
        </w:tabs>
        <w:rPr>
          <w:rFonts w:cs="Arial"/>
          <w:b/>
          <w:szCs w:val="16"/>
          <w:lang w:val="ru-RU"/>
        </w:rPr>
      </w:pPr>
    </w:p>
    <w:p w:rsidR="00580A3D" w:rsidRPr="0096004B" w:rsidRDefault="00580A3D" w:rsidP="00580A3D">
      <w:pPr>
        <w:rPr>
          <w:rFonts w:cs="Arial"/>
          <w:b/>
          <w:bCs/>
          <w:color w:val="000000"/>
          <w:szCs w:val="20"/>
          <w:lang w:val="ru-RU"/>
        </w:rPr>
      </w:pPr>
      <w:r w:rsidRPr="0096004B">
        <w:rPr>
          <w:rFonts w:cs="Arial"/>
          <w:b/>
          <w:bCs/>
          <w:szCs w:val="16"/>
          <w:lang w:val="ru-RU"/>
        </w:rPr>
        <w:t>БРАЗИЛИЯ – ЮГ: взносы доноров и расходы в 2015 г.</w:t>
      </w:r>
    </w:p>
    <w:p w:rsidR="00580A3D" w:rsidRPr="0096004B" w:rsidRDefault="00580A3D" w:rsidP="00580A3D">
      <w:pPr>
        <w:rPr>
          <w:rFonts w:cs="Arial"/>
          <w:szCs w:val="16"/>
          <w:lang w:val="ru-RU"/>
        </w:rPr>
      </w:pPr>
    </w:p>
    <w:tbl>
      <w:tblPr>
        <w:tblW w:w="9649" w:type="dxa"/>
        <w:tblInd w:w="98" w:type="dxa"/>
        <w:tblLook w:val="04A0" w:firstRow="1" w:lastRow="0" w:firstColumn="1" w:lastColumn="0" w:noHBand="0" w:noVBand="1"/>
      </w:tblPr>
      <w:tblGrid>
        <w:gridCol w:w="2040"/>
        <w:gridCol w:w="1640"/>
        <w:gridCol w:w="1860"/>
        <w:gridCol w:w="1841"/>
        <w:gridCol w:w="2268"/>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841"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268"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384 809</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(17)</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146 478</w:t>
            </w:r>
          </w:p>
        </w:tc>
        <w:tc>
          <w:tcPr>
            <w:tcW w:w="1841"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238 315</w:t>
            </w:r>
          </w:p>
        </w:tc>
      </w:tr>
    </w:tbl>
    <w:p w:rsidR="00580A3D" w:rsidRPr="0096004B" w:rsidRDefault="00580A3D" w:rsidP="00580A3D">
      <w:pPr>
        <w:rPr>
          <w:rFonts w:cs="Arial"/>
          <w:b/>
          <w:szCs w:val="16"/>
          <w:lang w:val="ru-RU"/>
        </w:rPr>
      </w:pPr>
    </w:p>
    <w:p w:rsidR="00580A3D" w:rsidRPr="0096004B" w:rsidRDefault="00580A3D" w:rsidP="00580A3D">
      <w:pPr>
        <w:rPr>
          <w:rFonts w:cs="Arial"/>
          <w:b/>
          <w:szCs w:val="16"/>
          <w:lang w:val="ru-RU"/>
        </w:rPr>
      </w:pPr>
    </w:p>
    <w:p w:rsidR="00580A3D" w:rsidRPr="0096004B" w:rsidRDefault="00580A3D" w:rsidP="00580A3D">
      <w:pPr>
        <w:keepNext/>
        <w:keepLines/>
        <w:rPr>
          <w:rFonts w:cs="Arial"/>
          <w:szCs w:val="16"/>
          <w:lang w:val="ru-RU"/>
        </w:rPr>
      </w:pPr>
      <w:r w:rsidRPr="0096004B">
        <w:rPr>
          <w:rFonts w:cs="Arial"/>
          <w:b/>
          <w:bCs/>
          <w:szCs w:val="16"/>
          <w:lang w:val="ru-RU"/>
        </w:rPr>
        <w:t>Бразилия – ПРООН</w:t>
      </w:r>
      <w:r w:rsidRPr="0096004B">
        <w:rPr>
          <w:rStyle w:val="FootnoteReference"/>
          <w:rFonts w:eastAsia="SimSun"/>
          <w:b/>
          <w:szCs w:val="16"/>
          <w:lang w:val="ru-RU"/>
        </w:rPr>
        <w:footnoteReference w:id="151"/>
      </w:r>
    </w:p>
    <w:p w:rsidR="00580A3D" w:rsidRPr="0096004B" w:rsidRDefault="00580A3D" w:rsidP="00580A3D">
      <w:pPr>
        <w:keepNext/>
        <w:keepLines/>
        <w:rPr>
          <w:rFonts w:cs="Arial"/>
          <w:szCs w:val="16"/>
          <w:lang w:val="ru-RU"/>
        </w:rPr>
      </w:pPr>
    </w:p>
    <w:tbl>
      <w:tblPr>
        <w:tblW w:w="9640" w:type="dxa"/>
        <w:tblInd w:w="108" w:type="dxa"/>
        <w:tblBorders>
          <w:top w:val="single" w:sz="4" w:space="0" w:color="000000"/>
          <w:left w:val="single" w:sz="4" w:space="0" w:color="000000"/>
          <w:bottom w:val="single" w:sz="4" w:space="0" w:color="000000"/>
          <w:right w:val="single" w:sz="4" w:space="0" w:color="000000"/>
        </w:tblBorders>
        <w:tblLayout w:type="fixed"/>
        <w:tblLook w:val="04A0" w:firstRow="1" w:lastRow="0" w:firstColumn="1" w:lastColumn="0" w:noHBand="0" w:noVBand="1"/>
      </w:tblPr>
      <w:tblGrid>
        <w:gridCol w:w="1842"/>
        <w:gridCol w:w="1134"/>
        <w:gridCol w:w="1984"/>
        <w:gridCol w:w="4680"/>
      </w:tblGrid>
      <w:tr w:rsidR="00580A3D" w:rsidRPr="005C6ABD" w:rsidTr="00975156">
        <w:trPr>
          <w:cantSplit/>
          <w:trHeight w:val="315"/>
        </w:trPr>
        <w:tc>
          <w:tcPr>
            <w:tcW w:w="9640" w:type="dxa"/>
            <w:gridSpan w:val="4"/>
            <w:tcBorders>
              <w:top w:val="single" w:sz="4" w:space="0" w:color="000000"/>
              <w:left w:val="single" w:sz="4" w:space="0" w:color="000000"/>
              <w:bottom w:val="single" w:sz="4" w:space="0" w:color="000000"/>
              <w:right w:val="single" w:sz="4" w:space="0" w:color="000000"/>
            </w:tcBorders>
            <w:shd w:val="clear" w:color="auto" w:fill="C6D9F1" w:themeFill="text2" w:themeFillTint="33"/>
            <w:hideMark/>
          </w:tcPr>
          <w:p w:rsidR="00580A3D" w:rsidRPr="0096004B" w:rsidRDefault="00580A3D" w:rsidP="00975156">
            <w:pPr>
              <w:keepNext/>
              <w:keepLines/>
              <w:tabs>
                <w:tab w:val="left" w:pos="1740"/>
              </w:tabs>
              <w:spacing w:before="120" w:after="120" w:line="276" w:lineRule="auto"/>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cantSplit/>
          <w:trHeight w:val="402"/>
        </w:trPr>
        <w:tc>
          <w:tcPr>
            <w:tcW w:w="1842" w:type="dxa"/>
            <w:tcBorders>
              <w:top w:val="single" w:sz="4" w:space="0" w:color="000000"/>
              <w:left w:val="single" w:sz="4" w:space="0" w:color="000000"/>
              <w:bottom w:val="nil"/>
              <w:right w:val="nil"/>
            </w:tcBorders>
            <w:vAlign w:val="center"/>
            <w:hideMark/>
          </w:tcPr>
          <w:p w:rsidR="00580A3D" w:rsidRPr="0096004B" w:rsidRDefault="00580A3D" w:rsidP="00975156">
            <w:pPr>
              <w:keepNext/>
              <w:keepLines/>
              <w:spacing w:before="120" w:line="276" w:lineRule="auto"/>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left w:val="nil"/>
              <w:bottom w:val="nil"/>
              <w:right w:val="nil"/>
            </w:tcBorders>
            <w:vAlign w:val="center"/>
            <w:hideMark/>
          </w:tcPr>
          <w:p w:rsidR="00580A3D" w:rsidRPr="0096004B" w:rsidRDefault="00580A3D" w:rsidP="00975156">
            <w:pPr>
              <w:keepNext/>
              <w:keepLines/>
              <w:spacing w:before="120" w:line="276" w:lineRule="auto"/>
              <w:rPr>
                <w:rFonts w:cs="Arial"/>
                <w:sz w:val="16"/>
                <w:szCs w:val="16"/>
                <w:lang w:val="ru-RU"/>
              </w:rPr>
            </w:pPr>
            <w:r w:rsidRPr="0096004B">
              <w:rPr>
                <w:rFonts w:cs="Arial"/>
                <w:b/>
                <w:bCs/>
                <w:sz w:val="16"/>
                <w:szCs w:val="16"/>
                <w:lang w:val="ru-RU"/>
              </w:rPr>
              <w:t>Дата</w:t>
            </w:r>
          </w:p>
        </w:tc>
        <w:tc>
          <w:tcPr>
            <w:tcW w:w="1984" w:type="dxa"/>
            <w:tcBorders>
              <w:top w:val="single" w:sz="4" w:space="0" w:color="000000"/>
              <w:left w:val="nil"/>
              <w:bottom w:val="nil"/>
              <w:right w:val="nil"/>
            </w:tcBorders>
            <w:vAlign w:val="center"/>
            <w:hideMark/>
          </w:tcPr>
          <w:p w:rsidR="00580A3D" w:rsidRPr="0096004B" w:rsidRDefault="00580A3D" w:rsidP="00975156">
            <w:pPr>
              <w:keepNext/>
              <w:keepLines/>
              <w:spacing w:before="120" w:line="276" w:lineRule="auto"/>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80" w:type="dxa"/>
            <w:tcBorders>
              <w:top w:val="single" w:sz="4" w:space="0" w:color="000000"/>
              <w:left w:val="nil"/>
              <w:bottom w:val="nil"/>
              <w:right w:val="single" w:sz="4" w:space="0" w:color="000000"/>
            </w:tcBorders>
            <w:vAlign w:val="center"/>
            <w:hideMark/>
          </w:tcPr>
          <w:p w:rsidR="00580A3D" w:rsidRPr="0096004B" w:rsidRDefault="00580A3D" w:rsidP="00975156">
            <w:pPr>
              <w:keepNext/>
              <w:keepLines/>
              <w:spacing w:before="120" w:line="276" w:lineRule="auto"/>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315"/>
        </w:trPr>
        <w:tc>
          <w:tcPr>
            <w:tcW w:w="1842" w:type="dxa"/>
            <w:tcBorders>
              <w:top w:val="nil"/>
              <w:left w:val="single" w:sz="4" w:space="0" w:color="000000"/>
              <w:bottom w:val="single" w:sz="4" w:space="0" w:color="auto"/>
              <w:right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Программа обучения представителей в переговорах по развитию технологий</w:t>
            </w:r>
          </w:p>
        </w:tc>
        <w:tc>
          <w:tcPr>
            <w:tcW w:w="1134" w:type="dxa"/>
            <w:tcBorders>
              <w:top w:val="nil"/>
              <w:left w:val="nil"/>
              <w:bottom w:val="single" w:sz="4" w:space="0" w:color="auto"/>
              <w:right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19–30 октября 2015 г.</w:t>
            </w:r>
          </w:p>
        </w:tc>
        <w:tc>
          <w:tcPr>
            <w:tcW w:w="1984" w:type="dxa"/>
            <w:tcBorders>
              <w:top w:val="nil"/>
              <w:left w:val="nil"/>
              <w:bottom w:val="single" w:sz="4" w:space="0" w:color="auto"/>
              <w:right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Бразилия</w:t>
            </w:r>
          </w:p>
        </w:tc>
        <w:tc>
          <w:tcPr>
            <w:tcW w:w="4680" w:type="dxa"/>
            <w:tcBorders>
              <w:top w:val="nil"/>
              <w:left w:val="nil"/>
              <w:bottom w:val="single" w:sz="4" w:space="0" w:color="auto"/>
              <w:right w:val="single" w:sz="4" w:space="0" w:color="000000"/>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Содействие подготовке 28 специалистов в области организации и согласования процессов сотрудничества с особым акцентом на положениях соглашений о развитии технологий, связанных с ИС.</w:t>
            </w:r>
          </w:p>
        </w:tc>
      </w:tr>
    </w:tbl>
    <w:p w:rsidR="00580A3D" w:rsidRPr="0096004B" w:rsidRDefault="00580A3D" w:rsidP="00580A3D">
      <w:pPr>
        <w:rPr>
          <w:rFonts w:cs="Arial"/>
          <w:szCs w:val="16"/>
          <w:lang w:val="ru-RU"/>
        </w:rPr>
      </w:pPr>
    </w:p>
    <w:p w:rsidR="00580A3D" w:rsidRPr="0096004B" w:rsidRDefault="00580A3D" w:rsidP="00580A3D">
      <w:pPr>
        <w:rPr>
          <w:rFonts w:cs="Arial"/>
          <w:szCs w:val="16"/>
          <w:lang w:val="ru-RU"/>
        </w:rPr>
      </w:pPr>
    </w:p>
    <w:p w:rsidR="00580A3D" w:rsidRPr="0096004B" w:rsidRDefault="00580A3D" w:rsidP="00580A3D">
      <w:pPr>
        <w:rPr>
          <w:rFonts w:cs="Arial"/>
          <w:b/>
          <w:bCs/>
          <w:color w:val="000000"/>
          <w:szCs w:val="20"/>
          <w:lang w:val="ru-RU"/>
        </w:rPr>
      </w:pPr>
      <w:r w:rsidRPr="0096004B">
        <w:rPr>
          <w:rFonts w:cs="Arial"/>
          <w:b/>
          <w:bCs/>
          <w:szCs w:val="16"/>
          <w:lang w:val="ru-RU"/>
        </w:rPr>
        <w:t>БРАЗИЛИЯ – ПРООН: взносы доноров и расходы в 2015 г.</w:t>
      </w:r>
    </w:p>
    <w:p w:rsidR="00580A3D" w:rsidRPr="0096004B" w:rsidRDefault="00580A3D" w:rsidP="00580A3D">
      <w:pPr>
        <w:rPr>
          <w:rFonts w:cs="Arial"/>
          <w:szCs w:val="16"/>
          <w:lang w:val="ru-RU"/>
        </w:rPr>
      </w:pPr>
    </w:p>
    <w:tbl>
      <w:tblPr>
        <w:tblW w:w="9650" w:type="dxa"/>
        <w:tblInd w:w="98" w:type="dxa"/>
        <w:tblLook w:val="04A0" w:firstRow="1" w:lastRow="0" w:firstColumn="1" w:lastColumn="0" w:noHBand="0" w:noVBand="1"/>
      </w:tblPr>
      <w:tblGrid>
        <w:gridCol w:w="2040"/>
        <w:gridCol w:w="1640"/>
        <w:gridCol w:w="2001"/>
        <w:gridCol w:w="1639"/>
        <w:gridCol w:w="2330"/>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2001"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639"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33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39 489</w:t>
            </w:r>
          </w:p>
        </w:tc>
        <w:tc>
          <w:tcPr>
            <w:tcW w:w="2001"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39 489</w:t>
            </w:r>
          </w:p>
        </w:tc>
        <w:tc>
          <w:tcPr>
            <w:tcW w:w="1639"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33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r>
    </w:tbl>
    <w:p w:rsidR="00580A3D" w:rsidRPr="0096004B" w:rsidRDefault="00580A3D" w:rsidP="00580A3D">
      <w:pPr>
        <w:rPr>
          <w:lang w:val="ru-RU"/>
        </w:rPr>
      </w:pPr>
    </w:p>
    <w:p w:rsidR="00580A3D" w:rsidRPr="0096004B" w:rsidRDefault="00580A3D" w:rsidP="00580A3D">
      <w:pPr>
        <w:rPr>
          <w:lang w:val="ru-RU"/>
        </w:rPr>
      </w:pPr>
    </w:p>
    <w:p w:rsidR="00580A3D" w:rsidRDefault="00580A3D">
      <w:pPr>
        <w:rPr>
          <w:rFonts w:cs="Arial"/>
          <w:b/>
          <w:bCs/>
          <w:szCs w:val="20"/>
          <w:lang w:val="ru-RU"/>
        </w:rPr>
      </w:pPr>
      <w:r>
        <w:rPr>
          <w:rFonts w:cs="Arial"/>
          <w:b/>
          <w:bCs/>
          <w:szCs w:val="20"/>
          <w:lang w:val="ru-RU"/>
        </w:rPr>
        <w:br w:type="page"/>
      </w:r>
    </w:p>
    <w:p w:rsidR="00580A3D" w:rsidRPr="0096004B" w:rsidRDefault="00580A3D" w:rsidP="00580A3D">
      <w:pPr>
        <w:rPr>
          <w:rFonts w:cs="Arial"/>
          <w:b/>
          <w:szCs w:val="20"/>
          <w:lang w:val="ru-RU"/>
        </w:rPr>
      </w:pPr>
      <w:r w:rsidRPr="0096004B">
        <w:rPr>
          <w:rFonts w:cs="Arial"/>
          <w:b/>
          <w:bCs/>
          <w:szCs w:val="20"/>
          <w:lang w:val="ru-RU"/>
        </w:rPr>
        <w:t>ЕВРОПЕЙСКИЙ СОЮЗ (Проект для Пакистана)</w:t>
      </w:r>
    </w:p>
    <w:p w:rsidR="00580A3D" w:rsidRPr="0096004B" w:rsidRDefault="00580A3D" w:rsidP="00580A3D">
      <w:pPr>
        <w:tabs>
          <w:tab w:val="left" w:pos="0"/>
          <w:tab w:val="left" w:pos="9071"/>
        </w:tabs>
        <w:rPr>
          <w:rFonts w:cs="Arial"/>
          <w:b/>
          <w:szCs w:val="20"/>
          <w:lang w:val="ru-RU"/>
        </w:rPr>
      </w:pPr>
    </w:p>
    <w:tbl>
      <w:tblPr>
        <w:tblW w:w="9640"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678"/>
      </w:tblGrid>
      <w:tr w:rsidR="00580A3D" w:rsidRPr="005C6ABD" w:rsidTr="00975156">
        <w:trPr>
          <w:cantSplit/>
        </w:trPr>
        <w:tc>
          <w:tcPr>
            <w:tcW w:w="9640"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eastAsia="MS Mincho" w:cs="Arial"/>
                <w:bCs/>
                <w:color w:val="000000"/>
                <w:sz w:val="16"/>
                <w:szCs w:val="16"/>
                <w:lang w:val="ru-RU" w:eastAsia="ja-JP" w:bidi="th-TH"/>
              </w:rPr>
              <w:t>I.2.  Адаптированные к местной специфике и сбалансированные нормативно-правовые базы и основы политики в области ИС</w:t>
            </w:r>
          </w:p>
        </w:tc>
      </w:tr>
      <w:tr w:rsidR="00580A3D" w:rsidRPr="0096004B" w:rsidTr="00975156">
        <w:trPr>
          <w:cantSplit/>
          <w:trHeight w:val="500"/>
        </w:trPr>
        <w:tc>
          <w:tcPr>
            <w:tcW w:w="184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1985" w:type="dxa"/>
            <w:tcBorders>
              <w:top w:val="single" w:sz="4" w:space="0" w:color="000000"/>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8" w:type="dxa"/>
            <w:tcBorders>
              <w:top w:val="single" w:sz="4" w:space="0" w:color="000000"/>
            </w:tcBorders>
            <w:shd w:val="clear" w:color="auto" w:fill="FFFFFF"/>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464"/>
        </w:trPr>
        <w:tc>
          <w:tcPr>
            <w:tcW w:w="1843" w:type="dxa"/>
          </w:tcPr>
          <w:p w:rsidR="00580A3D" w:rsidRPr="0096004B" w:rsidRDefault="00580A3D" w:rsidP="00975156">
            <w:pPr>
              <w:spacing w:before="60" w:after="60"/>
              <w:rPr>
                <w:rFonts w:cs="Arial"/>
                <w:bCs/>
                <w:sz w:val="16"/>
                <w:szCs w:val="16"/>
                <w:lang w:val="ru-RU"/>
              </w:rPr>
            </w:pPr>
            <w:r w:rsidRPr="0096004B">
              <w:rPr>
                <w:rFonts w:cs="Arial"/>
                <w:bCs/>
                <w:sz w:val="16"/>
                <w:szCs w:val="16"/>
                <w:lang w:val="ru-RU"/>
              </w:rPr>
              <w:t>Круглый стол по разработке Национальной стратегии в области интеллектуальной собственности (ИС)</w:t>
            </w:r>
          </w:p>
        </w:tc>
        <w:tc>
          <w:tcPr>
            <w:tcW w:w="1134" w:type="dxa"/>
          </w:tcPr>
          <w:p w:rsidR="00580A3D" w:rsidRPr="0096004B" w:rsidRDefault="00580A3D" w:rsidP="00975156">
            <w:pPr>
              <w:spacing w:before="60" w:after="60"/>
              <w:rPr>
                <w:rFonts w:cs="Arial"/>
                <w:bCs/>
                <w:sz w:val="16"/>
                <w:szCs w:val="16"/>
                <w:lang w:val="ru-RU"/>
              </w:rPr>
            </w:pPr>
            <w:r w:rsidRPr="0096004B">
              <w:rPr>
                <w:rFonts w:cs="Arial"/>
                <w:bCs/>
                <w:sz w:val="16"/>
                <w:szCs w:val="16"/>
                <w:lang w:val="ru-RU"/>
              </w:rPr>
              <w:t>23–24 апреля 2015 г.</w:t>
            </w:r>
          </w:p>
        </w:tc>
        <w:tc>
          <w:tcPr>
            <w:tcW w:w="1985" w:type="dxa"/>
          </w:tcPr>
          <w:p w:rsidR="00580A3D" w:rsidRPr="0096004B" w:rsidRDefault="00580A3D" w:rsidP="00975156">
            <w:pPr>
              <w:spacing w:before="60" w:after="60"/>
              <w:rPr>
                <w:rFonts w:cs="Arial"/>
                <w:bCs/>
                <w:sz w:val="16"/>
                <w:szCs w:val="16"/>
                <w:lang w:val="ru-RU"/>
              </w:rPr>
            </w:pPr>
            <w:r w:rsidRPr="0096004B">
              <w:rPr>
                <w:rFonts w:cs="Arial"/>
                <w:bCs/>
                <w:sz w:val="16"/>
                <w:szCs w:val="16"/>
                <w:lang w:val="ru-RU"/>
              </w:rPr>
              <w:t>Пакистан / 53 участника</w:t>
            </w:r>
          </w:p>
        </w:tc>
        <w:tc>
          <w:tcPr>
            <w:tcW w:w="4678" w:type="dxa"/>
          </w:tcPr>
          <w:p w:rsidR="00580A3D" w:rsidRPr="0096004B" w:rsidRDefault="00580A3D" w:rsidP="00975156">
            <w:pPr>
              <w:spacing w:before="60" w:after="60"/>
              <w:rPr>
                <w:rFonts w:cs="Arial"/>
                <w:b/>
                <w:bCs/>
                <w:sz w:val="16"/>
                <w:szCs w:val="16"/>
                <w:lang w:val="ru-RU"/>
              </w:rPr>
            </w:pPr>
            <w:r w:rsidRPr="0096004B">
              <w:rPr>
                <w:sz w:val="16"/>
                <w:szCs w:val="16"/>
                <w:lang w:val="ru-RU" w:eastAsia="zh-CN"/>
              </w:rPr>
              <w:t>(i) Обзор общих целей и основных элементов стратегий в области ИС;  (ii) обсуждение возможных взаимосвязей между национальной стратегией в области ИС и основными областями регулирования (напр., торговля, инновации, здравоохранение);  (iii) обмен мнениями о методиках разработки и реализации стратегий в области ИС;  и (iv) определение мер по развитию национальной стратегии в области ИС, которые могут быть приняты государственными органами страны.</w:t>
            </w:r>
          </w:p>
        </w:tc>
      </w:tr>
      <w:tr w:rsidR="00580A3D" w:rsidRPr="005C6ABD" w:rsidTr="00975156">
        <w:trPr>
          <w:cantSplit/>
          <w:trHeight w:val="315"/>
        </w:trPr>
        <w:tc>
          <w:tcPr>
            <w:tcW w:w="9640" w:type="dxa"/>
            <w:gridSpan w:val="4"/>
            <w:tcBorders>
              <w:top w:val="single" w:sz="4" w:space="0" w:color="000000"/>
              <w:bottom w:val="single" w:sz="4" w:space="0" w:color="auto"/>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shd w:val="clear" w:color="auto" w:fill="C6D9F1" w:themeFill="text2" w:themeFillTint="33"/>
                <w:lang w:val="ru-RU"/>
              </w:rPr>
              <w:t>РЕЗУЛЬТАТ</w:t>
            </w:r>
            <w:r w:rsidRPr="0096004B">
              <w:rPr>
                <w:rFonts w:cs="Arial"/>
                <w:bCs/>
                <w:color w:val="000000"/>
                <w:sz w:val="16"/>
                <w:szCs w:val="16"/>
                <w:shd w:val="clear" w:color="auto" w:fill="C6D9F1" w:themeFill="text2" w:themeFillTint="33"/>
                <w:lang w:val="ru-RU"/>
              </w:rPr>
              <w:t>:</w:t>
            </w:r>
            <w:r w:rsidRPr="0096004B">
              <w:rPr>
                <w:rFonts w:cs="Arial"/>
                <w:bCs/>
                <w:color w:val="000000"/>
                <w:sz w:val="16"/>
                <w:szCs w:val="16"/>
                <w:shd w:val="clear" w:color="auto" w:fill="C6D9F1" w:themeFill="text2" w:themeFillTint="33"/>
                <w:lang w:val="ru-RU"/>
              </w:rPr>
              <w:tab/>
              <w:t>IV.4. Совершенствование технической инфраструктуры и инфраструктуры знаний для ведомств ИС и других учреждений ИС, ведущее к предоставлению улучшенных услуг (более дешевых, более быстрых, более качественных) их заинтересованным сторонам</w:t>
            </w:r>
          </w:p>
        </w:tc>
      </w:tr>
      <w:tr w:rsidR="00580A3D" w:rsidRPr="0096004B" w:rsidTr="00975156">
        <w:trPr>
          <w:cantSplit/>
          <w:trHeight w:val="399"/>
        </w:trPr>
        <w:tc>
          <w:tcPr>
            <w:tcW w:w="1843" w:type="dxa"/>
            <w:tcBorders>
              <w:top w:val="single" w:sz="4" w:space="0" w:color="auto"/>
              <w:left w:val="single" w:sz="4" w:space="0" w:color="000000"/>
              <w:bottom w:val="nil"/>
            </w:tcBorders>
            <w:vAlign w:val="center"/>
          </w:tcPr>
          <w:p w:rsidR="00580A3D" w:rsidRPr="0096004B" w:rsidRDefault="00580A3D" w:rsidP="00975156">
            <w:pPr>
              <w:keepNext/>
              <w:keepLines/>
              <w:spacing w:before="120" w:after="12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auto"/>
              <w:bottom w:val="nil"/>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Дата</w:t>
            </w:r>
          </w:p>
        </w:tc>
        <w:tc>
          <w:tcPr>
            <w:tcW w:w="1985" w:type="dxa"/>
            <w:tcBorders>
              <w:top w:val="single" w:sz="4" w:space="0" w:color="auto"/>
              <w:bottom w:val="nil"/>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8" w:type="dxa"/>
            <w:tcBorders>
              <w:top w:val="single" w:sz="4" w:space="0" w:color="auto"/>
              <w:bottom w:val="nil"/>
              <w:right w:val="single" w:sz="4" w:space="0" w:color="000000"/>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Цель (цели) / описание</w:t>
            </w:r>
          </w:p>
        </w:tc>
      </w:tr>
      <w:tr w:rsidR="00580A3D" w:rsidRPr="005C6ABD" w:rsidTr="00955E75">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Развитие веб-пор</w:t>
            </w:r>
            <w:r>
              <w:rPr>
                <w:rFonts w:cs="Arial"/>
                <w:color w:val="000000"/>
                <w:sz w:val="16"/>
                <w:szCs w:val="16"/>
                <w:lang w:val="ru-RU"/>
              </w:rPr>
              <w:softHyphen/>
            </w:r>
            <w:r w:rsidRPr="0096004B">
              <w:rPr>
                <w:rFonts w:cs="Arial"/>
                <w:color w:val="000000"/>
                <w:sz w:val="16"/>
                <w:szCs w:val="16"/>
                <w:lang w:val="ru-RU"/>
              </w:rPr>
              <w:t>тала пакистанского ВИС</w:t>
            </w:r>
            <w:r w:rsidRPr="0096004B">
              <w:rPr>
                <w:rStyle w:val="FootnoteReference"/>
                <w:rFonts w:eastAsia="SimSun"/>
                <w:color w:val="000000"/>
                <w:sz w:val="16"/>
                <w:szCs w:val="16"/>
                <w:lang w:val="ru-RU"/>
              </w:rPr>
              <w:footnoteReference w:id="152"/>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(выполне</w:t>
            </w:r>
            <w:r>
              <w:rPr>
                <w:rFonts w:cs="Arial"/>
                <w:color w:val="000000"/>
                <w:sz w:val="16"/>
                <w:szCs w:val="16"/>
                <w:lang w:val="ru-RU"/>
              </w:rPr>
              <w:softHyphen/>
            </w:r>
            <w:r w:rsidRPr="0096004B">
              <w:rPr>
                <w:rFonts w:cs="Arial"/>
                <w:color w:val="000000"/>
                <w:sz w:val="16"/>
                <w:szCs w:val="16"/>
                <w:lang w:val="ru-RU"/>
              </w:rPr>
              <w:t>ние про</w:t>
            </w:r>
            <w:r>
              <w:rPr>
                <w:rFonts w:cs="Arial"/>
                <w:color w:val="000000"/>
                <w:sz w:val="16"/>
                <w:szCs w:val="16"/>
                <w:lang w:val="ru-RU"/>
              </w:rPr>
              <w:softHyphen/>
            </w:r>
            <w:r w:rsidRPr="0096004B">
              <w:rPr>
                <w:rFonts w:cs="Arial"/>
                <w:color w:val="000000"/>
                <w:sz w:val="16"/>
                <w:szCs w:val="16"/>
                <w:lang w:val="ru-RU"/>
              </w:rPr>
              <w:t>должается)</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Пакистан / Ведомство ИС Пакистана</w:t>
            </w:r>
          </w:p>
        </w:tc>
        <w:tc>
          <w:tcPr>
            <w:tcW w:w="4678"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Модернизация существующего сайта ВИС Пакистана с добавлением новых функциональных возможностей, таких как:  (i) онлайновый доступ к Патентному бюллетеню и бюллетеням товарных знаков;  (ii) возможность онлайновой проверки статуса заявок на регистрацию прав ИС;  (iii) возможность поиска в открытых базах данных ИС;  и (iv) реализация сети интранет для внутренней связи между офисами ВИС Пакистана в Карачи, Лахоре и Исламабаде. </w:t>
            </w:r>
          </w:p>
        </w:tc>
      </w:tr>
      <w:tr w:rsidR="00580A3D" w:rsidRPr="005C6ABD" w:rsidTr="00955E75">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Адаптация про</w:t>
            </w:r>
            <w:r>
              <w:rPr>
                <w:rFonts w:cs="Arial"/>
                <w:color w:val="000000"/>
                <w:sz w:val="16"/>
                <w:szCs w:val="16"/>
                <w:lang w:val="ru-RU"/>
              </w:rPr>
              <w:softHyphen/>
            </w:r>
            <w:r w:rsidRPr="0096004B">
              <w:rPr>
                <w:rFonts w:cs="Arial"/>
                <w:color w:val="000000"/>
                <w:sz w:val="16"/>
                <w:szCs w:val="16"/>
                <w:lang w:val="ru-RU"/>
              </w:rPr>
              <w:t>граммного обеспече</w:t>
            </w:r>
            <w:r>
              <w:rPr>
                <w:rFonts w:cs="Arial"/>
                <w:color w:val="000000"/>
                <w:sz w:val="16"/>
                <w:szCs w:val="16"/>
                <w:lang w:val="ru-RU"/>
              </w:rPr>
              <w:softHyphen/>
            </w:r>
            <w:r w:rsidRPr="0096004B">
              <w:rPr>
                <w:rFonts w:cs="Arial"/>
                <w:color w:val="000000"/>
                <w:sz w:val="16"/>
                <w:szCs w:val="16"/>
                <w:lang w:val="ru-RU"/>
              </w:rPr>
              <w:t>ния для кадрового и финансового управ</w:t>
            </w:r>
            <w:r>
              <w:rPr>
                <w:rFonts w:cs="Arial"/>
                <w:color w:val="000000"/>
                <w:sz w:val="16"/>
                <w:szCs w:val="16"/>
                <w:lang w:val="ru-RU"/>
              </w:rPr>
              <w:softHyphen/>
            </w:r>
            <w:r w:rsidRPr="0096004B">
              <w:rPr>
                <w:rFonts w:cs="Arial"/>
                <w:color w:val="000000"/>
                <w:sz w:val="16"/>
                <w:szCs w:val="16"/>
                <w:lang w:val="ru-RU"/>
              </w:rPr>
              <w:t>ления ВИС Паки</w:t>
            </w:r>
            <w:r>
              <w:rPr>
                <w:rFonts w:cs="Arial"/>
                <w:color w:val="000000"/>
                <w:sz w:val="16"/>
                <w:szCs w:val="16"/>
                <w:lang w:val="ru-RU"/>
              </w:rPr>
              <w:softHyphen/>
            </w:r>
            <w:r w:rsidRPr="0096004B">
              <w:rPr>
                <w:rFonts w:cs="Arial"/>
                <w:color w:val="000000"/>
                <w:sz w:val="16"/>
                <w:szCs w:val="16"/>
                <w:lang w:val="ru-RU"/>
              </w:rPr>
              <w:t>стана</w:t>
            </w:r>
            <w:r w:rsidRPr="0096004B">
              <w:rPr>
                <w:rStyle w:val="FootnoteReference"/>
                <w:rFonts w:eastAsia="SimSun"/>
                <w:color w:val="000000"/>
                <w:sz w:val="16"/>
                <w:szCs w:val="16"/>
                <w:lang w:val="ru-RU"/>
              </w:rPr>
              <w:footnoteReference w:id="153"/>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(проект продолжа</w:t>
            </w:r>
            <w:r>
              <w:rPr>
                <w:rFonts w:cs="Arial"/>
                <w:color w:val="000000"/>
                <w:sz w:val="16"/>
                <w:szCs w:val="16"/>
                <w:lang w:val="ru-RU"/>
              </w:rPr>
              <w:softHyphen/>
            </w:r>
            <w:r w:rsidRPr="0096004B">
              <w:rPr>
                <w:rFonts w:cs="Arial"/>
                <w:color w:val="000000"/>
                <w:sz w:val="16"/>
                <w:szCs w:val="16"/>
                <w:lang w:val="ru-RU"/>
              </w:rPr>
              <w:t>ется)</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Пакистан / Ведомство ИС Пакистана</w:t>
            </w:r>
          </w:p>
        </w:tc>
        <w:tc>
          <w:tcPr>
            <w:tcW w:w="4678"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Расширение возможностей ВИС Пакистана по оказанию услуг за счет внедрения систем автоматизации основных функций кадрового и финансового управления.  </w:t>
            </w:r>
          </w:p>
        </w:tc>
      </w:tr>
      <w:tr w:rsidR="00580A3D" w:rsidRPr="005C6ABD" w:rsidTr="00955E75">
        <w:trPr>
          <w:cantSplit/>
          <w:trHeight w:val="1620"/>
        </w:trPr>
        <w:tc>
          <w:tcPr>
            <w:tcW w:w="1843" w:type="dxa"/>
            <w:tcBorders>
              <w:top w:val="nil"/>
              <w:left w:val="single" w:sz="4" w:space="0" w:color="000000"/>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Консультации по пересмотру мероприятий, осуществляемых в рамках II Программы технической помощи по торговым вопросам (TRTA II)</w:t>
            </w:r>
          </w:p>
        </w:tc>
        <w:tc>
          <w:tcPr>
            <w:tcW w:w="1134"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20–24 апреля 2015 г.</w:t>
            </w:r>
          </w:p>
        </w:tc>
        <w:tc>
          <w:tcPr>
            <w:tcW w:w="1985"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Пакистан / Ведомство ИС Пакистана и ЮНИДО</w:t>
            </w:r>
          </w:p>
        </w:tc>
        <w:tc>
          <w:tcPr>
            <w:tcW w:w="4678" w:type="dxa"/>
            <w:tcBorders>
              <w:top w:val="nil"/>
              <w:bottom w:val="single" w:sz="4" w:space="0" w:color="auto"/>
              <w:right w:val="single" w:sz="4" w:space="0" w:color="000000"/>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Консультации с национальными заинтересованными сторонами (Патентным бюро, Реестром товарных знаков и Бюро по охране авторских прав ВИС в Карачи, Головным офисом ВИС и Офисом управления проектом ЮНИДО в Исламабаде) для определения хода выполнения программы TRTA II и действий, необходимых для обеспечения успешного завершения программы, особенно для достижения ощутимых результатов.</w:t>
            </w:r>
          </w:p>
        </w:tc>
      </w:tr>
    </w:tbl>
    <w:p w:rsidR="00580A3D" w:rsidRPr="0096004B" w:rsidRDefault="00580A3D" w:rsidP="00580A3D">
      <w:pPr>
        <w:rPr>
          <w:lang w:val="ru-RU"/>
        </w:rPr>
      </w:pPr>
    </w:p>
    <w:p w:rsidR="00580A3D" w:rsidRPr="0096004B" w:rsidRDefault="00580A3D" w:rsidP="00580A3D">
      <w:pPr>
        <w:rPr>
          <w:lang w:val="ru-RU"/>
        </w:rPr>
      </w:pPr>
    </w:p>
    <w:p w:rsidR="00580A3D" w:rsidRPr="0096004B" w:rsidRDefault="00580A3D" w:rsidP="00580A3D">
      <w:pPr>
        <w:rPr>
          <w:rFonts w:cs="Arial"/>
          <w:b/>
          <w:color w:val="000000"/>
          <w:szCs w:val="20"/>
          <w:lang w:val="ru-RU"/>
        </w:rPr>
      </w:pPr>
      <w:r w:rsidRPr="0096004B">
        <w:rPr>
          <w:rFonts w:cs="Arial"/>
          <w:b/>
          <w:bCs/>
          <w:szCs w:val="20"/>
          <w:lang w:val="ru-RU"/>
        </w:rPr>
        <w:t>ЕВРОПЕЙСКИЙ СОЮЗ (Проект для Пакистана): взносы доноров и расходы в 2015 г.</w:t>
      </w:r>
    </w:p>
    <w:p w:rsidR="00580A3D" w:rsidRPr="0096004B" w:rsidRDefault="00580A3D" w:rsidP="00580A3D">
      <w:pPr>
        <w:tabs>
          <w:tab w:val="left" w:pos="0"/>
          <w:tab w:val="left" w:pos="9071"/>
        </w:tabs>
        <w:rPr>
          <w:rFonts w:cs="Arial"/>
          <w:b/>
          <w:szCs w:val="20"/>
          <w:lang w:val="ru-RU"/>
        </w:rPr>
      </w:pPr>
    </w:p>
    <w:tbl>
      <w:tblPr>
        <w:tblW w:w="9649" w:type="dxa"/>
        <w:tblInd w:w="98" w:type="dxa"/>
        <w:tblLook w:val="04A0" w:firstRow="1" w:lastRow="0" w:firstColumn="1" w:lastColumn="0" w:noHBand="0" w:noVBand="1"/>
      </w:tblPr>
      <w:tblGrid>
        <w:gridCol w:w="2040"/>
        <w:gridCol w:w="1640"/>
        <w:gridCol w:w="1860"/>
        <w:gridCol w:w="1780"/>
        <w:gridCol w:w="2329"/>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329"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383 115</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(41 520)</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189 256</w:t>
            </w:r>
          </w:p>
        </w:tc>
        <w:tc>
          <w:tcPr>
            <w:tcW w:w="178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99 868</w:t>
            </w:r>
          </w:p>
        </w:tc>
        <w:tc>
          <w:tcPr>
            <w:tcW w:w="2329"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52 470</w:t>
            </w:r>
          </w:p>
        </w:tc>
      </w:tr>
    </w:tbl>
    <w:p w:rsidR="00580A3D" w:rsidRPr="0096004B" w:rsidRDefault="00580A3D" w:rsidP="00580A3D">
      <w:pPr>
        <w:rPr>
          <w:lang w:val="ru-RU"/>
        </w:rPr>
      </w:pPr>
    </w:p>
    <w:p w:rsidR="00580A3D" w:rsidRPr="0096004B" w:rsidRDefault="00580A3D" w:rsidP="00580A3D">
      <w:pPr>
        <w:rPr>
          <w:lang w:val="ru-RU"/>
        </w:rPr>
      </w:pPr>
    </w:p>
    <w:p w:rsidR="00580A3D" w:rsidRDefault="00580A3D">
      <w:pPr>
        <w:rPr>
          <w:rFonts w:cs="Arial"/>
          <w:b/>
          <w:bCs/>
          <w:szCs w:val="20"/>
          <w:lang w:val="ru-RU"/>
        </w:rPr>
      </w:pPr>
      <w:r>
        <w:rPr>
          <w:rFonts w:cs="Arial"/>
          <w:b/>
          <w:bCs/>
          <w:szCs w:val="20"/>
          <w:lang w:val="ru-RU"/>
        </w:rPr>
        <w:br w:type="page"/>
      </w:r>
    </w:p>
    <w:p w:rsidR="00580A3D" w:rsidRPr="0096004B" w:rsidRDefault="00580A3D" w:rsidP="00580A3D">
      <w:pPr>
        <w:rPr>
          <w:rFonts w:cs="Arial"/>
          <w:b/>
          <w:szCs w:val="20"/>
          <w:lang w:val="ru-RU"/>
        </w:rPr>
      </w:pPr>
      <w:r w:rsidRPr="0096004B">
        <w:rPr>
          <w:rFonts w:cs="Arial"/>
          <w:b/>
          <w:bCs/>
          <w:szCs w:val="20"/>
          <w:lang w:val="ru-RU"/>
        </w:rPr>
        <w:t xml:space="preserve">ФИНЛЯНДИЯ – АВТОРСКОЕ ПРАВО </w:t>
      </w:r>
    </w:p>
    <w:p w:rsidR="00580A3D" w:rsidRPr="0096004B" w:rsidRDefault="00580A3D" w:rsidP="00580A3D">
      <w:pPr>
        <w:rPr>
          <w:szCs w:val="20"/>
          <w:lang w:val="ru-RU"/>
        </w:rPr>
      </w:pPr>
    </w:p>
    <w:tbl>
      <w:tblPr>
        <w:tblW w:w="9786" w:type="dxa"/>
        <w:tblInd w:w="103"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990"/>
        <w:gridCol w:w="1134"/>
        <w:gridCol w:w="1700"/>
        <w:gridCol w:w="4962"/>
      </w:tblGrid>
      <w:tr w:rsidR="00580A3D" w:rsidRPr="005C6ABD" w:rsidTr="00975156">
        <w:tc>
          <w:tcPr>
            <w:tcW w:w="9786"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EB5F29">
            <w:pPr>
              <w:keepNext/>
              <w:keepLines/>
              <w:tabs>
                <w:tab w:val="left" w:pos="2165"/>
              </w:tabs>
              <w:spacing w:before="120" w:after="120"/>
              <w:ind w:left="2165" w:hanging="2165"/>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eastAsia="MS Mincho" w:cs="Arial"/>
                <w:bCs/>
                <w:color w:val="000000"/>
                <w:sz w:val="16"/>
                <w:szCs w:val="16"/>
                <w:lang w:val="ru-RU" w:eastAsia="ja-JP" w:bidi="th-TH"/>
              </w:rPr>
              <w:t>V.2. Более широкое и эффективное использование экономического анализа ВОИС при разработке политики</w:t>
            </w:r>
          </w:p>
        </w:tc>
      </w:tr>
      <w:tr w:rsidR="00580A3D" w:rsidRPr="00EB5F29" w:rsidTr="00975156">
        <w:tc>
          <w:tcPr>
            <w:tcW w:w="1990"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1700" w:type="dxa"/>
            <w:tcBorders>
              <w:top w:val="single" w:sz="4" w:space="0" w:color="000000"/>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962" w:type="dxa"/>
            <w:tcBorders>
              <w:top w:val="single" w:sz="4" w:space="0" w:color="000000"/>
            </w:tcBorders>
            <w:shd w:val="clear" w:color="auto" w:fill="FFFFFF"/>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c>
          <w:tcPr>
            <w:tcW w:w="199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 xml:space="preserve">Публикация второго издания </w:t>
            </w:r>
            <w:r w:rsidRPr="0096004B">
              <w:rPr>
                <w:rFonts w:eastAsia="MS Mincho" w:cs="Arial"/>
                <w:i/>
                <w:iCs/>
                <w:color w:val="000000"/>
                <w:sz w:val="16"/>
                <w:szCs w:val="16"/>
                <w:lang w:val="ru-RU" w:eastAsia="ja-JP" w:bidi="th-TH"/>
              </w:rPr>
              <w:t>«Руководства ВОИС исследованию экономической роли творческих отраслей»</w:t>
            </w:r>
            <w:r w:rsidRPr="0096004B">
              <w:rPr>
                <w:rStyle w:val="FootnoteReference"/>
                <w:rFonts w:eastAsia="MS Mincho" w:cs="Arial"/>
                <w:i/>
                <w:color w:val="000000"/>
                <w:sz w:val="16"/>
                <w:szCs w:val="16"/>
                <w:lang w:val="ru-RU" w:eastAsia="ja-JP" w:bidi="th-TH"/>
              </w:rPr>
              <w:footnoteReference w:id="154"/>
            </w:r>
          </w:p>
        </w:tc>
        <w:tc>
          <w:tcPr>
            <w:tcW w:w="1134"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Март – июнь 2015 г.</w:t>
            </w:r>
          </w:p>
        </w:tc>
        <w:tc>
          <w:tcPr>
            <w:tcW w:w="170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Все страны</w:t>
            </w:r>
          </w:p>
        </w:tc>
        <w:tc>
          <w:tcPr>
            <w:tcW w:w="4962"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Актуализация разработанной ВОИС методики исследования экономической роли отраслей, основанных на авторском праве.</w:t>
            </w:r>
          </w:p>
        </w:tc>
      </w:tr>
      <w:tr w:rsidR="00580A3D" w:rsidRPr="005C6ABD" w:rsidTr="00975156">
        <w:tc>
          <w:tcPr>
            <w:tcW w:w="199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Разработка руководящих принципов оценки экономического, социального и культурного значения авторского права для творческих отраслей</w:t>
            </w:r>
          </w:p>
        </w:tc>
        <w:tc>
          <w:tcPr>
            <w:tcW w:w="1134"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1 мая – 31 декабря 2015 г.</w:t>
            </w:r>
          </w:p>
        </w:tc>
        <w:tc>
          <w:tcPr>
            <w:tcW w:w="170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Финляндия / все страны</w:t>
            </w:r>
          </w:p>
        </w:tc>
        <w:tc>
          <w:tcPr>
            <w:tcW w:w="4962"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 xml:space="preserve">Выполнение пилотного проекта по тестированию и доработке методики ВОИС для анализа более широкого воздействия авторского права </w:t>
            </w: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tc>
      </w:tr>
      <w:tr w:rsidR="00580A3D" w:rsidRPr="005C6ABD" w:rsidTr="00975156">
        <w:tc>
          <w:tcPr>
            <w:tcW w:w="199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Исследования, посвященные экономической роли авторско-правовых отраслей и оценке последствий пиратского использования произведений, охраняемых авторским правом</w:t>
            </w:r>
          </w:p>
        </w:tc>
        <w:tc>
          <w:tcPr>
            <w:tcW w:w="1134"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Январь – май 2015 г.</w:t>
            </w:r>
          </w:p>
        </w:tc>
        <w:tc>
          <w:tcPr>
            <w:tcW w:w="170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 xml:space="preserve">Эфиопия, Республика Молдова </w:t>
            </w:r>
          </w:p>
        </w:tc>
        <w:tc>
          <w:tcPr>
            <w:tcW w:w="4962"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Подготовка в публикации двух дополнительных исследований ВОИС, посвященных экономической роли отраслей, основанных на авторском праве (Эфиопия и Республика Молдова).</w:t>
            </w: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tc>
      </w:tr>
    </w:tbl>
    <w:p w:rsidR="00580A3D" w:rsidRPr="0096004B" w:rsidRDefault="00580A3D" w:rsidP="00580A3D">
      <w:pPr>
        <w:rPr>
          <w:lang w:val="ru-RU"/>
        </w:rPr>
      </w:pPr>
    </w:p>
    <w:p w:rsidR="00580A3D" w:rsidRPr="0096004B" w:rsidRDefault="00580A3D" w:rsidP="00580A3D">
      <w:pPr>
        <w:rPr>
          <w:rFonts w:cs="Arial"/>
          <w:b/>
          <w:szCs w:val="20"/>
          <w:lang w:val="ru-RU"/>
        </w:rPr>
      </w:pPr>
    </w:p>
    <w:p w:rsidR="00580A3D" w:rsidRPr="0096004B" w:rsidRDefault="00580A3D" w:rsidP="00580A3D">
      <w:pPr>
        <w:rPr>
          <w:rFonts w:cs="Arial"/>
          <w:b/>
          <w:bCs/>
          <w:color w:val="000000"/>
          <w:szCs w:val="20"/>
          <w:lang w:val="ru-RU"/>
        </w:rPr>
      </w:pPr>
      <w:r w:rsidRPr="0096004B">
        <w:rPr>
          <w:rFonts w:cs="Arial"/>
          <w:b/>
          <w:bCs/>
          <w:szCs w:val="20"/>
          <w:lang w:val="ru-RU"/>
        </w:rPr>
        <w:t>ФИНЛЯНДИЯ – АВТОРСКОЕ ПРАВО: взносы доноров и расходы в 2015 г.</w:t>
      </w:r>
    </w:p>
    <w:p w:rsidR="00580A3D" w:rsidRPr="0096004B" w:rsidRDefault="00580A3D" w:rsidP="00580A3D">
      <w:pPr>
        <w:rPr>
          <w:lang w:val="ru-RU"/>
        </w:rPr>
      </w:pPr>
    </w:p>
    <w:tbl>
      <w:tblPr>
        <w:tblW w:w="9791" w:type="dxa"/>
        <w:tblInd w:w="98" w:type="dxa"/>
        <w:tblLook w:val="04A0" w:firstRow="1" w:lastRow="0" w:firstColumn="1" w:lastColumn="0" w:noHBand="0" w:noVBand="1"/>
      </w:tblPr>
      <w:tblGrid>
        <w:gridCol w:w="2040"/>
        <w:gridCol w:w="1640"/>
        <w:gridCol w:w="1860"/>
        <w:gridCol w:w="1780"/>
        <w:gridCol w:w="2471"/>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1"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66 020</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51 660</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1"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14 360</w:t>
            </w:r>
          </w:p>
        </w:tc>
      </w:tr>
    </w:tbl>
    <w:p w:rsidR="00580A3D" w:rsidRPr="0096004B" w:rsidRDefault="00580A3D" w:rsidP="00580A3D">
      <w:pPr>
        <w:rPr>
          <w:lang w:val="ru-RU"/>
        </w:rPr>
      </w:pPr>
    </w:p>
    <w:p w:rsidR="00580A3D" w:rsidRPr="0096004B" w:rsidRDefault="00580A3D" w:rsidP="00580A3D">
      <w:pPr>
        <w:rPr>
          <w:rFonts w:cs="Arial"/>
          <w:b/>
          <w:szCs w:val="20"/>
          <w:lang w:val="ru-RU"/>
        </w:rPr>
      </w:pPr>
    </w:p>
    <w:p w:rsidR="00580A3D" w:rsidRPr="0096004B" w:rsidRDefault="00580A3D" w:rsidP="00580A3D">
      <w:pPr>
        <w:keepNext/>
        <w:keepLines/>
        <w:rPr>
          <w:rFonts w:cs="Arial"/>
          <w:b/>
          <w:szCs w:val="16"/>
          <w:lang w:val="ru-RU"/>
        </w:rPr>
      </w:pPr>
      <w:r w:rsidRPr="0096004B">
        <w:rPr>
          <w:rFonts w:cs="Arial"/>
          <w:b/>
          <w:bCs/>
          <w:szCs w:val="16"/>
          <w:lang w:val="ru-RU"/>
        </w:rPr>
        <w:t>ФРАНЦИЯ – ПРОМЫШЛЕННАЯ СОБСТВЕННОСТЬ</w:t>
      </w:r>
    </w:p>
    <w:p w:rsidR="00580A3D" w:rsidRPr="0096004B" w:rsidRDefault="00580A3D" w:rsidP="00580A3D">
      <w:pPr>
        <w:keepNext/>
        <w:keepLines/>
        <w:rPr>
          <w:rFonts w:cs="Arial"/>
          <w:b/>
          <w:szCs w:val="16"/>
          <w:lang w:val="ru-RU"/>
        </w:rPr>
      </w:pPr>
    </w:p>
    <w:tbl>
      <w:tblPr>
        <w:tblW w:w="9782"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80"/>
        <w:gridCol w:w="1260"/>
        <w:gridCol w:w="1530"/>
        <w:gridCol w:w="5012"/>
      </w:tblGrid>
      <w:tr w:rsidR="00580A3D" w:rsidRPr="005C6ABD" w:rsidTr="00975156">
        <w:tc>
          <w:tcPr>
            <w:tcW w:w="9782" w:type="dxa"/>
            <w:gridSpan w:val="4"/>
            <w:tcBorders>
              <w:top w:val="single" w:sz="4" w:space="0" w:color="auto"/>
              <w:bottom w:val="single" w:sz="4" w:space="0" w:color="auto"/>
            </w:tcBorders>
            <w:shd w:val="clear" w:color="auto" w:fill="C6D9F1" w:themeFill="text2" w:themeFillTint="33"/>
            <w:vAlign w:val="center"/>
          </w:tcPr>
          <w:p w:rsidR="00580A3D" w:rsidRPr="0096004B" w:rsidRDefault="00580A3D" w:rsidP="00975156">
            <w:pPr>
              <w:keepNext/>
              <w:keepLines/>
              <w:tabs>
                <w:tab w:val="left" w:pos="1740"/>
              </w:tabs>
              <w:spacing w:before="120" w:after="60"/>
              <w:ind w:left="1741" w:hanging="1741"/>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eastAsia="MS Mincho" w:cs="Arial"/>
                <w:bCs/>
                <w:color w:val="000000"/>
                <w:sz w:val="16"/>
                <w:szCs w:val="16"/>
                <w:lang w:val="ru-RU" w:eastAsia="ja-JP" w:bidi="th-TH"/>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c>
          <w:tcPr>
            <w:tcW w:w="1980" w:type="dxa"/>
            <w:tcBorders>
              <w:top w:val="single" w:sz="4" w:space="0" w:color="auto"/>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260" w:type="dxa"/>
            <w:tcBorders>
              <w:top w:val="single" w:sz="4" w:space="0" w:color="auto"/>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1530" w:type="dxa"/>
            <w:tcBorders>
              <w:top w:val="single" w:sz="4" w:space="0" w:color="auto"/>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5012" w:type="dxa"/>
            <w:tcBorders>
              <w:top w:val="single" w:sz="4" w:space="0" w:color="auto"/>
            </w:tcBorders>
            <w:shd w:val="clear" w:color="auto" w:fill="FFFFFF"/>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c>
          <w:tcPr>
            <w:tcW w:w="198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Региональный семинар «Патенты как инновационный фактор»</w:t>
            </w: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tc>
        <w:tc>
          <w:tcPr>
            <w:tcW w:w="126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19–20 мая 2015 г.</w:t>
            </w:r>
          </w:p>
        </w:tc>
        <w:tc>
          <w:tcPr>
            <w:tcW w:w="153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Марокко / 15 участников из Алжира,</w:t>
            </w:r>
            <w:r w:rsidRPr="0096004B">
              <w:rPr>
                <w:lang w:val="ru-RU"/>
              </w:rPr>
              <w:t xml:space="preserve"> </w:t>
            </w:r>
            <w:r w:rsidRPr="0096004B">
              <w:rPr>
                <w:rFonts w:eastAsia="MS Mincho" w:cs="Arial"/>
                <w:color w:val="000000"/>
                <w:sz w:val="16"/>
                <w:szCs w:val="16"/>
                <w:lang w:val="ru-RU" w:eastAsia="ja-JP" w:bidi="th-TH"/>
              </w:rPr>
              <w:t>АОИС и Туниса</w:t>
            </w:r>
          </w:p>
        </w:tc>
        <w:tc>
          <w:tcPr>
            <w:tcW w:w="5012" w:type="dxa"/>
          </w:tcPr>
          <w:p w:rsidR="00580A3D" w:rsidRPr="0096004B" w:rsidRDefault="00580A3D" w:rsidP="00975156">
            <w:pPr>
              <w:autoSpaceDE w:val="0"/>
              <w:autoSpaceDN w:val="0"/>
              <w:adjustRightInd w:val="0"/>
              <w:spacing w:before="60" w:after="60"/>
              <w:rPr>
                <w:rFonts w:eastAsia="MS Mincho" w:cs="Arial"/>
                <w:bCs/>
                <w:color w:val="000000"/>
                <w:sz w:val="16"/>
                <w:szCs w:val="16"/>
                <w:lang w:val="ru-RU" w:eastAsia="ja-JP" w:bidi="th-TH"/>
              </w:rPr>
            </w:pPr>
            <w:r w:rsidRPr="0096004B">
              <w:rPr>
                <w:rFonts w:eastAsia="MS Mincho" w:cs="Arial"/>
                <w:bCs/>
                <w:color w:val="000000"/>
                <w:sz w:val="16"/>
                <w:szCs w:val="16"/>
                <w:lang w:val="ru-RU" w:eastAsia="ja-JP" w:bidi="th-TH"/>
              </w:rPr>
              <w:t>Привлечение предприятий, университетов, ведомств ИС, научно-исследовательских учреждений и частного сектора к использованию патентной информации:  (i) в процессе инноваций;  (ii) для капитализации знаний;  (iii) для выработки новых идей;  и (iv) в процессе охраны и коммерческого использования своих изобретений.</w:t>
            </w:r>
          </w:p>
        </w:tc>
      </w:tr>
      <w:tr w:rsidR="00580A3D" w:rsidRPr="005C6ABD" w:rsidTr="00975156">
        <w:tc>
          <w:tcPr>
            <w:tcW w:w="198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Национальный практикум по обеспечению уважения интеллектуальной собственности для судей</w:t>
            </w: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Национальный практикум по обеспечению уважения интеллектуальной собственности для работников таможни</w:t>
            </w:r>
          </w:p>
        </w:tc>
        <w:tc>
          <w:tcPr>
            <w:tcW w:w="126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30 июня – 2 июля 2015 г.</w:t>
            </w: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30 июня – 1 июля 2015 г.</w:t>
            </w:r>
          </w:p>
        </w:tc>
        <w:tc>
          <w:tcPr>
            <w:tcW w:w="153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Бенин / 30 судей</w:t>
            </w: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Бенин / 15 работников таможни</w:t>
            </w:r>
          </w:p>
        </w:tc>
        <w:tc>
          <w:tcPr>
            <w:tcW w:w="5012" w:type="dxa"/>
          </w:tcPr>
          <w:p w:rsidR="00580A3D" w:rsidRPr="0096004B" w:rsidRDefault="00580A3D" w:rsidP="00975156">
            <w:pPr>
              <w:autoSpaceDE w:val="0"/>
              <w:autoSpaceDN w:val="0"/>
              <w:adjustRightInd w:val="0"/>
              <w:spacing w:before="60" w:after="60"/>
              <w:rPr>
                <w:rFonts w:eastAsia="MS Mincho" w:cs="Arial"/>
                <w:bCs/>
                <w:color w:val="000000"/>
                <w:sz w:val="16"/>
                <w:szCs w:val="16"/>
                <w:lang w:val="ru-RU" w:eastAsia="ja-JP" w:bidi="th-TH"/>
              </w:rPr>
            </w:pPr>
            <w:r w:rsidRPr="0096004B">
              <w:rPr>
                <w:rFonts w:eastAsia="MS Mincho" w:cs="Arial"/>
                <w:bCs/>
                <w:color w:val="000000"/>
                <w:sz w:val="16"/>
                <w:szCs w:val="16"/>
                <w:lang w:val="ru-RU" w:eastAsia="ja-JP" w:bidi="th-TH"/>
              </w:rPr>
              <w:t>(i) Развитие и укрепление потенциала судейского корпуса и сотрудников таможни Бенина в области защиты прав интеллектуальной собственности и обеспечения уважения ИС;  (ii) повышение квалификации участников в отношении судопроизводства, управления судебными процессами по делам, связанным с ИС, и применения таможенных мер для более широкого использования процедур, предусмотренных частью III Соглашения ТРИПС;  (iii) предоставление каждой группе участников возможности обмена опытом и обсуждения проблем в области исполнения нормативно-правовых положений о защите прав ИС;  и (iv) ознакомление судей с судебными инструментами, разработанными ВОИС и АОИС.</w:t>
            </w:r>
          </w:p>
        </w:tc>
      </w:tr>
      <w:tr w:rsidR="00580A3D" w:rsidRPr="005C6ABD" w:rsidTr="00975156">
        <w:tc>
          <w:tcPr>
            <w:tcW w:w="198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 xml:space="preserve">Региональные семинар по совместным инновациям и интеллектуальной собственности на тему «Развитие партнерств между университетами и предприятиями» </w:t>
            </w:r>
          </w:p>
        </w:tc>
        <w:tc>
          <w:tcPr>
            <w:tcW w:w="126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2–3 июля 2015 г.</w:t>
            </w:r>
          </w:p>
        </w:tc>
        <w:tc>
          <w:tcPr>
            <w:tcW w:w="153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Вьетнам / 70 участников, в т.ч. девять из Камбоджи, Лаосской Народно-Демократической Республики и Мьянмы</w:t>
            </w:r>
          </w:p>
        </w:tc>
        <w:tc>
          <w:tcPr>
            <w:tcW w:w="5012" w:type="dxa"/>
          </w:tcPr>
          <w:p w:rsidR="00580A3D" w:rsidRPr="0096004B" w:rsidRDefault="00580A3D" w:rsidP="00975156">
            <w:pPr>
              <w:autoSpaceDE w:val="0"/>
              <w:autoSpaceDN w:val="0"/>
              <w:adjustRightInd w:val="0"/>
              <w:spacing w:before="60" w:after="60"/>
              <w:rPr>
                <w:rFonts w:eastAsia="MS Mincho" w:cs="Arial"/>
                <w:bCs/>
                <w:color w:val="000000"/>
                <w:sz w:val="16"/>
                <w:szCs w:val="16"/>
                <w:lang w:val="ru-RU" w:eastAsia="ja-JP" w:bidi="th-TH"/>
              </w:rPr>
            </w:pPr>
            <w:r w:rsidRPr="0096004B">
              <w:rPr>
                <w:rFonts w:eastAsia="MS Mincho" w:cs="Arial"/>
                <w:bCs/>
                <w:color w:val="000000"/>
                <w:sz w:val="16"/>
                <w:szCs w:val="16"/>
                <w:lang w:val="ru-RU" w:eastAsia="ja-JP" w:bidi="th-TH"/>
              </w:rPr>
              <w:t>(i) Представление различных моделей, помогающих создавать благоприятные условия для охраны инноваций и прав ИС;  (ii) развитие инновационного потенциала за счет эффективного использования системы ИС;  и (iii) освещение темы совместных и открытых инноваций.</w:t>
            </w:r>
          </w:p>
        </w:tc>
      </w:tr>
      <w:tr w:rsidR="00580A3D" w:rsidRPr="005C6ABD" w:rsidTr="00975156">
        <w:tc>
          <w:tcPr>
            <w:tcW w:w="198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Региональные тренинг по товарным знакам и контрафакции для судей стран – участниц Совет сотрудничества арабских государств Персидского залива (ССАГПЗ)</w:t>
            </w:r>
          </w:p>
        </w:tc>
        <w:tc>
          <w:tcPr>
            <w:tcW w:w="126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25–26 октября 2015 г.</w:t>
            </w:r>
          </w:p>
        </w:tc>
        <w:tc>
          <w:tcPr>
            <w:tcW w:w="153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 xml:space="preserve">Объединенные Арабские Эмираты / 23 участника из Бахрейна, Кувейта, Ливана, Омана, Катара, Саудовской Аравии и Объединенных Арабских Эмиратов </w:t>
            </w:r>
          </w:p>
        </w:tc>
        <w:tc>
          <w:tcPr>
            <w:tcW w:w="5012" w:type="dxa"/>
          </w:tcPr>
          <w:p w:rsidR="00580A3D" w:rsidRPr="0096004B" w:rsidRDefault="00580A3D" w:rsidP="00975156">
            <w:pPr>
              <w:autoSpaceDE w:val="0"/>
              <w:autoSpaceDN w:val="0"/>
              <w:adjustRightInd w:val="0"/>
              <w:spacing w:before="60" w:after="60"/>
              <w:rPr>
                <w:rFonts w:eastAsia="MS Mincho" w:cs="Arial"/>
                <w:bCs/>
                <w:color w:val="000000"/>
                <w:sz w:val="16"/>
                <w:szCs w:val="16"/>
                <w:lang w:val="ru-RU" w:eastAsia="ja-JP" w:bidi="th-TH"/>
              </w:rPr>
            </w:pPr>
            <w:r w:rsidRPr="0096004B">
              <w:rPr>
                <w:rFonts w:eastAsia="MS Mincho" w:cs="Arial"/>
                <w:bCs/>
                <w:color w:val="000000"/>
                <w:sz w:val="16"/>
                <w:szCs w:val="16"/>
                <w:lang w:val="ru-RU" w:eastAsia="ja-JP" w:bidi="th-TH"/>
              </w:rPr>
              <w:t>(i) Привлечение внимания судей к теме охраны промышленной собственности;  (ii) обеспечение соответствия судебных решений положениям национального законодательства и международных договоров, заключенных их странами;  и (iii) повышение согласованности принимаемых судьями решений как на национальном, так и на региональном уровне.</w:t>
            </w:r>
          </w:p>
        </w:tc>
      </w:tr>
      <w:tr w:rsidR="00580A3D" w:rsidRPr="005C6ABD" w:rsidTr="00975156">
        <w:tc>
          <w:tcPr>
            <w:tcW w:w="198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Параллельные мероприятия в рамках КОС-21</w:t>
            </w:r>
          </w:p>
        </w:tc>
        <w:tc>
          <w:tcPr>
            <w:tcW w:w="126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30 ноября – 11 декабря 2015 г.</w:t>
            </w:r>
          </w:p>
        </w:tc>
        <w:tc>
          <w:tcPr>
            <w:tcW w:w="153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Франция</w:t>
            </w:r>
          </w:p>
        </w:tc>
        <w:tc>
          <w:tcPr>
            <w:tcW w:w="5012" w:type="dxa"/>
          </w:tcPr>
          <w:p w:rsidR="00580A3D" w:rsidRPr="0096004B" w:rsidRDefault="00580A3D" w:rsidP="00975156">
            <w:pPr>
              <w:autoSpaceDE w:val="0"/>
              <w:autoSpaceDN w:val="0"/>
              <w:adjustRightInd w:val="0"/>
              <w:spacing w:before="60" w:after="60"/>
              <w:rPr>
                <w:rFonts w:eastAsia="MS Mincho" w:cs="Arial"/>
                <w:bCs/>
                <w:color w:val="000000"/>
                <w:sz w:val="16"/>
                <w:szCs w:val="16"/>
                <w:lang w:val="ru-RU" w:eastAsia="ja-JP" w:bidi="th-TH"/>
              </w:rPr>
            </w:pPr>
            <w:r w:rsidRPr="0096004B">
              <w:rPr>
                <w:rFonts w:eastAsia="MS Mincho" w:cs="Arial"/>
                <w:bCs/>
                <w:color w:val="000000"/>
                <w:sz w:val="16"/>
                <w:szCs w:val="16"/>
                <w:lang w:val="ru-RU" w:eastAsia="ja-JP" w:bidi="th-TH"/>
              </w:rPr>
              <w:t>Предоставление французским и зарубежным МСП возможности продемонстрировать:  (i) что промышленная собственность не является препятствием для устойчивого развития и охраны климата;  и (ii) как промышленная собственность может способствовать развитию инноваций, которые, среди прочего, позволяют минимизировать негативные последствия изменения климата.</w:t>
            </w:r>
          </w:p>
        </w:tc>
      </w:tr>
      <w:tr w:rsidR="00580A3D" w:rsidRPr="005C6ABD" w:rsidTr="00975156">
        <w:tc>
          <w:tcPr>
            <w:tcW w:w="198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Учебная программа CAPI (Сертификат активиста промышленной собственности), совместно организованная с Национальным институтом промышленной собственности (INPI) Франции и Марокканским ведомством промышленной и коммерческой собственности (OMPIC)</w:t>
            </w:r>
          </w:p>
        </w:tc>
        <w:tc>
          <w:tcPr>
            <w:tcW w:w="126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12–31 декабря 2015 г.</w:t>
            </w: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p>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(Ожидаемое завершение – 8 апреля 2016 г.)</w:t>
            </w:r>
          </w:p>
        </w:tc>
        <w:tc>
          <w:tcPr>
            <w:tcW w:w="1530"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bidi="th-TH"/>
              </w:rPr>
            </w:pPr>
            <w:r w:rsidRPr="0096004B">
              <w:rPr>
                <w:rFonts w:eastAsia="MS Mincho" w:cs="Arial"/>
                <w:color w:val="000000"/>
                <w:sz w:val="16"/>
                <w:szCs w:val="16"/>
                <w:lang w:val="ru-RU" w:eastAsia="ja-JP" w:bidi="th-TH"/>
              </w:rPr>
              <w:t xml:space="preserve">Марокко / 10 участников из Алжира, Камеруна, Кот-д’Ивуара, Сенегала и Туниса </w:t>
            </w:r>
          </w:p>
        </w:tc>
        <w:tc>
          <w:tcPr>
            <w:tcW w:w="5012" w:type="dxa"/>
          </w:tcPr>
          <w:p w:rsidR="00580A3D" w:rsidRPr="0096004B" w:rsidRDefault="00580A3D" w:rsidP="00EB5F29">
            <w:pPr>
              <w:spacing w:before="60" w:after="60"/>
              <w:rPr>
                <w:rFonts w:eastAsia="MS Mincho" w:cs="Arial"/>
                <w:bCs/>
                <w:color w:val="000000"/>
                <w:sz w:val="16"/>
                <w:szCs w:val="16"/>
                <w:lang w:val="ru-RU" w:eastAsia="ja-JP" w:bidi="th-TH"/>
              </w:rPr>
            </w:pPr>
            <w:r w:rsidRPr="0096004B">
              <w:rPr>
                <w:rFonts w:eastAsia="MS Mincho" w:cs="Arial"/>
                <w:bCs/>
                <w:color w:val="000000"/>
                <w:sz w:val="16"/>
                <w:szCs w:val="16"/>
                <w:lang w:val="ru-RU" w:eastAsia="ja-JP" w:bidi="th-TH"/>
              </w:rPr>
              <w:t xml:space="preserve">Сертифицированная программа обучения, ориентированная на потребности предприятий и специалистов, желающих:  (i) развить компетенцию по управлению правами промышленной собственности;  (ii) понять существующие проблемы в области промышленной собственности;  (iii) повысить эффективность управления нематериальными активами и оценки их стоимости;  и (iv) освоить инструменты охраны и поиска.  </w:t>
            </w:r>
          </w:p>
        </w:tc>
      </w:tr>
    </w:tbl>
    <w:p w:rsidR="00580A3D" w:rsidRPr="0096004B" w:rsidRDefault="00580A3D" w:rsidP="00580A3D">
      <w:pPr>
        <w:rPr>
          <w:rFonts w:cs="Arial"/>
          <w:b/>
          <w:szCs w:val="16"/>
          <w:lang w:val="ru-RU"/>
        </w:rPr>
      </w:pPr>
    </w:p>
    <w:p w:rsidR="00580A3D" w:rsidRPr="0096004B" w:rsidRDefault="00580A3D" w:rsidP="00580A3D">
      <w:pPr>
        <w:rPr>
          <w:rFonts w:cs="Arial"/>
          <w:b/>
          <w:szCs w:val="16"/>
          <w:lang w:val="ru-RU"/>
        </w:rPr>
      </w:pPr>
    </w:p>
    <w:p w:rsidR="00580A3D" w:rsidRPr="0096004B" w:rsidRDefault="00580A3D" w:rsidP="00580A3D">
      <w:pPr>
        <w:rPr>
          <w:rFonts w:cs="Arial"/>
          <w:b/>
          <w:color w:val="000000"/>
          <w:szCs w:val="16"/>
          <w:lang w:val="ru-RU"/>
        </w:rPr>
      </w:pPr>
      <w:r w:rsidRPr="0096004B">
        <w:rPr>
          <w:rFonts w:cs="Arial"/>
          <w:b/>
          <w:bCs/>
          <w:szCs w:val="16"/>
          <w:lang w:val="ru-RU"/>
        </w:rPr>
        <w:t>ФРАНЦИЯ – ПРОМЫШЛЕННАЯ СОБСТВЕННОСТЬ: взносы доноров и расходы в 2015 г.</w:t>
      </w:r>
    </w:p>
    <w:p w:rsidR="00580A3D" w:rsidRPr="0096004B" w:rsidRDefault="00580A3D" w:rsidP="00580A3D">
      <w:pPr>
        <w:rPr>
          <w:rFonts w:cs="Arial"/>
          <w:b/>
          <w:color w:val="000000"/>
          <w:szCs w:val="16"/>
          <w:lang w:val="ru-RU"/>
        </w:rPr>
      </w:pPr>
    </w:p>
    <w:tbl>
      <w:tblPr>
        <w:tblW w:w="9792" w:type="dxa"/>
        <w:tblInd w:w="98" w:type="dxa"/>
        <w:tblLook w:val="04A0" w:firstRow="1" w:lastRow="0" w:firstColumn="1" w:lastColumn="0" w:noHBand="0" w:noVBand="1"/>
      </w:tblPr>
      <w:tblGrid>
        <w:gridCol w:w="2040"/>
        <w:gridCol w:w="1640"/>
        <w:gridCol w:w="1860"/>
        <w:gridCol w:w="1780"/>
        <w:gridCol w:w="2472"/>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2"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1 027 640</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292 662</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359 804</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2"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960 497</w:t>
            </w:r>
          </w:p>
        </w:tc>
      </w:tr>
    </w:tbl>
    <w:p w:rsidR="00580A3D" w:rsidRPr="0096004B" w:rsidRDefault="00580A3D" w:rsidP="00580A3D">
      <w:pPr>
        <w:rPr>
          <w:rFonts w:cs="Arial"/>
          <w:b/>
          <w:szCs w:val="20"/>
          <w:lang w:val="ru-RU"/>
        </w:rPr>
      </w:pPr>
    </w:p>
    <w:p w:rsidR="00580A3D" w:rsidRPr="0096004B" w:rsidRDefault="00580A3D" w:rsidP="00580A3D">
      <w:pPr>
        <w:rPr>
          <w:rFonts w:cs="Arial"/>
          <w:b/>
          <w:szCs w:val="20"/>
          <w:lang w:val="ru-RU"/>
        </w:rPr>
      </w:pPr>
    </w:p>
    <w:p w:rsidR="00580A3D" w:rsidRDefault="00580A3D">
      <w:pPr>
        <w:rPr>
          <w:rFonts w:cs="Arial"/>
          <w:b/>
          <w:bCs/>
          <w:szCs w:val="20"/>
          <w:lang w:val="ru-RU"/>
        </w:rPr>
      </w:pPr>
      <w:r>
        <w:rPr>
          <w:rFonts w:cs="Arial"/>
          <w:b/>
          <w:bCs/>
          <w:szCs w:val="20"/>
          <w:lang w:val="ru-RU"/>
        </w:rPr>
        <w:br w:type="page"/>
      </w:r>
    </w:p>
    <w:p w:rsidR="00580A3D" w:rsidRPr="0096004B" w:rsidRDefault="00580A3D" w:rsidP="00580A3D">
      <w:pPr>
        <w:rPr>
          <w:rFonts w:cs="Arial"/>
          <w:b/>
          <w:szCs w:val="20"/>
          <w:u w:val="single"/>
          <w:lang w:val="ru-RU"/>
        </w:rPr>
      </w:pPr>
      <w:r w:rsidRPr="0096004B">
        <w:rPr>
          <w:rFonts w:cs="Arial"/>
          <w:b/>
          <w:bCs/>
          <w:szCs w:val="20"/>
          <w:lang w:val="ru-RU"/>
        </w:rPr>
        <w:t>ИБЕРОАМЕРИКАНСКАЯ ПРОГРАММА ПО ПРОМЫШЛЕННОЙ СОБСТВЕННОСТИ</w:t>
      </w:r>
      <w:r w:rsidRPr="0096004B">
        <w:rPr>
          <w:rStyle w:val="FootnoteReference"/>
          <w:rFonts w:cs="Arial"/>
          <w:b/>
          <w:szCs w:val="20"/>
          <w:u w:val="single"/>
          <w:lang w:val="ru-RU"/>
        </w:rPr>
        <w:footnoteReference w:id="155"/>
      </w:r>
    </w:p>
    <w:p w:rsidR="00580A3D" w:rsidRPr="0096004B" w:rsidRDefault="00580A3D" w:rsidP="00580A3D">
      <w:pPr>
        <w:rPr>
          <w:rFonts w:cs="Arial"/>
          <w:b/>
          <w:szCs w:val="20"/>
          <w:u w:val="single"/>
          <w:lang w:val="ru-RU"/>
        </w:rPr>
      </w:pPr>
    </w:p>
    <w:tbl>
      <w:tblPr>
        <w:tblW w:w="9781"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2126"/>
        <w:gridCol w:w="4678"/>
      </w:tblGrid>
      <w:tr w:rsidR="00580A3D" w:rsidRPr="005C6ABD" w:rsidTr="00975156">
        <w:tc>
          <w:tcPr>
            <w:tcW w:w="9781" w:type="dxa"/>
            <w:gridSpan w:val="4"/>
            <w:tcBorders>
              <w:top w:val="single" w:sz="4" w:space="0" w:color="000000"/>
              <w:bottom w:val="single" w:sz="4" w:space="0" w:color="000000"/>
            </w:tcBorders>
            <w:shd w:val="clear" w:color="auto" w:fill="C6D9F1"/>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c>
          <w:tcPr>
            <w:tcW w:w="184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2126" w:type="dxa"/>
            <w:tcBorders>
              <w:top w:val="single" w:sz="4" w:space="0" w:color="000000"/>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8" w:type="dxa"/>
            <w:tcBorders>
              <w:top w:val="single" w:sz="4" w:space="0" w:color="000000"/>
            </w:tcBorders>
            <w:shd w:val="clear" w:color="auto" w:fill="FFFFFF"/>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trHeight w:val="520"/>
        </w:trPr>
        <w:tc>
          <w:tcPr>
            <w:tcW w:w="1843"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Создание испаноя</w:t>
            </w:r>
            <w:r>
              <w:rPr>
                <w:rFonts w:cs="Arial"/>
                <w:color w:val="000000"/>
                <w:sz w:val="16"/>
                <w:szCs w:val="16"/>
                <w:lang w:val="ru-RU"/>
              </w:rPr>
              <w:softHyphen/>
            </w:r>
            <w:r w:rsidRPr="0096004B">
              <w:rPr>
                <w:rFonts w:cs="Arial"/>
                <w:color w:val="000000"/>
                <w:sz w:val="16"/>
                <w:szCs w:val="16"/>
                <w:lang w:val="ru-RU"/>
              </w:rPr>
              <w:t>зычной информаци</w:t>
            </w:r>
            <w:r>
              <w:rPr>
                <w:rFonts w:cs="Arial"/>
                <w:color w:val="000000"/>
                <w:sz w:val="16"/>
                <w:szCs w:val="16"/>
                <w:lang w:val="ru-RU"/>
              </w:rPr>
              <w:softHyphen/>
            </w:r>
            <w:r w:rsidRPr="0096004B">
              <w:rPr>
                <w:rFonts w:cs="Arial"/>
                <w:color w:val="000000"/>
                <w:sz w:val="16"/>
                <w:szCs w:val="16"/>
                <w:lang w:val="ru-RU"/>
              </w:rPr>
              <w:t>онной платформы услуг и контента в области ИС для предпринимателей ибероамериканских стран, особенно МСП (CIBEPYME).</w:t>
            </w:r>
          </w:p>
        </w:tc>
        <w:tc>
          <w:tcPr>
            <w:tcW w:w="1134"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(выполне</w:t>
            </w:r>
            <w:r>
              <w:rPr>
                <w:rFonts w:cs="Arial"/>
                <w:color w:val="000000"/>
                <w:sz w:val="16"/>
                <w:szCs w:val="16"/>
                <w:lang w:val="ru-RU"/>
              </w:rPr>
              <w:softHyphen/>
            </w:r>
            <w:r w:rsidRPr="0096004B">
              <w:rPr>
                <w:rFonts w:cs="Arial"/>
                <w:color w:val="000000"/>
                <w:sz w:val="16"/>
                <w:szCs w:val="16"/>
                <w:lang w:val="ru-RU"/>
              </w:rPr>
              <w:t>ние про</w:t>
            </w:r>
            <w:r>
              <w:rPr>
                <w:rFonts w:cs="Arial"/>
                <w:color w:val="000000"/>
                <w:sz w:val="16"/>
                <w:szCs w:val="16"/>
                <w:lang w:val="ru-RU"/>
              </w:rPr>
              <w:softHyphen/>
            </w:r>
            <w:r w:rsidRPr="0096004B">
              <w:rPr>
                <w:rFonts w:cs="Arial"/>
                <w:color w:val="000000"/>
                <w:sz w:val="16"/>
                <w:szCs w:val="16"/>
                <w:lang w:val="ru-RU"/>
              </w:rPr>
              <w:t>должается)</w:t>
            </w:r>
          </w:p>
        </w:tc>
        <w:tc>
          <w:tcPr>
            <w:tcW w:w="2126"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Все ибероамериканские страны</w:t>
            </w:r>
          </w:p>
        </w:tc>
        <w:tc>
          <w:tcPr>
            <w:tcW w:w="4678"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Укрепление потенциала и содействие расширению использования ИС как важного инструмента развития бизнеса.</w:t>
            </w:r>
          </w:p>
        </w:tc>
      </w:tr>
      <w:tr w:rsidR="00580A3D" w:rsidRPr="005C6ABD" w:rsidTr="00975156">
        <w:trPr>
          <w:trHeight w:val="520"/>
        </w:trPr>
        <w:tc>
          <w:tcPr>
            <w:tcW w:w="9781" w:type="dxa"/>
            <w:gridSpan w:val="4"/>
            <w:tcBorders>
              <w:top w:val="single" w:sz="4" w:space="0" w:color="000000"/>
              <w:bottom w:val="single" w:sz="4" w:space="0" w:color="000000"/>
            </w:tcBorders>
            <w:shd w:val="clear" w:color="auto" w:fill="C6D9F1"/>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ab/>
              <w:t>III.4. Укрепление механизмов и программ сотрудничества, разработанных с учетом потребностей развивающихся стран и НРС</w:t>
            </w:r>
          </w:p>
        </w:tc>
      </w:tr>
      <w:tr w:rsidR="00580A3D" w:rsidRPr="0096004B" w:rsidTr="00975156">
        <w:trPr>
          <w:trHeight w:val="520"/>
        </w:trPr>
        <w:tc>
          <w:tcPr>
            <w:tcW w:w="1843" w:type="dxa"/>
            <w:tcBorders>
              <w:top w:val="single" w:sz="4" w:space="0" w:color="000000"/>
            </w:tcBorders>
            <w:vAlign w:val="center"/>
          </w:tcPr>
          <w:p w:rsidR="00580A3D" w:rsidRPr="0096004B" w:rsidRDefault="00580A3D" w:rsidP="00975156">
            <w:pPr>
              <w:keepNext/>
              <w:keepLines/>
              <w:autoSpaceDE w:val="0"/>
              <w:autoSpaceDN w:val="0"/>
              <w:adjustRightInd w:val="0"/>
              <w:spacing w:before="120" w:after="120"/>
              <w:rPr>
                <w:rFonts w:cs="Arial"/>
                <w:color w:val="000000"/>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vAlign w:val="center"/>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b/>
                <w:bCs/>
                <w:sz w:val="16"/>
                <w:szCs w:val="16"/>
                <w:lang w:val="ru-RU"/>
              </w:rPr>
              <w:t>Дата</w:t>
            </w:r>
          </w:p>
        </w:tc>
        <w:tc>
          <w:tcPr>
            <w:tcW w:w="2126" w:type="dxa"/>
            <w:tcBorders>
              <w:top w:val="single" w:sz="4" w:space="0" w:color="000000"/>
            </w:tcBorders>
            <w:vAlign w:val="center"/>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8" w:type="dxa"/>
            <w:tcBorders>
              <w:top w:val="single" w:sz="4" w:space="0" w:color="000000"/>
            </w:tcBorders>
            <w:vAlign w:val="center"/>
          </w:tcPr>
          <w:p w:rsidR="00580A3D" w:rsidRPr="0096004B" w:rsidRDefault="00580A3D" w:rsidP="00975156">
            <w:pPr>
              <w:autoSpaceDE w:val="0"/>
              <w:autoSpaceDN w:val="0"/>
              <w:adjustRightInd w:val="0"/>
              <w:spacing w:before="120" w:after="120"/>
              <w:rPr>
                <w:rFonts w:cs="Arial"/>
                <w:color w:val="000000"/>
                <w:sz w:val="16"/>
                <w:szCs w:val="16"/>
                <w:lang w:val="ru-RU"/>
              </w:rPr>
            </w:pPr>
            <w:r w:rsidRPr="0096004B">
              <w:rPr>
                <w:rFonts w:cs="Arial"/>
                <w:b/>
                <w:bCs/>
                <w:sz w:val="16"/>
                <w:szCs w:val="16"/>
                <w:lang w:val="ru-RU"/>
              </w:rPr>
              <w:t>Цель (цели) / описание</w:t>
            </w:r>
          </w:p>
        </w:tc>
      </w:tr>
      <w:tr w:rsidR="00580A3D" w:rsidRPr="005C6ABD" w:rsidTr="00975156">
        <w:trPr>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Подготовка анализа ситуации и плана действий внешним консультантом-экспертом. </w:t>
            </w:r>
          </w:p>
        </w:tc>
        <w:tc>
          <w:tcPr>
            <w:tcW w:w="1134"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(выполне</w:t>
            </w:r>
            <w:r>
              <w:rPr>
                <w:rFonts w:cs="Arial"/>
                <w:color w:val="000000"/>
                <w:sz w:val="16"/>
                <w:szCs w:val="16"/>
                <w:lang w:val="ru-RU"/>
              </w:rPr>
              <w:softHyphen/>
            </w:r>
            <w:r w:rsidRPr="0096004B">
              <w:rPr>
                <w:rFonts w:cs="Arial"/>
                <w:color w:val="000000"/>
                <w:sz w:val="16"/>
                <w:szCs w:val="16"/>
                <w:lang w:val="ru-RU"/>
              </w:rPr>
              <w:t>ние про</w:t>
            </w:r>
            <w:r>
              <w:rPr>
                <w:rFonts w:cs="Arial"/>
                <w:color w:val="000000"/>
                <w:sz w:val="16"/>
                <w:szCs w:val="16"/>
                <w:lang w:val="ru-RU"/>
              </w:rPr>
              <w:softHyphen/>
            </w:r>
            <w:r w:rsidRPr="0096004B">
              <w:rPr>
                <w:rFonts w:cs="Arial"/>
                <w:color w:val="000000"/>
                <w:sz w:val="16"/>
                <w:szCs w:val="16"/>
                <w:lang w:val="ru-RU"/>
              </w:rPr>
              <w:t>должается)</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Все ибероамериканские страны</w:t>
            </w:r>
          </w:p>
        </w:tc>
        <w:tc>
          <w:tcPr>
            <w:tcW w:w="4678"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Составление «дорожной карты» укрепления и развития национальных информационных сервисов и графика реализации мероприятий, направленных на укрепление национального потенциала.</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Налаживание горизонтального сотрудничества между ведомствами ИС в интересах сокращения расхождений в уровнях управления качеством информационных технологий.  Задачи консультанта:  (i) выявление расхождений в уровнях управления качеством информационных технологий между ведомствами ИС;  (ii) разработка плана действий для устранения таких расхождений с помощью обучения сотрудников;  и (iii) координация выполнения этого проекта. </w:t>
            </w:r>
          </w:p>
        </w:tc>
      </w:tr>
      <w:tr w:rsidR="00580A3D" w:rsidRPr="005C6ABD" w:rsidTr="00975156">
        <w:trPr>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Стимулирование сотрудничества между ведомствами ИС стран Латинской Америки в разра</w:t>
            </w:r>
            <w:r>
              <w:rPr>
                <w:rFonts w:cs="Arial"/>
                <w:color w:val="000000"/>
                <w:sz w:val="16"/>
                <w:szCs w:val="16"/>
                <w:lang w:val="ru-RU"/>
              </w:rPr>
              <w:softHyphen/>
            </w:r>
            <w:r w:rsidRPr="0096004B">
              <w:rPr>
                <w:rFonts w:cs="Arial"/>
                <w:color w:val="000000"/>
                <w:sz w:val="16"/>
                <w:szCs w:val="16"/>
                <w:lang w:val="ru-RU"/>
              </w:rPr>
              <w:t>ботке платформы, обеспечивающей обмен опытом и передовыми методами работы между ведомствами ИС стран-членов.</w:t>
            </w:r>
          </w:p>
        </w:tc>
        <w:tc>
          <w:tcPr>
            <w:tcW w:w="1134"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(выполне</w:t>
            </w:r>
            <w:r>
              <w:rPr>
                <w:rFonts w:cs="Arial"/>
                <w:color w:val="000000"/>
                <w:sz w:val="16"/>
                <w:szCs w:val="16"/>
                <w:lang w:val="ru-RU"/>
              </w:rPr>
              <w:softHyphen/>
            </w:r>
            <w:r w:rsidRPr="0096004B">
              <w:rPr>
                <w:rFonts w:cs="Arial"/>
                <w:color w:val="000000"/>
                <w:sz w:val="16"/>
                <w:szCs w:val="16"/>
                <w:lang w:val="ru-RU"/>
              </w:rPr>
              <w:t>ние про</w:t>
            </w:r>
            <w:r>
              <w:rPr>
                <w:rFonts w:cs="Arial"/>
                <w:color w:val="000000"/>
                <w:sz w:val="16"/>
                <w:szCs w:val="16"/>
                <w:lang w:val="ru-RU"/>
              </w:rPr>
              <w:softHyphen/>
            </w:r>
            <w:r w:rsidRPr="0096004B">
              <w:rPr>
                <w:rFonts w:cs="Arial"/>
                <w:color w:val="000000"/>
                <w:sz w:val="16"/>
                <w:szCs w:val="16"/>
                <w:lang w:val="ru-RU"/>
              </w:rPr>
              <w:t>должается)</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Все ибероамериканские страны</w:t>
            </w:r>
          </w:p>
        </w:tc>
        <w:tc>
          <w:tcPr>
            <w:tcW w:w="4678"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Содействие онлайновому обмену опытом применения передовых методов работы между ведомствами ИС, например, по следующим вопросам:  (i) качество управления;  (ii) организация онлайновых регистрационных и информационных услуг;  (iii) создание баз данных;  (iv) экспертиза патентов, промышленных образцов и товарных знаков;  (v) организация предоставления технологической и коммерческой информации как видов услуг;  (vi) организация программ обучения кадров;  и (vii) оказание услуг посредничества или арбитража.</w:t>
            </w:r>
          </w:p>
        </w:tc>
      </w:tr>
    </w:tbl>
    <w:p w:rsidR="00580A3D" w:rsidRPr="0096004B" w:rsidRDefault="00580A3D" w:rsidP="00580A3D">
      <w:pPr>
        <w:rPr>
          <w:rFonts w:cs="Arial"/>
          <w:szCs w:val="16"/>
          <w:lang w:val="ru-RU"/>
        </w:rPr>
      </w:pPr>
    </w:p>
    <w:p w:rsidR="00580A3D" w:rsidRPr="0096004B" w:rsidRDefault="00580A3D" w:rsidP="00580A3D">
      <w:pPr>
        <w:rPr>
          <w:rFonts w:cs="Arial"/>
          <w:sz w:val="22"/>
          <w:szCs w:val="18"/>
          <w:lang w:val="ru-RU"/>
        </w:rPr>
      </w:pPr>
    </w:p>
    <w:p w:rsidR="00580A3D" w:rsidRPr="0096004B" w:rsidRDefault="00580A3D" w:rsidP="00580A3D">
      <w:pPr>
        <w:rPr>
          <w:rFonts w:cs="Arial"/>
          <w:b/>
          <w:color w:val="000000"/>
          <w:szCs w:val="20"/>
          <w:lang w:val="ru-RU"/>
        </w:rPr>
      </w:pPr>
      <w:r w:rsidRPr="0096004B">
        <w:rPr>
          <w:rFonts w:cs="Arial"/>
          <w:b/>
          <w:bCs/>
          <w:szCs w:val="20"/>
          <w:lang w:val="ru-RU"/>
        </w:rPr>
        <w:t>ИБЕРОАМЕРИКАНСКАЯ ПРОГРАММА ПО ПРОМЫШЛЕННОЙ СОБСТВЕННОСТИ: взносы доноров и расходы в 2015 г.</w:t>
      </w:r>
    </w:p>
    <w:p w:rsidR="00580A3D" w:rsidRPr="0096004B" w:rsidRDefault="00580A3D" w:rsidP="00580A3D">
      <w:pPr>
        <w:rPr>
          <w:rFonts w:cs="Arial"/>
          <w:szCs w:val="20"/>
          <w:lang w:val="ru-RU"/>
        </w:rPr>
      </w:pPr>
    </w:p>
    <w:tbl>
      <w:tblPr>
        <w:tblW w:w="9791" w:type="dxa"/>
        <w:tblInd w:w="98" w:type="dxa"/>
        <w:tblLook w:val="04A0" w:firstRow="1" w:lastRow="0" w:firstColumn="1" w:lastColumn="0" w:noHBand="0" w:noVBand="1"/>
      </w:tblPr>
      <w:tblGrid>
        <w:gridCol w:w="2040"/>
        <w:gridCol w:w="1640"/>
        <w:gridCol w:w="1860"/>
        <w:gridCol w:w="1780"/>
        <w:gridCol w:w="2471"/>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1"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232 961</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13 103</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6 110</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1"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239 955</w:t>
            </w:r>
          </w:p>
        </w:tc>
      </w:tr>
    </w:tbl>
    <w:p w:rsidR="00580A3D" w:rsidRPr="0096004B" w:rsidRDefault="00580A3D" w:rsidP="00580A3D">
      <w:pPr>
        <w:keepNext/>
        <w:keepLines/>
        <w:rPr>
          <w:rFonts w:cs="Arial"/>
          <w:b/>
          <w:szCs w:val="16"/>
          <w:lang w:val="ru-RU"/>
        </w:rPr>
      </w:pPr>
      <w:r w:rsidRPr="0096004B">
        <w:rPr>
          <w:rFonts w:cs="Arial"/>
          <w:b/>
          <w:bCs/>
          <w:szCs w:val="16"/>
          <w:lang w:val="ru-RU"/>
        </w:rPr>
        <w:t>ИТАЛИЯ</w:t>
      </w:r>
    </w:p>
    <w:p w:rsidR="00580A3D" w:rsidRPr="0096004B" w:rsidRDefault="00580A3D" w:rsidP="00580A3D">
      <w:pPr>
        <w:keepNext/>
        <w:keepLines/>
        <w:rPr>
          <w:rFonts w:cs="Arial"/>
          <w:b/>
          <w:szCs w:val="16"/>
          <w:lang w:val="ru-RU"/>
        </w:rPr>
      </w:pPr>
    </w:p>
    <w:tbl>
      <w:tblPr>
        <w:tblW w:w="9528" w:type="dxa"/>
        <w:tblInd w:w="7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276"/>
        <w:gridCol w:w="1984"/>
        <w:gridCol w:w="4395"/>
      </w:tblGrid>
      <w:tr w:rsidR="00580A3D" w:rsidRPr="005C6ABD" w:rsidTr="00975156">
        <w:trPr>
          <w:cantSplit/>
        </w:trPr>
        <w:tc>
          <w:tcPr>
            <w:tcW w:w="9528"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IV.2.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r>
      <w:tr w:rsidR="00580A3D" w:rsidRPr="0096004B" w:rsidTr="00975156">
        <w:trPr>
          <w:cantSplit/>
        </w:trPr>
        <w:tc>
          <w:tcPr>
            <w:tcW w:w="187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276" w:type="dxa"/>
            <w:tcBorders>
              <w:top w:val="single" w:sz="4" w:space="0" w:color="000000"/>
            </w:tcBorders>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1984" w:type="dxa"/>
            <w:tcBorders>
              <w:top w:val="single" w:sz="4" w:space="0" w:color="000000"/>
            </w:tcBorders>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395" w:type="dxa"/>
            <w:tcBorders>
              <w:top w:val="single" w:sz="4" w:space="0" w:color="000000"/>
            </w:tcBorders>
            <w:shd w:val="clear" w:color="auto" w:fill="FFFFFF"/>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Pr>
        <w:tc>
          <w:tcPr>
            <w:tcW w:w="1873" w:type="dxa"/>
          </w:tcPr>
          <w:p w:rsidR="00580A3D" w:rsidRPr="0096004B" w:rsidRDefault="00580A3D" w:rsidP="00975156">
            <w:pPr>
              <w:spacing w:before="60" w:after="60"/>
              <w:rPr>
                <w:rFonts w:cs="Arial"/>
                <w:color w:val="000000"/>
                <w:sz w:val="16"/>
                <w:szCs w:val="16"/>
                <w:lang w:val="ru-RU"/>
              </w:rPr>
            </w:pPr>
            <w:r w:rsidRPr="0096004B">
              <w:rPr>
                <w:rFonts w:cs="Arial"/>
                <w:color w:val="000000"/>
                <w:sz w:val="16"/>
                <w:szCs w:val="16"/>
                <w:lang w:val="ru-RU"/>
              </w:rPr>
              <w:t>Создание онлайновой нацио</w:t>
            </w:r>
            <w:r>
              <w:rPr>
                <w:rFonts w:cs="Arial"/>
                <w:color w:val="000000"/>
                <w:sz w:val="16"/>
                <w:szCs w:val="16"/>
                <w:lang w:val="ru-RU"/>
              </w:rPr>
              <w:softHyphen/>
            </w:r>
            <w:r w:rsidRPr="0096004B">
              <w:rPr>
                <w:rFonts w:cs="Arial"/>
                <w:color w:val="000000"/>
                <w:sz w:val="16"/>
                <w:szCs w:val="16"/>
                <w:lang w:val="ru-RU"/>
              </w:rPr>
              <w:t>нальной патентной базы данных Ведомства по патентам и товарным знакам Италии (DGLC-UIBM)</w:t>
            </w:r>
          </w:p>
          <w:p w:rsidR="00580A3D" w:rsidRPr="0096004B" w:rsidRDefault="00580A3D" w:rsidP="00975156">
            <w:pPr>
              <w:spacing w:before="60" w:after="60"/>
              <w:rPr>
                <w:rFonts w:cs="Arial"/>
                <w:color w:val="000000"/>
                <w:sz w:val="16"/>
                <w:szCs w:val="16"/>
                <w:lang w:val="ru-RU"/>
              </w:rPr>
            </w:pPr>
          </w:p>
        </w:tc>
        <w:tc>
          <w:tcPr>
            <w:tcW w:w="1276"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(проект про</w:t>
            </w:r>
            <w:r>
              <w:rPr>
                <w:rFonts w:cs="Arial"/>
                <w:color w:val="000000"/>
                <w:sz w:val="16"/>
                <w:szCs w:val="16"/>
                <w:lang w:val="ru-RU"/>
              </w:rPr>
              <w:softHyphen/>
            </w:r>
            <w:r w:rsidRPr="0096004B">
              <w:rPr>
                <w:rFonts w:cs="Arial"/>
                <w:color w:val="000000"/>
                <w:sz w:val="16"/>
                <w:szCs w:val="16"/>
                <w:lang w:val="ru-RU"/>
              </w:rPr>
              <w:t>должается)</w:t>
            </w:r>
            <w:r w:rsidRPr="0096004B">
              <w:rPr>
                <w:rStyle w:val="FootnoteReference"/>
                <w:rFonts w:cs="Arial"/>
                <w:color w:val="000000"/>
                <w:sz w:val="16"/>
                <w:szCs w:val="16"/>
                <w:lang w:val="ru-RU"/>
              </w:rPr>
              <w:footnoteReference w:id="156"/>
            </w:r>
          </w:p>
        </w:tc>
        <w:tc>
          <w:tcPr>
            <w:tcW w:w="1984" w:type="dxa"/>
          </w:tcPr>
          <w:p w:rsidR="00580A3D" w:rsidRPr="0096004B" w:rsidRDefault="00580A3D" w:rsidP="00975156">
            <w:pPr>
              <w:keepNext/>
              <w:keepLines/>
              <w:spacing w:before="60" w:after="60"/>
              <w:rPr>
                <w:rFonts w:cs="Arial"/>
                <w:color w:val="000000"/>
                <w:sz w:val="16"/>
                <w:szCs w:val="16"/>
                <w:lang w:val="ru-RU"/>
              </w:rPr>
            </w:pPr>
            <w:r w:rsidRPr="0096004B">
              <w:rPr>
                <w:rFonts w:cs="Arial"/>
                <w:color w:val="000000"/>
                <w:sz w:val="16"/>
                <w:szCs w:val="16"/>
                <w:lang w:val="ru-RU"/>
              </w:rPr>
              <w:t xml:space="preserve">Италия </w:t>
            </w:r>
          </w:p>
        </w:tc>
        <w:tc>
          <w:tcPr>
            <w:tcW w:w="4395" w:type="dxa"/>
          </w:tcPr>
          <w:p w:rsidR="00580A3D" w:rsidRPr="0096004B" w:rsidRDefault="00580A3D" w:rsidP="00975156">
            <w:pPr>
              <w:keepNext/>
              <w:keepLines/>
              <w:spacing w:before="60" w:after="60"/>
              <w:rPr>
                <w:rFonts w:cs="Arial"/>
                <w:color w:val="000000"/>
                <w:sz w:val="16"/>
                <w:szCs w:val="16"/>
                <w:lang w:val="ru-RU"/>
              </w:rPr>
            </w:pPr>
            <w:r w:rsidRPr="0096004B">
              <w:rPr>
                <w:rFonts w:cs="Arial"/>
                <w:sz w:val="16"/>
                <w:szCs w:val="16"/>
                <w:lang w:val="ru-RU"/>
              </w:rPr>
              <w:t>(i) Содействие участию Италии в существующих многосторонних механизмах обмена патентной информацией и документацией;  (ii) создание условий для участия Италии в PATENTSCOPE и других глобальных и международных базах патентных данных (например, Espacenet);  и (iii) содействие распространению оцифрованных патентных фондов в интересах всех государств-членов ВОИС, включая развивающиеся страны.</w:t>
            </w:r>
          </w:p>
        </w:tc>
      </w:tr>
      <w:tr w:rsidR="00580A3D" w:rsidRPr="005C6ABD" w:rsidTr="00975156">
        <w:trPr>
          <w:cantSplit/>
        </w:trPr>
        <w:tc>
          <w:tcPr>
            <w:tcW w:w="187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Проверка и публикация справочника «Интеллектуальная собственность для малых и средних предприятий агропродовольственного сектора»</w:t>
            </w:r>
            <w:r w:rsidRPr="0096004B">
              <w:rPr>
                <w:rStyle w:val="FootnoteReference"/>
                <w:rFonts w:cs="Arial"/>
                <w:color w:val="000000"/>
                <w:sz w:val="16"/>
                <w:szCs w:val="16"/>
                <w:lang w:val="ru-RU"/>
              </w:rPr>
              <w:footnoteReference w:id="157"/>
            </w:r>
          </w:p>
        </w:tc>
        <w:tc>
          <w:tcPr>
            <w:tcW w:w="1276" w:type="dxa"/>
          </w:tcPr>
          <w:p w:rsidR="00580A3D" w:rsidRPr="0096004B" w:rsidRDefault="00580A3D" w:rsidP="00975156">
            <w:pPr>
              <w:keepNext/>
              <w:keepLines/>
              <w:spacing w:before="60" w:after="60"/>
              <w:rPr>
                <w:rFonts w:cs="Arial"/>
                <w:color w:val="000000"/>
                <w:sz w:val="16"/>
                <w:szCs w:val="16"/>
                <w:lang w:val="ru-RU"/>
              </w:rPr>
            </w:pPr>
            <w:r w:rsidRPr="0096004B">
              <w:rPr>
                <w:rFonts w:cs="Arial"/>
                <w:sz w:val="16"/>
                <w:szCs w:val="16"/>
                <w:lang w:val="ru-RU"/>
              </w:rPr>
              <w:t>Январь – июль 2015 г.</w:t>
            </w:r>
            <w:r w:rsidRPr="0096004B">
              <w:rPr>
                <w:rStyle w:val="FootnoteReference"/>
                <w:rFonts w:cs="Arial"/>
                <w:bCs/>
                <w:sz w:val="16"/>
                <w:szCs w:val="16"/>
                <w:lang w:val="ru-RU"/>
              </w:rPr>
              <w:footnoteReference w:id="158"/>
            </w:r>
          </w:p>
        </w:tc>
        <w:tc>
          <w:tcPr>
            <w:tcW w:w="1984" w:type="dxa"/>
          </w:tcPr>
          <w:p w:rsidR="00580A3D" w:rsidRPr="0096004B" w:rsidRDefault="00580A3D" w:rsidP="00975156">
            <w:pPr>
              <w:keepNext/>
              <w:keepLines/>
              <w:spacing w:before="60" w:after="60"/>
              <w:rPr>
                <w:rFonts w:cs="Arial"/>
                <w:color w:val="000000"/>
                <w:sz w:val="16"/>
                <w:szCs w:val="16"/>
                <w:lang w:val="ru-RU"/>
              </w:rPr>
            </w:pPr>
            <w:r w:rsidRPr="0096004B">
              <w:rPr>
                <w:rFonts w:cs="Arial"/>
                <w:color w:val="000000"/>
                <w:sz w:val="16"/>
                <w:szCs w:val="16"/>
                <w:lang w:val="ru-RU"/>
              </w:rPr>
              <w:t xml:space="preserve">Италия </w:t>
            </w:r>
          </w:p>
        </w:tc>
        <w:tc>
          <w:tcPr>
            <w:tcW w:w="4395"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Издание и распространение справочника на Всемирной выставке «Экспо-2015» в Милане (тема – «Накормить планету. Энергия для жизни») способствовало размышлениям об использовании ИС в мировом агропромышленном секторе.</w:t>
            </w:r>
          </w:p>
        </w:tc>
      </w:tr>
    </w:tbl>
    <w:p w:rsidR="00580A3D" w:rsidRPr="0096004B" w:rsidRDefault="00580A3D" w:rsidP="00580A3D">
      <w:pPr>
        <w:rPr>
          <w:rFonts w:cs="Arial"/>
          <w:szCs w:val="20"/>
          <w:lang w:val="ru-RU"/>
        </w:rPr>
      </w:pPr>
    </w:p>
    <w:p w:rsidR="00580A3D" w:rsidRPr="0096004B" w:rsidRDefault="00580A3D" w:rsidP="00580A3D">
      <w:pPr>
        <w:rPr>
          <w:rFonts w:cs="Arial"/>
          <w:szCs w:val="20"/>
          <w:lang w:val="ru-RU"/>
        </w:rPr>
      </w:pPr>
    </w:p>
    <w:p w:rsidR="00580A3D" w:rsidRPr="0096004B" w:rsidRDefault="00580A3D" w:rsidP="00580A3D">
      <w:pPr>
        <w:rPr>
          <w:rFonts w:cs="Arial"/>
          <w:b/>
          <w:color w:val="000000"/>
          <w:szCs w:val="20"/>
          <w:lang w:val="ru-RU"/>
        </w:rPr>
      </w:pPr>
      <w:r w:rsidRPr="0096004B">
        <w:rPr>
          <w:rFonts w:cs="Arial"/>
          <w:b/>
          <w:bCs/>
          <w:szCs w:val="20"/>
          <w:lang w:val="ru-RU"/>
        </w:rPr>
        <w:t>ИТАЛИЯ: взносы доноров и расходы в 2015 г.</w:t>
      </w:r>
    </w:p>
    <w:p w:rsidR="00580A3D" w:rsidRPr="0096004B" w:rsidRDefault="00580A3D" w:rsidP="00580A3D">
      <w:pPr>
        <w:rPr>
          <w:rFonts w:cs="Arial"/>
          <w:color w:val="000000"/>
          <w:szCs w:val="20"/>
          <w:lang w:val="ru-RU"/>
        </w:rPr>
      </w:pPr>
    </w:p>
    <w:tbl>
      <w:tblPr>
        <w:tblW w:w="9792" w:type="dxa"/>
        <w:tblInd w:w="98" w:type="dxa"/>
        <w:tblLook w:val="04A0" w:firstRow="1" w:lastRow="0" w:firstColumn="1" w:lastColumn="0" w:noHBand="0" w:noVBand="1"/>
      </w:tblPr>
      <w:tblGrid>
        <w:gridCol w:w="2040"/>
        <w:gridCol w:w="1640"/>
        <w:gridCol w:w="1860"/>
        <w:gridCol w:w="1780"/>
        <w:gridCol w:w="2472"/>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2"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1 233 536</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436 938</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2"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796 598</w:t>
            </w:r>
          </w:p>
        </w:tc>
      </w:tr>
    </w:tbl>
    <w:p w:rsidR="00580A3D" w:rsidRPr="0096004B" w:rsidRDefault="00580A3D" w:rsidP="00580A3D">
      <w:pPr>
        <w:rPr>
          <w:rFonts w:cs="Arial"/>
          <w:b/>
          <w:szCs w:val="20"/>
          <w:lang w:val="ru-RU"/>
        </w:rPr>
      </w:pPr>
    </w:p>
    <w:p w:rsidR="00580A3D" w:rsidRPr="0096004B" w:rsidRDefault="00580A3D" w:rsidP="00580A3D">
      <w:pPr>
        <w:rPr>
          <w:rFonts w:cs="Arial"/>
          <w:b/>
          <w:szCs w:val="20"/>
          <w:lang w:val="ru-RU"/>
        </w:rPr>
      </w:pPr>
    </w:p>
    <w:p w:rsidR="00580A3D" w:rsidRPr="0096004B" w:rsidRDefault="00580A3D" w:rsidP="00580A3D">
      <w:pPr>
        <w:rPr>
          <w:rFonts w:cs="Arial"/>
          <w:b/>
          <w:szCs w:val="16"/>
          <w:lang w:val="ru-RU" w:eastAsia="ja-JP"/>
        </w:rPr>
      </w:pPr>
      <w:r w:rsidRPr="0096004B">
        <w:rPr>
          <w:rFonts w:cs="Arial"/>
          <w:b/>
          <w:bCs/>
          <w:szCs w:val="16"/>
          <w:lang w:val="ru-RU"/>
        </w:rPr>
        <w:t xml:space="preserve">ЯПОНИЯ – АВТОРСКОЕ ПРАВО: </w:t>
      </w:r>
    </w:p>
    <w:p w:rsidR="00580A3D" w:rsidRPr="0096004B" w:rsidRDefault="00580A3D" w:rsidP="00580A3D">
      <w:pPr>
        <w:rPr>
          <w:rFonts w:cs="Arial"/>
          <w:b/>
          <w:szCs w:val="16"/>
          <w:lang w:val="ru-RU" w:eastAsia="ja-JP"/>
        </w:rPr>
      </w:pPr>
    </w:p>
    <w:tbl>
      <w:tblPr>
        <w:tblW w:w="9782"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2126"/>
        <w:gridCol w:w="4679"/>
      </w:tblGrid>
      <w:tr w:rsidR="00580A3D" w:rsidRPr="005C6ABD" w:rsidTr="00975156">
        <w:tc>
          <w:tcPr>
            <w:tcW w:w="9782"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shd w:val="clear" w:color="auto" w:fill="C6D9F1" w:themeFill="text2" w:themeFillTint="33"/>
                <w:lang w:val="ru-RU"/>
              </w:rPr>
              <w:t>РЕЗУЛЬТАТ:</w:t>
            </w:r>
            <w:r w:rsidRPr="0096004B">
              <w:rPr>
                <w:rFonts w:cs="Arial"/>
                <w:b/>
                <w:bCs/>
                <w:color w:val="000000"/>
                <w:sz w:val="16"/>
                <w:szCs w:val="16"/>
                <w:shd w:val="clear" w:color="auto" w:fill="C6D9F1" w:themeFill="text2" w:themeFillTint="33"/>
                <w:lang w:val="ru-RU"/>
              </w:rPr>
              <w:tab/>
            </w:r>
            <w:r w:rsidRPr="0096004B">
              <w:rPr>
                <w:rFonts w:cs="Arial"/>
                <w:bCs/>
                <w:color w:val="000000"/>
                <w:sz w:val="16"/>
                <w:szCs w:val="16"/>
                <w:shd w:val="clear" w:color="auto" w:fill="C6D9F1" w:themeFill="text2" w:themeFillTint="33"/>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w:t>
            </w:r>
            <w:r w:rsidRPr="0096004B">
              <w:rPr>
                <w:rFonts w:cs="Arial"/>
                <w:bCs/>
                <w:color w:val="000000"/>
                <w:sz w:val="16"/>
                <w:szCs w:val="16"/>
                <w:lang w:val="ru-RU"/>
              </w:rPr>
              <w:t xml:space="preserve">  переходной экономикой</w:t>
            </w:r>
          </w:p>
        </w:tc>
      </w:tr>
      <w:tr w:rsidR="00580A3D" w:rsidRPr="0096004B" w:rsidTr="00975156">
        <w:tc>
          <w:tcPr>
            <w:tcW w:w="184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2126" w:type="dxa"/>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9" w:type="dxa"/>
            <w:tcBorders>
              <w:top w:val="single" w:sz="4" w:space="0" w:color="000000"/>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trHeight w:val="520"/>
        </w:trPr>
        <w:tc>
          <w:tcPr>
            <w:tcW w:w="1843"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Национальный практикум по авторскому праву и смежным правам</w:t>
            </w:r>
          </w:p>
        </w:tc>
        <w:tc>
          <w:tcPr>
            <w:tcW w:w="1134"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3–4 марта 2015 г.</w:t>
            </w:r>
          </w:p>
        </w:tc>
        <w:tc>
          <w:tcPr>
            <w:tcW w:w="2126"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Бангладеш / более 50 местных участников</w:t>
            </w:r>
          </w:p>
        </w:tc>
        <w:tc>
          <w:tcPr>
            <w:tcW w:w="4679"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Содействие повышению осведомленности об авторских и смежных правах и их роли в культурном и экономическом развитии.</w:t>
            </w:r>
          </w:p>
        </w:tc>
      </w:tr>
      <w:tr w:rsidR="00580A3D" w:rsidRPr="005C6ABD" w:rsidTr="00975156">
        <w:trPr>
          <w:trHeight w:val="520"/>
        </w:trPr>
        <w:tc>
          <w:tcPr>
            <w:tcW w:w="1843"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Национальный семинар «Роль авторских и смежных прав в культурном и экономическом развитии»</w:t>
            </w:r>
          </w:p>
        </w:tc>
        <w:tc>
          <w:tcPr>
            <w:tcW w:w="1134"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6–7 июля 2015 г.</w:t>
            </w:r>
          </w:p>
        </w:tc>
        <w:tc>
          <w:tcPr>
            <w:tcW w:w="2126"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Мьянма / примерно 90 местных участников</w:t>
            </w:r>
          </w:p>
        </w:tc>
        <w:tc>
          <w:tcPr>
            <w:tcW w:w="4679"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(i) Обеспечение лучшего понимания роли авторского права и смежных прав в культурном и экономическом развитии;  и (ii) содействие эффективному использованию произведений культуры путем применения авторского права и смежных прав.  </w:t>
            </w:r>
          </w:p>
        </w:tc>
      </w:tr>
      <w:tr w:rsidR="00580A3D" w:rsidRPr="005C6ABD" w:rsidTr="00975156">
        <w:trPr>
          <w:trHeight w:val="520"/>
        </w:trPr>
        <w:tc>
          <w:tcPr>
            <w:tcW w:w="1843"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Национальный практикум «Авторские и смежные права и возникающие проблемы»</w:t>
            </w:r>
          </w:p>
        </w:tc>
        <w:tc>
          <w:tcPr>
            <w:tcW w:w="1134"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5–6 августа 2015 г.</w:t>
            </w:r>
          </w:p>
        </w:tc>
        <w:tc>
          <w:tcPr>
            <w:tcW w:w="2126"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Вьетнам / примерно 100 местных участников</w:t>
            </w:r>
          </w:p>
        </w:tc>
        <w:tc>
          <w:tcPr>
            <w:tcW w:w="4679"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Обеспечение лучшего понимания последних изменений в сфере авторского права и смежных прав, а также развития технологий и его последствий для системы авторского права;  и (ii) обсуждение проблем и сложностей в области авторских и смежных прав в цифровой среде.</w:t>
            </w:r>
          </w:p>
        </w:tc>
      </w:tr>
      <w:tr w:rsidR="00580A3D" w:rsidRPr="005C6ABD" w:rsidTr="00975156">
        <w:trPr>
          <w:trHeight w:val="520"/>
        </w:trPr>
        <w:tc>
          <w:tcPr>
            <w:tcW w:w="9782" w:type="dxa"/>
            <w:gridSpan w:val="4"/>
            <w:tcBorders>
              <w:top w:val="single" w:sz="4" w:space="0" w:color="auto"/>
              <w:bottom w:val="single" w:sz="4" w:space="0" w:color="000000"/>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ab/>
              <w:t>IV.4. Совершенствование технической инфраструктуры и инфраструктуры знаний для ведомств ИС и других учреждений ИС, ведущее к предоставлению улучшенных услуг (более дешевых, более быстрых, более качественных) их заинтересованным сторонам</w:t>
            </w:r>
          </w:p>
        </w:tc>
      </w:tr>
      <w:tr w:rsidR="00580A3D" w:rsidRPr="0096004B" w:rsidTr="00975156">
        <w:trPr>
          <w:trHeight w:val="520"/>
        </w:trPr>
        <w:tc>
          <w:tcPr>
            <w:tcW w:w="1843" w:type="dxa"/>
            <w:tcBorders>
              <w:top w:val="single" w:sz="4" w:space="0" w:color="000000"/>
            </w:tcBorders>
            <w:vAlign w:val="center"/>
          </w:tcPr>
          <w:p w:rsidR="00580A3D" w:rsidRPr="0096004B" w:rsidRDefault="00580A3D" w:rsidP="00975156">
            <w:pPr>
              <w:keepNext/>
              <w:keepLines/>
              <w:spacing w:before="60" w:after="60"/>
              <w:rPr>
                <w:rFonts w:cs="Arial"/>
                <w:color w:val="000000"/>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vAlign w:val="center"/>
          </w:tcPr>
          <w:p w:rsidR="00580A3D" w:rsidRPr="0096004B" w:rsidRDefault="00580A3D" w:rsidP="00975156">
            <w:pPr>
              <w:spacing w:before="60" w:after="60"/>
              <w:rPr>
                <w:rFonts w:cs="Arial"/>
                <w:color w:val="000000"/>
                <w:sz w:val="16"/>
                <w:szCs w:val="16"/>
                <w:lang w:val="ru-RU"/>
              </w:rPr>
            </w:pPr>
            <w:r w:rsidRPr="0096004B">
              <w:rPr>
                <w:rFonts w:cs="Arial"/>
                <w:b/>
                <w:bCs/>
                <w:sz w:val="16"/>
                <w:szCs w:val="16"/>
                <w:lang w:val="ru-RU"/>
              </w:rPr>
              <w:t>Дата</w:t>
            </w:r>
          </w:p>
        </w:tc>
        <w:tc>
          <w:tcPr>
            <w:tcW w:w="2126" w:type="dxa"/>
            <w:tcBorders>
              <w:top w:val="single" w:sz="4" w:space="0" w:color="000000"/>
            </w:tcBorders>
            <w:vAlign w:val="center"/>
          </w:tcPr>
          <w:p w:rsidR="00580A3D" w:rsidRPr="0096004B" w:rsidRDefault="00580A3D" w:rsidP="00975156">
            <w:pPr>
              <w:spacing w:before="60" w:after="60"/>
              <w:rPr>
                <w:rFonts w:cs="Arial"/>
                <w:color w:val="000000"/>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9" w:type="dxa"/>
            <w:tcBorders>
              <w:top w:val="single" w:sz="4" w:space="0" w:color="000000"/>
            </w:tcBorders>
            <w:vAlign w:val="center"/>
          </w:tcPr>
          <w:p w:rsidR="00580A3D" w:rsidRPr="0096004B" w:rsidRDefault="00580A3D" w:rsidP="00975156">
            <w:pPr>
              <w:spacing w:before="60" w:after="60"/>
              <w:rPr>
                <w:rFonts w:cs="Arial"/>
                <w:color w:val="000000"/>
                <w:sz w:val="16"/>
                <w:szCs w:val="16"/>
                <w:lang w:val="ru-RU"/>
              </w:rPr>
            </w:pPr>
            <w:r w:rsidRPr="0096004B">
              <w:rPr>
                <w:rFonts w:cs="Arial"/>
                <w:b/>
                <w:bCs/>
                <w:sz w:val="16"/>
                <w:szCs w:val="16"/>
                <w:lang w:val="ru-RU"/>
              </w:rPr>
              <w:t>Цель (цели) / описание</w:t>
            </w:r>
          </w:p>
        </w:tc>
      </w:tr>
      <w:tr w:rsidR="00580A3D" w:rsidRPr="005C6ABD" w:rsidTr="00975156">
        <w:trPr>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Практикум по охране авторского права и смежных прав</w:t>
            </w:r>
          </w:p>
        </w:tc>
        <w:tc>
          <w:tcPr>
            <w:tcW w:w="1134"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2–13 февраля 2015 г.</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Япония / 11 участников из Китая, Индии, Малайзии, Филиппин, Шри-Ланки и Таиланда</w:t>
            </w:r>
          </w:p>
        </w:tc>
        <w:tc>
          <w:tcPr>
            <w:tcW w:w="4679"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Информирование сотрудников ведомств по охране авторского права и других родственных учреждений в Азиатско-Тихоокеанском регионе о важности охраны авторского и смежных прав.</w:t>
            </w:r>
          </w:p>
        </w:tc>
      </w:tr>
      <w:tr w:rsidR="00580A3D" w:rsidRPr="005C6ABD" w:rsidTr="00975156">
        <w:trPr>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Ознакомительный визит в организации коллективного управления авторскими правами</w:t>
            </w:r>
          </w:p>
        </w:tc>
        <w:tc>
          <w:tcPr>
            <w:tcW w:w="1134"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9–13 февраля 2015 г.</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eastAsia="ja-JP"/>
              </w:rPr>
            </w:pPr>
            <w:r w:rsidRPr="0096004B">
              <w:rPr>
                <w:rFonts w:cs="Arial"/>
                <w:color w:val="000000"/>
                <w:sz w:val="16"/>
                <w:szCs w:val="16"/>
                <w:lang w:val="ru-RU" w:eastAsia="ja-JP"/>
              </w:rPr>
              <w:t>Япония / 8 участников из Бутана, Камбоджи, Лаосской Народно-Демократической Республики и Мьянмы</w:t>
            </w:r>
          </w:p>
        </w:tc>
        <w:tc>
          <w:tcPr>
            <w:tcW w:w="4679"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Углубление знания и понимания участниками вопросов управления авторскими правами;  (ii) упрощение сотрудничества и координации между ведомствами по охране авторских прав и организациями коллективного управления авторскими правами;  и (iii) изучение опыта Японии в сфере авторского права и смежных прав.</w:t>
            </w:r>
          </w:p>
        </w:tc>
      </w:tr>
      <w:tr w:rsidR="00580A3D" w:rsidRPr="005C6ABD" w:rsidTr="00975156">
        <w:trPr>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Практикум по охране авторского права и смежных прав</w:t>
            </w:r>
          </w:p>
        </w:tc>
        <w:tc>
          <w:tcPr>
            <w:tcW w:w="1134"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19–30 октября 2015 г.</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eastAsia="ja-JP"/>
              </w:rPr>
            </w:pPr>
            <w:r w:rsidRPr="0096004B">
              <w:rPr>
                <w:rFonts w:cs="Arial"/>
                <w:color w:val="000000"/>
                <w:sz w:val="16"/>
                <w:szCs w:val="16"/>
                <w:lang w:val="ru-RU" w:eastAsia="ja-JP"/>
              </w:rPr>
              <w:t>Япония / 10 участников из Индонезии, Малайзии, Филиппин, Таиланда и Вьетнама</w:t>
            </w:r>
          </w:p>
        </w:tc>
        <w:tc>
          <w:tcPr>
            <w:tcW w:w="4679" w:type="dxa"/>
          </w:tcPr>
          <w:p w:rsidR="00580A3D" w:rsidRPr="0096004B" w:rsidRDefault="00580A3D" w:rsidP="00975156">
            <w:pPr>
              <w:autoSpaceDE w:val="0"/>
              <w:autoSpaceDN w:val="0"/>
              <w:adjustRightInd w:val="0"/>
              <w:spacing w:before="60" w:after="60"/>
              <w:rPr>
                <w:rFonts w:cs="Arial"/>
                <w:color w:val="000000"/>
                <w:sz w:val="16"/>
                <w:szCs w:val="16"/>
                <w:lang w:val="ru-RU" w:eastAsia="ja-JP"/>
              </w:rPr>
            </w:pPr>
            <w:r w:rsidRPr="0096004B">
              <w:rPr>
                <w:rFonts w:cs="Arial"/>
                <w:color w:val="000000"/>
                <w:sz w:val="16"/>
                <w:szCs w:val="16"/>
                <w:lang w:val="ru-RU" w:eastAsia="ja-JP"/>
              </w:rPr>
              <w:t xml:space="preserve">(i) Информирование сотрудников ведомств по охране авторского права и других родственных учреждений в Азиатско-Тихоокеанском регионе о важности охраны авторского и смежных прав;  и (ii) обмен опытом с японскими коллегами.  </w:t>
            </w:r>
          </w:p>
        </w:tc>
      </w:tr>
      <w:tr w:rsidR="00580A3D" w:rsidRPr="005C6ABD" w:rsidTr="00975156">
        <w:trPr>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Ознакомительный визит в организации коллективного управления авторскими правами (ОКУ)</w:t>
            </w:r>
          </w:p>
        </w:tc>
        <w:tc>
          <w:tcPr>
            <w:tcW w:w="1134"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26–30 октября 2015 г.</w:t>
            </w:r>
          </w:p>
        </w:tc>
        <w:tc>
          <w:tcPr>
            <w:tcW w:w="2126"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Япония / 6 участников из Бангладеш, Монголии и Шри-Ланки</w:t>
            </w:r>
          </w:p>
        </w:tc>
        <w:tc>
          <w:tcPr>
            <w:tcW w:w="4679"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Углубление знания и понимания участниками вопросов управления авторскими правами;  (ii) упрощение сотрудничества и координации между ведомствами по охране авторских прав и ОКУ;  и (iii) изучение опыта Японии в сфере авторского права и смежных прав.</w:t>
            </w:r>
          </w:p>
        </w:tc>
      </w:tr>
    </w:tbl>
    <w:p w:rsidR="00580A3D" w:rsidRPr="0096004B" w:rsidRDefault="00580A3D" w:rsidP="00580A3D">
      <w:pPr>
        <w:rPr>
          <w:rFonts w:cs="Arial"/>
          <w:b/>
          <w:szCs w:val="16"/>
          <w:lang w:val="ru-RU"/>
        </w:rPr>
      </w:pPr>
    </w:p>
    <w:p w:rsidR="00580A3D" w:rsidRPr="0096004B" w:rsidRDefault="00580A3D" w:rsidP="00580A3D">
      <w:pPr>
        <w:rPr>
          <w:rFonts w:cs="Arial"/>
          <w:b/>
          <w:szCs w:val="16"/>
          <w:lang w:val="ru-RU"/>
        </w:rPr>
      </w:pPr>
    </w:p>
    <w:p w:rsidR="00580A3D" w:rsidRPr="0096004B" w:rsidRDefault="00580A3D" w:rsidP="00580A3D">
      <w:pPr>
        <w:rPr>
          <w:rFonts w:cs="Arial"/>
          <w:b/>
          <w:bCs/>
          <w:color w:val="000000"/>
          <w:szCs w:val="16"/>
          <w:lang w:val="ru-RU"/>
        </w:rPr>
      </w:pPr>
      <w:r w:rsidRPr="0096004B">
        <w:rPr>
          <w:rFonts w:cs="Arial"/>
          <w:b/>
          <w:bCs/>
          <w:szCs w:val="16"/>
          <w:lang w:val="ru-RU"/>
        </w:rPr>
        <w:t>ЯПОНИЯ – АВТОРСКОЕ ПРАВО: взносы доноров и расходы в 2015 г.</w:t>
      </w:r>
    </w:p>
    <w:p w:rsidR="00580A3D" w:rsidRPr="0096004B" w:rsidRDefault="00580A3D" w:rsidP="00580A3D">
      <w:pPr>
        <w:rPr>
          <w:rFonts w:cs="Arial"/>
          <w:b/>
          <w:bCs/>
          <w:color w:val="000000"/>
          <w:szCs w:val="16"/>
          <w:lang w:val="ru-RU"/>
        </w:rPr>
      </w:pPr>
    </w:p>
    <w:tbl>
      <w:tblPr>
        <w:tblW w:w="9791" w:type="dxa"/>
        <w:tblInd w:w="98" w:type="dxa"/>
        <w:tblLook w:val="04A0" w:firstRow="1" w:lastRow="0" w:firstColumn="1" w:lastColumn="0" w:noHBand="0" w:noVBand="1"/>
      </w:tblPr>
      <w:tblGrid>
        <w:gridCol w:w="2040"/>
        <w:gridCol w:w="1640"/>
        <w:gridCol w:w="1860"/>
        <w:gridCol w:w="1780"/>
        <w:gridCol w:w="2471"/>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1"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339 511</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469 462</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464 038</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1"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344 935</w:t>
            </w:r>
          </w:p>
        </w:tc>
      </w:tr>
    </w:tbl>
    <w:p w:rsidR="00580A3D" w:rsidRPr="0096004B" w:rsidRDefault="00580A3D" w:rsidP="00580A3D">
      <w:pPr>
        <w:rPr>
          <w:rFonts w:cs="Arial"/>
          <w:b/>
          <w:szCs w:val="16"/>
          <w:lang w:val="ru-RU" w:eastAsia="ja-JP"/>
        </w:rPr>
      </w:pPr>
    </w:p>
    <w:p w:rsidR="00580A3D" w:rsidRPr="0096004B" w:rsidRDefault="00580A3D" w:rsidP="00580A3D">
      <w:pPr>
        <w:rPr>
          <w:rFonts w:cs="Arial"/>
          <w:b/>
          <w:szCs w:val="16"/>
          <w:lang w:val="ru-RU"/>
        </w:rPr>
      </w:pPr>
    </w:p>
    <w:p w:rsidR="00580A3D" w:rsidRPr="0096004B" w:rsidRDefault="00580A3D" w:rsidP="00580A3D">
      <w:pPr>
        <w:rPr>
          <w:rFonts w:cs="Arial"/>
          <w:b/>
          <w:szCs w:val="16"/>
          <w:lang w:val="ru-RU"/>
        </w:rPr>
      </w:pPr>
      <w:r w:rsidRPr="0096004B">
        <w:rPr>
          <w:rFonts w:cs="Arial"/>
          <w:b/>
          <w:bCs/>
          <w:szCs w:val="16"/>
          <w:lang w:val="ru-RU"/>
        </w:rPr>
        <w:t>ЯПОНИЯ – ПРОМЫШЛЕННАЯ СОБСТВЕННОСТЬ</w:t>
      </w:r>
    </w:p>
    <w:p w:rsidR="00580A3D" w:rsidRPr="0096004B" w:rsidRDefault="00580A3D" w:rsidP="00580A3D">
      <w:pPr>
        <w:rPr>
          <w:rFonts w:cs="Arial"/>
          <w:b/>
          <w:szCs w:val="16"/>
          <w:lang w:val="ru-RU"/>
        </w:rPr>
      </w:pPr>
    </w:p>
    <w:tbl>
      <w:tblPr>
        <w:tblW w:w="9781"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701"/>
        <w:gridCol w:w="99"/>
        <w:gridCol w:w="43"/>
        <w:gridCol w:w="1134"/>
        <w:gridCol w:w="1973"/>
        <w:gridCol w:w="12"/>
        <w:gridCol w:w="4819"/>
      </w:tblGrid>
      <w:tr w:rsidR="00580A3D" w:rsidRPr="005C6ABD" w:rsidTr="00975156">
        <w:trPr>
          <w:cantSplit/>
          <w:trHeight w:val="315"/>
        </w:trPr>
        <w:tc>
          <w:tcPr>
            <w:tcW w:w="9781" w:type="dxa"/>
            <w:gridSpan w:val="7"/>
            <w:tcBorders>
              <w:top w:val="single" w:sz="4" w:space="0" w:color="auto"/>
              <w:bottom w:val="single" w:sz="4" w:space="0" w:color="auto"/>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cantSplit/>
          <w:trHeight w:val="402"/>
        </w:trPr>
        <w:tc>
          <w:tcPr>
            <w:tcW w:w="1843" w:type="dxa"/>
            <w:gridSpan w:val="3"/>
            <w:tcBorders>
              <w:top w:val="single" w:sz="4" w:space="0" w:color="auto"/>
              <w:left w:val="single" w:sz="4" w:space="0" w:color="auto"/>
              <w:bottom w:val="nil"/>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auto"/>
              <w:bottom w:val="nil"/>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1985" w:type="dxa"/>
            <w:gridSpan w:val="2"/>
            <w:tcBorders>
              <w:top w:val="single" w:sz="4" w:space="0" w:color="auto"/>
              <w:bottom w:val="nil"/>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auto"/>
              <w:bottom w:val="nil"/>
              <w:right w:val="single" w:sz="4" w:space="0" w:color="auto"/>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315"/>
        </w:trPr>
        <w:tc>
          <w:tcPr>
            <w:tcW w:w="1800" w:type="dxa"/>
            <w:gridSpan w:val="2"/>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color w:val="000000" w:themeColor="text1"/>
                <w:sz w:val="16"/>
                <w:szCs w:val="16"/>
                <w:lang w:val="ru-RU" w:eastAsia="ja-JP"/>
              </w:rPr>
              <w:t xml:space="preserve">Учебный курс по практике экспертизы промышленной собственности (базовая программа) </w:t>
            </w:r>
          </w:p>
        </w:tc>
        <w:tc>
          <w:tcPr>
            <w:tcW w:w="1177" w:type="dxa"/>
            <w:gridSpan w:val="2"/>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19</w:t>
            </w:r>
            <w:r w:rsidRPr="0096004B">
              <w:rPr>
                <w:rFonts w:eastAsia="MS Mincho" w:cs="Arial"/>
                <w:sz w:val="16"/>
                <w:szCs w:val="16"/>
                <w:lang w:val="ru-RU" w:eastAsia="ja-JP"/>
              </w:rPr>
              <w:br/>
              <w:t>–30 января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Япония / Афганистан, Алжир, Бруней-Даруссалам, Камбоджа, Чили, Индонезия, Кения, Лаосская Народно-Демократическая Республика, Мадагаскар, Малайзия, Мьянма, Пакистан, Перу, Сингапур, Таджикистан, Танзания, Вьетнам и АРОИС</w:t>
            </w:r>
          </w:p>
        </w:tc>
        <w:tc>
          <w:tcPr>
            <w:tcW w:w="4819" w:type="dxa"/>
          </w:tcPr>
          <w:p w:rsidR="00580A3D" w:rsidRPr="0096004B" w:rsidRDefault="00580A3D" w:rsidP="00975156">
            <w:pPr>
              <w:autoSpaceDE w:val="0"/>
              <w:autoSpaceDN w:val="0"/>
              <w:adjustRightInd w:val="0"/>
              <w:spacing w:before="60" w:after="60"/>
              <w:ind w:left="-108"/>
              <w:rPr>
                <w:rFonts w:eastAsia="MS Mincho" w:cs="Arial"/>
                <w:sz w:val="16"/>
                <w:szCs w:val="16"/>
                <w:lang w:val="ru-RU" w:eastAsia="ja-JP"/>
              </w:rPr>
            </w:pPr>
            <w:r w:rsidRPr="0096004B">
              <w:rPr>
                <w:rFonts w:eastAsia="MS Mincho" w:cs="Arial"/>
                <w:sz w:val="16"/>
                <w:szCs w:val="16"/>
                <w:lang w:val="ru-RU" w:eastAsia="ja-JP"/>
              </w:rPr>
              <w:t xml:space="preserve">Углубление важных базовых знаний в области законодательства и процедур экспертизы прав промышленной собственности по существу. </w:t>
            </w:r>
          </w:p>
        </w:tc>
      </w:tr>
      <w:tr w:rsidR="00580A3D" w:rsidRPr="005C6ABD" w:rsidTr="00975156">
        <w:trPr>
          <w:cantSplit/>
          <w:trHeight w:val="315"/>
        </w:trPr>
        <w:tc>
          <w:tcPr>
            <w:tcW w:w="1800" w:type="dxa"/>
            <w:gridSpan w:val="2"/>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 xml:space="preserve">Учебный курс «Управление активами ИС, разработка и реализация планов работы ведомств ИС, ориентированных на конечные результаты» </w:t>
            </w:r>
          </w:p>
        </w:tc>
        <w:tc>
          <w:tcPr>
            <w:tcW w:w="1177" w:type="dxa"/>
            <w:gridSpan w:val="2"/>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6–13 февраля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Япония / Бангладеш, Бразилия, Бруней-Даруссалам, Камбоджа, Чили, Индия, Индонезия, Лаосская Народно-Демократическая Республика, Малайзия, Мексика, Марокко, Мьянма, Нигерия, Пакистан, Перу, Филиппины, Сингапур, Южная Африка, Таиланд и Вьетнам</w:t>
            </w:r>
          </w:p>
        </w:tc>
        <w:tc>
          <w:tcPr>
            <w:tcW w:w="4819" w:type="dxa"/>
          </w:tcPr>
          <w:p w:rsidR="00580A3D" w:rsidRPr="0096004B" w:rsidRDefault="00580A3D" w:rsidP="00975156">
            <w:pPr>
              <w:autoSpaceDE w:val="0"/>
              <w:autoSpaceDN w:val="0"/>
              <w:adjustRightInd w:val="0"/>
              <w:spacing w:before="60" w:after="60"/>
              <w:ind w:left="-108"/>
              <w:rPr>
                <w:rFonts w:eastAsia="MS Mincho" w:cs="Arial"/>
                <w:sz w:val="16"/>
                <w:szCs w:val="16"/>
                <w:lang w:val="ru-RU" w:eastAsia="ja-JP"/>
              </w:rPr>
            </w:pPr>
            <w:r w:rsidRPr="0096004B">
              <w:rPr>
                <w:rFonts w:eastAsia="MS Mincho" w:cs="Arial"/>
                <w:sz w:val="16"/>
                <w:szCs w:val="16"/>
                <w:lang w:val="ru-RU" w:eastAsia="ja-JP"/>
              </w:rPr>
              <w:t>(i) Углубление знаний участников о современной практике управления правами ИС, в т.ч. о способах разработки политики, стратегий и планов по укреплению потенциала патентных экспертов и по обеспечению качества патентной экспертизы;  и (ii) повышение квалификации участников в разработке, реализации и оценке планов ведомств ИС, учитывающих временные ограничения, ориентированных на конечный результат и имеющих измеримый эффект.</w:t>
            </w:r>
          </w:p>
        </w:tc>
      </w:tr>
      <w:tr w:rsidR="00580A3D" w:rsidRPr="005C6ABD" w:rsidTr="00975156">
        <w:trPr>
          <w:cantSplit/>
          <w:trHeight w:val="315"/>
        </w:trPr>
        <w:tc>
          <w:tcPr>
            <w:tcW w:w="1800" w:type="dxa"/>
            <w:gridSpan w:val="2"/>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Учебный курс для патентных экспертов по конкретным технологиям (фармацевтика)</w:t>
            </w:r>
          </w:p>
        </w:tc>
        <w:tc>
          <w:tcPr>
            <w:tcW w:w="1177" w:type="dxa"/>
            <w:gridSpan w:val="2"/>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19–26 февраля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Япония / Китай, Египет, Индия, Индонезия, Малайзия, Пакистан, Филиппины, Таиланд, Турция, Вьетнам и АРОИС</w:t>
            </w:r>
          </w:p>
        </w:tc>
        <w:tc>
          <w:tcPr>
            <w:tcW w:w="4819" w:type="dxa"/>
          </w:tcPr>
          <w:p w:rsidR="00580A3D" w:rsidRPr="0096004B" w:rsidRDefault="00580A3D" w:rsidP="00975156">
            <w:pPr>
              <w:autoSpaceDE w:val="0"/>
              <w:autoSpaceDN w:val="0"/>
              <w:adjustRightInd w:val="0"/>
              <w:spacing w:before="60" w:after="60"/>
              <w:ind w:left="-108"/>
              <w:rPr>
                <w:rFonts w:eastAsia="MS Mincho" w:cs="Arial"/>
                <w:sz w:val="16"/>
                <w:szCs w:val="16"/>
                <w:lang w:val="ru-RU" w:eastAsia="ja-JP"/>
              </w:rPr>
            </w:pPr>
            <w:r w:rsidRPr="0096004B">
              <w:rPr>
                <w:rFonts w:eastAsia="MS Mincho" w:cs="Arial"/>
                <w:sz w:val="16"/>
                <w:szCs w:val="16"/>
                <w:lang w:val="ru-RU" w:eastAsia="ja-JP"/>
              </w:rPr>
              <w:t>(i) Ознакомление участников с текущими тенденциями и современной практикой экспертизы патентов в области фармацевтики;  (ii) передача практических знаний и навыков, связанных с методами экспертизы;  (iii) предоставление участникам возможности обмена опытом и мнениями по вопросам патентной экспертизы;  и (iv) повышение профессиональной квалификации экспертов для проведения экспертизы фармацевтических патентов.</w:t>
            </w:r>
          </w:p>
        </w:tc>
      </w:tr>
      <w:tr w:rsidR="00580A3D" w:rsidRPr="005C6ABD" w:rsidTr="00975156">
        <w:trPr>
          <w:cantSplit/>
          <w:trHeight w:val="315"/>
        </w:trPr>
        <w:tc>
          <w:tcPr>
            <w:tcW w:w="1800" w:type="dxa"/>
            <w:gridSpan w:val="2"/>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 xml:space="preserve">Учебный курс по использованию информационных технологий при управлении правами промышленной собственности </w:t>
            </w:r>
          </w:p>
        </w:tc>
        <w:tc>
          <w:tcPr>
            <w:tcW w:w="1177" w:type="dxa"/>
            <w:gridSpan w:val="2"/>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26 октября – 6 ноября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Япония / Алжир, Аргентина, Бруней-Даруссалам, Камбоджа, Чили, Индия, Индонезия, Лаосская Народно-Демократическая Республика, Малайзия, Мексика, Мьянма, Папуа – Новая Гвинея, Перу, Филиппины, Южная Африка, Таиланд, Вьетнам и АРОИС</w:t>
            </w:r>
          </w:p>
        </w:tc>
        <w:tc>
          <w:tcPr>
            <w:tcW w:w="4819" w:type="dxa"/>
          </w:tcPr>
          <w:p w:rsidR="00580A3D" w:rsidRPr="0096004B" w:rsidRDefault="00580A3D" w:rsidP="00975156">
            <w:pPr>
              <w:autoSpaceDE w:val="0"/>
              <w:autoSpaceDN w:val="0"/>
              <w:adjustRightInd w:val="0"/>
              <w:spacing w:before="60" w:after="60"/>
              <w:ind w:left="-108"/>
              <w:rPr>
                <w:rFonts w:eastAsia="MS Mincho" w:cs="Arial"/>
                <w:sz w:val="16"/>
                <w:szCs w:val="16"/>
                <w:lang w:val="ru-RU" w:eastAsia="ja-JP"/>
              </w:rPr>
            </w:pPr>
            <w:r w:rsidRPr="0096004B">
              <w:rPr>
                <w:rFonts w:eastAsia="MS Mincho" w:cs="Arial"/>
                <w:sz w:val="16"/>
                <w:szCs w:val="16"/>
                <w:lang w:val="ru-RU" w:eastAsia="ja-JP"/>
              </w:rPr>
              <w:t>(i) Ознакомление участников с последними достижениями в применении информационных технологий для управления правами промышленной собственности, распространения информации, связанной с промышленной собственностью, и предоставления онлайновых услуг;  (ii) передача практических навыков применения новейших инструментов и технологий путем проведения интерактивной учебы, а также командировок в соответствующие частные предприятия;  (iii) создание условий для обмена мнениями и соображениями между участниками по соответствующим вопросам и повышения за счет этого профессиональных навыков участников в планировании и организации использования информационных технологий для управления правами промышленной собственности.</w:t>
            </w:r>
          </w:p>
        </w:tc>
      </w:tr>
      <w:tr w:rsidR="00580A3D" w:rsidRPr="005C6ABD" w:rsidTr="00975156">
        <w:trPr>
          <w:cantSplit/>
          <w:trHeight w:val="315"/>
        </w:trPr>
        <w:tc>
          <w:tcPr>
            <w:tcW w:w="1800" w:type="dxa"/>
            <w:gridSpan w:val="2"/>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Учебный курс «Защита прав интеллектуальной собственности»</w:t>
            </w:r>
          </w:p>
        </w:tc>
        <w:tc>
          <w:tcPr>
            <w:tcW w:w="1177" w:type="dxa"/>
            <w:gridSpan w:val="2"/>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30 ноября – 10 декабря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Япония / Китай, Индонезия, Малайзия, Филиппины, Таиланд, Объединенные Арабские Эмираты и Вьетнам</w:t>
            </w:r>
          </w:p>
        </w:tc>
        <w:tc>
          <w:tcPr>
            <w:tcW w:w="4819" w:type="dxa"/>
          </w:tcPr>
          <w:p w:rsidR="00580A3D" w:rsidRPr="0096004B" w:rsidRDefault="00580A3D" w:rsidP="00975156">
            <w:pPr>
              <w:tabs>
                <w:tab w:val="left" w:pos="403"/>
              </w:tabs>
              <w:spacing w:before="60" w:after="60"/>
              <w:ind w:left="-108"/>
              <w:rPr>
                <w:rFonts w:eastAsia="MS Mincho" w:cs="Arial"/>
                <w:sz w:val="16"/>
                <w:szCs w:val="16"/>
                <w:lang w:val="ru-RU" w:eastAsia="ja-JP"/>
              </w:rPr>
            </w:pPr>
            <w:r w:rsidRPr="0096004B">
              <w:rPr>
                <w:rFonts w:eastAsia="MS Mincho" w:cs="Arial"/>
                <w:sz w:val="16"/>
                <w:szCs w:val="16"/>
                <w:lang w:val="ru-RU" w:eastAsia="ja-JP"/>
              </w:rPr>
              <w:t xml:space="preserve">(i) </w:t>
            </w:r>
            <w:r w:rsidRPr="0096004B">
              <w:rPr>
                <w:rFonts w:cs="Arial"/>
                <w:sz w:val="16"/>
                <w:szCs w:val="16"/>
                <w:lang w:val="ru-RU"/>
              </w:rPr>
              <w:t>Укрепление уважения прав ИС на основе критического анализа и обсуждения минимальных стандартов и гибких возможностей в области защиты прав ИС, предусмотренных частью  III Соглашения ТРИПС;  (ii) предоставление участникам возможности продемонстрировать свои навыки в оценке доказательств и решении дел в области ИС, а также оценка последних явлений в судебной практике и проблем, обсуждаемых Консультативным комитетом по защите прав ВОИС;  (iii) предоставление участникам возможности приобрести более широкие знания по вопросам, связанным с интеллектуальной собственностью и судебными системами;  (iv) обеспечение более глубокого понимания процедур судебного разбирательства и методов разрешения споров по вопросам ИС;  и (v) повышение профессиональной квалификации по ведению судебных процессов, связанных с нарушениями прав.</w:t>
            </w:r>
          </w:p>
        </w:tc>
      </w:tr>
      <w:tr w:rsidR="00580A3D" w:rsidRPr="005C6ABD" w:rsidTr="00975156">
        <w:trPr>
          <w:cantSplit/>
          <w:trHeight w:val="315"/>
        </w:trPr>
        <w:tc>
          <w:tcPr>
            <w:tcW w:w="1800" w:type="dxa"/>
            <w:gridSpan w:val="2"/>
            <w:tcBorders>
              <w:bottom w:val="nil"/>
            </w:tcBorders>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Предоставление стипендий для прохождения долгосрочного обучения в Японском патентном ведомстве (ЯПВ)</w:t>
            </w:r>
          </w:p>
        </w:tc>
        <w:tc>
          <w:tcPr>
            <w:tcW w:w="1177" w:type="dxa"/>
            <w:gridSpan w:val="2"/>
            <w:tcBorders>
              <w:bottom w:val="nil"/>
            </w:tcBorders>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Май – сентябрь 2015 г.</w:t>
            </w:r>
          </w:p>
        </w:tc>
        <w:tc>
          <w:tcPr>
            <w:tcW w:w="1985" w:type="dxa"/>
            <w:gridSpan w:val="2"/>
            <w:tcBorders>
              <w:bottom w:val="nil"/>
            </w:tcBorders>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Япония / Вьетнам</w:t>
            </w:r>
          </w:p>
        </w:tc>
        <w:tc>
          <w:tcPr>
            <w:tcW w:w="4819" w:type="dxa"/>
            <w:tcBorders>
              <w:bottom w:val="nil"/>
            </w:tcBorders>
          </w:tcPr>
          <w:p w:rsidR="00580A3D" w:rsidRPr="0096004B" w:rsidRDefault="00580A3D" w:rsidP="00975156">
            <w:pPr>
              <w:autoSpaceDE w:val="0"/>
              <w:autoSpaceDN w:val="0"/>
              <w:adjustRightInd w:val="0"/>
              <w:spacing w:before="60" w:after="60"/>
              <w:ind w:left="-108"/>
              <w:rPr>
                <w:rFonts w:eastAsia="MS Mincho" w:cs="Arial"/>
                <w:sz w:val="16"/>
                <w:szCs w:val="16"/>
                <w:lang w:val="ru-RU" w:eastAsia="ja-JP"/>
              </w:rPr>
            </w:pPr>
            <w:r w:rsidRPr="0096004B">
              <w:rPr>
                <w:rFonts w:eastAsia="MS Mincho" w:cs="Arial"/>
                <w:sz w:val="16"/>
                <w:szCs w:val="16"/>
                <w:lang w:val="ru-RU" w:eastAsia="ja-JP"/>
              </w:rPr>
              <w:t xml:space="preserve">Расширение знания и понимания аспирантами некоторых вопросов промышленной собственности, в первую очередь за счет предоставления возможности для проведения самостоятельных исследований по выбранным предметам.  Кандидат из Национального ВИС Вьетнама выбрал тему «Эффективное продвижение ИС в развивающихся странах». </w:t>
            </w:r>
          </w:p>
        </w:tc>
      </w:tr>
      <w:tr w:rsidR="00580A3D" w:rsidRPr="005C6ABD" w:rsidTr="00975156">
        <w:trPr>
          <w:cantSplit/>
          <w:trHeight w:val="473"/>
        </w:trPr>
        <w:tc>
          <w:tcPr>
            <w:tcW w:w="1800" w:type="dxa"/>
            <w:gridSpan w:val="2"/>
            <w:tcBorders>
              <w:top w:val="nil"/>
              <w:bottom w:val="single" w:sz="4" w:space="0" w:color="auto"/>
            </w:tcBorders>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Прохождение краткосрочной практики/стажировки в бюро патентных поверенных</w:t>
            </w:r>
          </w:p>
        </w:tc>
        <w:tc>
          <w:tcPr>
            <w:tcW w:w="1177" w:type="dxa"/>
            <w:gridSpan w:val="2"/>
            <w:tcBorders>
              <w:top w:val="nil"/>
              <w:bottom w:val="single" w:sz="4" w:space="0" w:color="auto"/>
            </w:tcBorders>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2–13 ноября 2015 г.</w:t>
            </w:r>
          </w:p>
        </w:tc>
        <w:tc>
          <w:tcPr>
            <w:tcW w:w="1973" w:type="dxa"/>
            <w:tcBorders>
              <w:top w:val="nil"/>
              <w:bottom w:val="single" w:sz="4" w:space="0" w:color="auto"/>
            </w:tcBorders>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Япония / Непал</w:t>
            </w:r>
          </w:p>
        </w:tc>
        <w:tc>
          <w:tcPr>
            <w:tcW w:w="4831" w:type="dxa"/>
            <w:gridSpan w:val="2"/>
            <w:tcBorders>
              <w:top w:val="nil"/>
              <w:bottom w:val="single" w:sz="4" w:space="0" w:color="auto"/>
            </w:tcBorders>
          </w:tcPr>
          <w:p w:rsidR="00580A3D" w:rsidRPr="0096004B" w:rsidRDefault="00580A3D" w:rsidP="00975156">
            <w:pPr>
              <w:autoSpaceDE w:val="0"/>
              <w:autoSpaceDN w:val="0"/>
              <w:adjustRightInd w:val="0"/>
              <w:spacing w:before="60" w:after="60"/>
              <w:ind w:left="-96"/>
              <w:rPr>
                <w:rFonts w:eastAsia="MS Mincho" w:cs="Arial"/>
                <w:color w:val="000000"/>
                <w:sz w:val="16"/>
                <w:szCs w:val="16"/>
                <w:lang w:val="ru-RU" w:eastAsia="ja-JP"/>
              </w:rPr>
            </w:pPr>
            <w:r w:rsidRPr="0096004B">
              <w:rPr>
                <w:rFonts w:eastAsia="MS Mincho" w:cs="Arial"/>
                <w:color w:val="000000"/>
                <w:sz w:val="16"/>
                <w:szCs w:val="16"/>
                <w:lang w:val="ru-RU" w:eastAsia="ja-JP"/>
              </w:rPr>
              <w:t xml:space="preserve">Предоставление выпускникам отделений интеллектуальной собственности </w:t>
            </w:r>
            <w:r w:rsidRPr="0096004B">
              <w:rPr>
                <w:rFonts w:cs="Arial"/>
                <w:color w:val="000000"/>
                <w:sz w:val="16"/>
                <w:szCs w:val="16"/>
                <w:lang w:val="ru-RU"/>
              </w:rPr>
              <w:t>знаний, навыков и представлений о реальном мире ИС путем теоретической подготовки, дополненной практическим обучением и опытом реальной работы.</w:t>
            </w:r>
          </w:p>
        </w:tc>
      </w:tr>
      <w:tr w:rsidR="00580A3D" w:rsidRPr="005C6ABD" w:rsidTr="00975156">
        <w:trPr>
          <w:cantSplit/>
          <w:trHeight w:val="315"/>
        </w:trPr>
        <w:tc>
          <w:tcPr>
            <w:tcW w:w="9781" w:type="dxa"/>
            <w:gridSpan w:val="7"/>
            <w:tcBorders>
              <w:top w:val="single" w:sz="4" w:space="0" w:color="auto"/>
              <w:bottom w:val="single" w:sz="4" w:space="0" w:color="auto"/>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III.4.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cantSplit/>
          <w:trHeight w:val="500"/>
        </w:trPr>
        <w:tc>
          <w:tcPr>
            <w:tcW w:w="1843" w:type="dxa"/>
            <w:gridSpan w:val="3"/>
            <w:tcBorders>
              <w:top w:val="single" w:sz="4" w:space="0" w:color="auto"/>
              <w:left w:val="single" w:sz="4" w:space="0" w:color="auto"/>
              <w:bottom w:val="nil"/>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auto"/>
              <w:bottom w:val="nil"/>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1985" w:type="dxa"/>
            <w:gridSpan w:val="2"/>
            <w:tcBorders>
              <w:top w:val="single" w:sz="4" w:space="0" w:color="auto"/>
              <w:bottom w:val="nil"/>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auto"/>
              <w:bottom w:val="nil"/>
              <w:right w:val="single" w:sz="4" w:space="0" w:color="auto"/>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315"/>
        </w:trPr>
        <w:tc>
          <w:tcPr>
            <w:tcW w:w="1701" w:type="dxa"/>
          </w:tcPr>
          <w:p w:rsidR="00580A3D" w:rsidRPr="0096004B" w:rsidRDefault="00580A3D" w:rsidP="00975156">
            <w:pPr>
              <w:keepNext/>
              <w:keepLines/>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 xml:space="preserve">Конференция глав ведомств интеллектуальной собственности </w:t>
            </w:r>
          </w:p>
        </w:tc>
        <w:tc>
          <w:tcPr>
            <w:tcW w:w="1276" w:type="dxa"/>
            <w:gridSpan w:val="3"/>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29–30 июня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cs="Arial"/>
                <w:sz w:val="16"/>
                <w:szCs w:val="16"/>
                <w:lang w:val="ru-RU" w:eastAsia="ja-JP"/>
              </w:rPr>
              <w:t xml:space="preserve">Япония / Бангладеш, Бутан, Камбоджа, Индия, </w:t>
            </w:r>
            <w:r w:rsidRPr="0096004B">
              <w:rPr>
                <w:rFonts w:eastAsia="MS Mincho" w:cs="Arial"/>
                <w:color w:val="000000"/>
                <w:sz w:val="16"/>
                <w:szCs w:val="16"/>
                <w:lang w:val="ru-RU" w:eastAsia="ja-JP"/>
              </w:rPr>
              <w:t>Лаосская Народно-Демократическая Республика</w:t>
            </w:r>
            <w:r w:rsidRPr="0096004B">
              <w:rPr>
                <w:rFonts w:cs="Arial"/>
                <w:sz w:val="16"/>
                <w:szCs w:val="16"/>
                <w:lang w:val="ru-RU"/>
              </w:rPr>
              <w:t>, Малайзия, Мьянма, Непал, Пакистан, Филиппины, Сингапур, Шри-Ланка и Таиланд</w:t>
            </w:r>
          </w:p>
        </w:tc>
        <w:tc>
          <w:tcPr>
            <w:tcW w:w="4819" w:type="dxa"/>
          </w:tcPr>
          <w:p w:rsidR="00580A3D" w:rsidRPr="0096004B" w:rsidRDefault="00580A3D" w:rsidP="00975156">
            <w:pPr>
              <w:autoSpaceDE w:val="0"/>
              <w:autoSpaceDN w:val="0"/>
              <w:adjustRightInd w:val="0"/>
              <w:spacing w:before="60" w:after="60"/>
              <w:ind w:left="-108"/>
              <w:rPr>
                <w:rFonts w:eastAsia="MS Mincho" w:cs="Arial"/>
                <w:sz w:val="16"/>
                <w:szCs w:val="16"/>
                <w:lang w:val="ru-RU" w:eastAsia="ja-JP"/>
              </w:rPr>
            </w:pPr>
            <w:r w:rsidRPr="0096004B">
              <w:rPr>
                <w:rFonts w:eastAsia="MS Mincho" w:cs="Arial"/>
                <w:color w:val="000000"/>
                <w:sz w:val="16"/>
                <w:szCs w:val="16"/>
                <w:lang w:val="ru-RU" w:eastAsia="ja-JP"/>
              </w:rPr>
              <w:t xml:space="preserve">(i) Повышение информированности генеральных директор о мире ИС и повышение их профессиональной квалификации для обеспечения глубокого понимания связей между ИС и развитием;  (ii) обсуждение стратегии реализации программы технической помощи ВОИС в области устойчивого развития;  (iii) предоставление главам ведомств ИС среды для уверенного обмена мнениями и опытом;  и (iv) содействие сотрудничеству Юг-Юг за счет формирования более крепких связей между главами ведомств ИС всего региона. </w:t>
            </w:r>
          </w:p>
        </w:tc>
      </w:tr>
      <w:tr w:rsidR="00580A3D" w:rsidRPr="005C6ABD" w:rsidTr="00975156">
        <w:trPr>
          <w:cantSplit/>
          <w:trHeight w:val="315"/>
        </w:trPr>
        <w:tc>
          <w:tcPr>
            <w:tcW w:w="9781" w:type="dxa"/>
            <w:gridSpan w:val="7"/>
            <w:tcBorders>
              <w:top w:val="single" w:sz="4" w:space="0" w:color="auto"/>
              <w:bottom w:val="single" w:sz="4" w:space="0" w:color="auto"/>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IV.2.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r>
      <w:tr w:rsidR="00580A3D" w:rsidRPr="0096004B" w:rsidTr="00975156">
        <w:trPr>
          <w:cantSplit/>
          <w:trHeight w:val="402"/>
        </w:trPr>
        <w:tc>
          <w:tcPr>
            <w:tcW w:w="1843" w:type="dxa"/>
            <w:gridSpan w:val="3"/>
            <w:tcBorders>
              <w:top w:val="single" w:sz="4" w:space="0" w:color="auto"/>
              <w:left w:val="single" w:sz="4" w:space="0" w:color="auto"/>
              <w:bottom w:val="nil"/>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auto"/>
              <w:bottom w:val="nil"/>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1985" w:type="dxa"/>
            <w:gridSpan w:val="2"/>
            <w:tcBorders>
              <w:top w:val="single" w:sz="4" w:space="0" w:color="auto"/>
              <w:bottom w:val="nil"/>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auto"/>
              <w:bottom w:val="nil"/>
              <w:right w:val="single" w:sz="4" w:space="0" w:color="auto"/>
            </w:tcBorders>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315"/>
        </w:trPr>
        <w:tc>
          <w:tcPr>
            <w:tcW w:w="1701" w:type="dxa"/>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 xml:space="preserve">Региональный семинар «Распространение и эффективное использование патентной информации» </w:t>
            </w:r>
          </w:p>
        </w:tc>
        <w:tc>
          <w:tcPr>
            <w:tcW w:w="1276" w:type="dxa"/>
            <w:gridSpan w:val="3"/>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5</w:t>
            </w:r>
            <w:r w:rsidRPr="0096004B">
              <w:rPr>
                <w:rFonts w:eastAsia="MS Mincho" w:cs="Arial"/>
                <w:sz w:val="16"/>
                <w:szCs w:val="16"/>
                <w:lang w:val="ru-RU" w:eastAsia="ja-JP"/>
              </w:rPr>
              <w:br/>
              <w:t>–6 ноября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Япония / Индонезия, Малайзия, Филиппины, Таиланд и Вьетнам</w:t>
            </w:r>
          </w:p>
        </w:tc>
        <w:tc>
          <w:tcPr>
            <w:tcW w:w="4819" w:type="dxa"/>
          </w:tcPr>
          <w:p w:rsidR="00580A3D" w:rsidRPr="0096004B" w:rsidRDefault="00580A3D" w:rsidP="00975156">
            <w:pPr>
              <w:autoSpaceDE w:val="0"/>
              <w:autoSpaceDN w:val="0"/>
              <w:adjustRightInd w:val="0"/>
              <w:spacing w:before="60" w:after="60"/>
              <w:ind w:left="-108"/>
              <w:rPr>
                <w:rFonts w:eastAsia="MS Mincho" w:cs="Arial"/>
                <w:sz w:val="16"/>
                <w:szCs w:val="16"/>
                <w:lang w:val="ru-RU" w:eastAsia="ja-JP"/>
              </w:rPr>
            </w:pPr>
            <w:r w:rsidRPr="0096004B">
              <w:rPr>
                <w:rFonts w:eastAsia="MS Mincho" w:cs="Arial"/>
                <w:sz w:val="16"/>
                <w:szCs w:val="16"/>
                <w:lang w:val="ru-RU" w:eastAsia="ja-JP"/>
              </w:rPr>
              <w:t xml:space="preserve">Предоставление участникам возможности узнать об:  (i) экономических выгодах использования патентной информации;  и (ii) общих тенденциях в обмене патентной информацией между ведомствами ИС. </w:t>
            </w:r>
          </w:p>
        </w:tc>
      </w:tr>
      <w:tr w:rsidR="00580A3D" w:rsidRPr="005C6ABD" w:rsidTr="00975156">
        <w:trPr>
          <w:cantSplit/>
          <w:trHeight w:val="315"/>
        </w:trPr>
        <w:tc>
          <w:tcPr>
            <w:tcW w:w="1701" w:type="dxa"/>
          </w:tcPr>
          <w:p w:rsidR="00580A3D" w:rsidRPr="0096004B" w:rsidRDefault="00580A3D" w:rsidP="00EE0D83">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 xml:space="preserve">«Руководство по программным средствам патентного анализа с открытым исходным кодом» </w:t>
            </w:r>
          </w:p>
        </w:tc>
        <w:tc>
          <w:tcPr>
            <w:tcW w:w="1276" w:type="dxa"/>
            <w:gridSpan w:val="3"/>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Март – декабрь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Все государства-члены ВОИС</w:t>
            </w:r>
          </w:p>
        </w:tc>
        <w:tc>
          <w:tcPr>
            <w:tcW w:w="4819" w:type="dxa"/>
          </w:tcPr>
          <w:p w:rsidR="00580A3D" w:rsidRPr="0096004B" w:rsidRDefault="00580A3D" w:rsidP="00975156">
            <w:pPr>
              <w:autoSpaceDE w:val="0"/>
              <w:autoSpaceDN w:val="0"/>
              <w:adjustRightInd w:val="0"/>
              <w:spacing w:before="60" w:after="60"/>
              <w:ind w:left="-108"/>
              <w:rPr>
                <w:rFonts w:eastAsia="MS Mincho" w:cs="Arial"/>
                <w:color w:val="000000"/>
                <w:sz w:val="16"/>
                <w:szCs w:val="16"/>
                <w:lang w:val="ru-RU" w:eastAsia="ja-JP"/>
              </w:rPr>
            </w:pPr>
            <w:r w:rsidRPr="0096004B">
              <w:rPr>
                <w:rFonts w:eastAsia="MS Mincho" w:cs="Arial"/>
                <w:color w:val="000000"/>
                <w:sz w:val="16"/>
                <w:szCs w:val="16"/>
                <w:lang w:val="ru-RU" w:eastAsia="ja-JP"/>
              </w:rPr>
              <w:t>Укрепление навыков сотрудников ведомств интеллектуальной собственности и других государственных учреждений, отвечающих за обработку патентной информации, по подготовке отчетов о патентных ландшафтах.</w:t>
            </w:r>
          </w:p>
        </w:tc>
      </w:tr>
      <w:tr w:rsidR="00580A3D" w:rsidRPr="005C6ABD" w:rsidTr="00975156">
        <w:trPr>
          <w:cantSplit/>
          <w:trHeight w:val="315"/>
        </w:trPr>
        <w:tc>
          <w:tcPr>
            <w:tcW w:w="1701" w:type="dxa"/>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Межрегиональный практикум по программным средствам патентного анализа с открытым исходным кодом</w:t>
            </w:r>
          </w:p>
        </w:tc>
        <w:tc>
          <w:tcPr>
            <w:tcW w:w="1276" w:type="dxa"/>
            <w:gridSpan w:val="3"/>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25–27 ноября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Филиппины / Бразилия, Чили, Бруней-Даруссалам, Индия, Индонезия, Малайзия, Монголия, Пакистан, Филиппины и Вьетнам</w:t>
            </w:r>
          </w:p>
        </w:tc>
        <w:tc>
          <w:tcPr>
            <w:tcW w:w="4819" w:type="dxa"/>
          </w:tcPr>
          <w:p w:rsidR="00580A3D" w:rsidRPr="0096004B" w:rsidRDefault="00580A3D" w:rsidP="00975156">
            <w:pPr>
              <w:autoSpaceDE w:val="0"/>
              <w:autoSpaceDN w:val="0"/>
              <w:adjustRightInd w:val="0"/>
              <w:spacing w:before="60" w:after="60"/>
              <w:ind w:left="-108"/>
              <w:rPr>
                <w:rFonts w:eastAsia="MS Mincho" w:cs="Arial"/>
                <w:color w:val="000000"/>
                <w:sz w:val="16"/>
                <w:szCs w:val="16"/>
                <w:lang w:val="ru-RU" w:eastAsia="ja-JP"/>
              </w:rPr>
            </w:pPr>
            <w:r w:rsidRPr="0096004B">
              <w:rPr>
                <w:rFonts w:eastAsia="MS Mincho" w:cs="Arial"/>
                <w:color w:val="000000"/>
                <w:sz w:val="16"/>
                <w:szCs w:val="16"/>
                <w:lang w:val="ru-RU" w:eastAsia="ja-JP"/>
              </w:rPr>
              <w:t>(i) Представление справочника потенциальным пользователям;  (ii) предоставление практического обучения использованию некоторых открытых и бесплатных программных средств для различных задач патентного анализа;  и (iii) содействие сотрудничеству между ведомствами ИС и другими учреждениями, работающими в области патентного анализа для обмена мнениями и передовой практикой.</w:t>
            </w:r>
          </w:p>
        </w:tc>
      </w:tr>
      <w:tr w:rsidR="00580A3D" w:rsidRPr="005C6ABD" w:rsidTr="00975156">
        <w:trPr>
          <w:cantSplit/>
          <w:trHeight w:val="315"/>
        </w:trPr>
        <w:tc>
          <w:tcPr>
            <w:tcW w:w="1701" w:type="dxa"/>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Анализ специалистами Бюро ВОИС в Японии примеров успешной интеграции коммерческой деятельности и ИС</w:t>
            </w:r>
          </w:p>
        </w:tc>
        <w:tc>
          <w:tcPr>
            <w:tcW w:w="1276" w:type="dxa"/>
            <w:gridSpan w:val="3"/>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 xml:space="preserve">Январь </w:t>
            </w:r>
            <w:r w:rsidRPr="0096004B">
              <w:rPr>
                <w:rFonts w:eastAsia="MS Mincho" w:cs="Arial"/>
                <w:sz w:val="16"/>
                <w:szCs w:val="16"/>
                <w:lang w:val="ru-RU" w:eastAsia="ja-JP"/>
              </w:rPr>
              <w:br/>
              <w:t>– март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themeColor="text1"/>
                <w:sz w:val="16"/>
                <w:szCs w:val="16"/>
                <w:lang w:val="ru-RU" w:eastAsia="ja-JP"/>
              </w:rPr>
            </w:pPr>
            <w:r w:rsidRPr="0096004B">
              <w:rPr>
                <w:rFonts w:eastAsia="MS Mincho" w:cs="Arial"/>
                <w:color w:val="000000" w:themeColor="text1"/>
                <w:sz w:val="16"/>
                <w:szCs w:val="16"/>
                <w:lang w:val="ru-RU" w:eastAsia="ja-JP"/>
              </w:rPr>
              <w:t>Греция, Иордания и Малайзия / все государства-члены ВОИС</w:t>
            </w:r>
          </w:p>
        </w:tc>
        <w:tc>
          <w:tcPr>
            <w:tcW w:w="4819" w:type="dxa"/>
          </w:tcPr>
          <w:p w:rsidR="00580A3D" w:rsidRPr="0096004B" w:rsidRDefault="00580A3D" w:rsidP="00975156">
            <w:pPr>
              <w:autoSpaceDE w:val="0"/>
              <w:autoSpaceDN w:val="0"/>
              <w:adjustRightInd w:val="0"/>
              <w:spacing w:before="60" w:after="60"/>
              <w:ind w:left="-108"/>
              <w:rPr>
                <w:rFonts w:eastAsia="MS Mincho" w:cs="Arial"/>
                <w:color w:val="000000" w:themeColor="text1"/>
                <w:sz w:val="16"/>
                <w:szCs w:val="16"/>
                <w:lang w:val="ru-RU" w:eastAsia="ja-JP"/>
              </w:rPr>
            </w:pPr>
            <w:r w:rsidRPr="0096004B">
              <w:rPr>
                <w:rFonts w:eastAsia="MS Mincho" w:cs="Arial"/>
                <w:color w:val="000000" w:themeColor="text1"/>
                <w:sz w:val="16"/>
                <w:szCs w:val="16"/>
                <w:lang w:val="ru-RU" w:eastAsia="ja-JP"/>
              </w:rPr>
              <w:t xml:space="preserve">Бюро ВОИС в Японии провело исследование и отобрало примеры успешной интеграции коммерческой деятельности и ИС, уделяя особое внимание случаям, связанным с развивающимися странами, которые обогатили базу данных </w:t>
            </w:r>
            <w:r w:rsidRPr="0096004B">
              <w:rPr>
                <w:rFonts w:eastAsia="MS Mincho" w:cs="Arial"/>
                <w:color w:val="000000" w:themeColor="text1"/>
                <w:sz w:val="16"/>
                <w:szCs w:val="16"/>
                <w:lang w:val="en-GB" w:eastAsia="ja-JP"/>
              </w:rPr>
              <w:t>IP</w:t>
            </w:r>
            <w:r w:rsidRPr="006D7B9D">
              <w:rPr>
                <w:rFonts w:eastAsia="MS Mincho" w:cs="Arial"/>
                <w:color w:val="000000" w:themeColor="text1"/>
                <w:sz w:val="16"/>
                <w:szCs w:val="16"/>
                <w:lang w:val="ru-RU" w:eastAsia="ja-JP"/>
              </w:rPr>
              <w:t xml:space="preserve"> </w:t>
            </w:r>
            <w:r w:rsidRPr="0096004B">
              <w:rPr>
                <w:rFonts w:eastAsia="MS Mincho" w:cs="Arial"/>
                <w:color w:val="000000" w:themeColor="text1"/>
                <w:sz w:val="16"/>
                <w:szCs w:val="16"/>
                <w:lang w:val="en-GB" w:eastAsia="ja-JP"/>
              </w:rPr>
              <w:t>Advantage</w:t>
            </w:r>
            <w:r w:rsidRPr="0096004B">
              <w:rPr>
                <w:rFonts w:eastAsia="MS Mincho" w:cs="Arial"/>
                <w:color w:val="000000" w:themeColor="text1"/>
                <w:sz w:val="16"/>
                <w:szCs w:val="16"/>
                <w:lang w:val="ru-RU" w:eastAsia="ja-JP"/>
              </w:rPr>
              <w:t>:</w:t>
            </w:r>
          </w:p>
          <w:p w:rsidR="00580A3D" w:rsidRPr="0096004B" w:rsidRDefault="00580A3D" w:rsidP="00BF61DC">
            <w:pPr>
              <w:pStyle w:val="ListParagraph"/>
              <w:numPr>
                <w:ilvl w:val="0"/>
                <w:numId w:val="123"/>
              </w:numPr>
              <w:autoSpaceDE w:val="0"/>
              <w:autoSpaceDN w:val="0"/>
              <w:adjustRightInd w:val="0"/>
              <w:spacing w:before="60" w:after="60"/>
              <w:rPr>
                <w:rFonts w:eastAsia="MS Mincho" w:cs="Arial"/>
                <w:color w:val="000000" w:themeColor="text1"/>
                <w:sz w:val="16"/>
                <w:szCs w:val="16"/>
                <w:lang w:val="ru-RU"/>
              </w:rPr>
            </w:pPr>
            <w:r w:rsidRPr="0096004B">
              <w:rPr>
                <w:rFonts w:eastAsia="MS Mincho" w:cs="Arial"/>
                <w:color w:val="000000" w:themeColor="text1"/>
                <w:sz w:val="16"/>
                <w:szCs w:val="16"/>
                <w:lang w:val="ru-RU"/>
              </w:rPr>
              <w:t xml:space="preserve">Пример защиты места происхождения сыра «фета» (Греция);  </w:t>
            </w:r>
          </w:p>
          <w:p w:rsidR="00580A3D" w:rsidRPr="0096004B" w:rsidRDefault="00580A3D" w:rsidP="00BF61DC">
            <w:pPr>
              <w:pStyle w:val="ListParagraph"/>
              <w:numPr>
                <w:ilvl w:val="0"/>
                <w:numId w:val="123"/>
              </w:numPr>
              <w:autoSpaceDE w:val="0"/>
              <w:autoSpaceDN w:val="0"/>
              <w:adjustRightInd w:val="0"/>
              <w:spacing w:before="60" w:after="60"/>
              <w:rPr>
                <w:rFonts w:eastAsia="MS Mincho" w:cs="Arial"/>
                <w:color w:val="000000" w:themeColor="text1"/>
                <w:sz w:val="16"/>
                <w:szCs w:val="16"/>
                <w:lang w:val="ru-RU"/>
              </w:rPr>
            </w:pPr>
            <w:r w:rsidRPr="0096004B">
              <w:rPr>
                <w:rFonts w:eastAsia="MS Mincho" w:cs="Arial"/>
                <w:color w:val="000000" w:themeColor="text1"/>
                <w:sz w:val="16"/>
                <w:szCs w:val="16"/>
                <w:lang w:val="ru-RU"/>
              </w:rPr>
              <w:t>(i) «Разработка доступного программного обеспечения для малого бизнеса»;  (ii) «Развитие инноваций с помощью ИС» (Иордания);  и</w:t>
            </w:r>
          </w:p>
          <w:p w:rsidR="00580A3D" w:rsidRPr="0096004B" w:rsidRDefault="00580A3D" w:rsidP="00BF61DC">
            <w:pPr>
              <w:pStyle w:val="ListParagraph"/>
              <w:numPr>
                <w:ilvl w:val="0"/>
                <w:numId w:val="123"/>
              </w:numPr>
              <w:autoSpaceDE w:val="0"/>
              <w:autoSpaceDN w:val="0"/>
              <w:adjustRightInd w:val="0"/>
              <w:spacing w:before="60" w:after="60"/>
              <w:rPr>
                <w:rFonts w:eastAsia="MS Mincho" w:cs="Arial"/>
                <w:color w:val="000000" w:themeColor="text1"/>
                <w:sz w:val="16"/>
                <w:szCs w:val="16"/>
                <w:lang w:val="ru-RU"/>
              </w:rPr>
            </w:pPr>
            <w:r w:rsidRPr="0096004B">
              <w:rPr>
                <w:rFonts w:eastAsia="MS Mincho" w:cs="Arial"/>
                <w:color w:val="000000" w:themeColor="text1"/>
                <w:sz w:val="16"/>
                <w:szCs w:val="16"/>
                <w:lang w:val="ru-RU"/>
              </w:rPr>
              <w:t>исследования «Технологии, лицензирование и деревья» и «Научно-исследовательская деятельность университетов по обеспечению страны продовольствием» (Малайзия)</w:t>
            </w:r>
          </w:p>
        </w:tc>
      </w:tr>
      <w:tr w:rsidR="00580A3D" w:rsidRPr="005C6ABD" w:rsidTr="00975156">
        <w:trPr>
          <w:cantSplit/>
          <w:trHeight w:val="315"/>
        </w:trPr>
        <w:tc>
          <w:tcPr>
            <w:tcW w:w="1701" w:type="dxa"/>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 xml:space="preserve">Перевод публикаций ВОИС </w:t>
            </w:r>
          </w:p>
        </w:tc>
        <w:tc>
          <w:tcPr>
            <w:tcW w:w="1276" w:type="dxa"/>
            <w:gridSpan w:val="3"/>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2015 г. (начало проекта)</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Мьянма</w:t>
            </w:r>
          </w:p>
        </w:tc>
        <w:tc>
          <w:tcPr>
            <w:tcW w:w="4819" w:type="dxa"/>
          </w:tcPr>
          <w:p w:rsidR="00580A3D" w:rsidRPr="0096004B" w:rsidRDefault="00580A3D" w:rsidP="00975156">
            <w:pPr>
              <w:autoSpaceDE w:val="0"/>
              <w:autoSpaceDN w:val="0"/>
              <w:adjustRightInd w:val="0"/>
              <w:spacing w:before="60" w:after="60"/>
              <w:ind w:left="-108"/>
              <w:rPr>
                <w:rFonts w:eastAsia="MS Mincho" w:cs="Arial"/>
                <w:sz w:val="16"/>
                <w:szCs w:val="16"/>
                <w:lang w:val="ru-RU" w:eastAsia="ja-JP"/>
              </w:rPr>
            </w:pPr>
            <w:r w:rsidRPr="0096004B">
              <w:rPr>
                <w:rFonts w:cs="Arial"/>
                <w:sz w:val="16"/>
                <w:szCs w:val="16"/>
                <w:lang w:val="ru-RU" w:eastAsia="ja-JP"/>
              </w:rPr>
              <w:t>Осуществляется перевод на бирманский язык следующих публикаций ВОИС:  (i) </w:t>
            </w:r>
            <w:r w:rsidRPr="0096004B">
              <w:rPr>
                <w:rFonts w:cs="Arial"/>
                <w:i/>
                <w:iCs/>
                <w:sz w:val="16"/>
                <w:szCs w:val="16"/>
                <w:lang w:val="ru-RU" w:eastAsia="ja-JP"/>
              </w:rPr>
              <w:t>«Создание знака: введение в товарные знаки для малых и средних предприятий»</w:t>
            </w:r>
            <w:r w:rsidRPr="0096004B">
              <w:rPr>
                <w:rFonts w:cs="Arial"/>
                <w:sz w:val="16"/>
                <w:szCs w:val="16"/>
                <w:lang w:val="ru-RU" w:eastAsia="ja-JP"/>
              </w:rPr>
              <w:t>;  (ii) </w:t>
            </w:r>
            <w:r w:rsidRPr="0096004B">
              <w:rPr>
                <w:rFonts w:cs="Arial"/>
                <w:i/>
                <w:iCs/>
                <w:sz w:val="16"/>
                <w:szCs w:val="16"/>
                <w:lang w:val="ru-RU" w:eastAsia="ja-JP"/>
              </w:rPr>
              <w:t>«Изобретая будущее: введение в патенты для малых и средних предприятий»</w:t>
            </w:r>
            <w:r w:rsidRPr="0096004B">
              <w:rPr>
                <w:rFonts w:cs="Arial"/>
                <w:sz w:val="16"/>
                <w:szCs w:val="16"/>
                <w:lang w:val="ru-RU" w:eastAsia="ja-JP"/>
              </w:rPr>
              <w:t>;  и (iii) </w:t>
            </w:r>
            <w:r w:rsidRPr="0096004B">
              <w:rPr>
                <w:rFonts w:cs="Arial"/>
                <w:i/>
                <w:iCs/>
                <w:sz w:val="16"/>
                <w:szCs w:val="16"/>
                <w:lang w:val="ru-RU" w:eastAsia="ja-JP"/>
              </w:rPr>
              <w:t>«Творческое выражение: введение в авторское право и смежные права для малых и средних предприятий»</w:t>
            </w:r>
            <w:r w:rsidRPr="0096004B">
              <w:rPr>
                <w:rFonts w:cs="Arial"/>
                <w:sz w:val="16"/>
                <w:szCs w:val="16"/>
                <w:lang w:val="ru-RU" w:eastAsia="ja-JP"/>
              </w:rPr>
              <w:t xml:space="preserve">. </w:t>
            </w:r>
          </w:p>
        </w:tc>
      </w:tr>
      <w:tr w:rsidR="00580A3D" w:rsidRPr="005C6ABD" w:rsidTr="00975156">
        <w:trPr>
          <w:cantSplit/>
          <w:trHeight w:val="315"/>
        </w:trPr>
        <w:tc>
          <w:tcPr>
            <w:tcW w:w="1701" w:type="dxa"/>
            <w:tcBorders>
              <w:bottom w:val="single" w:sz="4" w:space="0" w:color="auto"/>
            </w:tcBorders>
          </w:tcPr>
          <w:p w:rsidR="00580A3D" w:rsidRPr="0096004B" w:rsidRDefault="00580A3D" w:rsidP="00975156">
            <w:pPr>
              <w:autoSpaceDE w:val="0"/>
              <w:autoSpaceDN w:val="0"/>
              <w:adjustRightInd w:val="0"/>
              <w:spacing w:before="60" w:after="60"/>
              <w:rPr>
                <w:rFonts w:eastAsia="MS Mincho" w:cs="Arial"/>
                <w:sz w:val="16"/>
                <w:szCs w:val="16"/>
                <w:lang w:val="ru-RU" w:eastAsia="ja-JP"/>
              </w:rPr>
            </w:pPr>
            <w:r w:rsidRPr="0096004B">
              <w:rPr>
                <w:rFonts w:eastAsia="MS Mincho" w:cs="Arial"/>
                <w:sz w:val="16"/>
                <w:szCs w:val="16"/>
                <w:lang w:val="ru-RU" w:eastAsia="ja-JP"/>
              </w:rPr>
              <w:t>Предоставление справочных материалов по вопросам ИС</w:t>
            </w:r>
          </w:p>
        </w:tc>
        <w:tc>
          <w:tcPr>
            <w:tcW w:w="1276" w:type="dxa"/>
            <w:gridSpan w:val="3"/>
            <w:tcBorders>
              <w:bottom w:val="single" w:sz="4" w:space="0" w:color="auto"/>
            </w:tcBorders>
          </w:tcPr>
          <w:p w:rsidR="00580A3D" w:rsidRPr="0096004B" w:rsidRDefault="00580A3D" w:rsidP="00975156">
            <w:pPr>
              <w:spacing w:before="60" w:after="60"/>
              <w:rPr>
                <w:rFonts w:eastAsia="MS Mincho" w:cs="Arial"/>
                <w:sz w:val="16"/>
                <w:szCs w:val="16"/>
                <w:lang w:val="ru-RU" w:eastAsia="ja-JP"/>
              </w:rPr>
            </w:pPr>
            <w:r w:rsidRPr="0096004B">
              <w:rPr>
                <w:rFonts w:eastAsia="MS Mincho" w:cs="Arial"/>
                <w:sz w:val="16"/>
                <w:szCs w:val="16"/>
                <w:lang w:val="ru-RU" w:eastAsia="ja-JP"/>
              </w:rPr>
              <w:t>2015 г.</w:t>
            </w:r>
          </w:p>
        </w:tc>
        <w:tc>
          <w:tcPr>
            <w:tcW w:w="1985" w:type="dxa"/>
            <w:gridSpan w:val="2"/>
            <w:tcBorders>
              <w:bottom w:val="single" w:sz="4" w:space="0" w:color="auto"/>
            </w:tcBorders>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Таиланд</w:t>
            </w:r>
          </w:p>
        </w:tc>
        <w:tc>
          <w:tcPr>
            <w:tcW w:w="4819" w:type="dxa"/>
            <w:tcBorders>
              <w:bottom w:val="single" w:sz="4" w:space="0" w:color="auto"/>
            </w:tcBorders>
          </w:tcPr>
          <w:p w:rsidR="00580A3D" w:rsidRPr="0096004B" w:rsidRDefault="00580A3D" w:rsidP="00975156">
            <w:pPr>
              <w:autoSpaceDE w:val="0"/>
              <w:autoSpaceDN w:val="0"/>
              <w:adjustRightInd w:val="0"/>
              <w:spacing w:before="60" w:after="60"/>
              <w:ind w:left="-108"/>
              <w:rPr>
                <w:rFonts w:eastAsia="MS Mincho" w:cs="Arial"/>
                <w:sz w:val="16"/>
                <w:szCs w:val="16"/>
                <w:lang w:val="ru-RU" w:eastAsia="ja-JP"/>
              </w:rPr>
            </w:pPr>
            <w:r w:rsidRPr="0096004B">
              <w:rPr>
                <w:rFonts w:cs="Arial"/>
                <w:sz w:val="16"/>
                <w:szCs w:val="16"/>
                <w:lang w:val="ru-RU" w:eastAsia="ja-JP"/>
              </w:rPr>
              <w:t>Предоставление комплекта основных публикаций по ИС Центральному суду по вопросам интеллектуальной собственности и международной торговли Таиланда.</w:t>
            </w:r>
            <w:r w:rsidRPr="0096004B">
              <w:rPr>
                <w:rFonts w:eastAsia="MS Mincho" w:cs="Arial"/>
                <w:sz w:val="16"/>
                <w:szCs w:val="16"/>
                <w:lang w:val="ru-RU" w:eastAsia="ja-JP"/>
              </w:rPr>
              <w:t xml:space="preserve"> </w:t>
            </w:r>
          </w:p>
        </w:tc>
      </w:tr>
      <w:tr w:rsidR="00580A3D" w:rsidRPr="005C6ABD" w:rsidTr="00975156">
        <w:trPr>
          <w:cantSplit/>
          <w:trHeight w:val="315"/>
        </w:trPr>
        <w:tc>
          <w:tcPr>
            <w:tcW w:w="9781" w:type="dxa"/>
            <w:gridSpan w:val="7"/>
            <w:tcBorders>
              <w:top w:val="single" w:sz="4" w:space="0" w:color="auto"/>
              <w:bottom w:val="single" w:sz="4" w:space="0" w:color="000000"/>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IV.4. Совершенствование технической инфраструктуры и инфраструктуры знаний для ведомств ИС и других учреждений ИС, ведущее к предоставлению улучшенных услуг (более дешевых, более быстрых, более качественных) их заинтересованным сторонам</w:t>
            </w:r>
          </w:p>
        </w:tc>
      </w:tr>
      <w:tr w:rsidR="00580A3D" w:rsidRPr="0096004B" w:rsidTr="00975156">
        <w:trPr>
          <w:cantSplit/>
          <w:trHeight w:val="429"/>
        </w:trPr>
        <w:tc>
          <w:tcPr>
            <w:tcW w:w="1843" w:type="dxa"/>
            <w:gridSpan w:val="3"/>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985" w:type="dxa"/>
            <w:gridSpan w:val="2"/>
            <w:tcBorders>
              <w:top w:val="single" w:sz="4" w:space="0" w:color="000000"/>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000000"/>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80"/>
        </w:trPr>
        <w:tc>
          <w:tcPr>
            <w:tcW w:w="1843" w:type="dxa"/>
            <w:gridSpan w:val="3"/>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 xml:space="preserve">Практикум по использованию платформы CASE и эффективному совместному использованию результатов работы в рамках АСЕАН </w:t>
            </w:r>
          </w:p>
        </w:tc>
        <w:tc>
          <w:tcPr>
            <w:tcW w:w="1134" w:type="dxa"/>
          </w:tcPr>
          <w:p w:rsidR="00580A3D" w:rsidRPr="0096004B" w:rsidRDefault="00580A3D" w:rsidP="00975156">
            <w:pPr>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Февраль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Сингапур / государства-члены АСЕАН</w:t>
            </w:r>
          </w:p>
        </w:tc>
        <w:tc>
          <w:tcPr>
            <w:tcW w:w="4819" w:type="dxa"/>
          </w:tcPr>
          <w:p w:rsidR="00580A3D" w:rsidRPr="0096004B" w:rsidRDefault="00580A3D" w:rsidP="00975156">
            <w:pPr>
              <w:autoSpaceDE w:val="0"/>
              <w:autoSpaceDN w:val="0"/>
              <w:adjustRightInd w:val="0"/>
              <w:spacing w:before="60" w:after="60"/>
              <w:ind w:left="-108"/>
              <w:rPr>
                <w:rFonts w:cs="Arial"/>
                <w:sz w:val="16"/>
                <w:szCs w:val="16"/>
                <w:lang w:val="ru-RU"/>
              </w:rPr>
            </w:pPr>
            <w:r w:rsidRPr="0096004B">
              <w:rPr>
                <w:rFonts w:cs="Arial"/>
                <w:sz w:val="16"/>
                <w:szCs w:val="16"/>
                <w:lang w:val="ru-RU"/>
              </w:rPr>
              <w:t>Помощь членам АСЕАН в продвижении инициативы по распределению рабочей нагрузки патентных ведомств с ясным пониманием потребностей бизнеса и повышение качества патентного поиска и экспертизы на национальном уровне.  Задачи семинара:  (i) усовершенствование практики работы в рамках Программы АСЕАН по сотрудничеству в области патентной экспертизы (ASPEC) с использованием стратегического и бизнес-ориентированного подхода;  (ii) критический анализ текущей практики ASPEC и эффективности платформы WIPO CASE для упрощения процессов в рамках ASPEC;  (iii) повышение полезности платформы WIPO CASE для патентных экспертов с точки зрения изучения практики патентной экспертизы различных ведомств ИС и применения ее в своей текущей работе;  и (iv) предоставление рекомендаций, в т.ч. конкретных действий, по усовершенствованию и повышению эффективности рабочих процессов ASPEC.</w:t>
            </w:r>
          </w:p>
        </w:tc>
      </w:tr>
      <w:tr w:rsidR="00580A3D" w:rsidRPr="005C6ABD" w:rsidTr="00975156">
        <w:trPr>
          <w:cantSplit/>
          <w:trHeight w:val="80"/>
        </w:trPr>
        <w:tc>
          <w:tcPr>
            <w:tcW w:w="1843" w:type="dxa"/>
            <w:gridSpan w:val="3"/>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Проект «Укрепление инфраструктуры ведомств ИС стран АСЕАН для поддержки регионального сотрудничества, направленного на распределение нагрузки при выполнении задач патентных ведомств»</w:t>
            </w:r>
          </w:p>
        </w:tc>
        <w:tc>
          <w:tcPr>
            <w:tcW w:w="1134" w:type="dxa"/>
          </w:tcPr>
          <w:p w:rsidR="00580A3D" w:rsidRPr="0096004B" w:rsidRDefault="00580A3D" w:rsidP="00975156">
            <w:pPr>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Апрель 2015 г. (начало проекта)</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Государства-члены АСЕАН</w:t>
            </w:r>
          </w:p>
        </w:tc>
        <w:tc>
          <w:tcPr>
            <w:tcW w:w="4819" w:type="dxa"/>
          </w:tcPr>
          <w:p w:rsidR="00580A3D" w:rsidRPr="0096004B" w:rsidRDefault="00580A3D" w:rsidP="00975156">
            <w:pPr>
              <w:autoSpaceDE w:val="0"/>
              <w:autoSpaceDN w:val="0"/>
              <w:adjustRightInd w:val="0"/>
              <w:spacing w:before="60" w:after="60"/>
              <w:ind w:left="-108"/>
              <w:rPr>
                <w:rFonts w:cs="Arial"/>
                <w:sz w:val="16"/>
                <w:szCs w:val="16"/>
                <w:lang w:val="ru-RU"/>
              </w:rPr>
            </w:pPr>
            <w:r w:rsidRPr="0096004B">
              <w:rPr>
                <w:rFonts w:cs="Arial"/>
                <w:sz w:val="16"/>
                <w:szCs w:val="16"/>
                <w:lang w:val="ru-RU"/>
              </w:rPr>
              <w:t>(i) Расширение и усовершенствование обмена данными патентных досье между ведомствами ИС стран АСЕАН, в т.ч. результатами патентного поиска и экспертизы, через сеть WIPO CASE;  (ii) разработка региональных информационных систем, эффективно использующих программную платформу;  и (iii) предоставление необходимой технической помощи ведомствам ИС стран АСЕАН для поддержки обмена данными досье и другой информацией в области ИС путем модернизации систем управления правами ИС.</w:t>
            </w:r>
          </w:p>
        </w:tc>
      </w:tr>
      <w:tr w:rsidR="00580A3D" w:rsidRPr="005C6ABD" w:rsidTr="00975156">
        <w:trPr>
          <w:cantSplit/>
          <w:trHeight w:val="80"/>
        </w:trPr>
        <w:tc>
          <w:tcPr>
            <w:tcW w:w="1843" w:type="dxa"/>
            <w:gridSpan w:val="3"/>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Ознакомительный визит Генерального директората по правам интеллектуальной собственности (DGIP) Индонезии в Японское патентное ведомство</w:t>
            </w:r>
          </w:p>
        </w:tc>
        <w:tc>
          <w:tcPr>
            <w:tcW w:w="1134" w:type="dxa"/>
          </w:tcPr>
          <w:p w:rsidR="00580A3D" w:rsidRPr="0096004B" w:rsidRDefault="00580A3D" w:rsidP="00975156">
            <w:pPr>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Сентябрь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Индонезия</w:t>
            </w:r>
          </w:p>
        </w:tc>
        <w:tc>
          <w:tcPr>
            <w:tcW w:w="4819" w:type="dxa"/>
          </w:tcPr>
          <w:p w:rsidR="00580A3D" w:rsidRPr="0096004B" w:rsidRDefault="00580A3D" w:rsidP="00975156">
            <w:pPr>
              <w:autoSpaceDE w:val="0"/>
              <w:autoSpaceDN w:val="0"/>
              <w:adjustRightInd w:val="0"/>
              <w:spacing w:before="60" w:after="60"/>
              <w:ind w:left="-108"/>
              <w:rPr>
                <w:rFonts w:cs="Arial"/>
                <w:sz w:val="16"/>
                <w:szCs w:val="16"/>
                <w:lang w:val="ru-RU"/>
              </w:rPr>
            </w:pPr>
            <w:r w:rsidRPr="0096004B">
              <w:rPr>
                <w:rFonts w:cs="Arial"/>
                <w:sz w:val="16"/>
                <w:szCs w:val="16"/>
                <w:lang w:val="ru-RU"/>
              </w:rPr>
              <w:t>Изучение работы ЯПВ в области анализа бизнес-процессов (BPR) и проведения экспертизы с использованием информационных систем.</w:t>
            </w:r>
          </w:p>
        </w:tc>
      </w:tr>
      <w:tr w:rsidR="00580A3D" w:rsidRPr="0096004B" w:rsidTr="00975156">
        <w:trPr>
          <w:cantSplit/>
          <w:trHeight w:val="80"/>
        </w:trPr>
        <w:tc>
          <w:tcPr>
            <w:tcW w:w="1843" w:type="dxa"/>
            <w:gridSpan w:val="3"/>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Практикум АСЕАН по информационным технологиям (ИТ) на тему «Онлайновые услуги для предприятий» в Камбодже</w:t>
            </w:r>
          </w:p>
        </w:tc>
        <w:tc>
          <w:tcPr>
            <w:tcW w:w="1134" w:type="dxa"/>
          </w:tcPr>
          <w:p w:rsidR="00580A3D" w:rsidRPr="0096004B" w:rsidRDefault="00580A3D" w:rsidP="00975156">
            <w:pPr>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2–6 ноября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Камбоджа / Бруней-Даруссалам, Индонезия, Лаосская Народно-Демократическая Республика, Малайзия, Мьянма, Филиппины, Сингапур, Таиланд и Вьетнам</w:t>
            </w:r>
          </w:p>
        </w:tc>
        <w:tc>
          <w:tcPr>
            <w:tcW w:w="4819" w:type="dxa"/>
          </w:tcPr>
          <w:p w:rsidR="00580A3D" w:rsidRPr="0096004B" w:rsidRDefault="00580A3D" w:rsidP="00975156">
            <w:pPr>
              <w:autoSpaceDE w:val="0"/>
              <w:autoSpaceDN w:val="0"/>
              <w:adjustRightInd w:val="0"/>
              <w:spacing w:before="60" w:after="60"/>
              <w:ind w:left="-108"/>
              <w:rPr>
                <w:rFonts w:cs="Arial"/>
                <w:sz w:val="16"/>
                <w:szCs w:val="16"/>
                <w:lang w:val="ru-RU"/>
              </w:rPr>
            </w:pPr>
            <w:r w:rsidRPr="0096004B">
              <w:rPr>
                <w:rFonts w:cs="Arial"/>
                <w:sz w:val="16"/>
                <w:szCs w:val="16"/>
                <w:lang w:val="ru-RU"/>
              </w:rPr>
              <w:t>Поддержка технического развития онлайновых услуг для предприятий в регионе АСЕАН и – для этой цели – более эффективного использования Автоматизированной системы управления промышленной собственностью (IPAS).</w:t>
            </w:r>
          </w:p>
        </w:tc>
      </w:tr>
      <w:tr w:rsidR="00580A3D" w:rsidRPr="005C6ABD" w:rsidTr="00975156">
        <w:trPr>
          <w:cantSplit/>
          <w:trHeight w:val="80"/>
        </w:trPr>
        <w:tc>
          <w:tcPr>
            <w:tcW w:w="1843" w:type="dxa"/>
            <w:gridSpan w:val="3"/>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Проект по оцифровыванию документов и электронному документообороту в Камбодже</w:t>
            </w:r>
          </w:p>
        </w:tc>
        <w:tc>
          <w:tcPr>
            <w:tcW w:w="1134" w:type="dxa"/>
          </w:tcPr>
          <w:p w:rsidR="00580A3D" w:rsidRPr="0096004B" w:rsidRDefault="00580A3D" w:rsidP="00975156">
            <w:pPr>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Февраль – декабрь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Камбоджа</w:t>
            </w:r>
          </w:p>
        </w:tc>
        <w:tc>
          <w:tcPr>
            <w:tcW w:w="4819" w:type="dxa"/>
          </w:tcPr>
          <w:p w:rsidR="00580A3D" w:rsidRPr="0096004B" w:rsidRDefault="00580A3D" w:rsidP="00975156">
            <w:pPr>
              <w:autoSpaceDE w:val="0"/>
              <w:autoSpaceDN w:val="0"/>
              <w:adjustRightInd w:val="0"/>
              <w:spacing w:before="60" w:after="60"/>
              <w:ind w:left="-108"/>
              <w:rPr>
                <w:rFonts w:cs="Arial"/>
                <w:sz w:val="16"/>
                <w:szCs w:val="16"/>
                <w:lang w:val="ru-RU"/>
              </w:rPr>
            </w:pPr>
            <w:r w:rsidRPr="0096004B">
              <w:rPr>
                <w:rFonts w:cs="Arial"/>
                <w:sz w:val="16"/>
                <w:szCs w:val="16"/>
                <w:lang w:val="ru-RU"/>
              </w:rPr>
              <w:t>Оцифровывание патентных документов Департамента промышленной собственности (DIP) Министерства промышленности, горного дела и энергетики (MIME) и документов по товарным знакам Департамента прав интеллектуальной собственности (DIPRs) Министерства торговли (MoC) Камбоджи</w:t>
            </w:r>
          </w:p>
        </w:tc>
      </w:tr>
      <w:tr w:rsidR="00580A3D" w:rsidRPr="005C6ABD" w:rsidTr="00975156">
        <w:trPr>
          <w:cantSplit/>
          <w:trHeight w:val="80"/>
        </w:trPr>
        <w:tc>
          <w:tcPr>
            <w:tcW w:w="1843" w:type="dxa"/>
            <w:gridSpan w:val="3"/>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Работа по развитию Системы централизованного доступа к результатам поиска и экспертизы (CASE)</w:t>
            </w:r>
          </w:p>
        </w:tc>
        <w:tc>
          <w:tcPr>
            <w:tcW w:w="1134" w:type="dxa"/>
          </w:tcPr>
          <w:p w:rsidR="00580A3D" w:rsidRPr="0096004B" w:rsidRDefault="00580A3D" w:rsidP="00975156">
            <w:pPr>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Январь – декабрь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Ведомства-участники CASE</w:t>
            </w:r>
          </w:p>
        </w:tc>
        <w:tc>
          <w:tcPr>
            <w:tcW w:w="4819" w:type="dxa"/>
          </w:tcPr>
          <w:p w:rsidR="00580A3D" w:rsidRPr="0096004B" w:rsidRDefault="00580A3D" w:rsidP="00975156">
            <w:pPr>
              <w:autoSpaceDE w:val="0"/>
              <w:autoSpaceDN w:val="0"/>
              <w:adjustRightInd w:val="0"/>
              <w:spacing w:before="60" w:after="60"/>
              <w:ind w:left="-108"/>
              <w:rPr>
                <w:rFonts w:cs="Arial"/>
                <w:sz w:val="16"/>
                <w:szCs w:val="16"/>
                <w:lang w:val="ru-RU"/>
              </w:rPr>
            </w:pPr>
            <w:r w:rsidRPr="0096004B">
              <w:rPr>
                <w:rFonts w:cs="Arial"/>
                <w:sz w:val="16"/>
                <w:szCs w:val="16"/>
                <w:lang w:val="ru-RU"/>
              </w:rPr>
              <w:t>Разработка нового портала для пользователей ведомств и завершение интеграции WIPO CASE с системой единого портала доступа к досье (OPD).</w:t>
            </w:r>
          </w:p>
        </w:tc>
      </w:tr>
      <w:tr w:rsidR="00580A3D" w:rsidRPr="005C6ABD" w:rsidTr="00975156">
        <w:trPr>
          <w:cantSplit/>
          <w:trHeight w:val="80"/>
        </w:trPr>
        <w:tc>
          <w:tcPr>
            <w:tcW w:w="1843" w:type="dxa"/>
            <w:gridSpan w:val="3"/>
            <w:tcBorders>
              <w:bottom w:val="single" w:sz="4" w:space="0" w:color="auto"/>
            </w:tcBorders>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Работа по развитию деловых решений для ведомств ИС</w:t>
            </w:r>
          </w:p>
        </w:tc>
        <w:tc>
          <w:tcPr>
            <w:tcW w:w="1134" w:type="dxa"/>
            <w:tcBorders>
              <w:bottom w:val="single" w:sz="4" w:space="0" w:color="auto"/>
            </w:tcBorders>
          </w:tcPr>
          <w:p w:rsidR="00580A3D" w:rsidRPr="0096004B" w:rsidRDefault="00580A3D" w:rsidP="00975156">
            <w:pPr>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Январь – декабрь 2015 г.</w:t>
            </w:r>
          </w:p>
        </w:tc>
        <w:tc>
          <w:tcPr>
            <w:tcW w:w="1985" w:type="dxa"/>
            <w:gridSpan w:val="2"/>
            <w:tcBorders>
              <w:bottom w:val="single" w:sz="4" w:space="0" w:color="auto"/>
            </w:tcBorders>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Государства-члены АСЕАН и ASPEC</w:t>
            </w:r>
          </w:p>
        </w:tc>
        <w:tc>
          <w:tcPr>
            <w:tcW w:w="4819" w:type="dxa"/>
            <w:tcBorders>
              <w:bottom w:val="single" w:sz="4" w:space="0" w:color="auto"/>
            </w:tcBorders>
          </w:tcPr>
          <w:p w:rsidR="00580A3D" w:rsidRPr="0096004B" w:rsidRDefault="00580A3D" w:rsidP="00975156">
            <w:pPr>
              <w:spacing w:before="60" w:after="60"/>
              <w:rPr>
                <w:rFonts w:cs="Arial"/>
                <w:sz w:val="16"/>
                <w:szCs w:val="16"/>
                <w:lang w:val="ru-RU"/>
              </w:rPr>
            </w:pPr>
            <w:r w:rsidRPr="0096004B">
              <w:rPr>
                <w:rFonts w:cs="Arial"/>
                <w:sz w:val="16"/>
                <w:szCs w:val="16"/>
                <w:lang w:val="ru-RU"/>
              </w:rPr>
              <w:t>Усовершенствование систем извлечения данных с разработкой и внедрением системы WIPO Publish для извлечения, форматирования и распространения данных.</w:t>
            </w:r>
          </w:p>
        </w:tc>
      </w:tr>
      <w:tr w:rsidR="00580A3D" w:rsidRPr="005C6ABD" w:rsidTr="00975156">
        <w:trPr>
          <w:cantSplit/>
          <w:trHeight w:val="485"/>
        </w:trPr>
        <w:tc>
          <w:tcPr>
            <w:tcW w:w="9781" w:type="dxa"/>
            <w:gridSpan w:val="7"/>
            <w:tcBorders>
              <w:top w:val="single" w:sz="4" w:space="0" w:color="auto"/>
              <w:bottom w:val="single" w:sz="4" w:space="0" w:color="auto"/>
            </w:tcBorders>
            <w:shd w:val="clear" w:color="auto" w:fill="C6D9F1" w:themeFill="text2" w:themeFillTint="33"/>
            <w:vAlign w:val="center"/>
          </w:tcPr>
          <w:p w:rsidR="00580A3D" w:rsidRPr="0096004B" w:rsidRDefault="00580A3D" w:rsidP="00975156">
            <w:pPr>
              <w:keepNext/>
              <w:keepLines/>
              <w:ind w:left="1422" w:hanging="1422"/>
              <w:rPr>
                <w:rFonts w:cs="Arial"/>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 xml:space="preserve">: </w:t>
            </w:r>
            <w:r w:rsidRPr="0096004B">
              <w:rPr>
                <w:rFonts w:cs="Arial"/>
                <w:color w:val="000000"/>
                <w:sz w:val="16"/>
                <w:szCs w:val="16"/>
                <w:lang w:val="ru-RU"/>
              </w:rPr>
              <w:tab/>
              <w:t>VII.2. Использование платформ и инструментария, основанных на ИС, для целей распространения знаний, а также адаптации и передачи технологии развитыми странами развивающимся странам, особенно наименее развитыми из них, в интересах глобальных задач</w:t>
            </w:r>
            <w:r w:rsidRPr="0096004B">
              <w:rPr>
                <w:rFonts w:ascii="Calibri" w:hAnsi="Calibri"/>
                <w:sz w:val="16"/>
                <w:szCs w:val="16"/>
                <w:lang w:val="ru-RU"/>
              </w:rPr>
              <w:t xml:space="preserve"> </w:t>
            </w:r>
          </w:p>
        </w:tc>
      </w:tr>
      <w:tr w:rsidR="00580A3D" w:rsidRPr="0096004B" w:rsidTr="00975156">
        <w:trPr>
          <w:cantSplit/>
          <w:trHeight w:val="80"/>
        </w:trPr>
        <w:tc>
          <w:tcPr>
            <w:tcW w:w="1843" w:type="dxa"/>
            <w:gridSpan w:val="3"/>
            <w:tcBorders>
              <w:top w:val="single" w:sz="4" w:space="0" w:color="auto"/>
            </w:tcBorders>
            <w:vAlign w:val="center"/>
          </w:tcPr>
          <w:p w:rsidR="00580A3D" w:rsidRPr="0096004B" w:rsidRDefault="00580A3D" w:rsidP="00975156">
            <w:pPr>
              <w:keepNext/>
              <w:keepLines/>
              <w:autoSpaceDE w:val="0"/>
              <w:autoSpaceDN w:val="0"/>
              <w:adjustRightInd w:val="0"/>
              <w:spacing w:before="120" w:after="120"/>
              <w:rPr>
                <w:rFonts w:eastAsia="MS Mincho" w:cs="Arial"/>
                <w:color w:val="000000"/>
                <w:sz w:val="16"/>
                <w:szCs w:val="16"/>
                <w:lang w:val="ru-RU" w:eastAsia="ja-JP"/>
              </w:rPr>
            </w:pPr>
            <w:r w:rsidRPr="0096004B">
              <w:rPr>
                <w:rFonts w:cs="Arial"/>
                <w:b/>
                <w:bCs/>
                <w:sz w:val="16"/>
                <w:szCs w:val="16"/>
                <w:lang w:val="ru-RU"/>
              </w:rPr>
              <w:t>Вид деятельности</w:t>
            </w:r>
          </w:p>
        </w:tc>
        <w:tc>
          <w:tcPr>
            <w:tcW w:w="1134" w:type="dxa"/>
            <w:tcBorders>
              <w:top w:val="single" w:sz="4" w:space="0" w:color="auto"/>
            </w:tcBorders>
            <w:vAlign w:val="center"/>
          </w:tcPr>
          <w:p w:rsidR="00580A3D" w:rsidRPr="0096004B" w:rsidRDefault="00580A3D" w:rsidP="00975156">
            <w:pPr>
              <w:keepNext/>
              <w:keepLines/>
              <w:spacing w:before="120" w:after="120"/>
              <w:rPr>
                <w:rFonts w:eastAsia="MS Mincho" w:cs="Arial"/>
                <w:color w:val="000000"/>
                <w:sz w:val="16"/>
                <w:szCs w:val="16"/>
                <w:lang w:val="ru-RU" w:eastAsia="ja-JP"/>
              </w:rPr>
            </w:pPr>
            <w:r w:rsidRPr="0096004B">
              <w:rPr>
                <w:rFonts w:cs="Arial"/>
                <w:b/>
                <w:bCs/>
                <w:sz w:val="16"/>
                <w:szCs w:val="16"/>
                <w:lang w:val="ru-RU"/>
              </w:rPr>
              <w:t>Дата</w:t>
            </w:r>
          </w:p>
        </w:tc>
        <w:tc>
          <w:tcPr>
            <w:tcW w:w="1985" w:type="dxa"/>
            <w:gridSpan w:val="2"/>
            <w:tcBorders>
              <w:top w:val="single" w:sz="4" w:space="0" w:color="auto"/>
            </w:tcBorders>
            <w:vAlign w:val="center"/>
          </w:tcPr>
          <w:p w:rsidR="00580A3D" w:rsidRPr="0096004B" w:rsidRDefault="00580A3D" w:rsidP="00975156">
            <w:pPr>
              <w:keepNext/>
              <w:keepLines/>
              <w:autoSpaceDE w:val="0"/>
              <w:autoSpaceDN w:val="0"/>
              <w:adjustRightInd w:val="0"/>
              <w:spacing w:before="120" w:after="120"/>
              <w:rPr>
                <w:rFonts w:eastAsia="MS Mincho" w:cs="Arial"/>
                <w:color w:val="000000"/>
                <w:sz w:val="16"/>
                <w:szCs w:val="16"/>
                <w:lang w:val="ru-RU" w:eastAsia="ja-JP"/>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auto"/>
            </w:tcBorders>
            <w:vAlign w:val="center"/>
          </w:tcPr>
          <w:p w:rsidR="00580A3D" w:rsidRPr="0096004B" w:rsidRDefault="00580A3D" w:rsidP="00975156">
            <w:pPr>
              <w:keepNext/>
              <w:keepLines/>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80"/>
        </w:trPr>
        <w:tc>
          <w:tcPr>
            <w:tcW w:w="1843" w:type="dxa"/>
            <w:gridSpan w:val="3"/>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sz w:val="16"/>
                <w:szCs w:val="16"/>
                <w:lang w:val="ru-RU" w:eastAsia="ja-JP"/>
              </w:rPr>
              <w:t xml:space="preserve">Разработка ситуационного исследования «Потребности в применении природоохранных технологий и открываемые ими возможности» </w:t>
            </w:r>
          </w:p>
        </w:tc>
        <w:tc>
          <w:tcPr>
            <w:tcW w:w="1134" w:type="dxa"/>
          </w:tcPr>
          <w:p w:rsidR="00580A3D" w:rsidRPr="0096004B" w:rsidRDefault="00580A3D" w:rsidP="00975156">
            <w:pPr>
              <w:spacing w:before="60" w:after="60"/>
              <w:rPr>
                <w:rFonts w:eastAsia="MS Mincho" w:cs="Arial"/>
                <w:color w:val="000000"/>
                <w:sz w:val="16"/>
                <w:szCs w:val="16"/>
                <w:lang w:val="ru-RU" w:eastAsia="ja-JP"/>
              </w:rPr>
            </w:pPr>
            <w:r w:rsidRPr="0096004B">
              <w:rPr>
                <w:rFonts w:eastAsia="MS Mincho" w:cs="Arial"/>
                <w:sz w:val="16"/>
                <w:szCs w:val="16"/>
                <w:lang w:val="ru-RU" w:eastAsia="ja-JP"/>
              </w:rPr>
              <w:t>Январь – март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Филиппины / Индонезия, Филиппины и Вьетнам</w:t>
            </w:r>
          </w:p>
        </w:tc>
        <w:tc>
          <w:tcPr>
            <w:tcW w:w="4819" w:type="dxa"/>
          </w:tcPr>
          <w:p w:rsidR="00580A3D" w:rsidRPr="0096004B" w:rsidRDefault="00580A3D" w:rsidP="00975156">
            <w:pPr>
              <w:tabs>
                <w:tab w:val="left" w:pos="317"/>
              </w:tabs>
              <w:spacing w:before="60" w:after="60"/>
              <w:rPr>
                <w:rFonts w:cs="Arial"/>
                <w:sz w:val="16"/>
                <w:szCs w:val="16"/>
                <w:lang w:val="ru-RU"/>
              </w:rPr>
            </w:pPr>
            <w:r w:rsidRPr="0096004B">
              <w:rPr>
                <w:rFonts w:cs="Arial"/>
                <w:sz w:val="16"/>
                <w:szCs w:val="16"/>
                <w:lang w:val="ru-RU"/>
              </w:rPr>
              <w:t xml:space="preserve">(i) Определение конкретных потребностей Индонезии, Филиппин и Вьетнама в «зеленых» технологиях;  (ii) определение возможностей сотрудничества по удовлетворению выявленных потребностей с акцентом на развитии национального потенциала и участия МСП;  (iii) помощь в разработке соглашений о передаче технологии;  (iv) разработка ситуационного исследования на базе полученных выводов и информации о ситуации в области передачи технологии, включая раздел, посвященный использованию WIPO GREEN для решения существующих проблем;  и (v) демонстрация возможностей WIPO GREEN как эффективного рыночного инструмента выявления и формулировки потребностей и технологических решений.  </w:t>
            </w:r>
          </w:p>
        </w:tc>
      </w:tr>
      <w:tr w:rsidR="00580A3D" w:rsidRPr="005C6ABD" w:rsidTr="00975156">
        <w:trPr>
          <w:cantSplit/>
          <w:trHeight w:val="80"/>
        </w:trPr>
        <w:tc>
          <w:tcPr>
            <w:tcW w:w="1843" w:type="dxa"/>
            <w:gridSpan w:val="3"/>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cs="Arial"/>
                <w:sz w:val="16"/>
                <w:szCs w:val="16"/>
                <w:lang w:val="ru-RU"/>
              </w:rPr>
              <w:t>Региональный семинар  по содействию передаче и распространению экологически чистых технологий:  возможности, выявленные пилотным проектом по очистке сточных вод в Юго-Восточной Азии</w:t>
            </w:r>
          </w:p>
        </w:tc>
        <w:tc>
          <w:tcPr>
            <w:tcW w:w="1134" w:type="dxa"/>
          </w:tcPr>
          <w:p w:rsidR="00580A3D" w:rsidRPr="0096004B" w:rsidRDefault="00580A3D" w:rsidP="00975156">
            <w:pPr>
              <w:spacing w:before="60" w:after="60"/>
              <w:rPr>
                <w:rFonts w:eastAsia="MS Mincho" w:cs="Arial"/>
                <w:color w:val="000000"/>
                <w:sz w:val="16"/>
                <w:szCs w:val="16"/>
                <w:lang w:val="ru-RU" w:eastAsia="ja-JP"/>
              </w:rPr>
            </w:pPr>
            <w:r w:rsidRPr="0096004B">
              <w:rPr>
                <w:rFonts w:eastAsia="MS Mincho" w:cs="Arial"/>
                <w:sz w:val="16"/>
                <w:szCs w:val="16"/>
                <w:lang w:val="ru-RU" w:eastAsia="ja-JP"/>
              </w:rPr>
              <w:t>23–24 апреля 2015 г.</w:t>
            </w:r>
          </w:p>
        </w:tc>
        <w:tc>
          <w:tcPr>
            <w:tcW w:w="1985" w:type="dxa"/>
            <w:gridSpan w:val="2"/>
          </w:tcPr>
          <w:p w:rsidR="00580A3D" w:rsidRPr="0096004B" w:rsidRDefault="00580A3D" w:rsidP="00975156">
            <w:pPr>
              <w:autoSpaceDE w:val="0"/>
              <w:autoSpaceDN w:val="0"/>
              <w:adjustRightInd w:val="0"/>
              <w:spacing w:before="60" w:after="60"/>
              <w:rPr>
                <w:rFonts w:eastAsia="MS Mincho" w:cs="Arial"/>
                <w:color w:val="000000"/>
                <w:sz w:val="16"/>
                <w:szCs w:val="16"/>
                <w:lang w:val="ru-RU" w:eastAsia="ja-JP"/>
              </w:rPr>
            </w:pPr>
            <w:r w:rsidRPr="0096004B">
              <w:rPr>
                <w:rFonts w:eastAsia="MS Mincho" w:cs="Arial"/>
                <w:color w:val="000000"/>
                <w:sz w:val="16"/>
                <w:szCs w:val="16"/>
                <w:lang w:val="ru-RU" w:eastAsia="ja-JP"/>
              </w:rPr>
              <w:t>Филиппины / Индонезия, Филиппины и Вьетнам</w:t>
            </w:r>
          </w:p>
        </w:tc>
        <w:tc>
          <w:tcPr>
            <w:tcW w:w="4819" w:type="dxa"/>
          </w:tcPr>
          <w:p w:rsidR="00580A3D" w:rsidRPr="0096004B" w:rsidRDefault="00580A3D" w:rsidP="00975156">
            <w:pPr>
              <w:tabs>
                <w:tab w:val="left" w:pos="317"/>
              </w:tabs>
              <w:spacing w:before="60" w:after="60"/>
              <w:rPr>
                <w:rFonts w:cs="Arial"/>
                <w:sz w:val="16"/>
                <w:szCs w:val="16"/>
                <w:lang w:val="ru-RU"/>
              </w:rPr>
            </w:pPr>
            <w:r w:rsidRPr="0096004B">
              <w:rPr>
                <w:rFonts w:cs="Arial"/>
                <w:sz w:val="16"/>
                <w:szCs w:val="16"/>
                <w:lang w:val="ru-RU"/>
              </w:rPr>
              <w:t>По окончании проекта в Маниле был организован региональный семинар в сотрудничестве с Азиатским банком развития (АБР) и Ведомством интеллектуальной собственности Филиппин (IPOPHL) с компонентом поиска партнеров в целях укрепления связей с Центром и сетью климатических технологий (CTCN) и установления стратегических контактов с Назначенными национальными организациями (ННО).</w:t>
            </w:r>
          </w:p>
        </w:tc>
      </w:tr>
    </w:tbl>
    <w:p w:rsidR="00580A3D" w:rsidRPr="0096004B" w:rsidRDefault="00580A3D" w:rsidP="00580A3D">
      <w:pPr>
        <w:rPr>
          <w:rFonts w:cs="Arial"/>
          <w:b/>
          <w:szCs w:val="16"/>
          <w:lang w:val="ru-RU"/>
        </w:rPr>
      </w:pPr>
    </w:p>
    <w:p w:rsidR="00580A3D" w:rsidRPr="0096004B" w:rsidRDefault="00580A3D" w:rsidP="00580A3D">
      <w:pPr>
        <w:rPr>
          <w:rFonts w:cs="Arial"/>
          <w:b/>
          <w:szCs w:val="16"/>
          <w:lang w:val="ru-RU"/>
        </w:rPr>
      </w:pPr>
    </w:p>
    <w:p w:rsidR="00580A3D" w:rsidRPr="0096004B" w:rsidRDefault="00580A3D" w:rsidP="00580A3D">
      <w:pPr>
        <w:rPr>
          <w:rFonts w:cs="Arial"/>
          <w:b/>
          <w:szCs w:val="16"/>
          <w:lang w:val="ru-RU"/>
        </w:rPr>
      </w:pPr>
      <w:r w:rsidRPr="0096004B">
        <w:rPr>
          <w:rFonts w:cs="Arial"/>
          <w:b/>
          <w:bCs/>
          <w:szCs w:val="16"/>
          <w:lang w:val="ru-RU"/>
        </w:rPr>
        <w:t>ЯПОНИЯ – ПРОМЫШЛЕННАЯ СОБСТВЕННОСТЬ</w:t>
      </w:r>
    </w:p>
    <w:p w:rsidR="00580A3D" w:rsidRPr="0096004B" w:rsidRDefault="00580A3D" w:rsidP="00580A3D">
      <w:pPr>
        <w:rPr>
          <w:rFonts w:cs="Arial"/>
          <w:b/>
          <w:szCs w:val="16"/>
          <w:lang w:val="ru-RU"/>
        </w:rPr>
      </w:pPr>
    </w:p>
    <w:tbl>
      <w:tblPr>
        <w:tblW w:w="9791" w:type="dxa"/>
        <w:tblInd w:w="98" w:type="dxa"/>
        <w:tblLook w:val="04A0" w:firstRow="1" w:lastRow="0" w:firstColumn="1" w:lastColumn="0" w:noHBand="0" w:noVBand="1"/>
      </w:tblPr>
      <w:tblGrid>
        <w:gridCol w:w="2040"/>
        <w:gridCol w:w="1640"/>
        <w:gridCol w:w="1860"/>
        <w:gridCol w:w="1780"/>
        <w:gridCol w:w="2471"/>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1"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4 912 335</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3 828 469</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3 770 805</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1"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4 969 999</w:t>
            </w:r>
          </w:p>
        </w:tc>
      </w:tr>
    </w:tbl>
    <w:p w:rsidR="00580A3D" w:rsidRPr="0096004B" w:rsidRDefault="00580A3D" w:rsidP="00580A3D">
      <w:pPr>
        <w:rPr>
          <w:rFonts w:cs="Arial"/>
          <w:b/>
          <w:szCs w:val="20"/>
          <w:lang w:val="ru-RU"/>
        </w:rPr>
      </w:pPr>
    </w:p>
    <w:p w:rsidR="00580A3D" w:rsidRPr="0096004B" w:rsidRDefault="00580A3D" w:rsidP="00580A3D">
      <w:pPr>
        <w:keepNext/>
        <w:keepLines/>
        <w:spacing w:before="120"/>
        <w:rPr>
          <w:rFonts w:cs="Arial"/>
          <w:b/>
          <w:szCs w:val="16"/>
          <w:lang w:val="ru-RU"/>
        </w:rPr>
      </w:pPr>
      <w:r w:rsidRPr="0096004B">
        <w:rPr>
          <w:rFonts w:cs="Arial"/>
          <w:b/>
          <w:bCs/>
          <w:szCs w:val="16"/>
          <w:lang w:val="ru-RU"/>
        </w:rPr>
        <w:t>ЯПОНИЯ – ИС и НРС АФРИКИ</w:t>
      </w:r>
    </w:p>
    <w:p w:rsidR="00580A3D" w:rsidRPr="0096004B" w:rsidRDefault="00580A3D" w:rsidP="00580A3D">
      <w:pPr>
        <w:keepNext/>
        <w:keepLines/>
        <w:rPr>
          <w:rFonts w:cs="Arial"/>
          <w:b/>
          <w:szCs w:val="16"/>
          <w:lang w:val="ru-RU"/>
        </w:rPr>
      </w:pPr>
    </w:p>
    <w:tbl>
      <w:tblPr>
        <w:tblW w:w="9781"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1985"/>
        <w:gridCol w:w="4819"/>
      </w:tblGrid>
      <w:tr w:rsidR="00580A3D" w:rsidRPr="005C6ABD" w:rsidTr="00975156">
        <w:trPr>
          <w:cantSplit/>
          <w:trHeight w:val="315"/>
        </w:trPr>
        <w:tc>
          <w:tcPr>
            <w:tcW w:w="9781" w:type="dxa"/>
            <w:gridSpan w:val="4"/>
            <w:tcBorders>
              <w:top w:val="single" w:sz="4" w:space="0" w:color="000000"/>
              <w:bottom w:val="single" w:sz="4" w:space="0" w:color="000000"/>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III.1. Национальные стратегии и планы в области инноваций и ИС, согласующиеся с целями национального развития</w:t>
            </w:r>
          </w:p>
        </w:tc>
      </w:tr>
      <w:tr w:rsidR="00580A3D" w:rsidRPr="0096004B" w:rsidTr="00975156">
        <w:trPr>
          <w:cantSplit/>
          <w:trHeight w:val="402"/>
        </w:trPr>
        <w:tc>
          <w:tcPr>
            <w:tcW w:w="184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985" w:type="dxa"/>
            <w:tcBorders>
              <w:top w:val="single" w:sz="4" w:space="0" w:color="000000"/>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000000"/>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315"/>
        </w:trPr>
        <w:tc>
          <w:tcPr>
            <w:tcW w:w="1843"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Совещание заинтересованных сторон по интеграции ИС в инновационную политику </w:t>
            </w:r>
          </w:p>
        </w:tc>
        <w:tc>
          <w:tcPr>
            <w:tcW w:w="1134"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4–5 мая 2015 г.</w:t>
            </w:r>
          </w:p>
        </w:tc>
        <w:tc>
          <w:tcPr>
            <w:tcW w:w="1985"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Руанда</w:t>
            </w:r>
          </w:p>
        </w:tc>
        <w:tc>
          <w:tcPr>
            <w:tcW w:w="4819"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Представление выводов доклада «Учет вопросов ИС при выработке инновационной политики в Руанде» на рассмотрение участников инновационной системы страны.</w:t>
            </w:r>
          </w:p>
        </w:tc>
      </w:tr>
      <w:tr w:rsidR="00580A3D" w:rsidRPr="005C6ABD" w:rsidTr="00975156">
        <w:trPr>
          <w:cantSplit/>
          <w:trHeight w:val="315"/>
        </w:trPr>
        <w:tc>
          <w:tcPr>
            <w:tcW w:w="1843"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Африканская министерская конференция – 2015: «Интеллектуальная собственность (ИС) для формирующихся рынков Африки»</w:t>
            </w:r>
          </w:p>
        </w:tc>
        <w:tc>
          <w:tcPr>
            <w:tcW w:w="1134"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3–5 ноября 2015 г.</w:t>
            </w:r>
          </w:p>
        </w:tc>
        <w:tc>
          <w:tcPr>
            <w:tcW w:w="1985"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Сенегал / 400 участников, в т.ч. около 50 министров из африканских стран</w:t>
            </w:r>
          </w:p>
        </w:tc>
        <w:tc>
          <w:tcPr>
            <w:tcW w:w="4819"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Подчеркивание важности ИС как инструмента экономических преобразований в африканских странах с помощью науки, технологий и инноваций;  и (ii) предоставление африканским директивным органам и региональным экспертам площадки для встреч и обмена мнениями о том, как использовать возможности системы ИС для продвижения инноваций и творческой деятельности в целях трансформации экономики.</w:t>
            </w:r>
          </w:p>
        </w:tc>
      </w:tr>
      <w:tr w:rsidR="00580A3D" w:rsidRPr="005C6ABD" w:rsidTr="00975156">
        <w:trPr>
          <w:cantSplit/>
          <w:trHeight w:val="315"/>
        </w:trPr>
        <w:tc>
          <w:tcPr>
            <w:tcW w:w="9781" w:type="dxa"/>
            <w:gridSpan w:val="4"/>
            <w:tcBorders>
              <w:top w:val="single" w:sz="4" w:space="0" w:color="000000"/>
              <w:bottom w:val="single" w:sz="4" w:space="0" w:color="auto"/>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color w:val="000000"/>
                <w:sz w:val="16"/>
                <w:szCs w:val="16"/>
                <w:lang w:val="ru-RU"/>
              </w:rPr>
            </w:pPr>
            <w:r w:rsidRPr="0096004B">
              <w:rPr>
                <w:rFonts w:cs="Arial"/>
                <w:b/>
                <w:bCs/>
                <w:color w:val="000000"/>
                <w:sz w:val="16"/>
                <w:szCs w:val="16"/>
                <w:lang w:val="ru-RU"/>
              </w:rPr>
              <w:t>РЕЗУЛЬТАТ</w:t>
            </w:r>
            <w:r w:rsidRPr="0096004B">
              <w:rPr>
                <w:rFonts w:cs="Arial"/>
                <w:color w:val="000000"/>
                <w:sz w:val="16"/>
                <w:szCs w:val="16"/>
                <w:lang w:val="ru-RU"/>
              </w:rPr>
              <w:t>:</w:t>
            </w:r>
            <w:r w:rsidRPr="0096004B">
              <w:rPr>
                <w:rFonts w:cs="Arial"/>
                <w:color w:val="000000"/>
                <w:sz w:val="16"/>
                <w:szCs w:val="16"/>
                <w:lang w:val="ru-RU"/>
              </w:rPr>
              <w:tab/>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55E75">
        <w:trPr>
          <w:cantSplit/>
          <w:trHeight w:val="429"/>
        </w:trPr>
        <w:tc>
          <w:tcPr>
            <w:tcW w:w="1843" w:type="dxa"/>
            <w:tcBorders>
              <w:top w:val="single" w:sz="4" w:space="0" w:color="auto"/>
              <w:left w:val="single" w:sz="4" w:space="0" w:color="auto"/>
              <w:bottom w:val="nil"/>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auto"/>
              <w:bottom w:val="nil"/>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985" w:type="dxa"/>
            <w:tcBorders>
              <w:top w:val="single" w:sz="4" w:space="0" w:color="auto"/>
              <w:bottom w:val="nil"/>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auto"/>
              <w:bottom w:val="nil"/>
              <w:right w:val="single" w:sz="4" w:space="0" w:color="auto"/>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55E75">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Базовый курс по вопросам экспертизы прав ИС: курс для патентных экспертов по вопросам экспертизы промышленной собственности (базовая программа)</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19–30 января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Япония / Алжир, Кения, Мадагаскар, Объединенная Республика Танзания и АРОИС</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Помощь участникам в приобретении базовых знаний о законодательстве и процедурах экспертизы прав промышленной собственности по существу.</w:t>
            </w:r>
          </w:p>
        </w:tc>
      </w:tr>
      <w:tr w:rsidR="00580A3D" w:rsidRPr="005C6ABD" w:rsidTr="00955E75">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Учебный курс по административному управлению ИС</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6–13 февраля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Япония / Марокко, Нигерия и Южная Африка</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Углубление знаний участников о современной практике управления правами ИС, в т.ч. о методике разработки политики, стратегий и планов по укреплению потенциала патентных экспертов и по обеспечению качества патентной экспертизы;  и (ii) повышение квалификации участников в разработке, реализации и оценке планов ведомств ИС, учитывающих временные ограничения, ориентированных на конечный результат и имеющих измеримый эффект.</w:t>
            </w:r>
          </w:p>
        </w:tc>
      </w:tr>
      <w:tr w:rsidR="00580A3D" w:rsidRPr="005C6ABD" w:rsidTr="00580A3D">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Учебный курс для патентных экспертов по конкретным технологиям (фармацевтика)</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19–26 февраля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Япония / Египет и АРОИС</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Ознакомление участников с текущими тенденциями и современной практикой экспертизы патентов в области фармацевтики;  (ii) передача практических знаний и навыков, связанных с методами экспертизы;  (iii) предоставление участникам возможности обмена опытом и мнениями по вопросам патентной экспертизы;  и (iv) повышение профессиональной квалификации экспертов для проведения экспертизы фармацевтических патентов.</w:t>
            </w:r>
          </w:p>
        </w:tc>
      </w:tr>
      <w:tr w:rsidR="00580A3D" w:rsidRPr="005C6ABD" w:rsidTr="00580A3D">
        <w:trPr>
          <w:cantSplit/>
          <w:trHeight w:val="315"/>
        </w:trPr>
        <w:tc>
          <w:tcPr>
            <w:tcW w:w="1843" w:type="dxa"/>
            <w:tcBorders>
              <w:top w:val="nil"/>
              <w:left w:val="single" w:sz="4" w:space="0" w:color="auto"/>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Совещание заинтересованных сторон и учебный практикум по проекту брендинга традиционного промысла народности кисии — резных изделий из стеатита</w:t>
            </w:r>
          </w:p>
        </w:tc>
        <w:tc>
          <w:tcPr>
            <w:tcW w:w="1134"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16–20 марта 2015 г.</w:t>
            </w:r>
          </w:p>
        </w:tc>
        <w:tc>
          <w:tcPr>
            <w:tcW w:w="1985"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Кения</w:t>
            </w:r>
          </w:p>
        </w:tc>
        <w:tc>
          <w:tcPr>
            <w:tcW w:w="4819" w:type="dxa"/>
            <w:tcBorders>
              <w:top w:val="nil"/>
              <w:bottom w:val="single" w:sz="4" w:space="0" w:color="auto"/>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Запуск проекта брендинга, использующего рыночный потенциал и нематериальные активы кисийских стеатитовых изделий с помощью инноваций и прав ИС.</w:t>
            </w:r>
          </w:p>
        </w:tc>
      </w:tr>
      <w:tr w:rsidR="00580A3D" w:rsidRPr="005C6ABD" w:rsidTr="00580A3D">
        <w:trPr>
          <w:cantSplit/>
          <w:trHeight w:val="315"/>
        </w:trPr>
        <w:tc>
          <w:tcPr>
            <w:tcW w:w="1843" w:type="dxa"/>
            <w:tcBorders>
              <w:top w:val="single" w:sz="4" w:space="0" w:color="auto"/>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Совещание высокого уровня для парламентариев государств-членов АРОИС на тему «Стратегическое использование системы ИС для экономического, культурного, социального и технологического развития»</w:t>
            </w:r>
          </w:p>
        </w:tc>
        <w:tc>
          <w:tcPr>
            <w:tcW w:w="1134" w:type="dxa"/>
            <w:tcBorders>
              <w:top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25–27 марта 2015 г.</w:t>
            </w:r>
          </w:p>
        </w:tc>
        <w:tc>
          <w:tcPr>
            <w:tcW w:w="1985" w:type="dxa"/>
            <w:tcBorders>
              <w:top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Уганда / 28 членов парламента из Гамбии, Ганы, Кении, Малави, Мозамбика, Сан-Томе и Принсипи, Свазиленда, Уганды, Замбии и Зимбабве</w:t>
            </w:r>
          </w:p>
        </w:tc>
        <w:tc>
          <w:tcPr>
            <w:tcW w:w="4819" w:type="dxa"/>
            <w:tcBorders>
              <w:top w:val="single" w:sz="4" w:space="0" w:color="auto"/>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Предоставление парламентариям возможности улучшить свое понимание системы ИС как одной из основ экономического, культурного, социального и технологического развития;  (ii) привлечение внимания парламентариев к широкому политическому диапазону перспектив и интересов, обеспечиваемых договорами ВОИС;  (iii) повышение осведомленности парламентариев о необходимости формирования и активного использования системы ИС в их соответствующих странах;  и (iv) подготовка парламентариев к тому, чтобы играть ведущую роль в разработке и принятии законодательства об ИС, соответствующего национальным целям в область развития.</w:t>
            </w:r>
          </w:p>
        </w:tc>
      </w:tr>
      <w:tr w:rsidR="00580A3D" w:rsidRPr="005C6ABD" w:rsidTr="00975156">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Миссия экспертов по передаче технологии и коммерциализации ИС</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6–10 апреля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Марокко</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Передача знаний и опыта Япония для продвижения передачи технологии и коммерциализации результатов исследовательской работы университетов и научно-исследовательских учреждений;  (ii) определение проблем, требующих решения;  и (iii) предложение возможных решений для страны.</w:t>
            </w:r>
          </w:p>
        </w:tc>
      </w:tr>
      <w:tr w:rsidR="00580A3D" w:rsidRPr="005C6ABD" w:rsidTr="00975156">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Партнерство между ВОИС/АОИС и Университетом Яунде II</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июнь 2015 г. (продолжается)</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Камерун / 10 стипендий для избранных слушателей из Бенина, Буркина-Фасо, Камеруна, Коморских Островов, Конго, Габона, Гвинеи, Мадагаскара, Нигера и Того</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Организация общего и специализированного обучения в области ИС для государственных служащих и специалистов в области ИС;  и (ii) создание возможностей для развития кадровых ресурсов и укрепления потенциала на основе подготовки и обучения по тематике ИС лиц, отвечающих за обучение и исследования в области ИС в университетах и иных учреждениях.</w:t>
            </w:r>
          </w:p>
        </w:tc>
      </w:tr>
      <w:tr w:rsidR="00580A3D" w:rsidRPr="005C6ABD" w:rsidTr="00580A3D">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Партнерство между ВОИС/АРОИС и Африканским университетом в г. Мутаре (Зимбабве)</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Май – декабрь 2015 г</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(проект продолжается)</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Зимбабве / 9 стипендий для слушателей, отобранных из Ганы, Кении, Намибии, Нигерии, Руанды, Сьерра-Леоне, Уганды, Объединенной Республики Танзании и Зимбабве</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Организация общего и специализированного обучения в области ИС для государственных служащих и специалистов в области ИС;  и (ii) создание возможностей для развития кадровых ресурсов и укрепления потенциала на основе подготовки и обучения по тематике ИС лиц, отвечающих за обучение и исследования в области ИС в университетах и иных учреждениях.</w:t>
            </w:r>
          </w:p>
        </w:tc>
      </w:tr>
      <w:tr w:rsidR="00580A3D" w:rsidRPr="005C6ABD" w:rsidTr="00580A3D">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Съемки фильма об истории успеха – производстве гвоздики на Занзибаре</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Август – ноябрь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Танзания</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Привлечение внимания к роли интеллектуальной собственности и важности участия правительства и других партнеров в продвижении бренда. </w:t>
            </w:r>
          </w:p>
        </w:tc>
      </w:tr>
      <w:tr w:rsidR="00580A3D" w:rsidRPr="005C6ABD" w:rsidTr="00580A3D">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Курс по подготовке патентной документации для патентных агентов</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7 сентября – 9 октября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Зимбабве / 22 участника из Гамбии, Ганы, Кении, Малави, Мозамбика, Намибии, Нигерии, Руанды, Сан-Томе и Принсипи, Сьерра-Леоне, Свазиленда, Объединенной Республики Танзании, Замбии и Зимбабве</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(i) Развитие навыков составления заявок для юристов и патентных агентов из государств-членов и наблюдателей АРОИС;  и (ii) ознакомление их с новыми методиками, помогающими точнее определять объемы притязаний и составлять формулы изобретения. </w:t>
            </w:r>
          </w:p>
        </w:tc>
      </w:tr>
      <w:tr w:rsidR="00580A3D" w:rsidRPr="0096004B" w:rsidTr="00580A3D">
        <w:trPr>
          <w:cantSplit/>
          <w:trHeight w:val="315"/>
        </w:trPr>
        <w:tc>
          <w:tcPr>
            <w:tcW w:w="1843" w:type="dxa"/>
            <w:tcBorders>
              <w:top w:val="nil"/>
              <w:left w:val="single" w:sz="4" w:space="0" w:color="auto"/>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Миссия по технико-экономическому обоснованию проекта продвижения бренда</w:t>
            </w:r>
          </w:p>
        </w:tc>
        <w:tc>
          <w:tcPr>
            <w:tcW w:w="1134"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21–25 сентября 2015 г.</w:t>
            </w:r>
          </w:p>
        </w:tc>
        <w:tc>
          <w:tcPr>
            <w:tcW w:w="1985"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Кения</w:t>
            </w:r>
          </w:p>
        </w:tc>
        <w:tc>
          <w:tcPr>
            <w:tcW w:w="4819" w:type="dxa"/>
            <w:tcBorders>
              <w:top w:val="nil"/>
              <w:bottom w:val="single" w:sz="4" w:space="0" w:color="auto"/>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Оценка осуществимости проекта по продвижение бренда «таитских корзин» в Кении с помощью ИС.</w:t>
            </w:r>
          </w:p>
        </w:tc>
      </w:tr>
      <w:tr w:rsidR="00580A3D" w:rsidRPr="005C6ABD" w:rsidTr="00580A3D">
        <w:trPr>
          <w:cantSplit/>
          <w:trHeight w:val="315"/>
        </w:trPr>
        <w:tc>
          <w:tcPr>
            <w:tcW w:w="1843" w:type="dxa"/>
            <w:tcBorders>
              <w:top w:val="single" w:sz="4" w:space="0" w:color="auto"/>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Учебный курс по использованию информационных технологий при управлении правами промышленной собственности</w:t>
            </w:r>
          </w:p>
        </w:tc>
        <w:tc>
          <w:tcPr>
            <w:tcW w:w="1134" w:type="dxa"/>
            <w:tcBorders>
              <w:top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26 октября – 6 ноября 2015 г.</w:t>
            </w:r>
          </w:p>
        </w:tc>
        <w:tc>
          <w:tcPr>
            <w:tcW w:w="1985" w:type="dxa"/>
            <w:tcBorders>
              <w:top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Япония / Алжир, Южная Африка и АРОИС</w:t>
            </w:r>
          </w:p>
        </w:tc>
        <w:tc>
          <w:tcPr>
            <w:tcW w:w="4819" w:type="dxa"/>
            <w:tcBorders>
              <w:top w:val="single" w:sz="4" w:space="0" w:color="auto"/>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Ознакомление участников с последними достижениями в применении информационных технологий для управления правами промышленной собственности, распространения информации, связанной с промышленной собственностью, и предоставления онлайновых услуг;  (ii) передача практических навыков применения новейших инструментов и технологий путем проведения интерактивных занятий, а также выездов специалистов в соответствующие частные предприятия;  и (iii) создание условий для обмена мнениями и соображениями между участниками по соответствующим вопросам и повышения за счет этого их профессиональных навыков в планировании и организации использования информационных технологий для управления правами промышленной собственности.</w:t>
            </w:r>
          </w:p>
        </w:tc>
      </w:tr>
      <w:tr w:rsidR="00580A3D" w:rsidRPr="005C6ABD" w:rsidTr="00975156">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Продвинутый курс по вопросам экспертизы ИС – Учебный курс по экспертизе прав промышленной собственности (</w:t>
            </w:r>
            <w:r w:rsidRPr="0096004B">
              <w:rPr>
                <w:rFonts w:cs="Arial"/>
                <w:color w:val="000000"/>
                <w:sz w:val="16"/>
                <w:szCs w:val="16"/>
                <w:lang w:val="en-GB"/>
              </w:rPr>
              <w:t>Patent</w:t>
            </w:r>
            <w:r w:rsidRPr="006D7B9D">
              <w:rPr>
                <w:rFonts w:cs="Arial"/>
                <w:color w:val="000000"/>
                <w:sz w:val="16"/>
                <w:szCs w:val="16"/>
                <w:lang w:val="ru-RU"/>
              </w:rPr>
              <w:t xml:space="preserve"> </w:t>
            </w:r>
            <w:r w:rsidRPr="0096004B">
              <w:rPr>
                <w:rFonts w:cs="Arial"/>
                <w:color w:val="000000"/>
                <w:sz w:val="16"/>
                <w:szCs w:val="16"/>
                <w:lang w:val="en-GB"/>
              </w:rPr>
              <w:t>I</w:t>
            </w:r>
            <w:r w:rsidRPr="0096004B">
              <w:rPr>
                <w:rFonts w:cs="Arial"/>
                <w:color w:val="000000"/>
                <w:sz w:val="16"/>
                <w:szCs w:val="16"/>
                <w:lang w:val="ru-RU"/>
              </w:rPr>
              <w:t>)</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9–20 ноября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Япония/Египет</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Освоение участниками базовых знаний о законодательстве и процедурах экспертизы прав промышленной собственности;  и (ii) обмен мнениями по тематическим вопросам в сфере интеллектуальной собственности.</w:t>
            </w:r>
          </w:p>
        </w:tc>
      </w:tr>
      <w:tr w:rsidR="00580A3D" w:rsidRPr="005C6ABD" w:rsidTr="00975156">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ВОИС – Южная Африка: летняя школа для углубленного изучения вопросов интеллектуальной собственности (ИС) и передачи технологий</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30 ноября – 11 декабря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Южная Африка / 10 стипендий для слушателей, отобранных из Ботсваны, Кении, Лесото, Малави, Намибии, Нигерии и Зимбабве</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Предоставление студентам-старшекурсникам, аспирантам и молодым специалистам возможности:  (i) приобрести глубокие знания о взаимосвязях между ИС и передачей технологии;  и (ii) обсудить вопросы ИС, возникающие при ведении переговоров по лицензированию, путем изучения практических примеров и имитационных упражнений.</w:t>
            </w:r>
          </w:p>
        </w:tc>
      </w:tr>
      <w:tr w:rsidR="00580A3D" w:rsidRPr="005C6ABD" w:rsidTr="00975156">
        <w:trPr>
          <w:cantSplit/>
          <w:trHeight w:val="315"/>
        </w:trPr>
        <w:tc>
          <w:tcPr>
            <w:tcW w:w="9781" w:type="dxa"/>
            <w:gridSpan w:val="4"/>
            <w:tcBorders>
              <w:top w:val="single" w:sz="4" w:space="0" w:color="auto"/>
              <w:bottom w:val="single" w:sz="4" w:space="0" w:color="auto"/>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color w:val="000000"/>
                <w:sz w:val="16"/>
                <w:szCs w:val="16"/>
                <w:lang w:val="ru-RU"/>
              </w:rPr>
              <w:t>III.6. Повышение способности МСП успешно применять ИС для поддержки инноваций</w:t>
            </w:r>
          </w:p>
        </w:tc>
      </w:tr>
      <w:tr w:rsidR="00580A3D" w:rsidRPr="0096004B" w:rsidTr="00975156">
        <w:trPr>
          <w:cantSplit/>
          <w:trHeight w:val="315"/>
        </w:trPr>
        <w:tc>
          <w:tcPr>
            <w:tcW w:w="1843" w:type="dxa"/>
            <w:tcBorders>
              <w:top w:val="single" w:sz="4" w:space="0" w:color="auto"/>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auto"/>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985" w:type="dxa"/>
            <w:tcBorders>
              <w:top w:val="single" w:sz="4" w:space="0" w:color="auto"/>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auto"/>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315"/>
        </w:trPr>
        <w:tc>
          <w:tcPr>
            <w:tcW w:w="184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Региональный практикум по полезным моделям и промышленным образцам для МСП в государствах-членах АРОИС</w:t>
            </w:r>
          </w:p>
        </w:tc>
        <w:tc>
          <w:tcPr>
            <w:tcW w:w="1134"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24–26 июня 2015 г.</w:t>
            </w:r>
          </w:p>
        </w:tc>
        <w:tc>
          <w:tcPr>
            <w:tcW w:w="1985"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Зимбабве / 25 участников из Ботсваны, Гамбии, Ганы, Кении, Малави, Намибии, Уганды, Объединенной Республики Танзания и Замбии</w:t>
            </w:r>
          </w:p>
        </w:tc>
        <w:tc>
          <w:tcPr>
            <w:tcW w:w="4819"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Предоставление сотрудникам ведомств ИС, МСП, изобретателям, научно-исследовательским учреждениям, университетам, центрам инноваций, торгово-промышленным палатам, ассоциациям МСП и разработчикам промышленных образцов из региона возможности больше узнать о системах охраны полезных моделей и промышленных образцов;  и (ii) обмен мнениями с зарубежными и отечественными экспертами о преимуществах использования полезных моделей и образцов для малых, средних и микропредприятий.</w:t>
            </w:r>
          </w:p>
        </w:tc>
      </w:tr>
      <w:tr w:rsidR="00580A3D" w:rsidRPr="005C6ABD" w:rsidTr="00975156">
        <w:trPr>
          <w:cantSplit/>
          <w:trHeight w:val="315"/>
        </w:trPr>
        <w:tc>
          <w:tcPr>
            <w:tcW w:w="9781"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b/>
                <w:bCs/>
                <w:color w:val="000000"/>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IV.2.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r>
      <w:tr w:rsidR="00580A3D" w:rsidRPr="0096004B" w:rsidTr="00975156">
        <w:trPr>
          <w:cantSplit/>
          <w:trHeight w:val="315"/>
        </w:trPr>
        <w:tc>
          <w:tcPr>
            <w:tcW w:w="1843" w:type="dxa"/>
            <w:tcBorders>
              <w:top w:val="single" w:sz="4" w:space="0" w:color="auto"/>
              <w:left w:val="single" w:sz="4" w:space="0" w:color="auto"/>
              <w:bottom w:val="nil"/>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auto"/>
              <w:bottom w:val="nil"/>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985" w:type="dxa"/>
            <w:tcBorders>
              <w:top w:val="single" w:sz="4" w:space="0" w:color="auto"/>
              <w:bottom w:val="nil"/>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auto"/>
              <w:bottom w:val="nil"/>
              <w:right w:val="single" w:sz="4" w:space="0" w:color="auto"/>
            </w:tcBorders>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432"/>
        </w:trPr>
        <w:tc>
          <w:tcPr>
            <w:tcW w:w="1843" w:type="dxa"/>
            <w:tcBorders>
              <w:top w:val="nil"/>
              <w:left w:val="single" w:sz="4" w:space="0" w:color="auto"/>
              <w:bottom w:val="nil"/>
            </w:tcBorders>
          </w:tcPr>
          <w:p w:rsidR="00580A3D" w:rsidRPr="0096004B" w:rsidRDefault="00580A3D" w:rsidP="00975156">
            <w:pPr>
              <w:spacing w:before="60" w:after="60"/>
              <w:rPr>
                <w:rFonts w:cs="Arial"/>
                <w:color w:val="000000"/>
                <w:sz w:val="16"/>
                <w:szCs w:val="16"/>
                <w:lang w:val="ru-RU"/>
              </w:rPr>
            </w:pPr>
            <w:r w:rsidRPr="0096004B">
              <w:rPr>
                <w:rFonts w:cs="Arial"/>
                <w:color w:val="000000"/>
                <w:sz w:val="16"/>
                <w:szCs w:val="16"/>
                <w:lang w:val="ru-RU"/>
              </w:rPr>
              <w:t>Второй практикум для сотрудников ЦПТИ по вопросам эффективного использования научно-технической информации</w:t>
            </w:r>
          </w:p>
        </w:tc>
        <w:tc>
          <w:tcPr>
            <w:tcW w:w="1134" w:type="dxa"/>
            <w:tcBorders>
              <w:top w:val="nil"/>
              <w:bottom w:val="nil"/>
            </w:tcBorders>
          </w:tcPr>
          <w:p w:rsidR="00580A3D" w:rsidRPr="0096004B" w:rsidRDefault="00580A3D" w:rsidP="00975156">
            <w:pPr>
              <w:spacing w:before="60" w:after="60"/>
              <w:rPr>
                <w:rFonts w:cs="Arial"/>
                <w:color w:val="000000"/>
                <w:sz w:val="16"/>
                <w:szCs w:val="16"/>
                <w:lang w:val="ru-RU"/>
              </w:rPr>
            </w:pPr>
            <w:r w:rsidRPr="0096004B">
              <w:rPr>
                <w:rFonts w:cs="Arial"/>
                <w:color w:val="000000"/>
                <w:sz w:val="16"/>
                <w:szCs w:val="16"/>
                <w:lang w:val="ru-RU"/>
              </w:rPr>
              <w:t>24–26 февраля 2015 г.</w:t>
            </w:r>
          </w:p>
        </w:tc>
        <w:tc>
          <w:tcPr>
            <w:tcW w:w="1985" w:type="dxa"/>
            <w:tcBorders>
              <w:top w:val="nil"/>
              <w:bottom w:val="nil"/>
            </w:tcBorders>
          </w:tcPr>
          <w:p w:rsidR="00580A3D" w:rsidRPr="0096004B" w:rsidRDefault="00580A3D" w:rsidP="00975156">
            <w:pPr>
              <w:spacing w:before="60" w:after="60"/>
              <w:rPr>
                <w:rFonts w:cs="Arial"/>
                <w:color w:val="000000"/>
                <w:sz w:val="16"/>
                <w:szCs w:val="16"/>
                <w:lang w:val="ru-RU"/>
              </w:rPr>
            </w:pPr>
            <w:r w:rsidRPr="0096004B">
              <w:rPr>
                <w:rFonts w:cs="Arial"/>
                <w:color w:val="000000"/>
                <w:sz w:val="16"/>
                <w:szCs w:val="16"/>
                <w:lang w:val="ru-RU"/>
              </w:rPr>
              <w:t>Гана / примерно 50 местных участников</w:t>
            </w:r>
          </w:p>
        </w:tc>
        <w:tc>
          <w:tcPr>
            <w:tcW w:w="4819" w:type="dxa"/>
            <w:tcBorders>
              <w:top w:val="nil"/>
              <w:bottom w:val="nil"/>
              <w:right w:val="single" w:sz="4" w:space="0" w:color="auto"/>
            </w:tcBorders>
          </w:tcPr>
          <w:p w:rsidR="00580A3D" w:rsidRPr="0096004B" w:rsidRDefault="00580A3D" w:rsidP="00975156">
            <w:pPr>
              <w:spacing w:before="60" w:after="60"/>
              <w:rPr>
                <w:rFonts w:cs="Arial"/>
                <w:color w:val="000000"/>
                <w:sz w:val="16"/>
                <w:szCs w:val="16"/>
                <w:lang w:val="ru-RU"/>
              </w:rPr>
            </w:pPr>
            <w:r w:rsidRPr="0096004B">
              <w:rPr>
                <w:rFonts w:cs="Arial"/>
                <w:color w:val="000000"/>
                <w:sz w:val="16"/>
                <w:szCs w:val="16"/>
                <w:lang w:val="ru-RU"/>
              </w:rPr>
              <w:t>Обучение участников методам поиска и применения технологий и научной информации для разработки их соответствующих мероприятий.</w:t>
            </w:r>
          </w:p>
        </w:tc>
      </w:tr>
      <w:tr w:rsidR="00580A3D" w:rsidRPr="005C6ABD" w:rsidTr="00975156">
        <w:trPr>
          <w:cantSplit/>
          <w:trHeight w:val="31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Семинар ЦПТИ по использованию научно-технической информации</w:t>
            </w:r>
          </w:p>
        </w:tc>
        <w:tc>
          <w:tcPr>
            <w:tcW w:w="1134" w:type="dxa"/>
            <w:tcBorders>
              <w:top w:val="nil"/>
              <w:bottom w:val="nil"/>
            </w:tcBorders>
          </w:tcPr>
          <w:p w:rsidR="00580A3D" w:rsidRPr="0096004B" w:rsidRDefault="00580A3D" w:rsidP="00975156">
            <w:pPr>
              <w:spacing w:before="60" w:after="60"/>
              <w:rPr>
                <w:rFonts w:cs="Arial"/>
                <w:color w:val="000000"/>
                <w:sz w:val="16"/>
                <w:szCs w:val="16"/>
                <w:lang w:val="ru-RU"/>
              </w:rPr>
            </w:pPr>
            <w:r w:rsidRPr="0096004B">
              <w:rPr>
                <w:rFonts w:cs="Arial"/>
                <w:color w:val="000000"/>
                <w:sz w:val="16"/>
                <w:szCs w:val="16"/>
                <w:lang w:val="ru-RU"/>
              </w:rPr>
              <w:t>23–27 марта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Буркина-Фасо / примерно 50 местных участников</w:t>
            </w:r>
          </w:p>
        </w:tc>
        <w:tc>
          <w:tcPr>
            <w:tcW w:w="4819"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Обучение исследователей, преподавателей и студентов поиску и извлечению патентной информации и непатентной литературы.</w:t>
            </w:r>
          </w:p>
        </w:tc>
      </w:tr>
      <w:tr w:rsidR="00580A3D" w:rsidRPr="005C6ABD" w:rsidTr="00975156">
        <w:trPr>
          <w:cantSplit/>
          <w:trHeight w:val="315"/>
        </w:trPr>
        <w:tc>
          <w:tcPr>
            <w:tcW w:w="1843" w:type="dxa"/>
            <w:tcBorders>
              <w:top w:val="nil"/>
              <w:left w:val="single" w:sz="4" w:space="0" w:color="auto"/>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Семинар, посвященный эффективному использованию научно-технической информации и официальному запуску ЦПТИ</w:t>
            </w:r>
          </w:p>
        </w:tc>
        <w:tc>
          <w:tcPr>
            <w:tcW w:w="1134" w:type="dxa"/>
            <w:tcBorders>
              <w:top w:val="nil"/>
              <w:bottom w:val="single" w:sz="4" w:space="0" w:color="auto"/>
            </w:tcBorders>
          </w:tcPr>
          <w:p w:rsidR="00580A3D" w:rsidRPr="0096004B" w:rsidRDefault="00580A3D" w:rsidP="00975156">
            <w:pPr>
              <w:spacing w:before="60" w:after="60"/>
              <w:rPr>
                <w:rFonts w:cs="Arial"/>
                <w:color w:val="000000"/>
                <w:sz w:val="16"/>
                <w:szCs w:val="16"/>
                <w:lang w:val="ru-RU"/>
              </w:rPr>
            </w:pPr>
            <w:r w:rsidRPr="0096004B">
              <w:rPr>
                <w:rFonts w:cs="Arial"/>
                <w:color w:val="000000"/>
                <w:sz w:val="16"/>
                <w:szCs w:val="16"/>
                <w:lang w:val="ru-RU"/>
              </w:rPr>
              <w:t>1–5 июня 2015 г.</w:t>
            </w:r>
          </w:p>
        </w:tc>
        <w:tc>
          <w:tcPr>
            <w:tcW w:w="1985"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Руанда / примерно 350 местных участников</w:t>
            </w:r>
          </w:p>
        </w:tc>
        <w:tc>
          <w:tcPr>
            <w:tcW w:w="4819" w:type="dxa"/>
            <w:tcBorders>
              <w:top w:val="nil"/>
              <w:bottom w:val="single" w:sz="4" w:space="0" w:color="auto"/>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Представление проекта ЦПТИ и его преимуществ двум высшим учебным заведениям страны.</w:t>
            </w:r>
          </w:p>
        </w:tc>
      </w:tr>
      <w:tr w:rsidR="00580A3D" w:rsidRPr="005C6ABD" w:rsidTr="00975156">
        <w:trPr>
          <w:cantSplit/>
          <w:trHeight w:val="315"/>
        </w:trPr>
        <w:tc>
          <w:tcPr>
            <w:tcW w:w="9781" w:type="dxa"/>
            <w:gridSpan w:val="4"/>
            <w:tcBorders>
              <w:top w:val="single" w:sz="4" w:space="0" w:color="auto"/>
              <w:left w:val="single" w:sz="4" w:space="0" w:color="auto"/>
              <w:bottom w:val="single" w:sz="4" w:space="0" w:color="auto"/>
              <w:right w:val="single" w:sz="4" w:space="0" w:color="auto"/>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cs="Arial"/>
                <w:b/>
                <w:bCs/>
                <w:color w:val="000000"/>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IV.4. Совершенствование технической инфраструктуры и инфраструктуры знаний для ведомств ИС и других учреждений ИС, ведущее к предоставлению улучшенных услуг (более дешевых, более быстрых, более качественных) их заинтересованным сторонам</w:t>
            </w:r>
          </w:p>
        </w:tc>
      </w:tr>
      <w:tr w:rsidR="00580A3D" w:rsidRPr="0096004B" w:rsidTr="00975156">
        <w:trPr>
          <w:cantSplit/>
          <w:trHeight w:val="315"/>
        </w:trPr>
        <w:tc>
          <w:tcPr>
            <w:tcW w:w="1843" w:type="dxa"/>
            <w:tcBorders>
              <w:top w:val="single" w:sz="4" w:space="0" w:color="auto"/>
              <w:bottom w:val="nil"/>
            </w:tcBorders>
            <w:vAlign w:val="center"/>
          </w:tcPr>
          <w:p w:rsidR="00580A3D" w:rsidRPr="0096004B" w:rsidRDefault="00580A3D" w:rsidP="00975156">
            <w:pPr>
              <w:keepNext/>
              <w:keepLines/>
              <w:spacing w:before="12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auto"/>
              <w:bottom w:val="nil"/>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Дата</w:t>
            </w:r>
          </w:p>
        </w:tc>
        <w:tc>
          <w:tcPr>
            <w:tcW w:w="1985" w:type="dxa"/>
            <w:tcBorders>
              <w:top w:val="single" w:sz="4" w:space="0" w:color="auto"/>
              <w:bottom w:val="nil"/>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auto"/>
              <w:bottom w:val="nil"/>
            </w:tcBorders>
            <w:vAlign w:val="center"/>
          </w:tcPr>
          <w:p w:rsidR="00580A3D" w:rsidRPr="0096004B" w:rsidRDefault="00580A3D" w:rsidP="00975156">
            <w:pPr>
              <w:keepNext/>
              <w:keepLines/>
              <w:spacing w:before="120" w:after="12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315"/>
        </w:trPr>
        <w:tc>
          <w:tcPr>
            <w:tcW w:w="1843"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Оцифровка документов по ИС для АРОИС</w:t>
            </w:r>
          </w:p>
        </w:tc>
        <w:tc>
          <w:tcPr>
            <w:tcW w:w="1134" w:type="dxa"/>
            <w:tcBorders>
              <w:top w:val="nil"/>
              <w:bottom w:val="nil"/>
            </w:tcBorders>
          </w:tcPr>
          <w:p w:rsidR="00580A3D" w:rsidRPr="0096004B" w:rsidRDefault="00580A3D" w:rsidP="00975156">
            <w:pPr>
              <w:spacing w:before="60" w:after="60"/>
              <w:rPr>
                <w:rFonts w:cs="Arial"/>
                <w:sz w:val="16"/>
                <w:szCs w:val="16"/>
                <w:lang w:val="ru-RU"/>
              </w:rPr>
            </w:pPr>
            <w:r w:rsidRPr="0096004B">
              <w:rPr>
                <w:rFonts w:cs="Arial"/>
                <w:sz w:val="16"/>
                <w:szCs w:val="16"/>
                <w:lang w:val="ru-RU"/>
              </w:rPr>
              <w:t>Апрель – декабрь 2015 г.</w:t>
            </w:r>
          </w:p>
          <w:p w:rsidR="00580A3D" w:rsidRPr="0096004B" w:rsidRDefault="00580A3D" w:rsidP="00975156">
            <w:pPr>
              <w:spacing w:before="60" w:after="60"/>
              <w:rPr>
                <w:rFonts w:cs="Arial"/>
                <w:sz w:val="16"/>
                <w:szCs w:val="16"/>
                <w:lang w:val="ru-RU"/>
              </w:rPr>
            </w:pPr>
            <w:r w:rsidRPr="0096004B">
              <w:rPr>
                <w:rFonts w:cs="Arial"/>
                <w:sz w:val="16"/>
                <w:szCs w:val="16"/>
                <w:lang w:val="ru-RU"/>
              </w:rPr>
              <w:t>(проект продолжа</w:t>
            </w:r>
            <w:r>
              <w:rPr>
                <w:rFonts w:cs="Arial"/>
                <w:sz w:val="16"/>
                <w:szCs w:val="16"/>
                <w:lang w:val="ru-RU"/>
              </w:rPr>
              <w:softHyphen/>
            </w:r>
            <w:r w:rsidRPr="0096004B">
              <w:rPr>
                <w:rFonts w:cs="Arial"/>
                <w:sz w:val="16"/>
                <w:szCs w:val="16"/>
                <w:lang w:val="ru-RU"/>
              </w:rPr>
              <w:t>ется)</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АРОИС</w:t>
            </w:r>
          </w:p>
        </w:tc>
        <w:tc>
          <w:tcPr>
            <w:tcW w:w="4819"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(i) Упрощение процедур экспертизы и обработки заявок/регистраций;  (ii) обеспечение сохранности документов по ИС благодаря их наличию как в бумажном, так и в цифровом виде;  (iii) упрощение обмена данными по ИС на национальном и международном уровне;  и (iv) улучшение организации, прозрачности и подотчетности процесса регистрации ИС.</w:t>
            </w:r>
          </w:p>
        </w:tc>
      </w:tr>
      <w:tr w:rsidR="00580A3D" w:rsidRPr="005C6ABD" w:rsidTr="00975156">
        <w:trPr>
          <w:cantSplit/>
          <w:trHeight w:val="315"/>
        </w:trPr>
        <w:tc>
          <w:tcPr>
            <w:tcW w:w="1843"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Оцифровка документов по ИС для Кенийского института промышленной собственности (KIPI)</w:t>
            </w:r>
          </w:p>
        </w:tc>
        <w:tc>
          <w:tcPr>
            <w:tcW w:w="1134" w:type="dxa"/>
            <w:tcBorders>
              <w:top w:val="nil"/>
              <w:bottom w:val="nil"/>
            </w:tcBorders>
          </w:tcPr>
          <w:p w:rsidR="00580A3D" w:rsidRPr="0096004B" w:rsidRDefault="00580A3D" w:rsidP="00975156">
            <w:pPr>
              <w:spacing w:before="60" w:after="60"/>
              <w:rPr>
                <w:rFonts w:cs="Arial"/>
                <w:sz w:val="16"/>
                <w:szCs w:val="16"/>
                <w:lang w:val="ru-RU"/>
              </w:rPr>
            </w:pPr>
            <w:r w:rsidRPr="0096004B">
              <w:rPr>
                <w:rFonts w:cs="Arial"/>
                <w:sz w:val="16"/>
                <w:szCs w:val="16"/>
                <w:lang w:val="ru-RU"/>
              </w:rPr>
              <w:t>Апрель – декабрь 2015 г.</w:t>
            </w:r>
          </w:p>
          <w:p w:rsidR="00580A3D" w:rsidRPr="0096004B" w:rsidRDefault="00580A3D" w:rsidP="00975156">
            <w:pPr>
              <w:spacing w:before="60" w:after="60"/>
              <w:rPr>
                <w:rFonts w:cs="Arial"/>
                <w:sz w:val="16"/>
                <w:szCs w:val="16"/>
                <w:lang w:val="ru-RU"/>
              </w:rPr>
            </w:pPr>
            <w:r w:rsidRPr="0096004B">
              <w:rPr>
                <w:rFonts w:cs="Arial"/>
                <w:sz w:val="16"/>
                <w:szCs w:val="16"/>
                <w:lang w:val="ru-RU"/>
              </w:rPr>
              <w:t>(проект продолжа</w:t>
            </w:r>
            <w:r>
              <w:rPr>
                <w:rFonts w:cs="Arial"/>
                <w:sz w:val="16"/>
                <w:szCs w:val="16"/>
                <w:lang w:val="ru-RU"/>
              </w:rPr>
              <w:softHyphen/>
            </w:r>
            <w:r w:rsidRPr="0096004B">
              <w:rPr>
                <w:rFonts w:cs="Arial"/>
                <w:sz w:val="16"/>
                <w:szCs w:val="16"/>
                <w:lang w:val="ru-RU"/>
              </w:rPr>
              <w:t>ется)</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Кения</w:t>
            </w:r>
          </w:p>
        </w:tc>
        <w:tc>
          <w:tcPr>
            <w:tcW w:w="4819"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(i) Упрощение процедур экспертизы и обработки заявок/регистраций;  (ii) обеспечение сохранности документов по ИС благодаря их наличию как в бумажном, так и в цифровом виде;  (iii) упрощение обмена данными по ИС на национальном и международном уровне;  и (iv) улучшение организации, прозрачности и подотчетности процесса регистрации ИС.</w:t>
            </w:r>
          </w:p>
        </w:tc>
      </w:tr>
      <w:tr w:rsidR="00580A3D" w:rsidRPr="005C6ABD" w:rsidTr="00975156">
        <w:trPr>
          <w:cantSplit/>
          <w:trHeight w:val="315"/>
        </w:trPr>
        <w:tc>
          <w:tcPr>
            <w:tcW w:w="1843"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Проект по оцифровке патентов и товарных знаков для Зимбабвийского ведомства интеллектуальной собственности (ZIPO)</w:t>
            </w:r>
          </w:p>
        </w:tc>
        <w:tc>
          <w:tcPr>
            <w:tcW w:w="1134" w:type="dxa"/>
            <w:tcBorders>
              <w:top w:val="nil"/>
              <w:bottom w:val="nil"/>
            </w:tcBorders>
          </w:tcPr>
          <w:p w:rsidR="00580A3D" w:rsidRPr="0096004B" w:rsidRDefault="00580A3D" w:rsidP="00975156">
            <w:pPr>
              <w:spacing w:before="60" w:after="60"/>
              <w:rPr>
                <w:rFonts w:cs="Arial"/>
                <w:sz w:val="16"/>
                <w:szCs w:val="16"/>
                <w:lang w:val="ru-RU"/>
              </w:rPr>
            </w:pPr>
            <w:r w:rsidRPr="0096004B">
              <w:rPr>
                <w:rFonts w:cs="Arial"/>
                <w:sz w:val="16"/>
                <w:szCs w:val="16"/>
                <w:lang w:val="ru-RU"/>
              </w:rPr>
              <w:t>Апрель – декабрь 2015 г.</w:t>
            </w:r>
          </w:p>
          <w:p w:rsidR="00580A3D" w:rsidRPr="0096004B" w:rsidRDefault="00580A3D" w:rsidP="00975156">
            <w:pPr>
              <w:spacing w:before="60" w:after="60"/>
              <w:rPr>
                <w:rFonts w:cs="Arial"/>
                <w:sz w:val="16"/>
                <w:szCs w:val="16"/>
                <w:lang w:val="ru-RU"/>
              </w:rPr>
            </w:pPr>
            <w:r w:rsidRPr="0096004B">
              <w:rPr>
                <w:rFonts w:cs="Arial"/>
                <w:sz w:val="16"/>
                <w:szCs w:val="16"/>
                <w:lang w:val="ru-RU"/>
              </w:rPr>
              <w:t>(проект продолжа</w:t>
            </w:r>
            <w:r>
              <w:rPr>
                <w:rFonts w:cs="Arial"/>
                <w:sz w:val="16"/>
                <w:szCs w:val="16"/>
                <w:lang w:val="ru-RU"/>
              </w:rPr>
              <w:softHyphen/>
            </w:r>
            <w:r w:rsidRPr="0096004B">
              <w:rPr>
                <w:rFonts w:cs="Arial"/>
                <w:sz w:val="16"/>
                <w:szCs w:val="16"/>
                <w:lang w:val="ru-RU"/>
              </w:rPr>
              <w:t>ется)</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Зимбабве</w:t>
            </w:r>
          </w:p>
        </w:tc>
        <w:tc>
          <w:tcPr>
            <w:tcW w:w="4819"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(i) Создание электронных досье по всем заявленным патентам и товарным знакам;  (ii) ускорение административных процедур и экспертизы в ведомстве ИС;  (iii) повышение доступности информации об ИС;  и (iv) улучшение организации, прозрачности и подотчетности процесса регистрации ИС за счет обеспечения доступности всей информации по заявкам в цифровом виде.</w:t>
            </w:r>
          </w:p>
        </w:tc>
      </w:tr>
      <w:tr w:rsidR="00580A3D" w:rsidRPr="005C6ABD" w:rsidTr="00975156">
        <w:trPr>
          <w:cantSplit/>
          <w:trHeight w:val="315"/>
        </w:trPr>
        <w:tc>
          <w:tcPr>
            <w:tcW w:w="1843"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Региональный учебный практикум ВОИС по системе IPAS для контролеров организации и процедур регистрации ИС</w:t>
            </w:r>
          </w:p>
        </w:tc>
        <w:tc>
          <w:tcPr>
            <w:tcW w:w="1134" w:type="dxa"/>
            <w:tcBorders>
              <w:top w:val="nil"/>
              <w:bottom w:val="nil"/>
            </w:tcBorders>
          </w:tcPr>
          <w:p w:rsidR="00580A3D" w:rsidRPr="0096004B" w:rsidRDefault="00580A3D" w:rsidP="00975156">
            <w:pPr>
              <w:spacing w:before="60" w:after="60"/>
              <w:rPr>
                <w:rFonts w:cs="Arial"/>
                <w:sz w:val="16"/>
                <w:szCs w:val="16"/>
                <w:lang w:val="ru-RU"/>
              </w:rPr>
            </w:pPr>
            <w:r w:rsidRPr="0096004B">
              <w:rPr>
                <w:rFonts w:cs="Arial"/>
                <w:color w:val="000000"/>
                <w:sz w:val="16"/>
                <w:szCs w:val="16"/>
                <w:lang w:val="ru-RU"/>
              </w:rPr>
              <w:t>13–17 апреля 2015 г.</w:t>
            </w:r>
          </w:p>
        </w:tc>
        <w:tc>
          <w:tcPr>
            <w:tcW w:w="1985"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Намибия / 24 участника из Ботсваны, Эфиопии, Гамбии, Ганы, Кении, Лесото, Мадагаскара, Малави, Маврикия, Мозамбика, Намибии, Нигерии, Руанды, Сейшельских Островов, Свазиленда, Уганды, Объединенной Республики Танзания, Замбии, Зимбабве, АРОИС и АОИС</w:t>
            </w:r>
          </w:p>
        </w:tc>
        <w:tc>
          <w:tcPr>
            <w:tcW w:w="4819"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(i) Ознакомление участников с базовой концепцией и инструментарием IPAS для организации, обеспечения прозрачности и подотчетности и контроля рабочих процессов;  и (ii) углубление понимания возможностей и инструментов IPAS для составления статистических отчетов, отчетов об организации и подотчетности процессов для надзора и отчетов о производительности процесса рассмотрения заявок и регистрации ИС.</w:t>
            </w:r>
          </w:p>
        </w:tc>
      </w:tr>
      <w:tr w:rsidR="00580A3D" w:rsidRPr="005C6ABD" w:rsidTr="00975156">
        <w:trPr>
          <w:cantSplit/>
          <w:trHeight w:val="315"/>
        </w:trPr>
        <w:tc>
          <w:tcPr>
            <w:tcW w:w="1843"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Региональный учебный практикум ВОИС по проверке данных об ИС и обмена ими</w:t>
            </w:r>
          </w:p>
        </w:tc>
        <w:tc>
          <w:tcPr>
            <w:tcW w:w="1134" w:type="dxa"/>
            <w:tcBorders>
              <w:top w:val="nil"/>
              <w:bottom w:val="single" w:sz="4" w:space="0" w:color="auto"/>
            </w:tcBorders>
          </w:tcPr>
          <w:p w:rsidR="00580A3D" w:rsidRPr="0096004B" w:rsidRDefault="00580A3D" w:rsidP="00975156">
            <w:pPr>
              <w:spacing w:before="60" w:after="60"/>
              <w:rPr>
                <w:rFonts w:cs="Arial"/>
                <w:sz w:val="16"/>
                <w:szCs w:val="16"/>
                <w:lang w:val="ru-RU"/>
              </w:rPr>
            </w:pPr>
            <w:r w:rsidRPr="0096004B">
              <w:rPr>
                <w:rFonts w:cs="Arial"/>
                <w:color w:val="000000"/>
                <w:sz w:val="16"/>
                <w:szCs w:val="16"/>
                <w:lang w:val="ru-RU"/>
              </w:rPr>
              <w:t>19–23 октября 2015 г.</w:t>
            </w:r>
          </w:p>
        </w:tc>
        <w:tc>
          <w:tcPr>
            <w:tcW w:w="1985"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Зимбабве / 33 участника из Ботсваны, Эфиопии, Гамбии, Ганы, Кении, Лесото, Мадагаскара, Малави, Маврикия, Мозамбика, Намибии, Руанды, Сейшельских Островов, Свазиленда, Уганды, Объединенной Республики Танзания, Замбии, Зимбабве, АРОИС и АОИС.</w:t>
            </w:r>
          </w:p>
        </w:tc>
        <w:tc>
          <w:tcPr>
            <w:tcW w:w="4819"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sz w:val="16"/>
                <w:szCs w:val="16"/>
                <w:lang w:val="ru-RU"/>
              </w:rPr>
              <w:t>(i) Ознакомление участников с введенными ВОИС стандартами данных об ИС и передовой практикой;  (ii) представление системы IPAS и существующих в ней функций проверки и верификации данных;  (iii) представление функций и инструментов системы по контролю, повышению производительности и управлению процессами;  и (iv) показ участникам, как готовить отчеты о контроле качества данных для выборочных проверок.</w:t>
            </w:r>
          </w:p>
        </w:tc>
      </w:tr>
    </w:tbl>
    <w:p w:rsidR="00580A3D" w:rsidRPr="0096004B" w:rsidRDefault="00580A3D" w:rsidP="00580A3D">
      <w:pPr>
        <w:rPr>
          <w:rFonts w:cs="Arial"/>
          <w:b/>
          <w:szCs w:val="16"/>
          <w:lang w:val="ru-RU"/>
        </w:rPr>
      </w:pPr>
    </w:p>
    <w:p w:rsidR="00580A3D" w:rsidRPr="0096004B" w:rsidRDefault="00580A3D" w:rsidP="00580A3D">
      <w:pPr>
        <w:rPr>
          <w:rFonts w:cs="Arial"/>
          <w:b/>
          <w:szCs w:val="16"/>
          <w:lang w:val="ru-RU"/>
        </w:rPr>
      </w:pPr>
    </w:p>
    <w:p w:rsidR="00580A3D" w:rsidRPr="0096004B" w:rsidRDefault="00580A3D" w:rsidP="00580A3D">
      <w:pPr>
        <w:rPr>
          <w:rFonts w:cs="Arial"/>
          <w:b/>
          <w:bCs/>
          <w:color w:val="000000"/>
          <w:szCs w:val="20"/>
          <w:lang w:val="ru-RU"/>
        </w:rPr>
      </w:pPr>
      <w:r w:rsidRPr="0096004B">
        <w:rPr>
          <w:rFonts w:cs="Arial"/>
          <w:b/>
          <w:bCs/>
          <w:szCs w:val="16"/>
          <w:lang w:val="ru-RU"/>
        </w:rPr>
        <w:t>ЯПОНИЯ – ИС и НРС АФРИКИ: взносы доноров и расходы в 2015 г.</w:t>
      </w:r>
    </w:p>
    <w:p w:rsidR="00580A3D" w:rsidRPr="0096004B" w:rsidRDefault="00580A3D" w:rsidP="00580A3D">
      <w:pPr>
        <w:rPr>
          <w:rFonts w:cs="Arial"/>
          <w:szCs w:val="16"/>
          <w:lang w:val="ru-RU"/>
        </w:rPr>
      </w:pPr>
    </w:p>
    <w:tbl>
      <w:tblPr>
        <w:tblW w:w="9792" w:type="dxa"/>
        <w:tblInd w:w="98" w:type="dxa"/>
        <w:tblLook w:val="04A0" w:firstRow="1" w:lastRow="0" w:firstColumn="1" w:lastColumn="0" w:noHBand="0" w:noVBand="1"/>
      </w:tblPr>
      <w:tblGrid>
        <w:gridCol w:w="2040"/>
        <w:gridCol w:w="1640"/>
        <w:gridCol w:w="1860"/>
        <w:gridCol w:w="1780"/>
        <w:gridCol w:w="2472"/>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2"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1 435 090</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1 602 617</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1 386 067</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2"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1 651 640</w:t>
            </w:r>
          </w:p>
        </w:tc>
      </w:tr>
    </w:tbl>
    <w:p w:rsidR="00580A3D" w:rsidRPr="0096004B" w:rsidRDefault="00580A3D" w:rsidP="00580A3D">
      <w:pPr>
        <w:rPr>
          <w:rFonts w:cs="Arial"/>
          <w:b/>
          <w:szCs w:val="20"/>
          <w:lang w:val="ru-RU"/>
        </w:rPr>
      </w:pPr>
    </w:p>
    <w:p w:rsidR="00580A3D" w:rsidRPr="0096004B" w:rsidRDefault="00580A3D" w:rsidP="00580A3D">
      <w:pPr>
        <w:rPr>
          <w:rFonts w:cs="Arial"/>
          <w:b/>
          <w:szCs w:val="20"/>
          <w:lang w:val="ru-RU"/>
        </w:rPr>
      </w:pPr>
    </w:p>
    <w:p w:rsidR="00580A3D" w:rsidRPr="0096004B" w:rsidRDefault="00580A3D" w:rsidP="00580A3D">
      <w:pPr>
        <w:keepNext/>
        <w:keepLines/>
        <w:rPr>
          <w:rFonts w:cs="Arial"/>
          <w:b/>
          <w:szCs w:val="20"/>
          <w:lang w:val="ru-RU"/>
        </w:rPr>
      </w:pPr>
      <w:r w:rsidRPr="0096004B">
        <w:rPr>
          <w:rFonts w:cs="Arial"/>
          <w:b/>
          <w:bCs/>
          <w:szCs w:val="20"/>
          <w:lang w:val="ru-RU"/>
        </w:rPr>
        <w:t>РЕСПУБЛИКА КОРЕЯ – ОБЕСПЕЧЕНИЕ УВАЖЕНИЯ ИНТЕЛЛЕКТУАЛЬНОЙ СОБСТВЕННОСТИ</w:t>
      </w:r>
    </w:p>
    <w:p w:rsidR="00580A3D" w:rsidRPr="0096004B" w:rsidRDefault="00580A3D" w:rsidP="00580A3D">
      <w:pPr>
        <w:keepNext/>
        <w:keepLines/>
        <w:rPr>
          <w:rFonts w:cs="Arial"/>
          <w:b/>
          <w:szCs w:val="16"/>
          <w:lang w:val="ru-RU"/>
        </w:rPr>
      </w:pPr>
    </w:p>
    <w:tbl>
      <w:tblPr>
        <w:tblW w:w="9811" w:type="dxa"/>
        <w:tblInd w:w="7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134"/>
        <w:gridCol w:w="1843"/>
        <w:gridCol w:w="4961"/>
      </w:tblGrid>
      <w:tr w:rsidR="00580A3D" w:rsidRPr="005C6ABD" w:rsidTr="00975156">
        <w:tc>
          <w:tcPr>
            <w:tcW w:w="9811"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spacing w:before="120" w:after="60"/>
              <w:ind w:left="1701" w:hanging="1701"/>
              <w:rPr>
                <w:rFonts w:cs="Arial"/>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trHeight w:val="438"/>
        </w:trPr>
        <w:tc>
          <w:tcPr>
            <w:tcW w:w="1873" w:type="dxa"/>
            <w:tcBorders>
              <w:top w:val="single" w:sz="4" w:space="0" w:color="000000"/>
              <w:bottom w:val="nil"/>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bottom w:val="nil"/>
            </w:tcBorders>
            <w:shd w:val="clear" w:color="auto" w:fill="auto"/>
            <w:tcMar>
              <w:top w:w="110" w:type="dxa"/>
            </w:tcMar>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Дата</w:t>
            </w:r>
          </w:p>
        </w:tc>
        <w:tc>
          <w:tcPr>
            <w:tcW w:w="1843" w:type="dxa"/>
            <w:tcBorders>
              <w:top w:val="single" w:sz="4" w:space="0" w:color="000000"/>
              <w:bottom w:val="nil"/>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961" w:type="dxa"/>
            <w:tcBorders>
              <w:top w:val="single" w:sz="4" w:space="0" w:color="000000"/>
              <w:bottom w:val="nil"/>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trHeight w:val="420"/>
        </w:trPr>
        <w:tc>
          <w:tcPr>
            <w:tcW w:w="1873" w:type="dxa"/>
            <w:tcBorders>
              <w:top w:val="nil"/>
              <w:bottom w:val="nil"/>
            </w:tcBorders>
          </w:tcPr>
          <w:p w:rsidR="00580A3D" w:rsidRPr="0096004B" w:rsidRDefault="00580A3D" w:rsidP="00975156">
            <w:pPr>
              <w:spacing w:before="60" w:after="60"/>
              <w:rPr>
                <w:rFonts w:cs="Arial"/>
                <w:bCs/>
                <w:sz w:val="16"/>
                <w:szCs w:val="16"/>
                <w:lang w:val="ru-RU"/>
              </w:rPr>
            </w:pPr>
            <w:r w:rsidRPr="0096004B">
              <w:rPr>
                <w:rFonts w:cs="Arial"/>
                <w:bCs/>
                <w:sz w:val="16"/>
                <w:szCs w:val="16"/>
                <w:lang w:val="ru-RU"/>
              </w:rPr>
              <w:t>Межрегиональный практикум «Защита авторских прав»</w:t>
            </w:r>
          </w:p>
        </w:tc>
        <w:tc>
          <w:tcPr>
            <w:tcW w:w="1134" w:type="dxa"/>
            <w:tcBorders>
              <w:top w:val="nil"/>
              <w:bottom w:val="nil"/>
            </w:tcBorders>
            <w:shd w:val="clear" w:color="auto" w:fill="auto"/>
            <w:tcMar>
              <w:top w:w="110" w:type="dxa"/>
            </w:tcMar>
          </w:tcPr>
          <w:p w:rsidR="00580A3D" w:rsidRPr="0096004B" w:rsidRDefault="00580A3D" w:rsidP="00975156">
            <w:pPr>
              <w:spacing w:before="60" w:after="60"/>
              <w:rPr>
                <w:rFonts w:cs="Arial"/>
                <w:bCs/>
                <w:sz w:val="16"/>
                <w:szCs w:val="16"/>
                <w:lang w:val="ru-RU"/>
              </w:rPr>
            </w:pPr>
            <w:r w:rsidRPr="0096004B">
              <w:rPr>
                <w:rFonts w:cs="Arial"/>
                <w:bCs/>
                <w:sz w:val="16"/>
                <w:szCs w:val="16"/>
                <w:lang w:val="ru-RU"/>
              </w:rPr>
              <w:t>14–18 сентября 2015 г.</w:t>
            </w:r>
          </w:p>
        </w:tc>
        <w:tc>
          <w:tcPr>
            <w:tcW w:w="1843" w:type="dxa"/>
            <w:tcBorders>
              <w:top w:val="nil"/>
              <w:bottom w:val="nil"/>
            </w:tcBorders>
            <w:shd w:val="clear" w:color="auto" w:fill="auto"/>
            <w:tcMar>
              <w:top w:w="110" w:type="dxa"/>
            </w:tcMar>
          </w:tcPr>
          <w:p w:rsidR="00580A3D" w:rsidRPr="0096004B" w:rsidRDefault="00580A3D" w:rsidP="00975156">
            <w:pPr>
              <w:spacing w:before="60" w:after="60"/>
              <w:rPr>
                <w:rFonts w:cs="Arial"/>
                <w:bCs/>
                <w:sz w:val="16"/>
                <w:szCs w:val="16"/>
                <w:lang w:val="ru-RU"/>
              </w:rPr>
            </w:pPr>
            <w:r w:rsidRPr="0096004B">
              <w:rPr>
                <w:rFonts w:cs="Arial"/>
                <w:bCs/>
                <w:sz w:val="16"/>
                <w:szCs w:val="16"/>
                <w:lang w:val="ru-RU"/>
              </w:rPr>
              <w:t>Республика Корея / 20 зарубежных участников из 10 стран</w:t>
            </w:r>
          </w:p>
        </w:tc>
        <w:tc>
          <w:tcPr>
            <w:tcW w:w="4961" w:type="dxa"/>
            <w:tcBorders>
              <w:top w:val="nil"/>
              <w:bottom w:val="nil"/>
            </w:tcBorders>
            <w:shd w:val="clear" w:color="auto" w:fill="FFFFFF"/>
            <w:tcMar>
              <w:top w:w="110" w:type="dxa"/>
            </w:tcMar>
          </w:tcPr>
          <w:p w:rsidR="00580A3D" w:rsidRPr="0096004B" w:rsidRDefault="00580A3D" w:rsidP="00975156">
            <w:pPr>
              <w:spacing w:before="60" w:after="60"/>
              <w:rPr>
                <w:rFonts w:cs="Arial"/>
                <w:bCs/>
                <w:sz w:val="16"/>
                <w:szCs w:val="16"/>
                <w:lang w:val="ru-RU"/>
              </w:rPr>
            </w:pPr>
            <w:r w:rsidRPr="0096004B">
              <w:rPr>
                <w:rFonts w:cs="Arial"/>
                <w:bCs/>
                <w:sz w:val="16"/>
                <w:szCs w:val="16"/>
                <w:lang w:val="ru-RU"/>
              </w:rPr>
              <w:t xml:space="preserve">В рамках достижения Стратегической цели VI ВОИС:  (i) обсуждение важности охраны и обеспечения соблюдения авторских и смежных прав (АСП) для социального, экономического и культурного развития стран-участниц;  (ii) проведение базового обучения средствам правоприменения и защиты АСП с уделением основного внимания цифровым технологиям;  (iii) обсуждение актуальных вопросов обеспечения уважения АСП;  и (iv) разработка национальных и транснациональных стратегий эффективного сотрудничества, направленного на обеспечение уважения прав ИС.  </w:t>
            </w:r>
          </w:p>
        </w:tc>
      </w:tr>
      <w:tr w:rsidR="00580A3D" w:rsidRPr="005C6ABD" w:rsidTr="00975156">
        <w:trPr>
          <w:trHeight w:val="340"/>
        </w:trPr>
        <w:tc>
          <w:tcPr>
            <w:tcW w:w="1873" w:type="dxa"/>
            <w:tcBorders>
              <w:top w:val="nil"/>
            </w:tcBorders>
          </w:tcPr>
          <w:p w:rsidR="00580A3D" w:rsidRPr="0096004B" w:rsidRDefault="00580A3D" w:rsidP="00975156">
            <w:pPr>
              <w:spacing w:before="60" w:after="60"/>
              <w:rPr>
                <w:rFonts w:eastAsia="Batang" w:cs="Arial"/>
                <w:sz w:val="16"/>
                <w:szCs w:val="16"/>
                <w:lang w:val="ru-RU" w:eastAsia="ko-KR"/>
              </w:rPr>
            </w:pPr>
            <w:r w:rsidRPr="0096004B">
              <w:rPr>
                <w:rFonts w:eastAsia="Batang" w:cs="Arial"/>
                <w:sz w:val="16"/>
                <w:szCs w:val="16"/>
                <w:lang w:val="ru-RU" w:eastAsia="ko-KR"/>
              </w:rPr>
              <w:t xml:space="preserve">ВОИС и Министерство культуры, спорта и туризма (MCST): </w:t>
            </w:r>
            <w:r w:rsidRPr="0096004B">
              <w:rPr>
                <w:rFonts w:cs="Arial"/>
                <w:sz w:val="16"/>
                <w:szCs w:val="16"/>
                <w:lang w:val="ru-RU" w:eastAsia="ko-KR"/>
              </w:rPr>
              <w:t>учебные материалы по обеспечению уважения авторского права</w:t>
            </w:r>
          </w:p>
        </w:tc>
        <w:tc>
          <w:tcPr>
            <w:tcW w:w="1134" w:type="dxa"/>
            <w:tcBorders>
              <w:top w:val="nil"/>
            </w:tcBorders>
            <w:shd w:val="clear" w:color="auto" w:fill="auto"/>
            <w:tcMar>
              <w:top w:w="110" w:type="dxa"/>
            </w:tcMar>
          </w:tcPr>
          <w:p w:rsidR="00580A3D" w:rsidRPr="0096004B" w:rsidRDefault="00580A3D" w:rsidP="00975156">
            <w:pPr>
              <w:spacing w:before="60" w:after="60"/>
              <w:rPr>
                <w:rFonts w:cs="Arial"/>
                <w:bCs/>
                <w:sz w:val="16"/>
                <w:szCs w:val="16"/>
                <w:lang w:val="ru-RU"/>
              </w:rPr>
            </w:pPr>
            <w:r w:rsidRPr="0096004B">
              <w:rPr>
                <w:rFonts w:cs="Arial"/>
                <w:bCs/>
                <w:sz w:val="16"/>
                <w:szCs w:val="16"/>
                <w:lang w:val="ru-RU"/>
              </w:rPr>
              <w:t>Январь – октябрь 2015 г.</w:t>
            </w:r>
          </w:p>
        </w:tc>
        <w:tc>
          <w:tcPr>
            <w:tcW w:w="1843" w:type="dxa"/>
            <w:tcBorders>
              <w:top w:val="nil"/>
            </w:tcBorders>
            <w:shd w:val="clear" w:color="auto" w:fill="auto"/>
            <w:tcMar>
              <w:top w:w="110" w:type="dxa"/>
            </w:tcMar>
          </w:tcPr>
          <w:p w:rsidR="00580A3D" w:rsidRPr="0096004B" w:rsidRDefault="00580A3D" w:rsidP="00975156">
            <w:pPr>
              <w:spacing w:before="60" w:after="60"/>
              <w:rPr>
                <w:rFonts w:cs="Arial"/>
                <w:bCs/>
                <w:kern w:val="36"/>
                <w:sz w:val="16"/>
                <w:szCs w:val="16"/>
                <w:lang w:val="ru-RU" w:eastAsia="ko-KR"/>
              </w:rPr>
            </w:pPr>
            <w:r w:rsidRPr="0096004B">
              <w:rPr>
                <w:rFonts w:cs="Arial"/>
                <w:bCs/>
                <w:kern w:val="36"/>
                <w:sz w:val="16"/>
                <w:szCs w:val="16"/>
                <w:lang w:val="ru-RU" w:eastAsia="ko-KR"/>
              </w:rPr>
              <w:t>Все государства-члены ВОИС</w:t>
            </w:r>
          </w:p>
        </w:tc>
        <w:tc>
          <w:tcPr>
            <w:tcW w:w="4961" w:type="dxa"/>
            <w:tcBorders>
              <w:top w:val="nil"/>
            </w:tcBorders>
            <w:shd w:val="clear" w:color="auto" w:fill="FFFFFF"/>
            <w:tcMar>
              <w:top w:w="110" w:type="dxa"/>
            </w:tcMar>
          </w:tcPr>
          <w:p w:rsidR="00580A3D" w:rsidRPr="0096004B" w:rsidRDefault="00580A3D" w:rsidP="00975156">
            <w:pPr>
              <w:spacing w:before="60" w:after="60"/>
              <w:rPr>
                <w:rFonts w:cs="Arial"/>
                <w:sz w:val="16"/>
                <w:szCs w:val="16"/>
                <w:lang w:val="ru-RU" w:eastAsia="ko-KR"/>
              </w:rPr>
            </w:pPr>
            <w:r w:rsidRPr="0096004B">
              <w:rPr>
                <w:rFonts w:cs="Arial"/>
                <w:sz w:val="16"/>
                <w:szCs w:val="16"/>
                <w:lang w:val="ru-RU" w:eastAsia="ko-KR"/>
              </w:rPr>
              <w:t>Разработка инструмента информационно-просветительской работы, помогающего</w:t>
            </w:r>
            <w:r w:rsidRPr="0096004B">
              <w:rPr>
                <w:rFonts w:eastAsia="Calibri" w:cs="Arial"/>
                <w:sz w:val="16"/>
                <w:szCs w:val="16"/>
                <w:lang w:val="ru-RU"/>
              </w:rPr>
              <w:t xml:space="preserve"> учителям обучать детей основам авторского права и состоящего из пяти комплексов планов уроков для учеников в возрасте от 10 до 15 лет</w:t>
            </w:r>
          </w:p>
        </w:tc>
      </w:tr>
    </w:tbl>
    <w:p w:rsidR="00580A3D" w:rsidRPr="0096004B" w:rsidRDefault="00580A3D" w:rsidP="00580A3D">
      <w:pPr>
        <w:rPr>
          <w:rFonts w:cs="Arial"/>
          <w:szCs w:val="16"/>
          <w:lang w:val="ru-RU"/>
        </w:rPr>
      </w:pPr>
    </w:p>
    <w:p w:rsidR="00580A3D" w:rsidRPr="0096004B" w:rsidRDefault="00580A3D" w:rsidP="00580A3D">
      <w:pPr>
        <w:rPr>
          <w:rFonts w:cs="Arial"/>
          <w:szCs w:val="16"/>
          <w:lang w:val="ru-RU"/>
        </w:rPr>
      </w:pPr>
    </w:p>
    <w:p w:rsidR="00580A3D" w:rsidRPr="0096004B" w:rsidRDefault="00580A3D" w:rsidP="00580A3D">
      <w:pPr>
        <w:rPr>
          <w:rFonts w:cs="Arial"/>
          <w:b/>
          <w:bCs/>
          <w:color w:val="000000"/>
          <w:szCs w:val="20"/>
          <w:lang w:val="ru-RU"/>
        </w:rPr>
      </w:pPr>
      <w:r w:rsidRPr="0096004B">
        <w:rPr>
          <w:rFonts w:cs="Arial"/>
          <w:b/>
          <w:bCs/>
          <w:szCs w:val="20"/>
          <w:lang w:val="ru-RU"/>
        </w:rPr>
        <w:t>РЕСПУБЛИКА КОРЕЯ –  ОБЕСПЕЧЕНИЕ УВАЖЕНИЯ ИНТЕЛЛЕКТУАЛЬНОЙ СОБСТВЕННОСТИ: взносы доноров и расходы в 2015 г.</w:t>
      </w:r>
    </w:p>
    <w:p w:rsidR="00580A3D" w:rsidRPr="0096004B" w:rsidRDefault="00580A3D" w:rsidP="00580A3D">
      <w:pPr>
        <w:rPr>
          <w:rFonts w:cs="Arial"/>
          <w:b/>
          <w:bCs/>
          <w:color w:val="000000"/>
          <w:szCs w:val="20"/>
          <w:lang w:val="ru-RU"/>
        </w:rPr>
      </w:pPr>
    </w:p>
    <w:tbl>
      <w:tblPr>
        <w:tblW w:w="9791" w:type="dxa"/>
        <w:tblInd w:w="98" w:type="dxa"/>
        <w:tblLook w:val="04A0" w:firstRow="1" w:lastRow="0" w:firstColumn="1" w:lastColumn="0" w:noHBand="0" w:noVBand="1"/>
      </w:tblPr>
      <w:tblGrid>
        <w:gridCol w:w="2040"/>
        <w:gridCol w:w="1640"/>
        <w:gridCol w:w="1860"/>
        <w:gridCol w:w="1780"/>
        <w:gridCol w:w="2471"/>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1"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42 310</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122 960</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114 795</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1"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50 475</w:t>
            </w:r>
          </w:p>
        </w:tc>
      </w:tr>
    </w:tbl>
    <w:p w:rsidR="00580A3D" w:rsidRPr="0096004B" w:rsidRDefault="00580A3D" w:rsidP="00580A3D">
      <w:pPr>
        <w:keepNext/>
        <w:keepLines/>
        <w:rPr>
          <w:rFonts w:cs="Arial"/>
          <w:b/>
          <w:szCs w:val="16"/>
          <w:lang w:val="ru-RU"/>
        </w:rPr>
      </w:pPr>
    </w:p>
    <w:p w:rsidR="00580A3D" w:rsidRPr="0096004B" w:rsidRDefault="00580A3D" w:rsidP="00580A3D">
      <w:pPr>
        <w:rPr>
          <w:sz w:val="24"/>
          <w:lang w:val="ru-RU"/>
        </w:rPr>
      </w:pPr>
    </w:p>
    <w:p w:rsidR="00580A3D" w:rsidRPr="0096004B" w:rsidRDefault="00580A3D" w:rsidP="00580A3D">
      <w:pPr>
        <w:keepNext/>
        <w:keepLines/>
        <w:rPr>
          <w:rFonts w:cs="Arial"/>
          <w:b/>
          <w:szCs w:val="20"/>
          <w:lang w:val="ru-RU"/>
        </w:rPr>
      </w:pPr>
      <w:r w:rsidRPr="0096004B">
        <w:rPr>
          <w:rFonts w:cs="Arial"/>
          <w:b/>
          <w:bCs/>
          <w:szCs w:val="20"/>
          <w:lang w:val="ru-RU"/>
        </w:rPr>
        <w:t>РЕСПУБЛИКА КОРЕЯ – АВТОРСКОЕ ПРАВО</w:t>
      </w:r>
    </w:p>
    <w:p w:rsidR="00580A3D" w:rsidRPr="0096004B" w:rsidRDefault="00580A3D" w:rsidP="00580A3D">
      <w:pPr>
        <w:keepNext/>
        <w:keepLines/>
        <w:rPr>
          <w:rFonts w:cs="Arial"/>
          <w:b/>
          <w:szCs w:val="16"/>
          <w:lang w:val="ru-RU"/>
        </w:rPr>
      </w:pPr>
    </w:p>
    <w:tbl>
      <w:tblPr>
        <w:tblW w:w="9811" w:type="dxa"/>
        <w:tblInd w:w="7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134"/>
        <w:gridCol w:w="1985"/>
        <w:gridCol w:w="4819"/>
      </w:tblGrid>
      <w:tr w:rsidR="00580A3D" w:rsidRPr="005C6ABD" w:rsidTr="00975156">
        <w:trPr>
          <w:trHeight w:val="755"/>
        </w:trPr>
        <w:tc>
          <w:tcPr>
            <w:tcW w:w="9811"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spacing w:before="120" w:after="60"/>
              <w:ind w:left="1701" w:hanging="1701"/>
              <w:rPr>
                <w:rFonts w:cs="Arial"/>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trHeight w:val="457"/>
        </w:trPr>
        <w:tc>
          <w:tcPr>
            <w:tcW w:w="187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Дата</w:t>
            </w:r>
          </w:p>
        </w:tc>
        <w:tc>
          <w:tcPr>
            <w:tcW w:w="1985" w:type="dxa"/>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000000"/>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trHeight w:val="670"/>
        </w:trPr>
        <w:tc>
          <w:tcPr>
            <w:tcW w:w="187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Национальный практикум по авторскому праву и смежным правам</w:t>
            </w:r>
          </w:p>
        </w:tc>
        <w:tc>
          <w:tcPr>
            <w:tcW w:w="1134"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31 августа – 1 сентября 2015 г.</w:t>
            </w:r>
          </w:p>
        </w:tc>
        <w:tc>
          <w:tcPr>
            <w:tcW w:w="1985"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Камбоджа / примерно 100 местных участников</w:t>
            </w:r>
          </w:p>
        </w:tc>
        <w:tc>
          <w:tcPr>
            <w:tcW w:w="4819" w:type="dxa"/>
            <w:shd w:val="clear" w:color="auto" w:fill="FFFFFF"/>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sz w:val="16"/>
                <w:szCs w:val="16"/>
                <w:lang w:val="ru-RU"/>
              </w:rPr>
              <w:t>Повышение осведомленности сотрудников директивных органов и ключевых партнеров о важности авторского права и смежных прав.</w:t>
            </w:r>
          </w:p>
        </w:tc>
      </w:tr>
      <w:tr w:rsidR="00580A3D" w:rsidRPr="005C6ABD" w:rsidTr="00975156">
        <w:trPr>
          <w:trHeight w:val="820"/>
        </w:trPr>
        <w:tc>
          <w:tcPr>
            <w:tcW w:w="1873" w:type="dxa"/>
          </w:tcPr>
          <w:p w:rsidR="00580A3D" w:rsidRPr="0096004B" w:rsidRDefault="00580A3D" w:rsidP="00975156">
            <w:pPr>
              <w:keepNext/>
              <w:keepLines/>
              <w:spacing w:before="60" w:after="60"/>
              <w:rPr>
                <w:rFonts w:cs="Arial"/>
                <w:b/>
                <w:bCs/>
                <w:sz w:val="16"/>
                <w:szCs w:val="16"/>
                <w:lang w:val="ru-RU"/>
              </w:rPr>
            </w:pPr>
            <w:r w:rsidRPr="0096004B">
              <w:rPr>
                <w:rFonts w:cs="Arial"/>
                <w:color w:val="000000"/>
                <w:sz w:val="16"/>
                <w:szCs w:val="16"/>
                <w:lang w:val="ru-RU"/>
              </w:rPr>
              <w:t xml:space="preserve">Национальный проект по информированию общественности по вопросам авторского права и смежных прав </w:t>
            </w:r>
          </w:p>
        </w:tc>
        <w:tc>
          <w:tcPr>
            <w:tcW w:w="1134" w:type="dxa"/>
            <w:shd w:val="clear" w:color="auto" w:fill="auto"/>
            <w:tcMar>
              <w:top w:w="110" w:type="dxa"/>
            </w:tcMar>
          </w:tcPr>
          <w:p w:rsidR="00580A3D" w:rsidRPr="0096004B" w:rsidRDefault="00580A3D" w:rsidP="00975156">
            <w:pPr>
              <w:keepNext/>
              <w:keepLines/>
              <w:spacing w:before="60" w:after="60"/>
              <w:rPr>
                <w:rFonts w:cs="Arial"/>
                <w:sz w:val="16"/>
                <w:szCs w:val="16"/>
                <w:lang w:val="ru-RU"/>
              </w:rPr>
            </w:pPr>
            <w:r w:rsidRPr="0096004B">
              <w:rPr>
                <w:rFonts w:cs="Arial"/>
                <w:sz w:val="16"/>
                <w:szCs w:val="16"/>
                <w:lang w:val="ru-RU"/>
              </w:rPr>
              <w:t>Февраль – июнь 2015 г.</w:t>
            </w:r>
          </w:p>
        </w:tc>
        <w:tc>
          <w:tcPr>
            <w:tcW w:w="1985" w:type="dxa"/>
            <w:shd w:val="clear" w:color="auto" w:fill="auto"/>
            <w:tcMar>
              <w:top w:w="110" w:type="dxa"/>
            </w:tcMar>
          </w:tcPr>
          <w:p w:rsidR="00580A3D" w:rsidRPr="0096004B" w:rsidRDefault="00580A3D" w:rsidP="00975156">
            <w:pPr>
              <w:keepNext/>
              <w:keepLines/>
              <w:spacing w:before="60" w:after="60"/>
              <w:rPr>
                <w:rFonts w:cs="Arial"/>
                <w:sz w:val="16"/>
                <w:szCs w:val="16"/>
                <w:lang w:val="ru-RU"/>
              </w:rPr>
            </w:pPr>
            <w:r w:rsidRPr="0096004B">
              <w:rPr>
                <w:rFonts w:cs="Arial"/>
                <w:sz w:val="16"/>
                <w:szCs w:val="16"/>
                <w:lang w:val="ru-RU"/>
              </w:rPr>
              <w:t>Малави / примерно 350 местных участников в пяти программах</w:t>
            </w:r>
          </w:p>
        </w:tc>
        <w:tc>
          <w:tcPr>
            <w:tcW w:w="4819" w:type="dxa"/>
            <w:shd w:val="clear" w:color="auto" w:fill="FFFFFF"/>
            <w:tcMar>
              <w:top w:w="110" w:type="dxa"/>
            </w:tcMar>
          </w:tcPr>
          <w:p w:rsidR="00580A3D" w:rsidRPr="0096004B" w:rsidRDefault="00580A3D" w:rsidP="00975156">
            <w:pPr>
              <w:spacing w:before="60" w:after="60"/>
              <w:rPr>
                <w:rFonts w:cs="Arial"/>
                <w:sz w:val="16"/>
                <w:szCs w:val="16"/>
                <w:lang w:val="ru-RU"/>
              </w:rPr>
            </w:pPr>
            <w:r w:rsidRPr="0096004B">
              <w:rPr>
                <w:rFonts w:cs="Arial"/>
                <w:sz w:val="16"/>
                <w:szCs w:val="16"/>
                <w:lang w:val="ru-RU"/>
              </w:rPr>
              <w:t>Помощь Малави в работе по созданию жизнеспособной инфраструктуры авторского права и укреплению национального потенциала для осуществления информационно-просветительских программ в области авторского права и смежных прав.</w:t>
            </w:r>
          </w:p>
        </w:tc>
      </w:tr>
      <w:tr w:rsidR="00580A3D" w:rsidRPr="005C6ABD" w:rsidTr="00975156">
        <w:trPr>
          <w:trHeight w:val="842"/>
        </w:trPr>
        <w:tc>
          <w:tcPr>
            <w:tcW w:w="187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Проект «Консорциум доступных книг (АВС)» </w:t>
            </w:r>
          </w:p>
        </w:tc>
        <w:tc>
          <w:tcPr>
            <w:tcW w:w="1134"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 января – 31 июля 2015 г.</w:t>
            </w:r>
            <w:r w:rsidRPr="0096004B">
              <w:rPr>
                <w:rStyle w:val="FootnoteReference"/>
                <w:rFonts w:cs="Arial"/>
                <w:color w:val="000000"/>
                <w:sz w:val="16"/>
                <w:szCs w:val="16"/>
                <w:lang w:val="ru-RU"/>
              </w:rPr>
              <w:footnoteReference w:id="159"/>
            </w:r>
          </w:p>
        </w:tc>
        <w:tc>
          <w:tcPr>
            <w:tcW w:w="1985"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Индия </w:t>
            </w:r>
          </w:p>
        </w:tc>
        <w:tc>
          <w:tcPr>
            <w:tcW w:w="4819" w:type="dxa"/>
            <w:shd w:val="clear" w:color="auto" w:fill="FFFFFF"/>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Ликвидация «книжного голода» среди старшеклассников с ограниченной способностью воспринимать печатную информацию в штатах Мадхья-Прадеш, Бихар и Раджастхан (Индия);  и (ii) создание возможностей у государственных издательств учебной литературы создавать книги сразу в доступном формате.</w:t>
            </w:r>
          </w:p>
        </w:tc>
      </w:tr>
      <w:tr w:rsidR="00580A3D" w:rsidRPr="005C6ABD" w:rsidTr="00975156">
        <w:trPr>
          <w:trHeight w:val="912"/>
        </w:trPr>
        <w:tc>
          <w:tcPr>
            <w:tcW w:w="187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Национальный проект по переводу и изданию материалов </w:t>
            </w:r>
          </w:p>
        </w:tc>
        <w:tc>
          <w:tcPr>
            <w:tcW w:w="1134"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r w:rsidRPr="0096004B">
              <w:rPr>
                <w:rStyle w:val="FootnoteReference"/>
                <w:rFonts w:cs="Arial"/>
                <w:color w:val="000000"/>
                <w:sz w:val="16"/>
                <w:szCs w:val="16"/>
                <w:lang w:val="ru-RU"/>
              </w:rPr>
              <w:footnoteReference w:id="160"/>
            </w:r>
          </w:p>
          <w:p w:rsidR="00580A3D" w:rsidRPr="0096004B" w:rsidRDefault="00580A3D" w:rsidP="00975156">
            <w:pPr>
              <w:autoSpaceDE w:val="0"/>
              <w:autoSpaceDN w:val="0"/>
              <w:adjustRightInd w:val="0"/>
              <w:spacing w:before="60" w:after="60"/>
              <w:rPr>
                <w:rFonts w:cs="Arial"/>
                <w:color w:val="000000"/>
                <w:sz w:val="16"/>
                <w:szCs w:val="16"/>
                <w:lang w:val="ru-RU"/>
              </w:rPr>
            </w:pP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(проект продолжа</w:t>
            </w:r>
            <w:r>
              <w:rPr>
                <w:rFonts w:cs="Arial"/>
                <w:color w:val="000000"/>
                <w:sz w:val="16"/>
                <w:szCs w:val="16"/>
                <w:lang w:val="ru-RU"/>
              </w:rPr>
              <w:softHyphen/>
            </w:r>
            <w:r w:rsidRPr="0096004B">
              <w:rPr>
                <w:rFonts w:cs="Arial"/>
                <w:color w:val="000000"/>
                <w:sz w:val="16"/>
                <w:szCs w:val="16"/>
                <w:lang w:val="ru-RU"/>
              </w:rPr>
              <w:t>ется)</w:t>
            </w:r>
          </w:p>
        </w:tc>
        <w:tc>
          <w:tcPr>
            <w:tcW w:w="1985"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Тонга </w:t>
            </w:r>
          </w:p>
        </w:tc>
        <w:tc>
          <w:tcPr>
            <w:tcW w:w="4819" w:type="dxa"/>
            <w:shd w:val="clear" w:color="auto" w:fill="FFFFFF"/>
            <w:tcMar>
              <w:top w:w="110" w:type="dxa"/>
            </w:tcMar>
          </w:tcPr>
          <w:p w:rsidR="00580A3D" w:rsidRPr="0096004B" w:rsidRDefault="00580A3D" w:rsidP="00975156">
            <w:pPr>
              <w:pStyle w:val="ListParagraph"/>
              <w:tabs>
                <w:tab w:val="center" w:pos="4536"/>
                <w:tab w:val="right" w:pos="9072"/>
              </w:tabs>
              <w:spacing w:before="60" w:after="60"/>
              <w:ind w:left="0"/>
              <w:rPr>
                <w:rFonts w:eastAsia="Batang" w:cs="Arial"/>
                <w:sz w:val="16"/>
                <w:szCs w:val="16"/>
                <w:lang w:val="ru-RU"/>
              </w:rPr>
            </w:pPr>
            <w:r w:rsidRPr="0096004B">
              <w:rPr>
                <w:rFonts w:cs="Arial"/>
                <w:sz w:val="16"/>
                <w:szCs w:val="16"/>
                <w:lang w:val="ru-RU"/>
              </w:rPr>
              <w:t>Укрепление возможностей ВИС по реализации информационно-просветительских программ для создания условий, способствующих эффективному использованию и охране авторского права и смежных прав.</w:t>
            </w:r>
          </w:p>
        </w:tc>
      </w:tr>
      <w:tr w:rsidR="00580A3D" w:rsidRPr="005C6ABD" w:rsidTr="00975156">
        <w:tc>
          <w:tcPr>
            <w:tcW w:w="9811"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tabs>
                <w:tab w:val="left" w:pos="1740"/>
              </w:tabs>
              <w:spacing w:before="120" w:after="120"/>
              <w:ind w:left="1701" w:hanging="1701"/>
              <w:rPr>
                <w:rFonts w:cs="Arial"/>
                <w:bCs/>
                <w:color w:val="000000"/>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IV.4. Совершенствование технической инфраструктуры и инфраструктуры знаний для ведомств ИС и других учреждений ИС, ведущее к предоставлению улучшенных услуг (более дешевых, более быстрых, более качественных) их заинтересованным сторонам</w:t>
            </w:r>
          </w:p>
        </w:tc>
      </w:tr>
      <w:tr w:rsidR="00580A3D" w:rsidRPr="0096004B" w:rsidTr="00975156">
        <w:tc>
          <w:tcPr>
            <w:tcW w:w="187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985" w:type="dxa"/>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819" w:type="dxa"/>
            <w:tcBorders>
              <w:top w:val="single" w:sz="4" w:space="0" w:color="000000"/>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trHeight w:val="1063"/>
        </w:trPr>
        <w:tc>
          <w:tcPr>
            <w:tcW w:w="187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Межрегиональный практикум для руководителей ведомств по охране авторских прав для укрепления потенциала в области авторского права</w:t>
            </w:r>
          </w:p>
        </w:tc>
        <w:tc>
          <w:tcPr>
            <w:tcW w:w="1134"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3–5 февраля 2015 г.</w:t>
            </w:r>
          </w:p>
        </w:tc>
        <w:tc>
          <w:tcPr>
            <w:tcW w:w="1985"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Республика Корея / 27 участников из Китая, Эквадора, Кении, Ливана, Малави, Мексики, Монголии, Парагвая, Филиппин, Катара, Саудовской Аравии, Таиланда, Вьетнам и АРОИС</w:t>
            </w:r>
          </w:p>
        </w:tc>
        <w:tc>
          <w:tcPr>
            <w:tcW w:w="4819" w:type="dxa"/>
            <w:shd w:val="clear" w:color="auto" w:fill="FFFFFF"/>
            <w:tcMar>
              <w:top w:w="110" w:type="dxa"/>
            </w:tcMar>
          </w:tcPr>
          <w:p w:rsidR="00580A3D" w:rsidRPr="0096004B" w:rsidRDefault="00580A3D" w:rsidP="00975156">
            <w:pPr>
              <w:pStyle w:val="Header"/>
              <w:spacing w:before="60" w:after="60"/>
              <w:rPr>
                <w:rFonts w:cs="Arial"/>
                <w:kern w:val="2"/>
                <w:sz w:val="16"/>
                <w:szCs w:val="16"/>
                <w:lang w:val="ru-RU" w:eastAsia="ko-KR"/>
              </w:rPr>
            </w:pPr>
            <w:r w:rsidRPr="0096004B">
              <w:rPr>
                <w:rFonts w:cs="Arial"/>
                <w:kern w:val="2"/>
                <w:sz w:val="16"/>
                <w:szCs w:val="16"/>
                <w:lang w:val="ru-RU" w:eastAsia="ko-KR"/>
              </w:rPr>
              <w:t xml:space="preserve">Актуализация знаний и обмен опытом укрепления потенциала в области авторского права, обмен мнениями и методиками в отношении различных программ укрепления потенциала в области авторского права и обсуждение возможностей расширения таких программ на национальном, региональном и международном уровнях. </w:t>
            </w:r>
          </w:p>
        </w:tc>
      </w:tr>
      <w:tr w:rsidR="00580A3D" w:rsidRPr="005C6ABD" w:rsidTr="00975156">
        <w:trPr>
          <w:trHeight w:val="670"/>
        </w:trPr>
        <w:tc>
          <w:tcPr>
            <w:tcW w:w="187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Субрегиональный практикум по вопросам сотрудничества в области авторских и смежных прав</w:t>
            </w:r>
          </w:p>
        </w:tc>
        <w:tc>
          <w:tcPr>
            <w:tcW w:w="1134"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18–20 июня 2015 г.</w:t>
            </w:r>
          </w:p>
        </w:tc>
        <w:tc>
          <w:tcPr>
            <w:tcW w:w="1985"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Монголия / 15 участников из Китая, Монголии, Республики Корея и России</w:t>
            </w:r>
          </w:p>
        </w:tc>
        <w:tc>
          <w:tcPr>
            <w:tcW w:w="4819" w:type="dxa"/>
            <w:shd w:val="clear" w:color="auto" w:fill="FFFFFF"/>
            <w:tcMar>
              <w:top w:w="110" w:type="dxa"/>
            </w:tcMar>
          </w:tcPr>
          <w:p w:rsidR="00580A3D" w:rsidRPr="0096004B" w:rsidRDefault="00580A3D" w:rsidP="00975156">
            <w:pPr>
              <w:spacing w:before="60" w:after="60"/>
              <w:rPr>
                <w:rFonts w:cs="Arial"/>
                <w:sz w:val="16"/>
                <w:szCs w:val="16"/>
                <w:lang w:val="ru-RU" w:eastAsia="ko-KR"/>
              </w:rPr>
            </w:pPr>
            <w:r w:rsidRPr="0096004B">
              <w:rPr>
                <w:rFonts w:cs="Arial"/>
                <w:sz w:val="16"/>
                <w:szCs w:val="16"/>
                <w:lang w:val="ru-RU" w:eastAsia="ko-KR"/>
              </w:rPr>
              <w:t xml:space="preserve">Обмен информацией и опытом между странами-участницами в отношении развития системы авторского права и поиск дополнительных возможностей для расширения сотрудничества между этими странами в области авторского права и смежных прав. </w:t>
            </w:r>
          </w:p>
        </w:tc>
      </w:tr>
      <w:tr w:rsidR="00580A3D" w:rsidRPr="005C6ABD" w:rsidTr="00975156">
        <w:trPr>
          <w:trHeight w:val="883"/>
        </w:trPr>
        <w:tc>
          <w:tcPr>
            <w:tcW w:w="187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Субрегиональный практикум по вопросам авторского права и смежных прав</w:t>
            </w:r>
          </w:p>
        </w:tc>
        <w:tc>
          <w:tcPr>
            <w:tcW w:w="1134"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2–4 сентября 2015 г.</w:t>
            </w:r>
          </w:p>
        </w:tc>
        <w:tc>
          <w:tcPr>
            <w:tcW w:w="1985"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Камбоджа / 15 участников из Камбоджи, Лаосской Народно-Демократической Республики, Мьянмы, Таиланда и Вьетнама</w:t>
            </w:r>
          </w:p>
        </w:tc>
        <w:tc>
          <w:tcPr>
            <w:tcW w:w="4819" w:type="dxa"/>
            <w:shd w:val="clear" w:color="auto" w:fill="FFFFFF"/>
            <w:tcMar>
              <w:top w:w="110" w:type="dxa"/>
            </w:tcMar>
          </w:tcPr>
          <w:p w:rsidR="00580A3D" w:rsidRPr="0096004B" w:rsidRDefault="00580A3D" w:rsidP="00975156">
            <w:pPr>
              <w:spacing w:before="60" w:after="60"/>
              <w:rPr>
                <w:rFonts w:cs="Arial"/>
                <w:sz w:val="16"/>
                <w:szCs w:val="16"/>
                <w:lang w:val="ru-RU" w:eastAsia="ko-KR"/>
              </w:rPr>
            </w:pPr>
            <w:r w:rsidRPr="0096004B">
              <w:rPr>
                <w:rFonts w:cs="Arial"/>
                <w:sz w:val="16"/>
                <w:szCs w:val="16"/>
                <w:lang w:val="ru-RU" w:eastAsia="ko-KR"/>
              </w:rPr>
              <w:t xml:space="preserve">Обмен информацией и опытом между странами-участницами в отношении развития политики и систем охраны авторского права с особым акцентом на укреплении потенциала. </w:t>
            </w:r>
          </w:p>
        </w:tc>
      </w:tr>
      <w:tr w:rsidR="00580A3D" w:rsidRPr="005C6ABD" w:rsidTr="00975156">
        <w:trPr>
          <w:trHeight w:val="1330"/>
        </w:trPr>
        <w:tc>
          <w:tcPr>
            <w:tcW w:w="187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Ознакомительный визит в Корейскую комиссию по авторскому праву</w:t>
            </w:r>
          </w:p>
        </w:tc>
        <w:tc>
          <w:tcPr>
            <w:tcW w:w="1134"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2–6 ноября 2015 г.</w:t>
            </w:r>
          </w:p>
        </w:tc>
        <w:tc>
          <w:tcPr>
            <w:tcW w:w="1985"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Республика Корея / 13 участников из Камбоджи, Китая, Островов Кука, Коста-Рики, Кот-д’Ивуара, Сальвадора, Ганы, Гондураса, Индии, Филиппин, Тонги, Туниса и Объединенной Республики Танзания</w:t>
            </w:r>
          </w:p>
        </w:tc>
        <w:tc>
          <w:tcPr>
            <w:tcW w:w="4819" w:type="dxa"/>
            <w:shd w:val="clear" w:color="auto" w:fill="FFFFFF"/>
            <w:tcMar>
              <w:top w:w="110" w:type="dxa"/>
            </w:tcMar>
          </w:tcPr>
          <w:p w:rsidR="00580A3D" w:rsidRPr="0096004B" w:rsidRDefault="00580A3D" w:rsidP="00975156">
            <w:pPr>
              <w:spacing w:before="60" w:after="60"/>
              <w:rPr>
                <w:rFonts w:cs="Arial"/>
                <w:color w:val="000000"/>
                <w:sz w:val="16"/>
                <w:szCs w:val="16"/>
                <w:lang w:val="ru-RU"/>
              </w:rPr>
            </w:pPr>
            <w:r w:rsidRPr="0096004B">
              <w:rPr>
                <w:rFonts w:cs="Arial"/>
                <w:sz w:val="16"/>
                <w:szCs w:val="16"/>
                <w:lang w:val="ru-RU"/>
              </w:rPr>
              <w:t xml:space="preserve">Информирование об опыте Кореи в управлении авторскими и смежными правами для усиления возможностей участников по разработке политики охраны авторского права, модернизации законодательной и административной базы и улучшения функционирования организаций по управлению авторскими правами в соответствующих странах. </w:t>
            </w:r>
          </w:p>
        </w:tc>
      </w:tr>
    </w:tbl>
    <w:p w:rsidR="00580A3D" w:rsidRPr="0096004B" w:rsidRDefault="00580A3D" w:rsidP="00580A3D">
      <w:pPr>
        <w:keepNext/>
        <w:keepLines/>
        <w:rPr>
          <w:rFonts w:cs="Arial"/>
          <w:b/>
          <w:szCs w:val="16"/>
          <w:lang w:val="ru-RU"/>
        </w:rPr>
      </w:pPr>
    </w:p>
    <w:p w:rsidR="00580A3D" w:rsidRPr="0096004B" w:rsidRDefault="00580A3D" w:rsidP="00580A3D">
      <w:pPr>
        <w:keepNext/>
        <w:keepLines/>
        <w:rPr>
          <w:rFonts w:cs="Arial"/>
          <w:b/>
          <w:szCs w:val="16"/>
          <w:lang w:val="ru-RU"/>
        </w:rPr>
      </w:pPr>
    </w:p>
    <w:p w:rsidR="00580A3D" w:rsidRPr="0096004B" w:rsidRDefault="00580A3D" w:rsidP="00580A3D">
      <w:pPr>
        <w:rPr>
          <w:rFonts w:cs="Arial"/>
          <w:b/>
          <w:bCs/>
          <w:color w:val="000000"/>
          <w:szCs w:val="20"/>
          <w:lang w:val="ru-RU"/>
        </w:rPr>
      </w:pPr>
      <w:r w:rsidRPr="0096004B">
        <w:rPr>
          <w:rFonts w:cs="Arial"/>
          <w:b/>
          <w:bCs/>
          <w:szCs w:val="20"/>
          <w:lang w:val="ru-RU"/>
        </w:rPr>
        <w:t>РЕСПУБЛИКА КОРЕЯ – АВТОРСКОЕ ПРАВО: взносы доноров и расходы в 2015 г.</w:t>
      </w:r>
    </w:p>
    <w:p w:rsidR="00580A3D" w:rsidRPr="0096004B" w:rsidRDefault="00580A3D" w:rsidP="00580A3D">
      <w:pPr>
        <w:rPr>
          <w:rFonts w:cs="Arial"/>
          <w:b/>
          <w:bCs/>
          <w:color w:val="000000"/>
          <w:szCs w:val="20"/>
          <w:lang w:val="ru-RU"/>
        </w:rPr>
      </w:pPr>
    </w:p>
    <w:tbl>
      <w:tblPr>
        <w:tblW w:w="9792" w:type="dxa"/>
        <w:tblInd w:w="98" w:type="dxa"/>
        <w:tblLook w:val="04A0" w:firstRow="1" w:lastRow="0" w:firstColumn="1" w:lastColumn="0" w:noHBand="0" w:noVBand="1"/>
      </w:tblPr>
      <w:tblGrid>
        <w:gridCol w:w="2040"/>
        <w:gridCol w:w="1640"/>
        <w:gridCol w:w="1860"/>
        <w:gridCol w:w="1780"/>
        <w:gridCol w:w="2472"/>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2"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579 780</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310 768</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360 896</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2"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529 652</w:t>
            </w:r>
          </w:p>
        </w:tc>
      </w:tr>
    </w:tbl>
    <w:p w:rsidR="00580A3D" w:rsidRPr="0096004B" w:rsidRDefault="00580A3D" w:rsidP="00580A3D">
      <w:pPr>
        <w:rPr>
          <w:lang w:val="ru-RU"/>
        </w:rPr>
      </w:pPr>
    </w:p>
    <w:p w:rsidR="00580A3D" w:rsidRPr="0096004B" w:rsidRDefault="00580A3D" w:rsidP="00580A3D">
      <w:pPr>
        <w:rPr>
          <w:rFonts w:cs="Arial"/>
          <w:b/>
          <w:szCs w:val="20"/>
          <w:lang w:val="ru-RU"/>
        </w:rPr>
      </w:pPr>
      <w:r w:rsidRPr="0096004B">
        <w:rPr>
          <w:rFonts w:cs="Arial"/>
          <w:b/>
          <w:bCs/>
          <w:szCs w:val="20"/>
          <w:lang w:val="ru-RU"/>
        </w:rPr>
        <w:t>РЕСПУБЛИКА КОРЕЯ (ОБРАЗОВАНИЕ) – Стипендии для прохождения обучения по вопросам ИС (Академия ВОИС)</w:t>
      </w:r>
    </w:p>
    <w:p w:rsidR="00580A3D" w:rsidRPr="0096004B" w:rsidRDefault="00580A3D" w:rsidP="00580A3D">
      <w:pPr>
        <w:rPr>
          <w:rFonts w:cs="Arial"/>
          <w:b/>
          <w:szCs w:val="16"/>
          <w:lang w:val="ru-RU"/>
        </w:rPr>
      </w:pPr>
    </w:p>
    <w:tbl>
      <w:tblPr>
        <w:tblW w:w="9781"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43"/>
        <w:gridCol w:w="1134"/>
        <w:gridCol w:w="2333"/>
        <w:gridCol w:w="4471"/>
      </w:tblGrid>
      <w:tr w:rsidR="00580A3D" w:rsidRPr="005C6ABD" w:rsidTr="00975156">
        <w:tc>
          <w:tcPr>
            <w:tcW w:w="9781" w:type="dxa"/>
            <w:gridSpan w:val="4"/>
            <w:tcBorders>
              <w:top w:val="single" w:sz="4" w:space="0" w:color="000000"/>
              <w:bottom w:val="single" w:sz="4" w:space="0" w:color="auto"/>
            </w:tcBorders>
            <w:shd w:val="clear" w:color="auto" w:fill="C6D9F1" w:themeFill="text2" w:themeFillTint="33"/>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c>
          <w:tcPr>
            <w:tcW w:w="1843" w:type="dxa"/>
            <w:tcBorders>
              <w:top w:val="single" w:sz="4" w:space="0" w:color="auto"/>
              <w:left w:val="single" w:sz="4" w:space="0" w:color="auto"/>
              <w:bottom w:val="nil"/>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auto"/>
              <w:bottom w:val="nil"/>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2333" w:type="dxa"/>
            <w:tcBorders>
              <w:top w:val="single" w:sz="4" w:space="0" w:color="auto"/>
              <w:bottom w:val="nil"/>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471" w:type="dxa"/>
            <w:tcBorders>
              <w:top w:val="single" w:sz="4" w:space="0" w:color="auto"/>
              <w:bottom w:val="nil"/>
              <w:right w:val="single" w:sz="4" w:space="0" w:color="auto"/>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trHeight w:val="49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Стипендии для прохождения обучения в Академии ВОИС – совместная программа для подготовки магистров права со специализацией в области ИС (MIP) Квинслендского технологического университета и ВОИС</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3 февраля – 30 октября 2015 г.</w:t>
            </w:r>
          </w:p>
        </w:tc>
        <w:tc>
          <w:tcPr>
            <w:tcW w:w="2333"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Австралия / 6 студентов из Бангладеш (1) и Республики Корея (5)</w:t>
            </w:r>
          </w:p>
        </w:tc>
        <w:tc>
          <w:tcPr>
            <w:tcW w:w="4471"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Обучение государственных служащих и других экспертов, работающих в области ИС, по программе высшего образования для углубления их знаний и навыков в применении механизмов ИС и управлении правами ИС.</w:t>
            </w:r>
          </w:p>
        </w:tc>
      </w:tr>
      <w:tr w:rsidR="00580A3D" w:rsidRPr="005C6ABD" w:rsidTr="00975156">
        <w:trPr>
          <w:trHeight w:val="495"/>
        </w:trPr>
        <w:tc>
          <w:tcPr>
            <w:tcW w:w="1843"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Стипендии на прохождение обучения в Академии ВОИС – совместная программа MIP Сеульского национального университета и ВОИС</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Март 2015 г. – декабрь 2016 г.</w:t>
            </w:r>
          </w:p>
        </w:tc>
        <w:tc>
          <w:tcPr>
            <w:tcW w:w="2333"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Республика Корея / 2 студента Индии (1) и Пакистана (1) </w:t>
            </w:r>
          </w:p>
        </w:tc>
        <w:tc>
          <w:tcPr>
            <w:tcW w:w="4471" w:type="dxa"/>
            <w:tcBorders>
              <w:top w:val="nil"/>
              <w:bottom w:val="nil"/>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Обучение государственных служащих и других экспертов, работающих в области ИС, по программе высшего образования для углубления их знаний и навыков в применении механизмов ИС и управлении правами ИС.</w:t>
            </w:r>
          </w:p>
        </w:tc>
      </w:tr>
      <w:tr w:rsidR="00580A3D" w:rsidRPr="005C6ABD" w:rsidTr="00975156">
        <w:trPr>
          <w:trHeight w:val="495"/>
        </w:trPr>
        <w:tc>
          <w:tcPr>
            <w:tcW w:w="1843" w:type="dxa"/>
            <w:tcBorders>
              <w:top w:val="nil"/>
              <w:left w:val="single" w:sz="4" w:space="0" w:color="auto"/>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Стипендии на прохождение обучения в летней школе, совместно организованной ВОИС и Республикой Корея</w:t>
            </w:r>
          </w:p>
        </w:tc>
        <w:tc>
          <w:tcPr>
            <w:tcW w:w="1134" w:type="dxa"/>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13–24 июля 2015 г.</w:t>
            </w:r>
          </w:p>
        </w:tc>
        <w:tc>
          <w:tcPr>
            <w:tcW w:w="2333" w:type="dxa"/>
            <w:tcBorders>
              <w:top w:val="nil"/>
              <w:bottom w:val="single" w:sz="4" w:space="0" w:color="auto"/>
            </w:tcBorders>
          </w:tcPr>
          <w:p w:rsidR="00580A3D" w:rsidRPr="0096004B" w:rsidRDefault="00580A3D" w:rsidP="00975156">
            <w:pPr>
              <w:autoSpaceDE w:val="0"/>
              <w:autoSpaceDN w:val="0"/>
              <w:adjustRightInd w:val="0"/>
              <w:spacing w:before="60" w:after="60"/>
              <w:ind w:right="-108"/>
              <w:rPr>
                <w:rFonts w:cs="Arial"/>
                <w:color w:val="000000"/>
                <w:sz w:val="16"/>
                <w:szCs w:val="16"/>
                <w:lang w:val="ru-RU"/>
              </w:rPr>
            </w:pPr>
            <w:r w:rsidRPr="0096004B">
              <w:rPr>
                <w:rFonts w:cs="Arial"/>
                <w:color w:val="000000"/>
                <w:sz w:val="16"/>
                <w:szCs w:val="16"/>
                <w:lang w:val="ru-RU"/>
              </w:rPr>
              <w:t>Республика Корея/ 6 участников из Бразилии, Бангладеш, Индии, Монголии, Румынии и Зимбабве</w:t>
            </w:r>
          </w:p>
        </w:tc>
        <w:tc>
          <w:tcPr>
            <w:tcW w:w="4471" w:type="dxa"/>
            <w:tcBorders>
              <w:top w:val="nil"/>
              <w:bottom w:val="single" w:sz="4" w:space="0" w:color="auto"/>
              <w:right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Повышение уровня подготовки студентов старших курсов и молодых специалистов на основе углубленного освоения областей, касающихся охраны прав ИС;  и (ii) углубление понимания ими задач и функций системы интеллектуальной собственности.</w:t>
            </w:r>
          </w:p>
        </w:tc>
      </w:tr>
    </w:tbl>
    <w:p w:rsidR="00580A3D" w:rsidRPr="0096004B" w:rsidRDefault="00580A3D" w:rsidP="00580A3D">
      <w:pPr>
        <w:rPr>
          <w:rFonts w:cs="Arial"/>
          <w:b/>
          <w:szCs w:val="16"/>
          <w:lang w:val="ru-RU"/>
        </w:rPr>
      </w:pPr>
    </w:p>
    <w:p w:rsidR="00580A3D" w:rsidRPr="0096004B" w:rsidRDefault="00580A3D" w:rsidP="00580A3D">
      <w:pPr>
        <w:rPr>
          <w:rFonts w:cs="Arial"/>
          <w:b/>
          <w:szCs w:val="16"/>
          <w:lang w:val="ru-RU"/>
        </w:rPr>
      </w:pPr>
    </w:p>
    <w:p w:rsidR="00580A3D" w:rsidRPr="0096004B" w:rsidRDefault="00580A3D" w:rsidP="00580A3D">
      <w:pPr>
        <w:rPr>
          <w:rFonts w:cs="Arial"/>
          <w:b/>
          <w:bCs/>
          <w:color w:val="000000"/>
          <w:szCs w:val="20"/>
          <w:lang w:val="ru-RU"/>
        </w:rPr>
      </w:pPr>
      <w:r w:rsidRPr="0096004B">
        <w:rPr>
          <w:rFonts w:cs="Arial"/>
          <w:b/>
          <w:bCs/>
          <w:szCs w:val="20"/>
          <w:lang w:val="ru-RU"/>
        </w:rPr>
        <w:t>РЕСПУБЛИКА КОРЕЯ (ОБРАЗОВАНИЕ) – Стипендии для прохождения обучения по вопросам ИС (Академия ВОИС): взносы доноров и расходы в 2015 г.</w:t>
      </w:r>
    </w:p>
    <w:p w:rsidR="00580A3D" w:rsidRPr="0096004B" w:rsidRDefault="00580A3D" w:rsidP="00580A3D">
      <w:pPr>
        <w:rPr>
          <w:rFonts w:cs="Arial"/>
          <w:b/>
          <w:bCs/>
          <w:color w:val="000000"/>
          <w:szCs w:val="20"/>
          <w:lang w:val="ru-RU"/>
        </w:rPr>
      </w:pPr>
    </w:p>
    <w:tbl>
      <w:tblPr>
        <w:tblW w:w="9791" w:type="dxa"/>
        <w:tblInd w:w="98" w:type="dxa"/>
        <w:tblLook w:val="04A0" w:firstRow="1" w:lastRow="0" w:firstColumn="1" w:lastColumn="0" w:noHBand="0" w:noVBand="1"/>
      </w:tblPr>
      <w:tblGrid>
        <w:gridCol w:w="2040"/>
        <w:gridCol w:w="1640"/>
        <w:gridCol w:w="1860"/>
        <w:gridCol w:w="1780"/>
        <w:gridCol w:w="2471"/>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1"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276 726</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164 735</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124 143</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1"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317 318</w:t>
            </w:r>
          </w:p>
        </w:tc>
      </w:tr>
    </w:tbl>
    <w:p w:rsidR="00580A3D" w:rsidRPr="0096004B" w:rsidRDefault="00580A3D" w:rsidP="00580A3D">
      <w:pPr>
        <w:rPr>
          <w:rFonts w:cs="Arial"/>
          <w:szCs w:val="16"/>
          <w:lang w:val="ru-RU"/>
        </w:rPr>
      </w:pPr>
    </w:p>
    <w:p w:rsidR="00580A3D" w:rsidRPr="0096004B" w:rsidRDefault="00580A3D" w:rsidP="00580A3D">
      <w:pPr>
        <w:rPr>
          <w:rFonts w:cs="Arial"/>
          <w:szCs w:val="16"/>
          <w:lang w:val="ru-RU"/>
        </w:rPr>
      </w:pPr>
    </w:p>
    <w:p w:rsidR="00580A3D" w:rsidRPr="0096004B" w:rsidRDefault="00580A3D" w:rsidP="00580A3D">
      <w:pPr>
        <w:keepNext/>
        <w:keepLines/>
        <w:rPr>
          <w:rFonts w:cs="Arial"/>
          <w:b/>
          <w:szCs w:val="20"/>
          <w:lang w:val="ru-RU"/>
        </w:rPr>
      </w:pPr>
      <w:r w:rsidRPr="0096004B">
        <w:rPr>
          <w:rFonts w:cs="Arial"/>
          <w:b/>
          <w:bCs/>
          <w:szCs w:val="20"/>
          <w:lang w:val="ru-RU"/>
        </w:rPr>
        <w:t>РЕСПУБЛИКА КОРЕЯ – ИНТЕЛЛЕКТУАЛЬНАЯ СОБСТВЕННОСТЬ</w:t>
      </w:r>
    </w:p>
    <w:p w:rsidR="00580A3D" w:rsidRPr="0096004B" w:rsidRDefault="00580A3D" w:rsidP="00580A3D">
      <w:pPr>
        <w:keepNext/>
        <w:keepLines/>
        <w:rPr>
          <w:rFonts w:cs="Arial"/>
          <w:b/>
          <w:szCs w:val="20"/>
          <w:lang w:val="ru-RU"/>
        </w:rPr>
      </w:pPr>
    </w:p>
    <w:tbl>
      <w:tblPr>
        <w:tblW w:w="9811" w:type="dxa"/>
        <w:tblInd w:w="7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134"/>
        <w:gridCol w:w="1843"/>
        <w:gridCol w:w="4961"/>
      </w:tblGrid>
      <w:tr w:rsidR="00580A3D" w:rsidRPr="005C6ABD" w:rsidTr="00975156">
        <w:tc>
          <w:tcPr>
            <w:tcW w:w="9811"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shd w:val="clear" w:color="auto" w:fill="C6D9F1" w:themeFill="text2" w:themeFillTint="33"/>
                <w:lang w:val="ru-RU"/>
              </w:rPr>
              <w:t>РЕЗУЛЬТАТ:</w:t>
            </w:r>
            <w:r w:rsidRPr="0096004B">
              <w:rPr>
                <w:rFonts w:cs="Arial"/>
                <w:b/>
                <w:bCs/>
                <w:color w:val="000000"/>
                <w:sz w:val="16"/>
                <w:szCs w:val="16"/>
                <w:shd w:val="clear" w:color="auto" w:fill="C6D9F1" w:themeFill="text2" w:themeFillTint="33"/>
                <w:lang w:val="ru-RU"/>
              </w:rPr>
              <w:tab/>
            </w:r>
            <w:r w:rsidRPr="0096004B">
              <w:rPr>
                <w:rFonts w:cs="Arial"/>
                <w:bCs/>
                <w:color w:val="000000"/>
                <w:sz w:val="16"/>
                <w:szCs w:val="16"/>
                <w:shd w:val="clear" w:color="auto" w:fill="C6D9F1" w:themeFill="text2" w:themeFillTint="33"/>
                <w:lang w:val="ru-RU"/>
              </w:rPr>
              <w:t>II.2.  Адаптированные к местной специфике и сбалансированные нормативно-правовые базы и основы</w:t>
            </w:r>
            <w:r w:rsidRPr="0096004B">
              <w:rPr>
                <w:rFonts w:cs="Arial"/>
                <w:bCs/>
                <w:color w:val="000000"/>
                <w:sz w:val="16"/>
                <w:szCs w:val="16"/>
                <w:lang w:val="ru-RU"/>
              </w:rPr>
              <w:t xml:space="preserve"> политики в области ИС </w:t>
            </w:r>
          </w:p>
        </w:tc>
      </w:tr>
      <w:tr w:rsidR="00580A3D" w:rsidRPr="0096004B" w:rsidTr="00975156">
        <w:trPr>
          <w:trHeight w:val="483"/>
        </w:trPr>
        <w:tc>
          <w:tcPr>
            <w:tcW w:w="187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843" w:type="dxa"/>
            <w:tcBorders>
              <w:top w:val="single" w:sz="4" w:space="0" w:color="000000"/>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961" w:type="dxa"/>
            <w:tcBorders>
              <w:top w:val="single" w:sz="4" w:space="0" w:color="000000"/>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c>
          <w:tcPr>
            <w:tcW w:w="1873" w:type="dxa"/>
          </w:tcPr>
          <w:p w:rsidR="00580A3D" w:rsidRPr="0096004B" w:rsidRDefault="00580A3D" w:rsidP="00975156">
            <w:pPr>
              <w:spacing w:before="60" w:after="60"/>
              <w:rPr>
                <w:rFonts w:cs="Arial"/>
                <w:color w:val="000000"/>
                <w:sz w:val="16"/>
                <w:szCs w:val="16"/>
                <w:lang w:val="ru-RU" w:eastAsia="ko-KR"/>
              </w:rPr>
            </w:pPr>
            <w:r w:rsidRPr="0096004B">
              <w:rPr>
                <w:rFonts w:cs="Arial"/>
                <w:color w:val="000000"/>
                <w:sz w:val="16"/>
                <w:szCs w:val="16"/>
                <w:lang w:val="ru-RU" w:eastAsia="ko-KR"/>
              </w:rPr>
              <w:t>Подготовка исследования о промышленных образцах в странах Юго-Восточной Азии</w:t>
            </w:r>
          </w:p>
        </w:tc>
        <w:tc>
          <w:tcPr>
            <w:tcW w:w="1134" w:type="dxa"/>
          </w:tcPr>
          <w:p w:rsidR="00580A3D" w:rsidRPr="0096004B" w:rsidRDefault="00580A3D" w:rsidP="00975156">
            <w:pPr>
              <w:spacing w:before="60" w:after="60"/>
              <w:rPr>
                <w:rFonts w:cs="Arial"/>
                <w:color w:val="000000"/>
                <w:sz w:val="16"/>
                <w:szCs w:val="16"/>
                <w:lang w:val="ru-RU"/>
              </w:rPr>
            </w:pPr>
            <w:r w:rsidRPr="0096004B">
              <w:rPr>
                <w:rFonts w:eastAsia="Malgun Gothic" w:cs="Arial"/>
                <w:color w:val="000000"/>
                <w:sz w:val="16"/>
                <w:szCs w:val="16"/>
                <w:lang w:val="ru-RU" w:eastAsia="ko-KR"/>
              </w:rPr>
              <w:t>Май</w:t>
            </w:r>
            <w:r w:rsidRPr="0096004B">
              <w:rPr>
                <w:rFonts w:cs="Arial"/>
                <w:color w:val="000000"/>
                <w:sz w:val="16"/>
                <w:szCs w:val="16"/>
                <w:lang w:val="ru-RU"/>
              </w:rPr>
              <w:t xml:space="preserve"> 2015 г. (начало проекта)</w:t>
            </w:r>
          </w:p>
        </w:tc>
        <w:tc>
          <w:tcPr>
            <w:tcW w:w="1843" w:type="dxa"/>
          </w:tcPr>
          <w:p w:rsidR="00580A3D" w:rsidRPr="0096004B" w:rsidRDefault="00580A3D" w:rsidP="00975156">
            <w:pPr>
              <w:autoSpaceDE w:val="0"/>
              <w:autoSpaceDN w:val="0"/>
              <w:adjustRightInd w:val="0"/>
              <w:spacing w:before="60" w:after="60"/>
              <w:rPr>
                <w:rFonts w:eastAsia="Malgun Gothic" w:cs="Arial"/>
                <w:bCs/>
                <w:sz w:val="16"/>
                <w:szCs w:val="16"/>
                <w:lang w:val="ru-RU" w:eastAsia="ko-KR"/>
              </w:rPr>
            </w:pPr>
            <w:r w:rsidRPr="0096004B">
              <w:rPr>
                <w:rFonts w:eastAsia="Malgun Gothic" w:cs="Arial"/>
                <w:bCs/>
                <w:color w:val="000000"/>
                <w:sz w:val="16"/>
                <w:szCs w:val="16"/>
                <w:lang w:val="ru-RU" w:eastAsia="ko-KR"/>
              </w:rPr>
              <w:t>Индонезия, Филиппины и Таиланд</w:t>
            </w:r>
          </w:p>
        </w:tc>
        <w:tc>
          <w:tcPr>
            <w:tcW w:w="4961" w:type="dxa"/>
          </w:tcPr>
          <w:p w:rsidR="00580A3D" w:rsidRPr="0096004B" w:rsidRDefault="00580A3D" w:rsidP="00975156">
            <w:pPr>
              <w:spacing w:before="60" w:after="60"/>
              <w:ind w:left="60"/>
              <w:rPr>
                <w:rFonts w:eastAsia="Malgun Gothic" w:cs="Arial"/>
                <w:color w:val="000000"/>
                <w:sz w:val="16"/>
                <w:szCs w:val="16"/>
                <w:lang w:val="ru-RU"/>
              </w:rPr>
            </w:pPr>
            <w:r w:rsidRPr="0096004B">
              <w:rPr>
                <w:rFonts w:eastAsia="Malgun Gothic" w:cs="Arial"/>
                <w:color w:val="000000"/>
                <w:sz w:val="16"/>
                <w:szCs w:val="16"/>
                <w:lang w:val="ru-RU"/>
              </w:rPr>
              <w:t xml:space="preserve">(i) Создание регистрирующей база данных по промышленным образцам в ряде стран Юго-Восточной Азии;  (ii) проведение сравнительного анализа использования промышленных образцов;  (iii) обсуждение основных исторических тенденций;  (iv) предоставление данных в разбивке по типам пользователей, секторам и другим характеристикам;  и (v) анализ коэффициента удовлетворенных заявок и тенденций продления исходя из доступности данных. </w:t>
            </w:r>
          </w:p>
        </w:tc>
      </w:tr>
      <w:tr w:rsidR="00580A3D" w:rsidRPr="005C6ABD" w:rsidTr="00975156">
        <w:tc>
          <w:tcPr>
            <w:tcW w:w="1873" w:type="dxa"/>
          </w:tcPr>
          <w:p w:rsidR="00580A3D" w:rsidRPr="0096004B" w:rsidRDefault="00580A3D" w:rsidP="00975156">
            <w:pPr>
              <w:spacing w:before="60" w:after="60"/>
              <w:rPr>
                <w:rFonts w:cs="Arial"/>
                <w:color w:val="000000"/>
                <w:sz w:val="16"/>
                <w:szCs w:val="16"/>
                <w:lang w:val="ru-RU" w:eastAsia="ko-KR"/>
              </w:rPr>
            </w:pPr>
            <w:r w:rsidRPr="0096004B">
              <w:rPr>
                <w:rFonts w:cs="Arial"/>
                <w:color w:val="000000"/>
                <w:sz w:val="16"/>
                <w:szCs w:val="16"/>
                <w:lang w:val="ru-RU" w:eastAsia="ko-KR"/>
              </w:rPr>
              <w:t>Подготовка справочника по процедурам альтернативного урегулирования споров (АУС)</w:t>
            </w:r>
          </w:p>
        </w:tc>
        <w:tc>
          <w:tcPr>
            <w:tcW w:w="1134" w:type="dxa"/>
          </w:tcPr>
          <w:p w:rsidR="00580A3D" w:rsidRPr="0096004B" w:rsidRDefault="00580A3D" w:rsidP="00975156">
            <w:pPr>
              <w:spacing w:before="60" w:after="60"/>
              <w:rPr>
                <w:rFonts w:eastAsia="Malgun Gothic" w:cs="Arial"/>
                <w:color w:val="000000"/>
                <w:sz w:val="16"/>
                <w:szCs w:val="16"/>
                <w:lang w:val="ru-RU" w:eastAsia="ko-KR"/>
              </w:rPr>
            </w:pPr>
            <w:r w:rsidRPr="0096004B">
              <w:rPr>
                <w:rFonts w:cs="Arial"/>
                <w:color w:val="000000"/>
                <w:sz w:val="16"/>
                <w:szCs w:val="16"/>
                <w:lang w:val="ru-RU" w:eastAsia="ko-KR"/>
              </w:rPr>
              <w:t>Январь – июль 2015 г.</w:t>
            </w:r>
            <w:r w:rsidRPr="0096004B">
              <w:rPr>
                <w:rStyle w:val="FootnoteReference"/>
                <w:rFonts w:cs="Arial"/>
                <w:color w:val="000000"/>
                <w:sz w:val="16"/>
                <w:szCs w:val="16"/>
                <w:lang w:val="ru-RU" w:eastAsia="ko-KR"/>
              </w:rPr>
              <w:footnoteReference w:id="161"/>
            </w:r>
          </w:p>
        </w:tc>
        <w:tc>
          <w:tcPr>
            <w:tcW w:w="1843" w:type="dxa"/>
          </w:tcPr>
          <w:p w:rsidR="00580A3D" w:rsidRPr="0096004B" w:rsidRDefault="00580A3D" w:rsidP="00975156">
            <w:pPr>
              <w:autoSpaceDE w:val="0"/>
              <w:autoSpaceDN w:val="0"/>
              <w:adjustRightInd w:val="0"/>
              <w:spacing w:before="60" w:after="60"/>
              <w:rPr>
                <w:rFonts w:eastAsia="Malgun Gothic" w:cs="Arial"/>
                <w:color w:val="000000"/>
                <w:sz w:val="16"/>
                <w:szCs w:val="16"/>
                <w:lang w:val="ru-RU" w:eastAsia="ko-KR"/>
              </w:rPr>
            </w:pPr>
            <w:r w:rsidRPr="0096004B">
              <w:rPr>
                <w:rFonts w:cs="Arial"/>
                <w:bCs/>
                <w:sz w:val="16"/>
                <w:szCs w:val="16"/>
                <w:lang w:val="ru-RU" w:eastAsia="ko-KR"/>
              </w:rPr>
              <w:t>Все государства-члены ВОИС</w:t>
            </w:r>
          </w:p>
        </w:tc>
        <w:tc>
          <w:tcPr>
            <w:tcW w:w="4961" w:type="dxa"/>
          </w:tcPr>
          <w:p w:rsidR="00580A3D" w:rsidRPr="0096004B" w:rsidRDefault="00580A3D" w:rsidP="00975156">
            <w:pPr>
              <w:spacing w:before="60" w:after="60"/>
              <w:ind w:left="60"/>
              <w:rPr>
                <w:rFonts w:eastAsia="Malgun Gothic" w:cs="Arial"/>
                <w:color w:val="000000"/>
                <w:sz w:val="16"/>
                <w:szCs w:val="16"/>
                <w:lang w:val="ru-RU"/>
              </w:rPr>
            </w:pPr>
            <w:r w:rsidRPr="0096004B">
              <w:rPr>
                <w:rFonts w:eastAsia="Malgun Gothic" w:cs="Arial"/>
                <w:color w:val="000000"/>
                <w:sz w:val="16"/>
                <w:szCs w:val="16"/>
                <w:lang w:val="ru-RU"/>
              </w:rPr>
              <w:t>(i) </w:t>
            </w:r>
            <w:r w:rsidRPr="0096004B">
              <w:rPr>
                <w:rFonts w:cs="Arial"/>
                <w:color w:val="000000"/>
                <w:sz w:val="16"/>
                <w:szCs w:val="16"/>
                <w:lang w:val="ru-RU" w:eastAsia="ko-KR"/>
              </w:rPr>
              <w:t>Обеспечение более глубокого понимания процедур АУС, применяемых при разрешении споров об ИС</w:t>
            </w:r>
            <w:r w:rsidRPr="0096004B">
              <w:rPr>
                <w:rFonts w:eastAsia="Malgun Gothic" w:cs="Arial"/>
                <w:color w:val="000000"/>
                <w:sz w:val="16"/>
                <w:szCs w:val="16"/>
                <w:lang w:val="ru-RU"/>
              </w:rPr>
              <w:t>;</w:t>
            </w:r>
            <w:r w:rsidRPr="0096004B">
              <w:rPr>
                <w:rFonts w:cs="Arial"/>
                <w:color w:val="000000"/>
                <w:sz w:val="16"/>
                <w:szCs w:val="16"/>
                <w:lang w:val="ru-RU" w:eastAsia="ko-KR"/>
              </w:rPr>
              <w:t xml:space="preserve"> (ii) распространение опыта применения АУС Центром ВОИС среди национальных органов АУС</w:t>
            </w:r>
            <w:r w:rsidRPr="0096004B">
              <w:rPr>
                <w:rFonts w:eastAsia="Malgun Gothic" w:cs="Arial"/>
                <w:color w:val="000000"/>
                <w:sz w:val="16"/>
                <w:szCs w:val="16"/>
                <w:lang w:val="ru-RU"/>
              </w:rPr>
              <w:t>;</w:t>
            </w:r>
            <w:r w:rsidRPr="0096004B">
              <w:rPr>
                <w:rFonts w:cs="Arial"/>
                <w:color w:val="000000"/>
                <w:sz w:val="16"/>
                <w:szCs w:val="16"/>
                <w:lang w:val="ru-RU" w:eastAsia="ko-KR"/>
              </w:rPr>
              <w:t xml:space="preserve"> (iii) стимулирование разработки и применения соответствующих процедур АУС развивающимися странами.  </w:t>
            </w:r>
          </w:p>
        </w:tc>
      </w:tr>
      <w:tr w:rsidR="00580A3D" w:rsidRPr="005C6ABD" w:rsidTr="00975156">
        <w:tc>
          <w:tcPr>
            <w:tcW w:w="9811"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III.1. Национальные стратегии и планы в области инноваций и ИС, согласующиеся с целями национального развития</w:t>
            </w:r>
          </w:p>
        </w:tc>
      </w:tr>
      <w:tr w:rsidR="00580A3D" w:rsidRPr="0096004B" w:rsidTr="00975156">
        <w:tc>
          <w:tcPr>
            <w:tcW w:w="187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Дата</w:t>
            </w:r>
          </w:p>
        </w:tc>
        <w:tc>
          <w:tcPr>
            <w:tcW w:w="1843" w:type="dxa"/>
            <w:tcBorders>
              <w:top w:val="single" w:sz="4" w:space="0" w:color="000000"/>
            </w:tcBorders>
            <w:shd w:val="clear" w:color="auto" w:fill="auto"/>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961" w:type="dxa"/>
            <w:tcBorders>
              <w:top w:val="single" w:sz="4" w:space="0" w:color="000000"/>
            </w:tcBorders>
            <w:shd w:val="clear" w:color="auto" w:fill="FFFFFF"/>
            <w:tcMar>
              <w:top w:w="110" w:type="dxa"/>
            </w:tcMar>
            <w:vAlign w:val="center"/>
          </w:tcPr>
          <w:p w:rsidR="00580A3D" w:rsidRPr="0096004B" w:rsidRDefault="00580A3D" w:rsidP="00975156">
            <w:pPr>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c>
          <w:tcPr>
            <w:tcW w:w="1873" w:type="dxa"/>
          </w:tcPr>
          <w:p w:rsidR="00580A3D" w:rsidRPr="0096004B" w:rsidRDefault="00580A3D" w:rsidP="00975156">
            <w:pPr>
              <w:keepNext/>
              <w:keepLines/>
              <w:spacing w:before="60" w:after="60"/>
              <w:rPr>
                <w:rFonts w:cs="Arial"/>
                <w:color w:val="000000"/>
                <w:sz w:val="16"/>
                <w:szCs w:val="16"/>
                <w:lang w:val="ru-RU" w:eastAsia="ko-KR"/>
              </w:rPr>
            </w:pPr>
            <w:r w:rsidRPr="0096004B">
              <w:rPr>
                <w:rFonts w:cs="Arial"/>
                <w:sz w:val="16"/>
                <w:szCs w:val="16"/>
                <w:lang w:val="ru-RU" w:eastAsia="ko-KR"/>
              </w:rPr>
              <w:t>Ознакомительный визит для ряда должностных лиц из африканских стран, посвященный роли управления правами ИС в цепочке создания и распространения инноваций</w:t>
            </w:r>
          </w:p>
        </w:tc>
        <w:tc>
          <w:tcPr>
            <w:tcW w:w="1134" w:type="dxa"/>
            <w:shd w:val="clear" w:color="auto" w:fill="auto"/>
            <w:tcMar>
              <w:top w:w="110" w:type="dxa"/>
            </w:tcMar>
          </w:tcPr>
          <w:p w:rsidR="00580A3D" w:rsidRPr="0096004B" w:rsidRDefault="00580A3D" w:rsidP="00975156">
            <w:pPr>
              <w:spacing w:before="60" w:after="60"/>
              <w:rPr>
                <w:rFonts w:cs="Arial"/>
                <w:color w:val="000000"/>
                <w:sz w:val="16"/>
                <w:szCs w:val="16"/>
                <w:lang w:val="ru-RU"/>
              </w:rPr>
            </w:pPr>
            <w:r w:rsidRPr="0096004B">
              <w:rPr>
                <w:rFonts w:eastAsia="Malgun Gothic" w:cs="Arial"/>
                <w:color w:val="000000"/>
                <w:sz w:val="16"/>
                <w:szCs w:val="16"/>
                <w:lang w:val="ru-RU" w:eastAsia="ko-KR"/>
              </w:rPr>
              <w:t>2–5 июня 2015 г.</w:t>
            </w:r>
          </w:p>
        </w:tc>
        <w:tc>
          <w:tcPr>
            <w:tcW w:w="1843" w:type="dxa"/>
            <w:shd w:val="clear" w:color="auto" w:fill="auto"/>
            <w:tcMar>
              <w:top w:w="110" w:type="dxa"/>
            </w:tcMar>
          </w:tcPr>
          <w:p w:rsidR="00580A3D" w:rsidRPr="0096004B" w:rsidRDefault="00580A3D" w:rsidP="00975156">
            <w:pPr>
              <w:autoSpaceDE w:val="0"/>
              <w:autoSpaceDN w:val="0"/>
              <w:adjustRightInd w:val="0"/>
              <w:spacing w:before="60" w:after="60"/>
              <w:rPr>
                <w:rFonts w:eastAsia="Malgun Gothic" w:cs="Arial"/>
                <w:bCs/>
                <w:sz w:val="16"/>
                <w:szCs w:val="16"/>
                <w:lang w:val="ru-RU" w:eastAsia="ko-KR"/>
              </w:rPr>
            </w:pPr>
            <w:r w:rsidRPr="0096004B">
              <w:rPr>
                <w:rFonts w:eastAsia="Malgun Gothic" w:cs="Arial"/>
                <w:bCs/>
                <w:color w:val="000000"/>
                <w:sz w:val="16"/>
                <w:szCs w:val="16"/>
                <w:lang w:val="ru-RU" w:eastAsia="ko-KR"/>
              </w:rPr>
              <w:t>Республика Корея / Ботсвана, Руанда и Объединенная Республика Танзания</w:t>
            </w:r>
          </w:p>
        </w:tc>
        <w:tc>
          <w:tcPr>
            <w:tcW w:w="4961" w:type="dxa"/>
            <w:shd w:val="clear" w:color="auto" w:fill="FFFFFF"/>
            <w:tcMar>
              <w:top w:w="110" w:type="dxa"/>
            </w:tcMar>
          </w:tcPr>
          <w:p w:rsidR="00580A3D" w:rsidRPr="0096004B" w:rsidRDefault="00580A3D" w:rsidP="00975156">
            <w:pPr>
              <w:spacing w:before="60" w:after="60"/>
              <w:contextualSpacing/>
              <w:rPr>
                <w:rFonts w:eastAsia="Malgun Gothic" w:cs="Arial"/>
                <w:color w:val="000000"/>
                <w:sz w:val="16"/>
                <w:szCs w:val="16"/>
                <w:lang w:val="ru-RU" w:eastAsia="ko-KR"/>
              </w:rPr>
            </w:pPr>
            <w:r w:rsidRPr="0096004B">
              <w:rPr>
                <w:rFonts w:eastAsia="Malgun Gothic" w:cs="Arial"/>
                <w:sz w:val="16"/>
                <w:szCs w:val="16"/>
                <w:lang w:val="ru-RU" w:eastAsia="ko-KR"/>
              </w:rPr>
              <w:t>Демонстрация:  (i) опыта Республики Корея в преобразовании знаний в коммерчески успешную продукцию;  (ii) роли государственной политики в этом процессе;  (iii) роли бюро передачи технологии (БПТ) как посредников между наукой и промышленностью;  и (iv) организации всей цепочки создания и распространения инноваций (от лаборатории до рынка).</w:t>
            </w:r>
          </w:p>
        </w:tc>
      </w:tr>
      <w:tr w:rsidR="00580A3D" w:rsidRPr="005C6ABD" w:rsidTr="00975156">
        <w:trPr>
          <w:trHeight w:val="1442"/>
        </w:trPr>
        <w:tc>
          <w:tcPr>
            <w:tcW w:w="1873" w:type="dxa"/>
          </w:tcPr>
          <w:p w:rsidR="00580A3D" w:rsidRPr="0096004B" w:rsidRDefault="00580A3D" w:rsidP="00975156">
            <w:pPr>
              <w:spacing w:before="60" w:after="60"/>
              <w:rPr>
                <w:rFonts w:cs="Arial"/>
                <w:color w:val="000000"/>
                <w:sz w:val="16"/>
                <w:szCs w:val="16"/>
                <w:lang w:val="ru-RU" w:eastAsia="ko-KR"/>
              </w:rPr>
            </w:pPr>
            <w:r w:rsidRPr="0096004B">
              <w:rPr>
                <w:rFonts w:cs="Arial"/>
                <w:sz w:val="16"/>
                <w:szCs w:val="16"/>
                <w:lang w:val="ru-RU" w:eastAsia="ko-KR"/>
              </w:rPr>
              <w:t>Ознакомительный визит индонезийской делегации, посвя</w:t>
            </w:r>
            <w:r>
              <w:rPr>
                <w:rFonts w:cs="Arial"/>
                <w:sz w:val="16"/>
                <w:szCs w:val="16"/>
                <w:lang w:val="ru-RU" w:eastAsia="ko-KR"/>
              </w:rPr>
              <w:t>щенный выработке национальной</w:t>
            </w:r>
            <w:r w:rsidRPr="0096004B">
              <w:rPr>
                <w:rFonts w:cs="Arial"/>
                <w:sz w:val="16"/>
                <w:szCs w:val="16"/>
                <w:lang w:val="ru-RU" w:eastAsia="ko-KR"/>
              </w:rPr>
              <w:t xml:space="preserve"> стратегии в области интеллектуальной собственности (ИС) для построения эффективной экосистемы ИС</w:t>
            </w:r>
          </w:p>
        </w:tc>
        <w:tc>
          <w:tcPr>
            <w:tcW w:w="1134" w:type="dxa"/>
            <w:shd w:val="clear" w:color="auto" w:fill="auto"/>
            <w:tcMar>
              <w:top w:w="110" w:type="dxa"/>
            </w:tcMar>
          </w:tcPr>
          <w:p w:rsidR="00580A3D" w:rsidRPr="0096004B" w:rsidRDefault="00580A3D" w:rsidP="00975156">
            <w:pPr>
              <w:spacing w:before="60" w:after="60"/>
              <w:rPr>
                <w:rFonts w:cs="Arial"/>
                <w:color w:val="000000"/>
                <w:sz w:val="16"/>
                <w:szCs w:val="16"/>
                <w:lang w:val="ru-RU"/>
              </w:rPr>
            </w:pPr>
            <w:r w:rsidRPr="0096004B">
              <w:rPr>
                <w:rFonts w:cs="Arial"/>
                <w:sz w:val="16"/>
                <w:szCs w:val="16"/>
                <w:lang w:val="ru-RU"/>
              </w:rPr>
              <w:t>21–24 декабря 2015 г.</w:t>
            </w:r>
          </w:p>
        </w:tc>
        <w:tc>
          <w:tcPr>
            <w:tcW w:w="1843" w:type="dxa"/>
            <w:shd w:val="clear" w:color="auto" w:fill="auto"/>
            <w:tcMar>
              <w:top w:w="110" w:type="dxa"/>
            </w:tcMar>
          </w:tcPr>
          <w:p w:rsidR="00580A3D" w:rsidRPr="0096004B" w:rsidRDefault="00580A3D" w:rsidP="00975156">
            <w:pPr>
              <w:autoSpaceDE w:val="0"/>
              <w:autoSpaceDN w:val="0"/>
              <w:adjustRightInd w:val="0"/>
              <w:spacing w:before="60" w:after="60"/>
              <w:rPr>
                <w:rFonts w:eastAsia="Malgun Gothic" w:cs="Arial"/>
                <w:bCs/>
                <w:sz w:val="16"/>
                <w:szCs w:val="16"/>
                <w:lang w:val="ru-RU" w:eastAsia="ko-KR"/>
              </w:rPr>
            </w:pPr>
            <w:r w:rsidRPr="0096004B">
              <w:rPr>
                <w:rFonts w:cs="Arial"/>
                <w:sz w:val="16"/>
                <w:szCs w:val="16"/>
                <w:lang w:val="ru-RU" w:eastAsia="ko-KR"/>
              </w:rPr>
              <w:t>Республика Корея / Индонезия</w:t>
            </w:r>
          </w:p>
        </w:tc>
        <w:tc>
          <w:tcPr>
            <w:tcW w:w="4961" w:type="dxa"/>
            <w:shd w:val="clear" w:color="auto" w:fill="FFFFFF"/>
            <w:tcMar>
              <w:top w:w="110" w:type="dxa"/>
            </w:tcMar>
          </w:tcPr>
          <w:p w:rsidR="00580A3D" w:rsidRPr="0096004B" w:rsidRDefault="00580A3D" w:rsidP="00975156">
            <w:pPr>
              <w:spacing w:before="60" w:after="60"/>
              <w:rPr>
                <w:rFonts w:eastAsia="Malgun Gothic" w:cs="Arial"/>
                <w:color w:val="000000"/>
                <w:sz w:val="16"/>
                <w:szCs w:val="16"/>
                <w:lang w:val="ru-RU"/>
              </w:rPr>
            </w:pPr>
            <w:r w:rsidRPr="0096004B">
              <w:rPr>
                <w:rFonts w:cs="Arial"/>
                <w:sz w:val="16"/>
                <w:szCs w:val="16"/>
                <w:lang w:val="ru-RU"/>
              </w:rPr>
              <w:t>(i) Углубление знаний государственных служащих / специалистов в области ИС о возможных стратегических инициативах и подходах, позволяющих усиливать системы ИС;  и (ii) помощь в наращивании возможностей национальных ведомств/организаций ИС по реализации программ, направленных на эффективное использование ИС в целях развития.</w:t>
            </w:r>
          </w:p>
        </w:tc>
      </w:tr>
      <w:tr w:rsidR="00580A3D" w:rsidRPr="005C6ABD" w:rsidTr="00975156">
        <w:tc>
          <w:tcPr>
            <w:tcW w:w="1873"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Экспертная миссия</w:t>
            </w:r>
          </w:p>
        </w:tc>
        <w:tc>
          <w:tcPr>
            <w:tcW w:w="1134" w:type="dxa"/>
            <w:shd w:val="clear" w:color="auto" w:fill="auto"/>
            <w:tcMar>
              <w:top w:w="110" w:type="dxa"/>
            </w:tcMar>
          </w:tcPr>
          <w:p w:rsidR="00580A3D" w:rsidRPr="0096004B" w:rsidRDefault="00580A3D" w:rsidP="00975156">
            <w:pPr>
              <w:pStyle w:val="Normal-table"/>
              <w:spacing w:before="60" w:after="60"/>
              <w:rPr>
                <w:rFonts w:cs="Arial"/>
                <w:sz w:val="16"/>
                <w:szCs w:val="16"/>
                <w:lang w:val="ru-RU" w:eastAsia="ko-KR"/>
              </w:rPr>
            </w:pPr>
            <w:r w:rsidRPr="0096004B">
              <w:rPr>
                <w:rFonts w:cs="Arial"/>
                <w:sz w:val="16"/>
                <w:szCs w:val="16"/>
                <w:lang w:val="ru-RU" w:eastAsia="ko-KR"/>
              </w:rPr>
              <w:t>4–5 ноября 2015 г.</w:t>
            </w:r>
          </w:p>
        </w:tc>
        <w:tc>
          <w:tcPr>
            <w:tcW w:w="1843" w:type="dxa"/>
            <w:shd w:val="clear" w:color="auto" w:fill="auto"/>
            <w:tcMar>
              <w:top w:w="110" w:type="dxa"/>
            </w:tcMar>
          </w:tcPr>
          <w:p w:rsidR="00580A3D" w:rsidRPr="0096004B" w:rsidRDefault="00580A3D" w:rsidP="00975156">
            <w:pPr>
              <w:spacing w:before="60" w:after="60"/>
              <w:contextualSpacing/>
              <w:rPr>
                <w:rFonts w:cs="Arial"/>
                <w:color w:val="000000"/>
                <w:sz w:val="16"/>
                <w:szCs w:val="16"/>
                <w:lang w:val="ru-RU"/>
              </w:rPr>
            </w:pPr>
            <w:r w:rsidRPr="0096004B">
              <w:rPr>
                <w:rFonts w:cs="Arial"/>
                <w:color w:val="000000"/>
                <w:sz w:val="16"/>
                <w:szCs w:val="16"/>
                <w:lang w:val="ru-RU"/>
              </w:rPr>
              <w:t>Республика Корея</w:t>
            </w:r>
          </w:p>
        </w:tc>
        <w:tc>
          <w:tcPr>
            <w:tcW w:w="4961" w:type="dxa"/>
            <w:shd w:val="clear" w:color="auto" w:fill="FFFFFF"/>
            <w:tcMar>
              <w:top w:w="110" w:type="dxa"/>
            </w:tcMar>
          </w:tcPr>
          <w:p w:rsidR="00580A3D" w:rsidRPr="0096004B" w:rsidRDefault="00580A3D" w:rsidP="00975156">
            <w:pPr>
              <w:keepNext/>
              <w:keepLines/>
              <w:autoSpaceDE w:val="0"/>
              <w:autoSpaceDN w:val="0"/>
              <w:adjustRightInd w:val="0"/>
              <w:spacing w:before="60" w:after="60"/>
              <w:rPr>
                <w:rFonts w:eastAsia="SimSun" w:cs="Arial"/>
                <w:sz w:val="16"/>
                <w:szCs w:val="16"/>
                <w:lang w:val="ru-RU" w:eastAsia="ko-KR"/>
              </w:rPr>
            </w:pPr>
            <w:r w:rsidRPr="0096004B">
              <w:rPr>
                <w:rFonts w:eastAsia="SimSun" w:cs="Arial"/>
                <w:sz w:val="16"/>
                <w:szCs w:val="16"/>
                <w:lang w:val="ru-RU" w:eastAsia="ko-KR"/>
              </w:rPr>
              <w:t xml:space="preserve">(i) Оценка прогресса в операциях PCT;  и (ii) укрепление сотрудничества между ВОИС и Корейским ведомством интеллектуальной собственности (КВИС).  </w:t>
            </w:r>
          </w:p>
        </w:tc>
      </w:tr>
      <w:tr w:rsidR="00580A3D" w:rsidRPr="005C6ABD" w:rsidTr="00975156">
        <w:tc>
          <w:tcPr>
            <w:tcW w:w="9811" w:type="dxa"/>
            <w:gridSpan w:val="4"/>
            <w:tcBorders>
              <w:top w:val="single" w:sz="4" w:space="0" w:color="000000"/>
              <w:bottom w:val="single" w:sz="4" w:space="0" w:color="000000"/>
            </w:tcBorders>
            <w:shd w:val="clear" w:color="auto" w:fill="C6D9F1" w:themeFill="text2" w:themeFillTint="33"/>
            <w:vAlign w:val="center"/>
          </w:tcPr>
          <w:p w:rsidR="00580A3D" w:rsidRPr="0096004B" w:rsidRDefault="00580A3D" w:rsidP="00975156">
            <w:pPr>
              <w:keepNext/>
              <w:keepLines/>
              <w:tabs>
                <w:tab w:val="left" w:pos="1740"/>
              </w:tabs>
              <w:spacing w:before="60" w:after="60"/>
              <w:ind w:left="1741" w:hanging="1741"/>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trHeight w:val="402"/>
        </w:trPr>
        <w:tc>
          <w:tcPr>
            <w:tcW w:w="187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34" w:type="dxa"/>
            <w:tcBorders>
              <w:top w:val="single" w:sz="4" w:space="0" w:color="000000"/>
            </w:tcBorders>
            <w:shd w:val="clear" w:color="auto" w:fill="auto"/>
            <w:tcMar>
              <w:top w:w="110" w:type="dxa"/>
            </w:tcMar>
            <w:vAlign w:val="center"/>
          </w:tcPr>
          <w:p w:rsidR="00580A3D" w:rsidRPr="0096004B" w:rsidRDefault="00580A3D" w:rsidP="00975156">
            <w:pPr>
              <w:keepNext/>
              <w:spacing w:before="60" w:after="60"/>
              <w:rPr>
                <w:rFonts w:cs="Arial"/>
                <w:sz w:val="16"/>
                <w:szCs w:val="16"/>
                <w:lang w:val="ru-RU"/>
              </w:rPr>
            </w:pPr>
            <w:r w:rsidRPr="0096004B">
              <w:rPr>
                <w:rFonts w:cs="Arial"/>
                <w:b/>
                <w:bCs/>
                <w:sz w:val="16"/>
                <w:szCs w:val="16"/>
                <w:lang w:val="ru-RU"/>
              </w:rPr>
              <w:t>Дата</w:t>
            </w:r>
          </w:p>
        </w:tc>
        <w:tc>
          <w:tcPr>
            <w:tcW w:w="1843" w:type="dxa"/>
            <w:tcBorders>
              <w:top w:val="single" w:sz="4" w:space="0" w:color="000000"/>
            </w:tcBorders>
            <w:shd w:val="clear" w:color="auto" w:fill="auto"/>
            <w:tcMar>
              <w:top w:w="110" w:type="dxa"/>
            </w:tcMar>
            <w:vAlign w:val="center"/>
          </w:tcPr>
          <w:p w:rsidR="00580A3D" w:rsidRPr="0096004B" w:rsidRDefault="00580A3D" w:rsidP="00975156">
            <w:pPr>
              <w:keepNext/>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961" w:type="dxa"/>
            <w:tcBorders>
              <w:top w:val="single" w:sz="4" w:space="0" w:color="000000"/>
            </w:tcBorders>
            <w:shd w:val="clear" w:color="auto" w:fill="FFFFFF"/>
            <w:tcMar>
              <w:top w:w="110" w:type="dxa"/>
            </w:tcMar>
            <w:vAlign w:val="center"/>
          </w:tcPr>
          <w:p w:rsidR="00580A3D" w:rsidRPr="0096004B" w:rsidRDefault="00580A3D" w:rsidP="00975156">
            <w:pPr>
              <w:keepNext/>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c>
          <w:tcPr>
            <w:tcW w:w="1873"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sz w:val="16"/>
                <w:szCs w:val="16"/>
                <w:lang w:val="ru-RU"/>
              </w:rPr>
              <w:t>Региональный коллоквиум ВОИС, КВИС и Департамента промышленной собственности Таиланда (DIP) по вопросам защиты прав интеллектуальной собственности для судей и прокуроров</w:t>
            </w:r>
          </w:p>
        </w:tc>
        <w:tc>
          <w:tcPr>
            <w:tcW w:w="1134" w:type="dxa"/>
            <w:tcBorders>
              <w:bottom w:val="nil"/>
            </w:tcBorders>
          </w:tcPr>
          <w:p w:rsidR="00580A3D" w:rsidRPr="0096004B" w:rsidRDefault="00580A3D" w:rsidP="00975156">
            <w:pPr>
              <w:keepNext/>
              <w:spacing w:before="60" w:after="60"/>
              <w:rPr>
                <w:rFonts w:cs="Arial"/>
                <w:bCs/>
                <w:sz w:val="16"/>
                <w:szCs w:val="16"/>
                <w:lang w:val="ru-RU"/>
              </w:rPr>
            </w:pPr>
            <w:r w:rsidRPr="0096004B">
              <w:rPr>
                <w:rFonts w:cs="Arial"/>
                <w:bCs/>
                <w:sz w:val="16"/>
                <w:szCs w:val="16"/>
                <w:lang w:val="ru-RU"/>
              </w:rPr>
              <w:t>28–29 октября 2015 г.</w:t>
            </w:r>
          </w:p>
        </w:tc>
        <w:tc>
          <w:tcPr>
            <w:tcW w:w="1843" w:type="dxa"/>
            <w:tcBorders>
              <w:bottom w:val="nil"/>
            </w:tcBorders>
          </w:tcPr>
          <w:p w:rsidR="00580A3D" w:rsidRPr="0096004B" w:rsidRDefault="00580A3D" w:rsidP="00975156">
            <w:pPr>
              <w:keepNext/>
              <w:spacing w:before="60" w:after="60"/>
              <w:rPr>
                <w:rFonts w:cs="Arial"/>
                <w:bCs/>
                <w:sz w:val="16"/>
                <w:szCs w:val="16"/>
                <w:lang w:val="ru-RU"/>
              </w:rPr>
            </w:pPr>
            <w:r w:rsidRPr="0096004B">
              <w:rPr>
                <w:rFonts w:cs="Arial"/>
                <w:bCs/>
                <w:sz w:val="16"/>
                <w:szCs w:val="16"/>
                <w:lang w:val="ru-RU"/>
              </w:rPr>
              <w:t>Таиланд / Бруней-Даруссалам, Камбоджа, Китай, Индонезия, Лаосская Народно-Демократическая Республика</w:t>
            </w:r>
            <w:r w:rsidRPr="0096004B">
              <w:rPr>
                <w:rFonts w:eastAsia="Malgun Gothic" w:cs="Arial"/>
                <w:sz w:val="16"/>
                <w:szCs w:val="16"/>
                <w:lang w:val="ru-RU" w:eastAsia="ko-KR"/>
              </w:rPr>
              <w:t>,</w:t>
            </w:r>
            <w:r w:rsidRPr="0096004B">
              <w:rPr>
                <w:rFonts w:cs="Arial"/>
                <w:bCs/>
                <w:sz w:val="16"/>
                <w:szCs w:val="16"/>
                <w:lang w:val="ru-RU"/>
              </w:rPr>
              <w:t xml:space="preserve"> Малайзия, Мьянма, Филиппины, Республика Корея, Сингапур, Таиланд и Вьетнам</w:t>
            </w:r>
          </w:p>
        </w:tc>
        <w:tc>
          <w:tcPr>
            <w:tcW w:w="4961" w:type="dxa"/>
            <w:tcBorders>
              <w:bottom w:val="nil"/>
            </w:tcBorders>
          </w:tcPr>
          <w:p w:rsidR="00580A3D" w:rsidRPr="0096004B" w:rsidRDefault="00580A3D" w:rsidP="00975156">
            <w:pPr>
              <w:keepNext/>
              <w:spacing w:before="60" w:after="60"/>
              <w:rPr>
                <w:rFonts w:cs="Arial"/>
                <w:bCs/>
                <w:sz w:val="16"/>
                <w:szCs w:val="16"/>
                <w:lang w:val="ru-RU"/>
              </w:rPr>
            </w:pPr>
            <w:r w:rsidRPr="0096004B">
              <w:rPr>
                <w:rFonts w:cs="Arial"/>
                <w:bCs/>
                <w:sz w:val="16"/>
                <w:szCs w:val="16"/>
                <w:lang w:val="ru-RU"/>
              </w:rPr>
              <w:t xml:space="preserve">(i) Расширение знаний о защите ИС и связанных с ней проблемах;  (ii) повышение эффективности гражданского и уголовного производства в сфере ИС в интересах развития и защиты прав потребителей;  и (iii) создание международной сети специалистов в области ИС из числа представителей судейского корпуса для непрерывного обмена информацией и взаимодействия. </w:t>
            </w:r>
          </w:p>
        </w:tc>
      </w:tr>
      <w:tr w:rsidR="00580A3D" w:rsidRPr="005C6ABD" w:rsidTr="00975156">
        <w:trPr>
          <w:trHeight w:val="2101"/>
        </w:trPr>
        <w:tc>
          <w:tcPr>
            <w:tcW w:w="1873"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Практикум «Патентное законодательство и патентная экспертиза»</w:t>
            </w:r>
          </w:p>
        </w:tc>
        <w:tc>
          <w:tcPr>
            <w:tcW w:w="1134" w:type="dxa"/>
            <w:tcBorders>
              <w:bottom w:val="nil"/>
            </w:tcBorders>
          </w:tcPr>
          <w:p w:rsidR="00580A3D" w:rsidRPr="0096004B" w:rsidRDefault="00580A3D" w:rsidP="00975156">
            <w:pPr>
              <w:keepNext/>
              <w:keepLines/>
              <w:autoSpaceDE w:val="0"/>
              <w:autoSpaceDN w:val="0"/>
              <w:adjustRightInd w:val="0"/>
              <w:spacing w:before="60" w:after="60"/>
              <w:rPr>
                <w:rFonts w:cs="Arial"/>
                <w:color w:val="000000"/>
                <w:sz w:val="16"/>
                <w:szCs w:val="16"/>
                <w:lang w:val="ru-RU" w:eastAsia="ko-KR"/>
              </w:rPr>
            </w:pPr>
            <w:r w:rsidRPr="0096004B">
              <w:rPr>
                <w:rFonts w:cs="Arial"/>
                <w:color w:val="000000"/>
                <w:sz w:val="16"/>
                <w:szCs w:val="16"/>
                <w:lang w:val="ru-RU" w:eastAsia="ko-KR"/>
              </w:rPr>
              <w:t>3–12 марта 2015 г.</w:t>
            </w:r>
          </w:p>
          <w:p w:rsidR="00580A3D" w:rsidRPr="0096004B" w:rsidRDefault="00580A3D" w:rsidP="00975156">
            <w:pPr>
              <w:autoSpaceDE w:val="0"/>
              <w:autoSpaceDN w:val="0"/>
              <w:adjustRightInd w:val="0"/>
              <w:spacing w:before="60" w:after="60"/>
              <w:rPr>
                <w:rFonts w:eastAsia="Malgun Gothic" w:cs="Arial"/>
                <w:color w:val="000000"/>
                <w:sz w:val="16"/>
                <w:szCs w:val="16"/>
                <w:lang w:val="ru-RU" w:eastAsia="ko-KR"/>
              </w:rPr>
            </w:pPr>
            <w:r w:rsidRPr="0096004B">
              <w:rPr>
                <w:rFonts w:cs="Arial"/>
                <w:color w:val="000000"/>
                <w:sz w:val="16"/>
                <w:szCs w:val="16"/>
                <w:lang w:val="ru-RU"/>
              </w:rPr>
              <w:t>(Пилотная программа обучения в процессе работы;  16–27 марта 2015 г.)</w:t>
            </w:r>
          </w:p>
        </w:tc>
        <w:tc>
          <w:tcPr>
            <w:tcW w:w="1843" w:type="dxa"/>
            <w:tcBorders>
              <w:bottom w:val="nil"/>
            </w:tcBorders>
          </w:tcPr>
          <w:p w:rsidR="00580A3D" w:rsidRPr="0096004B" w:rsidRDefault="00580A3D" w:rsidP="00975156">
            <w:pPr>
              <w:keepNext/>
              <w:keepLines/>
              <w:autoSpaceDE w:val="0"/>
              <w:autoSpaceDN w:val="0"/>
              <w:adjustRightInd w:val="0"/>
              <w:spacing w:before="60" w:after="60"/>
              <w:rPr>
                <w:rFonts w:eastAsia="Malgun Gothic" w:cs="Arial"/>
                <w:color w:val="000000"/>
                <w:sz w:val="16"/>
                <w:szCs w:val="16"/>
                <w:lang w:val="ru-RU" w:eastAsia="ko-KR"/>
              </w:rPr>
            </w:pPr>
            <w:r w:rsidRPr="0096004B">
              <w:rPr>
                <w:rFonts w:cs="Arial"/>
                <w:color w:val="000000"/>
                <w:sz w:val="16"/>
                <w:szCs w:val="16"/>
                <w:lang w:val="ru-RU"/>
              </w:rPr>
              <w:t xml:space="preserve">Республика Корея / </w:t>
            </w:r>
            <w:r w:rsidRPr="0096004B">
              <w:rPr>
                <w:rFonts w:eastAsia="Batang" w:cs="Arial"/>
                <w:sz w:val="16"/>
                <w:szCs w:val="16"/>
                <w:lang w:val="ru-RU" w:eastAsia="ko-KR"/>
              </w:rPr>
              <w:t>Бангладеш, Камбоджа,</w:t>
            </w:r>
            <w:r w:rsidRPr="0096004B">
              <w:rPr>
                <w:rFonts w:cs="Arial"/>
                <w:sz w:val="16"/>
                <w:szCs w:val="16"/>
                <w:lang w:val="ru-RU" w:eastAsia="ko-KR"/>
              </w:rPr>
              <w:t xml:space="preserve"> Колумбия, Гана, Индия, Индонезия, Лаосская Народно-Демократическая Республика</w:t>
            </w:r>
            <w:r w:rsidRPr="0096004B">
              <w:rPr>
                <w:rFonts w:eastAsia="Malgun Gothic" w:cs="Arial"/>
                <w:sz w:val="16"/>
                <w:szCs w:val="16"/>
                <w:lang w:val="ru-RU" w:eastAsia="ko-KR"/>
              </w:rPr>
              <w:t xml:space="preserve">, </w:t>
            </w:r>
            <w:r w:rsidRPr="0096004B">
              <w:rPr>
                <w:rFonts w:eastAsia="Batang" w:cs="Arial"/>
                <w:sz w:val="16"/>
                <w:szCs w:val="16"/>
                <w:lang w:val="ru-RU" w:eastAsia="ko-KR"/>
              </w:rPr>
              <w:t xml:space="preserve">Малайзия, </w:t>
            </w:r>
            <w:r w:rsidRPr="0096004B">
              <w:rPr>
                <w:rFonts w:cs="Arial"/>
                <w:sz w:val="16"/>
                <w:szCs w:val="16"/>
                <w:lang w:val="ru-RU" w:eastAsia="ko-KR"/>
              </w:rPr>
              <w:t>Монголия,</w:t>
            </w:r>
            <w:r w:rsidRPr="0096004B">
              <w:rPr>
                <w:rFonts w:eastAsia="Batang" w:cs="Arial"/>
                <w:sz w:val="16"/>
                <w:szCs w:val="16"/>
                <w:lang w:val="ru-RU" w:eastAsia="ko-KR"/>
              </w:rPr>
              <w:t xml:space="preserve"> </w:t>
            </w:r>
            <w:r w:rsidRPr="0096004B">
              <w:rPr>
                <w:rFonts w:cs="Arial"/>
                <w:sz w:val="16"/>
                <w:szCs w:val="16"/>
                <w:lang w:val="ru-RU" w:eastAsia="ko-KR"/>
              </w:rPr>
              <w:t>Пакистан, Перу, Филиппины</w:t>
            </w:r>
            <w:r w:rsidRPr="0096004B">
              <w:rPr>
                <w:rFonts w:eastAsia="Batang" w:cs="Arial"/>
                <w:sz w:val="16"/>
                <w:szCs w:val="16"/>
                <w:lang w:val="ru-RU" w:eastAsia="ko-KR"/>
              </w:rPr>
              <w:t xml:space="preserve">, Шри-Ланка, </w:t>
            </w:r>
            <w:r w:rsidRPr="0096004B">
              <w:rPr>
                <w:rFonts w:cs="Arial"/>
                <w:sz w:val="16"/>
                <w:szCs w:val="16"/>
                <w:lang w:val="ru-RU" w:eastAsia="ko-KR"/>
              </w:rPr>
              <w:t>Таиланд,</w:t>
            </w:r>
            <w:r w:rsidRPr="0096004B">
              <w:rPr>
                <w:rFonts w:eastAsia="Malgun Gothic" w:cs="Arial"/>
                <w:sz w:val="16"/>
                <w:szCs w:val="16"/>
                <w:lang w:val="ru-RU" w:eastAsia="ko-KR"/>
              </w:rPr>
              <w:t xml:space="preserve"> Тунис и </w:t>
            </w:r>
            <w:r w:rsidRPr="0096004B">
              <w:rPr>
                <w:rFonts w:cs="Arial"/>
                <w:sz w:val="16"/>
                <w:szCs w:val="16"/>
                <w:lang w:val="ru-RU" w:eastAsia="ko-KR"/>
              </w:rPr>
              <w:t>Вьетнам</w:t>
            </w:r>
          </w:p>
        </w:tc>
        <w:tc>
          <w:tcPr>
            <w:tcW w:w="4961" w:type="dxa"/>
            <w:tcBorders>
              <w:bottom w:val="nil"/>
            </w:tcBorders>
          </w:tcPr>
          <w:p w:rsidR="00580A3D" w:rsidRPr="0096004B" w:rsidRDefault="00580A3D" w:rsidP="00975156">
            <w:pPr>
              <w:spacing w:before="60" w:after="60"/>
              <w:rPr>
                <w:rFonts w:cs="Arial"/>
                <w:color w:val="000000"/>
                <w:sz w:val="16"/>
                <w:szCs w:val="16"/>
                <w:lang w:val="ru-RU" w:eastAsia="ko-KR"/>
              </w:rPr>
            </w:pPr>
            <w:r w:rsidRPr="0096004B">
              <w:rPr>
                <w:rFonts w:eastAsia="Batang" w:cs="Arial"/>
                <w:sz w:val="16"/>
                <w:szCs w:val="16"/>
                <w:lang w:val="ru-RU" w:eastAsia="ko-KR"/>
              </w:rPr>
              <w:t>(ii) </w:t>
            </w:r>
            <w:r w:rsidRPr="0096004B">
              <w:rPr>
                <w:rFonts w:eastAsia="SimSun" w:cs="Arial"/>
                <w:sz w:val="16"/>
                <w:szCs w:val="16"/>
                <w:lang w:val="ru-RU" w:eastAsia="ko-KR"/>
              </w:rPr>
              <w:t xml:space="preserve">Углубление знаний и навыков патентных экспертов в области процедур экспертизы;  (ii) проведение практических занятий по доступу к результатам иностранных экспертиз, их использованию и пониманию посылаемых уведомлений;  (iii) предоставление участникам площадки для </w:t>
            </w:r>
            <w:r w:rsidRPr="0096004B">
              <w:rPr>
                <w:rFonts w:eastAsia="Malgun Gothic" w:cs="Arial"/>
                <w:sz w:val="16"/>
                <w:szCs w:val="16"/>
                <w:lang w:val="ru-RU" w:eastAsia="ko-KR"/>
              </w:rPr>
              <w:t xml:space="preserve">обмена мнениями и выявления различий и общностей между национальными патентными ведомствами в практике экспертизы патентных заявок по существу;  и (iv) надежное усовершенствование патентной экспертизы за счет контроля качества патентов. </w:t>
            </w:r>
          </w:p>
        </w:tc>
      </w:tr>
      <w:tr w:rsidR="00580A3D" w:rsidRPr="005C6ABD" w:rsidTr="00955E75">
        <w:tc>
          <w:tcPr>
            <w:tcW w:w="1873"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eastAsia="Malgun Gothic" w:cs="Arial"/>
                <w:sz w:val="16"/>
                <w:szCs w:val="16"/>
                <w:lang w:val="ru-RU" w:eastAsia="ko-KR"/>
              </w:rPr>
              <w:t>Выставка, посвященная программе IP IGNITE</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eastAsia="Malgun Gothic" w:cs="Arial"/>
                <w:color w:val="000000"/>
                <w:sz w:val="16"/>
                <w:szCs w:val="16"/>
                <w:lang w:val="ru-RU" w:eastAsia="ko-KR"/>
              </w:rPr>
            </w:pPr>
            <w:r w:rsidRPr="0096004B">
              <w:rPr>
                <w:rFonts w:eastAsia="Malgun Gothic" w:cs="Arial"/>
                <w:color w:val="000000"/>
                <w:sz w:val="16"/>
                <w:szCs w:val="16"/>
                <w:lang w:val="ru-RU" w:eastAsia="ko-KR"/>
              </w:rPr>
              <w:t>20 апреля 2015 г.</w:t>
            </w:r>
          </w:p>
        </w:tc>
        <w:tc>
          <w:tcPr>
            <w:tcW w:w="1843"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Все государства-члены ВОИС</w:t>
            </w:r>
          </w:p>
        </w:tc>
        <w:tc>
          <w:tcPr>
            <w:tcW w:w="4961"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eastAsia="ko-KR"/>
              </w:rPr>
            </w:pPr>
            <w:r w:rsidRPr="0096004B">
              <w:rPr>
                <w:rFonts w:cs="Arial"/>
                <w:sz w:val="16"/>
                <w:szCs w:val="16"/>
                <w:lang w:val="ru-RU" w:eastAsia="ko-KR"/>
              </w:rPr>
              <w:t xml:space="preserve">Годовщина запуска программы IP IGNITE, которая была разработана КВИС в сотрудничестве с Академией ВОИС как общий курс интеллектуальной собственности с аудио- и видеодополнениями с использованием материалов курса дистанционного обучения ВОИС DL-101. </w:t>
            </w:r>
          </w:p>
        </w:tc>
      </w:tr>
      <w:tr w:rsidR="00580A3D" w:rsidRPr="005C6ABD" w:rsidTr="00955E75">
        <w:tc>
          <w:tcPr>
            <w:tcW w:w="1873" w:type="dxa"/>
            <w:tcBorders>
              <w:top w:val="nil"/>
              <w:bottom w:val="nil"/>
            </w:tcBorders>
          </w:tcPr>
          <w:p w:rsidR="00580A3D" w:rsidRPr="0096004B" w:rsidRDefault="00580A3D" w:rsidP="00975156">
            <w:pPr>
              <w:autoSpaceDE w:val="0"/>
              <w:autoSpaceDN w:val="0"/>
              <w:adjustRightInd w:val="0"/>
              <w:spacing w:before="60" w:after="60"/>
              <w:rPr>
                <w:rFonts w:eastAsia="Malgun Gothic" w:cs="Arial"/>
                <w:sz w:val="16"/>
                <w:szCs w:val="16"/>
                <w:lang w:val="ru-RU" w:eastAsia="ko-KR"/>
              </w:rPr>
            </w:pPr>
            <w:r w:rsidRPr="0096004B">
              <w:rPr>
                <w:rFonts w:cs="Arial"/>
                <w:color w:val="000000"/>
                <w:sz w:val="16"/>
                <w:szCs w:val="16"/>
                <w:lang w:val="ru-RU"/>
              </w:rPr>
              <w:t>Региональный семинар по разработке и реализации национальной политики в области интеллектуальной собственности</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eastAsia="Malgun Gothic" w:cs="Arial"/>
                <w:color w:val="000000"/>
                <w:sz w:val="16"/>
                <w:szCs w:val="16"/>
                <w:lang w:val="ru-RU" w:eastAsia="ko-KR"/>
              </w:rPr>
            </w:pPr>
            <w:r w:rsidRPr="0096004B">
              <w:rPr>
                <w:rFonts w:eastAsia="Malgun Gothic" w:cs="Arial"/>
                <w:color w:val="000000"/>
                <w:sz w:val="16"/>
                <w:szCs w:val="16"/>
                <w:lang w:val="ru-RU" w:eastAsia="ko-KR"/>
              </w:rPr>
              <w:t>9–11 июня 2015 г.</w:t>
            </w:r>
          </w:p>
        </w:tc>
        <w:tc>
          <w:tcPr>
            <w:tcW w:w="1843" w:type="dxa"/>
            <w:tcBorders>
              <w:top w:val="nil"/>
              <w:bottom w:val="nil"/>
            </w:tcBorders>
          </w:tcPr>
          <w:p w:rsidR="00580A3D" w:rsidRPr="0096004B" w:rsidRDefault="00580A3D" w:rsidP="00975156">
            <w:pPr>
              <w:spacing w:before="60" w:after="60"/>
              <w:contextualSpacing/>
              <w:rPr>
                <w:rFonts w:cs="Arial"/>
                <w:sz w:val="16"/>
                <w:szCs w:val="16"/>
                <w:lang w:val="ru-RU"/>
              </w:rPr>
            </w:pPr>
            <w:r w:rsidRPr="0096004B">
              <w:rPr>
                <w:rFonts w:cs="Arial"/>
                <w:color w:val="000000"/>
                <w:sz w:val="16"/>
                <w:szCs w:val="16"/>
                <w:lang w:val="ru-RU"/>
              </w:rPr>
              <w:t>Республика Корея / Камбоджа, Камерун, Доминиканская Республика, Гамбия, Гана, Индия, Мексика, Монголия, Мьянма, Парагвай, Филиппины, Саудовская Аравия, Вьетнам, Замбия и Зимбабве</w:t>
            </w:r>
          </w:p>
          <w:p w:rsidR="00580A3D" w:rsidRPr="0096004B" w:rsidRDefault="00580A3D" w:rsidP="00975156">
            <w:pPr>
              <w:spacing w:before="60" w:after="60"/>
              <w:contextualSpacing/>
              <w:rPr>
                <w:rFonts w:cs="Arial"/>
                <w:color w:val="000000"/>
                <w:sz w:val="16"/>
                <w:szCs w:val="16"/>
                <w:lang w:val="ru-RU"/>
              </w:rPr>
            </w:pPr>
          </w:p>
        </w:tc>
        <w:tc>
          <w:tcPr>
            <w:tcW w:w="4961" w:type="dxa"/>
            <w:tcBorders>
              <w:top w:val="nil"/>
              <w:bottom w:val="nil"/>
            </w:tcBorders>
          </w:tcPr>
          <w:p w:rsidR="00580A3D" w:rsidRPr="0096004B" w:rsidRDefault="00580A3D" w:rsidP="00975156">
            <w:pPr>
              <w:spacing w:before="60" w:after="60"/>
              <w:rPr>
                <w:rFonts w:cs="Arial"/>
                <w:sz w:val="16"/>
                <w:szCs w:val="16"/>
                <w:lang w:val="ru-RU" w:eastAsia="ko-KR"/>
              </w:rPr>
            </w:pPr>
            <w:r w:rsidRPr="0096004B">
              <w:rPr>
                <w:rFonts w:eastAsia="SimSun" w:cs="Arial"/>
                <w:sz w:val="16"/>
                <w:szCs w:val="16"/>
                <w:lang w:val="ru-RU" w:eastAsia="ko-KR"/>
              </w:rPr>
              <w:t>(i) Рассказ об опыте КВИС по разработке и выполнению политики в области ИС;  (ii) рассмотрение проблем, испытываемых развивающимися странами в отношении политики охраны ИС;  и (iii) обсуждение адекватных методик для разработки и реализации политики охраны ИС в развивающихся странах.</w:t>
            </w:r>
          </w:p>
        </w:tc>
      </w:tr>
      <w:tr w:rsidR="00580A3D" w:rsidRPr="005C6ABD" w:rsidTr="00955E75">
        <w:tc>
          <w:tcPr>
            <w:tcW w:w="1873" w:type="dxa"/>
            <w:tcBorders>
              <w:top w:val="nil"/>
              <w:bottom w:val="nil"/>
            </w:tcBorders>
          </w:tcPr>
          <w:p w:rsidR="00580A3D" w:rsidRPr="0096004B" w:rsidRDefault="00580A3D" w:rsidP="00975156">
            <w:pPr>
              <w:autoSpaceDE w:val="0"/>
              <w:autoSpaceDN w:val="0"/>
              <w:adjustRightInd w:val="0"/>
              <w:spacing w:before="60" w:after="60"/>
              <w:rPr>
                <w:rFonts w:eastAsia="Malgun Gothic" w:cs="Arial"/>
                <w:sz w:val="16"/>
                <w:szCs w:val="16"/>
                <w:lang w:val="ru-RU" w:eastAsia="ko-KR"/>
              </w:rPr>
            </w:pPr>
            <w:r w:rsidRPr="0096004B">
              <w:rPr>
                <w:rFonts w:cs="Arial"/>
                <w:color w:val="000000"/>
                <w:sz w:val="16"/>
                <w:szCs w:val="16"/>
                <w:lang w:val="ru-RU"/>
              </w:rPr>
              <w:t>Мультимедийный комплект инструментов «Панорама ИС»</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eastAsia="Malgun Gothic" w:cs="Arial"/>
                <w:color w:val="000000"/>
                <w:sz w:val="16"/>
                <w:szCs w:val="16"/>
                <w:lang w:val="ru-RU" w:eastAsia="ko-KR"/>
              </w:rPr>
            </w:pPr>
            <w:r w:rsidRPr="0096004B">
              <w:rPr>
                <w:rFonts w:cs="Arial"/>
                <w:color w:val="000000"/>
                <w:sz w:val="16"/>
                <w:szCs w:val="16"/>
                <w:lang w:val="ru-RU" w:eastAsia="ko-KR"/>
              </w:rPr>
              <w:t>Январь – декабрь 2015 г.</w:t>
            </w:r>
            <w:r w:rsidRPr="0096004B">
              <w:rPr>
                <w:rStyle w:val="FootnoteReference"/>
                <w:rFonts w:cs="Arial"/>
                <w:color w:val="000000"/>
                <w:sz w:val="16"/>
                <w:szCs w:val="16"/>
                <w:lang w:val="ru-RU" w:eastAsia="ko-KR"/>
              </w:rPr>
              <w:footnoteReference w:id="162"/>
            </w:r>
          </w:p>
        </w:tc>
        <w:tc>
          <w:tcPr>
            <w:tcW w:w="1843"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Камбоджа, Лаосская Народно-Демократическая Республика и Мьянма </w:t>
            </w:r>
          </w:p>
        </w:tc>
        <w:tc>
          <w:tcPr>
            <w:tcW w:w="4961"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eastAsia="ko-KR"/>
              </w:rPr>
            </w:pPr>
            <w:r w:rsidRPr="0096004B">
              <w:rPr>
                <w:rFonts w:cs="Arial"/>
                <w:color w:val="000000"/>
                <w:sz w:val="16"/>
                <w:szCs w:val="16"/>
                <w:lang w:val="ru-RU" w:eastAsia="ko-KR"/>
              </w:rPr>
              <w:t>Перевод 12 модулей разработанного ВОИС мультимедийного комплекта «Панорама ИС» в трех странах: Камбодже, Лаосской Народно-Демократической Республике и Мьянме</w:t>
            </w:r>
          </w:p>
        </w:tc>
      </w:tr>
      <w:tr w:rsidR="00580A3D" w:rsidRPr="005C6ABD" w:rsidTr="00975156">
        <w:tc>
          <w:tcPr>
            <w:tcW w:w="1873" w:type="dxa"/>
            <w:tcBorders>
              <w:top w:val="nil"/>
              <w:bottom w:val="nil"/>
            </w:tcBorders>
          </w:tcPr>
          <w:p w:rsidR="00580A3D" w:rsidRPr="0096004B" w:rsidRDefault="00580A3D" w:rsidP="00975156">
            <w:pPr>
              <w:autoSpaceDE w:val="0"/>
              <w:autoSpaceDN w:val="0"/>
              <w:adjustRightInd w:val="0"/>
              <w:spacing w:before="60" w:after="60"/>
              <w:rPr>
                <w:rFonts w:eastAsia="Malgun Gothic" w:cs="Arial"/>
                <w:sz w:val="16"/>
                <w:szCs w:val="16"/>
                <w:lang w:val="ru-RU" w:eastAsia="ko-KR"/>
              </w:rPr>
            </w:pPr>
            <w:r w:rsidRPr="0096004B">
              <w:rPr>
                <w:rFonts w:cs="Arial"/>
                <w:color w:val="000000"/>
                <w:sz w:val="16"/>
                <w:szCs w:val="16"/>
                <w:lang w:val="ru-RU"/>
              </w:rPr>
              <w:t>Производство анимационных учебных материалов с пингвиненком Пороро на испанском и французском языках</w:t>
            </w:r>
          </w:p>
        </w:tc>
        <w:tc>
          <w:tcPr>
            <w:tcW w:w="1134" w:type="dxa"/>
            <w:tcBorders>
              <w:top w:val="nil"/>
              <w:bottom w:val="nil"/>
            </w:tcBorders>
          </w:tcPr>
          <w:p w:rsidR="00580A3D" w:rsidRPr="0096004B" w:rsidRDefault="00580A3D" w:rsidP="00975156">
            <w:pPr>
              <w:autoSpaceDE w:val="0"/>
              <w:autoSpaceDN w:val="0"/>
              <w:adjustRightInd w:val="0"/>
              <w:spacing w:before="60" w:after="60"/>
              <w:rPr>
                <w:rFonts w:eastAsia="Malgun Gothic" w:cs="Arial"/>
                <w:color w:val="000000"/>
                <w:sz w:val="16"/>
                <w:szCs w:val="16"/>
                <w:lang w:val="ru-RU" w:eastAsia="ko-KR"/>
              </w:rPr>
            </w:pPr>
            <w:r w:rsidRPr="0096004B">
              <w:rPr>
                <w:rFonts w:eastAsia="Malgun Gothic" w:cs="Arial"/>
                <w:color w:val="000000"/>
                <w:sz w:val="16"/>
                <w:szCs w:val="16"/>
                <w:lang w:val="ru-RU" w:eastAsia="ko-KR"/>
              </w:rPr>
              <w:t>Февраль</w:t>
            </w:r>
            <w:r w:rsidRPr="0096004B">
              <w:rPr>
                <w:rFonts w:cs="Arial"/>
                <w:color w:val="000000"/>
                <w:sz w:val="16"/>
                <w:szCs w:val="16"/>
                <w:lang w:val="ru-RU" w:eastAsia="ko-KR"/>
              </w:rPr>
              <w:t> – апрель 2015 г.</w:t>
            </w:r>
          </w:p>
        </w:tc>
        <w:tc>
          <w:tcPr>
            <w:tcW w:w="1843"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Республика Корея / все государства-члены ВОИС</w:t>
            </w:r>
          </w:p>
        </w:tc>
        <w:tc>
          <w:tcPr>
            <w:tcW w:w="4961" w:type="dxa"/>
            <w:tcBorders>
              <w:top w:val="nil"/>
              <w:bottom w:val="nil"/>
            </w:tcBorders>
          </w:tcPr>
          <w:p w:rsidR="00580A3D" w:rsidRPr="0096004B" w:rsidRDefault="00580A3D" w:rsidP="00975156">
            <w:pPr>
              <w:autoSpaceDE w:val="0"/>
              <w:autoSpaceDN w:val="0"/>
              <w:adjustRightInd w:val="0"/>
              <w:spacing w:before="60" w:after="60"/>
              <w:rPr>
                <w:rFonts w:cs="Arial"/>
                <w:sz w:val="16"/>
                <w:szCs w:val="16"/>
                <w:lang w:val="ru-RU" w:eastAsia="ko-KR"/>
              </w:rPr>
            </w:pPr>
            <w:r w:rsidRPr="0096004B">
              <w:rPr>
                <w:rFonts w:eastAsia="SimSun" w:cs="Arial"/>
                <w:sz w:val="16"/>
                <w:szCs w:val="16"/>
                <w:lang w:val="ru-RU" w:eastAsia="ko-KR"/>
              </w:rPr>
              <w:t>(i) Производство понятных материалов об ИС для неспециалистов;  (ii) повышение интереса широкой общественности к вопросам ИС;  (iii) содействие школам и другим учебным заведениям в использовании программ обучения, способствующих развитию творческих способностей;  и (iv) предоставление пользователям ИС улучшенного доступа к материалам об ИС на родных языках.</w:t>
            </w:r>
          </w:p>
        </w:tc>
      </w:tr>
      <w:tr w:rsidR="00580A3D" w:rsidRPr="005C6ABD" w:rsidTr="00975156">
        <w:tc>
          <w:tcPr>
            <w:tcW w:w="1873" w:type="dxa"/>
            <w:tcBorders>
              <w:top w:val="nil"/>
              <w:bottom w:val="single" w:sz="4" w:space="0" w:color="000000"/>
            </w:tcBorders>
          </w:tcPr>
          <w:p w:rsidR="00580A3D" w:rsidRPr="0096004B" w:rsidRDefault="00580A3D" w:rsidP="00975156">
            <w:pPr>
              <w:autoSpaceDE w:val="0"/>
              <w:autoSpaceDN w:val="0"/>
              <w:adjustRightInd w:val="0"/>
              <w:spacing w:before="60" w:after="60"/>
              <w:rPr>
                <w:rFonts w:eastAsia="Malgun Gothic" w:cs="Arial"/>
                <w:sz w:val="16"/>
                <w:szCs w:val="16"/>
                <w:lang w:val="ru-RU" w:eastAsia="ko-KR"/>
              </w:rPr>
            </w:pPr>
            <w:r w:rsidRPr="0096004B">
              <w:rPr>
                <w:rFonts w:cs="Arial"/>
                <w:color w:val="000000"/>
                <w:sz w:val="16"/>
                <w:szCs w:val="16"/>
                <w:lang w:val="ru-RU"/>
              </w:rPr>
              <w:t>Подготовка учебных материалов по вопросам интеллектуальной собственности</w:t>
            </w:r>
          </w:p>
        </w:tc>
        <w:tc>
          <w:tcPr>
            <w:tcW w:w="1134" w:type="dxa"/>
            <w:tcBorders>
              <w:top w:val="nil"/>
              <w:bottom w:val="single" w:sz="4" w:space="0" w:color="000000"/>
            </w:tcBorders>
          </w:tcPr>
          <w:p w:rsidR="00580A3D" w:rsidRPr="0096004B" w:rsidRDefault="00580A3D" w:rsidP="00975156">
            <w:pPr>
              <w:autoSpaceDE w:val="0"/>
              <w:autoSpaceDN w:val="0"/>
              <w:adjustRightInd w:val="0"/>
              <w:spacing w:before="60" w:after="60"/>
              <w:rPr>
                <w:rFonts w:eastAsia="Malgun Gothic" w:cs="Arial"/>
                <w:color w:val="000000"/>
                <w:sz w:val="16"/>
                <w:szCs w:val="16"/>
                <w:lang w:val="ru-RU" w:eastAsia="ko-KR"/>
              </w:rPr>
            </w:pPr>
            <w:r w:rsidRPr="0096004B">
              <w:rPr>
                <w:rFonts w:cs="Arial"/>
                <w:color w:val="000000"/>
                <w:sz w:val="16"/>
                <w:szCs w:val="16"/>
                <w:lang w:val="ru-RU" w:eastAsia="ko-KR"/>
              </w:rPr>
              <w:t>Январь – декабрь 2015 г.</w:t>
            </w:r>
            <w:r w:rsidRPr="0096004B">
              <w:rPr>
                <w:rStyle w:val="FootnoteReference"/>
                <w:rFonts w:cs="Arial"/>
                <w:color w:val="000000"/>
                <w:sz w:val="16"/>
                <w:szCs w:val="16"/>
                <w:lang w:val="ru-RU" w:eastAsia="ko-KR"/>
              </w:rPr>
              <w:footnoteReference w:id="163"/>
            </w:r>
          </w:p>
        </w:tc>
        <w:tc>
          <w:tcPr>
            <w:tcW w:w="1843" w:type="dxa"/>
            <w:tcBorders>
              <w:top w:val="nil"/>
              <w:bottom w:val="single" w:sz="4" w:space="0" w:color="000000"/>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Республика Корея</w:t>
            </w:r>
          </w:p>
        </w:tc>
        <w:tc>
          <w:tcPr>
            <w:tcW w:w="4961" w:type="dxa"/>
            <w:tcBorders>
              <w:top w:val="nil"/>
              <w:bottom w:val="single" w:sz="4" w:space="0" w:color="000000"/>
            </w:tcBorders>
          </w:tcPr>
          <w:p w:rsidR="00580A3D" w:rsidRPr="0096004B" w:rsidRDefault="00580A3D" w:rsidP="00975156">
            <w:pPr>
              <w:autoSpaceDE w:val="0"/>
              <w:autoSpaceDN w:val="0"/>
              <w:adjustRightInd w:val="0"/>
              <w:spacing w:before="60" w:after="60"/>
              <w:rPr>
                <w:rFonts w:cs="Arial"/>
                <w:sz w:val="16"/>
                <w:szCs w:val="16"/>
                <w:lang w:val="ru-RU" w:eastAsia="ko-KR"/>
              </w:rPr>
            </w:pPr>
            <w:r w:rsidRPr="0096004B">
              <w:rPr>
                <w:rFonts w:eastAsia="SimSun" w:cs="Arial"/>
                <w:sz w:val="16"/>
                <w:szCs w:val="16"/>
                <w:lang w:val="ru-RU" w:eastAsia="ko-KR"/>
              </w:rPr>
              <w:t>(i) Разработка учебных материалов по ИС для учащихся средних школ, позволяющих им понять процесс изобретения и трансформации идей в интеллектуальную собственность;  (ii) помощь школам и другим учебным заведениям в разработке программ обучения, способствующих развитию творческих способностей.</w:t>
            </w:r>
          </w:p>
        </w:tc>
      </w:tr>
    </w:tbl>
    <w:p w:rsidR="00955E75" w:rsidRPr="006A1DE0" w:rsidRDefault="00955E75">
      <w:pPr>
        <w:rPr>
          <w:lang w:val="ru-RU"/>
        </w:rPr>
      </w:pPr>
      <w:r w:rsidRPr="006A1DE0">
        <w:rPr>
          <w:lang w:val="ru-RU"/>
        </w:rPr>
        <w:br w:type="page"/>
      </w:r>
    </w:p>
    <w:tbl>
      <w:tblPr>
        <w:tblW w:w="9811" w:type="dxa"/>
        <w:tblInd w:w="7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30"/>
        <w:gridCol w:w="1177"/>
        <w:gridCol w:w="1843"/>
        <w:gridCol w:w="4961"/>
      </w:tblGrid>
      <w:tr w:rsidR="00580A3D" w:rsidRPr="005C6ABD" w:rsidTr="00975156">
        <w:tc>
          <w:tcPr>
            <w:tcW w:w="9811" w:type="dxa"/>
            <w:gridSpan w:val="4"/>
            <w:tcBorders>
              <w:top w:val="single" w:sz="4" w:space="0" w:color="000000"/>
              <w:bottom w:val="single" w:sz="4" w:space="0" w:color="000000"/>
            </w:tcBorders>
            <w:shd w:val="clear" w:color="auto" w:fill="C6D9F1" w:themeFill="text2" w:themeFillTint="33"/>
          </w:tcPr>
          <w:p w:rsidR="00580A3D" w:rsidRPr="0096004B" w:rsidRDefault="00580A3D" w:rsidP="00975156">
            <w:pPr>
              <w:keepNext/>
              <w:keepLines/>
              <w:tabs>
                <w:tab w:val="left" w:pos="1740"/>
              </w:tabs>
              <w:spacing w:before="120" w:after="120"/>
              <w:ind w:left="1740" w:hanging="1740"/>
              <w:rPr>
                <w:rFonts w:eastAsia="Malgun Gothic" w:cs="Arial"/>
                <w:color w:val="000000"/>
                <w:sz w:val="16"/>
                <w:szCs w:val="16"/>
                <w:lang w:val="ru-RU" w:eastAsia="ko-KR"/>
              </w:rPr>
            </w:pPr>
            <w:r w:rsidRPr="0096004B">
              <w:rPr>
                <w:rFonts w:cs="Arial"/>
                <w:b/>
                <w:bCs/>
                <w:color w:val="000000"/>
                <w:sz w:val="16"/>
                <w:szCs w:val="16"/>
                <w:lang w:val="ru-RU"/>
              </w:rPr>
              <w:t>РЕЗУЛЬТАТ:</w:t>
            </w:r>
            <w:r w:rsidRPr="0096004B">
              <w:rPr>
                <w:rFonts w:cs="Arial"/>
                <w:b/>
                <w:bCs/>
                <w:color w:val="000000"/>
                <w:sz w:val="16"/>
                <w:szCs w:val="16"/>
                <w:lang w:val="ru-RU"/>
              </w:rPr>
              <w:tab/>
              <w:t>IV.2. Расширенный доступ учреждений ИС и широкой общественности к информации в области ИС и активное использование такой информации в целях поощрения инноваций и творчества</w:t>
            </w:r>
          </w:p>
        </w:tc>
      </w:tr>
      <w:tr w:rsidR="00580A3D" w:rsidRPr="0096004B" w:rsidTr="00975156">
        <w:trPr>
          <w:trHeight w:val="500"/>
        </w:trPr>
        <w:tc>
          <w:tcPr>
            <w:tcW w:w="1830" w:type="dxa"/>
            <w:tcBorders>
              <w:top w:val="single" w:sz="4" w:space="0" w:color="000000"/>
              <w:bottom w:val="nil"/>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177" w:type="dxa"/>
            <w:tcBorders>
              <w:top w:val="single" w:sz="4" w:space="0" w:color="000000"/>
              <w:bottom w:val="nil"/>
            </w:tcBorders>
            <w:vAlign w:val="center"/>
          </w:tcPr>
          <w:p w:rsidR="00580A3D" w:rsidRPr="0096004B" w:rsidRDefault="00580A3D" w:rsidP="00975156">
            <w:pPr>
              <w:keepNext/>
              <w:spacing w:before="60" w:after="60"/>
              <w:rPr>
                <w:rFonts w:cs="Arial"/>
                <w:sz w:val="16"/>
                <w:szCs w:val="16"/>
                <w:lang w:val="ru-RU"/>
              </w:rPr>
            </w:pPr>
            <w:r w:rsidRPr="0096004B">
              <w:rPr>
                <w:rFonts w:cs="Arial"/>
                <w:b/>
                <w:bCs/>
                <w:sz w:val="16"/>
                <w:szCs w:val="16"/>
                <w:lang w:val="ru-RU"/>
              </w:rPr>
              <w:t>Дата</w:t>
            </w:r>
          </w:p>
        </w:tc>
        <w:tc>
          <w:tcPr>
            <w:tcW w:w="1843" w:type="dxa"/>
            <w:tcBorders>
              <w:top w:val="single" w:sz="4" w:space="0" w:color="000000"/>
              <w:bottom w:val="nil"/>
            </w:tcBorders>
            <w:vAlign w:val="center"/>
          </w:tcPr>
          <w:p w:rsidR="00580A3D" w:rsidRPr="0096004B" w:rsidRDefault="00580A3D" w:rsidP="00975156">
            <w:pPr>
              <w:keepNext/>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961" w:type="dxa"/>
            <w:tcBorders>
              <w:top w:val="single" w:sz="4" w:space="0" w:color="000000"/>
              <w:bottom w:val="nil"/>
            </w:tcBorders>
            <w:vAlign w:val="center"/>
          </w:tcPr>
          <w:p w:rsidR="00580A3D" w:rsidRPr="0096004B" w:rsidRDefault="00580A3D" w:rsidP="00975156">
            <w:pPr>
              <w:keepNext/>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55E75">
        <w:tc>
          <w:tcPr>
            <w:tcW w:w="1830"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sz w:val="16"/>
                <w:szCs w:val="16"/>
                <w:lang w:val="ru-RU"/>
              </w:rPr>
              <w:t>Региональный семинар по распространению изобретений, относящихся к надлежащим технологиям (НТ)</w:t>
            </w:r>
          </w:p>
        </w:tc>
        <w:tc>
          <w:tcPr>
            <w:tcW w:w="1177" w:type="dxa"/>
            <w:tcBorders>
              <w:bottom w:val="nil"/>
            </w:tcBorders>
          </w:tcPr>
          <w:p w:rsidR="00580A3D" w:rsidRPr="0096004B" w:rsidRDefault="00580A3D" w:rsidP="00975156">
            <w:pPr>
              <w:autoSpaceDE w:val="0"/>
              <w:autoSpaceDN w:val="0"/>
              <w:adjustRightInd w:val="0"/>
              <w:spacing w:before="60" w:after="60"/>
              <w:rPr>
                <w:rFonts w:eastAsia="Malgun Gothic" w:cs="Arial"/>
                <w:color w:val="000000"/>
                <w:sz w:val="16"/>
                <w:szCs w:val="16"/>
                <w:lang w:val="ru-RU" w:eastAsia="ko-KR"/>
              </w:rPr>
            </w:pPr>
            <w:r w:rsidRPr="0096004B">
              <w:rPr>
                <w:rFonts w:cs="Arial"/>
                <w:sz w:val="16"/>
                <w:szCs w:val="16"/>
                <w:lang w:val="ru-RU" w:eastAsia="ko-KR"/>
              </w:rPr>
              <w:t>29–30 апреля 2015 г.</w:t>
            </w:r>
          </w:p>
        </w:tc>
        <w:tc>
          <w:tcPr>
            <w:tcW w:w="1843" w:type="dxa"/>
            <w:tcBorders>
              <w:bottom w:val="nil"/>
            </w:tcBorders>
          </w:tcPr>
          <w:p w:rsidR="00580A3D" w:rsidRPr="0096004B" w:rsidRDefault="00580A3D" w:rsidP="00975156">
            <w:pPr>
              <w:keepNext/>
              <w:keepLines/>
              <w:spacing w:before="60" w:after="60"/>
              <w:rPr>
                <w:rFonts w:cs="Arial"/>
                <w:color w:val="000000"/>
                <w:sz w:val="16"/>
                <w:szCs w:val="16"/>
                <w:lang w:val="ru-RU"/>
              </w:rPr>
            </w:pPr>
            <w:r w:rsidRPr="0096004B">
              <w:rPr>
                <w:rFonts w:cs="Arial"/>
                <w:sz w:val="16"/>
                <w:szCs w:val="16"/>
                <w:lang w:val="ru-RU"/>
              </w:rPr>
              <w:t>Республика Корея / Эфиопия, Мексика, Монголия, Филиппины и Вьетнам.</w:t>
            </w:r>
          </w:p>
        </w:tc>
        <w:tc>
          <w:tcPr>
            <w:tcW w:w="4961" w:type="dxa"/>
            <w:tcBorders>
              <w:bottom w:val="nil"/>
            </w:tcBorders>
          </w:tcPr>
          <w:p w:rsidR="00580A3D" w:rsidRPr="0096004B" w:rsidRDefault="00580A3D" w:rsidP="00975156">
            <w:pPr>
              <w:autoSpaceDE w:val="0"/>
              <w:autoSpaceDN w:val="0"/>
              <w:adjustRightInd w:val="0"/>
              <w:spacing w:before="60" w:after="60"/>
              <w:rPr>
                <w:rFonts w:cs="Arial"/>
                <w:color w:val="000000"/>
                <w:sz w:val="16"/>
                <w:szCs w:val="16"/>
                <w:lang w:val="ru-RU" w:eastAsia="ko-KR"/>
              </w:rPr>
            </w:pPr>
            <w:r w:rsidRPr="0096004B">
              <w:rPr>
                <w:rFonts w:cs="Arial"/>
                <w:sz w:val="16"/>
                <w:szCs w:val="16"/>
                <w:lang w:val="ru-RU" w:eastAsia="ko-KR"/>
              </w:rPr>
              <w:t>(i) Обмен опытом разработки и распространения НТ;  (ii) улучшение понимания вопросов, связанных с повышением доли местных прав собственности на НТ и их устойчивым использованием;  (iii) обсуждение мер по установлению тесного сотрудничества между частным сектором, научно-исследовательскими институтами / университетами и правительствами в целях производства и распространения товаров, основанных на НТ;  и (iv) выявление сложностей с распространением товаров, основанных на НТ, и поиск способов их преодоления.</w:t>
            </w:r>
          </w:p>
        </w:tc>
      </w:tr>
      <w:tr w:rsidR="00580A3D" w:rsidRPr="005C6ABD" w:rsidTr="00955E75">
        <w:tc>
          <w:tcPr>
            <w:tcW w:w="1830" w:type="dxa"/>
            <w:tcBorders>
              <w:top w:val="nil"/>
              <w:left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Конкурс по надлежащим технологиям (НТ)</w:t>
            </w:r>
          </w:p>
        </w:tc>
        <w:tc>
          <w:tcPr>
            <w:tcW w:w="1177" w:type="dxa"/>
            <w:tcBorders>
              <w:top w:val="nil"/>
              <w:bottom w:val="nil"/>
            </w:tcBorders>
          </w:tcPr>
          <w:p w:rsidR="00580A3D" w:rsidRPr="0096004B" w:rsidRDefault="00580A3D" w:rsidP="00975156">
            <w:pPr>
              <w:autoSpaceDE w:val="0"/>
              <w:autoSpaceDN w:val="0"/>
              <w:adjustRightInd w:val="0"/>
              <w:spacing w:before="60" w:after="60"/>
              <w:rPr>
                <w:rFonts w:eastAsia="Malgun Gothic" w:cs="Arial"/>
                <w:color w:val="000000"/>
                <w:sz w:val="16"/>
                <w:szCs w:val="16"/>
                <w:lang w:val="ru-RU" w:eastAsia="ko-KR"/>
              </w:rPr>
            </w:pPr>
            <w:r w:rsidRPr="0096004B">
              <w:rPr>
                <w:rFonts w:eastAsia="Malgun Gothic" w:cs="Arial"/>
                <w:color w:val="000000"/>
                <w:sz w:val="16"/>
                <w:szCs w:val="16"/>
                <w:lang w:val="ru-RU" w:eastAsia="ko-KR"/>
              </w:rPr>
              <w:t>1 апреля</w:t>
            </w:r>
            <w:r w:rsidRPr="0096004B">
              <w:rPr>
                <w:rFonts w:cs="Arial"/>
                <w:color w:val="000000"/>
                <w:sz w:val="16"/>
                <w:szCs w:val="16"/>
                <w:lang w:val="ru-RU"/>
              </w:rPr>
              <w:t> – 18 декабря 2015 г.</w:t>
            </w:r>
          </w:p>
        </w:tc>
        <w:tc>
          <w:tcPr>
            <w:tcW w:w="1843" w:type="dxa"/>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eastAsia="Malgun Gothic" w:cs="Arial"/>
                <w:color w:val="000000"/>
                <w:sz w:val="16"/>
                <w:szCs w:val="16"/>
                <w:lang w:val="ru-RU" w:eastAsia="ko-KR"/>
              </w:rPr>
              <w:t>Монголия</w:t>
            </w:r>
          </w:p>
        </w:tc>
        <w:tc>
          <w:tcPr>
            <w:tcW w:w="4961" w:type="dxa"/>
            <w:tcBorders>
              <w:top w:val="nil"/>
              <w:bottom w:val="nil"/>
              <w:right w:val="single" w:sz="4" w:space="0" w:color="auto"/>
            </w:tcBorders>
          </w:tcPr>
          <w:p w:rsidR="00580A3D" w:rsidRPr="0096004B" w:rsidRDefault="00580A3D" w:rsidP="00975156">
            <w:pPr>
              <w:spacing w:before="60" w:after="60"/>
              <w:contextualSpacing/>
              <w:rPr>
                <w:rFonts w:eastAsia="SimSun" w:cs="Arial"/>
                <w:sz w:val="16"/>
                <w:szCs w:val="16"/>
                <w:lang w:val="ru-RU" w:eastAsia="zh-CN"/>
              </w:rPr>
            </w:pPr>
            <w:r w:rsidRPr="0096004B">
              <w:rPr>
                <w:rFonts w:eastAsia="SimSun" w:cs="Arial"/>
                <w:sz w:val="16"/>
                <w:szCs w:val="16"/>
                <w:lang w:val="ru-RU" w:eastAsia="zh-CN"/>
              </w:rPr>
              <w:t>(i) Поощрение изобретения надлежащих технологий, которые могут легко и экономически выгодно использоваться местными общинами для удовлетворения своих нужд;  и (ii) </w:t>
            </w:r>
            <w:r w:rsidRPr="0096004B">
              <w:rPr>
                <w:rFonts w:eastAsia="Malgun Gothic" w:cs="Arial"/>
                <w:sz w:val="16"/>
                <w:szCs w:val="16"/>
                <w:lang w:val="ru-RU" w:eastAsia="ko-KR"/>
              </w:rPr>
              <w:t>содействие</w:t>
            </w:r>
            <w:r w:rsidRPr="0096004B">
              <w:rPr>
                <w:rFonts w:eastAsia="SimSun" w:cs="Arial"/>
                <w:sz w:val="16"/>
                <w:szCs w:val="16"/>
                <w:lang w:val="ru-RU" w:eastAsia="zh-CN"/>
              </w:rPr>
              <w:t xml:space="preserve"> устойчивому развитию местных общин.</w:t>
            </w:r>
          </w:p>
          <w:p w:rsidR="00580A3D" w:rsidRPr="0096004B" w:rsidRDefault="00580A3D" w:rsidP="00975156">
            <w:pPr>
              <w:spacing w:before="60" w:after="60"/>
              <w:contextualSpacing/>
              <w:rPr>
                <w:rFonts w:eastAsia="SimSun" w:cs="Arial"/>
                <w:sz w:val="16"/>
                <w:szCs w:val="16"/>
                <w:lang w:val="ru-RU" w:eastAsia="zh-CN"/>
              </w:rPr>
            </w:pPr>
          </w:p>
          <w:p w:rsidR="00580A3D" w:rsidRPr="0096004B" w:rsidRDefault="00580A3D" w:rsidP="00975156">
            <w:pPr>
              <w:spacing w:before="60" w:after="60"/>
              <w:contextualSpacing/>
              <w:rPr>
                <w:rFonts w:eastAsia="SimSun" w:cs="Arial"/>
                <w:sz w:val="16"/>
                <w:szCs w:val="16"/>
                <w:lang w:val="ru-RU" w:eastAsia="ko-KR"/>
              </w:rPr>
            </w:pPr>
            <w:r w:rsidRPr="0096004B">
              <w:rPr>
                <w:rFonts w:eastAsia="SimSun" w:cs="Arial"/>
                <w:sz w:val="16"/>
                <w:szCs w:val="16"/>
                <w:lang w:val="ru-RU" w:eastAsia="ko-KR"/>
              </w:rPr>
              <w:t xml:space="preserve"> Ключевым критерием конкурса было эффективное использование патентной информации при разработке решений.</w:t>
            </w:r>
          </w:p>
        </w:tc>
      </w:tr>
      <w:tr w:rsidR="00580A3D" w:rsidRPr="005C6ABD" w:rsidTr="00955E75">
        <w:trPr>
          <w:trHeight w:val="80"/>
        </w:trPr>
        <w:tc>
          <w:tcPr>
            <w:tcW w:w="1830" w:type="dxa"/>
            <w:tcBorders>
              <w:top w:val="nil"/>
              <w:left w:val="single" w:sz="4" w:space="0" w:color="auto"/>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highlight w:val="yellow"/>
                <w:lang w:val="ru-RU"/>
              </w:rPr>
            </w:pPr>
            <w:r w:rsidRPr="0096004B">
              <w:rPr>
                <w:rFonts w:cs="Arial"/>
                <w:color w:val="000000"/>
                <w:sz w:val="16"/>
                <w:szCs w:val="16"/>
                <w:lang w:val="ru-RU"/>
              </w:rPr>
              <w:t>Конкурс по надлежащим технологиям (НТ)</w:t>
            </w:r>
          </w:p>
        </w:tc>
        <w:tc>
          <w:tcPr>
            <w:tcW w:w="1177" w:type="dxa"/>
            <w:tcBorders>
              <w:top w:val="nil"/>
              <w:bottom w:val="single" w:sz="4" w:space="0" w:color="auto"/>
            </w:tcBorders>
          </w:tcPr>
          <w:p w:rsidR="00580A3D" w:rsidRPr="0096004B" w:rsidRDefault="00580A3D" w:rsidP="00975156">
            <w:pPr>
              <w:spacing w:before="60" w:after="60"/>
              <w:rPr>
                <w:rFonts w:cs="Arial"/>
                <w:color w:val="000000"/>
                <w:sz w:val="16"/>
                <w:szCs w:val="16"/>
                <w:lang w:val="ru-RU" w:eastAsia="ko-KR"/>
              </w:rPr>
            </w:pPr>
            <w:r w:rsidRPr="0096004B">
              <w:rPr>
                <w:rFonts w:eastAsia="Malgun Gothic" w:cs="Arial"/>
                <w:color w:val="000000"/>
                <w:sz w:val="16"/>
                <w:szCs w:val="16"/>
                <w:lang w:val="ru-RU" w:eastAsia="ko-KR"/>
              </w:rPr>
              <w:t>Июль</w:t>
            </w:r>
            <w:r w:rsidRPr="0096004B">
              <w:rPr>
                <w:rFonts w:cs="Arial"/>
                <w:color w:val="000000"/>
                <w:sz w:val="16"/>
                <w:szCs w:val="16"/>
                <w:lang w:val="ru-RU" w:eastAsia="ko-KR"/>
              </w:rPr>
              <w:t xml:space="preserve"> 2015 г. (начало проекта)</w:t>
            </w:r>
          </w:p>
          <w:p w:rsidR="00580A3D" w:rsidRPr="0096004B" w:rsidRDefault="00580A3D" w:rsidP="00975156">
            <w:pPr>
              <w:autoSpaceDE w:val="0"/>
              <w:autoSpaceDN w:val="0"/>
              <w:adjustRightInd w:val="0"/>
              <w:spacing w:before="60" w:after="60"/>
              <w:rPr>
                <w:rFonts w:eastAsia="Malgun Gothic" w:cs="Arial"/>
                <w:color w:val="000000"/>
                <w:sz w:val="16"/>
                <w:szCs w:val="16"/>
                <w:highlight w:val="yellow"/>
                <w:lang w:val="ru-RU" w:eastAsia="ko-KR"/>
              </w:rPr>
            </w:pPr>
          </w:p>
        </w:tc>
        <w:tc>
          <w:tcPr>
            <w:tcW w:w="1843" w:type="dxa"/>
            <w:tcBorders>
              <w:top w:val="nil"/>
              <w:bottom w:val="single" w:sz="4" w:space="0" w:color="auto"/>
            </w:tcBorders>
          </w:tcPr>
          <w:p w:rsidR="00580A3D" w:rsidRPr="0096004B" w:rsidRDefault="00580A3D" w:rsidP="00975156">
            <w:pPr>
              <w:spacing w:before="60" w:after="60"/>
              <w:contextualSpacing/>
              <w:rPr>
                <w:rFonts w:cs="Arial"/>
                <w:color w:val="000000"/>
                <w:sz w:val="16"/>
                <w:szCs w:val="16"/>
                <w:highlight w:val="yellow"/>
                <w:lang w:val="ru-RU"/>
              </w:rPr>
            </w:pPr>
            <w:r w:rsidRPr="0096004B">
              <w:rPr>
                <w:rFonts w:eastAsia="Malgun Gothic" w:cs="Arial"/>
                <w:color w:val="000000"/>
                <w:sz w:val="16"/>
                <w:szCs w:val="16"/>
                <w:lang w:val="ru-RU" w:eastAsia="ko-KR"/>
              </w:rPr>
              <w:t>Доминиканская Республика</w:t>
            </w:r>
          </w:p>
        </w:tc>
        <w:tc>
          <w:tcPr>
            <w:tcW w:w="4961" w:type="dxa"/>
            <w:tcBorders>
              <w:top w:val="nil"/>
              <w:bottom w:val="single" w:sz="4" w:space="0" w:color="auto"/>
              <w:right w:val="single" w:sz="4" w:space="0" w:color="auto"/>
            </w:tcBorders>
          </w:tcPr>
          <w:p w:rsidR="00580A3D" w:rsidRPr="0096004B" w:rsidRDefault="00580A3D" w:rsidP="00975156">
            <w:pPr>
              <w:spacing w:before="60" w:after="60"/>
              <w:contextualSpacing/>
              <w:rPr>
                <w:rFonts w:eastAsia="SimSun" w:cs="Arial"/>
                <w:sz w:val="16"/>
                <w:szCs w:val="16"/>
                <w:lang w:val="ru-RU" w:eastAsia="zh-CN"/>
              </w:rPr>
            </w:pPr>
            <w:r w:rsidRPr="0096004B">
              <w:rPr>
                <w:rFonts w:eastAsia="SimSun" w:cs="Arial"/>
                <w:sz w:val="16"/>
                <w:szCs w:val="16"/>
                <w:lang w:val="ru-RU" w:eastAsia="zh-CN"/>
              </w:rPr>
              <w:t>Поощрение изобретения надлежащих сельскохозяйственных технологий, которые могут легко и экономически выгодно использоваться местными общинами для удовлетворения своих нужд и</w:t>
            </w:r>
            <w:r w:rsidRPr="0096004B">
              <w:rPr>
                <w:rFonts w:eastAsia="Malgun Gothic" w:cs="Arial"/>
                <w:sz w:val="16"/>
                <w:szCs w:val="16"/>
                <w:lang w:val="ru-RU" w:eastAsia="ko-KR"/>
              </w:rPr>
              <w:t xml:space="preserve"> содействуют </w:t>
            </w:r>
            <w:r w:rsidRPr="0096004B">
              <w:rPr>
                <w:rFonts w:eastAsia="SimSun" w:cs="Arial"/>
                <w:sz w:val="16"/>
                <w:szCs w:val="16"/>
                <w:lang w:val="ru-RU" w:eastAsia="zh-CN"/>
              </w:rPr>
              <w:t xml:space="preserve">устойчивому развитию местных общин. </w:t>
            </w:r>
          </w:p>
          <w:p w:rsidR="00580A3D" w:rsidRPr="0096004B" w:rsidRDefault="00580A3D" w:rsidP="00975156">
            <w:pPr>
              <w:spacing w:before="60" w:after="60"/>
              <w:contextualSpacing/>
              <w:rPr>
                <w:rFonts w:eastAsia="SimSun" w:cs="Arial"/>
                <w:sz w:val="16"/>
                <w:szCs w:val="16"/>
                <w:lang w:val="ru-RU" w:eastAsia="zh-CN"/>
              </w:rPr>
            </w:pPr>
          </w:p>
          <w:p w:rsidR="00580A3D" w:rsidRPr="0096004B" w:rsidRDefault="00580A3D" w:rsidP="00975156">
            <w:pPr>
              <w:spacing w:before="60" w:after="60"/>
              <w:contextualSpacing/>
              <w:rPr>
                <w:rFonts w:eastAsia="SimSun" w:cs="Arial"/>
                <w:sz w:val="16"/>
                <w:szCs w:val="16"/>
                <w:highlight w:val="yellow"/>
                <w:lang w:val="ru-RU" w:eastAsia="ko-KR"/>
              </w:rPr>
            </w:pPr>
            <w:r w:rsidRPr="0096004B">
              <w:rPr>
                <w:rFonts w:eastAsia="SimSun" w:cs="Arial"/>
                <w:sz w:val="16"/>
                <w:szCs w:val="16"/>
                <w:lang w:val="ru-RU" w:eastAsia="zh-CN"/>
              </w:rPr>
              <w:t>Ключевым критерием конкурса было эффективное использование патентной информации при разработке решений.</w:t>
            </w:r>
          </w:p>
        </w:tc>
      </w:tr>
    </w:tbl>
    <w:p w:rsidR="00580A3D" w:rsidRPr="0096004B" w:rsidRDefault="00580A3D" w:rsidP="00580A3D">
      <w:pPr>
        <w:rPr>
          <w:rFonts w:cs="Arial"/>
          <w:szCs w:val="16"/>
          <w:lang w:val="ru-RU"/>
        </w:rPr>
      </w:pPr>
    </w:p>
    <w:p w:rsidR="00580A3D" w:rsidRPr="0096004B" w:rsidRDefault="00580A3D" w:rsidP="00580A3D">
      <w:pPr>
        <w:rPr>
          <w:rFonts w:cs="Arial"/>
          <w:szCs w:val="16"/>
          <w:lang w:val="ru-RU"/>
        </w:rPr>
      </w:pPr>
    </w:p>
    <w:p w:rsidR="00580A3D" w:rsidRPr="0096004B" w:rsidRDefault="00580A3D" w:rsidP="00580A3D">
      <w:pPr>
        <w:rPr>
          <w:rFonts w:cs="Arial"/>
          <w:b/>
          <w:bCs/>
          <w:color w:val="000000"/>
          <w:szCs w:val="20"/>
          <w:lang w:val="ru-RU"/>
        </w:rPr>
      </w:pPr>
      <w:r w:rsidRPr="0096004B">
        <w:rPr>
          <w:rFonts w:cs="Arial"/>
          <w:b/>
          <w:bCs/>
          <w:szCs w:val="20"/>
          <w:lang w:val="ru-RU"/>
        </w:rPr>
        <w:t>РЕСПУБЛИКА КОРЕЯ – ИНТЕЛЛЕКТУАЛЬНАЯ СОБСТВЕННОСТЬ: взносы доноров и расходы в 2015 г.</w:t>
      </w:r>
    </w:p>
    <w:p w:rsidR="00580A3D" w:rsidRPr="0096004B" w:rsidRDefault="00580A3D" w:rsidP="00580A3D">
      <w:pPr>
        <w:rPr>
          <w:rFonts w:cs="Arial"/>
          <w:b/>
          <w:bCs/>
          <w:color w:val="000000"/>
          <w:szCs w:val="20"/>
          <w:lang w:val="ru-RU"/>
        </w:rPr>
      </w:pPr>
    </w:p>
    <w:tbl>
      <w:tblPr>
        <w:tblW w:w="9791" w:type="dxa"/>
        <w:tblInd w:w="98" w:type="dxa"/>
        <w:tblLook w:val="04A0" w:firstRow="1" w:lastRow="0" w:firstColumn="1" w:lastColumn="0" w:noHBand="0" w:noVBand="1"/>
      </w:tblPr>
      <w:tblGrid>
        <w:gridCol w:w="2040"/>
        <w:gridCol w:w="1640"/>
        <w:gridCol w:w="1860"/>
        <w:gridCol w:w="1780"/>
        <w:gridCol w:w="2471"/>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1" w:type="dxa"/>
            <w:tcBorders>
              <w:top w:val="single" w:sz="8" w:space="0" w:color="auto"/>
              <w:left w:val="nil"/>
              <w:bottom w:val="nil"/>
              <w:right w:val="single" w:sz="8" w:space="0" w:color="auto"/>
            </w:tcBorders>
            <w:shd w:val="clear" w:color="auto" w:fill="C6D9F1" w:themeFill="text2" w:themeFillTint="33"/>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1 180 774</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659 148</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786 531</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1"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1 053 391</w:t>
            </w:r>
          </w:p>
        </w:tc>
      </w:tr>
    </w:tbl>
    <w:p w:rsidR="00580A3D" w:rsidRPr="0096004B" w:rsidRDefault="00580A3D" w:rsidP="00580A3D">
      <w:pPr>
        <w:rPr>
          <w:lang w:val="ru-RU"/>
        </w:rPr>
      </w:pPr>
    </w:p>
    <w:p w:rsidR="00580A3D" w:rsidRPr="0096004B" w:rsidRDefault="00580A3D" w:rsidP="00580A3D">
      <w:pPr>
        <w:rPr>
          <w:lang w:val="ru-RU"/>
        </w:rPr>
      </w:pPr>
    </w:p>
    <w:p w:rsidR="00580A3D" w:rsidRPr="0096004B" w:rsidRDefault="00580A3D" w:rsidP="00580A3D">
      <w:pPr>
        <w:keepNext/>
        <w:keepLines/>
        <w:rPr>
          <w:rFonts w:cs="Arial"/>
          <w:b/>
          <w:lang w:val="ru-RU"/>
        </w:rPr>
      </w:pPr>
      <w:r w:rsidRPr="0096004B">
        <w:rPr>
          <w:rFonts w:cs="Arial"/>
          <w:b/>
          <w:bCs/>
          <w:lang w:val="ru-RU"/>
        </w:rPr>
        <w:t>МЕКСИКА</w:t>
      </w:r>
      <w:r w:rsidR="00614BCC">
        <w:rPr>
          <w:rStyle w:val="FootnoteReference"/>
          <w:rFonts w:cs="Arial"/>
          <w:b/>
          <w:bCs/>
          <w:lang w:val="ru-RU"/>
        </w:rPr>
        <w:footnoteReference w:id="164"/>
      </w:r>
    </w:p>
    <w:p w:rsidR="00580A3D" w:rsidRPr="0096004B" w:rsidRDefault="00580A3D" w:rsidP="00580A3D">
      <w:pPr>
        <w:keepNext/>
        <w:keepLines/>
        <w:rPr>
          <w:rFonts w:cs="Arial"/>
          <w:b/>
          <w:szCs w:val="16"/>
          <w:lang w:val="ru-RU"/>
        </w:rPr>
      </w:pPr>
    </w:p>
    <w:tbl>
      <w:tblPr>
        <w:tblW w:w="9812" w:type="dxa"/>
        <w:tblInd w:w="7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1873"/>
        <w:gridCol w:w="1276"/>
        <w:gridCol w:w="1984"/>
        <w:gridCol w:w="4679"/>
      </w:tblGrid>
      <w:tr w:rsidR="00580A3D" w:rsidRPr="005C6ABD" w:rsidTr="00975156">
        <w:trPr>
          <w:cantSplit/>
        </w:trPr>
        <w:tc>
          <w:tcPr>
            <w:tcW w:w="9812" w:type="dxa"/>
            <w:gridSpan w:val="4"/>
            <w:tcBorders>
              <w:top w:val="single" w:sz="4" w:space="0" w:color="000000"/>
              <w:bottom w:val="single" w:sz="4" w:space="0" w:color="000000"/>
            </w:tcBorders>
            <w:shd w:val="clear" w:color="auto" w:fill="C6D9F1"/>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III.1. Национальные стратегии и планы в области инноваций и ИС, согласующиеся с целями национального развития</w:t>
            </w:r>
          </w:p>
        </w:tc>
      </w:tr>
      <w:tr w:rsidR="00580A3D" w:rsidRPr="0096004B" w:rsidTr="00975156">
        <w:trPr>
          <w:cantSplit/>
        </w:trPr>
        <w:tc>
          <w:tcPr>
            <w:tcW w:w="1873" w:type="dxa"/>
            <w:tcBorders>
              <w:top w:val="single" w:sz="4" w:space="0" w:color="000000"/>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276" w:type="dxa"/>
            <w:tcBorders>
              <w:top w:val="single" w:sz="4" w:space="0" w:color="000000"/>
            </w:tcBorders>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984" w:type="dxa"/>
            <w:tcBorders>
              <w:top w:val="single" w:sz="4" w:space="0" w:color="000000"/>
            </w:tcBorders>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9" w:type="dxa"/>
            <w:tcBorders>
              <w:top w:val="single" w:sz="4" w:space="0" w:color="000000"/>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Pr>
        <w:tc>
          <w:tcPr>
            <w:tcW w:w="1873"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Консультационное совещание стран Тихоокеанского альянса и приглашенных стран в Женеве</w:t>
            </w:r>
          </w:p>
        </w:tc>
        <w:tc>
          <w:tcPr>
            <w:tcW w:w="1276"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6 октября 2015 г.</w:t>
            </w:r>
          </w:p>
        </w:tc>
        <w:tc>
          <w:tcPr>
            <w:tcW w:w="1984"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Мексика / Чили, Колумбия, Куба, Перу, Европейское патентное ведомство (ЕПВ), и Испанское ведомство по патентам и товарным знакам (OEPM).</w:t>
            </w:r>
          </w:p>
        </w:tc>
        <w:tc>
          <w:tcPr>
            <w:tcW w:w="4679"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Содействие диалогу по общим проблемам стран Тихоокеанского альянса и других приглашенных стран в сфере промышленной собственности.</w:t>
            </w:r>
          </w:p>
        </w:tc>
      </w:tr>
    </w:tbl>
    <w:p w:rsidR="00580A3D" w:rsidRPr="0096004B" w:rsidRDefault="00580A3D" w:rsidP="00580A3D">
      <w:pPr>
        <w:rPr>
          <w:rFonts w:cs="Arial"/>
          <w:b/>
          <w:szCs w:val="16"/>
          <w:lang w:val="ru-RU"/>
        </w:rPr>
      </w:pPr>
    </w:p>
    <w:p w:rsidR="00580A3D" w:rsidRPr="0096004B" w:rsidRDefault="00580A3D" w:rsidP="00580A3D">
      <w:pPr>
        <w:rPr>
          <w:rFonts w:cs="Arial"/>
          <w:szCs w:val="16"/>
          <w:lang w:val="ru-RU"/>
        </w:rPr>
      </w:pPr>
    </w:p>
    <w:p w:rsidR="00955E75" w:rsidRDefault="00955E75">
      <w:pPr>
        <w:rPr>
          <w:rFonts w:cs="Arial"/>
          <w:b/>
          <w:bCs/>
          <w:lang w:val="ru-RU"/>
        </w:rPr>
      </w:pPr>
      <w:r>
        <w:rPr>
          <w:rFonts w:cs="Arial"/>
          <w:b/>
          <w:bCs/>
          <w:lang w:val="ru-RU"/>
        </w:rPr>
        <w:br w:type="page"/>
      </w:r>
    </w:p>
    <w:p w:rsidR="00580A3D" w:rsidRPr="0096004B" w:rsidRDefault="00580A3D" w:rsidP="00580A3D">
      <w:pPr>
        <w:rPr>
          <w:rFonts w:cs="Arial"/>
          <w:b/>
          <w:bCs/>
          <w:color w:val="000000"/>
          <w:lang w:val="ru-RU"/>
        </w:rPr>
      </w:pPr>
      <w:r w:rsidRPr="0096004B">
        <w:rPr>
          <w:rFonts w:cs="Arial"/>
          <w:b/>
          <w:bCs/>
          <w:lang w:val="ru-RU"/>
        </w:rPr>
        <w:t>МЕКСИКА: взносы доноров и расходы в 2015 г.</w:t>
      </w:r>
    </w:p>
    <w:p w:rsidR="00580A3D" w:rsidRPr="0096004B" w:rsidRDefault="00580A3D" w:rsidP="00580A3D">
      <w:pPr>
        <w:keepNext/>
        <w:keepLines/>
        <w:rPr>
          <w:rFonts w:cs="Arial"/>
          <w:b/>
          <w:szCs w:val="16"/>
          <w:lang w:val="ru-RU"/>
        </w:rPr>
      </w:pPr>
    </w:p>
    <w:tbl>
      <w:tblPr>
        <w:tblW w:w="9792" w:type="dxa"/>
        <w:tblInd w:w="98" w:type="dxa"/>
        <w:tblLook w:val="04A0" w:firstRow="1" w:lastRow="0" w:firstColumn="1" w:lastColumn="0" w:noHBand="0" w:noVBand="1"/>
      </w:tblPr>
      <w:tblGrid>
        <w:gridCol w:w="2040"/>
        <w:gridCol w:w="1640"/>
        <w:gridCol w:w="1860"/>
        <w:gridCol w:w="1780"/>
        <w:gridCol w:w="2472"/>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2"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163 131</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53</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18 758</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2"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144 426</w:t>
            </w:r>
          </w:p>
        </w:tc>
      </w:tr>
    </w:tbl>
    <w:p w:rsidR="00580A3D" w:rsidRPr="0096004B" w:rsidRDefault="00580A3D" w:rsidP="00580A3D">
      <w:pPr>
        <w:keepNext/>
        <w:keepLines/>
        <w:rPr>
          <w:rFonts w:cs="Arial"/>
          <w:b/>
          <w:szCs w:val="16"/>
          <w:lang w:val="ru-RU"/>
        </w:rPr>
      </w:pPr>
    </w:p>
    <w:p w:rsidR="00580A3D" w:rsidRPr="0096004B" w:rsidRDefault="00580A3D" w:rsidP="00580A3D">
      <w:pPr>
        <w:keepNext/>
        <w:keepLines/>
        <w:rPr>
          <w:rFonts w:cs="Arial"/>
          <w:b/>
          <w:szCs w:val="16"/>
          <w:lang w:val="ru-RU"/>
        </w:rPr>
      </w:pPr>
    </w:p>
    <w:p w:rsidR="00580A3D" w:rsidRPr="0096004B" w:rsidRDefault="00580A3D" w:rsidP="00580A3D">
      <w:pPr>
        <w:rPr>
          <w:rFonts w:cs="Arial"/>
          <w:b/>
          <w:sz w:val="16"/>
          <w:szCs w:val="16"/>
          <w:lang w:val="ru-RU"/>
        </w:rPr>
      </w:pPr>
      <w:r w:rsidRPr="0096004B">
        <w:rPr>
          <w:rFonts w:cs="Arial"/>
          <w:b/>
          <w:bCs/>
          <w:szCs w:val="16"/>
          <w:lang w:val="ru-RU"/>
        </w:rPr>
        <w:t>ИСПАНИЯ</w:t>
      </w:r>
      <w:r w:rsidRPr="0096004B">
        <w:rPr>
          <w:rStyle w:val="FootnoteReference"/>
          <w:rFonts w:cs="Arial"/>
          <w:b/>
          <w:szCs w:val="16"/>
          <w:lang w:val="ru-RU"/>
        </w:rPr>
        <w:footnoteReference w:id="165"/>
      </w:r>
    </w:p>
    <w:p w:rsidR="00580A3D" w:rsidRPr="0096004B" w:rsidRDefault="00580A3D" w:rsidP="00580A3D">
      <w:pPr>
        <w:rPr>
          <w:rFonts w:cs="Arial"/>
          <w:b/>
          <w:szCs w:val="16"/>
          <w:lang w:val="ru-RU"/>
        </w:rPr>
      </w:pPr>
    </w:p>
    <w:tbl>
      <w:tblPr>
        <w:tblW w:w="9782"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80"/>
        <w:gridCol w:w="90"/>
        <w:gridCol w:w="57"/>
        <w:gridCol w:w="142"/>
        <w:gridCol w:w="971"/>
        <w:gridCol w:w="163"/>
        <w:gridCol w:w="1699"/>
        <w:gridCol w:w="28"/>
        <w:gridCol w:w="116"/>
        <w:gridCol w:w="4536"/>
      </w:tblGrid>
      <w:tr w:rsidR="00580A3D" w:rsidRPr="005C6ABD" w:rsidTr="00975156">
        <w:trPr>
          <w:cantSplit/>
        </w:trPr>
        <w:tc>
          <w:tcPr>
            <w:tcW w:w="9782" w:type="dxa"/>
            <w:gridSpan w:val="10"/>
            <w:tcBorders>
              <w:top w:val="single" w:sz="4" w:space="0" w:color="auto"/>
              <w:bottom w:val="single" w:sz="4" w:space="0" w:color="auto"/>
            </w:tcBorders>
            <w:shd w:val="clear" w:color="auto" w:fill="C6D9F1"/>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cantSplit/>
        </w:trPr>
        <w:tc>
          <w:tcPr>
            <w:tcW w:w="2269" w:type="dxa"/>
            <w:gridSpan w:val="4"/>
            <w:tcBorders>
              <w:top w:val="single" w:sz="4" w:space="0" w:color="auto"/>
              <w:bottom w:val="nil"/>
            </w:tcBorders>
          </w:tcPr>
          <w:p w:rsidR="00580A3D" w:rsidRPr="0096004B" w:rsidRDefault="00580A3D" w:rsidP="00975156">
            <w:pPr>
              <w:keepNext/>
              <w:keepLines/>
              <w:autoSpaceDE w:val="0"/>
              <w:autoSpaceDN w:val="0"/>
              <w:adjustRightInd w:val="0"/>
              <w:spacing w:before="60" w:after="60"/>
              <w:rPr>
                <w:rFonts w:cs="Arial"/>
                <w:b/>
                <w:color w:val="000000"/>
                <w:sz w:val="16"/>
                <w:szCs w:val="16"/>
                <w:lang w:val="ru-RU"/>
              </w:rPr>
            </w:pPr>
            <w:r w:rsidRPr="0096004B">
              <w:rPr>
                <w:rFonts w:cs="Arial"/>
                <w:b/>
                <w:bCs/>
                <w:color w:val="000000"/>
                <w:sz w:val="16"/>
                <w:szCs w:val="16"/>
                <w:lang w:val="ru-RU"/>
              </w:rPr>
              <w:t>Вид деятельности</w:t>
            </w:r>
          </w:p>
        </w:tc>
        <w:tc>
          <w:tcPr>
            <w:tcW w:w="1134" w:type="dxa"/>
            <w:gridSpan w:val="2"/>
            <w:tcBorders>
              <w:top w:val="single" w:sz="4" w:space="0" w:color="auto"/>
              <w:bottom w:val="nil"/>
            </w:tcBorders>
            <w:shd w:val="clear" w:color="auto" w:fill="auto"/>
            <w:tcMar>
              <w:top w:w="110" w:type="dxa"/>
            </w:tcMar>
          </w:tcPr>
          <w:p w:rsidR="00580A3D" w:rsidRPr="0096004B" w:rsidRDefault="00580A3D" w:rsidP="00975156">
            <w:pPr>
              <w:autoSpaceDE w:val="0"/>
              <w:autoSpaceDN w:val="0"/>
              <w:adjustRightInd w:val="0"/>
              <w:spacing w:before="60" w:after="60"/>
              <w:rPr>
                <w:rFonts w:cs="Arial"/>
                <w:b/>
                <w:color w:val="000000"/>
                <w:sz w:val="16"/>
                <w:szCs w:val="16"/>
                <w:lang w:val="ru-RU"/>
              </w:rPr>
            </w:pPr>
            <w:r w:rsidRPr="0096004B">
              <w:rPr>
                <w:rFonts w:cs="Arial"/>
                <w:b/>
                <w:bCs/>
                <w:color w:val="000000"/>
                <w:sz w:val="16"/>
                <w:szCs w:val="16"/>
                <w:lang w:val="ru-RU"/>
              </w:rPr>
              <w:t>Дата</w:t>
            </w:r>
          </w:p>
        </w:tc>
        <w:tc>
          <w:tcPr>
            <w:tcW w:w="1843" w:type="dxa"/>
            <w:gridSpan w:val="3"/>
            <w:tcBorders>
              <w:top w:val="single" w:sz="4" w:space="0" w:color="auto"/>
              <w:bottom w:val="nil"/>
            </w:tcBorders>
            <w:shd w:val="clear" w:color="auto" w:fill="auto"/>
            <w:tcMar>
              <w:top w:w="110" w:type="dxa"/>
            </w:tcMar>
          </w:tcPr>
          <w:p w:rsidR="00580A3D" w:rsidRPr="0096004B" w:rsidRDefault="00580A3D" w:rsidP="00975156">
            <w:pPr>
              <w:autoSpaceDE w:val="0"/>
              <w:autoSpaceDN w:val="0"/>
              <w:adjustRightInd w:val="0"/>
              <w:spacing w:before="60" w:after="60"/>
              <w:rPr>
                <w:rFonts w:cs="Arial"/>
                <w:b/>
                <w:color w:val="000000"/>
                <w:sz w:val="16"/>
                <w:szCs w:val="16"/>
                <w:lang w:val="ru-RU"/>
              </w:rPr>
            </w:pPr>
            <w:r w:rsidRPr="0096004B">
              <w:rPr>
                <w:rFonts w:cs="Arial"/>
                <w:b/>
                <w:bCs/>
                <w:color w:val="000000"/>
                <w:sz w:val="16"/>
                <w:szCs w:val="16"/>
                <w:lang w:val="ru-RU"/>
              </w:rPr>
              <w:t xml:space="preserve">Принимающая страна / </w:t>
            </w:r>
          </w:p>
          <w:p w:rsidR="00580A3D" w:rsidRPr="0096004B" w:rsidRDefault="00580A3D" w:rsidP="00975156">
            <w:pPr>
              <w:autoSpaceDE w:val="0"/>
              <w:autoSpaceDN w:val="0"/>
              <w:adjustRightInd w:val="0"/>
              <w:spacing w:before="60" w:after="60"/>
              <w:rPr>
                <w:rFonts w:cs="Arial"/>
                <w:b/>
                <w:color w:val="000000"/>
                <w:sz w:val="16"/>
                <w:szCs w:val="16"/>
                <w:lang w:val="ru-RU"/>
              </w:rPr>
            </w:pPr>
            <w:r w:rsidRPr="0096004B">
              <w:rPr>
                <w:rFonts w:cs="Arial"/>
                <w:b/>
                <w:bCs/>
                <w:color w:val="000000"/>
                <w:sz w:val="16"/>
                <w:szCs w:val="16"/>
                <w:lang w:val="ru-RU"/>
              </w:rPr>
              <w:t>получатели</w:t>
            </w:r>
          </w:p>
        </w:tc>
        <w:tc>
          <w:tcPr>
            <w:tcW w:w="4536" w:type="dxa"/>
            <w:tcBorders>
              <w:top w:val="single" w:sz="4" w:space="0" w:color="auto"/>
              <w:bottom w:val="nil"/>
            </w:tcBorders>
            <w:shd w:val="clear" w:color="auto" w:fill="FFFFFF"/>
            <w:tcMar>
              <w:top w:w="110" w:type="dxa"/>
            </w:tcMar>
          </w:tcPr>
          <w:p w:rsidR="00580A3D" w:rsidRPr="0096004B" w:rsidRDefault="00580A3D" w:rsidP="00975156">
            <w:pPr>
              <w:autoSpaceDE w:val="0"/>
              <w:autoSpaceDN w:val="0"/>
              <w:adjustRightInd w:val="0"/>
              <w:spacing w:before="60" w:after="60"/>
              <w:rPr>
                <w:rFonts w:cs="Arial"/>
                <w:b/>
                <w:color w:val="000000"/>
                <w:sz w:val="16"/>
                <w:szCs w:val="16"/>
                <w:lang w:val="ru-RU"/>
              </w:rPr>
            </w:pPr>
            <w:r w:rsidRPr="0096004B">
              <w:rPr>
                <w:rFonts w:cs="Arial"/>
                <w:b/>
                <w:bCs/>
                <w:color w:val="000000"/>
                <w:sz w:val="16"/>
                <w:szCs w:val="16"/>
                <w:lang w:val="ru-RU"/>
              </w:rPr>
              <w:t>Цель (цели)/описание</w:t>
            </w:r>
          </w:p>
        </w:tc>
      </w:tr>
      <w:tr w:rsidR="00580A3D" w:rsidRPr="005C6ABD" w:rsidTr="00975156">
        <w:trPr>
          <w:cantSplit/>
        </w:trPr>
        <w:tc>
          <w:tcPr>
            <w:tcW w:w="2269" w:type="dxa"/>
            <w:gridSpan w:val="4"/>
            <w:tcBorders>
              <w:top w:val="nil"/>
              <w:bottom w:val="single" w:sz="4" w:space="0" w:color="auto"/>
            </w:tcBorders>
          </w:tcPr>
          <w:p w:rsidR="00580A3D" w:rsidRPr="0096004B" w:rsidRDefault="00580A3D" w:rsidP="00975156">
            <w:pPr>
              <w:spacing w:before="60" w:after="60"/>
              <w:rPr>
                <w:rFonts w:cs="Arial"/>
                <w:sz w:val="16"/>
                <w:szCs w:val="16"/>
                <w:lang w:val="ru-RU"/>
              </w:rPr>
            </w:pPr>
            <w:r w:rsidRPr="0096004B">
              <w:rPr>
                <w:rFonts w:cs="Arial"/>
                <w:sz w:val="16"/>
                <w:szCs w:val="16"/>
                <w:lang w:val="ru-RU"/>
              </w:rPr>
              <w:t>III Региональный семинар ВОИС, Испанского ведомства по патентам и товарным знакам (OEPM) и Испанского агентства международного сотрудничества (AECID), посвященный товарным знакам и промышленным образцам как факторам инноваций и активам предприятий, на тему «Формирование стратегии развития национальных брендов»</w:t>
            </w:r>
          </w:p>
        </w:tc>
        <w:tc>
          <w:tcPr>
            <w:tcW w:w="1134" w:type="dxa"/>
            <w:gridSpan w:val="2"/>
            <w:tcBorders>
              <w:top w:val="nil"/>
              <w:bottom w:val="single" w:sz="4" w:space="0" w:color="auto"/>
            </w:tcBorders>
            <w:shd w:val="clear" w:color="auto" w:fill="auto"/>
            <w:tcMar>
              <w:top w:w="110" w:type="dxa"/>
            </w:tcMar>
          </w:tcPr>
          <w:p w:rsidR="00580A3D" w:rsidRPr="0096004B" w:rsidRDefault="00580A3D" w:rsidP="00975156">
            <w:pPr>
              <w:spacing w:before="60" w:after="60"/>
              <w:rPr>
                <w:rFonts w:cs="Arial"/>
                <w:sz w:val="16"/>
                <w:szCs w:val="16"/>
                <w:lang w:val="ru-RU"/>
              </w:rPr>
            </w:pPr>
            <w:r w:rsidRPr="0096004B">
              <w:rPr>
                <w:rFonts w:cs="Arial"/>
                <w:sz w:val="16"/>
                <w:szCs w:val="16"/>
                <w:lang w:val="ru-RU"/>
              </w:rPr>
              <w:t>26–29 октября 2015 г.</w:t>
            </w:r>
          </w:p>
        </w:tc>
        <w:tc>
          <w:tcPr>
            <w:tcW w:w="1843" w:type="dxa"/>
            <w:gridSpan w:val="3"/>
            <w:tcBorders>
              <w:top w:val="nil"/>
              <w:bottom w:val="single" w:sz="4" w:space="0" w:color="auto"/>
            </w:tcBorders>
            <w:shd w:val="clear" w:color="auto" w:fill="auto"/>
            <w:tcMar>
              <w:top w:w="110" w:type="dxa"/>
            </w:tcMar>
          </w:tcPr>
          <w:p w:rsidR="00580A3D" w:rsidRPr="0096004B" w:rsidRDefault="00580A3D" w:rsidP="00975156">
            <w:pPr>
              <w:spacing w:before="60" w:after="60"/>
              <w:rPr>
                <w:rFonts w:cs="Arial"/>
                <w:sz w:val="16"/>
                <w:szCs w:val="16"/>
                <w:lang w:val="ru-RU"/>
              </w:rPr>
            </w:pPr>
            <w:r w:rsidRPr="0096004B">
              <w:rPr>
                <w:rFonts w:cs="Arial"/>
                <w:sz w:val="16"/>
                <w:szCs w:val="16"/>
                <w:lang w:val="ru-RU"/>
              </w:rPr>
              <w:t>Колумбия / все латиноамериканские страны</w:t>
            </w:r>
          </w:p>
        </w:tc>
        <w:tc>
          <w:tcPr>
            <w:tcW w:w="4536" w:type="dxa"/>
            <w:tcBorders>
              <w:top w:val="nil"/>
              <w:bottom w:val="single" w:sz="4" w:space="0" w:color="auto"/>
            </w:tcBorders>
            <w:shd w:val="clear" w:color="auto" w:fill="FFFFFF"/>
            <w:tcMar>
              <w:top w:w="110" w:type="dxa"/>
            </w:tcMar>
          </w:tcPr>
          <w:p w:rsidR="00580A3D" w:rsidRPr="0096004B" w:rsidRDefault="00580A3D" w:rsidP="00975156">
            <w:pPr>
              <w:spacing w:before="60" w:after="60"/>
              <w:rPr>
                <w:rFonts w:cs="Arial"/>
                <w:sz w:val="16"/>
                <w:szCs w:val="16"/>
                <w:lang w:val="ru-RU"/>
              </w:rPr>
            </w:pPr>
            <w:r w:rsidRPr="0096004B">
              <w:rPr>
                <w:rFonts w:cs="Arial"/>
                <w:sz w:val="16"/>
                <w:szCs w:val="16"/>
                <w:lang w:val="ru-RU"/>
              </w:rPr>
              <w:t>(i) Поощрение использования программ по развитию национальных брендов;  (ii) предоставление площадки для обсуждения правового характера этих программ и продвижения общерегионального подхода к этому вопросу;  (iii) содействие обмену опытом и представлению оптимальных методов работы.</w:t>
            </w:r>
          </w:p>
        </w:tc>
      </w:tr>
      <w:tr w:rsidR="00580A3D" w:rsidRPr="005C6ABD" w:rsidTr="00975156">
        <w:trPr>
          <w:cantSplit/>
        </w:trPr>
        <w:tc>
          <w:tcPr>
            <w:tcW w:w="9782" w:type="dxa"/>
            <w:gridSpan w:val="10"/>
            <w:tcBorders>
              <w:top w:val="single" w:sz="4" w:space="0" w:color="auto"/>
              <w:bottom w:val="single" w:sz="4" w:space="0" w:color="auto"/>
            </w:tcBorders>
            <w:shd w:val="clear" w:color="auto" w:fill="C6D9F1"/>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III.4. Укрепление механизмов и программ сотрудничества, разработанных с учетом потребностей развивающихся стран и НРС</w:t>
            </w:r>
          </w:p>
        </w:tc>
      </w:tr>
      <w:tr w:rsidR="00580A3D" w:rsidRPr="0096004B" w:rsidTr="00975156">
        <w:trPr>
          <w:cantSplit/>
        </w:trPr>
        <w:tc>
          <w:tcPr>
            <w:tcW w:w="2070" w:type="dxa"/>
            <w:gridSpan w:val="2"/>
            <w:tcBorders>
              <w:top w:val="single" w:sz="4" w:space="0" w:color="auto"/>
            </w:tcBorders>
            <w:vAlign w:val="center"/>
          </w:tcPr>
          <w:p w:rsidR="00580A3D" w:rsidRPr="0096004B" w:rsidRDefault="00580A3D" w:rsidP="00975156">
            <w:pPr>
              <w:keepNext/>
              <w:keepLines/>
              <w:autoSpaceDE w:val="0"/>
              <w:autoSpaceDN w:val="0"/>
              <w:adjustRightInd w:val="0"/>
              <w:spacing w:before="60" w:after="60"/>
              <w:rPr>
                <w:rFonts w:cs="Arial"/>
                <w:b/>
                <w:bCs/>
                <w:sz w:val="16"/>
                <w:szCs w:val="16"/>
                <w:lang w:val="ru-RU"/>
              </w:rPr>
            </w:pPr>
            <w:r w:rsidRPr="0096004B">
              <w:rPr>
                <w:rFonts w:cs="Arial"/>
                <w:b/>
                <w:bCs/>
                <w:sz w:val="16"/>
                <w:szCs w:val="16"/>
                <w:lang w:val="ru-RU"/>
              </w:rPr>
              <w:t>Вид деятельности</w:t>
            </w:r>
          </w:p>
        </w:tc>
        <w:tc>
          <w:tcPr>
            <w:tcW w:w="1170" w:type="dxa"/>
            <w:gridSpan w:val="3"/>
            <w:tcBorders>
              <w:top w:val="single" w:sz="4" w:space="0" w:color="auto"/>
            </w:tcBorders>
            <w:shd w:val="clear" w:color="auto" w:fill="auto"/>
            <w:tcMar>
              <w:top w:w="110" w:type="dxa"/>
            </w:tcMar>
            <w:vAlign w:val="center"/>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b/>
                <w:bCs/>
                <w:sz w:val="16"/>
                <w:szCs w:val="16"/>
                <w:lang w:val="ru-RU"/>
              </w:rPr>
              <w:t>Дата</w:t>
            </w:r>
          </w:p>
        </w:tc>
        <w:tc>
          <w:tcPr>
            <w:tcW w:w="1862" w:type="dxa"/>
            <w:gridSpan w:val="2"/>
            <w:tcBorders>
              <w:top w:val="single" w:sz="4" w:space="0" w:color="auto"/>
            </w:tcBorders>
            <w:shd w:val="clear" w:color="auto" w:fill="auto"/>
            <w:tcMar>
              <w:top w:w="110" w:type="dxa"/>
            </w:tcMar>
            <w:vAlign w:val="center"/>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80" w:type="dxa"/>
            <w:gridSpan w:val="3"/>
            <w:tcBorders>
              <w:top w:val="single" w:sz="4" w:space="0" w:color="auto"/>
            </w:tcBorders>
            <w:shd w:val="clear" w:color="auto" w:fill="FFFFFF"/>
            <w:tcMar>
              <w:top w:w="110" w:type="dxa"/>
            </w:tcMar>
            <w:vAlign w:val="center"/>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55E75">
        <w:trPr>
          <w:cantSplit/>
          <w:trHeight w:val="1155"/>
        </w:trPr>
        <w:tc>
          <w:tcPr>
            <w:tcW w:w="2070" w:type="dxa"/>
            <w:gridSpan w:val="2"/>
            <w:tcBorders>
              <w:top w:val="nil"/>
              <w:bottom w:val="nil"/>
            </w:tcBorders>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XIV Региональный семинар ВОИС/OEPM/AECID по интеллектуальной собственности для судей и прокуроров латиноамериканских стран </w:t>
            </w:r>
          </w:p>
        </w:tc>
        <w:tc>
          <w:tcPr>
            <w:tcW w:w="1170" w:type="dxa"/>
            <w:gridSpan w:val="3"/>
            <w:tcBorders>
              <w:top w:val="nil"/>
              <w:bottom w:val="nil"/>
            </w:tcBorders>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16–20 февраля 2015 г.</w:t>
            </w:r>
          </w:p>
        </w:tc>
        <w:tc>
          <w:tcPr>
            <w:tcW w:w="1862" w:type="dxa"/>
            <w:gridSpan w:val="2"/>
            <w:tcBorders>
              <w:top w:val="nil"/>
              <w:bottom w:val="nil"/>
            </w:tcBorders>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Гватемала / все латиноамериканские страны и Трибунал Андского сообщества</w:t>
            </w:r>
          </w:p>
        </w:tc>
        <w:tc>
          <w:tcPr>
            <w:tcW w:w="4680" w:type="dxa"/>
            <w:gridSpan w:val="3"/>
            <w:tcBorders>
              <w:top w:val="nil"/>
              <w:bottom w:val="nil"/>
            </w:tcBorders>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Проведение обучения по вопросам ИС для судей и работников прокуратуры из латиноамериканских стран, специализирующихся на защите прав ИС, для повышения качества процессов принятия решений при рассмотрении судебных споров;  и (ii) предоставление участникам актуальной информации и практических знаний в области патентов, товарных знаков, авторского права и правоприменения.</w:t>
            </w:r>
          </w:p>
        </w:tc>
      </w:tr>
      <w:tr w:rsidR="00580A3D" w:rsidRPr="005C6ABD" w:rsidTr="00955E75">
        <w:tblPrEx>
          <w:tblBorders>
            <w:top w:val="single" w:sz="4" w:space="0" w:color="000000"/>
            <w:left w:val="single" w:sz="4" w:space="0" w:color="000000"/>
            <w:bottom w:val="single" w:sz="4" w:space="0" w:color="000000"/>
            <w:right w:val="single" w:sz="4" w:space="0" w:color="000000"/>
          </w:tblBorders>
        </w:tblPrEx>
        <w:trPr>
          <w:cantSplit/>
          <w:trHeight w:val="1388"/>
        </w:trPr>
        <w:tc>
          <w:tcPr>
            <w:tcW w:w="2070" w:type="dxa"/>
            <w:gridSpan w:val="2"/>
            <w:tcBorders>
              <w:top w:val="nil"/>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Разработка испаноя</w:t>
            </w:r>
            <w:r>
              <w:rPr>
                <w:rFonts w:cs="Arial"/>
                <w:color w:val="000000"/>
                <w:sz w:val="16"/>
                <w:szCs w:val="16"/>
                <w:lang w:val="ru-RU"/>
              </w:rPr>
              <w:softHyphen/>
            </w:r>
            <w:r w:rsidRPr="0096004B">
              <w:rPr>
                <w:rFonts w:cs="Arial"/>
                <w:color w:val="000000"/>
                <w:sz w:val="16"/>
                <w:szCs w:val="16"/>
                <w:lang w:val="ru-RU"/>
              </w:rPr>
              <w:t>зычной платформы (CIBEPYME) для реализации сервисов и контента в области промышленной собст</w:t>
            </w:r>
            <w:r>
              <w:rPr>
                <w:rFonts w:cs="Arial"/>
                <w:color w:val="000000"/>
                <w:sz w:val="16"/>
                <w:szCs w:val="16"/>
                <w:lang w:val="ru-RU"/>
              </w:rPr>
              <w:softHyphen/>
            </w:r>
            <w:r w:rsidRPr="0096004B">
              <w:rPr>
                <w:rFonts w:cs="Arial"/>
                <w:color w:val="000000"/>
                <w:sz w:val="16"/>
                <w:szCs w:val="16"/>
                <w:lang w:val="ru-RU"/>
              </w:rPr>
              <w:t>венности для предпри</w:t>
            </w:r>
            <w:r>
              <w:rPr>
                <w:rFonts w:cs="Arial"/>
                <w:color w:val="000000"/>
                <w:sz w:val="16"/>
                <w:szCs w:val="16"/>
                <w:lang w:val="ru-RU"/>
              </w:rPr>
              <w:softHyphen/>
            </w:r>
            <w:r w:rsidRPr="0096004B">
              <w:rPr>
                <w:rFonts w:cs="Arial"/>
                <w:color w:val="000000"/>
                <w:sz w:val="16"/>
                <w:szCs w:val="16"/>
                <w:lang w:val="ru-RU"/>
              </w:rPr>
              <w:t>нимательского сектора ибероамериканских стран с особым акцентом на потребно</w:t>
            </w:r>
            <w:r>
              <w:rPr>
                <w:rFonts w:cs="Arial"/>
                <w:color w:val="000000"/>
                <w:sz w:val="16"/>
                <w:szCs w:val="16"/>
                <w:lang w:val="ru-RU"/>
              </w:rPr>
              <w:softHyphen/>
            </w:r>
            <w:r w:rsidRPr="0096004B">
              <w:rPr>
                <w:rFonts w:cs="Arial"/>
                <w:color w:val="000000"/>
                <w:sz w:val="16"/>
                <w:szCs w:val="16"/>
                <w:lang w:val="ru-RU"/>
              </w:rPr>
              <w:t>сти МСП</w:t>
            </w:r>
          </w:p>
        </w:tc>
        <w:tc>
          <w:tcPr>
            <w:tcW w:w="1170" w:type="dxa"/>
            <w:gridSpan w:val="3"/>
            <w:tcBorders>
              <w:top w:val="nil"/>
              <w:bottom w:val="single" w:sz="4" w:space="0" w:color="auto"/>
            </w:tcBorders>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(проект осуществ</w:t>
            </w:r>
            <w:r>
              <w:rPr>
                <w:rFonts w:cs="Arial"/>
                <w:color w:val="000000"/>
                <w:sz w:val="16"/>
                <w:szCs w:val="16"/>
                <w:lang w:val="ru-RU"/>
              </w:rPr>
              <w:softHyphen/>
            </w:r>
            <w:r w:rsidRPr="0096004B">
              <w:rPr>
                <w:rFonts w:cs="Arial"/>
                <w:color w:val="000000"/>
                <w:sz w:val="16"/>
                <w:szCs w:val="16"/>
                <w:lang w:val="ru-RU"/>
              </w:rPr>
              <w:t>ляется с 2010 г.)</w:t>
            </w:r>
          </w:p>
        </w:tc>
        <w:tc>
          <w:tcPr>
            <w:tcW w:w="1890" w:type="dxa"/>
            <w:gridSpan w:val="3"/>
            <w:tcBorders>
              <w:top w:val="nil"/>
              <w:bottom w:val="single" w:sz="4" w:space="0" w:color="auto"/>
            </w:tcBorders>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Все ибероамериканские страны</w:t>
            </w:r>
          </w:p>
        </w:tc>
        <w:tc>
          <w:tcPr>
            <w:tcW w:w="4652" w:type="dxa"/>
            <w:gridSpan w:val="2"/>
            <w:tcBorders>
              <w:top w:val="nil"/>
              <w:bottom w:val="single" w:sz="4" w:space="0" w:color="auto"/>
            </w:tcBorders>
            <w:shd w:val="clear" w:color="auto" w:fill="FFFFFF"/>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Продолжение работы по проектированию и созданию единой платформы для частного сектора с целью:  (i) оказания помощи и услуг в области использования ИС;  </w:t>
            </w:r>
            <w:r>
              <w:rPr>
                <w:rFonts w:cs="Arial"/>
                <w:color w:val="000000"/>
                <w:sz w:val="16"/>
                <w:szCs w:val="16"/>
                <w:lang w:val="ru-RU"/>
              </w:rPr>
              <w:t>(</w:t>
            </w:r>
            <w:r w:rsidRPr="0096004B">
              <w:rPr>
                <w:rFonts w:cs="Arial"/>
                <w:color w:val="000000"/>
                <w:sz w:val="16"/>
                <w:szCs w:val="16"/>
                <w:lang w:val="ru-RU"/>
              </w:rPr>
              <w:t>ii) повышения стоимости предприятий;  и (iii) создания форума для обмена мнениями и опытом между предприятиями частного сектора.</w:t>
            </w:r>
          </w:p>
        </w:tc>
      </w:tr>
      <w:tr w:rsidR="00580A3D" w:rsidRPr="005C6ABD" w:rsidTr="00955E75">
        <w:tblPrEx>
          <w:tblBorders>
            <w:top w:val="single" w:sz="4" w:space="0" w:color="000000"/>
            <w:left w:val="single" w:sz="4" w:space="0" w:color="000000"/>
            <w:bottom w:val="single" w:sz="4" w:space="0" w:color="000000"/>
            <w:right w:val="single" w:sz="4" w:space="0" w:color="000000"/>
          </w:tblBorders>
        </w:tblPrEx>
        <w:trPr>
          <w:cantSplit/>
        </w:trPr>
        <w:tc>
          <w:tcPr>
            <w:tcW w:w="2070" w:type="dxa"/>
            <w:gridSpan w:val="2"/>
            <w:tcBorders>
              <w:top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Региональный проект в области автоматиза</w:t>
            </w:r>
            <w:r>
              <w:rPr>
                <w:rFonts w:cs="Arial"/>
                <w:color w:val="000000"/>
                <w:sz w:val="16"/>
                <w:szCs w:val="16"/>
                <w:lang w:val="ru-RU"/>
              </w:rPr>
              <w:softHyphen/>
            </w:r>
            <w:r w:rsidRPr="0096004B">
              <w:rPr>
                <w:rFonts w:cs="Arial"/>
                <w:color w:val="000000"/>
                <w:sz w:val="16"/>
                <w:szCs w:val="16"/>
                <w:lang w:val="ru-RU"/>
              </w:rPr>
              <w:t>ции, имеющий целью перевод текста расши</w:t>
            </w:r>
            <w:r>
              <w:rPr>
                <w:rFonts w:cs="Arial"/>
                <w:color w:val="000000"/>
                <w:sz w:val="16"/>
                <w:szCs w:val="16"/>
                <w:lang w:val="ru-RU"/>
              </w:rPr>
              <w:softHyphen/>
            </w:r>
            <w:r w:rsidRPr="0096004B">
              <w:rPr>
                <w:rFonts w:cs="Arial"/>
                <w:color w:val="000000"/>
                <w:sz w:val="16"/>
                <w:szCs w:val="16"/>
                <w:lang w:val="ru-RU"/>
              </w:rPr>
              <w:t>ренной версии Между</w:t>
            </w:r>
            <w:r>
              <w:rPr>
                <w:rFonts w:cs="Arial"/>
                <w:color w:val="000000"/>
                <w:sz w:val="16"/>
                <w:szCs w:val="16"/>
                <w:lang w:val="ru-RU"/>
              </w:rPr>
              <w:softHyphen/>
            </w:r>
            <w:r w:rsidRPr="0096004B">
              <w:rPr>
                <w:rFonts w:cs="Arial"/>
                <w:color w:val="000000"/>
                <w:sz w:val="16"/>
                <w:szCs w:val="16"/>
                <w:lang w:val="ru-RU"/>
              </w:rPr>
              <w:t>народной патентной классификации (МПК) на испанский язык</w:t>
            </w:r>
          </w:p>
        </w:tc>
        <w:tc>
          <w:tcPr>
            <w:tcW w:w="1170" w:type="dxa"/>
            <w:gridSpan w:val="3"/>
            <w:tcBorders>
              <w:top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(проект осуществ</w:t>
            </w:r>
            <w:r>
              <w:rPr>
                <w:rFonts w:cs="Arial"/>
                <w:color w:val="000000"/>
                <w:sz w:val="16"/>
                <w:szCs w:val="16"/>
                <w:lang w:val="ru-RU"/>
              </w:rPr>
              <w:softHyphen/>
            </w:r>
            <w:r w:rsidRPr="0096004B">
              <w:rPr>
                <w:rFonts w:cs="Arial"/>
                <w:color w:val="000000"/>
                <w:sz w:val="16"/>
                <w:szCs w:val="16"/>
                <w:lang w:val="ru-RU"/>
              </w:rPr>
              <w:t>ляется с 2010 г.)</w:t>
            </w:r>
          </w:p>
        </w:tc>
        <w:tc>
          <w:tcPr>
            <w:tcW w:w="1890" w:type="dxa"/>
            <w:gridSpan w:val="3"/>
            <w:tcBorders>
              <w:top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Все ибероамериканские страны</w:t>
            </w:r>
          </w:p>
        </w:tc>
        <w:tc>
          <w:tcPr>
            <w:tcW w:w="4652" w:type="dxa"/>
            <w:gridSpan w:val="2"/>
            <w:tcBorders>
              <w:top w:val="single" w:sz="4" w:space="0" w:color="auto"/>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Реализация средств автоматизации для работы с расширенной версией МПК на испанском языке, поскольку изначально она создавалась только на английском и французском языках;  и (ii) распространение ее текста для использования ведомствами промышленной собственности латиноамериканских стран.</w:t>
            </w:r>
          </w:p>
        </w:tc>
      </w:tr>
      <w:tr w:rsidR="00580A3D" w:rsidRPr="005C6ABD" w:rsidTr="00955E75">
        <w:tblPrEx>
          <w:tblBorders>
            <w:top w:val="single" w:sz="4" w:space="0" w:color="000000"/>
            <w:left w:val="single" w:sz="4" w:space="0" w:color="000000"/>
            <w:bottom w:val="single" w:sz="4" w:space="0" w:color="000000"/>
            <w:right w:val="single" w:sz="4" w:space="0" w:color="000000"/>
          </w:tblBorders>
        </w:tblPrEx>
        <w:trPr>
          <w:cantSplit/>
        </w:trPr>
        <w:tc>
          <w:tcPr>
            <w:tcW w:w="2127" w:type="dxa"/>
            <w:gridSpan w:val="3"/>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Региональный семинар по PCT и Будапештскому договору для стран Латинской Америки</w:t>
            </w:r>
          </w:p>
        </w:tc>
        <w:tc>
          <w:tcPr>
            <w:tcW w:w="1113"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28–31 июля 2015 г.</w:t>
            </w:r>
          </w:p>
        </w:tc>
        <w:tc>
          <w:tcPr>
            <w:tcW w:w="1890" w:type="dxa"/>
            <w:gridSpan w:val="3"/>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Эквадор / все латиноамериканские страны</w:t>
            </w:r>
          </w:p>
        </w:tc>
        <w:tc>
          <w:tcPr>
            <w:tcW w:w="4652"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Обмен опытом и предоставление национальным ведомствам информации о последних изменениях и событиях в системе РСТ</w:t>
            </w:r>
          </w:p>
        </w:tc>
      </w:tr>
      <w:tr w:rsidR="00580A3D" w:rsidRPr="005C6ABD" w:rsidTr="00580A3D">
        <w:tblPrEx>
          <w:tblBorders>
            <w:top w:val="single" w:sz="4" w:space="0" w:color="000000"/>
            <w:left w:val="single" w:sz="4" w:space="0" w:color="000000"/>
            <w:bottom w:val="single" w:sz="4" w:space="0" w:color="000000"/>
            <w:right w:val="single" w:sz="4" w:space="0" w:color="000000"/>
          </w:tblBorders>
        </w:tblPrEx>
        <w:trPr>
          <w:cantSplit/>
        </w:trPr>
        <w:tc>
          <w:tcPr>
            <w:tcW w:w="2070"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Региональный семинар по обеспечению соблюдения прав промышленной собственности (ПС)</w:t>
            </w:r>
            <w:r w:rsidR="00614BCC">
              <w:rPr>
                <w:rStyle w:val="FootnoteReference"/>
                <w:rFonts w:cs="Arial"/>
                <w:color w:val="000000"/>
                <w:sz w:val="16"/>
                <w:szCs w:val="16"/>
                <w:lang w:val="ru-RU"/>
              </w:rPr>
              <w:footnoteReference w:id="166"/>
            </w:r>
          </w:p>
        </w:tc>
        <w:tc>
          <w:tcPr>
            <w:tcW w:w="1170" w:type="dxa"/>
            <w:gridSpan w:val="3"/>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27–28 июля 2015 г.</w:t>
            </w:r>
          </w:p>
        </w:tc>
        <w:tc>
          <w:tcPr>
            <w:tcW w:w="1890" w:type="dxa"/>
            <w:gridSpan w:val="3"/>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Мексика / Эквадор, Гондурас, Парагвай, Перу, Мексика и Испания</w:t>
            </w:r>
          </w:p>
        </w:tc>
        <w:tc>
          <w:tcPr>
            <w:tcW w:w="4652"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Информирование государственных органов в области ПС о различных подходах к обеспечению соблюдения прав ПС;  (ii) предоставление площадки, на которой национальные ведомства по ПС латиноамериканских стран могут обмениваться опытом обеспечения уважения прав ПС;  (iii) укрепление связей для территориального и институционального сотрудничества в области правоприменения.</w:t>
            </w:r>
          </w:p>
        </w:tc>
      </w:tr>
      <w:tr w:rsidR="00580A3D" w:rsidRPr="005C6ABD" w:rsidTr="00580A3D">
        <w:tblPrEx>
          <w:tblBorders>
            <w:top w:val="single" w:sz="4" w:space="0" w:color="000000"/>
            <w:left w:val="single" w:sz="4" w:space="0" w:color="000000"/>
            <w:bottom w:val="single" w:sz="4" w:space="0" w:color="000000"/>
            <w:right w:val="single" w:sz="4" w:space="0" w:color="000000"/>
          </w:tblBorders>
        </w:tblPrEx>
        <w:trPr>
          <w:cantSplit/>
        </w:trPr>
        <w:tc>
          <w:tcPr>
            <w:tcW w:w="2070"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День борьбы с контрафакцией для торговых палат и предпринимателей</w:t>
            </w:r>
            <w:r w:rsidR="00E47078">
              <w:rPr>
                <w:rStyle w:val="FootnoteReference"/>
                <w:rFonts w:cs="Arial"/>
                <w:color w:val="000000"/>
                <w:sz w:val="16"/>
                <w:szCs w:val="16"/>
                <w:lang w:val="ru-RU"/>
              </w:rPr>
              <w:footnoteReference w:id="167"/>
            </w:r>
          </w:p>
        </w:tc>
        <w:tc>
          <w:tcPr>
            <w:tcW w:w="1170" w:type="dxa"/>
            <w:gridSpan w:val="3"/>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29 июля 2015 г.</w:t>
            </w:r>
          </w:p>
        </w:tc>
        <w:tc>
          <w:tcPr>
            <w:tcW w:w="1890" w:type="dxa"/>
            <w:gridSpan w:val="3"/>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Мексика / Эквадор, Гондурас, Парагвай, Перу, Мексика и Испания</w:t>
            </w:r>
          </w:p>
        </w:tc>
        <w:tc>
          <w:tcPr>
            <w:tcW w:w="4652"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Организация встречи по обмену опытом между высокопоставленными государственными служащими и крупнейшими предпринимателями в целях расширения международной координации и сотрудничества для нахождения наиболее эффективных решений в борьбе с контрафакцией;  и (ii) предоставление обзора услуг и государственной поддержки в области защиты прав ИС.</w:t>
            </w:r>
          </w:p>
        </w:tc>
      </w:tr>
      <w:tr w:rsidR="00580A3D" w:rsidRPr="005C6ABD" w:rsidTr="00580A3D">
        <w:tblPrEx>
          <w:tblBorders>
            <w:top w:val="single" w:sz="4" w:space="0" w:color="000000"/>
            <w:left w:val="single" w:sz="4" w:space="0" w:color="000000"/>
            <w:bottom w:val="single" w:sz="4" w:space="0" w:color="000000"/>
            <w:right w:val="single" w:sz="4" w:space="0" w:color="000000"/>
          </w:tblBorders>
        </w:tblPrEx>
        <w:trPr>
          <w:cantSplit/>
        </w:trPr>
        <w:tc>
          <w:tcPr>
            <w:tcW w:w="2070"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Субрегиональное совещание «Патенты, регистрируемые в странах Центральной Америки, Панаме и Доминиканской Республике» для рассмотрения и утверждения Справочника по патентной экспертизе и укрепления механизмов сотрудничества</w:t>
            </w:r>
          </w:p>
        </w:tc>
        <w:tc>
          <w:tcPr>
            <w:tcW w:w="1170" w:type="dxa"/>
            <w:gridSpan w:val="3"/>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30 июня – 2 июля 2015 г.</w:t>
            </w:r>
          </w:p>
        </w:tc>
        <w:tc>
          <w:tcPr>
            <w:tcW w:w="1890" w:type="dxa"/>
            <w:gridSpan w:val="3"/>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Панама / страны Центральной Америки и Доминиканская Республика</w:t>
            </w:r>
          </w:p>
        </w:tc>
        <w:tc>
          <w:tcPr>
            <w:tcW w:w="4652" w:type="dxa"/>
            <w:gridSpan w:val="2"/>
            <w:tcBorders>
              <w:top w:val="nil"/>
              <w:bottom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(i) Предоставление возможности для доработки «Справочника по патентной экспертизе» для стран Центральной Америки, Панамы и Доминиканской Республики;  (ii) выработка мероприятий, которые будут способствовать будущему использованию справочника при проведении патентной экспертизы;  и (iii) разработка мер укрепления механизмов сотрудничества для достижения консенсуса по вопросу об актуализации содержания справочника в будущем.</w:t>
            </w:r>
          </w:p>
        </w:tc>
      </w:tr>
      <w:tr w:rsidR="00580A3D" w:rsidRPr="005C6ABD" w:rsidTr="00580A3D">
        <w:trPr>
          <w:cantSplit/>
        </w:trPr>
        <w:tc>
          <w:tcPr>
            <w:tcW w:w="2070" w:type="dxa"/>
            <w:gridSpan w:val="2"/>
            <w:tcBorders>
              <w:top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Ибероамериканская программа по вопросам ИС (программа IBEPI)</w:t>
            </w:r>
          </w:p>
        </w:tc>
        <w:tc>
          <w:tcPr>
            <w:tcW w:w="1170" w:type="dxa"/>
            <w:gridSpan w:val="3"/>
            <w:tcBorders>
              <w:top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tc>
        <w:tc>
          <w:tcPr>
            <w:tcW w:w="1862" w:type="dxa"/>
            <w:gridSpan w:val="2"/>
            <w:tcBorders>
              <w:top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Все ибероамериканские страны</w:t>
            </w:r>
          </w:p>
        </w:tc>
        <w:tc>
          <w:tcPr>
            <w:tcW w:w="4680" w:type="dxa"/>
            <w:gridSpan w:val="3"/>
            <w:tcBorders>
              <w:top w:val="nil"/>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Содействие социально-экономическому развитию региона в рамках Встречи глав государств и правительств ибероамериканских стран</w:t>
            </w:r>
          </w:p>
        </w:tc>
      </w:tr>
      <w:tr w:rsidR="00580A3D" w:rsidRPr="005C6ABD" w:rsidTr="00975156">
        <w:trPr>
          <w:cantSplit/>
        </w:trPr>
        <w:tc>
          <w:tcPr>
            <w:tcW w:w="2070" w:type="dxa"/>
            <w:gridSpan w:val="2"/>
            <w:tcBorders>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Совещание Межправительственного комитета программы IBEPI </w:t>
            </w:r>
          </w:p>
        </w:tc>
        <w:tc>
          <w:tcPr>
            <w:tcW w:w="1170" w:type="dxa"/>
            <w:gridSpan w:val="3"/>
            <w:tcBorders>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1–2 октября 2015 г.</w:t>
            </w:r>
          </w:p>
        </w:tc>
        <w:tc>
          <w:tcPr>
            <w:tcW w:w="1862" w:type="dxa"/>
            <w:gridSpan w:val="2"/>
            <w:tcBorders>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Испания / все ибероамериканские страны</w:t>
            </w:r>
          </w:p>
        </w:tc>
        <w:tc>
          <w:tcPr>
            <w:tcW w:w="4680" w:type="dxa"/>
            <w:gridSpan w:val="3"/>
            <w:tcBorders>
              <w:bottom w:val="single" w:sz="4" w:space="0" w:color="auto"/>
            </w:tcBorders>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Содействие проведению совещания Межправительственного комитета программы IBEPI, организованного совместно с Секретариатом IBEPI.  </w:t>
            </w:r>
          </w:p>
        </w:tc>
      </w:tr>
      <w:tr w:rsidR="00580A3D" w:rsidRPr="005C6ABD" w:rsidTr="00975156">
        <w:trPr>
          <w:cantSplit/>
        </w:trPr>
        <w:tc>
          <w:tcPr>
            <w:tcW w:w="9782" w:type="dxa"/>
            <w:gridSpan w:val="10"/>
            <w:tcBorders>
              <w:top w:val="single" w:sz="4" w:space="0" w:color="auto"/>
              <w:bottom w:val="single" w:sz="4" w:space="0" w:color="auto"/>
            </w:tcBorders>
            <w:shd w:val="clear" w:color="auto" w:fill="C6D9F1"/>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IV.4. Совершенствование технической инфраструктуры и инфраструктуры знаний для ведомств ИС и других учреждений ИС, ведущее к предоставлению улучшенных услуг (более дешевых, более быстрых, более качественных) их заинтересованным сторонам</w:t>
            </w:r>
          </w:p>
        </w:tc>
      </w:tr>
      <w:tr w:rsidR="00580A3D" w:rsidRPr="0096004B" w:rsidTr="00975156">
        <w:trPr>
          <w:cantSplit/>
        </w:trPr>
        <w:tc>
          <w:tcPr>
            <w:tcW w:w="1980" w:type="dxa"/>
            <w:tcBorders>
              <w:top w:val="single" w:sz="4" w:space="0" w:color="auto"/>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260" w:type="dxa"/>
            <w:gridSpan w:val="4"/>
            <w:tcBorders>
              <w:top w:val="single" w:sz="4" w:space="0" w:color="auto"/>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862" w:type="dxa"/>
            <w:gridSpan w:val="2"/>
            <w:tcBorders>
              <w:top w:val="single" w:sz="4" w:space="0" w:color="auto"/>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80" w:type="dxa"/>
            <w:gridSpan w:val="3"/>
            <w:tcBorders>
              <w:top w:val="single" w:sz="4" w:space="0" w:color="auto"/>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Height w:val="1517"/>
        </w:trPr>
        <w:tc>
          <w:tcPr>
            <w:tcW w:w="1980" w:type="dxa"/>
          </w:tcPr>
          <w:p w:rsidR="00580A3D" w:rsidRPr="0096004B" w:rsidRDefault="00580A3D" w:rsidP="00975156">
            <w:pPr>
              <w:keepNext/>
              <w:keepLines/>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VI Региональный семинар по управлению </w:t>
            </w:r>
          </w:p>
          <w:p w:rsidR="00580A3D" w:rsidRPr="0096004B" w:rsidRDefault="00580A3D" w:rsidP="00975156">
            <w:pPr>
              <w:keepNext/>
              <w:keepLines/>
              <w:autoSpaceDE w:val="0"/>
              <w:autoSpaceDN w:val="0"/>
              <w:adjustRightInd w:val="0"/>
              <w:spacing w:before="60" w:after="60"/>
              <w:rPr>
                <w:rFonts w:cs="Arial"/>
                <w:sz w:val="16"/>
                <w:szCs w:val="16"/>
                <w:lang w:val="ru-RU"/>
              </w:rPr>
            </w:pPr>
            <w:r w:rsidRPr="0096004B">
              <w:rPr>
                <w:rFonts w:cs="Arial"/>
                <w:color w:val="000000"/>
                <w:sz w:val="16"/>
                <w:szCs w:val="16"/>
                <w:lang w:val="ru-RU"/>
              </w:rPr>
              <w:t>национальными ведомствами по промышленной собственности на тему «Роль программ распределения рабочей нагрузки»</w:t>
            </w:r>
          </w:p>
        </w:tc>
        <w:tc>
          <w:tcPr>
            <w:tcW w:w="1260" w:type="dxa"/>
            <w:gridSpan w:val="4"/>
          </w:tcPr>
          <w:p w:rsidR="00580A3D" w:rsidRPr="0096004B" w:rsidRDefault="00580A3D" w:rsidP="00975156">
            <w:pPr>
              <w:keepNext/>
              <w:keepLines/>
              <w:autoSpaceDE w:val="0"/>
              <w:autoSpaceDN w:val="0"/>
              <w:adjustRightInd w:val="0"/>
              <w:spacing w:before="60" w:after="60"/>
              <w:rPr>
                <w:rFonts w:cs="Arial"/>
                <w:color w:val="000000"/>
                <w:sz w:val="16"/>
                <w:szCs w:val="16"/>
                <w:lang w:val="ru-RU" w:eastAsia="ja-JP"/>
              </w:rPr>
            </w:pPr>
            <w:r w:rsidRPr="0096004B">
              <w:rPr>
                <w:rFonts w:cs="Arial"/>
                <w:color w:val="000000"/>
                <w:sz w:val="16"/>
                <w:szCs w:val="16"/>
                <w:lang w:val="ru-RU" w:eastAsia="ja-JP"/>
              </w:rPr>
              <w:t>16–19 марта 2015 г</w:t>
            </w:r>
          </w:p>
        </w:tc>
        <w:tc>
          <w:tcPr>
            <w:tcW w:w="1862" w:type="dxa"/>
            <w:gridSpan w:val="2"/>
          </w:tcPr>
          <w:p w:rsidR="00580A3D" w:rsidRPr="0096004B" w:rsidRDefault="00580A3D" w:rsidP="00975156">
            <w:pPr>
              <w:keepNext/>
              <w:keepLines/>
              <w:autoSpaceDE w:val="0"/>
              <w:autoSpaceDN w:val="0"/>
              <w:adjustRightInd w:val="0"/>
              <w:spacing w:before="60" w:after="60"/>
              <w:rPr>
                <w:rFonts w:cs="Arial"/>
                <w:color w:val="000000"/>
                <w:sz w:val="16"/>
                <w:szCs w:val="16"/>
                <w:lang w:val="ru-RU" w:eastAsia="ja-JP"/>
              </w:rPr>
            </w:pPr>
            <w:r w:rsidRPr="0096004B">
              <w:rPr>
                <w:rFonts w:cs="Arial"/>
                <w:color w:val="000000"/>
                <w:sz w:val="16"/>
                <w:szCs w:val="16"/>
                <w:lang w:val="ru-RU" w:eastAsia="ja-JP"/>
              </w:rPr>
              <w:t>Колумбия / все латиноамериканские страны</w:t>
            </w:r>
          </w:p>
        </w:tc>
        <w:tc>
          <w:tcPr>
            <w:tcW w:w="4680" w:type="dxa"/>
            <w:gridSpan w:val="3"/>
          </w:tcPr>
          <w:p w:rsidR="00580A3D" w:rsidRPr="0096004B" w:rsidRDefault="00580A3D" w:rsidP="00975156">
            <w:pPr>
              <w:keepNext/>
              <w:keepLines/>
              <w:autoSpaceDE w:val="0"/>
              <w:autoSpaceDN w:val="0"/>
              <w:adjustRightInd w:val="0"/>
              <w:spacing w:before="60" w:after="60"/>
              <w:rPr>
                <w:rFonts w:cs="Arial"/>
                <w:color w:val="000000"/>
                <w:sz w:val="16"/>
                <w:szCs w:val="16"/>
                <w:lang w:val="ru-RU" w:eastAsia="ja-JP"/>
              </w:rPr>
            </w:pPr>
            <w:r w:rsidRPr="0096004B">
              <w:rPr>
                <w:rFonts w:cs="Arial"/>
                <w:color w:val="000000"/>
                <w:sz w:val="16"/>
                <w:szCs w:val="16"/>
                <w:lang w:val="ru-RU" w:eastAsia="ja-JP"/>
              </w:rPr>
              <w:t>(i) Предоставление участникам уточненной информации, практического обучения и полезных инструментов в области управления национальными ведомствами; (ii) предоставление площадки для обмена передовой практикой; и (iii) воспитание у административных сотрудников ведомств ИС из латиноамериканских стран понимания важности сервисно-ориентированного управления.</w:t>
            </w:r>
          </w:p>
        </w:tc>
      </w:tr>
      <w:tr w:rsidR="00580A3D" w:rsidRPr="005C6ABD" w:rsidTr="00975156">
        <w:trPr>
          <w:cantSplit/>
          <w:trHeight w:val="1656"/>
        </w:trPr>
        <w:tc>
          <w:tcPr>
            <w:tcW w:w="1980"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ПРОЕКТ LATIPAT </w:t>
            </w:r>
            <w:r w:rsidRPr="0096004B">
              <w:rPr>
                <w:rFonts w:cs="Arial"/>
                <w:color w:val="000000"/>
                <w:sz w:val="16"/>
                <w:szCs w:val="16"/>
                <w:lang w:val="ru-RU"/>
              </w:rPr>
              <w:br/>
              <w:t xml:space="preserve">ВОИС/OEPM/ЕПВ: XI региональное совещание специалистов по информационным технологиям и управлению патентной информацией ведомств промышленной собственности стран Латинской Америки </w:t>
            </w:r>
          </w:p>
        </w:tc>
        <w:tc>
          <w:tcPr>
            <w:tcW w:w="1260" w:type="dxa"/>
            <w:gridSpan w:val="4"/>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4–6 ноября 2016 г.</w:t>
            </w:r>
          </w:p>
        </w:tc>
        <w:tc>
          <w:tcPr>
            <w:tcW w:w="1862" w:type="dxa"/>
            <w:gridSpan w:val="2"/>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Мексика / все латиноамериканские страны</w:t>
            </w:r>
          </w:p>
        </w:tc>
        <w:tc>
          <w:tcPr>
            <w:tcW w:w="4680" w:type="dxa"/>
            <w:gridSpan w:val="3"/>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Проект LATIPAT имеет своей целью разработку и реализацию единой базы патентной информации всех стран Латинской Америки.  В настоящее время проект LATIPAT может служить примером целеустремленности, упорства и коллективной работы не только для стран Латинской Америки, но и для многих международных форумов, посвященных патентной информации.  За 15 лет в базе данных аккумулировано более 2 млн документов, создана платформа, к которой обращаются в среднем 14 000 тысяч раз в месяц.</w:t>
            </w:r>
          </w:p>
        </w:tc>
      </w:tr>
    </w:tbl>
    <w:p w:rsidR="00580A3D" w:rsidRPr="0096004B" w:rsidRDefault="00580A3D" w:rsidP="00580A3D">
      <w:pPr>
        <w:keepNext/>
        <w:keepLines/>
        <w:rPr>
          <w:rFonts w:cs="Arial"/>
          <w:b/>
          <w:szCs w:val="16"/>
          <w:lang w:val="ru-RU"/>
        </w:rPr>
      </w:pPr>
    </w:p>
    <w:p w:rsidR="00580A3D" w:rsidRPr="0096004B" w:rsidRDefault="00580A3D" w:rsidP="00580A3D">
      <w:pPr>
        <w:rPr>
          <w:rFonts w:cs="Arial"/>
          <w:b/>
          <w:bCs/>
          <w:color w:val="000000"/>
          <w:szCs w:val="20"/>
          <w:lang w:val="ru-RU"/>
        </w:rPr>
      </w:pPr>
      <w:r w:rsidRPr="0096004B">
        <w:rPr>
          <w:rFonts w:cs="Arial"/>
          <w:b/>
          <w:bCs/>
          <w:szCs w:val="20"/>
          <w:lang w:val="ru-RU"/>
        </w:rPr>
        <w:t>ИСПАНИЯ: взносы доноров и расходы в 2015 г.</w:t>
      </w:r>
    </w:p>
    <w:p w:rsidR="00580A3D" w:rsidRPr="0096004B" w:rsidRDefault="00580A3D" w:rsidP="00580A3D">
      <w:pPr>
        <w:keepNext/>
        <w:keepLines/>
        <w:rPr>
          <w:rFonts w:cs="Arial"/>
          <w:b/>
          <w:sz w:val="16"/>
          <w:szCs w:val="16"/>
          <w:lang w:val="ru-RU"/>
        </w:rPr>
      </w:pPr>
    </w:p>
    <w:tbl>
      <w:tblPr>
        <w:tblW w:w="9792" w:type="dxa"/>
        <w:tblInd w:w="98" w:type="dxa"/>
        <w:tblLook w:val="04A0" w:firstRow="1" w:lastRow="0" w:firstColumn="1" w:lastColumn="0" w:noHBand="0" w:noVBand="1"/>
      </w:tblPr>
      <w:tblGrid>
        <w:gridCol w:w="2040"/>
        <w:gridCol w:w="1640"/>
        <w:gridCol w:w="1860"/>
        <w:gridCol w:w="1780"/>
        <w:gridCol w:w="2472"/>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2" w:type="dxa"/>
            <w:tcBorders>
              <w:top w:val="single" w:sz="8" w:space="0" w:color="auto"/>
              <w:left w:val="nil"/>
              <w:bottom w:val="nil"/>
              <w:right w:val="single" w:sz="8" w:space="0" w:color="auto"/>
            </w:tcBorders>
            <w:shd w:val="clear" w:color="000000" w:fill="C5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463"/>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120 153</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169 146</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182 078</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2"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107 221</w:t>
            </w:r>
          </w:p>
        </w:tc>
      </w:tr>
    </w:tbl>
    <w:p w:rsidR="00580A3D" w:rsidRPr="0096004B" w:rsidRDefault="00580A3D" w:rsidP="00580A3D">
      <w:pPr>
        <w:rPr>
          <w:lang w:val="ru-RU"/>
        </w:rPr>
      </w:pPr>
    </w:p>
    <w:p w:rsidR="00580A3D" w:rsidRPr="0096004B" w:rsidRDefault="00580A3D" w:rsidP="00580A3D">
      <w:pPr>
        <w:rPr>
          <w:lang w:val="ru-RU"/>
        </w:rPr>
      </w:pPr>
    </w:p>
    <w:p w:rsidR="00580A3D" w:rsidRPr="0096004B" w:rsidRDefault="00580A3D" w:rsidP="00580A3D">
      <w:pPr>
        <w:rPr>
          <w:rFonts w:cs="Arial"/>
          <w:b/>
          <w:szCs w:val="20"/>
          <w:lang w:val="ru-RU"/>
        </w:rPr>
      </w:pPr>
      <w:r w:rsidRPr="0096004B">
        <w:rPr>
          <w:rFonts w:cs="Arial"/>
          <w:b/>
          <w:bCs/>
          <w:szCs w:val="20"/>
          <w:lang w:val="ru-RU"/>
        </w:rPr>
        <w:t>УРУГВАЙ</w:t>
      </w:r>
    </w:p>
    <w:p w:rsidR="00580A3D" w:rsidRPr="0096004B" w:rsidRDefault="00580A3D" w:rsidP="00580A3D">
      <w:pPr>
        <w:keepNext/>
        <w:keepLines/>
        <w:rPr>
          <w:rFonts w:cs="Arial"/>
          <w:b/>
          <w:szCs w:val="20"/>
          <w:lang w:val="ru-RU"/>
        </w:rPr>
      </w:pPr>
    </w:p>
    <w:tbl>
      <w:tblPr>
        <w:tblW w:w="9782"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81"/>
        <w:gridCol w:w="1260"/>
        <w:gridCol w:w="1862"/>
        <w:gridCol w:w="4679"/>
      </w:tblGrid>
      <w:tr w:rsidR="00580A3D" w:rsidRPr="005C6ABD" w:rsidTr="00975156">
        <w:trPr>
          <w:cantSplit/>
        </w:trPr>
        <w:tc>
          <w:tcPr>
            <w:tcW w:w="9782" w:type="dxa"/>
            <w:gridSpan w:val="4"/>
            <w:tcBorders>
              <w:top w:val="single" w:sz="4" w:space="0" w:color="auto"/>
              <w:bottom w:val="single" w:sz="4" w:space="0" w:color="auto"/>
            </w:tcBorders>
            <w:shd w:val="clear" w:color="auto" w:fill="C6D9F1"/>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III.2. Укрепление потенциала людских ресурсов, способных выполнять широкий спектр требований в отношении эффективного использования ИС в целях развития в развивающихся странах, НРС и странах с переходной экономикой</w:t>
            </w:r>
          </w:p>
        </w:tc>
      </w:tr>
      <w:tr w:rsidR="00580A3D" w:rsidRPr="0096004B" w:rsidTr="00975156">
        <w:trPr>
          <w:cantSplit/>
          <w:trHeight w:val="440"/>
        </w:trPr>
        <w:tc>
          <w:tcPr>
            <w:tcW w:w="1981" w:type="dxa"/>
            <w:tcBorders>
              <w:top w:val="single" w:sz="4" w:space="0" w:color="auto"/>
            </w:tcBorders>
          </w:tcPr>
          <w:p w:rsidR="00580A3D" w:rsidRPr="0096004B" w:rsidRDefault="00580A3D" w:rsidP="00975156">
            <w:pPr>
              <w:keepNext/>
              <w:keepLines/>
              <w:autoSpaceDE w:val="0"/>
              <w:autoSpaceDN w:val="0"/>
              <w:adjustRightInd w:val="0"/>
              <w:spacing w:before="60" w:after="60"/>
              <w:rPr>
                <w:rFonts w:cs="Arial"/>
                <w:b/>
                <w:color w:val="000000"/>
                <w:sz w:val="16"/>
                <w:szCs w:val="16"/>
                <w:lang w:val="ru-RU"/>
              </w:rPr>
            </w:pPr>
            <w:r w:rsidRPr="0096004B">
              <w:rPr>
                <w:rFonts w:cs="Arial"/>
                <w:b/>
                <w:bCs/>
                <w:color w:val="000000"/>
                <w:sz w:val="16"/>
                <w:szCs w:val="16"/>
                <w:lang w:val="ru-RU"/>
              </w:rPr>
              <w:t>Вид деятельности</w:t>
            </w:r>
          </w:p>
        </w:tc>
        <w:tc>
          <w:tcPr>
            <w:tcW w:w="1260" w:type="dxa"/>
            <w:tcBorders>
              <w:top w:val="single" w:sz="4" w:space="0" w:color="auto"/>
            </w:tcBorders>
            <w:shd w:val="clear" w:color="auto" w:fill="auto"/>
            <w:tcMar>
              <w:top w:w="110" w:type="dxa"/>
            </w:tcMar>
          </w:tcPr>
          <w:p w:rsidR="00580A3D" w:rsidRPr="0096004B" w:rsidRDefault="00580A3D" w:rsidP="00975156">
            <w:pPr>
              <w:autoSpaceDE w:val="0"/>
              <w:autoSpaceDN w:val="0"/>
              <w:adjustRightInd w:val="0"/>
              <w:spacing w:before="60" w:after="60"/>
              <w:rPr>
                <w:rFonts w:cs="Arial"/>
                <w:b/>
                <w:color w:val="000000"/>
                <w:sz w:val="16"/>
                <w:szCs w:val="16"/>
                <w:lang w:val="ru-RU"/>
              </w:rPr>
            </w:pPr>
            <w:r w:rsidRPr="0096004B">
              <w:rPr>
                <w:rFonts w:cs="Arial"/>
                <w:b/>
                <w:bCs/>
                <w:color w:val="000000"/>
                <w:sz w:val="16"/>
                <w:szCs w:val="16"/>
                <w:lang w:val="ru-RU"/>
              </w:rPr>
              <w:t>Дата</w:t>
            </w:r>
          </w:p>
        </w:tc>
        <w:tc>
          <w:tcPr>
            <w:tcW w:w="1862" w:type="dxa"/>
            <w:tcBorders>
              <w:top w:val="single" w:sz="4" w:space="0" w:color="auto"/>
            </w:tcBorders>
            <w:shd w:val="clear" w:color="auto" w:fill="auto"/>
            <w:tcMar>
              <w:top w:w="110" w:type="dxa"/>
            </w:tcMar>
          </w:tcPr>
          <w:p w:rsidR="00580A3D" w:rsidRPr="0096004B" w:rsidRDefault="00580A3D" w:rsidP="00975156">
            <w:pPr>
              <w:autoSpaceDE w:val="0"/>
              <w:autoSpaceDN w:val="0"/>
              <w:adjustRightInd w:val="0"/>
              <w:spacing w:before="60" w:after="60"/>
              <w:rPr>
                <w:rFonts w:cs="Arial"/>
                <w:b/>
                <w:color w:val="000000"/>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9" w:type="dxa"/>
            <w:tcBorders>
              <w:top w:val="single" w:sz="4" w:space="0" w:color="auto"/>
            </w:tcBorders>
            <w:shd w:val="clear" w:color="auto" w:fill="FFFFFF"/>
            <w:tcMar>
              <w:top w:w="110" w:type="dxa"/>
            </w:tcMar>
          </w:tcPr>
          <w:p w:rsidR="00580A3D" w:rsidRPr="0096004B" w:rsidRDefault="00580A3D" w:rsidP="00975156">
            <w:pPr>
              <w:autoSpaceDE w:val="0"/>
              <w:autoSpaceDN w:val="0"/>
              <w:adjustRightInd w:val="0"/>
              <w:spacing w:before="60" w:after="60"/>
              <w:rPr>
                <w:rFonts w:cs="Arial"/>
                <w:b/>
                <w:color w:val="000000"/>
                <w:sz w:val="16"/>
                <w:szCs w:val="16"/>
                <w:lang w:val="ru-RU"/>
              </w:rPr>
            </w:pPr>
            <w:r w:rsidRPr="0096004B">
              <w:rPr>
                <w:rFonts w:cs="Arial"/>
                <w:b/>
                <w:bCs/>
                <w:color w:val="000000"/>
                <w:sz w:val="16"/>
                <w:szCs w:val="16"/>
                <w:lang w:val="ru-RU"/>
              </w:rPr>
              <w:t>Цель (цели)/описание</w:t>
            </w:r>
          </w:p>
        </w:tc>
      </w:tr>
      <w:tr w:rsidR="00580A3D" w:rsidRPr="005C6ABD" w:rsidTr="00975156">
        <w:trPr>
          <w:cantSplit/>
        </w:trPr>
        <w:tc>
          <w:tcPr>
            <w:tcW w:w="1981"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Финансирование обу</w:t>
            </w:r>
            <w:r>
              <w:rPr>
                <w:rFonts w:cs="Arial"/>
                <w:color w:val="000000"/>
                <w:sz w:val="16"/>
                <w:szCs w:val="16"/>
                <w:lang w:val="ru-RU"/>
              </w:rPr>
              <w:softHyphen/>
            </w:r>
            <w:r w:rsidRPr="0096004B">
              <w:rPr>
                <w:rFonts w:cs="Arial"/>
                <w:color w:val="000000"/>
                <w:sz w:val="16"/>
                <w:szCs w:val="16"/>
                <w:lang w:val="ru-RU"/>
              </w:rPr>
              <w:t>чения специалиста в области ИС по магистерской про</w:t>
            </w:r>
            <w:r>
              <w:rPr>
                <w:rFonts w:cs="Arial"/>
                <w:color w:val="000000"/>
                <w:sz w:val="16"/>
                <w:szCs w:val="16"/>
                <w:lang w:val="ru-RU"/>
              </w:rPr>
              <w:softHyphen/>
            </w:r>
            <w:r w:rsidRPr="0096004B">
              <w:rPr>
                <w:rFonts w:cs="Arial"/>
                <w:color w:val="000000"/>
                <w:sz w:val="16"/>
                <w:szCs w:val="16"/>
                <w:lang w:val="ru-RU"/>
              </w:rPr>
              <w:t>грамме в области стратегического управления информа</w:t>
            </w:r>
            <w:r>
              <w:rPr>
                <w:rFonts w:cs="Arial"/>
                <w:color w:val="000000"/>
                <w:sz w:val="16"/>
                <w:szCs w:val="16"/>
                <w:lang w:val="ru-RU"/>
              </w:rPr>
              <w:softHyphen/>
            </w:r>
            <w:r w:rsidRPr="0096004B">
              <w:rPr>
                <w:rFonts w:cs="Arial"/>
                <w:color w:val="000000"/>
                <w:sz w:val="16"/>
                <w:szCs w:val="16"/>
                <w:lang w:val="ru-RU"/>
              </w:rPr>
              <w:t>ционными техноло</w:t>
            </w:r>
            <w:r>
              <w:rPr>
                <w:rFonts w:cs="Arial"/>
                <w:color w:val="000000"/>
                <w:sz w:val="16"/>
                <w:szCs w:val="16"/>
                <w:lang w:val="ru-RU"/>
              </w:rPr>
              <w:softHyphen/>
            </w:r>
            <w:r w:rsidRPr="0096004B">
              <w:rPr>
                <w:rFonts w:cs="Arial"/>
                <w:color w:val="000000"/>
                <w:sz w:val="16"/>
                <w:szCs w:val="16"/>
                <w:lang w:val="ru-RU"/>
              </w:rPr>
              <w:t>гиями (MSMIT) за счет средств Фонда Ибероамериканского университета (FUNIBER)</w:t>
            </w:r>
          </w:p>
        </w:tc>
        <w:tc>
          <w:tcPr>
            <w:tcW w:w="1260"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(выполнение продолжа</w:t>
            </w:r>
            <w:r>
              <w:rPr>
                <w:rFonts w:cs="Arial"/>
                <w:color w:val="000000"/>
                <w:sz w:val="16"/>
                <w:szCs w:val="16"/>
                <w:lang w:val="ru-RU"/>
              </w:rPr>
              <w:softHyphen/>
            </w:r>
            <w:r w:rsidRPr="0096004B">
              <w:rPr>
                <w:rFonts w:cs="Arial"/>
                <w:color w:val="000000"/>
                <w:sz w:val="16"/>
                <w:szCs w:val="16"/>
                <w:lang w:val="ru-RU"/>
              </w:rPr>
              <w:t>ется)</w:t>
            </w:r>
            <w:r w:rsidRPr="0096004B">
              <w:rPr>
                <w:rStyle w:val="FootnoteReference"/>
                <w:rFonts w:cs="Arial"/>
                <w:color w:val="000000"/>
                <w:sz w:val="16"/>
                <w:szCs w:val="16"/>
                <w:lang w:val="ru-RU"/>
              </w:rPr>
              <w:footnoteReference w:id="168"/>
            </w:r>
          </w:p>
        </w:tc>
        <w:tc>
          <w:tcPr>
            <w:tcW w:w="1862" w:type="dxa"/>
            <w:shd w:val="clear" w:color="auto" w:fill="auto"/>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Уругвай </w:t>
            </w:r>
          </w:p>
        </w:tc>
        <w:tc>
          <w:tcPr>
            <w:tcW w:w="4679" w:type="dxa"/>
            <w:shd w:val="clear" w:color="auto" w:fill="FFFFFF"/>
            <w:tcMar>
              <w:top w:w="110" w:type="dxa"/>
            </w:tcMar>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Повышение квалификации специалиста в области ИС с особым вниманием к роли информационных технологий в стратегическом управлении рабочими процессами. </w:t>
            </w:r>
          </w:p>
        </w:tc>
      </w:tr>
      <w:tr w:rsidR="00580A3D" w:rsidRPr="005C6ABD" w:rsidTr="00975156">
        <w:trPr>
          <w:cantSplit/>
        </w:trPr>
        <w:tc>
          <w:tcPr>
            <w:tcW w:w="9782" w:type="dxa"/>
            <w:gridSpan w:val="4"/>
            <w:tcBorders>
              <w:top w:val="single" w:sz="4" w:space="0" w:color="auto"/>
              <w:bottom w:val="single" w:sz="4" w:space="0" w:color="auto"/>
            </w:tcBorders>
            <w:shd w:val="clear" w:color="auto" w:fill="C6D9F1"/>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III.4. Укрепление механизмов и программ сотрудничества, разработанных с учетом потребностей развивающихся стран и НРС</w:t>
            </w:r>
          </w:p>
        </w:tc>
      </w:tr>
      <w:tr w:rsidR="00580A3D" w:rsidRPr="0096004B" w:rsidTr="00975156">
        <w:trPr>
          <w:cantSplit/>
          <w:trHeight w:val="330"/>
        </w:trPr>
        <w:tc>
          <w:tcPr>
            <w:tcW w:w="1981" w:type="dxa"/>
            <w:tcBorders>
              <w:top w:val="single" w:sz="4" w:space="0" w:color="auto"/>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260" w:type="dxa"/>
            <w:tcBorders>
              <w:top w:val="single" w:sz="4" w:space="0" w:color="auto"/>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862" w:type="dxa"/>
            <w:tcBorders>
              <w:top w:val="single" w:sz="4" w:space="0" w:color="auto"/>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9" w:type="dxa"/>
            <w:tcBorders>
              <w:top w:val="single" w:sz="4" w:space="0" w:color="auto"/>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Pr>
        <w:tc>
          <w:tcPr>
            <w:tcW w:w="1981"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Участие государственных служащих в Ассамблеях ВОИС</w:t>
            </w:r>
          </w:p>
        </w:tc>
        <w:tc>
          <w:tcPr>
            <w:tcW w:w="1260"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Январь – декабрь 2015 г.</w:t>
            </w:r>
          </w:p>
        </w:tc>
        <w:tc>
          <w:tcPr>
            <w:tcW w:w="1862"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Швейцария/Уругвай</w:t>
            </w:r>
          </w:p>
        </w:tc>
        <w:tc>
          <w:tcPr>
            <w:tcW w:w="4679"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Представление правительства на различных форумах, посвященных анализу различных вопросов и программ в области ИС.</w:t>
            </w:r>
          </w:p>
        </w:tc>
      </w:tr>
      <w:tr w:rsidR="00580A3D" w:rsidRPr="005C6ABD" w:rsidTr="00975156">
        <w:trPr>
          <w:cantSplit/>
        </w:trPr>
        <w:tc>
          <w:tcPr>
            <w:tcW w:w="9782" w:type="dxa"/>
            <w:gridSpan w:val="4"/>
            <w:tcBorders>
              <w:top w:val="single" w:sz="4" w:space="0" w:color="auto"/>
              <w:bottom w:val="single" w:sz="4" w:space="0" w:color="auto"/>
            </w:tcBorders>
            <w:shd w:val="clear" w:color="auto" w:fill="C6D9F1"/>
            <w:vAlign w:val="center"/>
          </w:tcPr>
          <w:p w:rsidR="00580A3D" w:rsidRPr="0096004B" w:rsidRDefault="00580A3D" w:rsidP="00975156">
            <w:pPr>
              <w:keepNext/>
              <w:keepLines/>
              <w:tabs>
                <w:tab w:val="left" w:pos="1740"/>
              </w:tabs>
              <w:spacing w:before="120" w:after="120"/>
              <w:ind w:left="1740" w:hanging="1740"/>
              <w:rPr>
                <w:rFonts w:cs="Arial"/>
                <w:b/>
                <w:bCs/>
                <w:sz w:val="16"/>
                <w:szCs w:val="16"/>
                <w:lang w:val="ru-RU"/>
              </w:rPr>
            </w:pPr>
            <w:r w:rsidRPr="0096004B">
              <w:rPr>
                <w:rFonts w:cs="Arial"/>
                <w:b/>
                <w:bCs/>
                <w:color w:val="000000"/>
                <w:sz w:val="16"/>
                <w:szCs w:val="16"/>
                <w:lang w:val="ru-RU"/>
              </w:rPr>
              <w:t>РЕЗУЛЬТАТ:</w:t>
            </w:r>
            <w:r w:rsidRPr="0096004B">
              <w:rPr>
                <w:rFonts w:cs="Arial"/>
                <w:b/>
                <w:bCs/>
                <w:color w:val="000000"/>
                <w:sz w:val="16"/>
                <w:szCs w:val="16"/>
                <w:lang w:val="ru-RU"/>
              </w:rPr>
              <w:tab/>
            </w:r>
            <w:r w:rsidRPr="0096004B">
              <w:rPr>
                <w:rFonts w:cs="Arial"/>
                <w:bCs/>
                <w:color w:val="000000"/>
                <w:sz w:val="16"/>
                <w:szCs w:val="16"/>
                <w:lang w:val="ru-RU"/>
              </w:rPr>
              <w:t>IV.4. Совершенствование технической инфраструктуры и инфраструктуры знаний для ведомств ИС и других учреждений ИС, ведущее к предоставлению улучшенных услуг (более дешевых, более быстрых, более качественных) их заинтересованным сторонам</w:t>
            </w:r>
          </w:p>
        </w:tc>
      </w:tr>
      <w:tr w:rsidR="00580A3D" w:rsidRPr="0096004B" w:rsidTr="00975156">
        <w:trPr>
          <w:cantSplit/>
          <w:trHeight w:val="440"/>
        </w:trPr>
        <w:tc>
          <w:tcPr>
            <w:tcW w:w="1981" w:type="dxa"/>
            <w:tcBorders>
              <w:top w:val="single" w:sz="4" w:space="0" w:color="auto"/>
            </w:tcBorders>
            <w:vAlign w:val="center"/>
          </w:tcPr>
          <w:p w:rsidR="00580A3D" w:rsidRPr="0096004B" w:rsidRDefault="00580A3D" w:rsidP="00975156">
            <w:pPr>
              <w:keepNext/>
              <w:keepLines/>
              <w:spacing w:before="60" w:after="60"/>
              <w:rPr>
                <w:rFonts w:cs="Arial"/>
                <w:b/>
                <w:bCs/>
                <w:sz w:val="16"/>
                <w:szCs w:val="16"/>
                <w:lang w:val="ru-RU"/>
              </w:rPr>
            </w:pPr>
            <w:r w:rsidRPr="0096004B">
              <w:rPr>
                <w:rFonts w:cs="Arial"/>
                <w:b/>
                <w:bCs/>
                <w:sz w:val="16"/>
                <w:szCs w:val="16"/>
                <w:lang w:val="ru-RU"/>
              </w:rPr>
              <w:t>Вид деятельности</w:t>
            </w:r>
          </w:p>
        </w:tc>
        <w:tc>
          <w:tcPr>
            <w:tcW w:w="1260" w:type="dxa"/>
            <w:tcBorders>
              <w:top w:val="single" w:sz="4" w:space="0" w:color="auto"/>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Дата</w:t>
            </w:r>
          </w:p>
        </w:tc>
        <w:tc>
          <w:tcPr>
            <w:tcW w:w="1862" w:type="dxa"/>
            <w:tcBorders>
              <w:top w:val="single" w:sz="4" w:space="0" w:color="auto"/>
            </w:tcBorders>
            <w:shd w:val="clear" w:color="auto" w:fill="auto"/>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 xml:space="preserve">Принимающая страна / </w:t>
            </w:r>
            <w:r w:rsidRPr="0096004B">
              <w:rPr>
                <w:rFonts w:cs="Arial"/>
                <w:b/>
                <w:bCs/>
                <w:sz w:val="16"/>
                <w:szCs w:val="16"/>
                <w:lang w:val="ru-RU"/>
              </w:rPr>
              <w:br/>
              <w:t>получатели</w:t>
            </w:r>
          </w:p>
        </w:tc>
        <w:tc>
          <w:tcPr>
            <w:tcW w:w="4679" w:type="dxa"/>
            <w:tcBorders>
              <w:top w:val="single" w:sz="4" w:space="0" w:color="auto"/>
            </w:tcBorders>
            <w:shd w:val="clear" w:color="auto" w:fill="FFFFFF"/>
            <w:tcMar>
              <w:top w:w="110" w:type="dxa"/>
            </w:tcMar>
            <w:vAlign w:val="center"/>
          </w:tcPr>
          <w:p w:rsidR="00580A3D" w:rsidRPr="0096004B" w:rsidRDefault="00580A3D" w:rsidP="00975156">
            <w:pPr>
              <w:keepNext/>
              <w:keepLines/>
              <w:spacing w:before="60" w:after="60"/>
              <w:rPr>
                <w:rFonts w:cs="Arial"/>
                <w:sz w:val="16"/>
                <w:szCs w:val="16"/>
                <w:lang w:val="ru-RU"/>
              </w:rPr>
            </w:pPr>
            <w:r w:rsidRPr="0096004B">
              <w:rPr>
                <w:rFonts w:cs="Arial"/>
                <w:b/>
                <w:bCs/>
                <w:sz w:val="16"/>
                <w:szCs w:val="16"/>
                <w:lang w:val="ru-RU"/>
              </w:rPr>
              <w:t>Цель (цели) / описание</w:t>
            </w:r>
          </w:p>
        </w:tc>
      </w:tr>
      <w:tr w:rsidR="00580A3D" w:rsidRPr="005C6ABD" w:rsidTr="00975156">
        <w:trPr>
          <w:cantSplit/>
        </w:trPr>
        <w:tc>
          <w:tcPr>
            <w:tcW w:w="1981" w:type="dxa"/>
          </w:tcPr>
          <w:p w:rsidR="00580A3D" w:rsidRPr="0096004B" w:rsidRDefault="00580A3D" w:rsidP="00975156">
            <w:pPr>
              <w:spacing w:before="60" w:after="60"/>
              <w:rPr>
                <w:rFonts w:cs="Arial"/>
                <w:sz w:val="16"/>
                <w:szCs w:val="16"/>
                <w:lang w:val="ru-RU"/>
              </w:rPr>
            </w:pPr>
            <w:r w:rsidRPr="0096004B">
              <w:rPr>
                <w:rFonts w:cs="Arial"/>
                <w:sz w:val="16"/>
                <w:szCs w:val="16"/>
                <w:lang w:val="ru-RU"/>
              </w:rPr>
              <w:t>Обновление базы данных Thomson-Reuters в области ИС</w:t>
            </w:r>
          </w:p>
        </w:tc>
        <w:tc>
          <w:tcPr>
            <w:tcW w:w="1260" w:type="dxa"/>
          </w:tcPr>
          <w:p w:rsidR="00580A3D" w:rsidRPr="0096004B" w:rsidRDefault="00580A3D" w:rsidP="00975156">
            <w:pPr>
              <w:spacing w:before="60" w:after="60"/>
              <w:rPr>
                <w:rFonts w:cs="Arial"/>
                <w:sz w:val="16"/>
                <w:szCs w:val="16"/>
                <w:lang w:val="ru-RU"/>
              </w:rPr>
            </w:pPr>
            <w:r w:rsidRPr="0096004B">
              <w:rPr>
                <w:rFonts w:cs="Arial"/>
                <w:color w:val="000000"/>
                <w:sz w:val="16"/>
                <w:szCs w:val="16"/>
                <w:lang w:val="ru-RU"/>
              </w:rPr>
              <w:t>Январь – октябрь 2015 г. (реализуется с 2013 .)</w:t>
            </w:r>
          </w:p>
        </w:tc>
        <w:tc>
          <w:tcPr>
            <w:tcW w:w="1862"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Все латиноамериканские страны</w:t>
            </w:r>
          </w:p>
        </w:tc>
        <w:tc>
          <w:tcPr>
            <w:tcW w:w="4679" w:type="dxa"/>
          </w:tcPr>
          <w:p w:rsidR="00580A3D" w:rsidRPr="0096004B" w:rsidRDefault="00580A3D" w:rsidP="00975156">
            <w:pPr>
              <w:autoSpaceDE w:val="0"/>
              <w:autoSpaceDN w:val="0"/>
              <w:adjustRightInd w:val="0"/>
              <w:spacing w:before="60" w:after="60"/>
              <w:rPr>
                <w:rFonts w:cs="Arial"/>
                <w:sz w:val="16"/>
                <w:szCs w:val="16"/>
                <w:lang w:val="ru-RU"/>
              </w:rPr>
            </w:pPr>
            <w:r w:rsidRPr="0096004B">
              <w:rPr>
                <w:rFonts w:cs="Arial"/>
                <w:color w:val="000000"/>
                <w:sz w:val="16"/>
                <w:szCs w:val="16"/>
                <w:lang w:val="ru-RU"/>
              </w:rPr>
              <w:t>Расширение охвата категорий данных и повышение качества информации, содержащейся в базах данных Национального управления промышленной собственности (DNPI)</w:t>
            </w:r>
          </w:p>
        </w:tc>
      </w:tr>
      <w:tr w:rsidR="00580A3D" w:rsidRPr="005C6ABD" w:rsidTr="00975156">
        <w:trPr>
          <w:cantSplit/>
        </w:trPr>
        <w:tc>
          <w:tcPr>
            <w:tcW w:w="1981"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Ознакомление с Авто</w:t>
            </w:r>
            <w:r>
              <w:rPr>
                <w:rFonts w:cs="Arial"/>
                <w:color w:val="000000"/>
                <w:sz w:val="16"/>
                <w:szCs w:val="16"/>
                <w:lang w:val="ru-RU"/>
              </w:rPr>
              <w:softHyphen/>
            </w:r>
            <w:r w:rsidRPr="0096004B">
              <w:rPr>
                <w:rFonts w:cs="Arial"/>
                <w:color w:val="000000"/>
                <w:sz w:val="16"/>
                <w:szCs w:val="16"/>
                <w:lang w:val="ru-RU"/>
              </w:rPr>
              <w:t>матизированной системой управления промышленной собст</w:t>
            </w:r>
            <w:r>
              <w:rPr>
                <w:rFonts w:cs="Arial"/>
                <w:color w:val="000000"/>
                <w:sz w:val="16"/>
                <w:szCs w:val="16"/>
                <w:lang w:val="ru-RU"/>
              </w:rPr>
              <w:softHyphen/>
            </w:r>
            <w:r w:rsidRPr="0096004B">
              <w:rPr>
                <w:rFonts w:cs="Arial"/>
                <w:color w:val="000000"/>
                <w:sz w:val="16"/>
                <w:szCs w:val="16"/>
                <w:lang w:val="ru-RU"/>
              </w:rPr>
              <w:t>венностью (IPAS)</w:t>
            </w:r>
          </w:p>
          <w:p w:rsidR="00580A3D" w:rsidRPr="0096004B" w:rsidRDefault="00580A3D" w:rsidP="00975156">
            <w:pPr>
              <w:spacing w:before="60" w:after="60"/>
              <w:rPr>
                <w:rFonts w:cs="Arial"/>
                <w:sz w:val="16"/>
                <w:szCs w:val="16"/>
                <w:lang w:val="ru-RU"/>
              </w:rPr>
            </w:pPr>
          </w:p>
          <w:p w:rsidR="00580A3D" w:rsidRPr="0096004B" w:rsidRDefault="00580A3D" w:rsidP="00975156">
            <w:pPr>
              <w:spacing w:before="60" w:after="60"/>
              <w:rPr>
                <w:rFonts w:cs="Arial"/>
                <w:sz w:val="16"/>
                <w:szCs w:val="16"/>
                <w:lang w:val="ru-RU"/>
              </w:rPr>
            </w:pPr>
            <w:r w:rsidRPr="0096004B">
              <w:rPr>
                <w:rFonts w:cs="Arial"/>
                <w:sz w:val="16"/>
                <w:szCs w:val="16"/>
                <w:lang w:val="ru-RU"/>
              </w:rPr>
              <w:t>Обновление Глобаль</w:t>
            </w:r>
            <w:r>
              <w:rPr>
                <w:rFonts w:cs="Arial"/>
                <w:sz w:val="16"/>
                <w:szCs w:val="16"/>
                <w:lang w:val="ru-RU"/>
              </w:rPr>
              <w:softHyphen/>
            </w:r>
            <w:r w:rsidRPr="0096004B">
              <w:rPr>
                <w:rFonts w:cs="Arial"/>
                <w:sz w:val="16"/>
                <w:szCs w:val="16"/>
                <w:lang w:val="ru-RU"/>
              </w:rPr>
              <w:t>ной базы патентной информации (GPI) Европейского патент</w:t>
            </w:r>
            <w:r>
              <w:rPr>
                <w:rFonts w:cs="Arial"/>
                <w:sz w:val="16"/>
                <w:szCs w:val="16"/>
                <w:lang w:val="ru-RU"/>
              </w:rPr>
              <w:softHyphen/>
            </w:r>
            <w:r w:rsidRPr="0096004B">
              <w:rPr>
                <w:rFonts w:cs="Arial"/>
                <w:sz w:val="16"/>
                <w:szCs w:val="16"/>
                <w:lang w:val="ru-RU"/>
              </w:rPr>
              <w:t>ного ведомства (ЕПВ)</w:t>
            </w:r>
          </w:p>
        </w:tc>
        <w:tc>
          <w:tcPr>
            <w:tcW w:w="1260"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16–20 февраля 2015 г.</w:t>
            </w:r>
          </w:p>
          <w:p w:rsidR="00580A3D" w:rsidRPr="0096004B" w:rsidRDefault="00580A3D" w:rsidP="00975156">
            <w:pPr>
              <w:spacing w:before="60" w:after="60"/>
              <w:rPr>
                <w:rFonts w:cs="Arial"/>
                <w:sz w:val="16"/>
                <w:szCs w:val="16"/>
                <w:lang w:val="ru-RU"/>
              </w:rPr>
            </w:pPr>
          </w:p>
          <w:p w:rsidR="00580A3D" w:rsidRPr="0096004B" w:rsidRDefault="00580A3D" w:rsidP="00975156">
            <w:pPr>
              <w:spacing w:before="60" w:after="60"/>
              <w:rPr>
                <w:rFonts w:cs="Arial"/>
                <w:sz w:val="16"/>
                <w:szCs w:val="16"/>
                <w:lang w:val="ru-RU"/>
              </w:rPr>
            </w:pPr>
          </w:p>
          <w:p w:rsidR="00580A3D" w:rsidRPr="0096004B" w:rsidRDefault="00580A3D" w:rsidP="00975156">
            <w:pPr>
              <w:spacing w:before="60" w:after="60"/>
              <w:rPr>
                <w:rFonts w:cs="Arial"/>
                <w:sz w:val="16"/>
                <w:szCs w:val="16"/>
                <w:lang w:val="ru-RU"/>
              </w:rPr>
            </w:pPr>
            <w:r w:rsidRPr="0096004B">
              <w:rPr>
                <w:rFonts w:cs="Arial"/>
                <w:sz w:val="16"/>
                <w:szCs w:val="16"/>
                <w:lang w:val="ru-RU"/>
              </w:rPr>
              <w:t>Январь – декабрь 2015 г.</w:t>
            </w:r>
          </w:p>
          <w:p w:rsidR="00580A3D" w:rsidRPr="0096004B" w:rsidRDefault="00580A3D" w:rsidP="00975156">
            <w:pPr>
              <w:spacing w:before="60" w:after="60"/>
              <w:rPr>
                <w:rFonts w:cs="Arial"/>
                <w:sz w:val="16"/>
                <w:szCs w:val="16"/>
                <w:lang w:val="ru-RU"/>
              </w:rPr>
            </w:pPr>
          </w:p>
          <w:p w:rsidR="00580A3D" w:rsidRPr="0096004B" w:rsidRDefault="00580A3D" w:rsidP="00975156">
            <w:pPr>
              <w:spacing w:before="60" w:after="60"/>
              <w:rPr>
                <w:rFonts w:cs="Arial"/>
                <w:sz w:val="16"/>
                <w:szCs w:val="16"/>
                <w:lang w:val="ru-RU"/>
              </w:rPr>
            </w:pPr>
            <w:r w:rsidRPr="0096004B">
              <w:rPr>
                <w:rFonts w:cs="Arial"/>
                <w:sz w:val="16"/>
                <w:szCs w:val="16"/>
                <w:lang w:val="ru-RU"/>
              </w:rPr>
              <w:t>(выполнение продолжа</w:t>
            </w:r>
            <w:r>
              <w:rPr>
                <w:rFonts w:cs="Arial"/>
                <w:sz w:val="16"/>
                <w:szCs w:val="16"/>
                <w:lang w:val="ru-RU"/>
              </w:rPr>
              <w:softHyphen/>
            </w:r>
            <w:r w:rsidRPr="0096004B">
              <w:rPr>
                <w:rFonts w:cs="Arial"/>
                <w:sz w:val="16"/>
                <w:szCs w:val="16"/>
                <w:lang w:val="ru-RU"/>
              </w:rPr>
              <w:t>ется)</w:t>
            </w:r>
          </w:p>
        </w:tc>
        <w:tc>
          <w:tcPr>
            <w:tcW w:w="1862"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 xml:space="preserve">Перу / сотрудник DNPI </w:t>
            </w:r>
          </w:p>
          <w:p w:rsidR="00580A3D" w:rsidRPr="0096004B" w:rsidRDefault="00580A3D" w:rsidP="00975156">
            <w:pPr>
              <w:autoSpaceDE w:val="0"/>
              <w:autoSpaceDN w:val="0"/>
              <w:adjustRightInd w:val="0"/>
              <w:spacing w:before="60" w:after="60"/>
              <w:rPr>
                <w:rFonts w:cs="Arial"/>
                <w:color w:val="000000"/>
                <w:sz w:val="16"/>
                <w:szCs w:val="16"/>
                <w:lang w:val="ru-RU"/>
              </w:rPr>
            </w:pP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Все латиноамериканские страны</w:t>
            </w:r>
          </w:p>
          <w:p w:rsidR="00580A3D" w:rsidRPr="0096004B" w:rsidRDefault="00580A3D" w:rsidP="00975156">
            <w:pPr>
              <w:autoSpaceDE w:val="0"/>
              <w:autoSpaceDN w:val="0"/>
              <w:adjustRightInd w:val="0"/>
              <w:spacing w:before="60" w:after="60"/>
              <w:rPr>
                <w:rFonts w:cs="Arial"/>
                <w:color w:val="000000"/>
                <w:sz w:val="16"/>
                <w:szCs w:val="16"/>
                <w:lang w:val="ru-RU"/>
              </w:rPr>
            </w:pPr>
          </w:p>
        </w:tc>
        <w:tc>
          <w:tcPr>
            <w:tcW w:w="4679" w:type="dxa"/>
          </w:tcPr>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Повышение эффективности внутренних процессов в DNPI.</w:t>
            </w:r>
          </w:p>
          <w:p w:rsidR="00580A3D" w:rsidRPr="0096004B" w:rsidRDefault="00580A3D" w:rsidP="00975156">
            <w:pPr>
              <w:autoSpaceDE w:val="0"/>
              <w:autoSpaceDN w:val="0"/>
              <w:adjustRightInd w:val="0"/>
              <w:spacing w:before="60" w:after="60"/>
              <w:rPr>
                <w:rFonts w:cs="Arial"/>
                <w:color w:val="000000"/>
                <w:sz w:val="16"/>
                <w:szCs w:val="16"/>
                <w:lang w:val="ru-RU"/>
              </w:rPr>
            </w:pPr>
          </w:p>
          <w:p w:rsidR="00580A3D" w:rsidRPr="0096004B" w:rsidRDefault="00580A3D" w:rsidP="00975156">
            <w:pPr>
              <w:autoSpaceDE w:val="0"/>
              <w:autoSpaceDN w:val="0"/>
              <w:adjustRightInd w:val="0"/>
              <w:spacing w:before="60" w:after="60"/>
              <w:rPr>
                <w:rFonts w:cs="Arial"/>
                <w:color w:val="000000"/>
                <w:sz w:val="16"/>
                <w:szCs w:val="16"/>
                <w:lang w:val="ru-RU"/>
              </w:rPr>
            </w:pPr>
            <w:r w:rsidRPr="0096004B">
              <w:rPr>
                <w:rFonts w:cs="Arial"/>
                <w:color w:val="000000"/>
                <w:sz w:val="16"/>
                <w:szCs w:val="16"/>
                <w:lang w:val="ru-RU"/>
              </w:rPr>
              <w:t>Расширение охвата категорий данных и повышение качества информации, содержащейся в базах данных DNPI.</w:t>
            </w:r>
          </w:p>
          <w:p w:rsidR="00580A3D" w:rsidRPr="0096004B" w:rsidRDefault="00580A3D" w:rsidP="00975156">
            <w:pPr>
              <w:autoSpaceDE w:val="0"/>
              <w:autoSpaceDN w:val="0"/>
              <w:adjustRightInd w:val="0"/>
              <w:spacing w:before="60" w:after="60"/>
              <w:rPr>
                <w:rFonts w:cs="Arial"/>
                <w:color w:val="000000"/>
                <w:sz w:val="16"/>
                <w:szCs w:val="16"/>
                <w:lang w:val="ru-RU"/>
              </w:rPr>
            </w:pPr>
          </w:p>
        </w:tc>
      </w:tr>
    </w:tbl>
    <w:p w:rsidR="00580A3D" w:rsidRPr="0096004B" w:rsidRDefault="00580A3D" w:rsidP="00580A3D">
      <w:pPr>
        <w:rPr>
          <w:rFonts w:cs="Arial"/>
          <w:b/>
          <w:szCs w:val="20"/>
          <w:lang w:val="ru-RU"/>
        </w:rPr>
      </w:pPr>
    </w:p>
    <w:p w:rsidR="00580A3D" w:rsidRPr="0096004B" w:rsidRDefault="00580A3D" w:rsidP="00580A3D">
      <w:pPr>
        <w:rPr>
          <w:rFonts w:cs="Arial"/>
          <w:szCs w:val="20"/>
          <w:lang w:val="ru-RU"/>
        </w:rPr>
      </w:pPr>
    </w:p>
    <w:p w:rsidR="00580A3D" w:rsidRPr="0096004B" w:rsidRDefault="00580A3D" w:rsidP="00580A3D">
      <w:pPr>
        <w:rPr>
          <w:rFonts w:cs="Arial"/>
          <w:b/>
          <w:bCs/>
          <w:color w:val="000000"/>
          <w:szCs w:val="20"/>
          <w:lang w:val="ru-RU"/>
        </w:rPr>
      </w:pPr>
      <w:r w:rsidRPr="0096004B">
        <w:rPr>
          <w:rFonts w:cs="Arial"/>
          <w:b/>
          <w:bCs/>
          <w:szCs w:val="20"/>
          <w:lang w:val="ru-RU"/>
        </w:rPr>
        <w:t>УРУГВАЙ: взносы доноров и расходы в 2015 г.</w:t>
      </w:r>
    </w:p>
    <w:p w:rsidR="00580A3D" w:rsidRPr="0096004B" w:rsidRDefault="00580A3D" w:rsidP="00580A3D">
      <w:pPr>
        <w:rPr>
          <w:rFonts w:cs="Arial"/>
          <w:szCs w:val="20"/>
          <w:lang w:val="ru-RU"/>
        </w:rPr>
      </w:pPr>
    </w:p>
    <w:tbl>
      <w:tblPr>
        <w:tblW w:w="9791" w:type="dxa"/>
        <w:tblInd w:w="98" w:type="dxa"/>
        <w:tblLook w:val="04A0" w:firstRow="1" w:lastRow="0" w:firstColumn="1" w:lastColumn="0" w:noHBand="0" w:noVBand="1"/>
      </w:tblPr>
      <w:tblGrid>
        <w:gridCol w:w="2040"/>
        <w:gridCol w:w="1640"/>
        <w:gridCol w:w="1860"/>
        <w:gridCol w:w="1780"/>
        <w:gridCol w:w="2471"/>
      </w:tblGrid>
      <w:tr w:rsidR="00580A3D" w:rsidRPr="0096004B" w:rsidTr="00975156">
        <w:trPr>
          <w:trHeight w:val="450"/>
        </w:trPr>
        <w:tc>
          <w:tcPr>
            <w:tcW w:w="2040" w:type="dxa"/>
            <w:tcBorders>
              <w:top w:val="single" w:sz="8" w:space="0" w:color="auto"/>
              <w:left w:val="single" w:sz="8" w:space="0" w:color="auto"/>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2014 г.</w:t>
            </w:r>
          </w:p>
        </w:tc>
        <w:tc>
          <w:tcPr>
            <w:tcW w:w="1640"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Поступления в 2015 г.</w:t>
            </w:r>
          </w:p>
        </w:tc>
        <w:tc>
          <w:tcPr>
            <w:tcW w:w="1860"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Расходы в 2015 г.</w:t>
            </w:r>
          </w:p>
        </w:tc>
        <w:tc>
          <w:tcPr>
            <w:tcW w:w="1780"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Компенсации</w:t>
            </w:r>
          </w:p>
        </w:tc>
        <w:tc>
          <w:tcPr>
            <w:tcW w:w="2471" w:type="dxa"/>
            <w:tcBorders>
              <w:top w:val="single" w:sz="8" w:space="0" w:color="auto"/>
              <w:left w:val="nil"/>
              <w:bottom w:val="nil"/>
              <w:right w:val="single" w:sz="8" w:space="0" w:color="auto"/>
            </w:tcBorders>
            <w:shd w:val="clear" w:color="auto" w:fill="C6D9F1"/>
            <w:vAlign w:val="center"/>
            <w:hideMark/>
          </w:tcPr>
          <w:p w:rsidR="00580A3D" w:rsidRPr="0096004B" w:rsidRDefault="00580A3D" w:rsidP="00975156">
            <w:pPr>
              <w:jc w:val="center"/>
              <w:rPr>
                <w:rFonts w:cs="Arial"/>
                <w:b/>
                <w:bCs/>
                <w:color w:val="000000"/>
                <w:sz w:val="16"/>
                <w:szCs w:val="16"/>
                <w:lang w:val="ru-RU"/>
              </w:rPr>
            </w:pPr>
            <w:r w:rsidRPr="0096004B">
              <w:rPr>
                <w:rFonts w:cs="Arial"/>
                <w:b/>
                <w:bCs/>
                <w:color w:val="000000"/>
                <w:sz w:val="16"/>
                <w:szCs w:val="16"/>
                <w:lang w:val="ru-RU"/>
              </w:rPr>
              <w:t>Баланс на 31 декабря 2015 г.</w:t>
            </w:r>
          </w:p>
        </w:tc>
      </w:tr>
      <w:tr w:rsidR="00580A3D" w:rsidRPr="0096004B" w:rsidTr="00975156">
        <w:trPr>
          <w:trHeight w:val="255"/>
        </w:trPr>
        <w:tc>
          <w:tcPr>
            <w:tcW w:w="20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157 932</w:t>
            </w:r>
          </w:p>
        </w:tc>
        <w:tc>
          <w:tcPr>
            <w:tcW w:w="164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(144)</w:t>
            </w:r>
          </w:p>
        </w:tc>
        <w:tc>
          <w:tcPr>
            <w:tcW w:w="1860"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9 164</w:t>
            </w:r>
          </w:p>
        </w:tc>
        <w:tc>
          <w:tcPr>
            <w:tcW w:w="1780" w:type="dxa"/>
            <w:tcBorders>
              <w:top w:val="single" w:sz="4" w:space="0" w:color="auto"/>
              <w:left w:val="nil"/>
              <w:bottom w:val="single" w:sz="4" w:space="0" w:color="auto"/>
              <w:right w:val="single" w:sz="4" w:space="0" w:color="auto"/>
            </w:tcBorders>
            <w:shd w:val="clear" w:color="auto" w:fill="auto"/>
            <w:noWrap/>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w:t>
            </w:r>
          </w:p>
        </w:tc>
        <w:tc>
          <w:tcPr>
            <w:tcW w:w="2471" w:type="dxa"/>
            <w:tcBorders>
              <w:top w:val="single" w:sz="4" w:space="0" w:color="auto"/>
              <w:left w:val="nil"/>
              <w:bottom w:val="single" w:sz="4" w:space="0" w:color="auto"/>
              <w:right w:val="single" w:sz="4" w:space="0" w:color="auto"/>
            </w:tcBorders>
            <w:shd w:val="clear" w:color="auto" w:fill="auto"/>
            <w:vAlign w:val="center"/>
            <w:hideMark/>
          </w:tcPr>
          <w:p w:rsidR="00580A3D" w:rsidRPr="0096004B" w:rsidRDefault="00580A3D" w:rsidP="00975156">
            <w:pPr>
              <w:jc w:val="center"/>
              <w:rPr>
                <w:rFonts w:cs="Arial"/>
                <w:color w:val="000000"/>
                <w:sz w:val="16"/>
                <w:szCs w:val="16"/>
                <w:lang w:val="ru-RU"/>
              </w:rPr>
            </w:pPr>
            <w:r w:rsidRPr="0096004B">
              <w:rPr>
                <w:rFonts w:cs="Arial"/>
                <w:color w:val="000000"/>
                <w:sz w:val="16"/>
                <w:szCs w:val="16"/>
                <w:lang w:val="ru-RU"/>
              </w:rPr>
              <w:t>148 624</w:t>
            </w:r>
          </w:p>
        </w:tc>
      </w:tr>
    </w:tbl>
    <w:p w:rsidR="00580A3D" w:rsidRPr="0096004B" w:rsidRDefault="00580A3D" w:rsidP="00580A3D">
      <w:pPr>
        <w:rPr>
          <w:lang w:val="ru-RU"/>
        </w:rPr>
      </w:pPr>
    </w:p>
    <w:p w:rsidR="00580A3D" w:rsidRPr="0096004B" w:rsidRDefault="00580A3D" w:rsidP="00580A3D">
      <w:pPr>
        <w:rPr>
          <w:rFonts w:cs="Arial"/>
          <w:b/>
          <w:szCs w:val="20"/>
          <w:lang w:val="ru-RU"/>
        </w:rPr>
      </w:pPr>
    </w:p>
    <w:p w:rsidR="0063033D" w:rsidRDefault="0063033D" w:rsidP="008D1891">
      <w:pPr>
        <w:rPr>
          <w:rFonts w:cs="Arial"/>
          <w:b/>
          <w:color w:val="000000"/>
          <w:szCs w:val="20"/>
        </w:rPr>
      </w:pPr>
    </w:p>
    <w:p w:rsidR="00E92F85" w:rsidRDefault="008D1891" w:rsidP="00CB573E">
      <w:pPr>
        <w:autoSpaceDE w:val="0"/>
        <w:autoSpaceDN w:val="0"/>
        <w:jc w:val="both"/>
      </w:pPr>
      <w:r>
        <w:tab/>
      </w:r>
      <w:r>
        <w:tab/>
      </w:r>
      <w:r>
        <w:tab/>
      </w:r>
      <w:r>
        <w:tab/>
      </w:r>
      <w:r>
        <w:tab/>
      </w:r>
      <w:r>
        <w:tab/>
      </w:r>
      <w:r>
        <w:tab/>
      </w:r>
      <w:r>
        <w:tab/>
      </w:r>
      <w:r>
        <w:tab/>
      </w:r>
      <w:r>
        <w:tab/>
        <w:t xml:space="preserve">  [</w:t>
      </w:r>
      <w:r w:rsidR="00580A3D">
        <w:rPr>
          <w:lang w:val="ru-RU"/>
        </w:rPr>
        <w:t>Дополнение</w:t>
      </w:r>
      <w:r>
        <w:t xml:space="preserve"> III </w:t>
      </w:r>
      <w:r w:rsidR="00580A3D">
        <w:rPr>
          <w:lang w:val="ru-RU"/>
        </w:rPr>
        <w:t>следует</w:t>
      </w:r>
      <w:r>
        <w:t>]</w:t>
      </w:r>
    </w:p>
    <w:p w:rsidR="008D1891" w:rsidRDefault="008D1891" w:rsidP="00CB573E">
      <w:pPr>
        <w:autoSpaceDE w:val="0"/>
        <w:autoSpaceDN w:val="0"/>
        <w:jc w:val="both"/>
      </w:pPr>
      <w:r>
        <w:br w:type="page"/>
      </w:r>
    </w:p>
    <w:p w:rsidR="00C85043" w:rsidRPr="00B06355" w:rsidRDefault="00C85043" w:rsidP="00EE0D83">
      <w:pPr>
        <w:pStyle w:val="Heading2"/>
        <w:ind w:left="0" w:firstLine="0"/>
        <w:rPr>
          <w:lang w:val="ru-RU"/>
        </w:rPr>
      </w:pPr>
      <w:bookmarkStart w:id="143" w:name="_Toc455388145"/>
      <w:r w:rsidRPr="00EE0D83">
        <w:rPr>
          <w:lang w:val="ru-RU"/>
        </w:rPr>
        <w:t>ДОПОЛНЕНИЕ</w:t>
      </w:r>
      <w:r w:rsidR="008D1891" w:rsidRPr="00EE0D83">
        <w:rPr>
          <w:lang w:val="ru-RU"/>
        </w:rPr>
        <w:t xml:space="preserve"> </w:t>
      </w:r>
      <w:r w:rsidR="008D1891" w:rsidRPr="00EE0D83">
        <w:t>III</w:t>
      </w:r>
      <w:r w:rsidR="00815ABB" w:rsidRPr="00EE0D83">
        <w:rPr>
          <w:lang w:val="ru-RU"/>
        </w:rPr>
        <w:t xml:space="preserve"> </w:t>
      </w:r>
      <w:r w:rsidR="006C404A" w:rsidRPr="00EE0D83">
        <w:rPr>
          <w:lang w:val="ru-RU"/>
        </w:rPr>
        <w:t xml:space="preserve">  </w:t>
      </w:r>
      <w:r w:rsidR="00815ABB" w:rsidRPr="00EE0D83">
        <w:rPr>
          <w:lang w:val="ru-RU"/>
        </w:rPr>
        <w:br/>
      </w:r>
      <w:r w:rsidR="00815ABB" w:rsidRPr="00C85043">
        <w:rPr>
          <w:lang w:val="ru-RU"/>
        </w:rPr>
        <w:br/>
      </w:r>
      <w:r>
        <w:rPr>
          <w:rFonts w:eastAsia="SimSun"/>
          <w:lang w:val="ru-RU"/>
        </w:rPr>
        <w:t xml:space="preserve">ОТЧЕТ О ХОДЕ </w:t>
      </w:r>
      <w:r w:rsidRPr="00B06355">
        <w:rPr>
          <w:rFonts w:eastAsia="SimSun"/>
          <w:lang w:val="ru-RU"/>
        </w:rPr>
        <w:t>РЕАЛИЗАЦИ</w:t>
      </w:r>
      <w:r>
        <w:rPr>
          <w:rFonts w:eastAsia="SimSun"/>
          <w:lang w:val="ru-RU"/>
        </w:rPr>
        <w:t>И ГЕНЕРАЛЬНОГО</w:t>
      </w:r>
      <w:r w:rsidRPr="00B06355">
        <w:rPr>
          <w:rFonts w:eastAsia="SimSun"/>
          <w:lang w:val="ru-RU"/>
        </w:rPr>
        <w:t xml:space="preserve"> ПЛАН</w:t>
      </w:r>
      <w:r>
        <w:rPr>
          <w:rFonts w:eastAsia="SimSun"/>
          <w:lang w:val="ru-RU"/>
        </w:rPr>
        <w:t>А</w:t>
      </w:r>
      <w:r w:rsidRPr="00B06355">
        <w:rPr>
          <w:rFonts w:eastAsia="SimSun"/>
          <w:lang w:val="ru-RU"/>
        </w:rPr>
        <w:t xml:space="preserve"> КАПИТАЛЬНОГО РЕМОНТА </w:t>
      </w:r>
      <w:r>
        <w:rPr>
          <w:rFonts w:eastAsia="SimSun"/>
          <w:lang w:val="ru-RU"/>
        </w:rPr>
        <w:t>(</w:t>
      </w:r>
      <w:r w:rsidRPr="00B06355">
        <w:rPr>
          <w:rFonts w:eastAsia="SimSun"/>
          <w:lang w:val="ru-RU"/>
        </w:rPr>
        <w:t>ГПКР</w:t>
      </w:r>
      <w:r>
        <w:rPr>
          <w:rFonts w:eastAsia="SimSun"/>
          <w:lang w:val="ru-RU"/>
        </w:rPr>
        <w:t>)</w:t>
      </w:r>
      <w:r w:rsidRPr="00B06355">
        <w:rPr>
          <w:rFonts w:eastAsia="SimSun"/>
          <w:lang w:val="ru-RU"/>
        </w:rPr>
        <w:t xml:space="preserve"> </w:t>
      </w:r>
      <w:r>
        <w:rPr>
          <w:rFonts w:eastAsia="SimSun"/>
          <w:lang w:val="ru-RU"/>
        </w:rPr>
        <w:t>В 2014-</w:t>
      </w:r>
      <w:r w:rsidRPr="00B06355">
        <w:rPr>
          <w:rFonts w:eastAsia="SimSun"/>
          <w:lang w:val="ru-RU"/>
        </w:rPr>
        <w:t>2015</w:t>
      </w:r>
      <w:r>
        <w:rPr>
          <w:rFonts w:eastAsia="SimSun"/>
          <w:lang w:val="ru-RU"/>
        </w:rPr>
        <w:t xml:space="preserve"> ГГ.</w:t>
      </w:r>
      <w:bookmarkEnd w:id="143"/>
    </w:p>
    <w:p w:rsidR="00C85043" w:rsidRPr="00B06355" w:rsidRDefault="00C85043" w:rsidP="00C85043">
      <w:pPr>
        <w:rPr>
          <w:lang w:val="ru-RU"/>
        </w:rPr>
      </w:pPr>
    </w:p>
    <w:p w:rsidR="00C85043" w:rsidRPr="00B06355" w:rsidRDefault="00C85043" w:rsidP="00C85043">
      <w:pPr>
        <w:rPr>
          <w:lang w:val="ru-RU"/>
        </w:rPr>
      </w:pPr>
    </w:p>
    <w:p w:rsidR="00C85043" w:rsidRPr="00B06355" w:rsidRDefault="00C85043" w:rsidP="00C85043">
      <w:pPr>
        <w:rPr>
          <w:b/>
          <w:bCs/>
          <w:lang w:val="ru-RU"/>
        </w:rPr>
      </w:pPr>
      <w:r>
        <w:rPr>
          <w:b/>
          <w:bCs/>
        </w:rPr>
        <w:t>I</w:t>
      </w:r>
      <w:r w:rsidRPr="00B06355">
        <w:rPr>
          <w:b/>
          <w:bCs/>
          <w:lang w:val="ru-RU"/>
        </w:rPr>
        <w:t>.</w:t>
      </w:r>
      <w:r w:rsidRPr="00B06355">
        <w:rPr>
          <w:b/>
          <w:bCs/>
          <w:lang w:val="ru-RU"/>
        </w:rPr>
        <w:tab/>
      </w:r>
      <w:r w:rsidRPr="009044EE">
        <w:rPr>
          <w:b/>
          <w:bCs/>
          <w:lang w:val="ru-RU"/>
        </w:rPr>
        <w:t>ВВЕДЕНИЕ</w:t>
      </w:r>
    </w:p>
    <w:p w:rsidR="00C85043" w:rsidRPr="00B06355" w:rsidRDefault="00C85043" w:rsidP="00C85043">
      <w:pPr>
        <w:pStyle w:val="ONUME"/>
        <w:tabs>
          <w:tab w:val="left" w:pos="720"/>
        </w:tabs>
        <w:spacing w:after="0"/>
        <w:rPr>
          <w:lang w:val="ru-RU"/>
        </w:rPr>
      </w:pPr>
    </w:p>
    <w:p w:rsidR="00C85043" w:rsidRPr="004C5B02" w:rsidRDefault="00C85043" w:rsidP="00C85043">
      <w:pPr>
        <w:pStyle w:val="ONUME"/>
        <w:tabs>
          <w:tab w:val="left" w:pos="720"/>
        </w:tabs>
        <w:spacing w:after="0"/>
        <w:jc w:val="both"/>
        <w:rPr>
          <w:lang w:val="ru-RU"/>
        </w:rPr>
      </w:pPr>
      <w:r w:rsidRPr="004C5B02">
        <w:rPr>
          <w:lang w:val="ru-RU"/>
        </w:rPr>
        <w:t>На пятьдесят первой серии заседаний</w:t>
      </w:r>
      <w:r>
        <w:rPr>
          <w:lang w:val="ru-RU"/>
        </w:rPr>
        <w:t xml:space="preserve"> Ассамблей </w:t>
      </w:r>
      <w:r w:rsidRPr="004C5B02">
        <w:rPr>
          <w:lang w:val="ru-RU"/>
        </w:rPr>
        <w:t xml:space="preserve">государств–членов ВОИС, состоявшейся в сентябре </w:t>
      </w:r>
      <w:r>
        <w:rPr>
          <w:lang w:val="ru-RU"/>
        </w:rPr>
        <w:t>2013 г.</w:t>
      </w:r>
      <w:r w:rsidRPr="004C5B02">
        <w:rPr>
          <w:lang w:val="ru-RU"/>
        </w:rPr>
        <w:t xml:space="preserve">, </w:t>
      </w:r>
      <w:r>
        <w:rPr>
          <w:lang w:val="ru-RU"/>
        </w:rPr>
        <w:t>были утверждены</w:t>
      </w:r>
      <w:r w:rsidRPr="004C5B02">
        <w:rPr>
          <w:lang w:val="ru-RU"/>
        </w:rPr>
        <w:t xml:space="preserve"> принципы включения проектов в Генеральный план капитального ремонта (ГПКР) Организации и </w:t>
      </w:r>
      <w:r>
        <w:rPr>
          <w:lang w:val="ru-RU"/>
        </w:rPr>
        <w:t xml:space="preserve">выделение </w:t>
      </w:r>
      <w:r w:rsidRPr="00A10D11">
        <w:rPr>
          <w:lang w:val="ru-RU"/>
        </w:rPr>
        <w:t>средств</w:t>
      </w:r>
      <w:r>
        <w:rPr>
          <w:lang w:val="ru-RU"/>
        </w:rPr>
        <w:t xml:space="preserve"> на общую сумму</w:t>
      </w:r>
      <w:r w:rsidRPr="004C5B02">
        <w:rPr>
          <w:lang w:val="ru-RU"/>
        </w:rPr>
        <w:t xml:space="preserve"> примерно 11,2</w:t>
      </w:r>
      <w:r w:rsidR="005C3CF6">
        <w:rPr>
          <w:lang w:val="ru-RU"/>
        </w:rPr>
        <w:t> млн. </w:t>
      </w:r>
      <w:r w:rsidRPr="004C5B02">
        <w:rPr>
          <w:lang w:val="ru-RU"/>
        </w:rPr>
        <w:t xml:space="preserve">шв. франков </w:t>
      </w:r>
      <w:r>
        <w:rPr>
          <w:lang w:val="ru-RU"/>
        </w:rPr>
        <w:t>из имеющ</w:t>
      </w:r>
      <w:r w:rsidRPr="004C5B02">
        <w:rPr>
          <w:lang w:val="ru-RU"/>
        </w:rPr>
        <w:t>ихся резервов</w:t>
      </w:r>
      <w:r>
        <w:rPr>
          <w:lang w:val="ru-RU"/>
        </w:rPr>
        <w:t xml:space="preserve"> на реализацию</w:t>
      </w:r>
      <w:r w:rsidRPr="004C5B02">
        <w:rPr>
          <w:lang w:val="ru-RU"/>
        </w:rPr>
        <w:t xml:space="preserve"> семи проектов (документ A/51/16</w:t>
      </w:r>
      <w:r w:rsidRPr="004C5B02">
        <w:rPr>
          <w:rStyle w:val="FootnoteReference"/>
        </w:rPr>
        <w:footnoteReference w:id="169"/>
      </w:r>
      <w:r w:rsidRPr="004C5B02">
        <w:rPr>
          <w:lang w:val="ru-RU"/>
        </w:rPr>
        <w:t>).</w:t>
      </w:r>
    </w:p>
    <w:p w:rsidR="00C85043" w:rsidRPr="004C5B02" w:rsidRDefault="00C85043" w:rsidP="00C85043">
      <w:pPr>
        <w:pStyle w:val="ONUME"/>
        <w:tabs>
          <w:tab w:val="left" w:pos="720"/>
        </w:tabs>
        <w:spacing w:after="0"/>
        <w:jc w:val="both"/>
        <w:rPr>
          <w:lang w:val="ru-RU"/>
        </w:rPr>
      </w:pPr>
    </w:p>
    <w:p w:rsidR="00C85043" w:rsidRPr="00303C34" w:rsidRDefault="00C85043" w:rsidP="00C85043">
      <w:pPr>
        <w:pStyle w:val="ONUME"/>
        <w:tabs>
          <w:tab w:val="left" w:pos="720"/>
        </w:tabs>
        <w:jc w:val="both"/>
        <w:rPr>
          <w:lang w:val="ru-RU"/>
        </w:rPr>
      </w:pPr>
      <w:r>
        <w:rPr>
          <w:lang w:val="ru-RU"/>
        </w:rPr>
        <w:t>В</w:t>
      </w:r>
      <w:r w:rsidRPr="00F63782">
        <w:rPr>
          <w:lang w:val="ru-RU"/>
        </w:rPr>
        <w:t xml:space="preserve"> </w:t>
      </w:r>
      <w:r>
        <w:rPr>
          <w:lang w:val="ru-RU"/>
        </w:rPr>
        <w:t>рамках</w:t>
      </w:r>
      <w:r w:rsidRPr="00F63782">
        <w:rPr>
          <w:lang w:val="ru-RU"/>
        </w:rPr>
        <w:t xml:space="preserve"> </w:t>
      </w:r>
      <w:r>
        <w:rPr>
          <w:lang w:val="ru-RU"/>
        </w:rPr>
        <w:t>проводимой</w:t>
      </w:r>
      <w:r w:rsidRPr="00F63782">
        <w:rPr>
          <w:lang w:val="ru-RU"/>
        </w:rPr>
        <w:t xml:space="preserve"> работ</w:t>
      </w:r>
      <w:r>
        <w:rPr>
          <w:lang w:val="ru-RU"/>
        </w:rPr>
        <w:t>ы</w:t>
      </w:r>
      <w:r w:rsidRPr="00F63782">
        <w:rPr>
          <w:lang w:val="ru-RU"/>
        </w:rPr>
        <w:t xml:space="preserve"> </w:t>
      </w:r>
      <w:r>
        <w:rPr>
          <w:lang w:val="ru-RU"/>
        </w:rPr>
        <w:t xml:space="preserve">по оптимизации </w:t>
      </w:r>
      <w:r w:rsidRPr="00F63782">
        <w:rPr>
          <w:lang w:val="ru-RU"/>
        </w:rPr>
        <w:t>систем</w:t>
      </w:r>
      <w:r>
        <w:rPr>
          <w:lang w:val="ru-RU"/>
        </w:rPr>
        <w:t xml:space="preserve">ы </w:t>
      </w:r>
      <w:r w:rsidRPr="00F63782">
        <w:rPr>
          <w:lang w:val="ru-RU"/>
        </w:rPr>
        <w:t>отчет</w:t>
      </w:r>
      <w:r>
        <w:rPr>
          <w:lang w:val="ru-RU"/>
        </w:rPr>
        <w:t xml:space="preserve">ности в </w:t>
      </w:r>
      <w:r w:rsidRPr="00A10D11">
        <w:rPr>
          <w:lang w:val="ru-RU"/>
        </w:rPr>
        <w:t>масштаб</w:t>
      </w:r>
      <w:r>
        <w:rPr>
          <w:lang w:val="ru-RU"/>
        </w:rPr>
        <w:t xml:space="preserve">ах всей </w:t>
      </w:r>
      <w:r w:rsidRPr="00F63782">
        <w:rPr>
          <w:lang w:val="ru-RU"/>
        </w:rPr>
        <w:t>Организаци</w:t>
      </w:r>
      <w:r>
        <w:rPr>
          <w:lang w:val="ru-RU"/>
        </w:rPr>
        <w:t xml:space="preserve">и в ОРП за 2014-2015 гг. был включен </w:t>
      </w:r>
      <w:r w:rsidRPr="00303C34">
        <w:rPr>
          <w:lang w:val="ru-RU"/>
        </w:rPr>
        <w:t>в качестве</w:t>
      </w:r>
      <w:r>
        <w:rPr>
          <w:lang w:val="ru-RU"/>
        </w:rPr>
        <w:t xml:space="preserve"> </w:t>
      </w:r>
      <w:r w:rsidRPr="00303C34">
        <w:rPr>
          <w:lang w:val="ru-RU"/>
        </w:rPr>
        <w:t>дополнения</w:t>
      </w:r>
      <w:r>
        <w:rPr>
          <w:lang w:val="ru-RU"/>
        </w:rPr>
        <w:t xml:space="preserve"> </w:t>
      </w:r>
      <w:r w:rsidRPr="00F63782">
        <w:rPr>
          <w:lang w:val="ru-RU"/>
        </w:rPr>
        <w:t xml:space="preserve">Отчет о </w:t>
      </w:r>
      <w:r>
        <w:rPr>
          <w:lang w:val="ru-RU"/>
        </w:rPr>
        <w:t xml:space="preserve">ходе </w:t>
      </w:r>
      <w:r w:rsidRPr="00F63782">
        <w:rPr>
          <w:lang w:val="ru-RU"/>
        </w:rPr>
        <w:t xml:space="preserve">реализации Генерального плана капитального ремонта (ГПКР) </w:t>
      </w:r>
      <w:r>
        <w:rPr>
          <w:lang w:val="ru-RU"/>
        </w:rPr>
        <w:t>в 2015 </w:t>
      </w:r>
      <w:r w:rsidRPr="00F63782">
        <w:rPr>
          <w:lang w:val="ru-RU"/>
        </w:rPr>
        <w:t xml:space="preserve">г.  </w:t>
      </w:r>
      <w:r w:rsidRPr="00303C34">
        <w:rPr>
          <w:snapToGrid w:val="0"/>
          <w:lang w:val="ru-RU"/>
        </w:rPr>
        <w:t>Данн</w:t>
      </w:r>
      <w:r>
        <w:rPr>
          <w:lang w:val="ru-RU"/>
        </w:rPr>
        <w:t>ый</w:t>
      </w:r>
      <w:r w:rsidRPr="00303C34">
        <w:rPr>
          <w:lang w:val="ru-RU"/>
        </w:rPr>
        <w:t xml:space="preserve"> отчет представляет собой </w:t>
      </w:r>
      <w:r>
        <w:rPr>
          <w:lang w:val="ru-RU"/>
        </w:rPr>
        <w:t>третий</w:t>
      </w:r>
      <w:r w:rsidRPr="00303C34">
        <w:rPr>
          <w:lang w:val="ru-RU"/>
        </w:rPr>
        <w:t xml:space="preserve"> отчет </w:t>
      </w:r>
      <w:r w:rsidRPr="00F63782">
        <w:rPr>
          <w:lang w:val="ru-RU"/>
        </w:rPr>
        <w:t>о</w:t>
      </w:r>
      <w:r w:rsidRPr="00303C34">
        <w:rPr>
          <w:lang w:val="ru-RU"/>
        </w:rPr>
        <w:t xml:space="preserve"> </w:t>
      </w:r>
      <w:r>
        <w:rPr>
          <w:lang w:val="ru-RU"/>
        </w:rPr>
        <w:t xml:space="preserve">ходе </w:t>
      </w:r>
      <w:r w:rsidRPr="00F63782">
        <w:rPr>
          <w:lang w:val="ru-RU"/>
        </w:rPr>
        <w:t>реализации</w:t>
      </w:r>
      <w:r w:rsidRPr="00303C34">
        <w:rPr>
          <w:lang w:val="ru-RU"/>
        </w:rPr>
        <w:t xml:space="preserve"> </w:t>
      </w:r>
      <w:r w:rsidRPr="00F63782">
        <w:rPr>
          <w:lang w:val="ru-RU"/>
        </w:rPr>
        <w:t>ГПКР</w:t>
      </w:r>
      <w:r w:rsidRPr="00303C34">
        <w:rPr>
          <w:lang w:val="ru-RU"/>
        </w:rPr>
        <w:t xml:space="preserve">, </w:t>
      </w:r>
      <w:r>
        <w:rPr>
          <w:lang w:val="ru-RU"/>
        </w:rPr>
        <w:t>представленный</w:t>
      </w:r>
      <w:r w:rsidRPr="00303C34">
        <w:rPr>
          <w:lang w:val="ru-RU"/>
        </w:rPr>
        <w:t xml:space="preserve"> </w:t>
      </w:r>
      <w:r>
        <w:rPr>
          <w:lang w:val="ru-RU"/>
        </w:rPr>
        <w:t>КПБ</w:t>
      </w:r>
      <w:r w:rsidRPr="00303C34">
        <w:rPr>
          <w:lang w:val="ru-RU"/>
        </w:rPr>
        <w:t>.</w:t>
      </w:r>
      <w:r>
        <w:rPr>
          <w:lang w:val="ru-RU"/>
        </w:rPr>
        <w:t xml:space="preserve"> Он</w:t>
      </w:r>
      <w:r w:rsidRPr="00303C34">
        <w:rPr>
          <w:lang w:val="ru-RU"/>
        </w:rPr>
        <w:t xml:space="preserve"> </w:t>
      </w:r>
      <w:r>
        <w:rPr>
          <w:lang w:val="ru-RU"/>
        </w:rPr>
        <w:t xml:space="preserve">позволяет </w:t>
      </w:r>
      <w:r w:rsidRPr="00303C34">
        <w:rPr>
          <w:lang w:val="ru-RU"/>
        </w:rPr>
        <w:t xml:space="preserve">государствам-членам </w:t>
      </w:r>
      <w:r>
        <w:rPr>
          <w:lang w:val="ru-RU"/>
        </w:rPr>
        <w:t>получить общее</w:t>
      </w:r>
      <w:r w:rsidRPr="00303C34">
        <w:rPr>
          <w:lang w:val="ru-RU"/>
        </w:rPr>
        <w:t xml:space="preserve"> </w:t>
      </w:r>
      <w:r>
        <w:rPr>
          <w:lang w:val="ru-RU"/>
        </w:rPr>
        <w:t>представление</w:t>
      </w:r>
      <w:r w:rsidRPr="00303C34">
        <w:rPr>
          <w:lang w:val="ru-RU"/>
        </w:rPr>
        <w:t xml:space="preserve"> </w:t>
      </w:r>
      <w:r>
        <w:rPr>
          <w:lang w:val="ru-RU"/>
        </w:rPr>
        <w:t>о</w:t>
      </w:r>
      <w:r w:rsidRPr="00303C34">
        <w:rPr>
          <w:lang w:val="ru-RU"/>
        </w:rPr>
        <w:t xml:space="preserve"> </w:t>
      </w:r>
      <w:r>
        <w:rPr>
          <w:lang w:val="ru-RU"/>
        </w:rPr>
        <w:t>ходе</w:t>
      </w:r>
      <w:r w:rsidRPr="00303C34">
        <w:rPr>
          <w:lang w:val="ru-RU"/>
        </w:rPr>
        <w:t xml:space="preserve"> реализаци</w:t>
      </w:r>
      <w:r>
        <w:rPr>
          <w:lang w:val="ru-RU"/>
        </w:rPr>
        <w:t>и</w:t>
      </w:r>
      <w:r w:rsidRPr="00303C34">
        <w:rPr>
          <w:lang w:val="ru-RU"/>
        </w:rPr>
        <w:t xml:space="preserve"> </w:t>
      </w:r>
      <w:r>
        <w:rPr>
          <w:lang w:val="ru-RU"/>
        </w:rPr>
        <w:t>плана</w:t>
      </w:r>
      <w:r w:rsidRPr="00303C34">
        <w:rPr>
          <w:lang w:val="ru-RU"/>
        </w:rPr>
        <w:t xml:space="preserve">, </w:t>
      </w:r>
      <w:r>
        <w:rPr>
          <w:lang w:val="ru-RU"/>
        </w:rPr>
        <w:t xml:space="preserve">достигнутых основных </w:t>
      </w:r>
      <w:r w:rsidRPr="00A10D11">
        <w:rPr>
          <w:lang w:val="ru-RU"/>
        </w:rPr>
        <w:t>результат</w:t>
      </w:r>
      <w:r>
        <w:rPr>
          <w:lang w:val="ru-RU"/>
        </w:rPr>
        <w:t xml:space="preserve">ах и </w:t>
      </w:r>
      <w:r w:rsidRPr="00303C34">
        <w:rPr>
          <w:lang w:val="ru-RU"/>
        </w:rPr>
        <w:t>использова</w:t>
      </w:r>
      <w:r>
        <w:rPr>
          <w:lang w:val="ru-RU"/>
        </w:rPr>
        <w:t xml:space="preserve">нии </w:t>
      </w:r>
      <w:r w:rsidRPr="00303C34">
        <w:rPr>
          <w:lang w:val="ru-RU"/>
        </w:rPr>
        <w:t>ресурс</w:t>
      </w:r>
      <w:r>
        <w:rPr>
          <w:lang w:val="ru-RU"/>
        </w:rPr>
        <w:t xml:space="preserve">ов в </w:t>
      </w:r>
      <w:r w:rsidRPr="00303C34">
        <w:rPr>
          <w:lang w:val="ru-RU"/>
        </w:rPr>
        <w:t>период</w:t>
      </w:r>
      <w:r>
        <w:rPr>
          <w:lang w:val="ru-RU"/>
        </w:rPr>
        <w:t xml:space="preserve"> с января по декабрь 2015 г. при </w:t>
      </w:r>
      <w:r w:rsidRPr="00303C34">
        <w:rPr>
          <w:lang w:val="ru-RU"/>
        </w:rPr>
        <w:t>реализаци</w:t>
      </w:r>
      <w:r>
        <w:rPr>
          <w:lang w:val="ru-RU"/>
        </w:rPr>
        <w:t xml:space="preserve">и </w:t>
      </w:r>
      <w:r w:rsidRPr="00303C34">
        <w:rPr>
          <w:lang w:val="ru-RU"/>
        </w:rPr>
        <w:t>следующ</w:t>
      </w:r>
      <w:r>
        <w:rPr>
          <w:lang w:val="ru-RU"/>
        </w:rPr>
        <w:t xml:space="preserve">их </w:t>
      </w:r>
      <w:r w:rsidRPr="00303C34">
        <w:rPr>
          <w:lang w:val="ru-RU"/>
        </w:rPr>
        <w:t>проект</w:t>
      </w:r>
      <w:r>
        <w:rPr>
          <w:lang w:val="ru-RU"/>
        </w:rPr>
        <w:t>ов</w:t>
      </w:r>
      <w:r w:rsidRPr="00303C34">
        <w:rPr>
          <w:lang w:val="ru-RU"/>
        </w:rPr>
        <w:t>:</w:t>
      </w:r>
    </w:p>
    <w:p w:rsidR="00C85043" w:rsidRDefault="00C85043" w:rsidP="00BF61DC">
      <w:pPr>
        <w:pStyle w:val="ONUME"/>
        <w:numPr>
          <w:ilvl w:val="1"/>
          <w:numId w:val="118"/>
        </w:numPr>
        <w:rPr>
          <w:u w:val="single"/>
        </w:rPr>
      </w:pPr>
      <w:r w:rsidRPr="009044EE">
        <w:rPr>
          <w:u w:val="single"/>
          <w:lang w:val="ru-RU"/>
        </w:rPr>
        <w:t>Проекты в области ИКТ</w:t>
      </w:r>
    </w:p>
    <w:p w:rsidR="00C85043" w:rsidRPr="00A00D88" w:rsidRDefault="00C85043" w:rsidP="00BF61DC">
      <w:pPr>
        <w:pStyle w:val="ONUME"/>
        <w:numPr>
          <w:ilvl w:val="2"/>
          <w:numId w:val="118"/>
        </w:numPr>
        <w:rPr>
          <w:lang w:val="ru-RU"/>
        </w:rPr>
      </w:pPr>
      <w:r w:rsidRPr="009044EE">
        <w:rPr>
          <w:lang w:val="ru-RU"/>
        </w:rPr>
        <w:t>повышение</w:t>
      </w:r>
      <w:r w:rsidRPr="00A00D88">
        <w:rPr>
          <w:lang w:val="ru-RU"/>
        </w:rPr>
        <w:t xml:space="preserve"> </w:t>
      </w:r>
      <w:r w:rsidRPr="009044EE">
        <w:rPr>
          <w:lang w:val="ru-RU"/>
        </w:rPr>
        <w:t>безопасности</w:t>
      </w:r>
      <w:r w:rsidRPr="00A00D88">
        <w:rPr>
          <w:lang w:val="ru-RU"/>
        </w:rPr>
        <w:t xml:space="preserve">: </w:t>
      </w:r>
      <w:r w:rsidRPr="009044EE">
        <w:rPr>
          <w:lang w:val="ru-RU"/>
        </w:rPr>
        <w:t>шифрование</w:t>
      </w:r>
      <w:r w:rsidRPr="00A00D88">
        <w:rPr>
          <w:lang w:val="ru-RU"/>
        </w:rPr>
        <w:t xml:space="preserve"> </w:t>
      </w:r>
      <w:r w:rsidRPr="009044EE">
        <w:rPr>
          <w:lang w:val="ru-RU"/>
        </w:rPr>
        <w:t>данных</w:t>
      </w:r>
      <w:r w:rsidRPr="00A00D88">
        <w:rPr>
          <w:lang w:val="ru-RU"/>
        </w:rPr>
        <w:t xml:space="preserve"> </w:t>
      </w:r>
      <w:r w:rsidRPr="009044EE">
        <w:rPr>
          <w:lang w:val="ru-RU"/>
        </w:rPr>
        <w:t>и</w:t>
      </w:r>
      <w:r w:rsidRPr="00A00D88">
        <w:rPr>
          <w:lang w:val="ru-RU"/>
        </w:rPr>
        <w:t xml:space="preserve"> </w:t>
      </w:r>
      <w:r w:rsidRPr="00672EC2">
        <w:rPr>
          <w:lang w:val="ru-RU"/>
        </w:rPr>
        <w:t>управлени</w:t>
      </w:r>
      <w:r>
        <w:rPr>
          <w:lang w:val="ru-RU"/>
        </w:rPr>
        <w:t>е</w:t>
      </w:r>
      <w:r w:rsidRPr="00672EC2">
        <w:rPr>
          <w:lang w:val="ru-RU"/>
        </w:rPr>
        <w:t xml:space="preserve"> правами пользователей </w:t>
      </w:r>
      <w:r w:rsidRPr="00A00D88">
        <w:rPr>
          <w:lang w:val="ru-RU"/>
        </w:rPr>
        <w:t>(</w:t>
      </w:r>
      <w:r w:rsidRPr="009044EE">
        <w:rPr>
          <w:lang w:val="ru-RU"/>
        </w:rPr>
        <w:t>ГПКР</w:t>
      </w:r>
      <w:r>
        <w:rPr>
          <w:lang w:val="ru-RU"/>
        </w:rPr>
        <w:t>-1)</w:t>
      </w:r>
    </w:p>
    <w:p w:rsidR="00C85043" w:rsidRPr="002521BC" w:rsidRDefault="00C85043" w:rsidP="00BF61DC">
      <w:pPr>
        <w:pStyle w:val="ONUME"/>
        <w:numPr>
          <w:ilvl w:val="2"/>
          <w:numId w:val="118"/>
        </w:numPr>
        <w:rPr>
          <w:lang w:val="ru-RU"/>
        </w:rPr>
      </w:pPr>
      <w:r w:rsidRPr="009533D2">
        <w:rPr>
          <w:lang w:val="ru-RU"/>
        </w:rPr>
        <w:t>внедрени</w:t>
      </w:r>
      <w:r>
        <w:rPr>
          <w:lang w:val="ru-RU"/>
        </w:rPr>
        <w:t xml:space="preserve">е </w:t>
      </w:r>
      <w:r w:rsidRPr="009533D2">
        <w:rPr>
          <w:lang w:val="ru-RU"/>
        </w:rPr>
        <w:t>систем</w:t>
      </w:r>
      <w:r>
        <w:rPr>
          <w:lang w:val="ru-RU"/>
        </w:rPr>
        <w:t xml:space="preserve">ы </w:t>
      </w:r>
      <w:r w:rsidRPr="002521BC">
        <w:rPr>
          <w:lang w:val="ru-RU"/>
        </w:rPr>
        <w:t>управлени</w:t>
      </w:r>
      <w:r>
        <w:rPr>
          <w:lang w:val="ru-RU"/>
        </w:rPr>
        <w:t>я</w:t>
      </w:r>
      <w:r w:rsidRPr="002521BC">
        <w:rPr>
          <w:lang w:val="ru-RU"/>
        </w:rPr>
        <w:t xml:space="preserve"> общеорганизационным информационным контентом (УОИК) (ГПКР</w:t>
      </w:r>
      <w:r>
        <w:rPr>
          <w:lang w:val="ru-RU"/>
        </w:rPr>
        <w:t>-</w:t>
      </w:r>
      <w:r w:rsidRPr="002521BC">
        <w:rPr>
          <w:lang w:val="ru-RU"/>
        </w:rPr>
        <w:t>2)</w:t>
      </w:r>
    </w:p>
    <w:p w:rsidR="00C85043" w:rsidRDefault="00C85043" w:rsidP="00BF61DC">
      <w:pPr>
        <w:pStyle w:val="ONUME"/>
        <w:numPr>
          <w:ilvl w:val="1"/>
          <w:numId w:val="118"/>
        </w:numPr>
        <w:rPr>
          <w:u w:val="single"/>
          <w:lang w:val="fr-CH"/>
        </w:rPr>
      </w:pPr>
      <w:r w:rsidRPr="009533D2">
        <w:rPr>
          <w:u w:val="single"/>
          <w:lang w:val="fr-CH"/>
        </w:rPr>
        <w:t>Проекты, связанные со зданиями</w:t>
      </w:r>
    </w:p>
    <w:p w:rsidR="00C85043" w:rsidRPr="008C15AF" w:rsidRDefault="00C85043" w:rsidP="00BF61DC">
      <w:pPr>
        <w:pStyle w:val="ONUME"/>
        <w:numPr>
          <w:ilvl w:val="2"/>
          <w:numId w:val="119"/>
        </w:numPr>
        <w:ind w:left="1710" w:hanging="576"/>
        <w:rPr>
          <w:lang w:val="ru-RU"/>
        </w:rPr>
      </w:pPr>
      <w:r w:rsidRPr="008C15AF">
        <w:rPr>
          <w:lang w:val="ru-RU"/>
        </w:rPr>
        <w:t>обновление фасадов и установка оборудования охлаж</w:t>
      </w:r>
      <w:r>
        <w:rPr>
          <w:lang w:val="ru-RU"/>
        </w:rPr>
        <w:t xml:space="preserve">дения/отопительного </w:t>
      </w:r>
      <w:r w:rsidRPr="008C15AF">
        <w:rPr>
          <w:lang w:val="ru-RU"/>
        </w:rPr>
        <w:t>оборудования в здании РСТ (ГПКР</w:t>
      </w:r>
      <w:r>
        <w:rPr>
          <w:lang w:val="ru-RU"/>
        </w:rPr>
        <w:t>-</w:t>
      </w:r>
      <w:r w:rsidRPr="008C15AF">
        <w:rPr>
          <w:lang w:val="ru-RU"/>
        </w:rPr>
        <w:t>3)</w:t>
      </w:r>
    </w:p>
    <w:p w:rsidR="00C85043" w:rsidRPr="008C15AF" w:rsidRDefault="00C85043" w:rsidP="00BF61DC">
      <w:pPr>
        <w:pStyle w:val="ONUME"/>
        <w:numPr>
          <w:ilvl w:val="2"/>
          <w:numId w:val="118"/>
        </w:numPr>
        <w:ind w:left="1710" w:hanging="576"/>
        <w:rPr>
          <w:lang w:val="ru-RU"/>
        </w:rPr>
      </w:pPr>
      <w:r w:rsidRPr="008C15AF">
        <w:rPr>
          <w:lang w:val="ru-RU"/>
        </w:rPr>
        <w:t xml:space="preserve">установка системы охлаждения </w:t>
      </w:r>
      <w:r>
        <w:rPr>
          <w:lang w:val="ru-RU"/>
        </w:rPr>
        <w:t xml:space="preserve">«Вода Женевского озера» </w:t>
      </w:r>
      <w:r w:rsidRPr="008C15AF">
        <w:rPr>
          <w:lang w:val="ru-RU"/>
        </w:rPr>
        <w:t>(«</w:t>
      </w:r>
      <w:r w:rsidRPr="008C15AF">
        <w:t>GLN</w:t>
      </w:r>
      <w:r w:rsidRPr="008C15AF">
        <w:rPr>
          <w:lang w:val="ru-RU"/>
        </w:rPr>
        <w:t xml:space="preserve">») в зданиях </w:t>
      </w:r>
      <w:r w:rsidRPr="0055183A">
        <w:rPr>
          <w:lang w:val="ru-RU"/>
        </w:rPr>
        <w:t xml:space="preserve">АБ </w:t>
      </w:r>
      <w:r w:rsidRPr="008C15AF">
        <w:rPr>
          <w:lang w:val="ru-RU"/>
        </w:rPr>
        <w:t xml:space="preserve">и </w:t>
      </w:r>
      <w:r w:rsidRPr="008C15AF">
        <w:t>PCT</w:t>
      </w:r>
      <w:r w:rsidRPr="008C15AF">
        <w:rPr>
          <w:lang w:val="ru-RU"/>
        </w:rPr>
        <w:t xml:space="preserve"> (ГПКР</w:t>
      </w:r>
      <w:r>
        <w:rPr>
          <w:lang w:val="ru-RU"/>
        </w:rPr>
        <w:t>-</w:t>
      </w:r>
      <w:r w:rsidRPr="008C15AF">
        <w:rPr>
          <w:lang w:val="ru-RU"/>
        </w:rPr>
        <w:t>4)</w:t>
      </w:r>
    </w:p>
    <w:p w:rsidR="00C85043" w:rsidRPr="008C15AF" w:rsidRDefault="00C85043" w:rsidP="00BF61DC">
      <w:pPr>
        <w:pStyle w:val="ONUME"/>
        <w:numPr>
          <w:ilvl w:val="2"/>
          <w:numId w:val="118"/>
        </w:numPr>
        <w:rPr>
          <w:lang w:val="ru-RU"/>
        </w:rPr>
      </w:pPr>
      <w:r w:rsidRPr="008C15AF">
        <w:rPr>
          <w:lang w:val="ru-RU"/>
        </w:rPr>
        <w:t>здание Арпад Богш – 1</w:t>
      </w:r>
      <w:r>
        <w:rPr>
          <w:lang w:val="ru-RU"/>
        </w:rPr>
        <w:t xml:space="preserve">-й </w:t>
      </w:r>
      <w:r w:rsidRPr="008C15AF">
        <w:rPr>
          <w:lang w:val="ru-RU"/>
        </w:rPr>
        <w:t xml:space="preserve">этап реконструкции цокольного этажа (изменение площади информационного центра и </w:t>
      </w:r>
      <w:r w:rsidRPr="000B3F76">
        <w:rPr>
          <w:lang w:val="ru-RU"/>
        </w:rPr>
        <w:t>реконструкци</w:t>
      </w:r>
      <w:r>
        <w:rPr>
          <w:lang w:val="ru-RU"/>
        </w:rPr>
        <w:t>я</w:t>
      </w:r>
      <w:r w:rsidRPr="008C15AF">
        <w:rPr>
          <w:lang w:val="ru-RU"/>
        </w:rPr>
        <w:t xml:space="preserve"> типографии) (ГПКР</w:t>
      </w:r>
      <w:r>
        <w:rPr>
          <w:lang w:val="ru-RU"/>
        </w:rPr>
        <w:t>-</w:t>
      </w:r>
      <w:r w:rsidRPr="008C15AF">
        <w:rPr>
          <w:lang w:val="ru-RU"/>
        </w:rPr>
        <w:t>5)</w:t>
      </w:r>
    </w:p>
    <w:p w:rsidR="00C85043" w:rsidRPr="008C15AF" w:rsidRDefault="00C85043" w:rsidP="00BF61DC">
      <w:pPr>
        <w:pStyle w:val="ONUME"/>
        <w:numPr>
          <w:ilvl w:val="2"/>
          <w:numId w:val="118"/>
        </w:numPr>
        <w:rPr>
          <w:lang w:val="ru-RU"/>
        </w:rPr>
      </w:pPr>
      <w:r w:rsidRPr="008C15AF">
        <w:rPr>
          <w:lang w:val="ru-RU"/>
        </w:rPr>
        <w:t>Здание Арпад Богш – замена некоторых окон (ГПКР</w:t>
      </w:r>
      <w:r>
        <w:rPr>
          <w:lang w:val="ru-RU"/>
        </w:rPr>
        <w:t>-</w:t>
      </w:r>
      <w:r w:rsidRPr="008C15AF">
        <w:rPr>
          <w:lang w:val="ru-RU"/>
        </w:rPr>
        <w:t>6)</w:t>
      </w:r>
    </w:p>
    <w:p w:rsidR="00C85043" w:rsidRPr="000B3F76" w:rsidRDefault="00C85043" w:rsidP="00BF61DC">
      <w:pPr>
        <w:pStyle w:val="ONUME"/>
        <w:numPr>
          <w:ilvl w:val="1"/>
          <w:numId w:val="118"/>
        </w:numPr>
        <w:rPr>
          <w:u w:val="single"/>
          <w:lang w:val="ru-RU"/>
        </w:rPr>
      </w:pPr>
      <w:r w:rsidRPr="000B3F76">
        <w:rPr>
          <w:u w:val="single"/>
          <w:lang w:val="ru-RU"/>
        </w:rPr>
        <w:t xml:space="preserve">Проекты в области </w:t>
      </w:r>
      <w:r w:rsidRPr="0035402C">
        <w:rPr>
          <w:u w:val="single"/>
          <w:lang w:val="ru-RU"/>
        </w:rPr>
        <w:t>охран</w:t>
      </w:r>
      <w:r>
        <w:rPr>
          <w:u w:val="single"/>
          <w:lang w:val="ru-RU"/>
        </w:rPr>
        <w:t xml:space="preserve">ы труда и </w:t>
      </w:r>
      <w:r w:rsidRPr="000B3F76">
        <w:rPr>
          <w:u w:val="single"/>
          <w:lang w:val="ru-RU"/>
        </w:rPr>
        <w:t>обеспечени</w:t>
      </w:r>
      <w:r>
        <w:rPr>
          <w:u w:val="single"/>
          <w:lang w:val="ru-RU"/>
        </w:rPr>
        <w:t xml:space="preserve">я </w:t>
      </w:r>
      <w:r w:rsidRPr="000B3F76">
        <w:rPr>
          <w:u w:val="single"/>
          <w:lang w:val="ru-RU"/>
        </w:rPr>
        <w:t>безопасности</w:t>
      </w:r>
    </w:p>
    <w:p w:rsidR="00C85043" w:rsidRPr="008C15AF" w:rsidRDefault="00C85043" w:rsidP="00BF61DC">
      <w:pPr>
        <w:pStyle w:val="ONUME"/>
        <w:numPr>
          <w:ilvl w:val="2"/>
          <w:numId w:val="120"/>
        </w:numPr>
        <w:rPr>
          <w:lang w:val="ru-RU"/>
        </w:rPr>
      </w:pPr>
      <w:r w:rsidRPr="008C15AF">
        <w:rPr>
          <w:lang w:val="ru-RU"/>
        </w:rPr>
        <w:t xml:space="preserve">меры </w:t>
      </w:r>
      <w:r>
        <w:rPr>
          <w:lang w:val="ru-RU"/>
        </w:rPr>
        <w:t>по обеспечению</w:t>
      </w:r>
      <w:r w:rsidRPr="008C15AF">
        <w:rPr>
          <w:lang w:val="ru-RU"/>
        </w:rPr>
        <w:t xml:space="preserve"> </w:t>
      </w:r>
      <w:r>
        <w:rPr>
          <w:lang w:val="ru-RU"/>
        </w:rPr>
        <w:t>физической и пожарной безопасности</w:t>
      </w:r>
      <w:r w:rsidRPr="008C15AF">
        <w:rPr>
          <w:lang w:val="ru-RU"/>
        </w:rPr>
        <w:t xml:space="preserve"> (ГПКР</w:t>
      </w:r>
      <w:r>
        <w:rPr>
          <w:lang w:val="ru-RU"/>
        </w:rPr>
        <w:t>-</w:t>
      </w:r>
      <w:r w:rsidRPr="008C15AF">
        <w:rPr>
          <w:lang w:val="ru-RU"/>
        </w:rPr>
        <w:t>7)</w:t>
      </w:r>
    </w:p>
    <w:p w:rsidR="00C85043" w:rsidRPr="008C15AF" w:rsidRDefault="00C85043" w:rsidP="00C85043">
      <w:pPr>
        <w:rPr>
          <w:b/>
          <w:bCs/>
          <w:lang w:val="ru-RU"/>
        </w:rPr>
      </w:pPr>
    </w:p>
    <w:p w:rsidR="00C85043" w:rsidRPr="00AB600C" w:rsidRDefault="00C85043" w:rsidP="00C85043">
      <w:pPr>
        <w:rPr>
          <w:b/>
          <w:bCs/>
          <w:sz w:val="22"/>
          <w:szCs w:val="22"/>
          <w:lang w:val="ru-RU"/>
        </w:rPr>
      </w:pPr>
      <w:r w:rsidRPr="00225BFF">
        <w:rPr>
          <w:b/>
          <w:bCs/>
          <w:sz w:val="22"/>
          <w:szCs w:val="22"/>
        </w:rPr>
        <w:t>II</w:t>
      </w:r>
      <w:r w:rsidRPr="00AB600C">
        <w:rPr>
          <w:b/>
          <w:bCs/>
          <w:sz w:val="22"/>
          <w:szCs w:val="22"/>
          <w:lang w:val="ru-RU"/>
        </w:rPr>
        <w:t>.</w:t>
      </w:r>
      <w:r w:rsidRPr="00AB600C">
        <w:rPr>
          <w:b/>
          <w:bCs/>
          <w:sz w:val="22"/>
          <w:szCs w:val="22"/>
          <w:lang w:val="ru-RU"/>
        </w:rPr>
        <w:tab/>
        <w:t>УТВЕРЖДЕННАЯ СТРУКТУРА УПРАВЛЕНИЯ</w:t>
      </w:r>
    </w:p>
    <w:p w:rsidR="00C85043" w:rsidRPr="00AB600C" w:rsidRDefault="00C85043" w:rsidP="00C85043">
      <w:pPr>
        <w:rPr>
          <w:lang w:val="ru-RU"/>
        </w:rPr>
      </w:pPr>
    </w:p>
    <w:p w:rsidR="00C85043" w:rsidRPr="00334A8E" w:rsidRDefault="00C85043" w:rsidP="00C85043">
      <w:pPr>
        <w:pStyle w:val="ONUME"/>
        <w:tabs>
          <w:tab w:val="left" w:pos="720"/>
        </w:tabs>
        <w:jc w:val="both"/>
        <w:rPr>
          <w:lang w:val="ru-RU"/>
        </w:rPr>
      </w:pPr>
      <w:r w:rsidRPr="00334A8E">
        <w:rPr>
          <w:lang w:val="ru-RU"/>
        </w:rPr>
        <w:t xml:space="preserve">В соответствии с передовой практикой </w:t>
      </w:r>
      <w:r>
        <w:rPr>
          <w:lang w:val="ru-RU"/>
        </w:rPr>
        <w:t xml:space="preserve">проектного </w:t>
      </w:r>
      <w:r w:rsidRPr="00334A8E">
        <w:rPr>
          <w:lang w:val="ru-RU"/>
        </w:rPr>
        <w:t xml:space="preserve">управления в </w:t>
      </w:r>
      <w:r>
        <w:rPr>
          <w:lang w:val="ru-RU"/>
        </w:rPr>
        <w:t>2014 г.</w:t>
      </w:r>
      <w:r w:rsidRPr="00334A8E">
        <w:rPr>
          <w:lang w:val="ru-RU"/>
        </w:rPr>
        <w:t xml:space="preserve"> для </w:t>
      </w:r>
      <w:r>
        <w:rPr>
          <w:lang w:val="ru-RU"/>
        </w:rPr>
        <w:t xml:space="preserve">целей </w:t>
      </w:r>
      <w:r w:rsidRPr="000C2D98">
        <w:rPr>
          <w:lang w:val="ru-RU"/>
        </w:rPr>
        <w:t>реализаци</w:t>
      </w:r>
      <w:r>
        <w:rPr>
          <w:lang w:val="ru-RU"/>
        </w:rPr>
        <w:t xml:space="preserve">и </w:t>
      </w:r>
      <w:r w:rsidRPr="00334A8E">
        <w:rPr>
          <w:lang w:val="ru-RU"/>
        </w:rPr>
        <w:t>ГПКР</w:t>
      </w:r>
      <w:r>
        <w:rPr>
          <w:lang w:val="ru-RU"/>
        </w:rPr>
        <w:t xml:space="preserve"> </w:t>
      </w:r>
      <w:r w:rsidRPr="00334A8E">
        <w:rPr>
          <w:lang w:val="ru-RU"/>
        </w:rPr>
        <w:t xml:space="preserve">была </w:t>
      </w:r>
      <w:r>
        <w:rPr>
          <w:lang w:val="ru-RU"/>
        </w:rPr>
        <w:t xml:space="preserve">введена </w:t>
      </w:r>
      <w:r w:rsidRPr="00C70FCE">
        <w:rPr>
          <w:lang w:val="ru-RU"/>
        </w:rPr>
        <w:t>соответствующ</w:t>
      </w:r>
      <w:r>
        <w:rPr>
          <w:lang w:val="ru-RU"/>
        </w:rPr>
        <w:t xml:space="preserve">ая </w:t>
      </w:r>
      <w:r w:rsidRPr="000C2D98">
        <w:rPr>
          <w:lang w:val="ru-RU"/>
        </w:rPr>
        <w:t>структур</w:t>
      </w:r>
      <w:r>
        <w:rPr>
          <w:lang w:val="ru-RU"/>
        </w:rPr>
        <w:t>а управления</w:t>
      </w:r>
      <w:r w:rsidRPr="00334A8E">
        <w:rPr>
          <w:lang w:val="ru-RU"/>
        </w:rPr>
        <w:t>, которая по</w:t>
      </w:r>
      <w:r>
        <w:rPr>
          <w:lang w:val="ru-RU"/>
        </w:rPr>
        <w:t>зволит (i) разработать структуры</w:t>
      </w:r>
      <w:r w:rsidRPr="00334A8E">
        <w:rPr>
          <w:lang w:val="ru-RU"/>
        </w:rPr>
        <w:t xml:space="preserve"> и процедуры управления </w:t>
      </w:r>
      <w:r>
        <w:rPr>
          <w:lang w:val="ru-RU"/>
        </w:rPr>
        <w:t xml:space="preserve">проектными </w:t>
      </w:r>
      <w:r w:rsidRPr="000C2D98">
        <w:rPr>
          <w:lang w:val="ru-RU"/>
        </w:rPr>
        <w:t>мероприяти</w:t>
      </w:r>
      <w:r>
        <w:rPr>
          <w:lang w:val="ru-RU"/>
        </w:rPr>
        <w:t>ями</w:t>
      </w:r>
      <w:r w:rsidRPr="00334A8E">
        <w:rPr>
          <w:lang w:val="ru-RU"/>
        </w:rPr>
        <w:t xml:space="preserve"> и контроля</w:t>
      </w:r>
      <w:r>
        <w:rPr>
          <w:lang w:val="ru-RU"/>
        </w:rPr>
        <w:t xml:space="preserve"> их </w:t>
      </w:r>
      <w:r w:rsidRPr="000C2D98">
        <w:rPr>
          <w:lang w:val="ru-RU"/>
        </w:rPr>
        <w:t>реализаци</w:t>
      </w:r>
      <w:r>
        <w:rPr>
          <w:lang w:val="ru-RU"/>
        </w:rPr>
        <w:t>и</w:t>
      </w:r>
      <w:r w:rsidRPr="00334A8E">
        <w:rPr>
          <w:lang w:val="ru-RU"/>
        </w:rPr>
        <w:t>, обеспечивающие достижение поставленных целей и (ii) обеспечить четкое разграничение зон ответственности и подотчетности и доведение соответствующей информации до сведения всех участников проектов.</w:t>
      </w:r>
    </w:p>
    <w:p w:rsidR="00C85043" w:rsidRPr="00085C3B" w:rsidRDefault="00C85043" w:rsidP="00C85043">
      <w:pPr>
        <w:pStyle w:val="ONUME"/>
        <w:tabs>
          <w:tab w:val="left" w:pos="720"/>
        </w:tabs>
        <w:jc w:val="both"/>
        <w:rPr>
          <w:lang w:val="ru-RU"/>
        </w:rPr>
      </w:pPr>
      <w:r>
        <w:rPr>
          <w:lang w:val="ru-RU"/>
        </w:rPr>
        <w:t>На</w:t>
      </w:r>
      <w:r w:rsidRPr="0055183A">
        <w:rPr>
          <w:lang w:val="ru-RU"/>
        </w:rPr>
        <w:t xml:space="preserve"> </w:t>
      </w:r>
      <w:r>
        <w:rPr>
          <w:lang w:val="ru-RU"/>
        </w:rPr>
        <w:t>своей</w:t>
      </w:r>
      <w:r w:rsidRPr="0055183A">
        <w:rPr>
          <w:lang w:val="ru-RU"/>
        </w:rPr>
        <w:t xml:space="preserve"> </w:t>
      </w:r>
      <w:r w:rsidRPr="00AB735C">
        <w:rPr>
          <w:lang w:val="ru-RU"/>
        </w:rPr>
        <w:t>двадцать</w:t>
      </w:r>
      <w:r>
        <w:rPr>
          <w:lang w:val="ru-RU"/>
        </w:rPr>
        <w:t xml:space="preserve"> </w:t>
      </w:r>
      <w:r w:rsidRPr="0055183A">
        <w:rPr>
          <w:lang w:val="ru-RU"/>
        </w:rPr>
        <w:t xml:space="preserve">второй </w:t>
      </w:r>
      <w:r>
        <w:rPr>
          <w:lang w:val="ru-RU"/>
        </w:rPr>
        <w:t>сессии, состоявшейся в сентябре</w:t>
      </w:r>
      <w:r w:rsidRPr="0055183A">
        <w:rPr>
          <w:lang w:val="ru-RU"/>
        </w:rPr>
        <w:t xml:space="preserve"> </w:t>
      </w:r>
      <w:r>
        <w:rPr>
          <w:lang w:val="ru-RU"/>
        </w:rPr>
        <w:t>2014 г.</w:t>
      </w:r>
      <w:r w:rsidRPr="0055183A">
        <w:rPr>
          <w:lang w:val="ru-RU"/>
        </w:rPr>
        <w:t>, КПБ</w:t>
      </w:r>
      <w:r>
        <w:rPr>
          <w:lang w:val="ru-RU"/>
        </w:rPr>
        <w:t xml:space="preserve"> принял</w:t>
      </w:r>
      <w:r w:rsidRPr="0055183A">
        <w:rPr>
          <w:lang w:val="ru-RU"/>
        </w:rPr>
        <w:t xml:space="preserve"> к сведению </w:t>
      </w:r>
      <w:r w:rsidRPr="00085C3B">
        <w:rPr>
          <w:lang w:val="ru-RU"/>
        </w:rPr>
        <w:t>информаци</w:t>
      </w:r>
      <w:r>
        <w:rPr>
          <w:lang w:val="ru-RU"/>
        </w:rPr>
        <w:t xml:space="preserve">ю о </w:t>
      </w:r>
      <w:r w:rsidRPr="00085C3B">
        <w:rPr>
          <w:lang w:val="ru-RU"/>
        </w:rPr>
        <w:t>структур</w:t>
      </w:r>
      <w:r>
        <w:rPr>
          <w:lang w:val="ru-RU"/>
        </w:rPr>
        <w:t xml:space="preserve">е </w:t>
      </w:r>
      <w:r w:rsidRPr="00085C3B">
        <w:rPr>
          <w:lang w:val="ru-RU"/>
        </w:rPr>
        <w:t>управлени</w:t>
      </w:r>
      <w:r>
        <w:rPr>
          <w:lang w:val="ru-RU"/>
        </w:rPr>
        <w:t xml:space="preserve">я, созданной для </w:t>
      </w:r>
      <w:r w:rsidRPr="00085C3B">
        <w:rPr>
          <w:lang w:val="ru-RU"/>
        </w:rPr>
        <w:t>управлени</w:t>
      </w:r>
      <w:r>
        <w:rPr>
          <w:lang w:val="ru-RU"/>
        </w:rPr>
        <w:t>я портфелем</w:t>
      </w:r>
      <w:r w:rsidRPr="00085C3B">
        <w:rPr>
          <w:lang w:val="ru-RU"/>
        </w:rPr>
        <w:t xml:space="preserve"> проект</w:t>
      </w:r>
      <w:r>
        <w:rPr>
          <w:lang w:val="ru-RU"/>
        </w:rPr>
        <w:t xml:space="preserve">ов </w:t>
      </w:r>
      <w:r w:rsidRPr="00085C3B">
        <w:rPr>
          <w:lang w:val="ru-RU"/>
        </w:rPr>
        <w:t>ГПКР, контрол</w:t>
      </w:r>
      <w:r>
        <w:rPr>
          <w:lang w:val="ru-RU"/>
        </w:rPr>
        <w:t xml:space="preserve">я за их </w:t>
      </w:r>
      <w:r w:rsidRPr="00085C3B">
        <w:rPr>
          <w:lang w:val="ru-RU"/>
        </w:rPr>
        <w:t>реализаци</w:t>
      </w:r>
      <w:r>
        <w:rPr>
          <w:lang w:val="ru-RU"/>
        </w:rPr>
        <w:t xml:space="preserve">ей и </w:t>
      </w:r>
      <w:r w:rsidRPr="00085C3B">
        <w:rPr>
          <w:lang w:val="ru-RU"/>
        </w:rPr>
        <w:t>формировани</w:t>
      </w:r>
      <w:r>
        <w:rPr>
          <w:lang w:val="ru-RU"/>
        </w:rPr>
        <w:t xml:space="preserve">я </w:t>
      </w:r>
      <w:r w:rsidRPr="00085C3B">
        <w:rPr>
          <w:lang w:val="ru-RU"/>
        </w:rPr>
        <w:t>соответствующ</w:t>
      </w:r>
      <w:r>
        <w:rPr>
          <w:lang w:val="ru-RU"/>
        </w:rPr>
        <w:t xml:space="preserve">ей </w:t>
      </w:r>
      <w:r w:rsidRPr="00085C3B">
        <w:rPr>
          <w:lang w:val="ru-RU"/>
        </w:rPr>
        <w:t>отчет</w:t>
      </w:r>
      <w:r>
        <w:rPr>
          <w:lang w:val="ru-RU"/>
        </w:rPr>
        <w:t xml:space="preserve">ности, </w:t>
      </w:r>
      <w:r w:rsidRPr="00085C3B">
        <w:rPr>
          <w:lang w:val="ru-RU"/>
        </w:rPr>
        <w:t>содерж</w:t>
      </w:r>
      <w:r>
        <w:rPr>
          <w:lang w:val="ru-RU"/>
        </w:rPr>
        <w:t xml:space="preserve">авшуюся в </w:t>
      </w:r>
      <w:r w:rsidRPr="00085C3B">
        <w:rPr>
          <w:lang w:val="ru-RU"/>
        </w:rPr>
        <w:t>документ</w:t>
      </w:r>
      <w:r>
        <w:rPr>
          <w:lang w:val="ru-RU"/>
        </w:rPr>
        <w:t>е</w:t>
      </w:r>
      <w:r w:rsidRPr="00085C3B">
        <w:rPr>
          <w:lang w:val="ru-RU"/>
        </w:rPr>
        <w:t xml:space="preserve"> </w:t>
      </w:r>
      <w:r>
        <w:t>WO</w:t>
      </w:r>
      <w:r w:rsidRPr="00085C3B">
        <w:rPr>
          <w:lang w:val="ru-RU"/>
        </w:rPr>
        <w:t>/</w:t>
      </w:r>
      <w:r>
        <w:t>PBC</w:t>
      </w:r>
      <w:r w:rsidRPr="00085C3B">
        <w:rPr>
          <w:lang w:val="ru-RU"/>
        </w:rPr>
        <w:t>/22/21</w:t>
      </w:r>
      <w:r>
        <w:rPr>
          <w:rStyle w:val="FootnoteReference"/>
        </w:rPr>
        <w:footnoteReference w:id="170"/>
      </w:r>
      <w:r w:rsidRPr="00085C3B">
        <w:rPr>
          <w:lang w:val="ru-RU"/>
        </w:rPr>
        <w:t>.</w:t>
      </w:r>
    </w:p>
    <w:p w:rsidR="00C85043" w:rsidRPr="00085C3B" w:rsidRDefault="00C85043" w:rsidP="00C85043">
      <w:pPr>
        <w:jc w:val="right"/>
        <w:rPr>
          <w:lang w:val="ru-RU"/>
        </w:rPr>
      </w:pPr>
    </w:p>
    <w:p w:rsidR="00EB5F29" w:rsidRDefault="00EB5F29">
      <w:pPr>
        <w:rPr>
          <w:b/>
          <w:sz w:val="22"/>
          <w:lang w:val="ru-RU"/>
        </w:rPr>
      </w:pPr>
      <w:r>
        <w:rPr>
          <w:b/>
          <w:sz w:val="22"/>
          <w:lang w:val="ru-RU"/>
        </w:rPr>
        <w:br w:type="page"/>
      </w:r>
    </w:p>
    <w:p w:rsidR="00C85043" w:rsidRPr="00334A8E" w:rsidRDefault="00C85043" w:rsidP="00C85043">
      <w:pPr>
        <w:rPr>
          <w:b/>
          <w:sz w:val="22"/>
          <w:lang w:val="ru-RU"/>
        </w:rPr>
      </w:pPr>
      <w:r w:rsidRPr="009044EE">
        <w:rPr>
          <w:b/>
          <w:sz w:val="22"/>
          <w:lang w:val="ru-RU"/>
        </w:rPr>
        <w:t>ПРОЕКТЫ</w:t>
      </w:r>
      <w:r w:rsidRPr="00334A8E">
        <w:rPr>
          <w:b/>
          <w:sz w:val="22"/>
          <w:lang w:val="ru-RU"/>
        </w:rPr>
        <w:t xml:space="preserve"> </w:t>
      </w:r>
      <w:r w:rsidRPr="009044EE">
        <w:rPr>
          <w:b/>
          <w:sz w:val="22"/>
          <w:lang w:val="ru-RU"/>
        </w:rPr>
        <w:t>В</w:t>
      </w:r>
      <w:r w:rsidRPr="00334A8E">
        <w:rPr>
          <w:b/>
          <w:sz w:val="22"/>
          <w:lang w:val="ru-RU"/>
        </w:rPr>
        <w:t xml:space="preserve"> </w:t>
      </w:r>
      <w:r w:rsidRPr="009044EE">
        <w:rPr>
          <w:b/>
          <w:sz w:val="22"/>
          <w:lang w:val="ru-RU"/>
        </w:rPr>
        <w:t>ОБЛАСТИ</w:t>
      </w:r>
      <w:r w:rsidRPr="00334A8E">
        <w:rPr>
          <w:b/>
          <w:sz w:val="22"/>
          <w:lang w:val="ru-RU"/>
        </w:rPr>
        <w:t xml:space="preserve"> </w:t>
      </w:r>
      <w:r w:rsidRPr="009044EE">
        <w:rPr>
          <w:b/>
          <w:sz w:val="22"/>
          <w:lang w:val="ru-RU"/>
        </w:rPr>
        <w:t>ИКТ</w:t>
      </w:r>
    </w:p>
    <w:p w:rsidR="00C85043" w:rsidRPr="00334A8E" w:rsidRDefault="00C85043" w:rsidP="00C85043">
      <w:pPr>
        <w:rPr>
          <w:b/>
          <w:sz w:val="22"/>
          <w:lang w:val="ru-RU"/>
        </w:rPr>
      </w:pPr>
    </w:p>
    <w:p w:rsidR="00C85043" w:rsidRPr="00A00D88" w:rsidRDefault="00C85043" w:rsidP="00C85043">
      <w:pPr>
        <w:pStyle w:val="StyleHeading3BoldNounderline"/>
        <w:spacing w:before="0" w:after="0"/>
        <w:ind w:left="1418" w:hanging="1418"/>
        <w:rPr>
          <w:b/>
          <w:sz w:val="20"/>
          <w:lang w:val="ru-RU"/>
        </w:rPr>
      </w:pPr>
      <w:bookmarkStart w:id="144" w:name="_Toc422210523"/>
      <w:bookmarkStart w:id="145" w:name="_Toc455388146"/>
      <w:r w:rsidRPr="00334A8E">
        <w:rPr>
          <w:b/>
          <w:sz w:val="20"/>
          <w:lang w:val="ru-RU"/>
        </w:rPr>
        <w:t xml:space="preserve">ПРОЕКТ </w:t>
      </w:r>
      <w:r w:rsidRPr="00A00D88">
        <w:rPr>
          <w:b/>
          <w:sz w:val="20"/>
          <w:lang w:val="ru-RU"/>
        </w:rPr>
        <w:t>1:</w:t>
      </w:r>
      <w:r w:rsidRPr="00A00D88">
        <w:rPr>
          <w:b/>
          <w:sz w:val="20"/>
          <w:lang w:val="ru-RU"/>
        </w:rPr>
        <w:tab/>
        <w:t xml:space="preserve">ПОВЫШЕНИЕ </w:t>
      </w:r>
      <w:r>
        <w:rPr>
          <w:b/>
          <w:sz w:val="20"/>
          <w:lang w:val="ru-RU"/>
        </w:rPr>
        <w:t xml:space="preserve">УРОВНЯ </w:t>
      </w:r>
      <w:r w:rsidRPr="00A00D88">
        <w:rPr>
          <w:b/>
          <w:sz w:val="20"/>
          <w:lang w:val="ru-RU"/>
        </w:rPr>
        <w:t xml:space="preserve">БЕЗОПАСНОСТИ:  ШИФРОВАНИЕ ДАННЫХ </w:t>
      </w:r>
      <w:r>
        <w:rPr>
          <w:b/>
          <w:sz w:val="20"/>
          <w:lang w:val="ru-RU"/>
        </w:rPr>
        <w:t>И УПРАВЛЕНИЕ ПРАВАМИ ПОЛЬЗОВАТЕЛЕЙ</w:t>
      </w:r>
      <w:bookmarkEnd w:id="144"/>
      <w:r w:rsidRPr="00A00D88">
        <w:rPr>
          <w:b/>
          <w:sz w:val="20"/>
          <w:lang w:val="ru-RU"/>
        </w:rPr>
        <w:t xml:space="preserve"> (</w:t>
      </w:r>
      <w:r w:rsidRPr="009533D2">
        <w:rPr>
          <w:b/>
          <w:sz w:val="20"/>
          <w:lang w:val="ru-RU"/>
        </w:rPr>
        <w:t>ГПКР</w:t>
      </w:r>
      <w:r>
        <w:rPr>
          <w:b/>
          <w:sz w:val="20"/>
          <w:lang w:val="ru-RU"/>
        </w:rPr>
        <w:t>-</w:t>
      </w:r>
      <w:r w:rsidRPr="00A00D88">
        <w:rPr>
          <w:b/>
          <w:sz w:val="20"/>
          <w:lang w:val="ru-RU"/>
        </w:rPr>
        <w:t>1)</w:t>
      </w:r>
      <w:bookmarkEnd w:id="145"/>
    </w:p>
    <w:p w:rsidR="00C85043" w:rsidRPr="00A00D88" w:rsidRDefault="00C85043" w:rsidP="00C85043">
      <w:pPr>
        <w:rPr>
          <w:szCs w:val="20"/>
          <w:lang w:val="ru-RU"/>
        </w:rPr>
      </w:pPr>
    </w:p>
    <w:p w:rsidR="00C85043" w:rsidRPr="00D071C8" w:rsidRDefault="00C85043" w:rsidP="00C85043">
      <w:pPr>
        <w:rPr>
          <w:b/>
          <w:szCs w:val="20"/>
          <w:lang w:val="ru-RU"/>
        </w:rPr>
      </w:pPr>
      <w:r w:rsidRPr="00D071C8">
        <w:rPr>
          <w:b/>
          <w:szCs w:val="20"/>
          <w:lang w:val="ru-RU"/>
        </w:rPr>
        <w:t>Руководитель проекта</w:t>
      </w:r>
      <w:r w:rsidRPr="00D071C8">
        <w:rPr>
          <w:b/>
          <w:szCs w:val="20"/>
          <w:lang w:val="ru-RU"/>
        </w:rPr>
        <w:tab/>
      </w:r>
      <w:r>
        <w:rPr>
          <w:b/>
          <w:szCs w:val="20"/>
          <w:lang w:val="ru-RU"/>
        </w:rPr>
        <w:t>Р</w:t>
      </w:r>
      <w:r w:rsidRPr="00D071C8">
        <w:rPr>
          <w:b/>
          <w:szCs w:val="20"/>
          <w:lang w:val="ru-RU"/>
        </w:rPr>
        <w:t xml:space="preserve">. </w:t>
      </w:r>
      <w:r>
        <w:rPr>
          <w:b/>
          <w:szCs w:val="20"/>
          <w:lang w:val="ru-RU"/>
        </w:rPr>
        <w:t>ЛЭЙН</w:t>
      </w:r>
    </w:p>
    <w:p w:rsidR="00C85043" w:rsidRPr="00D071C8" w:rsidRDefault="00C85043" w:rsidP="00C85043">
      <w:pPr>
        <w:rPr>
          <w:szCs w:val="20"/>
          <w:lang w:val="ru-RU"/>
        </w:rPr>
      </w:pPr>
    </w:p>
    <w:p w:rsidR="00C85043" w:rsidRPr="00D071C8" w:rsidRDefault="00C85043" w:rsidP="00C85043">
      <w:pPr>
        <w:rPr>
          <w:bCs/>
          <w:szCs w:val="20"/>
          <w:lang w:val="ru-RU"/>
        </w:rPr>
      </w:pPr>
    </w:p>
    <w:p w:rsidR="00C85043" w:rsidRPr="002F5531" w:rsidRDefault="00C85043" w:rsidP="00C85043">
      <w:pPr>
        <w:rPr>
          <w:bCs/>
          <w:szCs w:val="20"/>
          <w:lang w:val="ru-RU"/>
        </w:rPr>
      </w:pPr>
      <w:r>
        <w:rPr>
          <w:bCs/>
          <w:szCs w:val="20"/>
          <w:lang w:val="ru-RU"/>
        </w:rPr>
        <w:t>ОЖИДАЕМЫЕ РЕЗУЛЬТАТЫ</w:t>
      </w:r>
    </w:p>
    <w:p w:rsidR="00C85043" w:rsidRPr="002F5531" w:rsidRDefault="00C85043" w:rsidP="00C85043">
      <w:pPr>
        <w:rPr>
          <w:bCs/>
          <w:szCs w:val="20"/>
          <w:lang w:val="ru-RU"/>
        </w:rPr>
      </w:pPr>
    </w:p>
    <w:p w:rsidR="00C85043" w:rsidRPr="00672EC2" w:rsidRDefault="00C85043" w:rsidP="00C85043">
      <w:pPr>
        <w:jc w:val="both"/>
        <w:rPr>
          <w:i/>
          <w:iCs/>
          <w:szCs w:val="20"/>
          <w:lang w:val="ru-RU"/>
        </w:rPr>
      </w:pPr>
      <w:r w:rsidRPr="00BD2266">
        <w:rPr>
          <w:i/>
          <w:iCs/>
          <w:szCs w:val="20"/>
        </w:rPr>
        <w:t>IX</w:t>
      </w:r>
      <w:r w:rsidRPr="00672EC2">
        <w:rPr>
          <w:i/>
          <w:iCs/>
          <w:szCs w:val="20"/>
          <w:lang w:val="ru-RU"/>
        </w:rPr>
        <w:t xml:space="preserve">.1  </w:t>
      </w:r>
      <w:r>
        <w:rPr>
          <w:i/>
          <w:iCs/>
          <w:szCs w:val="20"/>
          <w:lang w:val="ru-RU"/>
        </w:rPr>
        <w:t>Эффективная</w:t>
      </w:r>
      <w:r w:rsidRPr="009044EE">
        <w:rPr>
          <w:i/>
          <w:iCs/>
          <w:szCs w:val="20"/>
          <w:lang w:val="ru-RU"/>
        </w:rPr>
        <w:t xml:space="preserve">, </w:t>
      </w:r>
      <w:r>
        <w:rPr>
          <w:i/>
          <w:iCs/>
          <w:szCs w:val="20"/>
          <w:lang w:val="ru-RU"/>
        </w:rPr>
        <w:t>оперативная и качественная</w:t>
      </w:r>
      <w:r w:rsidRPr="009044EE">
        <w:rPr>
          <w:i/>
          <w:iCs/>
          <w:szCs w:val="20"/>
          <w:lang w:val="ru-RU"/>
        </w:rPr>
        <w:t xml:space="preserve"> </w:t>
      </w:r>
      <w:r w:rsidRPr="00672EC2">
        <w:rPr>
          <w:i/>
          <w:iCs/>
          <w:szCs w:val="20"/>
          <w:lang w:val="ru-RU"/>
        </w:rPr>
        <w:t>поддержк</w:t>
      </w:r>
      <w:r>
        <w:rPr>
          <w:i/>
          <w:iCs/>
          <w:szCs w:val="20"/>
          <w:lang w:val="ru-RU"/>
        </w:rPr>
        <w:t>а</w:t>
      </w:r>
      <w:r w:rsidRPr="009044EE">
        <w:rPr>
          <w:i/>
          <w:iCs/>
          <w:szCs w:val="20"/>
          <w:lang w:val="ru-RU"/>
        </w:rPr>
        <w:t xml:space="preserve">, </w:t>
      </w:r>
      <w:r>
        <w:rPr>
          <w:i/>
          <w:iCs/>
          <w:szCs w:val="20"/>
          <w:lang w:val="ru-RU"/>
        </w:rPr>
        <w:t>ориентированная</w:t>
      </w:r>
      <w:r w:rsidRPr="009044EE">
        <w:rPr>
          <w:i/>
          <w:iCs/>
          <w:szCs w:val="20"/>
          <w:lang w:val="ru-RU"/>
        </w:rPr>
        <w:t xml:space="preserve"> на </w:t>
      </w:r>
      <w:r>
        <w:rPr>
          <w:i/>
          <w:iCs/>
          <w:szCs w:val="20"/>
          <w:lang w:val="ru-RU"/>
        </w:rPr>
        <w:t xml:space="preserve">нужды </w:t>
      </w:r>
      <w:r w:rsidRPr="00085C3B">
        <w:rPr>
          <w:i/>
          <w:iCs/>
          <w:szCs w:val="20"/>
          <w:lang w:val="ru-RU"/>
        </w:rPr>
        <w:t>клиент</w:t>
      </w:r>
      <w:r>
        <w:rPr>
          <w:i/>
          <w:iCs/>
          <w:szCs w:val="20"/>
          <w:lang w:val="ru-RU"/>
        </w:rPr>
        <w:t>ов</w:t>
      </w:r>
      <w:r w:rsidRPr="009044EE">
        <w:rPr>
          <w:i/>
          <w:iCs/>
          <w:szCs w:val="20"/>
          <w:lang w:val="ru-RU"/>
        </w:rPr>
        <w:t xml:space="preserve"> </w:t>
      </w:r>
      <w:r>
        <w:rPr>
          <w:i/>
          <w:iCs/>
          <w:szCs w:val="20"/>
          <w:lang w:val="ru-RU"/>
        </w:rPr>
        <w:t xml:space="preserve">и оказываемая </w:t>
      </w:r>
      <w:r w:rsidRPr="009044EE">
        <w:rPr>
          <w:i/>
          <w:iCs/>
          <w:szCs w:val="20"/>
          <w:lang w:val="ru-RU"/>
        </w:rPr>
        <w:t>как внутренним пользователям, так и внешним партнерам</w:t>
      </w:r>
    </w:p>
    <w:p w:rsidR="00C85043" w:rsidRPr="00672EC2" w:rsidRDefault="00C85043" w:rsidP="00C85043">
      <w:pPr>
        <w:jc w:val="both"/>
        <w:rPr>
          <w:i/>
          <w:iCs/>
          <w:szCs w:val="20"/>
          <w:lang w:val="ru-RU"/>
        </w:rPr>
      </w:pPr>
    </w:p>
    <w:p w:rsidR="00C85043" w:rsidRPr="009752A1" w:rsidRDefault="00C85043" w:rsidP="00BF61DC">
      <w:pPr>
        <w:pStyle w:val="ONUME"/>
        <w:numPr>
          <w:ilvl w:val="0"/>
          <w:numId w:val="109"/>
        </w:numPr>
        <w:tabs>
          <w:tab w:val="left" w:pos="567"/>
        </w:tabs>
        <w:spacing w:after="0"/>
        <w:ind w:left="0" w:firstLine="0"/>
        <w:jc w:val="both"/>
        <w:rPr>
          <w:iCs/>
          <w:lang w:val="ru-RU"/>
        </w:rPr>
      </w:pPr>
      <w:r w:rsidRPr="009752A1">
        <w:rPr>
          <w:iCs/>
          <w:lang w:val="ru-RU"/>
        </w:rPr>
        <w:t xml:space="preserve">Внедрение </w:t>
      </w:r>
      <w:r>
        <w:rPr>
          <w:iCs/>
          <w:lang w:val="ru-RU"/>
        </w:rPr>
        <w:t>шифрования</w:t>
      </w:r>
      <w:r w:rsidRPr="009752A1">
        <w:rPr>
          <w:iCs/>
          <w:lang w:val="ru-RU"/>
        </w:rPr>
        <w:t xml:space="preserve"> данных и системы управления правами пользователей </w:t>
      </w:r>
      <w:r>
        <w:rPr>
          <w:iCs/>
          <w:lang w:val="ru-RU"/>
        </w:rPr>
        <w:t xml:space="preserve">повысит способность </w:t>
      </w:r>
      <w:r w:rsidRPr="009752A1">
        <w:rPr>
          <w:iCs/>
          <w:lang w:val="ru-RU"/>
        </w:rPr>
        <w:t xml:space="preserve">ВОИС </w:t>
      </w:r>
      <w:r>
        <w:rPr>
          <w:iCs/>
          <w:lang w:val="ru-RU"/>
        </w:rPr>
        <w:t xml:space="preserve">отвечать </w:t>
      </w:r>
      <w:r w:rsidRPr="009752A1">
        <w:rPr>
          <w:iCs/>
          <w:lang w:val="ru-RU"/>
        </w:rPr>
        <w:t xml:space="preserve">на растущие угрозы </w:t>
      </w:r>
      <w:r w:rsidRPr="00085C3B">
        <w:rPr>
          <w:iCs/>
          <w:lang w:val="ru-RU"/>
        </w:rPr>
        <w:t>в области</w:t>
      </w:r>
      <w:r>
        <w:rPr>
          <w:iCs/>
          <w:lang w:val="ru-RU"/>
        </w:rPr>
        <w:t xml:space="preserve"> </w:t>
      </w:r>
      <w:r w:rsidRPr="009752A1">
        <w:rPr>
          <w:iCs/>
          <w:lang w:val="ru-RU"/>
        </w:rPr>
        <w:t xml:space="preserve">информационной безопасности и в то же время позволит выработать </w:t>
      </w:r>
      <w:r>
        <w:rPr>
          <w:iCs/>
          <w:lang w:val="ru-RU"/>
        </w:rPr>
        <w:t xml:space="preserve">более экономичные </w:t>
      </w:r>
      <w:r w:rsidRPr="002D4A9B">
        <w:rPr>
          <w:iCs/>
          <w:lang w:val="ru-RU"/>
        </w:rPr>
        <w:t>вариант</w:t>
      </w:r>
      <w:r>
        <w:rPr>
          <w:iCs/>
          <w:lang w:val="ru-RU"/>
        </w:rPr>
        <w:t xml:space="preserve">ы </w:t>
      </w:r>
      <w:r w:rsidRPr="009752A1">
        <w:rPr>
          <w:iCs/>
          <w:lang w:val="ru-RU"/>
        </w:rPr>
        <w:t xml:space="preserve">привлечения подрядчиков и обеспечить комплексное управление правами доступа растущего числа пользователей. </w:t>
      </w:r>
    </w:p>
    <w:p w:rsidR="00C85043" w:rsidRPr="00672EC2" w:rsidRDefault="00C85043" w:rsidP="00C85043">
      <w:pPr>
        <w:pStyle w:val="ONUME"/>
        <w:tabs>
          <w:tab w:val="left" w:pos="567"/>
        </w:tabs>
        <w:spacing w:after="0"/>
        <w:jc w:val="both"/>
        <w:rPr>
          <w:iCs/>
          <w:lang w:val="ru-RU"/>
        </w:rPr>
      </w:pPr>
    </w:p>
    <w:p w:rsidR="00C85043" w:rsidRPr="00672EC2" w:rsidRDefault="00C85043" w:rsidP="00C85043">
      <w:pPr>
        <w:pStyle w:val="ONUME"/>
        <w:tabs>
          <w:tab w:val="left" w:pos="567"/>
        </w:tabs>
        <w:spacing w:after="0"/>
        <w:jc w:val="both"/>
        <w:rPr>
          <w:iCs/>
          <w:lang w:val="ru-RU"/>
        </w:rPr>
      </w:pPr>
    </w:p>
    <w:p w:rsidR="00C85043" w:rsidRPr="001261B1" w:rsidRDefault="00C85043" w:rsidP="00C85043">
      <w:pPr>
        <w:rPr>
          <w:bCs/>
          <w:szCs w:val="22"/>
          <w:lang w:val="ru-RU"/>
        </w:rPr>
      </w:pPr>
      <w:bookmarkStart w:id="146" w:name="c"/>
      <w:r>
        <w:rPr>
          <w:bCs/>
          <w:szCs w:val="22"/>
          <w:lang w:val="ru-RU"/>
        </w:rPr>
        <w:t>ЦЕЛИ, ОБЪЕМ ЗАДАЧ И МЕТОДОЛОГИЯ: СПРАВОЧНАЯ ИНФОРМАЦИЯ</w:t>
      </w:r>
      <w:bookmarkEnd w:id="146"/>
    </w:p>
    <w:p w:rsidR="00C85043" w:rsidRPr="001261B1" w:rsidRDefault="00C85043" w:rsidP="00C85043">
      <w:pPr>
        <w:rPr>
          <w:bCs/>
          <w:szCs w:val="20"/>
          <w:lang w:val="ru-RU"/>
        </w:rPr>
      </w:pPr>
    </w:p>
    <w:p w:rsidR="00C85043" w:rsidRPr="00C67483" w:rsidRDefault="00C85043" w:rsidP="00BF61DC">
      <w:pPr>
        <w:pStyle w:val="ONUME"/>
        <w:numPr>
          <w:ilvl w:val="0"/>
          <w:numId w:val="109"/>
        </w:numPr>
        <w:tabs>
          <w:tab w:val="left" w:pos="567"/>
        </w:tabs>
        <w:ind w:left="0" w:firstLine="0"/>
        <w:jc w:val="both"/>
        <w:rPr>
          <w:lang w:val="ru-RU"/>
        </w:rPr>
      </w:pPr>
      <w:r w:rsidRPr="009044EE">
        <w:rPr>
          <w:lang w:val="ru-RU"/>
        </w:rPr>
        <w:t>Проект направлен на достиж</w:t>
      </w:r>
      <w:r>
        <w:rPr>
          <w:lang w:val="ru-RU"/>
        </w:rPr>
        <w:t>ение трех основных целей: защиты</w:t>
      </w:r>
      <w:r w:rsidRPr="009044EE">
        <w:rPr>
          <w:lang w:val="ru-RU"/>
        </w:rPr>
        <w:t xml:space="preserve"> критически важных данных, </w:t>
      </w:r>
      <w:r>
        <w:rPr>
          <w:lang w:val="ru-RU"/>
        </w:rPr>
        <w:t xml:space="preserve">создания </w:t>
      </w:r>
      <w:r w:rsidRPr="009365AB">
        <w:rPr>
          <w:lang w:val="ru-RU"/>
        </w:rPr>
        <w:t>услови</w:t>
      </w:r>
      <w:r>
        <w:rPr>
          <w:lang w:val="ru-RU"/>
        </w:rPr>
        <w:t xml:space="preserve">й для </w:t>
      </w:r>
      <w:r w:rsidRPr="009365AB">
        <w:rPr>
          <w:snapToGrid w:val="0"/>
          <w:lang w:val="ru-RU"/>
        </w:rPr>
        <w:t>применени</w:t>
      </w:r>
      <w:r>
        <w:rPr>
          <w:lang w:val="ru-RU"/>
        </w:rPr>
        <w:t xml:space="preserve">я </w:t>
      </w:r>
      <w:r w:rsidRPr="009044EE">
        <w:rPr>
          <w:lang w:val="ru-RU"/>
        </w:rPr>
        <w:t xml:space="preserve">более </w:t>
      </w:r>
      <w:r>
        <w:rPr>
          <w:lang w:val="ru-RU"/>
        </w:rPr>
        <w:t xml:space="preserve">экономичных </w:t>
      </w:r>
      <w:r w:rsidRPr="003B6247">
        <w:rPr>
          <w:lang w:val="ru-RU"/>
        </w:rPr>
        <w:t>вариант</w:t>
      </w:r>
      <w:r>
        <w:rPr>
          <w:lang w:val="ru-RU"/>
        </w:rPr>
        <w:t xml:space="preserve">ов подряда </w:t>
      </w:r>
      <w:r w:rsidRPr="009044EE">
        <w:rPr>
          <w:lang w:val="ru-RU"/>
        </w:rPr>
        <w:t xml:space="preserve">и </w:t>
      </w:r>
      <w:r w:rsidRPr="009365AB">
        <w:rPr>
          <w:lang w:val="ru-RU"/>
        </w:rPr>
        <w:t>организаци</w:t>
      </w:r>
      <w:r>
        <w:rPr>
          <w:lang w:val="ru-RU"/>
        </w:rPr>
        <w:t>и комплексного управления</w:t>
      </w:r>
      <w:r w:rsidRPr="009044EE">
        <w:rPr>
          <w:lang w:val="ru-RU"/>
        </w:rPr>
        <w:t xml:space="preserve"> правами доступа пользователей.</w:t>
      </w:r>
    </w:p>
    <w:p w:rsidR="00C85043" w:rsidRPr="008C0FDE" w:rsidRDefault="00C85043" w:rsidP="00BF61DC">
      <w:pPr>
        <w:pStyle w:val="ONUME"/>
        <w:numPr>
          <w:ilvl w:val="0"/>
          <w:numId w:val="109"/>
        </w:numPr>
        <w:tabs>
          <w:tab w:val="left" w:pos="567"/>
        </w:tabs>
        <w:ind w:left="0" w:firstLine="0"/>
        <w:jc w:val="both"/>
        <w:rPr>
          <w:lang w:val="ru-RU"/>
        </w:rPr>
      </w:pPr>
      <w:r w:rsidRPr="009044EE">
        <w:rPr>
          <w:bCs/>
          <w:lang w:val="ru-RU"/>
        </w:rPr>
        <w:t xml:space="preserve">ВОИС уже использует </w:t>
      </w:r>
      <w:r>
        <w:rPr>
          <w:bCs/>
          <w:lang w:val="ru-RU"/>
        </w:rPr>
        <w:t xml:space="preserve">комплексные </w:t>
      </w:r>
      <w:r w:rsidRPr="009044EE">
        <w:rPr>
          <w:bCs/>
          <w:lang w:val="ru-RU"/>
        </w:rPr>
        <w:t>подходы для защиты конфиденциальной информации.</w:t>
      </w:r>
      <w:r>
        <w:rPr>
          <w:bCs/>
          <w:lang w:val="ru-RU"/>
        </w:rPr>
        <w:t xml:space="preserve"> Эти </w:t>
      </w:r>
      <w:r w:rsidRPr="009A1901">
        <w:rPr>
          <w:bCs/>
          <w:lang w:val="ru-RU"/>
        </w:rPr>
        <w:t>подход</w:t>
      </w:r>
      <w:r>
        <w:rPr>
          <w:bCs/>
          <w:lang w:val="ru-RU"/>
        </w:rPr>
        <w:t xml:space="preserve">ы </w:t>
      </w:r>
      <w:r w:rsidRPr="00AB735C">
        <w:rPr>
          <w:bCs/>
          <w:lang w:val="ru-RU"/>
        </w:rPr>
        <w:t>вкл</w:t>
      </w:r>
      <w:r>
        <w:rPr>
          <w:bCs/>
          <w:lang w:val="ru-RU"/>
        </w:rPr>
        <w:t xml:space="preserve">ючают, </w:t>
      </w:r>
      <w:r w:rsidRPr="009A1901">
        <w:rPr>
          <w:bCs/>
          <w:lang w:val="ru-RU"/>
        </w:rPr>
        <w:t xml:space="preserve">в частности, </w:t>
      </w:r>
      <w:r w:rsidRPr="00AB735C">
        <w:rPr>
          <w:bCs/>
          <w:lang w:val="ru-RU"/>
        </w:rPr>
        <w:t>традиционн</w:t>
      </w:r>
      <w:r>
        <w:rPr>
          <w:bCs/>
          <w:lang w:val="ru-RU"/>
        </w:rPr>
        <w:t>ые</w:t>
      </w:r>
      <w:r w:rsidRPr="00AB735C">
        <w:rPr>
          <w:bCs/>
          <w:lang w:val="ru-RU"/>
        </w:rPr>
        <w:t xml:space="preserve"> механизм</w:t>
      </w:r>
      <w:r>
        <w:rPr>
          <w:bCs/>
          <w:lang w:val="ru-RU"/>
        </w:rPr>
        <w:t xml:space="preserve">ы периметровой </w:t>
      </w:r>
      <w:r w:rsidRPr="009A1901">
        <w:rPr>
          <w:bCs/>
          <w:lang w:val="ru-RU"/>
        </w:rPr>
        <w:t>охран</w:t>
      </w:r>
      <w:r>
        <w:rPr>
          <w:bCs/>
          <w:lang w:val="ru-RU"/>
        </w:rPr>
        <w:t>ы</w:t>
      </w:r>
      <w:r w:rsidRPr="00AB735C">
        <w:rPr>
          <w:bCs/>
          <w:lang w:val="ru-RU"/>
        </w:rPr>
        <w:t xml:space="preserve">, </w:t>
      </w:r>
      <w:r w:rsidRPr="009A1901">
        <w:rPr>
          <w:bCs/>
          <w:lang w:val="ru-RU"/>
        </w:rPr>
        <w:t>систем</w:t>
      </w:r>
      <w:r>
        <w:rPr>
          <w:bCs/>
          <w:lang w:val="ru-RU"/>
        </w:rPr>
        <w:t xml:space="preserve">ы </w:t>
      </w:r>
      <w:r w:rsidRPr="002D6536">
        <w:rPr>
          <w:bCs/>
          <w:lang w:val="ru-RU"/>
        </w:rPr>
        <w:t>защит</w:t>
      </w:r>
      <w:r>
        <w:rPr>
          <w:bCs/>
          <w:lang w:val="ru-RU"/>
        </w:rPr>
        <w:t>ы информации</w:t>
      </w:r>
      <w:r w:rsidRPr="009A1901">
        <w:rPr>
          <w:bCs/>
          <w:lang w:val="ru-RU"/>
        </w:rPr>
        <w:t xml:space="preserve"> </w:t>
      </w:r>
      <w:r w:rsidRPr="00AB735C">
        <w:rPr>
          <w:bCs/>
          <w:lang w:val="ru-RU"/>
        </w:rPr>
        <w:t xml:space="preserve">и </w:t>
      </w:r>
      <w:r w:rsidRPr="002D6536">
        <w:rPr>
          <w:bCs/>
          <w:lang w:val="ru-RU"/>
        </w:rPr>
        <w:t>обеспечени</w:t>
      </w:r>
      <w:r>
        <w:rPr>
          <w:bCs/>
          <w:lang w:val="ru-RU"/>
        </w:rPr>
        <w:t xml:space="preserve">я </w:t>
      </w:r>
      <w:r w:rsidRPr="002D6536">
        <w:rPr>
          <w:bCs/>
          <w:lang w:val="ru-RU"/>
        </w:rPr>
        <w:t>безопасност</w:t>
      </w:r>
      <w:r>
        <w:rPr>
          <w:bCs/>
          <w:lang w:val="ru-RU"/>
        </w:rPr>
        <w:t xml:space="preserve">и при проведении </w:t>
      </w:r>
      <w:r w:rsidRPr="009A1901">
        <w:rPr>
          <w:bCs/>
          <w:lang w:val="ru-RU"/>
        </w:rPr>
        <w:t>мероприяти</w:t>
      </w:r>
      <w:r>
        <w:rPr>
          <w:bCs/>
          <w:lang w:val="ru-RU"/>
        </w:rPr>
        <w:t>й</w:t>
      </w:r>
      <w:r w:rsidRPr="00AB735C">
        <w:rPr>
          <w:bCs/>
          <w:lang w:val="ru-RU"/>
        </w:rPr>
        <w:t xml:space="preserve">, </w:t>
      </w:r>
      <w:r w:rsidRPr="009A1901">
        <w:rPr>
          <w:bCs/>
          <w:lang w:val="ru-RU"/>
        </w:rPr>
        <w:t>а также</w:t>
      </w:r>
      <w:r>
        <w:rPr>
          <w:bCs/>
          <w:lang w:val="ru-RU"/>
        </w:rPr>
        <w:t xml:space="preserve"> </w:t>
      </w:r>
      <w:r w:rsidRPr="009A1901">
        <w:rPr>
          <w:bCs/>
          <w:lang w:val="ru-RU"/>
        </w:rPr>
        <w:t>средств</w:t>
      </w:r>
      <w:r>
        <w:rPr>
          <w:bCs/>
          <w:lang w:val="ru-RU"/>
        </w:rPr>
        <w:t xml:space="preserve">а </w:t>
      </w:r>
      <w:r w:rsidRPr="00AB735C">
        <w:rPr>
          <w:bCs/>
          <w:lang w:val="ru-RU"/>
        </w:rPr>
        <w:t>обнаруж</w:t>
      </w:r>
      <w:r>
        <w:rPr>
          <w:bCs/>
          <w:lang w:val="ru-RU"/>
        </w:rPr>
        <w:t>ения</w:t>
      </w:r>
      <w:r w:rsidRPr="00AB735C">
        <w:rPr>
          <w:bCs/>
          <w:lang w:val="ru-RU"/>
        </w:rPr>
        <w:t xml:space="preserve"> и </w:t>
      </w:r>
      <w:r>
        <w:rPr>
          <w:bCs/>
          <w:lang w:val="ru-RU"/>
        </w:rPr>
        <w:t>пре</w:t>
      </w:r>
      <w:r w:rsidRPr="009A1901">
        <w:rPr>
          <w:bCs/>
          <w:lang w:val="ru-RU"/>
        </w:rPr>
        <w:t xml:space="preserve">дотвращения проникновения нежелательных лиц на объекты.  Вместе с тем, реагируя на все более изощренные угрозы безопасности и применяя передовые методы защиты информации, Организация </w:t>
      </w:r>
      <w:r>
        <w:rPr>
          <w:bCs/>
          <w:lang w:val="ru-RU"/>
        </w:rPr>
        <w:t>обращает сегодня большее</w:t>
      </w:r>
      <w:r w:rsidRPr="009A1901">
        <w:rPr>
          <w:bCs/>
          <w:lang w:val="ru-RU"/>
        </w:rPr>
        <w:t xml:space="preserve"> внимание также </w:t>
      </w:r>
      <w:r>
        <w:rPr>
          <w:bCs/>
          <w:lang w:val="ru-RU"/>
        </w:rPr>
        <w:t>на прямую защиту</w:t>
      </w:r>
      <w:r w:rsidRPr="009A1901">
        <w:rPr>
          <w:bCs/>
          <w:lang w:val="ru-RU"/>
        </w:rPr>
        <w:t xml:space="preserve"> источников данных. </w:t>
      </w:r>
    </w:p>
    <w:p w:rsidR="00C85043" w:rsidRPr="008C0FDE" w:rsidRDefault="00C85043" w:rsidP="00BF61DC">
      <w:pPr>
        <w:pStyle w:val="ONUME"/>
        <w:numPr>
          <w:ilvl w:val="0"/>
          <w:numId w:val="109"/>
        </w:numPr>
        <w:tabs>
          <w:tab w:val="left" w:pos="567"/>
        </w:tabs>
        <w:ind w:left="0" w:firstLine="0"/>
        <w:jc w:val="both"/>
        <w:rPr>
          <w:lang w:val="ru-RU"/>
        </w:rPr>
      </w:pPr>
      <w:r w:rsidRPr="00930623">
        <w:rPr>
          <w:lang w:val="ru-RU"/>
        </w:rPr>
        <w:t xml:space="preserve">Кроме того, </w:t>
      </w:r>
      <w:r w:rsidRPr="008C0FDE">
        <w:rPr>
          <w:lang w:val="ru-RU"/>
        </w:rPr>
        <w:t>в современном мире информационных технологий</w:t>
      </w:r>
      <w:r>
        <w:rPr>
          <w:lang w:val="ru-RU"/>
        </w:rPr>
        <w:t xml:space="preserve">, требующем умения, </w:t>
      </w:r>
      <w:r w:rsidRPr="008C0FDE">
        <w:rPr>
          <w:lang w:val="ru-RU"/>
        </w:rPr>
        <w:t xml:space="preserve">с одной стороны, </w:t>
      </w:r>
      <w:r>
        <w:rPr>
          <w:lang w:val="ru-RU"/>
        </w:rPr>
        <w:t>привлечь специалистов с разносторонними</w:t>
      </w:r>
      <w:r w:rsidRPr="008C0FDE">
        <w:rPr>
          <w:lang w:val="ru-RU"/>
        </w:rPr>
        <w:t xml:space="preserve"> и быстро</w:t>
      </w:r>
      <w:r>
        <w:rPr>
          <w:lang w:val="ru-RU"/>
        </w:rPr>
        <w:t xml:space="preserve"> меняющимися</w:t>
      </w:r>
      <w:r w:rsidRPr="008C0FDE">
        <w:rPr>
          <w:lang w:val="ru-RU"/>
        </w:rPr>
        <w:t xml:space="preserve"> </w:t>
      </w:r>
      <w:r>
        <w:rPr>
          <w:lang w:val="ru-RU"/>
        </w:rPr>
        <w:t>профессиональными навыками</w:t>
      </w:r>
      <w:r w:rsidRPr="008C0FDE">
        <w:rPr>
          <w:lang w:val="ru-RU"/>
        </w:rPr>
        <w:t xml:space="preserve">, </w:t>
      </w:r>
      <w:r>
        <w:rPr>
          <w:lang w:val="ru-RU"/>
        </w:rPr>
        <w:t>а</w:t>
      </w:r>
      <w:r w:rsidRPr="008C0FDE">
        <w:rPr>
          <w:lang w:val="ru-RU"/>
        </w:rPr>
        <w:t xml:space="preserve"> с другой </w:t>
      </w:r>
      <w:r w:rsidRPr="008C0FDE">
        <w:rPr>
          <w:rFonts w:eastAsia="+mn-ea"/>
          <w:lang w:val="ru-RU" w:eastAsia="en-US"/>
        </w:rPr>
        <w:t>–</w:t>
      </w:r>
      <w:r w:rsidRPr="008C0FDE">
        <w:rPr>
          <w:lang w:val="ru-RU"/>
        </w:rPr>
        <w:t xml:space="preserve"> быстро мобилизовать рабочую силу в ответ на меняющиеся приоритеты в деятельности организации, настоятельной необходимостью становится </w:t>
      </w:r>
      <w:r w:rsidRPr="008C0FDE">
        <w:rPr>
          <w:snapToGrid w:val="0"/>
          <w:lang w:val="ru-RU"/>
        </w:rPr>
        <w:t>применени</w:t>
      </w:r>
      <w:r w:rsidRPr="008C0FDE">
        <w:rPr>
          <w:lang w:val="ru-RU"/>
        </w:rPr>
        <w:t xml:space="preserve">е экономичных </w:t>
      </w:r>
      <w:r w:rsidRPr="00F878AE">
        <w:rPr>
          <w:lang w:val="ru-RU"/>
        </w:rPr>
        <w:t>вариант</w:t>
      </w:r>
      <w:r>
        <w:rPr>
          <w:lang w:val="ru-RU"/>
        </w:rPr>
        <w:t>ов</w:t>
      </w:r>
      <w:r w:rsidRPr="008C0FDE">
        <w:rPr>
          <w:lang w:val="ru-RU"/>
        </w:rPr>
        <w:t xml:space="preserve"> </w:t>
      </w:r>
      <w:r>
        <w:rPr>
          <w:lang w:val="ru-RU"/>
        </w:rPr>
        <w:t>подряда</w:t>
      </w:r>
      <w:r w:rsidRPr="008C0FDE">
        <w:rPr>
          <w:lang w:val="ru-RU"/>
        </w:rPr>
        <w:t xml:space="preserve">.  Однако </w:t>
      </w:r>
      <w:r>
        <w:rPr>
          <w:lang w:val="ru-RU"/>
        </w:rPr>
        <w:t xml:space="preserve">такой </w:t>
      </w:r>
      <w:r w:rsidRPr="008C0FDE">
        <w:rPr>
          <w:lang w:val="ru-RU"/>
        </w:rPr>
        <w:t xml:space="preserve">рост числа вариантов </w:t>
      </w:r>
      <w:r>
        <w:rPr>
          <w:lang w:val="ru-RU"/>
        </w:rPr>
        <w:t xml:space="preserve">подряда </w:t>
      </w:r>
      <w:r w:rsidRPr="008C0FDE">
        <w:rPr>
          <w:lang w:val="ru-RU"/>
        </w:rPr>
        <w:t xml:space="preserve">также означает увеличение </w:t>
      </w:r>
      <w:r w:rsidRPr="00F878AE">
        <w:rPr>
          <w:lang w:val="ru-RU"/>
        </w:rPr>
        <w:t>информаци</w:t>
      </w:r>
      <w:r>
        <w:rPr>
          <w:lang w:val="ru-RU"/>
        </w:rPr>
        <w:t>онных рисков</w:t>
      </w:r>
      <w:r w:rsidRPr="008C0FDE">
        <w:rPr>
          <w:lang w:val="ru-RU"/>
        </w:rPr>
        <w:t>.</w:t>
      </w:r>
    </w:p>
    <w:p w:rsidR="00C85043" w:rsidRPr="00AB735C" w:rsidRDefault="00C85043" w:rsidP="00BF61DC">
      <w:pPr>
        <w:pStyle w:val="ONUME"/>
        <w:numPr>
          <w:ilvl w:val="0"/>
          <w:numId w:val="109"/>
        </w:numPr>
        <w:tabs>
          <w:tab w:val="left" w:pos="567"/>
        </w:tabs>
        <w:ind w:left="0" w:firstLine="0"/>
        <w:jc w:val="both"/>
        <w:rPr>
          <w:bCs/>
          <w:lang w:val="ru-RU"/>
        </w:rPr>
      </w:pPr>
      <w:r w:rsidRPr="008C0FDE">
        <w:rPr>
          <w:bCs/>
          <w:lang w:val="ru-RU"/>
        </w:rPr>
        <w:t xml:space="preserve">Эффективным решением этих двух проблем могут </w:t>
      </w:r>
      <w:r>
        <w:rPr>
          <w:bCs/>
          <w:lang w:val="ru-RU"/>
        </w:rPr>
        <w:t xml:space="preserve">быть </w:t>
      </w:r>
      <w:r w:rsidRPr="008C0FDE">
        <w:rPr>
          <w:bCs/>
          <w:lang w:val="ru-RU"/>
        </w:rPr>
        <w:t xml:space="preserve">технологии шифрования корпоративных данных.   Такие решения </w:t>
      </w:r>
      <w:r>
        <w:rPr>
          <w:bCs/>
          <w:lang w:val="ru-RU"/>
        </w:rPr>
        <w:t>дополняют</w:t>
      </w:r>
      <w:r w:rsidRPr="008C0FDE">
        <w:rPr>
          <w:bCs/>
          <w:lang w:val="ru-RU"/>
        </w:rPr>
        <w:t xml:space="preserve"> </w:t>
      </w:r>
      <w:r>
        <w:rPr>
          <w:bCs/>
          <w:lang w:val="ru-RU"/>
        </w:rPr>
        <w:t>другие меры</w:t>
      </w:r>
      <w:r w:rsidRPr="008C0FDE">
        <w:rPr>
          <w:bCs/>
          <w:lang w:val="ru-RU"/>
        </w:rPr>
        <w:t xml:space="preserve"> информационной защиты, обеспечивая шифрование</w:t>
      </w:r>
      <w:r>
        <w:rPr>
          <w:bCs/>
          <w:lang w:val="ru-RU"/>
        </w:rPr>
        <w:t xml:space="preserve"> источников</w:t>
      </w:r>
      <w:r w:rsidRPr="008C0FDE">
        <w:rPr>
          <w:bCs/>
          <w:lang w:val="ru-RU"/>
        </w:rPr>
        <w:t xml:space="preserve"> данных.   Кроме того, они предоставляют более широкие возможности </w:t>
      </w:r>
      <w:r w:rsidRPr="008C0FDE">
        <w:rPr>
          <w:bCs/>
          <w:snapToGrid w:val="0"/>
          <w:lang w:val="ru-RU"/>
        </w:rPr>
        <w:t xml:space="preserve">привлечения </w:t>
      </w:r>
      <w:r w:rsidRPr="008C0FDE">
        <w:rPr>
          <w:bCs/>
          <w:lang w:val="ru-RU"/>
        </w:rPr>
        <w:t>поставщиков услуг</w:t>
      </w:r>
      <w:r>
        <w:rPr>
          <w:bCs/>
          <w:lang w:val="ru-RU"/>
        </w:rPr>
        <w:t xml:space="preserve"> на более экономичных </w:t>
      </w:r>
      <w:r w:rsidRPr="00F878AE">
        <w:rPr>
          <w:bCs/>
          <w:lang w:val="ru-RU"/>
        </w:rPr>
        <w:t>услови</w:t>
      </w:r>
      <w:r>
        <w:rPr>
          <w:bCs/>
          <w:lang w:val="ru-RU"/>
        </w:rPr>
        <w:t>ях</w:t>
      </w:r>
      <w:r w:rsidRPr="008C0FDE">
        <w:rPr>
          <w:bCs/>
          <w:lang w:val="ru-RU"/>
        </w:rPr>
        <w:t xml:space="preserve">, так как </w:t>
      </w:r>
      <w:r>
        <w:rPr>
          <w:bCs/>
          <w:lang w:val="ru-RU"/>
        </w:rPr>
        <w:t xml:space="preserve">они </w:t>
      </w:r>
      <w:r w:rsidRPr="008C0FDE">
        <w:rPr>
          <w:bCs/>
          <w:lang w:val="ru-RU"/>
        </w:rPr>
        <w:t xml:space="preserve">позволяют строго контролировать процесс шифрования </w:t>
      </w:r>
      <w:r w:rsidRPr="008C0FDE">
        <w:rPr>
          <w:bCs/>
          <w:snapToGrid w:val="0"/>
          <w:lang w:val="ru-RU"/>
        </w:rPr>
        <w:t>данн</w:t>
      </w:r>
      <w:r w:rsidRPr="008C0FDE">
        <w:rPr>
          <w:bCs/>
          <w:lang w:val="ru-RU"/>
        </w:rPr>
        <w:t xml:space="preserve">ых, не мешая при этом поставщикам услуг выполнять их вспомогательные функции. </w:t>
      </w:r>
    </w:p>
    <w:p w:rsidR="00C85043" w:rsidRPr="002521BC" w:rsidRDefault="00C85043" w:rsidP="00BF61DC">
      <w:pPr>
        <w:pStyle w:val="ONUME"/>
        <w:numPr>
          <w:ilvl w:val="0"/>
          <w:numId w:val="109"/>
        </w:numPr>
        <w:tabs>
          <w:tab w:val="left" w:pos="567"/>
        </w:tabs>
        <w:ind w:left="0" w:firstLine="0"/>
        <w:jc w:val="both"/>
        <w:rPr>
          <w:bCs/>
          <w:lang w:val="ru-RU"/>
        </w:rPr>
      </w:pPr>
      <w:r>
        <w:rPr>
          <w:bCs/>
          <w:lang w:val="ru-RU"/>
        </w:rPr>
        <w:t>Инвести</w:t>
      </w:r>
      <w:r w:rsidRPr="008C0FDE">
        <w:rPr>
          <w:bCs/>
          <w:lang w:val="ru-RU"/>
        </w:rPr>
        <w:t xml:space="preserve">ции в системы шифрования корпоративных данных </w:t>
      </w:r>
      <w:r>
        <w:rPr>
          <w:bCs/>
          <w:lang w:val="ru-RU"/>
        </w:rPr>
        <w:t xml:space="preserve">дополняются </w:t>
      </w:r>
      <w:r w:rsidRPr="008C0FDE">
        <w:rPr>
          <w:bCs/>
          <w:lang w:val="ru-RU"/>
        </w:rPr>
        <w:t>организацией эффективного управления правами доступа</w:t>
      </w:r>
      <w:r>
        <w:rPr>
          <w:bCs/>
          <w:lang w:val="ru-RU"/>
        </w:rPr>
        <w:t xml:space="preserve">. </w:t>
      </w:r>
      <w:r w:rsidRPr="008C0FDE">
        <w:rPr>
          <w:bCs/>
          <w:lang w:val="ru-RU"/>
        </w:rPr>
        <w:t xml:space="preserve">Традиционно при организации управления правами доступа основное внимание уделялось системам.  Другими словами, когда </w:t>
      </w:r>
      <w:r>
        <w:rPr>
          <w:bCs/>
          <w:lang w:val="ru-RU"/>
        </w:rPr>
        <w:t xml:space="preserve">имеется </w:t>
      </w:r>
      <w:r w:rsidRPr="008C0FDE">
        <w:rPr>
          <w:bCs/>
          <w:lang w:val="ru-RU"/>
        </w:rPr>
        <w:t xml:space="preserve">система, должно быть ясно, кто и к чему имеет доступ.  Однако такой подход может быть эффективным лишь при относительно небольшом числе пользователей и программных приложений. </w:t>
      </w:r>
    </w:p>
    <w:p w:rsidR="00C85043" w:rsidRPr="00AB735C" w:rsidRDefault="00C85043" w:rsidP="00BF61DC">
      <w:pPr>
        <w:pStyle w:val="ONUME"/>
        <w:numPr>
          <w:ilvl w:val="0"/>
          <w:numId w:val="109"/>
        </w:numPr>
        <w:tabs>
          <w:tab w:val="left" w:pos="567"/>
        </w:tabs>
        <w:ind w:left="0" w:firstLine="0"/>
        <w:jc w:val="both"/>
        <w:rPr>
          <w:iCs/>
          <w:lang w:val="ru-RU"/>
        </w:rPr>
      </w:pPr>
      <w:r w:rsidRPr="009172CC">
        <w:rPr>
          <w:iCs/>
          <w:lang w:val="ru-RU"/>
        </w:rPr>
        <w:t>Ожидается, что</w:t>
      </w:r>
      <w:r>
        <w:rPr>
          <w:iCs/>
          <w:lang w:val="ru-RU"/>
        </w:rPr>
        <w:t xml:space="preserve"> в предстоящие годы</w:t>
      </w:r>
      <w:r w:rsidRPr="009172CC">
        <w:rPr>
          <w:iCs/>
          <w:lang w:val="ru-RU"/>
        </w:rPr>
        <w:t xml:space="preserve">, по мере того, как ВОИС будет совершенствовать свою систему онлайнового обслуживания, число ее пользователей будет постоянно расти. Необходимы инвестиции в </w:t>
      </w:r>
      <w:r>
        <w:rPr>
          <w:iCs/>
          <w:lang w:val="ru-RU"/>
        </w:rPr>
        <w:t xml:space="preserve">такие </w:t>
      </w:r>
      <w:r w:rsidRPr="009172CC">
        <w:rPr>
          <w:iCs/>
          <w:lang w:val="ru-RU"/>
        </w:rPr>
        <w:t>решения</w:t>
      </w:r>
      <w:r>
        <w:rPr>
          <w:iCs/>
          <w:lang w:val="ru-RU"/>
        </w:rPr>
        <w:t xml:space="preserve"> в </w:t>
      </w:r>
      <w:r w:rsidRPr="009172CC">
        <w:rPr>
          <w:iCs/>
          <w:lang w:val="ru-RU"/>
        </w:rPr>
        <w:t>организ</w:t>
      </w:r>
      <w:r>
        <w:rPr>
          <w:iCs/>
          <w:lang w:val="ru-RU"/>
        </w:rPr>
        <w:t>ации управления правами доступа</w:t>
      </w:r>
      <w:r w:rsidRPr="009172CC">
        <w:rPr>
          <w:iCs/>
          <w:lang w:val="ru-RU"/>
        </w:rPr>
        <w:t xml:space="preserve">, </w:t>
      </w:r>
      <w:r w:rsidRPr="00435109">
        <w:rPr>
          <w:iCs/>
          <w:lang w:val="ru-RU"/>
        </w:rPr>
        <w:t>котор</w:t>
      </w:r>
      <w:r>
        <w:rPr>
          <w:iCs/>
          <w:lang w:val="ru-RU"/>
        </w:rPr>
        <w:t xml:space="preserve">ые </w:t>
      </w:r>
      <w:r w:rsidRPr="009172CC">
        <w:rPr>
          <w:iCs/>
          <w:lang w:val="ru-RU"/>
        </w:rPr>
        <w:t>ориентир</w:t>
      </w:r>
      <w:r>
        <w:rPr>
          <w:iCs/>
          <w:lang w:val="ru-RU"/>
        </w:rPr>
        <w:t>ованы</w:t>
      </w:r>
      <w:r w:rsidRPr="009172CC">
        <w:rPr>
          <w:iCs/>
          <w:lang w:val="ru-RU"/>
        </w:rPr>
        <w:t xml:space="preserve"> на пользователей. Другими словами, для каждого конкретного пользователя устанавливается определенный уровень прав доступа </w:t>
      </w:r>
      <w:r>
        <w:rPr>
          <w:iCs/>
          <w:lang w:val="ru-RU"/>
        </w:rPr>
        <w:t xml:space="preserve">во </w:t>
      </w:r>
      <w:r w:rsidRPr="009172CC">
        <w:rPr>
          <w:iCs/>
          <w:lang w:val="ru-RU"/>
        </w:rPr>
        <w:t>всех имеющихся систем</w:t>
      </w:r>
      <w:r>
        <w:rPr>
          <w:iCs/>
          <w:lang w:val="ru-RU"/>
        </w:rPr>
        <w:t>ах</w:t>
      </w:r>
      <w:r w:rsidRPr="009172CC">
        <w:rPr>
          <w:iCs/>
          <w:lang w:val="ru-RU"/>
        </w:rPr>
        <w:t>.</w:t>
      </w:r>
    </w:p>
    <w:p w:rsidR="00C85043" w:rsidRPr="00AB735C" w:rsidRDefault="00C85043" w:rsidP="00BF61DC">
      <w:pPr>
        <w:pStyle w:val="ONUME"/>
        <w:numPr>
          <w:ilvl w:val="0"/>
          <w:numId w:val="109"/>
        </w:numPr>
        <w:tabs>
          <w:tab w:val="left" w:pos="567"/>
        </w:tabs>
        <w:spacing w:after="0"/>
        <w:ind w:left="0" w:firstLine="0"/>
        <w:jc w:val="both"/>
        <w:rPr>
          <w:iCs/>
          <w:lang w:val="ru-RU"/>
        </w:rPr>
      </w:pPr>
      <w:r w:rsidRPr="00AB735C">
        <w:rPr>
          <w:iCs/>
          <w:lang w:val="ru-RU"/>
        </w:rPr>
        <w:t>В будущем</w:t>
      </w:r>
      <w:r>
        <w:rPr>
          <w:iCs/>
          <w:lang w:val="ru-RU"/>
        </w:rPr>
        <w:t xml:space="preserve"> могут быть созданы еще более совершенные технологии </w:t>
      </w:r>
      <w:r w:rsidRPr="009172CC">
        <w:rPr>
          <w:iCs/>
          <w:lang w:val="ru-RU"/>
        </w:rPr>
        <w:t>управлени</w:t>
      </w:r>
      <w:r>
        <w:rPr>
          <w:iCs/>
          <w:lang w:val="ru-RU"/>
        </w:rPr>
        <w:t xml:space="preserve">я </w:t>
      </w:r>
      <w:r w:rsidRPr="00AB735C">
        <w:rPr>
          <w:iCs/>
          <w:lang w:val="ru-RU"/>
        </w:rPr>
        <w:t>права</w:t>
      </w:r>
      <w:r>
        <w:rPr>
          <w:iCs/>
          <w:lang w:val="ru-RU"/>
        </w:rPr>
        <w:t xml:space="preserve">ми </w:t>
      </w:r>
      <w:r w:rsidRPr="00AB735C">
        <w:rPr>
          <w:iCs/>
          <w:lang w:val="ru-RU"/>
        </w:rPr>
        <w:t>доступ</w:t>
      </w:r>
      <w:r>
        <w:rPr>
          <w:iCs/>
          <w:lang w:val="ru-RU"/>
        </w:rPr>
        <w:t>а на базе из ролей пользователей</w:t>
      </w:r>
      <w:r w:rsidRPr="00AB735C">
        <w:rPr>
          <w:iCs/>
          <w:lang w:val="ru-RU"/>
        </w:rPr>
        <w:t xml:space="preserve"> в сложн</w:t>
      </w:r>
      <w:r>
        <w:rPr>
          <w:iCs/>
          <w:lang w:val="ru-RU"/>
        </w:rPr>
        <w:t>ых</w:t>
      </w:r>
      <w:r w:rsidRPr="00AB735C">
        <w:rPr>
          <w:iCs/>
          <w:lang w:val="ru-RU"/>
        </w:rPr>
        <w:t xml:space="preserve"> </w:t>
      </w:r>
      <w:r>
        <w:rPr>
          <w:iCs/>
          <w:lang w:val="ru-RU"/>
        </w:rPr>
        <w:t>системах, таких как система</w:t>
      </w:r>
      <w:r w:rsidRPr="009172CC">
        <w:rPr>
          <w:iCs/>
          <w:lang w:val="ru-RU"/>
        </w:rPr>
        <w:t xml:space="preserve"> </w:t>
      </w:r>
      <w:r>
        <w:rPr>
          <w:iCs/>
          <w:lang w:val="ru-RU"/>
        </w:rPr>
        <w:t>ПОР</w:t>
      </w:r>
      <w:r w:rsidRPr="009172CC">
        <w:rPr>
          <w:iCs/>
          <w:lang w:val="ru-RU"/>
        </w:rPr>
        <w:t>. Сегодня, однако, ход и характер эволюции таких технологий</w:t>
      </w:r>
      <w:r>
        <w:rPr>
          <w:iCs/>
          <w:lang w:val="ru-RU"/>
        </w:rPr>
        <w:t xml:space="preserve"> </w:t>
      </w:r>
      <w:r w:rsidRPr="009172CC">
        <w:rPr>
          <w:iCs/>
          <w:lang w:val="ru-RU"/>
        </w:rPr>
        <w:t>сложно прогноз</w:t>
      </w:r>
      <w:r>
        <w:rPr>
          <w:iCs/>
          <w:lang w:val="ru-RU"/>
        </w:rPr>
        <w:t>ировать</w:t>
      </w:r>
      <w:r w:rsidRPr="009172CC">
        <w:rPr>
          <w:iCs/>
          <w:lang w:val="ru-RU"/>
        </w:rPr>
        <w:t>, поэтому этот вопрос не входит в объем задач данного проекта.</w:t>
      </w:r>
    </w:p>
    <w:p w:rsidR="00C85043" w:rsidRPr="00AB735C" w:rsidRDefault="00C85043" w:rsidP="00C85043">
      <w:pPr>
        <w:pStyle w:val="ONUME"/>
        <w:tabs>
          <w:tab w:val="left" w:pos="567"/>
        </w:tabs>
        <w:spacing w:after="0"/>
        <w:jc w:val="both"/>
        <w:rPr>
          <w:iCs/>
          <w:lang w:val="ru-RU"/>
        </w:rPr>
      </w:pPr>
    </w:p>
    <w:p w:rsidR="00C85043" w:rsidRPr="00AB735C" w:rsidRDefault="00C85043" w:rsidP="00C85043">
      <w:pPr>
        <w:pStyle w:val="ONUME"/>
        <w:tabs>
          <w:tab w:val="left" w:pos="567"/>
        </w:tabs>
        <w:spacing w:after="0"/>
        <w:jc w:val="both"/>
        <w:rPr>
          <w:iCs/>
          <w:lang w:val="ru-RU"/>
        </w:rPr>
      </w:pPr>
    </w:p>
    <w:p w:rsidR="00C85043" w:rsidRPr="00C67483" w:rsidRDefault="00C85043" w:rsidP="00C85043">
      <w:pPr>
        <w:keepNext/>
        <w:keepLines/>
        <w:rPr>
          <w:bCs/>
          <w:szCs w:val="20"/>
          <w:lang w:val="ru-RU"/>
        </w:rPr>
      </w:pPr>
      <w:r w:rsidRPr="009044EE">
        <w:rPr>
          <w:bCs/>
          <w:szCs w:val="20"/>
          <w:lang w:val="ru-RU"/>
        </w:rPr>
        <w:t xml:space="preserve">ОБЗОР </w:t>
      </w:r>
      <w:r>
        <w:rPr>
          <w:bCs/>
          <w:szCs w:val="20"/>
          <w:lang w:val="ru-RU"/>
        </w:rPr>
        <w:t xml:space="preserve">ХОДА </w:t>
      </w:r>
      <w:r w:rsidRPr="00C67483">
        <w:rPr>
          <w:bCs/>
          <w:szCs w:val="20"/>
          <w:lang w:val="ru-RU"/>
        </w:rPr>
        <w:t>РЕАЛИЗАЦИ</w:t>
      </w:r>
      <w:r>
        <w:rPr>
          <w:bCs/>
          <w:szCs w:val="20"/>
          <w:lang w:val="ru-RU"/>
        </w:rPr>
        <w:t xml:space="preserve">И </w:t>
      </w:r>
      <w:r w:rsidRPr="00C67483">
        <w:rPr>
          <w:bCs/>
          <w:szCs w:val="20"/>
          <w:lang w:val="ru-RU"/>
        </w:rPr>
        <w:t>ПРОЕКТ</w:t>
      </w:r>
      <w:r>
        <w:rPr>
          <w:bCs/>
          <w:szCs w:val="20"/>
          <w:lang w:val="ru-RU"/>
        </w:rPr>
        <w:t xml:space="preserve">А В </w:t>
      </w:r>
      <w:r w:rsidRPr="009044EE">
        <w:rPr>
          <w:bCs/>
          <w:szCs w:val="20"/>
          <w:lang w:val="ru-RU"/>
        </w:rPr>
        <w:t>2015 ГОД</w:t>
      </w:r>
      <w:r>
        <w:rPr>
          <w:bCs/>
          <w:szCs w:val="20"/>
          <w:lang w:val="ru-RU"/>
        </w:rPr>
        <w:t>У</w:t>
      </w:r>
      <w:r w:rsidRPr="009044EE">
        <w:rPr>
          <w:bCs/>
          <w:szCs w:val="20"/>
          <w:lang w:val="ru-RU"/>
        </w:rPr>
        <w:t xml:space="preserve"> </w:t>
      </w:r>
      <w:r>
        <w:rPr>
          <w:bCs/>
          <w:szCs w:val="20"/>
          <w:lang w:val="ru-RU"/>
        </w:rPr>
        <w:t>(ОСНОВНЫЕ РЕЗУЛЬТАТЫ)</w:t>
      </w:r>
    </w:p>
    <w:p w:rsidR="00C85043" w:rsidRPr="00C67483" w:rsidRDefault="00C85043" w:rsidP="00C85043">
      <w:pPr>
        <w:keepNext/>
        <w:keepLines/>
        <w:rPr>
          <w:bCs/>
          <w:szCs w:val="20"/>
          <w:highlight w:val="yellow"/>
          <w:lang w:val="ru-RU"/>
        </w:rPr>
      </w:pPr>
    </w:p>
    <w:p w:rsidR="00C85043" w:rsidRPr="00EF0595" w:rsidRDefault="00C85043" w:rsidP="00BF61DC">
      <w:pPr>
        <w:pStyle w:val="ONUME"/>
        <w:numPr>
          <w:ilvl w:val="0"/>
          <w:numId w:val="109"/>
        </w:numPr>
        <w:tabs>
          <w:tab w:val="left" w:pos="567"/>
        </w:tabs>
        <w:spacing w:after="0"/>
        <w:ind w:left="0" w:firstLine="0"/>
        <w:jc w:val="both"/>
        <w:rPr>
          <w:bCs/>
          <w:lang w:val="ru-RU"/>
        </w:rPr>
      </w:pPr>
      <w:r w:rsidRPr="00E7358B">
        <w:rPr>
          <w:bCs/>
          <w:lang w:val="ru-RU"/>
        </w:rPr>
        <w:t>Прогресс</w:t>
      </w:r>
      <w:r>
        <w:rPr>
          <w:bCs/>
          <w:lang w:val="ru-RU"/>
        </w:rPr>
        <w:t xml:space="preserve"> в </w:t>
      </w:r>
      <w:r w:rsidRPr="008605C9">
        <w:rPr>
          <w:bCs/>
          <w:lang w:val="ru-RU"/>
        </w:rPr>
        <w:t>реализаци</w:t>
      </w:r>
      <w:r>
        <w:rPr>
          <w:bCs/>
          <w:lang w:val="ru-RU"/>
        </w:rPr>
        <w:t xml:space="preserve">и </w:t>
      </w:r>
      <w:r w:rsidRPr="008605C9">
        <w:rPr>
          <w:bCs/>
          <w:snapToGrid w:val="0"/>
          <w:lang w:val="ru-RU"/>
        </w:rPr>
        <w:t>данн</w:t>
      </w:r>
      <w:r>
        <w:rPr>
          <w:bCs/>
          <w:lang w:val="ru-RU"/>
        </w:rPr>
        <w:t xml:space="preserve">ого </w:t>
      </w:r>
      <w:r w:rsidRPr="008605C9">
        <w:rPr>
          <w:bCs/>
          <w:lang w:val="ru-RU"/>
        </w:rPr>
        <w:t>проект</w:t>
      </w:r>
      <w:r>
        <w:rPr>
          <w:bCs/>
          <w:lang w:val="ru-RU"/>
        </w:rPr>
        <w:t xml:space="preserve">а в </w:t>
      </w:r>
      <w:r w:rsidRPr="00AB735C">
        <w:rPr>
          <w:bCs/>
          <w:lang w:val="ru-RU"/>
        </w:rPr>
        <w:t>2015</w:t>
      </w:r>
      <w:r>
        <w:rPr>
          <w:bCs/>
          <w:lang w:val="ru-RU"/>
        </w:rPr>
        <w:t xml:space="preserve"> г. оказался </w:t>
      </w:r>
      <w:r w:rsidRPr="008605C9">
        <w:rPr>
          <w:bCs/>
          <w:lang w:val="ru-RU"/>
        </w:rPr>
        <w:t>ограниченн</w:t>
      </w:r>
      <w:r>
        <w:rPr>
          <w:bCs/>
          <w:lang w:val="ru-RU"/>
        </w:rPr>
        <w:t xml:space="preserve">ым. Это было связано с </w:t>
      </w:r>
      <w:r w:rsidRPr="006C1907">
        <w:rPr>
          <w:bCs/>
          <w:lang w:val="ru-RU"/>
        </w:rPr>
        <w:t>проблем</w:t>
      </w:r>
      <w:r>
        <w:rPr>
          <w:bCs/>
          <w:lang w:val="ru-RU"/>
        </w:rPr>
        <w:t xml:space="preserve">ами в </w:t>
      </w:r>
      <w:r w:rsidRPr="006C1907">
        <w:rPr>
          <w:bCs/>
          <w:lang w:val="ru-RU"/>
        </w:rPr>
        <w:t>текущ</w:t>
      </w:r>
      <w:r>
        <w:rPr>
          <w:bCs/>
          <w:lang w:val="ru-RU"/>
        </w:rPr>
        <w:t xml:space="preserve">ей </w:t>
      </w:r>
      <w:r w:rsidRPr="006C1907">
        <w:rPr>
          <w:bCs/>
          <w:lang w:val="ru-RU"/>
        </w:rPr>
        <w:t>работ</w:t>
      </w:r>
      <w:r>
        <w:rPr>
          <w:bCs/>
          <w:lang w:val="ru-RU"/>
        </w:rPr>
        <w:t>е служб информационной</w:t>
      </w:r>
      <w:r w:rsidRPr="00AB735C">
        <w:rPr>
          <w:bCs/>
          <w:lang w:val="ru-RU"/>
        </w:rPr>
        <w:t xml:space="preserve"> безопасност</w:t>
      </w:r>
      <w:r>
        <w:rPr>
          <w:bCs/>
          <w:lang w:val="ru-RU"/>
        </w:rPr>
        <w:t>и</w:t>
      </w:r>
      <w:r w:rsidRPr="00AB735C">
        <w:rPr>
          <w:bCs/>
          <w:lang w:val="ru-RU"/>
        </w:rPr>
        <w:t xml:space="preserve">, а также </w:t>
      </w:r>
      <w:r>
        <w:rPr>
          <w:bCs/>
          <w:lang w:val="ru-RU"/>
        </w:rPr>
        <w:t>с созданием в феврале</w:t>
      </w:r>
      <w:r w:rsidRPr="00AB735C">
        <w:rPr>
          <w:bCs/>
          <w:lang w:val="ru-RU"/>
        </w:rPr>
        <w:t xml:space="preserve"> 2015</w:t>
      </w:r>
      <w:r>
        <w:rPr>
          <w:bCs/>
          <w:lang w:val="ru-RU"/>
        </w:rPr>
        <w:t> г.</w:t>
      </w:r>
      <w:r w:rsidRPr="00AB735C">
        <w:rPr>
          <w:bCs/>
          <w:lang w:val="ru-RU"/>
        </w:rPr>
        <w:t xml:space="preserve"> </w:t>
      </w:r>
      <w:r>
        <w:rPr>
          <w:bCs/>
          <w:lang w:val="ru-RU"/>
        </w:rPr>
        <w:t xml:space="preserve">самостоятельного </w:t>
      </w:r>
      <w:r w:rsidRPr="00EF0595">
        <w:rPr>
          <w:lang w:val="ru-RU"/>
        </w:rPr>
        <w:t>Отдел</w:t>
      </w:r>
      <w:r>
        <w:rPr>
          <w:lang w:val="ru-RU"/>
        </w:rPr>
        <w:t>а</w:t>
      </w:r>
      <w:r w:rsidRPr="00EF0595">
        <w:rPr>
          <w:lang w:val="ru-RU"/>
        </w:rPr>
        <w:t xml:space="preserve"> безопасности и обеспечения достоверности информации</w:t>
      </w:r>
      <w:r>
        <w:rPr>
          <w:lang w:val="ru-RU"/>
        </w:rPr>
        <w:t xml:space="preserve"> </w:t>
      </w:r>
      <w:r w:rsidRPr="00AB735C">
        <w:rPr>
          <w:bCs/>
          <w:lang w:val="ru-RU"/>
        </w:rPr>
        <w:t>(</w:t>
      </w:r>
      <w:r>
        <w:rPr>
          <w:bCs/>
        </w:rPr>
        <w:t>SIAD</w:t>
      </w:r>
      <w:r w:rsidRPr="00AB735C">
        <w:rPr>
          <w:bCs/>
          <w:lang w:val="ru-RU"/>
        </w:rPr>
        <w:t xml:space="preserve">).  </w:t>
      </w:r>
      <w:r>
        <w:rPr>
          <w:bCs/>
          <w:lang w:val="ru-RU"/>
        </w:rPr>
        <w:t xml:space="preserve">Под </w:t>
      </w:r>
      <w:r w:rsidRPr="00EF0595">
        <w:rPr>
          <w:bCs/>
          <w:lang w:val="ru-RU"/>
        </w:rPr>
        <w:t>руководст</w:t>
      </w:r>
      <w:r>
        <w:rPr>
          <w:bCs/>
          <w:lang w:val="ru-RU"/>
        </w:rPr>
        <w:t xml:space="preserve">вом </w:t>
      </w:r>
      <w:r w:rsidRPr="00AB735C">
        <w:rPr>
          <w:bCs/>
          <w:lang w:val="ru-RU"/>
        </w:rPr>
        <w:t>Г</w:t>
      </w:r>
      <w:r>
        <w:rPr>
          <w:bCs/>
          <w:lang w:val="ru-RU"/>
        </w:rPr>
        <w:t>лавного</w:t>
      </w:r>
      <w:r w:rsidRPr="00AB735C">
        <w:rPr>
          <w:bCs/>
          <w:lang w:val="ru-RU"/>
        </w:rPr>
        <w:t xml:space="preserve"> сотрудник</w:t>
      </w:r>
      <w:r>
        <w:rPr>
          <w:bCs/>
          <w:lang w:val="ru-RU"/>
        </w:rPr>
        <w:t>а</w:t>
      </w:r>
      <w:r w:rsidRPr="00AB735C">
        <w:rPr>
          <w:bCs/>
          <w:lang w:val="ru-RU"/>
        </w:rPr>
        <w:t xml:space="preserve"> по вопросам безопасности, </w:t>
      </w:r>
      <w:r w:rsidRPr="00EF0595">
        <w:rPr>
          <w:bCs/>
          <w:lang w:val="ru-RU"/>
        </w:rPr>
        <w:t>должн</w:t>
      </w:r>
      <w:r>
        <w:rPr>
          <w:bCs/>
          <w:lang w:val="ru-RU"/>
        </w:rPr>
        <w:t xml:space="preserve">ость </w:t>
      </w:r>
      <w:r w:rsidRPr="00EF0595">
        <w:rPr>
          <w:bCs/>
          <w:lang w:val="ru-RU"/>
        </w:rPr>
        <w:t>котор</w:t>
      </w:r>
      <w:r>
        <w:rPr>
          <w:bCs/>
          <w:lang w:val="ru-RU"/>
        </w:rPr>
        <w:t xml:space="preserve">ого была недавно создана, в середине 2015 г. была начата </w:t>
      </w:r>
      <w:r w:rsidRPr="00EF0595">
        <w:rPr>
          <w:bCs/>
          <w:lang w:val="ru-RU"/>
        </w:rPr>
        <w:t>процедур</w:t>
      </w:r>
      <w:r>
        <w:rPr>
          <w:bCs/>
          <w:lang w:val="ru-RU"/>
        </w:rPr>
        <w:t xml:space="preserve">а </w:t>
      </w:r>
      <w:r w:rsidRPr="00AB735C">
        <w:rPr>
          <w:bCs/>
          <w:lang w:val="ru-RU"/>
        </w:rPr>
        <w:t>выбор</w:t>
      </w:r>
      <w:r>
        <w:rPr>
          <w:bCs/>
          <w:lang w:val="ru-RU"/>
        </w:rPr>
        <w:t>а</w:t>
      </w:r>
      <w:r w:rsidRPr="00AB735C">
        <w:rPr>
          <w:bCs/>
          <w:lang w:val="ru-RU"/>
        </w:rPr>
        <w:t xml:space="preserve"> </w:t>
      </w:r>
      <w:r>
        <w:rPr>
          <w:bCs/>
          <w:lang w:val="ru-RU"/>
        </w:rPr>
        <w:t>независимого</w:t>
      </w:r>
      <w:r w:rsidRPr="00AB735C">
        <w:rPr>
          <w:bCs/>
          <w:lang w:val="ru-RU"/>
        </w:rPr>
        <w:t xml:space="preserve"> эксперт</w:t>
      </w:r>
      <w:r>
        <w:rPr>
          <w:bCs/>
          <w:lang w:val="ru-RU"/>
        </w:rPr>
        <w:t xml:space="preserve">а для проведения </w:t>
      </w:r>
      <w:r w:rsidRPr="00AB735C">
        <w:rPr>
          <w:bCs/>
          <w:lang w:val="ru-RU"/>
        </w:rPr>
        <w:t>оценк</w:t>
      </w:r>
      <w:r>
        <w:rPr>
          <w:bCs/>
          <w:lang w:val="ru-RU"/>
        </w:rPr>
        <w:t>и</w:t>
      </w:r>
      <w:r w:rsidRPr="00AB735C">
        <w:rPr>
          <w:bCs/>
          <w:lang w:val="ru-RU"/>
        </w:rPr>
        <w:t xml:space="preserve"> текущ</w:t>
      </w:r>
      <w:r>
        <w:rPr>
          <w:bCs/>
          <w:lang w:val="ru-RU"/>
        </w:rPr>
        <w:t xml:space="preserve">ей </w:t>
      </w:r>
      <w:r w:rsidRPr="00EF0595">
        <w:rPr>
          <w:bCs/>
          <w:lang w:val="ru-RU"/>
        </w:rPr>
        <w:t>ситуаци</w:t>
      </w:r>
      <w:r>
        <w:rPr>
          <w:bCs/>
          <w:lang w:val="ru-RU"/>
        </w:rPr>
        <w:t xml:space="preserve">и </w:t>
      </w:r>
      <w:r w:rsidRPr="00EF0595">
        <w:rPr>
          <w:bCs/>
          <w:lang w:val="ru-RU"/>
        </w:rPr>
        <w:t>в области</w:t>
      </w:r>
      <w:r>
        <w:rPr>
          <w:bCs/>
          <w:lang w:val="ru-RU"/>
        </w:rPr>
        <w:t xml:space="preserve"> шифрования </w:t>
      </w:r>
      <w:r w:rsidRPr="00EF0595">
        <w:rPr>
          <w:bCs/>
          <w:lang w:val="ru-RU"/>
        </w:rPr>
        <w:t>данн</w:t>
      </w:r>
      <w:r>
        <w:rPr>
          <w:bCs/>
          <w:lang w:val="ru-RU"/>
        </w:rPr>
        <w:t>ых</w:t>
      </w:r>
      <w:r w:rsidRPr="00AB735C">
        <w:rPr>
          <w:bCs/>
          <w:lang w:val="ru-RU"/>
        </w:rPr>
        <w:t xml:space="preserve"> и </w:t>
      </w:r>
      <w:r>
        <w:rPr>
          <w:bCs/>
          <w:lang w:val="ru-RU"/>
        </w:rPr>
        <w:t>управления</w:t>
      </w:r>
      <w:r w:rsidRPr="00AB735C">
        <w:rPr>
          <w:bCs/>
          <w:lang w:val="ru-RU"/>
        </w:rPr>
        <w:t xml:space="preserve"> правами пользователей</w:t>
      </w:r>
      <w:r>
        <w:rPr>
          <w:bCs/>
          <w:lang w:val="ru-RU"/>
        </w:rPr>
        <w:t xml:space="preserve"> </w:t>
      </w:r>
      <w:r w:rsidRPr="00AB735C">
        <w:rPr>
          <w:bCs/>
          <w:lang w:val="ru-RU"/>
        </w:rPr>
        <w:t>(</w:t>
      </w:r>
      <w:r>
        <w:rPr>
          <w:bCs/>
          <w:lang w:val="ru-RU"/>
        </w:rPr>
        <w:t xml:space="preserve">модуль </w:t>
      </w:r>
      <w:r w:rsidRPr="00E7358B">
        <w:rPr>
          <w:lang w:val="ru-RU"/>
        </w:rPr>
        <w:t>«</w:t>
      </w:r>
      <w:r>
        <w:rPr>
          <w:lang w:val="ru-RU"/>
        </w:rPr>
        <w:t>Управление</w:t>
      </w:r>
      <w:r w:rsidRPr="00EF0595">
        <w:rPr>
          <w:lang w:val="ru-RU"/>
        </w:rPr>
        <w:t xml:space="preserve"> </w:t>
      </w:r>
      <w:r>
        <w:rPr>
          <w:lang w:val="ru-RU"/>
        </w:rPr>
        <w:t xml:space="preserve">идентификацией и </w:t>
      </w:r>
      <w:r w:rsidRPr="00EF0595">
        <w:rPr>
          <w:lang w:val="ru-RU"/>
        </w:rPr>
        <w:t>доступом</w:t>
      </w:r>
      <w:r w:rsidRPr="00E7358B">
        <w:rPr>
          <w:lang w:val="ru-RU"/>
        </w:rPr>
        <w:t>»</w:t>
      </w:r>
      <w:r w:rsidRPr="00EF0595">
        <w:rPr>
          <w:lang w:val="ru-RU"/>
        </w:rPr>
        <w:t xml:space="preserve"> </w:t>
      </w:r>
      <w:r w:rsidRPr="00AB735C">
        <w:rPr>
          <w:bCs/>
          <w:lang w:val="ru-RU"/>
        </w:rPr>
        <w:t>(</w:t>
      </w:r>
      <w:r>
        <w:rPr>
          <w:bCs/>
        </w:rPr>
        <w:t>IAM</w:t>
      </w:r>
      <w:r w:rsidRPr="00AB735C">
        <w:rPr>
          <w:bCs/>
          <w:lang w:val="ru-RU"/>
        </w:rPr>
        <w:t>))</w:t>
      </w:r>
      <w:r>
        <w:rPr>
          <w:bCs/>
          <w:lang w:val="ru-RU"/>
        </w:rPr>
        <w:t xml:space="preserve"> с целью </w:t>
      </w:r>
      <w:r w:rsidRPr="00EF0595">
        <w:rPr>
          <w:bCs/>
          <w:lang w:val="ru-RU"/>
        </w:rPr>
        <w:t>подготовк</w:t>
      </w:r>
      <w:r>
        <w:rPr>
          <w:bCs/>
          <w:lang w:val="ru-RU"/>
        </w:rPr>
        <w:t xml:space="preserve">и базового </w:t>
      </w:r>
      <w:r w:rsidRPr="00AB735C">
        <w:rPr>
          <w:bCs/>
          <w:lang w:val="ru-RU"/>
        </w:rPr>
        <w:t>решени</w:t>
      </w:r>
      <w:r>
        <w:rPr>
          <w:bCs/>
          <w:lang w:val="ru-RU"/>
        </w:rPr>
        <w:t xml:space="preserve">я по архитектуре </w:t>
      </w:r>
      <w:r w:rsidRPr="00EF0595">
        <w:rPr>
          <w:bCs/>
          <w:lang w:val="ru-RU"/>
        </w:rPr>
        <w:t>систем</w:t>
      </w:r>
      <w:r>
        <w:rPr>
          <w:bCs/>
          <w:lang w:val="ru-RU"/>
        </w:rPr>
        <w:t xml:space="preserve">ы и дорожной карты </w:t>
      </w:r>
      <w:r w:rsidRPr="00AB735C">
        <w:rPr>
          <w:bCs/>
          <w:lang w:val="ru-RU"/>
        </w:rPr>
        <w:t>реализаци</w:t>
      </w:r>
      <w:r>
        <w:rPr>
          <w:bCs/>
          <w:lang w:val="ru-RU"/>
        </w:rPr>
        <w:t>и</w:t>
      </w:r>
      <w:r w:rsidRPr="00AB735C">
        <w:rPr>
          <w:bCs/>
          <w:lang w:val="ru-RU"/>
        </w:rPr>
        <w:t xml:space="preserve"> </w:t>
      </w:r>
      <w:r w:rsidRPr="00EF0595">
        <w:rPr>
          <w:bCs/>
          <w:lang w:val="ru-RU"/>
        </w:rPr>
        <w:t>процедур</w:t>
      </w:r>
      <w:r>
        <w:rPr>
          <w:bCs/>
          <w:lang w:val="ru-RU"/>
        </w:rPr>
        <w:t xml:space="preserve"> </w:t>
      </w:r>
      <w:r w:rsidRPr="00AB735C">
        <w:rPr>
          <w:bCs/>
          <w:lang w:val="ru-RU"/>
        </w:rPr>
        <w:t>и техническ</w:t>
      </w:r>
      <w:r>
        <w:rPr>
          <w:bCs/>
          <w:lang w:val="ru-RU"/>
        </w:rPr>
        <w:t>их</w:t>
      </w:r>
      <w:r w:rsidRPr="00AB735C">
        <w:rPr>
          <w:bCs/>
          <w:lang w:val="ru-RU"/>
        </w:rPr>
        <w:t xml:space="preserve"> </w:t>
      </w:r>
      <w:r>
        <w:rPr>
          <w:bCs/>
          <w:lang w:val="ru-RU"/>
        </w:rPr>
        <w:t>решений</w:t>
      </w:r>
      <w:r w:rsidRPr="00AB735C">
        <w:rPr>
          <w:bCs/>
          <w:lang w:val="ru-RU"/>
        </w:rPr>
        <w:t>.</w:t>
      </w:r>
      <w:r>
        <w:rPr>
          <w:bCs/>
          <w:lang w:val="ru-RU"/>
        </w:rPr>
        <w:t xml:space="preserve"> </w:t>
      </w:r>
      <w:r w:rsidRPr="00EF0595">
        <w:rPr>
          <w:bCs/>
          <w:snapToGrid w:val="0"/>
          <w:lang w:val="ru-RU"/>
        </w:rPr>
        <w:t>Данн</w:t>
      </w:r>
      <w:r>
        <w:rPr>
          <w:bCs/>
          <w:lang w:val="ru-RU"/>
        </w:rPr>
        <w:t xml:space="preserve">ая </w:t>
      </w:r>
      <w:r w:rsidRPr="00AB735C">
        <w:rPr>
          <w:bCs/>
          <w:lang w:val="ru-RU"/>
        </w:rPr>
        <w:t>оценк</w:t>
      </w:r>
      <w:r>
        <w:rPr>
          <w:bCs/>
          <w:lang w:val="ru-RU"/>
        </w:rPr>
        <w:t xml:space="preserve">а была начата в </w:t>
      </w:r>
      <w:r w:rsidRPr="00AB735C">
        <w:rPr>
          <w:bCs/>
          <w:lang w:val="ru-RU"/>
        </w:rPr>
        <w:t>ноябр</w:t>
      </w:r>
      <w:r>
        <w:rPr>
          <w:bCs/>
          <w:lang w:val="ru-RU"/>
        </w:rPr>
        <w:t>е</w:t>
      </w:r>
      <w:r w:rsidRPr="00AB735C">
        <w:rPr>
          <w:bCs/>
          <w:lang w:val="ru-RU"/>
        </w:rPr>
        <w:t xml:space="preserve"> 2015</w:t>
      </w:r>
      <w:r>
        <w:rPr>
          <w:bCs/>
          <w:lang w:val="ru-RU"/>
        </w:rPr>
        <w:t> г.</w:t>
      </w:r>
      <w:r w:rsidRPr="00AB735C">
        <w:rPr>
          <w:bCs/>
          <w:lang w:val="ru-RU"/>
        </w:rPr>
        <w:t xml:space="preserve">  Ожидается, что </w:t>
      </w:r>
      <w:r>
        <w:rPr>
          <w:bCs/>
          <w:lang w:val="ru-RU"/>
        </w:rPr>
        <w:t>этот</w:t>
      </w:r>
      <w:r w:rsidRPr="00EF0595">
        <w:rPr>
          <w:bCs/>
          <w:lang w:val="ru-RU"/>
        </w:rPr>
        <w:t xml:space="preserve"> </w:t>
      </w:r>
      <w:r>
        <w:rPr>
          <w:bCs/>
          <w:lang w:val="ru-RU"/>
        </w:rPr>
        <w:t>первый</w:t>
      </w:r>
      <w:r w:rsidRPr="00EF0595">
        <w:rPr>
          <w:bCs/>
          <w:lang w:val="ru-RU"/>
        </w:rPr>
        <w:t xml:space="preserve"> </w:t>
      </w:r>
      <w:r>
        <w:rPr>
          <w:bCs/>
          <w:lang w:val="ru-RU"/>
        </w:rPr>
        <w:t>основной</w:t>
      </w:r>
      <w:r w:rsidRPr="00EF0595">
        <w:rPr>
          <w:bCs/>
          <w:lang w:val="ru-RU"/>
        </w:rPr>
        <w:t xml:space="preserve"> результат </w:t>
      </w:r>
      <w:r>
        <w:rPr>
          <w:bCs/>
          <w:lang w:val="ru-RU"/>
        </w:rPr>
        <w:t xml:space="preserve">будет получен в середине </w:t>
      </w:r>
      <w:r w:rsidRPr="00EF0595">
        <w:rPr>
          <w:bCs/>
          <w:lang w:val="ru-RU"/>
        </w:rPr>
        <w:t>2016</w:t>
      </w:r>
      <w:r>
        <w:rPr>
          <w:bCs/>
          <w:lang w:val="ru-RU"/>
        </w:rPr>
        <w:t> г.</w:t>
      </w:r>
      <w:r w:rsidRPr="00EF0595">
        <w:rPr>
          <w:bCs/>
          <w:lang w:val="ru-RU"/>
        </w:rPr>
        <w:t xml:space="preserve"> </w:t>
      </w:r>
      <w:r>
        <w:rPr>
          <w:bCs/>
          <w:lang w:val="ru-RU"/>
        </w:rPr>
        <w:t xml:space="preserve">и составит </w:t>
      </w:r>
      <w:r w:rsidRPr="00EF0595">
        <w:rPr>
          <w:bCs/>
          <w:lang w:val="ru-RU"/>
        </w:rPr>
        <w:t>необходим</w:t>
      </w:r>
      <w:r>
        <w:rPr>
          <w:bCs/>
          <w:lang w:val="ru-RU"/>
        </w:rPr>
        <w:t xml:space="preserve">ую основу для </w:t>
      </w:r>
      <w:r w:rsidRPr="00AB735C">
        <w:rPr>
          <w:bCs/>
          <w:lang w:val="ru-RU"/>
        </w:rPr>
        <w:t>более</w:t>
      </w:r>
      <w:r w:rsidRPr="00EF0595">
        <w:rPr>
          <w:bCs/>
          <w:lang w:val="ru-RU"/>
        </w:rPr>
        <w:t xml:space="preserve"> </w:t>
      </w:r>
      <w:r w:rsidRPr="00AB735C">
        <w:rPr>
          <w:bCs/>
          <w:lang w:val="ru-RU"/>
        </w:rPr>
        <w:t>детальн</w:t>
      </w:r>
      <w:r>
        <w:rPr>
          <w:bCs/>
          <w:lang w:val="ru-RU"/>
        </w:rPr>
        <w:t xml:space="preserve">ого планирования процесса </w:t>
      </w:r>
      <w:r w:rsidRPr="00EF0595">
        <w:rPr>
          <w:bCs/>
          <w:lang w:val="ru-RU"/>
        </w:rPr>
        <w:t>реализаци</w:t>
      </w:r>
      <w:r>
        <w:rPr>
          <w:bCs/>
          <w:lang w:val="ru-RU"/>
        </w:rPr>
        <w:t xml:space="preserve">и </w:t>
      </w:r>
      <w:r w:rsidRPr="00AB735C">
        <w:rPr>
          <w:bCs/>
          <w:lang w:val="ru-RU"/>
        </w:rPr>
        <w:t>проект</w:t>
      </w:r>
      <w:r>
        <w:rPr>
          <w:bCs/>
          <w:lang w:val="ru-RU"/>
        </w:rPr>
        <w:t>а</w:t>
      </w:r>
      <w:r w:rsidRPr="00EF0595">
        <w:rPr>
          <w:bCs/>
          <w:lang w:val="ru-RU"/>
        </w:rPr>
        <w:t xml:space="preserve">. </w:t>
      </w:r>
    </w:p>
    <w:p w:rsidR="00C85043" w:rsidRPr="00EF0595" w:rsidRDefault="00C85043" w:rsidP="00C85043">
      <w:pPr>
        <w:jc w:val="both"/>
        <w:rPr>
          <w:bCs/>
          <w:szCs w:val="20"/>
          <w:lang w:val="ru-RU"/>
        </w:rPr>
      </w:pPr>
    </w:p>
    <w:p w:rsidR="00C85043" w:rsidRPr="004523CA" w:rsidRDefault="00C85043" w:rsidP="00BF61DC">
      <w:pPr>
        <w:pStyle w:val="ONUME"/>
        <w:numPr>
          <w:ilvl w:val="0"/>
          <w:numId w:val="109"/>
        </w:numPr>
        <w:tabs>
          <w:tab w:val="left" w:pos="567"/>
        </w:tabs>
        <w:spacing w:after="0"/>
        <w:ind w:left="0" w:firstLine="0"/>
        <w:jc w:val="both"/>
        <w:rPr>
          <w:bCs/>
          <w:lang w:val="ru-RU"/>
        </w:rPr>
      </w:pPr>
      <w:r w:rsidRPr="00AB735C">
        <w:rPr>
          <w:bCs/>
          <w:lang w:val="ru-RU"/>
        </w:rPr>
        <w:t xml:space="preserve">В связи с </w:t>
      </w:r>
      <w:r w:rsidRPr="004523CA">
        <w:rPr>
          <w:bCs/>
          <w:snapToGrid w:val="0"/>
          <w:lang w:val="ru-RU"/>
        </w:rPr>
        <w:t>применени</w:t>
      </w:r>
      <w:r>
        <w:rPr>
          <w:bCs/>
          <w:lang w:val="ru-RU"/>
        </w:rPr>
        <w:t xml:space="preserve">ем комплексной проверки по дополнительным </w:t>
      </w:r>
      <w:r w:rsidRPr="004523CA">
        <w:rPr>
          <w:bCs/>
          <w:lang w:val="ru-RU"/>
        </w:rPr>
        <w:t>параметр</w:t>
      </w:r>
      <w:r>
        <w:rPr>
          <w:bCs/>
          <w:lang w:val="ru-RU"/>
        </w:rPr>
        <w:t>ам</w:t>
      </w:r>
      <w:r w:rsidRPr="00AB735C">
        <w:rPr>
          <w:bCs/>
          <w:lang w:val="ru-RU"/>
        </w:rPr>
        <w:t xml:space="preserve">, включая </w:t>
      </w:r>
      <w:r>
        <w:rPr>
          <w:bCs/>
          <w:lang w:val="ru-RU"/>
        </w:rPr>
        <w:t xml:space="preserve">более строгую </w:t>
      </w:r>
      <w:r w:rsidRPr="004523CA">
        <w:rPr>
          <w:bCs/>
          <w:lang w:val="ru-RU"/>
        </w:rPr>
        <w:t>процедур</w:t>
      </w:r>
      <w:r>
        <w:rPr>
          <w:bCs/>
          <w:lang w:val="ru-RU"/>
        </w:rPr>
        <w:t xml:space="preserve">у </w:t>
      </w:r>
      <w:r w:rsidRPr="00AB735C">
        <w:rPr>
          <w:bCs/>
          <w:lang w:val="ru-RU"/>
        </w:rPr>
        <w:t>внутренн</w:t>
      </w:r>
      <w:r>
        <w:rPr>
          <w:bCs/>
          <w:lang w:val="ru-RU"/>
        </w:rPr>
        <w:t xml:space="preserve">его согласования при </w:t>
      </w:r>
      <w:r w:rsidRPr="00AB735C">
        <w:rPr>
          <w:bCs/>
          <w:lang w:val="ru-RU"/>
        </w:rPr>
        <w:t>выбор</w:t>
      </w:r>
      <w:r>
        <w:rPr>
          <w:bCs/>
          <w:lang w:val="ru-RU"/>
        </w:rPr>
        <w:t>е независимого</w:t>
      </w:r>
      <w:r w:rsidRPr="00AB735C">
        <w:rPr>
          <w:bCs/>
          <w:lang w:val="ru-RU"/>
        </w:rPr>
        <w:t xml:space="preserve"> эксперт</w:t>
      </w:r>
      <w:r>
        <w:rPr>
          <w:bCs/>
          <w:lang w:val="ru-RU"/>
        </w:rPr>
        <w:t>а,</w:t>
      </w:r>
      <w:r w:rsidRPr="00AB735C">
        <w:rPr>
          <w:bCs/>
          <w:lang w:val="ru-RU"/>
        </w:rPr>
        <w:t xml:space="preserve"> </w:t>
      </w:r>
      <w:r w:rsidRPr="004523CA">
        <w:rPr>
          <w:bCs/>
          <w:lang w:val="ru-RU"/>
        </w:rPr>
        <w:t>процедур</w:t>
      </w:r>
      <w:r>
        <w:rPr>
          <w:bCs/>
          <w:lang w:val="ru-RU"/>
        </w:rPr>
        <w:t xml:space="preserve">а его </w:t>
      </w:r>
      <w:r w:rsidRPr="00AB735C">
        <w:rPr>
          <w:bCs/>
          <w:lang w:val="ru-RU"/>
        </w:rPr>
        <w:t>выбор</w:t>
      </w:r>
      <w:r>
        <w:rPr>
          <w:bCs/>
          <w:lang w:val="ru-RU"/>
        </w:rPr>
        <w:t>а заняла больше времени, чем ожидалось</w:t>
      </w:r>
      <w:r w:rsidRPr="00AB735C">
        <w:rPr>
          <w:bCs/>
          <w:lang w:val="ru-RU"/>
        </w:rPr>
        <w:t xml:space="preserve">, </w:t>
      </w:r>
      <w:r>
        <w:rPr>
          <w:bCs/>
          <w:lang w:val="ru-RU"/>
        </w:rPr>
        <w:t xml:space="preserve">что привело к нарушению </w:t>
      </w:r>
      <w:r w:rsidRPr="00AB735C">
        <w:rPr>
          <w:bCs/>
          <w:lang w:val="ru-RU"/>
        </w:rPr>
        <w:t>график</w:t>
      </w:r>
      <w:r>
        <w:rPr>
          <w:bCs/>
          <w:lang w:val="ru-RU"/>
        </w:rPr>
        <w:t xml:space="preserve">а </w:t>
      </w:r>
      <w:r w:rsidRPr="00AB735C">
        <w:rPr>
          <w:bCs/>
          <w:lang w:val="ru-RU"/>
        </w:rPr>
        <w:t>проект</w:t>
      </w:r>
      <w:r>
        <w:rPr>
          <w:bCs/>
          <w:lang w:val="ru-RU"/>
        </w:rPr>
        <w:t>а</w:t>
      </w:r>
      <w:r w:rsidRPr="00AB735C">
        <w:rPr>
          <w:bCs/>
          <w:lang w:val="ru-RU"/>
        </w:rPr>
        <w:t xml:space="preserve">. </w:t>
      </w:r>
      <w:r w:rsidRPr="00C24D09">
        <w:rPr>
          <w:bCs/>
          <w:lang w:val="ru-RU"/>
        </w:rPr>
        <w:t>В</w:t>
      </w:r>
      <w:r>
        <w:rPr>
          <w:bCs/>
        </w:rPr>
        <w:t> </w:t>
      </w:r>
      <w:r w:rsidRPr="00C24D09">
        <w:rPr>
          <w:bCs/>
          <w:lang w:val="ru-RU"/>
        </w:rPr>
        <w:t>связи с этим</w:t>
      </w:r>
      <w:r>
        <w:rPr>
          <w:bCs/>
          <w:lang w:val="ru-RU"/>
        </w:rPr>
        <w:t xml:space="preserve"> в график </w:t>
      </w:r>
      <w:r w:rsidRPr="00C24D09">
        <w:rPr>
          <w:bCs/>
          <w:lang w:val="ru-RU"/>
        </w:rPr>
        <w:t>проект</w:t>
      </w:r>
      <w:r>
        <w:rPr>
          <w:bCs/>
          <w:lang w:val="ru-RU"/>
        </w:rPr>
        <w:t xml:space="preserve">а были внесены </w:t>
      </w:r>
      <w:r w:rsidRPr="00C24D09">
        <w:rPr>
          <w:bCs/>
          <w:lang w:val="ru-RU"/>
        </w:rPr>
        <w:t>соответствующ</w:t>
      </w:r>
      <w:r>
        <w:rPr>
          <w:bCs/>
          <w:lang w:val="ru-RU"/>
        </w:rPr>
        <w:t xml:space="preserve">ие </w:t>
      </w:r>
      <w:r w:rsidRPr="00632EAA">
        <w:rPr>
          <w:bCs/>
          <w:lang w:val="ru-RU"/>
        </w:rPr>
        <w:t>изменени</w:t>
      </w:r>
      <w:r>
        <w:rPr>
          <w:bCs/>
          <w:lang w:val="ru-RU"/>
        </w:rPr>
        <w:t>я</w:t>
      </w:r>
      <w:r w:rsidRPr="004523CA">
        <w:rPr>
          <w:bCs/>
          <w:lang w:val="ru-RU"/>
        </w:rPr>
        <w:t xml:space="preserve">. </w:t>
      </w:r>
    </w:p>
    <w:p w:rsidR="00C85043" w:rsidRPr="004523CA" w:rsidRDefault="00C85043" w:rsidP="00C85043">
      <w:pPr>
        <w:keepNext/>
        <w:keepLines/>
        <w:rPr>
          <w:bCs/>
          <w:szCs w:val="22"/>
          <w:lang w:val="ru-RU"/>
        </w:rPr>
      </w:pPr>
    </w:p>
    <w:p w:rsidR="00C85043" w:rsidRPr="004523CA" w:rsidRDefault="00C85043" w:rsidP="00C85043">
      <w:pPr>
        <w:keepNext/>
        <w:keepLines/>
        <w:rPr>
          <w:bCs/>
          <w:szCs w:val="22"/>
          <w:lang w:val="ru-RU"/>
        </w:rPr>
      </w:pPr>
    </w:p>
    <w:p w:rsidR="00C85043" w:rsidRPr="007F540C" w:rsidRDefault="00C85043" w:rsidP="00C85043">
      <w:pPr>
        <w:keepNext/>
        <w:keepLines/>
        <w:rPr>
          <w:rFonts w:cs="Arial"/>
          <w:color w:val="000000"/>
          <w:szCs w:val="22"/>
          <w:lang w:val="ru-RU"/>
        </w:rPr>
      </w:pPr>
      <w:r>
        <w:rPr>
          <w:rFonts w:cs="Arial"/>
          <w:color w:val="000000"/>
          <w:szCs w:val="22"/>
          <w:lang w:val="ru-RU"/>
        </w:rPr>
        <w:t>РЕАЛИЗАЦИЯ ПОЛОЖИТЕЛЬНЫХ</w:t>
      </w:r>
      <w:r w:rsidRPr="009044EE">
        <w:rPr>
          <w:rFonts w:cs="Arial"/>
          <w:color w:val="000000"/>
          <w:szCs w:val="22"/>
          <w:lang w:val="ru-RU"/>
        </w:rPr>
        <w:t xml:space="preserve"> РЕЗУЛЬТАТ</w:t>
      </w:r>
      <w:r>
        <w:rPr>
          <w:rFonts w:cs="Arial"/>
          <w:color w:val="000000"/>
          <w:szCs w:val="22"/>
          <w:lang w:val="ru-RU"/>
        </w:rPr>
        <w:t>ОВ</w:t>
      </w:r>
    </w:p>
    <w:p w:rsidR="00C85043" w:rsidRPr="007F540C" w:rsidRDefault="00C85043" w:rsidP="00C85043">
      <w:pPr>
        <w:keepNext/>
        <w:keepLines/>
        <w:rPr>
          <w:rFonts w:cs="Arial"/>
          <w:color w:val="000000"/>
          <w:sz w:val="22"/>
          <w:szCs w:val="22"/>
          <w:lang w:val="ru-RU"/>
        </w:rPr>
      </w:pPr>
    </w:p>
    <w:tbl>
      <w:tblPr>
        <w:tblW w:w="3693" w:type="pct"/>
        <w:jc w:val="center"/>
        <w:tblInd w:w="-2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69"/>
      </w:tblGrid>
      <w:tr w:rsidR="00C85043" w:rsidRPr="005C6ABD" w:rsidTr="00C85043">
        <w:trPr>
          <w:trHeight w:val="535"/>
          <w:tblHeader/>
          <w:jc w:val="center"/>
        </w:trPr>
        <w:tc>
          <w:tcPr>
            <w:tcW w:w="5000" w:type="pct"/>
            <w:shd w:val="clear" w:color="auto" w:fill="C6D9F1"/>
            <w:vAlign w:val="center"/>
          </w:tcPr>
          <w:p w:rsidR="00C85043" w:rsidRPr="007F540C" w:rsidRDefault="00C85043" w:rsidP="00C85043">
            <w:pPr>
              <w:jc w:val="center"/>
              <w:rPr>
                <w:b/>
                <w:bCs/>
                <w:sz w:val="16"/>
                <w:szCs w:val="16"/>
                <w:lang w:val="ru-RU"/>
              </w:rPr>
            </w:pPr>
            <w:r w:rsidRPr="009044EE">
              <w:rPr>
                <w:b/>
                <w:bCs/>
                <w:sz w:val="16"/>
                <w:szCs w:val="16"/>
                <w:lang w:val="ru-RU"/>
              </w:rPr>
              <w:t>Положительные результаты, ожидаемые в 2017 г.</w:t>
            </w:r>
          </w:p>
        </w:tc>
      </w:tr>
      <w:tr w:rsidR="00C85043" w:rsidRPr="005C6ABD" w:rsidTr="00C85043">
        <w:trPr>
          <w:trHeight w:val="564"/>
          <w:jc w:val="center"/>
        </w:trPr>
        <w:tc>
          <w:tcPr>
            <w:tcW w:w="5000" w:type="pct"/>
            <w:shd w:val="clear" w:color="auto" w:fill="auto"/>
          </w:tcPr>
          <w:p w:rsidR="00C85043" w:rsidRPr="007F540C" w:rsidRDefault="00C85043" w:rsidP="00C85043">
            <w:pPr>
              <w:rPr>
                <w:bCs/>
                <w:iCs/>
                <w:sz w:val="16"/>
                <w:szCs w:val="16"/>
                <w:lang w:val="ru-RU"/>
              </w:rPr>
            </w:pPr>
          </w:p>
          <w:p w:rsidR="00C85043" w:rsidRPr="00AB735C" w:rsidRDefault="00C85043" w:rsidP="00C85043">
            <w:pPr>
              <w:rPr>
                <w:bCs/>
                <w:iCs/>
                <w:sz w:val="16"/>
                <w:szCs w:val="16"/>
                <w:lang w:val="ru-RU"/>
              </w:rPr>
            </w:pPr>
            <w:r w:rsidRPr="00C24D09">
              <w:rPr>
                <w:bCs/>
                <w:iCs/>
                <w:sz w:val="16"/>
                <w:szCs w:val="16"/>
                <w:lang w:val="ru-RU"/>
              </w:rPr>
              <w:t>Разработк</w:t>
            </w:r>
            <w:r>
              <w:rPr>
                <w:bCs/>
                <w:iCs/>
                <w:sz w:val="16"/>
                <w:szCs w:val="16"/>
                <w:lang w:val="ru-RU"/>
              </w:rPr>
              <w:t xml:space="preserve">а </w:t>
            </w:r>
            <w:r w:rsidRPr="00C24D09">
              <w:rPr>
                <w:bCs/>
                <w:iCs/>
                <w:sz w:val="16"/>
                <w:szCs w:val="16"/>
                <w:lang w:val="ru-RU"/>
              </w:rPr>
              <w:t>архитектур</w:t>
            </w:r>
            <w:r>
              <w:rPr>
                <w:bCs/>
                <w:iCs/>
                <w:sz w:val="16"/>
                <w:szCs w:val="16"/>
                <w:lang w:val="ru-RU"/>
              </w:rPr>
              <w:t xml:space="preserve">ы </w:t>
            </w:r>
            <w:r w:rsidRPr="00C24D09">
              <w:rPr>
                <w:bCs/>
                <w:iCs/>
                <w:sz w:val="16"/>
                <w:szCs w:val="16"/>
                <w:lang w:val="ru-RU"/>
              </w:rPr>
              <w:t>систем</w:t>
            </w:r>
            <w:r>
              <w:rPr>
                <w:bCs/>
                <w:iCs/>
                <w:sz w:val="16"/>
                <w:szCs w:val="16"/>
                <w:lang w:val="ru-RU"/>
              </w:rPr>
              <w:t>ы</w:t>
            </w:r>
            <w:r w:rsidRPr="00AB735C">
              <w:rPr>
                <w:bCs/>
                <w:iCs/>
                <w:sz w:val="16"/>
                <w:szCs w:val="16"/>
                <w:lang w:val="ru-RU"/>
              </w:rPr>
              <w:t xml:space="preserve">, </w:t>
            </w:r>
            <w:r w:rsidRPr="00C24D09">
              <w:rPr>
                <w:bCs/>
                <w:iCs/>
                <w:sz w:val="16"/>
                <w:szCs w:val="16"/>
                <w:lang w:val="ru-RU"/>
              </w:rPr>
              <w:t>процедур</w:t>
            </w:r>
            <w:r>
              <w:rPr>
                <w:bCs/>
                <w:iCs/>
                <w:sz w:val="16"/>
                <w:szCs w:val="16"/>
                <w:lang w:val="ru-RU"/>
              </w:rPr>
              <w:t xml:space="preserve"> </w:t>
            </w:r>
            <w:r w:rsidRPr="00AB735C">
              <w:rPr>
                <w:bCs/>
                <w:iCs/>
                <w:sz w:val="16"/>
                <w:szCs w:val="16"/>
                <w:lang w:val="ru-RU"/>
              </w:rPr>
              <w:t>и техническ</w:t>
            </w:r>
            <w:r>
              <w:rPr>
                <w:bCs/>
                <w:iCs/>
                <w:sz w:val="16"/>
                <w:szCs w:val="16"/>
                <w:lang w:val="ru-RU"/>
              </w:rPr>
              <w:t>их</w:t>
            </w:r>
            <w:r w:rsidRPr="00AB735C">
              <w:rPr>
                <w:bCs/>
                <w:iCs/>
                <w:sz w:val="16"/>
                <w:szCs w:val="16"/>
                <w:lang w:val="ru-RU"/>
              </w:rPr>
              <w:t xml:space="preserve"> решений</w:t>
            </w:r>
            <w:r>
              <w:rPr>
                <w:bCs/>
                <w:iCs/>
                <w:sz w:val="16"/>
                <w:szCs w:val="16"/>
                <w:lang w:val="ru-RU"/>
              </w:rPr>
              <w:t xml:space="preserve"> для </w:t>
            </w:r>
            <w:r w:rsidRPr="00C24D09">
              <w:rPr>
                <w:rFonts w:cs="Arial"/>
                <w:bCs/>
                <w:iCs/>
                <w:sz w:val="16"/>
                <w:szCs w:val="16"/>
                <w:lang w:val="ru-RU"/>
              </w:rPr>
              <w:t>совершенствовани</w:t>
            </w:r>
            <w:r>
              <w:rPr>
                <w:bCs/>
                <w:iCs/>
                <w:sz w:val="16"/>
                <w:szCs w:val="16"/>
                <w:lang w:val="ru-RU"/>
              </w:rPr>
              <w:t xml:space="preserve">я модулей </w:t>
            </w:r>
            <w:r>
              <w:rPr>
                <w:bCs/>
                <w:iCs/>
                <w:sz w:val="16"/>
                <w:szCs w:val="16"/>
              </w:rPr>
              <w:t>IAM</w:t>
            </w:r>
            <w:r w:rsidRPr="00AB735C">
              <w:rPr>
                <w:bCs/>
                <w:iCs/>
                <w:sz w:val="16"/>
                <w:szCs w:val="16"/>
                <w:lang w:val="ru-RU"/>
              </w:rPr>
              <w:t xml:space="preserve"> и </w:t>
            </w:r>
            <w:r w:rsidRPr="00EF0595">
              <w:rPr>
                <w:bCs/>
                <w:iCs/>
                <w:sz w:val="16"/>
                <w:szCs w:val="16"/>
                <w:lang w:val="ru-RU"/>
              </w:rPr>
              <w:t>шифрования данных</w:t>
            </w:r>
            <w:r w:rsidRPr="00AB735C">
              <w:rPr>
                <w:bCs/>
                <w:iCs/>
                <w:sz w:val="16"/>
                <w:szCs w:val="16"/>
                <w:lang w:val="ru-RU"/>
              </w:rPr>
              <w:t xml:space="preserve"> </w:t>
            </w:r>
            <w:r>
              <w:rPr>
                <w:bCs/>
                <w:iCs/>
                <w:sz w:val="16"/>
                <w:szCs w:val="16"/>
                <w:lang w:val="ru-RU"/>
              </w:rPr>
              <w:t>позволят обеспечить</w:t>
            </w:r>
            <w:r w:rsidRPr="00AB735C">
              <w:rPr>
                <w:bCs/>
                <w:iCs/>
                <w:sz w:val="16"/>
                <w:szCs w:val="16"/>
                <w:lang w:val="ru-RU"/>
              </w:rPr>
              <w:t>:</w:t>
            </w:r>
          </w:p>
          <w:p w:rsidR="00C85043" w:rsidRPr="00AB735C" w:rsidRDefault="00C85043" w:rsidP="00C85043">
            <w:pPr>
              <w:rPr>
                <w:bCs/>
                <w:iCs/>
                <w:sz w:val="16"/>
                <w:szCs w:val="16"/>
                <w:lang w:val="ru-RU"/>
              </w:rPr>
            </w:pPr>
          </w:p>
          <w:p w:rsidR="00C85043" w:rsidRPr="00AB735C" w:rsidRDefault="00C85043" w:rsidP="00BF61DC">
            <w:pPr>
              <w:pStyle w:val="ListParagraph"/>
              <w:numPr>
                <w:ilvl w:val="0"/>
                <w:numId w:val="116"/>
              </w:numPr>
              <w:rPr>
                <w:bCs/>
                <w:iCs/>
                <w:sz w:val="16"/>
                <w:szCs w:val="16"/>
                <w:lang w:val="ru-RU"/>
              </w:rPr>
            </w:pPr>
            <w:r w:rsidRPr="00C24D09">
              <w:rPr>
                <w:bCs/>
                <w:iCs/>
                <w:sz w:val="16"/>
                <w:szCs w:val="16"/>
                <w:lang w:val="ru-RU"/>
              </w:rPr>
              <w:t>стандарт</w:t>
            </w:r>
            <w:r>
              <w:rPr>
                <w:bCs/>
                <w:iCs/>
                <w:sz w:val="16"/>
                <w:szCs w:val="16"/>
                <w:lang w:val="ru-RU"/>
              </w:rPr>
              <w:t xml:space="preserve">изацию базовых архитектурных </w:t>
            </w:r>
            <w:r w:rsidRPr="00C24D09">
              <w:rPr>
                <w:bCs/>
                <w:iCs/>
                <w:sz w:val="16"/>
                <w:szCs w:val="16"/>
                <w:lang w:val="ru-RU"/>
              </w:rPr>
              <w:t>решени</w:t>
            </w:r>
            <w:r>
              <w:rPr>
                <w:bCs/>
                <w:iCs/>
                <w:sz w:val="16"/>
                <w:szCs w:val="16"/>
                <w:lang w:val="ru-RU"/>
              </w:rPr>
              <w:t xml:space="preserve">й модулей </w:t>
            </w:r>
            <w:r w:rsidRPr="00EF0595">
              <w:rPr>
                <w:bCs/>
                <w:iCs/>
                <w:sz w:val="16"/>
                <w:szCs w:val="16"/>
                <w:lang w:val="ru-RU"/>
              </w:rPr>
              <w:t>шифрования данных</w:t>
            </w:r>
            <w:r w:rsidRPr="00AB735C">
              <w:rPr>
                <w:bCs/>
                <w:iCs/>
                <w:sz w:val="16"/>
                <w:szCs w:val="16"/>
                <w:lang w:val="ru-RU"/>
              </w:rPr>
              <w:t xml:space="preserve"> и </w:t>
            </w:r>
            <w:r w:rsidRPr="00CA2E9C">
              <w:rPr>
                <w:bCs/>
                <w:iCs/>
                <w:sz w:val="16"/>
                <w:szCs w:val="16"/>
              </w:rPr>
              <w:t>IAM</w:t>
            </w:r>
            <w:r w:rsidRPr="00AB735C">
              <w:rPr>
                <w:bCs/>
                <w:iCs/>
                <w:sz w:val="16"/>
                <w:szCs w:val="16"/>
                <w:lang w:val="ru-RU"/>
              </w:rPr>
              <w:t xml:space="preserve"> </w:t>
            </w:r>
            <w:r>
              <w:rPr>
                <w:bCs/>
                <w:iCs/>
                <w:sz w:val="16"/>
                <w:szCs w:val="16"/>
                <w:lang w:val="ru-RU"/>
              </w:rPr>
              <w:t xml:space="preserve">в части </w:t>
            </w:r>
            <w:r w:rsidRPr="00C24D09">
              <w:rPr>
                <w:bCs/>
                <w:iCs/>
                <w:sz w:val="16"/>
                <w:szCs w:val="16"/>
                <w:lang w:val="ru-RU"/>
              </w:rPr>
              <w:t>безопасност</w:t>
            </w:r>
            <w:r>
              <w:rPr>
                <w:bCs/>
                <w:iCs/>
                <w:sz w:val="16"/>
                <w:szCs w:val="16"/>
                <w:lang w:val="ru-RU"/>
              </w:rPr>
              <w:t xml:space="preserve">и для их повторного </w:t>
            </w:r>
            <w:r w:rsidRPr="003E3E70">
              <w:rPr>
                <w:bCs/>
                <w:iCs/>
                <w:sz w:val="16"/>
                <w:szCs w:val="16"/>
                <w:lang w:val="ru-RU"/>
              </w:rPr>
              <w:t>использова</w:t>
            </w:r>
            <w:r>
              <w:rPr>
                <w:bCs/>
                <w:iCs/>
                <w:sz w:val="16"/>
                <w:szCs w:val="16"/>
                <w:lang w:val="ru-RU"/>
              </w:rPr>
              <w:t xml:space="preserve">ния в других ключевых системах и </w:t>
            </w:r>
            <w:r w:rsidRPr="00C24D09">
              <w:rPr>
                <w:bCs/>
                <w:iCs/>
                <w:sz w:val="16"/>
                <w:szCs w:val="16"/>
                <w:lang w:val="ru-RU"/>
              </w:rPr>
              <w:t>программ</w:t>
            </w:r>
            <w:r>
              <w:rPr>
                <w:bCs/>
                <w:iCs/>
                <w:sz w:val="16"/>
                <w:szCs w:val="16"/>
                <w:lang w:val="ru-RU"/>
              </w:rPr>
              <w:t xml:space="preserve">ных </w:t>
            </w:r>
            <w:r w:rsidRPr="00C24D09">
              <w:rPr>
                <w:bCs/>
                <w:iCs/>
                <w:sz w:val="16"/>
                <w:szCs w:val="16"/>
                <w:lang w:val="ru-RU"/>
              </w:rPr>
              <w:t>приложени</w:t>
            </w:r>
            <w:r>
              <w:rPr>
                <w:bCs/>
                <w:iCs/>
                <w:sz w:val="16"/>
                <w:szCs w:val="16"/>
                <w:lang w:val="ru-RU"/>
              </w:rPr>
              <w:t xml:space="preserve">ях </w:t>
            </w:r>
            <w:r w:rsidRPr="00AB735C">
              <w:rPr>
                <w:bCs/>
                <w:iCs/>
                <w:sz w:val="16"/>
                <w:szCs w:val="16"/>
                <w:lang w:val="ru-RU"/>
              </w:rPr>
              <w:t>ВОИС;  и</w:t>
            </w:r>
          </w:p>
          <w:p w:rsidR="00C85043" w:rsidRPr="00AB735C" w:rsidRDefault="00C85043" w:rsidP="00BF61DC">
            <w:pPr>
              <w:pStyle w:val="ListParagraph"/>
              <w:numPr>
                <w:ilvl w:val="0"/>
                <w:numId w:val="116"/>
              </w:numPr>
              <w:rPr>
                <w:bCs/>
                <w:iCs/>
                <w:sz w:val="16"/>
                <w:szCs w:val="16"/>
                <w:lang w:val="ru-RU"/>
              </w:rPr>
            </w:pPr>
            <w:r w:rsidRPr="00C24D09">
              <w:rPr>
                <w:bCs/>
                <w:iCs/>
                <w:sz w:val="16"/>
                <w:szCs w:val="16"/>
                <w:lang w:val="ru-RU"/>
              </w:rPr>
              <w:t>повышени</w:t>
            </w:r>
            <w:r>
              <w:rPr>
                <w:bCs/>
                <w:iCs/>
                <w:sz w:val="16"/>
                <w:szCs w:val="16"/>
                <w:lang w:val="ru-RU"/>
              </w:rPr>
              <w:t xml:space="preserve">е уровня </w:t>
            </w:r>
            <w:r w:rsidRPr="00C24D09">
              <w:rPr>
                <w:bCs/>
                <w:iCs/>
                <w:sz w:val="16"/>
                <w:szCs w:val="16"/>
                <w:lang w:val="ru-RU"/>
              </w:rPr>
              <w:t>защит</w:t>
            </w:r>
            <w:r>
              <w:rPr>
                <w:bCs/>
                <w:iCs/>
                <w:sz w:val="16"/>
                <w:szCs w:val="16"/>
                <w:lang w:val="ru-RU"/>
              </w:rPr>
              <w:t xml:space="preserve">ы </w:t>
            </w:r>
            <w:r w:rsidRPr="00C24D09">
              <w:rPr>
                <w:bCs/>
                <w:iCs/>
                <w:sz w:val="16"/>
                <w:szCs w:val="16"/>
                <w:lang w:val="ru-RU"/>
              </w:rPr>
              <w:t>конфиденциальн</w:t>
            </w:r>
            <w:r>
              <w:rPr>
                <w:bCs/>
                <w:iCs/>
                <w:sz w:val="16"/>
                <w:szCs w:val="16"/>
                <w:lang w:val="ru-RU"/>
              </w:rPr>
              <w:t>ой информации</w:t>
            </w:r>
            <w:r w:rsidRPr="00AB735C">
              <w:rPr>
                <w:bCs/>
                <w:iCs/>
                <w:sz w:val="16"/>
                <w:szCs w:val="16"/>
                <w:lang w:val="ru-RU"/>
              </w:rPr>
              <w:t xml:space="preserve"> </w:t>
            </w:r>
            <w:r>
              <w:rPr>
                <w:bCs/>
                <w:iCs/>
                <w:sz w:val="16"/>
                <w:szCs w:val="16"/>
                <w:lang w:val="ru-RU"/>
              </w:rPr>
              <w:t>от несанкционированного</w:t>
            </w:r>
            <w:r w:rsidRPr="00AB735C">
              <w:rPr>
                <w:bCs/>
                <w:iCs/>
                <w:sz w:val="16"/>
                <w:szCs w:val="16"/>
                <w:lang w:val="ru-RU"/>
              </w:rPr>
              <w:t xml:space="preserve"> доступ</w:t>
            </w:r>
            <w:r>
              <w:rPr>
                <w:bCs/>
                <w:iCs/>
                <w:sz w:val="16"/>
                <w:szCs w:val="16"/>
                <w:lang w:val="ru-RU"/>
              </w:rPr>
              <w:t>а</w:t>
            </w:r>
            <w:r w:rsidRPr="00AB735C">
              <w:rPr>
                <w:bCs/>
                <w:iCs/>
                <w:sz w:val="16"/>
                <w:szCs w:val="16"/>
                <w:lang w:val="ru-RU"/>
              </w:rPr>
              <w:t xml:space="preserve"> и/или </w:t>
            </w:r>
            <w:r>
              <w:rPr>
                <w:bCs/>
                <w:iCs/>
                <w:sz w:val="16"/>
                <w:szCs w:val="16"/>
                <w:lang w:val="ru-RU"/>
              </w:rPr>
              <w:t>раскрытия</w:t>
            </w:r>
            <w:r w:rsidRPr="00AB735C">
              <w:rPr>
                <w:bCs/>
                <w:iCs/>
                <w:sz w:val="16"/>
                <w:szCs w:val="16"/>
                <w:lang w:val="ru-RU"/>
              </w:rPr>
              <w:t xml:space="preserve">. </w:t>
            </w:r>
          </w:p>
        </w:tc>
      </w:tr>
    </w:tbl>
    <w:p w:rsidR="00C85043" w:rsidRPr="00AB735C" w:rsidRDefault="00C85043" w:rsidP="00C85043">
      <w:pPr>
        <w:keepNext/>
        <w:keepLines/>
        <w:rPr>
          <w:rFonts w:cs="Arial"/>
          <w:color w:val="000000"/>
          <w:szCs w:val="22"/>
          <w:lang w:val="ru-RU"/>
        </w:rPr>
      </w:pPr>
    </w:p>
    <w:p w:rsidR="00C85043" w:rsidRPr="00AB735C" w:rsidRDefault="00C85043" w:rsidP="00C85043">
      <w:pPr>
        <w:keepNext/>
        <w:keepLines/>
        <w:rPr>
          <w:rFonts w:cs="Arial"/>
          <w:color w:val="000000"/>
          <w:szCs w:val="20"/>
          <w:lang w:val="ru-RU"/>
        </w:rPr>
      </w:pPr>
    </w:p>
    <w:p w:rsidR="00C85043" w:rsidRPr="0055183A" w:rsidRDefault="00C85043" w:rsidP="00C85043">
      <w:pPr>
        <w:keepNext/>
        <w:keepLines/>
        <w:rPr>
          <w:rFonts w:cs="Arial"/>
          <w:color w:val="000000"/>
          <w:szCs w:val="20"/>
          <w:lang w:val="ru-RU"/>
        </w:rPr>
      </w:pPr>
      <w:r w:rsidRPr="0055183A">
        <w:rPr>
          <w:rFonts w:cs="Arial"/>
          <w:color w:val="000000"/>
          <w:szCs w:val="20"/>
          <w:lang w:val="ru-RU"/>
        </w:rPr>
        <w:t>ИСПОЛЬЗОВАНИЕ РЕСУРСОВ</w:t>
      </w:r>
      <w:r w:rsidRPr="00225BFF">
        <w:rPr>
          <w:rStyle w:val="FootnoteReference"/>
          <w:szCs w:val="20"/>
        </w:rPr>
        <w:footnoteReference w:id="171"/>
      </w:r>
      <w:r w:rsidRPr="0055183A">
        <w:rPr>
          <w:rFonts w:cs="Arial"/>
          <w:color w:val="000000"/>
          <w:szCs w:val="20"/>
          <w:lang w:val="ru-RU"/>
        </w:rPr>
        <w:tab/>
      </w:r>
    </w:p>
    <w:p w:rsidR="00C85043" w:rsidRPr="0055183A" w:rsidRDefault="00C85043" w:rsidP="00C85043">
      <w:pPr>
        <w:keepNext/>
        <w:keepLines/>
        <w:rPr>
          <w:rFonts w:cs="Arial"/>
          <w:color w:val="000000"/>
          <w:szCs w:val="20"/>
          <w:lang w:val="ru-RU"/>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9044EE">
        <w:rPr>
          <w:b/>
          <w:szCs w:val="22"/>
          <w:lang w:val="ru-RU"/>
        </w:rPr>
        <w:t>Сумма</w:t>
      </w:r>
      <w:r w:rsidRPr="007F540C">
        <w:rPr>
          <w:b/>
          <w:szCs w:val="22"/>
          <w:lang w:val="ru-RU"/>
        </w:rPr>
        <w:t xml:space="preserve"> </w:t>
      </w:r>
      <w:r w:rsidRPr="009044EE">
        <w:rPr>
          <w:b/>
          <w:szCs w:val="22"/>
          <w:lang w:val="ru-RU"/>
        </w:rPr>
        <w:t>бюджетных</w:t>
      </w:r>
      <w:r w:rsidRPr="007F540C">
        <w:rPr>
          <w:b/>
          <w:szCs w:val="22"/>
          <w:lang w:val="ru-RU"/>
        </w:rPr>
        <w:t xml:space="preserve"> </w:t>
      </w:r>
      <w:r w:rsidRPr="009044EE">
        <w:rPr>
          <w:b/>
          <w:szCs w:val="22"/>
          <w:lang w:val="ru-RU"/>
        </w:rPr>
        <w:t>средств</w:t>
      </w:r>
      <w:r>
        <w:rPr>
          <w:b/>
          <w:szCs w:val="22"/>
          <w:lang w:val="ru-RU"/>
        </w:rPr>
        <w:t xml:space="preserve">, </w:t>
      </w:r>
      <w:r w:rsidRPr="009044EE">
        <w:rPr>
          <w:b/>
          <w:szCs w:val="22"/>
          <w:lang w:val="ru-RU"/>
        </w:rPr>
        <w:t>освоенных</w:t>
      </w:r>
      <w:r w:rsidRPr="007F540C">
        <w:rPr>
          <w:b/>
          <w:szCs w:val="22"/>
          <w:lang w:val="ru-RU"/>
        </w:rPr>
        <w:t xml:space="preserve"> </w:t>
      </w:r>
      <w:r w:rsidRPr="009044EE">
        <w:rPr>
          <w:b/>
          <w:szCs w:val="22"/>
          <w:lang w:val="ru-RU"/>
        </w:rPr>
        <w:t>в</w:t>
      </w:r>
      <w:r w:rsidRPr="007F540C">
        <w:rPr>
          <w:b/>
          <w:szCs w:val="22"/>
          <w:lang w:val="ru-RU"/>
        </w:rPr>
        <w:t xml:space="preserve"> </w:t>
      </w:r>
      <w:r w:rsidRPr="009044EE">
        <w:rPr>
          <w:b/>
          <w:szCs w:val="22"/>
          <w:lang w:val="ru-RU"/>
        </w:rPr>
        <w:t>рамках</w:t>
      </w:r>
      <w:r w:rsidRPr="007F540C">
        <w:rPr>
          <w:b/>
          <w:szCs w:val="22"/>
          <w:lang w:val="ru-RU"/>
        </w:rPr>
        <w:t xml:space="preserve"> </w:t>
      </w:r>
      <w:r w:rsidRPr="009044EE">
        <w:rPr>
          <w:b/>
          <w:szCs w:val="22"/>
          <w:lang w:val="ru-RU"/>
        </w:rPr>
        <w:t>проекта</w:t>
      </w:r>
      <w:r w:rsidRPr="007F540C">
        <w:rPr>
          <w:b/>
          <w:szCs w:val="22"/>
          <w:lang w:val="ru-RU"/>
        </w:rPr>
        <w:t xml:space="preserve"> </w:t>
      </w:r>
    </w:p>
    <w:p w:rsidR="00C85043" w:rsidRPr="007F540C" w:rsidRDefault="00C85043" w:rsidP="00C85043">
      <w:pPr>
        <w:keepNext/>
        <w:keepLines/>
        <w:tabs>
          <w:tab w:val="left" w:pos="3261"/>
        </w:tabs>
        <w:autoSpaceDE w:val="0"/>
        <w:autoSpaceDN w:val="0"/>
        <w:adjustRightInd w:val="0"/>
        <w:spacing w:after="120"/>
        <w:jc w:val="center"/>
        <w:rPr>
          <w:rFonts w:cs="Arial"/>
          <w:color w:val="000000"/>
          <w:sz w:val="22"/>
          <w:szCs w:val="22"/>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C85043" w:rsidRPr="00715C25" w:rsidTr="00C85043">
        <w:trPr>
          <w:trHeight w:val="410"/>
        </w:trPr>
        <w:tc>
          <w:tcPr>
            <w:tcW w:w="159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630FBE" w:rsidRDefault="00C85043" w:rsidP="00C85043">
            <w:pPr>
              <w:keepNext/>
              <w:keepLines/>
              <w:autoSpaceDE w:val="0"/>
              <w:autoSpaceDN w:val="0"/>
              <w:adjustRightInd w:val="0"/>
              <w:spacing w:before="40" w:after="40"/>
              <w:ind w:left="-74" w:right="-60"/>
              <w:jc w:val="center"/>
              <w:rPr>
                <w:b/>
                <w:bCs/>
                <w:sz w:val="16"/>
                <w:szCs w:val="16"/>
              </w:rPr>
            </w:pPr>
            <w:r w:rsidRPr="00715C25">
              <w:rPr>
                <w:b/>
                <w:bCs/>
                <w:sz w:val="16"/>
                <w:szCs w:val="16"/>
              </w:rPr>
              <w:t>Наименование проекта</w:t>
            </w:r>
          </w:p>
        </w:tc>
        <w:tc>
          <w:tcPr>
            <w:tcW w:w="85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630FBE" w:rsidRDefault="00C85043" w:rsidP="00C85043">
            <w:pPr>
              <w:keepNext/>
              <w:keepLines/>
              <w:autoSpaceDE w:val="0"/>
              <w:autoSpaceDN w:val="0"/>
              <w:adjustRightInd w:val="0"/>
              <w:spacing w:before="40" w:after="40"/>
              <w:ind w:left="-107" w:right="-108"/>
              <w:jc w:val="center"/>
              <w:rPr>
                <w:b/>
                <w:bCs/>
                <w:sz w:val="16"/>
                <w:szCs w:val="16"/>
              </w:rPr>
            </w:pPr>
            <w:r w:rsidRPr="00715C25">
              <w:rPr>
                <w:b/>
                <w:bCs/>
                <w:sz w:val="16"/>
                <w:szCs w:val="16"/>
              </w:rPr>
              <w:t>Смета по проекту</w:t>
            </w:r>
          </w:p>
        </w:tc>
        <w:tc>
          <w:tcPr>
            <w:tcW w:w="85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5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630FBE" w:rsidRDefault="00C85043" w:rsidP="00C85043">
            <w:pPr>
              <w:keepNext/>
              <w:keepLines/>
              <w:autoSpaceDE w:val="0"/>
              <w:autoSpaceDN w:val="0"/>
              <w:adjustRightInd w:val="0"/>
              <w:spacing w:before="40" w:after="40"/>
              <w:ind w:left="-109" w:right="-108"/>
              <w:jc w:val="center"/>
              <w:rPr>
                <w:b/>
                <w:bCs/>
                <w:sz w:val="16"/>
                <w:szCs w:val="16"/>
              </w:rPr>
            </w:pPr>
            <w:r w:rsidRPr="00715C25">
              <w:rPr>
                <w:b/>
                <w:bCs/>
                <w:sz w:val="16"/>
                <w:szCs w:val="16"/>
              </w:rPr>
              <w:t>Фактически освоено бюджетных средств</w:t>
            </w:r>
          </w:p>
        </w:tc>
        <w:tc>
          <w:tcPr>
            <w:tcW w:w="85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9" w:right="-73" w:firstLine="1"/>
              <w:jc w:val="center"/>
              <w:rPr>
                <w:b/>
                <w:bCs/>
                <w:sz w:val="16"/>
                <w:szCs w:val="16"/>
                <w:lang w:val="ru-RU"/>
              </w:rPr>
            </w:pPr>
            <w:r>
              <w:rPr>
                <w:b/>
                <w:bCs/>
                <w:sz w:val="16"/>
                <w:szCs w:val="16"/>
                <w:lang w:val="ru-RU"/>
              </w:rPr>
              <w:t xml:space="preserve">Степень </w:t>
            </w:r>
            <w:r w:rsidRPr="00715C25">
              <w:rPr>
                <w:b/>
                <w:bCs/>
                <w:sz w:val="16"/>
                <w:szCs w:val="16"/>
                <w:lang w:val="ru-RU"/>
              </w:rPr>
              <w:t>реализации проекта</w:t>
            </w:r>
          </w:p>
        </w:tc>
      </w:tr>
      <w:tr w:rsidR="00C85043" w:rsidTr="00C85043">
        <w:trPr>
          <w:trHeight w:val="389"/>
        </w:trPr>
        <w:tc>
          <w:tcPr>
            <w:tcW w:w="1598" w:type="pct"/>
            <w:tcBorders>
              <w:top w:val="single" w:sz="4" w:space="0" w:color="auto"/>
              <w:left w:val="single" w:sz="4" w:space="0" w:color="auto"/>
              <w:bottom w:val="single" w:sz="4" w:space="0" w:color="auto"/>
              <w:right w:val="single" w:sz="4" w:space="0" w:color="auto"/>
            </w:tcBorders>
            <w:vAlign w:val="center"/>
          </w:tcPr>
          <w:p w:rsidR="00C85043" w:rsidRPr="00A00D88" w:rsidRDefault="00C85043" w:rsidP="00C85043">
            <w:pPr>
              <w:keepNext/>
              <w:keepLines/>
              <w:autoSpaceDE w:val="0"/>
              <w:autoSpaceDN w:val="0"/>
              <w:adjustRightInd w:val="0"/>
              <w:spacing w:before="40" w:after="40"/>
              <w:rPr>
                <w:sz w:val="16"/>
                <w:szCs w:val="16"/>
                <w:lang w:val="ru-RU"/>
              </w:rPr>
            </w:pPr>
            <w:r w:rsidRPr="00A00D88">
              <w:rPr>
                <w:sz w:val="16"/>
                <w:szCs w:val="16"/>
                <w:lang w:val="ru-RU"/>
              </w:rPr>
              <w:t xml:space="preserve">Повышение </w:t>
            </w:r>
            <w:r>
              <w:rPr>
                <w:sz w:val="16"/>
                <w:szCs w:val="16"/>
                <w:lang w:val="ru-RU"/>
              </w:rPr>
              <w:t xml:space="preserve">уровня </w:t>
            </w:r>
            <w:r w:rsidRPr="00A00D88">
              <w:rPr>
                <w:sz w:val="16"/>
                <w:szCs w:val="16"/>
                <w:lang w:val="ru-RU"/>
              </w:rPr>
              <w:t>безопасности</w:t>
            </w:r>
            <w:r>
              <w:rPr>
                <w:sz w:val="16"/>
                <w:szCs w:val="16"/>
                <w:lang w:val="ru-RU"/>
              </w:rPr>
              <w:t xml:space="preserve"> </w:t>
            </w:r>
            <w:r w:rsidRPr="007245E2">
              <w:rPr>
                <w:sz w:val="16"/>
                <w:szCs w:val="16"/>
                <w:lang w:val="ru-RU"/>
              </w:rPr>
              <w:t>в области</w:t>
            </w:r>
            <w:r>
              <w:rPr>
                <w:sz w:val="16"/>
                <w:szCs w:val="16"/>
                <w:lang w:val="ru-RU"/>
              </w:rPr>
              <w:t xml:space="preserve"> шифрования</w:t>
            </w:r>
            <w:r w:rsidRPr="00A00D88">
              <w:rPr>
                <w:sz w:val="16"/>
                <w:szCs w:val="16"/>
                <w:lang w:val="ru-RU"/>
              </w:rPr>
              <w:t xml:space="preserve"> данных </w:t>
            </w:r>
            <w:r>
              <w:rPr>
                <w:sz w:val="16"/>
                <w:szCs w:val="16"/>
                <w:lang w:val="ru-RU"/>
              </w:rPr>
              <w:t>и управления</w:t>
            </w:r>
            <w:r w:rsidRPr="00715C25">
              <w:rPr>
                <w:sz w:val="16"/>
                <w:szCs w:val="16"/>
                <w:lang w:val="ru-RU"/>
              </w:rPr>
              <w:t xml:space="preserve"> правами пользователей</w:t>
            </w:r>
          </w:p>
          <w:p w:rsidR="00C85043" w:rsidRPr="00A00D88" w:rsidRDefault="00C85043" w:rsidP="00C85043">
            <w:pPr>
              <w:keepNext/>
              <w:keepLines/>
              <w:autoSpaceDE w:val="0"/>
              <w:autoSpaceDN w:val="0"/>
              <w:adjustRightInd w:val="0"/>
              <w:spacing w:before="40" w:after="40"/>
              <w:rPr>
                <w:sz w:val="16"/>
                <w:szCs w:val="16"/>
                <w:lang w:val="ru-RU"/>
              </w:rPr>
            </w:pPr>
          </w:p>
        </w:tc>
        <w:tc>
          <w:tcPr>
            <w:tcW w:w="850" w:type="pct"/>
            <w:tcBorders>
              <w:top w:val="single" w:sz="4" w:space="0" w:color="auto"/>
              <w:left w:val="single" w:sz="4" w:space="0" w:color="auto"/>
              <w:bottom w:val="single" w:sz="4" w:space="0" w:color="auto"/>
              <w:right w:val="single" w:sz="4" w:space="0" w:color="auto"/>
            </w:tcBorders>
            <w:vAlign w:val="center"/>
          </w:tcPr>
          <w:p w:rsidR="00C85043" w:rsidRPr="00630FBE" w:rsidRDefault="00C85043" w:rsidP="00C85043">
            <w:pPr>
              <w:keepNext/>
              <w:keepLines/>
              <w:autoSpaceDE w:val="0"/>
              <w:autoSpaceDN w:val="0"/>
              <w:adjustRightInd w:val="0"/>
              <w:spacing w:before="40" w:after="40"/>
              <w:jc w:val="center"/>
              <w:rPr>
                <w:sz w:val="16"/>
                <w:szCs w:val="16"/>
              </w:rPr>
            </w:pPr>
            <w:r>
              <w:rPr>
                <w:sz w:val="16"/>
                <w:szCs w:val="16"/>
              </w:rPr>
              <w:t>700</w:t>
            </w:r>
            <w:r>
              <w:rPr>
                <w:sz w:val="16"/>
                <w:szCs w:val="16"/>
                <w:lang w:val="ru-RU"/>
              </w:rPr>
              <w:t> </w:t>
            </w:r>
            <w:r>
              <w:rPr>
                <w:sz w:val="16"/>
                <w:szCs w:val="16"/>
              </w:rPr>
              <w:t>000</w:t>
            </w:r>
          </w:p>
        </w:tc>
        <w:tc>
          <w:tcPr>
            <w:tcW w:w="851" w:type="pct"/>
            <w:tcBorders>
              <w:top w:val="single" w:sz="4" w:space="0" w:color="auto"/>
              <w:left w:val="single" w:sz="4" w:space="0" w:color="auto"/>
              <w:bottom w:val="single" w:sz="4" w:space="0" w:color="auto"/>
              <w:right w:val="single" w:sz="4" w:space="0" w:color="auto"/>
            </w:tcBorders>
            <w:vAlign w:val="center"/>
          </w:tcPr>
          <w:p w:rsidR="00C85043" w:rsidRPr="00630FBE" w:rsidRDefault="00C85043" w:rsidP="00C85043">
            <w:pPr>
              <w:keepNext/>
              <w:keepLines/>
              <w:autoSpaceDE w:val="0"/>
              <w:autoSpaceDN w:val="0"/>
              <w:adjustRightInd w:val="0"/>
              <w:spacing w:before="40" w:after="40"/>
              <w:jc w:val="center"/>
              <w:rPr>
                <w:sz w:val="16"/>
                <w:szCs w:val="16"/>
              </w:rPr>
            </w:pPr>
            <w:r>
              <w:rPr>
                <w:sz w:val="16"/>
                <w:szCs w:val="16"/>
              </w:rPr>
              <w:t>0</w:t>
            </w:r>
          </w:p>
        </w:tc>
        <w:tc>
          <w:tcPr>
            <w:tcW w:w="851" w:type="pct"/>
            <w:tcBorders>
              <w:top w:val="single" w:sz="4" w:space="0" w:color="auto"/>
              <w:left w:val="single" w:sz="4" w:space="0" w:color="auto"/>
              <w:bottom w:val="single" w:sz="4" w:space="0" w:color="auto"/>
              <w:right w:val="single" w:sz="4" w:space="0" w:color="auto"/>
            </w:tcBorders>
            <w:vAlign w:val="center"/>
          </w:tcPr>
          <w:p w:rsidR="00C85043" w:rsidRPr="00630FBE" w:rsidRDefault="00C85043" w:rsidP="00C85043">
            <w:pPr>
              <w:keepNext/>
              <w:keepLines/>
              <w:autoSpaceDE w:val="0"/>
              <w:autoSpaceDN w:val="0"/>
              <w:adjustRightInd w:val="0"/>
              <w:spacing w:before="40" w:after="40"/>
              <w:jc w:val="center"/>
              <w:rPr>
                <w:sz w:val="16"/>
                <w:szCs w:val="16"/>
              </w:rPr>
            </w:pPr>
            <w:r>
              <w:rPr>
                <w:sz w:val="16"/>
                <w:szCs w:val="16"/>
              </w:rPr>
              <w:t>0%</w:t>
            </w:r>
          </w:p>
        </w:tc>
        <w:tc>
          <w:tcPr>
            <w:tcW w:w="850" w:type="pct"/>
            <w:tcBorders>
              <w:top w:val="single" w:sz="4" w:space="0" w:color="auto"/>
              <w:left w:val="single" w:sz="4" w:space="0" w:color="auto"/>
              <w:bottom w:val="single" w:sz="4" w:space="0" w:color="auto"/>
              <w:right w:val="single" w:sz="4" w:space="0" w:color="auto"/>
            </w:tcBorders>
            <w:vAlign w:val="center"/>
          </w:tcPr>
          <w:p w:rsidR="00C85043" w:rsidRPr="00630FBE" w:rsidRDefault="00C85043" w:rsidP="00C85043">
            <w:pPr>
              <w:keepNext/>
              <w:keepLines/>
              <w:autoSpaceDE w:val="0"/>
              <w:autoSpaceDN w:val="0"/>
              <w:adjustRightInd w:val="0"/>
              <w:spacing w:before="40" w:after="40"/>
              <w:jc w:val="center"/>
              <w:rPr>
                <w:sz w:val="16"/>
                <w:szCs w:val="16"/>
              </w:rPr>
            </w:pPr>
            <w:r>
              <w:rPr>
                <w:sz w:val="16"/>
                <w:szCs w:val="16"/>
              </w:rPr>
              <w:t>15%</w:t>
            </w:r>
          </w:p>
        </w:tc>
      </w:tr>
    </w:tbl>
    <w:p w:rsidR="00EB5F29" w:rsidRDefault="00EB5F29" w:rsidP="00C85043">
      <w:pPr>
        <w:keepNext/>
        <w:keepLines/>
        <w:tabs>
          <w:tab w:val="left" w:pos="3261"/>
        </w:tabs>
        <w:autoSpaceDE w:val="0"/>
        <w:autoSpaceDN w:val="0"/>
        <w:adjustRightInd w:val="0"/>
        <w:jc w:val="center"/>
        <w:rPr>
          <w:b/>
          <w:color w:val="000000"/>
          <w:szCs w:val="22"/>
          <w:lang w:val="ru-RU"/>
        </w:rPr>
      </w:pPr>
    </w:p>
    <w:p w:rsidR="00EB5F29" w:rsidRDefault="00EB5F29">
      <w:pPr>
        <w:rPr>
          <w:b/>
          <w:color w:val="000000"/>
          <w:szCs w:val="22"/>
          <w:lang w:val="ru-RU"/>
        </w:rPr>
      </w:pPr>
      <w:r>
        <w:rPr>
          <w:b/>
          <w:color w:val="000000"/>
          <w:szCs w:val="22"/>
          <w:lang w:val="ru-RU"/>
        </w:rPr>
        <w:br w:type="page"/>
      </w: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color w:val="000000"/>
          <w:szCs w:val="22"/>
          <w:lang w:val="ru-RU"/>
        </w:rPr>
        <w:t>Сумма бюджетных средств, освоенных в рамках проекта (</w:t>
      </w:r>
      <w:r>
        <w:rPr>
          <w:b/>
          <w:szCs w:val="22"/>
          <w:lang w:val="ru-RU"/>
        </w:rPr>
        <w:t>в разбивке по основным результатам</w:t>
      </w:r>
      <w:r w:rsidRPr="007F540C">
        <w:rPr>
          <w:b/>
          <w:color w:val="000000"/>
          <w:szCs w:val="22"/>
          <w:lang w:val="ru-RU"/>
        </w:rPr>
        <w:t>)</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C85043" w:rsidRPr="005C6ABD" w:rsidTr="00C85043">
        <w:trPr>
          <w:trHeight w:val="410"/>
        </w:trPr>
        <w:tc>
          <w:tcPr>
            <w:tcW w:w="157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Основной результат</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107" w:right="-108"/>
              <w:jc w:val="center"/>
              <w:rPr>
                <w:b/>
                <w:bCs/>
                <w:sz w:val="16"/>
                <w:szCs w:val="16"/>
              </w:rPr>
            </w:pPr>
            <w:r>
              <w:rPr>
                <w:b/>
                <w:bCs/>
                <w:sz w:val="16"/>
                <w:szCs w:val="16"/>
              </w:rPr>
              <w:t>Смета по проекту</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9" w:right="-73" w:firstLine="1"/>
              <w:jc w:val="center"/>
              <w:rPr>
                <w:b/>
                <w:bCs/>
                <w:sz w:val="16"/>
                <w:szCs w:val="16"/>
                <w:lang w:val="ru-RU"/>
              </w:rPr>
            </w:pPr>
            <w:r w:rsidRPr="00715C25">
              <w:rPr>
                <w:b/>
                <w:bCs/>
                <w:sz w:val="16"/>
                <w:szCs w:val="16"/>
                <w:lang w:val="ru-RU"/>
              </w:rPr>
              <w:t xml:space="preserve">Степень реализации проекта </w:t>
            </w:r>
            <w:r>
              <w:rPr>
                <w:b/>
                <w:bCs/>
                <w:sz w:val="16"/>
                <w:szCs w:val="16"/>
                <w:lang w:val="ru-RU"/>
              </w:rPr>
              <w:t>в разбивке по основным результатам</w:t>
            </w:r>
          </w:p>
        </w:tc>
      </w:tr>
      <w:tr w:rsidR="00C85043" w:rsidRPr="00970583" w:rsidTr="00C85043">
        <w:trPr>
          <w:trHeight w:val="389"/>
        </w:trPr>
        <w:tc>
          <w:tcPr>
            <w:tcW w:w="1575" w:type="pct"/>
            <w:tcBorders>
              <w:top w:val="single" w:sz="4" w:space="0" w:color="auto"/>
              <w:left w:val="single" w:sz="4" w:space="0" w:color="auto"/>
              <w:bottom w:val="single" w:sz="4" w:space="0" w:color="auto"/>
              <w:right w:val="single" w:sz="4" w:space="0" w:color="auto"/>
            </w:tcBorders>
            <w:vAlign w:val="center"/>
          </w:tcPr>
          <w:p w:rsidR="00C85043" w:rsidRPr="00AB735C" w:rsidRDefault="00C85043" w:rsidP="00C85043">
            <w:pPr>
              <w:keepNext/>
              <w:keepLines/>
              <w:autoSpaceDE w:val="0"/>
              <w:autoSpaceDN w:val="0"/>
              <w:adjustRightInd w:val="0"/>
              <w:spacing w:before="40" w:after="40"/>
              <w:rPr>
                <w:sz w:val="16"/>
                <w:szCs w:val="16"/>
                <w:lang w:val="ru-RU"/>
              </w:rPr>
            </w:pPr>
            <w:r>
              <w:rPr>
                <w:sz w:val="16"/>
                <w:szCs w:val="16"/>
                <w:lang w:val="ru-RU"/>
              </w:rPr>
              <w:t xml:space="preserve">Оценка </w:t>
            </w:r>
            <w:r w:rsidRPr="00AB735C">
              <w:rPr>
                <w:sz w:val="16"/>
                <w:szCs w:val="16"/>
                <w:lang w:val="ru-RU"/>
              </w:rPr>
              <w:t>текущ</w:t>
            </w:r>
            <w:r>
              <w:rPr>
                <w:sz w:val="16"/>
                <w:szCs w:val="16"/>
                <w:lang w:val="ru-RU"/>
              </w:rPr>
              <w:t xml:space="preserve">ей </w:t>
            </w:r>
            <w:r w:rsidRPr="000447E0">
              <w:rPr>
                <w:sz w:val="16"/>
                <w:szCs w:val="16"/>
                <w:lang w:val="ru-RU"/>
              </w:rPr>
              <w:t>ситуаци</w:t>
            </w:r>
            <w:r>
              <w:rPr>
                <w:sz w:val="16"/>
                <w:szCs w:val="16"/>
                <w:lang w:val="ru-RU"/>
              </w:rPr>
              <w:t xml:space="preserve">и и </w:t>
            </w:r>
            <w:r w:rsidRPr="000447E0">
              <w:rPr>
                <w:sz w:val="16"/>
                <w:szCs w:val="16"/>
                <w:lang w:val="ru-RU"/>
              </w:rPr>
              <w:t>подготовк</w:t>
            </w:r>
            <w:r>
              <w:rPr>
                <w:sz w:val="16"/>
                <w:szCs w:val="16"/>
                <w:lang w:val="ru-RU"/>
              </w:rPr>
              <w:t>а</w:t>
            </w:r>
            <w:r w:rsidRPr="000447E0">
              <w:rPr>
                <w:sz w:val="16"/>
                <w:szCs w:val="16"/>
                <w:lang w:val="ru-RU"/>
              </w:rPr>
              <w:t xml:space="preserve"> базового </w:t>
            </w:r>
            <w:r>
              <w:rPr>
                <w:sz w:val="16"/>
                <w:szCs w:val="16"/>
                <w:lang w:val="ru-RU"/>
              </w:rPr>
              <w:t>архитектурного</w:t>
            </w:r>
            <w:r w:rsidRPr="000447E0">
              <w:rPr>
                <w:sz w:val="16"/>
                <w:szCs w:val="16"/>
                <w:lang w:val="ru-RU"/>
              </w:rPr>
              <w:t xml:space="preserve"> решения и дорожной карты реализации</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jc w:val="center"/>
              <w:rPr>
                <w:sz w:val="16"/>
                <w:szCs w:val="16"/>
              </w:rPr>
            </w:pPr>
            <w:r>
              <w:rPr>
                <w:sz w:val="16"/>
                <w:szCs w:val="16"/>
              </w:rPr>
              <w:t>130 000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jc w:val="center"/>
              <w:rPr>
                <w:sz w:val="16"/>
                <w:szCs w:val="16"/>
              </w:rPr>
            </w:pPr>
            <w:r>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jc w:val="center"/>
              <w:rPr>
                <w:sz w:val="16"/>
                <w:szCs w:val="16"/>
              </w:rPr>
            </w:pPr>
            <w:r>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jc w:val="center"/>
              <w:rPr>
                <w:sz w:val="16"/>
                <w:szCs w:val="16"/>
              </w:rPr>
            </w:pPr>
            <w:r>
              <w:rPr>
                <w:sz w:val="16"/>
                <w:szCs w:val="16"/>
              </w:rPr>
              <w:t>30%</w:t>
            </w:r>
          </w:p>
        </w:tc>
      </w:tr>
      <w:tr w:rsidR="00C85043" w:rsidRPr="00970583" w:rsidTr="00C85043">
        <w:trPr>
          <w:trHeight w:val="389"/>
        </w:trPr>
        <w:tc>
          <w:tcPr>
            <w:tcW w:w="1575" w:type="pct"/>
            <w:tcBorders>
              <w:top w:val="single" w:sz="4" w:space="0" w:color="auto"/>
              <w:left w:val="single" w:sz="4" w:space="0" w:color="auto"/>
              <w:bottom w:val="single" w:sz="4" w:space="0" w:color="auto"/>
              <w:right w:val="single" w:sz="4" w:space="0" w:color="auto"/>
            </w:tcBorders>
            <w:vAlign w:val="center"/>
          </w:tcPr>
          <w:p w:rsidR="00C85043" w:rsidRPr="000447E0" w:rsidRDefault="00C85043" w:rsidP="00C85043">
            <w:pPr>
              <w:keepNext/>
              <w:keepLines/>
              <w:autoSpaceDE w:val="0"/>
              <w:autoSpaceDN w:val="0"/>
              <w:adjustRightInd w:val="0"/>
              <w:spacing w:before="40" w:after="40"/>
              <w:rPr>
                <w:sz w:val="16"/>
                <w:szCs w:val="16"/>
                <w:lang w:val="ru-RU"/>
              </w:rPr>
            </w:pPr>
            <w:r w:rsidRPr="000447E0">
              <w:rPr>
                <w:sz w:val="16"/>
                <w:szCs w:val="16"/>
                <w:lang w:val="ru-RU"/>
              </w:rPr>
              <w:t>Приоритет</w:t>
            </w:r>
            <w:r>
              <w:rPr>
                <w:sz w:val="16"/>
                <w:szCs w:val="16"/>
                <w:lang w:val="ru-RU"/>
              </w:rPr>
              <w:t xml:space="preserve">ное </w:t>
            </w:r>
            <w:r w:rsidRPr="003E3E70">
              <w:rPr>
                <w:sz w:val="16"/>
                <w:szCs w:val="16"/>
                <w:lang w:val="ru-RU"/>
              </w:rPr>
              <w:t>выполнени</w:t>
            </w:r>
            <w:r>
              <w:rPr>
                <w:sz w:val="16"/>
                <w:szCs w:val="16"/>
                <w:lang w:val="ru-RU"/>
              </w:rPr>
              <w:t xml:space="preserve">е </w:t>
            </w:r>
            <w:r w:rsidRPr="000447E0">
              <w:rPr>
                <w:sz w:val="16"/>
                <w:szCs w:val="16"/>
                <w:lang w:val="ru-RU"/>
              </w:rPr>
              <w:t>дорожн</w:t>
            </w:r>
            <w:r>
              <w:rPr>
                <w:sz w:val="16"/>
                <w:szCs w:val="16"/>
                <w:lang w:val="ru-RU"/>
              </w:rPr>
              <w:t>ой карты</w:t>
            </w:r>
            <w:r w:rsidRPr="000447E0">
              <w:rPr>
                <w:sz w:val="16"/>
                <w:szCs w:val="16"/>
                <w:lang w:val="ru-RU"/>
              </w:rPr>
              <w:t xml:space="preserve"> </w:t>
            </w:r>
            <w:r w:rsidRPr="003E3E70">
              <w:rPr>
                <w:sz w:val="16"/>
                <w:szCs w:val="16"/>
                <w:lang w:val="ru-RU"/>
              </w:rPr>
              <w:t>реализаци</w:t>
            </w:r>
            <w:r>
              <w:rPr>
                <w:sz w:val="16"/>
                <w:szCs w:val="16"/>
                <w:lang w:val="ru-RU"/>
              </w:rPr>
              <w:t xml:space="preserve">и модулей </w:t>
            </w:r>
            <w:r>
              <w:rPr>
                <w:sz w:val="16"/>
                <w:szCs w:val="16"/>
              </w:rPr>
              <w:t>IAM</w:t>
            </w:r>
            <w:r w:rsidRPr="000447E0">
              <w:rPr>
                <w:sz w:val="16"/>
                <w:szCs w:val="16"/>
                <w:lang w:val="ru-RU"/>
              </w:rPr>
              <w:t xml:space="preserve"> и шифрования данных и разработк</w:t>
            </w:r>
            <w:r>
              <w:rPr>
                <w:sz w:val="16"/>
                <w:szCs w:val="16"/>
                <w:lang w:val="ru-RU"/>
              </w:rPr>
              <w:t>а сценариев</w:t>
            </w:r>
            <w:r w:rsidRPr="000447E0">
              <w:rPr>
                <w:sz w:val="16"/>
                <w:szCs w:val="16"/>
                <w:lang w:val="ru-RU"/>
              </w:rPr>
              <w:t xml:space="preserve"> использования систем</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jc w:val="center"/>
              <w:rPr>
                <w:sz w:val="16"/>
                <w:szCs w:val="16"/>
              </w:rPr>
            </w:pPr>
            <w:r>
              <w:rPr>
                <w:sz w:val="16"/>
                <w:szCs w:val="16"/>
              </w:rPr>
              <w:t>570 000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jc w:val="center"/>
              <w:rPr>
                <w:sz w:val="16"/>
                <w:szCs w:val="16"/>
              </w:rPr>
            </w:pPr>
            <w:r>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jc w:val="center"/>
              <w:rPr>
                <w:sz w:val="16"/>
                <w:szCs w:val="16"/>
              </w:rPr>
            </w:pPr>
            <w:r>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jc w:val="center"/>
              <w:rPr>
                <w:sz w:val="16"/>
                <w:szCs w:val="16"/>
              </w:rPr>
            </w:pPr>
            <w:r>
              <w:rPr>
                <w:sz w:val="16"/>
                <w:szCs w:val="16"/>
              </w:rPr>
              <w:t>-</w:t>
            </w:r>
          </w:p>
        </w:tc>
      </w:tr>
      <w:tr w:rsidR="00C85043" w:rsidRPr="00970583" w:rsidTr="00C85043">
        <w:trPr>
          <w:trHeight w:val="389"/>
        </w:trPr>
        <w:tc>
          <w:tcPr>
            <w:tcW w:w="157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rPr>
                <w:b/>
                <w:sz w:val="16"/>
                <w:szCs w:val="16"/>
              </w:rPr>
            </w:pPr>
            <w:r w:rsidRPr="00E94BB3">
              <w:rPr>
                <w:b/>
                <w:sz w:val="16"/>
                <w:szCs w:val="16"/>
              </w:rPr>
              <w:t>Итого</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jc w:val="center"/>
              <w:rPr>
                <w:b/>
                <w:sz w:val="16"/>
                <w:szCs w:val="16"/>
              </w:rPr>
            </w:pPr>
            <w:r>
              <w:rPr>
                <w:b/>
                <w:sz w:val="16"/>
                <w:szCs w:val="16"/>
              </w:rPr>
              <w:t>700 000</w:t>
            </w:r>
          </w:p>
        </w:tc>
        <w:tc>
          <w:tcPr>
            <w:tcW w:w="856" w:type="pct"/>
            <w:tcBorders>
              <w:top w:val="single" w:sz="4" w:space="0" w:color="auto"/>
              <w:left w:val="single" w:sz="4" w:space="0" w:color="auto"/>
              <w:bottom w:val="single" w:sz="4" w:space="0" w:color="auto"/>
              <w:right w:val="single" w:sz="4" w:space="0" w:color="auto"/>
            </w:tcBorders>
            <w:shd w:val="clear" w:color="auto" w:fill="C6D9F1"/>
          </w:tcPr>
          <w:p w:rsidR="00C85043" w:rsidRPr="00970583" w:rsidRDefault="00C85043" w:rsidP="00C85043">
            <w:pPr>
              <w:keepNext/>
              <w:keepLines/>
              <w:autoSpaceDE w:val="0"/>
              <w:autoSpaceDN w:val="0"/>
              <w:adjustRightInd w:val="0"/>
              <w:spacing w:before="40" w:after="40"/>
              <w:jc w:val="center"/>
              <w:rPr>
                <w:b/>
                <w:sz w:val="16"/>
                <w:szCs w:val="16"/>
              </w:rPr>
            </w:pPr>
            <w:r>
              <w:rPr>
                <w:b/>
                <w:sz w:val="16"/>
                <w:szCs w:val="16"/>
              </w:rPr>
              <w:t>0</w:t>
            </w:r>
          </w:p>
        </w:tc>
        <w:tc>
          <w:tcPr>
            <w:tcW w:w="856" w:type="pct"/>
            <w:tcBorders>
              <w:top w:val="single" w:sz="4" w:space="0" w:color="auto"/>
              <w:left w:val="single" w:sz="4" w:space="0" w:color="auto"/>
              <w:bottom w:val="single" w:sz="4" w:space="0" w:color="auto"/>
              <w:right w:val="single" w:sz="4" w:space="0" w:color="auto"/>
            </w:tcBorders>
            <w:shd w:val="clear" w:color="auto" w:fill="C6D9F1"/>
          </w:tcPr>
          <w:p w:rsidR="00C85043" w:rsidRPr="00970583" w:rsidRDefault="00C85043" w:rsidP="00C85043">
            <w:pPr>
              <w:keepNext/>
              <w:keepLines/>
              <w:autoSpaceDE w:val="0"/>
              <w:autoSpaceDN w:val="0"/>
              <w:adjustRightInd w:val="0"/>
              <w:spacing w:before="40" w:after="40"/>
              <w:jc w:val="center"/>
              <w:rPr>
                <w:b/>
                <w:sz w:val="16"/>
                <w:szCs w:val="16"/>
              </w:rPr>
            </w:pPr>
          </w:p>
        </w:tc>
        <w:tc>
          <w:tcPr>
            <w:tcW w:w="856" w:type="pct"/>
            <w:tcBorders>
              <w:top w:val="single" w:sz="4" w:space="0" w:color="auto"/>
              <w:left w:val="single" w:sz="4" w:space="0" w:color="auto"/>
              <w:bottom w:val="single" w:sz="4" w:space="0" w:color="auto"/>
              <w:right w:val="single" w:sz="4" w:space="0" w:color="auto"/>
            </w:tcBorders>
            <w:shd w:val="clear" w:color="auto" w:fill="C6D9F1"/>
          </w:tcPr>
          <w:p w:rsidR="00C85043" w:rsidRPr="00970583" w:rsidRDefault="00C85043" w:rsidP="00C85043">
            <w:pPr>
              <w:keepNext/>
              <w:keepLines/>
              <w:autoSpaceDE w:val="0"/>
              <w:autoSpaceDN w:val="0"/>
              <w:adjustRightInd w:val="0"/>
              <w:spacing w:before="40" w:after="40"/>
              <w:jc w:val="center"/>
              <w:rPr>
                <w:b/>
                <w:sz w:val="16"/>
                <w:szCs w:val="16"/>
              </w:rPr>
            </w:pPr>
          </w:p>
        </w:tc>
      </w:tr>
    </w:tbl>
    <w:p w:rsidR="00C85043" w:rsidRDefault="00C85043" w:rsidP="00C85043">
      <w:pPr>
        <w:tabs>
          <w:tab w:val="left" w:pos="3261"/>
        </w:tabs>
        <w:autoSpaceDE w:val="0"/>
        <w:autoSpaceDN w:val="0"/>
        <w:adjustRightInd w:val="0"/>
        <w:jc w:val="center"/>
        <w:rPr>
          <w:b/>
          <w:color w:val="000000"/>
          <w:szCs w:val="22"/>
        </w:rPr>
      </w:pPr>
    </w:p>
    <w:p w:rsidR="00C85043" w:rsidRDefault="00C85043" w:rsidP="00C85043">
      <w:pPr>
        <w:tabs>
          <w:tab w:val="left" w:pos="3261"/>
        </w:tabs>
        <w:autoSpaceDE w:val="0"/>
        <w:autoSpaceDN w:val="0"/>
        <w:adjustRightInd w:val="0"/>
        <w:jc w:val="center"/>
        <w:rPr>
          <w:b/>
          <w:color w:val="000000"/>
          <w:szCs w:val="22"/>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color w:val="000000"/>
          <w:szCs w:val="22"/>
          <w:lang w:val="ru-RU"/>
        </w:rPr>
        <w:t xml:space="preserve">Сумма бюджетных средств, освоенных в рамках проекта </w:t>
      </w:r>
      <w:r w:rsidRPr="00E94BB3">
        <w:rPr>
          <w:b/>
          <w:color w:val="000000"/>
          <w:szCs w:val="22"/>
          <w:lang w:val="ru-RU"/>
        </w:rPr>
        <w:t>(в разбивке по категориям расходов)</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W w:w="484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6"/>
        <w:gridCol w:w="1839"/>
        <w:gridCol w:w="1839"/>
        <w:gridCol w:w="2056"/>
      </w:tblGrid>
      <w:tr w:rsidR="00C85043" w:rsidRPr="00970583" w:rsidTr="00C85043">
        <w:trPr>
          <w:trHeight w:val="569"/>
        </w:trPr>
        <w:tc>
          <w:tcPr>
            <w:tcW w:w="1907"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line="260" w:lineRule="exact"/>
              <w:ind w:left="-74" w:right="-60"/>
              <w:jc w:val="center"/>
              <w:rPr>
                <w:b/>
                <w:bCs/>
                <w:sz w:val="16"/>
                <w:szCs w:val="16"/>
              </w:rPr>
            </w:pPr>
            <w:r>
              <w:rPr>
                <w:b/>
                <w:bCs/>
                <w:sz w:val="16"/>
                <w:szCs w:val="16"/>
              </w:rPr>
              <w:t>Категория</w:t>
            </w:r>
            <w:r w:rsidRPr="001E1470">
              <w:rPr>
                <w:b/>
                <w:bCs/>
                <w:sz w:val="16"/>
                <w:szCs w:val="16"/>
              </w:rPr>
              <w:t xml:space="preserve"> расходов</w:t>
            </w:r>
          </w:p>
        </w:tc>
        <w:tc>
          <w:tcPr>
            <w:tcW w:w="99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line="260" w:lineRule="exact"/>
              <w:ind w:left="-107" w:right="-108"/>
              <w:jc w:val="center"/>
              <w:rPr>
                <w:b/>
                <w:bCs/>
                <w:sz w:val="16"/>
                <w:szCs w:val="16"/>
              </w:rPr>
            </w:pPr>
            <w:r>
              <w:rPr>
                <w:b/>
                <w:bCs/>
                <w:sz w:val="16"/>
                <w:szCs w:val="16"/>
              </w:rPr>
              <w:t>Смета по проекту</w:t>
            </w:r>
          </w:p>
        </w:tc>
        <w:tc>
          <w:tcPr>
            <w:tcW w:w="99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line="260" w:lineRule="exact"/>
              <w:ind w:left="-108"/>
              <w:jc w:val="center"/>
              <w:rPr>
                <w:b/>
                <w:bCs/>
                <w:sz w:val="16"/>
                <w:szCs w:val="16"/>
                <w:lang w:val="ru-RU"/>
              </w:rPr>
            </w:pPr>
            <w:r w:rsidRPr="00715C25">
              <w:rPr>
                <w:b/>
                <w:bCs/>
                <w:sz w:val="16"/>
                <w:szCs w:val="16"/>
                <w:lang w:val="ru-RU"/>
              </w:rPr>
              <w:t xml:space="preserve">Фактические расходы по настоящее время </w:t>
            </w:r>
          </w:p>
        </w:tc>
        <w:tc>
          <w:tcPr>
            <w:tcW w:w="1109"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line="260" w:lineRule="exact"/>
              <w:ind w:left="-109"/>
              <w:jc w:val="center"/>
              <w:rPr>
                <w:b/>
                <w:bCs/>
                <w:sz w:val="16"/>
                <w:szCs w:val="16"/>
              </w:rPr>
            </w:pPr>
            <w:r>
              <w:rPr>
                <w:b/>
                <w:bCs/>
                <w:sz w:val="16"/>
                <w:szCs w:val="16"/>
              </w:rPr>
              <w:t>Фактически освоено бюджетных средств</w:t>
            </w:r>
          </w:p>
        </w:tc>
      </w:tr>
      <w:tr w:rsidR="00C85043" w:rsidRPr="00970583" w:rsidTr="00C85043">
        <w:tc>
          <w:tcPr>
            <w:tcW w:w="1907"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before="40" w:after="40" w:line="260" w:lineRule="exact"/>
              <w:rPr>
                <w:sz w:val="16"/>
                <w:szCs w:val="16"/>
              </w:rPr>
            </w:pPr>
            <w:r w:rsidRPr="00E94BB3">
              <w:rPr>
                <w:sz w:val="16"/>
                <w:szCs w:val="16"/>
              </w:rPr>
              <w:t>Услуги по контрактам</w:t>
            </w:r>
          </w:p>
        </w:tc>
        <w:tc>
          <w:tcPr>
            <w:tcW w:w="992"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before="40" w:after="40" w:line="260" w:lineRule="exact"/>
              <w:jc w:val="center"/>
              <w:rPr>
                <w:sz w:val="16"/>
                <w:szCs w:val="16"/>
              </w:rPr>
            </w:pPr>
            <w:r>
              <w:rPr>
                <w:sz w:val="16"/>
                <w:szCs w:val="16"/>
              </w:rPr>
              <w:t>130 000</w:t>
            </w:r>
          </w:p>
        </w:tc>
        <w:tc>
          <w:tcPr>
            <w:tcW w:w="992"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before="40" w:after="40" w:line="260" w:lineRule="exact"/>
              <w:jc w:val="center"/>
              <w:rPr>
                <w:sz w:val="16"/>
                <w:szCs w:val="16"/>
              </w:rPr>
            </w:pPr>
            <w:r>
              <w:rPr>
                <w:sz w:val="16"/>
                <w:szCs w:val="16"/>
              </w:rPr>
              <w:t>0</w:t>
            </w:r>
          </w:p>
        </w:tc>
        <w:tc>
          <w:tcPr>
            <w:tcW w:w="1109"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before="40" w:after="40" w:line="260" w:lineRule="exact"/>
              <w:jc w:val="center"/>
              <w:rPr>
                <w:sz w:val="16"/>
                <w:szCs w:val="16"/>
              </w:rPr>
            </w:pPr>
            <w:r>
              <w:rPr>
                <w:sz w:val="16"/>
                <w:szCs w:val="16"/>
              </w:rPr>
              <w:t>0%</w:t>
            </w:r>
          </w:p>
        </w:tc>
      </w:tr>
      <w:tr w:rsidR="00C85043" w:rsidRPr="00970583" w:rsidTr="00C85043">
        <w:tc>
          <w:tcPr>
            <w:tcW w:w="1907"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line="260" w:lineRule="exact"/>
              <w:rPr>
                <w:sz w:val="16"/>
                <w:szCs w:val="16"/>
              </w:rPr>
            </w:pPr>
            <w:r>
              <w:rPr>
                <w:sz w:val="16"/>
                <w:szCs w:val="16"/>
                <w:lang w:val="ru-RU"/>
              </w:rPr>
              <w:t>Будут определены позднее</w:t>
            </w:r>
            <w:r>
              <w:rPr>
                <w:rStyle w:val="FootnoteReference"/>
                <w:sz w:val="16"/>
                <w:szCs w:val="16"/>
              </w:rPr>
              <w:footnoteReference w:id="172"/>
            </w:r>
          </w:p>
        </w:tc>
        <w:tc>
          <w:tcPr>
            <w:tcW w:w="992"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keepNext/>
              <w:keepLines/>
              <w:autoSpaceDE w:val="0"/>
              <w:autoSpaceDN w:val="0"/>
              <w:adjustRightInd w:val="0"/>
              <w:spacing w:before="40" w:after="40" w:line="260" w:lineRule="exact"/>
              <w:jc w:val="center"/>
              <w:rPr>
                <w:sz w:val="16"/>
                <w:szCs w:val="16"/>
              </w:rPr>
            </w:pPr>
            <w:r>
              <w:rPr>
                <w:sz w:val="16"/>
                <w:szCs w:val="16"/>
              </w:rPr>
              <w:t>570 000</w:t>
            </w:r>
          </w:p>
        </w:tc>
        <w:tc>
          <w:tcPr>
            <w:tcW w:w="992"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keepNext/>
              <w:keepLines/>
              <w:autoSpaceDE w:val="0"/>
              <w:autoSpaceDN w:val="0"/>
              <w:adjustRightInd w:val="0"/>
              <w:spacing w:before="40" w:after="40" w:line="260" w:lineRule="exact"/>
              <w:jc w:val="center"/>
              <w:rPr>
                <w:sz w:val="16"/>
                <w:szCs w:val="16"/>
              </w:rPr>
            </w:pPr>
            <w:r>
              <w:rPr>
                <w:sz w:val="16"/>
                <w:szCs w:val="16"/>
              </w:rPr>
              <w:t>0</w:t>
            </w:r>
          </w:p>
        </w:tc>
        <w:tc>
          <w:tcPr>
            <w:tcW w:w="1109"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keepNext/>
              <w:keepLines/>
              <w:autoSpaceDE w:val="0"/>
              <w:autoSpaceDN w:val="0"/>
              <w:adjustRightInd w:val="0"/>
              <w:spacing w:before="40" w:after="40" w:line="260" w:lineRule="exact"/>
              <w:jc w:val="center"/>
              <w:rPr>
                <w:sz w:val="16"/>
                <w:szCs w:val="16"/>
              </w:rPr>
            </w:pPr>
            <w:r>
              <w:rPr>
                <w:sz w:val="16"/>
                <w:szCs w:val="16"/>
              </w:rPr>
              <w:t>0%</w:t>
            </w:r>
          </w:p>
        </w:tc>
      </w:tr>
      <w:tr w:rsidR="00C85043" w:rsidRPr="00970583" w:rsidTr="00C85043">
        <w:tc>
          <w:tcPr>
            <w:tcW w:w="1907"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autoSpaceDE w:val="0"/>
              <w:autoSpaceDN w:val="0"/>
              <w:adjustRightInd w:val="0"/>
              <w:spacing w:before="40" w:after="40" w:line="260" w:lineRule="exact"/>
              <w:rPr>
                <w:b/>
                <w:sz w:val="16"/>
                <w:szCs w:val="16"/>
              </w:rPr>
            </w:pPr>
            <w:r>
              <w:rPr>
                <w:b/>
                <w:sz w:val="16"/>
                <w:szCs w:val="16"/>
              </w:rPr>
              <w:t>Итого</w:t>
            </w:r>
          </w:p>
        </w:tc>
        <w:tc>
          <w:tcPr>
            <w:tcW w:w="99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00070" w:rsidRDefault="00C85043" w:rsidP="00C85043">
            <w:pPr>
              <w:autoSpaceDE w:val="0"/>
              <w:autoSpaceDN w:val="0"/>
              <w:adjustRightInd w:val="0"/>
              <w:spacing w:before="40" w:after="40" w:line="260" w:lineRule="exact"/>
              <w:jc w:val="center"/>
              <w:rPr>
                <w:b/>
                <w:sz w:val="16"/>
                <w:szCs w:val="16"/>
              </w:rPr>
            </w:pPr>
            <w:r>
              <w:rPr>
                <w:b/>
                <w:sz w:val="16"/>
                <w:szCs w:val="16"/>
              </w:rPr>
              <w:t>700 000</w:t>
            </w:r>
          </w:p>
        </w:tc>
        <w:tc>
          <w:tcPr>
            <w:tcW w:w="99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00070" w:rsidRDefault="00C85043" w:rsidP="00C85043">
            <w:pPr>
              <w:autoSpaceDE w:val="0"/>
              <w:autoSpaceDN w:val="0"/>
              <w:adjustRightInd w:val="0"/>
              <w:spacing w:before="40" w:after="40" w:line="260" w:lineRule="exact"/>
              <w:jc w:val="center"/>
              <w:rPr>
                <w:b/>
                <w:sz w:val="16"/>
                <w:szCs w:val="16"/>
              </w:rPr>
            </w:pPr>
            <w:r>
              <w:rPr>
                <w:b/>
                <w:sz w:val="16"/>
                <w:szCs w:val="16"/>
              </w:rPr>
              <w:t>0</w:t>
            </w:r>
          </w:p>
        </w:tc>
        <w:tc>
          <w:tcPr>
            <w:tcW w:w="1109" w:type="pct"/>
            <w:tcBorders>
              <w:top w:val="single" w:sz="4" w:space="0" w:color="auto"/>
              <w:left w:val="single" w:sz="4" w:space="0" w:color="auto"/>
              <w:bottom w:val="single" w:sz="4" w:space="0" w:color="auto"/>
              <w:right w:val="single" w:sz="4" w:space="0" w:color="auto"/>
            </w:tcBorders>
            <w:shd w:val="clear" w:color="auto" w:fill="C6D9F1"/>
          </w:tcPr>
          <w:p w:rsidR="00C85043" w:rsidRPr="00800070" w:rsidRDefault="00C85043" w:rsidP="00C85043">
            <w:pPr>
              <w:autoSpaceDE w:val="0"/>
              <w:autoSpaceDN w:val="0"/>
              <w:adjustRightInd w:val="0"/>
              <w:spacing w:before="40" w:after="40" w:line="260" w:lineRule="exact"/>
              <w:jc w:val="center"/>
              <w:rPr>
                <w:b/>
                <w:sz w:val="16"/>
                <w:szCs w:val="16"/>
              </w:rPr>
            </w:pPr>
          </w:p>
        </w:tc>
      </w:tr>
    </w:tbl>
    <w:p w:rsidR="00C85043" w:rsidRPr="0074545A" w:rsidRDefault="00C85043" w:rsidP="00C85043">
      <w:pPr>
        <w:rPr>
          <w:rFonts w:cs="Arial"/>
          <w:color w:val="000000"/>
          <w:szCs w:val="20"/>
        </w:rPr>
      </w:pPr>
    </w:p>
    <w:p w:rsidR="00C85043" w:rsidRPr="0074545A" w:rsidRDefault="00C85043" w:rsidP="00C85043">
      <w:pPr>
        <w:rPr>
          <w:rFonts w:cs="Arial"/>
          <w:color w:val="000000"/>
          <w:szCs w:val="20"/>
        </w:rPr>
      </w:pPr>
    </w:p>
    <w:p w:rsidR="00C85043" w:rsidRPr="007E18F3" w:rsidRDefault="00C85043" w:rsidP="00C85043">
      <w:pPr>
        <w:rPr>
          <w:rFonts w:cs="Arial"/>
          <w:color w:val="000000"/>
          <w:szCs w:val="20"/>
          <w:lang w:val="ru-RU"/>
        </w:rPr>
      </w:pPr>
      <w:r w:rsidRPr="007E18F3">
        <w:rPr>
          <w:rFonts w:cs="Arial"/>
          <w:color w:val="000000"/>
          <w:szCs w:val="20"/>
          <w:lang w:val="ru-RU"/>
        </w:rPr>
        <w:t>РИСКИ И СТРАТЕГИИ ИХ СНИЖЕНИЯ</w:t>
      </w:r>
    </w:p>
    <w:p w:rsidR="00C85043" w:rsidRPr="007E18F3" w:rsidRDefault="00C85043" w:rsidP="00C85043">
      <w:pPr>
        <w:rPr>
          <w:rFonts w:cs="Arial"/>
          <w:color w:val="000000"/>
          <w:szCs w:val="20"/>
          <w:lang w:val="ru-RU"/>
        </w:rPr>
      </w:pPr>
    </w:p>
    <w:tbl>
      <w:tblPr>
        <w:tblW w:w="4814" w:type="pct"/>
        <w:jc w:val="center"/>
        <w:tblInd w:w="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1"/>
        <w:gridCol w:w="3072"/>
        <w:gridCol w:w="3072"/>
      </w:tblGrid>
      <w:tr w:rsidR="00C85043" w:rsidRPr="00970583" w:rsidTr="00C85043">
        <w:trPr>
          <w:trHeight w:val="507"/>
          <w:tblHeader/>
          <w:jc w:val="center"/>
        </w:trPr>
        <w:tc>
          <w:tcPr>
            <w:tcW w:w="1666" w:type="pct"/>
            <w:shd w:val="clear" w:color="auto" w:fill="C6D9F1"/>
            <w:vAlign w:val="center"/>
          </w:tcPr>
          <w:p w:rsidR="00C85043" w:rsidRPr="000447E0" w:rsidRDefault="00C85043" w:rsidP="00C85043">
            <w:pPr>
              <w:autoSpaceDE w:val="0"/>
              <w:autoSpaceDN w:val="0"/>
              <w:adjustRightInd w:val="0"/>
              <w:spacing w:before="40" w:after="40" w:line="260" w:lineRule="exact"/>
              <w:ind w:left="-74" w:right="-60"/>
              <w:jc w:val="center"/>
              <w:rPr>
                <w:b/>
                <w:bCs/>
                <w:sz w:val="16"/>
                <w:szCs w:val="16"/>
                <w:lang w:val="ru-RU"/>
              </w:rPr>
            </w:pPr>
            <w:r w:rsidRPr="000447E0">
              <w:rPr>
                <w:b/>
                <w:bCs/>
                <w:sz w:val="16"/>
                <w:szCs w:val="16"/>
                <w:lang w:val="ru-RU"/>
              </w:rPr>
              <w:t xml:space="preserve">Риск/ </w:t>
            </w:r>
            <w:r>
              <w:rPr>
                <w:b/>
                <w:bCs/>
                <w:sz w:val="16"/>
                <w:szCs w:val="16"/>
                <w:lang w:val="ru-RU"/>
              </w:rPr>
              <w:t xml:space="preserve">Описание </w:t>
            </w:r>
            <w:r w:rsidRPr="000447E0">
              <w:rPr>
                <w:b/>
                <w:bCs/>
                <w:sz w:val="16"/>
                <w:szCs w:val="16"/>
                <w:lang w:val="ru-RU"/>
              </w:rPr>
              <w:t>риск</w:t>
            </w:r>
            <w:r>
              <w:rPr>
                <w:b/>
                <w:bCs/>
                <w:sz w:val="16"/>
                <w:szCs w:val="16"/>
                <w:lang w:val="ru-RU"/>
              </w:rPr>
              <w:t>а</w:t>
            </w:r>
          </w:p>
        </w:tc>
        <w:tc>
          <w:tcPr>
            <w:tcW w:w="1667" w:type="pct"/>
            <w:shd w:val="clear" w:color="auto" w:fill="C6D9F1"/>
            <w:vAlign w:val="center"/>
          </w:tcPr>
          <w:p w:rsidR="00C85043" w:rsidRPr="00970583" w:rsidRDefault="00C85043" w:rsidP="00C85043">
            <w:pPr>
              <w:autoSpaceDE w:val="0"/>
              <w:autoSpaceDN w:val="0"/>
              <w:adjustRightInd w:val="0"/>
              <w:spacing w:before="40" w:after="40" w:line="260" w:lineRule="exact"/>
              <w:ind w:left="-107" w:right="-108"/>
              <w:jc w:val="center"/>
              <w:rPr>
                <w:b/>
                <w:bCs/>
                <w:sz w:val="16"/>
                <w:szCs w:val="16"/>
              </w:rPr>
            </w:pPr>
            <w:r w:rsidRPr="001E1470">
              <w:rPr>
                <w:b/>
                <w:bCs/>
                <w:sz w:val="16"/>
                <w:szCs w:val="16"/>
              </w:rPr>
              <w:t>Меры по уменьшению риска</w:t>
            </w:r>
          </w:p>
        </w:tc>
        <w:tc>
          <w:tcPr>
            <w:tcW w:w="1667" w:type="pct"/>
            <w:shd w:val="clear" w:color="auto" w:fill="C6D9F1"/>
          </w:tcPr>
          <w:p w:rsidR="00C85043" w:rsidRPr="00970583" w:rsidRDefault="00C85043" w:rsidP="00C85043">
            <w:pPr>
              <w:autoSpaceDE w:val="0"/>
              <w:autoSpaceDN w:val="0"/>
              <w:adjustRightInd w:val="0"/>
              <w:spacing w:before="40" w:after="40" w:line="260" w:lineRule="exact"/>
              <w:ind w:left="-107" w:right="-108"/>
              <w:jc w:val="center"/>
              <w:rPr>
                <w:b/>
                <w:bCs/>
                <w:sz w:val="16"/>
                <w:szCs w:val="16"/>
              </w:rPr>
            </w:pPr>
            <w:r>
              <w:rPr>
                <w:b/>
                <w:bCs/>
                <w:sz w:val="16"/>
                <w:szCs w:val="16"/>
                <w:lang w:val="ru-RU"/>
              </w:rPr>
              <w:t>Примечание</w:t>
            </w:r>
          </w:p>
        </w:tc>
      </w:tr>
      <w:tr w:rsidR="00C85043" w:rsidRPr="005C6ABD" w:rsidTr="00C85043">
        <w:trPr>
          <w:trHeight w:val="776"/>
          <w:jc w:val="center"/>
        </w:trPr>
        <w:tc>
          <w:tcPr>
            <w:tcW w:w="1666" w:type="pct"/>
            <w:shd w:val="clear" w:color="auto" w:fill="auto"/>
          </w:tcPr>
          <w:p w:rsidR="00C85043" w:rsidRPr="000447E0" w:rsidRDefault="00C85043" w:rsidP="00C85043">
            <w:pPr>
              <w:autoSpaceDE w:val="0"/>
              <w:autoSpaceDN w:val="0"/>
              <w:adjustRightInd w:val="0"/>
              <w:spacing w:before="40" w:after="40"/>
              <w:rPr>
                <w:sz w:val="16"/>
                <w:szCs w:val="16"/>
                <w:lang w:val="ru-RU"/>
              </w:rPr>
            </w:pPr>
            <w:r>
              <w:rPr>
                <w:sz w:val="16"/>
                <w:szCs w:val="16"/>
                <w:lang w:val="ru-RU"/>
              </w:rPr>
              <w:t>Не</w:t>
            </w:r>
            <w:r w:rsidRPr="000447E0">
              <w:rPr>
                <w:sz w:val="16"/>
                <w:szCs w:val="16"/>
                <w:lang w:val="ru-RU"/>
              </w:rPr>
              <w:t>достаточн</w:t>
            </w:r>
            <w:r>
              <w:rPr>
                <w:sz w:val="16"/>
                <w:szCs w:val="16"/>
                <w:lang w:val="ru-RU"/>
              </w:rPr>
              <w:t xml:space="preserve">ость </w:t>
            </w:r>
            <w:r w:rsidRPr="000447E0">
              <w:rPr>
                <w:sz w:val="16"/>
                <w:szCs w:val="16"/>
                <w:lang w:val="ru-RU"/>
              </w:rPr>
              <w:t>предусмотренн</w:t>
            </w:r>
            <w:r>
              <w:rPr>
                <w:sz w:val="16"/>
                <w:szCs w:val="16"/>
                <w:lang w:val="ru-RU"/>
              </w:rPr>
              <w:t xml:space="preserve">ых сметой </w:t>
            </w:r>
            <w:r w:rsidRPr="000447E0">
              <w:rPr>
                <w:sz w:val="16"/>
                <w:szCs w:val="16"/>
                <w:lang w:val="ru-RU"/>
              </w:rPr>
              <w:t>средств</w:t>
            </w:r>
            <w:r>
              <w:rPr>
                <w:sz w:val="16"/>
                <w:szCs w:val="16"/>
                <w:lang w:val="ru-RU"/>
              </w:rPr>
              <w:t xml:space="preserve"> для </w:t>
            </w:r>
            <w:r w:rsidRPr="003E3E70">
              <w:rPr>
                <w:sz w:val="16"/>
                <w:szCs w:val="16"/>
                <w:lang w:val="ru-RU"/>
              </w:rPr>
              <w:t>выполнени</w:t>
            </w:r>
            <w:r>
              <w:rPr>
                <w:sz w:val="16"/>
                <w:szCs w:val="16"/>
                <w:lang w:val="ru-RU"/>
              </w:rPr>
              <w:t>я дорожной карты</w:t>
            </w:r>
            <w:r w:rsidRPr="000447E0">
              <w:rPr>
                <w:sz w:val="16"/>
                <w:szCs w:val="16"/>
                <w:lang w:val="ru-RU"/>
              </w:rPr>
              <w:t xml:space="preserve"> </w:t>
            </w:r>
            <w:r w:rsidRPr="003E3E70">
              <w:rPr>
                <w:sz w:val="16"/>
                <w:szCs w:val="16"/>
                <w:lang w:val="ru-RU"/>
              </w:rPr>
              <w:t>реализаци</w:t>
            </w:r>
            <w:r>
              <w:rPr>
                <w:sz w:val="16"/>
                <w:szCs w:val="16"/>
                <w:lang w:val="ru-RU"/>
              </w:rPr>
              <w:t xml:space="preserve">и модулей </w:t>
            </w:r>
            <w:r>
              <w:rPr>
                <w:sz w:val="16"/>
                <w:szCs w:val="16"/>
              </w:rPr>
              <w:t>IAM</w:t>
            </w:r>
            <w:r w:rsidRPr="000447E0">
              <w:rPr>
                <w:sz w:val="16"/>
                <w:szCs w:val="16"/>
                <w:lang w:val="ru-RU"/>
              </w:rPr>
              <w:t xml:space="preserve"> и шифрования данных.</w:t>
            </w:r>
          </w:p>
        </w:tc>
        <w:tc>
          <w:tcPr>
            <w:tcW w:w="1667" w:type="pct"/>
            <w:shd w:val="clear" w:color="auto" w:fill="auto"/>
          </w:tcPr>
          <w:p w:rsidR="00C85043" w:rsidRPr="000447E0" w:rsidRDefault="00C85043" w:rsidP="00C85043">
            <w:pPr>
              <w:autoSpaceDE w:val="0"/>
              <w:autoSpaceDN w:val="0"/>
              <w:adjustRightInd w:val="0"/>
              <w:spacing w:before="40" w:after="40"/>
              <w:rPr>
                <w:sz w:val="16"/>
                <w:szCs w:val="16"/>
                <w:lang w:val="ru-RU"/>
              </w:rPr>
            </w:pPr>
            <w:r>
              <w:rPr>
                <w:sz w:val="16"/>
                <w:szCs w:val="16"/>
                <w:lang w:val="ru-RU"/>
              </w:rPr>
              <w:t xml:space="preserve">Признание </w:t>
            </w:r>
            <w:r w:rsidRPr="003E3E70">
              <w:rPr>
                <w:sz w:val="16"/>
                <w:szCs w:val="16"/>
                <w:lang w:val="ru-RU"/>
              </w:rPr>
              <w:t>выполнени</w:t>
            </w:r>
            <w:r>
              <w:rPr>
                <w:sz w:val="16"/>
                <w:szCs w:val="16"/>
                <w:lang w:val="ru-RU"/>
              </w:rPr>
              <w:t xml:space="preserve">я дорожной карты </w:t>
            </w:r>
            <w:r w:rsidRPr="000447E0">
              <w:rPr>
                <w:sz w:val="16"/>
                <w:szCs w:val="16"/>
                <w:lang w:val="ru-RU"/>
              </w:rPr>
              <w:t>приоритет</w:t>
            </w:r>
            <w:r>
              <w:rPr>
                <w:sz w:val="16"/>
                <w:szCs w:val="16"/>
                <w:lang w:val="ru-RU"/>
              </w:rPr>
              <w:t xml:space="preserve">ной </w:t>
            </w:r>
            <w:r w:rsidRPr="000447E0">
              <w:rPr>
                <w:sz w:val="16"/>
                <w:szCs w:val="16"/>
                <w:lang w:val="ru-RU"/>
              </w:rPr>
              <w:t>задач</w:t>
            </w:r>
            <w:r>
              <w:rPr>
                <w:sz w:val="16"/>
                <w:szCs w:val="16"/>
                <w:lang w:val="ru-RU"/>
              </w:rPr>
              <w:t>ей; особое внимание следует уделить</w:t>
            </w:r>
            <w:r w:rsidRPr="000447E0">
              <w:rPr>
                <w:sz w:val="16"/>
                <w:szCs w:val="16"/>
                <w:lang w:val="ru-RU"/>
              </w:rPr>
              <w:t xml:space="preserve"> </w:t>
            </w:r>
            <w:r>
              <w:rPr>
                <w:sz w:val="16"/>
                <w:szCs w:val="16"/>
                <w:lang w:val="ru-RU"/>
              </w:rPr>
              <w:t xml:space="preserve">минимизации наиболее </w:t>
            </w:r>
            <w:r w:rsidRPr="007D42EC">
              <w:rPr>
                <w:sz w:val="16"/>
                <w:szCs w:val="16"/>
                <w:lang w:val="ru-RU"/>
              </w:rPr>
              <w:t>серьезн</w:t>
            </w:r>
            <w:r>
              <w:rPr>
                <w:sz w:val="16"/>
                <w:szCs w:val="16"/>
                <w:lang w:val="ru-RU"/>
              </w:rPr>
              <w:t>ых</w:t>
            </w:r>
            <w:r w:rsidRPr="000447E0">
              <w:rPr>
                <w:sz w:val="16"/>
                <w:szCs w:val="16"/>
                <w:lang w:val="ru-RU"/>
              </w:rPr>
              <w:t xml:space="preserve"> риск</w:t>
            </w:r>
            <w:r>
              <w:rPr>
                <w:sz w:val="16"/>
                <w:szCs w:val="16"/>
                <w:lang w:val="ru-RU"/>
              </w:rPr>
              <w:t>ов</w:t>
            </w:r>
            <w:r w:rsidRPr="000447E0">
              <w:rPr>
                <w:sz w:val="16"/>
                <w:szCs w:val="16"/>
                <w:lang w:val="ru-RU"/>
              </w:rPr>
              <w:t>.</w:t>
            </w:r>
          </w:p>
        </w:tc>
        <w:tc>
          <w:tcPr>
            <w:tcW w:w="1667" w:type="pct"/>
          </w:tcPr>
          <w:p w:rsidR="00C85043" w:rsidRPr="007A1AB4" w:rsidRDefault="00C85043" w:rsidP="00C85043">
            <w:pPr>
              <w:autoSpaceDE w:val="0"/>
              <w:autoSpaceDN w:val="0"/>
              <w:adjustRightInd w:val="0"/>
              <w:spacing w:before="40" w:after="40"/>
              <w:rPr>
                <w:sz w:val="16"/>
                <w:szCs w:val="16"/>
                <w:lang w:val="ru-RU"/>
              </w:rPr>
            </w:pPr>
            <w:r>
              <w:rPr>
                <w:sz w:val="16"/>
                <w:szCs w:val="16"/>
                <w:lang w:val="ru-RU"/>
              </w:rPr>
              <w:t xml:space="preserve">Оценка </w:t>
            </w:r>
            <w:r w:rsidRPr="007A1AB4">
              <w:rPr>
                <w:sz w:val="16"/>
                <w:szCs w:val="16"/>
                <w:lang w:val="ru-RU"/>
              </w:rPr>
              <w:t>текущ</w:t>
            </w:r>
            <w:r>
              <w:rPr>
                <w:sz w:val="16"/>
                <w:szCs w:val="16"/>
                <w:lang w:val="ru-RU"/>
              </w:rPr>
              <w:t xml:space="preserve">ей </w:t>
            </w:r>
            <w:r w:rsidRPr="007A1AB4">
              <w:rPr>
                <w:sz w:val="16"/>
                <w:szCs w:val="16"/>
                <w:lang w:val="ru-RU"/>
              </w:rPr>
              <w:t>ситуаци</w:t>
            </w:r>
            <w:r>
              <w:rPr>
                <w:sz w:val="16"/>
                <w:szCs w:val="16"/>
                <w:lang w:val="ru-RU"/>
              </w:rPr>
              <w:t xml:space="preserve">и позволит выявить слабые места в существующих модулях </w:t>
            </w:r>
            <w:r>
              <w:rPr>
                <w:sz w:val="16"/>
                <w:szCs w:val="16"/>
              </w:rPr>
              <w:t>IAM</w:t>
            </w:r>
            <w:r w:rsidRPr="007A1AB4">
              <w:rPr>
                <w:sz w:val="16"/>
                <w:szCs w:val="16"/>
                <w:lang w:val="ru-RU"/>
              </w:rPr>
              <w:t xml:space="preserve"> и шифрования данных ВОИС и </w:t>
            </w:r>
            <w:r>
              <w:rPr>
                <w:sz w:val="16"/>
                <w:szCs w:val="16"/>
                <w:lang w:val="ru-RU"/>
              </w:rPr>
              <w:t xml:space="preserve">изложить в дорожной карте, которой будет присвоен высокий </w:t>
            </w:r>
            <w:r w:rsidRPr="007A1AB4">
              <w:rPr>
                <w:sz w:val="16"/>
                <w:szCs w:val="16"/>
                <w:lang w:val="ru-RU"/>
              </w:rPr>
              <w:t>приоритет</w:t>
            </w:r>
            <w:r>
              <w:rPr>
                <w:sz w:val="16"/>
                <w:szCs w:val="16"/>
                <w:lang w:val="ru-RU"/>
              </w:rPr>
              <w:t xml:space="preserve">, </w:t>
            </w:r>
            <w:r w:rsidRPr="007A1AB4">
              <w:rPr>
                <w:sz w:val="16"/>
                <w:szCs w:val="16"/>
                <w:lang w:val="ru-RU"/>
              </w:rPr>
              <w:t>рекоменд</w:t>
            </w:r>
            <w:r>
              <w:rPr>
                <w:sz w:val="16"/>
                <w:szCs w:val="16"/>
                <w:lang w:val="ru-RU"/>
              </w:rPr>
              <w:t>ации по их устранению</w:t>
            </w:r>
            <w:r w:rsidRPr="007A1AB4">
              <w:rPr>
                <w:sz w:val="16"/>
                <w:szCs w:val="16"/>
                <w:lang w:val="ru-RU"/>
              </w:rPr>
              <w:t xml:space="preserve">. </w:t>
            </w:r>
            <w:r>
              <w:rPr>
                <w:sz w:val="16"/>
                <w:szCs w:val="16"/>
                <w:lang w:val="ru-RU"/>
              </w:rPr>
              <w:t xml:space="preserve">Поскольку на </w:t>
            </w:r>
            <w:r w:rsidRPr="007A1AB4">
              <w:rPr>
                <w:snapToGrid w:val="0"/>
                <w:sz w:val="16"/>
                <w:szCs w:val="16"/>
                <w:lang w:val="ru-RU"/>
              </w:rPr>
              <w:t>данн</w:t>
            </w:r>
            <w:r>
              <w:rPr>
                <w:sz w:val="16"/>
                <w:szCs w:val="16"/>
                <w:lang w:val="ru-RU"/>
              </w:rPr>
              <w:t xml:space="preserve">ый </w:t>
            </w:r>
            <w:r w:rsidRPr="007A1AB4">
              <w:rPr>
                <w:sz w:val="16"/>
                <w:szCs w:val="16"/>
                <w:lang w:val="ru-RU"/>
              </w:rPr>
              <w:t>момент</w:t>
            </w:r>
            <w:r>
              <w:rPr>
                <w:sz w:val="16"/>
                <w:szCs w:val="16"/>
                <w:lang w:val="ru-RU"/>
              </w:rPr>
              <w:t xml:space="preserve"> такие слабые места и меры по их устранению еще не определены</w:t>
            </w:r>
            <w:r w:rsidRPr="007A1AB4">
              <w:rPr>
                <w:sz w:val="16"/>
                <w:szCs w:val="16"/>
                <w:lang w:val="ru-RU"/>
              </w:rPr>
              <w:t>, объе</w:t>
            </w:r>
            <w:r>
              <w:rPr>
                <w:sz w:val="16"/>
                <w:szCs w:val="16"/>
                <w:lang w:val="ru-RU"/>
              </w:rPr>
              <w:t xml:space="preserve">м </w:t>
            </w:r>
            <w:r w:rsidRPr="007A1AB4">
              <w:rPr>
                <w:sz w:val="16"/>
                <w:szCs w:val="16"/>
                <w:lang w:val="ru-RU"/>
              </w:rPr>
              <w:t>текущ</w:t>
            </w:r>
            <w:r>
              <w:rPr>
                <w:sz w:val="16"/>
                <w:szCs w:val="16"/>
                <w:lang w:val="ru-RU"/>
              </w:rPr>
              <w:t>ей</w:t>
            </w:r>
            <w:r w:rsidRPr="007A1AB4">
              <w:rPr>
                <w:sz w:val="16"/>
                <w:szCs w:val="16"/>
                <w:lang w:val="ru-RU"/>
              </w:rPr>
              <w:t xml:space="preserve"> </w:t>
            </w:r>
            <w:r>
              <w:rPr>
                <w:sz w:val="16"/>
                <w:szCs w:val="16"/>
                <w:lang w:val="ru-RU"/>
              </w:rPr>
              <w:t>сметы</w:t>
            </w:r>
            <w:r w:rsidRPr="007A1AB4">
              <w:rPr>
                <w:sz w:val="16"/>
                <w:szCs w:val="16"/>
                <w:lang w:val="ru-RU"/>
              </w:rPr>
              <w:t xml:space="preserve"> по проекту может </w:t>
            </w:r>
            <w:r>
              <w:rPr>
                <w:sz w:val="16"/>
                <w:szCs w:val="16"/>
                <w:lang w:val="ru-RU"/>
              </w:rPr>
              <w:t>оказаться не</w:t>
            </w:r>
            <w:r w:rsidRPr="007A1AB4">
              <w:rPr>
                <w:sz w:val="16"/>
                <w:szCs w:val="16"/>
                <w:lang w:val="ru-RU"/>
              </w:rPr>
              <w:t>достаточн</w:t>
            </w:r>
            <w:r>
              <w:rPr>
                <w:sz w:val="16"/>
                <w:szCs w:val="16"/>
                <w:lang w:val="ru-RU"/>
              </w:rPr>
              <w:t>ым</w:t>
            </w:r>
            <w:r w:rsidRPr="007A1AB4">
              <w:rPr>
                <w:sz w:val="16"/>
                <w:szCs w:val="16"/>
                <w:lang w:val="ru-RU"/>
              </w:rPr>
              <w:t>.</w:t>
            </w:r>
          </w:p>
        </w:tc>
      </w:tr>
    </w:tbl>
    <w:p w:rsidR="00C85043" w:rsidRPr="007A1AB4" w:rsidRDefault="00C85043" w:rsidP="00C85043">
      <w:pPr>
        <w:rPr>
          <w:lang w:val="ru-RU"/>
        </w:rPr>
      </w:pPr>
    </w:p>
    <w:p w:rsidR="00C85043" w:rsidRPr="007A1AB4" w:rsidRDefault="00C85043" w:rsidP="00C85043">
      <w:pPr>
        <w:rPr>
          <w:lang w:val="ru-RU"/>
        </w:rPr>
      </w:pPr>
    </w:p>
    <w:p w:rsidR="00C85043" w:rsidRDefault="00C85043" w:rsidP="00C85043">
      <w:pPr>
        <w:rPr>
          <w:rFonts w:cs="Arial"/>
          <w:color w:val="000000"/>
          <w:szCs w:val="20"/>
          <w:lang w:val="ru-RU"/>
        </w:rPr>
      </w:pPr>
      <w:r>
        <w:rPr>
          <w:rFonts w:cs="Arial"/>
          <w:color w:val="000000"/>
          <w:szCs w:val="20"/>
          <w:lang w:val="ru-RU"/>
        </w:rPr>
        <w:br w:type="page"/>
      </w:r>
    </w:p>
    <w:p w:rsidR="00C85043" w:rsidRPr="00715C25" w:rsidRDefault="00C85043" w:rsidP="00C85043">
      <w:pPr>
        <w:rPr>
          <w:rFonts w:cs="Arial"/>
          <w:color w:val="000000"/>
          <w:szCs w:val="20"/>
          <w:lang w:val="ru-RU"/>
        </w:rPr>
      </w:pPr>
      <w:r w:rsidRPr="009044EE">
        <w:rPr>
          <w:rFonts w:cs="Arial"/>
          <w:color w:val="000000"/>
          <w:szCs w:val="20"/>
          <w:lang w:val="ru-RU"/>
        </w:rPr>
        <w:t xml:space="preserve">СРОКИ ОСУЩЕСТВЛЕНИЯ ПРОЕКТА </w:t>
      </w:r>
      <w:r>
        <w:rPr>
          <w:rFonts w:cs="Arial"/>
          <w:color w:val="000000"/>
          <w:szCs w:val="20"/>
          <w:lang w:val="ru-RU"/>
        </w:rPr>
        <w:t>В РАЗБИВКЕ ПО ОСНОВНЫМ РЕЗУЛЬТАТАМ</w:t>
      </w:r>
    </w:p>
    <w:p w:rsidR="00C85043" w:rsidRPr="00715C25" w:rsidRDefault="00C85043" w:rsidP="00C85043">
      <w:pPr>
        <w:rPr>
          <w:lang w:val="ru-RU"/>
        </w:rPr>
      </w:pPr>
    </w:p>
    <w:tbl>
      <w:tblPr>
        <w:tblW w:w="8424" w:type="dxa"/>
        <w:jc w:val="center"/>
        <w:tblInd w:w="93" w:type="dxa"/>
        <w:tblLayout w:type="fixed"/>
        <w:tblLook w:val="04A0" w:firstRow="1" w:lastRow="0" w:firstColumn="1" w:lastColumn="0" w:noHBand="0" w:noVBand="1"/>
      </w:tblPr>
      <w:tblGrid>
        <w:gridCol w:w="1985"/>
        <w:gridCol w:w="517"/>
        <w:gridCol w:w="517"/>
        <w:gridCol w:w="518"/>
        <w:gridCol w:w="520"/>
        <w:gridCol w:w="571"/>
        <w:gridCol w:w="572"/>
        <w:gridCol w:w="572"/>
        <w:gridCol w:w="574"/>
        <w:gridCol w:w="518"/>
        <w:gridCol w:w="518"/>
        <w:gridCol w:w="518"/>
        <w:gridCol w:w="518"/>
        <w:gridCol w:w="6"/>
      </w:tblGrid>
      <w:tr w:rsidR="00C85043" w:rsidRPr="00656CC0" w:rsidTr="00C85043">
        <w:trPr>
          <w:trHeight w:val="290"/>
          <w:tblHeader/>
          <w:jc w:val="center"/>
        </w:trPr>
        <w:tc>
          <w:tcPr>
            <w:tcW w:w="1987" w:type="dxa"/>
            <w:tcBorders>
              <w:top w:val="nil"/>
              <w:left w:val="nil"/>
              <w:bottom w:val="nil"/>
              <w:right w:val="nil"/>
            </w:tcBorders>
            <w:shd w:val="clear" w:color="auto" w:fill="auto"/>
            <w:noWrap/>
            <w:vAlign w:val="bottom"/>
          </w:tcPr>
          <w:p w:rsidR="00C85043" w:rsidRPr="00715C25" w:rsidRDefault="00C85043" w:rsidP="00C85043">
            <w:pPr>
              <w:rPr>
                <w:rFonts w:cs="Arial"/>
                <w:color w:val="000000"/>
                <w:sz w:val="16"/>
                <w:szCs w:val="16"/>
                <w:lang w:val="ru-RU"/>
              </w:rPr>
            </w:pPr>
          </w:p>
        </w:tc>
        <w:tc>
          <w:tcPr>
            <w:tcW w:w="2074" w:type="dxa"/>
            <w:gridSpan w:val="4"/>
            <w:tcBorders>
              <w:top w:val="single" w:sz="8" w:space="0" w:color="auto"/>
              <w:left w:val="single" w:sz="8" w:space="0" w:color="auto"/>
              <w:bottom w:val="single" w:sz="4" w:space="0" w:color="auto"/>
              <w:right w:val="single" w:sz="8" w:space="0" w:color="000000"/>
            </w:tcBorders>
            <w:shd w:val="clear" w:color="auto" w:fill="C6D9F1"/>
            <w:noWrap/>
            <w:vAlign w:val="bottom"/>
          </w:tcPr>
          <w:p w:rsidR="00C85043" w:rsidRPr="00773191" w:rsidRDefault="00C85043" w:rsidP="00C85043">
            <w:pPr>
              <w:jc w:val="center"/>
              <w:rPr>
                <w:rFonts w:cs="Arial"/>
                <w:b/>
                <w:bCs/>
                <w:color w:val="000000"/>
                <w:sz w:val="16"/>
                <w:szCs w:val="16"/>
                <w:lang w:val="ru-RU"/>
              </w:rPr>
            </w:pPr>
            <w:r w:rsidRPr="00656CC0">
              <w:rPr>
                <w:rFonts w:cs="Arial"/>
                <w:b/>
                <w:bCs/>
                <w:color w:val="000000"/>
                <w:sz w:val="16"/>
                <w:szCs w:val="16"/>
              </w:rPr>
              <w:t>201</w:t>
            </w:r>
            <w:r>
              <w:rPr>
                <w:rFonts w:cs="Arial"/>
                <w:b/>
                <w:bCs/>
                <w:color w:val="000000"/>
                <w:sz w:val="16"/>
                <w:szCs w:val="16"/>
              </w:rPr>
              <w:t>5</w:t>
            </w:r>
            <w:r>
              <w:rPr>
                <w:rFonts w:cs="Arial"/>
                <w:b/>
                <w:bCs/>
                <w:color w:val="000000"/>
                <w:sz w:val="16"/>
                <w:szCs w:val="16"/>
                <w:lang w:val="ru-RU"/>
              </w:rPr>
              <w:t xml:space="preserve"> г.</w:t>
            </w:r>
          </w:p>
        </w:tc>
        <w:tc>
          <w:tcPr>
            <w:tcW w:w="2289"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773191" w:rsidRDefault="00C85043" w:rsidP="00C85043">
            <w:pPr>
              <w:jc w:val="center"/>
              <w:rPr>
                <w:rFonts w:cs="Arial"/>
                <w:b/>
                <w:bCs/>
                <w:color w:val="000000"/>
                <w:sz w:val="16"/>
                <w:szCs w:val="16"/>
                <w:lang w:val="ru-RU"/>
              </w:rPr>
            </w:pPr>
            <w:r w:rsidRPr="00656CC0">
              <w:rPr>
                <w:rFonts w:cs="Arial"/>
                <w:b/>
                <w:bCs/>
                <w:color w:val="000000"/>
                <w:sz w:val="16"/>
                <w:szCs w:val="16"/>
              </w:rPr>
              <w:t>201</w:t>
            </w:r>
            <w:r>
              <w:rPr>
                <w:rFonts w:cs="Arial"/>
                <w:b/>
                <w:bCs/>
                <w:color w:val="000000"/>
                <w:sz w:val="16"/>
                <w:szCs w:val="16"/>
              </w:rPr>
              <w:t>6</w:t>
            </w:r>
            <w:r>
              <w:rPr>
                <w:rFonts w:cs="Arial"/>
                <w:b/>
                <w:bCs/>
                <w:color w:val="000000"/>
                <w:sz w:val="16"/>
                <w:szCs w:val="16"/>
                <w:lang w:val="ru-RU"/>
              </w:rPr>
              <w:t xml:space="preserve"> г.</w:t>
            </w:r>
          </w:p>
        </w:tc>
        <w:tc>
          <w:tcPr>
            <w:tcW w:w="2074" w:type="dxa"/>
            <w:gridSpan w:val="5"/>
            <w:tcBorders>
              <w:top w:val="single" w:sz="8" w:space="0" w:color="auto"/>
              <w:left w:val="nil"/>
              <w:bottom w:val="single" w:sz="4" w:space="0" w:color="auto"/>
              <w:right w:val="single" w:sz="8" w:space="0" w:color="000000"/>
            </w:tcBorders>
            <w:shd w:val="clear" w:color="auto" w:fill="C6D9F1"/>
            <w:noWrap/>
            <w:vAlign w:val="bottom"/>
          </w:tcPr>
          <w:p w:rsidR="00C85043" w:rsidRPr="00773191" w:rsidRDefault="00C85043" w:rsidP="00C85043">
            <w:pPr>
              <w:jc w:val="center"/>
              <w:rPr>
                <w:rFonts w:cs="Arial"/>
                <w:b/>
                <w:bCs/>
                <w:color w:val="000000"/>
                <w:sz w:val="16"/>
                <w:szCs w:val="16"/>
                <w:lang w:val="ru-RU"/>
              </w:rPr>
            </w:pPr>
            <w:r w:rsidRPr="00656CC0">
              <w:rPr>
                <w:rFonts w:cs="Arial"/>
                <w:b/>
                <w:bCs/>
                <w:color w:val="000000"/>
                <w:sz w:val="16"/>
                <w:szCs w:val="16"/>
              </w:rPr>
              <w:t>201</w:t>
            </w:r>
            <w:r>
              <w:rPr>
                <w:rFonts w:cs="Arial"/>
                <w:b/>
                <w:bCs/>
                <w:color w:val="000000"/>
                <w:sz w:val="16"/>
                <w:szCs w:val="16"/>
              </w:rPr>
              <w:t>7</w:t>
            </w:r>
            <w:r>
              <w:rPr>
                <w:rFonts w:cs="Arial"/>
                <w:b/>
                <w:bCs/>
                <w:color w:val="000000"/>
                <w:sz w:val="16"/>
                <w:szCs w:val="16"/>
                <w:lang w:val="ru-RU"/>
              </w:rPr>
              <w:t xml:space="preserve"> г.</w:t>
            </w:r>
          </w:p>
        </w:tc>
      </w:tr>
      <w:tr w:rsidR="00C85043" w:rsidRPr="00656CC0" w:rsidTr="00C85043">
        <w:trPr>
          <w:gridAfter w:val="1"/>
          <w:wAfter w:w="6" w:type="dxa"/>
          <w:trHeight w:val="403"/>
          <w:tblHeader/>
          <w:jc w:val="center"/>
        </w:trPr>
        <w:tc>
          <w:tcPr>
            <w:tcW w:w="1987"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C85043" w:rsidRPr="00656CC0" w:rsidRDefault="00C85043" w:rsidP="00C85043">
            <w:pPr>
              <w:rPr>
                <w:rFonts w:cs="Arial"/>
                <w:b/>
                <w:bCs/>
                <w:color w:val="000000"/>
                <w:sz w:val="16"/>
                <w:szCs w:val="16"/>
              </w:rPr>
            </w:pPr>
            <w:r>
              <w:rPr>
                <w:rFonts w:cs="Arial"/>
                <w:b/>
                <w:bCs/>
                <w:color w:val="000000"/>
                <w:sz w:val="16"/>
                <w:szCs w:val="16"/>
                <w:lang w:val="ru-RU"/>
              </w:rPr>
              <w:t>Основной результат</w:t>
            </w:r>
          </w:p>
        </w:tc>
        <w:tc>
          <w:tcPr>
            <w:tcW w:w="518" w:type="dxa"/>
            <w:tcBorders>
              <w:top w:val="nil"/>
              <w:left w:val="nil"/>
              <w:bottom w:val="single" w:sz="4" w:space="0" w:color="auto"/>
              <w:right w:val="single" w:sz="4"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 xml:space="preserve">I </w:t>
            </w:r>
            <w:r>
              <w:rPr>
                <w:rFonts w:cs="Arial"/>
                <w:b/>
                <w:bCs/>
                <w:color w:val="000000"/>
                <w:sz w:val="16"/>
                <w:szCs w:val="16"/>
                <w:lang w:val="ru-RU"/>
              </w:rPr>
              <w:t>кв</w:t>
            </w:r>
            <w:r>
              <w:rPr>
                <w:rFonts w:cs="Arial"/>
                <w:b/>
                <w:bCs/>
                <w:color w:val="000000"/>
                <w:sz w:val="16"/>
                <w:szCs w:val="16"/>
              </w:rPr>
              <w:t>.</w:t>
            </w:r>
          </w:p>
        </w:tc>
        <w:tc>
          <w:tcPr>
            <w:tcW w:w="518" w:type="dxa"/>
            <w:tcBorders>
              <w:top w:val="nil"/>
              <w:left w:val="nil"/>
              <w:bottom w:val="single" w:sz="4" w:space="0" w:color="auto"/>
              <w:right w:val="single" w:sz="4"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lang w:val="ru-RU"/>
              </w:rPr>
              <w:t>II кв.</w:t>
            </w:r>
          </w:p>
        </w:tc>
        <w:tc>
          <w:tcPr>
            <w:tcW w:w="518" w:type="dxa"/>
            <w:tcBorders>
              <w:top w:val="nil"/>
              <w:left w:val="nil"/>
              <w:bottom w:val="single" w:sz="4" w:space="0" w:color="auto"/>
              <w:right w:val="single" w:sz="4"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III кв.</w:t>
            </w:r>
          </w:p>
        </w:tc>
        <w:tc>
          <w:tcPr>
            <w:tcW w:w="518" w:type="dxa"/>
            <w:tcBorders>
              <w:top w:val="nil"/>
              <w:left w:val="nil"/>
              <w:bottom w:val="single" w:sz="4" w:space="0" w:color="auto"/>
              <w:right w:val="single" w:sz="8"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 xml:space="preserve">IV </w:t>
            </w:r>
            <w:r>
              <w:rPr>
                <w:rFonts w:cs="Arial"/>
                <w:b/>
                <w:bCs/>
                <w:color w:val="000000"/>
                <w:sz w:val="16"/>
                <w:szCs w:val="16"/>
                <w:lang w:val="ru-RU"/>
              </w:rPr>
              <w:t>кв.</w:t>
            </w:r>
          </w:p>
        </w:tc>
        <w:tc>
          <w:tcPr>
            <w:tcW w:w="571" w:type="dxa"/>
            <w:tcBorders>
              <w:top w:val="nil"/>
              <w:left w:val="nil"/>
              <w:bottom w:val="single" w:sz="4" w:space="0" w:color="auto"/>
              <w:right w:val="single" w:sz="4"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I кв.</w:t>
            </w:r>
          </w:p>
        </w:tc>
        <w:tc>
          <w:tcPr>
            <w:tcW w:w="572" w:type="dxa"/>
            <w:tcBorders>
              <w:top w:val="nil"/>
              <w:left w:val="nil"/>
              <w:bottom w:val="single" w:sz="4" w:space="0" w:color="auto"/>
              <w:right w:val="single" w:sz="4"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II кв.</w:t>
            </w:r>
          </w:p>
        </w:tc>
        <w:tc>
          <w:tcPr>
            <w:tcW w:w="572" w:type="dxa"/>
            <w:tcBorders>
              <w:top w:val="nil"/>
              <w:left w:val="nil"/>
              <w:bottom w:val="single" w:sz="4" w:space="0" w:color="auto"/>
              <w:right w:val="single" w:sz="4"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III кв.</w:t>
            </w:r>
          </w:p>
        </w:tc>
        <w:tc>
          <w:tcPr>
            <w:tcW w:w="572" w:type="dxa"/>
            <w:tcBorders>
              <w:top w:val="nil"/>
              <w:left w:val="nil"/>
              <w:bottom w:val="single" w:sz="4" w:space="0" w:color="auto"/>
              <w:right w:val="single" w:sz="8"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IV кв.</w:t>
            </w:r>
          </w:p>
        </w:tc>
        <w:tc>
          <w:tcPr>
            <w:tcW w:w="518" w:type="dxa"/>
            <w:tcBorders>
              <w:top w:val="nil"/>
              <w:left w:val="nil"/>
              <w:bottom w:val="single" w:sz="4" w:space="0" w:color="auto"/>
              <w:right w:val="single" w:sz="4"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I кв.</w:t>
            </w:r>
          </w:p>
        </w:tc>
        <w:tc>
          <w:tcPr>
            <w:tcW w:w="518" w:type="dxa"/>
            <w:tcBorders>
              <w:top w:val="nil"/>
              <w:left w:val="nil"/>
              <w:bottom w:val="single" w:sz="4" w:space="0" w:color="auto"/>
              <w:right w:val="single" w:sz="4"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II кв.</w:t>
            </w:r>
          </w:p>
        </w:tc>
        <w:tc>
          <w:tcPr>
            <w:tcW w:w="518" w:type="dxa"/>
            <w:tcBorders>
              <w:top w:val="nil"/>
              <w:left w:val="nil"/>
              <w:bottom w:val="single" w:sz="4" w:space="0" w:color="auto"/>
              <w:right w:val="single" w:sz="4"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III кв.</w:t>
            </w:r>
          </w:p>
        </w:tc>
        <w:tc>
          <w:tcPr>
            <w:tcW w:w="518" w:type="dxa"/>
            <w:tcBorders>
              <w:top w:val="nil"/>
              <w:left w:val="nil"/>
              <w:bottom w:val="single" w:sz="4" w:space="0" w:color="auto"/>
              <w:right w:val="single" w:sz="8" w:space="0" w:color="auto"/>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IV кв.</w:t>
            </w:r>
          </w:p>
        </w:tc>
      </w:tr>
      <w:tr w:rsidR="00C85043" w:rsidRPr="00656CC0" w:rsidTr="00C85043">
        <w:trPr>
          <w:gridAfter w:val="1"/>
          <w:wAfter w:w="6" w:type="dxa"/>
          <w:trHeight w:val="661"/>
          <w:jc w:val="center"/>
        </w:trPr>
        <w:tc>
          <w:tcPr>
            <w:tcW w:w="1987" w:type="dxa"/>
            <w:tcBorders>
              <w:top w:val="nil"/>
              <w:left w:val="single" w:sz="8" w:space="0" w:color="auto"/>
              <w:bottom w:val="single" w:sz="4" w:space="0" w:color="auto"/>
              <w:right w:val="single" w:sz="8" w:space="0" w:color="auto"/>
            </w:tcBorders>
            <w:shd w:val="clear" w:color="auto" w:fill="auto"/>
            <w:noWrap/>
            <w:vAlign w:val="bottom"/>
          </w:tcPr>
          <w:p w:rsidR="00C85043" w:rsidRPr="0074587B" w:rsidRDefault="00C85043" w:rsidP="00C85043">
            <w:pPr>
              <w:spacing w:before="40" w:after="40"/>
              <w:rPr>
                <w:rFonts w:cs="Arial"/>
                <w:color w:val="000000"/>
                <w:sz w:val="16"/>
                <w:szCs w:val="16"/>
                <w:lang w:val="ru-RU"/>
              </w:rPr>
            </w:pPr>
            <w:r>
              <w:rPr>
                <w:rFonts w:cs="Arial"/>
                <w:color w:val="000000"/>
                <w:sz w:val="16"/>
                <w:szCs w:val="16"/>
                <w:lang w:val="ru-RU"/>
              </w:rPr>
              <w:t>Оценка</w:t>
            </w:r>
            <w:r w:rsidRPr="0074587B">
              <w:rPr>
                <w:rFonts w:cs="Arial"/>
                <w:color w:val="000000"/>
                <w:sz w:val="16"/>
                <w:szCs w:val="16"/>
                <w:lang w:val="ru-RU"/>
              </w:rPr>
              <w:t xml:space="preserve"> текущ</w:t>
            </w:r>
            <w:r>
              <w:rPr>
                <w:rFonts w:cs="Arial"/>
                <w:color w:val="000000"/>
                <w:sz w:val="16"/>
                <w:szCs w:val="16"/>
                <w:lang w:val="ru-RU"/>
              </w:rPr>
              <w:t>ей</w:t>
            </w:r>
            <w:r w:rsidRPr="0074587B">
              <w:rPr>
                <w:rFonts w:cs="Arial"/>
                <w:color w:val="000000"/>
                <w:sz w:val="16"/>
                <w:szCs w:val="16"/>
                <w:lang w:val="ru-RU"/>
              </w:rPr>
              <w:t xml:space="preserve"> ситуаци</w:t>
            </w:r>
            <w:r>
              <w:rPr>
                <w:rFonts w:cs="Arial"/>
                <w:color w:val="000000"/>
                <w:sz w:val="16"/>
                <w:szCs w:val="16"/>
                <w:lang w:val="ru-RU"/>
              </w:rPr>
              <w:t xml:space="preserve">и </w:t>
            </w:r>
            <w:r w:rsidRPr="0074587B">
              <w:rPr>
                <w:rFonts w:cs="Arial"/>
                <w:color w:val="000000"/>
                <w:sz w:val="16"/>
                <w:szCs w:val="16"/>
                <w:lang w:val="ru-RU"/>
              </w:rPr>
              <w:t>и разработк</w:t>
            </w:r>
            <w:r>
              <w:rPr>
                <w:rFonts w:cs="Arial"/>
                <w:color w:val="000000"/>
                <w:sz w:val="16"/>
                <w:szCs w:val="16"/>
                <w:lang w:val="ru-RU"/>
              </w:rPr>
              <w:t>а базовой архитектуры</w:t>
            </w:r>
            <w:r w:rsidRPr="0074587B">
              <w:rPr>
                <w:rFonts w:cs="Arial"/>
                <w:color w:val="000000"/>
                <w:sz w:val="16"/>
                <w:szCs w:val="16"/>
                <w:lang w:val="ru-RU"/>
              </w:rPr>
              <w:t xml:space="preserve"> и </w:t>
            </w:r>
            <w:r>
              <w:rPr>
                <w:rFonts w:cs="Arial"/>
                <w:color w:val="000000"/>
                <w:sz w:val="16"/>
                <w:szCs w:val="16"/>
                <w:lang w:val="ru-RU"/>
              </w:rPr>
              <w:t xml:space="preserve">дорожной карты </w:t>
            </w:r>
            <w:r w:rsidRPr="0074587B">
              <w:rPr>
                <w:rFonts w:cs="Arial"/>
                <w:color w:val="000000"/>
                <w:sz w:val="16"/>
                <w:szCs w:val="16"/>
                <w:lang w:val="ru-RU"/>
              </w:rPr>
              <w:t>реализаци</w:t>
            </w:r>
            <w:r>
              <w:rPr>
                <w:rFonts w:cs="Arial"/>
                <w:color w:val="000000"/>
                <w:sz w:val="16"/>
                <w:szCs w:val="16"/>
                <w:lang w:val="ru-RU"/>
              </w:rPr>
              <w:t>и</w:t>
            </w:r>
          </w:p>
        </w:tc>
        <w:tc>
          <w:tcPr>
            <w:tcW w:w="518" w:type="dxa"/>
            <w:tcBorders>
              <w:top w:val="nil"/>
              <w:left w:val="nil"/>
              <w:bottom w:val="single" w:sz="4" w:space="0" w:color="auto"/>
              <w:right w:val="single" w:sz="4" w:space="0" w:color="auto"/>
            </w:tcBorders>
            <w:shd w:val="clear" w:color="auto" w:fill="auto"/>
            <w:noWrap/>
            <w:vAlign w:val="bottom"/>
          </w:tcPr>
          <w:p w:rsidR="00C85043" w:rsidRPr="0074587B" w:rsidRDefault="00C85043" w:rsidP="00C85043">
            <w:pPr>
              <w:spacing w:before="40" w:after="40"/>
              <w:rPr>
                <w:rFonts w:cs="Arial"/>
                <w:color w:val="000000"/>
                <w:sz w:val="16"/>
                <w:szCs w:val="16"/>
                <w:lang w:val="ru-RU"/>
              </w:rPr>
            </w:pPr>
          </w:p>
        </w:tc>
        <w:tc>
          <w:tcPr>
            <w:tcW w:w="518" w:type="dxa"/>
            <w:tcBorders>
              <w:top w:val="nil"/>
              <w:left w:val="nil"/>
              <w:bottom w:val="single" w:sz="4" w:space="0" w:color="auto"/>
              <w:right w:val="single" w:sz="4" w:space="0" w:color="auto"/>
            </w:tcBorders>
            <w:shd w:val="clear" w:color="auto" w:fill="auto"/>
            <w:noWrap/>
            <w:vAlign w:val="bottom"/>
          </w:tcPr>
          <w:p w:rsidR="00C85043" w:rsidRPr="0074587B" w:rsidRDefault="00C85043" w:rsidP="00C85043">
            <w:pPr>
              <w:spacing w:before="40" w:after="40"/>
              <w:rPr>
                <w:rFonts w:cs="Arial"/>
                <w:color w:val="000000"/>
                <w:sz w:val="16"/>
                <w:szCs w:val="16"/>
                <w:lang w:val="ru-RU"/>
              </w:rPr>
            </w:pPr>
          </w:p>
        </w:tc>
        <w:tc>
          <w:tcPr>
            <w:tcW w:w="518" w:type="dxa"/>
            <w:tcBorders>
              <w:top w:val="nil"/>
              <w:left w:val="nil"/>
              <w:bottom w:val="single" w:sz="4" w:space="0" w:color="auto"/>
              <w:right w:val="single" w:sz="4" w:space="0" w:color="auto"/>
            </w:tcBorders>
            <w:shd w:val="clear" w:color="auto" w:fill="auto"/>
            <w:noWrap/>
            <w:vAlign w:val="bottom"/>
          </w:tcPr>
          <w:p w:rsidR="00C85043" w:rsidRPr="0074587B" w:rsidRDefault="00C85043" w:rsidP="00C85043">
            <w:pPr>
              <w:spacing w:before="40" w:after="40"/>
              <w:rPr>
                <w:rFonts w:cs="Arial"/>
                <w:color w:val="000000"/>
                <w:sz w:val="16"/>
                <w:szCs w:val="16"/>
                <w:lang w:val="ru-RU"/>
              </w:rPr>
            </w:pPr>
          </w:p>
        </w:tc>
        <w:tc>
          <w:tcPr>
            <w:tcW w:w="51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r>
              <w:rPr>
                <w:rFonts w:cs="Arial"/>
                <w:color w:val="000000"/>
                <w:sz w:val="16"/>
                <w:szCs w:val="16"/>
              </w:rPr>
              <w:t>X</w:t>
            </w:r>
          </w:p>
        </w:tc>
        <w:tc>
          <w:tcPr>
            <w:tcW w:w="571"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r>
              <w:rPr>
                <w:rFonts w:cs="Arial"/>
                <w:color w:val="000000"/>
                <w:sz w:val="16"/>
                <w:szCs w:val="16"/>
              </w:rPr>
              <w:t>X</w:t>
            </w:r>
          </w:p>
        </w:tc>
        <w:tc>
          <w:tcPr>
            <w:tcW w:w="572"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r>
              <w:rPr>
                <w:rFonts w:cs="Arial"/>
                <w:color w:val="000000"/>
                <w:sz w:val="16"/>
                <w:szCs w:val="16"/>
              </w:rPr>
              <w:t>X</w:t>
            </w:r>
          </w:p>
        </w:tc>
        <w:tc>
          <w:tcPr>
            <w:tcW w:w="572"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p>
        </w:tc>
        <w:tc>
          <w:tcPr>
            <w:tcW w:w="572"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p>
        </w:tc>
        <w:tc>
          <w:tcPr>
            <w:tcW w:w="51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p>
        </w:tc>
        <w:tc>
          <w:tcPr>
            <w:tcW w:w="51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p>
        </w:tc>
        <w:tc>
          <w:tcPr>
            <w:tcW w:w="51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p>
        </w:tc>
        <w:tc>
          <w:tcPr>
            <w:tcW w:w="51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p>
        </w:tc>
      </w:tr>
      <w:tr w:rsidR="00C85043" w:rsidRPr="00656CC0" w:rsidTr="00C85043">
        <w:trPr>
          <w:gridAfter w:val="1"/>
          <w:wAfter w:w="6" w:type="dxa"/>
          <w:trHeight w:val="661"/>
          <w:jc w:val="center"/>
        </w:trPr>
        <w:tc>
          <w:tcPr>
            <w:tcW w:w="1987" w:type="dxa"/>
            <w:tcBorders>
              <w:top w:val="nil"/>
              <w:left w:val="single" w:sz="8" w:space="0" w:color="auto"/>
              <w:bottom w:val="single" w:sz="4" w:space="0" w:color="auto"/>
              <w:right w:val="single" w:sz="8" w:space="0" w:color="auto"/>
            </w:tcBorders>
            <w:shd w:val="clear" w:color="auto" w:fill="auto"/>
            <w:noWrap/>
            <w:vAlign w:val="center"/>
          </w:tcPr>
          <w:p w:rsidR="00C85043" w:rsidRPr="00D42476" w:rsidRDefault="00C85043" w:rsidP="00C85043">
            <w:pPr>
              <w:spacing w:before="40" w:after="40"/>
              <w:rPr>
                <w:lang w:val="ru-RU"/>
              </w:rPr>
            </w:pPr>
            <w:r w:rsidRPr="000447E0">
              <w:rPr>
                <w:sz w:val="16"/>
                <w:szCs w:val="16"/>
                <w:lang w:val="ru-RU"/>
              </w:rPr>
              <w:t>Приоритет</w:t>
            </w:r>
            <w:r>
              <w:rPr>
                <w:sz w:val="16"/>
                <w:szCs w:val="16"/>
                <w:lang w:val="ru-RU"/>
              </w:rPr>
              <w:t xml:space="preserve">ное </w:t>
            </w:r>
            <w:r w:rsidRPr="00052965">
              <w:rPr>
                <w:sz w:val="16"/>
                <w:szCs w:val="16"/>
                <w:lang w:val="ru-RU"/>
              </w:rPr>
              <w:t>выполнени</w:t>
            </w:r>
            <w:r>
              <w:rPr>
                <w:sz w:val="16"/>
                <w:szCs w:val="16"/>
                <w:lang w:val="ru-RU"/>
              </w:rPr>
              <w:t xml:space="preserve">е </w:t>
            </w:r>
            <w:r w:rsidRPr="000447E0">
              <w:rPr>
                <w:sz w:val="16"/>
                <w:szCs w:val="16"/>
                <w:lang w:val="ru-RU"/>
              </w:rPr>
              <w:t>дорожн</w:t>
            </w:r>
            <w:r>
              <w:rPr>
                <w:sz w:val="16"/>
                <w:szCs w:val="16"/>
                <w:lang w:val="ru-RU"/>
              </w:rPr>
              <w:t>ой</w:t>
            </w:r>
            <w:r w:rsidRPr="00D42476">
              <w:rPr>
                <w:sz w:val="16"/>
                <w:szCs w:val="16"/>
                <w:lang w:val="ru-RU"/>
              </w:rPr>
              <w:t xml:space="preserve"> </w:t>
            </w:r>
            <w:r>
              <w:rPr>
                <w:sz w:val="16"/>
                <w:szCs w:val="16"/>
                <w:lang w:val="ru-RU"/>
              </w:rPr>
              <w:t>карты</w:t>
            </w:r>
            <w:r w:rsidRPr="00D42476">
              <w:rPr>
                <w:sz w:val="16"/>
                <w:szCs w:val="16"/>
                <w:lang w:val="ru-RU"/>
              </w:rPr>
              <w:t xml:space="preserve"> </w:t>
            </w:r>
            <w:r w:rsidRPr="00052965">
              <w:rPr>
                <w:sz w:val="16"/>
                <w:szCs w:val="16"/>
                <w:lang w:val="ru-RU"/>
              </w:rPr>
              <w:t>реализаци</w:t>
            </w:r>
            <w:r>
              <w:rPr>
                <w:sz w:val="16"/>
                <w:szCs w:val="16"/>
                <w:lang w:val="ru-RU"/>
              </w:rPr>
              <w:t xml:space="preserve">и модулей </w:t>
            </w:r>
            <w:r>
              <w:rPr>
                <w:sz w:val="16"/>
                <w:szCs w:val="16"/>
              </w:rPr>
              <w:t>IAM</w:t>
            </w:r>
            <w:r w:rsidRPr="00D42476">
              <w:rPr>
                <w:sz w:val="16"/>
                <w:szCs w:val="16"/>
                <w:lang w:val="ru-RU"/>
              </w:rPr>
              <w:t xml:space="preserve"> </w:t>
            </w:r>
            <w:r w:rsidRPr="000447E0">
              <w:rPr>
                <w:sz w:val="16"/>
                <w:szCs w:val="16"/>
                <w:lang w:val="ru-RU"/>
              </w:rPr>
              <w:t>и</w:t>
            </w:r>
            <w:r w:rsidRPr="00D42476">
              <w:rPr>
                <w:sz w:val="16"/>
                <w:szCs w:val="16"/>
                <w:lang w:val="ru-RU"/>
              </w:rPr>
              <w:t xml:space="preserve"> </w:t>
            </w:r>
            <w:r w:rsidRPr="000447E0">
              <w:rPr>
                <w:sz w:val="16"/>
                <w:szCs w:val="16"/>
                <w:lang w:val="ru-RU"/>
              </w:rPr>
              <w:t>шифрования</w:t>
            </w:r>
            <w:r w:rsidRPr="00D42476">
              <w:rPr>
                <w:sz w:val="16"/>
                <w:szCs w:val="16"/>
                <w:lang w:val="ru-RU"/>
              </w:rPr>
              <w:t xml:space="preserve"> </w:t>
            </w:r>
            <w:r w:rsidRPr="000447E0">
              <w:rPr>
                <w:sz w:val="16"/>
                <w:szCs w:val="16"/>
                <w:lang w:val="ru-RU"/>
              </w:rPr>
              <w:t>данных</w:t>
            </w:r>
            <w:r w:rsidRPr="00D42476">
              <w:rPr>
                <w:sz w:val="16"/>
                <w:szCs w:val="16"/>
                <w:lang w:val="ru-RU"/>
              </w:rPr>
              <w:t xml:space="preserve"> </w:t>
            </w:r>
            <w:r w:rsidRPr="000447E0">
              <w:rPr>
                <w:sz w:val="16"/>
                <w:szCs w:val="16"/>
                <w:lang w:val="ru-RU"/>
              </w:rPr>
              <w:t>и</w:t>
            </w:r>
            <w:r w:rsidRPr="00D42476">
              <w:rPr>
                <w:sz w:val="16"/>
                <w:szCs w:val="16"/>
                <w:lang w:val="ru-RU"/>
              </w:rPr>
              <w:t xml:space="preserve"> </w:t>
            </w:r>
            <w:r w:rsidRPr="000447E0">
              <w:rPr>
                <w:sz w:val="16"/>
                <w:szCs w:val="16"/>
                <w:lang w:val="ru-RU"/>
              </w:rPr>
              <w:t>разработк</w:t>
            </w:r>
            <w:r>
              <w:rPr>
                <w:sz w:val="16"/>
                <w:szCs w:val="16"/>
                <w:lang w:val="ru-RU"/>
              </w:rPr>
              <w:t>а</w:t>
            </w:r>
            <w:r w:rsidRPr="00D42476">
              <w:rPr>
                <w:sz w:val="16"/>
                <w:szCs w:val="16"/>
                <w:lang w:val="ru-RU"/>
              </w:rPr>
              <w:t xml:space="preserve"> </w:t>
            </w:r>
            <w:r>
              <w:rPr>
                <w:sz w:val="16"/>
                <w:szCs w:val="16"/>
                <w:lang w:val="ru-RU"/>
              </w:rPr>
              <w:t>сценариев</w:t>
            </w:r>
            <w:r w:rsidRPr="00D42476">
              <w:rPr>
                <w:sz w:val="16"/>
                <w:szCs w:val="16"/>
                <w:lang w:val="ru-RU"/>
              </w:rPr>
              <w:t xml:space="preserve"> </w:t>
            </w:r>
            <w:r w:rsidRPr="000447E0">
              <w:rPr>
                <w:sz w:val="16"/>
                <w:szCs w:val="16"/>
                <w:lang w:val="ru-RU"/>
              </w:rPr>
              <w:t>использования</w:t>
            </w:r>
            <w:r w:rsidRPr="00D42476">
              <w:rPr>
                <w:sz w:val="16"/>
                <w:szCs w:val="16"/>
                <w:lang w:val="ru-RU"/>
              </w:rPr>
              <w:t xml:space="preserve"> </w:t>
            </w:r>
            <w:r w:rsidRPr="000447E0">
              <w:rPr>
                <w:sz w:val="16"/>
                <w:szCs w:val="16"/>
                <w:lang w:val="ru-RU"/>
              </w:rPr>
              <w:t>систем</w:t>
            </w:r>
            <w:r w:rsidRPr="00D42476">
              <w:rPr>
                <w:sz w:val="16"/>
                <w:szCs w:val="16"/>
                <w:lang w:val="ru-RU"/>
              </w:rPr>
              <w:t xml:space="preserve"> </w:t>
            </w:r>
          </w:p>
        </w:tc>
        <w:tc>
          <w:tcPr>
            <w:tcW w:w="518" w:type="dxa"/>
            <w:tcBorders>
              <w:top w:val="nil"/>
              <w:left w:val="nil"/>
              <w:bottom w:val="single" w:sz="4" w:space="0" w:color="auto"/>
              <w:right w:val="single" w:sz="4" w:space="0" w:color="auto"/>
            </w:tcBorders>
            <w:shd w:val="clear" w:color="auto" w:fill="auto"/>
            <w:noWrap/>
            <w:vAlign w:val="bottom"/>
          </w:tcPr>
          <w:p w:rsidR="00C85043" w:rsidRPr="0074587B" w:rsidRDefault="00C85043" w:rsidP="00C85043">
            <w:pPr>
              <w:spacing w:before="40" w:after="40"/>
              <w:rPr>
                <w:rFonts w:cs="Arial"/>
                <w:color w:val="000000"/>
                <w:sz w:val="16"/>
                <w:szCs w:val="16"/>
                <w:lang w:val="ru-RU"/>
              </w:rPr>
            </w:pPr>
          </w:p>
        </w:tc>
        <w:tc>
          <w:tcPr>
            <w:tcW w:w="518" w:type="dxa"/>
            <w:tcBorders>
              <w:top w:val="nil"/>
              <w:left w:val="nil"/>
              <w:bottom w:val="single" w:sz="4" w:space="0" w:color="auto"/>
              <w:right w:val="single" w:sz="4" w:space="0" w:color="auto"/>
            </w:tcBorders>
            <w:shd w:val="clear" w:color="auto" w:fill="auto"/>
            <w:noWrap/>
            <w:vAlign w:val="bottom"/>
          </w:tcPr>
          <w:p w:rsidR="00C85043" w:rsidRPr="0074587B" w:rsidRDefault="00C85043" w:rsidP="00C85043">
            <w:pPr>
              <w:spacing w:before="40" w:after="40"/>
              <w:rPr>
                <w:rFonts w:cs="Arial"/>
                <w:color w:val="000000"/>
                <w:sz w:val="16"/>
                <w:szCs w:val="16"/>
                <w:lang w:val="ru-RU"/>
              </w:rPr>
            </w:pPr>
          </w:p>
        </w:tc>
        <w:tc>
          <w:tcPr>
            <w:tcW w:w="518" w:type="dxa"/>
            <w:tcBorders>
              <w:top w:val="nil"/>
              <w:left w:val="nil"/>
              <w:bottom w:val="single" w:sz="4" w:space="0" w:color="auto"/>
              <w:right w:val="single" w:sz="4" w:space="0" w:color="auto"/>
            </w:tcBorders>
            <w:shd w:val="clear" w:color="auto" w:fill="auto"/>
            <w:noWrap/>
            <w:vAlign w:val="bottom"/>
          </w:tcPr>
          <w:p w:rsidR="00C85043" w:rsidRPr="0074587B" w:rsidRDefault="00C85043" w:rsidP="00C85043">
            <w:pPr>
              <w:spacing w:before="40" w:after="40"/>
              <w:rPr>
                <w:rFonts w:cs="Arial"/>
                <w:color w:val="000000"/>
                <w:sz w:val="16"/>
                <w:szCs w:val="16"/>
                <w:lang w:val="ru-RU"/>
              </w:rPr>
            </w:pPr>
          </w:p>
        </w:tc>
        <w:tc>
          <w:tcPr>
            <w:tcW w:w="518" w:type="dxa"/>
            <w:tcBorders>
              <w:top w:val="nil"/>
              <w:left w:val="nil"/>
              <w:bottom w:val="single" w:sz="4" w:space="0" w:color="auto"/>
              <w:right w:val="single" w:sz="8" w:space="0" w:color="auto"/>
            </w:tcBorders>
            <w:shd w:val="clear" w:color="auto" w:fill="auto"/>
            <w:noWrap/>
            <w:vAlign w:val="center"/>
          </w:tcPr>
          <w:p w:rsidR="00C85043" w:rsidRPr="0074587B" w:rsidRDefault="00C85043" w:rsidP="00C85043">
            <w:pPr>
              <w:spacing w:before="40" w:after="40"/>
              <w:jc w:val="center"/>
              <w:rPr>
                <w:rFonts w:cs="Arial"/>
                <w:color w:val="000000"/>
                <w:sz w:val="16"/>
                <w:szCs w:val="16"/>
                <w:lang w:val="ru-RU"/>
              </w:rPr>
            </w:pPr>
          </w:p>
        </w:tc>
        <w:tc>
          <w:tcPr>
            <w:tcW w:w="571" w:type="dxa"/>
            <w:tcBorders>
              <w:top w:val="nil"/>
              <w:left w:val="nil"/>
              <w:bottom w:val="single" w:sz="4" w:space="0" w:color="auto"/>
              <w:right w:val="single" w:sz="4" w:space="0" w:color="auto"/>
            </w:tcBorders>
            <w:shd w:val="clear" w:color="auto" w:fill="auto"/>
            <w:noWrap/>
            <w:vAlign w:val="center"/>
          </w:tcPr>
          <w:p w:rsidR="00C85043" w:rsidRPr="0074587B" w:rsidRDefault="00C85043" w:rsidP="00C85043">
            <w:pPr>
              <w:spacing w:before="40" w:after="40"/>
              <w:jc w:val="center"/>
              <w:rPr>
                <w:rFonts w:cs="Arial"/>
                <w:color w:val="000000"/>
                <w:sz w:val="16"/>
                <w:szCs w:val="16"/>
                <w:lang w:val="ru-RU"/>
              </w:rPr>
            </w:pPr>
          </w:p>
        </w:tc>
        <w:tc>
          <w:tcPr>
            <w:tcW w:w="572" w:type="dxa"/>
            <w:tcBorders>
              <w:top w:val="nil"/>
              <w:left w:val="nil"/>
              <w:bottom w:val="single" w:sz="4" w:space="0" w:color="auto"/>
              <w:right w:val="single" w:sz="4" w:space="0" w:color="auto"/>
            </w:tcBorders>
            <w:shd w:val="clear" w:color="auto" w:fill="auto"/>
            <w:noWrap/>
            <w:vAlign w:val="center"/>
          </w:tcPr>
          <w:p w:rsidR="00C85043" w:rsidRPr="0074587B" w:rsidRDefault="00C85043" w:rsidP="00C85043">
            <w:pPr>
              <w:spacing w:before="40" w:after="40"/>
              <w:jc w:val="center"/>
              <w:rPr>
                <w:rFonts w:cs="Arial"/>
                <w:color w:val="000000"/>
                <w:sz w:val="16"/>
                <w:szCs w:val="16"/>
                <w:lang w:val="ru-RU"/>
              </w:rPr>
            </w:pPr>
          </w:p>
        </w:tc>
        <w:tc>
          <w:tcPr>
            <w:tcW w:w="572"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r>
              <w:rPr>
                <w:rFonts w:cs="Arial"/>
                <w:color w:val="000000"/>
                <w:sz w:val="16"/>
                <w:szCs w:val="16"/>
              </w:rPr>
              <w:t>X</w:t>
            </w:r>
          </w:p>
        </w:tc>
        <w:tc>
          <w:tcPr>
            <w:tcW w:w="572"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r>
              <w:rPr>
                <w:rFonts w:cs="Arial"/>
                <w:color w:val="000000"/>
                <w:sz w:val="16"/>
                <w:szCs w:val="16"/>
              </w:rPr>
              <w:t>X</w:t>
            </w:r>
          </w:p>
        </w:tc>
        <w:tc>
          <w:tcPr>
            <w:tcW w:w="51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r>
              <w:rPr>
                <w:rFonts w:cs="Arial"/>
                <w:color w:val="000000"/>
                <w:sz w:val="16"/>
                <w:szCs w:val="16"/>
              </w:rPr>
              <w:t>X</w:t>
            </w:r>
          </w:p>
        </w:tc>
        <w:tc>
          <w:tcPr>
            <w:tcW w:w="51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r>
              <w:rPr>
                <w:rFonts w:cs="Arial"/>
                <w:color w:val="000000"/>
                <w:sz w:val="16"/>
                <w:szCs w:val="16"/>
              </w:rPr>
              <w:t>X</w:t>
            </w:r>
          </w:p>
        </w:tc>
        <w:tc>
          <w:tcPr>
            <w:tcW w:w="51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r>
              <w:rPr>
                <w:rFonts w:cs="Arial"/>
                <w:color w:val="000000"/>
                <w:sz w:val="16"/>
                <w:szCs w:val="16"/>
              </w:rPr>
              <w:t>X</w:t>
            </w:r>
          </w:p>
        </w:tc>
        <w:tc>
          <w:tcPr>
            <w:tcW w:w="51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spacing w:before="40" w:after="40"/>
              <w:jc w:val="center"/>
              <w:rPr>
                <w:rFonts w:cs="Arial"/>
                <w:color w:val="000000"/>
                <w:sz w:val="16"/>
                <w:szCs w:val="16"/>
              </w:rPr>
            </w:pPr>
            <w:r>
              <w:rPr>
                <w:rFonts w:cs="Arial"/>
                <w:color w:val="000000"/>
                <w:sz w:val="16"/>
                <w:szCs w:val="16"/>
              </w:rPr>
              <w:t>X</w:t>
            </w:r>
          </w:p>
        </w:tc>
      </w:tr>
    </w:tbl>
    <w:p w:rsidR="00C85043" w:rsidRDefault="00C85043" w:rsidP="00C85043"/>
    <w:p w:rsidR="00C85043" w:rsidRDefault="00C85043" w:rsidP="00C85043"/>
    <w:p w:rsidR="00EB5F29" w:rsidRDefault="00EB5F29">
      <w:pPr>
        <w:rPr>
          <w:rFonts w:cs="Arial"/>
          <w:b/>
          <w:sz w:val="22"/>
          <w:szCs w:val="20"/>
        </w:rPr>
      </w:pPr>
      <w:r>
        <w:rPr>
          <w:rFonts w:cs="Arial"/>
          <w:b/>
          <w:sz w:val="22"/>
          <w:szCs w:val="20"/>
        </w:rPr>
        <w:br w:type="page"/>
      </w:r>
    </w:p>
    <w:p w:rsidR="00C85043" w:rsidRPr="00225BFF" w:rsidRDefault="00C85043" w:rsidP="00C85043">
      <w:pPr>
        <w:rPr>
          <w:rFonts w:cs="Arial"/>
          <w:b/>
          <w:sz w:val="22"/>
          <w:szCs w:val="20"/>
        </w:rPr>
      </w:pPr>
      <w:r w:rsidRPr="00EC516A">
        <w:rPr>
          <w:rFonts w:cs="Arial"/>
          <w:b/>
          <w:sz w:val="22"/>
          <w:szCs w:val="20"/>
        </w:rPr>
        <w:t>ПРОЕКТЫ В ОБЛАСТИ ИКТ</w:t>
      </w:r>
    </w:p>
    <w:p w:rsidR="00C85043" w:rsidRPr="00894098" w:rsidRDefault="00C85043" w:rsidP="00C85043"/>
    <w:p w:rsidR="00C85043" w:rsidRPr="002521BC" w:rsidRDefault="00C85043" w:rsidP="00C85043">
      <w:pPr>
        <w:pStyle w:val="StyleHeading3BoldNounderline"/>
        <w:spacing w:before="0" w:after="0"/>
        <w:rPr>
          <w:b/>
          <w:sz w:val="20"/>
          <w:szCs w:val="20"/>
          <w:lang w:val="ru-RU"/>
        </w:rPr>
      </w:pPr>
      <w:bookmarkStart w:id="147" w:name="_Toc422210524"/>
      <w:bookmarkStart w:id="148" w:name="_Toc455388147"/>
      <w:r w:rsidRPr="00EC516A">
        <w:rPr>
          <w:b/>
          <w:sz w:val="20"/>
          <w:szCs w:val="20"/>
          <w:lang w:val="ru-RU"/>
        </w:rPr>
        <w:t>ПРОЕКТ</w:t>
      </w:r>
      <w:r w:rsidRPr="002521BC">
        <w:rPr>
          <w:b/>
          <w:sz w:val="20"/>
          <w:szCs w:val="20"/>
          <w:lang w:val="ru-RU"/>
        </w:rPr>
        <w:t xml:space="preserve"> 2</w:t>
      </w:r>
      <w:r w:rsidRPr="002521BC">
        <w:rPr>
          <w:b/>
          <w:sz w:val="20"/>
          <w:szCs w:val="20"/>
          <w:lang w:val="ru-RU"/>
        </w:rPr>
        <w:tab/>
      </w:r>
      <w:r w:rsidRPr="00EC516A">
        <w:rPr>
          <w:b/>
          <w:sz w:val="20"/>
          <w:szCs w:val="20"/>
          <w:lang w:val="ru-RU"/>
        </w:rPr>
        <w:t>РЕАЛИЗАЦИ</w:t>
      </w:r>
      <w:r>
        <w:rPr>
          <w:b/>
          <w:sz w:val="20"/>
          <w:szCs w:val="20"/>
          <w:lang w:val="ru-RU"/>
        </w:rPr>
        <w:t xml:space="preserve">Я </w:t>
      </w:r>
      <w:r w:rsidRPr="00EC516A">
        <w:rPr>
          <w:b/>
          <w:sz w:val="20"/>
          <w:szCs w:val="20"/>
          <w:lang w:val="ru-RU"/>
        </w:rPr>
        <w:t>СИСТЕМ</w:t>
      </w:r>
      <w:r>
        <w:rPr>
          <w:b/>
          <w:sz w:val="20"/>
          <w:szCs w:val="20"/>
          <w:lang w:val="ru-RU"/>
        </w:rPr>
        <w:t xml:space="preserve">Ы </w:t>
      </w:r>
      <w:r w:rsidRPr="002521BC">
        <w:rPr>
          <w:b/>
          <w:sz w:val="20"/>
          <w:szCs w:val="20"/>
          <w:lang w:val="ru-RU"/>
        </w:rPr>
        <w:t>УПРАВЛЕНИ</w:t>
      </w:r>
      <w:r>
        <w:rPr>
          <w:b/>
          <w:sz w:val="20"/>
          <w:szCs w:val="20"/>
          <w:lang w:val="ru-RU"/>
        </w:rPr>
        <w:t>Я</w:t>
      </w:r>
      <w:r w:rsidRPr="002521BC">
        <w:rPr>
          <w:b/>
          <w:sz w:val="20"/>
          <w:szCs w:val="20"/>
          <w:lang w:val="ru-RU"/>
        </w:rPr>
        <w:t xml:space="preserve"> ОБЩЕОРГАНИЗАЦИОННЫМ ИНФОРМАЦИОННЫМ КОНТЕНТОМ (УОИК) (ГПКР</w:t>
      </w:r>
      <w:r>
        <w:rPr>
          <w:b/>
          <w:sz w:val="20"/>
          <w:szCs w:val="20"/>
          <w:lang w:val="ru-RU"/>
        </w:rPr>
        <w:t>-</w:t>
      </w:r>
      <w:r w:rsidRPr="002521BC">
        <w:rPr>
          <w:b/>
          <w:sz w:val="20"/>
          <w:szCs w:val="20"/>
          <w:lang w:val="ru-RU"/>
        </w:rPr>
        <w:t>2)</w:t>
      </w:r>
      <w:bookmarkEnd w:id="147"/>
      <w:bookmarkEnd w:id="148"/>
    </w:p>
    <w:p w:rsidR="00C85043" w:rsidRPr="002521BC" w:rsidRDefault="00C85043" w:rsidP="00C85043">
      <w:pPr>
        <w:rPr>
          <w:rFonts w:cs="Arial"/>
          <w:b/>
          <w:szCs w:val="20"/>
          <w:lang w:val="ru-RU"/>
        </w:rPr>
      </w:pPr>
    </w:p>
    <w:p w:rsidR="00C85043" w:rsidRPr="00D071C8" w:rsidRDefault="00C85043" w:rsidP="00C85043">
      <w:pPr>
        <w:rPr>
          <w:rFonts w:cs="Arial"/>
          <w:b/>
          <w:szCs w:val="20"/>
          <w:lang w:val="ru-RU"/>
        </w:rPr>
      </w:pPr>
      <w:r w:rsidRPr="00D071C8">
        <w:rPr>
          <w:rFonts w:cs="Arial"/>
          <w:b/>
          <w:szCs w:val="20"/>
          <w:lang w:val="ru-RU"/>
        </w:rPr>
        <w:t>Руководитель проекта</w:t>
      </w:r>
      <w:r w:rsidRPr="00D071C8">
        <w:rPr>
          <w:rFonts w:cs="Arial"/>
          <w:b/>
          <w:szCs w:val="20"/>
          <w:lang w:val="ru-RU"/>
        </w:rPr>
        <w:tab/>
      </w:r>
      <w:r>
        <w:rPr>
          <w:rFonts w:cs="Arial"/>
          <w:b/>
          <w:szCs w:val="20"/>
          <w:lang w:val="ru-RU"/>
        </w:rPr>
        <w:t>Дж. Бивер</w:t>
      </w:r>
    </w:p>
    <w:p w:rsidR="00C85043" w:rsidRPr="00D071C8" w:rsidRDefault="00C85043" w:rsidP="00C85043">
      <w:pPr>
        <w:rPr>
          <w:rFonts w:cs="Arial"/>
          <w:b/>
          <w:szCs w:val="20"/>
          <w:lang w:val="ru-RU"/>
        </w:rPr>
      </w:pPr>
    </w:p>
    <w:p w:rsidR="00C85043" w:rsidRPr="00D071C8" w:rsidRDefault="00C85043" w:rsidP="00C85043">
      <w:pPr>
        <w:rPr>
          <w:rFonts w:cs="Arial"/>
          <w:b/>
          <w:szCs w:val="20"/>
          <w:lang w:val="ru-RU"/>
        </w:rPr>
      </w:pPr>
    </w:p>
    <w:p w:rsidR="00C85043" w:rsidRPr="00EC516A" w:rsidRDefault="00C85043" w:rsidP="00C85043">
      <w:pPr>
        <w:rPr>
          <w:rFonts w:cs="Arial"/>
          <w:bCs/>
          <w:szCs w:val="20"/>
          <w:lang w:val="ru-RU"/>
        </w:rPr>
      </w:pPr>
      <w:r w:rsidRPr="00EC516A">
        <w:rPr>
          <w:rFonts w:cs="Arial"/>
          <w:bCs/>
          <w:szCs w:val="20"/>
          <w:lang w:val="ru-RU"/>
        </w:rPr>
        <w:t>ОЖИДАЕМЫЕ РЕЗУЛЬТАТЫ</w:t>
      </w:r>
    </w:p>
    <w:p w:rsidR="00C85043" w:rsidRPr="00EC516A" w:rsidRDefault="00C85043" w:rsidP="00C85043">
      <w:pPr>
        <w:rPr>
          <w:rFonts w:cs="Arial"/>
          <w:bCs/>
          <w:szCs w:val="20"/>
          <w:lang w:val="ru-RU"/>
        </w:rPr>
      </w:pPr>
    </w:p>
    <w:p w:rsidR="00C85043" w:rsidRPr="00EC516A" w:rsidRDefault="00C85043" w:rsidP="00C85043">
      <w:pPr>
        <w:rPr>
          <w:rFonts w:cs="Arial"/>
          <w:bCs/>
          <w:szCs w:val="20"/>
          <w:lang w:val="ru-RU"/>
        </w:rPr>
      </w:pPr>
      <w:r w:rsidRPr="00CC07E1">
        <w:rPr>
          <w:rFonts w:cs="Arial"/>
          <w:i/>
          <w:iCs/>
          <w:szCs w:val="20"/>
        </w:rPr>
        <w:t>IX</w:t>
      </w:r>
      <w:r w:rsidRPr="00EC516A">
        <w:rPr>
          <w:rFonts w:cs="Arial"/>
          <w:i/>
          <w:iCs/>
          <w:szCs w:val="20"/>
          <w:lang w:val="ru-RU"/>
        </w:rPr>
        <w:t xml:space="preserve">.2 </w:t>
      </w:r>
      <w:r w:rsidRPr="00D42476">
        <w:rPr>
          <w:rFonts w:cs="Arial"/>
          <w:i/>
          <w:iCs/>
          <w:szCs w:val="20"/>
          <w:lang w:val="ru-RU"/>
        </w:rPr>
        <w:t>Динамичный и слаженно функционирующий Секретариат с надлежащим образом управляемым и обладающим соответствующими навыками персоналом, который эффективно добивается результатов</w:t>
      </w:r>
    </w:p>
    <w:p w:rsidR="00C85043" w:rsidRPr="00EC516A" w:rsidRDefault="00C85043" w:rsidP="00C85043">
      <w:pPr>
        <w:rPr>
          <w:rFonts w:cs="Arial"/>
          <w:bCs/>
          <w:szCs w:val="20"/>
          <w:lang w:val="ru-RU"/>
        </w:rPr>
      </w:pPr>
    </w:p>
    <w:p w:rsidR="00C85043" w:rsidRPr="00EC516A" w:rsidRDefault="00C85043" w:rsidP="00C85043">
      <w:pPr>
        <w:rPr>
          <w:rFonts w:cs="Arial"/>
          <w:bCs/>
          <w:szCs w:val="20"/>
          <w:lang w:val="ru-RU"/>
        </w:rPr>
      </w:pPr>
    </w:p>
    <w:p w:rsidR="00C85043" w:rsidRPr="00EC516A" w:rsidRDefault="00C85043" w:rsidP="00C85043">
      <w:pPr>
        <w:rPr>
          <w:rFonts w:cs="Arial"/>
          <w:bCs/>
          <w:szCs w:val="20"/>
          <w:lang w:val="ru-RU"/>
        </w:rPr>
      </w:pPr>
      <w:r>
        <w:rPr>
          <w:rFonts w:cs="Arial"/>
          <w:bCs/>
          <w:szCs w:val="20"/>
          <w:lang w:val="ru-RU"/>
        </w:rPr>
        <w:t>ЦЕЛИ, ОБЪЕМ ЗАДАЧ И МЕТОДОЛОГИЯ: СПРАВОЧНАЯ ИНФОРМАЦИЯ</w:t>
      </w:r>
    </w:p>
    <w:p w:rsidR="00C85043" w:rsidRPr="00EC516A" w:rsidRDefault="00C85043" w:rsidP="00C85043">
      <w:pPr>
        <w:rPr>
          <w:rFonts w:cs="Arial"/>
          <w:bCs/>
          <w:szCs w:val="20"/>
          <w:lang w:val="ru-RU"/>
        </w:rPr>
      </w:pPr>
    </w:p>
    <w:p w:rsidR="00C85043" w:rsidRPr="00D42476" w:rsidRDefault="00C85043" w:rsidP="00BF61DC">
      <w:pPr>
        <w:pStyle w:val="ONUME"/>
        <w:numPr>
          <w:ilvl w:val="0"/>
          <w:numId w:val="110"/>
        </w:numPr>
        <w:tabs>
          <w:tab w:val="left" w:pos="567"/>
        </w:tabs>
        <w:ind w:left="0" w:firstLine="0"/>
        <w:jc w:val="both"/>
        <w:rPr>
          <w:iCs/>
          <w:lang w:val="ru-RU"/>
        </w:rPr>
      </w:pPr>
      <w:r w:rsidRPr="00D42476">
        <w:rPr>
          <w:iCs/>
          <w:lang w:val="ru-RU"/>
        </w:rPr>
        <w:t xml:space="preserve">Проект предусматривает создание центрального общеорганизационного хранилища документов.   Это позволит пользователям совместно работать над созданием документа, облегчит поиск информации и доступ к ней, а также осуществлять привязку документов к операциям в системе ПОР. </w:t>
      </w:r>
    </w:p>
    <w:p w:rsidR="00C85043" w:rsidRPr="00D42476" w:rsidRDefault="00C85043" w:rsidP="00BF61DC">
      <w:pPr>
        <w:pStyle w:val="ONUME"/>
        <w:numPr>
          <w:ilvl w:val="0"/>
          <w:numId w:val="110"/>
        </w:numPr>
        <w:tabs>
          <w:tab w:val="left" w:pos="567"/>
        </w:tabs>
        <w:ind w:left="0" w:firstLine="0"/>
        <w:jc w:val="both"/>
        <w:rPr>
          <w:iCs/>
          <w:lang w:val="ru-RU"/>
        </w:rPr>
      </w:pPr>
      <w:r w:rsidRPr="00D42476">
        <w:rPr>
          <w:iCs/>
          <w:lang w:val="ru-RU"/>
        </w:rPr>
        <w:t xml:space="preserve">При планировании проекта УОИК </w:t>
      </w:r>
      <w:r>
        <w:rPr>
          <w:iCs/>
          <w:lang w:val="ru-RU"/>
        </w:rPr>
        <w:t xml:space="preserve">поступило предложение об </w:t>
      </w:r>
      <w:r w:rsidRPr="00D42476">
        <w:rPr>
          <w:iCs/>
          <w:lang w:val="ru-RU"/>
        </w:rPr>
        <w:t>изме</w:t>
      </w:r>
      <w:r>
        <w:rPr>
          <w:iCs/>
          <w:lang w:val="ru-RU"/>
        </w:rPr>
        <w:t>нении</w:t>
      </w:r>
      <w:r w:rsidRPr="00D42476">
        <w:rPr>
          <w:iCs/>
          <w:lang w:val="ru-RU"/>
        </w:rPr>
        <w:t xml:space="preserve"> </w:t>
      </w:r>
      <w:r>
        <w:rPr>
          <w:iCs/>
          <w:lang w:val="ru-RU"/>
        </w:rPr>
        <w:t xml:space="preserve">методологии </w:t>
      </w:r>
      <w:r w:rsidRPr="006A7940">
        <w:rPr>
          <w:iCs/>
          <w:lang w:val="ru-RU"/>
        </w:rPr>
        <w:t>проект</w:t>
      </w:r>
      <w:r>
        <w:rPr>
          <w:iCs/>
          <w:lang w:val="ru-RU"/>
        </w:rPr>
        <w:t xml:space="preserve">а </w:t>
      </w:r>
      <w:r w:rsidRPr="00D42476">
        <w:rPr>
          <w:iCs/>
          <w:lang w:val="ru-RU"/>
        </w:rPr>
        <w:t>и объем</w:t>
      </w:r>
      <w:r>
        <w:rPr>
          <w:iCs/>
          <w:lang w:val="ru-RU"/>
        </w:rPr>
        <w:t>а</w:t>
      </w:r>
      <w:r w:rsidRPr="00D42476">
        <w:rPr>
          <w:iCs/>
          <w:lang w:val="ru-RU"/>
        </w:rPr>
        <w:t xml:space="preserve"> </w:t>
      </w:r>
      <w:r>
        <w:rPr>
          <w:iCs/>
          <w:lang w:val="ru-RU"/>
        </w:rPr>
        <w:t xml:space="preserve">его </w:t>
      </w:r>
      <w:r w:rsidRPr="00D42476">
        <w:rPr>
          <w:iCs/>
          <w:lang w:val="ru-RU"/>
        </w:rPr>
        <w:t>задач при сохранении первоначальных целей.</w:t>
      </w:r>
      <w:r w:rsidRPr="00D42476">
        <w:rPr>
          <w:iCs/>
        </w:rPr>
        <w:t> </w:t>
      </w:r>
      <w:r>
        <w:rPr>
          <w:iCs/>
          <w:lang w:val="ru-RU"/>
        </w:rPr>
        <w:t>Такое</w:t>
      </w:r>
      <w:r w:rsidRPr="00D42476">
        <w:rPr>
          <w:iCs/>
          <w:lang w:val="ru-RU"/>
        </w:rPr>
        <w:t xml:space="preserve"> </w:t>
      </w:r>
      <w:r w:rsidRPr="006A7940">
        <w:rPr>
          <w:iCs/>
          <w:lang w:val="ru-RU"/>
        </w:rPr>
        <w:t>изменени</w:t>
      </w:r>
      <w:r>
        <w:rPr>
          <w:iCs/>
          <w:lang w:val="ru-RU"/>
        </w:rPr>
        <w:t xml:space="preserve">е методологии </w:t>
      </w:r>
      <w:r w:rsidRPr="00D42476">
        <w:rPr>
          <w:iCs/>
          <w:lang w:val="ru-RU"/>
        </w:rPr>
        <w:t>и объем</w:t>
      </w:r>
      <w:r>
        <w:rPr>
          <w:iCs/>
          <w:lang w:val="ru-RU"/>
        </w:rPr>
        <w:t>а</w:t>
      </w:r>
      <w:r w:rsidRPr="00D42476">
        <w:rPr>
          <w:iCs/>
          <w:lang w:val="ru-RU"/>
        </w:rPr>
        <w:t xml:space="preserve"> задач</w:t>
      </w:r>
      <w:r>
        <w:rPr>
          <w:iCs/>
          <w:lang w:val="ru-RU"/>
        </w:rPr>
        <w:t xml:space="preserve"> </w:t>
      </w:r>
      <w:r w:rsidRPr="006A7940">
        <w:rPr>
          <w:iCs/>
          <w:lang w:val="ru-RU"/>
        </w:rPr>
        <w:t>проект</w:t>
      </w:r>
      <w:r>
        <w:rPr>
          <w:iCs/>
          <w:lang w:val="ru-RU"/>
        </w:rPr>
        <w:t>а</w:t>
      </w:r>
      <w:r w:rsidRPr="006A7940">
        <w:rPr>
          <w:iCs/>
          <w:lang w:val="ru-RU"/>
        </w:rPr>
        <w:t xml:space="preserve"> </w:t>
      </w:r>
      <w:r>
        <w:rPr>
          <w:iCs/>
          <w:lang w:val="ru-RU"/>
        </w:rPr>
        <w:t xml:space="preserve">были призваны </w:t>
      </w:r>
      <w:r w:rsidRPr="00D42476">
        <w:rPr>
          <w:iCs/>
          <w:lang w:val="ru-RU"/>
        </w:rPr>
        <w:t>дополнительн</w:t>
      </w:r>
      <w:r>
        <w:rPr>
          <w:iCs/>
          <w:lang w:val="ru-RU"/>
        </w:rPr>
        <w:t xml:space="preserve">о </w:t>
      </w:r>
      <w:r w:rsidRPr="00D42476">
        <w:rPr>
          <w:iCs/>
          <w:lang w:val="ru-RU"/>
        </w:rPr>
        <w:t>повы</w:t>
      </w:r>
      <w:r>
        <w:rPr>
          <w:iCs/>
          <w:lang w:val="ru-RU"/>
        </w:rPr>
        <w:t xml:space="preserve">сить </w:t>
      </w:r>
      <w:r w:rsidRPr="00D42476">
        <w:rPr>
          <w:iCs/>
          <w:lang w:val="ru-RU"/>
        </w:rPr>
        <w:t>вероятност</w:t>
      </w:r>
      <w:r>
        <w:rPr>
          <w:iCs/>
          <w:lang w:val="ru-RU"/>
        </w:rPr>
        <w:t>ь</w:t>
      </w:r>
      <w:r w:rsidRPr="00D42476">
        <w:rPr>
          <w:iCs/>
          <w:lang w:val="ru-RU"/>
        </w:rPr>
        <w:t xml:space="preserve"> </w:t>
      </w:r>
      <w:r>
        <w:rPr>
          <w:iCs/>
          <w:lang w:val="ru-RU"/>
        </w:rPr>
        <w:t xml:space="preserve">успешной </w:t>
      </w:r>
      <w:r w:rsidRPr="00D42476">
        <w:rPr>
          <w:iCs/>
          <w:lang w:val="ru-RU"/>
        </w:rPr>
        <w:t>реализаци</w:t>
      </w:r>
      <w:r>
        <w:rPr>
          <w:iCs/>
          <w:lang w:val="ru-RU"/>
        </w:rPr>
        <w:t xml:space="preserve">и элементов </w:t>
      </w:r>
      <w:r w:rsidRPr="00D42476">
        <w:rPr>
          <w:iCs/>
          <w:lang w:val="ru-RU"/>
        </w:rPr>
        <w:t>УОИК</w:t>
      </w:r>
      <w:r>
        <w:rPr>
          <w:iCs/>
          <w:lang w:val="ru-RU"/>
        </w:rPr>
        <w:t xml:space="preserve">, связанных как с </w:t>
      </w:r>
      <w:r w:rsidRPr="00D42476">
        <w:rPr>
          <w:iCs/>
          <w:lang w:val="ru-RU"/>
        </w:rPr>
        <w:t>организаци</w:t>
      </w:r>
      <w:r>
        <w:rPr>
          <w:iCs/>
          <w:lang w:val="ru-RU"/>
        </w:rPr>
        <w:t xml:space="preserve">онными </w:t>
      </w:r>
      <w:r w:rsidRPr="00D42476">
        <w:rPr>
          <w:iCs/>
          <w:lang w:val="ru-RU"/>
        </w:rPr>
        <w:t>преобразовани</w:t>
      </w:r>
      <w:r>
        <w:rPr>
          <w:iCs/>
          <w:lang w:val="ru-RU"/>
        </w:rPr>
        <w:t xml:space="preserve">ями, так </w:t>
      </w:r>
      <w:r w:rsidRPr="00D42476">
        <w:rPr>
          <w:iCs/>
          <w:lang w:val="ru-RU"/>
        </w:rPr>
        <w:t xml:space="preserve">и </w:t>
      </w:r>
      <w:r>
        <w:rPr>
          <w:iCs/>
          <w:lang w:val="ru-RU"/>
        </w:rPr>
        <w:t xml:space="preserve">с </w:t>
      </w:r>
      <w:r w:rsidRPr="00D42476">
        <w:rPr>
          <w:iCs/>
          <w:lang w:val="ru-RU"/>
        </w:rPr>
        <w:t>техническ</w:t>
      </w:r>
      <w:r>
        <w:rPr>
          <w:iCs/>
          <w:lang w:val="ru-RU"/>
        </w:rPr>
        <w:t xml:space="preserve">ими </w:t>
      </w:r>
      <w:r w:rsidRPr="00D42476">
        <w:rPr>
          <w:iCs/>
          <w:lang w:val="ru-RU"/>
        </w:rPr>
        <w:t>задач</w:t>
      </w:r>
      <w:r>
        <w:rPr>
          <w:iCs/>
          <w:lang w:val="ru-RU"/>
        </w:rPr>
        <w:t>ами</w:t>
      </w:r>
      <w:r w:rsidRPr="00D42476">
        <w:rPr>
          <w:iCs/>
          <w:lang w:val="ru-RU"/>
        </w:rPr>
        <w:t>.</w:t>
      </w:r>
      <w:r w:rsidRPr="00CC07E1">
        <w:rPr>
          <w:iCs/>
        </w:rPr>
        <w:t> </w:t>
      </w:r>
      <w:r w:rsidRPr="00D42476">
        <w:rPr>
          <w:iCs/>
          <w:lang w:val="ru-RU"/>
        </w:rPr>
        <w:t xml:space="preserve"> Пересмотренн</w:t>
      </w:r>
      <w:r>
        <w:rPr>
          <w:iCs/>
          <w:lang w:val="ru-RU"/>
        </w:rPr>
        <w:t xml:space="preserve">ая методология основана на </w:t>
      </w:r>
      <w:r w:rsidRPr="00F631E7">
        <w:rPr>
          <w:iCs/>
          <w:lang w:val="ru-RU"/>
        </w:rPr>
        <w:t>принцип</w:t>
      </w:r>
      <w:r>
        <w:rPr>
          <w:iCs/>
          <w:lang w:val="ru-RU"/>
        </w:rPr>
        <w:t>е поэтапной</w:t>
      </w:r>
      <w:r w:rsidRPr="00D42476">
        <w:rPr>
          <w:iCs/>
          <w:lang w:val="ru-RU"/>
        </w:rPr>
        <w:t xml:space="preserve"> реализаци</w:t>
      </w:r>
      <w:r>
        <w:rPr>
          <w:iCs/>
          <w:lang w:val="ru-RU"/>
        </w:rPr>
        <w:t>и</w:t>
      </w:r>
      <w:r w:rsidRPr="00D42476">
        <w:rPr>
          <w:iCs/>
          <w:lang w:val="ru-RU"/>
        </w:rPr>
        <w:t xml:space="preserve"> с ряд</w:t>
      </w:r>
      <w:r>
        <w:rPr>
          <w:iCs/>
          <w:lang w:val="ru-RU"/>
        </w:rPr>
        <w:t>ом</w:t>
      </w:r>
      <w:r w:rsidRPr="00D42476">
        <w:rPr>
          <w:iCs/>
          <w:lang w:val="ru-RU"/>
        </w:rPr>
        <w:t xml:space="preserve"> </w:t>
      </w:r>
      <w:r w:rsidRPr="006322A8">
        <w:rPr>
          <w:iCs/>
          <w:lang w:val="ru-RU"/>
        </w:rPr>
        <w:t>«</w:t>
      </w:r>
      <w:r>
        <w:rPr>
          <w:iCs/>
          <w:lang w:val="ru-RU"/>
        </w:rPr>
        <w:t xml:space="preserve">быстрых </w:t>
      </w:r>
      <w:r w:rsidRPr="00B56BEE">
        <w:rPr>
          <w:iCs/>
          <w:lang w:val="ru-RU"/>
        </w:rPr>
        <w:t>результат</w:t>
      </w:r>
      <w:r>
        <w:rPr>
          <w:iCs/>
          <w:lang w:val="ru-RU"/>
        </w:rPr>
        <w:t>ов</w:t>
      </w:r>
      <w:r w:rsidRPr="006322A8">
        <w:rPr>
          <w:iCs/>
          <w:lang w:val="ru-RU"/>
        </w:rPr>
        <w:t>»</w:t>
      </w:r>
      <w:r>
        <w:rPr>
          <w:iCs/>
          <w:lang w:val="ru-RU"/>
        </w:rPr>
        <w:t xml:space="preserve"> </w:t>
      </w:r>
      <w:r w:rsidRPr="00D42476">
        <w:rPr>
          <w:iCs/>
          <w:lang w:val="ru-RU"/>
        </w:rPr>
        <w:t>(</w:t>
      </w:r>
      <w:r w:rsidRPr="006322A8">
        <w:rPr>
          <w:iCs/>
          <w:lang w:val="ru-RU"/>
        </w:rPr>
        <w:t>подробн</w:t>
      </w:r>
      <w:r>
        <w:rPr>
          <w:iCs/>
          <w:lang w:val="ru-RU"/>
        </w:rPr>
        <w:t xml:space="preserve">ее см. </w:t>
      </w:r>
      <w:r w:rsidRPr="00D42476">
        <w:rPr>
          <w:iCs/>
          <w:lang w:val="ru-RU"/>
        </w:rPr>
        <w:t xml:space="preserve">ниже), </w:t>
      </w:r>
      <w:r>
        <w:rPr>
          <w:iCs/>
          <w:lang w:val="ru-RU"/>
        </w:rPr>
        <w:t xml:space="preserve">когда </w:t>
      </w:r>
      <w:r w:rsidRPr="00D42476">
        <w:rPr>
          <w:iCs/>
          <w:lang w:val="ru-RU"/>
        </w:rPr>
        <w:t>конкретн</w:t>
      </w:r>
      <w:r>
        <w:rPr>
          <w:iCs/>
          <w:lang w:val="ru-RU"/>
        </w:rPr>
        <w:t>ые</w:t>
      </w:r>
      <w:r w:rsidRPr="00D42476">
        <w:rPr>
          <w:iCs/>
          <w:lang w:val="ru-RU"/>
        </w:rPr>
        <w:t xml:space="preserve"> </w:t>
      </w:r>
      <w:r>
        <w:rPr>
          <w:iCs/>
          <w:lang w:val="ru-RU"/>
        </w:rPr>
        <w:t xml:space="preserve">сектора получают новые операционные </w:t>
      </w:r>
      <w:r w:rsidRPr="006322A8">
        <w:rPr>
          <w:iCs/>
          <w:lang w:val="ru-RU"/>
        </w:rPr>
        <w:t>возможн</w:t>
      </w:r>
      <w:r>
        <w:rPr>
          <w:iCs/>
          <w:lang w:val="ru-RU"/>
        </w:rPr>
        <w:t xml:space="preserve">ости, обеспечиваемые </w:t>
      </w:r>
      <w:r w:rsidRPr="00D42476">
        <w:rPr>
          <w:iCs/>
          <w:lang w:val="ru-RU"/>
        </w:rPr>
        <w:t>автоматизаци</w:t>
      </w:r>
      <w:r>
        <w:rPr>
          <w:iCs/>
          <w:lang w:val="ru-RU"/>
        </w:rPr>
        <w:t>ей</w:t>
      </w:r>
      <w:r w:rsidRPr="00D42476">
        <w:rPr>
          <w:iCs/>
          <w:lang w:val="ru-RU"/>
        </w:rPr>
        <w:t xml:space="preserve"> ряд</w:t>
      </w:r>
      <w:r>
        <w:rPr>
          <w:iCs/>
          <w:lang w:val="ru-RU"/>
        </w:rPr>
        <w:t>а</w:t>
      </w:r>
      <w:r w:rsidRPr="00D42476">
        <w:rPr>
          <w:iCs/>
          <w:lang w:val="ru-RU"/>
        </w:rPr>
        <w:t xml:space="preserve"> </w:t>
      </w:r>
      <w:r w:rsidRPr="006322A8">
        <w:rPr>
          <w:iCs/>
          <w:lang w:val="ru-RU"/>
        </w:rPr>
        <w:t>выполн</w:t>
      </w:r>
      <w:r>
        <w:rPr>
          <w:iCs/>
          <w:lang w:val="ru-RU"/>
        </w:rPr>
        <w:t xml:space="preserve">яемых ими </w:t>
      </w:r>
      <w:r w:rsidRPr="006322A8">
        <w:rPr>
          <w:iCs/>
          <w:lang w:val="ru-RU"/>
        </w:rPr>
        <w:t>процедур</w:t>
      </w:r>
      <w:r>
        <w:rPr>
          <w:iCs/>
          <w:lang w:val="ru-RU"/>
        </w:rPr>
        <w:t xml:space="preserve">, основанных на </w:t>
      </w:r>
      <w:r w:rsidRPr="006322A8">
        <w:rPr>
          <w:iCs/>
          <w:lang w:val="ru-RU"/>
        </w:rPr>
        <w:t>соответствующ</w:t>
      </w:r>
      <w:r>
        <w:rPr>
          <w:iCs/>
          <w:lang w:val="ru-RU"/>
        </w:rPr>
        <w:t xml:space="preserve">ей </w:t>
      </w:r>
      <w:r w:rsidRPr="00D42476">
        <w:rPr>
          <w:iCs/>
          <w:lang w:val="ru-RU"/>
        </w:rPr>
        <w:t>документ</w:t>
      </w:r>
      <w:r>
        <w:rPr>
          <w:iCs/>
          <w:lang w:val="ru-RU"/>
        </w:rPr>
        <w:t>ации</w:t>
      </w:r>
      <w:r w:rsidRPr="00D42476">
        <w:rPr>
          <w:iCs/>
          <w:lang w:val="ru-RU"/>
        </w:rPr>
        <w:t xml:space="preserve">, </w:t>
      </w:r>
      <w:r>
        <w:rPr>
          <w:iCs/>
          <w:lang w:val="ru-RU"/>
        </w:rPr>
        <w:t xml:space="preserve">ранее </w:t>
      </w:r>
      <w:r w:rsidRPr="006322A8">
        <w:rPr>
          <w:iCs/>
          <w:lang w:val="ru-RU"/>
        </w:rPr>
        <w:t>внедрени</w:t>
      </w:r>
      <w:r>
        <w:rPr>
          <w:iCs/>
          <w:lang w:val="ru-RU"/>
        </w:rPr>
        <w:t xml:space="preserve">я </w:t>
      </w:r>
      <w:r w:rsidRPr="006322A8">
        <w:rPr>
          <w:iCs/>
          <w:lang w:val="ru-RU"/>
        </w:rPr>
        <w:t>систем</w:t>
      </w:r>
      <w:r>
        <w:rPr>
          <w:iCs/>
          <w:lang w:val="ru-RU"/>
        </w:rPr>
        <w:t xml:space="preserve">ы </w:t>
      </w:r>
      <w:r w:rsidRPr="00D42476">
        <w:rPr>
          <w:iCs/>
          <w:lang w:val="ru-RU"/>
        </w:rPr>
        <w:t>УОИК</w:t>
      </w:r>
      <w:r>
        <w:rPr>
          <w:iCs/>
          <w:lang w:val="ru-RU"/>
        </w:rPr>
        <w:t xml:space="preserve"> в </w:t>
      </w:r>
      <w:r w:rsidRPr="00F631E7">
        <w:rPr>
          <w:iCs/>
          <w:lang w:val="ru-RU"/>
        </w:rPr>
        <w:t>масштаб</w:t>
      </w:r>
      <w:r>
        <w:rPr>
          <w:iCs/>
          <w:lang w:val="ru-RU"/>
        </w:rPr>
        <w:t xml:space="preserve">е </w:t>
      </w:r>
      <w:r w:rsidRPr="006322A8">
        <w:rPr>
          <w:iCs/>
          <w:lang w:val="ru-RU"/>
        </w:rPr>
        <w:t>Организаци</w:t>
      </w:r>
      <w:r>
        <w:rPr>
          <w:iCs/>
          <w:lang w:val="ru-RU"/>
        </w:rPr>
        <w:t>и</w:t>
      </w:r>
      <w:r w:rsidRPr="00D42476">
        <w:rPr>
          <w:iCs/>
          <w:lang w:val="ru-RU"/>
        </w:rPr>
        <w:t>.</w:t>
      </w:r>
    </w:p>
    <w:p w:rsidR="00C85043" w:rsidRPr="009B064D" w:rsidRDefault="00C85043" w:rsidP="00BF61DC">
      <w:pPr>
        <w:pStyle w:val="ONUME"/>
        <w:numPr>
          <w:ilvl w:val="0"/>
          <w:numId w:val="110"/>
        </w:numPr>
        <w:tabs>
          <w:tab w:val="left" w:pos="567"/>
        </w:tabs>
        <w:spacing w:after="0"/>
        <w:ind w:left="0" w:firstLine="0"/>
        <w:jc w:val="both"/>
        <w:rPr>
          <w:iCs/>
          <w:lang w:val="ru-RU"/>
        </w:rPr>
      </w:pPr>
      <w:r>
        <w:rPr>
          <w:iCs/>
          <w:lang w:val="ru-RU"/>
        </w:rPr>
        <w:t xml:space="preserve">Перед </w:t>
      </w:r>
      <w:r w:rsidRPr="009B064D">
        <w:rPr>
          <w:iCs/>
          <w:lang w:val="ru-RU"/>
        </w:rPr>
        <w:t>проект</w:t>
      </w:r>
      <w:r>
        <w:rPr>
          <w:iCs/>
          <w:lang w:val="ru-RU"/>
        </w:rPr>
        <w:t>ом</w:t>
      </w:r>
      <w:r w:rsidRPr="009B064D">
        <w:rPr>
          <w:iCs/>
          <w:lang w:val="ru-RU"/>
        </w:rPr>
        <w:t xml:space="preserve"> УОИК </w:t>
      </w:r>
      <w:r>
        <w:rPr>
          <w:iCs/>
          <w:lang w:val="ru-RU"/>
        </w:rPr>
        <w:t xml:space="preserve">ставятся </w:t>
      </w:r>
      <w:r w:rsidRPr="009B064D">
        <w:rPr>
          <w:iCs/>
          <w:lang w:val="ru-RU"/>
        </w:rPr>
        <w:t>следующ</w:t>
      </w:r>
      <w:r>
        <w:rPr>
          <w:iCs/>
          <w:lang w:val="ru-RU"/>
        </w:rPr>
        <w:t xml:space="preserve">ие </w:t>
      </w:r>
      <w:r w:rsidRPr="009B064D">
        <w:rPr>
          <w:iCs/>
          <w:lang w:val="ru-RU"/>
        </w:rPr>
        <w:t>ц</w:t>
      </w:r>
      <w:r>
        <w:rPr>
          <w:iCs/>
          <w:lang w:val="ru-RU"/>
        </w:rPr>
        <w:t>ели</w:t>
      </w:r>
      <w:r w:rsidRPr="009B064D">
        <w:rPr>
          <w:iCs/>
          <w:lang w:val="ru-RU"/>
        </w:rPr>
        <w:t>:</w:t>
      </w:r>
    </w:p>
    <w:p w:rsidR="00C85043" w:rsidRPr="009B064D" w:rsidRDefault="00C85043" w:rsidP="00C85043">
      <w:pPr>
        <w:pStyle w:val="ONUME"/>
        <w:tabs>
          <w:tab w:val="left" w:pos="567"/>
        </w:tabs>
        <w:spacing w:after="0"/>
        <w:jc w:val="both"/>
        <w:rPr>
          <w:iCs/>
          <w:lang w:val="ru-RU"/>
        </w:rPr>
      </w:pPr>
    </w:p>
    <w:p w:rsidR="00C85043" w:rsidRPr="00C7477A" w:rsidRDefault="00C85043" w:rsidP="00BF61DC">
      <w:pPr>
        <w:pStyle w:val="ListParagraph"/>
        <w:numPr>
          <w:ilvl w:val="0"/>
          <w:numId w:val="108"/>
        </w:numPr>
        <w:spacing w:after="120"/>
        <w:ind w:left="1134" w:hanging="567"/>
        <w:jc w:val="both"/>
        <w:rPr>
          <w:rFonts w:cs="Arial"/>
          <w:lang w:val="ru-RU"/>
        </w:rPr>
      </w:pPr>
      <w:r w:rsidRPr="00C7477A">
        <w:rPr>
          <w:rFonts w:cs="Arial"/>
          <w:lang w:val="ru-RU"/>
        </w:rPr>
        <w:t xml:space="preserve">ввод в действие общеорганизационной системы хранения и поиска документов, записей и архивов ВОИС, а также управления ими («Приложение УОИК»); </w:t>
      </w:r>
    </w:p>
    <w:p w:rsidR="00C85043" w:rsidRPr="00C7477A" w:rsidRDefault="00C85043" w:rsidP="00BF61DC">
      <w:pPr>
        <w:pStyle w:val="ListParagraph"/>
        <w:numPr>
          <w:ilvl w:val="0"/>
          <w:numId w:val="108"/>
        </w:numPr>
        <w:spacing w:after="120"/>
        <w:ind w:left="1134" w:hanging="567"/>
        <w:jc w:val="both"/>
        <w:rPr>
          <w:rFonts w:cs="Arial"/>
          <w:lang w:val="ru-RU"/>
        </w:rPr>
      </w:pPr>
      <w:r w:rsidRPr="00C7477A">
        <w:rPr>
          <w:rFonts w:cs="Arial"/>
          <w:lang w:val="ru-RU"/>
        </w:rPr>
        <w:t xml:space="preserve">реализация специальных конфигураций </w:t>
      </w:r>
      <w:r w:rsidRPr="00F631E7">
        <w:rPr>
          <w:rFonts w:cs="Arial"/>
          <w:lang w:val="ru-RU"/>
        </w:rPr>
        <w:t>«</w:t>
      </w:r>
      <w:r w:rsidRPr="00C7477A">
        <w:rPr>
          <w:rFonts w:cs="Arial"/>
          <w:lang w:val="ru-RU"/>
        </w:rPr>
        <w:t>процессов УОИК</w:t>
      </w:r>
      <w:r w:rsidRPr="00F631E7">
        <w:rPr>
          <w:rFonts w:cs="Arial"/>
          <w:lang w:val="ru-RU"/>
        </w:rPr>
        <w:t>»</w:t>
      </w:r>
      <w:r w:rsidRPr="00C7477A">
        <w:rPr>
          <w:rFonts w:cs="Arial"/>
          <w:lang w:val="ru-RU"/>
        </w:rPr>
        <w:t xml:space="preserve"> для конкретных процедур в рамках Приложения УОИК для поддержки операционных процедур с высокими объемами обработки контента, осуществляемых как на уровне отдельных подразделений, так и в масштабе всей Организации;</w:t>
      </w:r>
    </w:p>
    <w:p w:rsidR="00C85043" w:rsidRPr="00C7477A" w:rsidRDefault="00C85043" w:rsidP="00BF61DC">
      <w:pPr>
        <w:pStyle w:val="ListParagraph"/>
        <w:numPr>
          <w:ilvl w:val="0"/>
          <w:numId w:val="108"/>
        </w:numPr>
        <w:spacing w:after="120"/>
        <w:ind w:left="1134" w:hanging="567"/>
        <w:jc w:val="both"/>
        <w:rPr>
          <w:rFonts w:cs="Arial"/>
          <w:lang w:val="ru-RU"/>
        </w:rPr>
      </w:pPr>
      <w:r w:rsidRPr="00C7477A">
        <w:rPr>
          <w:rFonts w:cs="Arial"/>
          <w:lang w:val="ru-RU"/>
        </w:rPr>
        <w:t xml:space="preserve">интеграция системы </w:t>
      </w:r>
      <w:r>
        <w:rPr>
          <w:rFonts w:cs="Arial"/>
          <w:lang w:val="ru-RU"/>
        </w:rPr>
        <w:t>в необходимых случаях</w:t>
      </w:r>
      <w:r w:rsidRPr="00C7477A">
        <w:rPr>
          <w:rFonts w:cs="Arial"/>
          <w:lang w:val="ru-RU"/>
        </w:rPr>
        <w:t xml:space="preserve"> с элементами ПОР для связывания вспомогательного контента (хранящегося в системе УОИК), с операционной информацией (хранящейся в системе ПОР) в случаях, когда это требуется для выполнения операционных процедур, реализуемых в рамках ПОР;</w:t>
      </w:r>
    </w:p>
    <w:p w:rsidR="00C85043" w:rsidRPr="00C7477A" w:rsidRDefault="00C85043" w:rsidP="00BF61DC">
      <w:pPr>
        <w:pStyle w:val="ListParagraph"/>
        <w:numPr>
          <w:ilvl w:val="0"/>
          <w:numId w:val="108"/>
        </w:numPr>
        <w:spacing w:after="120"/>
        <w:ind w:left="1134" w:hanging="567"/>
        <w:jc w:val="both"/>
        <w:rPr>
          <w:rFonts w:cs="Arial"/>
          <w:lang w:val="ru-RU"/>
        </w:rPr>
      </w:pPr>
      <w:r w:rsidRPr="00C7477A">
        <w:rPr>
          <w:rFonts w:cs="Arial"/>
          <w:lang w:val="ru-RU"/>
        </w:rPr>
        <w:t xml:space="preserve">хостинг и управление Приложением УОИК и ее вспомогательной инфраструктурой будут организованы таким образом, чтобы обеспечивать выполнение требований к такой системе по параметрам </w:t>
      </w:r>
      <w:r>
        <w:rPr>
          <w:rFonts w:cs="Arial"/>
          <w:lang w:val="ru-RU"/>
        </w:rPr>
        <w:t xml:space="preserve">готовности </w:t>
      </w:r>
      <w:r w:rsidRPr="00C7477A">
        <w:rPr>
          <w:rFonts w:cs="Arial"/>
          <w:lang w:val="ru-RU"/>
        </w:rPr>
        <w:t>и безопасности с учетом ее значения для общей деятельности Организации;</w:t>
      </w:r>
    </w:p>
    <w:p w:rsidR="00C85043" w:rsidRPr="00C7477A" w:rsidRDefault="00C85043" w:rsidP="00BF61DC">
      <w:pPr>
        <w:pStyle w:val="ListParagraph"/>
        <w:numPr>
          <w:ilvl w:val="0"/>
          <w:numId w:val="108"/>
        </w:numPr>
        <w:spacing w:after="120"/>
        <w:ind w:left="1134" w:hanging="567"/>
        <w:jc w:val="both"/>
        <w:rPr>
          <w:rFonts w:cs="Arial"/>
          <w:lang w:val="ru-RU"/>
        </w:rPr>
      </w:pPr>
      <w:r w:rsidRPr="00C7477A">
        <w:rPr>
          <w:rFonts w:cs="Arial"/>
          <w:lang w:val="ru-RU"/>
        </w:rPr>
        <w:t>компоненты Приложения УОИК, предназначенные для работы с документац</w:t>
      </w:r>
      <w:r>
        <w:rPr>
          <w:rFonts w:cs="Arial"/>
          <w:lang w:val="ru-RU"/>
        </w:rPr>
        <w:t>и</w:t>
      </w:r>
      <w:r w:rsidRPr="00C7477A">
        <w:rPr>
          <w:rFonts w:cs="Arial"/>
          <w:lang w:val="ru-RU"/>
        </w:rPr>
        <w:t>ей и архивами, а также вспомогательные процессы будут реализовываться в соответствии с Политикой ВОИС в области управления документами и архивами (служебная инструкция 15/2013);</w:t>
      </w:r>
    </w:p>
    <w:p w:rsidR="00C85043" w:rsidRPr="00C7477A" w:rsidRDefault="00C85043" w:rsidP="00BF61DC">
      <w:pPr>
        <w:pStyle w:val="ListParagraph"/>
        <w:numPr>
          <w:ilvl w:val="0"/>
          <w:numId w:val="108"/>
        </w:numPr>
        <w:spacing w:after="120"/>
        <w:ind w:left="1134" w:hanging="567"/>
        <w:jc w:val="both"/>
        <w:rPr>
          <w:rFonts w:cs="Arial"/>
          <w:lang w:val="ru-RU"/>
        </w:rPr>
      </w:pPr>
      <w:r w:rsidRPr="00C7477A">
        <w:rPr>
          <w:rFonts w:cs="Arial"/>
          <w:lang w:val="ru-RU"/>
        </w:rPr>
        <w:t xml:space="preserve">пользователи системы пройдут соответствующий инструктаж по работе с системой и </w:t>
      </w:r>
      <w:r w:rsidRPr="00C7477A">
        <w:rPr>
          <w:rFonts w:cs="Arial"/>
          <w:snapToGrid w:val="0"/>
          <w:lang w:val="ru-RU"/>
        </w:rPr>
        <w:t>применени</w:t>
      </w:r>
      <w:r w:rsidRPr="00C7477A">
        <w:rPr>
          <w:rFonts w:cs="Arial"/>
          <w:lang w:val="ru-RU"/>
        </w:rPr>
        <w:t xml:space="preserve">ю процессов и процедур («Процессов УОИК»), обеспечивающих </w:t>
      </w:r>
      <w:r>
        <w:rPr>
          <w:rFonts w:cs="Arial"/>
          <w:lang w:val="ru-RU"/>
        </w:rPr>
        <w:t xml:space="preserve">последовательное </w:t>
      </w:r>
      <w:r w:rsidRPr="00C7477A">
        <w:rPr>
          <w:rFonts w:cs="Arial"/>
          <w:lang w:val="ru-RU"/>
        </w:rPr>
        <w:t>соблюдение служебной инструкции ВОИС 15/2013 при функционировании системы;</w:t>
      </w:r>
    </w:p>
    <w:p w:rsidR="00C85043" w:rsidRPr="00AB735C" w:rsidRDefault="00C85043" w:rsidP="00BF61DC">
      <w:pPr>
        <w:pStyle w:val="ListParagraph"/>
        <w:numPr>
          <w:ilvl w:val="0"/>
          <w:numId w:val="108"/>
        </w:numPr>
        <w:spacing w:after="120"/>
        <w:ind w:left="1134" w:hanging="567"/>
        <w:jc w:val="both"/>
        <w:rPr>
          <w:rFonts w:cs="Arial"/>
          <w:lang w:val="ru-RU"/>
        </w:rPr>
      </w:pPr>
      <w:r>
        <w:rPr>
          <w:rFonts w:cs="Arial"/>
          <w:lang w:val="ru-RU"/>
        </w:rPr>
        <w:t xml:space="preserve">в системе будут реализованы </w:t>
      </w:r>
      <w:r w:rsidRPr="00AB735C">
        <w:rPr>
          <w:rFonts w:cs="Arial"/>
          <w:lang w:val="ru-RU"/>
        </w:rPr>
        <w:t>достаточн</w:t>
      </w:r>
      <w:r>
        <w:rPr>
          <w:rFonts w:cs="Arial"/>
          <w:lang w:val="ru-RU"/>
        </w:rPr>
        <w:t xml:space="preserve">о </w:t>
      </w:r>
      <w:r w:rsidRPr="00C7477A">
        <w:rPr>
          <w:rFonts w:cs="Arial"/>
          <w:lang w:val="ru-RU"/>
        </w:rPr>
        <w:t>эффективн</w:t>
      </w:r>
      <w:r>
        <w:rPr>
          <w:rFonts w:cs="Arial"/>
          <w:lang w:val="ru-RU"/>
        </w:rPr>
        <w:t xml:space="preserve">ые </w:t>
      </w:r>
      <w:r w:rsidRPr="00DB126C">
        <w:rPr>
          <w:rFonts w:cs="Arial"/>
          <w:lang w:val="ru-RU"/>
        </w:rPr>
        <w:t>инструмент</w:t>
      </w:r>
      <w:r>
        <w:rPr>
          <w:rFonts w:cs="Arial"/>
          <w:lang w:val="ru-RU"/>
        </w:rPr>
        <w:t xml:space="preserve">ы </w:t>
      </w:r>
      <w:r w:rsidRPr="00DB126C">
        <w:rPr>
          <w:rFonts w:cs="Arial"/>
          <w:lang w:val="ru-RU"/>
        </w:rPr>
        <w:t>безопасност</w:t>
      </w:r>
      <w:r>
        <w:rPr>
          <w:rFonts w:cs="Arial"/>
          <w:lang w:val="ru-RU"/>
        </w:rPr>
        <w:t xml:space="preserve">и, обеспечивающие </w:t>
      </w:r>
      <w:r w:rsidRPr="00C7477A">
        <w:rPr>
          <w:rFonts w:cs="Arial"/>
          <w:lang w:val="ru-RU"/>
        </w:rPr>
        <w:t>соблюдени</w:t>
      </w:r>
      <w:r>
        <w:rPr>
          <w:rFonts w:cs="Arial"/>
          <w:lang w:val="ru-RU"/>
        </w:rPr>
        <w:t xml:space="preserve">е </w:t>
      </w:r>
      <w:r w:rsidRPr="00AB735C">
        <w:rPr>
          <w:rFonts w:cs="Arial"/>
          <w:lang w:val="ru-RU"/>
        </w:rPr>
        <w:t>П</w:t>
      </w:r>
      <w:r>
        <w:rPr>
          <w:rFonts w:cs="Arial"/>
          <w:lang w:val="ru-RU"/>
        </w:rPr>
        <w:t xml:space="preserve">олитики </w:t>
      </w:r>
      <w:r w:rsidRPr="00AB735C">
        <w:rPr>
          <w:rFonts w:cs="Arial"/>
          <w:lang w:val="ru-RU"/>
        </w:rPr>
        <w:t xml:space="preserve">ВОИС </w:t>
      </w:r>
      <w:r w:rsidRPr="00C7477A">
        <w:rPr>
          <w:rFonts w:cs="Arial"/>
          <w:lang w:val="ru-RU"/>
        </w:rPr>
        <w:t>в области</w:t>
      </w:r>
      <w:r>
        <w:rPr>
          <w:rFonts w:cs="Arial"/>
          <w:lang w:val="ru-RU"/>
        </w:rPr>
        <w:t xml:space="preserve"> </w:t>
      </w:r>
      <w:r w:rsidRPr="00AB735C">
        <w:rPr>
          <w:rFonts w:cs="Arial"/>
          <w:lang w:val="ru-RU"/>
        </w:rPr>
        <w:t>безопасност</w:t>
      </w:r>
      <w:r>
        <w:rPr>
          <w:rFonts w:cs="Arial"/>
          <w:lang w:val="ru-RU"/>
        </w:rPr>
        <w:t>и</w:t>
      </w:r>
      <w:r w:rsidRPr="00AB735C">
        <w:rPr>
          <w:rFonts w:cs="Arial"/>
          <w:lang w:val="ru-RU"/>
        </w:rPr>
        <w:t>;  и</w:t>
      </w:r>
    </w:p>
    <w:p w:rsidR="00C85043" w:rsidRPr="00C14584" w:rsidRDefault="00C85043" w:rsidP="00BF61DC">
      <w:pPr>
        <w:pStyle w:val="ListParagraph"/>
        <w:numPr>
          <w:ilvl w:val="0"/>
          <w:numId w:val="108"/>
        </w:numPr>
        <w:ind w:left="1134" w:hanging="567"/>
        <w:contextualSpacing/>
        <w:jc w:val="both"/>
        <w:rPr>
          <w:rFonts w:cs="Arial"/>
          <w:lang w:val="ru-RU"/>
        </w:rPr>
      </w:pPr>
      <w:r w:rsidRPr="00C14584">
        <w:rPr>
          <w:rFonts w:cs="Arial"/>
          <w:lang w:val="ru-RU"/>
        </w:rPr>
        <w:t xml:space="preserve">разработка Приложения УОИК, получение необходимых лицензий, реализация, разработка базовой конфигурации и конкретных конфигураций для обеспечения </w:t>
      </w:r>
      <w:r w:rsidRPr="006322A8">
        <w:rPr>
          <w:iCs/>
          <w:lang w:val="ru-RU"/>
        </w:rPr>
        <w:t>«</w:t>
      </w:r>
      <w:r>
        <w:rPr>
          <w:iCs/>
          <w:lang w:val="ru-RU"/>
        </w:rPr>
        <w:t xml:space="preserve">быстрых </w:t>
      </w:r>
      <w:r w:rsidRPr="00B56BEE">
        <w:rPr>
          <w:iCs/>
          <w:lang w:val="ru-RU"/>
        </w:rPr>
        <w:t>результат</w:t>
      </w:r>
      <w:r>
        <w:rPr>
          <w:iCs/>
          <w:lang w:val="ru-RU"/>
        </w:rPr>
        <w:t>ов</w:t>
      </w:r>
      <w:r w:rsidRPr="006322A8">
        <w:rPr>
          <w:iCs/>
          <w:lang w:val="ru-RU"/>
        </w:rPr>
        <w:t>»</w:t>
      </w:r>
      <w:r>
        <w:rPr>
          <w:iCs/>
          <w:lang w:val="ru-RU"/>
        </w:rPr>
        <w:t xml:space="preserve"> </w:t>
      </w:r>
      <w:r w:rsidRPr="00C14584">
        <w:rPr>
          <w:rFonts w:cs="Arial"/>
          <w:lang w:val="ru-RU"/>
        </w:rPr>
        <w:t xml:space="preserve">проекта, реализация базового функционала системы УОИК </w:t>
      </w:r>
      <w:r>
        <w:rPr>
          <w:rFonts w:cs="Arial"/>
          <w:lang w:val="ru-RU"/>
        </w:rPr>
        <w:t xml:space="preserve">в </w:t>
      </w:r>
      <w:r w:rsidRPr="00DB126C">
        <w:rPr>
          <w:rFonts w:cs="Arial"/>
          <w:lang w:val="ru-RU"/>
        </w:rPr>
        <w:t>масштаб</w:t>
      </w:r>
      <w:r>
        <w:rPr>
          <w:rFonts w:cs="Arial"/>
          <w:lang w:val="ru-RU"/>
        </w:rPr>
        <w:t xml:space="preserve">е </w:t>
      </w:r>
      <w:r w:rsidRPr="00C14584">
        <w:rPr>
          <w:rFonts w:cs="Arial"/>
          <w:lang w:val="ru-RU"/>
        </w:rPr>
        <w:t xml:space="preserve">всей Организации, инструктаж пользователей и переход к непосредственной эксплуатации системы будут осуществляться за счет средств, выделенных </w:t>
      </w:r>
      <w:r>
        <w:rPr>
          <w:rFonts w:cs="Arial"/>
          <w:lang w:val="ru-RU"/>
        </w:rPr>
        <w:t xml:space="preserve">на </w:t>
      </w:r>
      <w:r w:rsidRPr="00DB126C">
        <w:rPr>
          <w:rFonts w:cs="Arial"/>
          <w:lang w:val="ru-RU"/>
        </w:rPr>
        <w:t>реализаци</w:t>
      </w:r>
      <w:r>
        <w:rPr>
          <w:rFonts w:cs="Arial"/>
          <w:lang w:val="ru-RU"/>
        </w:rPr>
        <w:t xml:space="preserve">ю </w:t>
      </w:r>
      <w:r w:rsidRPr="00C14584">
        <w:rPr>
          <w:rFonts w:cs="Arial"/>
          <w:lang w:val="ru-RU"/>
        </w:rPr>
        <w:t>проекта в рамках Генерального плана капитального ремонта (см. документ WO/</w:t>
      </w:r>
      <w:r w:rsidRPr="00C14584">
        <w:rPr>
          <w:rFonts w:cs="Arial"/>
        </w:rPr>
        <w:t>PBC</w:t>
      </w:r>
      <w:r w:rsidRPr="00C14584">
        <w:rPr>
          <w:rFonts w:cs="Arial"/>
          <w:lang w:val="ru-RU"/>
        </w:rPr>
        <w:t>/21/18 от 31 июля 2013 г.).</w:t>
      </w:r>
    </w:p>
    <w:p w:rsidR="00C85043" w:rsidRPr="009B064D" w:rsidRDefault="00C85043" w:rsidP="00C85043">
      <w:pPr>
        <w:contextualSpacing/>
        <w:jc w:val="both"/>
        <w:rPr>
          <w:rFonts w:cs="Arial"/>
          <w:szCs w:val="20"/>
          <w:lang w:val="ru-RU"/>
        </w:rPr>
      </w:pPr>
    </w:p>
    <w:p w:rsidR="00C85043" w:rsidRPr="0075421D" w:rsidRDefault="00C85043" w:rsidP="00BF61DC">
      <w:pPr>
        <w:pStyle w:val="ONUME"/>
        <w:numPr>
          <w:ilvl w:val="0"/>
          <w:numId w:val="110"/>
        </w:numPr>
        <w:tabs>
          <w:tab w:val="left" w:pos="567"/>
        </w:tabs>
        <w:spacing w:after="0"/>
        <w:ind w:left="0" w:firstLine="0"/>
        <w:jc w:val="both"/>
        <w:rPr>
          <w:lang w:val="ru-RU"/>
        </w:rPr>
      </w:pPr>
      <w:r w:rsidRPr="0075421D">
        <w:rPr>
          <w:lang w:val="ru-RU"/>
        </w:rPr>
        <w:t xml:space="preserve">Проект </w:t>
      </w:r>
      <w:r>
        <w:rPr>
          <w:lang w:val="ru-RU"/>
        </w:rPr>
        <w:t>будет</w:t>
      </w:r>
      <w:r w:rsidRPr="0075421D">
        <w:rPr>
          <w:lang w:val="ru-RU"/>
        </w:rPr>
        <w:t xml:space="preserve"> </w:t>
      </w:r>
      <w:r>
        <w:rPr>
          <w:lang w:val="ru-RU"/>
        </w:rPr>
        <w:t xml:space="preserve">подразделен на </w:t>
      </w:r>
      <w:r w:rsidRPr="0075421D">
        <w:rPr>
          <w:lang w:val="ru-RU"/>
        </w:rPr>
        <w:t xml:space="preserve">ряд </w:t>
      </w:r>
      <w:r>
        <w:rPr>
          <w:lang w:val="ru-RU"/>
        </w:rPr>
        <w:t>этапов</w:t>
      </w:r>
      <w:r w:rsidRPr="0075421D">
        <w:rPr>
          <w:lang w:val="ru-RU"/>
        </w:rPr>
        <w:t>/</w:t>
      </w:r>
      <w:r>
        <w:rPr>
          <w:lang w:val="ru-RU"/>
        </w:rPr>
        <w:t>подпроектов</w:t>
      </w:r>
      <w:r w:rsidRPr="0075421D">
        <w:rPr>
          <w:lang w:val="ru-RU"/>
        </w:rPr>
        <w:t xml:space="preserve">, каждый </w:t>
      </w:r>
      <w:r>
        <w:rPr>
          <w:lang w:val="ru-RU"/>
        </w:rPr>
        <w:t xml:space="preserve">из </w:t>
      </w:r>
      <w:r w:rsidRPr="00AD607C">
        <w:rPr>
          <w:lang w:val="ru-RU"/>
        </w:rPr>
        <w:t>котор</w:t>
      </w:r>
      <w:r>
        <w:rPr>
          <w:lang w:val="ru-RU"/>
        </w:rPr>
        <w:t xml:space="preserve">ых будет обеспечивать комплекс </w:t>
      </w:r>
      <w:r w:rsidRPr="00AD607C">
        <w:rPr>
          <w:lang w:val="ru-RU"/>
        </w:rPr>
        <w:t>операци</w:t>
      </w:r>
      <w:r>
        <w:rPr>
          <w:lang w:val="ru-RU"/>
        </w:rPr>
        <w:t xml:space="preserve">онных </w:t>
      </w:r>
      <w:r w:rsidRPr="00AD607C">
        <w:rPr>
          <w:lang w:val="ru-RU"/>
        </w:rPr>
        <w:t>возможн</w:t>
      </w:r>
      <w:r>
        <w:rPr>
          <w:lang w:val="ru-RU"/>
        </w:rPr>
        <w:t xml:space="preserve">остей для одной или </w:t>
      </w:r>
      <w:r w:rsidRPr="00AD607C">
        <w:rPr>
          <w:lang w:val="ru-RU"/>
        </w:rPr>
        <w:t>нескольк</w:t>
      </w:r>
      <w:r>
        <w:rPr>
          <w:lang w:val="ru-RU"/>
        </w:rPr>
        <w:t xml:space="preserve">их </w:t>
      </w:r>
      <w:r w:rsidRPr="00AD607C">
        <w:rPr>
          <w:lang w:val="ru-RU"/>
        </w:rPr>
        <w:t>операци</w:t>
      </w:r>
      <w:r>
        <w:rPr>
          <w:lang w:val="ru-RU"/>
        </w:rPr>
        <w:t>онных областей</w:t>
      </w:r>
      <w:r w:rsidRPr="0075421D">
        <w:rPr>
          <w:lang w:val="ru-RU"/>
        </w:rPr>
        <w:t xml:space="preserve">.  Каждый </w:t>
      </w:r>
      <w:r>
        <w:rPr>
          <w:lang w:val="ru-RU"/>
        </w:rPr>
        <w:t>подпроект</w:t>
      </w:r>
      <w:r w:rsidRPr="0075421D">
        <w:rPr>
          <w:lang w:val="ru-RU"/>
        </w:rPr>
        <w:t xml:space="preserve"> </w:t>
      </w:r>
      <w:r>
        <w:rPr>
          <w:lang w:val="ru-RU"/>
        </w:rPr>
        <w:t>будет включать</w:t>
      </w:r>
      <w:r w:rsidRPr="0075421D">
        <w:rPr>
          <w:lang w:val="ru-RU"/>
        </w:rPr>
        <w:t>:</w:t>
      </w:r>
    </w:p>
    <w:p w:rsidR="00C85043" w:rsidRPr="0075421D" w:rsidRDefault="00C85043" w:rsidP="00C85043">
      <w:pPr>
        <w:pStyle w:val="ONUME"/>
        <w:tabs>
          <w:tab w:val="left" w:pos="567"/>
        </w:tabs>
        <w:spacing w:after="0"/>
        <w:jc w:val="both"/>
        <w:rPr>
          <w:lang w:val="ru-RU"/>
        </w:rPr>
      </w:pPr>
    </w:p>
    <w:p w:rsidR="00C85043" w:rsidRPr="00AD607C" w:rsidRDefault="00C85043" w:rsidP="00BF61DC">
      <w:pPr>
        <w:pStyle w:val="ListParagraph"/>
        <w:numPr>
          <w:ilvl w:val="0"/>
          <w:numId w:val="108"/>
        </w:numPr>
        <w:spacing w:after="120"/>
        <w:ind w:left="1134" w:hanging="567"/>
        <w:jc w:val="both"/>
        <w:rPr>
          <w:rFonts w:cs="Arial"/>
          <w:lang w:val="ru-RU"/>
        </w:rPr>
      </w:pPr>
      <w:r w:rsidRPr="00AD607C">
        <w:rPr>
          <w:rFonts w:cs="Arial"/>
          <w:lang w:val="ru-RU"/>
        </w:rPr>
        <w:t>проведение операционного анализа для определения конкретного операционного процесса, обеспечиваемого функционированием соответствующего компонента системы УОИК;</w:t>
      </w:r>
    </w:p>
    <w:p w:rsidR="00C85043" w:rsidRPr="00AD607C" w:rsidRDefault="00C85043" w:rsidP="00BF61DC">
      <w:pPr>
        <w:pStyle w:val="ListParagraph"/>
        <w:numPr>
          <w:ilvl w:val="0"/>
          <w:numId w:val="108"/>
        </w:numPr>
        <w:spacing w:after="120"/>
        <w:ind w:left="1134" w:hanging="567"/>
        <w:jc w:val="both"/>
        <w:rPr>
          <w:rFonts w:cs="Arial"/>
          <w:lang w:val="ru-RU"/>
        </w:rPr>
      </w:pPr>
      <w:r w:rsidRPr="00AD607C">
        <w:rPr>
          <w:rFonts w:cs="Arial"/>
          <w:lang w:val="ru-RU"/>
        </w:rPr>
        <w:t xml:space="preserve">разработку и документирование необходимых интерфейсов с действующими системами, в том числе </w:t>
      </w:r>
      <w:r>
        <w:rPr>
          <w:rFonts w:cs="Arial"/>
          <w:lang w:val="ru-RU"/>
        </w:rPr>
        <w:t xml:space="preserve">с </w:t>
      </w:r>
      <w:r w:rsidRPr="006010EF">
        <w:rPr>
          <w:rFonts w:cs="Arial"/>
          <w:lang w:val="ru-RU"/>
        </w:rPr>
        <w:t>систем</w:t>
      </w:r>
      <w:r>
        <w:rPr>
          <w:rFonts w:cs="Arial"/>
          <w:lang w:val="ru-RU"/>
        </w:rPr>
        <w:t xml:space="preserve">ой </w:t>
      </w:r>
      <w:r w:rsidRPr="00AD607C">
        <w:rPr>
          <w:rFonts w:cs="Arial"/>
          <w:lang w:val="ru-RU"/>
        </w:rPr>
        <w:t>ПОР;</w:t>
      </w:r>
    </w:p>
    <w:p w:rsidR="00C85043" w:rsidRPr="00AD607C" w:rsidRDefault="00C85043" w:rsidP="00BF61DC">
      <w:pPr>
        <w:pStyle w:val="ListParagraph"/>
        <w:numPr>
          <w:ilvl w:val="0"/>
          <w:numId w:val="108"/>
        </w:numPr>
        <w:spacing w:after="120"/>
        <w:ind w:left="1134" w:hanging="567"/>
        <w:jc w:val="both"/>
        <w:rPr>
          <w:rFonts w:cs="Arial"/>
          <w:lang w:val="ru-RU"/>
        </w:rPr>
      </w:pPr>
      <w:r w:rsidRPr="00AD607C">
        <w:rPr>
          <w:rFonts w:cs="Arial"/>
          <w:lang w:val="ru-RU"/>
        </w:rPr>
        <w:t>разработку конкретной конфигурации системы УОИР исходя из особенностей соответствующего операционного процесса;</w:t>
      </w:r>
    </w:p>
    <w:p w:rsidR="00C85043" w:rsidRPr="00AD607C" w:rsidRDefault="00C85043" w:rsidP="00BF61DC">
      <w:pPr>
        <w:pStyle w:val="ListParagraph"/>
        <w:numPr>
          <w:ilvl w:val="0"/>
          <w:numId w:val="108"/>
        </w:numPr>
        <w:spacing w:after="120"/>
        <w:ind w:left="1134" w:hanging="567"/>
        <w:jc w:val="both"/>
        <w:rPr>
          <w:rFonts w:cs="Arial"/>
          <w:lang w:val="ru-RU"/>
        </w:rPr>
      </w:pPr>
      <w:r w:rsidRPr="00AD607C">
        <w:rPr>
          <w:rFonts w:cs="Arial"/>
          <w:lang w:val="ru-RU"/>
        </w:rPr>
        <w:t>внедрение конфигурации системы УОИР</w:t>
      </w:r>
      <w:r>
        <w:rPr>
          <w:rFonts w:cs="Arial"/>
          <w:lang w:val="ru-RU"/>
        </w:rPr>
        <w:t>, поддерживающей соответствующий операционный</w:t>
      </w:r>
      <w:r w:rsidRPr="00AD607C">
        <w:rPr>
          <w:rFonts w:cs="Arial"/>
          <w:lang w:val="ru-RU"/>
        </w:rPr>
        <w:t xml:space="preserve"> </w:t>
      </w:r>
      <w:r>
        <w:rPr>
          <w:rFonts w:cs="Arial"/>
          <w:lang w:val="ru-RU"/>
        </w:rPr>
        <w:t>процесс</w:t>
      </w:r>
      <w:r w:rsidRPr="00AD607C">
        <w:rPr>
          <w:rFonts w:cs="Arial"/>
          <w:lang w:val="ru-RU"/>
        </w:rPr>
        <w:t>;</w:t>
      </w:r>
    </w:p>
    <w:p w:rsidR="00C85043" w:rsidRPr="00AD607C" w:rsidRDefault="00C85043" w:rsidP="00BF61DC">
      <w:pPr>
        <w:pStyle w:val="ListParagraph"/>
        <w:numPr>
          <w:ilvl w:val="0"/>
          <w:numId w:val="108"/>
        </w:numPr>
        <w:spacing w:after="120"/>
        <w:ind w:left="1134" w:hanging="567"/>
        <w:jc w:val="both"/>
        <w:rPr>
          <w:rFonts w:cs="Arial"/>
          <w:lang w:val="ru-RU"/>
        </w:rPr>
      </w:pPr>
      <w:r w:rsidRPr="00AD607C">
        <w:rPr>
          <w:rFonts w:cs="Arial"/>
          <w:lang w:val="ru-RU"/>
        </w:rPr>
        <w:t>системное тестирование конфигурации системы УОИР</w:t>
      </w:r>
      <w:r>
        <w:rPr>
          <w:rFonts w:cs="Arial"/>
          <w:lang w:val="ru-RU"/>
        </w:rPr>
        <w:t>, поддерживающей соответствующий операционный</w:t>
      </w:r>
      <w:r w:rsidRPr="00AD607C">
        <w:rPr>
          <w:rFonts w:cs="Arial"/>
          <w:lang w:val="ru-RU"/>
        </w:rPr>
        <w:t xml:space="preserve"> </w:t>
      </w:r>
      <w:r>
        <w:rPr>
          <w:rFonts w:cs="Arial"/>
          <w:lang w:val="ru-RU"/>
        </w:rPr>
        <w:t xml:space="preserve">процесс </w:t>
      </w:r>
      <w:r w:rsidRPr="00AD607C">
        <w:rPr>
          <w:rFonts w:cs="Arial"/>
          <w:lang w:val="ru-RU"/>
        </w:rPr>
        <w:t>и ее тестирование пользователями; и;</w:t>
      </w:r>
    </w:p>
    <w:p w:rsidR="00C85043" w:rsidRPr="00AD607C" w:rsidRDefault="00C85043" w:rsidP="00BF61DC">
      <w:pPr>
        <w:pStyle w:val="ListParagraph"/>
        <w:numPr>
          <w:ilvl w:val="0"/>
          <w:numId w:val="108"/>
        </w:numPr>
        <w:spacing w:after="120"/>
        <w:ind w:left="1134" w:hanging="567"/>
        <w:jc w:val="both"/>
        <w:rPr>
          <w:rFonts w:cs="Arial"/>
          <w:lang w:val="ru-RU"/>
        </w:rPr>
      </w:pPr>
      <w:r w:rsidRPr="00AD607C">
        <w:rPr>
          <w:rFonts w:cs="Arial"/>
          <w:lang w:val="ru-RU"/>
        </w:rPr>
        <w:t>инструктаж пользователей конфигурации системы УОИР</w:t>
      </w:r>
      <w:r>
        <w:rPr>
          <w:rFonts w:cs="Arial"/>
          <w:lang w:val="ru-RU"/>
        </w:rPr>
        <w:t>, поддерживающей соответствующий операционный</w:t>
      </w:r>
      <w:r w:rsidRPr="00AD607C">
        <w:rPr>
          <w:rFonts w:cs="Arial"/>
          <w:lang w:val="ru-RU"/>
        </w:rPr>
        <w:t xml:space="preserve"> </w:t>
      </w:r>
      <w:r>
        <w:rPr>
          <w:rFonts w:cs="Arial"/>
          <w:lang w:val="ru-RU"/>
        </w:rPr>
        <w:t>процесс</w:t>
      </w:r>
      <w:r w:rsidRPr="00AD607C">
        <w:rPr>
          <w:rFonts w:cs="Arial"/>
          <w:lang w:val="ru-RU"/>
        </w:rPr>
        <w:t>.</w:t>
      </w:r>
    </w:p>
    <w:p w:rsidR="00C85043" w:rsidRPr="00AB735C" w:rsidRDefault="00C85043" w:rsidP="00C85043">
      <w:pPr>
        <w:contextualSpacing/>
        <w:jc w:val="both"/>
        <w:rPr>
          <w:rFonts w:cs="Arial"/>
          <w:szCs w:val="20"/>
          <w:lang w:val="ru-RU"/>
        </w:rPr>
      </w:pPr>
    </w:p>
    <w:p w:rsidR="00C85043" w:rsidRPr="00AD607C" w:rsidRDefault="00C85043" w:rsidP="00BF61DC">
      <w:pPr>
        <w:pStyle w:val="ONUME"/>
        <w:numPr>
          <w:ilvl w:val="0"/>
          <w:numId w:val="110"/>
        </w:numPr>
        <w:tabs>
          <w:tab w:val="left" w:pos="567"/>
        </w:tabs>
        <w:spacing w:after="0"/>
        <w:ind w:left="0" w:firstLine="0"/>
        <w:jc w:val="both"/>
        <w:rPr>
          <w:lang w:val="ru-RU"/>
        </w:rPr>
      </w:pPr>
      <w:r w:rsidRPr="00AD607C">
        <w:rPr>
          <w:lang w:val="ru-RU"/>
        </w:rPr>
        <w:t xml:space="preserve">В настоящее время </w:t>
      </w:r>
      <w:r>
        <w:rPr>
          <w:lang w:val="ru-RU"/>
        </w:rPr>
        <w:t xml:space="preserve">в </w:t>
      </w:r>
      <w:r w:rsidRPr="009F1649">
        <w:rPr>
          <w:lang w:val="ru-RU"/>
        </w:rPr>
        <w:t>систем</w:t>
      </w:r>
      <w:r>
        <w:rPr>
          <w:lang w:val="ru-RU"/>
        </w:rPr>
        <w:t xml:space="preserve">е определены </w:t>
      </w:r>
      <w:r w:rsidRPr="00AD607C">
        <w:rPr>
          <w:lang w:val="ru-RU"/>
        </w:rPr>
        <w:t>следующ</w:t>
      </w:r>
      <w:r>
        <w:rPr>
          <w:lang w:val="ru-RU"/>
        </w:rPr>
        <w:t>ие подпроекты</w:t>
      </w:r>
      <w:r w:rsidRPr="00AD607C">
        <w:rPr>
          <w:lang w:val="ru-RU"/>
        </w:rPr>
        <w:t xml:space="preserve"> </w:t>
      </w:r>
      <w:r>
        <w:rPr>
          <w:lang w:val="ru-RU"/>
        </w:rPr>
        <w:t>(указываемые ниже в порядке их реализации)</w:t>
      </w:r>
      <w:r w:rsidRPr="00AD607C">
        <w:rPr>
          <w:lang w:val="ru-RU"/>
        </w:rPr>
        <w:t>:</w:t>
      </w:r>
    </w:p>
    <w:p w:rsidR="00C85043" w:rsidRPr="00AD607C" w:rsidRDefault="00C85043" w:rsidP="00C85043">
      <w:pPr>
        <w:pStyle w:val="ONUME"/>
        <w:tabs>
          <w:tab w:val="left" w:pos="567"/>
        </w:tabs>
        <w:spacing w:after="0"/>
        <w:jc w:val="both"/>
        <w:rPr>
          <w:lang w:val="ru-RU"/>
        </w:rPr>
      </w:pPr>
    </w:p>
    <w:p w:rsidR="00C85043" w:rsidRPr="00A44DFB" w:rsidRDefault="00C85043" w:rsidP="00C85043">
      <w:pPr>
        <w:ind w:left="567"/>
        <w:contextualSpacing/>
        <w:jc w:val="both"/>
        <w:rPr>
          <w:rFonts w:cs="Arial"/>
          <w:szCs w:val="20"/>
          <w:lang w:val="ru-RU"/>
        </w:rPr>
      </w:pPr>
      <w:r w:rsidRPr="00A44DFB">
        <w:rPr>
          <w:rFonts w:cs="Arial"/>
          <w:b/>
          <w:szCs w:val="20"/>
          <w:lang w:val="ru-RU"/>
        </w:rPr>
        <w:t xml:space="preserve">«Общеорганизационные документы и архивы» </w:t>
      </w:r>
      <w:r w:rsidRPr="00A44DFB">
        <w:rPr>
          <w:rFonts w:cs="Arial"/>
          <w:szCs w:val="20"/>
          <w:lang w:val="ru-RU"/>
        </w:rPr>
        <w:t xml:space="preserve">– подпроект, призванный </w:t>
      </w:r>
      <w:r>
        <w:rPr>
          <w:rFonts w:cs="Arial"/>
          <w:szCs w:val="20"/>
          <w:lang w:val="ru-RU"/>
        </w:rPr>
        <w:t xml:space="preserve">расширить функциональные </w:t>
      </w:r>
      <w:r w:rsidRPr="0010791D">
        <w:rPr>
          <w:rFonts w:cs="Arial"/>
          <w:szCs w:val="20"/>
          <w:lang w:val="ru-RU"/>
        </w:rPr>
        <w:t>возможн</w:t>
      </w:r>
      <w:r>
        <w:rPr>
          <w:rFonts w:cs="Arial"/>
          <w:szCs w:val="20"/>
          <w:lang w:val="ru-RU"/>
        </w:rPr>
        <w:t xml:space="preserve">ости </w:t>
      </w:r>
      <w:r w:rsidRPr="00A44DFB">
        <w:rPr>
          <w:rFonts w:cs="Arial"/>
          <w:szCs w:val="20"/>
          <w:lang w:val="ru-RU"/>
        </w:rPr>
        <w:t xml:space="preserve">службы управления документами и архивами, включая усовершенствование/замену </w:t>
      </w:r>
      <w:r>
        <w:rPr>
          <w:rFonts w:cs="Arial"/>
          <w:szCs w:val="20"/>
          <w:lang w:val="ru-RU"/>
        </w:rPr>
        <w:t xml:space="preserve">применяемых ею </w:t>
      </w:r>
      <w:r w:rsidRPr="00A44DFB">
        <w:rPr>
          <w:rFonts w:cs="Arial"/>
          <w:szCs w:val="20"/>
          <w:lang w:val="ru-RU"/>
        </w:rPr>
        <w:t>процедур сканирования документов, внедрение процедуры сканирования и отслеживания входящей и исходящей почты (сканирование и автоматизация документооборота), а также внедрение практики архивирования документов на уровне каждого подразделения, предусмотренной политикой ВОИС в области управления документацией (функция управления документами и архивами).</w:t>
      </w:r>
    </w:p>
    <w:p w:rsidR="00C85043" w:rsidRPr="00A44DFB" w:rsidRDefault="00C85043" w:rsidP="00C85043">
      <w:pPr>
        <w:ind w:left="567"/>
        <w:contextualSpacing/>
        <w:jc w:val="both"/>
        <w:rPr>
          <w:rFonts w:cs="Arial"/>
          <w:szCs w:val="20"/>
          <w:lang w:val="ru-RU"/>
        </w:rPr>
      </w:pPr>
    </w:p>
    <w:p w:rsidR="00C85043" w:rsidRPr="00A44DFB" w:rsidRDefault="00C85043" w:rsidP="00C85043">
      <w:pPr>
        <w:ind w:left="567"/>
        <w:contextualSpacing/>
        <w:jc w:val="both"/>
        <w:rPr>
          <w:rFonts w:cs="Arial"/>
          <w:szCs w:val="20"/>
          <w:lang w:val="ru-RU"/>
        </w:rPr>
      </w:pPr>
      <w:r w:rsidRPr="00A44DFB">
        <w:rPr>
          <w:rFonts w:cs="Arial"/>
          <w:b/>
          <w:szCs w:val="20"/>
          <w:lang w:val="ru-RU"/>
        </w:rPr>
        <w:t>«За</w:t>
      </w:r>
      <w:r>
        <w:rPr>
          <w:rFonts w:cs="Arial"/>
          <w:b/>
          <w:szCs w:val="20"/>
          <w:lang w:val="ru-RU"/>
        </w:rPr>
        <w:t>явки</w:t>
      </w:r>
      <w:r w:rsidRPr="00A44DFB">
        <w:rPr>
          <w:rFonts w:cs="Arial"/>
          <w:b/>
          <w:szCs w:val="20"/>
          <w:lang w:val="ru-RU"/>
        </w:rPr>
        <w:t xml:space="preserve"> на перевод» </w:t>
      </w:r>
      <w:r w:rsidRPr="00A44DFB">
        <w:rPr>
          <w:rFonts w:cs="Arial"/>
          <w:szCs w:val="20"/>
          <w:lang w:val="ru-RU"/>
        </w:rPr>
        <w:t>– автоматизация документооборота</w:t>
      </w:r>
      <w:r>
        <w:rPr>
          <w:rFonts w:cs="Arial"/>
          <w:szCs w:val="20"/>
          <w:lang w:val="ru-RU"/>
        </w:rPr>
        <w:t>, связанного с направлением</w:t>
      </w:r>
      <w:r w:rsidRPr="00A44DFB">
        <w:rPr>
          <w:rFonts w:cs="Arial"/>
          <w:szCs w:val="20"/>
          <w:lang w:val="ru-RU"/>
        </w:rPr>
        <w:t xml:space="preserve"> документов на перевод в Лингвистическую службу</w:t>
      </w:r>
      <w:r>
        <w:rPr>
          <w:rFonts w:cs="Arial"/>
          <w:szCs w:val="20"/>
          <w:lang w:val="ru-RU"/>
        </w:rPr>
        <w:t xml:space="preserve">, </w:t>
      </w:r>
      <w:r w:rsidRPr="00A44DFB">
        <w:rPr>
          <w:rFonts w:cs="Arial"/>
          <w:szCs w:val="20"/>
          <w:lang w:val="ru-RU"/>
        </w:rPr>
        <w:t>с</w:t>
      </w:r>
      <w:r>
        <w:rPr>
          <w:rFonts w:cs="Arial"/>
          <w:szCs w:val="20"/>
          <w:lang w:val="ru-RU"/>
        </w:rPr>
        <w:t xml:space="preserve"> отслеживанием </w:t>
      </w:r>
      <w:r w:rsidRPr="0010791D">
        <w:rPr>
          <w:rFonts w:cs="Arial"/>
          <w:szCs w:val="20"/>
          <w:lang w:val="ru-RU"/>
        </w:rPr>
        <w:t>статус</w:t>
      </w:r>
      <w:r>
        <w:rPr>
          <w:rFonts w:cs="Arial"/>
          <w:szCs w:val="20"/>
          <w:lang w:val="ru-RU"/>
        </w:rPr>
        <w:t>а</w:t>
      </w:r>
      <w:r w:rsidRPr="00A44DFB">
        <w:rPr>
          <w:rFonts w:cs="Arial"/>
          <w:szCs w:val="20"/>
          <w:lang w:val="ru-RU"/>
        </w:rPr>
        <w:t xml:space="preserve"> документов и формированием </w:t>
      </w:r>
      <w:r>
        <w:rPr>
          <w:rFonts w:cs="Arial"/>
          <w:szCs w:val="20"/>
          <w:lang w:val="ru-RU"/>
        </w:rPr>
        <w:t>отчетности</w:t>
      </w:r>
      <w:r w:rsidRPr="00A44DFB">
        <w:rPr>
          <w:rFonts w:cs="Arial"/>
          <w:szCs w:val="20"/>
          <w:lang w:val="ru-RU"/>
        </w:rPr>
        <w:t>.</w:t>
      </w:r>
    </w:p>
    <w:p w:rsidR="00C85043" w:rsidRPr="00A44DFB" w:rsidRDefault="00C85043" w:rsidP="00C85043">
      <w:pPr>
        <w:ind w:left="567"/>
        <w:contextualSpacing/>
        <w:jc w:val="both"/>
        <w:rPr>
          <w:rFonts w:cs="Arial"/>
          <w:szCs w:val="20"/>
          <w:lang w:val="ru-RU"/>
        </w:rPr>
      </w:pPr>
    </w:p>
    <w:p w:rsidR="00C85043" w:rsidRPr="00A44DFB" w:rsidRDefault="00C85043" w:rsidP="00C85043">
      <w:pPr>
        <w:ind w:left="567"/>
        <w:contextualSpacing/>
        <w:jc w:val="both"/>
        <w:rPr>
          <w:rFonts w:cs="Arial"/>
          <w:szCs w:val="20"/>
          <w:lang w:val="ru-RU"/>
        </w:rPr>
      </w:pPr>
      <w:r w:rsidRPr="00A44DFB">
        <w:rPr>
          <w:rFonts w:cs="Arial"/>
          <w:b/>
          <w:szCs w:val="20"/>
          <w:lang w:val="ru-RU"/>
        </w:rPr>
        <w:t xml:space="preserve">«Входящая почта КГД» </w:t>
      </w:r>
      <w:r w:rsidRPr="00A44DFB">
        <w:rPr>
          <w:rFonts w:cs="Arial"/>
          <w:szCs w:val="20"/>
          <w:lang w:val="ru-RU"/>
        </w:rPr>
        <w:t xml:space="preserve">– сканирование корреспонденции и автоматизация </w:t>
      </w:r>
      <w:r w:rsidRPr="0010791D">
        <w:rPr>
          <w:rFonts w:cs="Arial"/>
          <w:szCs w:val="20"/>
          <w:lang w:val="ru-RU"/>
        </w:rPr>
        <w:t>работ</w:t>
      </w:r>
      <w:r>
        <w:rPr>
          <w:rFonts w:cs="Arial"/>
          <w:szCs w:val="20"/>
          <w:lang w:val="ru-RU"/>
        </w:rPr>
        <w:t>ы с  почтовыми сообщениями, поступающими</w:t>
      </w:r>
      <w:r w:rsidRPr="00A44DFB">
        <w:rPr>
          <w:rFonts w:cs="Arial"/>
          <w:szCs w:val="20"/>
          <w:lang w:val="ru-RU"/>
        </w:rPr>
        <w:t xml:space="preserve"> в Канцелярию Генерального директора, с установлением связи документов с итоговыми ответами на них и отслеживанием этапов обработки писем, обеспечивающим подготовку и отправку ответов в установленные сроки.</w:t>
      </w:r>
    </w:p>
    <w:p w:rsidR="00C85043" w:rsidRPr="00A44DFB" w:rsidRDefault="00C85043" w:rsidP="00C85043">
      <w:pPr>
        <w:ind w:left="567"/>
        <w:contextualSpacing/>
        <w:jc w:val="both"/>
        <w:rPr>
          <w:rFonts w:cs="Arial"/>
          <w:szCs w:val="20"/>
          <w:lang w:val="ru-RU"/>
        </w:rPr>
      </w:pPr>
    </w:p>
    <w:p w:rsidR="00C85043" w:rsidRPr="00A44DFB" w:rsidRDefault="00C85043" w:rsidP="00C85043">
      <w:pPr>
        <w:ind w:left="567"/>
        <w:contextualSpacing/>
        <w:jc w:val="both"/>
        <w:rPr>
          <w:rFonts w:cs="Arial"/>
          <w:szCs w:val="20"/>
          <w:lang w:val="ru-RU"/>
        </w:rPr>
      </w:pPr>
      <w:r w:rsidRPr="00A44DFB">
        <w:rPr>
          <w:rFonts w:cs="Arial"/>
          <w:b/>
          <w:szCs w:val="20"/>
          <w:lang w:val="ru-RU"/>
        </w:rPr>
        <w:t xml:space="preserve">«Система работы с поставщиками и контрактами» </w:t>
      </w:r>
      <w:r w:rsidRPr="00A44DFB">
        <w:rPr>
          <w:rFonts w:cs="Arial"/>
          <w:szCs w:val="20"/>
          <w:lang w:val="ru-RU"/>
        </w:rPr>
        <w:t>– подпроект, представляющий собой «быстрый результат»</w:t>
      </w:r>
      <w:r>
        <w:rPr>
          <w:rFonts w:cs="Arial"/>
          <w:szCs w:val="20"/>
          <w:lang w:val="ru-RU"/>
        </w:rPr>
        <w:t xml:space="preserve"> </w:t>
      </w:r>
      <w:r w:rsidRPr="0010791D">
        <w:rPr>
          <w:rFonts w:cs="Arial"/>
          <w:szCs w:val="20"/>
          <w:lang w:val="ru-RU"/>
        </w:rPr>
        <w:t>проект</w:t>
      </w:r>
      <w:r>
        <w:rPr>
          <w:rFonts w:cs="Arial"/>
          <w:szCs w:val="20"/>
          <w:lang w:val="ru-RU"/>
        </w:rPr>
        <w:t>а</w:t>
      </w:r>
      <w:r w:rsidRPr="00A44DFB">
        <w:rPr>
          <w:rFonts w:cs="Arial"/>
          <w:szCs w:val="20"/>
          <w:lang w:val="ru-RU"/>
        </w:rPr>
        <w:t xml:space="preserve">, призванный реализовать процессы/решения для работы с контрактной информацией, позволяющие создавать контрактную документацию (работа с документами), обеспечивать сохранение документов, связанных с тем или иным контрактом (ведение досье), формирование отчетности и уведомлений о необходимых действиях в период действия контракта (организация документооборота и делопроизводство), а также вести поиск информации по контрактам (поиск). </w:t>
      </w:r>
    </w:p>
    <w:p w:rsidR="00C85043" w:rsidRPr="00A44DFB" w:rsidRDefault="00C85043" w:rsidP="00C85043">
      <w:pPr>
        <w:ind w:left="567"/>
        <w:contextualSpacing/>
        <w:jc w:val="both"/>
        <w:rPr>
          <w:rFonts w:cs="Arial"/>
          <w:szCs w:val="20"/>
          <w:lang w:val="ru-RU"/>
        </w:rPr>
      </w:pPr>
    </w:p>
    <w:p w:rsidR="00C85043" w:rsidRPr="00A44DFB" w:rsidRDefault="00C85043" w:rsidP="00C85043">
      <w:pPr>
        <w:ind w:left="567"/>
        <w:contextualSpacing/>
        <w:jc w:val="both"/>
        <w:rPr>
          <w:rFonts w:cs="Arial"/>
          <w:szCs w:val="20"/>
          <w:lang w:val="ru-RU"/>
        </w:rPr>
      </w:pPr>
      <w:r w:rsidRPr="00A44DFB">
        <w:rPr>
          <w:rFonts w:cs="Arial"/>
          <w:b/>
          <w:szCs w:val="20"/>
          <w:lang w:val="ru-RU"/>
        </w:rPr>
        <w:t xml:space="preserve">«Отчеты о служебных поездках» </w:t>
      </w:r>
      <w:r w:rsidRPr="00A44DFB">
        <w:rPr>
          <w:rFonts w:cs="Arial"/>
          <w:szCs w:val="20"/>
          <w:lang w:val="ru-RU"/>
        </w:rPr>
        <w:t xml:space="preserve">– </w:t>
      </w:r>
      <w:r w:rsidRPr="0010791D">
        <w:rPr>
          <w:rFonts w:cs="Arial"/>
          <w:szCs w:val="20"/>
          <w:lang w:val="ru-RU"/>
        </w:rPr>
        <w:t>организаци</w:t>
      </w:r>
      <w:r>
        <w:rPr>
          <w:rFonts w:cs="Arial"/>
          <w:szCs w:val="20"/>
          <w:lang w:val="ru-RU"/>
        </w:rPr>
        <w:t>я процедур</w:t>
      </w:r>
      <w:r w:rsidRPr="00A44DFB">
        <w:rPr>
          <w:rFonts w:cs="Arial"/>
          <w:szCs w:val="20"/>
          <w:lang w:val="ru-RU"/>
        </w:rPr>
        <w:t xml:space="preserve"> </w:t>
      </w:r>
      <w:r w:rsidRPr="0010791D">
        <w:rPr>
          <w:rFonts w:cs="Arial"/>
          <w:szCs w:val="20"/>
          <w:lang w:val="ru-RU"/>
        </w:rPr>
        <w:t>формировани</w:t>
      </w:r>
      <w:r>
        <w:rPr>
          <w:rFonts w:cs="Arial"/>
          <w:szCs w:val="20"/>
          <w:lang w:val="ru-RU"/>
        </w:rPr>
        <w:t>я</w:t>
      </w:r>
      <w:r w:rsidRPr="00A44DFB">
        <w:rPr>
          <w:rFonts w:cs="Arial"/>
          <w:szCs w:val="20"/>
          <w:lang w:val="ru-RU"/>
        </w:rPr>
        <w:t xml:space="preserve"> отчетов о поездках (работа с документами), просмотра, утверждения и публикации отчетов о поездках (документооборот), а также поиск</w:t>
      </w:r>
      <w:r>
        <w:rPr>
          <w:rFonts w:cs="Arial"/>
          <w:szCs w:val="20"/>
          <w:lang w:val="ru-RU"/>
        </w:rPr>
        <w:t>а</w:t>
      </w:r>
      <w:r w:rsidRPr="00A44DFB">
        <w:rPr>
          <w:rFonts w:cs="Arial"/>
          <w:szCs w:val="20"/>
          <w:lang w:val="ru-RU"/>
        </w:rPr>
        <w:t xml:space="preserve"> информации по ранее сформированным отчетам о поездках (поиск) по установленным критериям (место командировки, персонал, тематика поездки и организации, с которыми состоялись контакты).</w:t>
      </w:r>
    </w:p>
    <w:p w:rsidR="00C85043" w:rsidRPr="00A44DFB" w:rsidRDefault="00C85043" w:rsidP="00C85043">
      <w:pPr>
        <w:ind w:left="567"/>
        <w:contextualSpacing/>
        <w:jc w:val="both"/>
        <w:rPr>
          <w:rFonts w:cs="Arial"/>
          <w:szCs w:val="20"/>
          <w:lang w:val="ru-RU"/>
        </w:rPr>
      </w:pPr>
    </w:p>
    <w:p w:rsidR="00C85043" w:rsidRPr="00A44DFB" w:rsidRDefault="00C85043" w:rsidP="00C85043">
      <w:pPr>
        <w:ind w:left="567"/>
        <w:contextualSpacing/>
        <w:jc w:val="both"/>
        <w:rPr>
          <w:rFonts w:cs="Arial"/>
          <w:szCs w:val="20"/>
          <w:lang w:val="ru-RU"/>
        </w:rPr>
      </w:pPr>
      <w:r w:rsidRPr="00A44DFB">
        <w:rPr>
          <w:rFonts w:cs="Arial"/>
          <w:b/>
          <w:szCs w:val="20"/>
          <w:lang w:val="ru-RU"/>
        </w:rPr>
        <w:t xml:space="preserve">«Кадры» (электронные кадровые досье) </w:t>
      </w:r>
      <w:r w:rsidRPr="00A44DFB">
        <w:rPr>
          <w:rFonts w:cs="Arial"/>
          <w:szCs w:val="20"/>
          <w:lang w:val="ru-RU"/>
        </w:rPr>
        <w:t>– создание защищенных кадровых досье по каждому сотруднику, хранящих электронные документы и сведения о сотруднике, в том числе сканированные копии существующих бумажных документов (обработка изображений и сканирование). Персонал ДУЛР сможет вести поиск по электронным досье для получения всех необходимых файлов (поиск).</w:t>
      </w:r>
    </w:p>
    <w:p w:rsidR="00C85043" w:rsidRPr="00A44DFB" w:rsidRDefault="00C85043" w:rsidP="00C85043">
      <w:pPr>
        <w:ind w:left="567"/>
        <w:contextualSpacing/>
        <w:jc w:val="both"/>
        <w:rPr>
          <w:rFonts w:cs="Arial"/>
          <w:szCs w:val="20"/>
          <w:lang w:val="ru-RU"/>
        </w:rPr>
      </w:pPr>
    </w:p>
    <w:p w:rsidR="00C85043" w:rsidRPr="00A44DFB" w:rsidRDefault="00C85043" w:rsidP="00C85043">
      <w:pPr>
        <w:ind w:left="567"/>
        <w:contextualSpacing/>
        <w:jc w:val="both"/>
        <w:rPr>
          <w:rFonts w:cs="Arial"/>
          <w:szCs w:val="20"/>
          <w:lang w:val="ru-RU"/>
        </w:rPr>
      </w:pPr>
      <w:r w:rsidRPr="00A44DFB">
        <w:rPr>
          <w:rFonts w:cs="Arial"/>
          <w:b/>
          <w:szCs w:val="20"/>
          <w:lang w:val="ru-RU"/>
        </w:rPr>
        <w:t xml:space="preserve">«Общеорганизационная система УОИК» </w:t>
      </w:r>
      <w:r w:rsidRPr="00A44DFB">
        <w:rPr>
          <w:rFonts w:cs="Arial"/>
          <w:szCs w:val="20"/>
          <w:lang w:val="ru-RU"/>
        </w:rPr>
        <w:t xml:space="preserve">– интеграция системы УОИК в типовую </w:t>
      </w:r>
      <w:r w:rsidRPr="001929AA">
        <w:rPr>
          <w:rFonts w:cs="Arial"/>
          <w:szCs w:val="20"/>
          <w:lang w:val="ru-RU"/>
        </w:rPr>
        <w:t>корпоративн</w:t>
      </w:r>
      <w:r>
        <w:rPr>
          <w:rFonts w:cs="Arial"/>
          <w:szCs w:val="20"/>
          <w:lang w:val="ru-RU"/>
        </w:rPr>
        <w:t xml:space="preserve">ую </w:t>
      </w:r>
      <w:r w:rsidRPr="00A44DFB">
        <w:rPr>
          <w:rFonts w:cs="Arial"/>
          <w:szCs w:val="20"/>
          <w:lang w:val="ru-RU"/>
        </w:rPr>
        <w:t>среду ВОИС</w:t>
      </w:r>
      <w:r>
        <w:rPr>
          <w:rFonts w:cs="Arial"/>
          <w:szCs w:val="20"/>
          <w:lang w:val="ru-RU"/>
        </w:rPr>
        <w:t xml:space="preserve"> для рабочих станций</w:t>
      </w:r>
      <w:r w:rsidRPr="00A44DFB">
        <w:rPr>
          <w:rFonts w:cs="Arial"/>
          <w:szCs w:val="20"/>
          <w:lang w:val="ru-RU"/>
        </w:rPr>
        <w:t>, что позволит всем пользователям системы в ВОИС осуществлять работу с документами (хранение, распределение по категориям, поиск документов и их выведение на экран или на печать, управление версиями), содержащими информацию о пользователе, подраздел</w:t>
      </w:r>
      <w:r>
        <w:rPr>
          <w:rFonts w:cs="Arial"/>
          <w:szCs w:val="20"/>
          <w:lang w:val="ru-RU"/>
        </w:rPr>
        <w:t xml:space="preserve">ении или Организации в целом.  </w:t>
      </w:r>
      <w:r w:rsidRPr="00A44DFB">
        <w:rPr>
          <w:rFonts w:cs="Arial"/>
          <w:szCs w:val="20"/>
          <w:lang w:val="ru-RU"/>
        </w:rPr>
        <w:t xml:space="preserve">Эта информация будет включать контент, создаваемый в различных офисных приложениях: текстовые документы (например, в формате Microsoft </w:t>
      </w:r>
      <w:r w:rsidRPr="00A44DFB">
        <w:rPr>
          <w:rFonts w:cs="Arial"/>
          <w:szCs w:val="20"/>
        </w:rPr>
        <w:t>Word</w:t>
      </w:r>
      <w:r w:rsidRPr="00A44DFB">
        <w:rPr>
          <w:rFonts w:cs="Arial"/>
          <w:szCs w:val="20"/>
          <w:lang w:val="ru-RU"/>
        </w:rPr>
        <w:t xml:space="preserve"> и PDF), электронные таблицы (например, в формате Microsoft Excel), презентации (например, в формате Microsoft PowerPoint), диаграммы (например, в формате Microsoft Visio), планы проектов (например, в формате Microsoft </w:t>
      </w:r>
      <w:r w:rsidRPr="00A44DFB">
        <w:rPr>
          <w:rFonts w:cs="Arial"/>
          <w:szCs w:val="20"/>
        </w:rPr>
        <w:t>Project</w:t>
      </w:r>
      <w:r w:rsidRPr="00A44DFB">
        <w:rPr>
          <w:rFonts w:cs="Arial"/>
          <w:szCs w:val="20"/>
          <w:lang w:val="ru-RU"/>
        </w:rPr>
        <w:t>) и сообщения электронной почты.</w:t>
      </w:r>
    </w:p>
    <w:p w:rsidR="00C85043" w:rsidRPr="00AB735C" w:rsidRDefault="00C85043" w:rsidP="00C85043">
      <w:pPr>
        <w:ind w:left="567"/>
        <w:rPr>
          <w:rFonts w:cs="Arial"/>
          <w:bCs/>
          <w:szCs w:val="20"/>
          <w:lang w:val="ru-RU"/>
        </w:rPr>
      </w:pPr>
    </w:p>
    <w:p w:rsidR="00C85043" w:rsidRPr="00AB735C" w:rsidRDefault="00C85043" w:rsidP="00C85043">
      <w:pPr>
        <w:rPr>
          <w:rFonts w:cs="Arial"/>
          <w:bCs/>
          <w:szCs w:val="20"/>
          <w:lang w:val="ru-RU"/>
        </w:rPr>
      </w:pPr>
    </w:p>
    <w:p w:rsidR="00C85043" w:rsidRPr="000C5D6F" w:rsidRDefault="00C85043" w:rsidP="00C85043">
      <w:pPr>
        <w:rPr>
          <w:rFonts w:cs="Arial"/>
          <w:bCs/>
          <w:szCs w:val="20"/>
          <w:lang w:val="ru-RU"/>
        </w:rPr>
      </w:pPr>
      <w:r w:rsidRPr="000C5D6F">
        <w:rPr>
          <w:rFonts w:cs="Arial"/>
          <w:bCs/>
          <w:szCs w:val="20"/>
          <w:lang w:val="ru-RU"/>
        </w:rPr>
        <w:t xml:space="preserve">ОБЗОР ХОДА РЕАЛИЗАЦИИ ПРОЕКТА В 2015 ГОДУ </w:t>
      </w:r>
      <w:r>
        <w:rPr>
          <w:rFonts w:cs="Arial"/>
          <w:bCs/>
          <w:szCs w:val="20"/>
          <w:lang w:val="ru-RU"/>
        </w:rPr>
        <w:t>(ОСНОВНЫЕ РЕЗУЛЬТАТЫ)</w:t>
      </w:r>
    </w:p>
    <w:p w:rsidR="00C85043" w:rsidRPr="000C5D6F" w:rsidRDefault="00C85043" w:rsidP="00C85043">
      <w:pPr>
        <w:rPr>
          <w:rFonts w:cs="Arial"/>
          <w:bCs/>
          <w:szCs w:val="20"/>
          <w:lang w:val="ru-RU"/>
        </w:rPr>
      </w:pPr>
    </w:p>
    <w:p w:rsidR="00C85043" w:rsidRPr="00AB735C" w:rsidRDefault="00C85043" w:rsidP="00BF61DC">
      <w:pPr>
        <w:pStyle w:val="ONUME"/>
        <w:numPr>
          <w:ilvl w:val="0"/>
          <w:numId w:val="110"/>
        </w:numPr>
        <w:tabs>
          <w:tab w:val="left" w:pos="567"/>
        </w:tabs>
        <w:spacing w:after="0"/>
        <w:ind w:left="0" w:firstLine="0"/>
        <w:jc w:val="both"/>
        <w:rPr>
          <w:bCs/>
          <w:lang w:val="ru-RU"/>
        </w:rPr>
      </w:pPr>
      <w:r>
        <w:rPr>
          <w:bCs/>
          <w:lang w:val="ru-RU"/>
        </w:rPr>
        <w:t xml:space="preserve">Уточненные принципы </w:t>
      </w:r>
      <w:r w:rsidRPr="009F45A9">
        <w:rPr>
          <w:bCs/>
          <w:lang w:val="ru-RU"/>
        </w:rPr>
        <w:t>реализаци</w:t>
      </w:r>
      <w:r>
        <w:rPr>
          <w:bCs/>
          <w:lang w:val="ru-RU"/>
        </w:rPr>
        <w:t xml:space="preserve">и проекта УОИК, </w:t>
      </w:r>
      <w:r w:rsidRPr="00AB735C">
        <w:rPr>
          <w:bCs/>
          <w:lang w:val="ru-RU"/>
        </w:rPr>
        <w:t xml:space="preserve">включая </w:t>
      </w:r>
      <w:r>
        <w:rPr>
          <w:bCs/>
          <w:lang w:val="ru-RU"/>
        </w:rPr>
        <w:t xml:space="preserve">повышение </w:t>
      </w:r>
      <w:r w:rsidRPr="00BF3A01">
        <w:rPr>
          <w:bCs/>
          <w:lang w:val="ru-RU"/>
        </w:rPr>
        <w:t>приоритет</w:t>
      </w:r>
      <w:r>
        <w:rPr>
          <w:bCs/>
          <w:lang w:val="ru-RU"/>
        </w:rPr>
        <w:t xml:space="preserve">ности </w:t>
      </w:r>
      <w:r w:rsidRPr="00BF3A01">
        <w:rPr>
          <w:bCs/>
          <w:lang w:val="ru-RU"/>
        </w:rPr>
        <w:t>«</w:t>
      </w:r>
      <w:r>
        <w:rPr>
          <w:bCs/>
          <w:lang w:val="ru-RU"/>
        </w:rPr>
        <w:t xml:space="preserve">быстрых </w:t>
      </w:r>
      <w:r w:rsidRPr="00BF3A01">
        <w:rPr>
          <w:bCs/>
          <w:lang w:val="ru-RU"/>
        </w:rPr>
        <w:t>результат</w:t>
      </w:r>
      <w:r>
        <w:rPr>
          <w:bCs/>
          <w:lang w:val="ru-RU"/>
        </w:rPr>
        <w:t>ов</w:t>
      </w:r>
      <w:r w:rsidRPr="00BF3A01">
        <w:rPr>
          <w:bCs/>
          <w:lang w:val="ru-RU"/>
        </w:rPr>
        <w:t>»</w:t>
      </w:r>
      <w:r>
        <w:rPr>
          <w:bCs/>
          <w:lang w:val="ru-RU"/>
        </w:rPr>
        <w:t xml:space="preserve">, были </w:t>
      </w:r>
      <w:r w:rsidRPr="00AB735C">
        <w:rPr>
          <w:bCs/>
          <w:lang w:val="ru-RU"/>
        </w:rPr>
        <w:t>утвержден</w:t>
      </w:r>
      <w:r>
        <w:rPr>
          <w:bCs/>
          <w:lang w:val="ru-RU"/>
        </w:rPr>
        <w:t>ы</w:t>
      </w:r>
      <w:r w:rsidRPr="00AB735C">
        <w:rPr>
          <w:bCs/>
          <w:lang w:val="ru-RU"/>
        </w:rPr>
        <w:t xml:space="preserve"> </w:t>
      </w:r>
      <w:r w:rsidRPr="00BF3A01">
        <w:rPr>
          <w:lang w:val="ru-RU"/>
        </w:rPr>
        <w:t>Совет</w:t>
      </w:r>
      <w:r>
        <w:rPr>
          <w:lang w:val="ru-RU"/>
        </w:rPr>
        <w:t>ом</w:t>
      </w:r>
      <w:r w:rsidRPr="00BF3A01">
        <w:rPr>
          <w:lang w:val="ru-RU"/>
        </w:rPr>
        <w:t xml:space="preserve"> </w:t>
      </w:r>
      <w:r w:rsidRPr="00AB735C">
        <w:rPr>
          <w:bCs/>
          <w:lang w:val="ru-RU"/>
        </w:rPr>
        <w:t xml:space="preserve">ВОИС </w:t>
      </w:r>
      <w:r w:rsidRPr="00BF3A01">
        <w:rPr>
          <w:lang w:val="ru-RU"/>
        </w:rPr>
        <w:t xml:space="preserve">по ИКТ </w:t>
      </w:r>
      <w:r>
        <w:rPr>
          <w:bCs/>
          <w:lang w:val="ru-RU"/>
        </w:rPr>
        <w:t>в апреле</w:t>
      </w:r>
      <w:r w:rsidRPr="00AB735C">
        <w:rPr>
          <w:bCs/>
          <w:lang w:val="ru-RU"/>
        </w:rPr>
        <w:t xml:space="preserve"> 2015</w:t>
      </w:r>
      <w:r>
        <w:rPr>
          <w:bCs/>
          <w:lang w:val="ru-RU"/>
        </w:rPr>
        <w:t xml:space="preserve"> г.</w:t>
      </w:r>
    </w:p>
    <w:p w:rsidR="00C85043" w:rsidRPr="00AB735C" w:rsidRDefault="00C85043" w:rsidP="00C85043">
      <w:pPr>
        <w:rPr>
          <w:rFonts w:cs="Arial"/>
          <w:bCs/>
          <w:szCs w:val="20"/>
          <w:lang w:val="ru-RU"/>
        </w:rPr>
      </w:pPr>
    </w:p>
    <w:p w:rsidR="00C85043" w:rsidRPr="009C2A52" w:rsidRDefault="00C85043" w:rsidP="00BF61DC">
      <w:pPr>
        <w:pStyle w:val="ONUME"/>
        <w:numPr>
          <w:ilvl w:val="0"/>
          <w:numId w:val="110"/>
        </w:numPr>
        <w:tabs>
          <w:tab w:val="left" w:pos="567"/>
        </w:tabs>
        <w:spacing w:after="0"/>
        <w:ind w:left="0" w:firstLine="0"/>
        <w:jc w:val="both"/>
        <w:rPr>
          <w:bCs/>
          <w:lang w:val="ru-RU"/>
        </w:rPr>
      </w:pPr>
      <w:r w:rsidRPr="009C2A52">
        <w:rPr>
          <w:bCs/>
          <w:lang w:val="ru-RU"/>
        </w:rPr>
        <w:t>В 2015 году были достигнуты следующие результаты:</w:t>
      </w:r>
    </w:p>
    <w:p w:rsidR="00C85043" w:rsidRPr="00253C6B" w:rsidRDefault="00C85043" w:rsidP="00C85043">
      <w:pPr>
        <w:tabs>
          <w:tab w:val="left" w:pos="993"/>
        </w:tabs>
        <w:ind w:left="993" w:hanging="426"/>
        <w:rPr>
          <w:rFonts w:cs="Arial"/>
          <w:bCs/>
          <w:szCs w:val="20"/>
          <w:lang w:val="ru-RU"/>
        </w:rPr>
      </w:pPr>
    </w:p>
    <w:p w:rsidR="00C85043" w:rsidRPr="00AB735C" w:rsidRDefault="00C85043" w:rsidP="00BF61DC">
      <w:pPr>
        <w:pStyle w:val="ListParagraph"/>
        <w:numPr>
          <w:ilvl w:val="0"/>
          <w:numId w:val="117"/>
        </w:numPr>
        <w:tabs>
          <w:tab w:val="left" w:pos="993"/>
        </w:tabs>
        <w:spacing w:after="120"/>
        <w:ind w:left="992" w:hanging="425"/>
        <w:rPr>
          <w:rFonts w:cs="Arial"/>
          <w:bCs/>
          <w:lang w:val="ru-RU"/>
        </w:rPr>
      </w:pPr>
      <w:r>
        <w:rPr>
          <w:rFonts w:cs="Arial"/>
          <w:bCs/>
          <w:lang w:val="ru-RU"/>
        </w:rPr>
        <w:t xml:space="preserve">Выбор </w:t>
      </w:r>
      <w:r w:rsidRPr="00AB735C">
        <w:rPr>
          <w:rFonts w:cs="Arial"/>
          <w:bCs/>
          <w:lang w:val="ru-RU"/>
        </w:rPr>
        <w:t>т</w:t>
      </w:r>
      <w:r>
        <w:rPr>
          <w:rFonts w:cs="Arial"/>
          <w:bCs/>
          <w:lang w:val="ru-RU"/>
        </w:rPr>
        <w:t xml:space="preserve">ехнических </w:t>
      </w:r>
      <w:r w:rsidRPr="009347E4">
        <w:rPr>
          <w:rFonts w:cs="Arial"/>
          <w:bCs/>
          <w:lang w:val="ru-RU"/>
        </w:rPr>
        <w:t>средств</w:t>
      </w:r>
      <w:r>
        <w:rPr>
          <w:rFonts w:cs="Arial"/>
          <w:bCs/>
          <w:lang w:val="ru-RU"/>
        </w:rPr>
        <w:t xml:space="preserve"> </w:t>
      </w:r>
      <w:r w:rsidRPr="00AB735C">
        <w:rPr>
          <w:rFonts w:cs="Arial"/>
          <w:bCs/>
          <w:lang w:val="ru-RU"/>
        </w:rPr>
        <w:t>реализаци</w:t>
      </w:r>
      <w:r>
        <w:rPr>
          <w:rFonts w:cs="Arial"/>
          <w:bCs/>
          <w:lang w:val="ru-RU"/>
        </w:rPr>
        <w:t>и</w:t>
      </w:r>
      <w:r w:rsidRPr="00AB735C">
        <w:rPr>
          <w:rFonts w:cs="Arial"/>
          <w:bCs/>
          <w:lang w:val="ru-RU"/>
        </w:rPr>
        <w:t xml:space="preserve"> </w:t>
      </w:r>
      <w:r w:rsidRPr="009C2A52">
        <w:rPr>
          <w:rFonts w:cs="Arial"/>
          <w:bCs/>
          <w:lang w:val="ru-RU"/>
        </w:rPr>
        <w:t>систем</w:t>
      </w:r>
      <w:r>
        <w:rPr>
          <w:rFonts w:cs="Arial"/>
          <w:bCs/>
          <w:lang w:val="ru-RU"/>
        </w:rPr>
        <w:t xml:space="preserve">ы </w:t>
      </w:r>
      <w:r w:rsidRPr="00AB735C">
        <w:rPr>
          <w:rFonts w:cs="Arial"/>
          <w:bCs/>
          <w:lang w:val="ru-RU"/>
        </w:rPr>
        <w:t xml:space="preserve">УОИК </w:t>
      </w:r>
      <w:r>
        <w:rPr>
          <w:rFonts w:cs="Arial"/>
          <w:bCs/>
          <w:lang w:val="ru-RU"/>
        </w:rPr>
        <w:t>(</w:t>
      </w:r>
      <w:r w:rsidRPr="00CC07E1">
        <w:rPr>
          <w:rFonts w:cs="Arial"/>
          <w:bCs/>
        </w:rPr>
        <w:t>OpenText</w:t>
      </w:r>
      <w:r>
        <w:rPr>
          <w:rFonts w:cs="Arial"/>
          <w:bCs/>
          <w:lang w:val="ru-RU"/>
        </w:rPr>
        <w:t>) был завершен</w:t>
      </w:r>
      <w:r w:rsidRPr="00AB735C">
        <w:rPr>
          <w:rFonts w:cs="Arial"/>
          <w:bCs/>
          <w:lang w:val="ru-RU"/>
        </w:rPr>
        <w:t xml:space="preserve"> </w:t>
      </w:r>
      <w:r>
        <w:rPr>
          <w:rFonts w:cs="Arial"/>
          <w:bCs/>
          <w:lang w:val="ru-RU"/>
        </w:rPr>
        <w:t>в третьем</w:t>
      </w:r>
      <w:r w:rsidRPr="00AB735C">
        <w:rPr>
          <w:rFonts w:cs="Arial"/>
          <w:bCs/>
          <w:lang w:val="ru-RU"/>
        </w:rPr>
        <w:t xml:space="preserve"> квартал</w:t>
      </w:r>
      <w:r>
        <w:rPr>
          <w:rFonts w:cs="Arial"/>
          <w:bCs/>
          <w:lang w:val="ru-RU"/>
        </w:rPr>
        <w:t>е с учетом рекомендаций</w:t>
      </w:r>
      <w:r w:rsidRPr="00AB735C">
        <w:rPr>
          <w:rFonts w:cs="Arial"/>
          <w:bCs/>
          <w:lang w:val="ru-RU"/>
        </w:rPr>
        <w:t xml:space="preserve"> </w:t>
      </w:r>
      <w:r>
        <w:rPr>
          <w:rFonts w:cs="Arial"/>
          <w:bCs/>
          <w:lang w:val="ru-RU"/>
        </w:rPr>
        <w:t>независимого</w:t>
      </w:r>
      <w:r w:rsidRPr="00AB735C">
        <w:rPr>
          <w:rFonts w:cs="Arial"/>
          <w:bCs/>
          <w:lang w:val="ru-RU"/>
        </w:rPr>
        <w:t xml:space="preserve"> консультант</w:t>
      </w:r>
      <w:r>
        <w:rPr>
          <w:rFonts w:cs="Arial"/>
          <w:bCs/>
          <w:lang w:val="ru-RU"/>
        </w:rPr>
        <w:t>а</w:t>
      </w:r>
      <w:r w:rsidRPr="00AB735C">
        <w:rPr>
          <w:rFonts w:cs="Arial"/>
          <w:bCs/>
          <w:lang w:val="ru-RU"/>
        </w:rPr>
        <w:t xml:space="preserve"> </w:t>
      </w:r>
      <w:r>
        <w:rPr>
          <w:rFonts w:cs="Arial"/>
          <w:bCs/>
          <w:lang w:val="ru-RU"/>
        </w:rPr>
        <w:t xml:space="preserve">и </w:t>
      </w:r>
      <w:r w:rsidRPr="009347E4">
        <w:rPr>
          <w:rFonts w:cs="Arial"/>
          <w:bCs/>
          <w:lang w:val="ru-RU"/>
        </w:rPr>
        <w:t>дополнительн</w:t>
      </w:r>
      <w:r>
        <w:rPr>
          <w:rFonts w:cs="Arial"/>
          <w:bCs/>
          <w:lang w:val="ru-RU"/>
        </w:rPr>
        <w:t xml:space="preserve">ого </w:t>
      </w:r>
      <w:r w:rsidRPr="00AB735C">
        <w:rPr>
          <w:rFonts w:cs="Arial"/>
          <w:bCs/>
          <w:lang w:val="ru-RU"/>
        </w:rPr>
        <w:t>анализ</w:t>
      </w:r>
      <w:r>
        <w:rPr>
          <w:rFonts w:cs="Arial"/>
          <w:bCs/>
          <w:lang w:val="ru-RU"/>
        </w:rPr>
        <w:t>а рынка</w:t>
      </w:r>
      <w:r w:rsidRPr="00AB735C">
        <w:rPr>
          <w:rFonts w:cs="Arial"/>
          <w:bCs/>
          <w:lang w:val="ru-RU"/>
        </w:rPr>
        <w:t>;</w:t>
      </w:r>
    </w:p>
    <w:p w:rsidR="00C85043" w:rsidRPr="00AB735C" w:rsidRDefault="00C85043" w:rsidP="00BF61DC">
      <w:pPr>
        <w:pStyle w:val="ListParagraph"/>
        <w:numPr>
          <w:ilvl w:val="0"/>
          <w:numId w:val="117"/>
        </w:numPr>
        <w:tabs>
          <w:tab w:val="left" w:pos="993"/>
        </w:tabs>
        <w:spacing w:after="120"/>
        <w:ind w:left="992" w:hanging="425"/>
        <w:rPr>
          <w:rFonts w:cs="Arial"/>
          <w:lang w:val="ru-RU"/>
        </w:rPr>
      </w:pPr>
      <w:r w:rsidRPr="00AB735C">
        <w:rPr>
          <w:rFonts w:cs="Arial"/>
          <w:lang w:val="ru-RU"/>
        </w:rPr>
        <w:t>Существующ</w:t>
      </w:r>
      <w:r>
        <w:rPr>
          <w:rFonts w:cs="Arial"/>
          <w:lang w:val="ru-RU"/>
        </w:rPr>
        <w:t>ая</w:t>
      </w:r>
      <w:r w:rsidRPr="00AB735C">
        <w:rPr>
          <w:rFonts w:cs="Arial"/>
          <w:lang w:val="ru-RU"/>
        </w:rPr>
        <w:t xml:space="preserve"> система </w:t>
      </w:r>
      <w:r w:rsidRPr="009347E4">
        <w:rPr>
          <w:rFonts w:cs="Arial"/>
          <w:lang w:val="ru-RU"/>
        </w:rPr>
        <w:t>документ</w:t>
      </w:r>
      <w:r>
        <w:rPr>
          <w:rFonts w:cs="Arial"/>
          <w:lang w:val="ru-RU"/>
        </w:rPr>
        <w:t xml:space="preserve">ооборота и </w:t>
      </w:r>
      <w:r w:rsidRPr="009347E4">
        <w:rPr>
          <w:rFonts w:cs="Arial"/>
          <w:lang w:val="ru-RU"/>
        </w:rPr>
        <w:t>управлени</w:t>
      </w:r>
      <w:r>
        <w:rPr>
          <w:rFonts w:cs="Arial"/>
          <w:lang w:val="ru-RU"/>
        </w:rPr>
        <w:t>я архивами</w:t>
      </w:r>
      <w:r w:rsidRPr="00AB735C">
        <w:rPr>
          <w:rFonts w:cs="Arial"/>
          <w:lang w:val="ru-RU"/>
        </w:rPr>
        <w:t xml:space="preserve"> </w:t>
      </w:r>
      <w:r w:rsidRPr="009347E4">
        <w:rPr>
          <w:rFonts w:cs="Arial"/>
          <w:lang w:val="ru-RU"/>
        </w:rPr>
        <w:t>Организаци</w:t>
      </w:r>
      <w:r>
        <w:rPr>
          <w:rFonts w:cs="Arial"/>
          <w:lang w:val="ru-RU"/>
        </w:rPr>
        <w:t>и была переведена на новую</w:t>
      </w:r>
      <w:r w:rsidRPr="00AB735C">
        <w:rPr>
          <w:rFonts w:cs="Arial"/>
          <w:lang w:val="ru-RU"/>
        </w:rPr>
        <w:t xml:space="preserve"> </w:t>
      </w:r>
      <w:r>
        <w:rPr>
          <w:rFonts w:cs="Arial"/>
          <w:lang w:val="ru-RU"/>
        </w:rPr>
        <w:t xml:space="preserve">платформу </w:t>
      </w:r>
      <w:r>
        <w:rPr>
          <w:rFonts w:cs="Arial"/>
        </w:rPr>
        <w:t>OpenText</w:t>
      </w:r>
      <w:r w:rsidRPr="00AB735C">
        <w:rPr>
          <w:rFonts w:cs="Arial"/>
          <w:lang w:val="ru-RU"/>
        </w:rPr>
        <w:t xml:space="preserve"> в </w:t>
      </w:r>
      <w:r>
        <w:rPr>
          <w:rFonts w:cs="Arial"/>
          <w:lang w:val="ru-RU"/>
        </w:rPr>
        <w:t>четвертом</w:t>
      </w:r>
      <w:r w:rsidRPr="00AB735C">
        <w:rPr>
          <w:rFonts w:cs="Arial"/>
          <w:lang w:val="ru-RU"/>
        </w:rPr>
        <w:t xml:space="preserve"> квартал</w:t>
      </w:r>
      <w:r>
        <w:rPr>
          <w:rFonts w:cs="Arial"/>
          <w:lang w:val="ru-RU"/>
        </w:rPr>
        <w:t>е</w:t>
      </w:r>
      <w:r w:rsidRPr="00AB735C">
        <w:rPr>
          <w:rFonts w:cs="Arial"/>
          <w:lang w:val="ru-RU"/>
        </w:rPr>
        <w:t xml:space="preserve">, </w:t>
      </w:r>
      <w:r>
        <w:rPr>
          <w:rFonts w:cs="Arial"/>
          <w:lang w:val="ru-RU"/>
        </w:rPr>
        <w:t>то есть на два</w:t>
      </w:r>
      <w:r w:rsidRPr="00AB735C">
        <w:rPr>
          <w:rFonts w:cs="Arial"/>
          <w:lang w:val="ru-RU"/>
        </w:rPr>
        <w:t xml:space="preserve"> </w:t>
      </w:r>
      <w:r>
        <w:rPr>
          <w:rFonts w:cs="Arial"/>
          <w:lang w:val="ru-RU"/>
        </w:rPr>
        <w:t xml:space="preserve">квартала ранее </w:t>
      </w:r>
      <w:r w:rsidRPr="00AB735C">
        <w:rPr>
          <w:rFonts w:cs="Arial"/>
          <w:lang w:val="ru-RU"/>
        </w:rPr>
        <w:t xml:space="preserve">первоначально </w:t>
      </w:r>
      <w:r>
        <w:rPr>
          <w:rFonts w:cs="Arial"/>
          <w:lang w:val="ru-RU"/>
        </w:rPr>
        <w:t>за</w:t>
      </w:r>
      <w:r w:rsidRPr="00AB735C">
        <w:rPr>
          <w:rFonts w:cs="Arial"/>
          <w:lang w:val="ru-RU"/>
        </w:rPr>
        <w:t>пла</w:t>
      </w:r>
      <w:r>
        <w:rPr>
          <w:rFonts w:cs="Arial"/>
          <w:lang w:val="ru-RU"/>
        </w:rPr>
        <w:t>нированного срока</w:t>
      </w:r>
      <w:r w:rsidRPr="00AB735C">
        <w:rPr>
          <w:rFonts w:cs="Arial"/>
          <w:lang w:val="ru-RU"/>
        </w:rPr>
        <w:t xml:space="preserve">, в связи с </w:t>
      </w:r>
      <w:r>
        <w:rPr>
          <w:rFonts w:cs="Arial"/>
          <w:lang w:val="ru-RU"/>
        </w:rPr>
        <w:t xml:space="preserve">прекращением </w:t>
      </w:r>
      <w:r w:rsidRPr="009347E4">
        <w:rPr>
          <w:rFonts w:cs="Arial"/>
          <w:lang w:val="ru-RU"/>
        </w:rPr>
        <w:t>компани</w:t>
      </w:r>
      <w:r>
        <w:rPr>
          <w:rFonts w:cs="Arial"/>
          <w:lang w:val="ru-RU"/>
        </w:rPr>
        <w:t xml:space="preserve">ей </w:t>
      </w:r>
      <w:r>
        <w:rPr>
          <w:rFonts w:cs="Arial"/>
        </w:rPr>
        <w:t>Microsoft</w:t>
      </w:r>
      <w:r w:rsidRPr="00AB735C">
        <w:rPr>
          <w:rFonts w:cs="Arial"/>
          <w:lang w:val="ru-RU"/>
        </w:rPr>
        <w:t xml:space="preserve"> </w:t>
      </w:r>
      <w:r w:rsidRPr="009347E4">
        <w:rPr>
          <w:rFonts w:cs="Arial"/>
          <w:lang w:val="ru-RU"/>
        </w:rPr>
        <w:t>техническ</w:t>
      </w:r>
      <w:r>
        <w:rPr>
          <w:rFonts w:cs="Arial"/>
          <w:lang w:val="ru-RU"/>
        </w:rPr>
        <w:t xml:space="preserve">ой </w:t>
      </w:r>
      <w:r w:rsidRPr="009347E4">
        <w:rPr>
          <w:rFonts w:cs="Arial"/>
          <w:lang w:val="ru-RU"/>
        </w:rPr>
        <w:t>поддержк</w:t>
      </w:r>
      <w:r>
        <w:rPr>
          <w:rFonts w:cs="Arial"/>
          <w:lang w:val="ru-RU"/>
        </w:rPr>
        <w:t xml:space="preserve">и </w:t>
      </w:r>
      <w:r w:rsidRPr="00AB735C">
        <w:rPr>
          <w:rFonts w:cs="Arial"/>
          <w:lang w:val="ru-RU"/>
        </w:rPr>
        <w:t>существующ</w:t>
      </w:r>
      <w:r>
        <w:rPr>
          <w:rFonts w:cs="Arial"/>
          <w:lang w:val="ru-RU"/>
        </w:rPr>
        <w:t>ей базовой платформы</w:t>
      </w:r>
      <w:r w:rsidRPr="00AB735C">
        <w:rPr>
          <w:rFonts w:cs="Arial"/>
          <w:lang w:val="ru-RU"/>
        </w:rPr>
        <w:t xml:space="preserve"> </w:t>
      </w:r>
      <w:r>
        <w:rPr>
          <w:rFonts w:cs="Arial"/>
          <w:lang w:val="ru-RU"/>
        </w:rPr>
        <w:t xml:space="preserve">с середины </w:t>
      </w:r>
      <w:r w:rsidRPr="00AB735C">
        <w:rPr>
          <w:rFonts w:cs="Arial"/>
          <w:lang w:val="ru-RU"/>
        </w:rPr>
        <w:t>сентября 2015</w:t>
      </w:r>
      <w:r>
        <w:rPr>
          <w:rFonts w:cs="Arial"/>
          <w:lang w:val="ru-RU"/>
        </w:rPr>
        <w:t xml:space="preserve"> г.; </w:t>
      </w:r>
    </w:p>
    <w:p w:rsidR="00C85043" w:rsidRPr="00AB735C" w:rsidRDefault="00C85043" w:rsidP="00BF61DC">
      <w:pPr>
        <w:pStyle w:val="ListParagraph"/>
        <w:numPr>
          <w:ilvl w:val="0"/>
          <w:numId w:val="117"/>
        </w:numPr>
        <w:tabs>
          <w:tab w:val="left" w:pos="993"/>
        </w:tabs>
        <w:spacing w:after="120"/>
        <w:ind w:left="992" w:hanging="425"/>
        <w:rPr>
          <w:rFonts w:cs="Arial"/>
          <w:lang w:val="ru-RU"/>
        </w:rPr>
      </w:pPr>
      <w:r>
        <w:rPr>
          <w:rFonts w:cs="Arial"/>
          <w:bCs/>
          <w:lang w:val="ru-RU"/>
        </w:rPr>
        <w:t xml:space="preserve">Закупочные </w:t>
      </w:r>
      <w:r w:rsidRPr="008076BA">
        <w:rPr>
          <w:rFonts w:cs="Arial"/>
          <w:bCs/>
          <w:lang w:val="ru-RU"/>
        </w:rPr>
        <w:t>процедур</w:t>
      </w:r>
      <w:r>
        <w:rPr>
          <w:rFonts w:cs="Arial"/>
          <w:bCs/>
          <w:lang w:val="ru-RU"/>
        </w:rPr>
        <w:t xml:space="preserve">ы, связанные с выбором </w:t>
      </w:r>
      <w:r w:rsidRPr="008076BA">
        <w:rPr>
          <w:rFonts w:cs="Arial"/>
          <w:bCs/>
          <w:lang w:val="ru-RU"/>
        </w:rPr>
        <w:t>компани</w:t>
      </w:r>
      <w:r>
        <w:rPr>
          <w:rFonts w:cs="Arial"/>
          <w:bCs/>
          <w:lang w:val="ru-RU"/>
        </w:rPr>
        <w:t xml:space="preserve">и для </w:t>
      </w:r>
      <w:r w:rsidRPr="008076BA">
        <w:rPr>
          <w:rFonts w:cs="Arial"/>
          <w:bCs/>
          <w:lang w:val="ru-RU"/>
        </w:rPr>
        <w:t>выполнени</w:t>
      </w:r>
      <w:r>
        <w:rPr>
          <w:rFonts w:cs="Arial"/>
          <w:bCs/>
          <w:lang w:val="ru-RU"/>
        </w:rPr>
        <w:t xml:space="preserve">я </w:t>
      </w:r>
      <w:r w:rsidRPr="008076BA">
        <w:rPr>
          <w:rFonts w:cs="Arial"/>
          <w:bCs/>
          <w:lang w:val="ru-RU"/>
        </w:rPr>
        <w:t>работ</w:t>
      </w:r>
      <w:r>
        <w:rPr>
          <w:rFonts w:cs="Arial"/>
          <w:bCs/>
          <w:lang w:val="ru-RU"/>
        </w:rPr>
        <w:t xml:space="preserve"> по </w:t>
      </w:r>
      <w:r w:rsidRPr="008076BA">
        <w:rPr>
          <w:rFonts w:cs="Arial"/>
          <w:bCs/>
          <w:lang w:val="ru-RU"/>
        </w:rPr>
        <w:t>проект</w:t>
      </w:r>
      <w:r>
        <w:rPr>
          <w:rFonts w:cs="Arial"/>
          <w:bCs/>
          <w:lang w:val="ru-RU"/>
        </w:rPr>
        <w:t>ированию</w:t>
      </w:r>
      <w:r w:rsidRPr="00AB735C">
        <w:rPr>
          <w:rFonts w:cs="Arial"/>
          <w:bCs/>
          <w:lang w:val="ru-RU"/>
        </w:rPr>
        <w:t xml:space="preserve">, </w:t>
      </w:r>
      <w:r w:rsidRPr="008076BA">
        <w:rPr>
          <w:rFonts w:cs="Arial"/>
          <w:bCs/>
          <w:lang w:val="ru-RU"/>
        </w:rPr>
        <w:t>разработк</w:t>
      </w:r>
      <w:r>
        <w:rPr>
          <w:rFonts w:cs="Arial"/>
          <w:bCs/>
          <w:lang w:val="ru-RU"/>
        </w:rPr>
        <w:t xml:space="preserve">е </w:t>
      </w:r>
      <w:r w:rsidRPr="008076BA">
        <w:rPr>
          <w:rFonts w:cs="Arial"/>
          <w:bCs/>
          <w:lang w:val="ru-RU"/>
        </w:rPr>
        <w:t>конфигураци</w:t>
      </w:r>
      <w:r>
        <w:rPr>
          <w:rFonts w:cs="Arial"/>
          <w:bCs/>
          <w:lang w:val="ru-RU"/>
        </w:rPr>
        <w:t>и</w:t>
      </w:r>
      <w:r w:rsidRPr="00AB735C">
        <w:rPr>
          <w:rFonts w:cs="Arial"/>
          <w:bCs/>
          <w:lang w:val="ru-RU"/>
        </w:rPr>
        <w:t>, реализаци</w:t>
      </w:r>
      <w:r>
        <w:rPr>
          <w:rFonts w:cs="Arial"/>
          <w:bCs/>
          <w:lang w:val="ru-RU"/>
        </w:rPr>
        <w:t>и</w:t>
      </w:r>
      <w:r w:rsidRPr="00AB735C">
        <w:rPr>
          <w:rFonts w:cs="Arial"/>
          <w:bCs/>
          <w:lang w:val="ru-RU"/>
        </w:rPr>
        <w:t xml:space="preserve"> и </w:t>
      </w:r>
      <w:r>
        <w:rPr>
          <w:rFonts w:cs="Arial"/>
          <w:bCs/>
          <w:lang w:val="ru-RU"/>
        </w:rPr>
        <w:t xml:space="preserve">поддержке </w:t>
      </w:r>
      <w:r w:rsidRPr="008076BA">
        <w:rPr>
          <w:rFonts w:cs="Arial"/>
          <w:bCs/>
          <w:lang w:val="ru-RU"/>
        </w:rPr>
        <w:t>проект</w:t>
      </w:r>
      <w:r>
        <w:rPr>
          <w:rFonts w:cs="Arial"/>
          <w:bCs/>
          <w:lang w:val="ru-RU"/>
        </w:rPr>
        <w:t xml:space="preserve">а создания </w:t>
      </w:r>
      <w:r w:rsidRPr="008076BA">
        <w:rPr>
          <w:rFonts w:cs="Arial"/>
          <w:bCs/>
          <w:lang w:val="ru-RU"/>
        </w:rPr>
        <w:t>систем</w:t>
      </w:r>
      <w:r>
        <w:rPr>
          <w:rFonts w:cs="Arial"/>
          <w:bCs/>
          <w:lang w:val="ru-RU"/>
        </w:rPr>
        <w:t>ы УОИК</w:t>
      </w:r>
      <w:r w:rsidRPr="00AB735C">
        <w:rPr>
          <w:rFonts w:cs="Arial"/>
          <w:bCs/>
          <w:lang w:val="ru-RU"/>
        </w:rPr>
        <w:t xml:space="preserve"> </w:t>
      </w:r>
      <w:r>
        <w:rPr>
          <w:rFonts w:cs="Arial"/>
          <w:bCs/>
          <w:lang w:val="ru-RU"/>
        </w:rPr>
        <w:t xml:space="preserve">начались с рассылки в </w:t>
      </w:r>
      <w:r w:rsidRPr="00AB735C">
        <w:rPr>
          <w:rFonts w:cs="Arial"/>
          <w:bCs/>
          <w:lang w:val="ru-RU"/>
        </w:rPr>
        <w:t>ноябр</w:t>
      </w:r>
      <w:r>
        <w:rPr>
          <w:rFonts w:cs="Arial"/>
          <w:bCs/>
          <w:lang w:val="ru-RU"/>
        </w:rPr>
        <w:t>е</w:t>
      </w:r>
      <w:r w:rsidRPr="00AB735C">
        <w:rPr>
          <w:rFonts w:cs="Arial"/>
          <w:bCs/>
          <w:lang w:val="ru-RU"/>
        </w:rPr>
        <w:t xml:space="preserve"> 2015</w:t>
      </w:r>
      <w:r>
        <w:rPr>
          <w:rFonts w:cs="Arial"/>
          <w:bCs/>
          <w:lang w:val="ru-RU"/>
        </w:rPr>
        <w:t xml:space="preserve"> г. </w:t>
      </w:r>
      <w:r w:rsidRPr="00AB735C">
        <w:rPr>
          <w:rFonts w:cs="Arial"/>
          <w:bCs/>
          <w:lang w:val="ru-RU"/>
        </w:rPr>
        <w:t>запрос</w:t>
      </w:r>
      <w:r>
        <w:rPr>
          <w:rFonts w:cs="Arial"/>
          <w:bCs/>
          <w:lang w:val="ru-RU"/>
        </w:rPr>
        <w:t>ов на информацию</w:t>
      </w:r>
      <w:r w:rsidRPr="00AB735C">
        <w:rPr>
          <w:rFonts w:cs="Arial"/>
          <w:bCs/>
          <w:lang w:val="ru-RU"/>
        </w:rPr>
        <w:t xml:space="preserve"> (ЗИ). </w:t>
      </w:r>
      <w:r>
        <w:rPr>
          <w:rFonts w:cs="Arial"/>
          <w:bCs/>
          <w:lang w:val="ru-RU"/>
        </w:rPr>
        <w:t>В марте</w:t>
      </w:r>
      <w:r w:rsidRPr="00AB735C">
        <w:rPr>
          <w:rFonts w:cs="Arial"/>
          <w:bCs/>
          <w:lang w:val="ru-RU"/>
        </w:rPr>
        <w:t xml:space="preserve"> 2016</w:t>
      </w:r>
      <w:r>
        <w:rPr>
          <w:rFonts w:cs="Arial"/>
          <w:bCs/>
          <w:lang w:val="ru-RU"/>
        </w:rPr>
        <w:t xml:space="preserve"> г. компаниям, </w:t>
      </w:r>
      <w:r w:rsidRPr="008076BA">
        <w:rPr>
          <w:rFonts w:cs="Arial"/>
          <w:bCs/>
          <w:lang w:val="ru-RU"/>
        </w:rPr>
        <w:t>котор</w:t>
      </w:r>
      <w:r>
        <w:rPr>
          <w:rFonts w:cs="Arial"/>
          <w:bCs/>
          <w:lang w:val="ru-RU"/>
        </w:rPr>
        <w:t xml:space="preserve">ые войдут в уточненный список кандидатов по окончании </w:t>
      </w:r>
      <w:r w:rsidRPr="008076BA">
        <w:rPr>
          <w:rFonts w:cs="Arial"/>
          <w:bCs/>
          <w:lang w:val="ru-RU"/>
        </w:rPr>
        <w:t>процедур</w:t>
      </w:r>
      <w:r>
        <w:rPr>
          <w:rFonts w:cs="Arial"/>
          <w:bCs/>
          <w:lang w:val="ru-RU"/>
        </w:rPr>
        <w:t xml:space="preserve">ы </w:t>
      </w:r>
      <w:r w:rsidRPr="00AB735C">
        <w:rPr>
          <w:rFonts w:cs="Arial"/>
          <w:bCs/>
          <w:lang w:val="ru-RU"/>
        </w:rPr>
        <w:t>ЗИ</w:t>
      </w:r>
      <w:r>
        <w:rPr>
          <w:rFonts w:cs="Arial"/>
          <w:bCs/>
          <w:lang w:val="ru-RU"/>
        </w:rPr>
        <w:t xml:space="preserve">, будут направлены </w:t>
      </w:r>
      <w:r w:rsidRPr="00AB735C">
        <w:rPr>
          <w:rFonts w:cs="Arial"/>
          <w:bCs/>
          <w:lang w:val="ru-RU"/>
        </w:rPr>
        <w:t>полн</w:t>
      </w:r>
      <w:r>
        <w:rPr>
          <w:rFonts w:cs="Arial"/>
          <w:bCs/>
          <w:lang w:val="ru-RU"/>
        </w:rPr>
        <w:t>ые</w:t>
      </w:r>
      <w:r w:rsidRPr="00AB735C">
        <w:rPr>
          <w:rFonts w:cs="Arial"/>
          <w:bCs/>
          <w:lang w:val="ru-RU"/>
        </w:rPr>
        <w:t xml:space="preserve"> запрос</w:t>
      </w:r>
      <w:r>
        <w:rPr>
          <w:rFonts w:cs="Arial"/>
          <w:bCs/>
          <w:lang w:val="ru-RU"/>
        </w:rPr>
        <w:t>ы</w:t>
      </w:r>
      <w:r w:rsidRPr="00AB735C">
        <w:rPr>
          <w:rFonts w:cs="Arial"/>
          <w:bCs/>
          <w:lang w:val="ru-RU"/>
        </w:rPr>
        <w:t xml:space="preserve"> </w:t>
      </w:r>
      <w:r>
        <w:rPr>
          <w:rFonts w:cs="Arial"/>
          <w:bCs/>
          <w:lang w:val="ru-RU"/>
        </w:rPr>
        <w:t>на предложения</w:t>
      </w:r>
      <w:r w:rsidRPr="00AB735C">
        <w:rPr>
          <w:rFonts w:cs="Arial"/>
          <w:bCs/>
          <w:lang w:val="ru-RU"/>
        </w:rPr>
        <w:t xml:space="preserve"> (</w:t>
      </w:r>
      <w:r>
        <w:rPr>
          <w:rFonts w:cs="Arial"/>
          <w:bCs/>
          <w:lang w:val="ru-RU"/>
        </w:rPr>
        <w:t>ЗП).</w:t>
      </w:r>
    </w:p>
    <w:p w:rsidR="00C85043" w:rsidRPr="00AB735C" w:rsidRDefault="00C85043" w:rsidP="00C85043">
      <w:pPr>
        <w:rPr>
          <w:rFonts w:cs="Arial"/>
          <w:bCs/>
          <w:lang w:val="ru-RU"/>
        </w:rPr>
      </w:pPr>
    </w:p>
    <w:p w:rsidR="00C85043" w:rsidRPr="008076BA" w:rsidRDefault="00C85043" w:rsidP="00BF61DC">
      <w:pPr>
        <w:pStyle w:val="ONUME"/>
        <w:numPr>
          <w:ilvl w:val="0"/>
          <w:numId w:val="110"/>
        </w:numPr>
        <w:tabs>
          <w:tab w:val="left" w:pos="567"/>
        </w:tabs>
        <w:spacing w:after="0"/>
        <w:ind w:left="0" w:firstLine="0"/>
        <w:jc w:val="both"/>
        <w:rPr>
          <w:bCs/>
          <w:lang w:val="ru-RU"/>
        </w:rPr>
      </w:pPr>
      <w:r w:rsidRPr="001929AA">
        <w:rPr>
          <w:bCs/>
          <w:lang w:val="ru-RU"/>
        </w:rPr>
        <w:t xml:space="preserve">В связи с </w:t>
      </w:r>
      <w:r w:rsidRPr="001929AA">
        <w:rPr>
          <w:bCs/>
          <w:snapToGrid w:val="0"/>
          <w:lang w:val="ru-RU"/>
        </w:rPr>
        <w:t>применени</w:t>
      </w:r>
      <w:r w:rsidRPr="001929AA">
        <w:rPr>
          <w:bCs/>
          <w:lang w:val="ru-RU"/>
        </w:rPr>
        <w:t xml:space="preserve">ем комплексной проверки </w:t>
      </w:r>
      <w:r>
        <w:rPr>
          <w:bCs/>
          <w:lang w:val="ru-RU"/>
        </w:rPr>
        <w:t>в</w:t>
      </w:r>
      <w:r w:rsidRPr="00AB735C">
        <w:rPr>
          <w:bCs/>
          <w:lang w:val="ru-RU"/>
        </w:rPr>
        <w:t>ыбор</w:t>
      </w:r>
      <w:r>
        <w:rPr>
          <w:bCs/>
          <w:lang w:val="ru-RU"/>
        </w:rPr>
        <w:t>а</w:t>
      </w:r>
      <w:r w:rsidRPr="00AB735C">
        <w:rPr>
          <w:bCs/>
          <w:lang w:val="ru-RU"/>
        </w:rPr>
        <w:t xml:space="preserve"> техническ</w:t>
      </w:r>
      <w:r>
        <w:rPr>
          <w:bCs/>
          <w:lang w:val="ru-RU"/>
        </w:rPr>
        <w:t>ого</w:t>
      </w:r>
      <w:r w:rsidRPr="00AB735C">
        <w:rPr>
          <w:bCs/>
          <w:lang w:val="ru-RU"/>
        </w:rPr>
        <w:t xml:space="preserve"> решени</w:t>
      </w:r>
      <w:r>
        <w:rPr>
          <w:bCs/>
          <w:lang w:val="ru-RU"/>
        </w:rPr>
        <w:t xml:space="preserve">я </w:t>
      </w:r>
      <w:r w:rsidRPr="001929AA">
        <w:rPr>
          <w:bCs/>
          <w:lang w:val="ru-RU"/>
        </w:rPr>
        <w:t>по дополнительным параметрам, включая более строгую процедуру внутренн</w:t>
      </w:r>
      <w:r>
        <w:rPr>
          <w:bCs/>
          <w:lang w:val="ru-RU"/>
        </w:rPr>
        <w:t>его согласования</w:t>
      </w:r>
      <w:r w:rsidRPr="001929AA">
        <w:rPr>
          <w:bCs/>
          <w:lang w:val="ru-RU"/>
        </w:rPr>
        <w:t xml:space="preserve">, процедура </w:t>
      </w:r>
      <w:r>
        <w:rPr>
          <w:bCs/>
          <w:lang w:val="ru-RU"/>
        </w:rPr>
        <w:t xml:space="preserve">его </w:t>
      </w:r>
      <w:r w:rsidRPr="001929AA">
        <w:rPr>
          <w:bCs/>
          <w:lang w:val="ru-RU"/>
        </w:rPr>
        <w:t>выбора заняла больше времени, чем ожидалось</w:t>
      </w:r>
      <w:r w:rsidRPr="00AB735C">
        <w:rPr>
          <w:bCs/>
          <w:lang w:val="ru-RU"/>
        </w:rPr>
        <w:t xml:space="preserve">, </w:t>
      </w:r>
      <w:r>
        <w:rPr>
          <w:bCs/>
          <w:lang w:val="ru-RU"/>
        </w:rPr>
        <w:t xml:space="preserve">что привело к отставанию </w:t>
      </w:r>
      <w:r w:rsidRPr="00AB735C">
        <w:rPr>
          <w:bCs/>
          <w:lang w:val="ru-RU"/>
        </w:rPr>
        <w:t>проект</w:t>
      </w:r>
      <w:r>
        <w:rPr>
          <w:bCs/>
          <w:lang w:val="ru-RU"/>
        </w:rPr>
        <w:t xml:space="preserve">а от </w:t>
      </w:r>
      <w:r w:rsidRPr="00AB735C">
        <w:rPr>
          <w:bCs/>
          <w:lang w:val="ru-RU"/>
        </w:rPr>
        <w:t>график</w:t>
      </w:r>
      <w:r>
        <w:rPr>
          <w:bCs/>
          <w:lang w:val="ru-RU"/>
        </w:rPr>
        <w:t>а</w:t>
      </w:r>
      <w:r w:rsidRPr="00AB735C">
        <w:rPr>
          <w:bCs/>
          <w:lang w:val="ru-RU"/>
        </w:rPr>
        <w:t>.</w:t>
      </w:r>
      <w:r>
        <w:rPr>
          <w:bCs/>
          <w:lang w:val="ru-RU"/>
        </w:rPr>
        <w:t xml:space="preserve"> </w:t>
      </w:r>
      <w:r w:rsidRPr="00C24D09">
        <w:rPr>
          <w:bCs/>
          <w:lang w:val="ru-RU"/>
        </w:rPr>
        <w:t>В</w:t>
      </w:r>
      <w:r>
        <w:rPr>
          <w:bCs/>
        </w:rPr>
        <w:t> </w:t>
      </w:r>
      <w:r w:rsidRPr="00C24D09">
        <w:rPr>
          <w:bCs/>
          <w:lang w:val="ru-RU"/>
        </w:rPr>
        <w:t>связи с этим</w:t>
      </w:r>
      <w:r>
        <w:rPr>
          <w:bCs/>
          <w:lang w:val="ru-RU"/>
        </w:rPr>
        <w:t xml:space="preserve"> в график </w:t>
      </w:r>
      <w:r w:rsidRPr="00C24D09">
        <w:rPr>
          <w:bCs/>
          <w:lang w:val="ru-RU"/>
        </w:rPr>
        <w:t>проект</w:t>
      </w:r>
      <w:r>
        <w:rPr>
          <w:bCs/>
          <w:lang w:val="ru-RU"/>
        </w:rPr>
        <w:t xml:space="preserve">а были внесены </w:t>
      </w:r>
      <w:r w:rsidRPr="00C24D09">
        <w:rPr>
          <w:bCs/>
          <w:lang w:val="ru-RU"/>
        </w:rPr>
        <w:t>соответствующ</w:t>
      </w:r>
      <w:r>
        <w:rPr>
          <w:bCs/>
          <w:lang w:val="ru-RU"/>
        </w:rPr>
        <w:t xml:space="preserve">ие </w:t>
      </w:r>
      <w:r w:rsidRPr="00632EAA">
        <w:rPr>
          <w:bCs/>
          <w:lang w:val="ru-RU"/>
        </w:rPr>
        <w:t>изменени</w:t>
      </w:r>
      <w:r>
        <w:rPr>
          <w:bCs/>
          <w:lang w:val="ru-RU"/>
        </w:rPr>
        <w:t>я</w:t>
      </w:r>
      <w:r w:rsidRPr="004523CA">
        <w:rPr>
          <w:bCs/>
          <w:lang w:val="ru-RU"/>
        </w:rPr>
        <w:t xml:space="preserve">. </w:t>
      </w:r>
    </w:p>
    <w:p w:rsidR="00C85043" w:rsidRPr="008076BA" w:rsidRDefault="00C85043" w:rsidP="00C85043">
      <w:pPr>
        <w:rPr>
          <w:rFonts w:cs="Arial"/>
          <w:lang w:val="ru-RU"/>
        </w:rPr>
      </w:pPr>
    </w:p>
    <w:p w:rsidR="00C85043" w:rsidRPr="008076BA" w:rsidRDefault="00C85043" w:rsidP="00C85043">
      <w:pPr>
        <w:rPr>
          <w:rFonts w:cs="Arial"/>
          <w:bCs/>
          <w:szCs w:val="20"/>
          <w:lang w:val="ru-RU"/>
        </w:rPr>
      </w:pPr>
    </w:p>
    <w:p w:rsidR="00EB5F29" w:rsidRPr="00B82873" w:rsidRDefault="00EB5F29">
      <w:pPr>
        <w:rPr>
          <w:rFonts w:cs="Arial"/>
          <w:bCs/>
          <w:szCs w:val="20"/>
          <w:lang w:val="ru-RU"/>
        </w:rPr>
      </w:pPr>
      <w:r w:rsidRPr="00B82873">
        <w:rPr>
          <w:rFonts w:cs="Arial"/>
          <w:bCs/>
          <w:szCs w:val="20"/>
          <w:lang w:val="ru-RU"/>
        </w:rPr>
        <w:br w:type="page"/>
      </w:r>
    </w:p>
    <w:p w:rsidR="00C85043" w:rsidRPr="00CC07E1" w:rsidRDefault="00C85043" w:rsidP="00C85043">
      <w:pPr>
        <w:rPr>
          <w:rFonts w:cs="Arial"/>
          <w:bCs/>
          <w:szCs w:val="20"/>
        </w:rPr>
      </w:pPr>
      <w:r>
        <w:rPr>
          <w:rFonts w:cs="Arial"/>
          <w:bCs/>
          <w:szCs w:val="20"/>
        </w:rPr>
        <w:t>РЕАЛИЗАЦИЯ ПОЛОЖИТЕЛЬНЫХ РЕЗУЛЬТАТОВ</w:t>
      </w:r>
    </w:p>
    <w:p w:rsidR="00C85043" w:rsidRDefault="00C85043" w:rsidP="00C85043">
      <w:pPr>
        <w:pStyle w:val="ONUME"/>
        <w:tabs>
          <w:tab w:val="left" w:pos="567"/>
        </w:tabs>
        <w:spacing w:after="0"/>
        <w:jc w:val="both"/>
      </w:pPr>
    </w:p>
    <w:tbl>
      <w:tblPr>
        <w:tblW w:w="4990" w:type="pct"/>
        <w:jc w:val="center"/>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73"/>
        <w:gridCol w:w="3473"/>
        <w:gridCol w:w="2606"/>
      </w:tblGrid>
      <w:tr w:rsidR="00C85043" w:rsidRPr="005C6ABD" w:rsidTr="00C85043">
        <w:trPr>
          <w:trHeight w:val="535"/>
          <w:tblHeader/>
          <w:jc w:val="center"/>
        </w:trPr>
        <w:tc>
          <w:tcPr>
            <w:tcW w:w="1818" w:type="pct"/>
            <w:shd w:val="clear" w:color="auto" w:fill="C6D9F1"/>
            <w:vAlign w:val="center"/>
          </w:tcPr>
          <w:p w:rsidR="00C85043" w:rsidRPr="000C5D6F" w:rsidRDefault="00C85043" w:rsidP="00C85043">
            <w:pPr>
              <w:jc w:val="center"/>
              <w:rPr>
                <w:b/>
                <w:bCs/>
                <w:sz w:val="16"/>
                <w:szCs w:val="16"/>
                <w:lang w:val="ru-RU"/>
              </w:rPr>
            </w:pPr>
            <w:r w:rsidRPr="000C5D6F">
              <w:rPr>
                <w:b/>
                <w:bCs/>
                <w:sz w:val="16"/>
                <w:szCs w:val="16"/>
                <w:lang w:val="ru-RU"/>
              </w:rPr>
              <w:t>Положительные результаты, ожидаемые в 2016 г.</w:t>
            </w:r>
          </w:p>
        </w:tc>
        <w:tc>
          <w:tcPr>
            <w:tcW w:w="1818" w:type="pct"/>
            <w:shd w:val="clear" w:color="auto" w:fill="C6D9F1"/>
            <w:vAlign w:val="center"/>
          </w:tcPr>
          <w:p w:rsidR="00C85043" w:rsidRPr="000C5D6F" w:rsidRDefault="00C85043" w:rsidP="00C85043">
            <w:pPr>
              <w:jc w:val="center"/>
              <w:rPr>
                <w:b/>
                <w:bCs/>
                <w:sz w:val="16"/>
                <w:szCs w:val="16"/>
                <w:lang w:val="ru-RU"/>
              </w:rPr>
            </w:pPr>
            <w:r w:rsidRPr="000C5D6F">
              <w:rPr>
                <w:b/>
                <w:bCs/>
                <w:sz w:val="16"/>
                <w:szCs w:val="16"/>
                <w:lang w:val="ru-RU"/>
              </w:rPr>
              <w:t>Положительные результаты, ожидаемые в 2017 г.</w:t>
            </w:r>
          </w:p>
        </w:tc>
        <w:tc>
          <w:tcPr>
            <w:tcW w:w="1364" w:type="pct"/>
            <w:shd w:val="clear" w:color="auto" w:fill="C6D9F1"/>
          </w:tcPr>
          <w:p w:rsidR="00C85043" w:rsidRPr="000C5D6F" w:rsidRDefault="00C85043" w:rsidP="00C85043">
            <w:pPr>
              <w:jc w:val="center"/>
              <w:rPr>
                <w:b/>
                <w:bCs/>
                <w:sz w:val="16"/>
                <w:szCs w:val="16"/>
                <w:lang w:val="ru-RU"/>
              </w:rPr>
            </w:pPr>
          </w:p>
          <w:p w:rsidR="00C85043" w:rsidRPr="000C5D6F" w:rsidRDefault="00C85043" w:rsidP="00C85043">
            <w:pPr>
              <w:jc w:val="center"/>
              <w:rPr>
                <w:b/>
                <w:bCs/>
                <w:sz w:val="16"/>
                <w:szCs w:val="16"/>
                <w:lang w:val="ru-RU"/>
              </w:rPr>
            </w:pPr>
            <w:r w:rsidRPr="000C5D6F">
              <w:rPr>
                <w:b/>
                <w:bCs/>
                <w:sz w:val="16"/>
                <w:szCs w:val="16"/>
                <w:lang w:val="ru-RU"/>
              </w:rPr>
              <w:t>Положительные результаты, ожидаемые в 2018 г.</w:t>
            </w:r>
          </w:p>
        </w:tc>
      </w:tr>
      <w:tr w:rsidR="00C85043" w:rsidRPr="005C6ABD" w:rsidTr="00C85043">
        <w:trPr>
          <w:trHeight w:val="564"/>
          <w:jc w:val="center"/>
        </w:trPr>
        <w:tc>
          <w:tcPr>
            <w:tcW w:w="1818" w:type="pct"/>
            <w:shd w:val="clear" w:color="auto" w:fill="auto"/>
          </w:tcPr>
          <w:p w:rsidR="00C85043" w:rsidRPr="002521BC" w:rsidRDefault="00C85043" w:rsidP="00C85043">
            <w:pPr>
              <w:rPr>
                <w:sz w:val="16"/>
                <w:lang w:val="ru-RU"/>
              </w:rPr>
            </w:pPr>
            <w:r>
              <w:rPr>
                <w:b/>
                <w:bCs/>
                <w:i/>
                <w:iCs/>
                <w:sz w:val="16"/>
                <w:szCs w:val="16"/>
                <w:lang w:val="ru-RU"/>
              </w:rPr>
              <w:t xml:space="preserve">После </w:t>
            </w:r>
            <w:r w:rsidRPr="00301AD6">
              <w:rPr>
                <w:b/>
                <w:bCs/>
                <w:i/>
                <w:iCs/>
                <w:sz w:val="16"/>
                <w:szCs w:val="16"/>
                <w:lang w:val="ru-RU"/>
              </w:rPr>
              <w:t>усовершенствовани</w:t>
            </w:r>
            <w:r>
              <w:rPr>
                <w:b/>
                <w:bCs/>
                <w:i/>
                <w:iCs/>
                <w:sz w:val="16"/>
                <w:szCs w:val="16"/>
                <w:lang w:val="ru-RU"/>
              </w:rPr>
              <w:t>я внутри</w:t>
            </w:r>
            <w:r w:rsidRPr="00301AD6">
              <w:rPr>
                <w:b/>
                <w:bCs/>
                <w:i/>
                <w:iCs/>
                <w:sz w:val="16"/>
                <w:szCs w:val="16"/>
                <w:lang w:val="ru-RU"/>
              </w:rPr>
              <w:t>организаци</w:t>
            </w:r>
            <w:r>
              <w:rPr>
                <w:b/>
                <w:bCs/>
                <w:i/>
                <w:iCs/>
                <w:sz w:val="16"/>
                <w:szCs w:val="16"/>
                <w:lang w:val="ru-RU"/>
              </w:rPr>
              <w:t xml:space="preserve">онной </w:t>
            </w:r>
            <w:r w:rsidRPr="00301AD6">
              <w:rPr>
                <w:b/>
                <w:bCs/>
                <w:i/>
                <w:iCs/>
                <w:sz w:val="16"/>
                <w:szCs w:val="16"/>
                <w:lang w:val="ru-RU"/>
              </w:rPr>
              <w:t>систем</w:t>
            </w:r>
            <w:r>
              <w:rPr>
                <w:b/>
                <w:bCs/>
                <w:i/>
                <w:iCs/>
                <w:sz w:val="16"/>
                <w:szCs w:val="16"/>
                <w:lang w:val="ru-RU"/>
              </w:rPr>
              <w:t xml:space="preserve">ы документооборота </w:t>
            </w:r>
            <w:r w:rsidRPr="00301AD6">
              <w:rPr>
                <w:b/>
                <w:bCs/>
                <w:i/>
                <w:iCs/>
                <w:sz w:val="16"/>
                <w:szCs w:val="16"/>
                <w:lang w:val="ru-RU"/>
              </w:rPr>
              <w:t>и работ</w:t>
            </w:r>
            <w:r>
              <w:rPr>
                <w:b/>
                <w:bCs/>
                <w:i/>
                <w:iCs/>
                <w:sz w:val="16"/>
                <w:szCs w:val="16"/>
                <w:lang w:val="ru-RU"/>
              </w:rPr>
              <w:t>ы с архивами</w:t>
            </w:r>
            <w:r w:rsidRPr="00301AD6">
              <w:rPr>
                <w:b/>
                <w:bCs/>
                <w:i/>
                <w:iCs/>
                <w:sz w:val="16"/>
                <w:szCs w:val="16"/>
                <w:lang w:val="ru-RU"/>
              </w:rPr>
              <w:t>:</w:t>
            </w:r>
          </w:p>
          <w:p w:rsidR="00C85043" w:rsidRPr="00301AD6" w:rsidRDefault="00C85043" w:rsidP="00C85043">
            <w:pPr>
              <w:contextualSpacing/>
              <w:jc w:val="both"/>
              <w:rPr>
                <w:sz w:val="16"/>
                <w:lang w:val="ru-RU"/>
              </w:rPr>
            </w:pPr>
            <w:r>
              <w:rPr>
                <w:sz w:val="16"/>
                <w:lang w:val="ru-RU"/>
              </w:rPr>
              <w:t xml:space="preserve">Предусмотрен </w:t>
            </w:r>
            <w:r w:rsidRPr="00301AD6">
              <w:rPr>
                <w:sz w:val="16"/>
                <w:lang w:val="ru-RU"/>
              </w:rPr>
              <w:t>«быстры</w:t>
            </w:r>
            <w:r>
              <w:rPr>
                <w:sz w:val="16"/>
                <w:lang w:val="ru-RU"/>
              </w:rPr>
              <w:t>й</w:t>
            </w:r>
            <w:r w:rsidRPr="00301AD6">
              <w:rPr>
                <w:sz w:val="16"/>
                <w:lang w:val="ru-RU"/>
              </w:rPr>
              <w:t xml:space="preserve"> результат» </w:t>
            </w:r>
            <w:r>
              <w:rPr>
                <w:sz w:val="16"/>
                <w:lang w:val="ru-RU"/>
              </w:rPr>
              <w:t xml:space="preserve">в форме </w:t>
            </w:r>
            <w:r w:rsidRPr="00301AD6">
              <w:rPr>
                <w:sz w:val="16"/>
                <w:lang w:val="ru-RU"/>
              </w:rPr>
              <w:t xml:space="preserve">более </w:t>
            </w:r>
            <w:r>
              <w:rPr>
                <w:sz w:val="16"/>
                <w:lang w:val="ru-RU"/>
              </w:rPr>
              <w:t>оперативных</w:t>
            </w:r>
            <w:r w:rsidRPr="00301AD6">
              <w:rPr>
                <w:sz w:val="16"/>
                <w:lang w:val="ru-RU"/>
              </w:rPr>
              <w:t xml:space="preserve"> процедур сканирования документ</w:t>
            </w:r>
            <w:r>
              <w:rPr>
                <w:sz w:val="16"/>
                <w:lang w:val="ru-RU"/>
              </w:rPr>
              <w:t>ации,</w:t>
            </w:r>
            <w:r w:rsidRPr="00301AD6">
              <w:rPr>
                <w:sz w:val="16"/>
                <w:lang w:val="ru-RU"/>
              </w:rPr>
              <w:t xml:space="preserve"> включая </w:t>
            </w:r>
            <w:r>
              <w:rPr>
                <w:sz w:val="16"/>
                <w:lang w:val="ru-RU"/>
              </w:rPr>
              <w:t>сканирование входящей почты</w:t>
            </w:r>
            <w:r w:rsidRPr="00301AD6">
              <w:rPr>
                <w:sz w:val="16"/>
                <w:lang w:val="ru-RU"/>
              </w:rPr>
              <w:t xml:space="preserve">, </w:t>
            </w:r>
            <w:r>
              <w:rPr>
                <w:sz w:val="16"/>
                <w:lang w:val="ru-RU"/>
              </w:rPr>
              <w:t xml:space="preserve">что позволит сократить </w:t>
            </w:r>
            <w:r w:rsidRPr="00301AD6">
              <w:rPr>
                <w:sz w:val="16"/>
                <w:lang w:val="ru-RU"/>
              </w:rPr>
              <w:t>затрат</w:t>
            </w:r>
            <w:r>
              <w:rPr>
                <w:sz w:val="16"/>
                <w:lang w:val="ru-RU"/>
              </w:rPr>
              <w:t xml:space="preserve">ы времени </w:t>
            </w:r>
            <w:r w:rsidRPr="00301AD6">
              <w:rPr>
                <w:sz w:val="16"/>
                <w:lang w:val="ru-RU"/>
              </w:rPr>
              <w:t>сотрудник</w:t>
            </w:r>
            <w:r>
              <w:rPr>
                <w:sz w:val="16"/>
                <w:lang w:val="ru-RU"/>
              </w:rPr>
              <w:t xml:space="preserve">ов на </w:t>
            </w:r>
            <w:r w:rsidRPr="00301AD6">
              <w:rPr>
                <w:sz w:val="16"/>
                <w:lang w:val="ru-RU"/>
              </w:rPr>
              <w:t>выполнени</w:t>
            </w:r>
            <w:r>
              <w:rPr>
                <w:sz w:val="16"/>
                <w:lang w:val="ru-RU"/>
              </w:rPr>
              <w:t xml:space="preserve">е этих </w:t>
            </w:r>
            <w:r w:rsidRPr="00301AD6">
              <w:rPr>
                <w:sz w:val="16"/>
                <w:lang w:val="ru-RU"/>
              </w:rPr>
              <w:t>операци</w:t>
            </w:r>
            <w:r>
              <w:rPr>
                <w:sz w:val="16"/>
                <w:lang w:val="ru-RU"/>
              </w:rPr>
              <w:t>й</w:t>
            </w:r>
            <w:r w:rsidRPr="00301AD6">
              <w:rPr>
                <w:sz w:val="16"/>
                <w:lang w:val="ru-RU"/>
              </w:rPr>
              <w:t>.</w:t>
            </w:r>
          </w:p>
          <w:p w:rsidR="00C85043" w:rsidRPr="00301AD6" w:rsidRDefault="00C85043" w:rsidP="00C85043">
            <w:pPr>
              <w:contextualSpacing/>
              <w:jc w:val="both"/>
              <w:rPr>
                <w:sz w:val="16"/>
                <w:lang w:val="ru-RU"/>
              </w:rPr>
            </w:pPr>
          </w:p>
          <w:p w:rsidR="00C85043" w:rsidRPr="00301AD6" w:rsidRDefault="00C85043" w:rsidP="00C85043">
            <w:pPr>
              <w:contextualSpacing/>
              <w:jc w:val="both"/>
              <w:rPr>
                <w:sz w:val="16"/>
                <w:lang w:val="ru-RU"/>
              </w:rPr>
            </w:pPr>
            <w:r>
              <w:rPr>
                <w:sz w:val="16"/>
                <w:lang w:val="ru-RU"/>
              </w:rPr>
              <w:t>Более</w:t>
            </w:r>
            <w:r w:rsidRPr="00301AD6">
              <w:rPr>
                <w:sz w:val="16"/>
                <w:lang w:val="ru-RU"/>
              </w:rPr>
              <w:t xml:space="preserve"> долгосрочн</w:t>
            </w:r>
            <w:r>
              <w:rPr>
                <w:sz w:val="16"/>
                <w:lang w:val="ru-RU"/>
              </w:rPr>
              <w:t>ые</w:t>
            </w:r>
            <w:r w:rsidRPr="00301AD6">
              <w:rPr>
                <w:sz w:val="16"/>
                <w:lang w:val="ru-RU"/>
              </w:rPr>
              <w:t xml:space="preserve"> преимуществ</w:t>
            </w:r>
            <w:r>
              <w:rPr>
                <w:sz w:val="16"/>
                <w:lang w:val="ru-RU"/>
              </w:rPr>
              <w:t>а</w:t>
            </w:r>
            <w:r w:rsidRPr="00301AD6">
              <w:rPr>
                <w:sz w:val="16"/>
                <w:lang w:val="ru-RU"/>
              </w:rPr>
              <w:t xml:space="preserve"> </w:t>
            </w:r>
            <w:r>
              <w:rPr>
                <w:sz w:val="16"/>
                <w:lang w:val="ru-RU"/>
              </w:rPr>
              <w:t>будут реализованы</w:t>
            </w:r>
            <w:r w:rsidRPr="00301AD6">
              <w:rPr>
                <w:sz w:val="16"/>
                <w:lang w:val="ru-RU"/>
              </w:rPr>
              <w:t xml:space="preserve"> </w:t>
            </w:r>
            <w:r>
              <w:rPr>
                <w:sz w:val="16"/>
                <w:lang w:val="ru-RU"/>
              </w:rPr>
              <w:t xml:space="preserve">после полноценного внедрения общеорганизационной </w:t>
            </w:r>
            <w:r w:rsidRPr="00301AD6">
              <w:rPr>
                <w:sz w:val="16"/>
                <w:lang w:val="ru-RU"/>
              </w:rPr>
              <w:t>конфигураци</w:t>
            </w:r>
            <w:r>
              <w:rPr>
                <w:sz w:val="16"/>
                <w:lang w:val="ru-RU"/>
              </w:rPr>
              <w:t xml:space="preserve">и </w:t>
            </w:r>
            <w:r w:rsidRPr="00301AD6">
              <w:rPr>
                <w:sz w:val="16"/>
                <w:lang w:val="ru-RU"/>
              </w:rPr>
              <w:t>систем</w:t>
            </w:r>
            <w:r>
              <w:rPr>
                <w:sz w:val="16"/>
                <w:lang w:val="ru-RU"/>
              </w:rPr>
              <w:t xml:space="preserve">ы </w:t>
            </w:r>
            <w:r w:rsidRPr="00301AD6">
              <w:rPr>
                <w:sz w:val="16"/>
                <w:lang w:val="ru-RU"/>
              </w:rPr>
              <w:t xml:space="preserve">УОИК </w:t>
            </w:r>
            <w:r>
              <w:rPr>
                <w:sz w:val="16"/>
                <w:lang w:val="ru-RU"/>
              </w:rPr>
              <w:t xml:space="preserve">в </w:t>
            </w:r>
            <w:r w:rsidRPr="00301AD6">
              <w:rPr>
                <w:sz w:val="16"/>
                <w:lang w:val="ru-RU"/>
              </w:rPr>
              <w:t>2018</w:t>
            </w:r>
            <w:r>
              <w:rPr>
                <w:sz w:val="16"/>
                <w:lang w:val="ru-RU"/>
              </w:rPr>
              <w:t xml:space="preserve"> г.</w:t>
            </w:r>
          </w:p>
          <w:p w:rsidR="00C85043" w:rsidRPr="00301AD6" w:rsidRDefault="00C85043" w:rsidP="00C85043">
            <w:pPr>
              <w:rPr>
                <w:lang w:val="ru-RU"/>
              </w:rPr>
            </w:pPr>
          </w:p>
        </w:tc>
        <w:tc>
          <w:tcPr>
            <w:tcW w:w="1818" w:type="pct"/>
            <w:shd w:val="clear" w:color="auto" w:fill="auto"/>
          </w:tcPr>
          <w:p w:rsidR="00C85043" w:rsidRPr="00FF3CEC" w:rsidRDefault="00C85043" w:rsidP="00C85043">
            <w:pPr>
              <w:rPr>
                <w:b/>
                <w:bCs/>
                <w:i/>
                <w:iCs/>
                <w:sz w:val="16"/>
                <w:szCs w:val="16"/>
                <w:lang w:val="ru-RU"/>
              </w:rPr>
            </w:pPr>
            <w:r w:rsidRPr="00FF3CEC">
              <w:rPr>
                <w:b/>
                <w:bCs/>
                <w:i/>
                <w:iCs/>
                <w:sz w:val="16"/>
                <w:szCs w:val="16"/>
                <w:lang w:val="ru-RU"/>
              </w:rPr>
              <w:t xml:space="preserve">После ввода в эксплуатацию конфигурации </w:t>
            </w:r>
            <w:r w:rsidRPr="00432F8F">
              <w:rPr>
                <w:b/>
                <w:bCs/>
                <w:i/>
                <w:iCs/>
                <w:sz w:val="16"/>
                <w:szCs w:val="16"/>
                <w:lang w:val="ru-RU"/>
              </w:rPr>
              <w:t>«</w:t>
            </w:r>
            <w:r w:rsidRPr="00FF3CEC">
              <w:rPr>
                <w:b/>
                <w:bCs/>
                <w:i/>
                <w:iCs/>
                <w:sz w:val="16"/>
                <w:szCs w:val="16"/>
              </w:rPr>
              <w:t>eCourier</w:t>
            </w:r>
            <w:r w:rsidRPr="00432F8F">
              <w:rPr>
                <w:b/>
                <w:bCs/>
                <w:i/>
                <w:iCs/>
                <w:sz w:val="16"/>
                <w:szCs w:val="16"/>
                <w:lang w:val="ru-RU"/>
              </w:rPr>
              <w:t>»</w:t>
            </w:r>
            <w:r w:rsidRPr="00FF3CEC">
              <w:rPr>
                <w:b/>
                <w:bCs/>
                <w:i/>
                <w:iCs/>
                <w:sz w:val="16"/>
                <w:szCs w:val="16"/>
                <w:lang w:val="ru-RU"/>
              </w:rPr>
              <w:t xml:space="preserve"> системы УОИК:</w:t>
            </w:r>
          </w:p>
          <w:p w:rsidR="00C85043" w:rsidRPr="00FF3CEC" w:rsidRDefault="00C85043" w:rsidP="00C85043">
            <w:pPr>
              <w:jc w:val="both"/>
              <w:rPr>
                <w:sz w:val="16"/>
                <w:lang w:val="ru-RU"/>
              </w:rPr>
            </w:pPr>
            <w:r w:rsidRPr="00FF3CEC">
              <w:rPr>
                <w:sz w:val="16"/>
                <w:lang w:val="ru-RU"/>
              </w:rPr>
              <w:t xml:space="preserve">Канцелярия Генерального директора и работники высшего управленческого звена </w:t>
            </w:r>
            <w:r>
              <w:rPr>
                <w:sz w:val="16"/>
                <w:lang w:val="ru-RU"/>
              </w:rPr>
              <w:t>смогут пользоваться единой</w:t>
            </w:r>
            <w:r w:rsidRPr="00FF3CEC">
              <w:rPr>
                <w:sz w:val="16"/>
                <w:lang w:val="ru-RU"/>
              </w:rPr>
              <w:t xml:space="preserve"> системой рассылки </w:t>
            </w:r>
            <w:r>
              <w:rPr>
                <w:sz w:val="16"/>
                <w:lang w:val="ru-RU"/>
              </w:rPr>
              <w:t xml:space="preserve">поступающей корреспонденции </w:t>
            </w:r>
            <w:r w:rsidRPr="00FF3CEC">
              <w:rPr>
                <w:sz w:val="16"/>
                <w:lang w:val="ru-RU"/>
              </w:rPr>
              <w:t xml:space="preserve">и </w:t>
            </w:r>
            <w:r w:rsidRPr="00432F8F">
              <w:rPr>
                <w:sz w:val="16"/>
                <w:lang w:val="ru-RU"/>
              </w:rPr>
              <w:t>контрол</w:t>
            </w:r>
            <w:r>
              <w:rPr>
                <w:sz w:val="16"/>
                <w:lang w:val="ru-RU"/>
              </w:rPr>
              <w:t>я</w:t>
            </w:r>
            <w:r w:rsidRPr="00FF3CEC">
              <w:rPr>
                <w:sz w:val="16"/>
                <w:lang w:val="ru-RU"/>
              </w:rPr>
              <w:t xml:space="preserve"> подготовки ответов на </w:t>
            </w:r>
            <w:r>
              <w:rPr>
                <w:sz w:val="16"/>
                <w:lang w:val="ru-RU"/>
              </w:rPr>
              <w:t>нее</w:t>
            </w:r>
            <w:r w:rsidRPr="00FF3CEC">
              <w:rPr>
                <w:sz w:val="16"/>
                <w:lang w:val="ru-RU"/>
              </w:rPr>
              <w:t>, что позволит:</w:t>
            </w:r>
          </w:p>
          <w:p w:rsidR="00C85043" w:rsidRPr="00FF3CEC" w:rsidRDefault="00C85043" w:rsidP="00BF61DC">
            <w:pPr>
              <w:pStyle w:val="ListParagraph"/>
              <w:numPr>
                <w:ilvl w:val="0"/>
                <w:numId w:val="107"/>
              </w:numPr>
              <w:ind w:left="318" w:hanging="318"/>
              <w:contextualSpacing/>
              <w:jc w:val="both"/>
              <w:rPr>
                <w:sz w:val="16"/>
                <w:lang w:val="ru-RU"/>
              </w:rPr>
            </w:pPr>
            <w:r>
              <w:rPr>
                <w:sz w:val="16"/>
                <w:lang w:val="ru-RU"/>
              </w:rPr>
              <w:t>сократить</w:t>
            </w:r>
            <w:r w:rsidRPr="00FF3CEC">
              <w:rPr>
                <w:sz w:val="16"/>
                <w:lang w:val="ru-RU"/>
              </w:rPr>
              <w:t xml:space="preserve"> </w:t>
            </w:r>
            <w:r>
              <w:rPr>
                <w:sz w:val="16"/>
                <w:lang w:val="ru-RU"/>
              </w:rPr>
              <w:t>сроки</w:t>
            </w:r>
            <w:r w:rsidRPr="00FF3CEC">
              <w:rPr>
                <w:sz w:val="16"/>
                <w:lang w:val="ru-RU"/>
              </w:rPr>
              <w:t xml:space="preserve"> подготовк</w:t>
            </w:r>
            <w:r>
              <w:rPr>
                <w:sz w:val="16"/>
                <w:lang w:val="ru-RU"/>
              </w:rPr>
              <w:t>и</w:t>
            </w:r>
            <w:r w:rsidRPr="00FF3CEC">
              <w:rPr>
                <w:sz w:val="16"/>
                <w:lang w:val="ru-RU"/>
              </w:rPr>
              <w:t xml:space="preserve"> </w:t>
            </w:r>
            <w:r>
              <w:rPr>
                <w:sz w:val="16"/>
                <w:lang w:val="ru-RU"/>
              </w:rPr>
              <w:t>ответов</w:t>
            </w:r>
            <w:r w:rsidRPr="00FF3CEC">
              <w:rPr>
                <w:sz w:val="16"/>
                <w:lang w:val="ru-RU"/>
              </w:rPr>
              <w:t xml:space="preserve"> </w:t>
            </w:r>
            <w:r>
              <w:rPr>
                <w:sz w:val="16"/>
                <w:lang w:val="ru-RU"/>
              </w:rPr>
              <w:t>на</w:t>
            </w:r>
            <w:r w:rsidRPr="00FF3CEC">
              <w:rPr>
                <w:sz w:val="16"/>
                <w:lang w:val="ru-RU"/>
              </w:rPr>
              <w:t xml:space="preserve"> внешн</w:t>
            </w:r>
            <w:r>
              <w:rPr>
                <w:sz w:val="16"/>
                <w:lang w:val="ru-RU"/>
              </w:rPr>
              <w:t xml:space="preserve">юю корреспонденцию, </w:t>
            </w:r>
            <w:r w:rsidRPr="00FF3CEC">
              <w:rPr>
                <w:sz w:val="16"/>
                <w:lang w:val="ru-RU"/>
              </w:rPr>
              <w:t>поскольку</w:t>
            </w:r>
            <w:r>
              <w:rPr>
                <w:sz w:val="16"/>
                <w:lang w:val="ru-RU"/>
              </w:rPr>
              <w:t xml:space="preserve"> письма </w:t>
            </w:r>
            <w:r w:rsidRPr="00FF3CEC">
              <w:rPr>
                <w:sz w:val="16"/>
                <w:lang w:val="ru-RU"/>
              </w:rPr>
              <w:t xml:space="preserve">и </w:t>
            </w:r>
            <w:r>
              <w:rPr>
                <w:sz w:val="16"/>
                <w:lang w:val="ru-RU"/>
              </w:rPr>
              <w:t xml:space="preserve">ответы уже не нужно будет доставлять </w:t>
            </w:r>
            <w:r w:rsidRPr="00FF3CEC">
              <w:rPr>
                <w:sz w:val="16"/>
                <w:lang w:val="ru-RU"/>
              </w:rPr>
              <w:t xml:space="preserve">физически </w:t>
            </w:r>
            <w:r>
              <w:rPr>
                <w:sz w:val="16"/>
                <w:lang w:val="ru-RU"/>
              </w:rPr>
              <w:t xml:space="preserve">в </w:t>
            </w:r>
            <w:r w:rsidRPr="00FF3CEC">
              <w:rPr>
                <w:sz w:val="16"/>
                <w:szCs w:val="24"/>
                <w:lang w:val="ru-RU"/>
              </w:rPr>
              <w:t>помещени</w:t>
            </w:r>
            <w:r>
              <w:rPr>
                <w:sz w:val="16"/>
                <w:lang w:val="ru-RU"/>
              </w:rPr>
              <w:t>я ВОИС</w:t>
            </w:r>
            <w:r w:rsidRPr="00FF3CEC">
              <w:rPr>
                <w:sz w:val="16"/>
                <w:lang w:val="ru-RU"/>
              </w:rPr>
              <w:t xml:space="preserve">, </w:t>
            </w:r>
            <w:r>
              <w:rPr>
                <w:sz w:val="16"/>
                <w:lang w:val="ru-RU"/>
              </w:rPr>
              <w:t xml:space="preserve">что будет способствовать </w:t>
            </w:r>
            <w:r w:rsidRPr="00FF3CEC">
              <w:rPr>
                <w:sz w:val="16"/>
                <w:lang w:val="ru-RU"/>
              </w:rPr>
              <w:t>достижени</w:t>
            </w:r>
            <w:r>
              <w:rPr>
                <w:sz w:val="16"/>
                <w:lang w:val="ru-RU"/>
              </w:rPr>
              <w:t xml:space="preserve">ю плановых </w:t>
            </w:r>
            <w:r w:rsidRPr="00FF3CEC">
              <w:rPr>
                <w:snapToGrid w:val="0"/>
                <w:sz w:val="16"/>
                <w:lang w:val="ru-RU"/>
              </w:rPr>
              <w:t>показател</w:t>
            </w:r>
            <w:r>
              <w:rPr>
                <w:sz w:val="16"/>
                <w:lang w:val="ru-RU"/>
              </w:rPr>
              <w:t xml:space="preserve">ей </w:t>
            </w:r>
            <w:r w:rsidRPr="00FF3CEC">
              <w:rPr>
                <w:sz w:val="16"/>
                <w:lang w:val="ru-RU"/>
              </w:rPr>
              <w:t xml:space="preserve">в отношении </w:t>
            </w:r>
            <w:r>
              <w:rPr>
                <w:sz w:val="16"/>
                <w:lang w:val="ru-RU"/>
              </w:rPr>
              <w:t xml:space="preserve">времени отправки </w:t>
            </w:r>
            <w:r w:rsidRPr="00FF3CEC">
              <w:rPr>
                <w:sz w:val="16"/>
                <w:lang w:val="ru-RU"/>
              </w:rPr>
              <w:t>ответ</w:t>
            </w:r>
            <w:r>
              <w:rPr>
                <w:sz w:val="16"/>
                <w:lang w:val="ru-RU"/>
              </w:rPr>
              <w:t>ов</w:t>
            </w:r>
            <w:r w:rsidRPr="00FF3CEC">
              <w:rPr>
                <w:sz w:val="16"/>
                <w:lang w:val="ru-RU"/>
              </w:rPr>
              <w:t>;</w:t>
            </w:r>
          </w:p>
          <w:p w:rsidR="00C85043" w:rsidRPr="00AB735C" w:rsidRDefault="00C85043" w:rsidP="00C85043">
            <w:pPr>
              <w:jc w:val="both"/>
              <w:rPr>
                <w:b/>
                <w:bCs/>
                <w:i/>
                <w:iCs/>
                <w:sz w:val="16"/>
                <w:szCs w:val="16"/>
                <w:lang w:val="ru-RU"/>
              </w:rPr>
            </w:pPr>
            <w:r w:rsidRPr="00FF3CEC">
              <w:rPr>
                <w:sz w:val="16"/>
                <w:lang w:val="ru-RU"/>
              </w:rPr>
              <w:t>Статус</w:t>
            </w:r>
            <w:r>
              <w:rPr>
                <w:sz w:val="16"/>
                <w:lang w:val="ru-RU"/>
              </w:rPr>
              <w:t xml:space="preserve"> и этап </w:t>
            </w:r>
            <w:r w:rsidRPr="00FF3CEC">
              <w:rPr>
                <w:sz w:val="16"/>
                <w:lang w:val="ru-RU"/>
              </w:rPr>
              <w:t>обработк</w:t>
            </w:r>
            <w:r>
              <w:rPr>
                <w:sz w:val="16"/>
                <w:lang w:val="ru-RU"/>
              </w:rPr>
              <w:t>и каждого</w:t>
            </w:r>
            <w:r w:rsidRPr="00FF3CEC">
              <w:rPr>
                <w:sz w:val="16"/>
                <w:lang w:val="ru-RU"/>
              </w:rPr>
              <w:t xml:space="preserve"> ответ</w:t>
            </w:r>
            <w:r>
              <w:rPr>
                <w:sz w:val="16"/>
                <w:lang w:val="ru-RU"/>
              </w:rPr>
              <w:t xml:space="preserve">а на </w:t>
            </w:r>
            <w:r w:rsidRPr="00FF3CEC">
              <w:rPr>
                <w:sz w:val="16"/>
                <w:lang w:val="ru-RU"/>
              </w:rPr>
              <w:t>внешн</w:t>
            </w:r>
            <w:r>
              <w:rPr>
                <w:sz w:val="16"/>
                <w:lang w:val="ru-RU"/>
              </w:rPr>
              <w:t xml:space="preserve">юю корреспонденцию можно будет устанавливать </w:t>
            </w:r>
            <w:r w:rsidRPr="00FF3CEC">
              <w:rPr>
                <w:sz w:val="16"/>
                <w:lang w:val="ru-RU"/>
              </w:rPr>
              <w:t>при помощи контрол</w:t>
            </w:r>
            <w:r>
              <w:rPr>
                <w:sz w:val="16"/>
                <w:lang w:val="ru-RU"/>
              </w:rPr>
              <w:t>ьной панели</w:t>
            </w:r>
            <w:r w:rsidRPr="00FF3CEC">
              <w:rPr>
                <w:sz w:val="16"/>
                <w:lang w:val="ru-RU"/>
              </w:rPr>
              <w:t xml:space="preserve">, </w:t>
            </w:r>
            <w:r>
              <w:rPr>
                <w:sz w:val="16"/>
                <w:lang w:val="ru-RU"/>
              </w:rPr>
              <w:t xml:space="preserve">что позволит сократить </w:t>
            </w:r>
            <w:r w:rsidRPr="00301AD6">
              <w:rPr>
                <w:sz w:val="16"/>
                <w:lang w:val="ru-RU"/>
              </w:rPr>
              <w:t>затрат</w:t>
            </w:r>
            <w:r>
              <w:rPr>
                <w:sz w:val="16"/>
                <w:lang w:val="ru-RU"/>
              </w:rPr>
              <w:t xml:space="preserve">ы времени </w:t>
            </w:r>
            <w:r w:rsidRPr="00301AD6">
              <w:rPr>
                <w:sz w:val="16"/>
                <w:lang w:val="ru-RU"/>
              </w:rPr>
              <w:t>сотрудник</w:t>
            </w:r>
            <w:r>
              <w:rPr>
                <w:sz w:val="16"/>
                <w:lang w:val="ru-RU"/>
              </w:rPr>
              <w:t xml:space="preserve">ов на </w:t>
            </w:r>
            <w:r w:rsidRPr="00432F8F">
              <w:rPr>
                <w:sz w:val="16"/>
                <w:szCs w:val="22"/>
                <w:lang w:val="ru-RU"/>
              </w:rPr>
              <w:t>контроль</w:t>
            </w:r>
            <w:r>
              <w:rPr>
                <w:sz w:val="16"/>
                <w:szCs w:val="22"/>
                <w:lang w:val="ru-RU"/>
              </w:rPr>
              <w:t xml:space="preserve"> хода </w:t>
            </w:r>
            <w:r w:rsidRPr="00432F8F">
              <w:rPr>
                <w:sz w:val="16"/>
                <w:szCs w:val="22"/>
                <w:lang w:val="ru-RU"/>
              </w:rPr>
              <w:t>подготовк</w:t>
            </w:r>
            <w:r>
              <w:rPr>
                <w:sz w:val="16"/>
                <w:szCs w:val="22"/>
                <w:lang w:val="ru-RU"/>
              </w:rPr>
              <w:t>и</w:t>
            </w:r>
            <w:r>
              <w:rPr>
                <w:sz w:val="16"/>
                <w:lang w:val="ru-RU"/>
              </w:rPr>
              <w:t xml:space="preserve"> ответов, </w:t>
            </w:r>
            <w:r w:rsidRPr="00FF3CEC">
              <w:rPr>
                <w:sz w:val="16"/>
                <w:lang w:val="ru-RU"/>
              </w:rPr>
              <w:t>необходим</w:t>
            </w:r>
            <w:r>
              <w:rPr>
                <w:sz w:val="16"/>
                <w:lang w:val="ru-RU"/>
              </w:rPr>
              <w:t xml:space="preserve">ое для </w:t>
            </w:r>
            <w:r w:rsidRPr="00FF3CEC">
              <w:rPr>
                <w:sz w:val="16"/>
                <w:lang w:val="ru-RU"/>
              </w:rPr>
              <w:t>соблюдени</w:t>
            </w:r>
            <w:r>
              <w:rPr>
                <w:sz w:val="16"/>
                <w:lang w:val="ru-RU"/>
              </w:rPr>
              <w:t xml:space="preserve">я </w:t>
            </w:r>
            <w:r w:rsidRPr="00FF3CEC">
              <w:rPr>
                <w:sz w:val="16"/>
                <w:lang w:val="ru-RU"/>
              </w:rPr>
              <w:t>установленн</w:t>
            </w:r>
            <w:r>
              <w:rPr>
                <w:sz w:val="16"/>
                <w:lang w:val="ru-RU"/>
              </w:rPr>
              <w:t>ых норм</w:t>
            </w:r>
            <w:r w:rsidRPr="00FF3CEC">
              <w:rPr>
                <w:sz w:val="16"/>
                <w:lang w:val="ru-RU"/>
              </w:rPr>
              <w:t xml:space="preserve">. </w:t>
            </w:r>
            <w:r>
              <w:rPr>
                <w:sz w:val="16"/>
                <w:lang w:val="ru-RU"/>
              </w:rPr>
              <w:t xml:space="preserve">Это позволит высвободить время административного </w:t>
            </w:r>
            <w:r w:rsidRPr="00AB735C">
              <w:rPr>
                <w:sz w:val="16"/>
                <w:lang w:val="ru-RU"/>
              </w:rPr>
              <w:t>персонал</w:t>
            </w:r>
            <w:r>
              <w:rPr>
                <w:sz w:val="16"/>
                <w:lang w:val="ru-RU"/>
              </w:rPr>
              <w:t>а</w:t>
            </w:r>
            <w:r w:rsidRPr="00AB735C">
              <w:rPr>
                <w:sz w:val="16"/>
                <w:lang w:val="ru-RU"/>
              </w:rPr>
              <w:t xml:space="preserve"> </w:t>
            </w:r>
            <w:r>
              <w:rPr>
                <w:sz w:val="16"/>
                <w:lang w:val="ru-RU"/>
              </w:rPr>
              <w:t xml:space="preserve">для </w:t>
            </w:r>
            <w:r w:rsidRPr="00FF3CEC">
              <w:rPr>
                <w:sz w:val="16"/>
                <w:lang w:val="ru-RU"/>
              </w:rPr>
              <w:t>выполнени</w:t>
            </w:r>
            <w:r>
              <w:rPr>
                <w:sz w:val="16"/>
                <w:lang w:val="ru-RU"/>
              </w:rPr>
              <w:t xml:space="preserve">я других </w:t>
            </w:r>
            <w:r w:rsidRPr="00FF3CEC">
              <w:rPr>
                <w:sz w:val="16"/>
                <w:lang w:val="ru-RU"/>
              </w:rPr>
              <w:t>задач</w:t>
            </w:r>
            <w:r w:rsidRPr="00AB735C">
              <w:rPr>
                <w:sz w:val="16"/>
                <w:lang w:val="ru-RU"/>
              </w:rPr>
              <w:t>.</w:t>
            </w:r>
          </w:p>
        </w:tc>
        <w:tc>
          <w:tcPr>
            <w:tcW w:w="1364" w:type="pct"/>
          </w:tcPr>
          <w:p w:rsidR="00C85043" w:rsidRPr="00792FA3" w:rsidRDefault="00C85043" w:rsidP="00C85043">
            <w:pPr>
              <w:rPr>
                <w:b/>
                <w:bCs/>
                <w:i/>
                <w:iCs/>
                <w:sz w:val="16"/>
                <w:szCs w:val="16"/>
                <w:lang w:val="ru-RU"/>
              </w:rPr>
            </w:pPr>
            <w:r w:rsidRPr="00792FA3">
              <w:rPr>
                <w:b/>
                <w:bCs/>
                <w:i/>
                <w:iCs/>
                <w:sz w:val="16"/>
                <w:szCs w:val="16"/>
                <w:lang w:val="ru-RU"/>
              </w:rPr>
              <w:t xml:space="preserve">После ввода в эксплуатацию </w:t>
            </w:r>
            <w:r w:rsidRPr="00432F8F">
              <w:rPr>
                <w:b/>
                <w:bCs/>
                <w:i/>
                <w:iCs/>
                <w:sz w:val="16"/>
                <w:szCs w:val="16"/>
                <w:lang w:val="ru-RU"/>
              </w:rPr>
              <w:t xml:space="preserve">общеорганизационной конфигурации </w:t>
            </w:r>
            <w:r>
              <w:rPr>
                <w:b/>
                <w:bCs/>
                <w:i/>
                <w:iCs/>
                <w:sz w:val="16"/>
                <w:szCs w:val="16"/>
                <w:lang w:val="ru-RU"/>
              </w:rPr>
              <w:t>системы УОИК</w:t>
            </w:r>
            <w:r w:rsidRPr="00792FA3">
              <w:rPr>
                <w:b/>
                <w:bCs/>
                <w:i/>
                <w:iCs/>
                <w:sz w:val="16"/>
                <w:szCs w:val="16"/>
                <w:lang w:val="ru-RU"/>
              </w:rPr>
              <w:t>:</w:t>
            </w:r>
          </w:p>
          <w:p w:rsidR="00C85043" w:rsidRPr="00792FA3" w:rsidRDefault="00C85043" w:rsidP="00C85043">
            <w:pPr>
              <w:contextualSpacing/>
              <w:jc w:val="both"/>
              <w:rPr>
                <w:sz w:val="16"/>
                <w:szCs w:val="16"/>
                <w:lang w:val="ru-RU"/>
              </w:rPr>
            </w:pPr>
            <w:r w:rsidRPr="00792FA3">
              <w:rPr>
                <w:sz w:val="16"/>
                <w:szCs w:val="16"/>
                <w:lang w:val="ru-RU"/>
              </w:rPr>
              <w:t xml:space="preserve">ожидается, что реализация системы управления общеорганизационными информационными ресурсами в масштабах ВОИС, осуществляемая в рамках поддержки происходящих в ВОИС изменений в культуре обмена знаниями и работы с информацией, помимо подпроекта, </w:t>
            </w:r>
            <w:r>
              <w:rPr>
                <w:sz w:val="16"/>
                <w:szCs w:val="16"/>
                <w:lang w:val="ru-RU"/>
              </w:rPr>
              <w:t xml:space="preserve">призванного принести </w:t>
            </w:r>
            <w:r w:rsidRPr="00792FA3">
              <w:rPr>
                <w:sz w:val="16"/>
                <w:szCs w:val="16"/>
                <w:lang w:val="ru-RU"/>
              </w:rPr>
              <w:t>«быстрые результаты», обеспечит:</w:t>
            </w:r>
          </w:p>
          <w:p w:rsidR="00C85043" w:rsidRDefault="00C85043" w:rsidP="00BF61DC">
            <w:pPr>
              <w:pStyle w:val="ListParagraph"/>
              <w:numPr>
                <w:ilvl w:val="0"/>
                <w:numId w:val="107"/>
              </w:numPr>
              <w:ind w:left="335" w:hanging="283"/>
              <w:contextualSpacing/>
              <w:jc w:val="both"/>
              <w:rPr>
                <w:sz w:val="16"/>
                <w:szCs w:val="16"/>
                <w:lang w:val="ru-RU"/>
              </w:rPr>
            </w:pPr>
            <w:r w:rsidRPr="00AE0EAB">
              <w:rPr>
                <w:sz w:val="16"/>
                <w:szCs w:val="16"/>
                <w:lang w:val="ru-RU"/>
              </w:rPr>
              <w:t>возможн</w:t>
            </w:r>
            <w:r>
              <w:rPr>
                <w:sz w:val="16"/>
                <w:szCs w:val="16"/>
                <w:lang w:val="ru-RU"/>
              </w:rPr>
              <w:t>ость</w:t>
            </w:r>
            <w:r w:rsidRPr="00AE0EAB">
              <w:rPr>
                <w:sz w:val="16"/>
                <w:szCs w:val="16"/>
                <w:lang w:val="ru-RU"/>
              </w:rPr>
              <w:t xml:space="preserve"> выполнени</w:t>
            </w:r>
            <w:r>
              <w:rPr>
                <w:sz w:val="16"/>
                <w:szCs w:val="16"/>
                <w:lang w:val="ru-RU"/>
              </w:rPr>
              <w:t>я</w:t>
            </w:r>
            <w:r w:rsidRPr="00AE0EAB">
              <w:rPr>
                <w:sz w:val="16"/>
                <w:szCs w:val="16"/>
                <w:lang w:val="ru-RU"/>
              </w:rPr>
              <w:t xml:space="preserve"> </w:t>
            </w:r>
            <w:r>
              <w:rPr>
                <w:sz w:val="16"/>
                <w:szCs w:val="16"/>
                <w:lang w:val="ru-RU"/>
              </w:rPr>
              <w:t>поиска</w:t>
            </w:r>
            <w:r w:rsidRPr="00AE0EAB">
              <w:rPr>
                <w:sz w:val="16"/>
                <w:szCs w:val="16"/>
                <w:lang w:val="ru-RU"/>
              </w:rPr>
              <w:t xml:space="preserve"> </w:t>
            </w:r>
            <w:r>
              <w:rPr>
                <w:sz w:val="16"/>
                <w:szCs w:val="16"/>
                <w:lang w:val="ru-RU"/>
              </w:rPr>
              <w:t>по</w:t>
            </w:r>
            <w:r w:rsidRPr="00AE0EAB">
              <w:rPr>
                <w:sz w:val="16"/>
                <w:szCs w:val="16"/>
                <w:lang w:val="ru-RU"/>
              </w:rPr>
              <w:t xml:space="preserve"> </w:t>
            </w:r>
            <w:r>
              <w:rPr>
                <w:sz w:val="16"/>
                <w:szCs w:val="16"/>
                <w:lang w:val="ru-RU"/>
              </w:rPr>
              <w:t>всей</w:t>
            </w:r>
            <w:r w:rsidRPr="00AE0EAB">
              <w:rPr>
                <w:sz w:val="16"/>
                <w:szCs w:val="16"/>
                <w:lang w:val="ru-RU"/>
              </w:rPr>
              <w:t xml:space="preserve"> </w:t>
            </w:r>
            <w:r>
              <w:rPr>
                <w:sz w:val="16"/>
                <w:szCs w:val="16"/>
                <w:lang w:val="ru-RU"/>
              </w:rPr>
              <w:t>базе</w:t>
            </w:r>
            <w:r w:rsidRPr="00AE0EAB">
              <w:rPr>
                <w:sz w:val="16"/>
                <w:szCs w:val="16"/>
                <w:lang w:val="ru-RU"/>
              </w:rPr>
              <w:t xml:space="preserve"> </w:t>
            </w:r>
            <w:r>
              <w:rPr>
                <w:sz w:val="16"/>
                <w:szCs w:val="16"/>
                <w:lang w:val="ru-RU"/>
              </w:rPr>
              <w:t>знаний</w:t>
            </w:r>
            <w:r w:rsidRPr="00AE0EAB">
              <w:rPr>
                <w:sz w:val="16"/>
                <w:szCs w:val="16"/>
                <w:lang w:val="ru-RU"/>
              </w:rPr>
              <w:t xml:space="preserve"> ВОИС, </w:t>
            </w:r>
            <w:r>
              <w:rPr>
                <w:sz w:val="16"/>
                <w:szCs w:val="16"/>
                <w:lang w:val="ru-RU"/>
              </w:rPr>
              <w:t>сокращающего</w:t>
            </w:r>
            <w:r w:rsidRPr="00AE0EAB">
              <w:rPr>
                <w:sz w:val="16"/>
                <w:szCs w:val="16"/>
                <w:lang w:val="ru-RU"/>
              </w:rPr>
              <w:t xml:space="preserve"> объе</w:t>
            </w:r>
            <w:r>
              <w:rPr>
                <w:sz w:val="16"/>
                <w:szCs w:val="16"/>
                <w:lang w:val="ru-RU"/>
              </w:rPr>
              <w:t>м</w:t>
            </w:r>
            <w:r w:rsidRPr="00AE0EAB">
              <w:rPr>
                <w:sz w:val="16"/>
                <w:szCs w:val="16"/>
                <w:lang w:val="ru-RU"/>
              </w:rPr>
              <w:t xml:space="preserve"> </w:t>
            </w:r>
            <w:r>
              <w:rPr>
                <w:sz w:val="16"/>
                <w:szCs w:val="16"/>
                <w:lang w:val="ru-RU"/>
              </w:rPr>
              <w:t xml:space="preserve">дублирующего создания и </w:t>
            </w:r>
            <w:r w:rsidRPr="00432F8F">
              <w:rPr>
                <w:sz w:val="16"/>
                <w:szCs w:val="16"/>
                <w:lang w:val="ru-RU"/>
              </w:rPr>
              <w:t>документ</w:t>
            </w:r>
            <w:r>
              <w:rPr>
                <w:sz w:val="16"/>
                <w:szCs w:val="16"/>
                <w:lang w:val="ru-RU"/>
              </w:rPr>
              <w:t xml:space="preserve">ирования </w:t>
            </w:r>
            <w:r w:rsidRPr="00AE0EAB">
              <w:rPr>
                <w:sz w:val="16"/>
                <w:szCs w:val="16"/>
                <w:lang w:val="ru-RU"/>
              </w:rPr>
              <w:t>информаци</w:t>
            </w:r>
            <w:r>
              <w:rPr>
                <w:sz w:val="16"/>
                <w:szCs w:val="16"/>
                <w:lang w:val="ru-RU"/>
              </w:rPr>
              <w:t xml:space="preserve">и </w:t>
            </w:r>
            <w:r w:rsidRPr="00AE0EAB">
              <w:rPr>
                <w:sz w:val="16"/>
                <w:szCs w:val="16"/>
                <w:lang w:val="ru-RU"/>
              </w:rPr>
              <w:t>благодаря</w:t>
            </w:r>
            <w:r>
              <w:rPr>
                <w:sz w:val="16"/>
                <w:szCs w:val="16"/>
                <w:lang w:val="ru-RU"/>
              </w:rPr>
              <w:t xml:space="preserve"> </w:t>
            </w:r>
            <w:r w:rsidRPr="00AE0EAB">
              <w:rPr>
                <w:sz w:val="16"/>
                <w:szCs w:val="16"/>
                <w:lang w:val="ru-RU"/>
              </w:rPr>
              <w:t>совместн</w:t>
            </w:r>
            <w:r>
              <w:rPr>
                <w:sz w:val="16"/>
                <w:szCs w:val="16"/>
                <w:lang w:val="ru-RU"/>
              </w:rPr>
              <w:t xml:space="preserve">ому </w:t>
            </w:r>
            <w:r w:rsidRPr="00AE0EAB">
              <w:rPr>
                <w:sz w:val="16"/>
                <w:szCs w:val="16"/>
                <w:lang w:val="ru-RU"/>
              </w:rPr>
              <w:t>использова</w:t>
            </w:r>
            <w:r>
              <w:rPr>
                <w:sz w:val="16"/>
                <w:szCs w:val="16"/>
                <w:lang w:val="ru-RU"/>
              </w:rPr>
              <w:t xml:space="preserve">нию одних </w:t>
            </w:r>
            <w:r w:rsidRPr="00AE0EAB">
              <w:rPr>
                <w:sz w:val="16"/>
                <w:szCs w:val="16"/>
                <w:lang w:val="ru-RU"/>
              </w:rPr>
              <w:t>источник</w:t>
            </w:r>
            <w:r>
              <w:rPr>
                <w:sz w:val="16"/>
                <w:szCs w:val="16"/>
                <w:lang w:val="ru-RU"/>
              </w:rPr>
              <w:t xml:space="preserve">ов </w:t>
            </w:r>
            <w:r w:rsidRPr="00AE0EAB">
              <w:rPr>
                <w:sz w:val="16"/>
                <w:szCs w:val="16"/>
                <w:lang w:val="ru-RU"/>
              </w:rPr>
              <w:t>информаци</w:t>
            </w:r>
            <w:r>
              <w:rPr>
                <w:sz w:val="16"/>
                <w:szCs w:val="16"/>
                <w:lang w:val="ru-RU"/>
              </w:rPr>
              <w:t>и</w:t>
            </w:r>
            <w:r w:rsidRPr="00AE0EAB">
              <w:rPr>
                <w:sz w:val="16"/>
                <w:szCs w:val="16"/>
                <w:lang w:val="ru-RU"/>
              </w:rPr>
              <w:t>;</w:t>
            </w:r>
          </w:p>
          <w:p w:rsidR="00C85043" w:rsidRPr="00AE0EAB" w:rsidRDefault="00C85043" w:rsidP="00BF61DC">
            <w:pPr>
              <w:pStyle w:val="ListParagraph"/>
              <w:numPr>
                <w:ilvl w:val="0"/>
                <w:numId w:val="107"/>
              </w:numPr>
              <w:ind w:left="335" w:hanging="283"/>
              <w:contextualSpacing/>
              <w:jc w:val="both"/>
              <w:rPr>
                <w:sz w:val="16"/>
                <w:szCs w:val="16"/>
                <w:lang w:val="ru-RU"/>
              </w:rPr>
            </w:pPr>
            <w:r w:rsidRPr="00AE0EAB">
              <w:rPr>
                <w:sz w:val="16"/>
                <w:szCs w:val="16"/>
                <w:lang w:val="ru-RU"/>
              </w:rPr>
              <w:t>возможн</w:t>
            </w:r>
            <w:r>
              <w:rPr>
                <w:sz w:val="16"/>
                <w:szCs w:val="16"/>
                <w:lang w:val="ru-RU"/>
              </w:rPr>
              <w:t>ость</w:t>
            </w:r>
            <w:r w:rsidRPr="00AE0EAB">
              <w:rPr>
                <w:sz w:val="16"/>
                <w:szCs w:val="16"/>
                <w:lang w:val="ru-RU"/>
              </w:rPr>
              <w:t xml:space="preserve"> обеспечени</w:t>
            </w:r>
            <w:r>
              <w:rPr>
                <w:sz w:val="16"/>
                <w:szCs w:val="16"/>
                <w:lang w:val="ru-RU"/>
              </w:rPr>
              <w:t>я</w:t>
            </w:r>
            <w:r w:rsidRPr="00AE0EAB">
              <w:rPr>
                <w:sz w:val="16"/>
                <w:szCs w:val="16"/>
                <w:lang w:val="ru-RU"/>
              </w:rPr>
              <w:t xml:space="preserve"> </w:t>
            </w:r>
            <w:r>
              <w:rPr>
                <w:sz w:val="16"/>
                <w:szCs w:val="16"/>
                <w:lang w:val="ru-RU"/>
              </w:rPr>
              <w:t>более</w:t>
            </w:r>
            <w:r w:rsidRPr="00AE0EAB">
              <w:rPr>
                <w:sz w:val="16"/>
                <w:szCs w:val="16"/>
                <w:lang w:val="ru-RU"/>
              </w:rPr>
              <w:t xml:space="preserve"> </w:t>
            </w:r>
            <w:r>
              <w:rPr>
                <w:sz w:val="16"/>
                <w:szCs w:val="16"/>
                <w:lang w:val="ru-RU"/>
              </w:rPr>
              <w:t>строгого</w:t>
            </w:r>
            <w:r w:rsidRPr="00AE0EAB">
              <w:rPr>
                <w:sz w:val="16"/>
                <w:szCs w:val="16"/>
                <w:lang w:val="ru-RU"/>
              </w:rPr>
              <w:t xml:space="preserve"> соблюдени</w:t>
            </w:r>
            <w:r>
              <w:rPr>
                <w:sz w:val="16"/>
                <w:szCs w:val="16"/>
                <w:lang w:val="ru-RU"/>
              </w:rPr>
              <w:t>я</w:t>
            </w:r>
            <w:r w:rsidRPr="00AE0EAB">
              <w:rPr>
                <w:sz w:val="16"/>
                <w:szCs w:val="16"/>
                <w:lang w:val="ru-RU"/>
              </w:rPr>
              <w:t xml:space="preserve"> </w:t>
            </w:r>
            <w:r>
              <w:rPr>
                <w:sz w:val="16"/>
                <w:szCs w:val="16"/>
                <w:lang w:val="ru-RU"/>
              </w:rPr>
              <w:t>б</w:t>
            </w:r>
            <w:r w:rsidRPr="00AE0EAB">
              <w:rPr>
                <w:sz w:val="16"/>
                <w:szCs w:val="16"/>
                <w:lang w:val="ru-RU"/>
              </w:rPr>
              <w:t>ό</w:t>
            </w:r>
            <w:r>
              <w:rPr>
                <w:sz w:val="16"/>
                <w:szCs w:val="16"/>
                <w:lang w:val="ru-RU"/>
              </w:rPr>
              <w:t xml:space="preserve">льшим числом </w:t>
            </w:r>
            <w:r w:rsidRPr="00AE0EAB">
              <w:rPr>
                <w:sz w:val="16"/>
                <w:szCs w:val="16"/>
                <w:lang w:val="ru-RU"/>
              </w:rPr>
              <w:t>подразделени</w:t>
            </w:r>
            <w:r>
              <w:rPr>
                <w:sz w:val="16"/>
                <w:szCs w:val="16"/>
                <w:lang w:val="ru-RU"/>
              </w:rPr>
              <w:t xml:space="preserve">й </w:t>
            </w:r>
            <w:r w:rsidRPr="00AE0EAB">
              <w:rPr>
                <w:sz w:val="16"/>
                <w:szCs w:val="16"/>
                <w:lang w:val="ru-RU"/>
              </w:rPr>
              <w:t>Организаци</w:t>
            </w:r>
            <w:r>
              <w:rPr>
                <w:sz w:val="16"/>
                <w:szCs w:val="16"/>
                <w:lang w:val="ru-RU"/>
              </w:rPr>
              <w:t xml:space="preserve">и принятой в </w:t>
            </w:r>
            <w:r w:rsidRPr="00AE0EAB">
              <w:rPr>
                <w:sz w:val="16"/>
                <w:szCs w:val="16"/>
                <w:lang w:val="ru-RU"/>
              </w:rPr>
              <w:t>ВОИС</w:t>
            </w:r>
            <w:r>
              <w:rPr>
                <w:sz w:val="16"/>
                <w:szCs w:val="16"/>
                <w:lang w:val="ru-RU"/>
              </w:rPr>
              <w:t xml:space="preserve"> Политики</w:t>
            </w:r>
            <w:r w:rsidRPr="00AE0EAB">
              <w:rPr>
                <w:sz w:val="16"/>
                <w:szCs w:val="16"/>
                <w:lang w:val="ru-RU"/>
              </w:rPr>
              <w:t xml:space="preserve"> в области документооборота и работы с архивами </w:t>
            </w:r>
            <w:r w:rsidRPr="00AE0EAB">
              <w:rPr>
                <w:sz w:val="16"/>
                <w:lang w:val="ru-RU"/>
              </w:rPr>
              <w:t>(</w:t>
            </w:r>
            <w:r w:rsidRPr="00D674A8">
              <w:rPr>
                <w:sz w:val="16"/>
                <w:lang w:val="ru-RU"/>
              </w:rPr>
              <w:t xml:space="preserve">служебная инструкция </w:t>
            </w:r>
            <w:r w:rsidRPr="00AE0EAB">
              <w:rPr>
                <w:sz w:val="16"/>
                <w:lang w:val="ru-RU"/>
              </w:rPr>
              <w:t>15/2013)</w:t>
            </w:r>
            <w:r w:rsidRPr="00AE0EAB">
              <w:rPr>
                <w:sz w:val="16"/>
                <w:szCs w:val="16"/>
                <w:lang w:val="ru-RU"/>
              </w:rPr>
              <w:t>;</w:t>
            </w:r>
          </w:p>
          <w:p w:rsidR="00C85043" w:rsidRPr="00D674A8" w:rsidRDefault="00C85043" w:rsidP="00BF61DC">
            <w:pPr>
              <w:pStyle w:val="ListParagraph"/>
              <w:numPr>
                <w:ilvl w:val="0"/>
                <w:numId w:val="107"/>
              </w:numPr>
              <w:ind w:left="335" w:hanging="283"/>
              <w:contextualSpacing/>
              <w:jc w:val="both"/>
              <w:rPr>
                <w:sz w:val="16"/>
                <w:szCs w:val="16"/>
                <w:lang w:val="ru-RU"/>
              </w:rPr>
            </w:pPr>
            <w:r w:rsidRPr="00D674A8">
              <w:rPr>
                <w:sz w:val="16"/>
                <w:szCs w:val="16"/>
                <w:lang w:val="ru-RU"/>
              </w:rPr>
              <w:t>возможность сокращения текущих расходов на сохранение физических копий документов, поскольку эти документы будут преобразованы в электронный формат;</w:t>
            </w:r>
          </w:p>
          <w:p w:rsidR="00C85043" w:rsidRPr="00792FA3" w:rsidRDefault="00C85043" w:rsidP="00BF61DC">
            <w:pPr>
              <w:pStyle w:val="ListParagraph"/>
              <w:numPr>
                <w:ilvl w:val="0"/>
                <w:numId w:val="107"/>
              </w:numPr>
              <w:ind w:left="335" w:hanging="283"/>
              <w:contextualSpacing/>
              <w:jc w:val="both"/>
              <w:rPr>
                <w:b/>
                <w:bCs/>
                <w:i/>
                <w:iCs/>
                <w:sz w:val="16"/>
                <w:szCs w:val="16"/>
                <w:lang w:val="ru-RU"/>
              </w:rPr>
            </w:pPr>
            <w:r w:rsidRPr="00D674A8">
              <w:rPr>
                <w:sz w:val="16"/>
                <w:szCs w:val="16"/>
                <w:lang w:val="ru-RU"/>
              </w:rPr>
              <w:t>возможность</w:t>
            </w:r>
            <w:r w:rsidRPr="00792FA3">
              <w:rPr>
                <w:sz w:val="16"/>
                <w:szCs w:val="16"/>
                <w:lang w:val="ru-RU"/>
              </w:rPr>
              <w:t xml:space="preserve"> </w:t>
            </w:r>
            <w:r w:rsidRPr="00D674A8">
              <w:rPr>
                <w:sz w:val="16"/>
                <w:szCs w:val="16"/>
                <w:lang w:val="ru-RU"/>
              </w:rPr>
              <w:t>сокращения</w:t>
            </w:r>
            <w:r w:rsidRPr="00792FA3">
              <w:rPr>
                <w:sz w:val="16"/>
                <w:szCs w:val="16"/>
                <w:lang w:val="ru-RU"/>
              </w:rPr>
              <w:t xml:space="preserve"> </w:t>
            </w:r>
            <w:r w:rsidRPr="00D674A8">
              <w:rPr>
                <w:sz w:val="16"/>
                <w:szCs w:val="16"/>
                <w:lang w:val="ru-RU"/>
              </w:rPr>
              <w:t>расходов</w:t>
            </w:r>
            <w:r w:rsidRPr="00792FA3">
              <w:rPr>
                <w:sz w:val="16"/>
                <w:szCs w:val="16"/>
                <w:lang w:val="ru-RU"/>
              </w:rPr>
              <w:t xml:space="preserve"> </w:t>
            </w:r>
            <w:r w:rsidRPr="00D674A8">
              <w:rPr>
                <w:sz w:val="16"/>
                <w:szCs w:val="16"/>
                <w:lang w:val="ru-RU"/>
              </w:rPr>
              <w:t>на</w:t>
            </w:r>
            <w:r w:rsidRPr="00792FA3">
              <w:rPr>
                <w:sz w:val="16"/>
                <w:szCs w:val="16"/>
                <w:lang w:val="ru-RU"/>
              </w:rPr>
              <w:t xml:space="preserve"> </w:t>
            </w:r>
            <w:r>
              <w:rPr>
                <w:sz w:val="16"/>
                <w:szCs w:val="16"/>
                <w:lang w:val="ru-RU"/>
              </w:rPr>
              <w:t>создание</w:t>
            </w:r>
            <w:r w:rsidRPr="00792FA3">
              <w:rPr>
                <w:sz w:val="16"/>
                <w:szCs w:val="16"/>
                <w:lang w:val="ru-RU"/>
              </w:rPr>
              <w:t xml:space="preserve"> электронн</w:t>
            </w:r>
            <w:r>
              <w:rPr>
                <w:sz w:val="16"/>
                <w:szCs w:val="16"/>
                <w:lang w:val="ru-RU"/>
              </w:rPr>
              <w:t>ых</w:t>
            </w:r>
            <w:r w:rsidRPr="00792FA3">
              <w:rPr>
                <w:sz w:val="16"/>
                <w:szCs w:val="16"/>
                <w:lang w:val="ru-RU"/>
              </w:rPr>
              <w:t xml:space="preserve"> </w:t>
            </w:r>
            <w:r>
              <w:rPr>
                <w:sz w:val="16"/>
                <w:szCs w:val="16"/>
                <w:lang w:val="ru-RU"/>
              </w:rPr>
              <w:t>версий</w:t>
            </w:r>
            <w:r w:rsidRPr="00792FA3">
              <w:rPr>
                <w:sz w:val="16"/>
                <w:szCs w:val="16"/>
                <w:lang w:val="ru-RU"/>
              </w:rPr>
              <w:t xml:space="preserve"> документ</w:t>
            </w:r>
            <w:r>
              <w:rPr>
                <w:sz w:val="16"/>
                <w:szCs w:val="16"/>
                <w:lang w:val="ru-RU"/>
              </w:rPr>
              <w:t>ов</w:t>
            </w:r>
            <w:r w:rsidRPr="00792FA3">
              <w:rPr>
                <w:sz w:val="16"/>
                <w:szCs w:val="16"/>
                <w:lang w:val="ru-RU"/>
              </w:rPr>
              <w:t>, поскольку возможн</w:t>
            </w:r>
            <w:r>
              <w:rPr>
                <w:sz w:val="16"/>
                <w:szCs w:val="16"/>
                <w:lang w:val="ru-RU"/>
              </w:rPr>
              <w:t>ость</w:t>
            </w:r>
            <w:r w:rsidRPr="00792FA3">
              <w:rPr>
                <w:sz w:val="16"/>
                <w:szCs w:val="16"/>
                <w:lang w:val="ru-RU"/>
              </w:rPr>
              <w:t xml:space="preserve"> </w:t>
            </w:r>
            <w:r>
              <w:rPr>
                <w:sz w:val="16"/>
                <w:szCs w:val="16"/>
                <w:lang w:val="ru-RU"/>
              </w:rPr>
              <w:t>проведения</w:t>
            </w:r>
            <w:r w:rsidRPr="00792FA3">
              <w:rPr>
                <w:sz w:val="16"/>
                <w:szCs w:val="16"/>
                <w:lang w:val="ru-RU"/>
              </w:rPr>
              <w:t xml:space="preserve"> </w:t>
            </w:r>
            <w:r>
              <w:rPr>
                <w:sz w:val="16"/>
                <w:szCs w:val="16"/>
                <w:lang w:val="ru-RU"/>
              </w:rPr>
              <w:t>поиска</w:t>
            </w:r>
            <w:r w:rsidRPr="00792FA3">
              <w:rPr>
                <w:sz w:val="16"/>
                <w:szCs w:val="16"/>
                <w:lang w:val="ru-RU"/>
              </w:rPr>
              <w:t xml:space="preserve"> </w:t>
            </w:r>
            <w:r>
              <w:rPr>
                <w:sz w:val="16"/>
                <w:szCs w:val="16"/>
                <w:lang w:val="ru-RU"/>
              </w:rPr>
              <w:t>по</w:t>
            </w:r>
            <w:r w:rsidRPr="00792FA3">
              <w:rPr>
                <w:sz w:val="16"/>
                <w:szCs w:val="16"/>
                <w:lang w:val="ru-RU"/>
              </w:rPr>
              <w:t xml:space="preserve"> </w:t>
            </w:r>
            <w:r>
              <w:rPr>
                <w:sz w:val="16"/>
                <w:szCs w:val="16"/>
                <w:lang w:val="ru-RU"/>
              </w:rPr>
              <w:t>всей</w:t>
            </w:r>
            <w:r w:rsidRPr="00792FA3">
              <w:rPr>
                <w:sz w:val="16"/>
                <w:szCs w:val="16"/>
                <w:lang w:val="ru-RU"/>
              </w:rPr>
              <w:t xml:space="preserve"> </w:t>
            </w:r>
            <w:r>
              <w:rPr>
                <w:sz w:val="16"/>
                <w:szCs w:val="16"/>
                <w:lang w:val="ru-RU"/>
              </w:rPr>
              <w:t xml:space="preserve">базе знаний </w:t>
            </w:r>
            <w:r w:rsidRPr="00792FA3">
              <w:rPr>
                <w:sz w:val="16"/>
                <w:szCs w:val="16"/>
                <w:lang w:val="ru-RU"/>
              </w:rPr>
              <w:t>Организаци</w:t>
            </w:r>
            <w:r>
              <w:rPr>
                <w:sz w:val="16"/>
                <w:szCs w:val="16"/>
                <w:lang w:val="ru-RU"/>
              </w:rPr>
              <w:t xml:space="preserve">и </w:t>
            </w:r>
            <w:r w:rsidRPr="00792FA3">
              <w:rPr>
                <w:sz w:val="16"/>
                <w:szCs w:val="16"/>
                <w:lang w:val="ru-RU"/>
              </w:rPr>
              <w:t>должн</w:t>
            </w:r>
            <w:r>
              <w:rPr>
                <w:sz w:val="16"/>
                <w:szCs w:val="16"/>
                <w:lang w:val="ru-RU"/>
              </w:rPr>
              <w:t xml:space="preserve">а снизить </w:t>
            </w:r>
            <w:r w:rsidRPr="00792FA3">
              <w:rPr>
                <w:sz w:val="16"/>
                <w:szCs w:val="16"/>
                <w:lang w:val="ru-RU"/>
              </w:rPr>
              <w:t>объе</w:t>
            </w:r>
            <w:r>
              <w:rPr>
                <w:sz w:val="16"/>
                <w:szCs w:val="16"/>
                <w:lang w:val="ru-RU"/>
              </w:rPr>
              <w:t xml:space="preserve">м дублирующихся </w:t>
            </w:r>
            <w:r w:rsidRPr="00792FA3">
              <w:rPr>
                <w:sz w:val="16"/>
                <w:szCs w:val="16"/>
                <w:lang w:val="ru-RU"/>
              </w:rPr>
              <w:t>операци</w:t>
            </w:r>
            <w:r>
              <w:rPr>
                <w:sz w:val="16"/>
                <w:szCs w:val="16"/>
                <w:lang w:val="ru-RU"/>
              </w:rPr>
              <w:t xml:space="preserve">й при </w:t>
            </w:r>
            <w:r w:rsidRPr="00432F8F">
              <w:rPr>
                <w:sz w:val="16"/>
                <w:szCs w:val="16"/>
                <w:lang w:val="ru-RU"/>
              </w:rPr>
              <w:t>документ</w:t>
            </w:r>
            <w:r>
              <w:rPr>
                <w:sz w:val="16"/>
                <w:szCs w:val="16"/>
                <w:lang w:val="ru-RU"/>
              </w:rPr>
              <w:t xml:space="preserve">ировании </w:t>
            </w:r>
            <w:r w:rsidRPr="00432F8F">
              <w:rPr>
                <w:sz w:val="16"/>
                <w:szCs w:val="16"/>
                <w:lang w:val="ru-RU"/>
              </w:rPr>
              <w:t>информаци</w:t>
            </w:r>
            <w:r>
              <w:rPr>
                <w:sz w:val="16"/>
                <w:szCs w:val="16"/>
                <w:lang w:val="ru-RU"/>
              </w:rPr>
              <w:t>и</w:t>
            </w:r>
            <w:r w:rsidRPr="00792FA3">
              <w:rPr>
                <w:sz w:val="16"/>
                <w:szCs w:val="16"/>
                <w:lang w:val="ru-RU"/>
              </w:rPr>
              <w:t>.</w:t>
            </w:r>
          </w:p>
        </w:tc>
      </w:tr>
      <w:tr w:rsidR="00C85043" w:rsidRPr="005C6ABD" w:rsidTr="00C85043">
        <w:trPr>
          <w:trHeight w:val="564"/>
          <w:jc w:val="center"/>
        </w:trPr>
        <w:tc>
          <w:tcPr>
            <w:tcW w:w="1818" w:type="pct"/>
            <w:shd w:val="clear" w:color="auto" w:fill="auto"/>
          </w:tcPr>
          <w:p w:rsidR="00C85043" w:rsidRPr="00E93FEA" w:rsidRDefault="00C85043" w:rsidP="00C85043">
            <w:pPr>
              <w:rPr>
                <w:b/>
                <w:bCs/>
                <w:i/>
                <w:iCs/>
                <w:sz w:val="16"/>
                <w:szCs w:val="16"/>
                <w:lang w:val="ru-RU"/>
              </w:rPr>
            </w:pPr>
            <w:r w:rsidRPr="00E93FEA">
              <w:rPr>
                <w:b/>
                <w:bCs/>
                <w:i/>
                <w:iCs/>
                <w:sz w:val="16"/>
                <w:szCs w:val="16"/>
                <w:lang w:val="ru-RU"/>
              </w:rPr>
              <w:t xml:space="preserve">После ввода в эксплуатацию конфигурации системы УОИК, относящейся </w:t>
            </w:r>
            <w:r w:rsidRPr="000C24E8">
              <w:rPr>
                <w:b/>
                <w:bCs/>
                <w:i/>
                <w:iCs/>
                <w:sz w:val="16"/>
                <w:szCs w:val="16"/>
                <w:lang w:val="ru-RU"/>
              </w:rPr>
              <w:t>организаци</w:t>
            </w:r>
            <w:r>
              <w:rPr>
                <w:b/>
                <w:bCs/>
                <w:i/>
                <w:iCs/>
                <w:sz w:val="16"/>
                <w:szCs w:val="16"/>
                <w:lang w:val="ru-RU"/>
              </w:rPr>
              <w:t xml:space="preserve">и </w:t>
            </w:r>
            <w:r w:rsidRPr="00E93FEA">
              <w:rPr>
                <w:b/>
                <w:bCs/>
                <w:i/>
                <w:iCs/>
                <w:sz w:val="16"/>
                <w:szCs w:val="16"/>
                <w:lang w:val="ru-RU"/>
              </w:rPr>
              <w:t>перевод</w:t>
            </w:r>
            <w:r>
              <w:rPr>
                <w:b/>
                <w:bCs/>
                <w:i/>
                <w:iCs/>
                <w:sz w:val="16"/>
                <w:szCs w:val="16"/>
                <w:lang w:val="ru-RU"/>
              </w:rPr>
              <w:t xml:space="preserve">а </w:t>
            </w:r>
            <w:r w:rsidRPr="000C24E8">
              <w:rPr>
                <w:b/>
                <w:bCs/>
                <w:i/>
                <w:iCs/>
                <w:sz w:val="16"/>
                <w:szCs w:val="16"/>
                <w:lang w:val="ru-RU"/>
              </w:rPr>
              <w:t>документ</w:t>
            </w:r>
            <w:r>
              <w:rPr>
                <w:b/>
                <w:bCs/>
                <w:i/>
                <w:iCs/>
                <w:sz w:val="16"/>
                <w:szCs w:val="16"/>
                <w:lang w:val="ru-RU"/>
              </w:rPr>
              <w:t xml:space="preserve">ов и </w:t>
            </w:r>
            <w:r w:rsidRPr="00E93FEA">
              <w:rPr>
                <w:b/>
                <w:bCs/>
                <w:i/>
                <w:iCs/>
                <w:sz w:val="16"/>
                <w:szCs w:val="16"/>
                <w:lang w:val="ru-RU"/>
              </w:rPr>
              <w:t xml:space="preserve">контролю </w:t>
            </w:r>
            <w:r w:rsidRPr="000C24E8">
              <w:rPr>
                <w:b/>
                <w:bCs/>
                <w:i/>
                <w:iCs/>
                <w:sz w:val="16"/>
                <w:szCs w:val="16"/>
                <w:lang w:val="ru-RU"/>
              </w:rPr>
              <w:t>статус</w:t>
            </w:r>
            <w:r>
              <w:rPr>
                <w:b/>
                <w:bCs/>
                <w:i/>
                <w:iCs/>
                <w:sz w:val="16"/>
                <w:szCs w:val="16"/>
                <w:lang w:val="ru-RU"/>
              </w:rPr>
              <w:t xml:space="preserve">а </w:t>
            </w:r>
            <w:r w:rsidRPr="00E93FEA">
              <w:rPr>
                <w:b/>
                <w:bCs/>
                <w:i/>
                <w:iCs/>
                <w:sz w:val="16"/>
                <w:szCs w:val="16"/>
                <w:lang w:val="ru-RU"/>
              </w:rPr>
              <w:t>перевод</w:t>
            </w:r>
            <w:r>
              <w:rPr>
                <w:b/>
                <w:bCs/>
                <w:i/>
                <w:iCs/>
                <w:sz w:val="16"/>
                <w:szCs w:val="16"/>
                <w:lang w:val="ru-RU"/>
              </w:rPr>
              <w:t>а</w:t>
            </w:r>
            <w:r w:rsidRPr="00E93FEA">
              <w:rPr>
                <w:b/>
                <w:bCs/>
                <w:i/>
                <w:iCs/>
                <w:sz w:val="16"/>
                <w:szCs w:val="16"/>
                <w:lang w:val="ru-RU"/>
              </w:rPr>
              <w:t>:</w:t>
            </w:r>
          </w:p>
          <w:p w:rsidR="00C85043" w:rsidRPr="00E93FEA" w:rsidRDefault="00C85043" w:rsidP="00C85043">
            <w:pPr>
              <w:rPr>
                <w:sz w:val="16"/>
                <w:lang w:val="ru-RU"/>
              </w:rPr>
            </w:pPr>
            <w:r w:rsidRPr="00E93FEA">
              <w:rPr>
                <w:sz w:val="16"/>
                <w:lang w:val="ru-RU"/>
              </w:rPr>
              <w:t>Создание системы</w:t>
            </w:r>
            <w:r w:rsidRPr="000B2C99">
              <w:rPr>
                <w:sz w:val="16"/>
                <w:lang w:val="ru-RU"/>
              </w:rPr>
              <w:t xml:space="preserve"> работ</w:t>
            </w:r>
            <w:r>
              <w:rPr>
                <w:sz w:val="16"/>
                <w:lang w:val="ru-RU"/>
              </w:rPr>
              <w:t>ы с документами, поступающими на перевод,</w:t>
            </w:r>
            <w:r w:rsidRPr="00E93FEA">
              <w:rPr>
                <w:sz w:val="16"/>
                <w:lang w:val="ru-RU"/>
              </w:rPr>
              <w:t xml:space="preserve"> и контроля </w:t>
            </w:r>
            <w:r>
              <w:rPr>
                <w:sz w:val="16"/>
                <w:lang w:val="ru-RU"/>
              </w:rPr>
              <w:t xml:space="preserve">их </w:t>
            </w:r>
            <w:r w:rsidRPr="00E93FEA">
              <w:rPr>
                <w:sz w:val="16"/>
                <w:lang w:val="ru-RU"/>
              </w:rPr>
              <w:t>статуса</w:t>
            </w:r>
            <w:r>
              <w:rPr>
                <w:sz w:val="16"/>
                <w:lang w:val="ru-RU"/>
              </w:rPr>
              <w:t xml:space="preserve"> для Лингвистической службы </w:t>
            </w:r>
            <w:r w:rsidRPr="00E93FEA">
              <w:rPr>
                <w:sz w:val="16"/>
                <w:lang w:val="ru-RU"/>
              </w:rPr>
              <w:t xml:space="preserve">позволит: </w:t>
            </w:r>
          </w:p>
          <w:p w:rsidR="00C85043" w:rsidRPr="00E93FEA" w:rsidRDefault="00C85043" w:rsidP="00BF61DC">
            <w:pPr>
              <w:pStyle w:val="ListParagraph"/>
              <w:numPr>
                <w:ilvl w:val="0"/>
                <w:numId w:val="107"/>
              </w:numPr>
              <w:contextualSpacing/>
              <w:jc w:val="both"/>
              <w:rPr>
                <w:sz w:val="16"/>
                <w:lang w:val="ru-RU"/>
              </w:rPr>
            </w:pPr>
            <w:r w:rsidRPr="00E93FEA">
              <w:rPr>
                <w:sz w:val="16"/>
                <w:lang w:val="ru-RU"/>
              </w:rPr>
              <w:t>сократить объе</w:t>
            </w:r>
            <w:r>
              <w:rPr>
                <w:sz w:val="16"/>
                <w:lang w:val="ru-RU"/>
              </w:rPr>
              <w:t xml:space="preserve">м </w:t>
            </w:r>
            <w:r w:rsidRPr="00E93FEA">
              <w:rPr>
                <w:sz w:val="16"/>
                <w:lang w:val="ru-RU"/>
              </w:rPr>
              <w:t>работ</w:t>
            </w:r>
            <w:r>
              <w:rPr>
                <w:sz w:val="16"/>
                <w:lang w:val="ru-RU"/>
              </w:rPr>
              <w:t xml:space="preserve">ы </w:t>
            </w:r>
            <w:r w:rsidRPr="00E93FEA">
              <w:rPr>
                <w:sz w:val="16"/>
                <w:lang w:val="ru-RU"/>
              </w:rPr>
              <w:t>сотрудник</w:t>
            </w:r>
            <w:r>
              <w:rPr>
                <w:sz w:val="16"/>
                <w:lang w:val="ru-RU"/>
              </w:rPr>
              <w:t xml:space="preserve">ов, </w:t>
            </w:r>
            <w:r w:rsidRPr="000B2C99">
              <w:rPr>
                <w:sz w:val="16"/>
                <w:lang w:val="ru-RU"/>
              </w:rPr>
              <w:t>контрол</w:t>
            </w:r>
            <w:r>
              <w:rPr>
                <w:sz w:val="16"/>
                <w:lang w:val="ru-RU"/>
              </w:rPr>
              <w:t xml:space="preserve">ирующих </w:t>
            </w:r>
            <w:r w:rsidRPr="00E93FEA">
              <w:rPr>
                <w:sz w:val="16"/>
                <w:lang w:val="ru-RU"/>
              </w:rPr>
              <w:t>статусе выполнения за</w:t>
            </w:r>
            <w:r>
              <w:rPr>
                <w:sz w:val="16"/>
                <w:lang w:val="ru-RU"/>
              </w:rPr>
              <w:t xml:space="preserve">явок </w:t>
            </w:r>
            <w:r w:rsidRPr="00E93FEA">
              <w:rPr>
                <w:sz w:val="16"/>
                <w:lang w:val="ru-RU"/>
              </w:rPr>
              <w:t xml:space="preserve">на перевод, поскольку </w:t>
            </w:r>
            <w:r>
              <w:rPr>
                <w:sz w:val="16"/>
                <w:lang w:val="ru-RU"/>
              </w:rPr>
              <w:t xml:space="preserve">система будет обеспечивать </w:t>
            </w:r>
            <w:r w:rsidRPr="00E93FEA">
              <w:rPr>
                <w:sz w:val="16"/>
              </w:rPr>
              <w:t>a</w:t>
            </w:r>
            <w:r>
              <w:rPr>
                <w:sz w:val="16"/>
                <w:lang w:val="ru-RU"/>
              </w:rPr>
              <w:t xml:space="preserve">втоматизированную </w:t>
            </w:r>
            <w:r w:rsidRPr="00E93FEA">
              <w:rPr>
                <w:sz w:val="16"/>
                <w:lang w:val="ru-RU"/>
              </w:rPr>
              <w:t>отчетность;</w:t>
            </w:r>
          </w:p>
          <w:p w:rsidR="00C85043" w:rsidRPr="00AB735C" w:rsidRDefault="00C85043" w:rsidP="00BF61DC">
            <w:pPr>
              <w:pStyle w:val="ListParagraph"/>
              <w:numPr>
                <w:ilvl w:val="0"/>
                <w:numId w:val="107"/>
              </w:numPr>
              <w:contextualSpacing/>
              <w:jc w:val="both"/>
              <w:rPr>
                <w:sz w:val="16"/>
                <w:lang w:val="ru-RU"/>
              </w:rPr>
            </w:pPr>
            <w:r w:rsidRPr="00E93FEA">
              <w:rPr>
                <w:sz w:val="16"/>
                <w:lang w:val="ru-RU"/>
              </w:rPr>
              <w:t>обеспечить надлежащ</w:t>
            </w:r>
            <w:r>
              <w:rPr>
                <w:sz w:val="16"/>
                <w:lang w:val="ru-RU"/>
              </w:rPr>
              <w:t xml:space="preserve">ее </w:t>
            </w:r>
            <w:r w:rsidRPr="00E93FEA">
              <w:rPr>
                <w:sz w:val="16"/>
                <w:lang w:val="ru-RU"/>
              </w:rPr>
              <w:t xml:space="preserve">выполнение услуг </w:t>
            </w:r>
            <w:r>
              <w:rPr>
                <w:sz w:val="16"/>
                <w:lang w:val="ru-RU"/>
              </w:rPr>
              <w:t>перевода</w:t>
            </w:r>
            <w:r w:rsidRPr="00E93FEA">
              <w:rPr>
                <w:sz w:val="16"/>
                <w:lang w:val="ru-RU"/>
              </w:rPr>
              <w:t xml:space="preserve"> благодаря</w:t>
            </w:r>
            <w:r>
              <w:rPr>
                <w:sz w:val="16"/>
                <w:lang w:val="ru-RU"/>
              </w:rPr>
              <w:t xml:space="preserve"> активному контролю</w:t>
            </w:r>
            <w:r w:rsidRPr="00E93FEA">
              <w:rPr>
                <w:sz w:val="16"/>
                <w:lang w:val="ru-RU"/>
              </w:rPr>
              <w:t xml:space="preserve"> за выполнением каждо</w:t>
            </w:r>
            <w:r>
              <w:rPr>
                <w:sz w:val="16"/>
                <w:lang w:val="ru-RU"/>
              </w:rPr>
              <w:t xml:space="preserve">й </w:t>
            </w:r>
            <w:r w:rsidRPr="00E93FEA">
              <w:rPr>
                <w:sz w:val="16"/>
                <w:lang w:val="ru-RU"/>
              </w:rPr>
              <w:t>за</w:t>
            </w:r>
            <w:r>
              <w:rPr>
                <w:sz w:val="16"/>
                <w:lang w:val="ru-RU"/>
              </w:rPr>
              <w:t xml:space="preserve">явки </w:t>
            </w:r>
            <w:r w:rsidRPr="00E93FEA">
              <w:rPr>
                <w:sz w:val="16"/>
                <w:lang w:val="ru-RU"/>
              </w:rPr>
              <w:t>на перевод</w:t>
            </w:r>
            <w:r>
              <w:rPr>
                <w:sz w:val="16"/>
                <w:lang w:val="ru-RU"/>
              </w:rPr>
              <w:t xml:space="preserve"> и </w:t>
            </w:r>
            <w:r w:rsidRPr="00E93FEA">
              <w:rPr>
                <w:sz w:val="16"/>
                <w:lang w:val="ru-RU"/>
              </w:rPr>
              <w:t>формировани</w:t>
            </w:r>
            <w:r>
              <w:rPr>
                <w:sz w:val="16"/>
                <w:lang w:val="ru-RU"/>
              </w:rPr>
              <w:t xml:space="preserve">ю </w:t>
            </w:r>
            <w:r w:rsidRPr="00E93FEA">
              <w:rPr>
                <w:sz w:val="16"/>
                <w:lang w:val="ru-RU"/>
              </w:rPr>
              <w:t>соответствующ</w:t>
            </w:r>
            <w:r>
              <w:rPr>
                <w:sz w:val="16"/>
                <w:lang w:val="ru-RU"/>
              </w:rPr>
              <w:t xml:space="preserve">их </w:t>
            </w:r>
            <w:r w:rsidRPr="00E93FEA">
              <w:rPr>
                <w:sz w:val="16"/>
                <w:lang w:val="ru-RU"/>
              </w:rPr>
              <w:t>отчет</w:t>
            </w:r>
            <w:r>
              <w:rPr>
                <w:sz w:val="16"/>
                <w:lang w:val="ru-RU"/>
              </w:rPr>
              <w:t>ов</w:t>
            </w:r>
            <w:r w:rsidRPr="00E93FEA">
              <w:rPr>
                <w:sz w:val="16"/>
                <w:lang w:val="ru-RU"/>
              </w:rPr>
              <w:t>.</w:t>
            </w:r>
          </w:p>
        </w:tc>
        <w:tc>
          <w:tcPr>
            <w:tcW w:w="1818" w:type="pct"/>
            <w:shd w:val="clear" w:color="auto" w:fill="auto"/>
          </w:tcPr>
          <w:p w:rsidR="00C85043" w:rsidRPr="00C26A82" w:rsidRDefault="00C85043" w:rsidP="00C85043">
            <w:pPr>
              <w:rPr>
                <w:b/>
                <w:bCs/>
                <w:i/>
                <w:iCs/>
                <w:sz w:val="16"/>
                <w:szCs w:val="16"/>
                <w:lang w:val="ru-RU"/>
              </w:rPr>
            </w:pPr>
            <w:r w:rsidRPr="00C26A82">
              <w:rPr>
                <w:b/>
                <w:bCs/>
                <w:i/>
                <w:iCs/>
                <w:sz w:val="16"/>
                <w:szCs w:val="16"/>
                <w:lang w:val="ru-RU"/>
              </w:rPr>
              <w:t xml:space="preserve">После ввода в эксплуатацию конфигурации системы УОИК, относящейся к контрактной работе и </w:t>
            </w:r>
            <w:r w:rsidRPr="00CE6F7D">
              <w:rPr>
                <w:b/>
                <w:bCs/>
                <w:i/>
                <w:iCs/>
                <w:sz w:val="16"/>
                <w:szCs w:val="16"/>
                <w:lang w:val="ru-RU"/>
              </w:rPr>
              <w:t>отношени</w:t>
            </w:r>
            <w:r>
              <w:rPr>
                <w:b/>
                <w:bCs/>
                <w:i/>
                <w:iCs/>
                <w:sz w:val="16"/>
                <w:szCs w:val="16"/>
                <w:lang w:val="ru-RU"/>
              </w:rPr>
              <w:t>ям</w:t>
            </w:r>
            <w:r w:rsidRPr="00C26A82">
              <w:rPr>
                <w:b/>
                <w:bCs/>
                <w:i/>
                <w:iCs/>
                <w:sz w:val="16"/>
                <w:szCs w:val="16"/>
                <w:lang w:val="ru-RU"/>
              </w:rPr>
              <w:t xml:space="preserve"> с поставщиками:</w:t>
            </w:r>
          </w:p>
          <w:p w:rsidR="00C85043" w:rsidRPr="00345A23" w:rsidRDefault="00C85043" w:rsidP="00C85043">
            <w:pPr>
              <w:jc w:val="both"/>
              <w:rPr>
                <w:sz w:val="16"/>
                <w:lang w:val="ru-RU"/>
              </w:rPr>
            </w:pPr>
            <w:r w:rsidRPr="00345A23">
              <w:rPr>
                <w:sz w:val="16"/>
                <w:lang w:val="ru-RU"/>
              </w:rPr>
              <w:t xml:space="preserve">Закупочная секция будет располагать единым источником информации о продолжающихся и завершенных торгах с </w:t>
            </w:r>
            <w:r>
              <w:rPr>
                <w:sz w:val="16"/>
                <w:lang w:val="ru-RU"/>
              </w:rPr>
              <w:t>поисковой функцией</w:t>
            </w:r>
            <w:r w:rsidRPr="00345A23">
              <w:rPr>
                <w:sz w:val="16"/>
                <w:lang w:val="ru-RU"/>
              </w:rPr>
              <w:t>, что позволит обеспечить:</w:t>
            </w:r>
          </w:p>
          <w:p w:rsidR="00C85043" w:rsidRPr="00AB735C" w:rsidRDefault="00C85043" w:rsidP="00BF61DC">
            <w:pPr>
              <w:pStyle w:val="ListParagraph"/>
              <w:numPr>
                <w:ilvl w:val="0"/>
                <w:numId w:val="107"/>
              </w:numPr>
              <w:contextualSpacing/>
              <w:rPr>
                <w:sz w:val="16"/>
                <w:lang w:val="ru-RU"/>
              </w:rPr>
            </w:pPr>
            <w:r w:rsidRPr="00AB735C">
              <w:rPr>
                <w:sz w:val="16"/>
                <w:lang w:val="ru-RU"/>
              </w:rPr>
              <w:t xml:space="preserve">сокращение </w:t>
            </w:r>
            <w:r>
              <w:rPr>
                <w:sz w:val="16"/>
                <w:lang w:val="ru-RU"/>
              </w:rPr>
              <w:t xml:space="preserve">времени, </w:t>
            </w:r>
            <w:r w:rsidRPr="00CE6F7D">
              <w:rPr>
                <w:sz w:val="16"/>
                <w:lang w:val="ru-RU"/>
              </w:rPr>
              <w:t>необходим</w:t>
            </w:r>
            <w:r>
              <w:rPr>
                <w:sz w:val="16"/>
                <w:lang w:val="ru-RU"/>
              </w:rPr>
              <w:t xml:space="preserve">ого на поиск и вывод </w:t>
            </w:r>
            <w:r w:rsidRPr="00AB735C">
              <w:rPr>
                <w:sz w:val="16"/>
                <w:lang w:val="ru-RU"/>
              </w:rPr>
              <w:t>текущ</w:t>
            </w:r>
            <w:r>
              <w:rPr>
                <w:sz w:val="16"/>
                <w:lang w:val="ru-RU"/>
              </w:rPr>
              <w:t>ей</w:t>
            </w:r>
            <w:r w:rsidRPr="00AB735C">
              <w:rPr>
                <w:sz w:val="16"/>
                <w:lang w:val="ru-RU"/>
              </w:rPr>
              <w:t xml:space="preserve"> </w:t>
            </w:r>
            <w:r>
              <w:rPr>
                <w:sz w:val="16"/>
                <w:lang w:val="ru-RU"/>
              </w:rPr>
              <w:t>информации</w:t>
            </w:r>
            <w:r w:rsidRPr="00AB735C">
              <w:rPr>
                <w:sz w:val="16"/>
                <w:lang w:val="ru-RU"/>
              </w:rPr>
              <w:t>;</w:t>
            </w:r>
          </w:p>
          <w:p w:rsidR="00C85043" w:rsidRPr="00AB735C" w:rsidRDefault="00C85043" w:rsidP="00BF61DC">
            <w:pPr>
              <w:pStyle w:val="ListParagraph"/>
              <w:numPr>
                <w:ilvl w:val="0"/>
                <w:numId w:val="107"/>
              </w:numPr>
              <w:contextualSpacing/>
              <w:jc w:val="both"/>
              <w:rPr>
                <w:sz w:val="16"/>
                <w:lang w:val="ru-RU"/>
              </w:rPr>
            </w:pPr>
            <w:r w:rsidRPr="00AB735C">
              <w:rPr>
                <w:sz w:val="16"/>
                <w:lang w:val="ru-RU"/>
              </w:rPr>
              <w:t xml:space="preserve">сокращение </w:t>
            </w:r>
            <w:r>
              <w:rPr>
                <w:sz w:val="16"/>
                <w:lang w:val="ru-RU"/>
              </w:rPr>
              <w:t xml:space="preserve">числа ошибок и повторных </w:t>
            </w:r>
            <w:r w:rsidRPr="00CE6F7D">
              <w:rPr>
                <w:sz w:val="16"/>
                <w:lang w:val="ru-RU"/>
              </w:rPr>
              <w:t>операци</w:t>
            </w:r>
            <w:r>
              <w:rPr>
                <w:sz w:val="16"/>
                <w:lang w:val="ru-RU"/>
              </w:rPr>
              <w:t xml:space="preserve">й благодаря </w:t>
            </w:r>
            <w:r w:rsidRPr="000B2C99">
              <w:rPr>
                <w:sz w:val="16"/>
                <w:lang w:val="ru-RU"/>
              </w:rPr>
              <w:t>возможн</w:t>
            </w:r>
            <w:r>
              <w:rPr>
                <w:sz w:val="16"/>
                <w:lang w:val="ru-RU"/>
              </w:rPr>
              <w:t xml:space="preserve">ости четкой </w:t>
            </w:r>
            <w:r w:rsidRPr="000B2C99">
              <w:rPr>
                <w:sz w:val="16"/>
                <w:lang w:val="ru-RU"/>
              </w:rPr>
              <w:t>идентификаци</w:t>
            </w:r>
            <w:r>
              <w:rPr>
                <w:sz w:val="16"/>
                <w:lang w:val="ru-RU"/>
              </w:rPr>
              <w:t xml:space="preserve">и самой последней </w:t>
            </w:r>
            <w:r w:rsidRPr="00AB735C">
              <w:rPr>
                <w:sz w:val="16"/>
                <w:lang w:val="ru-RU"/>
              </w:rPr>
              <w:t>верси</w:t>
            </w:r>
            <w:r>
              <w:rPr>
                <w:sz w:val="16"/>
                <w:lang w:val="ru-RU"/>
              </w:rPr>
              <w:t>и каждого</w:t>
            </w:r>
            <w:r w:rsidRPr="00AB735C">
              <w:rPr>
                <w:sz w:val="16"/>
                <w:lang w:val="ru-RU"/>
              </w:rPr>
              <w:t xml:space="preserve"> документ</w:t>
            </w:r>
            <w:r>
              <w:rPr>
                <w:sz w:val="16"/>
                <w:lang w:val="ru-RU"/>
              </w:rPr>
              <w:t>а</w:t>
            </w:r>
            <w:r w:rsidRPr="00AB735C">
              <w:rPr>
                <w:sz w:val="16"/>
                <w:lang w:val="ru-RU"/>
              </w:rPr>
              <w:t xml:space="preserve">. </w:t>
            </w:r>
          </w:p>
          <w:p w:rsidR="00C85043" w:rsidRPr="006C58FC" w:rsidRDefault="00C85043" w:rsidP="00C85043">
            <w:pPr>
              <w:jc w:val="both"/>
              <w:rPr>
                <w:sz w:val="16"/>
                <w:lang w:val="ru-RU"/>
              </w:rPr>
            </w:pPr>
            <w:r w:rsidRPr="006C58FC">
              <w:rPr>
                <w:sz w:val="16"/>
                <w:lang w:val="ru-RU"/>
              </w:rPr>
              <w:t xml:space="preserve">Ожидается, что Закупочная секция </w:t>
            </w:r>
            <w:r>
              <w:rPr>
                <w:sz w:val="16"/>
                <w:lang w:val="ru-RU"/>
              </w:rPr>
              <w:t xml:space="preserve">получит в свое </w:t>
            </w:r>
            <w:r w:rsidRPr="006C58FC">
              <w:rPr>
                <w:sz w:val="16"/>
                <w:lang w:val="ru-RU"/>
              </w:rPr>
              <w:t>распоряжени</w:t>
            </w:r>
            <w:r>
              <w:rPr>
                <w:sz w:val="16"/>
                <w:lang w:val="ru-RU"/>
              </w:rPr>
              <w:t xml:space="preserve">е </w:t>
            </w:r>
            <w:r w:rsidRPr="006C58FC">
              <w:rPr>
                <w:sz w:val="16"/>
                <w:lang w:val="ru-RU"/>
              </w:rPr>
              <w:t xml:space="preserve">единую информационную панель, отражающую </w:t>
            </w:r>
            <w:r>
              <w:rPr>
                <w:sz w:val="16"/>
                <w:lang w:val="ru-RU"/>
              </w:rPr>
              <w:t xml:space="preserve">ход </w:t>
            </w:r>
            <w:r w:rsidRPr="006C58FC">
              <w:rPr>
                <w:sz w:val="16"/>
                <w:lang w:val="ru-RU"/>
              </w:rPr>
              <w:t xml:space="preserve">выполнения действующих контрактов и </w:t>
            </w:r>
            <w:r w:rsidRPr="006C58FC">
              <w:rPr>
                <w:snapToGrid w:val="0"/>
                <w:sz w:val="16"/>
                <w:lang w:val="ru-RU"/>
              </w:rPr>
              <w:t>данн</w:t>
            </w:r>
            <w:r w:rsidRPr="006C58FC">
              <w:rPr>
                <w:sz w:val="16"/>
                <w:lang w:val="ru-RU"/>
              </w:rPr>
              <w:t>ые о необходимости проведения повторных торгов в отношении действующих контрактов, что позволит обеспечить:</w:t>
            </w:r>
          </w:p>
          <w:p w:rsidR="00C85043" w:rsidRPr="000B2C99" w:rsidRDefault="00C85043" w:rsidP="00BF61DC">
            <w:pPr>
              <w:pStyle w:val="ListParagraph"/>
              <w:numPr>
                <w:ilvl w:val="0"/>
                <w:numId w:val="107"/>
              </w:numPr>
              <w:contextualSpacing/>
              <w:jc w:val="both"/>
              <w:rPr>
                <w:b/>
                <w:bCs/>
                <w:iCs/>
                <w:sz w:val="16"/>
                <w:szCs w:val="16"/>
                <w:lang w:val="ru-RU"/>
              </w:rPr>
            </w:pPr>
            <w:r w:rsidRPr="000B2C99">
              <w:rPr>
                <w:bCs/>
                <w:iCs/>
                <w:sz w:val="16"/>
                <w:szCs w:val="16"/>
                <w:lang w:val="ru-RU"/>
              </w:rPr>
              <w:t>более эффективное использование времени сотрудников за счет более продуманного перспективного планирования закупочных операций.</w:t>
            </w:r>
          </w:p>
        </w:tc>
        <w:tc>
          <w:tcPr>
            <w:tcW w:w="1364" w:type="pct"/>
          </w:tcPr>
          <w:p w:rsidR="00C85043" w:rsidRPr="00AB735C" w:rsidRDefault="00C85043" w:rsidP="00C85043">
            <w:pPr>
              <w:rPr>
                <w:b/>
                <w:bCs/>
                <w:i/>
                <w:iCs/>
                <w:sz w:val="16"/>
                <w:szCs w:val="16"/>
                <w:lang w:val="ru-RU"/>
              </w:rPr>
            </w:pPr>
          </w:p>
        </w:tc>
      </w:tr>
      <w:tr w:rsidR="00C85043" w:rsidRPr="005C6ABD" w:rsidTr="00C85043">
        <w:trPr>
          <w:trHeight w:val="564"/>
          <w:jc w:val="center"/>
        </w:trPr>
        <w:tc>
          <w:tcPr>
            <w:tcW w:w="1818" w:type="pct"/>
            <w:shd w:val="clear" w:color="auto" w:fill="auto"/>
          </w:tcPr>
          <w:p w:rsidR="00C85043" w:rsidRPr="00AB735C" w:rsidRDefault="00C85043" w:rsidP="00C85043">
            <w:pPr>
              <w:pStyle w:val="ListParagraph"/>
              <w:ind w:left="318"/>
              <w:contextualSpacing/>
              <w:jc w:val="both"/>
              <w:rPr>
                <w:b/>
                <w:bCs/>
                <w:i/>
                <w:iCs/>
                <w:sz w:val="16"/>
                <w:szCs w:val="16"/>
                <w:lang w:val="ru-RU"/>
              </w:rPr>
            </w:pPr>
          </w:p>
        </w:tc>
        <w:tc>
          <w:tcPr>
            <w:tcW w:w="1818" w:type="pct"/>
            <w:shd w:val="clear" w:color="auto" w:fill="auto"/>
          </w:tcPr>
          <w:p w:rsidR="00C85043" w:rsidRPr="00E00C4F" w:rsidRDefault="00C85043" w:rsidP="00C85043">
            <w:pPr>
              <w:rPr>
                <w:b/>
                <w:bCs/>
                <w:i/>
                <w:iCs/>
                <w:sz w:val="16"/>
                <w:szCs w:val="16"/>
                <w:lang w:val="ru-RU"/>
              </w:rPr>
            </w:pPr>
            <w:r w:rsidRPr="00E00C4F">
              <w:rPr>
                <w:b/>
                <w:bCs/>
                <w:i/>
                <w:iCs/>
                <w:sz w:val="16"/>
                <w:szCs w:val="16"/>
                <w:lang w:val="ru-RU"/>
              </w:rPr>
              <w:t>После ввода в эксплуатацию конфигурации системы УОИК «Отчеты о служебных поездках»:</w:t>
            </w:r>
          </w:p>
          <w:p w:rsidR="00C85043" w:rsidRPr="000B2C99" w:rsidRDefault="00C85043" w:rsidP="00C85043">
            <w:pPr>
              <w:jc w:val="both"/>
              <w:rPr>
                <w:sz w:val="16"/>
                <w:lang w:val="ru-RU"/>
              </w:rPr>
            </w:pPr>
            <w:r>
              <w:rPr>
                <w:sz w:val="16"/>
                <w:lang w:val="ru-RU"/>
              </w:rPr>
              <w:t>поиск</w:t>
            </w:r>
            <w:r w:rsidRPr="00E00C4F">
              <w:rPr>
                <w:sz w:val="16"/>
                <w:lang w:val="ru-RU"/>
              </w:rPr>
              <w:t xml:space="preserve"> </w:t>
            </w:r>
            <w:r>
              <w:rPr>
                <w:sz w:val="16"/>
                <w:lang w:val="ru-RU"/>
              </w:rPr>
              <w:t xml:space="preserve">по </w:t>
            </w:r>
            <w:r w:rsidRPr="00E00C4F">
              <w:rPr>
                <w:sz w:val="16"/>
                <w:lang w:val="ru-RU"/>
              </w:rPr>
              <w:t xml:space="preserve">содержанию </w:t>
            </w:r>
            <w:r>
              <w:rPr>
                <w:sz w:val="16"/>
                <w:lang w:val="ru-RU"/>
              </w:rPr>
              <w:t xml:space="preserve">существующих </w:t>
            </w:r>
            <w:r w:rsidRPr="00E00C4F">
              <w:rPr>
                <w:sz w:val="16"/>
                <w:lang w:val="ru-RU"/>
              </w:rPr>
              <w:t xml:space="preserve">отчетов о поездках, а также </w:t>
            </w:r>
            <w:r>
              <w:rPr>
                <w:sz w:val="16"/>
                <w:lang w:val="ru-RU"/>
              </w:rPr>
              <w:t>поиск</w:t>
            </w:r>
            <w:r w:rsidRPr="00E00C4F">
              <w:rPr>
                <w:sz w:val="16"/>
                <w:lang w:val="ru-RU"/>
              </w:rPr>
              <w:t xml:space="preserve"> </w:t>
            </w:r>
            <w:r w:rsidRPr="000B2C99">
              <w:rPr>
                <w:sz w:val="16"/>
                <w:lang w:val="ru-RU"/>
              </w:rPr>
              <w:t>информаци</w:t>
            </w:r>
            <w:r>
              <w:rPr>
                <w:sz w:val="16"/>
                <w:lang w:val="ru-RU"/>
              </w:rPr>
              <w:t xml:space="preserve">и </w:t>
            </w:r>
            <w:r w:rsidRPr="00E00C4F">
              <w:rPr>
                <w:sz w:val="16"/>
                <w:lang w:val="ru-RU"/>
              </w:rPr>
              <w:t>о планируемых поездках</w:t>
            </w:r>
            <w:r>
              <w:rPr>
                <w:sz w:val="16"/>
                <w:lang w:val="ru-RU"/>
              </w:rPr>
              <w:t xml:space="preserve"> </w:t>
            </w:r>
            <w:r w:rsidRPr="00E00C4F">
              <w:rPr>
                <w:sz w:val="16"/>
                <w:lang w:val="ru-RU"/>
              </w:rPr>
              <w:t>станет возможным на уровне всей Организации. В результате ожидается:</w:t>
            </w:r>
          </w:p>
          <w:p w:rsidR="00C85043" w:rsidRPr="00E00C4F" w:rsidRDefault="00C85043" w:rsidP="00BF61DC">
            <w:pPr>
              <w:pStyle w:val="ListParagraph"/>
              <w:numPr>
                <w:ilvl w:val="0"/>
                <w:numId w:val="107"/>
              </w:numPr>
              <w:ind w:left="318" w:hanging="318"/>
              <w:contextualSpacing/>
              <w:jc w:val="both"/>
              <w:rPr>
                <w:sz w:val="16"/>
                <w:lang w:val="ru-RU"/>
              </w:rPr>
            </w:pPr>
            <w:r w:rsidRPr="00E00C4F">
              <w:rPr>
                <w:sz w:val="16"/>
                <w:lang w:val="ru-RU"/>
              </w:rPr>
              <w:t>возможн</w:t>
            </w:r>
            <w:r>
              <w:rPr>
                <w:sz w:val="16"/>
                <w:lang w:val="ru-RU"/>
              </w:rPr>
              <w:t>ость</w:t>
            </w:r>
            <w:r w:rsidRPr="00E00C4F">
              <w:rPr>
                <w:sz w:val="16"/>
                <w:lang w:val="ru-RU"/>
              </w:rPr>
              <w:t xml:space="preserve"> </w:t>
            </w:r>
            <w:r>
              <w:rPr>
                <w:sz w:val="16"/>
                <w:lang w:val="ru-RU"/>
              </w:rPr>
              <w:t>сокращения</w:t>
            </w:r>
            <w:r w:rsidRPr="00E00C4F">
              <w:rPr>
                <w:sz w:val="16"/>
                <w:lang w:val="ru-RU"/>
              </w:rPr>
              <w:t xml:space="preserve"> </w:t>
            </w:r>
            <w:r>
              <w:rPr>
                <w:sz w:val="16"/>
                <w:lang w:val="ru-RU"/>
              </w:rPr>
              <w:t>числа</w:t>
            </w:r>
            <w:r w:rsidRPr="00E00C4F">
              <w:rPr>
                <w:sz w:val="16"/>
                <w:lang w:val="ru-RU"/>
              </w:rPr>
              <w:t xml:space="preserve"> </w:t>
            </w:r>
            <w:r>
              <w:rPr>
                <w:sz w:val="16"/>
                <w:lang w:val="ru-RU"/>
              </w:rPr>
              <w:t xml:space="preserve">поездок </w:t>
            </w:r>
            <w:r>
              <w:rPr>
                <w:rFonts w:cs="Arial"/>
                <w:sz w:val="16"/>
                <w:lang w:val="ru-RU"/>
              </w:rPr>
              <w:t xml:space="preserve">при </w:t>
            </w:r>
            <w:r w:rsidRPr="00E00C4F">
              <w:rPr>
                <w:rFonts w:cs="Arial"/>
                <w:sz w:val="16"/>
                <w:lang w:val="ru-RU"/>
              </w:rPr>
              <w:t>выявлени</w:t>
            </w:r>
            <w:r>
              <w:rPr>
                <w:rFonts w:cs="Arial"/>
                <w:sz w:val="16"/>
                <w:lang w:val="ru-RU"/>
              </w:rPr>
              <w:t xml:space="preserve">и </w:t>
            </w:r>
            <w:r w:rsidRPr="00E00C4F">
              <w:rPr>
                <w:sz w:val="16"/>
                <w:lang w:val="ru-RU"/>
              </w:rPr>
              <w:t xml:space="preserve">частично дублирующих друг друга </w:t>
            </w:r>
            <w:r>
              <w:rPr>
                <w:sz w:val="16"/>
                <w:lang w:val="ru-RU"/>
              </w:rPr>
              <w:t xml:space="preserve">поездок и </w:t>
            </w:r>
            <w:r w:rsidRPr="000B2C99">
              <w:rPr>
                <w:sz w:val="16"/>
                <w:lang w:val="ru-RU"/>
              </w:rPr>
              <w:t>вопрос</w:t>
            </w:r>
            <w:r>
              <w:rPr>
                <w:sz w:val="16"/>
                <w:lang w:val="ru-RU"/>
              </w:rPr>
              <w:t xml:space="preserve">ов для </w:t>
            </w:r>
            <w:r w:rsidRPr="000B2C99">
              <w:rPr>
                <w:sz w:val="16"/>
                <w:lang w:val="ru-RU"/>
              </w:rPr>
              <w:t>обсуждени</w:t>
            </w:r>
            <w:r>
              <w:rPr>
                <w:sz w:val="16"/>
                <w:lang w:val="ru-RU"/>
              </w:rPr>
              <w:t>я</w:t>
            </w:r>
            <w:r w:rsidRPr="00E00C4F">
              <w:rPr>
                <w:sz w:val="16"/>
                <w:lang w:val="ru-RU"/>
              </w:rPr>
              <w:t xml:space="preserve">, </w:t>
            </w:r>
            <w:r>
              <w:rPr>
                <w:sz w:val="16"/>
                <w:lang w:val="ru-RU"/>
              </w:rPr>
              <w:t xml:space="preserve">с </w:t>
            </w:r>
            <w:r w:rsidRPr="00E00C4F">
              <w:rPr>
                <w:sz w:val="16"/>
                <w:lang w:val="ru-RU"/>
              </w:rPr>
              <w:t>соответствующ</w:t>
            </w:r>
            <w:r>
              <w:rPr>
                <w:sz w:val="16"/>
                <w:lang w:val="ru-RU"/>
              </w:rPr>
              <w:t xml:space="preserve">им </w:t>
            </w:r>
            <w:r w:rsidRPr="00E00C4F">
              <w:rPr>
                <w:sz w:val="16"/>
                <w:lang w:val="ru-RU"/>
              </w:rPr>
              <w:t>сокращение</w:t>
            </w:r>
            <w:r>
              <w:rPr>
                <w:sz w:val="16"/>
                <w:lang w:val="ru-RU"/>
              </w:rPr>
              <w:t>м</w:t>
            </w:r>
            <w:r w:rsidRPr="00E00C4F">
              <w:rPr>
                <w:sz w:val="16"/>
                <w:lang w:val="ru-RU"/>
              </w:rPr>
              <w:t xml:space="preserve"> расходов;</w:t>
            </w:r>
          </w:p>
          <w:p w:rsidR="00C85043" w:rsidRPr="00E00C4F" w:rsidRDefault="00C85043" w:rsidP="00BF61DC">
            <w:pPr>
              <w:pStyle w:val="ListParagraph"/>
              <w:numPr>
                <w:ilvl w:val="0"/>
                <w:numId w:val="107"/>
              </w:numPr>
              <w:ind w:left="318" w:hanging="318"/>
              <w:contextualSpacing/>
              <w:jc w:val="both"/>
              <w:rPr>
                <w:b/>
                <w:bCs/>
                <w:i/>
                <w:iCs/>
                <w:sz w:val="16"/>
                <w:szCs w:val="16"/>
                <w:lang w:val="ru-RU"/>
              </w:rPr>
            </w:pPr>
            <w:r>
              <w:rPr>
                <w:sz w:val="16"/>
                <w:lang w:val="ru-RU"/>
              </w:rPr>
              <w:t xml:space="preserve">повышение </w:t>
            </w:r>
            <w:r w:rsidRPr="00E00C4F">
              <w:rPr>
                <w:sz w:val="16"/>
                <w:lang w:val="ru-RU"/>
              </w:rPr>
              <w:t>эффективн</w:t>
            </w:r>
            <w:r>
              <w:rPr>
                <w:sz w:val="16"/>
                <w:lang w:val="ru-RU"/>
              </w:rPr>
              <w:t>ости поездок</w:t>
            </w:r>
            <w:r>
              <w:rPr>
                <w:rFonts w:cs="Arial"/>
                <w:sz w:val="16"/>
                <w:lang w:val="ru-RU"/>
              </w:rPr>
              <w:t xml:space="preserve">, </w:t>
            </w:r>
            <w:r w:rsidRPr="00E00C4F">
              <w:rPr>
                <w:rFonts w:cs="Arial"/>
                <w:sz w:val="16"/>
                <w:lang w:val="ru-RU"/>
              </w:rPr>
              <w:t>поскольку</w:t>
            </w:r>
            <w:r>
              <w:rPr>
                <w:rFonts w:cs="Arial"/>
                <w:sz w:val="16"/>
                <w:lang w:val="ru-RU"/>
              </w:rPr>
              <w:t xml:space="preserve"> </w:t>
            </w:r>
            <w:r w:rsidRPr="00E00C4F">
              <w:rPr>
                <w:rFonts w:cs="Arial"/>
                <w:sz w:val="16"/>
                <w:lang w:val="ru-RU"/>
              </w:rPr>
              <w:t>сотрудник</w:t>
            </w:r>
            <w:r>
              <w:rPr>
                <w:rFonts w:cs="Arial"/>
                <w:sz w:val="16"/>
                <w:lang w:val="ru-RU"/>
              </w:rPr>
              <w:t xml:space="preserve">и </w:t>
            </w:r>
            <w:r w:rsidRPr="00E00C4F">
              <w:rPr>
                <w:sz w:val="16"/>
                <w:lang w:val="ru-RU"/>
              </w:rPr>
              <w:t xml:space="preserve">ВОИС </w:t>
            </w:r>
            <w:r>
              <w:rPr>
                <w:sz w:val="16"/>
                <w:lang w:val="ru-RU"/>
              </w:rPr>
              <w:t xml:space="preserve">будут иметь </w:t>
            </w:r>
            <w:r w:rsidRPr="00E00C4F">
              <w:rPr>
                <w:sz w:val="16"/>
                <w:lang w:val="ru-RU"/>
              </w:rPr>
              <w:t xml:space="preserve">доступ </w:t>
            </w:r>
            <w:r>
              <w:rPr>
                <w:sz w:val="16"/>
                <w:lang w:val="ru-RU"/>
              </w:rPr>
              <w:t xml:space="preserve">к большему массиву информации </w:t>
            </w:r>
            <w:r w:rsidRPr="00E00C4F">
              <w:rPr>
                <w:sz w:val="16"/>
                <w:lang w:val="ru-RU"/>
              </w:rPr>
              <w:t>относительн</w:t>
            </w:r>
            <w:r>
              <w:rPr>
                <w:sz w:val="16"/>
                <w:lang w:val="ru-RU"/>
              </w:rPr>
              <w:t xml:space="preserve">о предыдущих поездок в </w:t>
            </w:r>
            <w:r w:rsidRPr="00E00C4F">
              <w:rPr>
                <w:sz w:val="16"/>
                <w:lang w:val="ru-RU"/>
              </w:rPr>
              <w:t>конкретн</w:t>
            </w:r>
            <w:r>
              <w:rPr>
                <w:sz w:val="16"/>
                <w:lang w:val="ru-RU"/>
              </w:rPr>
              <w:t>ую</w:t>
            </w:r>
            <w:r w:rsidRPr="00E00C4F">
              <w:rPr>
                <w:sz w:val="16"/>
                <w:lang w:val="ru-RU"/>
              </w:rPr>
              <w:t xml:space="preserve"> </w:t>
            </w:r>
            <w:r>
              <w:rPr>
                <w:sz w:val="16"/>
                <w:lang w:val="ru-RU"/>
              </w:rPr>
              <w:t>страну</w:t>
            </w:r>
            <w:r w:rsidRPr="00E00C4F">
              <w:rPr>
                <w:sz w:val="16"/>
                <w:lang w:val="ru-RU"/>
              </w:rPr>
              <w:t xml:space="preserve"> или </w:t>
            </w:r>
            <w:r>
              <w:rPr>
                <w:sz w:val="16"/>
                <w:lang w:val="ru-RU"/>
              </w:rPr>
              <w:t>организацию</w:t>
            </w:r>
            <w:r w:rsidRPr="00E00C4F">
              <w:rPr>
                <w:sz w:val="16"/>
                <w:lang w:val="ru-RU"/>
              </w:rPr>
              <w:t xml:space="preserve">. </w:t>
            </w:r>
            <w:r>
              <w:rPr>
                <w:sz w:val="16"/>
                <w:lang w:val="ru-RU"/>
              </w:rPr>
              <w:t xml:space="preserve">Это позволит </w:t>
            </w:r>
            <w:r w:rsidRPr="00E00C4F">
              <w:rPr>
                <w:sz w:val="16"/>
                <w:lang w:val="ru-RU"/>
              </w:rPr>
              <w:t>сотрудник</w:t>
            </w:r>
            <w:r>
              <w:rPr>
                <w:sz w:val="16"/>
                <w:lang w:val="ru-RU"/>
              </w:rPr>
              <w:t xml:space="preserve">ам </w:t>
            </w:r>
            <w:r w:rsidRPr="00E00C4F">
              <w:rPr>
                <w:sz w:val="16"/>
                <w:lang w:val="ru-RU"/>
              </w:rPr>
              <w:t>Организаци</w:t>
            </w:r>
            <w:r>
              <w:rPr>
                <w:sz w:val="16"/>
                <w:lang w:val="ru-RU"/>
              </w:rPr>
              <w:t xml:space="preserve">и </w:t>
            </w:r>
            <w:r w:rsidRPr="00E00C4F">
              <w:rPr>
                <w:sz w:val="16"/>
                <w:lang w:val="ru-RU"/>
              </w:rPr>
              <w:t xml:space="preserve">лучше </w:t>
            </w:r>
            <w:r>
              <w:rPr>
                <w:sz w:val="16"/>
                <w:lang w:val="ru-RU"/>
              </w:rPr>
              <w:t>готовиться к повторным поездкам</w:t>
            </w:r>
            <w:r>
              <w:rPr>
                <w:rFonts w:cs="Arial"/>
                <w:sz w:val="16"/>
                <w:lang w:val="ru-RU"/>
              </w:rPr>
              <w:t xml:space="preserve"> и </w:t>
            </w:r>
            <w:r>
              <w:rPr>
                <w:sz w:val="16"/>
                <w:lang w:val="ru-RU"/>
              </w:rPr>
              <w:t>вопросам</w:t>
            </w:r>
            <w:r w:rsidRPr="00E00C4F">
              <w:rPr>
                <w:sz w:val="16"/>
                <w:lang w:val="ru-RU"/>
              </w:rPr>
              <w:t>, котор</w:t>
            </w:r>
            <w:r>
              <w:rPr>
                <w:sz w:val="16"/>
                <w:lang w:val="ru-RU"/>
              </w:rPr>
              <w:t xml:space="preserve">ые могли ставиться </w:t>
            </w:r>
            <w:r w:rsidRPr="00E00C4F">
              <w:rPr>
                <w:sz w:val="16"/>
                <w:lang w:val="ru-RU"/>
              </w:rPr>
              <w:t xml:space="preserve">в </w:t>
            </w:r>
            <w:r>
              <w:rPr>
                <w:sz w:val="16"/>
                <w:lang w:val="ru-RU"/>
              </w:rPr>
              <w:t xml:space="preserve">ходе предыдущей </w:t>
            </w:r>
            <w:r w:rsidRPr="00E00C4F">
              <w:rPr>
                <w:rFonts w:cs="Arial"/>
                <w:sz w:val="16"/>
                <w:lang w:val="ru-RU"/>
              </w:rPr>
              <w:t>командиров</w:t>
            </w:r>
            <w:r>
              <w:rPr>
                <w:rFonts w:cs="Arial"/>
                <w:sz w:val="16"/>
                <w:lang w:val="ru-RU"/>
              </w:rPr>
              <w:t xml:space="preserve">ки и не получили </w:t>
            </w:r>
            <w:r w:rsidRPr="00E00C4F">
              <w:rPr>
                <w:rFonts w:cs="Arial"/>
                <w:sz w:val="16"/>
                <w:lang w:val="ru-RU"/>
              </w:rPr>
              <w:t>надлежащ</w:t>
            </w:r>
            <w:r>
              <w:rPr>
                <w:rFonts w:cs="Arial"/>
                <w:sz w:val="16"/>
                <w:lang w:val="ru-RU"/>
              </w:rPr>
              <w:t>его ответа</w:t>
            </w:r>
            <w:r w:rsidRPr="00E00C4F">
              <w:rPr>
                <w:sz w:val="16"/>
                <w:lang w:val="ru-RU"/>
              </w:rPr>
              <w:t>.</w:t>
            </w:r>
          </w:p>
        </w:tc>
        <w:tc>
          <w:tcPr>
            <w:tcW w:w="1364" w:type="pct"/>
          </w:tcPr>
          <w:p w:rsidR="00C85043" w:rsidRPr="00E00C4F" w:rsidRDefault="00C85043" w:rsidP="00C85043">
            <w:pPr>
              <w:rPr>
                <w:b/>
                <w:bCs/>
                <w:i/>
                <w:iCs/>
                <w:sz w:val="16"/>
                <w:szCs w:val="16"/>
                <w:lang w:val="ru-RU"/>
              </w:rPr>
            </w:pPr>
          </w:p>
        </w:tc>
      </w:tr>
      <w:tr w:rsidR="00C85043" w:rsidRPr="005C6ABD" w:rsidTr="00C85043">
        <w:trPr>
          <w:trHeight w:val="564"/>
          <w:jc w:val="center"/>
        </w:trPr>
        <w:tc>
          <w:tcPr>
            <w:tcW w:w="1818" w:type="pct"/>
            <w:shd w:val="clear" w:color="auto" w:fill="auto"/>
          </w:tcPr>
          <w:p w:rsidR="00C85043" w:rsidRPr="00E00C4F" w:rsidRDefault="00C85043" w:rsidP="00C85043">
            <w:pPr>
              <w:contextualSpacing/>
              <w:jc w:val="both"/>
              <w:rPr>
                <w:b/>
                <w:bCs/>
                <w:i/>
                <w:iCs/>
                <w:sz w:val="16"/>
                <w:szCs w:val="16"/>
                <w:lang w:val="ru-RU"/>
              </w:rPr>
            </w:pPr>
          </w:p>
        </w:tc>
        <w:tc>
          <w:tcPr>
            <w:tcW w:w="1818" w:type="pct"/>
            <w:shd w:val="clear" w:color="auto" w:fill="auto"/>
          </w:tcPr>
          <w:p w:rsidR="00C85043" w:rsidRPr="000B2E47" w:rsidRDefault="00C85043" w:rsidP="00C85043">
            <w:pPr>
              <w:rPr>
                <w:b/>
                <w:bCs/>
                <w:i/>
                <w:iCs/>
                <w:sz w:val="16"/>
                <w:szCs w:val="16"/>
                <w:lang w:val="ru-RU"/>
              </w:rPr>
            </w:pPr>
            <w:r w:rsidRPr="000B2E47">
              <w:rPr>
                <w:b/>
                <w:bCs/>
                <w:i/>
                <w:iCs/>
                <w:sz w:val="16"/>
                <w:szCs w:val="16"/>
                <w:lang w:val="ru-RU"/>
              </w:rPr>
              <w:t xml:space="preserve">После ввода в эксплуатацию конфигурации системы УОИК, относящейся к кадровому учету: </w:t>
            </w:r>
          </w:p>
          <w:p w:rsidR="00C85043" w:rsidRPr="000B2E47" w:rsidRDefault="00C85043" w:rsidP="00C85043">
            <w:pPr>
              <w:pStyle w:val="ListParagraph"/>
              <w:ind w:left="35"/>
              <w:contextualSpacing/>
              <w:jc w:val="both"/>
              <w:rPr>
                <w:sz w:val="16"/>
                <w:lang w:val="ru-RU"/>
              </w:rPr>
            </w:pPr>
            <w:r w:rsidRPr="000B2E47">
              <w:rPr>
                <w:sz w:val="16"/>
                <w:lang w:val="ru-RU"/>
              </w:rPr>
              <w:t xml:space="preserve">Департамент управления людскими ресурсами получит единое хранилище кадровой информации, обеспечивающее как сканирование архивных документов, так и </w:t>
            </w:r>
            <w:r>
              <w:rPr>
                <w:sz w:val="16"/>
                <w:lang w:val="ru-RU"/>
              </w:rPr>
              <w:t xml:space="preserve">загрузку </w:t>
            </w:r>
            <w:r w:rsidRPr="000B2E47">
              <w:rPr>
                <w:sz w:val="16"/>
                <w:lang w:val="ru-RU"/>
              </w:rPr>
              <w:t xml:space="preserve">в систему вновь создаваемых документов. Это позволит обеспечить: </w:t>
            </w:r>
          </w:p>
          <w:p w:rsidR="00C85043" w:rsidRPr="000B2E47" w:rsidRDefault="00C85043" w:rsidP="00BF61DC">
            <w:pPr>
              <w:pStyle w:val="ListParagraph"/>
              <w:numPr>
                <w:ilvl w:val="0"/>
                <w:numId w:val="107"/>
              </w:numPr>
              <w:ind w:left="318" w:hanging="283"/>
              <w:contextualSpacing/>
              <w:jc w:val="both"/>
              <w:rPr>
                <w:sz w:val="16"/>
                <w:lang w:val="ru-RU"/>
              </w:rPr>
            </w:pPr>
            <w:r>
              <w:rPr>
                <w:sz w:val="16"/>
                <w:lang w:val="ru-RU"/>
              </w:rPr>
              <w:t xml:space="preserve">загрузку </w:t>
            </w:r>
            <w:r w:rsidRPr="000B2E47">
              <w:rPr>
                <w:sz w:val="16"/>
                <w:lang w:val="ru-RU"/>
              </w:rPr>
              <w:t xml:space="preserve">в систему </w:t>
            </w:r>
            <w:r>
              <w:rPr>
                <w:sz w:val="16"/>
                <w:lang w:val="ru-RU"/>
              </w:rPr>
              <w:t xml:space="preserve">на постоянной основе </w:t>
            </w:r>
            <w:r w:rsidRPr="000B2E47">
              <w:rPr>
                <w:sz w:val="16"/>
                <w:lang w:val="ru-RU"/>
              </w:rPr>
              <w:t xml:space="preserve">ключевых кадровых досье и </w:t>
            </w:r>
            <w:r>
              <w:rPr>
                <w:sz w:val="16"/>
                <w:lang w:val="ru-RU"/>
              </w:rPr>
              <w:t xml:space="preserve">относящихся к ним </w:t>
            </w:r>
            <w:r w:rsidRPr="000B2E47">
              <w:rPr>
                <w:sz w:val="16"/>
                <w:lang w:val="ru-RU"/>
              </w:rPr>
              <w:t>документов. Наличие единого хранилища документов позволит сократить время и усилия сотрудников ДУЛР, требуемые для поиска и получения необходимых документов в рамках ключевых процессов</w:t>
            </w:r>
            <w:r>
              <w:rPr>
                <w:sz w:val="16"/>
                <w:lang w:val="ru-RU"/>
              </w:rPr>
              <w:t xml:space="preserve"> в </w:t>
            </w:r>
            <w:r w:rsidRPr="006102DF">
              <w:rPr>
                <w:sz w:val="16"/>
                <w:lang w:val="ru-RU"/>
              </w:rPr>
              <w:t>Организаци</w:t>
            </w:r>
            <w:r>
              <w:rPr>
                <w:sz w:val="16"/>
                <w:lang w:val="ru-RU"/>
              </w:rPr>
              <w:t>и</w:t>
            </w:r>
            <w:r w:rsidRPr="000B2E47">
              <w:rPr>
                <w:sz w:val="16"/>
                <w:lang w:val="ru-RU"/>
              </w:rPr>
              <w:t>;</w:t>
            </w:r>
          </w:p>
          <w:p w:rsidR="00C85043" w:rsidRPr="004F389B" w:rsidRDefault="00C85043" w:rsidP="00BF61DC">
            <w:pPr>
              <w:pStyle w:val="ListParagraph"/>
              <w:numPr>
                <w:ilvl w:val="0"/>
                <w:numId w:val="107"/>
              </w:numPr>
              <w:ind w:left="335" w:hanging="283"/>
              <w:contextualSpacing/>
              <w:jc w:val="both"/>
              <w:rPr>
                <w:b/>
                <w:bCs/>
                <w:iCs/>
                <w:sz w:val="16"/>
                <w:szCs w:val="16"/>
                <w:lang w:val="ru-RU"/>
              </w:rPr>
            </w:pPr>
            <w:r>
              <w:rPr>
                <w:bCs/>
                <w:iCs/>
                <w:sz w:val="16"/>
                <w:szCs w:val="16"/>
                <w:lang w:val="ru-RU"/>
              </w:rPr>
              <w:t>возможность</w:t>
            </w:r>
            <w:r w:rsidRPr="004F389B">
              <w:rPr>
                <w:bCs/>
                <w:iCs/>
                <w:sz w:val="16"/>
                <w:szCs w:val="16"/>
                <w:lang w:val="ru-RU"/>
              </w:rPr>
              <w:t xml:space="preserve"> легко</w:t>
            </w:r>
            <w:r>
              <w:rPr>
                <w:bCs/>
                <w:iCs/>
                <w:sz w:val="16"/>
                <w:szCs w:val="16"/>
                <w:lang w:val="ru-RU"/>
              </w:rPr>
              <w:t>го определения наиболее поздней версии</w:t>
            </w:r>
            <w:r w:rsidRPr="004F389B">
              <w:rPr>
                <w:bCs/>
                <w:iCs/>
                <w:sz w:val="16"/>
                <w:szCs w:val="16"/>
                <w:lang w:val="ru-RU"/>
              </w:rPr>
              <w:t xml:space="preserve"> </w:t>
            </w:r>
            <w:r>
              <w:rPr>
                <w:bCs/>
                <w:iCs/>
                <w:sz w:val="16"/>
                <w:szCs w:val="16"/>
                <w:lang w:val="ru-RU"/>
              </w:rPr>
              <w:t xml:space="preserve">любого </w:t>
            </w:r>
            <w:r w:rsidRPr="004F389B">
              <w:rPr>
                <w:bCs/>
                <w:iCs/>
                <w:sz w:val="16"/>
                <w:szCs w:val="16"/>
                <w:lang w:val="ru-RU"/>
              </w:rPr>
              <w:t xml:space="preserve">кадрового документа ВОИС, что позволит сократить время и усилия, требуемые для </w:t>
            </w:r>
            <w:r>
              <w:rPr>
                <w:bCs/>
                <w:iCs/>
                <w:sz w:val="16"/>
                <w:szCs w:val="16"/>
                <w:lang w:val="ru-RU"/>
              </w:rPr>
              <w:t>поиска последних версий</w:t>
            </w:r>
            <w:r w:rsidRPr="004F389B">
              <w:rPr>
                <w:bCs/>
                <w:iCs/>
                <w:sz w:val="16"/>
                <w:szCs w:val="16"/>
                <w:lang w:val="ru-RU"/>
              </w:rPr>
              <w:t xml:space="preserve"> документов и избегать дублирования усилий.</w:t>
            </w:r>
          </w:p>
        </w:tc>
        <w:tc>
          <w:tcPr>
            <w:tcW w:w="1364" w:type="pct"/>
          </w:tcPr>
          <w:p w:rsidR="00C85043" w:rsidRPr="00E73D34" w:rsidRDefault="00C85043" w:rsidP="00C85043">
            <w:pPr>
              <w:rPr>
                <w:b/>
                <w:bCs/>
                <w:i/>
                <w:iCs/>
                <w:sz w:val="16"/>
                <w:szCs w:val="16"/>
                <w:lang w:val="ru-RU"/>
              </w:rPr>
            </w:pPr>
          </w:p>
        </w:tc>
      </w:tr>
    </w:tbl>
    <w:p w:rsidR="00C85043" w:rsidRPr="00E73D34" w:rsidRDefault="00C85043" w:rsidP="00C85043">
      <w:pPr>
        <w:keepNext/>
        <w:keepLines/>
        <w:rPr>
          <w:rFonts w:cs="Arial"/>
          <w:color w:val="000000"/>
          <w:sz w:val="22"/>
          <w:szCs w:val="22"/>
          <w:lang w:val="ru-RU"/>
        </w:rPr>
      </w:pPr>
    </w:p>
    <w:p w:rsidR="00C85043" w:rsidRPr="0055183A" w:rsidRDefault="00C85043" w:rsidP="00C85043">
      <w:pPr>
        <w:keepNext/>
        <w:keepLines/>
        <w:rPr>
          <w:rFonts w:cs="Arial"/>
          <w:color w:val="000000"/>
          <w:szCs w:val="20"/>
          <w:lang w:val="ru-RU"/>
        </w:rPr>
      </w:pPr>
      <w:r w:rsidRPr="0055183A">
        <w:rPr>
          <w:rFonts w:cs="Arial"/>
          <w:color w:val="000000"/>
          <w:szCs w:val="20"/>
          <w:lang w:val="ru-RU"/>
        </w:rPr>
        <w:t>ИСПОЛЬЗОВАНИЕ РЕСУРСОВ</w:t>
      </w:r>
      <w:r w:rsidRPr="00225BFF">
        <w:rPr>
          <w:rStyle w:val="FootnoteReference"/>
          <w:szCs w:val="20"/>
        </w:rPr>
        <w:footnoteReference w:id="173"/>
      </w:r>
      <w:r w:rsidRPr="0055183A">
        <w:rPr>
          <w:rFonts w:cs="Arial"/>
          <w:color w:val="000000"/>
          <w:szCs w:val="20"/>
          <w:lang w:val="ru-RU"/>
        </w:rPr>
        <w:tab/>
      </w:r>
    </w:p>
    <w:p w:rsidR="00C85043" w:rsidRPr="0055183A" w:rsidRDefault="00C85043" w:rsidP="00C85043">
      <w:pPr>
        <w:keepNext/>
        <w:keepLines/>
        <w:rPr>
          <w:rFonts w:cs="Arial"/>
          <w:color w:val="000000"/>
          <w:sz w:val="22"/>
          <w:szCs w:val="22"/>
          <w:lang w:val="ru-RU"/>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szCs w:val="22"/>
          <w:lang w:val="ru-RU"/>
        </w:rPr>
        <w:t xml:space="preserve">Сумма бюджетных средств, освоенных в рамках проекта </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8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39"/>
        <w:gridCol w:w="1562"/>
        <w:gridCol w:w="1564"/>
        <w:gridCol w:w="1564"/>
        <w:gridCol w:w="1714"/>
      </w:tblGrid>
      <w:tr w:rsidR="00C85043" w:rsidTr="00C85043">
        <w:trPr>
          <w:trHeight w:val="431"/>
        </w:trPr>
        <w:tc>
          <w:tcPr>
            <w:tcW w:w="1573"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630FBE"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Наименование проекта</w:t>
            </w:r>
          </w:p>
        </w:tc>
        <w:tc>
          <w:tcPr>
            <w:tcW w:w="83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630FBE" w:rsidRDefault="00C85043" w:rsidP="00C85043">
            <w:pPr>
              <w:keepNext/>
              <w:keepLines/>
              <w:autoSpaceDE w:val="0"/>
              <w:autoSpaceDN w:val="0"/>
              <w:adjustRightInd w:val="0"/>
              <w:spacing w:before="40" w:after="40"/>
              <w:ind w:left="-107" w:right="-108"/>
              <w:jc w:val="center"/>
              <w:rPr>
                <w:b/>
                <w:bCs/>
                <w:sz w:val="16"/>
                <w:szCs w:val="16"/>
              </w:rPr>
            </w:pPr>
            <w:r>
              <w:rPr>
                <w:b/>
                <w:bCs/>
                <w:sz w:val="16"/>
                <w:szCs w:val="16"/>
              </w:rPr>
              <w:t>Смета по проекту</w:t>
            </w:r>
          </w:p>
        </w:tc>
        <w:tc>
          <w:tcPr>
            <w:tcW w:w="837"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37"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630FBE" w:rsidRDefault="00C85043" w:rsidP="00C85043">
            <w:pPr>
              <w:keepNext/>
              <w:keepLines/>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917"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630FBE" w:rsidRDefault="00C85043" w:rsidP="00C85043">
            <w:pPr>
              <w:keepNext/>
              <w:keepLines/>
              <w:autoSpaceDE w:val="0"/>
              <w:autoSpaceDN w:val="0"/>
              <w:adjustRightInd w:val="0"/>
              <w:spacing w:before="40" w:after="40"/>
              <w:ind w:left="-109" w:right="-73" w:firstLine="1"/>
              <w:jc w:val="center"/>
              <w:rPr>
                <w:b/>
                <w:bCs/>
                <w:sz w:val="16"/>
                <w:szCs w:val="16"/>
              </w:rPr>
            </w:pPr>
            <w:r>
              <w:rPr>
                <w:b/>
                <w:bCs/>
                <w:sz w:val="16"/>
                <w:szCs w:val="16"/>
              </w:rPr>
              <w:t>Степень реализации проекта</w:t>
            </w:r>
          </w:p>
        </w:tc>
      </w:tr>
      <w:tr w:rsidR="00C85043" w:rsidTr="00C85043">
        <w:trPr>
          <w:trHeight w:val="409"/>
        </w:trPr>
        <w:tc>
          <w:tcPr>
            <w:tcW w:w="1573" w:type="pct"/>
            <w:tcBorders>
              <w:top w:val="single" w:sz="4" w:space="0" w:color="auto"/>
              <w:left w:val="single" w:sz="4" w:space="0" w:color="auto"/>
              <w:bottom w:val="single" w:sz="4" w:space="0" w:color="auto"/>
              <w:right w:val="single" w:sz="4" w:space="0" w:color="auto"/>
            </w:tcBorders>
            <w:vAlign w:val="center"/>
          </w:tcPr>
          <w:p w:rsidR="00C85043" w:rsidRPr="00E73D34" w:rsidRDefault="00C85043" w:rsidP="00C85043">
            <w:pPr>
              <w:keepNext/>
              <w:keepLines/>
              <w:autoSpaceDE w:val="0"/>
              <w:autoSpaceDN w:val="0"/>
              <w:adjustRightInd w:val="0"/>
              <w:spacing w:before="40" w:after="40" w:line="260" w:lineRule="exact"/>
              <w:rPr>
                <w:sz w:val="16"/>
                <w:szCs w:val="16"/>
                <w:lang w:val="ru-RU"/>
              </w:rPr>
            </w:pPr>
            <w:r w:rsidRPr="00E73D34">
              <w:rPr>
                <w:sz w:val="16"/>
                <w:szCs w:val="16"/>
                <w:lang w:val="ru-RU"/>
              </w:rPr>
              <w:t>Проект по внедрению системы УОИК</w:t>
            </w:r>
          </w:p>
        </w:tc>
        <w:tc>
          <w:tcPr>
            <w:tcW w:w="836" w:type="pct"/>
            <w:tcBorders>
              <w:top w:val="single" w:sz="4" w:space="0" w:color="auto"/>
              <w:left w:val="single" w:sz="4" w:space="0" w:color="auto"/>
              <w:bottom w:val="single" w:sz="4" w:space="0" w:color="auto"/>
              <w:right w:val="single" w:sz="4" w:space="0" w:color="auto"/>
            </w:tcBorders>
            <w:vAlign w:val="center"/>
          </w:tcPr>
          <w:p w:rsidR="00C85043" w:rsidRPr="00630FBE" w:rsidRDefault="00C85043" w:rsidP="00C85043">
            <w:pPr>
              <w:keepNext/>
              <w:keepLines/>
              <w:autoSpaceDE w:val="0"/>
              <w:autoSpaceDN w:val="0"/>
              <w:adjustRightInd w:val="0"/>
              <w:spacing w:before="40" w:after="40" w:line="260" w:lineRule="exact"/>
              <w:jc w:val="center"/>
              <w:rPr>
                <w:sz w:val="16"/>
                <w:szCs w:val="16"/>
              </w:rPr>
            </w:pPr>
            <w:r>
              <w:rPr>
                <w:sz w:val="16"/>
                <w:szCs w:val="16"/>
              </w:rPr>
              <w:t>2 068 000</w:t>
            </w:r>
          </w:p>
        </w:tc>
        <w:tc>
          <w:tcPr>
            <w:tcW w:w="837" w:type="pct"/>
            <w:tcBorders>
              <w:top w:val="single" w:sz="4" w:space="0" w:color="auto"/>
              <w:left w:val="single" w:sz="4" w:space="0" w:color="auto"/>
              <w:bottom w:val="single" w:sz="4" w:space="0" w:color="auto"/>
              <w:right w:val="single" w:sz="4" w:space="0" w:color="auto"/>
            </w:tcBorders>
            <w:vAlign w:val="center"/>
          </w:tcPr>
          <w:p w:rsidR="00C85043" w:rsidRPr="00630FBE" w:rsidRDefault="00C85043" w:rsidP="00C85043">
            <w:pPr>
              <w:keepNext/>
              <w:keepLines/>
              <w:autoSpaceDE w:val="0"/>
              <w:autoSpaceDN w:val="0"/>
              <w:adjustRightInd w:val="0"/>
              <w:spacing w:before="40" w:after="40" w:line="260" w:lineRule="exact"/>
              <w:jc w:val="center"/>
              <w:rPr>
                <w:sz w:val="16"/>
                <w:szCs w:val="16"/>
              </w:rPr>
            </w:pPr>
            <w:r>
              <w:rPr>
                <w:sz w:val="16"/>
                <w:szCs w:val="16"/>
              </w:rPr>
              <w:t>75 170</w:t>
            </w:r>
          </w:p>
        </w:tc>
        <w:tc>
          <w:tcPr>
            <w:tcW w:w="837" w:type="pct"/>
            <w:tcBorders>
              <w:top w:val="single" w:sz="4" w:space="0" w:color="auto"/>
              <w:left w:val="single" w:sz="4" w:space="0" w:color="auto"/>
              <w:bottom w:val="single" w:sz="4" w:space="0" w:color="auto"/>
              <w:right w:val="single" w:sz="4" w:space="0" w:color="auto"/>
            </w:tcBorders>
            <w:vAlign w:val="center"/>
          </w:tcPr>
          <w:p w:rsidR="00C85043" w:rsidRPr="00630FBE" w:rsidRDefault="00C85043" w:rsidP="00C85043">
            <w:pPr>
              <w:keepNext/>
              <w:keepLines/>
              <w:autoSpaceDE w:val="0"/>
              <w:autoSpaceDN w:val="0"/>
              <w:adjustRightInd w:val="0"/>
              <w:spacing w:before="40" w:after="40" w:line="260" w:lineRule="exact"/>
              <w:jc w:val="center"/>
              <w:rPr>
                <w:sz w:val="16"/>
                <w:szCs w:val="16"/>
              </w:rPr>
            </w:pPr>
            <w:r>
              <w:rPr>
                <w:sz w:val="16"/>
                <w:szCs w:val="16"/>
              </w:rPr>
              <w:t>3,6%</w:t>
            </w:r>
          </w:p>
        </w:tc>
        <w:tc>
          <w:tcPr>
            <w:tcW w:w="917" w:type="pct"/>
            <w:tcBorders>
              <w:top w:val="single" w:sz="4" w:space="0" w:color="auto"/>
              <w:left w:val="single" w:sz="4" w:space="0" w:color="auto"/>
              <w:bottom w:val="single" w:sz="4" w:space="0" w:color="auto"/>
              <w:right w:val="single" w:sz="4" w:space="0" w:color="auto"/>
            </w:tcBorders>
            <w:vAlign w:val="center"/>
          </w:tcPr>
          <w:p w:rsidR="00C85043" w:rsidRPr="00630FBE" w:rsidRDefault="00C85043" w:rsidP="00C85043">
            <w:pPr>
              <w:keepNext/>
              <w:keepLines/>
              <w:autoSpaceDE w:val="0"/>
              <w:autoSpaceDN w:val="0"/>
              <w:adjustRightInd w:val="0"/>
              <w:spacing w:before="40" w:after="40" w:line="260" w:lineRule="exact"/>
              <w:jc w:val="center"/>
              <w:rPr>
                <w:sz w:val="16"/>
                <w:szCs w:val="16"/>
              </w:rPr>
            </w:pPr>
            <w:r>
              <w:rPr>
                <w:sz w:val="16"/>
                <w:szCs w:val="16"/>
              </w:rPr>
              <w:t>3%</w:t>
            </w:r>
          </w:p>
        </w:tc>
      </w:tr>
    </w:tbl>
    <w:p w:rsidR="00C85043" w:rsidRDefault="00C85043" w:rsidP="00C85043">
      <w:pPr>
        <w:rPr>
          <w:rFonts w:cs="Arial"/>
          <w:color w:val="000000"/>
          <w:sz w:val="22"/>
          <w:szCs w:val="22"/>
        </w:rPr>
      </w:pPr>
    </w:p>
    <w:p w:rsidR="00C85043" w:rsidRPr="007F540C" w:rsidRDefault="00C85043" w:rsidP="00C85043">
      <w:pPr>
        <w:jc w:val="center"/>
        <w:rPr>
          <w:b/>
          <w:color w:val="000000"/>
          <w:szCs w:val="22"/>
          <w:lang w:val="ru-RU"/>
        </w:rPr>
      </w:pPr>
      <w:r w:rsidRPr="007F540C">
        <w:rPr>
          <w:b/>
          <w:color w:val="000000"/>
          <w:szCs w:val="22"/>
          <w:lang w:val="ru-RU"/>
        </w:rPr>
        <w:t>Сумма бюджетных средств, освоенных в рамках проекта (</w:t>
      </w:r>
      <w:r>
        <w:rPr>
          <w:b/>
          <w:color w:val="000000"/>
          <w:szCs w:val="22"/>
          <w:lang w:val="ru-RU"/>
        </w:rPr>
        <w:t>в разбивке по основным результатам</w:t>
      </w:r>
      <w:r w:rsidRPr="007F540C">
        <w:rPr>
          <w:b/>
          <w:color w:val="000000"/>
          <w:szCs w:val="22"/>
          <w:lang w:val="ru-RU"/>
        </w:rPr>
        <w:t>)</w:t>
      </w:r>
    </w:p>
    <w:p w:rsidR="00C85043" w:rsidRPr="007F540C" w:rsidRDefault="00C85043" w:rsidP="00C85043">
      <w:pPr>
        <w:keepNext/>
        <w:keepLine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7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9"/>
        <w:gridCol w:w="1575"/>
        <w:gridCol w:w="1575"/>
        <w:gridCol w:w="1575"/>
        <w:gridCol w:w="1557"/>
      </w:tblGrid>
      <w:tr w:rsidR="00C85043" w:rsidRPr="005C6ABD" w:rsidTr="00C85043">
        <w:trPr>
          <w:trHeight w:val="410"/>
        </w:trPr>
        <w:tc>
          <w:tcPr>
            <w:tcW w:w="157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Основной результат</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107" w:right="-108"/>
              <w:jc w:val="center"/>
              <w:rPr>
                <w:b/>
                <w:bCs/>
                <w:sz w:val="16"/>
                <w:szCs w:val="16"/>
              </w:rPr>
            </w:pPr>
            <w:r>
              <w:rPr>
                <w:b/>
                <w:bCs/>
                <w:sz w:val="16"/>
                <w:szCs w:val="16"/>
              </w:rPr>
              <w:t>Смета по проекту</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84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9" w:right="-73" w:firstLine="1"/>
              <w:jc w:val="center"/>
              <w:rPr>
                <w:b/>
                <w:bCs/>
                <w:sz w:val="16"/>
                <w:szCs w:val="16"/>
                <w:lang w:val="ru-RU"/>
              </w:rPr>
            </w:pPr>
            <w:r w:rsidRPr="00715C25">
              <w:rPr>
                <w:b/>
                <w:bCs/>
                <w:sz w:val="16"/>
                <w:szCs w:val="16"/>
                <w:lang w:val="ru-RU"/>
              </w:rPr>
              <w:t xml:space="preserve">Степень реализации проекта </w:t>
            </w:r>
            <w:r>
              <w:rPr>
                <w:b/>
                <w:bCs/>
                <w:sz w:val="16"/>
                <w:szCs w:val="16"/>
                <w:lang w:val="ru-RU"/>
              </w:rPr>
              <w:t>в разбивке по основным результатам</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AB735C" w:rsidRDefault="00C85043" w:rsidP="00C85043">
            <w:pPr>
              <w:keepNext/>
              <w:keepLines/>
              <w:autoSpaceDE w:val="0"/>
              <w:autoSpaceDN w:val="0"/>
              <w:adjustRightInd w:val="0"/>
              <w:spacing w:before="40" w:after="40"/>
              <w:rPr>
                <w:sz w:val="16"/>
                <w:szCs w:val="16"/>
                <w:lang w:val="ru-RU"/>
              </w:rPr>
            </w:pPr>
            <w:r w:rsidRPr="006102DF">
              <w:rPr>
                <w:sz w:val="16"/>
                <w:szCs w:val="16"/>
                <w:lang w:val="ru-RU"/>
              </w:rPr>
              <w:t>Разработк</w:t>
            </w:r>
            <w:r>
              <w:rPr>
                <w:sz w:val="16"/>
                <w:szCs w:val="16"/>
                <w:lang w:val="ru-RU"/>
              </w:rPr>
              <w:t>а методологии</w:t>
            </w:r>
            <w:r w:rsidRPr="00AB735C">
              <w:rPr>
                <w:sz w:val="16"/>
                <w:szCs w:val="16"/>
                <w:lang w:val="ru-RU"/>
              </w:rPr>
              <w:t>, включая выбор технологи</w:t>
            </w:r>
            <w:r>
              <w:rPr>
                <w:sz w:val="16"/>
                <w:szCs w:val="16"/>
                <w:lang w:val="ru-RU"/>
              </w:rPr>
              <w:t xml:space="preserve">и </w:t>
            </w:r>
            <w:r w:rsidRPr="000B2E47">
              <w:rPr>
                <w:sz w:val="16"/>
                <w:szCs w:val="16"/>
                <w:lang w:val="ru-RU"/>
              </w:rPr>
              <w:t>систем</w:t>
            </w:r>
            <w:r>
              <w:rPr>
                <w:sz w:val="16"/>
                <w:szCs w:val="16"/>
                <w:lang w:val="ru-RU"/>
              </w:rPr>
              <w:t xml:space="preserve">ы </w:t>
            </w:r>
            <w:r w:rsidRPr="00AB735C">
              <w:rPr>
                <w:sz w:val="16"/>
                <w:szCs w:val="16"/>
                <w:lang w:val="ru-RU"/>
              </w:rPr>
              <w:t>УОИК</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36 000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36 000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100%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100%</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301AD6" w:rsidRDefault="00C85043" w:rsidP="00C85043">
            <w:pPr>
              <w:keepNext/>
              <w:keepLines/>
              <w:autoSpaceDE w:val="0"/>
              <w:autoSpaceDN w:val="0"/>
              <w:adjustRightInd w:val="0"/>
              <w:spacing w:before="40" w:after="40"/>
              <w:rPr>
                <w:sz w:val="16"/>
                <w:szCs w:val="16"/>
                <w:lang w:val="ru-RU"/>
              </w:rPr>
            </w:pPr>
            <w:r>
              <w:rPr>
                <w:rFonts w:cs="Arial"/>
                <w:color w:val="000000"/>
                <w:sz w:val="16"/>
                <w:szCs w:val="16"/>
                <w:lang w:val="ru-RU"/>
              </w:rPr>
              <w:t xml:space="preserve">Перевод на новую </w:t>
            </w:r>
            <w:r w:rsidRPr="000B2E47">
              <w:rPr>
                <w:rFonts w:cs="Arial"/>
                <w:color w:val="000000"/>
                <w:sz w:val="16"/>
                <w:szCs w:val="16"/>
                <w:lang w:val="ru-RU"/>
              </w:rPr>
              <w:t>платформ</w:t>
            </w:r>
            <w:r>
              <w:rPr>
                <w:rFonts w:cs="Arial"/>
                <w:color w:val="000000"/>
                <w:sz w:val="16"/>
                <w:szCs w:val="16"/>
                <w:lang w:val="ru-RU"/>
              </w:rPr>
              <w:t xml:space="preserve">у </w:t>
            </w:r>
            <w:r w:rsidRPr="00301AD6">
              <w:rPr>
                <w:rFonts w:cs="Arial"/>
                <w:color w:val="000000"/>
                <w:sz w:val="16"/>
                <w:szCs w:val="16"/>
                <w:lang w:val="ru-RU"/>
              </w:rPr>
              <w:t xml:space="preserve">и </w:t>
            </w:r>
            <w:r>
              <w:rPr>
                <w:rFonts w:cs="Arial"/>
                <w:color w:val="000000"/>
                <w:sz w:val="16"/>
                <w:szCs w:val="16"/>
                <w:lang w:val="ru-RU"/>
              </w:rPr>
              <w:t xml:space="preserve">повышение </w:t>
            </w:r>
            <w:r w:rsidRPr="00301AD6">
              <w:rPr>
                <w:rFonts w:cs="Arial"/>
                <w:color w:val="000000"/>
                <w:sz w:val="16"/>
                <w:szCs w:val="16"/>
                <w:lang w:val="ru-RU"/>
              </w:rPr>
              <w:t>верси</w:t>
            </w:r>
            <w:r>
              <w:rPr>
                <w:rFonts w:cs="Arial"/>
                <w:color w:val="000000"/>
                <w:sz w:val="16"/>
                <w:szCs w:val="16"/>
                <w:lang w:val="ru-RU"/>
              </w:rPr>
              <w:t>й</w:t>
            </w:r>
            <w:r w:rsidRPr="00301AD6">
              <w:rPr>
                <w:rFonts w:cs="Arial"/>
                <w:color w:val="000000"/>
                <w:sz w:val="16"/>
                <w:szCs w:val="16"/>
                <w:lang w:val="ru-RU"/>
              </w:rPr>
              <w:t xml:space="preserve"> существующ</w:t>
            </w:r>
            <w:r>
              <w:rPr>
                <w:rFonts w:cs="Arial"/>
                <w:color w:val="000000"/>
                <w:sz w:val="16"/>
                <w:szCs w:val="16"/>
                <w:lang w:val="ru-RU"/>
              </w:rPr>
              <w:t>их</w:t>
            </w:r>
            <w:r w:rsidRPr="00301AD6">
              <w:rPr>
                <w:rFonts w:cs="Arial"/>
                <w:color w:val="000000"/>
                <w:sz w:val="16"/>
                <w:szCs w:val="16"/>
                <w:lang w:val="ru-RU"/>
              </w:rPr>
              <w:t xml:space="preserve"> внутриорганизационн</w:t>
            </w:r>
            <w:r>
              <w:rPr>
                <w:rFonts w:cs="Arial"/>
                <w:color w:val="000000"/>
                <w:sz w:val="16"/>
                <w:szCs w:val="16"/>
                <w:lang w:val="ru-RU"/>
              </w:rPr>
              <w:t xml:space="preserve">ых </w:t>
            </w:r>
            <w:r w:rsidRPr="000B2E47">
              <w:rPr>
                <w:rFonts w:cs="Arial"/>
                <w:color w:val="000000"/>
                <w:sz w:val="16"/>
                <w:szCs w:val="16"/>
                <w:lang w:val="ru-RU"/>
              </w:rPr>
              <w:t>документ</w:t>
            </w:r>
            <w:r>
              <w:rPr>
                <w:rFonts w:cs="Arial"/>
                <w:color w:val="000000"/>
                <w:sz w:val="16"/>
                <w:szCs w:val="16"/>
                <w:lang w:val="ru-RU"/>
              </w:rPr>
              <w:t xml:space="preserve">ов </w:t>
            </w:r>
            <w:r w:rsidRPr="00301AD6">
              <w:rPr>
                <w:rFonts w:cs="Arial"/>
                <w:color w:val="000000"/>
                <w:sz w:val="16"/>
                <w:szCs w:val="16"/>
                <w:lang w:val="ru-RU"/>
              </w:rPr>
              <w:t>и архивов</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42 000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39 170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93%</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100%</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EA1862" w:rsidRDefault="00C85043" w:rsidP="00C85043">
            <w:pPr>
              <w:keepNext/>
              <w:keepLines/>
              <w:autoSpaceDE w:val="0"/>
              <w:autoSpaceDN w:val="0"/>
              <w:adjustRightInd w:val="0"/>
              <w:spacing w:before="40" w:after="40"/>
              <w:rPr>
                <w:sz w:val="16"/>
                <w:szCs w:val="16"/>
                <w:lang w:val="ru-RU"/>
              </w:rPr>
            </w:pPr>
            <w:r w:rsidRPr="00EA1862">
              <w:rPr>
                <w:sz w:val="16"/>
                <w:szCs w:val="16"/>
                <w:lang w:val="ru-RU"/>
              </w:rPr>
              <w:t xml:space="preserve">Заключение контракта </w:t>
            </w:r>
            <w:r>
              <w:rPr>
                <w:sz w:val="16"/>
                <w:szCs w:val="16"/>
                <w:lang w:val="ru-RU"/>
              </w:rPr>
              <w:t>с руководителем</w:t>
            </w:r>
            <w:r w:rsidRPr="00EA1862">
              <w:rPr>
                <w:sz w:val="16"/>
                <w:szCs w:val="16"/>
                <w:lang w:val="ru-RU"/>
              </w:rPr>
              <w:t xml:space="preserve"> проекта </w:t>
            </w:r>
            <w:r w:rsidRPr="000B2E47">
              <w:rPr>
                <w:sz w:val="16"/>
                <w:szCs w:val="16"/>
                <w:lang w:val="ru-RU"/>
              </w:rPr>
              <w:t>со стороны</w:t>
            </w:r>
            <w:r>
              <w:rPr>
                <w:sz w:val="16"/>
                <w:szCs w:val="16"/>
                <w:lang w:val="ru-RU"/>
              </w:rPr>
              <w:t xml:space="preserve"> заказчика</w:t>
            </w:r>
            <w:r w:rsidRPr="00EA1862">
              <w:rPr>
                <w:sz w:val="16"/>
                <w:szCs w:val="16"/>
                <w:lang w:val="ru-RU"/>
              </w:rPr>
              <w:t xml:space="preserve"> </w:t>
            </w:r>
            <w:r w:rsidRPr="00AB735C">
              <w:rPr>
                <w:sz w:val="16"/>
                <w:szCs w:val="16"/>
                <w:lang w:val="ru-RU"/>
              </w:rPr>
              <w:t>и</w:t>
            </w:r>
            <w:r w:rsidRPr="00EA1862">
              <w:rPr>
                <w:sz w:val="16"/>
                <w:szCs w:val="16"/>
                <w:lang w:val="ru-RU"/>
              </w:rPr>
              <w:t xml:space="preserve"> </w:t>
            </w:r>
            <w:r w:rsidRPr="000B2E47">
              <w:rPr>
                <w:sz w:val="16"/>
                <w:szCs w:val="16"/>
                <w:lang w:val="ru-RU"/>
              </w:rPr>
              <w:t>Ведущ</w:t>
            </w:r>
            <w:r>
              <w:rPr>
                <w:sz w:val="16"/>
                <w:szCs w:val="16"/>
                <w:lang w:val="ru-RU"/>
              </w:rPr>
              <w:t xml:space="preserve">им </w:t>
            </w:r>
            <w:r w:rsidRPr="00AB735C">
              <w:rPr>
                <w:sz w:val="16"/>
                <w:szCs w:val="16"/>
                <w:lang w:val="ru-RU"/>
              </w:rPr>
              <w:t>специалист</w:t>
            </w:r>
            <w:r>
              <w:rPr>
                <w:sz w:val="16"/>
                <w:szCs w:val="16"/>
                <w:lang w:val="ru-RU"/>
              </w:rPr>
              <w:t xml:space="preserve">ом по </w:t>
            </w:r>
            <w:r w:rsidRPr="000B2E47">
              <w:rPr>
                <w:sz w:val="16"/>
                <w:szCs w:val="16"/>
                <w:lang w:val="ru-RU"/>
              </w:rPr>
              <w:t>систем</w:t>
            </w:r>
            <w:r>
              <w:rPr>
                <w:sz w:val="16"/>
                <w:szCs w:val="16"/>
                <w:lang w:val="ru-RU"/>
              </w:rPr>
              <w:t xml:space="preserve">е </w:t>
            </w:r>
            <w:r w:rsidRPr="00EA1862">
              <w:rPr>
                <w:sz w:val="16"/>
                <w:szCs w:val="16"/>
                <w:lang w:val="ru-RU"/>
              </w:rPr>
              <w:t>УОИК</w:t>
            </w:r>
            <w:r>
              <w:rPr>
                <w:sz w:val="16"/>
                <w:szCs w:val="16"/>
                <w:lang w:val="ru-RU"/>
              </w:rPr>
              <w:t xml:space="preserve"> </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400 000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0B2E47" w:rsidRDefault="00C85043" w:rsidP="00C85043">
            <w:pPr>
              <w:keepNext/>
              <w:keepLines/>
              <w:autoSpaceDE w:val="0"/>
              <w:autoSpaceDN w:val="0"/>
              <w:adjustRightInd w:val="0"/>
              <w:spacing w:before="40" w:after="40"/>
              <w:rPr>
                <w:sz w:val="16"/>
                <w:szCs w:val="16"/>
                <w:lang w:val="ru-RU"/>
              </w:rPr>
            </w:pPr>
            <w:r>
              <w:rPr>
                <w:sz w:val="16"/>
                <w:szCs w:val="16"/>
                <w:lang w:val="ru-RU"/>
              </w:rPr>
              <w:t xml:space="preserve">Выплата </w:t>
            </w:r>
            <w:r w:rsidRPr="000B2E47">
              <w:rPr>
                <w:sz w:val="16"/>
                <w:szCs w:val="16"/>
                <w:lang w:val="ru-RU"/>
              </w:rPr>
              <w:t>вознаграждени</w:t>
            </w:r>
            <w:r>
              <w:rPr>
                <w:sz w:val="16"/>
                <w:szCs w:val="16"/>
                <w:lang w:val="ru-RU"/>
              </w:rPr>
              <w:t xml:space="preserve">я за хостинг и </w:t>
            </w:r>
            <w:r w:rsidRPr="006102DF">
              <w:rPr>
                <w:sz w:val="16"/>
                <w:szCs w:val="16"/>
                <w:lang w:val="ru-RU"/>
              </w:rPr>
              <w:t>техническ</w:t>
            </w:r>
            <w:r>
              <w:rPr>
                <w:sz w:val="16"/>
                <w:szCs w:val="16"/>
                <w:lang w:val="ru-RU"/>
              </w:rPr>
              <w:t xml:space="preserve">ую </w:t>
            </w:r>
            <w:r w:rsidRPr="000B2E47">
              <w:rPr>
                <w:sz w:val="16"/>
                <w:szCs w:val="16"/>
                <w:lang w:val="ru-RU"/>
              </w:rPr>
              <w:t>поддержк</w:t>
            </w:r>
            <w:r>
              <w:rPr>
                <w:sz w:val="16"/>
                <w:szCs w:val="16"/>
                <w:lang w:val="ru-RU"/>
              </w:rPr>
              <w:t xml:space="preserve">у </w:t>
            </w:r>
            <w:r w:rsidRPr="000B2E47">
              <w:rPr>
                <w:sz w:val="16"/>
                <w:szCs w:val="16"/>
                <w:lang w:val="ru-RU"/>
              </w:rPr>
              <w:t>систем</w:t>
            </w:r>
            <w:r>
              <w:rPr>
                <w:sz w:val="16"/>
                <w:szCs w:val="16"/>
                <w:lang w:val="ru-RU"/>
              </w:rPr>
              <w:t xml:space="preserve">ы </w:t>
            </w:r>
            <w:r w:rsidRPr="000B2E47">
              <w:rPr>
                <w:sz w:val="16"/>
                <w:szCs w:val="16"/>
                <w:lang w:val="ru-RU"/>
              </w:rPr>
              <w:t>УОИК</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1 298 000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0B2E47" w:rsidRDefault="00C85043" w:rsidP="00C85043">
            <w:pPr>
              <w:keepNext/>
              <w:keepLines/>
              <w:autoSpaceDE w:val="0"/>
              <w:autoSpaceDN w:val="0"/>
              <w:adjustRightInd w:val="0"/>
              <w:spacing w:before="40" w:after="40"/>
              <w:rPr>
                <w:sz w:val="16"/>
                <w:szCs w:val="16"/>
                <w:lang w:val="ru-RU"/>
              </w:rPr>
            </w:pPr>
            <w:r>
              <w:rPr>
                <w:sz w:val="16"/>
                <w:szCs w:val="16"/>
                <w:lang w:val="ru-RU"/>
              </w:rPr>
              <w:t xml:space="preserve">Установка </w:t>
            </w:r>
            <w:r w:rsidRPr="000C24E8">
              <w:rPr>
                <w:sz w:val="16"/>
                <w:szCs w:val="16"/>
                <w:lang w:val="ru-RU"/>
              </w:rPr>
              <w:t>систем</w:t>
            </w:r>
            <w:r>
              <w:rPr>
                <w:sz w:val="16"/>
                <w:szCs w:val="16"/>
                <w:lang w:val="ru-RU"/>
              </w:rPr>
              <w:t xml:space="preserve">ы и </w:t>
            </w:r>
            <w:r w:rsidRPr="000B2E47">
              <w:rPr>
                <w:sz w:val="16"/>
                <w:szCs w:val="16"/>
                <w:lang w:val="ru-RU"/>
              </w:rPr>
              <w:t>реализаци</w:t>
            </w:r>
            <w:r>
              <w:rPr>
                <w:sz w:val="16"/>
                <w:szCs w:val="16"/>
                <w:lang w:val="ru-RU"/>
              </w:rPr>
              <w:t xml:space="preserve">я ее базовой </w:t>
            </w:r>
            <w:r w:rsidRPr="000B2E47">
              <w:rPr>
                <w:sz w:val="16"/>
                <w:szCs w:val="16"/>
                <w:lang w:val="ru-RU"/>
              </w:rPr>
              <w:t>конфигураци</w:t>
            </w:r>
            <w:r>
              <w:rPr>
                <w:sz w:val="16"/>
                <w:szCs w:val="16"/>
                <w:lang w:val="ru-RU"/>
              </w:rPr>
              <w:t>и</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205 000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4F389B" w:rsidRDefault="00C85043" w:rsidP="00C85043">
            <w:pPr>
              <w:keepNext/>
              <w:keepLines/>
              <w:autoSpaceDE w:val="0"/>
              <w:autoSpaceDN w:val="0"/>
              <w:adjustRightInd w:val="0"/>
              <w:spacing w:before="40" w:after="40"/>
              <w:rPr>
                <w:sz w:val="16"/>
                <w:szCs w:val="16"/>
                <w:lang w:val="ru-RU"/>
              </w:rPr>
            </w:pPr>
            <w:r w:rsidRPr="004F389B">
              <w:rPr>
                <w:sz w:val="16"/>
                <w:szCs w:val="16"/>
                <w:lang w:val="ru-RU"/>
              </w:rPr>
              <w:t>Проект 1: «За</w:t>
            </w:r>
            <w:r>
              <w:rPr>
                <w:sz w:val="16"/>
                <w:szCs w:val="16"/>
                <w:lang w:val="ru-RU"/>
              </w:rPr>
              <w:t xml:space="preserve">явки </w:t>
            </w:r>
            <w:r w:rsidRPr="004F389B">
              <w:rPr>
                <w:sz w:val="16"/>
                <w:szCs w:val="16"/>
                <w:lang w:val="ru-RU"/>
              </w:rPr>
              <w:t>на перевод»</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58 000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4F389B" w:rsidRDefault="00C85043" w:rsidP="00C85043">
            <w:pPr>
              <w:keepNext/>
              <w:keepLines/>
              <w:autoSpaceDE w:val="0"/>
              <w:autoSpaceDN w:val="0"/>
              <w:adjustRightInd w:val="0"/>
              <w:spacing w:before="40" w:after="40"/>
              <w:rPr>
                <w:sz w:val="16"/>
                <w:szCs w:val="16"/>
                <w:lang w:val="ru-RU"/>
              </w:rPr>
            </w:pPr>
            <w:r w:rsidRPr="004F389B">
              <w:rPr>
                <w:sz w:val="16"/>
                <w:szCs w:val="16"/>
                <w:lang w:val="ru-RU"/>
              </w:rPr>
              <w:t>Проект  2: «Входящая почта КГД»</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80 000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AB735C" w:rsidRDefault="00C85043" w:rsidP="00C85043">
            <w:pPr>
              <w:keepNext/>
              <w:keepLines/>
              <w:autoSpaceDE w:val="0"/>
              <w:autoSpaceDN w:val="0"/>
              <w:adjustRightInd w:val="0"/>
              <w:spacing w:before="40" w:after="40"/>
              <w:rPr>
                <w:sz w:val="16"/>
                <w:szCs w:val="16"/>
                <w:lang w:val="ru-RU"/>
              </w:rPr>
            </w:pPr>
            <w:r w:rsidRPr="004F389B">
              <w:rPr>
                <w:sz w:val="16"/>
                <w:szCs w:val="16"/>
                <w:lang w:val="ru-RU"/>
              </w:rPr>
              <w:t xml:space="preserve">Проект  3: «Система работы с поставщиками и контрактами» </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46 000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55183A" w:rsidRDefault="00C85043" w:rsidP="00C85043">
            <w:pPr>
              <w:keepNext/>
              <w:keepLines/>
              <w:autoSpaceDE w:val="0"/>
              <w:autoSpaceDN w:val="0"/>
              <w:adjustRightInd w:val="0"/>
              <w:spacing w:before="40" w:after="40"/>
              <w:rPr>
                <w:sz w:val="16"/>
                <w:szCs w:val="16"/>
                <w:lang w:val="ru-RU"/>
              </w:rPr>
            </w:pPr>
            <w:r w:rsidRPr="000B2E47">
              <w:rPr>
                <w:sz w:val="16"/>
                <w:szCs w:val="16"/>
                <w:lang w:val="ru-RU"/>
              </w:rPr>
              <w:t xml:space="preserve">Проект </w:t>
            </w:r>
            <w:r w:rsidRPr="0055183A">
              <w:rPr>
                <w:sz w:val="16"/>
                <w:szCs w:val="16"/>
                <w:lang w:val="ru-RU"/>
              </w:rPr>
              <w:t xml:space="preserve"> 4: </w:t>
            </w:r>
            <w:r w:rsidRPr="004F389B">
              <w:rPr>
                <w:sz w:val="16"/>
                <w:szCs w:val="16"/>
                <w:lang w:val="ru-RU"/>
              </w:rPr>
              <w:t xml:space="preserve">«Отчеты о служебных поездках» </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37 000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Default="00C85043" w:rsidP="00C85043">
            <w:pPr>
              <w:keepNext/>
              <w:keepLines/>
              <w:autoSpaceDE w:val="0"/>
              <w:autoSpaceDN w:val="0"/>
              <w:adjustRightInd w:val="0"/>
              <w:spacing w:after="40"/>
              <w:jc w:val="center"/>
              <w:rPr>
                <w:sz w:val="16"/>
                <w:szCs w:val="16"/>
              </w:rPr>
            </w:pPr>
            <w:r>
              <w:rPr>
                <w:sz w:val="16"/>
                <w:szCs w:val="16"/>
              </w:rPr>
              <w:t>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AB735C" w:rsidRDefault="00C85043" w:rsidP="00C85043">
            <w:pPr>
              <w:keepNext/>
              <w:keepLines/>
              <w:autoSpaceDE w:val="0"/>
              <w:autoSpaceDN w:val="0"/>
              <w:adjustRightInd w:val="0"/>
              <w:spacing w:before="40" w:after="40"/>
              <w:rPr>
                <w:sz w:val="16"/>
                <w:szCs w:val="16"/>
                <w:lang w:val="ru-RU"/>
              </w:rPr>
            </w:pPr>
            <w:r w:rsidRPr="000B2E47">
              <w:rPr>
                <w:sz w:val="16"/>
                <w:szCs w:val="16"/>
                <w:lang w:val="ru-RU"/>
              </w:rPr>
              <w:t xml:space="preserve">Проект </w:t>
            </w:r>
            <w:r w:rsidRPr="00AB735C">
              <w:rPr>
                <w:sz w:val="16"/>
                <w:szCs w:val="16"/>
                <w:lang w:val="ru-RU"/>
              </w:rPr>
              <w:t xml:space="preserve">5: </w:t>
            </w:r>
            <w:r w:rsidRPr="004F389B">
              <w:rPr>
                <w:sz w:val="16"/>
                <w:szCs w:val="16"/>
                <w:lang w:val="ru-RU"/>
              </w:rPr>
              <w:t>«Кадры» (досье персонал</w:t>
            </w:r>
            <w:r>
              <w:rPr>
                <w:sz w:val="16"/>
                <w:szCs w:val="16"/>
                <w:lang w:val="ru-RU"/>
              </w:rPr>
              <w:t>а</w:t>
            </w:r>
            <w:r w:rsidRPr="004F389B">
              <w:rPr>
                <w:sz w:val="16"/>
                <w:szCs w:val="16"/>
                <w:lang w:val="ru-RU"/>
              </w:rPr>
              <w:t xml:space="preserve">) </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140 000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4F389B" w:rsidRDefault="00C85043" w:rsidP="00C85043">
            <w:pPr>
              <w:keepNext/>
              <w:keepLines/>
              <w:autoSpaceDE w:val="0"/>
              <w:autoSpaceDN w:val="0"/>
              <w:adjustRightInd w:val="0"/>
              <w:spacing w:before="40" w:after="40"/>
              <w:rPr>
                <w:sz w:val="16"/>
                <w:szCs w:val="16"/>
                <w:lang w:val="ru-RU"/>
              </w:rPr>
            </w:pPr>
            <w:r w:rsidRPr="004F389B">
              <w:rPr>
                <w:sz w:val="16"/>
                <w:szCs w:val="16"/>
                <w:lang w:val="ru-RU"/>
              </w:rPr>
              <w:t xml:space="preserve">Проект 6: «Общеорганизационная система УОИК» </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46 000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0%</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after="40"/>
              <w:jc w:val="center"/>
              <w:rPr>
                <w:sz w:val="16"/>
                <w:szCs w:val="16"/>
              </w:rPr>
            </w:pPr>
            <w:r>
              <w:rPr>
                <w:sz w:val="16"/>
                <w:szCs w:val="16"/>
              </w:rPr>
              <w:t>-</w:t>
            </w:r>
          </w:p>
        </w:tc>
      </w:tr>
      <w:tr w:rsidR="00C85043" w:rsidRPr="00970583" w:rsidTr="00C85043">
        <w:trPr>
          <w:trHeight w:val="389"/>
        </w:trPr>
        <w:tc>
          <w:tcPr>
            <w:tcW w:w="157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after="40"/>
              <w:rPr>
                <w:b/>
                <w:sz w:val="16"/>
                <w:szCs w:val="16"/>
              </w:rPr>
            </w:pPr>
            <w:r>
              <w:rPr>
                <w:b/>
                <w:sz w:val="16"/>
                <w:szCs w:val="16"/>
              </w:rPr>
              <w:t>Итого</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after="40"/>
              <w:jc w:val="center"/>
              <w:rPr>
                <w:b/>
                <w:sz w:val="16"/>
                <w:szCs w:val="16"/>
              </w:rPr>
            </w:pPr>
            <w:r>
              <w:rPr>
                <w:b/>
                <w:sz w:val="16"/>
                <w:szCs w:val="16"/>
              </w:rPr>
              <w:t>2 068 000</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after="40"/>
              <w:jc w:val="center"/>
              <w:rPr>
                <w:b/>
                <w:sz w:val="16"/>
                <w:szCs w:val="16"/>
              </w:rPr>
            </w:pPr>
            <w:r>
              <w:rPr>
                <w:b/>
                <w:sz w:val="16"/>
                <w:szCs w:val="16"/>
              </w:rPr>
              <w:t>75 170</w:t>
            </w:r>
          </w:p>
        </w:tc>
        <w:tc>
          <w:tcPr>
            <w:tcW w:w="858" w:type="pct"/>
            <w:tcBorders>
              <w:top w:val="single" w:sz="4" w:space="0" w:color="auto"/>
              <w:left w:val="single" w:sz="4" w:space="0" w:color="auto"/>
              <w:bottom w:val="single" w:sz="4" w:space="0" w:color="auto"/>
              <w:right w:val="single" w:sz="4" w:space="0" w:color="auto"/>
            </w:tcBorders>
            <w:shd w:val="clear" w:color="auto" w:fill="C6D9F1"/>
          </w:tcPr>
          <w:p w:rsidR="00C85043" w:rsidRPr="00970583" w:rsidRDefault="00C85043" w:rsidP="00C85043">
            <w:pPr>
              <w:keepNext/>
              <w:keepLines/>
              <w:autoSpaceDE w:val="0"/>
              <w:autoSpaceDN w:val="0"/>
              <w:adjustRightInd w:val="0"/>
              <w:spacing w:after="40"/>
              <w:jc w:val="center"/>
              <w:rPr>
                <w:b/>
                <w:sz w:val="16"/>
                <w:szCs w:val="16"/>
              </w:rPr>
            </w:pPr>
          </w:p>
        </w:tc>
        <w:tc>
          <w:tcPr>
            <w:tcW w:w="848" w:type="pct"/>
            <w:tcBorders>
              <w:top w:val="single" w:sz="4" w:space="0" w:color="auto"/>
              <w:left w:val="single" w:sz="4" w:space="0" w:color="auto"/>
              <w:bottom w:val="single" w:sz="4" w:space="0" w:color="auto"/>
              <w:right w:val="single" w:sz="4" w:space="0" w:color="auto"/>
            </w:tcBorders>
            <w:shd w:val="clear" w:color="auto" w:fill="C6D9F1"/>
          </w:tcPr>
          <w:p w:rsidR="00C85043" w:rsidRPr="00970583" w:rsidRDefault="00C85043" w:rsidP="00C85043">
            <w:pPr>
              <w:keepNext/>
              <w:keepLines/>
              <w:autoSpaceDE w:val="0"/>
              <w:autoSpaceDN w:val="0"/>
              <w:adjustRightInd w:val="0"/>
              <w:spacing w:after="40"/>
              <w:jc w:val="center"/>
              <w:rPr>
                <w:b/>
                <w:sz w:val="16"/>
                <w:szCs w:val="16"/>
              </w:rPr>
            </w:pPr>
          </w:p>
        </w:tc>
      </w:tr>
    </w:tbl>
    <w:p w:rsidR="00C85043" w:rsidRDefault="00C85043" w:rsidP="00C85043">
      <w:pPr>
        <w:rPr>
          <w:rFonts w:cs="Arial"/>
          <w:color w:val="000000"/>
          <w:sz w:val="22"/>
          <w:szCs w:val="22"/>
        </w:rPr>
      </w:pPr>
    </w:p>
    <w:p w:rsidR="00C85043" w:rsidRDefault="00C85043" w:rsidP="00C85043">
      <w:pPr>
        <w:keepNext/>
        <w:keepLines/>
        <w:tabs>
          <w:tab w:val="left" w:pos="3261"/>
        </w:tabs>
        <w:autoSpaceDE w:val="0"/>
        <w:autoSpaceDN w:val="0"/>
        <w:adjustRightInd w:val="0"/>
        <w:jc w:val="center"/>
        <w:rPr>
          <w:b/>
          <w:color w:val="000000"/>
          <w:szCs w:val="22"/>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color w:val="000000"/>
          <w:szCs w:val="22"/>
          <w:lang w:val="ru-RU"/>
        </w:rPr>
        <w:t xml:space="preserve">Сумма бюджетных средств, освоенных в рамках проекта </w:t>
      </w:r>
      <w:r>
        <w:rPr>
          <w:b/>
          <w:color w:val="000000"/>
          <w:szCs w:val="22"/>
          <w:lang w:val="ru-RU"/>
        </w:rPr>
        <w:t>(в разбивке по категориям расходов)</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W w:w="4665"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1840"/>
        <w:gridCol w:w="1840"/>
        <w:gridCol w:w="1999"/>
      </w:tblGrid>
      <w:tr w:rsidR="00C85043" w:rsidRPr="00970583" w:rsidTr="00C85043">
        <w:trPr>
          <w:trHeight w:val="569"/>
        </w:trPr>
        <w:tc>
          <w:tcPr>
            <w:tcW w:w="182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line="260" w:lineRule="exact"/>
              <w:ind w:left="-74" w:right="-60"/>
              <w:jc w:val="center"/>
              <w:rPr>
                <w:b/>
                <w:bCs/>
                <w:sz w:val="16"/>
                <w:szCs w:val="16"/>
              </w:rPr>
            </w:pPr>
            <w:r>
              <w:rPr>
                <w:b/>
                <w:bCs/>
                <w:sz w:val="16"/>
                <w:szCs w:val="16"/>
              </w:rPr>
              <w:t>Категория расходов</w:t>
            </w:r>
          </w:p>
        </w:tc>
        <w:tc>
          <w:tcPr>
            <w:tcW w:w="103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line="260" w:lineRule="exact"/>
              <w:ind w:left="-107" w:right="-108"/>
              <w:jc w:val="center"/>
              <w:rPr>
                <w:b/>
                <w:bCs/>
                <w:sz w:val="16"/>
                <w:szCs w:val="16"/>
              </w:rPr>
            </w:pPr>
            <w:r>
              <w:rPr>
                <w:b/>
                <w:bCs/>
                <w:sz w:val="16"/>
                <w:szCs w:val="16"/>
              </w:rPr>
              <w:t>Смета по проекту</w:t>
            </w:r>
          </w:p>
        </w:tc>
        <w:tc>
          <w:tcPr>
            <w:tcW w:w="103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line="260" w:lineRule="exact"/>
              <w:ind w:left="-108"/>
              <w:jc w:val="center"/>
              <w:rPr>
                <w:b/>
                <w:bCs/>
                <w:sz w:val="16"/>
                <w:szCs w:val="16"/>
                <w:lang w:val="ru-RU"/>
              </w:rPr>
            </w:pPr>
            <w:r w:rsidRPr="00715C25">
              <w:rPr>
                <w:b/>
                <w:bCs/>
                <w:sz w:val="16"/>
                <w:szCs w:val="16"/>
                <w:lang w:val="ru-RU"/>
              </w:rPr>
              <w:t xml:space="preserve">Фактические расходы по настоящее время </w:t>
            </w:r>
          </w:p>
        </w:tc>
        <w:tc>
          <w:tcPr>
            <w:tcW w:w="1119"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line="260" w:lineRule="exact"/>
              <w:ind w:left="-109"/>
              <w:jc w:val="center"/>
              <w:rPr>
                <w:b/>
                <w:bCs/>
                <w:sz w:val="16"/>
                <w:szCs w:val="16"/>
              </w:rPr>
            </w:pPr>
            <w:r>
              <w:rPr>
                <w:b/>
                <w:bCs/>
                <w:sz w:val="16"/>
                <w:szCs w:val="16"/>
              </w:rPr>
              <w:t>Фактически освоено бюджетных средств</w:t>
            </w:r>
          </w:p>
        </w:tc>
      </w:tr>
      <w:tr w:rsidR="00C85043" w:rsidRPr="00970583" w:rsidTr="00C85043">
        <w:tc>
          <w:tcPr>
            <w:tcW w:w="1820" w:type="pct"/>
            <w:tcBorders>
              <w:top w:val="single" w:sz="4" w:space="0" w:color="auto"/>
              <w:left w:val="single" w:sz="4" w:space="0" w:color="auto"/>
              <w:bottom w:val="single" w:sz="4" w:space="0" w:color="auto"/>
              <w:right w:val="single" w:sz="4" w:space="0" w:color="auto"/>
            </w:tcBorders>
            <w:vAlign w:val="center"/>
          </w:tcPr>
          <w:p w:rsidR="00C85043" w:rsidRPr="00285429" w:rsidRDefault="00C85043" w:rsidP="00C85043">
            <w:pPr>
              <w:autoSpaceDE w:val="0"/>
              <w:autoSpaceDN w:val="0"/>
              <w:adjustRightInd w:val="0"/>
              <w:spacing w:before="40" w:after="40"/>
              <w:rPr>
                <w:sz w:val="16"/>
                <w:szCs w:val="16"/>
                <w:lang w:val="ru-RU"/>
              </w:rPr>
            </w:pPr>
            <w:r w:rsidRPr="00285429">
              <w:rPr>
                <w:sz w:val="16"/>
                <w:szCs w:val="16"/>
                <w:lang w:val="ru-RU"/>
              </w:rPr>
              <w:t>Услуги по контрактам с индивидуальными подрядчиками</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Pr>
                <w:sz w:val="16"/>
                <w:szCs w:val="16"/>
              </w:rPr>
              <w:t>400 000</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Pr>
                <w:sz w:val="16"/>
                <w:szCs w:val="16"/>
              </w:rPr>
              <w:t>36 000</w:t>
            </w:r>
          </w:p>
        </w:tc>
        <w:tc>
          <w:tcPr>
            <w:tcW w:w="1119"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Pr>
                <w:sz w:val="16"/>
                <w:szCs w:val="16"/>
              </w:rPr>
              <w:t>9%</w:t>
            </w:r>
          </w:p>
        </w:tc>
      </w:tr>
      <w:tr w:rsidR="00C85043" w:rsidRPr="00970583" w:rsidTr="00C85043">
        <w:tc>
          <w:tcPr>
            <w:tcW w:w="1820"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autoSpaceDE w:val="0"/>
              <w:autoSpaceDN w:val="0"/>
              <w:adjustRightInd w:val="0"/>
              <w:spacing w:before="40" w:after="40"/>
              <w:rPr>
                <w:sz w:val="16"/>
                <w:szCs w:val="16"/>
              </w:rPr>
            </w:pPr>
            <w:r>
              <w:rPr>
                <w:sz w:val="16"/>
                <w:szCs w:val="16"/>
              </w:rPr>
              <w:t>Услуги по контрактам</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Pr>
                <w:sz w:val="16"/>
                <w:szCs w:val="16"/>
              </w:rPr>
              <w:t>690 000</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39 170</w:t>
            </w:r>
          </w:p>
        </w:tc>
        <w:tc>
          <w:tcPr>
            <w:tcW w:w="1119"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6%</w:t>
            </w:r>
          </w:p>
        </w:tc>
      </w:tr>
      <w:tr w:rsidR="00C85043" w:rsidRPr="00970583" w:rsidTr="00C85043">
        <w:tc>
          <w:tcPr>
            <w:tcW w:w="1820" w:type="pct"/>
            <w:tcBorders>
              <w:top w:val="single" w:sz="4" w:space="0" w:color="auto"/>
              <w:left w:val="single" w:sz="4" w:space="0" w:color="auto"/>
              <w:bottom w:val="single" w:sz="4" w:space="0" w:color="auto"/>
              <w:right w:val="single" w:sz="4" w:space="0" w:color="auto"/>
            </w:tcBorders>
            <w:vAlign w:val="center"/>
          </w:tcPr>
          <w:p w:rsidR="00C85043" w:rsidRPr="004F389B" w:rsidRDefault="00C85043" w:rsidP="00C85043">
            <w:pPr>
              <w:autoSpaceDE w:val="0"/>
              <w:autoSpaceDN w:val="0"/>
              <w:adjustRightInd w:val="0"/>
              <w:spacing w:before="40" w:after="40"/>
              <w:rPr>
                <w:sz w:val="16"/>
                <w:szCs w:val="16"/>
                <w:lang w:val="ru-RU"/>
              </w:rPr>
            </w:pPr>
            <w:r w:rsidRPr="004F389B">
              <w:rPr>
                <w:sz w:val="16"/>
                <w:szCs w:val="16"/>
                <w:lang w:val="ru-RU"/>
              </w:rPr>
              <w:t>Поддержка программного обеспечения</w:t>
            </w:r>
            <w:r>
              <w:rPr>
                <w:sz w:val="16"/>
                <w:szCs w:val="16"/>
                <w:lang w:val="ru-RU"/>
              </w:rPr>
              <w:t xml:space="preserve"> </w:t>
            </w:r>
            <w:r>
              <w:rPr>
                <w:sz w:val="16"/>
                <w:szCs w:val="16"/>
              </w:rPr>
              <w:t>OpenText</w:t>
            </w:r>
            <w:r w:rsidRPr="004F389B">
              <w:rPr>
                <w:sz w:val="16"/>
                <w:szCs w:val="16"/>
                <w:lang w:val="ru-RU"/>
              </w:rPr>
              <w:t xml:space="preserve"> (вознаграждени</w:t>
            </w:r>
            <w:r>
              <w:rPr>
                <w:sz w:val="16"/>
                <w:szCs w:val="16"/>
                <w:lang w:val="ru-RU"/>
              </w:rPr>
              <w:t xml:space="preserve">е за </w:t>
            </w:r>
            <w:r w:rsidRPr="004F389B">
              <w:rPr>
                <w:sz w:val="16"/>
                <w:szCs w:val="16"/>
                <w:lang w:val="ru-RU"/>
              </w:rPr>
              <w:t>техническ</w:t>
            </w:r>
            <w:r>
              <w:rPr>
                <w:sz w:val="16"/>
                <w:szCs w:val="16"/>
                <w:lang w:val="ru-RU"/>
              </w:rPr>
              <w:t xml:space="preserve">ую </w:t>
            </w:r>
            <w:r w:rsidRPr="004F389B">
              <w:rPr>
                <w:sz w:val="16"/>
                <w:szCs w:val="16"/>
                <w:lang w:val="ru-RU"/>
              </w:rPr>
              <w:t>поддержк</w:t>
            </w:r>
            <w:r>
              <w:rPr>
                <w:sz w:val="16"/>
                <w:szCs w:val="16"/>
                <w:lang w:val="ru-RU"/>
              </w:rPr>
              <w:t>у</w:t>
            </w:r>
            <w:r w:rsidRPr="004F389B">
              <w:rPr>
                <w:sz w:val="16"/>
                <w:szCs w:val="16"/>
                <w:lang w:val="ru-RU"/>
              </w:rPr>
              <w:t xml:space="preserve">) </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Pr>
                <w:sz w:val="16"/>
                <w:szCs w:val="16"/>
              </w:rPr>
              <w:t>514 000</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0</w:t>
            </w:r>
          </w:p>
        </w:tc>
        <w:tc>
          <w:tcPr>
            <w:tcW w:w="1119"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0%</w:t>
            </w:r>
          </w:p>
        </w:tc>
      </w:tr>
      <w:tr w:rsidR="00C85043" w:rsidRPr="00970583" w:rsidTr="00C85043">
        <w:tc>
          <w:tcPr>
            <w:tcW w:w="1820"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autoSpaceDE w:val="0"/>
              <w:autoSpaceDN w:val="0"/>
              <w:adjustRightInd w:val="0"/>
              <w:spacing w:before="40" w:after="40"/>
              <w:rPr>
                <w:sz w:val="16"/>
                <w:szCs w:val="16"/>
              </w:rPr>
            </w:pPr>
            <w:r>
              <w:rPr>
                <w:sz w:val="16"/>
                <w:szCs w:val="16"/>
                <w:lang w:val="ru-RU"/>
              </w:rPr>
              <w:t>Хостинг</w:t>
            </w:r>
            <w:r>
              <w:rPr>
                <w:sz w:val="16"/>
                <w:szCs w:val="16"/>
              </w:rPr>
              <w:t xml:space="preserve"> (МВЦ ООН)</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Pr>
                <w:sz w:val="16"/>
                <w:szCs w:val="16"/>
              </w:rPr>
              <w:t>144 000</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0</w:t>
            </w:r>
          </w:p>
        </w:tc>
        <w:tc>
          <w:tcPr>
            <w:tcW w:w="1119"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0%</w:t>
            </w:r>
          </w:p>
        </w:tc>
      </w:tr>
      <w:tr w:rsidR="00C85043" w:rsidRPr="00970583" w:rsidTr="00C85043">
        <w:tc>
          <w:tcPr>
            <w:tcW w:w="1820"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autoSpaceDE w:val="0"/>
              <w:autoSpaceDN w:val="0"/>
              <w:adjustRightInd w:val="0"/>
              <w:spacing w:before="40" w:after="40"/>
              <w:rPr>
                <w:sz w:val="16"/>
                <w:szCs w:val="16"/>
              </w:rPr>
            </w:pPr>
            <w:r w:rsidRPr="00285429">
              <w:rPr>
                <w:sz w:val="16"/>
                <w:szCs w:val="16"/>
              </w:rPr>
              <w:t>Прочие и непредвиденные расходы</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Pr>
                <w:sz w:val="16"/>
                <w:szCs w:val="16"/>
              </w:rPr>
              <w:t>320 000</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0</w:t>
            </w:r>
          </w:p>
        </w:tc>
        <w:tc>
          <w:tcPr>
            <w:tcW w:w="1119"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0%</w:t>
            </w:r>
          </w:p>
        </w:tc>
      </w:tr>
      <w:tr w:rsidR="00C85043" w:rsidRPr="00970583" w:rsidTr="00C85043">
        <w:tc>
          <w:tcPr>
            <w:tcW w:w="182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autoSpaceDE w:val="0"/>
              <w:autoSpaceDN w:val="0"/>
              <w:adjustRightInd w:val="0"/>
              <w:spacing w:before="40" w:after="40" w:line="260" w:lineRule="exact"/>
              <w:rPr>
                <w:b/>
                <w:sz w:val="16"/>
                <w:szCs w:val="16"/>
              </w:rPr>
            </w:pPr>
            <w:r>
              <w:rPr>
                <w:b/>
                <w:sz w:val="16"/>
                <w:szCs w:val="16"/>
              </w:rPr>
              <w:t>Итого</w:t>
            </w:r>
          </w:p>
        </w:tc>
        <w:tc>
          <w:tcPr>
            <w:tcW w:w="103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00070" w:rsidRDefault="00C85043" w:rsidP="00C85043">
            <w:pPr>
              <w:autoSpaceDE w:val="0"/>
              <w:autoSpaceDN w:val="0"/>
              <w:adjustRightInd w:val="0"/>
              <w:spacing w:before="40" w:after="40" w:line="260" w:lineRule="exact"/>
              <w:jc w:val="center"/>
              <w:rPr>
                <w:b/>
                <w:sz w:val="16"/>
                <w:szCs w:val="16"/>
              </w:rPr>
            </w:pPr>
            <w:r>
              <w:rPr>
                <w:b/>
                <w:sz w:val="16"/>
                <w:szCs w:val="16"/>
              </w:rPr>
              <w:t>2 068 000</w:t>
            </w:r>
          </w:p>
        </w:tc>
        <w:tc>
          <w:tcPr>
            <w:tcW w:w="103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00070" w:rsidRDefault="00C85043" w:rsidP="00C85043">
            <w:pPr>
              <w:autoSpaceDE w:val="0"/>
              <w:autoSpaceDN w:val="0"/>
              <w:adjustRightInd w:val="0"/>
              <w:spacing w:before="40" w:after="40" w:line="260" w:lineRule="exact"/>
              <w:jc w:val="center"/>
              <w:rPr>
                <w:b/>
                <w:sz w:val="16"/>
                <w:szCs w:val="16"/>
              </w:rPr>
            </w:pPr>
            <w:r>
              <w:rPr>
                <w:b/>
                <w:sz w:val="16"/>
                <w:szCs w:val="16"/>
              </w:rPr>
              <w:t>75 170</w:t>
            </w:r>
          </w:p>
        </w:tc>
        <w:tc>
          <w:tcPr>
            <w:tcW w:w="1119" w:type="pct"/>
            <w:tcBorders>
              <w:top w:val="single" w:sz="4" w:space="0" w:color="auto"/>
              <w:left w:val="single" w:sz="4" w:space="0" w:color="auto"/>
              <w:bottom w:val="single" w:sz="4" w:space="0" w:color="auto"/>
              <w:right w:val="single" w:sz="4" w:space="0" w:color="auto"/>
            </w:tcBorders>
            <w:shd w:val="clear" w:color="auto" w:fill="C6D9F1"/>
          </w:tcPr>
          <w:p w:rsidR="00C85043" w:rsidRPr="00800070" w:rsidRDefault="00C85043" w:rsidP="00C85043">
            <w:pPr>
              <w:autoSpaceDE w:val="0"/>
              <w:autoSpaceDN w:val="0"/>
              <w:adjustRightInd w:val="0"/>
              <w:spacing w:before="40" w:after="40" w:line="260" w:lineRule="exact"/>
              <w:jc w:val="center"/>
              <w:rPr>
                <w:b/>
                <w:sz w:val="16"/>
                <w:szCs w:val="16"/>
              </w:rPr>
            </w:pPr>
          </w:p>
        </w:tc>
      </w:tr>
    </w:tbl>
    <w:p w:rsidR="00C85043" w:rsidRDefault="00C85043" w:rsidP="00C85043">
      <w:pPr>
        <w:spacing w:after="200" w:line="276" w:lineRule="auto"/>
        <w:rPr>
          <w:rFonts w:cs="Arial"/>
          <w:color w:val="000000"/>
          <w:sz w:val="22"/>
          <w:szCs w:val="22"/>
        </w:rPr>
      </w:pPr>
      <w:r>
        <w:rPr>
          <w:rFonts w:cs="Arial"/>
          <w:color w:val="000000"/>
          <w:sz w:val="22"/>
          <w:szCs w:val="22"/>
        </w:rPr>
        <w:br w:type="page"/>
      </w:r>
    </w:p>
    <w:p w:rsidR="00C85043" w:rsidRDefault="00C85043" w:rsidP="00C85043">
      <w:pPr>
        <w:rPr>
          <w:rFonts w:cs="Arial"/>
          <w:color w:val="000000"/>
          <w:sz w:val="22"/>
          <w:szCs w:val="22"/>
        </w:rPr>
      </w:pPr>
    </w:p>
    <w:p w:rsidR="00C85043" w:rsidRPr="00715C25" w:rsidRDefault="00C85043" w:rsidP="00C85043">
      <w:pPr>
        <w:rPr>
          <w:rFonts w:cs="Arial"/>
          <w:color w:val="000000"/>
          <w:sz w:val="22"/>
          <w:szCs w:val="22"/>
          <w:lang w:val="ru-RU"/>
        </w:rPr>
      </w:pPr>
      <w:r w:rsidRPr="00285429">
        <w:rPr>
          <w:rFonts w:cs="Arial"/>
          <w:color w:val="000000"/>
          <w:sz w:val="22"/>
          <w:szCs w:val="22"/>
          <w:lang w:val="ru-RU"/>
        </w:rPr>
        <w:t xml:space="preserve">СРОКИ ОСУЩЕСТВЛЕНИЯ ПРОЕКТА </w:t>
      </w:r>
      <w:r>
        <w:rPr>
          <w:rFonts w:cs="Arial"/>
          <w:color w:val="000000"/>
          <w:sz w:val="22"/>
          <w:szCs w:val="22"/>
          <w:lang w:val="ru-RU"/>
        </w:rPr>
        <w:t>В РАЗБИВКЕ ПО ОСНОВНЫМ РЕЗУЛЬТАТАМ</w:t>
      </w:r>
    </w:p>
    <w:p w:rsidR="00C85043" w:rsidRPr="00715C25" w:rsidRDefault="00C85043" w:rsidP="00C85043">
      <w:pPr>
        <w:autoSpaceDE w:val="0"/>
        <w:autoSpaceDN w:val="0"/>
        <w:jc w:val="both"/>
        <w:rPr>
          <w:lang w:val="ru-RU"/>
        </w:rPr>
      </w:pPr>
    </w:p>
    <w:tbl>
      <w:tblPr>
        <w:tblW w:w="9571" w:type="dxa"/>
        <w:jc w:val="center"/>
        <w:tblLook w:val="04A0" w:firstRow="1" w:lastRow="0" w:firstColumn="1" w:lastColumn="0" w:noHBand="0" w:noVBand="1"/>
      </w:tblPr>
      <w:tblGrid>
        <w:gridCol w:w="2018"/>
        <w:gridCol w:w="531"/>
        <w:gridCol w:w="495"/>
        <w:gridCol w:w="467"/>
        <w:gridCol w:w="467"/>
        <w:gridCol w:w="467"/>
        <w:gridCol w:w="466"/>
        <w:gridCol w:w="466"/>
        <w:gridCol w:w="466"/>
        <w:gridCol w:w="466"/>
        <w:gridCol w:w="466"/>
        <w:gridCol w:w="466"/>
        <w:gridCol w:w="466"/>
        <w:gridCol w:w="466"/>
        <w:gridCol w:w="466"/>
        <w:gridCol w:w="466"/>
        <w:gridCol w:w="466"/>
      </w:tblGrid>
      <w:tr w:rsidR="00C85043" w:rsidRPr="00656CC0" w:rsidTr="00C85043">
        <w:trPr>
          <w:cantSplit/>
          <w:trHeight w:val="270"/>
          <w:jc w:val="center"/>
        </w:trPr>
        <w:tc>
          <w:tcPr>
            <w:tcW w:w="1986" w:type="dxa"/>
            <w:tcBorders>
              <w:top w:val="nil"/>
              <w:left w:val="nil"/>
              <w:bottom w:val="nil"/>
              <w:right w:val="nil"/>
            </w:tcBorders>
            <w:shd w:val="clear" w:color="auto" w:fill="auto"/>
            <w:noWrap/>
            <w:vAlign w:val="bottom"/>
          </w:tcPr>
          <w:p w:rsidR="00C85043" w:rsidRPr="00715C25" w:rsidRDefault="00C85043" w:rsidP="00C85043">
            <w:pPr>
              <w:rPr>
                <w:rFonts w:cs="Arial"/>
                <w:color w:val="000000"/>
                <w:sz w:val="16"/>
                <w:szCs w:val="16"/>
                <w:lang w:val="ru-RU"/>
              </w:rPr>
            </w:pPr>
          </w:p>
        </w:tc>
        <w:tc>
          <w:tcPr>
            <w:tcW w:w="1968" w:type="dxa"/>
            <w:gridSpan w:val="4"/>
            <w:tcBorders>
              <w:top w:val="single" w:sz="8" w:space="0" w:color="auto"/>
              <w:left w:val="single" w:sz="8" w:space="0" w:color="auto"/>
              <w:bottom w:val="single" w:sz="4" w:space="0" w:color="auto"/>
              <w:right w:val="single" w:sz="8" w:space="0" w:color="000000"/>
            </w:tcBorders>
            <w:shd w:val="clear" w:color="auto" w:fill="C6D9F1"/>
            <w:noWrap/>
            <w:vAlign w:val="bottom"/>
          </w:tcPr>
          <w:p w:rsidR="00C85043" w:rsidRPr="00656CC0" w:rsidRDefault="00C85043" w:rsidP="00C85043">
            <w:pPr>
              <w:jc w:val="center"/>
              <w:rPr>
                <w:rFonts w:cs="Arial"/>
                <w:b/>
                <w:bCs/>
                <w:color w:val="000000"/>
                <w:sz w:val="16"/>
                <w:szCs w:val="16"/>
              </w:rPr>
            </w:pPr>
            <w:r>
              <w:rPr>
                <w:rFonts w:cs="Arial"/>
                <w:b/>
                <w:bCs/>
                <w:color w:val="000000"/>
                <w:sz w:val="16"/>
                <w:szCs w:val="16"/>
              </w:rPr>
              <w:t>2014 г.</w:t>
            </w:r>
          </w:p>
        </w:tc>
        <w:tc>
          <w:tcPr>
            <w:tcW w:w="1873"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656CC0" w:rsidRDefault="00C85043" w:rsidP="00C85043">
            <w:pPr>
              <w:jc w:val="center"/>
              <w:rPr>
                <w:rFonts w:cs="Arial"/>
                <w:b/>
                <w:bCs/>
                <w:color w:val="000000"/>
                <w:sz w:val="16"/>
                <w:szCs w:val="16"/>
              </w:rPr>
            </w:pPr>
            <w:r w:rsidRPr="00656CC0">
              <w:rPr>
                <w:rFonts w:cs="Arial"/>
                <w:b/>
                <w:bCs/>
                <w:color w:val="000000"/>
                <w:sz w:val="16"/>
                <w:szCs w:val="16"/>
              </w:rPr>
              <w:t>2015</w:t>
            </w:r>
            <w:r>
              <w:rPr>
                <w:rFonts w:cs="Arial"/>
                <w:b/>
                <w:bCs/>
                <w:color w:val="000000"/>
                <w:sz w:val="16"/>
                <w:szCs w:val="16"/>
                <w:lang w:val="ru-RU"/>
              </w:rPr>
              <w:t xml:space="preserve"> </w:t>
            </w:r>
            <w:r>
              <w:rPr>
                <w:rFonts w:cs="Arial"/>
                <w:b/>
                <w:bCs/>
                <w:color w:val="000000"/>
                <w:sz w:val="16"/>
                <w:szCs w:val="16"/>
              </w:rPr>
              <w:t>г.</w:t>
            </w:r>
          </w:p>
        </w:tc>
        <w:tc>
          <w:tcPr>
            <w:tcW w:w="1872"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656CC0" w:rsidRDefault="00C85043" w:rsidP="00C85043">
            <w:pPr>
              <w:jc w:val="center"/>
              <w:rPr>
                <w:rFonts w:cs="Arial"/>
                <w:b/>
                <w:bCs/>
                <w:color w:val="000000"/>
                <w:sz w:val="16"/>
                <w:szCs w:val="16"/>
              </w:rPr>
            </w:pPr>
            <w:r w:rsidRPr="00656CC0">
              <w:rPr>
                <w:rFonts w:cs="Arial"/>
                <w:b/>
                <w:bCs/>
                <w:color w:val="000000"/>
                <w:sz w:val="16"/>
                <w:szCs w:val="16"/>
              </w:rPr>
              <w:t>2016</w:t>
            </w:r>
            <w:r>
              <w:rPr>
                <w:rFonts w:cs="Arial"/>
                <w:b/>
                <w:bCs/>
                <w:color w:val="000000"/>
                <w:sz w:val="16"/>
                <w:szCs w:val="16"/>
                <w:lang w:val="ru-RU"/>
              </w:rPr>
              <w:t xml:space="preserve"> </w:t>
            </w:r>
            <w:r>
              <w:rPr>
                <w:rFonts w:cs="Arial"/>
                <w:b/>
                <w:bCs/>
                <w:color w:val="000000"/>
                <w:sz w:val="16"/>
                <w:szCs w:val="16"/>
              </w:rPr>
              <w:t>г.</w:t>
            </w:r>
          </w:p>
        </w:tc>
        <w:tc>
          <w:tcPr>
            <w:tcW w:w="1872"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656CC0" w:rsidRDefault="00C85043" w:rsidP="00C85043">
            <w:pPr>
              <w:jc w:val="center"/>
              <w:rPr>
                <w:rFonts w:cs="Arial"/>
                <w:b/>
                <w:bCs/>
                <w:color w:val="000000"/>
                <w:sz w:val="16"/>
                <w:szCs w:val="16"/>
              </w:rPr>
            </w:pPr>
            <w:r w:rsidRPr="00656CC0">
              <w:rPr>
                <w:rFonts w:cs="Arial"/>
                <w:b/>
                <w:bCs/>
                <w:color w:val="000000"/>
                <w:sz w:val="16"/>
                <w:szCs w:val="16"/>
              </w:rPr>
              <w:t>2017</w:t>
            </w:r>
            <w:r>
              <w:rPr>
                <w:rFonts w:cs="Arial"/>
                <w:b/>
                <w:bCs/>
                <w:color w:val="000000"/>
                <w:sz w:val="16"/>
                <w:szCs w:val="16"/>
                <w:lang w:val="ru-RU"/>
              </w:rPr>
              <w:t xml:space="preserve"> </w:t>
            </w:r>
            <w:r>
              <w:rPr>
                <w:rFonts w:cs="Arial"/>
                <w:b/>
                <w:bCs/>
                <w:color w:val="000000"/>
                <w:sz w:val="16"/>
                <w:szCs w:val="16"/>
              </w:rPr>
              <w:t>г.</w:t>
            </w:r>
          </w:p>
        </w:tc>
      </w:tr>
      <w:tr w:rsidR="00C85043" w:rsidRPr="000C24E8" w:rsidTr="00C85043">
        <w:trPr>
          <w:cantSplit/>
          <w:trHeight w:val="375"/>
          <w:jc w:val="center"/>
        </w:trPr>
        <w:tc>
          <w:tcPr>
            <w:tcW w:w="1986"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C85043" w:rsidRPr="00285429" w:rsidRDefault="00C85043" w:rsidP="00C85043">
            <w:pPr>
              <w:rPr>
                <w:rFonts w:cs="Arial"/>
                <w:b/>
                <w:bCs/>
                <w:color w:val="000000"/>
                <w:sz w:val="16"/>
                <w:szCs w:val="16"/>
                <w:lang w:val="ru-RU"/>
              </w:rPr>
            </w:pPr>
            <w:r w:rsidRPr="009044EE">
              <w:rPr>
                <w:rFonts w:cs="Arial"/>
                <w:b/>
                <w:bCs/>
                <w:color w:val="000000"/>
                <w:sz w:val="16"/>
                <w:szCs w:val="16"/>
                <w:lang w:val="ru-RU"/>
              </w:rPr>
              <w:t>Основной результат</w:t>
            </w:r>
          </w:p>
        </w:tc>
        <w:tc>
          <w:tcPr>
            <w:tcW w:w="533"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w:t>
            </w:r>
            <w:r w:rsidRPr="000C24E8">
              <w:rPr>
                <w:rFonts w:cs="Arial"/>
                <w:b/>
                <w:bCs/>
                <w:color w:val="000000"/>
                <w:sz w:val="16"/>
                <w:szCs w:val="16"/>
                <w:lang w:val="ru-RU"/>
              </w:rPr>
              <w:t xml:space="preserve"> </w:t>
            </w:r>
            <w:r>
              <w:rPr>
                <w:rFonts w:cs="Arial"/>
                <w:b/>
                <w:bCs/>
                <w:color w:val="000000"/>
                <w:sz w:val="16"/>
                <w:szCs w:val="16"/>
                <w:lang w:val="ru-RU"/>
              </w:rPr>
              <w:br/>
            </w:r>
            <w:r w:rsidRPr="000C24E8">
              <w:rPr>
                <w:rFonts w:cs="Arial"/>
                <w:b/>
                <w:bCs/>
                <w:color w:val="000000"/>
                <w:sz w:val="16"/>
                <w:szCs w:val="16"/>
                <w:lang w:val="ru-RU"/>
              </w:rPr>
              <w:t>кв.</w:t>
            </w:r>
          </w:p>
        </w:tc>
        <w:tc>
          <w:tcPr>
            <w:tcW w:w="497"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II</w:t>
            </w:r>
            <w:r w:rsidRPr="000C24E8">
              <w:rPr>
                <w:rFonts w:cs="Arial"/>
                <w:b/>
                <w:bCs/>
                <w:color w:val="000000"/>
                <w:sz w:val="16"/>
                <w:szCs w:val="16"/>
                <w:lang w:val="ru-RU"/>
              </w:rPr>
              <w:t xml:space="preserve"> кв.</w:t>
            </w:r>
          </w:p>
        </w:tc>
        <w:tc>
          <w:tcPr>
            <w:tcW w:w="469"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III</w:t>
            </w:r>
            <w:r w:rsidRPr="000C24E8">
              <w:rPr>
                <w:rFonts w:cs="Arial"/>
                <w:b/>
                <w:bCs/>
                <w:color w:val="000000"/>
                <w:sz w:val="16"/>
                <w:szCs w:val="16"/>
                <w:lang w:val="ru-RU"/>
              </w:rPr>
              <w:t xml:space="preserve"> кв.</w:t>
            </w:r>
          </w:p>
        </w:tc>
        <w:tc>
          <w:tcPr>
            <w:tcW w:w="469" w:type="dxa"/>
            <w:tcBorders>
              <w:top w:val="nil"/>
              <w:left w:val="nil"/>
              <w:bottom w:val="single" w:sz="4" w:space="0" w:color="auto"/>
              <w:right w:val="single" w:sz="8"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IV</w:t>
            </w:r>
            <w:r w:rsidRPr="000C24E8">
              <w:rPr>
                <w:rFonts w:cs="Arial"/>
                <w:b/>
                <w:bCs/>
                <w:color w:val="000000"/>
                <w:sz w:val="16"/>
                <w:szCs w:val="16"/>
                <w:lang w:val="ru-RU"/>
              </w:rPr>
              <w:t xml:space="preserve"> кв.</w:t>
            </w:r>
          </w:p>
        </w:tc>
        <w:tc>
          <w:tcPr>
            <w:tcW w:w="469"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II</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III</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8"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IV</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II</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III</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8"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IV</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II</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4"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III</w:t>
            </w:r>
            <w:r w:rsidRPr="000C24E8">
              <w:rPr>
                <w:rFonts w:cs="Arial"/>
                <w:b/>
                <w:bCs/>
                <w:color w:val="000000"/>
                <w:sz w:val="16"/>
                <w:szCs w:val="16"/>
                <w:lang w:val="ru-RU"/>
              </w:rPr>
              <w:t xml:space="preserve"> кв.</w:t>
            </w:r>
          </w:p>
        </w:tc>
        <w:tc>
          <w:tcPr>
            <w:tcW w:w="468" w:type="dxa"/>
            <w:tcBorders>
              <w:top w:val="nil"/>
              <w:left w:val="nil"/>
              <w:bottom w:val="single" w:sz="4" w:space="0" w:color="auto"/>
              <w:right w:val="single" w:sz="8" w:space="0" w:color="auto"/>
            </w:tcBorders>
            <w:shd w:val="clear" w:color="auto" w:fill="C6D9F1"/>
            <w:noWrap/>
            <w:vAlign w:val="bottom"/>
          </w:tcPr>
          <w:p w:rsidR="00C85043" w:rsidRPr="000C24E8" w:rsidRDefault="00C85043" w:rsidP="00C85043">
            <w:pPr>
              <w:jc w:val="center"/>
              <w:rPr>
                <w:rFonts w:cs="Arial"/>
                <w:b/>
                <w:bCs/>
                <w:color w:val="000000"/>
                <w:sz w:val="16"/>
                <w:szCs w:val="16"/>
                <w:lang w:val="ru-RU"/>
              </w:rPr>
            </w:pPr>
            <w:r>
              <w:rPr>
                <w:rFonts w:cs="Arial"/>
                <w:b/>
                <w:bCs/>
                <w:color w:val="000000"/>
                <w:sz w:val="16"/>
                <w:szCs w:val="16"/>
              </w:rPr>
              <w:t>IV</w:t>
            </w:r>
            <w:r w:rsidRPr="000C24E8">
              <w:rPr>
                <w:rFonts w:cs="Arial"/>
                <w:b/>
                <w:bCs/>
                <w:color w:val="000000"/>
                <w:sz w:val="16"/>
                <w:szCs w:val="16"/>
                <w:lang w:val="ru-RU"/>
              </w:rPr>
              <w:t xml:space="preserve"> кв.</w:t>
            </w:r>
          </w:p>
        </w:tc>
      </w:tr>
      <w:tr w:rsidR="00C85043" w:rsidRPr="00656CC0" w:rsidTr="00C85043">
        <w:trPr>
          <w:trHeight w:val="539"/>
          <w:jc w:val="center"/>
        </w:trPr>
        <w:tc>
          <w:tcPr>
            <w:tcW w:w="1986" w:type="dxa"/>
            <w:tcBorders>
              <w:top w:val="nil"/>
              <w:left w:val="single" w:sz="8" w:space="0" w:color="auto"/>
              <w:bottom w:val="single" w:sz="4" w:space="0" w:color="auto"/>
              <w:right w:val="single" w:sz="8" w:space="0" w:color="auto"/>
            </w:tcBorders>
            <w:shd w:val="clear" w:color="auto" w:fill="auto"/>
            <w:noWrap/>
            <w:vAlign w:val="bottom"/>
          </w:tcPr>
          <w:p w:rsidR="00C85043" w:rsidRPr="00AB735C" w:rsidRDefault="00C85043" w:rsidP="00C85043">
            <w:pPr>
              <w:keepNext/>
              <w:keepLines/>
              <w:autoSpaceDE w:val="0"/>
              <w:autoSpaceDN w:val="0"/>
              <w:adjustRightInd w:val="0"/>
              <w:spacing w:before="40" w:after="40"/>
              <w:rPr>
                <w:sz w:val="16"/>
                <w:szCs w:val="16"/>
                <w:lang w:val="ru-RU"/>
              </w:rPr>
            </w:pPr>
            <w:r w:rsidRPr="000B2E47">
              <w:rPr>
                <w:sz w:val="16"/>
                <w:szCs w:val="16"/>
                <w:lang w:val="ru-RU"/>
              </w:rPr>
              <w:t>Разработк</w:t>
            </w:r>
            <w:r>
              <w:rPr>
                <w:sz w:val="16"/>
                <w:szCs w:val="16"/>
                <w:lang w:val="ru-RU"/>
              </w:rPr>
              <w:t>а</w:t>
            </w:r>
            <w:r w:rsidRPr="00AB735C">
              <w:rPr>
                <w:sz w:val="16"/>
                <w:szCs w:val="16"/>
                <w:lang w:val="ru-RU"/>
              </w:rPr>
              <w:t xml:space="preserve"> </w:t>
            </w:r>
            <w:r>
              <w:rPr>
                <w:sz w:val="16"/>
                <w:szCs w:val="16"/>
                <w:lang w:val="ru-RU"/>
              </w:rPr>
              <w:t>методологии</w:t>
            </w:r>
          </w:p>
        </w:tc>
        <w:tc>
          <w:tcPr>
            <w:tcW w:w="533" w:type="dxa"/>
            <w:tcBorders>
              <w:top w:val="nil"/>
              <w:left w:val="nil"/>
              <w:bottom w:val="single" w:sz="4" w:space="0" w:color="auto"/>
              <w:right w:val="single" w:sz="4" w:space="0" w:color="auto"/>
            </w:tcBorders>
            <w:shd w:val="clear" w:color="auto" w:fill="auto"/>
            <w:noWrap/>
            <w:vAlign w:val="bottom"/>
          </w:tcPr>
          <w:p w:rsidR="00C85043" w:rsidRPr="00AB735C" w:rsidRDefault="00C85043" w:rsidP="00C85043">
            <w:pPr>
              <w:rPr>
                <w:rFonts w:cs="Arial"/>
                <w:color w:val="000000"/>
                <w:sz w:val="16"/>
                <w:szCs w:val="16"/>
                <w:lang w:val="ru-RU"/>
              </w:rPr>
            </w:pPr>
          </w:p>
        </w:tc>
        <w:tc>
          <w:tcPr>
            <w:tcW w:w="497" w:type="dxa"/>
            <w:tcBorders>
              <w:top w:val="nil"/>
              <w:left w:val="nil"/>
              <w:bottom w:val="single" w:sz="4" w:space="0" w:color="auto"/>
              <w:right w:val="single" w:sz="4" w:space="0" w:color="auto"/>
            </w:tcBorders>
            <w:shd w:val="clear" w:color="auto" w:fill="auto"/>
            <w:noWrap/>
            <w:vAlign w:val="bottom"/>
          </w:tcPr>
          <w:p w:rsidR="00C85043" w:rsidRPr="00AB735C" w:rsidRDefault="00C85043" w:rsidP="00C85043">
            <w:pPr>
              <w:rPr>
                <w:rFonts w:cs="Arial"/>
                <w:color w:val="000000"/>
                <w:sz w:val="16"/>
                <w:szCs w:val="16"/>
                <w:lang w:val="ru-RU"/>
              </w:rPr>
            </w:pPr>
          </w:p>
        </w:tc>
        <w:tc>
          <w:tcPr>
            <w:tcW w:w="469" w:type="dxa"/>
            <w:tcBorders>
              <w:top w:val="nil"/>
              <w:left w:val="nil"/>
              <w:bottom w:val="single" w:sz="4" w:space="0" w:color="auto"/>
              <w:right w:val="single" w:sz="4" w:space="0" w:color="auto"/>
            </w:tcBorders>
            <w:shd w:val="clear" w:color="auto" w:fill="auto"/>
            <w:noWrap/>
            <w:vAlign w:val="bottom"/>
          </w:tcPr>
          <w:p w:rsidR="00C85043" w:rsidRPr="00AB735C" w:rsidRDefault="00C85043" w:rsidP="00C85043">
            <w:pPr>
              <w:rPr>
                <w:rFonts w:cs="Arial"/>
                <w:color w:val="000000"/>
                <w:sz w:val="16"/>
                <w:szCs w:val="16"/>
                <w:lang w:val="ru-RU"/>
              </w:rPr>
            </w:pPr>
          </w:p>
        </w:tc>
        <w:tc>
          <w:tcPr>
            <w:tcW w:w="469"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r w:rsidRPr="007F4916">
              <w:rPr>
                <w:rFonts w:cs="Arial"/>
                <w:color w:val="000000"/>
                <w:sz w:val="16"/>
                <w:szCs w:val="16"/>
              </w:rPr>
              <w:t>X</w:t>
            </w:r>
          </w:p>
        </w:tc>
        <w:tc>
          <w:tcPr>
            <w:tcW w:w="469"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440"/>
          <w:jc w:val="center"/>
        </w:trPr>
        <w:tc>
          <w:tcPr>
            <w:tcW w:w="1986" w:type="dxa"/>
            <w:tcBorders>
              <w:top w:val="nil"/>
              <w:left w:val="single" w:sz="8" w:space="0" w:color="auto"/>
              <w:bottom w:val="single" w:sz="4" w:space="0" w:color="auto"/>
              <w:right w:val="single" w:sz="8" w:space="0" w:color="auto"/>
            </w:tcBorders>
            <w:shd w:val="clear" w:color="auto" w:fill="auto"/>
            <w:noWrap/>
            <w:vAlign w:val="bottom"/>
          </w:tcPr>
          <w:p w:rsidR="00C85043" w:rsidRPr="004F389B" w:rsidRDefault="00C85043" w:rsidP="00C85043">
            <w:pPr>
              <w:keepNext/>
              <w:keepLines/>
              <w:autoSpaceDE w:val="0"/>
              <w:autoSpaceDN w:val="0"/>
              <w:adjustRightInd w:val="0"/>
              <w:spacing w:before="40" w:after="40"/>
              <w:rPr>
                <w:sz w:val="16"/>
                <w:szCs w:val="16"/>
                <w:lang w:val="ru-RU"/>
              </w:rPr>
            </w:pPr>
            <w:r w:rsidRPr="00AB735C">
              <w:rPr>
                <w:sz w:val="16"/>
                <w:szCs w:val="16"/>
                <w:lang w:val="ru-RU"/>
              </w:rPr>
              <w:t>Выбор технологи</w:t>
            </w:r>
            <w:r>
              <w:rPr>
                <w:sz w:val="16"/>
                <w:szCs w:val="16"/>
                <w:lang w:val="ru-RU"/>
              </w:rPr>
              <w:t xml:space="preserve">и </w:t>
            </w:r>
            <w:r w:rsidRPr="000B2E47">
              <w:rPr>
                <w:sz w:val="16"/>
                <w:szCs w:val="16"/>
                <w:lang w:val="ru-RU"/>
              </w:rPr>
              <w:t>систем</w:t>
            </w:r>
            <w:r>
              <w:rPr>
                <w:sz w:val="16"/>
                <w:szCs w:val="16"/>
                <w:lang w:val="ru-RU"/>
              </w:rPr>
              <w:t xml:space="preserve">ы </w:t>
            </w:r>
            <w:r w:rsidRPr="00AB735C">
              <w:rPr>
                <w:sz w:val="16"/>
                <w:szCs w:val="16"/>
                <w:lang w:val="ru-RU"/>
              </w:rPr>
              <w:t>УОИК</w:t>
            </w:r>
          </w:p>
        </w:tc>
        <w:tc>
          <w:tcPr>
            <w:tcW w:w="533" w:type="dxa"/>
            <w:tcBorders>
              <w:top w:val="nil"/>
              <w:left w:val="nil"/>
              <w:bottom w:val="single" w:sz="4" w:space="0" w:color="auto"/>
              <w:right w:val="single" w:sz="4" w:space="0" w:color="auto"/>
            </w:tcBorders>
            <w:shd w:val="clear" w:color="auto" w:fill="auto"/>
            <w:noWrap/>
            <w:vAlign w:val="bottom"/>
          </w:tcPr>
          <w:p w:rsidR="00C85043" w:rsidRPr="004F389B" w:rsidRDefault="00C85043" w:rsidP="00C85043">
            <w:pPr>
              <w:rPr>
                <w:rFonts w:cs="Arial"/>
                <w:color w:val="000000"/>
                <w:sz w:val="16"/>
                <w:szCs w:val="16"/>
                <w:lang w:val="ru-RU"/>
              </w:rPr>
            </w:pPr>
            <w:r w:rsidRPr="007F4916">
              <w:rPr>
                <w:rFonts w:cs="Arial"/>
                <w:color w:val="000000"/>
                <w:sz w:val="16"/>
                <w:szCs w:val="16"/>
              </w:rPr>
              <w:t> </w:t>
            </w:r>
          </w:p>
        </w:tc>
        <w:tc>
          <w:tcPr>
            <w:tcW w:w="497" w:type="dxa"/>
            <w:tcBorders>
              <w:top w:val="nil"/>
              <w:left w:val="nil"/>
              <w:bottom w:val="single" w:sz="4" w:space="0" w:color="auto"/>
              <w:right w:val="single" w:sz="4" w:space="0" w:color="auto"/>
            </w:tcBorders>
            <w:shd w:val="clear" w:color="auto" w:fill="auto"/>
            <w:noWrap/>
            <w:vAlign w:val="bottom"/>
          </w:tcPr>
          <w:p w:rsidR="00C85043" w:rsidRPr="004F389B"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nil"/>
              <w:left w:val="nil"/>
              <w:bottom w:val="single" w:sz="4" w:space="0" w:color="auto"/>
              <w:right w:val="single" w:sz="4" w:space="0" w:color="auto"/>
            </w:tcBorders>
            <w:shd w:val="clear" w:color="auto" w:fill="auto"/>
            <w:noWrap/>
            <w:vAlign w:val="bottom"/>
          </w:tcPr>
          <w:p w:rsidR="00C85043" w:rsidRPr="004F389B"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nil"/>
              <w:left w:val="nil"/>
              <w:bottom w:val="single" w:sz="4" w:space="0" w:color="auto"/>
              <w:right w:val="single" w:sz="8" w:space="0" w:color="auto"/>
            </w:tcBorders>
            <w:shd w:val="clear" w:color="auto" w:fill="auto"/>
            <w:noWrap/>
            <w:vAlign w:val="center"/>
          </w:tcPr>
          <w:p w:rsidR="00C85043" w:rsidRPr="004F389B" w:rsidRDefault="00C85043" w:rsidP="00C85043">
            <w:pPr>
              <w:jc w:val="center"/>
              <w:rPr>
                <w:rFonts w:cs="Arial"/>
                <w:color w:val="000000"/>
                <w:sz w:val="16"/>
                <w:szCs w:val="16"/>
                <w:lang w:val="ru-RU"/>
              </w:rPr>
            </w:pPr>
          </w:p>
        </w:tc>
        <w:tc>
          <w:tcPr>
            <w:tcW w:w="469" w:type="dxa"/>
            <w:tcBorders>
              <w:top w:val="nil"/>
              <w:left w:val="nil"/>
              <w:bottom w:val="single" w:sz="4" w:space="0" w:color="auto"/>
              <w:right w:val="single" w:sz="4" w:space="0" w:color="auto"/>
            </w:tcBorders>
            <w:shd w:val="clear" w:color="auto" w:fill="auto"/>
            <w:noWrap/>
            <w:vAlign w:val="center"/>
          </w:tcPr>
          <w:p w:rsidR="00C85043" w:rsidRPr="004F389B"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4F389B"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615"/>
          <w:jc w:val="center"/>
        </w:trPr>
        <w:tc>
          <w:tcPr>
            <w:tcW w:w="1986" w:type="dxa"/>
            <w:tcBorders>
              <w:top w:val="nil"/>
              <w:left w:val="single" w:sz="8" w:space="0" w:color="auto"/>
              <w:bottom w:val="single" w:sz="4" w:space="0" w:color="auto"/>
              <w:right w:val="single" w:sz="8" w:space="0" w:color="auto"/>
            </w:tcBorders>
            <w:shd w:val="clear" w:color="auto" w:fill="auto"/>
            <w:noWrap/>
            <w:vAlign w:val="bottom"/>
          </w:tcPr>
          <w:p w:rsidR="00C85043" w:rsidRPr="00301AD6" w:rsidRDefault="00C85043" w:rsidP="00C85043">
            <w:pPr>
              <w:keepNext/>
              <w:keepLines/>
              <w:autoSpaceDE w:val="0"/>
              <w:autoSpaceDN w:val="0"/>
              <w:adjustRightInd w:val="0"/>
              <w:spacing w:before="40" w:after="40"/>
              <w:rPr>
                <w:sz w:val="16"/>
                <w:szCs w:val="16"/>
                <w:lang w:val="ru-RU"/>
              </w:rPr>
            </w:pPr>
            <w:r>
              <w:rPr>
                <w:rFonts w:cs="Arial"/>
                <w:color w:val="000000"/>
                <w:sz w:val="16"/>
                <w:szCs w:val="16"/>
                <w:lang w:val="ru-RU"/>
              </w:rPr>
              <w:t xml:space="preserve">Перевод на новую </w:t>
            </w:r>
            <w:r w:rsidRPr="000B2E47">
              <w:rPr>
                <w:rFonts w:cs="Arial"/>
                <w:color w:val="000000"/>
                <w:sz w:val="16"/>
                <w:szCs w:val="16"/>
                <w:lang w:val="ru-RU"/>
              </w:rPr>
              <w:t>платформ</w:t>
            </w:r>
            <w:r>
              <w:rPr>
                <w:rFonts w:cs="Arial"/>
                <w:color w:val="000000"/>
                <w:sz w:val="16"/>
                <w:szCs w:val="16"/>
                <w:lang w:val="ru-RU"/>
              </w:rPr>
              <w:t xml:space="preserve">у </w:t>
            </w:r>
            <w:r w:rsidRPr="00301AD6">
              <w:rPr>
                <w:rFonts w:cs="Arial"/>
                <w:color w:val="000000"/>
                <w:sz w:val="16"/>
                <w:szCs w:val="16"/>
                <w:lang w:val="ru-RU"/>
              </w:rPr>
              <w:t xml:space="preserve">и </w:t>
            </w:r>
            <w:r>
              <w:rPr>
                <w:rFonts w:cs="Arial"/>
                <w:color w:val="000000"/>
                <w:sz w:val="16"/>
                <w:szCs w:val="16"/>
                <w:lang w:val="ru-RU"/>
              </w:rPr>
              <w:t xml:space="preserve">повышение </w:t>
            </w:r>
            <w:r w:rsidRPr="00301AD6">
              <w:rPr>
                <w:rFonts w:cs="Arial"/>
                <w:color w:val="000000"/>
                <w:sz w:val="16"/>
                <w:szCs w:val="16"/>
                <w:lang w:val="ru-RU"/>
              </w:rPr>
              <w:t>верси</w:t>
            </w:r>
            <w:r>
              <w:rPr>
                <w:rFonts w:cs="Arial"/>
                <w:color w:val="000000"/>
                <w:sz w:val="16"/>
                <w:szCs w:val="16"/>
                <w:lang w:val="ru-RU"/>
              </w:rPr>
              <w:t>и</w:t>
            </w:r>
            <w:r w:rsidRPr="00301AD6">
              <w:rPr>
                <w:rFonts w:cs="Arial"/>
                <w:color w:val="000000"/>
                <w:sz w:val="16"/>
                <w:szCs w:val="16"/>
                <w:lang w:val="ru-RU"/>
              </w:rPr>
              <w:t xml:space="preserve"> существующ</w:t>
            </w:r>
            <w:r>
              <w:rPr>
                <w:rFonts w:cs="Arial"/>
                <w:color w:val="000000"/>
                <w:sz w:val="16"/>
                <w:szCs w:val="16"/>
                <w:lang w:val="ru-RU"/>
              </w:rPr>
              <w:t>их</w:t>
            </w:r>
            <w:r w:rsidRPr="00301AD6">
              <w:rPr>
                <w:rFonts w:cs="Arial"/>
                <w:color w:val="000000"/>
                <w:sz w:val="16"/>
                <w:szCs w:val="16"/>
                <w:lang w:val="ru-RU"/>
              </w:rPr>
              <w:t xml:space="preserve"> </w:t>
            </w:r>
            <w:r w:rsidRPr="000B2E47">
              <w:rPr>
                <w:rFonts w:cs="Arial"/>
                <w:color w:val="000000"/>
                <w:sz w:val="16"/>
                <w:szCs w:val="16"/>
                <w:lang w:val="ru-RU"/>
              </w:rPr>
              <w:t>документ</w:t>
            </w:r>
            <w:r>
              <w:rPr>
                <w:rFonts w:cs="Arial"/>
                <w:color w:val="000000"/>
                <w:sz w:val="16"/>
                <w:szCs w:val="16"/>
                <w:lang w:val="ru-RU"/>
              </w:rPr>
              <w:t xml:space="preserve">ов </w:t>
            </w:r>
            <w:r w:rsidRPr="00301AD6">
              <w:rPr>
                <w:rFonts w:cs="Arial"/>
                <w:color w:val="000000"/>
                <w:sz w:val="16"/>
                <w:szCs w:val="16"/>
                <w:lang w:val="ru-RU"/>
              </w:rPr>
              <w:t>и архивов</w:t>
            </w:r>
            <w:r>
              <w:rPr>
                <w:rFonts w:cs="Arial"/>
                <w:color w:val="000000"/>
                <w:sz w:val="16"/>
                <w:szCs w:val="16"/>
                <w:lang w:val="ru-RU"/>
              </w:rPr>
              <w:t xml:space="preserve"> </w:t>
            </w:r>
            <w:r w:rsidRPr="00301AD6">
              <w:rPr>
                <w:rFonts w:cs="Arial"/>
                <w:color w:val="000000"/>
                <w:sz w:val="16"/>
                <w:szCs w:val="16"/>
                <w:lang w:val="ru-RU"/>
              </w:rPr>
              <w:t>Организаци</w:t>
            </w:r>
            <w:r>
              <w:rPr>
                <w:rFonts w:cs="Arial"/>
                <w:color w:val="000000"/>
                <w:sz w:val="16"/>
                <w:szCs w:val="16"/>
                <w:lang w:val="ru-RU"/>
              </w:rPr>
              <w:t>и</w:t>
            </w:r>
          </w:p>
        </w:tc>
        <w:tc>
          <w:tcPr>
            <w:tcW w:w="533" w:type="dxa"/>
            <w:tcBorders>
              <w:top w:val="nil"/>
              <w:left w:val="nil"/>
              <w:bottom w:val="single" w:sz="4" w:space="0" w:color="auto"/>
              <w:right w:val="single" w:sz="4" w:space="0" w:color="auto"/>
            </w:tcBorders>
            <w:shd w:val="clear" w:color="auto" w:fill="auto"/>
            <w:noWrap/>
            <w:vAlign w:val="bottom"/>
          </w:tcPr>
          <w:p w:rsidR="00C85043" w:rsidRPr="00301AD6" w:rsidRDefault="00C85043" w:rsidP="00C85043">
            <w:pPr>
              <w:rPr>
                <w:rFonts w:cs="Arial"/>
                <w:color w:val="000000"/>
                <w:sz w:val="16"/>
                <w:szCs w:val="16"/>
                <w:lang w:val="ru-RU"/>
              </w:rPr>
            </w:pPr>
          </w:p>
        </w:tc>
        <w:tc>
          <w:tcPr>
            <w:tcW w:w="497" w:type="dxa"/>
            <w:tcBorders>
              <w:top w:val="nil"/>
              <w:left w:val="nil"/>
              <w:bottom w:val="single" w:sz="4" w:space="0" w:color="auto"/>
              <w:right w:val="single" w:sz="4" w:space="0" w:color="auto"/>
            </w:tcBorders>
            <w:shd w:val="clear" w:color="auto" w:fill="auto"/>
            <w:noWrap/>
            <w:vAlign w:val="bottom"/>
          </w:tcPr>
          <w:p w:rsidR="00C85043" w:rsidRPr="00301AD6" w:rsidRDefault="00C85043" w:rsidP="00C85043">
            <w:pPr>
              <w:rPr>
                <w:rFonts w:cs="Arial"/>
                <w:color w:val="000000"/>
                <w:sz w:val="16"/>
                <w:szCs w:val="16"/>
                <w:lang w:val="ru-RU"/>
              </w:rPr>
            </w:pPr>
          </w:p>
        </w:tc>
        <w:tc>
          <w:tcPr>
            <w:tcW w:w="469" w:type="dxa"/>
            <w:tcBorders>
              <w:top w:val="nil"/>
              <w:left w:val="nil"/>
              <w:bottom w:val="single" w:sz="4" w:space="0" w:color="auto"/>
              <w:right w:val="single" w:sz="4" w:space="0" w:color="auto"/>
            </w:tcBorders>
            <w:shd w:val="clear" w:color="auto" w:fill="auto"/>
            <w:noWrap/>
            <w:vAlign w:val="bottom"/>
          </w:tcPr>
          <w:p w:rsidR="00C85043" w:rsidRPr="00301AD6" w:rsidRDefault="00C85043" w:rsidP="00C85043">
            <w:pPr>
              <w:rPr>
                <w:rFonts w:cs="Arial"/>
                <w:color w:val="000000"/>
                <w:sz w:val="16"/>
                <w:szCs w:val="16"/>
                <w:lang w:val="ru-RU"/>
              </w:rPr>
            </w:pPr>
          </w:p>
        </w:tc>
        <w:tc>
          <w:tcPr>
            <w:tcW w:w="469" w:type="dxa"/>
            <w:tcBorders>
              <w:top w:val="nil"/>
              <w:left w:val="nil"/>
              <w:bottom w:val="single" w:sz="4" w:space="0" w:color="auto"/>
              <w:right w:val="single" w:sz="8"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9"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404"/>
          <w:jc w:val="center"/>
        </w:trPr>
        <w:tc>
          <w:tcPr>
            <w:tcW w:w="1986" w:type="dxa"/>
            <w:tcBorders>
              <w:top w:val="nil"/>
              <w:left w:val="single" w:sz="8" w:space="0" w:color="auto"/>
              <w:bottom w:val="single" w:sz="4" w:space="0" w:color="auto"/>
              <w:right w:val="single" w:sz="8" w:space="0" w:color="auto"/>
            </w:tcBorders>
            <w:shd w:val="clear" w:color="auto" w:fill="auto"/>
            <w:noWrap/>
            <w:vAlign w:val="bottom"/>
          </w:tcPr>
          <w:p w:rsidR="00C85043" w:rsidRPr="004F389B" w:rsidRDefault="00C85043" w:rsidP="00C85043">
            <w:pPr>
              <w:keepNext/>
              <w:keepLines/>
              <w:autoSpaceDE w:val="0"/>
              <w:autoSpaceDN w:val="0"/>
              <w:adjustRightInd w:val="0"/>
              <w:spacing w:before="40" w:after="40"/>
              <w:rPr>
                <w:sz w:val="16"/>
                <w:szCs w:val="16"/>
                <w:lang w:val="ru-RU"/>
              </w:rPr>
            </w:pPr>
            <w:r w:rsidRPr="004F389B">
              <w:rPr>
                <w:sz w:val="16"/>
                <w:szCs w:val="16"/>
                <w:lang w:val="ru-RU"/>
              </w:rPr>
              <w:t>Завершение конкурса по привлечению партнера по реализации проекта</w:t>
            </w:r>
          </w:p>
        </w:tc>
        <w:tc>
          <w:tcPr>
            <w:tcW w:w="533" w:type="dxa"/>
            <w:tcBorders>
              <w:top w:val="nil"/>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r w:rsidRPr="007F4916">
              <w:rPr>
                <w:rFonts w:cs="Arial"/>
                <w:color w:val="000000"/>
                <w:sz w:val="16"/>
                <w:szCs w:val="16"/>
              </w:rPr>
              <w:t> </w:t>
            </w:r>
          </w:p>
        </w:tc>
        <w:tc>
          <w:tcPr>
            <w:tcW w:w="497" w:type="dxa"/>
            <w:tcBorders>
              <w:top w:val="nil"/>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nil"/>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nil"/>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9" w:type="dxa"/>
            <w:tcBorders>
              <w:top w:val="nil"/>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449"/>
          <w:jc w:val="center"/>
        </w:trPr>
        <w:tc>
          <w:tcPr>
            <w:tcW w:w="1986" w:type="dxa"/>
            <w:tcBorders>
              <w:top w:val="nil"/>
              <w:left w:val="single" w:sz="8" w:space="0" w:color="auto"/>
              <w:bottom w:val="single" w:sz="4" w:space="0" w:color="auto"/>
              <w:right w:val="single" w:sz="8" w:space="0" w:color="auto"/>
            </w:tcBorders>
            <w:shd w:val="clear" w:color="auto" w:fill="auto"/>
            <w:noWrap/>
            <w:vAlign w:val="bottom"/>
          </w:tcPr>
          <w:p w:rsidR="00C85043" w:rsidRPr="004F389B" w:rsidRDefault="00C85043" w:rsidP="00C85043">
            <w:pPr>
              <w:keepNext/>
              <w:keepLines/>
              <w:autoSpaceDE w:val="0"/>
              <w:autoSpaceDN w:val="0"/>
              <w:adjustRightInd w:val="0"/>
              <w:spacing w:before="40" w:after="40"/>
              <w:rPr>
                <w:sz w:val="16"/>
                <w:szCs w:val="16"/>
                <w:lang w:val="ru-RU"/>
              </w:rPr>
            </w:pPr>
            <w:r>
              <w:rPr>
                <w:sz w:val="16"/>
                <w:szCs w:val="16"/>
                <w:lang w:val="ru-RU"/>
              </w:rPr>
              <w:t xml:space="preserve">Приемка </w:t>
            </w:r>
            <w:r w:rsidRPr="004F389B">
              <w:rPr>
                <w:sz w:val="16"/>
                <w:szCs w:val="16"/>
                <w:lang w:val="ru-RU"/>
              </w:rPr>
              <w:t xml:space="preserve">базовой конфигурации </w:t>
            </w:r>
            <w:r w:rsidRPr="000C24E8">
              <w:rPr>
                <w:sz w:val="16"/>
                <w:szCs w:val="16"/>
                <w:lang w:val="ru-RU"/>
              </w:rPr>
              <w:t>систем</w:t>
            </w:r>
            <w:r>
              <w:rPr>
                <w:sz w:val="16"/>
                <w:szCs w:val="16"/>
                <w:lang w:val="ru-RU"/>
              </w:rPr>
              <w:t xml:space="preserve">ы </w:t>
            </w:r>
            <w:r w:rsidRPr="004F389B">
              <w:rPr>
                <w:sz w:val="16"/>
                <w:szCs w:val="16"/>
                <w:lang w:val="ru-RU"/>
              </w:rPr>
              <w:t>УОИК</w:t>
            </w:r>
          </w:p>
        </w:tc>
        <w:tc>
          <w:tcPr>
            <w:tcW w:w="533" w:type="dxa"/>
            <w:tcBorders>
              <w:top w:val="nil"/>
              <w:left w:val="nil"/>
              <w:bottom w:val="single" w:sz="4" w:space="0" w:color="auto"/>
              <w:right w:val="single" w:sz="4" w:space="0" w:color="auto"/>
            </w:tcBorders>
            <w:shd w:val="clear" w:color="auto" w:fill="auto"/>
            <w:noWrap/>
            <w:vAlign w:val="bottom"/>
          </w:tcPr>
          <w:p w:rsidR="00C85043" w:rsidRPr="00301AD6" w:rsidRDefault="00C85043" w:rsidP="00C85043">
            <w:pPr>
              <w:rPr>
                <w:rFonts w:cs="Arial"/>
                <w:color w:val="000000"/>
                <w:sz w:val="16"/>
                <w:szCs w:val="16"/>
                <w:lang w:val="ru-RU"/>
              </w:rPr>
            </w:pPr>
            <w:r w:rsidRPr="007F4916">
              <w:rPr>
                <w:rFonts w:cs="Arial"/>
                <w:color w:val="000000"/>
                <w:sz w:val="16"/>
                <w:szCs w:val="16"/>
              </w:rPr>
              <w:t> </w:t>
            </w:r>
          </w:p>
        </w:tc>
        <w:tc>
          <w:tcPr>
            <w:tcW w:w="497" w:type="dxa"/>
            <w:tcBorders>
              <w:top w:val="nil"/>
              <w:left w:val="nil"/>
              <w:bottom w:val="single" w:sz="4" w:space="0" w:color="auto"/>
              <w:right w:val="single" w:sz="4" w:space="0" w:color="auto"/>
            </w:tcBorders>
            <w:shd w:val="clear" w:color="auto" w:fill="auto"/>
            <w:noWrap/>
            <w:vAlign w:val="bottom"/>
          </w:tcPr>
          <w:p w:rsidR="00C85043" w:rsidRPr="00301AD6"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nil"/>
              <w:left w:val="nil"/>
              <w:bottom w:val="single" w:sz="4" w:space="0" w:color="auto"/>
              <w:right w:val="single" w:sz="4" w:space="0" w:color="auto"/>
            </w:tcBorders>
            <w:shd w:val="clear" w:color="auto" w:fill="auto"/>
            <w:noWrap/>
            <w:vAlign w:val="bottom"/>
          </w:tcPr>
          <w:p w:rsidR="00C85043" w:rsidRPr="00301AD6"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nil"/>
              <w:left w:val="nil"/>
              <w:bottom w:val="single" w:sz="4" w:space="0" w:color="auto"/>
              <w:right w:val="single" w:sz="8"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9"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8"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r w:rsidRPr="007F4916">
              <w:rPr>
                <w:rFonts w:cs="Arial"/>
                <w:color w:val="000000"/>
                <w:sz w:val="16"/>
                <w:szCs w:val="16"/>
              </w:rPr>
              <w:t>X</w:t>
            </w: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615"/>
          <w:jc w:val="center"/>
        </w:trPr>
        <w:tc>
          <w:tcPr>
            <w:tcW w:w="1986" w:type="dxa"/>
            <w:tcBorders>
              <w:top w:val="nil"/>
              <w:left w:val="single" w:sz="8" w:space="0" w:color="auto"/>
              <w:bottom w:val="single" w:sz="4" w:space="0" w:color="auto"/>
              <w:right w:val="single" w:sz="8" w:space="0" w:color="auto"/>
            </w:tcBorders>
            <w:shd w:val="clear" w:color="auto" w:fill="auto"/>
            <w:noWrap/>
            <w:vAlign w:val="bottom"/>
          </w:tcPr>
          <w:p w:rsidR="00C85043" w:rsidRPr="00301AD6" w:rsidRDefault="00C85043" w:rsidP="00C85043">
            <w:pPr>
              <w:keepNext/>
              <w:keepLines/>
              <w:autoSpaceDE w:val="0"/>
              <w:autoSpaceDN w:val="0"/>
              <w:adjustRightInd w:val="0"/>
              <w:spacing w:before="40" w:after="40"/>
              <w:rPr>
                <w:sz w:val="16"/>
                <w:szCs w:val="16"/>
                <w:lang w:val="ru-RU"/>
              </w:rPr>
            </w:pPr>
            <w:r>
              <w:rPr>
                <w:sz w:val="16"/>
                <w:szCs w:val="16"/>
                <w:lang w:val="ru-RU"/>
              </w:rPr>
              <w:t xml:space="preserve">Приемка </w:t>
            </w:r>
            <w:r w:rsidRPr="00301AD6">
              <w:rPr>
                <w:sz w:val="16"/>
                <w:szCs w:val="16"/>
                <w:lang w:val="ru-RU"/>
              </w:rPr>
              <w:t>конфигураци</w:t>
            </w:r>
            <w:r>
              <w:rPr>
                <w:sz w:val="16"/>
                <w:szCs w:val="16"/>
                <w:lang w:val="ru-RU"/>
              </w:rPr>
              <w:t xml:space="preserve">и </w:t>
            </w:r>
            <w:r w:rsidRPr="004F389B">
              <w:rPr>
                <w:sz w:val="16"/>
                <w:szCs w:val="16"/>
                <w:lang w:val="ru-RU"/>
              </w:rPr>
              <w:t>систем</w:t>
            </w:r>
            <w:r>
              <w:rPr>
                <w:sz w:val="16"/>
                <w:szCs w:val="16"/>
                <w:lang w:val="ru-RU"/>
              </w:rPr>
              <w:t xml:space="preserve">ы </w:t>
            </w:r>
            <w:r w:rsidRPr="004F389B">
              <w:rPr>
                <w:sz w:val="16"/>
                <w:szCs w:val="16"/>
                <w:lang w:val="ru-RU"/>
              </w:rPr>
              <w:t>УОИК</w:t>
            </w:r>
            <w:r>
              <w:rPr>
                <w:sz w:val="16"/>
                <w:szCs w:val="16"/>
                <w:lang w:val="ru-RU"/>
              </w:rPr>
              <w:t xml:space="preserve"> </w:t>
            </w:r>
            <w:r w:rsidRPr="000C24E8">
              <w:rPr>
                <w:sz w:val="16"/>
                <w:szCs w:val="16"/>
                <w:lang w:val="ru-RU"/>
              </w:rPr>
              <w:t>«</w:t>
            </w:r>
            <w:r w:rsidRPr="00301AD6">
              <w:rPr>
                <w:sz w:val="16"/>
                <w:szCs w:val="16"/>
                <w:lang w:val="ru-RU"/>
              </w:rPr>
              <w:t>Усовершенств</w:t>
            </w:r>
            <w:r>
              <w:rPr>
                <w:sz w:val="16"/>
                <w:szCs w:val="16"/>
                <w:lang w:val="ru-RU"/>
              </w:rPr>
              <w:t xml:space="preserve">ование </w:t>
            </w:r>
            <w:r w:rsidRPr="004F389B">
              <w:rPr>
                <w:sz w:val="16"/>
                <w:szCs w:val="16"/>
                <w:lang w:val="ru-RU"/>
              </w:rPr>
              <w:t>документооборот</w:t>
            </w:r>
            <w:r>
              <w:rPr>
                <w:sz w:val="16"/>
                <w:szCs w:val="16"/>
                <w:lang w:val="ru-RU"/>
              </w:rPr>
              <w:t xml:space="preserve">а и </w:t>
            </w:r>
            <w:r w:rsidRPr="004F389B">
              <w:rPr>
                <w:sz w:val="16"/>
                <w:szCs w:val="16"/>
                <w:lang w:val="ru-RU"/>
              </w:rPr>
              <w:t>работ</w:t>
            </w:r>
            <w:r>
              <w:rPr>
                <w:sz w:val="16"/>
                <w:szCs w:val="16"/>
                <w:lang w:val="ru-RU"/>
              </w:rPr>
              <w:t>ы с архивами</w:t>
            </w:r>
            <w:r w:rsidRPr="000C24E8">
              <w:rPr>
                <w:sz w:val="16"/>
                <w:szCs w:val="16"/>
                <w:lang w:val="ru-RU"/>
              </w:rPr>
              <w:t>»</w:t>
            </w:r>
          </w:p>
        </w:tc>
        <w:tc>
          <w:tcPr>
            <w:tcW w:w="533" w:type="dxa"/>
            <w:tcBorders>
              <w:top w:val="nil"/>
              <w:left w:val="nil"/>
              <w:bottom w:val="single" w:sz="4" w:space="0" w:color="auto"/>
              <w:right w:val="single" w:sz="4" w:space="0" w:color="auto"/>
            </w:tcBorders>
            <w:shd w:val="clear" w:color="auto" w:fill="auto"/>
            <w:noWrap/>
            <w:vAlign w:val="bottom"/>
          </w:tcPr>
          <w:p w:rsidR="00C85043" w:rsidRPr="00301AD6" w:rsidRDefault="00C85043" w:rsidP="00C85043">
            <w:pPr>
              <w:rPr>
                <w:rFonts w:cs="Arial"/>
                <w:color w:val="000000"/>
                <w:sz w:val="16"/>
                <w:szCs w:val="16"/>
                <w:lang w:val="ru-RU"/>
              </w:rPr>
            </w:pPr>
            <w:r w:rsidRPr="007F4916">
              <w:rPr>
                <w:rFonts w:cs="Arial"/>
                <w:color w:val="000000"/>
                <w:sz w:val="16"/>
                <w:szCs w:val="16"/>
              </w:rPr>
              <w:t> </w:t>
            </w:r>
          </w:p>
        </w:tc>
        <w:tc>
          <w:tcPr>
            <w:tcW w:w="497" w:type="dxa"/>
            <w:tcBorders>
              <w:top w:val="nil"/>
              <w:left w:val="nil"/>
              <w:bottom w:val="single" w:sz="4" w:space="0" w:color="auto"/>
              <w:right w:val="single" w:sz="4" w:space="0" w:color="auto"/>
            </w:tcBorders>
            <w:shd w:val="clear" w:color="auto" w:fill="auto"/>
            <w:noWrap/>
            <w:vAlign w:val="bottom"/>
          </w:tcPr>
          <w:p w:rsidR="00C85043" w:rsidRPr="00301AD6"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nil"/>
              <w:left w:val="nil"/>
              <w:bottom w:val="single" w:sz="4" w:space="0" w:color="auto"/>
              <w:right w:val="single" w:sz="4" w:space="0" w:color="auto"/>
            </w:tcBorders>
            <w:shd w:val="clear" w:color="auto" w:fill="auto"/>
            <w:noWrap/>
            <w:vAlign w:val="bottom"/>
          </w:tcPr>
          <w:p w:rsidR="00C85043" w:rsidRPr="00301AD6"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nil"/>
              <w:left w:val="nil"/>
              <w:bottom w:val="single" w:sz="4" w:space="0" w:color="auto"/>
              <w:right w:val="single" w:sz="8"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9"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8"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301AD6" w:rsidRDefault="00C85043" w:rsidP="00C85043">
            <w:pPr>
              <w:jc w:val="center"/>
              <w:rPr>
                <w:rFonts w:cs="Arial"/>
                <w:color w:val="000000"/>
                <w:sz w:val="16"/>
                <w:szCs w:val="16"/>
                <w:lang w:val="ru-RU"/>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nil"/>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615"/>
          <w:jc w:val="center"/>
        </w:trPr>
        <w:tc>
          <w:tcPr>
            <w:tcW w:w="1986" w:type="dxa"/>
            <w:tcBorders>
              <w:top w:val="single" w:sz="4" w:space="0" w:color="auto"/>
              <w:left w:val="single" w:sz="8" w:space="0" w:color="auto"/>
              <w:bottom w:val="single" w:sz="4" w:space="0" w:color="auto"/>
              <w:right w:val="single" w:sz="8" w:space="0" w:color="auto"/>
            </w:tcBorders>
            <w:shd w:val="clear" w:color="auto" w:fill="auto"/>
            <w:noWrap/>
            <w:vAlign w:val="bottom"/>
          </w:tcPr>
          <w:p w:rsidR="00C85043" w:rsidRPr="008F00C4" w:rsidRDefault="00C85043" w:rsidP="00C85043">
            <w:pPr>
              <w:keepNext/>
              <w:keepLines/>
              <w:autoSpaceDE w:val="0"/>
              <w:autoSpaceDN w:val="0"/>
              <w:adjustRightInd w:val="0"/>
              <w:spacing w:before="40" w:after="40"/>
              <w:rPr>
                <w:sz w:val="16"/>
                <w:szCs w:val="16"/>
                <w:lang w:val="ru-RU"/>
              </w:rPr>
            </w:pPr>
            <w:r w:rsidRPr="008F00C4">
              <w:rPr>
                <w:sz w:val="16"/>
                <w:szCs w:val="16"/>
                <w:lang w:val="ru-RU"/>
              </w:rPr>
              <w:t>Ввод в эксплуатацию конфигурации</w:t>
            </w:r>
            <w:r>
              <w:rPr>
                <w:sz w:val="16"/>
                <w:szCs w:val="16"/>
                <w:lang w:val="ru-RU"/>
              </w:rPr>
              <w:t xml:space="preserve"> </w:t>
            </w:r>
            <w:r w:rsidRPr="008F00C4">
              <w:rPr>
                <w:sz w:val="16"/>
                <w:szCs w:val="16"/>
                <w:lang w:val="ru-RU"/>
              </w:rPr>
              <w:t>систем</w:t>
            </w:r>
            <w:r>
              <w:rPr>
                <w:sz w:val="16"/>
                <w:szCs w:val="16"/>
                <w:lang w:val="ru-RU"/>
              </w:rPr>
              <w:t>ы</w:t>
            </w:r>
            <w:r w:rsidRPr="008F00C4">
              <w:rPr>
                <w:sz w:val="16"/>
                <w:szCs w:val="16"/>
                <w:lang w:val="ru-RU"/>
              </w:rPr>
              <w:t xml:space="preserve"> УОИК «Организация </w:t>
            </w:r>
            <w:r w:rsidRPr="000C24E8">
              <w:rPr>
                <w:sz w:val="16"/>
                <w:szCs w:val="16"/>
                <w:lang w:val="ru-RU"/>
              </w:rPr>
              <w:t>процесс</w:t>
            </w:r>
            <w:r>
              <w:rPr>
                <w:sz w:val="16"/>
                <w:szCs w:val="16"/>
                <w:lang w:val="ru-RU"/>
              </w:rPr>
              <w:t xml:space="preserve">а </w:t>
            </w:r>
            <w:r w:rsidRPr="008F00C4">
              <w:rPr>
                <w:sz w:val="16"/>
                <w:szCs w:val="16"/>
                <w:lang w:val="ru-RU"/>
              </w:rPr>
              <w:t>перевод</w:t>
            </w:r>
            <w:r>
              <w:rPr>
                <w:sz w:val="16"/>
                <w:szCs w:val="16"/>
                <w:lang w:val="ru-RU"/>
              </w:rPr>
              <w:t xml:space="preserve">а и </w:t>
            </w:r>
            <w:r w:rsidRPr="008F00C4">
              <w:rPr>
                <w:sz w:val="16"/>
                <w:szCs w:val="16"/>
                <w:lang w:val="ru-RU"/>
              </w:rPr>
              <w:t>контроль статуса</w:t>
            </w:r>
            <w:r>
              <w:rPr>
                <w:sz w:val="16"/>
                <w:szCs w:val="16"/>
                <w:lang w:val="ru-RU"/>
              </w:rPr>
              <w:t xml:space="preserve"> перевода </w:t>
            </w:r>
            <w:r w:rsidRPr="0079045F">
              <w:rPr>
                <w:sz w:val="16"/>
                <w:szCs w:val="16"/>
                <w:lang w:val="ru-RU"/>
              </w:rPr>
              <w:t>документ</w:t>
            </w:r>
            <w:r>
              <w:rPr>
                <w:sz w:val="16"/>
                <w:szCs w:val="16"/>
                <w:lang w:val="ru-RU"/>
              </w:rPr>
              <w:t>ов</w:t>
            </w:r>
            <w:r w:rsidRPr="008F00C4">
              <w:rPr>
                <w:sz w:val="16"/>
                <w:szCs w:val="16"/>
                <w:lang w:val="ru-RU"/>
              </w:rPr>
              <w:t>»</w:t>
            </w:r>
          </w:p>
        </w:tc>
        <w:tc>
          <w:tcPr>
            <w:tcW w:w="533" w:type="dxa"/>
            <w:tcBorders>
              <w:top w:val="single" w:sz="4" w:space="0" w:color="auto"/>
              <w:left w:val="nil"/>
              <w:bottom w:val="single" w:sz="4" w:space="0" w:color="auto"/>
              <w:right w:val="single" w:sz="4" w:space="0" w:color="auto"/>
            </w:tcBorders>
            <w:shd w:val="clear" w:color="auto" w:fill="auto"/>
            <w:noWrap/>
            <w:vAlign w:val="bottom"/>
          </w:tcPr>
          <w:p w:rsidR="00C85043" w:rsidRPr="0055183A" w:rsidRDefault="00C85043" w:rsidP="00C85043">
            <w:pPr>
              <w:rPr>
                <w:rFonts w:cs="Arial"/>
                <w:color w:val="000000"/>
                <w:sz w:val="16"/>
                <w:szCs w:val="16"/>
                <w:lang w:val="ru-RU"/>
              </w:rPr>
            </w:pPr>
          </w:p>
        </w:tc>
        <w:tc>
          <w:tcPr>
            <w:tcW w:w="497" w:type="dxa"/>
            <w:tcBorders>
              <w:top w:val="single" w:sz="4" w:space="0" w:color="auto"/>
              <w:left w:val="nil"/>
              <w:bottom w:val="single" w:sz="4" w:space="0" w:color="auto"/>
              <w:right w:val="single" w:sz="4" w:space="0" w:color="auto"/>
            </w:tcBorders>
            <w:shd w:val="clear" w:color="auto" w:fill="auto"/>
            <w:noWrap/>
            <w:vAlign w:val="bottom"/>
          </w:tcPr>
          <w:p w:rsidR="00C85043" w:rsidRPr="0055183A"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bottom"/>
          </w:tcPr>
          <w:p w:rsidR="00C85043" w:rsidRPr="0055183A"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8" w:space="0" w:color="auto"/>
            </w:tcBorders>
            <w:shd w:val="clear" w:color="auto" w:fill="auto"/>
            <w:noWrap/>
            <w:vAlign w:val="center"/>
          </w:tcPr>
          <w:p w:rsidR="00C85043" w:rsidRPr="0055183A" w:rsidRDefault="00C85043" w:rsidP="00C85043">
            <w:pPr>
              <w:jc w:val="cente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center"/>
          </w:tcPr>
          <w:p w:rsidR="00C85043" w:rsidRPr="0055183A"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55183A"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55183A"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55183A"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55183A"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55183A"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55183A"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440"/>
          <w:jc w:val="center"/>
        </w:trPr>
        <w:tc>
          <w:tcPr>
            <w:tcW w:w="1986" w:type="dxa"/>
            <w:tcBorders>
              <w:top w:val="single" w:sz="4" w:space="0" w:color="auto"/>
              <w:left w:val="single" w:sz="8" w:space="0" w:color="auto"/>
              <w:bottom w:val="single" w:sz="4" w:space="0" w:color="auto"/>
              <w:right w:val="single" w:sz="8" w:space="0" w:color="auto"/>
            </w:tcBorders>
            <w:shd w:val="clear" w:color="auto" w:fill="auto"/>
            <w:noWrap/>
            <w:vAlign w:val="bottom"/>
          </w:tcPr>
          <w:p w:rsidR="00C85043" w:rsidRPr="008F00C4" w:rsidRDefault="00C85043" w:rsidP="00C85043">
            <w:pPr>
              <w:keepNext/>
              <w:keepLines/>
              <w:autoSpaceDE w:val="0"/>
              <w:autoSpaceDN w:val="0"/>
              <w:adjustRightInd w:val="0"/>
              <w:spacing w:before="40" w:after="40"/>
              <w:rPr>
                <w:sz w:val="16"/>
                <w:szCs w:val="16"/>
                <w:lang w:val="ru-RU"/>
              </w:rPr>
            </w:pPr>
            <w:r w:rsidRPr="008F00C4">
              <w:rPr>
                <w:sz w:val="16"/>
                <w:szCs w:val="16"/>
                <w:lang w:val="ru-RU"/>
              </w:rPr>
              <w:t>Ввод в эксплуатацию конфигурации системы</w:t>
            </w:r>
            <w:r>
              <w:rPr>
                <w:sz w:val="16"/>
                <w:szCs w:val="16"/>
                <w:highlight w:val="yellow"/>
                <w:lang w:val="ru-RU"/>
              </w:rPr>
              <w:t xml:space="preserve"> </w:t>
            </w:r>
            <w:r w:rsidRPr="008F00C4">
              <w:rPr>
                <w:sz w:val="16"/>
                <w:szCs w:val="16"/>
                <w:lang w:val="ru-RU"/>
              </w:rPr>
              <w:t xml:space="preserve">УОИК </w:t>
            </w:r>
            <w:r w:rsidRPr="004F389B">
              <w:rPr>
                <w:sz w:val="16"/>
                <w:szCs w:val="16"/>
                <w:lang w:val="ru-RU"/>
              </w:rPr>
              <w:t>«Входящая почта КГД»</w:t>
            </w:r>
          </w:p>
        </w:tc>
        <w:tc>
          <w:tcPr>
            <w:tcW w:w="533" w:type="dxa"/>
            <w:tcBorders>
              <w:top w:val="single" w:sz="4" w:space="0" w:color="auto"/>
              <w:left w:val="nil"/>
              <w:bottom w:val="single" w:sz="4" w:space="0" w:color="auto"/>
              <w:right w:val="single" w:sz="4" w:space="0" w:color="auto"/>
            </w:tcBorders>
            <w:shd w:val="clear" w:color="auto" w:fill="auto"/>
            <w:noWrap/>
            <w:vAlign w:val="bottom"/>
          </w:tcPr>
          <w:p w:rsidR="00C85043" w:rsidRPr="008F00C4" w:rsidRDefault="00C85043" w:rsidP="00C85043">
            <w:pPr>
              <w:rPr>
                <w:rFonts w:cs="Arial"/>
                <w:color w:val="000000"/>
                <w:sz w:val="16"/>
                <w:szCs w:val="16"/>
                <w:lang w:val="ru-RU"/>
              </w:rPr>
            </w:pPr>
          </w:p>
        </w:tc>
        <w:tc>
          <w:tcPr>
            <w:tcW w:w="497" w:type="dxa"/>
            <w:tcBorders>
              <w:top w:val="single" w:sz="4" w:space="0" w:color="auto"/>
              <w:left w:val="nil"/>
              <w:bottom w:val="single" w:sz="4" w:space="0" w:color="auto"/>
              <w:right w:val="single" w:sz="4" w:space="0" w:color="auto"/>
            </w:tcBorders>
            <w:shd w:val="clear" w:color="auto" w:fill="auto"/>
            <w:noWrap/>
            <w:vAlign w:val="bottom"/>
          </w:tcPr>
          <w:p w:rsidR="00C85043" w:rsidRPr="008F00C4"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bottom"/>
          </w:tcPr>
          <w:p w:rsidR="00C85043" w:rsidRPr="008F00C4"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8" w:space="0" w:color="auto"/>
            </w:tcBorders>
            <w:shd w:val="clear" w:color="auto" w:fill="auto"/>
            <w:noWrap/>
            <w:vAlign w:val="center"/>
          </w:tcPr>
          <w:p w:rsidR="00C85043" w:rsidRPr="008F00C4" w:rsidRDefault="00C85043" w:rsidP="00C85043">
            <w:pPr>
              <w:jc w:val="cente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center"/>
          </w:tcPr>
          <w:p w:rsidR="00C85043" w:rsidRPr="008F00C4"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8F00C4"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8F00C4"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8F00C4"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8F00C4"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8F00C4"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8F00C4"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8F00C4"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615"/>
          <w:jc w:val="center"/>
        </w:trPr>
        <w:tc>
          <w:tcPr>
            <w:tcW w:w="1986" w:type="dxa"/>
            <w:tcBorders>
              <w:top w:val="single" w:sz="4" w:space="0" w:color="auto"/>
              <w:left w:val="single" w:sz="8" w:space="0" w:color="auto"/>
              <w:bottom w:val="single" w:sz="4" w:space="0" w:color="auto"/>
              <w:right w:val="single" w:sz="8" w:space="0" w:color="auto"/>
            </w:tcBorders>
            <w:shd w:val="clear" w:color="auto" w:fill="auto"/>
            <w:noWrap/>
            <w:vAlign w:val="bottom"/>
          </w:tcPr>
          <w:p w:rsidR="00C85043" w:rsidRPr="008F00C4" w:rsidRDefault="00C85043" w:rsidP="00C85043">
            <w:pPr>
              <w:keepNext/>
              <w:keepLines/>
              <w:autoSpaceDE w:val="0"/>
              <w:autoSpaceDN w:val="0"/>
              <w:adjustRightInd w:val="0"/>
              <w:spacing w:before="40" w:after="40"/>
              <w:rPr>
                <w:sz w:val="16"/>
                <w:szCs w:val="16"/>
                <w:lang w:val="ru-RU"/>
              </w:rPr>
            </w:pPr>
            <w:r w:rsidRPr="008F00C4">
              <w:rPr>
                <w:sz w:val="16"/>
                <w:szCs w:val="16"/>
              </w:rPr>
              <w:t> </w:t>
            </w:r>
            <w:r w:rsidRPr="008F00C4">
              <w:rPr>
                <w:sz w:val="16"/>
                <w:szCs w:val="16"/>
                <w:lang w:val="ru-RU"/>
              </w:rPr>
              <w:t xml:space="preserve">Ввод в эксплуатацию конфигурации системы УОИК «Система работы с поставщиками и контрактами» </w:t>
            </w:r>
          </w:p>
        </w:tc>
        <w:tc>
          <w:tcPr>
            <w:tcW w:w="533" w:type="dxa"/>
            <w:tcBorders>
              <w:top w:val="single" w:sz="4" w:space="0" w:color="auto"/>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r w:rsidRPr="007F4916">
              <w:rPr>
                <w:rFonts w:cs="Arial"/>
                <w:color w:val="000000"/>
                <w:sz w:val="16"/>
                <w:szCs w:val="16"/>
              </w:rPr>
              <w:t> </w:t>
            </w:r>
          </w:p>
        </w:tc>
        <w:tc>
          <w:tcPr>
            <w:tcW w:w="497" w:type="dxa"/>
            <w:tcBorders>
              <w:top w:val="single" w:sz="4" w:space="0" w:color="auto"/>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single" w:sz="4" w:space="0" w:color="auto"/>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r w:rsidRPr="007F4916">
              <w:rPr>
                <w:rFonts w:cs="Arial"/>
                <w:color w:val="000000"/>
                <w:sz w:val="16"/>
                <w:szCs w:val="16"/>
              </w:rPr>
              <w:t> </w:t>
            </w:r>
          </w:p>
        </w:tc>
        <w:tc>
          <w:tcPr>
            <w:tcW w:w="469" w:type="dxa"/>
            <w:tcBorders>
              <w:top w:val="single" w:sz="4" w:space="0" w:color="auto"/>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449"/>
          <w:jc w:val="center"/>
        </w:trPr>
        <w:tc>
          <w:tcPr>
            <w:tcW w:w="1986" w:type="dxa"/>
            <w:tcBorders>
              <w:top w:val="single" w:sz="4" w:space="0" w:color="auto"/>
              <w:left w:val="single" w:sz="8" w:space="0" w:color="auto"/>
              <w:bottom w:val="single" w:sz="4" w:space="0" w:color="auto"/>
              <w:right w:val="single" w:sz="8" w:space="0" w:color="auto"/>
            </w:tcBorders>
            <w:shd w:val="clear" w:color="auto" w:fill="auto"/>
            <w:noWrap/>
            <w:vAlign w:val="bottom"/>
          </w:tcPr>
          <w:p w:rsidR="00C85043" w:rsidRPr="008F00C4" w:rsidRDefault="00C85043" w:rsidP="00C85043">
            <w:pPr>
              <w:keepNext/>
              <w:keepLines/>
              <w:autoSpaceDE w:val="0"/>
              <w:autoSpaceDN w:val="0"/>
              <w:adjustRightInd w:val="0"/>
              <w:spacing w:before="40" w:after="40"/>
              <w:rPr>
                <w:sz w:val="16"/>
                <w:szCs w:val="16"/>
                <w:lang w:val="ru-RU"/>
              </w:rPr>
            </w:pPr>
            <w:r w:rsidRPr="008F00C4">
              <w:rPr>
                <w:sz w:val="16"/>
                <w:szCs w:val="16"/>
                <w:lang w:val="ru-RU"/>
              </w:rPr>
              <w:t xml:space="preserve">Ввод в эксплуатацию конфигурации системы УОИК «Отчеты о служебных поездках» </w:t>
            </w:r>
          </w:p>
        </w:tc>
        <w:tc>
          <w:tcPr>
            <w:tcW w:w="533" w:type="dxa"/>
            <w:tcBorders>
              <w:top w:val="single" w:sz="4" w:space="0" w:color="auto"/>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p>
        </w:tc>
        <w:tc>
          <w:tcPr>
            <w:tcW w:w="497" w:type="dxa"/>
            <w:tcBorders>
              <w:top w:val="single" w:sz="4" w:space="0" w:color="auto"/>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530"/>
          <w:jc w:val="center"/>
        </w:trPr>
        <w:tc>
          <w:tcPr>
            <w:tcW w:w="1986" w:type="dxa"/>
            <w:tcBorders>
              <w:top w:val="single" w:sz="4" w:space="0" w:color="auto"/>
              <w:left w:val="single" w:sz="8" w:space="0" w:color="auto"/>
              <w:bottom w:val="single" w:sz="4" w:space="0" w:color="auto"/>
              <w:right w:val="single" w:sz="8" w:space="0" w:color="auto"/>
            </w:tcBorders>
            <w:shd w:val="clear" w:color="auto" w:fill="auto"/>
            <w:noWrap/>
            <w:vAlign w:val="bottom"/>
          </w:tcPr>
          <w:p w:rsidR="00C85043" w:rsidRPr="008F00C4" w:rsidRDefault="00C85043" w:rsidP="00C85043">
            <w:pPr>
              <w:keepNext/>
              <w:keepLines/>
              <w:autoSpaceDE w:val="0"/>
              <w:autoSpaceDN w:val="0"/>
              <w:adjustRightInd w:val="0"/>
              <w:spacing w:before="40" w:after="40"/>
              <w:rPr>
                <w:sz w:val="16"/>
                <w:szCs w:val="16"/>
                <w:lang w:val="ru-RU"/>
              </w:rPr>
            </w:pPr>
            <w:r w:rsidRPr="008F00C4">
              <w:rPr>
                <w:sz w:val="16"/>
                <w:szCs w:val="16"/>
                <w:lang w:val="ru-RU"/>
              </w:rPr>
              <w:t xml:space="preserve">Ввод в эксплуатацию конфигурации системы УОИК «Электронные кадровые досье» </w:t>
            </w:r>
          </w:p>
        </w:tc>
        <w:tc>
          <w:tcPr>
            <w:tcW w:w="533" w:type="dxa"/>
            <w:tcBorders>
              <w:top w:val="single" w:sz="4" w:space="0" w:color="auto"/>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p>
        </w:tc>
        <w:tc>
          <w:tcPr>
            <w:tcW w:w="497" w:type="dxa"/>
            <w:tcBorders>
              <w:top w:val="single" w:sz="4" w:space="0" w:color="auto"/>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bottom"/>
          </w:tcPr>
          <w:p w:rsidR="00C85043" w:rsidRPr="00285429"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285429"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p>
        </w:tc>
      </w:tr>
      <w:tr w:rsidR="00C85043" w:rsidRPr="00656CC0" w:rsidTr="00C85043">
        <w:trPr>
          <w:trHeight w:val="890"/>
          <w:jc w:val="center"/>
        </w:trPr>
        <w:tc>
          <w:tcPr>
            <w:tcW w:w="1986" w:type="dxa"/>
            <w:tcBorders>
              <w:top w:val="single" w:sz="4" w:space="0" w:color="auto"/>
              <w:left w:val="single" w:sz="8" w:space="0" w:color="auto"/>
              <w:bottom w:val="single" w:sz="4" w:space="0" w:color="auto"/>
              <w:right w:val="single" w:sz="8" w:space="0" w:color="auto"/>
            </w:tcBorders>
            <w:shd w:val="clear" w:color="auto" w:fill="auto"/>
            <w:noWrap/>
            <w:vAlign w:val="center"/>
          </w:tcPr>
          <w:p w:rsidR="00C85043" w:rsidRPr="008F00C4" w:rsidRDefault="00C85043" w:rsidP="00C85043">
            <w:pPr>
              <w:keepNext/>
              <w:keepLines/>
              <w:autoSpaceDE w:val="0"/>
              <w:autoSpaceDN w:val="0"/>
              <w:adjustRightInd w:val="0"/>
              <w:spacing w:before="40" w:after="40"/>
              <w:rPr>
                <w:sz w:val="16"/>
                <w:szCs w:val="16"/>
                <w:lang w:val="ru-RU"/>
              </w:rPr>
            </w:pPr>
            <w:r w:rsidRPr="008F00C4">
              <w:rPr>
                <w:sz w:val="16"/>
                <w:szCs w:val="16"/>
                <w:lang w:val="ru-RU"/>
              </w:rPr>
              <w:t>Ввод в эксплуатацию конфигурации системы УОИК «Общеорганизационная система УОИК»</w:t>
            </w:r>
          </w:p>
        </w:tc>
        <w:tc>
          <w:tcPr>
            <w:tcW w:w="533" w:type="dxa"/>
            <w:tcBorders>
              <w:top w:val="single" w:sz="4" w:space="0" w:color="auto"/>
              <w:left w:val="nil"/>
              <w:bottom w:val="single" w:sz="4" w:space="0" w:color="auto"/>
              <w:right w:val="single" w:sz="4" w:space="0" w:color="auto"/>
            </w:tcBorders>
            <w:shd w:val="clear" w:color="auto" w:fill="auto"/>
            <w:noWrap/>
            <w:vAlign w:val="bottom"/>
          </w:tcPr>
          <w:p w:rsidR="00C85043" w:rsidRPr="00AB735C" w:rsidRDefault="00C85043" w:rsidP="00C85043">
            <w:pPr>
              <w:rPr>
                <w:rFonts w:cs="Arial"/>
                <w:color w:val="000000"/>
                <w:sz w:val="16"/>
                <w:szCs w:val="16"/>
                <w:lang w:val="ru-RU"/>
              </w:rPr>
            </w:pPr>
          </w:p>
        </w:tc>
        <w:tc>
          <w:tcPr>
            <w:tcW w:w="497" w:type="dxa"/>
            <w:tcBorders>
              <w:top w:val="single" w:sz="4" w:space="0" w:color="auto"/>
              <w:left w:val="nil"/>
              <w:bottom w:val="single" w:sz="4" w:space="0" w:color="auto"/>
              <w:right w:val="single" w:sz="4" w:space="0" w:color="auto"/>
            </w:tcBorders>
            <w:shd w:val="clear" w:color="auto" w:fill="auto"/>
            <w:noWrap/>
            <w:vAlign w:val="bottom"/>
          </w:tcPr>
          <w:p w:rsidR="00C85043" w:rsidRPr="00AB735C"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bottom"/>
          </w:tcPr>
          <w:p w:rsidR="00C85043" w:rsidRPr="00AB735C" w:rsidRDefault="00C85043" w:rsidP="00C85043">
            <w:pPr>
              <w:rPr>
                <w:rFonts w:cs="Arial"/>
                <w:color w:val="000000"/>
                <w:sz w:val="16"/>
                <w:szCs w:val="16"/>
                <w:lang w:val="ru-RU"/>
              </w:rPr>
            </w:pPr>
          </w:p>
        </w:tc>
        <w:tc>
          <w:tcPr>
            <w:tcW w:w="469" w:type="dxa"/>
            <w:tcBorders>
              <w:top w:val="single" w:sz="4" w:space="0" w:color="auto"/>
              <w:left w:val="nil"/>
              <w:bottom w:val="single" w:sz="4" w:space="0" w:color="auto"/>
              <w:right w:val="single" w:sz="8"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9" w:type="dxa"/>
            <w:tcBorders>
              <w:top w:val="single" w:sz="4" w:space="0" w:color="auto"/>
              <w:left w:val="nil"/>
              <w:bottom w:val="single" w:sz="4" w:space="0" w:color="auto"/>
              <w:right w:val="single" w:sz="4"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4" w:space="0" w:color="auto"/>
            </w:tcBorders>
            <w:shd w:val="clear" w:color="auto" w:fill="auto"/>
            <w:noWrap/>
            <w:vAlign w:val="center"/>
          </w:tcPr>
          <w:p w:rsidR="00C85043" w:rsidRPr="00AB735C" w:rsidRDefault="00C85043" w:rsidP="00C85043">
            <w:pPr>
              <w:jc w:val="center"/>
              <w:rPr>
                <w:rFonts w:cs="Arial"/>
                <w:color w:val="000000"/>
                <w:sz w:val="16"/>
                <w:szCs w:val="16"/>
                <w:lang w:val="ru-RU"/>
              </w:rPr>
            </w:pPr>
          </w:p>
        </w:tc>
        <w:tc>
          <w:tcPr>
            <w:tcW w:w="468" w:type="dxa"/>
            <w:tcBorders>
              <w:top w:val="single" w:sz="4" w:space="0" w:color="auto"/>
              <w:left w:val="nil"/>
              <w:bottom w:val="single" w:sz="4" w:space="0" w:color="auto"/>
              <w:right w:val="single" w:sz="8" w:space="0" w:color="auto"/>
            </w:tcBorders>
            <w:shd w:val="clear" w:color="auto" w:fill="auto"/>
            <w:noWrap/>
            <w:vAlign w:val="center"/>
          </w:tcPr>
          <w:p w:rsidR="00C85043" w:rsidRPr="007F4916" w:rsidRDefault="00C85043" w:rsidP="00C85043">
            <w:pPr>
              <w:jc w:val="center"/>
              <w:rPr>
                <w:rFonts w:cs="Arial"/>
                <w:color w:val="000000"/>
                <w:sz w:val="16"/>
                <w:szCs w:val="16"/>
              </w:rPr>
            </w:pPr>
            <w:r>
              <w:rPr>
                <w:rFonts w:cs="Arial"/>
                <w:color w:val="000000"/>
                <w:sz w:val="16"/>
                <w:szCs w:val="16"/>
              </w:rPr>
              <w:t>X</w:t>
            </w:r>
          </w:p>
        </w:tc>
      </w:tr>
    </w:tbl>
    <w:p w:rsidR="00C85043" w:rsidRDefault="00C85043" w:rsidP="00C85043"/>
    <w:p w:rsidR="00C85043" w:rsidRDefault="00C85043" w:rsidP="00C85043"/>
    <w:p w:rsidR="00C85043" w:rsidRDefault="00C85043" w:rsidP="00C85043">
      <w:pPr>
        <w:spacing w:after="200" w:line="276" w:lineRule="auto"/>
        <w:rPr>
          <w:b/>
          <w:szCs w:val="20"/>
        </w:rPr>
      </w:pPr>
      <w:r>
        <w:rPr>
          <w:b/>
          <w:szCs w:val="20"/>
        </w:rPr>
        <w:br w:type="page"/>
      </w:r>
    </w:p>
    <w:p w:rsidR="00C85043" w:rsidRPr="007A7ED0" w:rsidRDefault="00C85043" w:rsidP="00C85043">
      <w:pPr>
        <w:rPr>
          <w:b/>
          <w:szCs w:val="20"/>
        </w:rPr>
      </w:pPr>
      <w:r>
        <w:rPr>
          <w:b/>
          <w:szCs w:val="20"/>
        </w:rPr>
        <w:t>ПРОЕКТЫ, СВЯЗАННЫЕ СО ЗДАНИЯМИ</w:t>
      </w:r>
    </w:p>
    <w:p w:rsidR="00C85043" w:rsidRPr="008F00C4" w:rsidRDefault="00C85043" w:rsidP="00C85043">
      <w:pPr>
        <w:pStyle w:val="StyleHeading3BoldNounderline"/>
        <w:ind w:left="1440" w:hanging="1440"/>
        <w:rPr>
          <w:b/>
          <w:sz w:val="20"/>
          <w:szCs w:val="20"/>
          <w:lang w:val="ru-RU"/>
        </w:rPr>
      </w:pPr>
      <w:bookmarkStart w:id="149" w:name="_Toc422210525"/>
      <w:bookmarkStart w:id="150" w:name="_Toc455388148"/>
      <w:r w:rsidRPr="008F00C4">
        <w:rPr>
          <w:b/>
          <w:sz w:val="20"/>
          <w:szCs w:val="20"/>
          <w:lang w:val="ru-RU"/>
        </w:rPr>
        <w:t>ПРОЕКТ 3</w:t>
      </w:r>
      <w:r w:rsidRPr="008F00C4">
        <w:rPr>
          <w:b/>
          <w:sz w:val="20"/>
          <w:szCs w:val="20"/>
          <w:lang w:val="ru-RU"/>
        </w:rPr>
        <w:tab/>
      </w:r>
      <w:r w:rsidRPr="00861CB1">
        <w:rPr>
          <w:b/>
          <w:sz w:val="20"/>
          <w:szCs w:val="20"/>
          <w:lang w:val="ru-RU"/>
        </w:rPr>
        <w:t>РЕКОНСТРУКЦИ</w:t>
      </w:r>
      <w:r>
        <w:rPr>
          <w:b/>
          <w:sz w:val="20"/>
          <w:szCs w:val="20"/>
          <w:lang w:val="ru-RU"/>
        </w:rPr>
        <w:t xml:space="preserve">Я </w:t>
      </w:r>
      <w:r w:rsidRPr="008F00C4">
        <w:rPr>
          <w:b/>
          <w:sz w:val="20"/>
          <w:szCs w:val="20"/>
          <w:lang w:val="ru-RU"/>
        </w:rPr>
        <w:t>ФАСАДОВ И УСТАНОВКА ОБОРУДОВАНИЯ ОХЛАЖДЕНИЯ/ОТОПИТЕЛЬНОГО ОБОРУДОВАНИЯ В ЗДАНИИ РСТ</w:t>
      </w:r>
      <w:r>
        <w:rPr>
          <w:b/>
          <w:sz w:val="20"/>
          <w:szCs w:val="20"/>
          <w:lang w:val="ru-RU"/>
        </w:rPr>
        <w:t xml:space="preserve"> </w:t>
      </w:r>
      <w:r w:rsidRPr="008F00C4">
        <w:rPr>
          <w:b/>
          <w:sz w:val="20"/>
          <w:szCs w:val="20"/>
          <w:lang w:val="ru-RU"/>
        </w:rPr>
        <w:t>(ГПКР</w:t>
      </w:r>
      <w:r>
        <w:rPr>
          <w:b/>
          <w:sz w:val="20"/>
          <w:szCs w:val="20"/>
          <w:lang w:val="ru-RU"/>
        </w:rPr>
        <w:t>-</w:t>
      </w:r>
      <w:r w:rsidRPr="008F00C4">
        <w:rPr>
          <w:b/>
          <w:sz w:val="20"/>
          <w:szCs w:val="20"/>
          <w:lang w:val="ru-RU"/>
        </w:rPr>
        <w:t>3)</w:t>
      </w:r>
      <w:bookmarkEnd w:id="149"/>
      <w:bookmarkEnd w:id="150"/>
    </w:p>
    <w:p w:rsidR="00C85043" w:rsidRPr="008F00C4" w:rsidRDefault="00C85043" w:rsidP="00C85043">
      <w:pPr>
        <w:rPr>
          <w:b/>
          <w:lang w:val="ru-RU"/>
        </w:rPr>
      </w:pPr>
    </w:p>
    <w:p w:rsidR="00C85043" w:rsidRPr="0055183A" w:rsidRDefault="00C85043" w:rsidP="00C85043">
      <w:pPr>
        <w:rPr>
          <w:b/>
          <w:lang w:val="ru-RU"/>
        </w:rPr>
      </w:pPr>
      <w:r w:rsidRPr="002F5531">
        <w:rPr>
          <w:b/>
          <w:lang w:val="ru-RU"/>
        </w:rPr>
        <w:t>Руководитель</w:t>
      </w:r>
      <w:r w:rsidRPr="0055183A">
        <w:rPr>
          <w:b/>
          <w:lang w:val="ru-RU"/>
        </w:rPr>
        <w:t xml:space="preserve"> </w:t>
      </w:r>
      <w:r w:rsidRPr="002F5531">
        <w:rPr>
          <w:b/>
          <w:lang w:val="ru-RU"/>
        </w:rPr>
        <w:t>проекта</w:t>
      </w:r>
      <w:r w:rsidRPr="0055183A">
        <w:rPr>
          <w:b/>
          <w:lang w:val="ru-RU"/>
        </w:rPr>
        <w:t xml:space="preserve"> </w:t>
      </w:r>
      <w:r w:rsidRPr="0055183A">
        <w:rPr>
          <w:b/>
          <w:lang w:val="ru-RU"/>
        </w:rPr>
        <w:tab/>
      </w:r>
      <w:r>
        <w:rPr>
          <w:b/>
          <w:lang w:val="ru-RU"/>
        </w:rPr>
        <w:t>А</w:t>
      </w:r>
      <w:r w:rsidRPr="0055183A">
        <w:rPr>
          <w:b/>
          <w:lang w:val="ru-RU"/>
        </w:rPr>
        <w:t xml:space="preserve">. </w:t>
      </w:r>
      <w:r>
        <w:rPr>
          <w:b/>
          <w:lang w:val="ru-RU"/>
        </w:rPr>
        <w:t>ФАВЕРО</w:t>
      </w:r>
    </w:p>
    <w:p w:rsidR="00C85043" w:rsidRPr="0055183A" w:rsidRDefault="00C85043" w:rsidP="00C85043">
      <w:pPr>
        <w:rPr>
          <w:b/>
          <w:lang w:val="ru-RU"/>
        </w:rPr>
      </w:pPr>
    </w:p>
    <w:p w:rsidR="00C85043" w:rsidRPr="0055183A" w:rsidRDefault="00C85043" w:rsidP="00C85043">
      <w:pPr>
        <w:rPr>
          <w:bCs/>
          <w:szCs w:val="20"/>
          <w:lang w:val="ru-RU"/>
        </w:rPr>
      </w:pPr>
    </w:p>
    <w:p w:rsidR="00C85043" w:rsidRPr="0055183A" w:rsidRDefault="00C85043" w:rsidP="00C85043">
      <w:pPr>
        <w:rPr>
          <w:bCs/>
          <w:szCs w:val="22"/>
          <w:lang w:val="ru-RU"/>
        </w:rPr>
      </w:pPr>
      <w:r>
        <w:rPr>
          <w:bCs/>
          <w:szCs w:val="22"/>
          <w:lang w:val="ru-RU"/>
        </w:rPr>
        <w:t>ОЖИДАЕМЫЕ</w:t>
      </w:r>
      <w:r w:rsidRPr="0055183A">
        <w:rPr>
          <w:bCs/>
          <w:szCs w:val="22"/>
          <w:lang w:val="ru-RU"/>
        </w:rPr>
        <w:t xml:space="preserve"> </w:t>
      </w:r>
      <w:r>
        <w:rPr>
          <w:bCs/>
          <w:szCs w:val="22"/>
          <w:lang w:val="ru-RU"/>
        </w:rPr>
        <w:t>РЕЗУЛЬТАТЫ</w:t>
      </w:r>
    </w:p>
    <w:p w:rsidR="00C85043" w:rsidRPr="0055183A" w:rsidRDefault="00C85043" w:rsidP="00C85043">
      <w:pPr>
        <w:rPr>
          <w:bCs/>
          <w:szCs w:val="20"/>
          <w:lang w:val="ru-RU"/>
        </w:rPr>
      </w:pPr>
    </w:p>
    <w:p w:rsidR="00C85043" w:rsidRPr="001A104A" w:rsidRDefault="00C85043" w:rsidP="00C85043">
      <w:pPr>
        <w:rPr>
          <w:i/>
          <w:iCs/>
          <w:szCs w:val="20"/>
          <w:lang w:val="ru-RU"/>
        </w:rPr>
      </w:pPr>
      <w:r w:rsidRPr="000C1DF7">
        <w:rPr>
          <w:i/>
          <w:iCs/>
          <w:szCs w:val="20"/>
        </w:rPr>
        <w:t>IX</w:t>
      </w:r>
      <w:r w:rsidRPr="001A104A">
        <w:rPr>
          <w:i/>
          <w:iCs/>
          <w:szCs w:val="20"/>
          <w:lang w:val="ru-RU"/>
        </w:rPr>
        <w:t xml:space="preserve">.1  </w:t>
      </w:r>
      <w:r w:rsidRPr="008F00C4">
        <w:rPr>
          <w:i/>
          <w:iCs/>
          <w:szCs w:val="20"/>
          <w:lang w:val="ru-RU"/>
        </w:rPr>
        <w:t>Эффективная, оперативная и качественная поддержка, ориентированная на нужды клиентов и оказываемая как внутренним пользователям, так и внешним партнерам</w:t>
      </w:r>
    </w:p>
    <w:p w:rsidR="00C85043" w:rsidRPr="001A104A" w:rsidRDefault="00C85043" w:rsidP="00C85043">
      <w:pPr>
        <w:rPr>
          <w:bCs/>
          <w:color w:val="000000"/>
          <w:szCs w:val="20"/>
          <w:lang w:val="ru-RU"/>
        </w:rPr>
      </w:pPr>
    </w:p>
    <w:p w:rsidR="00C85043" w:rsidRPr="001A104A" w:rsidRDefault="00C85043" w:rsidP="00C85043">
      <w:pPr>
        <w:rPr>
          <w:bCs/>
          <w:color w:val="000000"/>
          <w:szCs w:val="20"/>
          <w:lang w:val="ru-RU"/>
        </w:rPr>
      </w:pPr>
    </w:p>
    <w:p w:rsidR="00C85043" w:rsidRPr="00EC516A" w:rsidRDefault="00C85043" w:rsidP="00C85043">
      <w:pPr>
        <w:rPr>
          <w:bCs/>
          <w:szCs w:val="22"/>
          <w:lang w:val="ru-RU"/>
        </w:rPr>
      </w:pPr>
      <w:r>
        <w:rPr>
          <w:bCs/>
          <w:color w:val="000000"/>
          <w:szCs w:val="22"/>
          <w:lang w:val="ru-RU"/>
        </w:rPr>
        <w:t>ЦЕЛИ, ОБЪЕМ ЗАДАЧ И МЕТОДОЛОГИЯ: СПРАВОЧНАЯ ИНФОРМАЦИЯ</w:t>
      </w:r>
    </w:p>
    <w:p w:rsidR="00C85043" w:rsidRPr="00EC516A" w:rsidRDefault="00C85043" w:rsidP="00C85043">
      <w:pPr>
        <w:rPr>
          <w:bCs/>
          <w:szCs w:val="20"/>
          <w:lang w:val="ru-RU"/>
        </w:rPr>
      </w:pPr>
    </w:p>
    <w:p w:rsidR="00C85043" w:rsidRPr="00852B94" w:rsidRDefault="00C85043" w:rsidP="00BF61DC">
      <w:pPr>
        <w:pStyle w:val="ONUME"/>
        <w:numPr>
          <w:ilvl w:val="0"/>
          <w:numId w:val="111"/>
        </w:numPr>
        <w:tabs>
          <w:tab w:val="left" w:pos="567"/>
        </w:tabs>
        <w:ind w:left="0" w:firstLine="0"/>
        <w:jc w:val="both"/>
        <w:rPr>
          <w:lang w:val="ru-RU"/>
        </w:rPr>
      </w:pPr>
      <w:r w:rsidRPr="008F00C4">
        <w:rPr>
          <w:lang w:val="ru-RU"/>
        </w:rPr>
        <w:t>Проект преследует две цели: (</w:t>
      </w:r>
      <w:r w:rsidRPr="008F00C4">
        <w:t>i</w:t>
      </w:r>
      <w:r w:rsidRPr="008F00C4">
        <w:rPr>
          <w:lang w:val="ru-RU"/>
        </w:rPr>
        <w:t>) полную замену подвесного потолка для установки систем охлаждения и отопления на верхних этажах здания РСТ и (</w:t>
      </w:r>
      <w:r w:rsidRPr="008F00C4">
        <w:t>ii</w:t>
      </w:r>
      <w:r w:rsidRPr="008F00C4">
        <w:rPr>
          <w:lang w:val="ru-RU"/>
        </w:rPr>
        <w:t xml:space="preserve">) масштабное обновление структурных элементов всех фасадов этого здания (иными словами, </w:t>
      </w:r>
      <w:r w:rsidRPr="00861CB1">
        <w:rPr>
          <w:lang w:val="ru-RU"/>
        </w:rPr>
        <w:t>работ</w:t>
      </w:r>
      <w:r>
        <w:rPr>
          <w:lang w:val="ru-RU"/>
        </w:rPr>
        <w:t>ы не затрагивают сами окна</w:t>
      </w:r>
      <w:r w:rsidRPr="008F00C4">
        <w:rPr>
          <w:lang w:val="ru-RU"/>
        </w:rPr>
        <w:t xml:space="preserve">). </w:t>
      </w:r>
      <w:r>
        <w:rPr>
          <w:lang w:val="ru-RU"/>
        </w:rPr>
        <w:t xml:space="preserve">В последние годы стало ясно, что практику ремонтов </w:t>
      </w:r>
      <w:r w:rsidRPr="00852B94">
        <w:rPr>
          <w:lang w:val="ru-RU"/>
        </w:rPr>
        <w:t>ограниченн</w:t>
      </w:r>
      <w:r>
        <w:rPr>
          <w:lang w:val="ru-RU"/>
        </w:rPr>
        <w:t xml:space="preserve">ого </w:t>
      </w:r>
      <w:r w:rsidRPr="00852B94">
        <w:rPr>
          <w:lang w:val="ru-RU"/>
        </w:rPr>
        <w:t>масштаб</w:t>
      </w:r>
      <w:r>
        <w:rPr>
          <w:lang w:val="ru-RU"/>
        </w:rPr>
        <w:t xml:space="preserve">а для устранения локальных </w:t>
      </w:r>
      <w:r w:rsidRPr="00852B94">
        <w:rPr>
          <w:lang w:val="ru-RU"/>
        </w:rPr>
        <w:t>проблем</w:t>
      </w:r>
      <w:r>
        <w:rPr>
          <w:lang w:val="ru-RU"/>
        </w:rPr>
        <w:t xml:space="preserve">  </w:t>
      </w:r>
      <w:r w:rsidRPr="008F00C4">
        <w:rPr>
          <w:lang w:val="ru-RU"/>
        </w:rPr>
        <w:t xml:space="preserve">– например, </w:t>
      </w:r>
      <w:r>
        <w:rPr>
          <w:lang w:val="ru-RU"/>
        </w:rPr>
        <w:t xml:space="preserve">аварийных ремонтов </w:t>
      </w:r>
      <w:r w:rsidRPr="008F00C4">
        <w:rPr>
          <w:lang w:val="ru-RU"/>
        </w:rPr>
        <w:t xml:space="preserve">и </w:t>
      </w:r>
      <w:r>
        <w:rPr>
          <w:lang w:val="ru-RU"/>
        </w:rPr>
        <w:t xml:space="preserve">мероприятий при неконтролируемой </w:t>
      </w:r>
      <w:r w:rsidRPr="00852B94">
        <w:rPr>
          <w:lang w:val="ru-RU"/>
        </w:rPr>
        <w:t>чрезмерн</w:t>
      </w:r>
      <w:r>
        <w:rPr>
          <w:lang w:val="ru-RU"/>
        </w:rPr>
        <w:t>о высокой</w:t>
      </w:r>
      <w:r w:rsidRPr="008F00C4">
        <w:rPr>
          <w:lang w:val="ru-RU"/>
        </w:rPr>
        <w:t xml:space="preserve"> или низк</w:t>
      </w:r>
      <w:r>
        <w:rPr>
          <w:lang w:val="ru-RU"/>
        </w:rPr>
        <w:t>ой</w:t>
      </w:r>
      <w:r w:rsidRPr="008F00C4">
        <w:rPr>
          <w:lang w:val="ru-RU"/>
        </w:rPr>
        <w:t xml:space="preserve"> </w:t>
      </w:r>
      <w:r>
        <w:rPr>
          <w:lang w:val="ru-RU"/>
        </w:rPr>
        <w:t xml:space="preserve">температуре внутри помещений, применявшуюся </w:t>
      </w:r>
      <w:r w:rsidRPr="00852B94">
        <w:rPr>
          <w:lang w:val="ru-RU"/>
        </w:rPr>
        <w:t>в течение</w:t>
      </w:r>
      <w:r>
        <w:rPr>
          <w:lang w:val="ru-RU"/>
        </w:rPr>
        <w:t xml:space="preserve"> примерно </w:t>
      </w:r>
      <w:r w:rsidRPr="008F00C4">
        <w:rPr>
          <w:lang w:val="ru-RU"/>
        </w:rPr>
        <w:t xml:space="preserve">10 лет, </w:t>
      </w:r>
      <w:r>
        <w:rPr>
          <w:lang w:val="ru-RU"/>
        </w:rPr>
        <w:t>нельзя более считать оправданной</w:t>
      </w:r>
      <w:r w:rsidRPr="008F00C4">
        <w:rPr>
          <w:lang w:val="ru-RU"/>
        </w:rPr>
        <w:t xml:space="preserve">. </w:t>
      </w:r>
      <w:r w:rsidRPr="00852B94">
        <w:rPr>
          <w:lang w:val="ru-RU"/>
        </w:rPr>
        <w:t xml:space="preserve"> Кроме того, некоторых компонентов установленного оборудования отопления и охлаждения уже нет в продаже и к ним нельзя купить запасные части, что в краткосрочной перспективе представляет угрозу для работоспособности всего оборудования охлаждения и отопления в здании.   Перерасход энергии, вызванный дефектами систем и оборудования, а также дефектными структурными элементами фасадов</w:t>
      </w:r>
      <w:r>
        <w:rPr>
          <w:lang w:val="ru-RU"/>
        </w:rPr>
        <w:t>,</w:t>
      </w:r>
      <w:r w:rsidRPr="00852B94">
        <w:rPr>
          <w:lang w:val="ru-RU"/>
        </w:rPr>
        <w:t xml:space="preserve"> весьма значителен и год за годом будет только возрастать. Техническ</w:t>
      </w:r>
      <w:r>
        <w:rPr>
          <w:lang w:val="ru-RU"/>
        </w:rPr>
        <w:t>ий</w:t>
      </w:r>
      <w:r w:rsidRPr="00852B94">
        <w:rPr>
          <w:lang w:val="ru-RU"/>
        </w:rPr>
        <w:t xml:space="preserve"> аудит систем</w:t>
      </w:r>
      <w:r>
        <w:rPr>
          <w:lang w:val="ru-RU"/>
        </w:rPr>
        <w:t>ы</w:t>
      </w:r>
      <w:r w:rsidRPr="00852B94">
        <w:rPr>
          <w:lang w:val="ru-RU"/>
        </w:rPr>
        <w:t xml:space="preserve"> охлаждения и отопления </w:t>
      </w:r>
      <w:r>
        <w:rPr>
          <w:lang w:val="ru-RU"/>
        </w:rPr>
        <w:t xml:space="preserve">был </w:t>
      </w:r>
      <w:r w:rsidRPr="00852B94">
        <w:rPr>
          <w:lang w:val="ru-RU"/>
        </w:rPr>
        <w:t>выполнен</w:t>
      </w:r>
      <w:r>
        <w:rPr>
          <w:lang w:val="ru-RU"/>
        </w:rPr>
        <w:t xml:space="preserve"> </w:t>
      </w:r>
      <w:r w:rsidRPr="00852B94">
        <w:rPr>
          <w:lang w:val="ru-RU"/>
        </w:rPr>
        <w:t>в 2011</w:t>
      </w:r>
      <w:r>
        <w:t> </w:t>
      </w:r>
      <w:r w:rsidRPr="00852B94">
        <w:rPr>
          <w:lang w:val="ru-RU"/>
        </w:rPr>
        <w:t>г.</w:t>
      </w:r>
      <w:r>
        <w:rPr>
          <w:lang w:val="ru-RU"/>
        </w:rPr>
        <w:t>,</w:t>
      </w:r>
      <w:r w:rsidRPr="00852B94">
        <w:rPr>
          <w:lang w:val="ru-RU"/>
        </w:rPr>
        <w:t xml:space="preserve"> </w:t>
      </w:r>
      <w:r>
        <w:rPr>
          <w:lang w:val="ru-RU"/>
        </w:rPr>
        <w:t xml:space="preserve">а </w:t>
      </w:r>
      <w:r w:rsidRPr="00852B94">
        <w:rPr>
          <w:lang w:val="ru-RU"/>
        </w:rPr>
        <w:t>техническ</w:t>
      </w:r>
      <w:r>
        <w:rPr>
          <w:lang w:val="ru-RU"/>
        </w:rPr>
        <w:t>ий</w:t>
      </w:r>
      <w:r w:rsidRPr="00852B94">
        <w:rPr>
          <w:lang w:val="ru-RU"/>
        </w:rPr>
        <w:t xml:space="preserve"> аудит </w:t>
      </w:r>
      <w:r>
        <w:rPr>
          <w:lang w:val="ru-RU"/>
        </w:rPr>
        <w:t xml:space="preserve">фасадов </w:t>
      </w:r>
      <w:r w:rsidRPr="00852B94">
        <w:rPr>
          <w:rFonts w:eastAsia="+mn-ea"/>
          <w:lang w:val="ru-RU" w:eastAsia="en-US"/>
        </w:rPr>
        <w:t>–</w:t>
      </w:r>
      <w:r>
        <w:rPr>
          <w:lang w:val="ru-RU"/>
        </w:rPr>
        <w:t xml:space="preserve"> </w:t>
      </w:r>
      <w:r w:rsidRPr="00852B94">
        <w:rPr>
          <w:lang w:val="ru-RU"/>
        </w:rPr>
        <w:t xml:space="preserve">в течение первой </w:t>
      </w:r>
      <w:r>
        <w:rPr>
          <w:lang w:val="ru-RU"/>
        </w:rPr>
        <w:t xml:space="preserve">половины </w:t>
      </w:r>
      <w:r w:rsidRPr="00852B94">
        <w:rPr>
          <w:lang w:val="ru-RU"/>
        </w:rPr>
        <w:t>2013 г.</w:t>
      </w:r>
    </w:p>
    <w:p w:rsidR="00C85043" w:rsidRPr="00AB735C" w:rsidRDefault="00C85043" w:rsidP="00BF61DC">
      <w:pPr>
        <w:pStyle w:val="ONUME"/>
        <w:numPr>
          <w:ilvl w:val="0"/>
          <w:numId w:val="111"/>
        </w:numPr>
        <w:tabs>
          <w:tab w:val="left" w:pos="567"/>
        </w:tabs>
        <w:ind w:left="0" w:firstLine="0"/>
        <w:jc w:val="both"/>
        <w:rPr>
          <w:lang w:val="ru-RU"/>
        </w:rPr>
      </w:pPr>
      <w:r w:rsidRPr="00501B11">
        <w:rPr>
          <w:lang w:val="ru-RU"/>
        </w:rPr>
        <w:t xml:space="preserve">Ожидаемые результаты реконструкции </w:t>
      </w:r>
      <w:r w:rsidRPr="00501B11">
        <w:rPr>
          <w:rFonts w:eastAsia="+mn-ea"/>
          <w:lang w:val="ru-RU" w:eastAsia="en-US"/>
        </w:rPr>
        <w:t>–</w:t>
      </w:r>
      <w:r w:rsidRPr="00501B11">
        <w:rPr>
          <w:lang w:val="ru-RU"/>
        </w:rPr>
        <w:t xml:space="preserve"> полностью работоспособные и надежные системы охлаждения и отопления и фасады, а также существенное снижение потребления энергии в результате устранения неоправданного расхода энергии, наблюдающегося в настоящее время. </w:t>
      </w:r>
      <w:r w:rsidRPr="00AB735C">
        <w:rPr>
          <w:lang w:val="ru-RU"/>
        </w:rPr>
        <w:t xml:space="preserve"> </w:t>
      </w:r>
    </w:p>
    <w:p w:rsidR="00C85043" w:rsidRPr="008F14AC" w:rsidRDefault="00C85043" w:rsidP="00BF61DC">
      <w:pPr>
        <w:pStyle w:val="ONUME"/>
        <w:numPr>
          <w:ilvl w:val="0"/>
          <w:numId w:val="111"/>
        </w:numPr>
        <w:tabs>
          <w:tab w:val="left" w:pos="567"/>
        </w:tabs>
        <w:ind w:left="0" w:firstLine="0"/>
        <w:jc w:val="both"/>
        <w:rPr>
          <w:bCs/>
          <w:lang w:val="ru-RU"/>
        </w:rPr>
      </w:pPr>
      <w:r w:rsidRPr="008F14AC">
        <w:rPr>
          <w:bCs/>
          <w:color w:val="000000"/>
          <w:lang w:val="ru-RU"/>
        </w:rPr>
        <w:t xml:space="preserve">Проект преследует следующие цели: (i) сокращение теплопотерь (фасады); (ii) сокращение энергопотребления (установка теплоизоляционных фальш-потолков и фасадов);  (iii) улучшение технической базы для сокращения потребности в техобслуживании (установка теплоизоляционных фальш-потолков и фасадов); (iv) </w:t>
      </w:r>
      <w:r>
        <w:rPr>
          <w:bCs/>
          <w:color w:val="000000"/>
          <w:lang w:val="ru-RU"/>
        </w:rPr>
        <w:t xml:space="preserve">улучшение </w:t>
      </w:r>
      <w:r w:rsidRPr="00861CB1">
        <w:rPr>
          <w:bCs/>
          <w:color w:val="000000"/>
          <w:lang w:val="ru-RU"/>
        </w:rPr>
        <w:t>услови</w:t>
      </w:r>
      <w:r>
        <w:rPr>
          <w:bCs/>
          <w:color w:val="000000"/>
          <w:lang w:val="ru-RU"/>
        </w:rPr>
        <w:t xml:space="preserve">й </w:t>
      </w:r>
      <w:r w:rsidRPr="00861CB1">
        <w:rPr>
          <w:bCs/>
          <w:color w:val="000000"/>
          <w:lang w:val="ru-RU"/>
        </w:rPr>
        <w:t>работ</w:t>
      </w:r>
      <w:r>
        <w:rPr>
          <w:bCs/>
          <w:color w:val="000000"/>
          <w:lang w:val="ru-RU"/>
        </w:rPr>
        <w:t xml:space="preserve">ы </w:t>
      </w:r>
      <w:r w:rsidRPr="008F14AC">
        <w:rPr>
          <w:bCs/>
          <w:color w:val="000000"/>
          <w:lang w:val="ru-RU"/>
        </w:rPr>
        <w:t>сотрудников;  (v) использ</w:t>
      </w:r>
      <w:r>
        <w:rPr>
          <w:bCs/>
          <w:color w:val="000000"/>
          <w:lang w:val="ru-RU"/>
        </w:rPr>
        <w:t>ование новой, более экологичной</w:t>
      </w:r>
      <w:r w:rsidRPr="008F14AC">
        <w:rPr>
          <w:bCs/>
          <w:color w:val="000000"/>
          <w:lang w:val="ru-RU"/>
        </w:rPr>
        <w:t xml:space="preserve"> технологии; и (vi) модернизация с целью продления срока службы (теплоизоляционных фальш-потолков). </w:t>
      </w:r>
    </w:p>
    <w:p w:rsidR="00C85043" w:rsidRPr="000C5D6F" w:rsidRDefault="00C85043" w:rsidP="00C85043">
      <w:pPr>
        <w:rPr>
          <w:bCs/>
          <w:color w:val="000000"/>
          <w:sz w:val="18"/>
          <w:szCs w:val="20"/>
          <w:lang w:val="ru-RU"/>
        </w:rPr>
      </w:pPr>
      <w:r w:rsidRPr="000C5D6F">
        <w:rPr>
          <w:bCs/>
          <w:color w:val="000000"/>
          <w:szCs w:val="22"/>
          <w:lang w:val="ru-RU"/>
        </w:rPr>
        <w:t xml:space="preserve">ОБЗОР ХОДА РЕАЛИЗАЦИИ ПРОЕКТА В 2015 ГОДУ </w:t>
      </w:r>
      <w:r>
        <w:rPr>
          <w:bCs/>
          <w:color w:val="000000"/>
          <w:szCs w:val="22"/>
          <w:lang w:val="ru-RU"/>
        </w:rPr>
        <w:t xml:space="preserve">(ОСНОВНЫЕ </w:t>
      </w:r>
      <w:r w:rsidRPr="006F4949">
        <w:rPr>
          <w:bCs/>
          <w:color w:val="000000"/>
          <w:szCs w:val="22"/>
          <w:lang w:val="ru-RU"/>
        </w:rPr>
        <w:t>РЕЗУЛЬТАТ</w:t>
      </w:r>
      <w:r>
        <w:rPr>
          <w:bCs/>
          <w:color w:val="000000"/>
          <w:szCs w:val="22"/>
          <w:lang w:val="ru-RU"/>
        </w:rPr>
        <w:t>Ы)</w:t>
      </w:r>
    </w:p>
    <w:p w:rsidR="00C85043" w:rsidRPr="000C5D6F" w:rsidRDefault="00C85043" w:rsidP="00C85043">
      <w:pPr>
        <w:autoSpaceDE w:val="0"/>
        <w:autoSpaceDN w:val="0"/>
        <w:adjustRightInd w:val="0"/>
        <w:rPr>
          <w:rFonts w:eastAsia="Calibri" w:cs="Arial"/>
          <w:color w:val="000000"/>
          <w:sz w:val="18"/>
          <w:szCs w:val="20"/>
          <w:lang w:val="ru-RU"/>
        </w:rPr>
      </w:pPr>
    </w:p>
    <w:p w:rsidR="00C85043" w:rsidRPr="008F14AC" w:rsidRDefault="00C85043" w:rsidP="00BF61DC">
      <w:pPr>
        <w:pStyle w:val="ONUME"/>
        <w:numPr>
          <w:ilvl w:val="0"/>
          <w:numId w:val="111"/>
        </w:numPr>
        <w:tabs>
          <w:tab w:val="left" w:pos="567"/>
        </w:tabs>
        <w:ind w:left="0" w:firstLine="0"/>
        <w:jc w:val="both"/>
        <w:rPr>
          <w:rFonts w:eastAsia="Calibri"/>
          <w:color w:val="000000"/>
          <w:lang w:val="ru-RU"/>
        </w:rPr>
      </w:pPr>
      <w:r w:rsidRPr="008F14AC">
        <w:rPr>
          <w:lang w:val="ru-RU"/>
        </w:rPr>
        <w:t xml:space="preserve">В 2014 г. году были достигнуты следующие результаты: </w:t>
      </w:r>
      <w:r w:rsidRPr="008F14AC">
        <w:rPr>
          <w:rFonts w:eastAsia="Calibri"/>
          <w:color w:val="000000"/>
          <w:lang w:val="ru-RU"/>
        </w:rPr>
        <w:t xml:space="preserve"> </w:t>
      </w:r>
    </w:p>
    <w:p w:rsidR="00C85043" w:rsidRPr="008F14AC" w:rsidRDefault="00C85043" w:rsidP="00BF61DC">
      <w:pPr>
        <w:pStyle w:val="ListParagraph"/>
        <w:numPr>
          <w:ilvl w:val="0"/>
          <w:numId w:val="121"/>
        </w:numPr>
        <w:autoSpaceDE w:val="0"/>
        <w:autoSpaceDN w:val="0"/>
        <w:adjustRightInd w:val="0"/>
        <w:spacing w:after="120"/>
        <w:ind w:left="714" w:hanging="357"/>
        <w:rPr>
          <w:bCs/>
          <w:lang w:val="ru-RU"/>
        </w:rPr>
      </w:pPr>
      <w:r w:rsidRPr="008F14AC">
        <w:rPr>
          <w:bCs/>
          <w:lang w:val="ru-RU"/>
        </w:rPr>
        <w:t xml:space="preserve">подготовка и рассылка </w:t>
      </w:r>
      <w:r w:rsidRPr="00861CB1">
        <w:rPr>
          <w:bCs/>
          <w:lang w:val="ru-RU"/>
        </w:rPr>
        <w:t>запрос</w:t>
      </w:r>
      <w:r>
        <w:rPr>
          <w:bCs/>
          <w:lang w:val="ru-RU"/>
        </w:rPr>
        <w:t>ов</w:t>
      </w:r>
      <w:r w:rsidRPr="00861CB1">
        <w:rPr>
          <w:bCs/>
          <w:lang w:val="ru-RU"/>
        </w:rPr>
        <w:t xml:space="preserve"> на выражения заинтересованности </w:t>
      </w:r>
      <w:r w:rsidRPr="008F14AC">
        <w:rPr>
          <w:bCs/>
          <w:lang w:val="ru-RU"/>
        </w:rPr>
        <w:t xml:space="preserve">об участии в конкурсе </w:t>
      </w:r>
      <w:r>
        <w:rPr>
          <w:bCs/>
          <w:lang w:val="ru-RU"/>
        </w:rPr>
        <w:t>по выбору координатора проекта/архитектора</w:t>
      </w:r>
      <w:r w:rsidRPr="008F14AC">
        <w:rPr>
          <w:bCs/>
          <w:lang w:val="ru-RU"/>
        </w:rPr>
        <w:t xml:space="preserve">; </w:t>
      </w:r>
    </w:p>
    <w:p w:rsidR="00C85043" w:rsidRPr="008F14AC" w:rsidRDefault="00C85043" w:rsidP="00BF61DC">
      <w:pPr>
        <w:pStyle w:val="ListParagraph"/>
        <w:numPr>
          <w:ilvl w:val="0"/>
          <w:numId w:val="121"/>
        </w:numPr>
        <w:autoSpaceDE w:val="0"/>
        <w:autoSpaceDN w:val="0"/>
        <w:adjustRightInd w:val="0"/>
        <w:spacing w:after="120"/>
        <w:ind w:left="714" w:hanging="357"/>
        <w:rPr>
          <w:bCs/>
          <w:lang w:val="ru-RU"/>
        </w:rPr>
      </w:pPr>
      <w:r w:rsidRPr="008F14AC">
        <w:rPr>
          <w:bCs/>
          <w:lang w:val="ru-RU"/>
        </w:rPr>
        <w:t xml:space="preserve">завершение отбора претендентов и оценка полученных выражений заинтересованности об участии в конкурсе </w:t>
      </w:r>
      <w:r>
        <w:rPr>
          <w:bCs/>
          <w:lang w:val="ru-RU"/>
        </w:rPr>
        <w:t>по выбору координатора проекта/архитектора</w:t>
      </w:r>
      <w:r w:rsidRPr="008F14AC">
        <w:rPr>
          <w:bCs/>
          <w:lang w:val="ru-RU"/>
        </w:rPr>
        <w:t xml:space="preserve">; и </w:t>
      </w:r>
    </w:p>
    <w:p w:rsidR="00C85043" w:rsidRPr="008F14AC" w:rsidRDefault="00C85043" w:rsidP="00BF61DC">
      <w:pPr>
        <w:pStyle w:val="ListParagraph"/>
        <w:numPr>
          <w:ilvl w:val="0"/>
          <w:numId w:val="121"/>
        </w:numPr>
        <w:autoSpaceDE w:val="0"/>
        <w:autoSpaceDN w:val="0"/>
        <w:adjustRightInd w:val="0"/>
        <w:spacing w:after="120"/>
        <w:ind w:left="714" w:hanging="357"/>
        <w:rPr>
          <w:bCs/>
          <w:lang w:val="ru-RU"/>
        </w:rPr>
      </w:pPr>
      <w:r w:rsidRPr="008F14AC">
        <w:rPr>
          <w:bCs/>
          <w:lang w:val="ru-RU"/>
        </w:rPr>
        <w:t xml:space="preserve">разработка технических условий конкурса </w:t>
      </w:r>
      <w:r>
        <w:rPr>
          <w:bCs/>
          <w:lang w:val="ru-RU"/>
        </w:rPr>
        <w:t>по выбору координатора проекта/архитектора</w:t>
      </w:r>
      <w:r w:rsidRPr="008F14AC">
        <w:rPr>
          <w:bCs/>
          <w:lang w:val="ru-RU"/>
        </w:rPr>
        <w:t xml:space="preserve">. </w:t>
      </w:r>
    </w:p>
    <w:p w:rsidR="00C85043" w:rsidRPr="0055183A" w:rsidRDefault="00C85043" w:rsidP="00C85043">
      <w:pPr>
        <w:autoSpaceDE w:val="0"/>
        <w:autoSpaceDN w:val="0"/>
        <w:adjustRightInd w:val="0"/>
        <w:rPr>
          <w:rFonts w:eastAsia="Calibri" w:cs="Arial"/>
          <w:color w:val="000000"/>
          <w:szCs w:val="20"/>
          <w:lang w:val="ru-RU"/>
        </w:rPr>
      </w:pPr>
    </w:p>
    <w:p w:rsidR="00C85043" w:rsidRPr="00B06355" w:rsidRDefault="00C85043" w:rsidP="00BF61DC">
      <w:pPr>
        <w:pStyle w:val="ONUME"/>
        <w:numPr>
          <w:ilvl w:val="0"/>
          <w:numId w:val="111"/>
        </w:numPr>
        <w:tabs>
          <w:tab w:val="left" w:pos="567"/>
        </w:tabs>
        <w:ind w:left="0" w:firstLine="0"/>
        <w:jc w:val="both"/>
        <w:rPr>
          <w:rFonts w:eastAsia="Calibri"/>
          <w:color w:val="000000"/>
        </w:rPr>
      </w:pPr>
      <w:r w:rsidRPr="008F14AC">
        <w:rPr>
          <w:rFonts w:eastAsia="Calibri"/>
          <w:color w:val="000000"/>
          <w:lang w:val="ru-RU"/>
        </w:rPr>
        <w:t>Ввиду задержки сроков сдачи нового конференц-зала ВОИС (с начала 2014 года до сентября 2014 года) проект начался на девять месяцев позднее даты, указанной в первоначальном плане.  Срок</w:t>
      </w:r>
      <w:r w:rsidRPr="008F14AC">
        <w:rPr>
          <w:rFonts w:eastAsia="Calibri"/>
          <w:color w:val="000000"/>
        </w:rPr>
        <w:t xml:space="preserve"> </w:t>
      </w:r>
      <w:r w:rsidRPr="008F14AC">
        <w:rPr>
          <w:rFonts w:eastAsia="Calibri"/>
          <w:color w:val="000000"/>
          <w:lang w:val="ru-RU"/>
        </w:rPr>
        <w:t>завершения</w:t>
      </w:r>
      <w:r w:rsidRPr="008F14AC">
        <w:rPr>
          <w:rFonts w:eastAsia="Calibri"/>
          <w:color w:val="000000"/>
        </w:rPr>
        <w:t xml:space="preserve"> проект</w:t>
      </w:r>
      <w:r w:rsidRPr="008F14AC">
        <w:rPr>
          <w:rFonts w:eastAsia="Calibri"/>
          <w:color w:val="000000"/>
          <w:lang w:val="ru-RU"/>
        </w:rPr>
        <w:t xml:space="preserve">а был перенесен на </w:t>
      </w:r>
      <w:r w:rsidRPr="008F14AC">
        <w:rPr>
          <w:rFonts w:eastAsia="Calibri"/>
          <w:color w:val="000000"/>
        </w:rPr>
        <w:t>2018</w:t>
      </w:r>
      <w:r w:rsidRPr="008F14AC">
        <w:rPr>
          <w:rFonts w:eastAsia="Calibri"/>
          <w:color w:val="000000"/>
          <w:lang w:val="ru-RU"/>
        </w:rPr>
        <w:t xml:space="preserve"> г</w:t>
      </w:r>
      <w:r w:rsidRPr="008F14AC">
        <w:rPr>
          <w:rFonts w:eastAsia="Calibri"/>
          <w:color w:val="000000"/>
        </w:rPr>
        <w:t xml:space="preserve">. </w:t>
      </w:r>
    </w:p>
    <w:p w:rsidR="00C85043" w:rsidRPr="008F14AC" w:rsidRDefault="00C85043" w:rsidP="00BF61DC">
      <w:pPr>
        <w:pStyle w:val="ONUME"/>
        <w:numPr>
          <w:ilvl w:val="0"/>
          <w:numId w:val="111"/>
        </w:numPr>
        <w:tabs>
          <w:tab w:val="left" w:pos="567"/>
        </w:tabs>
        <w:ind w:left="0" w:firstLine="0"/>
        <w:jc w:val="both"/>
        <w:rPr>
          <w:rFonts w:eastAsia="Calibri"/>
          <w:lang w:val="ru-RU"/>
        </w:rPr>
      </w:pPr>
      <w:r w:rsidRPr="008F14AC">
        <w:rPr>
          <w:rFonts w:eastAsia="Calibri"/>
          <w:lang w:val="ru-RU"/>
        </w:rPr>
        <w:t>В 2015 году были достигнуты следующие результаты:</w:t>
      </w:r>
    </w:p>
    <w:p w:rsidR="00C85043" w:rsidRPr="002046BE"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проведение конкурса</w:t>
      </w:r>
      <w:r w:rsidRPr="008F14AC">
        <w:rPr>
          <w:bCs/>
          <w:lang w:val="ru-RU"/>
        </w:rPr>
        <w:t xml:space="preserve"> </w:t>
      </w:r>
      <w:r>
        <w:rPr>
          <w:bCs/>
          <w:lang w:val="ru-RU"/>
        </w:rPr>
        <w:t>по выбору координатора проекта/архитектора</w:t>
      </w:r>
      <w:r w:rsidRPr="002046BE">
        <w:rPr>
          <w:bCs/>
          <w:lang w:val="ru-RU"/>
        </w:rPr>
        <w:t>;</w:t>
      </w:r>
    </w:p>
    <w:p w:rsidR="00C85043" w:rsidRPr="002046BE" w:rsidRDefault="00C85043" w:rsidP="00BF61DC">
      <w:pPr>
        <w:pStyle w:val="ListParagraph"/>
        <w:numPr>
          <w:ilvl w:val="0"/>
          <w:numId w:val="121"/>
        </w:numPr>
        <w:autoSpaceDE w:val="0"/>
        <w:autoSpaceDN w:val="0"/>
        <w:adjustRightInd w:val="0"/>
        <w:spacing w:after="120"/>
        <w:ind w:left="714" w:hanging="357"/>
        <w:rPr>
          <w:bCs/>
          <w:lang w:val="ru-RU"/>
        </w:rPr>
      </w:pPr>
      <w:r w:rsidRPr="002046BE">
        <w:rPr>
          <w:bCs/>
          <w:lang w:val="ru-RU"/>
        </w:rPr>
        <w:t xml:space="preserve">заключение контракта </w:t>
      </w:r>
      <w:r>
        <w:rPr>
          <w:bCs/>
          <w:lang w:val="ru-RU"/>
        </w:rPr>
        <w:t xml:space="preserve">с координатором </w:t>
      </w:r>
      <w:r w:rsidRPr="002046BE">
        <w:rPr>
          <w:bCs/>
          <w:lang w:val="ru-RU"/>
        </w:rPr>
        <w:t>проект</w:t>
      </w:r>
      <w:r>
        <w:rPr>
          <w:bCs/>
          <w:lang w:val="ru-RU"/>
        </w:rPr>
        <w:t>а</w:t>
      </w:r>
      <w:r w:rsidRPr="008F14AC">
        <w:rPr>
          <w:bCs/>
          <w:lang w:val="ru-RU"/>
        </w:rPr>
        <w:t>/архитектор</w:t>
      </w:r>
      <w:r>
        <w:rPr>
          <w:bCs/>
          <w:lang w:val="ru-RU"/>
        </w:rPr>
        <w:t>ом</w:t>
      </w:r>
      <w:r w:rsidRPr="002046BE">
        <w:rPr>
          <w:bCs/>
          <w:lang w:val="ru-RU"/>
        </w:rPr>
        <w:t xml:space="preserve"> </w:t>
      </w:r>
      <w:r>
        <w:rPr>
          <w:bCs/>
          <w:lang w:val="ru-RU"/>
        </w:rPr>
        <w:t>в декабре</w:t>
      </w:r>
      <w:r w:rsidRPr="002046BE">
        <w:rPr>
          <w:bCs/>
          <w:lang w:val="ru-RU"/>
        </w:rPr>
        <w:t xml:space="preserve"> 2015</w:t>
      </w:r>
      <w:r>
        <w:rPr>
          <w:bCs/>
          <w:lang w:val="ru-RU"/>
        </w:rPr>
        <w:t xml:space="preserve"> г.</w:t>
      </w:r>
      <w:r w:rsidRPr="002046BE">
        <w:rPr>
          <w:bCs/>
          <w:lang w:val="ru-RU"/>
        </w:rPr>
        <w:t xml:space="preserve">, </w:t>
      </w:r>
      <w:r>
        <w:rPr>
          <w:bCs/>
          <w:lang w:val="ru-RU"/>
        </w:rPr>
        <w:t xml:space="preserve">с нарушением </w:t>
      </w:r>
      <w:r w:rsidRPr="002046BE">
        <w:rPr>
          <w:bCs/>
          <w:lang w:val="ru-RU"/>
        </w:rPr>
        <w:t>первоначальн</w:t>
      </w:r>
      <w:r>
        <w:rPr>
          <w:bCs/>
          <w:lang w:val="ru-RU"/>
        </w:rPr>
        <w:t xml:space="preserve">о </w:t>
      </w:r>
      <w:r w:rsidRPr="00DB431D">
        <w:rPr>
          <w:bCs/>
          <w:lang w:val="ru-RU"/>
        </w:rPr>
        <w:t>установленн</w:t>
      </w:r>
      <w:r>
        <w:rPr>
          <w:bCs/>
          <w:lang w:val="ru-RU"/>
        </w:rPr>
        <w:t>ого срока (</w:t>
      </w:r>
      <w:r w:rsidRPr="002046BE">
        <w:rPr>
          <w:bCs/>
          <w:lang w:val="ru-RU"/>
        </w:rPr>
        <w:t xml:space="preserve">второй квартал 2015 </w:t>
      </w:r>
      <w:r>
        <w:rPr>
          <w:bCs/>
          <w:lang w:val="ru-RU"/>
        </w:rPr>
        <w:t>г.)</w:t>
      </w:r>
      <w:r w:rsidRPr="002046BE">
        <w:rPr>
          <w:bCs/>
          <w:lang w:val="ru-RU"/>
        </w:rPr>
        <w:t xml:space="preserve"> в связи с </w:t>
      </w:r>
      <w:r>
        <w:rPr>
          <w:bCs/>
          <w:lang w:val="ru-RU"/>
        </w:rPr>
        <w:t xml:space="preserve">задержкой в завершении </w:t>
      </w:r>
      <w:r w:rsidRPr="002046BE">
        <w:rPr>
          <w:bCs/>
          <w:lang w:val="ru-RU"/>
        </w:rPr>
        <w:t>проект</w:t>
      </w:r>
      <w:r>
        <w:rPr>
          <w:bCs/>
          <w:lang w:val="ru-RU"/>
        </w:rPr>
        <w:t xml:space="preserve">а </w:t>
      </w:r>
      <w:r w:rsidRPr="002046BE">
        <w:rPr>
          <w:bCs/>
          <w:lang w:val="ru-RU"/>
        </w:rPr>
        <w:t>строительств</w:t>
      </w:r>
      <w:r>
        <w:rPr>
          <w:bCs/>
          <w:lang w:val="ru-RU"/>
        </w:rPr>
        <w:t xml:space="preserve">а </w:t>
      </w:r>
      <w:r w:rsidRPr="002046BE">
        <w:rPr>
          <w:bCs/>
          <w:lang w:val="ru-RU"/>
        </w:rPr>
        <w:t>нового конференц-зала;</w:t>
      </w:r>
    </w:p>
    <w:p w:rsidR="00C85043" w:rsidRPr="002046BE" w:rsidRDefault="00C85043" w:rsidP="00BF61DC">
      <w:pPr>
        <w:pStyle w:val="ListParagraph"/>
        <w:numPr>
          <w:ilvl w:val="0"/>
          <w:numId w:val="121"/>
        </w:numPr>
        <w:autoSpaceDE w:val="0"/>
        <w:autoSpaceDN w:val="0"/>
        <w:adjustRightInd w:val="0"/>
        <w:spacing w:after="120"/>
        <w:ind w:left="714" w:hanging="357"/>
        <w:rPr>
          <w:bCs/>
          <w:lang w:val="ru-RU"/>
        </w:rPr>
      </w:pPr>
      <w:r w:rsidRPr="002046BE">
        <w:rPr>
          <w:bCs/>
          <w:lang w:val="ru-RU"/>
        </w:rPr>
        <w:t>подготовк</w:t>
      </w:r>
      <w:r>
        <w:rPr>
          <w:bCs/>
          <w:lang w:val="ru-RU"/>
        </w:rPr>
        <w:t>а</w:t>
      </w:r>
      <w:r w:rsidRPr="002046BE">
        <w:rPr>
          <w:bCs/>
          <w:lang w:val="ru-RU"/>
        </w:rPr>
        <w:t xml:space="preserve"> предварительн</w:t>
      </w:r>
      <w:r>
        <w:rPr>
          <w:bCs/>
          <w:lang w:val="ru-RU"/>
        </w:rPr>
        <w:t>ых</w:t>
      </w:r>
      <w:r w:rsidRPr="002046BE">
        <w:rPr>
          <w:bCs/>
          <w:lang w:val="ru-RU"/>
        </w:rPr>
        <w:t xml:space="preserve"> техническ</w:t>
      </w:r>
      <w:r>
        <w:rPr>
          <w:bCs/>
          <w:lang w:val="ru-RU"/>
        </w:rPr>
        <w:t xml:space="preserve">их </w:t>
      </w:r>
      <w:r w:rsidRPr="002046BE">
        <w:rPr>
          <w:bCs/>
          <w:lang w:val="ru-RU"/>
        </w:rPr>
        <w:t>услови</w:t>
      </w:r>
      <w:r>
        <w:rPr>
          <w:bCs/>
          <w:lang w:val="ru-RU"/>
        </w:rPr>
        <w:t>й для выбора инженера</w:t>
      </w:r>
      <w:r w:rsidRPr="00974380">
        <w:rPr>
          <w:bCs/>
          <w:lang w:val="ru-RU"/>
        </w:rPr>
        <w:t xml:space="preserve"> по отоплению, вентиляции и кондиционированию воздуха</w:t>
      </w:r>
      <w:r>
        <w:rPr>
          <w:bCs/>
          <w:lang w:val="ru-RU"/>
        </w:rPr>
        <w:t xml:space="preserve"> </w:t>
      </w:r>
      <w:r w:rsidRPr="002046BE">
        <w:rPr>
          <w:bCs/>
          <w:lang w:val="ru-RU"/>
        </w:rPr>
        <w:t xml:space="preserve">и </w:t>
      </w:r>
      <w:r>
        <w:rPr>
          <w:bCs/>
          <w:lang w:val="ru-RU"/>
        </w:rPr>
        <w:t>инженера по обустройству фасада</w:t>
      </w:r>
      <w:r w:rsidRPr="002046BE">
        <w:rPr>
          <w:bCs/>
          <w:lang w:val="ru-RU"/>
        </w:rPr>
        <w:t xml:space="preserve">;  и </w:t>
      </w:r>
    </w:p>
    <w:p w:rsidR="00C85043" w:rsidRPr="00746E31"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проведение рассылка конкурса по выбору инженера</w:t>
      </w:r>
      <w:r w:rsidRPr="00974380">
        <w:rPr>
          <w:bCs/>
          <w:lang w:val="ru-RU"/>
        </w:rPr>
        <w:t xml:space="preserve"> по отоплению, вентиляции и кондиционированию воздуха</w:t>
      </w:r>
      <w:r>
        <w:rPr>
          <w:bCs/>
          <w:lang w:val="ru-RU"/>
        </w:rPr>
        <w:t xml:space="preserve"> </w:t>
      </w:r>
      <w:r w:rsidRPr="0068258D">
        <w:rPr>
          <w:bCs/>
          <w:lang w:val="ru-RU"/>
        </w:rPr>
        <w:t xml:space="preserve"> и </w:t>
      </w:r>
      <w:r>
        <w:rPr>
          <w:bCs/>
          <w:lang w:val="ru-RU"/>
        </w:rPr>
        <w:t>инженер</w:t>
      </w:r>
      <w:r w:rsidRPr="00746E31">
        <w:rPr>
          <w:bCs/>
          <w:lang w:val="ru-RU"/>
        </w:rPr>
        <w:t>а</w:t>
      </w:r>
      <w:r w:rsidRPr="0068258D">
        <w:rPr>
          <w:bCs/>
          <w:lang w:val="ru-RU"/>
        </w:rPr>
        <w:t xml:space="preserve"> по обустройству фасада.   </w:t>
      </w:r>
      <w:r w:rsidRPr="00746E31">
        <w:rPr>
          <w:bCs/>
          <w:lang w:val="ru-RU"/>
        </w:rPr>
        <w:t xml:space="preserve">Чтобы </w:t>
      </w:r>
      <w:r>
        <w:rPr>
          <w:bCs/>
          <w:lang w:val="ru-RU"/>
        </w:rPr>
        <w:t>выбранный</w:t>
      </w:r>
      <w:r w:rsidRPr="00746E31">
        <w:rPr>
          <w:bCs/>
          <w:lang w:val="ru-RU"/>
        </w:rPr>
        <w:t xml:space="preserve"> координатор </w:t>
      </w:r>
      <w:r w:rsidRPr="002046BE">
        <w:rPr>
          <w:bCs/>
          <w:lang w:val="ru-RU"/>
        </w:rPr>
        <w:t>проект</w:t>
      </w:r>
      <w:r>
        <w:rPr>
          <w:bCs/>
          <w:lang w:val="ru-RU"/>
        </w:rPr>
        <w:t>а</w:t>
      </w:r>
      <w:r w:rsidRPr="00746E31">
        <w:rPr>
          <w:bCs/>
          <w:lang w:val="ru-RU"/>
        </w:rPr>
        <w:t xml:space="preserve">/архитектор </w:t>
      </w:r>
      <w:r>
        <w:rPr>
          <w:bCs/>
          <w:lang w:val="ru-RU"/>
        </w:rPr>
        <w:t>мог</w:t>
      </w:r>
      <w:r w:rsidRPr="00746E31">
        <w:rPr>
          <w:bCs/>
          <w:lang w:val="ru-RU"/>
        </w:rPr>
        <w:t xml:space="preserve"> </w:t>
      </w:r>
      <w:r>
        <w:rPr>
          <w:bCs/>
          <w:lang w:val="ru-RU"/>
        </w:rPr>
        <w:t>принять</w:t>
      </w:r>
      <w:r w:rsidRPr="00746E31">
        <w:rPr>
          <w:bCs/>
          <w:lang w:val="ru-RU"/>
        </w:rPr>
        <w:t xml:space="preserve"> </w:t>
      </w:r>
      <w:r>
        <w:rPr>
          <w:bCs/>
          <w:lang w:val="ru-RU"/>
        </w:rPr>
        <w:t xml:space="preserve">полноценное участие в этой </w:t>
      </w:r>
      <w:r w:rsidRPr="00746E31">
        <w:rPr>
          <w:bCs/>
          <w:lang w:val="ru-RU"/>
        </w:rPr>
        <w:t>процедур</w:t>
      </w:r>
      <w:r>
        <w:rPr>
          <w:bCs/>
          <w:lang w:val="ru-RU"/>
        </w:rPr>
        <w:t>е</w:t>
      </w:r>
      <w:r w:rsidRPr="00746E31">
        <w:rPr>
          <w:bCs/>
          <w:vertAlign w:val="superscript"/>
        </w:rPr>
        <w:footnoteReference w:id="174"/>
      </w:r>
      <w:r w:rsidRPr="00746E31">
        <w:rPr>
          <w:bCs/>
          <w:lang w:val="ru-RU"/>
        </w:rPr>
        <w:t xml:space="preserve">, </w:t>
      </w:r>
      <w:r>
        <w:rPr>
          <w:bCs/>
          <w:lang w:val="ru-RU"/>
        </w:rPr>
        <w:t>завершение конкурса было перенесено на более поздний срок</w:t>
      </w:r>
      <w:r w:rsidRPr="00746E31">
        <w:rPr>
          <w:bCs/>
          <w:lang w:val="ru-RU"/>
        </w:rPr>
        <w:t>.</w:t>
      </w:r>
    </w:p>
    <w:p w:rsidR="00C85043" w:rsidRPr="00746E31" w:rsidRDefault="00C85043" w:rsidP="00BF61DC">
      <w:pPr>
        <w:pStyle w:val="ONUME"/>
        <w:numPr>
          <w:ilvl w:val="0"/>
          <w:numId w:val="111"/>
        </w:numPr>
        <w:tabs>
          <w:tab w:val="left" w:pos="567"/>
        </w:tabs>
        <w:ind w:left="0" w:firstLine="0"/>
        <w:jc w:val="both"/>
        <w:rPr>
          <w:lang w:val="ru-RU"/>
        </w:rPr>
      </w:pPr>
      <w:r>
        <w:rPr>
          <w:lang w:val="ru-RU"/>
        </w:rPr>
        <w:t xml:space="preserve">График </w:t>
      </w:r>
      <w:r w:rsidRPr="00746E31">
        <w:rPr>
          <w:lang w:val="ru-RU"/>
        </w:rPr>
        <w:t>проект</w:t>
      </w:r>
      <w:r>
        <w:rPr>
          <w:lang w:val="ru-RU"/>
        </w:rPr>
        <w:t xml:space="preserve">а был </w:t>
      </w:r>
      <w:r w:rsidRPr="00746E31">
        <w:rPr>
          <w:lang w:val="ru-RU"/>
        </w:rPr>
        <w:t>дополнитель</w:t>
      </w:r>
      <w:r>
        <w:rPr>
          <w:lang w:val="ru-RU"/>
        </w:rPr>
        <w:t xml:space="preserve">но уточнен с целью учета указанных выше </w:t>
      </w:r>
      <w:r w:rsidRPr="00746E31">
        <w:rPr>
          <w:lang w:val="ru-RU"/>
        </w:rPr>
        <w:t>изменени</w:t>
      </w:r>
      <w:r>
        <w:rPr>
          <w:lang w:val="ru-RU"/>
        </w:rPr>
        <w:t>й в сроках</w:t>
      </w:r>
      <w:r w:rsidRPr="00746E31">
        <w:rPr>
          <w:lang w:val="ru-RU"/>
        </w:rPr>
        <w:t>.</w:t>
      </w:r>
    </w:p>
    <w:p w:rsidR="00C85043" w:rsidRPr="00746E31" w:rsidRDefault="00C85043" w:rsidP="00C85043">
      <w:pPr>
        <w:keepNext/>
        <w:keepLines/>
        <w:rPr>
          <w:bCs/>
          <w:sz w:val="18"/>
          <w:szCs w:val="20"/>
          <w:lang w:val="ru-RU"/>
        </w:rPr>
      </w:pPr>
    </w:p>
    <w:p w:rsidR="00C85043" w:rsidRPr="00811367" w:rsidRDefault="00C85043" w:rsidP="00C85043">
      <w:pPr>
        <w:keepNext/>
        <w:keepLines/>
        <w:rPr>
          <w:bCs/>
          <w:szCs w:val="20"/>
        </w:rPr>
      </w:pPr>
      <w:r>
        <w:rPr>
          <w:bCs/>
          <w:szCs w:val="20"/>
        </w:rPr>
        <w:t>РЕАЛИЗАЦИЯ ПОЛОЖИТЕЛЬНЫХ РЕЗУЛЬТАТОВ</w:t>
      </w:r>
    </w:p>
    <w:p w:rsidR="00C85043" w:rsidRPr="00811367" w:rsidRDefault="00C85043" w:rsidP="00C85043">
      <w:pPr>
        <w:keepNext/>
        <w:keepLines/>
        <w:rPr>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9"/>
        <w:gridCol w:w="4539"/>
      </w:tblGrid>
      <w:tr w:rsidR="00C85043" w:rsidRPr="005C6ABD" w:rsidTr="00C85043">
        <w:trPr>
          <w:trHeight w:val="552"/>
          <w:tblHeader/>
          <w:jc w:val="center"/>
        </w:trPr>
        <w:tc>
          <w:tcPr>
            <w:tcW w:w="4539" w:type="dxa"/>
            <w:shd w:val="clear" w:color="auto" w:fill="C6D9F1"/>
            <w:vAlign w:val="center"/>
          </w:tcPr>
          <w:p w:rsidR="00C85043" w:rsidRPr="000C5D6F" w:rsidRDefault="00C85043" w:rsidP="00C85043">
            <w:pPr>
              <w:keepNext/>
              <w:keepLines/>
              <w:jc w:val="center"/>
              <w:rPr>
                <w:b/>
                <w:bCs/>
                <w:sz w:val="16"/>
                <w:szCs w:val="16"/>
                <w:lang w:val="ru-RU"/>
              </w:rPr>
            </w:pPr>
            <w:r w:rsidRPr="000C5D6F">
              <w:rPr>
                <w:b/>
                <w:bCs/>
                <w:color w:val="000000"/>
                <w:sz w:val="16"/>
                <w:szCs w:val="16"/>
                <w:lang w:val="ru-RU"/>
              </w:rPr>
              <w:t>Положительные результаты, ожидаемые в 2017 г.</w:t>
            </w:r>
          </w:p>
        </w:tc>
        <w:tc>
          <w:tcPr>
            <w:tcW w:w="4539" w:type="dxa"/>
            <w:shd w:val="clear" w:color="auto" w:fill="C6D9F1"/>
            <w:vAlign w:val="center"/>
          </w:tcPr>
          <w:p w:rsidR="00C85043" w:rsidRPr="000C5D6F" w:rsidRDefault="00C85043" w:rsidP="00C85043">
            <w:pPr>
              <w:keepNext/>
              <w:keepLines/>
              <w:jc w:val="center"/>
              <w:rPr>
                <w:b/>
                <w:bCs/>
                <w:sz w:val="16"/>
                <w:szCs w:val="16"/>
                <w:lang w:val="ru-RU"/>
              </w:rPr>
            </w:pPr>
            <w:r w:rsidRPr="000C5D6F">
              <w:rPr>
                <w:b/>
                <w:bCs/>
                <w:color w:val="000000"/>
                <w:sz w:val="16"/>
                <w:szCs w:val="16"/>
                <w:lang w:val="ru-RU"/>
              </w:rPr>
              <w:t>Положительные результаты, ожидаемые в 2018 г.</w:t>
            </w:r>
          </w:p>
        </w:tc>
      </w:tr>
      <w:tr w:rsidR="00C85043" w:rsidRPr="00AB735C" w:rsidTr="00C85043">
        <w:trPr>
          <w:trHeight w:val="417"/>
          <w:jc w:val="center"/>
        </w:trPr>
        <w:tc>
          <w:tcPr>
            <w:tcW w:w="4539" w:type="dxa"/>
            <w:shd w:val="clear" w:color="auto" w:fill="auto"/>
            <w:vAlign w:val="center"/>
          </w:tcPr>
          <w:p w:rsidR="00C85043" w:rsidRPr="00746E31" w:rsidRDefault="00C85043" w:rsidP="00C85043">
            <w:pPr>
              <w:keepNext/>
              <w:keepLines/>
              <w:rPr>
                <w:bCs/>
                <w:iCs/>
                <w:sz w:val="16"/>
                <w:szCs w:val="16"/>
                <w:lang w:val="ru-RU"/>
              </w:rPr>
            </w:pPr>
            <w:r w:rsidRPr="00746E31">
              <w:rPr>
                <w:bCs/>
                <w:iCs/>
                <w:color w:val="000000"/>
                <w:sz w:val="16"/>
                <w:szCs w:val="16"/>
                <w:lang w:val="ru-RU"/>
              </w:rPr>
              <w:t>Частичное усовершенствовани</w:t>
            </w:r>
            <w:r>
              <w:rPr>
                <w:bCs/>
                <w:iCs/>
                <w:color w:val="000000"/>
                <w:sz w:val="16"/>
                <w:szCs w:val="16"/>
                <w:lang w:val="ru-RU"/>
              </w:rPr>
              <w:t xml:space="preserve">е </w:t>
            </w:r>
            <w:r w:rsidRPr="00746E31">
              <w:rPr>
                <w:bCs/>
                <w:iCs/>
                <w:color w:val="000000"/>
                <w:sz w:val="16"/>
                <w:szCs w:val="16"/>
                <w:lang w:val="ru-RU"/>
              </w:rPr>
              <w:t>оборудовани</w:t>
            </w:r>
            <w:r>
              <w:rPr>
                <w:bCs/>
                <w:iCs/>
                <w:color w:val="000000"/>
                <w:sz w:val="16"/>
                <w:szCs w:val="16"/>
                <w:lang w:val="ru-RU"/>
              </w:rPr>
              <w:t>я</w:t>
            </w:r>
            <w:r w:rsidRPr="00746E31">
              <w:rPr>
                <w:bCs/>
                <w:iCs/>
                <w:color w:val="000000"/>
                <w:sz w:val="16"/>
                <w:szCs w:val="16"/>
                <w:lang w:val="ru-RU"/>
              </w:rPr>
              <w:t>.</w:t>
            </w:r>
          </w:p>
        </w:tc>
        <w:tc>
          <w:tcPr>
            <w:tcW w:w="4539" w:type="dxa"/>
            <w:shd w:val="clear" w:color="auto" w:fill="auto"/>
            <w:vAlign w:val="center"/>
          </w:tcPr>
          <w:p w:rsidR="00C85043" w:rsidRPr="00AB735C" w:rsidRDefault="00C85043" w:rsidP="00C85043">
            <w:pPr>
              <w:keepNext/>
              <w:keepLines/>
              <w:rPr>
                <w:bCs/>
                <w:iCs/>
                <w:sz w:val="16"/>
                <w:szCs w:val="16"/>
                <w:lang w:val="ru-RU"/>
              </w:rPr>
            </w:pPr>
            <w:r w:rsidRPr="00746E31">
              <w:rPr>
                <w:bCs/>
                <w:iCs/>
                <w:color w:val="000000"/>
                <w:sz w:val="16"/>
                <w:szCs w:val="16"/>
                <w:lang w:val="ru-RU"/>
              </w:rPr>
              <w:t>Полное усовершенствовани</w:t>
            </w:r>
            <w:r>
              <w:rPr>
                <w:bCs/>
                <w:iCs/>
                <w:color w:val="000000"/>
                <w:sz w:val="16"/>
                <w:szCs w:val="16"/>
                <w:lang w:val="ru-RU"/>
              </w:rPr>
              <w:t xml:space="preserve">е </w:t>
            </w:r>
            <w:r w:rsidRPr="00746E31">
              <w:rPr>
                <w:bCs/>
                <w:iCs/>
                <w:color w:val="000000"/>
                <w:sz w:val="16"/>
                <w:szCs w:val="16"/>
                <w:lang w:val="ru-RU"/>
              </w:rPr>
              <w:t>оборудовани</w:t>
            </w:r>
            <w:r>
              <w:rPr>
                <w:bCs/>
                <w:iCs/>
                <w:color w:val="000000"/>
                <w:sz w:val="16"/>
                <w:szCs w:val="16"/>
                <w:lang w:val="ru-RU"/>
              </w:rPr>
              <w:t>я</w:t>
            </w:r>
            <w:r w:rsidRPr="00AB735C">
              <w:rPr>
                <w:bCs/>
                <w:iCs/>
                <w:color w:val="000000"/>
                <w:sz w:val="16"/>
                <w:szCs w:val="16"/>
                <w:lang w:val="ru-RU"/>
              </w:rPr>
              <w:t>.</w:t>
            </w:r>
          </w:p>
        </w:tc>
      </w:tr>
      <w:tr w:rsidR="00C85043" w:rsidRPr="005C6ABD" w:rsidTr="00C85043">
        <w:trPr>
          <w:trHeight w:val="423"/>
          <w:jc w:val="center"/>
        </w:trPr>
        <w:tc>
          <w:tcPr>
            <w:tcW w:w="4539" w:type="dxa"/>
            <w:shd w:val="clear" w:color="auto" w:fill="auto"/>
            <w:vAlign w:val="center"/>
          </w:tcPr>
          <w:p w:rsidR="00C85043" w:rsidRPr="006F4949" w:rsidRDefault="00C85043" w:rsidP="00C85043">
            <w:pPr>
              <w:keepNext/>
              <w:keepLines/>
              <w:rPr>
                <w:bCs/>
                <w:iCs/>
                <w:sz w:val="16"/>
                <w:szCs w:val="16"/>
                <w:lang w:val="ru-RU"/>
              </w:rPr>
            </w:pPr>
            <w:r w:rsidRPr="006F4949">
              <w:rPr>
                <w:bCs/>
                <w:iCs/>
                <w:color w:val="000000"/>
                <w:sz w:val="16"/>
                <w:szCs w:val="16"/>
                <w:lang w:val="ru-RU"/>
              </w:rPr>
              <w:t xml:space="preserve">Частичное </w:t>
            </w:r>
            <w:r>
              <w:rPr>
                <w:bCs/>
                <w:iCs/>
                <w:color w:val="000000"/>
                <w:sz w:val="16"/>
                <w:szCs w:val="16"/>
                <w:lang w:val="ru-RU"/>
              </w:rPr>
              <w:t xml:space="preserve">улучшение </w:t>
            </w:r>
            <w:r w:rsidRPr="00DB431D">
              <w:rPr>
                <w:bCs/>
                <w:iCs/>
                <w:color w:val="000000"/>
                <w:sz w:val="16"/>
                <w:szCs w:val="16"/>
                <w:lang w:val="ru-RU"/>
              </w:rPr>
              <w:t>услови</w:t>
            </w:r>
            <w:r>
              <w:rPr>
                <w:bCs/>
                <w:iCs/>
                <w:color w:val="000000"/>
                <w:sz w:val="16"/>
                <w:szCs w:val="16"/>
                <w:lang w:val="ru-RU"/>
              </w:rPr>
              <w:t xml:space="preserve">й </w:t>
            </w:r>
            <w:r w:rsidRPr="00DB431D">
              <w:rPr>
                <w:bCs/>
                <w:iCs/>
                <w:color w:val="000000"/>
                <w:sz w:val="16"/>
                <w:szCs w:val="16"/>
                <w:lang w:val="ru-RU"/>
              </w:rPr>
              <w:t>работ</w:t>
            </w:r>
            <w:r>
              <w:rPr>
                <w:bCs/>
                <w:iCs/>
                <w:color w:val="000000"/>
                <w:sz w:val="16"/>
                <w:szCs w:val="16"/>
                <w:lang w:val="ru-RU"/>
              </w:rPr>
              <w:t xml:space="preserve">ы </w:t>
            </w:r>
            <w:r w:rsidRPr="006F4949">
              <w:rPr>
                <w:bCs/>
                <w:iCs/>
                <w:color w:val="000000"/>
                <w:sz w:val="16"/>
                <w:szCs w:val="16"/>
                <w:lang w:val="ru-RU"/>
              </w:rPr>
              <w:t>сотрудников</w:t>
            </w:r>
            <w:r w:rsidRPr="006F4949">
              <w:rPr>
                <w:bCs/>
                <w:iCs/>
                <w:sz w:val="16"/>
                <w:szCs w:val="16"/>
                <w:lang w:val="ru-RU"/>
              </w:rPr>
              <w:t>.</w:t>
            </w:r>
          </w:p>
        </w:tc>
        <w:tc>
          <w:tcPr>
            <w:tcW w:w="4539" w:type="dxa"/>
            <w:shd w:val="clear" w:color="auto" w:fill="auto"/>
            <w:vAlign w:val="center"/>
          </w:tcPr>
          <w:p w:rsidR="00C85043" w:rsidRPr="006F4949" w:rsidRDefault="00C85043" w:rsidP="00C85043">
            <w:pPr>
              <w:keepNext/>
              <w:keepLines/>
              <w:rPr>
                <w:bCs/>
                <w:iCs/>
                <w:sz w:val="16"/>
                <w:szCs w:val="16"/>
                <w:lang w:val="ru-RU"/>
              </w:rPr>
            </w:pPr>
            <w:r w:rsidRPr="00746E31">
              <w:rPr>
                <w:bCs/>
                <w:iCs/>
                <w:sz w:val="16"/>
                <w:szCs w:val="16"/>
                <w:lang w:val="ru-RU"/>
              </w:rPr>
              <w:t xml:space="preserve">Достижение полноценного </w:t>
            </w:r>
            <w:r>
              <w:rPr>
                <w:bCs/>
                <w:iCs/>
                <w:color w:val="000000"/>
                <w:sz w:val="16"/>
                <w:szCs w:val="16"/>
                <w:lang w:val="ru-RU"/>
              </w:rPr>
              <w:t xml:space="preserve">улучшения </w:t>
            </w:r>
            <w:r w:rsidRPr="00DB431D">
              <w:rPr>
                <w:bCs/>
                <w:iCs/>
                <w:color w:val="000000"/>
                <w:sz w:val="16"/>
                <w:szCs w:val="16"/>
                <w:lang w:val="ru-RU"/>
              </w:rPr>
              <w:t>услови</w:t>
            </w:r>
            <w:r>
              <w:rPr>
                <w:bCs/>
                <w:iCs/>
                <w:color w:val="000000"/>
                <w:sz w:val="16"/>
                <w:szCs w:val="16"/>
                <w:lang w:val="ru-RU"/>
              </w:rPr>
              <w:t xml:space="preserve">й </w:t>
            </w:r>
            <w:r w:rsidRPr="00DB431D">
              <w:rPr>
                <w:bCs/>
                <w:iCs/>
                <w:color w:val="000000"/>
                <w:sz w:val="16"/>
                <w:szCs w:val="16"/>
                <w:lang w:val="ru-RU"/>
              </w:rPr>
              <w:t>работ</w:t>
            </w:r>
            <w:r>
              <w:rPr>
                <w:bCs/>
                <w:iCs/>
                <w:color w:val="000000"/>
                <w:sz w:val="16"/>
                <w:szCs w:val="16"/>
                <w:lang w:val="ru-RU"/>
              </w:rPr>
              <w:t xml:space="preserve">ы </w:t>
            </w:r>
            <w:r w:rsidRPr="00746E31">
              <w:rPr>
                <w:bCs/>
                <w:iCs/>
                <w:sz w:val="16"/>
                <w:szCs w:val="16"/>
                <w:lang w:val="ru-RU"/>
              </w:rPr>
              <w:t>сотрудников</w:t>
            </w:r>
            <w:r w:rsidRPr="006F4949">
              <w:rPr>
                <w:bCs/>
                <w:iCs/>
                <w:sz w:val="16"/>
                <w:szCs w:val="16"/>
                <w:lang w:val="ru-RU"/>
              </w:rPr>
              <w:t>.</w:t>
            </w:r>
          </w:p>
        </w:tc>
      </w:tr>
      <w:tr w:rsidR="00C85043" w:rsidRPr="005C6ABD" w:rsidTr="00C85043">
        <w:trPr>
          <w:trHeight w:val="416"/>
          <w:jc w:val="center"/>
        </w:trPr>
        <w:tc>
          <w:tcPr>
            <w:tcW w:w="4539" w:type="dxa"/>
            <w:shd w:val="clear" w:color="auto" w:fill="auto"/>
            <w:vAlign w:val="center"/>
          </w:tcPr>
          <w:p w:rsidR="00C85043" w:rsidRPr="006F4949" w:rsidRDefault="00C85043" w:rsidP="00C85043">
            <w:pPr>
              <w:rPr>
                <w:bCs/>
                <w:iCs/>
                <w:sz w:val="16"/>
                <w:szCs w:val="16"/>
                <w:lang w:val="ru-RU"/>
              </w:rPr>
            </w:pPr>
          </w:p>
        </w:tc>
        <w:tc>
          <w:tcPr>
            <w:tcW w:w="4539" w:type="dxa"/>
            <w:shd w:val="clear" w:color="auto" w:fill="auto"/>
            <w:vAlign w:val="center"/>
          </w:tcPr>
          <w:p w:rsidR="00C85043" w:rsidRPr="00347D62" w:rsidRDefault="00C85043" w:rsidP="00C85043">
            <w:pPr>
              <w:rPr>
                <w:bCs/>
                <w:iCs/>
                <w:sz w:val="16"/>
                <w:szCs w:val="16"/>
                <w:lang w:val="ru-RU"/>
              </w:rPr>
            </w:pPr>
            <w:r w:rsidRPr="00347D62">
              <w:rPr>
                <w:bCs/>
                <w:iCs/>
                <w:sz w:val="16"/>
                <w:szCs w:val="16"/>
                <w:lang w:val="ru-RU"/>
              </w:rPr>
              <w:t>Частичное сокращение теплопотерь за счет реконструкции фасадов</w:t>
            </w:r>
            <w:r w:rsidRPr="00347D62">
              <w:rPr>
                <w:bCs/>
                <w:iCs/>
                <w:color w:val="000000"/>
                <w:sz w:val="16"/>
                <w:szCs w:val="16"/>
                <w:lang w:val="ru-RU"/>
              </w:rPr>
              <w:t>.</w:t>
            </w:r>
          </w:p>
        </w:tc>
      </w:tr>
      <w:tr w:rsidR="00C85043" w:rsidRPr="005C6ABD" w:rsidTr="00C85043">
        <w:trPr>
          <w:trHeight w:val="552"/>
          <w:jc w:val="center"/>
        </w:trPr>
        <w:tc>
          <w:tcPr>
            <w:tcW w:w="4539" w:type="dxa"/>
            <w:shd w:val="clear" w:color="auto" w:fill="auto"/>
            <w:vAlign w:val="center"/>
          </w:tcPr>
          <w:p w:rsidR="00C85043" w:rsidRPr="00AB735C" w:rsidRDefault="00C85043" w:rsidP="00C85043">
            <w:pPr>
              <w:rPr>
                <w:bCs/>
                <w:iCs/>
                <w:sz w:val="16"/>
                <w:szCs w:val="16"/>
                <w:lang w:val="ru-RU"/>
              </w:rPr>
            </w:pPr>
          </w:p>
        </w:tc>
        <w:tc>
          <w:tcPr>
            <w:tcW w:w="4539" w:type="dxa"/>
            <w:shd w:val="clear" w:color="auto" w:fill="auto"/>
            <w:vAlign w:val="center"/>
          </w:tcPr>
          <w:p w:rsidR="00C85043" w:rsidRPr="00347D62" w:rsidRDefault="00C85043" w:rsidP="00C85043">
            <w:pPr>
              <w:rPr>
                <w:bCs/>
                <w:iCs/>
                <w:sz w:val="16"/>
                <w:szCs w:val="16"/>
                <w:lang w:val="ru-RU"/>
              </w:rPr>
            </w:pPr>
            <w:r w:rsidRPr="00347D62">
              <w:rPr>
                <w:bCs/>
                <w:iCs/>
                <w:sz w:val="16"/>
                <w:szCs w:val="16"/>
                <w:lang w:val="ru-RU"/>
              </w:rPr>
              <w:t xml:space="preserve">Частичное сокращение энергопотребления за счет установки новых теплоизоляционных фальш-потолков </w:t>
            </w:r>
          </w:p>
        </w:tc>
      </w:tr>
      <w:tr w:rsidR="00C85043" w:rsidRPr="005C6ABD" w:rsidTr="00C85043">
        <w:trPr>
          <w:trHeight w:val="427"/>
          <w:jc w:val="center"/>
        </w:trPr>
        <w:tc>
          <w:tcPr>
            <w:tcW w:w="4539" w:type="dxa"/>
            <w:shd w:val="clear" w:color="auto" w:fill="auto"/>
            <w:vAlign w:val="center"/>
          </w:tcPr>
          <w:p w:rsidR="00C85043" w:rsidRPr="00AB735C" w:rsidRDefault="00C85043" w:rsidP="00C85043">
            <w:pPr>
              <w:rPr>
                <w:b/>
                <w:bCs/>
                <w:i/>
                <w:iCs/>
                <w:sz w:val="16"/>
                <w:szCs w:val="16"/>
                <w:lang w:val="ru-RU"/>
              </w:rPr>
            </w:pPr>
          </w:p>
        </w:tc>
        <w:tc>
          <w:tcPr>
            <w:tcW w:w="4539" w:type="dxa"/>
            <w:shd w:val="clear" w:color="auto" w:fill="auto"/>
            <w:vAlign w:val="center"/>
          </w:tcPr>
          <w:p w:rsidR="00C85043" w:rsidRPr="00347D62" w:rsidRDefault="00C85043" w:rsidP="00C85043">
            <w:pPr>
              <w:rPr>
                <w:bCs/>
                <w:iCs/>
                <w:sz w:val="16"/>
                <w:szCs w:val="16"/>
                <w:lang w:val="ru-RU"/>
              </w:rPr>
            </w:pPr>
            <w:r w:rsidRPr="00347D62">
              <w:rPr>
                <w:bCs/>
                <w:iCs/>
                <w:sz w:val="16"/>
                <w:szCs w:val="16"/>
                <w:lang w:val="ru-RU"/>
              </w:rPr>
              <w:t xml:space="preserve">Повышение срока службы новых теплоизоляционных фальш-потолков </w:t>
            </w:r>
          </w:p>
        </w:tc>
      </w:tr>
      <w:tr w:rsidR="00C85043" w:rsidRPr="005C6ABD" w:rsidTr="00C85043">
        <w:trPr>
          <w:trHeight w:val="552"/>
          <w:jc w:val="center"/>
        </w:trPr>
        <w:tc>
          <w:tcPr>
            <w:tcW w:w="4539" w:type="dxa"/>
            <w:shd w:val="clear" w:color="auto" w:fill="auto"/>
            <w:vAlign w:val="center"/>
          </w:tcPr>
          <w:p w:rsidR="00C85043" w:rsidRPr="00AB735C" w:rsidRDefault="00C85043" w:rsidP="00C85043">
            <w:pPr>
              <w:rPr>
                <w:b/>
                <w:bCs/>
                <w:i/>
                <w:iCs/>
                <w:sz w:val="16"/>
                <w:szCs w:val="16"/>
                <w:lang w:val="ru-RU"/>
              </w:rPr>
            </w:pPr>
          </w:p>
        </w:tc>
        <w:tc>
          <w:tcPr>
            <w:tcW w:w="4539" w:type="dxa"/>
            <w:shd w:val="clear" w:color="auto" w:fill="auto"/>
            <w:vAlign w:val="center"/>
          </w:tcPr>
          <w:p w:rsidR="00C85043" w:rsidRPr="00347D62" w:rsidRDefault="00C85043" w:rsidP="00C85043">
            <w:pPr>
              <w:rPr>
                <w:bCs/>
                <w:iCs/>
                <w:sz w:val="16"/>
                <w:szCs w:val="16"/>
                <w:lang w:val="ru-RU"/>
              </w:rPr>
            </w:pPr>
            <w:r w:rsidRPr="00347D62">
              <w:rPr>
                <w:bCs/>
                <w:iCs/>
                <w:sz w:val="16"/>
                <w:szCs w:val="16"/>
                <w:lang w:val="ru-RU"/>
              </w:rPr>
              <w:t xml:space="preserve">Сокращение расходов на внеплановое техническое обслуживание за счет установки новых теплоизоляционных фальш-потолков </w:t>
            </w:r>
          </w:p>
        </w:tc>
      </w:tr>
    </w:tbl>
    <w:p w:rsidR="00C85043" w:rsidRPr="00AB735C" w:rsidRDefault="00C85043" w:rsidP="00C85043">
      <w:pPr>
        <w:rPr>
          <w:b/>
          <w:sz w:val="18"/>
          <w:szCs w:val="20"/>
          <w:lang w:val="ru-RU"/>
        </w:rPr>
      </w:pPr>
    </w:p>
    <w:p w:rsidR="00C85043" w:rsidRPr="00AB735C" w:rsidRDefault="00C85043" w:rsidP="00C85043">
      <w:pPr>
        <w:rPr>
          <w:rFonts w:cs="Arial"/>
          <w:color w:val="000000"/>
          <w:szCs w:val="22"/>
          <w:lang w:val="ru-RU"/>
        </w:rPr>
      </w:pPr>
    </w:p>
    <w:p w:rsidR="00C85043" w:rsidRPr="0055183A" w:rsidRDefault="00C85043" w:rsidP="00C85043">
      <w:pPr>
        <w:rPr>
          <w:rFonts w:cs="Arial"/>
          <w:color w:val="000000"/>
          <w:szCs w:val="20"/>
          <w:lang w:val="ru-RU"/>
        </w:rPr>
      </w:pPr>
      <w:r w:rsidRPr="0055183A">
        <w:rPr>
          <w:rFonts w:cs="Arial"/>
          <w:color w:val="000000"/>
          <w:szCs w:val="20"/>
          <w:lang w:val="ru-RU"/>
        </w:rPr>
        <w:t>ИСПОЛЬЗОВАНИЕ РЕСУРСОВ</w:t>
      </w:r>
      <w:r w:rsidRPr="00811367">
        <w:rPr>
          <w:rStyle w:val="FootnoteReference"/>
          <w:szCs w:val="20"/>
        </w:rPr>
        <w:footnoteReference w:id="175"/>
      </w:r>
      <w:r w:rsidRPr="0055183A">
        <w:rPr>
          <w:rFonts w:cs="Arial"/>
          <w:color w:val="000000"/>
          <w:szCs w:val="20"/>
          <w:lang w:val="ru-RU"/>
        </w:rPr>
        <w:tab/>
      </w:r>
    </w:p>
    <w:p w:rsidR="00C85043" w:rsidRPr="0055183A" w:rsidRDefault="00C85043" w:rsidP="00C85043">
      <w:pPr>
        <w:rPr>
          <w:rFonts w:cs="Arial"/>
          <w:color w:val="000000"/>
          <w:szCs w:val="20"/>
          <w:lang w:val="ru-RU"/>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color w:val="000000"/>
          <w:szCs w:val="22"/>
          <w:lang w:val="ru-RU"/>
        </w:rPr>
        <w:t>Сумма бюджетных средств, освоенных в рамках проекта</w:t>
      </w:r>
      <w:r w:rsidRPr="007F540C">
        <w:rPr>
          <w:b/>
          <w:szCs w:val="22"/>
          <w:lang w:val="ru-RU"/>
        </w:rPr>
        <w:t xml:space="preserve"> </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color w:val="000000"/>
          <w:sz w:val="18"/>
          <w:szCs w:val="18"/>
          <w:lang w:val="ru-RU"/>
        </w:rPr>
        <w:t>(в шв. франках по состоянию на 31 декабря 2015 г.)</w:t>
      </w:r>
    </w:p>
    <w:tbl>
      <w:tblPr>
        <w:tblpPr w:leftFromText="180" w:rightFromText="180" w:vertAnchor="text" w:horzAnchor="margin" w:tblpX="182" w:tblpY="17"/>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C85043" w:rsidRPr="00970583" w:rsidTr="00C85043">
        <w:trPr>
          <w:trHeight w:val="410"/>
        </w:trPr>
        <w:tc>
          <w:tcPr>
            <w:tcW w:w="159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Наименование проекта</w:t>
            </w:r>
          </w:p>
        </w:tc>
        <w:tc>
          <w:tcPr>
            <w:tcW w:w="85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107" w:right="-108"/>
              <w:jc w:val="center"/>
              <w:rPr>
                <w:b/>
                <w:bCs/>
                <w:sz w:val="16"/>
                <w:szCs w:val="16"/>
              </w:rPr>
            </w:pPr>
            <w:r>
              <w:rPr>
                <w:b/>
                <w:bCs/>
                <w:color w:val="000000"/>
                <w:sz w:val="16"/>
                <w:szCs w:val="16"/>
              </w:rPr>
              <w:t>Смета по проекту</w:t>
            </w:r>
          </w:p>
        </w:tc>
        <w:tc>
          <w:tcPr>
            <w:tcW w:w="85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color w:val="000000"/>
                <w:sz w:val="16"/>
                <w:szCs w:val="16"/>
                <w:lang w:val="ru-RU"/>
              </w:rPr>
              <w:t>Фактические расходы по настоящее время</w:t>
            </w:r>
          </w:p>
        </w:tc>
        <w:tc>
          <w:tcPr>
            <w:tcW w:w="85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85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109" w:right="-73" w:firstLine="1"/>
              <w:jc w:val="center"/>
              <w:rPr>
                <w:b/>
                <w:bCs/>
                <w:sz w:val="16"/>
                <w:szCs w:val="16"/>
              </w:rPr>
            </w:pPr>
            <w:r>
              <w:rPr>
                <w:b/>
                <w:bCs/>
                <w:color w:val="000000"/>
                <w:sz w:val="16"/>
                <w:szCs w:val="16"/>
              </w:rPr>
              <w:t>Степень реализации проекта</w:t>
            </w:r>
          </w:p>
        </w:tc>
      </w:tr>
      <w:tr w:rsidR="00C85043" w:rsidRPr="00970583" w:rsidTr="00C85043">
        <w:trPr>
          <w:trHeight w:val="389"/>
        </w:trPr>
        <w:tc>
          <w:tcPr>
            <w:tcW w:w="1598" w:type="pct"/>
            <w:tcBorders>
              <w:top w:val="single" w:sz="4" w:space="0" w:color="auto"/>
              <w:left w:val="single" w:sz="4" w:space="0" w:color="auto"/>
              <w:bottom w:val="single" w:sz="4" w:space="0" w:color="auto"/>
              <w:right w:val="single" w:sz="4" w:space="0" w:color="auto"/>
            </w:tcBorders>
            <w:vAlign w:val="center"/>
          </w:tcPr>
          <w:p w:rsidR="00C85043" w:rsidRPr="005C7240" w:rsidRDefault="00C85043" w:rsidP="00C85043">
            <w:pPr>
              <w:keepNext/>
              <w:keepLines/>
              <w:autoSpaceDE w:val="0"/>
              <w:autoSpaceDN w:val="0"/>
              <w:adjustRightInd w:val="0"/>
              <w:spacing w:before="40" w:after="40"/>
              <w:rPr>
                <w:sz w:val="16"/>
                <w:szCs w:val="16"/>
                <w:lang w:val="ru-RU"/>
              </w:rPr>
            </w:pPr>
            <w:r w:rsidRPr="00DB431D">
              <w:rPr>
                <w:sz w:val="16"/>
                <w:szCs w:val="16"/>
                <w:lang w:val="ru-RU"/>
              </w:rPr>
              <w:t>Реконструкци</w:t>
            </w:r>
            <w:r>
              <w:rPr>
                <w:sz w:val="16"/>
                <w:szCs w:val="16"/>
                <w:lang w:val="ru-RU"/>
              </w:rPr>
              <w:t>я</w:t>
            </w:r>
            <w:r w:rsidRPr="005C7240">
              <w:rPr>
                <w:sz w:val="16"/>
                <w:szCs w:val="16"/>
                <w:lang w:val="ru-RU"/>
              </w:rPr>
              <w:t xml:space="preserve"> фасадов и установка оборудования охлаждения/отопительного оборудования в здании РСТ (ГПКР</w:t>
            </w:r>
            <w:r>
              <w:rPr>
                <w:sz w:val="16"/>
                <w:szCs w:val="16"/>
                <w:lang w:val="ru-RU"/>
              </w:rPr>
              <w:t>-</w:t>
            </w:r>
            <w:r w:rsidRPr="005C7240">
              <w:rPr>
                <w:sz w:val="16"/>
                <w:szCs w:val="16"/>
                <w:lang w:val="ru-RU"/>
              </w:rPr>
              <w:t>3)</w:t>
            </w:r>
          </w:p>
        </w:tc>
        <w:tc>
          <w:tcPr>
            <w:tcW w:w="850"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keepNext/>
              <w:keepLines/>
              <w:autoSpaceDE w:val="0"/>
              <w:autoSpaceDN w:val="0"/>
              <w:adjustRightInd w:val="0"/>
              <w:spacing w:before="40" w:after="40"/>
              <w:jc w:val="center"/>
              <w:rPr>
                <w:sz w:val="16"/>
                <w:szCs w:val="16"/>
              </w:rPr>
            </w:pPr>
            <w:r w:rsidRPr="00970583">
              <w:rPr>
                <w:sz w:val="16"/>
                <w:szCs w:val="16"/>
              </w:rPr>
              <w:t>6</w:t>
            </w:r>
            <w:r>
              <w:rPr>
                <w:sz w:val="16"/>
                <w:szCs w:val="16"/>
              </w:rPr>
              <w:t> </w:t>
            </w:r>
            <w:r w:rsidRPr="00970583">
              <w:rPr>
                <w:sz w:val="16"/>
                <w:szCs w:val="16"/>
              </w:rPr>
              <w:t>000</w:t>
            </w:r>
            <w:r>
              <w:rPr>
                <w:sz w:val="16"/>
                <w:szCs w:val="16"/>
              </w:rPr>
              <w:t> </w:t>
            </w:r>
            <w:r w:rsidRPr="00970583">
              <w:rPr>
                <w:sz w:val="16"/>
                <w:szCs w:val="16"/>
              </w:rPr>
              <w:t>000</w:t>
            </w:r>
          </w:p>
        </w:tc>
        <w:tc>
          <w:tcPr>
            <w:tcW w:w="851"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83</w:t>
            </w:r>
            <w:r>
              <w:rPr>
                <w:sz w:val="16"/>
                <w:szCs w:val="16"/>
              </w:rPr>
              <w:t> </w:t>
            </w:r>
            <w:r w:rsidRPr="00EC7C86">
              <w:rPr>
                <w:sz w:val="16"/>
                <w:szCs w:val="16"/>
              </w:rPr>
              <w:t>651</w:t>
            </w:r>
          </w:p>
        </w:tc>
        <w:tc>
          <w:tcPr>
            <w:tcW w:w="851"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1</w:t>
            </w:r>
            <w:r>
              <w:rPr>
                <w:sz w:val="16"/>
                <w:szCs w:val="16"/>
              </w:rPr>
              <w:t>,</w:t>
            </w:r>
            <w:r w:rsidRPr="00EC7C86">
              <w:rPr>
                <w:sz w:val="16"/>
                <w:szCs w:val="16"/>
              </w:rPr>
              <w:t>4%</w:t>
            </w:r>
          </w:p>
        </w:tc>
        <w:tc>
          <w:tcPr>
            <w:tcW w:w="850"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10%</w:t>
            </w:r>
          </w:p>
        </w:tc>
      </w:tr>
    </w:tbl>
    <w:p w:rsidR="00C85043" w:rsidRDefault="00C85043" w:rsidP="00C85043">
      <w:pPr>
        <w:rPr>
          <w:b/>
          <w:szCs w:val="22"/>
        </w:rPr>
      </w:pPr>
    </w:p>
    <w:p w:rsidR="00EB5F29" w:rsidRDefault="00EB5F29">
      <w:pPr>
        <w:rPr>
          <w:b/>
          <w:color w:val="000000"/>
          <w:szCs w:val="22"/>
          <w:lang w:val="ru-RU"/>
        </w:rPr>
      </w:pPr>
      <w:r>
        <w:rPr>
          <w:b/>
          <w:color w:val="000000"/>
          <w:szCs w:val="22"/>
          <w:lang w:val="ru-RU"/>
        </w:rPr>
        <w:br w:type="page"/>
      </w: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color w:val="000000"/>
          <w:szCs w:val="22"/>
          <w:lang w:val="ru-RU"/>
        </w:rPr>
        <w:t>Сумма бюджетных средств, освоенных в рамках проекта (</w:t>
      </w:r>
      <w:r>
        <w:rPr>
          <w:b/>
          <w:color w:val="000000"/>
          <w:szCs w:val="22"/>
          <w:lang w:val="ru-RU"/>
        </w:rPr>
        <w:t>в разбивке по основным результатам</w:t>
      </w:r>
      <w:r w:rsidRPr="007F540C">
        <w:rPr>
          <w:b/>
          <w:color w:val="000000"/>
          <w:szCs w:val="22"/>
          <w:lang w:val="ru-RU"/>
        </w:rPr>
        <w:t>)</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8"/>
        <w:gridCol w:w="1575"/>
        <w:gridCol w:w="1575"/>
        <w:gridCol w:w="1575"/>
        <w:gridCol w:w="1575"/>
      </w:tblGrid>
      <w:tr w:rsidR="00C85043" w:rsidRPr="005C6ABD" w:rsidTr="00C85043">
        <w:trPr>
          <w:trHeight w:val="410"/>
        </w:trPr>
        <w:tc>
          <w:tcPr>
            <w:tcW w:w="157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Основной результат</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107" w:right="-108"/>
              <w:jc w:val="center"/>
              <w:rPr>
                <w:b/>
                <w:bCs/>
                <w:sz w:val="16"/>
                <w:szCs w:val="16"/>
              </w:rPr>
            </w:pPr>
            <w:r>
              <w:rPr>
                <w:b/>
                <w:bCs/>
                <w:sz w:val="16"/>
                <w:szCs w:val="16"/>
              </w:rPr>
              <w:t>Смета по проекту</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9" w:right="-73" w:firstLine="1"/>
              <w:jc w:val="center"/>
              <w:rPr>
                <w:b/>
                <w:bCs/>
                <w:sz w:val="16"/>
                <w:szCs w:val="16"/>
                <w:lang w:val="ru-RU"/>
              </w:rPr>
            </w:pPr>
            <w:r w:rsidRPr="00715C25">
              <w:rPr>
                <w:b/>
                <w:bCs/>
                <w:sz w:val="16"/>
                <w:szCs w:val="16"/>
                <w:lang w:val="ru-RU"/>
              </w:rPr>
              <w:t xml:space="preserve">Степень реализации проекта </w:t>
            </w:r>
            <w:r>
              <w:rPr>
                <w:b/>
                <w:bCs/>
                <w:sz w:val="16"/>
                <w:szCs w:val="16"/>
                <w:lang w:val="ru-RU"/>
              </w:rPr>
              <w:t xml:space="preserve">в разбивке по основным </w:t>
            </w:r>
            <w:r w:rsidRPr="006F4949">
              <w:rPr>
                <w:b/>
                <w:bCs/>
                <w:sz w:val="16"/>
                <w:szCs w:val="16"/>
                <w:lang w:val="ru-RU"/>
              </w:rPr>
              <w:t>результат</w:t>
            </w:r>
            <w:r>
              <w:rPr>
                <w:b/>
                <w:bCs/>
                <w:sz w:val="16"/>
                <w:szCs w:val="16"/>
                <w:lang w:val="ru-RU"/>
              </w:rPr>
              <w:t>ам</w:t>
            </w:r>
          </w:p>
        </w:tc>
      </w:tr>
      <w:tr w:rsidR="00C85043" w:rsidRPr="00970583" w:rsidTr="00C85043">
        <w:trPr>
          <w:trHeight w:val="389"/>
        </w:trPr>
        <w:tc>
          <w:tcPr>
            <w:tcW w:w="1575" w:type="pct"/>
            <w:tcBorders>
              <w:top w:val="single" w:sz="4" w:space="0" w:color="auto"/>
              <w:left w:val="single" w:sz="4" w:space="0" w:color="auto"/>
              <w:bottom w:val="single" w:sz="4" w:space="0" w:color="auto"/>
              <w:right w:val="single" w:sz="4" w:space="0" w:color="auto"/>
            </w:tcBorders>
            <w:vAlign w:val="center"/>
          </w:tcPr>
          <w:p w:rsidR="00C85043" w:rsidRPr="0055183A" w:rsidRDefault="00C85043" w:rsidP="00C85043">
            <w:pPr>
              <w:keepNext/>
              <w:keepLines/>
              <w:autoSpaceDE w:val="0"/>
              <w:autoSpaceDN w:val="0"/>
              <w:adjustRightInd w:val="0"/>
              <w:spacing w:before="40" w:after="40"/>
              <w:rPr>
                <w:sz w:val="16"/>
                <w:szCs w:val="16"/>
                <w:lang w:val="ru-RU"/>
              </w:rPr>
            </w:pPr>
            <w:r w:rsidRPr="00906515">
              <w:rPr>
                <w:sz w:val="16"/>
                <w:szCs w:val="16"/>
                <w:lang w:val="ru-RU"/>
              </w:rPr>
              <w:t>Заключение контракта с координатором</w:t>
            </w:r>
            <w:r>
              <w:rPr>
                <w:sz w:val="16"/>
                <w:szCs w:val="16"/>
                <w:lang w:val="ru-RU"/>
              </w:rPr>
              <w:t xml:space="preserve"> </w:t>
            </w:r>
            <w:r w:rsidRPr="002046BE">
              <w:rPr>
                <w:sz w:val="16"/>
                <w:szCs w:val="16"/>
                <w:lang w:val="ru-RU"/>
              </w:rPr>
              <w:t>проект</w:t>
            </w:r>
            <w:r>
              <w:rPr>
                <w:sz w:val="16"/>
                <w:szCs w:val="16"/>
                <w:lang w:val="ru-RU"/>
              </w:rPr>
              <w:t>а</w:t>
            </w:r>
            <w:r w:rsidRPr="00906515">
              <w:rPr>
                <w:sz w:val="16"/>
                <w:szCs w:val="16"/>
                <w:lang w:val="ru-RU"/>
              </w:rPr>
              <w:t>/архитектором</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124</w:t>
            </w:r>
            <w:r>
              <w:rPr>
                <w:sz w:val="16"/>
                <w:szCs w:val="16"/>
              </w:rPr>
              <w:t> </w:t>
            </w:r>
            <w:r w:rsidRPr="00EC7C86">
              <w:rPr>
                <w:sz w:val="16"/>
                <w:szCs w:val="16"/>
              </w:rPr>
              <w:t>000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100%</w:t>
            </w:r>
          </w:p>
        </w:tc>
      </w:tr>
      <w:tr w:rsidR="00C85043" w:rsidRPr="00970583" w:rsidTr="00C85043">
        <w:trPr>
          <w:trHeight w:val="389"/>
        </w:trPr>
        <w:tc>
          <w:tcPr>
            <w:tcW w:w="1575"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rPr>
                <w:sz w:val="16"/>
                <w:szCs w:val="16"/>
              </w:rPr>
            </w:pPr>
            <w:r w:rsidRPr="00906515">
              <w:rPr>
                <w:sz w:val="16"/>
                <w:szCs w:val="16"/>
              </w:rPr>
              <w:t>Заключение контрактов с агентами</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900</w:t>
            </w:r>
            <w:r>
              <w:rPr>
                <w:sz w:val="16"/>
                <w:szCs w:val="16"/>
              </w:rPr>
              <w:t> </w:t>
            </w:r>
            <w:r w:rsidRPr="00EC7C86">
              <w:rPr>
                <w:sz w:val="16"/>
                <w:szCs w:val="16"/>
              </w:rPr>
              <w:t>000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30%</w:t>
            </w:r>
          </w:p>
        </w:tc>
      </w:tr>
      <w:tr w:rsidR="00C85043" w:rsidRPr="00970583" w:rsidTr="00C85043">
        <w:trPr>
          <w:trHeight w:val="389"/>
        </w:trPr>
        <w:tc>
          <w:tcPr>
            <w:tcW w:w="1575" w:type="pct"/>
            <w:tcBorders>
              <w:top w:val="single" w:sz="4" w:space="0" w:color="auto"/>
              <w:left w:val="single" w:sz="4" w:space="0" w:color="auto"/>
              <w:bottom w:val="single" w:sz="4" w:space="0" w:color="auto"/>
              <w:right w:val="single" w:sz="4" w:space="0" w:color="auto"/>
            </w:tcBorders>
            <w:vAlign w:val="center"/>
          </w:tcPr>
          <w:p w:rsidR="00C85043" w:rsidRPr="00906515" w:rsidRDefault="00C85043" w:rsidP="00C85043">
            <w:pPr>
              <w:keepNext/>
              <w:keepLines/>
              <w:autoSpaceDE w:val="0"/>
              <w:autoSpaceDN w:val="0"/>
              <w:adjustRightInd w:val="0"/>
              <w:spacing w:before="40" w:after="40"/>
              <w:rPr>
                <w:sz w:val="16"/>
                <w:szCs w:val="16"/>
                <w:lang w:val="ru-RU"/>
              </w:rPr>
            </w:pPr>
            <w:r w:rsidRPr="00906515">
              <w:rPr>
                <w:sz w:val="16"/>
                <w:szCs w:val="16"/>
                <w:lang w:val="ru-RU"/>
              </w:rPr>
              <w:t>Выделение внутренних и внешних ресурсов</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867</w:t>
            </w:r>
            <w:r>
              <w:rPr>
                <w:sz w:val="16"/>
                <w:szCs w:val="16"/>
              </w:rPr>
              <w:t> </w:t>
            </w:r>
            <w:r w:rsidRPr="00EC7C86">
              <w:rPr>
                <w:sz w:val="16"/>
                <w:szCs w:val="16"/>
              </w:rPr>
              <w:t>000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83</w:t>
            </w:r>
            <w:r>
              <w:rPr>
                <w:sz w:val="16"/>
                <w:szCs w:val="16"/>
              </w:rPr>
              <w:t> </w:t>
            </w:r>
            <w:r w:rsidRPr="00EC7C86">
              <w:rPr>
                <w:sz w:val="16"/>
                <w:szCs w:val="16"/>
              </w:rPr>
              <w:t>651</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9</w:t>
            </w:r>
            <w:r>
              <w:rPr>
                <w:sz w:val="16"/>
                <w:szCs w:val="16"/>
                <w:lang w:val="ru-RU"/>
              </w:rPr>
              <w:t>,</w:t>
            </w:r>
            <w:r w:rsidRPr="00EC7C86">
              <w:rPr>
                <w:sz w:val="16"/>
                <w:szCs w:val="16"/>
              </w:rPr>
              <w:t>6%</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15%</w:t>
            </w:r>
          </w:p>
        </w:tc>
      </w:tr>
      <w:tr w:rsidR="00C85043" w:rsidRPr="00970583" w:rsidTr="00C85043">
        <w:trPr>
          <w:trHeight w:val="389"/>
        </w:trPr>
        <w:tc>
          <w:tcPr>
            <w:tcW w:w="1575" w:type="pct"/>
            <w:tcBorders>
              <w:top w:val="single" w:sz="4" w:space="0" w:color="auto"/>
              <w:left w:val="single" w:sz="4" w:space="0" w:color="auto"/>
              <w:bottom w:val="single" w:sz="4" w:space="0" w:color="auto"/>
              <w:right w:val="single" w:sz="4" w:space="0" w:color="auto"/>
            </w:tcBorders>
            <w:vAlign w:val="center"/>
          </w:tcPr>
          <w:p w:rsidR="00C85043" w:rsidRPr="00906515" w:rsidRDefault="00C85043" w:rsidP="00C85043">
            <w:pPr>
              <w:keepNext/>
              <w:keepLines/>
              <w:autoSpaceDE w:val="0"/>
              <w:autoSpaceDN w:val="0"/>
              <w:adjustRightInd w:val="0"/>
              <w:spacing w:before="40" w:after="40"/>
              <w:rPr>
                <w:sz w:val="16"/>
                <w:szCs w:val="16"/>
                <w:lang w:val="ru-RU"/>
              </w:rPr>
            </w:pPr>
            <w:r>
              <w:rPr>
                <w:sz w:val="16"/>
                <w:szCs w:val="16"/>
                <w:lang w:val="ru-RU"/>
              </w:rPr>
              <w:t>Выполнение работ</w:t>
            </w:r>
            <w:r w:rsidRPr="00906515">
              <w:rPr>
                <w:sz w:val="16"/>
                <w:szCs w:val="16"/>
                <w:lang w:val="ru-RU"/>
              </w:rPr>
              <w:t xml:space="preserve"> </w:t>
            </w:r>
            <w:r>
              <w:rPr>
                <w:sz w:val="16"/>
                <w:szCs w:val="16"/>
                <w:lang w:val="ru-RU"/>
              </w:rPr>
              <w:t>и</w:t>
            </w:r>
            <w:r w:rsidRPr="00906515">
              <w:rPr>
                <w:sz w:val="16"/>
                <w:szCs w:val="16"/>
                <w:lang w:val="ru-RU"/>
              </w:rPr>
              <w:t xml:space="preserve"> </w:t>
            </w:r>
            <w:r>
              <w:rPr>
                <w:sz w:val="16"/>
                <w:szCs w:val="16"/>
                <w:lang w:val="ru-RU"/>
              </w:rPr>
              <w:t>сдача</w:t>
            </w:r>
            <w:r w:rsidRPr="00906515">
              <w:rPr>
                <w:sz w:val="16"/>
                <w:szCs w:val="16"/>
                <w:lang w:val="ru-RU"/>
              </w:rPr>
              <w:t xml:space="preserve"> результат</w:t>
            </w:r>
            <w:r>
              <w:rPr>
                <w:sz w:val="16"/>
                <w:szCs w:val="16"/>
                <w:lang w:val="ru-RU"/>
              </w:rPr>
              <w:t>ов</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4</w:t>
            </w:r>
            <w:r>
              <w:rPr>
                <w:sz w:val="16"/>
                <w:szCs w:val="16"/>
              </w:rPr>
              <w:t> </w:t>
            </w:r>
            <w:r w:rsidRPr="00EC7C86">
              <w:rPr>
                <w:sz w:val="16"/>
                <w:szCs w:val="16"/>
              </w:rPr>
              <w:t>109</w:t>
            </w:r>
            <w:r>
              <w:rPr>
                <w:sz w:val="16"/>
                <w:szCs w:val="16"/>
              </w:rPr>
              <w:t> </w:t>
            </w:r>
            <w:r w:rsidRPr="00EC7C86">
              <w:rPr>
                <w:sz w:val="16"/>
                <w:szCs w:val="16"/>
              </w:rPr>
              <w:t>000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sidRPr="00EC7C86">
              <w:rPr>
                <w:sz w:val="16"/>
                <w:szCs w:val="16"/>
              </w:rPr>
              <w:t>0%</w:t>
            </w:r>
          </w:p>
        </w:tc>
        <w:tc>
          <w:tcPr>
            <w:tcW w:w="856"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keepNext/>
              <w:keepLines/>
              <w:autoSpaceDE w:val="0"/>
              <w:autoSpaceDN w:val="0"/>
              <w:adjustRightInd w:val="0"/>
              <w:spacing w:before="40" w:after="40"/>
              <w:jc w:val="center"/>
              <w:rPr>
                <w:sz w:val="16"/>
                <w:szCs w:val="16"/>
              </w:rPr>
            </w:pPr>
            <w:r>
              <w:rPr>
                <w:sz w:val="16"/>
                <w:szCs w:val="16"/>
              </w:rPr>
              <w:t>-</w:t>
            </w:r>
          </w:p>
        </w:tc>
      </w:tr>
      <w:tr w:rsidR="00C85043" w:rsidRPr="00970583" w:rsidTr="00C85043">
        <w:trPr>
          <w:trHeight w:val="389"/>
        </w:trPr>
        <w:tc>
          <w:tcPr>
            <w:tcW w:w="157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C7C86" w:rsidRDefault="00C85043" w:rsidP="00C85043">
            <w:pPr>
              <w:keepNext/>
              <w:keepLines/>
              <w:autoSpaceDE w:val="0"/>
              <w:autoSpaceDN w:val="0"/>
              <w:adjustRightInd w:val="0"/>
              <w:spacing w:before="40" w:after="40"/>
              <w:rPr>
                <w:b/>
                <w:sz w:val="16"/>
                <w:szCs w:val="16"/>
              </w:rPr>
            </w:pPr>
            <w:r>
              <w:rPr>
                <w:b/>
                <w:sz w:val="16"/>
                <w:szCs w:val="16"/>
              </w:rPr>
              <w:t>Итого</w:t>
            </w:r>
          </w:p>
        </w:tc>
        <w:tc>
          <w:tcPr>
            <w:tcW w:w="85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C7C86" w:rsidRDefault="00C85043" w:rsidP="00C85043">
            <w:pPr>
              <w:keepNext/>
              <w:keepLines/>
              <w:autoSpaceDE w:val="0"/>
              <w:autoSpaceDN w:val="0"/>
              <w:adjustRightInd w:val="0"/>
              <w:spacing w:before="40" w:after="40"/>
              <w:jc w:val="center"/>
              <w:rPr>
                <w:b/>
                <w:sz w:val="16"/>
                <w:szCs w:val="16"/>
              </w:rPr>
            </w:pPr>
            <w:r w:rsidRPr="00EC7C86">
              <w:rPr>
                <w:b/>
                <w:sz w:val="16"/>
                <w:szCs w:val="16"/>
              </w:rPr>
              <w:t>6</w:t>
            </w:r>
            <w:r>
              <w:rPr>
                <w:b/>
                <w:sz w:val="16"/>
                <w:szCs w:val="16"/>
              </w:rPr>
              <w:t> </w:t>
            </w:r>
            <w:r w:rsidRPr="00EC7C86">
              <w:rPr>
                <w:b/>
                <w:sz w:val="16"/>
                <w:szCs w:val="16"/>
              </w:rPr>
              <w:t>000</w:t>
            </w:r>
            <w:r>
              <w:rPr>
                <w:b/>
                <w:sz w:val="16"/>
                <w:szCs w:val="16"/>
              </w:rPr>
              <w:t> </w:t>
            </w:r>
            <w:r w:rsidRPr="00EC7C86">
              <w:rPr>
                <w:b/>
                <w:sz w:val="16"/>
                <w:szCs w:val="16"/>
              </w:rPr>
              <w:t>000</w:t>
            </w:r>
          </w:p>
        </w:tc>
        <w:tc>
          <w:tcPr>
            <w:tcW w:w="856" w:type="pct"/>
            <w:tcBorders>
              <w:top w:val="single" w:sz="4" w:space="0" w:color="auto"/>
              <w:left w:val="single" w:sz="4" w:space="0" w:color="auto"/>
              <w:bottom w:val="single" w:sz="4" w:space="0" w:color="auto"/>
              <w:right w:val="single" w:sz="4" w:space="0" w:color="auto"/>
            </w:tcBorders>
            <w:shd w:val="clear" w:color="auto" w:fill="C6D9F1"/>
          </w:tcPr>
          <w:p w:rsidR="00C85043" w:rsidRPr="00EC7C86" w:rsidRDefault="00C85043" w:rsidP="00C85043">
            <w:pPr>
              <w:keepNext/>
              <w:keepLines/>
              <w:autoSpaceDE w:val="0"/>
              <w:autoSpaceDN w:val="0"/>
              <w:adjustRightInd w:val="0"/>
              <w:spacing w:before="40" w:after="40"/>
              <w:jc w:val="center"/>
              <w:rPr>
                <w:b/>
                <w:sz w:val="16"/>
                <w:szCs w:val="16"/>
              </w:rPr>
            </w:pPr>
            <w:r w:rsidRPr="00EC7C86">
              <w:rPr>
                <w:b/>
                <w:sz w:val="16"/>
                <w:szCs w:val="16"/>
              </w:rPr>
              <w:t>83</w:t>
            </w:r>
            <w:r>
              <w:rPr>
                <w:b/>
                <w:sz w:val="16"/>
                <w:szCs w:val="16"/>
              </w:rPr>
              <w:t> </w:t>
            </w:r>
            <w:r w:rsidRPr="00EC7C86">
              <w:rPr>
                <w:b/>
                <w:sz w:val="16"/>
                <w:szCs w:val="16"/>
              </w:rPr>
              <w:t>651</w:t>
            </w:r>
          </w:p>
        </w:tc>
        <w:tc>
          <w:tcPr>
            <w:tcW w:w="856" w:type="pct"/>
            <w:tcBorders>
              <w:top w:val="single" w:sz="4" w:space="0" w:color="auto"/>
              <w:left w:val="single" w:sz="4" w:space="0" w:color="auto"/>
              <w:bottom w:val="single" w:sz="4" w:space="0" w:color="auto"/>
              <w:right w:val="single" w:sz="4" w:space="0" w:color="auto"/>
            </w:tcBorders>
            <w:shd w:val="clear" w:color="auto" w:fill="C6D9F1"/>
          </w:tcPr>
          <w:p w:rsidR="00C85043" w:rsidRPr="00EC7C86" w:rsidRDefault="00C85043" w:rsidP="00C85043">
            <w:pPr>
              <w:keepNext/>
              <w:keepLines/>
              <w:autoSpaceDE w:val="0"/>
              <w:autoSpaceDN w:val="0"/>
              <w:adjustRightInd w:val="0"/>
              <w:spacing w:before="40" w:after="40"/>
              <w:jc w:val="center"/>
              <w:rPr>
                <w:b/>
                <w:sz w:val="16"/>
                <w:szCs w:val="16"/>
              </w:rPr>
            </w:pPr>
          </w:p>
        </w:tc>
        <w:tc>
          <w:tcPr>
            <w:tcW w:w="856" w:type="pct"/>
            <w:tcBorders>
              <w:top w:val="single" w:sz="4" w:space="0" w:color="auto"/>
              <w:left w:val="single" w:sz="4" w:space="0" w:color="auto"/>
              <w:bottom w:val="single" w:sz="4" w:space="0" w:color="auto"/>
              <w:right w:val="single" w:sz="4" w:space="0" w:color="auto"/>
            </w:tcBorders>
            <w:shd w:val="clear" w:color="auto" w:fill="C6D9F1"/>
          </w:tcPr>
          <w:p w:rsidR="00C85043" w:rsidRPr="00EC7C86" w:rsidRDefault="00C85043" w:rsidP="00C85043">
            <w:pPr>
              <w:keepNext/>
              <w:keepLines/>
              <w:autoSpaceDE w:val="0"/>
              <w:autoSpaceDN w:val="0"/>
              <w:adjustRightInd w:val="0"/>
              <w:spacing w:before="40" w:after="40"/>
              <w:jc w:val="center"/>
              <w:rPr>
                <w:b/>
                <w:sz w:val="16"/>
                <w:szCs w:val="16"/>
              </w:rPr>
            </w:pPr>
          </w:p>
        </w:tc>
      </w:tr>
    </w:tbl>
    <w:p w:rsidR="00C85043" w:rsidRDefault="00C85043" w:rsidP="00C85043">
      <w:pPr>
        <w:keepNext/>
        <w:keepLines/>
        <w:tabs>
          <w:tab w:val="left" w:pos="3261"/>
        </w:tabs>
        <w:autoSpaceDE w:val="0"/>
        <w:autoSpaceDN w:val="0"/>
        <w:adjustRightInd w:val="0"/>
        <w:jc w:val="center"/>
        <w:rPr>
          <w:b/>
          <w:color w:val="000000"/>
          <w:szCs w:val="22"/>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color w:val="000000"/>
          <w:szCs w:val="22"/>
          <w:lang w:val="ru-RU"/>
        </w:rPr>
        <w:t xml:space="preserve">Сумма бюджетных средств, освоенных в рамках проекта </w:t>
      </w:r>
      <w:r>
        <w:rPr>
          <w:b/>
          <w:color w:val="000000"/>
          <w:szCs w:val="22"/>
          <w:lang w:val="ru-RU"/>
        </w:rPr>
        <w:t>(в разбивке по категориям расходов)</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W w:w="47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1840"/>
        <w:gridCol w:w="1840"/>
        <w:gridCol w:w="2141"/>
      </w:tblGrid>
      <w:tr w:rsidR="00C85043" w:rsidRPr="00970583" w:rsidTr="00C85043">
        <w:trPr>
          <w:trHeight w:val="569"/>
        </w:trPr>
        <w:tc>
          <w:tcPr>
            <w:tcW w:w="179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line="260" w:lineRule="exact"/>
              <w:ind w:left="-74" w:right="-60"/>
              <w:jc w:val="center"/>
              <w:rPr>
                <w:b/>
                <w:bCs/>
                <w:sz w:val="16"/>
                <w:szCs w:val="16"/>
              </w:rPr>
            </w:pPr>
            <w:r>
              <w:rPr>
                <w:b/>
                <w:bCs/>
                <w:sz w:val="16"/>
                <w:szCs w:val="16"/>
              </w:rPr>
              <w:t>Категория расходов</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line="260" w:lineRule="exact"/>
              <w:ind w:left="-107" w:right="-108"/>
              <w:jc w:val="center"/>
              <w:rPr>
                <w:b/>
                <w:bCs/>
                <w:sz w:val="16"/>
                <w:szCs w:val="16"/>
              </w:rPr>
            </w:pPr>
            <w:r>
              <w:rPr>
                <w:b/>
                <w:bCs/>
                <w:sz w:val="16"/>
                <w:szCs w:val="16"/>
              </w:rPr>
              <w:t>Смета по проекту</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line="260" w:lineRule="exact"/>
              <w:ind w:left="-108"/>
              <w:jc w:val="center"/>
              <w:rPr>
                <w:b/>
                <w:bCs/>
                <w:sz w:val="16"/>
                <w:szCs w:val="16"/>
                <w:lang w:val="ru-RU"/>
              </w:rPr>
            </w:pPr>
            <w:r w:rsidRPr="00715C25">
              <w:rPr>
                <w:b/>
                <w:bCs/>
                <w:sz w:val="16"/>
                <w:szCs w:val="16"/>
                <w:lang w:val="ru-RU"/>
              </w:rPr>
              <w:t xml:space="preserve">Фактические расходы по настоящее время </w:t>
            </w:r>
          </w:p>
        </w:tc>
        <w:tc>
          <w:tcPr>
            <w:tcW w:w="118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70583" w:rsidRDefault="00C85043" w:rsidP="00C85043">
            <w:pPr>
              <w:keepNext/>
              <w:keepLines/>
              <w:autoSpaceDE w:val="0"/>
              <w:autoSpaceDN w:val="0"/>
              <w:adjustRightInd w:val="0"/>
              <w:spacing w:before="40" w:after="40" w:line="260" w:lineRule="exact"/>
              <w:ind w:left="-109"/>
              <w:jc w:val="center"/>
              <w:rPr>
                <w:b/>
                <w:bCs/>
                <w:sz w:val="16"/>
                <w:szCs w:val="16"/>
              </w:rPr>
            </w:pPr>
            <w:r>
              <w:rPr>
                <w:b/>
                <w:bCs/>
                <w:sz w:val="16"/>
                <w:szCs w:val="16"/>
              </w:rPr>
              <w:t>Фактически освоено бюджетных средств</w:t>
            </w:r>
          </w:p>
        </w:tc>
      </w:tr>
      <w:tr w:rsidR="00C85043" w:rsidRPr="00970583" w:rsidTr="00C85043">
        <w:tc>
          <w:tcPr>
            <w:tcW w:w="1791" w:type="pct"/>
            <w:tcBorders>
              <w:top w:val="single" w:sz="4" w:space="0" w:color="auto"/>
              <w:left w:val="single" w:sz="4" w:space="0" w:color="auto"/>
              <w:bottom w:val="single" w:sz="4" w:space="0" w:color="auto"/>
              <w:right w:val="single" w:sz="4" w:space="0" w:color="auto"/>
            </w:tcBorders>
            <w:vAlign w:val="center"/>
          </w:tcPr>
          <w:p w:rsidR="00C85043" w:rsidRPr="00906515" w:rsidRDefault="00C85043" w:rsidP="00C85043">
            <w:pPr>
              <w:autoSpaceDE w:val="0"/>
              <w:autoSpaceDN w:val="0"/>
              <w:adjustRightInd w:val="0"/>
              <w:spacing w:before="40" w:after="40" w:line="260" w:lineRule="exact"/>
              <w:rPr>
                <w:sz w:val="16"/>
                <w:szCs w:val="16"/>
                <w:lang w:val="ru-RU"/>
              </w:rPr>
            </w:pPr>
            <w:r>
              <w:rPr>
                <w:color w:val="000000"/>
                <w:sz w:val="16"/>
                <w:szCs w:val="16"/>
                <w:lang w:val="ru-RU"/>
              </w:rPr>
              <w:t>Расходы, связанные со строительством</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sidRPr="00800070">
              <w:rPr>
                <w:sz w:val="16"/>
                <w:szCs w:val="16"/>
              </w:rPr>
              <w:t>3</w:t>
            </w:r>
            <w:r>
              <w:rPr>
                <w:sz w:val="16"/>
                <w:szCs w:val="16"/>
              </w:rPr>
              <w:t> </w:t>
            </w:r>
            <w:r w:rsidRPr="00800070">
              <w:rPr>
                <w:sz w:val="16"/>
                <w:szCs w:val="16"/>
              </w:rPr>
              <w:t>569</w:t>
            </w:r>
            <w:r>
              <w:rPr>
                <w:sz w:val="16"/>
                <w:szCs w:val="16"/>
              </w:rPr>
              <w:t> </w:t>
            </w:r>
            <w:r w:rsidRPr="00800070">
              <w:rPr>
                <w:sz w:val="16"/>
                <w:szCs w:val="16"/>
              </w:rPr>
              <w:t>000</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Pr>
                <w:sz w:val="16"/>
                <w:szCs w:val="16"/>
              </w:rPr>
              <w:t>0</w:t>
            </w:r>
          </w:p>
        </w:tc>
        <w:tc>
          <w:tcPr>
            <w:tcW w:w="118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Pr>
                <w:sz w:val="16"/>
                <w:szCs w:val="16"/>
              </w:rPr>
              <w:t>0%</w:t>
            </w:r>
          </w:p>
        </w:tc>
      </w:tr>
      <w:tr w:rsidR="00C85043" w:rsidRPr="00970583" w:rsidTr="00C85043">
        <w:tc>
          <w:tcPr>
            <w:tcW w:w="1791" w:type="pct"/>
            <w:tcBorders>
              <w:top w:val="single" w:sz="4" w:space="0" w:color="auto"/>
              <w:left w:val="single" w:sz="4" w:space="0" w:color="auto"/>
              <w:bottom w:val="single" w:sz="4" w:space="0" w:color="auto"/>
              <w:right w:val="single" w:sz="4" w:space="0" w:color="auto"/>
            </w:tcBorders>
            <w:vAlign w:val="center"/>
          </w:tcPr>
          <w:p w:rsidR="00C85043" w:rsidRPr="00970583" w:rsidRDefault="00C85043" w:rsidP="00C85043">
            <w:pPr>
              <w:autoSpaceDE w:val="0"/>
              <w:autoSpaceDN w:val="0"/>
              <w:adjustRightInd w:val="0"/>
              <w:spacing w:before="40" w:after="40" w:line="260" w:lineRule="exact"/>
              <w:rPr>
                <w:sz w:val="16"/>
                <w:szCs w:val="16"/>
              </w:rPr>
            </w:pPr>
            <w:r w:rsidRPr="00906515">
              <w:rPr>
                <w:color w:val="000000"/>
                <w:sz w:val="16"/>
                <w:szCs w:val="16"/>
              </w:rPr>
              <w:t>Гонорары</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autoSpaceDE w:val="0"/>
              <w:autoSpaceDN w:val="0"/>
              <w:adjustRightInd w:val="0"/>
              <w:spacing w:before="40" w:after="40" w:line="260" w:lineRule="exact"/>
              <w:jc w:val="center"/>
              <w:rPr>
                <w:sz w:val="16"/>
                <w:szCs w:val="16"/>
              </w:rPr>
            </w:pPr>
            <w:r w:rsidRPr="00800070">
              <w:rPr>
                <w:sz w:val="16"/>
                <w:szCs w:val="16"/>
              </w:rPr>
              <w:t>1</w:t>
            </w:r>
            <w:r>
              <w:rPr>
                <w:sz w:val="16"/>
                <w:szCs w:val="16"/>
              </w:rPr>
              <w:t> </w:t>
            </w:r>
            <w:r w:rsidRPr="00800070">
              <w:rPr>
                <w:sz w:val="16"/>
                <w:szCs w:val="16"/>
              </w:rPr>
              <w:t>024</w:t>
            </w:r>
            <w:r>
              <w:rPr>
                <w:sz w:val="16"/>
                <w:szCs w:val="16"/>
              </w:rPr>
              <w:t> </w:t>
            </w:r>
            <w:r w:rsidRPr="00800070">
              <w:rPr>
                <w:sz w:val="16"/>
                <w:szCs w:val="16"/>
              </w:rPr>
              <w:t>000</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0</w:t>
            </w:r>
          </w:p>
        </w:tc>
        <w:tc>
          <w:tcPr>
            <w:tcW w:w="1180" w:type="pct"/>
            <w:tcBorders>
              <w:top w:val="single" w:sz="4" w:space="0" w:color="auto"/>
              <w:left w:val="single" w:sz="4" w:space="0" w:color="auto"/>
              <w:bottom w:val="single" w:sz="4" w:space="0" w:color="auto"/>
              <w:right w:val="single" w:sz="4" w:space="0" w:color="auto"/>
            </w:tcBorders>
            <w:vAlign w:val="center"/>
          </w:tcPr>
          <w:p w:rsidR="00C85043" w:rsidRPr="00800070" w:rsidRDefault="00C85043" w:rsidP="00C85043">
            <w:pPr>
              <w:jc w:val="center"/>
              <w:rPr>
                <w:sz w:val="16"/>
                <w:szCs w:val="16"/>
              </w:rPr>
            </w:pPr>
            <w:r>
              <w:rPr>
                <w:sz w:val="16"/>
                <w:szCs w:val="16"/>
              </w:rPr>
              <w:t>0%</w:t>
            </w:r>
          </w:p>
        </w:tc>
      </w:tr>
      <w:tr w:rsidR="00C85043" w:rsidRPr="00EC7C86" w:rsidTr="00C85043">
        <w:tc>
          <w:tcPr>
            <w:tcW w:w="1791"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autoSpaceDE w:val="0"/>
              <w:autoSpaceDN w:val="0"/>
              <w:adjustRightInd w:val="0"/>
              <w:spacing w:before="40" w:after="40" w:line="260" w:lineRule="exact"/>
              <w:rPr>
                <w:sz w:val="16"/>
                <w:szCs w:val="16"/>
              </w:rPr>
            </w:pPr>
            <w:r w:rsidRPr="00906515">
              <w:rPr>
                <w:sz w:val="16"/>
                <w:szCs w:val="16"/>
              </w:rPr>
              <w:t>Внутренние/внешние ресурсы</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autoSpaceDE w:val="0"/>
              <w:autoSpaceDN w:val="0"/>
              <w:adjustRightInd w:val="0"/>
              <w:spacing w:before="40" w:after="40" w:line="260" w:lineRule="exact"/>
              <w:jc w:val="center"/>
              <w:rPr>
                <w:sz w:val="16"/>
                <w:szCs w:val="16"/>
              </w:rPr>
            </w:pPr>
            <w:r w:rsidRPr="00EC7C86">
              <w:rPr>
                <w:sz w:val="16"/>
                <w:szCs w:val="16"/>
              </w:rPr>
              <w:t>867</w:t>
            </w:r>
            <w:r>
              <w:rPr>
                <w:sz w:val="16"/>
                <w:szCs w:val="16"/>
              </w:rPr>
              <w:t> </w:t>
            </w:r>
            <w:r w:rsidRPr="00EC7C86">
              <w:rPr>
                <w:sz w:val="16"/>
                <w:szCs w:val="16"/>
              </w:rPr>
              <w:t>000</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jc w:val="center"/>
              <w:rPr>
                <w:sz w:val="16"/>
                <w:szCs w:val="16"/>
              </w:rPr>
            </w:pPr>
            <w:r w:rsidRPr="00EC7C86">
              <w:rPr>
                <w:sz w:val="16"/>
                <w:szCs w:val="16"/>
              </w:rPr>
              <w:t>83</w:t>
            </w:r>
            <w:r>
              <w:rPr>
                <w:sz w:val="16"/>
                <w:szCs w:val="16"/>
              </w:rPr>
              <w:t> </w:t>
            </w:r>
            <w:r w:rsidRPr="00EC7C86">
              <w:rPr>
                <w:sz w:val="16"/>
                <w:szCs w:val="16"/>
              </w:rPr>
              <w:t>651</w:t>
            </w:r>
          </w:p>
        </w:tc>
        <w:tc>
          <w:tcPr>
            <w:tcW w:w="1180"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jc w:val="center"/>
              <w:rPr>
                <w:sz w:val="16"/>
                <w:szCs w:val="16"/>
              </w:rPr>
            </w:pPr>
            <w:r w:rsidRPr="00EC7C86">
              <w:rPr>
                <w:sz w:val="16"/>
                <w:szCs w:val="16"/>
              </w:rPr>
              <w:t>9</w:t>
            </w:r>
            <w:r>
              <w:rPr>
                <w:sz w:val="16"/>
                <w:szCs w:val="16"/>
                <w:lang w:val="ru-RU"/>
              </w:rPr>
              <w:t>,</w:t>
            </w:r>
            <w:r w:rsidRPr="00EC7C86">
              <w:rPr>
                <w:sz w:val="16"/>
                <w:szCs w:val="16"/>
              </w:rPr>
              <w:t>6%</w:t>
            </w:r>
          </w:p>
        </w:tc>
      </w:tr>
      <w:tr w:rsidR="00C85043" w:rsidRPr="00EC7C86" w:rsidTr="00C85043">
        <w:tc>
          <w:tcPr>
            <w:tcW w:w="1791"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autoSpaceDE w:val="0"/>
              <w:autoSpaceDN w:val="0"/>
              <w:adjustRightInd w:val="0"/>
              <w:spacing w:before="40" w:after="40" w:line="260" w:lineRule="exact"/>
              <w:rPr>
                <w:sz w:val="16"/>
                <w:szCs w:val="16"/>
              </w:rPr>
            </w:pPr>
            <w:r>
              <w:rPr>
                <w:sz w:val="16"/>
                <w:szCs w:val="16"/>
                <w:lang w:val="ru-RU"/>
              </w:rPr>
              <w:t xml:space="preserve">Оплата </w:t>
            </w:r>
            <w:r>
              <w:rPr>
                <w:sz w:val="16"/>
                <w:szCs w:val="16"/>
              </w:rPr>
              <w:t>услуг</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autoSpaceDE w:val="0"/>
              <w:autoSpaceDN w:val="0"/>
              <w:adjustRightInd w:val="0"/>
              <w:spacing w:before="40" w:after="40" w:line="260" w:lineRule="exact"/>
              <w:jc w:val="center"/>
              <w:rPr>
                <w:sz w:val="16"/>
                <w:szCs w:val="16"/>
              </w:rPr>
            </w:pPr>
            <w:r w:rsidRPr="00EC7C86">
              <w:rPr>
                <w:sz w:val="16"/>
                <w:szCs w:val="16"/>
              </w:rPr>
              <w:t>120</w:t>
            </w:r>
            <w:r>
              <w:rPr>
                <w:sz w:val="16"/>
                <w:szCs w:val="16"/>
              </w:rPr>
              <w:t> </w:t>
            </w:r>
            <w:r w:rsidRPr="00EC7C86">
              <w:rPr>
                <w:sz w:val="16"/>
                <w:szCs w:val="16"/>
              </w:rPr>
              <w:t>000</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jc w:val="center"/>
              <w:rPr>
                <w:sz w:val="16"/>
                <w:szCs w:val="16"/>
              </w:rPr>
            </w:pPr>
            <w:r w:rsidRPr="00EC7C86">
              <w:rPr>
                <w:sz w:val="16"/>
                <w:szCs w:val="16"/>
              </w:rPr>
              <w:t>0</w:t>
            </w:r>
          </w:p>
        </w:tc>
        <w:tc>
          <w:tcPr>
            <w:tcW w:w="1180"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jc w:val="center"/>
              <w:rPr>
                <w:sz w:val="16"/>
                <w:szCs w:val="16"/>
              </w:rPr>
            </w:pPr>
            <w:r w:rsidRPr="00EC7C86">
              <w:rPr>
                <w:sz w:val="16"/>
                <w:szCs w:val="16"/>
              </w:rPr>
              <w:t>0%</w:t>
            </w:r>
          </w:p>
        </w:tc>
      </w:tr>
      <w:tr w:rsidR="00C85043" w:rsidRPr="00EC7C86" w:rsidTr="00C85043">
        <w:tc>
          <w:tcPr>
            <w:tcW w:w="1791"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autoSpaceDE w:val="0"/>
              <w:autoSpaceDN w:val="0"/>
              <w:adjustRightInd w:val="0"/>
              <w:spacing w:before="40" w:after="40" w:line="260" w:lineRule="exact"/>
              <w:rPr>
                <w:sz w:val="16"/>
                <w:szCs w:val="16"/>
              </w:rPr>
            </w:pPr>
            <w:r w:rsidRPr="00906515">
              <w:rPr>
                <w:sz w:val="16"/>
                <w:szCs w:val="16"/>
              </w:rPr>
              <w:t>Прочие и непредвиденные расходы</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autoSpaceDE w:val="0"/>
              <w:autoSpaceDN w:val="0"/>
              <w:adjustRightInd w:val="0"/>
              <w:spacing w:before="40" w:after="40" w:line="260" w:lineRule="exact"/>
              <w:jc w:val="center"/>
              <w:rPr>
                <w:sz w:val="16"/>
                <w:szCs w:val="16"/>
              </w:rPr>
            </w:pPr>
            <w:r w:rsidRPr="00EC7C86">
              <w:rPr>
                <w:sz w:val="16"/>
                <w:szCs w:val="16"/>
              </w:rPr>
              <w:t>420</w:t>
            </w:r>
            <w:r>
              <w:rPr>
                <w:sz w:val="16"/>
                <w:szCs w:val="16"/>
              </w:rPr>
              <w:t> </w:t>
            </w:r>
            <w:r w:rsidRPr="00EC7C86">
              <w:rPr>
                <w:sz w:val="16"/>
                <w:szCs w:val="16"/>
              </w:rPr>
              <w:t>000</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jc w:val="center"/>
              <w:rPr>
                <w:sz w:val="16"/>
                <w:szCs w:val="16"/>
              </w:rPr>
            </w:pPr>
            <w:r w:rsidRPr="00EC7C86">
              <w:rPr>
                <w:sz w:val="16"/>
                <w:szCs w:val="16"/>
              </w:rPr>
              <w:t>0</w:t>
            </w:r>
          </w:p>
        </w:tc>
        <w:tc>
          <w:tcPr>
            <w:tcW w:w="1180" w:type="pct"/>
            <w:tcBorders>
              <w:top w:val="single" w:sz="4" w:space="0" w:color="auto"/>
              <w:left w:val="single" w:sz="4" w:space="0" w:color="auto"/>
              <w:bottom w:val="single" w:sz="4" w:space="0" w:color="auto"/>
              <w:right w:val="single" w:sz="4" w:space="0" w:color="auto"/>
            </w:tcBorders>
            <w:vAlign w:val="center"/>
          </w:tcPr>
          <w:p w:rsidR="00C85043" w:rsidRPr="00EC7C86" w:rsidRDefault="00C85043" w:rsidP="00C85043">
            <w:pPr>
              <w:jc w:val="center"/>
              <w:rPr>
                <w:sz w:val="16"/>
                <w:szCs w:val="16"/>
              </w:rPr>
            </w:pPr>
            <w:r w:rsidRPr="00EC7C86">
              <w:rPr>
                <w:sz w:val="16"/>
                <w:szCs w:val="16"/>
              </w:rPr>
              <w:t>0%</w:t>
            </w:r>
          </w:p>
        </w:tc>
      </w:tr>
      <w:tr w:rsidR="00C85043" w:rsidRPr="00EC7C86" w:rsidTr="00C85043">
        <w:tc>
          <w:tcPr>
            <w:tcW w:w="179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C7C86" w:rsidRDefault="00C85043" w:rsidP="00C85043">
            <w:pPr>
              <w:autoSpaceDE w:val="0"/>
              <w:autoSpaceDN w:val="0"/>
              <w:adjustRightInd w:val="0"/>
              <w:spacing w:before="40" w:after="40" w:line="260" w:lineRule="exact"/>
              <w:rPr>
                <w:b/>
                <w:sz w:val="16"/>
                <w:szCs w:val="16"/>
              </w:rPr>
            </w:pPr>
            <w:r>
              <w:rPr>
                <w:b/>
                <w:sz w:val="16"/>
                <w:szCs w:val="16"/>
              </w:rPr>
              <w:t>Итого</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C7C86" w:rsidRDefault="00C85043" w:rsidP="00C85043">
            <w:pPr>
              <w:autoSpaceDE w:val="0"/>
              <w:autoSpaceDN w:val="0"/>
              <w:adjustRightInd w:val="0"/>
              <w:spacing w:before="40" w:after="40" w:line="260" w:lineRule="exact"/>
              <w:jc w:val="center"/>
              <w:rPr>
                <w:b/>
                <w:sz w:val="16"/>
                <w:szCs w:val="16"/>
              </w:rPr>
            </w:pPr>
            <w:r w:rsidRPr="00EC7C86">
              <w:rPr>
                <w:b/>
                <w:sz w:val="16"/>
                <w:szCs w:val="16"/>
              </w:rPr>
              <w:t>6</w:t>
            </w:r>
            <w:r>
              <w:rPr>
                <w:b/>
                <w:sz w:val="16"/>
                <w:szCs w:val="16"/>
              </w:rPr>
              <w:t> </w:t>
            </w:r>
            <w:r w:rsidRPr="00EC7C86">
              <w:rPr>
                <w:b/>
                <w:sz w:val="16"/>
                <w:szCs w:val="16"/>
              </w:rPr>
              <w:t>000</w:t>
            </w:r>
            <w:r>
              <w:rPr>
                <w:b/>
                <w:sz w:val="16"/>
                <w:szCs w:val="16"/>
              </w:rPr>
              <w:t> </w:t>
            </w:r>
            <w:r w:rsidRPr="00EC7C86">
              <w:rPr>
                <w:b/>
                <w:sz w:val="16"/>
                <w:szCs w:val="16"/>
              </w:rPr>
              <w:t>000</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C7C86" w:rsidRDefault="00C85043" w:rsidP="00C85043">
            <w:pPr>
              <w:autoSpaceDE w:val="0"/>
              <w:autoSpaceDN w:val="0"/>
              <w:adjustRightInd w:val="0"/>
              <w:spacing w:before="40" w:after="40" w:line="260" w:lineRule="exact"/>
              <w:jc w:val="center"/>
              <w:rPr>
                <w:b/>
                <w:sz w:val="16"/>
                <w:szCs w:val="16"/>
              </w:rPr>
            </w:pPr>
            <w:r w:rsidRPr="00EC7C86">
              <w:rPr>
                <w:b/>
                <w:sz w:val="16"/>
                <w:szCs w:val="16"/>
              </w:rPr>
              <w:t>83</w:t>
            </w:r>
            <w:r>
              <w:rPr>
                <w:b/>
                <w:sz w:val="16"/>
                <w:szCs w:val="16"/>
              </w:rPr>
              <w:t> </w:t>
            </w:r>
            <w:r w:rsidRPr="00EC7C86">
              <w:rPr>
                <w:b/>
                <w:sz w:val="16"/>
                <w:szCs w:val="16"/>
              </w:rPr>
              <w:t>651</w:t>
            </w:r>
          </w:p>
        </w:tc>
        <w:tc>
          <w:tcPr>
            <w:tcW w:w="1180" w:type="pct"/>
            <w:tcBorders>
              <w:top w:val="single" w:sz="4" w:space="0" w:color="auto"/>
              <w:left w:val="single" w:sz="4" w:space="0" w:color="auto"/>
              <w:bottom w:val="single" w:sz="4" w:space="0" w:color="auto"/>
              <w:right w:val="single" w:sz="4" w:space="0" w:color="auto"/>
            </w:tcBorders>
            <w:shd w:val="clear" w:color="auto" w:fill="C6D9F1"/>
          </w:tcPr>
          <w:p w:rsidR="00C85043" w:rsidRPr="00EC7C86" w:rsidRDefault="00C85043" w:rsidP="00C85043">
            <w:pPr>
              <w:autoSpaceDE w:val="0"/>
              <w:autoSpaceDN w:val="0"/>
              <w:adjustRightInd w:val="0"/>
              <w:spacing w:before="40" w:after="40" w:line="260" w:lineRule="exact"/>
              <w:jc w:val="center"/>
              <w:rPr>
                <w:b/>
                <w:sz w:val="16"/>
                <w:szCs w:val="16"/>
              </w:rPr>
            </w:pPr>
          </w:p>
        </w:tc>
      </w:tr>
    </w:tbl>
    <w:p w:rsidR="00C85043" w:rsidRPr="00811367" w:rsidRDefault="00C85043" w:rsidP="00C85043">
      <w:pPr>
        <w:rPr>
          <w:rFonts w:cs="Arial"/>
          <w:color w:val="000000"/>
          <w:szCs w:val="22"/>
        </w:rPr>
      </w:pPr>
    </w:p>
    <w:p w:rsidR="00C85043" w:rsidRPr="00811367" w:rsidRDefault="00C85043" w:rsidP="00C85043">
      <w:pPr>
        <w:rPr>
          <w:rFonts w:cs="Arial"/>
          <w:color w:val="000000"/>
          <w:szCs w:val="22"/>
        </w:rPr>
      </w:pPr>
    </w:p>
    <w:p w:rsidR="00C85043" w:rsidRPr="001E1470" w:rsidRDefault="00C85043" w:rsidP="00C85043">
      <w:pPr>
        <w:rPr>
          <w:rFonts w:cs="Arial"/>
          <w:color w:val="000000"/>
          <w:szCs w:val="22"/>
          <w:lang w:val="ru-RU"/>
        </w:rPr>
      </w:pPr>
      <w:r w:rsidRPr="001E1470">
        <w:rPr>
          <w:rFonts w:cs="Arial"/>
          <w:color w:val="000000"/>
          <w:szCs w:val="22"/>
          <w:lang w:val="ru-RU"/>
        </w:rPr>
        <w:t>РИСКИ И СТРАТЕГИИ ИХ СНИЖЕНИЯ</w:t>
      </w:r>
    </w:p>
    <w:p w:rsidR="00C85043" w:rsidRPr="001E1470" w:rsidRDefault="00C85043" w:rsidP="00C85043">
      <w:pPr>
        <w:rPr>
          <w:rFonts w:cs="Arial"/>
          <w:color w:val="000000"/>
          <w:szCs w:val="22"/>
          <w:lang w:val="ru-RU"/>
        </w:rPr>
      </w:pPr>
    </w:p>
    <w:tbl>
      <w:tblPr>
        <w:tblW w:w="4858" w:type="pct"/>
        <w:jc w:val="center"/>
        <w:tblInd w:w="-18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5"/>
        <w:gridCol w:w="3059"/>
        <w:gridCol w:w="3145"/>
      </w:tblGrid>
      <w:tr w:rsidR="00C85043" w:rsidRPr="00970583" w:rsidTr="00C85043">
        <w:trPr>
          <w:trHeight w:val="507"/>
          <w:tblHeader/>
          <w:jc w:val="center"/>
        </w:trPr>
        <w:tc>
          <w:tcPr>
            <w:tcW w:w="1664" w:type="pct"/>
            <w:shd w:val="clear" w:color="auto" w:fill="C6D9F1"/>
            <w:vAlign w:val="center"/>
          </w:tcPr>
          <w:p w:rsidR="00C85043" w:rsidRPr="00970583" w:rsidRDefault="00C85043" w:rsidP="00C85043">
            <w:pPr>
              <w:autoSpaceDE w:val="0"/>
              <w:autoSpaceDN w:val="0"/>
              <w:adjustRightInd w:val="0"/>
              <w:spacing w:before="40" w:after="40" w:line="260" w:lineRule="exact"/>
              <w:ind w:left="-74" w:right="-60"/>
              <w:jc w:val="center"/>
              <w:rPr>
                <w:b/>
                <w:bCs/>
                <w:sz w:val="16"/>
                <w:szCs w:val="16"/>
              </w:rPr>
            </w:pPr>
            <w:r>
              <w:rPr>
                <w:b/>
                <w:bCs/>
                <w:iCs/>
                <w:sz w:val="18"/>
                <w:szCs w:val="18"/>
                <w:lang w:val="ru-RU"/>
              </w:rPr>
              <w:t>Риск</w:t>
            </w:r>
            <w:r>
              <w:rPr>
                <w:b/>
                <w:bCs/>
                <w:iCs/>
                <w:sz w:val="18"/>
                <w:szCs w:val="18"/>
              </w:rPr>
              <w:t xml:space="preserve"> / </w:t>
            </w:r>
            <w:r>
              <w:rPr>
                <w:b/>
                <w:bCs/>
                <w:iCs/>
                <w:sz w:val="18"/>
                <w:szCs w:val="18"/>
                <w:lang w:val="ru-RU"/>
              </w:rPr>
              <w:t>Описание риска</w:t>
            </w:r>
            <w:r>
              <w:rPr>
                <w:b/>
                <w:bCs/>
                <w:iCs/>
                <w:sz w:val="18"/>
                <w:szCs w:val="18"/>
              </w:rPr>
              <w:t xml:space="preserve"> </w:t>
            </w:r>
          </w:p>
        </w:tc>
        <w:tc>
          <w:tcPr>
            <w:tcW w:w="1645" w:type="pct"/>
            <w:shd w:val="clear" w:color="auto" w:fill="C6D9F1"/>
            <w:vAlign w:val="center"/>
          </w:tcPr>
          <w:p w:rsidR="00C85043" w:rsidRPr="00970583" w:rsidRDefault="00C85043" w:rsidP="00C85043">
            <w:pPr>
              <w:autoSpaceDE w:val="0"/>
              <w:autoSpaceDN w:val="0"/>
              <w:adjustRightInd w:val="0"/>
              <w:spacing w:before="40" w:after="40" w:line="260" w:lineRule="exact"/>
              <w:ind w:left="-107" w:right="-108"/>
              <w:jc w:val="center"/>
              <w:rPr>
                <w:b/>
                <w:bCs/>
                <w:sz w:val="16"/>
                <w:szCs w:val="16"/>
              </w:rPr>
            </w:pPr>
            <w:r>
              <w:rPr>
                <w:b/>
                <w:bCs/>
                <w:iCs/>
                <w:sz w:val="18"/>
                <w:szCs w:val="18"/>
              </w:rPr>
              <w:t>Меры по уменьшению риска</w:t>
            </w:r>
            <w:r w:rsidRPr="00F40ED0">
              <w:rPr>
                <w:b/>
                <w:bCs/>
                <w:iCs/>
                <w:sz w:val="18"/>
                <w:szCs w:val="18"/>
              </w:rPr>
              <w:t xml:space="preserve"> </w:t>
            </w:r>
          </w:p>
        </w:tc>
        <w:tc>
          <w:tcPr>
            <w:tcW w:w="1691" w:type="pct"/>
            <w:shd w:val="clear" w:color="auto" w:fill="C6D9F1"/>
          </w:tcPr>
          <w:p w:rsidR="00C85043" w:rsidRPr="00970583" w:rsidDel="005B0FC6" w:rsidRDefault="00C85043" w:rsidP="00C85043">
            <w:pPr>
              <w:autoSpaceDE w:val="0"/>
              <w:autoSpaceDN w:val="0"/>
              <w:adjustRightInd w:val="0"/>
              <w:spacing w:before="40" w:after="40" w:line="260" w:lineRule="exact"/>
              <w:ind w:left="-109"/>
              <w:jc w:val="center"/>
              <w:rPr>
                <w:b/>
                <w:bCs/>
                <w:sz w:val="16"/>
                <w:szCs w:val="16"/>
              </w:rPr>
            </w:pPr>
            <w:r>
              <w:rPr>
                <w:b/>
                <w:bCs/>
                <w:iCs/>
                <w:sz w:val="18"/>
                <w:szCs w:val="18"/>
              </w:rPr>
              <w:t>Примечание</w:t>
            </w:r>
            <w:r w:rsidRPr="00F40ED0">
              <w:rPr>
                <w:b/>
                <w:bCs/>
                <w:iCs/>
                <w:sz w:val="18"/>
                <w:szCs w:val="18"/>
              </w:rPr>
              <w:t xml:space="preserve"> </w:t>
            </w:r>
          </w:p>
        </w:tc>
      </w:tr>
      <w:tr w:rsidR="00C85043" w:rsidRPr="005C6ABD" w:rsidTr="00C85043">
        <w:trPr>
          <w:trHeight w:val="776"/>
          <w:jc w:val="center"/>
        </w:trPr>
        <w:tc>
          <w:tcPr>
            <w:tcW w:w="1664" w:type="pct"/>
            <w:shd w:val="clear" w:color="auto" w:fill="auto"/>
          </w:tcPr>
          <w:p w:rsidR="00C85043" w:rsidRPr="004C29C9" w:rsidRDefault="00C85043" w:rsidP="00C85043">
            <w:pPr>
              <w:autoSpaceDE w:val="0"/>
              <w:autoSpaceDN w:val="0"/>
              <w:adjustRightInd w:val="0"/>
              <w:spacing w:before="40" w:after="40"/>
              <w:rPr>
                <w:sz w:val="16"/>
                <w:szCs w:val="16"/>
                <w:lang w:val="ru-RU"/>
              </w:rPr>
            </w:pPr>
            <w:r>
              <w:rPr>
                <w:sz w:val="16"/>
                <w:szCs w:val="16"/>
                <w:lang w:val="ru-RU"/>
              </w:rPr>
              <w:t>Задержка</w:t>
            </w:r>
            <w:r w:rsidRPr="004C29C9">
              <w:rPr>
                <w:sz w:val="16"/>
                <w:szCs w:val="16"/>
                <w:lang w:val="ru-RU"/>
              </w:rPr>
              <w:t xml:space="preserve"> </w:t>
            </w:r>
            <w:r>
              <w:rPr>
                <w:sz w:val="16"/>
                <w:szCs w:val="16"/>
                <w:lang w:val="ru-RU"/>
              </w:rPr>
              <w:t xml:space="preserve">начала </w:t>
            </w:r>
            <w:r w:rsidRPr="004C29C9">
              <w:rPr>
                <w:sz w:val="16"/>
                <w:szCs w:val="16"/>
                <w:lang w:val="ru-RU"/>
              </w:rPr>
              <w:t xml:space="preserve">проекта </w:t>
            </w:r>
            <w:r>
              <w:rPr>
                <w:sz w:val="16"/>
                <w:szCs w:val="16"/>
                <w:lang w:val="ru-RU"/>
              </w:rPr>
              <w:t>на срок до одного года</w:t>
            </w:r>
            <w:r w:rsidRPr="004C29C9">
              <w:rPr>
                <w:sz w:val="16"/>
                <w:szCs w:val="16"/>
                <w:lang w:val="ru-RU"/>
              </w:rPr>
              <w:t xml:space="preserve"> </w:t>
            </w:r>
            <w:r w:rsidRPr="00AB735C">
              <w:rPr>
                <w:sz w:val="16"/>
                <w:szCs w:val="16"/>
                <w:lang w:val="ru-RU"/>
              </w:rPr>
              <w:t>в</w:t>
            </w:r>
            <w:r w:rsidRPr="004C29C9">
              <w:rPr>
                <w:sz w:val="16"/>
                <w:szCs w:val="16"/>
                <w:lang w:val="ru-RU"/>
              </w:rPr>
              <w:t xml:space="preserve"> </w:t>
            </w:r>
            <w:r w:rsidRPr="00AB735C">
              <w:rPr>
                <w:sz w:val="16"/>
                <w:szCs w:val="16"/>
                <w:lang w:val="ru-RU"/>
              </w:rPr>
              <w:t>связи</w:t>
            </w:r>
            <w:r w:rsidRPr="004C29C9">
              <w:rPr>
                <w:sz w:val="16"/>
                <w:szCs w:val="16"/>
                <w:lang w:val="ru-RU"/>
              </w:rPr>
              <w:t xml:space="preserve"> </w:t>
            </w:r>
            <w:r w:rsidRPr="00AB735C">
              <w:rPr>
                <w:sz w:val="16"/>
                <w:szCs w:val="16"/>
                <w:lang w:val="ru-RU"/>
              </w:rPr>
              <w:t>с</w:t>
            </w:r>
            <w:r w:rsidRPr="004C29C9">
              <w:rPr>
                <w:sz w:val="16"/>
                <w:szCs w:val="16"/>
                <w:lang w:val="ru-RU"/>
              </w:rPr>
              <w:t xml:space="preserve"> </w:t>
            </w:r>
            <w:r>
              <w:rPr>
                <w:sz w:val="16"/>
                <w:szCs w:val="16"/>
                <w:lang w:val="ru-RU"/>
              </w:rPr>
              <w:t>отставанием в сдаче нового</w:t>
            </w:r>
            <w:r w:rsidRPr="004C29C9">
              <w:rPr>
                <w:sz w:val="16"/>
                <w:szCs w:val="16"/>
                <w:lang w:val="ru-RU"/>
              </w:rPr>
              <w:t xml:space="preserve"> </w:t>
            </w:r>
            <w:r>
              <w:rPr>
                <w:sz w:val="16"/>
                <w:szCs w:val="16"/>
                <w:lang w:val="ru-RU"/>
              </w:rPr>
              <w:t>конференц-зала ВОИС</w:t>
            </w:r>
            <w:r w:rsidRPr="004C29C9">
              <w:rPr>
                <w:sz w:val="16"/>
                <w:szCs w:val="16"/>
                <w:lang w:val="ru-RU"/>
              </w:rPr>
              <w:t>.</w:t>
            </w:r>
          </w:p>
          <w:p w:rsidR="00C85043" w:rsidRPr="004C29C9" w:rsidRDefault="00C85043" w:rsidP="00C85043">
            <w:pPr>
              <w:autoSpaceDE w:val="0"/>
              <w:autoSpaceDN w:val="0"/>
              <w:adjustRightInd w:val="0"/>
              <w:spacing w:before="40" w:after="40"/>
              <w:rPr>
                <w:sz w:val="16"/>
                <w:szCs w:val="16"/>
                <w:lang w:val="ru-RU"/>
              </w:rPr>
            </w:pPr>
          </w:p>
        </w:tc>
        <w:tc>
          <w:tcPr>
            <w:tcW w:w="1645" w:type="pct"/>
            <w:shd w:val="clear" w:color="auto" w:fill="auto"/>
          </w:tcPr>
          <w:p w:rsidR="00C85043" w:rsidRPr="00906515" w:rsidRDefault="00C85043" w:rsidP="00C85043">
            <w:pPr>
              <w:autoSpaceDE w:val="0"/>
              <w:autoSpaceDN w:val="0"/>
              <w:adjustRightInd w:val="0"/>
              <w:spacing w:before="40" w:after="40"/>
              <w:rPr>
                <w:sz w:val="16"/>
                <w:szCs w:val="16"/>
                <w:lang w:val="ru-RU"/>
              </w:rPr>
            </w:pPr>
            <w:r>
              <w:rPr>
                <w:sz w:val="16"/>
                <w:szCs w:val="16"/>
                <w:lang w:val="ru-RU"/>
              </w:rPr>
              <w:t xml:space="preserve">Перенос </w:t>
            </w:r>
            <w:r w:rsidRPr="00DB431D">
              <w:rPr>
                <w:sz w:val="16"/>
                <w:szCs w:val="16"/>
                <w:lang w:val="ru-RU"/>
              </w:rPr>
              <w:t>даты общего начала работ по проекту</w:t>
            </w:r>
            <w:r w:rsidRPr="00906515">
              <w:rPr>
                <w:sz w:val="16"/>
                <w:szCs w:val="16"/>
                <w:lang w:val="ru-RU"/>
              </w:rPr>
              <w:t>.</w:t>
            </w:r>
          </w:p>
          <w:p w:rsidR="00C85043" w:rsidRPr="00906515" w:rsidRDefault="00C85043" w:rsidP="00C85043">
            <w:pPr>
              <w:autoSpaceDE w:val="0"/>
              <w:autoSpaceDN w:val="0"/>
              <w:adjustRightInd w:val="0"/>
              <w:spacing w:before="40" w:after="40"/>
              <w:rPr>
                <w:sz w:val="16"/>
                <w:szCs w:val="16"/>
                <w:lang w:val="ru-RU"/>
              </w:rPr>
            </w:pPr>
          </w:p>
        </w:tc>
        <w:tc>
          <w:tcPr>
            <w:tcW w:w="1691" w:type="pct"/>
            <w:shd w:val="clear" w:color="auto" w:fill="auto"/>
          </w:tcPr>
          <w:p w:rsidR="00C85043" w:rsidRPr="004C29C9" w:rsidRDefault="00C85043" w:rsidP="00C85043">
            <w:pPr>
              <w:autoSpaceDE w:val="0"/>
              <w:autoSpaceDN w:val="0"/>
              <w:adjustRightInd w:val="0"/>
              <w:spacing w:before="40" w:after="40"/>
              <w:rPr>
                <w:sz w:val="16"/>
                <w:szCs w:val="16"/>
                <w:lang w:val="ru-RU"/>
              </w:rPr>
            </w:pPr>
            <w:r w:rsidRPr="004C29C9">
              <w:rPr>
                <w:snapToGrid w:val="0"/>
                <w:sz w:val="16"/>
                <w:szCs w:val="16"/>
                <w:lang w:val="ru-RU"/>
              </w:rPr>
              <w:t>Данн</w:t>
            </w:r>
            <w:r>
              <w:rPr>
                <w:sz w:val="16"/>
                <w:szCs w:val="16"/>
                <w:lang w:val="ru-RU"/>
              </w:rPr>
              <w:t xml:space="preserve">ый </w:t>
            </w:r>
            <w:r w:rsidRPr="00AB735C">
              <w:rPr>
                <w:sz w:val="16"/>
                <w:szCs w:val="16"/>
                <w:lang w:val="ru-RU"/>
              </w:rPr>
              <w:t xml:space="preserve">риск </w:t>
            </w:r>
            <w:r w:rsidRPr="004C29C9">
              <w:rPr>
                <w:sz w:val="16"/>
                <w:szCs w:val="16"/>
                <w:lang w:val="ru-RU"/>
              </w:rPr>
              <w:t>материал</w:t>
            </w:r>
            <w:r>
              <w:rPr>
                <w:sz w:val="16"/>
                <w:szCs w:val="16"/>
                <w:lang w:val="ru-RU"/>
              </w:rPr>
              <w:t xml:space="preserve">изовался </w:t>
            </w:r>
            <w:r w:rsidRPr="00AB735C">
              <w:rPr>
                <w:sz w:val="16"/>
                <w:szCs w:val="16"/>
                <w:lang w:val="ru-RU"/>
              </w:rPr>
              <w:t xml:space="preserve">в 2014 </w:t>
            </w:r>
            <w:r>
              <w:rPr>
                <w:sz w:val="16"/>
                <w:szCs w:val="16"/>
                <w:lang w:val="ru-RU"/>
              </w:rPr>
              <w:t>г.</w:t>
            </w:r>
            <w:r w:rsidRPr="00AB735C">
              <w:rPr>
                <w:sz w:val="16"/>
                <w:szCs w:val="16"/>
                <w:lang w:val="ru-RU"/>
              </w:rPr>
              <w:t xml:space="preserve">  </w:t>
            </w:r>
            <w:r w:rsidRPr="00DB431D">
              <w:rPr>
                <w:sz w:val="16"/>
                <w:szCs w:val="16"/>
                <w:lang w:val="ru-RU"/>
              </w:rPr>
              <w:t xml:space="preserve">Дата общего начала работ по проекту </w:t>
            </w:r>
            <w:r>
              <w:rPr>
                <w:sz w:val="16"/>
                <w:szCs w:val="16"/>
                <w:lang w:val="ru-RU"/>
              </w:rPr>
              <w:t xml:space="preserve">была перенесена на </w:t>
            </w:r>
            <w:r w:rsidRPr="004C29C9">
              <w:rPr>
                <w:sz w:val="16"/>
                <w:szCs w:val="16"/>
                <w:lang w:val="ru-RU"/>
              </w:rPr>
              <w:t>девять месяцев относительн</w:t>
            </w:r>
            <w:r>
              <w:rPr>
                <w:sz w:val="16"/>
                <w:szCs w:val="16"/>
                <w:lang w:val="ru-RU"/>
              </w:rPr>
              <w:t xml:space="preserve">о </w:t>
            </w:r>
            <w:r w:rsidRPr="004C29C9">
              <w:rPr>
                <w:sz w:val="16"/>
                <w:szCs w:val="16"/>
                <w:lang w:val="ru-RU"/>
              </w:rPr>
              <w:t>первоначальн</w:t>
            </w:r>
            <w:r>
              <w:rPr>
                <w:sz w:val="16"/>
                <w:szCs w:val="16"/>
                <w:lang w:val="ru-RU"/>
              </w:rPr>
              <w:t>ого</w:t>
            </w:r>
            <w:r w:rsidRPr="004C29C9">
              <w:rPr>
                <w:sz w:val="16"/>
                <w:szCs w:val="16"/>
                <w:lang w:val="ru-RU"/>
              </w:rPr>
              <w:t xml:space="preserve"> план</w:t>
            </w:r>
            <w:r>
              <w:rPr>
                <w:sz w:val="16"/>
                <w:szCs w:val="16"/>
                <w:lang w:val="ru-RU"/>
              </w:rPr>
              <w:t xml:space="preserve">а. Срок </w:t>
            </w:r>
            <w:r w:rsidRPr="004C29C9">
              <w:rPr>
                <w:sz w:val="16"/>
                <w:szCs w:val="16"/>
                <w:lang w:val="ru-RU"/>
              </w:rPr>
              <w:t>завершения</w:t>
            </w:r>
            <w:r>
              <w:rPr>
                <w:sz w:val="16"/>
                <w:szCs w:val="16"/>
                <w:lang w:val="ru-RU"/>
              </w:rPr>
              <w:t xml:space="preserve"> </w:t>
            </w:r>
            <w:r w:rsidRPr="004C29C9">
              <w:rPr>
                <w:sz w:val="16"/>
                <w:szCs w:val="16"/>
                <w:lang w:val="ru-RU"/>
              </w:rPr>
              <w:t>проект</w:t>
            </w:r>
            <w:r>
              <w:rPr>
                <w:sz w:val="16"/>
                <w:szCs w:val="16"/>
                <w:lang w:val="ru-RU"/>
              </w:rPr>
              <w:t xml:space="preserve">а был перенесен на </w:t>
            </w:r>
            <w:r w:rsidRPr="004C29C9">
              <w:rPr>
                <w:sz w:val="16"/>
                <w:szCs w:val="16"/>
                <w:lang w:val="ru-RU"/>
              </w:rPr>
              <w:t>2018</w:t>
            </w:r>
            <w:r>
              <w:rPr>
                <w:sz w:val="16"/>
                <w:szCs w:val="16"/>
                <w:lang w:val="ru-RU"/>
              </w:rPr>
              <w:t xml:space="preserve"> г.</w:t>
            </w:r>
            <w:r w:rsidRPr="004C29C9">
              <w:rPr>
                <w:sz w:val="16"/>
                <w:szCs w:val="16"/>
                <w:lang w:val="ru-RU"/>
              </w:rPr>
              <w:t xml:space="preserve">, </w:t>
            </w:r>
            <w:r>
              <w:rPr>
                <w:sz w:val="16"/>
                <w:szCs w:val="16"/>
                <w:lang w:val="ru-RU"/>
              </w:rPr>
              <w:t>согласно за</w:t>
            </w:r>
            <w:r w:rsidRPr="004C29C9">
              <w:rPr>
                <w:sz w:val="16"/>
                <w:szCs w:val="16"/>
                <w:lang w:val="ru-RU"/>
              </w:rPr>
              <w:t>планир</w:t>
            </w:r>
            <w:r>
              <w:rPr>
                <w:sz w:val="16"/>
                <w:szCs w:val="16"/>
                <w:lang w:val="ru-RU"/>
              </w:rPr>
              <w:t>ованной</w:t>
            </w:r>
            <w:r w:rsidRPr="004C29C9">
              <w:rPr>
                <w:sz w:val="16"/>
                <w:szCs w:val="16"/>
                <w:lang w:val="ru-RU"/>
              </w:rPr>
              <w:t xml:space="preserve"> </w:t>
            </w:r>
            <w:r>
              <w:rPr>
                <w:sz w:val="16"/>
                <w:szCs w:val="16"/>
                <w:lang w:val="ru-RU"/>
              </w:rPr>
              <w:t>мере</w:t>
            </w:r>
            <w:r w:rsidRPr="004C29C9">
              <w:rPr>
                <w:sz w:val="16"/>
                <w:szCs w:val="16"/>
                <w:lang w:val="ru-RU"/>
              </w:rPr>
              <w:t xml:space="preserve"> по уменьшению риска.  </w:t>
            </w:r>
            <w:r>
              <w:rPr>
                <w:sz w:val="16"/>
                <w:szCs w:val="16"/>
                <w:lang w:val="ru-RU"/>
              </w:rPr>
              <w:t xml:space="preserve">Никаких существенных </w:t>
            </w:r>
            <w:r w:rsidRPr="004C29C9">
              <w:rPr>
                <w:sz w:val="16"/>
                <w:szCs w:val="16"/>
                <w:lang w:val="ru-RU"/>
              </w:rPr>
              <w:t>последстви</w:t>
            </w:r>
            <w:r>
              <w:rPr>
                <w:sz w:val="16"/>
                <w:szCs w:val="16"/>
                <w:lang w:val="ru-RU"/>
              </w:rPr>
              <w:t>й</w:t>
            </w:r>
            <w:r w:rsidRPr="004C29C9">
              <w:rPr>
                <w:sz w:val="16"/>
                <w:szCs w:val="16"/>
                <w:lang w:val="ru-RU"/>
              </w:rPr>
              <w:t xml:space="preserve"> </w:t>
            </w:r>
            <w:r>
              <w:rPr>
                <w:sz w:val="16"/>
                <w:szCs w:val="16"/>
                <w:lang w:val="ru-RU"/>
              </w:rPr>
              <w:t xml:space="preserve">для </w:t>
            </w:r>
            <w:r w:rsidRPr="004C29C9">
              <w:rPr>
                <w:sz w:val="16"/>
                <w:szCs w:val="16"/>
                <w:lang w:val="ru-RU"/>
              </w:rPr>
              <w:t xml:space="preserve">проектных результатов </w:t>
            </w:r>
            <w:r>
              <w:rPr>
                <w:sz w:val="16"/>
                <w:szCs w:val="16"/>
                <w:lang w:val="ru-RU"/>
              </w:rPr>
              <w:t xml:space="preserve">не </w:t>
            </w:r>
            <w:r w:rsidRPr="004C29C9">
              <w:rPr>
                <w:sz w:val="16"/>
                <w:szCs w:val="16"/>
                <w:lang w:val="ru-RU"/>
              </w:rPr>
              <w:t>зафиксирован</w:t>
            </w:r>
            <w:r>
              <w:rPr>
                <w:sz w:val="16"/>
                <w:szCs w:val="16"/>
                <w:lang w:val="ru-RU"/>
              </w:rPr>
              <w:t>о</w:t>
            </w:r>
            <w:r w:rsidRPr="004C29C9">
              <w:rPr>
                <w:sz w:val="16"/>
                <w:szCs w:val="16"/>
                <w:lang w:val="ru-RU"/>
              </w:rPr>
              <w:t>.</w:t>
            </w:r>
          </w:p>
          <w:p w:rsidR="00C85043" w:rsidRPr="004C29C9" w:rsidRDefault="00C85043" w:rsidP="00C85043">
            <w:pPr>
              <w:autoSpaceDE w:val="0"/>
              <w:autoSpaceDN w:val="0"/>
              <w:adjustRightInd w:val="0"/>
              <w:spacing w:before="40" w:after="40"/>
              <w:rPr>
                <w:sz w:val="16"/>
                <w:szCs w:val="16"/>
                <w:lang w:val="ru-RU"/>
              </w:rPr>
            </w:pPr>
          </w:p>
          <w:p w:rsidR="00C85043" w:rsidRPr="004C29C9" w:rsidDel="005B0FC6" w:rsidRDefault="00C85043" w:rsidP="00C85043">
            <w:pPr>
              <w:keepNext/>
              <w:autoSpaceDE w:val="0"/>
              <w:autoSpaceDN w:val="0"/>
              <w:adjustRightInd w:val="0"/>
              <w:spacing w:before="40" w:after="40"/>
              <w:outlineLvl w:val="3"/>
              <w:rPr>
                <w:b/>
                <w:bCs/>
                <w:sz w:val="16"/>
                <w:szCs w:val="16"/>
                <w:lang w:val="ru-RU"/>
              </w:rPr>
            </w:pPr>
            <w:r>
              <w:rPr>
                <w:i/>
                <w:sz w:val="16"/>
                <w:szCs w:val="16"/>
                <w:lang w:val="ru-RU"/>
              </w:rPr>
              <w:t xml:space="preserve">Данный </w:t>
            </w:r>
            <w:r w:rsidRPr="004C29C9">
              <w:rPr>
                <w:i/>
                <w:sz w:val="16"/>
                <w:szCs w:val="16"/>
                <w:lang w:val="ru-RU"/>
              </w:rPr>
              <w:t xml:space="preserve">риск </w:t>
            </w:r>
            <w:r>
              <w:rPr>
                <w:i/>
                <w:sz w:val="16"/>
                <w:szCs w:val="16"/>
                <w:lang w:val="ru-RU"/>
              </w:rPr>
              <w:t xml:space="preserve">снят с </w:t>
            </w:r>
            <w:r w:rsidRPr="004C29C9">
              <w:rPr>
                <w:i/>
                <w:sz w:val="16"/>
                <w:szCs w:val="16"/>
                <w:lang w:val="ru-RU"/>
              </w:rPr>
              <w:t>контрол</w:t>
            </w:r>
            <w:r>
              <w:rPr>
                <w:i/>
                <w:sz w:val="16"/>
                <w:szCs w:val="16"/>
                <w:lang w:val="ru-RU"/>
              </w:rPr>
              <w:t>я</w:t>
            </w:r>
            <w:r w:rsidRPr="004C29C9">
              <w:rPr>
                <w:i/>
                <w:sz w:val="16"/>
                <w:szCs w:val="16"/>
                <w:lang w:val="ru-RU"/>
              </w:rPr>
              <w:t>.</w:t>
            </w:r>
          </w:p>
        </w:tc>
      </w:tr>
      <w:tr w:rsidR="00C85043" w:rsidRPr="00AB735C" w:rsidTr="00C85043">
        <w:trPr>
          <w:trHeight w:val="776"/>
          <w:jc w:val="center"/>
        </w:trPr>
        <w:tc>
          <w:tcPr>
            <w:tcW w:w="1664" w:type="pct"/>
            <w:shd w:val="clear" w:color="auto" w:fill="auto"/>
          </w:tcPr>
          <w:p w:rsidR="00C85043" w:rsidRPr="004C29C9" w:rsidRDefault="00C85043" w:rsidP="00C85043">
            <w:pPr>
              <w:autoSpaceDE w:val="0"/>
              <w:autoSpaceDN w:val="0"/>
              <w:adjustRightInd w:val="0"/>
              <w:spacing w:before="40" w:after="40"/>
              <w:rPr>
                <w:sz w:val="16"/>
                <w:szCs w:val="16"/>
                <w:lang w:val="ru-RU"/>
              </w:rPr>
            </w:pPr>
            <w:r w:rsidRPr="004C29C9">
              <w:rPr>
                <w:sz w:val="16"/>
                <w:szCs w:val="16"/>
                <w:lang w:val="ru-RU"/>
              </w:rPr>
              <w:t>Задержк</w:t>
            </w:r>
            <w:r>
              <w:rPr>
                <w:sz w:val="16"/>
                <w:szCs w:val="16"/>
                <w:lang w:val="ru-RU"/>
              </w:rPr>
              <w:t>а</w:t>
            </w:r>
            <w:r w:rsidRPr="004C29C9">
              <w:rPr>
                <w:sz w:val="16"/>
                <w:szCs w:val="16"/>
                <w:lang w:val="ru-RU"/>
              </w:rPr>
              <w:t xml:space="preserve"> </w:t>
            </w:r>
            <w:r>
              <w:rPr>
                <w:sz w:val="16"/>
                <w:szCs w:val="16"/>
                <w:lang w:val="ru-RU"/>
              </w:rPr>
              <w:t>начала</w:t>
            </w:r>
            <w:r w:rsidRPr="004C29C9">
              <w:rPr>
                <w:sz w:val="16"/>
                <w:szCs w:val="16"/>
                <w:lang w:val="ru-RU"/>
              </w:rPr>
              <w:t xml:space="preserve"> </w:t>
            </w:r>
            <w:r w:rsidRPr="00DB431D">
              <w:rPr>
                <w:sz w:val="16"/>
                <w:szCs w:val="16"/>
                <w:lang w:val="ru-RU"/>
              </w:rPr>
              <w:t>выполнени</w:t>
            </w:r>
            <w:r>
              <w:rPr>
                <w:sz w:val="16"/>
                <w:szCs w:val="16"/>
                <w:lang w:val="ru-RU"/>
              </w:rPr>
              <w:t>я</w:t>
            </w:r>
            <w:r w:rsidRPr="004C29C9">
              <w:rPr>
                <w:sz w:val="16"/>
                <w:szCs w:val="16"/>
                <w:lang w:val="ru-RU"/>
              </w:rPr>
              <w:t xml:space="preserve"> работ, поскольку</w:t>
            </w:r>
            <w:r>
              <w:rPr>
                <w:sz w:val="16"/>
                <w:szCs w:val="16"/>
                <w:lang w:val="ru-RU"/>
              </w:rPr>
              <w:t xml:space="preserve"> оно будет зависеть от </w:t>
            </w:r>
            <w:r w:rsidRPr="004C29C9">
              <w:rPr>
                <w:sz w:val="16"/>
                <w:szCs w:val="16"/>
                <w:lang w:val="ru-RU"/>
              </w:rPr>
              <w:t>в</w:t>
            </w:r>
            <w:r>
              <w:rPr>
                <w:sz w:val="16"/>
                <w:szCs w:val="16"/>
                <w:lang w:val="ru-RU"/>
              </w:rPr>
              <w:t xml:space="preserve">ремени, которое потребуется для выбора </w:t>
            </w:r>
            <w:r w:rsidRPr="004C29C9">
              <w:rPr>
                <w:sz w:val="16"/>
                <w:szCs w:val="16"/>
                <w:lang w:val="ru-RU"/>
              </w:rPr>
              <w:t>техническ</w:t>
            </w:r>
            <w:r>
              <w:rPr>
                <w:sz w:val="16"/>
                <w:szCs w:val="16"/>
                <w:lang w:val="ru-RU"/>
              </w:rPr>
              <w:t>ого</w:t>
            </w:r>
            <w:r w:rsidRPr="004C29C9">
              <w:rPr>
                <w:sz w:val="16"/>
                <w:szCs w:val="16"/>
                <w:lang w:val="ru-RU"/>
              </w:rPr>
              <w:t xml:space="preserve"> решени</w:t>
            </w:r>
            <w:r>
              <w:rPr>
                <w:sz w:val="16"/>
                <w:szCs w:val="16"/>
                <w:lang w:val="ru-RU"/>
              </w:rPr>
              <w:t>я</w:t>
            </w:r>
            <w:r w:rsidRPr="004C29C9">
              <w:rPr>
                <w:sz w:val="16"/>
                <w:szCs w:val="16"/>
                <w:lang w:val="ru-RU"/>
              </w:rPr>
              <w:t>.</w:t>
            </w:r>
          </w:p>
        </w:tc>
        <w:tc>
          <w:tcPr>
            <w:tcW w:w="1645" w:type="pct"/>
            <w:shd w:val="clear" w:color="auto" w:fill="auto"/>
          </w:tcPr>
          <w:p w:rsidR="00C85043" w:rsidRPr="00906515" w:rsidRDefault="00C85043" w:rsidP="00C85043">
            <w:pPr>
              <w:autoSpaceDE w:val="0"/>
              <w:autoSpaceDN w:val="0"/>
              <w:adjustRightInd w:val="0"/>
              <w:spacing w:before="40" w:after="40"/>
              <w:rPr>
                <w:sz w:val="16"/>
                <w:szCs w:val="16"/>
                <w:lang w:val="ru-RU"/>
              </w:rPr>
            </w:pPr>
            <w:r w:rsidRPr="00906515">
              <w:rPr>
                <w:sz w:val="16"/>
                <w:szCs w:val="16"/>
                <w:lang w:val="ru-RU"/>
              </w:rPr>
              <w:t>Внес</w:t>
            </w:r>
            <w:r>
              <w:rPr>
                <w:sz w:val="16"/>
                <w:szCs w:val="16"/>
                <w:lang w:val="ru-RU"/>
              </w:rPr>
              <w:t xml:space="preserve">ение </w:t>
            </w:r>
            <w:r w:rsidRPr="004C29C9">
              <w:rPr>
                <w:sz w:val="16"/>
                <w:szCs w:val="16"/>
                <w:lang w:val="ru-RU"/>
              </w:rPr>
              <w:t>изменени</w:t>
            </w:r>
            <w:r>
              <w:rPr>
                <w:sz w:val="16"/>
                <w:szCs w:val="16"/>
                <w:lang w:val="ru-RU"/>
              </w:rPr>
              <w:t xml:space="preserve">й </w:t>
            </w:r>
            <w:r w:rsidRPr="00906515">
              <w:rPr>
                <w:sz w:val="16"/>
                <w:szCs w:val="16"/>
                <w:lang w:val="ru-RU"/>
              </w:rPr>
              <w:t>в сроки осуществления работ.</w:t>
            </w:r>
            <w:r w:rsidRPr="00906515" w:rsidDel="005B0FC6">
              <w:rPr>
                <w:sz w:val="16"/>
                <w:szCs w:val="16"/>
                <w:lang w:val="ru-RU"/>
              </w:rPr>
              <w:t xml:space="preserve"> </w:t>
            </w:r>
          </w:p>
        </w:tc>
        <w:tc>
          <w:tcPr>
            <w:tcW w:w="1691" w:type="pct"/>
            <w:shd w:val="clear" w:color="auto" w:fill="auto"/>
          </w:tcPr>
          <w:p w:rsidR="00C85043" w:rsidRPr="00AB735C" w:rsidRDefault="00C85043" w:rsidP="00C85043">
            <w:pPr>
              <w:autoSpaceDE w:val="0"/>
              <w:autoSpaceDN w:val="0"/>
              <w:adjustRightInd w:val="0"/>
              <w:spacing w:before="40" w:after="40"/>
              <w:rPr>
                <w:sz w:val="16"/>
                <w:szCs w:val="16"/>
                <w:lang w:val="ru-RU"/>
              </w:rPr>
            </w:pPr>
            <w:r w:rsidRPr="007D4C0F">
              <w:rPr>
                <w:sz w:val="16"/>
                <w:szCs w:val="16"/>
                <w:lang w:val="ru-RU"/>
              </w:rPr>
              <w:t>Поскольку</w:t>
            </w:r>
            <w:r>
              <w:rPr>
                <w:sz w:val="16"/>
                <w:szCs w:val="16"/>
                <w:lang w:val="ru-RU"/>
              </w:rPr>
              <w:t xml:space="preserve"> </w:t>
            </w:r>
            <w:r w:rsidRPr="00AB735C">
              <w:rPr>
                <w:sz w:val="16"/>
                <w:szCs w:val="16"/>
                <w:lang w:val="ru-RU"/>
              </w:rPr>
              <w:t>окончательн</w:t>
            </w:r>
            <w:r>
              <w:rPr>
                <w:sz w:val="16"/>
                <w:szCs w:val="16"/>
                <w:lang w:val="ru-RU"/>
              </w:rPr>
              <w:t xml:space="preserve">ое завершение </w:t>
            </w:r>
            <w:r w:rsidRPr="007D4C0F">
              <w:rPr>
                <w:sz w:val="16"/>
                <w:szCs w:val="16"/>
                <w:lang w:val="ru-RU"/>
              </w:rPr>
              <w:t>проект</w:t>
            </w:r>
            <w:r>
              <w:rPr>
                <w:sz w:val="16"/>
                <w:szCs w:val="16"/>
                <w:lang w:val="ru-RU"/>
              </w:rPr>
              <w:t xml:space="preserve">а </w:t>
            </w:r>
            <w:r w:rsidRPr="007D4C0F">
              <w:rPr>
                <w:sz w:val="16"/>
                <w:szCs w:val="16"/>
                <w:lang w:val="ru-RU"/>
              </w:rPr>
              <w:t>строительств</w:t>
            </w:r>
            <w:r>
              <w:rPr>
                <w:sz w:val="16"/>
                <w:szCs w:val="16"/>
                <w:lang w:val="ru-RU"/>
              </w:rPr>
              <w:t xml:space="preserve">а </w:t>
            </w:r>
            <w:r w:rsidRPr="00AB735C">
              <w:rPr>
                <w:sz w:val="16"/>
                <w:szCs w:val="16"/>
                <w:lang w:val="ru-RU"/>
              </w:rPr>
              <w:t xml:space="preserve">нового конференц-зала </w:t>
            </w:r>
            <w:r>
              <w:rPr>
                <w:sz w:val="16"/>
                <w:szCs w:val="16"/>
                <w:lang w:val="ru-RU"/>
              </w:rPr>
              <w:t xml:space="preserve">потребовало больше времени, чем ожидалось, сроки </w:t>
            </w:r>
            <w:r w:rsidRPr="007D4C0F">
              <w:rPr>
                <w:sz w:val="16"/>
                <w:szCs w:val="16"/>
                <w:lang w:val="ru-RU"/>
              </w:rPr>
              <w:t>реализаци</w:t>
            </w:r>
            <w:r>
              <w:rPr>
                <w:sz w:val="16"/>
                <w:szCs w:val="16"/>
                <w:lang w:val="ru-RU"/>
              </w:rPr>
              <w:t xml:space="preserve">и </w:t>
            </w:r>
            <w:r w:rsidRPr="007D4C0F">
              <w:rPr>
                <w:sz w:val="16"/>
                <w:szCs w:val="16"/>
                <w:lang w:val="ru-RU"/>
              </w:rPr>
              <w:t>проект</w:t>
            </w:r>
            <w:r>
              <w:rPr>
                <w:sz w:val="16"/>
                <w:szCs w:val="16"/>
                <w:lang w:val="ru-RU"/>
              </w:rPr>
              <w:t xml:space="preserve">а были </w:t>
            </w:r>
            <w:r w:rsidRPr="007D4C0F">
              <w:rPr>
                <w:sz w:val="16"/>
                <w:szCs w:val="16"/>
                <w:lang w:val="ru-RU"/>
              </w:rPr>
              <w:t>дополнительн</w:t>
            </w:r>
            <w:r>
              <w:rPr>
                <w:sz w:val="16"/>
                <w:szCs w:val="16"/>
                <w:lang w:val="ru-RU"/>
              </w:rPr>
              <w:t xml:space="preserve">о сдвинуты и начало </w:t>
            </w:r>
            <w:r w:rsidRPr="007D4C0F">
              <w:rPr>
                <w:sz w:val="16"/>
                <w:szCs w:val="16"/>
                <w:lang w:val="ru-RU"/>
              </w:rPr>
              <w:t>работ</w:t>
            </w:r>
            <w:r>
              <w:rPr>
                <w:sz w:val="16"/>
                <w:szCs w:val="16"/>
                <w:lang w:val="ru-RU"/>
              </w:rPr>
              <w:t xml:space="preserve"> было </w:t>
            </w:r>
            <w:r w:rsidRPr="007D4C0F">
              <w:rPr>
                <w:sz w:val="16"/>
                <w:szCs w:val="16"/>
                <w:lang w:val="ru-RU"/>
              </w:rPr>
              <w:t>запланировано</w:t>
            </w:r>
            <w:r>
              <w:rPr>
                <w:sz w:val="16"/>
                <w:szCs w:val="16"/>
                <w:lang w:val="ru-RU"/>
              </w:rPr>
              <w:t xml:space="preserve"> на третий</w:t>
            </w:r>
            <w:r w:rsidRPr="00AB735C">
              <w:rPr>
                <w:sz w:val="16"/>
                <w:szCs w:val="16"/>
                <w:lang w:val="ru-RU"/>
              </w:rPr>
              <w:t xml:space="preserve"> квартал 2017 </w:t>
            </w:r>
            <w:r>
              <w:rPr>
                <w:sz w:val="16"/>
                <w:szCs w:val="16"/>
                <w:lang w:val="ru-RU"/>
              </w:rPr>
              <w:t>г., а не на первый</w:t>
            </w:r>
            <w:r w:rsidRPr="00AB735C">
              <w:rPr>
                <w:sz w:val="16"/>
                <w:szCs w:val="16"/>
                <w:lang w:val="ru-RU"/>
              </w:rPr>
              <w:t xml:space="preserve"> квартал 2017</w:t>
            </w:r>
            <w:r>
              <w:rPr>
                <w:sz w:val="16"/>
                <w:szCs w:val="16"/>
                <w:lang w:val="ru-RU"/>
              </w:rPr>
              <w:t xml:space="preserve"> г.</w:t>
            </w:r>
            <w:r w:rsidRPr="00AB735C">
              <w:rPr>
                <w:sz w:val="16"/>
                <w:szCs w:val="16"/>
                <w:lang w:val="ru-RU"/>
              </w:rPr>
              <w:t xml:space="preserve">, </w:t>
            </w:r>
            <w:r>
              <w:rPr>
                <w:sz w:val="16"/>
                <w:szCs w:val="16"/>
                <w:lang w:val="ru-RU"/>
              </w:rPr>
              <w:t>как сообщалось ранее</w:t>
            </w:r>
            <w:r w:rsidRPr="00AB735C">
              <w:rPr>
                <w:sz w:val="16"/>
                <w:szCs w:val="16"/>
                <w:lang w:val="ru-RU"/>
              </w:rPr>
              <w:t xml:space="preserve">.  </w:t>
            </w:r>
            <w:r>
              <w:rPr>
                <w:sz w:val="16"/>
                <w:szCs w:val="16"/>
                <w:lang w:val="ru-RU"/>
              </w:rPr>
              <w:t xml:space="preserve">Никаких существенных </w:t>
            </w:r>
            <w:r w:rsidRPr="004C29C9">
              <w:rPr>
                <w:sz w:val="16"/>
                <w:szCs w:val="16"/>
                <w:lang w:val="ru-RU"/>
              </w:rPr>
              <w:t>последстви</w:t>
            </w:r>
            <w:r>
              <w:rPr>
                <w:sz w:val="16"/>
                <w:szCs w:val="16"/>
                <w:lang w:val="ru-RU"/>
              </w:rPr>
              <w:t>й</w:t>
            </w:r>
            <w:r w:rsidRPr="004C29C9">
              <w:rPr>
                <w:sz w:val="16"/>
                <w:szCs w:val="16"/>
                <w:lang w:val="ru-RU"/>
              </w:rPr>
              <w:t xml:space="preserve"> </w:t>
            </w:r>
            <w:r>
              <w:rPr>
                <w:sz w:val="16"/>
                <w:szCs w:val="16"/>
                <w:lang w:val="ru-RU"/>
              </w:rPr>
              <w:t xml:space="preserve">для </w:t>
            </w:r>
            <w:r w:rsidRPr="004C29C9">
              <w:rPr>
                <w:sz w:val="16"/>
                <w:szCs w:val="16"/>
                <w:lang w:val="ru-RU"/>
              </w:rPr>
              <w:t xml:space="preserve">проектных результатов </w:t>
            </w:r>
            <w:r>
              <w:rPr>
                <w:sz w:val="16"/>
                <w:szCs w:val="16"/>
                <w:lang w:val="ru-RU"/>
              </w:rPr>
              <w:t xml:space="preserve">не </w:t>
            </w:r>
            <w:r w:rsidRPr="004C29C9">
              <w:rPr>
                <w:sz w:val="16"/>
                <w:szCs w:val="16"/>
                <w:lang w:val="ru-RU"/>
              </w:rPr>
              <w:t>зафиксирован</w:t>
            </w:r>
            <w:r>
              <w:rPr>
                <w:sz w:val="16"/>
                <w:szCs w:val="16"/>
                <w:lang w:val="ru-RU"/>
              </w:rPr>
              <w:t>о</w:t>
            </w:r>
            <w:r w:rsidRPr="004C29C9">
              <w:rPr>
                <w:sz w:val="16"/>
                <w:szCs w:val="16"/>
                <w:lang w:val="ru-RU"/>
              </w:rPr>
              <w:t>.</w:t>
            </w:r>
            <w:r w:rsidRPr="00AB735C">
              <w:rPr>
                <w:sz w:val="16"/>
                <w:szCs w:val="16"/>
                <w:lang w:val="ru-RU"/>
              </w:rPr>
              <w:t>.</w:t>
            </w:r>
          </w:p>
        </w:tc>
      </w:tr>
      <w:tr w:rsidR="00C85043" w:rsidRPr="005C6ABD" w:rsidTr="00C85043">
        <w:trPr>
          <w:trHeight w:val="776"/>
          <w:jc w:val="center"/>
        </w:trPr>
        <w:tc>
          <w:tcPr>
            <w:tcW w:w="1664" w:type="pct"/>
            <w:shd w:val="clear" w:color="auto" w:fill="auto"/>
          </w:tcPr>
          <w:p w:rsidR="00C85043" w:rsidRPr="00AB735C" w:rsidRDefault="00C85043" w:rsidP="00C85043">
            <w:pPr>
              <w:autoSpaceDE w:val="0"/>
              <w:autoSpaceDN w:val="0"/>
              <w:adjustRightInd w:val="0"/>
              <w:spacing w:before="40" w:after="40"/>
              <w:rPr>
                <w:b/>
                <w:bCs/>
                <w:sz w:val="16"/>
                <w:szCs w:val="16"/>
                <w:lang w:val="ru-RU"/>
              </w:rPr>
            </w:pPr>
            <w:r>
              <w:rPr>
                <w:sz w:val="16"/>
                <w:szCs w:val="16"/>
                <w:lang w:val="ru-RU"/>
              </w:rPr>
              <w:t xml:space="preserve">Задержка в завершении </w:t>
            </w:r>
            <w:r w:rsidRPr="007D4C0F">
              <w:rPr>
                <w:sz w:val="16"/>
                <w:szCs w:val="16"/>
                <w:lang w:val="ru-RU"/>
              </w:rPr>
              <w:t>реконструкци</w:t>
            </w:r>
            <w:r>
              <w:rPr>
                <w:sz w:val="16"/>
                <w:szCs w:val="16"/>
                <w:lang w:val="ru-RU"/>
              </w:rPr>
              <w:t xml:space="preserve">и, связанная </w:t>
            </w:r>
            <w:r w:rsidRPr="007D4C0F">
              <w:rPr>
                <w:sz w:val="16"/>
                <w:szCs w:val="16"/>
                <w:lang w:val="ru-RU"/>
              </w:rPr>
              <w:t xml:space="preserve">с </w:t>
            </w:r>
            <w:r>
              <w:rPr>
                <w:sz w:val="16"/>
                <w:szCs w:val="16"/>
                <w:lang w:val="ru-RU"/>
              </w:rPr>
              <w:t xml:space="preserve">выбранным </w:t>
            </w:r>
            <w:r w:rsidRPr="00AB735C">
              <w:rPr>
                <w:sz w:val="16"/>
                <w:szCs w:val="16"/>
                <w:lang w:val="ru-RU"/>
              </w:rPr>
              <w:t>техническ</w:t>
            </w:r>
            <w:r>
              <w:rPr>
                <w:sz w:val="16"/>
                <w:szCs w:val="16"/>
                <w:lang w:val="ru-RU"/>
              </w:rPr>
              <w:t>им</w:t>
            </w:r>
            <w:r w:rsidRPr="00AB735C">
              <w:rPr>
                <w:sz w:val="16"/>
                <w:szCs w:val="16"/>
                <w:lang w:val="ru-RU"/>
              </w:rPr>
              <w:t xml:space="preserve"> решени</w:t>
            </w:r>
            <w:r>
              <w:rPr>
                <w:sz w:val="16"/>
                <w:szCs w:val="16"/>
                <w:lang w:val="ru-RU"/>
              </w:rPr>
              <w:t>ем</w:t>
            </w:r>
            <w:r w:rsidRPr="00AB735C">
              <w:rPr>
                <w:sz w:val="16"/>
                <w:szCs w:val="16"/>
                <w:lang w:val="ru-RU"/>
              </w:rPr>
              <w:t xml:space="preserve"> и/или внутренн</w:t>
            </w:r>
            <w:r>
              <w:rPr>
                <w:sz w:val="16"/>
                <w:szCs w:val="16"/>
                <w:lang w:val="ru-RU"/>
              </w:rPr>
              <w:t>ей</w:t>
            </w:r>
            <w:r w:rsidRPr="00AB735C">
              <w:rPr>
                <w:sz w:val="16"/>
                <w:szCs w:val="16"/>
                <w:lang w:val="ru-RU"/>
              </w:rPr>
              <w:t xml:space="preserve"> </w:t>
            </w:r>
            <w:r>
              <w:rPr>
                <w:sz w:val="16"/>
                <w:szCs w:val="16"/>
                <w:lang w:val="ru-RU"/>
              </w:rPr>
              <w:t>логистикой</w:t>
            </w:r>
            <w:r w:rsidRPr="00AB735C">
              <w:rPr>
                <w:sz w:val="16"/>
                <w:szCs w:val="16"/>
                <w:lang w:val="ru-RU"/>
              </w:rPr>
              <w:t xml:space="preserve"> </w:t>
            </w:r>
            <w:r>
              <w:rPr>
                <w:sz w:val="16"/>
                <w:szCs w:val="16"/>
                <w:lang w:val="ru-RU"/>
              </w:rPr>
              <w:t xml:space="preserve">перевода </w:t>
            </w:r>
            <w:r w:rsidRPr="0031062E">
              <w:rPr>
                <w:sz w:val="16"/>
                <w:szCs w:val="16"/>
                <w:lang w:val="ru-RU"/>
              </w:rPr>
              <w:t>сотрудник</w:t>
            </w:r>
            <w:r>
              <w:rPr>
                <w:sz w:val="16"/>
                <w:szCs w:val="16"/>
                <w:lang w:val="ru-RU"/>
              </w:rPr>
              <w:t>ов в другие помещения</w:t>
            </w:r>
            <w:r w:rsidRPr="00AB735C">
              <w:rPr>
                <w:sz w:val="16"/>
                <w:szCs w:val="16"/>
                <w:lang w:val="ru-RU"/>
              </w:rPr>
              <w:t>.</w:t>
            </w:r>
          </w:p>
        </w:tc>
        <w:tc>
          <w:tcPr>
            <w:tcW w:w="1645" w:type="pct"/>
            <w:shd w:val="clear" w:color="auto" w:fill="auto"/>
          </w:tcPr>
          <w:p w:rsidR="00C85043" w:rsidRPr="007D4C0F" w:rsidRDefault="00C85043" w:rsidP="00BF61DC">
            <w:pPr>
              <w:pStyle w:val="ListParagraph"/>
              <w:numPr>
                <w:ilvl w:val="0"/>
                <w:numId w:val="122"/>
              </w:numPr>
              <w:autoSpaceDE w:val="0"/>
              <w:autoSpaceDN w:val="0"/>
              <w:adjustRightInd w:val="0"/>
              <w:spacing w:before="40" w:after="40"/>
              <w:rPr>
                <w:sz w:val="16"/>
                <w:szCs w:val="16"/>
                <w:lang w:val="ru-RU"/>
              </w:rPr>
            </w:pPr>
            <w:r>
              <w:rPr>
                <w:sz w:val="16"/>
                <w:szCs w:val="16"/>
                <w:lang w:val="ru-RU"/>
              </w:rPr>
              <w:t>Оценка</w:t>
            </w:r>
            <w:r w:rsidRPr="007D4C0F">
              <w:rPr>
                <w:sz w:val="16"/>
                <w:szCs w:val="16"/>
                <w:lang w:val="ru-RU"/>
              </w:rPr>
              <w:t xml:space="preserve"> процедур</w:t>
            </w:r>
            <w:r>
              <w:rPr>
                <w:sz w:val="16"/>
                <w:szCs w:val="16"/>
                <w:lang w:val="ru-RU"/>
              </w:rPr>
              <w:t>ы выбора</w:t>
            </w:r>
            <w:r w:rsidRPr="007D4C0F">
              <w:rPr>
                <w:sz w:val="16"/>
                <w:szCs w:val="16"/>
                <w:lang w:val="ru-RU"/>
              </w:rPr>
              <w:t xml:space="preserve"> </w:t>
            </w:r>
            <w:r w:rsidRPr="005A25DD">
              <w:rPr>
                <w:sz w:val="16"/>
                <w:szCs w:val="16"/>
                <w:lang w:val="ru-RU"/>
              </w:rPr>
              <w:t>техническ</w:t>
            </w:r>
            <w:r>
              <w:rPr>
                <w:sz w:val="16"/>
                <w:szCs w:val="16"/>
                <w:lang w:val="ru-RU"/>
              </w:rPr>
              <w:t>ого</w:t>
            </w:r>
            <w:r w:rsidRPr="007D4C0F">
              <w:rPr>
                <w:sz w:val="16"/>
                <w:szCs w:val="16"/>
                <w:lang w:val="ru-RU"/>
              </w:rPr>
              <w:t xml:space="preserve"> </w:t>
            </w:r>
            <w:r w:rsidRPr="005A25DD">
              <w:rPr>
                <w:sz w:val="16"/>
                <w:szCs w:val="16"/>
                <w:lang w:val="ru-RU"/>
              </w:rPr>
              <w:t>решени</w:t>
            </w:r>
            <w:r>
              <w:rPr>
                <w:sz w:val="16"/>
                <w:szCs w:val="16"/>
                <w:lang w:val="ru-RU"/>
              </w:rPr>
              <w:t>я</w:t>
            </w:r>
            <w:r w:rsidRPr="007D4C0F">
              <w:rPr>
                <w:sz w:val="16"/>
                <w:szCs w:val="16"/>
                <w:lang w:val="ru-RU"/>
              </w:rPr>
              <w:t>.</w:t>
            </w:r>
          </w:p>
          <w:p w:rsidR="00C85043" w:rsidRPr="005A25DD" w:rsidRDefault="00C85043" w:rsidP="00BF61DC">
            <w:pPr>
              <w:pStyle w:val="ListParagraph"/>
              <w:numPr>
                <w:ilvl w:val="0"/>
                <w:numId w:val="122"/>
              </w:numPr>
              <w:autoSpaceDE w:val="0"/>
              <w:autoSpaceDN w:val="0"/>
              <w:adjustRightInd w:val="0"/>
              <w:spacing w:before="40" w:after="40"/>
              <w:rPr>
                <w:sz w:val="16"/>
                <w:szCs w:val="16"/>
                <w:lang w:val="ru-RU"/>
              </w:rPr>
            </w:pPr>
            <w:r>
              <w:rPr>
                <w:sz w:val="16"/>
                <w:szCs w:val="16"/>
                <w:lang w:val="ru-RU"/>
              </w:rPr>
              <w:t>Оценка</w:t>
            </w:r>
            <w:r w:rsidRPr="005A25DD">
              <w:rPr>
                <w:sz w:val="16"/>
                <w:szCs w:val="16"/>
                <w:lang w:val="ru-RU"/>
              </w:rPr>
              <w:t xml:space="preserve"> </w:t>
            </w:r>
            <w:r>
              <w:rPr>
                <w:sz w:val="16"/>
                <w:szCs w:val="16"/>
                <w:lang w:val="ru-RU"/>
              </w:rPr>
              <w:t>на</w:t>
            </w:r>
            <w:r w:rsidRPr="005A25DD">
              <w:rPr>
                <w:sz w:val="16"/>
                <w:szCs w:val="16"/>
                <w:lang w:val="ru-RU"/>
              </w:rPr>
              <w:t xml:space="preserve"> предмет </w:t>
            </w:r>
            <w:r>
              <w:rPr>
                <w:sz w:val="16"/>
                <w:szCs w:val="16"/>
                <w:lang w:val="ru-RU"/>
              </w:rPr>
              <w:t>сокращения</w:t>
            </w:r>
            <w:r w:rsidRPr="005A25DD">
              <w:rPr>
                <w:sz w:val="16"/>
                <w:szCs w:val="16"/>
                <w:lang w:val="ru-RU"/>
              </w:rPr>
              <w:t xml:space="preserve"> </w:t>
            </w:r>
            <w:r>
              <w:rPr>
                <w:sz w:val="16"/>
                <w:szCs w:val="16"/>
                <w:lang w:val="ru-RU"/>
              </w:rPr>
              <w:t xml:space="preserve">сроков </w:t>
            </w:r>
            <w:r w:rsidRPr="007D4C0F">
              <w:rPr>
                <w:sz w:val="16"/>
                <w:szCs w:val="16"/>
                <w:lang w:val="ru-RU"/>
              </w:rPr>
              <w:t>производ</w:t>
            </w:r>
            <w:r>
              <w:rPr>
                <w:sz w:val="16"/>
                <w:szCs w:val="16"/>
                <w:lang w:val="ru-RU"/>
              </w:rPr>
              <w:t xml:space="preserve">ства </w:t>
            </w:r>
            <w:r w:rsidRPr="007D4C0F">
              <w:rPr>
                <w:sz w:val="16"/>
                <w:szCs w:val="16"/>
                <w:lang w:val="ru-RU"/>
              </w:rPr>
              <w:t>работ</w:t>
            </w:r>
            <w:r w:rsidRPr="005A25DD">
              <w:rPr>
                <w:sz w:val="16"/>
                <w:szCs w:val="16"/>
                <w:lang w:val="ru-RU"/>
              </w:rPr>
              <w:t>.</w:t>
            </w:r>
          </w:p>
          <w:p w:rsidR="00C85043" w:rsidRPr="00AB735C" w:rsidRDefault="00C85043" w:rsidP="00BF61DC">
            <w:pPr>
              <w:pStyle w:val="ListParagraph"/>
              <w:numPr>
                <w:ilvl w:val="0"/>
                <w:numId w:val="122"/>
              </w:numPr>
              <w:autoSpaceDE w:val="0"/>
              <w:autoSpaceDN w:val="0"/>
              <w:adjustRightInd w:val="0"/>
              <w:spacing w:before="40" w:after="40"/>
              <w:rPr>
                <w:sz w:val="16"/>
                <w:szCs w:val="16"/>
                <w:lang w:val="ru-RU"/>
              </w:rPr>
            </w:pPr>
            <w:r w:rsidRPr="007D4C0F">
              <w:rPr>
                <w:sz w:val="16"/>
                <w:szCs w:val="16"/>
                <w:lang w:val="ru-RU"/>
              </w:rPr>
              <w:t>Совместн</w:t>
            </w:r>
            <w:r>
              <w:rPr>
                <w:sz w:val="16"/>
                <w:szCs w:val="16"/>
                <w:lang w:val="ru-RU"/>
              </w:rPr>
              <w:t>ые плановые</w:t>
            </w:r>
            <w:r w:rsidRPr="00AB735C">
              <w:rPr>
                <w:sz w:val="16"/>
                <w:szCs w:val="16"/>
                <w:lang w:val="ru-RU"/>
              </w:rPr>
              <w:t xml:space="preserve"> </w:t>
            </w:r>
            <w:r>
              <w:rPr>
                <w:sz w:val="16"/>
                <w:szCs w:val="16"/>
                <w:lang w:val="ru-RU"/>
              </w:rPr>
              <w:t xml:space="preserve">совещания </w:t>
            </w:r>
            <w:r w:rsidRPr="00AB735C">
              <w:rPr>
                <w:sz w:val="16"/>
                <w:szCs w:val="16"/>
                <w:lang w:val="ru-RU"/>
              </w:rPr>
              <w:t>с</w:t>
            </w:r>
            <w:r>
              <w:rPr>
                <w:sz w:val="16"/>
                <w:szCs w:val="16"/>
                <w:lang w:val="ru-RU"/>
              </w:rPr>
              <w:t>о службами</w:t>
            </w:r>
            <w:r w:rsidRPr="00AB735C">
              <w:rPr>
                <w:sz w:val="16"/>
                <w:szCs w:val="16"/>
                <w:lang w:val="ru-RU"/>
              </w:rPr>
              <w:t xml:space="preserve"> </w:t>
            </w:r>
            <w:r w:rsidRPr="00EC7C86">
              <w:rPr>
                <w:sz w:val="16"/>
                <w:szCs w:val="16"/>
              </w:rPr>
              <w:t>PCT</w:t>
            </w:r>
            <w:r w:rsidRPr="00150972">
              <w:rPr>
                <w:sz w:val="16"/>
                <w:szCs w:val="16"/>
                <w:lang w:val="ru-RU"/>
              </w:rPr>
              <w:t xml:space="preserve">, </w:t>
            </w:r>
            <w:r w:rsidRPr="002C1B8C">
              <w:rPr>
                <w:sz w:val="16"/>
                <w:szCs w:val="16"/>
                <w:lang w:val="ru-RU"/>
              </w:rPr>
              <w:t>информационно-технологическ</w:t>
            </w:r>
            <w:r>
              <w:rPr>
                <w:sz w:val="16"/>
                <w:szCs w:val="16"/>
                <w:lang w:val="ru-RU"/>
              </w:rPr>
              <w:t>ими службами и</w:t>
            </w:r>
            <w:r w:rsidRPr="00150972">
              <w:rPr>
                <w:sz w:val="16"/>
                <w:szCs w:val="16"/>
                <w:lang w:val="ru-RU"/>
              </w:rPr>
              <w:t xml:space="preserve"> </w:t>
            </w:r>
            <w:r>
              <w:rPr>
                <w:sz w:val="16"/>
                <w:szCs w:val="16"/>
                <w:lang w:val="ru-RU"/>
              </w:rPr>
              <w:t>Службой</w:t>
            </w:r>
            <w:r w:rsidRPr="00150972">
              <w:rPr>
                <w:sz w:val="16"/>
                <w:szCs w:val="16"/>
                <w:lang w:val="ru-RU"/>
              </w:rPr>
              <w:t xml:space="preserve"> по координации мер в области охраны и безопасности ВОИС</w:t>
            </w:r>
            <w:r w:rsidRPr="00AB735C">
              <w:rPr>
                <w:sz w:val="16"/>
                <w:szCs w:val="16"/>
                <w:lang w:val="ru-RU"/>
              </w:rPr>
              <w:t>.</w:t>
            </w:r>
          </w:p>
        </w:tc>
        <w:tc>
          <w:tcPr>
            <w:tcW w:w="1691" w:type="pct"/>
            <w:shd w:val="clear" w:color="auto" w:fill="auto"/>
          </w:tcPr>
          <w:p w:rsidR="00C85043" w:rsidRPr="00AB735C" w:rsidRDefault="00C85043" w:rsidP="00C85043">
            <w:pPr>
              <w:autoSpaceDE w:val="0"/>
              <w:autoSpaceDN w:val="0"/>
              <w:adjustRightInd w:val="0"/>
              <w:spacing w:before="40" w:after="40"/>
              <w:rPr>
                <w:sz w:val="16"/>
                <w:szCs w:val="16"/>
                <w:lang w:val="ru-RU"/>
              </w:rPr>
            </w:pPr>
          </w:p>
        </w:tc>
      </w:tr>
      <w:tr w:rsidR="00C85043" w:rsidRPr="005C6ABD" w:rsidTr="00C85043">
        <w:trPr>
          <w:trHeight w:val="776"/>
          <w:jc w:val="center"/>
        </w:trPr>
        <w:tc>
          <w:tcPr>
            <w:tcW w:w="1664" w:type="pct"/>
            <w:shd w:val="clear" w:color="auto" w:fill="auto"/>
          </w:tcPr>
          <w:p w:rsidR="00C85043" w:rsidRPr="00AB735C" w:rsidRDefault="00C85043" w:rsidP="00C85043">
            <w:pPr>
              <w:autoSpaceDE w:val="0"/>
              <w:autoSpaceDN w:val="0"/>
              <w:adjustRightInd w:val="0"/>
              <w:spacing w:before="40" w:after="40"/>
              <w:rPr>
                <w:b/>
                <w:bCs/>
                <w:sz w:val="16"/>
                <w:szCs w:val="16"/>
                <w:lang w:val="ru-RU"/>
              </w:rPr>
            </w:pPr>
            <w:r w:rsidRPr="002C1B8C">
              <w:rPr>
                <w:sz w:val="16"/>
                <w:szCs w:val="16"/>
                <w:lang w:val="ru-RU"/>
              </w:rPr>
              <w:t>Финансовый риск</w:t>
            </w:r>
            <w:r>
              <w:rPr>
                <w:sz w:val="16"/>
                <w:szCs w:val="16"/>
                <w:lang w:val="ru-RU"/>
              </w:rPr>
              <w:t xml:space="preserve">, связанный с отсутствием </w:t>
            </w:r>
            <w:r w:rsidRPr="002C1B8C">
              <w:rPr>
                <w:sz w:val="16"/>
                <w:szCs w:val="16"/>
                <w:lang w:val="ru-RU"/>
              </w:rPr>
              <w:t>информаци</w:t>
            </w:r>
            <w:r>
              <w:rPr>
                <w:sz w:val="16"/>
                <w:szCs w:val="16"/>
                <w:lang w:val="ru-RU"/>
              </w:rPr>
              <w:t xml:space="preserve">и о </w:t>
            </w:r>
            <w:r w:rsidRPr="002C1B8C">
              <w:rPr>
                <w:sz w:val="16"/>
                <w:szCs w:val="16"/>
                <w:lang w:val="ru-RU"/>
              </w:rPr>
              <w:t>стоимост</w:t>
            </w:r>
            <w:r>
              <w:rPr>
                <w:sz w:val="16"/>
                <w:szCs w:val="16"/>
                <w:lang w:val="ru-RU"/>
              </w:rPr>
              <w:t xml:space="preserve">и </w:t>
            </w:r>
            <w:r w:rsidRPr="002C1B8C">
              <w:rPr>
                <w:sz w:val="16"/>
                <w:szCs w:val="16"/>
                <w:lang w:val="ru-RU"/>
              </w:rPr>
              <w:t>техническ</w:t>
            </w:r>
            <w:r>
              <w:rPr>
                <w:sz w:val="16"/>
                <w:szCs w:val="16"/>
                <w:lang w:val="ru-RU"/>
              </w:rPr>
              <w:t>ого</w:t>
            </w:r>
            <w:r w:rsidRPr="002C1B8C">
              <w:rPr>
                <w:sz w:val="16"/>
                <w:szCs w:val="16"/>
                <w:lang w:val="ru-RU"/>
              </w:rPr>
              <w:t xml:space="preserve"> </w:t>
            </w:r>
            <w:r>
              <w:rPr>
                <w:sz w:val="16"/>
                <w:szCs w:val="16"/>
                <w:lang w:val="ru-RU"/>
              </w:rPr>
              <w:t>решения, которое будет выбрано</w:t>
            </w:r>
            <w:r w:rsidRPr="002C1B8C">
              <w:rPr>
                <w:sz w:val="16"/>
                <w:szCs w:val="16"/>
                <w:lang w:val="ru-RU"/>
              </w:rPr>
              <w:t xml:space="preserve">.  </w:t>
            </w:r>
            <w:r w:rsidRPr="00AB735C">
              <w:rPr>
                <w:sz w:val="16"/>
                <w:szCs w:val="16"/>
                <w:lang w:val="ru-RU"/>
              </w:rPr>
              <w:t>Стоимость проект</w:t>
            </w:r>
            <w:r>
              <w:rPr>
                <w:sz w:val="16"/>
                <w:szCs w:val="16"/>
                <w:lang w:val="ru-RU"/>
              </w:rPr>
              <w:t>а</w:t>
            </w:r>
            <w:r w:rsidRPr="00AB735C">
              <w:rPr>
                <w:sz w:val="16"/>
                <w:szCs w:val="16"/>
                <w:lang w:val="ru-RU"/>
              </w:rPr>
              <w:t xml:space="preserve"> может также </w:t>
            </w:r>
            <w:r>
              <w:rPr>
                <w:sz w:val="16"/>
                <w:szCs w:val="16"/>
                <w:lang w:val="ru-RU"/>
              </w:rPr>
              <w:t xml:space="preserve">превысить </w:t>
            </w:r>
            <w:r w:rsidRPr="00AB735C">
              <w:rPr>
                <w:sz w:val="16"/>
                <w:szCs w:val="16"/>
                <w:lang w:val="ru-RU"/>
              </w:rPr>
              <w:t>утвержден</w:t>
            </w:r>
            <w:r>
              <w:rPr>
                <w:sz w:val="16"/>
                <w:szCs w:val="16"/>
                <w:lang w:val="ru-RU"/>
              </w:rPr>
              <w:t xml:space="preserve">ную смету </w:t>
            </w:r>
            <w:r w:rsidRPr="00AB735C">
              <w:rPr>
                <w:sz w:val="16"/>
                <w:szCs w:val="16"/>
                <w:lang w:val="ru-RU"/>
              </w:rPr>
              <w:t xml:space="preserve"> в результате </w:t>
            </w:r>
            <w:r w:rsidRPr="002C1B8C">
              <w:rPr>
                <w:sz w:val="16"/>
                <w:szCs w:val="16"/>
                <w:lang w:val="ru-RU"/>
              </w:rPr>
              <w:t>изменени</w:t>
            </w:r>
            <w:r>
              <w:rPr>
                <w:sz w:val="16"/>
                <w:szCs w:val="16"/>
                <w:lang w:val="ru-RU"/>
              </w:rPr>
              <w:t xml:space="preserve">я </w:t>
            </w:r>
            <w:r w:rsidRPr="002C1B8C">
              <w:rPr>
                <w:sz w:val="16"/>
                <w:szCs w:val="16"/>
                <w:lang w:val="ru-RU"/>
              </w:rPr>
              <w:t>ситуаци</w:t>
            </w:r>
            <w:r>
              <w:rPr>
                <w:sz w:val="16"/>
                <w:szCs w:val="16"/>
                <w:lang w:val="ru-RU"/>
              </w:rPr>
              <w:t>и на строительном рын</w:t>
            </w:r>
            <w:r w:rsidRPr="00AB735C">
              <w:rPr>
                <w:sz w:val="16"/>
                <w:szCs w:val="16"/>
                <w:lang w:val="ru-RU"/>
              </w:rPr>
              <w:t>к</w:t>
            </w:r>
            <w:r>
              <w:rPr>
                <w:sz w:val="16"/>
                <w:szCs w:val="16"/>
                <w:lang w:val="ru-RU"/>
              </w:rPr>
              <w:t>е</w:t>
            </w:r>
            <w:r w:rsidRPr="00AB735C">
              <w:rPr>
                <w:sz w:val="16"/>
                <w:szCs w:val="16"/>
                <w:lang w:val="ru-RU"/>
              </w:rPr>
              <w:t xml:space="preserve"> в </w:t>
            </w:r>
            <w:r w:rsidRPr="002C1B8C">
              <w:rPr>
                <w:sz w:val="16"/>
                <w:szCs w:val="16"/>
                <w:lang w:val="ru-RU"/>
              </w:rPr>
              <w:t>период</w:t>
            </w:r>
            <w:r>
              <w:rPr>
                <w:sz w:val="16"/>
                <w:szCs w:val="16"/>
                <w:lang w:val="ru-RU"/>
              </w:rPr>
              <w:t xml:space="preserve"> проведения конкурса среди фирм</w:t>
            </w:r>
            <w:r w:rsidRPr="00AB735C">
              <w:rPr>
                <w:sz w:val="16"/>
                <w:szCs w:val="16"/>
                <w:lang w:val="ru-RU"/>
              </w:rPr>
              <w:t xml:space="preserve"> </w:t>
            </w:r>
            <w:r>
              <w:rPr>
                <w:sz w:val="16"/>
                <w:szCs w:val="16"/>
                <w:lang w:val="ru-RU"/>
              </w:rPr>
              <w:t xml:space="preserve">в </w:t>
            </w:r>
            <w:r w:rsidRPr="00AB735C">
              <w:rPr>
                <w:sz w:val="16"/>
                <w:szCs w:val="16"/>
                <w:lang w:val="ru-RU"/>
              </w:rPr>
              <w:t>2016</w:t>
            </w:r>
            <w:r>
              <w:rPr>
                <w:sz w:val="16"/>
                <w:szCs w:val="16"/>
                <w:lang w:val="ru-RU"/>
              </w:rPr>
              <w:t> г</w:t>
            </w:r>
            <w:r w:rsidRPr="00AB735C">
              <w:rPr>
                <w:sz w:val="16"/>
                <w:szCs w:val="16"/>
                <w:lang w:val="ru-RU"/>
              </w:rPr>
              <w:t>.</w:t>
            </w:r>
          </w:p>
        </w:tc>
        <w:tc>
          <w:tcPr>
            <w:tcW w:w="1645" w:type="pct"/>
            <w:shd w:val="clear" w:color="auto" w:fill="auto"/>
          </w:tcPr>
          <w:p w:rsidR="00C85043" w:rsidRPr="00AB735C" w:rsidRDefault="00C85043" w:rsidP="00C85043">
            <w:pPr>
              <w:autoSpaceDE w:val="0"/>
              <w:autoSpaceDN w:val="0"/>
              <w:adjustRightInd w:val="0"/>
              <w:spacing w:before="40" w:after="40"/>
              <w:rPr>
                <w:sz w:val="16"/>
                <w:szCs w:val="16"/>
                <w:lang w:val="ru-RU"/>
              </w:rPr>
            </w:pPr>
            <w:r w:rsidRPr="00AB735C">
              <w:rPr>
                <w:sz w:val="16"/>
                <w:szCs w:val="16"/>
                <w:lang w:val="ru-RU"/>
              </w:rPr>
              <w:t>Критический анализ</w:t>
            </w:r>
            <w:r>
              <w:rPr>
                <w:sz w:val="16"/>
                <w:szCs w:val="16"/>
                <w:lang w:val="ru-RU"/>
              </w:rPr>
              <w:t xml:space="preserve"> </w:t>
            </w:r>
            <w:r w:rsidRPr="00AB735C">
              <w:rPr>
                <w:sz w:val="16"/>
                <w:szCs w:val="16"/>
                <w:lang w:val="ru-RU"/>
              </w:rPr>
              <w:t>выбор</w:t>
            </w:r>
            <w:r>
              <w:rPr>
                <w:sz w:val="16"/>
                <w:szCs w:val="16"/>
                <w:lang w:val="ru-RU"/>
              </w:rPr>
              <w:t>а</w:t>
            </w:r>
            <w:r w:rsidRPr="00AB735C">
              <w:rPr>
                <w:sz w:val="16"/>
                <w:szCs w:val="16"/>
                <w:lang w:val="ru-RU"/>
              </w:rPr>
              <w:t xml:space="preserve"> технического решения и </w:t>
            </w:r>
            <w:r w:rsidRPr="002C1B8C">
              <w:rPr>
                <w:sz w:val="16"/>
                <w:szCs w:val="16"/>
                <w:lang w:val="ru-RU"/>
              </w:rPr>
              <w:t>мониторинг</w:t>
            </w:r>
            <w:r>
              <w:rPr>
                <w:sz w:val="16"/>
                <w:szCs w:val="16"/>
                <w:lang w:val="ru-RU"/>
              </w:rPr>
              <w:t xml:space="preserve"> </w:t>
            </w:r>
            <w:r w:rsidRPr="002C1B8C">
              <w:rPr>
                <w:sz w:val="16"/>
                <w:szCs w:val="16"/>
                <w:lang w:val="ru-RU"/>
              </w:rPr>
              <w:t>ситуаци</w:t>
            </w:r>
            <w:r>
              <w:rPr>
                <w:sz w:val="16"/>
                <w:szCs w:val="16"/>
                <w:lang w:val="ru-RU"/>
              </w:rPr>
              <w:t>и на строительном</w:t>
            </w:r>
            <w:r w:rsidRPr="00AB735C">
              <w:rPr>
                <w:sz w:val="16"/>
                <w:szCs w:val="16"/>
                <w:lang w:val="ru-RU"/>
              </w:rPr>
              <w:t xml:space="preserve"> рынк</w:t>
            </w:r>
            <w:r>
              <w:rPr>
                <w:sz w:val="16"/>
                <w:szCs w:val="16"/>
                <w:lang w:val="ru-RU"/>
              </w:rPr>
              <w:t xml:space="preserve">е, </w:t>
            </w:r>
            <w:r w:rsidRPr="002C1B8C">
              <w:rPr>
                <w:sz w:val="16"/>
                <w:szCs w:val="16"/>
                <w:lang w:val="ru-RU"/>
              </w:rPr>
              <w:t>в том числе</w:t>
            </w:r>
            <w:r>
              <w:rPr>
                <w:sz w:val="16"/>
                <w:szCs w:val="16"/>
                <w:lang w:val="ru-RU"/>
              </w:rPr>
              <w:t xml:space="preserve">, </w:t>
            </w:r>
            <w:r w:rsidRPr="002C1B8C">
              <w:rPr>
                <w:sz w:val="16"/>
                <w:szCs w:val="16"/>
                <w:lang w:val="ru-RU"/>
              </w:rPr>
              <w:t>при необходимости</w:t>
            </w:r>
            <w:r>
              <w:rPr>
                <w:sz w:val="16"/>
                <w:szCs w:val="16"/>
                <w:lang w:val="ru-RU"/>
              </w:rPr>
              <w:t xml:space="preserve">, включение в </w:t>
            </w:r>
            <w:r w:rsidRPr="00AB735C">
              <w:rPr>
                <w:sz w:val="16"/>
                <w:szCs w:val="16"/>
                <w:lang w:val="ru-RU"/>
              </w:rPr>
              <w:t>контракты</w:t>
            </w:r>
            <w:r>
              <w:rPr>
                <w:sz w:val="16"/>
                <w:szCs w:val="16"/>
                <w:lang w:val="ru-RU"/>
              </w:rPr>
              <w:t xml:space="preserve"> статей, учитывающих </w:t>
            </w:r>
            <w:r w:rsidRPr="002C1B8C">
              <w:rPr>
                <w:sz w:val="16"/>
                <w:szCs w:val="16"/>
                <w:lang w:val="ru-RU"/>
              </w:rPr>
              <w:t>соответствующ</w:t>
            </w:r>
            <w:r>
              <w:rPr>
                <w:sz w:val="16"/>
                <w:szCs w:val="16"/>
                <w:lang w:val="ru-RU"/>
              </w:rPr>
              <w:t>ие риски</w:t>
            </w:r>
            <w:r w:rsidRPr="00AB735C">
              <w:rPr>
                <w:sz w:val="16"/>
                <w:szCs w:val="16"/>
                <w:lang w:val="ru-RU"/>
              </w:rPr>
              <w:t>.</w:t>
            </w:r>
          </w:p>
          <w:p w:rsidR="00C85043" w:rsidRPr="00AB735C" w:rsidRDefault="00C85043" w:rsidP="00C85043">
            <w:pPr>
              <w:autoSpaceDE w:val="0"/>
              <w:autoSpaceDN w:val="0"/>
              <w:adjustRightInd w:val="0"/>
              <w:spacing w:before="40" w:after="40"/>
              <w:rPr>
                <w:sz w:val="16"/>
                <w:szCs w:val="16"/>
                <w:lang w:val="ru-RU"/>
              </w:rPr>
            </w:pPr>
          </w:p>
        </w:tc>
        <w:tc>
          <w:tcPr>
            <w:tcW w:w="1691" w:type="pct"/>
            <w:shd w:val="clear" w:color="auto" w:fill="auto"/>
          </w:tcPr>
          <w:p w:rsidR="00C85043" w:rsidRPr="00AB735C" w:rsidRDefault="00C85043" w:rsidP="00C85043">
            <w:pPr>
              <w:autoSpaceDE w:val="0"/>
              <w:autoSpaceDN w:val="0"/>
              <w:adjustRightInd w:val="0"/>
              <w:spacing w:before="40" w:after="40"/>
              <w:rPr>
                <w:sz w:val="16"/>
                <w:szCs w:val="16"/>
                <w:lang w:val="ru-RU"/>
              </w:rPr>
            </w:pPr>
          </w:p>
        </w:tc>
      </w:tr>
    </w:tbl>
    <w:p w:rsidR="00C85043" w:rsidRPr="00AB735C" w:rsidRDefault="00C85043" w:rsidP="00C85043">
      <w:pPr>
        <w:keepNext/>
        <w:keepLines/>
        <w:rPr>
          <w:rFonts w:cs="Arial"/>
          <w:color w:val="000000"/>
          <w:sz w:val="22"/>
          <w:szCs w:val="22"/>
          <w:lang w:val="ru-RU"/>
        </w:rPr>
      </w:pPr>
    </w:p>
    <w:p w:rsidR="00C85043" w:rsidRPr="00AB735C" w:rsidRDefault="00C85043" w:rsidP="00C85043">
      <w:pPr>
        <w:keepNext/>
        <w:keepLines/>
        <w:rPr>
          <w:rFonts w:cs="Arial"/>
          <w:color w:val="000000"/>
          <w:sz w:val="22"/>
          <w:szCs w:val="22"/>
          <w:lang w:val="ru-RU"/>
        </w:rPr>
      </w:pPr>
    </w:p>
    <w:p w:rsidR="00C85043" w:rsidRPr="00715C25" w:rsidRDefault="00C85043" w:rsidP="00C85043">
      <w:pPr>
        <w:keepNext/>
        <w:keepLines/>
        <w:rPr>
          <w:rFonts w:cs="Arial"/>
          <w:color w:val="000000"/>
          <w:szCs w:val="22"/>
          <w:lang w:val="ru-RU"/>
        </w:rPr>
      </w:pPr>
      <w:r>
        <w:rPr>
          <w:rFonts w:cs="Arial"/>
          <w:color w:val="000000"/>
          <w:szCs w:val="22"/>
          <w:lang w:val="ru-RU"/>
        </w:rPr>
        <w:t>СРОКИ ОСУЩЕСТВЛЕНИЯ ПРОЕКТА В РАЗБИВКЕ ПО ОСНОВНЫМ РЕЗУЛЬТАТАМ</w:t>
      </w:r>
    </w:p>
    <w:p w:rsidR="00C85043" w:rsidRPr="00715C25" w:rsidRDefault="00C85043" w:rsidP="00C85043">
      <w:pPr>
        <w:keepNext/>
        <w:keepLines/>
        <w:rPr>
          <w:rFonts w:cs="Arial"/>
          <w:color w:val="000000"/>
          <w:szCs w:val="22"/>
          <w:lang w:val="ru-RU"/>
        </w:rPr>
      </w:pPr>
    </w:p>
    <w:tbl>
      <w:tblPr>
        <w:tblW w:w="9666" w:type="dxa"/>
        <w:jc w:val="center"/>
        <w:tblLook w:val="04A0" w:firstRow="1" w:lastRow="0" w:firstColumn="1" w:lastColumn="0" w:noHBand="0" w:noVBand="1"/>
      </w:tblPr>
      <w:tblGrid>
        <w:gridCol w:w="1999"/>
        <w:gridCol w:w="391"/>
        <w:gridCol w:w="384"/>
        <w:gridCol w:w="384"/>
        <w:gridCol w:w="374"/>
        <w:gridCol w:w="10"/>
        <w:gridCol w:w="384"/>
        <w:gridCol w:w="352"/>
        <w:gridCol w:w="384"/>
        <w:gridCol w:w="384"/>
        <w:gridCol w:w="19"/>
        <w:gridCol w:w="366"/>
        <w:gridCol w:w="385"/>
        <w:gridCol w:w="385"/>
        <w:gridCol w:w="385"/>
        <w:gridCol w:w="13"/>
        <w:gridCol w:w="372"/>
        <w:gridCol w:w="385"/>
        <w:gridCol w:w="385"/>
        <w:gridCol w:w="385"/>
        <w:gridCol w:w="6"/>
        <w:gridCol w:w="304"/>
        <w:gridCol w:w="352"/>
        <w:gridCol w:w="439"/>
        <w:gridCol w:w="439"/>
      </w:tblGrid>
      <w:tr w:rsidR="00C85043" w:rsidRPr="00970583" w:rsidTr="00C85043">
        <w:trPr>
          <w:trHeight w:val="270"/>
          <w:tblHeader/>
          <w:jc w:val="center"/>
        </w:trPr>
        <w:tc>
          <w:tcPr>
            <w:tcW w:w="1999" w:type="dxa"/>
            <w:tcBorders>
              <w:top w:val="nil"/>
              <w:left w:val="nil"/>
              <w:bottom w:val="nil"/>
              <w:right w:val="nil"/>
            </w:tcBorders>
            <w:shd w:val="clear" w:color="auto" w:fill="auto"/>
            <w:noWrap/>
            <w:vAlign w:val="bottom"/>
          </w:tcPr>
          <w:p w:rsidR="00C85043" w:rsidRPr="00715C25" w:rsidRDefault="00C85043" w:rsidP="00C85043">
            <w:pPr>
              <w:keepNext/>
              <w:keepLines/>
              <w:rPr>
                <w:rFonts w:cs="Arial"/>
                <w:color w:val="000000"/>
                <w:sz w:val="16"/>
                <w:szCs w:val="16"/>
                <w:lang w:val="ru-RU"/>
              </w:rPr>
            </w:pPr>
          </w:p>
        </w:tc>
        <w:tc>
          <w:tcPr>
            <w:tcW w:w="1533" w:type="dxa"/>
            <w:gridSpan w:val="4"/>
            <w:tcBorders>
              <w:top w:val="single" w:sz="8" w:space="0" w:color="auto"/>
              <w:left w:val="single" w:sz="8" w:space="0" w:color="auto"/>
              <w:bottom w:val="single" w:sz="4" w:space="0" w:color="auto"/>
              <w:right w:val="single" w:sz="4"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color w:val="000000"/>
                <w:sz w:val="16"/>
                <w:szCs w:val="16"/>
              </w:rPr>
              <w:t>2014 г.</w:t>
            </w:r>
          </w:p>
        </w:tc>
        <w:tc>
          <w:tcPr>
            <w:tcW w:w="1533" w:type="dxa"/>
            <w:gridSpan w:val="6"/>
            <w:tcBorders>
              <w:top w:val="single" w:sz="8" w:space="0" w:color="auto"/>
              <w:left w:val="single" w:sz="8" w:space="0" w:color="auto"/>
              <w:bottom w:val="single" w:sz="4" w:space="0" w:color="auto"/>
              <w:right w:val="single" w:sz="4" w:space="0" w:color="auto"/>
            </w:tcBorders>
            <w:shd w:val="clear" w:color="auto" w:fill="C6D9F1"/>
            <w:vAlign w:val="bottom"/>
          </w:tcPr>
          <w:p w:rsidR="00C85043" w:rsidRPr="00970583" w:rsidRDefault="00C85043" w:rsidP="00C85043">
            <w:pPr>
              <w:keepNext/>
              <w:keepLines/>
              <w:jc w:val="center"/>
              <w:rPr>
                <w:rFonts w:cs="Arial"/>
                <w:b/>
                <w:bCs/>
                <w:color w:val="000000"/>
                <w:sz w:val="16"/>
                <w:szCs w:val="16"/>
              </w:rPr>
            </w:pPr>
            <w:r w:rsidRPr="00970583">
              <w:rPr>
                <w:rFonts w:cs="Arial"/>
                <w:b/>
                <w:bCs/>
                <w:color w:val="000000"/>
                <w:sz w:val="16"/>
                <w:szCs w:val="16"/>
              </w:rPr>
              <w:t>2015</w:t>
            </w:r>
            <w:r>
              <w:rPr>
                <w:rFonts w:cs="Arial"/>
                <w:b/>
                <w:bCs/>
                <w:color w:val="000000"/>
                <w:sz w:val="16"/>
                <w:szCs w:val="16"/>
                <w:lang w:val="ru-RU"/>
              </w:rPr>
              <w:t xml:space="preserve"> г.</w:t>
            </w:r>
          </w:p>
        </w:tc>
        <w:tc>
          <w:tcPr>
            <w:tcW w:w="1534" w:type="dxa"/>
            <w:gridSpan w:val="5"/>
            <w:tcBorders>
              <w:top w:val="single" w:sz="8" w:space="0" w:color="auto"/>
              <w:left w:val="single" w:sz="8" w:space="0" w:color="auto"/>
              <w:bottom w:val="single" w:sz="4" w:space="0" w:color="auto"/>
              <w:right w:val="single" w:sz="4" w:space="0" w:color="auto"/>
            </w:tcBorders>
            <w:shd w:val="clear" w:color="auto" w:fill="C6D9F1"/>
            <w:vAlign w:val="bottom"/>
          </w:tcPr>
          <w:p w:rsidR="00C85043" w:rsidRPr="00970583" w:rsidRDefault="00C85043" w:rsidP="00C85043">
            <w:pPr>
              <w:keepNext/>
              <w:keepLines/>
              <w:jc w:val="center"/>
              <w:rPr>
                <w:rFonts w:cs="Arial"/>
                <w:b/>
                <w:bCs/>
                <w:color w:val="000000"/>
                <w:sz w:val="16"/>
                <w:szCs w:val="16"/>
              </w:rPr>
            </w:pPr>
            <w:r w:rsidRPr="00970583">
              <w:rPr>
                <w:rFonts w:cs="Arial"/>
                <w:b/>
                <w:bCs/>
                <w:color w:val="000000"/>
                <w:sz w:val="16"/>
                <w:szCs w:val="16"/>
              </w:rPr>
              <w:t>2016</w:t>
            </w:r>
            <w:r>
              <w:rPr>
                <w:rFonts w:cs="Arial"/>
                <w:b/>
                <w:bCs/>
                <w:color w:val="000000"/>
                <w:sz w:val="16"/>
                <w:szCs w:val="16"/>
                <w:lang w:val="ru-RU"/>
              </w:rPr>
              <w:t xml:space="preserve"> г.</w:t>
            </w:r>
          </w:p>
        </w:tc>
        <w:tc>
          <w:tcPr>
            <w:tcW w:w="1533" w:type="dxa"/>
            <w:gridSpan w:val="5"/>
            <w:tcBorders>
              <w:top w:val="single" w:sz="8" w:space="0" w:color="auto"/>
              <w:left w:val="single" w:sz="8" w:space="0" w:color="auto"/>
              <w:bottom w:val="single" w:sz="4" w:space="0" w:color="auto"/>
              <w:right w:val="single" w:sz="4" w:space="0" w:color="auto"/>
            </w:tcBorders>
            <w:shd w:val="clear" w:color="auto" w:fill="C6D9F1"/>
            <w:vAlign w:val="bottom"/>
          </w:tcPr>
          <w:p w:rsidR="00C85043" w:rsidRPr="00970583" w:rsidRDefault="00C85043" w:rsidP="00C85043">
            <w:pPr>
              <w:keepNext/>
              <w:keepLines/>
              <w:jc w:val="center"/>
              <w:rPr>
                <w:rFonts w:cs="Arial"/>
                <w:b/>
                <w:bCs/>
                <w:color w:val="000000"/>
                <w:sz w:val="16"/>
                <w:szCs w:val="16"/>
              </w:rPr>
            </w:pPr>
            <w:r w:rsidRPr="00970583">
              <w:rPr>
                <w:rFonts w:cs="Arial"/>
                <w:b/>
                <w:bCs/>
                <w:color w:val="000000"/>
                <w:sz w:val="16"/>
                <w:szCs w:val="16"/>
              </w:rPr>
              <w:t>2017</w:t>
            </w:r>
            <w:r>
              <w:rPr>
                <w:rFonts w:cs="Arial"/>
                <w:b/>
                <w:bCs/>
                <w:color w:val="000000"/>
                <w:sz w:val="16"/>
                <w:szCs w:val="16"/>
                <w:lang w:val="ru-RU"/>
              </w:rPr>
              <w:t xml:space="preserve"> г.</w:t>
            </w:r>
          </w:p>
        </w:tc>
        <w:tc>
          <w:tcPr>
            <w:tcW w:w="1534" w:type="dxa"/>
            <w:gridSpan w:val="4"/>
            <w:tcBorders>
              <w:top w:val="single" w:sz="8" w:space="0" w:color="auto"/>
              <w:left w:val="single" w:sz="8" w:space="0" w:color="auto"/>
              <w:bottom w:val="single" w:sz="4" w:space="0" w:color="auto"/>
              <w:right w:val="single" w:sz="4" w:space="0" w:color="auto"/>
            </w:tcBorders>
            <w:shd w:val="clear" w:color="auto" w:fill="C6D9F1"/>
            <w:vAlign w:val="bottom"/>
          </w:tcPr>
          <w:p w:rsidR="00C85043" w:rsidRPr="00970583" w:rsidRDefault="00C85043" w:rsidP="00C85043">
            <w:pPr>
              <w:keepNext/>
              <w:keepLines/>
              <w:jc w:val="center"/>
              <w:rPr>
                <w:rFonts w:cs="Arial"/>
                <w:b/>
                <w:bCs/>
                <w:color w:val="000000"/>
                <w:sz w:val="16"/>
                <w:szCs w:val="16"/>
              </w:rPr>
            </w:pPr>
            <w:r w:rsidRPr="00970583">
              <w:rPr>
                <w:rFonts w:cs="Arial"/>
                <w:b/>
                <w:bCs/>
                <w:color w:val="000000"/>
                <w:sz w:val="16"/>
                <w:szCs w:val="16"/>
              </w:rPr>
              <w:t>2018</w:t>
            </w:r>
            <w:r>
              <w:rPr>
                <w:rFonts w:cs="Arial"/>
                <w:b/>
                <w:bCs/>
                <w:color w:val="000000"/>
                <w:sz w:val="16"/>
                <w:szCs w:val="16"/>
                <w:lang w:val="ru-RU"/>
              </w:rPr>
              <w:t xml:space="preserve"> г.</w:t>
            </w:r>
          </w:p>
        </w:tc>
      </w:tr>
      <w:tr w:rsidR="00C85043" w:rsidRPr="002A78DC" w:rsidTr="00C85043">
        <w:trPr>
          <w:trHeight w:val="375"/>
          <w:tblHeader/>
          <w:jc w:val="center"/>
        </w:trPr>
        <w:tc>
          <w:tcPr>
            <w:tcW w:w="1999" w:type="dxa"/>
            <w:tcBorders>
              <w:top w:val="single" w:sz="8" w:space="0" w:color="auto"/>
              <w:left w:val="single" w:sz="4" w:space="0" w:color="auto"/>
              <w:bottom w:val="single" w:sz="4" w:space="0" w:color="auto"/>
              <w:right w:val="single" w:sz="8" w:space="0" w:color="auto"/>
            </w:tcBorders>
            <w:shd w:val="clear" w:color="auto" w:fill="C6D9F1"/>
            <w:noWrap/>
            <w:vAlign w:val="bottom"/>
          </w:tcPr>
          <w:p w:rsidR="00C85043" w:rsidRPr="00970583" w:rsidRDefault="00C85043" w:rsidP="00C85043">
            <w:pPr>
              <w:keepNext/>
              <w:keepLines/>
              <w:rPr>
                <w:rFonts w:cs="Arial"/>
                <w:b/>
                <w:bCs/>
                <w:color w:val="000000"/>
                <w:sz w:val="16"/>
                <w:szCs w:val="16"/>
              </w:rPr>
            </w:pPr>
            <w:r>
              <w:rPr>
                <w:rFonts w:cs="Arial"/>
                <w:b/>
                <w:bCs/>
                <w:color w:val="000000"/>
                <w:sz w:val="16"/>
                <w:szCs w:val="16"/>
              </w:rPr>
              <w:t>Основной результат</w:t>
            </w:r>
          </w:p>
        </w:tc>
        <w:tc>
          <w:tcPr>
            <w:tcW w:w="391"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sz w:val="16"/>
                <w:szCs w:val="16"/>
              </w:rPr>
              <w:t xml:space="preserve">I </w:t>
            </w:r>
            <w:r w:rsidRPr="002A78DC">
              <w:rPr>
                <w:rFonts w:cs="Arial"/>
                <w:b/>
                <w:bCs/>
                <w:sz w:val="16"/>
                <w:szCs w:val="16"/>
              </w:rPr>
              <w:br/>
            </w:r>
            <w:r>
              <w:rPr>
                <w:rFonts w:cs="Arial"/>
                <w:b/>
                <w:bCs/>
                <w:sz w:val="16"/>
                <w:szCs w:val="16"/>
              </w:rPr>
              <w:t>кв.</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sz w:val="16"/>
                <w:szCs w:val="16"/>
              </w:rPr>
              <w:t xml:space="preserve">II </w:t>
            </w:r>
            <w:r>
              <w:rPr>
                <w:rFonts w:cs="Arial"/>
                <w:b/>
                <w:bCs/>
                <w:sz w:val="16"/>
                <w:szCs w:val="16"/>
                <w:lang w:val="ru-RU"/>
              </w:rPr>
              <w:br/>
            </w:r>
            <w:r>
              <w:rPr>
                <w:rFonts w:cs="Arial"/>
                <w:b/>
                <w:bCs/>
                <w:sz w:val="16"/>
                <w:szCs w:val="16"/>
              </w:rPr>
              <w:t>кв.</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sz w:val="16"/>
                <w:szCs w:val="16"/>
              </w:rPr>
              <w:t>III кв.</w:t>
            </w:r>
          </w:p>
        </w:tc>
        <w:tc>
          <w:tcPr>
            <w:tcW w:w="384" w:type="dxa"/>
            <w:gridSpan w:val="2"/>
            <w:tcBorders>
              <w:top w:val="nil"/>
              <w:left w:val="nil"/>
              <w:bottom w:val="single" w:sz="4" w:space="0" w:color="auto"/>
              <w:right w:val="single" w:sz="8"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sz w:val="16"/>
                <w:szCs w:val="16"/>
              </w:rPr>
              <w:t>IV кв.</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color w:val="000000"/>
                <w:sz w:val="16"/>
                <w:szCs w:val="16"/>
              </w:rPr>
              <w:t xml:space="preserve">I </w:t>
            </w:r>
            <w:r>
              <w:rPr>
                <w:rFonts w:cs="Arial"/>
                <w:b/>
                <w:bCs/>
                <w:color w:val="000000"/>
                <w:sz w:val="16"/>
                <w:szCs w:val="16"/>
                <w:lang w:val="ru-RU"/>
              </w:rPr>
              <w:br/>
            </w:r>
            <w:r>
              <w:rPr>
                <w:rFonts w:cs="Arial"/>
                <w:b/>
                <w:bCs/>
                <w:color w:val="000000"/>
                <w:sz w:val="16"/>
                <w:szCs w:val="16"/>
              </w:rPr>
              <w:t>кв.</w:t>
            </w:r>
          </w:p>
        </w:tc>
        <w:tc>
          <w:tcPr>
            <w:tcW w:w="352"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color w:val="000000"/>
                <w:sz w:val="16"/>
                <w:szCs w:val="16"/>
              </w:rPr>
              <w:t>II кв.</w:t>
            </w:r>
          </w:p>
        </w:tc>
        <w:tc>
          <w:tcPr>
            <w:tcW w:w="384"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color w:val="000000"/>
                <w:sz w:val="16"/>
                <w:szCs w:val="16"/>
              </w:rPr>
              <w:t>III кв.</w:t>
            </w:r>
          </w:p>
        </w:tc>
        <w:tc>
          <w:tcPr>
            <w:tcW w:w="384" w:type="dxa"/>
            <w:tcBorders>
              <w:top w:val="nil"/>
              <w:left w:val="nil"/>
              <w:bottom w:val="single" w:sz="4" w:space="0" w:color="auto"/>
              <w:right w:val="single" w:sz="8"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color w:val="000000"/>
                <w:sz w:val="16"/>
                <w:szCs w:val="16"/>
              </w:rPr>
              <w:t>IV кв.</w:t>
            </w:r>
          </w:p>
        </w:tc>
        <w:tc>
          <w:tcPr>
            <w:tcW w:w="385" w:type="dxa"/>
            <w:gridSpan w:val="2"/>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970583" w:rsidRDefault="00C85043" w:rsidP="00C85043">
            <w:pPr>
              <w:keepNext/>
              <w:keepLines/>
              <w:jc w:val="center"/>
              <w:rPr>
                <w:rFonts w:cs="Arial"/>
                <w:b/>
                <w:bCs/>
                <w:color w:val="000000"/>
                <w:sz w:val="16"/>
                <w:szCs w:val="16"/>
              </w:rPr>
            </w:pPr>
            <w:r>
              <w:rPr>
                <w:rFonts w:cs="Arial"/>
                <w:b/>
                <w:bCs/>
                <w:color w:val="000000"/>
                <w:sz w:val="16"/>
                <w:szCs w:val="16"/>
              </w:rPr>
              <w:t xml:space="preserve">I </w:t>
            </w:r>
            <w:r>
              <w:rPr>
                <w:rFonts w:cs="Arial"/>
                <w:b/>
                <w:bCs/>
                <w:color w:val="000000"/>
                <w:sz w:val="16"/>
                <w:szCs w:val="16"/>
                <w:lang w:val="ru-RU"/>
              </w:rPr>
              <w:br/>
            </w:r>
            <w:r>
              <w:rPr>
                <w:rFonts w:cs="Arial"/>
                <w:b/>
                <w:bCs/>
                <w:color w:val="000000"/>
                <w:sz w:val="16"/>
                <w:szCs w:val="16"/>
              </w:rPr>
              <w:t>кв.</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II</w:t>
            </w:r>
            <w:r w:rsidRPr="002A78DC">
              <w:rPr>
                <w:rFonts w:cs="Arial"/>
                <w:b/>
                <w:bCs/>
                <w:color w:val="000000"/>
                <w:sz w:val="16"/>
                <w:szCs w:val="16"/>
                <w:lang w:val="ru-RU"/>
              </w:rPr>
              <w:t xml:space="preserve"> </w:t>
            </w:r>
            <w:r>
              <w:rPr>
                <w:rFonts w:cs="Arial"/>
                <w:b/>
                <w:bCs/>
                <w:color w:val="000000"/>
                <w:sz w:val="16"/>
                <w:szCs w:val="16"/>
                <w:lang w:val="ru-RU"/>
              </w:rPr>
              <w:br/>
            </w:r>
            <w:r w:rsidRPr="002A78DC">
              <w:rPr>
                <w:rFonts w:cs="Arial"/>
                <w:b/>
                <w:bCs/>
                <w:color w:val="000000"/>
                <w:sz w:val="16"/>
                <w:szCs w:val="16"/>
                <w:lang w:val="ru-RU"/>
              </w:rPr>
              <w:t>кв.</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III</w:t>
            </w:r>
            <w:r w:rsidRPr="002A78DC">
              <w:rPr>
                <w:rFonts w:cs="Arial"/>
                <w:b/>
                <w:bCs/>
                <w:color w:val="000000"/>
                <w:sz w:val="16"/>
                <w:szCs w:val="16"/>
                <w:lang w:val="ru-RU"/>
              </w:rPr>
              <w:t xml:space="preserve"> кв.</w:t>
            </w:r>
          </w:p>
        </w:tc>
        <w:tc>
          <w:tcPr>
            <w:tcW w:w="385" w:type="dxa"/>
            <w:tcBorders>
              <w:top w:val="nil"/>
              <w:left w:val="nil"/>
              <w:bottom w:val="single" w:sz="4" w:space="0" w:color="auto"/>
              <w:right w:val="single" w:sz="8" w:space="0" w:color="auto"/>
            </w:tcBorders>
            <w:shd w:val="clear" w:color="auto" w:fill="C6D9F1"/>
            <w:noWrap/>
            <w:tcMar>
              <w:left w:w="0" w:type="dxa"/>
              <w:right w:w="0" w:type="dxa"/>
            </w:tcMar>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IV</w:t>
            </w:r>
            <w:r w:rsidRPr="002A78DC">
              <w:rPr>
                <w:rFonts w:cs="Arial"/>
                <w:b/>
                <w:bCs/>
                <w:color w:val="000000"/>
                <w:sz w:val="16"/>
                <w:szCs w:val="16"/>
                <w:lang w:val="ru-RU"/>
              </w:rPr>
              <w:t xml:space="preserve"> кв.</w:t>
            </w:r>
          </w:p>
        </w:tc>
        <w:tc>
          <w:tcPr>
            <w:tcW w:w="385" w:type="dxa"/>
            <w:gridSpan w:val="2"/>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w:t>
            </w:r>
            <w:r w:rsidRPr="002A78DC">
              <w:rPr>
                <w:rFonts w:cs="Arial"/>
                <w:b/>
                <w:bCs/>
                <w:color w:val="000000"/>
                <w:sz w:val="16"/>
                <w:szCs w:val="16"/>
                <w:lang w:val="ru-RU"/>
              </w:rPr>
              <w:t xml:space="preserve"> </w:t>
            </w:r>
            <w:r>
              <w:rPr>
                <w:rFonts w:cs="Arial"/>
                <w:b/>
                <w:bCs/>
                <w:color w:val="000000"/>
                <w:sz w:val="16"/>
                <w:szCs w:val="16"/>
                <w:lang w:val="ru-RU"/>
              </w:rPr>
              <w:br/>
            </w:r>
            <w:r w:rsidRPr="002A78DC">
              <w:rPr>
                <w:rFonts w:cs="Arial"/>
                <w:b/>
                <w:bCs/>
                <w:color w:val="000000"/>
                <w:sz w:val="16"/>
                <w:szCs w:val="16"/>
                <w:lang w:val="ru-RU"/>
              </w:rPr>
              <w:t>кв.</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II</w:t>
            </w:r>
            <w:r w:rsidRPr="002A78DC">
              <w:rPr>
                <w:rFonts w:cs="Arial"/>
                <w:b/>
                <w:bCs/>
                <w:color w:val="000000"/>
                <w:sz w:val="16"/>
                <w:szCs w:val="16"/>
                <w:lang w:val="ru-RU"/>
              </w:rPr>
              <w:t xml:space="preserve"> </w:t>
            </w:r>
            <w:r>
              <w:rPr>
                <w:rFonts w:cs="Arial"/>
                <w:b/>
                <w:bCs/>
                <w:color w:val="000000"/>
                <w:sz w:val="16"/>
                <w:szCs w:val="16"/>
                <w:lang w:val="ru-RU"/>
              </w:rPr>
              <w:br/>
            </w:r>
            <w:r w:rsidRPr="002A78DC">
              <w:rPr>
                <w:rFonts w:cs="Arial"/>
                <w:b/>
                <w:bCs/>
                <w:color w:val="000000"/>
                <w:sz w:val="16"/>
                <w:szCs w:val="16"/>
                <w:lang w:val="ru-RU"/>
              </w:rPr>
              <w:t>кв.</w:t>
            </w:r>
          </w:p>
        </w:tc>
        <w:tc>
          <w:tcPr>
            <w:tcW w:w="385" w:type="dxa"/>
            <w:tcBorders>
              <w:top w:val="nil"/>
              <w:left w:val="nil"/>
              <w:bottom w:val="single" w:sz="4" w:space="0" w:color="auto"/>
              <w:right w:val="single" w:sz="4" w:space="0" w:color="auto"/>
            </w:tcBorders>
            <w:shd w:val="clear" w:color="auto" w:fill="C6D9F1"/>
            <w:noWrap/>
            <w:tcMar>
              <w:left w:w="0" w:type="dxa"/>
              <w:right w:w="0" w:type="dxa"/>
            </w:tcMar>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III</w:t>
            </w:r>
            <w:r w:rsidRPr="002A78DC">
              <w:rPr>
                <w:rFonts w:cs="Arial"/>
                <w:b/>
                <w:bCs/>
                <w:color w:val="000000"/>
                <w:sz w:val="16"/>
                <w:szCs w:val="16"/>
                <w:lang w:val="ru-RU"/>
              </w:rPr>
              <w:t xml:space="preserve"> кв.</w:t>
            </w:r>
          </w:p>
        </w:tc>
        <w:tc>
          <w:tcPr>
            <w:tcW w:w="385" w:type="dxa"/>
            <w:tcBorders>
              <w:top w:val="nil"/>
              <w:left w:val="nil"/>
              <w:bottom w:val="single" w:sz="4" w:space="0" w:color="auto"/>
              <w:right w:val="single" w:sz="8" w:space="0" w:color="auto"/>
            </w:tcBorders>
            <w:shd w:val="clear" w:color="auto" w:fill="C6D9F1"/>
            <w:noWrap/>
            <w:tcMar>
              <w:left w:w="0" w:type="dxa"/>
              <w:right w:w="0" w:type="dxa"/>
            </w:tcMar>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IV</w:t>
            </w:r>
            <w:r w:rsidRPr="002A78DC">
              <w:rPr>
                <w:rFonts w:cs="Arial"/>
                <w:b/>
                <w:bCs/>
                <w:color w:val="000000"/>
                <w:sz w:val="16"/>
                <w:szCs w:val="16"/>
                <w:lang w:val="ru-RU"/>
              </w:rPr>
              <w:t xml:space="preserve"> кв.</w:t>
            </w:r>
          </w:p>
        </w:tc>
        <w:tc>
          <w:tcPr>
            <w:tcW w:w="347" w:type="dxa"/>
            <w:gridSpan w:val="2"/>
            <w:tcBorders>
              <w:top w:val="nil"/>
              <w:left w:val="nil"/>
              <w:bottom w:val="single" w:sz="4" w:space="0" w:color="auto"/>
              <w:right w:val="single" w:sz="8" w:space="0" w:color="auto"/>
            </w:tcBorders>
            <w:shd w:val="clear" w:color="auto" w:fill="C6D9F1"/>
            <w:tcMar>
              <w:left w:w="0" w:type="dxa"/>
              <w:right w:w="0" w:type="dxa"/>
            </w:tcMar>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w:t>
            </w:r>
            <w:r w:rsidRPr="002A78DC">
              <w:rPr>
                <w:rFonts w:cs="Arial"/>
                <w:b/>
                <w:bCs/>
                <w:color w:val="000000"/>
                <w:sz w:val="16"/>
                <w:szCs w:val="16"/>
                <w:lang w:val="ru-RU"/>
              </w:rPr>
              <w:t xml:space="preserve"> кв.</w:t>
            </w:r>
          </w:p>
        </w:tc>
        <w:tc>
          <w:tcPr>
            <w:tcW w:w="413" w:type="dxa"/>
            <w:tcBorders>
              <w:top w:val="nil"/>
              <w:left w:val="nil"/>
              <w:bottom w:val="single" w:sz="4" w:space="0" w:color="auto"/>
              <w:right w:val="single" w:sz="8" w:space="0" w:color="auto"/>
            </w:tcBorders>
            <w:shd w:val="clear" w:color="auto" w:fill="C6D9F1"/>
            <w:tcMar>
              <w:left w:w="0" w:type="dxa"/>
              <w:right w:w="0" w:type="dxa"/>
            </w:tcMar>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II</w:t>
            </w:r>
            <w:r w:rsidRPr="002A78DC">
              <w:rPr>
                <w:rFonts w:cs="Arial"/>
                <w:b/>
                <w:bCs/>
                <w:color w:val="000000"/>
                <w:sz w:val="16"/>
                <w:szCs w:val="16"/>
                <w:lang w:val="ru-RU"/>
              </w:rPr>
              <w:t xml:space="preserve"> кв.</w:t>
            </w:r>
          </w:p>
        </w:tc>
        <w:tc>
          <w:tcPr>
            <w:tcW w:w="350" w:type="dxa"/>
            <w:tcBorders>
              <w:top w:val="nil"/>
              <w:left w:val="nil"/>
              <w:bottom w:val="single" w:sz="4" w:space="0" w:color="auto"/>
              <w:right w:val="single" w:sz="8" w:space="0" w:color="auto"/>
            </w:tcBorders>
            <w:shd w:val="clear" w:color="auto" w:fill="C6D9F1"/>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III</w:t>
            </w:r>
            <w:r w:rsidRPr="002A78DC">
              <w:rPr>
                <w:rFonts w:cs="Arial"/>
                <w:b/>
                <w:bCs/>
                <w:color w:val="000000"/>
                <w:sz w:val="16"/>
                <w:szCs w:val="16"/>
                <w:lang w:val="ru-RU"/>
              </w:rPr>
              <w:t xml:space="preserve"> кв.</w:t>
            </w:r>
          </w:p>
        </w:tc>
        <w:tc>
          <w:tcPr>
            <w:tcW w:w="430" w:type="dxa"/>
            <w:tcBorders>
              <w:top w:val="nil"/>
              <w:left w:val="nil"/>
              <w:bottom w:val="single" w:sz="4" w:space="0" w:color="auto"/>
              <w:right w:val="single" w:sz="4" w:space="0" w:color="auto"/>
            </w:tcBorders>
            <w:shd w:val="clear" w:color="auto" w:fill="C6D9F1"/>
            <w:vAlign w:val="bottom"/>
          </w:tcPr>
          <w:p w:rsidR="00C85043" w:rsidRPr="002A78DC" w:rsidRDefault="00C85043" w:rsidP="00C85043">
            <w:pPr>
              <w:keepNext/>
              <w:keepLines/>
              <w:jc w:val="center"/>
              <w:rPr>
                <w:rFonts w:cs="Arial"/>
                <w:b/>
                <w:bCs/>
                <w:color w:val="000000"/>
                <w:sz w:val="16"/>
                <w:szCs w:val="16"/>
                <w:lang w:val="ru-RU"/>
              </w:rPr>
            </w:pPr>
            <w:r>
              <w:rPr>
                <w:rFonts w:cs="Arial"/>
                <w:b/>
                <w:bCs/>
                <w:color w:val="000000"/>
                <w:sz w:val="16"/>
                <w:szCs w:val="16"/>
              </w:rPr>
              <w:t>IV</w:t>
            </w:r>
            <w:r w:rsidRPr="002A78DC">
              <w:rPr>
                <w:rFonts w:cs="Arial"/>
                <w:b/>
                <w:bCs/>
                <w:color w:val="000000"/>
                <w:sz w:val="16"/>
                <w:szCs w:val="16"/>
                <w:lang w:val="ru-RU"/>
              </w:rPr>
              <w:t xml:space="preserve"> кв.</w:t>
            </w:r>
          </w:p>
        </w:tc>
      </w:tr>
      <w:tr w:rsidR="00C85043" w:rsidRPr="00EC7C86" w:rsidTr="00C85043">
        <w:trPr>
          <w:trHeight w:val="512"/>
          <w:jc w:val="center"/>
        </w:trPr>
        <w:tc>
          <w:tcPr>
            <w:tcW w:w="1999" w:type="dxa"/>
            <w:tcBorders>
              <w:top w:val="nil"/>
              <w:left w:val="single" w:sz="4" w:space="0" w:color="auto"/>
              <w:bottom w:val="single" w:sz="4" w:space="0" w:color="auto"/>
              <w:right w:val="single" w:sz="8" w:space="0" w:color="auto"/>
            </w:tcBorders>
            <w:shd w:val="clear" w:color="auto" w:fill="auto"/>
            <w:noWrap/>
            <w:vAlign w:val="center"/>
          </w:tcPr>
          <w:p w:rsidR="00C85043" w:rsidRPr="005A25DD" w:rsidRDefault="00C85043" w:rsidP="00C85043">
            <w:pPr>
              <w:autoSpaceDE w:val="0"/>
              <w:autoSpaceDN w:val="0"/>
              <w:adjustRightInd w:val="0"/>
              <w:spacing w:before="40" w:after="40"/>
              <w:rPr>
                <w:rFonts w:cs="Arial"/>
                <w:color w:val="000000"/>
                <w:sz w:val="16"/>
                <w:szCs w:val="16"/>
                <w:lang w:val="ru-RU"/>
              </w:rPr>
            </w:pPr>
            <w:r>
              <w:rPr>
                <w:rFonts w:cs="Arial"/>
                <w:color w:val="000000"/>
                <w:sz w:val="16"/>
                <w:szCs w:val="16"/>
                <w:lang w:val="ru-RU"/>
              </w:rPr>
              <w:t xml:space="preserve">Запрос на </w:t>
            </w:r>
            <w:r w:rsidRPr="002C1B8C">
              <w:rPr>
                <w:rFonts w:cs="Arial"/>
                <w:color w:val="000000"/>
                <w:sz w:val="16"/>
                <w:szCs w:val="16"/>
                <w:lang w:val="ru-RU"/>
              </w:rPr>
              <w:t>выражени</w:t>
            </w:r>
            <w:r>
              <w:rPr>
                <w:rFonts w:cs="Arial"/>
                <w:color w:val="000000"/>
                <w:sz w:val="16"/>
                <w:szCs w:val="16"/>
                <w:lang w:val="ru-RU"/>
              </w:rPr>
              <w:t xml:space="preserve">я </w:t>
            </w:r>
            <w:r w:rsidRPr="005A25DD">
              <w:rPr>
                <w:rFonts w:cs="Arial"/>
                <w:color w:val="000000"/>
                <w:sz w:val="16"/>
                <w:szCs w:val="16"/>
                <w:lang w:val="ru-RU"/>
              </w:rPr>
              <w:t xml:space="preserve">заинтересованности </w:t>
            </w:r>
            <w:r>
              <w:rPr>
                <w:rFonts w:cs="Arial"/>
                <w:color w:val="000000"/>
                <w:sz w:val="16"/>
                <w:szCs w:val="16"/>
                <w:lang w:val="ru-RU"/>
              </w:rPr>
              <w:t>об участии</w:t>
            </w:r>
            <w:r w:rsidRPr="005A25DD">
              <w:rPr>
                <w:rFonts w:cs="Arial"/>
                <w:color w:val="000000"/>
                <w:sz w:val="16"/>
                <w:szCs w:val="16"/>
                <w:lang w:val="ru-RU"/>
              </w:rPr>
              <w:t xml:space="preserve"> в конкурсе </w:t>
            </w:r>
            <w:r>
              <w:rPr>
                <w:rFonts w:cs="Arial"/>
                <w:color w:val="000000"/>
                <w:sz w:val="16"/>
                <w:szCs w:val="16"/>
                <w:lang w:val="ru-RU"/>
              </w:rPr>
              <w:t xml:space="preserve">по выбору </w:t>
            </w:r>
            <w:r w:rsidRPr="005A25DD">
              <w:rPr>
                <w:rFonts w:cs="Arial"/>
                <w:color w:val="000000"/>
                <w:sz w:val="16"/>
                <w:szCs w:val="16"/>
                <w:lang w:val="ru-RU"/>
              </w:rPr>
              <w:t>координатора</w:t>
            </w:r>
            <w:r>
              <w:rPr>
                <w:rFonts w:cs="Arial"/>
                <w:color w:val="000000"/>
                <w:sz w:val="16"/>
                <w:szCs w:val="16"/>
                <w:lang w:val="ru-RU"/>
              </w:rPr>
              <w:t xml:space="preserve"> </w:t>
            </w:r>
            <w:r w:rsidRPr="002C1B8C">
              <w:rPr>
                <w:rFonts w:cs="Arial"/>
                <w:color w:val="000000"/>
                <w:sz w:val="16"/>
                <w:szCs w:val="16"/>
                <w:lang w:val="ru-RU"/>
              </w:rPr>
              <w:t>проект</w:t>
            </w:r>
            <w:r>
              <w:rPr>
                <w:rFonts w:cs="Arial"/>
                <w:color w:val="000000"/>
                <w:sz w:val="16"/>
                <w:szCs w:val="16"/>
                <w:lang w:val="ru-RU"/>
              </w:rPr>
              <w:t>а</w:t>
            </w:r>
            <w:r w:rsidRPr="005A25DD">
              <w:rPr>
                <w:rFonts w:cs="Arial"/>
                <w:color w:val="000000"/>
                <w:sz w:val="16"/>
                <w:szCs w:val="16"/>
                <w:lang w:val="ru-RU"/>
              </w:rPr>
              <w:t>/архитектора</w:t>
            </w:r>
          </w:p>
        </w:tc>
        <w:tc>
          <w:tcPr>
            <w:tcW w:w="391"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A25DD"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A25DD"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A25DD" w:rsidRDefault="00C85043" w:rsidP="00C85043">
            <w:pPr>
              <w:jc w:val="center"/>
              <w:rPr>
                <w:rFonts w:cs="Arial"/>
                <w:sz w:val="16"/>
                <w:szCs w:val="16"/>
                <w:lang w:val="ru-RU"/>
              </w:rPr>
            </w:pPr>
          </w:p>
        </w:tc>
        <w:tc>
          <w:tcPr>
            <w:tcW w:w="384" w:type="dxa"/>
            <w:gridSpan w:val="2"/>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r w:rsidRPr="00EC7C86">
              <w:rPr>
                <w:rFonts w:cs="Arial"/>
                <w:sz w:val="16"/>
                <w:szCs w:val="16"/>
              </w:rPr>
              <w:t>X</w:t>
            </w: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52"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4"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47" w:type="dxa"/>
            <w:gridSpan w:val="2"/>
            <w:tcBorders>
              <w:top w:val="nil"/>
              <w:left w:val="nil"/>
              <w:bottom w:val="single" w:sz="4" w:space="0" w:color="auto"/>
              <w:right w:val="single" w:sz="8" w:space="0" w:color="auto"/>
            </w:tcBorders>
            <w:tcMar>
              <w:left w:w="0" w:type="dxa"/>
              <w:right w:w="0" w:type="dxa"/>
            </w:tcMar>
            <w:vAlign w:val="center"/>
          </w:tcPr>
          <w:p w:rsidR="00C85043" w:rsidRPr="00EC7C86" w:rsidRDefault="00C85043" w:rsidP="00C85043">
            <w:pPr>
              <w:jc w:val="center"/>
              <w:rPr>
                <w:rFonts w:cs="Arial"/>
                <w:sz w:val="16"/>
                <w:szCs w:val="16"/>
              </w:rPr>
            </w:pPr>
          </w:p>
        </w:tc>
        <w:tc>
          <w:tcPr>
            <w:tcW w:w="413" w:type="dxa"/>
            <w:tcBorders>
              <w:top w:val="nil"/>
              <w:left w:val="nil"/>
              <w:bottom w:val="single" w:sz="4" w:space="0" w:color="auto"/>
              <w:right w:val="single" w:sz="8" w:space="0" w:color="auto"/>
            </w:tcBorders>
            <w:tcMar>
              <w:left w:w="0" w:type="dxa"/>
              <w:right w:w="0" w:type="dxa"/>
            </w:tcMar>
            <w:vAlign w:val="center"/>
          </w:tcPr>
          <w:p w:rsidR="00C85043" w:rsidRPr="00EC7C86" w:rsidRDefault="00C85043" w:rsidP="00C85043">
            <w:pPr>
              <w:jc w:val="center"/>
              <w:rPr>
                <w:rFonts w:cs="Arial"/>
                <w:sz w:val="16"/>
                <w:szCs w:val="16"/>
              </w:rPr>
            </w:pPr>
          </w:p>
        </w:tc>
        <w:tc>
          <w:tcPr>
            <w:tcW w:w="350" w:type="dxa"/>
            <w:tcBorders>
              <w:top w:val="nil"/>
              <w:left w:val="nil"/>
              <w:bottom w:val="single" w:sz="4" w:space="0" w:color="auto"/>
              <w:right w:val="single" w:sz="8" w:space="0" w:color="auto"/>
            </w:tcBorders>
            <w:vAlign w:val="center"/>
          </w:tcPr>
          <w:p w:rsidR="00C85043" w:rsidRPr="00EC7C86" w:rsidRDefault="00C85043" w:rsidP="00C85043">
            <w:pPr>
              <w:jc w:val="center"/>
              <w:rPr>
                <w:rFonts w:cs="Arial"/>
                <w:sz w:val="16"/>
                <w:szCs w:val="16"/>
              </w:rPr>
            </w:pPr>
          </w:p>
        </w:tc>
        <w:tc>
          <w:tcPr>
            <w:tcW w:w="430" w:type="dxa"/>
            <w:tcBorders>
              <w:top w:val="nil"/>
              <w:left w:val="nil"/>
              <w:bottom w:val="single" w:sz="4" w:space="0" w:color="auto"/>
              <w:right w:val="single" w:sz="4" w:space="0" w:color="auto"/>
            </w:tcBorders>
            <w:vAlign w:val="center"/>
          </w:tcPr>
          <w:p w:rsidR="00C85043" w:rsidRPr="00EC7C86" w:rsidRDefault="00C85043" w:rsidP="00C85043">
            <w:pPr>
              <w:jc w:val="center"/>
              <w:rPr>
                <w:rFonts w:cs="Arial"/>
                <w:sz w:val="16"/>
                <w:szCs w:val="16"/>
              </w:rPr>
            </w:pPr>
          </w:p>
        </w:tc>
      </w:tr>
      <w:tr w:rsidR="00C85043" w:rsidRPr="00EC7C86" w:rsidTr="00C85043">
        <w:trPr>
          <w:trHeight w:val="413"/>
          <w:jc w:val="center"/>
        </w:trPr>
        <w:tc>
          <w:tcPr>
            <w:tcW w:w="1999" w:type="dxa"/>
            <w:tcBorders>
              <w:top w:val="nil"/>
              <w:left w:val="single" w:sz="4" w:space="0" w:color="auto"/>
              <w:bottom w:val="single" w:sz="4" w:space="0" w:color="auto"/>
              <w:right w:val="single" w:sz="8" w:space="0" w:color="auto"/>
            </w:tcBorders>
            <w:shd w:val="clear" w:color="auto" w:fill="auto"/>
            <w:noWrap/>
            <w:vAlign w:val="center"/>
          </w:tcPr>
          <w:p w:rsidR="00C85043" w:rsidRPr="00E15CF4" w:rsidRDefault="00C85043" w:rsidP="00C85043">
            <w:pPr>
              <w:autoSpaceDE w:val="0"/>
              <w:autoSpaceDN w:val="0"/>
              <w:adjustRightInd w:val="0"/>
              <w:spacing w:before="40" w:after="40"/>
              <w:rPr>
                <w:rFonts w:cs="Arial"/>
                <w:color w:val="000000"/>
                <w:sz w:val="16"/>
                <w:szCs w:val="16"/>
                <w:lang w:val="ru-RU"/>
              </w:rPr>
            </w:pPr>
            <w:r>
              <w:rPr>
                <w:color w:val="000000"/>
                <w:sz w:val="16"/>
                <w:szCs w:val="16"/>
                <w:lang w:val="ru-RU"/>
              </w:rPr>
              <w:t>Проведение конкурса</w:t>
            </w:r>
            <w:r w:rsidRPr="00E15CF4">
              <w:rPr>
                <w:color w:val="000000"/>
                <w:sz w:val="16"/>
                <w:szCs w:val="16"/>
                <w:lang w:val="ru-RU"/>
              </w:rPr>
              <w:t xml:space="preserve"> и выбор координатора</w:t>
            </w:r>
            <w:r>
              <w:rPr>
                <w:color w:val="000000"/>
                <w:sz w:val="16"/>
                <w:szCs w:val="16"/>
                <w:lang w:val="ru-RU"/>
              </w:rPr>
              <w:t xml:space="preserve"> </w:t>
            </w:r>
            <w:r w:rsidRPr="002A78DC">
              <w:rPr>
                <w:color w:val="000000"/>
                <w:sz w:val="16"/>
                <w:szCs w:val="16"/>
                <w:lang w:val="ru-RU"/>
              </w:rPr>
              <w:t>проект</w:t>
            </w:r>
            <w:r>
              <w:rPr>
                <w:color w:val="000000"/>
                <w:sz w:val="16"/>
                <w:szCs w:val="16"/>
                <w:lang w:val="ru-RU"/>
              </w:rPr>
              <w:t>а</w:t>
            </w:r>
            <w:r w:rsidRPr="00E15CF4">
              <w:rPr>
                <w:color w:val="000000"/>
                <w:sz w:val="16"/>
                <w:szCs w:val="16"/>
                <w:lang w:val="ru-RU"/>
              </w:rPr>
              <w:t>/архитектора и инженеров</w:t>
            </w:r>
          </w:p>
        </w:tc>
        <w:tc>
          <w:tcPr>
            <w:tcW w:w="391"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15CF4"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15CF4"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15CF4" w:rsidRDefault="00C85043" w:rsidP="00C85043">
            <w:pPr>
              <w:jc w:val="center"/>
              <w:rPr>
                <w:rFonts w:cs="Arial"/>
                <w:sz w:val="16"/>
                <w:szCs w:val="16"/>
                <w:lang w:val="ru-RU"/>
              </w:rPr>
            </w:pPr>
          </w:p>
        </w:tc>
        <w:tc>
          <w:tcPr>
            <w:tcW w:w="384" w:type="dxa"/>
            <w:gridSpan w:val="2"/>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E15CF4"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15CF4" w:rsidRDefault="00C85043" w:rsidP="00C85043">
            <w:pPr>
              <w:jc w:val="center"/>
              <w:rPr>
                <w:rFonts w:cs="Arial"/>
                <w:sz w:val="16"/>
                <w:szCs w:val="16"/>
                <w:lang w:val="ru-RU"/>
              </w:rPr>
            </w:pPr>
          </w:p>
        </w:tc>
        <w:tc>
          <w:tcPr>
            <w:tcW w:w="352"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15CF4"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r w:rsidRPr="0056209E">
              <w:rPr>
                <w:rFonts w:cs="Arial"/>
                <w:sz w:val="16"/>
                <w:szCs w:val="16"/>
              </w:rPr>
              <w:t>X</w:t>
            </w:r>
          </w:p>
        </w:tc>
        <w:tc>
          <w:tcPr>
            <w:tcW w:w="384"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r w:rsidRPr="0056209E">
              <w:rPr>
                <w:rFonts w:cs="Arial"/>
                <w:sz w:val="16"/>
                <w:szCs w:val="16"/>
              </w:rPr>
              <w:t>X</w:t>
            </w: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r w:rsidRPr="0056209E">
              <w:rPr>
                <w:rFonts w:cs="Arial"/>
                <w:sz w:val="16"/>
                <w:szCs w:val="16"/>
              </w:rPr>
              <w:t>X</w:t>
            </w: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47" w:type="dxa"/>
            <w:gridSpan w:val="2"/>
            <w:tcBorders>
              <w:top w:val="nil"/>
              <w:left w:val="nil"/>
              <w:bottom w:val="single" w:sz="4" w:space="0" w:color="auto"/>
              <w:right w:val="single" w:sz="8" w:space="0" w:color="auto"/>
            </w:tcBorders>
            <w:tcMar>
              <w:left w:w="0" w:type="dxa"/>
              <w:right w:w="0" w:type="dxa"/>
            </w:tcMar>
            <w:vAlign w:val="center"/>
          </w:tcPr>
          <w:p w:rsidR="00C85043" w:rsidRPr="0056209E" w:rsidRDefault="00C85043" w:rsidP="00C85043">
            <w:pPr>
              <w:jc w:val="center"/>
              <w:rPr>
                <w:rFonts w:cs="Arial"/>
                <w:sz w:val="16"/>
                <w:szCs w:val="16"/>
              </w:rPr>
            </w:pPr>
          </w:p>
        </w:tc>
        <w:tc>
          <w:tcPr>
            <w:tcW w:w="413" w:type="dxa"/>
            <w:tcBorders>
              <w:top w:val="nil"/>
              <w:left w:val="nil"/>
              <w:bottom w:val="single" w:sz="4" w:space="0" w:color="auto"/>
              <w:right w:val="single" w:sz="8" w:space="0" w:color="auto"/>
            </w:tcBorders>
            <w:tcMar>
              <w:left w:w="0" w:type="dxa"/>
              <w:right w:w="0" w:type="dxa"/>
            </w:tcMar>
            <w:vAlign w:val="center"/>
          </w:tcPr>
          <w:p w:rsidR="00C85043" w:rsidRPr="0056209E" w:rsidRDefault="00C85043" w:rsidP="00C85043">
            <w:pPr>
              <w:jc w:val="center"/>
              <w:rPr>
                <w:rFonts w:cs="Arial"/>
                <w:sz w:val="16"/>
                <w:szCs w:val="16"/>
              </w:rPr>
            </w:pPr>
          </w:p>
        </w:tc>
        <w:tc>
          <w:tcPr>
            <w:tcW w:w="350" w:type="dxa"/>
            <w:tcBorders>
              <w:top w:val="nil"/>
              <w:left w:val="nil"/>
              <w:bottom w:val="single" w:sz="4" w:space="0" w:color="auto"/>
              <w:right w:val="single" w:sz="8" w:space="0" w:color="auto"/>
            </w:tcBorders>
            <w:vAlign w:val="center"/>
          </w:tcPr>
          <w:p w:rsidR="00C85043" w:rsidRPr="0056209E" w:rsidRDefault="00C85043" w:rsidP="00C85043">
            <w:pPr>
              <w:jc w:val="center"/>
              <w:rPr>
                <w:rFonts w:cs="Arial"/>
                <w:sz w:val="16"/>
                <w:szCs w:val="16"/>
              </w:rPr>
            </w:pPr>
          </w:p>
        </w:tc>
        <w:tc>
          <w:tcPr>
            <w:tcW w:w="430" w:type="dxa"/>
            <w:tcBorders>
              <w:top w:val="nil"/>
              <w:left w:val="nil"/>
              <w:bottom w:val="single" w:sz="4" w:space="0" w:color="auto"/>
              <w:right w:val="single" w:sz="4" w:space="0" w:color="auto"/>
            </w:tcBorders>
            <w:vAlign w:val="center"/>
          </w:tcPr>
          <w:p w:rsidR="00C85043" w:rsidRPr="0056209E" w:rsidRDefault="00C85043" w:rsidP="00C85043">
            <w:pPr>
              <w:jc w:val="center"/>
              <w:rPr>
                <w:rFonts w:cs="Arial"/>
                <w:sz w:val="16"/>
                <w:szCs w:val="16"/>
              </w:rPr>
            </w:pPr>
          </w:p>
        </w:tc>
      </w:tr>
      <w:tr w:rsidR="00C85043" w:rsidRPr="00EC7C86" w:rsidTr="00C85043">
        <w:trPr>
          <w:trHeight w:val="494"/>
          <w:jc w:val="center"/>
        </w:trPr>
        <w:tc>
          <w:tcPr>
            <w:tcW w:w="1999" w:type="dxa"/>
            <w:tcBorders>
              <w:top w:val="nil"/>
              <w:left w:val="single" w:sz="4" w:space="0" w:color="auto"/>
              <w:bottom w:val="single" w:sz="4" w:space="0" w:color="auto"/>
              <w:right w:val="single" w:sz="8" w:space="0" w:color="auto"/>
            </w:tcBorders>
            <w:shd w:val="clear" w:color="auto" w:fill="auto"/>
            <w:noWrap/>
            <w:vAlign w:val="center"/>
          </w:tcPr>
          <w:p w:rsidR="00C85043" w:rsidRPr="00BE255C" w:rsidRDefault="00C85043" w:rsidP="00C85043">
            <w:pPr>
              <w:autoSpaceDE w:val="0"/>
              <w:autoSpaceDN w:val="0"/>
              <w:adjustRightInd w:val="0"/>
              <w:spacing w:before="40" w:after="40"/>
              <w:rPr>
                <w:color w:val="000000"/>
                <w:sz w:val="16"/>
                <w:szCs w:val="16"/>
                <w:lang w:val="ru-RU"/>
              </w:rPr>
            </w:pPr>
            <w:r w:rsidRPr="002A78DC">
              <w:rPr>
                <w:color w:val="000000"/>
                <w:sz w:val="16"/>
                <w:szCs w:val="16"/>
                <w:lang w:val="ru-RU"/>
              </w:rPr>
              <w:t>Подготовк</w:t>
            </w:r>
            <w:r>
              <w:rPr>
                <w:color w:val="000000"/>
                <w:sz w:val="16"/>
                <w:szCs w:val="16"/>
                <w:lang w:val="ru-RU"/>
              </w:rPr>
              <w:t xml:space="preserve">а комплексного плана </w:t>
            </w:r>
            <w:r w:rsidRPr="00BE255C">
              <w:rPr>
                <w:color w:val="000000"/>
                <w:sz w:val="16"/>
                <w:szCs w:val="16"/>
                <w:lang w:val="ru-RU"/>
              </w:rPr>
              <w:t>реализации проекта</w:t>
            </w:r>
          </w:p>
        </w:tc>
        <w:tc>
          <w:tcPr>
            <w:tcW w:w="391"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gridSpan w:val="2"/>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52"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r w:rsidRPr="0056209E">
              <w:rPr>
                <w:rFonts w:cs="Arial"/>
                <w:sz w:val="16"/>
                <w:szCs w:val="16"/>
              </w:rPr>
              <w:t>X</w:t>
            </w: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r w:rsidRPr="0056209E">
              <w:rPr>
                <w:rFonts w:cs="Arial"/>
                <w:sz w:val="16"/>
                <w:szCs w:val="16"/>
              </w:rPr>
              <w:t>X</w:t>
            </w: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47" w:type="dxa"/>
            <w:gridSpan w:val="2"/>
            <w:tcBorders>
              <w:top w:val="nil"/>
              <w:left w:val="nil"/>
              <w:bottom w:val="single" w:sz="4" w:space="0" w:color="auto"/>
              <w:right w:val="single" w:sz="8" w:space="0" w:color="auto"/>
            </w:tcBorders>
            <w:tcMar>
              <w:left w:w="0" w:type="dxa"/>
              <w:right w:w="0" w:type="dxa"/>
            </w:tcMar>
            <w:vAlign w:val="center"/>
          </w:tcPr>
          <w:p w:rsidR="00C85043" w:rsidRPr="0056209E" w:rsidRDefault="00C85043" w:rsidP="00C85043">
            <w:pPr>
              <w:jc w:val="center"/>
              <w:rPr>
                <w:rFonts w:cs="Arial"/>
                <w:sz w:val="16"/>
                <w:szCs w:val="16"/>
              </w:rPr>
            </w:pPr>
          </w:p>
        </w:tc>
        <w:tc>
          <w:tcPr>
            <w:tcW w:w="413" w:type="dxa"/>
            <w:tcBorders>
              <w:top w:val="nil"/>
              <w:left w:val="nil"/>
              <w:bottom w:val="single" w:sz="4" w:space="0" w:color="auto"/>
              <w:right w:val="single" w:sz="8" w:space="0" w:color="auto"/>
            </w:tcBorders>
            <w:tcMar>
              <w:left w:w="0" w:type="dxa"/>
              <w:right w:w="0" w:type="dxa"/>
            </w:tcMar>
            <w:vAlign w:val="center"/>
          </w:tcPr>
          <w:p w:rsidR="00C85043" w:rsidRPr="0056209E" w:rsidRDefault="00C85043" w:rsidP="00C85043">
            <w:pPr>
              <w:jc w:val="center"/>
              <w:rPr>
                <w:rFonts w:cs="Arial"/>
                <w:sz w:val="16"/>
                <w:szCs w:val="16"/>
              </w:rPr>
            </w:pPr>
          </w:p>
        </w:tc>
        <w:tc>
          <w:tcPr>
            <w:tcW w:w="350" w:type="dxa"/>
            <w:tcBorders>
              <w:top w:val="nil"/>
              <w:left w:val="nil"/>
              <w:bottom w:val="single" w:sz="4" w:space="0" w:color="auto"/>
              <w:right w:val="single" w:sz="8" w:space="0" w:color="auto"/>
            </w:tcBorders>
            <w:vAlign w:val="center"/>
          </w:tcPr>
          <w:p w:rsidR="00C85043" w:rsidRPr="0056209E" w:rsidRDefault="00C85043" w:rsidP="00C85043">
            <w:pPr>
              <w:jc w:val="center"/>
              <w:rPr>
                <w:rFonts w:cs="Arial"/>
                <w:sz w:val="16"/>
                <w:szCs w:val="16"/>
              </w:rPr>
            </w:pPr>
          </w:p>
        </w:tc>
        <w:tc>
          <w:tcPr>
            <w:tcW w:w="430" w:type="dxa"/>
            <w:tcBorders>
              <w:top w:val="nil"/>
              <w:left w:val="nil"/>
              <w:bottom w:val="single" w:sz="4" w:space="0" w:color="auto"/>
              <w:right w:val="single" w:sz="4" w:space="0" w:color="auto"/>
            </w:tcBorders>
            <w:vAlign w:val="center"/>
          </w:tcPr>
          <w:p w:rsidR="00C85043" w:rsidRPr="0056209E" w:rsidRDefault="00C85043" w:rsidP="00C85043">
            <w:pPr>
              <w:jc w:val="center"/>
              <w:rPr>
                <w:rFonts w:cs="Arial"/>
                <w:sz w:val="16"/>
                <w:szCs w:val="16"/>
              </w:rPr>
            </w:pPr>
          </w:p>
        </w:tc>
      </w:tr>
      <w:tr w:rsidR="00C85043" w:rsidRPr="00EC7C86" w:rsidTr="00C85043">
        <w:trPr>
          <w:trHeight w:val="431"/>
          <w:jc w:val="center"/>
        </w:trPr>
        <w:tc>
          <w:tcPr>
            <w:tcW w:w="1999" w:type="dxa"/>
            <w:tcBorders>
              <w:top w:val="nil"/>
              <w:left w:val="single" w:sz="4" w:space="0" w:color="auto"/>
              <w:bottom w:val="single" w:sz="4" w:space="0" w:color="auto"/>
              <w:right w:val="single" w:sz="8" w:space="0" w:color="auto"/>
            </w:tcBorders>
            <w:shd w:val="clear" w:color="auto" w:fill="auto"/>
            <w:noWrap/>
            <w:vAlign w:val="center"/>
          </w:tcPr>
          <w:p w:rsidR="00C85043" w:rsidRPr="006F1378" w:rsidRDefault="00C85043" w:rsidP="00C85043">
            <w:pPr>
              <w:autoSpaceDE w:val="0"/>
              <w:autoSpaceDN w:val="0"/>
              <w:adjustRightInd w:val="0"/>
              <w:spacing w:before="40" w:after="40"/>
              <w:rPr>
                <w:color w:val="000000"/>
                <w:sz w:val="16"/>
                <w:szCs w:val="16"/>
              </w:rPr>
            </w:pPr>
            <w:r w:rsidRPr="00BE255C">
              <w:rPr>
                <w:color w:val="000000"/>
                <w:sz w:val="16"/>
                <w:szCs w:val="16"/>
              </w:rPr>
              <w:t>Выбор технического решения</w:t>
            </w:r>
          </w:p>
        </w:tc>
        <w:tc>
          <w:tcPr>
            <w:tcW w:w="391"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4" w:type="dxa"/>
            <w:gridSpan w:val="2"/>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52"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jc w:val="center"/>
              <w:rPr>
                <w:rFonts w:cs="Arial"/>
                <w:sz w:val="16"/>
                <w:szCs w:val="16"/>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4"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r w:rsidRPr="0056209E">
              <w:rPr>
                <w:rFonts w:cs="Arial"/>
                <w:sz w:val="16"/>
                <w:szCs w:val="16"/>
              </w:rPr>
              <w:t>X</w:t>
            </w: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47" w:type="dxa"/>
            <w:gridSpan w:val="2"/>
            <w:tcBorders>
              <w:top w:val="nil"/>
              <w:left w:val="nil"/>
              <w:bottom w:val="single" w:sz="4" w:space="0" w:color="auto"/>
              <w:right w:val="single" w:sz="8" w:space="0" w:color="auto"/>
            </w:tcBorders>
            <w:tcMar>
              <w:left w:w="0" w:type="dxa"/>
              <w:right w:w="0" w:type="dxa"/>
            </w:tcMar>
            <w:vAlign w:val="center"/>
          </w:tcPr>
          <w:p w:rsidR="00C85043" w:rsidRPr="0056209E" w:rsidRDefault="00C85043" w:rsidP="00C85043">
            <w:pPr>
              <w:jc w:val="center"/>
              <w:rPr>
                <w:rFonts w:cs="Arial"/>
                <w:sz w:val="16"/>
                <w:szCs w:val="16"/>
              </w:rPr>
            </w:pPr>
          </w:p>
        </w:tc>
        <w:tc>
          <w:tcPr>
            <w:tcW w:w="413" w:type="dxa"/>
            <w:tcBorders>
              <w:top w:val="nil"/>
              <w:left w:val="nil"/>
              <w:bottom w:val="single" w:sz="4" w:space="0" w:color="auto"/>
              <w:right w:val="single" w:sz="8" w:space="0" w:color="auto"/>
            </w:tcBorders>
            <w:tcMar>
              <w:left w:w="0" w:type="dxa"/>
              <w:right w:w="0" w:type="dxa"/>
            </w:tcMar>
            <w:vAlign w:val="center"/>
          </w:tcPr>
          <w:p w:rsidR="00C85043" w:rsidRPr="0056209E" w:rsidRDefault="00C85043" w:rsidP="00C85043">
            <w:pPr>
              <w:jc w:val="center"/>
              <w:rPr>
                <w:rFonts w:cs="Arial"/>
                <w:sz w:val="16"/>
                <w:szCs w:val="16"/>
              </w:rPr>
            </w:pPr>
          </w:p>
        </w:tc>
        <w:tc>
          <w:tcPr>
            <w:tcW w:w="350" w:type="dxa"/>
            <w:tcBorders>
              <w:top w:val="nil"/>
              <w:left w:val="nil"/>
              <w:bottom w:val="single" w:sz="4" w:space="0" w:color="auto"/>
              <w:right w:val="single" w:sz="8" w:space="0" w:color="auto"/>
            </w:tcBorders>
            <w:vAlign w:val="center"/>
          </w:tcPr>
          <w:p w:rsidR="00C85043" w:rsidRPr="0056209E" w:rsidRDefault="00C85043" w:rsidP="00C85043">
            <w:pPr>
              <w:jc w:val="center"/>
              <w:rPr>
                <w:rFonts w:cs="Arial"/>
                <w:sz w:val="16"/>
                <w:szCs w:val="16"/>
              </w:rPr>
            </w:pPr>
          </w:p>
        </w:tc>
        <w:tc>
          <w:tcPr>
            <w:tcW w:w="430" w:type="dxa"/>
            <w:tcBorders>
              <w:top w:val="nil"/>
              <w:left w:val="nil"/>
              <w:bottom w:val="single" w:sz="4" w:space="0" w:color="auto"/>
              <w:right w:val="single" w:sz="4" w:space="0" w:color="auto"/>
            </w:tcBorders>
            <w:vAlign w:val="center"/>
          </w:tcPr>
          <w:p w:rsidR="00C85043" w:rsidRPr="0056209E" w:rsidRDefault="00C85043" w:rsidP="00C85043">
            <w:pPr>
              <w:jc w:val="center"/>
              <w:rPr>
                <w:rFonts w:cs="Arial"/>
                <w:sz w:val="16"/>
                <w:szCs w:val="16"/>
              </w:rPr>
            </w:pPr>
          </w:p>
        </w:tc>
      </w:tr>
      <w:tr w:rsidR="00C85043" w:rsidRPr="00EC7C86" w:rsidTr="00C85043">
        <w:trPr>
          <w:trHeight w:val="431"/>
          <w:jc w:val="center"/>
        </w:trPr>
        <w:tc>
          <w:tcPr>
            <w:tcW w:w="1999" w:type="dxa"/>
            <w:tcBorders>
              <w:top w:val="nil"/>
              <w:left w:val="single" w:sz="4" w:space="0" w:color="auto"/>
              <w:bottom w:val="single" w:sz="4" w:space="0" w:color="auto"/>
              <w:right w:val="single" w:sz="8" w:space="0" w:color="auto"/>
            </w:tcBorders>
            <w:shd w:val="clear" w:color="auto" w:fill="auto"/>
            <w:noWrap/>
            <w:vAlign w:val="center"/>
          </w:tcPr>
          <w:p w:rsidR="00C85043" w:rsidRPr="00BE255C" w:rsidRDefault="00C85043" w:rsidP="00C85043">
            <w:pPr>
              <w:autoSpaceDE w:val="0"/>
              <w:autoSpaceDN w:val="0"/>
              <w:adjustRightInd w:val="0"/>
              <w:spacing w:before="40" w:after="40"/>
              <w:rPr>
                <w:rFonts w:cs="Arial"/>
                <w:sz w:val="16"/>
                <w:szCs w:val="16"/>
                <w:lang w:val="ru-RU"/>
              </w:rPr>
            </w:pPr>
            <w:r>
              <w:rPr>
                <w:color w:val="000000"/>
                <w:sz w:val="16"/>
                <w:szCs w:val="16"/>
                <w:lang w:val="ru-RU"/>
              </w:rPr>
              <w:t>Проведение конкурса</w:t>
            </w:r>
            <w:r w:rsidRPr="00E15CF4">
              <w:rPr>
                <w:color w:val="000000"/>
                <w:sz w:val="16"/>
                <w:szCs w:val="16"/>
                <w:lang w:val="ru-RU"/>
              </w:rPr>
              <w:t xml:space="preserve"> </w:t>
            </w:r>
            <w:r>
              <w:rPr>
                <w:color w:val="000000"/>
                <w:sz w:val="16"/>
                <w:szCs w:val="16"/>
                <w:lang w:val="ru-RU"/>
              </w:rPr>
              <w:t>среди фирм</w:t>
            </w:r>
          </w:p>
        </w:tc>
        <w:tc>
          <w:tcPr>
            <w:tcW w:w="391"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gridSpan w:val="2"/>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52"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4"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BE255C" w:rsidRDefault="00C85043" w:rsidP="00C85043">
            <w:pPr>
              <w:jc w:val="center"/>
              <w:rPr>
                <w:rFonts w:cs="Arial"/>
                <w:sz w:val="16"/>
                <w:szCs w:val="16"/>
                <w:lang w:val="ru-RU"/>
              </w:rPr>
            </w:pPr>
          </w:p>
        </w:tc>
        <w:tc>
          <w:tcPr>
            <w:tcW w:w="385" w:type="dxa"/>
            <w:gridSpan w:val="2"/>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r w:rsidRPr="0056209E">
              <w:rPr>
                <w:rFonts w:cs="Arial"/>
                <w:sz w:val="16"/>
                <w:szCs w:val="16"/>
              </w:rPr>
              <w:t>X</w:t>
            </w: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r w:rsidRPr="0056209E">
              <w:rPr>
                <w:rFonts w:cs="Arial"/>
                <w:sz w:val="16"/>
                <w:szCs w:val="16"/>
              </w:rPr>
              <w:t>X</w:t>
            </w:r>
          </w:p>
        </w:tc>
        <w:tc>
          <w:tcPr>
            <w:tcW w:w="385" w:type="dxa"/>
            <w:tcBorders>
              <w:top w:val="nil"/>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r w:rsidRPr="0056209E">
              <w:rPr>
                <w:rFonts w:cs="Arial"/>
                <w:sz w:val="16"/>
                <w:szCs w:val="16"/>
              </w:rPr>
              <w:t>X</w:t>
            </w:r>
          </w:p>
        </w:tc>
        <w:tc>
          <w:tcPr>
            <w:tcW w:w="385" w:type="dxa"/>
            <w:tcBorders>
              <w:top w:val="nil"/>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jc w:val="center"/>
              <w:rPr>
                <w:rFonts w:cs="Arial"/>
                <w:sz w:val="16"/>
                <w:szCs w:val="16"/>
              </w:rPr>
            </w:pPr>
          </w:p>
        </w:tc>
        <w:tc>
          <w:tcPr>
            <w:tcW w:w="347" w:type="dxa"/>
            <w:gridSpan w:val="2"/>
            <w:tcBorders>
              <w:top w:val="nil"/>
              <w:left w:val="nil"/>
              <w:bottom w:val="single" w:sz="4" w:space="0" w:color="auto"/>
              <w:right w:val="single" w:sz="8" w:space="0" w:color="auto"/>
            </w:tcBorders>
            <w:tcMar>
              <w:left w:w="0" w:type="dxa"/>
              <w:right w:w="0" w:type="dxa"/>
            </w:tcMar>
            <w:vAlign w:val="center"/>
          </w:tcPr>
          <w:p w:rsidR="00C85043" w:rsidRPr="0056209E" w:rsidRDefault="00C85043" w:rsidP="00C85043">
            <w:pPr>
              <w:jc w:val="center"/>
              <w:rPr>
                <w:rFonts w:cs="Arial"/>
                <w:sz w:val="16"/>
                <w:szCs w:val="16"/>
              </w:rPr>
            </w:pPr>
          </w:p>
        </w:tc>
        <w:tc>
          <w:tcPr>
            <w:tcW w:w="413" w:type="dxa"/>
            <w:tcBorders>
              <w:top w:val="nil"/>
              <w:left w:val="nil"/>
              <w:bottom w:val="single" w:sz="4" w:space="0" w:color="auto"/>
              <w:right w:val="single" w:sz="8" w:space="0" w:color="auto"/>
            </w:tcBorders>
            <w:tcMar>
              <w:left w:w="0" w:type="dxa"/>
              <w:right w:w="0" w:type="dxa"/>
            </w:tcMar>
            <w:vAlign w:val="center"/>
          </w:tcPr>
          <w:p w:rsidR="00C85043" w:rsidRPr="0056209E" w:rsidRDefault="00C85043" w:rsidP="00C85043">
            <w:pPr>
              <w:jc w:val="center"/>
              <w:rPr>
                <w:rFonts w:cs="Arial"/>
                <w:sz w:val="16"/>
                <w:szCs w:val="16"/>
              </w:rPr>
            </w:pPr>
          </w:p>
        </w:tc>
        <w:tc>
          <w:tcPr>
            <w:tcW w:w="350" w:type="dxa"/>
            <w:tcBorders>
              <w:top w:val="nil"/>
              <w:left w:val="nil"/>
              <w:bottom w:val="single" w:sz="4" w:space="0" w:color="auto"/>
              <w:right w:val="single" w:sz="8" w:space="0" w:color="auto"/>
            </w:tcBorders>
            <w:vAlign w:val="center"/>
          </w:tcPr>
          <w:p w:rsidR="00C85043" w:rsidRPr="0056209E" w:rsidRDefault="00C85043" w:rsidP="00C85043">
            <w:pPr>
              <w:jc w:val="center"/>
              <w:rPr>
                <w:rFonts w:cs="Arial"/>
                <w:sz w:val="16"/>
                <w:szCs w:val="16"/>
              </w:rPr>
            </w:pPr>
          </w:p>
        </w:tc>
        <w:tc>
          <w:tcPr>
            <w:tcW w:w="430" w:type="dxa"/>
            <w:tcBorders>
              <w:top w:val="nil"/>
              <w:left w:val="nil"/>
              <w:bottom w:val="single" w:sz="4" w:space="0" w:color="auto"/>
              <w:right w:val="single" w:sz="4" w:space="0" w:color="auto"/>
            </w:tcBorders>
            <w:vAlign w:val="center"/>
          </w:tcPr>
          <w:p w:rsidR="00C85043" w:rsidRPr="0056209E" w:rsidRDefault="00C85043" w:rsidP="00C85043">
            <w:pPr>
              <w:jc w:val="center"/>
              <w:rPr>
                <w:rFonts w:cs="Arial"/>
                <w:sz w:val="16"/>
                <w:szCs w:val="16"/>
              </w:rPr>
            </w:pPr>
          </w:p>
        </w:tc>
      </w:tr>
      <w:tr w:rsidR="00C85043" w:rsidRPr="00EC7C86" w:rsidTr="00C85043">
        <w:trPr>
          <w:trHeight w:val="296"/>
          <w:jc w:val="center"/>
        </w:trPr>
        <w:tc>
          <w:tcPr>
            <w:tcW w:w="1999" w:type="dxa"/>
            <w:tcBorders>
              <w:top w:val="single" w:sz="4" w:space="0" w:color="auto"/>
              <w:left w:val="single" w:sz="4" w:space="0" w:color="auto"/>
              <w:bottom w:val="single" w:sz="4" w:space="0" w:color="auto"/>
              <w:right w:val="single" w:sz="8" w:space="0" w:color="auto"/>
            </w:tcBorders>
            <w:shd w:val="clear" w:color="auto" w:fill="auto"/>
            <w:noWrap/>
            <w:vAlign w:val="center"/>
          </w:tcPr>
          <w:p w:rsidR="00C85043" w:rsidRPr="00EC7C86" w:rsidRDefault="00C85043" w:rsidP="00C85043">
            <w:pPr>
              <w:autoSpaceDE w:val="0"/>
              <w:autoSpaceDN w:val="0"/>
              <w:adjustRightInd w:val="0"/>
              <w:spacing w:before="40" w:after="40"/>
              <w:rPr>
                <w:rFonts w:cs="Arial"/>
                <w:b/>
                <w:bCs/>
                <w:sz w:val="16"/>
                <w:szCs w:val="16"/>
              </w:rPr>
            </w:pPr>
            <w:r>
              <w:rPr>
                <w:color w:val="000000"/>
                <w:sz w:val="16"/>
                <w:szCs w:val="16"/>
                <w:lang w:val="ru-RU"/>
              </w:rPr>
              <w:t>Выполнение работ</w:t>
            </w:r>
          </w:p>
        </w:tc>
        <w:tc>
          <w:tcPr>
            <w:tcW w:w="391"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gridSpan w:val="2"/>
            <w:tcBorders>
              <w:top w:val="single" w:sz="4" w:space="0" w:color="auto"/>
              <w:left w:val="nil"/>
              <w:bottom w:val="single" w:sz="4" w:space="0" w:color="auto"/>
              <w:right w:val="single" w:sz="8"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52"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gridSpan w:val="2"/>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gridSpan w:val="2"/>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r w:rsidRPr="0056209E">
              <w:rPr>
                <w:rFonts w:cs="Arial"/>
                <w:sz w:val="16"/>
                <w:szCs w:val="16"/>
              </w:rPr>
              <w:t>X</w:t>
            </w:r>
          </w:p>
        </w:tc>
        <w:tc>
          <w:tcPr>
            <w:tcW w:w="385" w:type="dxa"/>
            <w:tcBorders>
              <w:top w:val="single" w:sz="4" w:space="0" w:color="auto"/>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r w:rsidRPr="0056209E">
              <w:rPr>
                <w:rFonts w:cs="Arial"/>
                <w:sz w:val="16"/>
                <w:szCs w:val="16"/>
              </w:rPr>
              <w:t>X</w:t>
            </w:r>
          </w:p>
        </w:tc>
        <w:tc>
          <w:tcPr>
            <w:tcW w:w="347" w:type="dxa"/>
            <w:gridSpan w:val="2"/>
            <w:tcBorders>
              <w:top w:val="single" w:sz="4" w:space="0" w:color="auto"/>
              <w:left w:val="nil"/>
              <w:bottom w:val="single" w:sz="4" w:space="0" w:color="auto"/>
              <w:right w:val="single" w:sz="8" w:space="0" w:color="auto"/>
            </w:tcBorders>
            <w:tcMar>
              <w:left w:w="0" w:type="dxa"/>
              <w:right w:w="0" w:type="dxa"/>
            </w:tcMar>
            <w:vAlign w:val="center"/>
          </w:tcPr>
          <w:p w:rsidR="00C85043" w:rsidRPr="0056209E" w:rsidRDefault="00C85043" w:rsidP="00C85043">
            <w:pPr>
              <w:spacing w:before="240"/>
              <w:jc w:val="center"/>
              <w:rPr>
                <w:rFonts w:cs="Arial"/>
                <w:sz w:val="16"/>
                <w:szCs w:val="16"/>
              </w:rPr>
            </w:pPr>
            <w:r w:rsidRPr="0056209E">
              <w:rPr>
                <w:rFonts w:cs="Arial"/>
                <w:sz w:val="16"/>
                <w:szCs w:val="16"/>
              </w:rPr>
              <w:t>X</w:t>
            </w:r>
          </w:p>
        </w:tc>
        <w:tc>
          <w:tcPr>
            <w:tcW w:w="413" w:type="dxa"/>
            <w:tcBorders>
              <w:top w:val="single" w:sz="4" w:space="0" w:color="auto"/>
              <w:left w:val="nil"/>
              <w:bottom w:val="single" w:sz="4" w:space="0" w:color="auto"/>
              <w:right w:val="single" w:sz="8" w:space="0" w:color="auto"/>
            </w:tcBorders>
            <w:tcMar>
              <w:left w:w="0" w:type="dxa"/>
              <w:right w:w="0" w:type="dxa"/>
            </w:tcMar>
            <w:vAlign w:val="center"/>
          </w:tcPr>
          <w:p w:rsidR="00C85043" w:rsidRPr="0056209E" w:rsidRDefault="00C85043" w:rsidP="00C85043">
            <w:pPr>
              <w:spacing w:before="240"/>
              <w:jc w:val="center"/>
              <w:rPr>
                <w:rFonts w:cs="Arial"/>
                <w:sz w:val="16"/>
                <w:szCs w:val="16"/>
              </w:rPr>
            </w:pPr>
            <w:r w:rsidRPr="0056209E">
              <w:rPr>
                <w:rFonts w:cs="Arial"/>
                <w:sz w:val="16"/>
                <w:szCs w:val="16"/>
              </w:rPr>
              <w:t>X</w:t>
            </w:r>
          </w:p>
        </w:tc>
        <w:tc>
          <w:tcPr>
            <w:tcW w:w="350" w:type="dxa"/>
            <w:tcBorders>
              <w:top w:val="single" w:sz="4" w:space="0" w:color="auto"/>
              <w:left w:val="nil"/>
              <w:bottom w:val="single" w:sz="4" w:space="0" w:color="auto"/>
              <w:right w:val="single" w:sz="8" w:space="0" w:color="auto"/>
            </w:tcBorders>
            <w:vAlign w:val="center"/>
          </w:tcPr>
          <w:p w:rsidR="00C85043" w:rsidRPr="0056209E" w:rsidRDefault="00C85043" w:rsidP="00C85043">
            <w:pPr>
              <w:spacing w:before="240"/>
              <w:jc w:val="center"/>
              <w:rPr>
                <w:rFonts w:cs="Arial"/>
                <w:sz w:val="16"/>
                <w:szCs w:val="16"/>
              </w:rPr>
            </w:pPr>
          </w:p>
        </w:tc>
        <w:tc>
          <w:tcPr>
            <w:tcW w:w="430" w:type="dxa"/>
            <w:tcBorders>
              <w:top w:val="single" w:sz="4" w:space="0" w:color="auto"/>
              <w:left w:val="nil"/>
              <w:bottom w:val="single" w:sz="4" w:space="0" w:color="auto"/>
              <w:right w:val="single" w:sz="4" w:space="0" w:color="auto"/>
            </w:tcBorders>
            <w:vAlign w:val="center"/>
          </w:tcPr>
          <w:p w:rsidR="00C85043" w:rsidRPr="0056209E" w:rsidRDefault="00C85043" w:rsidP="00C85043">
            <w:pPr>
              <w:spacing w:before="240"/>
              <w:jc w:val="center"/>
              <w:rPr>
                <w:rFonts w:cs="Arial"/>
                <w:sz w:val="16"/>
                <w:szCs w:val="16"/>
              </w:rPr>
            </w:pPr>
          </w:p>
        </w:tc>
      </w:tr>
      <w:tr w:rsidR="00C85043" w:rsidRPr="00EC7C86" w:rsidTr="00C85043">
        <w:trPr>
          <w:trHeight w:val="305"/>
          <w:jc w:val="center"/>
        </w:trPr>
        <w:tc>
          <w:tcPr>
            <w:tcW w:w="1999" w:type="dxa"/>
            <w:tcBorders>
              <w:top w:val="single" w:sz="4" w:space="0" w:color="auto"/>
              <w:left w:val="single" w:sz="4" w:space="0" w:color="auto"/>
              <w:bottom w:val="single" w:sz="4" w:space="0" w:color="auto"/>
              <w:right w:val="single" w:sz="8" w:space="0" w:color="auto"/>
            </w:tcBorders>
            <w:shd w:val="clear" w:color="auto" w:fill="auto"/>
            <w:noWrap/>
            <w:vAlign w:val="center"/>
          </w:tcPr>
          <w:p w:rsidR="00C85043" w:rsidRPr="00EC7C86" w:rsidRDefault="00C85043" w:rsidP="00C85043">
            <w:pPr>
              <w:autoSpaceDE w:val="0"/>
              <w:autoSpaceDN w:val="0"/>
              <w:adjustRightInd w:val="0"/>
              <w:spacing w:before="40" w:after="40"/>
              <w:rPr>
                <w:rFonts w:cs="Arial"/>
                <w:b/>
                <w:bCs/>
                <w:sz w:val="16"/>
                <w:szCs w:val="16"/>
              </w:rPr>
            </w:pPr>
            <w:r>
              <w:rPr>
                <w:color w:val="000000"/>
                <w:sz w:val="16"/>
                <w:szCs w:val="16"/>
                <w:lang w:val="ru-RU"/>
              </w:rPr>
              <w:t xml:space="preserve">Сдача </w:t>
            </w:r>
            <w:r w:rsidRPr="00BE255C">
              <w:rPr>
                <w:color w:val="000000"/>
                <w:sz w:val="16"/>
                <w:szCs w:val="16"/>
                <w:lang w:val="ru-RU"/>
              </w:rPr>
              <w:t>результат</w:t>
            </w:r>
            <w:r>
              <w:rPr>
                <w:color w:val="000000"/>
                <w:sz w:val="16"/>
                <w:szCs w:val="16"/>
                <w:lang w:val="ru-RU"/>
              </w:rPr>
              <w:t xml:space="preserve">ов </w:t>
            </w:r>
            <w:r w:rsidRPr="00BE255C">
              <w:rPr>
                <w:color w:val="000000"/>
                <w:sz w:val="16"/>
                <w:szCs w:val="16"/>
                <w:lang w:val="ru-RU"/>
              </w:rPr>
              <w:t>работ</w:t>
            </w:r>
          </w:p>
        </w:tc>
        <w:tc>
          <w:tcPr>
            <w:tcW w:w="391"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gridSpan w:val="2"/>
            <w:tcBorders>
              <w:top w:val="single" w:sz="4" w:space="0" w:color="auto"/>
              <w:left w:val="nil"/>
              <w:bottom w:val="single" w:sz="4" w:space="0" w:color="auto"/>
              <w:right w:val="single" w:sz="8"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52"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EC7C86"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4" w:type="dxa"/>
            <w:tcBorders>
              <w:top w:val="single" w:sz="4" w:space="0" w:color="auto"/>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gridSpan w:val="2"/>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gridSpan w:val="2"/>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4"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85" w:type="dxa"/>
            <w:tcBorders>
              <w:top w:val="single" w:sz="4" w:space="0" w:color="auto"/>
              <w:left w:val="nil"/>
              <w:bottom w:val="single" w:sz="4" w:space="0" w:color="auto"/>
              <w:right w:val="single" w:sz="8" w:space="0" w:color="auto"/>
            </w:tcBorders>
            <w:shd w:val="clear" w:color="auto" w:fill="auto"/>
            <w:noWrap/>
            <w:tcMar>
              <w:left w:w="0" w:type="dxa"/>
              <w:right w:w="0" w:type="dxa"/>
            </w:tcMar>
            <w:vAlign w:val="center"/>
          </w:tcPr>
          <w:p w:rsidR="00C85043" w:rsidRPr="0056209E" w:rsidRDefault="00C85043" w:rsidP="00C85043">
            <w:pPr>
              <w:spacing w:before="240"/>
              <w:jc w:val="center"/>
              <w:rPr>
                <w:rFonts w:cs="Arial"/>
                <w:sz w:val="16"/>
                <w:szCs w:val="16"/>
              </w:rPr>
            </w:pPr>
          </w:p>
        </w:tc>
        <w:tc>
          <w:tcPr>
            <w:tcW w:w="347" w:type="dxa"/>
            <w:gridSpan w:val="2"/>
            <w:tcBorders>
              <w:top w:val="single" w:sz="4" w:space="0" w:color="auto"/>
              <w:left w:val="nil"/>
              <w:bottom w:val="single" w:sz="4" w:space="0" w:color="auto"/>
              <w:right w:val="single" w:sz="8" w:space="0" w:color="auto"/>
            </w:tcBorders>
            <w:shd w:val="clear" w:color="auto" w:fill="auto"/>
            <w:tcMar>
              <w:left w:w="0" w:type="dxa"/>
              <w:right w:w="0" w:type="dxa"/>
            </w:tcMar>
            <w:vAlign w:val="center"/>
          </w:tcPr>
          <w:p w:rsidR="00C85043" w:rsidRPr="0056209E" w:rsidRDefault="00C85043" w:rsidP="00C85043">
            <w:pPr>
              <w:spacing w:before="240"/>
              <w:jc w:val="center"/>
              <w:rPr>
                <w:rFonts w:cs="Arial"/>
                <w:sz w:val="16"/>
                <w:szCs w:val="16"/>
              </w:rPr>
            </w:pPr>
          </w:p>
        </w:tc>
        <w:tc>
          <w:tcPr>
            <w:tcW w:w="413" w:type="dxa"/>
            <w:tcBorders>
              <w:top w:val="single" w:sz="4" w:space="0" w:color="auto"/>
              <w:left w:val="nil"/>
              <w:bottom w:val="single" w:sz="4" w:space="0" w:color="auto"/>
              <w:right w:val="single" w:sz="8" w:space="0" w:color="auto"/>
            </w:tcBorders>
            <w:shd w:val="clear" w:color="auto" w:fill="auto"/>
            <w:tcMar>
              <w:left w:w="0" w:type="dxa"/>
              <w:right w:w="0" w:type="dxa"/>
            </w:tcMar>
            <w:vAlign w:val="center"/>
          </w:tcPr>
          <w:p w:rsidR="00C85043" w:rsidRPr="0056209E" w:rsidRDefault="00C85043" w:rsidP="00C85043">
            <w:pPr>
              <w:spacing w:before="240"/>
              <w:jc w:val="center"/>
              <w:rPr>
                <w:rFonts w:cs="Arial"/>
                <w:sz w:val="16"/>
                <w:szCs w:val="16"/>
              </w:rPr>
            </w:pPr>
          </w:p>
        </w:tc>
        <w:tc>
          <w:tcPr>
            <w:tcW w:w="350" w:type="dxa"/>
            <w:tcBorders>
              <w:top w:val="single" w:sz="4" w:space="0" w:color="auto"/>
              <w:left w:val="nil"/>
              <w:bottom w:val="single" w:sz="4" w:space="0" w:color="auto"/>
              <w:right w:val="single" w:sz="8" w:space="0" w:color="auto"/>
            </w:tcBorders>
            <w:vAlign w:val="center"/>
          </w:tcPr>
          <w:p w:rsidR="00C85043" w:rsidRPr="0056209E" w:rsidRDefault="00C85043" w:rsidP="00C85043">
            <w:pPr>
              <w:spacing w:before="240"/>
              <w:jc w:val="center"/>
              <w:rPr>
                <w:rFonts w:cs="Arial"/>
                <w:sz w:val="16"/>
                <w:szCs w:val="16"/>
              </w:rPr>
            </w:pPr>
            <w:r w:rsidRPr="0056209E">
              <w:rPr>
                <w:rFonts w:cs="Arial"/>
                <w:sz w:val="16"/>
                <w:szCs w:val="16"/>
              </w:rPr>
              <w:t>X</w:t>
            </w:r>
          </w:p>
        </w:tc>
        <w:tc>
          <w:tcPr>
            <w:tcW w:w="430" w:type="dxa"/>
            <w:tcBorders>
              <w:top w:val="single" w:sz="4" w:space="0" w:color="auto"/>
              <w:left w:val="nil"/>
              <w:bottom w:val="single" w:sz="4" w:space="0" w:color="auto"/>
              <w:right w:val="single" w:sz="4" w:space="0" w:color="auto"/>
            </w:tcBorders>
            <w:vAlign w:val="center"/>
          </w:tcPr>
          <w:p w:rsidR="00C85043" w:rsidRPr="0056209E" w:rsidRDefault="00C85043" w:rsidP="00C85043">
            <w:pPr>
              <w:spacing w:before="240"/>
              <w:jc w:val="center"/>
              <w:rPr>
                <w:rFonts w:cs="Arial"/>
                <w:sz w:val="16"/>
                <w:szCs w:val="16"/>
              </w:rPr>
            </w:pPr>
            <w:r w:rsidRPr="0056209E">
              <w:rPr>
                <w:rFonts w:cs="Arial"/>
                <w:sz w:val="16"/>
                <w:szCs w:val="16"/>
              </w:rPr>
              <w:t>X</w:t>
            </w:r>
          </w:p>
        </w:tc>
      </w:tr>
    </w:tbl>
    <w:p w:rsidR="00C85043" w:rsidRDefault="00C85043" w:rsidP="00C85043">
      <w:pPr>
        <w:rPr>
          <w:b/>
          <w:sz w:val="22"/>
        </w:rPr>
      </w:pPr>
    </w:p>
    <w:p w:rsidR="00C85043" w:rsidRDefault="00C85043" w:rsidP="00C85043">
      <w:pPr>
        <w:spacing w:after="200" w:line="276" w:lineRule="auto"/>
        <w:rPr>
          <w:b/>
          <w:sz w:val="22"/>
        </w:rPr>
      </w:pPr>
      <w:r>
        <w:rPr>
          <w:b/>
          <w:sz w:val="22"/>
        </w:rPr>
        <w:br w:type="page"/>
      </w:r>
    </w:p>
    <w:p w:rsidR="00C85043" w:rsidRPr="00994B87" w:rsidRDefault="00C85043" w:rsidP="00C85043">
      <w:pPr>
        <w:rPr>
          <w:b/>
          <w:sz w:val="22"/>
        </w:rPr>
      </w:pPr>
      <w:r w:rsidRPr="001A104A">
        <w:rPr>
          <w:b/>
          <w:sz w:val="22"/>
        </w:rPr>
        <w:t>ПРОЕКТЫ, СВЯЗАННЫЕ СО ЗДАНИЯМИ</w:t>
      </w:r>
    </w:p>
    <w:p w:rsidR="00C85043" w:rsidRPr="00EC516A" w:rsidRDefault="00C85043" w:rsidP="00C85043">
      <w:pPr>
        <w:pStyle w:val="StyleHeading3BoldNounderline"/>
        <w:ind w:left="1440" w:hanging="1440"/>
        <w:rPr>
          <w:b/>
          <w:sz w:val="20"/>
          <w:lang w:val="ru-RU"/>
        </w:rPr>
      </w:pPr>
      <w:bookmarkStart w:id="151" w:name="_Toc422210526"/>
      <w:bookmarkStart w:id="152" w:name="_Toc455388149"/>
      <w:r w:rsidRPr="00EC516A">
        <w:rPr>
          <w:b/>
          <w:sz w:val="20"/>
          <w:lang w:val="ru-RU"/>
        </w:rPr>
        <w:t>ПРОЕКТ 4</w:t>
      </w:r>
      <w:r w:rsidRPr="00EC516A">
        <w:rPr>
          <w:b/>
          <w:sz w:val="20"/>
          <w:lang w:val="ru-RU"/>
        </w:rPr>
        <w:tab/>
        <w:t xml:space="preserve">УСТАНОВКА СИСТЕМЫ ОХЛАЖДЕНИЯ </w:t>
      </w:r>
      <w:r w:rsidRPr="002A78DC">
        <w:rPr>
          <w:b/>
          <w:sz w:val="20"/>
          <w:lang w:val="ru-RU"/>
        </w:rPr>
        <w:t xml:space="preserve">«ВОДА ЖЕНЕВСКОГО ОЗЕРА» </w:t>
      </w:r>
      <w:r w:rsidRPr="00EC516A">
        <w:rPr>
          <w:b/>
          <w:sz w:val="20"/>
          <w:lang w:val="ru-RU"/>
        </w:rPr>
        <w:t>(«</w:t>
      </w:r>
      <w:r>
        <w:rPr>
          <w:b/>
          <w:sz w:val="20"/>
        </w:rPr>
        <w:t>GLN</w:t>
      </w:r>
      <w:r w:rsidRPr="00EC516A">
        <w:rPr>
          <w:b/>
          <w:sz w:val="20"/>
          <w:lang w:val="ru-RU"/>
        </w:rPr>
        <w:t xml:space="preserve">») В ЗДАНИЯХ </w:t>
      </w:r>
      <w:r>
        <w:rPr>
          <w:b/>
          <w:sz w:val="20"/>
          <w:lang w:val="ru-RU"/>
        </w:rPr>
        <w:t>АБ</w:t>
      </w:r>
      <w:r w:rsidRPr="00EC516A">
        <w:rPr>
          <w:b/>
          <w:sz w:val="20"/>
          <w:lang w:val="ru-RU"/>
        </w:rPr>
        <w:t xml:space="preserve"> И </w:t>
      </w:r>
      <w:r>
        <w:rPr>
          <w:b/>
          <w:sz w:val="20"/>
        </w:rPr>
        <w:t>PCT</w:t>
      </w:r>
      <w:r w:rsidRPr="00EC516A">
        <w:rPr>
          <w:b/>
          <w:sz w:val="20"/>
          <w:lang w:val="ru-RU"/>
        </w:rPr>
        <w:t xml:space="preserve"> (ГПКР 4)</w:t>
      </w:r>
      <w:bookmarkEnd w:id="151"/>
      <w:bookmarkEnd w:id="152"/>
    </w:p>
    <w:p w:rsidR="00C85043" w:rsidRPr="00EC516A" w:rsidRDefault="00C85043" w:rsidP="00C85043">
      <w:pPr>
        <w:rPr>
          <w:szCs w:val="20"/>
          <w:lang w:val="ru-RU"/>
        </w:rPr>
      </w:pPr>
    </w:p>
    <w:p w:rsidR="00C85043" w:rsidRPr="0055183A" w:rsidRDefault="00C85043" w:rsidP="00C85043">
      <w:pPr>
        <w:rPr>
          <w:b/>
          <w:szCs w:val="20"/>
          <w:lang w:val="ru-RU"/>
        </w:rPr>
      </w:pPr>
      <w:r w:rsidRPr="002F5531">
        <w:rPr>
          <w:b/>
          <w:color w:val="000000"/>
          <w:szCs w:val="20"/>
          <w:lang w:val="ru-RU"/>
        </w:rPr>
        <w:t>Руководитель проекта</w:t>
      </w:r>
      <w:r w:rsidRPr="002F5531">
        <w:rPr>
          <w:b/>
          <w:color w:val="000000"/>
          <w:szCs w:val="20"/>
          <w:lang w:val="ru-RU"/>
        </w:rPr>
        <w:tab/>
      </w:r>
      <w:r>
        <w:rPr>
          <w:b/>
          <w:szCs w:val="20"/>
          <w:lang w:val="ru-RU"/>
        </w:rPr>
        <w:t>А</w:t>
      </w:r>
      <w:r w:rsidRPr="0055183A">
        <w:rPr>
          <w:b/>
          <w:szCs w:val="20"/>
          <w:lang w:val="ru-RU"/>
        </w:rPr>
        <w:t xml:space="preserve">. </w:t>
      </w:r>
      <w:r>
        <w:rPr>
          <w:b/>
          <w:szCs w:val="20"/>
          <w:lang w:val="ru-RU"/>
        </w:rPr>
        <w:t>ФАВЕРО</w:t>
      </w:r>
    </w:p>
    <w:p w:rsidR="00C85043" w:rsidRPr="0055183A" w:rsidRDefault="00C85043" w:rsidP="00C85043">
      <w:pPr>
        <w:rPr>
          <w:szCs w:val="20"/>
          <w:lang w:val="ru-RU"/>
        </w:rPr>
      </w:pPr>
    </w:p>
    <w:p w:rsidR="00C85043" w:rsidRPr="0055183A" w:rsidRDefault="00C85043" w:rsidP="00C85043">
      <w:pPr>
        <w:rPr>
          <w:szCs w:val="20"/>
          <w:lang w:val="ru-RU"/>
        </w:rPr>
      </w:pPr>
    </w:p>
    <w:p w:rsidR="00C85043" w:rsidRPr="0055183A" w:rsidRDefault="00C85043" w:rsidP="00C85043">
      <w:pPr>
        <w:rPr>
          <w:bCs/>
          <w:szCs w:val="22"/>
          <w:lang w:val="ru-RU"/>
        </w:rPr>
      </w:pPr>
      <w:r>
        <w:rPr>
          <w:bCs/>
          <w:szCs w:val="22"/>
          <w:lang w:val="ru-RU"/>
        </w:rPr>
        <w:t>ОЖИДАЕМЫЕ</w:t>
      </w:r>
      <w:r w:rsidRPr="0055183A">
        <w:rPr>
          <w:bCs/>
          <w:szCs w:val="22"/>
          <w:lang w:val="ru-RU"/>
        </w:rPr>
        <w:t xml:space="preserve"> </w:t>
      </w:r>
      <w:r>
        <w:rPr>
          <w:bCs/>
          <w:szCs w:val="22"/>
          <w:lang w:val="ru-RU"/>
        </w:rPr>
        <w:t>РЕЗУЛЬТАТЫ</w:t>
      </w:r>
    </w:p>
    <w:p w:rsidR="00C85043" w:rsidRPr="0055183A" w:rsidRDefault="00C85043" w:rsidP="00C85043">
      <w:pPr>
        <w:rPr>
          <w:bCs/>
          <w:sz w:val="18"/>
          <w:szCs w:val="20"/>
          <w:lang w:val="ru-RU"/>
        </w:rPr>
      </w:pPr>
    </w:p>
    <w:p w:rsidR="00C85043" w:rsidRPr="001A104A" w:rsidRDefault="00C85043" w:rsidP="00C85043">
      <w:pPr>
        <w:rPr>
          <w:i/>
          <w:iCs/>
          <w:szCs w:val="20"/>
          <w:lang w:val="ru-RU"/>
        </w:rPr>
      </w:pPr>
      <w:r w:rsidRPr="00811367">
        <w:rPr>
          <w:i/>
          <w:iCs/>
          <w:szCs w:val="20"/>
        </w:rPr>
        <w:t>IX</w:t>
      </w:r>
      <w:r w:rsidRPr="001A104A">
        <w:rPr>
          <w:i/>
          <w:iCs/>
          <w:szCs w:val="20"/>
          <w:lang w:val="ru-RU"/>
        </w:rPr>
        <w:t xml:space="preserve">.1  </w:t>
      </w:r>
      <w:r>
        <w:rPr>
          <w:i/>
          <w:iCs/>
          <w:szCs w:val="20"/>
          <w:lang w:val="ru-RU"/>
        </w:rPr>
        <w:t>Эффективная, оперативная и качественная поддержка, ориентированная на нужды клиентов и оказываемая как внутренним пользователям, так и внешним партнерам</w:t>
      </w:r>
    </w:p>
    <w:p w:rsidR="00C85043" w:rsidRPr="001A104A" w:rsidRDefault="00C85043" w:rsidP="00C85043">
      <w:pPr>
        <w:rPr>
          <w:bCs/>
          <w:color w:val="000000"/>
          <w:sz w:val="18"/>
          <w:szCs w:val="20"/>
          <w:lang w:val="ru-RU"/>
        </w:rPr>
      </w:pPr>
    </w:p>
    <w:p w:rsidR="00C85043" w:rsidRPr="001A104A" w:rsidRDefault="00C85043" w:rsidP="00C85043">
      <w:pPr>
        <w:rPr>
          <w:bCs/>
          <w:color w:val="000000"/>
          <w:sz w:val="18"/>
          <w:szCs w:val="20"/>
          <w:lang w:val="ru-RU"/>
        </w:rPr>
      </w:pPr>
    </w:p>
    <w:p w:rsidR="00C85043" w:rsidRPr="00EC516A" w:rsidRDefault="00C85043" w:rsidP="00C85043">
      <w:pPr>
        <w:rPr>
          <w:bCs/>
          <w:sz w:val="22"/>
          <w:szCs w:val="22"/>
          <w:lang w:val="ru-RU"/>
        </w:rPr>
      </w:pPr>
      <w:r>
        <w:rPr>
          <w:bCs/>
          <w:color w:val="000000"/>
          <w:szCs w:val="22"/>
          <w:lang w:val="ru-RU"/>
        </w:rPr>
        <w:t>ЦЕЛИ, ОБЪЕМ ЗАДАЧ И МЕТОДОЛОГИЯ: СПРАВОЧНАЯ ИНФОРМАЦИЯ</w:t>
      </w:r>
    </w:p>
    <w:p w:rsidR="00C85043" w:rsidRPr="00EC516A" w:rsidRDefault="00C85043" w:rsidP="00C85043">
      <w:pPr>
        <w:rPr>
          <w:bCs/>
          <w:szCs w:val="20"/>
          <w:lang w:val="ru-RU"/>
        </w:rPr>
      </w:pPr>
    </w:p>
    <w:p w:rsidR="00C85043" w:rsidRPr="00197C09" w:rsidRDefault="00C85043" w:rsidP="00BF61DC">
      <w:pPr>
        <w:pStyle w:val="ListParagraph"/>
        <w:numPr>
          <w:ilvl w:val="0"/>
          <w:numId w:val="112"/>
        </w:numPr>
        <w:tabs>
          <w:tab w:val="left" w:pos="567"/>
        </w:tabs>
        <w:ind w:left="0" w:firstLine="0"/>
        <w:jc w:val="both"/>
        <w:rPr>
          <w:bCs/>
          <w:lang w:val="ru-RU"/>
        </w:rPr>
      </w:pPr>
      <w:r w:rsidRPr="00197C09">
        <w:rPr>
          <w:bCs/>
          <w:lang w:val="ru-RU"/>
        </w:rPr>
        <w:t xml:space="preserve">Цели проекта и ожидаемые результаты: система охлаждения «Вода Женевского озера» (“GLN”) – это система, созданная несколько лет назад и управляемая швейцарской энергетической компанией («Services Industriels de Genève» — SIG). Система </w:t>
      </w:r>
      <w:r w:rsidRPr="0031062E">
        <w:rPr>
          <w:bCs/>
          <w:lang w:val="ru-RU"/>
        </w:rPr>
        <w:t>предусматрива</w:t>
      </w:r>
      <w:r>
        <w:rPr>
          <w:bCs/>
          <w:lang w:val="ru-RU"/>
        </w:rPr>
        <w:t>ет</w:t>
      </w:r>
      <w:r w:rsidRPr="00197C09">
        <w:rPr>
          <w:bCs/>
          <w:lang w:val="ru-RU"/>
        </w:rPr>
        <w:t xml:space="preserve"> </w:t>
      </w:r>
      <w:r>
        <w:rPr>
          <w:bCs/>
          <w:lang w:val="ru-RU"/>
        </w:rPr>
        <w:t>за</w:t>
      </w:r>
      <w:r w:rsidRPr="00197C09">
        <w:rPr>
          <w:bCs/>
          <w:lang w:val="ru-RU"/>
        </w:rPr>
        <w:t>качку холодной воды из глубинных слоев Женевского озера и ее подачу на северный берег озера в город Женева для охлаждения нескольких административных зданий в районе Пляс де Насьон.  Несколько лет назад ВОИС стала одним из первых клиентов этой компании среди учреждений ООН, заключивших соглашение с SIG по резервированию объемов, необходимых для охлаждения всех ее зданий (включая осуществлявшиеся в то время строительные проект</w:t>
      </w:r>
      <w:r>
        <w:rPr>
          <w:bCs/>
          <w:lang w:val="ru-RU"/>
        </w:rPr>
        <w:t xml:space="preserve">ы). </w:t>
      </w:r>
      <w:r w:rsidRPr="00197C09">
        <w:rPr>
          <w:bCs/>
          <w:lang w:val="ru-RU"/>
        </w:rPr>
        <w:t xml:space="preserve">По состоянию на конец 2013 г. к системе GLN для охлаждения были полностью подключены следующие здания комплекса ВОИС: новое здание (в эксплуатации с 2011 г.), здания </w:t>
      </w:r>
      <w:r>
        <w:rPr>
          <w:bCs/>
          <w:lang w:val="ru-RU"/>
        </w:rPr>
        <w:t>ГБ-1 и ГБ-2</w:t>
      </w:r>
      <w:r w:rsidRPr="00197C09">
        <w:rPr>
          <w:bCs/>
          <w:lang w:val="ru-RU"/>
        </w:rPr>
        <w:t xml:space="preserve"> (в эксплуатации с середины </w:t>
      </w:r>
      <w:r>
        <w:rPr>
          <w:bCs/>
          <w:lang w:val="ru-RU"/>
        </w:rPr>
        <w:t>2013 </w:t>
      </w:r>
      <w:r w:rsidRPr="00197C09">
        <w:rPr>
          <w:bCs/>
          <w:lang w:val="ru-RU"/>
        </w:rPr>
        <w:t xml:space="preserve">г.), новый конференц-зал (интегрирован в систему на этапе строительства, сдан в эксплуатацию в конце 2013 г.).   Единственные два здания, еще не подключенные к системе GLN </w:t>
      </w:r>
      <w:r w:rsidRPr="00197C09">
        <w:rPr>
          <w:rFonts w:eastAsia="+mn-ea"/>
          <w:bCs/>
          <w:lang w:val="ru-RU"/>
        </w:rPr>
        <w:t>–</w:t>
      </w:r>
      <w:r w:rsidRPr="00197C09">
        <w:rPr>
          <w:bCs/>
          <w:lang w:val="ru-RU"/>
        </w:rPr>
        <w:t xml:space="preserve">  это здание АБ и здание PCT, которые и являются предметом данного раздела Генерального плана капитального ремонта. Следует также отметить, что превышение срока эксплуатации различных систем охлаждения в зданиях АВ и РСТ составляет от 10 до 33 лет (их примерный ресурс составляет 30 лет).  </w:t>
      </w:r>
    </w:p>
    <w:p w:rsidR="00C85043" w:rsidRPr="00197C09" w:rsidRDefault="00C85043" w:rsidP="00C85043">
      <w:pPr>
        <w:tabs>
          <w:tab w:val="left" w:pos="567"/>
        </w:tabs>
        <w:jc w:val="both"/>
        <w:rPr>
          <w:bCs/>
          <w:szCs w:val="20"/>
          <w:lang w:val="ru-RU"/>
        </w:rPr>
      </w:pPr>
    </w:p>
    <w:p w:rsidR="00C85043" w:rsidRPr="00BC2CFD" w:rsidRDefault="00C85043" w:rsidP="00BF61DC">
      <w:pPr>
        <w:pStyle w:val="ListParagraph"/>
        <w:numPr>
          <w:ilvl w:val="0"/>
          <w:numId w:val="112"/>
        </w:numPr>
        <w:tabs>
          <w:tab w:val="left" w:pos="567"/>
        </w:tabs>
        <w:ind w:left="0" w:firstLine="0"/>
        <w:jc w:val="both"/>
        <w:rPr>
          <w:lang w:val="ru-RU"/>
        </w:rPr>
      </w:pPr>
      <w:r w:rsidRPr="00BC2CFD">
        <w:rPr>
          <w:lang w:val="ru-RU"/>
        </w:rPr>
        <w:t>Проект имеет следующие цели: (</w:t>
      </w:r>
      <w:r w:rsidRPr="00BC2CFD">
        <w:t>i</w:t>
      </w:r>
      <w:r w:rsidRPr="00BC2CFD">
        <w:rPr>
          <w:lang w:val="ru-RU"/>
        </w:rPr>
        <w:t xml:space="preserve">) завершение реализации усовершенствованного технического решения по обслуживанию зданий путем </w:t>
      </w:r>
      <w:r w:rsidRPr="00BC2CFD">
        <w:rPr>
          <w:snapToGrid w:val="0"/>
          <w:lang w:val="ru-RU"/>
        </w:rPr>
        <w:t>применени</w:t>
      </w:r>
      <w:r w:rsidRPr="00BC2CFD">
        <w:rPr>
          <w:lang w:val="ru-RU"/>
        </w:rPr>
        <w:t xml:space="preserve">я системы охлаждения, уже </w:t>
      </w:r>
      <w:r>
        <w:rPr>
          <w:lang w:val="ru-RU"/>
        </w:rPr>
        <w:t xml:space="preserve">реализованной </w:t>
      </w:r>
      <w:r w:rsidRPr="00BC2CFD">
        <w:rPr>
          <w:lang w:val="ru-RU"/>
        </w:rPr>
        <w:t xml:space="preserve">более чем в половине (по объему </w:t>
      </w:r>
      <w:r w:rsidRPr="00BC2CFD">
        <w:rPr>
          <w:szCs w:val="24"/>
          <w:lang w:val="ru-RU"/>
        </w:rPr>
        <w:t>помещени</w:t>
      </w:r>
      <w:r w:rsidRPr="00BC2CFD">
        <w:rPr>
          <w:lang w:val="ru-RU"/>
        </w:rPr>
        <w:t>й)</w:t>
      </w:r>
      <w:r>
        <w:rPr>
          <w:lang w:val="ru-RU"/>
        </w:rPr>
        <w:t xml:space="preserve"> </w:t>
      </w:r>
      <w:r w:rsidRPr="00BC2CFD">
        <w:rPr>
          <w:lang w:val="ru-RU"/>
        </w:rPr>
        <w:t>зданий комплекса ВОИС;  (</w:t>
      </w:r>
      <w:r w:rsidRPr="00BC2CFD">
        <w:t>ii</w:t>
      </w:r>
      <w:r w:rsidRPr="00BC2CFD">
        <w:rPr>
          <w:lang w:val="ru-RU"/>
        </w:rPr>
        <w:t>)</w:t>
      </w:r>
      <w:r>
        <w:rPr>
          <w:lang w:val="ru-RU"/>
        </w:rPr>
        <w:t> </w:t>
      </w:r>
      <w:r w:rsidRPr="00BC2CFD">
        <w:rPr>
          <w:lang w:val="ru-RU"/>
        </w:rPr>
        <w:t>упре</w:t>
      </w:r>
      <w:r>
        <w:rPr>
          <w:lang w:val="ru-RU"/>
        </w:rPr>
        <w:t>ждение необходимости</w:t>
      </w:r>
      <w:r w:rsidRPr="00BC2CFD">
        <w:rPr>
          <w:lang w:val="ru-RU"/>
        </w:rPr>
        <w:t xml:space="preserve"> замены традиционных систем охлаждения в двух остающихся зданиях и </w:t>
      </w:r>
      <w:r>
        <w:rPr>
          <w:lang w:val="ru-RU"/>
        </w:rPr>
        <w:t>осуществление такой замены</w:t>
      </w:r>
      <w:r w:rsidRPr="00BC2CFD">
        <w:rPr>
          <w:lang w:val="ru-RU"/>
        </w:rPr>
        <w:t xml:space="preserve"> до их выхода из строя (как это произошло с оборудованием в здании </w:t>
      </w:r>
      <w:r>
        <w:rPr>
          <w:lang w:val="ru-RU"/>
        </w:rPr>
        <w:t>ГБ-2</w:t>
      </w:r>
      <w:r w:rsidRPr="00BC2CFD">
        <w:rPr>
          <w:lang w:val="ru-RU"/>
        </w:rPr>
        <w:t xml:space="preserve"> в 2011 г.);  (</w:t>
      </w:r>
      <w:r w:rsidRPr="00BC2CFD">
        <w:t>iii</w:t>
      </w:r>
      <w:r>
        <w:rPr>
          <w:lang w:val="ru-RU"/>
        </w:rPr>
        <w:t>) снижение расходов</w:t>
      </w:r>
      <w:r w:rsidRPr="00BC2CFD">
        <w:rPr>
          <w:lang w:val="ru-RU"/>
        </w:rPr>
        <w:t xml:space="preserve"> на обслуживание оборудования по сравнению с расходами на обслуживание традиционных систем охлаждения;  и (</w:t>
      </w:r>
      <w:r w:rsidRPr="00BC2CFD">
        <w:t>iv</w:t>
      </w:r>
      <w:r w:rsidRPr="00BC2CFD">
        <w:rPr>
          <w:lang w:val="ru-RU"/>
        </w:rPr>
        <w:t xml:space="preserve">) </w:t>
      </w:r>
      <w:r>
        <w:rPr>
          <w:lang w:val="ru-RU"/>
        </w:rPr>
        <w:t>замена</w:t>
      </w:r>
      <w:r w:rsidRPr="00BC2CFD">
        <w:rPr>
          <w:lang w:val="ru-RU"/>
        </w:rPr>
        <w:t xml:space="preserve"> традиционн</w:t>
      </w:r>
      <w:r>
        <w:rPr>
          <w:lang w:val="ru-RU"/>
        </w:rPr>
        <w:t>ых</w:t>
      </w:r>
      <w:r w:rsidRPr="00BC2CFD">
        <w:rPr>
          <w:lang w:val="ru-RU"/>
        </w:rPr>
        <w:t xml:space="preserve"> систем на оборудование, основанное на более экологичных решениях. </w:t>
      </w:r>
    </w:p>
    <w:p w:rsidR="00C85043" w:rsidRPr="00BC2CFD" w:rsidRDefault="00C85043" w:rsidP="00C85043">
      <w:pPr>
        <w:rPr>
          <w:bCs/>
          <w:szCs w:val="20"/>
          <w:lang w:val="ru-RU"/>
        </w:rPr>
      </w:pPr>
    </w:p>
    <w:p w:rsidR="00C85043" w:rsidRPr="00852B94" w:rsidRDefault="00C85043" w:rsidP="00C85043">
      <w:pPr>
        <w:rPr>
          <w:bCs/>
          <w:szCs w:val="20"/>
          <w:lang w:val="ru-RU"/>
        </w:rPr>
      </w:pPr>
    </w:p>
    <w:p w:rsidR="00C85043" w:rsidRPr="000C5D6F" w:rsidRDefault="00C85043" w:rsidP="00C85043">
      <w:pPr>
        <w:rPr>
          <w:bCs/>
          <w:szCs w:val="20"/>
          <w:lang w:val="ru-RU"/>
        </w:rPr>
      </w:pPr>
      <w:r w:rsidRPr="000C5D6F">
        <w:rPr>
          <w:bCs/>
          <w:color w:val="000000"/>
          <w:szCs w:val="20"/>
          <w:lang w:val="ru-RU"/>
        </w:rPr>
        <w:t xml:space="preserve">ОБЗОР ХОДА РЕАЛИЗАЦИИ ПРОЕКТА В 2015 ГОДУ </w:t>
      </w:r>
      <w:r>
        <w:rPr>
          <w:bCs/>
          <w:color w:val="000000"/>
          <w:szCs w:val="20"/>
          <w:lang w:val="ru-RU"/>
        </w:rPr>
        <w:t>(ОСНОВНЫЕ РЕЗУЛЬТАТЫ)</w:t>
      </w:r>
    </w:p>
    <w:p w:rsidR="00C85043" w:rsidRPr="000C5D6F" w:rsidRDefault="00C85043" w:rsidP="00C85043">
      <w:pPr>
        <w:rPr>
          <w:bCs/>
          <w:szCs w:val="20"/>
          <w:u w:val="single"/>
          <w:lang w:val="ru-RU"/>
        </w:rPr>
      </w:pPr>
    </w:p>
    <w:p w:rsidR="00C85043" w:rsidRPr="00FC499E" w:rsidRDefault="00C85043" w:rsidP="00BF61DC">
      <w:pPr>
        <w:pStyle w:val="ListParagraph"/>
        <w:numPr>
          <w:ilvl w:val="0"/>
          <w:numId w:val="112"/>
        </w:numPr>
        <w:tabs>
          <w:tab w:val="left" w:pos="567"/>
        </w:tabs>
        <w:ind w:left="0" w:firstLine="0"/>
        <w:jc w:val="both"/>
        <w:rPr>
          <w:rFonts w:eastAsia="Calibri" w:cs="Arial"/>
          <w:color w:val="000000"/>
          <w:lang w:val="ru-RU"/>
        </w:rPr>
      </w:pPr>
      <w:r w:rsidRPr="00FC499E">
        <w:rPr>
          <w:rFonts w:eastAsia="Calibri" w:cs="Arial"/>
          <w:color w:val="000000"/>
          <w:lang w:val="ru-RU"/>
        </w:rPr>
        <w:t xml:space="preserve">В </w:t>
      </w:r>
      <w:r>
        <w:rPr>
          <w:rFonts w:eastAsia="Calibri" w:cs="Arial"/>
          <w:color w:val="000000"/>
          <w:lang w:val="ru-RU"/>
        </w:rPr>
        <w:t>2014 г.</w:t>
      </w:r>
      <w:r w:rsidRPr="00FC499E">
        <w:rPr>
          <w:rFonts w:eastAsia="Calibri" w:cs="Arial"/>
          <w:color w:val="000000"/>
          <w:lang w:val="ru-RU"/>
        </w:rPr>
        <w:t xml:space="preserve"> году </w:t>
      </w:r>
      <w:r>
        <w:rPr>
          <w:rFonts w:eastAsia="Calibri" w:cs="Arial"/>
          <w:color w:val="000000"/>
          <w:lang w:val="ru-RU"/>
        </w:rPr>
        <w:t>были достигнуты следующие результаты:</w:t>
      </w:r>
      <w:r w:rsidRPr="00FC499E">
        <w:rPr>
          <w:rFonts w:eastAsia="Calibri" w:cs="Arial"/>
          <w:color w:val="000000"/>
          <w:lang w:val="ru-RU"/>
        </w:rPr>
        <w:t xml:space="preserve">  </w:t>
      </w:r>
    </w:p>
    <w:p w:rsidR="00C85043" w:rsidRPr="00FC499E" w:rsidRDefault="00C85043" w:rsidP="00C85043">
      <w:pPr>
        <w:autoSpaceDE w:val="0"/>
        <w:autoSpaceDN w:val="0"/>
        <w:adjustRightInd w:val="0"/>
        <w:rPr>
          <w:rFonts w:eastAsia="Calibri" w:cs="Arial"/>
          <w:color w:val="000000"/>
          <w:szCs w:val="20"/>
          <w:u w:val="single"/>
          <w:lang w:val="ru-RU"/>
        </w:rPr>
      </w:pPr>
    </w:p>
    <w:p w:rsidR="00C85043" w:rsidRPr="00B06355" w:rsidRDefault="00C85043" w:rsidP="00C85043">
      <w:pPr>
        <w:autoSpaceDE w:val="0"/>
        <w:autoSpaceDN w:val="0"/>
        <w:adjustRightInd w:val="0"/>
        <w:ind w:firstLine="357"/>
        <w:rPr>
          <w:rFonts w:eastAsia="Calibri" w:cs="Arial"/>
          <w:color w:val="000000"/>
          <w:szCs w:val="20"/>
          <w:u w:val="single"/>
        </w:rPr>
      </w:pPr>
      <w:r w:rsidRPr="00FC499E">
        <w:rPr>
          <w:rFonts w:eastAsia="Calibri" w:cs="Arial"/>
          <w:color w:val="000000"/>
          <w:szCs w:val="20"/>
          <w:u w:val="single"/>
        </w:rPr>
        <w:t xml:space="preserve">Здание </w:t>
      </w:r>
      <w:r>
        <w:rPr>
          <w:rFonts w:eastAsia="Calibri" w:cs="Arial"/>
          <w:color w:val="000000"/>
          <w:szCs w:val="20"/>
          <w:u w:val="single"/>
        </w:rPr>
        <w:t>АБ</w:t>
      </w:r>
      <w:r w:rsidRPr="00B06355">
        <w:rPr>
          <w:rFonts w:eastAsia="Calibri" w:cs="Arial"/>
          <w:color w:val="000000"/>
          <w:szCs w:val="20"/>
          <w:u w:val="single"/>
        </w:rPr>
        <w:t xml:space="preserve"> </w:t>
      </w:r>
    </w:p>
    <w:p w:rsidR="00C85043" w:rsidRPr="00B06355" w:rsidRDefault="00C85043" w:rsidP="00C85043">
      <w:pPr>
        <w:autoSpaceDE w:val="0"/>
        <w:autoSpaceDN w:val="0"/>
        <w:adjustRightInd w:val="0"/>
        <w:rPr>
          <w:rFonts w:eastAsia="Calibri" w:cs="Arial"/>
          <w:color w:val="000000"/>
          <w:szCs w:val="20"/>
        </w:rPr>
      </w:pPr>
    </w:p>
    <w:p w:rsidR="00C85043" w:rsidRPr="00FC499E" w:rsidRDefault="00C85043" w:rsidP="00BF61DC">
      <w:pPr>
        <w:pStyle w:val="ListParagraph"/>
        <w:numPr>
          <w:ilvl w:val="0"/>
          <w:numId w:val="121"/>
        </w:numPr>
        <w:autoSpaceDE w:val="0"/>
        <w:autoSpaceDN w:val="0"/>
        <w:adjustRightInd w:val="0"/>
        <w:spacing w:after="120"/>
        <w:ind w:left="714" w:hanging="357"/>
        <w:rPr>
          <w:bCs/>
          <w:lang w:val="ru-RU"/>
        </w:rPr>
      </w:pPr>
      <w:r w:rsidRPr="00FC499E">
        <w:rPr>
          <w:bCs/>
          <w:lang w:val="ru-RU"/>
        </w:rPr>
        <w:t xml:space="preserve">заключение контракта с инженером по отоплению, вентиляции и кондиционированию воздуха </w:t>
      </w:r>
    </w:p>
    <w:p w:rsidR="00C85043" w:rsidRPr="00FC499E" w:rsidRDefault="00C85043" w:rsidP="00BF61DC">
      <w:pPr>
        <w:pStyle w:val="ListParagraph"/>
        <w:numPr>
          <w:ilvl w:val="0"/>
          <w:numId w:val="121"/>
        </w:numPr>
        <w:autoSpaceDE w:val="0"/>
        <w:autoSpaceDN w:val="0"/>
        <w:adjustRightInd w:val="0"/>
        <w:spacing w:after="120"/>
        <w:ind w:left="714" w:hanging="357"/>
        <w:rPr>
          <w:bCs/>
          <w:lang w:val="ru-RU"/>
        </w:rPr>
      </w:pPr>
      <w:r w:rsidRPr="00FC499E">
        <w:rPr>
          <w:bCs/>
          <w:lang w:val="ru-RU"/>
        </w:rPr>
        <w:t xml:space="preserve">приглашение фирм к участию в конкурсе и выбор фирм </w:t>
      </w:r>
    </w:p>
    <w:p w:rsidR="00C85043" w:rsidRPr="009C009C" w:rsidRDefault="00C85043" w:rsidP="00BF61DC">
      <w:pPr>
        <w:pStyle w:val="ListParagraph"/>
        <w:numPr>
          <w:ilvl w:val="0"/>
          <w:numId w:val="121"/>
        </w:numPr>
        <w:autoSpaceDE w:val="0"/>
        <w:autoSpaceDN w:val="0"/>
        <w:adjustRightInd w:val="0"/>
        <w:spacing w:after="120"/>
        <w:ind w:left="714" w:hanging="357"/>
        <w:rPr>
          <w:bCs/>
        </w:rPr>
      </w:pPr>
      <w:r>
        <w:rPr>
          <w:bCs/>
          <w:lang w:val="ru-RU"/>
        </w:rPr>
        <w:t>выполнение работ</w:t>
      </w:r>
    </w:p>
    <w:p w:rsidR="00C85043" w:rsidRPr="009C009C" w:rsidRDefault="00C85043" w:rsidP="00BF61DC">
      <w:pPr>
        <w:pStyle w:val="ListParagraph"/>
        <w:numPr>
          <w:ilvl w:val="0"/>
          <w:numId w:val="121"/>
        </w:numPr>
        <w:autoSpaceDE w:val="0"/>
        <w:autoSpaceDN w:val="0"/>
        <w:adjustRightInd w:val="0"/>
        <w:spacing w:after="120"/>
        <w:ind w:left="714" w:hanging="357"/>
        <w:rPr>
          <w:bCs/>
        </w:rPr>
      </w:pPr>
      <w:r>
        <w:rPr>
          <w:bCs/>
          <w:lang w:val="ru-RU"/>
        </w:rPr>
        <w:t xml:space="preserve">завершение </w:t>
      </w:r>
      <w:r w:rsidRPr="00FC499E">
        <w:rPr>
          <w:bCs/>
          <w:lang w:val="ru-RU"/>
        </w:rPr>
        <w:t>проект</w:t>
      </w:r>
      <w:r>
        <w:rPr>
          <w:bCs/>
          <w:lang w:val="ru-RU"/>
        </w:rPr>
        <w:t>а</w:t>
      </w:r>
      <w:r w:rsidRPr="009C009C">
        <w:rPr>
          <w:bCs/>
        </w:rPr>
        <w:t>.</w:t>
      </w:r>
    </w:p>
    <w:p w:rsidR="00C85043" w:rsidRPr="00B06355" w:rsidRDefault="00C85043" w:rsidP="00C85043">
      <w:pPr>
        <w:autoSpaceDE w:val="0"/>
        <w:autoSpaceDN w:val="0"/>
        <w:adjustRightInd w:val="0"/>
        <w:rPr>
          <w:rFonts w:eastAsia="Calibri" w:cs="Arial"/>
          <w:color w:val="000000"/>
          <w:szCs w:val="20"/>
        </w:rPr>
      </w:pPr>
    </w:p>
    <w:p w:rsidR="00C85043" w:rsidRPr="00B06355" w:rsidRDefault="00C85043" w:rsidP="00C85043">
      <w:pPr>
        <w:autoSpaceDE w:val="0"/>
        <w:autoSpaceDN w:val="0"/>
        <w:adjustRightInd w:val="0"/>
        <w:ind w:firstLine="357"/>
        <w:rPr>
          <w:rFonts w:eastAsia="Calibri" w:cs="Arial"/>
          <w:color w:val="000000"/>
          <w:szCs w:val="20"/>
          <w:u w:val="single"/>
        </w:rPr>
      </w:pPr>
      <w:r>
        <w:rPr>
          <w:rFonts w:eastAsia="Calibri" w:cs="Arial"/>
          <w:color w:val="000000"/>
          <w:szCs w:val="20"/>
          <w:u w:val="single"/>
        </w:rPr>
        <w:br w:type="page"/>
      </w:r>
      <w:r w:rsidRPr="00FC499E">
        <w:rPr>
          <w:rFonts w:eastAsia="Calibri" w:cs="Arial"/>
          <w:color w:val="000000"/>
          <w:szCs w:val="20"/>
          <w:u w:val="single"/>
        </w:rPr>
        <w:t>Здание PCT</w:t>
      </w:r>
      <w:r w:rsidRPr="00B06355">
        <w:rPr>
          <w:rFonts w:eastAsia="Calibri" w:cs="Arial"/>
          <w:color w:val="000000"/>
          <w:szCs w:val="20"/>
          <w:u w:val="single"/>
        </w:rPr>
        <w:t xml:space="preserve"> </w:t>
      </w:r>
    </w:p>
    <w:p w:rsidR="00C85043" w:rsidRPr="00B06355" w:rsidRDefault="00C85043" w:rsidP="00C85043">
      <w:pPr>
        <w:autoSpaceDE w:val="0"/>
        <w:autoSpaceDN w:val="0"/>
        <w:adjustRightInd w:val="0"/>
        <w:rPr>
          <w:rFonts w:eastAsia="Calibri" w:cs="Arial"/>
          <w:color w:val="000000"/>
          <w:szCs w:val="20"/>
        </w:rPr>
      </w:pPr>
    </w:p>
    <w:p w:rsidR="00C85043" w:rsidRPr="00FC499E" w:rsidRDefault="00C85043" w:rsidP="00BF61DC">
      <w:pPr>
        <w:pStyle w:val="ListParagraph"/>
        <w:numPr>
          <w:ilvl w:val="0"/>
          <w:numId w:val="121"/>
        </w:numPr>
        <w:autoSpaceDE w:val="0"/>
        <w:autoSpaceDN w:val="0"/>
        <w:adjustRightInd w:val="0"/>
        <w:spacing w:after="120"/>
        <w:ind w:left="714" w:hanging="357"/>
        <w:rPr>
          <w:bCs/>
          <w:lang w:val="ru-RU"/>
        </w:rPr>
      </w:pPr>
      <w:r w:rsidRPr="00FC499E">
        <w:rPr>
          <w:bCs/>
          <w:lang w:val="ru-RU"/>
        </w:rPr>
        <w:t xml:space="preserve">заключение контракта с инженером по отоплению, вентиляции и кондиционированию воздуха </w:t>
      </w:r>
    </w:p>
    <w:p w:rsidR="00C85043" w:rsidRPr="00D9720E" w:rsidRDefault="00C85043" w:rsidP="00BF61DC">
      <w:pPr>
        <w:pStyle w:val="ListParagraph"/>
        <w:numPr>
          <w:ilvl w:val="0"/>
          <w:numId w:val="121"/>
        </w:numPr>
        <w:autoSpaceDE w:val="0"/>
        <w:autoSpaceDN w:val="0"/>
        <w:adjustRightInd w:val="0"/>
        <w:spacing w:after="120"/>
        <w:ind w:left="714" w:hanging="357"/>
        <w:rPr>
          <w:bCs/>
          <w:lang w:val="ru-RU"/>
        </w:rPr>
      </w:pPr>
      <w:r w:rsidRPr="00116129">
        <w:rPr>
          <w:bCs/>
          <w:lang w:val="ru-RU"/>
        </w:rPr>
        <w:t>эксперт</w:t>
      </w:r>
      <w:r>
        <w:rPr>
          <w:bCs/>
          <w:lang w:val="ru-RU"/>
        </w:rPr>
        <w:t>иза проекта</w:t>
      </w:r>
      <w:r w:rsidRPr="00D9720E">
        <w:rPr>
          <w:bCs/>
          <w:lang w:val="ru-RU"/>
        </w:rPr>
        <w:t xml:space="preserve"> совместно с инженером по отоплению, вентиляции и кондиционированию воздуха </w:t>
      </w:r>
    </w:p>
    <w:p w:rsidR="00C85043" w:rsidRPr="00D9720E" w:rsidRDefault="00C85043" w:rsidP="00BF61DC">
      <w:pPr>
        <w:pStyle w:val="ListParagraph"/>
        <w:numPr>
          <w:ilvl w:val="0"/>
          <w:numId w:val="121"/>
        </w:numPr>
        <w:autoSpaceDE w:val="0"/>
        <w:autoSpaceDN w:val="0"/>
        <w:adjustRightInd w:val="0"/>
        <w:spacing w:after="120"/>
        <w:ind w:left="714" w:hanging="357"/>
        <w:rPr>
          <w:bCs/>
          <w:lang w:val="ru-RU"/>
        </w:rPr>
      </w:pPr>
      <w:r w:rsidRPr="00D9720E">
        <w:rPr>
          <w:bCs/>
          <w:lang w:val="ru-RU"/>
        </w:rPr>
        <w:t xml:space="preserve">прокладка труб в здании компанией </w:t>
      </w:r>
      <w:r w:rsidRPr="00D9720E">
        <w:rPr>
          <w:bCs/>
        </w:rPr>
        <w:t>SIG</w:t>
      </w:r>
      <w:r w:rsidRPr="00D9720E">
        <w:rPr>
          <w:bCs/>
          <w:lang w:val="ru-RU"/>
        </w:rPr>
        <w:t xml:space="preserve"> </w:t>
      </w:r>
    </w:p>
    <w:p w:rsidR="00C85043" w:rsidRPr="00116129" w:rsidRDefault="00C85043" w:rsidP="00BF61DC">
      <w:pPr>
        <w:pStyle w:val="ListParagraph"/>
        <w:numPr>
          <w:ilvl w:val="0"/>
          <w:numId w:val="112"/>
        </w:numPr>
        <w:tabs>
          <w:tab w:val="left" w:pos="567"/>
        </w:tabs>
        <w:ind w:left="0" w:firstLine="0"/>
        <w:jc w:val="both"/>
        <w:rPr>
          <w:rFonts w:eastAsia="Calibri" w:cs="Arial"/>
          <w:color w:val="000000"/>
          <w:lang w:val="ru-RU"/>
        </w:rPr>
      </w:pPr>
      <w:r>
        <w:rPr>
          <w:lang w:val="ru-RU"/>
        </w:rPr>
        <w:t xml:space="preserve">В </w:t>
      </w:r>
      <w:r w:rsidRPr="00116129">
        <w:rPr>
          <w:rFonts w:eastAsia="Calibri" w:cs="Arial"/>
          <w:color w:val="000000"/>
          <w:lang w:val="ru-RU"/>
        </w:rPr>
        <w:t>2015</w:t>
      </w:r>
      <w:r>
        <w:rPr>
          <w:rFonts w:eastAsia="Calibri" w:cs="Arial"/>
          <w:color w:val="000000"/>
          <w:lang w:val="ru-RU"/>
        </w:rPr>
        <w:t xml:space="preserve"> г. </w:t>
      </w:r>
      <w:r w:rsidRPr="00116129">
        <w:rPr>
          <w:rFonts w:eastAsia="Calibri" w:cs="Arial"/>
          <w:color w:val="000000"/>
          <w:lang w:val="ru-RU"/>
        </w:rPr>
        <w:t>в отношении здани</w:t>
      </w:r>
      <w:r>
        <w:rPr>
          <w:rFonts w:eastAsia="Calibri" w:cs="Arial"/>
          <w:color w:val="000000"/>
          <w:lang w:val="ru-RU"/>
        </w:rPr>
        <w:t>я</w:t>
      </w:r>
      <w:r w:rsidRPr="00116129">
        <w:rPr>
          <w:rFonts w:eastAsia="Calibri" w:cs="Arial"/>
          <w:color w:val="000000"/>
          <w:lang w:val="ru-RU"/>
        </w:rPr>
        <w:t xml:space="preserve"> </w:t>
      </w:r>
      <w:r>
        <w:rPr>
          <w:rFonts w:eastAsia="Calibri" w:cs="Arial"/>
          <w:color w:val="000000"/>
        </w:rPr>
        <w:t>PCT</w:t>
      </w:r>
      <w:r>
        <w:rPr>
          <w:rFonts w:eastAsia="Calibri" w:cs="Arial"/>
          <w:color w:val="000000"/>
          <w:lang w:val="ru-RU"/>
        </w:rPr>
        <w:t xml:space="preserve"> были достигнуты </w:t>
      </w:r>
      <w:r w:rsidRPr="00116129">
        <w:rPr>
          <w:rFonts w:eastAsia="Calibri" w:cs="Arial"/>
          <w:color w:val="000000"/>
          <w:lang w:val="ru-RU"/>
        </w:rPr>
        <w:t>следующ</w:t>
      </w:r>
      <w:r>
        <w:rPr>
          <w:rFonts w:eastAsia="Calibri" w:cs="Arial"/>
          <w:color w:val="000000"/>
          <w:lang w:val="ru-RU"/>
        </w:rPr>
        <w:t xml:space="preserve">ие </w:t>
      </w:r>
      <w:r w:rsidRPr="00116129">
        <w:rPr>
          <w:rFonts w:eastAsia="Calibri" w:cs="Arial"/>
          <w:color w:val="000000"/>
          <w:lang w:val="ru-RU"/>
        </w:rPr>
        <w:t>результат</w:t>
      </w:r>
      <w:r>
        <w:rPr>
          <w:rFonts w:eastAsia="Calibri" w:cs="Arial"/>
          <w:color w:val="000000"/>
          <w:lang w:val="ru-RU"/>
        </w:rPr>
        <w:t>ы</w:t>
      </w:r>
      <w:r w:rsidRPr="00116129">
        <w:rPr>
          <w:rFonts w:eastAsia="Calibri" w:cs="Arial"/>
          <w:color w:val="000000"/>
          <w:lang w:val="ru-RU"/>
        </w:rPr>
        <w:t xml:space="preserve">: </w:t>
      </w:r>
    </w:p>
    <w:p w:rsidR="00C85043" w:rsidRPr="00116129" w:rsidRDefault="00C85043" w:rsidP="00C85043">
      <w:pPr>
        <w:autoSpaceDE w:val="0"/>
        <w:autoSpaceDN w:val="0"/>
        <w:adjustRightInd w:val="0"/>
        <w:rPr>
          <w:rFonts w:eastAsia="Calibri" w:cs="Arial"/>
          <w:color w:val="000000"/>
          <w:lang w:val="ru-RU"/>
        </w:rPr>
      </w:pPr>
    </w:p>
    <w:p w:rsidR="00C85043" w:rsidRPr="00FC499E" w:rsidRDefault="00C85043" w:rsidP="00BF61DC">
      <w:pPr>
        <w:pStyle w:val="ListParagraph"/>
        <w:numPr>
          <w:ilvl w:val="0"/>
          <w:numId w:val="121"/>
        </w:numPr>
        <w:autoSpaceDE w:val="0"/>
        <w:autoSpaceDN w:val="0"/>
        <w:adjustRightInd w:val="0"/>
        <w:spacing w:after="120"/>
        <w:ind w:left="714" w:hanging="357"/>
        <w:rPr>
          <w:bCs/>
          <w:lang w:val="ru-RU"/>
        </w:rPr>
      </w:pPr>
      <w:r w:rsidRPr="00FC499E">
        <w:rPr>
          <w:bCs/>
          <w:lang w:val="ru-RU"/>
        </w:rPr>
        <w:t>Приглашение фирм</w:t>
      </w:r>
      <w:r>
        <w:rPr>
          <w:bCs/>
          <w:lang w:val="ru-RU"/>
        </w:rPr>
        <w:t xml:space="preserve"> </w:t>
      </w:r>
      <w:r w:rsidRPr="00FC499E">
        <w:rPr>
          <w:bCs/>
          <w:lang w:val="ru-RU"/>
        </w:rPr>
        <w:t>к участию в конкурсе и выбор фирм</w:t>
      </w:r>
      <w:r>
        <w:rPr>
          <w:bCs/>
          <w:lang w:val="ru-RU"/>
        </w:rPr>
        <w:t xml:space="preserve"> </w:t>
      </w:r>
    </w:p>
    <w:p w:rsidR="00C85043" w:rsidRDefault="00C85043" w:rsidP="00BF61DC">
      <w:pPr>
        <w:pStyle w:val="ListParagraph"/>
        <w:numPr>
          <w:ilvl w:val="0"/>
          <w:numId w:val="121"/>
        </w:numPr>
        <w:autoSpaceDE w:val="0"/>
        <w:autoSpaceDN w:val="0"/>
        <w:adjustRightInd w:val="0"/>
        <w:spacing w:after="120"/>
        <w:ind w:left="714" w:hanging="357"/>
        <w:rPr>
          <w:bCs/>
        </w:rPr>
      </w:pPr>
      <w:r w:rsidRPr="00E9446C">
        <w:rPr>
          <w:bCs/>
        </w:rPr>
        <w:t>Выполнени</w:t>
      </w:r>
      <w:r>
        <w:rPr>
          <w:bCs/>
          <w:lang w:val="ru-RU"/>
        </w:rPr>
        <w:t>е</w:t>
      </w:r>
      <w:r>
        <w:rPr>
          <w:bCs/>
        </w:rPr>
        <w:t xml:space="preserve"> работ</w:t>
      </w:r>
    </w:p>
    <w:p w:rsidR="00C85043" w:rsidRPr="00811367" w:rsidRDefault="00C85043" w:rsidP="00C85043">
      <w:pPr>
        <w:rPr>
          <w:bCs/>
          <w:sz w:val="18"/>
        </w:rPr>
      </w:pPr>
    </w:p>
    <w:p w:rsidR="00C85043" w:rsidRPr="00811367" w:rsidRDefault="00C85043" w:rsidP="00C85043">
      <w:pPr>
        <w:rPr>
          <w:bCs/>
          <w:sz w:val="18"/>
        </w:rPr>
      </w:pPr>
    </w:p>
    <w:p w:rsidR="00C85043" w:rsidRPr="00811367" w:rsidRDefault="00C85043" w:rsidP="00C85043">
      <w:pPr>
        <w:rPr>
          <w:bCs/>
          <w:szCs w:val="22"/>
        </w:rPr>
      </w:pPr>
      <w:r>
        <w:rPr>
          <w:bCs/>
          <w:szCs w:val="22"/>
        </w:rPr>
        <w:t>РЕАЛИЗАЦИЯ ПОЛОЖИТЕЛЬНЫХ РЕЗУЛЬТАТОВ</w:t>
      </w:r>
    </w:p>
    <w:p w:rsidR="00C85043" w:rsidRPr="00E32074" w:rsidRDefault="00C85043" w:rsidP="00C85043">
      <w:pPr>
        <w:rPr>
          <w:szCs w:val="20"/>
        </w:rPr>
      </w:pPr>
    </w:p>
    <w:tbl>
      <w:tblPr>
        <w:tblW w:w="474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3022"/>
        <w:gridCol w:w="3499"/>
      </w:tblGrid>
      <w:tr w:rsidR="00C85043" w:rsidRPr="005C6ABD" w:rsidTr="00C85043">
        <w:trPr>
          <w:trHeight w:val="314"/>
          <w:tblHeader/>
        </w:trPr>
        <w:tc>
          <w:tcPr>
            <w:tcW w:w="1406" w:type="pct"/>
            <w:tcBorders>
              <w:bottom w:val="single" w:sz="4" w:space="0" w:color="auto"/>
            </w:tcBorders>
            <w:shd w:val="clear" w:color="auto" w:fill="C6D9F1"/>
            <w:tcMar>
              <w:top w:w="113" w:type="dxa"/>
              <w:bottom w:w="113" w:type="dxa"/>
            </w:tcMar>
            <w:vAlign w:val="center"/>
          </w:tcPr>
          <w:p w:rsidR="00C85043" w:rsidRPr="00D9720E" w:rsidRDefault="00C85043" w:rsidP="00C85043">
            <w:pPr>
              <w:jc w:val="center"/>
              <w:rPr>
                <w:b/>
                <w:bCs/>
                <w:sz w:val="16"/>
                <w:szCs w:val="16"/>
                <w:lang w:val="ru-RU"/>
              </w:rPr>
            </w:pPr>
            <w:r w:rsidRPr="00D9720E">
              <w:rPr>
                <w:b/>
                <w:bCs/>
                <w:sz w:val="16"/>
                <w:szCs w:val="16"/>
                <w:lang w:val="ru-RU"/>
              </w:rPr>
              <w:t xml:space="preserve">Положительные результаты, полученные в </w:t>
            </w:r>
            <w:r>
              <w:rPr>
                <w:b/>
                <w:bCs/>
                <w:sz w:val="16"/>
                <w:szCs w:val="16"/>
                <w:lang w:val="ru-RU"/>
              </w:rPr>
              <w:t>2014 г.</w:t>
            </w:r>
          </w:p>
        </w:tc>
        <w:tc>
          <w:tcPr>
            <w:tcW w:w="1665" w:type="pct"/>
            <w:tcBorders>
              <w:bottom w:val="single" w:sz="4" w:space="0" w:color="auto"/>
            </w:tcBorders>
            <w:shd w:val="clear" w:color="auto" w:fill="C6D9F1"/>
            <w:vAlign w:val="center"/>
          </w:tcPr>
          <w:p w:rsidR="00C85043" w:rsidRPr="00D9720E" w:rsidRDefault="00C85043" w:rsidP="00C85043">
            <w:pPr>
              <w:jc w:val="center"/>
              <w:rPr>
                <w:b/>
                <w:bCs/>
                <w:sz w:val="16"/>
                <w:szCs w:val="16"/>
                <w:lang w:val="ru-RU"/>
              </w:rPr>
            </w:pPr>
            <w:r w:rsidRPr="00D9720E">
              <w:rPr>
                <w:b/>
                <w:bCs/>
                <w:color w:val="000000"/>
                <w:sz w:val="16"/>
                <w:szCs w:val="16"/>
                <w:lang w:val="ru-RU"/>
              </w:rPr>
              <w:t>Положительные результаты, полученные в 2015 г.</w:t>
            </w:r>
          </w:p>
        </w:tc>
        <w:tc>
          <w:tcPr>
            <w:tcW w:w="1928" w:type="pct"/>
            <w:tcBorders>
              <w:bottom w:val="single" w:sz="4" w:space="0" w:color="auto"/>
            </w:tcBorders>
            <w:shd w:val="clear" w:color="auto" w:fill="C6D9F1"/>
            <w:vAlign w:val="center"/>
          </w:tcPr>
          <w:p w:rsidR="00C85043" w:rsidRPr="00D9720E" w:rsidRDefault="00C85043" w:rsidP="00C85043">
            <w:pPr>
              <w:jc w:val="center"/>
              <w:rPr>
                <w:b/>
                <w:bCs/>
                <w:color w:val="000000"/>
                <w:sz w:val="16"/>
                <w:szCs w:val="16"/>
                <w:lang w:val="ru-RU"/>
              </w:rPr>
            </w:pPr>
            <w:r w:rsidRPr="00D9720E">
              <w:rPr>
                <w:b/>
                <w:bCs/>
                <w:color w:val="000000"/>
                <w:sz w:val="16"/>
                <w:szCs w:val="16"/>
                <w:lang w:val="ru-RU"/>
              </w:rPr>
              <w:t xml:space="preserve">Положительные результаты, ожидаемые в 2016 г. </w:t>
            </w:r>
          </w:p>
        </w:tc>
      </w:tr>
      <w:tr w:rsidR="00C85043" w:rsidRPr="005C6ABD" w:rsidTr="00C85043">
        <w:trPr>
          <w:trHeight w:val="564"/>
        </w:trPr>
        <w:tc>
          <w:tcPr>
            <w:tcW w:w="1406" w:type="pct"/>
            <w:tcBorders>
              <w:top w:val="single" w:sz="4" w:space="0" w:color="auto"/>
              <w:bottom w:val="single" w:sz="4" w:space="0" w:color="auto"/>
            </w:tcBorders>
            <w:shd w:val="clear" w:color="auto" w:fill="auto"/>
            <w:tcMar>
              <w:top w:w="113" w:type="dxa"/>
              <w:bottom w:w="113" w:type="dxa"/>
            </w:tcMar>
          </w:tcPr>
          <w:p w:rsidR="00C85043" w:rsidRPr="000A1FE3" w:rsidRDefault="00C85043" w:rsidP="00C85043">
            <w:pPr>
              <w:rPr>
                <w:bCs/>
                <w:sz w:val="16"/>
                <w:szCs w:val="16"/>
                <w:lang w:val="ru-RU"/>
              </w:rPr>
            </w:pPr>
            <w:r>
              <w:rPr>
                <w:bCs/>
                <w:sz w:val="16"/>
                <w:szCs w:val="16"/>
                <w:lang w:val="ru-RU"/>
              </w:rPr>
              <w:t xml:space="preserve">Сдача </w:t>
            </w:r>
            <w:r w:rsidRPr="009044EE">
              <w:rPr>
                <w:bCs/>
                <w:sz w:val="16"/>
                <w:szCs w:val="16"/>
                <w:lang w:val="ru-RU"/>
              </w:rPr>
              <w:t xml:space="preserve">в эксплуатацию </w:t>
            </w:r>
            <w:r>
              <w:rPr>
                <w:bCs/>
                <w:sz w:val="16"/>
                <w:szCs w:val="16"/>
                <w:lang w:val="ru-RU"/>
              </w:rPr>
              <w:t>системы</w:t>
            </w:r>
            <w:r w:rsidRPr="009044EE">
              <w:rPr>
                <w:bCs/>
                <w:sz w:val="16"/>
                <w:szCs w:val="16"/>
                <w:lang w:val="ru-RU"/>
              </w:rPr>
              <w:t xml:space="preserve"> охлаждения </w:t>
            </w:r>
            <w:r>
              <w:rPr>
                <w:bCs/>
                <w:sz w:val="16"/>
                <w:szCs w:val="16"/>
                <w:lang w:val="ru-RU"/>
              </w:rPr>
              <w:t>здания</w:t>
            </w:r>
            <w:r w:rsidRPr="009044EE">
              <w:rPr>
                <w:bCs/>
                <w:sz w:val="16"/>
                <w:szCs w:val="16"/>
                <w:lang w:val="ru-RU"/>
              </w:rPr>
              <w:t xml:space="preserve"> АВ 13 августа </w:t>
            </w:r>
            <w:r>
              <w:rPr>
                <w:bCs/>
                <w:sz w:val="16"/>
                <w:szCs w:val="16"/>
                <w:lang w:val="ru-RU"/>
              </w:rPr>
              <w:t>2014 г.</w:t>
            </w:r>
            <w:r w:rsidRPr="009044EE">
              <w:rPr>
                <w:bCs/>
                <w:sz w:val="16"/>
                <w:szCs w:val="16"/>
                <w:lang w:val="ru-RU"/>
              </w:rPr>
              <w:t>, частичное сокращение потребления электроэнергии</w:t>
            </w:r>
            <w:r>
              <w:rPr>
                <w:bCs/>
                <w:sz w:val="16"/>
                <w:szCs w:val="16"/>
                <w:lang w:val="ru-RU"/>
              </w:rPr>
              <w:t>.</w:t>
            </w:r>
          </w:p>
        </w:tc>
        <w:tc>
          <w:tcPr>
            <w:tcW w:w="1665" w:type="pct"/>
            <w:tcBorders>
              <w:top w:val="single" w:sz="4" w:space="0" w:color="auto"/>
              <w:bottom w:val="single" w:sz="4" w:space="0" w:color="auto"/>
            </w:tcBorders>
          </w:tcPr>
          <w:p w:rsidR="00C85043" w:rsidRPr="000A1FE3" w:rsidRDefault="00C85043" w:rsidP="00C85043">
            <w:pPr>
              <w:rPr>
                <w:bCs/>
                <w:sz w:val="16"/>
                <w:szCs w:val="16"/>
                <w:lang w:val="ru-RU"/>
              </w:rPr>
            </w:pPr>
            <w:r w:rsidRPr="009044EE">
              <w:rPr>
                <w:bCs/>
                <w:sz w:val="16"/>
                <w:szCs w:val="16"/>
                <w:lang w:val="ru-RU"/>
              </w:rPr>
              <w:t>Сокращение потребления электроэнергии и уменьшение воздействия на окружающую среду</w:t>
            </w:r>
            <w:r>
              <w:rPr>
                <w:bCs/>
                <w:sz w:val="16"/>
                <w:szCs w:val="16"/>
                <w:lang w:val="ru-RU"/>
              </w:rPr>
              <w:t xml:space="preserve">, связанного </w:t>
            </w:r>
            <w:r w:rsidRPr="009044EE">
              <w:rPr>
                <w:bCs/>
                <w:sz w:val="16"/>
                <w:szCs w:val="16"/>
                <w:lang w:val="ru-RU"/>
              </w:rPr>
              <w:t>с использованием электроэнергии для охлаждения в здании АВ</w:t>
            </w:r>
            <w:r>
              <w:rPr>
                <w:bCs/>
                <w:sz w:val="16"/>
                <w:szCs w:val="16"/>
                <w:lang w:val="ru-RU"/>
              </w:rPr>
              <w:t>.</w:t>
            </w:r>
          </w:p>
        </w:tc>
        <w:tc>
          <w:tcPr>
            <w:tcW w:w="1928" w:type="pct"/>
            <w:tcBorders>
              <w:bottom w:val="single" w:sz="4" w:space="0" w:color="auto"/>
              <w:tr2bl w:val="nil"/>
            </w:tcBorders>
          </w:tcPr>
          <w:p w:rsidR="00C85043" w:rsidRPr="000A1FE3" w:rsidRDefault="00C85043" w:rsidP="00C85043">
            <w:pPr>
              <w:rPr>
                <w:bCs/>
                <w:iCs/>
                <w:sz w:val="16"/>
                <w:szCs w:val="16"/>
                <w:lang w:val="ru-RU"/>
              </w:rPr>
            </w:pPr>
            <w:r w:rsidRPr="009044EE">
              <w:rPr>
                <w:bCs/>
                <w:sz w:val="16"/>
                <w:szCs w:val="16"/>
                <w:lang w:val="ru-RU"/>
              </w:rPr>
              <w:t>Сокращение потребления электроэнергии и уменьшение воздействия на окружающую среду</w:t>
            </w:r>
            <w:r>
              <w:rPr>
                <w:bCs/>
                <w:sz w:val="16"/>
                <w:szCs w:val="16"/>
                <w:lang w:val="ru-RU"/>
              </w:rPr>
              <w:t xml:space="preserve">, связанного </w:t>
            </w:r>
            <w:r w:rsidRPr="009044EE">
              <w:rPr>
                <w:bCs/>
                <w:sz w:val="16"/>
                <w:szCs w:val="16"/>
                <w:lang w:val="ru-RU"/>
              </w:rPr>
              <w:t xml:space="preserve">с использованием электроэнергии для охлаждения в здании </w:t>
            </w:r>
            <w:r w:rsidRPr="00231B4C">
              <w:rPr>
                <w:bCs/>
                <w:iCs/>
                <w:sz w:val="16"/>
                <w:szCs w:val="16"/>
              </w:rPr>
              <w:t>PCT</w:t>
            </w:r>
            <w:r>
              <w:rPr>
                <w:bCs/>
                <w:iCs/>
                <w:sz w:val="16"/>
                <w:szCs w:val="16"/>
                <w:lang w:val="ru-RU"/>
              </w:rPr>
              <w:t>.</w:t>
            </w:r>
          </w:p>
        </w:tc>
      </w:tr>
      <w:tr w:rsidR="00C85043" w:rsidRPr="005C6ABD" w:rsidTr="00C85043">
        <w:trPr>
          <w:trHeight w:val="516"/>
        </w:trPr>
        <w:tc>
          <w:tcPr>
            <w:tcW w:w="1406" w:type="pct"/>
            <w:tcBorders>
              <w:top w:val="single" w:sz="4" w:space="0" w:color="auto"/>
              <w:bottom w:val="single" w:sz="4" w:space="0" w:color="auto"/>
            </w:tcBorders>
            <w:shd w:val="clear" w:color="auto" w:fill="auto"/>
            <w:tcMar>
              <w:top w:w="113" w:type="dxa"/>
              <w:bottom w:w="113" w:type="dxa"/>
            </w:tcMar>
          </w:tcPr>
          <w:p w:rsidR="00C85043" w:rsidRPr="000A1FE3" w:rsidRDefault="00C85043" w:rsidP="00C85043">
            <w:pPr>
              <w:rPr>
                <w:bCs/>
                <w:sz w:val="16"/>
                <w:szCs w:val="16"/>
                <w:lang w:val="ru-RU"/>
              </w:rPr>
            </w:pPr>
          </w:p>
        </w:tc>
        <w:tc>
          <w:tcPr>
            <w:tcW w:w="1665" w:type="pct"/>
            <w:tcBorders>
              <w:top w:val="single" w:sz="4" w:space="0" w:color="auto"/>
              <w:bottom w:val="single" w:sz="4" w:space="0" w:color="auto"/>
            </w:tcBorders>
          </w:tcPr>
          <w:p w:rsidR="00C85043" w:rsidRPr="000A1FE3" w:rsidRDefault="00C85043" w:rsidP="00C85043">
            <w:pPr>
              <w:rPr>
                <w:bCs/>
                <w:sz w:val="16"/>
                <w:szCs w:val="16"/>
                <w:lang w:val="ru-RU"/>
              </w:rPr>
            </w:pPr>
            <w:r w:rsidRPr="009044EE">
              <w:rPr>
                <w:bCs/>
                <w:sz w:val="16"/>
                <w:szCs w:val="16"/>
                <w:lang w:val="ru-RU"/>
              </w:rPr>
              <w:t>Сокращение расходов на внеплановое техническое обслуживание системы охлаждения в здании АВ</w:t>
            </w:r>
            <w:r>
              <w:rPr>
                <w:bCs/>
                <w:sz w:val="16"/>
                <w:szCs w:val="16"/>
                <w:lang w:val="ru-RU"/>
              </w:rPr>
              <w:t>.</w:t>
            </w:r>
          </w:p>
        </w:tc>
        <w:tc>
          <w:tcPr>
            <w:tcW w:w="1928" w:type="pct"/>
            <w:tcBorders>
              <w:tr2bl w:val="nil"/>
            </w:tcBorders>
          </w:tcPr>
          <w:p w:rsidR="00C85043" w:rsidRPr="000A1FE3" w:rsidRDefault="00C85043" w:rsidP="00C85043">
            <w:pPr>
              <w:rPr>
                <w:bCs/>
                <w:iCs/>
                <w:sz w:val="16"/>
                <w:szCs w:val="16"/>
                <w:lang w:val="ru-RU"/>
              </w:rPr>
            </w:pPr>
            <w:r w:rsidRPr="009044EE">
              <w:rPr>
                <w:bCs/>
                <w:iCs/>
                <w:sz w:val="16"/>
                <w:szCs w:val="16"/>
                <w:lang w:val="ru-RU"/>
              </w:rPr>
              <w:t>Сокращение расходов на внеплановое техническое обслуживание системы охлаждения в здании РСТ</w:t>
            </w:r>
            <w:r>
              <w:rPr>
                <w:bCs/>
                <w:iCs/>
                <w:sz w:val="16"/>
                <w:szCs w:val="16"/>
                <w:lang w:val="ru-RU"/>
              </w:rPr>
              <w:t>.</w:t>
            </w:r>
          </w:p>
        </w:tc>
      </w:tr>
      <w:tr w:rsidR="00C85043" w:rsidRPr="005C6ABD" w:rsidTr="00C85043">
        <w:trPr>
          <w:trHeight w:val="414"/>
        </w:trPr>
        <w:tc>
          <w:tcPr>
            <w:tcW w:w="1406" w:type="pct"/>
            <w:tcBorders>
              <w:top w:val="single" w:sz="4" w:space="0" w:color="auto"/>
              <w:bottom w:val="single" w:sz="4" w:space="0" w:color="auto"/>
            </w:tcBorders>
            <w:shd w:val="clear" w:color="auto" w:fill="auto"/>
            <w:tcMar>
              <w:top w:w="113" w:type="dxa"/>
              <w:bottom w:w="113" w:type="dxa"/>
            </w:tcMar>
          </w:tcPr>
          <w:p w:rsidR="00C85043" w:rsidRPr="000A1FE3" w:rsidRDefault="00C85043" w:rsidP="00C85043">
            <w:pPr>
              <w:rPr>
                <w:b/>
                <w:bCs/>
                <w:sz w:val="16"/>
                <w:szCs w:val="16"/>
                <w:u w:val="single"/>
                <w:lang w:val="ru-RU"/>
              </w:rPr>
            </w:pPr>
          </w:p>
        </w:tc>
        <w:tc>
          <w:tcPr>
            <w:tcW w:w="1665" w:type="pct"/>
            <w:tcBorders>
              <w:top w:val="single" w:sz="4" w:space="0" w:color="auto"/>
              <w:bottom w:val="single" w:sz="4" w:space="0" w:color="auto"/>
            </w:tcBorders>
          </w:tcPr>
          <w:p w:rsidR="00C85043" w:rsidRPr="00C97F18" w:rsidRDefault="00C85043" w:rsidP="00C85043">
            <w:pPr>
              <w:rPr>
                <w:bCs/>
                <w:sz w:val="16"/>
                <w:szCs w:val="16"/>
                <w:lang w:val="ru-RU"/>
              </w:rPr>
            </w:pPr>
            <w:r w:rsidRPr="009044EE">
              <w:rPr>
                <w:bCs/>
                <w:sz w:val="16"/>
                <w:szCs w:val="16"/>
                <w:lang w:val="ru-RU"/>
              </w:rPr>
              <w:t>Увеличение срока службы системы охлаждения в здании АВ</w:t>
            </w:r>
            <w:r>
              <w:rPr>
                <w:bCs/>
                <w:sz w:val="16"/>
                <w:szCs w:val="16"/>
                <w:lang w:val="ru-RU"/>
              </w:rPr>
              <w:t>.</w:t>
            </w:r>
          </w:p>
        </w:tc>
        <w:tc>
          <w:tcPr>
            <w:tcW w:w="1928" w:type="pct"/>
          </w:tcPr>
          <w:p w:rsidR="00C85043" w:rsidRPr="00C97F18" w:rsidRDefault="00C85043" w:rsidP="00C85043">
            <w:pPr>
              <w:rPr>
                <w:bCs/>
                <w:iCs/>
                <w:sz w:val="16"/>
                <w:szCs w:val="16"/>
                <w:lang w:val="ru-RU"/>
              </w:rPr>
            </w:pPr>
            <w:r w:rsidRPr="009044EE">
              <w:rPr>
                <w:bCs/>
                <w:iCs/>
                <w:sz w:val="16"/>
                <w:szCs w:val="16"/>
                <w:lang w:val="ru-RU"/>
              </w:rPr>
              <w:t>Увеличение срока службы системы охлаждения в здании РСТ</w:t>
            </w:r>
            <w:r>
              <w:rPr>
                <w:bCs/>
                <w:iCs/>
                <w:sz w:val="16"/>
                <w:szCs w:val="16"/>
                <w:lang w:val="ru-RU"/>
              </w:rPr>
              <w:t>.</w:t>
            </w:r>
          </w:p>
        </w:tc>
      </w:tr>
      <w:tr w:rsidR="00C85043" w:rsidRPr="005C6ABD" w:rsidTr="00C85043">
        <w:trPr>
          <w:trHeight w:val="564"/>
        </w:trPr>
        <w:tc>
          <w:tcPr>
            <w:tcW w:w="1406" w:type="pct"/>
            <w:tcBorders>
              <w:top w:val="single" w:sz="4" w:space="0" w:color="auto"/>
              <w:bottom w:val="single" w:sz="4" w:space="0" w:color="auto"/>
            </w:tcBorders>
            <w:shd w:val="clear" w:color="auto" w:fill="auto"/>
            <w:tcMar>
              <w:top w:w="113" w:type="dxa"/>
              <w:bottom w:w="113" w:type="dxa"/>
            </w:tcMar>
          </w:tcPr>
          <w:p w:rsidR="00C85043" w:rsidRPr="000A1FE3" w:rsidRDefault="00C85043" w:rsidP="00C85043">
            <w:pPr>
              <w:rPr>
                <w:b/>
                <w:bCs/>
                <w:sz w:val="16"/>
                <w:szCs w:val="16"/>
                <w:u w:val="single"/>
                <w:lang w:val="ru-RU"/>
              </w:rPr>
            </w:pPr>
          </w:p>
        </w:tc>
        <w:tc>
          <w:tcPr>
            <w:tcW w:w="1665" w:type="pct"/>
            <w:tcBorders>
              <w:top w:val="single" w:sz="4" w:space="0" w:color="auto"/>
              <w:bottom w:val="single" w:sz="4" w:space="0" w:color="auto"/>
            </w:tcBorders>
          </w:tcPr>
          <w:p w:rsidR="00C85043" w:rsidRPr="00AB735C" w:rsidRDefault="00C85043" w:rsidP="00C85043">
            <w:pPr>
              <w:rPr>
                <w:bCs/>
                <w:sz w:val="16"/>
                <w:szCs w:val="16"/>
                <w:lang w:val="ru-RU"/>
              </w:rPr>
            </w:pPr>
            <w:r w:rsidRPr="002B0941">
              <w:rPr>
                <w:bCs/>
                <w:sz w:val="16"/>
                <w:szCs w:val="16"/>
                <w:lang w:val="ru-RU"/>
              </w:rPr>
              <w:t>Реализаци</w:t>
            </w:r>
            <w:r>
              <w:rPr>
                <w:bCs/>
                <w:sz w:val="16"/>
                <w:szCs w:val="16"/>
                <w:lang w:val="ru-RU"/>
              </w:rPr>
              <w:t xml:space="preserve">я и </w:t>
            </w:r>
            <w:r w:rsidRPr="002B0941">
              <w:rPr>
                <w:bCs/>
                <w:sz w:val="16"/>
                <w:szCs w:val="16"/>
                <w:lang w:val="ru-RU"/>
              </w:rPr>
              <w:t>техническ</w:t>
            </w:r>
            <w:r>
              <w:rPr>
                <w:bCs/>
                <w:sz w:val="16"/>
                <w:szCs w:val="16"/>
                <w:lang w:val="ru-RU"/>
              </w:rPr>
              <w:t xml:space="preserve">ое </w:t>
            </w:r>
            <w:r w:rsidRPr="002B0941">
              <w:rPr>
                <w:bCs/>
                <w:sz w:val="16"/>
                <w:szCs w:val="16"/>
                <w:lang w:val="ru-RU"/>
              </w:rPr>
              <w:t>обслуживани</w:t>
            </w:r>
            <w:r>
              <w:rPr>
                <w:bCs/>
                <w:sz w:val="16"/>
                <w:szCs w:val="16"/>
                <w:lang w:val="ru-RU"/>
              </w:rPr>
              <w:t xml:space="preserve">е </w:t>
            </w:r>
            <w:r w:rsidRPr="00AB735C">
              <w:rPr>
                <w:bCs/>
                <w:sz w:val="16"/>
                <w:szCs w:val="16"/>
                <w:lang w:val="ru-RU"/>
              </w:rPr>
              <w:t xml:space="preserve">более </w:t>
            </w:r>
            <w:r>
              <w:rPr>
                <w:bCs/>
                <w:sz w:val="16"/>
                <w:lang w:val="ru-RU"/>
              </w:rPr>
              <w:t xml:space="preserve">экологичной </w:t>
            </w:r>
            <w:r>
              <w:rPr>
                <w:bCs/>
                <w:sz w:val="16"/>
                <w:szCs w:val="16"/>
                <w:lang w:val="ru-RU"/>
              </w:rPr>
              <w:t>системы</w:t>
            </w:r>
            <w:r w:rsidRPr="00AB735C">
              <w:rPr>
                <w:bCs/>
                <w:sz w:val="16"/>
                <w:szCs w:val="16"/>
                <w:lang w:val="ru-RU"/>
              </w:rPr>
              <w:t xml:space="preserve"> охлаждения</w:t>
            </w:r>
            <w:r>
              <w:rPr>
                <w:bCs/>
                <w:sz w:val="16"/>
                <w:szCs w:val="16"/>
                <w:lang w:val="ru-RU"/>
              </w:rPr>
              <w:t xml:space="preserve"> в здании</w:t>
            </w:r>
            <w:r w:rsidRPr="00AB735C">
              <w:rPr>
                <w:bCs/>
                <w:sz w:val="16"/>
                <w:szCs w:val="16"/>
                <w:lang w:val="ru-RU"/>
              </w:rPr>
              <w:t xml:space="preserve"> </w:t>
            </w:r>
            <w:r>
              <w:rPr>
                <w:bCs/>
                <w:sz w:val="16"/>
                <w:szCs w:val="16"/>
                <w:lang w:val="ru-RU"/>
              </w:rPr>
              <w:t>АБ</w:t>
            </w:r>
            <w:r w:rsidRPr="00AB735C">
              <w:rPr>
                <w:bCs/>
                <w:sz w:val="16"/>
                <w:szCs w:val="16"/>
                <w:lang w:val="ru-RU"/>
              </w:rPr>
              <w:t>.</w:t>
            </w:r>
          </w:p>
        </w:tc>
        <w:tc>
          <w:tcPr>
            <w:tcW w:w="1928" w:type="pct"/>
          </w:tcPr>
          <w:p w:rsidR="00C85043" w:rsidRPr="00AB735C" w:rsidRDefault="00C85043" w:rsidP="00C85043">
            <w:pPr>
              <w:rPr>
                <w:bCs/>
                <w:iCs/>
                <w:sz w:val="16"/>
                <w:szCs w:val="16"/>
                <w:lang w:val="ru-RU"/>
              </w:rPr>
            </w:pPr>
            <w:r w:rsidRPr="002B0941">
              <w:rPr>
                <w:bCs/>
                <w:sz w:val="16"/>
                <w:szCs w:val="16"/>
                <w:lang w:val="ru-RU"/>
              </w:rPr>
              <w:t>Реализаци</w:t>
            </w:r>
            <w:r>
              <w:rPr>
                <w:bCs/>
                <w:sz w:val="16"/>
                <w:szCs w:val="16"/>
                <w:lang w:val="ru-RU"/>
              </w:rPr>
              <w:t xml:space="preserve">я и </w:t>
            </w:r>
            <w:r w:rsidRPr="002B0941">
              <w:rPr>
                <w:bCs/>
                <w:sz w:val="16"/>
                <w:szCs w:val="16"/>
                <w:lang w:val="ru-RU"/>
              </w:rPr>
              <w:t>техническ</w:t>
            </w:r>
            <w:r>
              <w:rPr>
                <w:bCs/>
                <w:sz w:val="16"/>
                <w:szCs w:val="16"/>
                <w:lang w:val="ru-RU"/>
              </w:rPr>
              <w:t xml:space="preserve">ое </w:t>
            </w:r>
            <w:r w:rsidRPr="002B0941">
              <w:rPr>
                <w:bCs/>
                <w:sz w:val="16"/>
                <w:szCs w:val="16"/>
                <w:lang w:val="ru-RU"/>
              </w:rPr>
              <w:t>обслуживани</w:t>
            </w:r>
            <w:r>
              <w:rPr>
                <w:bCs/>
                <w:sz w:val="16"/>
                <w:szCs w:val="16"/>
                <w:lang w:val="ru-RU"/>
              </w:rPr>
              <w:t xml:space="preserve">е </w:t>
            </w:r>
            <w:r w:rsidRPr="00AB735C">
              <w:rPr>
                <w:bCs/>
                <w:sz w:val="16"/>
                <w:szCs w:val="16"/>
                <w:lang w:val="ru-RU"/>
              </w:rPr>
              <w:t xml:space="preserve">более </w:t>
            </w:r>
            <w:r>
              <w:rPr>
                <w:bCs/>
                <w:sz w:val="16"/>
                <w:lang w:val="ru-RU"/>
              </w:rPr>
              <w:t xml:space="preserve">экологичной </w:t>
            </w:r>
            <w:r>
              <w:rPr>
                <w:bCs/>
                <w:sz w:val="16"/>
                <w:szCs w:val="16"/>
                <w:lang w:val="ru-RU"/>
              </w:rPr>
              <w:t>системы</w:t>
            </w:r>
            <w:r w:rsidRPr="00AB735C">
              <w:rPr>
                <w:bCs/>
                <w:sz w:val="16"/>
                <w:szCs w:val="16"/>
                <w:lang w:val="ru-RU"/>
              </w:rPr>
              <w:t xml:space="preserve"> охлаждения</w:t>
            </w:r>
            <w:r>
              <w:rPr>
                <w:bCs/>
                <w:sz w:val="16"/>
                <w:szCs w:val="16"/>
                <w:lang w:val="ru-RU"/>
              </w:rPr>
              <w:t xml:space="preserve"> в здании</w:t>
            </w:r>
            <w:r w:rsidRPr="00AB735C">
              <w:rPr>
                <w:bCs/>
                <w:sz w:val="16"/>
                <w:szCs w:val="16"/>
                <w:lang w:val="ru-RU"/>
              </w:rPr>
              <w:t xml:space="preserve"> </w:t>
            </w:r>
            <w:r>
              <w:rPr>
                <w:bCs/>
                <w:iCs/>
                <w:sz w:val="16"/>
                <w:szCs w:val="16"/>
              </w:rPr>
              <w:t>PCT</w:t>
            </w:r>
            <w:r w:rsidRPr="00AB735C">
              <w:rPr>
                <w:bCs/>
                <w:iCs/>
                <w:sz w:val="16"/>
                <w:szCs w:val="16"/>
                <w:lang w:val="ru-RU"/>
              </w:rPr>
              <w:t>.</w:t>
            </w:r>
          </w:p>
        </w:tc>
      </w:tr>
      <w:tr w:rsidR="00C85043" w:rsidRPr="005C6ABD" w:rsidTr="00C85043">
        <w:trPr>
          <w:trHeight w:val="564"/>
        </w:trPr>
        <w:tc>
          <w:tcPr>
            <w:tcW w:w="1406" w:type="pct"/>
            <w:tcBorders>
              <w:top w:val="single" w:sz="4" w:space="0" w:color="auto"/>
              <w:bottom w:val="single" w:sz="4" w:space="0" w:color="auto"/>
            </w:tcBorders>
            <w:shd w:val="clear" w:color="auto" w:fill="auto"/>
            <w:tcMar>
              <w:top w:w="113" w:type="dxa"/>
              <w:bottom w:w="113" w:type="dxa"/>
            </w:tcMar>
          </w:tcPr>
          <w:p w:rsidR="00C85043" w:rsidRPr="00AB735C" w:rsidRDefault="00C85043" w:rsidP="00C85043">
            <w:pPr>
              <w:rPr>
                <w:b/>
                <w:bCs/>
                <w:sz w:val="16"/>
                <w:szCs w:val="16"/>
                <w:u w:val="single"/>
                <w:lang w:val="ru-RU"/>
              </w:rPr>
            </w:pPr>
          </w:p>
        </w:tc>
        <w:tc>
          <w:tcPr>
            <w:tcW w:w="1665" w:type="pct"/>
            <w:tcBorders>
              <w:top w:val="single" w:sz="4" w:space="0" w:color="auto"/>
              <w:bottom w:val="single" w:sz="4" w:space="0" w:color="auto"/>
            </w:tcBorders>
          </w:tcPr>
          <w:p w:rsidR="00C85043" w:rsidRPr="00AB735C" w:rsidRDefault="00C85043" w:rsidP="00C85043">
            <w:pPr>
              <w:rPr>
                <w:bCs/>
                <w:sz w:val="16"/>
                <w:szCs w:val="16"/>
                <w:lang w:val="ru-RU"/>
              </w:rPr>
            </w:pPr>
            <w:r w:rsidRPr="00AB735C">
              <w:rPr>
                <w:bCs/>
                <w:sz w:val="16"/>
                <w:szCs w:val="16"/>
                <w:lang w:val="ru-RU"/>
              </w:rPr>
              <w:t xml:space="preserve">Сдача </w:t>
            </w:r>
            <w:r>
              <w:rPr>
                <w:bCs/>
                <w:sz w:val="16"/>
                <w:szCs w:val="16"/>
                <w:lang w:val="ru-RU"/>
              </w:rPr>
              <w:t>системы</w:t>
            </w:r>
            <w:r w:rsidRPr="00AB735C">
              <w:rPr>
                <w:bCs/>
                <w:sz w:val="16"/>
                <w:szCs w:val="16"/>
                <w:lang w:val="ru-RU"/>
              </w:rPr>
              <w:t xml:space="preserve"> охлаждения </w:t>
            </w:r>
            <w:r>
              <w:rPr>
                <w:bCs/>
                <w:sz w:val="16"/>
                <w:szCs w:val="16"/>
                <w:lang w:val="ru-RU"/>
              </w:rPr>
              <w:t xml:space="preserve">в здании </w:t>
            </w:r>
            <w:r w:rsidRPr="00445ECA">
              <w:rPr>
                <w:bCs/>
                <w:sz w:val="16"/>
                <w:szCs w:val="16"/>
              </w:rPr>
              <w:t>PCT</w:t>
            </w:r>
            <w:r w:rsidRPr="00AB735C">
              <w:rPr>
                <w:bCs/>
                <w:sz w:val="16"/>
                <w:szCs w:val="16"/>
                <w:lang w:val="ru-RU"/>
              </w:rPr>
              <w:t xml:space="preserve"> </w:t>
            </w:r>
            <w:r>
              <w:rPr>
                <w:bCs/>
                <w:sz w:val="16"/>
                <w:szCs w:val="16"/>
                <w:lang w:val="ru-RU"/>
              </w:rPr>
              <w:t>в октябре</w:t>
            </w:r>
            <w:r w:rsidRPr="00AB735C">
              <w:rPr>
                <w:bCs/>
                <w:sz w:val="16"/>
                <w:szCs w:val="16"/>
                <w:lang w:val="ru-RU"/>
              </w:rPr>
              <w:t xml:space="preserve"> </w:t>
            </w:r>
            <w:r>
              <w:rPr>
                <w:bCs/>
                <w:sz w:val="16"/>
                <w:szCs w:val="16"/>
                <w:lang w:val="ru-RU"/>
              </w:rPr>
              <w:t>2015 г.</w:t>
            </w:r>
            <w:r w:rsidRPr="00AB735C">
              <w:rPr>
                <w:bCs/>
                <w:sz w:val="16"/>
                <w:szCs w:val="16"/>
                <w:lang w:val="ru-RU"/>
              </w:rPr>
              <w:t xml:space="preserve"> и частичн</w:t>
            </w:r>
            <w:r>
              <w:rPr>
                <w:bCs/>
                <w:sz w:val="16"/>
                <w:szCs w:val="16"/>
                <w:lang w:val="ru-RU"/>
              </w:rPr>
              <w:t>ое</w:t>
            </w:r>
            <w:r w:rsidRPr="00AB735C">
              <w:rPr>
                <w:bCs/>
                <w:sz w:val="16"/>
                <w:szCs w:val="16"/>
                <w:lang w:val="ru-RU"/>
              </w:rPr>
              <w:t xml:space="preserve"> сокращение </w:t>
            </w:r>
            <w:r w:rsidRPr="009044EE">
              <w:rPr>
                <w:bCs/>
                <w:sz w:val="16"/>
                <w:szCs w:val="16"/>
                <w:lang w:val="ru-RU"/>
              </w:rPr>
              <w:t>потребления электроэнергии</w:t>
            </w:r>
            <w:r w:rsidRPr="00AB735C">
              <w:rPr>
                <w:bCs/>
                <w:sz w:val="16"/>
                <w:szCs w:val="16"/>
                <w:lang w:val="ru-RU"/>
              </w:rPr>
              <w:t>.</w:t>
            </w:r>
          </w:p>
        </w:tc>
        <w:tc>
          <w:tcPr>
            <w:tcW w:w="1928" w:type="pct"/>
          </w:tcPr>
          <w:p w:rsidR="00C85043" w:rsidRPr="00AB735C" w:rsidRDefault="00C85043" w:rsidP="00C85043">
            <w:pPr>
              <w:rPr>
                <w:bCs/>
                <w:iCs/>
                <w:sz w:val="16"/>
                <w:szCs w:val="16"/>
                <w:lang w:val="ru-RU"/>
              </w:rPr>
            </w:pPr>
          </w:p>
        </w:tc>
      </w:tr>
    </w:tbl>
    <w:p w:rsidR="00C85043" w:rsidRPr="00AB735C" w:rsidRDefault="00C85043" w:rsidP="00C85043">
      <w:pPr>
        <w:rPr>
          <w:szCs w:val="20"/>
          <w:lang w:val="ru-RU"/>
        </w:rPr>
      </w:pPr>
    </w:p>
    <w:p w:rsidR="00C85043" w:rsidRPr="00AB735C" w:rsidRDefault="00C85043" w:rsidP="00C85043">
      <w:pPr>
        <w:rPr>
          <w:szCs w:val="20"/>
          <w:lang w:val="ru-RU"/>
        </w:rPr>
      </w:pPr>
    </w:p>
    <w:p w:rsidR="00C85043" w:rsidRPr="0055183A" w:rsidRDefault="00C85043" w:rsidP="00C85043">
      <w:pPr>
        <w:rPr>
          <w:rFonts w:cs="Arial"/>
          <w:color w:val="000000"/>
          <w:szCs w:val="20"/>
          <w:lang w:val="ru-RU"/>
        </w:rPr>
      </w:pPr>
      <w:r w:rsidRPr="0055183A">
        <w:rPr>
          <w:rFonts w:cs="Arial"/>
          <w:color w:val="000000"/>
          <w:szCs w:val="20"/>
          <w:lang w:val="ru-RU"/>
        </w:rPr>
        <w:t>ИСПОЛЬЗОВАНИЕ РЕСУРСОВ</w:t>
      </w:r>
      <w:r w:rsidRPr="00811367">
        <w:rPr>
          <w:rStyle w:val="FootnoteReference"/>
          <w:szCs w:val="20"/>
        </w:rPr>
        <w:footnoteReference w:id="176"/>
      </w:r>
      <w:r w:rsidRPr="0055183A">
        <w:rPr>
          <w:rFonts w:cs="Arial"/>
          <w:color w:val="000000"/>
          <w:szCs w:val="20"/>
          <w:lang w:val="ru-RU"/>
        </w:rPr>
        <w:tab/>
      </w: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color w:val="000000"/>
          <w:szCs w:val="22"/>
          <w:lang w:val="ru-RU"/>
        </w:rPr>
        <w:t>Сумма бюджетных средств, освоенных в рамках проекта</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C85043" w:rsidRPr="00E32074" w:rsidTr="00C85043">
        <w:trPr>
          <w:trHeight w:val="410"/>
        </w:trPr>
        <w:tc>
          <w:tcPr>
            <w:tcW w:w="159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32074"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Наименование проекта</w:t>
            </w:r>
          </w:p>
        </w:tc>
        <w:tc>
          <w:tcPr>
            <w:tcW w:w="85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32074" w:rsidRDefault="00C85043" w:rsidP="00C85043">
            <w:pPr>
              <w:keepNext/>
              <w:keepLines/>
              <w:autoSpaceDE w:val="0"/>
              <w:autoSpaceDN w:val="0"/>
              <w:adjustRightInd w:val="0"/>
              <w:spacing w:before="40" w:after="40"/>
              <w:ind w:left="-107" w:right="-108"/>
              <w:jc w:val="center"/>
              <w:rPr>
                <w:b/>
                <w:bCs/>
                <w:sz w:val="16"/>
                <w:szCs w:val="16"/>
              </w:rPr>
            </w:pPr>
            <w:r>
              <w:rPr>
                <w:b/>
                <w:bCs/>
                <w:sz w:val="16"/>
                <w:szCs w:val="16"/>
              </w:rPr>
              <w:t>Смета по проекту</w:t>
            </w:r>
          </w:p>
        </w:tc>
        <w:tc>
          <w:tcPr>
            <w:tcW w:w="85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5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32074" w:rsidRDefault="00C85043" w:rsidP="00C85043">
            <w:pPr>
              <w:keepNext/>
              <w:keepLines/>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85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32074" w:rsidRDefault="00C85043" w:rsidP="00C85043">
            <w:pPr>
              <w:keepNext/>
              <w:keepLines/>
              <w:autoSpaceDE w:val="0"/>
              <w:autoSpaceDN w:val="0"/>
              <w:adjustRightInd w:val="0"/>
              <w:spacing w:before="40" w:after="40"/>
              <w:ind w:left="-109" w:right="-73" w:firstLine="1"/>
              <w:jc w:val="center"/>
              <w:rPr>
                <w:b/>
                <w:bCs/>
                <w:sz w:val="16"/>
                <w:szCs w:val="16"/>
              </w:rPr>
            </w:pPr>
            <w:r>
              <w:rPr>
                <w:b/>
                <w:bCs/>
                <w:sz w:val="16"/>
                <w:szCs w:val="16"/>
              </w:rPr>
              <w:t>Степень реализации проекта</w:t>
            </w:r>
          </w:p>
        </w:tc>
      </w:tr>
      <w:tr w:rsidR="00C85043" w:rsidRPr="00E32074" w:rsidTr="00C85043">
        <w:trPr>
          <w:trHeight w:val="389"/>
        </w:trPr>
        <w:tc>
          <w:tcPr>
            <w:tcW w:w="1598" w:type="pct"/>
            <w:tcBorders>
              <w:top w:val="single" w:sz="4" w:space="0" w:color="auto"/>
              <w:left w:val="single" w:sz="4" w:space="0" w:color="auto"/>
              <w:bottom w:val="single" w:sz="4" w:space="0" w:color="auto"/>
              <w:right w:val="single" w:sz="4" w:space="0" w:color="auto"/>
            </w:tcBorders>
            <w:vAlign w:val="center"/>
          </w:tcPr>
          <w:p w:rsidR="00C85043" w:rsidRPr="00BC2CFD" w:rsidRDefault="00C85043" w:rsidP="00C85043">
            <w:pPr>
              <w:keepNext/>
              <w:keepLines/>
              <w:autoSpaceDE w:val="0"/>
              <w:autoSpaceDN w:val="0"/>
              <w:adjustRightInd w:val="0"/>
              <w:spacing w:before="40" w:after="40"/>
              <w:rPr>
                <w:sz w:val="16"/>
                <w:szCs w:val="16"/>
                <w:lang w:val="ru-RU"/>
              </w:rPr>
            </w:pPr>
            <w:r w:rsidRPr="00BC2CFD">
              <w:rPr>
                <w:sz w:val="16"/>
                <w:szCs w:val="16"/>
                <w:lang w:val="ru-RU"/>
              </w:rPr>
              <w:t>Реализаци</w:t>
            </w:r>
            <w:r>
              <w:rPr>
                <w:sz w:val="16"/>
                <w:szCs w:val="16"/>
                <w:lang w:val="ru-RU"/>
              </w:rPr>
              <w:t>я системы</w:t>
            </w:r>
            <w:r w:rsidRPr="00BC2CFD">
              <w:rPr>
                <w:sz w:val="16"/>
                <w:szCs w:val="16"/>
                <w:lang w:val="ru-RU"/>
              </w:rPr>
              <w:t xml:space="preserve"> охлаждения «Вода Женевского озера» («</w:t>
            </w:r>
            <w:r w:rsidRPr="00DE12BB">
              <w:rPr>
                <w:sz w:val="16"/>
                <w:szCs w:val="16"/>
              </w:rPr>
              <w:t>GLN</w:t>
            </w:r>
            <w:r w:rsidRPr="00BC2CFD">
              <w:rPr>
                <w:sz w:val="16"/>
                <w:szCs w:val="16"/>
                <w:lang w:val="ru-RU"/>
              </w:rPr>
              <w:t xml:space="preserve">») </w:t>
            </w:r>
            <w:r>
              <w:rPr>
                <w:sz w:val="16"/>
                <w:szCs w:val="16"/>
                <w:lang w:val="ru-RU"/>
              </w:rPr>
              <w:t>в зданиях</w:t>
            </w:r>
            <w:r w:rsidRPr="0055183A">
              <w:rPr>
                <w:sz w:val="16"/>
                <w:szCs w:val="16"/>
                <w:lang w:val="ru-RU"/>
              </w:rPr>
              <w:t xml:space="preserve"> </w:t>
            </w:r>
            <w:r>
              <w:rPr>
                <w:sz w:val="16"/>
                <w:szCs w:val="16"/>
                <w:lang w:val="ru-RU"/>
              </w:rPr>
              <w:t>АБ</w:t>
            </w:r>
            <w:r w:rsidRPr="0055183A">
              <w:rPr>
                <w:sz w:val="16"/>
                <w:szCs w:val="16"/>
                <w:lang w:val="ru-RU"/>
              </w:rPr>
              <w:t xml:space="preserve"> </w:t>
            </w:r>
            <w:r>
              <w:rPr>
                <w:sz w:val="16"/>
                <w:szCs w:val="16"/>
                <w:lang w:val="ru-RU"/>
              </w:rPr>
              <w:t xml:space="preserve">и </w:t>
            </w:r>
            <w:r>
              <w:rPr>
                <w:sz w:val="16"/>
                <w:szCs w:val="16"/>
              </w:rPr>
              <w:t>PCT</w:t>
            </w:r>
            <w:r>
              <w:rPr>
                <w:sz w:val="16"/>
                <w:szCs w:val="16"/>
                <w:lang w:val="ru-RU"/>
              </w:rPr>
              <w:t>.</w:t>
            </w:r>
          </w:p>
        </w:tc>
        <w:tc>
          <w:tcPr>
            <w:tcW w:w="850" w:type="pct"/>
            <w:tcBorders>
              <w:top w:val="single" w:sz="4" w:space="0" w:color="auto"/>
              <w:left w:val="single" w:sz="4" w:space="0" w:color="auto"/>
              <w:bottom w:val="single" w:sz="4" w:space="0" w:color="auto"/>
              <w:right w:val="single" w:sz="4" w:space="0" w:color="auto"/>
            </w:tcBorders>
            <w:vAlign w:val="center"/>
          </w:tcPr>
          <w:p w:rsidR="00C85043" w:rsidRPr="00E32074" w:rsidRDefault="00C85043" w:rsidP="00C85043">
            <w:pPr>
              <w:keepNext/>
              <w:keepLines/>
              <w:autoSpaceDE w:val="0"/>
              <w:autoSpaceDN w:val="0"/>
              <w:adjustRightInd w:val="0"/>
              <w:spacing w:before="40" w:after="40"/>
              <w:jc w:val="center"/>
              <w:rPr>
                <w:sz w:val="16"/>
                <w:szCs w:val="16"/>
              </w:rPr>
            </w:pPr>
            <w:r w:rsidRPr="00E32074">
              <w:rPr>
                <w:sz w:val="16"/>
                <w:szCs w:val="16"/>
              </w:rPr>
              <w:t>750</w:t>
            </w:r>
            <w:r>
              <w:rPr>
                <w:sz w:val="16"/>
                <w:szCs w:val="16"/>
              </w:rPr>
              <w:t> </w:t>
            </w:r>
            <w:r w:rsidRPr="00E32074">
              <w:rPr>
                <w:sz w:val="16"/>
                <w:szCs w:val="16"/>
              </w:rPr>
              <w:t>000</w:t>
            </w:r>
          </w:p>
        </w:tc>
        <w:tc>
          <w:tcPr>
            <w:tcW w:w="851"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sidRPr="008A011F">
              <w:rPr>
                <w:sz w:val="16"/>
                <w:szCs w:val="16"/>
              </w:rPr>
              <w:t>262</w:t>
            </w:r>
            <w:r>
              <w:rPr>
                <w:sz w:val="16"/>
                <w:szCs w:val="16"/>
              </w:rPr>
              <w:t> </w:t>
            </w:r>
            <w:r w:rsidRPr="008A011F">
              <w:rPr>
                <w:sz w:val="16"/>
                <w:szCs w:val="16"/>
              </w:rPr>
              <w:t>727</w:t>
            </w:r>
          </w:p>
        </w:tc>
        <w:tc>
          <w:tcPr>
            <w:tcW w:w="851"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sidRPr="008A011F">
              <w:rPr>
                <w:sz w:val="16"/>
                <w:szCs w:val="16"/>
              </w:rPr>
              <w:t>35%</w:t>
            </w:r>
          </w:p>
        </w:tc>
        <w:tc>
          <w:tcPr>
            <w:tcW w:w="850"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Pr>
                <w:sz w:val="16"/>
                <w:szCs w:val="16"/>
                <w:lang w:val="ru-RU"/>
              </w:rPr>
              <w:t xml:space="preserve">Здание </w:t>
            </w:r>
            <w:r>
              <w:rPr>
                <w:sz w:val="16"/>
                <w:szCs w:val="16"/>
              </w:rPr>
              <w:t xml:space="preserve">АБ </w:t>
            </w:r>
            <w:r>
              <w:rPr>
                <w:sz w:val="16"/>
                <w:szCs w:val="16"/>
                <w:lang w:val="ru-RU"/>
              </w:rPr>
              <w:t xml:space="preserve">- </w:t>
            </w:r>
            <w:r w:rsidRPr="008A011F">
              <w:rPr>
                <w:sz w:val="16"/>
                <w:szCs w:val="16"/>
              </w:rPr>
              <w:t>100%</w:t>
            </w:r>
          </w:p>
          <w:p w:rsidR="00C85043" w:rsidRPr="008A011F" w:rsidRDefault="00C85043" w:rsidP="00C85043">
            <w:pPr>
              <w:keepNext/>
              <w:keepLines/>
              <w:autoSpaceDE w:val="0"/>
              <w:autoSpaceDN w:val="0"/>
              <w:adjustRightInd w:val="0"/>
              <w:spacing w:before="40" w:after="40"/>
              <w:jc w:val="center"/>
              <w:rPr>
                <w:sz w:val="16"/>
                <w:szCs w:val="16"/>
              </w:rPr>
            </w:pPr>
            <w:r>
              <w:rPr>
                <w:sz w:val="16"/>
                <w:szCs w:val="16"/>
                <w:lang w:val="ru-RU"/>
              </w:rPr>
              <w:t xml:space="preserve">Здание </w:t>
            </w:r>
            <w:r w:rsidRPr="008A011F">
              <w:rPr>
                <w:sz w:val="16"/>
                <w:szCs w:val="16"/>
              </w:rPr>
              <w:t xml:space="preserve">PCT </w:t>
            </w:r>
            <w:r>
              <w:rPr>
                <w:sz w:val="16"/>
                <w:szCs w:val="16"/>
                <w:lang w:val="ru-RU"/>
              </w:rPr>
              <w:t xml:space="preserve">- </w:t>
            </w:r>
            <w:r w:rsidRPr="008A011F">
              <w:rPr>
                <w:sz w:val="16"/>
                <w:szCs w:val="16"/>
              </w:rPr>
              <w:t>90%</w:t>
            </w:r>
          </w:p>
        </w:tc>
      </w:tr>
    </w:tbl>
    <w:p w:rsidR="00C85043" w:rsidRDefault="00C85043" w:rsidP="00C85043">
      <w:pPr>
        <w:keepNext/>
        <w:autoSpaceDE w:val="0"/>
        <w:autoSpaceDN w:val="0"/>
        <w:rPr>
          <w:sz w:val="16"/>
          <w:szCs w:val="16"/>
        </w:rPr>
        <w:sectPr w:rsidR="00C85043" w:rsidSect="00C85043">
          <w:headerReference w:type="even" r:id="rId203"/>
          <w:headerReference w:type="default" r:id="rId204"/>
          <w:footerReference w:type="even" r:id="rId205"/>
          <w:footerReference w:type="default" r:id="rId206"/>
          <w:pgSz w:w="11907" w:h="16840" w:code="9"/>
          <w:pgMar w:top="567" w:right="1134" w:bottom="1361" w:left="1418" w:header="567" w:footer="964" w:gutter="0"/>
          <w:cols w:space="720"/>
          <w:docGrid w:linePitch="272"/>
        </w:sect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szCs w:val="22"/>
          <w:lang w:val="ru-RU"/>
        </w:rPr>
        <w:t>Сумма бюджетных средств, освоенных в рамках проекта (</w:t>
      </w:r>
      <w:r>
        <w:rPr>
          <w:b/>
          <w:szCs w:val="22"/>
          <w:lang w:val="ru-RU"/>
        </w:rPr>
        <w:t>в разбивке по основным результатам</w:t>
      </w:r>
      <w:r w:rsidRPr="007F540C">
        <w:rPr>
          <w:b/>
          <w:szCs w:val="22"/>
          <w:lang w:val="ru-RU"/>
        </w:rPr>
        <w:t>)</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7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2"/>
        <w:gridCol w:w="1517"/>
        <w:gridCol w:w="1517"/>
        <w:gridCol w:w="1517"/>
        <w:gridCol w:w="1838"/>
      </w:tblGrid>
      <w:tr w:rsidR="00C85043" w:rsidRPr="005C6ABD" w:rsidTr="00C85043">
        <w:trPr>
          <w:trHeight w:val="389"/>
        </w:trPr>
        <w:tc>
          <w:tcPr>
            <w:tcW w:w="152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32074"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Основной результат</w:t>
            </w:r>
          </w:p>
        </w:tc>
        <w:tc>
          <w:tcPr>
            <w:tcW w:w="82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32074" w:rsidRDefault="00C85043" w:rsidP="00C85043">
            <w:pPr>
              <w:keepNext/>
              <w:keepLines/>
              <w:autoSpaceDE w:val="0"/>
              <w:autoSpaceDN w:val="0"/>
              <w:adjustRightInd w:val="0"/>
              <w:spacing w:before="40" w:after="40"/>
              <w:ind w:left="-107" w:right="-108"/>
              <w:jc w:val="center"/>
              <w:rPr>
                <w:b/>
                <w:bCs/>
                <w:sz w:val="16"/>
                <w:szCs w:val="16"/>
              </w:rPr>
            </w:pPr>
            <w:r>
              <w:rPr>
                <w:b/>
                <w:bCs/>
                <w:sz w:val="16"/>
                <w:szCs w:val="16"/>
              </w:rPr>
              <w:t>Смета по проекту</w:t>
            </w:r>
          </w:p>
        </w:tc>
        <w:tc>
          <w:tcPr>
            <w:tcW w:w="82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2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32074" w:rsidRDefault="00C85043" w:rsidP="00C85043">
            <w:pPr>
              <w:keepNext/>
              <w:keepLines/>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100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9" w:right="-73" w:firstLine="1"/>
              <w:jc w:val="center"/>
              <w:rPr>
                <w:b/>
                <w:bCs/>
                <w:sz w:val="16"/>
                <w:szCs w:val="16"/>
                <w:lang w:val="ru-RU"/>
              </w:rPr>
            </w:pPr>
            <w:r w:rsidRPr="00715C25">
              <w:rPr>
                <w:b/>
                <w:bCs/>
                <w:sz w:val="16"/>
                <w:szCs w:val="16"/>
                <w:lang w:val="ru-RU"/>
              </w:rPr>
              <w:t xml:space="preserve">Степень реализации проекта </w:t>
            </w:r>
            <w:r>
              <w:rPr>
                <w:b/>
                <w:bCs/>
                <w:sz w:val="16"/>
                <w:szCs w:val="16"/>
                <w:lang w:val="ru-RU"/>
              </w:rPr>
              <w:t>в разбивке по основным результатам</w:t>
            </w:r>
          </w:p>
        </w:tc>
      </w:tr>
      <w:tr w:rsidR="00C85043" w:rsidRPr="00E32074" w:rsidTr="00C85043">
        <w:trPr>
          <w:trHeight w:val="369"/>
        </w:trPr>
        <w:tc>
          <w:tcPr>
            <w:tcW w:w="1521" w:type="pct"/>
            <w:tcBorders>
              <w:top w:val="single" w:sz="4" w:space="0" w:color="auto"/>
              <w:left w:val="single" w:sz="4" w:space="0" w:color="auto"/>
              <w:bottom w:val="single" w:sz="4" w:space="0" w:color="auto"/>
              <w:right w:val="single" w:sz="4" w:space="0" w:color="auto"/>
            </w:tcBorders>
            <w:vAlign w:val="center"/>
          </w:tcPr>
          <w:p w:rsidR="00C85043" w:rsidRPr="00FC499E" w:rsidRDefault="00C85043" w:rsidP="00C85043">
            <w:pPr>
              <w:keepNext/>
              <w:keepLines/>
              <w:autoSpaceDE w:val="0"/>
              <w:autoSpaceDN w:val="0"/>
              <w:adjustRightInd w:val="0"/>
              <w:spacing w:before="40" w:after="40"/>
              <w:rPr>
                <w:sz w:val="16"/>
                <w:szCs w:val="16"/>
                <w:lang w:val="ru-RU"/>
              </w:rPr>
            </w:pPr>
            <w:r w:rsidRPr="00FC499E">
              <w:rPr>
                <w:color w:val="000000"/>
                <w:sz w:val="16"/>
                <w:szCs w:val="16"/>
                <w:lang w:val="ru-RU"/>
              </w:rPr>
              <w:t xml:space="preserve">Заключение контракта с инженером по отоплению, вентиляции и кондиционированию воздуха </w:t>
            </w:r>
            <w:r w:rsidRPr="00BC2CFD">
              <w:rPr>
                <w:color w:val="000000"/>
                <w:sz w:val="16"/>
                <w:szCs w:val="16"/>
                <w:lang w:val="ru-RU"/>
              </w:rPr>
              <w:t xml:space="preserve">в отношении </w:t>
            </w:r>
            <w:r>
              <w:rPr>
                <w:color w:val="000000"/>
                <w:sz w:val="16"/>
                <w:szCs w:val="16"/>
                <w:lang w:val="ru-RU"/>
              </w:rPr>
              <w:t>здания</w:t>
            </w:r>
            <w:r w:rsidRPr="00FC499E">
              <w:rPr>
                <w:color w:val="000000"/>
                <w:sz w:val="16"/>
                <w:szCs w:val="16"/>
                <w:lang w:val="ru-RU"/>
              </w:rPr>
              <w:t xml:space="preserve"> </w:t>
            </w:r>
            <w:r w:rsidRPr="0055183A">
              <w:rPr>
                <w:color w:val="000000"/>
                <w:sz w:val="16"/>
                <w:szCs w:val="16"/>
                <w:lang w:val="ru-RU"/>
              </w:rPr>
              <w:t>АБ</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E32074" w:rsidRDefault="00C85043" w:rsidP="00C85043">
            <w:pPr>
              <w:keepNext/>
              <w:keepLines/>
              <w:autoSpaceDE w:val="0"/>
              <w:autoSpaceDN w:val="0"/>
              <w:adjustRightInd w:val="0"/>
              <w:spacing w:before="40" w:after="40"/>
              <w:jc w:val="center"/>
              <w:rPr>
                <w:sz w:val="16"/>
                <w:szCs w:val="16"/>
              </w:rPr>
            </w:pPr>
            <w:r w:rsidRPr="00E32074">
              <w:rPr>
                <w:sz w:val="16"/>
                <w:szCs w:val="16"/>
              </w:rPr>
              <w:t>30</w:t>
            </w:r>
            <w:r>
              <w:rPr>
                <w:sz w:val="16"/>
                <w:szCs w:val="16"/>
              </w:rPr>
              <w:t> 00</w:t>
            </w:r>
            <w:r w:rsidRPr="00E32074">
              <w:rPr>
                <w:sz w:val="16"/>
                <w:szCs w:val="16"/>
              </w:rPr>
              <w:t>0</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445ECA" w:rsidRDefault="00C85043" w:rsidP="00C85043">
            <w:pPr>
              <w:keepNext/>
              <w:keepLines/>
              <w:autoSpaceDE w:val="0"/>
              <w:autoSpaceDN w:val="0"/>
              <w:adjustRightInd w:val="0"/>
              <w:spacing w:before="40" w:after="40"/>
              <w:jc w:val="center"/>
              <w:rPr>
                <w:sz w:val="16"/>
                <w:szCs w:val="16"/>
              </w:rPr>
            </w:pPr>
            <w:r w:rsidRPr="00445ECA">
              <w:rPr>
                <w:sz w:val="16"/>
                <w:szCs w:val="16"/>
              </w:rPr>
              <w:t>16</w:t>
            </w:r>
            <w:r>
              <w:rPr>
                <w:sz w:val="16"/>
                <w:szCs w:val="16"/>
              </w:rPr>
              <w:t> </w:t>
            </w:r>
            <w:r w:rsidRPr="00445ECA">
              <w:rPr>
                <w:sz w:val="16"/>
                <w:szCs w:val="16"/>
              </w:rPr>
              <w:t>200</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445ECA" w:rsidRDefault="00C85043" w:rsidP="00C85043">
            <w:pPr>
              <w:keepNext/>
              <w:keepLines/>
              <w:autoSpaceDE w:val="0"/>
              <w:autoSpaceDN w:val="0"/>
              <w:adjustRightInd w:val="0"/>
              <w:spacing w:before="40" w:after="40"/>
              <w:jc w:val="center"/>
              <w:rPr>
                <w:sz w:val="16"/>
                <w:szCs w:val="16"/>
              </w:rPr>
            </w:pPr>
            <w:r w:rsidRPr="00445ECA">
              <w:rPr>
                <w:sz w:val="16"/>
                <w:szCs w:val="16"/>
              </w:rPr>
              <w:t>54%</w:t>
            </w:r>
          </w:p>
        </w:tc>
        <w:tc>
          <w:tcPr>
            <w:tcW w:w="1001" w:type="pct"/>
            <w:tcBorders>
              <w:top w:val="single" w:sz="4" w:space="0" w:color="auto"/>
              <w:left w:val="single" w:sz="4" w:space="0" w:color="auto"/>
              <w:bottom w:val="single" w:sz="4" w:space="0" w:color="auto"/>
              <w:right w:val="single" w:sz="4" w:space="0" w:color="auto"/>
            </w:tcBorders>
            <w:vAlign w:val="center"/>
          </w:tcPr>
          <w:p w:rsidR="00C85043" w:rsidRPr="00445ECA" w:rsidRDefault="00C85043" w:rsidP="00C85043">
            <w:pPr>
              <w:keepNext/>
              <w:keepLines/>
              <w:autoSpaceDE w:val="0"/>
              <w:autoSpaceDN w:val="0"/>
              <w:adjustRightInd w:val="0"/>
              <w:spacing w:before="40" w:after="40"/>
              <w:jc w:val="center"/>
              <w:rPr>
                <w:sz w:val="16"/>
                <w:szCs w:val="16"/>
              </w:rPr>
            </w:pPr>
            <w:r w:rsidRPr="00445ECA">
              <w:rPr>
                <w:sz w:val="16"/>
                <w:szCs w:val="16"/>
              </w:rPr>
              <w:t>100%</w:t>
            </w:r>
          </w:p>
        </w:tc>
      </w:tr>
      <w:tr w:rsidR="00C85043" w:rsidRPr="00E32074" w:rsidTr="00C85043">
        <w:trPr>
          <w:trHeight w:val="369"/>
        </w:trPr>
        <w:tc>
          <w:tcPr>
            <w:tcW w:w="1521" w:type="pct"/>
            <w:tcBorders>
              <w:top w:val="single" w:sz="4" w:space="0" w:color="auto"/>
              <w:left w:val="single" w:sz="4" w:space="0" w:color="auto"/>
              <w:bottom w:val="single" w:sz="4" w:space="0" w:color="auto"/>
              <w:right w:val="single" w:sz="4" w:space="0" w:color="auto"/>
            </w:tcBorders>
            <w:vAlign w:val="center"/>
          </w:tcPr>
          <w:p w:rsidR="00C85043" w:rsidRPr="00BC2CFD" w:rsidRDefault="00C85043" w:rsidP="00C85043">
            <w:pPr>
              <w:keepNext/>
              <w:keepLines/>
              <w:autoSpaceDE w:val="0"/>
              <w:autoSpaceDN w:val="0"/>
              <w:adjustRightInd w:val="0"/>
              <w:spacing w:before="40" w:after="40"/>
              <w:rPr>
                <w:sz w:val="16"/>
                <w:szCs w:val="16"/>
                <w:lang w:val="ru-RU"/>
              </w:rPr>
            </w:pPr>
            <w:r w:rsidRPr="00BC2CFD">
              <w:rPr>
                <w:color w:val="000000"/>
                <w:sz w:val="16"/>
                <w:szCs w:val="16"/>
                <w:lang w:val="ru-RU"/>
              </w:rPr>
              <w:t xml:space="preserve">Заключение контракта </w:t>
            </w:r>
            <w:r>
              <w:rPr>
                <w:color w:val="000000"/>
                <w:sz w:val="16"/>
                <w:szCs w:val="16"/>
                <w:lang w:val="ru-RU"/>
              </w:rPr>
              <w:t>с инженером</w:t>
            </w:r>
            <w:r w:rsidRPr="00BC2CFD">
              <w:rPr>
                <w:color w:val="000000"/>
                <w:sz w:val="16"/>
                <w:szCs w:val="16"/>
                <w:lang w:val="ru-RU"/>
              </w:rPr>
              <w:t xml:space="preserve"> в отношении здани</w:t>
            </w:r>
            <w:r>
              <w:rPr>
                <w:color w:val="000000"/>
                <w:sz w:val="16"/>
                <w:szCs w:val="16"/>
                <w:lang w:val="ru-RU"/>
              </w:rPr>
              <w:t>я</w:t>
            </w:r>
            <w:r w:rsidRPr="00BC2CFD">
              <w:rPr>
                <w:color w:val="000000"/>
                <w:sz w:val="16"/>
                <w:szCs w:val="16"/>
                <w:lang w:val="ru-RU"/>
              </w:rPr>
              <w:t xml:space="preserve"> </w:t>
            </w:r>
            <w:r>
              <w:rPr>
                <w:color w:val="000000"/>
                <w:sz w:val="16"/>
                <w:szCs w:val="16"/>
              </w:rPr>
              <w:t>PCT</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E32074" w:rsidRDefault="00C85043" w:rsidP="00C85043">
            <w:pPr>
              <w:keepNext/>
              <w:keepLines/>
              <w:autoSpaceDE w:val="0"/>
              <w:autoSpaceDN w:val="0"/>
              <w:adjustRightInd w:val="0"/>
              <w:spacing w:before="40" w:after="40"/>
              <w:jc w:val="center"/>
              <w:rPr>
                <w:sz w:val="16"/>
                <w:szCs w:val="16"/>
              </w:rPr>
            </w:pPr>
            <w:r w:rsidRPr="00E32074">
              <w:rPr>
                <w:sz w:val="16"/>
                <w:szCs w:val="16"/>
              </w:rPr>
              <w:t>83</w:t>
            </w:r>
            <w:r>
              <w:rPr>
                <w:sz w:val="16"/>
                <w:szCs w:val="16"/>
              </w:rPr>
              <w:t> 00</w:t>
            </w:r>
            <w:r w:rsidRPr="00E32074">
              <w:rPr>
                <w:sz w:val="16"/>
                <w:szCs w:val="16"/>
              </w:rPr>
              <w:t>0</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sidRPr="008A011F">
              <w:rPr>
                <w:sz w:val="16"/>
                <w:szCs w:val="16"/>
              </w:rPr>
              <w:t>43</w:t>
            </w:r>
            <w:r>
              <w:rPr>
                <w:sz w:val="16"/>
                <w:szCs w:val="16"/>
              </w:rPr>
              <w:t> </w:t>
            </w:r>
            <w:r w:rsidRPr="008A011F">
              <w:rPr>
                <w:sz w:val="16"/>
                <w:szCs w:val="16"/>
              </w:rPr>
              <w:t>440</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sidRPr="008A011F">
              <w:rPr>
                <w:sz w:val="16"/>
                <w:szCs w:val="16"/>
              </w:rPr>
              <w:t>52</w:t>
            </w:r>
            <w:r>
              <w:rPr>
                <w:sz w:val="16"/>
                <w:szCs w:val="16"/>
                <w:lang w:val="ru-RU"/>
              </w:rPr>
              <w:t>,</w:t>
            </w:r>
            <w:r w:rsidRPr="008A011F">
              <w:rPr>
                <w:sz w:val="16"/>
                <w:szCs w:val="16"/>
              </w:rPr>
              <w:t>3%</w:t>
            </w:r>
          </w:p>
        </w:tc>
        <w:tc>
          <w:tcPr>
            <w:tcW w:w="1001"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sidRPr="008A011F">
              <w:rPr>
                <w:sz w:val="16"/>
                <w:szCs w:val="16"/>
              </w:rPr>
              <w:t>100%</w:t>
            </w:r>
          </w:p>
        </w:tc>
      </w:tr>
      <w:tr w:rsidR="00C85043" w:rsidRPr="00E32074" w:rsidTr="00C85043">
        <w:trPr>
          <w:trHeight w:val="369"/>
        </w:trPr>
        <w:tc>
          <w:tcPr>
            <w:tcW w:w="1521" w:type="pct"/>
            <w:tcBorders>
              <w:top w:val="single" w:sz="4" w:space="0" w:color="auto"/>
              <w:left w:val="single" w:sz="4" w:space="0" w:color="auto"/>
              <w:bottom w:val="single" w:sz="4" w:space="0" w:color="auto"/>
              <w:right w:val="single" w:sz="4" w:space="0" w:color="auto"/>
            </w:tcBorders>
            <w:vAlign w:val="center"/>
          </w:tcPr>
          <w:p w:rsidR="00C85043" w:rsidRPr="000A1FE3" w:rsidRDefault="00C85043" w:rsidP="00C85043">
            <w:pPr>
              <w:keepNext/>
              <w:keepLines/>
              <w:autoSpaceDE w:val="0"/>
              <w:autoSpaceDN w:val="0"/>
              <w:adjustRightInd w:val="0"/>
              <w:spacing w:before="40" w:after="40"/>
              <w:rPr>
                <w:sz w:val="16"/>
                <w:szCs w:val="16"/>
                <w:lang w:val="ru-RU"/>
              </w:rPr>
            </w:pPr>
            <w:r w:rsidRPr="009044EE">
              <w:rPr>
                <w:sz w:val="16"/>
                <w:szCs w:val="16"/>
                <w:lang w:val="ru-RU"/>
              </w:rPr>
              <w:t>Ввод в эксплуатацию системы GLN в здании АВ</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E32074" w:rsidRDefault="00C85043" w:rsidP="00C85043">
            <w:pPr>
              <w:keepNext/>
              <w:keepLines/>
              <w:autoSpaceDE w:val="0"/>
              <w:autoSpaceDN w:val="0"/>
              <w:adjustRightInd w:val="0"/>
              <w:spacing w:before="40" w:after="40"/>
              <w:jc w:val="center"/>
              <w:rPr>
                <w:sz w:val="16"/>
                <w:szCs w:val="16"/>
              </w:rPr>
            </w:pPr>
            <w:r w:rsidRPr="00E32074">
              <w:rPr>
                <w:sz w:val="16"/>
                <w:szCs w:val="16"/>
              </w:rPr>
              <w:t>170</w:t>
            </w:r>
            <w:r>
              <w:rPr>
                <w:sz w:val="16"/>
                <w:szCs w:val="16"/>
              </w:rPr>
              <w:t> 00</w:t>
            </w:r>
            <w:r w:rsidRPr="00E32074">
              <w:rPr>
                <w:sz w:val="16"/>
                <w:szCs w:val="16"/>
              </w:rPr>
              <w:t>0</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sidRPr="008A011F">
              <w:rPr>
                <w:sz w:val="16"/>
                <w:szCs w:val="16"/>
              </w:rPr>
              <w:t>61</w:t>
            </w:r>
            <w:r>
              <w:rPr>
                <w:sz w:val="16"/>
                <w:szCs w:val="16"/>
              </w:rPr>
              <w:t> </w:t>
            </w:r>
            <w:r w:rsidRPr="008A011F">
              <w:rPr>
                <w:sz w:val="16"/>
                <w:szCs w:val="16"/>
              </w:rPr>
              <w:t>791</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Pr>
                <w:sz w:val="16"/>
                <w:szCs w:val="16"/>
              </w:rPr>
              <w:t>36,</w:t>
            </w:r>
            <w:r w:rsidRPr="008A011F">
              <w:rPr>
                <w:sz w:val="16"/>
                <w:szCs w:val="16"/>
              </w:rPr>
              <w:t>3%</w:t>
            </w:r>
          </w:p>
        </w:tc>
        <w:tc>
          <w:tcPr>
            <w:tcW w:w="1001"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sidRPr="008A011F">
              <w:rPr>
                <w:sz w:val="16"/>
                <w:szCs w:val="16"/>
              </w:rPr>
              <w:t>100%</w:t>
            </w:r>
          </w:p>
        </w:tc>
      </w:tr>
      <w:tr w:rsidR="00C85043" w:rsidRPr="00E32074" w:rsidTr="00C85043">
        <w:trPr>
          <w:trHeight w:val="369"/>
        </w:trPr>
        <w:tc>
          <w:tcPr>
            <w:tcW w:w="1521" w:type="pct"/>
            <w:tcBorders>
              <w:top w:val="single" w:sz="4" w:space="0" w:color="auto"/>
              <w:left w:val="single" w:sz="4" w:space="0" w:color="auto"/>
              <w:bottom w:val="single" w:sz="4" w:space="0" w:color="auto"/>
              <w:right w:val="single" w:sz="4" w:space="0" w:color="auto"/>
            </w:tcBorders>
            <w:vAlign w:val="center"/>
          </w:tcPr>
          <w:p w:rsidR="00C85043" w:rsidRPr="000A1FE3" w:rsidRDefault="00C85043" w:rsidP="00C85043">
            <w:pPr>
              <w:keepNext/>
              <w:keepLines/>
              <w:autoSpaceDE w:val="0"/>
              <w:autoSpaceDN w:val="0"/>
              <w:adjustRightInd w:val="0"/>
              <w:spacing w:before="40" w:after="40"/>
              <w:rPr>
                <w:sz w:val="16"/>
                <w:szCs w:val="16"/>
                <w:lang w:val="ru-RU"/>
              </w:rPr>
            </w:pPr>
            <w:r w:rsidRPr="009044EE">
              <w:rPr>
                <w:sz w:val="16"/>
                <w:szCs w:val="16"/>
                <w:lang w:val="ru-RU"/>
              </w:rPr>
              <w:t>Ввод в эксплуатацию системы GLN в здании РСТ</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E32074" w:rsidRDefault="00C85043" w:rsidP="00C85043">
            <w:pPr>
              <w:keepNext/>
              <w:keepLines/>
              <w:autoSpaceDE w:val="0"/>
              <w:autoSpaceDN w:val="0"/>
              <w:adjustRightInd w:val="0"/>
              <w:spacing w:before="40" w:after="40"/>
              <w:jc w:val="center"/>
              <w:rPr>
                <w:sz w:val="16"/>
                <w:szCs w:val="16"/>
              </w:rPr>
            </w:pPr>
            <w:r w:rsidRPr="00E32074">
              <w:rPr>
                <w:sz w:val="16"/>
                <w:szCs w:val="16"/>
              </w:rPr>
              <w:t>46</w:t>
            </w:r>
            <w:r>
              <w:rPr>
                <w:sz w:val="16"/>
                <w:szCs w:val="16"/>
              </w:rPr>
              <w:t>7 00</w:t>
            </w:r>
            <w:r w:rsidRPr="00E32074">
              <w:rPr>
                <w:sz w:val="16"/>
                <w:szCs w:val="16"/>
              </w:rPr>
              <w:t>0</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sidRPr="008A011F">
              <w:rPr>
                <w:sz w:val="16"/>
                <w:szCs w:val="16"/>
              </w:rPr>
              <w:t>141</w:t>
            </w:r>
            <w:r>
              <w:rPr>
                <w:sz w:val="16"/>
                <w:szCs w:val="16"/>
              </w:rPr>
              <w:t> </w:t>
            </w:r>
            <w:r w:rsidRPr="008A011F">
              <w:rPr>
                <w:sz w:val="16"/>
                <w:szCs w:val="16"/>
              </w:rPr>
              <w:t>296</w:t>
            </w:r>
          </w:p>
        </w:tc>
        <w:tc>
          <w:tcPr>
            <w:tcW w:w="826"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Pr>
                <w:sz w:val="16"/>
                <w:szCs w:val="16"/>
              </w:rPr>
              <w:t>30,</w:t>
            </w:r>
            <w:r w:rsidRPr="008A011F">
              <w:rPr>
                <w:sz w:val="16"/>
                <w:szCs w:val="16"/>
              </w:rPr>
              <w:t>3%</w:t>
            </w:r>
          </w:p>
        </w:tc>
        <w:tc>
          <w:tcPr>
            <w:tcW w:w="1001"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keepNext/>
              <w:keepLines/>
              <w:autoSpaceDE w:val="0"/>
              <w:autoSpaceDN w:val="0"/>
              <w:adjustRightInd w:val="0"/>
              <w:spacing w:before="40" w:after="40"/>
              <w:jc w:val="center"/>
              <w:rPr>
                <w:sz w:val="16"/>
                <w:szCs w:val="16"/>
              </w:rPr>
            </w:pPr>
            <w:r w:rsidRPr="008A011F">
              <w:rPr>
                <w:sz w:val="16"/>
                <w:szCs w:val="16"/>
              </w:rPr>
              <w:t>90%</w:t>
            </w:r>
          </w:p>
        </w:tc>
      </w:tr>
      <w:tr w:rsidR="00C85043" w:rsidRPr="008A011F" w:rsidTr="00C85043">
        <w:trPr>
          <w:trHeight w:val="369"/>
        </w:trPr>
        <w:tc>
          <w:tcPr>
            <w:tcW w:w="152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A011F" w:rsidRDefault="00C85043" w:rsidP="00C85043">
            <w:pPr>
              <w:keepNext/>
              <w:keepLines/>
              <w:autoSpaceDE w:val="0"/>
              <w:autoSpaceDN w:val="0"/>
              <w:adjustRightInd w:val="0"/>
              <w:spacing w:before="40" w:after="40"/>
              <w:rPr>
                <w:b/>
                <w:sz w:val="16"/>
                <w:szCs w:val="16"/>
              </w:rPr>
            </w:pPr>
            <w:r>
              <w:rPr>
                <w:b/>
                <w:sz w:val="16"/>
                <w:szCs w:val="16"/>
              </w:rPr>
              <w:t>Итого</w:t>
            </w:r>
          </w:p>
        </w:tc>
        <w:tc>
          <w:tcPr>
            <w:tcW w:w="82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A011F" w:rsidRDefault="00C85043" w:rsidP="00C85043">
            <w:pPr>
              <w:keepNext/>
              <w:keepLines/>
              <w:autoSpaceDE w:val="0"/>
              <w:autoSpaceDN w:val="0"/>
              <w:adjustRightInd w:val="0"/>
              <w:spacing w:before="40" w:after="40"/>
              <w:jc w:val="center"/>
              <w:rPr>
                <w:b/>
                <w:sz w:val="16"/>
                <w:szCs w:val="16"/>
              </w:rPr>
            </w:pPr>
            <w:r w:rsidRPr="008A011F">
              <w:rPr>
                <w:b/>
                <w:sz w:val="16"/>
                <w:szCs w:val="16"/>
              </w:rPr>
              <w:t>750</w:t>
            </w:r>
            <w:r>
              <w:rPr>
                <w:b/>
                <w:sz w:val="16"/>
                <w:szCs w:val="16"/>
              </w:rPr>
              <w:t> </w:t>
            </w:r>
            <w:r w:rsidRPr="008A011F">
              <w:rPr>
                <w:b/>
                <w:sz w:val="16"/>
                <w:szCs w:val="16"/>
              </w:rPr>
              <w:t>000</w:t>
            </w:r>
          </w:p>
        </w:tc>
        <w:tc>
          <w:tcPr>
            <w:tcW w:w="826"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A011F" w:rsidRDefault="00C85043" w:rsidP="00C85043">
            <w:pPr>
              <w:keepNext/>
              <w:keepLines/>
              <w:autoSpaceDE w:val="0"/>
              <w:autoSpaceDN w:val="0"/>
              <w:adjustRightInd w:val="0"/>
              <w:spacing w:before="40" w:after="40"/>
              <w:jc w:val="center"/>
              <w:rPr>
                <w:b/>
                <w:sz w:val="16"/>
                <w:szCs w:val="16"/>
              </w:rPr>
            </w:pPr>
            <w:r w:rsidRPr="008A011F">
              <w:rPr>
                <w:b/>
                <w:sz w:val="16"/>
                <w:szCs w:val="16"/>
              </w:rPr>
              <w:t>262</w:t>
            </w:r>
            <w:r>
              <w:rPr>
                <w:b/>
                <w:sz w:val="16"/>
                <w:szCs w:val="16"/>
              </w:rPr>
              <w:t> </w:t>
            </w:r>
            <w:r w:rsidRPr="008A011F">
              <w:rPr>
                <w:b/>
                <w:sz w:val="16"/>
                <w:szCs w:val="16"/>
              </w:rPr>
              <w:t>727</w:t>
            </w:r>
          </w:p>
        </w:tc>
        <w:tc>
          <w:tcPr>
            <w:tcW w:w="826" w:type="pct"/>
            <w:tcBorders>
              <w:top w:val="single" w:sz="4" w:space="0" w:color="auto"/>
              <w:left w:val="single" w:sz="4" w:space="0" w:color="auto"/>
              <w:bottom w:val="single" w:sz="4" w:space="0" w:color="auto"/>
              <w:right w:val="single" w:sz="4" w:space="0" w:color="auto"/>
            </w:tcBorders>
            <w:shd w:val="clear" w:color="auto" w:fill="C6D9F1"/>
          </w:tcPr>
          <w:p w:rsidR="00C85043" w:rsidRPr="008A011F" w:rsidRDefault="00C85043" w:rsidP="00C85043">
            <w:pPr>
              <w:keepNext/>
              <w:keepLines/>
              <w:autoSpaceDE w:val="0"/>
              <w:autoSpaceDN w:val="0"/>
              <w:adjustRightInd w:val="0"/>
              <w:spacing w:before="40" w:after="40"/>
              <w:jc w:val="center"/>
              <w:rPr>
                <w:b/>
                <w:sz w:val="16"/>
                <w:szCs w:val="16"/>
              </w:rPr>
            </w:pPr>
          </w:p>
        </w:tc>
        <w:tc>
          <w:tcPr>
            <w:tcW w:w="1001" w:type="pct"/>
            <w:tcBorders>
              <w:top w:val="single" w:sz="4" w:space="0" w:color="auto"/>
              <w:left w:val="single" w:sz="4" w:space="0" w:color="auto"/>
              <w:bottom w:val="single" w:sz="4" w:space="0" w:color="auto"/>
              <w:right w:val="single" w:sz="4" w:space="0" w:color="auto"/>
            </w:tcBorders>
            <w:shd w:val="clear" w:color="auto" w:fill="C6D9F1"/>
          </w:tcPr>
          <w:p w:rsidR="00C85043" w:rsidRPr="008A011F" w:rsidRDefault="00C85043" w:rsidP="00C85043">
            <w:pPr>
              <w:keepNext/>
              <w:keepLines/>
              <w:autoSpaceDE w:val="0"/>
              <w:autoSpaceDN w:val="0"/>
              <w:adjustRightInd w:val="0"/>
              <w:spacing w:before="40" w:after="40"/>
              <w:jc w:val="center"/>
              <w:rPr>
                <w:b/>
                <w:sz w:val="16"/>
                <w:szCs w:val="16"/>
              </w:rPr>
            </w:pPr>
          </w:p>
        </w:tc>
      </w:tr>
    </w:tbl>
    <w:p w:rsidR="00C85043" w:rsidRPr="00811367" w:rsidRDefault="00C85043" w:rsidP="00C85043">
      <w:pPr>
        <w:tabs>
          <w:tab w:val="left" w:pos="3261"/>
        </w:tabs>
        <w:autoSpaceDE w:val="0"/>
        <w:autoSpaceDN w:val="0"/>
        <w:adjustRightInd w:val="0"/>
        <w:rPr>
          <w:szCs w:val="22"/>
        </w:rPr>
      </w:pPr>
    </w:p>
    <w:p w:rsidR="00C85043" w:rsidRPr="008A011F" w:rsidRDefault="00C85043" w:rsidP="00C85043">
      <w:pPr>
        <w:tabs>
          <w:tab w:val="left" w:pos="3261"/>
        </w:tabs>
        <w:autoSpaceDE w:val="0"/>
        <w:autoSpaceDN w:val="0"/>
        <w:adjustRightInd w:val="0"/>
        <w:jc w:val="center"/>
        <w:rPr>
          <w:b/>
          <w:szCs w:val="22"/>
        </w:rPr>
      </w:pPr>
    </w:p>
    <w:p w:rsidR="00C85043" w:rsidRPr="007F540C" w:rsidRDefault="00C85043" w:rsidP="00C85043">
      <w:pPr>
        <w:tabs>
          <w:tab w:val="left" w:pos="3261"/>
        </w:tabs>
        <w:autoSpaceDE w:val="0"/>
        <w:autoSpaceDN w:val="0"/>
        <w:adjustRightInd w:val="0"/>
        <w:jc w:val="center"/>
        <w:rPr>
          <w:b/>
          <w:szCs w:val="22"/>
          <w:lang w:val="ru-RU"/>
        </w:rPr>
      </w:pPr>
      <w:r w:rsidRPr="007F540C">
        <w:rPr>
          <w:b/>
          <w:szCs w:val="22"/>
          <w:lang w:val="ru-RU"/>
        </w:rPr>
        <w:t xml:space="preserve">Сумма бюджетных средств, освоенных в рамках проекта </w:t>
      </w:r>
      <w:r>
        <w:rPr>
          <w:b/>
          <w:szCs w:val="22"/>
          <w:lang w:val="ru-RU"/>
        </w:rPr>
        <w:t>(в разбивке по категориям расходов)</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W w:w="481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5"/>
        <w:gridCol w:w="1840"/>
        <w:gridCol w:w="1839"/>
        <w:gridCol w:w="1999"/>
      </w:tblGrid>
      <w:tr w:rsidR="00C85043" w:rsidRPr="008A011F" w:rsidTr="00C85043">
        <w:trPr>
          <w:trHeight w:val="569"/>
        </w:trPr>
        <w:tc>
          <w:tcPr>
            <w:tcW w:w="191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A011F" w:rsidRDefault="00C85043" w:rsidP="00C85043">
            <w:pPr>
              <w:keepNext/>
              <w:keepLines/>
              <w:autoSpaceDE w:val="0"/>
              <w:autoSpaceDN w:val="0"/>
              <w:adjustRightInd w:val="0"/>
              <w:spacing w:before="40" w:after="40" w:line="260" w:lineRule="exact"/>
              <w:ind w:left="-74" w:right="-60"/>
              <w:jc w:val="center"/>
              <w:rPr>
                <w:b/>
                <w:bCs/>
                <w:sz w:val="16"/>
                <w:szCs w:val="16"/>
              </w:rPr>
            </w:pPr>
            <w:r>
              <w:rPr>
                <w:b/>
                <w:bCs/>
                <w:sz w:val="16"/>
                <w:szCs w:val="16"/>
              </w:rPr>
              <w:t>Категория расходов</w:t>
            </w:r>
          </w:p>
        </w:tc>
        <w:tc>
          <w:tcPr>
            <w:tcW w:w="99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A011F" w:rsidRDefault="00C85043" w:rsidP="00C85043">
            <w:pPr>
              <w:keepNext/>
              <w:keepLines/>
              <w:autoSpaceDE w:val="0"/>
              <w:autoSpaceDN w:val="0"/>
              <w:adjustRightInd w:val="0"/>
              <w:spacing w:before="40" w:after="40" w:line="260" w:lineRule="exact"/>
              <w:ind w:left="-107" w:right="-108"/>
              <w:jc w:val="center"/>
              <w:rPr>
                <w:b/>
                <w:bCs/>
                <w:sz w:val="16"/>
                <w:szCs w:val="16"/>
              </w:rPr>
            </w:pPr>
            <w:r>
              <w:rPr>
                <w:b/>
                <w:bCs/>
                <w:sz w:val="16"/>
                <w:szCs w:val="16"/>
              </w:rPr>
              <w:t>Смета по проекту</w:t>
            </w:r>
          </w:p>
        </w:tc>
        <w:tc>
          <w:tcPr>
            <w:tcW w:w="99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line="260" w:lineRule="exact"/>
              <w:ind w:left="-108"/>
              <w:jc w:val="center"/>
              <w:rPr>
                <w:b/>
                <w:bCs/>
                <w:sz w:val="16"/>
                <w:szCs w:val="16"/>
                <w:lang w:val="ru-RU"/>
              </w:rPr>
            </w:pPr>
            <w:r w:rsidRPr="00715C25">
              <w:rPr>
                <w:b/>
                <w:bCs/>
                <w:sz w:val="16"/>
                <w:szCs w:val="16"/>
                <w:lang w:val="ru-RU"/>
              </w:rPr>
              <w:t xml:space="preserve">Фактические расходы по настоящее время </w:t>
            </w:r>
          </w:p>
        </w:tc>
        <w:tc>
          <w:tcPr>
            <w:tcW w:w="108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A011F" w:rsidRDefault="00C85043" w:rsidP="00C85043">
            <w:pPr>
              <w:keepNext/>
              <w:keepLines/>
              <w:autoSpaceDE w:val="0"/>
              <w:autoSpaceDN w:val="0"/>
              <w:adjustRightInd w:val="0"/>
              <w:spacing w:before="40" w:after="40" w:line="260" w:lineRule="exact"/>
              <w:ind w:left="-109"/>
              <w:jc w:val="center"/>
              <w:rPr>
                <w:b/>
                <w:bCs/>
                <w:sz w:val="16"/>
                <w:szCs w:val="16"/>
              </w:rPr>
            </w:pPr>
            <w:r>
              <w:rPr>
                <w:b/>
                <w:bCs/>
                <w:sz w:val="16"/>
                <w:szCs w:val="16"/>
              </w:rPr>
              <w:t>Фактически освоено бюджетных средств</w:t>
            </w:r>
          </w:p>
        </w:tc>
      </w:tr>
      <w:tr w:rsidR="00C85043" w:rsidRPr="008A011F" w:rsidTr="00C85043">
        <w:tc>
          <w:tcPr>
            <w:tcW w:w="1918" w:type="pct"/>
            <w:tcBorders>
              <w:top w:val="single" w:sz="4" w:space="0" w:color="auto"/>
              <w:left w:val="single" w:sz="4" w:space="0" w:color="auto"/>
              <w:bottom w:val="single" w:sz="4" w:space="0" w:color="auto"/>
              <w:right w:val="single" w:sz="4" w:space="0" w:color="auto"/>
            </w:tcBorders>
            <w:vAlign w:val="center"/>
          </w:tcPr>
          <w:p w:rsidR="00C85043" w:rsidRPr="00906515" w:rsidRDefault="00C85043" w:rsidP="00C85043">
            <w:pPr>
              <w:autoSpaceDE w:val="0"/>
              <w:autoSpaceDN w:val="0"/>
              <w:adjustRightInd w:val="0"/>
              <w:spacing w:before="40" w:after="40" w:line="260" w:lineRule="exact"/>
              <w:rPr>
                <w:sz w:val="16"/>
                <w:szCs w:val="16"/>
                <w:lang w:val="ru-RU"/>
              </w:rPr>
            </w:pPr>
            <w:r>
              <w:rPr>
                <w:sz w:val="16"/>
                <w:szCs w:val="16"/>
                <w:lang w:val="ru-RU"/>
              </w:rPr>
              <w:t>Расходы, связанные со строительством</w:t>
            </w:r>
            <w:r w:rsidRPr="00906515">
              <w:rPr>
                <w:sz w:val="16"/>
                <w:szCs w:val="16"/>
                <w:lang w:val="ru-RU"/>
              </w:rPr>
              <w:t xml:space="preserve"> </w:t>
            </w:r>
          </w:p>
        </w:tc>
        <w:tc>
          <w:tcPr>
            <w:tcW w:w="998"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autoSpaceDE w:val="0"/>
              <w:autoSpaceDN w:val="0"/>
              <w:adjustRightInd w:val="0"/>
              <w:spacing w:before="40" w:after="40" w:line="260" w:lineRule="exact"/>
              <w:jc w:val="center"/>
              <w:rPr>
                <w:sz w:val="16"/>
                <w:szCs w:val="16"/>
              </w:rPr>
            </w:pPr>
            <w:r w:rsidRPr="008A011F">
              <w:rPr>
                <w:sz w:val="16"/>
                <w:szCs w:val="16"/>
              </w:rPr>
              <w:t>585</w:t>
            </w:r>
            <w:r>
              <w:rPr>
                <w:sz w:val="16"/>
                <w:szCs w:val="16"/>
              </w:rPr>
              <w:t> </w:t>
            </w:r>
            <w:r w:rsidRPr="008A011F">
              <w:rPr>
                <w:sz w:val="16"/>
                <w:szCs w:val="16"/>
              </w:rPr>
              <w:t>000</w:t>
            </w:r>
          </w:p>
        </w:tc>
        <w:tc>
          <w:tcPr>
            <w:tcW w:w="998"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autoSpaceDE w:val="0"/>
              <w:autoSpaceDN w:val="0"/>
              <w:adjustRightInd w:val="0"/>
              <w:spacing w:before="40" w:after="40" w:line="260" w:lineRule="exact"/>
              <w:jc w:val="center"/>
              <w:rPr>
                <w:sz w:val="16"/>
                <w:szCs w:val="16"/>
              </w:rPr>
            </w:pPr>
            <w:r w:rsidRPr="008A011F">
              <w:rPr>
                <w:sz w:val="16"/>
                <w:szCs w:val="16"/>
              </w:rPr>
              <w:t>203</w:t>
            </w:r>
            <w:r>
              <w:rPr>
                <w:sz w:val="16"/>
                <w:szCs w:val="16"/>
              </w:rPr>
              <w:t> </w:t>
            </w:r>
            <w:r w:rsidRPr="008A011F">
              <w:rPr>
                <w:sz w:val="16"/>
                <w:szCs w:val="16"/>
              </w:rPr>
              <w:t>087</w:t>
            </w:r>
          </w:p>
        </w:tc>
        <w:tc>
          <w:tcPr>
            <w:tcW w:w="1085"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autoSpaceDE w:val="0"/>
              <w:autoSpaceDN w:val="0"/>
              <w:adjustRightInd w:val="0"/>
              <w:spacing w:before="40" w:after="40" w:line="260" w:lineRule="exact"/>
              <w:jc w:val="center"/>
              <w:rPr>
                <w:sz w:val="16"/>
                <w:szCs w:val="16"/>
              </w:rPr>
            </w:pPr>
            <w:r w:rsidRPr="008A011F">
              <w:rPr>
                <w:sz w:val="16"/>
                <w:szCs w:val="16"/>
              </w:rPr>
              <w:t>34</w:t>
            </w:r>
            <w:r>
              <w:rPr>
                <w:sz w:val="16"/>
                <w:szCs w:val="16"/>
              </w:rPr>
              <w:t>,</w:t>
            </w:r>
            <w:r w:rsidRPr="008A011F">
              <w:rPr>
                <w:sz w:val="16"/>
                <w:szCs w:val="16"/>
              </w:rPr>
              <w:t>7%</w:t>
            </w:r>
          </w:p>
        </w:tc>
      </w:tr>
      <w:tr w:rsidR="00C85043" w:rsidRPr="008A011F" w:rsidTr="00C85043">
        <w:tc>
          <w:tcPr>
            <w:tcW w:w="1918"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autoSpaceDE w:val="0"/>
              <w:autoSpaceDN w:val="0"/>
              <w:adjustRightInd w:val="0"/>
              <w:spacing w:before="40" w:after="40" w:line="260" w:lineRule="exact"/>
              <w:rPr>
                <w:sz w:val="16"/>
                <w:szCs w:val="16"/>
              </w:rPr>
            </w:pPr>
            <w:r>
              <w:rPr>
                <w:sz w:val="16"/>
                <w:szCs w:val="16"/>
              </w:rPr>
              <w:t>Гонорары</w:t>
            </w:r>
          </w:p>
        </w:tc>
        <w:tc>
          <w:tcPr>
            <w:tcW w:w="998"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autoSpaceDE w:val="0"/>
              <w:autoSpaceDN w:val="0"/>
              <w:adjustRightInd w:val="0"/>
              <w:spacing w:before="40" w:after="40" w:line="260" w:lineRule="exact"/>
              <w:jc w:val="center"/>
              <w:rPr>
                <w:sz w:val="16"/>
                <w:szCs w:val="16"/>
              </w:rPr>
            </w:pPr>
            <w:r w:rsidRPr="008A011F">
              <w:rPr>
                <w:sz w:val="16"/>
                <w:szCs w:val="16"/>
              </w:rPr>
              <w:t>113</w:t>
            </w:r>
            <w:r>
              <w:rPr>
                <w:sz w:val="16"/>
                <w:szCs w:val="16"/>
              </w:rPr>
              <w:t> </w:t>
            </w:r>
            <w:r w:rsidRPr="008A011F">
              <w:rPr>
                <w:sz w:val="16"/>
                <w:szCs w:val="16"/>
              </w:rPr>
              <w:t>000</w:t>
            </w:r>
          </w:p>
        </w:tc>
        <w:tc>
          <w:tcPr>
            <w:tcW w:w="998" w:type="pct"/>
            <w:tcBorders>
              <w:top w:val="single" w:sz="4" w:space="0" w:color="auto"/>
              <w:left w:val="single" w:sz="4" w:space="0" w:color="auto"/>
              <w:bottom w:val="single" w:sz="4" w:space="0" w:color="auto"/>
              <w:right w:val="single" w:sz="4" w:space="0" w:color="auto"/>
            </w:tcBorders>
          </w:tcPr>
          <w:p w:rsidR="00C85043" w:rsidRPr="008A011F" w:rsidRDefault="00C85043" w:rsidP="00C85043">
            <w:pPr>
              <w:autoSpaceDE w:val="0"/>
              <w:autoSpaceDN w:val="0"/>
              <w:adjustRightInd w:val="0"/>
              <w:spacing w:before="40" w:after="40" w:line="260" w:lineRule="exact"/>
              <w:jc w:val="center"/>
              <w:rPr>
                <w:sz w:val="16"/>
                <w:szCs w:val="16"/>
              </w:rPr>
            </w:pPr>
            <w:r w:rsidRPr="008A011F">
              <w:rPr>
                <w:sz w:val="16"/>
                <w:szCs w:val="16"/>
              </w:rPr>
              <w:t>59</w:t>
            </w:r>
            <w:r>
              <w:rPr>
                <w:sz w:val="16"/>
                <w:szCs w:val="16"/>
              </w:rPr>
              <w:t> </w:t>
            </w:r>
            <w:r w:rsidRPr="008A011F">
              <w:rPr>
                <w:sz w:val="16"/>
                <w:szCs w:val="16"/>
              </w:rPr>
              <w:t>640</w:t>
            </w:r>
          </w:p>
        </w:tc>
        <w:tc>
          <w:tcPr>
            <w:tcW w:w="1085" w:type="pct"/>
            <w:tcBorders>
              <w:top w:val="single" w:sz="4" w:space="0" w:color="auto"/>
              <w:left w:val="single" w:sz="4" w:space="0" w:color="auto"/>
              <w:bottom w:val="single" w:sz="4" w:space="0" w:color="auto"/>
              <w:right w:val="single" w:sz="4" w:space="0" w:color="auto"/>
            </w:tcBorders>
          </w:tcPr>
          <w:p w:rsidR="00C85043" w:rsidRPr="008A011F" w:rsidRDefault="00C85043" w:rsidP="00C85043">
            <w:pPr>
              <w:autoSpaceDE w:val="0"/>
              <w:autoSpaceDN w:val="0"/>
              <w:adjustRightInd w:val="0"/>
              <w:spacing w:before="40" w:after="40" w:line="260" w:lineRule="exact"/>
              <w:jc w:val="center"/>
              <w:rPr>
                <w:sz w:val="16"/>
                <w:szCs w:val="16"/>
              </w:rPr>
            </w:pPr>
            <w:r>
              <w:rPr>
                <w:sz w:val="16"/>
                <w:szCs w:val="16"/>
              </w:rPr>
              <w:t>52,</w:t>
            </w:r>
            <w:r w:rsidRPr="008A011F">
              <w:rPr>
                <w:sz w:val="16"/>
                <w:szCs w:val="16"/>
              </w:rPr>
              <w:t>8%</w:t>
            </w:r>
          </w:p>
        </w:tc>
      </w:tr>
      <w:tr w:rsidR="00C85043" w:rsidRPr="008A011F" w:rsidTr="00C85043">
        <w:tc>
          <w:tcPr>
            <w:tcW w:w="1918"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autoSpaceDE w:val="0"/>
              <w:autoSpaceDN w:val="0"/>
              <w:adjustRightInd w:val="0"/>
              <w:spacing w:before="40" w:after="40" w:line="260" w:lineRule="exact"/>
              <w:rPr>
                <w:sz w:val="16"/>
                <w:szCs w:val="16"/>
              </w:rPr>
            </w:pPr>
            <w:r>
              <w:rPr>
                <w:sz w:val="16"/>
                <w:szCs w:val="16"/>
              </w:rPr>
              <w:t>Прочие и непредвиденные расходы</w:t>
            </w:r>
            <w:r w:rsidRPr="008A011F">
              <w:rPr>
                <w:sz w:val="16"/>
                <w:szCs w:val="16"/>
              </w:rPr>
              <w:t xml:space="preserve"> </w:t>
            </w:r>
          </w:p>
        </w:tc>
        <w:tc>
          <w:tcPr>
            <w:tcW w:w="998"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autoSpaceDE w:val="0"/>
              <w:autoSpaceDN w:val="0"/>
              <w:adjustRightInd w:val="0"/>
              <w:spacing w:before="40" w:after="40" w:line="260" w:lineRule="exact"/>
              <w:jc w:val="center"/>
              <w:rPr>
                <w:sz w:val="16"/>
                <w:szCs w:val="16"/>
              </w:rPr>
            </w:pPr>
            <w:r w:rsidRPr="008A011F">
              <w:rPr>
                <w:sz w:val="16"/>
                <w:szCs w:val="16"/>
              </w:rPr>
              <w:t>52</w:t>
            </w:r>
            <w:r>
              <w:rPr>
                <w:sz w:val="16"/>
                <w:szCs w:val="16"/>
              </w:rPr>
              <w:t> </w:t>
            </w:r>
            <w:r w:rsidRPr="008A011F">
              <w:rPr>
                <w:sz w:val="16"/>
                <w:szCs w:val="16"/>
              </w:rPr>
              <w:t>000</w:t>
            </w:r>
          </w:p>
        </w:tc>
        <w:tc>
          <w:tcPr>
            <w:tcW w:w="998"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autoSpaceDE w:val="0"/>
              <w:autoSpaceDN w:val="0"/>
              <w:adjustRightInd w:val="0"/>
              <w:spacing w:before="40" w:after="40" w:line="260" w:lineRule="exact"/>
              <w:jc w:val="center"/>
              <w:rPr>
                <w:sz w:val="16"/>
                <w:szCs w:val="16"/>
              </w:rPr>
            </w:pPr>
            <w:r w:rsidRPr="008A011F">
              <w:rPr>
                <w:sz w:val="16"/>
                <w:szCs w:val="16"/>
              </w:rPr>
              <w:t>0</w:t>
            </w:r>
          </w:p>
        </w:tc>
        <w:tc>
          <w:tcPr>
            <w:tcW w:w="1085" w:type="pct"/>
            <w:tcBorders>
              <w:top w:val="single" w:sz="4" w:space="0" w:color="auto"/>
              <w:left w:val="single" w:sz="4" w:space="0" w:color="auto"/>
              <w:bottom w:val="single" w:sz="4" w:space="0" w:color="auto"/>
              <w:right w:val="single" w:sz="4" w:space="0" w:color="auto"/>
            </w:tcBorders>
            <w:vAlign w:val="center"/>
          </w:tcPr>
          <w:p w:rsidR="00C85043" w:rsidRPr="008A011F" w:rsidRDefault="00C85043" w:rsidP="00C85043">
            <w:pPr>
              <w:autoSpaceDE w:val="0"/>
              <w:autoSpaceDN w:val="0"/>
              <w:adjustRightInd w:val="0"/>
              <w:spacing w:before="40" w:after="40" w:line="260" w:lineRule="exact"/>
              <w:jc w:val="center"/>
              <w:rPr>
                <w:sz w:val="16"/>
                <w:szCs w:val="16"/>
              </w:rPr>
            </w:pPr>
            <w:r w:rsidRPr="008A011F">
              <w:rPr>
                <w:sz w:val="16"/>
                <w:szCs w:val="16"/>
              </w:rPr>
              <w:t>0%</w:t>
            </w:r>
          </w:p>
        </w:tc>
      </w:tr>
      <w:tr w:rsidR="00C85043" w:rsidRPr="008A011F" w:rsidTr="00C85043">
        <w:tc>
          <w:tcPr>
            <w:tcW w:w="191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A011F" w:rsidRDefault="00C85043" w:rsidP="00C85043">
            <w:pPr>
              <w:autoSpaceDE w:val="0"/>
              <w:autoSpaceDN w:val="0"/>
              <w:adjustRightInd w:val="0"/>
              <w:spacing w:before="40" w:after="40" w:line="260" w:lineRule="exact"/>
              <w:rPr>
                <w:b/>
                <w:sz w:val="16"/>
                <w:szCs w:val="16"/>
              </w:rPr>
            </w:pPr>
            <w:r>
              <w:rPr>
                <w:b/>
                <w:sz w:val="16"/>
                <w:szCs w:val="16"/>
              </w:rPr>
              <w:t>Итого</w:t>
            </w:r>
          </w:p>
        </w:tc>
        <w:tc>
          <w:tcPr>
            <w:tcW w:w="99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8A011F" w:rsidRDefault="00C85043" w:rsidP="00C85043">
            <w:pPr>
              <w:autoSpaceDE w:val="0"/>
              <w:autoSpaceDN w:val="0"/>
              <w:adjustRightInd w:val="0"/>
              <w:spacing w:before="40" w:after="40" w:line="260" w:lineRule="exact"/>
              <w:jc w:val="center"/>
              <w:rPr>
                <w:b/>
                <w:sz w:val="16"/>
                <w:szCs w:val="16"/>
              </w:rPr>
            </w:pPr>
            <w:r w:rsidRPr="008A011F">
              <w:rPr>
                <w:b/>
                <w:sz w:val="16"/>
                <w:szCs w:val="16"/>
              </w:rPr>
              <w:t>750</w:t>
            </w:r>
            <w:r>
              <w:rPr>
                <w:b/>
                <w:sz w:val="16"/>
                <w:szCs w:val="16"/>
              </w:rPr>
              <w:t> </w:t>
            </w:r>
            <w:r w:rsidRPr="008A011F">
              <w:rPr>
                <w:b/>
                <w:sz w:val="16"/>
                <w:szCs w:val="16"/>
              </w:rPr>
              <w:t>000</w:t>
            </w:r>
          </w:p>
        </w:tc>
        <w:tc>
          <w:tcPr>
            <w:tcW w:w="998" w:type="pct"/>
            <w:tcBorders>
              <w:top w:val="single" w:sz="4" w:space="0" w:color="auto"/>
              <w:left w:val="single" w:sz="4" w:space="0" w:color="auto"/>
              <w:bottom w:val="single" w:sz="4" w:space="0" w:color="auto"/>
              <w:right w:val="single" w:sz="4" w:space="0" w:color="auto"/>
            </w:tcBorders>
            <w:shd w:val="clear" w:color="auto" w:fill="C6D9F1"/>
          </w:tcPr>
          <w:p w:rsidR="00C85043" w:rsidRPr="008A011F" w:rsidRDefault="00C85043" w:rsidP="00C85043">
            <w:pPr>
              <w:autoSpaceDE w:val="0"/>
              <w:autoSpaceDN w:val="0"/>
              <w:adjustRightInd w:val="0"/>
              <w:spacing w:before="40" w:after="40" w:line="260" w:lineRule="exact"/>
              <w:jc w:val="center"/>
              <w:rPr>
                <w:b/>
                <w:sz w:val="16"/>
                <w:szCs w:val="16"/>
              </w:rPr>
            </w:pPr>
            <w:r w:rsidRPr="008A011F">
              <w:rPr>
                <w:b/>
                <w:sz w:val="16"/>
                <w:szCs w:val="16"/>
              </w:rPr>
              <w:t>262</w:t>
            </w:r>
            <w:r>
              <w:rPr>
                <w:b/>
                <w:sz w:val="16"/>
                <w:szCs w:val="16"/>
              </w:rPr>
              <w:t> </w:t>
            </w:r>
            <w:r w:rsidRPr="008A011F">
              <w:rPr>
                <w:b/>
                <w:sz w:val="16"/>
                <w:szCs w:val="16"/>
              </w:rPr>
              <w:t>727</w:t>
            </w:r>
          </w:p>
        </w:tc>
        <w:tc>
          <w:tcPr>
            <w:tcW w:w="1085" w:type="pct"/>
            <w:tcBorders>
              <w:top w:val="single" w:sz="4" w:space="0" w:color="auto"/>
              <w:left w:val="single" w:sz="4" w:space="0" w:color="auto"/>
              <w:bottom w:val="single" w:sz="4" w:space="0" w:color="auto"/>
              <w:right w:val="single" w:sz="4" w:space="0" w:color="auto"/>
            </w:tcBorders>
            <w:shd w:val="clear" w:color="auto" w:fill="C6D9F1"/>
          </w:tcPr>
          <w:p w:rsidR="00C85043" w:rsidRPr="008A011F" w:rsidRDefault="00C85043" w:rsidP="00C85043">
            <w:pPr>
              <w:autoSpaceDE w:val="0"/>
              <w:autoSpaceDN w:val="0"/>
              <w:adjustRightInd w:val="0"/>
              <w:spacing w:before="40" w:after="40" w:line="260" w:lineRule="exact"/>
              <w:jc w:val="center"/>
              <w:rPr>
                <w:b/>
                <w:sz w:val="16"/>
                <w:szCs w:val="16"/>
              </w:rPr>
            </w:pPr>
          </w:p>
        </w:tc>
      </w:tr>
    </w:tbl>
    <w:p w:rsidR="00C85043" w:rsidRPr="00E012EF" w:rsidRDefault="00C85043" w:rsidP="00C85043">
      <w:pPr>
        <w:rPr>
          <w:rFonts w:cs="Arial"/>
          <w:szCs w:val="20"/>
        </w:rPr>
      </w:pPr>
    </w:p>
    <w:p w:rsidR="00C85043" w:rsidRPr="00E012EF" w:rsidRDefault="00C85043" w:rsidP="00C85043">
      <w:pPr>
        <w:rPr>
          <w:rFonts w:cs="Arial"/>
          <w:szCs w:val="20"/>
        </w:rPr>
      </w:pPr>
    </w:p>
    <w:p w:rsidR="00C85043" w:rsidRPr="001E1470" w:rsidRDefault="00C85043" w:rsidP="00C85043">
      <w:pPr>
        <w:rPr>
          <w:rFonts w:cs="Arial"/>
          <w:color w:val="000000"/>
          <w:szCs w:val="20"/>
          <w:lang w:val="ru-RU"/>
        </w:rPr>
      </w:pPr>
      <w:r w:rsidRPr="001E1470">
        <w:rPr>
          <w:rFonts w:cs="Arial"/>
          <w:color w:val="000000"/>
          <w:szCs w:val="20"/>
          <w:lang w:val="ru-RU"/>
        </w:rPr>
        <w:t>РИСКИ И СТРАТЕГИИ ИХ СНИЖЕНИЯ</w:t>
      </w:r>
    </w:p>
    <w:p w:rsidR="00C85043" w:rsidRPr="001E1470" w:rsidRDefault="00C85043" w:rsidP="00C85043">
      <w:pPr>
        <w:rPr>
          <w:rFonts w:cs="Arial"/>
          <w:color w:val="000000"/>
          <w:szCs w:val="20"/>
          <w:lang w:val="ru-RU"/>
        </w:rPr>
      </w:pPr>
    </w:p>
    <w:tbl>
      <w:tblPr>
        <w:tblW w:w="47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0"/>
        <w:gridCol w:w="3072"/>
        <w:gridCol w:w="3000"/>
      </w:tblGrid>
      <w:tr w:rsidR="00C85043" w:rsidRPr="00E32074" w:rsidTr="00C85043">
        <w:trPr>
          <w:trHeight w:val="477"/>
          <w:tblHeader/>
          <w:jc w:val="center"/>
        </w:trPr>
        <w:tc>
          <w:tcPr>
            <w:tcW w:w="1679" w:type="pct"/>
            <w:shd w:val="clear" w:color="auto" w:fill="C6D9F1"/>
            <w:vAlign w:val="center"/>
          </w:tcPr>
          <w:p w:rsidR="00C85043" w:rsidRPr="00E32074" w:rsidRDefault="00C85043" w:rsidP="00C85043">
            <w:pPr>
              <w:autoSpaceDE w:val="0"/>
              <w:autoSpaceDN w:val="0"/>
              <w:adjustRightInd w:val="0"/>
              <w:spacing w:before="40" w:after="40" w:line="260" w:lineRule="exact"/>
              <w:ind w:left="-74" w:right="-60"/>
              <w:jc w:val="center"/>
              <w:rPr>
                <w:b/>
                <w:bCs/>
                <w:sz w:val="16"/>
                <w:szCs w:val="16"/>
              </w:rPr>
            </w:pPr>
            <w:r>
              <w:rPr>
                <w:b/>
                <w:bCs/>
                <w:sz w:val="16"/>
                <w:szCs w:val="16"/>
                <w:lang w:val="ru-RU"/>
              </w:rPr>
              <w:t>Риск</w:t>
            </w:r>
            <w:r>
              <w:rPr>
                <w:b/>
                <w:bCs/>
                <w:sz w:val="16"/>
                <w:szCs w:val="16"/>
              </w:rPr>
              <w:t xml:space="preserve"> / </w:t>
            </w:r>
            <w:r>
              <w:rPr>
                <w:b/>
                <w:bCs/>
                <w:sz w:val="16"/>
                <w:szCs w:val="16"/>
                <w:lang w:val="ru-RU"/>
              </w:rPr>
              <w:t>Описание риска</w:t>
            </w:r>
          </w:p>
        </w:tc>
        <w:tc>
          <w:tcPr>
            <w:tcW w:w="1680" w:type="pct"/>
            <w:tcBorders>
              <w:bottom w:val="single" w:sz="4" w:space="0" w:color="auto"/>
            </w:tcBorders>
            <w:shd w:val="clear" w:color="auto" w:fill="C6D9F1"/>
            <w:vAlign w:val="center"/>
          </w:tcPr>
          <w:p w:rsidR="00C85043" w:rsidRPr="00E32074" w:rsidRDefault="00C85043" w:rsidP="00C85043">
            <w:pPr>
              <w:autoSpaceDE w:val="0"/>
              <w:autoSpaceDN w:val="0"/>
              <w:adjustRightInd w:val="0"/>
              <w:spacing w:before="40" w:after="40" w:line="260" w:lineRule="exact"/>
              <w:ind w:left="-107" w:right="-108"/>
              <w:jc w:val="center"/>
              <w:rPr>
                <w:b/>
                <w:bCs/>
                <w:sz w:val="16"/>
                <w:szCs w:val="16"/>
              </w:rPr>
            </w:pPr>
            <w:r>
              <w:rPr>
                <w:b/>
                <w:bCs/>
                <w:sz w:val="16"/>
                <w:szCs w:val="16"/>
              </w:rPr>
              <w:t>Меры по уменьшению риска</w:t>
            </w:r>
            <w:r w:rsidRPr="00E32074" w:rsidDel="003965B5">
              <w:rPr>
                <w:b/>
                <w:bCs/>
                <w:color w:val="000000"/>
                <w:sz w:val="16"/>
                <w:szCs w:val="16"/>
              </w:rPr>
              <w:t xml:space="preserve"> </w:t>
            </w:r>
          </w:p>
        </w:tc>
        <w:tc>
          <w:tcPr>
            <w:tcW w:w="1641" w:type="pct"/>
            <w:shd w:val="clear" w:color="auto" w:fill="C6D9F1"/>
            <w:vAlign w:val="center"/>
          </w:tcPr>
          <w:p w:rsidR="00C85043" w:rsidRPr="00E32074" w:rsidRDefault="00C85043" w:rsidP="00C85043">
            <w:pPr>
              <w:autoSpaceDE w:val="0"/>
              <w:autoSpaceDN w:val="0"/>
              <w:adjustRightInd w:val="0"/>
              <w:spacing w:before="40" w:after="40" w:line="260" w:lineRule="exact"/>
              <w:ind w:left="-109"/>
              <w:jc w:val="center"/>
              <w:rPr>
                <w:b/>
                <w:bCs/>
                <w:sz w:val="16"/>
                <w:szCs w:val="16"/>
              </w:rPr>
            </w:pPr>
            <w:r>
              <w:rPr>
                <w:b/>
                <w:bCs/>
                <w:sz w:val="16"/>
                <w:szCs w:val="16"/>
              </w:rPr>
              <w:t>Примечание</w:t>
            </w:r>
          </w:p>
        </w:tc>
      </w:tr>
      <w:tr w:rsidR="00C85043" w:rsidRPr="005C6ABD" w:rsidTr="00C85043">
        <w:trPr>
          <w:trHeight w:val="881"/>
          <w:jc w:val="center"/>
        </w:trPr>
        <w:tc>
          <w:tcPr>
            <w:tcW w:w="1679" w:type="pct"/>
            <w:shd w:val="clear" w:color="auto" w:fill="auto"/>
          </w:tcPr>
          <w:p w:rsidR="00C85043" w:rsidRPr="00BC2CFD" w:rsidRDefault="00C85043" w:rsidP="00C85043">
            <w:pPr>
              <w:autoSpaceDE w:val="0"/>
              <w:autoSpaceDN w:val="0"/>
              <w:adjustRightInd w:val="0"/>
              <w:spacing w:before="40" w:after="40"/>
              <w:rPr>
                <w:sz w:val="16"/>
                <w:szCs w:val="16"/>
                <w:lang w:val="ru-RU"/>
              </w:rPr>
            </w:pPr>
            <w:r w:rsidRPr="00BC2CFD">
              <w:rPr>
                <w:sz w:val="16"/>
                <w:szCs w:val="16"/>
                <w:lang w:val="ru-RU"/>
              </w:rPr>
              <w:t>Невозможн</w:t>
            </w:r>
            <w:r>
              <w:rPr>
                <w:sz w:val="16"/>
                <w:szCs w:val="16"/>
                <w:lang w:val="ru-RU"/>
              </w:rPr>
              <w:t>ость</w:t>
            </w:r>
            <w:r w:rsidRPr="00BC2CFD">
              <w:rPr>
                <w:sz w:val="16"/>
                <w:szCs w:val="16"/>
                <w:lang w:val="ru-RU"/>
              </w:rPr>
              <w:t xml:space="preserve"> выполнени</w:t>
            </w:r>
            <w:r>
              <w:rPr>
                <w:sz w:val="16"/>
                <w:szCs w:val="16"/>
                <w:lang w:val="ru-RU"/>
              </w:rPr>
              <w:t>я</w:t>
            </w:r>
            <w:r w:rsidRPr="00BC2CFD">
              <w:rPr>
                <w:sz w:val="16"/>
                <w:szCs w:val="16"/>
                <w:lang w:val="ru-RU"/>
              </w:rPr>
              <w:t xml:space="preserve"> работ в здании </w:t>
            </w:r>
            <w:r>
              <w:rPr>
                <w:sz w:val="16"/>
                <w:szCs w:val="16"/>
              </w:rPr>
              <w:t>PCT</w:t>
            </w:r>
            <w:r>
              <w:rPr>
                <w:sz w:val="16"/>
                <w:szCs w:val="16"/>
                <w:lang w:val="ru-RU"/>
              </w:rPr>
              <w:t xml:space="preserve"> до</w:t>
            </w:r>
            <w:r w:rsidRPr="00BC2CFD">
              <w:rPr>
                <w:sz w:val="16"/>
                <w:szCs w:val="16"/>
                <w:lang w:val="ru-RU"/>
              </w:rPr>
              <w:t xml:space="preserve"> </w:t>
            </w:r>
            <w:r>
              <w:rPr>
                <w:sz w:val="16"/>
                <w:szCs w:val="16"/>
                <w:lang w:val="ru-RU"/>
              </w:rPr>
              <w:t>лета</w:t>
            </w:r>
            <w:r w:rsidRPr="00BC2CFD">
              <w:rPr>
                <w:sz w:val="16"/>
                <w:szCs w:val="16"/>
                <w:lang w:val="ru-RU"/>
              </w:rPr>
              <w:t xml:space="preserve"> 2015 </w:t>
            </w:r>
            <w:r>
              <w:rPr>
                <w:sz w:val="16"/>
                <w:szCs w:val="16"/>
                <w:lang w:val="ru-RU"/>
              </w:rPr>
              <w:t>г</w:t>
            </w:r>
            <w:r w:rsidRPr="00BC2CFD">
              <w:rPr>
                <w:sz w:val="16"/>
                <w:szCs w:val="16"/>
                <w:lang w:val="ru-RU"/>
              </w:rPr>
              <w:t>. в связи с невозможн</w:t>
            </w:r>
            <w:r>
              <w:rPr>
                <w:sz w:val="16"/>
                <w:szCs w:val="16"/>
                <w:lang w:val="ru-RU"/>
              </w:rPr>
              <w:t xml:space="preserve">остью </w:t>
            </w:r>
            <w:r w:rsidRPr="00BC2CFD">
              <w:rPr>
                <w:sz w:val="16"/>
                <w:szCs w:val="16"/>
                <w:lang w:val="ru-RU"/>
              </w:rPr>
              <w:t>заключени</w:t>
            </w:r>
            <w:r>
              <w:rPr>
                <w:sz w:val="16"/>
                <w:szCs w:val="16"/>
                <w:lang w:val="ru-RU"/>
              </w:rPr>
              <w:t xml:space="preserve">я </w:t>
            </w:r>
            <w:r w:rsidRPr="00BC2CFD">
              <w:rPr>
                <w:sz w:val="16"/>
                <w:szCs w:val="16"/>
                <w:lang w:val="ru-RU"/>
              </w:rPr>
              <w:t>контракт</w:t>
            </w:r>
            <w:r>
              <w:rPr>
                <w:sz w:val="16"/>
                <w:szCs w:val="16"/>
                <w:lang w:val="ru-RU"/>
              </w:rPr>
              <w:t xml:space="preserve">ов с фирмами </w:t>
            </w:r>
            <w:r w:rsidRPr="00E9446C">
              <w:rPr>
                <w:sz w:val="16"/>
                <w:szCs w:val="16"/>
                <w:lang w:val="ru-RU"/>
              </w:rPr>
              <w:t xml:space="preserve">в соответствии с </w:t>
            </w:r>
            <w:r w:rsidRPr="00BC2CFD">
              <w:rPr>
                <w:sz w:val="16"/>
                <w:szCs w:val="16"/>
                <w:lang w:val="ru-RU"/>
              </w:rPr>
              <w:t>график</w:t>
            </w:r>
            <w:r>
              <w:rPr>
                <w:sz w:val="16"/>
                <w:szCs w:val="16"/>
                <w:lang w:val="ru-RU"/>
              </w:rPr>
              <w:t xml:space="preserve">ом, принятым </w:t>
            </w:r>
            <w:r w:rsidRPr="00BC2CFD">
              <w:rPr>
                <w:sz w:val="16"/>
                <w:szCs w:val="16"/>
                <w:lang w:val="ru-RU"/>
              </w:rPr>
              <w:t>ВОИС.</w:t>
            </w:r>
          </w:p>
        </w:tc>
        <w:tc>
          <w:tcPr>
            <w:tcW w:w="1680" w:type="pct"/>
            <w:shd w:val="clear" w:color="auto" w:fill="auto"/>
          </w:tcPr>
          <w:p w:rsidR="00C85043" w:rsidRPr="00E95A00" w:rsidRDefault="00C85043" w:rsidP="00C85043">
            <w:pPr>
              <w:pStyle w:val="Default"/>
              <w:rPr>
                <w:color w:val="auto"/>
                <w:sz w:val="16"/>
                <w:szCs w:val="16"/>
                <w:lang w:val="ru-RU"/>
              </w:rPr>
            </w:pPr>
            <w:r>
              <w:rPr>
                <w:color w:val="auto"/>
                <w:sz w:val="16"/>
                <w:szCs w:val="16"/>
                <w:lang w:val="ru-RU"/>
              </w:rPr>
              <w:t xml:space="preserve">Задержка в </w:t>
            </w:r>
            <w:r w:rsidRPr="00476689">
              <w:rPr>
                <w:color w:val="auto"/>
                <w:sz w:val="16"/>
                <w:szCs w:val="16"/>
                <w:lang w:val="ru-RU"/>
              </w:rPr>
              <w:t>выполнени</w:t>
            </w:r>
            <w:r>
              <w:rPr>
                <w:color w:val="auto"/>
                <w:sz w:val="16"/>
                <w:szCs w:val="16"/>
                <w:lang w:val="ru-RU"/>
              </w:rPr>
              <w:t xml:space="preserve">и </w:t>
            </w:r>
            <w:r w:rsidRPr="009044EE">
              <w:rPr>
                <w:color w:val="auto"/>
                <w:sz w:val="16"/>
                <w:szCs w:val="16"/>
                <w:lang w:val="ru-RU"/>
              </w:rPr>
              <w:t xml:space="preserve">работ </w:t>
            </w:r>
            <w:r>
              <w:rPr>
                <w:color w:val="auto"/>
                <w:sz w:val="16"/>
                <w:szCs w:val="16"/>
                <w:lang w:val="ru-RU"/>
              </w:rPr>
              <w:t>до октября/ноября</w:t>
            </w:r>
            <w:r w:rsidRPr="009044EE">
              <w:rPr>
                <w:color w:val="auto"/>
                <w:sz w:val="16"/>
                <w:szCs w:val="16"/>
                <w:lang w:val="ru-RU"/>
              </w:rPr>
              <w:t xml:space="preserve"> 2015 г.</w:t>
            </w:r>
          </w:p>
        </w:tc>
        <w:tc>
          <w:tcPr>
            <w:tcW w:w="1641" w:type="pct"/>
            <w:shd w:val="clear" w:color="auto" w:fill="auto"/>
          </w:tcPr>
          <w:p w:rsidR="00C85043" w:rsidRPr="004C29C9" w:rsidRDefault="00C85043" w:rsidP="00C85043">
            <w:pPr>
              <w:autoSpaceDE w:val="0"/>
              <w:autoSpaceDN w:val="0"/>
              <w:adjustRightInd w:val="0"/>
              <w:spacing w:before="40" w:after="40"/>
              <w:rPr>
                <w:sz w:val="16"/>
                <w:szCs w:val="16"/>
                <w:lang w:val="ru-RU"/>
              </w:rPr>
            </w:pPr>
            <w:r w:rsidRPr="00E9446C">
              <w:rPr>
                <w:snapToGrid w:val="0"/>
                <w:sz w:val="16"/>
                <w:szCs w:val="16"/>
                <w:lang w:val="ru-RU"/>
              </w:rPr>
              <w:t>Данн</w:t>
            </w:r>
            <w:r>
              <w:rPr>
                <w:sz w:val="16"/>
                <w:szCs w:val="16"/>
                <w:lang w:val="ru-RU"/>
              </w:rPr>
              <w:t xml:space="preserve">ый риск </w:t>
            </w:r>
            <w:r w:rsidRPr="00E9446C">
              <w:rPr>
                <w:sz w:val="16"/>
                <w:szCs w:val="16"/>
                <w:lang w:val="ru-RU"/>
              </w:rPr>
              <w:t>материал</w:t>
            </w:r>
            <w:r>
              <w:rPr>
                <w:sz w:val="16"/>
                <w:szCs w:val="16"/>
                <w:lang w:val="ru-RU"/>
              </w:rPr>
              <w:t>изовался</w:t>
            </w:r>
            <w:r w:rsidRPr="00BC2CFD">
              <w:rPr>
                <w:sz w:val="16"/>
                <w:szCs w:val="16"/>
                <w:lang w:val="ru-RU"/>
              </w:rPr>
              <w:t xml:space="preserve">.  </w:t>
            </w:r>
            <w:r>
              <w:rPr>
                <w:sz w:val="16"/>
                <w:szCs w:val="16"/>
                <w:lang w:val="ru-RU"/>
              </w:rPr>
              <w:t xml:space="preserve">Общий график </w:t>
            </w:r>
            <w:r w:rsidRPr="00476689">
              <w:rPr>
                <w:sz w:val="16"/>
                <w:szCs w:val="16"/>
                <w:lang w:val="ru-RU"/>
              </w:rPr>
              <w:t>проект</w:t>
            </w:r>
            <w:r>
              <w:rPr>
                <w:sz w:val="16"/>
                <w:szCs w:val="16"/>
                <w:lang w:val="ru-RU"/>
              </w:rPr>
              <w:t>а был пересмотрен</w:t>
            </w:r>
            <w:r w:rsidRPr="004C29C9">
              <w:rPr>
                <w:sz w:val="16"/>
                <w:szCs w:val="16"/>
                <w:lang w:val="ru-RU"/>
              </w:rPr>
              <w:t xml:space="preserve">. </w:t>
            </w:r>
          </w:p>
        </w:tc>
      </w:tr>
      <w:tr w:rsidR="00C85043" w:rsidRPr="005C6ABD" w:rsidTr="00C85043">
        <w:trPr>
          <w:trHeight w:val="776"/>
          <w:jc w:val="center"/>
        </w:trPr>
        <w:tc>
          <w:tcPr>
            <w:tcW w:w="1679" w:type="pct"/>
            <w:shd w:val="clear" w:color="auto" w:fill="auto"/>
          </w:tcPr>
          <w:p w:rsidR="00C85043" w:rsidRPr="00BC2CFD" w:rsidRDefault="00C85043" w:rsidP="00C85043">
            <w:pPr>
              <w:pStyle w:val="Default"/>
              <w:rPr>
                <w:sz w:val="16"/>
                <w:szCs w:val="16"/>
                <w:lang w:val="ru-RU"/>
              </w:rPr>
            </w:pPr>
            <w:r>
              <w:rPr>
                <w:color w:val="auto"/>
                <w:sz w:val="16"/>
                <w:szCs w:val="16"/>
                <w:lang w:val="ru-RU"/>
              </w:rPr>
              <w:t xml:space="preserve">Непредвиденные </w:t>
            </w:r>
            <w:r w:rsidRPr="00BC2CFD">
              <w:rPr>
                <w:color w:val="auto"/>
                <w:sz w:val="16"/>
                <w:szCs w:val="16"/>
                <w:lang w:val="ru-RU"/>
              </w:rPr>
              <w:t xml:space="preserve">обстоятельства </w:t>
            </w:r>
            <w:r w:rsidRPr="00E9446C">
              <w:rPr>
                <w:rFonts w:eastAsia="SimSun"/>
                <w:color w:val="auto"/>
                <w:sz w:val="16"/>
                <w:szCs w:val="16"/>
                <w:lang w:val="ru-RU"/>
              </w:rPr>
              <w:t>в ходе</w:t>
            </w:r>
            <w:r>
              <w:rPr>
                <w:color w:val="auto"/>
                <w:sz w:val="16"/>
                <w:szCs w:val="16"/>
                <w:lang w:val="ru-RU"/>
              </w:rPr>
              <w:t xml:space="preserve"> строительных </w:t>
            </w:r>
            <w:r w:rsidRPr="00E9446C">
              <w:rPr>
                <w:color w:val="auto"/>
                <w:sz w:val="16"/>
                <w:szCs w:val="16"/>
                <w:lang w:val="ru-RU"/>
              </w:rPr>
              <w:t>работ</w:t>
            </w:r>
            <w:r>
              <w:rPr>
                <w:color w:val="auto"/>
                <w:sz w:val="16"/>
                <w:szCs w:val="16"/>
                <w:lang w:val="ru-RU"/>
              </w:rPr>
              <w:t xml:space="preserve"> в здании </w:t>
            </w:r>
            <w:r w:rsidRPr="008A011F">
              <w:rPr>
                <w:color w:val="auto"/>
                <w:sz w:val="16"/>
                <w:szCs w:val="16"/>
              </w:rPr>
              <w:t>PCT</w:t>
            </w:r>
            <w:r w:rsidRPr="007E1B74">
              <w:rPr>
                <w:color w:val="auto"/>
                <w:sz w:val="16"/>
                <w:szCs w:val="16"/>
                <w:lang w:val="ru-RU"/>
              </w:rPr>
              <w:t xml:space="preserve"> </w:t>
            </w:r>
            <w:r w:rsidRPr="007E1B74">
              <w:rPr>
                <w:rFonts w:eastAsia="+mn-ea"/>
                <w:color w:val="auto"/>
                <w:sz w:val="16"/>
                <w:szCs w:val="16"/>
                <w:lang w:val="ru-RU" w:eastAsia="en-US"/>
              </w:rPr>
              <w:t>–</w:t>
            </w:r>
            <w:r w:rsidRPr="007E1B74">
              <w:rPr>
                <w:color w:val="auto"/>
                <w:sz w:val="16"/>
                <w:szCs w:val="16"/>
                <w:lang w:val="ru-RU"/>
              </w:rPr>
              <w:t xml:space="preserve"> </w:t>
            </w:r>
            <w:r w:rsidRPr="00BC2CFD">
              <w:rPr>
                <w:color w:val="auto"/>
                <w:sz w:val="16"/>
                <w:szCs w:val="16"/>
                <w:lang w:val="ru-RU"/>
              </w:rPr>
              <w:t xml:space="preserve">например, </w:t>
            </w:r>
            <w:r>
              <w:rPr>
                <w:color w:val="auto"/>
                <w:sz w:val="16"/>
                <w:szCs w:val="16"/>
                <w:lang w:val="ru-RU"/>
              </w:rPr>
              <w:t xml:space="preserve">отставание в </w:t>
            </w:r>
            <w:r w:rsidRPr="00E9446C">
              <w:rPr>
                <w:color w:val="auto"/>
                <w:sz w:val="16"/>
                <w:szCs w:val="16"/>
                <w:lang w:val="ru-RU"/>
              </w:rPr>
              <w:t>выполнени</w:t>
            </w:r>
            <w:r>
              <w:rPr>
                <w:color w:val="auto"/>
                <w:sz w:val="16"/>
                <w:szCs w:val="16"/>
                <w:lang w:val="ru-RU"/>
              </w:rPr>
              <w:t xml:space="preserve">и работ по установке </w:t>
            </w:r>
            <w:r w:rsidRPr="00BC2CFD">
              <w:rPr>
                <w:color w:val="auto"/>
                <w:sz w:val="16"/>
                <w:szCs w:val="16"/>
                <w:lang w:val="ru-RU"/>
              </w:rPr>
              <w:t>внутренн</w:t>
            </w:r>
            <w:r>
              <w:rPr>
                <w:color w:val="auto"/>
                <w:sz w:val="16"/>
                <w:szCs w:val="16"/>
                <w:lang w:val="ru-RU"/>
              </w:rPr>
              <w:t>его</w:t>
            </w:r>
            <w:r w:rsidRPr="00BC2CFD">
              <w:rPr>
                <w:color w:val="auto"/>
                <w:sz w:val="16"/>
                <w:szCs w:val="16"/>
                <w:lang w:val="ru-RU"/>
              </w:rPr>
              <w:t xml:space="preserve"> </w:t>
            </w:r>
            <w:r w:rsidRPr="00E9446C">
              <w:rPr>
                <w:color w:val="auto"/>
                <w:sz w:val="16"/>
                <w:szCs w:val="16"/>
                <w:lang w:val="ru-RU"/>
              </w:rPr>
              <w:t>оборудовани</w:t>
            </w:r>
            <w:r>
              <w:rPr>
                <w:color w:val="auto"/>
                <w:sz w:val="16"/>
                <w:szCs w:val="16"/>
                <w:lang w:val="ru-RU"/>
              </w:rPr>
              <w:t xml:space="preserve">я </w:t>
            </w:r>
            <w:r w:rsidRPr="00BC2CFD">
              <w:rPr>
                <w:color w:val="auto"/>
                <w:sz w:val="16"/>
                <w:szCs w:val="16"/>
                <w:lang w:val="ru-RU"/>
              </w:rPr>
              <w:t xml:space="preserve">в здании </w:t>
            </w:r>
            <w:r>
              <w:rPr>
                <w:color w:val="auto"/>
                <w:sz w:val="16"/>
                <w:szCs w:val="16"/>
              </w:rPr>
              <w:t>PCT</w:t>
            </w:r>
            <w:r w:rsidRPr="00BC2CFD">
              <w:rPr>
                <w:color w:val="auto"/>
                <w:sz w:val="16"/>
                <w:szCs w:val="16"/>
                <w:lang w:val="ru-RU"/>
              </w:rPr>
              <w:t xml:space="preserve"> </w:t>
            </w:r>
            <w:r w:rsidRPr="00E9446C">
              <w:rPr>
                <w:color w:val="auto"/>
                <w:sz w:val="16"/>
                <w:szCs w:val="16"/>
                <w:lang w:val="ru-RU"/>
              </w:rPr>
              <w:t>компани</w:t>
            </w:r>
            <w:r>
              <w:rPr>
                <w:color w:val="auto"/>
                <w:sz w:val="16"/>
                <w:szCs w:val="16"/>
                <w:lang w:val="ru-RU"/>
              </w:rPr>
              <w:t xml:space="preserve">ей </w:t>
            </w:r>
            <w:r w:rsidRPr="008A011F">
              <w:rPr>
                <w:color w:val="auto"/>
                <w:sz w:val="16"/>
                <w:szCs w:val="16"/>
              </w:rPr>
              <w:t>SIG</w:t>
            </w:r>
            <w:r w:rsidRPr="00BC2CFD">
              <w:rPr>
                <w:color w:val="auto"/>
                <w:sz w:val="16"/>
                <w:szCs w:val="16"/>
                <w:lang w:val="ru-RU"/>
              </w:rPr>
              <w:t xml:space="preserve"> и/или техническ</w:t>
            </w:r>
            <w:r>
              <w:rPr>
                <w:color w:val="auto"/>
                <w:sz w:val="16"/>
                <w:szCs w:val="16"/>
                <w:lang w:val="ru-RU"/>
              </w:rPr>
              <w:t>ие</w:t>
            </w:r>
            <w:r w:rsidRPr="00BC2CFD">
              <w:rPr>
                <w:color w:val="auto"/>
                <w:sz w:val="16"/>
                <w:szCs w:val="16"/>
                <w:lang w:val="ru-RU"/>
              </w:rPr>
              <w:t xml:space="preserve"> </w:t>
            </w:r>
            <w:r>
              <w:rPr>
                <w:color w:val="auto"/>
                <w:sz w:val="16"/>
                <w:szCs w:val="16"/>
                <w:lang w:val="ru-RU"/>
              </w:rPr>
              <w:t>проблемы,</w:t>
            </w:r>
            <w:r w:rsidRPr="00BC2CFD">
              <w:rPr>
                <w:color w:val="auto"/>
                <w:sz w:val="16"/>
                <w:szCs w:val="16"/>
                <w:lang w:val="ru-RU"/>
              </w:rPr>
              <w:t xml:space="preserve"> </w:t>
            </w:r>
            <w:r w:rsidRPr="00E9446C">
              <w:rPr>
                <w:color w:val="auto"/>
                <w:sz w:val="16"/>
                <w:szCs w:val="16"/>
                <w:lang w:val="ru-RU"/>
              </w:rPr>
              <w:t>котор</w:t>
            </w:r>
            <w:r>
              <w:rPr>
                <w:color w:val="auto"/>
                <w:sz w:val="16"/>
                <w:szCs w:val="16"/>
                <w:lang w:val="ru-RU"/>
              </w:rPr>
              <w:t xml:space="preserve">ые могут возникнуть при демонтаже </w:t>
            </w:r>
            <w:r w:rsidRPr="00BC2CFD">
              <w:rPr>
                <w:color w:val="auto"/>
                <w:sz w:val="16"/>
                <w:szCs w:val="16"/>
                <w:lang w:val="ru-RU"/>
              </w:rPr>
              <w:t>существующ</w:t>
            </w:r>
            <w:r>
              <w:rPr>
                <w:color w:val="auto"/>
                <w:sz w:val="16"/>
                <w:szCs w:val="16"/>
                <w:lang w:val="ru-RU"/>
              </w:rPr>
              <w:t xml:space="preserve">их </w:t>
            </w:r>
            <w:r>
              <w:rPr>
                <w:snapToGrid w:val="0"/>
                <w:color w:val="auto"/>
                <w:sz w:val="16"/>
                <w:szCs w:val="16"/>
                <w:lang w:val="ru-RU"/>
              </w:rPr>
              <w:t>труб</w:t>
            </w:r>
            <w:r w:rsidRPr="00BC2CFD">
              <w:rPr>
                <w:sz w:val="16"/>
                <w:szCs w:val="16"/>
                <w:lang w:val="ru-RU"/>
              </w:rPr>
              <w:t>.</w:t>
            </w:r>
          </w:p>
        </w:tc>
        <w:tc>
          <w:tcPr>
            <w:tcW w:w="1680" w:type="pct"/>
            <w:shd w:val="clear" w:color="auto" w:fill="auto"/>
          </w:tcPr>
          <w:p w:rsidR="00C85043" w:rsidRPr="0055183A" w:rsidRDefault="00C85043" w:rsidP="00C85043">
            <w:pPr>
              <w:pStyle w:val="Default"/>
              <w:rPr>
                <w:color w:val="auto"/>
                <w:sz w:val="16"/>
                <w:szCs w:val="16"/>
                <w:lang w:val="ru-RU"/>
              </w:rPr>
            </w:pPr>
            <w:r w:rsidRPr="00E95A00">
              <w:rPr>
                <w:color w:val="auto"/>
                <w:sz w:val="16"/>
                <w:szCs w:val="16"/>
                <w:lang w:val="ru-RU"/>
              </w:rPr>
              <w:t>Проведение</w:t>
            </w:r>
            <w:r w:rsidRPr="0055183A">
              <w:rPr>
                <w:color w:val="auto"/>
                <w:sz w:val="16"/>
                <w:szCs w:val="16"/>
                <w:lang w:val="ru-RU"/>
              </w:rPr>
              <w:t xml:space="preserve"> </w:t>
            </w:r>
            <w:r>
              <w:rPr>
                <w:color w:val="auto"/>
                <w:sz w:val="16"/>
                <w:szCs w:val="16"/>
                <w:lang w:val="ru-RU"/>
              </w:rPr>
              <w:t xml:space="preserve">любых </w:t>
            </w:r>
            <w:r w:rsidRPr="00E95A00">
              <w:rPr>
                <w:color w:val="auto"/>
                <w:sz w:val="16"/>
                <w:szCs w:val="16"/>
                <w:lang w:val="ru-RU"/>
              </w:rPr>
              <w:t>ремонтных</w:t>
            </w:r>
            <w:r w:rsidRPr="0055183A">
              <w:rPr>
                <w:color w:val="auto"/>
                <w:sz w:val="16"/>
                <w:szCs w:val="16"/>
                <w:lang w:val="ru-RU"/>
              </w:rPr>
              <w:t xml:space="preserve"> </w:t>
            </w:r>
            <w:r w:rsidRPr="00E95A00">
              <w:rPr>
                <w:color w:val="auto"/>
                <w:sz w:val="16"/>
                <w:szCs w:val="16"/>
                <w:lang w:val="ru-RU"/>
              </w:rPr>
              <w:t>работ</w:t>
            </w:r>
            <w:r w:rsidRPr="0055183A">
              <w:rPr>
                <w:color w:val="auto"/>
                <w:sz w:val="16"/>
                <w:szCs w:val="16"/>
                <w:lang w:val="ru-RU"/>
              </w:rPr>
              <w:t xml:space="preserve"> </w:t>
            </w:r>
            <w:r w:rsidRPr="00E95A00">
              <w:rPr>
                <w:color w:val="auto"/>
                <w:sz w:val="16"/>
                <w:szCs w:val="16"/>
                <w:lang w:val="ru-RU"/>
              </w:rPr>
              <w:t>и</w:t>
            </w:r>
            <w:r w:rsidRPr="0055183A">
              <w:rPr>
                <w:color w:val="auto"/>
                <w:sz w:val="16"/>
                <w:szCs w:val="16"/>
                <w:lang w:val="ru-RU"/>
              </w:rPr>
              <w:t xml:space="preserve"> </w:t>
            </w:r>
            <w:r w:rsidRPr="00E95A00">
              <w:rPr>
                <w:color w:val="auto"/>
                <w:sz w:val="16"/>
                <w:szCs w:val="16"/>
                <w:lang w:val="ru-RU"/>
              </w:rPr>
              <w:t>корректировка</w:t>
            </w:r>
            <w:r w:rsidRPr="0055183A">
              <w:rPr>
                <w:color w:val="auto"/>
                <w:sz w:val="16"/>
                <w:szCs w:val="16"/>
                <w:lang w:val="ru-RU"/>
              </w:rPr>
              <w:t xml:space="preserve"> </w:t>
            </w:r>
            <w:r w:rsidRPr="00E95A00">
              <w:rPr>
                <w:color w:val="auto"/>
                <w:sz w:val="16"/>
                <w:szCs w:val="16"/>
                <w:lang w:val="ru-RU"/>
              </w:rPr>
              <w:t>сроков</w:t>
            </w:r>
            <w:r w:rsidRPr="0055183A">
              <w:rPr>
                <w:color w:val="auto"/>
                <w:sz w:val="16"/>
                <w:szCs w:val="16"/>
                <w:lang w:val="ru-RU"/>
              </w:rPr>
              <w:t xml:space="preserve"> </w:t>
            </w:r>
            <w:r w:rsidRPr="00E95A00">
              <w:rPr>
                <w:color w:val="auto"/>
                <w:sz w:val="16"/>
                <w:szCs w:val="16"/>
                <w:lang w:val="ru-RU"/>
              </w:rPr>
              <w:t>работ</w:t>
            </w:r>
            <w:r w:rsidRPr="0055183A">
              <w:rPr>
                <w:color w:val="auto"/>
                <w:sz w:val="16"/>
                <w:szCs w:val="16"/>
                <w:lang w:val="ru-RU"/>
              </w:rPr>
              <w:t xml:space="preserve"> </w:t>
            </w:r>
            <w:r w:rsidRPr="00E95A00">
              <w:rPr>
                <w:color w:val="auto"/>
                <w:sz w:val="16"/>
                <w:szCs w:val="16"/>
                <w:lang w:val="ru-RU"/>
              </w:rPr>
              <w:t>в</w:t>
            </w:r>
            <w:r w:rsidRPr="0055183A">
              <w:rPr>
                <w:color w:val="auto"/>
                <w:sz w:val="16"/>
                <w:szCs w:val="16"/>
                <w:lang w:val="ru-RU"/>
              </w:rPr>
              <w:t xml:space="preserve"> </w:t>
            </w:r>
            <w:r w:rsidRPr="00E95A00">
              <w:rPr>
                <w:color w:val="auto"/>
                <w:sz w:val="16"/>
                <w:szCs w:val="16"/>
                <w:lang w:val="ru-RU"/>
              </w:rPr>
              <w:t>необходимых</w:t>
            </w:r>
            <w:r w:rsidRPr="0055183A">
              <w:rPr>
                <w:color w:val="auto"/>
                <w:sz w:val="16"/>
                <w:szCs w:val="16"/>
                <w:lang w:val="ru-RU"/>
              </w:rPr>
              <w:t xml:space="preserve"> </w:t>
            </w:r>
            <w:r w:rsidRPr="00E95A00">
              <w:rPr>
                <w:color w:val="auto"/>
                <w:sz w:val="16"/>
                <w:szCs w:val="16"/>
                <w:lang w:val="ru-RU"/>
              </w:rPr>
              <w:t>случаях</w:t>
            </w:r>
            <w:r>
              <w:rPr>
                <w:color w:val="auto"/>
                <w:sz w:val="16"/>
                <w:szCs w:val="16"/>
                <w:lang w:val="ru-RU"/>
              </w:rPr>
              <w:t>,</w:t>
            </w:r>
            <w:r w:rsidRPr="0055183A">
              <w:rPr>
                <w:color w:val="auto"/>
                <w:sz w:val="16"/>
                <w:szCs w:val="16"/>
                <w:lang w:val="ru-RU"/>
              </w:rPr>
              <w:t xml:space="preserve"> </w:t>
            </w:r>
            <w:r w:rsidRPr="00E95A00">
              <w:rPr>
                <w:color w:val="auto"/>
                <w:sz w:val="16"/>
                <w:szCs w:val="16"/>
                <w:lang w:val="ru-RU"/>
              </w:rPr>
              <w:t>в</w:t>
            </w:r>
            <w:r w:rsidRPr="0055183A">
              <w:rPr>
                <w:color w:val="auto"/>
                <w:sz w:val="16"/>
                <w:szCs w:val="16"/>
                <w:lang w:val="ru-RU"/>
              </w:rPr>
              <w:t xml:space="preserve"> </w:t>
            </w:r>
            <w:r w:rsidRPr="00E95A00">
              <w:rPr>
                <w:color w:val="auto"/>
                <w:sz w:val="16"/>
                <w:szCs w:val="16"/>
                <w:lang w:val="ru-RU"/>
              </w:rPr>
              <w:t>том</w:t>
            </w:r>
            <w:r w:rsidRPr="0055183A">
              <w:rPr>
                <w:color w:val="auto"/>
                <w:sz w:val="16"/>
                <w:szCs w:val="16"/>
                <w:lang w:val="ru-RU"/>
              </w:rPr>
              <w:t xml:space="preserve"> </w:t>
            </w:r>
            <w:r w:rsidRPr="00E95A00">
              <w:rPr>
                <w:color w:val="auto"/>
                <w:sz w:val="16"/>
                <w:szCs w:val="16"/>
                <w:lang w:val="ru-RU"/>
              </w:rPr>
              <w:t>числе</w:t>
            </w:r>
            <w:r w:rsidRPr="0055183A">
              <w:rPr>
                <w:color w:val="auto"/>
                <w:sz w:val="16"/>
                <w:szCs w:val="16"/>
                <w:lang w:val="ru-RU"/>
              </w:rPr>
              <w:t xml:space="preserve"> </w:t>
            </w:r>
            <w:r w:rsidRPr="00E9446C">
              <w:rPr>
                <w:color w:val="auto"/>
                <w:sz w:val="16"/>
                <w:szCs w:val="16"/>
                <w:lang w:val="ru-RU"/>
              </w:rPr>
              <w:t xml:space="preserve">в отношении </w:t>
            </w:r>
            <w:r w:rsidRPr="0055183A">
              <w:rPr>
                <w:color w:val="auto"/>
                <w:sz w:val="16"/>
                <w:szCs w:val="16"/>
                <w:lang w:val="ru-RU"/>
              </w:rPr>
              <w:t xml:space="preserve">2016 </w:t>
            </w:r>
            <w:r w:rsidRPr="00E95A00">
              <w:rPr>
                <w:color w:val="auto"/>
                <w:sz w:val="16"/>
                <w:szCs w:val="16"/>
                <w:lang w:val="ru-RU"/>
              </w:rPr>
              <w:t>г</w:t>
            </w:r>
            <w:r>
              <w:rPr>
                <w:color w:val="auto"/>
                <w:sz w:val="16"/>
                <w:szCs w:val="16"/>
                <w:lang w:val="ru-RU"/>
              </w:rPr>
              <w:t>ода.</w:t>
            </w:r>
          </w:p>
          <w:p w:rsidR="00C85043" w:rsidRPr="0055183A" w:rsidRDefault="00C85043" w:rsidP="00C85043">
            <w:pPr>
              <w:autoSpaceDE w:val="0"/>
              <w:autoSpaceDN w:val="0"/>
              <w:adjustRightInd w:val="0"/>
              <w:spacing w:before="40" w:after="40"/>
              <w:rPr>
                <w:sz w:val="16"/>
                <w:szCs w:val="16"/>
                <w:lang w:val="ru-RU"/>
              </w:rPr>
            </w:pPr>
          </w:p>
        </w:tc>
        <w:tc>
          <w:tcPr>
            <w:tcW w:w="1641" w:type="pct"/>
            <w:shd w:val="clear" w:color="auto" w:fill="auto"/>
          </w:tcPr>
          <w:p w:rsidR="00C85043" w:rsidRPr="0055183A" w:rsidRDefault="00C85043" w:rsidP="00C85043">
            <w:pPr>
              <w:autoSpaceDE w:val="0"/>
              <w:autoSpaceDN w:val="0"/>
              <w:adjustRightInd w:val="0"/>
              <w:spacing w:before="40" w:after="40"/>
              <w:rPr>
                <w:sz w:val="16"/>
                <w:szCs w:val="16"/>
                <w:lang w:val="ru-RU"/>
              </w:rPr>
            </w:pPr>
          </w:p>
        </w:tc>
      </w:tr>
      <w:tr w:rsidR="00C85043" w:rsidRPr="005C6ABD" w:rsidTr="00C85043">
        <w:trPr>
          <w:trHeight w:val="776"/>
          <w:jc w:val="center"/>
        </w:trPr>
        <w:tc>
          <w:tcPr>
            <w:tcW w:w="1679" w:type="pct"/>
            <w:shd w:val="clear" w:color="auto" w:fill="auto"/>
          </w:tcPr>
          <w:p w:rsidR="00C85043" w:rsidRPr="00AB735C" w:rsidRDefault="00C85043" w:rsidP="00C85043">
            <w:pPr>
              <w:autoSpaceDE w:val="0"/>
              <w:autoSpaceDN w:val="0"/>
              <w:adjustRightInd w:val="0"/>
              <w:spacing w:before="40" w:after="40"/>
              <w:rPr>
                <w:sz w:val="16"/>
                <w:szCs w:val="16"/>
                <w:lang w:val="ru-RU"/>
              </w:rPr>
            </w:pPr>
            <w:r w:rsidRPr="00E9446C">
              <w:rPr>
                <w:sz w:val="16"/>
                <w:szCs w:val="16"/>
                <w:lang w:val="ru-RU"/>
              </w:rPr>
              <w:t>Непредвиденные событи</w:t>
            </w:r>
            <w:r>
              <w:rPr>
                <w:sz w:val="16"/>
                <w:szCs w:val="16"/>
                <w:lang w:val="ru-RU"/>
              </w:rPr>
              <w:t xml:space="preserve">я </w:t>
            </w:r>
            <w:r w:rsidRPr="00AB735C">
              <w:rPr>
                <w:sz w:val="16"/>
                <w:szCs w:val="16"/>
                <w:lang w:val="ru-RU"/>
              </w:rPr>
              <w:t xml:space="preserve">в течение </w:t>
            </w:r>
            <w:r>
              <w:rPr>
                <w:sz w:val="16"/>
                <w:szCs w:val="16"/>
                <w:lang w:val="ru-RU"/>
              </w:rPr>
              <w:t>гарантийного</w:t>
            </w:r>
            <w:r w:rsidRPr="00AB735C">
              <w:rPr>
                <w:sz w:val="16"/>
                <w:szCs w:val="16"/>
                <w:lang w:val="ru-RU"/>
              </w:rPr>
              <w:t xml:space="preserve"> период</w:t>
            </w:r>
            <w:r>
              <w:rPr>
                <w:sz w:val="16"/>
                <w:szCs w:val="16"/>
                <w:lang w:val="ru-RU"/>
              </w:rPr>
              <w:t xml:space="preserve">а </w:t>
            </w:r>
            <w:r w:rsidRPr="00E9446C">
              <w:rPr>
                <w:sz w:val="16"/>
                <w:szCs w:val="16"/>
                <w:lang w:val="ru-RU"/>
              </w:rPr>
              <w:t>эксплуатаци</w:t>
            </w:r>
            <w:r>
              <w:rPr>
                <w:sz w:val="16"/>
                <w:szCs w:val="16"/>
                <w:lang w:val="ru-RU"/>
              </w:rPr>
              <w:t xml:space="preserve">и </w:t>
            </w:r>
            <w:r w:rsidRPr="00E9446C">
              <w:rPr>
                <w:sz w:val="16"/>
                <w:szCs w:val="16"/>
                <w:lang w:val="ru-RU"/>
              </w:rPr>
              <w:t>оборудовани</w:t>
            </w:r>
            <w:r>
              <w:rPr>
                <w:sz w:val="16"/>
                <w:szCs w:val="16"/>
                <w:lang w:val="ru-RU"/>
              </w:rPr>
              <w:t>я</w:t>
            </w:r>
            <w:r w:rsidRPr="00AB735C">
              <w:rPr>
                <w:sz w:val="16"/>
                <w:szCs w:val="16"/>
                <w:lang w:val="ru-RU"/>
              </w:rPr>
              <w:t xml:space="preserve">, например, </w:t>
            </w:r>
            <w:r>
              <w:rPr>
                <w:sz w:val="16"/>
                <w:szCs w:val="16"/>
                <w:lang w:val="ru-RU"/>
              </w:rPr>
              <w:t xml:space="preserve">аварии </w:t>
            </w:r>
            <w:r w:rsidRPr="00E9446C">
              <w:rPr>
                <w:sz w:val="16"/>
                <w:szCs w:val="16"/>
                <w:lang w:val="ru-RU"/>
              </w:rPr>
              <w:t>систем</w:t>
            </w:r>
            <w:r>
              <w:rPr>
                <w:sz w:val="16"/>
                <w:szCs w:val="16"/>
                <w:lang w:val="ru-RU"/>
              </w:rPr>
              <w:t xml:space="preserve">ы </w:t>
            </w:r>
            <w:r w:rsidRPr="00E9446C">
              <w:rPr>
                <w:sz w:val="16"/>
                <w:szCs w:val="16"/>
                <w:lang w:val="ru-RU"/>
              </w:rPr>
              <w:t xml:space="preserve">в связи с </w:t>
            </w:r>
            <w:r>
              <w:rPr>
                <w:sz w:val="16"/>
                <w:szCs w:val="16"/>
                <w:lang w:val="ru-RU"/>
              </w:rPr>
              <w:t xml:space="preserve">дефектным </w:t>
            </w:r>
            <w:r w:rsidRPr="00AB735C">
              <w:rPr>
                <w:sz w:val="16"/>
                <w:szCs w:val="16"/>
                <w:lang w:val="ru-RU"/>
              </w:rPr>
              <w:t>оборудование</w:t>
            </w:r>
            <w:r>
              <w:rPr>
                <w:sz w:val="16"/>
                <w:szCs w:val="16"/>
                <w:lang w:val="ru-RU"/>
              </w:rPr>
              <w:t>м</w:t>
            </w:r>
            <w:r w:rsidRPr="00AB735C">
              <w:rPr>
                <w:sz w:val="16"/>
                <w:szCs w:val="16"/>
                <w:lang w:val="ru-RU"/>
              </w:rPr>
              <w:t xml:space="preserve"> или </w:t>
            </w:r>
            <w:r>
              <w:rPr>
                <w:sz w:val="16"/>
                <w:szCs w:val="16"/>
                <w:lang w:val="ru-RU"/>
              </w:rPr>
              <w:t>низким качеством монтажа</w:t>
            </w:r>
            <w:r w:rsidRPr="00AB735C">
              <w:rPr>
                <w:sz w:val="16"/>
                <w:szCs w:val="16"/>
                <w:lang w:val="ru-RU"/>
              </w:rPr>
              <w:t>.</w:t>
            </w:r>
          </w:p>
        </w:tc>
        <w:tc>
          <w:tcPr>
            <w:tcW w:w="1680" w:type="pct"/>
            <w:shd w:val="clear" w:color="auto" w:fill="auto"/>
          </w:tcPr>
          <w:p w:rsidR="00C85043" w:rsidRPr="00AB735C" w:rsidRDefault="00C85043" w:rsidP="00C85043">
            <w:pPr>
              <w:autoSpaceDE w:val="0"/>
              <w:autoSpaceDN w:val="0"/>
              <w:adjustRightInd w:val="0"/>
              <w:spacing w:before="40" w:after="40"/>
              <w:rPr>
                <w:sz w:val="16"/>
                <w:szCs w:val="16"/>
                <w:lang w:val="ru-RU"/>
              </w:rPr>
            </w:pPr>
            <w:r>
              <w:rPr>
                <w:sz w:val="16"/>
                <w:szCs w:val="16"/>
                <w:lang w:val="ru-RU"/>
              </w:rPr>
              <w:t xml:space="preserve">Проведение </w:t>
            </w:r>
            <w:r w:rsidRPr="00AB735C">
              <w:rPr>
                <w:sz w:val="16"/>
                <w:szCs w:val="16"/>
                <w:lang w:val="ru-RU"/>
              </w:rPr>
              <w:t>возможн</w:t>
            </w:r>
            <w:r>
              <w:rPr>
                <w:sz w:val="16"/>
                <w:szCs w:val="16"/>
                <w:lang w:val="ru-RU"/>
              </w:rPr>
              <w:t>ых</w:t>
            </w:r>
            <w:r w:rsidRPr="00AB735C">
              <w:rPr>
                <w:sz w:val="16"/>
                <w:szCs w:val="16"/>
                <w:lang w:val="ru-RU"/>
              </w:rPr>
              <w:t xml:space="preserve"> ремонт</w:t>
            </w:r>
            <w:r>
              <w:rPr>
                <w:sz w:val="16"/>
                <w:szCs w:val="16"/>
                <w:lang w:val="ru-RU"/>
              </w:rPr>
              <w:t xml:space="preserve">ных </w:t>
            </w:r>
            <w:r w:rsidRPr="00E9446C">
              <w:rPr>
                <w:sz w:val="16"/>
                <w:szCs w:val="16"/>
                <w:lang w:val="ru-RU"/>
              </w:rPr>
              <w:t>период</w:t>
            </w:r>
            <w:r>
              <w:rPr>
                <w:sz w:val="16"/>
                <w:szCs w:val="16"/>
                <w:lang w:val="ru-RU"/>
              </w:rPr>
              <w:t xml:space="preserve"> в течение гарантийного периода</w:t>
            </w:r>
            <w:r w:rsidRPr="00AB735C" w:rsidDel="003965B5">
              <w:rPr>
                <w:sz w:val="16"/>
                <w:szCs w:val="16"/>
                <w:lang w:val="ru-RU"/>
              </w:rPr>
              <w:t>.</w:t>
            </w:r>
          </w:p>
        </w:tc>
        <w:tc>
          <w:tcPr>
            <w:tcW w:w="1641" w:type="pct"/>
            <w:shd w:val="clear" w:color="auto" w:fill="auto"/>
          </w:tcPr>
          <w:p w:rsidR="00C85043" w:rsidRPr="00AB735C" w:rsidRDefault="00C85043" w:rsidP="00C85043">
            <w:pPr>
              <w:autoSpaceDE w:val="0"/>
              <w:autoSpaceDN w:val="0"/>
              <w:adjustRightInd w:val="0"/>
              <w:spacing w:before="40" w:after="40"/>
              <w:rPr>
                <w:sz w:val="16"/>
                <w:szCs w:val="16"/>
                <w:lang w:val="ru-RU"/>
              </w:rPr>
            </w:pPr>
          </w:p>
        </w:tc>
      </w:tr>
    </w:tbl>
    <w:p w:rsidR="00C85043" w:rsidRPr="00AB735C" w:rsidRDefault="00C85043" w:rsidP="00C85043">
      <w:pPr>
        <w:autoSpaceDE w:val="0"/>
        <w:autoSpaceDN w:val="0"/>
        <w:jc w:val="both"/>
        <w:rPr>
          <w:lang w:val="ru-RU"/>
        </w:rPr>
      </w:pPr>
    </w:p>
    <w:p w:rsidR="00C85043" w:rsidRPr="00AB735C" w:rsidRDefault="00C85043" w:rsidP="00C85043">
      <w:pPr>
        <w:rPr>
          <w:lang w:val="ru-RU"/>
        </w:rPr>
      </w:pPr>
    </w:p>
    <w:p w:rsidR="00C85043" w:rsidRPr="00715C25" w:rsidRDefault="00C85043" w:rsidP="00C85043">
      <w:pPr>
        <w:rPr>
          <w:rFonts w:cs="Arial"/>
          <w:color w:val="000000"/>
          <w:szCs w:val="22"/>
          <w:lang w:val="ru-RU"/>
        </w:rPr>
      </w:pPr>
      <w:r>
        <w:rPr>
          <w:rFonts w:cs="Arial"/>
          <w:color w:val="000000"/>
          <w:szCs w:val="22"/>
          <w:lang w:val="ru-RU"/>
        </w:rPr>
        <w:t>СРОКИ ОСУЩЕСТВЛЕНИЯ ПРОЕКТА В РАЗБИВКЕ ПО ОСНОВНЫМ РЕЗУЛЬТАТАМ</w:t>
      </w:r>
    </w:p>
    <w:p w:rsidR="00C85043" w:rsidRPr="00715C25" w:rsidRDefault="00C85043" w:rsidP="00C85043">
      <w:pPr>
        <w:autoSpaceDE w:val="0"/>
        <w:autoSpaceDN w:val="0"/>
        <w:jc w:val="both"/>
        <w:rPr>
          <w:sz w:val="18"/>
          <w:lang w:val="ru-RU"/>
        </w:rPr>
      </w:pPr>
    </w:p>
    <w:tbl>
      <w:tblPr>
        <w:tblW w:w="8968" w:type="dxa"/>
        <w:jc w:val="center"/>
        <w:tblLook w:val="04A0" w:firstRow="1" w:lastRow="0" w:firstColumn="1" w:lastColumn="0" w:noHBand="0" w:noVBand="1"/>
      </w:tblPr>
      <w:tblGrid>
        <w:gridCol w:w="4167"/>
        <w:gridCol w:w="480"/>
        <w:gridCol w:w="480"/>
        <w:gridCol w:w="480"/>
        <w:gridCol w:w="480"/>
        <w:gridCol w:w="480"/>
        <w:gridCol w:w="480"/>
        <w:gridCol w:w="480"/>
        <w:gridCol w:w="560"/>
        <w:gridCol w:w="439"/>
        <w:gridCol w:w="442"/>
      </w:tblGrid>
      <w:tr w:rsidR="00C85043" w:rsidRPr="00E32074" w:rsidTr="00C85043">
        <w:trPr>
          <w:trHeight w:val="299"/>
          <w:jc w:val="center"/>
        </w:trPr>
        <w:tc>
          <w:tcPr>
            <w:tcW w:w="1418" w:type="dxa"/>
            <w:tcBorders>
              <w:top w:val="nil"/>
              <w:left w:val="nil"/>
              <w:bottom w:val="nil"/>
              <w:right w:val="nil"/>
            </w:tcBorders>
            <w:shd w:val="clear" w:color="auto" w:fill="auto"/>
            <w:noWrap/>
            <w:vAlign w:val="center"/>
          </w:tcPr>
          <w:p w:rsidR="00C85043" w:rsidRPr="00715C25" w:rsidRDefault="00C85043" w:rsidP="00C85043">
            <w:pPr>
              <w:jc w:val="center"/>
              <w:rPr>
                <w:rFonts w:cs="Arial"/>
                <w:b/>
                <w:bCs/>
                <w:color w:val="000000"/>
                <w:sz w:val="16"/>
                <w:szCs w:val="16"/>
                <w:lang w:val="ru-RU"/>
              </w:rPr>
            </w:pPr>
          </w:p>
        </w:tc>
        <w:tc>
          <w:tcPr>
            <w:tcW w:w="1531" w:type="dxa"/>
            <w:gridSpan w:val="4"/>
            <w:tcBorders>
              <w:top w:val="single" w:sz="8" w:space="0" w:color="auto"/>
              <w:left w:val="single" w:sz="8" w:space="0" w:color="auto"/>
              <w:bottom w:val="single" w:sz="4" w:space="0" w:color="auto"/>
              <w:right w:val="single" w:sz="8" w:space="0" w:color="000000"/>
            </w:tcBorders>
            <w:shd w:val="clear" w:color="auto" w:fill="C6D9F1"/>
            <w:noWrap/>
            <w:vAlign w:val="bottom"/>
          </w:tcPr>
          <w:p w:rsidR="00C85043" w:rsidRPr="00E95A00" w:rsidRDefault="00C85043" w:rsidP="00C85043">
            <w:pPr>
              <w:jc w:val="center"/>
              <w:rPr>
                <w:rFonts w:cs="Arial"/>
                <w:b/>
                <w:bCs/>
                <w:color w:val="000000"/>
                <w:sz w:val="16"/>
                <w:szCs w:val="16"/>
                <w:lang w:val="ru-RU"/>
              </w:rPr>
            </w:pPr>
            <w:r>
              <w:rPr>
                <w:rFonts w:cs="Arial"/>
                <w:b/>
                <w:bCs/>
                <w:color w:val="000000"/>
                <w:sz w:val="16"/>
                <w:szCs w:val="16"/>
              </w:rPr>
              <w:t>2014 г.</w:t>
            </w:r>
          </w:p>
        </w:tc>
        <w:tc>
          <w:tcPr>
            <w:tcW w:w="1531"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3962D0" w:rsidRDefault="00C85043" w:rsidP="00C85043">
            <w:pPr>
              <w:jc w:val="center"/>
              <w:rPr>
                <w:rFonts w:cs="Arial"/>
                <w:b/>
                <w:bCs/>
                <w:color w:val="000000"/>
                <w:sz w:val="16"/>
                <w:szCs w:val="16"/>
              </w:rPr>
            </w:pPr>
            <w:r w:rsidRPr="003962D0">
              <w:rPr>
                <w:rFonts w:cs="Arial"/>
                <w:b/>
                <w:bCs/>
                <w:color w:val="000000"/>
                <w:sz w:val="16"/>
                <w:szCs w:val="16"/>
              </w:rPr>
              <w:t>2015</w:t>
            </w:r>
            <w:r>
              <w:rPr>
                <w:rFonts w:cs="Arial"/>
                <w:b/>
                <w:bCs/>
                <w:color w:val="000000"/>
                <w:sz w:val="16"/>
                <w:szCs w:val="16"/>
                <w:lang w:val="ru-RU"/>
              </w:rPr>
              <w:t xml:space="preserve"> г.</w:t>
            </w:r>
          </w:p>
        </w:tc>
        <w:tc>
          <w:tcPr>
            <w:tcW w:w="1531" w:type="dxa"/>
            <w:gridSpan w:val="2"/>
            <w:tcBorders>
              <w:top w:val="single" w:sz="4" w:space="0" w:color="auto"/>
              <w:bottom w:val="single" w:sz="4" w:space="0" w:color="auto"/>
              <w:right w:val="single" w:sz="4" w:space="0" w:color="auto"/>
            </w:tcBorders>
            <w:shd w:val="clear" w:color="auto" w:fill="C6D9F1"/>
            <w:vAlign w:val="bottom"/>
          </w:tcPr>
          <w:p w:rsidR="00C85043" w:rsidRPr="00341D60" w:rsidRDefault="00C85043" w:rsidP="00C85043">
            <w:pPr>
              <w:jc w:val="center"/>
              <w:rPr>
                <w:b/>
              </w:rPr>
            </w:pPr>
            <w:r w:rsidRPr="00341D60">
              <w:rPr>
                <w:b/>
                <w:sz w:val="16"/>
              </w:rPr>
              <w:t>2016</w:t>
            </w:r>
            <w:r>
              <w:rPr>
                <w:rFonts w:cs="Arial"/>
                <w:b/>
                <w:bCs/>
                <w:color w:val="000000"/>
                <w:sz w:val="16"/>
                <w:szCs w:val="16"/>
                <w:lang w:val="ru-RU"/>
              </w:rPr>
              <w:t xml:space="preserve"> г.</w:t>
            </w:r>
          </w:p>
        </w:tc>
      </w:tr>
      <w:tr w:rsidR="00C85043" w:rsidRPr="00E32074" w:rsidTr="00C85043">
        <w:trPr>
          <w:trHeight w:val="375"/>
          <w:jc w:val="center"/>
        </w:trPr>
        <w:tc>
          <w:tcPr>
            <w:tcW w:w="4167"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C85043" w:rsidRPr="003962D0" w:rsidRDefault="00C85043" w:rsidP="00C85043">
            <w:pPr>
              <w:spacing w:after="240"/>
              <w:rPr>
                <w:rFonts w:cs="Arial"/>
                <w:b/>
                <w:bCs/>
                <w:color w:val="000000"/>
                <w:sz w:val="16"/>
                <w:szCs w:val="16"/>
              </w:rPr>
            </w:pPr>
            <w:r>
              <w:rPr>
                <w:rFonts w:cs="Arial"/>
                <w:b/>
                <w:bCs/>
                <w:color w:val="000000"/>
                <w:sz w:val="16"/>
                <w:szCs w:val="16"/>
              </w:rPr>
              <w:t>Основной результат</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after="240"/>
              <w:jc w:val="center"/>
              <w:rPr>
                <w:rFonts w:cs="Arial"/>
                <w:b/>
                <w:bCs/>
                <w:color w:val="000000"/>
                <w:sz w:val="16"/>
                <w:szCs w:val="16"/>
              </w:rPr>
            </w:pPr>
            <w:r>
              <w:rPr>
                <w:rFonts w:cs="Arial"/>
                <w:b/>
                <w:bCs/>
                <w:sz w:val="16"/>
                <w:szCs w:val="16"/>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after="240"/>
              <w:jc w:val="center"/>
              <w:rPr>
                <w:rFonts w:cs="Arial"/>
                <w:b/>
                <w:bCs/>
                <w:color w:val="000000"/>
                <w:sz w:val="16"/>
                <w:szCs w:val="16"/>
              </w:rPr>
            </w:pPr>
            <w:r>
              <w:rPr>
                <w:rFonts w:cs="Arial"/>
                <w:b/>
                <w:bCs/>
                <w:sz w:val="16"/>
                <w:szCs w:val="16"/>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after="240"/>
              <w:jc w:val="center"/>
              <w:rPr>
                <w:rFonts w:cs="Arial"/>
                <w:b/>
                <w:bCs/>
                <w:color w:val="000000"/>
                <w:sz w:val="16"/>
                <w:szCs w:val="16"/>
              </w:rPr>
            </w:pPr>
            <w:r>
              <w:rPr>
                <w:rFonts w:cs="Arial"/>
                <w:b/>
                <w:bCs/>
                <w:sz w:val="16"/>
                <w:szCs w:val="16"/>
              </w:rPr>
              <w:t>III кв.</w:t>
            </w:r>
          </w:p>
        </w:tc>
        <w:tc>
          <w:tcPr>
            <w:tcW w:w="480" w:type="dxa"/>
            <w:tcBorders>
              <w:top w:val="nil"/>
              <w:left w:val="nil"/>
              <w:bottom w:val="single" w:sz="4" w:space="0" w:color="auto"/>
              <w:right w:val="single" w:sz="8" w:space="0" w:color="auto"/>
            </w:tcBorders>
            <w:shd w:val="clear" w:color="auto" w:fill="C6D9F1"/>
            <w:noWrap/>
            <w:vAlign w:val="bottom"/>
          </w:tcPr>
          <w:p w:rsidR="00C85043" w:rsidRPr="003962D0" w:rsidRDefault="00C85043" w:rsidP="00C85043">
            <w:pPr>
              <w:spacing w:after="240"/>
              <w:jc w:val="center"/>
              <w:rPr>
                <w:rFonts w:cs="Arial"/>
                <w:b/>
                <w:bCs/>
                <w:color w:val="000000"/>
                <w:sz w:val="16"/>
                <w:szCs w:val="16"/>
              </w:rPr>
            </w:pPr>
            <w:r>
              <w:rPr>
                <w:rFonts w:cs="Arial"/>
                <w:b/>
                <w:bCs/>
                <w:sz w:val="16"/>
                <w:szCs w:val="16"/>
              </w:rPr>
              <w:t>IV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after="240"/>
              <w:jc w:val="center"/>
              <w:rPr>
                <w:rFonts w:cs="Arial"/>
                <w:b/>
                <w:bCs/>
                <w:color w:val="000000"/>
                <w:sz w:val="16"/>
                <w:szCs w:val="16"/>
              </w:rPr>
            </w:pPr>
            <w:r>
              <w:rPr>
                <w:rFonts w:cs="Arial"/>
                <w:b/>
                <w:bCs/>
                <w:color w:val="000000"/>
                <w:sz w:val="16"/>
                <w:szCs w:val="16"/>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after="240"/>
              <w:jc w:val="center"/>
              <w:rPr>
                <w:rFonts w:cs="Arial"/>
                <w:b/>
                <w:bCs/>
                <w:color w:val="000000"/>
                <w:sz w:val="16"/>
                <w:szCs w:val="16"/>
              </w:rPr>
            </w:pPr>
            <w:r>
              <w:rPr>
                <w:rFonts w:cs="Arial"/>
                <w:b/>
                <w:bCs/>
                <w:color w:val="000000"/>
                <w:sz w:val="16"/>
                <w:szCs w:val="16"/>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after="240"/>
              <w:jc w:val="center"/>
              <w:rPr>
                <w:rFonts w:cs="Arial"/>
                <w:b/>
                <w:bCs/>
                <w:color w:val="000000"/>
                <w:sz w:val="16"/>
                <w:szCs w:val="16"/>
              </w:rPr>
            </w:pPr>
            <w:r>
              <w:rPr>
                <w:rFonts w:cs="Arial"/>
                <w:b/>
                <w:bCs/>
                <w:color w:val="000000"/>
                <w:sz w:val="16"/>
                <w:szCs w:val="16"/>
              </w:rPr>
              <w:t>III кв.</w:t>
            </w:r>
          </w:p>
        </w:tc>
        <w:tc>
          <w:tcPr>
            <w:tcW w:w="560" w:type="dxa"/>
            <w:tcBorders>
              <w:top w:val="nil"/>
              <w:left w:val="nil"/>
              <w:bottom w:val="single" w:sz="4" w:space="0" w:color="auto"/>
              <w:right w:val="single" w:sz="8" w:space="0" w:color="auto"/>
            </w:tcBorders>
            <w:shd w:val="clear" w:color="auto" w:fill="C6D9F1"/>
            <w:noWrap/>
            <w:vAlign w:val="bottom"/>
          </w:tcPr>
          <w:p w:rsidR="00C85043" w:rsidRPr="003962D0" w:rsidRDefault="00C85043" w:rsidP="00C85043">
            <w:pPr>
              <w:spacing w:after="240"/>
              <w:jc w:val="center"/>
              <w:rPr>
                <w:rFonts w:cs="Arial"/>
                <w:b/>
                <w:bCs/>
                <w:color w:val="000000"/>
                <w:sz w:val="16"/>
                <w:szCs w:val="16"/>
              </w:rPr>
            </w:pPr>
            <w:r>
              <w:rPr>
                <w:rFonts w:cs="Arial"/>
                <w:b/>
                <w:bCs/>
                <w:color w:val="000000"/>
                <w:sz w:val="16"/>
                <w:szCs w:val="16"/>
              </w:rPr>
              <w:t>IV кв.</w:t>
            </w:r>
          </w:p>
        </w:tc>
        <w:tc>
          <w:tcPr>
            <w:tcW w:w="450" w:type="dxa"/>
            <w:tcBorders>
              <w:top w:val="single" w:sz="4" w:space="0" w:color="auto"/>
              <w:bottom w:val="single" w:sz="4" w:space="0" w:color="auto"/>
              <w:right w:val="single" w:sz="4" w:space="0" w:color="auto"/>
            </w:tcBorders>
            <w:shd w:val="clear" w:color="auto" w:fill="C6D9F1"/>
          </w:tcPr>
          <w:p w:rsidR="00C85043" w:rsidRPr="008A011F" w:rsidRDefault="00C85043" w:rsidP="00C85043">
            <w:pPr>
              <w:spacing w:before="240" w:after="240"/>
              <w:jc w:val="center"/>
              <w:rPr>
                <w:b/>
                <w:sz w:val="16"/>
                <w:szCs w:val="16"/>
              </w:rPr>
            </w:pPr>
            <w:r>
              <w:rPr>
                <w:b/>
                <w:sz w:val="16"/>
                <w:szCs w:val="16"/>
              </w:rPr>
              <w:t>I кв.</w:t>
            </w:r>
          </w:p>
        </w:tc>
        <w:tc>
          <w:tcPr>
            <w:tcW w:w="431" w:type="dxa"/>
            <w:tcBorders>
              <w:top w:val="single" w:sz="4" w:space="0" w:color="auto"/>
              <w:bottom w:val="single" w:sz="4" w:space="0" w:color="auto"/>
              <w:right w:val="single" w:sz="4" w:space="0" w:color="auto"/>
            </w:tcBorders>
            <w:shd w:val="clear" w:color="auto" w:fill="C6D9F1"/>
          </w:tcPr>
          <w:p w:rsidR="00C85043" w:rsidRPr="008A011F" w:rsidRDefault="00C85043" w:rsidP="00C85043">
            <w:pPr>
              <w:spacing w:before="240" w:after="240"/>
              <w:jc w:val="center"/>
              <w:rPr>
                <w:b/>
                <w:sz w:val="16"/>
                <w:szCs w:val="16"/>
              </w:rPr>
            </w:pPr>
            <w:r>
              <w:rPr>
                <w:b/>
                <w:sz w:val="16"/>
                <w:szCs w:val="16"/>
              </w:rPr>
              <w:t>II кв.</w:t>
            </w:r>
          </w:p>
        </w:tc>
      </w:tr>
      <w:tr w:rsidR="00C85043" w:rsidRPr="00E32074" w:rsidTr="00C85043">
        <w:trPr>
          <w:trHeight w:val="425"/>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C85043" w:rsidRPr="00FC499E" w:rsidRDefault="00C85043" w:rsidP="00C85043">
            <w:pPr>
              <w:spacing w:before="40" w:after="40"/>
              <w:rPr>
                <w:rFonts w:cs="Arial"/>
                <w:color w:val="000000"/>
                <w:sz w:val="16"/>
                <w:szCs w:val="16"/>
                <w:lang w:val="ru-RU"/>
              </w:rPr>
            </w:pPr>
            <w:r w:rsidRPr="009044EE">
              <w:rPr>
                <w:rFonts w:cs="Arial"/>
                <w:color w:val="000000"/>
                <w:sz w:val="16"/>
                <w:szCs w:val="16"/>
                <w:lang w:val="ru-RU"/>
              </w:rPr>
              <w:t>Заключение контракта с инженером по отоплению, вентиляции и кондиционированию воздуха в зданиях АВ и РСТ</w:t>
            </w:r>
          </w:p>
        </w:tc>
        <w:tc>
          <w:tcPr>
            <w:tcW w:w="480" w:type="dxa"/>
            <w:tcBorders>
              <w:top w:val="nil"/>
              <w:left w:val="nil"/>
              <w:bottom w:val="single" w:sz="4" w:space="0" w:color="auto"/>
              <w:right w:val="single" w:sz="4" w:space="0" w:color="auto"/>
            </w:tcBorders>
            <w:shd w:val="clear" w:color="auto" w:fill="auto"/>
            <w:noWrap/>
            <w:vAlign w:val="bottom"/>
          </w:tcPr>
          <w:p w:rsidR="00C85043" w:rsidRPr="00FC499E" w:rsidRDefault="00C85043" w:rsidP="00C85043">
            <w:pPr>
              <w:spacing w:before="40" w:after="40"/>
              <w:rPr>
                <w:rFonts w:cs="Arial"/>
                <w:color w:val="000000"/>
                <w:sz w:val="16"/>
                <w:szCs w:val="16"/>
                <w:lang w:val="ru-RU"/>
              </w:rPr>
            </w:pPr>
            <w:r w:rsidRPr="003962D0">
              <w:rPr>
                <w:rFonts w:cs="Arial"/>
                <w:color w:val="000000"/>
                <w:sz w:val="16"/>
                <w:szCs w:val="16"/>
              </w:rPr>
              <w:t> </w:t>
            </w: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r w:rsidRPr="003962D0">
              <w:rPr>
                <w:rFonts w:cs="Arial"/>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50"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c>
          <w:tcPr>
            <w:tcW w:w="431"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r>
      <w:tr w:rsidR="00C85043" w:rsidRPr="00E32074" w:rsidTr="00C85043">
        <w:trPr>
          <w:trHeight w:val="545"/>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C85043" w:rsidRPr="006A029C" w:rsidRDefault="00C85043" w:rsidP="00C85043">
            <w:pPr>
              <w:spacing w:before="40" w:after="40"/>
              <w:rPr>
                <w:rFonts w:cs="Arial"/>
                <w:color w:val="000000"/>
                <w:sz w:val="16"/>
                <w:szCs w:val="16"/>
                <w:lang w:val="ru-RU"/>
              </w:rPr>
            </w:pPr>
            <w:r>
              <w:rPr>
                <w:rFonts w:cs="Arial"/>
                <w:color w:val="000000"/>
                <w:sz w:val="16"/>
                <w:szCs w:val="16"/>
                <w:lang w:val="ru-RU"/>
              </w:rPr>
              <w:t xml:space="preserve">Рассылка запросов на </w:t>
            </w:r>
            <w:r w:rsidRPr="009044EE">
              <w:rPr>
                <w:rFonts w:cs="Arial"/>
                <w:color w:val="000000"/>
                <w:sz w:val="16"/>
                <w:szCs w:val="16"/>
                <w:lang w:val="ru-RU"/>
              </w:rPr>
              <w:t>предложения фирм</w:t>
            </w:r>
            <w:r>
              <w:rPr>
                <w:rFonts w:cs="Arial"/>
                <w:color w:val="000000"/>
                <w:sz w:val="16"/>
                <w:szCs w:val="16"/>
                <w:lang w:val="ru-RU"/>
              </w:rPr>
              <w:t>ам</w:t>
            </w:r>
            <w:r w:rsidRPr="009044EE">
              <w:rPr>
                <w:rFonts w:cs="Arial"/>
                <w:color w:val="000000"/>
                <w:sz w:val="16"/>
                <w:szCs w:val="16"/>
                <w:lang w:val="ru-RU"/>
              </w:rPr>
              <w:t xml:space="preserve"> (</w:t>
            </w:r>
            <w:r>
              <w:rPr>
                <w:rFonts w:cs="Arial"/>
                <w:color w:val="000000"/>
                <w:sz w:val="16"/>
                <w:szCs w:val="16"/>
                <w:lang w:val="ru-RU"/>
              </w:rPr>
              <w:t xml:space="preserve">здание </w:t>
            </w:r>
            <w:r w:rsidRPr="009044EE">
              <w:rPr>
                <w:rFonts w:cs="Arial"/>
                <w:color w:val="000000"/>
                <w:sz w:val="16"/>
                <w:szCs w:val="16"/>
                <w:lang w:val="ru-RU"/>
              </w:rPr>
              <w:t>АВ)</w:t>
            </w:r>
          </w:p>
        </w:tc>
        <w:tc>
          <w:tcPr>
            <w:tcW w:w="480" w:type="dxa"/>
            <w:tcBorders>
              <w:top w:val="nil"/>
              <w:left w:val="nil"/>
              <w:bottom w:val="single" w:sz="4" w:space="0" w:color="auto"/>
              <w:right w:val="single" w:sz="4" w:space="0" w:color="auto"/>
            </w:tcBorders>
            <w:shd w:val="clear" w:color="auto" w:fill="auto"/>
            <w:noWrap/>
            <w:vAlign w:val="bottom"/>
          </w:tcPr>
          <w:p w:rsidR="00C85043" w:rsidRPr="006A029C" w:rsidRDefault="00C85043" w:rsidP="00C85043">
            <w:pPr>
              <w:spacing w:before="40" w:after="40"/>
              <w:rPr>
                <w:rFonts w:cs="Arial"/>
                <w:color w:val="000000"/>
                <w:sz w:val="16"/>
                <w:szCs w:val="16"/>
                <w:lang w:val="ru-RU"/>
              </w:rPr>
            </w:pPr>
            <w:r w:rsidRPr="003962D0">
              <w:rPr>
                <w:rFonts w:cs="Arial"/>
                <w:color w:val="000000"/>
                <w:sz w:val="16"/>
                <w:szCs w:val="16"/>
              </w:rPr>
              <w:t> </w:t>
            </w: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r w:rsidRPr="003962D0">
              <w:rPr>
                <w:rFonts w:cs="Arial"/>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50"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c>
          <w:tcPr>
            <w:tcW w:w="431"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r>
      <w:tr w:rsidR="00C85043" w:rsidRPr="00E32074" w:rsidTr="00C85043">
        <w:trPr>
          <w:trHeight w:val="425"/>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C85043" w:rsidRPr="006A029C" w:rsidRDefault="00C85043" w:rsidP="00C85043">
            <w:pPr>
              <w:spacing w:before="40" w:after="40"/>
              <w:rPr>
                <w:rFonts w:cs="Arial"/>
                <w:color w:val="000000"/>
                <w:sz w:val="16"/>
                <w:szCs w:val="16"/>
                <w:lang w:val="ru-RU"/>
              </w:rPr>
            </w:pPr>
            <w:r>
              <w:rPr>
                <w:rFonts w:cs="Arial"/>
                <w:color w:val="000000"/>
                <w:sz w:val="16"/>
                <w:szCs w:val="16"/>
                <w:lang w:val="ru-RU"/>
              </w:rPr>
              <w:t>Выполнение работ</w:t>
            </w:r>
            <w:r w:rsidRPr="006A029C">
              <w:rPr>
                <w:rFonts w:cs="Arial"/>
                <w:color w:val="000000"/>
                <w:sz w:val="16"/>
                <w:szCs w:val="16"/>
                <w:lang w:val="ru-RU"/>
              </w:rPr>
              <w:t xml:space="preserve"> и сдача результатов работ (</w:t>
            </w:r>
            <w:r>
              <w:rPr>
                <w:rFonts w:cs="Arial"/>
                <w:color w:val="000000"/>
                <w:sz w:val="16"/>
                <w:szCs w:val="16"/>
                <w:lang w:val="ru-RU"/>
              </w:rPr>
              <w:t>здание АБ</w:t>
            </w:r>
            <w:r w:rsidRPr="006A029C">
              <w:rPr>
                <w:rFonts w:cs="Arial"/>
                <w:color w:val="000000"/>
                <w:sz w:val="16"/>
                <w:szCs w:val="16"/>
                <w:lang w:val="ru-RU"/>
              </w:rPr>
              <w:t>)</w:t>
            </w:r>
          </w:p>
        </w:tc>
        <w:tc>
          <w:tcPr>
            <w:tcW w:w="480" w:type="dxa"/>
            <w:tcBorders>
              <w:top w:val="nil"/>
              <w:left w:val="nil"/>
              <w:bottom w:val="single" w:sz="4" w:space="0" w:color="auto"/>
              <w:right w:val="single" w:sz="4" w:space="0" w:color="auto"/>
            </w:tcBorders>
            <w:shd w:val="clear" w:color="auto" w:fill="auto"/>
            <w:noWrap/>
            <w:vAlign w:val="bottom"/>
          </w:tcPr>
          <w:p w:rsidR="00C85043" w:rsidRPr="006A029C" w:rsidRDefault="00C85043" w:rsidP="00C85043">
            <w:pPr>
              <w:spacing w:before="40" w:after="40"/>
              <w:rPr>
                <w:rFonts w:cs="Arial"/>
                <w:color w:val="000000"/>
                <w:sz w:val="16"/>
                <w:szCs w:val="16"/>
                <w:lang w:val="ru-RU"/>
              </w:rPr>
            </w:pPr>
            <w:r w:rsidRPr="003962D0">
              <w:rPr>
                <w:rFonts w:cs="Arial"/>
                <w:color w:val="000000"/>
                <w:sz w:val="16"/>
                <w:szCs w:val="16"/>
              </w:rPr>
              <w:t> </w:t>
            </w:r>
          </w:p>
        </w:tc>
        <w:tc>
          <w:tcPr>
            <w:tcW w:w="480" w:type="dxa"/>
            <w:tcBorders>
              <w:top w:val="nil"/>
              <w:left w:val="nil"/>
              <w:bottom w:val="single" w:sz="4" w:space="0" w:color="auto"/>
              <w:right w:val="single" w:sz="4" w:space="0" w:color="auto"/>
            </w:tcBorders>
            <w:shd w:val="clear" w:color="auto" w:fill="auto"/>
            <w:noWrap/>
            <w:vAlign w:val="center"/>
          </w:tcPr>
          <w:p w:rsidR="00C85043" w:rsidRPr="006A029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r w:rsidRPr="003962D0">
              <w:rPr>
                <w:rFonts w:cs="Arial"/>
                <w:color w:val="000000"/>
                <w:sz w:val="16"/>
                <w:szCs w:val="16"/>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50"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c>
          <w:tcPr>
            <w:tcW w:w="431"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r>
      <w:tr w:rsidR="00C85043" w:rsidRPr="00E32074" w:rsidTr="00C85043">
        <w:trPr>
          <w:trHeight w:val="417"/>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C85043" w:rsidRPr="006A029C" w:rsidRDefault="00C85043" w:rsidP="00C85043">
            <w:pPr>
              <w:spacing w:before="40" w:after="40"/>
              <w:rPr>
                <w:rFonts w:cs="Arial"/>
                <w:color w:val="000000"/>
                <w:sz w:val="16"/>
                <w:szCs w:val="16"/>
                <w:lang w:val="ru-RU"/>
              </w:rPr>
            </w:pPr>
            <w:r>
              <w:rPr>
                <w:rFonts w:cs="Arial"/>
                <w:color w:val="000000"/>
                <w:sz w:val="16"/>
                <w:szCs w:val="16"/>
                <w:lang w:val="ru-RU"/>
              </w:rPr>
              <w:t>Экспертиза проекта</w:t>
            </w:r>
            <w:r w:rsidRPr="006A029C">
              <w:rPr>
                <w:rFonts w:cs="Arial"/>
                <w:color w:val="000000"/>
                <w:sz w:val="16"/>
                <w:szCs w:val="16"/>
                <w:lang w:val="ru-RU"/>
              </w:rPr>
              <w:t xml:space="preserve"> совместно с инженером по отоплению, вентиляции и кондиционированию воздуха (здание РСТ)</w:t>
            </w:r>
          </w:p>
        </w:tc>
        <w:tc>
          <w:tcPr>
            <w:tcW w:w="480" w:type="dxa"/>
            <w:tcBorders>
              <w:top w:val="nil"/>
              <w:left w:val="nil"/>
              <w:bottom w:val="single" w:sz="4" w:space="0" w:color="auto"/>
              <w:right w:val="single" w:sz="4" w:space="0" w:color="auto"/>
            </w:tcBorders>
            <w:shd w:val="clear" w:color="auto" w:fill="auto"/>
            <w:noWrap/>
            <w:vAlign w:val="bottom"/>
          </w:tcPr>
          <w:p w:rsidR="00C85043" w:rsidRPr="006A029C" w:rsidRDefault="00C85043" w:rsidP="00C85043">
            <w:pPr>
              <w:spacing w:before="40" w:after="40"/>
              <w:rPr>
                <w:rFonts w:cs="Arial"/>
                <w:color w:val="000000"/>
                <w:sz w:val="16"/>
                <w:szCs w:val="16"/>
                <w:lang w:val="ru-RU"/>
              </w:rPr>
            </w:pPr>
            <w:r w:rsidRPr="003962D0">
              <w:rPr>
                <w:rFonts w:cs="Arial"/>
                <w:color w:val="000000"/>
                <w:sz w:val="16"/>
                <w:szCs w:val="16"/>
              </w:rPr>
              <w:t> </w:t>
            </w:r>
          </w:p>
        </w:tc>
        <w:tc>
          <w:tcPr>
            <w:tcW w:w="480" w:type="dxa"/>
            <w:tcBorders>
              <w:top w:val="nil"/>
              <w:left w:val="nil"/>
              <w:bottom w:val="single" w:sz="4" w:space="0" w:color="auto"/>
              <w:right w:val="single" w:sz="4" w:space="0" w:color="auto"/>
            </w:tcBorders>
            <w:shd w:val="clear" w:color="auto" w:fill="auto"/>
            <w:noWrap/>
            <w:vAlign w:val="center"/>
          </w:tcPr>
          <w:p w:rsidR="00C85043" w:rsidRPr="006A029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6A029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r w:rsidRPr="003962D0">
              <w:rPr>
                <w:rFonts w:cs="Arial"/>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50"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c>
          <w:tcPr>
            <w:tcW w:w="431"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r>
      <w:tr w:rsidR="00C85043" w:rsidRPr="00E32074" w:rsidTr="00C85043">
        <w:trPr>
          <w:trHeight w:val="410"/>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C85043" w:rsidRPr="00BE255C" w:rsidRDefault="00C85043" w:rsidP="00C85043">
            <w:pPr>
              <w:spacing w:before="40" w:after="40"/>
              <w:rPr>
                <w:rFonts w:cs="Arial"/>
                <w:color w:val="000000"/>
                <w:sz w:val="16"/>
                <w:szCs w:val="16"/>
                <w:lang w:val="ru-RU"/>
              </w:rPr>
            </w:pPr>
            <w:r>
              <w:rPr>
                <w:rFonts w:cs="Arial"/>
                <w:color w:val="000000"/>
                <w:sz w:val="16"/>
                <w:szCs w:val="16"/>
                <w:lang w:val="ru-RU"/>
              </w:rPr>
              <w:t>Проведение конкурса среди фирм</w:t>
            </w:r>
            <w:r w:rsidRPr="00BE255C">
              <w:rPr>
                <w:rFonts w:cs="Arial"/>
                <w:color w:val="000000"/>
                <w:sz w:val="16"/>
                <w:szCs w:val="16"/>
                <w:lang w:val="ru-RU"/>
              </w:rPr>
              <w:t xml:space="preserve"> (</w:t>
            </w:r>
            <w:r w:rsidRPr="006A029C">
              <w:rPr>
                <w:rFonts w:cs="Arial"/>
                <w:color w:val="000000"/>
                <w:sz w:val="16"/>
                <w:szCs w:val="16"/>
                <w:lang w:val="ru-RU"/>
              </w:rPr>
              <w:t xml:space="preserve">здание </w:t>
            </w:r>
            <w:r w:rsidRPr="003962D0">
              <w:rPr>
                <w:rFonts w:cs="Arial"/>
                <w:color w:val="000000"/>
                <w:sz w:val="16"/>
                <w:szCs w:val="16"/>
              </w:rPr>
              <w:t>PCT</w:t>
            </w:r>
            <w:r w:rsidRPr="00BE255C">
              <w:rPr>
                <w:rFonts w:cs="Arial"/>
                <w:color w:val="000000"/>
                <w:sz w:val="16"/>
                <w:szCs w:val="16"/>
                <w:lang w:val="ru-RU"/>
              </w:rPr>
              <w:t>)</w:t>
            </w:r>
          </w:p>
        </w:tc>
        <w:tc>
          <w:tcPr>
            <w:tcW w:w="480" w:type="dxa"/>
            <w:tcBorders>
              <w:top w:val="nil"/>
              <w:left w:val="nil"/>
              <w:bottom w:val="single" w:sz="4" w:space="0" w:color="auto"/>
              <w:right w:val="single" w:sz="4" w:space="0" w:color="auto"/>
            </w:tcBorders>
            <w:shd w:val="clear" w:color="auto" w:fill="auto"/>
            <w:noWrap/>
            <w:vAlign w:val="bottom"/>
          </w:tcPr>
          <w:p w:rsidR="00C85043" w:rsidRPr="00BE255C" w:rsidRDefault="00C85043" w:rsidP="00C85043">
            <w:pPr>
              <w:spacing w:before="40" w:after="40"/>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E255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E255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E255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r w:rsidRPr="003962D0">
              <w:rPr>
                <w:rFonts w:cs="Arial"/>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r w:rsidRPr="003962D0">
              <w:rPr>
                <w:rFonts w:cs="Arial"/>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560" w:type="dxa"/>
            <w:tcBorders>
              <w:top w:val="nil"/>
              <w:left w:val="nil"/>
              <w:bottom w:val="single" w:sz="4" w:space="0" w:color="auto"/>
              <w:right w:val="single" w:sz="8"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p>
        </w:tc>
        <w:tc>
          <w:tcPr>
            <w:tcW w:w="450"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c>
          <w:tcPr>
            <w:tcW w:w="431"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r>
      <w:tr w:rsidR="00C85043" w:rsidRPr="008A011F" w:rsidTr="00C85043">
        <w:trPr>
          <w:trHeight w:val="413"/>
          <w:jc w:val="center"/>
        </w:trPr>
        <w:tc>
          <w:tcPr>
            <w:tcW w:w="4167" w:type="dxa"/>
            <w:tcBorders>
              <w:top w:val="nil"/>
              <w:left w:val="single" w:sz="8" w:space="0" w:color="auto"/>
              <w:bottom w:val="single" w:sz="4" w:space="0" w:color="auto"/>
              <w:right w:val="single" w:sz="8" w:space="0" w:color="auto"/>
            </w:tcBorders>
            <w:shd w:val="clear" w:color="auto" w:fill="auto"/>
            <w:noWrap/>
            <w:vAlign w:val="center"/>
          </w:tcPr>
          <w:p w:rsidR="00C85043" w:rsidRPr="006A029C" w:rsidRDefault="00C85043" w:rsidP="00C85043">
            <w:pPr>
              <w:spacing w:before="40" w:after="40"/>
              <w:rPr>
                <w:rFonts w:cs="Arial"/>
                <w:color w:val="000000"/>
                <w:sz w:val="16"/>
                <w:szCs w:val="16"/>
                <w:lang w:val="ru-RU"/>
              </w:rPr>
            </w:pPr>
            <w:r>
              <w:rPr>
                <w:rFonts w:cs="Arial"/>
                <w:color w:val="000000"/>
                <w:sz w:val="16"/>
                <w:szCs w:val="16"/>
                <w:lang w:val="ru-RU"/>
              </w:rPr>
              <w:t>Выполнение работ</w:t>
            </w:r>
            <w:r w:rsidRPr="006A029C">
              <w:rPr>
                <w:rFonts w:cs="Arial"/>
                <w:color w:val="000000"/>
                <w:sz w:val="16"/>
                <w:szCs w:val="16"/>
                <w:lang w:val="ru-RU"/>
              </w:rPr>
              <w:t xml:space="preserve"> и сдача результатов работ  (здание </w:t>
            </w:r>
            <w:r w:rsidRPr="003962D0">
              <w:rPr>
                <w:rFonts w:cs="Arial"/>
                <w:color w:val="000000"/>
                <w:sz w:val="16"/>
                <w:szCs w:val="16"/>
              </w:rPr>
              <w:t>PCT</w:t>
            </w:r>
            <w:r w:rsidRPr="006A029C">
              <w:rPr>
                <w:rFonts w:cs="Arial"/>
                <w:color w:val="000000"/>
                <w:sz w:val="16"/>
                <w:szCs w:val="16"/>
                <w:lang w:val="ru-RU"/>
              </w:rPr>
              <w:t>)</w:t>
            </w:r>
          </w:p>
        </w:tc>
        <w:tc>
          <w:tcPr>
            <w:tcW w:w="480" w:type="dxa"/>
            <w:tcBorders>
              <w:top w:val="nil"/>
              <w:left w:val="nil"/>
              <w:bottom w:val="single" w:sz="4" w:space="0" w:color="auto"/>
              <w:right w:val="single" w:sz="4" w:space="0" w:color="auto"/>
            </w:tcBorders>
            <w:shd w:val="clear" w:color="auto" w:fill="auto"/>
            <w:noWrap/>
            <w:vAlign w:val="bottom"/>
          </w:tcPr>
          <w:p w:rsidR="00C85043" w:rsidRPr="006A029C" w:rsidRDefault="00C85043" w:rsidP="00C85043">
            <w:pPr>
              <w:spacing w:before="40" w:after="40"/>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6A029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6A029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6A029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6A029C"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r w:rsidRPr="003962D0">
              <w:rPr>
                <w:rFonts w:cs="Arial"/>
                <w:color w:val="000000"/>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3962D0" w:rsidRDefault="00C85043" w:rsidP="00C85043">
            <w:pPr>
              <w:spacing w:before="40" w:after="40"/>
              <w:jc w:val="center"/>
              <w:rPr>
                <w:rFonts w:cs="Arial"/>
                <w:color w:val="000000"/>
                <w:sz w:val="16"/>
                <w:szCs w:val="16"/>
              </w:rPr>
            </w:pPr>
            <w:r w:rsidRPr="003962D0">
              <w:rPr>
                <w:rFonts w:cs="Arial"/>
                <w:color w:val="000000"/>
                <w:sz w:val="16"/>
                <w:szCs w:val="16"/>
              </w:rPr>
              <w:t>X</w:t>
            </w:r>
          </w:p>
        </w:tc>
        <w:tc>
          <w:tcPr>
            <w:tcW w:w="560" w:type="dxa"/>
            <w:tcBorders>
              <w:top w:val="nil"/>
              <w:left w:val="nil"/>
              <w:bottom w:val="single" w:sz="4" w:space="0" w:color="auto"/>
              <w:right w:val="single" w:sz="8" w:space="0" w:color="auto"/>
            </w:tcBorders>
            <w:shd w:val="clear" w:color="auto" w:fill="auto"/>
            <w:noWrap/>
            <w:vAlign w:val="center"/>
          </w:tcPr>
          <w:p w:rsidR="00C85043" w:rsidRPr="008A011F" w:rsidRDefault="00C85043" w:rsidP="00C85043">
            <w:pPr>
              <w:spacing w:before="40" w:after="40"/>
              <w:jc w:val="center"/>
              <w:rPr>
                <w:rFonts w:cs="Arial"/>
                <w:sz w:val="16"/>
                <w:szCs w:val="16"/>
              </w:rPr>
            </w:pPr>
            <w:r w:rsidRPr="008A011F">
              <w:rPr>
                <w:rFonts w:cs="Arial"/>
                <w:sz w:val="16"/>
                <w:szCs w:val="16"/>
              </w:rPr>
              <w:t>X</w:t>
            </w:r>
          </w:p>
        </w:tc>
        <w:tc>
          <w:tcPr>
            <w:tcW w:w="450"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rPr>
                <w:sz w:val="16"/>
                <w:szCs w:val="16"/>
              </w:rPr>
            </w:pPr>
            <w:r w:rsidRPr="008A011F">
              <w:rPr>
                <w:sz w:val="16"/>
                <w:szCs w:val="16"/>
              </w:rPr>
              <w:t>X</w:t>
            </w:r>
          </w:p>
        </w:tc>
        <w:tc>
          <w:tcPr>
            <w:tcW w:w="431" w:type="dxa"/>
            <w:tcBorders>
              <w:top w:val="single" w:sz="4" w:space="0" w:color="auto"/>
              <w:bottom w:val="single" w:sz="4" w:space="0" w:color="auto"/>
              <w:right w:val="single" w:sz="4" w:space="0" w:color="auto"/>
            </w:tcBorders>
            <w:shd w:val="clear" w:color="auto" w:fill="auto"/>
            <w:vAlign w:val="center"/>
          </w:tcPr>
          <w:p w:rsidR="00C85043" w:rsidRPr="008A011F" w:rsidRDefault="00C85043" w:rsidP="00C85043">
            <w:pPr>
              <w:spacing w:before="40" w:after="40"/>
              <w:jc w:val="center"/>
            </w:pPr>
          </w:p>
        </w:tc>
      </w:tr>
    </w:tbl>
    <w:p w:rsidR="00C85043" w:rsidRDefault="00C85043" w:rsidP="00C85043">
      <w:pPr>
        <w:autoSpaceDE w:val="0"/>
        <w:autoSpaceDN w:val="0"/>
        <w:jc w:val="both"/>
      </w:pPr>
    </w:p>
    <w:p w:rsidR="00C85043" w:rsidRDefault="00C85043" w:rsidP="00C85043">
      <w:pPr>
        <w:spacing w:after="200" w:line="276" w:lineRule="auto"/>
        <w:rPr>
          <w:b/>
          <w:noProof/>
          <w:sz w:val="22"/>
        </w:rPr>
      </w:pPr>
      <w:r>
        <w:rPr>
          <w:b/>
          <w:noProof/>
          <w:sz w:val="22"/>
        </w:rPr>
        <w:br w:type="page"/>
      </w:r>
    </w:p>
    <w:p w:rsidR="00C85043" w:rsidRPr="00994B87" w:rsidRDefault="00C85043" w:rsidP="00C85043">
      <w:pPr>
        <w:rPr>
          <w:b/>
          <w:noProof/>
          <w:sz w:val="22"/>
        </w:rPr>
      </w:pPr>
      <w:r w:rsidRPr="003842BB">
        <w:rPr>
          <w:b/>
          <w:noProof/>
          <w:sz w:val="22"/>
        </w:rPr>
        <w:t>ПРОЕКТЫ, СВЯЗАННЫЕ СО ЗДАНИЯМИ</w:t>
      </w:r>
    </w:p>
    <w:p w:rsidR="00C85043" w:rsidRPr="008C15AF" w:rsidRDefault="00C85043" w:rsidP="00C85043">
      <w:pPr>
        <w:pStyle w:val="StyleHeading3BoldNounderline"/>
        <w:ind w:left="1440" w:hanging="1440"/>
        <w:rPr>
          <w:b/>
          <w:sz w:val="20"/>
          <w:lang w:val="ru-RU"/>
        </w:rPr>
      </w:pPr>
      <w:bookmarkStart w:id="153" w:name="_Toc422210527"/>
      <w:bookmarkStart w:id="154" w:name="_Toc455388150"/>
      <w:r w:rsidRPr="00EC516A">
        <w:rPr>
          <w:b/>
          <w:sz w:val="20"/>
          <w:lang w:val="ru-RU"/>
        </w:rPr>
        <w:t>ПРОЕКТ</w:t>
      </w:r>
      <w:r w:rsidRPr="008C15AF">
        <w:rPr>
          <w:b/>
          <w:sz w:val="20"/>
          <w:lang w:val="ru-RU"/>
        </w:rPr>
        <w:t xml:space="preserve"> 5</w:t>
      </w:r>
      <w:r w:rsidRPr="008C15AF">
        <w:rPr>
          <w:b/>
          <w:sz w:val="20"/>
          <w:lang w:val="ru-RU"/>
        </w:rPr>
        <w:tab/>
        <w:t>ЗДАНИЕ АРПАД БОГШ</w:t>
      </w:r>
      <w:r>
        <w:rPr>
          <w:b/>
          <w:sz w:val="20"/>
          <w:lang w:val="ru-RU"/>
        </w:rPr>
        <w:t xml:space="preserve">: 1-Й </w:t>
      </w:r>
      <w:r w:rsidRPr="008C15AF">
        <w:rPr>
          <w:b/>
          <w:sz w:val="20"/>
          <w:lang w:val="ru-RU"/>
        </w:rPr>
        <w:t>ЭТАП РЕКОНСТРУКЦИИ ЦОКОЛЬНОГО ЭТАЖА (ИЗМЕНЕНИЕ ПЛОЩАДИ ИНФОРМАЦИОННОГО ЦЕНТРА И РЕКОНСТР</w:t>
      </w:r>
      <w:r>
        <w:rPr>
          <w:b/>
          <w:sz w:val="20"/>
          <w:lang w:val="ru-RU"/>
        </w:rPr>
        <w:t>УКЦИЯ</w:t>
      </w:r>
      <w:r w:rsidRPr="008C15AF">
        <w:rPr>
          <w:b/>
          <w:sz w:val="20"/>
          <w:lang w:val="ru-RU"/>
        </w:rPr>
        <w:t xml:space="preserve"> ТИПОГРАФИИ) (ГПКР</w:t>
      </w:r>
      <w:r>
        <w:rPr>
          <w:b/>
          <w:sz w:val="20"/>
          <w:lang w:val="ru-RU"/>
        </w:rPr>
        <w:t>-</w:t>
      </w:r>
      <w:r w:rsidRPr="008C15AF">
        <w:rPr>
          <w:b/>
          <w:sz w:val="20"/>
          <w:lang w:val="ru-RU"/>
        </w:rPr>
        <w:t>5)</w:t>
      </w:r>
      <w:bookmarkEnd w:id="153"/>
      <w:bookmarkEnd w:id="154"/>
    </w:p>
    <w:p w:rsidR="00C85043" w:rsidRPr="008C15AF" w:rsidRDefault="00C85043" w:rsidP="00C85043">
      <w:pPr>
        <w:rPr>
          <w:b/>
          <w:noProof/>
          <w:sz w:val="18"/>
          <w:lang w:val="ru-RU"/>
        </w:rPr>
      </w:pPr>
    </w:p>
    <w:p w:rsidR="00C85043" w:rsidRPr="002F5531" w:rsidRDefault="00C85043" w:rsidP="00C85043">
      <w:pPr>
        <w:rPr>
          <w:b/>
          <w:noProof/>
          <w:szCs w:val="20"/>
          <w:lang w:val="ru-RU"/>
        </w:rPr>
      </w:pPr>
      <w:r w:rsidRPr="002F5531">
        <w:rPr>
          <w:b/>
          <w:noProof/>
          <w:szCs w:val="20"/>
          <w:lang w:val="ru-RU"/>
        </w:rPr>
        <w:t>Руководитель проекта:</w:t>
      </w:r>
      <w:r w:rsidRPr="002F5531">
        <w:rPr>
          <w:b/>
          <w:noProof/>
          <w:szCs w:val="20"/>
          <w:lang w:val="ru-RU"/>
        </w:rPr>
        <w:tab/>
      </w:r>
      <w:r w:rsidRPr="001A104A">
        <w:rPr>
          <w:b/>
          <w:noProof/>
          <w:szCs w:val="20"/>
          <w:lang w:val="ru-RU"/>
        </w:rPr>
        <w:t>А. ФАВЕРО</w:t>
      </w:r>
    </w:p>
    <w:p w:rsidR="00C85043" w:rsidRPr="002F5531" w:rsidRDefault="00C85043" w:rsidP="00C85043">
      <w:pPr>
        <w:rPr>
          <w:noProof/>
          <w:sz w:val="18"/>
          <w:szCs w:val="20"/>
          <w:lang w:val="ru-RU"/>
        </w:rPr>
      </w:pPr>
    </w:p>
    <w:p w:rsidR="00C85043" w:rsidRPr="002F5531" w:rsidRDefault="00C85043" w:rsidP="00C85043">
      <w:pPr>
        <w:rPr>
          <w:bCs/>
          <w:noProof/>
          <w:sz w:val="18"/>
          <w:szCs w:val="20"/>
          <w:lang w:val="ru-RU"/>
        </w:rPr>
      </w:pPr>
    </w:p>
    <w:p w:rsidR="00C85043" w:rsidRPr="002F5531" w:rsidRDefault="00C85043" w:rsidP="00C85043">
      <w:pPr>
        <w:rPr>
          <w:bCs/>
          <w:szCs w:val="22"/>
          <w:lang w:val="ru-RU"/>
        </w:rPr>
      </w:pPr>
      <w:r>
        <w:rPr>
          <w:bCs/>
          <w:szCs w:val="22"/>
          <w:lang w:val="ru-RU"/>
        </w:rPr>
        <w:t>ОЖИДАЕМЫЕ РЕЗУЛЬТАТЫ</w:t>
      </w:r>
    </w:p>
    <w:p w:rsidR="00C85043" w:rsidRPr="002F5531" w:rsidRDefault="00C85043" w:rsidP="00C85043">
      <w:pPr>
        <w:rPr>
          <w:bCs/>
          <w:sz w:val="18"/>
          <w:szCs w:val="20"/>
          <w:lang w:val="ru-RU"/>
        </w:rPr>
      </w:pPr>
    </w:p>
    <w:p w:rsidR="00C85043" w:rsidRPr="001A104A" w:rsidRDefault="00C85043" w:rsidP="00C85043">
      <w:pPr>
        <w:rPr>
          <w:i/>
          <w:iCs/>
          <w:szCs w:val="20"/>
          <w:lang w:val="ru-RU"/>
        </w:rPr>
      </w:pPr>
      <w:r w:rsidRPr="005E07CA">
        <w:rPr>
          <w:i/>
          <w:iCs/>
          <w:szCs w:val="20"/>
        </w:rPr>
        <w:t>IX</w:t>
      </w:r>
      <w:r w:rsidRPr="001A104A">
        <w:rPr>
          <w:i/>
          <w:iCs/>
          <w:szCs w:val="20"/>
          <w:lang w:val="ru-RU"/>
        </w:rPr>
        <w:t xml:space="preserve">.1  </w:t>
      </w:r>
      <w:r>
        <w:rPr>
          <w:i/>
          <w:iCs/>
          <w:szCs w:val="20"/>
          <w:lang w:val="ru-RU"/>
        </w:rPr>
        <w:t>Эффективная, оперативная и качественная поддержка, ориентированная на нужды клиентов и оказываемая как внутренним пользователям, так и внешним партнерам</w:t>
      </w:r>
    </w:p>
    <w:p w:rsidR="00C85043" w:rsidRPr="001A104A" w:rsidRDefault="00C85043" w:rsidP="00C85043">
      <w:pPr>
        <w:rPr>
          <w:bCs/>
          <w:noProof/>
          <w:szCs w:val="20"/>
          <w:lang w:val="ru-RU"/>
        </w:rPr>
      </w:pPr>
    </w:p>
    <w:p w:rsidR="00C85043" w:rsidRPr="001A104A" w:rsidRDefault="00C85043" w:rsidP="00C85043">
      <w:pPr>
        <w:rPr>
          <w:bCs/>
          <w:noProof/>
          <w:szCs w:val="20"/>
          <w:lang w:val="ru-RU"/>
        </w:rPr>
      </w:pPr>
    </w:p>
    <w:p w:rsidR="00C85043" w:rsidRPr="003842BB" w:rsidRDefault="00C85043" w:rsidP="00C85043">
      <w:pPr>
        <w:rPr>
          <w:bCs/>
          <w:noProof/>
          <w:szCs w:val="22"/>
          <w:lang w:val="ru-RU"/>
        </w:rPr>
      </w:pPr>
      <w:r>
        <w:rPr>
          <w:bCs/>
          <w:noProof/>
          <w:szCs w:val="22"/>
          <w:lang w:val="ru-RU"/>
        </w:rPr>
        <w:t>ЦЕЛИ, ОБЪЕМ ЗАДАЧ И МЕТОДОЛОГИЯ: СПРАВОЧНАЯ ИНФОРМАЦИЯ</w:t>
      </w:r>
    </w:p>
    <w:p w:rsidR="00C85043" w:rsidRPr="003842BB" w:rsidRDefault="00C85043" w:rsidP="00C85043">
      <w:pPr>
        <w:rPr>
          <w:bCs/>
          <w:noProof/>
          <w:szCs w:val="20"/>
          <w:lang w:val="ru-RU"/>
        </w:rPr>
      </w:pPr>
    </w:p>
    <w:p w:rsidR="00C85043" w:rsidRPr="000139EF" w:rsidRDefault="00C85043" w:rsidP="00BF61DC">
      <w:pPr>
        <w:pStyle w:val="ListParagraph"/>
        <w:numPr>
          <w:ilvl w:val="0"/>
          <w:numId w:val="113"/>
        </w:numPr>
        <w:tabs>
          <w:tab w:val="left" w:pos="567"/>
        </w:tabs>
        <w:ind w:left="0" w:firstLine="0"/>
        <w:jc w:val="both"/>
        <w:rPr>
          <w:bCs/>
          <w:lang w:val="ru-RU"/>
        </w:rPr>
      </w:pPr>
      <w:r w:rsidRPr="000139EF">
        <w:rPr>
          <w:bCs/>
          <w:lang w:val="ru-RU"/>
        </w:rPr>
        <w:t xml:space="preserve">Требуется изменить площадь информационного центра, расположенного в цокольном этаже здания АБ, с учетом его новых, более ограниченных задач как компьютерного </w:t>
      </w:r>
      <w:r>
        <w:rPr>
          <w:bCs/>
          <w:lang w:val="ru-RU"/>
        </w:rPr>
        <w:t>зала</w:t>
      </w:r>
      <w:r w:rsidRPr="000139EF">
        <w:rPr>
          <w:bCs/>
          <w:lang w:val="ru-RU"/>
        </w:rPr>
        <w:t xml:space="preserve">, обслуживающего только здание АБ.  Планируется, что изменение его размеров позволит высвободить значительные площади, которые могут </w:t>
      </w:r>
      <w:r>
        <w:rPr>
          <w:bCs/>
          <w:lang w:val="ru-RU"/>
        </w:rPr>
        <w:t>быть использованы</w:t>
      </w:r>
      <w:r w:rsidRPr="000139EF">
        <w:rPr>
          <w:bCs/>
          <w:lang w:val="ru-RU"/>
        </w:rPr>
        <w:t xml:space="preserve"> для расширения существующей типографии, нуждающейся в реконструкции. </w:t>
      </w:r>
    </w:p>
    <w:p w:rsidR="00C85043" w:rsidRPr="00AB735C" w:rsidRDefault="00C85043" w:rsidP="00C85043">
      <w:pPr>
        <w:tabs>
          <w:tab w:val="left" w:pos="567"/>
        </w:tabs>
        <w:jc w:val="both"/>
        <w:rPr>
          <w:bCs/>
          <w:szCs w:val="20"/>
          <w:lang w:val="ru-RU"/>
        </w:rPr>
      </w:pPr>
    </w:p>
    <w:p w:rsidR="00C85043" w:rsidRPr="00632EAA" w:rsidRDefault="00C85043" w:rsidP="00BF61DC">
      <w:pPr>
        <w:pStyle w:val="ListParagraph"/>
        <w:numPr>
          <w:ilvl w:val="0"/>
          <w:numId w:val="113"/>
        </w:numPr>
        <w:tabs>
          <w:tab w:val="left" w:pos="567"/>
        </w:tabs>
        <w:ind w:left="0" w:firstLine="0"/>
        <w:jc w:val="both"/>
        <w:rPr>
          <w:bCs/>
          <w:noProof/>
          <w:lang w:val="ru-RU"/>
        </w:rPr>
      </w:pPr>
      <w:r>
        <w:rPr>
          <w:bCs/>
          <w:noProof/>
          <w:lang w:val="ru-RU"/>
        </w:rPr>
        <w:t>Проект</w:t>
      </w:r>
      <w:r w:rsidRPr="00632EAA">
        <w:rPr>
          <w:bCs/>
          <w:noProof/>
          <w:lang w:val="ru-RU"/>
        </w:rPr>
        <w:t xml:space="preserve"> </w:t>
      </w:r>
      <w:r>
        <w:rPr>
          <w:bCs/>
          <w:noProof/>
          <w:lang w:val="ru-RU"/>
        </w:rPr>
        <w:t>имеет следующие цели</w:t>
      </w:r>
      <w:r w:rsidRPr="00632EAA">
        <w:rPr>
          <w:bCs/>
          <w:noProof/>
          <w:lang w:val="ru-RU"/>
        </w:rPr>
        <w:t>: (</w:t>
      </w:r>
      <w:r w:rsidRPr="00632EAA">
        <w:rPr>
          <w:bCs/>
          <w:noProof/>
        </w:rPr>
        <w:t>i</w:t>
      </w:r>
      <w:r w:rsidRPr="00632EAA">
        <w:rPr>
          <w:bCs/>
          <w:noProof/>
          <w:lang w:val="ru-RU"/>
        </w:rPr>
        <w:t>) правильно</w:t>
      </w:r>
      <w:r>
        <w:rPr>
          <w:bCs/>
          <w:noProof/>
          <w:lang w:val="ru-RU"/>
        </w:rPr>
        <w:t>е распределение площадей между типографией, хранилищем документов и компьютерным</w:t>
      </w:r>
      <w:r w:rsidRPr="00632EAA">
        <w:rPr>
          <w:bCs/>
          <w:noProof/>
          <w:lang w:val="ru-RU"/>
        </w:rPr>
        <w:t xml:space="preserve"> </w:t>
      </w:r>
      <w:r>
        <w:rPr>
          <w:bCs/>
          <w:noProof/>
          <w:lang w:val="ru-RU"/>
        </w:rPr>
        <w:t>залом</w:t>
      </w:r>
      <w:r w:rsidRPr="00632EAA">
        <w:rPr>
          <w:bCs/>
          <w:noProof/>
          <w:lang w:val="ru-RU"/>
        </w:rPr>
        <w:t xml:space="preserve"> </w:t>
      </w:r>
      <w:r>
        <w:rPr>
          <w:bCs/>
          <w:noProof/>
          <w:lang w:val="ru-RU"/>
        </w:rPr>
        <w:t>с сокращением</w:t>
      </w:r>
      <w:r w:rsidRPr="00632EAA">
        <w:rPr>
          <w:bCs/>
          <w:noProof/>
          <w:lang w:val="ru-RU"/>
        </w:rPr>
        <w:t xml:space="preserve"> площади информационного центра </w:t>
      </w:r>
      <w:r>
        <w:rPr>
          <w:bCs/>
          <w:noProof/>
          <w:lang w:val="ru-RU"/>
        </w:rPr>
        <w:t xml:space="preserve">и </w:t>
      </w:r>
      <w:r w:rsidRPr="00632EAA">
        <w:rPr>
          <w:bCs/>
          <w:noProof/>
          <w:lang w:val="ru-RU"/>
        </w:rPr>
        <w:t>высвобождением относ</w:t>
      </w:r>
      <w:r>
        <w:rPr>
          <w:bCs/>
          <w:noProof/>
          <w:lang w:val="ru-RU"/>
        </w:rPr>
        <w:t xml:space="preserve">ительно большой площади </w:t>
      </w:r>
      <w:r w:rsidRPr="00632EAA">
        <w:rPr>
          <w:bCs/>
          <w:noProof/>
          <w:lang w:val="ru-RU"/>
        </w:rPr>
        <w:t>для расширения и реконструкции типографии; (</w:t>
      </w:r>
      <w:r w:rsidRPr="00632EAA">
        <w:rPr>
          <w:bCs/>
          <w:noProof/>
        </w:rPr>
        <w:t>ii</w:t>
      </w:r>
      <w:r>
        <w:rPr>
          <w:bCs/>
          <w:noProof/>
          <w:lang w:val="ru-RU"/>
        </w:rPr>
        <w:t>) сокращение объемов</w:t>
      </w:r>
      <w:r w:rsidRPr="00632EAA">
        <w:rPr>
          <w:bCs/>
          <w:noProof/>
          <w:lang w:val="ru-RU"/>
        </w:rPr>
        <w:t xml:space="preserve"> энергопотребления путем выв</w:t>
      </w:r>
      <w:r>
        <w:rPr>
          <w:bCs/>
          <w:noProof/>
          <w:lang w:val="ru-RU"/>
        </w:rPr>
        <w:t xml:space="preserve">ода </w:t>
      </w:r>
      <w:r w:rsidRPr="00632EAA">
        <w:rPr>
          <w:bCs/>
          <w:noProof/>
          <w:lang w:val="ru-RU"/>
        </w:rPr>
        <w:t>специализированного технического оборудования из информационного центра; и (</w:t>
      </w:r>
      <w:r w:rsidRPr="00632EAA">
        <w:rPr>
          <w:bCs/>
          <w:noProof/>
        </w:rPr>
        <w:t>iii</w:t>
      </w:r>
      <w:r>
        <w:rPr>
          <w:bCs/>
          <w:noProof/>
          <w:lang w:val="ru-RU"/>
        </w:rPr>
        <w:t>) улучшение</w:t>
      </w:r>
      <w:r w:rsidRPr="00632EAA">
        <w:rPr>
          <w:bCs/>
          <w:noProof/>
          <w:lang w:val="ru-RU"/>
        </w:rPr>
        <w:t xml:space="preserve"> </w:t>
      </w:r>
      <w:r>
        <w:rPr>
          <w:bCs/>
          <w:noProof/>
          <w:lang w:val="ru-RU"/>
        </w:rPr>
        <w:t>условий</w:t>
      </w:r>
      <w:r w:rsidRPr="00632EAA">
        <w:rPr>
          <w:bCs/>
          <w:noProof/>
          <w:lang w:val="ru-RU"/>
        </w:rPr>
        <w:t xml:space="preserve"> работы сотрудников типографии и архива. </w:t>
      </w:r>
    </w:p>
    <w:p w:rsidR="00C85043" w:rsidRPr="00AB735C" w:rsidRDefault="00C85043" w:rsidP="00C85043">
      <w:pPr>
        <w:rPr>
          <w:bCs/>
          <w:noProof/>
          <w:szCs w:val="20"/>
          <w:lang w:val="ru-RU"/>
        </w:rPr>
      </w:pPr>
    </w:p>
    <w:p w:rsidR="00C85043" w:rsidRPr="00AB735C" w:rsidRDefault="00C85043" w:rsidP="00C85043">
      <w:pPr>
        <w:rPr>
          <w:bCs/>
          <w:noProof/>
          <w:szCs w:val="20"/>
          <w:lang w:val="ru-RU"/>
        </w:rPr>
      </w:pPr>
    </w:p>
    <w:p w:rsidR="00C85043" w:rsidRPr="000C5D6F" w:rsidRDefault="00C85043" w:rsidP="00C85043">
      <w:pPr>
        <w:rPr>
          <w:bCs/>
          <w:noProof/>
          <w:szCs w:val="22"/>
          <w:lang w:val="ru-RU"/>
        </w:rPr>
      </w:pPr>
      <w:r w:rsidRPr="000C5D6F">
        <w:rPr>
          <w:bCs/>
          <w:noProof/>
          <w:szCs w:val="22"/>
          <w:lang w:val="ru-RU"/>
        </w:rPr>
        <w:t xml:space="preserve">ОБЗОР ХОДА РЕАЛИЗАЦИИ ПРОЕКТА В 2015 ГОДУ </w:t>
      </w:r>
      <w:r>
        <w:rPr>
          <w:bCs/>
          <w:noProof/>
          <w:szCs w:val="22"/>
          <w:lang w:val="ru-RU"/>
        </w:rPr>
        <w:t>(ОСНОВНЫЕ РЕЗУЛЬТАТЫ)</w:t>
      </w:r>
    </w:p>
    <w:p w:rsidR="00C85043" w:rsidRPr="000C5D6F" w:rsidRDefault="00C85043" w:rsidP="00C85043">
      <w:pPr>
        <w:autoSpaceDE w:val="0"/>
        <w:autoSpaceDN w:val="0"/>
        <w:adjustRightInd w:val="0"/>
        <w:rPr>
          <w:rFonts w:eastAsia="Calibri" w:cs="Arial"/>
          <w:color w:val="000000"/>
          <w:lang w:val="ru-RU"/>
        </w:rPr>
      </w:pPr>
    </w:p>
    <w:p w:rsidR="00C85043" w:rsidRPr="00FC499E" w:rsidRDefault="00C85043" w:rsidP="00BF61DC">
      <w:pPr>
        <w:pStyle w:val="ListParagraph"/>
        <w:numPr>
          <w:ilvl w:val="0"/>
          <w:numId w:val="113"/>
        </w:numPr>
        <w:tabs>
          <w:tab w:val="left" w:pos="567"/>
        </w:tabs>
        <w:ind w:left="0" w:firstLine="0"/>
        <w:jc w:val="both"/>
        <w:rPr>
          <w:rFonts w:eastAsia="Calibri" w:cs="Arial"/>
          <w:color w:val="000000"/>
          <w:lang w:val="ru-RU"/>
        </w:rPr>
      </w:pPr>
      <w:r w:rsidRPr="00FC499E">
        <w:rPr>
          <w:rFonts w:eastAsia="Calibri" w:cs="Arial"/>
          <w:color w:val="000000"/>
          <w:lang w:val="ru-RU"/>
        </w:rPr>
        <w:t xml:space="preserve">В </w:t>
      </w:r>
      <w:r>
        <w:rPr>
          <w:rFonts w:eastAsia="Calibri" w:cs="Arial"/>
          <w:color w:val="000000"/>
          <w:lang w:val="ru-RU"/>
        </w:rPr>
        <w:t>2014 г.</w:t>
      </w:r>
      <w:r w:rsidRPr="00FC499E">
        <w:rPr>
          <w:rFonts w:eastAsia="Calibri" w:cs="Arial"/>
          <w:color w:val="000000"/>
          <w:lang w:val="ru-RU"/>
        </w:rPr>
        <w:t xml:space="preserve"> году </w:t>
      </w:r>
      <w:r>
        <w:rPr>
          <w:rFonts w:eastAsia="Calibri" w:cs="Arial"/>
          <w:color w:val="000000"/>
          <w:lang w:val="ru-RU"/>
        </w:rPr>
        <w:t>был</w:t>
      </w:r>
      <w:r w:rsidRPr="003842BB">
        <w:rPr>
          <w:rFonts w:eastAsia="Calibri" w:cs="Arial"/>
          <w:color w:val="000000"/>
          <w:lang w:val="ru-RU"/>
        </w:rPr>
        <w:t>и</w:t>
      </w:r>
      <w:r>
        <w:rPr>
          <w:rFonts w:eastAsia="Calibri" w:cs="Arial"/>
          <w:color w:val="000000"/>
          <w:lang w:val="ru-RU"/>
        </w:rPr>
        <w:t xml:space="preserve"> достигнуты следующие </w:t>
      </w:r>
      <w:r w:rsidRPr="003842BB">
        <w:rPr>
          <w:rFonts w:eastAsia="Calibri" w:cs="Arial"/>
          <w:color w:val="000000"/>
          <w:lang w:val="ru-RU"/>
        </w:rPr>
        <w:t>результат</w:t>
      </w:r>
      <w:r>
        <w:rPr>
          <w:rFonts w:eastAsia="Calibri" w:cs="Arial"/>
          <w:color w:val="000000"/>
          <w:lang w:val="ru-RU"/>
        </w:rPr>
        <w:t>ы:</w:t>
      </w:r>
      <w:r w:rsidRPr="00FC499E">
        <w:rPr>
          <w:rFonts w:eastAsia="Calibri" w:cs="Arial"/>
          <w:color w:val="000000"/>
          <w:lang w:val="ru-RU"/>
        </w:rPr>
        <w:t xml:space="preserve">  </w:t>
      </w:r>
    </w:p>
    <w:p w:rsidR="00C85043" w:rsidRPr="00FC499E" w:rsidRDefault="00C85043" w:rsidP="00C85043">
      <w:pPr>
        <w:autoSpaceDE w:val="0"/>
        <w:autoSpaceDN w:val="0"/>
        <w:adjustRightInd w:val="0"/>
        <w:spacing w:after="13"/>
        <w:rPr>
          <w:rFonts w:eastAsia="Calibri" w:cs="Arial"/>
          <w:color w:val="000000"/>
          <w:szCs w:val="20"/>
          <w:lang w:val="ru-RU"/>
        </w:rPr>
      </w:pPr>
    </w:p>
    <w:p w:rsidR="00C85043" w:rsidRPr="00C97F18" w:rsidRDefault="00C85043" w:rsidP="00BF61DC">
      <w:pPr>
        <w:pStyle w:val="ListParagraph"/>
        <w:numPr>
          <w:ilvl w:val="0"/>
          <w:numId w:val="121"/>
        </w:numPr>
        <w:autoSpaceDE w:val="0"/>
        <w:autoSpaceDN w:val="0"/>
        <w:adjustRightInd w:val="0"/>
        <w:spacing w:after="120"/>
        <w:ind w:left="714" w:hanging="357"/>
        <w:rPr>
          <w:bCs/>
          <w:lang w:val="ru-RU"/>
        </w:rPr>
      </w:pPr>
      <w:r w:rsidRPr="009044EE">
        <w:rPr>
          <w:bCs/>
          <w:lang w:val="ru-RU"/>
        </w:rPr>
        <w:t>разработано техническое задание для архитектора;</w:t>
      </w:r>
      <w:r w:rsidRPr="00C97F18">
        <w:rPr>
          <w:bCs/>
          <w:lang w:val="ru-RU"/>
        </w:rPr>
        <w:t xml:space="preserve"> </w:t>
      </w:r>
    </w:p>
    <w:p w:rsidR="00C85043" w:rsidRPr="00C97F18"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 xml:space="preserve">проведен </w:t>
      </w:r>
      <w:r w:rsidRPr="009044EE">
        <w:rPr>
          <w:bCs/>
          <w:lang w:val="ru-RU"/>
        </w:rPr>
        <w:t xml:space="preserve">конкурс </w:t>
      </w:r>
      <w:r>
        <w:rPr>
          <w:bCs/>
          <w:lang w:val="ru-RU"/>
        </w:rPr>
        <w:t xml:space="preserve">по выбору </w:t>
      </w:r>
      <w:r w:rsidRPr="009044EE">
        <w:rPr>
          <w:bCs/>
          <w:lang w:val="ru-RU"/>
        </w:rPr>
        <w:t>архитектора; и</w:t>
      </w:r>
      <w:r w:rsidRPr="00C97F18">
        <w:rPr>
          <w:bCs/>
          <w:lang w:val="ru-RU"/>
        </w:rPr>
        <w:t xml:space="preserve"> </w:t>
      </w:r>
    </w:p>
    <w:p w:rsidR="00C85043" w:rsidRPr="00C97F18" w:rsidRDefault="00C85043" w:rsidP="00BF61DC">
      <w:pPr>
        <w:pStyle w:val="ListParagraph"/>
        <w:numPr>
          <w:ilvl w:val="0"/>
          <w:numId w:val="121"/>
        </w:numPr>
        <w:autoSpaceDE w:val="0"/>
        <w:autoSpaceDN w:val="0"/>
        <w:adjustRightInd w:val="0"/>
        <w:spacing w:after="120"/>
        <w:ind w:left="714" w:hanging="357"/>
        <w:rPr>
          <w:bCs/>
          <w:lang w:val="ru-RU"/>
        </w:rPr>
      </w:pPr>
      <w:r w:rsidRPr="009044EE">
        <w:rPr>
          <w:bCs/>
          <w:lang w:val="ru-RU"/>
        </w:rPr>
        <w:t>заключен контракт с архитектором и инженером по отоплению, вентиляции и кондиционированию воздуха.</w:t>
      </w:r>
      <w:r w:rsidRPr="00C97F18">
        <w:rPr>
          <w:bCs/>
          <w:lang w:val="ru-RU"/>
        </w:rPr>
        <w:t xml:space="preserve"> </w:t>
      </w:r>
    </w:p>
    <w:p w:rsidR="00C85043" w:rsidRPr="00632EAA" w:rsidRDefault="00C85043" w:rsidP="00C85043">
      <w:pPr>
        <w:autoSpaceDE w:val="0"/>
        <w:autoSpaceDN w:val="0"/>
        <w:adjustRightInd w:val="0"/>
        <w:rPr>
          <w:rFonts w:eastAsia="Calibri" w:cs="Arial"/>
          <w:color w:val="000000"/>
          <w:szCs w:val="20"/>
          <w:lang w:val="ru-RU"/>
        </w:rPr>
      </w:pPr>
    </w:p>
    <w:p w:rsidR="00C85043" w:rsidRPr="00632EAA" w:rsidRDefault="00C85043" w:rsidP="00BF61DC">
      <w:pPr>
        <w:pStyle w:val="ListParagraph"/>
        <w:numPr>
          <w:ilvl w:val="0"/>
          <w:numId w:val="113"/>
        </w:numPr>
        <w:tabs>
          <w:tab w:val="left" w:pos="567"/>
        </w:tabs>
        <w:ind w:left="0" w:firstLine="0"/>
        <w:jc w:val="both"/>
        <w:rPr>
          <w:rFonts w:eastAsia="Calibri" w:cs="Arial"/>
          <w:color w:val="000000"/>
          <w:lang w:val="ru-RU"/>
        </w:rPr>
      </w:pPr>
      <w:r w:rsidRPr="00632EAA">
        <w:rPr>
          <w:rFonts w:eastAsia="Calibri" w:cs="Arial"/>
          <w:color w:val="000000"/>
          <w:lang w:val="ru-RU"/>
        </w:rPr>
        <w:t>Ввиду переноса сроков сдачи нового конференц-зала ВОИС (с начала 2014 г. на сентябрь 2014 г.) дата начала проекта была перенесена на шесть месяцев относительно даты, указанной в первоначальном плане. В график проекта были внесены соответствующие изменения.</w:t>
      </w:r>
    </w:p>
    <w:p w:rsidR="00C85043" w:rsidRPr="00632EAA" w:rsidRDefault="00C85043" w:rsidP="00C85043">
      <w:pPr>
        <w:autoSpaceDE w:val="0"/>
        <w:autoSpaceDN w:val="0"/>
        <w:adjustRightInd w:val="0"/>
        <w:rPr>
          <w:rFonts w:eastAsia="Calibri" w:cs="Arial"/>
          <w:color w:val="000000"/>
          <w:szCs w:val="20"/>
          <w:lang w:val="ru-RU"/>
        </w:rPr>
      </w:pPr>
    </w:p>
    <w:p w:rsidR="00C85043" w:rsidRPr="00326480" w:rsidRDefault="00C85043" w:rsidP="00BF61DC">
      <w:pPr>
        <w:pStyle w:val="ListParagraph"/>
        <w:numPr>
          <w:ilvl w:val="0"/>
          <w:numId w:val="113"/>
        </w:numPr>
        <w:tabs>
          <w:tab w:val="left" w:pos="567"/>
        </w:tabs>
        <w:ind w:left="0" w:firstLine="0"/>
        <w:jc w:val="both"/>
        <w:rPr>
          <w:rFonts w:eastAsia="Calibri" w:cs="Arial"/>
          <w:color w:val="000000"/>
          <w:lang w:val="ru-RU"/>
        </w:rPr>
      </w:pPr>
      <w:r w:rsidRPr="00A64792">
        <w:rPr>
          <w:rFonts w:eastAsia="Calibri" w:cs="Arial"/>
          <w:color w:val="000000"/>
          <w:lang w:val="ru-RU"/>
        </w:rPr>
        <w:t>В</w:t>
      </w:r>
      <w:r w:rsidRPr="00326480">
        <w:rPr>
          <w:rFonts w:eastAsia="Calibri" w:cs="Arial"/>
          <w:color w:val="000000"/>
          <w:lang w:val="ru-RU"/>
        </w:rPr>
        <w:t xml:space="preserve"> 2015 </w:t>
      </w:r>
      <w:r w:rsidRPr="00A64792">
        <w:rPr>
          <w:rFonts w:eastAsia="Calibri" w:cs="Arial"/>
          <w:color w:val="000000"/>
          <w:lang w:val="ru-RU"/>
        </w:rPr>
        <w:t>году</w:t>
      </w:r>
      <w:r w:rsidRPr="00326480">
        <w:rPr>
          <w:rFonts w:eastAsia="Calibri" w:cs="Arial"/>
          <w:color w:val="000000"/>
          <w:lang w:val="ru-RU"/>
        </w:rPr>
        <w:t xml:space="preserve"> </w:t>
      </w:r>
      <w:r>
        <w:rPr>
          <w:rFonts w:eastAsia="Calibri" w:cs="Arial"/>
          <w:color w:val="000000"/>
          <w:lang w:val="ru-RU"/>
        </w:rPr>
        <w:t>был</w:t>
      </w:r>
      <w:r w:rsidRPr="003842BB">
        <w:rPr>
          <w:rFonts w:eastAsia="Calibri" w:cs="Arial"/>
          <w:color w:val="000000"/>
          <w:lang w:val="ru-RU"/>
        </w:rPr>
        <w:t>и</w:t>
      </w:r>
      <w:r>
        <w:rPr>
          <w:rFonts w:eastAsia="Calibri" w:cs="Arial"/>
          <w:color w:val="000000"/>
          <w:lang w:val="ru-RU"/>
        </w:rPr>
        <w:t xml:space="preserve"> достигнуты следующие </w:t>
      </w:r>
      <w:r w:rsidRPr="003842BB">
        <w:rPr>
          <w:rFonts w:eastAsia="Calibri" w:cs="Arial"/>
          <w:color w:val="000000"/>
          <w:lang w:val="ru-RU"/>
        </w:rPr>
        <w:t>результат</w:t>
      </w:r>
      <w:r>
        <w:rPr>
          <w:rFonts w:eastAsia="Calibri" w:cs="Arial"/>
          <w:color w:val="000000"/>
          <w:lang w:val="ru-RU"/>
        </w:rPr>
        <w:t>ы:</w:t>
      </w:r>
      <w:r w:rsidRPr="00FC499E">
        <w:rPr>
          <w:rFonts w:eastAsia="Calibri" w:cs="Arial"/>
          <w:color w:val="000000"/>
          <w:lang w:val="ru-RU"/>
        </w:rPr>
        <w:t xml:space="preserve">  </w:t>
      </w:r>
    </w:p>
    <w:p w:rsidR="00C85043" w:rsidRPr="00326480" w:rsidRDefault="00C85043" w:rsidP="00C85043">
      <w:pPr>
        <w:pStyle w:val="ListParagraph"/>
        <w:autoSpaceDE w:val="0"/>
        <w:autoSpaceDN w:val="0"/>
        <w:adjustRightInd w:val="0"/>
        <w:ind w:left="714"/>
        <w:rPr>
          <w:bCs/>
          <w:lang w:val="ru-RU"/>
        </w:rPr>
      </w:pPr>
    </w:p>
    <w:p w:rsidR="00C85043" w:rsidRPr="00632EAA"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 xml:space="preserve">начало </w:t>
      </w:r>
      <w:r w:rsidRPr="00632EAA">
        <w:rPr>
          <w:bCs/>
          <w:lang w:val="ru-RU"/>
        </w:rPr>
        <w:t>проект</w:t>
      </w:r>
      <w:r>
        <w:rPr>
          <w:bCs/>
          <w:lang w:val="ru-RU"/>
        </w:rPr>
        <w:t xml:space="preserve">ных </w:t>
      </w:r>
      <w:r w:rsidRPr="00632EAA">
        <w:rPr>
          <w:bCs/>
          <w:lang w:val="ru-RU"/>
        </w:rPr>
        <w:t>работ</w:t>
      </w:r>
      <w:r>
        <w:rPr>
          <w:bCs/>
          <w:lang w:val="ru-RU"/>
        </w:rPr>
        <w:t xml:space="preserve"> архитектором</w:t>
      </w:r>
      <w:r w:rsidRPr="00632EAA">
        <w:rPr>
          <w:bCs/>
          <w:lang w:val="ru-RU"/>
        </w:rPr>
        <w:t xml:space="preserve">;  и </w:t>
      </w:r>
    </w:p>
    <w:p w:rsidR="00C85043" w:rsidRPr="00632EAA"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 xml:space="preserve">вывод </w:t>
      </w:r>
      <w:r w:rsidRPr="00632EAA">
        <w:rPr>
          <w:bCs/>
          <w:lang w:val="ru-RU"/>
        </w:rPr>
        <w:t>компьютер</w:t>
      </w:r>
      <w:r>
        <w:rPr>
          <w:bCs/>
          <w:lang w:val="ru-RU"/>
        </w:rPr>
        <w:t>ного</w:t>
      </w:r>
      <w:r w:rsidRPr="00632EAA">
        <w:rPr>
          <w:bCs/>
          <w:lang w:val="ru-RU"/>
        </w:rPr>
        <w:t xml:space="preserve"> </w:t>
      </w:r>
      <w:r>
        <w:rPr>
          <w:bCs/>
          <w:lang w:val="ru-RU"/>
        </w:rPr>
        <w:t>оборудования</w:t>
      </w:r>
      <w:r w:rsidRPr="00632EAA">
        <w:rPr>
          <w:bCs/>
          <w:lang w:val="ru-RU"/>
        </w:rPr>
        <w:t xml:space="preserve"> </w:t>
      </w:r>
      <w:r>
        <w:rPr>
          <w:bCs/>
          <w:lang w:val="ru-RU"/>
        </w:rPr>
        <w:t xml:space="preserve">из переоборудуемого </w:t>
      </w:r>
      <w:r w:rsidRPr="00632EAA">
        <w:rPr>
          <w:bCs/>
          <w:lang w:val="ru-RU"/>
        </w:rPr>
        <w:t>информаци</w:t>
      </w:r>
      <w:r>
        <w:rPr>
          <w:bCs/>
          <w:lang w:val="ru-RU"/>
        </w:rPr>
        <w:t>онного</w:t>
      </w:r>
      <w:r w:rsidRPr="00632EAA">
        <w:rPr>
          <w:bCs/>
          <w:lang w:val="ru-RU"/>
        </w:rPr>
        <w:t xml:space="preserve"> </w:t>
      </w:r>
      <w:r>
        <w:rPr>
          <w:bCs/>
          <w:lang w:val="ru-RU"/>
        </w:rPr>
        <w:t xml:space="preserve">центра для </w:t>
      </w:r>
      <w:r w:rsidRPr="00632EAA">
        <w:rPr>
          <w:bCs/>
          <w:lang w:val="ru-RU"/>
        </w:rPr>
        <w:t>определени</w:t>
      </w:r>
      <w:r>
        <w:rPr>
          <w:bCs/>
          <w:lang w:val="ru-RU"/>
        </w:rPr>
        <w:t xml:space="preserve">я размеров </w:t>
      </w:r>
      <w:r w:rsidRPr="00632EAA">
        <w:rPr>
          <w:bCs/>
          <w:lang w:val="ru-RU"/>
        </w:rPr>
        <w:t>площад</w:t>
      </w:r>
      <w:r>
        <w:rPr>
          <w:bCs/>
          <w:lang w:val="ru-RU"/>
        </w:rPr>
        <w:t>и, которая может быть выделена для нужд будущей типографии</w:t>
      </w:r>
      <w:r w:rsidRPr="00632EAA">
        <w:rPr>
          <w:bCs/>
          <w:lang w:val="ru-RU"/>
        </w:rPr>
        <w:t>.</w:t>
      </w:r>
    </w:p>
    <w:p w:rsidR="00C85043" w:rsidRPr="00632EAA" w:rsidRDefault="00C85043" w:rsidP="00C85043">
      <w:pPr>
        <w:autoSpaceDE w:val="0"/>
        <w:autoSpaceDN w:val="0"/>
        <w:adjustRightInd w:val="0"/>
        <w:rPr>
          <w:rFonts w:eastAsia="Calibri" w:cs="Arial"/>
          <w:szCs w:val="20"/>
          <w:lang w:val="ru-RU"/>
        </w:rPr>
      </w:pPr>
    </w:p>
    <w:p w:rsidR="00C85043" w:rsidRPr="008367BB" w:rsidRDefault="00C85043" w:rsidP="00BF61DC">
      <w:pPr>
        <w:pStyle w:val="ListParagraph"/>
        <w:numPr>
          <w:ilvl w:val="0"/>
          <w:numId w:val="113"/>
        </w:numPr>
        <w:tabs>
          <w:tab w:val="left" w:pos="567"/>
        </w:tabs>
        <w:ind w:left="0" w:firstLine="0"/>
        <w:jc w:val="both"/>
        <w:rPr>
          <w:rFonts w:eastAsia="Calibri" w:cs="Arial"/>
          <w:lang w:val="ru-RU"/>
        </w:rPr>
      </w:pPr>
      <w:r w:rsidRPr="00375062">
        <w:rPr>
          <w:rFonts w:eastAsia="Calibri" w:cs="Arial"/>
          <w:szCs w:val="24"/>
          <w:lang w:val="ru-RU"/>
        </w:rPr>
        <w:t>По состоянию на</w:t>
      </w:r>
      <w:r>
        <w:rPr>
          <w:rFonts w:eastAsia="Calibri" w:cs="Arial"/>
          <w:lang w:val="ru-RU"/>
        </w:rPr>
        <w:t xml:space="preserve"> </w:t>
      </w:r>
      <w:r w:rsidRPr="008367BB">
        <w:rPr>
          <w:rFonts w:eastAsia="Calibri" w:cs="Arial"/>
          <w:lang w:val="ru-RU"/>
        </w:rPr>
        <w:t>кон</w:t>
      </w:r>
      <w:r>
        <w:rPr>
          <w:rFonts w:eastAsia="Calibri" w:cs="Arial"/>
          <w:lang w:val="ru-RU"/>
        </w:rPr>
        <w:t>е</w:t>
      </w:r>
      <w:r w:rsidRPr="008367BB">
        <w:rPr>
          <w:rFonts w:eastAsia="Calibri" w:cs="Arial"/>
          <w:lang w:val="ru-RU"/>
        </w:rPr>
        <w:t>ц 2015</w:t>
      </w:r>
      <w:r>
        <w:rPr>
          <w:rFonts w:eastAsia="Calibri" w:cs="Arial"/>
        </w:rPr>
        <w:t> </w:t>
      </w:r>
      <w:r w:rsidRPr="008367BB">
        <w:rPr>
          <w:rFonts w:eastAsia="Calibri" w:cs="Arial"/>
          <w:lang w:val="ru-RU"/>
        </w:rPr>
        <w:t xml:space="preserve">г. </w:t>
      </w:r>
      <w:r w:rsidRPr="00375062">
        <w:rPr>
          <w:rFonts w:eastAsia="Calibri" w:cs="Arial"/>
          <w:lang w:val="ru-RU"/>
        </w:rPr>
        <w:t>внутренн</w:t>
      </w:r>
      <w:r>
        <w:rPr>
          <w:rFonts w:eastAsia="Calibri" w:cs="Arial"/>
          <w:lang w:val="ru-RU"/>
        </w:rPr>
        <w:t xml:space="preserve">ие </w:t>
      </w:r>
      <w:r w:rsidRPr="00375062">
        <w:rPr>
          <w:rFonts w:eastAsia="Calibri" w:cs="Arial"/>
          <w:lang w:val="ru-RU"/>
        </w:rPr>
        <w:t>решени</w:t>
      </w:r>
      <w:r>
        <w:rPr>
          <w:rFonts w:eastAsia="Calibri" w:cs="Arial"/>
          <w:lang w:val="ru-RU"/>
        </w:rPr>
        <w:t xml:space="preserve">я о размерах </w:t>
      </w:r>
      <w:r w:rsidRPr="008367BB">
        <w:rPr>
          <w:rFonts w:eastAsia="Calibri" w:cs="Arial"/>
          <w:lang w:val="ru-RU"/>
        </w:rPr>
        <w:t>площад</w:t>
      </w:r>
      <w:r>
        <w:rPr>
          <w:rFonts w:eastAsia="Calibri" w:cs="Arial"/>
          <w:lang w:val="ru-RU"/>
        </w:rPr>
        <w:t>и</w:t>
      </w:r>
      <w:r w:rsidRPr="008367BB">
        <w:rPr>
          <w:rFonts w:eastAsia="Calibri" w:cs="Arial"/>
          <w:lang w:val="ru-RU"/>
        </w:rPr>
        <w:t xml:space="preserve">, </w:t>
      </w:r>
      <w:r w:rsidRPr="008367BB">
        <w:rPr>
          <w:bCs/>
          <w:noProof/>
          <w:lang w:val="ru-RU"/>
        </w:rPr>
        <w:t>необходим</w:t>
      </w:r>
      <w:r>
        <w:rPr>
          <w:bCs/>
          <w:noProof/>
          <w:lang w:val="ru-RU"/>
        </w:rPr>
        <w:t>ой</w:t>
      </w:r>
      <w:r w:rsidRPr="008367BB">
        <w:rPr>
          <w:bCs/>
          <w:noProof/>
          <w:lang w:val="ru-RU"/>
        </w:rPr>
        <w:t xml:space="preserve"> </w:t>
      </w:r>
      <w:r>
        <w:rPr>
          <w:bCs/>
          <w:noProof/>
          <w:lang w:val="ru-RU"/>
        </w:rPr>
        <w:t>для</w:t>
      </w:r>
      <w:r w:rsidRPr="008367BB">
        <w:rPr>
          <w:bCs/>
          <w:noProof/>
          <w:lang w:val="ru-RU"/>
        </w:rPr>
        <w:t xml:space="preserve"> размещени</w:t>
      </w:r>
      <w:r>
        <w:rPr>
          <w:bCs/>
          <w:noProof/>
          <w:lang w:val="ru-RU"/>
        </w:rPr>
        <w:t>я</w:t>
      </w:r>
      <w:r w:rsidRPr="008367BB">
        <w:rPr>
          <w:bCs/>
          <w:noProof/>
          <w:lang w:val="ru-RU"/>
        </w:rPr>
        <w:t xml:space="preserve"> </w:t>
      </w:r>
      <w:r>
        <w:rPr>
          <w:bCs/>
          <w:noProof/>
          <w:lang w:val="ru-RU"/>
        </w:rPr>
        <w:t>расширенной и переоборудованной типографии, все еще не были приняты</w:t>
      </w:r>
      <w:r w:rsidRPr="008367BB">
        <w:rPr>
          <w:bCs/>
          <w:noProof/>
          <w:lang w:val="ru-RU"/>
        </w:rPr>
        <w:t xml:space="preserve">, </w:t>
      </w:r>
      <w:r>
        <w:rPr>
          <w:bCs/>
          <w:noProof/>
          <w:lang w:val="ru-RU"/>
        </w:rPr>
        <w:t xml:space="preserve">что вызвало </w:t>
      </w:r>
      <w:r w:rsidRPr="008367BB">
        <w:rPr>
          <w:bCs/>
          <w:noProof/>
          <w:lang w:val="ru-RU"/>
        </w:rPr>
        <w:t>дальнейш</w:t>
      </w:r>
      <w:r>
        <w:rPr>
          <w:bCs/>
          <w:noProof/>
          <w:lang w:val="ru-RU"/>
        </w:rPr>
        <w:t xml:space="preserve">ее отставание в реализации </w:t>
      </w:r>
      <w:r w:rsidRPr="008367BB">
        <w:rPr>
          <w:bCs/>
          <w:noProof/>
          <w:lang w:val="ru-RU"/>
        </w:rPr>
        <w:t>проект</w:t>
      </w:r>
      <w:r>
        <w:rPr>
          <w:bCs/>
          <w:noProof/>
          <w:lang w:val="ru-RU"/>
        </w:rPr>
        <w:t xml:space="preserve">а. </w:t>
      </w:r>
      <w:r w:rsidRPr="008367BB">
        <w:rPr>
          <w:rFonts w:eastAsia="Calibri" w:cs="Arial"/>
          <w:color w:val="000000"/>
          <w:lang w:val="ru-RU"/>
        </w:rPr>
        <w:t>В график проекта были внесены соответствующие изменения</w:t>
      </w:r>
      <w:r w:rsidRPr="008367BB">
        <w:rPr>
          <w:bCs/>
          <w:noProof/>
          <w:lang w:val="ru-RU"/>
        </w:rPr>
        <w:t>.</w:t>
      </w:r>
    </w:p>
    <w:p w:rsidR="00C85043" w:rsidRPr="008367BB" w:rsidRDefault="00C85043" w:rsidP="00C85043">
      <w:pPr>
        <w:spacing w:after="200" w:line="276" w:lineRule="auto"/>
        <w:rPr>
          <w:rFonts w:eastAsia="Calibri" w:cs="Arial"/>
          <w:szCs w:val="20"/>
          <w:lang w:val="ru-RU"/>
        </w:rPr>
      </w:pPr>
    </w:p>
    <w:p w:rsidR="00C85043" w:rsidRPr="00821FE0" w:rsidRDefault="00C85043" w:rsidP="00C85043">
      <w:pPr>
        <w:keepNext/>
        <w:keepLines/>
        <w:rPr>
          <w:noProof/>
          <w:sz w:val="18"/>
        </w:rPr>
      </w:pPr>
      <w:r>
        <w:rPr>
          <w:bCs/>
          <w:noProof/>
          <w:szCs w:val="22"/>
        </w:rPr>
        <w:t>РЕАЛИЗАЦИЯ ПОЛОЖИТЕЛЬНЫХ РЕЗУЛЬТАТОВ</w:t>
      </w:r>
    </w:p>
    <w:p w:rsidR="00C85043" w:rsidRPr="004E3CEE" w:rsidRDefault="00C85043" w:rsidP="00C85043">
      <w:pPr>
        <w:keepNext/>
        <w:keepLines/>
        <w:rPr>
          <w:noProof/>
          <w:szCs w:val="20"/>
        </w:rPr>
      </w:pPr>
    </w:p>
    <w:tbl>
      <w:tblPr>
        <w:tblW w:w="3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20"/>
      </w:tblGrid>
      <w:tr w:rsidR="00C85043" w:rsidRPr="005C6ABD" w:rsidTr="00C85043">
        <w:trPr>
          <w:trHeight w:val="442"/>
          <w:tblHeader/>
          <w:jc w:val="center"/>
        </w:trPr>
        <w:tc>
          <w:tcPr>
            <w:tcW w:w="5000" w:type="pct"/>
            <w:shd w:val="clear" w:color="auto" w:fill="C6D9F1"/>
            <w:vAlign w:val="center"/>
          </w:tcPr>
          <w:p w:rsidR="00C85043" w:rsidRPr="00326480" w:rsidRDefault="00C85043" w:rsidP="00C85043">
            <w:pPr>
              <w:keepNext/>
              <w:keepLines/>
              <w:jc w:val="center"/>
              <w:rPr>
                <w:b/>
                <w:bCs/>
                <w:noProof/>
                <w:sz w:val="16"/>
                <w:szCs w:val="16"/>
                <w:lang w:val="ru-RU"/>
              </w:rPr>
            </w:pPr>
            <w:r w:rsidRPr="00326480">
              <w:rPr>
                <w:b/>
                <w:bCs/>
                <w:noProof/>
                <w:sz w:val="16"/>
                <w:szCs w:val="16"/>
                <w:lang w:val="ru-RU"/>
              </w:rPr>
              <w:t>Положительные результаты, ожидаемые в 2017 г.</w:t>
            </w:r>
          </w:p>
        </w:tc>
      </w:tr>
      <w:tr w:rsidR="00C85043" w:rsidRPr="005C6ABD" w:rsidTr="00C85043">
        <w:trPr>
          <w:trHeight w:val="348"/>
          <w:jc w:val="center"/>
        </w:trPr>
        <w:tc>
          <w:tcPr>
            <w:tcW w:w="5000" w:type="pct"/>
            <w:shd w:val="clear" w:color="auto" w:fill="auto"/>
            <w:vAlign w:val="center"/>
          </w:tcPr>
          <w:p w:rsidR="00C85043" w:rsidRPr="00E86CE7" w:rsidRDefault="00C85043" w:rsidP="00C85043">
            <w:pPr>
              <w:spacing w:before="60" w:after="60"/>
              <w:rPr>
                <w:bCs/>
                <w:iCs/>
                <w:noProof/>
                <w:color w:val="000000"/>
                <w:sz w:val="16"/>
                <w:szCs w:val="16"/>
                <w:lang w:val="ru-RU"/>
              </w:rPr>
            </w:pPr>
            <w:r w:rsidRPr="009044EE">
              <w:rPr>
                <w:bCs/>
                <w:iCs/>
                <w:noProof/>
                <w:color w:val="000000"/>
                <w:sz w:val="16"/>
                <w:szCs w:val="16"/>
                <w:lang w:val="ru-RU"/>
              </w:rPr>
              <w:t>Более</w:t>
            </w:r>
            <w:r w:rsidRPr="00E86CE7">
              <w:rPr>
                <w:bCs/>
                <w:iCs/>
                <w:noProof/>
                <w:color w:val="000000"/>
                <w:sz w:val="16"/>
                <w:szCs w:val="16"/>
                <w:lang w:val="ru-RU"/>
              </w:rPr>
              <w:t xml:space="preserve"> </w:t>
            </w:r>
            <w:r w:rsidRPr="009044EE">
              <w:rPr>
                <w:bCs/>
                <w:iCs/>
                <w:noProof/>
                <w:color w:val="000000"/>
                <w:sz w:val="16"/>
                <w:szCs w:val="16"/>
                <w:lang w:val="ru-RU"/>
              </w:rPr>
              <w:t>рациональное</w:t>
            </w:r>
            <w:r w:rsidRPr="00E86CE7">
              <w:rPr>
                <w:bCs/>
                <w:iCs/>
                <w:noProof/>
                <w:color w:val="000000"/>
                <w:sz w:val="16"/>
                <w:szCs w:val="16"/>
                <w:lang w:val="ru-RU"/>
              </w:rPr>
              <w:t xml:space="preserve"> </w:t>
            </w:r>
            <w:r w:rsidRPr="009044EE">
              <w:rPr>
                <w:bCs/>
                <w:iCs/>
                <w:noProof/>
                <w:color w:val="000000"/>
                <w:sz w:val="16"/>
                <w:szCs w:val="16"/>
                <w:lang w:val="ru-RU"/>
              </w:rPr>
              <w:t>распределение</w:t>
            </w:r>
            <w:r w:rsidRPr="00E86CE7">
              <w:rPr>
                <w:bCs/>
                <w:iCs/>
                <w:noProof/>
                <w:color w:val="000000"/>
                <w:sz w:val="16"/>
                <w:szCs w:val="16"/>
                <w:lang w:val="ru-RU"/>
              </w:rPr>
              <w:t xml:space="preserve"> </w:t>
            </w:r>
            <w:r w:rsidRPr="009044EE">
              <w:rPr>
                <w:bCs/>
                <w:iCs/>
                <w:noProof/>
                <w:color w:val="000000"/>
                <w:sz w:val="16"/>
                <w:szCs w:val="16"/>
                <w:lang w:val="ru-RU"/>
              </w:rPr>
              <w:t>площадей</w:t>
            </w:r>
            <w:r w:rsidRPr="00E86CE7">
              <w:rPr>
                <w:bCs/>
                <w:iCs/>
                <w:noProof/>
                <w:color w:val="000000"/>
                <w:sz w:val="16"/>
                <w:szCs w:val="16"/>
                <w:lang w:val="ru-RU"/>
              </w:rPr>
              <w:t xml:space="preserve"> в соответствии с </w:t>
            </w:r>
            <w:r>
              <w:rPr>
                <w:bCs/>
                <w:iCs/>
                <w:noProof/>
                <w:color w:val="000000"/>
                <w:sz w:val="16"/>
                <w:szCs w:val="16"/>
                <w:lang w:val="ru-RU"/>
              </w:rPr>
              <w:t xml:space="preserve">их целевым </w:t>
            </w:r>
            <w:r w:rsidRPr="00E86CE7">
              <w:rPr>
                <w:bCs/>
                <w:iCs/>
                <w:noProof/>
                <w:color w:val="000000"/>
                <w:sz w:val="16"/>
                <w:szCs w:val="16"/>
                <w:lang w:val="ru-RU"/>
              </w:rPr>
              <w:t>назначени</w:t>
            </w:r>
            <w:r>
              <w:rPr>
                <w:bCs/>
                <w:iCs/>
                <w:noProof/>
                <w:color w:val="000000"/>
                <w:sz w:val="16"/>
                <w:szCs w:val="16"/>
                <w:lang w:val="ru-RU"/>
              </w:rPr>
              <w:t>ем</w:t>
            </w:r>
            <w:r w:rsidRPr="00E86CE7">
              <w:rPr>
                <w:bCs/>
                <w:iCs/>
                <w:noProof/>
                <w:color w:val="000000"/>
                <w:sz w:val="16"/>
                <w:szCs w:val="16"/>
                <w:lang w:val="ru-RU"/>
              </w:rPr>
              <w:t>.</w:t>
            </w:r>
          </w:p>
        </w:tc>
      </w:tr>
      <w:tr w:rsidR="00C85043" w:rsidRPr="005C6ABD" w:rsidTr="00C85043">
        <w:trPr>
          <w:trHeight w:val="281"/>
          <w:jc w:val="center"/>
        </w:trPr>
        <w:tc>
          <w:tcPr>
            <w:tcW w:w="5000" w:type="pct"/>
            <w:shd w:val="clear" w:color="auto" w:fill="auto"/>
            <w:vAlign w:val="center"/>
          </w:tcPr>
          <w:p w:rsidR="00C85043" w:rsidRPr="00E86CE7" w:rsidRDefault="00C85043" w:rsidP="00C85043">
            <w:pPr>
              <w:spacing w:before="60" w:after="60"/>
              <w:rPr>
                <w:bCs/>
                <w:iCs/>
                <w:noProof/>
                <w:sz w:val="16"/>
                <w:szCs w:val="16"/>
                <w:lang w:val="ru-RU"/>
              </w:rPr>
            </w:pPr>
            <w:r w:rsidRPr="009044EE">
              <w:rPr>
                <w:bCs/>
                <w:iCs/>
                <w:noProof/>
                <w:sz w:val="16"/>
                <w:szCs w:val="16"/>
                <w:lang w:val="ru-RU"/>
              </w:rPr>
              <w:t>Частичное сокращение энергопотребления на участке проведения работ в здании АВ</w:t>
            </w:r>
          </w:p>
        </w:tc>
      </w:tr>
      <w:tr w:rsidR="00C85043" w:rsidRPr="005C6ABD" w:rsidTr="00C85043">
        <w:trPr>
          <w:trHeight w:val="274"/>
          <w:jc w:val="center"/>
        </w:trPr>
        <w:tc>
          <w:tcPr>
            <w:tcW w:w="5000" w:type="pct"/>
            <w:shd w:val="clear" w:color="auto" w:fill="auto"/>
            <w:vAlign w:val="center"/>
          </w:tcPr>
          <w:p w:rsidR="00C85043" w:rsidRPr="00E86CE7" w:rsidRDefault="00C85043" w:rsidP="00C85043">
            <w:pPr>
              <w:spacing w:before="60" w:after="60"/>
              <w:rPr>
                <w:bCs/>
                <w:iCs/>
                <w:noProof/>
                <w:sz w:val="16"/>
                <w:szCs w:val="16"/>
                <w:lang w:val="ru-RU"/>
              </w:rPr>
            </w:pPr>
            <w:r w:rsidRPr="009044EE">
              <w:rPr>
                <w:bCs/>
                <w:iCs/>
                <w:noProof/>
                <w:sz w:val="16"/>
                <w:szCs w:val="16"/>
                <w:lang w:val="ru-RU"/>
              </w:rPr>
              <w:t xml:space="preserve">Улучшение </w:t>
            </w:r>
            <w:r w:rsidRPr="00AB6178">
              <w:rPr>
                <w:bCs/>
                <w:iCs/>
                <w:noProof/>
                <w:sz w:val="16"/>
                <w:szCs w:val="16"/>
                <w:lang w:val="ru-RU"/>
              </w:rPr>
              <w:t>услови</w:t>
            </w:r>
            <w:r>
              <w:rPr>
                <w:bCs/>
                <w:iCs/>
                <w:noProof/>
                <w:sz w:val="16"/>
                <w:szCs w:val="16"/>
                <w:lang w:val="ru-RU"/>
              </w:rPr>
              <w:t xml:space="preserve">й </w:t>
            </w:r>
            <w:r w:rsidRPr="009044EE">
              <w:rPr>
                <w:bCs/>
                <w:iCs/>
                <w:noProof/>
                <w:sz w:val="16"/>
                <w:szCs w:val="16"/>
                <w:lang w:val="ru-RU"/>
              </w:rPr>
              <w:t>рабо</w:t>
            </w:r>
            <w:r>
              <w:rPr>
                <w:bCs/>
                <w:iCs/>
                <w:noProof/>
                <w:sz w:val="16"/>
                <w:szCs w:val="16"/>
                <w:lang w:val="ru-RU"/>
              </w:rPr>
              <w:t xml:space="preserve">ты </w:t>
            </w:r>
            <w:r w:rsidRPr="009044EE">
              <w:rPr>
                <w:bCs/>
                <w:iCs/>
                <w:noProof/>
                <w:sz w:val="16"/>
                <w:szCs w:val="16"/>
                <w:lang w:val="ru-RU"/>
              </w:rPr>
              <w:t xml:space="preserve">сотрудников типографии и </w:t>
            </w:r>
            <w:r>
              <w:rPr>
                <w:bCs/>
                <w:iCs/>
                <w:noProof/>
                <w:sz w:val="16"/>
                <w:szCs w:val="16"/>
                <w:lang w:val="ru-RU"/>
              </w:rPr>
              <w:t xml:space="preserve">хранилища </w:t>
            </w:r>
            <w:r w:rsidRPr="00375062">
              <w:rPr>
                <w:bCs/>
                <w:iCs/>
                <w:noProof/>
                <w:sz w:val="16"/>
                <w:szCs w:val="16"/>
                <w:lang w:val="ru-RU"/>
              </w:rPr>
              <w:t>документ</w:t>
            </w:r>
            <w:r>
              <w:rPr>
                <w:bCs/>
                <w:iCs/>
                <w:noProof/>
                <w:sz w:val="16"/>
                <w:szCs w:val="16"/>
                <w:lang w:val="ru-RU"/>
              </w:rPr>
              <w:t>ов</w:t>
            </w:r>
          </w:p>
        </w:tc>
      </w:tr>
    </w:tbl>
    <w:p w:rsidR="00C85043" w:rsidRPr="00E86CE7" w:rsidRDefault="00C85043" w:rsidP="00C85043">
      <w:pPr>
        <w:rPr>
          <w:rFonts w:cs="Arial"/>
          <w:noProof/>
          <w:color w:val="000000"/>
          <w:szCs w:val="20"/>
          <w:lang w:val="ru-RU"/>
        </w:rPr>
      </w:pPr>
    </w:p>
    <w:p w:rsidR="00C85043" w:rsidRPr="00E86CE7" w:rsidRDefault="00C85043" w:rsidP="00C85043">
      <w:pPr>
        <w:rPr>
          <w:rFonts w:cs="Arial"/>
          <w:noProof/>
          <w:color w:val="000000"/>
          <w:szCs w:val="20"/>
          <w:lang w:val="ru-RU"/>
        </w:rPr>
      </w:pPr>
    </w:p>
    <w:p w:rsidR="00C85043" w:rsidRPr="007F540C" w:rsidRDefault="00C85043" w:rsidP="00C85043">
      <w:pPr>
        <w:rPr>
          <w:rFonts w:cs="Arial"/>
          <w:noProof/>
          <w:color w:val="000000"/>
          <w:szCs w:val="20"/>
          <w:lang w:val="ru-RU"/>
        </w:rPr>
      </w:pPr>
      <w:r w:rsidRPr="007F540C">
        <w:rPr>
          <w:rFonts w:cs="Arial"/>
          <w:noProof/>
          <w:color w:val="000000"/>
          <w:szCs w:val="20"/>
          <w:lang w:val="ru-RU"/>
        </w:rPr>
        <w:t>ИСПОЛЬЗОВАНИЕ РЕСУРСОВ</w:t>
      </w:r>
      <w:r w:rsidRPr="00821FE0">
        <w:rPr>
          <w:rStyle w:val="FootnoteReference"/>
          <w:szCs w:val="20"/>
        </w:rPr>
        <w:footnoteReference w:id="177"/>
      </w:r>
      <w:r w:rsidRPr="007F540C">
        <w:rPr>
          <w:rFonts w:cs="Arial"/>
          <w:noProof/>
          <w:color w:val="000000"/>
          <w:szCs w:val="20"/>
          <w:lang w:val="ru-RU"/>
        </w:rPr>
        <w:tab/>
      </w:r>
    </w:p>
    <w:p w:rsidR="00C85043" w:rsidRPr="007F540C" w:rsidRDefault="00C85043" w:rsidP="00C85043">
      <w:pPr>
        <w:rPr>
          <w:rFonts w:cs="Arial"/>
          <w:noProof/>
          <w:color w:val="000000"/>
          <w:szCs w:val="20"/>
          <w:lang w:val="ru-RU"/>
        </w:rPr>
      </w:pPr>
    </w:p>
    <w:p w:rsidR="00C85043" w:rsidRPr="007F540C" w:rsidRDefault="00C85043" w:rsidP="00C85043">
      <w:pPr>
        <w:keepNext/>
        <w:keepLines/>
        <w:tabs>
          <w:tab w:val="left" w:pos="3261"/>
        </w:tabs>
        <w:autoSpaceDE w:val="0"/>
        <w:autoSpaceDN w:val="0"/>
        <w:adjustRightInd w:val="0"/>
        <w:jc w:val="center"/>
        <w:rPr>
          <w:b/>
          <w:noProof/>
          <w:szCs w:val="22"/>
          <w:lang w:val="ru-RU"/>
        </w:rPr>
      </w:pPr>
      <w:r w:rsidRPr="007F540C">
        <w:rPr>
          <w:b/>
          <w:noProof/>
          <w:szCs w:val="22"/>
          <w:lang w:val="ru-RU"/>
        </w:rPr>
        <w:t>Сумма бюджетных средств, освоенных в рамках проекта</w:t>
      </w:r>
    </w:p>
    <w:p w:rsidR="00C85043" w:rsidRPr="007F540C" w:rsidRDefault="00C85043" w:rsidP="00C85043">
      <w:pPr>
        <w:keepNext/>
        <w:keepLines/>
        <w:tabs>
          <w:tab w:val="left" w:pos="3261"/>
        </w:tabs>
        <w:autoSpaceDE w:val="0"/>
        <w:autoSpaceDN w:val="0"/>
        <w:adjustRightInd w:val="0"/>
        <w:spacing w:after="120"/>
        <w:jc w:val="center"/>
        <w:rPr>
          <w:i/>
          <w:iCs/>
          <w:noProof/>
          <w:sz w:val="18"/>
          <w:szCs w:val="18"/>
          <w:lang w:val="ru-RU"/>
        </w:rPr>
      </w:pPr>
      <w:r w:rsidRPr="007F540C">
        <w:rPr>
          <w:i/>
          <w:iCs/>
          <w:noProof/>
          <w:sz w:val="18"/>
          <w:szCs w:val="18"/>
          <w:lang w:val="ru-RU"/>
        </w:rPr>
        <w:t>(в шв. франках по состоянию на 31 декабря 2015 г.)</w:t>
      </w:r>
    </w:p>
    <w:tbl>
      <w:tblPr>
        <w:tblpPr w:leftFromText="180" w:rightFromText="180" w:vertAnchor="text" w:horzAnchor="margin" w:tblpX="182" w:tblpY="17"/>
        <w:tblW w:w="48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564"/>
        <w:gridCol w:w="1565"/>
        <w:gridCol w:w="1565"/>
        <w:gridCol w:w="1564"/>
      </w:tblGrid>
      <w:tr w:rsidR="00C85043" w:rsidRPr="004E3CEE" w:rsidTr="00C85043">
        <w:trPr>
          <w:trHeight w:val="410"/>
        </w:trPr>
        <w:tc>
          <w:tcPr>
            <w:tcW w:w="159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74" w:right="-60"/>
              <w:jc w:val="center"/>
              <w:rPr>
                <w:b/>
                <w:bCs/>
                <w:noProof/>
                <w:sz w:val="16"/>
                <w:szCs w:val="16"/>
              </w:rPr>
            </w:pPr>
            <w:r>
              <w:rPr>
                <w:b/>
                <w:bCs/>
                <w:noProof/>
                <w:sz w:val="16"/>
                <w:szCs w:val="16"/>
              </w:rPr>
              <w:t>Наименование проекта</w:t>
            </w:r>
          </w:p>
        </w:tc>
        <w:tc>
          <w:tcPr>
            <w:tcW w:w="85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107" w:right="-108"/>
              <w:jc w:val="center"/>
              <w:rPr>
                <w:b/>
                <w:bCs/>
                <w:noProof/>
                <w:sz w:val="16"/>
                <w:szCs w:val="16"/>
              </w:rPr>
            </w:pPr>
            <w:r>
              <w:rPr>
                <w:b/>
                <w:bCs/>
                <w:noProof/>
                <w:sz w:val="16"/>
                <w:szCs w:val="16"/>
              </w:rPr>
              <w:t>Смета по проекту</w:t>
            </w:r>
          </w:p>
        </w:tc>
        <w:tc>
          <w:tcPr>
            <w:tcW w:w="85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noProof/>
                <w:sz w:val="16"/>
                <w:szCs w:val="16"/>
                <w:lang w:val="ru-RU"/>
              </w:rPr>
            </w:pPr>
            <w:r w:rsidRPr="00715C25">
              <w:rPr>
                <w:b/>
                <w:bCs/>
                <w:noProof/>
                <w:sz w:val="16"/>
                <w:szCs w:val="16"/>
                <w:lang w:val="ru-RU"/>
              </w:rPr>
              <w:t>Фактические расходы по настоящее время</w:t>
            </w:r>
          </w:p>
        </w:tc>
        <w:tc>
          <w:tcPr>
            <w:tcW w:w="85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109" w:right="-108"/>
              <w:jc w:val="center"/>
              <w:rPr>
                <w:b/>
                <w:bCs/>
                <w:noProof/>
                <w:sz w:val="16"/>
                <w:szCs w:val="16"/>
              </w:rPr>
            </w:pPr>
            <w:r>
              <w:rPr>
                <w:b/>
                <w:bCs/>
                <w:noProof/>
                <w:sz w:val="16"/>
                <w:szCs w:val="16"/>
              </w:rPr>
              <w:t>Фактически освоено бюджетных средств</w:t>
            </w:r>
          </w:p>
        </w:tc>
        <w:tc>
          <w:tcPr>
            <w:tcW w:w="85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109" w:right="-73" w:firstLine="1"/>
              <w:jc w:val="center"/>
              <w:rPr>
                <w:b/>
                <w:bCs/>
                <w:noProof/>
                <w:sz w:val="16"/>
                <w:szCs w:val="16"/>
              </w:rPr>
            </w:pPr>
            <w:r>
              <w:rPr>
                <w:b/>
                <w:bCs/>
                <w:noProof/>
                <w:sz w:val="16"/>
                <w:szCs w:val="16"/>
              </w:rPr>
              <w:t>Степень реализации проекта</w:t>
            </w:r>
          </w:p>
        </w:tc>
      </w:tr>
      <w:tr w:rsidR="00C85043" w:rsidRPr="004E3CEE" w:rsidTr="00C85043">
        <w:trPr>
          <w:trHeight w:val="389"/>
        </w:trPr>
        <w:tc>
          <w:tcPr>
            <w:tcW w:w="1598" w:type="pct"/>
            <w:tcBorders>
              <w:top w:val="single" w:sz="4" w:space="0" w:color="auto"/>
              <w:left w:val="single" w:sz="4" w:space="0" w:color="auto"/>
              <w:bottom w:val="single" w:sz="4" w:space="0" w:color="auto"/>
              <w:right w:val="single" w:sz="4" w:space="0" w:color="auto"/>
            </w:tcBorders>
            <w:vAlign w:val="center"/>
          </w:tcPr>
          <w:p w:rsidR="00C85043" w:rsidRPr="00E86CE7" w:rsidRDefault="00C85043" w:rsidP="00C85043">
            <w:pPr>
              <w:keepNext/>
              <w:keepLines/>
              <w:autoSpaceDE w:val="0"/>
              <w:autoSpaceDN w:val="0"/>
              <w:adjustRightInd w:val="0"/>
              <w:spacing w:before="40" w:after="40"/>
              <w:rPr>
                <w:noProof/>
                <w:sz w:val="16"/>
                <w:szCs w:val="16"/>
                <w:lang w:val="ru-RU"/>
              </w:rPr>
            </w:pPr>
            <w:r w:rsidRPr="009044EE">
              <w:rPr>
                <w:noProof/>
                <w:sz w:val="16"/>
                <w:szCs w:val="16"/>
                <w:lang w:val="ru-RU"/>
              </w:rPr>
              <w:t>Здание Арпад Богш – 1</w:t>
            </w:r>
            <w:r>
              <w:rPr>
                <w:noProof/>
                <w:sz w:val="16"/>
                <w:szCs w:val="16"/>
                <w:lang w:val="ru-RU"/>
              </w:rPr>
              <w:t xml:space="preserve">-й </w:t>
            </w:r>
            <w:r w:rsidRPr="009044EE">
              <w:rPr>
                <w:noProof/>
                <w:sz w:val="16"/>
                <w:szCs w:val="16"/>
                <w:lang w:val="ru-RU"/>
              </w:rPr>
              <w:t xml:space="preserve">этап реконструкции цокольного этажа (изменение площади информационного центра и </w:t>
            </w:r>
            <w:r>
              <w:rPr>
                <w:noProof/>
                <w:sz w:val="16"/>
                <w:szCs w:val="16"/>
                <w:lang w:val="ru-RU"/>
              </w:rPr>
              <w:t xml:space="preserve">реконструкция </w:t>
            </w:r>
            <w:r w:rsidRPr="009044EE">
              <w:rPr>
                <w:noProof/>
                <w:sz w:val="16"/>
                <w:szCs w:val="16"/>
                <w:lang w:val="ru-RU"/>
              </w:rPr>
              <w:t>типографии)</w:t>
            </w:r>
          </w:p>
        </w:tc>
        <w:tc>
          <w:tcPr>
            <w:tcW w:w="850" w:type="pct"/>
            <w:tcBorders>
              <w:top w:val="single" w:sz="4" w:space="0" w:color="auto"/>
              <w:left w:val="single" w:sz="4" w:space="0" w:color="auto"/>
              <w:bottom w:val="single" w:sz="4" w:space="0" w:color="auto"/>
              <w:right w:val="single" w:sz="4" w:space="0" w:color="auto"/>
            </w:tcBorders>
            <w:vAlign w:val="center"/>
          </w:tcPr>
          <w:p w:rsidR="00C85043" w:rsidRPr="004E3CEE" w:rsidRDefault="00C85043" w:rsidP="00C85043">
            <w:pPr>
              <w:keepNext/>
              <w:keepLines/>
              <w:autoSpaceDE w:val="0"/>
              <w:autoSpaceDN w:val="0"/>
              <w:adjustRightInd w:val="0"/>
              <w:spacing w:before="40" w:after="40"/>
              <w:jc w:val="center"/>
              <w:rPr>
                <w:noProof/>
                <w:sz w:val="16"/>
                <w:szCs w:val="16"/>
              </w:rPr>
            </w:pPr>
            <w:r w:rsidRPr="004E3CEE">
              <w:rPr>
                <w:noProof/>
                <w:sz w:val="16"/>
                <w:szCs w:val="16"/>
              </w:rPr>
              <w:t>960</w:t>
            </w:r>
            <w:r>
              <w:rPr>
                <w:noProof/>
                <w:sz w:val="16"/>
                <w:szCs w:val="16"/>
              </w:rPr>
              <w:t> </w:t>
            </w:r>
            <w:r w:rsidRPr="004E3CEE">
              <w:rPr>
                <w:noProof/>
                <w:sz w:val="16"/>
                <w:szCs w:val="16"/>
              </w:rPr>
              <w:t>000</w:t>
            </w:r>
          </w:p>
        </w:tc>
        <w:tc>
          <w:tcPr>
            <w:tcW w:w="851"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keepNext/>
              <w:keepLines/>
              <w:autoSpaceDE w:val="0"/>
              <w:autoSpaceDN w:val="0"/>
              <w:adjustRightInd w:val="0"/>
              <w:spacing w:before="40" w:after="40"/>
              <w:jc w:val="center"/>
              <w:rPr>
                <w:noProof/>
                <w:sz w:val="16"/>
                <w:szCs w:val="16"/>
              </w:rPr>
            </w:pPr>
            <w:r w:rsidRPr="00BD06DF">
              <w:rPr>
                <w:noProof/>
                <w:sz w:val="16"/>
                <w:szCs w:val="16"/>
              </w:rPr>
              <w:t>5</w:t>
            </w:r>
            <w:r>
              <w:rPr>
                <w:noProof/>
                <w:sz w:val="16"/>
                <w:szCs w:val="16"/>
              </w:rPr>
              <w:t> </w:t>
            </w:r>
            <w:r w:rsidRPr="00BD06DF">
              <w:rPr>
                <w:noProof/>
                <w:sz w:val="16"/>
                <w:szCs w:val="16"/>
              </w:rPr>
              <w:t>000</w:t>
            </w:r>
          </w:p>
        </w:tc>
        <w:tc>
          <w:tcPr>
            <w:tcW w:w="851"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keepNext/>
              <w:keepLines/>
              <w:autoSpaceDE w:val="0"/>
              <w:autoSpaceDN w:val="0"/>
              <w:adjustRightInd w:val="0"/>
              <w:spacing w:before="40" w:after="40"/>
              <w:jc w:val="center"/>
              <w:rPr>
                <w:noProof/>
                <w:sz w:val="16"/>
                <w:szCs w:val="16"/>
              </w:rPr>
            </w:pPr>
            <w:r w:rsidRPr="00BD06DF">
              <w:rPr>
                <w:noProof/>
                <w:sz w:val="16"/>
                <w:szCs w:val="16"/>
              </w:rPr>
              <w:t>0</w:t>
            </w:r>
            <w:r>
              <w:rPr>
                <w:noProof/>
                <w:sz w:val="16"/>
                <w:szCs w:val="16"/>
              </w:rPr>
              <w:t>,</w:t>
            </w:r>
            <w:r w:rsidRPr="00BD06DF">
              <w:rPr>
                <w:noProof/>
                <w:sz w:val="16"/>
                <w:szCs w:val="16"/>
              </w:rPr>
              <w:t>5%</w:t>
            </w:r>
          </w:p>
        </w:tc>
        <w:tc>
          <w:tcPr>
            <w:tcW w:w="850"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keepNext/>
              <w:keepLines/>
              <w:autoSpaceDE w:val="0"/>
              <w:autoSpaceDN w:val="0"/>
              <w:adjustRightInd w:val="0"/>
              <w:spacing w:before="40" w:after="40"/>
              <w:jc w:val="center"/>
              <w:rPr>
                <w:noProof/>
                <w:sz w:val="16"/>
                <w:szCs w:val="16"/>
              </w:rPr>
            </w:pPr>
            <w:r w:rsidRPr="00BD06DF">
              <w:rPr>
                <w:noProof/>
                <w:sz w:val="16"/>
                <w:szCs w:val="16"/>
              </w:rPr>
              <w:t>15%</w:t>
            </w:r>
          </w:p>
        </w:tc>
      </w:tr>
    </w:tbl>
    <w:p w:rsidR="00C85043" w:rsidRPr="004E3CEE" w:rsidRDefault="00C85043" w:rsidP="00C85043">
      <w:pPr>
        <w:keepNext/>
        <w:keepLines/>
        <w:tabs>
          <w:tab w:val="left" w:pos="3261"/>
        </w:tabs>
        <w:autoSpaceDE w:val="0"/>
        <w:autoSpaceDN w:val="0"/>
        <w:adjustRightInd w:val="0"/>
        <w:jc w:val="center"/>
        <w:rPr>
          <w:b/>
          <w:noProof/>
          <w:szCs w:val="22"/>
        </w:rPr>
      </w:pPr>
    </w:p>
    <w:p w:rsidR="00C85043" w:rsidRPr="004E3CEE" w:rsidRDefault="00C85043" w:rsidP="00C85043">
      <w:pPr>
        <w:keepNext/>
        <w:keepLines/>
        <w:tabs>
          <w:tab w:val="left" w:pos="3261"/>
        </w:tabs>
        <w:autoSpaceDE w:val="0"/>
        <w:autoSpaceDN w:val="0"/>
        <w:adjustRightInd w:val="0"/>
        <w:jc w:val="center"/>
        <w:rPr>
          <w:b/>
          <w:noProof/>
          <w:szCs w:val="22"/>
        </w:rPr>
      </w:pPr>
    </w:p>
    <w:p w:rsidR="00C85043" w:rsidRPr="007F540C" w:rsidRDefault="00C85043" w:rsidP="00C85043">
      <w:pPr>
        <w:keepNext/>
        <w:keepLines/>
        <w:tabs>
          <w:tab w:val="left" w:pos="3261"/>
        </w:tabs>
        <w:autoSpaceDE w:val="0"/>
        <w:autoSpaceDN w:val="0"/>
        <w:adjustRightInd w:val="0"/>
        <w:jc w:val="center"/>
        <w:rPr>
          <w:b/>
          <w:noProof/>
          <w:szCs w:val="22"/>
          <w:lang w:val="ru-RU"/>
        </w:rPr>
      </w:pPr>
      <w:r w:rsidRPr="007F540C">
        <w:rPr>
          <w:b/>
          <w:noProof/>
          <w:szCs w:val="22"/>
          <w:lang w:val="ru-RU"/>
        </w:rPr>
        <w:t>Сумма бюджетных средств, освоенных в рамках проекта (</w:t>
      </w:r>
      <w:r>
        <w:rPr>
          <w:b/>
          <w:noProof/>
          <w:szCs w:val="22"/>
          <w:lang w:val="ru-RU"/>
        </w:rPr>
        <w:t>в разбивке по основным результатам</w:t>
      </w:r>
      <w:r w:rsidRPr="007F540C">
        <w:rPr>
          <w:b/>
          <w:noProof/>
          <w:szCs w:val="22"/>
          <w:lang w:val="ru-RU"/>
        </w:rPr>
        <w:t>)</w:t>
      </w:r>
    </w:p>
    <w:p w:rsidR="00C85043" w:rsidRPr="007F540C" w:rsidRDefault="00C85043" w:rsidP="00C85043">
      <w:pPr>
        <w:keepNext/>
        <w:keepLines/>
        <w:tabs>
          <w:tab w:val="left" w:pos="3261"/>
        </w:tabs>
        <w:autoSpaceDE w:val="0"/>
        <w:autoSpaceDN w:val="0"/>
        <w:adjustRightInd w:val="0"/>
        <w:spacing w:after="120"/>
        <w:jc w:val="center"/>
        <w:rPr>
          <w:i/>
          <w:iCs/>
          <w:noProof/>
          <w:sz w:val="18"/>
          <w:szCs w:val="18"/>
          <w:lang w:val="ru-RU"/>
        </w:rPr>
      </w:pPr>
      <w:r w:rsidRPr="007F540C">
        <w:rPr>
          <w:i/>
          <w:iCs/>
          <w:noProof/>
          <w:sz w:val="18"/>
          <w:szCs w:val="18"/>
          <w:lang w:val="ru-RU"/>
        </w:rPr>
        <w:t>(в шв. франках по состоянию на 31 декабря 2015 г.)</w:t>
      </w:r>
    </w:p>
    <w:tbl>
      <w:tblPr>
        <w:tblpPr w:leftFromText="180" w:rightFromText="180" w:vertAnchor="text" w:horzAnchor="margin" w:tblpX="182" w:tblpY="17"/>
        <w:tblW w:w="47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99"/>
        <w:gridCol w:w="1575"/>
        <w:gridCol w:w="1575"/>
        <w:gridCol w:w="1575"/>
        <w:gridCol w:w="1557"/>
      </w:tblGrid>
      <w:tr w:rsidR="00C85043" w:rsidRPr="005C6ABD" w:rsidTr="00C85043">
        <w:trPr>
          <w:trHeight w:val="410"/>
        </w:trPr>
        <w:tc>
          <w:tcPr>
            <w:tcW w:w="157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74" w:right="-60"/>
              <w:jc w:val="center"/>
              <w:rPr>
                <w:b/>
                <w:bCs/>
                <w:noProof/>
                <w:sz w:val="16"/>
                <w:szCs w:val="16"/>
              </w:rPr>
            </w:pPr>
            <w:r>
              <w:rPr>
                <w:b/>
                <w:bCs/>
                <w:noProof/>
                <w:sz w:val="16"/>
                <w:szCs w:val="16"/>
              </w:rPr>
              <w:t>Основной результат</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107" w:right="-108"/>
              <w:jc w:val="center"/>
              <w:rPr>
                <w:b/>
                <w:bCs/>
                <w:noProof/>
                <w:sz w:val="16"/>
                <w:szCs w:val="16"/>
              </w:rPr>
            </w:pPr>
            <w:r>
              <w:rPr>
                <w:b/>
                <w:bCs/>
                <w:noProof/>
                <w:sz w:val="16"/>
                <w:szCs w:val="16"/>
              </w:rPr>
              <w:t>Смета по проекту</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noProof/>
                <w:sz w:val="16"/>
                <w:szCs w:val="16"/>
                <w:lang w:val="ru-RU"/>
              </w:rPr>
            </w:pPr>
            <w:r w:rsidRPr="00715C25">
              <w:rPr>
                <w:b/>
                <w:bCs/>
                <w:noProof/>
                <w:sz w:val="16"/>
                <w:szCs w:val="16"/>
                <w:lang w:val="ru-RU"/>
              </w:rPr>
              <w:t>Фактические расходы по настоящее время</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109" w:right="-108"/>
              <w:jc w:val="center"/>
              <w:rPr>
                <w:b/>
                <w:bCs/>
                <w:noProof/>
                <w:sz w:val="16"/>
                <w:szCs w:val="16"/>
              </w:rPr>
            </w:pPr>
            <w:r>
              <w:rPr>
                <w:b/>
                <w:bCs/>
                <w:noProof/>
                <w:sz w:val="16"/>
                <w:szCs w:val="16"/>
              </w:rPr>
              <w:t>Фактически освоено бюджетных средств</w:t>
            </w:r>
          </w:p>
        </w:tc>
        <w:tc>
          <w:tcPr>
            <w:tcW w:w="84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9" w:right="-73" w:firstLine="1"/>
              <w:jc w:val="center"/>
              <w:rPr>
                <w:b/>
                <w:bCs/>
                <w:noProof/>
                <w:sz w:val="16"/>
                <w:szCs w:val="16"/>
                <w:lang w:val="ru-RU"/>
              </w:rPr>
            </w:pPr>
            <w:r w:rsidRPr="00715C25">
              <w:rPr>
                <w:b/>
                <w:bCs/>
                <w:noProof/>
                <w:sz w:val="16"/>
                <w:szCs w:val="16"/>
                <w:lang w:val="ru-RU"/>
              </w:rPr>
              <w:t xml:space="preserve">Степень реализации проекта </w:t>
            </w:r>
            <w:r>
              <w:rPr>
                <w:b/>
                <w:bCs/>
                <w:noProof/>
                <w:sz w:val="16"/>
                <w:szCs w:val="16"/>
                <w:lang w:val="ru-RU"/>
              </w:rPr>
              <w:t>в разбивке по основным результатам</w:t>
            </w:r>
          </w:p>
        </w:tc>
      </w:tr>
      <w:tr w:rsidR="00C85043" w:rsidRPr="004E3CEE"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E86CE7" w:rsidRDefault="00C85043" w:rsidP="00C85043">
            <w:pPr>
              <w:keepNext/>
              <w:keepLines/>
              <w:autoSpaceDE w:val="0"/>
              <w:autoSpaceDN w:val="0"/>
              <w:adjustRightInd w:val="0"/>
              <w:spacing w:before="40" w:after="40"/>
              <w:rPr>
                <w:noProof/>
                <w:sz w:val="16"/>
                <w:szCs w:val="16"/>
                <w:lang w:val="ru-RU"/>
              </w:rPr>
            </w:pPr>
            <w:r w:rsidRPr="00E86CE7">
              <w:rPr>
                <w:noProof/>
                <w:color w:val="000000"/>
                <w:sz w:val="16"/>
                <w:szCs w:val="16"/>
                <w:lang w:val="ru-RU"/>
              </w:rPr>
              <w:t xml:space="preserve">Заключение контрактов с архитектором и инженерами  </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4E3CEE" w:rsidRDefault="00C85043" w:rsidP="00C85043">
            <w:pPr>
              <w:keepNext/>
              <w:keepLines/>
              <w:autoSpaceDE w:val="0"/>
              <w:autoSpaceDN w:val="0"/>
              <w:adjustRightInd w:val="0"/>
              <w:spacing w:before="40" w:after="40"/>
              <w:jc w:val="center"/>
              <w:rPr>
                <w:noProof/>
                <w:sz w:val="16"/>
                <w:szCs w:val="16"/>
              </w:rPr>
            </w:pPr>
            <w:r w:rsidRPr="004E3CEE">
              <w:rPr>
                <w:noProof/>
                <w:sz w:val="16"/>
                <w:szCs w:val="16"/>
              </w:rPr>
              <w:t>144</w:t>
            </w:r>
            <w:r>
              <w:rPr>
                <w:noProof/>
                <w:sz w:val="16"/>
                <w:szCs w:val="16"/>
              </w:rPr>
              <w:t> </w:t>
            </w:r>
            <w:r w:rsidRPr="004E3CEE">
              <w:rPr>
                <w:noProof/>
                <w:sz w:val="16"/>
                <w:szCs w:val="16"/>
              </w:rPr>
              <w:t>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keepNext/>
              <w:keepLines/>
              <w:autoSpaceDE w:val="0"/>
              <w:autoSpaceDN w:val="0"/>
              <w:adjustRightInd w:val="0"/>
              <w:spacing w:before="40" w:after="40"/>
              <w:jc w:val="center"/>
              <w:rPr>
                <w:noProof/>
                <w:sz w:val="16"/>
                <w:szCs w:val="16"/>
              </w:rPr>
            </w:pPr>
            <w:r w:rsidRPr="00BD06DF">
              <w:rPr>
                <w:noProof/>
                <w:sz w:val="16"/>
                <w:szCs w:val="16"/>
              </w:rPr>
              <w:t>5</w:t>
            </w:r>
            <w:r>
              <w:rPr>
                <w:noProof/>
                <w:sz w:val="16"/>
                <w:szCs w:val="16"/>
              </w:rPr>
              <w:t> </w:t>
            </w:r>
            <w:r w:rsidRPr="00BD06DF">
              <w:rPr>
                <w:noProof/>
                <w:sz w:val="16"/>
                <w:szCs w:val="16"/>
              </w:rPr>
              <w:t>000</w:t>
            </w:r>
            <w:r>
              <w:rPr>
                <w:rStyle w:val="FootnoteReference"/>
                <w:noProof/>
                <w:sz w:val="16"/>
                <w:szCs w:val="16"/>
              </w:rPr>
              <w:footnoteReference w:id="178"/>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keepNext/>
              <w:keepLines/>
              <w:autoSpaceDE w:val="0"/>
              <w:autoSpaceDN w:val="0"/>
              <w:adjustRightInd w:val="0"/>
              <w:spacing w:before="40" w:after="40"/>
              <w:jc w:val="center"/>
              <w:rPr>
                <w:noProof/>
                <w:sz w:val="16"/>
                <w:szCs w:val="16"/>
              </w:rPr>
            </w:pPr>
            <w:r w:rsidRPr="00BD06DF">
              <w:rPr>
                <w:noProof/>
                <w:sz w:val="16"/>
                <w:szCs w:val="16"/>
              </w:rPr>
              <w:t>3</w:t>
            </w:r>
            <w:r>
              <w:rPr>
                <w:noProof/>
                <w:sz w:val="16"/>
                <w:szCs w:val="16"/>
              </w:rPr>
              <w:t>,</w:t>
            </w:r>
            <w:r w:rsidRPr="00BD06DF">
              <w:rPr>
                <w:noProof/>
                <w:sz w:val="16"/>
                <w:szCs w:val="16"/>
              </w:rPr>
              <w:t>5%</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keepNext/>
              <w:keepLines/>
              <w:autoSpaceDE w:val="0"/>
              <w:autoSpaceDN w:val="0"/>
              <w:adjustRightInd w:val="0"/>
              <w:spacing w:before="40" w:after="40"/>
              <w:jc w:val="center"/>
              <w:rPr>
                <w:noProof/>
                <w:sz w:val="16"/>
                <w:szCs w:val="16"/>
              </w:rPr>
            </w:pPr>
            <w:r w:rsidRPr="00BD06DF">
              <w:rPr>
                <w:noProof/>
                <w:sz w:val="16"/>
                <w:szCs w:val="16"/>
              </w:rPr>
              <w:t>100%</w:t>
            </w:r>
          </w:p>
        </w:tc>
      </w:tr>
      <w:tr w:rsidR="00C85043" w:rsidRPr="004E3CEE" w:rsidTr="00C85043">
        <w:trPr>
          <w:trHeight w:val="389"/>
        </w:trPr>
        <w:tc>
          <w:tcPr>
            <w:tcW w:w="1578" w:type="pct"/>
            <w:tcBorders>
              <w:top w:val="single" w:sz="4" w:space="0" w:color="auto"/>
              <w:left w:val="single" w:sz="4" w:space="0" w:color="auto"/>
              <w:bottom w:val="single" w:sz="4" w:space="0" w:color="auto"/>
              <w:right w:val="single" w:sz="4" w:space="0" w:color="auto"/>
            </w:tcBorders>
            <w:vAlign w:val="center"/>
          </w:tcPr>
          <w:p w:rsidR="00C85043" w:rsidRPr="00E86CE7" w:rsidRDefault="00C85043" w:rsidP="00C85043">
            <w:pPr>
              <w:keepNext/>
              <w:keepLines/>
              <w:autoSpaceDE w:val="0"/>
              <w:autoSpaceDN w:val="0"/>
              <w:adjustRightInd w:val="0"/>
              <w:spacing w:before="40" w:after="40"/>
              <w:rPr>
                <w:noProof/>
                <w:sz w:val="16"/>
                <w:szCs w:val="16"/>
                <w:lang w:val="ru-RU"/>
              </w:rPr>
            </w:pPr>
            <w:r w:rsidRPr="00BD2888">
              <w:rPr>
                <w:noProof/>
                <w:color w:val="000000"/>
                <w:sz w:val="16"/>
                <w:szCs w:val="16"/>
                <w:lang w:val="ru-RU"/>
              </w:rPr>
              <w:t>Выполнени</w:t>
            </w:r>
            <w:r>
              <w:rPr>
                <w:noProof/>
                <w:color w:val="000000"/>
                <w:sz w:val="16"/>
                <w:szCs w:val="16"/>
                <w:lang w:val="ru-RU"/>
              </w:rPr>
              <w:t xml:space="preserve">е работ и сдача </w:t>
            </w:r>
            <w:r w:rsidRPr="00BD2888">
              <w:rPr>
                <w:noProof/>
                <w:color w:val="000000"/>
                <w:sz w:val="16"/>
                <w:szCs w:val="16"/>
                <w:lang w:val="ru-RU"/>
              </w:rPr>
              <w:t>результат</w:t>
            </w:r>
            <w:r>
              <w:rPr>
                <w:noProof/>
                <w:color w:val="000000"/>
                <w:sz w:val="16"/>
                <w:szCs w:val="16"/>
                <w:lang w:val="ru-RU"/>
              </w:rPr>
              <w:t xml:space="preserve">ов </w:t>
            </w:r>
            <w:r w:rsidRPr="00BD2888">
              <w:rPr>
                <w:noProof/>
                <w:color w:val="000000"/>
                <w:sz w:val="16"/>
                <w:szCs w:val="16"/>
                <w:lang w:val="ru-RU"/>
              </w:rPr>
              <w:t>работ</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4E3CEE" w:rsidRDefault="00C85043" w:rsidP="00C85043">
            <w:pPr>
              <w:keepNext/>
              <w:keepLines/>
              <w:autoSpaceDE w:val="0"/>
              <w:autoSpaceDN w:val="0"/>
              <w:adjustRightInd w:val="0"/>
              <w:spacing w:before="40" w:after="40"/>
              <w:jc w:val="center"/>
              <w:rPr>
                <w:noProof/>
                <w:sz w:val="16"/>
                <w:szCs w:val="16"/>
              </w:rPr>
            </w:pPr>
            <w:r w:rsidRPr="004E3CEE">
              <w:rPr>
                <w:noProof/>
                <w:sz w:val="16"/>
                <w:szCs w:val="16"/>
              </w:rPr>
              <w:t>816</w:t>
            </w:r>
            <w:r>
              <w:rPr>
                <w:noProof/>
                <w:sz w:val="16"/>
                <w:szCs w:val="16"/>
              </w:rPr>
              <w:t> </w:t>
            </w:r>
            <w:r w:rsidRPr="004E3CEE">
              <w:rPr>
                <w:noProof/>
                <w:sz w:val="16"/>
                <w:szCs w:val="16"/>
              </w:rPr>
              <w:t>000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keepNext/>
              <w:keepLines/>
              <w:autoSpaceDE w:val="0"/>
              <w:autoSpaceDN w:val="0"/>
              <w:adjustRightInd w:val="0"/>
              <w:spacing w:before="40" w:after="40"/>
              <w:jc w:val="center"/>
              <w:rPr>
                <w:noProof/>
                <w:sz w:val="16"/>
                <w:szCs w:val="16"/>
              </w:rPr>
            </w:pPr>
            <w:r w:rsidRPr="00BD06DF">
              <w:rPr>
                <w:noProof/>
                <w:sz w:val="16"/>
                <w:szCs w:val="16"/>
              </w:rPr>
              <w:t>0</w:t>
            </w:r>
          </w:p>
        </w:tc>
        <w:tc>
          <w:tcPr>
            <w:tcW w:w="858"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keepNext/>
              <w:keepLines/>
              <w:autoSpaceDE w:val="0"/>
              <w:autoSpaceDN w:val="0"/>
              <w:adjustRightInd w:val="0"/>
              <w:spacing w:before="40" w:after="40"/>
              <w:jc w:val="center"/>
              <w:rPr>
                <w:noProof/>
                <w:sz w:val="16"/>
                <w:szCs w:val="16"/>
              </w:rPr>
            </w:pPr>
            <w:r w:rsidRPr="00BD06DF">
              <w:rPr>
                <w:noProof/>
                <w:sz w:val="16"/>
                <w:szCs w:val="16"/>
              </w:rPr>
              <w:t>0</w:t>
            </w:r>
            <w:r>
              <w:rPr>
                <w:noProof/>
                <w:sz w:val="16"/>
                <w:szCs w:val="16"/>
              </w:rPr>
              <w:t>%</w:t>
            </w:r>
          </w:p>
        </w:tc>
        <w:tc>
          <w:tcPr>
            <w:tcW w:w="848"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keepNext/>
              <w:keepLines/>
              <w:autoSpaceDE w:val="0"/>
              <w:autoSpaceDN w:val="0"/>
              <w:adjustRightInd w:val="0"/>
              <w:spacing w:before="40" w:after="40"/>
              <w:jc w:val="center"/>
              <w:rPr>
                <w:noProof/>
                <w:sz w:val="16"/>
                <w:szCs w:val="16"/>
              </w:rPr>
            </w:pPr>
            <w:r>
              <w:rPr>
                <w:noProof/>
                <w:sz w:val="16"/>
                <w:szCs w:val="16"/>
              </w:rPr>
              <w:t>-</w:t>
            </w:r>
          </w:p>
        </w:tc>
      </w:tr>
      <w:tr w:rsidR="00C85043" w:rsidRPr="004E3CEE" w:rsidTr="00C85043">
        <w:trPr>
          <w:trHeight w:val="389"/>
        </w:trPr>
        <w:tc>
          <w:tcPr>
            <w:tcW w:w="157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rPr>
                <w:b/>
                <w:noProof/>
                <w:sz w:val="16"/>
                <w:szCs w:val="16"/>
              </w:rPr>
            </w:pPr>
            <w:r>
              <w:rPr>
                <w:b/>
                <w:noProof/>
                <w:sz w:val="16"/>
                <w:szCs w:val="16"/>
              </w:rPr>
              <w:t>Итого</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bottom"/>
          </w:tcPr>
          <w:p w:rsidR="00C85043" w:rsidRPr="004E3CEE" w:rsidRDefault="00C85043" w:rsidP="00C85043">
            <w:pPr>
              <w:keepNext/>
              <w:keepLines/>
              <w:autoSpaceDE w:val="0"/>
              <w:autoSpaceDN w:val="0"/>
              <w:adjustRightInd w:val="0"/>
              <w:spacing w:before="40" w:after="40"/>
              <w:jc w:val="center"/>
              <w:rPr>
                <w:b/>
                <w:noProof/>
                <w:sz w:val="16"/>
                <w:szCs w:val="16"/>
              </w:rPr>
            </w:pPr>
            <w:r w:rsidRPr="004E3CEE">
              <w:rPr>
                <w:b/>
                <w:noProof/>
                <w:sz w:val="16"/>
                <w:szCs w:val="16"/>
              </w:rPr>
              <w:t>960</w:t>
            </w:r>
            <w:r>
              <w:rPr>
                <w:b/>
                <w:noProof/>
                <w:sz w:val="16"/>
                <w:szCs w:val="16"/>
              </w:rPr>
              <w:t> </w:t>
            </w:r>
            <w:r w:rsidRPr="004E3CEE">
              <w:rPr>
                <w:b/>
                <w:noProof/>
                <w:sz w:val="16"/>
                <w:szCs w:val="16"/>
              </w:rPr>
              <w:t>000</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bottom"/>
          </w:tcPr>
          <w:p w:rsidR="00C85043" w:rsidRPr="00BD06DF" w:rsidRDefault="00C85043" w:rsidP="00C85043">
            <w:pPr>
              <w:keepNext/>
              <w:keepLines/>
              <w:autoSpaceDE w:val="0"/>
              <w:autoSpaceDN w:val="0"/>
              <w:adjustRightInd w:val="0"/>
              <w:spacing w:before="40" w:after="40"/>
              <w:jc w:val="center"/>
              <w:rPr>
                <w:b/>
                <w:noProof/>
                <w:sz w:val="16"/>
                <w:szCs w:val="16"/>
              </w:rPr>
            </w:pPr>
            <w:r w:rsidRPr="00BD06DF">
              <w:rPr>
                <w:b/>
                <w:noProof/>
                <w:sz w:val="16"/>
                <w:szCs w:val="16"/>
              </w:rPr>
              <w:t>5</w:t>
            </w:r>
            <w:r>
              <w:rPr>
                <w:b/>
                <w:noProof/>
                <w:sz w:val="16"/>
                <w:szCs w:val="16"/>
              </w:rPr>
              <w:t> </w:t>
            </w:r>
            <w:r w:rsidRPr="00BD06DF">
              <w:rPr>
                <w:b/>
                <w:noProof/>
                <w:sz w:val="16"/>
                <w:szCs w:val="16"/>
              </w:rPr>
              <w:t>000</w:t>
            </w:r>
          </w:p>
        </w:tc>
        <w:tc>
          <w:tcPr>
            <w:tcW w:w="858" w:type="pct"/>
            <w:tcBorders>
              <w:top w:val="single" w:sz="4" w:space="0" w:color="auto"/>
              <w:left w:val="single" w:sz="4" w:space="0" w:color="auto"/>
              <w:bottom w:val="single" w:sz="4" w:space="0" w:color="auto"/>
              <w:right w:val="single" w:sz="4" w:space="0" w:color="auto"/>
            </w:tcBorders>
            <w:shd w:val="clear" w:color="auto" w:fill="C6D9F1"/>
            <w:vAlign w:val="bottom"/>
          </w:tcPr>
          <w:p w:rsidR="00C85043" w:rsidRPr="00BD06DF" w:rsidRDefault="00C85043" w:rsidP="00C85043">
            <w:pPr>
              <w:keepNext/>
              <w:keepLines/>
              <w:autoSpaceDE w:val="0"/>
              <w:autoSpaceDN w:val="0"/>
              <w:adjustRightInd w:val="0"/>
              <w:spacing w:before="40" w:after="40"/>
              <w:jc w:val="center"/>
              <w:rPr>
                <w:b/>
                <w:noProof/>
                <w:sz w:val="16"/>
                <w:szCs w:val="16"/>
              </w:rPr>
            </w:pPr>
            <w:r>
              <w:rPr>
                <w:b/>
                <w:noProof/>
                <w:sz w:val="16"/>
                <w:szCs w:val="16"/>
              </w:rPr>
              <w:t>0,</w:t>
            </w:r>
            <w:r w:rsidRPr="00BD06DF">
              <w:rPr>
                <w:b/>
                <w:noProof/>
                <w:sz w:val="16"/>
                <w:szCs w:val="16"/>
              </w:rPr>
              <w:t>5%</w:t>
            </w:r>
          </w:p>
        </w:tc>
        <w:tc>
          <w:tcPr>
            <w:tcW w:w="848" w:type="pct"/>
            <w:tcBorders>
              <w:top w:val="single" w:sz="4" w:space="0" w:color="auto"/>
              <w:left w:val="single" w:sz="4" w:space="0" w:color="auto"/>
              <w:bottom w:val="single" w:sz="4" w:space="0" w:color="auto"/>
              <w:right w:val="single" w:sz="4" w:space="0" w:color="auto"/>
            </w:tcBorders>
            <w:shd w:val="clear" w:color="auto" w:fill="C6D9F1"/>
            <w:vAlign w:val="bottom"/>
          </w:tcPr>
          <w:p w:rsidR="00C85043" w:rsidRPr="00BD06DF" w:rsidRDefault="00C85043" w:rsidP="00C85043">
            <w:pPr>
              <w:keepNext/>
              <w:keepLines/>
              <w:autoSpaceDE w:val="0"/>
              <w:autoSpaceDN w:val="0"/>
              <w:adjustRightInd w:val="0"/>
              <w:spacing w:before="40" w:after="40"/>
              <w:jc w:val="center"/>
              <w:rPr>
                <w:b/>
                <w:noProof/>
                <w:sz w:val="16"/>
                <w:szCs w:val="16"/>
              </w:rPr>
            </w:pPr>
          </w:p>
        </w:tc>
      </w:tr>
    </w:tbl>
    <w:p w:rsidR="00C85043" w:rsidRDefault="00C85043" w:rsidP="00C85043">
      <w:pPr>
        <w:keepNext/>
        <w:keepLines/>
        <w:tabs>
          <w:tab w:val="left" w:pos="3261"/>
        </w:tabs>
        <w:autoSpaceDE w:val="0"/>
        <w:autoSpaceDN w:val="0"/>
        <w:adjustRightInd w:val="0"/>
        <w:rPr>
          <w:b/>
          <w:noProof/>
          <w:szCs w:val="22"/>
        </w:rPr>
      </w:pPr>
    </w:p>
    <w:p w:rsidR="00C85043" w:rsidRPr="004E3CEE" w:rsidRDefault="00C85043" w:rsidP="00C85043">
      <w:pPr>
        <w:keepNext/>
        <w:keepLines/>
        <w:tabs>
          <w:tab w:val="left" w:pos="3261"/>
        </w:tabs>
        <w:autoSpaceDE w:val="0"/>
        <w:autoSpaceDN w:val="0"/>
        <w:adjustRightInd w:val="0"/>
        <w:jc w:val="center"/>
        <w:rPr>
          <w:b/>
          <w:noProof/>
          <w:szCs w:val="22"/>
        </w:rPr>
      </w:pPr>
    </w:p>
    <w:p w:rsidR="00C85043" w:rsidRPr="007F540C" w:rsidRDefault="00C85043" w:rsidP="00C85043">
      <w:pPr>
        <w:keepNext/>
        <w:keepLines/>
        <w:tabs>
          <w:tab w:val="left" w:pos="3261"/>
        </w:tabs>
        <w:autoSpaceDE w:val="0"/>
        <w:autoSpaceDN w:val="0"/>
        <w:adjustRightInd w:val="0"/>
        <w:jc w:val="center"/>
        <w:rPr>
          <w:b/>
          <w:noProof/>
          <w:szCs w:val="22"/>
          <w:lang w:val="ru-RU"/>
        </w:rPr>
      </w:pPr>
      <w:r w:rsidRPr="007F540C">
        <w:rPr>
          <w:b/>
          <w:noProof/>
          <w:szCs w:val="22"/>
          <w:lang w:val="ru-RU"/>
        </w:rPr>
        <w:t xml:space="preserve">Сумма бюджетных средств, освоенных в рамках проекта </w:t>
      </w:r>
      <w:r>
        <w:rPr>
          <w:b/>
          <w:noProof/>
          <w:szCs w:val="22"/>
          <w:lang w:val="ru-RU"/>
        </w:rPr>
        <w:t>(в разбивке по категориям расходов)</w:t>
      </w:r>
    </w:p>
    <w:p w:rsidR="00C85043" w:rsidRPr="007F540C" w:rsidRDefault="00C85043" w:rsidP="00C85043">
      <w:pPr>
        <w:keepNext/>
        <w:keepLines/>
        <w:tabs>
          <w:tab w:val="left" w:pos="3261"/>
        </w:tabs>
        <w:autoSpaceDE w:val="0"/>
        <w:autoSpaceDN w:val="0"/>
        <w:adjustRightInd w:val="0"/>
        <w:spacing w:after="120"/>
        <w:jc w:val="center"/>
        <w:rPr>
          <w:i/>
          <w:iCs/>
          <w:noProof/>
          <w:sz w:val="18"/>
          <w:szCs w:val="18"/>
          <w:lang w:val="ru-RU"/>
        </w:rPr>
      </w:pPr>
      <w:r w:rsidRPr="007F540C">
        <w:rPr>
          <w:i/>
          <w:iCs/>
          <w:noProof/>
          <w:sz w:val="18"/>
          <w:szCs w:val="18"/>
          <w:lang w:val="ru-RU"/>
        </w:rPr>
        <w:t>(в шв. франках по состоянию на 31 декабря 2015 г.)</w:t>
      </w:r>
    </w:p>
    <w:tbl>
      <w:tblPr>
        <w:tblW w:w="4666"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1840"/>
        <w:gridCol w:w="1840"/>
        <w:gridCol w:w="2001"/>
      </w:tblGrid>
      <w:tr w:rsidR="00C85043" w:rsidRPr="004E3CEE" w:rsidTr="00C85043">
        <w:trPr>
          <w:trHeight w:val="569"/>
        </w:trPr>
        <w:tc>
          <w:tcPr>
            <w:tcW w:w="182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74" w:right="-60"/>
              <w:jc w:val="center"/>
              <w:rPr>
                <w:b/>
                <w:bCs/>
                <w:noProof/>
                <w:sz w:val="16"/>
                <w:szCs w:val="16"/>
              </w:rPr>
            </w:pPr>
            <w:r>
              <w:rPr>
                <w:b/>
                <w:bCs/>
                <w:noProof/>
                <w:sz w:val="16"/>
                <w:szCs w:val="16"/>
              </w:rPr>
              <w:t>Категория расходов</w:t>
            </w:r>
          </w:p>
        </w:tc>
        <w:tc>
          <w:tcPr>
            <w:tcW w:w="103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107" w:right="-108"/>
              <w:jc w:val="center"/>
              <w:rPr>
                <w:b/>
                <w:bCs/>
                <w:noProof/>
                <w:sz w:val="16"/>
                <w:szCs w:val="16"/>
              </w:rPr>
            </w:pPr>
            <w:r>
              <w:rPr>
                <w:b/>
                <w:bCs/>
                <w:noProof/>
                <w:sz w:val="16"/>
                <w:szCs w:val="16"/>
              </w:rPr>
              <w:t>Смета по проекту</w:t>
            </w:r>
          </w:p>
        </w:tc>
        <w:tc>
          <w:tcPr>
            <w:tcW w:w="103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jc w:val="center"/>
              <w:rPr>
                <w:b/>
                <w:bCs/>
                <w:noProof/>
                <w:sz w:val="16"/>
                <w:szCs w:val="16"/>
                <w:lang w:val="ru-RU"/>
              </w:rPr>
            </w:pPr>
            <w:r w:rsidRPr="00715C25">
              <w:rPr>
                <w:b/>
                <w:bCs/>
                <w:noProof/>
                <w:sz w:val="16"/>
                <w:szCs w:val="16"/>
                <w:lang w:val="ru-RU"/>
              </w:rPr>
              <w:t xml:space="preserve">Фактические расходы по настоящее время </w:t>
            </w:r>
          </w:p>
        </w:tc>
        <w:tc>
          <w:tcPr>
            <w:tcW w:w="112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keepNext/>
              <w:keepLines/>
              <w:autoSpaceDE w:val="0"/>
              <w:autoSpaceDN w:val="0"/>
              <w:adjustRightInd w:val="0"/>
              <w:spacing w:before="40" w:after="40"/>
              <w:ind w:left="-109"/>
              <w:jc w:val="center"/>
              <w:rPr>
                <w:b/>
                <w:bCs/>
                <w:noProof/>
                <w:sz w:val="16"/>
                <w:szCs w:val="16"/>
              </w:rPr>
            </w:pPr>
            <w:r>
              <w:rPr>
                <w:b/>
                <w:bCs/>
                <w:noProof/>
                <w:sz w:val="16"/>
                <w:szCs w:val="16"/>
              </w:rPr>
              <w:t>Фактически освоено бюджетных средств</w:t>
            </w:r>
          </w:p>
        </w:tc>
      </w:tr>
      <w:tr w:rsidR="00C85043" w:rsidRPr="004E3CEE" w:rsidTr="00C85043">
        <w:tc>
          <w:tcPr>
            <w:tcW w:w="1820" w:type="pct"/>
            <w:tcBorders>
              <w:top w:val="single" w:sz="4" w:space="0" w:color="auto"/>
              <w:left w:val="single" w:sz="4" w:space="0" w:color="auto"/>
              <w:bottom w:val="single" w:sz="4" w:space="0" w:color="auto"/>
              <w:right w:val="single" w:sz="4" w:space="0" w:color="auto"/>
            </w:tcBorders>
            <w:vAlign w:val="center"/>
          </w:tcPr>
          <w:p w:rsidR="00C85043" w:rsidRPr="00906515" w:rsidRDefault="00C85043" w:rsidP="00C85043">
            <w:pPr>
              <w:autoSpaceDE w:val="0"/>
              <w:autoSpaceDN w:val="0"/>
              <w:adjustRightInd w:val="0"/>
              <w:spacing w:before="40" w:after="40"/>
              <w:rPr>
                <w:noProof/>
                <w:sz w:val="16"/>
                <w:szCs w:val="16"/>
                <w:lang w:val="ru-RU"/>
              </w:rPr>
            </w:pPr>
            <w:r>
              <w:rPr>
                <w:noProof/>
                <w:color w:val="000000"/>
                <w:sz w:val="16"/>
                <w:szCs w:val="16"/>
                <w:lang w:val="ru-RU"/>
              </w:rPr>
              <w:t>Расходы, связанные со строительством</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4E3CEE" w:rsidRDefault="00C85043" w:rsidP="00C85043">
            <w:pPr>
              <w:autoSpaceDE w:val="0"/>
              <w:autoSpaceDN w:val="0"/>
              <w:adjustRightInd w:val="0"/>
              <w:spacing w:before="40" w:after="40"/>
              <w:jc w:val="center"/>
              <w:rPr>
                <w:noProof/>
                <w:sz w:val="16"/>
                <w:szCs w:val="16"/>
              </w:rPr>
            </w:pPr>
            <w:r w:rsidRPr="004E3CEE">
              <w:rPr>
                <w:noProof/>
                <w:sz w:val="16"/>
                <w:szCs w:val="16"/>
              </w:rPr>
              <w:t>759</w:t>
            </w:r>
            <w:r>
              <w:rPr>
                <w:noProof/>
                <w:sz w:val="16"/>
                <w:szCs w:val="16"/>
              </w:rPr>
              <w:t> </w:t>
            </w:r>
            <w:r w:rsidRPr="004E3CEE">
              <w:rPr>
                <w:noProof/>
                <w:sz w:val="16"/>
                <w:szCs w:val="16"/>
              </w:rPr>
              <w:t>000</w:t>
            </w:r>
          </w:p>
        </w:tc>
        <w:tc>
          <w:tcPr>
            <w:tcW w:w="1030" w:type="pct"/>
            <w:tcBorders>
              <w:top w:val="single" w:sz="4" w:space="0" w:color="auto"/>
              <w:left w:val="single" w:sz="4" w:space="0" w:color="auto"/>
              <w:bottom w:val="single" w:sz="4" w:space="0" w:color="auto"/>
              <w:right w:val="single" w:sz="4" w:space="0" w:color="auto"/>
            </w:tcBorders>
          </w:tcPr>
          <w:p w:rsidR="00C85043" w:rsidRPr="004E3CEE" w:rsidRDefault="00C85043" w:rsidP="00C85043">
            <w:pPr>
              <w:autoSpaceDE w:val="0"/>
              <w:autoSpaceDN w:val="0"/>
              <w:adjustRightInd w:val="0"/>
              <w:spacing w:before="40" w:after="40"/>
              <w:jc w:val="center"/>
              <w:rPr>
                <w:noProof/>
                <w:sz w:val="16"/>
                <w:szCs w:val="16"/>
              </w:rPr>
            </w:pPr>
            <w:r>
              <w:rPr>
                <w:noProof/>
                <w:sz w:val="16"/>
                <w:szCs w:val="16"/>
              </w:rPr>
              <w:t>0</w:t>
            </w:r>
          </w:p>
        </w:tc>
        <w:tc>
          <w:tcPr>
            <w:tcW w:w="1120" w:type="pct"/>
            <w:tcBorders>
              <w:top w:val="single" w:sz="4" w:space="0" w:color="auto"/>
              <w:left w:val="single" w:sz="4" w:space="0" w:color="auto"/>
              <w:bottom w:val="single" w:sz="4" w:space="0" w:color="auto"/>
              <w:right w:val="single" w:sz="4" w:space="0" w:color="auto"/>
            </w:tcBorders>
          </w:tcPr>
          <w:p w:rsidR="00C85043" w:rsidRPr="004E3CEE" w:rsidRDefault="00C85043" w:rsidP="00C85043">
            <w:pPr>
              <w:autoSpaceDE w:val="0"/>
              <w:autoSpaceDN w:val="0"/>
              <w:adjustRightInd w:val="0"/>
              <w:spacing w:before="40" w:after="40"/>
              <w:jc w:val="center"/>
              <w:rPr>
                <w:noProof/>
                <w:sz w:val="16"/>
                <w:szCs w:val="16"/>
              </w:rPr>
            </w:pPr>
            <w:r>
              <w:rPr>
                <w:noProof/>
                <w:sz w:val="16"/>
                <w:szCs w:val="16"/>
              </w:rPr>
              <w:t>0%</w:t>
            </w:r>
          </w:p>
        </w:tc>
      </w:tr>
      <w:tr w:rsidR="00C85043" w:rsidRPr="004E3CEE" w:rsidTr="00C85043">
        <w:tc>
          <w:tcPr>
            <w:tcW w:w="1820" w:type="pct"/>
            <w:tcBorders>
              <w:top w:val="single" w:sz="4" w:space="0" w:color="auto"/>
              <w:left w:val="single" w:sz="4" w:space="0" w:color="auto"/>
              <w:bottom w:val="single" w:sz="4" w:space="0" w:color="auto"/>
              <w:right w:val="single" w:sz="4" w:space="0" w:color="auto"/>
            </w:tcBorders>
            <w:vAlign w:val="center"/>
          </w:tcPr>
          <w:p w:rsidR="00C85043" w:rsidRPr="004E3CEE" w:rsidRDefault="00C85043" w:rsidP="00C85043">
            <w:pPr>
              <w:autoSpaceDE w:val="0"/>
              <w:autoSpaceDN w:val="0"/>
              <w:adjustRightInd w:val="0"/>
              <w:spacing w:before="40" w:after="40"/>
              <w:rPr>
                <w:noProof/>
                <w:sz w:val="16"/>
                <w:szCs w:val="16"/>
              </w:rPr>
            </w:pPr>
            <w:r>
              <w:rPr>
                <w:noProof/>
                <w:sz w:val="16"/>
                <w:szCs w:val="16"/>
              </w:rPr>
              <w:t>Гонорары</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4E3CEE" w:rsidRDefault="00C85043" w:rsidP="00C85043">
            <w:pPr>
              <w:autoSpaceDE w:val="0"/>
              <w:autoSpaceDN w:val="0"/>
              <w:adjustRightInd w:val="0"/>
              <w:spacing w:before="40" w:after="40"/>
              <w:jc w:val="center"/>
              <w:rPr>
                <w:noProof/>
                <w:sz w:val="16"/>
                <w:szCs w:val="16"/>
              </w:rPr>
            </w:pPr>
            <w:r w:rsidRPr="004E3CEE">
              <w:rPr>
                <w:noProof/>
                <w:sz w:val="16"/>
                <w:szCs w:val="16"/>
              </w:rPr>
              <w:t>144</w:t>
            </w:r>
            <w:r>
              <w:rPr>
                <w:noProof/>
                <w:sz w:val="16"/>
                <w:szCs w:val="16"/>
              </w:rPr>
              <w:t> </w:t>
            </w:r>
            <w:r w:rsidRPr="004E3CEE">
              <w:rPr>
                <w:noProof/>
                <w:sz w:val="16"/>
                <w:szCs w:val="16"/>
              </w:rPr>
              <w:t>000</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spacing w:before="40" w:after="40"/>
              <w:jc w:val="center"/>
              <w:rPr>
                <w:noProof/>
                <w:sz w:val="16"/>
                <w:szCs w:val="16"/>
              </w:rPr>
            </w:pPr>
            <w:r w:rsidRPr="00BD06DF">
              <w:rPr>
                <w:noProof/>
                <w:sz w:val="16"/>
                <w:szCs w:val="16"/>
              </w:rPr>
              <w:t>5</w:t>
            </w:r>
            <w:r>
              <w:rPr>
                <w:noProof/>
                <w:sz w:val="16"/>
                <w:szCs w:val="16"/>
              </w:rPr>
              <w:t> </w:t>
            </w:r>
            <w:r w:rsidRPr="00BD06DF">
              <w:rPr>
                <w:noProof/>
                <w:sz w:val="16"/>
                <w:szCs w:val="16"/>
              </w:rPr>
              <w:t>000</w:t>
            </w:r>
            <w:r>
              <w:rPr>
                <w:rStyle w:val="FootnoteReference"/>
                <w:noProof/>
                <w:sz w:val="16"/>
                <w:szCs w:val="16"/>
              </w:rPr>
              <w:footnoteReference w:id="179"/>
            </w:r>
          </w:p>
        </w:tc>
        <w:tc>
          <w:tcPr>
            <w:tcW w:w="1120"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spacing w:before="40" w:after="40"/>
              <w:jc w:val="center"/>
              <w:rPr>
                <w:noProof/>
                <w:sz w:val="16"/>
                <w:szCs w:val="16"/>
              </w:rPr>
            </w:pPr>
            <w:r w:rsidRPr="00BD06DF">
              <w:rPr>
                <w:noProof/>
                <w:sz w:val="16"/>
                <w:szCs w:val="16"/>
              </w:rPr>
              <w:t>3</w:t>
            </w:r>
            <w:r>
              <w:rPr>
                <w:noProof/>
                <w:sz w:val="16"/>
                <w:szCs w:val="16"/>
              </w:rPr>
              <w:t>,</w:t>
            </w:r>
            <w:r w:rsidRPr="00BD06DF">
              <w:rPr>
                <w:noProof/>
                <w:sz w:val="16"/>
                <w:szCs w:val="16"/>
              </w:rPr>
              <w:t>5%</w:t>
            </w:r>
          </w:p>
        </w:tc>
      </w:tr>
      <w:tr w:rsidR="00C85043" w:rsidRPr="004E3CEE" w:rsidTr="00C85043">
        <w:tc>
          <w:tcPr>
            <w:tcW w:w="1820" w:type="pct"/>
            <w:tcBorders>
              <w:top w:val="single" w:sz="4" w:space="0" w:color="auto"/>
              <w:left w:val="single" w:sz="4" w:space="0" w:color="auto"/>
              <w:bottom w:val="single" w:sz="4" w:space="0" w:color="auto"/>
              <w:right w:val="single" w:sz="4" w:space="0" w:color="auto"/>
            </w:tcBorders>
            <w:vAlign w:val="center"/>
          </w:tcPr>
          <w:p w:rsidR="00C85043" w:rsidRPr="004E3CEE" w:rsidRDefault="00C85043" w:rsidP="00C85043">
            <w:pPr>
              <w:autoSpaceDE w:val="0"/>
              <w:autoSpaceDN w:val="0"/>
              <w:adjustRightInd w:val="0"/>
              <w:spacing w:before="40" w:after="40"/>
              <w:rPr>
                <w:noProof/>
                <w:sz w:val="16"/>
                <w:szCs w:val="16"/>
              </w:rPr>
            </w:pPr>
            <w:r>
              <w:rPr>
                <w:noProof/>
                <w:sz w:val="16"/>
                <w:szCs w:val="16"/>
              </w:rPr>
              <w:t>Прочие и непредвиденные расходы</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4E3CEE" w:rsidRDefault="00C85043" w:rsidP="00C85043">
            <w:pPr>
              <w:autoSpaceDE w:val="0"/>
              <w:autoSpaceDN w:val="0"/>
              <w:adjustRightInd w:val="0"/>
              <w:spacing w:before="40" w:after="40"/>
              <w:jc w:val="center"/>
              <w:rPr>
                <w:noProof/>
                <w:sz w:val="16"/>
                <w:szCs w:val="16"/>
              </w:rPr>
            </w:pPr>
            <w:r w:rsidRPr="004E3CEE">
              <w:rPr>
                <w:noProof/>
                <w:sz w:val="16"/>
                <w:szCs w:val="16"/>
              </w:rPr>
              <w:t>67</w:t>
            </w:r>
            <w:r>
              <w:rPr>
                <w:noProof/>
                <w:sz w:val="16"/>
                <w:szCs w:val="16"/>
              </w:rPr>
              <w:t> </w:t>
            </w:r>
            <w:r w:rsidRPr="004E3CEE">
              <w:rPr>
                <w:noProof/>
                <w:sz w:val="16"/>
                <w:szCs w:val="16"/>
              </w:rPr>
              <w:t>000</w:t>
            </w:r>
          </w:p>
        </w:tc>
        <w:tc>
          <w:tcPr>
            <w:tcW w:w="1030"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spacing w:before="40" w:after="40"/>
              <w:jc w:val="center"/>
              <w:rPr>
                <w:noProof/>
                <w:sz w:val="16"/>
                <w:szCs w:val="16"/>
              </w:rPr>
            </w:pPr>
            <w:r w:rsidRPr="00BD06DF">
              <w:rPr>
                <w:noProof/>
                <w:sz w:val="16"/>
                <w:szCs w:val="16"/>
              </w:rPr>
              <w:t>0</w:t>
            </w:r>
          </w:p>
        </w:tc>
        <w:tc>
          <w:tcPr>
            <w:tcW w:w="1120" w:type="pct"/>
            <w:tcBorders>
              <w:top w:val="single" w:sz="4" w:space="0" w:color="auto"/>
              <w:left w:val="single" w:sz="4" w:space="0" w:color="auto"/>
              <w:bottom w:val="single" w:sz="4" w:space="0" w:color="auto"/>
              <w:right w:val="single" w:sz="4" w:space="0" w:color="auto"/>
            </w:tcBorders>
            <w:vAlign w:val="center"/>
          </w:tcPr>
          <w:p w:rsidR="00C85043" w:rsidRPr="00BD06DF" w:rsidRDefault="00C85043" w:rsidP="00C85043">
            <w:pPr>
              <w:spacing w:before="40" w:after="40"/>
              <w:jc w:val="center"/>
              <w:rPr>
                <w:noProof/>
                <w:sz w:val="16"/>
                <w:szCs w:val="16"/>
              </w:rPr>
            </w:pPr>
            <w:r w:rsidRPr="00BD06DF">
              <w:rPr>
                <w:noProof/>
                <w:sz w:val="16"/>
                <w:szCs w:val="16"/>
              </w:rPr>
              <w:t>0%</w:t>
            </w:r>
          </w:p>
        </w:tc>
      </w:tr>
      <w:tr w:rsidR="00C85043" w:rsidRPr="004E3CEE" w:rsidTr="00C85043">
        <w:tc>
          <w:tcPr>
            <w:tcW w:w="182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autoSpaceDE w:val="0"/>
              <w:autoSpaceDN w:val="0"/>
              <w:adjustRightInd w:val="0"/>
              <w:spacing w:before="40" w:after="40"/>
              <w:rPr>
                <w:b/>
                <w:noProof/>
                <w:sz w:val="16"/>
                <w:szCs w:val="16"/>
              </w:rPr>
            </w:pPr>
            <w:r>
              <w:rPr>
                <w:b/>
                <w:noProof/>
                <w:sz w:val="16"/>
                <w:szCs w:val="16"/>
              </w:rPr>
              <w:t>Итого</w:t>
            </w:r>
          </w:p>
        </w:tc>
        <w:tc>
          <w:tcPr>
            <w:tcW w:w="103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4E3CEE" w:rsidRDefault="00C85043" w:rsidP="00C85043">
            <w:pPr>
              <w:autoSpaceDE w:val="0"/>
              <w:autoSpaceDN w:val="0"/>
              <w:adjustRightInd w:val="0"/>
              <w:spacing w:before="40" w:after="40"/>
              <w:jc w:val="center"/>
              <w:rPr>
                <w:b/>
                <w:noProof/>
                <w:sz w:val="16"/>
                <w:szCs w:val="16"/>
              </w:rPr>
            </w:pPr>
            <w:r w:rsidRPr="004E3CEE">
              <w:rPr>
                <w:b/>
                <w:noProof/>
                <w:sz w:val="16"/>
                <w:szCs w:val="16"/>
              </w:rPr>
              <w:t>960</w:t>
            </w:r>
            <w:r>
              <w:rPr>
                <w:b/>
                <w:noProof/>
                <w:sz w:val="16"/>
                <w:szCs w:val="16"/>
              </w:rPr>
              <w:t> </w:t>
            </w:r>
            <w:r w:rsidRPr="004E3CEE">
              <w:rPr>
                <w:b/>
                <w:noProof/>
                <w:sz w:val="16"/>
                <w:szCs w:val="16"/>
              </w:rPr>
              <w:t>000</w:t>
            </w:r>
          </w:p>
        </w:tc>
        <w:tc>
          <w:tcPr>
            <w:tcW w:w="1030" w:type="pct"/>
            <w:tcBorders>
              <w:top w:val="single" w:sz="4" w:space="0" w:color="auto"/>
              <w:left w:val="single" w:sz="4" w:space="0" w:color="auto"/>
              <w:bottom w:val="single" w:sz="4" w:space="0" w:color="auto"/>
              <w:right w:val="single" w:sz="4" w:space="0" w:color="auto"/>
            </w:tcBorders>
            <w:shd w:val="clear" w:color="auto" w:fill="C6D9F1"/>
          </w:tcPr>
          <w:p w:rsidR="00C85043" w:rsidRPr="00BD06DF" w:rsidRDefault="00C85043" w:rsidP="00C85043">
            <w:pPr>
              <w:autoSpaceDE w:val="0"/>
              <w:autoSpaceDN w:val="0"/>
              <w:adjustRightInd w:val="0"/>
              <w:spacing w:before="40" w:after="40"/>
              <w:jc w:val="center"/>
              <w:rPr>
                <w:b/>
                <w:noProof/>
                <w:sz w:val="16"/>
                <w:szCs w:val="16"/>
              </w:rPr>
            </w:pPr>
            <w:r w:rsidRPr="00BD06DF">
              <w:rPr>
                <w:b/>
                <w:noProof/>
                <w:sz w:val="16"/>
                <w:szCs w:val="16"/>
              </w:rPr>
              <w:t>5</w:t>
            </w:r>
            <w:r>
              <w:rPr>
                <w:b/>
                <w:noProof/>
                <w:sz w:val="16"/>
                <w:szCs w:val="16"/>
              </w:rPr>
              <w:t> </w:t>
            </w:r>
            <w:r w:rsidRPr="00BD06DF">
              <w:rPr>
                <w:b/>
                <w:noProof/>
                <w:sz w:val="16"/>
                <w:szCs w:val="16"/>
              </w:rPr>
              <w:t>000</w:t>
            </w:r>
          </w:p>
        </w:tc>
        <w:tc>
          <w:tcPr>
            <w:tcW w:w="1120" w:type="pct"/>
            <w:tcBorders>
              <w:top w:val="single" w:sz="4" w:space="0" w:color="auto"/>
              <w:left w:val="single" w:sz="4" w:space="0" w:color="auto"/>
              <w:bottom w:val="single" w:sz="4" w:space="0" w:color="auto"/>
              <w:right w:val="single" w:sz="4" w:space="0" w:color="auto"/>
            </w:tcBorders>
            <w:shd w:val="clear" w:color="auto" w:fill="C6D9F1"/>
          </w:tcPr>
          <w:p w:rsidR="00C85043" w:rsidRPr="00BD06DF" w:rsidRDefault="00C85043" w:rsidP="00C85043">
            <w:pPr>
              <w:autoSpaceDE w:val="0"/>
              <w:autoSpaceDN w:val="0"/>
              <w:adjustRightInd w:val="0"/>
              <w:spacing w:before="40" w:after="40"/>
              <w:jc w:val="center"/>
              <w:rPr>
                <w:b/>
                <w:noProof/>
                <w:sz w:val="16"/>
                <w:szCs w:val="16"/>
              </w:rPr>
            </w:pPr>
            <w:r>
              <w:rPr>
                <w:b/>
                <w:noProof/>
                <w:sz w:val="16"/>
                <w:szCs w:val="16"/>
              </w:rPr>
              <w:t>0,</w:t>
            </w:r>
            <w:r w:rsidRPr="00BD06DF">
              <w:rPr>
                <w:b/>
                <w:noProof/>
                <w:sz w:val="16"/>
                <w:szCs w:val="16"/>
              </w:rPr>
              <w:t>5%</w:t>
            </w:r>
          </w:p>
        </w:tc>
      </w:tr>
    </w:tbl>
    <w:p w:rsidR="00C85043" w:rsidRPr="00821FE0" w:rsidRDefault="00C85043" w:rsidP="00C85043">
      <w:pPr>
        <w:rPr>
          <w:rFonts w:cs="Arial"/>
          <w:noProof/>
          <w:color w:val="000000"/>
          <w:szCs w:val="22"/>
        </w:rPr>
      </w:pPr>
    </w:p>
    <w:p w:rsidR="00C85043" w:rsidRPr="00821FE0" w:rsidRDefault="00C85043" w:rsidP="00C85043">
      <w:pPr>
        <w:rPr>
          <w:rFonts w:cs="Arial"/>
          <w:noProof/>
          <w:color w:val="000000"/>
          <w:szCs w:val="22"/>
        </w:rPr>
      </w:pPr>
    </w:p>
    <w:p w:rsidR="00C85043" w:rsidRDefault="00C85043" w:rsidP="00C85043">
      <w:pPr>
        <w:rPr>
          <w:rFonts w:cs="Arial"/>
          <w:noProof/>
          <w:color w:val="000000"/>
          <w:szCs w:val="22"/>
          <w:lang w:val="ru-RU"/>
        </w:rPr>
      </w:pPr>
      <w:r>
        <w:rPr>
          <w:rFonts w:cs="Arial"/>
          <w:noProof/>
          <w:color w:val="000000"/>
          <w:szCs w:val="22"/>
          <w:lang w:val="ru-RU"/>
        </w:rPr>
        <w:br w:type="page"/>
      </w:r>
    </w:p>
    <w:p w:rsidR="00C85043" w:rsidRPr="001E1470" w:rsidRDefault="00C85043" w:rsidP="00C85043">
      <w:pPr>
        <w:rPr>
          <w:rFonts w:cs="Arial"/>
          <w:noProof/>
          <w:color w:val="000000"/>
          <w:szCs w:val="22"/>
          <w:lang w:val="ru-RU"/>
        </w:rPr>
      </w:pPr>
      <w:r w:rsidRPr="001E1470">
        <w:rPr>
          <w:rFonts w:cs="Arial"/>
          <w:noProof/>
          <w:color w:val="000000"/>
          <w:szCs w:val="22"/>
          <w:lang w:val="ru-RU"/>
        </w:rPr>
        <w:t>РИСКИ И СТРАТЕГИИ ИХ СНИЖЕНИЯ</w:t>
      </w:r>
    </w:p>
    <w:p w:rsidR="00C85043" w:rsidRPr="001E1470" w:rsidRDefault="00C85043" w:rsidP="00C85043">
      <w:pPr>
        <w:rPr>
          <w:rFonts w:cs="Arial"/>
          <w:noProof/>
          <w:color w:val="000000"/>
          <w:szCs w:val="22"/>
          <w:lang w:val="ru-RU"/>
        </w:rPr>
      </w:pP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1"/>
        <w:gridCol w:w="3072"/>
        <w:gridCol w:w="3070"/>
      </w:tblGrid>
      <w:tr w:rsidR="00C85043" w:rsidRPr="004E3CEE" w:rsidTr="00C85043">
        <w:trPr>
          <w:trHeight w:val="445"/>
          <w:tblHeader/>
          <w:jc w:val="center"/>
        </w:trPr>
        <w:tc>
          <w:tcPr>
            <w:tcW w:w="1667" w:type="pct"/>
            <w:shd w:val="clear" w:color="auto" w:fill="C6D9F1"/>
            <w:vAlign w:val="center"/>
          </w:tcPr>
          <w:p w:rsidR="00C85043" w:rsidRPr="004E3CEE" w:rsidRDefault="00C85043" w:rsidP="00C85043">
            <w:pPr>
              <w:autoSpaceDE w:val="0"/>
              <w:autoSpaceDN w:val="0"/>
              <w:adjustRightInd w:val="0"/>
              <w:spacing w:before="40" w:after="40" w:line="260" w:lineRule="exact"/>
              <w:ind w:left="-74" w:right="-60"/>
              <w:jc w:val="center"/>
              <w:rPr>
                <w:b/>
                <w:bCs/>
                <w:noProof/>
                <w:sz w:val="16"/>
                <w:szCs w:val="16"/>
              </w:rPr>
            </w:pPr>
            <w:r>
              <w:rPr>
                <w:b/>
                <w:bCs/>
                <w:noProof/>
                <w:sz w:val="16"/>
                <w:szCs w:val="16"/>
              </w:rPr>
              <w:t>Риск / Описание риска</w:t>
            </w:r>
          </w:p>
        </w:tc>
        <w:tc>
          <w:tcPr>
            <w:tcW w:w="1667" w:type="pct"/>
            <w:shd w:val="clear" w:color="auto" w:fill="C6D9F1"/>
            <w:vAlign w:val="center"/>
          </w:tcPr>
          <w:p w:rsidR="00C85043" w:rsidRPr="004E3CEE" w:rsidRDefault="00C85043" w:rsidP="00C85043">
            <w:pPr>
              <w:autoSpaceDE w:val="0"/>
              <w:autoSpaceDN w:val="0"/>
              <w:adjustRightInd w:val="0"/>
              <w:spacing w:before="40" w:after="40" w:line="260" w:lineRule="exact"/>
              <w:ind w:left="-107" w:right="-108"/>
              <w:jc w:val="center"/>
              <w:rPr>
                <w:b/>
                <w:bCs/>
                <w:noProof/>
                <w:sz w:val="16"/>
                <w:szCs w:val="16"/>
              </w:rPr>
            </w:pPr>
            <w:r>
              <w:rPr>
                <w:b/>
                <w:bCs/>
                <w:noProof/>
                <w:sz w:val="16"/>
                <w:szCs w:val="16"/>
              </w:rPr>
              <w:t>Меры по уменьшению риска</w:t>
            </w:r>
            <w:r w:rsidRPr="004E3CEE" w:rsidDel="003965B5">
              <w:rPr>
                <w:b/>
                <w:bCs/>
                <w:noProof/>
                <w:color w:val="000000"/>
                <w:sz w:val="16"/>
                <w:szCs w:val="16"/>
              </w:rPr>
              <w:t xml:space="preserve"> </w:t>
            </w:r>
          </w:p>
        </w:tc>
        <w:tc>
          <w:tcPr>
            <w:tcW w:w="1666" w:type="pct"/>
            <w:shd w:val="clear" w:color="auto" w:fill="C6D9F1"/>
            <w:vAlign w:val="center"/>
          </w:tcPr>
          <w:p w:rsidR="00C85043" w:rsidRPr="004E3CEE" w:rsidRDefault="00C85043" w:rsidP="00C85043">
            <w:pPr>
              <w:autoSpaceDE w:val="0"/>
              <w:autoSpaceDN w:val="0"/>
              <w:adjustRightInd w:val="0"/>
              <w:spacing w:before="40" w:after="40" w:line="260" w:lineRule="exact"/>
              <w:ind w:left="-109"/>
              <w:jc w:val="center"/>
              <w:rPr>
                <w:b/>
                <w:bCs/>
                <w:noProof/>
                <w:sz w:val="16"/>
                <w:szCs w:val="16"/>
              </w:rPr>
            </w:pPr>
            <w:r>
              <w:rPr>
                <w:b/>
                <w:bCs/>
                <w:noProof/>
                <w:sz w:val="16"/>
                <w:szCs w:val="16"/>
              </w:rPr>
              <w:t>Примечание</w:t>
            </w:r>
          </w:p>
        </w:tc>
      </w:tr>
      <w:tr w:rsidR="00C85043" w:rsidRPr="00AB735C" w:rsidTr="00C85043">
        <w:trPr>
          <w:trHeight w:val="411"/>
          <w:jc w:val="center"/>
        </w:trPr>
        <w:tc>
          <w:tcPr>
            <w:tcW w:w="1667" w:type="pct"/>
            <w:shd w:val="clear" w:color="auto" w:fill="auto"/>
          </w:tcPr>
          <w:p w:rsidR="00C85043" w:rsidRPr="00AB735C" w:rsidRDefault="00C85043" w:rsidP="00C85043">
            <w:pPr>
              <w:autoSpaceDE w:val="0"/>
              <w:autoSpaceDN w:val="0"/>
              <w:adjustRightInd w:val="0"/>
              <w:spacing w:before="40" w:after="40"/>
              <w:rPr>
                <w:noProof/>
                <w:sz w:val="16"/>
                <w:szCs w:val="16"/>
                <w:lang w:val="ru-RU"/>
              </w:rPr>
            </w:pPr>
            <w:r>
              <w:rPr>
                <w:noProof/>
                <w:sz w:val="16"/>
                <w:szCs w:val="16"/>
                <w:lang w:val="ru-RU"/>
              </w:rPr>
              <w:t xml:space="preserve">Задержка начала </w:t>
            </w:r>
            <w:r w:rsidRPr="00476689">
              <w:rPr>
                <w:noProof/>
                <w:sz w:val="16"/>
                <w:szCs w:val="16"/>
                <w:lang w:val="ru-RU"/>
              </w:rPr>
              <w:t>проект</w:t>
            </w:r>
            <w:r>
              <w:rPr>
                <w:noProof/>
                <w:sz w:val="16"/>
                <w:szCs w:val="16"/>
                <w:lang w:val="ru-RU"/>
              </w:rPr>
              <w:t>а на срок от шести</w:t>
            </w:r>
            <w:r w:rsidRPr="00AB735C">
              <w:rPr>
                <w:noProof/>
                <w:sz w:val="16"/>
                <w:szCs w:val="16"/>
                <w:lang w:val="ru-RU"/>
              </w:rPr>
              <w:t xml:space="preserve"> месяцев </w:t>
            </w:r>
            <w:r>
              <w:rPr>
                <w:noProof/>
                <w:sz w:val="16"/>
                <w:szCs w:val="16"/>
                <w:lang w:val="ru-RU"/>
              </w:rPr>
              <w:t xml:space="preserve">до </w:t>
            </w:r>
            <w:r w:rsidRPr="00AB735C">
              <w:rPr>
                <w:noProof/>
                <w:sz w:val="16"/>
                <w:szCs w:val="16"/>
                <w:lang w:val="ru-RU"/>
              </w:rPr>
              <w:t>год</w:t>
            </w:r>
            <w:r>
              <w:rPr>
                <w:noProof/>
                <w:sz w:val="16"/>
                <w:szCs w:val="16"/>
                <w:lang w:val="ru-RU"/>
              </w:rPr>
              <w:t>а</w:t>
            </w:r>
            <w:r w:rsidRPr="00AB735C">
              <w:rPr>
                <w:noProof/>
                <w:sz w:val="16"/>
                <w:szCs w:val="16"/>
                <w:lang w:val="ru-RU"/>
              </w:rPr>
              <w:t xml:space="preserve"> в результате </w:t>
            </w:r>
            <w:r>
              <w:rPr>
                <w:noProof/>
                <w:sz w:val="16"/>
                <w:szCs w:val="16"/>
                <w:lang w:val="ru-RU"/>
              </w:rPr>
              <w:t>задержки в сдаче нового</w:t>
            </w:r>
            <w:r w:rsidRPr="00AB735C">
              <w:rPr>
                <w:noProof/>
                <w:sz w:val="16"/>
                <w:szCs w:val="16"/>
                <w:lang w:val="ru-RU"/>
              </w:rPr>
              <w:t xml:space="preserve"> </w:t>
            </w:r>
            <w:r>
              <w:rPr>
                <w:noProof/>
                <w:sz w:val="16"/>
                <w:szCs w:val="16"/>
                <w:lang w:val="ru-RU"/>
              </w:rPr>
              <w:t>конференц-зала ВОИС</w:t>
            </w:r>
            <w:r w:rsidRPr="00AB735C">
              <w:rPr>
                <w:noProof/>
                <w:sz w:val="16"/>
                <w:szCs w:val="16"/>
                <w:lang w:val="ru-RU"/>
              </w:rPr>
              <w:t>.</w:t>
            </w:r>
          </w:p>
          <w:p w:rsidR="00C85043" w:rsidRPr="00AB735C" w:rsidRDefault="00C85043" w:rsidP="00C85043">
            <w:pPr>
              <w:autoSpaceDE w:val="0"/>
              <w:autoSpaceDN w:val="0"/>
              <w:adjustRightInd w:val="0"/>
              <w:spacing w:before="40" w:after="40"/>
              <w:rPr>
                <w:noProof/>
                <w:sz w:val="16"/>
                <w:szCs w:val="16"/>
                <w:lang w:val="ru-RU"/>
              </w:rPr>
            </w:pPr>
          </w:p>
        </w:tc>
        <w:tc>
          <w:tcPr>
            <w:tcW w:w="1667" w:type="pct"/>
            <w:shd w:val="clear" w:color="auto" w:fill="auto"/>
          </w:tcPr>
          <w:p w:rsidR="00C85043" w:rsidRPr="004C29C9" w:rsidRDefault="00C85043" w:rsidP="00C85043">
            <w:pPr>
              <w:autoSpaceDE w:val="0"/>
              <w:autoSpaceDN w:val="0"/>
              <w:adjustRightInd w:val="0"/>
              <w:spacing w:before="40" w:after="40"/>
              <w:rPr>
                <w:noProof/>
                <w:sz w:val="16"/>
                <w:szCs w:val="16"/>
                <w:lang w:val="ru-RU"/>
              </w:rPr>
            </w:pPr>
            <w:r w:rsidRPr="00476689">
              <w:rPr>
                <w:noProof/>
                <w:sz w:val="16"/>
                <w:szCs w:val="16"/>
                <w:lang w:val="ru-RU"/>
              </w:rPr>
              <w:t>Изменени</w:t>
            </w:r>
            <w:r>
              <w:rPr>
                <w:noProof/>
                <w:sz w:val="16"/>
                <w:szCs w:val="16"/>
                <w:lang w:val="ru-RU"/>
              </w:rPr>
              <w:t xml:space="preserve">е графика </w:t>
            </w:r>
            <w:r w:rsidRPr="00476689">
              <w:rPr>
                <w:noProof/>
                <w:sz w:val="16"/>
                <w:szCs w:val="16"/>
                <w:lang w:val="ru-RU"/>
              </w:rPr>
              <w:t>проект</w:t>
            </w:r>
            <w:r>
              <w:rPr>
                <w:noProof/>
                <w:sz w:val="16"/>
                <w:szCs w:val="16"/>
                <w:lang w:val="ru-RU"/>
              </w:rPr>
              <w:t>а для отражения отставания</w:t>
            </w:r>
            <w:r w:rsidRPr="004C29C9">
              <w:rPr>
                <w:noProof/>
                <w:sz w:val="16"/>
                <w:szCs w:val="16"/>
                <w:lang w:val="ru-RU"/>
              </w:rPr>
              <w:t>.</w:t>
            </w:r>
          </w:p>
        </w:tc>
        <w:tc>
          <w:tcPr>
            <w:tcW w:w="1666" w:type="pct"/>
            <w:shd w:val="clear" w:color="auto" w:fill="auto"/>
          </w:tcPr>
          <w:p w:rsidR="00C85043" w:rsidRPr="00AB735C" w:rsidRDefault="00C85043" w:rsidP="00C85043">
            <w:pPr>
              <w:autoSpaceDE w:val="0"/>
              <w:autoSpaceDN w:val="0"/>
              <w:adjustRightInd w:val="0"/>
              <w:spacing w:before="40" w:after="40"/>
              <w:rPr>
                <w:noProof/>
                <w:sz w:val="16"/>
                <w:szCs w:val="16"/>
                <w:lang w:val="ru-RU"/>
              </w:rPr>
            </w:pPr>
            <w:r w:rsidRPr="00E9446C">
              <w:rPr>
                <w:sz w:val="16"/>
                <w:szCs w:val="16"/>
                <w:lang w:val="ru-RU"/>
              </w:rPr>
              <w:t>Данный риск материализовался</w:t>
            </w:r>
            <w:r w:rsidRPr="00AB735C">
              <w:rPr>
                <w:sz w:val="16"/>
                <w:szCs w:val="16"/>
                <w:lang w:val="ru-RU"/>
              </w:rPr>
              <w:t xml:space="preserve"> в 2014 </w:t>
            </w:r>
            <w:r>
              <w:rPr>
                <w:sz w:val="16"/>
                <w:szCs w:val="16"/>
                <w:lang w:val="ru-RU"/>
              </w:rPr>
              <w:t xml:space="preserve">г. Дата общего начала </w:t>
            </w:r>
            <w:r w:rsidRPr="004104A2">
              <w:rPr>
                <w:sz w:val="16"/>
                <w:szCs w:val="16"/>
                <w:lang w:val="ru-RU"/>
              </w:rPr>
              <w:t>работ</w:t>
            </w:r>
            <w:r>
              <w:rPr>
                <w:sz w:val="16"/>
                <w:szCs w:val="16"/>
                <w:lang w:val="ru-RU"/>
              </w:rPr>
              <w:t xml:space="preserve"> по проекту</w:t>
            </w:r>
            <w:r w:rsidRPr="004C29C9">
              <w:rPr>
                <w:sz w:val="16"/>
                <w:szCs w:val="16"/>
                <w:lang w:val="ru-RU"/>
              </w:rPr>
              <w:t xml:space="preserve"> </w:t>
            </w:r>
            <w:r>
              <w:rPr>
                <w:sz w:val="16"/>
                <w:szCs w:val="16"/>
                <w:lang w:val="ru-RU"/>
              </w:rPr>
              <w:t xml:space="preserve">была сдвинута на </w:t>
            </w:r>
            <w:r w:rsidRPr="004C29C9">
              <w:rPr>
                <w:sz w:val="16"/>
                <w:szCs w:val="16"/>
                <w:lang w:val="ru-RU"/>
              </w:rPr>
              <w:t xml:space="preserve">шесть месяцев </w:t>
            </w:r>
            <w:r w:rsidRPr="001B2E84">
              <w:rPr>
                <w:sz w:val="16"/>
                <w:szCs w:val="16"/>
                <w:lang w:val="ru-RU"/>
              </w:rPr>
              <w:t>относительн</w:t>
            </w:r>
            <w:r>
              <w:rPr>
                <w:sz w:val="16"/>
                <w:szCs w:val="16"/>
                <w:lang w:val="ru-RU"/>
              </w:rPr>
              <w:t xml:space="preserve">о </w:t>
            </w:r>
            <w:r w:rsidRPr="004C29C9">
              <w:rPr>
                <w:sz w:val="16"/>
                <w:szCs w:val="16"/>
                <w:lang w:val="ru-RU"/>
              </w:rPr>
              <w:t>первоначальн</w:t>
            </w:r>
            <w:r>
              <w:rPr>
                <w:sz w:val="16"/>
                <w:szCs w:val="16"/>
                <w:lang w:val="ru-RU"/>
              </w:rPr>
              <w:t>ого</w:t>
            </w:r>
            <w:r w:rsidRPr="004C29C9">
              <w:rPr>
                <w:sz w:val="16"/>
                <w:szCs w:val="16"/>
                <w:lang w:val="ru-RU"/>
              </w:rPr>
              <w:t xml:space="preserve"> план</w:t>
            </w:r>
            <w:r>
              <w:rPr>
                <w:sz w:val="16"/>
                <w:szCs w:val="16"/>
                <w:lang w:val="ru-RU"/>
              </w:rPr>
              <w:t>а</w:t>
            </w:r>
            <w:r w:rsidRPr="004C29C9">
              <w:rPr>
                <w:sz w:val="16"/>
                <w:szCs w:val="16"/>
                <w:lang w:val="ru-RU"/>
              </w:rPr>
              <w:t xml:space="preserve">.  </w:t>
            </w:r>
            <w:r>
              <w:rPr>
                <w:sz w:val="16"/>
                <w:szCs w:val="16"/>
                <w:lang w:val="ru-RU"/>
              </w:rPr>
              <w:t xml:space="preserve">График </w:t>
            </w:r>
            <w:r w:rsidRPr="00AB735C">
              <w:rPr>
                <w:sz w:val="16"/>
                <w:szCs w:val="16"/>
                <w:lang w:val="ru-RU"/>
              </w:rPr>
              <w:t>проект</w:t>
            </w:r>
            <w:r>
              <w:rPr>
                <w:sz w:val="16"/>
                <w:szCs w:val="16"/>
                <w:lang w:val="ru-RU"/>
              </w:rPr>
              <w:t>а был</w:t>
            </w:r>
            <w:r w:rsidRPr="00AB735C">
              <w:rPr>
                <w:sz w:val="16"/>
                <w:szCs w:val="16"/>
                <w:lang w:val="ru-RU"/>
              </w:rPr>
              <w:t xml:space="preserve"> </w:t>
            </w:r>
            <w:r>
              <w:rPr>
                <w:sz w:val="16"/>
                <w:szCs w:val="16"/>
                <w:lang w:val="ru-RU"/>
              </w:rPr>
              <w:t xml:space="preserve">скорректирован </w:t>
            </w:r>
            <w:r w:rsidRPr="004104A2">
              <w:rPr>
                <w:sz w:val="16"/>
                <w:szCs w:val="16"/>
                <w:lang w:val="ru-RU"/>
              </w:rPr>
              <w:t xml:space="preserve">в соответствии с </w:t>
            </w:r>
            <w:r>
              <w:rPr>
                <w:sz w:val="16"/>
                <w:szCs w:val="16"/>
                <w:lang w:val="ru-RU"/>
              </w:rPr>
              <w:t>запланированными</w:t>
            </w:r>
            <w:r w:rsidRPr="00AB735C">
              <w:rPr>
                <w:sz w:val="16"/>
                <w:szCs w:val="16"/>
                <w:lang w:val="ru-RU"/>
              </w:rPr>
              <w:t xml:space="preserve"> </w:t>
            </w:r>
            <w:r>
              <w:rPr>
                <w:sz w:val="16"/>
                <w:szCs w:val="16"/>
                <w:lang w:val="ru-RU"/>
              </w:rPr>
              <w:t>мерами</w:t>
            </w:r>
            <w:r w:rsidRPr="00AB735C">
              <w:rPr>
                <w:sz w:val="16"/>
                <w:szCs w:val="16"/>
                <w:lang w:val="ru-RU"/>
              </w:rPr>
              <w:t xml:space="preserve"> по уменьшению риска.  </w:t>
            </w:r>
            <w:r w:rsidRPr="004104A2">
              <w:rPr>
                <w:sz w:val="16"/>
                <w:szCs w:val="16"/>
                <w:lang w:val="ru-RU"/>
              </w:rPr>
              <w:t>Никаких существенных последствий для проектных результатов не зафиксировано.</w:t>
            </w:r>
          </w:p>
        </w:tc>
      </w:tr>
      <w:tr w:rsidR="00C85043" w:rsidRPr="00D12104" w:rsidTr="00C85043">
        <w:trPr>
          <w:trHeight w:val="776"/>
          <w:jc w:val="center"/>
        </w:trPr>
        <w:tc>
          <w:tcPr>
            <w:tcW w:w="1667" w:type="pct"/>
            <w:shd w:val="clear" w:color="auto" w:fill="auto"/>
          </w:tcPr>
          <w:p w:rsidR="00C85043" w:rsidRPr="00D12104" w:rsidRDefault="00C85043" w:rsidP="00C85043">
            <w:pPr>
              <w:autoSpaceDE w:val="0"/>
              <w:autoSpaceDN w:val="0"/>
              <w:adjustRightInd w:val="0"/>
              <w:spacing w:before="40" w:after="40"/>
              <w:rPr>
                <w:noProof/>
                <w:sz w:val="16"/>
                <w:szCs w:val="16"/>
                <w:lang w:val="ru-RU"/>
              </w:rPr>
            </w:pPr>
            <w:r w:rsidRPr="004C29C9">
              <w:rPr>
                <w:noProof/>
                <w:sz w:val="16"/>
                <w:szCs w:val="16"/>
                <w:lang w:val="ru-RU"/>
              </w:rPr>
              <w:t>Задержк</w:t>
            </w:r>
            <w:r>
              <w:rPr>
                <w:noProof/>
                <w:sz w:val="16"/>
                <w:szCs w:val="16"/>
                <w:lang w:val="ru-RU"/>
              </w:rPr>
              <w:t xml:space="preserve">а в начале </w:t>
            </w:r>
            <w:r w:rsidRPr="00D12104">
              <w:rPr>
                <w:noProof/>
                <w:sz w:val="16"/>
                <w:szCs w:val="16"/>
                <w:lang w:val="ru-RU"/>
              </w:rPr>
              <w:t>работ</w:t>
            </w:r>
            <w:r>
              <w:rPr>
                <w:noProof/>
                <w:sz w:val="16"/>
                <w:szCs w:val="16"/>
                <w:lang w:val="ru-RU"/>
              </w:rPr>
              <w:t xml:space="preserve"> </w:t>
            </w:r>
            <w:r w:rsidRPr="004C29C9">
              <w:rPr>
                <w:noProof/>
                <w:sz w:val="16"/>
                <w:szCs w:val="16"/>
                <w:lang w:val="ru-RU"/>
              </w:rPr>
              <w:t xml:space="preserve">в связи с </w:t>
            </w:r>
            <w:r>
              <w:rPr>
                <w:noProof/>
                <w:sz w:val="16"/>
                <w:szCs w:val="16"/>
                <w:lang w:val="ru-RU"/>
              </w:rPr>
              <w:t xml:space="preserve">отсутствием </w:t>
            </w:r>
            <w:r w:rsidRPr="004C29C9">
              <w:rPr>
                <w:noProof/>
                <w:sz w:val="16"/>
                <w:szCs w:val="16"/>
                <w:lang w:val="ru-RU"/>
              </w:rPr>
              <w:t>внутренн</w:t>
            </w:r>
            <w:r>
              <w:rPr>
                <w:noProof/>
                <w:sz w:val="16"/>
                <w:szCs w:val="16"/>
                <w:lang w:val="ru-RU"/>
              </w:rPr>
              <w:t>их</w:t>
            </w:r>
            <w:r w:rsidRPr="00D12104">
              <w:rPr>
                <w:noProof/>
                <w:sz w:val="16"/>
                <w:szCs w:val="16"/>
                <w:lang w:val="ru-RU"/>
              </w:rPr>
              <w:t xml:space="preserve"> </w:t>
            </w:r>
            <w:r w:rsidRPr="00375062">
              <w:rPr>
                <w:noProof/>
                <w:sz w:val="16"/>
                <w:szCs w:val="16"/>
                <w:lang w:val="ru-RU"/>
              </w:rPr>
              <w:t>решени</w:t>
            </w:r>
            <w:r>
              <w:rPr>
                <w:noProof/>
                <w:sz w:val="16"/>
                <w:szCs w:val="16"/>
                <w:lang w:val="ru-RU"/>
              </w:rPr>
              <w:t>й</w:t>
            </w:r>
            <w:r w:rsidRPr="00D12104">
              <w:rPr>
                <w:noProof/>
                <w:sz w:val="16"/>
                <w:szCs w:val="16"/>
                <w:lang w:val="ru-RU"/>
              </w:rPr>
              <w:t xml:space="preserve"> </w:t>
            </w:r>
            <w:r w:rsidRPr="004C29C9">
              <w:rPr>
                <w:noProof/>
                <w:sz w:val="16"/>
                <w:szCs w:val="16"/>
                <w:lang w:val="ru-RU"/>
              </w:rPr>
              <w:t>относительно</w:t>
            </w:r>
            <w:r w:rsidRPr="00D12104">
              <w:rPr>
                <w:noProof/>
                <w:sz w:val="16"/>
                <w:szCs w:val="16"/>
                <w:lang w:val="ru-RU"/>
              </w:rPr>
              <w:t xml:space="preserve"> вариант</w:t>
            </w:r>
            <w:r>
              <w:rPr>
                <w:noProof/>
                <w:sz w:val="16"/>
                <w:szCs w:val="16"/>
                <w:lang w:val="ru-RU"/>
              </w:rPr>
              <w:t xml:space="preserve">ов </w:t>
            </w:r>
            <w:r w:rsidRPr="00D12104">
              <w:rPr>
                <w:noProof/>
                <w:sz w:val="16"/>
                <w:szCs w:val="16"/>
                <w:lang w:val="ru-RU"/>
              </w:rPr>
              <w:t>размещени</w:t>
            </w:r>
            <w:r>
              <w:rPr>
                <w:noProof/>
                <w:sz w:val="16"/>
                <w:szCs w:val="16"/>
                <w:lang w:val="ru-RU"/>
              </w:rPr>
              <w:t xml:space="preserve">я </w:t>
            </w:r>
            <w:r w:rsidRPr="00D12104">
              <w:rPr>
                <w:noProof/>
                <w:sz w:val="16"/>
                <w:szCs w:val="16"/>
                <w:lang w:val="ru-RU"/>
              </w:rPr>
              <w:t>оборудовани</w:t>
            </w:r>
            <w:r>
              <w:rPr>
                <w:noProof/>
                <w:sz w:val="16"/>
                <w:szCs w:val="16"/>
                <w:lang w:val="ru-RU"/>
              </w:rPr>
              <w:t xml:space="preserve">я </w:t>
            </w:r>
            <w:r w:rsidRPr="004C29C9">
              <w:rPr>
                <w:noProof/>
                <w:sz w:val="16"/>
                <w:szCs w:val="16"/>
                <w:lang w:val="ru-RU"/>
              </w:rPr>
              <w:t>и</w:t>
            </w:r>
            <w:r w:rsidRPr="00D12104">
              <w:rPr>
                <w:noProof/>
                <w:sz w:val="16"/>
                <w:szCs w:val="16"/>
                <w:lang w:val="ru-RU"/>
              </w:rPr>
              <w:t xml:space="preserve"> </w:t>
            </w:r>
            <w:r w:rsidRPr="004C29C9">
              <w:rPr>
                <w:noProof/>
                <w:sz w:val="16"/>
                <w:szCs w:val="16"/>
                <w:lang w:val="ru-RU"/>
              </w:rPr>
              <w:t>персонал</w:t>
            </w:r>
            <w:r>
              <w:rPr>
                <w:noProof/>
                <w:sz w:val="16"/>
                <w:szCs w:val="16"/>
                <w:lang w:val="ru-RU"/>
              </w:rPr>
              <w:t>а в планируемой</w:t>
            </w:r>
            <w:r w:rsidRPr="00D12104">
              <w:rPr>
                <w:noProof/>
                <w:sz w:val="16"/>
                <w:szCs w:val="16"/>
                <w:lang w:val="ru-RU"/>
              </w:rPr>
              <w:t xml:space="preserve"> </w:t>
            </w:r>
            <w:r w:rsidRPr="008367BB">
              <w:rPr>
                <w:noProof/>
                <w:sz w:val="16"/>
                <w:szCs w:val="16"/>
                <w:lang w:val="ru-RU"/>
              </w:rPr>
              <w:t>типографии</w:t>
            </w:r>
            <w:r w:rsidRPr="00D12104">
              <w:rPr>
                <w:noProof/>
                <w:sz w:val="16"/>
                <w:szCs w:val="16"/>
                <w:lang w:val="ru-RU"/>
              </w:rPr>
              <w:t xml:space="preserve"> </w:t>
            </w:r>
            <w:r>
              <w:rPr>
                <w:noProof/>
                <w:sz w:val="16"/>
                <w:szCs w:val="16"/>
                <w:lang w:val="ru-RU"/>
              </w:rPr>
              <w:t xml:space="preserve">для оптимального </w:t>
            </w:r>
            <w:r w:rsidRPr="004C29C9">
              <w:rPr>
                <w:noProof/>
                <w:sz w:val="16"/>
                <w:szCs w:val="16"/>
                <w:lang w:val="ru-RU"/>
              </w:rPr>
              <w:t>использова</w:t>
            </w:r>
            <w:r>
              <w:rPr>
                <w:noProof/>
                <w:sz w:val="16"/>
                <w:szCs w:val="16"/>
                <w:lang w:val="ru-RU"/>
              </w:rPr>
              <w:t xml:space="preserve">ния площадей </w:t>
            </w:r>
            <w:r w:rsidRPr="00D12104">
              <w:rPr>
                <w:noProof/>
                <w:sz w:val="16"/>
                <w:szCs w:val="16"/>
                <w:lang w:val="ru-RU"/>
              </w:rPr>
              <w:t>соответствующ</w:t>
            </w:r>
            <w:r>
              <w:rPr>
                <w:noProof/>
                <w:sz w:val="16"/>
                <w:szCs w:val="16"/>
                <w:lang w:val="ru-RU"/>
              </w:rPr>
              <w:t xml:space="preserve">ими </w:t>
            </w:r>
            <w:r w:rsidRPr="00D12104">
              <w:rPr>
                <w:noProof/>
                <w:sz w:val="16"/>
                <w:szCs w:val="16"/>
                <w:lang w:val="ru-RU"/>
              </w:rPr>
              <w:t>подразделени</w:t>
            </w:r>
            <w:r>
              <w:rPr>
                <w:noProof/>
                <w:sz w:val="16"/>
                <w:szCs w:val="16"/>
                <w:lang w:val="ru-RU"/>
              </w:rPr>
              <w:t>ями</w:t>
            </w:r>
            <w:r w:rsidRPr="00D12104">
              <w:rPr>
                <w:noProof/>
                <w:sz w:val="16"/>
                <w:szCs w:val="16"/>
                <w:lang w:val="ru-RU"/>
              </w:rPr>
              <w:t>.</w:t>
            </w:r>
          </w:p>
        </w:tc>
        <w:tc>
          <w:tcPr>
            <w:tcW w:w="1667" w:type="pct"/>
            <w:shd w:val="clear" w:color="auto" w:fill="auto"/>
          </w:tcPr>
          <w:p w:rsidR="00C85043" w:rsidRPr="00AB735C" w:rsidRDefault="00C85043" w:rsidP="00C85043">
            <w:pPr>
              <w:autoSpaceDE w:val="0"/>
              <w:autoSpaceDN w:val="0"/>
              <w:adjustRightInd w:val="0"/>
              <w:spacing w:before="40" w:after="40"/>
              <w:rPr>
                <w:noProof/>
                <w:sz w:val="16"/>
                <w:szCs w:val="16"/>
                <w:lang w:val="ru-RU"/>
              </w:rPr>
            </w:pPr>
            <w:r w:rsidRPr="00D12104">
              <w:rPr>
                <w:rFonts w:cs="Arial"/>
                <w:noProof/>
                <w:sz w:val="16"/>
                <w:szCs w:val="16"/>
                <w:lang w:val="ru-RU"/>
              </w:rPr>
              <w:t>Расчет</w:t>
            </w:r>
            <w:r>
              <w:rPr>
                <w:noProof/>
                <w:sz w:val="16"/>
                <w:szCs w:val="16"/>
                <w:lang w:val="ru-RU"/>
              </w:rPr>
              <w:t xml:space="preserve"> размеров </w:t>
            </w:r>
            <w:r w:rsidRPr="00AB735C">
              <w:rPr>
                <w:noProof/>
                <w:sz w:val="16"/>
                <w:szCs w:val="16"/>
                <w:lang w:val="ru-RU"/>
              </w:rPr>
              <w:t>необходим</w:t>
            </w:r>
            <w:r>
              <w:rPr>
                <w:noProof/>
                <w:sz w:val="16"/>
                <w:szCs w:val="16"/>
                <w:lang w:val="ru-RU"/>
              </w:rPr>
              <w:t>ых</w:t>
            </w:r>
            <w:r w:rsidRPr="00AB735C">
              <w:rPr>
                <w:noProof/>
                <w:sz w:val="16"/>
                <w:szCs w:val="16"/>
                <w:lang w:val="ru-RU"/>
              </w:rPr>
              <w:t xml:space="preserve"> </w:t>
            </w:r>
            <w:r w:rsidRPr="00D12104">
              <w:rPr>
                <w:noProof/>
                <w:sz w:val="16"/>
                <w:szCs w:val="16"/>
                <w:lang w:val="ru-RU"/>
              </w:rPr>
              <w:t>площад</w:t>
            </w:r>
            <w:r>
              <w:rPr>
                <w:noProof/>
                <w:sz w:val="16"/>
                <w:szCs w:val="16"/>
                <w:lang w:val="ru-RU"/>
              </w:rPr>
              <w:t xml:space="preserve">ей в рамках оценки </w:t>
            </w:r>
            <w:r w:rsidRPr="00D12104">
              <w:rPr>
                <w:noProof/>
                <w:sz w:val="16"/>
                <w:szCs w:val="16"/>
                <w:lang w:val="ru-RU"/>
              </w:rPr>
              <w:t>потребност</w:t>
            </w:r>
            <w:r>
              <w:rPr>
                <w:noProof/>
                <w:sz w:val="16"/>
                <w:szCs w:val="16"/>
                <w:lang w:val="ru-RU"/>
              </w:rPr>
              <w:t>ей</w:t>
            </w:r>
            <w:r w:rsidRPr="00AB735C">
              <w:rPr>
                <w:noProof/>
                <w:sz w:val="16"/>
                <w:szCs w:val="16"/>
                <w:lang w:val="ru-RU"/>
              </w:rPr>
              <w:t>.</w:t>
            </w:r>
          </w:p>
        </w:tc>
        <w:tc>
          <w:tcPr>
            <w:tcW w:w="1666" w:type="pct"/>
            <w:shd w:val="clear" w:color="auto" w:fill="auto"/>
          </w:tcPr>
          <w:p w:rsidR="00C85043" w:rsidRPr="00D12104" w:rsidRDefault="00C85043" w:rsidP="00C85043">
            <w:pPr>
              <w:autoSpaceDE w:val="0"/>
              <w:autoSpaceDN w:val="0"/>
              <w:adjustRightInd w:val="0"/>
              <w:spacing w:before="40" w:after="40"/>
              <w:rPr>
                <w:noProof/>
                <w:sz w:val="16"/>
                <w:szCs w:val="16"/>
                <w:lang w:val="ru-RU"/>
              </w:rPr>
            </w:pPr>
            <w:r w:rsidRPr="00E9446C">
              <w:rPr>
                <w:sz w:val="16"/>
                <w:szCs w:val="16"/>
                <w:lang w:val="ru-RU"/>
              </w:rPr>
              <w:t xml:space="preserve">Данный риск материализовался </w:t>
            </w:r>
            <w:r>
              <w:rPr>
                <w:sz w:val="16"/>
                <w:szCs w:val="16"/>
              </w:rPr>
              <w:t>in</w:t>
            </w:r>
            <w:r w:rsidRPr="00E9446C">
              <w:rPr>
                <w:sz w:val="16"/>
                <w:szCs w:val="16"/>
                <w:lang w:val="ru-RU"/>
              </w:rPr>
              <w:t xml:space="preserve"> 2015</w:t>
            </w:r>
            <w:r>
              <w:rPr>
                <w:sz w:val="16"/>
                <w:szCs w:val="16"/>
              </w:rPr>
              <w:t> </w:t>
            </w:r>
            <w:r w:rsidRPr="00E9446C">
              <w:rPr>
                <w:sz w:val="16"/>
                <w:szCs w:val="16"/>
                <w:lang w:val="ru-RU"/>
              </w:rPr>
              <w:t xml:space="preserve">г., </w:t>
            </w:r>
            <w:r>
              <w:rPr>
                <w:sz w:val="16"/>
                <w:szCs w:val="16"/>
                <w:lang w:val="ru-RU"/>
              </w:rPr>
              <w:t xml:space="preserve">что привело к </w:t>
            </w:r>
            <w:r w:rsidRPr="00E9446C">
              <w:rPr>
                <w:sz w:val="16"/>
                <w:szCs w:val="16"/>
                <w:lang w:val="ru-RU"/>
              </w:rPr>
              <w:t>дальнейш</w:t>
            </w:r>
            <w:r>
              <w:rPr>
                <w:sz w:val="16"/>
                <w:szCs w:val="16"/>
                <w:lang w:val="ru-RU"/>
              </w:rPr>
              <w:t>ей</w:t>
            </w:r>
            <w:r w:rsidRPr="00E9446C">
              <w:rPr>
                <w:sz w:val="16"/>
                <w:szCs w:val="16"/>
                <w:lang w:val="ru-RU"/>
              </w:rPr>
              <w:t xml:space="preserve"> </w:t>
            </w:r>
            <w:r>
              <w:rPr>
                <w:sz w:val="16"/>
                <w:szCs w:val="16"/>
                <w:lang w:val="ru-RU"/>
              </w:rPr>
              <w:t>задержке в</w:t>
            </w:r>
            <w:r w:rsidRPr="00E9446C">
              <w:rPr>
                <w:sz w:val="16"/>
                <w:szCs w:val="16"/>
                <w:lang w:val="ru-RU"/>
              </w:rPr>
              <w:t xml:space="preserve"> реализаци</w:t>
            </w:r>
            <w:r>
              <w:rPr>
                <w:sz w:val="16"/>
                <w:szCs w:val="16"/>
                <w:lang w:val="ru-RU"/>
              </w:rPr>
              <w:t xml:space="preserve">и </w:t>
            </w:r>
            <w:r w:rsidRPr="00D12104">
              <w:rPr>
                <w:sz w:val="16"/>
                <w:szCs w:val="16"/>
                <w:lang w:val="ru-RU"/>
              </w:rPr>
              <w:t>проект</w:t>
            </w:r>
            <w:r>
              <w:rPr>
                <w:sz w:val="16"/>
                <w:szCs w:val="16"/>
                <w:lang w:val="ru-RU"/>
              </w:rPr>
              <w:t xml:space="preserve">а. </w:t>
            </w:r>
            <w:r w:rsidRPr="00811395">
              <w:rPr>
                <w:sz w:val="16"/>
                <w:lang w:val="ru-RU"/>
              </w:rPr>
              <w:t>По состоянию на</w:t>
            </w:r>
            <w:r>
              <w:rPr>
                <w:sz w:val="16"/>
                <w:szCs w:val="16"/>
                <w:lang w:val="ru-RU"/>
              </w:rPr>
              <w:t xml:space="preserve"> </w:t>
            </w:r>
            <w:r w:rsidRPr="00D12104">
              <w:rPr>
                <w:sz w:val="16"/>
                <w:szCs w:val="16"/>
                <w:lang w:val="ru-RU"/>
              </w:rPr>
              <w:t>кон</w:t>
            </w:r>
            <w:r>
              <w:rPr>
                <w:sz w:val="16"/>
                <w:szCs w:val="16"/>
                <w:lang w:val="ru-RU"/>
              </w:rPr>
              <w:t>е</w:t>
            </w:r>
            <w:r w:rsidRPr="00D12104">
              <w:rPr>
                <w:sz w:val="16"/>
                <w:szCs w:val="16"/>
                <w:lang w:val="ru-RU"/>
              </w:rPr>
              <w:t xml:space="preserve">ц </w:t>
            </w:r>
            <w:r>
              <w:rPr>
                <w:sz w:val="16"/>
                <w:szCs w:val="16"/>
                <w:lang w:val="ru-RU"/>
              </w:rPr>
              <w:t xml:space="preserve">года </w:t>
            </w:r>
            <w:r w:rsidRPr="00811395">
              <w:rPr>
                <w:rFonts w:cs="Arial"/>
                <w:sz w:val="16"/>
                <w:szCs w:val="16"/>
                <w:lang w:val="ru-RU"/>
              </w:rPr>
              <w:t>расчет</w:t>
            </w:r>
            <w:r>
              <w:rPr>
                <w:sz w:val="16"/>
                <w:szCs w:val="16"/>
                <w:lang w:val="ru-RU"/>
              </w:rPr>
              <w:t xml:space="preserve"> </w:t>
            </w:r>
            <w:r w:rsidRPr="00D12104">
              <w:rPr>
                <w:sz w:val="16"/>
                <w:szCs w:val="16"/>
                <w:lang w:val="ru-RU"/>
              </w:rPr>
              <w:t>необходим</w:t>
            </w:r>
            <w:r>
              <w:rPr>
                <w:sz w:val="16"/>
                <w:szCs w:val="16"/>
                <w:lang w:val="ru-RU"/>
              </w:rPr>
              <w:t xml:space="preserve">ых </w:t>
            </w:r>
            <w:r w:rsidRPr="00811395">
              <w:rPr>
                <w:sz w:val="16"/>
                <w:szCs w:val="16"/>
                <w:lang w:val="ru-RU"/>
              </w:rPr>
              <w:t>площад</w:t>
            </w:r>
            <w:r>
              <w:rPr>
                <w:sz w:val="16"/>
                <w:szCs w:val="16"/>
                <w:lang w:val="ru-RU"/>
              </w:rPr>
              <w:t>ей, согласно</w:t>
            </w:r>
            <w:r w:rsidRPr="00D12104">
              <w:rPr>
                <w:sz w:val="16"/>
                <w:szCs w:val="16"/>
                <w:lang w:val="ru-RU"/>
              </w:rPr>
              <w:t xml:space="preserve"> </w:t>
            </w:r>
            <w:r w:rsidRPr="00333561">
              <w:rPr>
                <w:sz w:val="16"/>
                <w:szCs w:val="16"/>
                <w:lang w:val="ru-RU"/>
              </w:rPr>
              <w:t>запланированн</w:t>
            </w:r>
            <w:r>
              <w:rPr>
                <w:sz w:val="16"/>
                <w:szCs w:val="16"/>
                <w:lang w:val="ru-RU"/>
              </w:rPr>
              <w:t xml:space="preserve">ым </w:t>
            </w:r>
            <w:r w:rsidRPr="00D12104">
              <w:rPr>
                <w:sz w:val="16"/>
                <w:szCs w:val="16"/>
                <w:lang w:val="ru-RU"/>
              </w:rPr>
              <w:t>м</w:t>
            </w:r>
            <w:r>
              <w:rPr>
                <w:sz w:val="16"/>
                <w:szCs w:val="16"/>
                <w:lang w:val="ru-RU"/>
              </w:rPr>
              <w:t>ерам</w:t>
            </w:r>
            <w:r w:rsidRPr="00D12104">
              <w:rPr>
                <w:sz w:val="16"/>
                <w:szCs w:val="16"/>
                <w:lang w:val="ru-RU"/>
              </w:rPr>
              <w:t xml:space="preserve"> по уменьшению риска</w:t>
            </w:r>
            <w:r>
              <w:rPr>
                <w:sz w:val="16"/>
                <w:szCs w:val="16"/>
                <w:lang w:val="ru-RU"/>
              </w:rPr>
              <w:t>,</w:t>
            </w:r>
            <w:r w:rsidRPr="00D12104">
              <w:rPr>
                <w:sz w:val="16"/>
                <w:szCs w:val="16"/>
                <w:lang w:val="ru-RU"/>
              </w:rPr>
              <w:t xml:space="preserve"> </w:t>
            </w:r>
            <w:r>
              <w:rPr>
                <w:sz w:val="16"/>
                <w:szCs w:val="16"/>
                <w:lang w:val="ru-RU"/>
              </w:rPr>
              <w:t xml:space="preserve">был близок к </w:t>
            </w:r>
            <w:r w:rsidRPr="00D12104">
              <w:rPr>
                <w:sz w:val="16"/>
                <w:szCs w:val="16"/>
                <w:lang w:val="ru-RU"/>
              </w:rPr>
              <w:t>завершен</w:t>
            </w:r>
            <w:r>
              <w:rPr>
                <w:sz w:val="16"/>
                <w:szCs w:val="16"/>
                <w:lang w:val="ru-RU"/>
              </w:rPr>
              <w:t>ию</w:t>
            </w:r>
            <w:r w:rsidRPr="00D12104">
              <w:rPr>
                <w:sz w:val="16"/>
                <w:szCs w:val="16"/>
                <w:lang w:val="ru-RU"/>
              </w:rPr>
              <w:t xml:space="preserve">. </w:t>
            </w:r>
            <w:r w:rsidRPr="00333561">
              <w:rPr>
                <w:sz w:val="16"/>
                <w:szCs w:val="16"/>
                <w:lang w:val="ru-RU"/>
              </w:rPr>
              <w:t>В график проекта были внесены дополнительн</w:t>
            </w:r>
            <w:r>
              <w:rPr>
                <w:sz w:val="16"/>
                <w:szCs w:val="16"/>
                <w:lang w:val="ru-RU"/>
              </w:rPr>
              <w:t>ые</w:t>
            </w:r>
            <w:r w:rsidRPr="00333561">
              <w:rPr>
                <w:sz w:val="16"/>
                <w:szCs w:val="16"/>
                <w:lang w:val="ru-RU"/>
              </w:rPr>
              <w:t xml:space="preserve"> изменения</w:t>
            </w:r>
            <w:r w:rsidRPr="00D12104">
              <w:rPr>
                <w:sz w:val="16"/>
                <w:szCs w:val="16"/>
                <w:lang w:val="ru-RU"/>
              </w:rPr>
              <w:t xml:space="preserve">.    </w:t>
            </w:r>
          </w:p>
        </w:tc>
      </w:tr>
      <w:tr w:rsidR="00C85043" w:rsidRPr="005C6ABD" w:rsidTr="00C85043">
        <w:trPr>
          <w:trHeight w:val="776"/>
          <w:jc w:val="center"/>
        </w:trPr>
        <w:tc>
          <w:tcPr>
            <w:tcW w:w="1667" w:type="pct"/>
            <w:shd w:val="clear" w:color="auto" w:fill="auto"/>
          </w:tcPr>
          <w:p w:rsidR="00C85043" w:rsidRPr="00333561" w:rsidRDefault="00C85043" w:rsidP="00C85043">
            <w:pPr>
              <w:autoSpaceDE w:val="0"/>
              <w:autoSpaceDN w:val="0"/>
              <w:adjustRightInd w:val="0"/>
              <w:spacing w:before="40" w:after="40"/>
              <w:rPr>
                <w:noProof/>
                <w:sz w:val="16"/>
                <w:szCs w:val="16"/>
                <w:lang w:val="ru-RU"/>
              </w:rPr>
            </w:pPr>
            <w:r w:rsidRPr="00333561">
              <w:rPr>
                <w:noProof/>
                <w:sz w:val="16"/>
                <w:szCs w:val="16"/>
                <w:lang w:val="ru-RU"/>
              </w:rPr>
              <w:t>Задержк</w:t>
            </w:r>
            <w:r>
              <w:rPr>
                <w:noProof/>
                <w:sz w:val="16"/>
                <w:szCs w:val="16"/>
                <w:lang w:val="ru-RU"/>
              </w:rPr>
              <w:t xml:space="preserve">а в </w:t>
            </w:r>
            <w:r w:rsidRPr="00333561">
              <w:rPr>
                <w:noProof/>
                <w:sz w:val="16"/>
                <w:szCs w:val="16"/>
                <w:lang w:val="ru-RU"/>
              </w:rPr>
              <w:t>выполнени</w:t>
            </w:r>
            <w:r>
              <w:rPr>
                <w:noProof/>
                <w:sz w:val="16"/>
                <w:szCs w:val="16"/>
                <w:lang w:val="ru-RU"/>
              </w:rPr>
              <w:t xml:space="preserve">и </w:t>
            </w:r>
            <w:r w:rsidRPr="00333561">
              <w:rPr>
                <w:noProof/>
                <w:sz w:val="16"/>
                <w:szCs w:val="16"/>
                <w:lang w:val="ru-RU"/>
              </w:rPr>
              <w:t>работ</w:t>
            </w:r>
            <w:r>
              <w:rPr>
                <w:noProof/>
                <w:sz w:val="16"/>
                <w:szCs w:val="16"/>
                <w:lang w:val="ru-RU"/>
              </w:rPr>
              <w:t xml:space="preserve"> </w:t>
            </w:r>
            <w:r w:rsidRPr="00333561">
              <w:rPr>
                <w:noProof/>
                <w:sz w:val="16"/>
                <w:szCs w:val="16"/>
                <w:lang w:val="ru-RU"/>
              </w:rPr>
              <w:t>в связи с техническ</w:t>
            </w:r>
            <w:r>
              <w:rPr>
                <w:noProof/>
                <w:sz w:val="16"/>
                <w:szCs w:val="16"/>
                <w:lang w:val="ru-RU"/>
              </w:rPr>
              <w:t>ой</w:t>
            </w:r>
            <w:r w:rsidRPr="00333561">
              <w:rPr>
                <w:noProof/>
                <w:sz w:val="16"/>
                <w:szCs w:val="16"/>
                <w:lang w:val="ru-RU"/>
              </w:rPr>
              <w:t xml:space="preserve"> </w:t>
            </w:r>
            <w:r>
              <w:rPr>
                <w:noProof/>
                <w:sz w:val="16"/>
                <w:szCs w:val="16"/>
                <w:lang w:val="ru-RU"/>
              </w:rPr>
              <w:t xml:space="preserve">проблемой, которая может возникнуть </w:t>
            </w:r>
            <w:r w:rsidRPr="00333561">
              <w:rPr>
                <w:rFonts w:eastAsia="SimSun" w:cs="Arial"/>
                <w:noProof/>
                <w:sz w:val="16"/>
                <w:szCs w:val="16"/>
                <w:lang w:val="ru-RU"/>
              </w:rPr>
              <w:t>в ходе</w:t>
            </w:r>
            <w:r>
              <w:rPr>
                <w:noProof/>
                <w:sz w:val="16"/>
                <w:szCs w:val="16"/>
                <w:lang w:val="ru-RU"/>
              </w:rPr>
              <w:t xml:space="preserve"> или </w:t>
            </w:r>
            <w:r w:rsidRPr="00333561">
              <w:rPr>
                <w:noProof/>
                <w:sz w:val="16"/>
                <w:szCs w:val="16"/>
                <w:lang w:val="ru-RU"/>
              </w:rPr>
              <w:t>в результате</w:t>
            </w:r>
            <w:r>
              <w:rPr>
                <w:noProof/>
                <w:sz w:val="16"/>
                <w:szCs w:val="16"/>
                <w:lang w:val="ru-RU"/>
              </w:rPr>
              <w:t xml:space="preserve"> демонтажа</w:t>
            </w:r>
            <w:r w:rsidRPr="00333561">
              <w:rPr>
                <w:noProof/>
                <w:sz w:val="16"/>
                <w:szCs w:val="16"/>
                <w:lang w:val="ru-RU"/>
              </w:rPr>
              <w:t xml:space="preserve"> существующ</w:t>
            </w:r>
            <w:r>
              <w:rPr>
                <w:noProof/>
                <w:sz w:val="16"/>
                <w:szCs w:val="16"/>
                <w:lang w:val="ru-RU"/>
              </w:rPr>
              <w:t xml:space="preserve">его </w:t>
            </w:r>
            <w:r w:rsidRPr="00333561">
              <w:rPr>
                <w:noProof/>
                <w:sz w:val="16"/>
                <w:szCs w:val="16"/>
                <w:lang w:val="ru-RU"/>
              </w:rPr>
              <w:t>оборудовани</w:t>
            </w:r>
            <w:r>
              <w:rPr>
                <w:noProof/>
                <w:sz w:val="16"/>
                <w:szCs w:val="16"/>
                <w:lang w:val="ru-RU"/>
              </w:rPr>
              <w:t>я</w:t>
            </w:r>
            <w:r w:rsidRPr="00333561">
              <w:rPr>
                <w:noProof/>
                <w:sz w:val="16"/>
                <w:szCs w:val="16"/>
                <w:lang w:val="ru-RU"/>
              </w:rPr>
              <w:t>.</w:t>
            </w:r>
          </w:p>
        </w:tc>
        <w:tc>
          <w:tcPr>
            <w:tcW w:w="1667" w:type="pct"/>
            <w:shd w:val="clear" w:color="auto" w:fill="auto"/>
          </w:tcPr>
          <w:p w:rsidR="00C85043" w:rsidRPr="00F35F68" w:rsidRDefault="00C85043" w:rsidP="00C85043">
            <w:pPr>
              <w:autoSpaceDE w:val="0"/>
              <w:autoSpaceDN w:val="0"/>
              <w:adjustRightInd w:val="0"/>
              <w:spacing w:before="40" w:after="40"/>
              <w:rPr>
                <w:noProof/>
                <w:sz w:val="16"/>
                <w:szCs w:val="16"/>
                <w:lang w:val="ru-RU"/>
              </w:rPr>
            </w:pPr>
            <w:r w:rsidRPr="009044EE">
              <w:rPr>
                <w:noProof/>
                <w:sz w:val="16"/>
                <w:szCs w:val="16"/>
                <w:lang w:val="ru-RU"/>
              </w:rPr>
              <w:t>Проведение необходимых ремонтных работ и</w:t>
            </w:r>
            <w:r>
              <w:rPr>
                <w:noProof/>
                <w:sz w:val="16"/>
                <w:szCs w:val="16"/>
                <w:lang w:val="ru-RU"/>
              </w:rPr>
              <w:t>,</w:t>
            </w:r>
            <w:r w:rsidRPr="009044EE">
              <w:rPr>
                <w:noProof/>
                <w:sz w:val="16"/>
                <w:szCs w:val="16"/>
                <w:lang w:val="ru-RU"/>
              </w:rPr>
              <w:t xml:space="preserve"> при необходимости</w:t>
            </w:r>
            <w:r>
              <w:rPr>
                <w:noProof/>
                <w:sz w:val="16"/>
                <w:szCs w:val="16"/>
                <w:lang w:val="ru-RU"/>
              </w:rPr>
              <w:t>,</w:t>
            </w:r>
            <w:r w:rsidRPr="009044EE">
              <w:rPr>
                <w:noProof/>
                <w:sz w:val="16"/>
                <w:szCs w:val="16"/>
                <w:lang w:val="ru-RU"/>
              </w:rPr>
              <w:t xml:space="preserve"> корректировка </w:t>
            </w:r>
            <w:r>
              <w:rPr>
                <w:noProof/>
                <w:sz w:val="16"/>
                <w:szCs w:val="16"/>
                <w:lang w:val="ru-RU"/>
              </w:rPr>
              <w:t>графика</w:t>
            </w:r>
            <w:r w:rsidRPr="009044EE">
              <w:rPr>
                <w:noProof/>
                <w:sz w:val="16"/>
                <w:szCs w:val="16"/>
                <w:lang w:val="ru-RU"/>
              </w:rPr>
              <w:t xml:space="preserve"> работ.</w:t>
            </w:r>
          </w:p>
        </w:tc>
        <w:tc>
          <w:tcPr>
            <w:tcW w:w="1666" w:type="pct"/>
            <w:shd w:val="clear" w:color="auto" w:fill="auto"/>
          </w:tcPr>
          <w:p w:rsidR="00C85043" w:rsidRPr="00F35F68" w:rsidRDefault="00C85043" w:rsidP="00C85043">
            <w:pPr>
              <w:autoSpaceDE w:val="0"/>
              <w:autoSpaceDN w:val="0"/>
              <w:adjustRightInd w:val="0"/>
              <w:spacing w:before="40" w:after="40"/>
              <w:rPr>
                <w:noProof/>
                <w:sz w:val="16"/>
                <w:szCs w:val="16"/>
                <w:lang w:val="ru-RU"/>
              </w:rPr>
            </w:pPr>
          </w:p>
        </w:tc>
      </w:tr>
      <w:tr w:rsidR="00C85043" w:rsidRPr="005C6ABD" w:rsidTr="00C85043">
        <w:trPr>
          <w:trHeight w:val="776"/>
          <w:jc w:val="center"/>
        </w:trPr>
        <w:tc>
          <w:tcPr>
            <w:tcW w:w="1667" w:type="pct"/>
            <w:shd w:val="clear" w:color="auto" w:fill="auto"/>
          </w:tcPr>
          <w:p w:rsidR="00C85043" w:rsidRPr="00AB735C" w:rsidRDefault="00C85043" w:rsidP="00C85043">
            <w:pPr>
              <w:autoSpaceDE w:val="0"/>
              <w:autoSpaceDN w:val="0"/>
              <w:adjustRightInd w:val="0"/>
              <w:spacing w:before="40" w:after="40"/>
              <w:rPr>
                <w:noProof/>
                <w:sz w:val="16"/>
                <w:szCs w:val="16"/>
                <w:lang w:val="ru-RU"/>
              </w:rPr>
            </w:pPr>
            <w:r w:rsidRPr="00AB735C">
              <w:rPr>
                <w:noProof/>
                <w:sz w:val="16"/>
                <w:szCs w:val="16"/>
                <w:lang w:val="ru-RU"/>
              </w:rPr>
              <w:t>Финансовый риск</w:t>
            </w:r>
            <w:r>
              <w:rPr>
                <w:noProof/>
                <w:sz w:val="16"/>
                <w:szCs w:val="16"/>
                <w:lang w:val="ru-RU"/>
              </w:rPr>
              <w:t xml:space="preserve">, связанный с затратами по </w:t>
            </w:r>
            <w:r w:rsidRPr="00AB735C">
              <w:rPr>
                <w:noProof/>
                <w:sz w:val="16"/>
                <w:szCs w:val="16"/>
                <w:lang w:val="ru-RU"/>
              </w:rPr>
              <w:t>частичн</w:t>
            </w:r>
            <w:r>
              <w:rPr>
                <w:noProof/>
                <w:sz w:val="16"/>
                <w:szCs w:val="16"/>
                <w:lang w:val="ru-RU"/>
              </w:rPr>
              <w:t xml:space="preserve">ому </w:t>
            </w:r>
            <w:r w:rsidRPr="00AB735C">
              <w:rPr>
                <w:noProof/>
                <w:sz w:val="16"/>
                <w:szCs w:val="16"/>
                <w:lang w:val="ru-RU"/>
              </w:rPr>
              <w:t>временн</w:t>
            </w:r>
            <w:r>
              <w:rPr>
                <w:noProof/>
                <w:sz w:val="16"/>
                <w:szCs w:val="16"/>
                <w:lang w:val="ru-RU"/>
              </w:rPr>
              <w:t>ому</w:t>
            </w:r>
            <w:r w:rsidRPr="00AB735C">
              <w:rPr>
                <w:noProof/>
                <w:sz w:val="16"/>
                <w:szCs w:val="16"/>
                <w:lang w:val="ru-RU"/>
              </w:rPr>
              <w:t xml:space="preserve"> </w:t>
            </w:r>
            <w:r>
              <w:rPr>
                <w:noProof/>
                <w:sz w:val="16"/>
                <w:szCs w:val="16"/>
                <w:lang w:val="ru-RU"/>
              </w:rPr>
              <w:t xml:space="preserve">переводу </w:t>
            </w:r>
            <w:r w:rsidRPr="00333561">
              <w:rPr>
                <w:noProof/>
                <w:sz w:val="16"/>
                <w:szCs w:val="16"/>
                <w:lang w:val="ru-RU"/>
              </w:rPr>
              <w:t>сотрудник</w:t>
            </w:r>
            <w:r>
              <w:rPr>
                <w:noProof/>
                <w:sz w:val="16"/>
                <w:szCs w:val="16"/>
                <w:lang w:val="ru-RU"/>
              </w:rPr>
              <w:t xml:space="preserve">ов </w:t>
            </w:r>
            <w:r w:rsidRPr="008367BB">
              <w:rPr>
                <w:noProof/>
                <w:sz w:val="16"/>
                <w:szCs w:val="16"/>
                <w:lang w:val="ru-RU"/>
              </w:rPr>
              <w:t xml:space="preserve">типографии </w:t>
            </w:r>
            <w:r w:rsidRPr="00AB735C">
              <w:rPr>
                <w:noProof/>
                <w:sz w:val="16"/>
                <w:szCs w:val="16"/>
                <w:lang w:val="ru-RU"/>
              </w:rPr>
              <w:t xml:space="preserve">и </w:t>
            </w:r>
            <w:r>
              <w:rPr>
                <w:noProof/>
                <w:sz w:val="16"/>
                <w:szCs w:val="16"/>
                <w:lang w:val="ru-RU"/>
              </w:rPr>
              <w:t xml:space="preserve">архива в другие </w:t>
            </w:r>
            <w:r w:rsidRPr="00333561">
              <w:rPr>
                <w:noProof/>
                <w:sz w:val="16"/>
                <w:lang w:val="ru-RU"/>
              </w:rPr>
              <w:t>помещени</w:t>
            </w:r>
            <w:r>
              <w:rPr>
                <w:noProof/>
                <w:sz w:val="16"/>
                <w:szCs w:val="16"/>
                <w:lang w:val="ru-RU"/>
              </w:rPr>
              <w:t>я</w:t>
            </w:r>
            <w:r w:rsidRPr="00AB735C">
              <w:rPr>
                <w:noProof/>
                <w:sz w:val="16"/>
                <w:szCs w:val="16"/>
                <w:lang w:val="ru-RU"/>
              </w:rPr>
              <w:t>.</w:t>
            </w:r>
          </w:p>
        </w:tc>
        <w:tc>
          <w:tcPr>
            <w:tcW w:w="1667" w:type="pct"/>
            <w:shd w:val="clear" w:color="auto" w:fill="auto"/>
          </w:tcPr>
          <w:p w:rsidR="00C85043" w:rsidRPr="00F35F68" w:rsidRDefault="00C85043" w:rsidP="00C85043">
            <w:pPr>
              <w:autoSpaceDE w:val="0"/>
              <w:autoSpaceDN w:val="0"/>
              <w:adjustRightInd w:val="0"/>
              <w:spacing w:before="40" w:after="40"/>
              <w:rPr>
                <w:noProof/>
                <w:sz w:val="16"/>
                <w:szCs w:val="16"/>
                <w:lang w:val="ru-RU"/>
              </w:rPr>
            </w:pPr>
            <w:r w:rsidRPr="009044EE">
              <w:rPr>
                <w:noProof/>
                <w:sz w:val="16"/>
                <w:szCs w:val="16"/>
                <w:lang w:val="ru-RU"/>
              </w:rPr>
              <w:t>Использование статьи «Разные и непредвиденные расходы» утвержденного бюджета</w:t>
            </w:r>
          </w:p>
        </w:tc>
        <w:tc>
          <w:tcPr>
            <w:tcW w:w="1666" w:type="pct"/>
            <w:shd w:val="clear" w:color="auto" w:fill="auto"/>
          </w:tcPr>
          <w:p w:rsidR="00C85043" w:rsidRPr="00F35F68" w:rsidRDefault="00C85043" w:rsidP="00C85043">
            <w:pPr>
              <w:autoSpaceDE w:val="0"/>
              <w:autoSpaceDN w:val="0"/>
              <w:adjustRightInd w:val="0"/>
              <w:spacing w:before="40" w:after="40"/>
              <w:rPr>
                <w:noProof/>
                <w:sz w:val="16"/>
                <w:szCs w:val="16"/>
                <w:lang w:val="ru-RU"/>
              </w:rPr>
            </w:pPr>
          </w:p>
        </w:tc>
      </w:tr>
    </w:tbl>
    <w:p w:rsidR="00C85043" w:rsidRPr="00F35F68" w:rsidRDefault="00C85043" w:rsidP="00C85043">
      <w:pPr>
        <w:rPr>
          <w:rFonts w:cs="Arial"/>
          <w:noProof/>
          <w:color w:val="000000"/>
          <w:szCs w:val="22"/>
          <w:lang w:val="ru-RU"/>
        </w:rPr>
      </w:pPr>
    </w:p>
    <w:p w:rsidR="00C85043" w:rsidRPr="00F35F68" w:rsidRDefault="00C85043" w:rsidP="00C85043">
      <w:pPr>
        <w:rPr>
          <w:rFonts w:cs="Arial"/>
          <w:noProof/>
          <w:color w:val="000000"/>
          <w:szCs w:val="22"/>
          <w:lang w:val="ru-RU"/>
        </w:rPr>
      </w:pPr>
    </w:p>
    <w:p w:rsidR="00C85043" w:rsidRPr="00715C25" w:rsidRDefault="00C85043" w:rsidP="00C85043">
      <w:pPr>
        <w:rPr>
          <w:rFonts w:cs="Arial"/>
          <w:noProof/>
          <w:color w:val="000000"/>
          <w:szCs w:val="22"/>
          <w:lang w:val="ru-RU"/>
        </w:rPr>
      </w:pPr>
      <w:r>
        <w:rPr>
          <w:rFonts w:cs="Arial"/>
          <w:noProof/>
          <w:color w:val="000000"/>
          <w:szCs w:val="22"/>
          <w:lang w:val="ru-RU"/>
        </w:rPr>
        <w:t>СРОКИ ОСУЩЕСТВЛЕНИЯ ПРОЕКТА В РАЗБИВКЕ ПО ОСНОВНЫМ РЕЗУЛЬТАТАМ</w:t>
      </w:r>
    </w:p>
    <w:p w:rsidR="00C85043" w:rsidRPr="00715C25" w:rsidRDefault="00C85043" w:rsidP="00C85043">
      <w:pPr>
        <w:autoSpaceDE w:val="0"/>
        <w:autoSpaceDN w:val="0"/>
        <w:jc w:val="both"/>
        <w:rPr>
          <w:noProof/>
          <w:sz w:val="18"/>
          <w:lang w:val="ru-RU"/>
        </w:rPr>
      </w:pPr>
    </w:p>
    <w:p w:rsidR="00C85043" w:rsidRPr="00715C25" w:rsidRDefault="00C85043" w:rsidP="00C85043">
      <w:pPr>
        <w:autoSpaceDE w:val="0"/>
        <w:autoSpaceDN w:val="0"/>
        <w:jc w:val="both"/>
        <w:rPr>
          <w:noProof/>
          <w:sz w:val="18"/>
          <w:lang w:val="ru-RU"/>
        </w:rPr>
      </w:pPr>
    </w:p>
    <w:tbl>
      <w:tblPr>
        <w:tblW w:w="9520" w:type="dxa"/>
        <w:jc w:val="center"/>
        <w:tblLook w:val="04A0" w:firstRow="1" w:lastRow="0" w:firstColumn="1" w:lastColumn="0" w:noHBand="0" w:noVBand="1"/>
      </w:tblPr>
      <w:tblGrid>
        <w:gridCol w:w="1840"/>
        <w:gridCol w:w="480"/>
        <w:gridCol w:w="480"/>
        <w:gridCol w:w="480"/>
        <w:gridCol w:w="480"/>
        <w:gridCol w:w="480"/>
        <w:gridCol w:w="480"/>
        <w:gridCol w:w="480"/>
        <w:gridCol w:w="480"/>
        <w:gridCol w:w="480"/>
        <w:gridCol w:w="480"/>
        <w:gridCol w:w="480"/>
        <w:gridCol w:w="480"/>
        <w:gridCol w:w="480"/>
        <w:gridCol w:w="480"/>
        <w:gridCol w:w="480"/>
        <w:gridCol w:w="480"/>
      </w:tblGrid>
      <w:tr w:rsidR="00C85043" w:rsidRPr="004E3CEE" w:rsidTr="00C85043">
        <w:trPr>
          <w:trHeight w:val="270"/>
          <w:jc w:val="center"/>
        </w:trPr>
        <w:tc>
          <w:tcPr>
            <w:tcW w:w="1840" w:type="dxa"/>
            <w:tcBorders>
              <w:top w:val="nil"/>
              <w:left w:val="nil"/>
              <w:bottom w:val="nil"/>
              <w:right w:val="nil"/>
            </w:tcBorders>
            <w:shd w:val="clear" w:color="auto" w:fill="auto"/>
            <w:noWrap/>
            <w:vAlign w:val="bottom"/>
          </w:tcPr>
          <w:p w:rsidR="00C85043" w:rsidRPr="00715C25" w:rsidRDefault="00C85043" w:rsidP="00C85043">
            <w:pPr>
              <w:rPr>
                <w:rFonts w:cs="Arial"/>
                <w:noProof/>
                <w:color w:val="000000"/>
                <w:sz w:val="16"/>
                <w:szCs w:val="16"/>
                <w:lang w:val="ru-RU"/>
              </w:rPr>
            </w:pPr>
          </w:p>
        </w:tc>
        <w:tc>
          <w:tcPr>
            <w:tcW w:w="1920" w:type="dxa"/>
            <w:gridSpan w:val="4"/>
            <w:tcBorders>
              <w:top w:val="single" w:sz="8" w:space="0" w:color="auto"/>
              <w:left w:val="single" w:sz="8" w:space="0" w:color="auto"/>
              <w:bottom w:val="single" w:sz="4" w:space="0" w:color="auto"/>
              <w:right w:val="single" w:sz="8" w:space="0" w:color="000000"/>
            </w:tcBorders>
            <w:shd w:val="clear" w:color="auto" w:fill="C6D9F1"/>
            <w:noWrap/>
            <w:vAlign w:val="bottom"/>
          </w:tcPr>
          <w:p w:rsidR="00C85043" w:rsidRPr="00F35F68" w:rsidRDefault="00C85043" w:rsidP="00C85043">
            <w:pPr>
              <w:jc w:val="center"/>
              <w:rPr>
                <w:rFonts w:cs="Arial"/>
                <w:b/>
                <w:bCs/>
                <w:noProof/>
                <w:color w:val="000000"/>
                <w:sz w:val="16"/>
                <w:szCs w:val="16"/>
                <w:lang w:val="ru-RU"/>
              </w:rPr>
            </w:pPr>
            <w:r>
              <w:rPr>
                <w:rFonts w:cs="Arial"/>
                <w:b/>
                <w:bCs/>
                <w:noProof/>
                <w:color w:val="000000"/>
                <w:sz w:val="16"/>
                <w:szCs w:val="16"/>
              </w:rPr>
              <w:t>2014 г.</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3962D0" w:rsidRDefault="00C85043" w:rsidP="00C85043">
            <w:pPr>
              <w:jc w:val="center"/>
              <w:rPr>
                <w:rFonts w:cs="Arial"/>
                <w:b/>
                <w:bCs/>
                <w:noProof/>
                <w:color w:val="000000"/>
                <w:sz w:val="16"/>
                <w:szCs w:val="16"/>
              </w:rPr>
            </w:pPr>
            <w:r w:rsidRPr="003962D0">
              <w:rPr>
                <w:rFonts w:cs="Arial"/>
                <w:b/>
                <w:bCs/>
                <w:noProof/>
                <w:color w:val="000000"/>
                <w:sz w:val="16"/>
                <w:szCs w:val="16"/>
              </w:rPr>
              <w:t>2015</w:t>
            </w:r>
            <w:r>
              <w:rPr>
                <w:rFonts w:cs="Arial"/>
                <w:b/>
                <w:bCs/>
                <w:noProof/>
                <w:color w:val="000000"/>
                <w:sz w:val="16"/>
                <w:szCs w:val="16"/>
                <w:lang w:val="ru-RU"/>
              </w:rPr>
              <w:t xml:space="preserve"> г.</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3962D0" w:rsidRDefault="00C85043" w:rsidP="00C85043">
            <w:pPr>
              <w:jc w:val="center"/>
              <w:rPr>
                <w:rFonts w:cs="Arial"/>
                <w:b/>
                <w:bCs/>
                <w:noProof/>
                <w:color w:val="000000"/>
                <w:sz w:val="16"/>
                <w:szCs w:val="16"/>
              </w:rPr>
            </w:pPr>
            <w:r w:rsidRPr="003962D0">
              <w:rPr>
                <w:rFonts w:cs="Arial"/>
                <w:b/>
                <w:bCs/>
                <w:noProof/>
                <w:color w:val="000000"/>
                <w:sz w:val="16"/>
                <w:szCs w:val="16"/>
              </w:rPr>
              <w:t>2016</w:t>
            </w:r>
            <w:r>
              <w:rPr>
                <w:rFonts w:cs="Arial"/>
                <w:b/>
                <w:bCs/>
                <w:noProof/>
                <w:color w:val="000000"/>
                <w:sz w:val="16"/>
                <w:szCs w:val="16"/>
                <w:lang w:val="ru-RU"/>
              </w:rPr>
              <w:t xml:space="preserve"> г.</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3962D0" w:rsidRDefault="00C85043" w:rsidP="00C85043">
            <w:pPr>
              <w:jc w:val="center"/>
              <w:rPr>
                <w:rFonts w:cs="Arial"/>
                <w:b/>
                <w:bCs/>
                <w:noProof/>
                <w:color w:val="000000"/>
                <w:sz w:val="16"/>
                <w:szCs w:val="16"/>
              </w:rPr>
            </w:pPr>
            <w:r w:rsidRPr="003962D0">
              <w:rPr>
                <w:rFonts w:cs="Arial"/>
                <w:b/>
                <w:bCs/>
                <w:noProof/>
                <w:color w:val="000000"/>
                <w:sz w:val="16"/>
                <w:szCs w:val="16"/>
              </w:rPr>
              <w:t>2017</w:t>
            </w:r>
            <w:r>
              <w:rPr>
                <w:rFonts w:cs="Arial"/>
                <w:b/>
                <w:bCs/>
                <w:noProof/>
                <w:color w:val="000000"/>
                <w:sz w:val="16"/>
                <w:szCs w:val="16"/>
                <w:lang w:val="ru-RU"/>
              </w:rPr>
              <w:t xml:space="preserve"> г.</w:t>
            </w:r>
          </w:p>
        </w:tc>
      </w:tr>
      <w:tr w:rsidR="00C85043" w:rsidRPr="004E3CEE" w:rsidTr="00C85043">
        <w:trPr>
          <w:trHeight w:val="375"/>
          <w:jc w:val="center"/>
        </w:trPr>
        <w:tc>
          <w:tcPr>
            <w:tcW w:w="1840"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C85043" w:rsidRPr="003962D0" w:rsidRDefault="00C85043" w:rsidP="00C85043">
            <w:pPr>
              <w:spacing w:before="40" w:after="40"/>
              <w:rPr>
                <w:rFonts w:cs="Arial"/>
                <w:b/>
                <w:bCs/>
                <w:noProof/>
                <w:color w:val="000000"/>
                <w:sz w:val="16"/>
                <w:szCs w:val="16"/>
              </w:rPr>
            </w:pPr>
            <w:r>
              <w:rPr>
                <w:rFonts w:cs="Arial"/>
                <w:b/>
                <w:bCs/>
                <w:noProof/>
                <w:color w:val="000000"/>
                <w:sz w:val="16"/>
                <w:szCs w:val="16"/>
              </w:rPr>
              <w:t>Основной результат</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sz w:val="16"/>
                <w:szCs w:val="16"/>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sz w:val="16"/>
                <w:szCs w:val="16"/>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sz w:val="16"/>
                <w:szCs w:val="16"/>
              </w:rPr>
              <w:t>III кв.</w:t>
            </w:r>
          </w:p>
        </w:tc>
        <w:tc>
          <w:tcPr>
            <w:tcW w:w="480" w:type="dxa"/>
            <w:tcBorders>
              <w:top w:val="nil"/>
              <w:left w:val="nil"/>
              <w:bottom w:val="single" w:sz="4" w:space="0" w:color="auto"/>
              <w:right w:val="single" w:sz="8"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sz w:val="16"/>
                <w:szCs w:val="16"/>
              </w:rPr>
              <w:t>IV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III кв.</w:t>
            </w:r>
          </w:p>
        </w:tc>
        <w:tc>
          <w:tcPr>
            <w:tcW w:w="480" w:type="dxa"/>
            <w:tcBorders>
              <w:top w:val="nil"/>
              <w:left w:val="nil"/>
              <w:bottom w:val="single" w:sz="4" w:space="0" w:color="auto"/>
              <w:right w:val="single" w:sz="8"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IV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III кв.</w:t>
            </w:r>
          </w:p>
        </w:tc>
        <w:tc>
          <w:tcPr>
            <w:tcW w:w="480" w:type="dxa"/>
            <w:tcBorders>
              <w:top w:val="nil"/>
              <w:left w:val="nil"/>
              <w:bottom w:val="single" w:sz="4" w:space="0" w:color="auto"/>
              <w:right w:val="single" w:sz="8"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IV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III кв.</w:t>
            </w:r>
          </w:p>
        </w:tc>
        <w:tc>
          <w:tcPr>
            <w:tcW w:w="480" w:type="dxa"/>
            <w:tcBorders>
              <w:top w:val="nil"/>
              <w:left w:val="nil"/>
              <w:bottom w:val="single" w:sz="4" w:space="0" w:color="auto"/>
              <w:right w:val="single" w:sz="8" w:space="0" w:color="auto"/>
            </w:tcBorders>
            <w:shd w:val="clear" w:color="auto" w:fill="C6D9F1"/>
            <w:noWrap/>
            <w:vAlign w:val="bottom"/>
          </w:tcPr>
          <w:p w:rsidR="00C85043" w:rsidRPr="003962D0" w:rsidRDefault="00C85043" w:rsidP="00C85043">
            <w:pPr>
              <w:spacing w:before="40" w:after="40"/>
              <w:jc w:val="center"/>
              <w:rPr>
                <w:rFonts w:cs="Arial"/>
                <w:b/>
                <w:bCs/>
                <w:noProof/>
                <w:color w:val="000000"/>
                <w:sz w:val="16"/>
                <w:szCs w:val="16"/>
              </w:rPr>
            </w:pPr>
            <w:r>
              <w:rPr>
                <w:rFonts w:cs="Arial"/>
                <w:b/>
                <w:bCs/>
                <w:noProof/>
                <w:color w:val="000000"/>
                <w:sz w:val="16"/>
                <w:szCs w:val="16"/>
              </w:rPr>
              <w:t>IV кв.</w:t>
            </w:r>
          </w:p>
        </w:tc>
      </w:tr>
      <w:tr w:rsidR="00C85043" w:rsidRPr="00BD06DF" w:rsidTr="00C85043">
        <w:trPr>
          <w:trHeight w:val="615"/>
          <w:jc w:val="center"/>
        </w:trPr>
        <w:tc>
          <w:tcPr>
            <w:tcW w:w="1840" w:type="dxa"/>
            <w:tcBorders>
              <w:top w:val="nil"/>
              <w:left w:val="single" w:sz="8" w:space="0" w:color="auto"/>
              <w:bottom w:val="single" w:sz="4" w:space="0" w:color="auto"/>
              <w:right w:val="single" w:sz="8" w:space="0" w:color="auto"/>
            </w:tcBorders>
            <w:shd w:val="clear" w:color="auto" w:fill="auto"/>
            <w:noWrap/>
            <w:vAlign w:val="center"/>
          </w:tcPr>
          <w:p w:rsidR="00C85043" w:rsidRPr="004F4F1E" w:rsidRDefault="00C85043" w:rsidP="00C85043">
            <w:pPr>
              <w:spacing w:before="40" w:after="40"/>
              <w:rPr>
                <w:rFonts w:cs="Arial"/>
                <w:noProof/>
                <w:sz w:val="16"/>
                <w:szCs w:val="16"/>
                <w:lang w:val="ru-RU"/>
              </w:rPr>
            </w:pPr>
            <w:r>
              <w:rPr>
                <w:rFonts w:cs="Arial"/>
                <w:noProof/>
                <w:sz w:val="16"/>
                <w:szCs w:val="16"/>
                <w:lang w:val="ru-RU"/>
              </w:rPr>
              <w:t xml:space="preserve">Определение </w:t>
            </w:r>
            <w:r w:rsidRPr="009044EE">
              <w:rPr>
                <w:rFonts w:cs="Arial"/>
                <w:noProof/>
                <w:sz w:val="16"/>
                <w:szCs w:val="16"/>
                <w:lang w:val="ru-RU"/>
              </w:rPr>
              <w:t>целей проекта</w:t>
            </w:r>
            <w:r>
              <w:rPr>
                <w:rFonts w:cs="Arial"/>
                <w:noProof/>
                <w:sz w:val="16"/>
                <w:szCs w:val="16"/>
                <w:lang w:val="ru-RU"/>
              </w:rPr>
              <w:t xml:space="preserve"> </w:t>
            </w:r>
            <w:r w:rsidRPr="004F4F1E">
              <w:rPr>
                <w:rFonts w:cs="Arial"/>
                <w:noProof/>
                <w:sz w:val="16"/>
                <w:szCs w:val="16"/>
                <w:lang w:val="ru-RU"/>
              </w:rPr>
              <w:t>руководст</w:t>
            </w:r>
            <w:r>
              <w:rPr>
                <w:rFonts w:cs="Arial"/>
                <w:noProof/>
                <w:sz w:val="16"/>
                <w:szCs w:val="16"/>
                <w:lang w:val="ru-RU"/>
              </w:rPr>
              <w:t xml:space="preserve">вом </w:t>
            </w:r>
            <w:r w:rsidRPr="004F4F1E">
              <w:rPr>
                <w:rFonts w:cs="Arial"/>
                <w:noProof/>
                <w:sz w:val="16"/>
                <w:szCs w:val="16"/>
                <w:lang w:val="ru-RU"/>
              </w:rPr>
              <w:t>Организаци</w:t>
            </w:r>
            <w:r>
              <w:rPr>
                <w:rFonts w:cs="Arial"/>
                <w:noProof/>
                <w:sz w:val="16"/>
                <w:szCs w:val="16"/>
                <w:lang w:val="ru-RU"/>
              </w:rPr>
              <w:t>и</w:t>
            </w:r>
          </w:p>
        </w:tc>
        <w:tc>
          <w:tcPr>
            <w:tcW w:w="480" w:type="dxa"/>
            <w:tcBorders>
              <w:top w:val="nil"/>
              <w:left w:val="nil"/>
              <w:bottom w:val="single" w:sz="4" w:space="0" w:color="auto"/>
              <w:right w:val="single" w:sz="4" w:space="0" w:color="auto"/>
            </w:tcBorders>
            <w:shd w:val="clear" w:color="auto" w:fill="auto"/>
            <w:noWrap/>
            <w:vAlign w:val="bottom"/>
          </w:tcPr>
          <w:p w:rsidR="00C85043" w:rsidRPr="004F4F1E" w:rsidRDefault="00C85043" w:rsidP="00C85043">
            <w:pPr>
              <w:spacing w:before="40" w:after="40"/>
              <w:rPr>
                <w:rFonts w:cs="Arial"/>
                <w:noProof/>
                <w:sz w:val="16"/>
                <w:szCs w:val="16"/>
                <w:lang w:val="ru-RU"/>
              </w:rPr>
            </w:pPr>
            <w:r w:rsidRPr="00BD06DF">
              <w:rPr>
                <w:rFonts w:cs="Arial"/>
                <w:noProof/>
                <w:sz w:val="16"/>
                <w:szCs w:val="16"/>
              </w:rPr>
              <w:t> </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r>
      <w:tr w:rsidR="00C85043" w:rsidRPr="00BD06DF" w:rsidTr="00C85043">
        <w:trPr>
          <w:trHeight w:val="615"/>
          <w:jc w:val="center"/>
        </w:trPr>
        <w:tc>
          <w:tcPr>
            <w:tcW w:w="1840" w:type="dxa"/>
            <w:tcBorders>
              <w:top w:val="nil"/>
              <w:left w:val="single" w:sz="8" w:space="0" w:color="auto"/>
              <w:bottom w:val="single" w:sz="4" w:space="0" w:color="auto"/>
              <w:right w:val="single" w:sz="8" w:space="0" w:color="auto"/>
            </w:tcBorders>
            <w:shd w:val="clear" w:color="auto" w:fill="auto"/>
            <w:noWrap/>
            <w:vAlign w:val="center"/>
          </w:tcPr>
          <w:p w:rsidR="00C85043" w:rsidRPr="00BD06DF" w:rsidRDefault="00C85043" w:rsidP="00C85043">
            <w:pPr>
              <w:spacing w:before="40" w:after="40"/>
              <w:rPr>
                <w:rFonts w:cs="Arial"/>
                <w:noProof/>
                <w:sz w:val="16"/>
                <w:szCs w:val="16"/>
              </w:rPr>
            </w:pPr>
            <w:r w:rsidRPr="00F35F68">
              <w:rPr>
                <w:rFonts w:cs="Arial"/>
                <w:noProof/>
                <w:sz w:val="16"/>
                <w:szCs w:val="16"/>
              </w:rPr>
              <w:t>Заключение контрактов с архитектором</w:t>
            </w:r>
          </w:p>
        </w:tc>
        <w:tc>
          <w:tcPr>
            <w:tcW w:w="480" w:type="dxa"/>
            <w:tcBorders>
              <w:top w:val="nil"/>
              <w:left w:val="nil"/>
              <w:bottom w:val="single" w:sz="4" w:space="0" w:color="auto"/>
              <w:right w:val="single" w:sz="4" w:space="0" w:color="auto"/>
            </w:tcBorders>
            <w:shd w:val="clear" w:color="auto" w:fill="auto"/>
            <w:noWrap/>
            <w:vAlign w:val="bottom"/>
          </w:tcPr>
          <w:p w:rsidR="00C85043" w:rsidRPr="00BD06DF" w:rsidRDefault="00C85043" w:rsidP="00C85043">
            <w:pPr>
              <w:spacing w:before="40" w:after="40"/>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B06355" w:rsidRDefault="00C85043" w:rsidP="00C85043">
            <w:pPr>
              <w:spacing w:before="40" w:after="40"/>
              <w:jc w:val="center"/>
              <w:rPr>
                <w:rFonts w:cs="Arial"/>
                <w:noProof/>
                <w:color w:val="243F60"/>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06355" w:rsidRDefault="00C85043" w:rsidP="00C85043">
            <w:pPr>
              <w:spacing w:before="40" w:after="40"/>
              <w:jc w:val="center"/>
              <w:rPr>
                <w:rFonts w:cs="Arial"/>
                <w:noProof/>
                <w:color w:val="243F60"/>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06355" w:rsidRDefault="00C85043" w:rsidP="00C85043">
            <w:pPr>
              <w:spacing w:before="40" w:after="40"/>
              <w:jc w:val="center"/>
              <w:rPr>
                <w:rFonts w:cs="Arial"/>
                <w:noProof/>
                <w:color w:val="243F60"/>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b/>
                <w:bCs/>
                <w:noProof/>
                <w:kern w:val="32"/>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r>
      <w:tr w:rsidR="00C85043" w:rsidRPr="00BD06DF" w:rsidTr="00C85043">
        <w:trPr>
          <w:trHeight w:val="615"/>
          <w:jc w:val="center"/>
        </w:trPr>
        <w:tc>
          <w:tcPr>
            <w:tcW w:w="1840" w:type="dxa"/>
            <w:tcBorders>
              <w:top w:val="nil"/>
              <w:left w:val="single" w:sz="8" w:space="0" w:color="auto"/>
              <w:bottom w:val="single" w:sz="4" w:space="0" w:color="auto"/>
              <w:right w:val="single" w:sz="8" w:space="0" w:color="auto"/>
            </w:tcBorders>
            <w:shd w:val="clear" w:color="auto" w:fill="auto"/>
            <w:noWrap/>
            <w:vAlign w:val="center"/>
          </w:tcPr>
          <w:p w:rsidR="00C85043" w:rsidRPr="00BD06DF" w:rsidRDefault="00C85043" w:rsidP="00C85043">
            <w:pPr>
              <w:spacing w:before="40" w:after="40"/>
              <w:rPr>
                <w:rFonts w:cs="Arial"/>
                <w:noProof/>
                <w:sz w:val="16"/>
                <w:szCs w:val="16"/>
              </w:rPr>
            </w:pPr>
            <w:r w:rsidRPr="00F35F68">
              <w:rPr>
                <w:rFonts w:cs="Arial"/>
                <w:noProof/>
                <w:sz w:val="16"/>
                <w:szCs w:val="16"/>
              </w:rPr>
              <w:t>Заключение контрактов с инженерами</w:t>
            </w:r>
          </w:p>
        </w:tc>
        <w:tc>
          <w:tcPr>
            <w:tcW w:w="480" w:type="dxa"/>
            <w:tcBorders>
              <w:top w:val="nil"/>
              <w:left w:val="nil"/>
              <w:bottom w:val="single" w:sz="4" w:space="0" w:color="auto"/>
              <w:right w:val="single" w:sz="4" w:space="0" w:color="auto"/>
            </w:tcBorders>
            <w:shd w:val="clear" w:color="auto" w:fill="auto"/>
            <w:noWrap/>
            <w:vAlign w:val="bottom"/>
          </w:tcPr>
          <w:p w:rsidR="00C85043" w:rsidRPr="00BD06DF" w:rsidRDefault="00C85043" w:rsidP="00C85043">
            <w:pPr>
              <w:spacing w:before="40" w:after="40"/>
              <w:rPr>
                <w:rFonts w:cs="Arial"/>
                <w:noProof/>
                <w:sz w:val="16"/>
                <w:szCs w:val="16"/>
              </w:rPr>
            </w:pPr>
            <w:r w:rsidRPr="00BD06DF">
              <w:rPr>
                <w:rFonts w:cs="Arial"/>
                <w:noProof/>
                <w:sz w:val="16"/>
                <w:szCs w:val="16"/>
              </w:rPr>
              <w:t> </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r>
      <w:tr w:rsidR="00C85043" w:rsidRPr="00BD06DF" w:rsidTr="00C85043">
        <w:trPr>
          <w:trHeight w:val="615"/>
          <w:jc w:val="center"/>
        </w:trPr>
        <w:tc>
          <w:tcPr>
            <w:tcW w:w="1840" w:type="dxa"/>
            <w:tcBorders>
              <w:top w:val="nil"/>
              <w:left w:val="single" w:sz="8" w:space="0" w:color="auto"/>
              <w:bottom w:val="single" w:sz="4" w:space="0" w:color="auto"/>
              <w:right w:val="single" w:sz="8" w:space="0" w:color="auto"/>
            </w:tcBorders>
            <w:shd w:val="clear" w:color="auto" w:fill="auto"/>
            <w:noWrap/>
            <w:vAlign w:val="center"/>
          </w:tcPr>
          <w:p w:rsidR="00C85043" w:rsidRPr="00F35F68" w:rsidRDefault="00C85043" w:rsidP="00C85043">
            <w:pPr>
              <w:spacing w:before="40" w:after="40"/>
              <w:rPr>
                <w:rFonts w:cs="Arial"/>
                <w:noProof/>
                <w:sz w:val="16"/>
                <w:szCs w:val="16"/>
                <w:lang w:val="ru-RU"/>
              </w:rPr>
            </w:pPr>
            <w:r>
              <w:rPr>
                <w:color w:val="000000"/>
                <w:sz w:val="16"/>
                <w:szCs w:val="16"/>
                <w:lang w:val="ru-RU"/>
              </w:rPr>
              <w:t xml:space="preserve">Комплексная </w:t>
            </w:r>
            <w:r w:rsidRPr="004F4F1E">
              <w:rPr>
                <w:color w:val="000000"/>
                <w:sz w:val="16"/>
                <w:szCs w:val="16"/>
                <w:lang w:val="ru-RU"/>
              </w:rPr>
              <w:t>эксперт</w:t>
            </w:r>
            <w:r>
              <w:rPr>
                <w:color w:val="000000"/>
                <w:sz w:val="16"/>
                <w:szCs w:val="16"/>
                <w:lang w:val="ru-RU"/>
              </w:rPr>
              <w:t xml:space="preserve">иза плана </w:t>
            </w:r>
            <w:r w:rsidRPr="00BE255C">
              <w:rPr>
                <w:color w:val="000000"/>
                <w:sz w:val="16"/>
                <w:szCs w:val="16"/>
                <w:lang w:val="ru-RU"/>
              </w:rPr>
              <w:t>реализации проекта</w:t>
            </w:r>
          </w:p>
        </w:tc>
        <w:tc>
          <w:tcPr>
            <w:tcW w:w="480" w:type="dxa"/>
            <w:tcBorders>
              <w:top w:val="nil"/>
              <w:left w:val="nil"/>
              <w:bottom w:val="single" w:sz="4" w:space="0" w:color="auto"/>
              <w:right w:val="single" w:sz="4" w:space="0" w:color="auto"/>
            </w:tcBorders>
            <w:shd w:val="clear" w:color="auto" w:fill="auto"/>
            <w:noWrap/>
            <w:vAlign w:val="bottom"/>
          </w:tcPr>
          <w:p w:rsidR="00C85043" w:rsidRPr="00F35F68" w:rsidRDefault="00C85043" w:rsidP="00C85043">
            <w:pPr>
              <w:spacing w:before="40" w:after="40"/>
              <w:rPr>
                <w:rFonts w:cs="Arial"/>
                <w:noProof/>
                <w:sz w:val="16"/>
                <w:szCs w:val="16"/>
                <w:lang w:val="ru-RU"/>
              </w:rPr>
            </w:pPr>
            <w:r w:rsidRPr="00BD06DF">
              <w:rPr>
                <w:rFonts w:cs="Arial"/>
                <w:noProof/>
                <w:sz w:val="16"/>
                <w:szCs w:val="16"/>
              </w:rPr>
              <w:t> </w:t>
            </w:r>
          </w:p>
        </w:tc>
        <w:tc>
          <w:tcPr>
            <w:tcW w:w="480" w:type="dxa"/>
            <w:tcBorders>
              <w:top w:val="nil"/>
              <w:left w:val="nil"/>
              <w:bottom w:val="single" w:sz="4" w:space="0" w:color="auto"/>
              <w:right w:val="single" w:sz="4" w:space="0" w:color="auto"/>
            </w:tcBorders>
            <w:shd w:val="clear" w:color="auto" w:fill="auto"/>
            <w:noWrap/>
            <w:vAlign w:val="center"/>
          </w:tcPr>
          <w:p w:rsidR="00C85043" w:rsidRPr="00F35F68"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F35F68"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F35F68"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F35F68"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F35F68"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F35F68"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r>
      <w:tr w:rsidR="00C85043" w:rsidRPr="00BD06DF" w:rsidTr="00C85043">
        <w:trPr>
          <w:trHeight w:val="615"/>
          <w:jc w:val="center"/>
        </w:trPr>
        <w:tc>
          <w:tcPr>
            <w:tcW w:w="1840" w:type="dxa"/>
            <w:tcBorders>
              <w:top w:val="nil"/>
              <w:left w:val="single" w:sz="8" w:space="0" w:color="auto"/>
              <w:bottom w:val="single" w:sz="4" w:space="0" w:color="auto"/>
              <w:right w:val="single" w:sz="8" w:space="0" w:color="auto"/>
            </w:tcBorders>
            <w:shd w:val="clear" w:color="auto" w:fill="auto"/>
            <w:noWrap/>
            <w:vAlign w:val="center"/>
          </w:tcPr>
          <w:p w:rsidR="00C85043" w:rsidRPr="00BE255C" w:rsidRDefault="00C85043" w:rsidP="00C85043">
            <w:pPr>
              <w:spacing w:before="40" w:after="40"/>
              <w:rPr>
                <w:rFonts w:cs="Arial"/>
                <w:noProof/>
                <w:sz w:val="16"/>
                <w:szCs w:val="16"/>
                <w:lang w:val="ru-RU"/>
              </w:rPr>
            </w:pPr>
            <w:r>
              <w:rPr>
                <w:rFonts w:cs="Arial"/>
                <w:noProof/>
                <w:sz w:val="16"/>
                <w:szCs w:val="16"/>
                <w:lang w:val="ru-RU"/>
              </w:rPr>
              <w:t>Проведение конкурса среди фирм и выбор фирм</w:t>
            </w:r>
          </w:p>
        </w:tc>
        <w:tc>
          <w:tcPr>
            <w:tcW w:w="480" w:type="dxa"/>
            <w:tcBorders>
              <w:top w:val="nil"/>
              <w:left w:val="nil"/>
              <w:bottom w:val="single" w:sz="4" w:space="0" w:color="auto"/>
              <w:right w:val="single" w:sz="4" w:space="0" w:color="auto"/>
            </w:tcBorders>
            <w:shd w:val="clear" w:color="auto" w:fill="auto"/>
            <w:noWrap/>
            <w:vAlign w:val="bottom"/>
          </w:tcPr>
          <w:p w:rsidR="00C85043" w:rsidRPr="00BE255C" w:rsidRDefault="00C85043" w:rsidP="00C85043">
            <w:pPr>
              <w:spacing w:before="40" w:after="40"/>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E255C"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E255C"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E255C"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E255C"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E255C"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E255C"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E255C"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E255C" w:rsidRDefault="00C85043" w:rsidP="00C85043">
            <w:pPr>
              <w:spacing w:before="40" w:after="40"/>
              <w:jc w:val="center"/>
              <w:rPr>
                <w:rFonts w:cs="Arial"/>
                <w:noProof/>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r>
      <w:tr w:rsidR="00C85043" w:rsidRPr="00BD06DF" w:rsidTr="00C85043">
        <w:trPr>
          <w:trHeight w:val="425"/>
          <w:jc w:val="center"/>
        </w:trPr>
        <w:tc>
          <w:tcPr>
            <w:tcW w:w="1840" w:type="dxa"/>
            <w:tcBorders>
              <w:top w:val="nil"/>
              <w:left w:val="single" w:sz="8" w:space="0" w:color="auto"/>
              <w:bottom w:val="single" w:sz="4" w:space="0" w:color="auto"/>
              <w:right w:val="single" w:sz="8" w:space="0" w:color="auto"/>
            </w:tcBorders>
            <w:shd w:val="clear" w:color="auto" w:fill="auto"/>
            <w:noWrap/>
            <w:vAlign w:val="center"/>
          </w:tcPr>
          <w:p w:rsidR="00C85043" w:rsidRPr="00BD06DF" w:rsidRDefault="00C85043" w:rsidP="00C85043">
            <w:pPr>
              <w:spacing w:before="40" w:after="40"/>
              <w:rPr>
                <w:rFonts w:cs="Arial"/>
                <w:noProof/>
                <w:sz w:val="16"/>
                <w:szCs w:val="16"/>
              </w:rPr>
            </w:pPr>
            <w:r>
              <w:rPr>
                <w:rFonts w:cs="Arial"/>
                <w:noProof/>
                <w:sz w:val="16"/>
                <w:szCs w:val="16"/>
                <w:lang w:val="ru-RU"/>
              </w:rPr>
              <w:t>Выполнение работ</w:t>
            </w:r>
          </w:p>
        </w:tc>
        <w:tc>
          <w:tcPr>
            <w:tcW w:w="480" w:type="dxa"/>
            <w:tcBorders>
              <w:top w:val="nil"/>
              <w:left w:val="nil"/>
              <w:bottom w:val="single" w:sz="4" w:space="0" w:color="auto"/>
              <w:right w:val="single" w:sz="4" w:space="0" w:color="auto"/>
            </w:tcBorders>
            <w:shd w:val="clear" w:color="auto" w:fill="auto"/>
            <w:noWrap/>
            <w:vAlign w:val="bottom"/>
          </w:tcPr>
          <w:p w:rsidR="00C85043" w:rsidRPr="00BD06DF" w:rsidRDefault="00C85043" w:rsidP="00C85043">
            <w:pPr>
              <w:spacing w:before="40" w:after="40"/>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r>
      <w:tr w:rsidR="00C85043" w:rsidRPr="00BD06DF" w:rsidTr="00C85043">
        <w:trPr>
          <w:trHeight w:val="397"/>
          <w:jc w:val="center"/>
        </w:trPr>
        <w:tc>
          <w:tcPr>
            <w:tcW w:w="1840" w:type="dxa"/>
            <w:tcBorders>
              <w:top w:val="nil"/>
              <w:left w:val="single" w:sz="8" w:space="0" w:color="auto"/>
              <w:bottom w:val="single" w:sz="4" w:space="0" w:color="auto"/>
              <w:right w:val="single" w:sz="8" w:space="0" w:color="auto"/>
            </w:tcBorders>
            <w:shd w:val="clear" w:color="auto" w:fill="auto"/>
            <w:noWrap/>
            <w:vAlign w:val="center"/>
          </w:tcPr>
          <w:p w:rsidR="00C85043" w:rsidRPr="00BD06DF" w:rsidRDefault="00C85043" w:rsidP="00C85043">
            <w:pPr>
              <w:spacing w:before="40" w:after="40"/>
              <w:rPr>
                <w:rFonts w:cs="Arial"/>
                <w:noProof/>
                <w:sz w:val="16"/>
                <w:szCs w:val="16"/>
              </w:rPr>
            </w:pPr>
            <w:r>
              <w:rPr>
                <w:rFonts w:cs="Arial"/>
                <w:noProof/>
                <w:sz w:val="16"/>
                <w:szCs w:val="16"/>
              </w:rPr>
              <w:t>Сдача результатов работ</w:t>
            </w:r>
          </w:p>
        </w:tc>
        <w:tc>
          <w:tcPr>
            <w:tcW w:w="480" w:type="dxa"/>
            <w:tcBorders>
              <w:top w:val="nil"/>
              <w:left w:val="nil"/>
              <w:bottom w:val="single" w:sz="4" w:space="0" w:color="auto"/>
              <w:right w:val="single" w:sz="4" w:space="0" w:color="auto"/>
            </w:tcBorders>
            <w:shd w:val="clear" w:color="auto" w:fill="auto"/>
            <w:noWrap/>
            <w:vAlign w:val="bottom"/>
          </w:tcPr>
          <w:p w:rsidR="00C85043" w:rsidRPr="00BD06DF" w:rsidRDefault="00C85043" w:rsidP="00C85043">
            <w:pPr>
              <w:spacing w:before="40" w:after="40"/>
              <w:rPr>
                <w:rFonts w:cs="Arial"/>
                <w:noProof/>
                <w:sz w:val="16"/>
                <w:szCs w:val="16"/>
              </w:rPr>
            </w:pPr>
            <w:r w:rsidRPr="00BD06DF">
              <w:rPr>
                <w:rFonts w:cs="Arial"/>
                <w:noProof/>
                <w:sz w:val="16"/>
                <w:szCs w:val="16"/>
              </w:rPr>
              <w:t> </w:t>
            </w: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4"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p>
        </w:tc>
        <w:tc>
          <w:tcPr>
            <w:tcW w:w="480" w:type="dxa"/>
            <w:tcBorders>
              <w:top w:val="nil"/>
              <w:left w:val="nil"/>
              <w:bottom w:val="single" w:sz="4" w:space="0" w:color="auto"/>
              <w:right w:val="single" w:sz="8" w:space="0" w:color="auto"/>
            </w:tcBorders>
            <w:shd w:val="clear" w:color="auto" w:fill="auto"/>
            <w:noWrap/>
            <w:vAlign w:val="center"/>
          </w:tcPr>
          <w:p w:rsidR="00C85043" w:rsidRPr="00BD06DF" w:rsidRDefault="00C85043" w:rsidP="00C85043">
            <w:pPr>
              <w:spacing w:before="40" w:after="40"/>
              <w:jc w:val="center"/>
              <w:rPr>
                <w:rFonts w:cs="Arial"/>
                <w:noProof/>
                <w:sz w:val="16"/>
                <w:szCs w:val="16"/>
              </w:rPr>
            </w:pPr>
            <w:r w:rsidRPr="00BD06DF">
              <w:rPr>
                <w:rFonts w:cs="Arial"/>
                <w:noProof/>
                <w:sz w:val="16"/>
                <w:szCs w:val="16"/>
              </w:rPr>
              <w:t>X</w:t>
            </w:r>
          </w:p>
        </w:tc>
      </w:tr>
    </w:tbl>
    <w:p w:rsidR="00C85043" w:rsidRDefault="00C85043" w:rsidP="00C85043"/>
    <w:p w:rsidR="00C85043" w:rsidRDefault="00C85043" w:rsidP="00C85043">
      <w:pPr>
        <w:spacing w:after="200" w:line="276" w:lineRule="auto"/>
      </w:pPr>
      <w:r>
        <w:br w:type="page"/>
      </w:r>
    </w:p>
    <w:p w:rsidR="00C85043" w:rsidRDefault="00C85043" w:rsidP="00C85043">
      <w:pPr>
        <w:rPr>
          <w:b/>
          <w:sz w:val="22"/>
        </w:rPr>
      </w:pPr>
      <w:r>
        <w:rPr>
          <w:b/>
          <w:sz w:val="22"/>
        </w:rPr>
        <w:t>ПРОЕКТЫ, СВЯЗАННЫЕ СО ЗДАНИЯМИ</w:t>
      </w:r>
    </w:p>
    <w:p w:rsidR="00C85043" w:rsidRPr="00994B87" w:rsidRDefault="00C85043" w:rsidP="00C85043">
      <w:pPr>
        <w:rPr>
          <w:b/>
          <w:sz w:val="22"/>
        </w:rPr>
      </w:pPr>
    </w:p>
    <w:p w:rsidR="00C85043" w:rsidRPr="008C15AF" w:rsidRDefault="00C85043" w:rsidP="00C85043">
      <w:pPr>
        <w:pStyle w:val="StyleHeading3BoldNounderline"/>
        <w:spacing w:before="0" w:after="0"/>
        <w:rPr>
          <w:b/>
          <w:sz w:val="20"/>
          <w:lang w:val="ru-RU"/>
        </w:rPr>
      </w:pPr>
      <w:bookmarkStart w:id="155" w:name="_Toc422210528"/>
      <w:bookmarkStart w:id="156" w:name="_Toc455388151"/>
      <w:r w:rsidRPr="00EC516A">
        <w:rPr>
          <w:b/>
          <w:sz w:val="20"/>
          <w:lang w:val="ru-RU"/>
        </w:rPr>
        <w:t>ПРОЕКТ</w:t>
      </w:r>
      <w:r w:rsidRPr="008C15AF">
        <w:rPr>
          <w:b/>
          <w:sz w:val="20"/>
          <w:lang w:val="ru-RU"/>
        </w:rPr>
        <w:t xml:space="preserve"> 6</w:t>
      </w:r>
      <w:r w:rsidRPr="008C15AF">
        <w:rPr>
          <w:b/>
          <w:sz w:val="20"/>
          <w:lang w:val="ru-RU"/>
        </w:rPr>
        <w:tab/>
        <w:t>ЗДАНИЕ АРПАД БОГШ</w:t>
      </w:r>
      <w:r>
        <w:rPr>
          <w:b/>
          <w:sz w:val="20"/>
          <w:lang w:val="ru-RU"/>
        </w:rPr>
        <w:t xml:space="preserve">: </w:t>
      </w:r>
      <w:r w:rsidRPr="008C15AF">
        <w:rPr>
          <w:b/>
          <w:sz w:val="20"/>
          <w:lang w:val="ru-RU"/>
        </w:rPr>
        <w:t>ЗАМЕНА НЕКОТОРЫХ ОКОН (ГПКР</w:t>
      </w:r>
      <w:r>
        <w:rPr>
          <w:b/>
          <w:sz w:val="20"/>
          <w:lang w:val="ru-RU"/>
        </w:rPr>
        <w:t>-</w:t>
      </w:r>
      <w:r w:rsidRPr="008C15AF">
        <w:rPr>
          <w:b/>
          <w:sz w:val="20"/>
          <w:lang w:val="ru-RU"/>
        </w:rPr>
        <w:t>6)</w:t>
      </w:r>
      <w:bookmarkEnd w:id="155"/>
      <w:bookmarkEnd w:id="156"/>
    </w:p>
    <w:p w:rsidR="00C85043" w:rsidRPr="008C15AF" w:rsidRDefault="00C85043" w:rsidP="00C85043">
      <w:pPr>
        <w:rPr>
          <w:sz w:val="22"/>
          <w:szCs w:val="20"/>
          <w:lang w:val="ru-RU"/>
        </w:rPr>
      </w:pPr>
    </w:p>
    <w:p w:rsidR="00C85043" w:rsidRPr="002F5531" w:rsidRDefault="00C85043" w:rsidP="00C85043">
      <w:pPr>
        <w:rPr>
          <w:b/>
          <w:szCs w:val="20"/>
          <w:lang w:val="ru-RU"/>
        </w:rPr>
      </w:pPr>
      <w:r w:rsidRPr="002F5531">
        <w:rPr>
          <w:b/>
          <w:szCs w:val="20"/>
          <w:lang w:val="ru-RU"/>
        </w:rPr>
        <w:t>Руководитель проекта:</w:t>
      </w:r>
      <w:r w:rsidRPr="002F5531">
        <w:rPr>
          <w:b/>
          <w:szCs w:val="20"/>
          <w:lang w:val="ru-RU"/>
        </w:rPr>
        <w:tab/>
      </w:r>
      <w:r w:rsidRPr="001A104A">
        <w:rPr>
          <w:b/>
          <w:szCs w:val="20"/>
          <w:lang w:val="ru-RU"/>
        </w:rPr>
        <w:t>А. ФАВЕРО</w:t>
      </w:r>
    </w:p>
    <w:p w:rsidR="00C85043" w:rsidRPr="002F5531" w:rsidRDefault="00C85043" w:rsidP="00C85043">
      <w:pPr>
        <w:rPr>
          <w:szCs w:val="20"/>
          <w:lang w:val="ru-RU"/>
        </w:rPr>
      </w:pPr>
    </w:p>
    <w:p w:rsidR="00C85043" w:rsidRPr="002F5531" w:rsidRDefault="00C85043" w:rsidP="00C85043">
      <w:pPr>
        <w:rPr>
          <w:bCs/>
          <w:szCs w:val="20"/>
          <w:lang w:val="ru-RU"/>
        </w:rPr>
      </w:pPr>
    </w:p>
    <w:p w:rsidR="00C85043" w:rsidRPr="002F5531" w:rsidRDefault="00C85043" w:rsidP="00C85043">
      <w:pPr>
        <w:rPr>
          <w:bCs/>
          <w:szCs w:val="20"/>
          <w:lang w:val="ru-RU"/>
        </w:rPr>
      </w:pPr>
      <w:r>
        <w:rPr>
          <w:bCs/>
          <w:szCs w:val="20"/>
          <w:lang w:val="ru-RU"/>
        </w:rPr>
        <w:t>ОЖИДАЕМЫЕ РЕЗУЛЬТАТЫ</w:t>
      </w:r>
    </w:p>
    <w:p w:rsidR="00C85043" w:rsidRPr="002F5531" w:rsidRDefault="00C85043" w:rsidP="00C85043">
      <w:pPr>
        <w:rPr>
          <w:bCs/>
          <w:szCs w:val="20"/>
          <w:lang w:val="ru-RU"/>
        </w:rPr>
      </w:pPr>
    </w:p>
    <w:p w:rsidR="00C85043" w:rsidRPr="001A104A" w:rsidRDefault="00C85043" w:rsidP="00C85043">
      <w:pPr>
        <w:rPr>
          <w:i/>
          <w:iCs/>
          <w:szCs w:val="20"/>
          <w:lang w:val="ru-RU"/>
        </w:rPr>
      </w:pPr>
      <w:r w:rsidRPr="00CF53EE">
        <w:rPr>
          <w:i/>
          <w:iCs/>
          <w:szCs w:val="20"/>
        </w:rPr>
        <w:t>IX</w:t>
      </w:r>
      <w:r w:rsidRPr="001A104A">
        <w:rPr>
          <w:i/>
          <w:iCs/>
          <w:szCs w:val="20"/>
          <w:lang w:val="ru-RU"/>
        </w:rPr>
        <w:t xml:space="preserve">.1  </w:t>
      </w:r>
      <w:r>
        <w:rPr>
          <w:i/>
          <w:iCs/>
          <w:szCs w:val="20"/>
          <w:lang w:val="ru-RU"/>
        </w:rPr>
        <w:t>Эффективная, оперативная и качественная поддержка, ориентированная на нужды клиентов и оказываемая как внутренним пользователям, так и внешним партнерам</w:t>
      </w:r>
    </w:p>
    <w:p w:rsidR="00C85043" w:rsidRPr="001A104A" w:rsidRDefault="00C85043" w:rsidP="00C85043">
      <w:pPr>
        <w:rPr>
          <w:bCs/>
          <w:szCs w:val="20"/>
          <w:lang w:val="ru-RU"/>
        </w:rPr>
      </w:pPr>
    </w:p>
    <w:p w:rsidR="00C85043" w:rsidRPr="001A104A" w:rsidRDefault="00C85043" w:rsidP="00C85043">
      <w:pPr>
        <w:rPr>
          <w:bCs/>
          <w:szCs w:val="20"/>
          <w:lang w:val="ru-RU"/>
        </w:rPr>
      </w:pPr>
    </w:p>
    <w:p w:rsidR="00C85043" w:rsidRPr="003842BB" w:rsidRDefault="00C85043" w:rsidP="00C85043">
      <w:pPr>
        <w:rPr>
          <w:bCs/>
          <w:szCs w:val="20"/>
          <w:lang w:val="ru-RU"/>
        </w:rPr>
      </w:pPr>
      <w:r>
        <w:rPr>
          <w:bCs/>
          <w:szCs w:val="20"/>
          <w:lang w:val="ru-RU"/>
        </w:rPr>
        <w:t>ЦЕЛИ, ОБЪЕМ ЗАДАЧ И МЕТОДОЛОГИЯ: СПРАВОЧНАЯ ИНФОРМАЦИЯ</w:t>
      </w:r>
    </w:p>
    <w:p w:rsidR="00C85043" w:rsidRPr="003842BB" w:rsidRDefault="00C85043" w:rsidP="00C85043">
      <w:pPr>
        <w:rPr>
          <w:bCs/>
          <w:szCs w:val="20"/>
          <w:lang w:val="ru-RU"/>
        </w:rPr>
      </w:pPr>
    </w:p>
    <w:p w:rsidR="00C85043" w:rsidRPr="00BF43E0" w:rsidRDefault="00C85043" w:rsidP="00BF61DC">
      <w:pPr>
        <w:pStyle w:val="ListParagraph"/>
        <w:numPr>
          <w:ilvl w:val="0"/>
          <w:numId w:val="114"/>
        </w:numPr>
        <w:tabs>
          <w:tab w:val="left" w:pos="567"/>
        </w:tabs>
        <w:ind w:left="0" w:firstLine="0"/>
        <w:jc w:val="both"/>
        <w:rPr>
          <w:bCs/>
          <w:lang w:val="ru-RU"/>
        </w:rPr>
      </w:pPr>
      <w:r w:rsidRPr="00BF43E0">
        <w:rPr>
          <w:bCs/>
          <w:lang w:val="ru-RU"/>
        </w:rPr>
        <w:t xml:space="preserve">Окна южного фасада здания АВ сильнее всего пострадали за последние тридцать лет в связи с их расположением относительно потоков света и тепла, а </w:t>
      </w:r>
      <w:r>
        <w:rPr>
          <w:bCs/>
          <w:lang w:val="ru-RU"/>
        </w:rPr>
        <w:t xml:space="preserve">также </w:t>
      </w:r>
      <w:r w:rsidRPr="00BF43E0">
        <w:rPr>
          <w:bCs/>
          <w:lang w:val="ru-RU"/>
        </w:rPr>
        <w:t>в связи с наибольшими сезонными перепадами температуры, что привело к значительному ухудшению их термических свойств.  Кроме того, по причине старения газовых компонентов, заполняющих пространство между слоями стекла, у некоторых из этих окон, а также у некоторых других окон на фасаде, выцвела защитная голубая тонировка (которая приобрела розовые и пурпурные оттенки).</w:t>
      </w:r>
    </w:p>
    <w:p w:rsidR="00C85043" w:rsidRPr="00BF43E0" w:rsidRDefault="00C85043" w:rsidP="00C85043">
      <w:pPr>
        <w:tabs>
          <w:tab w:val="left" w:pos="567"/>
        </w:tabs>
        <w:jc w:val="both"/>
        <w:rPr>
          <w:bCs/>
          <w:szCs w:val="20"/>
          <w:lang w:val="ru-RU"/>
        </w:rPr>
      </w:pPr>
    </w:p>
    <w:p w:rsidR="00C85043" w:rsidRPr="002D2C73" w:rsidRDefault="00C85043" w:rsidP="00BF61DC">
      <w:pPr>
        <w:pStyle w:val="ListParagraph"/>
        <w:numPr>
          <w:ilvl w:val="0"/>
          <w:numId w:val="114"/>
        </w:numPr>
        <w:tabs>
          <w:tab w:val="left" w:pos="567"/>
        </w:tabs>
        <w:ind w:left="0" w:firstLine="0"/>
        <w:jc w:val="both"/>
        <w:rPr>
          <w:bCs/>
          <w:lang w:val="ru-RU"/>
        </w:rPr>
      </w:pPr>
      <w:r w:rsidRPr="00BF43E0">
        <w:rPr>
          <w:bCs/>
          <w:lang w:val="ru-RU"/>
        </w:rPr>
        <w:t xml:space="preserve">Замена этих окон сократит потребление энергии, которая требуется в основном для охлаждения </w:t>
      </w:r>
      <w:r w:rsidRPr="002D2C73">
        <w:rPr>
          <w:bCs/>
          <w:lang w:val="ru-RU"/>
        </w:rPr>
        <w:t xml:space="preserve">соответствующих помещений в теплые </w:t>
      </w:r>
      <w:r w:rsidRPr="004F4F1E">
        <w:rPr>
          <w:bCs/>
          <w:lang w:val="ru-RU"/>
        </w:rPr>
        <w:t>период</w:t>
      </w:r>
      <w:r>
        <w:rPr>
          <w:bCs/>
          <w:lang w:val="ru-RU"/>
        </w:rPr>
        <w:t>ы</w:t>
      </w:r>
      <w:r w:rsidRPr="002D2C73">
        <w:rPr>
          <w:bCs/>
          <w:lang w:val="ru-RU"/>
        </w:rPr>
        <w:t xml:space="preserve">. Она также позволит добиться необходимого улучшения внешнего вида здания АБ </w:t>
      </w:r>
      <w:r w:rsidRPr="002D2C73">
        <w:rPr>
          <w:rFonts w:eastAsia="+mn-ea"/>
          <w:bCs/>
          <w:lang w:val="ru-RU"/>
        </w:rPr>
        <w:t>–</w:t>
      </w:r>
      <w:r w:rsidRPr="002D2C73">
        <w:rPr>
          <w:bCs/>
          <w:lang w:val="ru-RU"/>
        </w:rPr>
        <w:t xml:space="preserve"> одного из достопримечательностей Женевы. </w:t>
      </w:r>
    </w:p>
    <w:p w:rsidR="00C85043" w:rsidRPr="002D2C73" w:rsidRDefault="00C85043" w:rsidP="00C85043">
      <w:pPr>
        <w:tabs>
          <w:tab w:val="left" w:pos="567"/>
        </w:tabs>
        <w:jc w:val="both"/>
        <w:rPr>
          <w:bCs/>
          <w:szCs w:val="20"/>
          <w:lang w:val="ru-RU"/>
        </w:rPr>
      </w:pPr>
    </w:p>
    <w:p w:rsidR="00C85043" w:rsidRPr="002D2C73" w:rsidRDefault="00C85043" w:rsidP="00BF61DC">
      <w:pPr>
        <w:pStyle w:val="ListParagraph"/>
        <w:numPr>
          <w:ilvl w:val="0"/>
          <w:numId w:val="114"/>
        </w:numPr>
        <w:tabs>
          <w:tab w:val="left" w:pos="567"/>
        </w:tabs>
        <w:ind w:left="0" w:firstLine="0"/>
        <w:jc w:val="both"/>
        <w:rPr>
          <w:bCs/>
          <w:lang w:val="ru-RU"/>
        </w:rPr>
      </w:pPr>
      <w:r w:rsidRPr="002D2C73">
        <w:rPr>
          <w:bCs/>
          <w:lang w:val="ru-RU"/>
        </w:rPr>
        <w:t>Проект имеет следующие цели: (</w:t>
      </w:r>
      <w:r w:rsidRPr="002D2C73">
        <w:rPr>
          <w:bCs/>
        </w:rPr>
        <w:t>i</w:t>
      </w:r>
      <w:r w:rsidRPr="002D2C73">
        <w:rPr>
          <w:bCs/>
          <w:lang w:val="ru-RU"/>
        </w:rPr>
        <w:t xml:space="preserve">) улучшение </w:t>
      </w:r>
      <w:r w:rsidRPr="002D2C73">
        <w:rPr>
          <w:bCs/>
          <w:snapToGrid w:val="0"/>
          <w:lang w:val="ru-RU"/>
        </w:rPr>
        <w:t>показател</w:t>
      </w:r>
      <w:r w:rsidRPr="002D2C73">
        <w:rPr>
          <w:bCs/>
          <w:lang w:val="ru-RU"/>
        </w:rPr>
        <w:t>ей теплоизоляции и энергоэффективности юго-западного фасада здания АВ; (</w:t>
      </w:r>
      <w:r w:rsidRPr="002D2C73">
        <w:rPr>
          <w:bCs/>
        </w:rPr>
        <w:t>ii</w:t>
      </w:r>
      <w:r w:rsidRPr="002D2C73">
        <w:rPr>
          <w:bCs/>
          <w:lang w:val="ru-RU"/>
        </w:rPr>
        <w:t>) сокращение энергопотребления; (</w:t>
      </w:r>
      <w:r w:rsidRPr="002D2C73">
        <w:rPr>
          <w:bCs/>
        </w:rPr>
        <w:t>iii</w:t>
      </w:r>
      <w:r w:rsidR="00EB5F29">
        <w:rPr>
          <w:bCs/>
          <w:lang w:val="ru-RU"/>
        </w:rPr>
        <w:t>) </w:t>
      </w:r>
      <w:r w:rsidRPr="002D2C73">
        <w:rPr>
          <w:bCs/>
          <w:lang w:val="ru-RU"/>
        </w:rPr>
        <w:t>улучшение температурного режима в здании для улучшения условий работы сотрудников;  и (</w:t>
      </w:r>
      <w:r w:rsidRPr="002D2C73">
        <w:rPr>
          <w:bCs/>
        </w:rPr>
        <w:t>iv</w:t>
      </w:r>
      <w:r w:rsidR="00EB5F29">
        <w:rPr>
          <w:bCs/>
          <w:lang w:val="ru-RU"/>
        </w:rPr>
        <w:t>) </w:t>
      </w:r>
      <w:r w:rsidRPr="002D2C73">
        <w:rPr>
          <w:bCs/>
          <w:lang w:val="ru-RU"/>
        </w:rPr>
        <w:t>улучшение внешнего вида здания АВ.</w:t>
      </w:r>
    </w:p>
    <w:p w:rsidR="00C85043" w:rsidRPr="002D2C73" w:rsidRDefault="00C85043" w:rsidP="00C85043">
      <w:pPr>
        <w:jc w:val="both"/>
        <w:rPr>
          <w:bCs/>
          <w:szCs w:val="20"/>
          <w:lang w:val="ru-RU"/>
        </w:rPr>
      </w:pPr>
    </w:p>
    <w:p w:rsidR="00C85043" w:rsidRPr="002D2C73" w:rsidRDefault="00C85043" w:rsidP="00C85043">
      <w:pPr>
        <w:jc w:val="both"/>
        <w:rPr>
          <w:bCs/>
          <w:szCs w:val="20"/>
          <w:lang w:val="ru-RU"/>
        </w:rPr>
      </w:pPr>
    </w:p>
    <w:p w:rsidR="00C85043" w:rsidRPr="000C5D6F" w:rsidRDefault="00C85043" w:rsidP="00C85043">
      <w:pPr>
        <w:jc w:val="both"/>
        <w:rPr>
          <w:bCs/>
          <w:sz w:val="18"/>
          <w:szCs w:val="20"/>
          <w:lang w:val="ru-RU"/>
        </w:rPr>
      </w:pPr>
      <w:r w:rsidRPr="000C5D6F">
        <w:rPr>
          <w:bCs/>
          <w:szCs w:val="20"/>
          <w:lang w:val="ru-RU"/>
        </w:rPr>
        <w:t xml:space="preserve">ОБЗОР ХОДА РЕАЛИЗАЦИИ ПРОЕКТА В 2015 ГОДУ </w:t>
      </w:r>
      <w:r>
        <w:rPr>
          <w:bCs/>
          <w:szCs w:val="20"/>
          <w:lang w:val="ru-RU"/>
        </w:rPr>
        <w:t>(ОСНОВНЫЕ РЕЗУЛЬТАТЫ)</w:t>
      </w:r>
    </w:p>
    <w:p w:rsidR="00C85043" w:rsidRPr="000C5D6F" w:rsidRDefault="00C85043" w:rsidP="00C85043">
      <w:pPr>
        <w:jc w:val="both"/>
        <w:rPr>
          <w:bCs/>
          <w:szCs w:val="20"/>
          <w:lang w:val="ru-RU"/>
        </w:rPr>
      </w:pPr>
    </w:p>
    <w:p w:rsidR="00C85043" w:rsidRPr="00FC499E" w:rsidRDefault="00C85043" w:rsidP="00BF61DC">
      <w:pPr>
        <w:pStyle w:val="ListParagraph"/>
        <w:numPr>
          <w:ilvl w:val="0"/>
          <w:numId w:val="114"/>
        </w:numPr>
        <w:tabs>
          <w:tab w:val="left" w:pos="567"/>
        </w:tabs>
        <w:ind w:left="0" w:firstLine="0"/>
        <w:jc w:val="both"/>
        <w:rPr>
          <w:rFonts w:eastAsia="Calibri" w:cs="Arial"/>
          <w:color w:val="000000"/>
          <w:lang w:val="ru-RU"/>
        </w:rPr>
      </w:pPr>
      <w:r w:rsidRPr="00FC499E">
        <w:rPr>
          <w:bCs/>
          <w:lang w:val="ru-RU"/>
        </w:rPr>
        <w:t xml:space="preserve">В </w:t>
      </w:r>
      <w:r>
        <w:rPr>
          <w:bCs/>
          <w:lang w:val="ru-RU"/>
        </w:rPr>
        <w:t>2014 г.</w:t>
      </w:r>
      <w:r w:rsidRPr="00FC499E">
        <w:rPr>
          <w:bCs/>
          <w:lang w:val="ru-RU"/>
        </w:rPr>
        <w:t xml:space="preserve"> году </w:t>
      </w:r>
      <w:r>
        <w:rPr>
          <w:bCs/>
          <w:lang w:val="ru-RU"/>
        </w:rPr>
        <w:t>были достигнуты следующие результаты:</w:t>
      </w:r>
      <w:r w:rsidRPr="00FC499E">
        <w:rPr>
          <w:bCs/>
          <w:lang w:val="ru-RU"/>
        </w:rPr>
        <w:t xml:space="preserve"> </w:t>
      </w:r>
      <w:r w:rsidRPr="00FC499E">
        <w:rPr>
          <w:rFonts w:eastAsia="Calibri" w:cs="Arial"/>
          <w:color w:val="000000"/>
          <w:lang w:val="ru-RU"/>
        </w:rPr>
        <w:t xml:space="preserve"> </w:t>
      </w:r>
    </w:p>
    <w:p w:rsidR="00C85043" w:rsidRPr="00FC499E" w:rsidRDefault="00C85043" w:rsidP="00C85043">
      <w:pPr>
        <w:pStyle w:val="ListParagraph"/>
        <w:tabs>
          <w:tab w:val="left" w:pos="567"/>
        </w:tabs>
        <w:ind w:left="0"/>
        <w:jc w:val="both"/>
        <w:rPr>
          <w:rFonts w:eastAsia="Calibri" w:cs="Arial"/>
          <w:color w:val="000000"/>
          <w:lang w:val="ru-RU"/>
        </w:rPr>
      </w:pPr>
    </w:p>
    <w:p w:rsidR="00C85043" w:rsidRPr="00A67CD2" w:rsidRDefault="00C85043" w:rsidP="00BF61DC">
      <w:pPr>
        <w:pStyle w:val="ListParagraph"/>
        <w:numPr>
          <w:ilvl w:val="0"/>
          <w:numId w:val="121"/>
        </w:numPr>
        <w:autoSpaceDE w:val="0"/>
        <w:autoSpaceDN w:val="0"/>
        <w:adjustRightInd w:val="0"/>
        <w:spacing w:after="120"/>
        <w:ind w:left="714" w:hanging="357"/>
        <w:rPr>
          <w:bCs/>
          <w:lang w:val="ru-RU"/>
        </w:rPr>
      </w:pPr>
      <w:r w:rsidRPr="00A67CD2">
        <w:rPr>
          <w:bCs/>
          <w:lang w:val="ru-RU"/>
        </w:rPr>
        <w:t xml:space="preserve">разработка технического задания </w:t>
      </w:r>
      <w:r w:rsidRPr="003B125B">
        <w:rPr>
          <w:bCs/>
          <w:lang w:val="ru-RU"/>
        </w:rPr>
        <w:t xml:space="preserve">для включения в мандат </w:t>
      </w:r>
      <w:r w:rsidRPr="00A67CD2">
        <w:rPr>
          <w:bCs/>
          <w:lang w:val="ru-RU"/>
        </w:rPr>
        <w:t xml:space="preserve">инженера по </w:t>
      </w:r>
      <w:r>
        <w:rPr>
          <w:bCs/>
          <w:lang w:val="ru-RU"/>
        </w:rPr>
        <w:t>обустройству фасада</w:t>
      </w:r>
      <w:r w:rsidRPr="00A67CD2">
        <w:rPr>
          <w:bCs/>
          <w:lang w:val="ru-RU"/>
        </w:rPr>
        <w:t xml:space="preserve">; </w:t>
      </w:r>
    </w:p>
    <w:p w:rsidR="00C85043" w:rsidRPr="00253C6B"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 xml:space="preserve">проведение </w:t>
      </w:r>
      <w:r w:rsidRPr="009044EE">
        <w:rPr>
          <w:bCs/>
          <w:lang w:val="ru-RU"/>
        </w:rPr>
        <w:t xml:space="preserve">конкурса </w:t>
      </w:r>
      <w:r>
        <w:rPr>
          <w:bCs/>
          <w:lang w:val="ru-RU"/>
        </w:rPr>
        <w:t>по выбору инженера по обустройству фасада</w:t>
      </w:r>
      <w:r w:rsidRPr="009044EE">
        <w:rPr>
          <w:bCs/>
          <w:lang w:val="ru-RU"/>
        </w:rPr>
        <w:t>;</w:t>
      </w:r>
      <w:r w:rsidRPr="00C97F18">
        <w:rPr>
          <w:bCs/>
          <w:lang w:val="ru-RU"/>
        </w:rPr>
        <w:t xml:space="preserve"> </w:t>
      </w:r>
    </w:p>
    <w:p w:rsidR="00C85043" w:rsidRPr="00253C6B" w:rsidRDefault="00C85043" w:rsidP="00BF61DC">
      <w:pPr>
        <w:pStyle w:val="ListParagraph"/>
        <w:numPr>
          <w:ilvl w:val="0"/>
          <w:numId w:val="121"/>
        </w:numPr>
        <w:autoSpaceDE w:val="0"/>
        <w:autoSpaceDN w:val="0"/>
        <w:adjustRightInd w:val="0"/>
        <w:spacing w:after="120"/>
        <w:ind w:left="714" w:hanging="357"/>
        <w:rPr>
          <w:bCs/>
          <w:lang w:val="ru-RU"/>
        </w:rPr>
      </w:pPr>
      <w:r w:rsidRPr="009044EE">
        <w:rPr>
          <w:bCs/>
          <w:lang w:val="ru-RU"/>
        </w:rPr>
        <w:t xml:space="preserve">заключение контракта с инженером </w:t>
      </w:r>
      <w:r>
        <w:rPr>
          <w:bCs/>
          <w:lang w:val="ru-RU"/>
        </w:rPr>
        <w:t>по обустройству фасада</w:t>
      </w:r>
      <w:r w:rsidRPr="009044EE">
        <w:rPr>
          <w:bCs/>
          <w:lang w:val="ru-RU"/>
        </w:rPr>
        <w:t>; и</w:t>
      </w:r>
      <w:r w:rsidRPr="00C97F18">
        <w:rPr>
          <w:bCs/>
          <w:lang w:val="ru-RU"/>
        </w:rPr>
        <w:t xml:space="preserve"> </w:t>
      </w:r>
    </w:p>
    <w:p w:rsidR="00C85043" w:rsidRPr="00253C6B"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экспертиза проекта</w:t>
      </w:r>
      <w:r w:rsidRPr="009044EE">
        <w:rPr>
          <w:bCs/>
          <w:lang w:val="ru-RU"/>
        </w:rPr>
        <w:t xml:space="preserve"> совместно с инженером </w:t>
      </w:r>
      <w:r>
        <w:rPr>
          <w:bCs/>
          <w:lang w:val="ru-RU"/>
        </w:rPr>
        <w:t>по обустройству фасада</w:t>
      </w:r>
      <w:r w:rsidRPr="009044EE">
        <w:rPr>
          <w:bCs/>
          <w:lang w:val="ru-RU"/>
        </w:rPr>
        <w:t>.</w:t>
      </w:r>
      <w:r w:rsidRPr="00C97F18">
        <w:rPr>
          <w:bCs/>
          <w:lang w:val="ru-RU"/>
        </w:rPr>
        <w:t xml:space="preserve"> </w:t>
      </w:r>
    </w:p>
    <w:p w:rsidR="00C85043" w:rsidRPr="00FA0C8A" w:rsidRDefault="00C85043" w:rsidP="00C85043">
      <w:pPr>
        <w:autoSpaceDE w:val="0"/>
        <w:autoSpaceDN w:val="0"/>
        <w:adjustRightInd w:val="0"/>
        <w:rPr>
          <w:rFonts w:eastAsia="Calibri" w:cs="Arial"/>
          <w:color w:val="000000"/>
          <w:szCs w:val="20"/>
          <w:lang w:val="ru-RU"/>
        </w:rPr>
      </w:pPr>
    </w:p>
    <w:p w:rsidR="00C85043" w:rsidRPr="00FA0C8A" w:rsidRDefault="00C85043" w:rsidP="00BF61DC">
      <w:pPr>
        <w:pStyle w:val="ListParagraph"/>
        <w:numPr>
          <w:ilvl w:val="0"/>
          <w:numId w:val="114"/>
        </w:numPr>
        <w:tabs>
          <w:tab w:val="left" w:pos="567"/>
        </w:tabs>
        <w:ind w:left="0" w:firstLine="0"/>
        <w:jc w:val="both"/>
        <w:rPr>
          <w:rFonts w:eastAsia="Calibri" w:cs="Arial"/>
          <w:color w:val="000000"/>
          <w:lang w:val="ru-RU"/>
        </w:rPr>
      </w:pPr>
      <w:r w:rsidRPr="00FA0C8A">
        <w:rPr>
          <w:rFonts w:eastAsia="Calibri" w:cs="Arial"/>
          <w:color w:val="000000"/>
          <w:lang w:val="ru-RU"/>
        </w:rPr>
        <w:t xml:space="preserve">Ввиду переноса сроков сдачи нового конференц-зала ВОИС (с начала 2014 г. на сентябрь 2014 г.) дата начала проекта была сдвинута на один год относительно первоначального плана. </w:t>
      </w:r>
      <w:r w:rsidRPr="004F4F1E">
        <w:rPr>
          <w:rFonts w:eastAsia="Calibri" w:cs="Arial"/>
          <w:color w:val="000000"/>
          <w:lang w:val="ru-RU"/>
        </w:rPr>
        <w:t>В график проекта были внесены соответствующие изменения.</w:t>
      </w:r>
    </w:p>
    <w:p w:rsidR="00C85043" w:rsidRPr="00FA0C8A" w:rsidRDefault="00C85043" w:rsidP="00C85043">
      <w:pPr>
        <w:autoSpaceDE w:val="0"/>
        <w:autoSpaceDN w:val="0"/>
        <w:adjustRightInd w:val="0"/>
        <w:rPr>
          <w:rFonts w:eastAsia="Calibri" w:cs="Arial"/>
          <w:color w:val="000000"/>
          <w:szCs w:val="20"/>
          <w:lang w:val="ru-RU"/>
        </w:rPr>
      </w:pPr>
    </w:p>
    <w:p w:rsidR="00C85043" w:rsidRPr="00253C6B" w:rsidRDefault="00C85043" w:rsidP="00BF61DC">
      <w:pPr>
        <w:pStyle w:val="ListParagraph"/>
        <w:numPr>
          <w:ilvl w:val="0"/>
          <w:numId w:val="114"/>
        </w:numPr>
        <w:tabs>
          <w:tab w:val="left" w:pos="567"/>
        </w:tabs>
        <w:ind w:left="0" w:firstLine="0"/>
        <w:jc w:val="both"/>
        <w:rPr>
          <w:rFonts w:eastAsia="Calibri" w:cs="Arial"/>
          <w:lang w:val="ru-RU"/>
        </w:rPr>
      </w:pPr>
      <w:r w:rsidRPr="00A64792">
        <w:rPr>
          <w:rFonts w:eastAsia="Calibri" w:cs="Arial"/>
          <w:lang w:val="ru-RU"/>
        </w:rPr>
        <w:t>В</w:t>
      </w:r>
      <w:r w:rsidRPr="00253C6B">
        <w:rPr>
          <w:rFonts w:eastAsia="Calibri" w:cs="Arial"/>
          <w:lang w:val="ru-RU"/>
        </w:rPr>
        <w:t xml:space="preserve"> 2015 </w:t>
      </w:r>
      <w:r w:rsidRPr="00A64792">
        <w:rPr>
          <w:rFonts w:eastAsia="Calibri" w:cs="Arial"/>
          <w:lang w:val="ru-RU"/>
        </w:rPr>
        <w:t>году</w:t>
      </w:r>
      <w:r w:rsidRPr="00253C6B">
        <w:rPr>
          <w:rFonts w:eastAsia="Calibri" w:cs="Arial"/>
          <w:lang w:val="ru-RU"/>
        </w:rPr>
        <w:t xml:space="preserve"> </w:t>
      </w:r>
      <w:r>
        <w:rPr>
          <w:rFonts w:eastAsia="Calibri" w:cs="Arial"/>
          <w:lang w:val="ru-RU"/>
        </w:rPr>
        <w:t>были</w:t>
      </w:r>
      <w:r w:rsidRPr="00253C6B">
        <w:rPr>
          <w:rFonts w:eastAsia="Calibri" w:cs="Arial"/>
          <w:lang w:val="ru-RU"/>
        </w:rPr>
        <w:t xml:space="preserve"> </w:t>
      </w:r>
      <w:r>
        <w:rPr>
          <w:rFonts w:eastAsia="Calibri" w:cs="Arial"/>
          <w:lang w:val="ru-RU"/>
        </w:rPr>
        <w:t>достигнуты</w:t>
      </w:r>
      <w:r w:rsidRPr="00253C6B">
        <w:rPr>
          <w:rFonts w:eastAsia="Calibri" w:cs="Arial"/>
          <w:lang w:val="ru-RU"/>
        </w:rPr>
        <w:t xml:space="preserve"> </w:t>
      </w:r>
      <w:r>
        <w:rPr>
          <w:rFonts w:eastAsia="Calibri" w:cs="Arial"/>
          <w:lang w:val="ru-RU"/>
        </w:rPr>
        <w:t>следующие</w:t>
      </w:r>
      <w:r w:rsidRPr="00253C6B">
        <w:rPr>
          <w:rFonts w:eastAsia="Calibri" w:cs="Arial"/>
          <w:lang w:val="ru-RU"/>
        </w:rPr>
        <w:t xml:space="preserve"> результат</w:t>
      </w:r>
      <w:r>
        <w:rPr>
          <w:rFonts w:eastAsia="Calibri" w:cs="Arial"/>
          <w:lang w:val="ru-RU"/>
        </w:rPr>
        <w:t>ы</w:t>
      </w:r>
      <w:r w:rsidRPr="00253C6B">
        <w:rPr>
          <w:rFonts w:eastAsia="Calibri" w:cs="Arial"/>
          <w:lang w:val="ru-RU"/>
        </w:rPr>
        <w:t>:</w:t>
      </w:r>
    </w:p>
    <w:p w:rsidR="00C85043" w:rsidRPr="00253C6B" w:rsidRDefault="00C85043" w:rsidP="00C85043">
      <w:pPr>
        <w:autoSpaceDE w:val="0"/>
        <w:autoSpaceDN w:val="0"/>
        <w:adjustRightInd w:val="0"/>
        <w:rPr>
          <w:rFonts w:eastAsia="Calibri" w:cs="Arial"/>
          <w:szCs w:val="20"/>
          <w:lang w:val="ru-RU"/>
        </w:rPr>
      </w:pPr>
    </w:p>
    <w:p w:rsidR="00C85043" w:rsidRPr="00AE0153" w:rsidRDefault="00C85043" w:rsidP="00BF61DC">
      <w:pPr>
        <w:pStyle w:val="ListParagraph"/>
        <w:numPr>
          <w:ilvl w:val="0"/>
          <w:numId w:val="121"/>
        </w:numPr>
        <w:autoSpaceDE w:val="0"/>
        <w:autoSpaceDN w:val="0"/>
        <w:adjustRightInd w:val="0"/>
        <w:spacing w:after="120"/>
        <w:ind w:left="714" w:hanging="357"/>
        <w:rPr>
          <w:bCs/>
          <w:lang w:val="ru-RU"/>
        </w:rPr>
      </w:pPr>
      <w:r w:rsidRPr="00AE0153">
        <w:rPr>
          <w:bCs/>
          <w:lang w:val="ru-RU"/>
        </w:rPr>
        <w:t>выполнени</w:t>
      </w:r>
      <w:r>
        <w:rPr>
          <w:bCs/>
          <w:lang w:val="ru-RU"/>
        </w:rPr>
        <w:t xml:space="preserve">е подготовительной </w:t>
      </w:r>
      <w:r w:rsidRPr="00AE0153">
        <w:rPr>
          <w:bCs/>
          <w:lang w:val="ru-RU"/>
        </w:rPr>
        <w:t>работ</w:t>
      </w:r>
      <w:r>
        <w:rPr>
          <w:bCs/>
          <w:lang w:val="ru-RU"/>
        </w:rPr>
        <w:t xml:space="preserve">ы по </w:t>
      </w:r>
      <w:r w:rsidRPr="00AE0153">
        <w:rPr>
          <w:bCs/>
          <w:lang w:val="ru-RU"/>
        </w:rPr>
        <w:t>определени</w:t>
      </w:r>
      <w:r>
        <w:rPr>
          <w:bCs/>
          <w:lang w:val="ru-RU"/>
        </w:rPr>
        <w:t xml:space="preserve">ю очередности ремонта окон </w:t>
      </w:r>
      <w:r w:rsidRPr="00AE0153">
        <w:rPr>
          <w:bCs/>
          <w:lang w:val="ru-RU"/>
        </w:rPr>
        <w:t>(</w:t>
      </w:r>
      <w:r>
        <w:rPr>
          <w:bCs/>
          <w:lang w:val="ru-RU"/>
        </w:rPr>
        <w:t>июль</w:t>
      </w:r>
      <w:r w:rsidRPr="00AE0153">
        <w:rPr>
          <w:bCs/>
          <w:lang w:val="ru-RU"/>
        </w:rPr>
        <w:t xml:space="preserve"> и </w:t>
      </w:r>
      <w:r>
        <w:rPr>
          <w:bCs/>
          <w:lang w:val="ru-RU"/>
        </w:rPr>
        <w:t>август</w:t>
      </w:r>
      <w:r w:rsidRPr="00AE0153">
        <w:rPr>
          <w:bCs/>
          <w:lang w:val="ru-RU"/>
        </w:rPr>
        <w:t xml:space="preserve"> 2015</w:t>
      </w:r>
      <w:r>
        <w:rPr>
          <w:bCs/>
          <w:lang w:val="ru-RU"/>
        </w:rPr>
        <w:t> г.</w:t>
      </w:r>
      <w:r w:rsidRPr="00AE0153">
        <w:rPr>
          <w:bCs/>
          <w:lang w:val="ru-RU"/>
        </w:rPr>
        <w:t xml:space="preserve">); </w:t>
      </w:r>
    </w:p>
    <w:p w:rsidR="00C85043" w:rsidRPr="00AE0153" w:rsidRDefault="00C85043" w:rsidP="00BF61DC">
      <w:pPr>
        <w:pStyle w:val="ListParagraph"/>
        <w:numPr>
          <w:ilvl w:val="0"/>
          <w:numId w:val="121"/>
        </w:numPr>
        <w:autoSpaceDE w:val="0"/>
        <w:autoSpaceDN w:val="0"/>
        <w:adjustRightInd w:val="0"/>
        <w:spacing w:after="120"/>
        <w:ind w:left="714" w:hanging="357"/>
        <w:rPr>
          <w:bCs/>
          <w:lang w:val="ru-RU"/>
        </w:rPr>
      </w:pPr>
      <w:r w:rsidRPr="00AE0153">
        <w:rPr>
          <w:bCs/>
          <w:lang w:val="ru-RU"/>
        </w:rPr>
        <w:t>выявлени</w:t>
      </w:r>
      <w:r>
        <w:rPr>
          <w:bCs/>
          <w:lang w:val="ru-RU"/>
        </w:rPr>
        <w:t>е</w:t>
      </w:r>
      <w:r w:rsidRPr="00AE0153">
        <w:rPr>
          <w:bCs/>
          <w:lang w:val="ru-RU"/>
        </w:rPr>
        <w:t xml:space="preserve"> техническ</w:t>
      </w:r>
      <w:r>
        <w:rPr>
          <w:bCs/>
          <w:lang w:val="ru-RU"/>
        </w:rPr>
        <w:t>их</w:t>
      </w:r>
      <w:r w:rsidRPr="00AE0153">
        <w:rPr>
          <w:bCs/>
          <w:lang w:val="ru-RU"/>
        </w:rPr>
        <w:t xml:space="preserve"> </w:t>
      </w:r>
      <w:r>
        <w:rPr>
          <w:bCs/>
          <w:lang w:val="ru-RU"/>
        </w:rPr>
        <w:t>проблем</w:t>
      </w:r>
      <w:r w:rsidR="00E47078">
        <w:rPr>
          <w:rStyle w:val="FootnoteReference"/>
          <w:bCs/>
          <w:lang w:val="ru-RU"/>
        </w:rPr>
        <w:footnoteReference w:id="180"/>
      </w:r>
      <w:r w:rsidRPr="00AE0153">
        <w:rPr>
          <w:bCs/>
          <w:lang w:val="ru-RU"/>
        </w:rPr>
        <w:t xml:space="preserve"> </w:t>
      </w:r>
      <w:r>
        <w:rPr>
          <w:bCs/>
          <w:lang w:val="ru-RU"/>
        </w:rPr>
        <w:t xml:space="preserve">при работе с образцами </w:t>
      </w:r>
      <w:r w:rsidRPr="00AE0153">
        <w:rPr>
          <w:bCs/>
          <w:lang w:val="ru-RU"/>
        </w:rPr>
        <w:t>ограниченн</w:t>
      </w:r>
      <w:r>
        <w:rPr>
          <w:bCs/>
          <w:lang w:val="ru-RU"/>
        </w:rPr>
        <w:t xml:space="preserve">ого </w:t>
      </w:r>
      <w:r w:rsidRPr="00AE0153">
        <w:rPr>
          <w:bCs/>
          <w:lang w:val="ru-RU"/>
        </w:rPr>
        <w:t>объе</w:t>
      </w:r>
      <w:r>
        <w:rPr>
          <w:bCs/>
          <w:lang w:val="ru-RU"/>
        </w:rPr>
        <w:t>ма</w:t>
      </w:r>
      <w:r w:rsidRPr="00AE0153">
        <w:rPr>
          <w:bCs/>
          <w:lang w:val="ru-RU"/>
        </w:rPr>
        <w:t xml:space="preserve">, </w:t>
      </w:r>
      <w:r w:rsidRPr="00622195">
        <w:rPr>
          <w:bCs/>
          <w:lang w:val="ru-RU"/>
        </w:rPr>
        <w:t>котор</w:t>
      </w:r>
      <w:r>
        <w:rPr>
          <w:bCs/>
          <w:lang w:val="ru-RU"/>
        </w:rPr>
        <w:t>ые привели к остановке работ</w:t>
      </w:r>
      <w:r w:rsidRPr="00AE0153">
        <w:rPr>
          <w:bCs/>
          <w:lang w:val="ru-RU"/>
        </w:rPr>
        <w:t>;</w:t>
      </w:r>
    </w:p>
    <w:p w:rsidR="00C85043" w:rsidRPr="00622195" w:rsidRDefault="00C85043" w:rsidP="00BF61DC">
      <w:pPr>
        <w:pStyle w:val="ListParagraph"/>
        <w:numPr>
          <w:ilvl w:val="0"/>
          <w:numId w:val="121"/>
        </w:numPr>
        <w:autoSpaceDE w:val="0"/>
        <w:autoSpaceDN w:val="0"/>
        <w:adjustRightInd w:val="0"/>
        <w:spacing w:after="120"/>
        <w:ind w:left="714" w:hanging="357"/>
        <w:rPr>
          <w:bCs/>
          <w:lang w:val="ru-RU"/>
        </w:rPr>
      </w:pPr>
      <w:r w:rsidRPr="00622195">
        <w:rPr>
          <w:bCs/>
          <w:lang w:val="ru-RU"/>
        </w:rPr>
        <w:t xml:space="preserve">решение </w:t>
      </w:r>
      <w:r>
        <w:rPr>
          <w:bCs/>
          <w:lang w:val="ru-RU"/>
        </w:rPr>
        <w:t xml:space="preserve">привлечь экспертов для повторной оценки ситуации с </w:t>
      </w:r>
      <w:r w:rsidRPr="00622195">
        <w:rPr>
          <w:bCs/>
          <w:lang w:val="ru-RU"/>
        </w:rPr>
        <w:t>техническ</w:t>
      </w:r>
      <w:r>
        <w:rPr>
          <w:bCs/>
          <w:lang w:val="ru-RU"/>
        </w:rPr>
        <w:t xml:space="preserve">ой точки зрения </w:t>
      </w:r>
      <w:r w:rsidRPr="00622195">
        <w:rPr>
          <w:bCs/>
          <w:lang w:val="ru-RU"/>
        </w:rPr>
        <w:t>и выработк</w:t>
      </w:r>
      <w:r>
        <w:rPr>
          <w:bCs/>
          <w:lang w:val="ru-RU"/>
        </w:rPr>
        <w:t xml:space="preserve">и </w:t>
      </w:r>
      <w:r w:rsidRPr="00622195">
        <w:rPr>
          <w:bCs/>
          <w:lang w:val="ru-RU"/>
        </w:rPr>
        <w:t>рекомендаци</w:t>
      </w:r>
      <w:r>
        <w:rPr>
          <w:bCs/>
          <w:lang w:val="ru-RU"/>
        </w:rPr>
        <w:t xml:space="preserve">й </w:t>
      </w:r>
      <w:r w:rsidRPr="00622195">
        <w:rPr>
          <w:bCs/>
          <w:lang w:val="ru-RU"/>
        </w:rPr>
        <w:t xml:space="preserve">в отношении </w:t>
      </w:r>
      <w:r>
        <w:rPr>
          <w:bCs/>
          <w:lang w:val="ru-RU"/>
        </w:rPr>
        <w:t>дальнейших действий</w:t>
      </w:r>
      <w:r w:rsidRPr="00622195">
        <w:rPr>
          <w:bCs/>
          <w:lang w:val="ru-RU"/>
        </w:rPr>
        <w:t>;  и</w:t>
      </w:r>
    </w:p>
    <w:p w:rsidR="00C85043" w:rsidRPr="00622195"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 xml:space="preserve">отсрочка </w:t>
      </w:r>
      <w:r w:rsidRPr="00622195">
        <w:rPr>
          <w:bCs/>
          <w:lang w:val="ru-RU"/>
        </w:rPr>
        <w:t>реализаци</w:t>
      </w:r>
      <w:r>
        <w:rPr>
          <w:bCs/>
          <w:lang w:val="ru-RU"/>
        </w:rPr>
        <w:t xml:space="preserve">и </w:t>
      </w:r>
      <w:r w:rsidRPr="00622195">
        <w:rPr>
          <w:bCs/>
          <w:lang w:val="ru-RU"/>
        </w:rPr>
        <w:t>проект</w:t>
      </w:r>
      <w:r>
        <w:rPr>
          <w:bCs/>
          <w:lang w:val="ru-RU"/>
        </w:rPr>
        <w:t xml:space="preserve">а до </w:t>
      </w:r>
      <w:r w:rsidRPr="00622195">
        <w:rPr>
          <w:bCs/>
          <w:lang w:val="ru-RU"/>
        </w:rPr>
        <w:t>решени</w:t>
      </w:r>
      <w:r>
        <w:rPr>
          <w:bCs/>
          <w:lang w:val="ru-RU"/>
        </w:rPr>
        <w:t xml:space="preserve">я </w:t>
      </w:r>
      <w:r w:rsidRPr="00622195">
        <w:rPr>
          <w:bCs/>
          <w:lang w:val="ru-RU"/>
        </w:rPr>
        <w:t>техническ</w:t>
      </w:r>
      <w:r>
        <w:rPr>
          <w:bCs/>
          <w:lang w:val="ru-RU"/>
        </w:rPr>
        <w:t>их</w:t>
      </w:r>
      <w:r w:rsidRPr="00622195">
        <w:rPr>
          <w:bCs/>
          <w:lang w:val="ru-RU"/>
        </w:rPr>
        <w:t xml:space="preserve"> </w:t>
      </w:r>
      <w:r>
        <w:rPr>
          <w:bCs/>
          <w:lang w:val="ru-RU"/>
        </w:rPr>
        <w:t>проблем</w:t>
      </w:r>
      <w:r w:rsidRPr="00622195">
        <w:rPr>
          <w:bCs/>
          <w:lang w:val="ru-RU"/>
        </w:rPr>
        <w:t>.</w:t>
      </w:r>
    </w:p>
    <w:p w:rsidR="00C85043" w:rsidRPr="00622195" w:rsidRDefault="00C85043" w:rsidP="00C85043">
      <w:pPr>
        <w:autoSpaceDE w:val="0"/>
        <w:autoSpaceDN w:val="0"/>
        <w:adjustRightInd w:val="0"/>
        <w:rPr>
          <w:rFonts w:eastAsia="Calibri" w:cs="Arial"/>
          <w:lang w:val="ru-RU"/>
        </w:rPr>
      </w:pPr>
    </w:p>
    <w:p w:rsidR="00C85043" w:rsidRPr="002229BE" w:rsidRDefault="00C85043" w:rsidP="00BF61DC">
      <w:pPr>
        <w:pStyle w:val="ListParagraph"/>
        <w:numPr>
          <w:ilvl w:val="0"/>
          <w:numId w:val="114"/>
        </w:numPr>
        <w:tabs>
          <w:tab w:val="left" w:pos="567"/>
        </w:tabs>
        <w:ind w:left="0" w:firstLine="0"/>
        <w:jc w:val="both"/>
        <w:rPr>
          <w:rFonts w:eastAsia="Calibri" w:cs="Arial"/>
          <w:lang w:val="ru-RU"/>
        </w:rPr>
      </w:pPr>
      <w:r w:rsidRPr="00622195">
        <w:rPr>
          <w:rFonts w:eastAsia="Calibri" w:cs="Arial"/>
          <w:szCs w:val="24"/>
          <w:lang w:val="ru-RU"/>
        </w:rPr>
        <w:t>По состоянию на</w:t>
      </w:r>
      <w:r>
        <w:rPr>
          <w:rFonts w:eastAsia="Calibri" w:cs="Arial"/>
          <w:lang w:val="ru-RU"/>
        </w:rPr>
        <w:t xml:space="preserve"> </w:t>
      </w:r>
      <w:r w:rsidRPr="00622195">
        <w:rPr>
          <w:rFonts w:eastAsia="Calibri" w:cs="Arial"/>
          <w:lang w:val="ru-RU"/>
        </w:rPr>
        <w:t>кон</w:t>
      </w:r>
      <w:r>
        <w:rPr>
          <w:rFonts w:eastAsia="Calibri" w:cs="Arial"/>
          <w:lang w:val="ru-RU"/>
        </w:rPr>
        <w:t>е</w:t>
      </w:r>
      <w:r w:rsidRPr="00622195">
        <w:rPr>
          <w:rFonts w:eastAsia="Calibri" w:cs="Arial"/>
          <w:lang w:val="ru-RU"/>
        </w:rPr>
        <w:t>ц 2015</w:t>
      </w:r>
      <w:r>
        <w:rPr>
          <w:rFonts w:eastAsia="Calibri" w:cs="Arial"/>
        </w:rPr>
        <w:t> </w:t>
      </w:r>
      <w:r w:rsidRPr="00622195">
        <w:rPr>
          <w:rFonts w:eastAsia="Calibri" w:cs="Arial"/>
          <w:lang w:val="ru-RU"/>
        </w:rPr>
        <w:t>г. полн</w:t>
      </w:r>
      <w:r>
        <w:rPr>
          <w:rFonts w:eastAsia="Calibri" w:cs="Arial"/>
          <w:lang w:val="ru-RU"/>
        </w:rPr>
        <w:t>ый</w:t>
      </w:r>
      <w:r w:rsidRPr="00622195">
        <w:rPr>
          <w:rFonts w:eastAsia="Calibri" w:cs="Arial"/>
          <w:lang w:val="ru-RU"/>
        </w:rPr>
        <w:t xml:space="preserve"> объе</w:t>
      </w:r>
      <w:r>
        <w:rPr>
          <w:rFonts w:eastAsia="Calibri" w:cs="Arial"/>
          <w:lang w:val="ru-RU"/>
        </w:rPr>
        <w:t xml:space="preserve">м </w:t>
      </w:r>
      <w:r w:rsidRPr="00622195">
        <w:rPr>
          <w:rFonts w:eastAsia="Calibri" w:cs="Arial"/>
          <w:lang w:val="ru-RU"/>
        </w:rPr>
        <w:t>последстви</w:t>
      </w:r>
      <w:r>
        <w:rPr>
          <w:rFonts w:eastAsia="Calibri" w:cs="Arial"/>
          <w:lang w:val="ru-RU"/>
        </w:rPr>
        <w:t xml:space="preserve">й </w:t>
      </w:r>
      <w:r w:rsidRPr="00622195">
        <w:rPr>
          <w:rFonts w:eastAsia="Calibri" w:cs="Arial"/>
          <w:lang w:val="ru-RU"/>
        </w:rPr>
        <w:t>выявлен</w:t>
      </w:r>
      <w:r>
        <w:rPr>
          <w:rFonts w:eastAsia="Calibri" w:cs="Arial"/>
          <w:lang w:val="ru-RU"/>
        </w:rPr>
        <w:t xml:space="preserve">ных </w:t>
      </w:r>
      <w:r w:rsidRPr="00622195">
        <w:rPr>
          <w:rFonts w:eastAsia="Calibri" w:cs="Arial"/>
          <w:lang w:val="ru-RU"/>
        </w:rPr>
        <w:t>техническ</w:t>
      </w:r>
      <w:r>
        <w:rPr>
          <w:rFonts w:eastAsia="Calibri" w:cs="Arial"/>
          <w:lang w:val="ru-RU"/>
        </w:rPr>
        <w:t>их</w:t>
      </w:r>
      <w:r w:rsidRPr="00622195">
        <w:rPr>
          <w:rFonts w:eastAsia="Calibri" w:cs="Arial"/>
          <w:lang w:val="ru-RU"/>
        </w:rPr>
        <w:t xml:space="preserve"> </w:t>
      </w:r>
      <w:r>
        <w:rPr>
          <w:rFonts w:eastAsia="Calibri" w:cs="Arial"/>
          <w:lang w:val="ru-RU"/>
        </w:rPr>
        <w:t xml:space="preserve">проблем для </w:t>
      </w:r>
      <w:r w:rsidRPr="00622195">
        <w:rPr>
          <w:rFonts w:eastAsia="Calibri" w:cs="Arial"/>
          <w:lang w:val="ru-RU"/>
        </w:rPr>
        <w:t>проект</w:t>
      </w:r>
      <w:r>
        <w:rPr>
          <w:rFonts w:eastAsia="Calibri" w:cs="Arial"/>
          <w:lang w:val="ru-RU"/>
        </w:rPr>
        <w:t xml:space="preserve">а </w:t>
      </w:r>
      <w:r w:rsidRPr="00622195">
        <w:rPr>
          <w:rFonts w:eastAsia="Calibri" w:cs="Arial"/>
          <w:lang w:val="ru-RU"/>
        </w:rPr>
        <w:t xml:space="preserve">все еще </w:t>
      </w:r>
      <w:r>
        <w:rPr>
          <w:rFonts w:eastAsia="Calibri" w:cs="Arial"/>
          <w:lang w:val="ru-RU"/>
        </w:rPr>
        <w:t xml:space="preserve">не был известен. Для уменьшения последствий </w:t>
      </w:r>
      <w:r w:rsidRPr="002229BE">
        <w:rPr>
          <w:rFonts w:eastAsia="Calibri" w:cs="Arial"/>
          <w:lang w:val="ru-RU"/>
        </w:rPr>
        <w:t>материал</w:t>
      </w:r>
      <w:r>
        <w:rPr>
          <w:rFonts w:eastAsia="Calibri" w:cs="Arial"/>
          <w:lang w:val="ru-RU"/>
        </w:rPr>
        <w:t xml:space="preserve">изации </w:t>
      </w:r>
      <w:r w:rsidRPr="002229BE">
        <w:rPr>
          <w:rFonts w:eastAsia="Calibri" w:cs="Arial"/>
          <w:snapToGrid w:val="0"/>
          <w:lang w:val="ru-RU"/>
        </w:rPr>
        <w:t>данн</w:t>
      </w:r>
      <w:r>
        <w:rPr>
          <w:rFonts w:eastAsia="Calibri" w:cs="Arial"/>
          <w:lang w:val="ru-RU"/>
        </w:rPr>
        <w:t xml:space="preserve">ого </w:t>
      </w:r>
      <w:r w:rsidRPr="002229BE">
        <w:rPr>
          <w:rFonts w:eastAsia="Calibri" w:cs="Arial"/>
          <w:lang w:val="ru-RU"/>
        </w:rPr>
        <w:t>риск</w:t>
      </w:r>
      <w:r>
        <w:rPr>
          <w:rFonts w:eastAsia="Calibri" w:cs="Arial"/>
          <w:lang w:val="ru-RU"/>
        </w:rPr>
        <w:t>а</w:t>
      </w:r>
      <w:r w:rsidRPr="002229BE">
        <w:rPr>
          <w:rFonts w:eastAsia="Calibri" w:cs="Arial"/>
          <w:lang w:val="ru-RU"/>
        </w:rPr>
        <w:t xml:space="preserve"> </w:t>
      </w:r>
      <w:r>
        <w:rPr>
          <w:rFonts w:eastAsia="Calibri" w:cs="Arial"/>
          <w:lang w:val="ru-RU"/>
        </w:rPr>
        <w:t xml:space="preserve">будут дополнительно привлечены </w:t>
      </w:r>
      <w:r w:rsidRPr="002229BE">
        <w:rPr>
          <w:rFonts w:eastAsia="Calibri" w:cs="Arial"/>
          <w:lang w:val="ru-RU"/>
        </w:rPr>
        <w:t>эксперты и выполнен</w:t>
      </w:r>
      <w:r>
        <w:rPr>
          <w:rFonts w:eastAsia="Calibri" w:cs="Arial"/>
          <w:lang w:val="ru-RU"/>
        </w:rPr>
        <w:t xml:space="preserve"> </w:t>
      </w:r>
      <w:r w:rsidRPr="004F4F1E">
        <w:rPr>
          <w:rFonts w:eastAsia="Calibri" w:cs="Arial"/>
          <w:lang w:val="ru-RU"/>
        </w:rPr>
        <w:t>анализ</w:t>
      </w:r>
      <w:r>
        <w:rPr>
          <w:rFonts w:eastAsia="Calibri" w:cs="Arial"/>
          <w:lang w:val="ru-RU"/>
        </w:rPr>
        <w:t xml:space="preserve">, </w:t>
      </w:r>
      <w:r w:rsidRPr="005A3B2C">
        <w:rPr>
          <w:rFonts w:eastAsia="Calibri" w:cs="Arial"/>
          <w:lang w:val="ru-RU"/>
        </w:rPr>
        <w:t>котор</w:t>
      </w:r>
      <w:r>
        <w:rPr>
          <w:rFonts w:eastAsia="Calibri" w:cs="Arial"/>
          <w:lang w:val="ru-RU"/>
        </w:rPr>
        <w:t xml:space="preserve">ый позволит дать </w:t>
      </w:r>
      <w:r w:rsidRPr="002229BE">
        <w:rPr>
          <w:rFonts w:eastAsia="Calibri" w:cs="Arial"/>
          <w:lang w:val="ru-RU"/>
        </w:rPr>
        <w:t>ВОИС рекомендаци</w:t>
      </w:r>
      <w:r>
        <w:rPr>
          <w:rFonts w:eastAsia="Calibri" w:cs="Arial"/>
          <w:lang w:val="ru-RU"/>
        </w:rPr>
        <w:t xml:space="preserve">и </w:t>
      </w:r>
      <w:r w:rsidRPr="002229BE">
        <w:rPr>
          <w:rFonts w:eastAsia="Calibri" w:cs="Arial"/>
          <w:lang w:val="ru-RU"/>
        </w:rPr>
        <w:t xml:space="preserve">в отношении </w:t>
      </w:r>
      <w:r>
        <w:rPr>
          <w:rFonts w:eastAsia="Calibri" w:cs="Arial"/>
          <w:lang w:val="ru-RU"/>
        </w:rPr>
        <w:t xml:space="preserve">наиболее </w:t>
      </w:r>
      <w:r w:rsidRPr="002229BE">
        <w:rPr>
          <w:rFonts w:eastAsia="Calibri" w:cs="Arial"/>
          <w:lang w:val="ru-RU"/>
        </w:rPr>
        <w:t>целесообразн</w:t>
      </w:r>
      <w:r>
        <w:rPr>
          <w:rFonts w:eastAsia="Calibri" w:cs="Arial"/>
          <w:lang w:val="ru-RU"/>
        </w:rPr>
        <w:t xml:space="preserve">ых действий. </w:t>
      </w:r>
    </w:p>
    <w:p w:rsidR="00C85043" w:rsidRPr="002229BE" w:rsidRDefault="00C85043" w:rsidP="00C85043">
      <w:pPr>
        <w:rPr>
          <w:bCs/>
          <w:szCs w:val="20"/>
          <w:lang w:val="ru-RU"/>
        </w:rPr>
      </w:pPr>
    </w:p>
    <w:p w:rsidR="00C85043" w:rsidRPr="002229BE" w:rsidRDefault="00C85043" w:rsidP="00C85043">
      <w:pPr>
        <w:rPr>
          <w:bCs/>
          <w:szCs w:val="20"/>
          <w:lang w:val="ru-RU"/>
        </w:rPr>
      </w:pPr>
    </w:p>
    <w:p w:rsidR="00C85043" w:rsidRPr="00F47045" w:rsidRDefault="00C85043" w:rsidP="00C85043">
      <w:pPr>
        <w:rPr>
          <w:bCs/>
          <w:szCs w:val="20"/>
        </w:rPr>
      </w:pPr>
      <w:r>
        <w:rPr>
          <w:bCs/>
          <w:szCs w:val="20"/>
          <w:lang w:val="fr-CH"/>
        </w:rPr>
        <w:t>РЕАЛИЗАЦИЯ ПОЛОЖИТЕЛЬНЫХ РЕЗУЛЬТАТОВ</w:t>
      </w:r>
    </w:p>
    <w:p w:rsidR="00C85043" w:rsidRPr="00CF53EE" w:rsidRDefault="00C85043" w:rsidP="00C85043">
      <w:pPr>
        <w:rPr>
          <w:szCs w:val="20"/>
        </w:rPr>
      </w:pPr>
    </w:p>
    <w:tbl>
      <w:tblPr>
        <w:tblW w:w="46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3"/>
        <w:gridCol w:w="4424"/>
      </w:tblGrid>
      <w:tr w:rsidR="00C85043" w:rsidRPr="005C6ABD" w:rsidTr="00C85043">
        <w:trPr>
          <w:trHeight w:val="421"/>
          <w:tblHeader/>
          <w:jc w:val="center"/>
        </w:trPr>
        <w:tc>
          <w:tcPr>
            <w:tcW w:w="2500" w:type="pct"/>
            <w:tcBorders>
              <w:bottom w:val="single" w:sz="4" w:space="0" w:color="auto"/>
            </w:tcBorders>
            <w:shd w:val="clear" w:color="auto" w:fill="C6D9F1"/>
            <w:vAlign w:val="center"/>
          </w:tcPr>
          <w:p w:rsidR="00C85043" w:rsidRPr="00D9720E" w:rsidRDefault="00C85043" w:rsidP="00C85043">
            <w:pPr>
              <w:jc w:val="center"/>
              <w:rPr>
                <w:b/>
                <w:bCs/>
                <w:sz w:val="16"/>
                <w:szCs w:val="16"/>
                <w:lang w:val="ru-RU"/>
              </w:rPr>
            </w:pPr>
            <w:r w:rsidRPr="00D9720E">
              <w:rPr>
                <w:b/>
                <w:bCs/>
                <w:sz w:val="16"/>
                <w:szCs w:val="16"/>
                <w:lang w:val="ru-RU"/>
              </w:rPr>
              <w:t>Положительные результаты, полученные в 2015 г.</w:t>
            </w:r>
          </w:p>
        </w:tc>
        <w:tc>
          <w:tcPr>
            <w:tcW w:w="2500" w:type="pct"/>
            <w:shd w:val="clear" w:color="auto" w:fill="C6D9F1"/>
            <w:vAlign w:val="center"/>
          </w:tcPr>
          <w:p w:rsidR="00C85043" w:rsidRPr="00D35DC4" w:rsidRDefault="00C85043" w:rsidP="00C85043">
            <w:pPr>
              <w:jc w:val="center"/>
              <w:rPr>
                <w:b/>
                <w:bCs/>
                <w:sz w:val="16"/>
                <w:szCs w:val="16"/>
                <w:lang w:val="ru-RU"/>
              </w:rPr>
            </w:pPr>
            <w:r w:rsidRPr="00D9720E">
              <w:rPr>
                <w:b/>
                <w:bCs/>
                <w:sz w:val="16"/>
                <w:szCs w:val="16"/>
                <w:lang w:val="ru-RU"/>
              </w:rPr>
              <w:t>Положительные</w:t>
            </w:r>
            <w:r w:rsidRPr="00D35DC4">
              <w:rPr>
                <w:b/>
                <w:bCs/>
                <w:sz w:val="16"/>
                <w:szCs w:val="16"/>
                <w:lang w:val="ru-RU"/>
              </w:rPr>
              <w:t xml:space="preserve"> </w:t>
            </w:r>
            <w:r w:rsidRPr="00D9720E">
              <w:rPr>
                <w:b/>
                <w:bCs/>
                <w:sz w:val="16"/>
                <w:szCs w:val="16"/>
                <w:lang w:val="ru-RU"/>
              </w:rPr>
              <w:t>результаты</w:t>
            </w:r>
            <w:r w:rsidRPr="00D35DC4">
              <w:rPr>
                <w:b/>
                <w:bCs/>
                <w:sz w:val="16"/>
                <w:szCs w:val="16"/>
                <w:lang w:val="ru-RU"/>
              </w:rPr>
              <w:t xml:space="preserve">, </w:t>
            </w:r>
            <w:r>
              <w:rPr>
                <w:b/>
                <w:bCs/>
                <w:sz w:val="16"/>
                <w:szCs w:val="16"/>
                <w:lang w:val="ru-RU"/>
              </w:rPr>
              <w:t>ожидаемые</w:t>
            </w:r>
            <w:r w:rsidRPr="00D35DC4">
              <w:rPr>
                <w:b/>
                <w:bCs/>
                <w:sz w:val="16"/>
                <w:szCs w:val="16"/>
                <w:lang w:val="ru-RU"/>
              </w:rPr>
              <w:t xml:space="preserve"> </w:t>
            </w:r>
            <w:r>
              <w:rPr>
                <w:b/>
                <w:bCs/>
                <w:sz w:val="16"/>
                <w:szCs w:val="16"/>
                <w:lang w:val="ru-RU"/>
              </w:rPr>
              <w:t>в</w:t>
            </w:r>
            <w:r w:rsidRPr="00D35DC4">
              <w:rPr>
                <w:b/>
                <w:bCs/>
                <w:sz w:val="16"/>
                <w:szCs w:val="16"/>
                <w:lang w:val="ru-RU"/>
              </w:rPr>
              <w:t xml:space="preserve"> </w:t>
            </w:r>
            <w:r w:rsidRPr="00E2273C">
              <w:rPr>
                <w:b/>
                <w:bCs/>
                <w:sz w:val="16"/>
                <w:szCs w:val="16"/>
                <w:lang w:val="ru-RU"/>
              </w:rPr>
              <w:t>будущ</w:t>
            </w:r>
            <w:r>
              <w:rPr>
                <w:b/>
                <w:bCs/>
                <w:sz w:val="16"/>
                <w:szCs w:val="16"/>
                <w:lang w:val="ru-RU"/>
              </w:rPr>
              <w:t>ем</w:t>
            </w:r>
            <w:r w:rsidRPr="00D35DC4">
              <w:rPr>
                <w:b/>
                <w:bCs/>
                <w:sz w:val="16"/>
                <w:szCs w:val="16"/>
                <w:lang w:val="ru-RU"/>
              </w:rPr>
              <w:t xml:space="preserve"> </w:t>
            </w:r>
          </w:p>
        </w:tc>
      </w:tr>
      <w:tr w:rsidR="00C85043" w:rsidRPr="005C6ABD" w:rsidTr="00C85043">
        <w:trPr>
          <w:trHeight w:val="564"/>
          <w:jc w:val="center"/>
        </w:trPr>
        <w:tc>
          <w:tcPr>
            <w:tcW w:w="2500" w:type="pct"/>
            <w:tcBorders>
              <w:top w:val="single" w:sz="4" w:space="0" w:color="auto"/>
              <w:bottom w:val="single" w:sz="4" w:space="0" w:color="auto"/>
            </w:tcBorders>
            <w:vAlign w:val="center"/>
          </w:tcPr>
          <w:p w:rsidR="00C85043" w:rsidRPr="002229BE" w:rsidRDefault="00C85043" w:rsidP="00C85043">
            <w:pPr>
              <w:rPr>
                <w:bCs/>
                <w:sz w:val="16"/>
                <w:szCs w:val="16"/>
                <w:lang w:val="ru-RU"/>
              </w:rPr>
            </w:pPr>
            <w:r>
              <w:rPr>
                <w:bCs/>
                <w:sz w:val="16"/>
                <w:szCs w:val="16"/>
                <w:lang w:val="ru-RU"/>
              </w:rPr>
              <w:t xml:space="preserve">В </w:t>
            </w:r>
            <w:r w:rsidRPr="002229BE">
              <w:rPr>
                <w:bCs/>
                <w:sz w:val="16"/>
                <w:szCs w:val="16"/>
                <w:lang w:val="ru-RU"/>
              </w:rPr>
              <w:t xml:space="preserve">2015 </w:t>
            </w:r>
            <w:r>
              <w:rPr>
                <w:bCs/>
                <w:sz w:val="16"/>
                <w:szCs w:val="16"/>
                <w:lang w:val="ru-RU"/>
              </w:rPr>
              <w:t xml:space="preserve">г., </w:t>
            </w:r>
            <w:r w:rsidRPr="002229BE">
              <w:rPr>
                <w:bCs/>
                <w:sz w:val="16"/>
                <w:szCs w:val="16"/>
                <w:lang w:val="ru-RU"/>
              </w:rPr>
              <w:t xml:space="preserve">в связи с </w:t>
            </w:r>
            <w:r>
              <w:rPr>
                <w:bCs/>
                <w:sz w:val="16"/>
                <w:szCs w:val="16"/>
                <w:lang w:val="ru-RU"/>
              </w:rPr>
              <w:t xml:space="preserve">прекращением работ после </w:t>
            </w:r>
            <w:r w:rsidRPr="002229BE">
              <w:rPr>
                <w:bCs/>
                <w:sz w:val="16"/>
                <w:szCs w:val="16"/>
                <w:lang w:val="ru-RU"/>
              </w:rPr>
              <w:t>выявления техническ</w:t>
            </w:r>
            <w:r>
              <w:rPr>
                <w:bCs/>
                <w:sz w:val="16"/>
                <w:szCs w:val="16"/>
                <w:lang w:val="ru-RU"/>
              </w:rPr>
              <w:t>их</w:t>
            </w:r>
            <w:r w:rsidRPr="002229BE">
              <w:rPr>
                <w:bCs/>
                <w:sz w:val="16"/>
                <w:szCs w:val="16"/>
                <w:lang w:val="ru-RU"/>
              </w:rPr>
              <w:t xml:space="preserve"> </w:t>
            </w:r>
            <w:r>
              <w:rPr>
                <w:bCs/>
                <w:sz w:val="16"/>
                <w:szCs w:val="16"/>
                <w:lang w:val="ru-RU"/>
              </w:rPr>
              <w:t xml:space="preserve">проблем, никаких </w:t>
            </w:r>
            <w:r w:rsidRPr="002229BE">
              <w:rPr>
                <w:bCs/>
                <w:sz w:val="16"/>
                <w:szCs w:val="16"/>
                <w:lang w:val="ru-RU"/>
              </w:rPr>
              <w:t>п</w:t>
            </w:r>
            <w:r>
              <w:rPr>
                <w:bCs/>
                <w:sz w:val="16"/>
                <w:szCs w:val="16"/>
                <w:lang w:val="ru-RU"/>
              </w:rPr>
              <w:t>оложительных</w:t>
            </w:r>
            <w:r w:rsidRPr="002229BE">
              <w:rPr>
                <w:bCs/>
                <w:sz w:val="16"/>
                <w:szCs w:val="16"/>
                <w:lang w:val="ru-RU"/>
              </w:rPr>
              <w:t xml:space="preserve"> </w:t>
            </w:r>
            <w:r>
              <w:rPr>
                <w:bCs/>
                <w:sz w:val="16"/>
                <w:szCs w:val="16"/>
                <w:lang w:val="ru-RU"/>
              </w:rPr>
              <w:t>результатов получено не было</w:t>
            </w:r>
            <w:r w:rsidRPr="002229BE">
              <w:rPr>
                <w:bCs/>
                <w:sz w:val="16"/>
                <w:szCs w:val="16"/>
                <w:lang w:val="ru-RU"/>
              </w:rPr>
              <w:t>.</w:t>
            </w:r>
          </w:p>
        </w:tc>
        <w:tc>
          <w:tcPr>
            <w:tcW w:w="2500" w:type="pct"/>
            <w:shd w:val="clear" w:color="auto" w:fill="auto"/>
            <w:vAlign w:val="center"/>
          </w:tcPr>
          <w:p w:rsidR="00C85043" w:rsidRPr="002229BE" w:rsidRDefault="00C85043" w:rsidP="00C85043">
            <w:pPr>
              <w:rPr>
                <w:bCs/>
                <w:sz w:val="16"/>
                <w:szCs w:val="16"/>
                <w:lang w:val="ru-RU"/>
              </w:rPr>
            </w:pPr>
            <w:r>
              <w:rPr>
                <w:bCs/>
                <w:sz w:val="16"/>
                <w:szCs w:val="16"/>
                <w:lang w:val="ru-RU"/>
              </w:rPr>
              <w:t xml:space="preserve">Завершение </w:t>
            </w:r>
            <w:r w:rsidRPr="002229BE">
              <w:rPr>
                <w:bCs/>
                <w:sz w:val="16"/>
                <w:szCs w:val="16"/>
                <w:lang w:val="ru-RU"/>
              </w:rPr>
              <w:t>работ</w:t>
            </w:r>
            <w:r>
              <w:rPr>
                <w:bCs/>
                <w:sz w:val="16"/>
                <w:szCs w:val="16"/>
                <w:lang w:val="ru-RU"/>
              </w:rPr>
              <w:t xml:space="preserve"> по сокращению потерь энергии</w:t>
            </w:r>
            <w:r w:rsidRPr="002229BE">
              <w:rPr>
                <w:bCs/>
                <w:sz w:val="16"/>
                <w:szCs w:val="16"/>
                <w:lang w:val="ru-RU"/>
              </w:rPr>
              <w:t xml:space="preserve"> через юг</w:t>
            </w:r>
            <w:r>
              <w:rPr>
                <w:bCs/>
                <w:sz w:val="16"/>
                <w:szCs w:val="16"/>
                <w:lang w:val="ru-RU"/>
              </w:rPr>
              <w:t>о</w:t>
            </w:r>
            <w:r w:rsidRPr="002229BE">
              <w:rPr>
                <w:bCs/>
                <w:sz w:val="16"/>
                <w:szCs w:val="16"/>
                <w:lang w:val="ru-RU"/>
              </w:rPr>
              <w:t>-</w:t>
            </w:r>
            <w:r>
              <w:rPr>
                <w:bCs/>
                <w:sz w:val="16"/>
                <w:szCs w:val="16"/>
                <w:lang w:val="ru-RU"/>
              </w:rPr>
              <w:t>западный</w:t>
            </w:r>
            <w:r w:rsidRPr="002229BE">
              <w:rPr>
                <w:bCs/>
                <w:sz w:val="16"/>
                <w:szCs w:val="16"/>
                <w:lang w:val="ru-RU"/>
              </w:rPr>
              <w:t xml:space="preserve"> </w:t>
            </w:r>
            <w:r>
              <w:rPr>
                <w:bCs/>
                <w:sz w:val="16"/>
                <w:szCs w:val="16"/>
                <w:lang w:val="ru-RU"/>
              </w:rPr>
              <w:t>фасад</w:t>
            </w:r>
            <w:r w:rsidRPr="002229BE">
              <w:rPr>
                <w:bCs/>
                <w:sz w:val="16"/>
                <w:szCs w:val="16"/>
                <w:lang w:val="ru-RU"/>
              </w:rPr>
              <w:t xml:space="preserve"> </w:t>
            </w:r>
            <w:r>
              <w:rPr>
                <w:bCs/>
                <w:sz w:val="16"/>
                <w:szCs w:val="16"/>
                <w:lang w:val="ru-RU"/>
              </w:rPr>
              <w:t>здания АБ</w:t>
            </w:r>
            <w:r w:rsidRPr="002229BE">
              <w:rPr>
                <w:bCs/>
                <w:sz w:val="16"/>
                <w:szCs w:val="16"/>
                <w:lang w:val="ru-RU"/>
              </w:rPr>
              <w:t>.</w:t>
            </w:r>
          </w:p>
        </w:tc>
      </w:tr>
      <w:tr w:rsidR="00C85043" w:rsidRPr="005C6ABD" w:rsidTr="00C85043">
        <w:trPr>
          <w:trHeight w:val="564"/>
          <w:jc w:val="center"/>
        </w:trPr>
        <w:tc>
          <w:tcPr>
            <w:tcW w:w="2500" w:type="pct"/>
            <w:tcBorders>
              <w:top w:val="single" w:sz="4" w:space="0" w:color="auto"/>
              <w:bottom w:val="single" w:sz="4" w:space="0" w:color="auto"/>
            </w:tcBorders>
            <w:vAlign w:val="center"/>
          </w:tcPr>
          <w:p w:rsidR="00C85043" w:rsidRPr="002229BE" w:rsidRDefault="00C85043" w:rsidP="00C85043">
            <w:pPr>
              <w:rPr>
                <w:bCs/>
                <w:sz w:val="16"/>
                <w:szCs w:val="16"/>
                <w:lang w:val="ru-RU"/>
              </w:rPr>
            </w:pPr>
          </w:p>
        </w:tc>
        <w:tc>
          <w:tcPr>
            <w:tcW w:w="2500" w:type="pct"/>
            <w:shd w:val="clear" w:color="auto" w:fill="auto"/>
            <w:vAlign w:val="center"/>
          </w:tcPr>
          <w:p w:rsidR="00C85043" w:rsidRPr="00BE1759" w:rsidRDefault="00C85043" w:rsidP="00C85043">
            <w:pPr>
              <w:rPr>
                <w:bCs/>
                <w:sz w:val="16"/>
                <w:szCs w:val="16"/>
                <w:lang w:val="ru-RU"/>
              </w:rPr>
            </w:pPr>
            <w:r>
              <w:rPr>
                <w:bCs/>
                <w:sz w:val="16"/>
                <w:szCs w:val="16"/>
                <w:lang w:val="ru-RU"/>
              </w:rPr>
              <w:t xml:space="preserve">Более высокий уровень теплового комфорта </w:t>
            </w:r>
            <w:r w:rsidRPr="00BE1759">
              <w:rPr>
                <w:bCs/>
                <w:sz w:val="16"/>
                <w:szCs w:val="16"/>
                <w:lang w:val="ru-RU"/>
              </w:rPr>
              <w:t>в течение</w:t>
            </w:r>
            <w:r>
              <w:rPr>
                <w:bCs/>
                <w:sz w:val="16"/>
                <w:szCs w:val="16"/>
                <w:lang w:val="ru-RU"/>
              </w:rPr>
              <w:t xml:space="preserve"> всего </w:t>
            </w:r>
            <w:r w:rsidRPr="00BE1759">
              <w:rPr>
                <w:bCs/>
                <w:sz w:val="16"/>
                <w:szCs w:val="16"/>
                <w:lang w:val="ru-RU"/>
              </w:rPr>
              <w:t>год</w:t>
            </w:r>
            <w:r>
              <w:rPr>
                <w:bCs/>
                <w:sz w:val="16"/>
                <w:szCs w:val="16"/>
                <w:lang w:val="ru-RU"/>
              </w:rPr>
              <w:t>а</w:t>
            </w:r>
            <w:r w:rsidRPr="00BE1759">
              <w:rPr>
                <w:bCs/>
                <w:sz w:val="16"/>
                <w:szCs w:val="16"/>
                <w:lang w:val="ru-RU"/>
              </w:rPr>
              <w:t>.</w:t>
            </w:r>
          </w:p>
        </w:tc>
      </w:tr>
      <w:tr w:rsidR="00C85043" w:rsidRPr="005C6ABD" w:rsidTr="00C85043">
        <w:trPr>
          <w:trHeight w:val="564"/>
          <w:jc w:val="center"/>
        </w:trPr>
        <w:tc>
          <w:tcPr>
            <w:tcW w:w="2500" w:type="pct"/>
            <w:tcBorders>
              <w:top w:val="single" w:sz="4" w:space="0" w:color="auto"/>
              <w:bottom w:val="single" w:sz="4" w:space="0" w:color="auto"/>
            </w:tcBorders>
            <w:vAlign w:val="center"/>
          </w:tcPr>
          <w:p w:rsidR="00C85043" w:rsidRPr="00BE1759" w:rsidRDefault="00C85043" w:rsidP="00C85043">
            <w:pPr>
              <w:rPr>
                <w:bCs/>
                <w:sz w:val="16"/>
                <w:szCs w:val="16"/>
                <w:lang w:val="ru-RU"/>
              </w:rPr>
            </w:pPr>
          </w:p>
        </w:tc>
        <w:tc>
          <w:tcPr>
            <w:tcW w:w="2500" w:type="pct"/>
            <w:shd w:val="clear" w:color="auto" w:fill="auto"/>
            <w:vAlign w:val="center"/>
          </w:tcPr>
          <w:p w:rsidR="00C85043" w:rsidRPr="00D35DC4" w:rsidRDefault="00C85043" w:rsidP="00C85043">
            <w:pPr>
              <w:rPr>
                <w:bCs/>
                <w:sz w:val="16"/>
                <w:szCs w:val="16"/>
                <w:lang w:val="ru-RU"/>
              </w:rPr>
            </w:pPr>
            <w:r w:rsidRPr="009044EE">
              <w:rPr>
                <w:bCs/>
                <w:sz w:val="16"/>
                <w:szCs w:val="16"/>
                <w:lang w:val="ru-RU"/>
              </w:rPr>
              <w:t xml:space="preserve">Вторичное использование наименее поврежденных окон </w:t>
            </w:r>
            <w:r>
              <w:rPr>
                <w:bCs/>
                <w:sz w:val="16"/>
                <w:szCs w:val="16"/>
                <w:lang w:val="ru-RU"/>
              </w:rPr>
              <w:t>для других фасадов</w:t>
            </w:r>
            <w:r w:rsidRPr="009044EE">
              <w:rPr>
                <w:bCs/>
                <w:sz w:val="16"/>
                <w:szCs w:val="16"/>
                <w:lang w:val="ru-RU"/>
              </w:rPr>
              <w:t xml:space="preserve"> здания АВ</w:t>
            </w:r>
          </w:p>
        </w:tc>
      </w:tr>
      <w:tr w:rsidR="00C85043" w:rsidRPr="005C6ABD" w:rsidTr="00C85043">
        <w:trPr>
          <w:trHeight w:val="564"/>
          <w:jc w:val="center"/>
        </w:trPr>
        <w:tc>
          <w:tcPr>
            <w:tcW w:w="2500" w:type="pct"/>
            <w:tcBorders>
              <w:top w:val="single" w:sz="4" w:space="0" w:color="auto"/>
              <w:bottom w:val="single" w:sz="4" w:space="0" w:color="auto"/>
            </w:tcBorders>
            <w:vAlign w:val="center"/>
          </w:tcPr>
          <w:p w:rsidR="00C85043" w:rsidRPr="00D35DC4" w:rsidRDefault="00C85043" w:rsidP="00C85043">
            <w:pPr>
              <w:rPr>
                <w:bCs/>
                <w:sz w:val="16"/>
                <w:szCs w:val="16"/>
                <w:lang w:val="ru-RU"/>
              </w:rPr>
            </w:pPr>
          </w:p>
        </w:tc>
        <w:tc>
          <w:tcPr>
            <w:tcW w:w="2500" w:type="pct"/>
            <w:shd w:val="clear" w:color="auto" w:fill="auto"/>
            <w:vAlign w:val="center"/>
          </w:tcPr>
          <w:p w:rsidR="00C85043" w:rsidRPr="00D35DC4" w:rsidRDefault="00C85043" w:rsidP="00C85043">
            <w:pPr>
              <w:rPr>
                <w:bCs/>
                <w:sz w:val="16"/>
                <w:szCs w:val="16"/>
                <w:lang w:val="ru-RU"/>
              </w:rPr>
            </w:pPr>
            <w:r w:rsidRPr="009044EE">
              <w:rPr>
                <w:bCs/>
                <w:sz w:val="16"/>
                <w:szCs w:val="16"/>
                <w:lang w:val="ru-RU"/>
              </w:rPr>
              <w:t>Улучшение внешнего вида юго-западного фасада здания АВ</w:t>
            </w:r>
          </w:p>
        </w:tc>
      </w:tr>
      <w:tr w:rsidR="00C85043" w:rsidRPr="00E04EBD" w:rsidTr="00C85043">
        <w:trPr>
          <w:trHeight w:val="564"/>
          <w:jc w:val="center"/>
        </w:trPr>
        <w:tc>
          <w:tcPr>
            <w:tcW w:w="2500" w:type="pct"/>
            <w:tcBorders>
              <w:top w:val="single" w:sz="4" w:space="0" w:color="auto"/>
              <w:bottom w:val="single" w:sz="4" w:space="0" w:color="auto"/>
            </w:tcBorders>
            <w:vAlign w:val="center"/>
          </w:tcPr>
          <w:p w:rsidR="00C85043" w:rsidRPr="00D35DC4" w:rsidRDefault="00C85043" w:rsidP="00C85043">
            <w:pPr>
              <w:rPr>
                <w:bCs/>
                <w:sz w:val="16"/>
                <w:szCs w:val="16"/>
                <w:lang w:val="ru-RU"/>
              </w:rPr>
            </w:pPr>
          </w:p>
        </w:tc>
        <w:tc>
          <w:tcPr>
            <w:tcW w:w="2500" w:type="pct"/>
            <w:shd w:val="clear" w:color="auto" w:fill="auto"/>
            <w:vAlign w:val="center"/>
          </w:tcPr>
          <w:p w:rsidR="00C85043" w:rsidRPr="00855F38" w:rsidRDefault="00C85043" w:rsidP="00C85043">
            <w:pPr>
              <w:rPr>
                <w:bCs/>
                <w:sz w:val="16"/>
                <w:szCs w:val="16"/>
              </w:rPr>
            </w:pPr>
            <w:r w:rsidRPr="00D35DC4">
              <w:rPr>
                <w:bCs/>
                <w:sz w:val="16"/>
                <w:szCs w:val="16"/>
              </w:rPr>
              <w:t>Повышение энергоэффективности</w:t>
            </w:r>
            <w:r>
              <w:rPr>
                <w:bCs/>
                <w:sz w:val="16"/>
                <w:szCs w:val="16"/>
              </w:rPr>
              <w:t>.</w:t>
            </w:r>
          </w:p>
        </w:tc>
      </w:tr>
    </w:tbl>
    <w:p w:rsidR="00C85043" w:rsidRPr="00E04EBD" w:rsidRDefault="00C85043" w:rsidP="00C85043">
      <w:pPr>
        <w:rPr>
          <w:b/>
          <w:szCs w:val="20"/>
        </w:rPr>
      </w:pPr>
    </w:p>
    <w:p w:rsidR="00C85043" w:rsidRPr="00E04EBD" w:rsidRDefault="00C85043" w:rsidP="00C85043">
      <w:pPr>
        <w:rPr>
          <w:szCs w:val="20"/>
        </w:rPr>
      </w:pPr>
    </w:p>
    <w:p w:rsidR="00C85043" w:rsidRPr="00ED7C01" w:rsidRDefault="00C85043" w:rsidP="00C85043">
      <w:pPr>
        <w:keepNext/>
        <w:rPr>
          <w:rFonts w:cs="Arial"/>
          <w:color w:val="000000"/>
          <w:szCs w:val="20"/>
        </w:rPr>
      </w:pPr>
      <w:r>
        <w:rPr>
          <w:rFonts w:cs="Arial"/>
          <w:color w:val="000000"/>
          <w:szCs w:val="20"/>
        </w:rPr>
        <w:t>ИСПОЛЬЗОВАНИЕ РЕСУРСОВ</w:t>
      </w:r>
      <w:r w:rsidRPr="00ED7C01">
        <w:rPr>
          <w:rStyle w:val="FootnoteReference"/>
          <w:szCs w:val="20"/>
        </w:rPr>
        <w:footnoteReference w:id="181"/>
      </w:r>
      <w:r w:rsidRPr="00ED7C01">
        <w:rPr>
          <w:rFonts w:cs="Arial"/>
          <w:color w:val="000000"/>
          <w:szCs w:val="20"/>
        </w:rPr>
        <w:tab/>
      </w:r>
    </w:p>
    <w:p w:rsidR="00C85043" w:rsidRPr="00E04EBD" w:rsidRDefault="00C85043" w:rsidP="00C85043">
      <w:pPr>
        <w:keepNext/>
        <w:rPr>
          <w:rFonts w:cs="Arial"/>
          <w:color w:val="000000"/>
          <w:sz w:val="22"/>
          <w:szCs w:val="22"/>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szCs w:val="22"/>
          <w:lang w:val="ru-RU"/>
        </w:rPr>
        <w:t>Сумма бюджетных средств, освоенных в рамках проекта</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1"/>
        <w:gridCol w:w="1565"/>
        <w:gridCol w:w="1565"/>
        <w:gridCol w:w="1564"/>
        <w:gridCol w:w="1687"/>
      </w:tblGrid>
      <w:tr w:rsidR="00C85043" w:rsidRPr="00E04EBD" w:rsidTr="00C85043">
        <w:trPr>
          <w:trHeight w:val="410"/>
        </w:trPr>
        <w:tc>
          <w:tcPr>
            <w:tcW w:w="1577"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A62678"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Наименование проекта</w:t>
            </w:r>
          </w:p>
        </w:tc>
        <w:tc>
          <w:tcPr>
            <w:tcW w:w="839"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122972" w:rsidRDefault="00C85043" w:rsidP="00C85043">
            <w:pPr>
              <w:keepNext/>
              <w:keepLines/>
              <w:autoSpaceDE w:val="0"/>
              <w:autoSpaceDN w:val="0"/>
              <w:adjustRightInd w:val="0"/>
              <w:spacing w:before="40" w:after="40"/>
              <w:ind w:left="-107" w:right="-108"/>
              <w:jc w:val="center"/>
              <w:rPr>
                <w:b/>
                <w:bCs/>
                <w:sz w:val="16"/>
                <w:szCs w:val="16"/>
              </w:rPr>
            </w:pPr>
            <w:r>
              <w:rPr>
                <w:b/>
                <w:bCs/>
                <w:sz w:val="16"/>
                <w:szCs w:val="16"/>
              </w:rPr>
              <w:t>Смета по проекту</w:t>
            </w:r>
          </w:p>
        </w:tc>
        <w:tc>
          <w:tcPr>
            <w:tcW w:w="839"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39"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C67D85" w:rsidRDefault="00C85043" w:rsidP="00C85043">
            <w:pPr>
              <w:keepNext/>
              <w:keepLines/>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90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keepNext/>
              <w:keepLines/>
              <w:autoSpaceDE w:val="0"/>
              <w:autoSpaceDN w:val="0"/>
              <w:adjustRightInd w:val="0"/>
              <w:spacing w:before="40" w:after="40"/>
              <w:ind w:left="-109" w:right="-73" w:firstLine="1"/>
              <w:jc w:val="center"/>
              <w:rPr>
                <w:b/>
                <w:bCs/>
                <w:sz w:val="16"/>
                <w:szCs w:val="16"/>
              </w:rPr>
            </w:pPr>
            <w:r>
              <w:rPr>
                <w:b/>
                <w:bCs/>
                <w:sz w:val="16"/>
                <w:szCs w:val="16"/>
              </w:rPr>
              <w:t>Степень реализации проекта</w:t>
            </w:r>
          </w:p>
        </w:tc>
      </w:tr>
      <w:tr w:rsidR="00C85043" w:rsidRPr="00E04EBD" w:rsidTr="00C85043">
        <w:trPr>
          <w:trHeight w:val="389"/>
        </w:trPr>
        <w:tc>
          <w:tcPr>
            <w:tcW w:w="1577" w:type="pct"/>
            <w:tcBorders>
              <w:top w:val="single" w:sz="4" w:space="0" w:color="auto"/>
              <w:left w:val="single" w:sz="4" w:space="0" w:color="auto"/>
              <w:bottom w:val="single" w:sz="4" w:space="0" w:color="auto"/>
              <w:right w:val="single" w:sz="4" w:space="0" w:color="auto"/>
            </w:tcBorders>
            <w:vAlign w:val="center"/>
          </w:tcPr>
          <w:p w:rsidR="00C85043" w:rsidRPr="008C15AF" w:rsidRDefault="00C85043" w:rsidP="00C85043">
            <w:pPr>
              <w:keepNext/>
              <w:keepLines/>
              <w:autoSpaceDE w:val="0"/>
              <w:autoSpaceDN w:val="0"/>
              <w:adjustRightInd w:val="0"/>
              <w:spacing w:before="40" w:after="40"/>
              <w:rPr>
                <w:sz w:val="16"/>
                <w:szCs w:val="16"/>
                <w:lang w:val="ru-RU"/>
              </w:rPr>
            </w:pPr>
            <w:r w:rsidRPr="008C15AF">
              <w:rPr>
                <w:sz w:val="16"/>
                <w:szCs w:val="16"/>
                <w:lang w:val="ru-RU"/>
              </w:rPr>
              <w:t>Здание Арпад Богш</w:t>
            </w:r>
            <w:r>
              <w:rPr>
                <w:sz w:val="16"/>
                <w:szCs w:val="16"/>
                <w:lang w:val="ru-RU"/>
              </w:rPr>
              <w:t xml:space="preserve">: </w:t>
            </w:r>
            <w:r w:rsidRPr="008C15AF">
              <w:rPr>
                <w:sz w:val="16"/>
                <w:szCs w:val="16"/>
                <w:lang w:val="ru-RU"/>
              </w:rPr>
              <w:t>замена некоторых окон</w:t>
            </w:r>
          </w:p>
        </w:tc>
        <w:tc>
          <w:tcPr>
            <w:tcW w:w="839" w:type="pct"/>
            <w:tcBorders>
              <w:top w:val="single" w:sz="4" w:space="0" w:color="auto"/>
              <w:left w:val="single" w:sz="4" w:space="0" w:color="auto"/>
              <w:bottom w:val="single" w:sz="4" w:space="0" w:color="auto"/>
              <w:right w:val="single" w:sz="4" w:space="0" w:color="auto"/>
            </w:tcBorders>
            <w:vAlign w:val="center"/>
          </w:tcPr>
          <w:p w:rsidR="00C85043" w:rsidRPr="00E04EBD" w:rsidRDefault="00C85043" w:rsidP="00C85043">
            <w:pPr>
              <w:keepNext/>
              <w:keepLines/>
              <w:autoSpaceDE w:val="0"/>
              <w:autoSpaceDN w:val="0"/>
              <w:adjustRightInd w:val="0"/>
              <w:spacing w:before="40" w:after="40"/>
              <w:jc w:val="center"/>
              <w:rPr>
                <w:sz w:val="16"/>
                <w:szCs w:val="16"/>
              </w:rPr>
            </w:pPr>
            <w:r w:rsidRPr="00E04EBD">
              <w:rPr>
                <w:sz w:val="16"/>
                <w:szCs w:val="16"/>
              </w:rPr>
              <w:t>300</w:t>
            </w:r>
            <w:r>
              <w:rPr>
                <w:sz w:val="16"/>
                <w:szCs w:val="16"/>
              </w:rPr>
              <w:t> </w:t>
            </w:r>
            <w:r w:rsidRPr="00E04EBD">
              <w:rPr>
                <w:sz w:val="16"/>
                <w:szCs w:val="16"/>
              </w:rPr>
              <w:t>000</w:t>
            </w:r>
          </w:p>
        </w:tc>
        <w:tc>
          <w:tcPr>
            <w:tcW w:w="839" w:type="pct"/>
            <w:tcBorders>
              <w:top w:val="single" w:sz="4" w:space="0" w:color="auto"/>
              <w:left w:val="single" w:sz="4" w:space="0" w:color="auto"/>
              <w:bottom w:val="single" w:sz="4" w:space="0" w:color="auto"/>
              <w:right w:val="single" w:sz="4" w:space="0" w:color="auto"/>
            </w:tcBorders>
            <w:vAlign w:val="center"/>
          </w:tcPr>
          <w:p w:rsidR="00C85043" w:rsidRPr="00723CCF" w:rsidRDefault="00C85043" w:rsidP="00C85043">
            <w:pPr>
              <w:keepNext/>
              <w:keepLines/>
              <w:autoSpaceDE w:val="0"/>
              <w:autoSpaceDN w:val="0"/>
              <w:adjustRightInd w:val="0"/>
              <w:spacing w:before="40" w:after="40"/>
              <w:jc w:val="center"/>
              <w:rPr>
                <w:sz w:val="16"/>
                <w:szCs w:val="16"/>
              </w:rPr>
            </w:pPr>
            <w:r w:rsidRPr="00723CCF">
              <w:rPr>
                <w:sz w:val="16"/>
                <w:szCs w:val="16"/>
              </w:rPr>
              <w:t>47</w:t>
            </w:r>
            <w:r>
              <w:rPr>
                <w:sz w:val="16"/>
                <w:szCs w:val="16"/>
              </w:rPr>
              <w:t> </w:t>
            </w:r>
            <w:r w:rsidRPr="00723CCF">
              <w:rPr>
                <w:sz w:val="16"/>
                <w:szCs w:val="16"/>
              </w:rPr>
              <w:t>042</w:t>
            </w:r>
          </w:p>
        </w:tc>
        <w:tc>
          <w:tcPr>
            <w:tcW w:w="839" w:type="pct"/>
            <w:tcBorders>
              <w:top w:val="single" w:sz="4" w:space="0" w:color="auto"/>
              <w:left w:val="single" w:sz="4" w:space="0" w:color="auto"/>
              <w:bottom w:val="single" w:sz="4" w:space="0" w:color="auto"/>
              <w:right w:val="single" w:sz="4" w:space="0" w:color="auto"/>
            </w:tcBorders>
            <w:vAlign w:val="center"/>
          </w:tcPr>
          <w:p w:rsidR="00C85043" w:rsidRPr="00723CCF" w:rsidRDefault="00C85043" w:rsidP="00C85043">
            <w:pPr>
              <w:keepNext/>
              <w:keepLines/>
              <w:autoSpaceDE w:val="0"/>
              <w:autoSpaceDN w:val="0"/>
              <w:adjustRightInd w:val="0"/>
              <w:spacing w:before="40" w:after="40"/>
              <w:jc w:val="center"/>
              <w:rPr>
                <w:sz w:val="16"/>
                <w:szCs w:val="16"/>
              </w:rPr>
            </w:pPr>
            <w:r w:rsidRPr="00723CCF">
              <w:rPr>
                <w:sz w:val="16"/>
                <w:szCs w:val="16"/>
              </w:rPr>
              <w:t>15</w:t>
            </w:r>
            <w:r>
              <w:rPr>
                <w:sz w:val="16"/>
                <w:szCs w:val="16"/>
              </w:rPr>
              <w:t>,</w:t>
            </w:r>
            <w:r w:rsidRPr="00723CCF">
              <w:rPr>
                <w:sz w:val="16"/>
                <w:szCs w:val="16"/>
              </w:rPr>
              <w:t>7%</w:t>
            </w:r>
          </w:p>
        </w:tc>
        <w:tc>
          <w:tcPr>
            <w:tcW w:w="905" w:type="pct"/>
            <w:tcBorders>
              <w:top w:val="single" w:sz="4" w:space="0" w:color="auto"/>
              <w:left w:val="single" w:sz="4" w:space="0" w:color="auto"/>
              <w:bottom w:val="single" w:sz="4" w:space="0" w:color="auto"/>
              <w:right w:val="single" w:sz="4" w:space="0" w:color="auto"/>
            </w:tcBorders>
            <w:vAlign w:val="center"/>
          </w:tcPr>
          <w:p w:rsidR="00C85043" w:rsidRPr="00723CCF" w:rsidRDefault="00C85043" w:rsidP="00C85043">
            <w:pPr>
              <w:keepNext/>
              <w:keepLines/>
              <w:autoSpaceDE w:val="0"/>
              <w:autoSpaceDN w:val="0"/>
              <w:adjustRightInd w:val="0"/>
              <w:spacing w:before="40" w:after="40"/>
              <w:jc w:val="center"/>
              <w:rPr>
                <w:sz w:val="16"/>
                <w:szCs w:val="16"/>
              </w:rPr>
            </w:pPr>
            <w:r w:rsidRPr="00723CCF">
              <w:rPr>
                <w:sz w:val="16"/>
                <w:szCs w:val="16"/>
              </w:rPr>
              <w:t>15%</w:t>
            </w:r>
          </w:p>
        </w:tc>
      </w:tr>
    </w:tbl>
    <w:p w:rsidR="00C85043" w:rsidRPr="00ED7C01" w:rsidRDefault="00C85043" w:rsidP="00C85043">
      <w:pPr>
        <w:keepNext/>
        <w:autoSpaceDE w:val="0"/>
        <w:autoSpaceDN w:val="0"/>
        <w:rPr>
          <w:szCs w:val="16"/>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szCs w:val="22"/>
          <w:lang w:val="ru-RU"/>
        </w:rPr>
        <w:t>Сумма бюджетных средств, освоенных в рамках проекта (</w:t>
      </w:r>
      <w:r>
        <w:rPr>
          <w:b/>
          <w:szCs w:val="22"/>
          <w:lang w:val="ru-RU"/>
        </w:rPr>
        <w:t>в разбивке по основным результатам</w:t>
      </w:r>
      <w:r w:rsidRPr="007F540C">
        <w:rPr>
          <w:b/>
          <w:szCs w:val="22"/>
          <w:lang w:val="ru-RU"/>
        </w:rPr>
        <w:t>)</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0"/>
        <w:gridCol w:w="1575"/>
        <w:gridCol w:w="1575"/>
        <w:gridCol w:w="1575"/>
        <w:gridCol w:w="1697"/>
      </w:tblGrid>
      <w:tr w:rsidR="00C85043" w:rsidRPr="005C6ABD" w:rsidTr="00C85043">
        <w:trPr>
          <w:trHeight w:val="410"/>
        </w:trPr>
        <w:tc>
          <w:tcPr>
            <w:tcW w:w="155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Основной результат</w:t>
            </w:r>
          </w:p>
        </w:tc>
        <w:tc>
          <w:tcPr>
            <w:tcW w:w="84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keepNext/>
              <w:keepLines/>
              <w:autoSpaceDE w:val="0"/>
              <w:autoSpaceDN w:val="0"/>
              <w:adjustRightInd w:val="0"/>
              <w:spacing w:before="40" w:after="40"/>
              <w:ind w:left="-107" w:right="-108"/>
              <w:jc w:val="center"/>
              <w:rPr>
                <w:b/>
                <w:bCs/>
                <w:sz w:val="16"/>
                <w:szCs w:val="16"/>
              </w:rPr>
            </w:pPr>
            <w:r>
              <w:rPr>
                <w:b/>
                <w:bCs/>
                <w:sz w:val="16"/>
                <w:szCs w:val="16"/>
              </w:rPr>
              <w:t>Смета по проекту</w:t>
            </w:r>
          </w:p>
        </w:tc>
        <w:tc>
          <w:tcPr>
            <w:tcW w:w="84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4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keepNext/>
              <w:keepLines/>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91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9" w:right="-73" w:firstLine="1"/>
              <w:jc w:val="center"/>
              <w:rPr>
                <w:b/>
                <w:bCs/>
                <w:sz w:val="16"/>
                <w:szCs w:val="16"/>
                <w:lang w:val="ru-RU"/>
              </w:rPr>
            </w:pPr>
            <w:r w:rsidRPr="00715C25">
              <w:rPr>
                <w:b/>
                <w:bCs/>
                <w:sz w:val="16"/>
                <w:szCs w:val="16"/>
                <w:lang w:val="ru-RU"/>
              </w:rPr>
              <w:t xml:space="preserve">Степень реализации проекта </w:t>
            </w:r>
            <w:r>
              <w:rPr>
                <w:b/>
                <w:bCs/>
                <w:sz w:val="16"/>
                <w:szCs w:val="16"/>
                <w:lang w:val="ru-RU"/>
              </w:rPr>
              <w:t>в разбивке по основным результатам</w:t>
            </w:r>
          </w:p>
        </w:tc>
      </w:tr>
      <w:tr w:rsidR="00C85043" w:rsidRPr="00E04EBD" w:rsidTr="00C85043">
        <w:trPr>
          <w:trHeight w:val="389"/>
        </w:trPr>
        <w:tc>
          <w:tcPr>
            <w:tcW w:w="1555" w:type="pct"/>
            <w:tcBorders>
              <w:top w:val="single" w:sz="4" w:space="0" w:color="auto"/>
              <w:left w:val="single" w:sz="4" w:space="0" w:color="auto"/>
              <w:bottom w:val="single" w:sz="4" w:space="0" w:color="auto"/>
              <w:right w:val="single" w:sz="4" w:space="0" w:color="auto"/>
            </w:tcBorders>
            <w:vAlign w:val="center"/>
          </w:tcPr>
          <w:p w:rsidR="00C85043" w:rsidRPr="00D35DC4" w:rsidRDefault="00C85043" w:rsidP="00C85043">
            <w:pPr>
              <w:keepNext/>
              <w:keepLines/>
              <w:autoSpaceDE w:val="0"/>
              <w:autoSpaceDN w:val="0"/>
              <w:adjustRightInd w:val="0"/>
              <w:spacing w:before="40" w:after="40" w:line="260" w:lineRule="exact"/>
              <w:rPr>
                <w:sz w:val="16"/>
                <w:szCs w:val="16"/>
                <w:lang w:val="ru-RU"/>
              </w:rPr>
            </w:pPr>
            <w:r w:rsidRPr="009044EE">
              <w:rPr>
                <w:sz w:val="16"/>
                <w:szCs w:val="16"/>
                <w:lang w:val="ru-RU"/>
              </w:rPr>
              <w:t xml:space="preserve">Заключение контракта с инженером </w:t>
            </w:r>
            <w:r>
              <w:rPr>
                <w:sz w:val="16"/>
                <w:szCs w:val="16"/>
                <w:lang w:val="ru-RU"/>
              </w:rPr>
              <w:t>по обустройству фасада</w:t>
            </w:r>
          </w:p>
        </w:tc>
        <w:tc>
          <w:tcPr>
            <w:tcW w:w="845" w:type="pct"/>
            <w:tcBorders>
              <w:top w:val="single" w:sz="4" w:space="0" w:color="auto"/>
              <w:left w:val="single" w:sz="4" w:space="0" w:color="auto"/>
              <w:bottom w:val="single" w:sz="4" w:space="0" w:color="auto"/>
              <w:right w:val="single" w:sz="4" w:space="0" w:color="auto"/>
            </w:tcBorders>
            <w:vAlign w:val="center"/>
          </w:tcPr>
          <w:p w:rsidR="00C85043" w:rsidRPr="00E04EBD" w:rsidRDefault="00C85043" w:rsidP="00C85043">
            <w:pPr>
              <w:keepNext/>
              <w:keepLines/>
              <w:autoSpaceDE w:val="0"/>
              <w:autoSpaceDN w:val="0"/>
              <w:adjustRightInd w:val="0"/>
              <w:spacing w:before="40" w:after="40" w:line="260" w:lineRule="exact"/>
              <w:jc w:val="center"/>
              <w:rPr>
                <w:sz w:val="16"/>
                <w:szCs w:val="16"/>
              </w:rPr>
            </w:pPr>
            <w:r w:rsidRPr="00E04EBD">
              <w:rPr>
                <w:sz w:val="16"/>
                <w:szCs w:val="16"/>
              </w:rPr>
              <w:t>45</w:t>
            </w:r>
            <w:r>
              <w:rPr>
                <w:sz w:val="16"/>
                <w:szCs w:val="16"/>
              </w:rPr>
              <w:t> </w:t>
            </w:r>
            <w:r w:rsidRPr="00E04EBD">
              <w:rPr>
                <w:sz w:val="16"/>
                <w:szCs w:val="16"/>
              </w:rPr>
              <w:t>000</w:t>
            </w:r>
          </w:p>
        </w:tc>
        <w:tc>
          <w:tcPr>
            <w:tcW w:w="845" w:type="pct"/>
            <w:tcBorders>
              <w:top w:val="single" w:sz="4" w:space="0" w:color="auto"/>
              <w:left w:val="single" w:sz="4" w:space="0" w:color="auto"/>
              <w:bottom w:val="single" w:sz="4" w:space="0" w:color="auto"/>
              <w:right w:val="single" w:sz="4" w:space="0" w:color="auto"/>
            </w:tcBorders>
            <w:vAlign w:val="center"/>
          </w:tcPr>
          <w:p w:rsidR="00C85043" w:rsidRPr="00723CCF" w:rsidRDefault="00C85043" w:rsidP="00C85043">
            <w:pPr>
              <w:keepNext/>
              <w:keepLines/>
              <w:autoSpaceDE w:val="0"/>
              <w:autoSpaceDN w:val="0"/>
              <w:adjustRightInd w:val="0"/>
              <w:spacing w:before="40" w:after="40" w:line="260" w:lineRule="exact"/>
              <w:jc w:val="center"/>
              <w:rPr>
                <w:sz w:val="16"/>
                <w:szCs w:val="16"/>
              </w:rPr>
            </w:pPr>
            <w:r w:rsidRPr="00723CCF">
              <w:rPr>
                <w:sz w:val="16"/>
                <w:szCs w:val="16"/>
              </w:rPr>
              <w:t>36</w:t>
            </w:r>
            <w:r>
              <w:rPr>
                <w:sz w:val="16"/>
                <w:szCs w:val="16"/>
              </w:rPr>
              <w:t> </w:t>
            </w:r>
            <w:r w:rsidRPr="00723CCF">
              <w:rPr>
                <w:sz w:val="16"/>
                <w:szCs w:val="16"/>
              </w:rPr>
              <w:t>812</w:t>
            </w:r>
          </w:p>
        </w:tc>
        <w:tc>
          <w:tcPr>
            <w:tcW w:w="845" w:type="pct"/>
            <w:tcBorders>
              <w:top w:val="single" w:sz="4" w:space="0" w:color="auto"/>
              <w:left w:val="single" w:sz="4" w:space="0" w:color="auto"/>
              <w:bottom w:val="single" w:sz="4" w:space="0" w:color="auto"/>
              <w:right w:val="single" w:sz="4" w:space="0" w:color="auto"/>
            </w:tcBorders>
            <w:vAlign w:val="center"/>
          </w:tcPr>
          <w:p w:rsidR="00C85043" w:rsidRPr="00723CCF" w:rsidRDefault="00C85043" w:rsidP="00C85043">
            <w:pPr>
              <w:keepNext/>
              <w:keepLines/>
              <w:autoSpaceDE w:val="0"/>
              <w:autoSpaceDN w:val="0"/>
              <w:adjustRightInd w:val="0"/>
              <w:spacing w:before="40" w:after="40" w:line="260" w:lineRule="exact"/>
              <w:jc w:val="center"/>
              <w:rPr>
                <w:sz w:val="16"/>
                <w:szCs w:val="16"/>
              </w:rPr>
            </w:pPr>
            <w:r w:rsidRPr="00723CCF">
              <w:rPr>
                <w:sz w:val="16"/>
                <w:szCs w:val="16"/>
              </w:rPr>
              <w:t>81</w:t>
            </w:r>
            <w:r>
              <w:rPr>
                <w:sz w:val="16"/>
                <w:szCs w:val="16"/>
              </w:rPr>
              <w:t>,</w:t>
            </w:r>
            <w:r w:rsidRPr="00723CCF">
              <w:rPr>
                <w:sz w:val="16"/>
                <w:szCs w:val="16"/>
              </w:rPr>
              <w:t>8%</w:t>
            </w:r>
          </w:p>
        </w:tc>
        <w:tc>
          <w:tcPr>
            <w:tcW w:w="911" w:type="pct"/>
            <w:tcBorders>
              <w:top w:val="single" w:sz="4" w:space="0" w:color="auto"/>
              <w:left w:val="single" w:sz="4" w:space="0" w:color="auto"/>
              <w:bottom w:val="single" w:sz="4" w:space="0" w:color="auto"/>
              <w:right w:val="single" w:sz="4" w:space="0" w:color="auto"/>
            </w:tcBorders>
            <w:vAlign w:val="center"/>
          </w:tcPr>
          <w:p w:rsidR="00C85043" w:rsidRPr="00723CCF" w:rsidRDefault="00C85043" w:rsidP="00C85043">
            <w:pPr>
              <w:keepNext/>
              <w:keepLines/>
              <w:autoSpaceDE w:val="0"/>
              <w:autoSpaceDN w:val="0"/>
              <w:adjustRightInd w:val="0"/>
              <w:spacing w:before="40" w:after="40" w:line="260" w:lineRule="exact"/>
              <w:jc w:val="center"/>
              <w:rPr>
                <w:sz w:val="16"/>
                <w:szCs w:val="16"/>
              </w:rPr>
            </w:pPr>
            <w:r w:rsidRPr="00723CCF">
              <w:rPr>
                <w:sz w:val="16"/>
                <w:szCs w:val="16"/>
              </w:rPr>
              <w:t>90%</w:t>
            </w:r>
          </w:p>
        </w:tc>
      </w:tr>
      <w:tr w:rsidR="00C85043" w:rsidRPr="00E04EBD" w:rsidTr="00C85043">
        <w:trPr>
          <w:trHeight w:val="389"/>
        </w:trPr>
        <w:tc>
          <w:tcPr>
            <w:tcW w:w="1555" w:type="pct"/>
            <w:tcBorders>
              <w:top w:val="single" w:sz="4" w:space="0" w:color="auto"/>
              <w:left w:val="single" w:sz="4" w:space="0" w:color="auto"/>
              <w:bottom w:val="single" w:sz="4" w:space="0" w:color="auto"/>
              <w:right w:val="single" w:sz="4" w:space="0" w:color="auto"/>
            </w:tcBorders>
            <w:vAlign w:val="center"/>
          </w:tcPr>
          <w:p w:rsidR="00C85043" w:rsidRPr="00E86CE7" w:rsidRDefault="00C85043" w:rsidP="00C85043">
            <w:pPr>
              <w:keepNext/>
              <w:keepLines/>
              <w:autoSpaceDE w:val="0"/>
              <w:autoSpaceDN w:val="0"/>
              <w:adjustRightInd w:val="0"/>
              <w:spacing w:before="40" w:after="40" w:line="260" w:lineRule="exact"/>
              <w:rPr>
                <w:sz w:val="16"/>
                <w:szCs w:val="16"/>
                <w:lang w:val="ru-RU"/>
              </w:rPr>
            </w:pPr>
            <w:r>
              <w:rPr>
                <w:color w:val="000000"/>
                <w:sz w:val="16"/>
                <w:szCs w:val="16"/>
                <w:lang w:val="ru-RU"/>
              </w:rPr>
              <w:t>Выполнение работ и сдача результатов работ</w:t>
            </w:r>
          </w:p>
        </w:tc>
        <w:tc>
          <w:tcPr>
            <w:tcW w:w="845" w:type="pct"/>
            <w:tcBorders>
              <w:top w:val="single" w:sz="4" w:space="0" w:color="auto"/>
              <w:left w:val="single" w:sz="4" w:space="0" w:color="auto"/>
              <w:bottom w:val="single" w:sz="4" w:space="0" w:color="auto"/>
              <w:right w:val="single" w:sz="4" w:space="0" w:color="auto"/>
            </w:tcBorders>
            <w:vAlign w:val="center"/>
          </w:tcPr>
          <w:p w:rsidR="00C85043" w:rsidRPr="00E04EBD" w:rsidRDefault="00C85043" w:rsidP="00C85043">
            <w:pPr>
              <w:keepNext/>
              <w:keepLines/>
              <w:autoSpaceDE w:val="0"/>
              <w:autoSpaceDN w:val="0"/>
              <w:adjustRightInd w:val="0"/>
              <w:spacing w:before="40" w:after="40" w:line="260" w:lineRule="exact"/>
              <w:jc w:val="center"/>
              <w:rPr>
                <w:sz w:val="16"/>
                <w:szCs w:val="16"/>
              </w:rPr>
            </w:pPr>
            <w:r w:rsidRPr="00E04EBD">
              <w:rPr>
                <w:sz w:val="16"/>
                <w:szCs w:val="16"/>
              </w:rPr>
              <w:t>255</w:t>
            </w:r>
            <w:r>
              <w:rPr>
                <w:sz w:val="16"/>
                <w:szCs w:val="16"/>
              </w:rPr>
              <w:t> </w:t>
            </w:r>
            <w:r w:rsidRPr="00E04EBD">
              <w:rPr>
                <w:sz w:val="16"/>
                <w:szCs w:val="16"/>
              </w:rPr>
              <w:t>000</w:t>
            </w:r>
          </w:p>
        </w:tc>
        <w:tc>
          <w:tcPr>
            <w:tcW w:w="845" w:type="pct"/>
            <w:tcBorders>
              <w:top w:val="single" w:sz="4" w:space="0" w:color="auto"/>
              <w:left w:val="single" w:sz="4" w:space="0" w:color="auto"/>
              <w:bottom w:val="single" w:sz="4" w:space="0" w:color="auto"/>
              <w:right w:val="single" w:sz="4" w:space="0" w:color="auto"/>
            </w:tcBorders>
            <w:vAlign w:val="center"/>
          </w:tcPr>
          <w:p w:rsidR="00C85043" w:rsidRPr="00723CCF" w:rsidRDefault="00C85043" w:rsidP="00C85043">
            <w:pPr>
              <w:keepNext/>
              <w:keepLines/>
              <w:autoSpaceDE w:val="0"/>
              <w:autoSpaceDN w:val="0"/>
              <w:adjustRightInd w:val="0"/>
              <w:spacing w:before="40" w:after="40" w:line="260" w:lineRule="exact"/>
              <w:jc w:val="center"/>
              <w:rPr>
                <w:sz w:val="16"/>
                <w:szCs w:val="16"/>
              </w:rPr>
            </w:pPr>
            <w:r w:rsidRPr="00723CCF">
              <w:rPr>
                <w:sz w:val="16"/>
                <w:szCs w:val="16"/>
              </w:rPr>
              <w:t>10</w:t>
            </w:r>
            <w:r>
              <w:rPr>
                <w:sz w:val="16"/>
                <w:szCs w:val="16"/>
              </w:rPr>
              <w:t> </w:t>
            </w:r>
            <w:r w:rsidRPr="00723CCF">
              <w:rPr>
                <w:sz w:val="16"/>
                <w:szCs w:val="16"/>
              </w:rPr>
              <w:t>230</w:t>
            </w:r>
          </w:p>
        </w:tc>
        <w:tc>
          <w:tcPr>
            <w:tcW w:w="845" w:type="pct"/>
            <w:tcBorders>
              <w:top w:val="single" w:sz="4" w:space="0" w:color="auto"/>
              <w:left w:val="single" w:sz="4" w:space="0" w:color="auto"/>
              <w:bottom w:val="single" w:sz="4" w:space="0" w:color="auto"/>
              <w:right w:val="single" w:sz="4" w:space="0" w:color="auto"/>
            </w:tcBorders>
            <w:vAlign w:val="center"/>
          </w:tcPr>
          <w:p w:rsidR="00C85043" w:rsidRPr="00723CCF" w:rsidRDefault="00C85043" w:rsidP="00C85043">
            <w:pPr>
              <w:keepNext/>
              <w:keepLines/>
              <w:autoSpaceDE w:val="0"/>
              <w:autoSpaceDN w:val="0"/>
              <w:adjustRightInd w:val="0"/>
              <w:spacing w:before="40" w:after="40" w:line="260" w:lineRule="exact"/>
              <w:jc w:val="center"/>
              <w:rPr>
                <w:sz w:val="16"/>
                <w:szCs w:val="16"/>
              </w:rPr>
            </w:pPr>
            <w:r w:rsidRPr="00723CCF">
              <w:rPr>
                <w:sz w:val="16"/>
                <w:szCs w:val="16"/>
              </w:rPr>
              <w:t>4%</w:t>
            </w:r>
          </w:p>
        </w:tc>
        <w:tc>
          <w:tcPr>
            <w:tcW w:w="911" w:type="pct"/>
            <w:tcBorders>
              <w:top w:val="single" w:sz="4" w:space="0" w:color="auto"/>
              <w:left w:val="single" w:sz="4" w:space="0" w:color="auto"/>
              <w:bottom w:val="single" w:sz="4" w:space="0" w:color="auto"/>
              <w:right w:val="single" w:sz="4" w:space="0" w:color="auto"/>
            </w:tcBorders>
            <w:vAlign w:val="center"/>
          </w:tcPr>
          <w:p w:rsidR="00C85043" w:rsidRPr="00723CCF" w:rsidRDefault="00C85043" w:rsidP="00C85043">
            <w:pPr>
              <w:keepNext/>
              <w:keepLines/>
              <w:autoSpaceDE w:val="0"/>
              <w:autoSpaceDN w:val="0"/>
              <w:adjustRightInd w:val="0"/>
              <w:spacing w:before="40" w:after="40" w:line="260" w:lineRule="exact"/>
              <w:jc w:val="center"/>
              <w:rPr>
                <w:sz w:val="16"/>
                <w:szCs w:val="16"/>
              </w:rPr>
            </w:pPr>
            <w:r w:rsidRPr="00723CCF">
              <w:rPr>
                <w:sz w:val="16"/>
                <w:szCs w:val="16"/>
              </w:rPr>
              <w:t>6%</w:t>
            </w:r>
          </w:p>
        </w:tc>
      </w:tr>
      <w:tr w:rsidR="00C85043" w:rsidRPr="00E04EBD" w:rsidTr="00C85043">
        <w:trPr>
          <w:trHeight w:val="389"/>
        </w:trPr>
        <w:tc>
          <w:tcPr>
            <w:tcW w:w="155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keepNext/>
              <w:keepLines/>
              <w:autoSpaceDE w:val="0"/>
              <w:autoSpaceDN w:val="0"/>
              <w:adjustRightInd w:val="0"/>
              <w:spacing w:before="40" w:after="40" w:line="260" w:lineRule="exact"/>
              <w:rPr>
                <w:b/>
                <w:sz w:val="16"/>
                <w:szCs w:val="16"/>
              </w:rPr>
            </w:pPr>
            <w:r>
              <w:rPr>
                <w:b/>
                <w:sz w:val="16"/>
                <w:szCs w:val="16"/>
              </w:rPr>
              <w:t>Итого</w:t>
            </w:r>
          </w:p>
        </w:tc>
        <w:tc>
          <w:tcPr>
            <w:tcW w:w="84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keepNext/>
              <w:keepLines/>
              <w:autoSpaceDE w:val="0"/>
              <w:autoSpaceDN w:val="0"/>
              <w:adjustRightInd w:val="0"/>
              <w:spacing w:before="40" w:after="40" w:line="260" w:lineRule="exact"/>
              <w:jc w:val="center"/>
              <w:rPr>
                <w:b/>
                <w:sz w:val="16"/>
                <w:szCs w:val="16"/>
              </w:rPr>
            </w:pPr>
            <w:r w:rsidRPr="00E04EBD">
              <w:rPr>
                <w:b/>
                <w:sz w:val="16"/>
                <w:szCs w:val="16"/>
              </w:rPr>
              <w:t>300</w:t>
            </w:r>
            <w:r>
              <w:rPr>
                <w:b/>
                <w:sz w:val="16"/>
                <w:szCs w:val="16"/>
              </w:rPr>
              <w:t> </w:t>
            </w:r>
            <w:r w:rsidRPr="00E04EBD">
              <w:rPr>
                <w:b/>
                <w:sz w:val="16"/>
                <w:szCs w:val="16"/>
              </w:rPr>
              <w:t>000</w:t>
            </w:r>
          </w:p>
        </w:tc>
        <w:tc>
          <w:tcPr>
            <w:tcW w:w="845" w:type="pct"/>
            <w:tcBorders>
              <w:top w:val="single" w:sz="4" w:space="0" w:color="auto"/>
              <w:left w:val="single" w:sz="4" w:space="0" w:color="auto"/>
              <w:bottom w:val="single" w:sz="4" w:space="0" w:color="auto"/>
              <w:right w:val="single" w:sz="4" w:space="0" w:color="auto"/>
            </w:tcBorders>
            <w:shd w:val="clear" w:color="auto" w:fill="C6D9F1"/>
          </w:tcPr>
          <w:p w:rsidR="00C85043" w:rsidRPr="00723CCF" w:rsidRDefault="00C85043" w:rsidP="00C85043">
            <w:pPr>
              <w:keepNext/>
              <w:keepLines/>
              <w:autoSpaceDE w:val="0"/>
              <w:autoSpaceDN w:val="0"/>
              <w:adjustRightInd w:val="0"/>
              <w:spacing w:before="40" w:after="40" w:line="260" w:lineRule="exact"/>
              <w:jc w:val="center"/>
              <w:rPr>
                <w:b/>
                <w:sz w:val="16"/>
                <w:szCs w:val="16"/>
              </w:rPr>
            </w:pPr>
            <w:r w:rsidRPr="00723CCF">
              <w:rPr>
                <w:b/>
                <w:sz w:val="16"/>
                <w:szCs w:val="16"/>
              </w:rPr>
              <w:t>47</w:t>
            </w:r>
            <w:r>
              <w:rPr>
                <w:b/>
                <w:sz w:val="16"/>
                <w:szCs w:val="16"/>
              </w:rPr>
              <w:t> </w:t>
            </w:r>
            <w:r w:rsidRPr="00723CCF">
              <w:rPr>
                <w:b/>
                <w:sz w:val="16"/>
                <w:szCs w:val="16"/>
              </w:rPr>
              <w:t>042</w:t>
            </w:r>
          </w:p>
        </w:tc>
        <w:tc>
          <w:tcPr>
            <w:tcW w:w="845" w:type="pct"/>
            <w:tcBorders>
              <w:top w:val="single" w:sz="4" w:space="0" w:color="auto"/>
              <w:left w:val="single" w:sz="4" w:space="0" w:color="auto"/>
              <w:bottom w:val="single" w:sz="4" w:space="0" w:color="auto"/>
              <w:right w:val="single" w:sz="4" w:space="0" w:color="auto"/>
            </w:tcBorders>
            <w:shd w:val="clear" w:color="auto" w:fill="C6D9F1"/>
          </w:tcPr>
          <w:p w:rsidR="00C85043" w:rsidRPr="00723CCF" w:rsidRDefault="00C85043" w:rsidP="00C85043">
            <w:pPr>
              <w:keepNext/>
              <w:keepLines/>
              <w:autoSpaceDE w:val="0"/>
              <w:autoSpaceDN w:val="0"/>
              <w:adjustRightInd w:val="0"/>
              <w:spacing w:before="40" w:after="40" w:line="260" w:lineRule="exact"/>
              <w:jc w:val="center"/>
              <w:rPr>
                <w:b/>
                <w:sz w:val="16"/>
                <w:szCs w:val="16"/>
              </w:rPr>
            </w:pPr>
          </w:p>
        </w:tc>
        <w:tc>
          <w:tcPr>
            <w:tcW w:w="911" w:type="pct"/>
            <w:tcBorders>
              <w:top w:val="single" w:sz="4" w:space="0" w:color="auto"/>
              <w:left w:val="single" w:sz="4" w:space="0" w:color="auto"/>
              <w:bottom w:val="single" w:sz="4" w:space="0" w:color="auto"/>
              <w:right w:val="single" w:sz="4" w:space="0" w:color="auto"/>
            </w:tcBorders>
            <w:shd w:val="clear" w:color="auto" w:fill="C6D9F1"/>
          </w:tcPr>
          <w:p w:rsidR="00C85043" w:rsidRPr="00723CCF" w:rsidRDefault="00C85043" w:rsidP="00C85043">
            <w:pPr>
              <w:keepNext/>
              <w:keepLines/>
              <w:autoSpaceDE w:val="0"/>
              <w:autoSpaceDN w:val="0"/>
              <w:adjustRightInd w:val="0"/>
              <w:spacing w:before="40" w:after="40" w:line="260" w:lineRule="exact"/>
              <w:jc w:val="center"/>
              <w:rPr>
                <w:b/>
                <w:sz w:val="16"/>
                <w:szCs w:val="16"/>
              </w:rPr>
            </w:pPr>
          </w:p>
        </w:tc>
      </w:tr>
    </w:tbl>
    <w:p w:rsidR="00C85043" w:rsidRPr="00ED7C01" w:rsidRDefault="00C85043" w:rsidP="00C85043">
      <w:pPr>
        <w:keepNext/>
        <w:keepLines/>
        <w:tabs>
          <w:tab w:val="left" w:pos="3261"/>
        </w:tabs>
        <w:autoSpaceDE w:val="0"/>
        <w:autoSpaceDN w:val="0"/>
        <w:adjustRightInd w:val="0"/>
        <w:rPr>
          <w:szCs w:val="22"/>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szCs w:val="22"/>
          <w:lang w:val="ru-RU"/>
        </w:rPr>
        <w:t xml:space="preserve">Сумма бюджетных средств, освоенных в рамках проекта </w:t>
      </w:r>
      <w:r>
        <w:rPr>
          <w:b/>
          <w:szCs w:val="22"/>
          <w:lang w:val="ru-RU"/>
        </w:rPr>
        <w:t>(в разбивке по категориям расходов)</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W w:w="47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1840"/>
        <w:gridCol w:w="1840"/>
        <w:gridCol w:w="2141"/>
      </w:tblGrid>
      <w:tr w:rsidR="00C85043" w:rsidRPr="00E04EBD" w:rsidTr="00C85043">
        <w:trPr>
          <w:trHeight w:val="569"/>
        </w:trPr>
        <w:tc>
          <w:tcPr>
            <w:tcW w:w="179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keepNext/>
              <w:keepLines/>
              <w:autoSpaceDE w:val="0"/>
              <w:autoSpaceDN w:val="0"/>
              <w:adjustRightInd w:val="0"/>
              <w:spacing w:before="40" w:after="40" w:line="260" w:lineRule="exact"/>
              <w:ind w:left="-74" w:right="-60"/>
              <w:jc w:val="center"/>
              <w:rPr>
                <w:b/>
                <w:bCs/>
                <w:sz w:val="16"/>
                <w:szCs w:val="16"/>
              </w:rPr>
            </w:pPr>
            <w:r>
              <w:rPr>
                <w:b/>
                <w:bCs/>
                <w:sz w:val="16"/>
                <w:szCs w:val="16"/>
              </w:rPr>
              <w:t>Категория расходов</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keepNext/>
              <w:keepLines/>
              <w:autoSpaceDE w:val="0"/>
              <w:autoSpaceDN w:val="0"/>
              <w:adjustRightInd w:val="0"/>
              <w:spacing w:before="40" w:after="40" w:line="260" w:lineRule="exact"/>
              <w:ind w:left="-107" w:right="-108"/>
              <w:jc w:val="center"/>
              <w:rPr>
                <w:b/>
                <w:bCs/>
                <w:sz w:val="16"/>
                <w:szCs w:val="16"/>
              </w:rPr>
            </w:pPr>
            <w:r>
              <w:rPr>
                <w:b/>
                <w:bCs/>
                <w:sz w:val="16"/>
                <w:szCs w:val="16"/>
              </w:rPr>
              <w:t>Смета по проекту</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line="260" w:lineRule="exact"/>
              <w:ind w:left="-108"/>
              <w:jc w:val="center"/>
              <w:rPr>
                <w:b/>
                <w:bCs/>
                <w:sz w:val="16"/>
                <w:szCs w:val="16"/>
                <w:lang w:val="ru-RU"/>
              </w:rPr>
            </w:pPr>
            <w:r w:rsidRPr="00715C25">
              <w:rPr>
                <w:b/>
                <w:bCs/>
                <w:sz w:val="16"/>
                <w:szCs w:val="16"/>
                <w:lang w:val="ru-RU"/>
              </w:rPr>
              <w:t xml:space="preserve">Фактические расходы по настоящее время </w:t>
            </w:r>
          </w:p>
        </w:tc>
        <w:tc>
          <w:tcPr>
            <w:tcW w:w="118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keepNext/>
              <w:keepLines/>
              <w:autoSpaceDE w:val="0"/>
              <w:autoSpaceDN w:val="0"/>
              <w:adjustRightInd w:val="0"/>
              <w:spacing w:before="40" w:after="40" w:line="260" w:lineRule="exact"/>
              <w:ind w:left="-109"/>
              <w:jc w:val="center"/>
              <w:rPr>
                <w:b/>
                <w:bCs/>
                <w:sz w:val="16"/>
                <w:szCs w:val="16"/>
              </w:rPr>
            </w:pPr>
            <w:r>
              <w:rPr>
                <w:b/>
                <w:bCs/>
                <w:sz w:val="16"/>
                <w:szCs w:val="16"/>
              </w:rPr>
              <w:t>Фактически освоено бюджетных средств</w:t>
            </w:r>
          </w:p>
        </w:tc>
      </w:tr>
      <w:tr w:rsidR="00C85043" w:rsidRPr="00E04EBD" w:rsidTr="00C85043">
        <w:tc>
          <w:tcPr>
            <w:tcW w:w="1792" w:type="pct"/>
            <w:tcBorders>
              <w:top w:val="single" w:sz="4" w:space="0" w:color="auto"/>
              <w:left w:val="single" w:sz="4" w:space="0" w:color="auto"/>
              <w:bottom w:val="single" w:sz="4" w:space="0" w:color="auto"/>
              <w:right w:val="single" w:sz="4" w:space="0" w:color="auto"/>
            </w:tcBorders>
            <w:vAlign w:val="center"/>
          </w:tcPr>
          <w:p w:rsidR="00C85043" w:rsidRPr="00906515" w:rsidRDefault="00C85043" w:rsidP="00C85043">
            <w:pPr>
              <w:autoSpaceDE w:val="0"/>
              <w:autoSpaceDN w:val="0"/>
              <w:adjustRightInd w:val="0"/>
              <w:spacing w:before="40" w:after="40" w:line="260" w:lineRule="exact"/>
              <w:rPr>
                <w:sz w:val="16"/>
                <w:szCs w:val="16"/>
                <w:lang w:val="ru-RU"/>
              </w:rPr>
            </w:pPr>
            <w:r>
              <w:rPr>
                <w:color w:val="000000"/>
                <w:sz w:val="16"/>
                <w:szCs w:val="16"/>
                <w:lang w:val="ru-RU"/>
              </w:rPr>
              <w:t>Расходы, связанные со строительством</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E04EBD" w:rsidRDefault="00C85043" w:rsidP="00C85043">
            <w:pPr>
              <w:autoSpaceDE w:val="0"/>
              <w:autoSpaceDN w:val="0"/>
              <w:adjustRightInd w:val="0"/>
              <w:spacing w:before="40" w:after="40" w:line="260" w:lineRule="exact"/>
              <w:jc w:val="center"/>
              <w:rPr>
                <w:sz w:val="16"/>
                <w:szCs w:val="16"/>
              </w:rPr>
            </w:pPr>
            <w:r w:rsidRPr="00E04EBD">
              <w:rPr>
                <w:sz w:val="16"/>
                <w:szCs w:val="16"/>
              </w:rPr>
              <w:t>234</w:t>
            </w:r>
            <w:r>
              <w:rPr>
                <w:sz w:val="16"/>
                <w:szCs w:val="16"/>
              </w:rPr>
              <w:t> </w:t>
            </w:r>
            <w:r w:rsidRPr="00E04EBD">
              <w:rPr>
                <w:sz w:val="16"/>
                <w:szCs w:val="16"/>
              </w:rPr>
              <w:t>000</w:t>
            </w:r>
          </w:p>
        </w:tc>
        <w:tc>
          <w:tcPr>
            <w:tcW w:w="1014" w:type="pct"/>
            <w:tcBorders>
              <w:top w:val="single" w:sz="4" w:space="0" w:color="auto"/>
              <w:left w:val="single" w:sz="4" w:space="0" w:color="auto"/>
              <w:bottom w:val="single" w:sz="4" w:space="0" w:color="auto"/>
              <w:right w:val="single" w:sz="4" w:space="0" w:color="auto"/>
            </w:tcBorders>
          </w:tcPr>
          <w:p w:rsidR="00C85043" w:rsidRPr="00723CCF" w:rsidRDefault="00C85043" w:rsidP="00C85043">
            <w:pPr>
              <w:autoSpaceDE w:val="0"/>
              <w:autoSpaceDN w:val="0"/>
              <w:adjustRightInd w:val="0"/>
              <w:spacing w:before="40" w:after="40" w:line="260" w:lineRule="exact"/>
              <w:jc w:val="center"/>
              <w:rPr>
                <w:sz w:val="16"/>
                <w:szCs w:val="16"/>
              </w:rPr>
            </w:pPr>
            <w:r w:rsidRPr="00723CCF">
              <w:rPr>
                <w:sz w:val="16"/>
                <w:szCs w:val="16"/>
              </w:rPr>
              <w:t>10</w:t>
            </w:r>
            <w:r>
              <w:rPr>
                <w:sz w:val="16"/>
                <w:szCs w:val="16"/>
              </w:rPr>
              <w:t> </w:t>
            </w:r>
            <w:r w:rsidRPr="00723CCF">
              <w:rPr>
                <w:sz w:val="16"/>
                <w:szCs w:val="16"/>
              </w:rPr>
              <w:t>230</w:t>
            </w:r>
          </w:p>
        </w:tc>
        <w:tc>
          <w:tcPr>
            <w:tcW w:w="1180" w:type="pct"/>
            <w:tcBorders>
              <w:top w:val="single" w:sz="4" w:space="0" w:color="auto"/>
              <w:left w:val="single" w:sz="4" w:space="0" w:color="auto"/>
              <w:bottom w:val="single" w:sz="4" w:space="0" w:color="auto"/>
              <w:right w:val="single" w:sz="4" w:space="0" w:color="auto"/>
            </w:tcBorders>
          </w:tcPr>
          <w:p w:rsidR="00C85043" w:rsidRPr="00723CCF" w:rsidRDefault="00C85043" w:rsidP="00C85043">
            <w:pPr>
              <w:autoSpaceDE w:val="0"/>
              <w:autoSpaceDN w:val="0"/>
              <w:adjustRightInd w:val="0"/>
              <w:spacing w:before="40" w:after="40" w:line="260" w:lineRule="exact"/>
              <w:jc w:val="center"/>
              <w:rPr>
                <w:sz w:val="16"/>
                <w:szCs w:val="16"/>
              </w:rPr>
            </w:pPr>
            <w:r w:rsidRPr="00723CCF">
              <w:rPr>
                <w:sz w:val="16"/>
                <w:szCs w:val="16"/>
              </w:rPr>
              <w:t>4</w:t>
            </w:r>
            <w:r>
              <w:rPr>
                <w:sz w:val="16"/>
                <w:szCs w:val="16"/>
              </w:rPr>
              <w:t>,</w:t>
            </w:r>
            <w:r w:rsidRPr="00723CCF">
              <w:rPr>
                <w:sz w:val="16"/>
                <w:szCs w:val="16"/>
              </w:rPr>
              <w:t>4%</w:t>
            </w:r>
          </w:p>
        </w:tc>
      </w:tr>
      <w:tr w:rsidR="00C85043" w:rsidRPr="00E04EBD" w:rsidTr="00C85043">
        <w:tc>
          <w:tcPr>
            <w:tcW w:w="1792" w:type="pct"/>
            <w:tcBorders>
              <w:top w:val="single" w:sz="4" w:space="0" w:color="auto"/>
              <w:left w:val="single" w:sz="4" w:space="0" w:color="auto"/>
              <w:bottom w:val="single" w:sz="4" w:space="0" w:color="auto"/>
              <w:right w:val="single" w:sz="4" w:space="0" w:color="auto"/>
            </w:tcBorders>
            <w:vAlign w:val="center"/>
          </w:tcPr>
          <w:p w:rsidR="00C85043" w:rsidRPr="00E04EBD" w:rsidRDefault="00C85043" w:rsidP="00C85043">
            <w:pPr>
              <w:autoSpaceDE w:val="0"/>
              <w:autoSpaceDN w:val="0"/>
              <w:adjustRightInd w:val="0"/>
              <w:spacing w:before="40" w:after="40" w:line="260" w:lineRule="exact"/>
              <w:rPr>
                <w:sz w:val="16"/>
                <w:szCs w:val="16"/>
              </w:rPr>
            </w:pPr>
            <w:r>
              <w:rPr>
                <w:sz w:val="16"/>
                <w:szCs w:val="16"/>
              </w:rPr>
              <w:t>Гонорары</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E04EBD" w:rsidRDefault="00C85043" w:rsidP="00C85043">
            <w:pPr>
              <w:autoSpaceDE w:val="0"/>
              <w:autoSpaceDN w:val="0"/>
              <w:adjustRightInd w:val="0"/>
              <w:spacing w:before="40" w:after="40" w:line="260" w:lineRule="exact"/>
              <w:jc w:val="center"/>
              <w:rPr>
                <w:sz w:val="16"/>
                <w:szCs w:val="16"/>
              </w:rPr>
            </w:pPr>
            <w:r w:rsidRPr="00E04EBD">
              <w:rPr>
                <w:sz w:val="16"/>
                <w:szCs w:val="16"/>
              </w:rPr>
              <w:t>45</w:t>
            </w:r>
            <w:r>
              <w:rPr>
                <w:sz w:val="16"/>
                <w:szCs w:val="16"/>
              </w:rPr>
              <w:t> </w:t>
            </w:r>
            <w:r w:rsidRPr="00E04EBD">
              <w:rPr>
                <w:sz w:val="16"/>
                <w:szCs w:val="16"/>
              </w:rPr>
              <w:t>000</w:t>
            </w:r>
          </w:p>
        </w:tc>
        <w:tc>
          <w:tcPr>
            <w:tcW w:w="1014" w:type="pct"/>
            <w:tcBorders>
              <w:top w:val="single" w:sz="4" w:space="0" w:color="auto"/>
              <w:left w:val="single" w:sz="4" w:space="0" w:color="auto"/>
              <w:bottom w:val="single" w:sz="4" w:space="0" w:color="auto"/>
              <w:right w:val="single" w:sz="4" w:space="0" w:color="auto"/>
            </w:tcBorders>
          </w:tcPr>
          <w:p w:rsidR="00C85043" w:rsidRPr="00723CCF" w:rsidRDefault="00C85043" w:rsidP="00C85043">
            <w:pPr>
              <w:autoSpaceDE w:val="0"/>
              <w:autoSpaceDN w:val="0"/>
              <w:adjustRightInd w:val="0"/>
              <w:spacing w:before="40" w:after="40" w:line="260" w:lineRule="exact"/>
              <w:jc w:val="center"/>
              <w:rPr>
                <w:sz w:val="16"/>
                <w:szCs w:val="16"/>
              </w:rPr>
            </w:pPr>
            <w:r w:rsidRPr="00723CCF">
              <w:rPr>
                <w:sz w:val="16"/>
                <w:szCs w:val="16"/>
              </w:rPr>
              <w:t>36</w:t>
            </w:r>
            <w:r>
              <w:rPr>
                <w:sz w:val="16"/>
                <w:szCs w:val="16"/>
              </w:rPr>
              <w:t> </w:t>
            </w:r>
            <w:r w:rsidRPr="00723CCF">
              <w:rPr>
                <w:sz w:val="16"/>
                <w:szCs w:val="16"/>
              </w:rPr>
              <w:t>812</w:t>
            </w:r>
          </w:p>
        </w:tc>
        <w:tc>
          <w:tcPr>
            <w:tcW w:w="1180" w:type="pct"/>
            <w:tcBorders>
              <w:top w:val="single" w:sz="4" w:space="0" w:color="auto"/>
              <w:left w:val="single" w:sz="4" w:space="0" w:color="auto"/>
              <w:bottom w:val="single" w:sz="4" w:space="0" w:color="auto"/>
              <w:right w:val="single" w:sz="4" w:space="0" w:color="auto"/>
            </w:tcBorders>
          </w:tcPr>
          <w:p w:rsidR="00C85043" w:rsidRPr="00723CCF" w:rsidRDefault="00C85043" w:rsidP="00C85043">
            <w:pPr>
              <w:autoSpaceDE w:val="0"/>
              <w:autoSpaceDN w:val="0"/>
              <w:adjustRightInd w:val="0"/>
              <w:spacing w:before="40" w:after="40" w:line="260" w:lineRule="exact"/>
              <w:jc w:val="center"/>
              <w:rPr>
                <w:sz w:val="16"/>
                <w:szCs w:val="16"/>
              </w:rPr>
            </w:pPr>
            <w:r w:rsidRPr="00723CCF">
              <w:rPr>
                <w:sz w:val="16"/>
                <w:szCs w:val="16"/>
              </w:rPr>
              <w:t>81</w:t>
            </w:r>
            <w:r>
              <w:rPr>
                <w:sz w:val="16"/>
                <w:szCs w:val="16"/>
              </w:rPr>
              <w:t>,</w:t>
            </w:r>
            <w:r w:rsidRPr="00723CCF">
              <w:rPr>
                <w:sz w:val="16"/>
                <w:szCs w:val="16"/>
              </w:rPr>
              <w:t>8%</w:t>
            </w:r>
          </w:p>
        </w:tc>
      </w:tr>
      <w:tr w:rsidR="00C85043" w:rsidRPr="00E04EBD" w:rsidTr="00C85043">
        <w:tc>
          <w:tcPr>
            <w:tcW w:w="1792" w:type="pct"/>
            <w:tcBorders>
              <w:top w:val="single" w:sz="4" w:space="0" w:color="auto"/>
              <w:left w:val="single" w:sz="4" w:space="0" w:color="auto"/>
              <w:bottom w:val="single" w:sz="4" w:space="0" w:color="auto"/>
              <w:right w:val="single" w:sz="4" w:space="0" w:color="auto"/>
            </w:tcBorders>
            <w:vAlign w:val="center"/>
          </w:tcPr>
          <w:p w:rsidR="00C85043" w:rsidRPr="00E04EBD" w:rsidRDefault="00C85043" w:rsidP="00C85043">
            <w:pPr>
              <w:autoSpaceDE w:val="0"/>
              <w:autoSpaceDN w:val="0"/>
              <w:adjustRightInd w:val="0"/>
              <w:spacing w:before="40" w:after="40" w:line="260" w:lineRule="exact"/>
              <w:rPr>
                <w:sz w:val="16"/>
                <w:szCs w:val="16"/>
              </w:rPr>
            </w:pPr>
            <w:r>
              <w:rPr>
                <w:sz w:val="16"/>
                <w:szCs w:val="16"/>
              </w:rPr>
              <w:t>Прочие и непредвиденные расходы</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E04EBD" w:rsidRDefault="00C85043" w:rsidP="00C85043">
            <w:pPr>
              <w:autoSpaceDE w:val="0"/>
              <w:autoSpaceDN w:val="0"/>
              <w:adjustRightInd w:val="0"/>
              <w:spacing w:before="40" w:after="40" w:line="260" w:lineRule="exact"/>
              <w:jc w:val="center"/>
              <w:rPr>
                <w:sz w:val="16"/>
                <w:szCs w:val="16"/>
              </w:rPr>
            </w:pPr>
            <w:r w:rsidRPr="00E04EBD">
              <w:rPr>
                <w:sz w:val="16"/>
                <w:szCs w:val="16"/>
              </w:rPr>
              <w:t>21</w:t>
            </w:r>
            <w:r>
              <w:rPr>
                <w:sz w:val="16"/>
                <w:szCs w:val="16"/>
              </w:rPr>
              <w:t> </w:t>
            </w:r>
            <w:r w:rsidRPr="00E04EBD">
              <w:rPr>
                <w:sz w:val="16"/>
                <w:szCs w:val="16"/>
              </w:rPr>
              <w:t>000</w:t>
            </w:r>
          </w:p>
        </w:tc>
        <w:tc>
          <w:tcPr>
            <w:tcW w:w="1014" w:type="pct"/>
            <w:tcBorders>
              <w:top w:val="single" w:sz="4" w:space="0" w:color="auto"/>
              <w:left w:val="single" w:sz="4" w:space="0" w:color="auto"/>
              <w:bottom w:val="single" w:sz="4" w:space="0" w:color="auto"/>
              <w:right w:val="single" w:sz="4" w:space="0" w:color="auto"/>
            </w:tcBorders>
          </w:tcPr>
          <w:p w:rsidR="00C85043" w:rsidRPr="00723CCF" w:rsidRDefault="00C85043" w:rsidP="00C85043">
            <w:pPr>
              <w:autoSpaceDE w:val="0"/>
              <w:autoSpaceDN w:val="0"/>
              <w:adjustRightInd w:val="0"/>
              <w:spacing w:before="40" w:after="40" w:line="260" w:lineRule="exact"/>
              <w:jc w:val="center"/>
              <w:rPr>
                <w:sz w:val="16"/>
                <w:szCs w:val="16"/>
              </w:rPr>
            </w:pPr>
            <w:r w:rsidRPr="00723CCF">
              <w:rPr>
                <w:sz w:val="16"/>
                <w:szCs w:val="16"/>
              </w:rPr>
              <w:t>0</w:t>
            </w:r>
          </w:p>
        </w:tc>
        <w:tc>
          <w:tcPr>
            <w:tcW w:w="1180" w:type="pct"/>
            <w:tcBorders>
              <w:top w:val="single" w:sz="4" w:space="0" w:color="auto"/>
              <w:left w:val="single" w:sz="4" w:space="0" w:color="auto"/>
              <w:bottom w:val="single" w:sz="4" w:space="0" w:color="auto"/>
              <w:right w:val="single" w:sz="4" w:space="0" w:color="auto"/>
            </w:tcBorders>
          </w:tcPr>
          <w:p w:rsidR="00C85043" w:rsidRPr="00723CCF" w:rsidRDefault="00C85043" w:rsidP="00C85043">
            <w:pPr>
              <w:autoSpaceDE w:val="0"/>
              <w:autoSpaceDN w:val="0"/>
              <w:adjustRightInd w:val="0"/>
              <w:spacing w:before="40" w:after="40" w:line="260" w:lineRule="exact"/>
              <w:jc w:val="center"/>
              <w:rPr>
                <w:sz w:val="16"/>
                <w:szCs w:val="16"/>
              </w:rPr>
            </w:pPr>
            <w:r w:rsidRPr="00723CCF">
              <w:rPr>
                <w:sz w:val="16"/>
                <w:szCs w:val="16"/>
              </w:rPr>
              <w:t>0%</w:t>
            </w:r>
          </w:p>
        </w:tc>
      </w:tr>
      <w:tr w:rsidR="00C85043" w:rsidRPr="00E04EBD" w:rsidTr="00C85043">
        <w:tc>
          <w:tcPr>
            <w:tcW w:w="179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autoSpaceDE w:val="0"/>
              <w:autoSpaceDN w:val="0"/>
              <w:adjustRightInd w:val="0"/>
              <w:spacing w:before="40" w:after="40" w:line="260" w:lineRule="exact"/>
              <w:rPr>
                <w:b/>
                <w:sz w:val="16"/>
                <w:szCs w:val="16"/>
              </w:rPr>
            </w:pPr>
            <w:r>
              <w:rPr>
                <w:b/>
                <w:sz w:val="16"/>
                <w:szCs w:val="16"/>
              </w:rPr>
              <w:t>Итого</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E04EBD" w:rsidRDefault="00C85043" w:rsidP="00C85043">
            <w:pPr>
              <w:autoSpaceDE w:val="0"/>
              <w:autoSpaceDN w:val="0"/>
              <w:adjustRightInd w:val="0"/>
              <w:spacing w:before="40" w:after="40" w:line="260" w:lineRule="exact"/>
              <w:jc w:val="center"/>
              <w:rPr>
                <w:b/>
                <w:sz w:val="16"/>
                <w:szCs w:val="16"/>
              </w:rPr>
            </w:pPr>
            <w:r w:rsidRPr="00E04EBD">
              <w:rPr>
                <w:b/>
                <w:sz w:val="16"/>
                <w:szCs w:val="16"/>
              </w:rPr>
              <w:t>300</w:t>
            </w:r>
            <w:r>
              <w:rPr>
                <w:b/>
                <w:sz w:val="16"/>
                <w:szCs w:val="16"/>
              </w:rPr>
              <w:t> </w:t>
            </w:r>
            <w:r w:rsidRPr="00E04EBD">
              <w:rPr>
                <w:b/>
                <w:sz w:val="16"/>
                <w:szCs w:val="16"/>
              </w:rPr>
              <w:t>000</w:t>
            </w:r>
          </w:p>
        </w:tc>
        <w:tc>
          <w:tcPr>
            <w:tcW w:w="1014" w:type="pct"/>
            <w:tcBorders>
              <w:top w:val="single" w:sz="4" w:space="0" w:color="auto"/>
              <w:left w:val="single" w:sz="4" w:space="0" w:color="auto"/>
              <w:bottom w:val="single" w:sz="4" w:space="0" w:color="auto"/>
              <w:right w:val="single" w:sz="4" w:space="0" w:color="auto"/>
            </w:tcBorders>
            <w:shd w:val="clear" w:color="auto" w:fill="C6D9F1"/>
          </w:tcPr>
          <w:p w:rsidR="00C85043" w:rsidRPr="00723CCF" w:rsidRDefault="00C85043" w:rsidP="00C85043">
            <w:pPr>
              <w:autoSpaceDE w:val="0"/>
              <w:autoSpaceDN w:val="0"/>
              <w:adjustRightInd w:val="0"/>
              <w:spacing w:before="40" w:after="40" w:line="260" w:lineRule="exact"/>
              <w:jc w:val="center"/>
              <w:rPr>
                <w:b/>
                <w:sz w:val="16"/>
                <w:szCs w:val="16"/>
              </w:rPr>
            </w:pPr>
            <w:r w:rsidRPr="00723CCF">
              <w:rPr>
                <w:b/>
                <w:sz w:val="16"/>
                <w:szCs w:val="16"/>
              </w:rPr>
              <w:t>47</w:t>
            </w:r>
            <w:r>
              <w:rPr>
                <w:b/>
                <w:sz w:val="16"/>
                <w:szCs w:val="16"/>
              </w:rPr>
              <w:t> </w:t>
            </w:r>
            <w:r w:rsidRPr="00723CCF">
              <w:rPr>
                <w:b/>
                <w:sz w:val="16"/>
                <w:szCs w:val="16"/>
              </w:rPr>
              <w:t>042</w:t>
            </w:r>
          </w:p>
        </w:tc>
        <w:tc>
          <w:tcPr>
            <w:tcW w:w="1180" w:type="pct"/>
            <w:tcBorders>
              <w:top w:val="single" w:sz="4" w:space="0" w:color="auto"/>
              <w:left w:val="single" w:sz="4" w:space="0" w:color="auto"/>
              <w:bottom w:val="single" w:sz="4" w:space="0" w:color="auto"/>
              <w:right w:val="single" w:sz="4" w:space="0" w:color="auto"/>
            </w:tcBorders>
            <w:shd w:val="clear" w:color="auto" w:fill="C6D9F1"/>
          </w:tcPr>
          <w:p w:rsidR="00C85043" w:rsidRPr="00723CCF" w:rsidRDefault="00C85043" w:rsidP="00C85043">
            <w:pPr>
              <w:autoSpaceDE w:val="0"/>
              <w:autoSpaceDN w:val="0"/>
              <w:adjustRightInd w:val="0"/>
              <w:spacing w:before="40" w:after="40" w:line="260" w:lineRule="exact"/>
              <w:jc w:val="center"/>
              <w:rPr>
                <w:b/>
                <w:sz w:val="16"/>
                <w:szCs w:val="16"/>
              </w:rPr>
            </w:pPr>
          </w:p>
        </w:tc>
      </w:tr>
    </w:tbl>
    <w:p w:rsidR="00C85043" w:rsidRDefault="00C85043" w:rsidP="00C85043">
      <w:pPr>
        <w:rPr>
          <w:rFonts w:cs="Arial"/>
          <w:color w:val="000000"/>
          <w:szCs w:val="22"/>
          <w:lang w:val="ru-RU"/>
        </w:rPr>
      </w:pPr>
    </w:p>
    <w:p w:rsidR="00C85043" w:rsidRPr="001E1470" w:rsidRDefault="00C85043" w:rsidP="00C85043">
      <w:pPr>
        <w:rPr>
          <w:rFonts w:cs="Arial"/>
          <w:color w:val="000000"/>
          <w:szCs w:val="22"/>
          <w:lang w:val="ru-RU"/>
        </w:rPr>
      </w:pPr>
      <w:r w:rsidRPr="001E1470">
        <w:rPr>
          <w:rFonts w:cs="Arial"/>
          <w:color w:val="000000"/>
          <w:szCs w:val="22"/>
          <w:lang w:val="ru-RU"/>
        </w:rPr>
        <w:t>РИСКИ И СТРАТЕГИИ ИХ СНИЖЕНИЯ</w:t>
      </w:r>
    </w:p>
    <w:p w:rsidR="00C85043" w:rsidRPr="001E1470" w:rsidRDefault="00C85043" w:rsidP="00C85043">
      <w:pPr>
        <w:rPr>
          <w:rFonts w:cs="Arial"/>
          <w:color w:val="000000"/>
          <w:szCs w:val="22"/>
          <w:lang w:val="ru-RU"/>
        </w:rPr>
      </w:pP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6"/>
        <w:gridCol w:w="3237"/>
        <w:gridCol w:w="3070"/>
      </w:tblGrid>
      <w:tr w:rsidR="00C85043" w:rsidRPr="00E04EBD" w:rsidTr="00C85043">
        <w:trPr>
          <w:trHeight w:val="534"/>
          <w:tblHeader/>
          <w:jc w:val="center"/>
        </w:trPr>
        <w:tc>
          <w:tcPr>
            <w:tcW w:w="1577" w:type="pct"/>
            <w:shd w:val="clear" w:color="auto" w:fill="C6D9F1"/>
            <w:vAlign w:val="center"/>
          </w:tcPr>
          <w:p w:rsidR="00C85043" w:rsidRPr="00E04EBD" w:rsidRDefault="00C85043" w:rsidP="00C85043">
            <w:pPr>
              <w:autoSpaceDE w:val="0"/>
              <w:autoSpaceDN w:val="0"/>
              <w:adjustRightInd w:val="0"/>
              <w:spacing w:before="40" w:after="40" w:line="260" w:lineRule="exact"/>
              <w:ind w:left="-74" w:right="-60"/>
              <w:jc w:val="center"/>
              <w:rPr>
                <w:b/>
                <w:bCs/>
                <w:sz w:val="16"/>
                <w:szCs w:val="16"/>
              </w:rPr>
            </w:pPr>
            <w:r>
              <w:rPr>
                <w:b/>
                <w:bCs/>
                <w:sz w:val="16"/>
                <w:szCs w:val="16"/>
              </w:rPr>
              <w:t>Риск / Описание риска</w:t>
            </w:r>
          </w:p>
        </w:tc>
        <w:tc>
          <w:tcPr>
            <w:tcW w:w="1757" w:type="pct"/>
            <w:shd w:val="clear" w:color="auto" w:fill="C6D9F1"/>
            <w:vAlign w:val="center"/>
          </w:tcPr>
          <w:p w:rsidR="00C85043" w:rsidRPr="00E04EBD" w:rsidRDefault="00C85043" w:rsidP="00C85043">
            <w:pPr>
              <w:autoSpaceDE w:val="0"/>
              <w:autoSpaceDN w:val="0"/>
              <w:adjustRightInd w:val="0"/>
              <w:spacing w:before="40" w:after="40" w:line="260" w:lineRule="exact"/>
              <w:ind w:left="-107" w:right="-108"/>
              <w:jc w:val="center"/>
              <w:rPr>
                <w:b/>
                <w:bCs/>
                <w:sz w:val="16"/>
                <w:szCs w:val="16"/>
              </w:rPr>
            </w:pPr>
            <w:r>
              <w:rPr>
                <w:b/>
                <w:bCs/>
                <w:sz w:val="16"/>
                <w:szCs w:val="16"/>
              </w:rPr>
              <w:t>Меры по уменьшению риска</w:t>
            </w:r>
            <w:r w:rsidRPr="00E04EBD" w:rsidDel="00826D61">
              <w:rPr>
                <w:b/>
                <w:bCs/>
                <w:sz w:val="16"/>
                <w:szCs w:val="16"/>
              </w:rPr>
              <w:t xml:space="preserve"> </w:t>
            </w:r>
          </w:p>
        </w:tc>
        <w:tc>
          <w:tcPr>
            <w:tcW w:w="1666" w:type="pct"/>
            <w:shd w:val="clear" w:color="auto" w:fill="C6D9F1"/>
            <w:vAlign w:val="center"/>
          </w:tcPr>
          <w:p w:rsidR="00C85043" w:rsidRPr="00E04EBD" w:rsidRDefault="00C85043" w:rsidP="00C85043">
            <w:pPr>
              <w:autoSpaceDE w:val="0"/>
              <w:autoSpaceDN w:val="0"/>
              <w:adjustRightInd w:val="0"/>
              <w:spacing w:before="40" w:after="40" w:line="260" w:lineRule="exact"/>
              <w:ind w:left="-109"/>
              <w:jc w:val="center"/>
              <w:rPr>
                <w:b/>
                <w:bCs/>
                <w:sz w:val="16"/>
                <w:szCs w:val="16"/>
              </w:rPr>
            </w:pPr>
            <w:r>
              <w:rPr>
                <w:b/>
                <w:bCs/>
                <w:sz w:val="16"/>
                <w:szCs w:val="16"/>
              </w:rPr>
              <w:t>Примечание</w:t>
            </w:r>
          </w:p>
        </w:tc>
      </w:tr>
      <w:tr w:rsidR="00C85043" w:rsidRPr="00AB735C" w:rsidTr="00C85043">
        <w:trPr>
          <w:trHeight w:val="776"/>
          <w:jc w:val="center"/>
        </w:trPr>
        <w:tc>
          <w:tcPr>
            <w:tcW w:w="1577" w:type="pct"/>
            <w:shd w:val="clear" w:color="auto" w:fill="auto"/>
          </w:tcPr>
          <w:p w:rsidR="00C85043" w:rsidRPr="00AB735C" w:rsidRDefault="00C85043" w:rsidP="00C85043">
            <w:pPr>
              <w:autoSpaceDE w:val="0"/>
              <w:autoSpaceDN w:val="0"/>
              <w:adjustRightInd w:val="0"/>
              <w:spacing w:before="40" w:after="40"/>
              <w:rPr>
                <w:sz w:val="16"/>
                <w:szCs w:val="16"/>
                <w:lang w:val="ru-RU"/>
              </w:rPr>
            </w:pPr>
            <w:r>
              <w:rPr>
                <w:sz w:val="16"/>
                <w:szCs w:val="16"/>
                <w:lang w:val="ru-RU"/>
              </w:rPr>
              <w:t xml:space="preserve">Задержка начала </w:t>
            </w:r>
            <w:r w:rsidRPr="00886AD6">
              <w:rPr>
                <w:sz w:val="16"/>
                <w:szCs w:val="16"/>
                <w:lang w:val="ru-RU"/>
              </w:rPr>
              <w:t>проект</w:t>
            </w:r>
            <w:r>
              <w:rPr>
                <w:sz w:val="16"/>
                <w:szCs w:val="16"/>
                <w:lang w:val="ru-RU"/>
              </w:rPr>
              <w:t xml:space="preserve">а </w:t>
            </w:r>
            <w:r w:rsidRPr="004C29C9">
              <w:rPr>
                <w:sz w:val="16"/>
                <w:szCs w:val="16"/>
                <w:lang w:val="ru-RU"/>
              </w:rPr>
              <w:t>на срок до одного года</w:t>
            </w:r>
            <w:r w:rsidRPr="00AB735C">
              <w:rPr>
                <w:sz w:val="16"/>
                <w:szCs w:val="16"/>
                <w:lang w:val="ru-RU"/>
              </w:rPr>
              <w:t xml:space="preserve"> в результате </w:t>
            </w:r>
            <w:r>
              <w:rPr>
                <w:sz w:val="16"/>
                <w:szCs w:val="16"/>
                <w:lang w:val="ru-RU"/>
              </w:rPr>
              <w:t>задержки в сдаче нового</w:t>
            </w:r>
            <w:r w:rsidRPr="00AB735C">
              <w:rPr>
                <w:sz w:val="16"/>
                <w:szCs w:val="16"/>
                <w:lang w:val="ru-RU"/>
              </w:rPr>
              <w:t xml:space="preserve"> </w:t>
            </w:r>
            <w:r>
              <w:rPr>
                <w:sz w:val="16"/>
                <w:szCs w:val="16"/>
                <w:lang w:val="ru-RU"/>
              </w:rPr>
              <w:t>конференц-зала ВОИС</w:t>
            </w:r>
            <w:r w:rsidRPr="00AB735C">
              <w:rPr>
                <w:sz w:val="16"/>
                <w:szCs w:val="16"/>
                <w:lang w:val="ru-RU"/>
              </w:rPr>
              <w:t>.</w:t>
            </w:r>
          </w:p>
        </w:tc>
        <w:tc>
          <w:tcPr>
            <w:tcW w:w="1757" w:type="pct"/>
            <w:shd w:val="clear" w:color="auto" w:fill="auto"/>
          </w:tcPr>
          <w:p w:rsidR="00C85043" w:rsidRPr="00886AD6" w:rsidRDefault="00C85043" w:rsidP="00C85043">
            <w:pPr>
              <w:autoSpaceDE w:val="0"/>
              <w:autoSpaceDN w:val="0"/>
              <w:adjustRightInd w:val="0"/>
              <w:spacing w:before="40" w:after="40"/>
              <w:rPr>
                <w:sz w:val="16"/>
                <w:szCs w:val="16"/>
                <w:lang w:val="ru-RU"/>
              </w:rPr>
            </w:pPr>
            <w:r>
              <w:rPr>
                <w:sz w:val="16"/>
                <w:szCs w:val="16"/>
                <w:lang w:val="ru-RU"/>
              </w:rPr>
              <w:t xml:space="preserve">Корректировка графиков </w:t>
            </w:r>
            <w:r w:rsidRPr="00886AD6">
              <w:rPr>
                <w:sz w:val="16"/>
                <w:szCs w:val="16"/>
                <w:lang w:val="ru-RU"/>
              </w:rPr>
              <w:t>и выполнени</w:t>
            </w:r>
            <w:r>
              <w:rPr>
                <w:sz w:val="16"/>
                <w:szCs w:val="16"/>
                <w:lang w:val="ru-RU"/>
              </w:rPr>
              <w:t xml:space="preserve">е </w:t>
            </w:r>
            <w:r w:rsidRPr="00886AD6">
              <w:rPr>
                <w:sz w:val="16"/>
                <w:szCs w:val="16"/>
                <w:lang w:val="ru-RU"/>
              </w:rPr>
              <w:t>максимальн</w:t>
            </w:r>
            <w:r>
              <w:rPr>
                <w:sz w:val="16"/>
                <w:szCs w:val="16"/>
                <w:lang w:val="ru-RU"/>
              </w:rPr>
              <w:t xml:space="preserve">о </w:t>
            </w:r>
            <w:r w:rsidRPr="00886AD6">
              <w:rPr>
                <w:sz w:val="16"/>
                <w:szCs w:val="16"/>
                <w:lang w:val="ru-RU"/>
              </w:rPr>
              <w:t>возможн</w:t>
            </w:r>
            <w:r>
              <w:rPr>
                <w:sz w:val="16"/>
                <w:szCs w:val="16"/>
                <w:lang w:val="ru-RU"/>
              </w:rPr>
              <w:t xml:space="preserve">ого </w:t>
            </w:r>
            <w:r w:rsidRPr="00886AD6">
              <w:rPr>
                <w:sz w:val="16"/>
                <w:szCs w:val="16"/>
                <w:lang w:val="ru-RU"/>
              </w:rPr>
              <w:t>объе</w:t>
            </w:r>
            <w:r>
              <w:rPr>
                <w:sz w:val="16"/>
                <w:szCs w:val="16"/>
                <w:lang w:val="ru-RU"/>
              </w:rPr>
              <w:t xml:space="preserve">ма </w:t>
            </w:r>
            <w:r w:rsidRPr="00886AD6">
              <w:rPr>
                <w:sz w:val="16"/>
                <w:szCs w:val="16"/>
                <w:lang w:val="ru-RU"/>
              </w:rPr>
              <w:t>работ</w:t>
            </w:r>
            <w:r>
              <w:rPr>
                <w:sz w:val="16"/>
                <w:szCs w:val="16"/>
                <w:lang w:val="ru-RU"/>
              </w:rPr>
              <w:t xml:space="preserve"> в летний </w:t>
            </w:r>
            <w:r w:rsidRPr="00886AD6">
              <w:rPr>
                <w:sz w:val="16"/>
                <w:szCs w:val="16"/>
                <w:lang w:val="ru-RU"/>
              </w:rPr>
              <w:t>период.</w:t>
            </w:r>
          </w:p>
        </w:tc>
        <w:tc>
          <w:tcPr>
            <w:tcW w:w="1666" w:type="pct"/>
            <w:shd w:val="clear" w:color="auto" w:fill="auto"/>
          </w:tcPr>
          <w:p w:rsidR="00C85043" w:rsidRPr="00AB735C" w:rsidRDefault="00C85043" w:rsidP="00C85043">
            <w:pPr>
              <w:autoSpaceDE w:val="0"/>
              <w:autoSpaceDN w:val="0"/>
              <w:adjustRightInd w:val="0"/>
              <w:spacing w:before="40" w:after="40"/>
              <w:rPr>
                <w:sz w:val="16"/>
                <w:szCs w:val="16"/>
                <w:lang w:val="ru-RU"/>
              </w:rPr>
            </w:pPr>
            <w:r w:rsidRPr="00E9446C">
              <w:rPr>
                <w:sz w:val="16"/>
                <w:szCs w:val="16"/>
                <w:lang w:val="ru-RU"/>
              </w:rPr>
              <w:t>Данный риск материализовался</w:t>
            </w:r>
            <w:r w:rsidRPr="00AB735C">
              <w:rPr>
                <w:sz w:val="16"/>
                <w:szCs w:val="16"/>
                <w:lang w:val="ru-RU"/>
              </w:rPr>
              <w:t xml:space="preserve"> в 2014 </w:t>
            </w:r>
            <w:r>
              <w:rPr>
                <w:sz w:val="16"/>
                <w:szCs w:val="16"/>
                <w:lang w:val="ru-RU"/>
              </w:rPr>
              <w:t>г.</w:t>
            </w:r>
            <w:r w:rsidRPr="00AB735C">
              <w:rPr>
                <w:sz w:val="16"/>
                <w:szCs w:val="16"/>
                <w:lang w:val="ru-RU"/>
              </w:rPr>
              <w:t xml:space="preserve">  </w:t>
            </w:r>
            <w:r w:rsidRPr="00D26B59">
              <w:rPr>
                <w:sz w:val="16"/>
                <w:szCs w:val="16"/>
                <w:lang w:val="ru-RU"/>
              </w:rPr>
              <w:t xml:space="preserve">Дата общего начала работ по проекту </w:t>
            </w:r>
            <w:r>
              <w:rPr>
                <w:sz w:val="16"/>
                <w:szCs w:val="16"/>
                <w:lang w:val="ru-RU"/>
              </w:rPr>
              <w:t xml:space="preserve">была сдвинута на </w:t>
            </w:r>
            <w:r w:rsidRPr="004C29C9">
              <w:rPr>
                <w:sz w:val="16"/>
                <w:szCs w:val="16"/>
                <w:lang w:val="ru-RU"/>
              </w:rPr>
              <w:t xml:space="preserve">12 месяцев </w:t>
            </w:r>
            <w:r w:rsidRPr="00D26B59">
              <w:rPr>
                <w:sz w:val="16"/>
                <w:szCs w:val="16"/>
                <w:lang w:val="ru-RU"/>
              </w:rPr>
              <w:t>относительн</w:t>
            </w:r>
            <w:r>
              <w:rPr>
                <w:sz w:val="16"/>
                <w:szCs w:val="16"/>
                <w:lang w:val="ru-RU"/>
              </w:rPr>
              <w:t xml:space="preserve">о </w:t>
            </w:r>
            <w:r w:rsidRPr="004C29C9">
              <w:rPr>
                <w:sz w:val="16"/>
                <w:szCs w:val="16"/>
                <w:lang w:val="ru-RU"/>
              </w:rPr>
              <w:t>первоначальн</w:t>
            </w:r>
            <w:r>
              <w:rPr>
                <w:sz w:val="16"/>
                <w:szCs w:val="16"/>
                <w:lang w:val="ru-RU"/>
              </w:rPr>
              <w:t>ого</w:t>
            </w:r>
            <w:r w:rsidRPr="004C29C9">
              <w:rPr>
                <w:sz w:val="16"/>
                <w:szCs w:val="16"/>
                <w:lang w:val="ru-RU"/>
              </w:rPr>
              <w:t xml:space="preserve"> план</w:t>
            </w:r>
            <w:r>
              <w:rPr>
                <w:sz w:val="16"/>
                <w:szCs w:val="16"/>
                <w:lang w:val="ru-RU"/>
              </w:rPr>
              <w:t xml:space="preserve">а. График </w:t>
            </w:r>
            <w:r w:rsidRPr="00692028">
              <w:rPr>
                <w:sz w:val="16"/>
                <w:szCs w:val="16"/>
                <w:lang w:val="ru-RU"/>
              </w:rPr>
              <w:t>проект</w:t>
            </w:r>
            <w:r>
              <w:rPr>
                <w:sz w:val="16"/>
                <w:szCs w:val="16"/>
                <w:lang w:val="ru-RU"/>
              </w:rPr>
              <w:t>а был скорректирован</w:t>
            </w:r>
            <w:r w:rsidRPr="00AB735C">
              <w:rPr>
                <w:sz w:val="16"/>
                <w:szCs w:val="16"/>
                <w:lang w:val="ru-RU"/>
              </w:rPr>
              <w:t xml:space="preserve"> </w:t>
            </w:r>
            <w:r>
              <w:rPr>
                <w:sz w:val="16"/>
                <w:szCs w:val="16"/>
                <w:lang w:val="ru-RU"/>
              </w:rPr>
              <w:t>для отражения запланированных мер по уменьшению риска</w:t>
            </w:r>
            <w:r w:rsidRPr="00AB735C">
              <w:rPr>
                <w:sz w:val="16"/>
                <w:szCs w:val="16"/>
                <w:lang w:val="ru-RU"/>
              </w:rPr>
              <w:t xml:space="preserve">.  </w:t>
            </w:r>
            <w:r w:rsidRPr="00D33351">
              <w:rPr>
                <w:sz w:val="16"/>
                <w:szCs w:val="16"/>
                <w:lang w:val="ru-RU"/>
              </w:rPr>
              <w:t>Никаких существенных последствий для проектных результатов не зафиксировано</w:t>
            </w:r>
            <w:r w:rsidRPr="00AB735C">
              <w:rPr>
                <w:sz w:val="16"/>
                <w:szCs w:val="16"/>
                <w:lang w:val="ru-RU"/>
              </w:rPr>
              <w:t>.</w:t>
            </w:r>
            <w:r w:rsidRPr="00AB735C">
              <w:rPr>
                <w:i/>
                <w:sz w:val="16"/>
                <w:szCs w:val="16"/>
                <w:lang w:val="ru-RU"/>
              </w:rPr>
              <w:t xml:space="preserve"> </w:t>
            </w:r>
          </w:p>
        </w:tc>
      </w:tr>
      <w:tr w:rsidR="00C85043" w:rsidRPr="005C6ABD" w:rsidTr="00C85043">
        <w:trPr>
          <w:trHeight w:val="776"/>
          <w:jc w:val="center"/>
        </w:trPr>
        <w:tc>
          <w:tcPr>
            <w:tcW w:w="1577" w:type="pct"/>
            <w:shd w:val="clear" w:color="auto" w:fill="auto"/>
          </w:tcPr>
          <w:p w:rsidR="00C85043" w:rsidRPr="00AB735C" w:rsidRDefault="00C85043" w:rsidP="00C85043">
            <w:pPr>
              <w:autoSpaceDE w:val="0"/>
              <w:autoSpaceDN w:val="0"/>
              <w:adjustRightInd w:val="0"/>
              <w:spacing w:before="40" w:after="40"/>
              <w:rPr>
                <w:sz w:val="16"/>
                <w:szCs w:val="16"/>
                <w:lang w:val="ru-RU"/>
              </w:rPr>
            </w:pPr>
            <w:r>
              <w:rPr>
                <w:sz w:val="16"/>
                <w:szCs w:val="16"/>
                <w:lang w:val="ru-RU"/>
              </w:rPr>
              <w:t xml:space="preserve">Конфликт приоритетов </w:t>
            </w:r>
            <w:r w:rsidRPr="00AB735C">
              <w:rPr>
                <w:sz w:val="16"/>
                <w:szCs w:val="16"/>
                <w:lang w:val="ru-RU"/>
              </w:rPr>
              <w:t xml:space="preserve">между </w:t>
            </w:r>
            <w:r>
              <w:rPr>
                <w:sz w:val="16"/>
                <w:szCs w:val="16"/>
                <w:lang w:val="ru-RU"/>
              </w:rPr>
              <w:t xml:space="preserve">скорейшим </w:t>
            </w:r>
            <w:r w:rsidRPr="00D90575">
              <w:rPr>
                <w:sz w:val="16"/>
                <w:szCs w:val="16"/>
                <w:lang w:val="ru-RU"/>
              </w:rPr>
              <w:t>выполнени</w:t>
            </w:r>
            <w:r>
              <w:rPr>
                <w:sz w:val="16"/>
                <w:szCs w:val="16"/>
                <w:lang w:val="ru-RU"/>
              </w:rPr>
              <w:t xml:space="preserve">ем работ </w:t>
            </w:r>
            <w:r w:rsidRPr="00AB735C">
              <w:rPr>
                <w:sz w:val="16"/>
                <w:szCs w:val="16"/>
                <w:lang w:val="ru-RU"/>
              </w:rPr>
              <w:t>и использова</w:t>
            </w:r>
            <w:r>
              <w:rPr>
                <w:sz w:val="16"/>
                <w:szCs w:val="16"/>
                <w:lang w:val="ru-RU"/>
              </w:rPr>
              <w:t xml:space="preserve">нием </w:t>
            </w:r>
            <w:r w:rsidRPr="00D90575">
              <w:rPr>
                <w:sz w:val="16"/>
                <w:lang w:val="ru-RU"/>
              </w:rPr>
              <w:t>помещени</w:t>
            </w:r>
            <w:r>
              <w:rPr>
                <w:sz w:val="16"/>
                <w:szCs w:val="16"/>
                <w:lang w:val="ru-RU"/>
              </w:rPr>
              <w:t xml:space="preserve">й занимающими </w:t>
            </w:r>
            <w:r w:rsidRPr="00AB735C">
              <w:rPr>
                <w:sz w:val="16"/>
                <w:szCs w:val="16"/>
                <w:lang w:val="ru-RU"/>
              </w:rPr>
              <w:t xml:space="preserve">их </w:t>
            </w:r>
            <w:r w:rsidRPr="00D90575">
              <w:rPr>
                <w:sz w:val="16"/>
                <w:szCs w:val="16"/>
                <w:lang w:val="ru-RU"/>
              </w:rPr>
              <w:t>сотрудник</w:t>
            </w:r>
            <w:r>
              <w:rPr>
                <w:sz w:val="16"/>
                <w:szCs w:val="16"/>
                <w:lang w:val="ru-RU"/>
              </w:rPr>
              <w:t xml:space="preserve">ами, приводящий к </w:t>
            </w:r>
            <w:r w:rsidRPr="00D90575">
              <w:rPr>
                <w:sz w:val="16"/>
                <w:szCs w:val="16"/>
                <w:lang w:val="ru-RU"/>
              </w:rPr>
              <w:t>невозможн</w:t>
            </w:r>
            <w:r>
              <w:rPr>
                <w:sz w:val="16"/>
                <w:szCs w:val="16"/>
                <w:lang w:val="ru-RU"/>
              </w:rPr>
              <w:t xml:space="preserve">ости вывода </w:t>
            </w:r>
            <w:r w:rsidRPr="00D90575">
              <w:rPr>
                <w:sz w:val="16"/>
                <w:szCs w:val="16"/>
                <w:lang w:val="ru-RU"/>
              </w:rPr>
              <w:t>сотрудник</w:t>
            </w:r>
            <w:r>
              <w:rPr>
                <w:sz w:val="16"/>
                <w:szCs w:val="16"/>
                <w:lang w:val="ru-RU"/>
              </w:rPr>
              <w:t xml:space="preserve">ов из </w:t>
            </w:r>
            <w:r w:rsidRPr="00D90575">
              <w:rPr>
                <w:sz w:val="16"/>
                <w:lang w:val="ru-RU"/>
              </w:rPr>
              <w:t>помещени</w:t>
            </w:r>
            <w:r>
              <w:rPr>
                <w:sz w:val="16"/>
                <w:szCs w:val="16"/>
                <w:lang w:val="ru-RU"/>
              </w:rPr>
              <w:t xml:space="preserve">й для начала работ на </w:t>
            </w:r>
            <w:r w:rsidRPr="00D90575">
              <w:rPr>
                <w:sz w:val="16"/>
                <w:szCs w:val="16"/>
                <w:lang w:val="ru-RU"/>
              </w:rPr>
              <w:t>соответствующ</w:t>
            </w:r>
            <w:r>
              <w:rPr>
                <w:sz w:val="16"/>
                <w:szCs w:val="16"/>
                <w:lang w:val="ru-RU"/>
              </w:rPr>
              <w:t xml:space="preserve">их </w:t>
            </w:r>
            <w:r w:rsidRPr="00D90575">
              <w:rPr>
                <w:sz w:val="16"/>
                <w:szCs w:val="16"/>
                <w:lang w:val="ru-RU"/>
              </w:rPr>
              <w:t>площад</w:t>
            </w:r>
            <w:r>
              <w:rPr>
                <w:sz w:val="16"/>
                <w:szCs w:val="16"/>
                <w:lang w:val="ru-RU"/>
              </w:rPr>
              <w:t>ях</w:t>
            </w:r>
            <w:r w:rsidRPr="00AB735C">
              <w:rPr>
                <w:sz w:val="16"/>
                <w:szCs w:val="16"/>
                <w:lang w:val="ru-RU"/>
              </w:rPr>
              <w:t>.</w:t>
            </w:r>
          </w:p>
        </w:tc>
        <w:tc>
          <w:tcPr>
            <w:tcW w:w="1757" w:type="pct"/>
            <w:shd w:val="clear" w:color="auto" w:fill="auto"/>
          </w:tcPr>
          <w:p w:rsidR="00C85043" w:rsidRPr="00D35DC4" w:rsidRDefault="00C85043" w:rsidP="00C85043">
            <w:pPr>
              <w:autoSpaceDE w:val="0"/>
              <w:autoSpaceDN w:val="0"/>
              <w:adjustRightInd w:val="0"/>
              <w:spacing w:before="40" w:after="40"/>
              <w:rPr>
                <w:sz w:val="16"/>
                <w:szCs w:val="16"/>
                <w:lang w:val="ru-RU"/>
              </w:rPr>
            </w:pPr>
            <w:r w:rsidRPr="009044EE">
              <w:rPr>
                <w:sz w:val="16"/>
                <w:szCs w:val="16"/>
                <w:lang w:val="ru-RU"/>
              </w:rPr>
              <w:t xml:space="preserve">Реорганизация ремонтных работ </w:t>
            </w:r>
            <w:r>
              <w:rPr>
                <w:sz w:val="16"/>
                <w:szCs w:val="16"/>
                <w:lang w:val="ru-RU"/>
              </w:rPr>
              <w:t xml:space="preserve">в </w:t>
            </w:r>
            <w:r w:rsidRPr="00D35DC4">
              <w:rPr>
                <w:sz w:val="16"/>
                <w:szCs w:val="16"/>
                <w:lang w:val="ru-RU"/>
              </w:rPr>
              <w:t>возможн</w:t>
            </w:r>
            <w:r>
              <w:rPr>
                <w:sz w:val="16"/>
                <w:szCs w:val="16"/>
                <w:lang w:val="ru-RU"/>
              </w:rPr>
              <w:t xml:space="preserve">ых случаях </w:t>
            </w:r>
            <w:r w:rsidRPr="009044EE">
              <w:rPr>
                <w:sz w:val="16"/>
                <w:szCs w:val="16"/>
                <w:lang w:val="ru-RU"/>
              </w:rPr>
              <w:t xml:space="preserve">и пересмотр </w:t>
            </w:r>
            <w:r>
              <w:rPr>
                <w:sz w:val="16"/>
                <w:szCs w:val="16"/>
                <w:lang w:val="ru-RU"/>
              </w:rPr>
              <w:t xml:space="preserve">графика </w:t>
            </w:r>
            <w:r w:rsidRPr="00D90575">
              <w:rPr>
                <w:sz w:val="16"/>
                <w:szCs w:val="16"/>
                <w:lang w:val="ru-RU"/>
              </w:rPr>
              <w:t>работ</w:t>
            </w:r>
          </w:p>
        </w:tc>
        <w:tc>
          <w:tcPr>
            <w:tcW w:w="1666" w:type="pct"/>
            <w:shd w:val="clear" w:color="auto" w:fill="auto"/>
          </w:tcPr>
          <w:p w:rsidR="00C85043" w:rsidRPr="00D35DC4" w:rsidRDefault="00C85043" w:rsidP="00C85043">
            <w:pPr>
              <w:autoSpaceDE w:val="0"/>
              <w:autoSpaceDN w:val="0"/>
              <w:adjustRightInd w:val="0"/>
              <w:spacing w:before="40" w:after="40"/>
              <w:rPr>
                <w:sz w:val="16"/>
                <w:szCs w:val="16"/>
                <w:lang w:val="ru-RU"/>
              </w:rPr>
            </w:pPr>
          </w:p>
        </w:tc>
      </w:tr>
      <w:tr w:rsidR="00C85043" w:rsidRPr="005C6ABD" w:rsidTr="00C85043">
        <w:trPr>
          <w:trHeight w:val="776"/>
          <w:jc w:val="center"/>
        </w:trPr>
        <w:tc>
          <w:tcPr>
            <w:tcW w:w="1577" w:type="pct"/>
            <w:shd w:val="clear" w:color="auto" w:fill="auto"/>
          </w:tcPr>
          <w:p w:rsidR="00C85043" w:rsidRPr="00AB735C" w:rsidRDefault="00C85043" w:rsidP="00C85043">
            <w:pPr>
              <w:autoSpaceDE w:val="0"/>
              <w:autoSpaceDN w:val="0"/>
              <w:adjustRightInd w:val="0"/>
              <w:spacing w:before="40" w:after="40"/>
              <w:rPr>
                <w:sz w:val="16"/>
                <w:szCs w:val="16"/>
                <w:lang w:val="ru-RU"/>
              </w:rPr>
            </w:pPr>
            <w:r w:rsidRPr="00D90575">
              <w:rPr>
                <w:sz w:val="16"/>
                <w:szCs w:val="16"/>
                <w:lang w:val="ru-RU"/>
              </w:rPr>
              <w:t>Невозможн</w:t>
            </w:r>
            <w:r>
              <w:rPr>
                <w:sz w:val="16"/>
                <w:szCs w:val="16"/>
                <w:lang w:val="ru-RU"/>
              </w:rPr>
              <w:t xml:space="preserve">ость </w:t>
            </w:r>
            <w:r w:rsidRPr="00D90575">
              <w:rPr>
                <w:sz w:val="16"/>
                <w:szCs w:val="16"/>
                <w:lang w:val="ru-RU"/>
              </w:rPr>
              <w:t>выполнени</w:t>
            </w:r>
            <w:r>
              <w:rPr>
                <w:sz w:val="16"/>
                <w:szCs w:val="16"/>
                <w:lang w:val="ru-RU"/>
              </w:rPr>
              <w:t xml:space="preserve">я работ </w:t>
            </w:r>
            <w:r w:rsidRPr="00AB735C">
              <w:rPr>
                <w:sz w:val="16"/>
                <w:szCs w:val="16"/>
                <w:lang w:val="ru-RU"/>
              </w:rPr>
              <w:t xml:space="preserve">в </w:t>
            </w:r>
            <w:r>
              <w:rPr>
                <w:sz w:val="16"/>
                <w:szCs w:val="16"/>
                <w:lang w:val="ru-RU"/>
              </w:rPr>
              <w:t>летний</w:t>
            </w:r>
            <w:r w:rsidRPr="00AB735C">
              <w:rPr>
                <w:sz w:val="16"/>
                <w:szCs w:val="16"/>
                <w:lang w:val="ru-RU"/>
              </w:rPr>
              <w:t xml:space="preserve"> </w:t>
            </w:r>
            <w:r w:rsidRPr="00D90575">
              <w:rPr>
                <w:sz w:val="16"/>
                <w:szCs w:val="16"/>
                <w:lang w:val="ru-RU"/>
              </w:rPr>
              <w:t>период</w:t>
            </w:r>
            <w:r>
              <w:rPr>
                <w:sz w:val="16"/>
                <w:szCs w:val="16"/>
                <w:lang w:val="ru-RU"/>
              </w:rPr>
              <w:t xml:space="preserve"> </w:t>
            </w:r>
            <w:r w:rsidRPr="00AB735C">
              <w:rPr>
                <w:sz w:val="16"/>
                <w:szCs w:val="16"/>
                <w:lang w:val="ru-RU"/>
              </w:rPr>
              <w:t xml:space="preserve">2015 </w:t>
            </w:r>
            <w:r>
              <w:rPr>
                <w:sz w:val="16"/>
                <w:szCs w:val="16"/>
                <w:lang w:val="ru-RU"/>
              </w:rPr>
              <w:t xml:space="preserve">г. </w:t>
            </w:r>
            <w:r w:rsidRPr="00AB735C">
              <w:rPr>
                <w:sz w:val="16"/>
                <w:szCs w:val="16"/>
                <w:lang w:val="ru-RU"/>
              </w:rPr>
              <w:t xml:space="preserve">в связи с </w:t>
            </w:r>
            <w:r w:rsidRPr="00D90575">
              <w:rPr>
                <w:sz w:val="16"/>
                <w:szCs w:val="16"/>
                <w:lang w:val="ru-RU"/>
              </w:rPr>
              <w:t>невозможн</w:t>
            </w:r>
            <w:r>
              <w:rPr>
                <w:sz w:val="16"/>
                <w:szCs w:val="16"/>
                <w:lang w:val="ru-RU"/>
              </w:rPr>
              <w:t xml:space="preserve">остью привлечь фирмы </w:t>
            </w:r>
            <w:r w:rsidRPr="00AB735C">
              <w:rPr>
                <w:sz w:val="16"/>
                <w:szCs w:val="16"/>
                <w:lang w:val="ru-RU"/>
              </w:rPr>
              <w:t xml:space="preserve">в </w:t>
            </w:r>
            <w:r>
              <w:rPr>
                <w:sz w:val="16"/>
                <w:szCs w:val="16"/>
                <w:lang w:val="ru-RU"/>
              </w:rPr>
              <w:t xml:space="preserve">сроки, </w:t>
            </w:r>
            <w:r w:rsidRPr="00D90575">
              <w:rPr>
                <w:sz w:val="16"/>
                <w:szCs w:val="16"/>
                <w:lang w:val="ru-RU"/>
              </w:rPr>
              <w:t>запланированн</w:t>
            </w:r>
            <w:r>
              <w:rPr>
                <w:sz w:val="16"/>
                <w:szCs w:val="16"/>
                <w:lang w:val="ru-RU"/>
              </w:rPr>
              <w:t xml:space="preserve">ые </w:t>
            </w:r>
            <w:r w:rsidRPr="00AB735C">
              <w:rPr>
                <w:sz w:val="16"/>
                <w:szCs w:val="16"/>
                <w:lang w:val="ru-RU"/>
              </w:rPr>
              <w:t>ВОИС.</w:t>
            </w:r>
          </w:p>
        </w:tc>
        <w:tc>
          <w:tcPr>
            <w:tcW w:w="1757" w:type="pct"/>
            <w:shd w:val="clear" w:color="auto" w:fill="auto"/>
          </w:tcPr>
          <w:p w:rsidR="00C85043" w:rsidRPr="00AB735C" w:rsidRDefault="00C85043" w:rsidP="00C85043">
            <w:pPr>
              <w:autoSpaceDE w:val="0"/>
              <w:autoSpaceDN w:val="0"/>
              <w:adjustRightInd w:val="0"/>
              <w:spacing w:before="40" w:after="40"/>
              <w:rPr>
                <w:sz w:val="16"/>
                <w:szCs w:val="16"/>
                <w:lang w:val="ru-RU"/>
              </w:rPr>
            </w:pPr>
            <w:r>
              <w:rPr>
                <w:sz w:val="16"/>
                <w:szCs w:val="16"/>
                <w:lang w:val="ru-RU"/>
              </w:rPr>
              <w:t xml:space="preserve">Отсрочка начала </w:t>
            </w:r>
            <w:r w:rsidRPr="00D90575">
              <w:rPr>
                <w:sz w:val="16"/>
                <w:szCs w:val="16"/>
                <w:lang w:val="ru-RU"/>
              </w:rPr>
              <w:t>работ</w:t>
            </w:r>
            <w:r>
              <w:rPr>
                <w:sz w:val="16"/>
                <w:szCs w:val="16"/>
                <w:lang w:val="ru-RU"/>
              </w:rPr>
              <w:t xml:space="preserve"> </w:t>
            </w:r>
            <w:r w:rsidRPr="00AB735C">
              <w:rPr>
                <w:sz w:val="16"/>
                <w:szCs w:val="16"/>
                <w:lang w:val="ru-RU"/>
              </w:rPr>
              <w:t xml:space="preserve">до </w:t>
            </w:r>
            <w:r>
              <w:rPr>
                <w:sz w:val="16"/>
                <w:szCs w:val="16"/>
                <w:lang w:val="ru-RU"/>
              </w:rPr>
              <w:t xml:space="preserve">летнего </w:t>
            </w:r>
            <w:r w:rsidRPr="00D90575">
              <w:rPr>
                <w:sz w:val="16"/>
                <w:szCs w:val="16"/>
                <w:lang w:val="ru-RU"/>
              </w:rPr>
              <w:t>период</w:t>
            </w:r>
            <w:r>
              <w:rPr>
                <w:sz w:val="16"/>
                <w:szCs w:val="16"/>
                <w:lang w:val="ru-RU"/>
              </w:rPr>
              <w:t>а</w:t>
            </w:r>
            <w:r w:rsidRPr="00AB735C">
              <w:rPr>
                <w:sz w:val="16"/>
                <w:szCs w:val="16"/>
                <w:lang w:val="ru-RU"/>
              </w:rPr>
              <w:t xml:space="preserve"> 2016</w:t>
            </w:r>
            <w:r>
              <w:rPr>
                <w:sz w:val="16"/>
                <w:szCs w:val="16"/>
                <w:lang w:val="ru-RU"/>
              </w:rPr>
              <w:t xml:space="preserve"> г.</w:t>
            </w:r>
          </w:p>
        </w:tc>
        <w:tc>
          <w:tcPr>
            <w:tcW w:w="1666" w:type="pct"/>
            <w:shd w:val="clear" w:color="auto" w:fill="auto"/>
          </w:tcPr>
          <w:p w:rsidR="00C85043" w:rsidRPr="00AB735C" w:rsidRDefault="00C85043" w:rsidP="00C85043">
            <w:pPr>
              <w:autoSpaceDE w:val="0"/>
              <w:autoSpaceDN w:val="0"/>
              <w:adjustRightInd w:val="0"/>
              <w:spacing w:before="40" w:after="40"/>
              <w:rPr>
                <w:sz w:val="16"/>
                <w:szCs w:val="16"/>
                <w:lang w:val="ru-RU"/>
              </w:rPr>
            </w:pPr>
          </w:p>
        </w:tc>
      </w:tr>
      <w:tr w:rsidR="00C85043" w:rsidRPr="005C6ABD" w:rsidTr="00C85043">
        <w:trPr>
          <w:trHeight w:val="776"/>
          <w:jc w:val="center"/>
        </w:trPr>
        <w:tc>
          <w:tcPr>
            <w:tcW w:w="1577" w:type="pct"/>
            <w:shd w:val="clear" w:color="auto" w:fill="auto"/>
          </w:tcPr>
          <w:p w:rsidR="00C85043" w:rsidRPr="004C29C9" w:rsidRDefault="00C85043" w:rsidP="00C85043">
            <w:pPr>
              <w:autoSpaceDE w:val="0"/>
              <w:autoSpaceDN w:val="0"/>
              <w:adjustRightInd w:val="0"/>
              <w:spacing w:before="40" w:after="40"/>
              <w:rPr>
                <w:sz w:val="16"/>
                <w:szCs w:val="16"/>
                <w:lang w:val="ru-RU"/>
              </w:rPr>
            </w:pPr>
            <w:r w:rsidRPr="004C29C9">
              <w:rPr>
                <w:sz w:val="16"/>
                <w:szCs w:val="16"/>
                <w:lang w:val="ru-RU"/>
              </w:rPr>
              <w:t>Задержк</w:t>
            </w:r>
            <w:r>
              <w:rPr>
                <w:sz w:val="16"/>
                <w:szCs w:val="16"/>
                <w:lang w:val="ru-RU"/>
              </w:rPr>
              <w:t>а</w:t>
            </w:r>
            <w:r w:rsidRPr="004C29C9">
              <w:rPr>
                <w:sz w:val="16"/>
                <w:szCs w:val="16"/>
                <w:lang w:val="ru-RU"/>
              </w:rPr>
              <w:t xml:space="preserve"> или </w:t>
            </w:r>
            <w:r>
              <w:rPr>
                <w:sz w:val="16"/>
                <w:szCs w:val="16"/>
                <w:lang w:val="ru-RU"/>
              </w:rPr>
              <w:t xml:space="preserve">прекращение работ </w:t>
            </w:r>
            <w:r w:rsidRPr="005D07E6">
              <w:rPr>
                <w:sz w:val="16"/>
                <w:szCs w:val="16"/>
                <w:lang w:val="ru-RU"/>
              </w:rPr>
              <w:t>в результате</w:t>
            </w:r>
            <w:r>
              <w:rPr>
                <w:sz w:val="16"/>
                <w:szCs w:val="16"/>
                <w:lang w:val="ru-RU"/>
              </w:rPr>
              <w:t xml:space="preserve"> аварии на </w:t>
            </w:r>
            <w:r w:rsidRPr="005D07E6">
              <w:rPr>
                <w:sz w:val="16"/>
                <w:szCs w:val="16"/>
                <w:lang w:val="ru-RU"/>
              </w:rPr>
              <w:t>объе</w:t>
            </w:r>
            <w:r>
              <w:rPr>
                <w:sz w:val="16"/>
                <w:szCs w:val="16"/>
                <w:lang w:val="ru-RU"/>
              </w:rPr>
              <w:t>кте</w:t>
            </w:r>
            <w:r w:rsidRPr="004C29C9">
              <w:rPr>
                <w:sz w:val="16"/>
                <w:szCs w:val="16"/>
                <w:lang w:val="ru-RU"/>
              </w:rPr>
              <w:t>.</w:t>
            </w:r>
          </w:p>
        </w:tc>
        <w:tc>
          <w:tcPr>
            <w:tcW w:w="1757" w:type="pct"/>
            <w:shd w:val="clear" w:color="auto" w:fill="auto"/>
          </w:tcPr>
          <w:p w:rsidR="00C85043" w:rsidRPr="00AB735C" w:rsidRDefault="00C85043" w:rsidP="00C85043">
            <w:pPr>
              <w:autoSpaceDE w:val="0"/>
              <w:autoSpaceDN w:val="0"/>
              <w:adjustRightInd w:val="0"/>
              <w:spacing w:before="40" w:after="40"/>
              <w:rPr>
                <w:sz w:val="16"/>
                <w:szCs w:val="16"/>
                <w:lang w:val="ru-RU"/>
              </w:rPr>
            </w:pPr>
            <w:r>
              <w:rPr>
                <w:sz w:val="16"/>
                <w:szCs w:val="16"/>
                <w:lang w:val="ru-RU"/>
              </w:rPr>
              <w:t xml:space="preserve">Повторная проверка достаточности </w:t>
            </w:r>
            <w:r w:rsidRPr="00AB735C">
              <w:rPr>
                <w:sz w:val="16"/>
                <w:szCs w:val="16"/>
                <w:lang w:val="ru-RU"/>
              </w:rPr>
              <w:t xml:space="preserve">и </w:t>
            </w:r>
            <w:r>
              <w:rPr>
                <w:sz w:val="16"/>
                <w:szCs w:val="16"/>
                <w:lang w:val="ru-RU"/>
              </w:rPr>
              <w:t>усиление мер</w:t>
            </w:r>
            <w:r w:rsidRPr="00AB735C">
              <w:rPr>
                <w:sz w:val="16"/>
                <w:szCs w:val="16"/>
                <w:lang w:val="ru-RU"/>
              </w:rPr>
              <w:t xml:space="preserve"> безопасност</w:t>
            </w:r>
            <w:r>
              <w:rPr>
                <w:sz w:val="16"/>
                <w:szCs w:val="16"/>
                <w:lang w:val="ru-RU"/>
              </w:rPr>
              <w:t>и,</w:t>
            </w:r>
            <w:r w:rsidRPr="00AB735C">
              <w:rPr>
                <w:sz w:val="16"/>
                <w:szCs w:val="16"/>
                <w:lang w:val="ru-RU"/>
              </w:rPr>
              <w:t xml:space="preserve"> </w:t>
            </w:r>
            <w:r>
              <w:rPr>
                <w:sz w:val="16"/>
                <w:szCs w:val="16"/>
                <w:lang w:val="ru-RU"/>
              </w:rPr>
              <w:t xml:space="preserve">пересмотр </w:t>
            </w:r>
            <w:r w:rsidRPr="00AB735C">
              <w:rPr>
                <w:sz w:val="16"/>
                <w:szCs w:val="16"/>
                <w:lang w:val="ru-RU"/>
              </w:rPr>
              <w:t>график</w:t>
            </w:r>
            <w:r w:rsidRPr="005D07E6">
              <w:rPr>
                <w:sz w:val="16"/>
                <w:szCs w:val="16"/>
                <w:lang w:val="ru-RU"/>
              </w:rPr>
              <w:t xml:space="preserve">а </w:t>
            </w:r>
            <w:r>
              <w:rPr>
                <w:sz w:val="16"/>
                <w:szCs w:val="16"/>
                <w:lang w:val="ru-RU"/>
              </w:rPr>
              <w:t>работ</w:t>
            </w:r>
            <w:r w:rsidRPr="00AB735C">
              <w:rPr>
                <w:sz w:val="16"/>
                <w:szCs w:val="16"/>
                <w:lang w:val="ru-RU"/>
              </w:rPr>
              <w:t xml:space="preserve"> </w:t>
            </w:r>
            <w:r>
              <w:rPr>
                <w:sz w:val="16"/>
                <w:szCs w:val="16"/>
                <w:lang w:val="ru-RU"/>
              </w:rPr>
              <w:t xml:space="preserve">на период до </w:t>
            </w:r>
            <w:r w:rsidRPr="00AB735C">
              <w:rPr>
                <w:sz w:val="16"/>
                <w:szCs w:val="16"/>
                <w:lang w:val="ru-RU"/>
              </w:rPr>
              <w:t>2016</w:t>
            </w:r>
            <w:r>
              <w:rPr>
                <w:sz w:val="16"/>
                <w:szCs w:val="16"/>
                <w:lang w:val="ru-RU"/>
              </w:rPr>
              <w:t xml:space="preserve"> г</w:t>
            </w:r>
            <w:r w:rsidRPr="00AB735C">
              <w:rPr>
                <w:sz w:val="16"/>
                <w:szCs w:val="16"/>
                <w:lang w:val="ru-RU"/>
              </w:rPr>
              <w:t>.</w:t>
            </w:r>
          </w:p>
        </w:tc>
        <w:tc>
          <w:tcPr>
            <w:tcW w:w="1666" w:type="pct"/>
            <w:shd w:val="clear" w:color="auto" w:fill="auto"/>
          </w:tcPr>
          <w:p w:rsidR="00C85043" w:rsidRPr="00AB735C" w:rsidRDefault="00C85043" w:rsidP="00C85043">
            <w:pPr>
              <w:autoSpaceDE w:val="0"/>
              <w:autoSpaceDN w:val="0"/>
              <w:adjustRightInd w:val="0"/>
              <w:spacing w:before="40" w:after="40"/>
              <w:rPr>
                <w:sz w:val="16"/>
                <w:szCs w:val="16"/>
                <w:lang w:val="ru-RU"/>
              </w:rPr>
            </w:pPr>
          </w:p>
        </w:tc>
      </w:tr>
      <w:tr w:rsidR="00C85043" w:rsidRPr="005C6ABD" w:rsidTr="00C85043">
        <w:trPr>
          <w:trHeight w:val="776"/>
          <w:jc w:val="center"/>
        </w:trPr>
        <w:tc>
          <w:tcPr>
            <w:tcW w:w="1577" w:type="pct"/>
            <w:shd w:val="clear" w:color="auto" w:fill="auto"/>
          </w:tcPr>
          <w:p w:rsidR="00C85043" w:rsidRPr="00AB735C" w:rsidRDefault="00C85043" w:rsidP="00C85043">
            <w:pPr>
              <w:autoSpaceDE w:val="0"/>
              <w:autoSpaceDN w:val="0"/>
              <w:adjustRightInd w:val="0"/>
              <w:spacing w:before="40" w:after="40"/>
              <w:rPr>
                <w:sz w:val="16"/>
                <w:szCs w:val="16"/>
                <w:lang w:val="ru-RU"/>
              </w:rPr>
            </w:pPr>
            <w:r>
              <w:rPr>
                <w:sz w:val="16"/>
                <w:szCs w:val="16"/>
                <w:lang w:val="ru-RU"/>
              </w:rPr>
              <w:t>Прекращение работ</w:t>
            </w:r>
            <w:r w:rsidRPr="00AB735C">
              <w:rPr>
                <w:sz w:val="16"/>
                <w:szCs w:val="16"/>
                <w:lang w:val="ru-RU"/>
              </w:rPr>
              <w:t xml:space="preserve"> </w:t>
            </w:r>
            <w:r>
              <w:rPr>
                <w:sz w:val="16"/>
                <w:szCs w:val="16"/>
                <w:lang w:val="ru-RU"/>
              </w:rPr>
              <w:t xml:space="preserve">на </w:t>
            </w:r>
            <w:r w:rsidRPr="005D07E6">
              <w:rPr>
                <w:sz w:val="16"/>
                <w:szCs w:val="16"/>
                <w:lang w:val="ru-RU"/>
              </w:rPr>
              <w:t>объе</w:t>
            </w:r>
            <w:r>
              <w:rPr>
                <w:sz w:val="16"/>
                <w:szCs w:val="16"/>
                <w:lang w:val="ru-RU"/>
              </w:rPr>
              <w:t xml:space="preserve">кте </w:t>
            </w:r>
            <w:r w:rsidRPr="00AB735C">
              <w:rPr>
                <w:sz w:val="16"/>
                <w:szCs w:val="16"/>
                <w:lang w:val="ru-RU"/>
              </w:rPr>
              <w:t>в связи с техническ</w:t>
            </w:r>
            <w:r>
              <w:rPr>
                <w:sz w:val="16"/>
                <w:szCs w:val="16"/>
                <w:lang w:val="ru-RU"/>
              </w:rPr>
              <w:t>ими</w:t>
            </w:r>
            <w:r w:rsidRPr="00AB735C">
              <w:rPr>
                <w:sz w:val="16"/>
                <w:szCs w:val="16"/>
                <w:lang w:val="ru-RU"/>
              </w:rPr>
              <w:t xml:space="preserve"> проблемами</w:t>
            </w:r>
            <w:r>
              <w:rPr>
                <w:sz w:val="16"/>
                <w:szCs w:val="16"/>
                <w:lang w:val="ru-RU"/>
              </w:rPr>
              <w:t xml:space="preserve">, </w:t>
            </w:r>
            <w:r w:rsidRPr="005D07E6">
              <w:rPr>
                <w:sz w:val="16"/>
                <w:szCs w:val="16"/>
                <w:lang w:val="ru-RU"/>
              </w:rPr>
              <w:t>выявлен</w:t>
            </w:r>
            <w:r>
              <w:rPr>
                <w:sz w:val="16"/>
                <w:szCs w:val="16"/>
                <w:lang w:val="ru-RU"/>
              </w:rPr>
              <w:t xml:space="preserve">ными при </w:t>
            </w:r>
            <w:r w:rsidRPr="005D07E6">
              <w:rPr>
                <w:sz w:val="16"/>
                <w:szCs w:val="16"/>
                <w:lang w:val="ru-RU"/>
              </w:rPr>
              <w:t>подготовк</w:t>
            </w:r>
            <w:r>
              <w:rPr>
                <w:sz w:val="16"/>
                <w:szCs w:val="16"/>
                <w:lang w:val="ru-RU"/>
              </w:rPr>
              <w:t>е работ</w:t>
            </w:r>
            <w:r w:rsidRPr="00AB735C" w:rsidDel="00062DB2">
              <w:rPr>
                <w:sz w:val="16"/>
                <w:szCs w:val="16"/>
                <w:lang w:val="ru-RU"/>
              </w:rPr>
              <w:t>.</w:t>
            </w:r>
          </w:p>
        </w:tc>
        <w:tc>
          <w:tcPr>
            <w:tcW w:w="1757" w:type="pct"/>
            <w:shd w:val="clear" w:color="auto" w:fill="auto"/>
          </w:tcPr>
          <w:p w:rsidR="00C85043" w:rsidRPr="005D07E6" w:rsidRDefault="00C85043" w:rsidP="00C85043">
            <w:pPr>
              <w:autoSpaceDE w:val="0"/>
              <w:autoSpaceDN w:val="0"/>
              <w:adjustRightInd w:val="0"/>
              <w:spacing w:before="40" w:after="40"/>
              <w:rPr>
                <w:sz w:val="16"/>
                <w:szCs w:val="16"/>
                <w:lang w:val="ru-RU"/>
              </w:rPr>
            </w:pPr>
            <w:r>
              <w:rPr>
                <w:sz w:val="16"/>
                <w:szCs w:val="16"/>
                <w:lang w:val="ru-RU"/>
              </w:rPr>
              <w:t>Привлечение</w:t>
            </w:r>
            <w:r w:rsidRPr="005D07E6">
              <w:rPr>
                <w:sz w:val="16"/>
                <w:szCs w:val="16"/>
                <w:lang w:val="ru-RU"/>
              </w:rPr>
              <w:t xml:space="preserve"> соответствующ</w:t>
            </w:r>
            <w:r>
              <w:rPr>
                <w:sz w:val="16"/>
                <w:szCs w:val="16"/>
                <w:lang w:val="ru-RU"/>
              </w:rPr>
              <w:t xml:space="preserve">их специалистов для </w:t>
            </w:r>
            <w:r w:rsidRPr="005D07E6">
              <w:rPr>
                <w:sz w:val="16"/>
                <w:szCs w:val="16"/>
                <w:lang w:val="ru-RU"/>
              </w:rPr>
              <w:t>выработк</w:t>
            </w:r>
            <w:r>
              <w:rPr>
                <w:sz w:val="16"/>
                <w:szCs w:val="16"/>
                <w:lang w:val="ru-RU"/>
              </w:rPr>
              <w:t xml:space="preserve">и </w:t>
            </w:r>
            <w:r w:rsidRPr="005D07E6">
              <w:rPr>
                <w:sz w:val="16"/>
                <w:szCs w:val="16"/>
                <w:lang w:val="ru-RU"/>
              </w:rPr>
              <w:t>рекомендаци</w:t>
            </w:r>
            <w:r>
              <w:rPr>
                <w:sz w:val="16"/>
                <w:szCs w:val="16"/>
                <w:lang w:val="ru-RU"/>
              </w:rPr>
              <w:t xml:space="preserve">й </w:t>
            </w:r>
            <w:r w:rsidRPr="005D07E6">
              <w:rPr>
                <w:sz w:val="16"/>
                <w:szCs w:val="16"/>
                <w:lang w:val="ru-RU"/>
              </w:rPr>
              <w:t xml:space="preserve">в отношении </w:t>
            </w:r>
            <w:r>
              <w:rPr>
                <w:sz w:val="16"/>
                <w:szCs w:val="16"/>
                <w:lang w:val="ru-RU"/>
              </w:rPr>
              <w:t xml:space="preserve">оптимальных методов </w:t>
            </w:r>
            <w:r w:rsidRPr="005D07E6">
              <w:rPr>
                <w:sz w:val="16"/>
                <w:szCs w:val="16"/>
                <w:lang w:val="ru-RU"/>
              </w:rPr>
              <w:t>решени</w:t>
            </w:r>
            <w:r>
              <w:rPr>
                <w:sz w:val="16"/>
                <w:szCs w:val="16"/>
                <w:lang w:val="ru-RU"/>
              </w:rPr>
              <w:t xml:space="preserve">я </w:t>
            </w:r>
            <w:r w:rsidRPr="005D07E6">
              <w:rPr>
                <w:sz w:val="16"/>
                <w:szCs w:val="16"/>
                <w:lang w:val="ru-RU"/>
              </w:rPr>
              <w:t>выявлен</w:t>
            </w:r>
            <w:r>
              <w:rPr>
                <w:sz w:val="16"/>
                <w:szCs w:val="16"/>
                <w:lang w:val="ru-RU"/>
              </w:rPr>
              <w:t>ных проблем</w:t>
            </w:r>
            <w:r w:rsidRPr="005D07E6">
              <w:rPr>
                <w:sz w:val="16"/>
                <w:szCs w:val="16"/>
                <w:lang w:val="ru-RU"/>
              </w:rPr>
              <w:t>.</w:t>
            </w:r>
          </w:p>
        </w:tc>
        <w:tc>
          <w:tcPr>
            <w:tcW w:w="1666" w:type="pct"/>
            <w:shd w:val="clear" w:color="auto" w:fill="auto"/>
          </w:tcPr>
          <w:p w:rsidR="00C85043" w:rsidRPr="00094617" w:rsidRDefault="00C85043" w:rsidP="00C85043">
            <w:pPr>
              <w:autoSpaceDE w:val="0"/>
              <w:autoSpaceDN w:val="0"/>
              <w:adjustRightInd w:val="0"/>
              <w:spacing w:before="40" w:after="40"/>
              <w:rPr>
                <w:sz w:val="16"/>
                <w:szCs w:val="16"/>
                <w:lang w:val="ru-RU"/>
              </w:rPr>
            </w:pPr>
            <w:r w:rsidRPr="004C29C9">
              <w:rPr>
                <w:snapToGrid w:val="0"/>
                <w:sz w:val="16"/>
                <w:szCs w:val="16"/>
                <w:lang w:val="ru-RU"/>
              </w:rPr>
              <w:t>Данн</w:t>
            </w:r>
            <w:r>
              <w:rPr>
                <w:sz w:val="16"/>
                <w:szCs w:val="16"/>
                <w:lang w:val="ru-RU"/>
              </w:rPr>
              <w:t xml:space="preserve">ый </w:t>
            </w:r>
            <w:r w:rsidRPr="00AB735C">
              <w:rPr>
                <w:sz w:val="16"/>
                <w:szCs w:val="16"/>
                <w:lang w:val="ru-RU"/>
              </w:rPr>
              <w:t xml:space="preserve">риск </w:t>
            </w:r>
            <w:r w:rsidRPr="004C29C9">
              <w:rPr>
                <w:sz w:val="16"/>
                <w:szCs w:val="16"/>
                <w:lang w:val="ru-RU"/>
              </w:rPr>
              <w:t>материал</w:t>
            </w:r>
            <w:r>
              <w:rPr>
                <w:sz w:val="16"/>
                <w:szCs w:val="16"/>
                <w:lang w:val="ru-RU"/>
              </w:rPr>
              <w:t xml:space="preserve">изовался </w:t>
            </w:r>
            <w:r w:rsidRPr="00AB735C">
              <w:rPr>
                <w:sz w:val="16"/>
                <w:szCs w:val="16"/>
                <w:lang w:val="ru-RU"/>
              </w:rPr>
              <w:t xml:space="preserve">в </w:t>
            </w:r>
            <w:r>
              <w:rPr>
                <w:sz w:val="16"/>
                <w:szCs w:val="16"/>
                <w:lang w:val="ru-RU"/>
              </w:rPr>
              <w:t>2015</w:t>
            </w:r>
            <w:r w:rsidRPr="00AB735C">
              <w:rPr>
                <w:sz w:val="16"/>
                <w:szCs w:val="16"/>
                <w:lang w:val="ru-RU"/>
              </w:rPr>
              <w:t xml:space="preserve"> </w:t>
            </w:r>
            <w:r>
              <w:rPr>
                <w:sz w:val="16"/>
                <w:szCs w:val="16"/>
                <w:lang w:val="ru-RU"/>
              </w:rPr>
              <w:t>г.</w:t>
            </w:r>
            <w:r w:rsidRPr="00AB735C">
              <w:rPr>
                <w:sz w:val="16"/>
                <w:szCs w:val="16"/>
                <w:lang w:val="ru-RU"/>
              </w:rPr>
              <w:t xml:space="preserve"> </w:t>
            </w:r>
            <w:r>
              <w:rPr>
                <w:sz w:val="16"/>
                <w:szCs w:val="16"/>
                <w:lang w:val="ru-RU"/>
              </w:rPr>
              <w:t xml:space="preserve"> Для проведения </w:t>
            </w:r>
            <w:r w:rsidRPr="00E10A8E">
              <w:rPr>
                <w:sz w:val="16"/>
                <w:szCs w:val="16"/>
                <w:lang w:val="ru-RU"/>
              </w:rPr>
              <w:t>анализ</w:t>
            </w:r>
            <w:r>
              <w:rPr>
                <w:sz w:val="16"/>
                <w:szCs w:val="16"/>
                <w:lang w:val="ru-RU"/>
              </w:rPr>
              <w:t>а</w:t>
            </w:r>
            <w:r w:rsidRPr="00094617">
              <w:rPr>
                <w:sz w:val="16"/>
                <w:szCs w:val="16"/>
                <w:lang w:val="ru-RU"/>
              </w:rPr>
              <w:t xml:space="preserve"> </w:t>
            </w:r>
            <w:r>
              <w:rPr>
                <w:sz w:val="16"/>
                <w:szCs w:val="16"/>
                <w:lang w:val="ru-RU"/>
              </w:rPr>
              <w:t xml:space="preserve">и </w:t>
            </w:r>
            <w:r w:rsidRPr="00094617">
              <w:rPr>
                <w:sz w:val="16"/>
                <w:szCs w:val="16"/>
                <w:lang w:val="ru-RU"/>
              </w:rPr>
              <w:t>выработк</w:t>
            </w:r>
            <w:r>
              <w:rPr>
                <w:sz w:val="16"/>
                <w:szCs w:val="16"/>
                <w:lang w:val="ru-RU"/>
              </w:rPr>
              <w:t xml:space="preserve">и </w:t>
            </w:r>
            <w:r w:rsidRPr="00094617">
              <w:rPr>
                <w:sz w:val="16"/>
                <w:szCs w:val="16"/>
                <w:lang w:val="ru-RU"/>
              </w:rPr>
              <w:t>рекомендаци</w:t>
            </w:r>
            <w:r>
              <w:rPr>
                <w:sz w:val="16"/>
                <w:szCs w:val="16"/>
                <w:lang w:val="ru-RU"/>
              </w:rPr>
              <w:t xml:space="preserve">й </w:t>
            </w:r>
            <w:r w:rsidRPr="00094617">
              <w:rPr>
                <w:sz w:val="16"/>
                <w:szCs w:val="16"/>
                <w:lang w:val="ru-RU"/>
              </w:rPr>
              <w:t>Секретариат</w:t>
            </w:r>
            <w:r>
              <w:rPr>
                <w:sz w:val="16"/>
                <w:szCs w:val="16"/>
                <w:lang w:val="ru-RU"/>
              </w:rPr>
              <w:t xml:space="preserve">у </w:t>
            </w:r>
            <w:r w:rsidRPr="005D07E6">
              <w:rPr>
                <w:sz w:val="16"/>
                <w:szCs w:val="16"/>
                <w:lang w:val="ru-RU"/>
              </w:rPr>
              <w:t xml:space="preserve">в отношении </w:t>
            </w:r>
            <w:r>
              <w:rPr>
                <w:sz w:val="16"/>
                <w:szCs w:val="16"/>
                <w:lang w:val="ru-RU"/>
              </w:rPr>
              <w:t>оптимальных методов минимизации последствий были привлечены дополнительные</w:t>
            </w:r>
            <w:r w:rsidRPr="00094617">
              <w:rPr>
                <w:sz w:val="16"/>
                <w:szCs w:val="16"/>
                <w:lang w:val="ru-RU"/>
              </w:rPr>
              <w:t xml:space="preserve"> </w:t>
            </w:r>
            <w:r>
              <w:rPr>
                <w:sz w:val="16"/>
                <w:szCs w:val="16"/>
                <w:lang w:val="ru-RU"/>
              </w:rPr>
              <w:t>специалисты</w:t>
            </w:r>
            <w:r w:rsidRPr="00094617">
              <w:rPr>
                <w:sz w:val="16"/>
                <w:szCs w:val="16"/>
                <w:lang w:val="ru-RU"/>
              </w:rPr>
              <w:t>.</w:t>
            </w:r>
          </w:p>
        </w:tc>
      </w:tr>
    </w:tbl>
    <w:p w:rsidR="00C85043" w:rsidRPr="00094617" w:rsidRDefault="00C85043" w:rsidP="00C85043">
      <w:pPr>
        <w:autoSpaceDE w:val="0"/>
        <w:autoSpaceDN w:val="0"/>
        <w:jc w:val="both"/>
        <w:rPr>
          <w:sz w:val="18"/>
          <w:lang w:val="ru-RU"/>
        </w:rPr>
      </w:pPr>
    </w:p>
    <w:p w:rsidR="00C85043" w:rsidRPr="00094617" w:rsidRDefault="00C85043" w:rsidP="00C85043">
      <w:pPr>
        <w:rPr>
          <w:rFonts w:cs="Arial"/>
          <w:szCs w:val="22"/>
          <w:lang w:val="ru-RU"/>
        </w:rPr>
      </w:pPr>
    </w:p>
    <w:p w:rsidR="00EB5F29" w:rsidRDefault="00EB5F29">
      <w:pPr>
        <w:rPr>
          <w:rFonts w:cs="Arial"/>
          <w:szCs w:val="22"/>
          <w:lang w:val="ru-RU"/>
        </w:rPr>
      </w:pPr>
      <w:r>
        <w:rPr>
          <w:rFonts w:cs="Arial"/>
          <w:szCs w:val="22"/>
          <w:lang w:val="ru-RU"/>
        </w:rPr>
        <w:br w:type="page"/>
      </w:r>
    </w:p>
    <w:p w:rsidR="00C85043" w:rsidRPr="00715C25" w:rsidRDefault="00C85043" w:rsidP="00C85043">
      <w:pPr>
        <w:rPr>
          <w:rFonts w:cs="Arial"/>
          <w:szCs w:val="22"/>
          <w:lang w:val="ru-RU"/>
        </w:rPr>
      </w:pPr>
      <w:r>
        <w:rPr>
          <w:rFonts w:cs="Arial"/>
          <w:szCs w:val="22"/>
          <w:lang w:val="ru-RU"/>
        </w:rPr>
        <w:t>СРОКИ ОСУЩЕСТВЛЕНИЯ ПРОЕКТА В РАЗБИВКЕ ПО ОСНОВНЫМ РЕЗУЛЬТАТАМ</w:t>
      </w:r>
    </w:p>
    <w:p w:rsidR="00C85043" w:rsidRPr="00715C25" w:rsidRDefault="00C85043" w:rsidP="00C85043">
      <w:pPr>
        <w:autoSpaceDE w:val="0"/>
        <w:autoSpaceDN w:val="0"/>
        <w:jc w:val="both"/>
        <w:rPr>
          <w:sz w:val="18"/>
          <w:lang w:val="ru-RU"/>
        </w:rPr>
      </w:pPr>
    </w:p>
    <w:tbl>
      <w:tblPr>
        <w:tblW w:w="9050" w:type="dxa"/>
        <w:jc w:val="center"/>
        <w:tblLook w:val="04A0" w:firstRow="1" w:lastRow="0" w:firstColumn="1" w:lastColumn="0" w:noHBand="0" w:noVBand="1"/>
      </w:tblPr>
      <w:tblGrid>
        <w:gridCol w:w="3782"/>
        <w:gridCol w:w="439"/>
        <w:gridCol w:w="439"/>
        <w:gridCol w:w="439"/>
        <w:gridCol w:w="439"/>
        <w:gridCol w:w="439"/>
        <w:gridCol w:w="439"/>
        <w:gridCol w:w="439"/>
        <w:gridCol w:w="439"/>
        <w:gridCol w:w="439"/>
        <w:gridCol w:w="439"/>
        <w:gridCol w:w="439"/>
        <w:gridCol w:w="439"/>
      </w:tblGrid>
      <w:tr w:rsidR="00C85043" w:rsidRPr="00723CCF" w:rsidTr="00C85043">
        <w:trPr>
          <w:trHeight w:val="244"/>
          <w:jc w:val="center"/>
        </w:trPr>
        <w:tc>
          <w:tcPr>
            <w:tcW w:w="3782" w:type="dxa"/>
            <w:tcBorders>
              <w:top w:val="nil"/>
              <w:left w:val="nil"/>
              <w:bottom w:val="nil"/>
              <w:right w:val="nil"/>
            </w:tcBorders>
            <w:shd w:val="clear" w:color="auto" w:fill="auto"/>
            <w:noWrap/>
            <w:vAlign w:val="bottom"/>
          </w:tcPr>
          <w:p w:rsidR="00C85043" w:rsidRPr="00715C25" w:rsidRDefault="00C85043" w:rsidP="00C85043">
            <w:pPr>
              <w:rPr>
                <w:rFonts w:cs="Arial"/>
                <w:sz w:val="16"/>
                <w:szCs w:val="16"/>
                <w:lang w:val="ru-RU"/>
              </w:rPr>
            </w:pPr>
          </w:p>
        </w:tc>
        <w:tc>
          <w:tcPr>
            <w:tcW w:w="1756" w:type="dxa"/>
            <w:gridSpan w:val="4"/>
            <w:tcBorders>
              <w:top w:val="single" w:sz="8" w:space="0" w:color="auto"/>
              <w:left w:val="single" w:sz="8" w:space="0" w:color="auto"/>
              <w:bottom w:val="single" w:sz="4" w:space="0" w:color="auto"/>
              <w:right w:val="single" w:sz="4" w:space="0" w:color="auto"/>
            </w:tcBorders>
            <w:shd w:val="clear" w:color="auto" w:fill="C6D9F1"/>
            <w:vAlign w:val="bottom"/>
          </w:tcPr>
          <w:p w:rsidR="00C85043" w:rsidRPr="00D35DC4" w:rsidRDefault="00C85043" w:rsidP="00C85043">
            <w:pPr>
              <w:jc w:val="center"/>
              <w:rPr>
                <w:rFonts w:cs="Arial"/>
                <w:b/>
                <w:bCs/>
                <w:sz w:val="16"/>
                <w:szCs w:val="16"/>
                <w:lang w:val="ru-RU"/>
              </w:rPr>
            </w:pPr>
            <w:r>
              <w:rPr>
                <w:rFonts w:cs="Arial"/>
                <w:b/>
                <w:bCs/>
                <w:sz w:val="16"/>
                <w:szCs w:val="16"/>
              </w:rPr>
              <w:t>2014 г.</w:t>
            </w:r>
          </w:p>
        </w:tc>
        <w:tc>
          <w:tcPr>
            <w:tcW w:w="1756" w:type="dxa"/>
            <w:gridSpan w:val="4"/>
            <w:tcBorders>
              <w:top w:val="single" w:sz="8" w:space="0" w:color="auto"/>
              <w:left w:val="single" w:sz="4" w:space="0" w:color="auto"/>
              <w:bottom w:val="single" w:sz="4" w:space="0" w:color="auto"/>
              <w:right w:val="single" w:sz="8" w:space="0" w:color="000000"/>
            </w:tcBorders>
            <w:shd w:val="clear" w:color="auto" w:fill="C6D9F1"/>
            <w:noWrap/>
            <w:vAlign w:val="bottom"/>
          </w:tcPr>
          <w:p w:rsidR="00C85043" w:rsidRPr="00723CCF" w:rsidRDefault="00C85043" w:rsidP="00C85043">
            <w:pPr>
              <w:jc w:val="center"/>
              <w:rPr>
                <w:rFonts w:cs="Arial"/>
                <w:b/>
                <w:bCs/>
                <w:sz w:val="16"/>
                <w:szCs w:val="16"/>
              </w:rPr>
            </w:pPr>
            <w:r w:rsidRPr="00723CCF">
              <w:rPr>
                <w:rFonts w:cs="Arial"/>
                <w:b/>
                <w:bCs/>
                <w:sz w:val="16"/>
                <w:szCs w:val="16"/>
              </w:rPr>
              <w:t>2015</w:t>
            </w:r>
            <w:r>
              <w:rPr>
                <w:rFonts w:cs="Arial"/>
                <w:b/>
                <w:bCs/>
                <w:sz w:val="16"/>
                <w:szCs w:val="16"/>
                <w:lang w:val="ru-RU"/>
              </w:rPr>
              <w:t xml:space="preserve"> г.</w:t>
            </w:r>
          </w:p>
        </w:tc>
        <w:tc>
          <w:tcPr>
            <w:tcW w:w="1756"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723CCF" w:rsidRDefault="00C85043" w:rsidP="00C85043">
            <w:pPr>
              <w:jc w:val="center"/>
              <w:rPr>
                <w:rFonts w:cs="Arial"/>
                <w:b/>
                <w:bCs/>
                <w:sz w:val="16"/>
                <w:szCs w:val="16"/>
              </w:rPr>
            </w:pPr>
            <w:r w:rsidRPr="00723CCF">
              <w:rPr>
                <w:rFonts w:cs="Arial"/>
                <w:b/>
                <w:bCs/>
                <w:sz w:val="16"/>
                <w:szCs w:val="16"/>
              </w:rPr>
              <w:t>2016</w:t>
            </w:r>
            <w:r>
              <w:rPr>
                <w:rFonts w:cs="Arial"/>
                <w:b/>
                <w:bCs/>
                <w:sz w:val="16"/>
                <w:szCs w:val="16"/>
                <w:lang w:val="ru-RU"/>
              </w:rPr>
              <w:t xml:space="preserve"> г.</w:t>
            </w:r>
          </w:p>
        </w:tc>
      </w:tr>
      <w:tr w:rsidR="00C85043" w:rsidRPr="00723CCF" w:rsidTr="00C85043">
        <w:trPr>
          <w:trHeight w:val="254"/>
          <w:jc w:val="center"/>
        </w:trPr>
        <w:tc>
          <w:tcPr>
            <w:tcW w:w="3782"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C85043" w:rsidRPr="00723CCF" w:rsidRDefault="00C85043" w:rsidP="00C85043">
            <w:pPr>
              <w:spacing w:before="40" w:after="40"/>
              <w:rPr>
                <w:rFonts w:cs="Arial"/>
                <w:b/>
                <w:bCs/>
                <w:sz w:val="16"/>
                <w:szCs w:val="16"/>
              </w:rPr>
            </w:pPr>
            <w:r>
              <w:rPr>
                <w:rFonts w:cs="Arial"/>
                <w:b/>
                <w:bCs/>
                <w:sz w:val="16"/>
                <w:szCs w:val="16"/>
              </w:rPr>
              <w:t>Основной результат</w:t>
            </w:r>
          </w:p>
        </w:tc>
        <w:tc>
          <w:tcPr>
            <w:tcW w:w="439" w:type="dxa"/>
            <w:tcBorders>
              <w:top w:val="nil"/>
              <w:left w:val="nil"/>
              <w:bottom w:val="single" w:sz="4" w:space="0" w:color="auto"/>
              <w:right w:val="single" w:sz="4" w:space="0" w:color="auto"/>
            </w:tcBorders>
            <w:shd w:val="clear" w:color="auto" w:fill="C6D9F1"/>
            <w:vAlign w:val="bottom"/>
          </w:tcPr>
          <w:p w:rsidR="00C85043" w:rsidRPr="00723CCF" w:rsidRDefault="00C85043" w:rsidP="00C85043">
            <w:pPr>
              <w:spacing w:before="40" w:after="40"/>
              <w:jc w:val="center"/>
              <w:rPr>
                <w:rFonts w:cs="Arial"/>
                <w:b/>
                <w:bCs/>
                <w:sz w:val="16"/>
                <w:szCs w:val="16"/>
              </w:rPr>
            </w:pPr>
            <w:r>
              <w:rPr>
                <w:rFonts w:cs="Arial"/>
                <w:b/>
                <w:bCs/>
                <w:sz w:val="16"/>
                <w:szCs w:val="16"/>
              </w:rPr>
              <w:t>I кв.</w:t>
            </w:r>
          </w:p>
        </w:tc>
        <w:tc>
          <w:tcPr>
            <w:tcW w:w="439" w:type="dxa"/>
            <w:tcBorders>
              <w:top w:val="nil"/>
              <w:left w:val="nil"/>
              <w:bottom w:val="single" w:sz="4" w:space="0" w:color="auto"/>
              <w:right w:val="single" w:sz="4" w:space="0" w:color="auto"/>
            </w:tcBorders>
            <w:shd w:val="clear" w:color="auto" w:fill="C6D9F1"/>
            <w:vAlign w:val="bottom"/>
          </w:tcPr>
          <w:p w:rsidR="00C85043" w:rsidRPr="00723CCF" w:rsidRDefault="00C85043" w:rsidP="00C85043">
            <w:pPr>
              <w:spacing w:before="40" w:after="40"/>
              <w:jc w:val="center"/>
              <w:rPr>
                <w:rFonts w:cs="Arial"/>
                <w:b/>
                <w:bCs/>
                <w:sz w:val="16"/>
                <w:szCs w:val="16"/>
              </w:rPr>
            </w:pPr>
            <w:r>
              <w:rPr>
                <w:rFonts w:cs="Arial"/>
                <w:b/>
                <w:bCs/>
                <w:sz w:val="16"/>
                <w:szCs w:val="16"/>
              </w:rPr>
              <w:t>II кв.</w:t>
            </w:r>
          </w:p>
        </w:tc>
        <w:tc>
          <w:tcPr>
            <w:tcW w:w="439" w:type="dxa"/>
            <w:tcBorders>
              <w:top w:val="nil"/>
              <w:left w:val="nil"/>
              <w:bottom w:val="single" w:sz="4" w:space="0" w:color="auto"/>
              <w:right w:val="single" w:sz="4" w:space="0" w:color="auto"/>
            </w:tcBorders>
            <w:shd w:val="clear" w:color="auto" w:fill="C6D9F1"/>
            <w:vAlign w:val="bottom"/>
          </w:tcPr>
          <w:p w:rsidR="00C85043" w:rsidRPr="00723CCF" w:rsidRDefault="00C85043" w:rsidP="00C85043">
            <w:pPr>
              <w:spacing w:before="40" w:after="40"/>
              <w:jc w:val="center"/>
              <w:rPr>
                <w:rFonts w:cs="Arial"/>
                <w:b/>
                <w:bCs/>
                <w:sz w:val="16"/>
                <w:szCs w:val="16"/>
              </w:rPr>
            </w:pPr>
            <w:r>
              <w:rPr>
                <w:rFonts w:cs="Arial"/>
                <w:b/>
                <w:bCs/>
                <w:sz w:val="16"/>
                <w:szCs w:val="16"/>
              </w:rPr>
              <w:t>III кв.</w:t>
            </w:r>
          </w:p>
        </w:tc>
        <w:tc>
          <w:tcPr>
            <w:tcW w:w="439" w:type="dxa"/>
            <w:tcBorders>
              <w:top w:val="nil"/>
              <w:left w:val="nil"/>
              <w:bottom w:val="single" w:sz="4" w:space="0" w:color="auto"/>
              <w:right w:val="single" w:sz="4" w:space="0" w:color="auto"/>
            </w:tcBorders>
            <w:shd w:val="clear" w:color="auto" w:fill="C6D9F1"/>
            <w:vAlign w:val="bottom"/>
          </w:tcPr>
          <w:p w:rsidR="00C85043" w:rsidRPr="00723CCF" w:rsidRDefault="00C85043" w:rsidP="00C85043">
            <w:pPr>
              <w:spacing w:before="40" w:after="40"/>
              <w:jc w:val="center"/>
              <w:rPr>
                <w:rFonts w:cs="Arial"/>
                <w:b/>
                <w:bCs/>
                <w:sz w:val="16"/>
                <w:szCs w:val="16"/>
              </w:rPr>
            </w:pPr>
            <w:r>
              <w:rPr>
                <w:rFonts w:cs="Arial"/>
                <w:b/>
                <w:bCs/>
                <w:sz w:val="16"/>
                <w:szCs w:val="16"/>
              </w:rPr>
              <w:t>IV кв.</w:t>
            </w:r>
          </w:p>
        </w:tc>
        <w:tc>
          <w:tcPr>
            <w:tcW w:w="439" w:type="dxa"/>
            <w:tcBorders>
              <w:top w:val="nil"/>
              <w:left w:val="single" w:sz="4" w:space="0" w:color="auto"/>
              <w:bottom w:val="single" w:sz="4" w:space="0" w:color="auto"/>
              <w:right w:val="single" w:sz="4" w:space="0" w:color="auto"/>
            </w:tcBorders>
            <w:shd w:val="clear" w:color="auto" w:fill="C6D9F1"/>
            <w:noWrap/>
            <w:vAlign w:val="bottom"/>
          </w:tcPr>
          <w:p w:rsidR="00C85043" w:rsidRPr="00723CCF" w:rsidRDefault="00C85043" w:rsidP="00C85043">
            <w:pPr>
              <w:spacing w:before="40" w:after="40"/>
              <w:jc w:val="center"/>
              <w:rPr>
                <w:rFonts w:cs="Arial"/>
                <w:b/>
                <w:bCs/>
                <w:sz w:val="16"/>
                <w:szCs w:val="16"/>
              </w:rPr>
            </w:pPr>
            <w:r>
              <w:rPr>
                <w:rFonts w:cs="Arial"/>
                <w:b/>
                <w:bCs/>
                <w:sz w:val="16"/>
                <w:szCs w:val="16"/>
              </w:rPr>
              <w:t>I кв.</w:t>
            </w:r>
          </w:p>
        </w:tc>
        <w:tc>
          <w:tcPr>
            <w:tcW w:w="439" w:type="dxa"/>
            <w:tcBorders>
              <w:top w:val="nil"/>
              <w:left w:val="nil"/>
              <w:bottom w:val="single" w:sz="4" w:space="0" w:color="auto"/>
              <w:right w:val="single" w:sz="4" w:space="0" w:color="auto"/>
            </w:tcBorders>
            <w:shd w:val="clear" w:color="auto" w:fill="C6D9F1"/>
            <w:noWrap/>
            <w:vAlign w:val="bottom"/>
          </w:tcPr>
          <w:p w:rsidR="00C85043" w:rsidRPr="00723CCF" w:rsidRDefault="00C85043" w:rsidP="00C85043">
            <w:pPr>
              <w:spacing w:before="40" w:after="40"/>
              <w:jc w:val="center"/>
              <w:rPr>
                <w:rFonts w:cs="Arial"/>
                <w:b/>
                <w:bCs/>
                <w:sz w:val="16"/>
                <w:szCs w:val="16"/>
              </w:rPr>
            </w:pPr>
            <w:r>
              <w:rPr>
                <w:rFonts w:cs="Arial"/>
                <w:b/>
                <w:bCs/>
                <w:sz w:val="16"/>
                <w:szCs w:val="16"/>
              </w:rPr>
              <w:t>II кв.</w:t>
            </w:r>
          </w:p>
        </w:tc>
        <w:tc>
          <w:tcPr>
            <w:tcW w:w="439" w:type="dxa"/>
            <w:tcBorders>
              <w:top w:val="nil"/>
              <w:left w:val="nil"/>
              <w:bottom w:val="single" w:sz="4" w:space="0" w:color="auto"/>
              <w:right w:val="single" w:sz="4" w:space="0" w:color="auto"/>
            </w:tcBorders>
            <w:shd w:val="clear" w:color="auto" w:fill="C6D9F1"/>
            <w:noWrap/>
            <w:vAlign w:val="bottom"/>
          </w:tcPr>
          <w:p w:rsidR="00C85043" w:rsidRPr="00723CCF" w:rsidRDefault="00C85043" w:rsidP="00C85043">
            <w:pPr>
              <w:spacing w:before="40" w:after="40"/>
              <w:jc w:val="center"/>
              <w:rPr>
                <w:rFonts w:cs="Arial"/>
                <w:b/>
                <w:bCs/>
                <w:sz w:val="16"/>
                <w:szCs w:val="16"/>
              </w:rPr>
            </w:pPr>
            <w:r>
              <w:rPr>
                <w:rFonts w:cs="Arial"/>
                <w:b/>
                <w:bCs/>
                <w:sz w:val="16"/>
                <w:szCs w:val="16"/>
              </w:rPr>
              <w:t>III кв.</w:t>
            </w:r>
          </w:p>
        </w:tc>
        <w:tc>
          <w:tcPr>
            <w:tcW w:w="439" w:type="dxa"/>
            <w:tcBorders>
              <w:top w:val="nil"/>
              <w:left w:val="nil"/>
              <w:bottom w:val="single" w:sz="4" w:space="0" w:color="auto"/>
              <w:right w:val="single" w:sz="8" w:space="0" w:color="auto"/>
            </w:tcBorders>
            <w:shd w:val="clear" w:color="auto" w:fill="C6D9F1"/>
            <w:noWrap/>
            <w:vAlign w:val="bottom"/>
          </w:tcPr>
          <w:p w:rsidR="00C85043" w:rsidRPr="00723CCF" w:rsidRDefault="00C85043" w:rsidP="00C85043">
            <w:pPr>
              <w:spacing w:before="40" w:after="40"/>
              <w:jc w:val="center"/>
              <w:rPr>
                <w:rFonts w:cs="Arial"/>
                <w:b/>
                <w:bCs/>
                <w:sz w:val="16"/>
                <w:szCs w:val="16"/>
              </w:rPr>
            </w:pPr>
            <w:r>
              <w:rPr>
                <w:rFonts w:cs="Arial"/>
                <w:b/>
                <w:bCs/>
                <w:sz w:val="16"/>
                <w:szCs w:val="16"/>
              </w:rPr>
              <w:t>IV кв.</w:t>
            </w:r>
          </w:p>
        </w:tc>
        <w:tc>
          <w:tcPr>
            <w:tcW w:w="439" w:type="dxa"/>
            <w:tcBorders>
              <w:top w:val="nil"/>
              <w:left w:val="nil"/>
              <w:bottom w:val="single" w:sz="4" w:space="0" w:color="auto"/>
              <w:right w:val="single" w:sz="4" w:space="0" w:color="auto"/>
            </w:tcBorders>
            <w:shd w:val="clear" w:color="auto" w:fill="C6D9F1"/>
            <w:noWrap/>
            <w:vAlign w:val="bottom"/>
          </w:tcPr>
          <w:p w:rsidR="00C85043" w:rsidRPr="00723CCF" w:rsidRDefault="00C85043" w:rsidP="00C85043">
            <w:pPr>
              <w:spacing w:before="40" w:after="40"/>
              <w:jc w:val="center"/>
              <w:rPr>
                <w:rFonts w:cs="Arial"/>
                <w:b/>
                <w:bCs/>
                <w:sz w:val="16"/>
                <w:szCs w:val="16"/>
              </w:rPr>
            </w:pPr>
            <w:r>
              <w:rPr>
                <w:rFonts w:cs="Arial"/>
                <w:b/>
                <w:bCs/>
                <w:sz w:val="16"/>
                <w:szCs w:val="16"/>
              </w:rPr>
              <w:t>I кв.</w:t>
            </w:r>
          </w:p>
        </w:tc>
        <w:tc>
          <w:tcPr>
            <w:tcW w:w="439" w:type="dxa"/>
            <w:tcBorders>
              <w:top w:val="nil"/>
              <w:left w:val="nil"/>
              <w:bottom w:val="single" w:sz="4" w:space="0" w:color="auto"/>
              <w:right w:val="single" w:sz="4" w:space="0" w:color="auto"/>
            </w:tcBorders>
            <w:shd w:val="clear" w:color="auto" w:fill="C6D9F1"/>
            <w:noWrap/>
            <w:vAlign w:val="bottom"/>
          </w:tcPr>
          <w:p w:rsidR="00C85043" w:rsidRPr="00723CCF" w:rsidRDefault="00C85043" w:rsidP="00C85043">
            <w:pPr>
              <w:spacing w:before="40" w:after="40"/>
              <w:jc w:val="center"/>
              <w:rPr>
                <w:rFonts w:cs="Arial"/>
                <w:b/>
                <w:bCs/>
                <w:sz w:val="16"/>
                <w:szCs w:val="16"/>
              </w:rPr>
            </w:pPr>
            <w:r>
              <w:rPr>
                <w:rFonts w:cs="Arial"/>
                <w:b/>
                <w:bCs/>
                <w:sz w:val="16"/>
                <w:szCs w:val="16"/>
              </w:rPr>
              <w:t>II кв.</w:t>
            </w:r>
          </w:p>
        </w:tc>
        <w:tc>
          <w:tcPr>
            <w:tcW w:w="439" w:type="dxa"/>
            <w:tcBorders>
              <w:top w:val="nil"/>
              <w:left w:val="nil"/>
              <w:bottom w:val="single" w:sz="4" w:space="0" w:color="auto"/>
              <w:right w:val="single" w:sz="4" w:space="0" w:color="auto"/>
            </w:tcBorders>
            <w:shd w:val="clear" w:color="auto" w:fill="C6D9F1"/>
            <w:noWrap/>
            <w:vAlign w:val="bottom"/>
          </w:tcPr>
          <w:p w:rsidR="00C85043" w:rsidRPr="00723CCF" w:rsidRDefault="00C85043" w:rsidP="00C85043">
            <w:pPr>
              <w:spacing w:before="40" w:after="40"/>
              <w:jc w:val="center"/>
              <w:rPr>
                <w:rFonts w:cs="Arial"/>
                <w:b/>
                <w:bCs/>
                <w:sz w:val="16"/>
                <w:szCs w:val="16"/>
              </w:rPr>
            </w:pPr>
            <w:r>
              <w:rPr>
                <w:rFonts w:cs="Arial"/>
                <w:b/>
                <w:bCs/>
                <w:sz w:val="16"/>
                <w:szCs w:val="16"/>
              </w:rPr>
              <w:t>III кв.</w:t>
            </w:r>
          </w:p>
        </w:tc>
        <w:tc>
          <w:tcPr>
            <w:tcW w:w="439" w:type="dxa"/>
            <w:tcBorders>
              <w:top w:val="nil"/>
              <w:left w:val="nil"/>
              <w:bottom w:val="single" w:sz="4" w:space="0" w:color="auto"/>
              <w:right w:val="single" w:sz="8" w:space="0" w:color="auto"/>
            </w:tcBorders>
            <w:shd w:val="clear" w:color="auto" w:fill="C6D9F1"/>
            <w:noWrap/>
            <w:vAlign w:val="bottom"/>
          </w:tcPr>
          <w:p w:rsidR="00C85043" w:rsidRPr="00723CCF" w:rsidRDefault="00C85043" w:rsidP="00C85043">
            <w:pPr>
              <w:spacing w:before="40" w:after="40"/>
              <w:jc w:val="center"/>
              <w:rPr>
                <w:rFonts w:cs="Arial"/>
                <w:b/>
                <w:bCs/>
                <w:sz w:val="16"/>
                <w:szCs w:val="16"/>
              </w:rPr>
            </w:pPr>
            <w:r>
              <w:rPr>
                <w:rFonts w:cs="Arial"/>
                <w:b/>
                <w:bCs/>
                <w:sz w:val="16"/>
                <w:szCs w:val="16"/>
              </w:rPr>
              <w:t>IV кв.</w:t>
            </w:r>
          </w:p>
        </w:tc>
      </w:tr>
      <w:tr w:rsidR="00C85043" w:rsidRPr="00723CCF" w:rsidTr="00C85043">
        <w:trPr>
          <w:trHeight w:val="416"/>
          <w:jc w:val="center"/>
        </w:trPr>
        <w:tc>
          <w:tcPr>
            <w:tcW w:w="3782" w:type="dxa"/>
            <w:tcBorders>
              <w:top w:val="nil"/>
              <w:left w:val="single" w:sz="8" w:space="0" w:color="auto"/>
              <w:bottom w:val="single" w:sz="4" w:space="0" w:color="auto"/>
              <w:right w:val="single" w:sz="8" w:space="0" w:color="auto"/>
            </w:tcBorders>
            <w:shd w:val="clear" w:color="auto" w:fill="auto"/>
            <w:noWrap/>
            <w:vAlign w:val="center"/>
          </w:tcPr>
          <w:p w:rsidR="00C85043" w:rsidRPr="00C97F18" w:rsidRDefault="00C85043" w:rsidP="00C85043">
            <w:pPr>
              <w:spacing w:before="40" w:after="40"/>
              <w:rPr>
                <w:rFonts w:cs="Arial"/>
                <w:sz w:val="16"/>
                <w:szCs w:val="16"/>
                <w:lang w:val="ru-RU"/>
              </w:rPr>
            </w:pPr>
            <w:r w:rsidRPr="009044EE">
              <w:rPr>
                <w:rFonts w:cs="Arial"/>
                <w:sz w:val="16"/>
                <w:szCs w:val="16"/>
                <w:lang w:val="ru-RU"/>
              </w:rPr>
              <w:t xml:space="preserve">Заключение контракта с инженером </w:t>
            </w:r>
            <w:r>
              <w:rPr>
                <w:rFonts w:cs="Arial"/>
                <w:sz w:val="16"/>
                <w:szCs w:val="16"/>
                <w:lang w:val="ru-RU"/>
              </w:rPr>
              <w:t>по обустройству фасада</w:t>
            </w: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B06355" w:rsidRDefault="00C85043" w:rsidP="00C85043">
            <w:pPr>
              <w:spacing w:before="40" w:after="40"/>
              <w:jc w:val="center"/>
              <w:rPr>
                <w:rFonts w:cs="Arial"/>
                <w:color w:val="243F60"/>
                <w:sz w:val="16"/>
                <w:szCs w:val="16"/>
              </w:rPr>
            </w:pPr>
            <w:r w:rsidRPr="00723CCF">
              <w:rPr>
                <w:rFonts w:cs="Arial"/>
                <w:sz w:val="16"/>
                <w:szCs w:val="16"/>
              </w:rPr>
              <w:t>X</w:t>
            </w:r>
          </w:p>
        </w:tc>
        <w:tc>
          <w:tcPr>
            <w:tcW w:w="439" w:type="dxa"/>
            <w:tcBorders>
              <w:top w:val="nil"/>
              <w:left w:val="nil"/>
              <w:bottom w:val="single" w:sz="4" w:space="0" w:color="auto"/>
              <w:right w:val="single" w:sz="4" w:space="0" w:color="auto"/>
            </w:tcBorders>
            <w:vAlign w:val="center"/>
          </w:tcPr>
          <w:p w:rsidR="00C85043" w:rsidRPr="00B06355" w:rsidRDefault="00C85043" w:rsidP="00C85043">
            <w:pPr>
              <w:spacing w:before="40" w:after="40"/>
              <w:jc w:val="center"/>
              <w:rPr>
                <w:rFonts w:cs="Arial"/>
                <w:color w:val="243F60"/>
                <w:sz w:val="16"/>
                <w:szCs w:val="16"/>
              </w:rPr>
            </w:pPr>
            <w:r w:rsidRPr="00723CCF">
              <w:rPr>
                <w:rFonts w:cs="Arial"/>
                <w:sz w:val="16"/>
                <w:szCs w:val="16"/>
              </w:rPr>
              <w:t>X</w:t>
            </w:r>
          </w:p>
        </w:tc>
        <w:tc>
          <w:tcPr>
            <w:tcW w:w="439" w:type="dxa"/>
            <w:tcBorders>
              <w:top w:val="nil"/>
              <w:left w:val="single" w:sz="4" w:space="0" w:color="auto"/>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8"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8" w:space="0" w:color="auto"/>
            </w:tcBorders>
            <w:shd w:val="clear" w:color="auto" w:fill="auto"/>
            <w:noWrap/>
            <w:vAlign w:val="bottom"/>
          </w:tcPr>
          <w:p w:rsidR="00C85043" w:rsidRPr="00723CCF" w:rsidRDefault="00C85043" w:rsidP="00C85043">
            <w:pPr>
              <w:spacing w:before="40" w:after="40"/>
              <w:rPr>
                <w:rFonts w:cs="Arial"/>
                <w:sz w:val="16"/>
                <w:szCs w:val="16"/>
              </w:rPr>
            </w:pPr>
            <w:r w:rsidRPr="00723CCF">
              <w:rPr>
                <w:rFonts w:cs="Arial"/>
                <w:sz w:val="16"/>
                <w:szCs w:val="16"/>
              </w:rPr>
              <w:t> </w:t>
            </w:r>
          </w:p>
        </w:tc>
      </w:tr>
      <w:tr w:rsidR="00C85043" w:rsidRPr="00723CCF" w:rsidTr="00C85043">
        <w:trPr>
          <w:trHeight w:val="416"/>
          <w:jc w:val="center"/>
        </w:trPr>
        <w:tc>
          <w:tcPr>
            <w:tcW w:w="3782" w:type="dxa"/>
            <w:tcBorders>
              <w:top w:val="nil"/>
              <w:left w:val="single" w:sz="8" w:space="0" w:color="auto"/>
              <w:bottom w:val="single" w:sz="4" w:space="0" w:color="auto"/>
              <w:right w:val="single" w:sz="8" w:space="0" w:color="auto"/>
            </w:tcBorders>
            <w:shd w:val="clear" w:color="auto" w:fill="auto"/>
            <w:noWrap/>
            <w:vAlign w:val="center"/>
          </w:tcPr>
          <w:p w:rsidR="00C85043" w:rsidRPr="00C97F18" w:rsidRDefault="00C85043" w:rsidP="00C85043">
            <w:pPr>
              <w:spacing w:before="40" w:after="40"/>
              <w:rPr>
                <w:rFonts w:cs="Arial"/>
                <w:sz w:val="16"/>
                <w:szCs w:val="16"/>
                <w:lang w:val="ru-RU"/>
              </w:rPr>
            </w:pPr>
            <w:r w:rsidRPr="009044EE">
              <w:rPr>
                <w:rFonts w:cs="Arial"/>
                <w:sz w:val="16"/>
                <w:szCs w:val="16"/>
                <w:lang w:val="ru-RU"/>
              </w:rPr>
              <w:t xml:space="preserve">Разработка и </w:t>
            </w:r>
            <w:r>
              <w:rPr>
                <w:rFonts w:cs="Arial"/>
                <w:sz w:val="16"/>
                <w:szCs w:val="16"/>
                <w:lang w:val="ru-RU"/>
              </w:rPr>
              <w:t>экспертиза проекта</w:t>
            </w:r>
            <w:r w:rsidRPr="009044EE">
              <w:rPr>
                <w:rFonts w:cs="Arial"/>
                <w:sz w:val="16"/>
                <w:szCs w:val="16"/>
                <w:lang w:val="ru-RU"/>
              </w:rPr>
              <w:t xml:space="preserve"> совместно с инженером </w:t>
            </w:r>
            <w:r>
              <w:rPr>
                <w:rFonts w:cs="Arial"/>
                <w:sz w:val="16"/>
                <w:szCs w:val="16"/>
                <w:lang w:val="ru-RU"/>
              </w:rPr>
              <w:t>по обустройству фасада</w:t>
            </w:r>
            <w:r w:rsidRPr="00C97F18">
              <w:rPr>
                <w:rFonts w:cs="Arial"/>
                <w:sz w:val="16"/>
                <w:szCs w:val="16"/>
                <w:lang w:val="ru-RU"/>
              </w:rPr>
              <w:t xml:space="preserve"> </w:t>
            </w: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jc w:val="center"/>
              <w:rPr>
                <w:rFonts w:cs="Arial"/>
                <w:sz w:val="16"/>
                <w:szCs w:val="16"/>
                <w:lang w:val="ru-RU"/>
              </w:rPr>
            </w:pPr>
          </w:p>
        </w:tc>
        <w:tc>
          <w:tcPr>
            <w:tcW w:w="439" w:type="dxa"/>
            <w:tcBorders>
              <w:top w:val="nil"/>
              <w:left w:val="single" w:sz="4" w:space="0" w:color="auto"/>
              <w:bottom w:val="single" w:sz="4" w:space="0" w:color="auto"/>
              <w:right w:val="single" w:sz="4" w:space="0" w:color="auto"/>
            </w:tcBorders>
            <w:shd w:val="clear" w:color="auto" w:fill="auto"/>
            <w:noWrap/>
            <w:vAlign w:val="center"/>
          </w:tcPr>
          <w:p w:rsidR="00C85043" w:rsidRPr="00B06355" w:rsidRDefault="00C85043" w:rsidP="00C85043">
            <w:pPr>
              <w:spacing w:before="40" w:after="40"/>
              <w:jc w:val="center"/>
              <w:rPr>
                <w:rFonts w:cs="Arial"/>
                <w:color w:val="243F60"/>
                <w:sz w:val="16"/>
                <w:szCs w:val="16"/>
              </w:rPr>
            </w:pPr>
            <w:r w:rsidRPr="00723CCF">
              <w:rPr>
                <w:rFonts w:cs="Arial"/>
                <w:sz w:val="16"/>
                <w:szCs w:val="16"/>
              </w:rPr>
              <w:t>X</w:t>
            </w: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8"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8" w:space="0" w:color="auto"/>
            </w:tcBorders>
            <w:shd w:val="clear" w:color="auto" w:fill="auto"/>
            <w:noWrap/>
            <w:vAlign w:val="bottom"/>
          </w:tcPr>
          <w:p w:rsidR="00C85043" w:rsidRPr="00723CCF" w:rsidRDefault="00C85043" w:rsidP="00C85043">
            <w:pPr>
              <w:spacing w:before="40" w:after="40"/>
              <w:rPr>
                <w:rFonts w:cs="Arial"/>
                <w:sz w:val="16"/>
                <w:szCs w:val="16"/>
              </w:rPr>
            </w:pPr>
            <w:r w:rsidRPr="00723CCF">
              <w:rPr>
                <w:rFonts w:cs="Arial"/>
                <w:sz w:val="16"/>
                <w:szCs w:val="16"/>
              </w:rPr>
              <w:t> </w:t>
            </w:r>
          </w:p>
        </w:tc>
      </w:tr>
      <w:tr w:rsidR="00C85043" w:rsidRPr="00723CCF" w:rsidTr="00C85043">
        <w:trPr>
          <w:trHeight w:val="416"/>
          <w:jc w:val="center"/>
        </w:trPr>
        <w:tc>
          <w:tcPr>
            <w:tcW w:w="3782" w:type="dxa"/>
            <w:tcBorders>
              <w:top w:val="nil"/>
              <w:left w:val="single" w:sz="8" w:space="0" w:color="auto"/>
              <w:bottom w:val="single" w:sz="4" w:space="0" w:color="auto"/>
              <w:right w:val="single" w:sz="8" w:space="0" w:color="auto"/>
            </w:tcBorders>
            <w:shd w:val="clear" w:color="auto" w:fill="auto"/>
            <w:noWrap/>
            <w:vAlign w:val="center"/>
          </w:tcPr>
          <w:p w:rsidR="00C85043" w:rsidRPr="00C97F18" w:rsidRDefault="00C85043" w:rsidP="00C85043">
            <w:pPr>
              <w:spacing w:before="40" w:after="40"/>
              <w:rPr>
                <w:rFonts w:cs="Arial"/>
                <w:sz w:val="16"/>
                <w:szCs w:val="16"/>
                <w:lang w:val="ru-RU"/>
              </w:rPr>
            </w:pPr>
            <w:r w:rsidRPr="009044EE">
              <w:rPr>
                <w:rFonts w:cs="Arial"/>
                <w:sz w:val="16"/>
                <w:szCs w:val="16"/>
                <w:lang w:val="ru-RU"/>
              </w:rPr>
              <w:t>Объявление конкурса и отбор фирм</w:t>
            </w: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D117B5" w:rsidRDefault="00C85043" w:rsidP="00C85043">
            <w:pPr>
              <w:spacing w:before="40" w:after="40"/>
              <w:jc w:val="center"/>
              <w:rPr>
                <w:rFonts w:cs="Arial"/>
                <w:sz w:val="16"/>
                <w:szCs w:val="16"/>
                <w:lang w:val="ru-RU"/>
              </w:rPr>
            </w:pPr>
          </w:p>
        </w:tc>
        <w:tc>
          <w:tcPr>
            <w:tcW w:w="439" w:type="dxa"/>
            <w:tcBorders>
              <w:top w:val="nil"/>
              <w:left w:val="single" w:sz="4" w:space="0" w:color="auto"/>
              <w:bottom w:val="single" w:sz="4" w:space="0" w:color="auto"/>
              <w:right w:val="single" w:sz="4" w:space="0" w:color="auto"/>
            </w:tcBorders>
            <w:shd w:val="clear" w:color="auto" w:fill="auto"/>
            <w:noWrap/>
            <w:vAlign w:val="center"/>
          </w:tcPr>
          <w:p w:rsidR="00C85043" w:rsidRPr="00D117B5"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shd w:val="clear" w:color="auto" w:fill="auto"/>
            <w:noWrap/>
            <w:vAlign w:val="center"/>
          </w:tcPr>
          <w:p w:rsidR="00C85043" w:rsidRPr="00B06355" w:rsidRDefault="00C85043" w:rsidP="00C85043">
            <w:pPr>
              <w:spacing w:before="40" w:after="40"/>
              <w:jc w:val="center"/>
              <w:rPr>
                <w:rFonts w:cs="Arial"/>
                <w:color w:val="243F60"/>
                <w:sz w:val="16"/>
                <w:szCs w:val="16"/>
              </w:rPr>
            </w:pPr>
            <w:r w:rsidRPr="00723CCF">
              <w:rPr>
                <w:rFonts w:cs="Arial"/>
                <w:sz w:val="16"/>
                <w:szCs w:val="16"/>
              </w:rPr>
              <w:t>X</w:t>
            </w: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8"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8" w:space="0" w:color="auto"/>
            </w:tcBorders>
            <w:shd w:val="clear" w:color="auto" w:fill="auto"/>
            <w:noWrap/>
            <w:vAlign w:val="bottom"/>
          </w:tcPr>
          <w:p w:rsidR="00C85043" w:rsidRPr="00723CCF" w:rsidRDefault="00C85043" w:rsidP="00C85043">
            <w:pPr>
              <w:spacing w:before="40" w:after="40"/>
              <w:rPr>
                <w:rFonts w:cs="Arial"/>
                <w:sz w:val="16"/>
                <w:szCs w:val="16"/>
              </w:rPr>
            </w:pPr>
            <w:r w:rsidRPr="00723CCF">
              <w:rPr>
                <w:rFonts w:cs="Arial"/>
                <w:sz w:val="16"/>
                <w:szCs w:val="16"/>
              </w:rPr>
              <w:t> </w:t>
            </w:r>
          </w:p>
        </w:tc>
      </w:tr>
      <w:tr w:rsidR="00C85043" w:rsidRPr="00723CCF" w:rsidTr="00C85043">
        <w:trPr>
          <w:trHeight w:val="416"/>
          <w:jc w:val="center"/>
        </w:trPr>
        <w:tc>
          <w:tcPr>
            <w:tcW w:w="3782" w:type="dxa"/>
            <w:tcBorders>
              <w:top w:val="nil"/>
              <w:left w:val="single" w:sz="8" w:space="0" w:color="auto"/>
              <w:bottom w:val="single" w:sz="4" w:space="0" w:color="auto"/>
              <w:right w:val="single" w:sz="8" w:space="0" w:color="auto"/>
            </w:tcBorders>
            <w:shd w:val="clear" w:color="auto" w:fill="auto"/>
            <w:noWrap/>
            <w:vAlign w:val="center"/>
          </w:tcPr>
          <w:p w:rsidR="00C85043" w:rsidRPr="00BD2888" w:rsidRDefault="00C85043" w:rsidP="00C85043">
            <w:pPr>
              <w:spacing w:before="40" w:after="40"/>
              <w:rPr>
                <w:rFonts w:cs="Arial"/>
                <w:sz w:val="16"/>
                <w:szCs w:val="16"/>
                <w:lang w:val="ru-RU"/>
              </w:rPr>
            </w:pPr>
            <w:r w:rsidRPr="00BD2888">
              <w:rPr>
                <w:rFonts w:cs="Arial"/>
                <w:sz w:val="16"/>
                <w:szCs w:val="16"/>
                <w:lang w:val="ru-RU"/>
              </w:rPr>
              <w:t>Выполнение работ и сдача результатов работ</w:t>
            </w:r>
          </w:p>
        </w:tc>
        <w:tc>
          <w:tcPr>
            <w:tcW w:w="439" w:type="dxa"/>
            <w:tcBorders>
              <w:top w:val="nil"/>
              <w:left w:val="nil"/>
              <w:bottom w:val="single" w:sz="4" w:space="0" w:color="auto"/>
              <w:right w:val="single" w:sz="4" w:space="0" w:color="auto"/>
            </w:tcBorders>
            <w:vAlign w:val="center"/>
          </w:tcPr>
          <w:p w:rsidR="00C85043" w:rsidRPr="00BD2888"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BD2888"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BD2888"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BD2888" w:rsidRDefault="00C85043" w:rsidP="00C85043">
            <w:pPr>
              <w:spacing w:before="40" w:after="40"/>
              <w:jc w:val="center"/>
              <w:rPr>
                <w:rFonts w:cs="Arial"/>
                <w:sz w:val="16"/>
                <w:szCs w:val="16"/>
                <w:lang w:val="ru-RU"/>
              </w:rPr>
            </w:pPr>
          </w:p>
        </w:tc>
        <w:tc>
          <w:tcPr>
            <w:tcW w:w="439" w:type="dxa"/>
            <w:tcBorders>
              <w:top w:val="nil"/>
              <w:left w:val="single" w:sz="4" w:space="0" w:color="auto"/>
              <w:bottom w:val="single" w:sz="4" w:space="0" w:color="auto"/>
              <w:right w:val="single" w:sz="4" w:space="0" w:color="auto"/>
            </w:tcBorders>
            <w:shd w:val="clear" w:color="auto" w:fill="auto"/>
            <w:noWrap/>
            <w:vAlign w:val="center"/>
          </w:tcPr>
          <w:p w:rsidR="00C85043" w:rsidRPr="00BD2888"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shd w:val="clear" w:color="auto" w:fill="auto"/>
            <w:noWrap/>
            <w:vAlign w:val="center"/>
          </w:tcPr>
          <w:p w:rsidR="00C85043" w:rsidRPr="00BD2888"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shd w:val="clear" w:color="auto" w:fill="auto"/>
            <w:noWrap/>
            <w:vAlign w:val="center"/>
          </w:tcPr>
          <w:p w:rsidR="00C85043" w:rsidRPr="00B06355" w:rsidRDefault="00C85043" w:rsidP="00C85043">
            <w:pPr>
              <w:spacing w:before="40" w:after="40"/>
              <w:jc w:val="center"/>
              <w:rPr>
                <w:rFonts w:cs="Arial"/>
                <w:color w:val="243F60"/>
                <w:sz w:val="16"/>
                <w:szCs w:val="16"/>
              </w:rPr>
            </w:pPr>
            <w:r w:rsidRPr="00723CCF">
              <w:rPr>
                <w:rFonts w:cs="Arial"/>
                <w:sz w:val="16"/>
                <w:szCs w:val="16"/>
              </w:rPr>
              <w:t>X</w:t>
            </w:r>
          </w:p>
        </w:tc>
        <w:tc>
          <w:tcPr>
            <w:tcW w:w="439" w:type="dxa"/>
            <w:tcBorders>
              <w:top w:val="nil"/>
              <w:left w:val="nil"/>
              <w:bottom w:val="single" w:sz="4" w:space="0" w:color="auto"/>
              <w:right w:val="single" w:sz="8"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r w:rsidRPr="00723CCF">
              <w:rPr>
                <w:rFonts w:cs="Arial"/>
                <w:sz w:val="16"/>
                <w:szCs w:val="16"/>
              </w:rPr>
              <w:t>X</w:t>
            </w: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p>
        </w:tc>
        <w:tc>
          <w:tcPr>
            <w:tcW w:w="439" w:type="dxa"/>
            <w:tcBorders>
              <w:top w:val="nil"/>
              <w:left w:val="nil"/>
              <w:bottom w:val="single" w:sz="4" w:space="0" w:color="auto"/>
              <w:right w:val="single" w:sz="8" w:space="0" w:color="auto"/>
            </w:tcBorders>
            <w:shd w:val="clear" w:color="auto" w:fill="auto"/>
            <w:noWrap/>
            <w:vAlign w:val="bottom"/>
          </w:tcPr>
          <w:p w:rsidR="00C85043" w:rsidRPr="00723CCF" w:rsidRDefault="00C85043" w:rsidP="00C85043">
            <w:pPr>
              <w:spacing w:before="40" w:after="40"/>
              <w:rPr>
                <w:rFonts w:cs="Arial"/>
                <w:sz w:val="16"/>
                <w:szCs w:val="16"/>
              </w:rPr>
            </w:pPr>
          </w:p>
        </w:tc>
      </w:tr>
      <w:tr w:rsidR="00C85043" w:rsidRPr="00723CCF" w:rsidTr="00C85043">
        <w:trPr>
          <w:trHeight w:val="416"/>
          <w:jc w:val="center"/>
        </w:trPr>
        <w:tc>
          <w:tcPr>
            <w:tcW w:w="3782" w:type="dxa"/>
            <w:tcBorders>
              <w:top w:val="nil"/>
              <w:left w:val="single" w:sz="8" w:space="0" w:color="auto"/>
              <w:bottom w:val="single" w:sz="4" w:space="0" w:color="auto"/>
              <w:right w:val="single" w:sz="8" w:space="0" w:color="auto"/>
            </w:tcBorders>
            <w:shd w:val="clear" w:color="auto" w:fill="auto"/>
            <w:noWrap/>
            <w:vAlign w:val="center"/>
          </w:tcPr>
          <w:p w:rsidR="00C85043" w:rsidRPr="00E94CE2" w:rsidRDefault="00C85043" w:rsidP="00C85043">
            <w:pPr>
              <w:spacing w:before="40" w:after="40"/>
              <w:rPr>
                <w:rFonts w:cs="Arial"/>
                <w:sz w:val="16"/>
                <w:szCs w:val="16"/>
                <w:lang w:val="ru-RU"/>
              </w:rPr>
            </w:pPr>
            <w:r w:rsidRPr="009044EE">
              <w:rPr>
                <w:rFonts w:cs="Arial"/>
                <w:sz w:val="16"/>
                <w:szCs w:val="16"/>
                <w:lang w:val="ru-RU"/>
              </w:rPr>
              <w:t>Заключение</w:t>
            </w:r>
            <w:r w:rsidRPr="00E94CE2">
              <w:rPr>
                <w:rFonts w:cs="Arial"/>
                <w:sz w:val="16"/>
                <w:szCs w:val="16"/>
                <w:lang w:val="ru-RU"/>
              </w:rPr>
              <w:t xml:space="preserve"> </w:t>
            </w:r>
            <w:r w:rsidRPr="009044EE">
              <w:rPr>
                <w:rFonts w:cs="Arial"/>
                <w:sz w:val="16"/>
                <w:szCs w:val="16"/>
                <w:lang w:val="ru-RU"/>
              </w:rPr>
              <w:t>контракта</w:t>
            </w:r>
            <w:r w:rsidRPr="00E94CE2">
              <w:rPr>
                <w:rFonts w:cs="Arial"/>
                <w:sz w:val="16"/>
                <w:szCs w:val="16"/>
                <w:lang w:val="ru-RU"/>
              </w:rPr>
              <w:t xml:space="preserve"> </w:t>
            </w:r>
            <w:r>
              <w:rPr>
                <w:rFonts w:cs="Arial"/>
                <w:sz w:val="16"/>
                <w:szCs w:val="16"/>
                <w:lang w:val="ru-RU"/>
              </w:rPr>
              <w:t>с</w:t>
            </w:r>
            <w:r w:rsidRPr="00E94CE2">
              <w:rPr>
                <w:rFonts w:cs="Arial"/>
                <w:sz w:val="16"/>
                <w:szCs w:val="16"/>
                <w:lang w:val="ru-RU"/>
              </w:rPr>
              <w:t xml:space="preserve"> </w:t>
            </w:r>
            <w:r>
              <w:rPr>
                <w:rFonts w:cs="Arial"/>
                <w:sz w:val="16"/>
                <w:szCs w:val="16"/>
                <w:lang w:val="ru-RU"/>
              </w:rPr>
              <w:t>экспертами</w:t>
            </w:r>
            <w:r w:rsidRPr="00E94CE2">
              <w:rPr>
                <w:rFonts w:cs="Arial"/>
                <w:sz w:val="16"/>
                <w:szCs w:val="16"/>
                <w:lang w:val="ru-RU"/>
              </w:rPr>
              <w:t xml:space="preserve"> </w:t>
            </w:r>
            <w:r>
              <w:rPr>
                <w:rFonts w:cs="Arial"/>
                <w:sz w:val="16"/>
                <w:szCs w:val="16"/>
                <w:lang w:val="ru-RU"/>
              </w:rPr>
              <w:t>для</w:t>
            </w:r>
            <w:r w:rsidRPr="00E94CE2">
              <w:rPr>
                <w:rFonts w:cs="Arial"/>
                <w:sz w:val="16"/>
                <w:szCs w:val="16"/>
                <w:lang w:val="ru-RU"/>
              </w:rPr>
              <w:t xml:space="preserve"> </w:t>
            </w:r>
            <w:r>
              <w:rPr>
                <w:rFonts w:cs="Arial"/>
                <w:sz w:val="16"/>
                <w:szCs w:val="16"/>
                <w:lang w:val="ru-RU"/>
              </w:rPr>
              <w:t>проведения</w:t>
            </w:r>
            <w:r w:rsidRPr="00E94CE2">
              <w:rPr>
                <w:rFonts w:cs="Arial"/>
                <w:sz w:val="16"/>
                <w:szCs w:val="16"/>
                <w:lang w:val="ru-RU"/>
              </w:rPr>
              <w:t xml:space="preserve"> исследовани</w:t>
            </w:r>
            <w:r>
              <w:rPr>
                <w:rFonts w:cs="Arial"/>
                <w:sz w:val="16"/>
                <w:szCs w:val="16"/>
                <w:lang w:val="ru-RU"/>
              </w:rPr>
              <w:t xml:space="preserve">й, направленных на </w:t>
            </w:r>
            <w:r w:rsidRPr="00E94CE2">
              <w:rPr>
                <w:rFonts w:cs="Arial"/>
                <w:sz w:val="16"/>
                <w:szCs w:val="16"/>
                <w:lang w:val="ru-RU"/>
              </w:rPr>
              <w:t>выработк</w:t>
            </w:r>
            <w:r>
              <w:rPr>
                <w:rFonts w:cs="Arial"/>
                <w:sz w:val="16"/>
                <w:szCs w:val="16"/>
                <w:lang w:val="ru-RU"/>
              </w:rPr>
              <w:t xml:space="preserve">у </w:t>
            </w:r>
            <w:r w:rsidRPr="00E94CE2">
              <w:rPr>
                <w:rFonts w:cs="Arial"/>
                <w:sz w:val="16"/>
                <w:szCs w:val="16"/>
                <w:lang w:val="ru-RU"/>
              </w:rPr>
              <w:t>рекомендаци</w:t>
            </w:r>
            <w:r>
              <w:rPr>
                <w:rFonts w:cs="Arial"/>
                <w:sz w:val="16"/>
                <w:szCs w:val="16"/>
                <w:lang w:val="ru-RU"/>
              </w:rPr>
              <w:t xml:space="preserve">й </w:t>
            </w:r>
            <w:r w:rsidRPr="00E94CE2">
              <w:rPr>
                <w:rFonts w:cs="Arial"/>
                <w:sz w:val="16"/>
                <w:szCs w:val="16"/>
                <w:lang w:val="ru-RU"/>
              </w:rPr>
              <w:t>Секретар</w:t>
            </w:r>
            <w:r>
              <w:rPr>
                <w:rFonts w:cs="Arial"/>
                <w:sz w:val="16"/>
                <w:szCs w:val="16"/>
                <w:lang w:val="ru-RU"/>
              </w:rPr>
              <w:t xml:space="preserve">иату </w:t>
            </w:r>
            <w:r w:rsidRPr="00E94CE2">
              <w:rPr>
                <w:rFonts w:cs="Arial"/>
                <w:sz w:val="16"/>
                <w:szCs w:val="16"/>
                <w:lang w:val="ru-RU"/>
              </w:rPr>
              <w:t xml:space="preserve">в отношении </w:t>
            </w:r>
            <w:r>
              <w:rPr>
                <w:rFonts w:cs="Arial"/>
                <w:sz w:val="16"/>
                <w:szCs w:val="16"/>
                <w:lang w:val="ru-RU"/>
              </w:rPr>
              <w:t xml:space="preserve">оптимального </w:t>
            </w:r>
            <w:r w:rsidRPr="00E94CE2">
              <w:rPr>
                <w:rFonts w:cs="Arial"/>
                <w:sz w:val="16"/>
                <w:szCs w:val="16"/>
                <w:lang w:val="ru-RU"/>
              </w:rPr>
              <w:t>план</w:t>
            </w:r>
            <w:r>
              <w:rPr>
                <w:rFonts w:cs="Arial"/>
                <w:sz w:val="16"/>
                <w:szCs w:val="16"/>
                <w:lang w:val="ru-RU"/>
              </w:rPr>
              <w:t>а</w:t>
            </w:r>
            <w:r w:rsidRPr="00E94CE2">
              <w:rPr>
                <w:rFonts w:cs="Arial"/>
                <w:sz w:val="16"/>
                <w:szCs w:val="16"/>
                <w:lang w:val="ru-RU"/>
              </w:rPr>
              <w:t xml:space="preserve"> действий</w:t>
            </w:r>
          </w:p>
        </w:tc>
        <w:tc>
          <w:tcPr>
            <w:tcW w:w="439" w:type="dxa"/>
            <w:tcBorders>
              <w:top w:val="nil"/>
              <w:left w:val="nil"/>
              <w:bottom w:val="single" w:sz="4" w:space="0" w:color="auto"/>
              <w:right w:val="single" w:sz="4" w:space="0" w:color="auto"/>
            </w:tcBorders>
            <w:vAlign w:val="center"/>
          </w:tcPr>
          <w:p w:rsidR="00C85043" w:rsidRPr="00E94CE2"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E94CE2" w:rsidRDefault="00C85043" w:rsidP="00C85043">
            <w:pPr>
              <w:spacing w:before="40" w:after="40"/>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E94CE2"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vAlign w:val="center"/>
          </w:tcPr>
          <w:p w:rsidR="00C85043" w:rsidRPr="00E94CE2" w:rsidRDefault="00C85043" w:rsidP="00C85043">
            <w:pPr>
              <w:spacing w:before="40" w:after="40"/>
              <w:jc w:val="center"/>
              <w:rPr>
                <w:rFonts w:cs="Arial"/>
                <w:sz w:val="16"/>
                <w:szCs w:val="16"/>
                <w:lang w:val="ru-RU"/>
              </w:rPr>
            </w:pPr>
          </w:p>
        </w:tc>
        <w:tc>
          <w:tcPr>
            <w:tcW w:w="439" w:type="dxa"/>
            <w:tcBorders>
              <w:top w:val="nil"/>
              <w:left w:val="single" w:sz="4" w:space="0" w:color="auto"/>
              <w:bottom w:val="single" w:sz="4" w:space="0" w:color="auto"/>
              <w:right w:val="single" w:sz="4" w:space="0" w:color="auto"/>
            </w:tcBorders>
            <w:shd w:val="clear" w:color="auto" w:fill="auto"/>
            <w:noWrap/>
            <w:vAlign w:val="center"/>
          </w:tcPr>
          <w:p w:rsidR="00C85043" w:rsidRPr="00E94CE2"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shd w:val="clear" w:color="auto" w:fill="auto"/>
            <w:noWrap/>
            <w:vAlign w:val="center"/>
          </w:tcPr>
          <w:p w:rsidR="00C85043" w:rsidRPr="00E94CE2"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shd w:val="clear" w:color="auto" w:fill="auto"/>
            <w:noWrap/>
            <w:vAlign w:val="center"/>
          </w:tcPr>
          <w:p w:rsidR="00C85043" w:rsidRPr="00E94CE2"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8" w:space="0" w:color="auto"/>
            </w:tcBorders>
            <w:shd w:val="clear" w:color="auto" w:fill="auto"/>
            <w:noWrap/>
            <w:vAlign w:val="center"/>
          </w:tcPr>
          <w:p w:rsidR="00C85043" w:rsidRPr="00E94CE2"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shd w:val="clear" w:color="auto" w:fill="auto"/>
            <w:noWrap/>
            <w:vAlign w:val="center"/>
          </w:tcPr>
          <w:p w:rsidR="00C85043" w:rsidRPr="00E94CE2" w:rsidRDefault="00C85043" w:rsidP="00C85043">
            <w:pPr>
              <w:spacing w:before="40" w:after="40"/>
              <w:jc w:val="center"/>
              <w:rPr>
                <w:rFonts w:cs="Arial"/>
                <w:sz w:val="16"/>
                <w:szCs w:val="16"/>
                <w:lang w:val="ru-RU"/>
              </w:rPr>
            </w:pPr>
          </w:p>
        </w:tc>
        <w:tc>
          <w:tcPr>
            <w:tcW w:w="439" w:type="dxa"/>
            <w:tcBorders>
              <w:top w:val="nil"/>
              <w:left w:val="nil"/>
              <w:bottom w:val="single" w:sz="4" w:space="0" w:color="auto"/>
              <w:right w:val="single" w:sz="4" w:space="0" w:color="auto"/>
            </w:tcBorders>
            <w:shd w:val="clear" w:color="auto" w:fill="auto"/>
            <w:noWrap/>
            <w:vAlign w:val="center"/>
          </w:tcPr>
          <w:p w:rsidR="00C85043" w:rsidRPr="00723CCF" w:rsidRDefault="00C85043" w:rsidP="00C85043">
            <w:pPr>
              <w:spacing w:before="40" w:after="40"/>
              <w:jc w:val="center"/>
              <w:rPr>
                <w:rFonts w:cs="Arial"/>
                <w:sz w:val="16"/>
                <w:szCs w:val="16"/>
              </w:rPr>
            </w:pPr>
            <w:r w:rsidRPr="00723CCF">
              <w:rPr>
                <w:rFonts w:cs="Arial"/>
                <w:sz w:val="16"/>
                <w:szCs w:val="16"/>
              </w:rPr>
              <w:t>X</w:t>
            </w:r>
          </w:p>
        </w:tc>
        <w:tc>
          <w:tcPr>
            <w:tcW w:w="439" w:type="dxa"/>
            <w:tcBorders>
              <w:top w:val="nil"/>
              <w:left w:val="nil"/>
              <w:bottom w:val="single" w:sz="4" w:space="0" w:color="auto"/>
              <w:right w:val="single" w:sz="4" w:space="0" w:color="auto"/>
            </w:tcBorders>
            <w:shd w:val="clear" w:color="auto" w:fill="auto"/>
            <w:noWrap/>
            <w:vAlign w:val="center"/>
          </w:tcPr>
          <w:p w:rsidR="00C85043" w:rsidRPr="00B06355" w:rsidRDefault="00C85043" w:rsidP="00C85043">
            <w:pPr>
              <w:spacing w:before="40" w:after="40"/>
              <w:jc w:val="center"/>
              <w:rPr>
                <w:rFonts w:cs="Arial"/>
                <w:color w:val="243F60"/>
                <w:sz w:val="16"/>
                <w:szCs w:val="16"/>
              </w:rPr>
            </w:pPr>
            <w:r w:rsidRPr="00723CCF">
              <w:rPr>
                <w:rFonts w:cs="Arial"/>
                <w:sz w:val="16"/>
                <w:szCs w:val="16"/>
              </w:rPr>
              <w:t>X</w:t>
            </w:r>
          </w:p>
        </w:tc>
        <w:tc>
          <w:tcPr>
            <w:tcW w:w="439" w:type="dxa"/>
            <w:tcBorders>
              <w:top w:val="nil"/>
              <w:left w:val="nil"/>
              <w:bottom w:val="single" w:sz="4" w:space="0" w:color="auto"/>
              <w:right w:val="single" w:sz="8" w:space="0" w:color="auto"/>
            </w:tcBorders>
            <w:shd w:val="clear" w:color="auto" w:fill="auto"/>
            <w:noWrap/>
            <w:vAlign w:val="bottom"/>
          </w:tcPr>
          <w:p w:rsidR="00C85043" w:rsidRPr="00723CCF" w:rsidRDefault="00C85043" w:rsidP="00C85043">
            <w:pPr>
              <w:spacing w:before="40" w:after="40"/>
              <w:rPr>
                <w:rFonts w:cs="Arial"/>
                <w:sz w:val="16"/>
                <w:szCs w:val="16"/>
              </w:rPr>
            </w:pPr>
            <w:r w:rsidRPr="00723CCF">
              <w:rPr>
                <w:rFonts w:cs="Arial"/>
                <w:sz w:val="16"/>
                <w:szCs w:val="16"/>
              </w:rPr>
              <w:t> </w:t>
            </w:r>
          </w:p>
        </w:tc>
      </w:tr>
    </w:tbl>
    <w:p w:rsidR="00C85043" w:rsidRPr="00723CCF" w:rsidRDefault="00C85043" w:rsidP="00C85043">
      <w:pPr>
        <w:autoSpaceDE w:val="0"/>
        <w:autoSpaceDN w:val="0"/>
        <w:jc w:val="both"/>
      </w:pPr>
    </w:p>
    <w:p w:rsidR="00C85043" w:rsidRPr="00723CCF" w:rsidRDefault="00C85043" w:rsidP="00C85043"/>
    <w:p w:rsidR="00C85043" w:rsidRDefault="00C85043" w:rsidP="00C85043">
      <w:pPr>
        <w:rPr>
          <w:b/>
          <w:sz w:val="22"/>
        </w:rPr>
      </w:pPr>
      <w:r>
        <w:br w:type="page"/>
      </w:r>
      <w:r>
        <w:rPr>
          <w:b/>
          <w:sz w:val="22"/>
        </w:rPr>
        <w:t>ПРОЕКТЫ В ОБЛАСТИ БЕЗОПАСНОСТИ</w:t>
      </w:r>
    </w:p>
    <w:p w:rsidR="00C85043" w:rsidRPr="00994B87" w:rsidRDefault="00C85043" w:rsidP="00C85043">
      <w:pPr>
        <w:rPr>
          <w:b/>
          <w:sz w:val="22"/>
        </w:rPr>
      </w:pPr>
    </w:p>
    <w:p w:rsidR="00C85043" w:rsidRPr="00AB735C" w:rsidRDefault="00C85043" w:rsidP="00C85043">
      <w:pPr>
        <w:pStyle w:val="StyleHeading3BoldNounderline"/>
        <w:spacing w:before="0" w:after="0"/>
        <w:rPr>
          <w:b/>
          <w:lang w:val="ru-RU"/>
        </w:rPr>
      </w:pPr>
      <w:bookmarkStart w:id="157" w:name="_Toc422210529"/>
      <w:bookmarkStart w:id="158" w:name="_Toc455388152"/>
      <w:r w:rsidRPr="00AB735C">
        <w:rPr>
          <w:b/>
          <w:lang w:val="ru-RU"/>
        </w:rPr>
        <w:t>ПРОЕКТ 7</w:t>
      </w:r>
      <w:r w:rsidRPr="00AB735C">
        <w:rPr>
          <w:b/>
          <w:lang w:val="ru-RU"/>
        </w:rPr>
        <w:tab/>
      </w:r>
      <w:r w:rsidRPr="00941D4C">
        <w:rPr>
          <w:b/>
          <w:lang w:val="ru-RU"/>
        </w:rPr>
        <w:t xml:space="preserve">МЕРЫ ОБЕСПЕЧЕНИЯ ФИЗИЧЕСКОЙ И ПОЖАРНОЙ БЕЗОПАСНОСТИ </w:t>
      </w:r>
      <w:r w:rsidRPr="00AB735C">
        <w:rPr>
          <w:b/>
          <w:lang w:val="ru-RU"/>
        </w:rPr>
        <w:t xml:space="preserve"> (ГПКР</w:t>
      </w:r>
      <w:r>
        <w:rPr>
          <w:b/>
          <w:lang w:val="ru-RU"/>
        </w:rPr>
        <w:t>-</w:t>
      </w:r>
      <w:r w:rsidRPr="00AB735C">
        <w:rPr>
          <w:b/>
          <w:lang w:val="ru-RU"/>
        </w:rPr>
        <w:t>7)</w:t>
      </w:r>
      <w:bookmarkEnd w:id="157"/>
      <w:bookmarkEnd w:id="158"/>
    </w:p>
    <w:p w:rsidR="00C85043" w:rsidRPr="00AB735C" w:rsidRDefault="00C85043" w:rsidP="00C85043">
      <w:pPr>
        <w:rPr>
          <w:rFonts w:cs="Arial"/>
          <w:b/>
          <w:sz w:val="22"/>
          <w:lang w:val="ru-RU"/>
        </w:rPr>
      </w:pPr>
    </w:p>
    <w:p w:rsidR="00C85043" w:rsidRPr="00D071C8" w:rsidRDefault="00C85043" w:rsidP="00C85043">
      <w:pPr>
        <w:rPr>
          <w:rFonts w:cs="Arial"/>
          <w:b/>
          <w:szCs w:val="20"/>
          <w:lang w:val="ru-RU"/>
        </w:rPr>
      </w:pPr>
      <w:r w:rsidRPr="00D071C8">
        <w:rPr>
          <w:rFonts w:cs="Arial"/>
          <w:b/>
          <w:szCs w:val="20"/>
          <w:lang w:val="ru-RU"/>
        </w:rPr>
        <w:t>Руководитель проекта</w:t>
      </w:r>
      <w:r w:rsidRPr="00D071C8">
        <w:rPr>
          <w:rFonts w:cs="Arial"/>
          <w:b/>
          <w:szCs w:val="20"/>
          <w:lang w:val="ru-RU"/>
        </w:rPr>
        <w:tab/>
      </w:r>
      <w:r>
        <w:rPr>
          <w:rFonts w:cs="Arial"/>
          <w:b/>
          <w:szCs w:val="20"/>
          <w:lang w:val="ru-RU"/>
        </w:rPr>
        <w:t>М. Гибб</w:t>
      </w:r>
    </w:p>
    <w:p w:rsidR="00C85043" w:rsidRPr="00D071C8" w:rsidRDefault="00C85043" w:rsidP="00C85043">
      <w:pPr>
        <w:rPr>
          <w:rFonts w:cs="Arial"/>
          <w:szCs w:val="20"/>
          <w:lang w:val="ru-RU"/>
        </w:rPr>
      </w:pPr>
    </w:p>
    <w:p w:rsidR="00C85043" w:rsidRPr="00D071C8" w:rsidRDefault="00C85043" w:rsidP="00C85043">
      <w:pPr>
        <w:rPr>
          <w:rFonts w:cs="Arial"/>
          <w:bCs/>
          <w:szCs w:val="20"/>
          <w:lang w:val="ru-RU"/>
        </w:rPr>
      </w:pPr>
    </w:p>
    <w:p w:rsidR="00C85043" w:rsidRPr="0055183A" w:rsidRDefault="00C85043" w:rsidP="00C85043">
      <w:pPr>
        <w:rPr>
          <w:rFonts w:cs="Arial"/>
          <w:bCs/>
          <w:szCs w:val="20"/>
          <w:lang w:val="ru-RU"/>
        </w:rPr>
      </w:pPr>
      <w:r w:rsidRPr="0055183A">
        <w:rPr>
          <w:rFonts w:cs="Arial"/>
          <w:bCs/>
          <w:szCs w:val="20"/>
          <w:lang w:val="ru-RU"/>
        </w:rPr>
        <w:t>ОЖИДАЕМЫЕ РЕЗУЛЬТАТЫ</w:t>
      </w:r>
    </w:p>
    <w:p w:rsidR="00C85043" w:rsidRPr="0055183A" w:rsidRDefault="00C85043" w:rsidP="00C85043">
      <w:pPr>
        <w:rPr>
          <w:rFonts w:cs="Arial"/>
          <w:bCs/>
          <w:szCs w:val="20"/>
          <w:lang w:val="ru-RU"/>
        </w:rPr>
      </w:pPr>
    </w:p>
    <w:p w:rsidR="00C85043" w:rsidRPr="003B431D" w:rsidRDefault="00C85043" w:rsidP="00C85043">
      <w:pPr>
        <w:rPr>
          <w:rFonts w:cs="Arial"/>
          <w:bCs/>
          <w:szCs w:val="20"/>
          <w:lang w:val="ru-RU"/>
        </w:rPr>
      </w:pPr>
      <w:r w:rsidRPr="00571EF2">
        <w:rPr>
          <w:rFonts w:cs="Arial"/>
          <w:i/>
          <w:iCs/>
          <w:szCs w:val="20"/>
        </w:rPr>
        <w:t>IX</w:t>
      </w:r>
      <w:r w:rsidRPr="003B431D">
        <w:rPr>
          <w:rFonts w:cs="Arial"/>
          <w:i/>
          <w:iCs/>
          <w:szCs w:val="20"/>
          <w:lang w:val="ru-RU"/>
        </w:rPr>
        <w:t>.4  Ответственная в экологическом и социальном плане Организация, в которой сотрудники ВОИС, делегаты, посетители, а также информационные и материальные активы находятся под охраной и в безопасности</w:t>
      </w:r>
    </w:p>
    <w:p w:rsidR="00C85043" w:rsidRPr="003B431D" w:rsidRDefault="00C85043" w:rsidP="00C85043">
      <w:pPr>
        <w:rPr>
          <w:rFonts w:cs="Arial"/>
          <w:bCs/>
          <w:szCs w:val="20"/>
          <w:lang w:val="ru-RU"/>
        </w:rPr>
      </w:pPr>
    </w:p>
    <w:p w:rsidR="00C85043" w:rsidRPr="003B431D" w:rsidRDefault="00C85043" w:rsidP="00C85043">
      <w:pPr>
        <w:rPr>
          <w:rFonts w:cs="Arial"/>
          <w:bCs/>
          <w:szCs w:val="20"/>
          <w:lang w:val="ru-RU"/>
        </w:rPr>
      </w:pPr>
    </w:p>
    <w:p w:rsidR="00C85043" w:rsidRPr="003B431D" w:rsidRDefault="00C85043" w:rsidP="00C85043">
      <w:pPr>
        <w:rPr>
          <w:rFonts w:cs="Arial"/>
          <w:bCs/>
          <w:szCs w:val="20"/>
          <w:lang w:val="ru-RU"/>
        </w:rPr>
      </w:pPr>
      <w:r>
        <w:rPr>
          <w:rFonts w:cs="Arial"/>
          <w:bCs/>
          <w:szCs w:val="20"/>
          <w:lang w:val="ru-RU"/>
        </w:rPr>
        <w:t>ЦЕЛИ, ОБЪЕМ ЗАДАЧ И МЕТОДОЛОГИЯ: СПРАВОЧНАЯ ИНФОРМАЦИЯ</w:t>
      </w:r>
    </w:p>
    <w:p w:rsidR="00C85043" w:rsidRPr="003B431D" w:rsidRDefault="00C85043" w:rsidP="00C85043">
      <w:pPr>
        <w:rPr>
          <w:rFonts w:cs="Arial"/>
          <w:bCs/>
          <w:szCs w:val="20"/>
          <w:lang w:val="ru-RU"/>
        </w:rPr>
      </w:pPr>
    </w:p>
    <w:p w:rsidR="00C85043" w:rsidRPr="00AB735C" w:rsidRDefault="00C85043" w:rsidP="00BF61DC">
      <w:pPr>
        <w:pStyle w:val="ListParagraph"/>
        <w:numPr>
          <w:ilvl w:val="0"/>
          <w:numId w:val="115"/>
        </w:numPr>
        <w:tabs>
          <w:tab w:val="left" w:pos="567"/>
        </w:tabs>
        <w:ind w:left="0" w:firstLine="0"/>
        <w:jc w:val="both"/>
        <w:rPr>
          <w:rFonts w:cs="Arial"/>
          <w:lang w:val="ru-RU"/>
        </w:rPr>
      </w:pPr>
      <w:r>
        <w:rPr>
          <w:rFonts w:cs="Arial"/>
          <w:lang w:val="ru-RU"/>
        </w:rPr>
        <w:t xml:space="preserve">В ходе проверки соблюдения норм </w:t>
      </w:r>
      <w:r w:rsidRPr="00941D4C">
        <w:rPr>
          <w:rFonts w:cs="Arial"/>
          <w:lang w:val="ru-RU"/>
        </w:rPr>
        <w:t>безопасност</w:t>
      </w:r>
      <w:r>
        <w:rPr>
          <w:rFonts w:cs="Arial"/>
          <w:lang w:val="ru-RU"/>
        </w:rPr>
        <w:t xml:space="preserve">и в </w:t>
      </w:r>
      <w:r w:rsidRPr="00941D4C">
        <w:rPr>
          <w:rFonts w:cs="Arial"/>
          <w:lang w:val="ru-RU"/>
        </w:rPr>
        <w:t>Организаци</w:t>
      </w:r>
      <w:r>
        <w:rPr>
          <w:rFonts w:cs="Arial"/>
          <w:lang w:val="ru-RU"/>
        </w:rPr>
        <w:t xml:space="preserve">и, проведенной </w:t>
      </w:r>
      <w:r w:rsidRPr="00AB735C">
        <w:rPr>
          <w:rFonts w:cs="Arial"/>
          <w:lang w:val="ru-RU"/>
        </w:rPr>
        <w:t>специализированн</w:t>
      </w:r>
      <w:r>
        <w:rPr>
          <w:rFonts w:cs="Arial"/>
          <w:lang w:val="ru-RU"/>
        </w:rPr>
        <w:t xml:space="preserve">ым </w:t>
      </w:r>
      <w:r w:rsidRPr="00941D4C">
        <w:rPr>
          <w:rFonts w:cs="Arial"/>
          <w:lang w:val="ru-RU"/>
        </w:rPr>
        <w:t>учреждени</w:t>
      </w:r>
      <w:r>
        <w:rPr>
          <w:rFonts w:cs="Arial"/>
          <w:lang w:val="ru-RU"/>
        </w:rPr>
        <w:t xml:space="preserve">ем по </w:t>
      </w:r>
      <w:r w:rsidRPr="00AB735C">
        <w:rPr>
          <w:rFonts w:cs="Arial"/>
          <w:lang w:val="ru-RU"/>
        </w:rPr>
        <w:t>запрос</w:t>
      </w:r>
      <w:r>
        <w:rPr>
          <w:rFonts w:cs="Arial"/>
          <w:lang w:val="ru-RU"/>
        </w:rPr>
        <w:t>у</w:t>
      </w:r>
      <w:r w:rsidRPr="00AB735C">
        <w:rPr>
          <w:rFonts w:cs="Arial"/>
          <w:lang w:val="ru-RU"/>
        </w:rPr>
        <w:t xml:space="preserve"> Секретариата, </w:t>
      </w:r>
      <w:r>
        <w:rPr>
          <w:rFonts w:cs="Arial"/>
          <w:lang w:val="ru-RU"/>
        </w:rPr>
        <w:t xml:space="preserve">был выработан </w:t>
      </w:r>
      <w:r w:rsidRPr="00AB735C">
        <w:rPr>
          <w:rFonts w:cs="Arial"/>
          <w:lang w:val="ru-RU"/>
        </w:rPr>
        <w:t>ряд р</w:t>
      </w:r>
      <w:r>
        <w:rPr>
          <w:rFonts w:cs="Arial"/>
          <w:lang w:val="ru-RU"/>
        </w:rPr>
        <w:t xml:space="preserve">екомендаций </w:t>
      </w:r>
      <w:r w:rsidRPr="00941D4C">
        <w:rPr>
          <w:rFonts w:cs="Arial"/>
          <w:lang w:val="ru-RU"/>
        </w:rPr>
        <w:t xml:space="preserve">в отношении </w:t>
      </w:r>
      <w:r>
        <w:rPr>
          <w:rFonts w:cs="Arial"/>
          <w:lang w:val="ru-RU"/>
        </w:rPr>
        <w:t>мер</w:t>
      </w:r>
      <w:r w:rsidRPr="00AB735C">
        <w:rPr>
          <w:rFonts w:cs="Arial"/>
          <w:lang w:val="ru-RU"/>
        </w:rPr>
        <w:t xml:space="preserve"> обеспечения физической и пожарной безопасности</w:t>
      </w:r>
      <w:r>
        <w:rPr>
          <w:rFonts w:cs="Arial"/>
          <w:lang w:val="ru-RU"/>
        </w:rPr>
        <w:t xml:space="preserve">, </w:t>
      </w:r>
      <w:r w:rsidRPr="00941D4C">
        <w:rPr>
          <w:rFonts w:cs="Arial"/>
          <w:lang w:val="ru-RU"/>
        </w:rPr>
        <w:t>котор</w:t>
      </w:r>
      <w:r>
        <w:rPr>
          <w:rFonts w:cs="Arial"/>
          <w:lang w:val="ru-RU"/>
        </w:rPr>
        <w:t xml:space="preserve">ые </w:t>
      </w:r>
      <w:r w:rsidRPr="00941D4C">
        <w:rPr>
          <w:rFonts w:cs="Arial"/>
          <w:lang w:val="ru-RU"/>
        </w:rPr>
        <w:t>должн</w:t>
      </w:r>
      <w:r>
        <w:rPr>
          <w:rFonts w:cs="Arial"/>
          <w:lang w:val="ru-RU"/>
        </w:rPr>
        <w:t xml:space="preserve">ы быть реализованы в более старых </w:t>
      </w:r>
      <w:r w:rsidRPr="00AB735C">
        <w:rPr>
          <w:rFonts w:cs="Arial"/>
          <w:lang w:val="ru-RU"/>
        </w:rPr>
        <w:t>здания</w:t>
      </w:r>
      <w:r>
        <w:rPr>
          <w:rFonts w:cs="Arial"/>
          <w:lang w:val="ru-RU"/>
        </w:rPr>
        <w:t>х</w:t>
      </w:r>
      <w:r w:rsidRPr="00AB735C">
        <w:rPr>
          <w:rFonts w:cs="Arial"/>
          <w:lang w:val="ru-RU"/>
        </w:rPr>
        <w:t xml:space="preserve"> ВОИС </w:t>
      </w:r>
      <w:r>
        <w:rPr>
          <w:rFonts w:cs="Arial"/>
          <w:lang w:val="ru-RU"/>
        </w:rPr>
        <w:t xml:space="preserve">для их приведения в </w:t>
      </w:r>
      <w:r w:rsidRPr="00AB735C">
        <w:rPr>
          <w:rFonts w:cs="Arial"/>
          <w:lang w:val="ru-RU"/>
        </w:rPr>
        <w:t xml:space="preserve">соответствие </w:t>
      </w:r>
      <w:r>
        <w:rPr>
          <w:rFonts w:cs="Arial"/>
          <w:lang w:val="ru-RU"/>
        </w:rPr>
        <w:t xml:space="preserve">с уточненными </w:t>
      </w:r>
      <w:r w:rsidRPr="00941D4C">
        <w:rPr>
          <w:rFonts w:cs="Arial"/>
          <w:lang w:val="ru-RU"/>
        </w:rPr>
        <w:t>стандарт</w:t>
      </w:r>
      <w:r>
        <w:rPr>
          <w:rFonts w:cs="Arial"/>
          <w:lang w:val="ru-RU"/>
        </w:rPr>
        <w:t xml:space="preserve">ами </w:t>
      </w:r>
      <w:r w:rsidRPr="00941D4C">
        <w:rPr>
          <w:rFonts w:cs="Arial"/>
          <w:lang w:val="ru-RU"/>
        </w:rPr>
        <w:t>безопасност</w:t>
      </w:r>
      <w:r>
        <w:rPr>
          <w:rFonts w:cs="Arial"/>
          <w:lang w:val="ru-RU"/>
        </w:rPr>
        <w:t xml:space="preserve">и </w:t>
      </w:r>
      <w:r w:rsidRPr="00AB735C">
        <w:rPr>
          <w:rFonts w:cs="Arial"/>
          <w:lang w:val="ru-RU"/>
        </w:rPr>
        <w:t>(</w:t>
      </w:r>
      <w:r>
        <w:rPr>
          <w:rFonts w:cs="Arial"/>
          <w:lang w:val="ru-RU"/>
        </w:rPr>
        <w:t xml:space="preserve">следует отметить, что </w:t>
      </w:r>
      <w:r w:rsidRPr="00941D4C">
        <w:rPr>
          <w:rFonts w:cs="Arial"/>
          <w:lang w:val="ru-RU"/>
        </w:rPr>
        <w:t>проект</w:t>
      </w:r>
      <w:r>
        <w:rPr>
          <w:rFonts w:cs="Arial"/>
          <w:lang w:val="ru-RU"/>
        </w:rPr>
        <w:t xml:space="preserve"> не касается </w:t>
      </w:r>
      <w:r w:rsidRPr="00AB735C">
        <w:rPr>
          <w:rFonts w:cs="Arial"/>
          <w:lang w:val="ru-RU"/>
        </w:rPr>
        <w:t>н</w:t>
      </w:r>
      <w:r>
        <w:rPr>
          <w:rFonts w:cs="Arial"/>
          <w:lang w:val="ru-RU"/>
        </w:rPr>
        <w:t>ового здания</w:t>
      </w:r>
      <w:r w:rsidRPr="00AB735C">
        <w:rPr>
          <w:rFonts w:cs="Arial"/>
          <w:lang w:val="ru-RU"/>
        </w:rPr>
        <w:t xml:space="preserve"> и </w:t>
      </w:r>
      <w:r>
        <w:rPr>
          <w:rFonts w:cs="Arial"/>
          <w:lang w:val="ru-RU"/>
        </w:rPr>
        <w:t>нового</w:t>
      </w:r>
      <w:r w:rsidRPr="00AB735C">
        <w:rPr>
          <w:rFonts w:cs="Arial"/>
          <w:lang w:val="ru-RU"/>
        </w:rPr>
        <w:t xml:space="preserve"> </w:t>
      </w:r>
      <w:r>
        <w:rPr>
          <w:rFonts w:cs="Arial"/>
          <w:lang w:val="ru-RU"/>
        </w:rPr>
        <w:t>конференц-зала ВОИС,</w:t>
      </w:r>
      <w:r w:rsidRPr="00AB735C">
        <w:rPr>
          <w:rFonts w:cs="Arial"/>
          <w:lang w:val="ru-RU"/>
        </w:rPr>
        <w:t xml:space="preserve"> поскольку </w:t>
      </w:r>
      <w:r>
        <w:rPr>
          <w:rFonts w:cs="Arial"/>
          <w:lang w:val="ru-RU"/>
        </w:rPr>
        <w:t xml:space="preserve">их </w:t>
      </w:r>
      <w:r w:rsidRPr="00AB735C">
        <w:rPr>
          <w:rFonts w:cs="Arial"/>
          <w:lang w:val="ru-RU"/>
        </w:rPr>
        <w:t>техническ</w:t>
      </w:r>
      <w:r>
        <w:rPr>
          <w:rFonts w:cs="Arial"/>
          <w:lang w:val="ru-RU"/>
        </w:rPr>
        <w:t xml:space="preserve">ие нормы </w:t>
      </w:r>
      <w:r w:rsidRPr="00AB735C">
        <w:rPr>
          <w:rFonts w:cs="Arial"/>
          <w:lang w:val="ru-RU"/>
        </w:rPr>
        <w:t>уже отраж</w:t>
      </w:r>
      <w:r>
        <w:rPr>
          <w:rFonts w:cs="Arial"/>
          <w:lang w:val="ru-RU"/>
        </w:rPr>
        <w:t xml:space="preserve">ают уточненные </w:t>
      </w:r>
      <w:r w:rsidRPr="00941D4C">
        <w:rPr>
          <w:rFonts w:cs="Arial"/>
          <w:lang w:val="ru-RU"/>
        </w:rPr>
        <w:t>стандарт</w:t>
      </w:r>
      <w:r>
        <w:rPr>
          <w:rFonts w:cs="Arial"/>
          <w:lang w:val="ru-RU"/>
        </w:rPr>
        <w:t xml:space="preserve">ы </w:t>
      </w:r>
      <w:r w:rsidRPr="00941D4C">
        <w:rPr>
          <w:rFonts w:cs="Arial"/>
          <w:lang w:val="ru-RU"/>
        </w:rPr>
        <w:t>безопасност</w:t>
      </w:r>
      <w:r>
        <w:rPr>
          <w:rFonts w:cs="Arial"/>
          <w:lang w:val="ru-RU"/>
        </w:rPr>
        <w:t xml:space="preserve">и). </w:t>
      </w:r>
      <w:r w:rsidRPr="00941D4C">
        <w:rPr>
          <w:rFonts w:cs="Arial"/>
          <w:lang w:val="ru-RU"/>
        </w:rPr>
        <w:t>Меры обеспечения физической и пожарной безопасности</w:t>
      </w:r>
      <w:r>
        <w:rPr>
          <w:rFonts w:cs="Arial"/>
          <w:lang w:val="ru-RU"/>
        </w:rPr>
        <w:t xml:space="preserve">, </w:t>
      </w:r>
      <w:r w:rsidRPr="00941D4C">
        <w:rPr>
          <w:rFonts w:cs="Arial"/>
          <w:lang w:val="ru-RU"/>
        </w:rPr>
        <w:t>котор</w:t>
      </w:r>
      <w:r>
        <w:rPr>
          <w:rFonts w:cs="Arial"/>
          <w:lang w:val="ru-RU"/>
        </w:rPr>
        <w:t xml:space="preserve">ые </w:t>
      </w:r>
      <w:r w:rsidRPr="00D85832">
        <w:rPr>
          <w:rFonts w:cs="Arial"/>
          <w:lang w:val="ru-RU"/>
        </w:rPr>
        <w:t>должн</w:t>
      </w:r>
      <w:r>
        <w:rPr>
          <w:rFonts w:cs="Arial"/>
          <w:lang w:val="ru-RU"/>
        </w:rPr>
        <w:t xml:space="preserve">ы быть реализованы в более старых </w:t>
      </w:r>
      <w:r w:rsidRPr="00941D4C">
        <w:rPr>
          <w:rFonts w:cs="Arial"/>
          <w:lang w:val="ru-RU"/>
        </w:rPr>
        <w:t>здания ВОИС</w:t>
      </w:r>
      <w:r>
        <w:rPr>
          <w:rFonts w:cs="Arial"/>
          <w:lang w:val="ru-RU"/>
        </w:rPr>
        <w:t>, включают</w:t>
      </w:r>
      <w:r w:rsidRPr="00941D4C">
        <w:rPr>
          <w:rFonts w:cs="Arial"/>
          <w:lang w:val="ru-RU"/>
        </w:rPr>
        <w:t>:  (</w:t>
      </w:r>
      <w:r>
        <w:rPr>
          <w:rFonts w:cs="Arial"/>
        </w:rPr>
        <w:t>i</w:t>
      </w:r>
      <w:r w:rsidRPr="00941D4C">
        <w:rPr>
          <w:rFonts w:cs="Arial"/>
          <w:lang w:val="ru-RU"/>
        </w:rPr>
        <w:t xml:space="preserve">) </w:t>
      </w:r>
      <w:r w:rsidRPr="001F3B2E">
        <w:rPr>
          <w:rFonts w:cs="Arial"/>
          <w:lang w:val="ru-RU"/>
        </w:rPr>
        <w:t>устройств</w:t>
      </w:r>
      <w:r>
        <w:rPr>
          <w:rFonts w:cs="Arial"/>
          <w:lang w:val="ru-RU"/>
        </w:rPr>
        <w:t xml:space="preserve">о противопожарных перегородок </w:t>
      </w:r>
      <w:r w:rsidRPr="00941D4C">
        <w:rPr>
          <w:rFonts w:cs="Arial"/>
          <w:lang w:val="ru-RU"/>
        </w:rPr>
        <w:t>между здания</w:t>
      </w:r>
      <w:r>
        <w:rPr>
          <w:rFonts w:cs="Arial"/>
          <w:lang w:val="ru-RU"/>
        </w:rPr>
        <w:t>ми</w:t>
      </w:r>
      <w:r w:rsidRPr="00941D4C">
        <w:rPr>
          <w:rFonts w:cs="Arial"/>
          <w:lang w:val="ru-RU"/>
        </w:rPr>
        <w:t>;  и (</w:t>
      </w:r>
      <w:r>
        <w:rPr>
          <w:rFonts w:cs="Arial"/>
        </w:rPr>
        <w:t>ii</w:t>
      </w:r>
      <w:r w:rsidRPr="00941D4C">
        <w:rPr>
          <w:rFonts w:cs="Arial"/>
          <w:lang w:val="ru-RU"/>
        </w:rPr>
        <w:t xml:space="preserve">) </w:t>
      </w:r>
      <w:r w:rsidRPr="00D85832">
        <w:rPr>
          <w:rFonts w:cs="Arial"/>
          <w:lang w:val="ru-RU"/>
        </w:rPr>
        <w:t>дополнительн</w:t>
      </w:r>
      <w:r>
        <w:rPr>
          <w:rFonts w:cs="Arial"/>
          <w:lang w:val="ru-RU"/>
        </w:rPr>
        <w:t xml:space="preserve">ое секционирование внутри </w:t>
      </w:r>
      <w:r w:rsidRPr="00D85832">
        <w:rPr>
          <w:rFonts w:cs="Arial"/>
          <w:lang w:val="ru-RU"/>
        </w:rPr>
        <w:t>конкретн</w:t>
      </w:r>
      <w:r>
        <w:rPr>
          <w:rFonts w:cs="Arial"/>
          <w:lang w:val="ru-RU"/>
        </w:rPr>
        <w:t>ых зданий</w:t>
      </w:r>
      <w:r w:rsidRPr="00941D4C">
        <w:rPr>
          <w:rFonts w:cs="Arial"/>
          <w:lang w:val="ru-RU"/>
        </w:rPr>
        <w:t xml:space="preserve"> (</w:t>
      </w:r>
      <w:r>
        <w:rPr>
          <w:rFonts w:cs="Arial"/>
          <w:lang w:val="ru-RU"/>
        </w:rPr>
        <w:t>секционирование зданий</w:t>
      </w:r>
      <w:r w:rsidRPr="00941D4C">
        <w:rPr>
          <w:rFonts w:cs="Arial"/>
          <w:lang w:val="ru-RU"/>
        </w:rPr>
        <w:t xml:space="preserve">).  </w:t>
      </w:r>
      <w:r>
        <w:rPr>
          <w:rFonts w:cs="Arial"/>
          <w:lang w:val="ru-RU"/>
        </w:rPr>
        <w:t>Цель такого</w:t>
      </w:r>
      <w:r w:rsidRPr="004F7C7C">
        <w:rPr>
          <w:rFonts w:cs="Arial"/>
          <w:lang w:val="ru-RU"/>
        </w:rPr>
        <w:t xml:space="preserve"> </w:t>
      </w:r>
      <w:r>
        <w:rPr>
          <w:rFonts w:cs="Arial"/>
          <w:lang w:val="ru-RU"/>
        </w:rPr>
        <w:t>двойного секционирования</w:t>
      </w:r>
      <w:r w:rsidRPr="004F7C7C">
        <w:rPr>
          <w:rFonts w:cs="Arial"/>
          <w:lang w:val="ru-RU"/>
        </w:rPr>
        <w:t xml:space="preserve"> </w:t>
      </w:r>
      <w:r w:rsidRPr="004F7C7C">
        <w:rPr>
          <w:rFonts w:eastAsia="+mn-ea" w:cs="Arial"/>
          <w:lang w:val="ru-RU"/>
        </w:rPr>
        <w:t>–</w:t>
      </w:r>
      <w:r w:rsidRPr="004F7C7C">
        <w:rPr>
          <w:rFonts w:cs="Arial"/>
          <w:lang w:val="ru-RU"/>
        </w:rPr>
        <w:t xml:space="preserve"> </w:t>
      </w:r>
      <w:r>
        <w:rPr>
          <w:rFonts w:cs="Arial"/>
          <w:lang w:val="ru-RU"/>
        </w:rPr>
        <w:t xml:space="preserve">достижение более надежной изоляции одного здания </w:t>
      </w:r>
      <w:r w:rsidRPr="004F7C7C">
        <w:rPr>
          <w:rFonts w:cs="Arial"/>
          <w:lang w:val="ru-RU"/>
        </w:rPr>
        <w:t xml:space="preserve">или </w:t>
      </w:r>
      <w:r>
        <w:rPr>
          <w:rFonts w:cs="Arial"/>
          <w:lang w:val="ru-RU"/>
        </w:rPr>
        <w:t xml:space="preserve">участка здания от </w:t>
      </w:r>
      <w:r w:rsidRPr="004F7C7C">
        <w:rPr>
          <w:rFonts w:cs="Arial"/>
          <w:lang w:val="ru-RU"/>
        </w:rPr>
        <w:t>друг</w:t>
      </w:r>
      <w:r>
        <w:rPr>
          <w:rFonts w:cs="Arial"/>
          <w:lang w:val="ru-RU"/>
        </w:rPr>
        <w:t xml:space="preserve">ого на случай </w:t>
      </w:r>
      <w:r w:rsidRPr="004F7C7C">
        <w:rPr>
          <w:rFonts w:cs="Arial"/>
          <w:lang w:val="ru-RU"/>
        </w:rPr>
        <w:t>распространен</w:t>
      </w:r>
      <w:r>
        <w:rPr>
          <w:rFonts w:cs="Arial"/>
          <w:lang w:val="ru-RU"/>
        </w:rPr>
        <w:t xml:space="preserve">ия огня </w:t>
      </w:r>
      <w:r w:rsidRPr="004F7C7C">
        <w:rPr>
          <w:rFonts w:cs="Arial"/>
          <w:lang w:val="ru-RU"/>
        </w:rPr>
        <w:t xml:space="preserve">или </w:t>
      </w:r>
      <w:r>
        <w:rPr>
          <w:rFonts w:cs="Arial"/>
          <w:lang w:val="ru-RU"/>
        </w:rPr>
        <w:t xml:space="preserve">дыма при возникновении </w:t>
      </w:r>
      <w:r w:rsidRPr="00FC6589">
        <w:rPr>
          <w:rFonts w:cs="Arial"/>
          <w:lang w:val="ru-RU"/>
        </w:rPr>
        <w:t>чре</w:t>
      </w:r>
      <w:r>
        <w:rPr>
          <w:rFonts w:cs="Arial"/>
          <w:lang w:val="ru-RU"/>
        </w:rPr>
        <w:t xml:space="preserve">звычайной </w:t>
      </w:r>
      <w:r w:rsidRPr="006347FC">
        <w:rPr>
          <w:rFonts w:cs="Arial"/>
          <w:lang w:val="ru-RU"/>
        </w:rPr>
        <w:t>ситуаци</w:t>
      </w:r>
      <w:r>
        <w:rPr>
          <w:rFonts w:cs="Arial"/>
          <w:lang w:val="ru-RU"/>
        </w:rPr>
        <w:t>и</w:t>
      </w:r>
      <w:r w:rsidRPr="00FC6589">
        <w:rPr>
          <w:rFonts w:cs="Arial"/>
          <w:lang w:val="ru-RU"/>
        </w:rPr>
        <w:t>.  Секционирование зданий будет осуществляться путем сооружения инфраструктурных элементов или дверей в дополнение к существующим дверям или вместо них, а также</w:t>
      </w:r>
      <w:r>
        <w:rPr>
          <w:rFonts w:cs="Arial"/>
          <w:lang w:val="ru-RU"/>
        </w:rPr>
        <w:t xml:space="preserve">, в </w:t>
      </w:r>
      <w:r w:rsidRPr="001F3B2E">
        <w:rPr>
          <w:rFonts w:cs="Arial"/>
          <w:lang w:val="ru-RU"/>
        </w:rPr>
        <w:t>некотор</w:t>
      </w:r>
      <w:r>
        <w:rPr>
          <w:rFonts w:cs="Arial"/>
          <w:lang w:val="ru-RU"/>
        </w:rPr>
        <w:t xml:space="preserve">ых случаях, </w:t>
      </w:r>
      <w:r w:rsidRPr="00FC6589">
        <w:rPr>
          <w:rFonts w:cs="Arial"/>
          <w:lang w:val="ru-RU"/>
        </w:rPr>
        <w:t xml:space="preserve">установки новых дверей в имеющихся коридорах и переходах. </w:t>
      </w:r>
    </w:p>
    <w:p w:rsidR="00C85043" w:rsidRPr="00AB735C" w:rsidRDefault="00C85043" w:rsidP="00C85043">
      <w:pPr>
        <w:tabs>
          <w:tab w:val="left" w:pos="567"/>
        </w:tabs>
        <w:rPr>
          <w:rFonts w:cs="Arial"/>
          <w:color w:val="000000"/>
          <w:szCs w:val="20"/>
          <w:lang w:val="ru-RU"/>
        </w:rPr>
      </w:pPr>
    </w:p>
    <w:p w:rsidR="00C85043" w:rsidRPr="009758E4" w:rsidRDefault="00C85043" w:rsidP="00BF61DC">
      <w:pPr>
        <w:pStyle w:val="ListParagraph"/>
        <w:numPr>
          <w:ilvl w:val="0"/>
          <w:numId w:val="115"/>
        </w:numPr>
        <w:tabs>
          <w:tab w:val="left" w:pos="567"/>
        </w:tabs>
        <w:ind w:left="0" w:firstLine="0"/>
        <w:rPr>
          <w:rFonts w:cs="Arial"/>
          <w:color w:val="000000"/>
          <w:lang w:val="ru-RU"/>
        </w:rPr>
      </w:pPr>
      <w:r w:rsidRPr="00A64792">
        <w:rPr>
          <w:rFonts w:cs="Arial"/>
          <w:color w:val="000000"/>
          <w:lang w:val="ru-RU"/>
        </w:rPr>
        <w:t>Ожидается</w:t>
      </w:r>
      <w:r>
        <w:rPr>
          <w:rFonts w:cs="Arial"/>
          <w:color w:val="000000"/>
          <w:lang w:val="ru-RU"/>
        </w:rPr>
        <w:t>, что</w:t>
      </w:r>
      <w:r w:rsidRPr="00A64792">
        <w:rPr>
          <w:rFonts w:cs="Arial"/>
          <w:color w:val="000000"/>
          <w:lang w:val="ru-RU"/>
        </w:rPr>
        <w:t xml:space="preserve"> </w:t>
      </w:r>
      <w:r>
        <w:rPr>
          <w:rFonts w:cs="Arial"/>
          <w:color w:val="000000"/>
          <w:lang w:val="ru-RU"/>
        </w:rPr>
        <w:t>реализация</w:t>
      </w:r>
      <w:r w:rsidRPr="00A64792">
        <w:rPr>
          <w:rFonts w:cs="Arial"/>
          <w:color w:val="000000"/>
          <w:lang w:val="ru-RU"/>
        </w:rPr>
        <w:t xml:space="preserve"> проекта </w:t>
      </w:r>
      <w:r>
        <w:rPr>
          <w:rFonts w:cs="Arial"/>
          <w:color w:val="000000"/>
          <w:lang w:val="ru-RU"/>
        </w:rPr>
        <w:t xml:space="preserve">обеспечит следующие </w:t>
      </w:r>
      <w:r w:rsidRPr="009758E4">
        <w:rPr>
          <w:rFonts w:cs="Arial"/>
          <w:color w:val="000000"/>
          <w:lang w:val="ru-RU"/>
        </w:rPr>
        <w:t>результат</w:t>
      </w:r>
      <w:r>
        <w:rPr>
          <w:rFonts w:cs="Arial"/>
          <w:color w:val="000000"/>
          <w:lang w:val="ru-RU"/>
        </w:rPr>
        <w:t>ы</w:t>
      </w:r>
      <w:r w:rsidRPr="00A64792">
        <w:rPr>
          <w:rFonts w:cs="Arial"/>
          <w:color w:val="000000"/>
          <w:lang w:val="ru-RU"/>
        </w:rPr>
        <w:t>:</w:t>
      </w:r>
      <w:r>
        <w:rPr>
          <w:rFonts w:cs="Arial"/>
          <w:color w:val="000000"/>
          <w:lang w:val="ru-RU"/>
        </w:rPr>
        <w:t xml:space="preserve"> </w:t>
      </w:r>
    </w:p>
    <w:p w:rsidR="00C85043" w:rsidRPr="009758E4" w:rsidRDefault="00C85043" w:rsidP="00C85043">
      <w:pPr>
        <w:pStyle w:val="ListParagraph"/>
        <w:tabs>
          <w:tab w:val="left" w:pos="567"/>
        </w:tabs>
        <w:ind w:left="0"/>
        <w:rPr>
          <w:rFonts w:cs="Arial"/>
          <w:color w:val="000000"/>
          <w:lang w:val="ru-RU"/>
        </w:rPr>
      </w:pPr>
    </w:p>
    <w:p w:rsidR="00C85043" w:rsidRPr="006347FC"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сокращение</w:t>
      </w:r>
      <w:r w:rsidRPr="006347FC">
        <w:rPr>
          <w:bCs/>
          <w:lang w:val="ru-RU"/>
        </w:rPr>
        <w:t>:  (</w:t>
      </w:r>
      <w:r w:rsidRPr="00821FE0">
        <w:rPr>
          <w:bCs/>
        </w:rPr>
        <w:t>i</w:t>
      </w:r>
      <w:r w:rsidRPr="006347FC">
        <w:rPr>
          <w:bCs/>
          <w:lang w:val="ru-RU"/>
        </w:rPr>
        <w:t>) затрат</w:t>
      </w:r>
      <w:r>
        <w:rPr>
          <w:bCs/>
          <w:lang w:val="ru-RU"/>
        </w:rPr>
        <w:t xml:space="preserve"> от </w:t>
      </w:r>
      <w:r w:rsidRPr="006347FC">
        <w:rPr>
          <w:bCs/>
          <w:lang w:val="ru-RU"/>
        </w:rPr>
        <w:t>ущерб</w:t>
      </w:r>
      <w:r>
        <w:rPr>
          <w:bCs/>
          <w:lang w:val="ru-RU"/>
        </w:rPr>
        <w:t xml:space="preserve">а, </w:t>
      </w:r>
      <w:r w:rsidRPr="006347FC">
        <w:rPr>
          <w:bCs/>
          <w:lang w:val="ru-RU"/>
        </w:rPr>
        <w:t>котор</w:t>
      </w:r>
      <w:r>
        <w:rPr>
          <w:bCs/>
          <w:lang w:val="ru-RU"/>
        </w:rPr>
        <w:t xml:space="preserve">ый мог бы быть причинен </w:t>
      </w:r>
      <w:r w:rsidRPr="006347FC">
        <w:rPr>
          <w:bCs/>
          <w:szCs w:val="24"/>
          <w:lang w:val="ru-RU"/>
        </w:rPr>
        <w:t>помещени</w:t>
      </w:r>
      <w:r>
        <w:rPr>
          <w:bCs/>
          <w:lang w:val="ru-RU"/>
        </w:rPr>
        <w:t xml:space="preserve">ям </w:t>
      </w:r>
      <w:r w:rsidRPr="006347FC">
        <w:rPr>
          <w:bCs/>
          <w:lang w:val="ru-RU"/>
        </w:rPr>
        <w:t>или внутренн</w:t>
      </w:r>
      <w:r>
        <w:rPr>
          <w:bCs/>
          <w:lang w:val="ru-RU"/>
        </w:rPr>
        <w:t xml:space="preserve">ему </w:t>
      </w:r>
      <w:r w:rsidRPr="006347FC">
        <w:rPr>
          <w:bCs/>
          <w:lang w:val="ru-RU"/>
        </w:rPr>
        <w:t>имуществ</w:t>
      </w:r>
      <w:r>
        <w:rPr>
          <w:bCs/>
          <w:lang w:val="ru-RU"/>
        </w:rPr>
        <w:t xml:space="preserve">у, благодаря </w:t>
      </w:r>
      <w:r w:rsidRPr="006347FC">
        <w:rPr>
          <w:bCs/>
          <w:lang w:val="ru-RU"/>
        </w:rPr>
        <w:t>предотвращ</w:t>
      </w:r>
      <w:r>
        <w:rPr>
          <w:bCs/>
          <w:lang w:val="ru-RU"/>
        </w:rPr>
        <w:t>ению</w:t>
      </w:r>
      <w:r w:rsidRPr="006347FC">
        <w:rPr>
          <w:bCs/>
          <w:lang w:val="ru-RU"/>
        </w:rPr>
        <w:t xml:space="preserve"> возможн</w:t>
      </w:r>
      <w:r>
        <w:rPr>
          <w:bCs/>
          <w:lang w:val="ru-RU"/>
        </w:rPr>
        <w:t xml:space="preserve">ых </w:t>
      </w:r>
      <w:r w:rsidRPr="00FC6589">
        <w:rPr>
          <w:rFonts w:cs="Arial"/>
          <w:lang w:val="ru-RU"/>
        </w:rPr>
        <w:t>чре</w:t>
      </w:r>
      <w:r>
        <w:rPr>
          <w:rFonts w:cs="Arial"/>
          <w:lang w:val="ru-RU"/>
        </w:rPr>
        <w:t xml:space="preserve">звычайных </w:t>
      </w:r>
      <w:r w:rsidRPr="006347FC">
        <w:rPr>
          <w:rFonts w:cs="Arial"/>
          <w:lang w:val="ru-RU"/>
        </w:rPr>
        <w:t>ситуаци</w:t>
      </w:r>
      <w:r>
        <w:rPr>
          <w:rFonts w:cs="Arial"/>
          <w:lang w:val="ru-RU"/>
        </w:rPr>
        <w:t xml:space="preserve">й </w:t>
      </w:r>
      <w:r w:rsidRPr="006347FC">
        <w:rPr>
          <w:bCs/>
          <w:lang w:val="ru-RU"/>
        </w:rPr>
        <w:t xml:space="preserve">и </w:t>
      </w:r>
      <w:r>
        <w:rPr>
          <w:bCs/>
          <w:lang w:val="ru-RU"/>
        </w:rPr>
        <w:t>ограничению их последствий</w:t>
      </w:r>
      <w:r w:rsidRPr="006347FC">
        <w:rPr>
          <w:bCs/>
          <w:lang w:val="ru-RU"/>
        </w:rPr>
        <w:t>;  и (</w:t>
      </w:r>
      <w:r w:rsidRPr="00821FE0">
        <w:rPr>
          <w:bCs/>
        </w:rPr>
        <w:t>ii</w:t>
      </w:r>
      <w:r w:rsidRPr="006347FC">
        <w:rPr>
          <w:bCs/>
          <w:lang w:val="ru-RU"/>
        </w:rPr>
        <w:t>) затрат</w:t>
      </w:r>
      <w:r>
        <w:rPr>
          <w:bCs/>
          <w:lang w:val="ru-RU"/>
        </w:rPr>
        <w:t xml:space="preserve"> на </w:t>
      </w:r>
      <w:r w:rsidRPr="006347FC">
        <w:rPr>
          <w:bCs/>
          <w:lang w:val="ru-RU"/>
        </w:rPr>
        <w:t xml:space="preserve">ремонт, </w:t>
      </w:r>
      <w:r>
        <w:rPr>
          <w:bCs/>
          <w:lang w:val="ru-RU"/>
        </w:rPr>
        <w:t xml:space="preserve">восстановление </w:t>
      </w:r>
      <w:r w:rsidRPr="006347FC">
        <w:rPr>
          <w:bCs/>
          <w:lang w:val="ru-RU"/>
        </w:rPr>
        <w:t xml:space="preserve">и </w:t>
      </w:r>
      <w:r>
        <w:rPr>
          <w:bCs/>
          <w:lang w:val="ru-RU"/>
        </w:rPr>
        <w:t>уборку</w:t>
      </w:r>
      <w:r w:rsidRPr="006347FC">
        <w:rPr>
          <w:bCs/>
          <w:lang w:val="ru-RU"/>
        </w:rPr>
        <w:t xml:space="preserve">; </w:t>
      </w:r>
    </w:p>
    <w:p w:rsidR="00C85043" w:rsidRPr="00C035F0" w:rsidRDefault="00C85043" w:rsidP="00BF61DC">
      <w:pPr>
        <w:pStyle w:val="ListParagraph"/>
        <w:numPr>
          <w:ilvl w:val="0"/>
          <w:numId w:val="121"/>
        </w:numPr>
        <w:autoSpaceDE w:val="0"/>
        <w:autoSpaceDN w:val="0"/>
        <w:adjustRightInd w:val="0"/>
        <w:spacing w:after="120"/>
        <w:ind w:left="714" w:hanging="357"/>
        <w:rPr>
          <w:bCs/>
          <w:lang w:val="ru-RU"/>
        </w:rPr>
      </w:pPr>
      <w:r>
        <w:rPr>
          <w:bCs/>
          <w:lang w:val="ru-RU"/>
        </w:rPr>
        <w:t>повышение уровня защиты</w:t>
      </w:r>
      <w:r w:rsidRPr="00C035F0">
        <w:rPr>
          <w:bCs/>
          <w:lang w:val="ru-RU"/>
        </w:rPr>
        <w:t xml:space="preserve"> </w:t>
      </w:r>
      <w:r w:rsidRPr="009044EE">
        <w:rPr>
          <w:bCs/>
          <w:lang w:val="ru-RU"/>
        </w:rPr>
        <w:t>информации</w:t>
      </w:r>
      <w:r w:rsidRPr="00C035F0">
        <w:rPr>
          <w:bCs/>
          <w:lang w:val="ru-RU"/>
        </w:rPr>
        <w:t xml:space="preserve">, </w:t>
      </w:r>
      <w:r w:rsidRPr="009044EE">
        <w:rPr>
          <w:bCs/>
          <w:lang w:val="ru-RU"/>
        </w:rPr>
        <w:t>содержащейся</w:t>
      </w:r>
      <w:r w:rsidRPr="00C035F0">
        <w:rPr>
          <w:bCs/>
          <w:lang w:val="ru-RU"/>
        </w:rPr>
        <w:t xml:space="preserve"> </w:t>
      </w:r>
      <w:r w:rsidRPr="009044EE">
        <w:rPr>
          <w:bCs/>
          <w:lang w:val="ru-RU"/>
        </w:rPr>
        <w:t>в</w:t>
      </w:r>
      <w:r w:rsidRPr="00C035F0">
        <w:rPr>
          <w:bCs/>
          <w:lang w:val="ru-RU"/>
        </w:rPr>
        <w:t xml:space="preserve"> </w:t>
      </w:r>
      <w:r w:rsidRPr="009044EE">
        <w:rPr>
          <w:bCs/>
          <w:lang w:val="ru-RU"/>
        </w:rPr>
        <w:t>заявках</w:t>
      </w:r>
      <w:r w:rsidRPr="00C035F0">
        <w:rPr>
          <w:bCs/>
          <w:lang w:val="ru-RU"/>
        </w:rPr>
        <w:t xml:space="preserve">, </w:t>
      </w:r>
      <w:r w:rsidRPr="009044EE">
        <w:rPr>
          <w:bCs/>
          <w:lang w:val="ru-RU"/>
        </w:rPr>
        <w:t>подаваемых</w:t>
      </w:r>
      <w:r w:rsidRPr="00C035F0">
        <w:rPr>
          <w:bCs/>
          <w:lang w:val="ru-RU"/>
        </w:rPr>
        <w:t xml:space="preserve"> </w:t>
      </w:r>
      <w:r w:rsidRPr="009044EE">
        <w:rPr>
          <w:bCs/>
          <w:lang w:val="ru-RU"/>
        </w:rPr>
        <w:t>в</w:t>
      </w:r>
      <w:r w:rsidRPr="00C035F0">
        <w:rPr>
          <w:bCs/>
          <w:lang w:val="ru-RU"/>
        </w:rPr>
        <w:t xml:space="preserve"> </w:t>
      </w:r>
      <w:r w:rsidRPr="009044EE">
        <w:rPr>
          <w:bCs/>
          <w:lang w:val="ru-RU"/>
        </w:rPr>
        <w:t>рамках</w:t>
      </w:r>
      <w:r w:rsidRPr="00C035F0">
        <w:rPr>
          <w:bCs/>
          <w:lang w:val="ru-RU"/>
        </w:rPr>
        <w:t xml:space="preserve"> </w:t>
      </w:r>
      <w:r w:rsidRPr="009044EE">
        <w:rPr>
          <w:bCs/>
          <w:lang w:val="ru-RU"/>
        </w:rPr>
        <w:t>различных</w:t>
      </w:r>
      <w:r w:rsidRPr="00C035F0">
        <w:rPr>
          <w:bCs/>
          <w:lang w:val="ru-RU"/>
        </w:rPr>
        <w:t xml:space="preserve"> </w:t>
      </w:r>
      <w:r w:rsidRPr="009044EE">
        <w:rPr>
          <w:bCs/>
          <w:lang w:val="ru-RU"/>
        </w:rPr>
        <w:t>регистрационных</w:t>
      </w:r>
      <w:r w:rsidRPr="00C035F0">
        <w:rPr>
          <w:bCs/>
          <w:lang w:val="ru-RU"/>
        </w:rPr>
        <w:t xml:space="preserve"> </w:t>
      </w:r>
      <w:r w:rsidRPr="009044EE">
        <w:rPr>
          <w:bCs/>
          <w:lang w:val="ru-RU"/>
        </w:rPr>
        <w:t>систем</w:t>
      </w:r>
      <w:r w:rsidRPr="00C035F0">
        <w:rPr>
          <w:bCs/>
          <w:lang w:val="ru-RU"/>
        </w:rPr>
        <w:t xml:space="preserve">; </w:t>
      </w:r>
    </w:p>
    <w:p w:rsidR="00C85043" w:rsidRPr="008249FD" w:rsidRDefault="00C85043" w:rsidP="00BF61DC">
      <w:pPr>
        <w:pStyle w:val="ListParagraph"/>
        <w:numPr>
          <w:ilvl w:val="0"/>
          <w:numId w:val="121"/>
        </w:numPr>
        <w:autoSpaceDE w:val="0"/>
        <w:autoSpaceDN w:val="0"/>
        <w:adjustRightInd w:val="0"/>
        <w:spacing w:after="120"/>
        <w:ind w:left="714" w:hanging="357"/>
        <w:rPr>
          <w:bCs/>
          <w:lang w:val="ru-RU"/>
        </w:rPr>
      </w:pPr>
      <w:r w:rsidRPr="008249FD">
        <w:rPr>
          <w:bCs/>
          <w:lang w:val="ru-RU"/>
        </w:rPr>
        <w:t xml:space="preserve">создание более безопасных условий труда, т.е. </w:t>
      </w:r>
      <w:r>
        <w:rPr>
          <w:bCs/>
          <w:lang w:val="ru-RU"/>
        </w:rPr>
        <w:t xml:space="preserve">повышение уровня </w:t>
      </w:r>
      <w:r w:rsidRPr="008249FD">
        <w:rPr>
          <w:bCs/>
          <w:lang w:val="ru-RU"/>
        </w:rPr>
        <w:t xml:space="preserve">защиты и безопасности сотрудников и </w:t>
      </w:r>
      <w:r>
        <w:rPr>
          <w:bCs/>
          <w:lang w:val="ru-RU"/>
        </w:rPr>
        <w:t xml:space="preserve">иных </w:t>
      </w:r>
      <w:r w:rsidRPr="008249FD">
        <w:rPr>
          <w:bCs/>
          <w:lang w:val="ru-RU"/>
        </w:rPr>
        <w:t>лиц, работающих в зданиях, в случае чрезвычайного происшествия</w:t>
      </w:r>
      <w:r>
        <w:rPr>
          <w:bCs/>
          <w:lang w:val="ru-RU"/>
        </w:rPr>
        <w:t xml:space="preserve">, </w:t>
      </w:r>
      <w:r w:rsidRPr="00263F97">
        <w:rPr>
          <w:bCs/>
          <w:lang w:val="ru-RU"/>
        </w:rPr>
        <w:t>а также</w:t>
      </w:r>
      <w:r>
        <w:rPr>
          <w:bCs/>
          <w:lang w:val="ru-RU"/>
        </w:rPr>
        <w:t xml:space="preserve"> </w:t>
      </w:r>
      <w:r w:rsidRPr="008249FD">
        <w:rPr>
          <w:bCs/>
          <w:lang w:val="ru-RU"/>
        </w:rPr>
        <w:t xml:space="preserve">оптимизация эвакуационных процедур; </w:t>
      </w:r>
    </w:p>
    <w:p w:rsidR="00C85043" w:rsidRPr="005C7711" w:rsidRDefault="00C85043" w:rsidP="00BF61DC">
      <w:pPr>
        <w:pStyle w:val="ListParagraph"/>
        <w:numPr>
          <w:ilvl w:val="0"/>
          <w:numId w:val="121"/>
        </w:numPr>
        <w:autoSpaceDE w:val="0"/>
        <w:autoSpaceDN w:val="0"/>
        <w:adjustRightInd w:val="0"/>
        <w:spacing w:after="120"/>
        <w:ind w:left="714" w:hanging="357"/>
        <w:rPr>
          <w:bCs/>
          <w:lang w:val="ru-RU"/>
        </w:rPr>
      </w:pPr>
      <w:r w:rsidRPr="009044EE">
        <w:rPr>
          <w:bCs/>
          <w:lang w:val="ru-RU"/>
        </w:rPr>
        <w:t>более эффективная защита и физическое разделение критически важных систем в зданиях</w:t>
      </w:r>
      <w:r w:rsidRPr="005C7711">
        <w:rPr>
          <w:bCs/>
          <w:lang w:val="ru-RU"/>
        </w:rPr>
        <w:t>;</w:t>
      </w:r>
    </w:p>
    <w:p w:rsidR="00C85043" w:rsidRPr="00AB735C" w:rsidRDefault="00C85043" w:rsidP="00BF61DC">
      <w:pPr>
        <w:pStyle w:val="ListParagraph"/>
        <w:numPr>
          <w:ilvl w:val="0"/>
          <w:numId w:val="121"/>
        </w:numPr>
        <w:autoSpaceDE w:val="0"/>
        <w:autoSpaceDN w:val="0"/>
        <w:adjustRightInd w:val="0"/>
        <w:spacing w:after="120"/>
        <w:ind w:left="714" w:hanging="357"/>
        <w:rPr>
          <w:bCs/>
          <w:lang w:val="ru-RU"/>
        </w:rPr>
      </w:pPr>
      <w:r w:rsidRPr="008249FD">
        <w:rPr>
          <w:bCs/>
          <w:lang w:val="ru-RU"/>
        </w:rPr>
        <w:t>соблюдени</w:t>
      </w:r>
      <w:r>
        <w:rPr>
          <w:bCs/>
          <w:lang w:val="ru-RU"/>
        </w:rPr>
        <w:t xml:space="preserve">е норм пожарной </w:t>
      </w:r>
      <w:r w:rsidRPr="008249FD">
        <w:rPr>
          <w:bCs/>
          <w:lang w:val="ru-RU"/>
        </w:rPr>
        <w:t>безопасност</w:t>
      </w:r>
      <w:r>
        <w:rPr>
          <w:bCs/>
          <w:lang w:val="ru-RU"/>
        </w:rPr>
        <w:t>и кантона Женевы</w:t>
      </w:r>
      <w:r w:rsidRPr="00AB735C">
        <w:rPr>
          <w:bCs/>
          <w:lang w:val="ru-RU"/>
        </w:rPr>
        <w:t>;  и</w:t>
      </w:r>
    </w:p>
    <w:p w:rsidR="00C85043" w:rsidRPr="00AB735C" w:rsidRDefault="00C85043" w:rsidP="00BF61DC">
      <w:pPr>
        <w:pStyle w:val="ListParagraph"/>
        <w:numPr>
          <w:ilvl w:val="0"/>
          <w:numId w:val="121"/>
        </w:numPr>
        <w:autoSpaceDE w:val="0"/>
        <w:autoSpaceDN w:val="0"/>
        <w:adjustRightInd w:val="0"/>
        <w:spacing w:after="120"/>
        <w:ind w:left="714" w:hanging="357"/>
        <w:rPr>
          <w:bCs/>
          <w:lang w:val="ru-RU"/>
        </w:rPr>
      </w:pPr>
      <w:r w:rsidRPr="008249FD">
        <w:rPr>
          <w:bCs/>
          <w:lang w:val="ru-RU"/>
        </w:rPr>
        <w:t>соблюдени</w:t>
      </w:r>
      <w:r>
        <w:rPr>
          <w:bCs/>
          <w:lang w:val="ru-RU"/>
        </w:rPr>
        <w:t>е Политики</w:t>
      </w:r>
      <w:r w:rsidRPr="00AB735C">
        <w:rPr>
          <w:bCs/>
          <w:lang w:val="ru-RU"/>
        </w:rPr>
        <w:t xml:space="preserve"> </w:t>
      </w:r>
      <w:r>
        <w:rPr>
          <w:bCs/>
          <w:lang w:val="ru-RU"/>
        </w:rPr>
        <w:t xml:space="preserve">пожарной </w:t>
      </w:r>
      <w:r w:rsidRPr="008249FD">
        <w:rPr>
          <w:bCs/>
          <w:lang w:val="ru-RU"/>
        </w:rPr>
        <w:t>безопасност</w:t>
      </w:r>
      <w:r>
        <w:rPr>
          <w:bCs/>
          <w:lang w:val="ru-RU"/>
        </w:rPr>
        <w:t xml:space="preserve">и </w:t>
      </w:r>
      <w:r w:rsidRPr="00AB735C">
        <w:rPr>
          <w:bCs/>
          <w:lang w:val="ru-RU"/>
        </w:rPr>
        <w:t>ООН.</w:t>
      </w:r>
    </w:p>
    <w:p w:rsidR="00C85043" w:rsidRPr="00AB735C" w:rsidRDefault="00C85043" w:rsidP="00C85043">
      <w:pPr>
        <w:pStyle w:val="ListParagraph"/>
        <w:ind w:left="420"/>
        <w:jc w:val="both"/>
        <w:rPr>
          <w:rFonts w:cs="Arial"/>
          <w:bCs/>
          <w:lang w:val="ru-RU"/>
        </w:rPr>
      </w:pPr>
    </w:p>
    <w:p w:rsidR="00C85043" w:rsidRPr="00AB735C" w:rsidRDefault="00C85043" w:rsidP="00C85043">
      <w:pPr>
        <w:rPr>
          <w:rFonts w:cs="Arial"/>
          <w:bCs/>
          <w:szCs w:val="20"/>
          <w:lang w:val="ru-RU"/>
        </w:rPr>
      </w:pPr>
    </w:p>
    <w:p w:rsidR="00C85043" w:rsidRPr="000C5D6F" w:rsidRDefault="00C85043" w:rsidP="00C85043">
      <w:pPr>
        <w:rPr>
          <w:rFonts w:cs="Arial"/>
          <w:bCs/>
          <w:sz w:val="18"/>
          <w:szCs w:val="20"/>
          <w:lang w:val="ru-RU"/>
        </w:rPr>
      </w:pPr>
      <w:r w:rsidRPr="000C5D6F">
        <w:rPr>
          <w:rFonts w:cs="Arial"/>
          <w:bCs/>
          <w:szCs w:val="20"/>
          <w:lang w:val="ru-RU"/>
        </w:rPr>
        <w:t xml:space="preserve">ОБЗОР ХОДА РЕАЛИЗАЦИИ ПРОЕКТА В 2015 ГОДУ </w:t>
      </w:r>
      <w:r>
        <w:rPr>
          <w:rFonts w:cs="Arial"/>
          <w:bCs/>
          <w:szCs w:val="20"/>
          <w:lang w:val="ru-RU"/>
        </w:rPr>
        <w:t>(ОСНОВНЫЕ РЕЗУЛЬТАТЫ)</w:t>
      </w:r>
    </w:p>
    <w:p w:rsidR="00C85043" w:rsidRPr="000C5D6F" w:rsidRDefault="00C85043" w:rsidP="00C85043">
      <w:pPr>
        <w:spacing w:line="276" w:lineRule="auto"/>
        <w:rPr>
          <w:rFonts w:cs="Arial"/>
          <w:bCs/>
          <w:szCs w:val="20"/>
          <w:lang w:val="ru-RU"/>
        </w:rPr>
      </w:pPr>
    </w:p>
    <w:p w:rsidR="00C85043" w:rsidRPr="00AB0EFB" w:rsidRDefault="00C85043" w:rsidP="00BF61DC">
      <w:pPr>
        <w:pStyle w:val="ListParagraph"/>
        <w:numPr>
          <w:ilvl w:val="0"/>
          <w:numId w:val="114"/>
        </w:numPr>
        <w:tabs>
          <w:tab w:val="left" w:pos="567"/>
        </w:tabs>
        <w:ind w:left="0" w:firstLine="0"/>
        <w:jc w:val="both"/>
        <w:rPr>
          <w:rFonts w:cs="Arial"/>
          <w:bCs/>
          <w:lang w:val="ru-RU"/>
        </w:rPr>
      </w:pPr>
      <w:r w:rsidRPr="008249FD">
        <w:rPr>
          <w:bCs/>
          <w:lang w:val="ru-RU"/>
        </w:rPr>
        <w:t>Работ</w:t>
      </w:r>
      <w:r>
        <w:rPr>
          <w:bCs/>
          <w:lang w:val="ru-RU"/>
        </w:rPr>
        <w:t>ы по секционированию</w:t>
      </w:r>
      <w:r w:rsidRPr="008249FD">
        <w:rPr>
          <w:bCs/>
          <w:lang w:val="ru-RU"/>
        </w:rPr>
        <w:t xml:space="preserve"> </w:t>
      </w:r>
      <w:r w:rsidRPr="008249FD">
        <w:rPr>
          <w:rFonts w:cs="Arial"/>
          <w:lang w:val="ru-RU"/>
        </w:rPr>
        <w:t>здани</w:t>
      </w:r>
      <w:r>
        <w:rPr>
          <w:rFonts w:cs="Arial"/>
          <w:lang w:val="ru-RU"/>
        </w:rPr>
        <w:t>я</w:t>
      </w:r>
      <w:r w:rsidRPr="008249FD">
        <w:rPr>
          <w:rFonts w:cs="Arial"/>
          <w:lang w:val="ru-RU"/>
        </w:rPr>
        <w:t xml:space="preserve"> </w:t>
      </w:r>
      <w:r>
        <w:rPr>
          <w:rFonts w:cs="Arial"/>
        </w:rPr>
        <w:t>PCT</w:t>
      </w:r>
      <w:r w:rsidRPr="008249FD">
        <w:rPr>
          <w:rFonts w:cs="Arial"/>
          <w:lang w:val="ru-RU"/>
        </w:rPr>
        <w:t xml:space="preserve"> </w:t>
      </w:r>
      <w:r>
        <w:rPr>
          <w:rFonts w:cs="Arial"/>
          <w:lang w:val="ru-RU"/>
        </w:rPr>
        <w:t xml:space="preserve">были </w:t>
      </w:r>
      <w:r w:rsidRPr="008249FD">
        <w:rPr>
          <w:rFonts w:cs="Arial"/>
          <w:lang w:val="ru-RU"/>
        </w:rPr>
        <w:t>выполнен</w:t>
      </w:r>
      <w:r>
        <w:rPr>
          <w:rFonts w:cs="Arial"/>
          <w:lang w:val="ru-RU"/>
        </w:rPr>
        <w:t>ы и завершены</w:t>
      </w:r>
      <w:r w:rsidRPr="008249FD">
        <w:rPr>
          <w:rFonts w:cs="Arial"/>
          <w:lang w:val="ru-RU"/>
        </w:rPr>
        <w:t xml:space="preserve"> в </w:t>
      </w:r>
      <w:r>
        <w:rPr>
          <w:rFonts w:cs="Arial"/>
          <w:lang w:val="ru-RU"/>
        </w:rPr>
        <w:t>2014 </w:t>
      </w:r>
      <w:r w:rsidRPr="008249FD">
        <w:rPr>
          <w:rFonts w:cs="Arial"/>
          <w:lang w:val="ru-RU"/>
        </w:rPr>
        <w:t xml:space="preserve">г. и </w:t>
      </w:r>
      <w:r>
        <w:rPr>
          <w:rFonts w:cs="Arial"/>
          <w:lang w:val="ru-RU"/>
        </w:rPr>
        <w:t xml:space="preserve">включали проведение </w:t>
      </w:r>
      <w:r w:rsidRPr="008249FD">
        <w:rPr>
          <w:rFonts w:cs="Arial"/>
          <w:lang w:val="ru-RU"/>
        </w:rPr>
        <w:t>технико-экономического обоснования</w:t>
      </w:r>
      <w:r>
        <w:rPr>
          <w:rFonts w:cs="Arial"/>
          <w:lang w:val="ru-RU"/>
        </w:rPr>
        <w:t xml:space="preserve">, установку </w:t>
      </w:r>
      <w:r w:rsidRPr="008249FD">
        <w:rPr>
          <w:rFonts w:cs="Arial"/>
          <w:lang w:val="ru-RU"/>
        </w:rPr>
        <w:t xml:space="preserve">и </w:t>
      </w:r>
      <w:r>
        <w:rPr>
          <w:rFonts w:cs="Arial"/>
          <w:lang w:val="ru-RU"/>
        </w:rPr>
        <w:t xml:space="preserve">подключение противопожарных дверей. В </w:t>
      </w:r>
      <w:r w:rsidRPr="008249FD">
        <w:rPr>
          <w:rFonts w:cs="Arial"/>
          <w:bCs/>
          <w:lang w:val="ru-RU"/>
        </w:rPr>
        <w:t>2015</w:t>
      </w:r>
      <w:r>
        <w:rPr>
          <w:rFonts w:cs="Arial"/>
          <w:bCs/>
        </w:rPr>
        <w:t> </w:t>
      </w:r>
      <w:r w:rsidRPr="008249FD">
        <w:rPr>
          <w:rFonts w:cs="Arial"/>
          <w:bCs/>
          <w:lang w:val="ru-RU"/>
        </w:rPr>
        <w:t xml:space="preserve">г. </w:t>
      </w:r>
      <w:r>
        <w:rPr>
          <w:rFonts w:cs="Arial"/>
          <w:bCs/>
          <w:lang w:val="ru-RU"/>
        </w:rPr>
        <w:t xml:space="preserve">были </w:t>
      </w:r>
      <w:r w:rsidRPr="008249FD">
        <w:rPr>
          <w:rFonts w:cs="Arial"/>
          <w:bCs/>
          <w:lang w:val="ru-RU"/>
        </w:rPr>
        <w:t>завершен</w:t>
      </w:r>
      <w:r>
        <w:rPr>
          <w:rFonts w:cs="Arial"/>
          <w:bCs/>
          <w:lang w:val="ru-RU"/>
        </w:rPr>
        <w:t>ы</w:t>
      </w:r>
      <w:r w:rsidRPr="008249FD">
        <w:rPr>
          <w:rFonts w:cs="Arial"/>
          <w:bCs/>
          <w:lang w:val="ru-RU"/>
        </w:rPr>
        <w:t xml:space="preserve"> </w:t>
      </w:r>
      <w:r>
        <w:rPr>
          <w:rFonts w:cs="Arial"/>
          <w:bCs/>
          <w:lang w:val="ru-RU"/>
        </w:rPr>
        <w:t>работы</w:t>
      </w:r>
      <w:r w:rsidRPr="008249FD">
        <w:rPr>
          <w:rFonts w:cs="Arial"/>
          <w:bCs/>
          <w:lang w:val="ru-RU"/>
        </w:rPr>
        <w:t xml:space="preserve"> </w:t>
      </w:r>
      <w:r>
        <w:rPr>
          <w:rFonts w:cs="Arial"/>
          <w:bCs/>
          <w:lang w:val="ru-RU"/>
        </w:rPr>
        <w:t xml:space="preserve">в здании </w:t>
      </w:r>
      <w:r w:rsidRPr="008249FD">
        <w:rPr>
          <w:rFonts w:cs="Arial"/>
          <w:bCs/>
          <w:lang w:val="ru-RU"/>
        </w:rPr>
        <w:t>АБ (</w:t>
      </w:r>
      <w:r>
        <w:rPr>
          <w:rFonts w:cs="Arial"/>
          <w:bCs/>
          <w:lang w:val="ru-RU"/>
        </w:rPr>
        <w:t xml:space="preserve">уровень </w:t>
      </w:r>
      <w:r w:rsidRPr="008249FD">
        <w:rPr>
          <w:rFonts w:cs="Arial"/>
          <w:bCs/>
          <w:lang w:val="ru-RU"/>
        </w:rPr>
        <w:t xml:space="preserve">-2) </w:t>
      </w:r>
      <w:r>
        <w:rPr>
          <w:rFonts w:cs="Arial"/>
          <w:bCs/>
          <w:lang w:val="ru-RU"/>
        </w:rPr>
        <w:t>по сооружению противопожарной перегородки</w:t>
      </w:r>
      <w:r w:rsidRPr="008249FD">
        <w:rPr>
          <w:rFonts w:cs="Arial"/>
          <w:bCs/>
          <w:lang w:val="ru-RU"/>
        </w:rPr>
        <w:t xml:space="preserve"> между подземн</w:t>
      </w:r>
      <w:r>
        <w:rPr>
          <w:rFonts w:cs="Arial"/>
          <w:bCs/>
          <w:lang w:val="ru-RU"/>
        </w:rPr>
        <w:t>ой</w:t>
      </w:r>
      <w:r w:rsidRPr="008249FD">
        <w:rPr>
          <w:rFonts w:cs="Arial"/>
          <w:bCs/>
          <w:lang w:val="ru-RU"/>
        </w:rPr>
        <w:t xml:space="preserve"> </w:t>
      </w:r>
      <w:r>
        <w:rPr>
          <w:rFonts w:cs="Arial"/>
          <w:bCs/>
          <w:lang w:val="ru-RU"/>
        </w:rPr>
        <w:t xml:space="preserve">парковкой здания </w:t>
      </w:r>
      <w:r w:rsidRPr="008249FD">
        <w:rPr>
          <w:rFonts w:cs="Arial"/>
          <w:bCs/>
          <w:lang w:val="ru-RU"/>
        </w:rPr>
        <w:t xml:space="preserve">АБ и </w:t>
      </w:r>
      <w:r>
        <w:rPr>
          <w:rFonts w:cs="Arial"/>
          <w:bCs/>
          <w:lang w:val="ru-RU"/>
        </w:rPr>
        <w:t xml:space="preserve">самим </w:t>
      </w:r>
      <w:r w:rsidRPr="008249FD">
        <w:rPr>
          <w:rFonts w:cs="Arial"/>
          <w:bCs/>
          <w:lang w:val="ru-RU"/>
        </w:rPr>
        <w:t>здание</w:t>
      </w:r>
      <w:r>
        <w:rPr>
          <w:rFonts w:cs="Arial"/>
          <w:bCs/>
          <w:lang w:val="ru-RU"/>
        </w:rPr>
        <w:t>м</w:t>
      </w:r>
      <w:r w:rsidRPr="008249FD">
        <w:rPr>
          <w:rFonts w:cs="Arial"/>
          <w:bCs/>
          <w:lang w:val="ru-RU"/>
        </w:rPr>
        <w:t xml:space="preserve">, </w:t>
      </w:r>
      <w:r>
        <w:rPr>
          <w:rFonts w:cs="Arial"/>
          <w:bCs/>
          <w:lang w:val="ru-RU"/>
        </w:rPr>
        <w:t xml:space="preserve">начатые </w:t>
      </w:r>
      <w:r w:rsidRPr="008249FD">
        <w:rPr>
          <w:rFonts w:cs="Arial"/>
          <w:bCs/>
          <w:lang w:val="ru-RU"/>
        </w:rPr>
        <w:t xml:space="preserve">в </w:t>
      </w:r>
      <w:r>
        <w:rPr>
          <w:rFonts w:cs="Arial"/>
          <w:bCs/>
          <w:lang w:val="ru-RU"/>
        </w:rPr>
        <w:t>2014 </w:t>
      </w:r>
      <w:r w:rsidRPr="008249FD">
        <w:rPr>
          <w:rFonts w:cs="Arial"/>
          <w:bCs/>
          <w:lang w:val="ru-RU"/>
        </w:rPr>
        <w:t xml:space="preserve">г., и </w:t>
      </w:r>
      <w:r>
        <w:rPr>
          <w:rFonts w:cs="Arial"/>
          <w:bCs/>
          <w:lang w:val="ru-RU"/>
        </w:rPr>
        <w:t>противопожарное</w:t>
      </w:r>
      <w:r w:rsidRPr="008249FD">
        <w:rPr>
          <w:rFonts w:cs="Arial"/>
          <w:bCs/>
          <w:lang w:val="ru-RU"/>
        </w:rPr>
        <w:t xml:space="preserve"> оборудование </w:t>
      </w:r>
      <w:r>
        <w:rPr>
          <w:rFonts w:cs="Arial"/>
          <w:bCs/>
          <w:lang w:val="ru-RU"/>
        </w:rPr>
        <w:t xml:space="preserve">было сдано в </w:t>
      </w:r>
      <w:r w:rsidRPr="00AB0EFB">
        <w:rPr>
          <w:rFonts w:cs="Arial"/>
          <w:bCs/>
          <w:lang w:val="ru-RU"/>
        </w:rPr>
        <w:t>эксплуатаци</w:t>
      </w:r>
      <w:r>
        <w:rPr>
          <w:rFonts w:cs="Arial"/>
          <w:bCs/>
          <w:lang w:val="ru-RU"/>
        </w:rPr>
        <w:t xml:space="preserve">ю в полном </w:t>
      </w:r>
      <w:r w:rsidRPr="00AB0EFB">
        <w:rPr>
          <w:rFonts w:cs="Arial"/>
          <w:bCs/>
          <w:lang w:val="ru-RU"/>
        </w:rPr>
        <w:t>объе</w:t>
      </w:r>
      <w:r>
        <w:rPr>
          <w:rFonts w:cs="Arial"/>
          <w:bCs/>
          <w:lang w:val="ru-RU"/>
        </w:rPr>
        <w:t xml:space="preserve">ме. </w:t>
      </w:r>
      <w:r w:rsidRPr="00AB0EFB">
        <w:rPr>
          <w:rFonts w:cs="Arial"/>
          <w:bCs/>
          <w:lang w:val="ru-RU"/>
        </w:rPr>
        <w:t xml:space="preserve">Стоимость </w:t>
      </w:r>
      <w:r w:rsidRPr="00AB0EFB">
        <w:rPr>
          <w:rFonts w:cs="Arial"/>
          <w:bCs/>
          <w:snapToGrid w:val="0"/>
          <w:lang w:val="ru-RU"/>
        </w:rPr>
        <w:t>данн</w:t>
      </w:r>
      <w:r>
        <w:rPr>
          <w:rFonts w:cs="Arial"/>
          <w:bCs/>
          <w:lang w:val="ru-RU"/>
        </w:rPr>
        <w:t>ых работ оказалась выше</w:t>
      </w:r>
      <w:r w:rsidRPr="00AB0EFB">
        <w:rPr>
          <w:rFonts w:cs="Arial"/>
          <w:bCs/>
          <w:lang w:val="ru-RU"/>
        </w:rPr>
        <w:t xml:space="preserve"> первоначально</w:t>
      </w:r>
      <w:r>
        <w:rPr>
          <w:rFonts w:cs="Arial"/>
          <w:bCs/>
          <w:lang w:val="ru-RU"/>
        </w:rPr>
        <w:t xml:space="preserve"> </w:t>
      </w:r>
      <w:r w:rsidRPr="007973CE">
        <w:rPr>
          <w:rFonts w:cs="Arial"/>
          <w:bCs/>
          <w:lang w:val="ru-RU"/>
        </w:rPr>
        <w:t>запланированн</w:t>
      </w:r>
      <w:r>
        <w:rPr>
          <w:rFonts w:cs="Arial"/>
          <w:bCs/>
          <w:lang w:val="ru-RU"/>
        </w:rPr>
        <w:t xml:space="preserve">ой </w:t>
      </w:r>
      <w:r w:rsidRPr="00AB0EFB">
        <w:rPr>
          <w:rFonts w:cs="Arial"/>
          <w:bCs/>
          <w:lang w:val="ru-RU"/>
        </w:rPr>
        <w:t xml:space="preserve">и </w:t>
      </w:r>
      <w:r>
        <w:rPr>
          <w:rFonts w:cs="Arial"/>
          <w:bCs/>
          <w:lang w:val="ru-RU"/>
        </w:rPr>
        <w:t xml:space="preserve">будет покрыта </w:t>
      </w:r>
      <w:r w:rsidRPr="00AB0EFB">
        <w:rPr>
          <w:rFonts w:cs="Arial"/>
          <w:bCs/>
          <w:lang w:val="ru-RU"/>
        </w:rPr>
        <w:t>за счет</w:t>
      </w:r>
      <w:r>
        <w:rPr>
          <w:rFonts w:cs="Arial"/>
          <w:bCs/>
          <w:lang w:val="ru-RU"/>
        </w:rPr>
        <w:t xml:space="preserve"> экономии</w:t>
      </w:r>
      <w:r w:rsidRPr="00AB0EFB">
        <w:rPr>
          <w:rFonts w:cs="Arial"/>
          <w:bCs/>
          <w:lang w:val="ru-RU"/>
        </w:rPr>
        <w:t xml:space="preserve"> средств в рамках</w:t>
      </w:r>
      <w:r>
        <w:rPr>
          <w:rFonts w:cs="Arial"/>
          <w:bCs/>
          <w:lang w:val="ru-RU"/>
        </w:rPr>
        <w:t xml:space="preserve"> </w:t>
      </w:r>
      <w:r w:rsidRPr="00AB0EFB">
        <w:rPr>
          <w:rFonts w:cs="Arial"/>
          <w:bCs/>
          <w:lang w:val="ru-RU"/>
        </w:rPr>
        <w:t>проект</w:t>
      </w:r>
      <w:r>
        <w:rPr>
          <w:rFonts w:cs="Arial"/>
          <w:bCs/>
          <w:lang w:val="ru-RU"/>
        </w:rPr>
        <w:t xml:space="preserve">а по </w:t>
      </w:r>
      <w:r w:rsidRPr="00263F97">
        <w:rPr>
          <w:rFonts w:cs="Arial"/>
          <w:bCs/>
          <w:lang w:val="ru-RU"/>
        </w:rPr>
        <w:t>устройств</w:t>
      </w:r>
      <w:r>
        <w:rPr>
          <w:rFonts w:cs="Arial"/>
          <w:bCs/>
          <w:lang w:val="ru-RU"/>
        </w:rPr>
        <w:t xml:space="preserve">у </w:t>
      </w:r>
      <w:r w:rsidRPr="00263F97">
        <w:rPr>
          <w:rFonts w:cs="Arial"/>
          <w:bCs/>
          <w:lang w:val="ru-RU"/>
        </w:rPr>
        <w:t>противопожарн</w:t>
      </w:r>
      <w:r>
        <w:rPr>
          <w:rFonts w:cs="Arial"/>
          <w:bCs/>
          <w:lang w:val="ru-RU"/>
        </w:rPr>
        <w:t xml:space="preserve">ых перегородок </w:t>
      </w:r>
      <w:r w:rsidRPr="00AB0EFB">
        <w:rPr>
          <w:rFonts w:cs="Arial"/>
          <w:bCs/>
          <w:lang w:val="ru-RU"/>
        </w:rPr>
        <w:t xml:space="preserve">между </w:t>
      </w:r>
      <w:r>
        <w:rPr>
          <w:rFonts w:cs="Arial"/>
          <w:bCs/>
          <w:lang w:val="ru-RU"/>
        </w:rPr>
        <w:t>зданиями ГБ-1</w:t>
      </w:r>
      <w:r w:rsidRPr="00AB0EFB">
        <w:rPr>
          <w:rFonts w:cs="Arial"/>
          <w:bCs/>
          <w:lang w:val="ru-RU"/>
        </w:rPr>
        <w:t xml:space="preserve"> и АБ (см. ниже).</w:t>
      </w:r>
      <w:r>
        <w:rPr>
          <w:rFonts w:cs="Arial"/>
          <w:bCs/>
          <w:lang w:val="ru-RU"/>
        </w:rPr>
        <w:t xml:space="preserve"> </w:t>
      </w:r>
    </w:p>
    <w:p w:rsidR="00C85043" w:rsidRPr="00AB0EFB" w:rsidRDefault="00C85043" w:rsidP="00C85043">
      <w:pPr>
        <w:rPr>
          <w:rFonts w:cs="Arial"/>
          <w:bCs/>
          <w:szCs w:val="20"/>
          <w:lang w:val="ru-RU"/>
        </w:rPr>
      </w:pPr>
    </w:p>
    <w:p w:rsidR="00C85043" w:rsidRPr="00AB735C" w:rsidRDefault="00C85043" w:rsidP="00BF61DC">
      <w:pPr>
        <w:pStyle w:val="ListParagraph"/>
        <w:numPr>
          <w:ilvl w:val="0"/>
          <w:numId w:val="114"/>
        </w:numPr>
        <w:tabs>
          <w:tab w:val="left" w:pos="567"/>
        </w:tabs>
        <w:ind w:left="0" w:firstLine="0"/>
        <w:jc w:val="both"/>
        <w:rPr>
          <w:rFonts w:cs="Arial"/>
          <w:lang w:val="ru-RU"/>
        </w:rPr>
      </w:pPr>
      <w:r>
        <w:rPr>
          <w:rFonts w:cs="Arial"/>
          <w:lang w:val="ru-RU"/>
        </w:rPr>
        <w:t xml:space="preserve">Во </w:t>
      </w:r>
      <w:r w:rsidRPr="007973CE">
        <w:rPr>
          <w:rFonts w:cs="Arial"/>
          <w:lang w:val="ru-RU"/>
        </w:rPr>
        <w:t xml:space="preserve">второй </w:t>
      </w:r>
      <w:r>
        <w:rPr>
          <w:rFonts w:cs="Arial"/>
          <w:lang w:val="ru-RU"/>
        </w:rPr>
        <w:t>половине</w:t>
      </w:r>
      <w:r w:rsidRPr="007973CE">
        <w:rPr>
          <w:rFonts w:cs="Arial"/>
          <w:lang w:val="ru-RU"/>
        </w:rPr>
        <w:t xml:space="preserve"> 2015</w:t>
      </w:r>
      <w:r>
        <w:rPr>
          <w:rFonts w:cs="Arial"/>
        </w:rPr>
        <w:t> </w:t>
      </w:r>
      <w:r w:rsidRPr="007973CE">
        <w:rPr>
          <w:rFonts w:cs="Arial"/>
          <w:lang w:val="ru-RU"/>
        </w:rPr>
        <w:t>г., в рамках</w:t>
      </w:r>
      <w:r>
        <w:rPr>
          <w:rFonts w:cs="Arial"/>
          <w:lang w:val="ru-RU"/>
        </w:rPr>
        <w:t xml:space="preserve"> </w:t>
      </w:r>
      <w:r w:rsidRPr="007973CE">
        <w:rPr>
          <w:rFonts w:cs="Arial"/>
          <w:lang w:val="ru-RU"/>
        </w:rPr>
        <w:t>проект</w:t>
      </w:r>
      <w:r>
        <w:rPr>
          <w:rFonts w:cs="Arial"/>
          <w:lang w:val="ru-RU"/>
        </w:rPr>
        <w:t xml:space="preserve">а по созданию </w:t>
      </w:r>
      <w:r w:rsidRPr="008B5930">
        <w:rPr>
          <w:rFonts w:cs="Arial"/>
          <w:lang w:val="ru-RU"/>
        </w:rPr>
        <w:t>противопожарн</w:t>
      </w:r>
      <w:r>
        <w:rPr>
          <w:rFonts w:cs="Arial"/>
          <w:lang w:val="ru-RU"/>
        </w:rPr>
        <w:t xml:space="preserve">ых перегородок </w:t>
      </w:r>
      <w:r w:rsidRPr="007973CE">
        <w:rPr>
          <w:rFonts w:cs="Arial"/>
          <w:lang w:val="ru-RU"/>
        </w:rPr>
        <w:t xml:space="preserve">между </w:t>
      </w:r>
      <w:r>
        <w:rPr>
          <w:rFonts w:cs="Arial"/>
          <w:lang w:val="ru-RU"/>
        </w:rPr>
        <w:t>зданиями ГБ-1</w:t>
      </w:r>
      <w:r w:rsidRPr="007973CE">
        <w:rPr>
          <w:rFonts w:cs="Arial"/>
          <w:lang w:val="ru-RU"/>
        </w:rPr>
        <w:t xml:space="preserve"> и АБ, Секретариат </w:t>
      </w:r>
      <w:r w:rsidRPr="008B5930">
        <w:rPr>
          <w:rFonts w:cs="Arial"/>
          <w:lang w:val="ru-RU"/>
        </w:rPr>
        <w:t>выполн</w:t>
      </w:r>
      <w:r>
        <w:rPr>
          <w:rFonts w:cs="Arial"/>
          <w:lang w:val="ru-RU"/>
        </w:rPr>
        <w:t xml:space="preserve">ил обоснование и подготовил </w:t>
      </w:r>
      <w:r w:rsidRPr="007973CE">
        <w:rPr>
          <w:rFonts w:cs="Arial"/>
          <w:lang w:val="ru-RU"/>
        </w:rPr>
        <w:t>техническое задание (</w:t>
      </w:r>
      <w:r>
        <w:rPr>
          <w:rFonts w:cs="Arial"/>
          <w:lang w:val="ru-RU"/>
        </w:rPr>
        <w:t>ТЗ</w:t>
      </w:r>
      <w:r w:rsidRPr="007973CE">
        <w:rPr>
          <w:rFonts w:cs="Arial"/>
          <w:lang w:val="ru-RU"/>
        </w:rPr>
        <w:t xml:space="preserve">) </w:t>
      </w:r>
      <w:r>
        <w:rPr>
          <w:rFonts w:cs="Arial"/>
          <w:lang w:val="ru-RU"/>
        </w:rPr>
        <w:t>на установку трех</w:t>
      </w:r>
      <w:r w:rsidRPr="007973CE">
        <w:rPr>
          <w:rFonts w:cs="Arial"/>
          <w:lang w:val="ru-RU"/>
        </w:rPr>
        <w:t xml:space="preserve"> </w:t>
      </w:r>
      <w:r>
        <w:rPr>
          <w:rFonts w:cs="Arial"/>
          <w:lang w:val="ru-RU"/>
        </w:rPr>
        <w:t>дополнительных</w:t>
      </w:r>
      <w:r w:rsidRPr="007973CE">
        <w:rPr>
          <w:rFonts w:cs="Arial"/>
          <w:lang w:val="ru-RU"/>
        </w:rPr>
        <w:t xml:space="preserve"> противопожарных дверей между </w:t>
      </w:r>
      <w:r>
        <w:rPr>
          <w:rFonts w:cs="Arial"/>
          <w:lang w:val="ru-RU"/>
        </w:rPr>
        <w:t xml:space="preserve">зданиями </w:t>
      </w:r>
      <w:r w:rsidRPr="007973CE">
        <w:rPr>
          <w:rFonts w:cs="Arial"/>
          <w:lang w:val="ru-RU"/>
        </w:rPr>
        <w:t>АБ и ГБ</w:t>
      </w:r>
      <w:r>
        <w:rPr>
          <w:rFonts w:cs="Arial"/>
          <w:lang w:val="ru-RU"/>
        </w:rPr>
        <w:t>-1</w:t>
      </w:r>
      <w:r w:rsidRPr="007973CE">
        <w:rPr>
          <w:rFonts w:cs="Arial"/>
          <w:lang w:val="ru-RU"/>
        </w:rPr>
        <w:t xml:space="preserve"> (уровень -1, </w:t>
      </w:r>
      <w:r>
        <w:rPr>
          <w:rFonts w:cs="Arial"/>
          <w:lang w:val="ru-RU"/>
        </w:rPr>
        <w:t xml:space="preserve">первый </w:t>
      </w:r>
      <w:r w:rsidRPr="007973CE">
        <w:rPr>
          <w:rFonts w:cs="Arial"/>
          <w:lang w:val="ru-RU"/>
        </w:rPr>
        <w:t xml:space="preserve">и </w:t>
      </w:r>
      <w:r>
        <w:rPr>
          <w:rFonts w:cs="Arial"/>
          <w:lang w:val="ru-RU"/>
        </w:rPr>
        <w:t>второй этажи</w:t>
      </w:r>
      <w:r w:rsidRPr="007973CE">
        <w:rPr>
          <w:rFonts w:cs="Arial"/>
          <w:lang w:val="ru-RU"/>
        </w:rPr>
        <w:t xml:space="preserve">) </w:t>
      </w:r>
      <w:r>
        <w:rPr>
          <w:rFonts w:cs="Arial"/>
          <w:lang w:val="ru-RU"/>
        </w:rPr>
        <w:t xml:space="preserve">в </w:t>
      </w:r>
      <w:r w:rsidRPr="007973CE">
        <w:rPr>
          <w:rFonts w:cs="Arial"/>
          <w:lang w:val="ru-RU"/>
        </w:rPr>
        <w:t>2016</w:t>
      </w:r>
      <w:r>
        <w:rPr>
          <w:rFonts w:cs="Arial"/>
          <w:lang w:val="ru-RU"/>
        </w:rPr>
        <w:t xml:space="preserve"> г.</w:t>
      </w:r>
      <w:r w:rsidRPr="007973CE">
        <w:rPr>
          <w:rFonts w:cs="Arial"/>
          <w:lang w:val="ru-RU"/>
        </w:rPr>
        <w:t xml:space="preserve"> </w:t>
      </w:r>
      <w:r>
        <w:rPr>
          <w:rFonts w:cs="Arial"/>
          <w:lang w:val="ru-RU"/>
        </w:rPr>
        <w:t xml:space="preserve">Эта </w:t>
      </w:r>
      <w:r w:rsidRPr="007973CE">
        <w:rPr>
          <w:rFonts w:cs="Arial"/>
          <w:lang w:val="ru-RU"/>
        </w:rPr>
        <w:t>работ</w:t>
      </w:r>
      <w:r>
        <w:rPr>
          <w:rFonts w:cs="Arial"/>
          <w:lang w:val="ru-RU"/>
        </w:rPr>
        <w:t xml:space="preserve">а потребовала больше времени, чем предполагалось, </w:t>
      </w:r>
      <w:r w:rsidRPr="007973CE">
        <w:rPr>
          <w:rFonts w:cs="Arial"/>
          <w:lang w:val="ru-RU"/>
        </w:rPr>
        <w:t xml:space="preserve">в связи с </w:t>
      </w:r>
      <w:r>
        <w:rPr>
          <w:rFonts w:cs="Arial"/>
          <w:lang w:val="ru-RU"/>
        </w:rPr>
        <w:t xml:space="preserve">неожиданным выходом из </w:t>
      </w:r>
      <w:r w:rsidRPr="007973CE">
        <w:rPr>
          <w:rFonts w:cs="Arial"/>
          <w:lang w:val="ru-RU"/>
        </w:rPr>
        <w:t>проект</w:t>
      </w:r>
      <w:r>
        <w:rPr>
          <w:rFonts w:cs="Arial"/>
          <w:lang w:val="ru-RU"/>
        </w:rPr>
        <w:t xml:space="preserve">а </w:t>
      </w:r>
      <w:r w:rsidRPr="007973CE">
        <w:rPr>
          <w:rFonts w:cs="Arial"/>
          <w:lang w:val="ru-RU"/>
        </w:rPr>
        <w:t>консультант</w:t>
      </w:r>
      <w:r>
        <w:rPr>
          <w:rFonts w:cs="Arial"/>
          <w:lang w:val="ru-RU"/>
        </w:rPr>
        <w:t xml:space="preserve">а, </w:t>
      </w:r>
      <w:r w:rsidRPr="007973CE">
        <w:rPr>
          <w:rFonts w:cs="Arial"/>
          <w:lang w:val="ru-RU"/>
        </w:rPr>
        <w:t>котор</w:t>
      </w:r>
      <w:r>
        <w:rPr>
          <w:rFonts w:cs="Arial"/>
          <w:lang w:val="ru-RU"/>
        </w:rPr>
        <w:t>ый из</w:t>
      </w:r>
      <w:r w:rsidRPr="007973CE">
        <w:rPr>
          <w:rFonts w:cs="Arial"/>
          <w:lang w:val="ru-RU"/>
        </w:rPr>
        <w:t xml:space="preserve">начально </w:t>
      </w:r>
      <w:r>
        <w:rPr>
          <w:rFonts w:cs="Arial"/>
          <w:lang w:val="ru-RU"/>
        </w:rPr>
        <w:t xml:space="preserve">отвечал за </w:t>
      </w:r>
      <w:r w:rsidRPr="008B5930">
        <w:rPr>
          <w:rFonts w:cs="Arial"/>
          <w:lang w:val="ru-RU"/>
        </w:rPr>
        <w:t>подготовк</w:t>
      </w:r>
      <w:r>
        <w:rPr>
          <w:rFonts w:cs="Arial"/>
          <w:lang w:val="ru-RU"/>
        </w:rPr>
        <w:t>у обоснования</w:t>
      </w:r>
      <w:r w:rsidRPr="007973CE">
        <w:rPr>
          <w:rFonts w:cs="Arial"/>
          <w:lang w:val="ru-RU"/>
        </w:rPr>
        <w:t>, вследстви</w:t>
      </w:r>
      <w:r>
        <w:rPr>
          <w:rFonts w:cs="Arial"/>
          <w:lang w:val="ru-RU"/>
        </w:rPr>
        <w:t xml:space="preserve">е чего </w:t>
      </w:r>
      <w:r w:rsidRPr="007973CE">
        <w:rPr>
          <w:rFonts w:cs="Arial"/>
          <w:snapToGrid w:val="0"/>
          <w:lang w:val="ru-RU"/>
        </w:rPr>
        <w:t>данн</w:t>
      </w:r>
      <w:r>
        <w:rPr>
          <w:rFonts w:cs="Arial"/>
          <w:lang w:val="ru-RU"/>
        </w:rPr>
        <w:t xml:space="preserve">ый </w:t>
      </w:r>
      <w:r w:rsidRPr="007973CE">
        <w:rPr>
          <w:rFonts w:cs="Arial"/>
          <w:lang w:val="ru-RU"/>
        </w:rPr>
        <w:t>проект</w:t>
      </w:r>
      <w:r>
        <w:rPr>
          <w:rFonts w:cs="Arial"/>
          <w:lang w:val="ru-RU"/>
        </w:rPr>
        <w:t xml:space="preserve">ный </w:t>
      </w:r>
      <w:r w:rsidRPr="007973CE">
        <w:rPr>
          <w:rFonts w:cs="Arial"/>
          <w:lang w:val="ru-RU"/>
        </w:rPr>
        <w:t>результат</w:t>
      </w:r>
      <w:r>
        <w:rPr>
          <w:rFonts w:cs="Arial"/>
          <w:lang w:val="ru-RU"/>
        </w:rPr>
        <w:t xml:space="preserve"> был получен с </w:t>
      </w:r>
      <w:r w:rsidRPr="007973CE">
        <w:rPr>
          <w:rFonts w:cs="Arial"/>
          <w:lang w:val="ru-RU"/>
        </w:rPr>
        <w:t>6-</w:t>
      </w:r>
      <w:r>
        <w:rPr>
          <w:rFonts w:cs="Arial"/>
          <w:lang w:val="ru-RU"/>
        </w:rPr>
        <w:t xml:space="preserve">месячной </w:t>
      </w:r>
      <w:r w:rsidRPr="007973CE">
        <w:rPr>
          <w:rFonts w:cs="Arial"/>
          <w:lang w:val="ru-RU"/>
        </w:rPr>
        <w:t>задержк</w:t>
      </w:r>
      <w:r>
        <w:rPr>
          <w:rFonts w:cs="Arial"/>
          <w:lang w:val="ru-RU"/>
        </w:rPr>
        <w:t>ой</w:t>
      </w:r>
      <w:r w:rsidRPr="007973CE">
        <w:rPr>
          <w:rFonts w:cs="Arial"/>
          <w:lang w:val="ru-RU"/>
        </w:rPr>
        <w:t xml:space="preserve">.  </w:t>
      </w:r>
      <w:r w:rsidRPr="007973CE">
        <w:rPr>
          <w:rFonts w:eastAsia="Calibri" w:cs="Arial"/>
          <w:color w:val="000000"/>
          <w:lang w:val="ru-RU"/>
        </w:rPr>
        <w:t>В график проекта были внесены соответствующие изменения.</w:t>
      </w:r>
      <w:r>
        <w:rPr>
          <w:rFonts w:eastAsia="Calibri" w:cs="Arial"/>
          <w:color w:val="000000"/>
          <w:lang w:val="ru-RU"/>
        </w:rPr>
        <w:t xml:space="preserve"> </w:t>
      </w:r>
    </w:p>
    <w:p w:rsidR="00C85043" w:rsidRPr="00AB735C" w:rsidRDefault="00C85043" w:rsidP="00C85043">
      <w:pPr>
        <w:rPr>
          <w:rFonts w:cs="Arial"/>
          <w:szCs w:val="20"/>
          <w:lang w:val="ru-RU"/>
        </w:rPr>
      </w:pPr>
    </w:p>
    <w:p w:rsidR="00C85043" w:rsidRPr="00AB735C" w:rsidRDefault="00C85043" w:rsidP="00BF61DC">
      <w:pPr>
        <w:pStyle w:val="ListParagraph"/>
        <w:numPr>
          <w:ilvl w:val="0"/>
          <w:numId w:val="114"/>
        </w:numPr>
        <w:tabs>
          <w:tab w:val="left" w:pos="567"/>
        </w:tabs>
        <w:ind w:left="0" w:firstLine="0"/>
        <w:jc w:val="both"/>
        <w:rPr>
          <w:rFonts w:cs="Arial"/>
          <w:bCs/>
          <w:lang w:val="ru-RU"/>
        </w:rPr>
      </w:pPr>
      <w:r w:rsidRPr="00AB735C">
        <w:rPr>
          <w:rFonts w:cs="Arial"/>
          <w:lang w:val="ru-RU"/>
        </w:rPr>
        <w:t xml:space="preserve">В конце </w:t>
      </w:r>
      <w:r>
        <w:rPr>
          <w:rFonts w:cs="Arial"/>
          <w:lang w:val="ru-RU"/>
        </w:rPr>
        <w:t>2015 г.</w:t>
      </w:r>
      <w:r w:rsidRPr="00AB735C">
        <w:rPr>
          <w:rFonts w:cs="Arial"/>
          <w:lang w:val="ru-RU"/>
        </w:rPr>
        <w:t xml:space="preserve"> </w:t>
      </w:r>
      <w:r>
        <w:rPr>
          <w:rFonts w:cs="Arial"/>
          <w:lang w:val="ru-RU"/>
        </w:rPr>
        <w:t xml:space="preserve">проводились более активные совещания по </w:t>
      </w:r>
      <w:r w:rsidRPr="00AB735C">
        <w:rPr>
          <w:rFonts w:cs="Arial"/>
          <w:lang w:val="ru-RU"/>
        </w:rPr>
        <w:t>координации и планировани</w:t>
      </w:r>
      <w:r>
        <w:rPr>
          <w:rFonts w:cs="Arial"/>
          <w:lang w:val="ru-RU"/>
        </w:rPr>
        <w:t xml:space="preserve">ю </w:t>
      </w:r>
      <w:r w:rsidRPr="00B54F36">
        <w:rPr>
          <w:rFonts w:cs="Arial"/>
          <w:lang w:val="ru-RU"/>
        </w:rPr>
        <w:t>работ</w:t>
      </w:r>
      <w:r>
        <w:rPr>
          <w:rFonts w:cs="Arial"/>
          <w:lang w:val="ru-RU"/>
        </w:rPr>
        <w:t xml:space="preserve">, призванные обеспечить </w:t>
      </w:r>
      <w:r w:rsidRPr="00AB735C">
        <w:rPr>
          <w:rFonts w:cs="Arial"/>
          <w:lang w:val="ru-RU"/>
        </w:rPr>
        <w:t>своевременн</w:t>
      </w:r>
      <w:r>
        <w:rPr>
          <w:rFonts w:cs="Arial"/>
          <w:lang w:val="ru-RU"/>
        </w:rPr>
        <w:t>ое</w:t>
      </w:r>
      <w:r w:rsidRPr="00AB735C">
        <w:rPr>
          <w:rFonts w:cs="Arial"/>
          <w:lang w:val="ru-RU"/>
        </w:rPr>
        <w:t xml:space="preserve"> завершен</w:t>
      </w:r>
      <w:r>
        <w:rPr>
          <w:rFonts w:cs="Arial"/>
          <w:lang w:val="ru-RU"/>
        </w:rPr>
        <w:t xml:space="preserve">ие </w:t>
      </w:r>
      <w:r w:rsidRPr="00B54F36">
        <w:rPr>
          <w:rFonts w:cs="Arial"/>
          <w:lang w:val="ru-RU"/>
        </w:rPr>
        <w:t>проект</w:t>
      </w:r>
      <w:r>
        <w:rPr>
          <w:rFonts w:cs="Arial"/>
          <w:lang w:val="ru-RU"/>
        </w:rPr>
        <w:t xml:space="preserve">а без перерасхода </w:t>
      </w:r>
      <w:r w:rsidRPr="00BF4085">
        <w:rPr>
          <w:rFonts w:cs="Arial"/>
          <w:lang w:val="ru-RU"/>
        </w:rPr>
        <w:t>средств</w:t>
      </w:r>
      <w:r w:rsidRPr="00AB735C">
        <w:rPr>
          <w:rFonts w:cs="Arial"/>
          <w:bCs/>
          <w:lang w:val="ru-RU"/>
        </w:rPr>
        <w:t>.</w:t>
      </w:r>
    </w:p>
    <w:p w:rsidR="00C85043" w:rsidRDefault="00C85043" w:rsidP="00C85043">
      <w:pPr>
        <w:spacing w:after="200" w:line="276" w:lineRule="auto"/>
        <w:rPr>
          <w:rFonts w:cs="Arial"/>
          <w:color w:val="000000"/>
          <w:szCs w:val="22"/>
          <w:lang w:val="ru-RU"/>
        </w:rPr>
      </w:pPr>
    </w:p>
    <w:p w:rsidR="00C85043" w:rsidRPr="00ED7C01" w:rsidRDefault="00C85043" w:rsidP="00C85043">
      <w:pPr>
        <w:spacing w:after="200" w:line="276" w:lineRule="auto"/>
        <w:rPr>
          <w:rFonts w:cs="Arial"/>
          <w:color w:val="000000"/>
          <w:szCs w:val="22"/>
        </w:rPr>
      </w:pPr>
      <w:r>
        <w:rPr>
          <w:rFonts w:cs="Arial"/>
          <w:color w:val="000000"/>
          <w:szCs w:val="22"/>
        </w:rPr>
        <w:t>РЕАЛИЗАЦИЯ ПОЛОЖИТЕЛЬНЫХ РЕЗУЛЬТАТОВ</w:t>
      </w:r>
    </w:p>
    <w:p w:rsidR="00C85043" w:rsidRPr="009A7C08" w:rsidRDefault="00C85043" w:rsidP="00C85043">
      <w:pPr>
        <w:rPr>
          <w:szCs w:val="20"/>
          <w:lang w:val="fr-CH"/>
        </w:rPr>
      </w:pPr>
    </w:p>
    <w:tbl>
      <w:tblPr>
        <w:tblW w:w="4469" w:type="pct"/>
        <w:jc w:val="center"/>
        <w:tblInd w:w="-4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4"/>
        <w:gridCol w:w="1833"/>
        <w:gridCol w:w="1833"/>
        <w:gridCol w:w="2585"/>
      </w:tblGrid>
      <w:tr w:rsidR="00C85043" w:rsidRPr="005C6ABD" w:rsidTr="00C85043">
        <w:trPr>
          <w:trHeight w:val="209"/>
          <w:tblHeader/>
          <w:jc w:val="center"/>
        </w:trPr>
        <w:tc>
          <w:tcPr>
            <w:tcW w:w="1346" w:type="pct"/>
            <w:tcBorders>
              <w:bottom w:val="single" w:sz="4" w:space="0" w:color="auto"/>
            </w:tcBorders>
            <w:shd w:val="clear" w:color="auto" w:fill="C6D9F1"/>
            <w:tcMar>
              <w:top w:w="113" w:type="dxa"/>
              <w:bottom w:w="113" w:type="dxa"/>
            </w:tcMar>
            <w:vAlign w:val="center"/>
          </w:tcPr>
          <w:p w:rsidR="00C85043" w:rsidRPr="00D9720E" w:rsidRDefault="00C85043" w:rsidP="00C85043">
            <w:pPr>
              <w:spacing w:before="40" w:after="40"/>
              <w:jc w:val="center"/>
              <w:rPr>
                <w:b/>
                <w:bCs/>
                <w:sz w:val="16"/>
                <w:szCs w:val="16"/>
                <w:lang w:val="ru-RU"/>
              </w:rPr>
            </w:pPr>
            <w:r w:rsidRPr="00D9720E">
              <w:rPr>
                <w:b/>
                <w:bCs/>
                <w:sz w:val="16"/>
                <w:szCs w:val="16"/>
                <w:lang w:val="ru-RU"/>
              </w:rPr>
              <w:t xml:space="preserve">Положительные результаты, полученные в </w:t>
            </w:r>
            <w:r>
              <w:rPr>
                <w:b/>
                <w:bCs/>
                <w:sz w:val="16"/>
                <w:szCs w:val="16"/>
                <w:lang w:val="ru-RU"/>
              </w:rPr>
              <w:t>2014 г.</w:t>
            </w:r>
          </w:p>
        </w:tc>
        <w:tc>
          <w:tcPr>
            <w:tcW w:w="1071" w:type="pct"/>
            <w:tcBorders>
              <w:bottom w:val="single" w:sz="4" w:space="0" w:color="auto"/>
            </w:tcBorders>
            <w:shd w:val="clear" w:color="auto" w:fill="C6D9F1"/>
            <w:vAlign w:val="center"/>
          </w:tcPr>
          <w:p w:rsidR="00C85043" w:rsidRPr="00D9720E" w:rsidRDefault="00C85043" w:rsidP="00C85043">
            <w:pPr>
              <w:spacing w:before="40" w:after="40"/>
              <w:jc w:val="center"/>
              <w:rPr>
                <w:b/>
                <w:bCs/>
                <w:sz w:val="16"/>
                <w:szCs w:val="16"/>
                <w:lang w:val="ru-RU"/>
              </w:rPr>
            </w:pPr>
            <w:r w:rsidRPr="00D9720E">
              <w:rPr>
                <w:b/>
                <w:bCs/>
                <w:sz w:val="16"/>
                <w:szCs w:val="16"/>
                <w:lang w:val="ru-RU"/>
              </w:rPr>
              <w:t>Положительные результаты, полученные в 2015</w:t>
            </w:r>
            <w:r>
              <w:rPr>
                <w:b/>
                <w:bCs/>
                <w:sz w:val="16"/>
                <w:szCs w:val="16"/>
                <w:lang w:val="ru-RU"/>
              </w:rPr>
              <w:t> </w:t>
            </w:r>
            <w:r w:rsidRPr="00D9720E">
              <w:rPr>
                <w:b/>
                <w:bCs/>
                <w:sz w:val="16"/>
                <w:szCs w:val="16"/>
                <w:lang w:val="ru-RU"/>
              </w:rPr>
              <w:t>г.</w:t>
            </w:r>
          </w:p>
        </w:tc>
        <w:tc>
          <w:tcPr>
            <w:tcW w:w="1071" w:type="pct"/>
            <w:shd w:val="clear" w:color="auto" w:fill="C6D9F1"/>
            <w:vAlign w:val="center"/>
          </w:tcPr>
          <w:p w:rsidR="00C85043" w:rsidRPr="00D35DC4" w:rsidRDefault="00C85043" w:rsidP="00C85043">
            <w:pPr>
              <w:spacing w:before="40" w:after="40"/>
              <w:jc w:val="center"/>
              <w:rPr>
                <w:b/>
                <w:bCs/>
                <w:sz w:val="16"/>
                <w:szCs w:val="16"/>
                <w:lang w:val="ru-RU"/>
              </w:rPr>
            </w:pPr>
            <w:r w:rsidRPr="00D9720E">
              <w:rPr>
                <w:b/>
                <w:bCs/>
                <w:sz w:val="16"/>
                <w:szCs w:val="16"/>
                <w:lang w:val="ru-RU"/>
              </w:rPr>
              <w:t xml:space="preserve">Положительные результаты, </w:t>
            </w:r>
            <w:r>
              <w:rPr>
                <w:b/>
                <w:bCs/>
                <w:sz w:val="16"/>
                <w:szCs w:val="16"/>
                <w:lang w:val="ru-RU"/>
              </w:rPr>
              <w:t>ожидаемые</w:t>
            </w:r>
            <w:r w:rsidRPr="00D9720E">
              <w:rPr>
                <w:b/>
                <w:bCs/>
                <w:sz w:val="16"/>
                <w:szCs w:val="16"/>
                <w:lang w:val="ru-RU"/>
              </w:rPr>
              <w:t xml:space="preserve"> в 2015</w:t>
            </w:r>
            <w:r>
              <w:rPr>
                <w:b/>
                <w:bCs/>
                <w:sz w:val="16"/>
                <w:szCs w:val="16"/>
                <w:lang w:val="ru-RU"/>
              </w:rPr>
              <w:t> </w:t>
            </w:r>
            <w:r w:rsidRPr="00D9720E">
              <w:rPr>
                <w:b/>
                <w:bCs/>
                <w:sz w:val="16"/>
                <w:szCs w:val="16"/>
                <w:lang w:val="ru-RU"/>
              </w:rPr>
              <w:t>г.</w:t>
            </w:r>
          </w:p>
        </w:tc>
        <w:tc>
          <w:tcPr>
            <w:tcW w:w="1511" w:type="pct"/>
            <w:shd w:val="clear" w:color="auto" w:fill="C6D9F1"/>
            <w:vAlign w:val="center"/>
          </w:tcPr>
          <w:p w:rsidR="00C85043" w:rsidRPr="00326480" w:rsidRDefault="00C85043" w:rsidP="00C85043">
            <w:pPr>
              <w:spacing w:before="40" w:after="40"/>
              <w:jc w:val="center"/>
              <w:rPr>
                <w:b/>
                <w:bCs/>
                <w:sz w:val="16"/>
                <w:szCs w:val="16"/>
                <w:lang w:val="ru-RU"/>
              </w:rPr>
            </w:pPr>
            <w:r w:rsidRPr="00326480">
              <w:rPr>
                <w:b/>
                <w:bCs/>
                <w:sz w:val="16"/>
                <w:szCs w:val="16"/>
                <w:lang w:val="ru-RU"/>
              </w:rPr>
              <w:t>Положительные результаты, ожидаемые в 2017 г.</w:t>
            </w:r>
          </w:p>
        </w:tc>
      </w:tr>
      <w:tr w:rsidR="00C85043" w:rsidRPr="005C6ABD" w:rsidTr="00C85043">
        <w:trPr>
          <w:trHeight w:val="935"/>
          <w:jc w:val="center"/>
        </w:trPr>
        <w:tc>
          <w:tcPr>
            <w:tcW w:w="1346" w:type="pct"/>
            <w:tcBorders>
              <w:top w:val="single" w:sz="4" w:space="0" w:color="auto"/>
              <w:bottom w:val="single" w:sz="4" w:space="0" w:color="auto"/>
            </w:tcBorders>
            <w:shd w:val="clear" w:color="auto" w:fill="auto"/>
            <w:tcMar>
              <w:top w:w="113" w:type="dxa"/>
              <w:bottom w:w="113" w:type="dxa"/>
            </w:tcMar>
          </w:tcPr>
          <w:p w:rsidR="00C85043" w:rsidRPr="008249FD" w:rsidRDefault="00C85043" w:rsidP="00C85043">
            <w:pPr>
              <w:spacing w:before="40" w:after="40"/>
              <w:rPr>
                <w:bCs/>
                <w:sz w:val="16"/>
                <w:szCs w:val="16"/>
                <w:lang w:val="ru-RU"/>
              </w:rPr>
            </w:pPr>
            <w:r>
              <w:rPr>
                <w:bCs/>
                <w:sz w:val="16"/>
                <w:szCs w:val="22"/>
                <w:lang w:val="ru-RU"/>
              </w:rPr>
              <w:t>Повышение уровня</w:t>
            </w:r>
            <w:r w:rsidRPr="008249FD">
              <w:rPr>
                <w:bCs/>
                <w:sz w:val="16"/>
                <w:szCs w:val="22"/>
                <w:lang w:val="ru-RU"/>
              </w:rPr>
              <w:t xml:space="preserve"> безопасност</w:t>
            </w:r>
            <w:r>
              <w:rPr>
                <w:bCs/>
                <w:sz w:val="16"/>
                <w:szCs w:val="22"/>
                <w:lang w:val="ru-RU"/>
              </w:rPr>
              <w:t xml:space="preserve">и </w:t>
            </w:r>
            <w:r w:rsidRPr="00D53F41">
              <w:rPr>
                <w:bCs/>
                <w:sz w:val="16"/>
                <w:szCs w:val="22"/>
                <w:lang w:val="ru-RU"/>
              </w:rPr>
              <w:t>сотрудник</w:t>
            </w:r>
            <w:r>
              <w:rPr>
                <w:bCs/>
                <w:sz w:val="16"/>
                <w:szCs w:val="22"/>
                <w:lang w:val="ru-RU"/>
              </w:rPr>
              <w:t xml:space="preserve">ов после </w:t>
            </w:r>
            <w:r w:rsidRPr="00D53F41">
              <w:rPr>
                <w:bCs/>
                <w:sz w:val="16"/>
                <w:szCs w:val="22"/>
                <w:lang w:val="ru-RU"/>
              </w:rPr>
              <w:t>завершения</w:t>
            </w:r>
            <w:r>
              <w:rPr>
                <w:bCs/>
                <w:sz w:val="16"/>
                <w:szCs w:val="22"/>
                <w:lang w:val="ru-RU"/>
              </w:rPr>
              <w:t xml:space="preserve"> секционирования здания </w:t>
            </w:r>
            <w:r w:rsidRPr="005158E3">
              <w:rPr>
                <w:bCs/>
                <w:sz w:val="16"/>
                <w:szCs w:val="22"/>
              </w:rPr>
              <w:t>PCT</w:t>
            </w:r>
            <w:r w:rsidRPr="008249FD">
              <w:rPr>
                <w:bCs/>
                <w:sz w:val="16"/>
                <w:szCs w:val="22"/>
                <w:lang w:val="ru-RU"/>
              </w:rPr>
              <w:t>.</w:t>
            </w:r>
          </w:p>
        </w:tc>
        <w:tc>
          <w:tcPr>
            <w:tcW w:w="1071" w:type="pct"/>
            <w:tcBorders>
              <w:top w:val="single" w:sz="4" w:space="0" w:color="auto"/>
              <w:bottom w:val="single" w:sz="4" w:space="0" w:color="auto"/>
            </w:tcBorders>
          </w:tcPr>
          <w:p w:rsidR="00C85043" w:rsidRPr="00AB735C" w:rsidRDefault="00C85043" w:rsidP="00C85043">
            <w:pPr>
              <w:spacing w:before="40" w:after="40"/>
              <w:rPr>
                <w:b/>
                <w:bCs/>
                <w:sz w:val="16"/>
                <w:szCs w:val="16"/>
                <w:u w:val="single"/>
                <w:lang w:val="ru-RU"/>
              </w:rPr>
            </w:pPr>
            <w:r>
              <w:rPr>
                <w:sz w:val="16"/>
                <w:szCs w:val="16"/>
                <w:lang w:val="ru-RU"/>
              </w:rPr>
              <w:t>Сохранение достигнутого уровня безопасности в здании</w:t>
            </w:r>
            <w:r w:rsidRPr="00AB735C">
              <w:rPr>
                <w:sz w:val="16"/>
                <w:szCs w:val="16"/>
                <w:lang w:val="ru-RU"/>
              </w:rPr>
              <w:t xml:space="preserve"> </w:t>
            </w:r>
            <w:r>
              <w:rPr>
                <w:sz w:val="16"/>
                <w:szCs w:val="16"/>
              </w:rPr>
              <w:t>PCT</w:t>
            </w:r>
            <w:r w:rsidRPr="00AB735C">
              <w:rPr>
                <w:sz w:val="16"/>
                <w:szCs w:val="16"/>
                <w:lang w:val="ru-RU"/>
              </w:rPr>
              <w:t>.</w:t>
            </w:r>
          </w:p>
        </w:tc>
        <w:tc>
          <w:tcPr>
            <w:tcW w:w="1071" w:type="pct"/>
            <w:shd w:val="clear" w:color="auto" w:fill="auto"/>
          </w:tcPr>
          <w:p w:rsidR="00C85043" w:rsidRPr="00AB735C" w:rsidRDefault="00C85043" w:rsidP="00C85043">
            <w:pPr>
              <w:spacing w:before="40" w:after="40"/>
              <w:rPr>
                <w:b/>
                <w:bCs/>
                <w:i/>
                <w:iCs/>
                <w:sz w:val="16"/>
                <w:szCs w:val="16"/>
                <w:lang w:val="ru-RU"/>
              </w:rPr>
            </w:pPr>
            <w:r>
              <w:rPr>
                <w:sz w:val="16"/>
                <w:szCs w:val="16"/>
                <w:lang w:val="ru-RU"/>
              </w:rPr>
              <w:t>Сохранение достигнутого уровня безопасности в здании</w:t>
            </w:r>
            <w:r w:rsidRPr="00AB735C">
              <w:rPr>
                <w:sz w:val="16"/>
                <w:szCs w:val="16"/>
                <w:lang w:val="ru-RU"/>
              </w:rPr>
              <w:t xml:space="preserve"> </w:t>
            </w:r>
            <w:r>
              <w:rPr>
                <w:sz w:val="16"/>
                <w:szCs w:val="16"/>
              </w:rPr>
              <w:t>PCT</w:t>
            </w:r>
            <w:r w:rsidRPr="00AB735C">
              <w:rPr>
                <w:sz w:val="16"/>
                <w:szCs w:val="16"/>
                <w:lang w:val="ru-RU"/>
              </w:rPr>
              <w:t>.</w:t>
            </w:r>
          </w:p>
        </w:tc>
        <w:tc>
          <w:tcPr>
            <w:tcW w:w="1511" w:type="pct"/>
          </w:tcPr>
          <w:p w:rsidR="00C85043" w:rsidRPr="00AB735C" w:rsidRDefault="00C85043" w:rsidP="00C85043">
            <w:pPr>
              <w:spacing w:before="40" w:after="40"/>
              <w:rPr>
                <w:b/>
                <w:bCs/>
                <w:i/>
                <w:iCs/>
                <w:sz w:val="16"/>
                <w:szCs w:val="16"/>
                <w:lang w:val="ru-RU"/>
              </w:rPr>
            </w:pPr>
            <w:r>
              <w:rPr>
                <w:sz w:val="16"/>
                <w:szCs w:val="16"/>
                <w:lang w:val="ru-RU"/>
              </w:rPr>
              <w:t>Сохранение достигнутого уровня безопасности в здании</w:t>
            </w:r>
            <w:r w:rsidRPr="00AB735C">
              <w:rPr>
                <w:sz w:val="16"/>
                <w:szCs w:val="16"/>
                <w:lang w:val="ru-RU"/>
              </w:rPr>
              <w:t xml:space="preserve"> </w:t>
            </w:r>
            <w:r>
              <w:rPr>
                <w:sz w:val="16"/>
                <w:szCs w:val="16"/>
              </w:rPr>
              <w:t>PCT</w:t>
            </w:r>
            <w:r w:rsidRPr="00AB735C">
              <w:rPr>
                <w:sz w:val="16"/>
                <w:szCs w:val="16"/>
                <w:lang w:val="ru-RU"/>
              </w:rPr>
              <w:t>.</w:t>
            </w:r>
          </w:p>
        </w:tc>
      </w:tr>
      <w:tr w:rsidR="00C85043" w:rsidRPr="005C6ABD" w:rsidTr="00C85043">
        <w:trPr>
          <w:trHeight w:val="955"/>
          <w:jc w:val="center"/>
        </w:trPr>
        <w:tc>
          <w:tcPr>
            <w:tcW w:w="1346" w:type="pct"/>
            <w:tcBorders>
              <w:top w:val="single" w:sz="4" w:space="0" w:color="auto"/>
              <w:bottom w:val="single" w:sz="4" w:space="0" w:color="auto"/>
            </w:tcBorders>
            <w:shd w:val="clear" w:color="auto" w:fill="auto"/>
            <w:tcMar>
              <w:top w:w="113" w:type="dxa"/>
              <w:bottom w:w="113" w:type="dxa"/>
            </w:tcMar>
          </w:tcPr>
          <w:p w:rsidR="00C85043" w:rsidRPr="00AB735C" w:rsidRDefault="00C85043" w:rsidP="00C85043">
            <w:pPr>
              <w:spacing w:before="40" w:after="40"/>
              <w:rPr>
                <w:b/>
                <w:bCs/>
                <w:sz w:val="16"/>
                <w:szCs w:val="16"/>
                <w:u w:val="single"/>
                <w:lang w:val="ru-RU"/>
              </w:rPr>
            </w:pPr>
          </w:p>
        </w:tc>
        <w:tc>
          <w:tcPr>
            <w:tcW w:w="1071" w:type="pct"/>
            <w:tcBorders>
              <w:top w:val="single" w:sz="4" w:space="0" w:color="auto"/>
              <w:bottom w:val="single" w:sz="4" w:space="0" w:color="auto"/>
            </w:tcBorders>
          </w:tcPr>
          <w:p w:rsidR="00C85043" w:rsidRPr="00905263" w:rsidRDefault="00C85043" w:rsidP="00C85043">
            <w:pPr>
              <w:spacing w:before="40" w:after="40"/>
              <w:rPr>
                <w:bCs/>
                <w:sz w:val="16"/>
                <w:szCs w:val="16"/>
                <w:lang w:val="ru-RU"/>
              </w:rPr>
            </w:pPr>
            <w:r w:rsidRPr="00905263">
              <w:rPr>
                <w:sz w:val="16"/>
                <w:szCs w:val="16"/>
                <w:lang w:val="ru-RU"/>
              </w:rPr>
              <w:t>Повышение уровня безопасност</w:t>
            </w:r>
            <w:r>
              <w:rPr>
                <w:sz w:val="16"/>
                <w:szCs w:val="16"/>
                <w:lang w:val="ru-RU"/>
              </w:rPr>
              <w:t>и</w:t>
            </w:r>
            <w:r w:rsidRPr="00905263">
              <w:rPr>
                <w:sz w:val="16"/>
                <w:szCs w:val="16"/>
                <w:lang w:val="ru-RU"/>
              </w:rPr>
              <w:t xml:space="preserve"> сотрудник</w:t>
            </w:r>
            <w:r>
              <w:rPr>
                <w:sz w:val="16"/>
                <w:szCs w:val="16"/>
                <w:lang w:val="ru-RU"/>
              </w:rPr>
              <w:t xml:space="preserve">ов и делегатов </w:t>
            </w:r>
            <w:r w:rsidRPr="00905263">
              <w:rPr>
                <w:sz w:val="16"/>
                <w:szCs w:val="16"/>
                <w:lang w:val="ru-RU"/>
              </w:rPr>
              <w:t>благодаря</w:t>
            </w:r>
            <w:r>
              <w:rPr>
                <w:sz w:val="16"/>
                <w:szCs w:val="16"/>
                <w:lang w:val="ru-RU"/>
              </w:rPr>
              <w:t xml:space="preserve"> </w:t>
            </w:r>
            <w:r w:rsidRPr="00BF4085">
              <w:rPr>
                <w:sz w:val="16"/>
                <w:szCs w:val="16"/>
                <w:lang w:val="ru-RU"/>
              </w:rPr>
              <w:t>устройств</w:t>
            </w:r>
            <w:r>
              <w:rPr>
                <w:sz w:val="16"/>
                <w:szCs w:val="16"/>
                <w:lang w:val="ru-RU"/>
              </w:rPr>
              <w:t xml:space="preserve">у </w:t>
            </w:r>
            <w:r w:rsidRPr="009044EE">
              <w:rPr>
                <w:sz w:val="16"/>
                <w:szCs w:val="16"/>
                <w:lang w:val="ru-RU"/>
              </w:rPr>
              <w:t xml:space="preserve">разделительной камеры </w:t>
            </w:r>
            <w:r>
              <w:rPr>
                <w:sz w:val="16"/>
                <w:szCs w:val="16"/>
                <w:lang w:val="ru-RU"/>
              </w:rPr>
              <w:t xml:space="preserve">на лифтовой </w:t>
            </w:r>
            <w:r w:rsidRPr="00905263">
              <w:rPr>
                <w:sz w:val="16"/>
                <w:szCs w:val="16"/>
                <w:lang w:val="ru-RU"/>
              </w:rPr>
              <w:t>площад</w:t>
            </w:r>
            <w:r>
              <w:rPr>
                <w:sz w:val="16"/>
                <w:szCs w:val="16"/>
                <w:lang w:val="ru-RU"/>
              </w:rPr>
              <w:t xml:space="preserve">ке на уровне </w:t>
            </w:r>
            <w:r w:rsidRPr="00905263">
              <w:rPr>
                <w:sz w:val="16"/>
                <w:szCs w:val="16"/>
                <w:lang w:val="ru-RU"/>
              </w:rPr>
              <w:t>-2</w:t>
            </w:r>
            <w:r>
              <w:rPr>
                <w:sz w:val="16"/>
                <w:szCs w:val="16"/>
                <w:lang w:val="ru-RU"/>
              </w:rPr>
              <w:t xml:space="preserve"> здания </w:t>
            </w:r>
            <w:r w:rsidRPr="00905263">
              <w:rPr>
                <w:sz w:val="16"/>
                <w:szCs w:val="16"/>
                <w:lang w:val="ru-RU"/>
              </w:rPr>
              <w:t>АБ.</w:t>
            </w:r>
          </w:p>
        </w:tc>
        <w:tc>
          <w:tcPr>
            <w:tcW w:w="1071" w:type="pct"/>
            <w:shd w:val="clear" w:color="auto" w:fill="auto"/>
          </w:tcPr>
          <w:p w:rsidR="00C85043" w:rsidRPr="00AA2BEA" w:rsidRDefault="00C85043" w:rsidP="00C85043">
            <w:pPr>
              <w:spacing w:before="40" w:after="40"/>
              <w:rPr>
                <w:sz w:val="16"/>
                <w:szCs w:val="16"/>
                <w:lang w:val="ru-RU"/>
              </w:rPr>
            </w:pPr>
            <w:r>
              <w:rPr>
                <w:sz w:val="16"/>
                <w:szCs w:val="16"/>
                <w:lang w:val="ru-RU"/>
              </w:rPr>
              <w:t xml:space="preserve">Сохранение достигнутого уровня безопасности </w:t>
            </w:r>
            <w:r w:rsidRPr="00AA7998">
              <w:rPr>
                <w:sz w:val="16"/>
                <w:szCs w:val="16"/>
                <w:lang w:val="ru-RU"/>
              </w:rPr>
              <w:t>доступ</w:t>
            </w:r>
            <w:r>
              <w:rPr>
                <w:sz w:val="16"/>
                <w:szCs w:val="16"/>
                <w:lang w:val="ru-RU"/>
              </w:rPr>
              <w:t xml:space="preserve">а к лифтовой </w:t>
            </w:r>
            <w:r w:rsidRPr="00AA7998">
              <w:rPr>
                <w:sz w:val="16"/>
                <w:szCs w:val="16"/>
                <w:lang w:val="ru-RU"/>
              </w:rPr>
              <w:t>площад</w:t>
            </w:r>
            <w:r>
              <w:rPr>
                <w:sz w:val="16"/>
                <w:szCs w:val="16"/>
                <w:lang w:val="ru-RU"/>
              </w:rPr>
              <w:t xml:space="preserve">ке на уровне </w:t>
            </w:r>
            <w:r w:rsidRPr="00905263">
              <w:rPr>
                <w:sz w:val="16"/>
                <w:szCs w:val="16"/>
                <w:lang w:val="ru-RU"/>
              </w:rPr>
              <w:t>-2</w:t>
            </w:r>
            <w:r>
              <w:rPr>
                <w:sz w:val="16"/>
                <w:szCs w:val="16"/>
                <w:lang w:val="ru-RU"/>
              </w:rPr>
              <w:t xml:space="preserve"> здания </w:t>
            </w:r>
            <w:r w:rsidRPr="00905263">
              <w:rPr>
                <w:sz w:val="16"/>
                <w:szCs w:val="16"/>
                <w:lang w:val="ru-RU"/>
              </w:rPr>
              <w:t>АБ</w:t>
            </w:r>
            <w:r w:rsidRPr="00AA2BEA">
              <w:rPr>
                <w:sz w:val="16"/>
                <w:szCs w:val="16"/>
                <w:lang w:val="ru-RU"/>
              </w:rPr>
              <w:t>.</w:t>
            </w:r>
          </w:p>
        </w:tc>
        <w:tc>
          <w:tcPr>
            <w:tcW w:w="1511" w:type="pct"/>
          </w:tcPr>
          <w:p w:rsidR="00C85043" w:rsidRPr="00AA2BEA" w:rsidRDefault="00C85043" w:rsidP="00C85043">
            <w:pPr>
              <w:spacing w:before="40" w:after="40"/>
              <w:rPr>
                <w:sz w:val="16"/>
                <w:szCs w:val="16"/>
                <w:lang w:val="ru-RU"/>
              </w:rPr>
            </w:pPr>
            <w:r w:rsidRPr="00AA7998">
              <w:rPr>
                <w:sz w:val="16"/>
                <w:szCs w:val="16"/>
                <w:lang w:val="ru-RU"/>
              </w:rPr>
              <w:t xml:space="preserve">Сохранение </w:t>
            </w:r>
            <w:r>
              <w:rPr>
                <w:sz w:val="16"/>
                <w:szCs w:val="16"/>
                <w:lang w:val="ru-RU"/>
              </w:rPr>
              <w:t xml:space="preserve">достигнутого </w:t>
            </w:r>
            <w:r w:rsidRPr="00AA7998">
              <w:rPr>
                <w:sz w:val="16"/>
                <w:szCs w:val="16"/>
                <w:lang w:val="ru-RU"/>
              </w:rPr>
              <w:t>уровня безопасности доступа к лифтовой площадке на уровне -2 здания АБ</w:t>
            </w:r>
            <w:r w:rsidRPr="00AA2BEA">
              <w:rPr>
                <w:sz w:val="16"/>
                <w:szCs w:val="16"/>
                <w:lang w:val="ru-RU"/>
              </w:rPr>
              <w:t>.</w:t>
            </w:r>
          </w:p>
        </w:tc>
      </w:tr>
      <w:tr w:rsidR="00C85043" w:rsidRPr="005C6ABD" w:rsidTr="00C85043">
        <w:trPr>
          <w:trHeight w:val="718"/>
          <w:jc w:val="center"/>
        </w:trPr>
        <w:tc>
          <w:tcPr>
            <w:tcW w:w="1346" w:type="pct"/>
            <w:tcBorders>
              <w:top w:val="single" w:sz="4" w:space="0" w:color="auto"/>
              <w:bottom w:val="single" w:sz="4" w:space="0" w:color="auto"/>
            </w:tcBorders>
            <w:shd w:val="clear" w:color="auto" w:fill="auto"/>
            <w:tcMar>
              <w:top w:w="113" w:type="dxa"/>
              <w:bottom w:w="113" w:type="dxa"/>
            </w:tcMar>
          </w:tcPr>
          <w:p w:rsidR="00C85043" w:rsidRPr="00AA2BEA" w:rsidRDefault="00C85043" w:rsidP="00C85043">
            <w:pPr>
              <w:spacing w:before="40" w:after="40"/>
              <w:rPr>
                <w:b/>
                <w:bCs/>
                <w:sz w:val="16"/>
                <w:szCs w:val="16"/>
                <w:u w:val="single"/>
                <w:lang w:val="ru-RU"/>
              </w:rPr>
            </w:pPr>
          </w:p>
        </w:tc>
        <w:tc>
          <w:tcPr>
            <w:tcW w:w="1071" w:type="pct"/>
            <w:tcBorders>
              <w:top w:val="single" w:sz="4" w:space="0" w:color="auto"/>
              <w:bottom w:val="single" w:sz="4" w:space="0" w:color="auto"/>
            </w:tcBorders>
          </w:tcPr>
          <w:p w:rsidR="00C85043" w:rsidRPr="00AA2BEA" w:rsidRDefault="00C85043" w:rsidP="00C85043">
            <w:pPr>
              <w:spacing w:before="40" w:after="40"/>
              <w:rPr>
                <w:b/>
                <w:bCs/>
                <w:sz w:val="16"/>
                <w:szCs w:val="16"/>
                <w:u w:val="single"/>
                <w:lang w:val="ru-RU"/>
              </w:rPr>
            </w:pPr>
          </w:p>
        </w:tc>
        <w:tc>
          <w:tcPr>
            <w:tcW w:w="1071" w:type="pct"/>
            <w:shd w:val="clear" w:color="auto" w:fill="auto"/>
          </w:tcPr>
          <w:p w:rsidR="00C85043" w:rsidRPr="00AB735C" w:rsidRDefault="00C85043" w:rsidP="00C85043">
            <w:pPr>
              <w:spacing w:before="40" w:after="40"/>
              <w:rPr>
                <w:b/>
                <w:bCs/>
                <w:i/>
                <w:iCs/>
                <w:sz w:val="16"/>
                <w:szCs w:val="16"/>
                <w:lang w:val="ru-RU"/>
              </w:rPr>
            </w:pPr>
            <w:r>
              <w:rPr>
                <w:sz w:val="16"/>
                <w:szCs w:val="16"/>
                <w:lang w:val="ru-RU"/>
              </w:rPr>
              <w:t>Повышение уровня</w:t>
            </w:r>
            <w:r w:rsidRPr="00AA7998">
              <w:rPr>
                <w:sz w:val="16"/>
                <w:szCs w:val="16"/>
                <w:lang w:val="ru-RU"/>
              </w:rPr>
              <w:t xml:space="preserve"> безопасност</w:t>
            </w:r>
            <w:r>
              <w:rPr>
                <w:sz w:val="16"/>
                <w:szCs w:val="16"/>
                <w:lang w:val="ru-RU"/>
              </w:rPr>
              <w:t>и</w:t>
            </w:r>
            <w:r w:rsidRPr="00AB735C">
              <w:rPr>
                <w:sz w:val="16"/>
                <w:szCs w:val="16"/>
                <w:lang w:val="ru-RU"/>
              </w:rPr>
              <w:t xml:space="preserve"> </w:t>
            </w:r>
            <w:r>
              <w:rPr>
                <w:sz w:val="16"/>
                <w:szCs w:val="16"/>
                <w:lang w:val="ru-RU"/>
              </w:rPr>
              <w:t xml:space="preserve">благодаря созданию противопожарных перегородок </w:t>
            </w:r>
            <w:r w:rsidRPr="00AB735C">
              <w:rPr>
                <w:sz w:val="16"/>
                <w:szCs w:val="16"/>
                <w:lang w:val="ru-RU"/>
              </w:rPr>
              <w:t>между здания</w:t>
            </w:r>
            <w:r>
              <w:rPr>
                <w:sz w:val="16"/>
                <w:szCs w:val="16"/>
                <w:lang w:val="ru-RU"/>
              </w:rPr>
              <w:t>ми</w:t>
            </w:r>
            <w:r w:rsidRPr="00AB735C">
              <w:rPr>
                <w:sz w:val="16"/>
                <w:szCs w:val="16"/>
                <w:lang w:val="ru-RU"/>
              </w:rPr>
              <w:t xml:space="preserve"> </w:t>
            </w:r>
            <w:r>
              <w:rPr>
                <w:sz w:val="16"/>
                <w:szCs w:val="16"/>
                <w:lang w:val="ru-RU"/>
              </w:rPr>
              <w:t>АБ</w:t>
            </w:r>
            <w:r w:rsidRPr="00AB735C">
              <w:rPr>
                <w:sz w:val="16"/>
                <w:szCs w:val="16"/>
                <w:lang w:val="ru-RU"/>
              </w:rPr>
              <w:t xml:space="preserve"> и </w:t>
            </w:r>
            <w:r>
              <w:rPr>
                <w:sz w:val="16"/>
                <w:szCs w:val="16"/>
                <w:lang w:val="ru-RU"/>
              </w:rPr>
              <w:t>ГБ-</w:t>
            </w:r>
            <w:r w:rsidRPr="00C960AE">
              <w:rPr>
                <w:sz w:val="16"/>
                <w:szCs w:val="16"/>
                <w:lang w:val="ru-RU"/>
              </w:rPr>
              <w:t>1</w:t>
            </w:r>
            <w:r w:rsidRPr="00AB735C">
              <w:rPr>
                <w:sz w:val="16"/>
                <w:szCs w:val="16"/>
                <w:lang w:val="ru-RU"/>
              </w:rPr>
              <w:t>.</w:t>
            </w:r>
          </w:p>
        </w:tc>
        <w:tc>
          <w:tcPr>
            <w:tcW w:w="1511" w:type="pct"/>
          </w:tcPr>
          <w:p w:rsidR="00C85043" w:rsidRPr="00AB735C" w:rsidRDefault="00C85043" w:rsidP="00C85043">
            <w:pPr>
              <w:spacing w:before="40" w:after="40"/>
              <w:rPr>
                <w:bCs/>
                <w:sz w:val="16"/>
                <w:szCs w:val="16"/>
                <w:lang w:val="ru-RU"/>
              </w:rPr>
            </w:pPr>
            <w:r w:rsidRPr="00AA7998">
              <w:rPr>
                <w:sz w:val="16"/>
                <w:szCs w:val="16"/>
                <w:lang w:val="ru-RU"/>
              </w:rPr>
              <w:t>Повышение уровня безопасности</w:t>
            </w:r>
            <w:r w:rsidRPr="00AB735C">
              <w:rPr>
                <w:sz w:val="16"/>
                <w:szCs w:val="16"/>
                <w:lang w:val="ru-RU"/>
              </w:rPr>
              <w:t xml:space="preserve"> </w:t>
            </w:r>
            <w:r>
              <w:rPr>
                <w:sz w:val="16"/>
                <w:szCs w:val="16"/>
                <w:lang w:val="ru-RU"/>
              </w:rPr>
              <w:t xml:space="preserve">благодаря созданию противопожарных перегородок </w:t>
            </w:r>
            <w:r w:rsidRPr="00AB735C">
              <w:rPr>
                <w:sz w:val="16"/>
                <w:szCs w:val="16"/>
                <w:lang w:val="ru-RU"/>
              </w:rPr>
              <w:t>между здания</w:t>
            </w:r>
            <w:r>
              <w:rPr>
                <w:sz w:val="16"/>
                <w:szCs w:val="16"/>
                <w:lang w:val="ru-RU"/>
              </w:rPr>
              <w:t>ми</w:t>
            </w:r>
            <w:r w:rsidRPr="00AB735C">
              <w:rPr>
                <w:sz w:val="16"/>
                <w:szCs w:val="16"/>
                <w:lang w:val="ru-RU"/>
              </w:rPr>
              <w:t xml:space="preserve"> </w:t>
            </w:r>
            <w:r>
              <w:rPr>
                <w:sz w:val="16"/>
                <w:szCs w:val="16"/>
                <w:lang w:val="ru-RU"/>
              </w:rPr>
              <w:t>АБ</w:t>
            </w:r>
            <w:r w:rsidRPr="00AB735C">
              <w:rPr>
                <w:sz w:val="16"/>
                <w:szCs w:val="16"/>
                <w:lang w:val="ru-RU"/>
              </w:rPr>
              <w:t xml:space="preserve"> и </w:t>
            </w:r>
            <w:r>
              <w:rPr>
                <w:sz w:val="16"/>
                <w:szCs w:val="16"/>
                <w:lang w:val="ru-RU"/>
              </w:rPr>
              <w:t>ГБ-1</w:t>
            </w:r>
            <w:r w:rsidRPr="00AB735C">
              <w:rPr>
                <w:sz w:val="16"/>
                <w:szCs w:val="16"/>
                <w:lang w:val="ru-RU"/>
              </w:rPr>
              <w:t>.</w:t>
            </w:r>
          </w:p>
        </w:tc>
      </w:tr>
      <w:tr w:rsidR="00C85043" w:rsidRPr="005C6ABD" w:rsidTr="00C85043">
        <w:trPr>
          <w:trHeight w:val="376"/>
          <w:jc w:val="center"/>
        </w:trPr>
        <w:tc>
          <w:tcPr>
            <w:tcW w:w="1346" w:type="pct"/>
            <w:tcBorders>
              <w:top w:val="single" w:sz="4" w:space="0" w:color="auto"/>
              <w:bottom w:val="single" w:sz="4" w:space="0" w:color="auto"/>
            </w:tcBorders>
            <w:shd w:val="clear" w:color="auto" w:fill="auto"/>
            <w:tcMar>
              <w:top w:w="113" w:type="dxa"/>
              <w:bottom w:w="113" w:type="dxa"/>
            </w:tcMar>
          </w:tcPr>
          <w:p w:rsidR="00C85043" w:rsidRPr="00AB735C" w:rsidRDefault="00C85043" w:rsidP="00C85043">
            <w:pPr>
              <w:spacing w:before="40" w:after="40"/>
              <w:rPr>
                <w:b/>
                <w:bCs/>
                <w:sz w:val="16"/>
                <w:szCs w:val="16"/>
                <w:u w:val="single"/>
                <w:lang w:val="ru-RU"/>
              </w:rPr>
            </w:pPr>
          </w:p>
        </w:tc>
        <w:tc>
          <w:tcPr>
            <w:tcW w:w="1071" w:type="pct"/>
            <w:tcBorders>
              <w:top w:val="single" w:sz="4" w:space="0" w:color="auto"/>
              <w:bottom w:val="single" w:sz="4" w:space="0" w:color="auto"/>
            </w:tcBorders>
          </w:tcPr>
          <w:p w:rsidR="00C85043" w:rsidRPr="00AB735C" w:rsidRDefault="00C85043" w:rsidP="00C85043">
            <w:pPr>
              <w:spacing w:before="40" w:after="40"/>
              <w:rPr>
                <w:b/>
                <w:bCs/>
                <w:sz w:val="16"/>
                <w:szCs w:val="16"/>
                <w:u w:val="single"/>
                <w:lang w:val="ru-RU"/>
              </w:rPr>
            </w:pPr>
          </w:p>
        </w:tc>
        <w:tc>
          <w:tcPr>
            <w:tcW w:w="1071" w:type="pct"/>
            <w:shd w:val="clear" w:color="auto" w:fill="auto"/>
          </w:tcPr>
          <w:p w:rsidR="00C85043" w:rsidRPr="00AB735C" w:rsidRDefault="00C85043" w:rsidP="00C85043">
            <w:pPr>
              <w:spacing w:before="40" w:after="40"/>
              <w:rPr>
                <w:b/>
                <w:bCs/>
                <w:i/>
                <w:iCs/>
                <w:sz w:val="16"/>
                <w:szCs w:val="16"/>
                <w:lang w:val="ru-RU"/>
              </w:rPr>
            </w:pPr>
            <w:r>
              <w:rPr>
                <w:sz w:val="16"/>
                <w:szCs w:val="16"/>
                <w:lang w:val="ru-RU"/>
              </w:rPr>
              <w:t>Повышение уровня</w:t>
            </w:r>
            <w:r w:rsidRPr="00AA7998">
              <w:rPr>
                <w:sz w:val="16"/>
                <w:szCs w:val="16"/>
                <w:lang w:val="ru-RU"/>
              </w:rPr>
              <w:t xml:space="preserve"> безопасност</w:t>
            </w:r>
            <w:r>
              <w:rPr>
                <w:sz w:val="16"/>
                <w:szCs w:val="16"/>
                <w:lang w:val="ru-RU"/>
              </w:rPr>
              <w:t>и</w:t>
            </w:r>
            <w:r w:rsidRPr="00AB735C">
              <w:rPr>
                <w:sz w:val="16"/>
                <w:szCs w:val="16"/>
                <w:lang w:val="ru-RU"/>
              </w:rPr>
              <w:t xml:space="preserve"> </w:t>
            </w:r>
            <w:r>
              <w:rPr>
                <w:sz w:val="16"/>
                <w:szCs w:val="16"/>
                <w:lang w:val="ru-RU"/>
              </w:rPr>
              <w:t xml:space="preserve">благодаря </w:t>
            </w:r>
            <w:r w:rsidRPr="00BF4085">
              <w:rPr>
                <w:sz w:val="16"/>
                <w:szCs w:val="16"/>
                <w:lang w:val="ru-RU"/>
              </w:rPr>
              <w:t>устройств</w:t>
            </w:r>
            <w:r>
              <w:rPr>
                <w:sz w:val="16"/>
                <w:szCs w:val="16"/>
                <w:lang w:val="ru-RU"/>
              </w:rPr>
              <w:t xml:space="preserve">у противопожарных перегородок </w:t>
            </w:r>
            <w:r w:rsidRPr="00AB735C">
              <w:rPr>
                <w:sz w:val="16"/>
                <w:szCs w:val="16"/>
                <w:lang w:val="ru-RU"/>
              </w:rPr>
              <w:t>между здания</w:t>
            </w:r>
            <w:r>
              <w:rPr>
                <w:sz w:val="16"/>
                <w:szCs w:val="16"/>
                <w:lang w:val="ru-RU"/>
              </w:rPr>
              <w:t>ми</w:t>
            </w:r>
            <w:r w:rsidRPr="00AB735C">
              <w:rPr>
                <w:sz w:val="16"/>
                <w:szCs w:val="16"/>
                <w:lang w:val="ru-RU"/>
              </w:rPr>
              <w:t xml:space="preserve"> </w:t>
            </w:r>
            <w:r>
              <w:rPr>
                <w:sz w:val="16"/>
                <w:szCs w:val="16"/>
                <w:lang w:val="ru-RU"/>
              </w:rPr>
              <w:t>ГБ-</w:t>
            </w:r>
            <w:r w:rsidRPr="00C960AE">
              <w:rPr>
                <w:sz w:val="16"/>
                <w:szCs w:val="16"/>
                <w:lang w:val="ru-RU"/>
              </w:rPr>
              <w:t xml:space="preserve">1 </w:t>
            </w:r>
            <w:r w:rsidRPr="00AB735C">
              <w:rPr>
                <w:sz w:val="16"/>
                <w:szCs w:val="16"/>
                <w:lang w:val="ru-RU"/>
              </w:rPr>
              <w:t xml:space="preserve">и </w:t>
            </w:r>
            <w:r>
              <w:rPr>
                <w:sz w:val="16"/>
                <w:szCs w:val="16"/>
                <w:lang w:val="ru-RU"/>
              </w:rPr>
              <w:t>ГБ-</w:t>
            </w:r>
            <w:r w:rsidRPr="00911F7B">
              <w:rPr>
                <w:sz w:val="16"/>
                <w:szCs w:val="16"/>
                <w:lang w:val="ru-RU"/>
              </w:rPr>
              <w:t>2</w:t>
            </w:r>
            <w:r w:rsidRPr="00AB735C">
              <w:rPr>
                <w:sz w:val="16"/>
                <w:szCs w:val="16"/>
                <w:lang w:val="ru-RU"/>
              </w:rPr>
              <w:t>.</w:t>
            </w:r>
          </w:p>
        </w:tc>
        <w:tc>
          <w:tcPr>
            <w:tcW w:w="1511" w:type="pct"/>
          </w:tcPr>
          <w:p w:rsidR="00C85043" w:rsidRPr="00AB735C" w:rsidRDefault="00C85043" w:rsidP="00C85043">
            <w:pPr>
              <w:spacing w:before="40" w:after="40"/>
              <w:rPr>
                <w:bCs/>
                <w:sz w:val="16"/>
                <w:szCs w:val="16"/>
                <w:lang w:val="ru-RU"/>
              </w:rPr>
            </w:pPr>
            <w:r>
              <w:rPr>
                <w:sz w:val="16"/>
                <w:szCs w:val="16"/>
                <w:lang w:val="ru-RU"/>
              </w:rPr>
              <w:t xml:space="preserve">Повышение уровня безопасности благодаря </w:t>
            </w:r>
            <w:r w:rsidRPr="00BF4085">
              <w:rPr>
                <w:sz w:val="16"/>
                <w:szCs w:val="16"/>
                <w:lang w:val="ru-RU"/>
              </w:rPr>
              <w:t>устройств</w:t>
            </w:r>
            <w:r>
              <w:rPr>
                <w:sz w:val="16"/>
                <w:szCs w:val="16"/>
                <w:lang w:val="ru-RU"/>
              </w:rPr>
              <w:t>у противопожарных перегородок между зданиями</w:t>
            </w:r>
            <w:r w:rsidRPr="00AB735C">
              <w:rPr>
                <w:sz w:val="16"/>
                <w:szCs w:val="16"/>
                <w:lang w:val="ru-RU"/>
              </w:rPr>
              <w:t xml:space="preserve"> </w:t>
            </w:r>
            <w:r>
              <w:rPr>
                <w:sz w:val="16"/>
                <w:szCs w:val="16"/>
                <w:lang w:val="ru-RU"/>
              </w:rPr>
              <w:t>ГБ-</w:t>
            </w:r>
            <w:r w:rsidRPr="00C960AE">
              <w:rPr>
                <w:sz w:val="16"/>
                <w:szCs w:val="16"/>
                <w:lang w:val="ru-RU"/>
              </w:rPr>
              <w:t xml:space="preserve">1 </w:t>
            </w:r>
            <w:r w:rsidRPr="00AB735C">
              <w:rPr>
                <w:sz w:val="16"/>
                <w:szCs w:val="16"/>
                <w:lang w:val="ru-RU"/>
              </w:rPr>
              <w:t xml:space="preserve">и </w:t>
            </w:r>
            <w:r>
              <w:rPr>
                <w:sz w:val="16"/>
                <w:szCs w:val="16"/>
                <w:lang w:val="ru-RU"/>
              </w:rPr>
              <w:t>ГБ-</w:t>
            </w:r>
            <w:r w:rsidRPr="00911F7B">
              <w:rPr>
                <w:sz w:val="16"/>
                <w:szCs w:val="16"/>
                <w:lang w:val="ru-RU"/>
              </w:rPr>
              <w:t>2</w:t>
            </w:r>
            <w:r w:rsidRPr="00AB735C">
              <w:rPr>
                <w:sz w:val="16"/>
                <w:szCs w:val="16"/>
                <w:lang w:val="ru-RU"/>
              </w:rPr>
              <w:t>.</w:t>
            </w:r>
          </w:p>
        </w:tc>
      </w:tr>
      <w:tr w:rsidR="00C85043" w:rsidRPr="005C6ABD" w:rsidTr="00C85043">
        <w:trPr>
          <w:trHeight w:val="376"/>
          <w:jc w:val="center"/>
        </w:trPr>
        <w:tc>
          <w:tcPr>
            <w:tcW w:w="1346" w:type="pct"/>
            <w:tcBorders>
              <w:top w:val="single" w:sz="4" w:space="0" w:color="auto"/>
              <w:bottom w:val="single" w:sz="4" w:space="0" w:color="auto"/>
            </w:tcBorders>
            <w:shd w:val="clear" w:color="auto" w:fill="auto"/>
            <w:tcMar>
              <w:top w:w="113" w:type="dxa"/>
              <w:bottom w:w="113" w:type="dxa"/>
            </w:tcMar>
          </w:tcPr>
          <w:p w:rsidR="00C85043" w:rsidRPr="00AB735C" w:rsidRDefault="00C85043" w:rsidP="00C85043">
            <w:pPr>
              <w:spacing w:before="40" w:after="40"/>
              <w:rPr>
                <w:b/>
                <w:bCs/>
                <w:sz w:val="16"/>
                <w:szCs w:val="16"/>
                <w:u w:val="single"/>
                <w:lang w:val="ru-RU"/>
              </w:rPr>
            </w:pPr>
          </w:p>
        </w:tc>
        <w:tc>
          <w:tcPr>
            <w:tcW w:w="1071" w:type="pct"/>
            <w:tcBorders>
              <w:top w:val="single" w:sz="4" w:space="0" w:color="auto"/>
              <w:bottom w:val="single" w:sz="4" w:space="0" w:color="auto"/>
            </w:tcBorders>
          </w:tcPr>
          <w:p w:rsidR="00C85043" w:rsidRPr="00AB735C" w:rsidRDefault="00C85043" w:rsidP="00C85043">
            <w:pPr>
              <w:spacing w:before="40" w:after="40"/>
              <w:rPr>
                <w:b/>
                <w:bCs/>
                <w:sz w:val="16"/>
                <w:szCs w:val="16"/>
                <w:u w:val="single"/>
                <w:lang w:val="ru-RU"/>
              </w:rPr>
            </w:pPr>
          </w:p>
        </w:tc>
        <w:tc>
          <w:tcPr>
            <w:tcW w:w="1071" w:type="pct"/>
            <w:shd w:val="clear" w:color="auto" w:fill="auto"/>
          </w:tcPr>
          <w:p w:rsidR="00C85043" w:rsidRPr="00AB735C" w:rsidRDefault="00C85043" w:rsidP="00C85043">
            <w:pPr>
              <w:spacing w:before="40" w:after="40"/>
              <w:rPr>
                <w:sz w:val="16"/>
                <w:szCs w:val="16"/>
                <w:lang w:val="ru-RU"/>
              </w:rPr>
            </w:pPr>
          </w:p>
        </w:tc>
        <w:tc>
          <w:tcPr>
            <w:tcW w:w="1511" w:type="pct"/>
          </w:tcPr>
          <w:p w:rsidR="00C85043" w:rsidRPr="00AB735C" w:rsidRDefault="00C85043" w:rsidP="00C85043">
            <w:pPr>
              <w:spacing w:before="40" w:after="40"/>
              <w:rPr>
                <w:sz w:val="16"/>
                <w:szCs w:val="16"/>
                <w:lang w:val="ru-RU"/>
              </w:rPr>
            </w:pPr>
            <w:r w:rsidRPr="00AA7998">
              <w:rPr>
                <w:sz w:val="16"/>
                <w:szCs w:val="16"/>
                <w:lang w:val="ru-RU"/>
              </w:rPr>
              <w:t xml:space="preserve">Повышение уровня </w:t>
            </w:r>
            <w:r>
              <w:rPr>
                <w:sz w:val="16"/>
                <w:szCs w:val="16"/>
                <w:lang w:val="ru-RU"/>
              </w:rPr>
              <w:t xml:space="preserve">безопасности благодаря </w:t>
            </w:r>
            <w:r w:rsidRPr="00BF4085">
              <w:rPr>
                <w:sz w:val="16"/>
                <w:szCs w:val="16"/>
                <w:lang w:val="ru-RU"/>
              </w:rPr>
              <w:t>устройств</w:t>
            </w:r>
            <w:r>
              <w:rPr>
                <w:sz w:val="16"/>
                <w:szCs w:val="16"/>
                <w:lang w:val="ru-RU"/>
              </w:rPr>
              <w:t>у противопожарных перегородок между участками здания</w:t>
            </w:r>
            <w:r w:rsidRPr="00AB735C">
              <w:rPr>
                <w:sz w:val="16"/>
                <w:szCs w:val="16"/>
                <w:lang w:val="ru-RU"/>
              </w:rPr>
              <w:t xml:space="preserve"> </w:t>
            </w:r>
            <w:r>
              <w:rPr>
                <w:sz w:val="16"/>
                <w:szCs w:val="16"/>
                <w:lang w:val="ru-RU"/>
              </w:rPr>
              <w:t>АБ</w:t>
            </w:r>
            <w:r w:rsidRPr="00AB735C">
              <w:rPr>
                <w:sz w:val="16"/>
                <w:szCs w:val="16"/>
                <w:lang w:val="ru-RU"/>
              </w:rPr>
              <w:t>.</w:t>
            </w:r>
          </w:p>
        </w:tc>
      </w:tr>
    </w:tbl>
    <w:p w:rsidR="00C85043" w:rsidRPr="00AB735C" w:rsidRDefault="00C85043" w:rsidP="00C85043">
      <w:pPr>
        <w:rPr>
          <w:szCs w:val="20"/>
          <w:lang w:val="ru-RU"/>
        </w:rPr>
      </w:pPr>
    </w:p>
    <w:p w:rsidR="00C85043" w:rsidRPr="00AB735C" w:rsidRDefault="00C85043" w:rsidP="00C85043">
      <w:pPr>
        <w:rPr>
          <w:szCs w:val="20"/>
          <w:lang w:val="ru-RU"/>
        </w:rPr>
      </w:pPr>
    </w:p>
    <w:p w:rsidR="00C85043" w:rsidRPr="0055183A" w:rsidRDefault="00C85043" w:rsidP="00C85043">
      <w:pPr>
        <w:rPr>
          <w:rFonts w:cs="Arial"/>
          <w:color w:val="000000"/>
          <w:szCs w:val="20"/>
          <w:lang w:val="ru-RU"/>
        </w:rPr>
      </w:pPr>
      <w:r>
        <w:rPr>
          <w:rFonts w:cs="Arial"/>
          <w:color w:val="000000"/>
          <w:szCs w:val="20"/>
          <w:lang w:val="ru-RU"/>
        </w:rPr>
        <w:br w:type="page"/>
      </w:r>
      <w:r w:rsidRPr="0055183A">
        <w:rPr>
          <w:rFonts w:cs="Arial"/>
          <w:color w:val="000000"/>
          <w:szCs w:val="20"/>
          <w:lang w:val="ru-RU"/>
        </w:rPr>
        <w:t>ИСПОЛЬЗОВАНИЕ РЕСУРСОВ</w:t>
      </w:r>
      <w:r w:rsidRPr="00ED7C01">
        <w:rPr>
          <w:rStyle w:val="FootnoteReference"/>
          <w:szCs w:val="20"/>
        </w:rPr>
        <w:footnoteReference w:id="182"/>
      </w:r>
      <w:r w:rsidRPr="0055183A">
        <w:rPr>
          <w:rFonts w:cs="Arial"/>
          <w:color w:val="000000"/>
          <w:szCs w:val="20"/>
          <w:lang w:val="ru-RU"/>
        </w:rPr>
        <w:tab/>
      </w:r>
    </w:p>
    <w:p w:rsidR="00C85043" w:rsidRPr="0055183A" w:rsidRDefault="00C85043" w:rsidP="00C85043">
      <w:pPr>
        <w:rPr>
          <w:rFonts w:cs="Arial"/>
          <w:color w:val="000000"/>
          <w:sz w:val="22"/>
          <w:szCs w:val="22"/>
          <w:lang w:val="ru-RU"/>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szCs w:val="22"/>
          <w:lang w:val="ru-RU"/>
        </w:rPr>
        <w:t xml:space="preserve">Сумма бюджетных средств, освоенных в рамках проекта </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pPr w:leftFromText="180" w:rightFromText="180" w:vertAnchor="text" w:horzAnchor="margin" w:tblpX="182" w:tblpY="17"/>
        <w:tblW w:w="47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0"/>
        <w:gridCol w:w="1759"/>
        <w:gridCol w:w="1711"/>
        <w:gridCol w:w="1225"/>
        <w:gridCol w:w="1546"/>
      </w:tblGrid>
      <w:tr w:rsidR="00C85043" w:rsidRPr="009A7C08" w:rsidTr="00C85043">
        <w:trPr>
          <w:trHeight w:val="410"/>
        </w:trPr>
        <w:tc>
          <w:tcPr>
            <w:tcW w:w="160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A7C08" w:rsidRDefault="00C85043" w:rsidP="00C85043">
            <w:pPr>
              <w:keepNext/>
              <w:keepLines/>
              <w:autoSpaceDE w:val="0"/>
              <w:autoSpaceDN w:val="0"/>
              <w:adjustRightInd w:val="0"/>
              <w:spacing w:before="40" w:after="40"/>
              <w:ind w:left="-74" w:right="-60"/>
              <w:jc w:val="center"/>
              <w:rPr>
                <w:b/>
                <w:bCs/>
                <w:sz w:val="16"/>
                <w:szCs w:val="16"/>
                <w:lang w:val="fr-CH"/>
              </w:rPr>
            </w:pPr>
            <w:r>
              <w:rPr>
                <w:b/>
                <w:bCs/>
                <w:sz w:val="16"/>
                <w:szCs w:val="16"/>
                <w:lang w:val="fr-CH"/>
              </w:rPr>
              <w:t>Наименование проекта</w:t>
            </w:r>
          </w:p>
        </w:tc>
        <w:tc>
          <w:tcPr>
            <w:tcW w:w="95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A7C08" w:rsidRDefault="00C85043" w:rsidP="00C85043">
            <w:pPr>
              <w:keepNext/>
              <w:keepLines/>
              <w:autoSpaceDE w:val="0"/>
              <w:autoSpaceDN w:val="0"/>
              <w:adjustRightInd w:val="0"/>
              <w:spacing w:before="40" w:after="40"/>
              <w:ind w:left="-107" w:right="-108"/>
              <w:jc w:val="center"/>
              <w:rPr>
                <w:b/>
                <w:bCs/>
                <w:sz w:val="16"/>
                <w:szCs w:val="16"/>
                <w:lang w:val="fr-CH"/>
              </w:rPr>
            </w:pPr>
            <w:r>
              <w:rPr>
                <w:b/>
                <w:bCs/>
                <w:sz w:val="16"/>
                <w:szCs w:val="16"/>
                <w:lang w:val="fr-CH"/>
              </w:rPr>
              <w:t>Смета по проекту</w:t>
            </w:r>
          </w:p>
        </w:tc>
        <w:tc>
          <w:tcPr>
            <w:tcW w:w="93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2521BC" w:rsidRDefault="00C85043" w:rsidP="00C85043">
            <w:pPr>
              <w:keepNext/>
              <w:keepLines/>
              <w:autoSpaceDE w:val="0"/>
              <w:autoSpaceDN w:val="0"/>
              <w:adjustRightInd w:val="0"/>
              <w:spacing w:before="40" w:after="40"/>
              <w:ind w:left="-108" w:right="-106"/>
              <w:jc w:val="center"/>
              <w:rPr>
                <w:b/>
                <w:bCs/>
                <w:sz w:val="16"/>
                <w:szCs w:val="16"/>
                <w:lang w:val="ru-RU"/>
              </w:rPr>
            </w:pPr>
            <w:r w:rsidRPr="002521BC">
              <w:rPr>
                <w:b/>
                <w:bCs/>
                <w:sz w:val="16"/>
                <w:szCs w:val="16"/>
                <w:lang w:val="ru-RU"/>
              </w:rPr>
              <w:t>Фактические расходы по настоящее время</w:t>
            </w:r>
          </w:p>
        </w:tc>
        <w:tc>
          <w:tcPr>
            <w:tcW w:w="667"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9A7C08" w:rsidRDefault="00C85043" w:rsidP="00C85043">
            <w:pPr>
              <w:keepNext/>
              <w:keepLines/>
              <w:autoSpaceDE w:val="0"/>
              <w:autoSpaceDN w:val="0"/>
              <w:adjustRightInd w:val="0"/>
              <w:spacing w:before="40" w:after="40"/>
              <w:ind w:left="-109" w:right="-108"/>
              <w:jc w:val="center"/>
              <w:rPr>
                <w:b/>
                <w:bCs/>
                <w:sz w:val="16"/>
                <w:szCs w:val="16"/>
                <w:lang w:val="fr-CH"/>
              </w:rPr>
            </w:pPr>
            <w:r>
              <w:rPr>
                <w:b/>
                <w:bCs/>
                <w:sz w:val="16"/>
                <w:szCs w:val="16"/>
                <w:lang w:val="fr-CH"/>
              </w:rPr>
              <w:t>Фактически освоено бюджетных средств</w:t>
            </w:r>
          </w:p>
        </w:tc>
        <w:tc>
          <w:tcPr>
            <w:tcW w:w="84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9178E" w:rsidRDefault="00C85043" w:rsidP="00C85043">
            <w:pPr>
              <w:keepNext/>
              <w:keepLines/>
              <w:autoSpaceDE w:val="0"/>
              <w:autoSpaceDN w:val="0"/>
              <w:adjustRightInd w:val="0"/>
              <w:spacing w:before="40" w:after="40"/>
              <w:ind w:left="-109" w:right="-73" w:firstLine="1"/>
              <w:jc w:val="center"/>
              <w:rPr>
                <w:b/>
                <w:bCs/>
                <w:sz w:val="16"/>
                <w:szCs w:val="16"/>
              </w:rPr>
            </w:pPr>
            <w:r>
              <w:rPr>
                <w:b/>
                <w:bCs/>
                <w:sz w:val="16"/>
                <w:szCs w:val="16"/>
              </w:rPr>
              <w:t>Степень реализации проекта</w:t>
            </w:r>
          </w:p>
        </w:tc>
      </w:tr>
      <w:tr w:rsidR="00C85043" w:rsidRPr="009A7C08" w:rsidTr="00C85043">
        <w:trPr>
          <w:trHeight w:val="389"/>
        </w:trPr>
        <w:tc>
          <w:tcPr>
            <w:tcW w:w="1601" w:type="pct"/>
            <w:tcBorders>
              <w:top w:val="single" w:sz="4" w:space="0" w:color="auto"/>
              <w:left w:val="single" w:sz="4" w:space="0" w:color="auto"/>
              <w:bottom w:val="single" w:sz="4" w:space="0" w:color="auto"/>
              <w:right w:val="single" w:sz="4" w:space="0" w:color="auto"/>
            </w:tcBorders>
            <w:vAlign w:val="center"/>
          </w:tcPr>
          <w:p w:rsidR="00C85043" w:rsidRPr="008C15AF" w:rsidRDefault="00C85043" w:rsidP="00C85043">
            <w:pPr>
              <w:keepNext/>
              <w:keepLines/>
              <w:autoSpaceDE w:val="0"/>
              <w:autoSpaceDN w:val="0"/>
              <w:adjustRightInd w:val="0"/>
              <w:spacing w:before="40" w:after="40"/>
              <w:jc w:val="center"/>
              <w:rPr>
                <w:sz w:val="16"/>
                <w:szCs w:val="16"/>
                <w:lang w:val="ru-RU"/>
              </w:rPr>
            </w:pPr>
            <w:r w:rsidRPr="008C15AF">
              <w:rPr>
                <w:sz w:val="16"/>
                <w:szCs w:val="16"/>
                <w:lang w:val="ru-RU"/>
              </w:rPr>
              <w:t xml:space="preserve">Меры обеспечения </w:t>
            </w:r>
            <w:r>
              <w:rPr>
                <w:sz w:val="16"/>
                <w:szCs w:val="16"/>
                <w:lang w:val="ru-RU"/>
              </w:rPr>
              <w:t>физической и пожарной безопасности</w:t>
            </w:r>
          </w:p>
        </w:tc>
        <w:tc>
          <w:tcPr>
            <w:tcW w:w="958" w:type="pct"/>
            <w:tcBorders>
              <w:top w:val="single" w:sz="4" w:space="0" w:color="auto"/>
              <w:left w:val="single" w:sz="4" w:space="0" w:color="auto"/>
              <w:bottom w:val="single" w:sz="4" w:space="0" w:color="auto"/>
              <w:right w:val="single" w:sz="4" w:space="0" w:color="auto"/>
            </w:tcBorders>
            <w:vAlign w:val="center"/>
          </w:tcPr>
          <w:p w:rsidR="00C85043" w:rsidRPr="0004498F" w:rsidRDefault="00C85043" w:rsidP="00C85043">
            <w:pPr>
              <w:keepNext/>
              <w:keepLines/>
              <w:autoSpaceDE w:val="0"/>
              <w:autoSpaceDN w:val="0"/>
              <w:adjustRightInd w:val="0"/>
              <w:spacing w:before="40" w:after="40"/>
              <w:jc w:val="center"/>
              <w:rPr>
                <w:sz w:val="16"/>
                <w:szCs w:val="16"/>
                <w:lang w:val="fr-CH"/>
              </w:rPr>
            </w:pPr>
            <w:r w:rsidRPr="0004498F">
              <w:rPr>
                <w:sz w:val="16"/>
                <w:szCs w:val="16"/>
                <w:lang w:val="fr-CH"/>
              </w:rPr>
              <w:t>400</w:t>
            </w:r>
            <w:r>
              <w:rPr>
                <w:sz w:val="16"/>
                <w:szCs w:val="16"/>
                <w:lang w:val="fr-CH"/>
              </w:rPr>
              <w:t> </w:t>
            </w:r>
            <w:r w:rsidRPr="0004498F">
              <w:rPr>
                <w:sz w:val="16"/>
                <w:szCs w:val="16"/>
                <w:lang w:val="fr-CH"/>
              </w:rPr>
              <w:t>000</w:t>
            </w:r>
          </w:p>
        </w:tc>
        <w:tc>
          <w:tcPr>
            <w:tcW w:w="932" w:type="pct"/>
            <w:tcBorders>
              <w:top w:val="single" w:sz="4" w:space="0" w:color="auto"/>
              <w:left w:val="single" w:sz="4" w:space="0" w:color="auto"/>
              <w:bottom w:val="single" w:sz="4" w:space="0" w:color="auto"/>
              <w:right w:val="single" w:sz="4" w:space="0" w:color="auto"/>
            </w:tcBorders>
            <w:vAlign w:val="center"/>
          </w:tcPr>
          <w:p w:rsidR="00C85043" w:rsidRPr="0004498F" w:rsidRDefault="00C85043" w:rsidP="00C85043">
            <w:pPr>
              <w:keepNext/>
              <w:keepLines/>
              <w:autoSpaceDE w:val="0"/>
              <w:autoSpaceDN w:val="0"/>
              <w:adjustRightInd w:val="0"/>
              <w:spacing w:before="40" w:after="40"/>
              <w:jc w:val="center"/>
              <w:rPr>
                <w:sz w:val="16"/>
                <w:szCs w:val="16"/>
                <w:lang w:val="fr-CH"/>
              </w:rPr>
            </w:pPr>
            <w:r>
              <w:rPr>
                <w:sz w:val="16"/>
                <w:szCs w:val="16"/>
                <w:lang w:val="fr-CH"/>
              </w:rPr>
              <w:t>122 587</w:t>
            </w:r>
          </w:p>
        </w:tc>
        <w:tc>
          <w:tcPr>
            <w:tcW w:w="667" w:type="pct"/>
            <w:tcBorders>
              <w:top w:val="single" w:sz="4" w:space="0" w:color="auto"/>
              <w:left w:val="single" w:sz="4" w:space="0" w:color="auto"/>
              <w:bottom w:val="single" w:sz="4" w:space="0" w:color="auto"/>
              <w:right w:val="single" w:sz="4" w:space="0" w:color="auto"/>
            </w:tcBorders>
            <w:vAlign w:val="center"/>
          </w:tcPr>
          <w:p w:rsidR="00C85043" w:rsidRPr="0004498F" w:rsidRDefault="00C85043" w:rsidP="00C85043">
            <w:pPr>
              <w:keepNext/>
              <w:keepLines/>
              <w:autoSpaceDE w:val="0"/>
              <w:autoSpaceDN w:val="0"/>
              <w:adjustRightInd w:val="0"/>
              <w:spacing w:before="40" w:after="40"/>
              <w:jc w:val="center"/>
              <w:rPr>
                <w:sz w:val="16"/>
                <w:szCs w:val="16"/>
                <w:lang w:val="fr-CH"/>
              </w:rPr>
            </w:pPr>
            <w:r>
              <w:rPr>
                <w:sz w:val="16"/>
                <w:szCs w:val="16"/>
                <w:lang w:val="fr-CH"/>
              </w:rPr>
              <w:t>31%</w:t>
            </w:r>
          </w:p>
        </w:tc>
        <w:tc>
          <w:tcPr>
            <w:tcW w:w="842" w:type="pct"/>
            <w:tcBorders>
              <w:top w:val="single" w:sz="4" w:space="0" w:color="auto"/>
              <w:left w:val="single" w:sz="4" w:space="0" w:color="auto"/>
              <w:bottom w:val="single" w:sz="4" w:space="0" w:color="auto"/>
              <w:right w:val="single" w:sz="4" w:space="0" w:color="auto"/>
            </w:tcBorders>
            <w:vAlign w:val="center"/>
          </w:tcPr>
          <w:p w:rsidR="00C85043" w:rsidRPr="0004498F" w:rsidRDefault="00C85043" w:rsidP="00C85043">
            <w:pPr>
              <w:keepNext/>
              <w:keepLines/>
              <w:autoSpaceDE w:val="0"/>
              <w:autoSpaceDN w:val="0"/>
              <w:adjustRightInd w:val="0"/>
              <w:spacing w:before="40" w:after="40"/>
              <w:jc w:val="center"/>
              <w:rPr>
                <w:sz w:val="16"/>
                <w:szCs w:val="16"/>
                <w:lang w:val="fr-CH"/>
              </w:rPr>
            </w:pPr>
            <w:r>
              <w:rPr>
                <w:sz w:val="16"/>
                <w:szCs w:val="16"/>
                <w:lang w:val="fr-CH"/>
              </w:rPr>
              <w:t>40%</w:t>
            </w:r>
          </w:p>
        </w:tc>
      </w:tr>
    </w:tbl>
    <w:p w:rsidR="00C85043" w:rsidRPr="009A7C08" w:rsidRDefault="00C85043" w:rsidP="00C85043">
      <w:pPr>
        <w:keepNext/>
        <w:autoSpaceDE w:val="0"/>
        <w:autoSpaceDN w:val="0"/>
        <w:rPr>
          <w:sz w:val="16"/>
          <w:szCs w:val="16"/>
          <w:lang w:val="fr-CH"/>
        </w:rPr>
      </w:pPr>
    </w:p>
    <w:p w:rsidR="00C85043" w:rsidRDefault="00C85043" w:rsidP="00C85043">
      <w:pPr>
        <w:spacing w:after="200" w:line="276" w:lineRule="auto"/>
        <w:rPr>
          <w:b/>
          <w:szCs w:val="22"/>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szCs w:val="22"/>
          <w:lang w:val="ru-RU"/>
        </w:rPr>
        <w:t>Сумма бюджетных средств, освоенных в рамках проекта (</w:t>
      </w:r>
      <w:r>
        <w:rPr>
          <w:b/>
          <w:szCs w:val="22"/>
          <w:lang w:val="ru-RU"/>
        </w:rPr>
        <w:t>в разбивке по основным результатам</w:t>
      </w:r>
      <w:r w:rsidRPr="007F540C">
        <w:rPr>
          <w:b/>
          <w:szCs w:val="22"/>
          <w:lang w:val="ru-RU"/>
        </w:rPr>
        <w:t>)</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 xml:space="preserve">(в шв. франках по состоянию на 31 декабря 2015 г.) </w:t>
      </w:r>
    </w:p>
    <w:tbl>
      <w:tblPr>
        <w:tblpPr w:leftFromText="180" w:rightFromText="180" w:vertAnchor="text" w:horzAnchor="margin" w:tblpX="182" w:tblpY="17"/>
        <w:tblW w:w="48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7"/>
        <w:gridCol w:w="1387"/>
        <w:gridCol w:w="1588"/>
        <w:gridCol w:w="1562"/>
        <w:gridCol w:w="1698"/>
      </w:tblGrid>
      <w:tr w:rsidR="00C85043" w:rsidRPr="005C6ABD" w:rsidTr="00C85043">
        <w:trPr>
          <w:trHeight w:val="410"/>
        </w:trPr>
        <w:tc>
          <w:tcPr>
            <w:tcW w:w="165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autoSpaceDE w:val="0"/>
              <w:autoSpaceDN w:val="0"/>
              <w:adjustRightInd w:val="0"/>
              <w:spacing w:before="40" w:after="40"/>
              <w:ind w:left="-74" w:right="-60"/>
              <w:jc w:val="center"/>
              <w:rPr>
                <w:b/>
                <w:bCs/>
                <w:sz w:val="16"/>
                <w:szCs w:val="16"/>
              </w:rPr>
            </w:pPr>
            <w:r>
              <w:rPr>
                <w:b/>
                <w:bCs/>
                <w:sz w:val="16"/>
                <w:szCs w:val="16"/>
              </w:rPr>
              <w:t>Основной результат</w:t>
            </w:r>
          </w:p>
        </w:tc>
        <w:tc>
          <w:tcPr>
            <w:tcW w:w="74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autoSpaceDE w:val="0"/>
              <w:autoSpaceDN w:val="0"/>
              <w:adjustRightInd w:val="0"/>
              <w:spacing w:before="40" w:after="40"/>
              <w:ind w:left="-107" w:right="-108"/>
              <w:jc w:val="center"/>
              <w:rPr>
                <w:b/>
                <w:bCs/>
                <w:sz w:val="16"/>
                <w:szCs w:val="16"/>
              </w:rPr>
            </w:pPr>
            <w:r>
              <w:rPr>
                <w:b/>
                <w:bCs/>
                <w:sz w:val="16"/>
                <w:szCs w:val="16"/>
              </w:rPr>
              <w:t>Смета по проекту</w:t>
            </w:r>
          </w:p>
        </w:tc>
        <w:tc>
          <w:tcPr>
            <w:tcW w:w="85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autoSpaceDE w:val="0"/>
              <w:autoSpaceDN w:val="0"/>
              <w:adjustRightInd w:val="0"/>
              <w:spacing w:before="40" w:after="40"/>
              <w:ind w:left="-108" w:right="-106"/>
              <w:jc w:val="center"/>
              <w:rPr>
                <w:b/>
                <w:bCs/>
                <w:sz w:val="16"/>
                <w:szCs w:val="16"/>
                <w:lang w:val="ru-RU"/>
              </w:rPr>
            </w:pPr>
            <w:r w:rsidRPr="00715C25">
              <w:rPr>
                <w:b/>
                <w:bCs/>
                <w:sz w:val="16"/>
                <w:szCs w:val="16"/>
                <w:lang w:val="ru-RU"/>
              </w:rPr>
              <w:t>Фактические расходы по настоящее время</w:t>
            </w:r>
          </w:p>
        </w:tc>
        <w:tc>
          <w:tcPr>
            <w:tcW w:w="838"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autoSpaceDE w:val="0"/>
              <w:autoSpaceDN w:val="0"/>
              <w:adjustRightInd w:val="0"/>
              <w:spacing w:before="40" w:after="40"/>
              <w:ind w:left="-109" w:right="-108"/>
              <w:jc w:val="center"/>
              <w:rPr>
                <w:b/>
                <w:bCs/>
                <w:sz w:val="16"/>
                <w:szCs w:val="16"/>
              </w:rPr>
            </w:pPr>
            <w:r>
              <w:rPr>
                <w:b/>
                <w:bCs/>
                <w:sz w:val="16"/>
                <w:szCs w:val="16"/>
              </w:rPr>
              <w:t>Фактически освоено бюджетных средств</w:t>
            </w:r>
          </w:p>
        </w:tc>
        <w:tc>
          <w:tcPr>
            <w:tcW w:w="911"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autoSpaceDE w:val="0"/>
              <w:autoSpaceDN w:val="0"/>
              <w:adjustRightInd w:val="0"/>
              <w:spacing w:before="40" w:after="40"/>
              <w:ind w:left="-109" w:right="-73" w:firstLine="1"/>
              <w:jc w:val="center"/>
              <w:rPr>
                <w:b/>
                <w:bCs/>
                <w:sz w:val="16"/>
                <w:szCs w:val="16"/>
                <w:lang w:val="ru-RU"/>
              </w:rPr>
            </w:pPr>
            <w:r w:rsidRPr="00715C25">
              <w:rPr>
                <w:b/>
                <w:bCs/>
                <w:sz w:val="16"/>
                <w:szCs w:val="16"/>
                <w:lang w:val="ru-RU"/>
              </w:rPr>
              <w:t xml:space="preserve">Степень реализации проекта </w:t>
            </w:r>
            <w:r>
              <w:rPr>
                <w:b/>
                <w:bCs/>
                <w:sz w:val="16"/>
                <w:szCs w:val="16"/>
                <w:lang w:val="ru-RU"/>
              </w:rPr>
              <w:t>в разбивке по основным результатам</w:t>
            </w:r>
          </w:p>
        </w:tc>
      </w:tr>
      <w:tr w:rsidR="00C85043" w:rsidRPr="009A7C08" w:rsidTr="00C85043">
        <w:trPr>
          <w:trHeight w:val="389"/>
        </w:trPr>
        <w:tc>
          <w:tcPr>
            <w:tcW w:w="1655" w:type="pct"/>
            <w:tcBorders>
              <w:top w:val="single" w:sz="4" w:space="0" w:color="auto"/>
              <w:left w:val="single" w:sz="4" w:space="0" w:color="auto"/>
              <w:bottom w:val="single" w:sz="4" w:space="0" w:color="auto"/>
              <w:right w:val="single" w:sz="4" w:space="0" w:color="auto"/>
            </w:tcBorders>
            <w:vAlign w:val="center"/>
          </w:tcPr>
          <w:p w:rsidR="00C85043" w:rsidRPr="005C7711" w:rsidRDefault="00C85043" w:rsidP="00C85043">
            <w:pPr>
              <w:autoSpaceDE w:val="0"/>
              <w:autoSpaceDN w:val="0"/>
              <w:adjustRightInd w:val="0"/>
              <w:spacing w:before="40" w:after="40"/>
              <w:rPr>
                <w:sz w:val="16"/>
                <w:szCs w:val="16"/>
                <w:lang w:val="ru-RU"/>
              </w:rPr>
            </w:pPr>
            <w:r>
              <w:rPr>
                <w:sz w:val="16"/>
                <w:szCs w:val="16"/>
                <w:lang w:val="ru-RU"/>
              </w:rPr>
              <w:t>Секционирование здания</w:t>
            </w:r>
            <w:r w:rsidRPr="009044EE">
              <w:rPr>
                <w:sz w:val="16"/>
                <w:szCs w:val="16"/>
                <w:lang w:val="ru-RU"/>
              </w:rPr>
              <w:t xml:space="preserve"> РСТ</w:t>
            </w:r>
          </w:p>
        </w:tc>
        <w:tc>
          <w:tcPr>
            <w:tcW w:w="744"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sidRPr="005158E3">
              <w:rPr>
                <w:sz w:val="16"/>
                <w:szCs w:val="16"/>
              </w:rPr>
              <w:t>45</w:t>
            </w:r>
            <w:r>
              <w:rPr>
                <w:sz w:val="16"/>
                <w:szCs w:val="16"/>
              </w:rPr>
              <w:t> </w:t>
            </w:r>
            <w:r w:rsidRPr="005158E3">
              <w:rPr>
                <w:sz w:val="16"/>
                <w:szCs w:val="16"/>
              </w:rPr>
              <w:t>000</w:t>
            </w:r>
          </w:p>
        </w:tc>
        <w:tc>
          <w:tcPr>
            <w:tcW w:w="852"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44 392</w:t>
            </w:r>
          </w:p>
        </w:tc>
        <w:tc>
          <w:tcPr>
            <w:tcW w:w="838"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98%</w:t>
            </w:r>
          </w:p>
        </w:tc>
        <w:tc>
          <w:tcPr>
            <w:tcW w:w="911"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100%</w:t>
            </w:r>
          </w:p>
        </w:tc>
      </w:tr>
      <w:tr w:rsidR="00C85043" w:rsidRPr="009A7C08" w:rsidTr="00C85043">
        <w:trPr>
          <w:trHeight w:val="389"/>
        </w:trPr>
        <w:tc>
          <w:tcPr>
            <w:tcW w:w="1655" w:type="pct"/>
            <w:tcBorders>
              <w:top w:val="single" w:sz="4" w:space="0" w:color="auto"/>
              <w:left w:val="single" w:sz="4" w:space="0" w:color="auto"/>
              <w:bottom w:val="single" w:sz="4" w:space="0" w:color="auto"/>
              <w:right w:val="single" w:sz="4" w:space="0" w:color="auto"/>
            </w:tcBorders>
            <w:vAlign w:val="center"/>
          </w:tcPr>
          <w:p w:rsidR="00C85043" w:rsidRPr="001351D8" w:rsidRDefault="00C85043" w:rsidP="00C85043">
            <w:pPr>
              <w:autoSpaceDE w:val="0"/>
              <w:autoSpaceDN w:val="0"/>
              <w:adjustRightInd w:val="0"/>
              <w:spacing w:before="40" w:after="40"/>
              <w:rPr>
                <w:sz w:val="16"/>
                <w:szCs w:val="16"/>
                <w:lang w:val="ru-RU"/>
              </w:rPr>
            </w:pPr>
            <w:r w:rsidRPr="00BF4085">
              <w:rPr>
                <w:sz w:val="16"/>
                <w:szCs w:val="16"/>
                <w:lang w:val="ru-RU"/>
              </w:rPr>
              <w:t>Усовершенствованное</w:t>
            </w:r>
            <w:r>
              <w:rPr>
                <w:sz w:val="16"/>
                <w:szCs w:val="16"/>
                <w:lang w:val="ru-RU"/>
              </w:rPr>
              <w:t xml:space="preserve"> пространственное </w:t>
            </w:r>
            <w:r w:rsidRPr="00176F23">
              <w:rPr>
                <w:sz w:val="16"/>
                <w:szCs w:val="16"/>
                <w:lang w:val="ru-RU"/>
              </w:rPr>
              <w:t>решени</w:t>
            </w:r>
            <w:r>
              <w:rPr>
                <w:sz w:val="16"/>
                <w:szCs w:val="16"/>
                <w:lang w:val="ru-RU"/>
              </w:rPr>
              <w:t>е</w:t>
            </w:r>
            <w:r w:rsidRPr="009044EE">
              <w:rPr>
                <w:sz w:val="16"/>
                <w:szCs w:val="16"/>
                <w:lang w:val="ru-RU"/>
              </w:rPr>
              <w:t xml:space="preserve"> </w:t>
            </w:r>
            <w:r>
              <w:rPr>
                <w:sz w:val="16"/>
                <w:szCs w:val="16"/>
                <w:lang w:val="ru-RU"/>
              </w:rPr>
              <w:t xml:space="preserve">секции </w:t>
            </w:r>
            <w:r w:rsidRPr="009044EE">
              <w:rPr>
                <w:sz w:val="16"/>
                <w:szCs w:val="16"/>
                <w:lang w:val="ru-RU"/>
              </w:rPr>
              <w:t xml:space="preserve">для делегатов </w:t>
            </w:r>
            <w:r>
              <w:rPr>
                <w:sz w:val="16"/>
                <w:szCs w:val="16"/>
                <w:lang w:val="ru-RU"/>
              </w:rPr>
              <w:t>в здании</w:t>
            </w:r>
            <w:r w:rsidRPr="009044EE">
              <w:rPr>
                <w:sz w:val="16"/>
                <w:szCs w:val="16"/>
                <w:lang w:val="ru-RU"/>
              </w:rPr>
              <w:t xml:space="preserve"> АВ-2</w:t>
            </w:r>
            <w:r>
              <w:rPr>
                <w:sz w:val="16"/>
                <w:szCs w:val="16"/>
                <w:lang w:val="ru-RU"/>
              </w:rPr>
              <w:t xml:space="preserve"> </w:t>
            </w:r>
            <w:r w:rsidRPr="009044EE">
              <w:rPr>
                <w:sz w:val="16"/>
                <w:szCs w:val="16"/>
                <w:lang w:val="ru-RU"/>
              </w:rPr>
              <w:t>/</w:t>
            </w:r>
            <w:r>
              <w:rPr>
                <w:sz w:val="16"/>
                <w:szCs w:val="16"/>
                <w:lang w:val="ru-RU"/>
              </w:rPr>
              <w:t xml:space="preserve"> </w:t>
            </w:r>
            <w:r w:rsidRPr="00BF4085">
              <w:rPr>
                <w:sz w:val="16"/>
                <w:szCs w:val="16"/>
                <w:lang w:val="ru-RU"/>
              </w:rPr>
              <w:t>Устройств</w:t>
            </w:r>
            <w:r>
              <w:rPr>
                <w:sz w:val="16"/>
                <w:szCs w:val="16"/>
                <w:lang w:val="ru-RU"/>
              </w:rPr>
              <w:t>о</w:t>
            </w:r>
            <w:r w:rsidRPr="009044EE">
              <w:rPr>
                <w:sz w:val="16"/>
                <w:szCs w:val="16"/>
                <w:lang w:val="ru-RU"/>
              </w:rPr>
              <w:t xml:space="preserve"> разделительной камеры на </w:t>
            </w:r>
            <w:r>
              <w:rPr>
                <w:sz w:val="16"/>
                <w:szCs w:val="16"/>
                <w:lang w:val="ru-RU"/>
              </w:rPr>
              <w:t>лифтовой</w:t>
            </w:r>
            <w:r w:rsidRPr="009044EE">
              <w:rPr>
                <w:sz w:val="16"/>
                <w:szCs w:val="16"/>
                <w:lang w:val="ru-RU"/>
              </w:rPr>
              <w:t xml:space="preserve"> площадке в </w:t>
            </w:r>
            <w:r>
              <w:rPr>
                <w:sz w:val="16"/>
                <w:szCs w:val="16"/>
                <w:lang w:val="ru-RU"/>
              </w:rPr>
              <w:t xml:space="preserve">здании </w:t>
            </w:r>
            <w:r w:rsidRPr="009044EE">
              <w:rPr>
                <w:sz w:val="16"/>
                <w:szCs w:val="16"/>
                <w:lang w:val="ru-RU"/>
              </w:rPr>
              <w:t>АВ-2</w:t>
            </w:r>
          </w:p>
        </w:tc>
        <w:tc>
          <w:tcPr>
            <w:tcW w:w="744"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sidRPr="005158E3">
              <w:rPr>
                <w:sz w:val="16"/>
                <w:szCs w:val="16"/>
              </w:rPr>
              <w:t>55</w:t>
            </w:r>
            <w:r>
              <w:rPr>
                <w:sz w:val="16"/>
                <w:szCs w:val="16"/>
              </w:rPr>
              <w:t> </w:t>
            </w:r>
            <w:r w:rsidRPr="005158E3">
              <w:rPr>
                <w:sz w:val="16"/>
                <w:szCs w:val="16"/>
              </w:rPr>
              <w:t>000</w:t>
            </w:r>
          </w:p>
        </w:tc>
        <w:tc>
          <w:tcPr>
            <w:tcW w:w="852"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78 195</w:t>
            </w:r>
          </w:p>
        </w:tc>
        <w:tc>
          <w:tcPr>
            <w:tcW w:w="838"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142%</w:t>
            </w:r>
          </w:p>
        </w:tc>
        <w:tc>
          <w:tcPr>
            <w:tcW w:w="911"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100%</w:t>
            </w:r>
          </w:p>
        </w:tc>
      </w:tr>
      <w:tr w:rsidR="00C85043" w:rsidRPr="009A7C08" w:rsidTr="00C85043">
        <w:trPr>
          <w:trHeight w:val="389"/>
        </w:trPr>
        <w:tc>
          <w:tcPr>
            <w:tcW w:w="1655" w:type="pct"/>
            <w:tcBorders>
              <w:top w:val="single" w:sz="4" w:space="0" w:color="auto"/>
              <w:left w:val="single" w:sz="4" w:space="0" w:color="auto"/>
              <w:bottom w:val="single" w:sz="4" w:space="0" w:color="auto"/>
              <w:right w:val="single" w:sz="4" w:space="0" w:color="auto"/>
            </w:tcBorders>
            <w:vAlign w:val="center"/>
          </w:tcPr>
          <w:p w:rsidR="00C85043" w:rsidRPr="001351D8" w:rsidRDefault="00C85043" w:rsidP="00C85043">
            <w:pPr>
              <w:autoSpaceDE w:val="0"/>
              <w:autoSpaceDN w:val="0"/>
              <w:adjustRightInd w:val="0"/>
              <w:spacing w:before="40" w:after="40"/>
              <w:rPr>
                <w:sz w:val="16"/>
                <w:szCs w:val="16"/>
                <w:lang w:val="ru-RU"/>
              </w:rPr>
            </w:pPr>
            <w:r>
              <w:rPr>
                <w:sz w:val="16"/>
                <w:szCs w:val="16"/>
                <w:lang w:val="ru-RU"/>
              </w:rPr>
              <w:t xml:space="preserve">Обоснование и </w:t>
            </w:r>
            <w:r w:rsidRPr="001D4001">
              <w:rPr>
                <w:sz w:val="16"/>
                <w:szCs w:val="16"/>
                <w:lang w:val="ru-RU"/>
              </w:rPr>
              <w:t>разработк</w:t>
            </w:r>
            <w:r>
              <w:rPr>
                <w:sz w:val="16"/>
                <w:szCs w:val="16"/>
                <w:lang w:val="ru-RU"/>
              </w:rPr>
              <w:t xml:space="preserve">а </w:t>
            </w:r>
            <w:r w:rsidRPr="009044EE">
              <w:rPr>
                <w:sz w:val="16"/>
                <w:szCs w:val="16"/>
                <w:lang w:val="ru-RU"/>
              </w:rPr>
              <w:t>проект</w:t>
            </w:r>
            <w:r>
              <w:rPr>
                <w:sz w:val="16"/>
                <w:szCs w:val="16"/>
                <w:lang w:val="ru-RU"/>
              </w:rPr>
              <w:t>а</w:t>
            </w:r>
            <w:r w:rsidRPr="009044EE">
              <w:rPr>
                <w:sz w:val="16"/>
                <w:szCs w:val="16"/>
                <w:lang w:val="ru-RU"/>
              </w:rPr>
              <w:t xml:space="preserve"> устройства </w:t>
            </w:r>
            <w:r>
              <w:rPr>
                <w:sz w:val="16"/>
                <w:szCs w:val="16"/>
                <w:lang w:val="ru-RU"/>
              </w:rPr>
              <w:t>противо</w:t>
            </w:r>
            <w:r w:rsidRPr="009044EE">
              <w:rPr>
                <w:sz w:val="16"/>
                <w:szCs w:val="16"/>
                <w:lang w:val="ru-RU"/>
              </w:rPr>
              <w:t xml:space="preserve">пожарных </w:t>
            </w:r>
            <w:r>
              <w:rPr>
                <w:sz w:val="16"/>
                <w:szCs w:val="16"/>
                <w:lang w:val="ru-RU"/>
              </w:rPr>
              <w:t xml:space="preserve">перегородок </w:t>
            </w:r>
            <w:r w:rsidRPr="009044EE">
              <w:rPr>
                <w:sz w:val="16"/>
                <w:szCs w:val="16"/>
                <w:lang w:val="ru-RU"/>
              </w:rPr>
              <w:t xml:space="preserve">между </w:t>
            </w:r>
            <w:r>
              <w:rPr>
                <w:sz w:val="16"/>
                <w:szCs w:val="16"/>
                <w:lang w:val="ru-RU"/>
              </w:rPr>
              <w:t>зданиями ГБ-1</w:t>
            </w:r>
            <w:r w:rsidRPr="009044EE">
              <w:rPr>
                <w:sz w:val="16"/>
                <w:szCs w:val="16"/>
                <w:lang w:val="ru-RU"/>
              </w:rPr>
              <w:t xml:space="preserve"> и </w:t>
            </w:r>
            <w:r>
              <w:rPr>
                <w:sz w:val="16"/>
                <w:szCs w:val="16"/>
                <w:lang w:val="ru-RU"/>
              </w:rPr>
              <w:t>АБ</w:t>
            </w:r>
          </w:p>
        </w:tc>
        <w:tc>
          <w:tcPr>
            <w:tcW w:w="744"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sidRPr="005158E3">
              <w:rPr>
                <w:sz w:val="16"/>
                <w:szCs w:val="16"/>
              </w:rPr>
              <w:t>175</w:t>
            </w:r>
            <w:r>
              <w:rPr>
                <w:sz w:val="16"/>
                <w:szCs w:val="16"/>
              </w:rPr>
              <w:t> </w:t>
            </w:r>
            <w:r w:rsidRPr="005158E3">
              <w:rPr>
                <w:sz w:val="16"/>
                <w:szCs w:val="16"/>
              </w:rPr>
              <w:t>000</w:t>
            </w:r>
          </w:p>
        </w:tc>
        <w:tc>
          <w:tcPr>
            <w:tcW w:w="852"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c>
          <w:tcPr>
            <w:tcW w:w="838"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c>
          <w:tcPr>
            <w:tcW w:w="911"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10%</w:t>
            </w:r>
          </w:p>
        </w:tc>
      </w:tr>
      <w:tr w:rsidR="00C85043" w:rsidRPr="009A7C08" w:rsidTr="00C85043">
        <w:trPr>
          <w:trHeight w:val="389"/>
        </w:trPr>
        <w:tc>
          <w:tcPr>
            <w:tcW w:w="1655" w:type="pct"/>
            <w:tcBorders>
              <w:top w:val="single" w:sz="4" w:space="0" w:color="auto"/>
              <w:left w:val="single" w:sz="4" w:space="0" w:color="auto"/>
              <w:bottom w:val="single" w:sz="4" w:space="0" w:color="auto"/>
              <w:right w:val="single" w:sz="4" w:space="0" w:color="auto"/>
            </w:tcBorders>
            <w:vAlign w:val="center"/>
          </w:tcPr>
          <w:p w:rsidR="00C85043" w:rsidRPr="001351D8" w:rsidRDefault="00C85043" w:rsidP="00C85043">
            <w:pPr>
              <w:autoSpaceDE w:val="0"/>
              <w:autoSpaceDN w:val="0"/>
              <w:adjustRightInd w:val="0"/>
              <w:spacing w:before="40" w:after="40"/>
              <w:rPr>
                <w:sz w:val="16"/>
                <w:szCs w:val="16"/>
                <w:lang w:val="ru-RU"/>
              </w:rPr>
            </w:pPr>
            <w:r w:rsidRPr="009044EE">
              <w:rPr>
                <w:sz w:val="16"/>
                <w:szCs w:val="16"/>
                <w:lang w:val="ru-RU"/>
              </w:rPr>
              <w:t xml:space="preserve">Проект </w:t>
            </w:r>
            <w:r>
              <w:rPr>
                <w:sz w:val="16"/>
                <w:szCs w:val="16"/>
                <w:lang w:val="ru-RU"/>
              </w:rPr>
              <w:t>устройства</w:t>
            </w:r>
            <w:r w:rsidRPr="009044EE">
              <w:rPr>
                <w:sz w:val="16"/>
                <w:szCs w:val="16"/>
                <w:lang w:val="ru-RU"/>
              </w:rPr>
              <w:t xml:space="preserve"> </w:t>
            </w:r>
            <w:r>
              <w:rPr>
                <w:sz w:val="16"/>
                <w:szCs w:val="16"/>
                <w:lang w:val="ru-RU"/>
              </w:rPr>
              <w:t>противо</w:t>
            </w:r>
            <w:r w:rsidRPr="009044EE">
              <w:rPr>
                <w:sz w:val="16"/>
                <w:szCs w:val="16"/>
                <w:lang w:val="ru-RU"/>
              </w:rPr>
              <w:t xml:space="preserve">пожарных </w:t>
            </w:r>
            <w:r>
              <w:rPr>
                <w:sz w:val="16"/>
                <w:szCs w:val="16"/>
                <w:lang w:val="ru-RU"/>
              </w:rPr>
              <w:t xml:space="preserve">перегородок </w:t>
            </w:r>
            <w:r w:rsidRPr="009044EE">
              <w:rPr>
                <w:sz w:val="16"/>
                <w:szCs w:val="16"/>
                <w:lang w:val="ru-RU"/>
              </w:rPr>
              <w:t xml:space="preserve">между </w:t>
            </w:r>
            <w:r>
              <w:rPr>
                <w:sz w:val="16"/>
                <w:szCs w:val="16"/>
                <w:lang w:val="ru-RU"/>
              </w:rPr>
              <w:t>зданиями ГБ-1 и ГБ-2</w:t>
            </w:r>
            <w:r w:rsidRPr="009044EE">
              <w:rPr>
                <w:sz w:val="16"/>
                <w:szCs w:val="16"/>
                <w:lang w:val="ru-RU"/>
              </w:rPr>
              <w:t xml:space="preserve"> (на всех уровнях кроме -1)</w:t>
            </w:r>
          </w:p>
        </w:tc>
        <w:tc>
          <w:tcPr>
            <w:tcW w:w="744"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sidRPr="005158E3">
              <w:rPr>
                <w:sz w:val="16"/>
                <w:szCs w:val="16"/>
              </w:rPr>
              <w:t>65</w:t>
            </w:r>
            <w:r>
              <w:rPr>
                <w:sz w:val="16"/>
                <w:szCs w:val="16"/>
              </w:rPr>
              <w:t> </w:t>
            </w:r>
            <w:r w:rsidRPr="005158E3">
              <w:rPr>
                <w:sz w:val="16"/>
                <w:szCs w:val="16"/>
              </w:rPr>
              <w:t>000</w:t>
            </w:r>
          </w:p>
        </w:tc>
        <w:tc>
          <w:tcPr>
            <w:tcW w:w="852"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c>
          <w:tcPr>
            <w:tcW w:w="838"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c>
          <w:tcPr>
            <w:tcW w:w="911"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w:t>
            </w:r>
          </w:p>
        </w:tc>
      </w:tr>
      <w:tr w:rsidR="00C85043" w:rsidRPr="009A7C08" w:rsidTr="00C85043">
        <w:trPr>
          <w:trHeight w:val="389"/>
        </w:trPr>
        <w:tc>
          <w:tcPr>
            <w:tcW w:w="1655" w:type="pct"/>
            <w:tcBorders>
              <w:top w:val="single" w:sz="4" w:space="0" w:color="auto"/>
              <w:left w:val="single" w:sz="4" w:space="0" w:color="auto"/>
              <w:bottom w:val="single" w:sz="4" w:space="0" w:color="auto"/>
              <w:right w:val="single" w:sz="4" w:space="0" w:color="auto"/>
            </w:tcBorders>
            <w:vAlign w:val="center"/>
          </w:tcPr>
          <w:p w:rsidR="00C85043" w:rsidRPr="001351D8" w:rsidRDefault="00C85043" w:rsidP="00C85043">
            <w:pPr>
              <w:autoSpaceDE w:val="0"/>
              <w:autoSpaceDN w:val="0"/>
              <w:adjustRightInd w:val="0"/>
              <w:spacing w:before="40" w:after="40"/>
              <w:rPr>
                <w:sz w:val="16"/>
                <w:szCs w:val="16"/>
                <w:lang w:val="ru-RU"/>
              </w:rPr>
            </w:pPr>
            <w:r w:rsidRPr="009044EE">
              <w:rPr>
                <w:sz w:val="16"/>
                <w:szCs w:val="16"/>
                <w:lang w:val="ru-RU"/>
              </w:rPr>
              <w:t xml:space="preserve">Проект </w:t>
            </w:r>
            <w:r>
              <w:rPr>
                <w:sz w:val="16"/>
                <w:szCs w:val="16"/>
                <w:lang w:val="ru-RU"/>
              </w:rPr>
              <w:t>устройства</w:t>
            </w:r>
            <w:r w:rsidRPr="009044EE">
              <w:rPr>
                <w:sz w:val="16"/>
                <w:szCs w:val="16"/>
                <w:lang w:val="ru-RU"/>
              </w:rPr>
              <w:t xml:space="preserve"> </w:t>
            </w:r>
            <w:r>
              <w:rPr>
                <w:sz w:val="16"/>
                <w:szCs w:val="16"/>
                <w:lang w:val="ru-RU"/>
              </w:rPr>
              <w:t xml:space="preserve">противопожарных перегородок </w:t>
            </w:r>
            <w:r w:rsidRPr="009044EE">
              <w:rPr>
                <w:sz w:val="16"/>
                <w:szCs w:val="16"/>
                <w:lang w:val="ru-RU"/>
              </w:rPr>
              <w:t>в здании АВ (на всех уровнях кроме -2)</w:t>
            </w:r>
          </w:p>
        </w:tc>
        <w:tc>
          <w:tcPr>
            <w:tcW w:w="744"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sidRPr="005158E3">
              <w:rPr>
                <w:sz w:val="16"/>
                <w:szCs w:val="16"/>
              </w:rPr>
              <w:t>60</w:t>
            </w:r>
            <w:r>
              <w:rPr>
                <w:sz w:val="16"/>
                <w:szCs w:val="16"/>
              </w:rPr>
              <w:t> </w:t>
            </w:r>
            <w:r w:rsidRPr="005158E3">
              <w:rPr>
                <w:sz w:val="16"/>
                <w:szCs w:val="16"/>
              </w:rPr>
              <w:t>000</w:t>
            </w:r>
          </w:p>
        </w:tc>
        <w:tc>
          <w:tcPr>
            <w:tcW w:w="852"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c>
          <w:tcPr>
            <w:tcW w:w="838"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c>
          <w:tcPr>
            <w:tcW w:w="911"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Pr>
                <w:sz w:val="16"/>
                <w:szCs w:val="16"/>
              </w:rPr>
              <w:t>-</w:t>
            </w:r>
          </w:p>
        </w:tc>
      </w:tr>
      <w:tr w:rsidR="00C85043" w:rsidRPr="009A7C08" w:rsidTr="00C85043">
        <w:trPr>
          <w:trHeight w:val="389"/>
        </w:trPr>
        <w:tc>
          <w:tcPr>
            <w:tcW w:w="1655"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autoSpaceDE w:val="0"/>
              <w:autoSpaceDN w:val="0"/>
              <w:adjustRightInd w:val="0"/>
              <w:spacing w:before="40" w:after="40"/>
              <w:rPr>
                <w:b/>
                <w:sz w:val="16"/>
                <w:szCs w:val="16"/>
              </w:rPr>
            </w:pPr>
            <w:r>
              <w:rPr>
                <w:b/>
                <w:sz w:val="16"/>
                <w:szCs w:val="16"/>
              </w:rPr>
              <w:t>Итого</w:t>
            </w:r>
          </w:p>
        </w:tc>
        <w:tc>
          <w:tcPr>
            <w:tcW w:w="74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autoSpaceDE w:val="0"/>
              <w:autoSpaceDN w:val="0"/>
              <w:adjustRightInd w:val="0"/>
              <w:spacing w:before="40" w:after="40"/>
              <w:jc w:val="center"/>
              <w:rPr>
                <w:b/>
                <w:sz w:val="16"/>
                <w:szCs w:val="16"/>
              </w:rPr>
            </w:pPr>
            <w:r w:rsidRPr="005158E3">
              <w:rPr>
                <w:b/>
                <w:sz w:val="16"/>
                <w:szCs w:val="16"/>
              </w:rPr>
              <w:t>400</w:t>
            </w:r>
            <w:r>
              <w:rPr>
                <w:b/>
                <w:sz w:val="16"/>
                <w:szCs w:val="16"/>
              </w:rPr>
              <w:t> </w:t>
            </w:r>
            <w:r w:rsidRPr="005158E3">
              <w:rPr>
                <w:b/>
                <w:sz w:val="16"/>
                <w:szCs w:val="16"/>
              </w:rPr>
              <w:t>000</w:t>
            </w:r>
          </w:p>
        </w:tc>
        <w:tc>
          <w:tcPr>
            <w:tcW w:w="852" w:type="pct"/>
            <w:tcBorders>
              <w:top w:val="single" w:sz="4" w:space="0" w:color="auto"/>
              <w:left w:val="single" w:sz="4" w:space="0" w:color="auto"/>
              <w:bottom w:val="single" w:sz="4" w:space="0" w:color="auto"/>
              <w:right w:val="single" w:sz="4" w:space="0" w:color="auto"/>
            </w:tcBorders>
            <w:shd w:val="clear" w:color="auto" w:fill="C6D9F1"/>
          </w:tcPr>
          <w:p w:rsidR="00C85043" w:rsidRPr="00E63242" w:rsidRDefault="00C85043" w:rsidP="00C85043">
            <w:pPr>
              <w:autoSpaceDE w:val="0"/>
              <w:autoSpaceDN w:val="0"/>
              <w:adjustRightInd w:val="0"/>
              <w:spacing w:before="40" w:after="40"/>
              <w:jc w:val="center"/>
              <w:rPr>
                <w:b/>
                <w:sz w:val="16"/>
                <w:szCs w:val="16"/>
              </w:rPr>
            </w:pPr>
            <w:r w:rsidRPr="00F80A65">
              <w:rPr>
                <w:b/>
                <w:sz w:val="16"/>
                <w:szCs w:val="16"/>
                <w:lang w:val="fr-CH"/>
              </w:rPr>
              <w:t>122</w:t>
            </w:r>
            <w:r>
              <w:rPr>
                <w:b/>
                <w:sz w:val="16"/>
                <w:szCs w:val="16"/>
                <w:lang w:val="fr-CH"/>
              </w:rPr>
              <w:t> </w:t>
            </w:r>
            <w:r w:rsidRPr="00F80A65">
              <w:rPr>
                <w:b/>
                <w:sz w:val="16"/>
                <w:szCs w:val="16"/>
                <w:lang w:val="fr-CH"/>
              </w:rPr>
              <w:t>587</w:t>
            </w:r>
          </w:p>
        </w:tc>
        <w:tc>
          <w:tcPr>
            <w:tcW w:w="838" w:type="pct"/>
            <w:tcBorders>
              <w:top w:val="single" w:sz="4" w:space="0" w:color="auto"/>
              <w:left w:val="single" w:sz="4" w:space="0" w:color="auto"/>
              <w:bottom w:val="single" w:sz="4" w:space="0" w:color="auto"/>
              <w:right w:val="single" w:sz="4" w:space="0" w:color="auto"/>
            </w:tcBorders>
            <w:shd w:val="clear" w:color="auto" w:fill="C6D9F1"/>
          </w:tcPr>
          <w:p w:rsidR="00C85043" w:rsidRPr="00E63242" w:rsidRDefault="00C85043" w:rsidP="00C85043">
            <w:pPr>
              <w:autoSpaceDE w:val="0"/>
              <w:autoSpaceDN w:val="0"/>
              <w:adjustRightInd w:val="0"/>
              <w:spacing w:before="40" w:after="40"/>
              <w:jc w:val="center"/>
              <w:rPr>
                <w:b/>
                <w:sz w:val="16"/>
                <w:szCs w:val="16"/>
              </w:rPr>
            </w:pPr>
          </w:p>
        </w:tc>
        <w:tc>
          <w:tcPr>
            <w:tcW w:w="911" w:type="pct"/>
            <w:tcBorders>
              <w:top w:val="single" w:sz="4" w:space="0" w:color="auto"/>
              <w:left w:val="single" w:sz="4" w:space="0" w:color="auto"/>
              <w:bottom w:val="single" w:sz="4" w:space="0" w:color="auto"/>
              <w:right w:val="single" w:sz="4" w:space="0" w:color="auto"/>
            </w:tcBorders>
            <w:shd w:val="clear" w:color="auto" w:fill="C6D9F1"/>
          </w:tcPr>
          <w:p w:rsidR="00C85043" w:rsidRPr="005158E3" w:rsidRDefault="00C85043" w:rsidP="00C85043">
            <w:pPr>
              <w:autoSpaceDE w:val="0"/>
              <w:autoSpaceDN w:val="0"/>
              <w:adjustRightInd w:val="0"/>
              <w:spacing w:before="40" w:after="40"/>
              <w:jc w:val="center"/>
              <w:rPr>
                <w:b/>
                <w:sz w:val="16"/>
                <w:szCs w:val="16"/>
              </w:rPr>
            </w:pPr>
          </w:p>
        </w:tc>
      </w:tr>
    </w:tbl>
    <w:p w:rsidR="00C85043" w:rsidRDefault="00C85043" w:rsidP="00C85043">
      <w:pPr>
        <w:keepNext/>
        <w:keepLines/>
        <w:tabs>
          <w:tab w:val="left" w:pos="3261"/>
        </w:tabs>
        <w:autoSpaceDE w:val="0"/>
        <w:autoSpaceDN w:val="0"/>
        <w:adjustRightInd w:val="0"/>
        <w:jc w:val="center"/>
        <w:rPr>
          <w:b/>
          <w:szCs w:val="22"/>
        </w:rPr>
      </w:pPr>
    </w:p>
    <w:p w:rsidR="00C85043" w:rsidRDefault="00C85043" w:rsidP="00C85043">
      <w:pPr>
        <w:keepNext/>
        <w:keepLines/>
        <w:tabs>
          <w:tab w:val="left" w:pos="3261"/>
        </w:tabs>
        <w:autoSpaceDE w:val="0"/>
        <w:autoSpaceDN w:val="0"/>
        <w:adjustRightInd w:val="0"/>
        <w:jc w:val="center"/>
        <w:rPr>
          <w:b/>
          <w:szCs w:val="22"/>
        </w:rPr>
      </w:pPr>
    </w:p>
    <w:p w:rsidR="00C85043" w:rsidRPr="007F540C" w:rsidRDefault="00C85043" w:rsidP="00C85043">
      <w:pPr>
        <w:keepNext/>
        <w:keepLines/>
        <w:tabs>
          <w:tab w:val="left" w:pos="3261"/>
        </w:tabs>
        <w:autoSpaceDE w:val="0"/>
        <w:autoSpaceDN w:val="0"/>
        <w:adjustRightInd w:val="0"/>
        <w:jc w:val="center"/>
        <w:rPr>
          <w:b/>
          <w:szCs w:val="22"/>
          <w:lang w:val="ru-RU"/>
        </w:rPr>
      </w:pPr>
      <w:r w:rsidRPr="007F540C">
        <w:rPr>
          <w:b/>
          <w:szCs w:val="22"/>
          <w:lang w:val="ru-RU"/>
        </w:rPr>
        <w:t xml:space="preserve">Сумма бюджетных средств, освоенных в рамках проекта </w:t>
      </w:r>
      <w:r>
        <w:rPr>
          <w:b/>
          <w:szCs w:val="22"/>
          <w:lang w:val="ru-RU"/>
        </w:rPr>
        <w:t>(в разбивке по категориям расходов)</w:t>
      </w:r>
    </w:p>
    <w:p w:rsidR="00C85043" w:rsidRPr="007F540C" w:rsidRDefault="00C85043" w:rsidP="00C85043">
      <w:pPr>
        <w:keepNext/>
        <w:keepLines/>
        <w:tabs>
          <w:tab w:val="left" w:pos="3261"/>
        </w:tabs>
        <w:autoSpaceDE w:val="0"/>
        <w:autoSpaceDN w:val="0"/>
        <w:adjustRightInd w:val="0"/>
        <w:spacing w:after="120"/>
        <w:jc w:val="center"/>
        <w:rPr>
          <w:i/>
          <w:iCs/>
          <w:sz w:val="18"/>
          <w:szCs w:val="18"/>
          <w:lang w:val="ru-RU"/>
        </w:rPr>
      </w:pPr>
      <w:r w:rsidRPr="007F540C">
        <w:rPr>
          <w:i/>
          <w:iCs/>
          <w:sz w:val="18"/>
          <w:szCs w:val="18"/>
          <w:lang w:val="ru-RU"/>
        </w:rPr>
        <w:t>(в шв. франках по состоянию на 31 декабря 2015 г.)</w:t>
      </w:r>
    </w:p>
    <w:tbl>
      <w:tblPr>
        <w:tblW w:w="47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1840"/>
        <w:gridCol w:w="1840"/>
        <w:gridCol w:w="2141"/>
      </w:tblGrid>
      <w:tr w:rsidR="00C85043" w:rsidRPr="005158E3" w:rsidTr="00C85043">
        <w:trPr>
          <w:trHeight w:val="569"/>
        </w:trPr>
        <w:tc>
          <w:tcPr>
            <w:tcW w:w="179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keepNext/>
              <w:keepLines/>
              <w:autoSpaceDE w:val="0"/>
              <w:autoSpaceDN w:val="0"/>
              <w:adjustRightInd w:val="0"/>
              <w:spacing w:before="40" w:after="40"/>
              <w:ind w:left="-74" w:right="-60"/>
              <w:jc w:val="center"/>
              <w:rPr>
                <w:b/>
                <w:bCs/>
                <w:sz w:val="16"/>
                <w:szCs w:val="16"/>
              </w:rPr>
            </w:pPr>
            <w:r>
              <w:rPr>
                <w:b/>
                <w:bCs/>
                <w:sz w:val="16"/>
                <w:szCs w:val="16"/>
              </w:rPr>
              <w:t>Категория расходов</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keepNext/>
              <w:keepLines/>
              <w:autoSpaceDE w:val="0"/>
              <w:autoSpaceDN w:val="0"/>
              <w:adjustRightInd w:val="0"/>
              <w:spacing w:before="40" w:after="40"/>
              <w:ind w:left="-107" w:right="-108"/>
              <w:jc w:val="center"/>
              <w:rPr>
                <w:b/>
                <w:bCs/>
                <w:sz w:val="16"/>
                <w:szCs w:val="16"/>
              </w:rPr>
            </w:pPr>
            <w:r>
              <w:rPr>
                <w:b/>
                <w:bCs/>
                <w:sz w:val="16"/>
                <w:szCs w:val="16"/>
              </w:rPr>
              <w:t>Смета по проекту</w:t>
            </w:r>
            <w:r w:rsidRPr="005158E3">
              <w:rPr>
                <w:b/>
                <w:bCs/>
                <w:sz w:val="16"/>
                <w:szCs w:val="16"/>
              </w:rPr>
              <w:t xml:space="preserve"> </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715C25" w:rsidRDefault="00C85043" w:rsidP="00C85043">
            <w:pPr>
              <w:keepNext/>
              <w:keepLines/>
              <w:autoSpaceDE w:val="0"/>
              <w:autoSpaceDN w:val="0"/>
              <w:adjustRightInd w:val="0"/>
              <w:spacing w:before="40" w:after="40"/>
              <w:ind w:left="-108"/>
              <w:jc w:val="center"/>
              <w:rPr>
                <w:b/>
                <w:bCs/>
                <w:sz w:val="16"/>
                <w:szCs w:val="16"/>
                <w:lang w:val="ru-RU"/>
              </w:rPr>
            </w:pPr>
            <w:r w:rsidRPr="00715C25">
              <w:rPr>
                <w:b/>
                <w:bCs/>
                <w:sz w:val="16"/>
                <w:szCs w:val="16"/>
                <w:lang w:val="ru-RU"/>
              </w:rPr>
              <w:t xml:space="preserve">Фактические расходы по настоящее время </w:t>
            </w:r>
          </w:p>
        </w:tc>
        <w:tc>
          <w:tcPr>
            <w:tcW w:w="1180"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keepNext/>
              <w:keepLines/>
              <w:autoSpaceDE w:val="0"/>
              <w:autoSpaceDN w:val="0"/>
              <w:adjustRightInd w:val="0"/>
              <w:spacing w:before="40" w:after="40"/>
              <w:ind w:left="-109"/>
              <w:jc w:val="center"/>
              <w:rPr>
                <w:b/>
                <w:bCs/>
                <w:sz w:val="16"/>
                <w:szCs w:val="16"/>
              </w:rPr>
            </w:pPr>
            <w:r>
              <w:rPr>
                <w:b/>
                <w:bCs/>
                <w:sz w:val="16"/>
                <w:szCs w:val="16"/>
              </w:rPr>
              <w:t>Фактически освоено бюджетных средств</w:t>
            </w:r>
          </w:p>
        </w:tc>
      </w:tr>
      <w:tr w:rsidR="00C85043" w:rsidRPr="005158E3" w:rsidTr="00C85043">
        <w:tc>
          <w:tcPr>
            <w:tcW w:w="1792" w:type="pct"/>
            <w:tcBorders>
              <w:top w:val="single" w:sz="4" w:space="0" w:color="auto"/>
              <w:left w:val="single" w:sz="4" w:space="0" w:color="auto"/>
              <w:bottom w:val="single" w:sz="4" w:space="0" w:color="auto"/>
              <w:right w:val="single" w:sz="4" w:space="0" w:color="auto"/>
            </w:tcBorders>
            <w:vAlign w:val="center"/>
          </w:tcPr>
          <w:p w:rsidR="00C85043" w:rsidRPr="00906515" w:rsidRDefault="00C85043" w:rsidP="00C85043">
            <w:pPr>
              <w:autoSpaceDE w:val="0"/>
              <w:autoSpaceDN w:val="0"/>
              <w:adjustRightInd w:val="0"/>
              <w:spacing w:before="40" w:after="40"/>
              <w:rPr>
                <w:sz w:val="16"/>
                <w:szCs w:val="16"/>
                <w:lang w:val="ru-RU"/>
              </w:rPr>
            </w:pPr>
            <w:r>
              <w:rPr>
                <w:sz w:val="16"/>
                <w:szCs w:val="16"/>
                <w:lang w:val="ru-RU"/>
              </w:rPr>
              <w:t>Расходы, связанные со строительством</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sidRPr="005158E3">
              <w:rPr>
                <w:sz w:val="16"/>
                <w:szCs w:val="16"/>
              </w:rPr>
              <w:t>312</w:t>
            </w:r>
            <w:r>
              <w:rPr>
                <w:sz w:val="16"/>
                <w:szCs w:val="16"/>
              </w:rPr>
              <w:t> </w:t>
            </w:r>
            <w:r w:rsidRPr="005158E3">
              <w:rPr>
                <w:sz w:val="16"/>
                <w:szCs w:val="16"/>
              </w:rPr>
              <w:t>000</w:t>
            </w:r>
          </w:p>
        </w:tc>
        <w:tc>
          <w:tcPr>
            <w:tcW w:w="1014" w:type="pct"/>
            <w:tcBorders>
              <w:top w:val="single" w:sz="4" w:space="0" w:color="auto"/>
              <w:left w:val="single" w:sz="4" w:space="0" w:color="auto"/>
              <w:bottom w:val="single" w:sz="4" w:space="0" w:color="auto"/>
              <w:right w:val="single" w:sz="4" w:space="0" w:color="auto"/>
            </w:tcBorders>
          </w:tcPr>
          <w:p w:rsidR="00C85043" w:rsidRPr="005158E3" w:rsidRDefault="00C85043" w:rsidP="00C85043">
            <w:pPr>
              <w:autoSpaceDE w:val="0"/>
              <w:autoSpaceDN w:val="0"/>
              <w:adjustRightInd w:val="0"/>
              <w:spacing w:before="40" w:after="40"/>
              <w:jc w:val="center"/>
              <w:rPr>
                <w:sz w:val="16"/>
                <w:szCs w:val="16"/>
              </w:rPr>
            </w:pPr>
            <w:r>
              <w:rPr>
                <w:sz w:val="16"/>
                <w:szCs w:val="16"/>
                <w:lang w:val="fr-CH"/>
              </w:rPr>
              <w:t>122 587</w:t>
            </w:r>
          </w:p>
        </w:tc>
        <w:tc>
          <w:tcPr>
            <w:tcW w:w="1180" w:type="pct"/>
            <w:tcBorders>
              <w:top w:val="single" w:sz="4" w:space="0" w:color="auto"/>
              <w:left w:val="single" w:sz="4" w:space="0" w:color="auto"/>
              <w:bottom w:val="single" w:sz="4" w:space="0" w:color="auto"/>
              <w:right w:val="single" w:sz="4" w:space="0" w:color="auto"/>
            </w:tcBorders>
          </w:tcPr>
          <w:p w:rsidR="00C85043" w:rsidRPr="005158E3" w:rsidRDefault="00C85043" w:rsidP="00C85043">
            <w:pPr>
              <w:autoSpaceDE w:val="0"/>
              <w:autoSpaceDN w:val="0"/>
              <w:adjustRightInd w:val="0"/>
              <w:spacing w:before="40" w:after="40"/>
              <w:jc w:val="center"/>
              <w:rPr>
                <w:sz w:val="16"/>
                <w:szCs w:val="16"/>
              </w:rPr>
            </w:pPr>
            <w:r>
              <w:rPr>
                <w:sz w:val="16"/>
                <w:szCs w:val="16"/>
              </w:rPr>
              <w:t>39%</w:t>
            </w:r>
          </w:p>
        </w:tc>
      </w:tr>
      <w:tr w:rsidR="00C85043" w:rsidRPr="005158E3" w:rsidTr="00C85043">
        <w:tc>
          <w:tcPr>
            <w:tcW w:w="1792"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rPr>
                <w:sz w:val="16"/>
                <w:szCs w:val="16"/>
              </w:rPr>
            </w:pPr>
            <w:r>
              <w:rPr>
                <w:sz w:val="16"/>
                <w:szCs w:val="16"/>
              </w:rPr>
              <w:t>Гонорары</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sidRPr="005158E3">
              <w:rPr>
                <w:sz w:val="16"/>
                <w:szCs w:val="16"/>
              </w:rPr>
              <w:t>60</w:t>
            </w:r>
            <w:r>
              <w:rPr>
                <w:sz w:val="16"/>
                <w:szCs w:val="16"/>
              </w:rPr>
              <w:t> </w:t>
            </w:r>
            <w:r w:rsidRPr="005158E3">
              <w:rPr>
                <w:sz w:val="16"/>
                <w:szCs w:val="16"/>
              </w:rPr>
              <w:t>000</w:t>
            </w:r>
          </w:p>
        </w:tc>
        <w:tc>
          <w:tcPr>
            <w:tcW w:w="1014" w:type="pct"/>
            <w:tcBorders>
              <w:top w:val="single" w:sz="4" w:space="0" w:color="auto"/>
              <w:left w:val="single" w:sz="4" w:space="0" w:color="auto"/>
              <w:bottom w:val="single" w:sz="4" w:space="0" w:color="auto"/>
              <w:right w:val="single" w:sz="4" w:space="0" w:color="auto"/>
            </w:tcBorders>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c>
          <w:tcPr>
            <w:tcW w:w="1180" w:type="pct"/>
            <w:tcBorders>
              <w:top w:val="single" w:sz="4" w:space="0" w:color="auto"/>
              <w:left w:val="single" w:sz="4" w:space="0" w:color="auto"/>
              <w:bottom w:val="single" w:sz="4" w:space="0" w:color="auto"/>
              <w:right w:val="single" w:sz="4" w:space="0" w:color="auto"/>
            </w:tcBorders>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r>
      <w:tr w:rsidR="00C85043" w:rsidRPr="005158E3" w:rsidTr="00C85043">
        <w:tc>
          <w:tcPr>
            <w:tcW w:w="1792"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rPr>
                <w:sz w:val="16"/>
                <w:szCs w:val="16"/>
              </w:rPr>
            </w:pPr>
            <w:r>
              <w:rPr>
                <w:sz w:val="16"/>
                <w:szCs w:val="16"/>
              </w:rPr>
              <w:t>Прочие и непредвиденные расходы</w:t>
            </w:r>
          </w:p>
        </w:tc>
        <w:tc>
          <w:tcPr>
            <w:tcW w:w="1014" w:type="pct"/>
            <w:tcBorders>
              <w:top w:val="single" w:sz="4" w:space="0" w:color="auto"/>
              <w:left w:val="single" w:sz="4" w:space="0" w:color="auto"/>
              <w:bottom w:val="single" w:sz="4" w:space="0" w:color="auto"/>
              <w:right w:val="single" w:sz="4" w:space="0" w:color="auto"/>
            </w:tcBorders>
            <w:vAlign w:val="center"/>
          </w:tcPr>
          <w:p w:rsidR="00C85043" w:rsidRPr="005158E3" w:rsidRDefault="00C85043" w:rsidP="00C85043">
            <w:pPr>
              <w:autoSpaceDE w:val="0"/>
              <w:autoSpaceDN w:val="0"/>
              <w:adjustRightInd w:val="0"/>
              <w:spacing w:before="40" w:after="40"/>
              <w:jc w:val="center"/>
              <w:rPr>
                <w:sz w:val="16"/>
                <w:szCs w:val="16"/>
              </w:rPr>
            </w:pPr>
            <w:r w:rsidRPr="005158E3">
              <w:rPr>
                <w:sz w:val="16"/>
                <w:szCs w:val="16"/>
              </w:rPr>
              <w:t>28</w:t>
            </w:r>
            <w:r>
              <w:rPr>
                <w:sz w:val="16"/>
                <w:szCs w:val="16"/>
              </w:rPr>
              <w:t> </w:t>
            </w:r>
            <w:r w:rsidRPr="005158E3">
              <w:rPr>
                <w:sz w:val="16"/>
                <w:szCs w:val="16"/>
              </w:rPr>
              <w:t>000</w:t>
            </w:r>
          </w:p>
        </w:tc>
        <w:tc>
          <w:tcPr>
            <w:tcW w:w="1014" w:type="pct"/>
            <w:tcBorders>
              <w:top w:val="single" w:sz="4" w:space="0" w:color="auto"/>
              <w:left w:val="single" w:sz="4" w:space="0" w:color="auto"/>
              <w:bottom w:val="single" w:sz="4" w:space="0" w:color="auto"/>
              <w:right w:val="single" w:sz="4" w:space="0" w:color="auto"/>
            </w:tcBorders>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c>
          <w:tcPr>
            <w:tcW w:w="1180" w:type="pct"/>
            <w:tcBorders>
              <w:top w:val="single" w:sz="4" w:space="0" w:color="auto"/>
              <w:left w:val="single" w:sz="4" w:space="0" w:color="auto"/>
              <w:bottom w:val="single" w:sz="4" w:space="0" w:color="auto"/>
              <w:right w:val="single" w:sz="4" w:space="0" w:color="auto"/>
            </w:tcBorders>
          </w:tcPr>
          <w:p w:rsidR="00C85043" w:rsidRPr="005158E3" w:rsidRDefault="00C85043" w:rsidP="00C85043">
            <w:pPr>
              <w:autoSpaceDE w:val="0"/>
              <w:autoSpaceDN w:val="0"/>
              <w:adjustRightInd w:val="0"/>
              <w:spacing w:before="40" w:after="40"/>
              <w:jc w:val="center"/>
              <w:rPr>
                <w:sz w:val="16"/>
                <w:szCs w:val="16"/>
              </w:rPr>
            </w:pPr>
            <w:r>
              <w:rPr>
                <w:sz w:val="16"/>
                <w:szCs w:val="16"/>
              </w:rPr>
              <w:t>0%</w:t>
            </w:r>
          </w:p>
        </w:tc>
      </w:tr>
      <w:tr w:rsidR="00C85043" w:rsidRPr="005158E3" w:rsidTr="00C85043">
        <w:tc>
          <w:tcPr>
            <w:tcW w:w="1792"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autoSpaceDE w:val="0"/>
              <w:autoSpaceDN w:val="0"/>
              <w:adjustRightInd w:val="0"/>
              <w:spacing w:before="40" w:after="40"/>
              <w:rPr>
                <w:b/>
                <w:sz w:val="16"/>
                <w:szCs w:val="16"/>
              </w:rPr>
            </w:pPr>
            <w:r>
              <w:rPr>
                <w:b/>
                <w:sz w:val="16"/>
                <w:szCs w:val="16"/>
              </w:rPr>
              <w:t>Итого</w:t>
            </w:r>
          </w:p>
        </w:tc>
        <w:tc>
          <w:tcPr>
            <w:tcW w:w="1014" w:type="pct"/>
            <w:tcBorders>
              <w:top w:val="single" w:sz="4" w:space="0" w:color="auto"/>
              <w:left w:val="single" w:sz="4" w:space="0" w:color="auto"/>
              <w:bottom w:val="single" w:sz="4" w:space="0" w:color="auto"/>
              <w:right w:val="single" w:sz="4" w:space="0" w:color="auto"/>
            </w:tcBorders>
            <w:shd w:val="clear" w:color="auto" w:fill="C6D9F1"/>
            <w:vAlign w:val="center"/>
          </w:tcPr>
          <w:p w:rsidR="00C85043" w:rsidRPr="005158E3" w:rsidRDefault="00C85043" w:rsidP="00C85043">
            <w:pPr>
              <w:autoSpaceDE w:val="0"/>
              <w:autoSpaceDN w:val="0"/>
              <w:adjustRightInd w:val="0"/>
              <w:spacing w:before="40" w:after="40"/>
              <w:jc w:val="center"/>
              <w:rPr>
                <w:b/>
                <w:sz w:val="16"/>
                <w:szCs w:val="16"/>
              </w:rPr>
            </w:pPr>
            <w:r w:rsidRPr="005158E3">
              <w:rPr>
                <w:b/>
                <w:sz w:val="16"/>
                <w:szCs w:val="16"/>
              </w:rPr>
              <w:t>400</w:t>
            </w:r>
            <w:r>
              <w:rPr>
                <w:b/>
                <w:sz w:val="16"/>
                <w:szCs w:val="16"/>
              </w:rPr>
              <w:t> </w:t>
            </w:r>
            <w:r w:rsidRPr="005158E3">
              <w:rPr>
                <w:b/>
                <w:sz w:val="16"/>
                <w:szCs w:val="16"/>
              </w:rPr>
              <w:t>000</w:t>
            </w:r>
          </w:p>
        </w:tc>
        <w:tc>
          <w:tcPr>
            <w:tcW w:w="1014" w:type="pct"/>
            <w:tcBorders>
              <w:top w:val="single" w:sz="4" w:space="0" w:color="auto"/>
              <w:left w:val="single" w:sz="4" w:space="0" w:color="auto"/>
              <w:bottom w:val="single" w:sz="4" w:space="0" w:color="auto"/>
              <w:right w:val="single" w:sz="4" w:space="0" w:color="auto"/>
            </w:tcBorders>
            <w:shd w:val="clear" w:color="auto" w:fill="C6D9F1"/>
          </w:tcPr>
          <w:p w:rsidR="00C85043" w:rsidRPr="005158E3" w:rsidRDefault="00C85043" w:rsidP="00C85043">
            <w:pPr>
              <w:autoSpaceDE w:val="0"/>
              <w:autoSpaceDN w:val="0"/>
              <w:adjustRightInd w:val="0"/>
              <w:spacing w:before="40" w:after="40"/>
              <w:jc w:val="center"/>
              <w:rPr>
                <w:b/>
                <w:sz w:val="16"/>
                <w:szCs w:val="16"/>
              </w:rPr>
            </w:pPr>
            <w:r>
              <w:rPr>
                <w:b/>
                <w:sz w:val="16"/>
                <w:szCs w:val="16"/>
              </w:rPr>
              <w:t>122 587</w:t>
            </w:r>
          </w:p>
        </w:tc>
        <w:tc>
          <w:tcPr>
            <w:tcW w:w="1180" w:type="pct"/>
            <w:tcBorders>
              <w:top w:val="single" w:sz="4" w:space="0" w:color="auto"/>
              <w:left w:val="single" w:sz="4" w:space="0" w:color="auto"/>
              <w:bottom w:val="single" w:sz="4" w:space="0" w:color="auto"/>
              <w:right w:val="single" w:sz="4" w:space="0" w:color="auto"/>
            </w:tcBorders>
            <w:shd w:val="clear" w:color="auto" w:fill="C6D9F1"/>
          </w:tcPr>
          <w:p w:rsidR="00C85043" w:rsidRPr="005158E3" w:rsidRDefault="00C85043" w:rsidP="00C85043">
            <w:pPr>
              <w:autoSpaceDE w:val="0"/>
              <w:autoSpaceDN w:val="0"/>
              <w:adjustRightInd w:val="0"/>
              <w:spacing w:before="40" w:after="40"/>
              <w:jc w:val="center"/>
              <w:rPr>
                <w:b/>
                <w:sz w:val="16"/>
                <w:szCs w:val="16"/>
              </w:rPr>
            </w:pPr>
          </w:p>
        </w:tc>
      </w:tr>
    </w:tbl>
    <w:p w:rsidR="00C85043" w:rsidRPr="00ED7C01" w:rsidRDefault="00C85043" w:rsidP="00C85043">
      <w:pPr>
        <w:rPr>
          <w:rFonts w:cs="Arial"/>
          <w:color w:val="000000"/>
          <w:szCs w:val="22"/>
        </w:rPr>
      </w:pPr>
    </w:p>
    <w:p w:rsidR="00C85043" w:rsidRPr="00ED7C01" w:rsidRDefault="00C85043" w:rsidP="00C85043">
      <w:pPr>
        <w:rPr>
          <w:rFonts w:cs="Arial"/>
          <w:color w:val="000000"/>
          <w:szCs w:val="22"/>
        </w:rPr>
      </w:pPr>
    </w:p>
    <w:p w:rsidR="00C85043" w:rsidRPr="001E1470" w:rsidRDefault="00C85043" w:rsidP="00C85043">
      <w:pPr>
        <w:rPr>
          <w:rFonts w:cs="Arial"/>
          <w:color w:val="000000"/>
          <w:szCs w:val="22"/>
          <w:lang w:val="ru-RU"/>
        </w:rPr>
      </w:pPr>
      <w:r>
        <w:rPr>
          <w:rFonts w:cs="Arial"/>
          <w:color w:val="000000"/>
          <w:szCs w:val="22"/>
          <w:lang w:val="ru-RU"/>
        </w:rPr>
        <w:br w:type="page"/>
      </w:r>
      <w:r w:rsidRPr="001E1470">
        <w:rPr>
          <w:rFonts w:cs="Arial"/>
          <w:color w:val="000000"/>
          <w:szCs w:val="22"/>
          <w:lang w:val="ru-RU"/>
        </w:rPr>
        <w:t>РИСКИ И СТРАТЕГИИ ИХ СНИЖЕНИЯ</w:t>
      </w:r>
    </w:p>
    <w:p w:rsidR="00C85043" w:rsidRPr="001E1470" w:rsidRDefault="00C85043" w:rsidP="00C85043">
      <w:pPr>
        <w:rPr>
          <w:rFonts w:cs="Arial"/>
          <w:color w:val="000000"/>
          <w:szCs w:val="22"/>
          <w:lang w:val="ru-RU"/>
        </w:rPr>
      </w:pP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1"/>
        <w:gridCol w:w="3072"/>
        <w:gridCol w:w="3070"/>
      </w:tblGrid>
      <w:tr w:rsidR="00C85043" w:rsidRPr="00296879" w:rsidTr="00C85043">
        <w:trPr>
          <w:trHeight w:val="308"/>
          <w:tblHeader/>
          <w:jc w:val="center"/>
        </w:trPr>
        <w:tc>
          <w:tcPr>
            <w:tcW w:w="1667" w:type="pct"/>
            <w:shd w:val="clear" w:color="auto" w:fill="C6D9F1"/>
            <w:vAlign w:val="center"/>
          </w:tcPr>
          <w:p w:rsidR="00C85043" w:rsidRPr="00296879" w:rsidRDefault="00C85043" w:rsidP="00C85043">
            <w:pPr>
              <w:autoSpaceDE w:val="0"/>
              <w:autoSpaceDN w:val="0"/>
              <w:adjustRightInd w:val="0"/>
              <w:spacing w:before="40" w:after="40" w:line="260" w:lineRule="exact"/>
              <w:ind w:left="-74" w:right="-60"/>
              <w:jc w:val="center"/>
              <w:rPr>
                <w:b/>
                <w:bCs/>
                <w:sz w:val="16"/>
                <w:szCs w:val="16"/>
                <w:lang w:val="fr-CH"/>
              </w:rPr>
            </w:pPr>
            <w:r>
              <w:rPr>
                <w:b/>
                <w:bCs/>
                <w:sz w:val="16"/>
                <w:szCs w:val="16"/>
                <w:lang w:val="fr-CH"/>
              </w:rPr>
              <w:t>Риск / Описание риска</w:t>
            </w:r>
          </w:p>
        </w:tc>
        <w:tc>
          <w:tcPr>
            <w:tcW w:w="1667" w:type="pct"/>
            <w:shd w:val="clear" w:color="auto" w:fill="C6D9F1"/>
            <w:vAlign w:val="center"/>
          </w:tcPr>
          <w:p w:rsidR="00C85043" w:rsidRPr="00296879" w:rsidRDefault="00C85043" w:rsidP="00C85043">
            <w:pPr>
              <w:autoSpaceDE w:val="0"/>
              <w:autoSpaceDN w:val="0"/>
              <w:adjustRightInd w:val="0"/>
              <w:spacing w:before="40" w:after="40" w:line="260" w:lineRule="exact"/>
              <w:ind w:left="-107" w:right="-108"/>
              <w:jc w:val="center"/>
              <w:rPr>
                <w:b/>
                <w:bCs/>
                <w:sz w:val="16"/>
                <w:szCs w:val="16"/>
                <w:lang w:val="fr-CH"/>
              </w:rPr>
            </w:pPr>
            <w:r>
              <w:rPr>
                <w:b/>
                <w:bCs/>
                <w:sz w:val="16"/>
                <w:szCs w:val="16"/>
                <w:lang w:val="fr-CH"/>
              </w:rPr>
              <w:t>Меры по уменьшению риска</w:t>
            </w:r>
            <w:r w:rsidRPr="00296879" w:rsidDel="00B70319">
              <w:rPr>
                <w:b/>
                <w:bCs/>
                <w:sz w:val="16"/>
                <w:szCs w:val="16"/>
                <w:lang w:val="fr-CH"/>
              </w:rPr>
              <w:t xml:space="preserve"> </w:t>
            </w:r>
          </w:p>
        </w:tc>
        <w:tc>
          <w:tcPr>
            <w:tcW w:w="1666" w:type="pct"/>
            <w:shd w:val="clear" w:color="auto" w:fill="C6D9F1"/>
            <w:vAlign w:val="center"/>
          </w:tcPr>
          <w:p w:rsidR="00C85043" w:rsidRPr="00296879" w:rsidRDefault="00C85043" w:rsidP="00C85043">
            <w:pPr>
              <w:autoSpaceDE w:val="0"/>
              <w:autoSpaceDN w:val="0"/>
              <w:adjustRightInd w:val="0"/>
              <w:spacing w:before="40" w:after="40" w:line="260" w:lineRule="exact"/>
              <w:ind w:left="-109"/>
              <w:jc w:val="center"/>
              <w:rPr>
                <w:b/>
                <w:bCs/>
                <w:sz w:val="16"/>
                <w:szCs w:val="16"/>
                <w:lang w:val="fr-CH"/>
              </w:rPr>
            </w:pPr>
            <w:r>
              <w:rPr>
                <w:b/>
                <w:bCs/>
                <w:sz w:val="16"/>
                <w:szCs w:val="16"/>
                <w:lang w:val="fr-CH"/>
              </w:rPr>
              <w:t>Примечание</w:t>
            </w:r>
          </w:p>
        </w:tc>
      </w:tr>
      <w:tr w:rsidR="00C85043" w:rsidRPr="005C6ABD" w:rsidTr="00C85043">
        <w:trPr>
          <w:trHeight w:val="776"/>
          <w:jc w:val="center"/>
        </w:trPr>
        <w:tc>
          <w:tcPr>
            <w:tcW w:w="1667" w:type="pct"/>
            <w:shd w:val="clear" w:color="auto" w:fill="FFFFFF"/>
          </w:tcPr>
          <w:p w:rsidR="00C85043" w:rsidRPr="001D4001" w:rsidRDefault="00C85043" w:rsidP="00C85043">
            <w:pPr>
              <w:autoSpaceDE w:val="0"/>
              <w:autoSpaceDN w:val="0"/>
              <w:adjustRightInd w:val="0"/>
              <w:spacing w:before="40" w:after="40"/>
              <w:rPr>
                <w:sz w:val="16"/>
                <w:szCs w:val="16"/>
                <w:lang w:val="ru-RU"/>
              </w:rPr>
            </w:pPr>
            <w:r w:rsidRPr="001D4001">
              <w:rPr>
                <w:sz w:val="16"/>
                <w:szCs w:val="16"/>
                <w:lang w:val="ru-RU"/>
              </w:rPr>
              <w:t>Невозможн</w:t>
            </w:r>
            <w:r>
              <w:rPr>
                <w:sz w:val="16"/>
                <w:szCs w:val="16"/>
                <w:lang w:val="ru-RU"/>
              </w:rPr>
              <w:t>ость</w:t>
            </w:r>
            <w:r w:rsidRPr="001D4001">
              <w:rPr>
                <w:sz w:val="16"/>
                <w:szCs w:val="16"/>
                <w:lang w:val="ru-RU"/>
              </w:rPr>
              <w:t xml:space="preserve"> выполнени</w:t>
            </w:r>
            <w:r>
              <w:rPr>
                <w:sz w:val="16"/>
                <w:szCs w:val="16"/>
                <w:lang w:val="ru-RU"/>
              </w:rPr>
              <w:t>я</w:t>
            </w:r>
            <w:r w:rsidRPr="001D4001">
              <w:rPr>
                <w:sz w:val="16"/>
                <w:szCs w:val="16"/>
                <w:lang w:val="ru-RU"/>
              </w:rPr>
              <w:t xml:space="preserve"> работ в запланированн</w:t>
            </w:r>
            <w:r>
              <w:rPr>
                <w:sz w:val="16"/>
                <w:szCs w:val="16"/>
                <w:lang w:val="ru-RU"/>
              </w:rPr>
              <w:t>ые</w:t>
            </w:r>
            <w:r w:rsidRPr="001D4001">
              <w:rPr>
                <w:sz w:val="16"/>
                <w:szCs w:val="16"/>
                <w:lang w:val="ru-RU"/>
              </w:rPr>
              <w:t xml:space="preserve"> </w:t>
            </w:r>
            <w:r>
              <w:rPr>
                <w:sz w:val="16"/>
                <w:szCs w:val="16"/>
                <w:lang w:val="ru-RU"/>
              </w:rPr>
              <w:t xml:space="preserve">сроки </w:t>
            </w:r>
            <w:r w:rsidRPr="001D4001">
              <w:rPr>
                <w:sz w:val="16"/>
                <w:szCs w:val="16"/>
                <w:lang w:val="ru-RU"/>
              </w:rPr>
              <w:t>в связи с невозможн</w:t>
            </w:r>
            <w:r>
              <w:rPr>
                <w:sz w:val="16"/>
                <w:szCs w:val="16"/>
                <w:lang w:val="ru-RU"/>
              </w:rPr>
              <w:t xml:space="preserve">остью найти исполнителя </w:t>
            </w:r>
            <w:r w:rsidRPr="001D4001">
              <w:rPr>
                <w:sz w:val="16"/>
                <w:szCs w:val="16"/>
                <w:lang w:val="ru-RU"/>
              </w:rPr>
              <w:t>работ</w:t>
            </w:r>
            <w:r>
              <w:rPr>
                <w:sz w:val="16"/>
                <w:szCs w:val="16"/>
                <w:lang w:val="ru-RU"/>
              </w:rPr>
              <w:t xml:space="preserve"> </w:t>
            </w:r>
            <w:r w:rsidRPr="001D4001">
              <w:rPr>
                <w:sz w:val="16"/>
                <w:szCs w:val="16"/>
                <w:lang w:val="ru-RU"/>
              </w:rPr>
              <w:t xml:space="preserve">в </w:t>
            </w:r>
            <w:r>
              <w:rPr>
                <w:sz w:val="16"/>
                <w:szCs w:val="16"/>
                <w:lang w:val="ru-RU"/>
              </w:rPr>
              <w:t xml:space="preserve">сроки, </w:t>
            </w:r>
            <w:r w:rsidRPr="001D4001">
              <w:rPr>
                <w:sz w:val="16"/>
                <w:szCs w:val="16"/>
                <w:lang w:val="ru-RU"/>
              </w:rPr>
              <w:t>установленн</w:t>
            </w:r>
            <w:r>
              <w:rPr>
                <w:sz w:val="16"/>
                <w:szCs w:val="16"/>
                <w:lang w:val="ru-RU"/>
              </w:rPr>
              <w:t xml:space="preserve">ые </w:t>
            </w:r>
            <w:r w:rsidRPr="001D4001">
              <w:rPr>
                <w:sz w:val="16"/>
                <w:szCs w:val="16"/>
                <w:lang w:val="ru-RU"/>
              </w:rPr>
              <w:t>ВОИС.</w:t>
            </w:r>
          </w:p>
        </w:tc>
        <w:tc>
          <w:tcPr>
            <w:tcW w:w="1667" w:type="pct"/>
            <w:shd w:val="clear" w:color="auto" w:fill="FFFFFF"/>
          </w:tcPr>
          <w:p w:rsidR="00C85043" w:rsidRPr="00AB735C" w:rsidRDefault="00C85043" w:rsidP="00C85043">
            <w:pPr>
              <w:autoSpaceDE w:val="0"/>
              <w:autoSpaceDN w:val="0"/>
              <w:adjustRightInd w:val="0"/>
              <w:spacing w:before="40" w:after="40"/>
              <w:rPr>
                <w:sz w:val="16"/>
                <w:szCs w:val="16"/>
                <w:lang w:val="ru-RU"/>
              </w:rPr>
            </w:pPr>
            <w:r>
              <w:rPr>
                <w:sz w:val="16"/>
                <w:szCs w:val="16"/>
                <w:lang w:val="ru-RU"/>
              </w:rPr>
              <w:t xml:space="preserve">Привлечение </w:t>
            </w:r>
            <w:r w:rsidRPr="001D4001">
              <w:rPr>
                <w:sz w:val="16"/>
                <w:szCs w:val="16"/>
                <w:lang w:val="ru-RU"/>
              </w:rPr>
              <w:t>сотрудник</w:t>
            </w:r>
            <w:r>
              <w:rPr>
                <w:sz w:val="16"/>
                <w:szCs w:val="16"/>
                <w:lang w:val="ru-RU"/>
              </w:rPr>
              <w:t xml:space="preserve">ов </w:t>
            </w:r>
            <w:r w:rsidRPr="00AB735C">
              <w:rPr>
                <w:sz w:val="16"/>
                <w:szCs w:val="16"/>
                <w:lang w:val="ru-RU"/>
              </w:rPr>
              <w:t xml:space="preserve">ВОИС </w:t>
            </w:r>
            <w:r>
              <w:rPr>
                <w:sz w:val="16"/>
                <w:szCs w:val="16"/>
                <w:lang w:val="ru-RU"/>
              </w:rPr>
              <w:t xml:space="preserve">для </w:t>
            </w:r>
            <w:r w:rsidRPr="001D4001">
              <w:rPr>
                <w:sz w:val="16"/>
                <w:szCs w:val="16"/>
                <w:lang w:val="ru-RU"/>
              </w:rPr>
              <w:t>решени</w:t>
            </w:r>
            <w:r>
              <w:rPr>
                <w:sz w:val="16"/>
                <w:szCs w:val="16"/>
                <w:lang w:val="ru-RU"/>
              </w:rPr>
              <w:t xml:space="preserve">я </w:t>
            </w:r>
            <w:r w:rsidRPr="001D4001">
              <w:rPr>
                <w:sz w:val="16"/>
                <w:szCs w:val="16"/>
                <w:lang w:val="ru-RU"/>
              </w:rPr>
              <w:t>проблем</w:t>
            </w:r>
            <w:r>
              <w:rPr>
                <w:sz w:val="16"/>
                <w:szCs w:val="16"/>
                <w:lang w:val="ru-RU"/>
              </w:rPr>
              <w:t xml:space="preserve"> во всех </w:t>
            </w:r>
            <w:r w:rsidRPr="00AB735C">
              <w:rPr>
                <w:sz w:val="16"/>
                <w:szCs w:val="16"/>
                <w:lang w:val="ru-RU"/>
              </w:rPr>
              <w:t>возможн</w:t>
            </w:r>
            <w:r>
              <w:rPr>
                <w:sz w:val="16"/>
                <w:szCs w:val="16"/>
                <w:lang w:val="ru-RU"/>
              </w:rPr>
              <w:t>ых случаях</w:t>
            </w:r>
            <w:r w:rsidRPr="00AB735C">
              <w:rPr>
                <w:sz w:val="16"/>
                <w:szCs w:val="16"/>
                <w:lang w:val="ru-RU"/>
              </w:rPr>
              <w:t>.</w:t>
            </w:r>
          </w:p>
        </w:tc>
        <w:tc>
          <w:tcPr>
            <w:tcW w:w="1666" w:type="pct"/>
            <w:shd w:val="clear" w:color="auto" w:fill="FFFFFF"/>
          </w:tcPr>
          <w:p w:rsidR="00C85043" w:rsidRPr="00AB735C" w:rsidRDefault="00C85043" w:rsidP="00C85043">
            <w:pPr>
              <w:autoSpaceDE w:val="0"/>
              <w:autoSpaceDN w:val="0"/>
              <w:adjustRightInd w:val="0"/>
              <w:spacing w:before="40" w:after="40"/>
              <w:rPr>
                <w:sz w:val="16"/>
                <w:szCs w:val="16"/>
                <w:lang w:val="ru-RU"/>
              </w:rPr>
            </w:pPr>
            <w:r>
              <w:rPr>
                <w:sz w:val="16"/>
                <w:szCs w:val="16"/>
                <w:lang w:val="ru-RU"/>
              </w:rPr>
              <w:t xml:space="preserve">В </w:t>
            </w:r>
            <w:r w:rsidRPr="00E9446C">
              <w:rPr>
                <w:sz w:val="16"/>
                <w:szCs w:val="16"/>
                <w:lang w:val="ru-RU"/>
              </w:rPr>
              <w:t>2015</w:t>
            </w:r>
            <w:r>
              <w:rPr>
                <w:sz w:val="16"/>
                <w:szCs w:val="16"/>
              </w:rPr>
              <w:t> </w:t>
            </w:r>
            <w:r w:rsidRPr="00E9446C">
              <w:rPr>
                <w:sz w:val="16"/>
                <w:szCs w:val="16"/>
                <w:lang w:val="ru-RU"/>
              </w:rPr>
              <w:t xml:space="preserve">г. </w:t>
            </w:r>
            <w:r w:rsidRPr="001D4001">
              <w:rPr>
                <w:sz w:val="16"/>
                <w:szCs w:val="16"/>
                <w:lang w:val="ru-RU"/>
              </w:rPr>
              <w:t>подготовк</w:t>
            </w:r>
            <w:r>
              <w:rPr>
                <w:sz w:val="16"/>
                <w:szCs w:val="16"/>
                <w:lang w:val="ru-RU"/>
              </w:rPr>
              <w:t xml:space="preserve">а обоснования по </w:t>
            </w:r>
            <w:r w:rsidRPr="00AB735C">
              <w:rPr>
                <w:rFonts w:cs="Arial"/>
                <w:color w:val="000000"/>
                <w:sz w:val="16"/>
                <w:szCs w:val="16"/>
                <w:lang w:val="ru-RU"/>
              </w:rPr>
              <w:t>проект</w:t>
            </w:r>
            <w:r>
              <w:rPr>
                <w:rFonts w:cs="Arial"/>
                <w:color w:val="000000"/>
                <w:sz w:val="16"/>
                <w:szCs w:val="16"/>
                <w:lang w:val="ru-RU"/>
              </w:rPr>
              <w:t xml:space="preserve">у </w:t>
            </w:r>
            <w:r w:rsidRPr="001D4001">
              <w:rPr>
                <w:rFonts w:cs="Arial"/>
                <w:color w:val="000000"/>
                <w:sz w:val="16"/>
                <w:szCs w:val="16"/>
                <w:lang w:val="ru-RU"/>
              </w:rPr>
              <w:t>устройств</w:t>
            </w:r>
            <w:r>
              <w:rPr>
                <w:rFonts w:cs="Arial"/>
                <w:color w:val="000000"/>
                <w:sz w:val="16"/>
                <w:szCs w:val="16"/>
                <w:lang w:val="ru-RU"/>
              </w:rPr>
              <w:t xml:space="preserve">а </w:t>
            </w:r>
            <w:r>
              <w:rPr>
                <w:sz w:val="16"/>
                <w:szCs w:val="16"/>
                <w:lang w:val="ru-RU"/>
              </w:rPr>
              <w:t>противо</w:t>
            </w:r>
            <w:r w:rsidRPr="009044EE">
              <w:rPr>
                <w:sz w:val="16"/>
                <w:szCs w:val="16"/>
                <w:lang w:val="ru-RU"/>
              </w:rPr>
              <w:t xml:space="preserve">пожарных </w:t>
            </w:r>
            <w:r>
              <w:rPr>
                <w:sz w:val="16"/>
                <w:szCs w:val="16"/>
                <w:lang w:val="ru-RU"/>
              </w:rPr>
              <w:t xml:space="preserve">перегородок </w:t>
            </w:r>
            <w:r w:rsidRPr="00AB735C">
              <w:rPr>
                <w:rFonts w:cs="Arial"/>
                <w:color w:val="000000"/>
                <w:sz w:val="16"/>
                <w:szCs w:val="16"/>
                <w:lang w:val="ru-RU"/>
              </w:rPr>
              <w:t>между</w:t>
            </w:r>
            <w:r w:rsidRPr="00E9446C">
              <w:rPr>
                <w:rFonts w:cs="Arial"/>
                <w:color w:val="000000"/>
                <w:sz w:val="16"/>
                <w:szCs w:val="16"/>
                <w:lang w:val="ru-RU"/>
              </w:rPr>
              <w:t xml:space="preserve"> </w:t>
            </w:r>
            <w:r>
              <w:rPr>
                <w:rFonts w:cs="Arial"/>
                <w:color w:val="000000"/>
                <w:sz w:val="16"/>
                <w:szCs w:val="16"/>
                <w:lang w:val="ru-RU"/>
              </w:rPr>
              <w:t>зданиями ГБ-1</w:t>
            </w:r>
            <w:r w:rsidRPr="00E9446C">
              <w:rPr>
                <w:rFonts w:cs="Arial"/>
                <w:color w:val="000000"/>
                <w:sz w:val="16"/>
                <w:szCs w:val="16"/>
                <w:lang w:val="ru-RU"/>
              </w:rPr>
              <w:t xml:space="preserve"> </w:t>
            </w:r>
            <w:r w:rsidRPr="00AB735C">
              <w:rPr>
                <w:rFonts w:cs="Arial"/>
                <w:color w:val="000000"/>
                <w:sz w:val="16"/>
                <w:szCs w:val="16"/>
                <w:lang w:val="ru-RU"/>
              </w:rPr>
              <w:t>и</w:t>
            </w:r>
            <w:r w:rsidRPr="00E9446C">
              <w:rPr>
                <w:rFonts w:cs="Arial"/>
                <w:color w:val="000000"/>
                <w:sz w:val="16"/>
                <w:szCs w:val="16"/>
                <w:lang w:val="ru-RU"/>
              </w:rPr>
              <w:t xml:space="preserve"> </w:t>
            </w:r>
            <w:r>
              <w:rPr>
                <w:rFonts w:cs="Arial"/>
                <w:color w:val="000000"/>
                <w:sz w:val="16"/>
                <w:szCs w:val="16"/>
                <w:lang w:val="ru-RU"/>
              </w:rPr>
              <w:t>АБ</w:t>
            </w:r>
            <w:r w:rsidRPr="00E9446C">
              <w:rPr>
                <w:rFonts w:cs="Arial"/>
                <w:color w:val="000000"/>
                <w:sz w:val="16"/>
                <w:szCs w:val="16"/>
                <w:lang w:val="ru-RU"/>
              </w:rPr>
              <w:t xml:space="preserve"> </w:t>
            </w:r>
            <w:r>
              <w:rPr>
                <w:rFonts w:cs="Arial"/>
                <w:color w:val="000000"/>
                <w:sz w:val="16"/>
                <w:szCs w:val="16"/>
                <w:lang w:val="ru-RU"/>
              </w:rPr>
              <w:t xml:space="preserve">была задержана на </w:t>
            </w:r>
            <w:r w:rsidRPr="00AB735C">
              <w:rPr>
                <w:rFonts w:cs="Arial"/>
                <w:color w:val="000000"/>
                <w:sz w:val="16"/>
                <w:szCs w:val="16"/>
                <w:lang w:val="ru-RU"/>
              </w:rPr>
              <w:t>шесть</w:t>
            </w:r>
            <w:r>
              <w:rPr>
                <w:rFonts w:cs="Arial"/>
                <w:color w:val="000000"/>
                <w:sz w:val="16"/>
                <w:szCs w:val="16"/>
                <w:lang w:val="ru-RU"/>
              </w:rPr>
              <w:t xml:space="preserve"> </w:t>
            </w:r>
            <w:r w:rsidRPr="00AB735C">
              <w:rPr>
                <w:rFonts w:cs="Arial"/>
                <w:color w:val="000000"/>
                <w:sz w:val="16"/>
                <w:szCs w:val="16"/>
                <w:lang w:val="ru-RU"/>
              </w:rPr>
              <w:t>месяцев</w:t>
            </w:r>
            <w:r w:rsidRPr="00E9446C">
              <w:rPr>
                <w:rFonts w:cs="Arial"/>
                <w:color w:val="000000"/>
                <w:sz w:val="16"/>
                <w:szCs w:val="16"/>
                <w:lang w:val="ru-RU"/>
              </w:rPr>
              <w:t xml:space="preserve"> </w:t>
            </w:r>
            <w:r w:rsidRPr="00AB735C">
              <w:rPr>
                <w:rFonts w:cs="Arial"/>
                <w:color w:val="000000"/>
                <w:sz w:val="16"/>
                <w:szCs w:val="16"/>
                <w:lang w:val="ru-RU"/>
              </w:rPr>
              <w:t>в</w:t>
            </w:r>
            <w:r w:rsidRPr="00E9446C">
              <w:rPr>
                <w:rFonts w:cs="Arial"/>
                <w:color w:val="000000"/>
                <w:sz w:val="16"/>
                <w:szCs w:val="16"/>
                <w:lang w:val="ru-RU"/>
              </w:rPr>
              <w:t xml:space="preserve"> </w:t>
            </w:r>
            <w:r w:rsidRPr="00AB735C">
              <w:rPr>
                <w:rFonts w:cs="Arial"/>
                <w:color w:val="000000"/>
                <w:sz w:val="16"/>
                <w:szCs w:val="16"/>
                <w:lang w:val="ru-RU"/>
              </w:rPr>
              <w:t>связи</w:t>
            </w:r>
            <w:r w:rsidRPr="00E9446C">
              <w:rPr>
                <w:rFonts w:cs="Arial"/>
                <w:color w:val="000000"/>
                <w:sz w:val="16"/>
                <w:szCs w:val="16"/>
                <w:lang w:val="ru-RU"/>
              </w:rPr>
              <w:t xml:space="preserve"> </w:t>
            </w:r>
            <w:r w:rsidRPr="00AB735C">
              <w:rPr>
                <w:rFonts w:cs="Arial"/>
                <w:color w:val="000000"/>
                <w:sz w:val="16"/>
                <w:szCs w:val="16"/>
                <w:lang w:val="ru-RU"/>
              </w:rPr>
              <w:t>с</w:t>
            </w:r>
            <w:r w:rsidRPr="00E9446C">
              <w:rPr>
                <w:rFonts w:cs="Arial"/>
                <w:color w:val="000000"/>
                <w:sz w:val="16"/>
                <w:szCs w:val="16"/>
                <w:lang w:val="ru-RU"/>
              </w:rPr>
              <w:t xml:space="preserve"> </w:t>
            </w:r>
            <w:r w:rsidRPr="00AB735C">
              <w:rPr>
                <w:rFonts w:cs="Arial"/>
                <w:color w:val="000000"/>
                <w:sz w:val="16"/>
                <w:szCs w:val="16"/>
                <w:lang w:val="ru-RU"/>
              </w:rPr>
              <w:t>неожиданн</w:t>
            </w:r>
            <w:r>
              <w:rPr>
                <w:rFonts w:cs="Arial"/>
                <w:color w:val="000000"/>
                <w:sz w:val="16"/>
                <w:szCs w:val="16"/>
                <w:lang w:val="ru-RU"/>
              </w:rPr>
              <w:t xml:space="preserve">ым выходом из </w:t>
            </w:r>
            <w:r w:rsidRPr="001D4001">
              <w:rPr>
                <w:rFonts w:cs="Arial"/>
                <w:color w:val="000000"/>
                <w:sz w:val="16"/>
                <w:szCs w:val="16"/>
                <w:lang w:val="ru-RU"/>
              </w:rPr>
              <w:t>проект</w:t>
            </w:r>
            <w:r>
              <w:rPr>
                <w:rFonts w:cs="Arial"/>
                <w:color w:val="000000"/>
                <w:sz w:val="16"/>
                <w:szCs w:val="16"/>
                <w:lang w:val="ru-RU"/>
              </w:rPr>
              <w:t xml:space="preserve">а </w:t>
            </w:r>
            <w:r w:rsidRPr="00AB735C">
              <w:rPr>
                <w:rFonts w:cs="Arial"/>
                <w:color w:val="000000"/>
                <w:sz w:val="16"/>
                <w:szCs w:val="16"/>
                <w:lang w:val="ru-RU"/>
              </w:rPr>
              <w:t>консультант</w:t>
            </w:r>
            <w:r>
              <w:rPr>
                <w:rFonts w:cs="Arial"/>
                <w:color w:val="000000"/>
                <w:sz w:val="16"/>
                <w:szCs w:val="16"/>
                <w:lang w:val="ru-RU"/>
              </w:rPr>
              <w:t xml:space="preserve">а, </w:t>
            </w:r>
            <w:r w:rsidRPr="00AB735C">
              <w:rPr>
                <w:rFonts w:cs="Arial"/>
                <w:color w:val="000000"/>
                <w:sz w:val="16"/>
                <w:szCs w:val="16"/>
                <w:lang w:val="ru-RU"/>
              </w:rPr>
              <w:t>первоначально</w:t>
            </w:r>
            <w:r w:rsidRPr="00E9446C">
              <w:rPr>
                <w:rFonts w:cs="Arial"/>
                <w:color w:val="000000"/>
                <w:sz w:val="16"/>
                <w:szCs w:val="16"/>
                <w:lang w:val="ru-RU"/>
              </w:rPr>
              <w:t xml:space="preserve"> </w:t>
            </w:r>
            <w:r>
              <w:rPr>
                <w:rFonts w:cs="Arial"/>
                <w:color w:val="000000"/>
                <w:sz w:val="16"/>
                <w:szCs w:val="16"/>
                <w:lang w:val="ru-RU"/>
              </w:rPr>
              <w:t xml:space="preserve">отвечавшего за </w:t>
            </w:r>
            <w:r w:rsidRPr="0032369A">
              <w:rPr>
                <w:rFonts w:cs="Arial"/>
                <w:color w:val="000000"/>
                <w:sz w:val="16"/>
                <w:szCs w:val="16"/>
                <w:lang w:val="ru-RU"/>
              </w:rPr>
              <w:t>подготовк</w:t>
            </w:r>
            <w:r>
              <w:rPr>
                <w:rFonts w:cs="Arial"/>
                <w:color w:val="000000"/>
                <w:sz w:val="16"/>
                <w:szCs w:val="16"/>
                <w:lang w:val="ru-RU"/>
              </w:rPr>
              <w:t>у обоснования</w:t>
            </w:r>
            <w:r w:rsidRPr="00E9446C">
              <w:rPr>
                <w:rFonts w:cs="Arial"/>
                <w:color w:val="000000"/>
                <w:sz w:val="16"/>
                <w:szCs w:val="16"/>
                <w:lang w:val="ru-RU"/>
              </w:rPr>
              <w:t xml:space="preserve">.  </w:t>
            </w:r>
            <w:r>
              <w:rPr>
                <w:rFonts w:cs="Arial"/>
                <w:color w:val="000000"/>
                <w:sz w:val="16"/>
                <w:szCs w:val="16"/>
                <w:lang w:val="ru-RU"/>
              </w:rPr>
              <w:t xml:space="preserve">Для минимизации </w:t>
            </w:r>
            <w:r w:rsidRPr="001D4001">
              <w:rPr>
                <w:rFonts w:cs="Arial"/>
                <w:color w:val="000000"/>
                <w:sz w:val="16"/>
                <w:szCs w:val="16"/>
                <w:lang w:val="ru-RU"/>
              </w:rPr>
              <w:t>последстви</w:t>
            </w:r>
            <w:r>
              <w:rPr>
                <w:rFonts w:cs="Arial"/>
                <w:color w:val="000000"/>
                <w:sz w:val="16"/>
                <w:szCs w:val="16"/>
                <w:lang w:val="ru-RU"/>
              </w:rPr>
              <w:t xml:space="preserve">й этого </w:t>
            </w:r>
            <w:r w:rsidRPr="001D4001">
              <w:rPr>
                <w:rFonts w:cs="Arial"/>
                <w:color w:val="000000"/>
                <w:sz w:val="16"/>
                <w:szCs w:val="16"/>
                <w:lang w:val="ru-RU"/>
              </w:rPr>
              <w:t>событи</w:t>
            </w:r>
            <w:r>
              <w:rPr>
                <w:rFonts w:cs="Arial"/>
                <w:color w:val="000000"/>
                <w:sz w:val="16"/>
                <w:szCs w:val="16"/>
                <w:lang w:val="ru-RU"/>
              </w:rPr>
              <w:t xml:space="preserve">я для </w:t>
            </w:r>
            <w:r w:rsidRPr="001D4001">
              <w:rPr>
                <w:rFonts w:cs="Arial"/>
                <w:color w:val="000000"/>
                <w:sz w:val="16"/>
                <w:szCs w:val="16"/>
                <w:lang w:val="ru-RU"/>
              </w:rPr>
              <w:t>проект</w:t>
            </w:r>
            <w:r>
              <w:rPr>
                <w:rFonts w:cs="Arial"/>
                <w:color w:val="000000"/>
                <w:sz w:val="16"/>
                <w:szCs w:val="16"/>
                <w:lang w:val="ru-RU"/>
              </w:rPr>
              <w:t xml:space="preserve">а </w:t>
            </w:r>
            <w:r w:rsidRPr="00AB735C">
              <w:rPr>
                <w:rFonts w:cs="Arial"/>
                <w:color w:val="000000"/>
                <w:sz w:val="16"/>
                <w:szCs w:val="16"/>
                <w:lang w:val="ru-RU"/>
              </w:rPr>
              <w:t xml:space="preserve">Секретариат </w:t>
            </w:r>
            <w:r>
              <w:rPr>
                <w:rFonts w:cs="Arial"/>
                <w:color w:val="000000"/>
                <w:sz w:val="16"/>
                <w:szCs w:val="16"/>
                <w:lang w:val="ru-RU"/>
              </w:rPr>
              <w:t xml:space="preserve">обеспечил </w:t>
            </w:r>
            <w:r w:rsidRPr="0032369A">
              <w:rPr>
                <w:rFonts w:cs="Arial"/>
                <w:color w:val="000000"/>
                <w:sz w:val="16"/>
                <w:szCs w:val="16"/>
                <w:lang w:val="ru-RU"/>
              </w:rPr>
              <w:t>подготовк</w:t>
            </w:r>
            <w:r>
              <w:rPr>
                <w:rFonts w:cs="Arial"/>
                <w:color w:val="000000"/>
                <w:sz w:val="16"/>
                <w:szCs w:val="16"/>
                <w:lang w:val="ru-RU"/>
              </w:rPr>
              <w:t xml:space="preserve">у </w:t>
            </w:r>
            <w:r w:rsidRPr="0032369A">
              <w:rPr>
                <w:rFonts w:cs="Arial"/>
                <w:color w:val="000000"/>
                <w:sz w:val="16"/>
                <w:szCs w:val="16"/>
                <w:lang w:val="ru-RU"/>
              </w:rPr>
              <w:t>обосновани</w:t>
            </w:r>
            <w:r>
              <w:rPr>
                <w:rFonts w:cs="Arial"/>
                <w:color w:val="000000"/>
                <w:sz w:val="16"/>
                <w:szCs w:val="16"/>
                <w:lang w:val="ru-RU"/>
              </w:rPr>
              <w:t xml:space="preserve">я силами </w:t>
            </w:r>
            <w:r w:rsidRPr="001D4001">
              <w:rPr>
                <w:rFonts w:cs="Arial"/>
                <w:color w:val="000000"/>
                <w:sz w:val="16"/>
                <w:szCs w:val="16"/>
                <w:lang w:val="ru-RU"/>
              </w:rPr>
              <w:t>сотрудник</w:t>
            </w:r>
            <w:r>
              <w:rPr>
                <w:rFonts w:cs="Arial"/>
                <w:color w:val="000000"/>
                <w:sz w:val="16"/>
                <w:szCs w:val="16"/>
                <w:lang w:val="ru-RU"/>
              </w:rPr>
              <w:t xml:space="preserve">ов </w:t>
            </w:r>
            <w:r w:rsidRPr="00AB735C">
              <w:rPr>
                <w:rFonts w:cs="Arial"/>
                <w:color w:val="000000"/>
                <w:sz w:val="16"/>
                <w:szCs w:val="16"/>
                <w:lang w:val="ru-RU"/>
              </w:rPr>
              <w:t>ВОИС.</w:t>
            </w:r>
          </w:p>
        </w:tc>
      </w:tr>
      <w:tr w:rsidR="00C85043" w:rsidRPr="005C6ABD" w:rsidTr="00C85043">
        <w:trPr>
          <w:trHeight w:val="669"/>
          <w:jc w:val="center"/>
        </w:trPr>
        <w:tc>
          <w:tcPr>
            <w:tcW w:w="1667" w:type="pct"/>
            <w:shd w:val="clear" w:color="auto" w:fill="FFFFFF"/>
          </w:tcPr>
          <w:p w:rsidR="00C85043" w:rsidRPr="004C29C9" w:rsidRDefault="00C85043" w:rsidP="00C85043">
            <w:pPr>
              <w:autoSpaceDE w:val="0"/>
              <w:autoSpaceDN w:val="0"/>
              <w:adjustRightInd w:val="0"/>
              <w:spacing w:before="40" w:after="40"/>
              <w:rPr>
                <w:sz w:val="16"/>
                <w:szCs w:val="16"/>
                <w:lang w:val="ru-RU"/>
              </w:rPr>
            </w:pPr>
            <w:r w:rsidRPr="004C29C9">
              <w:rPr>
                <w:sz w:val="16"/>
                <w:szCs w:val="16"/>
                <w:lang w:val="ru-RU"/>
              </w:rPr>
              <w:t>Задержк</w:t>
            </w:r>
            <w:r>
              <w:rPr>
                <w:sz w:val="16"/>
                <w:szCs w:val="16"/>
                <w:lang w:val="ru-RU"/>
              </w:rPr>
              <w:t>а или</w:t>
            </w:r>
            <w:r w:rsidRPr="004C29C9">
              <w:rPr>
                <w:sz w:val="16"/>
                <w:szCs w:val="16"/>
                <w:lang w:val="ru-RU"/>
              </w:rPr>
              <w:t xml:space="preserve"> </w:t>
            </w:r>
            <w:r w:rsidRPr="005D07E6">
              <w:rPr>
                <w:sz w:val="16"/>
                <w:szCs w:val="16"/>
                <w:lang w:val="ru-RU"/>
              </w:rPr>
              <w:t xml:space="preserve">прекращение </w:t>
            </w:r>
            <w:r>
              <w:rPr>
                <w:sz w:val="16"/>
                <w:szCs w:val="16"/>
                <w:lang w:val="ru-RU"/>
              </w:rPr>
              <w:t xml:space="preserve">работ </w:t>
            </w:r>
            <w:r w:rsidRPr="003E5D52">
              <w:rPr>
                <w:sz w:val="16"/>
                <w:szCs w:val="16"/>
                <w:lang w:val="ru-RU"/>
              </w:rPr>
              <w:t>в результате</w:t>
            </w:r>
            <w:r>
              <w:rPr>
                <w:sz w:val="16"/>
                <w:szCs w:val="16"/>
                <w:lang w:val="ru-RU"/>
              </w:rPr>
              <w:t xml:space="preserve"> </w:t>
            </w:r>
            <w:r w:rsidRPr="003E5D52">
              <w:rPr>
                <w:sz w:val="16"/>
                <w:szCs w:val="16"/>
                <w:lang w:val="ru-RU"/>
              </w:rPr>
              <w:t>чрезвычайн</w:t>
            </w:r>
            <w:r>
              <w:rPr>
                <w:sz w:val="16"/>
                <w:szCs w:val="16"/>
                <w:lang w:val="ru-RU"/>
              </w:rPr>
              <w:t xml:space="preserve">ого происшествия на </w:t>
            </w:r>
            <w:r w:rsidRPr="003E5D52">
              <w:rPr>
                <w:sz w:val="16"/>
                <w:szCs w:val="16"/>
                <w:lang w:val="ru-RU"/>
              </w:rPr>
              <w:t>объе</w:t>
            </w:r>
            <w:r>
              <w:rPr>
                <w:sz w:val="16"/>
                <w:szCs w:val="16"/>
                <w:lang w:val="ru-RU"/>
              </w:rPr>
              <w:t>кте</w:t>
            </w:r>
            <w:r w:rsidRPr="004C29C9">
              <w:rPr>
                <w:sz w:val="16"/>
                <w:szCs w:val="16"/>
                <w:lang w:val="ru-RU"/>
              </w:rPr>
              <w:t>.</w:t>
            </w:r>
          </w:p>
        </w:tc>
        <w:tc>
          <w:tcPr>
            <w:tcW w:w="1667" w:type="pct"/>
            <w:shd w:val="clear" w:color="auto" w:fill="FFFFFF"/>
          </w:tcPr>
          <w:p w:rsidR="00C85043" w:rsidRPr="00AB735C" w:rsidRDefault="00C85043" w:rsidP="00C85043">
            <w:pPr>
              <w:autoSpaceDE w:val="0"/>
              <w:autoSpaceDN w:val="0"/>
              <w:adjustRightInd w:val="0"/>
              <w:spacing w:before="40" w:after="40"/>
              <w:rPr>
                <w:sz w:val="16"/>
                <w:szCs w:val="16"/>
                <w:lang w:val="ru-RU"/>
              </w:rPr>
            </w:pPr>
            <w:r>
              <w:rPr>
                <w:sz w:val="16"/>
                <w:szCs w:val="16"/>
                <w:lang w:val="ru-RU"/>
              </w:rPr>
              <w:t xml:space="preserve">Повторная </w:t>
            </w:r>
            <w:r w:rsidRPr="0032369A">
              <w:rPr>
                <w:sz w:val="16"/>
                <w:szCs w:val="16"/>
                <w:lang w:val="ru-RU"/>
              </w:rPr>
              <w:t>эксперт</w:t>
            </w:r>
            <w:r>
              <w:rPr>
                <w:sz w:val="16"/>
                <w:szCs w:val="16"/>
                <w:lang w:val="ru-RU"/>
              </w:rPr>
              <w:t xml:space="preserve">иза </w:t>
            </w:r>
            <w:r w:rsidRPr="00AB735C">
              <w:rPr>
                <w:sz w:val="16"/>
                <w:szCs w:val="16"/>
                <w:lang w:val="ru-RU"/>
              </w:rPr>
              <w:t xml:space="preserve">и </w:t>
            </w:r>
            <w:r>
              <w:rPr>
                <w:sz w:val="16"/>
                <w:szCs w:val="16"/>
                <w:lang w:val="ru-RU"/>
              </w:rPr>
              <w:t xml:space="preserve">усиление мер </w:t>
            </w:r>
            <w:r w:rsidRPr="00AB735C">
              <w:rPr>
                <w:sz w:val="16"/>
                <w:szCs w:val="16"/>
                <w:lang w:val="ru-RU"/>
              </w:rPr>
              <w:t>безопасност</w:t>
            </w:r>
            <w:r>
              <w:rPr>
                <w:sz w:val="16"/>
                <w:szCs w:val="16"/>
                <w:lang w:val="ru-RU"/>
              </w:rPr>
              <w:t>и,</w:t>
            </w:r>
            <w:r w:rsidRPr="00AB735C">
              <w:rPr>
                <w:sz w:val="16"/>
                <w:szCs w:val="16"/>
                <w:lang w:val="ru-RU"/>
              </w:rPr>
              <w:t xml:space="preserve"> </w:t>
            </w:r>
            <w:r>
              <w:rPr>
                <w:sz w:val="16"/>
                <w:szCs w:val="16"/>
                <w:lang w:val="ru-RU"/>
              </w:rPr>
              <w:t xml:space="preserve">уточнение </w:t>
            </w:r>
            <w:r w:rsidRPr="00AB735C">
              <w:rPr>
                <w:sz w:val="16"/>
                <w:szCs w:val="16"/>
                <w:lang w:val="ru-RU"/>
              </w:rPr>
              <w:t>график</w:t>
            </w:r>
            <w:r>
              <w:rPr>
                <w:sz w:val="16"/>
                <w:szCs w:val="16"/>
                <w:lang w:val="ru-RU"/>
              </w:rPr>
              <w:t>а работ</w:t>
            </w:r>
            <w:r w:rsidRPr="00AB735C">
              <w:rPr>
                <w:sz w:val="16"/>
                <w:szCs w:val="16"/>
                <w:lang w:val="ru-RU"/>
              </w:rPr>
              <w:t>.</w:t>
            </w:r>
          </w:p>
        </w:tc>
        <w:tc>
          <w:tcPr>
            <w:tcW w:w="1666" w:type="pct"/>
            <w:shd w:val="clear" w:color="auto" w:fill="FFFFFF"/>
          </w:tcPr>
          <w:p w:rsidR="00C85043" w:rsidRPr="00AB735C" w:rsidRDefault="00C85043" w:rsidP="00C85043">
            <w:pPr>
              <w:autoSpaceDE w:val="0"/>
              <w:autoSpaceDN w:val="0"/>
              <w:adjustRightInd w:val="0"/>
              <w:spacing w:before="40" w:after="40"/>
              <w:rPr>
                <w:sz w:val="16"/>
                <w:szCs w:val="16"/>
                <w:lang w:val="ru-RU"/>
              </w:rPr>
            </w:pPr>
          </w:p>
        </w:tc>
      </w:tr>
    </w:tbl>
    <w:p w:rsidR="00C85043" w:rsidRPr="00AB735C" w:rsidRDefault="00C85043" w:rsidP="00C85043">
      <w:pPr>
        <w:rPr>
          <w:rFonts w:cs="Arial"/>
          <w:color w:val="000000"/>
          <w:sz w:val="22"/>
          <w:szCs w:val="22"/>
          <w:lang w:val="ru-RU"/>
        </w:rPr>
      </w:pPr>
    </w:p>
    <w:p w:rsidR="00C85043" w:rsidRDefault="00C85043" w:rsidP="00C85043">
      <w:pPr>
        <w:rPr>
          <w:rFonts w:cs="Arial"/>
          <w:color w:val="000000"/>
          <w:szCs w:val="20"/>
          <w:lang w:val="ru-RU"/>
        </w:rPr>
      </w:pPr>
    </w:p>
    <w:p w:rsidR="00C85043" w:rsidRPr="00715C25" w:rsidRDefault="00C85043" w:rsidP="00C85043">
      <w:pPr>
        <w:rPr>
          <w:szCs w:val="20"/>
          <w:lang w:val="ru-RU"/>
        </w:rPr>
      </w:pPr>
      <w:r>
        <w:rPr>
          <w:rFonts w:cs="Arial"/>
          <w:color w:val="000000"/>
          <w:szCs w:val="20"/>
          <w:lang w:val="ru-RU"/>
        </w:rPr>
        <w:t>СРОКИ ОСУЩЕСТВЛЕНИЯ ПРОЕКТА В РАЗБИВКЕ ПО ОСНОВНЫМ РЕЗУЛЬТАТАМ</w:t>
      </w:r>
    </w:p>
    <w:p w:rsidR="00C85043" w:rsidRPr="00715C25" w:rsidRDefault="00C85043" w:rsidP="00C85043">
      <w:pPr>
        <w:autoSpaceDE w:val="0"/>
        <w:autoSpaceDN w:val="0"/>
        <w:jc w:val="both"/>
        <w:rPr>
          <w:szCs w:val="20"/>
          <w:lang w:val="ru-RU"/>
        </w:rPr>
      </w:pPr>
    </w:p>
    <w:tbl>
      <w:tblPr>
        <w:tblW w:w="10004" w:type="dxa"/>
        <w:jc w:val="center"/>
        <w:tblLook w:val="04A0" w:firstRow="1" w:lastRow="0" w:firstColumn="1" w:lastColumn="0" w:noHBand="0" w:noVBand="1"/>
      </w:tblPr>
      <w:tblGrid>
        <w:gridCol w:w="2324"/>
        <w:gridCol w:w="480"/>
        <w:gridCol w:w="480"/>
        <w:gridCol w:w="480"/>
        <w:gridCol w:w="480"/>
        <w:gridCol w:w="480"/>
        <w:gridCol w:w="480"/>
        <w:gridCol w:w="480"/>
        <w:gridCol w:w="480"/>
        <w:gridCol w:w="480"/>
        <w:gridCol w:w="480"/>
        <w:gridCol w:w="480"/>
        <w:gridCol w:w="480"/>
        <w:gridCol w:w="480"/>
        <w:gridCol w:w="480"/>
        <w:gridCol w:w="480"/>
        <w:gridCol w:w="480"/>
      </w:tblGrid>
      <w:tr w:rsidR="00C85043" w:rsidRPr="005158E3" w:rsidTr="00C85043">
        <w:trPr>
          <w:trHeight w:val="270"/>
          <w:tblHeader/>
          <w:jc w:val="center"/>
        </w:trPr>
        <w:tc>
          <w:tcPr>
            <w:tcW w:w="2324" w:type="dxa"/>
            <w:tcBorders>
              <w:top w:val="nil"/>
              <w:left w:val="nil"/>
              <w:bottom w:val="nil"/>
              <w:right w:val="nil"/>
            </w:tcBorders>
            <w:shd w:val="clear" w:color="auto" w:fill="auto"/>
            <w:noWrap/>
            <w:vAlign w:val="bottom"/>
          </w:tcPr>
          <w:p w:rsidR="00C85043" w:rsidRPr="00715C25" w:rsidRDefault="00C85043" w:rsidP="00C85043">
            <w:pPr>
              <w:rPr>
                <w:rFonts w:cs="Arial"/>
                <w:color w:val="000000"/>
                <w:sz w:val="18"/>
                <w:szCs w:val="18"/>
                <w:lang w:val="ru-RU"/>
              </w:rPr>
            </w:pPr>
          </w:p>
        </w:tc>
        <w:tc>
          <w:tcPr>
            <w:tcW w:w="1920" w:type="dxa"/>
            <w:gridSpan w:val="4"/>
            <w:tcBorders>
              <w:top w:val="single" w:sz="8" w:space="0" w:color="auto"/>
              <w:left w:val="single" w:sz="8" w:space="0" w:color="auto"/>
              <w:bottom w:val="single" w:sz="4" w:space="0" w:color="auto"/>
              <w:right w:val="single" w:sz="8" w:space="0" w:color="000000"/>
            </w:tcBorders>
            <w:shd w:val="clear" w:color="auto" w:fill="C6D9F1"/>
            <w:noWrap/>
            <w:vAlign w:val="bottom"/>
          </w:tcPr>
          <w:p w:rsidR="00C85043" w:rsidRPr="00265A90" w:rsidRDefault="00C85043" w:rsidP="00C85043">
            <w:pPr>
              <w:jc w:val="center"/>
              <w:rPr>
                <w:rFonts w:cs="Arial"/>
                <w:b/>
                <w:bCs/>
                <w:color w:val="000000"/>
                <w:sz w:val="18"/>
                <w:szCs w:val="18"/>
                <w:lang w:val="ru-RU"/>
              </w:rPr>
            </w:pPr>
            <w:r>
              <w:rPr>
                <w:rFonts w:cs="Arial"/>
                <w:b/>
                <w:bCs/>
                <w:color w:val="000000"/>
                <w:sz w:val="18"/>
                <w:szCs w:val="18"/>
              </w:rPr>
              <w:t>2014 г.</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ED7C01" w:rsidRDefault="00C85043" w:rsidP="00C85043">
            <w:pPr>
              <w:jc w:val="center"/>
              <w:rPr>
                <w:rFonts w:cs="Arial"/>
                <w:b/>
                <w:bCs/>
                <w:color w:val="000000"/>
                <w:sz w:val="18"/>
                <w:szCs w:val="18"/>
              </w:rPr>
            </w:pPr>
            <w:r w:rsidRPr="00ED7C01">
              <w:rPr>
                <w:rFonts w:cs="Arial"/>
                <w:b/>
                <w:bCs/>
                <w:color w:val="000000"/>
                <w:sz w:val="18"/>
                <w:szCs w:val="18"/>
              </w:rPr>
              <w:t>2015</w:t>
            </w:r>
            <w:r>
              <w:rPr>
                <w:rFonts w:cs="Arial"/>
                <w:b/>
                <w:bCs/>
                <w:color w:val="000000"/>
                <w:sz w:val="18"/>
                <w:szCs w:val="18"/>
                <w:lang w:val="ru-RU"/>
              </w:rPr>
              <w:t xml:space="preserve"> г.</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ED7C01" w:rsidRDefault="00C85043" w:rsidP="00C85043">
            <w:pPr>
              <w:jc w:val="center"/>
              <w:rPr>
                <w:rFonts w:cs="Arial"/>
                <w:b/>
                <w:bCs/>
                <w:color w:val="000000"/>
                <w:sz w:val="18"/>
                <w:szCs w:val="18"/>
              </w:rPr>
            </w:pPr>
            <w:r w:rsidRPr="00ED7C01">
              <w:rPr>
                <w:rFonts w:cs="Arial"/>
                <w:b/>
                <w:bCs/>
                <w:color w:val="000000"/>
                <w:sz w:val="18"/>
                <w:szCs w:val="18"/>
              </w:rPr>
              <w:t>2016</w:t>
            </w:r>
            <w:r>
              <w:rPr>
                <w:rFonts w:cs="Arial"/>
                <w:b/>
                <w:bCs/>
                <w:color w:val="000000"/>
                <w:sz w:val="18"/>
                <w:szCs w:val="18"/>
                <w:lang w:val="ru-RU"/>
              </w:rPr>
              <w:t xml:space="preserve"> г.</w:t>
            </w:r>
          </w:p>
        </w:tc>
        <w:tc>
          <w:tcPr>
            <w:tcW w:w="1920" w:type="dxa"/>
            <w:gridSpan w:val="4"/>
            <w:tcBorders>
              <w:top w:val="single" w:sz="8" w:space="0" w:color="auto"/>
              <w:left w:val="nil"/>
              <w:bottom w:val="single" w:sz="4" w:space="0" w:color="auto"/>
              <w:right w:val="single" w:sz="8" w:space="0" w:color="000000"/>
            </w:tcBorders>
            <w:shd w:val="clear" w:color="auto" w:fill="C6D9F1"/>
            <w:noWrap/>
            <w:vAlign w:val="bottom"/>
          </w:tcPr>
          <w:p w:rsidR="00C85043" w:rsidRPr="00ED7C01" w:rsidRDefault="00C85043" w:rsidP="00C85043">
            <w:pPr>
              <w:jc w:val="center"/>
              <w:rPr>
                <w:rFonts w:cs="Arial"/>
                <w:b/>
                <w:bCs/>
                <w:color w:val="000000"/>
                <w:sz w:val="18"/>
                <w:szCs w:val="18"/>
              </w:rPr>
            </w:pPr>
            <w:r w:rsidRPr="00ED7C01">
              <w:rPr>
                <w:rFonts w:cs="Arial"/>
                <w:b/>
                <w:bCs/>
                <w:color w:val="000000"/>
                <w:sz w:val="18"/>
                <w:szCs w:val="18"/>
              </w:rPr>
              <w:t>2017</w:t>
            </w:r>
            <w:r>
              <w:rPr>
                <w:rFonts w:cs="Arial"/>
                <w:b/>
                <w:bCs/>
                <w:color w:val="000000"/>
                <w:sz w:val="18"/>
                <w:szCs w:val="18"/>
                <w:lang w:val="ru-RU"/>
              </w:rPr>
              <w:t xml:space="preserve"> г.</w:t>
            </w:r>
          </w:p>
        </w:tc>
      </w:tr>
      <w:tr w:rsidR="00C85043" w:rsidRPr="005158E3" w:rsidTr="00C85043">
        <w:trPr>
          <w:trHeight w:val="375"/>
          <w:tblHeader/>
          <w:jc w:val="center"/>
        </w:trPr>
        <w:tc>
          <w:tcPr>
            <w:tcW w:w="2324" w:type="dxa"/>
            <w:tcBorders>
              <w:top w:val="single" w:sz="8" w:space="0" w:color="auto"/>
              <w:left w:val="single" w:sz="8" w:space="0" w:color="auto"/>
              <w:bottom w:val="single" w:sz="4" w:space="0" w:color="auto"/>
              <w:right w:val="single" w:sz="8"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Основной результат</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III кв.</w:t>
            </w:r>
          </w:p>
        </w:tc>
        <w:tc>
          <w:tcPr>
            <w:tcW w:w="480" w:type="dxa"/>
            <w:tcBorders>
              <w:top w:val="nil"/>
              <w:left w:val="nil"/>
              <w:bottom w:val="single" w:sz="4" w:space="0" w:color="auto"/>
              <w:right w:val="single" w:sz="8"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IV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III кв.</w:t>
            </w:r>
          </w:p>
        </w:tc>
        <w:tc>
          <w:tcPr>
            <w:tcW w:w="480" w:type="dxa"/>
            <w:tcBorders>
              <w:top w:val="nil"/>
              <w:left w:val="nil"/>
              <w:bottom w:val="single" w:sz="4" w:space="0" w:color="auto"/>
              <w:right w:val="single" w:sz="8"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IV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III кв.</w:t>
            </w:r>
          </w:p>
        </w:tc>
        <w:tc>
          <w:tcPr>
            <w:tcW w:w="480" w:type="dxa"/>
            <w:tcBorders>
              <w:top w:val="nil"/>
              <w:left w:val="nil"/>
              <w:bottom w:val="single" w:sz="4" w:space="0" w:color="auto"/>
              <w:right w:val="single" w:sz="8"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IV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II кв.</w:t>
            </w:r>
          </w:p>
        </w:tc>
        <w:tc>
          <w:tcPr>
            <w:tcW w:w="480" w:type="dxa"/>
            <w:tcBorders>
              <w:top w:val="nil"/>
              <w:left w:val="nil"/>
              <w:bottom w:val="single" w:sz="4" w:space="0" w:color="auto"/>
              <w:right w:val="single" w:sz="4"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III кв.</w:t>
            </w:r>
          </w:p>
        </w:tc>
        <w:tc>
          <w:tcPr>
            <w:tcW w:w="480" w:type="dxa"/>
            <w:tcBorders>
              <w:top w:val="nil"/>
              <w:left w:val="nil"/>
              <w:bottom w:val="single" w:sz="4" w:space="0" w:color="auto"/>
              <w:right w:val="single" w:sz="8" w:space="0" w:color="auto"/>
            </w:tcBorders>
            <w:shd w:val="clear" w:color="auto" w:fill="C6D9F1"/>
            <w:noWrap/>
            <w:vAlign w:val="bottom"/>
          </w:tcPr>
          <w:p w:rsidR="00C85043" w:rsidRPr="00ED7C01" w:rsidRDefault="00C85043" w:rsidP="00C85043">
            <w:pPr>
              <w:jc w:val="center"/>
              <w:rPr>
                <w:rFonts w:cs="Arial"/>
                <w:b/>
                <w:bCs/>
                <w:color w:val="000000"/>
                <w:sz w:val="18"/>
                <w:szCs w:val="18"/>
              </w:rPr>
            </w:pPr>
            <w:r>
              <w:rPr>
                <w:rFonts w:cs="Arial"/>
                <w:b/>
                <w:bCs/>
                <w:color w:val="000000"/>
                <w:sz w:val="18"/>
                <w:szCs w:val="18"/>
              </w:rPr>
              <w:t>IV кв.</w:t>
            </w:r>
          </w:p>
        </w:tc>
      </w:tr>
      <w:tr w:rsidR="00C85043" w:rsidRPr="003962D0" w:rsidTr="00C85043">
        <w:trPr>
          <w:trHeight w:val="615"/>
          <w:jc w:val="center"/>
        </w:trPr>
        <w:tc>
          <w:tcPr>
            <w:tcW w:w="2324" w:type="dxa"/>
            <w:tcBorders>
              <w:top w:val="nil"/>
              <w:left w:val="single" w:sz="8" w:space="0" w:color="auto"/>
              <w:bottom w:val="single" w:sz="4" w:space="0" w:color="auto"/>
              <w:right w:val="single" w:sz="8" w:space="0" w:color="auto"/>
            </w:tcBorders>
            <w:shd w:val="clear" w:color="auto" w:fill="auto"/>
            <w:noWrap/>
            <w:vAlign w:val="center"/>
          </w:tcPr>
          <w:p w:rsidR="00C85043" w:rsidRPr="008249FD" w:rsidRDefault="00C85043" w:rsidP="00C85043">
            <w:pPr>
              <w:spacing w:before="40" w:after="40"/>
              <w:rPr>
                <w:rFonts w:cs="Arial"/>
                <w:b/>
                <w:bCs/>
                <w:color w:val="000000"/>
                <w:sz w:val="16"/>
                <w:szCs w:val="16"/>
                <w:lang w:val="ru-RU"/>
              </w:rPr>
            </w:pPr>
            <w:r>
              <w:rPr>
                <w:rFonts w:cs="Arial"/>
                <w:color w:val="000000"/>
                <w:sz w:val="16"/>
                <w:szCs w:val="16"/>
                <w:lang w:val="ru-RU"/>
              </w:rPr>
              <w:t xml:space="preserve">Завершение </w:t>
            </w:r>
            <w:r w:rsidRPr="003E5D52">
              <w:rPr>
                <w:rFonts w:cs="Arial"/>
                <w:color w:val="000000"/>
                <w:sz w:val="16"/>
                <w:szCs w:val="16"/>
                <w:lang w:val="ru-RU"/>
              </w:rPr>
              <w:t>работ</w:t>
            </w:r>
            <w:r>
              <w:rPr>
                <w:rFonts w:cs="Arial"/>
                <w:color w:val="000000"/>
                <w:sz w:val="16"/>
                <w:szCs w:val="16"/>
                <w:lang w:val="ru-RU"/>
              </w:rPr>
              <w:t xml:space="preserve"> по </w:t>
            </w:r>
            <w:r w:rsidRPr="008249FD">
              <w:rPr>
                <w:rFonts w:cs="Arial"/>
                <w:color w:val="000000"/>
                <w:sz w:val="16"/>
                <w:szCs w:val="16"/>
                <w:lang w:val="ru-RU"/>
              </w:rPr>
              <w:t>секционирова</w:t>
            </w:r>
            <w:r>
              <w:rPr>
                <w:rFonts w:cs="Arial"/>
                <w:color w:val="000000"/>
                <w:sz w:val="16"/>
                <w:szCs w:val="16"/>
                <w:lang w:val="ru-RU"/>
              </w:rPr>
              <w:t>нию</w:t>
            </w:r>
            <w:r w:rsidRPr="008249FD">
              <w:rPr>
                <w:rFonts w:cs="Arial"/>
                <w:color w:val="000000"/>
                <w:sz w:val="16"/>
                <w:szCs w:val="16"/>
                <w:lang w:val="ru-RU"/>
              </w:rPr>
              <w:t xml:space="preserve"> </w:t>
            </w:r>
            <w:r>
              <w:rPr>
                <w:rFonts w:cs="Arial"/>
                <w:color w:val="000000"/>
                <w:sz w:val="16"/>
                <w:szCs w:val="16"/>
                <w:lang w:val="ru-RU"/>
              </w:rPr>
              <w:t xml:space="preserve">здания </w:t>
            </w:r>
            <w:r w:rsidRPr="00ED7C01">
              <w:rPr>
                <w:rFonts w:cs="Arial"/>
                <w:color w:val="000000"/>
                <w:sz w:val="16"/>
                <w:szCs w:val="16"/>
              </w:rPr>
              <w:t>PCT</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r>
      <w:tr w:rsidR="00C85043" w:rsidRPr="003962D0" w:rsidTr="00C85043">
        <w:trPr>
          <w:trHeight w:val="615"/>
          <w:jc w:val="center"/>
        </w:trPr>
        <w:tc>
          <w:tcPr>
            <w:tcW w:w="2324" w:type="dxa"/>
            <w:tcBorders>
              <w:top w:val="nil"/>
              <w:left w:val="single" w:sz="8" w:space="0" w:color="auto"/>
              <w:bottom w:val="single" w:sz="4" w:space="0" w:color="auto"/>
              <w:right w:val="single" w:sz="8" w:space="0" w:color="auto"/>
            </w:tcBorders>
            <w:shd w:val="clear" w:color="auto" w:fill="auto"/>
            <w:noWrap/>
            <w:vAlign w:val="center"/>
          </w:tcPr>
          <w:p w:rsidR="00C85043" w:rsidRPr="00AA2BEA" w:rsidRDefault="00C85043" w:rsidP="00C85043">
            <w:pPr>
              <w:spacing w:before="40" w:after="40"/>
              <w:rPr>
                <w:rFonts w:cs="Arial"/>
                <w:bCs/>
                <w:color w:val="000000"/>
                <w:sz w:val="16"/>
                <w:szCs w:val="16"/>
                <w:lang w:val="ru-RU"/>
              </w:rPr>
            </w:pPr>
            <w:r w:rsidRPr="008249FD">
              <w:rPr>
                <w:rFonts w:cs="Arial"/>
                <w:color w:val="000000"/>
                <w:sz w:val="16"/>
                <w:szCs w:val="16"/>
                <w:lang w:val="ru-RU"/>
              </w:rPr>
              <w:t>Секционирова</w:t>
            </w:r>
            <w:r>
              <w:rPr>
                <w:rFonts w:cs="Arial"/>
                <w:color w:val="000000"/>
                <w:sz w:val="16"/>
                <w:szCs w:val="16"/>
                <w:lang w:val="ru-RU"/>
              </w:rPr>
              <w:t>ние</w:t>
            </w:r>
            <w:r w:rsidRPr="008249FD">
              <w:rPr>
                <w:rFonts w:cs="Arial"/>
                <w:color w:val="000000"/>
                <w:sz w:val="16"/>
                <w:szCs w:val="16"/>
                <w:lang w:val="ru-RU"/>
              </w:rPr>
              <w:t xml:space="preserve"> </w:t>
            </w:r>
            <w:r>
              <w:rPr>
                <w:rFonts w:cs="Arial"/>
                <w:bCs/>
                <w:color w:val="000000"/>
                <w:sz w:val="16"/>
                <w:szCs w:val="16"/>
                <w:lang w:val="ru-RU"/>
              </w:rPr>
              <w:t>здания</w:t>
            </w:r>
            <w:r w:rsidRPr="00265A90">
              <w:rPr>
                <w:rFonts w:cs="Arial"/>
                <w:bCs/>
                <w:color w:val="000000"/>
                <w:sz w:val="16"/>
                <w:szCs w:val="16"/>
                <w:lang w:val="ru-RU"/>
              </w:rPr>
              <w:t xml:space="preserve"> </w:t>
            </w:r>
            <w:r>
              <w:rPr>
                <w:rFonts w:cs="Arial"/>
                <w:bCs/>
                <w:color w:val="000000"/>
                <w:sz w:val="16"/>
                <w:szCs w:val="16"/>
                <w:lang w:val="ru-RU"/>
              </w:rPr>
              <w:t>АБ</w:t>
            </w:r>
            <w:r w:rsidRPr="00265A90">
              <w:rPr>
                <w:rFonts w:cs="Arial"/>
                <w:bCs/>
                <w:color w:val="000000"/>
                <w:sz w:val="16"/>
                <w:szCs w:val="16"/>
                <w:lang w:val="ru-RU"/>
              </w:rPr>
              <w:t>-2. Устройство</w:t>
            </w:r>
            <w:r w:rsidRPr="00AA2BEA">
              <w:rPr>
                <w:rFonts w:cs="Arial"/>
                <w:bCs/>
                <w:color w:val="000000"/>
                <w:sz w:val="16"/>
                <w:szCs w:val="16"/>
                <w:lang w:val="ru-RU"/>
              </w:rPr>
              <w:t xml:space="preserve"> </w:t>
            </w:r>
            <w:r w:rsidRPr="00265A90">
              <w:rPr>
                <w:rFonts w:cs="Arial"/>
                <w:bCs/>
                <w:color w:val="000000"/>
                <w:sz w:val="16"/>
                <w:szCs w:val="16"/>
                <w:lang w:val="ru-RU"/>
              </w:rPr>
              <w:t>разделительной</w:t>
            </w:r>
            <w:r w:rsidRPr="00AA2BEA">
              <w:rPr>
                <w:rFonts w:cs="Arial"/>
                <w:bCs/>
                <w:color w:val="000000"/>
                <w:sz w:val="16"/>
                <w:szCs w:val="16"/>
                <w:lang w:val="ru-RU"/>
              </w:rPr>
              <w:t xml:space="preserve"> </w:t>
            </w:r>
            <w:r w:rsidRPr="00265A90">
              <w:rPr>
                <w:rFonts w:cs="Arial"/>
                <w:bCs/>
                <w:color w:val="000000"/>
                <w:sz w:val="16"/>
                <w:szCs w:val="16"/>
                <w:lang w:val="ru-RU"/>
              </w:rPr>
              <w:t>камеры</w:t>
            </w:r>
            <w:r>
              <w:rPr>
                <w:rFonts w:cs="Arial"/>
                <w:bCs/>
                <w:color w:val="000000"/>
                <w:sz w:val="16"/>
                <w:szCs w:val="16"/>
                <w:lang w:val="ru-RU"/>
              </w:rPr>
              <w:t>.</w:t>
            </w:r>
          </w:p>
        </w:tc>
        <w:tc>
          <w:tcPr>
            <w:tcW w:w="480" w:type="dxa"/>
            <w:tcBorders>
              <w:top w:val="nil"/>
              <w:left w:val="nil"/>
              <w:bottom w:val="single" w:sz="4" w:space="0" w:color="auto"/>
              <w:right w:val="single" w:sz="4" w:space="0" w:color="auto"/>
            </w:tcBorders>
            <w:shd w:val="clear" w:color="auto" w:fill="auto"/>
            <w:noWrap/>
            <w:vAlign w:val="center"/>
          </w:tcPr>
          <w:p w:rsidR="00C85043" w:rsidRPr="00AA2BEA"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AA2BEA"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r>
      <w:tr w:rsidR="00C85043" w:rsidRPr="003962D0" w:rsidTr="00C85043">
        <w:trPr>
          <w:trHeight w:val="615"/>
          <w:jc w:val="center"/>
        </w:trPr>
        <w:tc>
          <w:tcPr>
            <w:tcW w:w="2324" w:type="dxa"/>
            <w:tcBorders>
              <w:top w:val="nil"/>
              <w:left w:val="single" w:sz="8" w:space="0" w:color="auto"/>
              <w:bottom w:val="single" w:sz="4" w:space="0" w:color="auto"/>
              <w:right w:val="single" w:sz="8" w:space="0" w:color="auto"/>
            </w:tcBorders>
            <w:shd w:val="clear" w:color="auto" w:fill="auto"/>
            <w:noWrap/>
            <w:vAlign w:val="bottom"/>
          </w:tcPr>
          <w:p w:rsidR="00C85043" w:rsidRPr="00265A90" w:rsidRDefault="00C85043" w:rsidP="00C85043">
            <w:pPr>
              <w:spacing w:before="40" w:after="40"/>
              <w:rPr>
                <w:rFonts w:cs="Arial"/>
                <w:color w:val="000000"/>
                <w:sz w:val="16"/>
                <w:szCs w:val="16"/>
                <w:lang w:val="ru-RU"/>
              </w:rPr>
            </w:pPr>
            <w:r>
              <w:rPr>
                <w:sz w:val="16"/>
                <w:szCs w:val="16"/>
                <w:lang w:val="ru-RU"/>
              </w:rPr>
              <w:t xml:space="preserve">Обоснование </w:t>
            </w:r>
            <w:r w:rsidRPr="009044EE">
              <w:rPr>
                <w:sz w:val="16"/>
                <w:szCs w:val="16"/>
                <w:lang w:val="ru-RU"/>
              </w:rPr>
              <w:t>проект</w:t>
            </w:r>
            <w:r>
              <w:rPr>
                <w:sz w:val="16"/>
                <w:szCs w:val="16"/>
                <w:lang w:val="ru-RU"/>
              </w:rPr>
              <w:t>а</w:t>
            </w:r>
            <w:r w:rsidRPr="009044EE">
              <w:rPr>
                <w:sz w:val="16"/>
                <w:szCs w:val="16"/>
                <w:lang w:val="ru-RU"/>
              </w:rPr>
              <w:t xml:space="preserve"> устройства </w:t>
            </w:r>
            <w:r>
              <w:rPr>
                <w:sz w:val="16"/>
                <w:szCs w:val="16"/>
                <w:lang w:val="ru-RU"/>
              </w:rPr>
              <w:t xml:space="preserve">противопожарных перегородок </w:t>
            </w:r>
            <w:r w:rsidRPr="009044EE">
              <w:rPr>
                <w:sz w:val="16"/>
                <w:szCs w:val="16"/>
                <w:lang w:val="ru-RU"/>
              </w:rPr>
              <w:t xml:space="preserve">между </w:t>
            </w:r>
            <w:r>
              <w:rPr>
                <w:sz w:val="16"/>
                <w:szCs w:val="16"/>
                <w:lang w:val="ru-RU"/>
              </w:rPr>
              <w:t>зданиями ГБ-1</w:t>
            </w:r>
            <w:r w:rsidRPr="009044EE">
              <w:rPr>
                <w:sz w:val="16"/>
                <w:szCs w:val="16"/>
                <w:lang w:val="ru-RU"/>
              </w:rPr>
              <w:t xml:space="preserve"> и </w:t>
            </w:r>
            <w:r>
              <w:rPr>
                <w:sz w:val="16"/>
                <w:szCs w:val="16"/>
                <w:lang w:val="ru-RU"/>
              </w:rPr>
              <w:t>АБ</w:t>
            </w: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r>
      <w:tr w:rsidR="00C85043" w:rsidRPr="003962D0" w:rsidTr="00C85043">
        <w:trPr>
          <w:trHeight w:val="615"/>
          <w:jc w:val="center"/>
        </w:trPr>
        <w:tc>
          <w:tcPr>
            <w:tcW w:w="2324" w:type="dxa"/>
            <w:tcBorders>
              <w:top w:val="nil"/>
              <w:left w:val="single" w:sz="8" w:space="0" w:color="auto"/>
              <w:bottom w:val="single" w:sz="4" w:space="0" w:color="auto"/>
              <w:right w:val="single" w:sz="8" w:space="0" w:color="auto"/>
            </w:tcBorders>
            <w:shd w:val="clear" w:color="auto" w:fill="auto"/>
            <w:noWrap/>
            <w:vAlign w:val="center"/>
          </w:tcPr>
          <w:p w:rsidR="00C85043" w:rsidRPr="00C97F18" w:rsidRDefault="00C85043" w:rsidP="00C85043">
            <w:pPr>
              <w:autoSpaceDE w:val="0"/>
              <w:autoSpaceDN w:val="0"/>
              <w:adjustRightInd w:val="0"/>
              <w:spacing w:before="40" w:after="40"/>
              <w:rPr>
                <w:sz w:val="16"/>
                <w:szCs w:val="16"/>
                <w:lang w:val="ru-RU"/>
              </w:rPr>
            </w:pPr>
            <w:r w:rsidRPr="009044EE">
              <w:rPr>
                <w:sz w:val="16"/>
                <w:szCs w:val="16"/>
                <w:lang w:val="ru-RU"/>
              </w:rPr>
              <w:t xml:space="preserve">Проект </w:t>
            </w:r>
            <w:r>
              <w:rPr>
                <w:sz w:val="16"/>
                <w:szCs w:val="16"/>
                <w:lang w:val="ru-RU"/>
              </w:rPr>
              <w:t>устройства</w:t>
            </w:r>
            <w:r w:rsidRPr="009044EE">
              <w:rPr>
                <w:sz w:val="16"/>
                <w:szCs w:val="16"/>
                <w:lang w:val="ru-RU"/>
              </w:rPr>
              <w:t xml:space="preserve"> </w:t>
            </w:r>
            <w:r>
              <w:rPr>
                <w:sz w:val="16"/>
                <w:szCs w:val="16"/>
                <w:lang w:val="ru-RU"/>
              </w:rPr>
              <w:t xml:space="preserve">противопожарных перегородок </w:t>
            </w:r>
            <w:r w:rsidRPr="009044EE">
              <w:rPr>
                <w:sz w:val="16"/>
                <w:szCs w:val="16"/>
                <w:lang w:val="ru-RU"/>
              </w:rPr>
              <w:t xml:space="preserve">между </w:t>
            </w:r>
            <w:r>
              <w:rPr>
                <w:sz w:val="16"/>
                <w:szCs w:val="16"/>
                <w:lang w:val="ru-RU"/>
              </w:rPr>
              <w:t>зданиями ГБ-1 и ГБ-2</w:t>
            </w:r>
            <w:r w:rsidRPr="009044EE">
              <w:rPr>
                <w:sz w:val="16"/>
                <w:szCs w:val="16"/>
                <w:lang w:val="ru-RU"/>
              </w:rPr>
              <w:t xml:space="preserve"> (на всех уровнях</w:t>
            </w:r>
            <w:r>
              <w:rPr>
                <w:sz w:val="16"/>
                <w:szCs w:val="16"/>
                <w:lang w:val="ru-RU"/>
              </w:rPr>
              <w:t>,</w:t>
            </w:r>
            <w:r w:rsidRPr="009044EE">
              <w:rPr>
                <w:sz w:val="16"/>
                <w:szCs w:val="16"/>
                <w:lang w:val="ru-RU"/>
              </w:rPr>
              <w:t xml:space="preserve"> кроме -1)</w:t>
            </w: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p>
        </w:tc>
      </w:tr>
      <w:tr w:rsidR="00C85043" w:rsidRPr="003962D0" w:rsidTr="00C85043">
        <w:trPr>
          <w:trHeight w:val="615"/>
          <w:jc w:val="center"/>
        </w:trPr>
        <w:tc>
          <w:tcPr>
            <w:tcW w:w="2324" w:type="dxa"/>
            <w:tcBorders>
              <w:top w:val="nil"/>
              <w:left w:val="single" w:sz="8" w:space="0" w:color="auto"/>
              <w:bottom w:val="single" w:sz="4" w:space="0" w:color="auto"/>
              <w:right w:val="single" w:sz="8" w:space="0" w:color="auto"/>
            </w:tcBorders>
            <w:shd w:val="clear" w:color="auto" w:fill="auto"/>
            <w:noWrap/>
            <w:vAlign w:val="center"/>
          </w:tcPr>
          <w:p w:rsidR="00C85043" w:rsidRPr="00C97F18" w:rsidRDefault="00C85043" w:rsidP="00C85043">
            <w:pPr>
              <w:autoSpaceDE w:val="0"/>
              <w:autoSpaceDN w:val="0"/>
              <w:adjustRightInd w:val="0"/>
              <w:spacing w:before="40" w:after="40"/>
              <w:rPr>
                <w:sz w:val="16"/>
                <w:szCs w:val="16"/>
                <w:lang w:val="ru-RU"/>
              </w:rPr>
            </w:pPr>
            <w:r w:rsidRPr="009044EE">
              <w:rPr>
                <w:sz w:val="16"/>
                <w:szCs w:val="16"/>
                <w:lang w:val="ru-RU"/>
              </w:rPr>
              <w:t xml:space="preserve">Проект </w:t>
            </w:r>
            <w:r>
              <w:rPr>
                <w:sz w:val="16"/>
                <w:szCs w:val="16"/>
                <w:lang w:val="ru-RU"/>
              </w:rPr>
              <w:t>устройства</w:t>
            </w:r>
            <w:r w:rsidRPr="009044EE">
              <w:rPr>
                <w:sz w:val="16"/>
                <w:szCs w:val="16"/>
                <w:lang w:val="ru-RU"/>
              </w:rPr>
              <w:t xml:space="preserve"> </w:t>
            </w:r>
            <w:r>
              <w:rPr>
                <w:sz w:val="16"/>
                <w:szCs w:val="16"/>
                <w:lang w:val="ru-RU"/>
              </w:rPr>
              <w:t xml:space="preserve">противопожарных перегородок </w:t>
            </w:r>
            <w:r w:rsidRPr="009044EE">
              <w:rPr>
                <w:sz w:val="16"/>
                <w:szCs w:val="16"/>
                <w:lang w:val="ru-RU"/>
              </w:rPr>
              <w:t>в здании АВ (на всех уровнях</w:t>
            </w:r>
            <w:r>
              <w:rPr>
                <w:sz w:val="16"/>
                <w:szCs w:val="16"/>
                <w:lang w:val="ru-RU"/>
              </w:rPr>
              <w:t>,</w:t>
            </w:r>
            <w:r w:rsidRPr="009044EE">
              <w:rPr>
                <w:sz w:val="16"/>
                <w:szCs w:val="16"/>
                <w:lang w:val="ru-RU"/>
              </w:rPr>
              <w:t xml:space="preserve"> кроме -2)</w:t>
            </w: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8" w:space="0" w:color="auto"/>
            </w:tcBorders>
            <w:shd w:val="clear" w:color="auto" w:fill="auto"/>
            <w:noWrap/>
            <w:vAlign w:val="center"/>
          </w:tcPr>
          <w:p w:rsidR="00C85043" w:rsidRPr="00265A90" w:rsidRDefault="00C85043" w:rsidP="00C85043">
            <w:pPr>
              <w:spacing w:before="40" w:after="40"/>
              <w:jc w:val="center"/>
              <w:rPr>
                <w:rFonts w:cs="Arial"/>
                <w:color w:val="000000"/>
                <w:sz w:val="16"/>
                <w:szCs w:val="16"/>
                <w:lang w:val="ru-RU"/>
              </w:rPr>
            </w:pP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4"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c>
          <w:tcPr>
            <w:tcW w:w="480" w:type="dxa"/>
            <w:tcBorders>
              <w:top w:val="nil"/>
              <w:left w:val="nil"/>
              <w:bottom w:val="single" w:sz="4" w:space="0" w:color="auto"/>
              <w:right w:val="single" w:sz="8" w:space="0" w:color="auto"/>
            </w:tcBorders>
            <w:shd w:val="clear" w:color="auto" w:fill="auto"/>
            <w:noWrap/>
            <w:vAlign w:val="center"/>
          </w:tcPr>
          <w:p w:rsidR="00C85043" w:rsidRPr="00ED7C01" w:rsidRDefault="00C85043" w:rsidP="00C85043">
            <w:pPr>
              <w:spacing w:before="40" w:after="40"/>
              <w:jc w:val="center"/>
              <w:rPr>
                <w:rFonts w:cs="Arial"/>
                <w:color w:val="000000"/>
                <w:sz w:val="16"/>
                <w:szCs w:val="16"/>
                <w:lang w:val="fr-CH"/>
              </w:rPr>
            </w:pPr>
            <w:r w:rsidRPr="00ED7C01">
              <w:rPr>
                <w:rFonts w:cs="Arial"/>
                <w:color w:val="000000"/>
                <w:sz w:val="16"/>
                <w:szCs w:val="16"/>
                <w:lang w:val="fr-CH"/>
              </w:rPr>
              <w:t>X</w:t>
            </w:r>
          </w:p>
        </w:tc>
      </w:tr>
    </w:tbl>
    <w:p w:rsidR="00C85043" w:rsidRPr="00FC7785" w:rsidRDefault="00C85043" w:rsidP="00C85043"/>
    <w:p w:rsidR="00123DC4" w:rsidRDefault="00123DC4" w:rsidP="00C85043">
      <w:pPr>
        <w:pStyle w:val="Heading2"/>
        <w:tabs>
          <w:tab w:val="clear" w:pos="567"/>
          <w:tab w:val="left" w:pos="2268"/>
        </w:tabs>
        <w:ind w:left="0" w:firstLine="0"/>
      </w:pPr>
    </w:p>
    <w:p w:rsidR="00123DC4" w:rsidRDefault="00123DC4" w:rsidP="00132057">
      <w:pPr>
        <w:pStyle w:val="Endofdocument-Annex"/>
      </w:pPr>
    </w:p>
    <w:p w:rsidR="008D1891" w:rsidRDefault="008D1891" w:rsidP="00123DC4">
      <w:pPr>
        <w:autoSpaceDE w:val="0"/>
        <w:autoSpaceDN w:val="0"/>
        <w:ind w:left="5103" w:firstLine="567"/>
        <w:jc w:val="both"/>
      </w:pPr>
      <w:r>
        <w:t>[</w:t>
      </w:r>
      <w:r w:rsidR="00C85043">
        <w:rPr>
          <w:lang w:val="ru-RU"/>
        </w:rPr>
        <w:t>Дополнение</w:t>
      </w:r>
      <w:r>
        <w:t xml:space="preserve"> IV </w:t>
      </w:r>
      <w:r w:rsidR="00C85043">
        <w:rPr>
          <w:lang w:val="ru-RU"/>
        </w:rPr>
        <w:t>следует</w:t>
      </w:r>
      <w:r>
        <w:t>]</w:t>
      </w:r>
    </w:p>
    <w:p w:rsidR="008D1891" w:rsidRDefault="008D1891">
      <w:r>
        <w:br w:type="page"/>
      </w:r>
    </w:p>
    <w:p w:rsidR="00C61544" w:rsidRPr="0053750E" w:rsidRDefault="00EB5F29" w:rsidP="00C61544">
      <w:pPr>
        <w:pStyle w:val="Heading2"/>
        <w:tabs>
          <w:tab w:val="clear" w:pos="567"/>
          <w:tab w:val="left" w:pos="2268"/>
        </w:tabs>
        <w:ind w:left="0" w:firstLine="0"/>
        <w:rPr>
          <w:bCs w:val="0"/>
          <w:caps/>
          <w:lang w:val="ru-RU"/>
        </w:rPr>
      </w:pPr>
      <w:bookmarkStart w:id="159" w:name="_Toc455388153"/>
      <w:r>
        <w:rPr>
          <w:bCs w:val="0"/>
          <w:szCs w:val="22"/>
          <w:lang w:val="ru-RU" w:eastAsia="zh-CN"/>
        </w:rPr>
        <w:t>ДОПОЛНЕНИЕ</w:t>
      </w:r>
      <w:r w:rsidR="00FB3CE3" w:rsidRPr="00C61544">
        <w:rPr>
          <w:bCs w:val="0"/>
          <w:szCs w:val="22"/>
          <w:lang w:val="ru-RU" w:eastAsia="zh-CN"/>
        </w:rPr>
        <w:t xml:space="preserve"> </w:t>
      </w:r>
      <w:r w:rsidR="00FB3CE3" w:rsidRPr="0063033D">
        <w:rPr>
          <w:bCs w:val="0"/>
          <w:szCs w:val="22"/>
          <w:lang w:eastAsia="zh-CN"/>
        </w:rPr>
        <w:t>I</w:t>
      </w:r>
      <w:r w:rsidR="00FB3CE3">
        <w:rPr>
          <w:bCs w:val="0"/>
          <w:szCs w:val="22"/>
          <w:lang w:eastAsia="zh-CN"/>
        </w:rPr>
        <w:t>V</w:t>
      </w:r>
      <w:r w:rsidR="006C404A" w:rsidRPr="00C61544">
        <w:rPr>
          <w:bCs w:val="0"/>
          <w:szCs w:val="22"/>
          <w:lang w:val="ru-RU" w:eastAsia="zh-CN"/>
        </w:rPr>
        <w:t xml:space="preserve">   </w:t>
      </w:r>
      <w:r w:rsidR="00815ABB" w:rsidRPr="00C61544">
        <w:rPr>
          <w:bCs w:val="0"/>
          <w:szCs w:val="22"/>
          <w:lang w:val="ru-RU" w:eastAsia="zh-CN"/>
        </w:rPr>
        <w:br/>
      </w:r>
      <w:bookmarkStart w:id="160" w:name="_Toc293334854"/>
      <w:bookmarkStart w:id="161" w:name="_Toc298920436"/>
      <w:bookmarkStart w:id="162" w:name="_Toc310950817"/>
      <w:bookmarkStart w:id="163" w:name="_Toc356567803"/>
      <w:bookmarkStart w:id="164" w:name="_Toc367350629"/>
      <w:bookmarkStart w:id="165" w:name="_Toc392610068"/>
      <w:r w:rsidR="00815ABB" w:rsidRPr="00C61544">
        <w:rPr>
          <w:lang w:val="ru-RU"/>
        </w:rPr>
        <w:br/>
      </w:r>
      <w:bookmarkEnd w:id="160"/>
      <w:bookmarkEnd w:id="161"/>
      <w:bookmarkEnd w:id="162"/>
      <w:bookmarkEnd w:id="163"/>
      <w:bookmarkEnd w:id="164"/>
      <w:bookmarkEnd w:id="165"/>
      <w:r w:rsidR="00C61544">
        <w:rPr>
          <w:lang w:val="ru-RU"/>
        </w:rPr>
        <w:t>АКРОНИМЫ</w:t>
      </w:r>
      <w:r w:rsidR="00C61544" w:rsidRPr="0053750E">
        <w:rPr>
          <w:bCs w:val="0"/>
          <w:caps/>
          <w:lang w:val="ru-RU"/>
        </w:rPr>
        <w:t xml:space="preserve"> И СОКРАЩЕНИЯ, ИСПОЛЬЗУЕМЫЕ В НАСТОЯЩЕМ ДОКУМЕНТЕ</w:t>
      </w:r>
      <w:bookmarkEnd w:id="159"/>
      <w:r w:rsidR="00C61544" w:rsidRPr="0053750E">
        <w:rPr>
          <w:bCs w:val="0"/>
          <w:caps/>
          <w:lang w:val="ru-RU"/>
        </w:rPr>
        <w:t xml:space="preserve"> </w:t>
      </w:r>
    </w:p>
    <w:p w:rsidR="00C61544" w:rsidRPr="00AF5E67" w:rsidRDefault="00C61544" w:rsidP="00C61544">
      <w:pPr>
        <w:tabs>
          <w:tab w:val="left" w:pos="1980"/>
          <w:tab w:val="left" w:pos="3261"/>
        </w:tabs>
        <w:spacing w:line="280" w:lineRule="exact"/>
        <w:ind w:left="2268" w:hanging="2268"/>
        <w:jc w:val="both"/>
        <w:rPr>
          <w:rFonts w:cs="Arial"/>
          <w:lang w:val="ru-RU"/>
        </w:rPr>
      </w:pPr>
    </w:p>
    <w:p w:rsidR="00C61544" w:rsidRPr="00AF5E67" w:rsidRDefault="00C61544" w:rsidP="00C61544">
      <w:pPr>
        <w:tabs>
          <w:tab w:val="left" w:pos="1980"/>
          <w:tab w:val="left" w:pos="3261"/>
        </w:tabs>
        <w:spacing w:line="280" w:lineRule="exact"/>
        <w:ind w:left="2268" w:hanging="2268"/>
        <w:jc w:val="both"/>
        <w:rPr>
          <w:rFonts w:cs="Arial"/>
          <w:lang w:val="ru-RU"/>
        </w:rPr>
      </w:pPr>
    </w:p>
    <w:p w:rsidR="00C61544" w:rsidRPr="006500B4" w:rsidRDefault="00C61544" w:rsidP="00C61544">
      <w:pPr>
        <w:tabs>
          <w:tab w:val="left" w:pos="2127"/>
          <w:tab w:val="left" w:pos="3969"/>
        </w:tabs>
        <w:spacing w:after="40"/>
        <w:ind w:left="2126" w:right="-476" w:hanging="2126"/>
        <w:rPr>
          <w:rFonts w:cs="Arial"/>
          <w:szCs w:val="20"/>
          <w:lang w:val="ru-RU"/>
        </w:rPr>
      </w:pPr>
      <w:r w:rsidRPr="00C61544">
        <w:rPr>
          <w:rFonts w:cs="Arial"/>
          <w:b/>
          <w:szCs w:val="20"/>
          <w:lang w:val="ru-RU"/>
        </w:rPr>
        <w:t>A</w:t>
      </w:r>
      <w:r w:rsidRPr="006500B4">
        <w:rPr>
          <w:rFonts w:cs="Arial"/>
          <w:szCs w:val="20"/>
          <w:lang w:val="ru-RU"/>
        </w:rPr>
        <w:t>CE</w:t>
      </w:r>
      <w:r w:rsidRPr="006500B4">
        <w:rPr>
          <w:rFonts w:cs="Arial"/>
          <w:szCs w:val="20"/>
          <w:lang w:val="ru-RU"/>
        </w:rPr>
        <w:tab/>
        <w:t>ККЗП</w:t>
      </w:r>
      <w:r w:rsidRPr="006500B4">
        <w:rPr>
          <w:rFonts w:cs="Arial"/>
          <w:szCs w:val="20"/>
          <w:lang w:val="ru-RU"/>
        </w:rPr>
        <w:tab/>
        <w:t xml:space="preserve">Консультативный комитет по защите прав </w:t>
      </w:r>
    </w:p>
    <w:p w:rsidR="00C61544" w:rsidRPr="002A7E6B" w:rsidRDefault="00C61544" w:rsidP="00C61544">
      <w:pPr>
        <w:tabs>
          <w:tab w:val="left" w:pos="2127"/>
        </w:tabs>
        <w:spacing w:after="40"/>
        <w:ind w:left="3969" w:hanging="3969"/>
        <w:rPr>
          <w:rFonts w:cs="Arial"/>
          <w:szCs w:val="20"/>
          <w:lang w:val="ru-RU"/>
        </w:rPr>
      </w:pPr>
      <w:r w:rsidRPr="002A7E6B">
        <w:rPr>
          <w:rFonts w:cs="Arial"/>
          <w:szCs w:val="20"/>
        </w:rPr>
        <w:t>AADD</w:t>
      </w:r>
      <w:r w:rsidRPr="002A7E6B">
        <w:rPr>
          <w:rFonts w:cs="Arial"/>
          <w:szCs w:val="20"/>
          <w:lang w:val="ru-RU"/>
        </w:rPr>
        <w:tab/>
      </w:r>
      <w:r w:rsidRPr="002A7E6B">
        <w:rPr>
          <w:rFonts w:cs="Arial"/>
          <w:szCs w:val="20"/>
          <w:lang w:val="ru-RU"/>
        </w:rPr>
        <w:tab/>
      </w:r>
      <w:r w:rsidR="002A7E6B" w:rsidRPr="002A7E6B">
        <w:rPr>
          <w:rFonts w:cs="Arial"/>
          <w:szCs w:val="20"/>
          <w:lang w:val="ru-RU"/>
        </w:rPr>
        <w:t>Отдел по делам Ассамблей и документации</w:t>
      </w:r>
    </w:p>
    <w:p w:rsidR="00C61544" w:rsidRPr="00B82873" w:rsidRDefault="00C61544" w:rsidP="00C61544">
      <w:pPr>
        <w:tabs>
          <w:tab w:val="left" w:pos="2127"/>
        </w:tabs>
        <w:spacing w:after="40"/>
        <w:ind w:left="3969" w:hanging="3969"/>
        <w:rPr>
          <w:rFonts w:cs="Arial"/>
          <w:szCs w:val="20"/>
          <w:lang w:val="ru-RU"/>
        </w:rPr>
      </w:pPr>
      <w:r>
        <w:rPr>
          <w:rFonts w:cs="Arial"/>
          <w:szCs w:val="20"/>
        </w:rPr>
        <w:t>ABC</w:t>
      </w:r>
      <w:r w:rsidRPr="00B82873">
        <w:rPr>
          <w:rFonts w:cs="Arial"/>
          <w:szCs w:val="20"/>
          <w:lang w:val="ru-RU"/>
        </w:rPr>
        <w:tab/>
      </w:r>
      <w:r w:rsidRPr="00B82873">
        <w:rPr>
          <w:rFonts w:cs="Arial"/>
          <w:szCs w:val="20"/>
          <w:lang w:val="ru-RU"/>
        </w:rPr>
        <w:tab/>
      </w:r>
      <w:r>
        <w:rPr>
          <w:rFonts w:cs="Arial"/>
          <w:szCs w:val="20"/>
          <w:lang w:val="ru-RU"/>
        </w:rPr>
        <w:t>Консорциум</w:t>
      </w:r>
      <w:r w:rsidRPr="00B82873">
        <w:rPr>
          <w:rFonts w:cs="Arial"/>
          <w:szCs w:val="20"/>
          <w:lang w:val="ru-RU"/>
        </w:rPr>
        <w:t xml:space="preserve"> </w:t>
      </w:r>
      <w:r>
        <w:rPr>
          <w:rFonts w:cs="Arial"/>
          <w:szCs w:val="20"/>
          <w:lang w:val="ru-RU"/>
        </w:rPr>
        <w:t>доступных</w:t>
      </w:r>
      <w:r w:rsidRPr="00B82873">
        <w:rPr>
          <w:rFonts w:cs="Arial"/>
          <w:szCs w:val="20"/>
          <w:lang w:val="ru-RU"/>
        </w:rPr>
        <w:t xml:space="preserve"> </w:t>
      </w:r>
      <w:r>
        <w:rPr>
          <w:rFonts w:cs="Arial"/>
          <w:szCs w:val="20"/>
          <w:lang w:val="ru-RU"/>
        </w:rPr>
        <w:t>книг</w:t>
      </w:r>
    </w:p>
    <w:p w:rsidR="00C61544" w:rsidRPr="002A7E6B" w:rsidRDefault="00C61544" w:rsidP="00C61544">
      <w:pPr>
        <w:tabs>
          <w:tab w:val="left" w:pos="2127"/>
        </w:tabs>
        <w:spacing w:after="40"/>
        <w:ind w:left="3969" w:hanging="3969"/>
        <w:rPr>
          <w:rFonts w:cs="Arial"/>
          <w:szCs w:val="20"/>
          <w:lang w:val="ru-RU"/>
        </w:rPr>
      </w:pPr>
      <w:r w:rsidRPr="002A7E6B">
        <w:rPr>
          <w:rFonts w:cs="Arial"/>
          <w:szCs w:val="20"/>
        </w:rPr>
        <w:t>AIMS</w:t>
      </w:r>
      <w:r w:rsidRPr="002A7E6B">
        <w:rPr>
          <w:rFonts w:cs="Arial"/>
          <w:szCs w:val="20"/>
          <w:lang w:val="ru-RU"/>
        </w:rPr>
        <w:tab/>
      </w:r>
      <w:r w:rsidR="002A7E6B" w:rsidRPr="002A7E6B">
        <w:rPr>
          <w:rFonts w:cs="Arial"/>
          <w:szCs w:val="20"/>
          <w:lang w:val="ru-RU"/>
        </w:rPr>
        <w:t>СУАИ</w:t>
      </w:r>
      <w:r w:rsidRPr="002A7E6B">
        <w:rPr>
          <w:rFonts w:cs="Arial"/>
          <w:szCs w:val="20"/>
          <w:lang w:val="ru-RU"/>
        </w:rPr>
        <w:tab/>
      </w:r>
      <w:r w:rsidR="002A7E6B" w:rsidRPr="002A7E6B">
        <w:rPr>
          <w:bCs/>
          <w:szCs w:val="22"/>
          <w:lang w:val="ru-RU"/>
        </w:rPr>
        <w:t>Система управления административной информацией</w:t>
      </w:r>
    </w:p>
    <w:p w:rsidR="00C61544" w:rsidRPr="00CE4F51" w:rsidRDefault="00C61544" w:rsidP="00C61544">
      <w:pPr>
        <w:tabs>
          <w:tab w:val="left" w:pos="2127"/>
        </w:tabs>
        <w:spacing w:after="40"/>
        <w:ind w:left="3969" w:hanging="3969"/>
        <w:rPr>
          <w:rFonts w:cs="Arial"/>
          <w:szCs w:val="20"/>
          <w:lang w:val="ru-RU"/>
        </w:rPr>
      </w:pPr>
      <w:r w:rsidRPr="006500B4">
        <w:rPr>
          <w:rFonts w:cs="Arial"/>
          <w:szCs w:val="20"/>
          <w:lang w:val="ru-RU"/>
        </w:rPr>
        <w:t>AIPMS</w:t>
      </w:r>
      <w:r w:rsidRPr="006500B4">
        <w:rPr>
          <w:rFonts w:cs="Arial"/>
          <w:szCs w:val="20"/>
          <w:lang w:val="ru-RU"/>
        </w:rPr>
        <w:tab/>
        <w:t>АСУПС</w:t>
      </w:r>
      <w:r w:rsidRPr="006500B4">
        <w:rPr>
          <w:rFonts w:cs="Arial"/>
          <w:szCs w:val="20"/>
          <w:lang w:val="ru-RU"/>
        </w:rPr>
        <w:tab/>
        <w:t>Арабская система управления промышленной собственностью</w:t>
      </w:r>
    </w:p>
    <w:p w:rsidR="00C61544" w:rsidRPr="00814393" w:rsidRDefault="00C61544" w:rsidP="00C61544">
      <w:pPr>
        <w:tabs>
          <w:tab w:val="left" w:pos="2127"/>
        </w:tabs>
        <w:spacing w:after="40"/>
        <w:ind w:left="3969" w:hanging="3969"/>
        <w:rPr>
          <w:rFonts w:cs="Arial"/>
          <w:szCs w:val="20"/>
          <w:lang w:val="ru-RU"/>
        </w:rPr>
      </w:pPr>
      <w:r w:rsidRPr="00814393">
        <w:rPr>
          <w:rFonts w:cs="Arial"/>
          <w:szCs w:val="20"/>
          <w:lang w:val="fr-CH"/>
        </w:rPr>
        <w:t>AMFIE</w:t>
      </w:r>
      <w:r w:rsidRPr="00814393">
        <w:rPr>
          <w:rFonts w:cs="Arial"/>
          <w:szCs w:val="20"/>
          <w:lang w:val="ru-RU"/>
        </w:rPr>
        <w:tab/>
      </w:r>
      <w:r w:rsidRPr="00814393">
        <w:rPr>
          <w:rFonts w:cs="Arial"/>
          <w:szCs w:val="20"/>
          <w:lang w:val="ru-RU"/>
        </w:rPr>
        <w:tab/>
        <w:t>Финансовый кооператив международных гражданских служащих</w:t>
      </w:r>
    </w:p>
    <w:p w:rsidR="00C61544" w:rsidRPr="00DB402E" w:rsidRDefault="00C61544" w:rsidP="00C61544">
      <w:pPr>
        <w:tabs>
          <w:tab w:val="left" w:pos="2127"/>
        </w:tabs>
        <w:spacing w:after="40"/>
        <w:ind w:left="3969" w:hanging="3969"/>
        <w:rPr>
          <w:rFonts w:cs="Arial"/>
          <w:szCs w:val="20"/>
          <w:lang w:val="ru-RU"/>
        </w:rPr>
      </w:pPr>
      <w:r w:rsidRPr="006500B4">
        <w:rPr>
          <w:rFonts w:cs="Arial"/>
          <w:szCs w:val="20"/>
          <w:lang w:val="ru-RU"/>
        </w:rPr>
        <w:t>ARDI</w:t>
      </w:r>
      <w:r>
        <w:rPr>
          <w:rFonts w:cs="Arial"/>
          <w:szCs w:val="20"/>
          <w:lang w:val="ru-RU"/>
        </w:rPr>
        <w:tab/>
      </w:r>
      <w:r>
        <w:rPr>
          <w:rFonts w:cs="Arial"/>
          <w:szCs w:val="20"/>
          <w:lang w:val="ru-RU"/>
        </w:rPr>
        <w:tab/>
      </w:r>
      <w:r w:rsidRPr="006500B4">
        <w:rPr>
          <w:rFonts w:cs="Arial"/>
          <w:szCs w:val="20"/>
          <w:lang w:val="ru-RU"/>
        </w:rPr>
        <w:t>доступ к исследованиям в целях развития и инноваций</w:t>
      </w:r>
    </w:p>
    <w:p w:rsidR="00C61544" w:rsidRPr="008A6A08" w:rsidRDefault="00C61544" w:rsidP="00C61544">
      <w:pPr>
        <w:tabs>
          <w:tab w:val="left" w:pos="2127"/>
        </w:tabs>
        <w:spacing w:after="40"/>
        <w:ind w:left="3969" w:hanging="3969"/>
        <w:rPr>
          <w:rFonts w:cs="Arial"/>
          <w:szCs w:val="20"/>
          <w:lang w:val="ru-RU"/>
        </w:rPr>
      </w:pPr>
      <w:r w:rsidRPr="00DB402E">
        <w:rPr>
          <w:rFonts w:cs="Arial"/>
          <w:szCs w:val="20"/>
        </w:rPr>
        <w:t>ARIPO</w:t>
      </w:r>
      <w:r w:rsidRPr="008A6A08">
        <w:rPr>
          <w:rFonts w:cs="Arial"/>
          <w:szCs w:val="20"/>
          <w:lang w:val="ru-RU"/>
        </w:rPr>
        <w:tab/>
      </w:r>
      <w:r w:rsidRPr="00DB402E">
        <w:rPr>
          <w:rFonts w:cs="Arial"/>
          <w:szCs w:val="20"/>
          <w:lang w:val="ru-RU"/>
        </w:rPr>
        <w:t>АРОИС</w:t>
      </w:r>
      <w:r w:rsidRPr="008A6A08">
        <w:rPr>
          <w:rFonts w:cs="Arial"/>
          <w:szCs w:val="20"/>
          <w:lang w:val="ru-RU"/>
        </w:rPr>
        <w:tab/>
      </w:r>
      <w:r>
        <w:rPr>
          <w:rFonts w:cs="Arial"/>
          <w:szCs w:val="20"/>
          <w:lang w:val="ru-RU"/>
        </w:rPr>
        <w:t>Африканская региональная организация интеллектуальной собственности</w:t>
      </w:r>
    </w:p>
    <w:p w:rsidR="00C61544" w:rsidRPr="00B523A9" w:rsidRDefault="00C61544" w:rsidP="00C61544">
      <w:pPr>
        <w:tabs>
          <w:tab w:val="left" w:pos="2127"/>
          <w:tab w:val="left" w:pos="3969"/>
        </w:tabs>
        <w:spacing w:after="40"/>
        <w:rPr>
          <w:rFonts w:cs="Arial"/>
          <w:szCs w:val="20"/>
          <w:lang w:val="ru-RU"/>
        </w:rPr>
      </w:pPr>
      <w:r w:rsidRPr="00B523A9">
        <w:rPr>
          <w:rFonts w:cs="Arial"/>
          <w:szCs w:val="20"/>
        </w:rPr>
        <w:t>ASEAN</w:t>
      </w:r>
      <w:r w:rsidRPr="00B523A9">
        <w:rPr>
          <w:rFonts w:cs="Arial"/>
          <w:szCs w:val="20"/>
          <w:lang w:val="ru-RU"/>
        </w:rPr>
        <w:tab/>
      </w:r>
      <w:r w:rsidRPr="006500B4">
        <w:rPr>
          <w:rFonts w:cs="Arial"/>
          <w:szCs w:val="20"/>
          <w:lang w:val="ru-RU"/>
        </w:rPr>
        <w:t>АСЕАН</w:t>
      </w:r>
      <w:r w:rsidRPr="00B523A9">
        <w:rPr>
          <w:rFonts w:cs="Arial"/>
          <w:szCs w:val="20"/>
          <w:lang w:val="ru-RU"/>
        </w:rPr>
        <w:tab/>
      </w:r>
      <w:r w:rsidRPr="006500B4">
        <w:rPr>
          <w:rFonts w:cs="Arial"/>
          <w:szCs w:val="20"/>
          <w:lang w:val="ru-RU"/>
        </w:rPr>
        <w:t>Ассоциация</w:t>
      </w:r>
      <w:r w:rsidRPr="00B523A9">
        <w:rPr>
          <w:rFonts w:cs="Arial"/>
          <w:szCs w:val="20"/>
          <w:lang w:val="ru-RU"/>
        </w:rPr>
        <w:t xml:space="preserve"> </w:t>
      </w:r>
      <w:r w:rsidRPr="006500B4">
        <w:rPr>
          <w:rFonts w:cs="Arial"/>
          <w:szCs w:val="20"/>
          <w:lang w:val="ru-RU"/>
        </w:rPr>
        <w:t>государств</w:t>
      </w:r>
      <w:r w:rsidRPr="00B523A9">
        <w:rPr>
          <w:rFonts w:cs="Arial"/>
          <w:szCs w:val="20"/>
          <w:lang w:val="ru-RU"/>
        </w:rPr>
        <w:t xml:space="preserve"> </w:t>
      </w:r>
      <w:r w:rsidRPr="006500B4">
        <w:rPr>
          <w:rFonts w:cs="Arial"/>
          <w:szCs w:val="20"/>
          <w:lang w:val="ru-RU"/>
        </w:rPr>
        <w:t>Юго</w:t>
      </w:r>
      <w:r w:rsidRPr="00B523A9">
        <w:rPr>
          <w:rFonts w:cs="Arial"/>
          <w:szCs w:val="20"/>
          <w:lang w:val="ru-RU"/>
        </w:rPr>
        <w:t>-</w:t>
      </w:r>
      <w:r w:rsidRPr="006500B4">
        <w:rPr>
          <w:rFonts w:cs="Arial"/>
          <w:szCs w:val="20"/>
          <w:lang w:val="ru-RU"/>
        </w:rPr>
        <w:t>Восточной</w:t>
      </w:r>
      <w:r w:rsidRPr="00B523A9">
        <w:rPr>
          <w:rFonts w:cs="Arial"/>
          <w:szCs w:val="20"/>
          <w:lang w:val="ru-RU"/>
        </w:rPr>
        <w:t xml:space="preserve"> </w:t>
      </w:r>
      <w:r w:rsidRPr="006500B4">
        <w:rPr>
          <w:rFonts w:cs="Arial"/>
          <w:szCs w:val="20"/>
          <w:lang w:val="ru-RU"/>
        </w:rPr>
        <w:t>Азии</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lang w:val="ru-RU"/>
        </w:rPr>
        <w:t>ASHI</w:t>
      </w:r>
      <w:r w:rsidRPr="006500B4">
        <w:rPr>
          <w:rFonts w:cs="Arial"/>
          <w:szCs w:val="20"/>
          <w:lang w:val="ru-RU"/>
        </w:rPr>
        <w:tab/>
        <w:t>МСПС</w:t>
      </w:r>
      <w:r w:rsidRPr="006500B4">
        <w:rPr>
          <w:rFonts w:cs="Arial"/>
          <w:szCs w:val="20"/>
          <w:lang w:val="ru-RU"/>
        </w:rPr>
        <w:tab/>
        <w:t>медицинское страхование после прекращения службы</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lang w:val="ru-RU"/>
        </w:rPr>
        <w:t>ASPI</w:t>
      </w:r>
      <w:r w:rsidRPr="006500B4">
        <w:rPr>
          <w:rFonts w:cs="Arial"/>
          <w:szCs w:val="20"/>
          <w:lang w:val="ru-RU"/>
        </w:rPr>
        <w:tab/>
      </w:r>
      <w:r>
        <w:rPr>
          <w:rFonts w:cs="Arial"/>
          <w:szCs w:val="20"/>
          <w:lang w:val="ru-RU"/>
        </w:rPr>
        <w:tab/>
      </w:r>
      <w:r w:rsidRPr="006500B4">
        <w:rPr>
          <w:rFonts w:cs="Arial"/>
          <w:szCs w:val="20"/>
          <w:lang w:val="ru-RU"/>
        </w:rPr>
        <w:t>Программа обеспечения доступа к специализированной патентной информации</w:t>
      </w:r>
    </w:p>
    <w:p w:rsidR="00C61544" w:rsidRPr="008A6A08" w:rsidRDefault="00C61544" w:rsidP="00C61544">
      <w:pPr>
        <w:tabs>
          <w:tab w:val="left" w:pos="2127"/>
        </w:tabs>
        <w:spacing w:after="40"/>
        <w:ind w:left="3969" w:hanging="3969"/>
        <w:rPr>
          <w:rFonts w:cs="Arial"/>
          <w:szCs w:val="20"/>
          <w:lang w:val="ru-RU"/>
        </w:rPr>
      </w:pPr>
      <w:r w:rsidRPr="008A6A08">
        <w:rPr>
          <w:rFonts w:cs="Arial"/>
          <w:szCs w:val="20"/>
        </w:rPr>
        <w:t>ATRIP</w:t>
      </w:r>
      <w:r w:rsidRPr="008A6A08">
        <w:rPr>
          <w:rFonts w:cs="Arial"/>
          <w:szCs w:val="20"/>
          <w:lang w:val="ru-RU"/>
        </w:rPr>
        <w:tab/>
      </w:r>
      <w:r w:rsidRPr="008A6A08">
        <w:rPr>
          <w:rFonts w:cs="Arial"/>
          <w:szCs w:val="20"/>
          <w:lang w:val="ru-RU"/>
        </w:rPr>
        <w:tab/>
        <w:t>Международная ассоциация содействия преподаванию и исследовательской работе в области интеллектуальной собственности</w:t>
      </w:r>
    </w:p>
    <w:p w:rsidR="00C61544" w:rsidRPr="008A6A08" w:rsidRDefault="00C61544" w:rsidP="00C61544">
      <w:pPr>
        <w:tabs>
          <w:tab w:val="left" w:pos="2127"/>
          <w:tab w:val="left" w:pos="3969"/>
        </w:tabs>
        <w:spacing w:after="120"/>
        <w:ind w:left="3969" w:hanging="3969"/>
        <w:rPr>
          <w:rFonts w:cs="Arial"/>
          <w:szCs w:val="20"/>
          <w:lang w:val="ru-RU"/>
        </w:rPr>
      </w:pPr>
    </w:p>
    <w:p w:rsidR="00C61544" w:rsidRDefault="00C61544" w:rsidP="00C61544">
      <w:pPr>
        <w:tabs>
          <w:tab w:val="left" w:pos="2127"/>
        </w:tabs>
        <w:spacing w:after="40"/>
        <w:ind w:left="3969" w:hanging="3969"/>
        <w:rPr>
          <w:rFonts w:cs="Arial"/>
          <w:szCs w:val="20"/>
          <w:lang w:val="ru-RU"/>
        </w:rPr>
      </w:pPr>
      <w:r w:rsidRPr="006500B4">
        <w:rPr>
          <w:rFonts w:cs="Arial"/>
          <w:b/>
          <w:szCs w:val="20"/>
          <w:lang w:val="ru-RU"/>
        </w:rPr>
        <w:t>C</w:t>
      </w:r>
      <w:r w:rsidRPr="006500B4">
        <w:rPr>
          <w:rFonts w:cs="Arial"/>
          <w:szCs w:val="20"/>
          <w:lang w:val="ru-RU"/>
        </w:rPr>
        <w:t>ASE</w:t>
      </w:r>
      <w:r w:rsidRPr="006500B4">
        <w:rPr>
          <w:rFonts w:cs="Arial"/>
          <w:szCs w:val="20"/>
          <w:lang w:val="ru-RU"/>
        </w:rPr>
        <w:tab/>
      </w:r>
      <w:r w:rsidRPr="006500B4">
        <w:rPr>
          <w:rFonts w:cs="Arial"/>
          <w:szCs w:val="20"/>
          <w:lang w:val="ru-RU"/>
        </w:rPr>
        <w:tab/>
        <w:t>Система централизованного доступа к результатам поиска и экспертизы ВОИС</w:t>
      </w:r>
    </w:p>
    <w:p w:rsidR="00C61544" w:rsidRPr="00021681" w:rsidRDefault="00C61544" w:rsidP="00C61544">
      <w:pPr>
        <w:tabs>
          <w:tab w:val="left" w:pos="2127"/>
        </w:tabs>
        <w:spacing w:after="40"/>
        <w:ind w:left="3969" w:hanging="3969"/>
        <w:rPr>
          <w:rFonts w:cs="Arial"/>
          <w:szCs w:val="20"/>
          <w:lang w:val="ru-RU"/>
        </w:rPr>
      </w:pPr>
      <w:r w:rsidRPr="00021681">
        <w:rPr>
          <w:rFonts w:cs="Arial"/>
        </w:rPr>
        <w:t>CATT</w:t>
      </w:r>
      <w:r w:rsidRPr="00021681">
        <w:rPr>
          <w:rFonts w:cs="Arial"/>
          <w:lang w:val="ru-RU"/>
        </w:rPr>
        <w:tab/>
      </w:r>
      <w:r w:rsidR="00021681" w:rsidRPr="00021681">
        <w:rPr>
          <w:rFonts w:cs="Arial"/>
          <w:lang w:val="ru-RU"/>
        </w:rPr>
        <w:t>САПТ</w:t>
      </w:r>
      <w:r w:rsidRPr="00021681">
        <w:rPr>
          <w:rFonts w:cs="Arial"/>
          <w:lang w:val="ru-RU"/>
        </w:rPr>
        <w:tab/>
      </w:r>
      <w:r w:rsidR="00021681" w:rsidRPr="00021681">
        <w:rPr>
          <w:lang w:val="ru-RU"/>
        </w:rPr>
        <w:t>системы автоматизированного перевода и терминологии</w:t>
      </w:r>
    </w:p>
    <w:p w:rsidR="00C61544" w:rsidRPr="00CE4F51" w:rsidRDefault="00C61544" w:rsidP="00C61544">
      <w:pPr>
        <w:tabs>
          <w:tab w:val="left" w:pos="2127"/>
        </w:tabs>
        <w:spacing w:after="40"/>
        <w:ind w:left="3969" w:hanging="3969"/>
        <w:rPr>
          <w:rFonts w:cs="Arial"/>
          <w:szCs w:val="20"/>
          <w:lang w:val="ru-RU"/>
        </w:rPr>
      </w:pPr>
      <w:r w:rsidRPr="00DB402E">
        <w:rPr>
          <w:rFonts w:cs="Arial"/>
          <w:szCs w:val="20"/>
        </w:rPr>
        <w:t>CBD</w:t>
      </w:r>
      <w:r w:rsidRPr="00CE4F51">
        <w:rPr>
          <w:rFonts w:cs="Arial"/>
          <w:szCs w:val="20"/>
          <w:lang w:val="ru-RU"/>
        </w:rPr>
        <w:tab/>
      </w:r>
      <w:r>
        <w:rPr>
          <w:rFonts w:cs="Arial"/>
          <w:szCs w:val="20"/>
          <w:lang w:val="ru-RU"/>
        </w:rPr>
        <w:t>КБР</w:t>
      </w:r>
      <w:r w:rsidRPr="00CE4F51">
        <w:rPr>
          <w:rFonts w:cs="Arial"/>
          <w:szCs w:val="20"/>
          <w:lang w:val="ru-RU"/>
        </w:rPr>
        <w:tab/>
      </w:r>
      <w:r>
        <w:rPr>
          <w:rFonts w:cs="Arial"/>
          <w:szCs w:val="20"/>
          <w:lang w:val="ru-RU"/>
        </w:rPr>
        <w:t>Конвенция о биологическом разнообразии</w:t>
      </w:r>
    </w:p>
    <w:p w:rsidR="00C61544" w:rsidRPr="00CE4F51" w:rsidRDefault="00C61544" w:rsidP="00C61544">
      <w:pPr>
        <w:tabs>
          <w:tab w:val="left" w:pos="2127"/>
          <w:tab w:val="left" w:pos="3969"/>
        </w:tabs>
        <w:spacing w:after="40"/>
        <w:ind w:left="2127" w:hanging="2127"/>
        <w:rPr>
          <w:rFonts w:cs="Arial"/>
          <w:szCs w:val="20"/>
          <w:lang w:val="ru-RU"/>
        </w:rPr>
      </w:pPr>
      <w:r w:rsidRPr="006500B4">
        <w:rPr>
          <w:rFonts w:cs="Arial"/>
          <w:szCs w:val="20"/>
        </w:rPr>
        <w:t>ccTLDs</w:t>
      </w:r>
      <w:r w:rsidRPr="00CE4F51">
        <w:rPr>
          <w:rFonts w:cs="Arial"/>
          <w:szCs w:val="20"/>
          <w:lang w:val="ru-RU"/>
        </w:rPr>
        <w:tab/>
      </w:r>
      <w:r>
        <w:rPr>
          <w:rFonts w:cs="Arial"/>
          <w:szCs w:val="20"/>
          <w:lang w:val="ru-RU"/>
        </w:rPr>
        <w:t>ксДВУ</w:t>
      </w:r>
      <w:r w:rsidRPr="00CE4F51">
        <w:rPr>
          <w:rFonts w:cs="Arial"/>
          <w:szCs w:val="20"/>
          <w:lang w:val="ru-RU"/>
        </w:rPr>
        <w:tab/>
      </w:r>
      <w:r w:rsidRPr="006500B4">
        <w:rPr>
          <w:rFonts w:cs="Arial"/>
          <w:szCs w:val="20"/>
          <w:lang w:val="ru-RU"/>
        </w:rPr>
        <w:t>коды</w:t>
      </w:r>
      <w:r w:rsidRPr="00CE4F51">
        <w:rPr>
          <w:rFonts w:cs="Arial"/>
          <w:szCs w:val="20"/>
          <w:lang w:val="ru-RU"/>
        </w:rPr>
        <w:t xml:space="preserve"> </w:t>
      </w:r>
      <w:r w:rsidRPr="006500B4">
        <w:rPr>
          <w:rFonts w:cs="Arial"/>
          <w:szCs w:val="20"/>
          <w:lang w:val="ru-RU"/>
        </w:rPr>
        <w:t>стран</w:t>
      </w:r>
      <w:r w:rsidRPr="00CE4F51">
        <w:rPr>
          <w:rFonts w:cs="Arial"/>
          <w:szCs w:val="20"/>
          <w:lang w:val="ru-RU"/>
        </w:rPr>
        <w:t xml:space="preserve"> </w:t>
      </w:r>
      <w:r w:rsidRPr="006500B4">
        <w:rPr>
          <w:rFonts w:cs="Arial"/>
          <w:szCs w:val="20"/>
          <w:lang w:val="ru-RU"/>
        </w:rPr>
        <w:t>доменов</w:t>
      </w:r>
      <w:r w:rsidRPr="00CE4F51">
        <w:rPr>
          <w:rFonts w:cs="Arial"/>
          <w:szCs w:val="20"/>
          <w:lang w:val="ru-RU"/>
        </w:rPr>
        <w:t xml:space="preserve"> </w:t>
      </w:r>
      <w:r w:rsidRPr="006500B4">
        <w:rPr>
          <w:rFonts w:cs="Arial"/>
          <w:szCs w:val="20"/>
          <w:lang w:val="ru-RU"/>
        </w:rPr>
        <w:t>верхнего</w:t>
      </w:r>
      <w:r w:rsidRPr="00CE4F51">
        <w:rPr>
          <w:rFonts w:cs="Arial"/>
          <w:szCs w:val="20"/>
          <w:lang w:val="ru-RU"/>
        </w:rPr>
        <w:t xml:space="preserve"> </w:t>
      </w:r>
      <w:r w:rsidRPr="006500B4">
        <w:rPr>
          <w:rFonts w:cs="Arial"/>
          <w:szCs w:val="20"/>
          <w:lang w:val="ru-RU"/>
        </w:rPr>
        <w:t>уровня</w:t>
      </w:r>
    </w:p>
    <w:p w:rsidR="00C61544" w:rsidRPr="00CE4F51" w:rsidRDefault="00C61544" w:rsidP="00C61544">
      <w:pPr>
        <w:tabs>
          <w:tab w:val="left" w:pos="2127"/>
        </w:tabs>
        <w:spacing w:after="40"/>
        <w:ind w:left="3969" w:hanging="3969"/>
        <w:rPr>
          <w:rFonts w:cs="Arial"/>
          <w:szCs w:val="20"/>
          <w:lang w:val="ru-RU"/>
        </w:rPr>
      </w:pPr>
      <w:r w:rsidRPr="000B388B">
        <w:rPr>
          <w:rFonts w:cs="Arial"/>
          <w:szCs w:val="20"/>
        </w:rPr>
        <w:t>CDIP</w:t>
      </w:r>
      <w:r w:rsidRPr="00CE4F51">
        <w:rPr>
          <w:rFonts w:cs="Arial"/>
          <w:szCs w:val="20"/>
          <w:lang w:val="ru-RU"/>
        </w:rPr>
        <w:tab/>
      </w:r>
      <w:r>
        <w:rPr>
          <w:rFonts w:cs="Arial"/>
          <w:szCs w:val="20"/>
          <w:lang w:val="ru-RU"/>
        </w:rPr>
        <w:t>КРИС</w:t>
      </w:r>
      <w:r w:rsidRPr="00CE4F51">
        <w:rPr>
          <w:rFonts w:cs="Arial"/>
          <w:szCs w:val="20"/>
          <w:lang w:val="ru-RU"/>
        </w:rPr>
        <w:tab/>
      </w:r>
      <w:r w:rsidRPr="006500B4">
        <w:rPr>
          <w:rFonts w:cs="Arial"/>
          <w:szCs w:val="20"/>
          <w:lang w:val="ru-RU"/>
        </w:rPr>
        <w:t>Комитет</w:t>
      </w:r>
      <w:r w:rsidRPr="00CE4F51">
        <w:rPr>
          <w:rFonts w:cs="Arial"/>
          <w:szCs w:val="20"/>
          <w:lang w:val="ru-RU"/>
        </w:rPr>
        <w:t xml:space="preserve"> </w:t>
      </w:r>
      <w:r w:rsidRPr="006500B4">
        <w:rPr>
          <w:rFonts w:cs="Arial"/>
          <w:szCs w:val="20"/>
          <w:lang w:val="ru-RU"/>
        </w:rPr>
        <w:t>по</w:t>
      </w:r>
      <w:r w:rsidRPr="00CE4F51">
        <w:rPr>
          <w:rFonts w:cs="Arial"/>
          <w:szCs w:val="20"/>
          <w:lang w:val="ru-RU"/>
        </w:rPr>
        <w:t xml:space="preserve"> </w:t>
      </w:r>
      <w:r w:rsidRPr="006500B4">
        <w:rPr>
          <w:rFonts w:cs="Arial"/>
          <w:szCs w:val="20"/>
          <w:lang w:val="ru-RU"/>
        </w:rPr>
        <w:t>развитию</w:t>
      </w:r>
      <w:r w:rsidRPr="00CE4F51">
        <w:rPr>
          <w:rFonts w:cs="Arial"/>
          <w:szCs w:val="20"/>
          <w:lang w:val="ru-RU"/>
        </w:rPr>
        <w:t xml:space="preserve"> </w:t>
      </w:r>
      <w:r w:rsidRPr="006500B4">
        <w:rPr>
          <w:rFonts w:cs="Arial"/>
          <w:szCs w:val="20"/>
          <w:lang w:val="ru-RU"/>
        </w:rPr>
        <w:t>и</w:t>
      </w:r>
      <w:r w:rsidRPr="00CE4F51">
        <w:rPr>
          <w:rFonts w:cs="Arial"/>
          <w:szCs w:val="20"/>
          <w:lang w:val="ru-RU"/>
        </w:rPr>
        <w:t xml:space="preserve"> </w:t>
      </w:r>
      <w:r w:rsidRPr="006500B4">
        <w:rPr>
          <w:rFonts w:cs="Arial"/>
          <w:szCs w:val="20"/>
          <w:lang w:val="ru-RU"/>
        </w:rPr>
        <w:t>интеллектуальной</w:t>
      </w:r>
      <w:r w:rsidRPr="00CE4F51">
        <w:rPr>
          <w:rFonts w:cs="Arial"/>
          <w:szCs w:val="20"/>
          <w:lang w:val="ru-RU"/>
        </w:rPr>
        <w:t xml:space="preserve"> </w:t>
      </w:r>
      <w:r w:rsidRPr="006500B4">
        <w:rPr>
          <w:rFonts w:cs="Arial"/>
          <w:szCs w:val="20"/>
          <w:lang w:val="ru-RU"/>
        </w:rPr>
        <w:t>собственности</w:t>
      </w:r>
    </w:p>
    <w:p w:rsidR="00C61544" w:rsidRPr="008A6A08" w:rsidRDefault="00C61544" w:rsidP="00C61544">
      <w:pPr>
        <w:tabs>
          <w:tab w:val="left" w:pos="2127"/>
        </w:tabs>
        <w:spacing w:after="40"/>
        <w:ind w:left="3969" w:hanging="3969"/>
        <w:rPr>
          <w:rFonts w:cs="Arial"/>
          <w:szCs w:val="20"/>
          <w:lang w:val="ru-RU"/>
        </w:rPr>
      </w:pPr>
      <w:r w:rsidRPr="008A6A08">
        <w:rPr>
          <w:rFonts w:cs="Arial"/>
          <w:szCs w:val="20"/>
          <w:lang w:val="fr-CH"/>
        </w:rPr>
        <w:t>CEIPI</w:t>
      </w:r>
      <w:r w:rsidRPr="008A6A08">
        <w:rPr>
          <w:rFonts w:cs="Arial"/>
          <w:szCs w:val="20"/>
          <w:lang w:val="ru-RU"/>
        </w:rPr>
        <w:tab/>
      </w:r>
      <w:r w:rsidRPr="008A6A08">
        <w:rPr>
          <w:rFonts w:cs="Arial"/>
          <w:szCs w:val="20"/>
          <w:lang w:val="ru-RU"/>
        </w:rPr>
        <w:tab/>
        <w:t>Центр исследований в области интеллектуальной</w:t>
      </w:r>
      <w:r>
        <w:rPr>
          <w:rFonts w:cs="Arial"/>
          <w:szCs w:val="20"/>
          <w:lang w:val="ru-RU"/>
        </w:rPr>
        <w:t xml:space="preserve"> собственности</w:t>
      </w:r>
      <w:r w:rsidRPr="008A6A08">
        <w:rPr>
          <w:rFonts w:cs="Arial"/>
          <w:szCs w:val="20"/>
          <w:lang w:val="ru-RU"/>
        </w:rPr>
        <w:t xml:space="preserve"> </w:t>
      </w:r>
    </w:p>
    <w:p w:rsidR="00021681" w:rsidRDefault="00C61544" w:rsidP="00C61544">
      <w:pPr>
        <w:tabs>
          <w:tab w:val="left" w:pos="2127"/>
        </w:tabs>
        <w:spacing w:after="40"/>
        <w:ind w:left="3969" w:hanging="3969"/>
        <w:rPr>
          <w:rFonts w:cs="Arial"/>
          <w:szCs w:val="20"/>
          <w:lang w:val="ru-RU"/>
        </w:rPr>
      </w:pPr>
      <w:r w:rsidRPr="00021681">
        <w:rPr>
          <w:rFonts w:eastAsia="SimSun" w:cs="Arial"/>
          <w:bCs/>
          <w:szCs w:val="20"/>
          <w:lang w:val="es-ES" w:eastAsia="zh-CN"/>
        </w:rPr>
        <w:t>CERLALC</w:t>
      </w:r>
      <w:r w:rsidRPr="00021681">
        <w:rPr>
          <w:rFonts w:cs="Arial"/>
          <w:szCs w:val="20"/>
          <w:lang w:val="ru-RU"/>
        </w:rPr>
        <w:tab/>
      </w:r>
      <w:r w:rsidRPr="00021681">
        <w:rPr>
          <w:rFonts w:cs="Arial"/>
          <w:szCs w:val="20"/>
          <w:lang w:val="ru-RU"/>
        </w:rPr>
        <w:tab/>
      </w:r>
      <w:r w:rsidR="00021681" w:rsidRPr="00021681">
        <w:rPr>
          <w:lang w:val="ru-RU"/>
        </w:rPr>
        <w:t>Региональный центр распространения книги Латинской</w:t>
      </w:r>
      <w:r w:rsidR="00021681" w:rsidRPr="00F053BA">
        <w:rPr>
          <w:lang w:val="ru-RU"/>
        </w:rPr>
        <w:t xml:space="preserve"> Америки и Карибского бассейна</w:t>
      </w:r>
      <w:r w:rsidR="00021681" w:rsidRPr="00021681">
        <w:rPr>
          <w:rFonts w:cs="Arial"/>
          <w:szCs w:val="20"/>
          <w:lang w:val="ru-RU"/>
        </w:rPr>
        <w:t xml:space="preserve"> </w:t>
      </w:r>
    </w:p>
    <w:p w:rsidR="00C61544" w:rsidRPr="00CE4F51" w:rsidRDefault="00C61544" w:rsidP="00C61544">
      <w:pPr>
        <w:tabs>
          <w:tab w:val="left" w:pos="2127"/>
        </w:tabs>
        <w:spacing w:after="40"/>
        <w:ind w:left="3969" w:hanging="3969"/>
        <w:rPr>
          <w:rFonts w:cs="Arial"/>
          <w:szCs w:val="20"/>
          <w:lang w:val="ru-RU"/>
        </w:rPr>
      </w:pPr>
      <w:r w:rsidRPr="00DB402E">
        <w:rPr>
          <w:rFonts w:cs="Arial"/>
          <w:szCs w:val="20"/>
        </w:rPr>
        <w:t>CISAC</w:t>
      </w:r>
      <w:r w:rsidRPr="00CE4F51">
        <w:rPr>
          <w:rFonts w:cs="Arial"/>
          <w:szCs w:val="20"/>
          <w:lang w:val="ru-RU"/>
        </w:rPr>
        <w:tab/>
      </w:r>
      <w:r>
        <w:rPr>
          <w:rFonts w:cs="Arial"/>
          <w:szCs w:val="20"/>
          <w:lang w:val="ru-RU"/>
        </w:rPr>
        <w:t>СИЗАК</w:t>
      </w:r>
      <w:r w:rsidRPr="00CE4F51">
        <w:rPr>
          <w:rFonts w:cs="Arial"/>
          <w:szCs w:val="20"/>
          <w:lang w:val="ru-RU"/>
        </w:rPr>
        <w:tab/>
      </w:r>
      <w:r>
        <w:rPr>
          <w:rFonts w:cs="Arial"/>
          <w:szCs w:val="20"/>
          <w:lang w:val="ru-RU"/>
        </w:rPr>
        <w:t>Конфередация</w:t>
      </w:r>
      <w:r w:rsidRPr="00CE4F51">
        <w:rPr>
          <w:rFonts w:cs="Arial"/>
          <w:szCs w:val="20"/>
          <w:lang w:val="ru-RU"/>
        </w:rPr>
        <w:t xml:space="preserve"> </w:t>
      </w:r>
      <w:r>
        <w:rPr>
          <w:rFonts w:cs="Arial"/>
          <w:szCs w:val="20"/>
          <w:lang w:val="ru-RU"/>
        </w:rPr>
        <w:t>международных</w:t>
      </w:r>
      <w:r w:rsidRPr="00CE4F51">
        <w:rPr>
          <w:rFonts w:cs="Arial"/>
          <w:szCs w:val="20"/>
          <w:lang w:val="ru-RU"/>
        </w:rPr>
        <w:t xml:space="preserve"> </w:t>
      </w:r>
      <w:r>
        <w:rPr>
          <w:rFonts w:cs="Arial"/>
          <w:szCs w:val="20"/>
          <w:lang w:val="ru-RU"/>
        </w:rPr>
        <w:t>обществ</w:t>
      </w:r>
      <w:r w:rsidRPr="00CE4F51">
        <w:rPr>
          <w:rFonts w:cs="Arial"/>
          <w:szCs w:val="20"/>
          <w:lang w:val="ru-RU"/>
        </w:rPr>
        <w:t xml:space="preserve"> </w:t>
      </w:r>
      <w:r>
        <w:rPr>
          <w:rFonts w:cs="Arial"/>
          <w:szCs w:val="20"/>
          <w:lang w:val="ru-RU"/>
        </w:rPr>
        <w:t>авторов</w:t>
      </w:r>
      <w:r w:rsidRPr="00CE4F51">
        <w:rPr>
          <w:rFonts w:cs="Arial"/>
          <w:szCs w:val="20"/>
          <w:lang w:val="ru-RU"/>
        </w:rPr>
        <w:t xml:space="preserve"> </w:t>
      </w:r>
      <w:r>
        <w:rPr>
          <w:rFonts w:cs="Arial"/>
          <w:szCs w:val="20"/>
          <w:lang w:val="ru-RU"/>
        </w:rPr>
        <w:t>и</w:t>
      </w:r>
      <w:r w:rsidRPr="00CE4F51">
        <w:rPr>
          <w:rFonts w:cs="Arial"/>
          <w:szCs w:val="20"/>
          <w:lang w:val="ru-RU"/>
        </w:rPr>
        <w:t xml:space="preserve"> </w:t>
      </w:r>
      <w:r>
        <w:rPr>
          <w:rFonts w:cs="Arial"/>
          <w:szCs w:val="20"/>
          <w:lang w:val="ru-RU"/>
        </w:rPr>
        <w:t>композиторов</w:t>
      </w:r>
      <w:r w:rsidRPr="00CE4F51">
        <w:rPr>
          <w:rFonts w:cs="Arial"/>
          <w:szCs w:val="20"/>
          <w:lang w:val="ru-RU"/>
        </w:rPr>
        <w:t xml:space="preserve"> </w:t>
      </w:r>
    </w:p>
    <w:p w:rsidR="00C61544" w:rsidRPr="006500B4" w:rsidRDefault="00C61544" w:rsidP="00C61544">
      <w:pPr>
        <w:tabs>
          <w:tab w:val="left" w:pos="2127"/>
          <w:tab w:val="left" w:pos="3969"/>
        </w:tabs>
        <w:spacing w:after="40"/>
        <w:ind w:left="2127" w:hanging="2127"/>
        <w:rPr>
          <w:rFonts w:cs="Arial"/>
          <w:szCs w:val="20"/>
          <w:lang w:val="ru-RU"/>
        </w:rPr>
      </w:pPr>
      <w:r>
        <w:rPr>
          <w:rFonts w:cs="Arial"/>
          <w:szCs w:val="20"/>
          <w:lang w:val="ru-RU"/>
        </w:rPr>
        <w:t>CLIR</w:t>
      </w:r>
      <w:r>
        <w:rPr>
          <w:rFonts w:cs="Arial"/>
          <w:szCs w:val="20"/>
          <w:lang w:val="ru-RU"/>
        </w:rPr>
        <w:tab/>
      </w:r>
      <w:r>
        <w:rPr>
          <w:rFonts w:cs="Arial"/>
          <w:szCs w:val="20"/>
          <w:lang w:val="ru-RU"/>
        </w:rPr>
        <w:tab/>
      </w:r>
      <w:r w:rsidRPr="006500B4">
        <w:rPr>
          <w:rFonts w:cs="Arial"/>
          <w:szCs w:val="20"/>
          <w:lang w:val="ru-RU"/>
        </w:rPr>
        <w:t>кросс-язычный информационный поиск</w:t>
      </w:r>
    </w:p>
    <w:p w:rsidR="00C61544" w:rsidRPr="006500B4" w:rsidRDefault="00C61544" w:rsidP="00C61544">
      <w:pPr>
        <w:tabs>
          <w:tab w:val="left" w:pos="2127"/>
          <w:tab w:val="left" w:pos="3969"/>
        </w:tabs>
        <w:spacing w:after="40"/>
        <w:ind w:left="2127" w:hanging="2127"/>
        <w:rPr>
          <w:rFonts w:cs="Arial"/>
          <w:szCs w:val="20"/>
          <w:lang w:val="ru-RU"/>
        </w:rPr>
      </w:pPr>
      <w:r>
        <w:rPr>
          <w:rFonts w:cs="Arial"/>
          <w:szCs w:val="20"/>
          <w:lang w:val="ru-RU"/>
        </w:rPr>
        <w:t>CMG</w:t>
      </w:r>
      <w:r>
        <w:rPr>
          <w:rFonts w:cs="Arial"/>
          <w:szCs w:val="20"/>
          <w:lang w:val="ru-RU"/>
        </w:rPr>
        <w:tab/>
        <w:t>ГУКС</w:t>
      </w:r>
      <w:r>
        <w:rPr>
          <w:rFonts w:cs="Arial"/>
          <w:szCs w:val="20"/>
          <w:lang w:val="ru-RU"/>
        </w:rPr>
        <w:tab/>
      </w:r>
      <w:r w:rsidRPr="006500B4">
        <w:rPr>
          <w:rFonts w:cs="Arial"/>
          <w:szCs w:val="20"/>
          <w:lang w:val="ru-RU"/>
        </w:rPr>
        <w:t>Группа управления кризисными ситуациями</w:t>
      </w:r>
    </w:p>
    <w:p w:rsidR="00C61544" w:rsidRDefault="00C61544" w:rsidP="00C61544">
      <w:pPr>
        <w:tabs>
          <w:tab w:val="left" w:pos="2127"/>
          <w:tab w:val="left" w:pos="3969"/>
        </w:tabs>
        <w:spacing w:after="40"/>
        <w:ind w:left="2127" w:hanging="2127"/>
        <w:rPr>
          <w:rFonts w:cs="Arial"/>
          <w:szCs w:val="20"/>
          <w:lang w:val="ru-RU"/>
        </w:rPr>
      </w:pPr>
      <w:r>
        <w:rPr>
          <w:rFonts w:cs="Arial"/>
          <w:szCs w:val="20"/>
          <w:lang w:val="ru-RU"/>
        </w:rPr>
        <w:t>CMOs</w:t>
      </w:r>
      <w:r>
        <w:rPr>
          <w:rFonts w:cs="Arial"/>
          <w:szCs w:val="20"/>
          <w:lang w:val="ru-RU"/>
        </w:rPr>
        <w:tab/>
        <w:t>ОКУ</w:t>
      </w:r>
      <w:r>
        <w:rPr>
          <w:rFonts w:cs="Arial"/>
          <w:szCs w:val="20"/>
          <w:lang w:val="ru-RU"/>
        </w:rPr>
        <w:tab/>
      </w:r>
      <w:r w:rsidRPr="006500B4">
        <w:rPr>
          <w:rFonts w:cs="Arial"/>
          <w:szCs w:val="20"/>
          <w:lang w:val="ru-RU"/>
        </w:rPr>
        <w:t>организации коллективного управления</w:t>
      </w:r>
    </w:p>
    <w:p w:rsidR="00C61544" w:rsidRPr="00B55B3A" w:rsidRDefault="00C61544" w:rsidP="00C61544">
      <w:pPr>
        <w:tabs>
          <w:tab w:val="left" w:pos="2127"/>
          <w:tab w:val="left" w:pos="3969"/>
        </w:tabs>
        <w:spacing w:after="40"/>
        <w:ind w:left="2127" w:hanging="2127"/>
        <w:rPr>
          <w:rFonts w:cs="Arial"/>
          <w:szCs w:val="20"/>
          <w:lang w:val="ru-RU"/>
        </w:rPr>
      </w:pPr>
      <w:r w:rsidRPr="00B55B3A">
        <w:rPr>
          <w:szCs w:val="20"/>
        </w:rPr>
        <w:t>COMESA</w:t>
      </w:r>
      <w:r w:rsidRPr="00B55B3A">
        <w:rPr>
          <w:szCs w:val="20"/>
          <w:lang w:val="ru-RU"/>
        </w:rPr>
        <w:tab/>
      </w:r>
      <w:r w:rsidR="00B55B3A" w:rsidRPr="00B55B3A">
        <w:rPr>
          <w:szCs w:val="20"/>
          <w:lang w:val="ru-RU"/>
        </w:rPr>
        <w:t>КОМЕСА</w:t>
      </w:r>
      <w:r w:rsidRPr="00B55B3A">
        <w:rPr>
          <w:szCs w:val="20"/>
          <w:lang w:val="ru-RU"/>
        </w:rPr>
        <w:tab/>
      </w:r>
      <w:r w:rsidR="00B55B3A" w:rsidRPr="00B55B3A">
        <w:rPr>
          <w:bCs/>
          <w:lang w:val="ru-RU"/>
        </w:rPr>
        <w:t>Общий рынок Восточной и Южной Африки</w:t>
      </w:r>
    </w:p>
    <w:p w:rsidR="00C61544" w:rsidRPr="006812A2" w:rsidRDefault="00C61544" w:rsidP="00C61544">
      <w:pPr>
        <w:tabs>
          <w:tab w:val="left" w:pos="2127"/>
        </w:tabs>
        <w:spacing w:after="40"/>
        <w:ind w:left="3969" w:hanging="3969"/>
        <w:rPr>
          <w:rFonts w:cs="Arial"/>
          <w:lang w:val="ru-RU"/>
        </w:rPr>
      </w:pPr>
      <w:r w:rsidRPr="006812A2">
        <w:rPr>
          <w:rFonts w:cs="Arial"/>
          <w:szCs w:val="20"/>
        </w:rPr>
        <w:t>CTCN</w:t>
      </w:r>
      <w:r w:rsidRPr="006812A2">
        <w:rPr>
          <w:rFonts w:cs="Arial"/>
          <w:szCs w:val="20"/>
          <w:lang w:val="ru-RU"/>
        </w:rPr>
        <w:tab/>
      </w:r>
      <w:r w:rsidRPr="006812A2">
        <w:rPr>
          <w:rFonts w:cs="Arial"/>
          <w:szCs w:val="20"/>
          <w:lang w:val="ru-RU"/>
        </w:rPr>
        <w:tab/>
        <w:t>Центр и сеть технологии климата</w:t>
      </w:r>
    </w:p>
    <w:p w:rsidR="00C61544" w:rsidRPr="00CE4F51" w:rsidRDefault="00C61544" w:rsidP="00C61544">
      <w:pPr>
        <w:tabs>
          <w:tab w:val="left" w:pos="2127"/>
        </w:tabs>
        <w:spacing w:after="40"/>
        <w:ind w:left="3969" w:hanging="3969"/>
        <w:rPr>
          <w:rFonts w:cs="Arial"/>
          <w:szCs w:val="20"/>
          <w:lang w:val="ru-RU"/>
        </w:rPr>
      </w:pPr>
      <w:r w:rsidRPr="00DB402E">
        <w:rPr>
          <w:rFonts w:cs="Arial"/>
          <w:szCs w:val="20"/>
        </w:rPr>
        <w:t>CWS</w:t>
      </w:r>
      <w:r w:rsidRPr="00CE4F51">
        <w:rPr>
          <w:rFonts w:cs="Arial"/>
          <w:szCs w:val="20"/>
          <w:lang w:val="ru-RU"/>
        </w:rPr>
        <w:tab/>
      </w:r>
      <w:r>
        <w:rPr>
          <w:rFonts w:cs="Arial"/>
          <w:szCs w:val="20"/>
          <w:lang w:val="ru-RU"/>
        </w:rPr>
        <w:t>КСВ</w:t>
      </w:r>
      <w:r w:rsidRPr="00CE4F51">
        <w:rPr>
          <w:rFonts w:cs="Arial"/>
          <w:szCs w:val="20"/>
          <w:lang w:val="ru-RU"/>
        </w:rPr>
        <w:tab/>
      </w:r>
      <w:r>
        <w:rPr>
          <w:rFonts w:cs="Arial"/>
          <w:szCs w:val="20"/>
          <w:lang w:val="ru-RU"/>
        </w:rPr>
        <w:t>Комитет по стандартам ВОИС</w:t>
      </w:r>
    </w:p>
    <w:p w:rsidR="00C61544" w:rsidRPr="00CE4F51" w:rsidRDefault="00C61544" w:rsidP="00C61544">
      <w:pPr>
        <w:tabs>
          <w:tab w:val="left" w:pos="2127"/>
          <w:tab w:val="left" w:pos="3969"/>
        </w:tabs>
        <w:spacing w:after="120"/>
        <w:ind w:left="2126" w:hanging="2126"/>
        <w:rPr>
          <w:rFonts w:cs="Arial"/>
          <w:szCs w:val="20"/>
          <w:lang w:val="ru-RU"/>
        </w:rPr>
      </w:pPr>
    </w:p>
    <w:p w:rsidR="00C61544" w:rsidRPr="00CE4F51" w:rsidRDefault="00C61544" w:rsidP="00C61544">
      <w:pPr>
        <w:tabs>
          <w:tab w:val="left" w:pos="2127"/>
          <w:tab w:val="left" w:pos="3969"/>
        </w:tabs>
        <w:spacing w:after="40"/>
        <w:rPr>
          <w:rFonts w:cs="Arial"/>
          <w:szCs w:val="20"/>
          <w:lang w:val="ru-RU"/>
        </w:rPr>
      </w:pPr>
      <w:r w:rsidRPr="006500B4">
        <w:rPr>
          <w:rFonts w:cs="Arial"/>
          <w:b/>
          <w:szCs w:val="20"/>
          <w:lang w:val="ru-RU"/>
        </w:rPr>
        <w:t>D</w:t>
      </w:r>
      <w:r>
        <w:rPr>
          <w:rFonts w:cs="Arial"/>
          <w:szCs w:val="20"/>
          <w:lang w:val="ru-RU"/>
        </w:rPr>
        <w:t>A</w:t>
      </w:r>
      <w:r>
        <w:rPr>
          <w:rFonts w:cs="Arial"/>
          <w:szCs w:val="20"/>
          <w:lang w:val="ru-RU"/>
        </w:rPr>
        <w:tab/>
        <w:t>ПДР</w:t>
      </w:r>
      <w:r>
        <w:rPr>
          <w:rFonts w:cs="Arial"/>
          <w:szCs w:val="20"/>
          <w:lang w:val="ru-RU"/>
        </w:rPr>
        <w:tab/>
      </w:r>
      <w:r w:rsidRPr="006500B4">
        <w:rPr>
          <w:rFonts w:cs="Arial"/>
          <w:szCs w:val="20"/>
          <w:lang w:val="ru-RU"/>
        </w:rPr>
        <w:t>Повестка дня в области развития</w:t>
      </w:r>
    </w:p>
    <w:p w:rsidR="00C61544" w:rsidRPr="00CE4F51" w:rsidRDefault="00C61544" w:rsidP="00C61544">
      <w:pPr>
        <w:tabs>
          <w:tab w:val="left" w:pos="2127"/>
        </w:tabs>
        <w:spacing w:after="40"/>
        <w:ind w:left="3969" w:hanging="3969"/>
        <w:rPr>
          <w:rFonts w:cs="Arial"/>
          <w:szCs w:val="20"/>
          <w:lang w:val="ru-RU"/>
        </w:rPr>
      </w:pPr>
      <w:r w:rsidRPr="00DB402E">
        <w:rPr>
          <w:rFonts w:cs="Arial"/>
          <w:szCs w:val="20"/>
        </w:rPr>
        <w:t>DAG</w:t>
      </w:r>
      <w:r w:rsidRPr="00CE4F51">
        <w:rPr>
          <w:rFonts w:cs="Arial"/>
          <w:szCs w:val="20"/>
          <w:lang w:val="ru-RU"/>
        </w:rPr>
        <w:tab/>
      </w:r>
      <w:r>
        <w:rPr>
          <w:rFonts w:cs="Arial"/>
          <w:szCs w:val="20"/>
          <w:lang w:val="ru-RU"/>
        </w:rPr>
        <w:t>ГПДР</w:t>
      </w:r>
      <w:r w:rsidRPr="00CE4F51">
        <w:rPr>
          <w:rFonts w:cs="Arial"/>
          <w:szCs w:val="20"/>
          <w:lang w:val="ru-RU"/>
        </w:rPr>
        <w:tab/>
      </w:r>
      <w:r>
        <w:rPr>
          <w:rFonts w:cs="Arial"/>
          <w:szCs w:val="20"/>
          <w:lang w:val="ru-RU"/>
        </w:rPr>
        <w:t>Группа по Повестке дня в области развития</w:t>
      </w:r>
    </w:p>
    <w:p w:rsidR="00C61544" w:rsidRPr="00DB402E" w:rsidRDefault="00C61544" w:rsidP="00C61544">
      <w:pPr>
        <w:tabs>
          <w:tab w:val="left" w:pos="2127"/>
        </w:tabs>
        <w:spacing w:after="40"/>
        <w:ind w:left="3969" w:hanging="3969"/>
        <w:rPr>
          <w:rFonts w:cs="Arial"/>
          <w:szCs w:val="20"/>
          <w:lang w:val="ru-RU"/>
        </w:rPr>
      </w:pPr>
      <w:r w:rsidRPr="00DB402E">
        <w:rPr>
          <w:rFonts w:cs="Arial"/>
          <w:szCs w:val="20"/>
        </w:rPr>
        <w:t>DAS</w:t>
      </w:r>
      <w:r w:rsidRPr="00DB402E">
        <w:rPr>
          <w:rFonts w:cs="Arial"/>
          <w:szCs w:val="20"/>
          <w:lang w:val="ru-RU"/>
        </w:rPr>
        <w:tab/>
      </w:r>
      <w:r>
        <w:rPr>
          <w:rFonts w:cs="Arial"/>
          <w:szCs w:val="20"/>
          <w:lang w:val="ru-RU"/>
        </w:rPr>
        <w:t>СЦД</w:t>
      </w:r>
      <w:r w:rsidRPr="00DB402E">
        <w:rPr>
          <w:rFonts w:cs="Arial"/>
          <w:szCs w:val="20"/>
          <w:lang w:val="ru-RU"/>
        </w:rPr>
        <w:tab/>
      </w:r>
      <w:r>
        <w:rPr>
          <w:rFonts w:cs="Arial"/>
          <w:szCs w:val="20"/>
          <w:lang w:val="ru-RU"/>
        </w:rPr>
        <w:t>С</w:t>
      </w:r>
      <w:r w:rsidRPr="006500B4">
        <w:rPr>
          <w:rFonts w:cs="Arial"/>
          <w:szCs w:val="20"/>
          <w:lang w:val="ru-RU"/>
        </w:rPr>
        <w:t>лужба</w:t>
      </w:r>
      <w:r w:rsidRPr="00DB402E">
        <w:rPr>
          <w:rFonts w:cs="Arial"/>
          <w:szCs w:val="20"/>
          <w:lang w:val="ru-RU"/>
        </w:rPr>
        <w:t xml:space="preserve"> </w:t>
      </w:r>
      <w:r w:rsidRPr="006500B4">
        <w:rPr>
          <w:rFonts w:cs="Arial"/>
          <w:szCs w:val="20"/>
          <w:lang w:val="ru-RU"/>
        </w:rPr>
        <w:t>цифрового</w:t>
      </w:r>
      <w:r w:rsidRPr="00DB402E">
        <w:rPr>
          <w:rFonts w:cs="Arial"/>
          <w:szCs w:val="20"/>
          <w:lang w:val="ru-RU"/>
        </w:rPr>
        <w:t xml:space="preserve"> </w:t>
      </w:r>
      <w:r w:rsidRPr="006500B4">
        <w:rPr>
          <w:rFonts w:cs="Arial"/>
          <w:szCs w:val="20"/>
          <w:lang w:val="ru-RU"/>
        </w:rPr>
        <w:t>доступа</w:t>
      </w:r>
      <w:r w:rsidRPr="00DB402E">
        <w:rPr>
          <w:rFonts w:cs="Arial"/>
          <w:szCs w:val="20"/>
          <w:lang w:val="ru-RU"/>
        </w:rPr>
        <w:t xml:space="preserve"> </w:t>
      </w:r>
      <w:r w:rsidRPr="006500B4">
        <w:rPr>
          <w:rFonts w:cs="Arial"/>
          <w:szCs w:val="20"/>
          <w:lang w:val="ru-RU"/>
        </w:rPr>
        <w:t>к</w:t>
      </w:r>
      <w:r w:rsidRPr="00DB402E">
        <w:rPr>
          <w:rFonts w:cs="Arial"/>
          <w:szCs w:val="20"/>
          <w:lang w:val="ru-RU"/>
        </w:rPr>
        <w:t xml:space="preserve"> </w:t>
      </w:r>
      <w:r w:rsidRPr="006500B4">
        <w:rPr>
          <w:rFonts w:cs="Arial"/>
          <w:szCs w:val="20"/>
          <w:lang w:val="ru-RU"/>
        </w:rPr>
        <w:t>приоритетным</w:t>
      </w:r>
      <w:r w:rsidRPr="00DB402E">
        <w:rPr>
          <w:rFonts w:cs="Arial"/>
          <w:szCs w:val="20"/>
          <w:lang w:val="ru-RU"/>
        </w:rPr>
        <w:t xml:space="preserve"> </w:t>
      </w:r>
      <w:r w:rsidRPr="006500B4">
        <w:rPr>
          <w:rFonts w:cs="Arial"/>
          <w:szCs w:val="20"/>
          <w:lang w:val="ru-RU"/>
        </w:rPr>
        <w:t>документам</w:t>
      </w:r>
    </w:p>
    <w:p w:rsidR="00C61544" w:rsidRPr="00B82873" w:rsidRDefault="00C61544" w:rsidP="00C61544">
      <w:pPr>
        <w:tabs>
          <w:tab w:val="left" w:pos="2127"/>
        </w:tabs>
        <w:spacing w:after="40"/>
        <w:ind w:left="3969" w:hanging="3969"/>
        <w:rPr>
          <w:rFonts w:cs="Arial"/>
          <w:szCs w:val="20"/>
          <w:lang w:val="ru-RU"/>
        </w:rPr>
      </w:pPr>
      <w:r w:rsidRPr="00DB402E">
        <w:rPr>
          <w:rFonts w:cs="Arial"/>
          <w:szCs w:val="20"/>
        </w:rPr>
        <w:t>DL</w:t>
      </w:r>
      <w:r w:rsidRPr="00B82873">
        <w:rPr>
          <w:rFonts w:cs="Arial"/>
          <w:szCs w:val="20"/>
          <w:lang w:val="ru-RU"/>
        </w:rPr>
        <w:tab/>
      </w:r>
      <w:r>
        <w:rPr>
          <w:rFonts w:cs="Arial"/>
          <w:szCs w:val="20"/>
          <w:lang w:val="ru-RU"/>
        </w:rPr>
        <w:t>ДО</w:t>
      </w:r>
      <w:r w:rsidRPr="00B82873">
        <w:rPr>
          <w:rFonts w:cs="Arial"/>
          <w:szCs w:val="20"/>
          <w:lang w:val="ru-RU"/>
        </w:rPr>
        <w:tab/>
      </w:r>
      <w:r>
        <w:rPr>
          <w:rFonts w:cs="Arial"/>
          <w:szCs w:val="20"/>
          <w:lang w:val="ru-RU"/>
        </w:rPr>
        <w:t>дистанционное</w:t>
      </w:r>
      <w:r w:rsidRPr="00B82873">
        <w:rPr>
          <w:rFonts w:cs="Arial"/>
          <w:szCs w:val="20"/>
          <w:lang w:val="ru-RU"/>
        </w:rPr>
        <w:t xml:space="preserve"> </w:t>
      </w:r>
      <w:r>
        <w:rPr>
          <w:rFonts w:cs="Arial"/>
          <w:szCs w:val="20"/>
          <w:lang w:val="ru-RU"/>
        </w:rPr>
        <w:t>обучение</w:t>
      </w:r>
    </w:p>
    <w:p w:rsidR="00C61544" w:rsidRPr="00B82873" w:rsidRDefault="00C61544" w:rsidP="00C61544">
      <w:pPr>
        <w:tabs>
          <w:tab w:val="left" w:pos="2127"/>
        </w:tabs>
        <w:spacing w:after="40"/>
        <w:ind w:left="2127" w:hanging="2127"/>
        <w:rPr>
          <w:rFonts w:cs="Arial"/>
          <w:b/>
          <w:bCs/>
          <w:szCs w:val="20"/>
          <w:lang w:val="ru-RU"/>
        </w:rPr>
      </w:pPr>
    </w:p>
    <w:p w:rsidR="00C61544" w:rsidRPr="002A7E6B" w:rsidRDefault="00C61544" w:rsidP="00C61544">
      <w:pPr>
        <w:tabs>
          <w:tab w:val="left" w:pos="2127"/>
        </w:tabs>
        <w:spacing w:after="40"/>
        <w:ind w:left="2127" w:hanging="2127"/>
        <w:rPr>
          <w:rFonts w:cs="Arial"/>
          <w:b/>
          <w:lang w:val="ru-RU"/>
        </w:rPr>
      </w:pPr>
      <w:r w:rsidRPr="002A7E6B">
        <w:rPr>
          <w:rFonts w:cs="Arial"/>
          <w:b/>
        </w:rPr>
        <w:t>E</w:t>
      </w:r>
      <w:r w:rsidRPr="002A7E6B">
        <w:rPr>
          <w:rFonts w:cs="Arial"/>
        </w:rPr>
        <w:t>CAF</w:t>
      </w:r>
      <w:r w:rsidRPr="002A7E6B">
        <w:rPr>
          <w:rFonts w:cs="Arial"/>
          <w:lang w:val="ru-RU"/>
        </w:rPr>
        <w:tab/>
      </w:r>
      <w:r w:rsidRPr="002A7E6B">
        <w:rPr>
          <w:rFonts w:cs="Arial"/>
          <w:lang w:val="ru-RU"/>
        </w:rPr>
        <w:tab/>
      </w:r>
      <w:r w:rsidRPr="002A7E6B">
        <w:rPr>
          <w:rFonts w:cs="Arial"/>
          <w:lang w:val="ru-RU"/>
        </w:rPr>
        <w:tab/>
      </w:r>
      <w:r w:rsidRPr="002A7E6B">
        <w:rPr>
          <w:rFonts w:cs="Arial"/>
          <w:lang w:val="ru-RU"/>
        </w:rPr>
        <w:tab/>
      </w:r>
      <w:r w:rsidRPr="002A7E6B">
        <w:rPr>
          <w:rFonts w:cs="Arial"/>
          <w:lang w:val="ru-RU"/>
        </w:rPr>
        <w:tab/>
      </w:r>
      <w:r w:rsidR="002A7E6B" w:rsidRPr="002A7E6B">
        <w:rPr>
          <w:rFonts w:cs="Arial"/>
          <w:lang w:val="ru-RU"/>
        </w:rPr>
        <w:t>Электронный модуль ВОИС для рассмотрени споров</w:t>
      </w:r>
    </w:p>
    <w:p w:rsidR="00C61544" w:rsidRDefault="00C61544" w:rsidP="00C61544">
      <w:pPr>
        <w:tabs>
          <w:tab w:val="left" w:pos="2127"/>
        </w:tabs>
        <w:spacing w:after="40"/>
        <w:ind w:left="3969" w:hanging="3969"/>
        <w:rPr>
          <w:rFonts w:cs="Arial"/>
          <w:bCs/>
          <w:szCs w:val="20"/>
          <w:lang w:val="ru-RU"/>
        </w:rPr>
      </w:pPr>
      <w:r>
        <w:rPr>
          <w:rFonts w:cs="Arial"/>
          <w:bCs/>
          <w:szCs w:val="20"/>
          <w:lang w:val="ru-RU"/>
        </w:rPr>
        <w:t>ECLA</w:t>
      </w:r>
      <w:r>
        <w:rPr>
          <w:rFonts w:cs="Arial"/>
          <w:bCs/>
          <w:szCs w:val="20"/>
          <w:lang w:val="ru-RU"/>
        </w:rPr>
        <w:tab/>
      </w:r>
      <w:r>
        <w:rPr>
          <w:rFonts w:cs="Arial"/>
          <w:bCs/>
          <w:szCs w:val="20"/>
          <w:lang w:val="ru-RU"/>
        </w:rPr>
        <w:tab/>
      </w:r>
      <w:r w:rsidRPr="006500B4">
        <w:rPr>
          <w:rFonts w:cs="Arial"/>
          <w:bCs/>
          <w:szCs w:val="20"/>
          <w:lang w:val="ru-RU"/>
        </w:rPr>
        <w:t xml:space="preserve">патентная </w:t>
      </w:r>
      <w:r w:rsidRPr="006500B4">
        <w:rPr>
          <w:rFonts w:cs="Arial"/>
          <w:szCs w:val="20"/>
          <w:lang w:val="ru-RU"/>
        </w:rPr>
        <w:t>классификация</w:t>
      </w:r>
      <w:r w:rsidRPr="006500B4">
        <w:rPr>
          <w:rFonts w:cs="Arial"/>
          <w:bCs/>
          <w:szCs w:val="20"/>
          <w:lang w:val="ru-RU"/>
        </w:rPr>
        <w:t xml:space="preserve">, </w:t>
      </w:r>
      <w:r w:rsidRPr="001B57B4">
        <w:rPr>
          <w:rStyle w:val="Emphasis"/>
          <w:rFonts w:cs="Arial"/>
          <w:szCs w:val="20"/>
          <w:lang w:val="ru-RU"/>
        </w:rPr>
        <w:t>присвоенная</w:t>
      </w:r>
      <w:r w:rsidRPr="006500B4">
        <w:rPr>
          <w:rFonts w:cs="Arial"/>
          <w:bCs/>
          <w:szCs w:val="20"/>
          <w:lang w:val="ru-RU"/>
        </w:rPr>
        <w:t xml:space="preserve"> Европейским патентным ведомством</w:t>
      </w:r>
    </w:p>
    <w:p w:rsidR="00C61544" w:rsidRPr="00DE01AF" w:rsidRDefault="00C61544" w:rsidP="00C61544">
      <w:pPr>
        <w:tabs>
          <w:tab w:val="left" w:pos="2127"/>
        </w:tabs>
        <w:spacing w:after="40"/>
        <w:ind w:left="3969" w:hanging="3969"/>
        <w:rPr>
          <w:rFonts w:cs="Arial"/>
          <w:szCs w:val="20"/>
          <w:lang w:val="ru-RU"/>
        </w:rPr>
      </w:pPr>
      <w:r w:rsidRPr="00DE01AF">
        <w:rPr>
          <w:rFonts w:cs="Arial"/>
          <w:szCs w:val="20"/>
        </w:rPr>
        <w:t>ECOSOC</w:t>
      </w:r>
      <w:r w:rsidRPr="00DE01AF">
        <w:rPr>
          <w:rFonts w:cs="Arial"/>
          <w:szCs w:val="20"/>
          <w:lang w:val="ru-RU"/>
        </w:rPr>
        <w:tab/>
        <w:t>ЭКОСОС</w:t>
      </w:r>
      <w:r w:rsidRPr="00DE01AF">
        <w:rPr>
          <w:rFonts w:cs="Arial"/>
          <w:szCs w:val="20"/>
          <w:lang w:val="ru-RU"/>
        </w:rPr>
        <w:tab/>
      </w:r>
      <w:r w:rsidRPr="00DE01AF">
        <w:rPr>
          <w:rFonts w:cs="Arial"/>
          <w:bCs/>
          <w:szCs w:val="20"/>
          <w:lang w:val="ru-RU"/>
        </w:rPr>
        <w:t>Экономический</w:t>
      </w:r>
      <w:r w:rsidRPr="00DE01AF">
        <w:rPr>
          <w:rFonts w:cs="Arial"/>
          <w:szCs w:val="20"/>
          <w:lang w:val="ru-RU"/>
        </w:rPr>
        <w:t xml:space="preserve"> и социальный совет ООН </w:t>
      </w:r>
    </w:p>
    <w:p w:rsidR="00C61544" w:rsidRPr="006D434F" w:rsidRDefault="00C61544" w:rsidP="00C61544">
      <w:pPr>
        <w:tabs>
          <w:tab w:val="left" w:pos="2127"/>
        </w:tabs>
        <w:spacing w:after="40"/>
        <w:ind w:left="3969" w:hanging="3969"/>
        <w:rPr>
          <w:rFonts w:cs="Arial"/>
          <w:szCs w:val="20"/>
          <w:lang w:val="ru-RU"/>
        </w:rPr>
      </w:pPr>
      <w:r w:rsidRPr="006500B4">
        <w:rPr>
          <w:rFonts w:cs="Arial"/>
          <w:szCs w:val="20"/>
        </w:rPr>
        <w:t>ECM</w:t>
      </w:r>
      <w:r>
        <w:rPr>
          <w:rFonts w:cs="Arial"/>
          <w:szCs w:val="20"/>
          <w:lang w:val="ru-RU"/>
        </w:rPr>
        <w:tab/>
      </w:r>
      <w:r>
        <w:rPr>
          <w:rFonts w:cs="Arial"/>
          <w:szCs w:val="20"/>
          <w:lang w:val="ru-RU"/>
        </w:rPr>
        <w:tab/>
      </w:r>
      <w:r w:rsidRPr="00DE01AF">
        <w:rPr>
          <w:rFonts w:cs="Arial"/>
          <w:szCs w:val="20"/>
          <w:lang w:val="ru-RU"/>
        </w:rPr>
        <w:t>Управление общеорганизационным информационным контентом</w:t>
      </w:r>
    </w:p>
    <w:p w:rsidR="00C61544" w:rsidRPr="006500B4" w:rsidRDefault="00C61544" w:rsidP="00C61544">
      <w:pPr>
        <w:tabs>
          <w:tab w:val="left" w:pos="2127"/>
        </w:tabs>
        <w:spacing w:after="40"/>
        <w:ind w:left="3969" w:hanging="3969"/>
        <w:rPr>
          <w:rFonts w:cs="Arial"/>
          <w:szCs w:val="20"/>
          <w:lang w:val="ru-RU"/>
        </w:rPr>
      </w:pPr>
      <w:r>
        <w:rPr>
          <w:rFonts w:cs="Arial"/>
          <w:szCs w:val="20"/>
          <w:lang w:val="ru-RU"/>
        </w:rPr>
        <w:t xml:space="preserve">EDMS </w:t>
      </w:r>
      <w:r>
        <w:rPr>
          <w:rFonts w:cs="Arial"/>
          <w:szCs w:val="20"/>
          <w:lang w:val="ru-RU"/>
        </w:rPr>
        <w:tab/>
      </w:r>
      <w:r>
        <w:rPr>
          <w:rFonts w:cs="Arial"/>
          <w:szCs w:val="20"/>
          <w:lang w:val="ru-RU"/>
        </w:rPr>
        <w:tab/>
      </w:r>
      <w:r w:rsidRPr="006500B4">
        <w:rPr>
          <w:rFonts w:cs="Arial"/>
          <w:szCs w:val="20"/>
          <w:lang w:val="ru-RU"/>
        </w:rPr>
        <w:t xml:space="preserve">Электронная система управления </w:t>
      </w:r>
      <w:r w:rsidRPr="001B57B4">
        <w:rPr>
          <w:rStyle w:val="Emphasis"/>
          <w:rFonts w:cs="Arial"/>
          <w:szCs w:val="20"/>
          <w:lang w:val="ru-RU"/>
        </w:rPr>
        <w:t>документацией</w:t>
      </w:r>
    </w:p>
    <w:p w:rsidR="00C61544" w:rsidRPr="00CA1DBE" w:rsidRDefault="00C61544" w:rsidP="00C61544">
      <w:pPr>
        <w:tabs>
          <w:tab w:val="left" w:pos="2127"/>
        </w:tabs>
        <w:spacing w:after="40"/>
        <w:ind w:left="3969" w:hanging="3969"/>
        <w:rPr>
          <w:rStyle w:val="Emphasis"/>
          <w:i w:val="0"/>
          <w:szCs w:val="20"/>
          <w:lang w:val="ru-RU"/>
        </w:rPr>
      </w:pPr>
      <w:r w:rsidRPr="00CA1DBE">
        <w:rPr>
          <w:rStyle w:val="Emphasis"/>
          <w:szCs w:val="20"/>
          <w:lang w:val="ru-RU"/>
        </w:rPr>
        <w:t>EPM</w:t>
      </w:r>
      <w:r w:rsidRPr="00CA1DBE">
        <w:rPr>
          <w:rStyle w:val="Emphasis"/>
          <w:szCs w:val="20"/>
          <w:lang w:val="ru-RU"/>
        </w:rPr>
        <w:tab/>
      </w:r>
      <w:r>
        <w:rPr>
          <w:rStyle w:val="Emphasis"/>
          <w:szCs w:val="20"/>
          <w:lang w:val="ru-RU"/>
        </w:rPr>
        <w:t>УОД</w:t>
      </w:r>
      <w:r w:rsidRPr="00CA1DBE">
        <w:rPr>
          <w:rStyle w:val="Emphasis"/>
          <w:szCs w:val="20"/>
          <w:lang w:val="ru-RU"/>
        </w:rPr>
        <w:tab/>
        <w:t xml:space="preserve">Управление общеорганизационной деятельностью </w:t>
      </w:r>
    </w:p>
    <w:p w:rsidR="00C61544" w:rsidRDefault="00C61544" w:rsidP="00C61544">
      <w:pPr>
        <w:tabs>
          <w:tab w:val="left" w:pos="2127"/>
        </w:tabs>
        <w:spacing w:after="40"/>
        <w:ind w:left="3969" w:hanging="3969"/>
        <w:rPr>
          <w:rFonts w:cs="Arial"/>
          <w:szCs w:val="20"/>
          <w:lang w:val="ru-RU"/>
        </w:rPr>
      </w:pPr>
      <w:r w:rsidRPr="006500B4">
        <w:rPr>
          <w:rFonts w:cs="Arial"/>
          <w:szCs w:val="20"/>
          <w:lang w:val="fr-CH"/>
        </w:rPr>
        <w:t>EPO</w:t>
      </w:r>
      <w:r w:rsidRPr="00684B31">
        <w:rPr>
          <w:rFonts w:cs="Arial"/>
          <w:szCs w:val="20"/>
          <w:lang w:val="ru-RU"/>
        </w:rPr>
        <w:tab/>
      </w:r>
      <w:r w:rsidRPr="006500B4">
        <w:rPr>
          <w:rFonts w:cs="Arial"/>
          <w:szCs w:val="20"/>
          <w:lang w:val="ru-RU"/>
        </w:rPr>
        <w:t>ЕПВ</w:t>
      </w:r>
      <w:r>
        <w:rPr>
          <w:rFonts w:cs="Arial"/>
          <w:szCs w:val="20"/>
          <w:lang w:val="ru-RU"/>
        </w:rPr>
        <w:tab/>
      </w:r>
      <w:r w:rsidRPr="006500B4">
        <w:rPr>
          <w:rFonts w:cs="Arial"/>
          <w:szCs w:val="20"/>
          <w:lang w:val="ru-RU"/>
        </w:rPr>
        <w:t xml:space="preserve">Европейское </w:t>
      </w:r>
      <w:r w:rsidRPr="001B57B4">
        <w:rPr>
          <w:rStyle w:val="Emphasis"/>
          <w:rFonts w:cs="Arial"/>
          <w:szCs w:val="20"/>
          <w:lang w:val="ru-RU"/>
        </w:rPr>
        <w:t>патентное</w:t>
      </w:r>
      <w:r w:rsidRPr="006500B4">
        <w:rPr>
          <w:rFonts w:cs="Arial"/>
          <w:szCs w:val="20"/>
          <w:lang w:val="ru-RU"/>
        </w:rPr>
        <w:t xml:space="preserve"> ведомство</w:t>
      </w:r>
    </w:p>
    <w:p w:rsidR="00C61544" w:rsidRPr="00CA1DBE" w:rsidRDefault="00C61544" w:rsidP="00C61544">
      <w:pPr>
        <w:tabs>
          <w:tab w:val="left" w:pos="2127"/>
        </w:tabs>
        <w:spacing w:after="40"/>
        <w:ind w:left="3969" w:hanging="3969"/>
        <w:rPr>
          <w:rStyle w:val="Emphasis"/>
          <w:i w:val="0"/>
          <w:szCs w:val="20"/>
          <w:lang w:val="ru-RU"/>
        </w:rPr>
      </w:pPr>
      <w:r w:rsidRPr="00D40DA2">
        <w:rPr>
          <w:rStyle w:val="Emphasis"/>
          <w:szCs w:val="20"/>
          <w:lang w:val="ru-RU"/>
        </w:rPr>
        <w:t>ERM</w:t>
      </w:r>
      <w:r w:rsidRPr="00D40DA2">
        <w:rPr>
          <w:rStyle w:val="Emphasis"/>
          <w:szCs w:val="20"/>
          <w:lang w:val="ru-RU"/>
        </w:rPr>
        <w:tab/>
      </w:r>
      <w:r w:rsidRPr="00D40DA2">
        <w:rPr>
          <w:rStyle w:val="Emphasis"/>
          <w:szCs w:val="20"/>
          <w:lang w:val="ru-RU"/>
        </w:rPr>
        <w:tab/>
        <w:t>Управление общеорганизационными рисками</w:t>
      </w:r>
    </w:p>
    <w:p w:rsidR="00C61544" w:rsidRDefault="00C61544" w:rsidP="00C61544">
      <w:pPr>
        <w:tabs>
          <w:tab w:val="left" w:pos="2127"/>
        </w:tabs>
        <w:spacing w:after="40"/>
        <w:ind w:left="3969" w:hanging="3969"/>
        <w:rPr>
          <w:rFonts w:cs="Arial"/>
          <w:szCs w:val="20"/>
          <w:lang w:val="ru-RU"/>
        </w:rPr>
      </w:pPr>
      <w:r w:rsidRPr="006500B4">
        <w:rPr>
          <w:rFonts w:cs="Arial"/>
          <w:szCs w:val="20"/>
          <w:lang w:val="fr-CH"/>
        </w:rPr>
        <w:t>ERP</w:t>
      </w:r>
      <w:r w:rsidRPr="00684B31">
        <w:rPr>
          <w:rFonts w:cs="Arial"/>
          <w:szCs w:val="20"/>
          <w:lang w:val="ru-RU"/>
        </w:rPr>
        <w:tab/>
      </w:r>
      <w:r w:rsidRPr="006500B4">
        <w:rPr>
          <w:rFonts w:cs="Arial"/>
          <w:szCs w:val="20"/>
          <w:lang w:val="ru-RU"/>
        </w:rPr>
        <w:t>ПОР</w:t>
      </w:r>
      <w:r>
        <w:rPr>
          <w:rFonts w:cs="Arial"/>
          <w:szCs w:val="20"/>
          <w:lang w:val="ru-RU"/>
        </w:rPr>
        <w:tab/>
      </w:r>
      <w:r w:rsidRPr="006500B4">
        <w:rPr>
          <w:rFonts w:cs="Arial"/>
          <w:szCs w:val="20"/>
          <w:lang w:val="ru-RU"/>
        </w:rPr>
        <w:t>планирование</w:t>
      </w:r>
      <w:r w:rsidRPr="00684B31">
        <w:rPr>
          <w:rFonts w:cs="Arial"/>
          <w:szCs w:val="20"/>
          <w:lang w:val="ru-RU"/>
        </w:rPr>
        <w:t xml:space="preserve"> </w:t>
      </w:r>
      <w:r w:rsidRPr="001B57B4">
        <w:rPr>
          <w:rStyle w:val="Emphasis"/>
          <w:rFonts w:cs="Arial"/>
          <w:szCs w:val="20"/>
          <w:lang w:val="ru-RU"/>
        </w:rPr>
        <w:t>общеорганизационных</w:t>
      </w:r>
      <w:r w:rsidRPr="00684B31">
        <w:rPr>
          <w:rFonts w:cs="Arial"/>
          <w:szCs w:val="20"/>
          <w:lang w:val="ru-RU"/>
        </w:rPr>
        <w:t xml:space="preserve"> </w:t>
      </w:r>
      <w:r w:rsidRPr="006500B4">
        <w:rPr>
          <w:rFonts w:cs="Arial"/>
          <w:szCs w:val="20"/>
          <w:lang w:val="ru-RU"/>
        </w:rPr>
        <w:t>ресурсов</w:t>
      </w:r>
    </w:p>
    <w:p w:rsidR="00C61544" w:rsidRPr="003100FD" w:rsidRDefault="00C61544" w:rsidP="00C61544">
      <w:pPr>
        <w:tabs>
          <w:tab w:val="left" w:pos="2127"/>
        </w:tabs>
        <w:spacing w:after="40"/>
        <w:ind w:left="3969" w:hanging="3969"/>
        <w:rPr>
          <w:rFonts w:cs="Arial"/>
          <w:szCs w:val="20"/>
          <w:lang w:val="ru-RU"/>
        </w:rPr>
      </w:pPr>
      <w:r w:rsidRPr="00B55B3A">
        <w:rPr>
          <w:rFonts w:cs="Arial"/>
        </w:rPr>
        <w:t>ETSI</w:t>
      </w:r>
      <w:r w:rsidRPr="00B55B3A">
        <w:rPr>
          <w:rFonts w:cs="Arial"/>
          <w:lang w:val="ru-RU"/>
        </w:rPr>
        <w:tab/>
      </w:r>
      <w:r w:rsidRPr="00B55B3A">
        <w:rPr>
          <w:rFonts w:cs="Arial"/>
          <w:lang w:val="ru-RU"/>
        </w:rPr>
        <w:tab/>
      </w:r>
      <w:r w:rsidR="003100FD" w:rsidRPr="00B55B3A">
        <w:rPr>
          <w:iCs/>
          <w:lang w:val="ru-RU"/>
        </w:rPr>
        <w:t>Европейский институт по стандартизации в области</w:t>
      </w:r>
      <w:r w:rsidR="003100FD" w:rsidRPr="003100FD">
        <w:rPr>
          <w:iCs/>
          <w:lang w:val="ru-RU"/>
        </w:rPr>
        <w:t xml:space="preserve"> телекоммуникаций</w:t>
      </w:r>
    </w:p>
    <w:p w:rsidR="00C61544" w:rsidRPr="006500B4" w:rsidRDefault="00C61544" w:rsidP="00C61544">
      <w:pPr>
        <w:tabs>
          <w:tab w:val="left" w:pos="2127"/>
        </w:tabs>
        <w:spacing w:after="40"/>
        <w:ind w:left="3969" w:hanging="3969"/>
        <w:rPr>
          <w:rFonts w:cs="Arial"/>
          <w:szCs w:val="20"/>
          <w:lang w:val="ru-RU"/>
        </w:rPr>
      </w:pPr>
      <w:r>
        <w:rPr>
          <w:rFonts w:cs="Arial"/>
          <w:szCs w:val="20"/>
          <w:lang w:val="ru-RU"/>
        </w:rPr>
        <w:t>EU</w:t>
      </w:r>
      <w:r>
        <w:rPr>
          <w:rFonts w:cs="Arial"/>
          <w:szCs w:val="20"/>
          <w:lang w:val="ru-RU"/>
        </w:rPr>
        <w:tab/>
        <w:t>ЕС</w:t>
      </w:r>
      <w:r>
        <w:rPr>
          <w:rFonts w:cs="Arial"/>
          <w:szCs w:val="20"/>
          <w:lang w:val="ru-RU"/>
        </w:rPr>
        <w:tab/>
      </w:r>
      <w:r w:rsidRPr="006500B4">
        <w:rPr>
          <w:rFonts w:cs="Arial"/>
          <w:szCs w:val="20"/>
          <w:lang w:val="ru-RU"/>
        </w:rPr>
        <w:t>Европейский союз</w:t>
      </w:r>
    </w:p>
    <w:p w:rsidR="00C61544" w:rsidRPr="006500B4" w:rsidRDefault="00C61544" w:rsidP="00C61544">
      <w:pPr>
        <w:tabs>
          <w:tab w:val="left" w:pos="2127"/>
        </w:tabs>
        <w:spacing w:after="120"/>
        <w:ind w:left="3969" w:hanging="3969"/>
        <w:rPr>
          <w:rFonts w:cs="Arial"/>
          <w:szCs w:val="20"/>
          <w:lang w:val="ru-RU"/>
        </w:rPr>
      </w:pPr>
    </w:p>
    <w:p w:rsidR="00C61544" w:rsidRPr="006500B4" w:rsidRDefault="00C61544" w:rsidP="00C61544">
      <w:pPr>
        <w:tabs>
          <w:tab w:val="left" w:pos="2127"/>
        </w:tabs>
        <w:spacing w:after="40"/>
        <w:ind w:left="3969" w:hanging="3969"/>
        <w:rPr>
          <w:rFonts w:cs="Arial"/>
          <w:szCs w:val="20"/>
          <w:lang w:val="ru-RU"/>
        </w:rPr>
      </w:pPr>
      <w:r w:rsidRPr="00C61544">
        <w:rPr>
          <w:rFonts w:cs="Arial"/>
          <w:b/>
          <w:szCs w:val="20"/>
          <w:lang w:val="ru-RU"/>
        </w:rPr>
        <w:t>F</w:t>
      </w:r>
      <w:r>
        <w:rPr>
          <w:rFonts w:cs="Arial"/>
          <w:szCs w:val="20"/>
          <w:lang w:val="ru-RU"/>
        </w:rPr>
        <w:t>AO</w:t>
      </w:r>
      <w:r>
        <w:rPr>
          <w:rFonts w:cs="Arial"/>
          <w:szCs w:val="20"/>
          <w:lang w:val="ru-RU"/>
        </w:rPr>
        <w:tab/>
        <w:t>ФАО</w:t>
      </w:r>
      <w:r>
        <w:rPr>
          <w:rFonts w:cs="Arial"/>
          <w:szCs w:val="20"/>
          <w:lang w:val="ru-RU"/>
        </w:rPr>
        <w:tab/>
      </w:r>
      <w:r w:rsidRPr="001B57B4">
        <w:rPr>
          <w:rStyle w:val="Emphasis"/>
          <w:rFonts w:cs="Arial"/>
          <w:szCs w:val="20"/>
          <w:lang w:val="ru-RU"/>
        </w:rPr>
        <w:t>Продовольственная</w:t>
      </w:r>
      <w:r w:rsidRPr="001B57B4">
        <w:rPr>
          <w:rFonts w:cs="Arial"/>
          <w:i/>
          <w:szCs w:val="20"/>
          <w:lang w:val="ru-RU"/>
        </w:rPr>
        <w:t xml:space="preserve"> </w:t>
      </w:r>
      <w:r w:rsidRPr="006500B4">
        <w:rPr>
          <w:rFonts w:cs="Arial"/>
          <w:szCs w:val="20"/>
          <w:lang w:val="ru-RU"/>
        </w:rPr>
        <w:t xml:space="preserve">и сельскохозяйственная организация Объединенных Наций </w:t>
      </w:r>
    </w:p>
    <w:p w:rsidR="00C61544" w:rsidRPr="006500B4" w:rsidRDefault="00C61544" w:rsidP="00C61544">
      <w:pPr>
        <w:tabs>
          <w:tab w:val="left" w:pos="2127"/>
        </w:tabs>
        <w:spacing w:after="40"/>
        <w:ind w:left="3969" w:hanging="3969"/>
        <w:rPr>
          <w:rFonts w:cs="Arial"/>
          <w:szCs w:val="20"/>
          <w:lang w:val="ru-RU"/>
        </w:rPr>
      </w:pPr>
      <w:r>
        <w:rPr>
          <w:rFonts w:cs="Arial"/>
          <w:szCs w:val="20"/>
          <w:lang w:val="ru-RU"/>
        </w:rPr>
        <w:t>FI</w:t>
      </w:r>
      <w:r>
        <w:rPr>
          <w:rFonts w:cs="Arial"/>
          <w:szCs w:val="20"/>
          <w:lang w:val="ru-RU"/>
        </w:rPr>
        <w:tab/>
      </w:r>
      <w:r>
        <w:rPr>
          <w:rFonts w:cs="Arial"/>
          <w:szCs w:val="20"/>
          <w:lang w:val="ru-RU"/>
        </w:rPr>
        <w:tab/>
      </w:r>
      <w:r w:rsidRPr="006500B4">
        <w:rPr>
          <w:rFonts w:cs="Arial"/>
          <w:szCs w:val="20"/>
          <w:lang w:val="ru-RU"/>
        </w:rPr>
        <w:t>патентная классификация, присвоенная Японским патентным ведомством</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FIT</w:t>
      </w:r>
      <w:r w:rsidRPr="006500B4">
        <w:rPr>
          <w:rFonts w:cs="Arial"/>
          <w:szCs w:val="20"/>
          <w:lang w:val="ru-RU"/>
        </w:rPr>
        <w:tab/>
      </w:r>
      <w:r>
        <w:rPr>
          <w:rFonts w:cs="Arial"/>
          <w:szCs w:val="20"/>
          <w:lang w:val="ru-RU"/>
        </w:rPr>
        <w:t>ЦФ</w:t>
      </w:r>
      <w:r>
        <w:rPr>
          <w:rFonts w:cs="Arial"/>
          <w:szCs w:val="20"/>
          <w:lang w:val="ru-RU"/>
        </w:rPr>
        <w:tab/>
        <w:t>целевые фонды</w:t>
      </w:r>
    </w:p>
    <w:p w:rsidR="00C61544" w:rsidRPr="006500B4" w:rsidRDefault="00C61544" w:rsidP="00C61544">
      <w:pPr>
        <w:tabs>
          <w:tab w:val="left" w:pos="2127"/>
        </w:tabs>
        <w:spacing w:after="120"/>
        <w:ind w:left="3969" w:hanging="3969"/>
        <w:rPr>
          <w:rFonts w:cs="Arial"/>
          <w:szCs w:val="20"/>
          <w:lang w:val="ru-RU"/>
        </w:rPr>
      </w:pPr>
    </w:p>
    <w:p w:rsidR="00C61544" w:rsidRPr="002A7E6B" w:rsidRDefault="00C61544" w:rsidP="00C61544">
      <w:pPr>
        <w:tabs>
          <w:tab w:val="left" w:pos="2127"/>
        </w:tabs>
        <w:spacing w:after="40"/>
        <w:ind w:left="3969" w:hanging="3969"/>
        <w:rPr>
          <w:rStyle w:val="Emphasis"/>
          <w:i w:val="0"/>
          <w:szCs w:val="20"/>
          <w:lang w:val="ru-RU"/>
        </w:rPr>
      </w:pPr>
      <w:r w:rsidRPr="002A7E6B">
        <w:rPr>
          <w:rStyle w:val="Emphasis"/>
          <w:b/>
          <w:i w:val="0"/>
          <w:szCs w:val="20"/>
        </w:rPr>
        <w:t>G</w:t>
      </w:r>
      <w:r w:rsidRPr="002A7E6B">
        <w:rPr>
          <w:rStyle w:val="Emphasis"/>
          <w:i w:val="0"/>
          <w:szCs w:val="20"/>
        </w:rPr>
        <w:t>CC</w:t>
      </w:r>
      <w:r w:rsidRPr="002A7E6B">
        <w:rPr>
          <w:rStyle w:val="Emphasis"/>
          <w:i w:val="0"/>
          <w:szCs w:val="20"/>
          <w:lang w:val="ru-RU"/>
        </w:rPr>
        <w:tab/>
        <w:t>ССАГПЗ</w:t>
      </w:r>
      <w:r w:rsidRPr="002A7E6B">
        <w:rPr>
          <w:rStyle w:val="Emphasis"/>
          <w:i w:val="0"/>
          <w:szCs w:val="20"/>
          <w:lang w:val="ru-RU"/>
        </w:rPr>
        <w:tab/>
        <w:t>Совет по сотрудничеству арабских государств Персидского залива</w:t>
      </w:r>
    </w:p>
    <w:p w:rsidR="00C61544" w:rsidRPr="002A7E6B" w:rsidRDefault="00C61544" w:rsidP="00C61544">
      <w:pPr>
        <w:tabs>
          <w:tab w:val="left" w:pos="2127"/>
        </w:tabs>
        <w:spacing w:after="40"/>
        <w:ind w:left="3969" w:hanging="3969"/>
        <w:rPr>
          <w:rStyle w:val="Emphasis"/>
          <w:i w:val="0"/>
          <w:szCs w:val="20"/>
          <w:lang w:val="ru-RU"/>
        </w:rPr>
      </w:pPr>
      <w:r w:rsidRPr="002A7E6B">
        <w:rPr>
          <w:rStyle w:val="Emphasis"/>
          <w:i w:val="0"/>
          <w:szCs w:val="20"/>
        </w:rPr>
        <w:t>GDA</w:t>
      </w:r>
      <w:r w:rsidRPr="002A7E6B">
        <w:rPr>
          <w:rStyle w:val="Emphasis"/>
          <w:i w:val="0"/>
          <w:szCs w:val="20"/>
          <w:lang w:val="ru-RU"/>
        </w:rPr>
        <w:tab/>
      </w:r>
      <w:r w:rsidRPr="002A7E6B">
        <w:rPr>
          <w:rStyle w:val="Emphasis"/>
          <w:i w:val="0"/>
          <w:szCs w:val="20"/>
          <w:lang w:val="ru-RU"/>
        </w:rPr>
        <w:tab/>
        <w:t xml:space="preserve">глобальные партнерства в целях развития </w:t>
      </w:r>
    </w:p>
    <w:p w:rsidR="00C61544" w:rsidRPr="002A7E6B" w:rsidRDefault="00C61544" w:rsidP="00C61544">
      <w:pPr>
        <w:tabs>
          <w:tab w:val="left" w:pos="2127"/>
        </w:tabs>
        <w:spacing w:after="40"/>
        <w:ind w:left="3969" w:hanging="3969"/>
        <w:rPr>
          <w:rStyle w:val="Emphasis"/>
          <w:i w:val="0"/>
          <w:szCs w:val="20"/>
          <w:lang w:val="ru-RU"/>
        </w:rPr>
      </w:pPr>
      <w:r w:rsidRPr="002A7E6B">
        <w:rPr>
          <w:rStyle w:val="Emphasis"/>
          <w:i w:val="0"/>
          <w:szCs w:val="20"/>
        </w:rPr>
        <w:t>GII</w:t>
      </w:r>
      <w:r w:rsidRPr="002A7E6B">
        <w:rPr>
          <w:rStyle w:val="Emphasis"/>
          <w:i w:val="0"/>
          <w:szCs w:val="20"/>
          <w:lang w:val="ru-RU"/>
        </w:rPr>
        <w:tab/>
      </w:r>
      <w:r w:rsidRPr="002A7E6B">
        <w:rPr>
          <w:rStyle w:val="Emphasis"/>
          <w:i w:val="0"/>
          <w:szCs w:val="20"/>
          <w:lang w:val="ru-RU"/>
        </w:rPr>
        <w:tab/>
        <w:t>Глобальный индекс инноваций</w:t>
      </w:r>
    </w:p>
    <w:p w:rsidR="00C61544" w:rsidRPr="002A7E6B" w:rsidRDefault="00C61544" w:rsidP="00C61544">
      <w:pPr>
        <w:tabs>
          <w:tab w:val="left" w:pos="2127"/>
        </w:tabs>
        <w:spacing w:after="40"/>
        <w:ind w:left="3969" w:hanging="3969"/>
        <w:rPr>
          <w:rStyle w:val="Emphasis"/>
          <w:i w:val="0"/>
          <w:szCs w:val="20"/>
          <w:lang w:val="ru-RU"/>
        </w:rPr>
      </w:pPr>
      <w:r w:rsidRPr="002A7E6B">
        <w:rPr>
          <w:rStyle w:val="Emphasis"/>
          <w:i w:val="0"/>
          <w:szCs w:val="20"/>
        </w:rPr>
        <w:t>GIs</w:t>
      </w:r>
      <w:r w:rsidRPr="002A7E6B">
        <w:rPr>
          <w:rStyle w:val="Emphasis"/>
          <w:i w:val="0"/>
          <w:szCs w:val="20"/>
          <w:lang w:val="ru-RU"/>
        </w:rPr>
        <w:tab/>
        <w:t>ГУ</w:t>
      </w:r>
      <w:r w:rsidRPr="002A7E6B">
        <w:rPr>
          <w:rStyle w:val="Emphasis"/>
          <w:i w:val="0"/>
          <w:szCs w:val="20"/>
          <w:lang w:val="ru-RU"/>
        </w:rPr>
        <w:tab/>
        <w:t>географические указания</w:t>
      </w:r>
    </w:p>
    <w:p w:rsidR="00C61544" w:rsidRPr="00073031" w:rsidRDefault="00C61544" w:rsidP="00C61544">
      <w:pPr>
        <w:tabs>
          <w:tab w:val="left" w:pos="2127"/>
        </w:tabs>
        <w:spacing w:after="40"/>
        <w:ind w:left="3969" w:hanging="3969"/>
        <w:rPr>
          <w:rFonts w:cs="Arial"/>
          <w:b/>
          <w:bCs/>
          <w:szCs w:val="20"/>
          <w:lang w:val="ru-RU"/>
        </w:rPr>
      </w:pPr>
      <w:r w:rsidRPr="00CA1DBE">
        <w:rPr>
          <w:rFonts w:cs="Arial"/>
          <w:bCs/>
          <w:szCs w:val="20"/>
        </w:rPr>
        <w:t>GNIPA</w:t>
      </w:r>
      <w:r w:rsidRPr="00073031">
        <w:rPr>
          <w:rFonts w:cs="Arial"/>
          <w:bCs/>
          <w:szCs w:val="20"/>
          <w:lang w:val="ru-RU"/>
        </w:rPr>
        <w:tab/>
      </w:r>
      <w:r w:rsidRPr="006500B4">
        <w:rPr>
          <w:rFonts w:cs="Arial"/>
          <w:szCs w:val="20"/>
          <w:lang w:val="ru-RU"/>
        </w:rPr>
        <w:t>ГСАИС</w:t>
      </w:r>
      <w:r w:rsidRPr="00073031">
        <w:rPr>
          <w:rFonts w:cs="Arial"/>
          <w:bCs/>
          <w:szCs w:val="20"/>
          <w:lang w:val="ru-RU"/>
        </w:rPr>
        <w:tab/>
      </w:r>
      <w:r w:rsidRPr="006500B4">
        <w:rPr>
          <w:rFonts w:cs="Arial"/>
          <w:szCs w:val="20"/>
          <w:lang w:val="ru-RU"/>
        </w:rPr>
        <w:t>Глобальная</w:t>
      </w:r>
      <w:r w:rsidRPr="00073031">
        <w:rPr>
          <w:rFonts w:cs="Arial"/>
          <w:bCs/>
          <w:szCs w:val="20"/>
          <w:lang w:val="ru-RU"/>
        </w:rPr>
        <w:t xml:space="preserve"> </w:t>
      </w:r>
      <w:r w:rsidRPr="006500B4">
        <w:rPr>
          <w:rFonts w:cs="Arial"/>
          <w:bCs/>
          <w:szCs w:val="20"/>
          <w:lang w:val="ru-RU"/>
        </w:rPr>
        <w:t>сеть</w:t>
      </w:r>
      <w:r w:rsidRPr="00073031">
        <w:rPr>
          <w:rFonts w:cs="Arial"/>
          <w:bCs/>
          <w:szCs w:val="20"/>
          <w:lang w:val="ru-RU"/>
        </w:rPr>
        <w:t xml:space="preserve"> </w:t>
      </w:r>
      <w:r w:rsidRPr="006500B4">
        <w:rPr>
          <w:rFonts w:cs="Arial"/>
          <w:bCs/>
          <w:szCs w:val="20"/>
          <w:lang w:val="ru-RU"/>
        </w:rPr>
        <w:t>академий</w:t>
      </w:r>
      <w:r w:rsidRPr="00073031">
        <w:rPr>
          <w:rFonts w:cs="Arial"/>
          <w:bCs/>
          <w:szCs w:val="20"/>
          <w:lang w:val="ru-RU"/>
        </w:rPr>
        <w:t xml:space="preserve"> </w:t>
      </w:r>
      <w:r w:rsidRPr="006500B4">
        <w:rPr>
          <w:rFonts w:cs="Arial"/>
          <w:bCs/>
          <w:szCs w:val="20"/>
          <w:lang w:val="ru-RU"/>
        </w:rPr>
        <w:t>ИС</w:t>
      </w:r>
    </w:p>
    <w:p w:rsidR="00C61544" w:rsidRPr="00073031" w:rsidRDefault="00C61544" w:rsidP="00C61544">
      <w:pPr>
        <w:tabs>
          <w:tab w:val="left" w:pos="2127"/>
        </w:tabs>
        <w:spacing w:after="40"/>
        <w:ind w:left="3969" w:hanging="3969"/>
        <w:rPr>
          <w:rFonts w:cs="Arial"/>
          <w:szCs w:val="20"/>
          <w:lang w:val="ru-RU"/>
        </w:rPr>
      </w:pPr>
      <w:r w:rsidRPr="006500B4">
        <w:rPr>
          <w:rFonts w:cs="Arial"/>
          <w:szCs w:val="20"/>
        </w:rPr>
        <w:t>GR</w:t>
      </w:r>
      <w:r w:rsidRPr="00073031">
        <w:rPr>
          <w:rFonts w:cs="Arial"/>
          <w:szCs w:val="20"/>
          <w:lang w:val="ru-RU"/>
        </w:rPr>
        <w:tab/>
      </w:r>
      <w:r w:rsidRPr="006500B4">
        <w:rPr>
          <w:rFonts w:cs="Arial"/>
          <w:szCs w:val="20"/>
          <w:lang w:val="ru-RU"/>
        </w:rPr>
        <w:t>ГР</w:t>
      </w:r>
      <w:r w:rsidRPr="00073031">
        <w:rPr>
          <w:rFonts w:cs="Arial"/>
          <w:szCs w:val="20"/>
          <w:lang w:val="ru-RU"/>
        </w:rPr>
        <w:tab/>
      </w:r>
      <w:r w:rsidRPr="006500B4">
        <w:rPr>
          <w:rFonts w:cs="Arial"/>
          <w:szCs w:val="20"/>
          <w:lang w:val="ru-RU"/>
        </w:rPr>
        <w:t>генетические</w:t>
      </w:r>
      <w:r w:rsidRPr="00073031">
        <w:rPr>
          <w:rFonts w:cs="Arial"/>
          <w:szCs w:val="20"/>
          <w:lang w:val="ru-RU"/>
        </w:rPr>
        <w:t xml:space="preserve"> </w:t>
      </w:r>
      <w:r w:rsidRPr="006500B4">
        <w:rPr>
          <w:rFonts w:cs="Arial"/>
          <w:szCs w:val="20"/>
          <w:lang w:val="ru-RU"/>
        </w:rPr>
        <w:t>ресурсы</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gTLDs</w:t>
      </w:r>
      <w:r w:rsidRPr="00073031">
        <w:rPr>
          <w:rFonts w:cs="Arial"/>
          <w:szCs w:val="20"/>
          <w:lang w:val="ru-RU"/>
        </w:rPr>
        <w:tab/>
      </w:r>
      <w:r w:rsidRPr="006500B4">
        <w:rPr>
          <w:rFonts w:cs="Arial"/>
          <w:szCs w:val="20"/>
          <w:lang w:val="ru-RU"/>
        </w:rPr>
        <w:t>рДВУ</w:t>
      </w:r>
      <w:r w:rsidRPr="00073031">
        <w:rPr>
          <w:rFonts w:cs="Arial"/>
          <w:szCs w:val="20"/>
          <w:lang w:val="ru-RU"/>
        </w:rPr>
        <w:tab/>
      </w:r>
      <w:r w:rsidRPr="006500B4">
        <w:rPr>
          <w:rFonts w:cs="Arial"/>
          <w:szCs w:val="20"/>
          <w:lang w:val="ru-RU"/>
        </w:rPr>
        <w:t>родовые</w:t>
      </w:r>
      <w:r w:rsidRPr="00073031">
        <w:rPr>
          <w:rFonts w:cs="Arial"/>
          <w:szCs w:val="20"/>
          <w:lang w:val="ru-RU"/>
        </w:rPr>
        <w:t xml:space="preserve"> </w:t>
      </w:r>
      <w:r w:rsidRPr="006500B4">
        <w:rPr>
          <w:rFonts w:cs="Arial"/>
          <w:szCs w:val="20"/>
          <w:lang w:val="ru-RU"/>
        </w:rPr>
        <w:t>домены</w:t>
      </w:r>
      <w:r w:rsidRPr="00073031">
        <w:rPr>
          <w:rFonts w:cs="Arial"/>
          <w:szCs w:val="20"/>
          <w:lang w:val="ru-RU"/>
        </w:rPr>
        <w:t xml:space="preserve"> </w:t>
      </w:r>
      <w:r w:rsidRPr="006500B4">
        <w:rPr>
          <w:rFonts w:cs="Arial"/>
          <w:szCs w:val="20"/>
          <w:lang w:val="ru-RU"/>
        </w:rPr>
        <w:t>верхнего уровня</w:t>
      </w:r>
    </w:p>
    <w:p w:rsidR="00C61544" w:rsidRPr="002A7E6B" w:rsidRDefault="00C61544" w:rsidP="00C61544">
      <w:pPr>
        <w:tabs>
          <w:tab w:val="left" w:pos="2127"/>
        </w:tabs>
        <w:spacing w:after="120"/>
        <w:ind w:left="3969" w:hanging="3969"/>
        <w:rPr>
          <w:rFonts w:cs="Arial"/>
          <w:szCs w:val="20"/>
          <w:lang w:val="ru-RU"/>
        </w:rPr>
      </w:pPr>
    </w:p>
    <w:p w:rsidR="00C61544" w:rsidRPr="002A7E6B" w:rsidRDefault="00C61544" w:rsidP="00C61544">
      <w:pPr>
        <w:tabs>
          <w:tab w:val="left" w:pos="2127"/>
        </w:tabs>
        <w:spacing w:after="40"/>
        <w:ind w:left="3969" w:hanging="3969"/>
        <w:rPr>
          <w:rStyle w:val="Emphasis"/>
          <w:rFonts w:cs="Arial"/>
          <w:i w:val="0"/>
          <w:szCs w:val="20"/>
          <w:lang w:val="ru-RU"/>
        </w:rPr>
      </w:pPr>
      <w:r w:rsidRPr="002A7E6B">
        <w:rPr>
          <w:rStyle w:val="Emphasis"/>
          <w:rFonts w:cs="Arial"/>
          <w:b/>
          <w:i w:val="0"/>
          <w:szCs w:val="20"/>
        </w:rPr>
        <w:t>H</w:t>
      </w:r>
      <w:r w:rsidRPr="002A7E6B">
        <w:rPr>
          <w:rStyle w:val="Emphasis"/>
          <w:rFonts w:cs="Arial"/>
          <w:i w:val="0"/>
          <w:szCs w:val="20"/>
        </w:rPr>
        <w:t>LCM</w:t>
      </w:r>
      <w:r w:rsidRPr="002A7E6B">
        <w:rPr>
          <w:rStyle w:val="Emphasis"/>
          <w:rFonts w:cs="Arial"/>
          <w:i w:val="0"/>
          <w:szCs w:val="20"/>
          <w:lang w:val="ru-RU"/>
        </w:rPr>
        <w:tab/>
        <w:t>КВУУ</w:t>
      </w:r>
      <w:r w:rsidRPr="002A7E6B">
        <w:rPr>
          <w:rStyle w:val="Emphasis"/>
          <w:rFonts w:cs="Arial"/>
          <w:i w:val="0"/>
          <w:szCs w:val="20"/>
          <w:lang w:val="ru-RU"/>
        </w:rPr>
        <w:tab/>
        <w:t>Комитет высокого уровня по вопросам управления</w:t>
      </w:r>
    </w:p>
    <w:p w:rsidR="00C61544" w:rsidRPr="006500B4" w:rsidRDefault="00C61544" w:rsidP="00C61544">
      <w:pPr>
        <w:tabs>
          <w:tab w:val="left" w:pos="2127"/>
        </w:tabs>
        <w:spacing w:after="40"/>
        <w:ind w:left="3969" w:hanging="3969"/>
        <w:rPr>
          <w:rFonts w:cs="Arial"/>
          <w:szCs w:val="20"/>
          <w:lang w:val="ru-RU"/>
        </w:rPr>
      </w:pPr>
      <w:r w:rsidRPr="00571B77">
        <w:rPr>
          <w:rFonts w:cs="Arial"/>
          <w:szCs w:val="20"/>
        </w:rPr>
        <w:t>HR</w:t>
      </w:r>
      <w:r>
        <w:rPr>
          <w:rFonts w:cs="Arial"/>
          <w:szCs w:val="20"/>
          <w:lang w:val="ru-RU"/>
        </w:rPr>
        <w:tab/>
        <w:t>ЛР</w:t>
      </w:r>
      <w:r>
        <w:rPr>
          <w:rFonts w:cs="Arial"/>
          <w:szCs w:val="20"/>
          <w:lang w:val="ru-RU"/>
        </w:rPr>
        <w:tab/>
      </w:r>
      <w:r w:rsidRPr="006500B4">
        <w:rPr>
          <w:rFonts w:cs="Arial"/>
          <w:szCs w:val="20"/>
          <w:lang w:val="ru-RU"/>
        </w:rPr>
        <w:t>людские ресурсы</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lang w:val="fr-CH"/>
        </w:rPr>
        <w:t>HRMD</w:t>
      </w:r>
      <w:r w:rsidRPr="006500B4">
        <w:rPr>
          <w:rFonts w:cs="Arial"/>
          <w:szCs w:val="20"/>
          <w:lang w:val="ru-RU"/>
        </w:rPr>
        <w:tab/>
        <w:t>ДУЛР</w:t>
      </w:r>
      <w:r>
        <w:rPr>
          <w:rFonts w:cs="Arial"/>
          <w:szCs w:val="20"/>
          <w:lang w:val="ru-RU"/>
        </w:rPr>
        <w:tab/>
      </w:r>
      <w:r w:rsidRPr="006500B4">
        <w:rPr>
          <w:rFonts w:cs="Arial"/>
          <w:szCs w:val="20"/>
          <w:lang w:val="ru-RU"/>
        </w:rPr>
        <w:t>Департамент управления людскими ресурсами</w:t>
      </w:r>
    </w:p>
    <w:p w:rsidR="00C61544" w:rsidRPr="006500B4" w:rsidRDefault="00C61544" w:rsidP="00C61544">
      <w:pPr>
        <w:pStyle w:val="BlockText"/>
        <w:spacing w:after="120"/>
        <w:ind w:left="2126" w:hanging="2126"/>
        <w:rPr>
          <w:rFonts w:cs="Arial"/>
          <w:sz w:val="20"/>
          <w:lang w:val="ru-RU"/>
        </w:rPr>
      </w:pPr>
    </w:p>
    <w:p w:rsidR="00C61544" w:rsidRPr="00D40DA2" w:rsidRDefault="00C61544" w:rsidP="00C61544">
      <w:pPr>
        <w:tabs>
          <w:tab w:val="left" w:pos="2127"/>
        </w:tabs>
        <w:spacing w:after="40"/>
        <w:ind w:left="3969" w:hanging="3969"/>
        <w:rPr>
          <w:rFonts w:cs="Arial"/>
          <w:szCs w:val="20"/>
          <w:lang w:val="ru-RU"/>
        </w:rPr>
      </w:pPr>
      <w:r w:rsidRPr="00D40DA2">
        <w:rPr>
          <w:rFonts w:cs="Arial"/>
          <w:b/>
          <w:szCs w:val="20"/>
          <w:lang w:val="ru-RU"/>
        </w:rPr>
        <w:t>I</w:t>
      </w:r>
      <w:r w:rsidRPr="00D40DA2">
        <w:rPr>
          <w:rFonts w:cs="Arial"/>
          <w:szCs w:val="20"/>
          <w:lang w:val="ru-RU"/>
        </w:rPr>
        <w:t>B</w:t>
      </w:r>
      <w:r w:rsidRPr="00D40DA2">
        <w:rPr>
          <w:rFonts w:cs="Arial"/>
          <w:szCs w:val="20"/>
          <w:lang w:val="ru-RU"/>
        </w:rPr>
        <w:tab/>
      </w:r>
      <w:r>
        <w:rPr>
          <w:rFonts w:cs="Arial"/>
          <w:szCs w:val="20"/>
          <w:lang w:val="ru-RU"/>
        </w:rPr>
        <w:t>МБ</w:t>
      </w:r>
      <w:r>
        <w:rPr>
          <w:rFonts w:cs="Arial"/>
          <w:szCs w:val="20"/>
          <w:lang w:val="ru-RU"/>
        </w:rPr>
        <w:tab/>
      </w:r>
      <w:r w:rsidRPr="00D40DA2">
        <w:rPr>
          <w:rFonts w:cs="Arial"/>
          <w:szCs w:val="20"/>
          <w:lang w:val="ru-RU"/>
        </w:rPr>
        <w:t>Международное бюро</w:t>
      </w:r>
    </w:p>
    <w:p w:rsidR="00C61544" w:rsidRPr="006500B4" w:rsidRDefault="00C61544" w:rsidP="00C61544">
      <w:pPr>
        <w:tabs>
          <w:tab w:val="left" w:pos="2127"/>
        </w:tabs>
        <w:spacing w:after="40"/>
        <w:ind w:left="3969" w:hanging="3969"/>
        <w:rPr>
          <w:rFonts w:cs="Arial"/>
          <w:szCs w:val="20"/>
          <w:lang w:val="ru-RU"/>
        </w:rPr>
      </w:pPr>
      <w:r w:rsidRPr="00D40DA2">
        <w:rPr>
          <w:rFonts w:cs="Arial"/>
          <w:bCs/>
          <w:szCs w:val="20"/>
        </w:rPr>
        <w:t>I</w:t>
      </w:r>
      <w:r w:rsidRPr="006500B4">
        <w:rPr>
          <w:rFonts w:cs="Arial"/>
          <w:szCs w:val="20"/>
        </w:rPr>
        <w:t>AOC</w:t>
      </w:r>
      <w:r>
        <w:rPr>
          <w:rFonts w:cs="Arial"/>
          <w:szCs w:val="20"/>
          <w:lang w:val="ru-RU"/>
        </w:rPr>
        <w:tab/>
        <w:t>НККН</w:t>
      </w:r>
      <w:r>
        <w:rPr>
          <w:rFonts w:cs="Arial"/>
          <w:szCs w:val="20"/>
          <w:lang w:val="ru-RU"/>
        </w:rPr>
        <w:tab/>
      </w:r>
      <w:r w:rsidRPr="006500B4">
        <w:rPr>
          <w:rFonts w:cs="Arial"/>
          <w:szCs w:val="20"/>
          <w:lang w:val="ru-RU"/>
        </w:rPr>
        <w:t>Независимый консультативный комитет по надзору</w:t>
      </w:r>
    </w:p>
    <w:p w:rsidR="00C61544" w:rsidRPr="00684B31" w:rsidRDefault="00C61544" w:rsidP="00C61544">
      <w:pPr>
        <w:tabs>
          <w:tab w:val="left" w:pos="2127"/>
        </w:tabs>
        <w:spacing w:after="40"/>
        <w:ind w:left="3969" w:hanging="3969"/>
        <w:rPr>
          <w:rFonts w:cs="Arial"/>
          <w:szCs w:val="20"/>
          <w:lang w:val="ru-RU"/>
        </w:rPr>
      </w:pPr>
      <w:r w:rsidRPr="006500B4">
        <w:rPr>
          <w:rFonts w:cs="Arial"/>
          <w:szCs w:val="20"/>
        </w:rPr>
        <w:t>IOD</w:t>
      </w:r>
      <w:r w:rsidRPr="00684B31">
        <w:rPr>
          <w:rFonts w:cs="Arial"/>
          <w:szCs w:val="20"/>
          <w:lang w:val="ru-RU"/>
        </w:rPr>
        <w:tab/>
      </w:r>
      <w:r w:rsidRPr="006500B4">
        <w:rPr>
          <w:rFonts w:cs="Arial"/>
          <w:szCs w:val="20"/>
          <w:lang w:val="ru-RU"/>
        </w:rPr>
        <w:t>ОВН</w:t>
      </w:r>
      <w:r>
        <w:rPr>
          <w:rFonts w:cs="Arial"/>
          <w:szCs w:val="20"/>
          <w:lang w:val="ru-RU"/>
        </w:rPr>
        <w:tab/>
      </w:r>
      <w:r w:rsidRPr="006500B4">
        <w:rPr>
          <w:rFonts w:cs="Arial"/>
          <w:szCs w:val="20"/>
          <w:lang w:val="ru-RU"/>
        </w:rPr>
        <w:t>Отдел</w:t>
      </w:r>
      <w:r w:rsidRPr="00684B31">
        <w:rPr>
          <w:rFonts w:cs="Arial"/>
          <w:szCs w:val="20"/>
          <w:lang w:val="ru-RU"/>
        </w:rPr>
        <w:t xml:space="preserve"> </w:t>
      </w:r>
      <w:r w:rsidRPr="006500B4">
        <w:rPr>
          <w:rFonts w:cs="Arial"/>
          <w:szCs w:val="20"/>
          <w:lang w:val="ru-RU"/>
        </w:rPr>
        <w:t>внутреннего</w:t>
      </w:r>
      <w:r w:rsidRPr="00684B31">
        <w:rPr>
          <w:rFonts w:cs="Arial"/>
          <w:szCs w:val="20"/>
          <w:lang w:val="ru-RU"/>
        </w:rPr>
        <w:t xml:space="preserve"> </w:t>
      </w:r>
      <w:r w:rsidRPr="006500B4">
        <w:rPr>
          <w:rFonts w:cs="Arial"/>
          <w:szCs w:val="20"/>
          <w:lang w:val="ru-RU"/>
        </w:rPr>
        <w:t>надзора</w:t>
      </w:r>
      <w:r w:rsidRPr="00684B31">
        <w:rPr>
          <w:rFonts w:cs="Arial"/>
          <w:szCs w:val="20"/>
          <w:lang w:val="ru-RU"/>
        </w:rPr>
        <w:t xml:space="preserve"> </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ICANN</w:t>
      </w:r>
      <w:r w:rsidRPr="006500B4">
        <w:rPr>
          <w:rFonts w:cs="Arial"/>
          <w:szCs w:val="20"/>
          <w:lang w:val="ru-RU"/>
        </w:rPr>
        <w:tab/>
      </w:r>
      <w:r w:rsidRPr="006500B4">
        <w:rPr>
          <w:rFonts w:cs="Arial"/>
          <w:szCs w:val="20"/>
          <w:lang w:val="ru-RU"/>
        </w:rPr>
        <w:tab/>
        <w:t xml:space="preserve">Корпорация по присвоению имен и номеров в Интернете </w:t>
      </w:r>
    </w:p>
    <w:p w:rsidR="00C61544" w:rsidRDefault="00C61544" w:rsidP="00C61544">
      <w:pPr>
        <w:tabs>
          <w:tab w:val="left" w:pos="2127"/>
        </w:tabs>
        <w:spacing w:after="40"/>
        <w:ind w:left="3969" w:hanging="3969"/>
        <w:rPr>
          <w:rFonts w:cs="Arial"/>
          <w:szCs w:val="20"/>
          <w:lang w:val="ru-RU"/>
        </w:rPr>
      </w:pPr>
      <w:r w:rsidRPr="006500B4">
        <w:rPr>
          <w:rFonts w:cs="Arial"/>
          <w:szCs w:val="20"/>
        </w:rPr>
        <w:t>ICE</w:t>
      </w:r>
      <w:r w:rsidRPr="006500B4">
        <w:rPr>
          <w:rFonts w:cs="Arial"/>
          <w:szCs w:val="20"/>
          <w:lang w:val="ru-RU"/>
        </w:rPr>
        <w:tab/>
      </w:r>
      <w:r>
        <w:rPr>
          <w:rFonts w:cs="Arial"/>
          <w:szCs w:val="20"/>
          <w:lang w:val="ru-RU"/>
        </w:rPr>
        <w:tab/>
      </w:r>
      <w:r w:rsidRPr="006500B4">
        <w:rPr>
          <w:rFonts w:cs="Arial"/>
          <w:szCs w:val="20"/>
          <w:lang w:val="ru-RU"/>
        </w:rPr>
        <w:t>международное сотрудничество в области экспертизы</w:t>
      </w:r>
    </w:p>
    <w:p w:rsidR="00523F34" w:rsidRDefault="00523F34" w:rsidP="00523F34">
      <w:pPr>
        <w:tabs>
          <w:tab w:val="left" w:pos="2127"/>
        </w:tabs>
        <w:spacing w:after="40"/>
        <w:rPr>
          <w:bCs/>
          <w:lang w:val="ru-RU"/>
        </w:rPr>
      </w:pPr>
      <w:r w:rsidRPr="003100FD">
        <w:rPr>
          <w:bCs/>
        </w:rPr>
        <w:t>ICN</w:t>
      </w:r>
      <w:r w:rsidRPr="003100FD">
        <w:rPr>
          <w:bCs/>
          <w:lang w:val="ru-RU"/>
        </w:rPr>
        <w:tab/>
      </w:r>
      <w:r w:rsidR="003100FD" w:rsidRPr="003100FD">
        <w:rPr>
          <w:bCs/>
          <w:lang w:val="ru-RU"/>
        </w:rPr>
        <w:t>МКС</w:t>
      </w:r>
      <w:r w:rsidRPr="003100FD">
        <w:rPr>
          <w:bCs/>
          <w:lang w:val="ru-RU"/>
        </w:rPr>
        <w:tab/>
      </w:r>
      <w:r w:rsidRPr="003100FD">
        <w:rPr>
          <w:bCs/>
          <w:lang w:val="ru-RU"/>
        </w:rPr>
        <w:tab/>
      </w:r>
      <w:r w:rsidRPr="003100FD">
        <w:rPr>
          <w:bCs/>
          <w:lang w:val="ru-RU"/>
        </w:rPr>
        <w:tab/>
      </w:r>
      <w:r w:rsidR="003100FD" w:rsidRPr="003100FD">
        <w:rPr>
          <w:bCs/>
          <w:lang w:val="ru-RU"/>
        </w:rPr>
        <w:t>Международная конкурентная сеть</w:t>
      </w:r>
      <w:r w:rsidRPr="00523F34">
        <w:rPr>
          <w:bCs/>
          <w:lang w:val="ru-RU"/>
        </w:rPr>
        <w:t xml:space="preserve"> </w:t>
      </w:r>
    </w:p>
    <w:p w:rsidR="00C61544" w:rsidRPr="00523F34" w:rsidRDefault="00C61544" w:rsidP="00C61544">
      <w:pPr>
        <w:tabs>
          <w:tab w:val="left" w:pos="2127"/>
        </w:tabs>
        <w:spacing w:after="40"/>
        <w:ind w:left="3969" w:hanging="3969"/>
        <w:rPr>
          <w:rFonts w:cs="Arial"/>
          <w:szCs w:val="20"/>
          <w:lang w:val="ru-RU"/>
        </w:rPr>
      </w:pPr>
      <w:r w:rsidRPr="00523F34">
        <w:rPr>
          <w:rFonts w:cs="Arial"/>
          <w:szCs w:val="20"/>
        </w:rPr>
        <w:t>ICS</w:t>
      </w:r>
      <w:r w:rsidRPr="00523F34">
        <w:rPr>
          <w:rFonts w:cs="Arial"/>
          <w:szCs w:val="20"/>
          <w:lang w:val="ru-RU"/>
        </w:rPr>
        <w:tab/>
      </w:r>
      <w:r w:rsidRPr="00523F34">
        <w:rPr>
          <w:rFonts w:cs="Arial"/>
          <w:szCs w:val="20"/>
          <w:lang w:val="ru-RU"/>
        </w:rPr>
        <w:tab/>
      </w:r>
      <w:r>
        <w:rPr>
          <w:rFonts w:cs="Arial"/>
          <w:szCs w:val="20"/>
          <w:lang w:val="ru-RU"/>
        </w:rPr>
        <w:t>Индивидуальные</w:t>
      </w:r>
      <w:r w:rsidRPr="00523F34">
        <w:rPr>
          <w:rFonts w:cs="Arial"/>
          <w:szCs w:val="20"/>
          <w:lang w:val="ru-RU"/>
        </w:rPr>
        <w:t xml:space="preserve"> </w:t>
      </w:r>
      <w:r>
        <w:rPr>
          <w:rFonts w:cs="Arial"/>
          <w:szCs w:val="20"/>
          <w:lang w:val="ru-RU"/>
        </w:rPr>
        <w:t>услуги</w:t>
      </w:r>
      <w:r w:rsidRPr="00523F34">
        <w:rPr>
          <w:rFonts w:cs="Arial"/>
          <w:szCs w:val="20"/>
          <w:lang w:val="ru-RU"/>
        </w:rPr>
        <w:t xml:space="preserve"> </w:t>
      </w:r>
      <w:r>
        <w:rPr>
          <w:rFonts w:cs="Arial"/>
          <w:szCs w:val="20"/>
          <w:lang w:val="ru-RU"/>
        </w:rPr>
        <w:t>по</w:t>
      </w:r>
      <w:r w:rsidRPr="00523F34">
        <w:rPr>
          <w:rFonts w:cs="Arial"/>
          <w:szCs w:val="20"/>
          <w:lang w:val="ru-RU"/>
        </w:rPr>
        <w:t xml:space="preserve"> </w:t>
      </w:r>
      <w:r>
        <w:rPr>
          <w:rFonts w:cs="Arial"/>
          <w:szCs w:val="20"/>
          <w:lang w:val="ru-RU"/>
        </w:rPr>
        <w:t>контрактам</w:t>
      </w:r>
    </w:p>
    <w:p w:rsidR="00C61544" w:rsidRDefault="00C61544" w:rsidP="00C61544">
      <w:pPr>
        <w:tabs>
          <w:tab w:val="left" w:pos="2127"/>
        </w:tabs>
        <w:spacing w:after="40"/>
        <w:ind w:left="3969" w:hanging="3969"/>
        <w:rPr>
          <w:rFonts w:cs="Arial"/>
          <w:szCs w:val="20"/>
          <w:lang w:val="ru-RU"/>
        </w:rPr>
      </w:pPr>
      <w:r w:rsidRPr="006500B4">
        <w:rPr>
          <w:rFonts w:cs="Arial"/>
          <w:szCs w:val="20"/>
        </w:rPr>
        <w:t>ICT</w:t>
      </w:r>
      <w:r w:rsidRPr="006500B4">
        <w:rPr>
          <w:rFonts w:cs="Arial"/>
          <w:szCs w:val="20"/>
          <w:lang w:val="ru-RU"/>
        </w:rPr>
        <w:tab/>
        <w:t>ИКТ</w:t>
      </w:r>
      <w:r w:rsidRPr="006500B4">
        <w:rPr>
          <w:rFonts w:cs="Arial"/>
          <w:szCs w:val="20"/>
          <w:lang w:val="ru-RU"/>
        </w:rPr>
        <w:tab/>
        <w:t xml:space="preserve">информационно-коммуникационная технология </w:t>
      </w:r>
    </w:p>
    <w:p w:rsidR="00523F34" w:rsidRPr="003100FD" w:rsidRDefault="00523F34" w:rsidP="00523F34">
      <w:pPr>
        <w:tabs>
          <w:tab w:val="left" w:pos="2127"/>
        </w:tabs>
        <w:spacing w:after="40"/>
        <w:ind w:left="2127" w:hanging="2127"/>
        <w:rPr>
          <w:rFonts w:cs="Arial"/>
          <w:lang w:val="ru-RU"/>
        </w:rPr>
      </w:pPr>
      <w:r w:rsidRPr="003100FD">
        <w:rPr>
          <w:rFonts w:cs="Arial"/>
        </w:rPr>
        <w:t>IEEE</w:t>
      </w:r>
      <w:r w:rsidRPr="003100FD">
        <w:rPr>
          <w:rFonts w:cs="Arial"/>
          <w:lang w:val="ru-RU"/>
        </w:rPr>
        <w:tab/>
      </w:r>
      <w:r w:rsidRPr="003100FD">
        <w:rPr>
          <w:rFonts w:cs="Arial"/>
          <w:lang w:val="ru-RU"/>
        </w:rPr>
        <w:tab/>
      </w:r>
      <w:r w:rsidRPr="003100FD">
        <w:rPr>
          <w:rFonts w:cs="Arial"/>
          <w:lang w:val="ru-RU"/>
        </w:rPr>
        <w:tab/>
      </w:r>
      <w:r w:rsidRPr="003100FD">
        <w:rPr>
          <w:rFonts w:cs="Arial"/>
          <w:lang w:val="ru-RU"/>
        </w:rPr>
        <w:tab/>
      </w:r>
      <w:r w:rsidRPr="003100FD">
        <w:rPr>
          <w:rFonts w:cs="Arial"/>
          <w:lang w:val="ru-RU"/>
        </w:rPr>
        <w:tab/>
      </w:r>
      <w:r w:rsidR="003100FD" w:rsidRPr="003100FD">
        <w:rPr>
          <w:rFonts w:cs="Arial"/>
          <w:lang w:val="ru-RU"/>
        </w:rPr>
        <w:t>Институт инженеров электротехники и электроники</w:t>
      </w:r>
    </w:p>
    <w:p w:rsidR="00523F34" w:rsidRPr="00021681" w:rsidRDefault="00523F34" w:rsidP="00523F34">
      <w:pPr>
        <w:tabs>
          <w:tab w:val="left" w:pos="2127"/>
          <w:tab w:val="left" w:pos="3969"/>
        </w:tabs>
        <w:spacing w:after="40"/>
        <w:ind w:left="3969" w:hanging="3969"/>
        <w:rPr>
          <w:rFonts w:cs="Arial"/>
          <w:lang w:val="ru-RU"/>
        </w:rPr>
      </w:pPr>
      <w:r w:rsidRPr="00523F34">
        <w:rPr>
          <w:rStyle w:val="st"/>
        </w:rPr>
        <w:t>IFFRO</w:t>
      </w:r>
      <w:r w:rsidRPr="00021681">
        <w:rPr>
          <w:rStyle w:val="st"/>
          <w:lang w:val="ru-RU"/>
        </w:rPr>
        <w:tab/>
      </w:r>
      <w:r w:rsidRPr="00523F34">
        <w:rPr>
          <w:rStyle w:val="st"/>
          <w:lang w:val="ru-RU"/>
        </w:rPr>
        <w:t>ИФФРО</w:t>
      </w:r>
      <w:r w:rsidRPr="00021681">
        <w:rPr>
          <w:rStyle w:val="st"/>
          <w:lang w:val="ru-RU"/>
        </w:rPr>
        <w:tab/>
      </w:r>
      <w:r w:rsidRPr="00523F34">
        <w:rPr>
          <w:rStyle w:val="st"/>
          <w:lang w:val="ru-RU"/>
        </w:rPr>
        <w:t>Международная</w:t>
      </w:r>
      <w:r w:rsidRPr="00021681">
        <w:rPr>
          <w:rStyle w:val="st"/>
          <w:lang w:val="ru-RU"/>
        </w:rPr>
        <w:t xml:space="preserve"> </w:t>
      </w:r>
      <w:r w:rsidRPr="00523F34">
        <w:rPr>
          <w:rStyle w:val="st"/>
          <w:lang w:val="ru-RU"/>
        </w:rPr>
        <w:t>федерация</w:t>
      </w:r>
      <w:r w:rsidRPr="00021681">
        <w:rPr>
          <w:rStyle w:val="st"/>
          <w:lang w:val="ru-RU"/>
        </w:rPr>
        <w:t xml:space="preserve"> </w:t>
      </w:r>
      <w:r w:rsidRPr="00523F34">
        <w:rPr>
          <w:rStyle w:val="st"/>
          <w:lang w:val="ru-RU"/>
        </w:rPr>
        <w:t>организаций</w:t>
      </w:r>
      <w:r w:rsidRPr="00021681">
        <w:rPr>
          <w:rStyle w:val="st"/>
          <w:lang w:val="ru-RU"/>
        </w:rPr>
        <w:t xml:space="preserve"> </w:t>
      </w:r>
      <w:r w:rsidRPr="00523F34">
        <w:rPr>
          <w:rStyle w:val="st"/>
          <w:lang w:val="ru-RU"/>
        </w:rPr>
        <w:t>прав</w:t>
      </w:r>
      <w:r w:rsidRPr="00021681">
        <w:rPr>
          <w:rStyle w:val="st"/>
          <w:lang w:val="ru-RU"/>
        </w:rPr>
        <w:t xml:space="preserve"> </w:t>
      </w:r>
      <w:r w:rsidRPr="00523F34">
        <w:rPr>
          <w:rStyle w:val="st"/>
          <w:lang w:val="ru-RU"/>
        </w:rPr>
        <w:t>на</w:t>
      </w:r>
      <w:r w:rsidRPr="00021681">
        <w:rPr>
          <w:rStyle w:val="st"/>
          <w:lang w:val="ru-RU"/>
        </w:rPr>
        <w:t xml:space="preserve"> </w:t>
      </w:r>
      <w:r w:rsidRPr="00523F34">
        <w:rPr>
          <w:rStyle w:val="st"/>
          <w:lang w:val="ru-RU"/>
        </w:rPr>
        <w:t>репрографическое</w:t>
      </w:r>
      <w:r w:rsidRPr="00021681">
        <w:rPr>
          <w:rStyle w:val="st"/>
          <w:lang w:val="ru-RU"/>
        </w:rPr>
        <w:t xml:space="preserve"> </w:t>
      </w:r>
      <w:r w:rsidRPr="00523F34">
        <w:rPr>
          <w:rStyle w:val="st"/>
          <w:lang w:val="ru-RU"/>
        </w:rPr>
        <w:t>воспроизведение</w:t>
      </w:r>
      <w:r w:rsidRPr="00021681">
        <w:rPr>
          <w:rStyle w:val="st"/>
          <w:lang w:val="ru-RU"/>
        </w:rPr>
        <w:t xml:space="preserve"> </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IGC</w:t>
      </w:r>
      <w:r w:rsidRPr="006500B4">
        <w:rPr>
          <w:rFonts w:cs="Arial"/>
          <w:szCs w:val="20"/>
          <w:lang w:val="ru-RU"/>
        </w:rPr>
        <w:tab/>
      </w:r>
      <w:r>
        <w:rPr>
          <w:rFonts w:cs="Arial"/>
          <w:szCs w:val="20"/>
          <w:lang w:val="ru-RU"/>
        </w:rPr>
        <w:t>МКГР</w:t>
      </w:r>
      <w:r>
        <w:rPr>
          <w:rFonts w:cs="Arial"/>
          <w:szCs w:val="20"/>
          <w:lang w:val="ru-RU"/>
        </w:rPr>
        <w:tab/>
      </w:r>
      <w:r w:rsidRPr="006500B4">
        <w:rPr>
          <w:rFonts w:cs="Arial"/>
          <w:szCs w:val="20"/>
          <w:lang w:val="ru-RU"/>
        </w:rPr>
        <w:t xml:space="preserve">Межправительственный комитет по интеллектуальной собственности, генетическим ресурсам, традиционным знаниям и фольклору </w:t>
      </w:r>
    </w:p>
    <w:p w:rsidR="00C61544" w:rsidRPr="00D40DA2" w:rsidRDefault="00C61544" w:rsidP="00C61544">
      <w:pPr>
        <w:tabs>
          <w:tab w:val="left" w:pos="2127"/>
        </w:tabs>
        <w:spacing w:after="40"/>
        <w:ind w:left="3969" w:hanging="3969"/>
        <w:rPr>
          <w:rFonts w:cs="Arial"/>
          <w:szCs w:val="20"/>
          <w:lang w:val="ru-RU"/>
        </w:rPr>
      </w:pPr>
      <w:r w:rsidRPr="00D40DA2">
        <w:rPr>
          <w:rFonts w:cs="Arial"/>
          <w:szCs w:val="20"/>
          <w:lang w:val="ru-RU"/>
        </w:rPr>
        <w:t>IGF</w:t>
      </w:r>
      <w:r w:rsidRPr="00D40DA2">
        <w:rPr>
          <w:rFonts w:cs="Arial"/>
          <w:szCs w:val="20"/>
          <w:lang w:val="ru-RU"/>
        </w:rPr>
        <w:tab/>
      </w:r>
      <w:r>
        <w:rPr>
          <w:rFonts w:cs="Arial"/>
          <w:szCs w:val="20"/>
          <w:lang w:val="ru-RU"/>
        </w:rPr>
        <w:tab/>
        <w:t>Форум по вопросам управления интернетом</w:t>
      </w:r>
    </w:p>
    <w:p w:rsidR="00C61544" w:rsidRPr="00684B31" w:rsidRDefault="00C61544" w:rsidP="00C61544">
      <w:pPr>
        <w:tabs>
          <w:tab w:val="left" w:pos="2127"/>
        </w:tabs>
        <w:spacing w:after="40"/>
        <w:ind w:left="3969" w:hanging="3969"/>
        <w:rPr>
          <w:rFonts w:cs="Arial"/>
          <w:szCs w:val="20"/>
          <w:lang w:val="ru-RU"/>
        </w:rPr>
      </w:pPr>
      <w:r w:rsidRPr="006500B4">
        <w:rPr>
          <w:rFonts w:cs="Arial"/>
          <w:szCs w:val="20"/>
        </w:rPr>
        <w:t>IGOs</w:t>
      </w:r>
      <w:r w:rsidRPr="00684B31">
        <w:rPr>
          <w:rFonts w:cs="Arial"/>
          <w:szCs w:val="20"/>
          <w:lang w:val="ru-RU"/>
        </w:rPr>
        <w:tab/>
      </w:r>
      <w:r w:rsidRPr="006500B4">
        <w:rPr>
          <w:rFonts w:cs="Arial"/>
          <w:szCs w:val="20"/>
          <w:lang w:val="ru-RU"/>
        </w:rPr>
        <w:t>МПО</w:t>
      </w:r>
      <w:r w:rsidRPr="00684B31">
        <w:rPr>
          <w:rFonts w:cs="Arial"/>
          <w:szCs w:val="20"/>
          <w:lang w:val="ru-RU"/>
        </w:rPr>
        <w:tab/>
      </w:r>
      <w:r w:rsidRPr="006500B4">
        <w:rPr>
          <w:rFonts w:cs="Arial"/>
          <w:szCs w:val="20"/>
          <w:lang w:val="ru-RU"/>
        </w:rPr>
        <w:t>межправительственные</w:t>
      </w:r>
      <w:r w:rsidRPr="00684B31">
        <w:rPr>
          <w:rFonts w:cs="Arial"/>
          <w:szCs w:val="20"/>
          <w:lang w:val="ru-RU"/>
        </w:rPr>
        <w:t xml:space="preserve"> </w:t>
      </w:r>
      <w:r w:rsidRPr="006500B4">
        <w:rPr>
          <w:rFonts w:cs="Arial"/>
          <w:szCs w:val="20"/>
          <w:lang w:val="ru-RU"/>
        </w:rPr>
        <w:t>организации</w:t>
      </w:r>
    </w:p>
    <w:p w:rsidR="00C61544" w:rsidRPr="00684B31" w:rsidRDefault="00C61544" w:rsidP="00C61544">
      <w:pPr>
        <w:tabs>
          <w:tab w:val="left" w:pos="2127"/>
        </w:tabs>
        <w:spacing w:after="40"/>
        <w:ind w:left="3969" w:hanging="3969"/>
        <w:rPr>
          <w:rFonts w:cs="Arial"/>
          <w:szCs w:val="20"/>
          <w:lang w:val="ru-RU"/>
        </w:rPr>
      </w:pPr>
      <w:r w:rsidRPr="006500B4">
        <w:rPr>
          <w:rFonts w:cs="Arial"/>
          <w:szCs w:val="20"/>
        </w:rPr>
        <w:t>IIA</w:t>
      </w:r>
      <w:r w:rsidRPr="00684B31">
        <w:rPr>
          <w:rFonts w:cs="Arial"/>
          <w:szCs w:val="20"/>
          <w:lang w:val="ru-RU"/>
        </w:rPr>
        <w:tab/>
      </w:r>
      <w:r w:rsidRPr="00684B31">
        <w:rPr>
          <w:rFonts w:cs="Arial"/>
          <w:szCs w:val="20"/>
          <w:lang w:val="ru-RU"/>
        </w:rPr>
        <w:tab/>
      </w:r>
      <w:r w:rsidRPr="006500B4">
        <w:rPr>
          <w:rFonts w:cs="Arial"/>
          <w:szCs w:val="20"/>
          <w:lang w:val="ru-RU"/>
        </w:rPr>
        <w:t>Институт</w:t>
      </w:r>
      <w:r w:rsidRPr="00684B31">
        <w:rPr>
          <w:rFonts w:cs="Arial"/>
          <w:szCs w:val="20"/>
          <w:lang w:val="ru-RU"/>
        </w:rPr>
        <w:t xml:space="preserve"> </w:t>
      </w:r>
      <w:r w:rsidRPr="006500B4">
        <w:rPr>
          <w:rFonts w:cs="Arial"/>
          <w:szCs w:val="20"/>
          <w:lang w:val="ru-RU"/>
        </w:rPr>
        <w:t>внутренних</w:t>
      </w:r>
      <w:r w:rsidRPr="00684B31">
        <w:rPr>
          <w:rFonts w:cs="Arial"/>
          <w:szCs w:val="20"/>
          <w:lang w:val="ru-RU"/>
        </w:rPr>
        <w:t xml:space="preserve"> </w:t>
      </w:r>
      <w:r w:rsidRPr="006500B4">
        <w:rPr>
          <w:rFonts w:cs="Arial"/>
          <w:szCs w:val="20"/>
          <w:lang w:val="ru-RU"/>
        </w:rPr>
        <w:t>аудиторов</w:t>
      </w:r>
      <w:r w:rsidRPr="00684B31">
        <w:rPr>
          <w:rFonts w:cs="Arial"/>
          <w:szCs w:val="20"/>
          <w:lang w:val="ru-RU"/>
        </w:rPr>
        <w:t xml:space="preserve"> </w:t>
      </w:r>
    </w:p>
    <w:p w:rsidR="00C61544" w:rsidRPr="00D40DA2" w:rsidRDefault="00C61544" w:rsidP="00C61544">
      <w:pPr>
        <w:tabs>
          <w:tab w:val="left" w:pos="2127"/>
        </w:tabs>
        <w:spacing w:after="40"/>
        <w:ind w:left="3969" w:hanging="3969"/>
        <w:rPr>
          <w:rFonts w:cs="Arial"/>
          <w:szCs w:val="20"/>
          <w:lang w:val="ru-RU"/>
        </w:rPr>
      </w:pPr>
      <w:r w:rsidRPr="00D40DA2">
        <w:rPr>
          <w:rFonts w:cs="Arial"/>
          <w:szCs w:val="20"/>
          <w:lang w:val="ru-RU"/>
        </w:rPr>
        <w:t>ILO</w:t>
      </w:r>
      <w:r w:rsidRPr="00D40DA2">
        <w:rPr>
          <w:rFonts w:cs="Arial"/>
          <w:szCs w:val="20"/>
          <w:lang w:val="ru-RU"/>
        </w:rPr>
        <w:tab/>
        <w:t>МОТ</w:t>
      </w:r>
      <w:r w:rsidRPr="00D40DA2">
        <w:rPr>
          <w:rFonts w:cs="Arial"/>
          <w:szCs w:val="20"/>
          <w:lang w:val="ru-RU"/>
        </w:rPr>
        <w:tab/>
        <w:t>Международная организация труда</w:t>
      </w:r>
    </w:p>
    <w:p w:rsidR="00C61544" w:rsidRPr="00684B31" w:rsidRDefault="00C61544" w:rsidP="00C61544">
      <w:pPr>
        <w:tabs>
          <w:tab w:val="left" w:pos="2127"/>
        </w:tabs>
        <w:spacing w:after="40"/>
        <w:ind w:left="3969" w:hanging="3969"/>
        <w:rPr>
          <w:rFonts w:cs="Arial"/>
          <w:szCs w:val="20"/>
          <w:lang w:val="ru-RU"/>
        </w:rPr>
      </w:pPr>
      <w:r w:rsidRPr="006500B4">
        <w:rPr>
          <w:rFonts w:cs="Arial"/>
          <w:szCs w:val="20"/>
        </w:rPr>
        <w:t>IP</w:t>
      </w:r>
      <w:r w:rsidRPr="00684B31">
        <w:rPr>
          <w:rFonts w:cs="Arial"/>
          <w:szCs w:val="20"/>
          <w:lang w:val="ru-RU"/>
        </w:rPr>
        <w:tab/>
      </w:r>
      <w:r w:rsidRPr="006500B4">
        <w:rPr>
          <w:rFonts w:cs="Arial"/>
          <w:szCs w:val="20"/>
          <w:lang w:val="ru-RU"/>
        </w:rPr>
        <w:t>ИС</w:t>
      </w:r>
      <w:r w:rsidRPr="00684B31">
        <w:rPr>
          <w:rFonts w:cs="Arial"/>
          <w:szCs w:val="20"/>
          <w:lang w:val="ru-RU"/>
        </w:rPr>
        <w:tab/>
      </w:r>
      <w:r w:rsidRPr="006500B4">
        <w:rPr>
          <w:rFonts w:cs="Arial"/>
          <w:szCs w:val="20"/>
          <w:lang w:val="ru-RU"/>
        </w:rPr>
        <w:t>Интеллектуальная</w:t>
      </w:r>
      <w:r w:rsidRPr="00684B31">
        <w:rPr>
          <w:rFonts w:cs="Arial"/>
          <w:szCs w:val="20"/>
          <w:lang w:val="ru-RU"/>
        </w:rPr>
        <w:t xml:space="preserve"> </w:t>
      </w:r>
      <w:r w:rsidRPr="006500B4">
        <w:rPr>
          <w:rFonts w:cs="Arial"/>
          <w:szCs w:val="20"/>
          <w:lang w:val="ru-RU"/>
        </w:rPr>
        <w:t>собственность</w:t>
      </w:r>
    </w:p>
    <w:p w:rsidR="00C61544" w:rsidRPr="00F96BE0" w:rsidRDefault="00C61544" w:rsidP="00C61544">
      <w:pPr>
        <w:tabs>
          <w:tab w:val="left" w:pos="2127"/>
        </w:tabs>
        <w:spacing w:after="40"/>
        <w:ind w:left="3969" w:hanging="3969"/>
        <w:rPr>
          <w:rFonts w:cs="Arial"/>
          <w:szCs w:val="20"/>
          <w:lang w:val="ru-RU"/>
        </w:rPr>
      </w:pPr>
      <w:r w:rsidRPr="006500B4">
        <w:rPr>
          <w:rFonts w:cs="Arial"/>
          <w:szCs w:val="20"/>
          <w:lang w:val="en"/>
        </w:rPr>
        <w:t>IPAS</w:t>
      </w:r>
      <w:r w:rsidRPr="00684B31">
        <w:rPr>
          <w:rFonts w:cs="Arial"/>
          <w:szCs w:val="20"/>
          <w:lang w:val="ru-RU"/>
        </w:rPr>
        <w:tab/>
      </w:r>
      <w:r w:rsidRPr="00684B31">
        <w:rPr>
          <w:rFonts w:cs="Arial"/>
          <w:szCs w:val="20"/>
          <w:lang w:val="ru-RU"/>
        </w:rPr>
        <w:tab/>
      </w:r>
      <w:r>
        <w:rPr>
          <w:rFonts w:cs="Arial"/>
          <w:szCs w:val="20"/>
          <w:lang w:val="ru-RU"/>
        </w:rPr>
        <w:t>Система административного управления ведомством ИС</w:t>
      </w:r>
    </w:p>
    <w:p w:rsidR="00C61544" w:rsidRDefault="00C61544" w:rsidP="00C61544">
      <w:pPr>
        <w:tabs>
          <w:tab w:val="left" w:pos="2127"/>
        </w:tabs>
        <w:spacing w:after="40"/>
        <w:ind w:left="3969" w:hanging="3969"/>
        <w:rPr>
          <w:rFonts w:cs="Arial"/>
          <w:szCs w:val="20"/>
          <w:lang w:val="ru-RU"/>
        </w:rPr>
      </w:pPr>
      <w:r w:rsidRPr="006500B4">
        <w:rPr>
          <w:rFonts w:cs="Arial"/>
          <w:szCs w:val="20"/>
        </w:rPr>
        <w:t>IPC</w:t>
      </w:r>
      <w:r w:rsidRPr="00684B31">
        <w:rPr>
          <w:rFonts w:cs="Arial"/>
          <w:szCs w:val="20"/>
          <w:lang w:val="ru-RU"/>
        </w:rPr>
        <w:tab/>
      </w:r>
      <w:r w:rsidRPr="006500B4">
        <w:rPr>
          <w:rFonts w:cs="Arial"/>
          <w:szCs w:val="20"/>
          <w:lang w:val="ru-RU"/>
        </w:rPr>
        <w:t>МПК</w:t>
      </w:r>
      <w:r w:rsidRPr="00684B31">
        <w:rPr>
          <w:rFonts w:cs="Arial"/>
          <w:szCs w:val="20"/>
          <w:lang w:val="ru-RU"/>
        </w:rPr>
        <w:tab/>
      </w:r>
      <w:r w:rsidRPr="006500B4">
        <w:rPr>
          <w:rFonts w:cs="Arial"/>
          <w:szCs w:val="20"/>
          <w:lang w:val="ru-RU"/>
        </w:rPr>
        <w:t>Международная</w:t>
      </w:r>
      <w:r w:rsidRPr="00684B31">
        <w:rPr>
          <w:rFonts w:cs="Arial"/>
          <w:szCs w:val="20"/>
          <w:lang w:val="ru-RU"/>
        </w:rPr>
        <w:t xml:space="preserve"> </w:t>
      </w:r>
      <w:r w:rsidRPr="006500B4">
        <w:rPr>
          <w:rFonts w:cs="Arial"/>
          <w:szCs w:val="20"/>
          <w:lang w:val="ru-RU"/>
        </w:rPr>
        <w:t>патентная</w:t>
      </w:r>
      <w:r w:rsidRPr="00684B31">
        <w:rPr>
          <w:rFonts w:cs="Arial"/>
          <w:szCs w:val="20"/>
          <w:lang w:val="ru-RU"/>
        </w:rPr>
        <w:t xml:space="preserve"> </w:t>
      </w:r>
      <w:r w:rsidRPr="006500B4">
        <w:rPr>
          <w:rFonts w:cs="Arial"/>
          <w:szCs w:val="20"/>
          <w:lang w:val="ru-RU"/>
        </w:rPr>
        <w:t>классификация</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IPO</w:t>
      </w:r>
      <w:r w:rsidRPr="006500B4">
        <w:rPr>
          <w:rFonts w:cs="Arial"/>
          <w:szCs w:val="20"/>
          <w:lang w:val="ru-RU"/>
        </w:rPr>
        <w:tab/>
        <w:t>ВИС</w:t>
      </w:r>
      <w:r w:rsidRPr="006500B4">
        <w:rPr>
          <w:rFonts w:cs="Arial"/>
          <w:szCs w:val="20"/>
          <w:lang w:val="ru-RU"/>
        </w:rPr>
        <w:tab/>
        <w:t>ведомство интеллектуальной собственности</w:t>
      </w:r>
    </w:p>
    <w:p w:rsidR="00C61544" w:rsidRPr="00684B31" w:rsidRDefault="00C61544" w:rsidP="00C61544">
      <w:pPr>
        <w:tabs>
          <w:tab w:val="left" w:pos="2127"/>
        </w:tabs>
        <w:spacing w:after="40"/>
        <w:ind w:left="3969" w:hanging="3969"/>
        <w:rPr>
          <w:rFonts w:cs="Arial"/>
          <w:szCs w:val="20"/>
          <w:lang w:val="ru-RU"/>
        </w:rPr>
      </w:pPr>
      <w:r w:rsidRPr="006500B4">
        <w:rPr>
          <w:rFonts w:cs="Arial"/>
          <w:szCs w:val="20"/>
        </w:rPr>
        <w:t>IPRs</w:t>
      </w:r>
      <w:r w:rsidRPr="00684B31">
        <w:rPr>
          <w:rFonts w:cs="Arial"/>
          <w:szCs w:val="20"/>
          <w:lang w:val="ru-RU"/>
        </w:rPr>
        <w:tab/>
      </w:r>
      <w:r w:rsidRPr="006500B4">
        <w:rPr>
          <w:rFonts w:cs="Arial"/>
          <w:szCs w:val="20"/>
          <w:lang w:val="ru-RU"/>
        </w:rPr>
        <w:t>ПИС</w:t>
      </w:r>
      <w:r w:rsidRPr="00684B31">
        <w:rPr>
          <w:rFonts w:cs="Arial"/>
          <w:szCs w:val="20"/>
          <w:lang w:val="ru-RU"/>
        </w:rPr>
        <w:tab/>
      </w:r>
      <w:r w:rsidRPr="006500B4">
        <w:rPr>
          <w:rFonts w:cs="Arial"/>
          <w:szCs w:val="20"/>
          <w:lang w:val="ru-RU"/>
        </w:rPr>
        <w:t>права</w:t>
      </w:r>
      <w:r w:rsidRPr="00684B31">
        <w:rPr>
          <w:rFonts w:cs="Arial"/>
          <w:szCs w:val="20"/>
          <w:lang w:val="ru-RU"/>
        </w:rPr>
        <w:t xml:space="preserve"> </w:t>
      </w:r>
      <w:r w:rsidRPr="006500B4">
        <w:rPr>
          <w:rFonts w:cs="Arial"/>
          <w:szCs w:val="20"/>
          <w:lang w:val="ru-RU"/>
        </w:rPr>
        <w:t>интеллектуальной</w:t>
      </w:r>
      <w:r w:rsidRPr="00684B31">
        <w:rPr>
          <w:rFonts w:cs="Arial"/>
          <w:szCs w:val="20"/>
          <w:lang w:val="ru-RU"/>
        </w:rPr>
        <w:t xml:space="preserve"> </w:t>
      </w:r>
      <w:r w:rsidRPr="006500B4">
        <w:rPr>
          <w:rFonts w:cs="Arial"/>
          <w:szCs w:val="20"/>
          <w:lang w:val="ru-RU"/>
        </w:rPr>
        <w:t>собственности</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IPSAS</w:t>
      </w:r>
      <w:r w:rsidRPr="006500B4">
        <w:rPr>
          <w:rFonts w:cs="Arial"/>
          <w:szCs w:val="20"/>
          <w:lang w:val="ru-RU"/>
        </w:rPr>
        <w:tab/>
        <w:t>МСУГС</w:t>
      </w:r>
      <w:r w:rsidRPr="006500B4">
        <w:rPr>
          <w:rFonts w:cs="Arial"/>
          <w:szCs w:val="20"/>
          <w:lang w:val="ru-RU"/>
        </w:rPr>
        <w:tab/>
        <w:t>Международные стандарты учета в государственном секторе</w:t>
      </w:r>
    </w:p>
    <w:p w:rsidR="00C61544" w:rsidRDefault="00C61544" w:rsidP="00C61544">
      <w:pPr>
        <w:tabs>
          <w:tab w:val="left" w:pos="2127"/>
        </w:tabs>
        <w:spacing w:after="40"/>
        <w:ind w:left="3969" w:hanging="3969"/>
        <w:rPr>
          <w:rFonts w:cs="Arial"/>
          <w:szCs w:val="20"/>
          <w:lang w:val="ru-RU"/>
        </w:rPr>
      </w:pPr>
      <w:r w:rsidRPr="006500B4">
        <w:rPr>
          <w:rFonts w:cs="Arial"/>
          <w:szCs w:val="20"/>
        </w:rPr>
        <w:t>IT</w:t>
      </w:r>
      <w:r w:rsidRPr="006500B4">
        <w:rPr>
          <w:rFonts w:cs="Arial"/>
          <w:szCs w:val="20"/>
          <w:lang w:val="ru-RU"/>
        </w:rPr>
        <w:tab/>
        <w:t>ИТ</w:t>
      </w:r>
      <w:r w:rsidRPr="006500B4">
        <w:rPr>
          <w:rFonts w:cs="Arial"/>
          <w:szCs w:val="20"/>
          <w:lang w:val="ru-RU"/>
        </w:rPr>
        <w:tab/>
        <w:t>информационная технология</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ITIL</w:t>
      </w:r>
      <w:r w:rsidRPr="006500B4">
        <w:rPr>
          <w:rFonts w:cs="Arial"/>
          <w:szCs w:val="20"/>
          <w:lang w:val="ru-RU"/>
        </w:rPr>
        <w:tab/>
        <w:t>ИБИТ</w:t>
      </w:r>
      <w:r>
        <w:rPr>
          <w:rFonts w:cs="Arial"/>
          <w:szCs w:val="20"/>
          <w:lang w:val="ru-RU"/>
        </w:rPr>
        <w:tab/>
      </w:r>
      <w:r w:rsidRPr="006500B4">
        <w:rPr>
          <w:rFonts w:cs="Arial"/>
          <w:szCs w:val="20"/>
          <w:lang w:val="ru-RU"/>
        </w:rPr>
        <w:t>инфраструктурная библиотека информационных технологий</w:t>
      </w:r>
    </w:p>
    <w:p w:rsidR="00C61544" w:rsidRPr="00684B31" w:rsidRDefault="00C61544" w:rsidP="00C61544">
      <w:pPr>
        <w:tabs>
          <w:tab w:val="left" w:pos="2127"/>
        </w:tabs>
        <w:spacing w:after="40"/>
        <w:ind w:left="3969" w:hanging="3969"/>
        <w:rPr>
          <w:rFonts w:cs="Arial"/>
          <w:szCs w:val="20"/>
          <w:lang w:val="ru-RU"/>
        </w:rPr>
      </w:pPr>
      <w:r w:rsidRPr="006500B4">
        <w:rPr>
          <w:rFonts w:cs="Arial"/>
          <w:szCs w:val="20"/>
        </w:rPr>
        <w:t>ITU</w:t>
      </w:r>
      <w:r w:rsidRPr="00684B31">
        <w:rPr>
          <w:rFonts w:cs="Arial"/>
          <w:szCs w:val="20"/>
          <w:lang w:val="ru-RU"/>
        </w:rPr>
        <w:tab/>
      </w:r>
      <w:r w:rsidRPr="006500B4">
        <w:rPr>
          <w:rFonts w:cs="Arial"/>
          <w:szCs w:val="20"/>
          <w:lang w:val="ru-RU"/>
        </w:rPr>
        <w:t>МСЭ</w:t>
      </w:r>
      <w:r w:rsidRPr="00684B31">
        <w:rPr>
          <w:rFonts w:cs="Arial"/>
          <w:szCs w:val="20"/>
          <w:lang w:val="ru-RU"/>
        </w:rPr>
        <w:tab/>
      </w:r>
      <w:r w:rsidRPr="006500B4">
        <w:rPr>
          <w:rFonts w:cs="Arial"/>
          <w:snapToGrid w:val="0"/>
          <w:szCs w:val="20"/>
          <w:lang w:val="ru-RU"/>
        </w:rPr>
        <w:t>Международный</w:t>
      </w:r>
      <w:r w:rsidRPr="00684B31">
        <w:rPr>
          <w:rFonts w:cs="Arial"/>
          <w:snapToGrid w:val="0"/>
          <w:szCs w:val="20"/>
          <w:lang w:val="ru-RU"/>
        </w:rPr>
        <w:t xml:space="preserve"> </w:t>
      </w:r>
      <w:r w:rsidRPr="006500B4">
        <w:rPr>
          <w:rFonts w:cs="Arial"/>
          <w:snapToGrid w:val="0"/>
          <w:szCs w:val="20"/>
          <w:lang w:val="ru-RU"/>
        </w:rPr>
        <w:t>союз</w:t>
      </w:r>
      <w:r w:rsidRPr="00684B31">
        <w:rPr>
          <w:rFonts w:cs="Arial"/>
          <w:snapToGrid w:val="0"/>
          <w:szCs w:val="20"/>
          <w:lang w:val="ru-RU"/>
        </w:rPr>
        <w:t xml:space="preserve"> </w:t>
      </w:r>
      <w:r w:rsidRPr="006500B4">
        <w:rPr>
          <w:rFonts w:cs="Arial"/>
          <w:snapToGrid w:val="0"/>
          <w:szCs w:val="20"/>
          <w:lang w:val="ru-RU"/>
        </w:rPr>
        <w:t>электросвязи</w:t>
      </w:r>
    </w:p>
    <w:p w:rsidR="00C61544" w:rsidRPr="00684B31" w:rsidRDefault="00C61544" w:rsidP="00C61544">
      <w:pPr>
        <w:pStyle w:val="BlockText"/>
        <w:spacing w:after="120"/>
        <w:ind w:left="2126" w:hanging="2126"/>
        <w:rPr>
          <w:rFonts w:cs="Arial"/>
          <w:sz w:val="20"/>
          <w:lang w:val="ru-RU"/>
        </w:rPr>
      </w:pPr>
    </w:p>
    <w:p w:rsidR="00C61544" w:rsidRPr="00D40DA2" w:rsidRDefault="00C61544" w:rsidP="00C61544">
      <w:pPr>
        <w:tabs>
          <w:tab w:val="left" w:pos="2127"/>
        </w:tabs>
        <w:spacing w:after="40"/>
        <w:ind w:left="3969" w:hanging="3969"/>
        <w:rPr>
          <w:rFonts w:cs="Arial"/>
          <w:snapToGrid w:val="0"/>
          <w:szCs w:val="20"/>
          <w:lang w:val="ru-RU"/>
        </w:rPr>
      </w:pPr>
      <w:r w:rsidRPr="00D40DA2">
        <w:rPr>
          <w:rFonts w:cs="Arial"/>
          <w:b/>
          <w:snapToGrid w:val="0"/>
          <w:szCs w:val="20"/>
          <w:lang w:val="ru-RU"/>
        </w:rPr>
        <w:t>J</w:t>
      </w:r>
      <w:r w:rsidRPr="00D40DA2">
        <w:rPr>
          <w:rFonts w:cs="Arial"/>
          <w:snapToGrid w:val="0"/>
          <w:szCs w:val="20"/>
          <w:lang w:val="ru-RU"/>
        </w:rPr>
        <w:t>AG</w:t>
      </w:r>
      <w:r w:rsidRPr="00D40DA2">
        <w:rPr>
          <w:rFonts w:cs="Arial"/>
          <w:snapToGrid w:val="0"/>
          <w:szCs w:val="20"/>
          <w:lang w:val="ru-RU"/>
        </w:rPr>
        <w:tab/>
      </w:r>
      <w:r w:rsidRPr="00D40DA2">
        <w:rPr>
          <w:rFonts w:cs="Arial"/>
          <w:snapToGrid w:val="0"/>
          <w:szCs w:val="20"/>
          <w:lang w:val="ru-RU"/>
        </w:rPr>
        <w:tab/>
        <w:t xml:space="preserve">Объединенная консультативная группа </w:t>
      </w:r>
    </w:p>
    <w:p w:rsidR="00C61544" w:rsidRPr="006500B4" w:rsidRDefault="00C61544" w:rsidP="00C61544">
      <w:pPr>
        <w:tabs>
          <w:tab w:val="left" w:pos="2127"/>
        </w:tabs>
        <w:spacing w:after="120"/>
        <w:ind w:left="2126" w:hanging="2126"/>
        <w:rPr>
          <w:rFonts w:cs="Arial"/>
          <w:b/>
          <w:bCs/>
          <w:szCs w:val="20"/>
          <w:lang w:val="ru-RU"/>
        </w:rPr>
      </w:pPr>
    </w:p>
    <w:p w:rsidR="00C61544" w:rsidRDefault="00C61544" w:rsidP="00C61544">
      <w:pPr>
        <w:tabs>
          <w:tab w:val="left" w:pos="2127"/>
        </w:tabs>
        <w:spacing w:after="40"/>
        <w:ind w:left="3969" w:hanging="3969"/>
        <w:rPr>
          <w:rFonts w:cs="Arial"/>
          <w:szCs w:val="20"/>
          <w:lang w:val="ru-RU"/>
        </w:rPr>
      </w:pPr>
      <w:r w:rsidRPr="006500B4">
        <w:rPr>
          <w:rFonts w:cs="Arial"/>
          <w:b/>
          <w:bCs/>
          <w:szCs w:val="20"/>
        </w:rPr>
        <w:t>L</w:t>
      </w:r>
      <w:r w:rsidRPr="006500B4">
        <w:rPr>
          <w:rFonts w:cs="Arial"/>
          <w:szCs w:val="20"/>
        </w:rPr>
        <w:t>DCs</w:t>
      </w:r>
      <w:r w:rsidRPr="006500B4">
        <w:rPr>
          <w:rFonts w:cs="Arial"/>
          <w:szCs w:val="20"/>
          <w:lang w:val="ru-RU"/>
        </w:rPr>
        <w:tab/>
      </w:r>
      <w:r w:rsidRPr="006500B4">
        <w:rPr>
          <w:rFonts w:cs="Arial"/>
          <w:snapToGrid w:val="0"/>
          <w:szCs w:val="20"/>
          <w:lang w:val="ru-RU"/>
        </w:rPr>
        <w:t>НРС</w:t>
      </w:r>
      <w:r>
        <w:rPr>
          <w:rFonts w:cs="Arial"/>
          <w:szCs w:val="20"/>
          <w:lang w:val="ru-RU"/>
        </w:rPr>
        <w:tab/>
      </w:r>
      <w:r w:rsidRPr="006500B4">
        <w:rPr>
          <w:rFonts w:cs="Arial"/>
          <w:szCs w:val="20"/>
          <w:lang w:val="ru-RU"/>
        </w:rPr>
        <w:t>наименее развитые страны</w:t>
      </w:r>
    </w:p>
    <w:p w:rsidR="00C61544" w:rsidRPr="00D40DA2" w:rsidRDefault="00C61544" w:rsidP="00C61544">
      <w:pPr>
        <w:tabs>
          <w:tab w:val="left" w:pos="2127"/>
        </w:tabs>
        <w:spacing w:after="40"/>
        <w:ind w:left="3969" w:hanging="3969"/>
        <w:rPr>
          <w:rFonts w:cs="Arial"/>
          <w:szCs w:val="20"/>
          <w:lang w:val="ru-RU"/>
        </w:rPr>
      </w:pPr>
      <w:r w:rsidRPr="00D40DA2">
        <w:rPr>
          <w:rFonts w:cs="Arial"/>
          <w:szCs w:val="20"/>
          <w:lang w:val="ru-RU"/>
        </w:rPr>
        <w:t>LTSEs</w:t>
      </w:r>
      <w:r w:rsidRPr="00D40DA2">
        <w:rPr>
          <w:rFonts w:cs="Arial"/>
          <w:szCs w:val="20"/>
          <w:lang w:val="ru-RU"/>
        </w:rPr>
        <w:tab/>
      </w:r>
      <w:r w:rsidRPr="00D40DA2">
        <w:rPr>
          <w:rFonts w:cs="Arial"/>
          <w:szCs w:val="20"/>
          <w:lang w:val="ru-RU"/>
        </w:rPr>
        <w:tab/>
      </w:r>
      <w:r>
        <w:rPr>
          <w:rFonts w:cs="Arial"/>
          <w:szCs w:val="20"/>
          <w:lang w:val="ru-RU"/>
        </w:rPr>
        <w:t>сотрудники, работающие в течение длительного времени по краткосрочным контрактам</w:t>
      </w:r>
    </w:p>
    <w:p w:rsidR="00C61544" w:rsidRPr="006500B4" w:rsidRDefault="00C61544" w:rsidP="00C61544">
      <w:pPr>
        <w:tabs>
          <w:tab w:val="left" w:pos="2127"/>
        </w:tabs>
        <w:spacing w:after="120"/>
        <w:ind w:left="3969" w:hanging="3969"/>
        <w:rPr>
          <w:rFonts w:cs="Arial"/>
          <w:szCs w:val="20"/>
          <w:lang w:val="ru-RU"/>
        </w:rPr>
      </w:pPr>
    </w:p>
    <w:p w:rsidR="00C61544" w:rsidRPr="006500B4" w:rsidRDefault="00C61544" w:rsidP="00C61544">
      <w:pPr>
        <w:tabs>
          <w:tab w:val="left" w:pos="2127"/>
        </w:tabs>
        <w:spacing w:after="40"/>
        <w:ind w:left="3969" w:hanging="3969"/>
        <w:rPr>
          <w:rFonts w:cs="Arial"/>
          <w:szCs w:val="20"/>
          <w:lang w:val="ru-RU"/>
        </w:rPr>
      </w:pPr>
      <w:r w:rsidRPr="006500B4">
        <w:rPr>
          <w:rFonts w:cs="Arial"/>
          <w:b/>
          <w:bCs/>
          <w:szCs w:val="20"/>
        </w:rPr>
        <w:t>M</w:t>
      </w:r>
      <w:r w:rsidRPr="006500B4">
        <w:rPr>
          <w:rFonts w:cs="Arial"/>
          <w:szCs w:val="20"/>
        </w:rPr>
        <w:t>DGs</w:t>
      </w:r>
      <w:r w:rsidRPr="006500B4">
        <w:rPr>
          <w:rFonts w:cs="Arial"/>
          <w:szCs w:val="20"/>
          <w:lang w:val="ru-RU"/>
        </w:rPr>
        <w:tab/>
        <w:t>ЦРТ</w:t>
      </w:r>
      <w:r w:rsidRPr="006500B4">
        <w:rPr>
          <w:rFonts w:cs="Arial"/>
          <w:szCs w:val="20"/>
          <w:lang w:val="ru-RU"/>
        </w:rPr>
        <w:tab/>
      </w:r>
      <w:r w:rsidRPr="006500B4">
        <w:rPr>
          <w:rFonts w:cs="Arial"/>
          <w:snapToGrid w:val="0"/>
          <w:szCs w:val="20"/>
          <w:lang w:val="ru-RU"/>
        </w:rPr>
        <w:t>Цели развития тысячелетия</w:t>
      </w:r>
    </w:p>
    <w:p w:rsidR="00C61544" w:rsidRPr="00D40DA2" w:rsidRDefault="00C61544" w:rsidP="00C61544">
      <w:pPr>
        <w:tabs>
          <w:tab w:val="left" w:pos="2127"/>
        </w:tabs>
        <w:spacing w:after="40"/>
        <w:ind w:left="3969" w:hanging="3969"/>
        <w:rPr>
          <w:rFonts w:cs="Arial"/>
          <w:szCs w:val="20"/>
          <w:lang w:val="ru-RU"/>
        </w:rPr>
      </w:pPr>
      <w:r w:rsidRPr="00102433">
        <w:rPr>
          <w:rFonts w:cs="Arial"/>
          <w:szCs w:val="20"/>
          <w:lang w:val="ru-RU"/>
        </w:rPr>
        <w:t>MoU</w:t>
      </w:r>
      <w:r w:rsidRPr="00102433">
        <w:rPr>
          <w:rFonts w:cs="Arial"/>
          <w:szCs w:val="20"/>
          <w:lang w:val="ru-RU"/>
        </w:rPr>
        <w:tab/>
        <w:t>МОД</w:t>
      </w:r>
      <w:r w:rsidRPr="00102433">
        <w:rPr>
          <w:rFonts w:cs="Arial"/>
          <w:szCs w:val="20"/>
          <w:lang w:val="ru-RU"/>
        </w:rPr>
        <w:tab/>
        <w:t>Меморандум о договоренностях</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MTSP</w:t>
      </w:r>
      <w:r w:rsidRPr="006500B4">
        <w:rPr>
          <w:rFonts w:cs="Arial"/>
          <w:szCs w:val="20"/>
          <w:lang w:val="ru-RU"/>
        </w:rPr>
        <w:tab/>
        <w:t>СССП</w:t>
      </w:r>
      <w:r w:rsidRPr="006500B4">
        <w:rPr>
          <w:rFonts w:cs="Arial"/>
          <w:szCs w:val="20"/>
          <w:lang w:val="ru-RU"/>
        </w:rPr>
        <w:tab/>
        <w:t xml:space="preserve">Среднесрочный стратегический план </w:t>
      </w:r>
    </w:p>
    <w:p w:rsidR="00C61544" w:rsidRPr="006500B4" w:rsidRDefault="00C61544" w:rsidP="00C61544">
      <w:pPr>
        <w:pStyle w:val="BlockText"/>
        <w:rPr>
          <w:rFonts w:cs="Arial"/>
          <w:sz w:val="20"/>
          <w:lang w:val="ru-RU"/>
        </w:rPr>
      </w:pPr>
    </w:p>
    <w:p w:rsidR="00C61544" w:rsidRDefault="00C61544" w:rsidP="00C61544">
      <w:pPr>
        <w:tabs>
          <w:tab w:val="left" w:pos="2127"/>
        </w:tabs>
        <w:spacing w:after="40"/>
        <w:ind w:left="3969" w:hanging="3969"/>
        <w:rPr>
          <w:rFonts w:cs="Arial"/>
          <w:szCs w:val="20"/>
          <w:lang w:val="ru-RU"/>
        </w:rPr>
      </w:pPr>
      <w:r w:rsidRPr="006500B4">
        <w:rPr>
          <w:rFonts w:cs="Arial"/>
          <w:b/>
          <w:bCs/>
          <w:szCs w:val="20"/>
        </w:rPr>
        <w:t>N</w:t>
      </w:r>
      <w:r w:rsidRPr="006500B4">
        <w:rPr>
          <w:rFonts w:cs="Arial"/>
          <w:szCs w:val="20"/>
        </w:rPr>
        <w:t>GOs</w:t>
      </w:r>
      <w:r w:rsidRPr="00684B31">
        <w:rPr>
          <w:rFonts w:cs="Arial"/>
          <w:szCs w:val="20"/>
          <w:lang w:val="ru-RU"/>
        </w:rPr>
        <w:tab/>
      </w:r>
      <w:r w:rsidRPr="006500B4">
        <w:rPr>
          <w:rFonts w:cs="Arial"/>
          <w:szCs w:val="20"/>
          <w:lang w:val="ru-RU"/>
        </w:rPr>
        <w:t>НПО</w:t>
      </w:r>
      <w:r w:rsidRPr="00684B31">
        <w:rPr>
          <w:rFonts w:cs="Arial"/>
          <w:szCs w:val="20"/>
          <w:lang w:val="ru-RU"/>
        </w:rPr>
        <w:tab/>
      </w:r>
      <w:r w:rsidRPr="006500B4">
        <w:rPr>
          <w:rFonts w:cs="Arial"/>
          <w:szCs w:val="20"/>
          <w:lang w:val="ru-RU"/>
        </w:rPr>
        <w:t>неправительственные</w:t>
      </w:r>
      <w:r w:rsidRPr="00684B31">
        <w:rPr>
          <w:rFonts w:cs="Arial"/>
          <w:szCs w:val="20"/>
          <w:lang w:val="ru-RU"/>
        </w:rPr>
        <w:t xml:space="preserve"> </w:t>
      </w:r>
      <w:r w:rsidRPr="006500B4">
        <w:rPr>
          <w:rFonts w:cs="Arial"/>
          <w:szCs w:val="20"/>
          <w:lang w:val="ru-RU"/>
        </w:rPr>
        <w:t>организации</w:t>
      </w:r>
    </w:p>
    <w:p w:rsidR="00C61544" w:rsidRPr="00DE01AF" w:rsidRDefault="00C61544" w:rsidP="00C61544">
      <w:pPr>
        <w:tabs>
          <w:tab w:val="left" w:pos="2127"/>
        </w:tabs>
        <w:spacing w:after="40"/>
        <w:ind w:left="3969" w:hanging="3969"/>
        <w:rPr>
          <w:rFonts w:cs="Arial"/>
          <w:szCs w:val="20"/>
          <w:lang w:val="ru-RU"/>
        </w:rPr>
      </w:pPr>
      <w:r w:rsidRPr="00DE01AF">
        <w:rPr>
          <w:rFonts w:cs="Arial"/>
          <w:szCs w:val="20"/>
          <w:lang w:val="ru-RU"/>
        </w:rPr>
        <w:t>NPO</w:t>
      </w:r>
      <w:r w:rsidRPr="00DE01AF">
        <w:rPr>
          <w:rFonts w:cs="Arial"/>
          <w:szCs w:val="20"/>
          <w:lang w:val="ru-RU"/>
        </w:rPr>
        <w:tab/>
      </w:r>
      <w:r>
        <w:rPr>
          <w:rFonts w:cs="Arial"/>
          <w:szCs w:val="20"/>
          <w:lang w:val="ru-RU"/>
        </w:rPr>
        <w:t>НСС</w:t>
      </w:r>
      <w:r w:rsidRPr="00DE01AF">
        <w:rPr>
          <w:rFonts w:cs="Arial"/>
          <w:szCs w:val="20"/>
          <w:lang w:val="ru-RU"/>
        </w:rPr>
        <w:tab/>
      </w:r>
      <w:r>
        <w:rPr>
          <w:rFonts w:cs="Arial"/>
          <w:szCs w:val="20"/>
          <w:lang w:val="ru-RU"/>
        </w:rPr>
        <w:t>Национальный сотрудник категории специалиста</w:t>
      </w:r>
      <w:r w:rsidRPr="00DE01AF">
        <w:rPr>
          <w:rFonts w:cs="Arial"/>
          <w:szCs w:val="20"/>
          <w:lang w:val="ru-RU"/>
        </w:rPr>
        <w:t xml:space="preserve"> </w:t>
      </w:r>
    </w:p>
    <w:p w:rsidR="00C61544" w:rsidRPr="00684B31" w:rsidRDefault="00C61544" w:rsidP="00C61544">
      <w:pPr>
        <w:tabs>
          <w:tab w:val="left" w:pos="2127"/>
        </w:tabs>
        <w:spacing w:after="120"/>
        <w:ind w:left="3969" w:hanging="3969"/>
        <w:rPr>
          <w:rFonts w:cs="Arial"/>
          <w:szCs w:val="20"/>
          <w:lang w:val="ru-RU"/>
        </w:rPr>
      </w:pPr>
    </w:p>
    <w:p w:rsidR="00C61544" w:rsidRDefault="00C61544" w:rsidP="00C61544">
      <w:pPr>
        <w:tabs>
          <w:tab w:val="left" w:pos="2127"/>
        </w:tabs>
        <w:spacing w:after="40"/>
        <w:ind w:left="3969" w:hanging="3969"/>
        <w:rPr>
          <w:rFonts w:cs="Arial"/>
          <w:szCs w:val="20"/>
          <w:lang w:val="ru-RU"/>
        </w:rPr>
      </w:pPr>
      <w:r w:rsidRPr="00DE01AF">
        <w:rPr>
          <w:rFonts w:cs="Arial"/>
          <w:b/>
          <w:szCs w:val="20"/>
          <w:lang w:val="fr-CH"/>
        </w:rPr>
        <w:t>O</w:t>
      </w:r>
      <w:r w:rsidRPr="00DE01AF">
        <w:rPr>
          <w:rFonts w:cs="Arial"/>
          <w:szCs w:val="20"/>
          <w:lang w:val="fr-CH"/>
        </w:rPr>
        <w:t>API</w:t>
      </w:r>
      <w:r w:rsidRPr="00DE01AF">
        <w:rPr>
          <w:rFonts w:cs="Arial"/>
          <w:szCs w:val="20"/>
          <w:lang w:val="ru-RU"/>
        </w:rPr>
        <w:tab/>
      </w:r>
      <w:r>
        <w:rPr>
          <w:rFonts w:cs="Arial"/>
          <w:szCs w:val="20"/>
          <w:lang w:val="ru-RU"/>
        </w:rPr>
        <w:t>АОИС</w:t>
      </w:r>
      <w:r w:rsidRPr="00DE01AF">
        <w:rPr>
          <w:rFonts w:cs="Arial"/>
          <w:szCs w:val="20"/>
          <w:lang w:val="ru-RU"/>
        </w:rPr>
        <w:tab/>
      </w:r>
      <w:r>
        <w:rPr>
          <w:rFonts w:cs="Arial"/>
          <w:szCs w:val="20"/>
          <w:lang w:val="ru-RU"/>
        </w:rPr>
        <w:t xml:space="preserve">Африканская организация интеллектуальной собственности </w:t>
      </w:r>
    </w:p>
    <w:p w:rsidR="00C61544" w:rsidRDefault="00C61544" w:rsidP="00C61544">
      <w:pPr>
        <w:tabs>
          <w:tab w:val="left" w:pos="2127"/>
        </w:tabs>
        <w:spacing w:after="40"/>
        <w:ind w:left="3969" w:hanging="3969"/>
        <w:rPr>
          <w:rFonts w:cs="Arial"/>
          <w:szCs w:val="20"/>
          <w:lang w:val="ru-RU"/>
        </w:rPr>
      </w:pPr>
      <w:r w:rsidRPr="00DE01AF">
        <w:rPr>
          <w:rFonts w:cs="Arial"/>
          <w:szCs w:val="20"/>
        </w:rPr>
        <w:t>OECD</w:t>
      </w:r>
      <w:r w:rsidRPr="00DE01AF">
        <w:rPr>
          <w:rFonts w:cs="Arial"/>
          <w:szCs w:val="20"/>
          <w:lang w:val="ru-RU"/>
        </w:rPr>
        <w:tab/>
      </w:r>
      <w:r>
        <w:rPr>
          <w:rFonts w:cs="Arial"/>
          <w:szCs w:val="20"/>
          <w:lang w:val="ru-RU"/>
        </w:rPr>
        <w:t>ОЭСР</w:t>
      </w:r>
      <w:r w:rsidRPr="00DE01AF">
        <w:rPr>
          <w:rFonts w:cs="Arial"/>
          <w:szCs w:val="20"/>
          <w:lang w:val="ru-RU"/>
        </w:rPr>
        <w:tab/>
      </w:r>
      <w:r>
        <w:rPr>
          <w:rFonts w:cs="Arial"/>
          <w:szCs w:val="20"/>
          <w:lang w:val="ru-RU"/>
        </w:rPr>
        <w:t>Организация экономического сотрудничества и развития</w:t>
      </w:r>
    </w:p>
    <w:p w:rsidR="00523F34" w:rsidRPr="00523F34" w:rsidRDefault="00523F34" w:rsidP="00523F34">
      <w:pPr>
        <w:tabs>
          <w:tab w:val="left" w:pos="2127"/>
        </w:tabs>
        <w:spacing w:after="40"/>
        <w:ind w:left="2127" w:hanging="2127"/>
        <w:rPr>
          <w:rFonts w:cs="Arial"/>
          <w:lang w:val="ru-RU"/>
        </w:rPr>
      </w:pPr>
      <w:r>
        <w:rPr>
          <w:rFonts w:eastAsia="SimSun" w:cs="Arial"/>
          <w:bCs/>
          <w:lang w:eastAsia="zh-CN"/>
        </w:rPr>
        <w:t>OECS</w:t>
      </w:r>
      <w:r w:rsidRPr="00523F34">
        <w:rPr>
          <w:rFonts w:eastAsia="SimSun" w:cs="Arial"/>
          <w:bCs/>
          <w:lang w:val="ru-RU" w:eastAsia="zh-CN"/>
        </w:rPr>
        <w:tab/>
      </w:r>
      <w:r w:rsidRPr="00523F34">
        <w:rPr>
          <w:rFonts w:eastAsia="SimSun" w:cs="Arial"/>
          <w:bCs/>
          <w:lang w:val="ru-RU" w:eastAsia="zh-CN"/>
        </w:rPr>
        <w:tab/>
      </w:r>
      <w:r w:rsidRPr="00523F34">
        <w:rPr>
          <w:rFonts w:eastAsia="SimSun" w:cs="Arial"/>
          <w:bCs/>
          <w:lang w:val="ru-RU" w:eastAsia="zh-CN"/>
        </w:rPr>
        <w:tab/>
      </w:r>
      <w:r w:rsidRPr="00523F34">
        <w:rPr>
          <w:rFonts w:eastAsia="SimSun" w:cs="Arial"/>
          <w:bCs/>
          <w:lang w:val="ru-RU" w:eastAsia="zh-CN"/>
        </w:rPr>
        <w:tab/>
      </w:r>
      <w:r w:rsidRPr="00523F34">
        <w:rPr>
          <w:rFonts w:eastAsia="SimSun" w:cs="Arial"/>
          <w:bCs/>
          <w:lang w:val="ru-RU" w:eastAsia="zh-CN"/>
        </w:rPr>
        <w:tab/>
      </w:r>
      <w:r>
        <w:rPr>
          <w:rFonts w:eastAsia="SimSun" w:cs="Arial"/>
          <w:bCs/>
          <w:lang w:val="ru-RU" w:eastAsia="zh-CN"/>
        </w:rPr>
        <w:t>Организация Восточно-карибских государств</w:t>
      </w:r>
    </w:p>
    <w:p w:rsidR="00523F34" w:rsidRPr="00523F34" w:rsidRDefault="00523F34" w:rsidP="00C61544">
      <w:pPr>
        <w:tabs>
          <w:tab w:val="left" w:pos="2127"/>
        </w:tabs>
        <w:spacing w:after="40"/>
        <w:ind w:left="3969" w:hanging="3969"/>
        <w:rPr>
          <w:rFonts w:cs="Arial"/>
          <w:szCs w:val="20"/>
          <w:lang w:val="ru-RU"/>
        </w:rPr>
      </w:pPr>
    </w:p>
    <w:p w:rsidR="00C61544" w:rsidRDefault="00C61544" w:rsidP="00C61544">
      <w:pPr>
        <w:tabs>
          <w:tab w:val="left" w:pos="2127"/>
        </w:tabs>
        <w:spacing w:after="40"/>
        <w:ind w:left="3969" w:hanging="3969"/>
        <w:rPr>
          <w:rFonts w:cs="Arial"/>
          <w:szCs w:val="20"/>
          <w:lang w:val="ru-RU"/>
        </w:rPr>
      </w:pPr>
      <w:r w:rsidRPr="00DE01AF">
        <w:rPr>
          <w:rFonts w:cs="Arial"/>
          <w:szCs w:val="20"/>
        </w:rPr>
        <w:t>O</w:t>
      </w:r>
      <w:r w:rsidRPr="006500B4">
        <w:rPr>
          <w:rFonts w:cs="Arial"/>
          <w:szCs w:val="20"/>
        </w:rPr>
        <w:t>HIM</w:t>
      </w:r>
      <w:r w:rsidRPr="006500B4">
        <w:rPr>
          <w:rFonts w:cs="Arial"/>
          <w:szCs w:val="20"/>
          <w:lang w:val="ru-RU"/>
        </w:rPr>
        <w:tab/>
        <w:t>ВГВР</w:t>
      </w:r>
      <w:r w:rsidRPr="006500B4">
        <w:rPr>
          <w:rFonts w:cs="Arial"/>
          <w:szCs w:val="20"/>
          <w:lang w:val="ru-RU"/>
        </w:rPr>
        <w:tab/>
        <w:t>Ведомство по гармонизации на внутреннем рынке (товарные знаки Сообщества)</w:t>
      </w:r>
    </w:p>
    <w:p w:rsidR="00C61544" w:rsidRPr="00DE01AF" w:rsidRDefault="00C61544" w:rsidP="00C61544">
      <w:pPr>
        <w:tabs>
          <w:tab w:val="left" w:pos="2127"/>
        </w:tabs>
        <w:spacing w:after="40"/>
        <w:ind w:left="3969" w:hanging="3969"/>
        <w:rPr>
          <w:rFonts w:cs="Arial"/>
          <w:szCs w:val="20"/>
          <w:lang w:val="ru-RU"/>
        </w:rPr>
      </w:pPr>
      <w:r w:rsidRPr="00DE01AF">
        <w:rPr>
          <w:rFonts w:cs="Arial"/>
          <w:szCs w:val="20"/>
        </w:rPr>
        <w:t>OIC</w:t>
      </w:r>
      <w:r w:rsidRPr="0028479F">
        <w:rPr>
          <w:rFonts w:cs="Arial"/>
          <w:szCs w:val="20"/>
          <w:lang w:val="ru-RU"/>
        </w:rPr>
        <w:tab/>
      </w:r>
      <w:r w:rsidRPr="0028479F">
        <w:rPr>
          <w:rFonts w:cs="Arial"/>
          <w:szCs w:val="20"/>
          <w:lang w:val="ru-RU"/>
        </w:rPr>
        <w:tab/>
      </w:r>
      <w:r>
        <w:rPr>
          <w:rFonts w:cs="Arial"/>
          <w:szCs w:val="20"/>
          <w:lang w:val="ru-RU"/>
        </w:rPr>
        <w:t>Организация исламского сотрудничества</w:t>
      </w:r>
    </w:p>
    <w:p w:rsidR="00C61544" w:rsidRPr="0028479F" w:rsidRDefault="00C61544" w:rsidP="00C61544">
      <w:pPr>
        <w:tabs>
          <w:tab w:val="left" w:pos="2127"/>
        </w:tabs>
        <w:spacing w:after="40"/>
        <w:ind w:left="3969" w:hanging="3969"/>
        <w:rPr>
          <w:rFonts w:cs="Arial"/>
          <w:szCs w:val="20"/>
          <w:lang w:val="ru-RU"/>
        </w:rPr>
      </w:pPr>
      <w:r w:rsidRPr="00DE01AF">
        <w:rPr>
          <w:rFonts w:cs="Arial"/>
          <w:szCs w:val="20"/>
          <w:lang w:val="fr-CH"/>
        </w:rPr>
        <w:t>OIF</w:t>
      </w:r>
      <w:r w:rsidRPr="0028479F">
        <w:rPr>
          <w:rFonts w:cs="Arial"/>
          <w:szCs w:val="20"/>
          <w:lang w:val="ru-RU"/>
        </w:rPr>
        <w:tab/>
      </w:r>
      <w:r w:rsidRPr="0028479F">
        <w:rPr>
          <w:rFonts w:cs="Arial"/>
          <w:szCs w:val="20"/>
          <w:lang w:val="ru-RU"/>
        </w:rPr>
        <w:tab/>
      </w:r>
      <w:r>
        <w:rPr>
          <w:rFonts w:cs="Arial"/>
          <w:szCs w:val="20"/>
          <w:lang w:val="ru-RU"/>
        </w:rPr>
        <w:t>Международная организация франкофонии</w:t>
      </w:r>
    </w:p>
    <w:p w:rsidR="00C61544" w:rsidRPr="00DE01AF" w:rsidRDefault="00C61544" w:rsidP="00C61544">
      <w:pPr>
        <w:tabs>
          <w:tab w:val="left" w:pos="2127"/>
        </w:tabs>
        <w:spacing w:after="40"/>
        <w:ind w:left="3969" w:hanging="3969"/>
        <w:rPr>
          <w:rFonts w:cs="Arial"/>
          <w:szCs w:val="20"/>
          <w:lang w:val="ru-RU"/>
        </w:rPr>
      </w:pPr>
      <w:r w:rsidRPr="00102433">
        <w:rPr>
          <w:rFonts w:cs="Arial"/>
          <w:szCs w:val="20"/>
          <w:lang w:val="ru-RU"/>
        </w:rPr>
        <w:t>OPD</w:t>
      </w:r>
      <w:r w:rsidRPr="00102433">
        <w:rPr>
          <w:rFonts w:cs="Arial"/>
          <w:szCs w:val="20"/>
          <w:lang w:val="ru-RU"/>
        </w:rPr>
        <w:tab/>
      </w:r>
      <w:r w:rsidRPr="00102433">
        <w:rPr>
          <w:rFonts w:cs="Arial"/>
          <w:szCs w:val="20"/>
          <w:lang w:val="ru-RU"/>
        </w:rPr>
        <w:tab/>
        <w:t>Система «одного окна»</w:t>
      </w:r>
    </w:p>
    <w:p w:rsidR="00C61544" w:rsidRDefault="00C61544" w:rsidP="00C61544">
      <w:pPr>
        <w:tabs>
          <w:tab w:val="left" w:pos="2127"/>
        </w:tabs>
        <w:spacing w:after="120"/>
        <w:ind w:left="3969" w:hanging="3969"/>
        <w:rPr>
          <w:rFonts w:cs="Arial"/>
          <w:szCs w:val="20"/>
          <w:lang w:val="ru-RU"/>
        </w:rPr>
      </w:pPr>
    </w:p>
    <w:p w:rsidR="00C61544" w:rsidRDefault="00C61544" w:rsidP="00C61544">
      <w:pPr>
        <w:tabs>
          <w:tab w:val="left" w:pos="2127"/>
        </w:tabs>
        <w:spacing w:after="40"/>
        <w:ind w:left="3969" w:hanging="3969"/>
        <w:rPr>
          <w:rFonts w:cs="Arial"/>
          <w:szCs w:val="20"/>
          <w:lang w:val="ru-RU"/>
        </w:rPr>
      </w:pPr>
      <w:r w:rsidRPr="00102433">
        <w:rPr>
          <w:rFonts w:cs="Arial"/>
          <w:b/>
          <w:szCs w:val="20"/>
        </w:rPr>
        <w:t>P</w:t>
      </w:r>
      <w:r w:rsidRPr="006500B4">
        <w:rPr>
          <w:rFonts w:cs="Arial"/>
          <w:szCs w:val="20"/>
        </w:rPr>
        <w:t>CT</w:t>
      </w:r>
      <w:r w:rsidRPr="00F96BE0">
        <w:rPr>
          <w:rFonts w:cs="Arial"/>
          <w:szCs w:val="20"/>
          <w:lang w:val="ru-RU"/>
        </w:rPr>
        <w:tab/>
      </w:r>
      <w:r w:rsidRPr="00F96BE0">
        <w:rPr>
          <w:rFonts w:cs="Arial"/>
          <w:szCs w:val="20"/>
          <w:lang w:val="ru-RU"/>
        </w:rPr>
        <w:tab/>
      </w:r>
      <w:r w:rsidRPr="006500B4">
        <w:rPr>
          <w:rFonts w:cs="Arial"/>
          <w:szCs w:val="20"/>
          <w:lang w:val="ru-RU"/>
        </w:rPr>
        <w:t>Договор</w:t>
      </w:r>
      <w:r w:rsidRPr="00F96BE0">
        <w:rPr>
          <w:rFonts w:cs="Arial"/>
          <w:szCs w:val="20"/>
          <w:lang w:val="ru-RU"/>
        </w:rPr>
        <w:t xml:space="preserve"> </w:t>
      </w:r>
      <w:r w:rsidRPr="006500B4">
        <w:rPr>
          <w:rFonts w:cs="Arial"/>
          <w:szCs w:val="20"/>
          <w:lang w:val="ru-RU"/>
        </w:rPr>
        <w:t>о</w:t>
      </w:r>
      <w:r w:rsidRPr="00F96BE0">
        <w:rPr>
          <w:rFonts w:cs="Arial"/>
          <w:szCs w:val="20"/>
          <w:lang w:val="ru-RU"/>
        </w:rPr>
        <w:t xml:space="preserve"> </w:t>
      </w:r>
      <w:r w:rsidRPr="006500B4">
        <w:rPr>
          <w:rFonts w:cs="Arial"/>
          <w:szCs w:val="20"/>
          <w:lang w:val="ru-RU"/>
        </w:rPr>
        <w:t>патентной</w:t>
      </w:r>
      <w:r w:rsidRPr="00F96BE0">
        <w:rPr>
          <w:rFonts w:cs="Arial"/>
          <w:szCs w:val="20"/>
          <w:lang w:val="ru-RU"/>
        </w:rPr>
        <w:t xml:space="preserve"> </w:t>
      </w:r>
      <w:r w:rsidRPr="006500B4">
        <w:rPr>
          <w:rFonts w:cs="Arial"/>
          <w:szCs w:val="20"/>
          <w:lang w:val="ru-RU"/>
        </w:rPr>
        <w:t>кооперации</w:t>
      </w:r>
      <w:r w:rsidRPr="00F96BE0">
        <w:rPr>
          <w:rFonts w:cs="Arial"/>
          <w:szCs w:val="20"/>
          <w:lang w:val="ru-RU"/>
        </w:rPr>
        <w:t xml:space="preserve"> </w:t>
      </w:r>
    </w:p>
    <w:p w:rsidR="00523F34" w:rsidRPr="00523F34" w:rsidRDefault="00523F34" w:rsidP="00523F34">
      <w:pPr>
        <w:tabs>
          <w:tab w:val="left" w:pos="2127"/>
        </w:tabs>
        <w:spacing w:after="40"/>
        <w:ind w:left="2127" w:hanging="2127"/>
        <w:rPr>
          <w:rFonts w:cs="Arial"/>
          <w:lang w:val="ru-RU"/>
        </w:rPr>
      </w:pPr>
      <w:r>
        <w:rPr>
          <w:rFonts w:eastAsia="SimSun" w:cs="Arial"/>
          <w:bCs/>
          <w:szCs w:val="20"/>
          <w:lang w:eastAsia="zh-CN"/>
        </w:rPr>
        <w:t>PIFS</w:t>
      </w:r>
      <w:r w:rsidRPr="00523F34">
        <w:rPr>
          <w:rFonts w:eastAsia="SimSun" w:cs="Arial"/>
          <w:bCs/>
          <w:szCs w:val="20"/>
          <w:lang w:val="ru-RU" w:eastAsia="zh-CN"/>
        </w:rPr>
        <w:tab/>
      </w:r>
      <w:r>
        <w:rPr>
          <w:rFonts w:eastAsia="SimSun" w:cs="Arial"/>
          <w:bCs/>
          <w:szCs w:val="20"/>
          <w:lang w:val="ru-RU" w:eastAsia="zh-CN"/>
        </w:rPr>
        <w:tab/>
      </w:r>
      <w:r>
        <w:rPr>
          <w:rFonts w:eastAsia="SimSun" w:cs="Arial"/>
          <w:bCs/>
          <w:szCs w:val="20"/>
          <w:lang w:val="ru-RU" w:eastAsia="zh-CN"/>
        </w:rPr>
        <w:tab/>
      </w:r>
      <w:r>
        <w:rPr>
          <w:rFonts w:eastAsia="SimSun" w:cs="Arial"/>
          <w:bCs/>
          <w:szCs w:val="20"/>
          <w:lang w:val="ru-RU" w:eastAsia="zh-CN"/>
        </w:rPr>
        <w:tab/>
      </w:r>
      <w:r>
        <w:rPr>
          <w:rFonts w:eastAsia="SimSun" w:cs="Arial"/>
          <w:bCs/>
          <w:szCs w:val="20"/>
          <w:lang w:val="ru-RU" w:eastAsia="zh-CN"/>
        </w:rPr>
        <w:tab/>
        <w:t>Секретариат Форума тихоокеанских островов</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PLR</w:t>
      </w:r>
      <w:r w:rsidRPr="006500B4">
        <w:rPr>
          <w:rFonts w:cs="Arial"/>
          <w:szCs w:val="20"/>
          <w:lang w:val="ru-RU"/>
        </w:rPr>
        <w:tab/>
        <w:t>ОПЛ</w:t>
      </w:r>
      <w:r w:rsidRPr="006500B4">
        <w:rPr>
          <w:rFonts w:cs="Arial"/>
          <w:szCs w:val="20"/>
          <w:lang w:val="ru-RU"/>
        </w:rPr>
        <w:tab/>
        <w:t>отчеты о патентных ландшафтах</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PLT</w:t>
      </w:r>
      <w:r w:rsidRPr="006500B4">
        <w:rPr>
          <w:rFonts w:cs="Arial"/>
          <w:szCs w:val="20"/>
          <w:lang w:val="ru-RU"/>
        </w:rPr>
        <w:tab/>
      </w:r>
      <w:r w:rsidRPr="006500B4">
        <w:rPr>
          <w:rFonts w:cs="Arial"/>
          <w:szCs w:val="20"/>
          <w:lang w:val="ru-RU"/>
        </w:rPr>
        <w:tab/>
        <w:t>Договор о патентном праве</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PMSDS</w:t>
      </w:r>
      <w:r w:rsidRPr="006500B4">
        <w:rPr>
          <w:rFonts w:cs="Arial"/>
          <w:szCs w:val="20"/>
          <w:lang w:val="ru-RU"/>
        </w:rPr>
        <w:tab/>
      </w:r>
      <w:r>
        <w:rPr>
          <w:rFonts w:cs="Arial"/>
          <w:szCs w:val="20"/>
          <w:lang w:val="ru-RU"/>
        </w:rPr>
        <w:tab/>
      </w:r>
      <w:r w:rsidRPr="006500B4">
        <w:rPr>
          <w:rFonts w:cs="Arial"/>
          <w:szCs w:val="20"/>
          <w:lang w:val="ru-RU"/>
        </w:rPr>
        <w:t>Система управления служебной деятельностью и повышения квалификации</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PPR</w:t>
      </w:r>
      <w:r w:rsidRPr="006500B4">
        <w:rPr>
          <w:rFonts w:cs="Arial"/>
          <w:szCs w:val="20"/>
          <w:lang w:val="ru-RU"/>
        </w:rPr>
        <w:tab/>
        <w:t>ОРП</w:t>
      </w:r>
      <w:r w:rsidRPr="006500B4">
        <w:rPr>
          <w:rFonts w:cs="Arial"/>
          <w:szCs w:val="20"/>
          <w:lang w:val="ru-RU"/>
        </w:rPr>
        <w:tab/>
        <w:t>Отчет о реализации программы</w:t>
      </w:r>
    </w:p>
    <w:p w:rsidR="00C61544" w:rsidRPr="006500B4" w:rsidRDefault="00C61544" w:rsidP="00C61544">
      <w:pPr>
        <w:tabs>
          <w:tab w:val="left" w:pos="2127"/>
        </w:tabs>
        <w:spacing w:after="120"/>
        <w:ind w:left="2126" w:hanging="2126"/>
        <w:rPr>
          <w:rFonts w:cs="Arial"/>
          <w:szCs w:val="20"/>
          <w:lang w:val="ru-RU"/>
        </w:rPr>
      </w:pPr>
    </w:p>
    <w:p w:rsidR="00C61544" w:rsidRPr="006500B4" w:rsidRDefault="00C61544" w:rsidP="00C61544">
      <w:pPr>
        <w:tabs>
          <w:tab w:val="left" w:pos="2127"/>
        </w:tabs>
        <w:spacing w:after="40"/>
        <w:ind w:left="3969" w:hanging="3969"/>
        <w:rPr>
          <w:rFonts w:cs="Arial"/>
          <w:szCs w:val="20"/>
          <w:lang w:val="ru-RU"/>
        </w:rPr>
      </w:pPr>
      <w:r w:rsidRPr="006500B4">
        <w:rPr>
          <w:rFonts w:cs="Arial"/>
          <w:b/>
          <w:bCs/>
          <w:szCs w:val="20"/>
        </w:rPr>
        <w:t>R</w:t>
      </w:r>
      <w:r w:rsidRPr="006500B4">
        <w:rPr>
          <w:rFonts w:cs="Arial"/>
          <w:szCs w:val="20"/>
        </w:rPr>
        <w:t>BM</w:t>
      </w:r>
      <w:r w:rsidRPr="006500B4">
        <w:rPr>
          <w:rFonts w:cs="Arial"/>
          <w:szCs w:val="20"/>
          <w:lang w:val="ru-RU"/>
        </w:rPr>
        <w:tab/>
        <w:t>УКР</w:t>
      </w:r>
      <w:r w:rsidRPr="006500B4">
        <w:rPr>
          <w:rFonts w:cs="Arial"/>
          <w:szCs w:val="20"/>
          <w:lang w:val="ru-RU"/>
        </w:rPr>
        <w:tab/>
        <w:t>управление, ориентированное на конкретные результаты</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R</w:t>
      </w:r>
      <w:r w:rsidRPr="006500B4">
        <w:rPr>
          <w:rFonts w:cs="Arial"/>
          <w:szCs w:val="20"/>
          <w:lang w:val="ru-RU"/>
        </w:rPr>
        <w:t>&amp;</w:t>
      </w:r>
      <w:r w:rsidRPr="006500B4">
        <w:rPr>
          <w:rFonts w:cs="Arial"/>
          <w:szCs w:val="20"/>
        </w:rPr>
        <w:t>D</w:t>
      </w:r>
      <w:r w:rsidRPr="006500B4">
        <w:rPr>
          <w:rFonts w:cs="Arial"/>
          <w:szCs w:val="20"/>
          <w:lang w:val="ru-RU"/>
        </w:rPr>
        <w:tab/>
        <w:t>НИОКР</w:t>
      </w:r>
      <w:r w:rsidRPr="006500B4">
        <w:rPr>
          <w:rFonts w:cs="Arial"/>
          <w:szCs w:val="20"/>
          <w:lang w:val="ru-RU"/>
        </w:rPr>
        <w:tab/>
        <w:t xml:space="preserve">научно-исследовательские и опытно-конструкторские работы </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RFPs</w:t>
      </w:r>
      <w:r w:rsidRPr="006500B4">
        <w:rPr>
          <w:rFonts w:cs="Arial"/>
          <w:szCs w:val="20"/>
          <w:lang w:val="ru-RU"/>
        </w:rPr>
        <w:tab/>
        <w:t>ЗПП</w:t>
      </w:r>
      <w:r w:rsidRPr="006500B4">
        <w:rPr>
          <w:rFonts w:cs="Arial"/>
          <w:szCs w:val="20"/>
          <w:lang w:val="ru-RU"/>
        </w:rPr>
        <w:tab/>
        <w:t>запросы на представление предложений</w:t>
      </w:r>
    </w:p>
    <w:p w:rsidR="00C61544" w:rsidRPr="00684B31" w:rsidRDefault="00C61544" w:rsidP="00C61544">
      <w:pPr>
        <w:tabs>
          <w:tab w:val="left" w:pos="2127"/>
        </w:tabs>
        <w:spacing w:after="40"/>
        <w:ind w:left="3969" w:hanging="3969"/>
        <w:rPr>
          <w:rFonts w:cs="Arial"/>
          <w:szCs w:val="20"/>
          <w:lang w:val="ru-RU"/>
        </w:rPr>
      </w:pPr>
      <w:r w:rsidRPr="006500B4">
        <w:rPr>
          <w:rFonts w:cs="Arial"/>
          <w:szCs w:val="20"/>
        </w:rPr>
        <w:t>RO</w:t>
      </w:r>
      <w:r w:rsidRPr="00684B31">
        <w:rPr>
          <w:rFonts w:cs="Arial"/>
          <w:szCs w:val="20"/>
          <w:lang w:val="ru-RU"/>
        </w:rPr>
        <w:tab/>
      </w:r>
      <w:r w:rsidRPr="006500B4">
        <w:rPr>
          <w:rFonts w:cs="Arial"/>
          <w:szCs w:val="20"/>
          <w:lang w:val="ru-RU"/>
        </w:rPr>
        <w:t>ПВ</w:t>
      </w:r>
      <w:r w:rsidRPr="00684B31">
        <w:rPr>
          <w:rFonts w:cs="Arial"/>
          <w:szCs w:val="20"/>
          <w:lang w:val="ru-RU"/>
        </w:rPr>
        <w:tab/>
      </w:r>
      <w:r w:rsidRPr="006500B4">
        <w:rPr>
          <w:rFonts w:cs="Arial"/>
          <w:szCs w:val="20"/>
          <w:lang w:val="ru-RU"/>
        </w:rPr>
        <w:t>получающее</w:t>
      </w:r>
      <w:r w:rsidRPr="00684B31">
        <w:rPr>
          <w:rFonts w:cs="Arial"/>
          <w:szCs w:val="20"/>
          <w:lang w:val="ru-RU"/>
        </w:rPr>
        <w:t xml:space="preserve"> </w:t>
      </w:r>
      <w:r w:rsidRPr="006500B4">
        <w:rPr>
          <w:rFonts w:cs="Arial"/>
          <w:szCs w:val="20"/>
          <w:lang w:val="ru-RU"/>
        </w:rPr>
        <w:t>ведомство</w:t>
      </w:r>
    </w:p>
    <w:p w:rsidR="00C61544" w:rsidRPr="00684B31" w:rsidRDefault="00C61544" w:rsidP="00C61544">
      <w:pPr>
        <w:tabs>
          <w:tab w:val="left" w:pos="2127"/>
        </w:tabs>
        <w:spacing w:after="120"/>
        <w:ind w:left="3969" w:hanging="3969"/>
        <w:rPr>
          <w:rFonts w:cs="Arial"/>
          <w:szCs w:val="20"/>
          <w:lang w:val="ru-RU"/>
        </w:rPr>
      </w:pPr>
    </w:p>
    <w:p w:rsidR="00C61544" w:rsidRPr="006500B4" w:rsidRDefault="00C61544" w:rsidP="00C61544">
      <w:pPr>
        <w:tabs>
          <w:tab w:val="left" w:pos="2127"/>
        </w:tabs>
        <w:spacing w:after="40"/>
        <w:ind w:left="3969" w:hanging="3969"/>
        <w:rPr>
          <w:rFonts w:cs="Arial"/>
          <w:szCs w:val="20"/>
          <w:lang w:val="ru-RU"/>
        </w:rPr>
      </w:pPr>
      <w:r w:rsidRPr="006500B4">
        <w:rPr>
          <w:rFonts w:cs="Arial"/>
          <w:b/>
          <w:bCs/>
          <w:szCs w:val="20"/>
        </w:rPr>
        <w:t>S</w:t>
      </w:r>
      <w:r w:rsidRPr="006500B4">
        <w:rPr>
          <w:rFonts w:cs="Arial"/>
          <w:szCs w:val="20"/>
        </w:rPr>
        <w:t>CCR</w:t>
      </w:r>
      <w:r w:rsidRPr="006500B4">
        <w:rPr>
          <w:rFonts w:cs="Arial"/>
          <w:szCs w:val="20"/>
          <w:lang w:val="ru-RU"/>
        </w:rPr>
        <w:tab/>
        <w:t>ПКАП</w:t>
      </w:r>
      <w:r w:rsidRPr="006500B4">
        <w:rPr>
          <w:rFonts w:cs="Arial"/>
          <w:szCs w:val="20"/>
          <w:lang w:val="ru-RU"/>
        </w:rPr>
        <w:tab/>
        <w:t>Постоянный комитет по авторскому праву и смежным правам</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SCP</w:t>
      </w:r>
      <w:r w:rsidRPr="006500B4">
        <w:rPr>
          <w:rFonts w:cs="Arial"/>
          <w:szCs w:val="20"/>
          <w:lang w:val="ru-RU"/>
        </w:rPr>
        <w:tab/>
        <w:t>ПКПП</w:t>
      </w:r>
      <w:r w:rsidRPr="006500B4">
        <w:rPr>
          <w:rFonts w:cs="Arial"/>
          <w:szCs w:val="20"/>
          <w:lang w:val="ru-RU"/>
        </w:rPr>
        <w:tab/>
        <w:t>Постоянный комитет по патентному праву</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SCT</w:t>
      </w:r>
      <w:r w:rsidRPr="006500B4">
        <w:rPr>
          <w:rFonts w:cs="Arial"/>
          <w:szCs w:val="20"/>
          <w:lang w:val="ru-RU"/>
        </w:rPr>
        <w:tab/>
        <w:t>ПКТЗ</w:t>
      </w:r>
      <w:r w:rsidRPr="006500B4">
        <w:rPr>
          <w:rFonts w:cs="Arial"/>
          <w:szCs w:val="20"/>
          <w:lang w:val="ru-RU"/>
        </w:rPr>
        <w:tab/>
        <w:t>Постоянный комитет по законодательству в области товарных знаков, промышленных образцов и географических указаний</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SLC</w:t>
      </w:r>
      <w:r w:rsidRPr="006500B4">
        <w:rPr>
          <w:rFonts w:cs="Arial"/>
          <w:szCs w:val="20"/>
          <w:lang w:val="ru-RU"/>
        </w:rPr>
        <w:tab/>
        <w:t>СТС</w:t>
      </w:r>
      <w:r w:rsidRPr="006500B4">
        <w:rPr>
          <w:rFonts w:cs="Arial"/>
          <w:szCs w:val="20"/>
          <w:lang w:val="ru-RU"/>
        </w:rPr>
        <w:tab/>
        <w:t>специальное трудовое соглашение</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SMEs</w:t>
      </w:r>
      <w:r w:rsidRPr="006500B4">
        <w:rPr>
          <w:rFonts w:cs="Arial"/>
          <w:szCs w:val="20"/>
          <w:lang w:val="ru-RU"/>
        </w:rPr>
        <w:tab/>
        <w:t>МСП</w:t>
      </w:r>
      <w:r w:rsidRPr="006500B4">
        <w:rPr>
          <w:rFonts w:cs="Arial"/>
          <w:szCs w:val="20"/>
          <w:lang w:val="ru-RU"/>
        </w:rPr>
        <w:tab/>
        <w:t>малые и средние предприятия</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SSA</w:t>
      </w:r>
      <w:r w:rsidRPr="006500B4">
        <w:rPr>
          <w:rFonts w:cs="Arial"/>
          <w:szCs w:val="20"/>
          <w:lang w:val="ru-RU"/>
        </w:rPr>
        <w:tab/>
        <w:t>ССУ</w:t>
      </w:r>
      <w:r w:rsidRPr="006500B4">
        <w:rPr>
          <w:rFonts w:cs="Arial"/>
          <w:szCs w:val="20"/>
          <w:lang w:val="ru-RU"/>
        </w:rPr>
        <w:tab/>
        <w:t>специальное соглашение об оказании услуг</w:t>
      </w:r>
    </w:p>
    <w:p w:rsidR="00C61544" w:rsidRDefault="00C61544" w:rsidP="00C61544">
      <w:pPr>
        <w:tabs>
          <w:tab w:val="left" w:pos="2127"/>
        </w:tabs>
        <w:spacing w:after="40"/>
        <w:ind w:left="3969" w:hanging="3969"/>
        <w:rPr>
          <w:rFonts w:cs="Arial"/>
          <w:szCs w:val="20"/>
          <w:lang w:val="ru-RU"/>
        </w:rPr>
      </w:pPr>
      <w:r w:rsidRPr="006500B4">
        <w:rPr>
          <w:rFonts w:cs="Arial"/>
          <w:szCs w:val="20"/>
        </w:rPr>
        <w:t>SRP</w:t>
      </w:r>
      <w:r w:rsidRPr="006500B4">
        <w:rPr>
          <w:rFonts w:cs="Arial"/>
          <w:szCs w:val="20"/>
          <w:lang w:val="ru-RU"/>
        </w:rPr>
        <w:tab/>
        <w:t>ПСП</w:t>
      </w:r>
      <w:r w:rsidRPr="006500B4">
        <w:rPr>
          <w:rFonts w:cs="Arial"/>
          <w:szCs w:val="20"/>
          <w:lang w:val="ru-RU"/>
        </w:rPr>
        <w:tab/>
        <w:t>Программа стратегической перестройки</w:t>
      </w:r>
    </w:p>
    <w:p w:rsidR="00C61544" w:rsidRPr="00D755FA" w:rsidRDefault="00C61544" w:rsidP="00C61544">
      <w:pPr>
        <w:tabs>
          <w:tab w:val="left" w:pos="2127"/>
        </w:tabs>
        <w:spacing w:after="120"/>
        <w:ind w:left="3969" w:hanging="3969"/>
        <w:rPr>
          <w:rFonts w:cs="Arial"/>
          <w:szCs w:val="20"/>
          <w:lang w:val="ru-RU"/>
        </w:rPr>
      </w:pPr>
    </w:p>
    <w:p w:rsidR="00C61544" w:rsidRPr="00073031" w:rsidRDefault="00C61544" w:rsidP="00C61544">
      <w:pPr>
        <w:tabs>
          <w:tab w:val="left" w:pos="2127"/>
        </w:tabs>
        <w:spacing w:after="40"/>
        <w:ind w:left="3969" w:hanging="3969"/>
        <w:rPr>
          <w:rFonts w:cs="Arial"/>
          <w:szCs w:val="20"/>
          <w:lang w:val="ru-RU"/>
        </w:rPr>
      </w:pPr>
      <w:r w:rsidRPr="00102433">
        <w:rPr>
          <w:rFonts w:cs="Arial"/>
          <w:b/>
          <w:bCs/>
          <w:szCs w:val="20"/>
        </w:rPr>
        <w:t>T</w:t>
      </w:r>
      <w:r w:rsidRPr="00102433">
        <w:rPr>
          <w:rFonts w:cs="Arial"/>
          <w:szCs w:val="20"/>
        </w:rPr>
        <w:t>A</w:t>
      </w:r>
      <w:r w:rsidRPr="00073031">
        <w:rPr>
          <w:rFonts w:cs="Arial"/>
          <w:szCs w:val="20"/>
          <w:lang w:val="ru-RU"/>
        </w:rPr>
        <w:tab/>
      </w:r>
      <w:r w:rsidRPr="00073031">
        <w:rPr>
          <w:rFonts w:cs="Arial"/>
          <w:szCs w:val="20"/>
          <w:lang w:val="ru-RU"/>
        </w:rPr>
        <w:tab/>
      </w:r>
      <w:r>
        <w:rPr>
          <w:rFonts w:cs="Arial"/>
          <w:szCs w:val="20"/>
          <w:lang w:val="ru-RU"/>
        </w:rPr>
        <w:t>разрешение</w:t>
      </w:r>
      <w:r w:rsidRPr="00073031">
        <w:rPr>
          <w:rFonts w:cs="Arial"/>
          <w:szCs w:val="20"/>
          <w:lang w:val="ru-RU"/>
        </w:rPr>
        <w:t xml:space="preserve"> </w:t>
      </w:r>
      <w:r>
        <w:rPr>
          <w:rFonts w:cs="Arial"/>
          <w:szCs w:val="20"/>
          <w:lang w:val="ru-RU"/>
        </w:rPr>
        <w:t>на</w:t>
      </w:r>
      <w:r w:rsidRPr="00073031">
        <w:rPr>
          <w:rFonts w:cs="Arial"/>
          <w:szCs w:val="20"/>
          <w:lang w:val="ru-RU"/>
        </w:rPr>
        <w:t xml:space="preserve"> </w:t>
      </w:r>
      <w:r>
        <w:rPr>
          <w:rFonts w:cs="Arial"/>
          <w:szCs w:val="20"/>
          <w:lang w:val="ru-RU"/>
        </w:rPr>
        <w:t>поездку</w:t>
      </w:r>
    </w:p>
    <w:p w:rsidR="00C61544" w:rsidRDefault="00C61544" w:rsidP="00C61544">
      <w:pPr>
        <w:tabs>
          <w:tab w:val="left" w:pos="2127"/>
        </w:tabs>
        <w:spacing w:after="40"/>
        <w:ind w:left="3969" w:hanging="3969"/>
        <w:rPr>
          <w:rFonts w:cs="Arial"/>
          <w:szCs w:val="20"/>
          <w:lang w:val="ru-RU"/>
        </w:rPr>
      </w:pPr>
      <w:r w:rsidRPr="00102433">
        <w:rPr>
          <w:rFonts w:cs="Arial"/>
          <w:szCs w:val="20"/>
          <w:lang w:val="ru-RU"/>
        </w:rPr>
        <w:t>TAPTA</w:t>
      </w:r>
      <w:r w:rsidRPr="00102433">
        <w:rPr>
          <w:rFonts w:cs="Arial"/>
          <w:szCs w:val="20"/>
          <w:lang w:val="ru-RU"/>
        </w:rPr>
        <w:tab/>
      </w:r>
      <w:r>
        <w:rPr>
          <w:rFonts w:cs="Arial"/>
          <w:szCs w:val="20"/>
          <w:lang w:val="ru-RU"/>
        </w:rPr>
        <w:tab/>
        <w:t>а</w:t>
      </w:r>
      <w:r w:rsidRPr="00102433">
        <w:rPr>
          <w:rFonts w:cs="Arial"/>
          <w:szCs w:val="20"/>
          <w:lang w:val="ru-RU"/>
        </w:rPr>
        <w:t xml:space="preserve">ссистент переводчика по названиям патентов и их рефератам </w:t>
      </w:r>
    </w:p>
    <w:p w:rsidR="00C61544" w:rsidRPr="00102433" w:rsidRDefault="00C61544" w:rsidP="00C61544">
      <w:pPr>
        <w:tabs>
          <w:tab w:val="left" w:pos="2127"/>
        </w:tabs>
        <w:spacing w:after="40"/>
        <w:ind w:left="3969" w:hanging="3969"/>
        <w:rPr>
          <w:rFonts w:cs="Arial"/>
          <w:szCs w:val="20"/>
          <w:lang w:val="ru-RU"/>
        </w:rPr>
      </w:pPr>
      <w:r w:rsidRPr="00102433">
        <w:rPr>
          <w:rFonts w:cs="Arial"/>
          <w:szCs w:val="20"/>
          <w:lang w:val="ru-RU"/>
        </w:rPr>
        <w:t>TAD</w:t>
      </w:r>
      <w:r w:rsidRPr="00102433">
        <w:rPr>
          <w:rFonts w:cs="Arial"/>
          <w:szCs w:val="20"/>
          <w:lang w:val="ru-RU"/>
        </w:rPr>
        <w:tab/>
      </w:r>
      <w:r>
        <w:rPr>
          <w:rFonts w:cs="Arial"/>
          <w:szCs w:val="20"/>
          <w:lang w:val="ru-RU"/>
        </w:rPr>
        <w:tab/>
      </w:r>
      <w:r w:rsidRPr="00102433">
        <w:rPr>
          <w:rFonts w:cs="Arial"/>
          <w:szCs w:val="20"/>
          <w:lang w:val="ru-RU"/>
        </w:rPr>
        <w:t>База данных о техническом содействии в области ИС</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lang w:val="fr-CH"/>
        </w:rPr>
        <w:t>TCEs</w:t>
      </w:r>
      <w:r w:rsidRPr="006500B4">
        <w:rPr>
          <w:rFonts w:cs="Arial"/>
          <w:szCs w:val="20"/>
          <w:lang w:val="ru-RU"/>
        </w:rPr>
        <w:tab/>
        <w:t>ТВК</w:t>
      </w:r>
      <w:r w:rsidRPr="006500B4">
        <w:rPr>
          <w:rFonts w:cs="Arial"/>
          <w:szCs w:val="20"/>
          <w:lang w:val="ru-RU"/>
        </w:rPr>
        <w:tab/>
        <w:t>традиционные выражения культуры/фольклора</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TIGAR</w:t>
      </w:r>
      <w:r w:rsidRPr="006500B4">
        <w:rPr>
          <w:rFonts w:cs="Arial"/>
          <w:szCs w:val="20"/>
          <w:lang w:val="ru-RU"/>
        </w:rPr>
        <w:tab/>
      </w:r>
      <w:r w:rsidRPr="006500B4">
        <w:rPr>
          <w:rFonts w:cs="Arial"/>
          <w:szCs w:val="20"/>
          <w:lang w:val="ru-RU"/>
        </w:rPr>
        <w:tab/>
        <w:t>глобальные доступные ресурсы для доверенных посредников</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TISCs</w:t>
      </w:r>
      <w:r w:rsidRPr="006500B4">
        <w:rPr>
          <w:rFonts w:cs="Arial"/>
          <w:szCs w:val="20"/>
          <w:lang w:val="ru-RU"/>
        </w:rPr>
        <w:tab/>
        <w:t>ЦПТИ</w:t>
      </w:r>
      <w:r w:rsidRPr="006500B4">
        <w:rPr>
          <w:rFonts w:cs="Arial"/>
          <w:szCs w:val="20"/>
          <w:lang w:val="ru-RU"/>
        </w:rPr>
        <w:tab/>
        <w:t>Центры поддержки технологии и инноваций</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TK</w:t>
      </w:r>
      <w:r w:rsidRPr="006500B4">
        <w:rPr>
          <w:rFonts w:cs="Arial"/>
          <w:szCs w:val="20"/>
          <w:lang w:val="ru-RU"/>
        </w:rPr>
        <w:tab/>
        <w:t>ТЗ</w:t>
      </w:r>
      <w:r w:rsidRPr="006500B4">
        <w:rPr>
          <w:rFonts w:cs="Arial"/>
          <w:szCs w:val="20"/>
          <w:lang w:val="ru-RU"/>
        </w:rPr>
        <w:tab/>
        <w:t>традиционные знания</w:t>
      </w:r>
    </w:p>
    <w:p w:rsidR="00C61544" w:rsidRDefault="00C61544" w:rsidP="00C61544">
      <w:pPr>
        <w:tabs>
          <w:tab w:val="left" w:pos="2127"/>
        </w:tabs>
        <w:spacing w:after="40"/>
        <w:ind w:left="3969" w:hanging="3969"/>
        <w:rPr>
          <w:rFonts w:cs="Arial"/>
          <w:szCs w:val="20"/>
          <w:lang w:val="ru-RU"/>
        </w:rPr>
      </w:pPr>
      <w:r w:rsidRPr="006500B4">
        <w:rPr>
          <w:rFonts w:cs="Arial"/>
          <w:szCs w:val="20"/>
        </w:rPr>
        <w:t>TTO</w:t>
      </w:r>
      <w:r w:rsidRPr="006500B4">
        <w:rPr>
          <w:rFonts w:cs="Arial"/>
          <w:szCs w:val="20"/>
          <w:lang w:val="ru-RU"/>
        </w:rPr>
        <w:tab/>
        <w:t>БПТ</w:t>
      </w:r>
      <w:r w:rsidRPr="006500B4">
        <w:rPr>
          <w:rFonts w:cs="Arial"/>
          <w:szCs w:val="20"/>
          <w:lang w:val="ru-RU"/>
        </w:rPr>
        <w:tab/>
        <w:t>бюро по передаче технологии</w:t>
      </w:r>
    </w:p>
    <w:p w:rsidR="00C61544" w:rsidRPr="006500B4" w:rsidRDefault="00C61544" w:rsidP="00C61544">
      <w:pPr>
        <w:tabs>
          <w:tab w:val="left" w:pos="2127"/>
        </w:tabs>
        <w:spacing w:after="120"/>
        <w:ind w:left="3969" w:hanging="3969"/>
        <w:rPr>
          <w:rFonts w:cs="Arial"/>
          <w:szCs w:val="20"/>
          <w:lang w:val="ru-RU"/>
        </w:rPr>
      </w:pPr>
    </w:p>
    <w:p w:rsidR="00C61544" w:rsidRPr="006500B4" w:rsidRDefault="00C61544" w:rsidP="00C61544">
      <w:pPr>
        <w:tabs>
          <w:tab w:val="left" w:pos="2127"/>
        </w:tabs>
        <w:spacing w:after="40"/>
        <w:ind w:left="3969" w:hanging="3969"/>
        <w:rPr>
          <w:rFonts w:cs="Arial"/>
          <w:szCs w:val="20"/>
          <w:lang w:val="ru-RU"/>
        </w:rPr>
      </w:pPr>
      <w:r w:rsidRPr="006500B4">
        <w:rPr>
          <w:rFonts w:cs="Arial"/>
          <w:b/>
          <w:bCs/>
          <w:szCs w:val="20"/>
        </w:rPr>
        <w:t>U</w:t>
      </w:r>
      <w:r w:rsidRPr="006500B4">
        <w:rPr>
          <w:rFonts w:cs="Arial"/>
          <w:szCs w:val="20"/>
        </w:rPr>
        <w:t>DRP</w:t>
      </w:r>
      <w:r w:rsidRPr="006500B4">
        <w:rPr>
          <w:rFonts w:cs="Arial"/>
          <w:szCs w:val="20"/>
          <w:lang w:val="ru-RU"/>
        </w:rPr>
        <w:tab/>
        <w:t>ЕПУС</w:t>
      </w:r>
      <w:r w:rsidRPr="006500B4">
        <w:rPr>
          <w:rFonts w:cs="Arial"/>
          <w:szCs w:val="20"/>
          <w:lang w:val="ru-RU"/>
        </w:rPr>
        <w:tab/>
        <w:t xml:space="preserve">Единая политика урегулирования споров в области доменных имен </w:t>
      </w:r>
    </w:p>
    <w:p w:rsidR="00C61544" w:rsidRDefault="00C61544" w:rsidP="00C61544">
      <w:pPr>
        <w:tabs>
          <w:tab w:val="left" w:pos="2127"/>
        </w:tabs>
        <w:spacing w:after="40"/>
        <w:ind w:left="3969" w:hanging="3969"/>
        <w:rPr>
          <w:rFonts w:cs="Arial"/>
          <w:szCs w:val="20"/>
          <w:lang w:val="ru-RU"/>
        </w:rPr>
      </w:pPr>
      <w:r w:rsidRPr="006500B4">
        <w:rPr>
          <w:rFonts w:cs="Arial"/>
          <w:szCs w:val="20"/>
        </w:rPr>
        <w:t>UN</w:t>
      </w:r>
      <w:r w:rsidRPr="00684B31">
        <w:rPr>
          <w:rFonts w:cs="Arial"/>
          <w:szCs w:val="20"/>
          <w:lang w:val="ru-RU"/>
        </w:rPr>
        <w:tab/>
      </w:r>
      <w:r w:rsidRPr="006500B4">
        <w:rPr>
          <w:rFonts w:cs="Arial"/>
          <w:szCs w:val="20"/>
          <w:lang w:val="ru-RU"/>
        </w:rPr>
        <w:t>ООН</w:t>
      </w:r>
      <w:r w:rsidRPr="00684B31">
        <w:rPr>
          <w:rFonts w:cs="Arial"/>
          <w:szCs w:val="20"/>
          <w:lang w:val="ru-RU"/>
        </w:rPr>
        <w:tab/>
      </w:r>
      <w:r w:rsidRPr="006500B4">
        <w:rPr>
          <w:rFonts w:cs="Arial"/>
          <w:szCs w:val="20"/>
          <w:lang w:val="ru-RU"/>
        </w:rPr>
        <w:t>Организация</w:t>
      </w:r>
      <w:r w:rsidRPr="00684B31">
        <w:rPr>
          <w:rFonts w:cs="Arial"/>
          <w:szCs w:val="20"/>
          <w:lang w:val="ru-RU"/>
        </w:rPr>
        <w:t xml:space="preserve"> </w:t>
      </w:r>
      <w:r w:rsidRPr="006500B4">
        <w:rPr>
          <w:rFonts w:cs="Arial"/>
          <w:szCs w:val="20"/>
          <w:lang w:val="ru-RU"/>
        </w:rPr>
        <w:t>Объединенных</w:t>
      </w:r>
      <w:r w:rsidRPr="00684B31">
        <w:rPr>
          <w:rFonts w:cs="Arial"/>
          <w:szCs w:val="20"/>
          <w:lang w:val="ru-RU"/>
        </w:rPr>
        <w:t xml:space="preserve"> </w:t>
      </w:r>
      <w:r w:rsidRPr="006500B4">
        <w:rPr>
          <w:rFonts w:cs="Arial"/>
          <w:szCs w:val="20"/>
          <w:lang w:val="ru-RU"/>
        </w:rPr>
        <w:t>Наций</w:t>
      </w:r>
    </w:p>
    <w:p w:rsidR="00C61544" w:rsidRPr="00F76386" w:rsidRDefault="00C61544" w:rsidP="00C61544">
      <w:pPr>
        <w:tabs>
          <w:tab w:val="left" w:pos="2127"/>
        </w:tabs>
        <w:spacing w:after="40"/>
        <w:ind w:left="3969" w:hanging="3969"/>
        <w:rPr>
          <w:rFonts w:cs="Arial"/>
          <w:szCs w:val="20"/>
          <w:lang w:val="ru-RU"/>
        </w:rPr>
      </w:pPr>
      <w:r w:rsidRPr="00F76386">
        <w:rPr>
          <w:rFonts w:eastAsiaTheme="minorEastAsia" w:cs="Arial"/>
          <w:szCs w:val="20"/>
          <w:lang w:val="ru-RU" w:eastAsia="ja-JP"/>
        </w:rPr>
        <w:t>UNCDF</w:t>
      </w:r>
      <w:r w:rsidRPr="00F76386">
        <w:rPr>
          <w:rFonts w:eastAsiaTheme="minorEastAsia" w:cs="Arial"/>
          <w:szCs w:val="20"/>
          <w:lang w:val="ru-RU" w:eastAsia="ja-JP"/>
        </w:rPr>
        <w:tab/>
      </w:r>
      <w:r>
        <w:rPr>
          <w:rFonts w:cs="Arial"/>
          <w:szCs w:val="20"/>
          <w:lang w:val="ru-RU"/>
        </w:rPr>
        <w:tab/>
        <w:t>Фонд капитального развития Организации Объединенных Наций</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UNCTAD</w:t>
      </w:r>
      <w:r w:rsidRPr="006500B4">
        <w:rPr>
          <w:rFonts w:cs="Arial"/>
          <w:szCs w:val="20"/>
          <w:lang w:val="ru-RU"/>
        </w:rPr>
        <w:tab/>
        <w:t>ЮНКТАД</w:t>
      </w:r>
      <w:r w:rsidRPr="006500B4">
        <w:rPr>
          <w:rFonts w:cs="Arial"/>
          <w:szCs w:val="20"/>
          <w:lang w:val="ru-RU"/>
        </w:rPr>
        <w:tab/>
        <w:t xml:space="preserve">Конференция ООН по торговле и развитию </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UN</w:t>
      </w:r>
      <w:r w:rsidRPr="006500B4">
        <w:rPr>
          <w:rFonts w:cs="Arial"/>
          <w:szCs w:val="20"/>
          <w:lang w:val="ru-RU"/>
        </w:rPr>
        <w:t xml:space="preserve"> </w:t>
      </w:r>
      <w:r w:rsidRPr="006500B4">
        <w:rPr>
          <w:rFonts w:cs="Arial"/>
          <w:szCs w:val="20"/>
        </w:rPr>
        <w:t>CEB</w:t>
      </w:r>
      <w:r w:rsidRPr="006500B4">
        <w:rPr>
          <w:rFonts w:cs="Arial"/>
          <w:szCs w:val="20"/>
          <w:lang w:val="ru-RU"/>
        </w:rPr>
        <w:tab/>
        <w:t>КСР ООН</w:t>
      </w:r>
      <w:r w:rsidRPr="006500B4">
        <w:rPr>
          <w:rFonts w:cs="Arial"/>
          <w:szCs w:val="20"/>
          <w:lang w:val="ru-RU"/>
        </w:rPr>
        <w:tab/>
        <w:t>Координационный совет руководителей системы Организации Объединенных Наций</w:t>
      </w:r>
    </w:p>
    <w:p w:rsidR="00C61544" w:rsidRDefault="00C61544" w:rsidP="00C61544">
      <w:pPr>
        <w:tabs>
          <w:tab w:val="left" w:pos="2127"/>
        </w:tabs>
        <w:spacing w:after="40"/>
        <w:ind w:left="3969" w:hanging="3969"/>
        <w:rPr>
          <w:rFonts w:cs="Arial"/>
          <w:szCs w:val="20"/>
          <w:lang w:val="ru-RU"/>
        </w:rPr>
      </w:pPr>
      <w:r w:rsidRPr="006500B4">
        <w:rPr>
          <w:rFonts w:cs="Arial"/>
          <w:noProof/>
          <w:szCs w:val="20"/>
        </w:rPr>
        <mc:AlternateContent>
          <mc:Choice Requires="wps">
            <w:drawing>
              <wp:anchor distT="0" distB="0" distL="114300" distR="114300" simplePos="0" relativeHeight="251659264" behindDoc="0" locked="0" layoutInCell="0" allowOverlap="1" wp14:anchorId="5DC73CBA" wp14:editId="3F7191D9">
                <wp:simplePos x="0" y="0"/>
                <wp:positionH relativeFrom="column">
                  <wp:posOffset>-2118995</wp:posOffset>
                </wp:positionH>
                <wp:positionV relativeFrom="paragraph">
                  <wp:posOffset>83185</wp:posOffset>
                </wp:positionV>
                <wp:extent cx="731520" cy="1097280"/>
                <wp:effectExtent l="10160" t="10795" r="10795" b="635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1097280"/>
                        </a:xfrm>
                        <a:prstGeom prst="rect">
                          <a:avLst/>
                        </a:prstGeom>
                        <a:solidFill>
                          <a:srgbClr val="FFFFFF"/>
                        </a:solidFill>
                        <a:ln w="9525">
                          <a:solidFill>
                            <a:srgbClr val="000000"/>
                          </a:solidFill>
                          <a:miter lim="800000"/>
                          <a:headEnd/>
                          <a:tailEnd/>
                        </a:ln>
                      </wps:spPr>
                      <wps:txbx>
                        <w:txbxContent>
                          <w:p w:rsidR="00EE0D83" w:rsidRDefault="00EE0D83" w:rsidP="00C61544">
                            <w:pPr>
                              <w:pStyle w:val="BodyText2"/>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 o:spid="_x0000_s1026" type="#_x0000_t202" style="position:absolute;left:0;text-align:left;margin-left:-166.85pt;margin-top:6.55pt;width:57.6pt;height:86.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" o:allowincell="f">
                <v:textbox>
                  <w:txbxContent>
                    <w:p w:rsidR="00EE0D83" w:rsidRDefault="00EE0D83" w:rsidP="00C61544">
                      <w:pPr>
                        <w:pStyle w:val="BodyText2"/>
                      </w:pPr>
                    </w:p>
                  </w:txbxContent>
                </v:textbox>
              </v:shape>
            </w:pict>
          </mc:Fallback>
        </mc:AlternateContent>
      </w:r>
      <w:r w:rsidRPr="006500B4">
        <w:rPr>
          <w:rFonts w:cs="Arial"/>
          <w:szCs w:val="20"/>
        </w:rPr>
        <w:t>UNEP</w:t>
      </w:r>
      <w:r w:rsidRPr="00684B31">
        <w:rPr>
          <w:rFonts w:cs="Arial"/>
          <w:szCs w:val="20"/>
          <w:lang w:val="ru-RU"/>
        </w:rPr>
        <w:tab/>
      </w:r>
      <w:r w:rsidRPr="006500B4">
        <w:rPr>
          <w:rFonts w:cs="Arial"/>
          <w:szCs w:val="20"/>
          <w:lang w:val="ru-RU"/>
        </w:rPr>
        <w:t>ЮНЕП</w:t>
      </w:r>
      <w:r w:rsidRPr="006500B4">
        <w:rPr>
          <w:rFonts w:cs="Arial"/>
          <w:szCs w:val="20"/>
          <w:lang w:val="ru-RU"/>
        </w:rPr>
        <w:tab/>
        <w:t>Программа Организации Объединенных Наций по окружающей среде</w:t>
      </w:r>
    </w:p>
    <w:p w:rsidR="00523F34" w:rsidRPr="003100FD" w:rsidRDefault="00523F34" w:rsidP="003100FD">
      <w:pPr>
        <w:tabs>
          <w:tab w:val="left" w:pos="2127"/>
          <w:tab w:val="left" w:pos="3969"/>
        </w:tabs>
        <w:spacing w:after="40"/>
        <w:ind w:left="3969" w:hanging="3969"/>
        <w:rPr>
          <w:rFonts w:cs="Arial"/>
          <w:lang w:val="ru-RU"/>
        </w:rPr>
      </w:pPr>
      <w:r>
        <w:rPr>
          <w:rFonts w:cs="Arial"/>
        </w:rPr>
        <w:t>UNECA</w:t>
      </w:r>
      <w:r w:rsidRPr="003100FD">
        <w:rPr>
          <w:rFonts w:cs="Arial"/>
          <w:lang w:val="ru-RU"/>
        </w:rPr>
        <w:tab/>
      </w:r>
      <w:r w:rsidR="003100FD">
        <w:rPr>
          <w:rFonts w:cs="Arial"/>
          <w:lang w:val="ru-RU"/>
        </w:rPr>
        <w:t>ЭКА</w:t>
      </w:r>
      <w:r w:rsidR="003100FD" w:rsidRPr="003100FD">
        <w:rPr>
          <w:rFonts w:cs="Arial"/>
          <w:lang w:val="ru-RU"/>
        </w:rPr>
        <w:t xml:space="preserve"> </w:t>
      </w:r>
      <w:r w:rsidR="003100FD">
        <w:rPr>
          <w:rFonts w:cs="Arial"/>
          <w:lang w:val="ru-RU"/>
        </w:rPr>
        <w:t>ООН</w:t>
      </w:r>
      <w:r w:rsidR="003100FD" w:rsidRPr="003100FD">
        <w:rPr>
          <w:rFonts w:cs="Arial"/>
          <w:lang w:val="ru-RU"/>
        </w:rPr>
        <w:tab/>
      </w:r>
      <w:r w:rsidR="003100FD">
        <w:rPr>
          <w:bCs/>
          <w:lang w:val="ru-RU"/>
        </w:rPr>
        <w:t>Экономическая комиссия для Африки Организации Объединенных Наций</w:t>
      </w:r>
    </w:p>
    <w:p w:rsidR="003100FD" w:rsidRPr="003100FD" w:rsidRDefault="00523F34" w:rsidP="003100FD">
      <w:pPr>
        <w:tabs>
          <w:tab w:val="left" w:pos="2127"/>
        </w:tabs>
        <w:spacing w:after="40"/>
        <w:ind w:left="3969" w:hanging="3969"/>
        <w:rPr>
          <w:rFonts w:cs="Arial"/>
          <w:szCs w:val="20"/>
          <w:lang w:val="ru-RU"/>
        </w:rPr>
      </w:pPr>
      <w:r>
        <w:rPr>
          <w:rFonts w:cs="Arial"/>
        </w:rPr>
        <w:t>UNESCAP</w:t>
      </w:r>
      <w:r w:rsidRPr="003100FD">
        <w:rPr>
          <w:rFonts w:cs="Arial"/>
          <w:lang w:val="ru-RU"/>
        </w:rPr>
        <w:tab/>
      </w:r>
      <w:r w:rsidR="003100FD">
        <w:rPr>
          <w:rFonts w:cs="Arial"/>
          <w:lang w:val="ru-RU"/>
        </w:rPr>
        <w:t>ЭСКАТО</w:t>
      </w:r>
      <w:r w:rsidR="003100FD" w:rsidRPr="003100FD">
        <w:rPr>
          <w:rFonts w:cs="Arial"/>
          <w:lang w:val="ru-RU"/>
        </w:rPr>
        <w:tab/>
      </w:r>
      <w:r w:rsidR="003100FD" w:rsidRPr="003100FD">
        <w:rPr>
          <w:rFonts w:cs="Arial"/>
          <w:lang w:val="ru-RU"/>
        </w:rPr>
        <w:tab/>
      </w:r>
      <w:r w:rsidR="003100FD">
        <w:rPr>
          <w:bCs/>
          <w:lang w:val="ru-RU"/>
        </w:rPr>
        <w:t>Экономическая и социальная комисссия для Азии и Тихого океана Организации Объединенных Наций</w:t>
      </w:r>
      <w:r w:rsidRPr="003100FD">
        <w:rPr>
          <w:rFonts w:cs="Arial"/>
          <w:szCs w:val="20"/>
          <w:lang w:val="ru-RU"/>
        </w:rPr>
        <w:t xml:space="preserve"> </w:t>
      </w:r>
    </w:p>
    <w:p w:rsidR="00C61544" w:rsidRPr="003100FD" w:rsidRDefault="003100FD" w:rsidP="003100FD">
      <w:pPr>
        <w:tabs>
          <w:tab w:val="left" w:pos="2127"/>
          <w:tab w:val="left" w:pos="3969"/>
        </w:tabs>
        <w:spacing w:after="40"/>
        <w:ind w:left="3969" w:hanging="3969"/>
        <w:rPr>
          <w:rFonts w:cs="Arial"/>
          <w:szCs w:val="20"/>
          <w:lang w:val="ru-RU"/>
        </w:rPr>
      </w:pPr>
      <w:r>
        <w:rPr>
          <w:rFonts w:cs="Arial"/>
          <w:szCs w:val="20"/>
        </w:rPr>
        <w:t>UNESCO</w:t>
      </w:r>
      <w:r w:rsidRPr="003100FD">
        <w:rPr>
          <w:rFonts w:cs="Arial"/>
          <w:szCs w:val="20"/>
          <w:lang w:val="ru-RU"/>
        </w:rPr>
        <w:tab/>
      </w:r>
      <w:r w:rsidR="00C61544" w:rsidRPr="003100FD">
        <w:rPr>
          <w:rFonts w:cs="Arial"/>
          <w:szCs w:val="20"/>
          <w:lang w:val="ru-RU"/>
        </w:rPr>
        <w:t>ЮНЕСКО</w:t>
      </w:r>
      <w:r w:rsidR="00C61544" w:rsidRPr="003100FD">
        <w:rPr>
          <w:rFonts w:cs="Arial"/>
          <w:szCs w:val="20"/>
          <w:lang w:val="ru-RU"/>
        </w:rPr>
        <w:tab/>
        <w:t xml:space="preserve">Организация Объединенных Наций по вопросам образования, науки и культуры </w:t>
      </w:r>
    </w:p>
    <w:p w:rsidR="00C61544" w:rsidRDefault="00C61544" w:rsidP="00C61544">
      <w:pPr>
        <w:tabs>
          <w:tab w:val="left" w:pos="2127"/>
        </w:tabs>
        <w:spacing w:after="40"/>
        <w:ind w:left="3969" w:hanging="3969"/>
        <w:rPr>
          <w:rFonts w:cs="Arial"/>
          <w:szCs w:val="20"/>
          <w:lang w:val="ru-RU"/>
        </w:rPr>
      </w:pPr>
      <w:r w:rsidRPr="006500B4">
        <w:rPr>
          <w:rFonts w:cs="Arial"/>
          <w:szCs w:val="20"/>
        </w:rPr>
        <w:t>UNFCCC</w:t>
      </w:r>
      <w:r w:rsidRPr="006500B4">
        <w:rPr>
          <w:rFonts w:cs="Arial"/>
          <w:szCs w:val="20"/>
          <w:lang w:val="ru-RU"/>
        </w:rPr>
        <w:tab/>
        <w:t>РКИК ООН</w:t>
      </w:r>
      <w:r w:rsidRPr="006500B4">
        <w:rPr>
          <w:rFonts w:cs="Arial"/>
          <w:szCs w:val="20"/>
          <w:lang w:val="ru-RU"/>
        </w:rPr>
        <w:tab/>
        <w:t>Рамочная конвенция ООН об изменении климата</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lang w:val="fr-CH"/>
        </w:rPr>
        <w:t>UNICC</w:t>
      </w:r>
      <w:r w:rsidRPr="006500B4">
        <w:rPr>
          <w:rFonts w:cs="Arial"/>
          <w:szCs w:val="20"/>
          <w:lang w:val="ru-RU"/>
        </w:rPr>
        <w:tab/>
        <w:t>МВЦ ООН</w:t>
      </w:r>
      <w:r w:rsidRPr="006500B4">
        <w:rPr>
          <w:rFonts w:cs="Arial"/>
          <w:szCs w:val="20"/>
          <w:lang w:val="ru-RU"/>
        </w:rPr>
        <w:tab/>
        <w:t>Международный вычислительный центр ООН</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UNIDO</w:t>
      </w:r>
      <w:r w:rsidRPr="006500B4">
        <w:rPr>
          <w:rFonts w:cs="Arial"/>
          <w:szCs w:val="20"/>
          <w:lang w:val="ru-RU"/>
        </w:rPr>
        <w:tab/>
        <w:t>ЮНИДО</w:t>
      </w:r>
      <w:r w:rsidRPr="006500B4">
        <w:rPr>
          <w:rFonts w:cs="Arial"/>
          <w:szCs w:val="20"/>
          <w:lang w:val="ru-RU"/>
        </w:rPr>
        <w:tab/>
        <w:t>Организация Объединенных Наций по промышленному развитию</w:t>
      </w:r>
    </w:p>
    <w:p w:rsidR="00C61544" w:rsidRPr="006500B4" w:rsidRDefault="00C61544" w:rsidP="00C61544">
      <w:pPr>
        <w:tabs>
          <w:tab w:val="left" w:pos="2127"/>
        </w:tabs>
        <w:spacing w:after="40"/>
        <w:ind w:left="3969" w:hanging="3969"/>
        <w:rPr>
          <w:rFonts w:cs="Arial"/>
          <w:szCs w:val="20"/>
          <w:lang w:val="ru-RU"/>
        </w:rPr>
      </w:pPr>
      <w:r w:rsidRPr="00F76386">
        <w:rPr>
          <w:rFonts w:cs="Arial"/>
          <w:szCs w:val="20"/>
        </w:rPr>
        <w:t>UNPFII</w:t>
      </w:r>
      <w:r w:rsidRPr="00F76386">
        <w:rPr>
          <w:rFonts w:cs="Arial"/>
          <w:color w:val="000000"/>
          <w:szCs w:val="20"/>
          <w:lang w:val="ru-RU"/>
        </w:rPr>
        <w:tab/>
      </w:r>
      <w:r w:rsidRPr="00F76386">
        <w:rPr>
          <w:rFonts w:cs="Arial"/>
          <w:color w:val="000000"/>
          <w:szCs w:val="20"/>
          <w:lang w:val="ru-RU"/>
        </w:rPr>
        <w:tab/>
      </w:r>
      <w:r w:rsidRPr="00F76386">
        <w:rPr>
          <w:rFonts w:cs="Arial"/>
          <w:szCs w:val="20"/>
          <w:lang w:val="ru-RU"/>
        </w:rPr>
        <w:t>Постоянный форум Организации Объединенных</w:t>
      </w:r>
      <w:r w:rsidRPr="006500B4">
        <w:rPr>
          <w:rFonts w:cs="Arial"/>
          <w:szCs w:val="20"/>
          <w:lang w:val="ru-RU"/>
        </w:rPr>
        <w:t xml:space="preserve"> Наций по </w:t>
      </w:r>
      <w:r>
        <w:rPr>
          <w:rFonts w:cs="Arial"/>
          <w:szCs w:val="20"/>
          <w:lang w:val="ru-RU"/>
        </w:rPr>
        <w:t>вопросам коренных народов</w:t>
      </w:r>
    </w:p>
    <w:p w:rsidR="00C61544" w:rsidRDefault="00C61544" w:rsidP="00C61544">
      <w:pPr>
        <w:tabs>
          <w:tab w:val="left" w:pos="2127"/>
        </w:tabs>
        <w:spacing w:after="40"/>
        <w:ind w:left="3969" w:hanging="3969"/>
        <w:rPr>
          <w:rFonts w:cs="Arial"/>
          <w:szCs w:val="20"/>
          <w:lang w:val="ru-RU"/>
        </w:rPr>
      </w:pPr>
      <w:r w:rsidRPr="006500B4">
        <w:rPr>
          <w:rFonts w:cs="Arial"/>
          <w:szCs w:val="20"/>
        </w:rPr>
        <w:t>USPTO</w:t>
      </w:r>
      <w:r w:rsidRPr="006500B4">
        <w:rPr>
          <w:rFonts w:cs="Arial"/>
          <w:szCs w:val="20"/>
          <w:lang w:val="ru-RU"/>
        </w:rPr>
        <w:tab/>
        <w:t>ВПТЗ США</w:t>
      </w:r>
      <w:r w:rsidRPr="006500B4">
        <w:rPr>
          <w:rFonts w:cs="Arial"/>
          <w:szCs w:val="20"/>
          <w:lang w:val="ru-RU"/>
        </w:rPr>
        <w:tab/>
        <w:t xml:space="preserve">Ведомство Соединенных Штатов по патентам и товарным знакам </w:t>
      </w:r>
    </w:p>
    <w:p w:rsidR="00C61544" w:rsidRPr="00C76CC7" w:rsidRDefault="00C61544" w:rsidP="00C61544">
      <w:pPr>
        <w:tabs>
          <w:tab w:val="left" w:pos="2127"/>
        </w:tabs>
        <w:spacing w:after="120"/>
        <w:ind w:left="3969" w:hanging="3969"/>
        <w:rPr>
          <w:rFonts w:cs="Arial"/>
          <w:szCs w:val="20"/>
          <w:lang w:val="ru-RU"/>
        </w:rPr>
      </w:pPr>
    </w:p>
    <w:p w:rsidR="00C61544" w:rsidRPr="006500B4" w:rsidRDefault="00C61544" w:rsidP="00C61544">
      <w:pPr>
        <w:tabs>
          <w:tab w:val="left" w:pos="2127"/>
        </w:tabs>
        <w:spacing w:after="40"/>
        <w:ind w:left="3969" w:hanging="3969"/>
        <w:rPr>
          <w:rFonts w:cs="Arial"/>
          <w:szCs w:val="20"/>
          <w:lang w:val="ru-RU"/>
        </w:rPr>
      </w:pPr>
      <w:r w:rsidRPr="006500B4">
        <w:rPr>
          <w:rFonts w:cs="Arial"/>
          <w:b/>
          <w:bCs/>
          <w:szCs w:val="20"/>
        </w:rPr>
        <w:t>V</w:t>
      </w:r>
      <w:r w:rsidRPr="006500B4">
        <w:rPr>
          <w:rFonts w:cs="Arial"/>
          <w:szCs w:val="20"/>
        </w:rPr>
        <w:t>IP</w:t>
      </w:r>
      <w:r w:rsidRPr="006500B4">
        <w:rPr>
          <w:rFonts w:cs="Arial"/>
          <w:szCs w:val="20"/>
          <w:lang w:val="ru-RU"/>
        </w:rPr>
        <w:tab/>
        <w:t>ЛНЗ</w:t>
      </w:r>
      <w:r w:rsidRPr="006500B4">
        <w:rPr>
          <w:rFonts w:cs="Arial"/>
          <w:szCs w:val="20"/>
          <w:lang w:val="ru-RU"/>
        </w:rPr>
        <w:tab/>
        <w:t>лица с нарушениями зрения и иными ограниченными способностями воспринимать печатную информацию</w:t>
      </w:r>
    </w:p>
    <w:p w:rsidR="00C61544" w:rsidRPr="006500B4" w:rsidRDefault="00C61544" w:rsidP="00C61544">
      <w:pPr>
        <w:tabs>
          <w:tab w:val="left" w:pos="2127"/>
        </w:tabs>
        <w:spacing w:after="40"/>
        <w:ind w:left="3969" w:hanging="3969"/>
        <w:rPr>
          <w:rFonts w:cs="Arial"/>
          <w:szCs w:val="20"/>
          <w:lang w:val="ru-RU"/>
        </w:rPr>
      </w:pPr>
    </w:p>
    <w:p w:rsidR="00C61544" w:rsidRDefault="00C61544" w:rsidP="00C61544">
      <w:pPr>
        <w:tabs>
          <w:tab w:val="left" w:pos="2127"/>
        </w:tabs>
        <w:spacing w:after="40"/>
        <w:ind w:left="3969" w:hanging="3969"/>
        <w:rPr>
          <w:rFonts w:cs="Arial"/>
          <w:szCs w:val="20"/>
          <w:lang w:val="ru-RU"/>
        </w:rPr>
      </w:pPr>
      <w:r>
        <w:rPr>
          <w:rFonts w:cs="Arial"/>
          <w:b/>
          <w:bCs/>
        </w:rPr>
        <w:t>W</w:t>
      </w:r>
      <w:r w:rsidRPr="008452CE">
        <w:rPr>
          <w:rFonts w:cs="Arial"/>
          <w:bCs/>
        </w:rPr>
        <w:t>BO</w:t>
      </w:r>
      <w:r w:rsidRPr="0060639D">
        <w:rPr>
          <w:rFonts w:cs="Arial"/>
          <w:bCs/>
          <w:lang w:val="ru-RU"/>
        </w:rPr>
        <w:tab/>
      </w:r>
      <w:r w:rsidRPr="0060639D">
        <w:rPr>
          <w:rFonts w:cs="Arial"/>
          <w:bCs/>
          <w:lang w:val="ru-RU"/>
        </w:rPr>
        <w:tab/>
      </w:r>
      <w:r>
        <w:rPr>
          <w:rFonts w:cs="Arial"/>
          <w:szCs w:val="20"/>
          <w:lang w:val="ru-RU"/>
        </w:rPr>
        <w:t>Бюро ВОИС в Бразилии</w:t>
      </w:r>
    </w:p>
    <w:p w:rsidR="00523F34" w:rsidRPr="00523F34" w:rsidRDefault="00523F34" w:rsidP="00523F34">
      <w:pPr>
        <w:tabs>
          <w:tab w:val="left" w:pos="2127"/>
        </w:tabs>
        <w:spacing w:after="40"/>
        <w:ind w:left="2127" w:hanging="2127"/>
        <w:rPr>
          <w:rFonts w:cs="Arial"/>
          <w:lang w:val="ru-RU"/>
        </w:rPr>
      </w:pPr>
      <w:r w:rsidRPr="00DC447A">
        <w:rPr>
          <w:rFonts w:cs="Arial"/>
        </w:rPr>
        <w:t>WCC</w:t>
      </w:r>
      <w:r w:rsidRPr="00DC447A">
        <w:rPr>
          <w:rFonts w:cs="Arial"/>
          <w:lang w:val="ru-RU"/>
        </w:rPr>
        <w:tab/>
      </w:r>
      <w:r w:rsidRPr="00DC447A">
        <w:rPr>
          <w:rFonts w:cs="Arial"/>
          <w:lang w:val="ru-RU"/>
        </w:rPr>
        <w:tab/>
      </w:r>
      <w:r w:rsidRPr="00DC447A">
        <w:rPr>
          <w:rFonts w:cs="Arial"/>
          <w:lang w:val="ru-RU"/>
        </w:rPr>
        <w:tab/>
      </w:r>
      <w:r w:rsidRPr="00DC447A">
        <w:rPr>
          <w:rFonts w:cs="Arial"/>
          <w:lang w:val="ru-RU"/>
        </w:rPr>
        <w:tab/>
      </w:r>
      <w:r w:rsidRPr="00DC447A">
        <w:rPr>
          <w:rFonts w:cs="Arial"/>
          <w:lang w:val="ru-RU"/>
        </w:rPr>
        <w:tab/>
      </w:r>
      <w:r w:rsidRPr="00DC447A">
        <w:rPr>
          <w:rFonts w:cs="Arial"/>
        </w:rPr>
        <w:t>WIPO</w:t>
      </w:r>
      <w:r w:rsidRPr="00DC447A">
        <w:rPr>
          <w:rFonts w:cs="Arial"/>
          <w:lang w:val="ru-RU"/>
        </w:rPr>
        <w:t xml:space="preserve"> </w:t>
      </w:r>
      <w:r w:rsidRPr="00DC447A">
        <w:rPr>
          <w:rFonts w:cs="Arial"/>
        </w:rPr>
        <w:t>Copyright</w:t>
      </w:r>
      <w:r w:rsidRPr="00DC447A">
        <w:rPr>
          <w:rFonts w:cs="Arial"/>
          <w:lang w:val="ru-RU"/>
        </w:rPr>
        <w:t xml:space="preserve"> </w:t>
      </w:r>
      <w:r w:rsidRPr="00DC447A">
        <w:rPr>
          <w:rFonts w:cs="Arial"/>
        </w:rPr>
        <w:t>Connection</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WCT</w:t>
      </w:r>
      <w:r w:rsidRPr="006500B4">
        <w:rPr>
          <w:rFonts w:cs="Arial"/>
          <w:szCs w:val="20"/>
          <w:lang w:val="ru-RU"/>
        </w:rPr>
        <w:tab/>
        <w:t>ДАП</w:t>
      </w:r>
      <w:r w:rsidRPr="006500B4">
        <w:rPr>
          <w:rFonts w:cs="Arial"/>
          <w:szCs w:val="20"/>
          <w:lang w:val="ru-RU"/>
        </w:rPr>
        <w:tab/>
        <w:t xml:space="preserve">Договор ВОИС по авторскому праву </w:t>
      </w:r>
    </w:p>
    <w:p w:rsidR="00C61544" w:rsidRDefault="00C61544" w:rsidP="00C61544">
      <w:pPr>
        <w:tabs>
          <w:tab w:val="left" w:pos="2127"/>
        </w:tabs>
        <w:spacing w:after="40"/>
        <w:ind w:left="3969" w:hanging="3969"/>
        <w:rPr>
          <w:rFonts w:cs="Arial"/>
          <w:szCs w:val="20"/>
          <w:lang w:val="ru-RU"/>
        </w:rPr>
      </w:pPr>
      <w:r w:rsidRPr="006500B4">
        <w:rPr>
          <w:rFonts w:cs="Arial"/>
          <w:szCs w:val="20"/>
        </w:rPr>
        <w:t>WHO</w:t>
      </w:r>
      <w:r w:rsidRPr="00684B31">
        <w:rPr>
          <w:rFonts w:cs="Arial"/>
          <w:szCs w:val="20"/>
          <w:lang w:val="ru-RU"/>
        </w:rPr>
        <w:tab/>
      </w:r>
      <w:r w:rsidRPr="006500B4">
        <w:rPr>
          <w:rFonts w:cs="Arial"/>
          <w:szCs w:val="20"/>
          <w:lang w:val="ru-RU"/>
        </w:rPr>
        <w:t>ВОЗ</w:t>
      </w:r>
      <w:r w:rsidRPr="00684B31">
        <w:rPr>
          <w:rFonts w:cs="Arial"/>
          <w:szCs w:val="20"/>
          <w:lang w:val="ru-RU"/>
        </w:rPr>
        <w:tab/>
      </w:r>
      <w:r w:rsidRPr="006500B4">
        <w:rPr>
          <w:rFonts w:cs="Arial"/>
          <w:szCs w:val="20"/>
          <w:lang w:val="ru-RU"/>
        </w:rPr>
        <w:t>Всемирная</w:t>
      </w:r>
      <w:r w:rsidRPr="00684B31">
        <w:rPr>
          <w:rFonts w:cs="Arial"/>
          <w:szCs w:val="20"/>
          <w:lang w:val="ru-RU"/>
        </w:rPr>
        <w:t xml:space="preserve"> </w:t>
      </w:r>
      <w:r w:rsidRPr="006500B4">
        <w:rPr>
          <w:rFonts w:cs="Arial"/>
          <w:szCs w:val="20"/>
          <w:lang w:val="ru-RU"/>
        </w:rPr>
        <w:t>организация</w:t>
      </w:r>
      <w:r w:rsidRPr="00684B31">
        <w:rPr>
          <w:rFonts w:cs="Arial"/>
          <w:szCs w:val="20"/>
          <w:lang w:val="ru-RU"/>
        </w:rPr>
        <w:t xml:space="preserve"> </w:t>
      </w:r>
      <w:r w:rsidRPr="006500B4">
        <w:rPr>
          <w:rFonts w:cs="Arial"/>
          <w:szCs w:val="20"/>
          <w:lang w:val="ru-RU"/>
        </w:rPr>
        <w:t>здравоохранения</w:t>
      </w:r>
    </w:p>
    <w:p w:rsidR="00C61544" w:rsidRPr="00281AAA" w:rsidRDefault="00C61544" w:rsidP="00C61544">
      <w:pPr>
        <w:tabs>
          <w:tab w:val="left" w:pos="2127"/>
        </w:tabs>
        <w:spacing w:after="40"/>
        <w:ind w:left="3969" w:hanging="3969"/>
        <w:rPr>
          <w:rFonts w:cs="Arial"/>
          <w:szCs w:val="20"/>
          <w:lang w:val="ru-RU"/>
        </w:rPr>
      </w:pPr>
      <w:r w:rsidRPr="00281AAA">
        <w:rPr>
          <w:rFonts w:cs="Arial"/>
          <w:szCs w:val="20"/>
          <w:lang w:val="ru-RU"/>
        </w:rPr>
        <w:t>WINS</w:t>
      </w:r>
      <w:r w:rsidRPr="00281AAA">
        <w:rPr>
          <w:rFonts w:cs="Arial"/>
          <w:szCs w:val="20"/>
          <w:lang w:val="ru-RU"/>
        </w:rPr>
        <w:tab/>
      </w:r>
      <w:r>
        <w:rPr>
          <w:rFonts w:cs="Arial"/>
          <w:szCs w:val="20"/>
          <w:lang w:val="ru-RU"/>
        </w:rPr>
        <w:tab/>
        <w:t xml:space="preserve">Система ВОИС уведомления о запросах </w:t>
      </w:r>
    </w:p>
    <w:p w:rsidR="00C61544" w:rsidRDefault="00C61544" w:rsidP="00C61544">
      <w:pPr>
        <w:tabs>
          <w:tab w:val="left" w:pos="2127"/>
        </w:tabs>
        <w:spacing w:after="40"/>
        <w:ind w:left="3969" w:hanging="3969"/>
        <w:rPr>
          <w:rFonts w:cs="Arial"/>
          <w:szCs w:val="20"/>
          <w:lang w:val="ru-RU"/>
        </w:rPr>
      </w:pPr>
      <w:r w:rsidRPr="006500B4">
        <w:rPr>
          <w:rFonts w:cs="Arial"/>
          <w:szCs w:val="20"/>
        </w:rPr>
        <w:t>WIPOCOS</w:t>
      </w:r>
      <w:r w:rsidRPr="006500B4">
        <w:rPr>
          <w:rFonts w:cs="Arial"/>
          <w:szCs w:val="20"/>
          <w:lang w:val="ru-RU"/>
        </w:rPr>
        <w:tab/>
      </w:r>
      <w:r w:rsidRPr="006500B4">
        <w:rPr>
          <w:rFonts w:cs="Arial"/>
          <w:szCs w:val="20"/>
          <w:lang w:val="ru-RU"/>
        </w:rPr>
        <w:tab/>
        <w:t>программное обеспечения для коллективного управления авторским правом и смежными правами</w:t>
      </w:r>
    </w:p>
    <w:p w:rsidR="00523F34" w:rsidRPr="003100FD" w:rsidRDefault="00523F34" w:rsidP="003100FD">
      <w:pPr>
        <w:tabs>
          <w:tab w:val="left" w:pos="2127"/>
        </w:tabs>
        <w:spacing w:after="40"/>
        <w:ind w:left="3969" w:hanging="3969"/>
        <w:rPr>
          <w:rFonts w:cs="Arial"/>
          <w:lang w:val="ru-RU"/>
        </w:rPr>
      </w:pPr>
      <w:r w:rsidRPr="003100FD">
        <w:rPr>
          <w:rFonts w:cs="Arial"/>
        </w:rPr>
        <w:t>WWIEA</w:t>
      </w:r>
      <w:r w:rsidRPr="003100FD">
        <w:rPr>
          <w:rFonts w:cs="Arial"/>
          <w:lang w:val="ru-RU"/>
        </w:rPr>
        <w:tab/>
      </w:r>
      <w:r w:rsidRPr="003100FD">
        <w:rPr>
          <w:rFonts w:cs="Arial"/>
          <w:lang w:val="ru-RU"/>
        </w:rPr>
        <w:tab/>
      </w:r>
      <w:r w:rsidRPr="003100FD">
        <w:rPr>
          <w:rFonts w:cs="Arial"/>
          <w:lang w:val="ru-RU"/>
        </w:rPr>
        <w:tab/>
      </w:r>
      <w:r w:rsidR="003100FD" w:rsidRPr="003100FD">
        <w:rPr>
          <w:rFonts w:cs="Arial"/>
          <w:lang w:val="ru-RU"/>
        </w:rPr>
        <w:t>Всемирная ассоциация женщин-изобретателей и</w:t>
      </w:r>
      <w:r w:rsidR="003100FD">
        <w:rPr>
          <w:rFonts w:cs="Arial"/>
          <w:lang w:val="ru-RU"/>
        </w:rPr>
        <w:t xml:space="preserve"> предпринимателей</w:t>
      </w:r>
    </w:p>
    <w:p w:rsidR="00C61544" w:rsidRPr="00B470F8" w:rsidRDefault="00C61544" w:rsidP="00C61544">
      <w:pPr>
        <w:tabs>
          <w:tab w:val="left" w:pos="2127"/>
        </w:tabs>
        <w:spacing w:after="40"/>
        <w:ind w:left="3969" w:hanging="3969"/>
        <w:rPr>
          <w:rFonts w:cs="Arial"/>
          <w:lang w:val="ru-RU"/>
        </w:rPr>
      </w:pPr>
      <w:r>
        <w:rPr>
          <w:rFonts w:cs="Arial"/>
        </w:rPr>
        <w:t>WJO</w:t>
      </w:r>
      <w:r w:rsidRPr="00B470F8">
        <w:rPr>
          <w:rFonts w:cs="Arial"/>
          <w:lang w:val="ru-RU"/>
        </w:rPr>
        <w:tab/>
      </w:r>
      <w:r>
        <w:rPr>
          <w:rFonts w:cs="Arial"/>
          <w:lang w:val="ru-RU"/>
        </w:rPr>
        <w:tab/>
      </w:r>
      <w:r>
        <w:rPr>
          <w:rFonts w:cs="Arial"/>
          <w:szCs w:val="20"/>
          <w:lang w:val="ru-RU"/>
        </w:rPr>
        <w:t>Бюро ВОИС в Японии</w:t>
      </w:r>
    </w:p>
    <w:p w:rsidR="00C61544" w:rsidRPr="00281AAA" w:rsidRDefault="00C61544" w:rsidP="00C61544">
      <w:pPr>
        <w:tabs>
          <w:tab w:val="left" w:pos="2127"/>
        </w:tabs>
        <w:spacing w:after="40"/>
        <w:ind w:left="3969" w:hanging="3969"/>
        <w:rPr>
          <w:rFonts w:cs="Arial"/>
          <w:szCs w:val="20"/>
          <w:lang w:val="ru-RU"/>
        </w:rPr>
      </w:pPr>
      <w:r w:rsidRPr="00281AAA">
        <w:rPr>
          <w:rFonts w:cs="Arial"/>
          <w:szCs w:val="20"/>
          <w:lang w:val="ru-RU"/>
        </w:rPr>
        <w:t>WPIS</w:t>
      </w:r>
      <w:r w:rsidRPr="00281AAA">
        <w:rPr>
          <w:rFonts w:cs="Arial"/>
          <w:szCs w:val="20"/>
          <w:lang w:val="ru-RU"/>
        </w:rPr>
        <w:tab/>
      </w:r>
      <w:r>
        <w:rPr>
          <w:rFonts w:cs="Arial"/>
          <w:szCs w:val="20"/>
          <w:lang w:val="ru-RU"/>
        </w:rPr>
        <w:tab/>
        <w:t>Услуги ВОИС в области патентной информации</w:t>
      </w:r>
      <w:r w:rsidRPr="00281AAA">
        <w:rPr>
          <w:rFonts w:cs="Arial"/>
          <w:szCs w:val="20"/>
          <w:lang w:val="ru-RU"/>
        </w:rPr>
        <w:t xml:space="preserve"> </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WPPT</w:t>
      </w:r>
      <w:r w:rsidRPr="006500B4">
        <w:rPr>
          <w:rFonts w:cs="Arial"/>
          <w:szCs w:val="20"/>
          <w:lang w:val="ru-RU"/>
        </w:rPr>
        <w:tab/>
        <w:t>ДИФ</w:t>
      </w:r>
      <w:r w:rsidRPr="006500B4">
        <w:rPr>
          <w:rFonts w:cs="Arial"/>
          <w:szCs w:val="20"/>
          <w:lang w:val="ru-RU"/>
        </w:rPr>
        <w:tab/>
        <w:t>Договор ВОИС по исполнениям и фонограммам</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WSIS</w:t>
      </w:r>
      <w:r w:rsidRPr="006500B4">
        <w:rPr>
          <w:rFonts w:cs="Arial"/>
          <w:szCs w:val="20"/>
          <w:lang w:val="ru-RU"/>
        </w:rPr>
        <w:tab/>
        <w:t>ВВУИО</w:t>
      </w:r>
      <w:r w:rsidRPr="006500B4">
        <w:rPr>
          <w:rFonts w:cs="Arial"/>
          <w:szCs w:val="20"/>
          <w:lang w:val="ru-RU"/>
        </w:rPr>
        <w:tab/>
      </w:r>
      <w:r w:rsidRPr="006500B4">
        <w:rPr>
          <w:rFonts w:cs="Arial"/>
          <w:bCs/>
          <w:szCs w:val="20"/>
          <w:lang w:val="ru-RU"/>
        </w:rPr>
        <w:t>Всемирная встреча на высшем уровне по вопросам информационного общества</w:t>
      </w:r>
    </w:p>
    <w:p w:rsidR="00C61544" w:rsidRPr="006500B4" w:rsidRDefault="00C61544" w:rsidP="00C61544">
      <w:pPr>
        <w:tabs>
          <w:tab w:val="left" w:pos="2127"/>
        </w:tabs>
        <w:spacing w:after="40"/>
        <w:ind w:left="3969" w:hanging="3969"/>
        <w:rPr>
          <w:rFonts w:cs="Arial"/>
          <w:szCs w:val="20"/>
          <w:lang w:val="ru-RU"/>
        </w:rPr>
      </w:pPr>
      <w:r w:rsidRPr="006500B4">
        <w:rPr>
          <w:rFonts w:cs="Arial"/>
          <w:szCs w:val="20"/>
        </w:rPr>
        <w:t>WSO</w:t>
      </w:r>
      <w:r w:rsidRPr="006500B4">
        <w:rPr>
          <w:rFonts w:cs="Arial"/>
          <w:szCs w:val="20"/>
          <w:lang w:val="ru-RU"/>
        </w:rPr>
        <w:tab/>
      </w:r>
      <w:r w:rsidRPr="006500B4">
        <w:rPr>
          <w:rFonts w:cs="Arial"/>
          <w:szCs w:val="20"/>
          <w:lang w:val="ru-RU"/>
        </w:rPr>
        <w:tab/>
        <w:t>Бюро ВОИС в Сингапуре</w:t>
      </w:r>
    </w:p>
    <w:p w:rsidR="00C61544" w:rsidRPr="00843C78" w:rsidRDefault="00C61544" w:rsidP="00C61544">
      <w:pPr>
        <w:tabs>
          <w:tab w:val="left" w:pos="2127"/>
        </w:tabs>
        <w:spacing w:after="40"/>
        <w:ind w:left="3969" w:hanging="3969"/>
        <w:rPr>
          <w:rFonts w:cs="Arial"/>
          <w:szCs w:val="20"/>
          <w:lang w:val="ru-RU"/>
        </w:rPr>
      </w:pPr>
      <w:r w:rsidRPr="00776974">
        <w:rPr>
          <w:rFonts w:cs="Arial"/>
          <w:szCs w:val="20"/>
        </w:rPr>
        <w:t>WTO</w:t>
      </w:r>
      <w:r w:rsidRPr="00843C78">
        <w:rPr>
          <w:rFonts w:cs="Arial"/>
          <w:szCs w:val="20"/>
          <w:lang w:val="ru-RU"/>
        </w:rPr>
        <w:tab/>
        <w:t>ВТО</w:t>
      </w:r>
      <w:r w:rsidRPr="00843C78">
        <w:rPr>
          <w:rFonts w:cs="Arial"/>
          <w:szCs w:val="20"/>
          <w:lang w:val="ru-RU"/>
        </w:rPr>
        <w:tab/>
        <w:t>Всемирная торговая организация</w:t>
      </w:r>
    </w:p>
    <w:p w:rsidR="00C61544" w:rsidRDefault="00C61544" w:rsidP="00C61544">
      <w:pPr>
        <w:tabs>
          <w:tab w:val="left" w:pos="2127"/>
        </w:tabs>
        <w:spacing w:after="40"/>
        <w:ind w:left="3969" w:hanging="3969"/>
        <w:rPr>
          <w:rFonts w:cs="Arial"/>
          <w:szCs w:val="20"/>
          <w:lang w:val="ru-RU"/>
        </w:rPr>
      </w:pPr>
    </w:p>
    <w:p w:rsidR="00B55B3A" w:rsidRPr="00843C78" w:rsidRDefault="00B55B3A" w:rsidP="00C61544">
      <w:pPr>
        <w:tabs>
          <w:tab w:val="left" w:pos="2127"/>
        </w:tabs>
        <w:spacing w:after="40"/>
        <w:ind w:left="3969" w:hanging="3969"/>
        <w:rPr>
          <w:rFonts w:cs="Arial"/>
          <w:szCs w:val="20"/>
          <w:lang w:val="ru-RU"/>
        </w:rPr>
      </w:pPr>
    </w:p>
    <w:p w:rsidR="00815ABB" w:rsidRPr="008D5827" w:rsidRDefault="00C61544" w:rsidP="008D5827">
      <w:pPr>
        <w:jc w:val="right"/>
        <w:rPr>
          <w:lang w:val="ru-RU"/>
        </w:rPr>
      </w:pPr>
      <w:bookmarkStart w:id="166" w:name="_Toc455052864"/>
      <w:r w:rsidRPr="008D5827">
        <w:rPr>
          <w:color w:val="000000"/>
          <w:lang w:val="ru-RU"/>
        </w:rPr>
        <w:t xml:space="preserve">[Конец дополнения </w:t>
      </w:r>
      <w:r w:rsidRPr="008D5827">
        <w:rPr>
          <w:color w:val="000000"/>
        </w:rPr>
        <w:t>IV</w:t>
      </w:r>
      <w:r w:rsidRPr="008D5827">
        <w:rPr>
          <w:color w:val="000000"/>
          <w:lang w:val="ru-RU"/>
        </w:rPr>
        <w:t xml:space="preserve"> и документа]</w:t>
      </w:r>
      <w:bookmarkEnd w:id="166"/>
    </w:p>
    <w:p w:rsidR="00815ABB" w:rsidRPr="001420E3" w:rsidRDefault="00815ABB" w:rsidP="00B11299">
      <w:pPr>
        <w:rPr>
          <w:lang w:val="ru-RU"/>
        </w:rPr>
      </w:pPr>
    </w:p>
    <w:p w:rsidR="00FB3CE3" w:rsidRPr="001420E3" w:rsidRDefault="00FB3CE3" w:rsidP="008D1891">
      <w:pPr>
        <w:autoSpaceDE w:val="0"/>
        <w:autoSpaceDN w:val="0"/>
        <w:jc w:val="both"/>
        <w:rPr>
          <w:lang w:val="ru-RU"/>
        </w:rPr>
      </w:pPr>
    </w:p>
    <w:sectPr w:rsidR="00FB3CE3" w:rsidRPr="001420E3" w:rsidSect="00545826">
      <w:headerReference w:type="even" r:id="rId207"/>
      <w:headerReference w:type="default" r:id="rId208"/>
      <w:headerReference w:type="first" r:id="rId209"/>
      <w:pgSz w:w="11907" w:h="16840" w:code="9"/>
      <w:pgMar w:top="567" w:right="1134" w:bottom="1361" w:left="1418" w:header="567" w:footer="68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E0D83" w:rsidRDefault="00EE0D83">
      <w:r>
        <w:separator/>
      </w:r>
    </w:p>
  </w:endnote>
  <w:endnote w:type="continuationSeparator" w:id="0">
    <w:p w:rsidR="00EE0D83" w:rsidRDefault="00EE0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00"/>
    <w:family w:val="swiss"/>
    <w:pitch w:val="variable"/>
    <w:sig w:usb0="00000287" w:usb1="00000000" w:usb2="00000000" w:usb3="00000000" w:csb0="0000009F" w:csb1="00000000"/>
  </w:font>
  <w:font w:name="Helvetica">
    <w:panose1 w:val="020B0604020202020204"/>
    <w:charset w:val="00"/>
    <w:family w:val="swiss"/>
    <w:pitch w:val="variable"/>
    <w:sig w:usb0="E0002AFF" w:usb1="C0007843" w:usb2="00000009" w:usb3="00000000" w:csb0="000001FF" w:csb1="00000000"/>
  </w:font>
  <w:font w:name="ヒラギノ角ゴ Pro W3">
    <w:altName w:val="MS Mincho"/>
    <w:charset w:val="80"/>
    <w:family w:val="auto"/>
    <w:pitch w:val="variable"/>
    <w:sig w:usb0="00000001" w:usb1="00000000" w:usb2="01000407"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Arial Bold">
    <w:panose1 w:val="020B0704020202020204"/>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MT">
    <w:altName w:val="Arial"/>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mn-ea">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Pr="00E31A65" w:rsidRDefault="00EE0D83" w:rsidP="00E31A65">
    <w:pPr>
      <w:pStyle w:val="Footer"/>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Default="005C6ABD" w:rsidP="00FF768F">
    <w:pPr>
      <w:pStyle w:val="Footer"/>
      <w:jc w:val="center"/>
    </w:pPr>
    <w:sdt>
      <w:sdtPr>
        <w:id w:val="1499537925"/>
        <w:docPartObj>
          <w:docPartGallery w:val="Page Numbers (Bottom of Page)"/>
          <w:docPartUnique/>
        </w:docPartObj>
      </w:sdtPr>
      <w:sdtEndPr>
        <w:rPr>
          <w:noProof/>
        </w:rPr>
      </w:sdtEndPr>
      <w:sdtContent>
        <w:r w:rsidR="00EE0D83">
          <w:fldChar w:fldCharType="begin"/>
        </w:r>
        <w:r w:rsidR="00EE0D83">
          <w:instrText xml:space="preserve"> PAGE   \* MERGEFORMAT </w:instrText>
        </w:r>
        <w:r w:rsidR="00EE0D83">
          <w:fldChar w:fldCharType="separate"/>
        </w:r>
        <w:r w:rsidR="00EE0D83">
          <w:rPr>
            <w:noProof/>
          </w:rPr>
          <w:t>56</w:t>
        </w:r>
        <w:r w:rsidR="00EE0D83">
          <w:rPr>
            <w:noProof/>
          </w:rPr>
          <w:fldChar w:fldCharType="end"/>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1457828"/>
      <w:docPartObj>
        <w:docPartGallery w:val="Page Numbers (Bottom of Page)"/>
        <w:docPartUnique/>
      </w:docPartObj>
    </w:sdtPr>
    <w:sdtEndPr>
      <w:rPr>
        <w:noProof/>
      </w:rPr>
    </w:sdtEndPr>
    <w:sdtContent>
      <w:p w:rsidR="00EE0D83" w:rsidRPr="00E31A65" w:rsidRDefault="00EE0D83" w:rsidP="00E31A65">
        <w:pPr>
          <w:pStyle w:val="Footer"/>
          <w:jc w:val="center"/>
        </w:pPr>
        <w:r>
          <w:fldChar w:fldCharType="begin"/>
        </w:r>
        <w:r>
          <w:instrText xml:space="preserve"> PAGE   \* MERGEFORMAT </w:instrText>
        </w:r>
        <w:r>
          <w:fldChar w:fldCharType="separate"/>
        </w:r>
        <w:r w:rsidR="005C6ABD">
          <w:rPr>
            <w:noProof/>
          </w:rPr>
          <w:t>322</w:t>
        </w:r>
        <w:r>
          <w:rPr>
            <w:noProof/>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0086163"/>
      <w:docPartObj>
        <w:docPartGallery w:val="Page Numbers (Bottom of Page)"/>
        <w:docPartUnique/>
      </w:docPartObj>
    </w:sdtPr>
    <w:sdtEndPr>
      <w:rPr>
        <w:noProof/>
      </w:rPr>
    </w:sdtEndPr>
    <w:sdtContent>
      <w:p w:rsidR="00EE0D83" w:rsidRDefault="00EE0D83" w:rsidP="00FF768F">
        <w:pPr>
          <w:pStyle w:val="Footer"/>
          <w:jc w:val="center"/>
        </w:pPr>
        <w:r>
          <w:fldChar w:fldCharType="begin"/>
        </w:r>
        <w:r>
          <w:instrText xml:space="preserve"> PAGE   \* MERGEFORMAT </w:instrText>
        </w:r>
        <w:r>
          <w:fldChar w:fldCharType="separate"/>
        </w:r>
        <w:r w:rsidR="005C6ABD">
          <w:rPr>
            <w:noProof/>
          </w:rPr>
          <w:t>321</w:t>
        </w:r>
        <w:r>
          <w:rPr>
            <w:noProof/>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Default="005C6ABD" w:rsidP="004A4516">
    <w:pPr>
      <w:pStyle w:val="Footer"/>
      <w:jc w:val="center"/>
    </w:pPr>
    <w:sdt>
      <w:sdtPr>
        <w:id w:val="363251060"/>
        <w:docPartObj>
          <w:docPartGallery w:val="Page Numbers (Bottom of Page)"/>
          <w:docPartUnique/>
        </w:docPartObj>
      </w:sdtPr>
      <w:sdtEndPr>
        <w:rPr>
          <w:noProof/>
        </w:rPr>
      </w:sdtEndPr>
      <w:sdtContent>
        <w:r w:rsidR="00EE0D83">
          <w:fldChar w:fldCharType="begin"/>
        </w:r>
        <w:r w:rsidR="00EE0D83">
          <w:instrText xml:space="preserve"> PAGE   \* MERGEFORMAT </w:instrText>
        </w:r>
        <w:r w:rsidR="00EE0D83">
          <w:fldChar w:fldCharType="separate"/>
        </w:r>
        <w:r>
          <w:rPr>
            <w:noProof/>
          </w:rPr>
          <w:t>1</w:t>
        </w:r>
        <w:r w:rsidR="00EE0D83">
          <w:rPr>
            <w:noProof/>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Default="00EE0D83">
    <w:pPr>
      <w:pStyle w:val="Footer"/>
      <w:jc w:val="center"/>
    </w:pPr>
    <w:r>
      <w:fldChar w:fldCharType="begin"/>
    </w:r>
    <w:r>
      <w:instrText xml:space="preserve"> PAGE   \* MERGEFORMAT </w:instrText>
    </w:r>
    <w:r>
      <w:fldChar w:fldCharType="separate"/>
    </w:r>
    <w:r w:rsidR="005C6ABD">
      <w:rPr>
        <w:noProof/>
      </w:rPr>
      <w:t>392</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Default="00EE0D83">
    <w:pPr>
      <w:pStyle w:val="Footer"/>
      <w:jc w:val="center"/>
    </w:pPr>
    <w:r>
      <w:fldChar w:fldCharType="begin"/>
    </w:r>
    <w:r>
      <w:instrText xml:space="preserve"> PAGE   \* MERGEFORMAT </w:instrText>
    </w:r>
    <w:r>
      <w:fldChar w:fldCharType="separate"/>
    </w:r>
    <w:r w:rsidR="005C6ABD">
      <w:rPr>
        <w:noProof/>
      </w:rPr>
      <w:t>391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E0D83" w:rsidRDefault="00EE0D83">
      <w:r>
        <w:separator/>
      </w:r>
    </w:p>
  </w:footnote>
  <w:footnote w:type="continuationSeparator" w:id="0">
    <w:p w:rsidR="00EE0D83" w:rsidRDefault="00EE0D83">
      <w:r>
        <w:continuationSeparator/>
      </w:r>
    </w:p>
  </w:footnote>
  <w:footnote w:id="1">
    <w:p w:rsidR="00EE0D83" w:rsidRPr="00BF61DC" w:rsidRDefault="00EE0D83" w:rsidP="00BF61DC">
      <w:pPr>
        <w:pStyle w:val="FootnoteText"/>
        <w:rPr>
          <w:lang w:val="ru-RU"/>
        </w:rPr>
      </w:pPr>
      <w:r>
        <w:rPr>
          <w:sz w:val="16"/>
          <w:vertAlign w:val="superscript"/>
        </w:rPr>
        <w:footnoteRef/>
      </w:r>
      <w:r w:rsidRPr="00BF61DC">
        <w:rPr>
          <w:sz w:val="16"/>
          <w:lang w:val="ru-RU"/>
        </w:rPr>
        <w:t xml:space="preserve"> Как правило, в тех случаях, когда данные о результативности представлены в качестве изменений долей (увеличение или снижение), если не указано иное, изменение доли определяется сравнением с предыдущим годом, т.е. речь идет об изменении доли в 2014</w:t>
      </w:r>
      <w:r>
        <w:rPr>
          <w:sz w:val="16"/>
        </w:rPr>
        <w:t> </w:t>
      </w:r>
      <w:r w:rsidRPr="00BF61DC">
        <w:rPr>
          <w:sz w:val="16"/>
          <w:lang w:val="ru-RU"/>
        </w:rPr>
        <w:t>г. по сравнению с 2013</w:t>
      </w:r>
      <w:r>
        <w:rPr>
          <w:sz w:val="16"/>
        </w:rPr>
        <w:t> </w:t>
      </w:r>
      <w:r w:rsidRPr="00BF61DC">
        <w:rPr>
          <w:sz w:val="16"/>
          <w:lang w:val="ru-RU"/>
        </w:rPr>
        <w:t>г. и изменении доли в 2015</w:t>
      </w:r>
      <w:r>
        <w:rPr>
          <w:sz w:val="16"/>
        </w:rPr>
        <w:t> </w:t>
      </w:r>
      <w:r w:rsidRPr="00BF61DC">
        <w:rPr>
          <w:sz w:val="16"/>
          <w:lang w:val="ru-RU"/>
        </w:rPr>
        <w:t>г. по сравнению с 2014</w:t>
      </w:r>
      <w:r>
        <w:rPr>
          <w:sz w:val="16"/>
        </w:rPr>
        <w:t> </w:t>
      </w:r>
      <w:r w:rsidRPr="00BF61DC">
        <w:rPr>
          <w:sz w:val="16"/>
          <w:lang w:val="ru-RU"/>
        </w:rPr>
        <w:t>г.</w:t>
      </w:r>
    </w:p>
  </w:footnote>
  <w:footnote w:id="2">
    <w:p w:rsidR="00EE0D83" w:rsidRPr="00BF61DC" w:rsidRDefault="00EE0D83" w:rsidP="00BF61DC">
      <w:pPr>
        <w:pStyle w:val="FootnoteText"/>
        <w:rPr>
          <w:sz w:val="16"/>
          <w:szCs w:val="16"/>
          <w:lang w:val="ru-RU"/>
        </w:rPr>
      </w:pPr>
      <w:r>
        <w:rPr>
          <w:rStyle w:val="FootnoteReference"/>
          <w:sz w:val="16"/>
        </w:rPr>
        <w:footnoteRef/>
      </w:r>
      <w:r w:rsidRPr="00BF61DC">
        <w:rPr>
          <w:sz w:val="16"/>
          <w:lang w:val="ru-RU"/>
        </w:rPr>
        <w:t xml:space="preserve"> В соответствии с просьбами государств-членов в рамках программ предусмотрена возможность определения целевых показателей, которые не были определены в Программе и бюджете на 2014–2015</w:t>
      </w:r>
      <w:r>
        <w:rPr>
          <w:sz w:val="16"/>
        </w:rPr>
        <w:t> </w:t>
      </w:r>
      <w:r w:rsidRPr="00BF61DC">
        <w:rPr>
          <w:sz w:val="16"/>
          <w:lang w:val="ru-RU"/>
        </w:rPr>
        <w:t>гг., т.е. целевых показателей с пометкой «будет определено дополнительно», в процессе начатого в июле 2014</w:t>
      </w:r>
      <w:r>
        <w:rPr>
          <w:sz w:val="16"/>
        </w:rPr>
        <w:t> </w:t>
      </w:r>
      <w:r w:rsidRPr="00BF61DC">
        <w:rPr>
          <w:sz w:val="16"/>
          <w:lang w:val="ru-RU"/>
        </w:rPr>
        <w:t>г. обновления базовых показателей на основе данных по состоянию на конец 2013</w:t>
      </w:r>
      <w:r>
        <w:rPr>
          <w:sz w:val="16"/>
        </w:rPr>
        <w:t> </w:t>
      </w:r>
      <w:r w:rsidRPr="00BF61DC">
        <w:rPr>
          <w:sz w:val="16"/>
          <w:lang w:val="ru-RU"/>
        </w:rPr>
        <w:t xml:space="preserve">г.  Те целевые показатели, которые не были установлены в ходе этого процесса, остались неустановленными, а данные о результативности, следовательно, помечены как «не подлежащие оценке».  </w:t>
      </w:r>
    </w:p>
  </w:footnote>
  <w:footnote w:id="3">
    <w:p w:rsidR="00EE0D83" w:rsidRPr="00BF61DC" w:rsidRDefault="00EE0D83" w:rsidP="00BF61DC">
      <w:pPr>
        <w:pStyle w:val="FootnoteText"/>
        <w:rPr>
          <w:lang w:val="ru-RU"/>
        </w:rPr>
      </w:pPr>
      <w:r>
        <w:rPr>
          <w:rStyle w:val="FootnoteReference"/>
          <w:sz w:val="16"/>
        </w:rPr>
        <w:footnoteRef/>
      </w:r>
      <w:r w:rsidRPr="00BF61DC">
        <w:rPr>
          <w:lang w:val="ru-RU"/>
        </w:rPr>
        <w:t xml:space="preserve"> </w:t>
      </w:r>
      <w:r w:rsidRPr="00BF61DC">
        <w:rPr>
          <w:sz w:val="16"/>
          <w:lang w:val="ru-RU"/>
        </w:rPr>
        <w:t>По состоянию на конец 2015</w:t>
      </w:r>
      <w:r>
        <w:rPr>
          <w:sz w:val="16"/>
        </w:rPr>
        <w:t> </w:t>
      </w:r>
      <w:r w:rsidRPr="00BF61DC">
        <w:rPr>
          <w:sz w:val="16"/>
          <w:lang w:val="ru-RU"/>
        </w:rPr>
        <w:t>г. в общей сложности было рассмотрено 29</w:t>
      </w:r>
      <w:r>
        <w:rPr>
          <w:sz w:val="16"/>
        </w:rPr>
        <w:t> </w:t>
      </w:r>
      <w:r w:rsidRPr="00BF61DC">
        <w:rPr>
          <w:sz w:val="16"/>
          <w:lang w:val="ru-RU"/>
        </w:rPr>
        <w:t>567</w:t>
      </w:r>
      <w:r>
        <w:rPr>
          <w:sz w:val="16"/>
        </w:rPr>
        <w:t> </w:t>
      </w:r>
      <w:r w:rsidRPr="00BF61DC">
        <w:rPr>
          <w:sz w:val="16"/>
          <w:lang w:val="ru-RU"/>
        </w:rPr>
        <w:t>споров о рДВУ и 3</w:t>
      </w:r>
      <w:r>
        <w:rPr>
          <w:sz w:val="16"/>
        </w:rPr>
        <w:t> </w:t>
      </w:r>
      <w:r w:rsidRPr="00BF61DC">
        <w:rPr>
          <w:sz w:val="16"/>
          <w:lang w:val="ru-RU"/>
        </w:rPr>
        <w:t>520</w:t>
      </w:r>
      <w:r>
        <w:rPr>
          <w:sz w:val="16"/>
        </w:rPr>
        <w:t> </w:t>
      </w:r>
      <w:r w:rsidRPr="00BF61DC">
        <w:rPr>
          <w:sz w:val="16"/>
          <w:lang w:val="ru-RU"/>
        </w:rPr>
        <w:t>споров о доменах верхнего уровня с кодом стран (ксДВУ).</w:t>
      </w:r>
    </w:p>
  </w:footnote>
  <w:footnote w:id="4">
    <w:p w:rsidR="00EE0D83" w:rsidRPr="00BF61DC" w:rsidRDefault="00EE0D83" w:rsidP="00BF61DC">
      <w:pPr>
        <w:pStyle w:val="FootnoteText"/>
        <w:rPr>
          <w:lang w:val="ru-RU"/>
        </w:rPr>
      </w:pPr>
      <w:r>
        <w:rPr>
          <w:sz w:val="16"/>
          <w:vertAlign w:val="superscript"/>
        </w:rPr>
        <w:footnoteRef/>
      </w:r>
      <w:r w:rsidRPr="00BF61DC">
        <w:rPr>
          <w:sz w:val="16"/>
          <w:lang w:val="ru-RU"/>
        </w:rPr>
        <w:t xml:space="preserve"> Рост спроса на углубленные курсы ДО на 138</w:t>
      </w:r>
      <w:r>
        <w:rPr>
          <w:sz w:val="16"/>
        </w:rPr>
        <w:t> </w:t>
      </w:r>
      <w:r w:rsidRPr="00BF61DC">
        <w:rPr>
          <w:sz w:val="16"/>
          <w:lang w:val="ru-RU"/>
        </w:rPr>
        <w:t>процентов связан с высоким уровнем участия ЦПТИ, в частности из Марокко, Мадагаскара и Южной Африки, а также с большей доступностью курсов ДО на всех шести языках ООН к концу 2015</w:t>
      </w:r>
      <w:r>
        <w:rPr>
          <w:sz w:val="16"/>
        </w:rPr>
        <w:t> </w:t>
      </w:r>
      <w:r w:rsidRPr="00BF61DC">
        <w:rPr>
          <w:sz w:val="16"/>
          <w:lang w:val="ru-RU"/>
        </w:rPr>
        <w:t>г.</w:t>
      </w:r>
      <w:r w:rsidRPr="00BF61DC">
        <w:rPr>
          <w:lang w:val="ru-RU"/>
        </w:rPr>
        <w:t xml:space="preserve">  </w:t>
      </w:r>
    </w:p>
  </w:footnote>
  <w:footnote w:id="5">
    <w:p w:rsidR="00EE0D83" w:rsidRPr="00BF61DC" w:rsidRDefault="00EE0D83" w:rsidP="00BF61DC">
      <w:pPr>
        <w:pStyle w:val="FootnoteText"/>
        <w:rPr>
          <w:sz w:val="16"/>
          <w:szCs w:val="16"/>
          <w:lang w:val="ru-RU"/>
        </w:rPr>
      </w:pPr>
      <w:r>
        <w:rPr>
          <w:rStyle w:val="FootnoteReference"/>
        </w:rPr>
        <w:footnoteRef/>
      </w:r>
      <w:r w:rsidRPr="00BF61DC">
        <w:rPr>
          <w:sz w:val="16"/>
          <w:lang w:val="ru-RU"/>
        </w:rPr>
        <w:t>Прежнее название – система статистического машинного перевода наименований и рефератов патентов (</w:t>
      </w:r>
      <w:r>
        <w:rPr>
          <w:sz w:val="16"/>
        </w:rPr>
        <w:t>TAPTA</w:t>
      </w:r>
      <w:r w:rsidRPr="00BF61DC">
        <w:rPr>
          <w:sz w:val="16"/>
          <w:lang w:val="ru-RU"/>
        </w:rPr>
        <w:t>).</w:t>
      </w:r>
    </w:p>
  </w:footnote>
  <w:footnote w:id="6">
    <w:p w:rsidR="00EE0D83" w:rsidRPr="00BF61DC" w:rsidRDefault="00EE0D83" w:rsidP="00BF61DC">
      <w:pPr>
        <w:pStyle w:val="FootnoteText"/>
        <w:rPr>
          <w:lang w:val="ru-RU"/>
        </w:rPr>
      </w:pPr>
      <w:r>
        <w:rPr>
          <w:rStyle w:val="FootnoteReference"/>
        </w:rPr>
        <w:footnoteRef/>
      </w:r>
      <w:r w:rsidRPr="00BF61DC">
        <w:rPr>
          <w:lang w:val="ru-RU"/>
        </w:rPr>
        <w:t xml:space="preserve"> </w:t>
      </w:r>
      <w:r w:rsidRPr="00BF61DC">
        <w:rPr>
          <w:sz w:val="16"/>
          <w:lang w:val="ru-RU"/>
        </w:rPr>
        <w:t>В ОРП за 2012-2013 гг. сообщалось, что мероприятия в рамках ежегодной кампании, посвященной Международному дню интеллектуальной собственности, осуществлялись в 89</w:t>
      </w:r>
      <w:r>
        <w:rPr>
          <w:sz w:val="16"/>
        </w:rPr>
        <w:t> </w:t>
      </w:r>
      <w:r w:rsidRPr="00BF61DC">
        <w:rPr>
          <w:sz w:val="16"/>
          <w:lang w:val="ru-RU"/>
        </w:rPr>
        <w:t>странах.  На самом деле таких стран насчитывалось 93.</w:t>
      </w:r>
    </w:p>
  </w:footnote>
  <w:footnote w:id="7">
    <w:p w:rsidR="00EE0D83" w:rsidRPr="00FB42DD" w:rsidRDefault="00EE0D83" w:rsidP="00915629">
      <w:pPr>
        <w:pStyle w:val="FootnoteText"/>
        <w:rPr>
          <w:sz w:val="16"/>
          <w:szCs w:val="16"/>
          <w:lang w:val="ru-RU"/>
        </w:rPr>
      </w:pPr>
      <w:r w:rsidRPr="00751A01">
        <w:rPr>
          <w:rStyle w:val="FootnoteReference"/>
          <w:sz w:val="16"/>
          <w:szCs w:val="16"/>
        </w:rPr>
        <w:footnoteRef/>
      </w:r>
      <w:r w:rsidRPr="00FB42DD">
        <w:rPr>
          <w:lang w:val="ru-RU"/>
        </w:rPr>
        <w:t xml:space="preserve"> </w:t>
      </w:r>
      <w:r w:rsidRPr="00FB42DD">
        <w:rPr>
          <w:sz w:val="16"/>
          <w:szCs w:val="16"/>
          <w:lang w:val="ru-RU"/>
        </w:rPr>
        <w:t xml:space="preserve">В соответствии с практикой </w:t>
      </w:r>
      <w:r>
        <w:rPr>
          <w:sz w:val="16"/>
          <w:szCs w:val="16"/>
          <w:lang w:val="ru-RU"/>
        </w:rPr>
        <w:t>прошлого периода</w:t>
      </w:r>
      <w:r w:rsidRPr="00FB42DD">
        <w:rPr>
          <w:sz w:val="16"/>
          <w:szCs w:val="16"/>
          <w:lang w:val="ru-RU"/>
        </w:rPr>
        <w:t xml:space="preserve"> для целей Программы и бюджета </w:t>
      </w:r>
      <w:r>
        <w:rPr>
          <w:sz w:val="16"/>
          <w:szCs w:val="16"/>
          <w:lang w:val="ru-RU"/>
        </w:rPr>
        <w:t xml:space="preserve">были </w:t>
      </w:r>
      <w:r w:rsidRPr="00FB42DD">
        <w:rPr>
          <w:sz w:val="16"/>
          <w:szCs w:val="16"/>
          <w:lang w:val="ru-RU"/>
        </w:rPr>
        <w:t>включены страны с переходной экономикой.</w:t>
      </w:r>
    </w:p>
  </w:footnote>
  <w:footnote w:id="8">
    <w:p w:rsidR="00EE0D83" w:rsidRPr="00751A01" w:rsidRDefault="00EE0D83">
      <w:pPr>
        <w:pStyle w:val="FootnoteText"/>
        <w:rPr>
          <w:sz w:val="16"/>
          <w:szCs w:val="16"/>
          <w:lang w:val="ru-RU"/>
        </w:rPr>
      </w:pPr>
      <w:r w:rsidRPr="00751A01">
        <w:rPr>
          <w:rStyle w:val="FootnoteReference"/>
          <w:sz w:val="16"/>
          <w:szCs w:val="16"/>
        </w:rPr>
        <w:footnoteRef/>
      </w:r>
      <w:r w:rsidRPr="00751A01">
        <w:rPr>
          <w:sz w:val="16"/>
          <w:szCs w:val="16"/>
          <w:lang w:val="ru-RU"/>
        </w:rPr>
        <w:t xml:space="preserve"> Данные за 2015 г. получены с применением новой методики подсчета уровня удовлетворенности.</w:t>
      </w:r>
    </w:p>
  </w:footnote>
  <w:footnote w:id="9">
    <w:p w:rsidR="00EE0D83" w:rsidRPr="00751A01" w:rsidRDefault="00EE0D83">
      <w:pPr>
        <w:pStyle w:val="FootnoteText"/>
        <w:rPr>
          <w:lang w:val="ru-RU"/>
        </w:rPr>
      </w:pPr>
      <w:r>
        <w:rPr>
          <w:rStyle w:val="FootnoteReference"/>
        </w:rPr>
        <w:footnoteRef/>
      </w:r>
      <w:r w:rsidRPr="00751A01">
        <w:rPr>
          <w:lang w:val="ru-RU"/>
        </w:rPr>
        <w:t xml:space="preserve"> </w:t>
      </w:r>
      <w:r w:rsidRPr="00751A01">
        <w:rPr>
          <w:sz w:val="16"/>
          <w:szCs w:val="16"/>
          <w:lang w:val="ru-RU"/>
        </w:rPr>
        <w:t xml:space="preserve">Отчет о сорок седьмой сессии Генеральной Ассамблеи ВОИС:  </w:t>
      </w:r>
      <w:r w:rsidRPr="00751A01">
        <w:rPr>
          <w:sz w:val="16"/>
          <w:szCs w:val="16"/>
        </w:rPr>
        <w:t>WO</w:t>
      </w:r>
      <w:r w:rsidRPr="00751A01">
        <w:rPr>
          <w:sz w:val="16"/>
          <w:szCs w:val="16"/>
          <w:lang w:val="ru-RU"/>
        </w:rPr>
        <w:t>/</w:t>
      </w:r>
      <w:r w:rsidRPr="00751A01">
        <w:rPr>
          <w:sz w:val="16"/>
          <w:szCs w:val="16"/>
        </w:rPr>
        <w:t>GA</w:t>
      </w:r>
      <w:r w:rsidRPr="00751A01">
        <w:rPr>
          <w:sz w:val="16"/>
          <w:szCs w:val="16"/>
          <w:lang w:val="ru-RU"/>
        </w:rPr>
        <w:t>/47/19</w:t>
      </w:r>
    </w:p>
  </w:footnote>
  <w:footnote w:id="10">
    <w:p w:rsidR="00EE0D83" w:rsidRPr="00A336D0" w:rsidRDefault="00EE0D83" w:rsidP="00A336D0">
      <w:pPr>
        <w:pStyle w:val="FootnoteText"/>
        <w:rPr>
          <w:lang w:val="ru-RU"/>
        </w:rPr>
      </w:pPr>
      <w:r w:rsidRPr="00751A01">
        <w:rPr>
          <w:rStyle w:val="FootnoteReference"/>
          <w:sz w:val="16"/>
          <w:szCs w:val="16"/>
        </w:rPr>
        <w:footnoteRef/>
      </w:r>
      <w:r w:rsidRPr="00751A01">
        <w:rPr>
          <w:sz w:val="16"/>
          <w:szCs w:val="16"/>
          <w:lang w:val="ru-RU"/>
        </w:rPr>
        <w:t xml:space="preserve"> </w:t>
      </w:r>
      <w:r w:rsidRPr="00A336D0">
        <w:rPr>
          <w:sz w:val="16"/>
          <w:lang w:val="ru-RU"/>
        </w:rPr>
        <w:t>Поправка: фактическое число просьб о сообщении согласно статье 6</w:t>
      </w:r>
      <w:r>
        <w:rPr>
          <w:i/>
          <w:sz w:val="16"/>
        </w:rPr>
        <w:t>ter</w:t>
      </w:r>
      <w:r w:rsidRPr="00A336D0">
        <w:rPr>
          <w:sz w:val="16"/>
          <w:lang w:val="ru-RU"/>
        </w:rPr>
        <w:t>, рассмотренных в 2012</w:t>
      </w:r>
      <w:r>
        <w:rPr>
          <w:sz w:val="16"/>
        </w:rPr>
        <w:t> </w:t>
      </w:r>
      <w:r w:rsidRPr="00A336D0">
        <w:rPr>
          <w:sz w:val="16"/>
          <w:lang w:val="ru-RU"/>
        </w:rPr>
        <w:t>г., составило 69, как сообщалось в ОРП за 2012–2013</w:t>
      </w:r>
      <w:r>
        <w:rPr>
          <w:sz w:val="16"/>
        </w:rPr>
        <w:t> </w:t>
      </w:r>
      <w:r w:rsidRPr="00A336D0">
        <w:rPr>
          <w:sz w:val="16"/>
          <w:lang w:val="ru-RU"/>
        </w:rPr>
        <w:t>гг.</w:t>
      </w:r>
    </w:p>
  </w:footnote>
  <w:footnote w:id="11">
    <w:p w:rsidR="00EE0D83" w:rsidRPr="00A336D0" w:rsidRDefault="00EE0D83" w:rsidP="00A336D0">
      <w:pPr>
        <w:pStyle w:val="FootnoteText"/>
        <w:rPr>
          <w:sz w:val="16"/>
          <w:szCs w:val="16"/>
          <w:lang w:val="ru-RU"/>
        </w:rPr>
      </w:pPr>
      <w:r w:rsidRPr="00751A01">
        <w:rPr>
          <w:rStyle w:val="FootnoteReference"/>
          <w:sz w:val="16"/>
          <w:szCs w:val="16"/>
        </w:rPr>
        <w:footnoteRef/>
      </w:r>
      <w:r w:rsidRPr="00751A01">
        <w:rPr>
          <w:sz w:val="16"/>
          <w:szCs w:val="16"/>
          <w:lang w:val="ru-RU"/>
        </w:rPr>
        <w:t xml:space="preserve"> П</w:t>
      </w:r>
      <w:r w:rsidRPr="00A336D0">
        <w:rPr>
          <w:sz w:val="16"/>
          <w:lang w:val="ru-RU"/>
        </w:rPr>
        <w:t>оправка: по состоянию на конец 2012</w:t>
      </w:r>
      <w:r>
        <w:rPr>
          <w:sz w:val="16"/>
        </w:rPr>
        <w:t> </w:t>
      </w:r>
      <w:r w:rsidRPr="00A336D0">
        <w:rPr>
          <w:sz w:val="16"/>
          <w:lang w:val="ru-RU"/>
        </w:rPr>
        <w:t>г. фактическое число знаков, внесенных в базу данных, ведущуюся в порядке выполнения статьи</w:t>
      </w:r>
      <w:r>
        <w:rPr>
          <w:sz w:val="16"/>
        </w:rPr>
        <w:t> </w:t>
      </w:r>
      <w:r w:rsidRPr="00A336D0">
        <w:rPr>
          <w:sz w:val="16"/>
          <w:lang w:val="ru-RU"/>
        </w:rPr>
        <w:t>6</w:t>
      </w:r>
      <w:r>
        <w:rPr>
          <w:i/>
          <w:sz w:val="16"/>
        </w:rPr>
        <w:t>ter</w:t>
      </w:r>
      <w:r w:rsidRPr="00A336D0">
        <w:rPr>
          <w:sz w:val="16"/>
          <w:lang w:val="ru-RU"/>
        </w:rPr>
        <w:t>, составило 84 (ОРП за 2012–2013</w:t>
      </w:r>
      <w:r>
        <w:rPr>
          <w:sz w:val="16"/>
        </w:rPr>
        <w:t> </w:t>
      </w:r>
      <w:r w:rsidRPr="00A336D0">
        <w:rPr>
          <w:sz w:val="16"/>
          <w:lang w:val="ru-RU"/>
        </w:rPr>
        <w:t>гг.)</w:t>
      </w:r>
    </w:p>
  </w:footnote>
  <w:footnote w:id="12">
    <w:p w:rsidR="00EE0D83" w:rsidRPr="00A336D0" w:rsidRDefault="00EE0D83" w:rsidP="00A336D0">
      <w:pPr>
        <w:pStyle w:val="FootnoteText"/>
        <w:rPr>
          <w:lang w:val="ru-RU"/>
        </w:rPr>
      </w:pPr>
      <w:r>
        <w:rPr>
          <w:rStyle w:val="FootnoteReference"/>
          <w:sz w:val="16"/>
        </w:rPr>
        <w:footnoteRef/>
      </w:r>
      <w:r w:rsidRPr="00A336D0">
        <w:rPr>
          <w:sz w:val="16"/>
          <w:lang w:val="ru-RU"/>
        </w:rPr>
        <w:t xml:space="preserve"> Данный целевой показатель касается числа знаков, внесенных в базу данных в течение двухлетнего периода 2014–2015</w:t>
      </w:r>
      <w:r>
        <w:rPr>
          <w:sz w:val="16"/>
        </w:rPr>
        <w:t> </w:t>
      </w:r>
      <w:r w:rsidRPr="00A336D0">
        <w:rPr>
          <w:sz w:val="16"/>
          <w:lang w:val="ru-RU"/>
        </w:rPr>
        <w:t>гг.</w:t>
      </w:r>
    </w:p>
  </w:footnote>
  <w:footnote w:id="13">
    <w:p w:rsidR="00EE0D83" w:rsidRPr="00F053BA" w:rsidRDefault="00EE0D83" w:rsidP="00F053BA">
      <w:pPr>
        <w:pStyle w:val="FootnoteText"/>
        <w:rPr>
          <w:sz w:val="16"/>
          <w:szCs w:val="16"/>
          <w:lang w:val="ru-RU"/>
        </w:rPr>
      </w:pPr>
      <w:r>
        <w:rPr>
          <w:rStyle w:val="FootnoteReference"/>
          <w:sz w:val="16"/>
        </w:rPr>
        <w:footnoteRef/>
      </w:r>
      <w:r w:rsidRPr="00F053BA">
        <w:rPr>
          <w:sz w:val="16"/>
          <w:lang w:val="ru-RU"/>
        </w:rPr>
        <w:t xml:space="preserve"> </w:t>
      </w:r>
      <w:r>
        <w:rPr>
          <w:sz w:val="16"/>
        </w:rPr>
        <w:t>http</w:t>
      </w:r>
      <w:r w:rsidRPr="00F053BA">
        <w:rPr>
          <w:sz w:val="16"/>
          <w:lang w:val="ru-RU"/>
        </w:rPr>
        <w:t>://</w:t>
      </w:r>
      <w:r>
        <w:rPr>
          <w:sz w:val="16"/>
        </w:rPr>
        <w:t>www</w:t>
      </w:r>
      <w:r w:rsidRPr="00F053BA">
        <w:rPr>
          <w:sz w:val="16"/>
          <w:lang w:val="ru-RU"/>
        </w:rPr>
        <w:t>.</w:t>
      </w:r>
      <w:r>
        <w:rPr>
          <w:sz w:val="16"/>
        </w:rPr>
        <w:t>bakermckenzie</w:t>
      </w:r>
      <w:r w:rsidRPr="00F053BA">
        <w:rPr>
          <w:sz w:val="16"/>
          <w:lang w:val="ru-RU"/>
        </w:rPr>
        <w:t>.</w:t>
      </w:r>
      <w:r>
        <w:rPr>
          <w:sz w:val="16"/>
        </w:rPr>
        <w:t>com</w:t>
      </w:r>
      <w:r w:rsidRPr="00F053BA">
        <w:rPr>
          <w:sz w:val="16"/>
          <w:lang w:val="ru-RU"/>
        </w:rPr>
        <w:t>/</w:t>
      </w:r>
      <w:r>
        <w:rPr>
          <w:sz w:val="16"/>
        </w:rPr>
        <w:t>intellectualproperty</w:t>
      </w:r>
      <w:r w:rsidRPr="00F053BA">
        <w:rPr>
          <w:sz w:val="16"/>
          <w:lang w:val="ru-RU"/>
        </w:rPr>
        <w:t>/</w:t>
      </w:r>
      <w:r>
        <w:rPr>
          <w:sz w:val="16"/>
        </w:rPr>
        <w:t>csh</w:t>
      </w:r>
      <w:r w:rsidRPr="00F053BA">
        <w:rPr>
          <w:sz w:val="16"/>
          <w:lang w:val="ru-RU"/>
        </w:rPr>
        <w:t>2014/</w:t>
      </w:r>
    </w:p>
  </w:footnote>
  <w:footnote w:id="14">
    <w:p w:rsidR="00EE0D83" w:rsidRPr="00F053BA" w:rsidRDefault="00EE0D83" w:rsidP="00F053BA">
      <w:pPr>
        <w:pStyle w:val="FootnoteText"/>
        <w:rPr>
          <w:sz w:val="16"/>
          <w:szCs w:val="16"/>
          <w:lang w:val="ru-RU"/>
        </w:rPr>
      </w:pPr>
      <w:r>
        <w:rPr>
          <w:rStyle w:val="FootnoteReference"/>
          <w:sz w:val="16"/>
        </w:rPr>
        <w:footnoteRef/>
      </w:r>
      <w:r w:rsidRPr="00F053BA">
        <w:rPr>
          <w:sz w:val="16"/>
          <w:lang w:val="ru-RU"/>
        </w:rPr>
        <w:t xml:space="preserve"> Поправка: представленный выше перечень стран является результатом применения более точной системы отслеживания результатов по проекту </w:t>
      </w:r>
      <w:r>
        <w:rPr>
          <w:sz w:val="16"/>
        </w:rPr>
        <w:t>TAG</w:t>
      </w:r>
      <w:r w:rsidRPr="00F053BA">
        <w:rPr>
          <w:sz w:val="16"/>
          <w:lang w:val="ru-RU"/>
        </w:rPr>
        <w:t>, которая была внедрена в 2015</w:t>
      </w:r>
      <w:r>
        <w:rPr>
          <w:sz w:val="16"/>
        </w:rPr>
        <w:t> </w:t>
      </w:r>
      <w:r w:rsidRPr="00F053BA">
        <w:rPr>
          <w:sz w:val="16"/>
          <w:lang w:val="ru-RU"/>
        </w:rPr>
        <w:t>г.  В 2014</w:t>
      </w:r>
      <w:r>
        <w:rPr>
          <w:sz w:val="16"/>
        </w:rPr>
        <w:t> </w:t>
      </w:r>
      <w:r w:rsidRPr="00F053BA">
        <w:rPr>
          <w:sz w:val="16"/>
          <w:lang w:val="ru-RU"/>
        </w:rPr>
        <w:t>г. Кабо-Верде и Эфиопия не подписывали официально документ о выражении заинтересованности, о чем говорится в ОРП 2014</w:t>
      </w:r>
      <w:r>
        <w:rPr>
          <w:sz w:val="16"/>
        </w:rPr>
        <w:t> </w:t>
      </w:r>
      <w:r w:rsidRPr="00F053BA">
        <w:rPr>
          <w:sz w:val="16"/>
          <w:lang w:val="ru-RU"/>
        </w:rPr>
        <w:t>г.</w:t>
      </w:r>
    </w:p>
  </w:footnote>
  <w:footnote w:id="15">
    <w:p w:rsidR="00EE0D83" w:rsidRPr="00F053BA" w:rsidRDefault="00EE0D83" w:rsidP="00F053BA">
      <w:pPr>
        <w:pStyle w:val="FootnoteText"/>
        <w:rPr>
          <w:lang w:val="ru-RU"/>
        </w:rPr>
      </w:pPr>
      <w:r>
        <w:rPr>
          <w:rStyle w:val="FootnoteReference"/>
        </w:rPr>
        <w:footnoteRef/>
      </w:r>
      <w:r w:rsidRPr="00F053BA">
        <w:rPr>
          <w:lang w:val="ru-RU"/>
        </w:rPr>
        <w:t xml:space="preserve"> </w:t>
      </w:r>
      <w:r w:rsidRPr="00F053BA">
        <w:rPr>
          <w:sz w:val="16"/>
          <w:lang w:val="ru-RU"/>
        </w:rPr>
        <w:t>Поправка: из-за технической ошибки было ненамеренно указано, что по состоянию на конец 2013</w:t>
      </w:r>
      <w:r>
        <w:rPr>
          <w:sz w:val="16"/>
        </w:rPr>
        <w:t> </w:t>
      </w:r>
      <w:r w:rsidRPr="00F053BA">
        <w:rPr>
          <w:sz w:val="16"/>
          <w:lang w:val="ru-RU"/>
        </w:rPr>
        <w:t xml:space="preserve">г. систему </w:t>
      </w:r>
      <w:r>
        <w:rPr>
          <w:sz w:val="16"/>
        </w:rPr>
        <w:t>GDA</w:t>
      </w:r>
      <w:r w:rsidRPr="00F053BA">
        <w:rPr>
          <w:sz w:val="16"/>
          <w:lang w:val="ru-RU"/>
        </w:rPr>
        <w:t xml:space="preserve"> использовали 18</w:t>
      </w:r>
      <w:r>
        <w:rPr>
          <w:sz w:val="16"/>
        </w:rPr>
        <w:t> </w:t>
      </w:r>
      <w:r w:rsidRPr="00F053BA">
        <w:rPr>
          <w:sz w:val="16"/>
          <w:lang w:val="ru-RU"/>
        </w:rPr>
        <w:t>ведомств авторского права.  В действительности общее число таких ведомств было 15, что соответствует целевому показателю «15</w:t>
      </w:r>
      <w:r>
        <w:rPr>
          <w:sz w:val="16"/>
        </w:rPr>
        <w:t> </w:t>
      </w:r>
      <w:r w:rsidRPr="00F053BA">
        <w:rPr>
          <w:sz w:val="16"/>
          <w:lang w:val="ru-RU"/>
        </w:rPr>
        <w:t>ведомств», установленному на двухлетний период 2012–2013</w:t>
      </w:r>
      <w:r>
        <w:rPr>
          <w:sz w:val="16"/>
        </w:rPr>
        <w:t> </w:t>
      </w:r>
      <w:r w:rsidRPr="00F053BA">
        <w:rPr>
          <w:sz w:val="16"/>
          <w:lang w:val="ru-RU"/>
        </w:rPr>
        <w:t>гг.</w:t>
      </w:r>
    </w:p>
  </w:footnote>
  <w:footnote w:id="16">
    <w:p w:rsidR="00EE0D83" w:rsidRPr="00F053BA" w:rsidRDefault="00EE0D83" w:rsidP="00F053BA">
      <w:pPr>
        <w:pStyle w:val="FootnoteText"/>
        <w:rPr>
          <w:lang w:val="ru-RU"/>
        </w:rPr>
      </w:pPr>
      <w:r>
        <w:rPr>
          <w:rStyle w:val="FootnoteReference"/>
        </w:rPr>
        <w:footnoteRef/>
      </w:r>
      <w:r w:rsidRPr="00F053BA">
        <w:rPr>
          <w:lang w:val="ru-RU"/>
        </w:rPr>
        <w:t xml:space="preserve"> </w:t>
      </w:r>
      <w:hyperlink r:id="rId1" w:history="1">
        <w:r w:rsidRPr="00366018">
          <w:rPr>
            <w:rStyle w:val="Hyperlink"/>
            <w:sz w:val="16"/>
          </w:rPr>
          <w:t>http</w:t>
        </w:r>
        <w:r w:rsidRPr="00F053BA">
          <w:rPr>
            <w:rStyle w:val="Hyperlink"/>
            <w:sz w:val="16"/>
            <w:lang w:val="ru-RU"/>
          </w:rPr>
          <w:t>://</w:t>
        </w:r>
        <w:r w:rsidRPr="00366018">
          <w:rPr>
            <w:rStyle w:val="Hyperlink"/>
            <w:sz w:val="16"/>
          </w:rPr>
          <w:t>www</w:t>
        </w:r>
        <w:r w:rsidRPr="00F053BA">
          <w:rPr>
            <w:rStyle w:val="Hyperlink"/>
            <w:sz w:val="16"/>
            <w:lang w:val="ru-RU"/>
          </w:rPr>
          <w:t>.</w:t>
        </w:r>
        <w:r w:rsidRPr="00366018">
          <w:rPr>
            <w:rStyle w:val="Hyperlink"/>
            <w:sz w:val="16"/>
          </w:rPr>
          <w:t>wipo</w:t>
        </w:r>
        <w:r w:rsidRPr="00F053BA">
          <w:rPr>
            <w:rStyle w:val="Hyperlink"/>
            <w:sz w:val="16"/>
            <w:lang w:val="ru-RU"/>
          </w:rPr>
          <w:t>.</w:t>
        </w:r>
        <w:r w:rsidRPr="00366018">
          <w:rPr>
            <w:rStyle w:val="Hyperlink"/>
            <w:sz w:val="16"/>
          </w:rPr>
          <w:t>int</w:t>
        </w:r>
        <w:r w:rsidRPr="00F053BA">
          <w:rPr>
            <w:rStyle w:val="Hyperlink"/>
            <w:sz w:val="16"/>
            <w:lang w:val="ru-RU"/>
          </w:rPr>
          <w:t>/</w:t>
        </w:r>
        <w:r w:rsidRPr="00366018">
          <w:rPr>
            <w:rStyle w:val="Hyperlink"/>
            <w:sz w:val="16"/>
          </w:rPr>
          <w:t>edocs</w:t>
        </w:r>
        <w:r w:rsidRPr="00F053BA">
          <w:rPr>
            <w:rStyle w:val="Hyperlink"/>
            <w:sz w:val="16"/>
            <w:lang w:val="ru-RU"/>
          </w:rPr>
          <w:t>/</w:t>
        </w:r>
        <w:r w:rsidRPr="00366018">
          <w:rPr>
            <w:rStyle w:val="Hyperlink"/>
            <w:sz w:val="16"/>
          </w:rPr>
          <w:t>pubdocs</w:t>
        </w:r>
        <w:r w:rsidRPr="00F053BA">
          <w:rPr>
            <w:rStyle w:val="Hyperlink"/>
            <w:sz w:val="16"/>
            <w:lang w:val="ru-RU"/>
          </w:rPr>
          <w:t>/</w:t>
        </w:r>
        <w:r w:rsidRPr="00366018">
          <w:rPr>
            <w:rStyle w:val="Hyperlink"/>
            <w:sz w:val="16"/>
          </w:rPr>
          <w:t>en</w:t>
        </w:r>
        <w:r w:rsidRPr="00F053BA">
          <w:rPr>
            <w:rStyle w:val="Hyperlink"/>
            <w:sz w:val="16"/>
            <w:lang w:val="ru-RU"/>
          </w:rPr>
          <w:t>/</w:t>
        </w:r>
        <w:r w:rsidRPr="00366018">
          <w:rPr>
            <w:rStyle w:val="Hyperlink"/>
            <w:sz w:val="16"/>
          </w:rPr>
          <w:t>wipo</w:t>
        </w:r>
        <w:r w:rsidRPr="00F053BA">
          <w:rPr>
            <w:rStyle w:val="Hyperlink"/>
            <w:sz w:val="16"/>
            <w:lang w:val="ru-RU"/>
          </w:rPr>
          <w:t>_</w:t>
        </w:r>
        <w:r w:rsidRPr="00366018">
          <w:rPr>
            <w:rStyle w:val="Hyperlink"/>
            <w:sz w:val="16"/>
          </w:rPr>
          <w:t>pub</w:t>
        </w:r>
        <w:r w:rsidRPr="00F053BA">
          <w:rPr>
            <w:rStyle w:val="Hyperlink"/>
            <w:sz w:val="16"/>
            <w:lang w:val="ru-RU"/>
          </w:rPr>
          <w:t>_1043.</w:t>
        </w:r>
        <w:r w:rsidRPr="00366018">
          <w:rPr>
            <w:rStyle w:val="Hyperlink"/>
            <w:sz w:val="16"/>
          </w:rPr>
          <w:t>pdf</w:t>
        </w:r>
      </w:hyperlink>
      <w:r w:rsidRPr="00F053BA">
        <w:rPr>
          <w:sz w:val="16"/>
          <w:lang w:val="ru-RU"/>
        </w:rPr>
        <w:t xml:space="preserve"> </w:t>
      </w:r>
    </w:p>
  </w:footnote>
  <w:footnote w:id="17">
    <w:p w:rsidR="00EE0D83" w:rsidRPr="00F053BA" w:rsidRDefault="00EE0D83" w:rsidP="00F053BA">
      <w:pPr>
        <w:rPr>
          <w:rFonts w:cs="Arial"/>
          <w:lang w:val="ru-RU"/>
        </w:rPr>
      </w:pPr>
      <w:r>
        <w:rPr>
          <w:rStyle w:val="FootnoteReference"/>
          <w:sz w:val="16"/>
        </w:rPr>
        <w:footnoteRef/>
      </w:r>
      <w:r w:rsidRPr="00F053BA">
        <w:rPr>
          <w:sz w:val="16"/>
          <w:lang w:val="ru-RU"/>
        </w:rPr>
        <w:t xml:space="preserve"> В порядке исключения исходная цель «Решения, принятые соответствующими органами РСТ до конца 2015</w:t>
      </w:r>
      <w:r>
        <w:rPr>
          <w:sz w:val="16"/>
        </w:rPr>
        <w:t> </w:t>
      </w:r>
      <w:r w:rsidRPr="00F053BA">
        <w:rPr>
          <w:sz w:val="16"/>
          <w:lang w:val="ru-RU"/>
        </w:rPr>
        <w:t xml:space="preserve">г.» была изменена, с тем чтобы более эффективно оценить прогресс в дальнейшем развитии системы РСТ в соответствии с рекомендациями «Дорожной карты» для системы РСТ. </w:t>
      </w:r>
    </w:p>
  </w:footnote>
  <w:footnote w:id="18">
    <w:p w:rsidR="00EE0D83" w:rsidRPr="00F053BA" w:rsidRDefault="00EE0D83" w:rsidP="00F053BA">
      <w:pPr>
        <w:rPr>
          <w:i/>
          <w:lang w:val="ru-RU"/>
        </w:rPr>
      </w:pPr>
      <w:r>
        <w:rPr>
          <w:rStyle w:val="FootnoteReference"/>
        </w:rPr>
        <w:footnoteRef/>
      </w:r>
      <w:r w:rsidRPr="00F053BA">
        <w:rPr>
          <w:lang w:val="ru-RU"/>
        </w:rPr>
        <w:t xml:space="preserve"> </w:t>
      </w:r>
      <w:r w:rsidRPr="00F053BA">
        <w:rPr>
          <w:sz w:val="16"/>
          <w:lang w:val="ru-RU"/>
        </w:rPr>
        <w:t>Рост стоимости рассмотрения одной заявки в 2015</w:t>
      </w:r>
      <w:r>
        <w:rPr>
          <w:sz w:val="16"/>
        </w:rPr>
        <w:t> </w:t>
      </w:r>
      <w:r w:rsidRPr="00F053BA">
        <w:rPr>
          <w:sz w:val="16"/>
          <w:lang w:val="ru-RU"/>
        </w:rPr>
        <w:t>г. был обусловлен более высокими прямыми и косвенными расходами, а также меньшим числом заявок, опубликованных в 2015</w:t>
      </w:r>
      <w:r>
        <w:rPr>
          <w:sz w:val="16"/>
        </w:rPr>
        <w:t> </w:t>
      </w:r>
      <w:r w:rsidRPr="00F053BA">
        <w:rPr>
          <w:sz w:val="16"/>
          <w:lang w:val="ru-RU"/>
        </w:rPr>
        <w:t>г., по сравнению с 2014</w:t>
      </w:r>
      <w:r>
        <w:rPr>
          <w:sz w:val="16"/>
        </w:rPr>
        <w:t> </w:t>
      </w:r>
      <w:r w:rsidRPr="00F053BA">
        <w:rPr>
          <w:sz w:val="16"/>
          <w:lang w:val="ru-RU"/>
        </w:rPr>
        <w:t>г.  Более подробное пояснение представлено в разделе «Удельная стоимость обработки заявки» в приложении «Показатели функционирования системы РСТ».</w:t>
      </w:r>
    </w:p>
    <w:p w:rsidR="00EE0D83" w:rsidRPr="00F053BA" w:rsidRDefault="00EE0D83" w:rsidP="00F053BA">
      <w:pPr>
        <w:pStyle w:val="FootnoteText"/>
        <w:rPr>
          <w:lang w:val="ru-RU"/>
        </w:rPr>
      </w:pPr>
    </w:p>
  </w:footnote>
  <w:footnote w:id="19">
    <w:p w:rsidR="00EE0D83" w:rsidRPr="00F053BA" w:rsidRDefault="00EE0D83" w:rsidP="00F053BA">
      <w:pPr>
        <w:pStyle w:val="FootnoteText"/>
        <w:rPr>
          <w:sz w:val="16"/>
          <w:szCs w:val="16"/>
          <w:lang w:val="ru-RU"/>
        </w:rPr>
      </w:pPr>
      <w:r>
        <w:rPr>
          <w:rStyle w:val="FootnoteReference"/>
          <w:sz w:val="16"/>
        </w:rPr>
        <w:footnoteRef/>
      </w:r>
      <w:r w:rsidRPr="00F053BA">
        <w:rPr>
          <w:sz w:val="16"/>
          <w:lang w:val="ru-RU"/>
        </w:rPr>
        <w:t xml:space="preserve"> Обновленный показатель, сопоставляемый с показателем (95,3%) из ОРП 2014</w:t>
      </w:r>
      <w:r>
        <w:rPr>
          <w:sz w:val="16"/>
        </w:rPr>
        <w:t> </w:t>
      </w:r>
      <w:r w:rsidRPr="00F053BA">
        <w:rPr>
          <w:sz w:val="16"/>
          <w:lang w:val="ru-RU"/>
        </w:rPr>
        <w:t>г., рассчитан на основе наиболее актуальных данных.</w:t>
      </w:r>
    </w:p>
  </w:footnote>
  <w:footnote w:id="20">
    <w:p w:rsidR="00EE0D83" w:rsidRPr="00F053BA" w:rsidRDefault="00EE0D83" w:rsidP="00F053BA">
      <w:pPr>
        <w:tabs>
          <w:tab w:val="left" w:pos="330"/>
        </w:tabs>
        <w:spacing w:after="120"/>
        <w:rPr>
          <w:sz w:val="16"/>
          <w:szCs w:val="16"/>
          <w:lang w:val="ru-RU"/>
        </w:rPr>
      </w:pPr>
      <w:r>
        <w:rPr>
          <w:rStyle w:val="FootnoteReference"/>
        </w:rPr>
        <w:footnoteRef/>
      </w:r>
      <w:r w:rsidRPr="00F053BA">
        <w:rPr>
          <w:sz w:val="18"/>
          <w:lang w:val="ru-RU"/>
        </w:rPr>
        <w:t xml:space="preserve"> </w:t>
      </w:r>
      <w:r w:rsidRPr="00F053BA">
        <w:rPr>
          <w:sz w:val="16"/>
          <w:lang w:val="ru-RU"/>
        </w:rPr>
        <w:t xml:space="preserve">Регистрационный экземпляр – это заявка </w:t>
      </w:r>
      <w:r>
        <w:rPr>
          <w:sz w:val="16"/>
        </w:rPr>
        <w:t>PCT</w:t>
      </w:r>
      <w:r w:rsidRPr="00F053BA">
        <w:rPr>
          <w:sz w:val="16"/>
          <w:lang w:val="ru-RU"/>
        </w:rPr>
        <w:t>, переданная в Международное бюро (МБ) получающим ведомством после ее подачи в получающее ведомство и обработки этим ведомством.  Поскольку регистрационные экземпляры поступают в МБ только после обработки в получающем ведомстве, число полученных экземпляров в значительной степени зависит от того, сколько времени затрачивается на их обработку в получающих ведомствах.  Поэтому тенденция изменения числа полученных регистрационных экземпляров, хотя и является допустимым показателем рабочей нагрузки МБ, не всегда точно соответствует тенденции изменения числа поданных заявок по процедуре РСТ.</w:t>
      </w:r>
    </w:p>
  </w:footnote>
  <w:footnote w:id="21">
    <w:p w:rsidR="00EE0D83" w:rsidRPr="00F053BA" w:rsidRDefault="00EE0D83" w:rsidP="00F053BA">
      <w:pPr>
        <w:rPr>
          <w:lang w:val="ru-RU"/>
        </w:rPr>
      </w:pPr>
      <w:r>
        <w:rPr>
          <w:rStyle w:val="FootnoteReference"/>
          <w:sz w:val="18"/>
        </w:rPr>
        <w:footnoteRef/>
      </w:r>
      <w:r w:rsidRPr="00F053BA">
        <w:rPr>
          <w:sz w:val="18"/>
          <w:lang w:val="ru-RU"/>
        </w:rPr>
        <w:t xml:space="preserve"> </w:t>
      </w:r>
      <w:r w:rsidRPr="00F053BA">
        <w:rPr>
          <w:sz w:val="16"/>
          <w:lang w:val="ru-RU"/>
        </w:rPr>
        <w:t xml:space="preserve">После проведения независимой оценки эффективности </w:t>
      </w:r>
      <w:r>
        <w:rPr>
          <w:sz w:val="16"/>
        </w:rPr>
        <w:t>PCTIS</w:t>
      </w:r>
      <w:r w:rsidRPr="00F053BA">
        <w:rPr>
          <w:sz w:val="16"/>
          <w:lang w:val="ru-RU"/>
        </w:rPr>
        <w:t xml:space="preserve"> определение показателя было несколько изменено по сравнению с принятым в Программе и бюджете на 2014–2015</w:t>
      </w:r>
      <w:r>
        <w:rPr>
          <w:sz w:val="16"/>
        </w:rPr>
        <w:t> </w:t>
      </w:r>
      <w:r w:rsidRPr="00F053BA">
        <w:rPr>
          <w:sz w:val="16"/>
          <w:lang w:val="ru-RU"/>
        </w:rPr>
        <w:t>гг.</w:t>
      </w:r>
    </w:p>
  </w:footnote>
  <w:footnote w:id="22">
    <w:p w:rsidR="00EE0D83" w:rsidRPr="00F053BA" w:rsidRDefault="00EE0D83" w:rsidP="00F053BA">
      <w:pPr>
        <w:pStyle w:val="FootnoteText"/>
        <w:rPr>
          <w:sz w:val="16"/>
          <w:szCs w:val="16"/>
          <w:lang w:val="ru-RU"/>
        </w:rPr>
      </w:pPr>
      <w:r>
        <w:rPr>
          <w:rStyle w:val="FootnoteReference"/>
          <w:sz w:val="16"/>
        </w:rPr>
        <w:footnoteRef/>
      </w:r>
      <w:r w:rsidRPr="00F053BA">
        <w:rPr>
          <w:sz w:val="16"/>
          <w:lang w:val="ru-RU"/>
        </w:rPr>
        <w:t xml:space="preserve">  Данные были обновлены с учетом наиболее актуальных показателей, полученных после выпуска ОРП 2014</w:t>
      </w:r>
      <w:r>
        <w:rPr>
          <w:sz w:val="16"/>
        </w:rPr>
        <w:t> </w:t>
      </w:r>
      <w:r w:rsidRPr="00F053BA">
        <w:rPr>
          <w:sz w:val="16"/>
          <w:lang w:val="ru-RU"/>
        </w:rPr>
        <w:t>г.</w:t>
      </w:r>
    </w:p>
  </w:footnote>
  <w:footnote w:id="23">
    <w:p w:rsidR="00EE0D83" w:rsidRPr="00F053BA" w:rsidRDefault="00EE0D83" w:rsidP="00F053BA">
      <w:pPr>
        <w:pStyle w:val="FootnoteText"/>
        <w:rPr>
          <w:sz w:val="16"/>
          <w:szCs w:val="16"/>
          <w:lang w:val="ru-RU"/>
        </w:rPr>
      </w:pPr>
      <w:r>
        <w:rPr>
          <w:rStyle w:val="FootnoteReference"/>
          <w:sz w:val="16"/>
        </w:rPr>
        <w:footnoteRef/>
      </w:r>
      <w:r w:rsidRPr="00F053BA">
        <w:rPr>
          <w:sz w:val="16"/>
          <w:lang w:val="ru-RU"/>
        </w:rPr>
        <w:t xml:space="preserve">  Обновленный показатель, сопоставляемый с показателем (95,3%), который был опубликован в ОРП 2014</w:t>
      </w:r>
      <w:r>
        <w:rPr>
          <w:sz w:val="16"/>
        </w:rPr>
        <w:t> </w:t>
      </w:r>
      <w:r w:rsidRPr="00F053BA">
        <w:rPr>
          <w:sz w:val="16"/>
          <w:lang w:val="ru-RU"/>
        </w:rPr>
        <w:t>г., рассчитан на основе наиболее актуальных данных.</w:t>
      </w:r>
    </w:p>
  </w:footnote>
  <w:footnote w:id="24">
    <w:p w:rsidR="00EE0D83" w:rsidRPr="00F053BA" w:rsidRDefault="00EE0D83" w:rsidP="00F053BA">
      <w:pPr>
        <w:pStyle w:val="FootnoteText"/>
        <w:rPr>
          <w:lang w:val="ru-RU"/>
        </w:rPr>
      </w:pPr>
      <w:r>
        <w:rPr>
          <w:rStyle w:val="FootnoteReference"/>
          <w:sz w:val="16"/>
        </w:rPr>
        <w:footnoteRef/>
      </w:r>
      <w:r w:rsidRPr="00F053BA">
        <w:rPr>
          <w:lang w:val="ru-RU"/>
        </w:rPr>
        <w:t xml:space="preserve"> </w:t>
      </w:r>
      <w:r w:rsidRPr="00F053BA">
        <w:rPr>
          <w:sz w:val="16"/>
          <w:lang w:val="ru-RU"/>
        </w:rPr>
        <w:t>Поправка: доля заявок с нарушениями в конце 2013</w:t>
      </w:r>
      <w:r>
        <w:rPr>
          <w:sz w:val="16"/>
        </w:rPr>
        <w:t> </w:t>
      </w:r>
      <w:r w:rsidRPr="00F053BA">
        <w:rPr>
          <w:sz w:val="16"/>
          <w:lang w:val="ru-RU"/>
        </w:rPr>
        <w:t>г. составляла 32</w:t>
      </w:r>
      <w:r>
        <w:rPr>
          <w:sz w:val="16"/>
        </w:rPr>
        <w:t> </w:t>
      </w:r>
      <w:r w:rsidRPr="00F053BA">
        <w:rPr>
          <w:sz w:val="16"/>
          <w:lang w:val="ru-RU"/>
        </w:rPr>
        <w:t>процента, а не 36 процентов, как сообщалось в ОРП за 2014</w:t>
      </w:r>
      <w:r>
        <w:rPr>
          <w:sz w:val="16"/>
        </w:rPr>
        <w:t> </w:t>
      </w:r>
      <w:r w:rsidRPr="00F053BA">
        <w:rPr>
          <w:sz w:val="16"/>
          <w:lang w:val="ru-RU"/>
        </w:rPr>
        <w:t>г.</w:t>
      </w:r>
    </w:p>
  </w:footnote>
  <w:footnote w:id="25">
    <w:p w:rsidR="00EE0D83" w:rsidRPr="00F053BA" w:rsidRDefault="00EE0D83" w:rsidP="00F053BA">
      <w:pPr>
        <w:pStyle w:val="FootnoteText"/>
        <w:rPr>
          <w:sz w:val="16"/>
          <w:szCs w:val="16"/>
          <w:lang w:val="ru-RU"/>
        </w:rPr>
      </w:pPr>
      <w:r>
        <w:rPr>
          <w:rStyle w:val="FootnoteReference"/>
          <w:sz w:val="16"/>
        </w:rPr>
        <w:footnoteRef/>
      </w:r>
      <w:r w:rsidRPr="00F053BA">
        <w:rPr>
          <w:sz w:val="16"/>
          <w:lang w:val="ru-RU"/>
        </w:rPr>
        <w:t xml:space="preserve"> Поправка: доля заявок с нарушениями в конце 2012</w:t>
      </w:r>
      <w:r>
        <w:rPr>
          <w:sz w:val="16"/>
        </w:rPr>
        <w:t> </w:t>
      </w:r>
      <w:r w:rsidRPr="00F053BA">
        <w:rPr>
          <w:sz w:val="16"/>
          <w:lang w:val="ru-RU"/>
        </w:rPr>
        <w:t>г. составляла 32</w:t>
      </w:r>
      <w:r>
        <w:rPr>
          <w:sz w:val="16"/>
        </w:rPr>
        <w:t> </w:t>
      </w:r>
      <w:r w:rsidRPr="00F053BA">
        <w:rPr>
          <w:sz w:val="16"/>
          <w:lang w:val="ru-RU"/>
        </w:rPr>
        <w:t>процента, а не 34 процентов, как сообщалось в ОРП за 2014</w:t>
      </w:r>
      <w:r>
        <w:rPr>
          <w:sz w:val="16"/>
        </w:rPr>
        <w:t> </w:t>
      </w:r>
      <w:r w:rsidRPr="00F053BA">
        <w:rPr>
          <w:sz w:val="16"/>
          <w:lang w:val="ru-RU"/>
        </w:rPr>
        <w:t>г. и Программе и бюджете на 2014–2015</w:t>
      </w:r>
      <w:r>
        <w:rPr>
          <w:sz w:val="16"/>
        </w:rPr>
        <w:t> </w:t>
      </w:r>
      <w:r w:rsidRPr="00F053BA">
        <w:rPr>
          <w:sz w:val="16"/>
          <w:lang w:val="ru-RU"/>
        </w:rPr>
        <w:t>гг.</w:t>
      </w:r>
    </w:p>
  </w:footnote>
  <w:footnote w:id="26">
    <w:p w:rsidR="00EE0D83" w:rsidRPr="00F053BA" w:rsidRDefault="00EE0D83" w:rsidP="00F053BA">
      <w:pPr>
        <w:pStyle w:val="FootnoteText"/>
        <w:rPr>
          <w:sz w:val="16"/>
          <w:szCs w:val="16"/>
          <w:lang w:val="ru-RU"/>
        </w:rPr>
      </w:pPr>
      <w:r>
        <w:rPr>
          <w:rStyle w:val="FootnoteReference"/>
          <w:sz w:val="16"/>
        </w:rPr>
        <w:footnoteRef/>
      </w:r>
      <w:r w:rsidRPr="00F053BA">
        <w:rPr>
          <w:sz w:val="16"/>
          <w:lang w:val="ru-RU"/>
        </w:rPr>
        <w:t xml:space="preserve"> Поправка: в ОРП 2014</w:t>
      </w:r>
      <w:r>
        <w:rPr>
          <w:sz w:val="16"/>
        </w:rPr>
        <w:t> </w:t>
      </w:r>
      <w:r w:rsidRPr="00F053BA">
        <w:rPr>
          <w:sz w:val="16"/>
          <w:lang w:val="ru-RU"/>
        </w:rPr>
        <w:t>г. в таблице с данными о результативности доля заявок, поданных с нарушениями, была неверно указана как 36</w:t>
      </w:r>
      <w:r>
        <w:rPr>
          <w:sz w:val="16"/>
        </w:rPr>
        <w:t> </w:t>
      </w:r>
      <w:r w:rsidRPr="00F053BA">
        <w:rPr>
          <w:sz w:val="16"/>
          <w:lang w:val="ru-RU"/>
        </w:rPr>
        <w:t>процентов.  Верным является показатель 34</w:t>
      </w:r>
      <w:r>
        <w:rPr>
          <w:sz w:val="16"/>
        </w:rPr>
        <w:t> </w:t>
      </w:r>
      <w:r w:rsidRPr="00F053BA">
        <w:rPr>
          <w:sz w:val="16"/>
          <w:lang w:val="ru-RU"/>
        </w:rPr>
        <w:t>процента.</w:t>
      </w:r>
    </w:p>
  </w:footnote>
  <w:footnote w:id="27">
    <w:p w:rsidR="00EE0D83" w:rsidRPr="00F053BA" w:rsidRDefault="00EE0D83" w:rsidP="00F053BA">
      <w:pPr>
        <w:pStyle w:val="FootnoteText"/>
        <w:jc w:val="both"/>
        <w:rPr>
          <w:sz w:val="16"/>
          <w:szCs w:val="16"/>
          <w:lang w:val="ru-RU"/>
        </w:rPr>
      </w:pPr>
      <w:r>
        <w:rPr>
          <w:rStyle w:val="FootnoteReference"/>
          <w:sz w:val="16"/>
        </w:rPr>
        <w:footnoteRef/>
      </w:r>
      <w:r w:rsidRPr="00F053BA">
        <w:rPr>
          <w:sz w:val="16"/>
          <w:lang w:val="ru-RU"/>
        </w:rPr>
        <w:t xml:space="preserve">  Целевой показатель на 2014</w:t>
      </w:r>
      <w:r>
        <w:rPr>
          <w:sz w:val="16"/>
        </w:rPr>
        <w:t> </w:t>
      </w:r>
      <w:r w:rsidRPr="00F053BA">
        <w:rPr>
          <w:sz w:val="16"/>
          <w:lang w:val="ru-RU"/>
        </w:rPr>
        <w:t>г.: регистрации и продления (71</w:t>
      </w:r>
      <w:r>
        <w:rPr>
          <w:sz w:val="16"/>
        </w:rPr>
        <w:t> </w:t>
      </w:r>
      <w:r w:rsidRPr="00F053BA">
        <w:rPr>
          <w:sz w:val="16"/>
          <w:lang w:val="ru-RU"/>
        </w:rPr>
        <w:t>676).</w:t>
      </w:r>
    </w:p>
  </w:footnote>
  <w:footnote w:id="28">
    <w:p w:rsidR="00EE0D83" w:rsidRPr="00F053BA" w:rsidRDefault="00EE0D83" w:rsidP="00F053BA">
      <w:pPr>
        <w:pStyle w:val="FootnoteText"/>
        <w:jc w:val="both"/>
        <w:rPr>
          <w:lang w:val="ru-RU"/>
        </w:rPr>
      </w:pPr>
      <w:r>
        <w:rPr>
          <w:rStyle w:val="FootnoteReference"/>
        </w:rPr>
        <w:footnoteRef/>
      </w:r>
      <w:r w:rsidRPr="00F053BA">
        <w:rPr>
          <w:lang w:val="ru-RU"/>
        </w:rPr>
        <w:t xml:space="preserve"> </w:t>
      </w:r>
      <w:r w:rsidRPr="00F053BA">
        <w:rPr>
          <w:sz w:val="16"/>
          <w:lang w:val="ru-RU"/>
        </w:rPr>
        <w:t>Изменение доли и показателей за 2015</w:t>
      </w:r>
      <w:r>
        <w:rPr>
          <w:sz w:val="16"/>
        </w:rPr>
        <w:t> </w:t>
      </w:r>
      <w:r w:rsidRPr="00F053BA">
        <w:rPr>
          <w:sz w:val="16"/>
          <w:lang w:val="ru-RU"/>
        </w:rPr>
        <w:t>г. рассчитано на основе целевых показателей 2014</w:t>
      </w:r>
      <w:r>
        <w:rPr>
          <w:sz w:val="16"/>
        </w:rPr>
        <w:t> </w:t>
      </w:r>
      <w:r w:rsidRPr="00F053BA">
        <w:rPr>
          <w:sz w:val="16"/>
          <w:lang w:val="ru-RU"/>
        </w:rPr>
        <w:t>г., т.е. предполагается, что показатели 2014</w:t>
      </w:r>
      <w:r>
        <w:rPr>
          <w:sz w:val="16"/>
        </w:rPr>
        <w:t> </w:t>
      </w:r>
      <w:r w:rsidRPr="00F053BA">
        <w:rPr>
          <w:sz w:val="16"/>
          <w:lang w:val="ru-RU"/>
        </w:rPr>
        <w:t>г. были достигнуты.  Фактически в период 2014–2015</w:t>
      </w:r>
      <w:r>
        <w:rPr>
          <w:sz w:val="16"/>
        </w:rPr>
        <w:t> </w:t>
      </w:r>
      <w:r w:rsidRPr="00F053BA">
        <w:rPr>
          <w:sz w:val="16"/>
          <w:lang w:val="ru-RU"/>
        </w:rPr>
        <w:t>гг. число регистраций и продлений увеличилось на 18</w:t>
      </w:r>
      <w:r>
        <w:rPr>
          <w:sz w:val="16"/>
        </w:rPr>
        <w:t> </w:t>
      </w:r>
      <w:r w:rsidRPr="00F053BA">
        <w:rPr>
          <w:sz w:val="16"/>
          <w:lang w:val="ru-RU"/>
        </w:rPr>
        <w:t>процентов.</w:t>
      </w:r>
    </w:p>
  </w:footnote>
  <w:footnote w:id="29">
    <w:p w:rsidR="00EE0D83" w:rsidRPr="00F053BA" w:rsidRDefault="00EE0D83" w:rsidP="00F053BA">
      <w:pPr>
        <w:pStyle w:val="FootnoteText"/>
        <w:jc w:val="both"/>
        <w:rPr>
          <w:lang w:val="ru-RU"/>
        </w:rPr>
      </w:pPr>
      <w:r>
        <w:rPr>
          <w:rStyle w:val="FootnoteReference"/>
        </w:rPr>
        <w:footnoteRef/>
      </w:r>
      <w:r w:rsidRPr="00F053BA">
        <w:rPr>
          <w:lang w:val="ru-RU"/>
        </w:rPr>
        <w:t xml:space="preserve"> </w:t>
      </w:r>
      <w:r w:rsidRPr="00F053BA">
        <w:rPr>
          <w:sz w:val="16"/>
          <w:lang w:val="ru-RU"/>
        </w:rPr>
        <w:t>Изменение доли и показателей за 2015</w:t>
      </w:r>
      <w:r>
        <w:rPr>
          <w:sz w:val="16"/>
        </w:rPr>
        <w:t> </w:t>
      </w:r>
      <w:r w:rsidRPr="00F053BA">
        <w:rPr>
          <w:sz w:val="16"/>
          <w:lang w:val="ru-RU"/>
        </w:rPr>
        <w:t>г. рассчитано на основе целевых показателей 2014</w:t>
      </w:r>
      <w:r>
        <w:rPr>
          <w:sz w:val="16"/>
        </w:rPr>
        <w:t> </w:t>
      </w:r>
      <w:r w:rsidRPr="00F053BA">
        <w:rPr>
          <w:sz w:val="16"/>
          <w:lang w:val="ru-RU"/>
        </w:rPr>
        <w:t>г., т.е. предполагается, что целевые показатели 2014</w:t>
      </w:r>
      <w:r>
        <w:rPr>
          <w:sz w:val="16"/>
        </w:rPr>
        <w:t> </w:t>
      </w:r>
      <w:r w:rsidRPr="00F053BA">
        <w:rPr>
          <w:sz w:val="16"/>
          <w:lang w:val="ru-RU"/>
        </w:rPr>
        <w:t>г. были достигнуты.  Фактически в период 2014–2015</w:t>
      </w:r>
      <w:r>
        <w:rPr>
          <w:sz w:val="16"/>
        </w:rPr>
        <w:t> </w:t>
      </w:r>
      <w:r w:rsidRPr="00F053BA">
        <w:rPr>
          <w:sz w:val="16"/>
          <w:lang w:val="ru-RU"/>
        </w:rPr>
        <w:t>гг. число исправлений увеличилось на 0,9</w:t>
      </w:r>
      <w:r>
        <w:rPr>
          <w:sz w:val="16"/>
        </w:rPr>
        <w:t> </w:t>
      </w:r>
      <w:r w:rsidRPr="00F053BA">
        <w:rPr>
          <w:sz w:val="16"/>
          <w:lang w:val="ru-RU"/>
        </w:rPr>
        <w:t>процента.</w:t>
      </w:r>
    </w:p>
  </w:footnote>
  <w:footnote w:id="30">
    <w:p w:rsidR="00EE0D83" w:rsidRPr="00F053BA" w:rsidRDefault="00EE0D83" w:rsidP="00F053BA">
      <w:pPr>
        <w:pStyle w:val="FootnoteText"/>
        <w:jc w:val="both"/>
        <w:rPr>
          <w:lang w:val="ru-RU"/>
        </w:rPr>
      </w:pPr>
      <w:r>
        <w:rPr>
          <w:rStyle w:val="FootnoteReference"/>
        </w:rPr>
        <w:footnoteRef/>
      </w:r>
      <w:r w:rsidRPr="00F053BA">
        <w:rPr>
          <w:lang w:val="ru-RU"/>
        </w:rPr>
        <w:t xml:space="preserve"> </w:t>
      </w:r>
      <w:r w:rsidRPr="00F053BA">
        <w:rPr>
          <w:sz w:val="16"/>
          <w:lang w:val="ru-RU"/>
        </w:rPr>
        <w:t>При построении шкалы в 2012</w:t>
      </w:r>
      <w:r>
        <w:rPr>
          <w:sz w:val="16"/>
        </w:rPr>
        <w:t> </w:t>
      </w:r>
      <w:r w:rsidRPr="00F053BA">
        <w:rPr>
          <w:sz w:val="16"/>
          <w:lang w:val="ru-RU"/>
        </w:rPr>
        <w:t>г. применялся иной набор критериев, который был уточнен для 2013 г. с целью учёта большего числа существенных факторов.  Этим обусловлено различие показателей для 2013</w:t>
      </w:r>
      <w:r>
        <w:rPr>
          <w:sz w:val="16"/>
        </w:rPr>
        <w:t> </w:t>
      </w:r>
      <w:r w:rsidRPr="00F053BA">
        <w:rPr>
          <w:sz w:val="16"/>
          <w:lang w:val="ru-RU"/>
        </w:rPr>
        <w:t>г. и 2014</w:t>
      </w:r>
      <w:r>
        <w:rPr>
          <w:sz w:val="16"/>
        </w:rPr>
        <w:t> </w:t>
      </w:r>
      <w:r w:rsidRPr="00F053BA">
        <w:rPr>
          <w:sz w:val="16"/>
          <w:lang w:val="ru-RU"/>
        </w:rPr>
        <w:t>г. (38 и 39, соответственно) и для 2012</w:t>
      </w:r>
      <w:r>
        <w:rPr>
          <w:sz w:val="16"/>
        </w:rPr>
        <w:t> </w:t>
      </w:r>
      <w:r w:rsidRPr="00F053BA">
        <w:rPr>
          <w:sz w:val="16"/>
          <w:lang w:val="ru-RU"/>
        </w:rPr>
        <w:t>г. (79).</w:t>
      </w:r>
    </w:p>
  </w:footnote>
  <w:footnote w:id="31">
    <w:p w:rsidR="00EE0D83" w:rsidRPr="00495A3D" w:rsidRDefault="00EE0D83" w:rsidP="00495A3D">
      <w:pPr>
        <w:pStyle w:val="FootnoteText"/>
        <w:rPr>
          <w:lang w:val="ru-RU"/>
        </w:rPr>
      </w:pPr>
      <w:r>
        <w:rPr>
          <w:rStyle w:val="FootnoteReference"/>
        </w:rPr>
        <w:footnoteRef/>
      </w:r>
      <w:r w:rsidRPr="00495A3D">
        <w:rPr>
          <w:lang w:val="ru-RU"/>
        </w:rPr>
        <w:t xml:space="preserve"> </w:t>
      </w:r>
      <w:r w:rsidRPr="00495A3D">
        <w:rPr>
          <w:sz w:val="16"/>
          <w:lang w:val="ru-RU"/>
        </w:rPr>
        <w:t>Расходы на перевод и ИТ-разработки в рамках Гаагской и Лиссабонской систем входят в расходы по программе 6.  В настоящее время имеющаяся методология не позволяет выделить такие расходы из общих расходов по Мадридской системе.</w:t>
      </w:r>
    </w:p>
  </w:footnote>
  <w:footnote w:id="32">
    <w:p w:rsidR="00EE0D83" w:rsidRPr="00495A3D" w:rsidRDefault="00EE0D83" w:rsidP="00495A3D">
      <w:pPr>
        <w:pStyle w:val="FootnoteText"/>
        <w:rPr>
          <w:rFonts w:cs="Arial"/>
          <w:sz w:val="18"/>
          <w:lang w:val="ru-RU"/>
        </w:rPr>
      </w:pPr>
      <w:r>
        <w:rPr>
          <w:rStyle w:val="FootnoteReference"/>
        </w:rPr>
        <w:footnoteRef/>
      </w:r>
      <w:r w:rsidRPr="00495A3D">
        <w:rPr>
          <w:lang w:val="ru-RU"/>
        </w:rPr>
        <w:t xml:space="preserve"> </w:t>
      </w:r>
      <w:r w:rsidRPr="00495A3D">
        <w:rPr>
          <w:sz w:val="16"/>
          <w:lang w:val="ru-RU"/>
        </w:rPr>
        <w:t>Отдельная бюджетная позиция для Лиссабонского реестра появилась только в 2015</w:t>
      </w:r>
      <w:r>
        <w:rPr>
          <w:sz w:val="16"/>
        </w:rPr>
        <w:t> </w:t>
      </w:r>
      <w:r w:rsidRPr="00495A3D">
        <w:rPr>
          <w:sz w:val="16"/>
          <w:lang w:val="ru-RU"/>
        </w:rPr>
        <w:t>г.  В период до 2015</w:t>
      </w:r>
      <w:r>
        <w:rPr>
          <w:sz w:val="16"/>
        </w:rPr>
        <w:t> </w:t>
      </w:r>
      <w:r w:rsidRPr="00495A3D">
        <w:rPr>
          <w:sz w:val="16"/>
          <w:lang w:val="ru-RU"/>
        </w:rPr>
        <w:t xml:space="preserve">г. расходы по Лиссабонской системе учитывались в общих производственных расходах Мадридской системы. </w:t>
      </w:r>
    </w:p>
  </w:footnote>
  <w:footnote w:id="33">
    <w:p w:rsidR="00EE0D83" w:rsidRPr="00495A3D" w:rsidRDefault="00EE0D83" w:rsidP="00495A3D">
      <w:pPr>
        <w:pStyle w:val="FootnoteText"/>
        <w:rPr>
          <w:lang w:val="ru-RU"/>
        </w:rPr>
      </w:pPr>
      <w:r>
        <w:rPr>
          <w:rStyle w:val="FootnoteReference"/>
        </w:rPr>
        <w:footnoteRef/>
      </w:r>
      <w:r w:rsidRPr="00495A3D">
        <w:rPr>
          <w:lang w:val="ru-RU"/>
        </w:rPr>
        <w:t xml:space="preserve">  </w:t>
      </w:r>
      <w:r w:rsidRPr="00495A3D">
        <w:rPr>
          <w:sz w:val="18"/>
          <w:lang w:val="ru-RU"/>
        </w:rPr>
        <w:t>См. раздел «Общая рабочая нагрузка», выше.</w:t>
      </w:r>
    </w:p>
  </w:footnote>
  <w:footnote w:id="34">
    <w:p w:rsidR="00EE0D83" w:rsidRPr="00495A3D" w:rsidRDefault="00EE0D83" w:rsidP="00495A3D">
      <w:pPr>
        <w:pStyle w:val="FootnoteText"/>
        <w:rPr>
          <w:rFonts w:cs="Arial"/>
          <w:sz w:val="18"/>
          <w:szCs w:val="18"/>
          <w:lang w:val="ru-RU"/>
        </w:rPr>
      </w:pPr>
      <w:r>
        <w:rPr>
          <w:rStyle w:val="FootnoteReference"/>
          <w:sz w:val="18"/>
        </w:rPr>
        <w:footnoteRef/>
      </w:r>
      <w:r w:rsidRPr="00495A3D">
        <w:rPr>
          <w:sz w:val="18"/>
          <w:lang w:val="ru-RU"/>
        </w:rPr>
        <w:t xml:space="preserve"> См. раздел «Общая рабочая нагрузка» выше.</w:t>
      </w:r>
    </w:p>
  </w:footnote>
  <w:footnote w:id="35">
    <w:p w:rsidR="00EE0D83" w:rsidRPr="00495A3D" w:rsidRDefault="00EE0D83" w:rsidP="00495A3D">
      <w:pPr>
        <w:pStyle w:val="FootnoteText"/>
        <w:rPr>
          <w:lang w:val="ru-RU"/>
        </w:rPr>
      </w:pPr>
      <w:r>
        <w:rPr>
          <w:rStyle w:val="FootnoteReference"/>
        </w:rPr>
        <w:footnoteRef/>
      </w:r>
      <w:r w:rsidRPr="00495A3D">
        <w:rPr>
          <w:lang w:val="ru-RU"/>
        </w:rPr>
        <w:t xml:space="preserve"> </w:t>
      </w:r>
      <w:r w:rsidRPr="00495A3D">
        <w:rPr>
          <w:sz w:val="18"/>
          <w:lang w:val="ru-RU"/>
        </w:rPr>
        <w:t xml:space="preserve">Механизм контроля качества Мадридского реестра доступен по адресу: </w:t>
      </w:r>
      <w:hyperlink r:id="rId2">
        <w:r>
          <w:rPr>
            <w:rStyle w:val="Hyperlink"/>
            <w:sz w:val="18"/>
          </w:rPr>
          <w:t>madrid</w:t>
        </w:r>
        <w:r w:rsidRPr="00495A3D">
          <w:rPr>
            <w:rStyle w:val="Hyperlink"/>
            <w:sz w:val="18"/>
            <w:lang w:val="ru-RU"/>
          </w:rPr>
          <w:t>.</w:t>
        </w:r>
        <w:r>
          <w:rPr>
            <w:rStyle w:val="Hyperlink"/>
            <w:sz w:val="18"/>
          </w:rPr>
          <w:t>qp</w:t>
        </w:r>
        <w:r w:rsidRPr="00495A3D">
          <w:rPr>
            <w:rStyle w:val="Hyperlink"/>
            <w:sz w:val="18"/>
            <w:lang w:val="ru-RU"/>
          </w:rPr>
          <w:t>@</w:t>
        </w:r>
        <w:r>
          <w:rPr>
            <w:rStyle w:val="Hyperlink"/>
            <w:sz w:val="18"/>
          </w:rPr>
          <w:t>wipo</w:t>
        </w:r>
        <w:r w:rsidRPr="00495A3D">
          <w:rPr>
            <w:rStyle w:val="Hyperlink"/>
            <w:sz w:val="18"/>
            <w:lang w:val="ru-RU"/>
          </w:rPr>
          <w:t>.</w:t>
        </w:r>
        <w:r>
          <w:rPr>
            <w:rStyle w:val="Hyperlink"/>
            <w:sz w:val="18"/>
          </w:rPr>
          <w:t>int</w:t>
        </w:r>
      </w:hyperlink>
      <w:r w:rsidRPr="00495A3D">
        <w:rPr>
          <w:sz w:val="18"/>
          <w:lang w:val="ru-RU"/>
        </w:rPr>
        <w:t>.</w:t>
      </w:r>
    </w:p>
  </w:footnote>
  <w:footnote w:id="36">
    <w:p w:rsidR="00EE0D83" w:rsidRPr="005177C8" w:rsidRDefault="00EE0D83" w:rsidP="005177C8">
      <w:pPr>
        <w:pStyle w:val="FootnoteText"/>
        <w:rPr>
          <w:lang w:val="ru-RU"/>
        </w:rPr>
      </w:pPr>
      <w:r>
        <w:rPr>
          <w:rStyle w:val="FootnoteReference"/>
          <w:sz w:val="18"/>
        </w:rPr>
        <w:footnoteRef/>
      </w:r>
      <w:r w:rsidRPr="005177C8">
        <w:rPr>
          <w:lang w:val="ru-RU"/>
        </w:rPr>
        <w:t xml:space="preserve"> </w:t>
      </w:r>
      <w:r w:rsidRPr="005177C8">
        <w:rPr>
          <w:sz w:val="16"/>
          <w:lang w:val="ru-RU"/>
        </w:rPr>
        <w:t>Поправка: в 2012</w:t>
      </w:r>
      <w:r>
        <w:rPr>
          <w:sz w:val="16"/>
        </w:rPr>
        <w:t> </w:t>
      </w:r>
      <w:r w:rsidRPr="005177C8">
        <w:rPr>
          <w:sz w:val="16"/>
          <w:lang w:val="ru-RU"/>
        </w:rPr>
        <w:t>г. фактическое число образцов, содержащихся в заявках, составило 12</w:t>
      </w:r>
      <w:r>
        <w:rPr>
          <w:sz w:val="16"/>
        </w:rPr>
        <w:t> </w:t>
      </w:r>
      <w:r w:rsidRPr="005177C8">
        <w:rPr>
          <w:sz w:val="16"/>
          <w:lang w:val="ru-RU"/>
        </w:rPr>
        <w:t>454, а не 12</w:t>
      </w:r>
      <w:r>
        <w:rPr>
          <w:sz w:val="16"/>
        </w:rPr>
        <w:t> </w:t>
      </w:r>
      <w:r w:rsidRPr="005177C8">
        <w:rPr>
          <w:sz w:val="16"/>
          <w:lang w:val="ru-RU"/>
        </w:rPr>
        <w:t>506, как было указано в Программе и бюджете на 2014–2015</w:t>
      </w:r>
      <w:r>
        <w:rPr>
          <w:sz w:val="16"/>
        </w:rPr>
        <w:t> </w:t>
      </w:r>
      <w:r w:rsidRPr="005177C8">
        <w:rPr>
          <w:sz w:val="16"/>
          <w:lang w:val="ru-RU"/>
        </w:rPr>
        <w:t>гг., или 11</w:t>
      </w:r>
      <w:r>
        <w:rPr>
          <w:sz w:val="16"/>
        </w:rPr>
        <w:t> </w:t>
      </w:r>
      <w:r w:rsidRPr="005177C8">
        <w:rPr>
          <w:sz w:val="16"/>
          <w:lang w:val="ru-RU"/>
        </w:rPr>
        <w:t>971 (число международных регистраций в 2012</w:t>
      </w:r>
      <w:r>
        <w:rPr>
          <w:sz w:val="16"/>
        </w:rPr>
        <w:t> </w:t>
      </w:r>
      <w:r w:rsidRPr="005177C8">
        <w:rPr>
          <w:sz w:val="16"/>
          <w:lang w:val="ru-RU"/>
        </w:rPr>
        <w:t>г.), как было указано в ОРП за 2012–2013</w:t>
      </w:r>
      <w:r>
        <w:rPr>
          <w:sz w:val="16"/>
        </w:rPr>
        <w:t> </w:t>
      </w:r>
      <w:r w:rsidRPr="005177C8">
        <w:rPr>
          <w:sz w:val="16"/>
          <w:lang w:val="ru-RU"/>
        </w:rPr>
        <w:t>гг.</w:t>
      </w:r>
    </w:p>
  </w:footnote>
  <w:footnote w:id="37">
    <w:p w:rsidR="00EE0D83" w:rsidRPr="005177C8" w:rsidRDefault="00EE0D83" w:rsidP="005177C8">
      <w:pPr>
        <w:pStyle w:val="FootnoteText"/>
        <w:rPr>
          <w:sz w:val="16"/>
          <w:szCs w:val="16"/>
          <w:lang w:val="ru-RU"/>
        </w:rPr>
      </w:pPr>
      <w:r>
        <w:rPr>
          <w:rStyle w:val="FootnoteReference"/>
          <w:sz w:val="16"/>
        </w:rPr>
        <w:footnoteRef/>
      </w:r>
      <w:r w:rsidRPr="005177C8">
        <w:rPr>
          <w:sz w:val="16"/>
          <w:lang w:val="ru-RU"/>
        </w:rPr>
        <w:t xml:space="preserve"> Целевые показатели на 2014</w:t>
      </w:r>
      <w:r>
        <w:rPr>
          <w:sz w:val="16"/>
        </w:rPr>
        <w:t> </w:t>
      </w:r>
      <w:r w:rsidRPr="005177C8">
        <w:rPr>
          <w:sz w:val="16"/>
          <w:lang w:val="ru-RU"/>
        </w:rPr>
        <w:t>г.: заявки (4</w:t>
      </w:r>
      <w:r>
        <w:rPr>
          <w:sz w:val="16"/>
        </w:rPr>
        <w:t> </w:t>
      </w:r>
      <w:r w:rsidRPr="005177C8">
        <w:rPr>
          <w:sz w:val="16"/>
          <w:lang w:val="ru-RU"/>
        </w:rPr>
        <w:t>004), содержащиеся в заявках образцы (17</w:t>
      </w:r>
      <w:r>
        <w:rPr>
          <w:sz w:val="16"/>
        </w:rPr>
        <w:t> </w:t>
      </w:r>
      <w:r w:rsidRPr="005177C8">
        <w:rPr>
          <w:sz w:val="16"/>
          <w:lang w:val="ru-RU"/>
        </w:rPr>
        <w:t>519), продления (2</w:t>
      </w:r>
      <w:r>
        <w:rPr>
          <w:sz w:val="16"/>
        </w:rPr>
        <w:t> </w:t>
      </w:r>
      <w:r w:rsidRPr="005177C8">
        <w:rPr>
          <w:sz w:val="16"/>
          <w:lang w:val="ru-RU"/>
        </w:rPr>
        <w:t>942).</w:t>
      </w:r>
    </w:p>
  </w:footnote>
  <w:footnote w:id="38">
    <w:p w:rsidR="00EE0D83" w:rsidRPr="005177C8" w:rsidRDefault="00EE0D83" w:rsidP="005177C8">
      <w:pPr>
        <w:pStyle w:val="FootnoteText"/>
        <w:rPr>
          <w:sz w:val="16"/>
          <w:szCs w:val="16"/>
          <w:lang w:val="ru-RU"/>
        </w:rPr>
      </w:pPr>
      <w:r>
        <w:rPr>
          <w:rStyle w:val="FootnoteReference"/>
          <w:sz w:val="16"/>
        </w:rPr>
        <w:footnoteRef/>
      </w:r>
      <w:r w:rsidRPr="005177C8">
        <w:rPr>
          <w:sz w:val="16"/>
          <w:lang w:val="ru-RU"/>
        </w:rPr>
        <w:t xml:space="preserve"> Изменения доли и показателей в 2015</w:t>
      </w:r>
      <w:r>
        <w:rPr>
          <w:sz w:val="16"/>
        </w:rPr>
        <w:t> </w:t>
      </w:r>
      <w:r w:rsidRPr="005177C8">
        <w:rPr>
          <w:sz w:val="16"/>
          <w:lang w:val="ru-RU"/>
        </w:rPr>
        <w:t>г. рассчитаны на основе целевых показателей 2014</w:t>
      </w:r>
      <w:r>
        <w:rPr>
          <w:sz w:val="16"/>
        </w:rPr>
        <w:t> </w:t>
      </w:r>
      <w:r w:rsidRPr="005177C8">
        <w:rPr>
          <w:sz w:val="16"/>
          <w:lang w:val="ru-RU"/>
        </w:rPr>
        <w:t>г., т.е. предполагается, что показатели 2014</w:t>
      </w:r>
      <w:r>
        <w:rPr>
          <w:sz w:val="16"/>
        </w:rPr>
        <w:t> </w:t>
      </w:r>
      <w:r w:rsidRPr="005177C8">
        <w:rPr>
          <w:sz w:val="16"/>
          <w:lang w:val="ru-RU"/>
        </w:rPr>
        <w:t>г. были достигнуты.  Фактическое изменение долей в 2015</w:t>
      </w:r>
      <w:r>
        <w:rPr>
          <w:sz w:val="16"/>
        </w:rPr>
        <w:t> </w:t>
      </w:r>
      <w:r w:rsidRPr="005177C8">
        <w:rPr>
          <w:sz w:val="16"/>
          <w:lang w:val="ru-RU"/>
        </w:rPr>
        <w:t>г. по сравнению с 2014</w:t>
      </w:r>
      <w:r>
        <w:rPr>
          <w:sz w:val="16"/>
        </w:rPr>
        <w:t> </w:t>
      </w:r>
      <w:r w:rsidRPr="005177C8">
        <w:rPr>
          <w:sz w:val="16"/>
          <w:lang w:val="ru-RU"/>
        </w:rPr>
        <w:t>г.:  заявки (рост на 41%), образцы, содержащиеся в заявках (рост на 14%), продления регистрации (рост на 18%).</w:t>
      </w:r>
    </w:p>
  </w:footnote>
  <w:footnote w:id="39">
    <w:p w:rsidR="00EE0D83" w:rsidRPr="00C61544" w:rsidRDefault="00EE0D83" w:rsidP="005177C8">
      <w:pPr>
        <w:pStyle w:val="FootnoteText"/>
        <w:rPr>
          <w:lang w:val="ru-RU"/>
        </w:rPr>
      </w:pPr>
      <w:r>
        <w:rPr>
          <w:rStyle w:val="FootnoteReference"/>
          <w:sz w:val="18"/>
        </w:rPr>
        <w:footnoteRef/>
      </w:r>
      <w:r w:rsidRPr="005177C8">
        <w:rPr>
          <w:lang w:val="ru-RU"/>
        </w:rPr>
        <w:t xml:space="preserve"> </w:t>
      </w:r>
      <w:r w:rsidRPr="005177C8">
        <w:rPr>
          <w:sz w:val="16"/>
          <w:lang w:val="ru-RU"/>
        </w:rPr>
        <w:t>Поправка: в ОРП 2012–2013</w:t>
      </w:r>
      <w:r>
        <w:rPr>
          <w:sz w:val="16"/>
        </w:rPr>
        <w:t> </w:t>
      </w:r>
      <w:r w:rsidRPr="005177C8">
        <w:rPr>
          <w:sz w:val="16"/>
          <w:lang w:val="ru-RU"/>
        </w:rPr>
        <w:t xml:space="preserve">гг. было указано, что автоматизированы процедура продления регистрации и процедура предоставления охраны. </w:t>
      </w:r>
      <w:r w:rsidRPr="00C61544">
        <w:rPr>
          <w:sz w:val="16"/>
          <w:lang w:val="ru-RU"/>
        </w:rPr>
        <w:t>Процедура предоставления охраны не была автоматизирована в конце 2013</w:t>
      </w:r>
      <w:r>
        <w:rPr>
          <w:sz w:val="16"/>
        </w:rPr>
        <w:t> </w:t>
      </w:r>
      <w:r w:rsidRPr="00C61544">
        <w:rPr>
          <w:sz w:val="16"/>
          <w:lang w:val="ru-RU"/>
        </w:rPr>
        <w:t xml:space="preserve">г. </w:t>
      </w:r>
    </w:p>
  </w:footnote>
  <w:footnote w:id="40">
    <w:p w:rsidR="00EE0D83" w:rsidRPr="005177C8" w:rsidRDefault="00EE0D83" w:rsidP="005177C8">
      <w:pPr>
        <w:pStyle w:val="FootnoteText"/>
        <w:rPr>
          <w:rFonts w:cs="Arial"/>
          <w:sz w:val="16"/>
          <w:szCs w:val="16"/>
          <w:lang w:val="ru-RU"/>
        </w:rPr>
      </w:pPr>
      <w:r>
        <w:rPr>
          <w:rStyle w:val="FootnoteReference"/>
          <w:sz w:val="16"/>
        </w:rPr>
        <w:footnoteRef/>
      </w:r>
      <w:r w:rsidRPr="005177C8">
        <w:rPr>
          <w:sz w:val="16"/>
          <w:lang w:val="ru-RU"/>
        </w:rPr>
        <w:t xml:space="preserve"> Данные были обновлены с учетом наиболее актуальных показателей, полученных после выпуска ОРП 2014</w:t>
      </w:r>
      <w:r>
        <w:rPr>
          <w:sz w:val="16"/>
        </w:rPr>
        <w:t> </w:t>
      </w:r>
      <w:r w:rsidRPr="005177C8">
        <w:rPr>
          <w:sz w:val="16"/>
          <w:lang w:val="ru-RU"/>
        </w:rPr>
        <w:t>г.</w:t>
      </w:r>
    </w:p>
  </w:footnote>
  <w:footnote w:id="41">
    <w:p w:rsidR="00EE0D83" w:rsidRPr="005177C8" w:rsidRDefault="00EE0D83" w:rsidP="005177C8">
      <w:pPr>
        <w:pStyle w:val="FootnoteText"/>
        <w:rPr>
          <w:sz w:val="18"/>
          <w:szCs w:val="18"/>
          <w:lang w:val="ru-RU"/>
        </w:rPr>
      </w:pPr>
      <w:r>
        <w:rPr>
          <w:rStyle w:val="FootnoteReference"/>
          <w:sz w:val="18"/>
        </w:rPr>
        <w:footnoteRef/>
      </w:r>
      <w:r w:rsidRPr="005177C8">
        <w:rPr>
          <w:sz w:val="18"/>
          <w:lang w:val="ru-RU"/>
        </w:rPr>
        <w:t xml:space="preserve"> На графике, где отображены общие производственные издержки и удельная стоимость, расходы, связанные только с Гаагской системой, обозначены как «прямые издержки», а расходы на деятельность по обеспечению работы этой системы – как «косвенные издержки».</w:t>
      </w:r>
    </w:p>
  </w:footnote>
  <w:footnote w:id="42">
    <w:p w:rsidR="00EE0D83" w:rsidRPr="005177C8" w:rsidRDefault="00EE0D83" w:rsidP="005177C8">
      <w:pPr>
        <w:pStyle w:val="FootnoteText"/>
        <w:tabs>
          <w:tab w:val="left" w:pos="567"/>
        </w:tabs>
        <w:rPr>
          <w:rFonts w:cs="Arial"/>
          <w:sz w:val="18"/>
          <w:szCs w:val="18"/>
          <w:lang w:val="ru-RU"/>
        </w:rPr>
      </w:pPr>
      <w:r>
        <w:rPr>
          <w:rStyle w:val="FootnoteReference"/>
          <w:sz w:val="18"/>
        </w:rPr>
        <w:footnoteRef/>
      </w:r>
      <w:r w:rsidRPr="005177C8">
        <w:rPr>
          <w:sz w:val="18"/>
          <w:lang w:val="ru-RU"/>
        </w:rPr>
        <w:t xml:space="preserve"> Мадридская система оказывает поддержку Гаагской системе, особенно в обеспечении перевода и разработки ИТ-систем. Расходы, связанные с этими услугами, сложно выделить из общих расходов, связанных с переводом и разработкой ИТ-систем по программе 6 (Мадридская и Лиссабонская системы), и поэтому они не учитываются.</w:t>
      </w:r>
    </w:p>
    <w:p w:rsidR="00EE0D83" w:rsidRPr="005177C8" w:rsidRDefault="00EE0D83" w:rsidP="005177C8">
      <w:pPr>
        <w:pStyle w:val="FootnoteText"/>
        <w:rPr>
          <w:lang w:val="ru-RU"/>
        </w:rPr>
      </w:pPr>
    </w:p>
  </w:footnote>
  <w:footnote w:id="43">
    <w:p w:rsidR="00EE0D83" w:rsidRPr="005177C8" w:rsidRDefault="00EE0D83" w:rsidP="005177C8">
      <w:pPr>
        <w:pStyle w:val="FootnoteText"/>
        <w:tabs>
          <w:tab w:val="left" w:pos="567"/>
        </w:tabs>
        <w:rPr>
          <w:rFonts w:cs="Arial"/>
          <w:sz w:val="18"/>
          <w:szCs w:val="18"/>
          <w:lang w:val="ru-RU"/>
        </w:rPr>
      </w:pPr>
      <w:r>
        <w:rPr>
          <w:rStyle w:val="FootnoteReference"/>
          <w:sz w:val="18"/>
        </w:rPr>
        <w:footnoteRef/>
      </w:r>
      <w:r w:rsidRPr="005177C8">
        <w:rPr>
          <w:sz w:val="18"/>
          <w:lang w:val="ru-RU"/>
        </w:rPr>
        <w:t xml:space="preserve"> </w:t>
      </w:r>
      <w:r w:rsidRPr="005177C8">
        <w:rPr>
          <w:lang w:val="ru-RU"/>
        </w:rPr>
        <w:t xml:space="preserve"> </w:t>
      </w:r>
      <w:r w:rsidRPr="005177C8">
        <w:rPr>
          <w:rFonts w:cs="Arial"/>
          <w:sz w:val="18"/>
          <w:szCs w:val="18"/>
          <w:lang w:val="ru-RU"/>
        </w:rPr>
        <w:t xml:space="preserve">Этот пересмотренный подход подробно объяснялся в </w:t>
      </w:r>
      <w:hyperlink r:id="rId3">
        <w:r w:rsidRPr="005177C8">
          <w:rPr>
            <w:rStyle w:val="Hyperlink"/>
            <w:rFonts w:cs="Arial"/>
            <w:sz w:val="18"/>
            <w:szCs w:val="18"/>
            <w:lang w:val="ru-RU"/>
          </w:rPr>
          <w:t>ОРП 2014</w:t>
        </w:r>
        <w:r w:rsidRPr="000E35D4">
          <w:rPr>
            <w:rStyle w:val="Hyperlink"/>
            <w:rFonts w:cs="Arial"/>
            <w:sz w:val="18"/>
            <w:szCs w:val="18"/>
          </w:rPr>
          <w:t> </w:t>
        </w:r>
        <w:r w:rsidRPr="005177C8">
          <w:rPr>
            <w:rStyle w:val="Hyperlink"/>
            <w:rFonts w:cs="Arial"/>
            <w:sz w:val="18"/>
            <w:szCs w:val="18"/>
            <w:lang w:val="ru-RU"/>
          </w:rPr>
          <w:t>г.</w:t>
        </w:r>
      </w:hyperlink>
      <w:r w:rsidRPr="005177C8">
        <w:rPr>
          <w:rFonts w:cs="Arial"/>
          <w:sz w:val="18"/>
          <w:szCs w:val="18"/>
          <w:lang w:val="ru-RU"/>
        </w:rPr>
        <w:t xml:space="preserve"> В частности, он предполагает приведение в соответствие методики расчета прямых и косвенных издержек Гаагской системы с методиками расчета удельной стоимости в системе РСТ и Мадридской системе.</w:t>
      </w:r>
    </w:p>
  </w:footnote>
  <w:footnote w:id="44">
    <w:p w:rsidR="00EE0D83" w:rsidRPr="005177C8" w:rsidRDefault="00EE0D83" w:rsidP="005177C8">
      <w:pPr>
        <w:pStyle w:val="FootnoteText"/>
        <w:tabs>
          <w:tab w:val="left" w:pos="567"/>
        </w:tabs>
        <w:rPr>
          <w:rFonts w:cs="Arial"/>
          <w:sz w:val="16"/>
          <w:szCs w:val="16"/>
          <w:lang w:val="ru-RU"/>
        </w:rPr>
      </w:pPr>
      <w:r>
        <w:rPr>
          <w:rStyle w:val="FootnoteReference"/>
        </w:rPr>
        <w:footnoteRef/>
      </w:r>
      <w:r w:rsidRPr="005177C8">
        <w:rPr>
          <w:sz w:val="16"/>
          <w:lang w:val="ru-RU"/>
        </w:rPr>
        <w:t xml:space="preserve"> </w:t>
      </w:r>
      <w:r w:rsidRPr="005177C8">
        <w:rPr>
          <w:lang w:val="ru-RU"/>
        </w:rPr>
        <w:tab/>
      </w:r>
      <w:r w:rsidRPr="005177C8">
        <w:rPr>
          <w:sz w:val="18"/>
          <w:lang w:val="ru-RU"/>
        </w:rPr>
        <w:t>См. коэффициенты соотношения для заявок и продлений в разделе «Общая рабочая нагрузка», выше.</w:t>
      </w:r>
    </w:p>
  </w:footnote>
  <w:footnote w:id="45">
    <w:p w:rsidR="00EE0D83" w:rsidRPr="005177C8" w:rsidRDefault="00EE0D83" w:rsidP="005177C8">
      <w:pPr>
        <w:pStyle w:val="FootnoteText"/>
        <w:rPr>
          <w:rFonts w:cs="Arial"/>
          <w:sz w:val="16"/>
          <w:szCs w:val="16"/>
          <w:lang w:val="ru-RU"/>
        </w:rPr>
      </w:pPr>
      <w:r>
        <w:rPr>
          <w:rStyle w:val="FootnoteReference"/>
          <w:sz w:val="16"/>
        </w:rPr>
        <w:footnoteRef/>
      </w:r>
      <w:r w:rsidRPr="005177C8">
        <w:rPr>
          <w:sz w:val="16"/>
          <w:lang w:val="ru-RU"/>
        </w:rPr>
        <w:t xml:space="preserve"> Данные были обновлены с учетом наиболее актуальных показателей, полученных после выпуска ОРП 2014</w:t>
      </w:r>
      <w:r>
        <w:rPr>
          <w:sz w:val="16"/>
        </w:rPr>
        <w:t> </w:t>
      </w:r>
      <w:r w:rsidRPr="005177C8">
        <w:rPr>
          <w:sz w:val="16"/>
          <w:lang w:val="ru-RU"/>
        </w:rPr>
        <w:t>г.</w:t>
      </w:r>
    </w:p>
  </w:footnote>
  <w:footnote w:id="46">
    <w:p w:rsidR="00EE0D83" w:rsidRPr="005177C8" w:rsidRDefault="00EE0D83" w:rsidP="00495A3D">
      <w:pPr>
        <w:pStyle w:val="FootnoteText"/>
        <w:rPr>
          <w:lang w:val="ru-RU"/>
        </w:rPr>
      </w:pPr>
      <w:r>
        <w:rPr>
          <w:rStyle w:val="FootnoteReference"/>
        </w:rPr>
        <w:footnoteRef/>
      </w:r>
      <w:r w:rsidRPr="005177C8">
        <w:rPr>
          <w:lang w:val="ru-RU"/>
        </w:rPr>
        <w:t xml:space="preserve"> </w:t>
      </w:r>
      <w:r>
        <w:rPr>
          <w:sz w:val="16"/>
        </w:rPr>
        <w:t>http</w:t>
      </w:r>
      <w:r w:rsidRPr="005177C8">
        <w:rPr>
          <w:sz w:val="16"/>
          <w:lang w:val="ru-RU"/>
        </w:rPr>
        <w:t>://</w:t>
      </w:r>
      <w:r>
        <w:rPr>
          <w:sz w:val="16"/>
        </w:rPr>
        <w:t>www</w:t>
      </w:r>
      <w:r w:rsidRPr="005177C8">
        <w:rPr>
          <w:sz w:val="16"/>
          <w:lang w:val="ru-RU"/>
        </w:rPr>
        <w:t>.</w:t>
      </w:r>
      <w:r>
        <w:rPr>
          <w:sz w:val="16"/>
        </w:rPr>
        <w:t>wipo</w:t>
      </w:r>
      <w:r w:rsidRPr="005177C8">
        <w:rPr>
          <w:sz w:val="16"/>
          <w:lang w:val="ru-RU"/>
        </w:rPr>
        <w:t>.</w:t>
      </w:r>
      <w:r>
        <w:rPr>
          <w:sz w:val="16"/>
        </w:rPr>
        <w:t>int</w:t>
      </w:r>
      <w:r w:rsidRPr="005177C8">
        <w:rPr>
          <w:sz w:val="16"/>
          <w:lang w:val="ru-RU"/>
        </w:rPr>
        <w:t>/</w:t>
      </w:r>
      <w:r>
        <w:rPr>
          <w:sz w:val="16"/>
        </w:rPr>
        <w:t>amc</w:t>
      </w:r>
      <w:r w:rsidRPr="005177C8">
        <w:rPr>
          <w:sz w:val="16"/>
          <w:lang w:val="ru-RU"/>
        </w:rPr>
        <w:t>/</w:t>
      </w:r>
      <w:r>
        <w:rPr>
          <w:sz w:val="16"/>
        </w:rPr>
        <w:t>en</w:t>
      </w:r>
      <w:r w:rsidRPr="005177C8">
        <w:rPr>
          <w:sz w:val="16"/>
          <w:lang w:val="ru-RU"/>
        </w:rPr>
        <w:t>/</w:t>
      </w:r>
      <w:r>
        <w:rPr>
          <w:sz w:val="16"/>
        </w:rPr>
        <w:t>rules</w:t>
      </w:r>
      <w:r w:rsidRPr="005177C8">
        <w:rPr>
          <w:sz w:val="16"/>
          <w:lang w:val="ru-RU"/>
        </w:rPr>
        <w:t>/</w:t>
      </w:r>
    </w:p>
  </w:footnote>
  <w:footnote w:id="47">
    <w:p w:rsidR="00EE0D83" w:rsidRPr="00C61544" w:rsidRDefault="00EE0D83" w:rsidP="00495A3D">
      <w:pPr>
        <w:pStyle w:val="FootnoteText"/>
        <w:rPr>
          <w:sz w:val="16"/>
          <w:szCs w:val="16"/>
          <w:lang w:val="ru-RU"/>
        </w:rPr>
      </w:pPr>
      <w:r>
        <w:rPr>
          <w:rStyle w:val="FootnoteReference"/>
          <w:sz w:val="16"/>
        </w:rPr>
        <w:footnoteRef/>
      </w:r>
      <w:r w:rsidRPr="00C61544">
        <w:rPr>
          <w:sz w:val="16"/>
          <w:lang w:val="ru-RU"/>
        </w:rPr>
        <w:t xml:space="preserve"> </w:t>
      </w:r>
      <w:r>
        <w:rPr>
          <w:sz w:val="16"/>
        </w:rPr>
        <w:t>http</w:t>
      </w:r>
      <w:r w:rsidRPr="00C61544">
        <w:rPr>
          <w:sz w:val="16"/>
          <w:lang w:val="ru-RU"/>
        </w:rPr>
        <w:t>://</w:t>
      </w:r>
      <w:r>
        <w:rPr>
          <w:sz w:val="16"/>
        </w:rPr>
        <w:t>www</w:t>
      </w:r>
      <w:r w:rsidRPr="00C61544">
        <w:rPr>
          <w:sz w:val="16"/>
          <w:lang w:val="ru-RU"/>
        </w:rPr>
        <w:t>.</w:t>
      </w:r>
      <w:r>
        <w:rPr>
          <w:sz w:val="16"/>
        </w:rPr>
        <w:t>wipo</w:t>
      </w:r>
      <w:r w:rsidRPr="00C61544">
        <w:rPr>
          <w:sz w:val="16"/>
          <w:lang w:val="ru-RU"/>
        </w:rPr>
        <w:t>.</w:t>
      </w:r>
      <w:r>
        <w:rPr>
          <w:sz w:val="16"/>
        </w:rPr>
        <w:t>int</w:t>
      </w:r>
      <w:r w:rsidRPr="00C61544">
        <w:rPr>
          <w:sz w:val="16"/>
          <w:lang w:val="ru-RU"/>
        </w:rPr>
        <w:t>/</w:t>
      </w:r>
      <w:r>
        <w:rPr>
          <w:sz w:val="16"/>
        </w:rPr>
        <w:t>amc</w:t>
      </w:r>
      <w:r w:rsidRPr="00C61544">
        <w:rPr>
          <w:sz w:val="16"/>
          <w:lang w:val="ru-RU"/>
        </w:rPr>
        <w:t>-</w:t>
      </w:r>
      <w:r>
        <w:rPr>
          <w:sz w:val="16"/>
        </w:rPr>
        <w:t>apps</w:t>
      </w:r>
      <w:r w:rsidRPr="00C61544">
        <w:rPr>
          <w:sz w:val="16"/>
          <w:lang w:val="ru-RU"/>
        </w:rPr>
        <w:t>/</w:t>
      </w:r>
      <w:r>
        <w:rPr>
          <w:sz w:val="16"/>
        </w:rPr>
        <w:t>clause</w:t>
      </w:r>
      <w:r w:rsidRPr="00C61544">
        <w:rPr>
          <w:sz w:val="16"/>
          <w:lang w:val="ru-RU"/>
        </w:rPr>
        <w:t>-</w:t>
      </w:r>
      <w:r>
        <w:rPr>
          <w:sz w:val="16"/>
        </w:rPr>
        <w:t>generator</w:t>
      </w:r>
      <w:r w:rsidRPr="00C61544">
        <w:rPr>
          <w:sz w:val="16"/>
          <w:lang w:val="ru-RU"/>
        </w:rPr>
        <w:t>/</w:t>
      </w:r>
    </w:p>
  </w:footnote>
  <w:footnote w:id="48">
    <w:p w:rsidR="00EE0D83" w:rsidRPr="00495A3D" w:rsidRDefault="00EE0D83" w:rsidP="00495A3D">
      <w:pPr>
        <w:pStyle w:val="FootnoteText"/>
        <w:rPr>
          <w:lang w:val="ru-RU"/>
        </w:rPr>
      </w:pPr>
      <w:r>
        <w:rPr>
          <w:rStyle w:val="FootnoteReference"/>
          <w:sz w:val="16"/>
        </w:rPr>
        <w:footnoteRef/>
      </w:r>
      <w:r w:rsidRPr="00495A3D">
        <w:rPr>
          <w:lang w:val="ru-RU"/>
        </w:rPr>
        <w:t xml:space="preserve"> </w:t>
      </w:r>
      <w:r w:rsidRPr="00495A3D">
        <w:rPr>
          <w:sz w:val="16"/>
          <w:lang w:val="ru-RU"/>
        </w:rPr>
        <w:t>По состоянию на конец 2015</w:t>
      </w:r>
      <w:r>
        <w:rPr>
          <w:sz w:val="16"/>
        </w:rPr>
        <w:t> </w:t>
      </w:r>
      <w:r w:rsidRPr="00495A3D">
        <w:rPr>
          <w:sz w:val="16"/>
          <w:lang w:val="ru-RU"/>
        </w:rPr>
        <w:t>г. в общей сложности было рассмотрено 29</w:t>
      </w:r>
      <w:r>
        <w:rPr>
          <w:sz w:val="16"/>
        </w:rPr>
        <w:t> </w:t>
      </w:r>
      <w:r w:rsidRPr="00495A3D">
        <w:rPr>
          <w:sz w:val="16"/>
          <w:lang w:val="ru-RU"/>
        </w:rPr>
        <w:t>567</w:t>
      </w:r>
      <w:r>
        <w:rPr>
          <w:sz w:val="16"/>
        </w:rPr>
        <w:t> </w:t>
      </w:r>
      <w:r w:rsidRPr="00495A3D">
        <w:rPr>
          <w:sz w:val="16"/>
          <w:lang w:val="ru-RU"/>
        </w:rPr>
        <w:t>споров о рДВУ и 3</w:t>
      </w:r>
      <w:r>
        <w:rPr>
          <w:sz w:val="16"/>
        </w:rPr>
        <w:t> </w:t>
      </w:r>
      <w:r w:rsidRPr="00495A3D">
        <w:rPr>
          <w:sz w:val="16"/>
          <w:lang w:val="ru-RU"/>
        </w:rPr>
        <w:t>520</w:t>
      </w:r>
      <w:r>
        <w:rPr>
          <w:sz w:val="16"/>
        </w:rPr>
        <w:t> </w:t>
      </w:r>
      <w:r w:rsidRPr="00495A3D">
        <w:rPr>
          <w:sz w:val="16"/>
          <w:lang w:val="ru-RU"/>
        </w:rPr>
        <w:t>споров о доменах верхнего уровня с кодом стран (ксДВУ).</w:t>
      </w:r>
    </w:p>
  </w:footnote>
  <w:footnote w:id="49">
    <w:p w:rsidR="00EE0D83" w:rsidRPr="00495A3D" w:rsidRDefault="00EE0D83" w:rsidP="00495A3D">
      <w:pPr>
        <w:pStyle w:val="FootnoteText"/>
        <w:rPr>
          <w:sz w:val="16"/>
          <w:szCs w:val="16"/>
          <w:lang w:val="ru-RU"/>
        </w:rPr>
      </w:pPr>
      <w:r>
        <w:rPr>
          <w:rStyle w:val="FootnoteReference"/>
        </w:rPr>
        <w:footnoteRef/>
      </w:r>
      <w:r w:rsidRPr="00495A3D">
        <w:rPr>
          <w:lang w:val="ru-RU"/>
        </w:rPr>
        <w:t xml:space="preserve"> </w:t>
      </w:r>
      <w:r w:rsidRPr="00495A3D">
        <w:rPr>
          <w:sz w:val="16"/>
          <w:lang w:val="ru-RU"/>
        </w:rPr>
        <w:t>В результате прекращения деятельности одного администратора общее число ксДВУ, в отношении которых ВОИС оказывает такие услуги, составляет</w:t>
      </w:r>
      <w:r>
        <w:rPr>
          <w:sz w:val="16"/>
        </w:rPr>
        <w:t> </w:t>
      </w:r>
      <w:r w:rsidRPr="00495A3D">
        <w:rPr>
          <w:sz w:val="16"/>
          <w:lang w:val="ru-RU"/>
        </w:rPr>
        <w:t>71.</w:t>
      </w:r>
    </w:p>
  </w:footnote>
  <w:footnote w:id="50">
    <w:p w:rsidR="00EE0D83" w:rsidRPr="00495A3D" w:rsidRDefault="00EE0D83" w:rsidP="00495A3D">
      <w:pPr>
        <w:pStyle w:val="FootnoteText"/>
        <w:rPr>
          <w:lang w:val="ru-RU"/>
        </w:rPr>
      </w:pPr>
      <w:r>
        <w:rPr>
          <w:rStyle w:val="FootnoteReference"/>
          <w:sz w:val="16"/>
        </w:rPr>
        <w:footnoteRef/>
      </w:r>
      <w:r w:rsidRPr="00495A3D">
        <w:rPr>
          <w:sz w:val="16"/>
          <w:lang w:val="ru-RU"/>
        </w:rPr>
        <w:t xml:space="preserve"> Поправка: общее число утвержденных программ по состоянию на конец 2013</w:t>
      </w:r>
      <w:r>
        <w:rPr>
          <w:sz w:val="16"/>
        </w:rPr>
        <w:t> </w:t>
      </w:r>
      <w:r w:rsidRPr="00495A3D">
        <w:rPr>
          <w:sz w:val="16"/>
          <w:lang w:val="ru-RU"/>
        </w:rPr>
        <w:t>г. было 12, а не 10, как сообщалось в ОРП 2012–2013</w:t>
      </w:r>
      <w:r>
        <w:rPr>
          <w:sz w:val="16"/>
        </w:rPr>
        <w:t> </w:t>
      </w:r>
      <w:r w:rsidRPr="00495A3D">
        <w:rPr>
          <w:sz w:val="16"/>
          <w:lang w:val="ru-RU"/>
        </w:rPr>
        <w:t>гг. и как указано в обновленных базовых показателях в ОРП 2014</w:t>
      </w:r>
      <w:r>
        <w:rPr>
          <w:sz w:val="16"/>
        </w:rPr>
        <w:t> </w:t>
      </w:r>
      <w:r w:rsidRPr="00495A3D">
        <w:rPr>
          <w:sz w:val="16"/>
          <w:lang w:val="ru-RU"/>
        </w:rPr>
        <w:t>г.</w:t>
      </w:r>
    </w:p>
  </w:footnote>
  <w:footnote w:id="51">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Поправка: общее число споров о ксДВУ по состоянию на конец 2013</w:t>
      </w:r>
      <w:r>
        <w:rPr>
          <w:sz w:val="16"/>
        </w:rPr>
        <w:t> </w:t>
      </w:r>
      <w:r w:rsidRPr="00495A3D">
        <w:rPr>
          <w:sz w:val="16"/>
          <w:lang w:val="ru-RU"/>
        </w:rPr>
        <w:t>г. было 2</w:t>
      </w:r>
      <w:r>
        <w:rPr>
          <w:sz w:val="16"/>
        </w:rPr>
        <w:t> </w:t>
      </w:r>
      <w:r w:rsidRPr="00495A3D">
        <w:rPr>
          <w:sz w:val="16"/>
          <w:lang w:val="ru-RU"/>
        </w:rPr>
        <w:t>798, а не 2</w:t>
      </w:r>
      <w:r>
        <w:rPr>
          <w:sz w:val="16"/>
        </w:rPr>
        <w:t> </w:t>
      </w:r>
      <w:r w:rsidRPr="00495A3D">
        <w:rPr>
          <w:sz w:val="16"/>
          <w:lang w:val="ru-RU"/>
        </w:rPr>
        <w:t>788, как сообщалось в ОРП 2012–2013</w:t>
      </w:r>
      <w:r>
        <w:rPr>
          <w:sz w:val="16"/>
        </w:rPr>
        <w:t> </w:t>
      </w:r>
      <w:r w:rsidRPr="00495A3D">
        <w:rPr>
          <w:sz w:val="16"/>
          <w:lang w:val="ru-RU"/>
        </w:rPr>
        <w:t>гг. и как указано в обновленных базовых показателях в ОРП 2014</w:t>
      </w:r>
      <w:r>
        <w:rPr>
          <w:sz w:val="16"/>
        </w:rPr>
        <w:t> </w:t>
      </w:r>
      <w:r w:rsidRPr="00495A3D">
        <w:rPr>
          <w:sz w:val="16"/>
          <w:lang w:val="ru-RU"/>
        </w:rPr>
        <w:t>г.</w:t>
      </w:r>
    </w:p>
  </w:footnote>
  <w:footnote w:id="52">
    <w:p w:rsidR="00EE0D83" w:rsidRPr="00495A3D" w:rsidRDefault="00EE0D83" w:rsidP="00495A3D">
      <w:pPr>
        <w:pStyle w:val="FootnoteText"/>
        <w:tabs>
          <w:tab w:val="left" w:pos="284"/>
        </w:tabs>
        <w:rPr>
          <w:sz w:val="16"/>
          <w:szCs w:val="16"/>
          <w:lang w:val="ru-RU"/>
        </w:rPr>
      </w:pPr>
      <w:r>
        <w:rPr>
          <w:rStyle w:val="FootnoteReference"/>
        </w:rPr>
        <w:footnoteRef/>
      </w:r>
      <w:r w:rsidRPr="00495A3D">
        <w:rPr>
          <w:lang w:val="ru-RU"/>
        </w:rPr>
        <w:t xml:space="preserve"> </w:t>
      </w:r>
      <w:r w:rsidRPr="00495A3D">
        <w:rPr>
          <w:lang w:val="ru-RU"/>
        </w:rPr>
        <w:tab/>
      </w:r>
      <w:hyperlink r:id="rId4" w:tooltip="http://www.wipo.int/meetings/en/doc_details.jsp?doc_id=208882">
        <w:r>
          <w:rPr>
            <w:rStyle w:val="Hyperlink"/>
            <w:sz w:val="16"/>
          </w:rPr>
          <w:t>http</w:t>
        </w:r>
        <w:r w:rsidRPr="00495A3D">
          <w:rPr>
            <w:rStyle w:val="Hyperlink"/>
            <w:sz w:val="16"/>
            <w:lang w:val="ru-RU"/>
          </w:rPr>
          <w:t>://</w:t>
        </w:r>
        <w:r>
          <w:rPr>
            <w:rStyle w:val="Hyperlink"/>
            <w:sz w:val="16"/>
          </w:rPr>
          <w:t>www</w:t>
        </w:r>
        <w:r w:rsidRPr="00495A3D">
          <w:rPr>
            <w:rStyle w:val="Hyperlink"/>
            <w:sz w:val="16"/>
            <w:lang w:val="ru-RU"/>
          </w:rPr>
          <w:t>.</w:t>
        </w:r>
        <w:r>
          <w:rPr>
            <w:rStyle w:val="Hyperlink"/>
            <w:sz w:val="16"/>
          </w:rPr>
          <w:t>wipo</w:t>
        </w:r>
        <w:r w:rsidRPr="00495A3D">
          <w:rPr>
            <w:rStyle w:val="Hyperlink"/>
            <w:sz w:val="16"/>
            <w:lang w:val="ru-RU"/>
          </w:rPr>
          <w:t>.</w:t>
        </w:r>
        <w:r>
          <w:rPr>
            <w:rStyle w:val="Hyperlink"/>
            <w:sz w:val="16"/>
          </w:rPr>
          <w:t>int</w:t>
        </w:r>
        <w:r w:rsidRPr="00495A3D">
          <w:rPr>
            <w:rStyle w:val="Hyperlink"/>
            <w:sz w:val="16"/>
            <w:lang w:val="ru-RU"/>
          </w:rPr>
          <w:t>/</w:t>
        </w:r>
        <w:r>
          <w:rPr>
            <w:rStyle w:val="Hyperlink"/>
            <w:sz w:val="16"/>
          </w:rPr>
          <w:t>meetings</w:t>
        </w:r>
        <w:r w:rsidRPr="00495A3D">
          <w:rPr>
            <w:rStyle w:val="Hyperlink"/>
            <w:sz w:val="16"/>
            <w:lang w:val="ru-RU"/>
          </w:rPr>
          <w:t>/</w:t>
        </w:r>
        <w:r>
          <w:rPr>
            <w:rStyle w:val="Hyperlink"/>
            <w:sz w:val="16"/>
          </w:rPr>
          <w:t>en</w:t>
        </w:r>
        <w:r w:rsidRPr="00495A3D">
          <w:rPr>
            <w:rStyle w:val="Hyperlink"/>
            <w:sz w:val="16"/>
            <w:lang w:val="ru-RU"/>
          </w:rPr>
          <w:t>/</w:t>
        </w:r>
        <w:r>
          <w:rPr>
            <w:rStyle w:val="Hyperlink"/>
            <w:sz w:val="16"/>
          </w:rPr>
          <w:t>doc</w:t>
        </w:r>
        <w:r w:rsidRPr="00495A3D">
          <w:rPr>
            <w:rStyle w:val="Hyperlink"/>
            <w:sz w:val="16"/>
            <w:lang w:val="ru-RU"/>
          </w:rPr>
          <w:t>_</w:t>
        </w:r>
        <w:r>
          <w:rPr>
            <w:rStyle w:val="Hyperlink"/>
            <w:sz w:val="16"/>
          </w:rPr>
          <w:t>details</w:t>
        </w:r>
        <w:r w:rsidRPr="00495A3D">
          <w:rPr>
            <w:rStyle w:val="Hyperlink"/>
            <w:sz w:val="16"/>
            <w:lang w:val="ru-RU"/>
          </w:rPr>
          <w:t>.</w:t>
        </w:r>
        <w:r>
          <w:rPr>
            <w:rStyle w:val="Hyperlink"/>
            <w:sz w:val="16"/>
          </w:rPr>
          <w:t>jsp</w:t>
        </w:r>
        <w:r w:rsidRPr="00495A3D">
          <w:rPr>
            <w:rStyle w:val="Hyperlink"/>
            <w:sz w:val="16"/>
            <w:lang w:val="ru-RU"/>
          </w:rPr>
          <w:t>?</w:t>
        </w:r>
        <w:r>
          <w:rPr>
            <w:rStyle w:val="Hyperlink"/>
            <w:sz w:val="16"/>
          </w:rPr>
          <w:t>doc</w:t>
        </w:r>
        <w:r w:rsidRPr="00495A3D">
          <w:rPr>
            <w:rStyle w:val="Hyperlink"/>
            <w:sz w:val="16"/>
            <w:lang w:val="ru-RU"/>
          </w:rPr>
          <w:t>_</w:t>
        </w:r>
        <w:r>
          <w:rPr>
            <w:rStyle w:val="Hyperlink"/>
            <w:sz w:val="16"/>
          </w:rPr>
          <w:t>id</w:t>
        </w:r>
        <w:r w:rsidRPr="00495A3D">
          <w:rPr>
            <w:rStyle w:val="Hyperlink"/>
            <w:sz w:val="16"/>
            <w:lang w:val="ru-RU"/>
          </w:rPr>
          <w:t>=208882</w:t>
        </w:r>
      </w:hyperlink>
      <w:r w:rsidRPr="00495A3D">
        <w:rPr>
          <w:sz w:val="16"/>
          <w:lang w:val="ru-RU"/>
        </w:rPr>
        <w:t xml:space="preserve"> и</w:t>
      </w:r>
    </w:p>
    <w:p w:rsidR="00EE0D83" w:rsidRPr="00495A3D" w:rsidRDefault="00EE0D83" w:rsidP="00495A3D">
      <w:pPr>
        <w:pStyle w:val="FootnoteText"/>
        <w:tabs>
          <w:tab w:val="left" w:pos="284"/>
        </w:tabs>
        <w:rPr>
          <w:lang w:val="ru-RU"/>
        </w:rPr>
      </w:pPr>
      <w:r w:rsidRPr="00495A3D">
        <w:rPr>
          <w:lang w:val="ru-RU"/>
        </w:rPr>
        <w:tab/>
      </w:r>
      <w:hyperlink r:id="rId5">
        <w:r>
          <w:rPr>
            <w:rStyle w:val="Hyperlink"/>
            <w:sz w:val="16"/>
          </w:rPr>
          <w:t>http</w:t>
        </w:r>
        <w:r w:rsidRPr="00495A3D">
          <w:rPr>
            <w:rStyle w:val="Hyperlink"/>
            <w:sz w:val="16"/>
            <w:lang w:val="ru-RU"/>
          </w:rPr>
          <w:t>://</w:t>
        </w:r>
        <w:r>
          <w:rPr>
            <w:rStyle w:val="Hyperlink"/>
            <w:sz w:val="16"/>
          </w:rPr>
          <w:t>www</w:t>
        </w:r>
        <w:r w:rsidRPr="00495A3D">
          <w:rPr>
            <w:rStyle w:val="Hyperlink"/>
            <w:sz w:val="16"/>
            <w:lang w:val="ru-RU"/>
          </w:rPr>
          <w:t>.</w:t>
        </w:r>
        <w:r>
          <w:rPr>
            <w:rStyle w:val="Hyperlink"/>
            <w:sz w:val="16"/>
          </w:rPr>
          <w:t>wipo</w:t>
        </w:r>
        <w:r w:rsidRPr="00495A3D">
          <w:rPr>
            <w:rStyle w:val="Hyperlink"/>
            <w:sz w:val="16"/>
            <w:lang w:val="ru-RU"/>
          </w:rPr>
          <w:t>.</w:t>
        </w:r>
        <w:r>
          <w:rPr>
            <w:rStyle w:val="Hyperlink"/>
            <w:sz w:val="16"/>
          </w:rPr>
          <w:t>int</w:t>
        </w:r>
        <w:r w:rsidRPr="00495A3D">
          <w:rPr>
            <w:rStyle w:val="Hyperlink"/>
            <w:sz w:val="16"/>
            <w:lang w:val="ru-RU"/>
          </w:rPr>
          <w:t>/</w:t>
        </w:r>
        <w:r>
          <w:rPr>
            <w:rStyle w:val="Hyperlink"/>
            <w:sz w:val="16"/>
          </w:rPr>
          <w:t>meetings</w:t>
        </w:r>
        <w:r w:rsidRPr="00495A3D">
          <w:rPr>
            <w:rStyle w:val="Hyperlink"/>
            <w:sz w:val="16"/>
            <w:lang w:val="ru-RU"/>
          </w:rPr>
          <w:t>/</w:t>
        </w:r>
        <w:r>
          <w:rPr>
            <w:rStyle w:val="Hyperlink"/>
            <w:sz w:val="16"/>
          </w:rPr>
          <w:t>en</w:t>
        </w:r>
        <w:r w:rsidRPr="00495A3D">
          <w:rPr>
            <w:rStyle w:val="Hyperlink"/>
            <w:sz w:val="16"/>
            <w:lang w:val="ru-RU"/>
          </w:rPr>
          <w:t>/</w:t>
        </w:r>
        <w:r>
          <w:rPr>
            <w:rStyle w:val="Hyperlink"/>
            <w:sz w:val="16"/>
          </w:rPr>
          <w:t>doc</w:t>
        </w:r>
        <w:r w:rsidRPr="00495A3D">
          <w:rPr>
            <w:rStyle w:val="Hyperlink"/>
            <w:sz w:val="16"/>
            <w:lang w:val="ru-RU"/>
          </w:rPr>
          <w:t>_</w:t>
        </w:r>
        <w:r>
          <w:rPr>
            <w:rStyle w:val="Hyperlink"/>
            <w:sz w:val="16"/>
          </w:rPr>
          <w:t>details</w:t>
        </w:r>
        <w:r w:rsidRPr="00495A3D">
          <w:rPr>
            <w:rStyle w:val="Hyperlink"/>
            <w:sz w:val="16"/>
            <w:lang w:val="ru-RU"/>
          </w:rPr>
          <w:t>.</w:t>
        </w:r>
        <w:r>
          <w:rPr>
            <w:rStyle w:val="Hyperlink"/>
            <w:sz w:val="16"/>
          </w:rPr>
          <w:t>jsp</w:t>
        </w:r>
        <w:r w:rsidRPr="00495A3D">
          <w:rPr>
            <w:rStyle w:val="Hyperlink"/>
            <w:sz w:val="16"/>
            <w:lang w:val="ru-RU"/>
          </w:rPr>
          <w:t>?</w:t>
        </w:r>
        <w:r>
          <w:rPr>
            <w:rStyle w:val="Hyperlink"/>
            <w:sz w:val="16"/>
          </w:rPr>
          <w:t>doc</w:t>
        </w:r>
        <w:r w:rsidRPr="00495A3D">
          <w:rPr>
            <w:rStyle w:val="Hyperlink"/>
            <w:sz w:val="16"/>
            <w:lang w:val="ru-RU"/>
          </w:rPr>
          <w:t>_</w:t>
        </w:r>
        <w:r>
          <w:rPr>
            <w:rStyle w:val="Hyperlink"/>
            <w:sz w:val="16"/>
          </w:rPr>
          <w:t>id</w:t>
        </w:r>
        <w:r w:rsidRPr="00495A3D">
          <w:rPr>
            <w:rStyle w:val="Hyperlink"/>
            <w:sz w:val="16"/>
            <w:lang w:val="ru-RU"/>
          </w:rPr>
          <w:t>=239806</w:t>
        </w:r>
      </w:hyperlink>
      <w:r w:rsidRPr="00495A3D">
        <w:rPr>
          <w:sz w:val="16"/>
          <w:lang w:val="ru-RU"/>
        </w:rPr>
        <w:t xml:space="preserve"> </w:t>
      </w:r>
    </w:p>
  </w:footnote>
  <w:footnote w:id="53">
    <w:p w:rsidR="00EE0D83" w:rsidRPr="00495A3D" w:rsidRDefault="00EE0D83" w:rsidP="00495A3D">
      <w:pPr>
        <w:pStyle w:val="FootnoteText"/>
        <w:rPr>
          <w:lang w:val="ru-RU"/>
        </w:rPr>
      </w:pPr>
      <w:r>
        <w:rPr>
          <w:rStyle w:val="FootnoteReference"/>
          <w:sz w:val="16"/>
        </w:rPr>
        <w:footnoteRef/>
      </w:r>
      <w:r w:rsidRPr="00495A3D">
        <w:rPr>
          <w:sz w:val="16"/>
          <w:lang w:val="ru-RU"/>
        </w:rPr>
        <w:t xml:space="preserve"> </w:t>
      </w:r>
      <w:hyperlink r:id="rId6">
        <w:r w:rsidRPr="00495A3D">
          <w:rPr>
            <w:rStyle w:val="Hyperlink"/>
            <w:sz w:val="16"/>
            <w:lang w:val="ru-RU"/>
          </w:rPr>
          <w:t xml:space="preserve">Оценка международных учебных программ </w:t>
        </w:r>
        <w:r w:rsidRPr="0087425C">
          <w:rPr>
            <w:rStyle w:val="Hyperlink"/>
            <w:sz w:val="16"/>
          </w:rPr>
          <w:t>Sida</w:t>
        </w:r>
        <w:r w:rsidRPr="00495A3D">
          <w:rPr>
            <w:rStyle w:val="Hyperlink"/>
            <w:sz w:val="16"/>
            <w:lang w:val="ru-RU"/>
          </w:rPr>
          <w:t xml:space="preserve"> по вопросам интеллектуальной собственности. Итоговый отчет.</w:t>
        </w:r>
      </w:hyperlink>
    </w:p>
  </w:footnote>
  <w:footnote w:id="54">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w:t>
      </w:r>
      <w:r>
        <w:rPr>
          <w:sz w:val="16"/>
        </w:rPr>
        <w:t>http</w:t>
      </w:r>
      <w:r w:rsidRPr="00495A3D">
        <w:rPr>
          <w:sz w:val="16"/>
          <w:lang w:val="ru-RU"/>
        </w:rPr>
        <w:t>://</w:t>
      </w:r>
      <w:r>
        <w:rPr>
          <w:sz w:val="16"/>
        </w:rPr>
        <w:t>www</w:t>
      </w:r>
      <w:r w:rsidRPr="00495A3D">
        <w:rPr>
          <w:sz w:val="16"/>
          <w:lang w:val="ru-RU"/>
        </w:rPr>
        <w:t>.</w:t>
      </w:r>
      <w:r>
        <w:rPr>
          <w:sz w:val="16"/>
        </w:rPr>
        <w:t>wipo</w:t>
      </w:r>
      <w:r w:rsidRPr="00495A3D">
        <w:rPr>
          <w:sz w:val="16"/>
          <w:lang w:val="ru-RU"/>
        </w:rPr>
        <w:t>.</w:t>
      </w:r>
      <w:r>
        <w:rPr>
          <w:sz w:val="16"/>
        </w:rPr>
        <w:t>int</w:t>
      </w:r>
      <w:r w:rsidRPr="00495A3D">
        <w:rPr>
          <w:sz w:val="16"/>
          <w:lang w:val="ru-RU"/>
        </w:rPr>
        <w:t>/</w:t>
      </w:r>
      <w:r>
        <w:rPr>
          <w:sz w:val="16"/>
        </w:rPr>
        <w:t>cooperation</w:t>
      </w:r>
      <w:r w:rsidRPr="00495A3D">
        <w:rPr>
          <w:sz w:val="16"/>
          <w:lang w:val="ru-RU"/>
        </w:rPr>
        <w:t>/</w:t>
      </w:r>
      <w:r>
        <w:rPr>
          <w:sz w:val="16"/>
        </w:rPr>
        <w:t>en</w:t>
      </w:r>
      <w:r w:rsidRPr="00495A3D">
        <w:rPr>
          <w:sz w:val="16"/>
          <w:lang w:val="ru-RU"/>
        </w:rPr>
        <w:t>/</w:t>
      </w:r>
      <w:r>
        <w:rPr>
          <w:sz w:val="16"/>
        </w:rPr>
        <w:t>south</w:t>
      </w:r>
      <w:r w:rsidRPr="00495A3D">
        <w:rPr>
          <w:sz w:val="16"/>
          <w:lang w:val="ru-RU"/>
        </w:rPr>
        <w:t>_</w:t>
      </w:r>
      <w:r>
        <w:rPr>
          <w:sz w:val="16"/>
        </w:rPr>
        <w:t>south</w:t>
      </w:r>
      <w:r w:rsidRPr="00495A3D">
        <w:rPr>
          <w:sz w:val="16"/>
          <w:lang w:val="ru-RU"/>
        </w:rPr>
        <w:t>/</w:t>
      </w:r>
    </w:p>
  </w:footnote>
  <w:footnote w:id="55">
    <w:p w:rsidR="00EE0D83" w:rsidRPr="00495A3D" w:rsidRDefault="00EE0D83" w:rsidP="00495A3D">
      <w:pPr>
        <w:rPr>
          <w:lang w:val="ru-RU"/>
        </w:rPr>
      </w:pPr>
      <w:r>
        <w:rPr>
          <w:rStyle w:val="FootnoteReference"/>
          <w:sz w:val="16"/>
        </w:rPr>
        <w:footnoteRef/>
      </w:r>
      <w:r w:rsidRPr="00495A3D">
        <w:rPr>
          <w:sz w:val="16"/>
          <w:lang w:val="ru-RU"/>
        </w:rPr>
        <w:t xml:space="preserve"> Схема мероприятий ВОИС по линии сотрудничества Юг-Юг будет представлена для обсуждения на семнадцатой сессии КРИС в апреле 2016</w:t>
      </w:r>
      <w:r>
        <w:rPr>
          <w:sz w:val="16"/>
        </w:rPr>
        <w:t> </w:t>
      </w:r>
      <w:r w:rsidRPr="00495A3D">
        <w:rPr>
          <w:sz w:val="16"/>
          <w:lang w:val="ru-RU"/>
        </w:rPr>
        <w:t xml:space="preserve">г. </w:t>
      </w:r>
    </w:p>
  </w:footnote>
  <w:footnote w:id="56">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w:t>
      </w:r>
      <w:r>
        <w:rPr>
          <w:sz w:val="16"/>
        </w:rPr>
        <w:t>http</w:t>
      </w:r>
      <w:r w:rsidRPr="00495A3D">
        <w:rPr>
          <w:sz w:val="16"/>
          <w:lang w:val="ru-RU"/>
        </w:rPr>
        <w:t>://</w:t>
      </w:r>
      <w:r>
        <w:rPr>
          <w:sz w:val="16"/>
        </w:rPr>
        <w:t>www</w:t>
      </w:r>
      <w:r w:rsidRPr="00495A3D">
        <w:rPr>
          <w:sz w:val="16"/>
          <w:lang w:val="ru-RU"/>
        </w:rPr>
        <w:t>.</w:t>
      </w:r>
      <w:r>
        <w:rPr>
          <w:sz w:val="16"/>
        </w:rPr>
        <w:t>wipo</w:t>
      </w:r>
      <w:r w:rsidRPr="00495A3D">
        <w:rPr>
          <w:sz w:val="16"/>
          <w:lang w:val="ru-RU"/>
        </w:rPr>
        <w:t>.</w:t>
      </w:r>
      <w:r>
        <w:rPr>
          <w:sz w:val="16"/>
        </w:rPr>
        <w:t>int</w:t>
      </w:r>
      <w:r w:rsidRPr="00495A3D">
        <w:rPr>
          <w:sz w:val="16"/>
          <w:lang w:val="ru-RU"/>
        </w:rPr>
        <w:t>/</w:t>
      </w:r>
      <w:r>
        <w:rPr>
          <w:sz w:val="16"/>
        </w:rPr>
        <w:t>edocs</w:t>
      </w:r>
      <w:r w:rsidRPr="00495A3D">
        <w:rPr>
          <w:sz w:val="16"/>
          <w:lang w:val="ru-RU"/>
        </w:rPr>
        <w:t>/</w:t>
      </w:r>
      <w:r>
        <w:rPr>
          <w:sz w:val="16"/>
        </w:rPr>
        <w:t>mdocs</w:t>
      </w:r>
      <w:r w:rsidRPr="00495A3D">
        <w:rPr>
          <w:sz w:val="16"/>
          <w:lang w:val="ru-RU"/>
        </w:rPr>
        <w:t>/</w:t>
      </w:r>
      <w:r>
        <w:rPr>
          <w:sz w:val="16"/>
        </w:rPr>
        <w:t>mdocs</w:t>
      </w:r>
      <w:r w:rsidRPr="00495A3D">
        <w:rPr>
          <w:sz w:val="16"/>
          <w:lang w:val="ru-RU"/>
        </w:rPr>
        <w:t>/</w:t>
      </w:r>
      <w:r>
        <w:rPr>
          <w:sz w:val="16"/>
        </w:rPr>
        <w:t>en</w:t>
      </w:r>
      <w:r w:rsidRPr="00495A3D">
        <w:rPr>
          <w:sz w:val="16"/>
          <w:lang w:val="ru-RU"/>
        </w:rPr>
        <w:t>/</w:t>
      </w:r>
      <w:r>
        <w:rPr>
          <w:sz w:val="16"/>
        </w:rPr>
        <w:t>ompi</w:t>
      </w:r>
      <w:r w:rsidRPr="00495A3D">
        <w:rPr>
          <w:sz w:val="16"/>
          <w:lang w:val="ru-RU"/>
        </w:rPr>
        <w:t>_</w:t>
      </w:r>
      <w:r>
        <w:rPr>
          <w:sz w:val="16"/>
        </w:rPr>
        <w:t>pi</w:t>
      </w:r>
      <w:r w:rsidRPr="00495A3D">
        <w:rPr>
          <w:sz w:val="16"/>
          <w:lang w:val="ru-RU"/>
        </w:rPr>
        <w:t>_</w:t>
      </w:r>
      <w:r>
        <w:rPr>
          <w:sz w:val="16"/>
        </w:rPr>
        <w:t>dak</w:t>
      </w:r>
      <w:r w:rsidRPr="00495A3D">
        <w:rPr>
          <w:sz w:val="16"/>
          <w:lang w:val="ru-RU"/>
        </w:rPr>
        <w:t>_15/</w:t>
      </w:r>
      <w:r>
        <w:rPr>
          <w:sz w:val="16"/>
        </w:rPr>
        <w:t>ompi</w:t>
      </w:r>
      <w:r w:rsidRPr="00495A3D">
        <w:rPr>
          <w:sz w:val="16"/>
          <w:lang w:val="ru-RU"/>
        </w:rPr>
        <w:t>_</w:t>
      </w:r>
      <w:r>
        <w:rPr>
          <w:sz w:val="16"/>
        </w:rPr>
        <w:t>pi</w:t>
      </w:r>
      <w:r w:rsidRPr="00495A3D">
        <w:rPr>
          <w:sz w:val="16"/>
          <w:lang w:val="ru-RU"/>
        </w:rPr>
        <w:t>_</w:t>
      </w:r>
      <w:r>
        <w:rPr>
          <w:sz w:val="16"/>
        </w:rPr>
        <w:t>dak</w:t>
      </w:r>
      <w:r w:rsidRPr="00495A3D">
        <w:rPr>
          <w:sz w:val="16"/>
          <w:lang w:val="ru-RU"/>
        </w:rPr>
        <w:t>_15_</w:t>
      </w:r>
      <w:r>
        <w:rPr>
          <w:sz w:val="16"/>
        </w:rPr>
        <w:t>www</w:t>
      </w:r>
      <w:r w:rsidRPr="00495A3D">
        <w:rPr>
          <w:sz w:val="16"/>
          <w:lang w:val="ru-RU"/>
        </w:rPr>
        <w:t>_319536.</w:t>
      </w:r>
      <w:r>
        <w:rPr>
          <w:sz w:val="16"/>
        </w:rPr>
        <w:t>pdf</w:t>
      </w:r>
    </w:p>
  </w:footnote>
  <w:footnote w:id="57">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w:t>
      </w:r>
      <w:r>
        <w:rPr>
          <w:sz w:val="16"/>
        </w:rPr>
        <w:t>http</w:t>
      </w:r>
      <w:r w:rsidRPr="00495A3D">
        <w:rPr>
          <w:sz w:val="16"/>
          <w:lang w:val="ru-RU"/>
        </w:rPr>
        <w:t>://</w:t>
      </w:r>
      <w:r>
        <w:rPr>
          <w:sz w:val="16"/>
        </w:rPr>
        <w:t>www</w:t>
      </w:r>
      <w:r w:rsidRPr="00495A3D">
        <w:rPr>
          <w:sz w:val="16"/>
          <w:lang w:val="ru-RU"/>
        </w:rPr>
        <w:t>.</w:t>
      </w:r>
      <w:r>
        <w:rPr>
          <w:sz w:val="16"/>
        </w:rPr>
        <w:t>wipo</w:t>
      </w:r>
      <w:r w:rsidRPr="00495A3D">
        <w:rPr>
          <w:sz w:val="16"/>
          <w:lang w:val="ru-RU"/>
        </w:rPr>
        <w:t>.</w:t>
      </w:r>
      <w:r>
        <w:rPr>
          <w:sz w:val="16"/>
        </w:rPr>
        <w:t>int</w:t>
      </w:r>
      <w:r w:rsidRPr="00495A3D">
        <w:rPr>
          <w:sz w:val="16"/>
          <w:lang w:val="ru-RU"/>
        </w:rPr>
        <w:t>/</w:t>
      </w:r>
      <w:r>
        <w:rPr>
          <w:sz w:val="16"/>
        </w:rPr>
        <w:t>export</w:t>
      </w:r>
      <w:r w:rsidRPr="00495A3D">
        <w:rPr>
          <w:sz w:val="16"/>
          <w:lang w:val="ru-RU"/>
        </w:rPr>
        <w:t>/</w:t>
      </w:r>
      <w:r>
        <w:rPr>
          <w:sz w:val="16"/>
        </w:rPr>
        <w:t>sites</w:t>
      </w:r>
      <w:r w:rsidRPr="00495A3D">
        <w:rPr>
          <w:sz w:val="16"/>
          <w:lang w:val="ru-RU"/>
        </w:rPr>
        <w:t>/</w:t>
      </w:r>
      <w:r>
        <w:rPr>
          <w:sz w:val="16"/>
        </w:rPr>
        <w:t>www</w:t>
      </w:r>
      <w:r w:rsidRPr="00495A3D">
        <w:rPr>
          <w:sz w:val="16"/>
          <w:lang w:val="ru-RU"/>
        </w:rPr>
        <w:t>/</w:t>
      </w:r>
      <w:r>
        <w:rPr>
          <w:sz w:val="16"/>
        </w:rPr>
        <w:t>cooperation</w:t>
      </w:r>
      <w:r w:rsidRPr="00495A3D">
        <w:rPr>
          <w:sz w:val="16"/>
          <w:lang w:val="ru-RU"/>
        </w:rPr>
        <w:t>/</w:t>
      </w:r>
      <w:r>
        <w:rPr>
          <w:sz w:val="16"/>
        </w:rPr>
        <w:t>en</w:t>
      </w:r>
      <w:r w:rsidRPr="00495A3D">
        <w:rPr>
          <w:sz w:val="16"/>
          <w:lang w:val="ru-RU"/>
        </w:rPr>
        <w:t>/</w:t>
      </w:r>
      <w:r>
        <w:rPr>
          <w:sz w:val="16"/>
        </w:rPr>
        <w:t>pdf</w:t>
      </w:r>
      <w:r w:rsidRPr="00495A3D">
        <w:rPr>
          <w:sz w:val="16"/>
          <w:lang w:val="ru-RU"/>
        </w:rPr>
        <w:t>/</w:t>
      </w:r>
      <w:r>
        <w:rPr>
          <w:sz w:val="16"/>
        </w:rPr>
        <w:t>ta</w:t>
      </w:r>
      <w:r w:rsidRPr="00495A3D">
        <w:rPr>
          <w:sz w:val="16"/>
          <w:lang w:val="ru-RU"/>
        </w:rPr>
        <w:t>_</w:t>
      </w:r>
      <w:r>
        <w:rPr>
          <w:sz w:val="16"/>
        </w:rPr>
        <w:t>manual</w:t>
      </w:r>
      <w:r w:rsidRPr="00495A3D">
        <w:rPr>
          <w:sz w:val="16"/>
          <w:lang w:val="ru-RU"/>
        </w:rPr>
        <w:t>.</w:t>
      </w:r>
      <w:r>
        <w:rPr>
          <w:sz w:val="16"/>
        </w:rPr>
        <w:t>pdf</w:t>
      </w:r>
      <w:r w:rsidRPr="00495A3D">
        <w:rPr>
          <w:sz w:val="16"/>
          <w:lang w:val="ru-RU"/>
        </w:rPr>
        <w:t xml:space="preserve"> </w:t>
      </w:r>
    </w:p>
  </w:footnote>
  <w:footnote w:id="58">
    <w:p w:rsidR="00EE0D83" w:rsidRPr="00495A3D" w:rsidRDefault="00EE0D83" w:rsidP="00495A3D">
      <w:pPr>
        <w:pStyle w:val="FootnoteText"/>
        <w:rPr>
          <w:lang w:val="ru-RU"/>
        </w:rPr>
      </w:pPr>
      <w:r>
        <w:rPr>
          <w:rStyle w:val="FootnoteReference"/>
          <w:sz w:val="16"/>
        </w:rPr>
        <w:footnoteRef/>
      </w:r>
      <w:r w:rsidRPr="00495A3D">
        <w:rPr>
          <w:sz w:val="16"/>
          <w:lang w:val="ru-RU"/>
        </w:rPr>
        <w:t xml:space="preserve"> Данные, представленные в 2015</w:t>
      </w:r>
      <w:r>
        <w:rPr>
          <w:sz w:val="16"/>
        </w:rPr>
        <w:t> </w:t>
      </w:r>
      <w:r w:rsidRPr="00495A3D">
        <w:rPr>
          <w:sz w:val="16"/>
          <w:lang w:val="ru-RU"/>
        </w:rPr>
        <w:t>г., получены с помощью новой методики расчета уровня удовлетворенности.</w:t>
      </w:r>
    </w:p>
  </w:footnote>
  <w:footnote w:id="59">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Поправка: в ОРП 2012–2013</w:t>
      </w:r>
      <w:r>
        <w:rPr>
          <w:sz w:val="16"/>
        </w:rPr>
        <w:t> </w:t>
      </w:r>
      <w:r w:rsidRPr="00495A3D">
        <w:rPr>
          <w:sz w:val="16"/>
          <w:lang w:val="ru-RU"/>
        </w:rPr>
        <w:t>гг. сообщалось, что Эфиопия приняла политику в области ИС в 2012–2013</w:t>
      </w:r>
      <w:r>
        <w:rPr>
          <w:sz w:val="16"/>
        </w:rPr>
        <w:t> </w:t>
      </w:r>
      <w:r w:rsidRPr="00495A3D">
        <w:rPr>
          <w:sz w:val="16"/>
          <w:lang w:val="ru-RU"/>
        </w:rPr>
        <w:t>гг.  Работа над Политикой в области ИС была завершена в 2014</w:t>
      </w:r>
      <w:r>
        <w:rPr>
          <w:sz w:val="16"/>
        </w:rPr>
        <w:t> </w:t>
      </w:r>
      <w:r w:rsidRPr="00495A3D">
        <w:rPr>
          <w:sz w:val="16"/>
          <w:lang w:val="ru-RU"/>
        </w:rPr>
        <w:t xml:space="preserve">г., и она находится на стадии утверждения на национальном уровне.  </w:t>
      </w:r>
    </w:p>
  </w:footnote>
  <w:footnote w:id="60">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Поправка: в ОРП на 2012–2013</w:t>
      </w:r>
      <w:r>
        <w:rPr>
          <w:sz w:val="16"/>
        </w:rPr>
        <w:t> </w:t>
      </w:r>
      <w:r w:rsidRPr="00495A3D">
        <w:rPr>
          <w:sz w:val="16"/>
          <w:lang w:val="ru-RU"/>
        </w:rPr>
        <w:t xml:space="preserve">гг. сообщалось, что в Тунисе идет разработка национальной стратегии инноваций в контексте ИС. Обсуждение возможности разработки такой стратегии началось, но этот процесс не получил развития. </w:t>
      </w:r>
    </w:p>
  </w:footnote>
  <w:footnote w:id="61">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Поправка: в ОРП 2012–2013</w:t>
      </w:r>
      <w:r>
        <w:rPr>
          <w:sz w:val="16"/>
        </w:rPr>
        <w:t> </w:t>
      </w:r>
      <w:r w:rsidRPr="00495A3D">
        <w:rPr>
          <w:sz w:val="16"/>
          <w:lang w:val="ru-RU"/>
        </w:rPr>
        <w:t xml:space="preserve">гг. сообщалось, что в Алжире идет процесс принятия национальной стратегии в области ИС.  ВОИС сотрудничала с Алжиром в разработке проекта национальной стратегии в области ИС, и этот документ по-прежнему находится на стадии рассмотрения.   </w:t>
      </w:r>
    </w:p>
  </w:footnote>
  <w:footnote w:id="62">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Этот процесс замедлился в связи со структурными изменениями в правительстве. </w:t>
      </w:r>
    </w:p>
  </w:footnote>
  <w:footnote w:id="63">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Процесс остановился в 2011</w:t>
      </w:r>
      <w:r>
        <w:rPr>
          <w:sz w:val="16"/>
        </w:rPr>
        <w:t> </w:t>
      </w:r>
      <w:r w:rsidRPr="00495A3D">
        <w:rPr>
          <w:sz w:val="16"/>
          <w:lang w:val="ru-RU"/>
        </w:rPr>
        <w:t>г. В 2014</w:t>
      </w:r>
      <w:r>
        <w:rPr>
          <w:sz w:val="16"/>
        </w:rPr>
        <w:t> </w:t>
      </w:r>
      <w:r w:rsidRPr="00495A3D">
        <w:rPr>
          <w:sz w:val="16"/>
          <w:lang w:val="ru-RU"/>
        </w:rPr>
        <w:t>г. консультативный процесс был начат вновь.</w:t>
      </w:r>
    </w:p>
  </w:footnote>
  <w:footnote w:id="64">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Поправка: Бангладеш в настоящее время находится на этапе формулирования своей национальной стратегии в области ИС и еще не принял ее, как сообщалось в предыдущий двухлетний период; эти данные были исключены из базовых показателей.</w:t>
      </w:r>
    </w:p>
  </w:footnote>
  <w:footnote w:id="65">
    <w:p w:rsidR="00EE0D83" w:rsidRPr="00495A3D" w:rsidRDefault="00EE0D83" w:rsidP="00495A3D">
      <w:pPr>
        <w:pStyle w:val="FootnoteText"/>
        <w:rPr>
          <w:lang w:val="ru-RU"/>
        </w:rPr>
      </w:pPr>
      <w:r>
        <w:rPr>
          <w:rStyle w:val="FootnoteReference"/>
          <w:sz w:val="16"/>
        </w:rPr>
        <w:footnoteRef/>
      </w:r>
      <w:r w:rsidRPr="00495A3D">
        <w:rPr>
          <w:lang w:val="ru-RU"/>
        </w:rPr>
        <w:t xml:space="preserve"> </w:t>
      </w:r>
      <w:r w:rsidRPr="00495A3D">
        <w:rPr>
          <w:sz w:val="16"/>
          <w:lang w:val="ru-RU"/>
        </w:rPr>
        <w:t>Нет доступных механизмов.  Соответствующий механизм будет разработан в 2016–2017</w:t>
      </w:r>
      <w:r>
        <w:rPr>
          <w:sz w:val="16"/>
        </w:rPr>
        <w:t> </w:t>
      </w:r>
      <w:r w:rsidRPr="00495A3D">
        <w:rPr>
          <w:sz w:val="16"/>
          <w:lang w:val="ru-RU"/>
        </w:rPr>
        <w:t xml:space="preserve">гг. </w:t>
      </w:r>
    </w:p>
  </w:footnote>
  <w:footnote w:id="66">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w:t>
      </w:r>
      <w:r>
        <w:rPr>
          <w:sz w:val="16"/>
        </w:rPr>
        <w:t>http</w:t>
      </w:r>
      <w:r w:rsidRPr="00495A3D">
        <w:rPr>
          <w:sz w:val="16"/>
          <w:lang w:val="ru-RU"/>
        </w:rPr>
        <w:t>://</w:t>
      </w:r>
      <w:r>
        <w:rPr>
          <w:sz w:val="16"/>
        </w:rPr>
        <w:t>www</w:t>
      </w:r>
      <w:r w:rsidRPr="00495A3D">
        <w:rPr>
          <w:sz w:val="16"/>
          <w:lang w:val="ru-RU"/>
        </w:rPr>
        <w:t>.</w:t>
      </w:r>
      <w:r>
        <w:rPr>
          <w:sz w:val="16"/>
        </w:rPr>
        <w:t>wipo</w:t>
      </w:r>
      <w:r w:rsidRPr="00495A3D">
        <w:rPr>
          <w:sz w:val="16"/>
          <w:lang w:val="ru-RU"/>
        </w:rPr>
        <w:t>.</w:t>
      </w:r>
      <w:r>
        <w:rPr>
          <w:sz w:val="16"/>
        </w:rPr>
        <w:t>int</w:t>
      </w:r>
      <w:r w:rsidRPr="00495A3D">
        <w:rPr>
          <w:sz w:val="16"/>
          <w:lang w:val="ru-RU"/>
        </w:rPr>
        <w:t>/</w:t>
      </w:r>
      <w:r>
        <w:rPr>
          <w:sz w:val="16"/>
        </w:rPr>
        <w:t>edocs</w:t>
      </w:r>
      <w:r w:rsidRPr="00495A3D">
        <w:rPr>
          <w:sz w:val="16"/>
          <w:lang w:val="ru-RU"/>
        </w:rPr>
        <w:t>/</w:t>
      </w:r>
      <w:r>
        <w:rPr>
          <w:sz w:val="16"/>
        </w:rPr>
        <w:t>mdocs</w:t>
      </w:r>
      <w:r w:rsidRPr="00495A3D">
        <w:rPr>
          <w:sz w:val="16"/>
          <w:lang w:val="ru-RU"/>
        </w:rPr>
        <w:t>/</w:t>
      </w:r>
      <w:r>
        <w:rPr>
          <w:sz w:val="16"/>
        </w:rPr>
        <w:t>africa</w:t>
      </w:r>
      <w:r w:rsidRPr="00495A3D">
        <w:rPr>
          <w:sz w:val="16"/>
          <w:lang w:val="ru-RU"/>
        </w:rPr>
        <w:t>/</w:t>
      </w:r>
      <w:r>
        <w:rPr>
          <w:sz w:val="16"/>
        </w:rPr>
        <w:t>en</w:t>
      </w:r>
      <w:r w:rsidRPr="00495A3D">
        <w:rPr>
          <w:sz w:val="16"/>
          <w:lang w:val="ru-RU"/>
        </w:rPr>
        <w:t>/</w:t>
      </w:r>
      <w:r>
        <w:rPr>
          <w:sz w:val="16"/>
        </w:rPr>
        <w:t>ompi</w:t>
      </w:r>
      <w:r w:rsidRPr="00495A3D">
        <w:rPr>
          <w:sz w:val="16"/>
          <w:lang w:val="ru-RU"/>
        </w:rPr>
        <w:t>_</w:t>
      </w:r>
      <w:r>
        <w:rPr>
          <w:sz w:val="16"/>
        </w:rPr>
        <w:t>pi</w:t>
      </w:r>
      <w:r w:rsidRPr="00495A3D">
        <w:rPr>
          <w:sz w:val="16"/>
          <w:lang w:val="ru-RU"/>
        </w:rPr>
        <w:t>_</w:t>
      </w:r>
      <w:r>
        <w:rPr>
          <w:sz w:val="16"/>
        </w:rPr>
        <w:t>dak</w:t>
      </w:r>
      <w:r w:rsidRPr="00495A3D">
        <w:rPr>
          <w:sz w:val="16"/>
          <w:lang w:val="ru-RU"/>
        </w:rPr>
        <w:t>_15/</w:t>
      </w:r>
      <w:r>
        <w:rPr>
          <w:sz w:val="16"/>
        </w:rPr>
        <w:t>ompi</w:t>
      </w:r>
      <w:r w:rsidRPr="00495A3D">
        <w:rPr>
          <w:sz w:val="16"/>
          <w:lang w:val="ru-RU"/>
        </w:rPr>
        <w:t>_</w:t>
      </w:r>
      <w:r>
        <w:rPr>
          <w:sz w:val="16"/>
        </w:rPr>
        <w:t>pi</w:t>
      </w:r>
      <w:r w:rsidRPr="00495A3D">
        <w:rPr>
          <w:sz w:val="16"/>
          <w:lang w:val="ru-RU"/>
        </w:rPr>
        <w:t>_</w:t>
      </w:r>
      <w:r>
        <w:rPr>
          <w:sz w:val="16"/>
        </w:rPr>
        <w:t>dak</w:t>
      </w:r>
      <w:r w:rsidRPr="00495A3D">
        <w:rPr>
          <w:sz w:val="16"/>
          <w:lang w:val="ru-RU"/>
        </w:rPr>
        <w:t>_15_</w:t>
      </w:r>
      <w:r>
        <w:rPr>
          <w:sz w:val="16"/>
        </w:rPr>
        <w:t>declaration</w:t>
      </w:r>
      <w:r w:rsidRPr="00495A3D">
        <w:rPr>
          <w:sz w:val="16"/>
          <w:lang w:val="ru-RU"/>
        </w:rPr>
        <w:t>.</w:t>
      </w:r>
      <w:r>
        <w:rPr>
          <w:sz w:val="16"/>
        </w:rPr>
        <w:t>pdf</w:t>
      </w:r>
    </w:p>
  </w:footnote>
  <w:footnote w:id="67">
    <w:p w:rsidR="00EE0D83" w:rsidRPr="00495A3D" w:rsidRDefault="00EE0D83" w:rsidP="00495A3D">
      <w:pPr>
        <w:pStyle w:val="FootnoteText"/>
        <w:rPr>
          <w:sz w:val="16"/>
          <w:szCs w:val="16"/>
          <w:lang w:val="ru-RU"/>
        </w:rPr>
      </w:pPr>
      <w:r>
        <w:rPr>
          <w:rStyle w:val="FootnoteReference"/>
          <w:sz w:val="16"/>
        </w:rPr>
        <w:footnoteRef/>
      </w:r>
      <w:r w:rsidRPr="00495A3D">
        <w:rPr>
          <w:sz w:val="16"/>
          <w:lang w:val="ru-RU"/>
        </w:rPr>
        <w:t xml:space="preserve"> Поправка: информационно-просветительская программа создания мультипликационных фильмов, направленная на создание уважения к ИС, которая проводилась в сотрудничестве с Лигой арабских государств (ЛАГ) и о которой сообщалось в ОРП 2014</w:t>
      </w:r>
      <w:r>
        <w:rPr>
          <w:sz w:val="16"/>
        </w:rPr>
        <w:t> </w:t>
      </w:r>
      <w:r w:rsidRPr="00495A3D">
        <w:rPr>
          <w:sz w:val="16"/>
          <w:lang w:val="ru-RU"/>
        </w:rPr>
        <w:t>г., осуществлялась в соответствии с МоВ с ЛАГ, который был подписан до начала двухлетнего периода 2014–2015</w:t>
      </w:r>
      <w:r>
        <w:rPr>
          <w:sz w:val="16"/>
        </w:rPr>
        <w:t> </w:t>
      </w:r>
      <w:r w:rsidRPr="00495A3D">
        <w:rPr>
          <w:sz w:val="16"/>
          <w:lang w:val="ru-RU"/>
        </w:rPr>
        <w:t>гг.</w:t>
      </w:r>
    </w:p>
  </w:footnote>
  <w:footnote w:id="68">
    <w:p w:rsidR="00EE0D83" w:rsidRPr="001D3FF8" w:rsidRDefault="00EE0D83">
      <w:pPr>
        <w:pStyle w:val="FootnoteText"/>
        <w:rPr>
          <w:sz w:val="16"/>
          <w:szCs w:val="16"/>
          <w:lang w:val="ru-RU"/>
        </w:rPr>
      </w:pPr>
      <w:r w:rsidRPr="001D3FF8">
        <w:rPr>
          <w:rStyle w:val="FootnoteReference"/>
          <w:sz w:val="16"/>
          <w:szCs w:val="16"/>
        </w:rPr>
        <w:footnoteRef/>
      </w:r>
      <w:r w:rsidRPr="001D3FF8">
        <w:rPr>
          <w:sz w:val="16"/>
          <w:szCs w:val="16"/>
          <w:lang w:val="ru-RU"/>
        </w:rPr>
        <w:t xml:space="preserve"> </w:t>
      </w:r>
      <w:r>
        <w:rPr>
          <w:sz w:val="16"/>
          <w:szCs w:val="16"/>
          <w:lang w:val="ru-RU"/>
        </w:rPr>
        <w:t xml:space="preserve">Исправление: сотрудничество с Ассоциацией регионального сотрудничества стран Южной Азии, о котором сообщалось в ОРП за 2014 г., осуществлялось по соглашению, заключенному до наступления периода 2014-2015 гг. </w:t>
      </w:r>
    </w:p>
  </w:footnote>
  <w:footnote w:id="69">
    <w:p w:rsidR="00EE0D83" w:rsidRPr="00495A3D" w:rsidRDefault="00EE0D83" w:rsidP="00495A3D">
      <w:pPr>
        <w:tabs>
          <w:tab w:val="left" w:pos="0"/>
        </w:tabs>
        <w:jc w:val="both"/>
        <w:rPr>
          <w:sz w:val="16"/>
          <w:szCs w:val="16"/>
          <w:lang w:val="ru-RU"/>
        </w:rPr>
      </w:pPr>
      <w:r>
        <w:rPr>
          <w:rStyle w:val="FootnoteReference"/>
          <w:sz w:val="16"/>
        </w:rPr>
        <w:footnoteRef/>
      </w:r>
      <w:r w:rsidRPr="00495A3D">
        <w:rPr>
          <w:lang w:val="ru-RU"/>
        </w:rPr>
        <w:t xml:space="preserve"> </w:t>
      </w:r>
      <w:r w:rsidRPr="00495A3D">
        <w:rPr>
          <w:sz w:val="16"/>
          <w:lang w:val="ru-RU"/>
        </w:rPr>
        <w:t xml:space="preserve"> (</w:t>
      </w:r>
      <w:r>
        <w:rPr>
          <w:sz w:val="16"/>
        </w:rPr>
        <w:t>i</w:t>
      </w:r>
      <w:r w:rsidRPr="00495A3D">
        <w:rPr>
          <w:sz w:val="16"/>
          <w:lang w:val="ru-RU"/>
        </w:rPr>
        <w:t>)</w:t>
      </w:r>
      <w:r>
        <w:rPr>
          <w:sz w:val="16"/>
        </w:rPr>
        <w:t> </w:t>
      </w:r>
      <w:r w:rsidRPr="00495A3D">
        <w:rPr>
          <w:sz w:val="16"/>
          <w:lang w:val="ru-RU"/>
        </w:rPr>
        <w:t>проекты по гармонизации в сфере патентов и товарных знаков в Центральной Америке, осуществляемые совместно Европейским патентным ведомством (ЕПВ), Испанским ведомством по патентам и товарным знакам (</w:t>
      </w:r>
      <w:r>
        <w:rPr>
          <w:sz w:val="16"/>
        </w:rPr>
        <w:t>OEPM</w:t>
      </w:r>
      <w:r w:rsidRPr="00495A3D">
        <w:rPr>
          <w:sz w:val="16"/>
          <w:lang w:val="ru-RU"/>
        </w:rPr>
        <w:t>) и в сотрудничестве с Мексиканским институтом промышленной собственности (</w:t>
      </w:r>
      <w:r>
        <w:rPr>
          <w:sz w:val="16"/>
        </w:rPr>
        <w:t>IMPI</w:t>
      </w:r>
      <w:r w:rsidRPr="00495A3D">
        <w:rPr>
          <w:sz w:val="16"/>
          <w:lang w:val="ru-RU"/>
        </w:rPr>
        <w:t>); (</w:t>
      </w:r>
      <w:r>
        <w:rPr>
          <w:sz w:val="16"/>
        </w:rPr>
        <w:t>ii</w:t>
      </w:r>
      <w:r w:rsidRPr="00495A3D">
        <w:rPr>
          <w:sz w:val="16"/>
          <w:lang w:val="ru-RU"/>
        </w:rPr>
        <w:t>)</w:t>
      </w:r>
      <w:r>
        <w:rPr>
          <w:sz w:val="16"/>
        </w:rPr>
        <w:t> </w:t>
      </w:r>
      <w:r w:rsidRPr="00495A3D">
        <w:rPr>
          <w:sz w:val="16"/>
          <w:lang w:val="ru-RU"/>
        </w:rPr>
        <w:t xml:space="preserve">проект </w:t>
      </w:r>
      <w:r>
        <w:rPr>
          <w:sz w:val="16"/>
        </w:rPr>
        <w:t>LATIPAT</w:t>
      </w:r>
      <w:r w:rsidRPr="00495A3D">
        <w:rPr>
          <w:sz w:val="16"/>
          <w:lang w:val="ru-RU"/>
        </w:rPr>
        <w:t xml:space="preserve">, осуществляемый совместно ЕПВ и </w:t>
      </w:r>
      <w:r>
        <w:rPr>
          <w:sz w:val="16"/>
        </w:rPr>
        <w:t>OEPM</w:t>
      </w:r>
      <w:r w:rsidRPr="00495A3D">
        <w:rPr>
          <w:sz w:val="16"/>
          <w:lang w:val="ru-RU"/>
        </w:rPr>
        <w:t>); (</w:t>
      </w:r>
      <w:r>
        <w:rPr>
          <w:sz w:val="16"/>
        </w:rPr>
        <w:t>iii</w:t>
      </w:r>
      <w:r w:rsidRPr="00495A3D">
        <w:rPr>
          <w:sz w:val="16"/>
          <w:lang w:val="ru-RU"/>
        </w:rPr>
        <w:t>)</w:t>
      </w:r>
      <w:r>
        <w:rPr>
          <w:sz w:val="16"/>
        </w:rPr>
        <w:t> </w:t>
      </w:r>
      <w:r w:rsidRPr="00495A3D">
        <w:rPr>
          <w:sz w:val="16"/>
          <w:lang w:val="ru-RU"/>
        </w:rPr>
        <w:t>Проект по географическим указаниями, продуктам, связанным с местом происхождения (</w:t>
      </w:r>
      <w:r>
        <w:rPr>
          <w:sz w:val="16"/>
        </w:rPr>
        <w:t>OLP</w:t>
      </w:r>
      <w:r w:rsidRPr="00495A3D">
        <w:rPr>
          <w:sz w:val="16"/>
          <w:lang w:val="ru-RU"/>
        </w:rPr>
        <w:t>), и брендингу, осуществляемый в партнерстве с Межамериканским банком развития (</w:t>
      </w:r>
      <w:r>
        <w:rPr>
          <w:sz w:val="16"/>
        </w:rPr>
        <w:t>IDB</w:t>
      </w:r>
      <w:r w:rsidRPr="00495A3D">
        <w:rPr>
          <w:sz w:val="16"/>
          <w:lang w:val="ru-RU"/>
        </w:rPr>
        <w:t>), Карибским агентством по развитию экспорта (</w:t>
      </w:r>
      <w:r>
        <w:rPr>
          <w:sz w:val="16"/>
        </w:rPr>
        <w:t>CEDA</w:t>
      </w:r>
      <w:r w:rsidRPr="00495A3D">
        <w:rPr>
          <w:sz w:val="16"/>
          <w:lang w:val="ru-RU"/>
        </w:rPr>
        <w:t>) и Техническим центром сельскохозяйственных и сельских корпораций (</w:t>
      </w:r>
      <w:r>
        <w:rPr>
          <w:sz w:val="16"/>
        </w:rPr>
        <w:t>CTA</w:t>
      </w:r>
      <w:r w:rsidRPr="00495A3D">
        <w:rPr>
          <w:sz w:val="16"/>
          <w:lang w:val="ru-RU"/>
        </w:rPr>
        <w:t>); (</w:t>
      </w:r>
      <w:r>
        <w:rPr>
          <w:sz w:val="16"/>
        </w:rPr>
        <w:t>iv</w:t>
      </w:r>
      <w:r w:rsidRPr="00495A3D">
        <w:rPr>
          <w:sz w:val="16"/>
          <w:lang w:val="ru-RU"/>
        </w:rPr>
        <w:t>)</w:t>
      </w:r>
      <w:r>
        <w:rPr>
          <w:sz w:val="16"/>
        </w:rPr>
        <w:t> </w:t>
      </w:r>
      <w:r w:rsidRPr="00495A3D">
        <w:rPr>
          <w:sz w:val="16"/>
          <w:lang w:val="ru-RU"/>
        </w:rPr>
        <w:t>Региональное патентное ведомство в Карибском регионе с Карибской патентной администрацией (</w:t>
      </w:r>
      <w:r>
        <w:rPr>
          <w:sz w:val="16"/>
        </w:rPr>
        <w:t>CPAS</w:t>
      </w:r>
      <w:r w:rsidRPr="00495A3D">
        <w:rPr>
          <w:sz w:val="16"/>
          <w:lang w:val="ru-RU"/>
        </w:rPr>
        <w:t>); (</w:t>
      </w:r>
      <w:r>
        <w:rPr>
          <w:sz w:val="16"/>
        </w:rPr>
        <w:t>v</w:t>
      </w:r>
      <w:r w:rsidRPr="00495A3D">
        <w:rPr>
          <w:sz w:val="16"/>
          <w:lang w:val="ru-RU"/>
        </w:rPr>
        <w:t>)</w:t>
      </w:r>
      <w:r>
        <w:rPr>
          <w:sz w:val="16"/>
        </w:rPr>
        <w:t> </w:t>
      </w:r>
      <w:r w:rsidRPr="00495A3D">
        <w:rPr>
          <w:sz w:val="16"/>
          <w:lang w:val="ru-RU"/>
        </w:rPr>
        <w:t>Иберо-американская программа в рамках целевых фондов; (</w:t>
      </w:r>
      <w:r>
        <w:rPr>
          <w:sz w:val="16"/>
        </w:rPr>
        <w:t>vi</w:t>
      </w:r>
      <w:r w:rsidRPr="00495A3D">
        <w:rPr>
          <w:sz w:val="16"/>
          <w:lang w:val="ru-RU"/>
        </w:rPr>
        <w:t>)</w:t>
      </w:r>
      <w:r>
        <w:rPr>
          <w:sz w:val="16"/>
        </w:rPr>
        <w:t> </w:t>
      </w:r>
      <w:r w:rsidRPr="00495A3D">
        <w:rPr>
          <w:sz w:val="16"/>
          <w:lang w:val="ru-RU"/>
        </w:rPr>
        <w:t>продолжение сотрудничества в рамках Регионального предпринимательского центра по коммерциализации активов (</w:t>
      </w:r>
      <w:r>
        <w:rPr>
          <w:sz w:val="16"/>
        </w:rPr>
        <w:t>REACH</w:t>
      </w:r>
      <w:r w:rsidRPr="00495A3D">
        <w:rPr>
          <w:sz w:val="16"/>
          <w:lang w:val="ru-RU"/>
        </w:rPr>
        <w:t xml:space="preserve">) с </w:t>
      </w:r>
      <w:r>
        <w:rPr>
          <w:sz w:val="16"/>
        </w:rPr>
        <w:t>IDB</w:t>
      </w:r>
      <w:r w:rsidRPr="00495A3D">
        <w:rPr>
          <w:sz w:val="16"/>
          <w:lang w:val="ru-RU"/>
        </w:rPr>
        <w:t xml:space="preserve"> и Деловым фондом «</w:t>
      </w:r>
      <w:r>
        <w:rPr>
          <w:sz w:val="16"/>
        </w:rPr>
        <w:t>Young</w:t>
      </w:r>
      <w:r w:rsidRPr="00495A3D">
        <w:rPr>
          <w:sz w:val="16"/>
          <w:lang w:val="ru-RU"/>
        </w:rPr>
        <w:t xml:space="preserve"> </w:t>
      </w:r>
      <w:r>
        <w:rPr>
          <w:sz w:val="16"/>
        </w:rPr>
        <w:t>Americas</w:t>
      </w:r>
      <w:r w:rsidRPr="00495A3D">
        <w:rPr>
          <w:sz w:val="16"/>
          <w:lang w:val="ru-RU"/>
        </w:rPr>
        <w:t>» (</w:t>
      </w:r>
      <w:r>
        <w:rPr>
          <w:sz w:val="16"/>
        </w:rPr>
        <w:t>YABT</w:t>
      </w:r>
      <w:r w:rsidRPr="00495A3D">
        <w:rPr>
          <w:sz w:val="16"/>
          <w:lang w:val="ru-RU"/>
        </w:rPr>
        <w:t>).</w:t>
      </w:r>
    </w:p>
  </w:footnote>
  <w:footnote w:id="70">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Поправка: число участников программы повышения квалификации в 2014</w:t>
      </w:r>
      <w:r>
        <w:rPr>
          <w:sz w:val="16"/>
        </w:rPr>
        <w:t> </w:t>
      </w:r>
      <w:r w:rsidRPr="0055116C">
        <w:rPr>
          <w:sz w:val="16"/>
          <w:lang w:val="ru-RU"/>
        </w:rPr>
        <w:t>г. составляло 226, а не 216, как сообщалось в ОРП 2014</w:t>
      </w:r>
      <w:r>
        <w:rPr>
          <w:sz w:val="16"/>
        </w:rPr>
        <w:t> </w:t>
      </w:r>
      <w:r w:rsidRPr="0055116C">
        <w:rPr>
          <w:sz w:val="16"/>
          <w:lang w:val="ru-RU"/>
        </w:rPr>
        <w:t xml:space="preserve">г. </w:t>
      </w:r>
    </w:p>
    <w:p w:rsidR="00EE0D83" w:rsidRPr="0055116C" w:rsidRDefault="00EE0D83" w:rsidP="0055116C">
      <w:pPr>
        <w:pStyle w:val="FootnoteText"/>
        <w:rPr>
          <w:sz w:val="16"/>
          <w:szCs w:val="16"/>
          <w:lang w:val="ru-RU"/>
        </w:rPr>
      </w:pPr>
    </w:p>
  </w:footnote>
  <w:footnote w:id="71">
    <w:p w:rsidR="00EE0D83" w:rsidRPr="0055116C" w:rsidRDefault="00EE0D83" w:rsidP="0055116C">
      <w:pPr>
        <w:pStyle w:val="FootnoteText"/>
        <w:rPr>
          <w:lang w:val="ru-RU"/>
        </w:rPr>
      </w:pPr>
      <w:r>
        <w:rPr>
          <w:rStyle w:val="FootnoteReference"/>
          <w:sz w:val="16"/>
        </w:rPr>
        <w:footnoteRef/>
      </w:r>
      <w:r w:rsidRPr="0055116C">
        <w:rPr>
          <w:sz w:val="16"/>
          <w:lang w:val="ru-RU"/>
        </w:rPr>
        <w:t xml:space="preserve"> 11 из 12 официальных курсов, проводимых в оба двухлетних периода, были доступны на шести языках ООН, а также на португальском языке, и один курс предлагался на трех языках ООН.</w:t>
      </w:r>
      <w:r w:rsidRPr="0055116C">
        <w:rPr>
          <w:lang w:val="ru-RU"/>
        </w:rPr>
        <w:t xml:space="preserve">  </w:t>
      </w:r>
    </w:p>
  </w:footnote>
  <w:footnote w:id="72">
    <w:p w:rsidR="00EE0D83" w:rsidRPr="0055116C" w:rsidRDefault="00EE0D83" w:rsidP="0055116C">
      <w:pPr>
        <w:pStyle w:val="FootnoteText"/>
        <w:rPr>
          <w:lang w:val="ru-RU"/>
        </w:rPr>
      </w:pPr>
      <w:r>
        <w:rPr>
          <w:sz w:val="16"/>
          <w:vertAlign w:val="superscript"/>
        </w:rPr>
        <w:footnoteRef/>
      </w:r>
      <w:r w:rsidRPr="0055116C">
        <w:rPr>
          <w:sz w:val="16"/>
          <w:lang w:val="ru-RU"/>
        </w:rPr>
        <w:t xml:space="preserve"> Рост спроса на углубленные курсы ДО на 138</w:t>
      </w:r>
      <w:r>
        <w:rPr>
          <w:sz w:val="16"/>
        </w:rPr>
        <w:t> </w:t>
      </w:r>
      <w:r w:rsidRPr="0055116C">
        <w:rPr>
          <w:sz w:val="16"/>
          <w:lang w:val="ru-RU"/>
        </w:rPr>
        <w:t>процентов связан с высоким уровнем участия ЦПТИ, в частности из Марокко, Мадагаскара и Южной Африки, а также с большей доступностью курсов ДО на всех шести языках ООН к концу 2015</w:t>
      </w:r>
      <w:r>
        <w:rPr>
          <w:sz w:val="16"/>
        </w:rPr>
        <w:t> </w:t>
      </w:r>
      <w:r w:rsidRPr="0055116C">
        <w:rPr>
          <w:sz w:val="16"/>
          <w:lang w:val="ru-RU"/>
        </w:rPr>
        <w:t>г.</w:t>
      </w:r>
      <w:r w:rsidRPr="0055116C">
        <w:rPr>
          <w:lang w:val="ru-RU"/>
        </w:rPr>
        <w:t xml:space="preserve">  </w:t>
      </w:r>
    </w:p>
  </w:footnote>
  <w:footnote w:id="73">
    <w:p w:rsidR="00EE0D83" w:rsidRPr="0055116C" w:rsidRDefault="00EE0D83" w:rsidP="0055116C">
      <w:pPr>
        <w:pStyle w:val="FootnoteText"/>
        <w:rPr>
          <w:sz w:val="16"/>
          <w:szCs w:val="16"/>
          <w:lang w:val="ru-RU"/>
        </w:rPr>
      </w:pPr>
      <w:r>
        <w:rPr>
          <w:sz w:val="16"/>
          <w:vertAlign w:val="superscript"/>
        </w:rPr>
        <w:footnoteRef/>
      </w:r>
      <w:r w:rsidRPr="0055116C">
        <w:rPr>
          <w:sz w:val="16"/>
          <w:lang w:val="ru-RU"/>
        </w:rPr>
        <w:t xml:space="preserve"> Увеличение числа участников из стран Латинской Америки и Карибского бассейна в основном было связано с наличием адаптированной версии общего курса по теме ИС (курс </w:t>
      </w:r>
      <w:r>
        <w:rPr>
          <w:sz w:val="16"/>
        </w:rPr>
        <w:t>DL</w:t>
      </w:r>
      <w:r w:rsidRPr="0055116C">
        <w:rPr>
          <w:sz w:val="16"/>
          <w:lang w:val="ru-RU"/>
        </w:rPr>
        <w:t>-101) на португальском и испанском языках.</w:t>
      </w:r>
    </w:p>
  </w:footnote>
  <w:footnote w:id="74">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Поправка: в 2014</w:t>
      </w:r>
      <w:r>
        <w:rPr>
          <w:sz w:val="16"/>
        </w:rPr>
        <w:t> </w:t>
      </w:r>
      <w:r w:rsidRPr="0055116C">
        <w:rPr>
          <w:sz w:val="16"/>
          <w:lang w:val="ru-RU"/>
        </w:rPr>
        <w:t>г. общие курсы предлагались на 13 языках (включая английский), а не на</w:t>
      </w:r>
      <w:r>
        <w:rPr>
          <w:sz w:val="16"/>
        </w:rPr>
        <w:t> </w:t>
      </w:r>
      <w:r w:rsidRPr="0055116C">
        <w:rPr>
          <w:sz w:val="16"/>
          <w:lang w:val="ru-RU"/>
        </w:rPr>
        <w:t>12, как сообщалось в ОРП 2014</w:t>
      </w:r>
      <w:r>
        <w:rPr>
          <w:sz w:val="16"/>
        </w:rPr>
        <w:t> </w:t>
      </w:r>
      <w:r w:rsidRPr="0055116C">
        <w:rPr>
          <w:sz w:val="16"/>
          <w:lang w:val="ru-RU"/>
        </w:rPr>
        <w:t xml:space="preserve">г. </w:t>
      </w:r>
    </w:p>
  </w:footnote>
  <w:footnote w:id="75">
    <w:p w:rsidR="00EE0D83" w:rsidRPr="0055116C" w:rsidRDefault="00EE0D83" w:rsidP="0055116C">
      <w:pPr>
        <w:pStyle w:val="FootnoteText"/>
        <w:rPr>
          <w:lang w:val="ru-RU"/>
        </w:rPr>
      </w:pPr>
      <w:r>
        <w:rPr>
          <w:sz w:val="16"/>
          <w:vertAlign w:val="superscript"/>
        </w:rPr>
        <w:footnoteRef/>
      </w:r>
      <w:r w:rsidRPr="0055116C">
        <w:rPr>
          <w:sz w:val="16"/>
          <w:lang w:val="ru-RU"/>
        </w:rPr>
        <w:t xml:space="preserve"> Следует отметить, что в большинстве случаев учебный год не совпадает с календарным годом (например, программы длятся с 2013</w:t>
      </w:r>
      <w:r>
        <w:rPr>
          <w:sz w:val="16"/>
        </w:rPr>
        <w:t> </w:t>
      </w:r>
      <w:r w:rsidRPr="0055116C">
        <w:rPr>
          <w:sz w:val="16"/>
          <w:lang w:val="ru-RU"/>
        </w:rPr>
        <w:t>г. по 2014</w:t>
      </w:r>
      <w:r>
        <w:rPr>
          <w:sz w:val="16"/>
        </w:rPr>
        <w:t> </w:t>
      </w:r>
      <w:r w:rsidRPr="0055116C">
        <w:rPr>
          <w:sz w:val="16"/>
          <w:lang w:val="ru-RU"/>
        </w:rPr>
        <w:t>г., с 2014</w:t>
      </w:r>
      <w:r>
        <w:rPr>
          <w:sz w:val="16"/>
        </w:rPr>
        <w:t> </w:t>
      </w:r>
      <w:r w:rsidRPr="0055116C">
        <w:rPr>
          <w:sz w:val="16"/>
          <w:lang w:val="ru-RU"/>
        </w:rPr>
        <w:t>г. по 2015</w:t>
      </w:r>
      <w:r>
        <w:rPr>
          <w:sz w:val="16"/>
        </w:rPr>
        <w:t> </w:t>
      </w:r>
      <w:r w:rsidRPr="0055116C">
        <w:rPr>
          <w:sz w:val="16"/>
          <w:lang w:val="ru-RU"/>
        </w:rPr>
        <w:t>г.).  Поэтому в этом отчете невозможно сравнить число новых студентов с числом выпустившихся студентов. Но общая доля успешно сдавших итоговые экзамены была учтена при консолидации результатов всех магистерских курсов по праву ИС (</w:t>
      </w:r>
      <w:r>
        <w:rPr>
          <w:sz w:val="16"/>
        </w:rPr>
        <w:t>LLM</w:t>
      </w:r>
      <w:r w:rsidRPr="0055116C">
        <w:rPr>
          <w:sz w:val="16"/>
          <w:lang w:val="ru-RU"/>
        </w:rPr>
        <w:t>) за учебный год 2014–2015</w:t>
      </w:r>
      <w:r>
        <w:rPr>
          <w:sz w:val="16"/>
        </w:rPr>
        <w:t> </w:t>
      </w:r>
      <w:r w:rsidRPr="0055116C">
        <w:rPr>
          <w:sz w:val="16"/>
          <w:lang w:val="ru-RU"/>
        </w:rPr>
        <w:t>гг.</w:t>
      </w:r>
    </w:p>
  </w:footnote>
  <w:footnote w:id="76">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В 2014</w:t>
      </w:r>
      <w:r>
        <w:rPr>
          <w:sz w:val="16"/>
        </w:rPr>
        <w:t> </w:t>
      </w:r>
      <w:r w:rsidRPr="0055116C">
        <w:rPr>
          <w:sz w:val="16"/>
          <w:lang w:val="ru-RU"/>
        </w:rPr>
        <w:t xml:space="preserve">г. было прекращено проведение совместной магистерской программы с Университетом Хайфы (Израиль).  </w:t>
      </w:r>
    </w:p>
  </w:footnote>
  <w:footnote w:id="77">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Поправка: из-за опечатки в ОРП 2014</w:t>
      </w:r>
      <w:r>
        <w:rPr>
          <w:sz w:val="16"/>
        </w:rPr>
        <w:t> </w:t>
      </w:r>
      <w:r w:rsidRPr="0055116C">
        <w:rPr>
          <w:sz w:val="16"/>
          <w:lang w:val="ru-RU"/>
        </w:rPr>
        <w:t>г. была указана цифра 247 преподавателей.</w:t>
      </w:r>
    </w:p>
  </w:footnote>
  <w:footnote w:id="78">
    <w:p w:rsidR="00EE0D83" w:rsidRPr="0055116C" w:rsidRDefault="00EE0D83" w:rsidP="0055116C">
      <w:pPr>
        <w:pStyle w:val="FootnoteText"/>
        <w:rPr>
          <w:lang w:val="ru-RU"/>
        </w:rPr>
      </w:pPr>
      <w:r>
        <w:rPr>
          <w:rStyle w:val="FootnoteReference"/>
          <w:sz w:val="16"/>
        </w:rPr>
        <w:footnoteRef/>
      </w:r>
      <w:r w:rsidRPr="0055116C">
        <w:rPr>
          <w:sz w:val="16"/>
          <w:lang w:val="ru-RU"/>
        </w:rPr>
        <w:t xml:space="preserve"> Термин «имелись» означает, что они были переведены на соответствующий язык и могли направляться ведомствам-партнерам.  Следует отметить, что в каждый конкретный год не все имеющиеся курсы предлагаются на всех языках. Это зависит от времени появления версии курса на соответствующем языке в течение года и/или готовности ведомств-партнеров, совместно с которыми ведется преподавание по таким курсам, применять такие курсы.</w:t>
      </w:r>
    </w:p>
  </w:footnote>
  <w:footnote w:id="79">
    <w:p w:rsidR="00EE0D83" w:rsidRPr="005177C8" w:rsidRDefault="00EE0D83" w:rsidP="005177C8">
      <w:pPr>
        <w:pStyle w:val="FootnoteText"/>
        <w:rPr>
          <w:sz w:val="16"/>
          <w:szCs w:val="16"/>
          <w:lang w:val="ru-RU"/>
        </w:rPr>
      </w:pPr>
      <w:r>
        <w:rPr>
          <w:rStyle w:val="FootnoteReference"/>
          <w:sz w:val="16"/>
        </w:rPr>
        <w:footnoteRef/>
      </w:r>
      <w:r w:rsidRPr="005177C8">
        <w:rPr>
          <w:sz w:val="16"/>
          <w:lang w:val="ru-RU"/>
        </w:rPr>
        <w:t xml:space="preserve"> Вклад в подготовку пособия финансировался за счет средств ЦФ США – МПС, который был закрыт в </w:t>
      </w:r>
      <w:r>
        <w:rPr>
          <w:sz w:val="16"/>
        </w:rPr>
        <w:t>I</w:t>
      </w:r>
      <w:r w:rsidRPr="005177C8">
        <w:rPr>
          <w:sz w:val="16"/>
          <w:lang w:val="ru-RU"/>
        </w:rPr>
        <w:t xml:space="preserve"> кв. 2015</w:t>
      </w:r>
      <w:r>
        <w:rPr>
          <w:sz w:val="16"/>
        </w:rPr>
        <w:t> </w:t>
      </w:r>
      <w:r w:rsidRPr="005177C8">
        <w:rPr>
          <w:sz w:val="16"/>
          <w:lang w:val="ru-RU"/>
        </w:rPr>
        <w:t xml:space="preserve">г. </w:t>
      </w:r>
    </w:p>
  </w:footnote>
  <w:footnote w:id="80">
    <w:p w:rsidR="00EE0D83" w:rsidRPr="005177C8" w:rsidRDefault="00EE0D83" w:rsidP="005177C8">
      <w:pPr>
        <w:pStyle w:val="FootnoteText"/>
        <w:rPr>
          <w:sz w:val="16"/>
          <w:szCs w:val="16"/>
          <w:lang w:val="ru-RU"/>
        </w:rPr>
      </w:pPr>
      <w:r>
        <w:rPr>
          <w:rStyle w:val="FootnoteReference"/>
        </w:rPr>
        <w:footnoteRef/>
      </w:r>
      <w:r w:rsidRPr="005177C8">
        <w:rPr>
          <w:lang w:val="ru-RU"/>
        </w:rPr>
        <w:t xml:space="preserve"> </w:t>
      </w:r>
      <w:r w:rsidRPr="005177C8">
        <w:rPr>
          <w:sz w:val="16"/>
          <w:lang w:val="ru-RU"/>
        </w:rPr>
        <w:t>см. программу 10.</w:t>
      </w:r>
    </w:p>
  </w:footnote>
  <w:footnote w:id="81">
    <w:p w:rsidR="00EE0D83" w:rsidRPr="0055116C" w:rsidRDefault="00EE0D83" w:rsidP="0055116C">
      <w:pPr>
        <w:pStyle w:val="FootnoteText"/>
        <w:rPr>
          <w:sz w:val="16"/>
          <w:szCs w:val="16"/>
          <w:lang w:val="ru-RU"/>
        </w:rPr>
      </w:pPr>
      <w:r>
        <w:rPr>
          <w:rStyle w:val="FootnoteReference"/>
        </w:rPr>
        <w:footnoteRef/>
      </w:r>
      <w:r w:rsidRPr="0055116C">
        <w:rPr>
          <w:sz w:val="16"/>
          <w:lang w:val="ru-RU"/>
        </w:rPr>
        <w:t xml:space="preserve"> Поправка: общее число поправок в 2013</w:t>
      </w:r>
      <w:r>
        <w:rPr>
          <w:sz w:val="16"/>
        </w:rPr>
        <w:t> </w:t>
      </w:r>
      <w:r w:rsidRPr="0055116C">
        <w:rPr>
          <w:sz w:val="16"/>
          <w:lang w:val="ru-RU"/>
        </w:rPr>
        <w:t>г. составило 423, как сообщалось в ОРП за 2012–2013</w:t>
      </w:r>
      <w:r>
        <w:rPr>
          <w:sz w:val="16"/>
        </w:rPr>
        <w:t> </w:t>
      </w:r>
      <w:r w:rsidRPr="0055116C">
        <w:rPr>
          <w:sz w:val="16"/>
          <w:lang w:val="ru-RU"/>
        </w:rPr>
        <w:t>гг., а не 432, как сообщалось в ОРП за 2014</w:t>
      </w:r>
      <w:r>
        <w:rPr>
          <w:sz w:val="16"/>
        </w:rPr>
        <w:t> </w:t>
      </w:r>
      <w:r w:rsidRPr="0055116C">
        <w:rPr>
          <w:sz w:val="16"/>
          <w:lang w:val="ru-RU"/>
        </w:rPr>
        <w:t>г.</w:t>
      </w:r>
    </w:p>
  </w:footnote>
  <w:footnote w:id="82">
    <w:p w:rsidR="00EE0D83" w:rsidRPr="0055116C" w:rsidRDefault="00EE0D83" w:rsidP="0055116C">
      <w:pPr>
        <w:pStyle w:val="Default"/>
        <w:rPr>
          <w:sz w:val="16"/>
          <w:szCs w:val="16"/>
          <w:lang w:val="ru-RU"/>
        </w:rPr>
      </w:pPr>
      <w:r>
        <w:rPr>
          <w:rStyle w:val="FootnoteReference"/>
          <w:color w:val="auto"/>
        </w:rPr>
        <w:footnoteRef/>
      </w:r>
      <w:r w:rsidRPr="0055116C">
        <w:rPr>
          <w:sz w:val="16"/>
          <w:lang w:val="ru-RU"/>
        </w:rPr>
        <w:t xml:space="preserve"> Поправка: общее число поправок в 2014</w:t>
      </w:r>
      <w:r>
        <w:rPr>
          <w:sz w:val="16"/>
        </w:rPr>
        <w:t> </w:t>
      </w:r>
      <w:r w:rsidRPr="0055116C">
        <w:rPr>
          <w:sz w:val="16"/>
          <w:lang w:val="ru-RU"/>
        </w:rPr>
        <w:t>г. составило 560, а не 570, как сообщалось в ОРП за 2014</w:t>
      </w:r>
      <w:r>
        <w:rPr>
          <w:sz w:val="16"/>
        </w:rPr>
        <w:t> </w:t>
      </w:r>
      <w:r w:rsidRPr="0055116C">
        <w:rPr>
          <w:sz w:val="16"/>
          <w:lang w:val="ru-RU"/>
        </w:rPr>
        <w:t>г.</w:t>
      </w:r>
    </w:p>
  </w:footnote>
  <w:footnote w:id="83">
    <w:p w:rsidR="00EE0D83" w:rsidRPr="0055116C" w:rsidRDefault="00EE0D83" w:rsidP="0055116C">
      <w:pPr>
        <w:pStyle w:val="FootnoteText"/>
        <w:rPr>
          <w:sz w:val="16"/>
          <w:szCs w:val="16"/>
          <w:lang w:val="ru-RU"/>
        </w:rPr>
      </w:pPr>
      <w:r>
        <w:rPr>
          <w:rStyle w:val="FootnoteReference"/>
        </w:rPr>
        <w:footnoteRef/>
      </w:r>
      <w:r w:rsidRPr="0055116C">
        <w:rPr>
          <w:sz w:val="16"/>
          <w:lang w:val="ru-RU"/>
        </w:rPr>
        <w:t>Прежнее название – система статистического машинного перевода наименований и рефератов патентов (</w:t>
      </w:r>
      <w:r>
        <w:rPr>
          <w:sz w:val="16"/>
        </w:rPr>
        <w:t>TAPTA</w:t>
      </w:r>
      <w:r w:rsidRPr="0055116C">
        <w:rPr>
          <w:sz w:val="16"/>
          <w:lang w:val="ru-RU"/>
        </w:rPr>
        <w:t>).</w:t>
      </w:r>
    </w:p>
  </w:footnote>
  <w:footnote w:id="84">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В данном контексте используется сочетание «отдельные пользователи», а не отдельные «посетители» во избежание подсчета числа отдельных посетителей, которые лишь просматривают страницу, не осуществляя при этом поиск; это позволяет более точно отразить динамику использования баз данных. </w:t>
      </w:r>
    </w:p>
  </w:footnote>
  <w:footnote w:id="85">
    <w:p w:rsidR="00EE0D83" w:rsidRPr="0055116C" w:rsidRDefault="00EE0D83" w:rsidP="0055116C">
      <w:pPr>
        <w:pStyle w:val="FootnoteText"/>
        <w:rPr>
          <w:lang w:val="ru-RU"/>
        </w:rPr>
      </w:pPr>
      <w:r>
        <w:rPr>
          <w:rStyle w:val="FootnoteReference"/>
          <w:sz w:val="16"/>
        </w:rPr>
        <w:footnoteRef/>
      </w:r>
      <w:r w:rsidRPr="0055116C">
        <w:rPr>
          <w:sz w:val="16"/>
          <w:lang w:val="ru-RU"/>
        </w:rPr>
        <w:t xml:space="preserve"> Там же.</w:t>
      </w:r>
    </w:p>
  </w:footnote>
  <w:footnote w:id="86">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w:t>
      </w:r>
      <w:hyperlink r:id="rId7">
        <w:r>
          <w:rPr>
            <w:rStyle w:val="Hyperlink"/>
            <w:sz w:val="16"/>
          </w:rPr>
          <w:t>http</w:t>
        </w:r>
        <w:r w:rsidRPr="0055116C">
          <w:rPr>
            <w:rStyle w:val="Hyperlink"/>
            <w:sz w:val="16"/>
            <w:lang w:val="ru-RU"/>
          </w:rPr>
          <w:t>://</w:t>
        </w:r>
        <w:r>
          <w:rPr>
            <w:rStyle w:val="Hyperlink"/>
            <w:sz w:val="16"/>
          </w:rPr>
          <w:t>www</w:t>
        </w:r>
        <w:r w:rsidRPr="0055116C">
          <w:rPr>
            <w:rStyle w:val="Hyperlink"/>
            <w:sz w:val="16"/>
            <w:lang w:val="ru-RU"/>
          </w:rPr>
          <w:t>.</w:t>
        </w:r>
        <w:r>
          <w:rPr>
            <w:rStyle w:val="Hyperlink"/>
            <w:sz w:val="16"/>
          </w:rPr>
          <w:t>wipo</w:t>
        </w:r>
        <w:r w:rsidRPr="0055116C">
          <w:rPr>
            <w:rStyle w:val="Hyperlink"/>
            <w:sz w:val="16"/>
            <w:lang w:val="ru-RU"/>
          </w:rPr>
          <w:t>.</w:t>
        </w:r>
        <w:r>
          <w:rPr>
            <w:rStyle w:val="Hyperlink"/>
            <w:sz w:val="16"/>
          </w:rPr>
          <w:t>int</w:t>
        </w:r>
        <w:r w:rsidRPr="0055116C">
          <w:rPr>
            <w:rStyle w:val="Hyperlink"/>
            <w:sz w:val="16"/>
            <w:lang w:val="ru-RU"/>
          </w:rPr>
          <w:t>/</w:t>
        </w:r>
        <w:r>
          <w:rPr>
            <w:rStyle w:val="Hyperlink"/>
            <w:sz w:val="16"/>
          </w:rPr>
          <w:t>tisc</w:t>
        </w:r>
        <w:r w:rsidRPr="0055116C">
          <w:rPr>
            <w:rStyle w:val="Hyperlink"/>
            <w:sz w:val="16"/>
            <w:lang w:val="ru-RU"/>
          </w:rPr>
          <w:t>/</w:t>
        </w:r>
        <w:r>
          <w:rPr>
            <w:rStyle w:val="Hyperlink"/>
            <w:sz w:val="16"/>
          </w:rPr>
          <w:t>en</w:t>
        </w:r>
        <w:r w:rsidRPr="0055116C">
          <w:rPr>
            <w:rStyle w:val="Hyperlink"/>
            <w:sz w:val="16"/>
            <w:lang w:val="ru-RU"/>
          </w:rPr>
          <w:t>/</w:t>
        </w:r>
        <w:r>
          <w:rPr>
            <w:rStyle w:val="Hyperlink"/>
            <w:sz w:val="16"/>
          </w:rPr>
          <w:t>search</w:t>
        </w:r>
        <w:r w:rsidRPr="0055116C">
          <w:rPr>
            <w:rStyle w:val="Hyperlink"/>
            <w:sz w:val="16"/>
            <w:lang w:val="ru-RU"/>
          </w:rPr>
          <w:t>/</w:t>
        </w:r>
      </w:hyperlink>
    </w:p>
  </w:footnote>
  <w:footnote w:id="87">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w:t>
      </w:r>
      <w:hyperlink r:id="rId8" w:history="1">
        <w:r w:rsidRPr="00EA7F0B">
          <w:rPr>
            <w:rStyle w:val="Hyperlink"/>
            <w:sz w:val="16"/>
            <w:lang w:val="fr-CH"/>
          </w:rPr>
          <w:t>http</w:t>
        </w:r>
        <w:r w:rsidRPr="0055116C">
          <w:rPr>
            <w:rStyle w:val="Hyperlink"/>
            <w:sz w:val="16"/>
            <w:lang w:val="ru-RU"/>
          </w:rPr>
          <w:t>://</w:t>
        </w:r>
        <w:r w:rsidRPr="00EA7F0B">
          <w:rPr>
            <w:rStyle w:val="Hyperlink"/>
            <w:sz w:val="16"/>
            <w:lang w:val="fr-CH"/>
          </w:rPr>
          <w:t>etisc</w:t>
        </w:r>
        <w:r w:rsidRPr="0055116C">
          <w:rPr>
            <w:rStyle w:val="Hyperlink"/>
            <w:sz w:val="16"/>
            <w:lang w:val="ru-RU"/>
          </w:rPr>
          <w:t>.</w:t>
        </w:r>
        <w:r w:rsidRPr="00EA7F0B">
          <w:rPr>
            <w:rStyle w:val="Hyperlink"/>
            <w:sz w:val="16"/>
            <w:lang w:val="fr-CH"/>
          </w:rPr>
          <w:t>wipo</w:t>
        </w:r>
        <w:r w:rsidRPr="0055116C">
          <w:rPr>
            <w:rStyle w:val="Hyperlink"/>
            <w:sz w:val="16"/>
            <w:lang w:val="ru-RU"/>
          </w:rPr>
          <w:t>.</w:t>
        </w:r>
        <w:r w:rsidRPr="00EA7F0B">
          <w:rPr>
            <w:rStyle w:val="Hyperlink"/>
            <w:sz w:val="16"/>
            <w:lang w:val="fr-CH"/>
          </w:rPr>
          <w:t>org</w:t>
        </w:r>
      </w:hyperlink>
    </w:p>
  </w:footnote>
  <w:footnote w:id="88">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w:t>
      </w:r>
      <w:hyperlink r:id="rId9" w:history="1">
        <w:r w:rsidRPr="00EA7F0B">
          <w:rPr>
            <w:rStyle w:val="Hyperlink"/>
            <w:sz w:val="16"/>
            <w:lang w:val="fr-CH"/>
          </w:rPr>
          <w:t>http</w:t>
        </w:r>
        <w:r w:rsidRPr="0055116C">
          <w:rPr>
            <w:rStyle w:val="Hyperlink"/>
            <w:sz w:val="16"/>
            <w:lang w:val="ru-RU"/>
          </w:rPr>
          <w:t>://</w:t>
        </w:r>
        <w:r w:rsidRPr="00EA7F0B">
          <w:rPr>
            <w:rStyle w:val="Hyperlink"/>
            <w:sz w:val="16"/>
            <w:lang w:val="fr-CH"/>
          </w:rPr>
          <w:t>www</w:t>
        </w:r>
        <w:r w:rsidRPr="0055116C">
          <w:rPr>
            <w:rStyle w:val="Hyperlink"/>
            <w:sz w:val="16"/>
            <w:lang w:val="ru-RU"/>
          </w:rPr>
          <w:t>.</w:t>
        </w:r>
        <w:r w:rsidRPr="00EA7F0B">
          <w:rPr>
            <w:rStyle w:val="Hyperlink"/>
            <w:sz w:val="16"/>
            <w:lang w:val="fr-CH"/>
          </w:rPr>
          <w:t>wipo</w:t>
        </w:r>
        <w:r w:rsidRPr="0055116C">
          <w:rPr>
            <w:rStyle w:val="Hyperlink"/>
            <w:sz w:val="16"/>
            <w:lang w:val="ru-RU"/>
          </w:rPr>
          <w:t>.</w:t>
        </w:r>
        <w:r w:rsidRPr="00EA7F0B">
          <w:rPr>
            <w:rStyle w:val="Hyperlink"/>
            <w:sz w:val="16"/>
            <w:lang w:val="fr-CH"/>
          </w:rPr>
          <w:t>int</w:t>
        </w:r>
        <w:r w:rsidRPr="0055116C">
          <w:rPr>
            <w:rStyle w:val="Hyperlink"/>
            <w:sz w:val="16"/>
            <w:lang w:val="ru-RU"/>
          </w:rPr>
          <w:t>/</w:t>
        </w:r>
        <w:r w:rsidRPr="00EA7F0B">
          <w:rPr>
            <w:rStyle w:val="Hyperlink"/>
            <w:sz w:val="16"/>
            <w:lang w:val="fr-CH"/>
          </w:rPr>
          <w:t>tisc</w:t>
        </w:r>
        <w:r w:rsidRPr="0055116C">
          <w:rPr>
            <w:rStyle w:val="Hyperlink"/>
            <w:sz w:val="16"/>
            <w:lang w:val="ru-RU"/>
          </w:rPr>
          <w:t>/</w:t>
        </w:r>
        <w:r w:rsidRPr="00EA7F0B">
          <w:rPr>
            <w:rStyle w:val="Hyperlink"/>
            <w:sz w:val="16"/>
            <w:lang w:val="fr-CH"/>
          </w:rPr>
          <w:t>en</w:t>
        </w:r>
        <w:r w:rsidRPr="0055116C">
          <w:rPr>
            <w:rStyle w:val="Hyperlink"/>
            <w:sz w:val="16"/>
            <w:lang w:val="ru-RU"/>
          </w:rPr>
          <w:t>/</w:t>
        </w:r>
        <w:r w:rsidRPr="00EA7F0B">
          <w:rPr>
            <w:rStyle w:val="Hyperlink"/>
            <w:sz w:val="16"/>
            <w:lang w:val="fr-CH"/>
          </w:rPr>
          <w:t>etutorial</w:t>
        </w:r>
        <w:r w:rsidRPr="0055116C">
          <w:rPr>
            <w:rStyle w:val="Hyperlink"/>
            <w:sz w:val="16"/>
            <w:lang w:val="ru-RU"/>
          </w:rPr>
          <w:t>.</w:t>
        </w:r>
        <w:r w:rsidRPr="00EA7F0B">
          <w:rPr>
            <w:rStyle w:val="Hyperlink"/>
            <w:sz w:val="16"/>
            <w:lang w:val="fr-CH"/>
          </w:rPr>
          <w:t>html</w:t>
        </w:r>
      </w:hyperlink>
      <w:r w:rsidRPr="0055116C">
        <w:rPr>
          <w:sz w:val="16"/>
          <w:lang w:val="ru-RU"/>
        </w:rPr>
        <w:t xml:space="preserve"> </w:t>
      </w:r>
    </w:p>
  </w:footnote>
  <w:footnote w:id="89">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w:t>
      </w:r>
      <w:hyperlink r:id="rId10" w:history="1">
        <w:r w:rsidRPr="00EA7F0B">
          <w:rPr>
            <w:rStyle w:val="Hyperlink"/>
            <w:sz w:val="16"/>
            <w:lang w:val="fr-CH"/>
          </w:rPr>
          <w:t>http</w:t>
        </w:r>
        <w:r w:rsidRPr="0055116C">
          <w:rPr>
            <w:rStyle w:val="Hyperlink"/>
            <w:sz w:val="16"/>
            <w:lang w:val="ru-RU"/>
          </w:rPr>
          <w:t>://</w:t>
        </w:r>
        <w:r w:rsidRPr="00EA7F0B">
          <w:rPr>
            <w:rStyle w:val="Hyperlink"/>
            <w:sz w:val="16"/>
            <w:lang w:val="fr-CH"/>
          </w:rPr>
          <w:t>www</w:t>
        </w:r>
        <w:r w:rsidRPr="0055116C">
          <w:rPr>
            <w:rStyle w:val="Hyperlink"/>
            <w:sz w:val="16"/>
            <w:lang w:val="ru-RU"/>
          </w:rPr>
          <w:t>.</w:t>
        </w:r>
        <w:r w:rsidRPr="00EA7F0B">
          <w:rPr>
            <w:rStyle w:val="Hyperlink"/>
            <w:sz w:val="16"/>
            <w:lang w:val="fr-CH"/>
          </w:rPr>
          <w:t>wipo</w:t>
        </w:r>
        <w:r w:rsidRPr="0055116C">
          <w:rPr>
            <w:rStyle w:val="Hyperlink"/>
            <w:sz w:val="16"/>
            <w:lang w:val="ru-RU"/>
          </w:rPr>
          <w:t>.</w:t>
        </w:r>
        <w:r w:rsidRPr="00EA7F0B">
          <w:rPr>
            <w:rStyle w:val="Hyperlink"/>
            <w:sz w:val="16"/>
            <w:lang w:val="fr-CH"/>
          </w:rPr>
          <w:t>int</w:t>
        </w:r>
        <w:r w:rsidRPr="0055116C">
          <w:rPr>
            <w:rStyle w:val="Hyperlink"/>
            <w:sz w:val="16"/>
            <w:lang w:val="ru-RU"/>
          </w:rPr>
          <w:t>/</w:t>
        </w:r>
        <w:r w:rsidRPr="00EA7F0B">
          <w:rPr>
            <w:rStyle w:val="Hyperlink"/>
            <w:sz w:val="16"/>
            <w:lang w:val="fr-CH"/>
          </w:rPr>
          <w:t>tisc</w:t>
        </w:r>
        <w:r w:rsidRPr="0055116C">
          <w:rPr>
            <w:rStyle w:val="Hyperlink"/>
            <w:sz w:val="16"/>
            <w:lang w:val="ru-RU"/>
          </w:rPr>
          <w:t>/</w:t>
        </w:r>
        <w:r w:rsidRPr="00EA7F0B">
          <w:rPr>
            <w:rStyle w:val="Hyperlink"/>
            <w:sz w:val="16"/>
            <w:lang w:val="fr-CH"/>
          </w:rPr>
          <w:t>fr</w:t>
        </w:r>
        <w:r w:rsidRPr="0055116C">
          <w:rPr>
            <w:rStyle w:val="Hyperlink"/>
            <w:sz w:val="16"/>
            <w:lang w:val="ru-RU"/>
          </w:rPr>
          <w:t>/</w:t>
        </w:r>
        <w:r w:rsidRPr="00EA7F0B">
          <w:rPr>
            <w:rStyle w:val="Hyperlink"/>
            <w:sz w:val="16"/>
            <w:lang w:val="fr-CH"/>
          </w:rPr>
          <w:t>etutorial</w:t>
        </w:r>
        <w:r w:rsidRPr="0055116C">
          <w:rPr>
            <w:rStyle w:val="Hyperlink"/>
            <w:sz w:val="16"/>
            <w:lang w:val="ru-RU"/>
          </w:rPr>
          <w:t>/</w:t>
        </w:r>
        <w:r w:rsidRPr="00EA7F0B">
          <w:rPr>
            <w:rStyle w:val="Hyperlink"/>
            <w:sz w:val="16"/>
            <w:lang w:val="fr-CH"/>
          </w:rPr>
          <w:t>main</w:t>
        </w:r>
        <w:r w:rsidRPr="0055116C">
          <w:rPr>
            <w:rStyle w:val="Hyperlink"/>
            <w:sz w:val="16"/>
            <w:lang w:val="ru-RU"/>
          </w:rPr>
          <w:t>.</w:t>
        </w:r>
        <w:r w:rsidRPr="00EA7F0B">
          <w:rPr>
            <w:rStyle w:val="Hyperlink"/>
            <w:sz w:val="16"/>
            <w:lang w:val="fr-CH"/>
          </w:rPr>
          <w:t>html</w:t>
        </w:r>
      </w:hyperlink>
      <w:r w:rsidRPr="0055116C">
        <w:rPr>
          <w:sz w:val="16"/>
          <w:lang w:val="ru-RU"/>
        </w:rPr>
        <w:t xml:space="preserve"> </w:t>
      </w:r>
    </w:p>
  </w:footnote>
  <w:footnote w:id="90">
    <w:p w:rsidR="00EE0D83" w:rsidRPr="0055116C" w:rsidRDefault="00EE0D83" w:rsidP="0055116C">
      <w:pPr>
        <w:pStyle w:val="FootnoteText"/>
        <w:rPr>
          <w:lang w:val="ru-RU"/>
        </w:rPr>
      </w:pPr>
      <w:r>
        <w:rPr>
          <w:rStyle w:val="FootnoteReference"/>
          <w:sz w:val="16"/>
        </w:rPr>
        <w:footnoteRef/>
      </w:r>
      <w:r w:rsidRPr="0055116C">
        <w:rPr>
          <w:sz w:val="16"/>
          <w:lang w:val="ru-RU"/>
        </w:rPr>
        <w:t xml:space="preserve"> </w:t>
      </w:r>
      <w:r w:rsidRPr="00C24FCA">
        <w:rPr>
          <w:sz w:val="16"/>
          <w:lang w:val="fr-CH"/>
        </w:rPr>
        <w:t>http</w:t>
      </w:r>
      <w:r w:rsidRPr="0055116C">
        <w:rPr>
          <w:sz w:val="16"/>
          <w:lang w:val="ru-RU"/>
        </w:rPr>
        <w:t>://</w:t>
      </w:r>
      <w:r w:rsidRPr="00C24FCA">
        <w:rPr>
          <w:sz w:val="16"/>
          <w:lang w:val="fr-CH"/>
        </w:rPr>
        <w:t>poldham</w:t>
      </w:r>
      <w:r w:rsidRPr="0055116C">
        <w:rPr>
          <w:sz w:val="16"/>
          <w:lang w:val="ru-RU"/>
        </w:rPr>
        <w:t>.</w:t>
      </w:r>
      <w:r w:rsidRPr="00C24FCA">
        <w:rPr>
          <w:sz w:val="16"/>
          <w:lang w:val="fr-CH"/>
        </w:rPr>
        <w:t>github</w:t>
      </w:r>
      <w:r w:rsidRPr="0055116C">
        <w:rPr>
          <w:sz w:val="16"/>
          <w:lang w:val="ru-RU"/>
        </w:rPr>
        <w:t>.</w:t>
      </w:r>
      <w:r w:rsidRPr="00C24FCA">
        <w:rPr>
          <w:sz w:val="16"/>
          <w:lang w:val="fr-CH"/>
        </w:rPr>
        <w:t>io</w:t>
      </w:r>
      <w:r w:rsidRPr="0055116C">
        <w:rPr>
          <w:sz w:val="16"/>
          <w:lang w:val="ru-RU"/>
        </w:rPr>
        <w:t>/</w:t>
      </w:r>
      <w:r w:rsidRPr="00C24FCA">
        <w:rPr>
          <w:sz w:val="16"/>
          <w:lang w:val="fr-CH"/>
        </w:rPr>
        <w:t>project</w:t>
      </w:r>
      <w:r w:rsidRPr="0055116C">
        <w:rPr>
          <w:sz w:val="16"/>
          <w:lang w:val="ru-RU"/>
        </w:rPr>
        <w:t>_</w:t>
      </w:r>
      <w:r w:rsidRPr="00C24FCA">
        <w:rPr>
          <w:sz w:val="16"/>
          <w:lang w:val="fr-CH"/>
        </w:rPr>
        <w:t>files</w:t>
      </w:r>
      <w:r w:rsidRPr="0055116C">
        <w:rPr>
          <w:sz w:val="16"/>
          <w:lang w:val="ru-RU"/>
        </w:rPr>
        <w:t xml:space="preserve">/ </w:t>
      </w:r>
    </w:p>
  </w:footnote>
  <w:footnote w:id="91">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Была обновлена статистика за предыдущие годы с учетом информации, полученной после даты публикации последнего отчета.</w:t>
      </w:r>
    </w:p>
  </w:footnote>
  <w:footnote w:id="92">
    <w:p w:rsidR="00EE0D83" w:rsidRPr="00D8021C" w:rsidRDefault="00EE0D83" w:rsidP="0055116C">
      <w:pPr>
        <w:pStyle w:val="FootnoteText"/>
        <w:rPr>
          <w:sz w:val="16"/>
          <w:szCs w:val="16"/>
          <w:lang w:val="ru-RU"/>
        </w:rPr>
      </w:pPr>
      <w:r>
        <w:rPr>
          <w:rStyle w:val="FootnoteReference"/>
          <w:sz w:val="16"/>
        </w:rPr>
        <w:footnoteRef/>
      </w:r>
      <w:r w:rsidRPr="0055116C">
        <w:rPr>
          <w:sz w:val="16"/>
          <w:lang w:val="ru-RU"/>
        </w:rPr>
        <w:t xml:space="preserve"> Поправка: в ОРП 2014</w:t>
      </w:r>
      <w:r>
        <w:rPr>
          <w:sz w:val="16"/>
        </w:rPr>
        <w:t> </w:t>
      </w:r>
      <w:r w:rsidRPr="0055116C">
        <w:rPr>
          <w:sz w:val="16"/>
          <w:lang w:val="ru-RU"/>
        </w:rPr>
        <w:t xml:space="preserve">г. Республика Корея была включена в категорию </w:t>
      </w:r>
      <w:r w:rsidRPr="00D8021C">
        <w:rPr>
          <w:sz w:val="16"/>
          <w:lang w:val="ru-RU"/>
        </w:rPr>
        <w:t>«прочие», а не в страны Азиатско-Тихоокеанского региона.</w:t>
      </w:r>
    </w:p>
  </w:footnote>
  <w:footnote w:id="93">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В июне 2014</w:t>
      </w:r>
      <w:r>
        <w:rPr>
          <w:sz w:val="16"/>
        </w:rPr>
        <w:t> </w:t>
      </w:r>
      <w:r w:rsidRPr="0055116C">
        <w:rPr>
          <w:sz w:val="16"/>
          <w:lang w:val="ru-RU"/>
        </w:rPr>
        <w:t>г. была внедрена новая версия Центра статистических данных по ИС, из-за чего невозможно отследить данные за вторую половину года.</w:t>
      </w:r>
      <w:r w:rsidRPr="0055116C">
        <w:rPr>
          <w:lang w:val="ru-RU"/>
        </w:rPr>
        <w:t xml:space="preserve"> </w:t>
      </w:r>
    </w:p>
  </w:footnote>
  <w:footnote w:id="94">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w:t>
      </w:r>
      <w:r>
        <w:rPr>
          <w:sz w:val="16"/>
        </w:rPr>
        <w:t>http</w:t>
      </w:r>
      <w:r w:rsidRPr="0055116C">
        <w:rPr>
          <w:sz w:val="16"/>
          <w:lang w:val="ru-RU"/>
        </w:rPr>
        <w:t>://</w:t>
      </w:r>
      <w:r>
        <w:rPr>
          <w:sz w:val="16"/>
        </w:rPr>
        <w:t>www</w:t>
      </w:r>
      <w:r w:rsidRPr="0055116C">
        <w:rPr>
          <w:sz w:val="16"/>
          <w:lang w:val="ru-RU"/>
        </w:rPr>
        <w:t>.</w:t>
      </w:r>
      <w:r>
        <w:rPr>
          <w:sz w:val="16"/>
        </w:rPr>
        <w:t>wipo</w:t>
      </w:r>
      <w:r w:rsidRPr="0055116C">
        <w:rPr>
          <w:sz w:val="16"/>
          <w:lang w:val="ru-RU"/>
        </w:rPr>
        <w:t>.</w:t>
      </w:r>
      <w:r>
        <w:rPr>
          <w:sz w:val="16"/>
        </w:rPr>
        <w:t>int</w:t>
      </w:r>
      <w:r w:rsidRPr="0055116C">
        <w:rPr>
          <w:sz w:val="16"/>
          <w:lang w:val="ru-RU"/>
        </w:rPr>
        <w:t>/</w:t>
      </w:r>
      <w:r>
        <w:rPr>
          <w:sz w:val="16"/>
        </w:rPr>
        <w:t>econ</w:t>
      </w:r>
      <w:r w:rsidRPr="0055116C">
        <w:rPr>
          <w:sz w:val="16"/>
          <w:lang w:val="ru-RU"/>
        </w:rPr>
        <w:t>_</w:t>
      </w:r>
      <w:r>
        <w:rPr>
          <w:sz w:val="16"/>
        </w:rPr>
        <w:t>stat</w:t>
      </w:r>
      <w:r w:rsidRPr="0055116C">
        <w:rPr>
          <w:sz w:val="16"/>
          <w:lang w:val="ru-RU"/>
        </w:rPr>
        <w:t>/</w:t>
      </w:r>
      <w:r>
        <w:rPr>
          <w:sz w:val="16"/>
        </w:rPr>
        <w:t>en</w:t>
      </w:r>
      <w:r w:rsidRPr="0055116C">
        <w:rPr>
          <w:sz w:val="16"/>
          <w:lang w:val="ru-RU"/>
        </w:rPr>
        <w:t>/</w:t>
      </w:r>
      <w:r>
        <w:rPr>
          <w:sz w:val="16"/>
        </w:rPr>
        <w:t>economics</w:t>
      </w:r>
      <w:r w:rsidRPr="0055116C">
        <w:rPr>
          <w:sz w:val="16"/>
          <w:lang w:val="ru-RU"/>
        </w:rPr>
        <w:t>/</w:t>
      </w:r>
      <w:r>
        <w:rPr>
          <w:sz w:val="16"/>
        </w:rPr>
        <w:t>gii</w:t>
      </w:r>
      <w:r w:rsidRPr="0055116C">
        <w:rPr>
          <w:sz w:val="16"/>
          <w:lang w:val="ru-RU"/>
        </w:rPr>
        <w:t>/</w:t>
      </w:r>
    </w:p>
  </w:footnote>
  <w:footnote w:id="95">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w:t>
      </w:r>
      <w:r>
        <w:rPr>
          <w:sz w:val="16"/>
        </w:rPr>
        <w:t>https</w:t>
      </w:r>
      <w:r w:rsidRPr="0055116C">
        <w:rPr>
          <w:sz w:val="16"/>
          <w:lang w:val="ru-RU"/>
        </w:rPr>
        <w:t>://</w:t>
      </w:r>
      <w:r>
        <w:rPr>
          <w:sz w:val="16"/>
        </w:rPr>
        <w:t>www</w:t>
      </w:r>
      <w:r w:rsidRPr="0055116C">
        <w:rPr>
          <w:sz w:val="16"/>
          <w:lang w:val="ru-RU"/>
        </w:rPr>
        <w:t>.</w:t>
      </w:r>
      <w:r>
        <w:rPr>
          <w:sz w:val="16"/>
        </w:rPr>
        <w:t>globalinnovationindex</w:t>
      </w:r>
      <w:r w:rsidRPr="0055116C">
        <w:rPr>
          <w:sz w:val="16"/>
          <w:lang w:val="ru-RU"/>
        </w:rPr>
        <w:t>.</w:t>
      </w:r>
      <w:r>
        <w:rPr>
          <w:sz w:val="16"/>
        </w:rPr>
        <w:t>org</w:t>
      </w:r>
      <w:r w:rsidRPr="0055116C">
        <w:rPr>
          <w:sz w:val="16"/>
          <w:lang w:val="ru-RU"/>
        </w:rPr>
        <w:t>/</w:t>
      </w:r>
      <w:r>
        <w:rPr>
          <w:sz w:val="16"/>
        </w:rPr>
        <w:t>content</w:t>
      </w:r>
      <w:r w:rsidRPr="0055116C">
        <w:rPr>
          <w:sz w:val="16"/>
          <w:lang w:val="ru-RU"/>
        </w:rPr>
        <w:t>/</w:t>
      </w:r>
      <w:r>
        <w:rPr>
          <w:sz w:val="16"/>
        </w:rPr>
        <w:t>page</w:t>
      </w:r>
      <w:r w:rsidRPr="0055116C">
        <w:rPr>
          <w:sz w:val="16"/>
          <w:lang w:val="ru-RU"/>
        </w:rPr>
        <w:t>/</w:t>
      </w:r>
      <w:r>
        <w:rPr>
          <w:sz w:val="16"/>
        </w:rPr>
        <w:t>GII</w:t>
      </w:r>
      <w:r w:rsidRPr="0055116C">
        <w:rPr>
          <w:sz w:val="16"/>
          <w:lang w:val="ru-RU"/>
        </w:rPr>
        <w:t>-</w:t>
      </w:r>
      <w:r>
        <w:rPr>
          <w:sz w:val="16"/>
        </w:rPr>
        <w:t>Home</w:t>
      </w:r>
    </w:p>
  </w:footnote>
  <w:footnote w:id="96">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w:t>
      </w:r>
      <w:r>
        <w:rPr>
          <w:sz w:val="16"/>
        </w:rPr>
        <w:t>http</w:t>
      </w:r>
      <w:r w:rsidRPr="0055116C">
        <w:rPr>
          <w:sz w:val="16"/>
          <w:lang w:val="ru-RU"/>
        </w:rPr>
        <w:t>://</w:t>
      </w:r>
      <w:r>
        <w:rPr>
          <w:sz w:val="16"/>
        </w:rPr>
        <w:t>www</w:t>
      </w:r>
      <w:r w:rsidRPr="0055116C">
        <w:rPr>
          <w:sz w:val="16"/>
          <w:lang w:val="ru-RU"/>
        </w:rPr>
        <w:t>.</w:t>
      </w:r>
      <w:r>
        <w:rPr>
          <w:sz w:val="16"/>
        </w:rPr>
        <w:t>wipo</w:t>
      </w:r>
      <w:r w:rsidRPr="0055116C">
        <w:rPr>
          <w:sz w:val="16"/>
          <w:lang w:val="ru-RU"/>
        </w:rPr>
        <w:t>.</w:t>
      </w:r>
      <w:r>
        <w:rPr>
          <w:sz w:val="16"/>
        </w:rPr>
        <w:t>int</w:t>
      </w:r>
      <w:r w:rsidRPr="0055116C">
        <w:rPr>
          <w:sz w:val="16"/>
          <w:lang w:val="ru-RU"/>
        </w:rPr>
        <w:t>/</w:t>
      </w:r>
      <w:r>
        <w:rPr>
          <w:sz w:val="16"/>
        </w:rPr>
        <w:t>edocs</w:t>
      </w:r>
      <w:r w:rsidRPr="0055116C">
        <w:rPr>
          <w:sz w:val="16"/>
          <w:lang w:val="ru-RU"/>
        </w:rPr>
        <w:t>/</w:t>
      </w:r>
      <w:r>
        <w:rPr>
          <w:sz w:val="16"/>
        </w:rPr>
        <w:t>pubdocs</w:t>
      </w:r>
      <w:r w:rsidRPr="0055116C">
        <w:rPr>
          <w:sz w:val="16"/>
          <w:lang w:val="ru-RU"/>
        </w:rPr>
        <w:t>/</w:t>
      </w:r>
      <w:r>
        <w:rPr>
          <w:sz w:val="16"/>
        </w:rPr>
        <w:t>en</w:t>
      </w:r>
      <w:r w:rsidRPr="0055116C">
        <w:rPr>
          <w:sz w:val="16"/>
          <w:lang w:val="ru-RU"/>
        </w:rPr>
        <w:t>/</w:t>
      </w:r>
      <w:r>
        <w:rPr>
          <w:sz w:val="16"/>
        </w:rPr>
        <w:t>wipo</w:t>
      </w:r>
      <w:r w:rsidRPr="0055116C">
        <w:rPr>
          <w:sz w:val="16"/>
          <w:lang w:val="ru-RU"/>
        </w:rPr>
        <w:t>_</w:t>
      </w:r>
      <w:r>
        <w:rPr>
          <w:sz w:val="16"/>
        </w:rPr>
        <w:t>rep</w:t>
      </w:r>
      <w:r w:rsidRPr="0055116C">
        <w:rPr>
          <w:sz w:val="16"/>
          <w:lang w:val="ru-RU"/>
        </w:rPr>
        <w:t>_</w:t>
      </w:r>
      <w:r>
        <w:rPr>
          <w:sz w:val="16"/>
        </w:rPr>
        <w:t>rfip</w:t>
      </w:r>
      <w:r w:rsidRPr="0055116C">
        <w:rPr>
          <w:sz w:val="16"/>
          <w:lang w:val="ru-RU"/>
        </w:rPr>
        <w:t>_2015_1.</w:t>
      </w:r>
      <w:r>
        <w:rPr>
          <w:sz w:val="16"/>
        </w:rPr>
        <w:t>pdf</w:t>
      </w:r>
    </w:p>
  </w:footnote>
  <w:footnote w:id="97">
    <w:p w:rsidR="00EE0D83" w:rsidRPr="0055116C" w:rsidRDefault="00EE0D83" w:rsidP="0055116C">
      <w:pPr>
        <w:pStyle w:val="FootnoteText"/>
        <w:jc w:val="both"/>
        <w:rPr>
          <w:sz w:val="16"/>
          <w:szCs w:val="16"/>
          <w:lang w:val="ru-RU"/>
        </w:rPr>
      </w:pPr>
      <w:r>
        <w:rPr>
          <w:rStyle w:val="FootnoteReference"/>
          <w:sz w:val="16"/>
        </w:rPr>
        <w:footnoteRef/>
      </w:r>
      <w:r w:rsidRPr="0055116C">
        <w:rPr>
          <w:lang w:val="ru-RU"/>
        </w:rPr>
        <w:t xml:space="preserve"> </w:t>
      </w:r>
      <w:r w:rsidRPr="0055116C">
        <w:rPr>
          <w:sz w:val="16"/>
          <w:lang w:val="ru-RU"/>
        </w:rPr>
        <w:t>Поправка: фактическое число стран, принявших участие в Программе наград ВОИС в 2014</w:t>
      </w:r>
      <w:r>
        <w:rPr>
          <w:sz w:val="16"/>
        </w:rPr>
        <w:t> </w:t>
      </w:r>
      <w:r w:rsidRPr="0055116C">
        <w:rPr>
          <w:sz w:val="16"/>
          <w:lang w:val="ru-RU"/>
        </w:rPr>
        <w:t>г., составило 40, а не 38, как сообщалось в ОРП 2014</w:t>
      </w:r>
      <w:r>
        <w:rPr>
          <w:sz w:val="16"/>
        </w:rPr>
        <w:t> </w:t>
      </w:r>
      <w:r w:rsidRPr="0055116C">
        <w:rPr>
          <w:sz w:val="16"/>
          <w:lang w:val="ru-RU"/>
        </w:rPr>
        <w:t>г.</w:t>
      </w:r>
    </w:p>
  </w:footnote>
  <w:footnote w:id="98">
    <w:p w:rsidR="00EE0D83" w:rsidRPr="0055116C" w:rsidRDefault="00EE0D83" w:rsidP="0055116C">
      <w:pPr>
        <w:pStyle w:val="FootnoteText"/>
        <w:jc w:val="both"/>
        <w:rPr>
          <w:sz w:val="16"/>
          <w:szCs w:val="16"/>
          <w:lang w:val="ru-RU"/>
        </w:rPr>
      </w:pPr>
      <w:r>
        <w:rPr>
          <w:rStyle w:val="FootnoteReference"/>
          <w:sz w:val="16"/>
        </w:rPr>
        <w:footnoteRef/>
      </w:r>
      <w:r w:rsidRPr="0055116C">
        <w:rPr>
          <w:sz w:val="16"/>
          <w:lang w:val="ru-RU"/>
        </w:rPr>
        <w:t xml:space="preserve"> Стратегическими союзами называются партнерства, имеющие систематический или долгосрочный характер, включая партнерства, созданные на основе соглашений о сотрудничестве и имеющие в качестве одной из своих целей обеспечение уважения ИС.</w:t>
      </w:r>
    </w:p>
  </w:footnote>
  <w:footnote w:id="99">
    <w:p w:rsidR="00EE0D83" w:rsidRPr="0055116C" w:rsidRDefault="00EE0D83" w:rsidP="0055116C">
      <w:pPr>
        <w:pStyle w:val="FootnoteText"/>
        <w:jc w:val="both"/>
        <w:rPr>
          <w:sz w:val="16"/>
          <w:szCs w:val="16"/>
          <w:lang w:val="ru-RU"/>
        </w:rPr>
      </w:pPr>
      <w:r>
        <w:rPr>
          <w:rStyle w:val="FootnoteReference"/>
          <w:sz w:val="16"/>
        </w:rPr>
        <w:footnoteRef/>
      </w:r>
      <w:r w:rsidRPr="0055116C">
        <w:rPr>
          <w:sz w:val="16"/>
          <w:lang w:val="ru-RU"/>
        </w:rPr>
        <w:t xml:space="preserve"> Поправка: общее число совместных мероприятий в 2014</w:t>
      </w:r>
      <w:r>
        <w:rPr>
          <w:sz w:val="16"/>
        </w:rPr>
        <w:t> </w:t>
      </w:r>
      <w:r w:rsidRPr="0055116C">
        <w:rPr>
          <w:sz w:val="16"/>
          <w:lang w:val="ru-RU"/>
        </w:rPr>
        <w:t>г. составило 35, а не 30, как сообщалось в ОРП за 2014</w:t>
      </w:r>
      <w:r>
        <w:rPr>
          <w:sz w:val="16"/>
        </w:rPr>
        <w:t> </w:t>
      </w:r>
      <w:r w:rsidRPr="0055116C">
        <w:rPr>
          <w:sz w:val="16"/>
          <w:lang w:val="ru-RU"/>
        </w:rPr>
        <w:t>г.</w:t>
      </w:r>
    </w:p>
  </w:footnote>
  <w:footnote w:id="100">
    <w:p w:rsidR="00EE0D83" w:rsidRPr="0055116C" w:rsidRDefault="00EE0D83" w:rsidP="0055116C">
      <w:pPr>
        <w:pStyle w:val="FootnoteText"/>
        <w:rPr>
          <w:sz w:val="16"/>
          <w:szCs w:val="16"/>
          <w:lang w:val="ru-RU"/>
        </w:rPr>
      </w:pPr>
      <w:r>
        <w:rPr>
          <w:rStyle w:val="FootnoteReference"/>
          <w:sz w:val="16"/>
        </w:rPr>
        <w:footnoteRef/>
      </w:r>
      <w:r w:rsidRPr="0055116C">
        <w:rPr>
          <w:sz w:val="16"/>
          <w:lang w:val="ru-RU"/>
        </w:rPr>
        <w:t xml:space="preserve"> </w:t>
      </w:r>
      <w:hyperlink r:id="rId11" w:history="1">
        <w:r w:rsidRPr="00F138A6">
          <w:rPr>
            <w:rStyle w:val="Hyperlink"/>
            <w:sz w:val="16"/>
          </w:rPr>
          <w:t>http</w:t>
        </w:r>
        <w:r w:rsidRPr="0055116C">
          <w:rPr>
            <w:rStyle w:val="Hyperlink"/>
            <w:sz w:val="16"/>
            <w:lang w:val="ru-RU"/>
          </w:rPr>
          <w:t>://</w:t>
        </w:r>
        <w:r w:rsidRPr="00F138A6">
          <w:rPr>
            <w:rStyle w:val="Hyperlink"/>
            <w:sz w:val="16"/>
          </w:rPr>
          <w:t>www</w:t>
        </w:r>
        <w:r w:rsidRPr="0055116C">
          <w:rPr>
            <w:rStyle w:val="Hyperlink"/>
            <w:sz w:val="16"/>
            <w:lang w:val="ru-RU"/>
          </w:rPr>
          <w:t>.</w:t>
        </w:r>
        <w:r w:rsidRPr="00F138A6">
          <w:rPr>
            <w:rStyle w:val="Hyperlink"/>
            <w:sz w:val="16"/>
          </w:rPr>
          <w:t>wipo</w:t>
        </w:r>
        <w:r w:rsidRPr="0055116C">
          <w:rPr>
            <w:rStyle w:val="Hyperlink"/>
            <w:sz w:val="16"/>
            <w:lang w:val="ru-RU"/>
          </w:rPr>
          <w:t>.</w:t>
        </w:r>
        <w:r w:rsidRPr="00F138A6">
          <w:rPr>
            <w:rStyle w:val="Hyperlink"/>
            <w:sz w:val="16"/>
          </w:rPr>
          <w:t>int</w:t>
        </w:r>
        <w:r w:rsidRPr="0055116C">
          <w:rPr>
            <w:rStyle w:val="Hyperlink"/>
            <w:sz w:val="16"/>
            <w:lang w:val="ru-RU"/>
          </w:rPr>
          <w:t>/</w:t>
        </w:r>
        <w:r w:rsidRPr="00F138A6">
          <w:rPr>
            <w:rStyle w:val="Hyperlink"/>
            <w:sz w:val="16"/>
          </w:rPr>
          <w:t>export</w:t>
        </w:r>
        <w:r w:rsidRPr="0055116C">
          <w:rPr>
            <w:rStyle w:val="Hyperlink"/>
            <w:sz w:val="16"/>
            <w:lang w:val="ru-RU"/>
          </w:rPr>
          <w:t>/</w:t>
        </w:r>
        <w:r w:rsidRPr="00F138A6">
          <w:rPr>
            <w:rStyle w:val="Hyperlink"/>
            <w:sz w:val="16"/>
          </w:rPr>
          <w:t>sites</w:t>
        </w:r>
        <w:r w:rsidRPr="0055116C">
          <w:rPr>
            <w:rStyle w:val="Hyperlink"/>
            <w:sz w:val="16"/>
            <w:lang w:val="ru-RU"/>
          </w:rPr>
          <w:t>/</w:t>
        </w:r>
        <w:r w:rsidRPr="00F138A6">
          <w:rPr>
            <w:rStyle w:val="Hyperlink"/>
            <w:sz w:val="16"/>
          </w:rPr>
          <w:t>www</w:t>
        </w:r>
        <w:r w:rsidRPr="0055116C">
          <w:rPr>
            <w:rStyle w:val="Hyperlink"/>
            <w:sz w:val="16"/>
            <w:lang w:val="ru-RU"/>
          </w:rPr>
          <w:t>/</w:t>
        </w:r>
        <w:r w:rsidRPr="00F138A6">
          <w:rPr>
            <w:rStyle w:val="Hyperlink"/>
            <w:sz w:val="16"/>
          </w:rPr>
          <w:t>about</w:t>
        </w:r>
        <w:r w:rsidRPr="0055116C">
          <w:rPr>
            <w:rStyle w:val="Hyperlink"/>
            <w:sz w:val="16"/>
            <w:lang w:val="ru-RU"/>
          </w:rPr>
          <w:t>-</w:t>
        </w:r>
        <w:r w:rsidRPr="00F138A6">
          <w:rPr>
            <w:rStyle w:val="Hyperlink"/>
            <w:sz w:val="16"/>
          </w:rPr>
          <w:t>wipo</w:t>
        </w:r>
        <w:r w:rsidRPr="0055116C">
          <w:rPr>
            <w:rStyle w:val="Hyperlink"/>
            <w:sz w:val="16"/>
            <w:lang w:val="ru-RU"/>
          </w:rPr>
          <w:t>/</w:t>
        </w:r>
        <w:r w:rsidRPr="00F138A6">
          <w:rPr>
            <w:rStyle w:val="Hyperlink"/>
            <w:sz w:val="16"/>
          </w:rPr>
          <w:t>en</w:t>
        </w:r>
        <w:r w:rsidRPr="0055116C">
          <w:rPr>
            <w:rStyle w:val="Hyperlink"/>
            <w:sz w:val="16"/>
            <w:lang w:val="ru-RU"/>
          </w:rPr>
          <w:t>/</w:t>
        </w:r>
        <w:r w:rsidRPr="00F138A6">
          <w:rPr>
            <w:rStyle w:val="Hyperlink"/>
            <w:sz w:val="16"/>
          </w:rPr>
          <w:t>oversight</w:t>
        </w:r>
        <w:r w:rsidRPr="0055116C">
          <w:rPr>
            <w:rStyle w:val="Hyperlink"/>
            <w:sz w:val="16"/>
            <w:lang w:val="ru-RU"/>
          </w:rPr>
          <w:t>/</w:t>
        </w:r>
        <w:r w:rsidRPr="00F138A6">
          <w:rPr>
            <w:rStyle w:val="Hyperlink"/>
            <w:sz w:val="16"/>
          </w:rPr>
          <w:t>iaod</w:t>
        </w:r>
        <w:r w:rsidRPr="0055116C">
          <w:rPr>
            <w:rStyle w:val="Hyperlink"/>
            <w:sz w:val="16"/>
            <w:lang w:val="ru-RU"/>
          </w:rPr>
          <w:t>/</w:t>
        </w:r>
        <w:r w:rsidRPr="00F138A6">
          <w:rPr>
            <w:rStyle w:val="Hyperlink"/>
            <w:sz w:val="16"/>
          </w:rPr>
          <w:t>evaluation</w:t>
        </w:r>
        <w:r w:rsidRPr="0055116C">
          <w:rPr>
            <w:rStyle w:val="Hyperlink"/>
            <w:sz w:val="16"/>
            <w:lang w:val="ru-RU"/>
          </w:rPr>
          <w:t>/</w:t>
        </w:r>
        <w:r w:rsidRPr="00F138A6">
          <w:rPr>
            <w:rStyle w:val="Hyperlink"/>
            <w:sz w:val="16"/>
          </w:rPr>
          <w:t>pdf</w:t>
        </w:r>
        <w:r w:rsidRPr="0055116C">
          <w:rPr>
            <w:rStyle w:val="Hyperlink"/>
            <w:sz w:val="16"/>
            <w:lang w:val="ru-RU"/>
          </w:rPr>
          <w:t>/</w:t>
        </w:r>
        <w:r w:rsidRPr="00F138A6">
          <w:rPr>
            <w:rStyle w:val="Hyperlink"/>
            <w:sz w:val="16"/>
          </w:rPr>
          <w:t>evaluation</w:t>
        </w:r>
        <w:r w:rsidRPr="0055116C">
          <w:rPr>
            <w:rStyle w:val="Hyperlink"/>
            <w:sz w:val="16"/>
            <w:lang w:val="ru-RU"/>
          </w:rPr>
          <w:t>_</w:t>
        </w:r>
        <w:r w:rsidRPr="00F138A6">
          <w:rPr>
            <w:rStyle w:val="Hyperlink"/>
            <w:sz w:val="16"/>
          </w:rPr>
          <w:t>strategic</w:t>
        </w:r>
        <w:r w:rsidRPr="0055116C">
          <w:rPr>
            <w:rStyle w:val="Hyperlink"/>
            <w:sz w:val="16"/>
            <w:lang w:val="ru-RU"/>
          </w:rPr>
          <w:t>_</w:t>
        </w:r>
        <w:r w:rsidRPr="00F138A6">
          <w:rPr>
            <w:rStyle w:val="Hyperlink"/>
            <w:sz w:val="16"/>
          </w:rPr>
          <w:t>goal</w:t>
        </w:r>
        <w:r w:rsidRPr="0055116C">
          <w:rPr>
            <w:rStyle w:val="Hyperlink"/>
            <w:sz w:val="16"/>
            <w:lang w:val="ru-RU"/>
          </w:rPr>
          <w:t>_</w:t>
        </w:r>
        <w:r w:rsidRPr="00F138A6">
          <w:rPr>
            <w:rStyle w:val="Hyperlink"/>
            <w:sz w:val="16"/>
          </w:rPr>
          <w:t>vi</w:t>
        </w:r>
        <w:r w:rsidRPr="0055116C">
          <w:rPr>
            <w:rStyle w:val="Hyperlink"/>
            <w:sz w:val="16"/>
            <w:lang w:val="ru-RU"/>
          </w:rPr>
          <w:t>.</w:t>
        </w:r>
        <w:r w:rsidRPr="00F138A6">
          <w:rPr>
            <w:rStyle w:val="Hyperlink"/>
            <w:sz w:val="16"/>
          </w:rPr>
          <w:t>pdf</w:t>
        </w:r>
      </w:hyperlink>
      <w:r w:rsidRPr="0055116C">
        <w:rPr>
          <w:sz w:val="16"/>
          <w:lang w:val="ru-RU"/>
        </w:rPr>
        <w:t xml:space="preserve"> </w:t>
      </w:r>
    </w:p>
  </w:footnote>
  <w:footnote w:id="101">
    <w:p w:rsidR="00EE0D83" w:rsidRPr="0055116C" w:rsidRDefault="00EE0D83" w:rsidP="0055116C">
      <w:pPr>
        <w:pStyle w:val="FootnoteText"/>
        <w:spacing w:after="60"/>
        <w:rPr>
          <w:sz w:val="16"/>
          <w:szCs w:val="16"/>
          <w:lang w:val="ru-RU"/>
        </w:rPr>
      </w:pPr>
      <w:r>
        <w:rPr>
          <w:rStyle w:val="FootnoteReference"/>
          <w:sz w:val="16"/>
        </w:rPr>
        <w:footnoteRef/>
      </w:r>
      <w:r w:rsidRPr="0055116C">
        <w:rPr>
          <w:sz w:val="16"/>
          <w:lang w:val="ru-RU"/>
        </w:rPr>
        <w:t xml:space="preserve"> </w:t>
      </w:r>
      <w:r w:rsidRPr="0055116C">
        <w:rPr>
          <w:sz w:val="16"/>
          <w:szCs w:val="16"/>
          <w:lang w:val="ru-RU"/>
        </w:rPr>
        <w:t>Аналитические записки по глобальным проблемам, опубликованные в 2014–2015</w:t>
      </w:r>
      <w:r>
        <w:rPr>
          <w:sz w:val="16"/>
          <w:szCs w:val="16"/>
        </w:rPr>
        <w:t> </w:t>
      </w:r>
      <w:r w:rsidRPr="0055116C">
        <w:rPr>
          <w:sz w:val="16"/>
          <w:szCs w:val="16"/>
          <w:lang w:val="ru-RU"/>
        </w:rPr>
        <w:t xml:space="preserve">гг.: </w:t>
      </w:r>
      <w:r w:rsidRPr="0055116C">
        <w:rPr>
          <w:i/>
          <w:sz w:val="16"/>
          <w:szCs w:val="16"/>
          <w:lang w:val="ru-RU"/>
        </w:rPr>
        <w:t>(</w:t>
      </w:r>
      <w:r w:rsidRPr="004265A0">
        <w:rPr>
          <w:i/>
          <w:sz w:val="16"/>
          <w:szCs w:val="16"/>
        </w:rPr>
        <w:t>i</w:t>
      </w:r>
      <w:r w:rsidRPr="0055116C">
        <w:rPr>
          <w:i/>
          <w:sz w:val="16"/>
          <w:szCs w:val="16"/>
          <w:lang w:val="ru-RU"/>
        </w:rPr>
        <w:t>)</w:t>
      </w:r>
      <w:r w:rsidRPr="0055116C">
        <w:rPr>
          <w:sz w:val="16"/>
          <w:szCs w:val="16"/>
          <w:lang w:val="ru-RU"/>
        </w:rPr>
        <w:t xml:space="preserve"> </w:t>
      </w:r>
      <w:hyperlink r:id="rId12">
        <w:r w:rsidRPr="0055116C">
          <w:rPr>
            <w:rStyle w:val="Hyperlink"/>
            <w:i/>
            <w:sz w:val="16"/>
            <w:szCs w:val="16"/>
            <w:lang w:val="ru-RU"/>
          </w:rPr>
          <w:t>Ускорение изменения климата и технологии его смягчения: тенденции в сфере интеллектуальной собственности, касающиеся ландшафта возобновляемой энергетики</w:t>
        </w:r>
      </w:hyperlink>
      <w:r w:rsidRPr="0055116C">
        <w:rPr>
          <w:rStyle w:val="Hyperlink"/>
          <w:i/>
          <w:sz w:val="16"/>
          <w:szCs w:val="16"/>
          <w:lang w:val="ru-RU"/>
        </w:rPr>
        <w:t xml:space="preserve"> </w:t>
      </w:r>
      <w:r w:rsidRPr="0055116C">
        <w:rPr>
          <w:sz w:val="16"/>
          <w:szCs w:val="16"/>
          <w:lang w:val="ru-RU"/>
        </w:rPr>
        <w:t xml:space="preserve">(2014); </w:t>
      </w:r>
      <w:r w:rsidRPr="0055116C">
        <w:rPr>
          <w:i/>
          <w:sz w:val="16"/>
          <w:szCs w:val="16"/>
          <w:lang w:val="ru-RU"/>
        </w:rPr>
        <w:t>(</w:t>
      </w:r>
      <w:r w:rsidRPr="004265A0">
        <w:rPr>
          <w:i/>
          <w:sz w:val="16"/>
          <w:szCs w:val="16"/>
        </w:rPr>
        <w:t>ii</w:t>
      </w:r>
      <w:r w:rsidRPr="0055116C">
        <w:rPr>
          <w:i/>
          <w:sz w:val="16"/>
          <w:szCs w:val="16"/>
          <w:lang w:val="ru-RU"/>
        </w:rPr>
        <w:t>)</w:t>
      </w:r>
      <w:r w:rsidRPr="0055116C">
        <w:rPr>
          <w:sz w:val="16"/>
          <w:szCs w:val="16"/>
          <w:lang w:val="ru-RU"/>
        </w:rPr>
        <w:t xml:space="preserve"> </w:t>
      </w:r>
      <w:hyperlink r:id="rId13">
        <w:r w:rsidRPr="0055116C">
          <w:rPr>
            <w:rStyle w:val="Hyperlink"/>
            <w:i/>
            <w:sz w:val="16"/>
            <w:szCs w:val="16"/>
            <w:lang w:val="ru-RU"/>
          </w:rPr>
          <w:t>Создание стимулов для применения зеленых технологий в глобальном масштабе</w:t>
        </w:r>
      </w:hyperlink>
      <w:r w:rsidRPr="0055116C">
        <w:rPr>
          <w:sz w:val="16"/>
          <w:szCs w:val="16"/>
          <w:lang w:val="ru-RU"/>
        </w:rPr>
        <w:t xml:space="preserve">; выпущено на КС-20 РКИКООН в Лиме (2014); </w:t>
      </w:r>
      <w:r w:rsidRPr="0055116C">
        <w:rPr>
          <w:i/>
          <w:sz w:val="16"/>
          <w:szCs w:val="16"/>
          <w:lang w:val="ru-RU"/>
        </w:rPr>
        <w:t>(</w:t>
      </w:r>
      <w:r w:rsidRPr="004265A0">
        <w:rPr>
          <w:i/>
          <w:sz w:val="16"/>
          <w:szCs w:val="16"/>
        </w:rPr>
        <w:t>iii</w:t>
      </w:r>
      <w:r w:rsidRPr="0055116C">
        <w:rPr>
          <w:i/>
          <w:sz w:val="16"/>
          <w:szCs w:val="16"/>
          <w:lang w:val="ru-RU"/>
        </w:rPr>
        <w:t xml:space="preserve">) </w:t>
      </w:r>
      <w:r w:rsidRPr="0055116C">
        <w:rPr>
          <w:sz w:val="16"/>
          <w:szCs w:val="16"/>
          <w:lang w:val="ru-RU"/>
        </w:rPr>
        <w:t xml:space="preserve"> </w:t>
      </w:r>
      <w:hyperlink r:id="rId14">
        <w:r w:rsidRPr="0055116C">
          <w:rPr>
            <w:rStyle w:val="Hyperlink"/>
            <w:i/>
            <w:sz w:val="16"/>
            <w:szCs w:val="16"/>
            <w:lang w:val="ru-RU"/>
          </w:rPr>
          <w:t>Меняющийся ландшафт медицинских инноваций: как в результате изменились бизнес-модели?</w:t>
        </w:r>
      </w:hyperlink>
      <w:r w:rsidRPr="0055116C">
        <w:rPr>
          <w:rStyle w:val="Hyperlink"/>
          <w:i/>
          <w:sz w:val="16"/>
          <w:szCs w:val="16"/>
          <w:lang w:val="ru-RU"/>
        </w:rPr>
        <w:t xml:space="preserve"> </w:t>
      </w:r>
      <w:r w:rsidRPr="0055116C">
        <w:rPr>
          <w:sz w:val="16"/>
          <w:szCs w:val="16"/>
          <w:lang w:val="ru-RU"/>
        </w:rPr>
        <w:t xml:space="preserve">(2014); </w:t>
      </w:r>
      <w:r w:rsidRPr="0055116C">
        <w:rPr>
          <w:i/>
          <w:sz w:val="16"/>
          <w:szCs w:val="16"/>
          <w:lang w:val="ru-RU"/>
        </w:rPr>
        <w:t>(</w:t>
      </w:r>
      <w:r w:rsidRPr="004265A0">
        <w:rPr>
          <w:i/>
          <w:sz w:val="16"/>
          <w:szCs w:val="16"/>
        </w:rPr>
        <w:t>iv</w:t>
      </w:r>
      <w:r w:rsidRPr="0055116C">
        <w:rPr>
          <w:i/>
          <w:sz w:val="16"/>
          <w:szCs w:val="16"/>
          <w:lang w:val="ru-RU"/>
        </w:rPr>
        <w:t>)</w:t>
      </w:r>
      <w:r w:rsidRPr="0055116C">
        <w:rPr>
          <w:sz w:val="16"/>
          <w:szCs w:val="16"/>
          <w:lang w:val="ru-RU"/>
        </w:rPr>
        <w:t xml:space="preserve"> </w:t>
      </w:r>
      <w:hyperlink r:id="rId15">
        <w:r w:rsidRPr="0055116C">
          <w:rPr>
            <w:rStyle w:val="Hyperlink"/>
            <w:i/>
            <w:sz w:val="16"/>
            <w:szCs w:val="16"/>
            <w:lang w:val="ru-RU"/>
          </w:rPr>
          <w:t>Совместная работа по содействию созданию медицинских инноваций и обеспечению доступа к ним</w:t>
        </w:r>
      </w:hyperlink>
      <w:r w:rsidRPr="0055116C">
        <w:rPr>
          <w:sz w:val="16"/>
          <w:szCs w:val="16"/>
          <w:lang w:val="ru-RU"/>
        </w:rPr>
        <w:t xml:space="preserve"> (2015).</w:t>
      </w:r>
    </w:p>
    <w:p w:rsidR="00EE0D83" w:rsidRPr="0055116C" w:rsidRDefault="00EE0D83" w:rsidP="0055116C">
      <w:pPr>
        <w:pStyle w:val="FootnoteText"/>
        <w:rPr>
          <w:sz w:val="16"/>
          <w:szCs w:val="16"/>
          <w:lang w:val="ru-RU"/>
        </w:rPr>
      </w:pPr>
    </w:p>
  </w:footnote>
  <w:footnote w:id="102">
    <w:p w:rsidR="00EE0D83" w:rsidRPr="0055116C" w:rsidRDefault="00EE0D83" w:rsidP="0055116C">
      <w:pPr>
        <w:pStyle w:val="Default"/>
        <w:tabs>
          <w:tab w:val="left" w:pos="709"/>
        </w:tabs>
        <w:jc w:val="both"/>
        <w:rPr>
          <w:bCs/>
          <w:color w:val="000000" w:themeColor="text1"/>
          <w:sz w:val="16"/>
          <w:szCs w:val="16"/>
          <w:lang w:val="ru-RU"/>
        </w:rPr>
      </w:pPr>
      <w:r w:rsidRPr="004265A0">
        <w:rPr>
          <w:rStyle w:val="FootnoteReference"/>
          <w:sz w:val="16"/>
          <w:szCs w:val="16"/>
        </w:rPr>
        <w:footnoteRef/>
      </w:r>
      <w:r w:rsidRPr="0055116C">
        <w:rPr>
          <w:sz w:val="16"/>
          <w:szCs w:val="16"/>
          <w:lang w:val="ru-RU"/>
        </w:rPr>
        <w:t xml:space="preserve"> Доклады о глобальных проблемах, опубликованные в 2014–2015</w:t>
      </w:r>
      <w:r w:rsidRPr="004265A0">
        <w:rPr>
          <w:sz w:val="16"/>
          <w:szCs w:val="16"/>
        </w:rPr>
        <w:t> </w:t>
      </w:r>
      <w:r w:rsidRPr="0055116C">
        <w:rPr>
          <w:sz w:val="16"/>
          <w:szCs w:val="16"/>
          <w:lang w:val="ru-RU"/>
        </w:rPr>
        <w:t xml:space="preserve">гг.: </w:t>
      </w:r>
      <w:r w:rsidRPr="0055116C">
        <w:rPr>
          <w:i/>
          <w:sz w:val="16"/>
          <w:szCs w:val="16"/>
          <w:lang w:val="ru-RU"/>
        </w:rPr>
        <w:t>(</w:t>
      </w:r>
      <w:r w:rsidRPr="004265A0">
        <w:rPr>
          <w:i/>
          <w:sz w:val="16"/>
          <w:szCs w:val="16"/>
        </w:rPr>
        <w:t>i</w:t>
      </w:r>
      <w:r w:rsidRPr="0055116C">
        <w:rPr>
          <w:i/>
          <w:sz w:val="16"/>
          <w:szCs w:val="16"/>
          <w:lang w:val="ru-RU"/>
        </w:rPr>
        <w:t>)</w:t>
      </w:r>
      <w:r w:rsidRPr="0055116C">
        <w:rPr>
          <w:sz w:val="16"/>
          <w:szCs w:val="16"/>
          <w:lang w:val="ru-RU"/>
        </w:rPr>
        <w:t xml:space="preserve"> </w:t>
      </w:r>
      <w:hyperlink r:id="rId16">
        <w:r w:rsidRPr="0055116C">
          <w:rPr>
            <w:rStyle w:val="Hyperlink"/>
            <w:i/>
            <w:sz w:val="16"/>
            <w:szCs w:val="16"/>
            <w:lang w:val="ru-RU"/>
          </w:rPr>
          <w:t>Технологии возобновляемых источников энергии: эволюция и влияние на проводимую политику. Данные патентной литературы</w:t>
        </w:r>
      </w:hyperlink>
      <w:r w:rsidRPr="0055116C">
        <w:rPr>
          <w:sz w:val="16"/>
          <w:szCs w:val="16"/>
          <w:lang w:val="ru-RU"/>
        </w:rPr>
        <w:t xml:space="preserve"> (2014); (</w:t>
      </w:r>
      <w:r w:rsidRPr="004265A0">
        <w:rPr>
          <w:i/>
          <w:sz w:val="16"/>
          <w:szCs w:val="16"/>
        </w:rPr>
        <w:t>ii</w:t>
      </w:r>
      <w:r w:rsidRPr="0055116C">
        <w:rPr>
          <w:i/>
          <w:sz w:val="16"/>
          <w:szCs w:val="16"/>
          <w:lang w:val="ru-RU"/>
        </w:rPr>
        <w:t>)</w:t>
      </w:r>
      <w:r w:rsidRPr="0055116C">
        <w:rPr>
          <w:sz w:val="16"/>
          <w:szCs w:val="16"/>
          <w:lang w:val="ru-RU"/>
        </w:rPr>
        <w:t xml:space="preserve"> </w:t>
      </w:r>
      <w:hyperlink r:id="rId17">
        <w:r w:rsidRPr="0055116C">
          <w:rPr>
            <w:rStyle w:val="Hyperlink"/>
            <w:i/>
            <w:sz w:val="16"/>
            <w:szCs w:val="16"/>
            <w:lang w:val="ru-RU"/>
          </w:rPr>
          <w:t>Инновации и распространение «зеленых» технологий: роль интеллектуальной собственности и других стимулирующих факторов</w:t>
        </w:r>
      </w:hyperlink>
      <w:r w:rsidRPr="0055116C">
        <w:rPr>
          <w:sz w:val="16"/>
          <w:szCs w:val="16"/>
          <w:lang w:val="ru-RU"/>
        </w:rPr>
        <w:t xml:space="preserve"> (2015); (</w:t>
      </w:r>
      <w:r w:rsidRPr="004265A0">
        <w:rPr>
          <w:i/>
          <w:sz w:val="16"/>
          <w:szCs w:val="16"/>
        </w:rPr>
        <w:t>iii</w:t>
      </w:r>
      <w:r w:rsidRPr="0055116C">
        <w:rPr>
          <w:i/>
          <w:sz w:val="16"/>
          <w:szCs w:val="16"/>
          <w:lang w:val="ru-RU"/>
        </w:rPr>
        <w:t>)</w:t>
      </w:r>
      <w:r>
        <w:rPr>
          <w:sz w:val="16"/>
          <w:szCs w:val="16"/>
        </w:rPr>
        <w:t> </w:t>
      </w:r>
      <w:hyperlink r:id="rId18">
        <w:r w:rsidRPr="0055116C">
          <w:rPr>
            <w:rStyle w:val="Hyperlink"/>
            <w:i/>
            <w:sz w:val="16"/>
            <w:szCs w:val="16"/>
            <w:lang w:val="ru-RU"/>
          </w:rPr>
          <w:t xml:space="preserve">Стратегический обзор </w:t>
        </w:r>
        <w:r w:rsidRPr="004265A0">
          <w:rPr>
            <w:rStyle w:val="Hyperlink"/>
            <w:i/>
            <w:sz w:val="16"/>
            <w:szCs w:val="16"/>
          </w:rPr>
          <w:t>WIPO</w:t>
        </w:r>
        <w:r w:rsidRPr="0055116C">
          <w:rPr>
            <w:rStyle w:val="Hyperlink"/>
            <w:i/>
            <w:sz w:val="16"/>
            <w:szCs w:val="16"/>
            <w:lang w:val="ru-RU"/>
          </w:rPr>
          <w:t xml:space="preserve"> </w:t>
        </w:r>
        <w:r w:rsidRPr="004265A0">
          <w:rPr>
            <w:rStyle w:val="Hyperlink"/>
            <w:i/>
            <w:sz w:val="16"/>
            <w:szCs w:val="16"/>
          </w:rPr>
          <w:t>Re</w:t>
        </w:r>
        <w:r w:rsidRPr="0055116C">
          <w:rPr>
            <w:rStyle w:val="Hyperlink"/>
            <w:i/>
            <w:sz w:val="16"/>
            <w:szCs w:val="16"/>
            <w:lang w:val="ru-RU"/>
          </w:rPr>
          <w:t>:</w:t>
        </w:r>
        <w:r w:rsidRPr="004265A0">
          <w:rPr>
            <w:rStyle w:val="Hyperlink"/>
            <w:i/>
            <w:sz w:val="16"/>
            <w:szCs w:val="16"/>
          </w:rPr>
          <w:t>Search</w:t>
        </w:r>
      </w:hyperlink>
      <w:r w:rsidRPr="0055116C">
        <w:rPr>
          <w:sz w:val="16"/>
          <w:szCs w:val="16"/>
          <w:lang w:val="ru-RU"/>
        </w:rPr>
        <w:t xml:space="preserve"> (2015).</w:t>
      </w:r>
    </w:p>
    <w:p w:rsidR="00EE0D83" w:rsidRPr="0055116C" w:rsidRDefault="00EE0D83" w:rsidP="0055116C">
      <w:pPr>
        <w:pStyle w:val="FootnoteText"/>
        <w:rPr>
          <w:sz w:val="2"/>
          <w:szCs w:val="2"/>
          <w:lang w:val="ru-RU"/>
        </w:rPr>
      </w:pPr>
    </w:p>
  </w:footnote>
  <w:footnote w:id="103">
    <w:p w:rsidR="00EE0D83" w:rsidRPr="0055116C" w:rsidRDefault="00EE0D83" w:rsidP="0055116C">
      <w:pPr>
        <w:pStyle w:val="FootnoteText"/>
        <w:rPr>
          <w:lang w:val="ru-RU"/>
        </w:rPr>
      </w:pPr>
      <w:r>
        <w:rPr>
          <w:rStyle w:val="FootnoteReference"/>
        </w:rPr>
        <w:footnoteRef/>
      </w:r>
      <w:r w:rsidRPr="0055116C">
        <w:rPr>
          <w:lang w:val="ru-RU"/>
        </w:rPr>
        <w:t xml:space="preserve"> </w:t>
      </w:r>
      <w:r w:rsidRPr="0055116C">
        <w:rPr>
          <w:sz w:val="16"/>
          <w:lang w:val="ru-RU"/>
        </w:rPr>
        <w:t>Поправка: фактическое число партнеров на конец 2013</w:t>
      </w:r>
      <w:r>
        <w:rPr>
          <w:sz w:val="16"/>
        </w:rPr>
        <w:t> </w:t>
      </w:r>
      <w:r w:rsidRPr="0055116C">
        <w:rPr>
          <w:sz w:val="16"/>
          <w:lang w:val="ru-RU"/>
        </w:rPr>
        <w:t>г. составило 36, а фактическое число загруженных материалов составило 820, а не 37 и 800 соответственно, как было указано в ОРП за 2012–2013</w:t>
      </w:r>
      <w:r>
        <w:rPr>
          <w:sz w:val="16"/>
        </w:rPr>
        <w:t> </w:t>
      </w:r>
      <w:r w:rsidRPr="0055116C">
        <w:rPr>
          <w:sz w:val="16"/>
          <w:lang w:val="ru-RU"/>
        </w:rPr>
        <w:t xml:space="preserve">гг.  </w:t>
      </w:r>
    </w:p>
  </w:footnote>
  <w:footnote w:id="104">
    <w:p w:rsidR="00EE0D83" w:rsidRPr="0055116C" w:rsidRDefault="00EE0D83" w:rsidP="0055116C">
      <w:pPr>
        <w:pStyle w:val="FootnoteText"/>
        <w:rPr>
          <w:lang w:val="ru-RU"/>
        </w:rPr>
      </w:pPr>
      <w:r>
        <w:rPr>
          <w:rStyle w:val="FootnoteReference"/>
        </w:rPr>
        <w:footnoteRef/>
      </w:r>
      <w:r w:rsidRPr="0055116C">
        <w:rPr>
          <w:lang w:val="ru-RU"/>
        </w:rPr>
        <w:t xml:space="preserve"> </w:t>
      </w:r>
      <w:r w:rsidRPr="0055116C">
        <w:rPr>
          <w:sz w:val="16"/>
          <w:lang w:val="ru-RU"/>
        </w:rPr>
        <w:t>Поправка: общее число загруженных материалов в конце 2014</w:t>
      </w:r>
      <w:r>
        <w:rPr>
          <w:sz w:val="16"/>
        </w:rPr>
        <w:t> </w:t>
      </w:r>
      <w:r w:rsidRPr="0055116C">
        <w:rPr>
          <w:sz w:val="16"/>
          <w:lang w:val="ru-RU"/>
        </w:rPr>
        <w:t>г. составило 1</w:t>
      </w:r>
      <w:r>
        <w:rPr>
          <w:sz w:val="16"/>
        </w:rPr>
        <w:t> </w:t>
      </w:r>
      <w:r w:rsidRPr="0055116C">
        <w:rPr>
          <w:sz w:val="16"/>
          <w:lang w:val="ru-RU"/>
        </w:rPr>
        <w:t>773, а не 2</w:t>
      </w:r>
      <w:r>
        <w:rPr>
          <w:sz w:val="16"/>
        </w:rPr>
        <w:t> </w:t>
      </w:r>
      <w:r w:rsidRPr="0055116C">
        <w:rPr>
          <w:sz w:val="16"/>
          <w:lang w:val="ru-RU"/>
        </w:rPr>
        <w:t>050, как сообщалось в ОРП за 2014</w:t>
      </w:r>
      <w:r>
        <w:rPr>
          <w:sz w:val="16"/>
        </w:rPr>
        <w:t> </w:t>
      </w:r>
      <w:r w:rsidRPr="0055116C">
        <w:rPr>
          <w:sz w:val="16"/>
          <w:lang w:val="ru-RU"/>
        </w:rPr>
        <w:t>г.</w:t>
      </w:r>
    </w:p>
  </w:footnote>
  <w:footnote w:id="105">
    <w:p w:rsidR="00EE0D83" w:rsidRPr="0055116C" w:rsidRDefault="00EE0D83" w:rsidP="0055116C">
      <w:pPr>
        <w:pStyle w:val="FootnoteText"/>
        <w:rPr>
          <w:sz w:val="16"/>
          <w:szCs w:val="16"/>
          <w:lang w:val="ru-RU"/>
        </w:rPr>
      </w:pPr>
      <w:r>
        <w:rPr>
          <w:rStyle w:val="FootnoteReference"/>
        </w:rPr>
        <w:footnoteRef/>
      </w:r>
      <w:r w:rsidRPr="0055116C">
        <w:rPr>
          <w:lang w:val="ru-RU"/>
        </w:rPr>
        <w:t xml:space="preserve"> </w:t>
      </w:r>
      <w:r w:rsidRPr="0055116C">
        <w:rPr>
          <w:sz w:val="16"/>
          <w:szCs w:val="16"/>
          <w:lang w:val="ru-RU"/>
        </w:rPr>
        <w:t>Поскольку в 2013</w:t>
      </w:r>
      <w:r w:rsidRPr="006C4CF0">
        <w:rPr>
          <w:sz w:val="16"/>
          <w:szCs w:val="16"/>
        </w:rPr>
        <w:t> </w:t>
      </w:r>
      <w:r w:rsidRPr="0055116C">
        <w:rPr>
          <w:sz w:val="16"/>
          <w:szCs w:val="16"/>
          <w:lang w:val="ru-RU"/>
        </w:rPr>
        <w:t>г. опрос партнеров ВОИС не проводился, данные, приведенные в ОРП за 2012–2013</w:t>
      </w:r>
      <w:r w:rsidRPr="006C4CF0">
        <w:rPr>
          <w:sz w:val="16"/>
          <w:szCs w:val="16"/>
        </w:rPr>
        <w:t> </w:t>
      </w:r>
      <w:r w:rsidRPr="0055116C">
        <w:rPr>
          <w:sz w:val="16"/>
          <w:szCs w:val="16"/>
          <w:lang w:val="ru-RU"/>
        </w:rPr>
        <w:t>гг., экстраполировались по итогам обследования ориентированности на предоставление услуг клиентам ВОИС, при проведении которого используется иная методология и анкеты направляются другой группе партнеров.  Поэтому обновленные базовые показатели 2013</w:t>
      </w:r>
      <w:r w:rsidRPr="006C4CF0">
        <w:rPr>
          <w:sz w:val="16"/>
          <w:szCs w:val="16"/>
        </w:rPr>
        <w:t> </w:t>
      </w:r>
      <w:r w:rsidRPr="0055116C">
        <w:rPr>
          <w:sz w:val="16"/>
          <w:szCs w:val="16"/>
          <w:lang w:val="ru-RU"/>
        </w:rPr>
        <w:t>г. не сопоставимы с данными за 2014</w:t>
      </w:r>
      <w:r w:rsidRPr="006C4CF0">
        <w:rPr>
          <w:sz w:val="16"/>
          <w:szCs w:val="16"/>
        </w:rPr>
        <w:t> </w:t>
      </w:r>
      <w:r w:rsidRPr="0055116C">
        <w:rPr>
          <w:sz w:val="16"/>
          <w:szCs w:val="16"/>
          <w:lang w:val="ru-RU"/>
        </w:rPr>
        <w:t xml:space="preserve">г. </w:t>
      </w:r>
    </w:p>
  </w:footnote>
  <w:footnote w:id="106">
    <w:p w:rsidR="00EE0D83" w:rsidRPr="0055116C" w:rsidRDefault="00EE0D83" w:rsidP="0055116C">
      <w:pPr>
        <w:pStyle w:val="Footer"/>
        <w:rPr>
          <w:lang w:val="ru-RU"/>
        </w:rPr>
      </w:pPr>
      <w:r>
        <w:rPr>
          <w:rStyle w:val="FootnoteReference"/>
        </w:rPr>
        <w:footnoteRef/>
      </w:r>
      <w:r w:rsidRPr="0055116C">
        <w:rPr>
          <w:lang w:val="ru-RU"/>
        </w:rPr>
        <w:t xml:space="preserve"> </w:t>
      </w:r>
      <w:r w:rsidRPr="0055116C">
        <w:rPr>
          <w:sz w:val="16"/>
          <w:lang w:val="ru-RU"/>
        </w:rPr>
        <w:t>Показатели результативности 2014</w:t>
      </w:r>
      <w:r>
        <w:rPr>
          <w:sz w:val="16"/>
        </w:rPr>
        <w:t> </w:t>
      </w:r>
      <w:r w:rsidRPr="0055116C">
        <w:rPr>
          <w:sz w:val="16"/>
          <w:lang w:val="ru-RU"/>
        </w:rPr>
        <w:t>г. сопоставимы с первоначальным базовым показателем ПиБ 2014–2015</w:t>
      </w:r>
      <w:r>
        <w:rPr>
          <w:sz w:val="16"/>
        </w:rPr>
        <w:t> </w:t>
      </w:r>
      <w:r w:rsidRPr="0055116C">
        <w:rPr>
          <w:sz w:val="16"/>
          <w:lang w:val="ru-RU"/>
        </w:rPr>
        <w:t>гг., составлявшим 65%, который был получен по итогам опроса партнеров ВОИС, проводившегося в 2012</w:t>
      </w:r>
      <w:r>
        <w:rPr>
          <w:sz w:val="16"/>
        </w:rPr>
        <w:t> </w:t>
      </w:r>
      <w:r w:rsidRPr="0055116C">
        <w:rPr>
          <w:sz w:val="16"/>
          <w:lang w:val="ru-RU"/>
        </w:rPr>
        <w:t xml:space="preserve">г. </w:t>
      </w:r>
    </w:p>
  </w:footnote>
  <w:footnote w:id="107">
    <w:p w:rsidR="00EE0D83" w:rsidRPr="00C61544" w:rsidRDefault="00EE0D83" w:rsidP="0055116C">
      <w:pPr>
        <w:pStyle w:val="FootnoteText"/>
        <w:rPr>
          <w:lang w:val="ru-RU"/>
        </w:rPr>
      </w:pPr>
      <w:r>
        <w:rPr>
          <w:rStyle w:val="FootnoteReference"/>
        </w:rPr>
        <w:footnoteRef/>
      </w:r>
      <w:r w:rsidRPr="0055116C">
        <w:rPr>
          <w:lang w:val="ru-RU"/>
        </w:rPr>
        <w:t xml:space="preserve"> </w:t>
      </w:r>
      <w:r w:rsidRPr="0055116C">
        <w:rPr>
          <w:sz w:val="16"/>
          <w:lang w:val="ru-RU"/>
        </w:rPr>
        <w:t>Как сообщалось в ОРП за 2012–2013</w:t>
      </w:r>
      <w:r>
        <w:rPr>
          <w:sz w:val="16"/>
        </w:rPr>
        <w:t> </w:t>
      </w:r>
      <w:r w:rsidRPr="0055116C">
        <w:rPr>
          <w:sz w:val="16"/>
          <w:lang w:val="ru-RU"/>
        </w:rPr>
        <w:t>гг., было 226 видеоматериалов.  По состоянию на конец 2013</w:t>
      </w:r>
      <w:r>
        <w:rPr>
          <w:sz w:val="16"/>
        </w:rPr>
        <w:t> </w:t>
      </w:r>
      <w:r w:rsidRPr="0055116C">
        <w:rPr>
          <w:sz w:val="16"/>
          <w:lang w:val="ru-RU"/>
        </w:rPr>
        <w:t>г. таких материалов на самом деле насчитывалось</w:t>
      </w:r>
      <w:r>
        <w:rPr>
          <w:sz w:val="16"/>
        </w:rPr>
        <w:t> </w:t>
      </w:r>
      <w:r w:rsidRPr="0055116C">
        <w:rPr>
          <w:sz w:val="16"/>
          <w:lang w:val="ru-RU"/>
        </w:rPr>
        <w:t xml:space="preserve">228.  </w:t>
      </w:r>
      <w:r w:rsidRPr="00C61544">
        <w:rPr>
          <w:sz w:val="16"/>
          <w:lang w:val="ru-RU"/>
        </w:rPr>
        <w:t>Среднее число просмотров уточнено соответствующим образом.</w:t>
      </w:r>
    </w:p>
  </w:footnote>
  <w:footnote w:id="108">
    <w:p w:rsidR="00EE0D83" w:rsidRPr="00FA0032" w:rsidRDefault="00EE0D83" w:rsidP="00FA0032">
      <w:pPr>
        <w:pStyle w:val="FootnoteText"/>
        <w:rPr>
          <w:sz w:val="16"/>
          <w:szCs w:val="16"/>
          <w:lang w:val="ru-RU"/>
        </w:rPr>
      </w:pPr>
      <w:r>
        <w:rPr>
          <w:rStyle w:val="FootnoteReference"/>
        </w:rPr>
        <w:footnoteRef/>
      </w:r>
      <w:r w:rsidRPr="00FA0032">
        <w:rPr>
          <w:sz w:val="16"/>
          <w:lang w:val="ru-RU"/>
        </w:rPr>
        <w:t xml:space="preserve"> Если не указано иное, изменение доли определяется сравнением с предыдущим годом, т.е. речь идет об изменении доли в 2014</w:t>
      </w:r>
      <w:r>
        <w:rPr>
          <w:sz w:val="16"/>
        </w:rPr>
        <w:t> </w:t>
      </w:r>
      <w:r w:rsidRPr="00FA0032">
        <w:rPr>
          <w:sz w:val="16"/>
          <w:lang w:val="ru-RU"/>
        </w:rPr>
        <w:t>г. по сравнению с 2013</w:t>
      </w:r>
      <w:r>
        <w:rPr>
          <w:sz w:val="16"/>
        </w:rPr>
        <w:t> </w:t>
      </w:r>
      <w:r w:rsidRPr="00FA0032">
        <w:rPr>
          <w:sz w:val="16"/>
          <w:lang w:val="ru-RU"/>
        </w:rPr>
        <w:t>г. и изменении доли в 2015</w:t>
      </w:r>
      <w:r>
        <w:rPr>
          <w:sz w:val="16"/>
        </w:rPr>
        <w:t> </w:t>
      </w:r>
      <w:r w:rsidRPr="00FA0032">
        <w:rPr>
          <w:sz w:val="16"/>
          <w:lang w:val="ru-RU"/>
        </w:rPr>
        <w:t>г. по сравнению с 2014</w:t>
      </w:r>
      <w:r>
        <w:rPr>
          <w:sz w:val="16"/>
        </w:rPr>
        <w:t> </w:t>
      </w:r>
      <w:r w:rsidRPr="00FA0032">
        <w:rPr>
          <w:sz w:val="16"/>
          <w:lang w:val="ru-RU"/>
        </w:rPr>
        <w:t>г.</w:t>
      </w:r>
    </w:p>
  </w:footnote>
  <w:footnote w:id="109">
    <w:p w:rsidR="00EE0D83" w:rsidRPr="00FA0032" w:rsidRDefault="00EE0D83" w:rsidP="00FA0032">
      <w:pPr>
        <w:pStyle w:val="FootnoteText"/>
        <w:rPr>
          <w:sz w:val="16"/>
          <w:szCs w:val="16"/>
          <w:lang w:val="ru-RU"/>
        </w:rPr>
      </w:pPr>
      <w:r>
        <w:rPr>
          <w:rStyle w:val="FootnoteReference"/>
        </w:rPr>
        <w:footnoteRef/>
      </w:r>
      <w:r w:rsidRPr="00FA0032">
        <w:rPr>
          <w:sz w:val="16"/>
          <w:lang w:val="ru-RU"/>
        </w:rPr>
        <w:t xml:space="preserve"> Изменение доли в 2014–2015</w:t>
      </w:r>
      <w:r>
        <w:rPr>
          <w:sz w:val="16"/>
        </w:rPr>
        <w:t> </w:t>
      </w:r>
      <w:r w:rsidRPr="00FA0032">
        <w:rPr>
          <w:sz w:val="16"/>
          <w:lang w:val="ru-RU"/>
        </w:rPr>
        <w:t>гг. определяется сравнением с 2012–2013</w:t>
      </w:r>
      <w:r>
        <w:rPr>
          <w:sz w:val="16"/>
        </w:rPr>
        <w:t> </w:t>
      </w:r>
      <w:r w:rsidRPr="00FA0032">
        <w:rPr>
          <w:sz w:val="16"/>
          <w:lang w:val="ru-RU"/>
        </w:rPr>
        <w:t>гг.</w:t>
      </w:r>
    </w:p>
  </w:footnote>
  <w:footnote w:id="110">
    <w:p w:rsidR="00EE0D83" w:rsidRPr="00FA0032" w:rsidRDefault="00EE0D83" w:rsidP="00FA0032">
      <w:pPr>
        <w:pStyle w:val="FootnoteText"/>
        <w:rPr>
          <w:sz w:val="16"/>
          <w:szCs w:val="16"/>
          <w:lang w:val="ru-RU"/>
        </w:rPr>
      </w:pPr>
      <w:r>
        <w:rPr>
          <w:rStyle w:val="FootnoteReference"/>
        </w:rPr>
        <w:footnoteRef/>
      </w:r>
      <w:r w:rsidRPr="00FA0032">
        <w:rPr>
          <w:sz w:val="16"/>
          <w:lang w:val="ru-RU"/>
        </w:rPr>
        <w:t xml:space="preserve"> Поскольку данные по этому показателю результативности, приведенные в ОРП 2014</w:t>
      </w:r>
      <w:r>
        <w:rPr>
          <w:sz w:val="16"/>
        </w:rPr>
        <w:t> </w:t>
      </w:r>
      <w:r w:rsidRPr="00FA0032">
        <w:rPr>
          <w:sz w:val="16"/>
          <w:lang w:val="ru-RU"/>
        </w:rPr>
        <w:t>г., были основаны на оценочных цифрах на момент публикации, показатели были актуализированы по мере возможности с учетом наиболее точных данных.</w:t>
      </w:r>
    </w:p>
  </w:footnote>
  <w:footnote w:id="111">
    <w:p w:rsidR="00EE0D83" w:rsidRPr="00FA0032" w:rsidRDefault="00EE0D83" w:rsidP="00FA0032">
      <w:pPr>
        <w:pStyle w:val="FootnoteText"/>
        <w:rPr>
          <w:sz w:val="16"/>
          <w:szCs w:val="16"/>
          <w:lang w:val="ru-RU"/>
        </w:rPr>
      </w:pPr>
      <w:r>
        <w:rPr>
          <w:rStyle w:val="FootnoteReference"/>
        </w:rPr>
        <w:footnoteRef/>
      </w:r>
      <w:r w:rsidRPr="00FA0032">
        <w:rPr>
          <w:lang w:val="ru-RU"/>
        </w:rPr>
        <w:t xml:space="preserve"> </w:t>
      </w:r>
      <w:r w:rsidRPr="00FA0032">
        <w:rPr>
          <w:sz w:val="16"/>
          <w:lang w:val="ru-RU"/>
        </w:rPr>
        <w:t>Целевой показатель на 2014</w:t>
      </w:r>
      <w:r>
        <w:rPr>
          <w:sz w:val="16"/>
        </w:rPr>
        <w:t> </w:t>
      </w:r>
      <w:r w:rsidRPr="00FA0032">
        <w:rPr>
          <w:sz w:val="16"/>
          <w:lang w:val="ru-RU"/>
        </w:rPr>
        <w:t>г. составлял 354 новых регистрации.</w:t>
      </w:r>
    </w:p>
  </w:footnote>
  <w:footnote w:id="112">
    <w:p w:rsidR="00EE0D83" w:rsidRPr="00FA0032" w:rsidRDefault="00EE0D83" w:rsidP="00FA0032">
      <w:pPr>
        <w:pStyle w:val="FootnoteText"/>
        <w:rPr>
          <w:lang w:val="ru-RU"/>
        </w:rPr>
      </w:pPr>
      <w:r>
        <w:rPr>
          <w:rStyle w:val="FootnoteReference"/>
        </w:rPr>
        <w:footnoteRef/>
      </w:r>
      <w:r w:rsidRPr="00FA0032">
        <w:rPr>
          <w:lang w:val="ru-RU"/>
        </w:rPr>
        <w:t xml:space="preserve"> </w:t>
      </w:r>
      <w:r w:rsidRPr="00FA0032">
        <w:rPr>
          <w:sz w:val="16"/>
          <w:lang w:val="ru-RU"/>
        </w:rPr>
        <w:t>Изменение доли за 2015</w:t>
      </w:r>
      <w:r>
        <w:rPr>
          <w:sz w:val="16"/>
        </w:rPr>
        <w:t> </w:t>
      </w:r>
      <w:r w:rsidRPr="00FA0032">
        <w:rPr>
          <w:sz w:val="16"/>
          <w:lang w:val="ru-RU"/>
        </w:rPr>
        <w:t>г. рассчитано на основе целевых показателей 2014</w:t>
      </w:r>
      <w:r>
        <w:rPr>
          <w:sz w:val="16"/>
        </w:rPr>
        <w:t> </w:t>
      </w:r>
      <w:r w:rsidRPr="00FA0032">
        <w:rPr>
          <w:sz w:val="16"/>
          <w:lang w:val="ru-RU"/>
        </w:rPr>
        <w:t>г., т.е. предполагается, что целевые показатели 2014</w:t>
      </w:r>
      <w:r>
        <w:rPr>
          <w:sz w:val="16"/>
        </w:rPr>
        <w:t> </w:t>
      </w:r>
      <w:r w:rsidRPr="00FA0032">
        <w:rPr>
          <w:sz w:val="16"/>
          <w:lang w:val="ru-RU"/>
        </w:rPr>
        <w:t xml:space="preserve">г. были достигнуты.  </w:t>
      </w:r>
    </w:p>
  </w:footnote>
  <w:footnote w:id="113">
    <w:p w:rsidR="00EE0D83" w:rsidRPr="00FA0032" w:rsidRDefault="00EE0D83" w:rsidP="00FA0032">
      <w:pPr>
        <w:pStyle w:val="FootnoteText"/>
        <w:rPr>
          <w:lang w:val="ru-RU"/>
        </w:rPr>
      </w:pPr>
      <w:r>
        <w:rPr>
          <w:rStyle w:val="FootnoteReference"/>
        </w:rPr>
        <w:footnoteRef/>
      </w:r>
      <w:r w:rsidRPr="00FA0032">
        <w:rPr>
          <w:sz w:val="16"/>
          <w:lang w:val="ru-RU"/>
        </w:rPr>
        <w:t xml:space="preserve"> Поправка: в 2014</w:t>
      </w:r>
      <w:r>
        <w:rPr>
          <w:sz w:val="16"/>
        </w:rPr>
        <w:t> </w:t>
      </w:r>
      <w:r w:rsidRPr="00FA0032">
        <w:rPr>
          <w:sz w:val="16"/>
          <w:lang w:val="ru-RU"/>
        </w:rPr>
        <w:t xml:space="preserve">г. число продлений, сделанных в рамках Мадридской системы, для </w:t>
      </w:r>
      <w:r>
        <w:rPr>
          <w:sz w:val="16"/>
        </w:rPr>
        <w:t>WSO</w:t>
      </w:r>
      <w:r w:rsidRPr="00FA0032">
        <w:rPr>
          <w:sz w:val="16"/>
          <w:lang w:val="ru-RU"/>
        </w:rPr>
        <w:t xml:space="preserve"> было 54, а не 56, как сообщалось в ОРП 2014</w:t>
      </w:r>
      <w:r>
        <w:rPr>
          <w:sz w:val="16"/>
        </w:rPr>
        <w:t> </w:t>
      </w:r>
      <w:r w:rsidRPr="00FA0032">
        <w:rPr>
          <w:sz w:val="16"/>
          <w:lang w:val="ru-RU"/>
        </w:rPr>
        <w:t xml:space="preserve">г.  </w:t>
      </w:r>
    </w:p>
  </w:footnote>
  <w:footnote w:id="114">
    <w:p w:rsidR="00EE0D83" w:rsidRPr="00FA0032" w:rsidRDefault="00EE0D83" w:rsidP="00FA0032">
      <w:pPr>
        <w:pStyle w:val="FootnoteText"/>
        <w:rPr>
          <w:lang w:val="ru-RU"/>
        </w:rPr>
      </w:pPr>
      <w:r>
        <w:rPr>
          <w:rStyle w:val="FootnoteReference"/>
        </w:rPr>
        <w:footnoteRef/>
      </w:r>
      <w:r w:rsidRPr="00FA0032">
        <w:rPr>
          <w:lang w:val="ru-RU"/>
        </w:rPr>
        <w:t xml:space="preserve"> </w:t>
      </w:r>
      <w:r w:rsidRPr="00FA0032">
        <w:rPr>
          <w:sz w:val="16"/>
          <w:lang w:val="ru-RU"/>
        </w:rPr>
        <w:t>Изменение доли в 2014–2015</w:t>
      </w:r>
      <w:r>
        <w:rPr>
          <w:sz w:val="16"/>
        </w:rPr>
        <w:t> </w:t>
      </w:r>
      <w:r w:rsidRPr="00FA0032">
        <w:rPr>
          <w:sz w:val="16"/>
          <w:lang w:val="ru-RU"/>
        </w:rPr>
        <w:t>гг. определяется сравнением с 2012–2013</w:t>
      </w:r>
      <w:r>
        <w:rPr>
          <w:sz w:val="16"/>
        </w:rPr>
        <w:t> </w:t>
      </w:r>
      <w:r w:rsidRPr="00FA0032">
        <w:rPr>
          <w:sz w:val="16"/>
          <w:lang w:val="ru-RU"/>
        </w:rPr>
        <w:t xml:space="preserve">гг. </w:t>
      </w:r>
    </w:p>
  </w:footnote>
  <w:footnote w:id="115">
    <w:p w:rsidR="00EE0D83" w:rsidRPr="00FA0032" w:rsidRDefault="00EE0D83" w:rsidP="00FA0032">
      <w:pPr>
        <w:pStyle w:val="FootnoteText"/>
        <w:rPr>
          <w:sz w:val="16"/>
          <w:szCs w:val="16"/>
          <w:lang w:val="ru-RU"/>
        </w:rPr>
      </w:pPr>
      <w:r>
        <w:rPr>
          <w:rStyle w:val="FootnoteReference"/>
        </w:rPr>
        <w:footnoteRef/>
      </w:r>
      <w:r w:rsidRPr="00FA0032">
        <w:rPr>
          <w:sz w:val="16"/>
          <w:lang w:val="ru-RU"/>
        </w:rPr>
        <w:t xml:space="preserve"> Обновленные базовые показатели на конец 2013</w:t>
      </w:r>
      <w:r>
        <w:rPr>
          <w:sz w:val="16"/>
        </w:rPr>
        <w:t> </w:t>
      </w:r>
      <w:r w:rsidRPr="00FA0032">
        <w:rPr>
          <w:sz w:val="16"/>
          <w:lang w:val="ru-RU"/>
        </w:rPr>
        <w:t>г. были обновлены с учетом данных 2012</w:t>
      </w:r>
      <w:r>
        <w:rPr>
          <w:sz w:val="16"/>
        </w:rPr>
        <w:t> </w:t>
      </w:r>
      <w:r w:rsidRPr="00FA0032">
        <w:rPr>
          <w:sz w:val="16"/>
          <w:lang w:val="ru-RU"/>
        </w:rPr>
        <w:t>г. в целях сравнения данных за двухлетний период.</w:t>
      </w:r>
    </w:p>
  </w:footnote>
  <w:footnote w:id="116">
    <w:p w:rsidR="00EE0D83" w:rsidRPr="00FA0032" w:rsidRDefault="00EE0D83" w:rsidP="00FA0032">
      <w:pPr>
        <w:pStyle w:val="FootnoteText"/>
        <w:rPr>
          <w:sz w:val="16"/>
          <w:szCs w:val="16"/>
          <w:lang w:val="ru-RU"/>
        </w:rPr>
      </w:pPr>
      <w:r>
        <w:rPr>
          <w:rStyle w:val="FootnoteReference"/>
        </w:rPr>
        <w:footnoteRef/>
      </w:r>
      <w:r w:rsidRPr="00FA0032">
        <w:rPr>
          <w:sz w:val="16"/>
          <w:lang w:val="ru-RU"/>
        </w:rPr>
        <w:t xml:space="preserve"> Целевой показатель за 2014</w:t>
      </w:r>
      <w:r>
        <w:rPr>
          <w:sz w:val="16"/>
        </w:rPr>
        <w:t> </w:t>
      </w:r>
      <w:r w:rsidRPr="00FA0032">
        <w:rPr>
          <w:sz w:val="16"/>
          <w:lang w:val="ru-RU"/>
        </w:rPr>
        <w:t xml:space="preserve">г. для </w:t>
      </w:r>
      <w:r>
        <w:rPr>
          <w:sz w:val="16"/>
        </w:rPr>
        <w:t>WJO</w:t>
      </w:r>
      <w:r w:rsidRPr="00FA0032">
        <w:rPr>
          <w:sz w:val="16"/>
          <w:lang w:val="ru-RU"/>
        </w:rPr>
        <w:t xml:space="preserve"> составил 15</w:t>
      </w:r>
      <w:r>
        <w:rPr>
          <w:sz w:val="16"/>
        </w:rPr>
        <w:t> </w:t>
      </w:r>
      <w:r w:rsidRPr="00FA0032">
        <w:rPr>
          <w:sz w:val="16"/>
          <w:lang w:val="ru-RU"/>
        </w:rPr>
        <w:t>651.</w:t>
      </w:r>
    </w:p>
  </w:footnote>
  <w:footnote w:id="117">
    <w:p w:rsidR="00EE0D83" w:rsidRPr="00FA0032" w:rsidRDefault="00EE0D83" w:rsidP="00FA0032">
      <w:pPr>
        <w:pStyle w:val="FootnoteText"/>
        <w:rPr>
          <w:lang w:val="ru-RU"/>
        </w:rPr>
      </w:pPr>
      <w:r>
        <w:rPr>
          <w:rStyle w:val="FootnoteReference"/>
        </w:rPr>
        <w:footnoteRef/>
      </w:r>
      <w:r w:rsidRPr="00FA0032">
        <w:rPr>
          <w:sz w:val="16"/>
          <w:lang w:val="ru-RU"/>
        </w:rPr>
        <w:t xml:space="preserve"> Изменение доли за 2015</w:t>
      </w:r>
      <w:r>
        <w:rPr>
          <w:sz w:val="16"/>
        </w:rPr>
        <w:t> </w:t>
      </w:r>
      <w:r w:rsidRPr="00FA0032">
        <w:rPr>
          <w:sz w:val="16"/>
          <w:lang w:val="ru-RU"/>
        </w:rPr>
        <w:t>г. рассчитано на основе целевых показателей 2014</w:t>
      </w:r>
      <w:r>
        <w:rPr>
          <w:sz w:val="16"/>
        </w:rPr>
        <w:t> </w:t>
      </w:r>
      <w:r w:rsidRPr="00FA0032">
        <w:rPr>
          <w:sz w:val="16"/>
          <w:lang w:val="ru-RU"/>
        </w:rPr>
        <w:t>г., т.е. предполагается, что целевые показатели 2014</w:t>
      </w:r>
      <w:r>
        <w:rPr>
          <w:sz w:val="16"/>
        </w:rPr>
        <w:t> </w:t>
      </w:r>
      <w:r w:rsidRPr="00FA0032">
        <w:rPr>
          <w:sz w:val="16"/>
          <w:lang w:val="ru-RU"/>
        </w:rPr>
        <w:t xml:space="preserve">г. были достигнуты.  </w:t>
      </w:r>
    </w:p>
  </w:footnote>
  <w:footnote w:id="118">
    <w:p w:rsidR="00EE0D83" w:rsidRPr="00FA0032" w:rsidRDefault="00EE0D83" w:rsidP="00FA0032">
      <w:pPr>
        <w:pStyle w:val="FootnoteText"/>
        <w:rPr>
          <w:sz w:val="16"/>
          <w:szCs w:val="16"/>
          <w:lang w:val="ru-RU"/>
        </w:rPr>
      </w:pPr>
      <w:r>
        <w:rPr>
          <w:rStyle w:val="FootnoteReference"/>
        </w:rPr>
        <w:footnoteRef/>
      </w:r>
      <w:r w:rsidRPr="00FA0032">
        <w:rPr>
          <w:sz w:val="16"/>
          <w:lang w:val="ru-RU"/>
        </w:rPr>
        <w:t xml:space="preserve"> Целевой показатель 2014</w:t>
      </w:r>
      <w:r>
        <w:rPr>
          <w:sz w:val="16"/>
        </w:rPr>
        <w:t> </w:t>
      </w:r>
      <w:r w:rsidRPr="00FA0032">
        <w:rPr>
          <w:sz w:val="16"/>
          <w:lang w:val="ru-RU"/>
        </w:rPr>
        <w:t xml:space="preserve">г. для </w:t>
      </w:r>
      <w:r>
        <w:rPr>
          <w:sz w:val="16"/>
        </w:rPr>
        <w:t>WJO</w:t>
      </w:r>
      <w:r w:rsidRPr="00FA0032">
        <w:rPr>
          <w:sz w:val="16"/>
          <w:lang w:val="ru-RU"/>
        </w:rPr>
        <w:t xml:space="preserve"> составил 6</w:t>
      </w:r>
      <w:r>
        <w:rPr>
          <w:sz w:val="16"/>
        </w:rPr>
        <w:t> </w:t>
      </w:r>
      <w:r w:rsidRPr="00FA0032">
        <w:rPr>
          <w:sz w:val="16"/>
          <w:lang w:val="ru-RU"/>
        </w:rPr>
        <w:t>195 просмотров сайта.</w:t>
      </w:r>
    </w:p>
  </w:footnote>
  <w:footnote w:id="119">
    <w:p w:rsidR="00EE0D83" w:rsidRPr="00FA0032" w:rsidRDefault="00EE0D83" w:rsidP="00FA0032">
      <w:pPr>
        <w:pStyle w:val="FootnoteText"/>
        <w:rPr>
          <w:sz w:val="16"/>
          <w:szCs w:val="16"/>
          <w:lang w:val="ru-RU"/>
        </w:rPr>
      </w:pPr>
      <w:r>
        <w:rPr>
          <w:rStyle w:val="FootnoteReference"/>
        </w:rPr>
        <w:footnoteRef/>
      </w:r>
      <w:r w:rsidRPr="00FA0032">
        <w:rPr>
          <w:sz w:val="16"/>
          <w:lang w:val="ru-RU"/>
        </w:rPr>
        <w:t xml:space="preserve"> Страница бразильского бюро ВОИС была создана только в феврале 2015</w:t>
      </w:r>
      <w:r>
        <w:rPr>
          <w:sz w:val="16"/>
        </w:rPr>
        <w:t> </w:t>
      </w:r>
      <w:r w:rsidRPr="00FA0032">
        <w:rPr>
          <w:sz w:val="16"/>
          <w:lang w:val="ru-RU"/>
        </w:rPr>
        <w:t>г.</w:t>
      </w:r>
    </w:p>
  </w:footnote>
  <w:footnote w:id="120">
    <w:p w:rsidR="00EE0D83" w:rsidRPr="00FA0032" w:rsidRDefault="00EE0D83" w:rsidP="00FA0032">
      <w:pPr>
        <w:pStyle w:val="FootnoteText"/>
        <w:rPr>
          <w:sz w:val="16"/>
          <w:szCs w:val="16"/>
          <w:lang w:val="ru-RU"/>
        </w:rPr>
      </w:pPr>
      <w:r>
        <w:rPr>
          <w:rStyle w:val="FootnoteReference"/>
        </w:rPr>
        <w:footnoteRef/>
      </w:r>
      <w:r w:rsidRPr="00FA0032">
        <w:rPr>
          <w:lang w:val="ru-RU"/>
        </w:rPr>
        <w:t xml:space="preserve"> </w:t>
      </w:r>
      <w:r w:rsidRPr="00FA0032">
        <w:rPr>
          <w:sz w:val="16"/>
          <w:lang w:val="ru-RU"/>
        </w:rPr>
        <w:t>Изменение доли в 2015</w:t>
      </w:r>
      <w:r>
        <w:rPr>
          <w:sz w:val="16"/>
        </w:rPr>
        <w:t> </w:t>
      </w:r>
      <w:r w:rsidRPr="00FA0032">
        <w:rPr>
          <w:sz w:val="16"/>
          <w:lang w:val="ru-RU"/>
        </w:rPr>
        <w:t>г. рассчитано по отношению к целевым показателям 2014</w:t>
      </w:r>
      <w:r>
        <w:rPr>
          <w:sz w:val="16"/>
        </w:rPr>
        <w:t> </w:t>
      </w:r>
      <w:r w:rsidRPr="00FA0032">
        <w:rPr>
          <w:sz w:val="16"/>
          <w:lang w:val="ru-RU"/>
        </w:rPr>
        <w:t>г. (6</w:t>
      </w:r>
      <w:r>
        <w:rPr>
          <w:sz w:val="16"/>
        </w:rPr>
        <w:t> </w:t>
      </w:r>
      <w:r w:rsidRPr="00FA0032">
        <w:rPr>
          <w:sz w:val="16"/>
          <w:lang w:val="ru-RU"/>
        </w:rPr>
        <w:t>195</w:t>
      </w:r>
      <w:r>
        <w:rPr>
          <w:sz w:val="16"/>
        </w:rPr>
        <w:t> </w:t>
      </w:r>
      <w:r w:rsidRPr="00FA0032">
        <w:rPr>
          <w:sz w:val="16"/>
          <w:lang w:val="ru-RU"/>
        </w:rPr>
        <w:t>просмотров веб-страниц).  Фактически доля по сравнению с предыдущим годом была на восемь процентов ниже.</w:t>
      </w:r>
    </w:p>
  </w:footnote>
  <w:footnote w:id="121">
    <w:p w:rsidR="00EE0D83" w:rsidRPr="00684449" w:rsidRDefault="00EE0D83" w:rsidP="00684449">
      <w:pPr>
        <w:rPr>
          <w:sz w:val="16"/>
          <w:szCs w:val="16"/>
          <w:lang w:val="ru-RU"/>
        </w:rPr>
      </w:pPr>
      <w:r>
        <w:rPr>
          <w:rStyle w:val="FootnoteReference"/>
          <w:sz w:val="16"/>
        </w:rPr>
        <w:footnoteRef/>
      </w:r>
      <w:r w:rsidRPr="00684449">
        <w:rPr>
          <w:sz w:val="16"/>
          <w:lang w:val="ru-RU"/>
        </w:rPr>
        <w:t xml:space="preserve"> Исходные базовые показатели в Программе и бюджете 2014–2015</w:t>
      </w:r>
      <w:r>
        <w:rPr>
          <w:sz w:val="16"/>
        </w:rPr>
        <w:t> </w:t>
      </w:r>
      <w:r w:rsidRPr="00684449">
        <w:rPr>
          <w:sz w:val="16"/>
          <w:lang w:val="ru-RU"/>
        </w:rPr>
        <w:t>гг. рассчитывались с использованием оценочных данных по состоянию на середину 2013</w:t>
      </w:r>
      <w:r>
        <w:rPr>
          <w:sz w:val="16"/>
        </w:rPr>
        <w:t> </w:t>
      </w:r>
      <w:r w:rsidRPr="00684449">
        <w:rPr>
          <w:sz w:val="16"/>
          <w:lang w:val="ru-RU"/>
        </w:rPr>
        <w:t>г.  К настоящему времени эти данные были уточнены.</w:t>
      </w:r>
    </w:p>
  </w:footnote>
  <w:footnote w:id="122">
    <w:p w:rsidR="00EE0D83" w:rsidRPr="00684449" w:rsidRDefault="00EE0D83" w:rsidP="00684449">
      <w:pPr>
        <w:pStyle w:val="FootnoteText"/>
        <w:rPr>
          <w:sz w:val="16"/>
          <w:szCs w:val="16"/>
          <w:lang w:val="ru-RU"/>
        </w:rPr>
      </w:pPr>
      <w:r>
        <w:rPr>
          <w:rStyle w:val="FootnoteReference"/>
          <w:sz w:val="16"/>
        </w:rPr>
        <w:footnoteRef/>
      </w:r>
      <w:r w:rsidRPr="00684449">
        <w:rPr>
          <w:sz w:val="16"/>
          <w:lang w:val="ru-RU"/>
        </w:rPr>
        <w:t xml:space="preserve"> Ссылка на Обследование Ассамблей ВОИС 2014</w:t>
      </w:r>
      <w:r>
        <w:rPr>
          <w:sz w:val="16"/>
        </w:rPr>
        <w:t> </w:t>
      </w:r>
      <w:r w:rsidRPr="00684449">
        <w:rPr>
          <w:sz w:val="16"/>
          <w:lang w:val="ru-RU"/>
        </w:rPr>
        <w:t xml:space="preserve">г.: </w:t>
      </w:r>
      <w:r>
        <w:rPr>
          <w:sz w:val="16"/>
        </w:rPr>
        <w:t>http</w:t>
      </w:r>
      <w:r w:rsidRPr="00684449">
        <w:rPr>
          <w:sz w:val="16"/>
          <w:lang w:val="ru-RU"/>
        </w:rPr>
        <w:t>://</w:t>
      </w:r>
      <w:r>
        <w:rPr>
          <w:sz w:val="16"/>
        </w:rPr>
        <w:t>www</w:t>
      </w:r>
      <w:r w:rsidRPr="00684449">
        <w:rPr>
          <w:sz w:val="16"/>
          <w:lang w:val="ru-RU"/>
        </w:rPr>
        <w:t>.</w:t>
      </w:r>
      <w:r>
        <w:rPr>
          <w:sz w:val="16"/>
        </w:rPr>
        <w:t>wipo</w:t>
      </w:r>
      <w:r w:rsidRPr="00684449">
        <w:rPr>
          <w:sz w:val="16"/>
          <w:lang w:val="ru-RU"/>
        </w:rPr>
        <w:t>.</w:t>
      </w:r>
      <w:r>
        <w:rPr>
          <w:sz w:val="16"/>
        </w:rPr>
        <w:t>int</w:t>
      </w:r>
      <w:r w:rsidRPr="00684449">
        <w:rPr>
          <w:sz w:val="16"/>
          <w:lang w:val="ru-RU"/>
        </w:rPr>
        <w:t>/</w:t>
      </w:r>
      <w:r>
        <w:rPr>
          <w:sz w:val="16"/>
        </w:rPr>
        <w:t>export</w:t>
      </w:r>
      <w:r w:rsidRPr="00684449">
        <w:rPr>
          <w:sz w:val="16"/>
          <w:lang w:val="ru-RU"/>
        </w:rPr>
        <w:t>/</w:t>
      </w:r>
      <w:r>
        <w:rPr>
          <w:sz w:val="16"/>
        </w:rPr>
        <w:t>sites</w:t>
      </w:r>
      <w:r w:rsidRPr="00684449">
        <w:rPr>
          <w:sz w:val="16"/>
          <w:lang w:val="ru-RU"/>
        </w:rPr>
        <w:t>/</w:t>
      </w:r>
      <w:r>
        <w:rPr>
          <w:sz w:val="16"/>
        </w:rPr>
        <w:t>www</w:t>
      </w:r>
      <w:r w:rsidRPr="00684449">
        <w:rPr>
          <w:sz w:val="16"/>
          <w:lang w:val="ru-RU"/>
        </w:rPr>
        <w:t>/</w:t>
      </w:r>
      <w:r>
        <w:rPr>
          <w:sz w:val="16"/>
        </w:rPr>
        <w:t>about</w:t>
      </w:r>
      <w:r w:rsidRPr="00684449">
        <w:rPr>
          <w:sz w:val="16"/>
          <w:lang w:val="ru-RU"/>
        </w:rPr>
        <w:t>-</w:t>
      </w:r>
      <w:r>
        <w:rPr>
          <w:sz w:val="16"/>
        </w:rPr>
        <w:t>wipo</w:t>
      </w:r>
      <w:r w:rsidRPr="00684449">
        <w:rPr>
          <w:sz w:val="16"/>
          <w:lang w:val="ru-RU"/>
        </w:rPr>
        <w:t>/</w:t>
      </w:r>
      <w:r>
        <w:rPr>
          <w:sz w:val="16"/>
        </w:rPr>
        <w:t>en</w:t>
      </w:r>
      <w:r w:rsidRPr="00684449">
        <w:rPr>
          <w:sz w:val="16"/>
          <w:lang w:val="ru-RU"/>
        </w:rPr>
        <w:t>/</w:t>
      </w:r>
      <w:r>
        <w:rPr>
          <w:sz w:val="16"/>
        </w:rPr>
        <w:t>assemblies</w:t>
      </w:r>
      <w:r w:rsidRPr="00684449">
        <w:rPr>
          <w:sz w:val="16"/>
          <w:lang w:val="ru-RU"/>
        </w:rPr>
        <w:t>/</w:t>
      </w:r>
      <w:r>
        <w:rPr>
          <w:sz w:val="16"/>
        </w:rPr>
        <w:t>pdf</w:t>
      </w:r>
      <w:r w:rsidRPr="00684449">
        <w:rPr>
          <w:sz w:val="16"/>
          <w:lang w:val="ru-RU"/>
        </w:rPr>
        <w:t>/</w:t>
      </w:r>
      <w:r>
        <w:rPr>
          <w:sz w:val="16"/>
        </w:rPr>
        <w:t>survey</w:t>
      </w:r>
      <w:r w:rsidRPr="00684449">
        <w:rPr>
          <w:sz w:val="16"/>
          <w:lang w:val="ru-RU"/>
        </w:rPr>
        <w:t>_2014.</w:t>
      </w:r>
      <w:r>
        <w:rPr>
          <w:sz w:val="16"/>
        </w:rPr>
        <w:t>pdf</w:t>
      </w:r>
    </w:p>
  </w:footnote>
  <w:footnote w:id="123">
    <w:p w:rsidR="00EE0D83" w:rsidRPr="0048435A" w:rsidRDefault="00EE0D83" w:rsidP="0048435A">
      <w:pPr>
        <w:pStyle w:val="FootnoteText"/>
        <w:rPr>
          <w:sz w:val="16"/>
          <w:lang w:val="ru-RU"/>
        </w:rPr>
      </w:pPr>
      <w:r>
        <w:rPr>
          <w:rStyle w:val="FootnoteReference"/>
        </w:rPr>
        <w:footnoteRef/>
      </w:r>
      <w:r w:rsidRPr="0048435A">
        <w:rPr>
          <w:lang w:val="ru-RU"/>
        </w:rPr>
        <w:t xml:space="preserve"> </w:t>
      </w:r>
      <w:r w:rsidRPr="0048435A">
        <w:rPr>
          <w:sz w:val="16"/>
          <w:lang w:val="ru-RU"/>
        </w:rPr>
        <w:t xml:space="preserve">См. также документ </w:t>
      </w:r>
      <w:r>
        <w:rPr>
          <w:sz w:val="16"/>
        </w:rPr>
        <w:t>WO</w:t>
      </w:r>
      <w:r w:rsidRPr="0048435A">
        <w:rPr>
          <w:sz w:val="16"/>
          <w:lang w:val="ru-RU"/>
        </w:rPr>
        <w:t>/</w:t>
      </w:r>
      <w:r>
        <w:rPr>
          <w:sz w:val="16"/>
        </w:rPr>
        <w:t>PBC</w:t>
      </w:r>
      <w:r w:rsidRPr="0048435A">
        <w:rPr>
          <w:sz w:val="16"/>
          <w:lang w:val="ru-RU"/>
        </w:rPr>
        <w:t>/22/12 «Система подотчетности ВОИС».</w:t>
      </w:r>
    </w:p>
  </w:footnote>
  <w:footnote w:id="124">
    <w:p w:rsidR="00EE0D83" w:rsidRPr="0048435A" w:rsidRDefault="00EE0D83" w:rsidP="0048435A">
      <w:pPr>
        <w:pStyle w:val="FootnoteText"/>
        <w:rPr>
          <w:sz w:val="16"/>
          <w:szCs w:val="16"/>
          <w:lang w:val="ru-RU"/>
        </w:rPr>
      </w:pPr>
      <w:r w:rsidRPr="00646A5E">
        <w:rPr>
          <w:rStyle w:val="FootnoteReference"/>
          <w:sz w:val="16"/>
          <w:szCs w:val="16"/>
        </w:rPr>
        <w:footnoteRef/>
      </w:r>
      <w:r w:rsidRPr="0048435A">
        <w:rPr>
          <w:sz w:val="16"/>
          <w:szCs w:val="16"/>
          <w:lang w:val="ru-RU"/>
        </w:rPr>
        <w:t xml:space="preserve"> В рамках 21 из 31 программы (67</w:t>
      </w:r>
      <w:r>
        <w:rPr>
          <w:sz w:val="16"/>
          <w:szCs w:val="16"/>
        </w:rPr>
        <w:t> </w:t>
      </w:r>
      <w:r w:rsidRPr="0048435A">
        <w:rPr>
          <w:sz w:val="16"/>
          <w:szCs w:val="16"/>
          <w:lang w:val="ru-RU"/>
        </w:rPr>
        <w:t>процентов) были даны ответы на вопросник ОВН для проверки достоверности ОРП 2014–2015</w:t>
      </w:r>
      <w:r>
        <w:rPr>
          <w:sz w:val="16"/>
          <w:szCs w:val="16"/>
        </w:rPr>
        <w:t> </w:t>
      </w:r>
      <w:r w:rsidRPr="0048435A">
        <w:rPr>
          <w:sz w:val="16"/>
          <w:szCs w:val="16"/>
          <w:lang w:val="ru-RU"/>
        </w:rPr>
        <w:t>гг.</w:t>
      </w:r>
    </w:p>
  </w:footnote>
  <w:footnote w:id="125">
    <w:p w:rsidR="00EE0D83" w:rsidRPr="0048435A" w:rsidRDefault="00EE0D83" w:rsidP="0048435A">
      <w:pPr>
        <w:pStyle w:val="FootnoteText"/>
        <w:rPr>
          <w:sz w:val="16"/>
          <w:szCs w:val="16"/>
          <w:lang w:val="ru-RU"/>
        </w:rPr>
      </w:pPr>
      <w:r>
        <w:rPr>
          <w:rStyle w:val="FootnoteReference"/>
          <w:sz w:val="16"/>
        </w:rPr>
        <w:footnoteRef/>
      </w:r>
      <w:r w:rsidRPr="0048435A">
        <w:rPr>
          <w:sz w:val="16"/>
          <w:lang w:val="ru-RU"/>
        </w:rPr>
        <w:t xml:space="preserve"> Поправка: в ОРП за 2012–2013 гг. указывалось, что данные о результативности работы для управления деятельностью в рамках программы использовали 53</w:t>
      </w:r>
      <w:r>
        <w:rPr>
          <w:sz w:val="16"/>
        </w:rPr>
        <w:t> </w:t>
      </w:r>
      <w:r w:rsidRPr="0048435A">
        <w:rPr>
          <w:sz w:val="16"/>
          <w:lang w:val="ru-RU"/>
        </w:rPr>
        <w:t>процента программ.</w:t>
      </w:r>
    </w:p>
  </w:footnote>
  <w:footnote w:id="126">
    <w:p w:rsidR="00EE0D83" w:rsidRPr="0048435A" w:rsidRDefault="00EE0D83" w:rsidP="0048435A">
      <w:pPr>
        <w:pStyle w:val="FootnoteText"/>
        <w:rPr>
          <w:sz w:val="16"/>
          <w:szCs w:val="16"/>
          <w:lang w:val="ru-RU"/>
        </w:rPr>
      </w:pPr>
      <w:r w:rsidRPr="00646A5E">
        <w:rPr>
          <w:rStyle w:val="FootnoteReference"/>
          <w:sz w:val="16"/>
          <w:szCs w:val="16"/>
        </w:rPr>
        <w:footnoteRef/>
      </w:r>
      <w:r w:rsidRPr="0048435A">
        <w:rPr>
          <w:sz w:val="16"/>
          <w:szCs w:val="16"/>
          <w:lang w:val="ru-RU"/>
        </w:rPr>
        <w:t xml:space="preserve"> В рамках 21 из 31 программы (67</w:t>
      </w:r>
      <w:r>
        <w:rPr>
          <w:sz w:val="16"/>
          <w:szCs w:val="16"/>
        </w:rPr>
        <w:t> </w:t>
      </w:r>
      <w:r w:rsidRPr="0048435A">
        <w:rPr>
          <w:sz w:val="16"/>
          <w:szCs w:val="16"/>
          <w:lang w:val="ru-RU"/>
        </w:rPr>
        <w:t>процентов) были даны ответы на вопросник ОВН для проверки достоверности ОРП 2014–2015</w:t>
      </w:r>
      <w:r>
        <w:rPr>
          <w:sz w:val="16"/>
          <w:szCs w:val="16"/>
        </w:rPr>
        <w:t> </w:t>
      </w:r>
      <w:r w:rsidRPr="0048435A">
        <w:rPr>
          <w:sz w:val="16"/>
          <w:szCs w:val="16"/>
          <w:lang w:val="ru-RU"/>
        </w:rPr>
        <w:t>гг.</w:t>
      </w:r>
    </w:p>
  </w:footnote>
  <w:footnote w:id="127">
    <w:p w:rsidR="00EE0D83" w:rsidRPr="0048435A" w:rsidRDefault="00EE0D83" w:rsidP="0048435A">
      <w:pPr>
        <w:pStyle w:val="FootnoteText"/>
        <w:rPr>
          <w:lang w:val="ru-RU"/>
        </w:rPr>
      </w:pPr>
      <w:r w:rsidRPr="00646A5E">
        <w:rPr>
          <w:rStyle w:val="FootnoteReference"/>
          <w:sz w:val="16"/>
          <w:szCs w:val="16"/>
        </w:rPr>
        <w:footnoteRef/>
      </w:r>
      <w:r w:rsidRPr="0048435A">
        <w:rPr>
          <w:sz w:val="16"/>
          <w:szCs w:val="16"/>
          <w:lang w:val="ru-RU"/>
        </w:rPr>
        <w:t xml:space="preserve"> То же</w:t>
      </w:r>
    </w:p>
  </w:footnote>
  <w:footnote w:id="128">
    <w:p w:rsidR="00EE0D83" w:rsidRPr="0048435A" w:rsidRDefault="00EE0D83" w:rsidP="00FA0032">
      <w:pPr>
        <w:pStyle w:val="FootnoteText"/>
        <w:rPr>
          <w:sz w:val="16"/>
          <w:szCs w:val="16"/>
          <w:lang w:val="ru-RU"/>
        </w:rPr>
      </w:pPr>
      <w:r>
        <w:rPr>
          <w:rStyle w:val="FootnoteReference"/>
          <w:sz w:val="16"/>
        </w:rPr>
        <w:footnoteRef/>
      </w:r>
      <w:r w:rsidRPr="0048435A">
        <w:rPr>
          <w:sz w:val="16"/>
          <w:lang w:val="ru-RU"/>
        </w:rPr>
        <w:t xml:space="preserve"> </w:t>
      </w:r>
      <w:r w:rsidRPr="00FA0032">
        <w:rPr>
          <w:sz w:val="16"/>
          <w:lang w:val="fr-FR"/>
        </w:rPr>
        <w:t>http</w:t>
      </w:r>
      <w:r w:rsidRPr="0048435A">
        <w:rPr>
          <w:sz w:val="16"/>
          <w:lang w:val="ru-RU"/>
        </w:rPr>
        <w:t>://</w:t>
      </w:r>
      <w:r w:rsidRPr="00FA0032">
        <w:rPr>
          <w:sz w:val="16"/>
          <w:lang w:val="fr-FR"/>
        </w:rPr>
        <w:t>www</w:t>
      </w:r>
      <w:r w:rsidRPr="0048435A">
        <w:rPr>
          <w:sz w:val="16"/>
          <w:lang w:val="ru-RU"/>
        </w:rPr>
        <w:t>.</w:t>
      </w:r>
      <w:r w:rsidRPr="00FA0032">
        <w:rPr>
          <w:sz w:val="16"/>
          <w:lang w:val="fr-FR"/>
        </w:rPr>
        <w:t>wipo</w:t>
      </w:r>
      <w:r w:rsidRPr="0048435A">
        <w:rPr>
          <w:sz w:val="16"/>
          <w:lang w:val="ru-RU"/>
        </w:rPr>
        <w:t>.</w:t>
      </w:r>
      <w:r w:rsidRPr="00FA0032">
        <w:rPr>
          <w:sz w:val="16"/>
          <w:lang w:val="fr-FR"/>
        </w:rPr>
        <w:t>int</w:t>
      </w:r>
      <w:r w:rsidRPr="0048435A">
        <w:rPr>
          <w:sz w:val="16"/>
          <w:lang w:val="ru-RU"/>
        </w:rPr>
        <w:t>/</w:t>
      </w:r>
      <w:r w:rsidRPr="00FA0032">
        <w:rPr>
          <w:sz w:val="16"/>
          <w:lang w:val="fr-FR"/>
        </w:rPr>
        <w:t>erecruitment</w:t>
      </w:r>
      <w:r w:rsidRPr="0048435A">
        <w:rPr>
          <w:sz w:val="16"/>
          <w:lang w:val="ru-RU"/>
        </w:rPr>
        <w:t>/</w:t>
      </w:r>
      <w:r w:rsidRPr="00FA0032">
        <w:rPr>
          <w:sz w:val="16"/>
          <w:lang w:val="fr-FR"/>
        </w:rPr>
        <w:t>en</w:t>
      </w:r>
      <w:r w:rsidRPr="0048435A">
        <w:rPr>
          <w:sz w:val="16"/>
          <w:lang w:val="ru-RU"/>
        </w:rPr>
        <w:t>/</w:t>
      </w:r>
    </w:p>
  </w:footnote>
  <w:footnote w:id="129">
    <w:p w:rsidR="00EE0D83" w:rsidRPr="00FA0032" w:rsidRDefault="00EE0D83" w:rsidP="00FA0032">
      <w:pPr>
        <w:pStyle w:val="NormalWeb"/>
        <w:rPr>
          <w:sz w:val="16"/>
          <w:szCs w:val="16"/>
          <w:lang w:val="ru-RU"/>
        </w:rPr>
      </w:pPr>
      <w:r>
        <w:rPr>
          <w:rStyle w:val="FootnoteReference"/>
          <w:sz w:val="16"/>
        </w:rPr>
        <w:footnoteRef/>
      </w:r>
      <w:r w:rsidRPr="00FA0032">
        <w:rPr>
          <w:sz w:val="16"/>
          <w:lang w:val="ru-RU"/>
        </w:rPr>
        <w:t xml:space="preserve"> Этот показатель рассчитывается путем деления общего количества учебных дней (число участников * число дней обучения) на общее число сотрудников (по состоянию на 31</w:t>
      </w:r>
      <w:r>
        <w:rPr>
          <w:sz w:val="16"/>
        </w:rPr>
        <w:t> </w:t>
      </w:r>
      <w:r w:rsidRPr="00FA0032">
        <w:rPr>
          <w:sz w:val="16"/>
          <w:lang w:val="ru-RU"/>
        </w:rPr>
        <w:t>декабря рассматриваемого года).</w:t>
      </w:r>
    </w:p>
    <w:p w:rsidR="00EE0D83" w:rsidRPr="00FA0032" w:rsidRDefault="00EE0D83" w:rsidP="00FA0032">
      <w:pPr>
        <w:pStyle w:val="FootnoteText"/>
        <w:rPr>
          <w:lang w:val="ru-RU"/>
        </w:rPr>
      </w:pPr>
    </w:p>
  </w:footnote>
  <w:footnote w:id="130">
    <w:p w:rsidR="00EE0D83" w:rsidRPr="00FA0032" w:rsidRDefault="00EE0D83" w:rsidP="00FA0032">
      <w:pPr>
        <w:pStyle w:val="FootnoteText"/>
        <w:rPr>
          <w:sz w:val="16"/>
          <w:szCs w:val="16"/>
          <w:lang w:val="ru-RU"/>
        </w:rPr>
      </w:pPr>
      <w:r>
        <w:rPr>
          <w:rStyle w:val="FootnoteReference"/>
        </w:rPr>
        <w:footnoteRef/>
      </w:r>
      <w:r w:rsidRPr="00FA0032">
        <w:rPr>
          <w:lang w:val="ru-RU"/>
        </w:rPr>
        <w:t xml:space="preserve"> </w:t>
      </w:r>
      <w:r w:rsidRPr="00FA0032">
        <w:rPr>
          <w:sz w:val="16"/>
          <w:lang w:val="ru-RU"/>
        </w:rPr>
        <w:t>Поправка: относящийся к 2014</w:t>
      </w:r>
      <w:r>
        <w:rPr>
          <w:sz w:val="16"/>
        </w:rPr>
        <w:t> </w:t>
      </w:r>
      <w:r w:rsidRPr="00FA0032">
        <w:rPr>
          <w:sz w:val="16"/>
          <w:lang w:val="ru-RU"/>
        </w:rPr>
        <w:t>г. срок набора персонала (14,7 недели), указанный в ОРП, рассчитан на основе конкурсов 2014</w:t>
      </w:r>
      <w:r>
        <w:rPr>
          <w:sz w:val="16"/>
        </w:rPr>
        <w:t> </w:t>
      </w:r>
      <w:r w:rsidRPr="00FA0032">
        <w:rPr>
          <w:sz w:val="16"/>
          <w:lang w:val="ru-RU"/>
        </w:rPr>
        <w:t xml:space="preserve">г., завершенных до … .  Обновленный показатель является результатом окончательных расчетов, отражающих сведения обо всех завершенных к данному моменту конкурсах. </w:t>
      </w:r>
    </w:p>
  </w:footnote>
  <w:footnote w:id="131">
    <w:p w:rsidR="00EE0D83" w:rsidRPr="00FA0032" w:rsidRDefault="00EE0D83" w:rsidP="00FA0032">
      <w:pPr>
        <w:pStyle w:val="FootnoteText"/>
        <w:rPr>
          <w:sz w:val="16"/>
          <w:szCs w:val="16"/>
          <w:lang w:val="ru-RU"/>
        </w:rPr>
      </w:pPr>
      <w:r>
        <w:rPr>
          <w:rStyle w:val="FootnoteReference"/>
        </w:rPr>
        <w:footnoteRef/>
      </w:r>
      <w:r w:rsidRPr="00FA0032">
        <w:rPr>
          <w:lang w:val="ru-RU"/>
        </w:rPr>
        <w:t xml:space="preserve"> </w:t>
      </w:r>
      <w:r w:rsidRPr="00FA0032">
        <w:rPr>
          <w:sz w:val="16"/>
          <w:lang w:val="ru-RU"/>
        </w:rPr>
        <w:t>Срок набора персонала, относящийся к 2015</w:t>
      </w:r>
      <w:r>
        <w:rPr>
          <w:sz w:val="16"/>
        </w:rPr>
        <w:t> </w:t>
      </w:r>
      <w:r w:rsidRPr="00FA0032">
        <w:rPr>
          <w:sz w:val="16"/>
          <w:lang w:val="ru-RU"/>
        </w:rPr>
        <w:t>году, рассчитан на основе конкурсов 2015</w:t>
      </w:r>
      <w:r>
        <w:rPr>
          <w:sz w:val="16"/>
        </w:rPr>
        <w:t> </w:t>
      </w:r>
      <w:r w:rsidRPr="00FA0032">
        <w:rPr>
          <w:sz w:val="16"/>
          <w:lang w:val="ru-RU"/>
        </w:rPr>
        <w:t>г., завершенных до 19</w:t>
      </w:r>
      <w:r>
        <w:rPr>
          <w:sz w:val="16"/>
        </w:rPr>
        <w:t> </w:t>
      </w:r>
      <w:r w:rsidRPr="00FA0032">
        <w:rPr>
          <w:sz w:val="16"/>
          <w:lang w:val="ru-RU"/>
        </w:rPr>
        <w:t>апреля 2015</w:t>
      </w:r>
      <w:r>
        <w:rPr>
          <w:sz w:val="16"/>
        </w:rPr>
        <w:t> </w:t>
      </w:r>
      <w:r w:rsidRPr="00FA0032">
        <w:rPr>
          <w:sz w:val="16"/>
          <w:lang w:val="ru-RU"/>
        </w:rPr>
        <w:t xml:space="preserve">г. </w:t>
      </w:r>
    </w:p>
  </w:footnote>
  <w:footnote w:id="132">
    <w:p w:rsidR="00EE0D83" w:rsidRPr="00FA0032" w:rsidRDefault="00EE0D83" w:rsidP="00FA0032">
      <w:pPr>
        <w:pStyle w:val="FootnoteText"/>
        <w:rPr>
          <w:lang w:val="ru-RU"/>
        </w:rPr>
      </w:pPr>
      <w:r>
        <w:rPr>
          <w:rStyle w:val="FootnoteReference"/>
          <w:sz w:val="16"/>
        </w:rPr>
        <w:footnoteRef/>
      </w:r>
      <w:r w:rsidRPr="00FA0032">
        <w:rPr>
          <w:sz w:val="16"/>
          <w:lang w:val="ru-RU"/>
        </w:rPr>
        <w:t xml:space="preserve"> Поправка: среднее число больничных дней на одного сотрудника в 2014</w:t>
      </w:r>
      <w:r>
        <w:rPr>
          <w:sz w:val="16"/>
        </w:rPr>
        <w:t> </w:t>
      </w:r>
      <w:r w:rsidRPr="00FA0032">
        <w:rPr>
          <w:sz w:val="16"/>
          <w:lang w:val="ru-RU"/>
        </w:rPr>
        <w:t>г. с учетом последних статистических данных составило 11,2, а не 9, как сообщалось в ОРП за 2014</w:t>
      </w:r>
      <w:r>
        <w:rPr>
          <w:sz w:val="16"/>
        </w:rPr>
        <w:t> </w:t>
      </w:r>
      <w:r w:rsidRPr="00FA0032">
        <w:rPr>
          <w:sz w:val="16"/>
          <w:lang w:val="ru-RU"/>
        </w:rPr>
        <w:t>г.</w:t>
      </w:r>
    </w:p>
  </w:footnote>
  <w:footnote w:id="133">
    <w:p w:rsidR="00EE0D83" w:rsidRPr="00FA0032" w:rsidRDefault="00EE0D83" w:rsidP="00FA0032">
      <w:pPr>
        <w:pStyle w:val="FootnoteText"/>
        <w:rPr>
          <w:lang w:val="ru-RU"/>
        </w:rPr>
      </w:pPr>
      <w:r>
        <w:rPr>
          <w:rStyle w:val="FootnoteReference"/>
        </w:rPr>
        <w:footnoteRef/>
      </w:r>
      <w:r w:rsidRPr="00FA0032">
        <w:rPr>
          <w:lang w:val="ru-RU"/>
        </w:rPr>
        <w:t xml:space="preserve"> </w:t>
      </w:r>
      <w:r w:rsidRPr="00FA0032">
        <w:rPr>
          <w:sz w:val="16"/>
          <w:lang w:val="ru-RU"/>
        </w:rPr>
        <w:t>Учитываются только штатные сотрудники категории специалистов и выше.</w:t>
      </w:r>
    </w:p>
  </w:footnote>
  <w:footnote w:id="134">
    <w:p w:rsidR="00EE0D83" w:rsidRPr="00FA0032" w:rsidRDefault="00EE0D83" w:rsidP="00FA0032">
      <w:pPr>
        <w:pStyle w:val="FootnoteText"/>
        <w:rPr>
          <w:lang w:val="ru-RU"/>
        </w:rPr>
      </w:pPr>
      <w:r>
        <w:rPr>
          <w:rStyle w:val="FootnoteReference"/>
        </w:rPr>
        <w:footnoteRef/>
      </w:r>
      <w:r w:rsidRPr="00FA0032">
        <w:rPr>
          <w:lang w:val="ru-RU"/>
        </w:rPr>
        <w:t xml:space="preserve"> </w:t>
      </w:r>
      <w:r w:rsidRPr="00FA0032">
        <w:rPr>
          <w:sz w:val="16"/>
          <w:lang w:val="ru-RU"/>
        </w:rPr>
        <w:t>Координационный комитет пока не пришел к выводу о целесообразности замены принципа географического распределения, согласованного в 1975</w:t>
      </w:r>
      <w:r>
        <w:rPr>
          <w:sz w:val="16"/>
        </w:rPr>
        <w:t> </w:t>
      </w:r>
      <w:r w:rsidRPr="00FA0032">
        <w:rPr>
          <w:sz w:val="16"/>
          <w:lang w:val="ru-RU"/>
        </w:rPr>
        <w:t>г., какой-либо формальной системой.</w:t>
      </w:r>
    </w:p>
  </w:footnote>
  <w:footnote w:id="135">
    <w:p w:rsidR="00EE0D83" w:rsidRPr="00FA0032" w:rsidRDefault="00EE0D83" w:rsidP="00FA0032">
      <w:pPr>
        <w:pStyle w:val="FootnoteText"/>
        <w:rPr>
          <w:sz w:val="16"/>
          <w:szCs w:val="16"/>
          <w:lang w:val="ru-RU"/>
        </w:rPr>
      </w:pPr>
      <w:r>
        <w:rPr>
          <w:rStyle w:val="FootnoteReference"/>
          <w:sz w:val="16"/>
        </w:rPr>
        <w:footnoteRef/>
      </w:r>
      <w:r w:rsidRPr="00FA0032">
        <w:rPr>
          <w:sz w:val="16"/>
          <w:lang w:val="ru-RU"/>
        </w:rPr>
        <w:t xml:space="preserve"> Более подробная информация представлена в программе 29.</w:t>
      </w:r>
    </w:p>
  </w:footnote>
  <w:footnote w:id="136">
    <w:p w:rsidR="00EE0D83" w:rsidRPr="00FA0032" w:rsidRDefault="00EE0D83" w:rsidP="00FA0032">
      <w:pPr>
        <w:pStyle w:val="FootnoteText"/>
        <w:rPr>
          <w:lang w:val="ru-RU"/>
        </w:rPr>
      </w:pPr>
      <w:r>
        <w:rPr>
          <w:rStyle w:val="FootnoteReference"/>
        </w:rPr>
        <w:footnoteRef/>
      </w:r>
      <w:r w:rsidRPr="00FA0032">
        <w:rPr>
          <w:lang w:val="ru-RU"/>
        </w:rPr>
        <w:t xml:space="preserve"> </w:t>
      </w:r>
      <w:r w:rsidRPr="00FA0032">
        <w:rPr>
          <w:sz w:val="16"/>
          <w:lang w:val="ru-RU"/>
        </w:rPr>
        <w:t>Поправка: имела место опечатка, и в Программе и бюджете на 2014–2015</w:t>
      </w:r>
      <w:r>
        <w:rPr>
          <w:sz w:val="16"/>
        </w:rPr>
        <w:t> </w:t>
      </w:r>
      <w:r w:rsidRPr="00FA0032">
        <w:rPr>
          <w:sz w:val="16"/>
          <w:lang w:val="ru-RU"/>
        </w:rPr>
        <w:t>гг. в качестве целевой даты было указано 31</w:t>
      </w:r>
      <w:r>
        <w:rPr>
          <w:sz w:val="16"/>
        </w:rPr>
        <w:t> </w:t>
      </w:r>
      <w:r w:rsidRPr="00FA0032">
        <w:rPr>
          <w:sz w:val="16"/>
          <w:lang w:val="ru-RU"/>
        </w:rPr>
        <w:t>декабря 2013</w:t>
      </w:r>
      <w:r>
        <w:rPr>
          <w:sz w:val="16"/>
        </w:rPr>
        <w:t> </w:t>
      </w:r>
      <w:r w:rsidRPr="00FA0032">
        <w:rPr>
          <w:sz w:val="16"/>
          <w:lang w:val="ru-RU"/>
        </w:rPr>
        <w:t>г., а не 31</w:t>
      </w:r>
      <w:r>
        <w:rPr>
          <w:sz w:val="16"/>
        </w:rPr>
        <w:t> </w:t>
      </w:r>
      <w:r w:rsidRPr="00FA0032">
        <w:rPr>
          <w:sz w:val="16"/>
          <w:lang w:val="ru-RU"/>
        </w:rPr>
        <w:t>декабря 2015</w:t>
      </w:r>
      <w:r>
        <w:rPr>
          <w:sz w:val="16"/>
        </w:rPr>
        <w:t> </w:t>
      </w:r>
      <w:r w:rsidRPr="00FA0032">
        <w:rPr>
          <w:sz w:val="16"/>
          <w:lang w:val="ru-RU"/>
        </w:rPr>
        <w:t>г.</w:t>
      </w:r>
      <w:r w:rsidRPr="00FA0032">
        <w:rPr>
          <w:lang w:val="ru-RU"/>
        </w:rPr>
        <w:t xml:space="preserve"> </w:t>
      </w:r>
    </w:p>
  </w:footnote>
  <w:footnote w:id="137">
    <w:p w:rsidR="00EE0D83" w:rsidRPr="00FA0032" w:rsidRDefault="00EE0D83" w:rsidP="00FA0032">
      <w:pPr>
        <w:pStyle w:val="FootnoteText"/>
        <w:rPr>
          <w:sz w:val="16"/>
          <w:szCs w:val="16"/>
          <w:lang w:val="ru-RU"/>
        </w:rPr>
      </w:pPr>
      <w:r>
        <w:rPr>
          <w:rStyle w:val="FootnoteReference"/>
          <w:sz w:val="16"/>
        </w:rPr>
        <w:footnoteRef/>
      </w:r>
      <w:r w:rsidRPr="00FA0032">
        <w:rPr>
          <w:sz w:val="16"/>
          <w:lang w:val="ru-RU"/>
        </w:rPr>
        <w:t xml:space="preserve"> В ОРП за 2014</w:t>
      </w:r>
      <w:r>
        <w:rPr>
          <w:sz w:val="16"/>
        </w:rPr>
        <w:t> </w:t>
      </w:r>
      <w:r w:rsidRPr="00FA0032">
        <w:rPr>
          <w:sz w:val="16"/>
          <w:lang w:val="ru-RU"/>
        </w:rPr>
        <w:t xml:space="preserve">г.: </w:t>
      </w:r>
      <w:r>
        <w:rPr>
          <w:sz w:val="16"/>
        </w:rPr>
        <w:t>http</w:t>
      </w:r>
      <w:r w:rsidRPr="00FA0032">
        <w:rPr>
          <w:sz w:val="16"/>
          <w:lang w:val="ru-RU"/>
        </w:rPr>
        <w:t>://</w:t>
      </w:r>
      <w:r>
        <w:rPr>
          <w:sz w:val="16"/>
        </w:rPr>
        <w:t>www</w:t>
      </w:r>
      <w:r w:rsidRPr="00FA0032">
        <w:rPr>
          <w:sz w:val="16"/>
          <w:lang w:val="ru-RU"/>
        </w:rPr>
        <w:t>.</w:t>
      </w:r>
      <w:r>
        <w:rPr>
          <w:sz w:val="16"/>
        </w:rPr>
        <w:t>wipo</w:t>
      </w:r>
      <w:r w:rsidRPr="00FA0032">
        <w:rPr>
          <w:sz w:val="16"/>
          <w:lang w:val="ru-RU"/>
        </w:rPr>
        <w:t>.</w:t>
      </w:r>
      <w:r>
        <w:rPr>
          <w:sz w:val="16"/>
        </w:rPr>
        <w:t>int</w:t>
      </w:r>
      <w:r w:rsidRPr="00FA0032">
        <w:rPr>
          <w:sz w:val="16"/>
          <w:lang w:val="ru-RU"/>
        </w:rPr>
        <w:t>/</w:t>
      </w:r>
      <w:r>
        <w:rPr>
          <w:sz w:val="16"/>
        </w:rPr>
        <w:t>edocs</w:t>
      </w:r>
      <w:r w:rsidRPr="00FA0032">
        <w:rPr>
          <w:sz w:val="16"/>
          <w:lang w:val="ru-RU"/>
        </w:rPr>
        <w:t>/</w:t>
      </w:r>
      <w:r>
        <w:rPr>
          <w:sz w:val="16"/>
        </w:rPr>
        <w:t>mdocs</w:t>
      </w:r>
      <w:r w:rsidRPr="00FA0032">
        <w:rPr>
          <w:sz w:val="16"/>
          <w:lang w:val="ru-RU"/>
        </w:rPr>
        <w:t>/</w:t>
      </w:r>
      <w:r>
        <w:rPr>
          <w:sz w:val="16"/>
        </w:rPr>
        <w:t>govbody</w:t>
      </w:r>
      <w:r w:rsidRPr="00FA0032">
        <w:rPr>
          <w:sz w:val="16"/>
          <w:lang w:val="ru-RU"/>
        </w:rPr>
        <w:t>/</w:t>
      </w:r>
      <w:r>
        <w:rPr>
          <w:sz w:val="16"/>
        </w:rPr>
        <w:t>en</w:t>
      </w:r>
      <w:r w:rsidRPr="00FA0032">
        <w:rPr>
          <w:sz w:val="16"/>
          <w:lang w:val="ru-RU"/>
        </w:rPr>
        <w:t>/</w:t>
      </w:r>
      <w:r>
        <w:rPr>
          <w:sz w:val="16"/>
        </w:rPr>
        <w:t>a</w:t>
      </w:r>
      <w:r w:rsidRPr="00FA0032">
        <w:rPr>
          <w:sz w:val="16"/>
          <w:lang w:val="ru-RU"/>
        </w:rPr>
        <w:t>_55/</w:t>
      </w:r>
      <w:r>
        <w:rPr>
          <w:sz w:val="16"/>
        </w:rPr>
        <w:t>a</w:t>
      </w:r>
      <w:r w:rsidRPr="00FA0032">
        <w:rPr>
          <w:sz w:val="16"/>
          <w:lang w:val="ru-RU"/>
        </w:rPr>
        <w:t>_55_6.</w:t>
      </w:r>
      <w:r>
        <w:rPr>
          <w:sz w:val="16"/>
        </w:rPr>
        <w:t>pdf</w:t>
      </w:r>
    </w:p>
  </w:footnote>
  <w:footnote w:id="138">
    <w:p w:rsidR="00EE0D83" w:rsidRPr="00FA0032" w:rsidRDefault="00EE0D83" w:rsidP="00FA0032">
      <w:pPr>
        <w:pStyle w:val="FootnoteText"/>
        <w:rPr>
          <w:sz w:val="16"/>
          <w:szCs w:val="16"/>
          <w:lang w:val="ru-RU"/>
        </w:rPr>
      </w:pPr>
      <w:r>
        <w:rPr>
          <w:rStyle w:val="FootnoteReference"/>
          <w:sz w:val="16"/>
        </w:rPr>
        <w:footnoteRef/>
      </w:r>
      <w:r w:rsidRPr="00FA0032">
        <w:rPr>
          <w:sz w:val="16"/>
          <w:lang w:val="ru-RU"/>
        </w:rPr>
        <w:t xml:space="preserve"> </w:t>
      </w:r>
      <w:r>
        <w:rPr>
          <w:sz w:val="16"/>
        </w:rPr>
        <w:t>http</w:t>
      </w:r>
      <w:r w:rsidRPr="00FA0032">
        <w:rPr>
          <w:sz w:val="16"/>
          <w:lang w:val="ru-RU"/>
        </w:rPr>
        <w:t>://</w:t>
      </w:r>
      <w:r>
        <w:rPr>
          <w:sz w:val="16"/>
        </w:rPr>
        <w:t>www</w:t>
      </w:r>
      <w:r w:rsidRPr="00FA0032">
        <w:rPr>
          <w:sz w:val="16"/>
          <w:lang w:val="ru-RU"/>
        </w:rPr>
        <w:t>.</w:t>
      </w:r>
      <w:r>
        <w:rPr>
          <w:sz w:val="16"/>
        </w:rPr>
        <w:t>wipo</w:t>
      </w:r>
      <w:r w:rsidRPr="00FA0032">
        <w:rPr>
          <w:sz w:val="16"/>
          <w:lang w:val="ru-RU"/>
        </w:rPr>
        <w:t>.</w:t>
      </w:r>
      <w:r>
        <w:rPr>
          <w:sz w:val="16"/>
        </w:rPr>
        <w:t>int</w:t>
      </w:r>
      <w:r w:rsidRPr="00FA0032">
        <w:rPr>
          <w:sz w:val="16"/>
          <w:lang w:val="ru-RU"/>
        </w:rPr>
        <w:t>/</w:t>
      </w:r>
      <w:r>
        <w:rPr>
          <w:sz w:val="16"/>
        </w:rPr>
        <w:t>edocs</w:t>
      </w:r>
      <w:r w:rsidRPr="00FA0032">
        <w:rPr>
          <w:sz w:val="16"/>
          <w:lang w:val="ru-RU"/>
        </w:rPr>
        <w:t>/</w:t>
      </w:r>
      <w:r>
        <w:rPr>
          <w:sz w:val="16"/>
        </w:rPr>
        <w:t>mdocs</w:t>
      </w:r>
      <w:r w:rsidRPr="00FA0032">
        <w:rPr>
          <w:sz w:val="16"/>
          <w:lang w:val="ru-RU"/>
        </w:rPr>
        <w:t>/</w:t>
      </w:r>
      <w:r>
        <w:rPr>
          <w:sz w:val="16"/>
        </w:rPr>
        <w:t>govbody</w:t>
      </w:r>
      <w:r w:rsidRPr="00FA0032">
        <w:rPr>
          <w:sz w:val="16"/>
          <w:lang w:val="ru-RU"/>
        </w:rPr>
        <w:t>/</w:t>
      </w:r>
      <w:r>
        <w:rPr>
          <w:sz w:val="16"/>
        </w:rPr>
        <w:t>en</w:t>
      </w:r>
      <w:r w:rsidRPr="00FA0032">
        <w:rPr>
          <w:sz w:val="16"/>
          <w:lang w:val="ru-RU"/>
        </w:rPr>
        <w:t>/</w:t>
      </w:r>
      <w:r>
        <w:rPr>
          <w:sz w:val="16"/>
        </w:rPr>
        <w:t>a</w:t>
      </w:r>
      <w:r w:rsidRPr="00FA0032">
        <w:rPr>
          <w:sz w:val="16"/>
          <w:lang w:val="ru-RU"/>
        </w:rPr>
        <w:t>_55/</w:t>
      </w:r>
      <w:r>
        <w:rPr>
          <w:sz w:val="16"/>
        </w:rPr>
        <w:t>a</w:t>
      </w:r>
      <w:r w:rsidRPr="00FA0032">
        <w:rPr>
          <w:sz w:val="16"/>
          <w:lang w:val="ru-RU"/>
        </w:rPr>
        <w:t>_55_</w:t>
      </w:r>
      <w:r>
        <w:rPr>
          <w:sz w:val="16"/>
        </w:rPr>
        <w:t>inf</w:t>
      </w:r>
      <w:r w:rsidRPr="00FA0032">
        <w:rPr>
          <w:sz w:val="16"/>
          <w:lang w:val="ru-RU"/>
        </w:rPr>
        <w:t>_5.</w:t>
      </w:r>
      <w:r>
        <w:rPr>
          <w:sz w:val="16"/>
        </w:rPr>
        <w:t>pdf</w:t>
      </w:r>
      <w:r w:rsidRPr="00FA0032">
        <w:rPr>
          <w:sz w:val="16"/>
          <w:lang w:val="ru-RU"/>
        </w:rPr>
        <w:t xml:space="preserve"> </w:t>
      </w:r>
    </w:p>
  </w:footnote>
  <w:footnote w:id="139">
    <w:p w:rsidR="00EE0D83" w:rsidRPr="00FA0032" w:rsidRDefault="00EE0D83" w:rsidP="00FA0032">
      <w:pPr>
        <w:pStyle w:val="FootnoteText"/>
        <w:rPr>
          <w:sz w:val="16"/>
          <w:szCs w:val="16"/>
          <w:lang w:val="ru-RU"/>
        </w:rPr>
      </w:pPr>
      <w:r>
        <w:rPr>
          <w:rStyle w:val="FootnoteReference"/>
          <w:sz w:val="16"/>
        </w:rPr>
        <w:footnoteRef/>
      </w:r>
      <w:r w:rsidRPr="00FA0032">
        <w:rPr>
          <w:sz w:val="16"/>
          <w:lang w:val="ru-RU"/>
        </w:rPr>
        <w:t xml:space="preserve"> В 2015</w:t>
      </w:r>
      <w:r>
        <w:rPr>
          <w:sz w:val="16"/>
        </w:rPr>
        <w:t> </w:t>
      </w:r>
      <w:r w:rsidRPr="00FA0032">
        <w:rPr>
          <w:sz w:val="16"/>
          <w:lang w:val="ru-RU"/>
        </w:rPr>
        <w:t>г. была изменена терминология шкалы, использующейся в обследовании работы служб техподдержки для определения этого показателя результативности.  Определение «полностью удовлетворен» соответствует понятию «весьма удовлетворен», которое использовалось в обновленных базовых показателях по состоянию на конец 2013</w:t>
      </w:r>
      <w:r>
        <w:rPr>
          <w:sz w:val="16"/>
        </w:rPr>
        <w:t> </w:t>
      </w:r>
      <w:r w:rsidRPr="00FA0032">
        <w:rPr>
          <w:sz w:val="16"/>
          <w:lang w:val="ru-RU"/>
        </w:rPr>
        <w:t>г.</w:t>
      </w:r>
    </w:p>
  </w:footnote>
  <w:footnote w:id="140">
    <w:p w:rsidR="00EE0D83" w:rsidRPr="00B655FE" w:rsidRDefault="00EE0D83" w:rsidP="00B655FE">
      <w:pPr>
        <w:pStyle w:val="FootnoteText"/>
        <w:rPr>
          <w:sz w:val="16"/>
          <w:szCs w:val="16"/>
          <w:lang w:val="ru-RU"/>
        </w:rPr>
      </w:pPr>
      <w:r>
        <w:rPr>
          <w:rStyle w:val="FootnoteReference"/>
          <w:sz w:val="16"/>
        </w:rPr>
        <w:footnoteRef/>
      </w:r>
      <w:r w:rsidRPr="00B655FE">
        <w:rPr>
          <w:sz w:val="16"/>
          <w:lang w:val="ru-RU"/>
        </w:rPr>
        <w:t xml:space="preserve"> </w:t>
      </w:r>
      <w:hyperlink r:id="rId19">
        <w:r w:rsidRPr="00B655FE">
          <w:rPr>
            <w:rStyle w:val="Hyperlink"/>
            <w:sz w:val="16"/>
            <w:lang w:val="ru-RU"/>
          </w:rPr>
          <w:t xml:space="preserve">Отчет </w:t>
        </w:r>
        <w:r>
          <w:rPr>
            <w:rStyle w:val="Hyperlink"/>
            <w:sz w:val="16"/>
          </w:rPr>
          <w:t>EQA</w:t>
        </w:r>
        <w:r w:rsidRPr="00B655FE">
          <w:rPr>
            <w:rStyle w:val="Hyperlink"/>
            <w:sz w:val="16"/>
            <w:lang w:val="ru-RU"/>
          </w:rPr>
          <w:t xml:space="preserve"> по функции аудита</w:t>
        </w:r>
      </w:hyperlink>
    </w:p>
  </w:footnote>
  <w:footnote w:id="141">
    <w:p w:rsidR="00EE0D83" w:rsidRPr="00B655FE" w:rsidRDefault="00EE0D83" w:rsidP="00B655FE">
      <w:pPr>
        <w:pStyle w:val="FootnoteText"/>
        <w:rPr>
          <w:sz w:val="16"/>
          <w:szCs w:val="16"/>
          <w:lang w:val="ru-RU"/>
        </w:rPr>
      </w:pPr>
      <w:r>
        <w:rPr>
          <w:rStyle w:val="FootnoteReference"/>
          <w:sz w:val="16"/>
        </w:rPr>
        <w:footnoteRef/>
      </w:r>
      <w:r w:rsidRPr="00B655FE">
        <w:rPr>
          <w:sz w:val="16"/>
          <w:lang w:val="ru-RU"/>
        </w:rPr>
        <w:t xml:space="preserve"> </w:t>
      </w:r>
      <w:hyperlink r:id="rId20">
        <w:r w:rsidRPr="00B655FE">
          <w:rPr>
            <w:rStyle w:val="Hyperlink"/>
            <w:sz w:val="16"/>
            <w:lang w:val="ru-RU"/>
          </w:rPr>
          <w:t xml:space="preserve">Отчет </w:t>
        </w:r>
        <w:r>
          <w:rPr>
            <w:rStyle w:val="Hyperlink"/>
            <w:sz w:val="16"/>
          </w:rPr>
          <w:t>EQA</w:t>
        </w:r>
        <w:r w:rsidRPr="00B655FE">
          <w:rPr>
            <w:rStyle w:val="Hyperlink"/>
            <w:sz w:val="16"/>
            <w:lang w:val="ru-RU"/>
          </w:rPr>
          <w:t xml:space="preserve"> по функции оценки</w:t>
        </w:r>
      </w:hyperlink>
    </w:p>
  </w:footnote>
  <w:footnote w:id="142">
    <w:p w:rsidR="00EE0D83" w:rsidRPr="00B655FE" w:rsidRDefault="00EE0D83" w:rsidP="00B655FE">
      <w:pPr>
        <w:pStyle w:val="FootnoteText"/>
        <w:rPr>
          <w:lang w:val="ru-RU"/>
        </w:rPr>
      </w:pPr>
      <w:r>
        <w:rPr>
          <w:rStyle w:val="FootnoteReference"/>
          <w:sz w:val="16"/>
        </w:rPr>
        <w:footnoteRef/>
      </w:r>
      <w:r w:rsidRPr="00B655FE">
        <w:rPr>
          <w:sz w:val="16"/>
          <w:lang w:val="ru-RU"/>
        </w:rPr>
        <w:t xml:space="preserve"> </w:t>
      </w:r>
      <w:hyperlink r:id="rId21">
        <w:r w:rsidRPr="00B655FE">
          <w:rPr>
            <w:rStyle w:val="Hyperlink"/>
            <w:sz w:val="16"/>
            <w:lang w:val="ru-RU"/>
          </w:rPr>
          <w:t xml:space="preserve">Отчет </w:t>
        </w:r>
        <w:r>
          <w:rPr>
            <w:rStyle w:val="Hyperlink"/>
            <w:sz w:val="16"/>
          </w:rPr>
          <w:t>EQA</w:t>
        </w:r>
        <w:r w:rsidRPr="00B655FE">
          <w:rPr>
            <w:rStyle w:val="Hyperlink"/>
            <w:sz w:val="16"/>
            <w:lang w:val="ru-RU"/>
          </w:rPr>
          <w:t xml:space="preserve"> по функции проведения расследований</w:t>
        </w:r>
      </w:hyperlink>
    </w:p>
  </w:footnote>
  <w:footnote w:id="143">
    <w:p w:rsidR="00EE0D83" w:rsidRPr="00B655FE" w:rsidRDefault="00EE0D83" w:rsidP="00B655FE">
      <w:pPr>
        <w:pStyle w:val="FootnoteText"/>
        <w:rPr>
          <w:sz w:val="16"/>
          <w:szCs w:val="16"/>
          <w:lang w:val="ru-RU"/>
        </w:rPr>
      </w:pPr>
      <w:r>
        <w:rPr>
          <w:rStyle w:val="FootnoteReference"/>
          <w:sz w:val="16"/>
        </w:rPr>
        <w:footnoteRef/>
      </w:r>
      <w:r w:rsidRPr="00B655FE">
        <w:rPr>
          <w:sz w:val="16"/>
          <w:lang w:val="ru-RU"/>
        </w:rPr>
        <w:t xml:space="preserve">  В области аудита – стандарты Института внутренних аудиторов (</w:t>
      </w:r>
      <w:r>
        <w:rPr>
          <w:sz w:val="16"/>
        </w:rPr>
        <w:t>IIA</w:t>
      </w:r>
      <w:r w:rsidRPr="00B655FE">
        <w:rPr>
          <w:sz w:val="16"/>
          <w:lang w:val="ru-RU"/>
        </w:rPr>
        <w:t>). В области оценки – нормы и стандарты Группы Организации Объединенных Наций по вопросам оценки (ЮНЕГ).  В области расследований – Единые рекомендации по проведению расследований, утвержденные Конференцией международных следователей (</w:t>
      </w:r>
      <w:r>
        <w:rPr>
          <w:sz w:val="16"/>
        </w:rPr>
        <w:t>CII</w:t>
      </w:r>
      <w:r w:rsidRPr="00B655FE">
        <w:rPr>
          <w:sz w:val="16"/>
          <w:lang w:val="ru-RU"/>
        </w:rPr>
        <w:t>).</w:t>
      </w:r>
    </w:p>
  </w:footnote>
  <w:footnote w:id="144">
    <w:p w:rsidR="00EE0D83" w:rsidRPr="00B655FE" w:rsidRDefault="00EE0D83" w:rsidP="00B655FE">
      <w:pPr>
        <w:pStyle w:val="FootnoteText"/>
        <w:rPr>
          <w:sz w:val="16"/>
          <w:szCs w:val="16"/>
          <w:lang w:val="ru-RU"/>
        </w:rPr>
      </w:pPr>
      <w:r>
        <w:rPr>
          <w:rStyle w:val="FootnoteReference"/>
          <w:sz w:val="16"/>
        </w:rPr>
        <w:footnoteRef/>
      </w:r>
      <w:r w:rsidRPr="00B655FE">
        <w:rPr>
          <w:sz w:val="16"/>
          <w:lang w:val="ru-RU"/>
        </w:rPr>
        <w:t xml:space="preserve">  Тридцать из 186 рекомендаций были вынесены по итогам внешней оценки выполняемых ОВН функций аудита и оценки.</w:t>
      </w:r>
    </w:p>
  </w:footnote>
  <w:footnote w:id="145">
    <w:p w:rsidR="00EE0D83" w:rsidRPr="00FA0032" w:rsidRDefault="00EE0D83" w:rsidP="00FA0032">
      <w:pPr>
        <w:pStyle w:val="FootnoteText"/>
        <w:rPr>
          <w:sz w:val="16"/>
          <w:szCs w:val="16"/>
          <w:lang w:val="ru-RU"/>
        </w:rPr>
      </w:pPr>
      <w:r>
        <w:rPr>
          <w:rStyle w:val="FootnoteReference"/>
          <w:sz w:val="16"/>
        </w:rPr>
        <w:footnoteRef/>
      </w:r>
      <w:r w:rsidRPr="00FA0032">
        <w:rPr>
          <w:sz w:val="16"/>
          <w:lang w:val="ru-RU"/>
        </w:rPr>
        <w:t>(</w:t>
      </w:r>
      <w:r>
        <w:rPr>
          <w:sz w:val="16"/>
        </w:rPr>
        <w:t>i</w:t>
      </w:r>
      <w:r w:rsidRPr="00FA0032">
        <w:rPr>
          <w:sz w:val="16"/>
          <w:lang w:val="ru-RU"/>
        </w:rPr>
        <w:t>)</w:t>
      </w:r>
      <w:r>
        <w:t> </w:t>
      </w:r>
      <w:r w:rsidRPr="00FA0032">
        <w:rPr>
          <w:sz w:val="16"/>
          <w:lang w:val="ru-RU"/>
        </w:rPr>
        <w:t>Всемирный форум МСЭ в мае 2015</w:t>
      </w:r>
      <w:r>
        <w:rPr>
          <w:sz w:val="16"/>
        </w:rPr>
        <w:t> </w:t>
      </w:r>
      <w:r w:rsidRPr="00FA0032">
        <w:rPr>
          <w:sz w:val="16"/>
          <w:lang w:val="ru-RU"/>
        </w:rPr>
        <w:t>г.; (</w:t>
      </w:r>
      <w:r>
        <w:rPr>
          <w:sz w:val="16"/>
        </w:rPr>
        <w:t>ii</w:t>
      </w:r>
      <w:r w:rsidRPr="00FA0032">
        <w:rPr>
          <w:sz w:val="16"/>
          <w:lang w:val="ru-RU"/>
        </w:rPr>
        <w:t>)</w:t>
      </w:r>
      <w:r>
        <w:t> </w:t>
      </w:r>
      <w:r w:rsidRPr="00FA0032">
        <w:rPr>
          <w:sz w:val="16"/>
          <w:lang w:val="ru-RU"/>
        </w:rPr>
        <w:t>заседание Международного центра по спортивной безопасности в сентябре 2015</w:t>
      </w:r>
      <w:r>
        <w:rPr>
          <w:sz w:val="16"/>
        </w:rPr>
        <w:t> </w:t>
      </w:r>
      <w:r w:rsidRPr="00FA0032">
        <w:rPr>
          <w:sz w:val="16"/>
          <w:lang w:val="ru-RU"/>
        </w:rPr>
        <w:t>г.; (</w:t>
      </w:r>
      <w:r>
        <w:rPr>
          <w:sz w:val="16"/>
        </w:rPr>
        <w:t>iii</w:t>
      </w:r>
      <w:r w:rsidRPr="00FA0032">
        <w:rPr>
          <w:sz w:val="16"/>
          <w:lang w:val="ru-RU"/>
        </w:rPr>
        <w:t>)</w:t>
      </w:r>
      <w:r>
        <w:rPr>
          <w:sz w:val="16"/>
        </w:rPr>
        <w:t> </w:t>
      </w:r>
      <w:r w:rsidRPr="00FA0032">
        <w:rPr>
          <w:sz w:val="16"/>
          <w:lang w:val="ru-RU"/>
        </w:rPr>
        <w:t xml:space="preserve">мероприятие по случаю запуска </w:t>
      </w:r>
      <w:r>
        <w:rPr>
          <w:sz w:val="16"/>
        </w:rPr>
        <w:t>Geneva</w:t>
      </w:r>
      <w:r w:rsidRPr="00FA0032">
        <w:rPr>
          <w:sz w:val="16"/>
          <w:lang w:val="ru-RU"/>
        </w:rPr>
        <w:t xml:space="preserve"> </w:t>
      </w:r>
      <w:r>
        <w:rPr>
          <w:sz w:val="16"/>
        </w:rPr>
        <w:t>Water</w:t>
      </w:r>
      <w:r w:rsidRPr="00FA0032">
        <w:rPr>
          <w:sz w:val="16"/>
          <w:lang w:val="ru-RU"/>
        </w:rPr>
        <w:t xml:space="preserve"> </w:t>
      </w:r>
      <w:r>
        <w:rPr>
          <w:sz w:val="16"/>
        </w:rPr>
        <w:t>Hub</w:t>
      </w:r>
      <w:r w:rsidRPr="00FA0032">
        <w:rPr>
          <w:sz w:val="16"/>
          <w:lang w:val="ru-RU"/>
        </w:rPr>
        <w:t>, проведенное Швейцарией в ноябре 2015</w:t>
      </w:r>
      <w:r>
        <w:rPr>
          <w:sz w:val="16"/>
        </w:rPr>
        <w:t> </w:t>
      </w:r>
      <w:r w:rsidRPr="00FA0032">
        <w:rPr>
          <w:sz w:val="16"/>
          <w:lang w:val="ru-RU"/>
        </w:rPr>
        <w:t>г.; (</w:t>
      </w:r>
      <w:r>
        <w:rPr>
          <w:sz w:val="16"/>
        </w:rPr>
        <w:t>iv</w:t>
      </w:r>
      <w:r w:rsidRPr="00FA0032">
        <w:rPr>
          <w:sz w:val="16"/>
          <w:lang w:val="ru-RU"/>
        </w:rPr>
        <w:t>)</w:t>
      </w:r>
      <w:r>
        <w:t> </w:t>
      </w:r>
      <w:r w:rsidRPr="00FA0032">
        <w:rPr>
          <w:sz w:val="16"/>
          <w:lang w:val="ru-RU"/>
        </w:rPr>
        <w:t>церемония вручения федеральных дипломов сотрудникам противопожарной службы Швейцарии (</w:t>
      </w:r>
      <w:r>
        <w:rPr>
          <w:sz w:val="16"/>
        </w:rPr>
        <w:t>Ecole</w:t>
      </w:r>
      <w:r w:rsidRPr="00FA0032">
        <w:rPr>
          <w:sz w:val="16"/>
          <w:lang w:val="ru-RU"/>
        </w:rPr>
        <w:t xml:space="preserve"> </w:t>
      </w:r>
      <w:r>
        <w:rPr>
          <w:sz w:val="16"/>
        </w:rPr>
        <w:t>latine</w:t>
      </w:r>
      <w:r w:rsidRPr="00FA0032">
        <w:rPr>
          <w:sz w:val="16"/>
          <w:lang w:val="ru-RU"/>
        </w:rPr>
        <w:t>) в ноябре 2015</w:t>
      </w:r>
      <w:r>
        <w:rPr>
          <w:sz w:val="16"/>
        </w:rPr>
        <w:t> </w:t>
      </w:r>
      <w:r w:rsidRPr="00FA0032">
        <w:rPr>
          <w:sz w:val="16"/>
          <w:lang w:val="ru-RU"/>
        </w:rPr>
        <w:t>г.; (</w:t>
      </w:r>
      <w:r>
        <w:rPr>
          <w:sz w:val="16"/>
        </w:rPr>
        <w:t>v</w:t>
      </w:r>
      <w:r w:rsidRPr="00FA0032">
        <w:rPr>
          <w:sz w:val="16"/>
          <w:lang w:val="ru-RU"/>
        </w:rPr>
        <w:t>)</w:t>
      </w:r>
      <w:r>
        <w:t> </w:t>
      </w:r>
      <w:r w:rsidRPr="00FA0032">
        <w:rPr>
          <w:sz w:val="16"/>
          <w:lang w:val="ru-RU"/>
        </w:rPr>
        <w:t>ежегодное заседание МОМ в ноябре 2015</w:t>
      </w:r>
      <w:r>
        <w:rPr>
          <w:sz w:val="16"/>
        </w:rPr>
        <w:t> </w:t>
      </w:r>
      <w:r w:rsidRPr="00FA0032">
        <w:rPr>
          <w:sz w:val="16"/>
          <w:lang w:val="ru-RU"/>
        </w:rPr>
        <w:t>г.  Дополнительная информация представлена в программе 29.</w:t>
      </w:r>
    </w:p>
  </w:footnote>
  <w:footnote w:id="146">
    <w:p w:rsidR="00EE0D83" w:rsidRPr="00FA0032" w:rsidRDefault="00EE0D83" w:rsidP="00FA0032">
      <w:pPr>
        <w:pStyle w:val="FootnoteText"/>
        <w:rPr>
          <w:lang w:val="ru-RU"/>
        </w:rPr>
      </w:pPr>
      <w:r>
        <w:rPr>
          <w:rStyle w:val="FootnoteReference"/>
          <w:sz w:val="16"/>
        </w:rPr>
        <w:footnoteRef/>
      </w:r>
      <w:r w:rsidRPr="00FA0032">
        <w:rPr>
          <w:sz w:val="16"/>
          <w:lang w:val="ru-RU"/>
        </w:rPr>
        <w:t xml:space="preserve"> </w:t>
      </w:r>
      <w:r>
        <w:rPr>
          <w:sz w:val="16"/>
          <w:lang w:val="ru-RU"/>
        </w:rPr>
        <w:t xml:space="preserve"> </w:t>
      </w:r>
      <w:r w:rsidRPr="00FA0032">
        <w:rPr>
          <w:sz w:val="16"/>
          <w:lang w:val="ru-RU"/>
        </w:rPr>
        <w:t>Поправка: базовый показатель был обновлен, чтобы отразить наиболее актуальные цифры.  В конце 2013</w:t>
      </w:r>
      <w:r>
        <w:rPr>
          <w:sz w:val="16"/>
        </w:rPr>
        <w:t> </w:t>
      </w:r>
      <w:r w:rsidRPr="00FA0032">
        <w:rPr>
          <w:sz w:val="16"/>
          <w:lang w:val="ru-RU"/>
        </w:rPr>
        <w:t>г. расходы на печать одной страницы составляли 0,20 шв. франков, а не 0,19 шв. франков, как сообщалось в ОРП 2014</w:t>
      </w:r>
      <w:r>
        <w:rPr>
          <w:sz w:val="16"/>
        </w:rPr>
        <w:t> </w:t>
      </w:r>
      <w:r w:rsidRPr="00FA0032">
        <w:rPr>
          <w:sz w:val="16"/>
          <w:lang w:val="ru-RU"/>
        </w:rPr>
        <w:t>г.</w:t>
      </w:r>
    </w:p>
  </w:footnote>
  <w:footnote w:id="147">
    <w:p w:rsidR="00EE0D83" w:rsidRPr="00FA0032" w:rsidRDefault="00EE0D83" w:rsidP="00FA0032">
      <w:pPr>
        <w:pStyle w:val="FootnoteText"/>
        <w:rPr>
          <w:sz w:val="16"/>
          <w:szCs w:val="16"/>
          <w:lang w:val="ru-RU"/>
        </w:rPr>
      </w:pPr>
      <w:r>
        <w:rPr>
          <w:rStyle w:val="FootnoteReference"/>
          <w:sz w:val="16"/>
        </w:rPr>
        <w:footnoteRef/>
      </w:r>
      <w:r w:rsidRPr="00FA0032">
        <w:rPr>
          <w:sz w:val="16"/>
          <w:lang w:val="ru-RU"/>
        </w:rPr>
        <w:t xml:space="preserve"> То же.</w:t>
      </w:r>
    </w:p>
  </w:footnote>
  <w:footnote w:id="148">
    <w:p w:rsidR="00EE0D83" w:rsidRPr="00FA0032" w:rsidRDefault="00EE0D83" w:rsidP="00FA0032">
      <w:pPr>
        <w:pStyle w:val="FootnoteText"/>
        <w:rPr>
          <w:lang w:val="ru-RU"/>
        </w:rPr>
      </w:pPr>
      <w:r>
        <w:rPr>
          <w:rStyle w:val="FootnoteReference"/>
          <w:sz w:val="16"/>
        </w:rPr>
        <w:footnoteRef/>
      </w:r>
      <w:r w:rsidRPr="00FA0032">
        <w:rPr>
          <w:sz w:val="16"/>
          <w:lang w:val="ru-RU"/>
        </w:rPr>
        <w:t xml:space="preserve"> Поправка: базовый показатель был обновлен, чтобы отразить наиболее актуальные цифры.  В 2014</w:t>
      </w:r>
      <w:r>
        <w:rPr>
          <w:sz w:val="16"/>
        </w:rPr>
        <w:t> </w:t>
      </w:r>
      <w:r w:rsidRPr="00FA0032">
        <w:rPr>
          <w:sz w:val="16"/>
          <w:lang w:val="ru-RU"/>
        </w:rPr>
        <w:t>г. расходы на печать одной страницы составляли 0,15 шв. франков, а не 0,14 шв. франков, как сообщалось в ОРП 2014</w:t>
      </w:r>
      <w:r>
        <w:rPr>
          <w:sz w:val="16"/>
        </w:rPr>
        <w:t> </w:t>
      </w:r>
      <w:r w:rsidRPr="00FA0032">
        <w:rPr>
          <w:sz w:val="16"/>
          <w:lang w:val="ru-RU"/>
        </w:rPr>
        <w:t>г.</w:t>
      </w:r>
    </w:p>
  </w:footnote>
  <w:footnote w:id="149">
    <w:p w:rsidR="00EE0D83" w:rsidRPr="00C85043" w:rsidRDefault="00EE0D83" w:rsidP="00C85043">
      <w:pPr>
        <w:pStyle w:val="FootnoteText"/>
        <w:rPr>
          <w:lang w:val="ru-RU"/>
        </w:rPr>
      </w:pPr>
      <w:r>
        <w:rPr>
          <w:rStyle w:val="FootnoteReference"/>
        </w:rPr>
        <w:footnoteRef/>
      </w:r>
      <w:r w:rsidRPr="00C85043">
        <w:rPr>
          <w:lang w:val="ru-RU"/>
        </w:rPr>
        <w:t xml:space="preserve"> </w:t>
      </w:r>
      <w:r w:rsidRPr="00C85043">
        <w:rPr>
          <w:sz w:val="16"/>
          <w:lang w:val="ru-RU"/>
        </w:rPr>
        <w:t>Обзор бюджетного процесса, применяемого к проектам, предложенным Комитетом по развитию и интеллектуальной собственности (КРИС) в целях реализации рекомендаций Повестки дня в области развития (</w:t>
      </w:r>
      <w:r>
        <w:rPr>
          <w:sz w:val="16"/>
        </w:rPr>
        <w:t>A</w:t>
      </w:r>
      <w:r w:rsidRPr="00C85043">
        <w:rPr>
          <w:sz w:val="16"/>
          <w:lang w:val="ru-RU"/>
        </w:rPr>
        <w:t xml:space="preserve">/48/5 </w:t>
      </w:r>
      <w:r>
        <w:rPr>
          <w:sz w:val="16"/>
        </w:rPr>
        <w:t>REV</w:t>
      </w:r>
      <w:r w:rsidRPr="00C85043">
        <w:rPr>
          <w:sz w:val="16"/>
          <w:lang w:val="ru-RU"/>
        </w:rPr>
        <w:t>.)</w:t>
      </w:r>
    </w:p>
  </w:footnote>
  <w:footnote w:id="150">
    <w:p w:rsidR="00EE0D83" w:rsidRPr="0096004B" w:rsidRDefault="00EE0D83" w:rsidP="00580A3D">
      <w:pPr>
        <w:pStyle w:val="FootnoteText"/>
        <w:rPr>
          <w:sz w:val="16"/>
          <w:szCs w:val="16"/>
          <w:lang w:val="ru-RU"/>
        </w:rPr>
      </w:pPr>
      <w:r w:rsidRPr="0096004B">
        <w:rPr>
          <w:rStyle w:val="FootnoteReference"/>
          <w:sz w:val="16"/>
          <w:szCs w:val="16"/>
          <w:lang w:val="ru-RU"/>
        </w:rPr>
        <w:footnoteRef/>
      </w:r>
      <w:r w:rsidRPr="0096004B">
        <w:rPr>
          <w:sz w:val="16"/>
          <w:szCs w:val="16"/>
          <w:lang w:val="ru-RU"/>
        </w:rPr>
        <w:t xml:space="preserve"> Ожидаемый срок завершения: март 2016 г.</w:t>
      </w:r>
    </w:p>
  </w:footnote>
  <w:footnote w:id="151">
    <w:p w:rsidR="00EE0D83" w:rsidRPr="006B7C20" w:rsidRDefault="00EE0D83" w:rsidP="00580A3D">
      <w:pPr>
        <w:pStyle w:val="FootnoteText"/>
        <w:rPr>
          <w:sz w:val="16"/>
          <w:szCs w:val="16"/>
          <w:lang w:val="pt-PT"/>
        </w:rPr>
      </w:pPr>
      <w:r w:rsidRPr="006D0FA3">
        <w:rPr>
          <w:rStyle w:val="FootnoteReference"/>
          <w:rFonts w:eastAsia="SimSun"/>
          <w:sz w:val="16"/>
          <w:szCs w:val="16"/>
        </w:rPr>
        <w:footnoteRef/>
      </w:r>
      <w:r w:rsidRPr="006D0FA3">
        <w:rPr>
          <w:sz w:val="16"/>
          <w:szCs w:val="16"/>
          <w:lang w:val="ru-RU"/>
        </w:rPr>
        <w:t xml:space="preserve"> Целевой фонд был создан на основании Меморандума о взаимопонимании между ВОИС и ПРООН, подписанного в октябре 2015 г., и использовался в рамках совместного проекта</w:t>
      </w:r>
      <w:r w:rsidRPr="006D0FA3">
        <w:rPr>
          <w:lang w:val="ru-RU"/>
        </w:rPr>
        <w:t xml:space="preserve"> </w:t>
      </w:r>
      <w:r w:rsidRPr="006D0FA3">
        <w:rPr>
          <w:sz w:val="16"/>
          <w:szCs w:val="16"/>
          <w:lang w:val="ru-RU"/>
        </w:rPr>
        <w:t>Бразильского инновационного агентства (FINEP) и Бразильского отделения ПРООН (</w:t>
      </w:r>
      <w:r w:rsidRPr="0096004B">
        <w:rPr>
          <w:sz w:val="16"/>
          <w:szCs w:val="16"/>
          <w:lang w:val="pt-BR"/>
        </w:rPr>
        <w:t xml:space="preserve">PNUD: BRA 12/001 </w:t>
      </w:r>
      <w:r w:rsidRPr="0096004B">
        <w:rPr>
          <w:i/>
          <w:iCs/>
          <w:sz w:val="16"/>
          <w:szCs w:val="16"/>
          <w:lang w:val="pt-BR"/>
        </w:rPr>
        <w:t>Promoção da Inovação para o Desenvolvimento Sustentável</w:t>
      </w:r>
      <w:r w:rsidRPr="006D0FA3">
        <w:rPr>
          <w:sz w:val="16"/>
          <w:szCs w:val="16"/>
          <w:lang w:val="ru-RU"/>
        </w:rPr>
        <w:t>).</w:t>
      </w:r>
    </w:p>
  </w:footnote>
  <w:footnote w:id="152">
    <w:p w:rsidR="00EE0D83" w:rsidRPr="0096004B" w:rsidRDefault="00EE0D83" w:rsidP="00580A3D">
      <w:pPr>
        <w:pStyle w:val="FootnoteText"/>
        <w:rPr>
          <w:sz w:val="16"/>
          <w:szCs w:val="16"/>
          <w:lang w:val="ru-RU"/>
        </w:rPr>
      </w:pPr>
      <w:r w:rsidRPr="0096004B">
        <w:rPr>
          <w:rStyle w:val="FootnoteReference"/>
          <w:rFonts w:eastAsia="SimSun"/>
          <w:sz w:val="16"/>
          <w:szCs w:val="16"/>
          <w:lang w:val="ru-RU"/>
        </w:rPr>
        <w:footnoteRef/>
      </w:r>
      <w:r w:rsidRPr="0096004B">
        <w:rPr>
          <w:sz w:val="16"/>
          <w:szCs w:val="16"/>
          <w:lang w:val="ru-RU"/>
        </w:rPr>
        <w:t xml:space="preserve"> Проект инициирован в августе 2014 г.</w:t>
      </w:r>
    </w:p>
  </w:footnote>
  <w:footnote w:id="153">
    <w:p w:rsidR="00EE0D83" w:rsidRPr="0096004B" w:rsidRDefault="00EE0D83" w:rsidP="00580A3D">
      <w:pPr>
        <w:pStyle w:val="FootnoteText"/>
        <w:rPr>
          <w:lang w:val="ru-RU"/>
        </w:rPr>
      </w:pPr>
      <w:r w:rsidRPr="0096004B">
        <w:rPr>
          <w:rStyle w:val="FootnoteReference"/>
          <w:rFonts w:eastAsia="SimSun"/>
          <w:sz w:val="16"/>
          <w:szCs w:val="16"/>
          <w:lang w:val="ru-RU"/>
        </w:rPr>
        <w:footnoteRef/>
      </w:r>
      <w:r w:rsidRPr="0096004B">
        <w:rPr>
          <w:sz w:val="16"/>
          <w:szCs w:val="16"/>
          <w:lang w:val="ru-RU"/>
        </w:rPr>
        <w:t xml:space="preserve"> Проект инициирован в сентябре 2014 г.</w:t>
      </w:r>
    </w:p>
  </w:footnote>
  <w:footnote w:id="154">
    <w:p w:rsidR="00EE0D83" w:rsidRPr="006D7B9D" w:rsidRDefault="00EE0D83" w:rsidP="00580A3D">
      <w:pPr>
        <w:pStyle w:val="FootnoteText"/>
        <w:rPr>
          <w:sz w:val="16"/>
          <w:szCs w:val="16"/>
          <w:lang w:val="ru-RU"/>
        </w:rPr>
      </w:pPr>
      <w:r w:rsidRPr="00F150B4">
        <w:rPr>
          <w:rStyle w:val="FootnoteReference"/>
          <w:sz w:val="16"/>
          <w:szCs w:val="16"/>
        </w:rPr>
        <w:footnoteRef/>
      </w:r>
      <w:r w:rsidRPr="00F150B4">
        <w:rPr>
          <w:sz w:val="16"/>
          <w:szCs w:val="16"/>
          <w:lang w:val="ru-RU"/>
        </w:rPr>
        <w:t xml:space="preserve"> </w:t>
      </w:r>
      <w:hyperlink r:id="rId22" w:history="1">
        <w:r w:rsidRPr="00F43BB5">
          <w:rPr>
            <w:rStyle w:val="Hyperlink"/>
            <w:sz w:val="16"/>
            <w:szCs w:val="16"/>
            <w:lang w:val="ru-RU"/>
          </w:rPr>
          <w:t>http://www.wipo.int/publications/en/details.jsp?id=259&amp;plang=EN</w:t>
        </w:r>
      </w:hyperlink>
      <w:r>
        <w:rPr>
          <w:rStyle w:val="Strong"/>
          <w:sz w:val="16"/>
          <w:szCs w:val="16"/>
          <w:lang w:val="ru-RU"/>
        </w:rPr>
        <w:t xml:space="preserve"> </w:t>
      </w:r>
    </w:p>
  </w:footnote>
  <w:footnote w:id="155">
    <w:p w:rsidR="00EE0D83" w:rsidRPr="006D7B9D" w:rsidRDefault="00EE0D83" w:rsidP="00580A3D">
      <w:pPr>
        <w:pStyle w:val="FootnoteText"/>
        <w:rPr>
          <w:lang w:val="ru-RU"/>
        </w:rPr>
      </w:pPr>
      <w:r w:rsidRPr="00152E3E">
        <w:rPr>
          <w:rStyle w:val="FootnoteReference"/>
          <w:rFonts w:cs="Arial"/>
          <w:sz w:val="16"/>
          <w:szCs w:val="16"/>
        </w:rPr>
        <w:footnoteRef/>
      </w:r>
      <w:r w:rsidRPr="00152E3E">
        <w:rPr>
          <w:rFonts w:cs="Arial"/>
          <w:sz w:val="16"/>
          <w:szCs w:val="16"/>
          <w:lang w:val="ru-RU"/>
        </w:rPr>
        <w:t xml:space="preserve"> В октябре 2012 г. был подписан Меморандум о создании целевого фонда FIT/IBERO в качестве финансового инструмента Ибероамериканской программы по промышленной собственности.  Меморандум был обновлен в октябре 2015 г.</w:t>
      </w:r>
    </w:p>
  </w:footnote>
  <w:footnote w:id="156">
    <w:p w:rsidR="00EE0D83" w:rsidRPr="0096004B" w:rsidRDefault="00EE0D83" w:rsidP="00580A3D">
      <w:pPr>
        <w:pStyle w:val="FootnoteText"/>
        <w:rPr>
          <w:sz w:val="16"/>
          <w:szCs w:val="16"/>
          <w:lang w:val="ru-RU"/>
        </w:rPr>
      </w:pPr>
      <w:r w:rsidRPr="0096004B">
        <w:rPr>
          <w:rStyle w:val="FootnoteReference"/>
          <w:sz w:val="16"/>
          <w:szCs w:val="16"/>
          <w:lang w:val="ru-RU"/>
        </w:rPr>
        <w:footnoteRef/>
      </w:r>
      <w:r w:rsidRPr="0096004B">
        <w:rPr>
          <w:sz w:val="16"/>
          <w:szCs w:val="16"/>
          <w:lang w:val="ru-RU"/>
        </w:rPr>
        <w:t xml:space="preserve"> Проект инициирован в июне 2013 г.</w:t>
      </w:r>
    </w:p>
  </w:footnote>
  <w:footnote w:id="157">
    <w:p w:rsidR="00EE0D83" w:rsidRPr="006D7B9D" w:rsidRDefault="00EE0D83" w:rsidP="00580A3D">
      <w:pPr>
        <w:pStyle w:val="FootnoteText"/>
        <w:rPr>
          <w:sz w:val="16"/>
          <w:szCs w:val="16"/>
          <w:lang w:val="ru-RU"/>
        </w:rPr>
      </w:pPr>
      <w:r w:rsidRPr="007B0988">
        <w:rPr>
          <w:rStyle w:val="FootnoteReference"/>
          <w:sz w:val="16"/>
          <w:szCs w:val="16"/>
        </w:rPr>
        <w:footnoteRef/>
      </w:r>
      <w:r w:rsidRPr="007B0988">
        <w:rPr>
          <w:sz w:val="16"/>
          <w:szCs w:val="16"/>
          <w:lang w:val="ru-RU"/>
        </w:rPr>
        <w:t xml:space="preserve"> </w:t>
      </w:r>
      <w:hyperlink r:id="rId23" w:history="1">
        <w:r w:rsidRPr="007B0988">
          <w:rPr>
            <w:rStyle w:val="Hyperlink"/>
            <w:sz w:val="16"/>
            <w:szCs w:val="16"/>
            <w:lang w:val="ru-RU"/>
          </w:rPr>
          <w:t>http://www.uibm.gov.it/attachments/FINAL%20Guide_for_IP%20Agri-food%20SME%20_Italian_publication_EN_GBA-Jaiya.pdf</w:t>
        </w:r>
      </w:hyperlink>
      <w:r w:rsidRPr="007B0988">
        <w:rPr>
          <w:sz w:val="16"/>
          <w:szCs w:val="16"/>
          <w:lang w:val="ru-RU"/>
        </w:rPr>
        <w:t xml:space="preserve"> </w:t>
      </w:r>
    </w:p>
  </w:footnote>
  <w:footnote w:id="158">
    <w:p w:rsidR="00EE0D83" w:rsidRPr="0096004B" w:rsidRDefault="00EE0D83" w:rsidP="00580A3D">
      <w:pPr>
        <w:pStyle w:val="FootnoteText"/>
        <w:rPr>
          <w:lang w:val="ru-RU"/>
        </w:rPr>
      </w:pPr>
      <w:r w:rsidRPr="0096004B">
        <w:rPr>
          <w:rStyle w:val="FootnoteReference"/>
          <w:sz w:val="16"/>
          <w:szCs w:val="16"/>
          <w:lang w:val="ru-RU"/>
        </w:rPr>
        <w:footnoteRef/>
      </w:r>
      <w:r w:rsidRPr="0096004B">
        <w:rPr>
          <w:sz w:val="16"/>
          <w:szCs w:val="16"/>
          <w:lang w:val="ru-RU"/>
        </w:rPr>
        <w:t xml:space="preserve"> Проект инициирован в марте 2014 г.</w:t>
      </w:r>
    </w:p>
  </w:footnote>
  <w:footnote w:id="159">
    <w:p w:rsidR="00EE0D83" w:rsidRPr="006D7B9D" w:rsidRDefault="00EE0D83" w:rsidP="00580A3D">
      <w:pPr>
        <w:pStyle w:val="FootnoteText"/>
        <w:rPr>
          <w:sz w:val="16"/>
          <w:szCs w:val="16"/>
          <w:lang w:val="ru-RU"/>
        </w:rPr>
      </w:pPr>
      <w:r w:rsidRPr="00062D72">
        <w:rPr>
          <w:rStyle w:val="FootnoteReference"/>
          <w:sz w:val="16"/>
          <w:szCs w:val="16"/>
        </w:rPr>
        <w:footnoteRef/>
      </w:r>
      <w:r w:rsidRPr="00062D72">
        <w:rPr>
          <w:sz w:val="16"/>
          <w:szCs w:val="16"/>
          <w:lang w:val="ru-RU"/>
        </w:rPr>
        <w:t xml:space="preserve"> Проект инициирован в октябре 2014 г.</w:t>
      </w:r>
    </w:p>
  </w:footnote>
  <w:footnote w:id="160">
    <w:p w:rsidR="00EE0D83" w:rsidRPr="006D7B9D" w:rsidRDefault="00EE0D83" w:rsidP="00580A3D">
      <w:pPr>
        <w:pStyle w:val="FootnoteText"/>
        <w:rPr>
          <w:lang w:val="ru-RU"/>
        </w:rPr>
      </w:pPr>
      <w:r w:rsidRPr="00062D72">
        <w:rPr>
          <w:rStyle w:val="FootnoteReference"/>
          <w:sz w:val="16"/>
          <w:szCs w:val="16"/>
        </w:rPr>
        <w:footnoteRef/>
      </w:r>
      <w:r w:rsidRPr="00062D72">
        <w:rPr>
          <w:sz w:val="16"/>
          <w:szCs w:val="16"/>
          <w:lang w:val="ru-RU"/>
        </w:rPr>
        <w:t xml:space="preserve"> Проект инициирован в феврале 2013 г.</w:t>
      </w:r>
    </w:p>
  </w:footnote>
  <w:footnote w:id="161">
    <w:p w:rsidR="00EE0D83" w:rsidRPr="0096004B" w:rsidRDefault="00EE0D83" w:rsidP="00580A3D">
      <w:pPr>
        <w:pStyle w:val="FootnoteText"/>
        <w:rPr>
          <w:sz w:val="16"/>
          <w:szCs w:val="16"/>
          <w:lang w:val="ru-RU"/>
        </w:rPr>
      </w:pPr>
      <w:r w:rsidRPr="0096004B">
        <w:rPr>
          <w:rStyle w:val="FootnoteReference"/>
          <w:sz w:val="16"/>
          <w:szCs w:val="16"/>
          <w:lang w:val="ru-RU"/>
        </w:rPr>
        <w:footnoteRef/>
      </w:r>
      <w:r w:rsidRPr="0096004B">
        <w:rPr>
          <w:sz w:val="16"/>
          <w:szCs w:val="16"/>
          <w:lang w:val="ru-RU"/>
        </w:rPr>
        <w:t xml:space="preserve"> Проект инициирован в октябре 2014 г.</w:t>
      </w:r>
    </w:p>
  </w:footnote>
  <w:footnote w:id="162">
    <w:p w:rsidR="00EE0D83" w:rsidRPr="0096004B" w:rsidRDefault="00EE0D83" w:rsidP="00580A3D">
      <w:pPr>
        <w:pStyle w:val="FootnoteText"/>
        <w:rPr>
          <w:sz w:val="16"/>
          <w:szCs w:val="16"/>
          <w:lang w:val="ru-RU"/>
        </w:rPr>
      </w:pPr>
      <w:r w:rsidRPr="0096004B">
        <w:rPr>
          <w:rStyle w:val="FootnoteReference"/>
          <w:sz w:val="16"/>
          <w:szCs w:val="16"/>
          <w:lang w:val="ru-RU"/>
        </w:rPr>
        <w:footnoteRef/>
      </w:r>
      <w:r w:rsidRPr="0096004B">
        <w:rPr>
          <w:sz w:val="16"/>
          <w:szCs w:val="16"/>
          <w:lang w:val="ru-RU"/>
        </w:rPr>
        <w:t xml:space="preserve"> Проект инициирован в декабре 2014 г.</w:t>
      </w:r>
    </w:p>
  </w:footnote>
  <w:footnote w:id="163">
    <w:p w:rsidR="00EE0D83" w:rsidRPr="0096004B" w:rsidRDefault="00EE0D83" w:rsidP="00580A3D">
      <w:pPr>
        <w:pStyle w:val="FootnoteText"/>
        <w:rPr>
          <w:sz w:val="16"/>
          <w:szCs w:val="16"/>
          <w:lang w:val="ru-RU"/>
        </w:rPr>
      </w:pPr>
      <w:r w:rsidRPr="0096004B">
        <w:rPr>
          <w:rStyle w:val="FootnoteReference"/>
          <w:sz w:val="16"/>
          <w:szCs w:val="16"/>
          <w:lang w:val="ru-RU"/>
        </w:rPr>
        <w:footnoteRef/>
      </w:r>
      <w:r w:rsidRPr="0096004B">
        <w:rPr>
          <w:sz w:val="16"/>
          <w:szCs w:val="16"/>
          <w:lang w:val="ru-RU"/>
        </w:rPr>
        <w:t xml:space="preserve"> Проект инициирован в сентябре 2014 г.</w:t>
      </w:r>
    </w:p>
  </w:footnote>
  <w:footnote w:id="164">
    <w:p w:rsidR="00EE0D83" w:rsidRPr="00614BCC" w:rsidRDefault="00EE0D83">
      <w:pPr>
        <w:pStyle w:val="FootnoteText"/>
        <w:rPr>
          <w:lang w:val="ru-RU"/>
        </w:rPr>
      </w:pPr>
      <w:r>
        <w:rPr>
          <w:rStyle w:val="FootnoteReference"/>
        </w:rPr>
        <w:footnoteRef/>
      </w:r>
      <w:r w:rsidRPr="00614BCC">
        <w:rPr>
          <w:lang w:val="ru-RU"/>
        </w:rPr>
        <w:t xml:space="preserve"> </w:t>
      </w:r>
      <w:r>
        <w:rPr>
          <w:lang w:val="ru-RU"/>
        </w:rPr>
        <w:t>ЦФ</w:t>
      </w:r>
      <w:r w:rsidRPr="00614BCC">
        <w:rPr>
          <w:lang w:val="ru-RU"/>
        </w:rPr>
        <w:t>-</w:t>
      </w:r>
      <w:r>
        <w:rPr>
          <w:lang w:val="ru-RU"/>
        </w:rPr>
        <w:t>Мексика</w:t>
      </w:r>
      <w:r w:rsidRPr="00614BCC">
        <w:rPr>
          <w:lang w:val="ru-RU"/>
        </w:rPr>
        <w:t xml:space="preserve"> </w:t>
      </w:r>
      <w:r>
        <w:rPr>
          <w:lang w:val="ru-RU"/>
        </w:rPr>
        <w:t>также</w:t>
      </w:r>
      <w:r w:rsidRPr="00614BCC">
        <w:rPr>
          <w:lang w:val="ru-RU"/>
        </w:rPr>
        <w:t xml:space="preserve"> </w:t>
      </w:r>
      <w:r>
        <w:rPr>
          <w:lang w:val="ru-RU"/>
        </w:rPr>
        <w:t>финансировал</w:t>
      </w:r>
      <w:r w:rsidRPr="00614BCC">
        <w:rPr>
          <w:lang w:val="ru-RU"/>
        </w:rPr>
        <w:t xml:space="preserve"> </w:t>
      </w:r>
      <w:r>
        <w:rPr>
          <w:lang w:val="ru-RU"/>
        </w:rPr>
        <w:t>два</w:t>
      </w:r>
      <w:r w:rsidRPr="00614BCC">
        <w:rPr>
          <w:lang w:val="ru-RU"/>
        </w:rPr>
        <w:t xml:space="preserve"> </w:t>
      </w:r>
      <w:r>
        <w:rPr>
          <w:lang w:val="ru-RU"/>
        </w:rPr>
        <w:t>мероприятия</w:t>
      </w:r>
      <w:r w:rsidRPr="00614BCC">
        <w:rPr>
          <w:lang w:val="ru-RU"/>
        </w:rPr>
        <w:t xml:space="preserve"> </w:t>
      </w:r>
      <w:r>
        <w:rPr>
          <w:lang w:val="ru-RU"/>
        </w:rPr>
        <w:t>совместно</w:t>
      </w:r>
      <w:r w:rsidRPr="00614BCC">
        <w:rPr>
          <w:lang w:val="ru-RU"/>
        </w:rPr>
        <w:t xml:space="preserve"> </w:t>
      </w:r>
      <w:r>
        <w:rPr>
          <w:lang w:val="ru-RU"/>
        </w:rPr>
        <w:t>с</w:t>
      </w:r>
      <w:r w:rsidRPr="00614BCC">
        <w:rPr>
          <w:lang w:val="ru-RU"/>
        </w:rPr>
        <w:t xml:space="preserve"> </w:t>
      </w:r>
      <w:r>
        <w:rPr>
          <w:lang w:val="ru-RU"/>
        </w:rPr>
        <w:t>ЦФ</w:t>
      </w:r>
      <w:r w:rsidRPr="00614BCC">
        <w:rPr>
          <w:lang w:val="ru-RU"/>
        </w:rPr>
        <w:t>-</w:t>
      </w:r>
      <w:r>
        <w:rPr>
          <w:lang w:val="ru-RU"/>
        </w:rPr>
        <w:t>Испания</w:t>
      </w:r>
      <w:r w:rsidRPr="00614BCC">
        <w:rPr>
          <w:lang w:val="ru-RU"/>
        </w:rPr>
        <w:t xml:space="preserve"> (</w:t>
      </w:r>
      <w:r>
        <w:rPr>
          <w:lang w:val="ru-RU"/>
        </w:rPr>
        <w:t>см. ниже</w:t>
      </w:r>
      <w:r w:rsidRPr="00614BCC">
        <w:rPr>
          <w:lang w:val="ru-RU"/>
        </w:rPr>
        <w:t xml:space="preserve">).  </w:t>
      </w:r>
    </w:p>
  </w:footnote>
  <w:footnote w:id="165">
    <w:p w:rsidR="00EE0D83" w:rsidRPr="006D7B9D" w:rsidRDefault="00EE0D83" w:rsidP="00580A3D">
      <w:pPr>
        <w:pStyle w:val="FootnoteText"/>
        <w:rPr>
          <w:rFonts w:cs="Arial"/>
          <w:sz w:val="16"/>
          <w:szCs w:val="16"/>
          <w:lang w:val="ru-RU"/>
        </w:rPr>
      </w:pPr>
      <w:r w:rsidRPr="0096004B">
        <w:rPr>
          <w:rStyle w:val="FootnoteReference"/>
          <w:rFonts w:cs="Arial"/>
          <w:sz w:val="16"/>
          <w:szCs w:val="16"/>
          <w:lang w:val="ru-RU"/>
        </w:rPr>
        <w:footnoteRef/>
      </w:r>
      <w:r w:rsidRPr="0096004B">
        <w:rPr>
          <w:rFonts w:cs="Arial"/>
          <w:sz w:val="16"/>
          <w:szCs w:val="16"/>
          <w:lang w:val="ru-RU"/>
        </w:rPr>
        <w:t>В 2015 г. Испанскому целевому фонду (FIT/ES) исполнилось 10 лет.  FIT/ES используется для разработки, планирования и реализации региональных проектов в области промышленной собственности в Ибероамериканском регионе.  ИС как инструмент  всё чаще учитывается при принятии государственной политики по поощрению инноваций, а следовательно и</w:t>
      </w:r>
      <w:r w:rsidRPr="00FE196C">
        <w:rPr>
          <w:rFonts w:cs="Arial"/>
          <w:sz w:val="16"/>
          <w:szCs w:val="16"/>
          <w:lang w:val="ru-RU"/>
        </w:rPr>
        <w:t xml:space="preserve"> экономической активности в целом, на благо общества.  В этой связи сотрудничество в рамках FIT/ES нацелено на:  (i) распространение испанского языка как языка технологий;  (ii) поддержку мероприятий по институциональному укреплению и подготовке кадров;  (iii) распространение промышленной собственности в МСП и университетах;  и (iv) модернизацию и обмен опытом между ведомствами промышленной собственности для повышения качества услуг.</w:t>
      </w:r>
    </w:p>
  </w:footnote>
  <w:footnote w:id="166">
    <w:p w:rsidR="00EE0D83" w:rsidRPr="00614BCC" w:rsidRDefault="00EE0D83">
      <w:pPr>
        <w:pStyle w:val="FootnoteText"/>
        <w:rPr>
          <w:lang w:val="ru-RU"/>
        </w:rPr>
      </w:pPr>
      <w:r>
        <w:rPr>
          <w:rStyle w:val="FootnoteReference"/>
        </w:rPr>
        <w:footnoteRef/>
      </w:r>
      <w:r w:rsidRPr="00614BCC">
        <w:rPr>
          <w:lang w:val="ru-RU"/>
        </w:rPr>
        <w:t xml:space="preserve"> </w:t>
      </w:r>
      <w:r>
        <w:rPr>
          <w:lang w:val="ru-RU"/>
        </w:rPr>
        <w:t>Это мероприятие финансировалось совместно с ЦФ-Мексика.</w:t>
      </w:r>
    </w:p>
  </w:footnote>
  <w:footnote w:id="167">
    <w:p w:rsidR="00EE0D83" w:rsidRPr="00E47078" w:rsidRDefault="00EE0D83">
      <w:pPr>
        <w:pStyle w:val="FootnoteText"/>
        <w:rPr>
          <w:lang w:val="ru-RU"/>
        </w:rPr>
      </w:pPr>
      <w:r>
        <w:rPr>
          <w:rStyle w:val="FootnoteReference"/>
        </w:rPr>
        <w:footnoteRef/>
      </w:r>
      <w:r w:rsidRPr="00E47078">
        <w:rPr>
          <w:lang w:val="ru-RU"/>
        </w:rPr>
        <w:t xml:space="preserve"> </w:t>
      </w:r>
      <w:r>
        <w:rPr>
          <w:lang w:val="ru-RU"/>
        </w:rPr>
        <w:t xml:space="preserve">Как и выше. </w:t>
      </w:r>
    </w:p>
  </w:footnote>
  <w:footnote w:id="168">
    <w:p w:rsidR="00EE0D83" w:rsidRPr="006D7B9D" w:rsidRDefault="00EE0D83" w:rsidP="00580A3D">
      <w:pPr>
        <w:pStyle w:val="FootnoteText"/>
        <w:rPr>
          <w:rFonts w:cs="Arial"/>
          <w:sz w:val="16"/>
          <w:szCs w:val="16"/>
          <w:lang w:val="ru-RU"/>
        </w:rPr>
      </w:pPr>
      <w:r w:rsidRPr="00053B5B">
        <w:rPr>
          <w:rStyle w:val="FootnoteReference"/>
          <w:rFonts w:cs="Arial"/>
          <w:sz w:val="16"/>
          <w:szCs w:val="16"/>
        </w:rPr>
        <w:footnoteRef/>
      </w:r>
      <w:r w:rsidRPr="00053B5B">
        <w:rPr>
          <w:rFonts w:cs="Arial"/>
          <w:sz w:val="16"/>
          <w:szCs w:val="16"/>
          <w:lang w:val="ru-RU"/>
        </w:rPr>
        <w:t xml:space="preserve"> Проект инициирован в мае 2014 г.  Ожидаемый срок завершения: май 2016 г.</w:t>
      </w:r>
    </w:p>
  </w:footnote>
  <w:footnote w:id="169">
    <w:p w:rsidR="00EE0D83" w:rsidRPr="00580A3D" w:rsidRDefault="00EE0D83" w:rsidP="00C85043">
      <w:pPr>
        <w:pStyle w:val="FootnoteText"/>
        <w:rPr>
          <w:sz w:val="16"/>
          <w:szCs w:val="16"/>
          <w:lang w:val="ru-RU"/>
        </w:rPr>
      </w:pPr>
      <w:r>
        <w:rPr>
          <w:rStyle w:val="FootnoteReference"/>
          <w:sz w:val="16"/>
          <w:szCs w:val="16"/>
        </w:rPr>
        <w:footnoteRef/>
      </w:r>
      <w:r w:rsidRPr="00580A3D">
        <w:rPr>
          <w:sz w:val="16"/>
          <w:szCs w:val="16"/>
          <w:lang w:val="ru-RU"/>
        </w:rPr>
        <w:t xml:space="preserve"> </w:t>
      </w:r>
      <w:r>
        <w:rPr>
          <w:sz w:val="16"/>
          <w:szCs w:val="16"/>
        </w:rPr>
        <w:t>http</w:t>
      </w:r>
      <w:r w:rsidRPr="00580A3D">
        <w:rPr>
          <w:sz w:val="16"/>
          <w:szCs w:val="16"/>
          <w:lang w:val="ru-RU"/>
        </w:rPr>
        <w:t>://</w:t>
      </w:r>
      <w:r>
        <w:rPr>
          <w:sz w:val="16"/>
          <w:szCs w:val="16"/>
        </w:rPr>
        <w:t>www</w:t>
      </w:r>
      <w:r w:rsidRPr="00580A3D">
        <w:rPr>
          <w:sz w:val="16"/>
          <w:szCs w:val="16"/>
          <w:lang w:val="ru-RU"/>
        </w:rPr>
        <w:t>.</w:t>
      </w:r>
      <w:r>
        <w:rPr>
          <w:sz w:val="16"/>
          <w:szCs w:val="16"/>
        </w:rPr>
        <w:t>wipo</w:t>
      </w:r>
      <w:r w:rsidRPr="00580A3D">
        <w:rPr>
          <w:sz w:val="16"/>
          <w:szCs w:val="16"/>
          <w:lang w:val="ru-RU"/>
        </w:rPr>
        <w:t>.</w:t>
      </w:r>
      <w:r>
        <w:rPr>
          <w:sz w:val="16"/>
          <w:szCs w:val="16"/>
        </w:rPr>
        <w:t>int</w:t>
      </w:r>
      <w:r w:rsidRPr="00580A3D">
        <w:rPr>
          <w:sz w:val="16"/>
          <w:szCs w:val="16"/>
          <w:lang w:val="ru-RU"/>
        </w:rPr>
        <w:t>/</w:t>
      </w:r>
      <w:r>
        <w:rPr>
          <w:sz w:val="16"/>
          <w:szCs w:val="16"/>
        </w:rPr>
        <w:t>edocs</w:t>
      </w:r>
      <w:r w:rsidRPr="00580A3D">
        <w:rPr>
          <w:sz w:val="16"/>
          <w:szCs w:val="16"/>
          <w:lang w:val="ru-RU"/>
        </w:rPr>
        <w:t>/</w:t>
      </w:r>
      <w:r>
        <w:rPr>
          <w:sz w:val="16"/>
          <w:szCs w:val="16"/>
        </w:rPr>
        <w:t>mdocs</w:t>
      </w:r>
      <w:r w:rsidRPr="00580A3D">
        <w:rPr>
          <w:sz w:val="16"/>
          <w:szCs w:val="16"/>
          <w:lang w:val="ru-RU"/>
        </w:rPr>
        <w:t>/</w:t>
      </w:r>
      <w:r>
        <w:rPr>
          <w:sz w:val="16"/>
          <w:szCs w:val="16"/>
        </w:rPr>
        <w:t>govbody</w:t>
      </w:r>
      <w:r w:rsidRPr="00580A3D">
        <w:rPr>
          <w:sz w:val="16"/>
          <w:szCs w:val="16"/>
          <w:lang w:val="ru-RU"/>
        </w:rPr>
        <w:t>/</w:t>
      </w:r>
      <w:r>
        <w:rPr>
          <w:sz w:val="16"/>
          <w:szCs w:val="16"/>
        </w:rPr>
        <w:t>en</w:t>
      </w:r>
      <w:r w:rsidRPr="00580A3D">
        <w:rPr>
          <w:sz w:val="16"/>
          <w:szCs w:val="16"/>
          <w:lang w:val="ru-RU"/>
        </w:rPr>
        <w:t>/</w:t>
      </w:r>
      <w:r>
        <w:rPr>
          <w:sz w:val="16"/>
          <w:szCs w:val="16"/>
        </w:rPr>
        <w:t>a</w:t>
      </w:r>
      <w:r w:rsidRPr="00580A3D">
        <w:rPr>
          <w:sz w:val="16"/>
          <w:szCs w:val="16"/>
          <w:lang w:val="ru-RU"/>
        </w:rPr>
        <w:t>_51/</w:t>
      </w:r>
      <w:r>
        <w:rPr>
          <w:sz w:val="16"/>
          <w:szCs w:val="16"/>
        </w:rPr>
        <w:t>a</w:t>
      </w:r>
      <w:r w:rsidRPr="00580A3D">
        <w:rPr>
          <w:sz w:val="16"/>
          <w:szCs w:val="16"/>
          <w:lang w:val="ru-RU"/>
        </w:rPr>
        <w:t>_51_16.</w:t>
      </w:r>
      <w:r>
        <w:rPr>
          <w:sz w:val="16"/>
          <w:szCs w:val="16"/>
        </w:rPr>
        <w:t>pdf</w:t>
      </w:r>
    </w:p>
  </w:footnote>
  <w:footnote w:id="170">
    <w:p w:rsidR="00EE0D83" w:rsidRPr="00BF61DC" w:rsidRDefault="00EE0D83" w:rsidP="00C85043">
      <w:pPr>
        <w:pStyle w:val="FootnoteText"/>
        <w:rPr>
          <w:sz w:val="18"/>
          <w:szCs w:val="24"/>
          <w:lang w:val="ru-RU"/>
        </w:rPr>
      </w:pPr>
      <w:r>
        <w:rPr>
          <w:rStyle w:val="FootnoteReference"/>
          <w:sz w:val="16"/>
          <w:szCs w:val="16"/>
        </w:rPr>
        <w:footnoteRef/>
      </w:r>
      <w:r w:rsidRPr="00BF61DC">
        <w:rPr>
          <w:sz w:val="16"/>
          <w:szCs w:val="16"/>
          <w:lang w:val="ru-RU"/>
        </w:rPr>
        <w:t xml:space="preserve"> </w:t>
      </w:r>
      <w:r>
        <w:rPr>
          <w:sz w:val="16"/>
          <w:szCs w:val="16"/>
        </w:rPr>
        <w:t>http</w:t>
      </w:r>
      <w:r w:rsidRPr="00BF61DC">
        <w:rPr>
          <w:sz w:val="16"/>
          <w:szCs w:val="16"/>
          <w:lang w:val="ru-RU"/>
        </w:rPr>
        <w:t>://</w:t>
      </w:r>
      <w:r>
        <w:rPr>
          <w:sz w:val="16"/>
          <w:szCs w:val="16"/>
        </w:rPr>
        <w:t>www</w:t>
      </w:r>
      <w:r w:rsidRPr="00BF61DC">
        <w:rPr>
          <w:sz w:val="16"/>
          <w:szCs w:val="16"/>
          <w:lang w:val="ru-RU"/>
        </w:rPr>
        <w:t>.</w:t>
      </w:r>
      <w:r>
        <w:rPr>
          <w:sz w:val="16"/>
          <w:szCs w:val="16"/>
        </w:rPr>
        <w:t>wipo</w:t>
      </w:r>
      <w:r w:rsidRPr="00BF61DC">
        <w:rPr>
          <w:sz w:val="16"/>
          <w:szCs w:val="16"/>
          <w:lang w:val="ru-RU"/>
        </w:rPr>
        <w:t>.</w:t>
      </w:r>
      <w:r>
        <w:rPr>
          <w:sz w:val="16"/>
          <w:szCs w:val="16"/>
        </w:rPr>
        <w:t>int</w:t>
      </w:r>
      <w:r w:rsidRPr="00BF61DC">
        <w:rPr>
          <w:sz w:val="16"/>
          <w:szCs w:val="16"/>
          <w:lang w:val="ru-RU"/>
        </w:rPr>
        <w:t>/</w:t>
      </w:r>
      <w:r>
        <w:rPr>
          <w:sz w:val="16"/>
          <w:szCs w:val="16"/>
        </w:rPr>
        <w:t>edocs</w:t>
      </w:r>
      <w:r w:rsidRPr="00BF61DC">
        <w:rPr>
          <w:sz w:val="16"/>
          <w:szCs w:val="16"/>
          <w:lang w:val="ru-RU"/>
        </w:rPr>
        <w:t>/</w:t>
      </w:r>
      <w:r>
        <w:rPr>
          <w:sz w:val="16"/>
          <w:szCs w:val="16"/>
        </w:rPr>
        <w:t>mdocs</w:t>
      </w:r>
      <w:r w:rsidRPr="00BF61DC">
        <w:rPr>
          <w:sz w:val="16"/>
          <w:szCs w:val="16"/>
          <w:lang w:val="ru-RU"/>
        </w:rPr>
        <w:t>/</w:t>
      </w:r>
      <w:r>
        <w:rPr>
          <w:sz w:val="16"/>
          <w:szCs w:val="16"/>
        </w:rPr>
        <w:t>govbody</w:t>
      </w:r>
      <w:r w:rsidRPr="00BF61DC">
        <w:rPr>
          <w:sz w:val="16"/>
          <w:szCs w:val="16"/>
          <w:lang w:val="ru-RU"/>
        </w:rPr>
        <w:t>/</w:t>
      </w:r>
      <w:r>
        <w:rPr>
          <w:sz w:val="16"/>
          <w:szCs w:val="16"/>
        </w:rPr>
        <w:t>en</w:t>
      </w:r>
      <w:r w:rsidRPr="00BF61DC">
        <w:rPr>
          <w:sz w:val="16"/>
          <w:szCs w:val="16"/>
          <w:lang w:val="ru-RU"/>
        </w:rPr>
        <w:t>/</w:t>
      </w:r>
      <w:r>
        <w:rPr>
          <w:sz w:val="16"/>
          <w:szCs w:val="16"/>
        </w:rPr>
        <w:t>wo</w:t>
      </w:r>
      <w:r w:rsidRPr="00BF61DC">
        <w:rPr>
          <w:sz w:val="16"/>
          <w:szCs w:val="16"/>
          <w:lang w:val="ru-RU"/>
        </w:rPr>
        <w:t>_</w:t>
      </w:r>
      <w:r>
        <w:rPr>
          <w:sz w:val="16"/>
          <w:szCs w:val="16"/>
        </w:rPr>
        <w:t>pbc</w:t>
      </w:r>
      <w:r w:rsidRPr="00BF61DC">
        <w:rPr>
          <w:sz w:val="16"/>
          <w:szCs w:val="16"/>
          <w:lang w:val="ru-RU"/>
        </w:rPr>
        <w:t>_22/</w:t>
      </w:r>
      <w:r>
        <w:rPr>
          <w:sz w:val="16"/>
          <w:szCs w:val="16"/>
        </w:rPr>
        <w:t>wo</w:t>
      </w:r>
      <w:r w:rsidRPr="00BF61DC">
        <w:rPr>
          <w:sz w:val="16"/>
          <w:szCs w:val="16"/>
          <w:lang w:val="ru-RU"/>
        </w:rPr>
        <w:t>_</w:t>
      </w:r>
      <w:r>
        <w:rPr>
          <w:sz w:val="16"/>
          <w:szCs w:val="16"/>
        </w:rPr>
        <w:t>pbc</w:t>
      </w:r>
      <w:r w:rsidRPr="00BF61DC">
        <w:rPr>
          <w:sz w:val="16"/>
          <w:szCs w:val="16"/>
          <w:lang w:val="ru-RU"/>
        </w:rPr>
        <w:t>_22_21.</w:t>
      </w:r>
      <w:r>
        <w:rPr>
          <w:sz w:val="16"/>
          <w:szCs w:val="16"/>
        </w:rPr>
        <w:t>pdf</w:t>
      </w:r>
    </w:p>
  </w:footnote>
  <w:footnote w:id="171">
    <w:p w:rsidR="00EE0D83" w:rsidRPr="006A6958" w:rsidRDefault="00EE0D83" w:rsidP="00C85043">
      <w:pPr>
        <w:pStyle w:val="FootnoteText"/>
        <w:rPr>
          <w:sz w:val="16"/>
          <w:szCs w:val="16"/>
          <w:lang w:val="ru-RU"/>
        </w:rPr>
      </w:pPr>
      <w:r w:rsidRPr="00A378B8">
        <w:rPr>
          <w:rStyle w:val="FootnoteReference"/>
          <w:sz w:val="16"/>
          <w:szCs w:val="16"/>
        </w:rPr>
        <w:footnoteRef/>
      </w:r>
      <w:r w:rsidRPr="006A6958">
        <w:rPr>
          <w:sz w:val="16"/>
          <w:szCs w:val="16"/>
          <w:lang w:val="ru-RU"/>
        </w:rPr>
        <w:t xml:space="preserve"> </w:t>
      </w:r>
      <w:r>
        <w:rPr>
          <w:sz w:val="16"/>
          <w:szCs w:val="16"/>
          <w:lang w:val="ru-RU"/>
        </w:rPr>
        <w:t>Следует</w:t>
      </w:r>
      <w:r w:rsidRPr="006A6958">
        <w:rPr>
          <w:sz w:val="16"/>
          <w:szCs w:val="16"/>
          <w:lang w:val="ru-RU"/>
        </w:rPr>
        <w:t xml:space="preserve"> </w:t>
      </w:r>
      <w:r>
        <w:rPr>
          <w:sz w:val="16"/>
          <w:szCs w:val="16"/>
          <w:lang w:val="ru-RU"/>
        </w:rPr>
        <w:t>иметь</w:t>
      </w:r>
      <w:r w:rsidRPr="006A6958">
        <w:rPr>
          <w:sz w:val="16"/>
          <w:szCs w:val="16"/>
          <w:lang w:val="ru-RU"/>
        </w:rPr>
        <w:t xml:space="preserve"> </w:t>
      </w:r>
      <w:r>
        <w:rPr>
          <w:sz w:val="16"/>
          <w:szCs w:val="16"/>
          <w:lang w:val="ru-RU"/>
        </w:rPr>
        <w:t>в</w:t>
      </w:r>
      <w:r w:rsidRPr="006A6958">
        <w:rPr>
          <w:sz w:val="16"/>
          <w:szCs w:val="16"/>
          <w:lang w:val="ru-RU"/>
        </w:rPr>
        <w:t xml:space="preserve"> </w:t>
      </w:r>
      <w:r>
        <w:rPr>
          <w:sz w:val="16"/>
          <w:szCs w:val="16"/>
          <w:lang w:val="ru-RU"/>
        </w:rPr>
        <w:t>виду</w:t>
      </w:r>
      <w:r w:rsidRPr="006A6958">
        <w:rPr>
          <w:sz w:val="16"/>
          <w:szCs w:val="16"/>
          <w:lang w:val="ru-RU"/>
        </w:rPr>
        <w:t xml:space="preserve">, </w:t>
      </w:r>
      <w:r>
        <w:rPr>
          <w:sz w:val="16"/>
          <w:szCs w:val="16"/>
          <w:lang w:val="ru-RU"/>
        </w:rPr>
        <w:t>что</w:t>
      </w:r>
      <w:r w:rsidRPr="006A6958">
        <w:rPr>
          <w:sz w:val="16"/>
          <w:szCs w:val="16"/>
          <w:lang w:val="ru-RU"/>
        </w:rPr>
        <w:t xml:space="preserve"> </w:t>
      </w:r>
      <w:r>
        <w:rPr>
          <w:sz w:val="16"/>
          <w:szCs w:val="16"/>
          <w:lang w:val="ru-RU"/>
        </w:rPr>
        <w:t xml:space="preserve">данные в </w:t>
      </w:r>
      <w:r>
        <w:rPr>
          <w:bCs/>
          <w:sz w:val="16"/>
          <w:szCs w:val="16"/>
          <w:lang w:val="ru-RU"/>
        </w:rPr>
        <w:t>колонках</w:t>
      </w:r>
      <w:r w:rsidRPr="006A6958">
        <w:rPr>
          <w:bCs/>
          <w:sz w:val="16"/>
          <w:szCs w:val="16"/>
          <w:lang w:val="ru-RU"/>
        </w:rPr>
        <w:t xml:space="preserve"> «Фактические расходы по настоящее время» </w:t>
      </w:r>
      <w:r>
        <w:rPr>
          <w:bCs/>
          <w:sz w:val="16"/>
          <w:szCs w:val="16"/>
          <w:lang w:val="ru-RU"/>
        </w:rPr>
        <w:t xml:space="preserve">в приводимых ниже таблицах, отражающих </w:t>
      </w:r>
      <w:r w:rsidRPr="006A6958">
        <w:rPr>
          <w:bCs/>
          <w:sz w:val="16"/>
          <w:szCs w:val="16"/>
          <w:lang w:val="ru-RU"/>
        </w:rPr>
        <w:t>использова</w:t>
      </w:r>
      <w:r>
        <w:rPr>
          <w:bCs/>
          <w:sz w:val="16"/>
          <w:szCs w:val="16"/>
          <w:lang w:val="ru-RU"/>
        </w:rPr>
        <w:t xml:space="preserve">ние </w:t>
      </w:r>
      <w:r w:rsidRPr="006A6958">
        <w:rPr>
          <w:bCs/>
          <w:sz w:val="16"/>
          <w:szCs w:val="16"/>
          <w:lang w:val="ru-RU"/>
        </w:rPr>
        <w:t>ресурс</w:t>
      </w:r>
      <w:r>
        <w:rPr>
          <w:bCs/>
          <w:sz w:val="16"/>
          <w:szCs w:val="16"/>
          <w:lang w:val="ru-RU"/>
        </w:rPr>
        <w:t>ов</w:t>
      </w:r>
      <w:r w:rsidRPr="006A6958">
        <w:rPr>
          <w:sz w:val="16"/>
          <w:szCs w:val="16"/>
          <w:lang w:val="ru-RU"/>
        </w:rPr>
        <w:t xml:space="preserve">, </w:t>
      </w:r>
      <w:r>
        <w:rPr>
          <w:sz w:val="16"/>
          <w:szCs w:val="16"/>
          <w:lang w:val="ru-RU"/>
        </w:rPr>
        <w:t>не включают обременения</w:t>
      </w:r>
      <w:r w:rsidRPr="006A6958">
        <w:rPr>
          <w:bCs/>
          <w:sz w:val="16"/>
          <w:szCs w:val="16"/>
          <w:lang w:val="ru-RU"/>
        </w:rPr>
        <w:t>.</w:t>
      </w:r>
    </w:p>
  </w:footnote>
  <w:footnote w:id="172">
    <w:p w:rsidR="00EE0D83" w:rsidRPr="000447E0" w:rsidRDefault="00EE0D83" w:rsidP="00C85043">
      <w:pPr>
        <w:pStyle w:val="FootnoteText"/>
        <w:rPr>
          <w:sz w:val="16"/>
          <w:szCs w:val="16"/>
          <w:lang w:val="ru-RU"/>
        </w:rPr>
      </w:pPr>
      <w:r w:rsidRPr="00573D87">
        <w:rPr>
          <w:rStyle w:val="FootnoteReference"/>
          <w:sz w:val="16"/>
          <w:szCs w:val="16"/>
        </w:rPr>
        <w:footnoteRef/>
      </w:r>
      <w:r w:rsidRPr="000447E0">
        <w:rPr>
          <w:sz w:val="16"/>
          <w:szCs w:val="16"/>
          <w:lang w:val="ru-RU"/>
        </w:rPr>
        <w:t xml:space="preserve"> </w:t>
      </w:r>
      <w:r>
        <w:rPr>
          <w:sz w:val="16"/>
          <w:szCs w:val="16"/>
          <w:lang w:val="ru-RU"/>
        </w:rPr>
        <w:t>Более</w:t>
      </w:r>
      <w:r w:rsidRPr="000447E0">
        <w:rPr>
          <w:sz w:val="16"/>
          <w:szCs w:val="16"/>
          <w:lang w:val="ru-RU"/>
        </w:rPr>
        <w:t xml:space="preserve"> </w:t>
      </w:r>
      <w:r>
        <w:rPr>
          <w:sz w:val="16"/>
          <w:szCs w:val="16"/>
          <w:lang w:val="ru-RU"/>
        </w:rPr>
        <w:t>детальная</w:t>
      </w:r>
      <w:r w:rsidRPr="000447E0">
        <w:rPr>
          <w:sz w:val="16"/>
          <w:szCs w:val="16"/>
          <w:lang w:val="ru-RU"/>
        </w:rPr>
        <w:t xml:space="preserve"> </w:t>
      </w:r>
      <w:r>
        <w:rPr>
          <w:sz w:val="16"/>
          <w:szCs w:val="16"/>
          <w:lang w:val="ru-RU"/>
        </w:rPr>
        <w:t>разбивка</w:t>
      </w:r>
      <w:r w:rsidRPr="000447E0">
        <w:rPr>
          <w:sz w:val="16"/>
          <w:szCs w:val="16"/>
          <w:lang w:val="ru-RU"/>
        </w:rPr>
        <w:t xml:space="preserve"> </w:t>
      </w:r>
      <w:r>
        <w:rPr>
          <w:sz w:val="16"/>
          <w:szCs w:val="16"/>
          <w:lang w:val="ru-RU"/>
        </w:rPr>
        <w:t>по</w:t>
      </w:r>
      <w:r w:rsidRPr="000447E0">
        <w:rPr>
          <w:sz w:val="16"/>
          <w:szCs w:val="16"/>
          <w:lang w:val="ru-RU"/>
        </w:rPr>
        <w:t xml:space="preserve"> категори</w:t>
      </w:r>
      <w:r>
        <w:rPr>
          <w:sz w:val="16"/>
          <w:szCs w:val="16"/>
          <w:lang w:val="ru-RU"/>
        </w:rPr>
        <w:t>ям</w:t>
      </w:r>
      <w:r w:rsidRPr="000447E0">
        <w:rPr>
          <w:sz w:val="16"/>
          <w:szCs w:val="16"/>
          <w:lang w:val="ru-RU"/>
        </w:rPr>
        <w:t xml:space="preserve"> затрат </w:t>
      </w:r>
      <w:r>
        <w:rPr>
          <w:sz w:val="16"/>
          <w:szCs w:val="16"/>
          <w:lang w:val="ru-RU"/>
        </w:rPr>
        <w:t>будет</w:t>
      </w:r>
      <w:r w:rsidRPr="000447E0">
        <w:rPr>
          <w:sz w:val="16"/>
          <w:szCs w:val="16"/>
          <w:lang w:val="ru-RU"/>
        </w:rPr>
        <w:t xml:space="preserve"> </w:t>
      </w:r>
      <w:r>
        <w:rPr>
          <w:sz w:val="16"/>
          <w:szCs w:val="16"/>
          <w:lang w:val="ru-RU"/>
        </w:rPr>
        <w:t>разработана</w:t>
      </w:r>
      <w:r w:rsidRPr="000447E0">
        <w:rPr>
          <w:sz w:val="16"/>
          <w:szCs w:val="16"/>
          <w:lang w:val="ru-RU"/>
        </w:rPr>
        <w:t xml:space="preserve"> </w:t>
      </w:r>
      <w:r>
        <w:rPr>
          <w:sz w:val="16"/>
          <w:szCs w:val="16"/>
          <w:lang w:val="ru-RU"/>
        </w:rPr>
        <w:t>после</w:t>
      </w:r>
      <w:r w:rsidRPr="000447E0">
        <w:rPr>
          <w:sz w:val="16"/>
          <w:szCs w:val="16"/>
          <w:lang w:val="ru-RU"/>
        </w:rPr>
        <w:t xml:space="preserve"> завершения текущ</w:t>
      </w:r>
      <w:r>
        <w:rPr>
          <w:sz w:val="16"/>
          <w:szCs w:val="16"/>
          <w:lang w:val="ru-RU"/>
        </w:rPr>
        <w:t xml:space="preserve">ей оценки и </w:t>
      </w:r>
      <w:r w:rsidRPr="000447E0">
        <w:rPr>
          <w:sz w:val="16"/>
          <w:szCs w:val="16"/>
          <w:lang w:val="ru-RU"/>
        </w:rPr>
        <w:t>выработк</w:t>
      </w:r>
      <w:r>
        <w:rPr>
          <w:sz w:val="16"/>
          <w:szCs w:val="16"/>
          <w:lang w:val="ru-RU"/>
        </w:rPr>
        <w:t xml:space="preserve">и комплексного </w:t>
      </w:r>
      <w:r w:rsidRPr="000447E0">
        <w:rPr>
          <w:sz w:val="16"/>
          <w:szCs w:val="16"/>
          <w:lang w:val="ru-RU"/>
        </w:rPr>
        <w:t>техническ</w:t>
      </w:r>
      <w:r>
        <w:rPr>
          <w:sz w:val="16"/>
          <w:szCs w:val="16"/>
          <w:lang w:val="ru-RU"/>
        </w:rPr>
        <w:t xml:space="preserve">ого </w:t>
      </w:r>
      <w:r w:rsidRPr="000447E0">
        <w:rPr>
          <w:sz w:val="16"/>
          <w:szCs w:val="16"/>
          <w:lang w:val="ru-RU"/>
        </w:rPr>
        <w:t>решени</w:t>
      </w:r>
      <w:r>
        <w:rPr>
          <w:sz w:val="16"/>
          <w:szCs w:val="16"/>
          <w:lang w:val="ru-RU"/>
        </w:rPr>
        <w:t>я</w:t>
      </w:r>
      <w:r w:rsidRPr="000447E0">
        <w:rPr>
          <w:sz w:val="16"/>
          <w:szCs w:val="16"/>
          <w:lang w:val="ru-RU"/>
        </w:rPr>
        <w:t>.</w:t>
      </w:r>
    </w:p>
  </w:footnote>
  <w:footnote w:id="173">
    <w:p w:rsidR="00EE0D83" w:rsidRPr="005532E2" w:rsidRDefault="00EE0D83" w:rsidP="00C85043">
      <w:pPr>
        <w:pStyle w:val="FootnoteText"/>
        <w:rPr>
          <w:sz w:val="16"/>
          <w:szCs w:val="16"/>
          <w:lang w:val="ru-RU"/>
        </w:rPr>
      </w:pPr>
      <w:r w:rsidRPr="00A378B8">
        <w:rPr>
          <w:rStyle w:val="FootnoteReference"/>
          <w:sz w:val="16"/>
          <w:szCs w:val="16"/>
        </w:rPr>
        <w:footnoteRef/>
      </w:r>
      <w:r w:rsidRPr="005532E2">
        <w:rPr>
          <w:sz w:val="16"/>
          <w:szCs w:val="16"/>
          <w:lang w:val="ru-RU"/>
        </w:rPr>
        <w:t xml:space="preserve"> </w:t>
      </w:r>
      <w:r>
        <w:rPr>
          <w:sz w:val="16"/>
          <w:szCs w:val="16"/>
          <w:lang w:val="ru-RU"/>
        </w:rPr>
        <w:t>Следует</w:t>
      </w:r>
      <w:r w:rsidRPr="006A6958">
        <w:rPr>
          <w:sz w:val="16"/>
          <w:szCs w:val="16"/>
          <w:lang w:val="ru-RU"/>
        </w:rPr>
        <w:t xml:space="preserve"> </w:t>
      </w:r>
      <w:r>
        <w:rPr>
          <w:sz w:val="16"/>
          <w:szCs w:val="16"/>
          <w:lang w:val="ru-RU"/>
        </w:rPr>
        <w:t>иметь</w:t>
      </w:r>
      <w:r w:rsidRPr="006A6958">
        <w:rPr>
          <w:sz w:val="16"/>
          <w:szCs w:val="16"/>
          <w:lang w:val="ru-RU"/>
        </w:rPr>
        <w:t xml:space="preserve"> </w:t>
      </w:r>
      <w:r>
        <w:rPr>
          <w:sz w:val="16"/>
          <w:szCs w:val="16"/>
          <w:lang w:val="ru-RU"/>
        </w:rPr>
        <w:t>в</w:t>
      </w:r>
      <w:r w:rsidRPr="006A6958">
        <w:rPr>
          <w:sz w:val="16"/>
          <w:szCs w:val="16"/>
          <w:lang w:val="ru-RU"/>
        </w:rPr>
        <w:t xml:space="preserve"> </w:t>
      </w:r>
      <w:r>
        <w:rPr>
          <w:sz w:val="16"/>
          <w:szCs w:val="16"/>
          <w:lang w:val="ru-RU"/>
        </w:rPr>
        <w:t>виду</w:t>
      </w:r>
      <w:r w:rsidRPr="006A6958">
        <w:rPr>
          <w:sz w:val="16"/>
          <w:szCs w:val="16"/>
          <w:lang w:val="ru-RU"/>
        </w:rPr>
        <w:t xml:space="preserve">, </w:t>
      </w:r>
      <w:r>
        <w:rPr>
          <w:sz w:val="16"/>
          <w:szCs w:val="16"/>
          <w:lang w:val="ru-RU"/>
        </w:rPr>
        <w:t>что</w:t>
      </w:r>
      <w:r w:rsidRPr="006A6958">
        <w:rPr>
          <w:sz w:val="16"/>
          <w:szCs w:val="16"/>
          <w:lang w:val="ru-RU"/>
        </w:rPr>
        <w:t xml:space="preserve"> </w:t>
      </w:r>
      <w:r>
        <w:rPr>
          <w:sz w:val="16"/>
          <w:szCs w:val="16"/>
          <w:lang w:val="ru-RU"/>
        </w:rPr>
        <w:t xml:space="preserve">данные в </w:t>
      </w:r>
      <w:r>
        <w:rPr>
          <w:bCs/>
          <w:sz w:val="16"/>
          <w:szCs w:val="16"/>
          <w:lang w:val="ru-RU"/>
        </w:rPr>
        <w:t>колонках</w:t>
      </w:r>
      <w:r w:rsidRPr="006A6958">
        <w:rPr>
          <w:bCs/>
          <w:sz w:val="16"/>
          <w:szCs w:val="16"/>
          <w:lang w:val="ru-RU"/>
        </w:rPr>
        <w:t xml:space="preserve"> «Фактические расходы по настоящее время» </w:t>
      </w:r>
      <w:r>
        <w:rPr>
          <w:bCs/>
          <w:sz w:val="16"/>
          <w:szCs w:val="16"/>
          <w:lang w:val="ru-RU"/>
        </w:rPr>
        <w:t xml:space="preserve">в приводимых ниже таблицах, отражающих </w:t>
      </w:r>
      <w:r w:rsidRPr="006A6958">
        <w:rPr>
          <w:bCs/>
          <w:sz w:val="16"/>
          <w:szCs w:val="16"/>
          <w:lang w:val="ru-RU"/>
        </w:rPr>
        <w:t>использова</w:t>
      </w:r>
      <w:r>
        <w:rPr>
          <w:bCs/>
          <w:sz w:val="16"/>
          <w:szCs w:val="16"/>
          <w:lang w:val="ru-RU"/>
        </w:rPr>
        <w:t xml:space="preserve">ние </w:t>
      </w:r>
      <w:r w:rsidRPr="006A6958">
        <w:rPr>
          <w:bCs/>
          <w:sz w:val="16"/>
          <w:szCs w:val="16"/>
          <w:lang w:val="ru-RU"/>
        </w:rPr>
        <w:t>ресурс</w:t>
      </w:r>
      <w:r>
        <w:rPr>
          <w:bCs/>
          <w:sz w:val="16"/>
          <w:szCs w:val="16"/>
          <w:lang w:val="ru-RU"/>
        </w:rPr>
        <w:t>ов</w:t>
      </w:r>
      <w:r w:rsidRPr="006A6958">
        <w:rPr>
          <w:sz w:val="16"/>
          <w:szCs w:val="16"/>
          <w:lang w:val="ru-RU"/>
        </w:rPr>
        <w:t xml:space="preserve">, </w:t>
      </w:r>
      <w:r>
        <w:rPr>
          <w:sz w:val="16"/>
          <w:szCs w:val="16"/>
          <w:lang w:val="ru-RU"/>
        </w:rPr>
        <w:t>не включают обременения</w:t>
      </w:r>
      <w:r w:rsidRPr="006A6958">
        <w:rPr>
          <w:bCs/>
          <w:sz w:val="16"/>
          <w:szCs w:val="16"/>
          <w:lang w:val="ru-RU"/>
        </w:rPr>
        <w:t>.</w:t>
      </w:r>
      <w:r>
        <w:rPr>
          <w:bCs/>
          <w:sz w:val="16"/>
          <w:szCs w:val="16"/>
          <w:lang w:val="ru-RU"/>
        </w:rPr>
        <w:t xml:space="preserve"> </w:t>
      </w:r>
    </w:p>
  </w:footnote>
  <w:footnote w:id="174">
    <w:p w:rsidR="00EE0D83" w:rsidRPr="002046BE" w:rsidRDefault="00EE0D83" w:rsidP="00C85043">
      <w:pPr>
        <w:pStyle w:val="FootnoteText"/>
        <w:rPr>
          <w:sz w:val="16"/>
          <w:szCs w:val="16"/>
          <w:lang w:val="ru-RU"/>
        </w:rPr>
      </w:pPr>
      <w:r w:rsidRPr="000A2559">
        <w:rPr>
          <w:rStyle w:val="FootnoteReference"/>
          <w:sz w:val="16"/>
          <w:szCs w:val="16"/>
        </w:rPr>
        <w:footnoteRef/>
      </w:r>
      <w:r w:rsidRPr="002046BE">
        <w:rPr>
          <w:sz w:val="16"/>
          <w:szCs w:val="16"/>
          <w:lang w:val="ru-RU"/>
        </w:rPr>
        <w:t xml:space="preserve"> </w:t>
      </w:r>
      <w:r>
        <w:rPr>
          <w:sz w:val="16"/>
          <w:szCs w:val="16"/>
          <w:lang w:val="ru-RU"/>
        </w:rPr>
        <w:t>Поскольку</w:t>
      </w:r>
      <w:r w:rsidRPr="002046BE">
        <w:rPr>
          <w:sz w:val="16"/>
          <w:szCs w:val="16"/>
          <w:lang w:val="ru-RU"/>
        </w:rPr>
        <w:t xml:space="preserve"> </w:t>
      </w:r>
      <w:r>
        <w:rPr>
          <w:sz w:val="16"/>
          <w:szCs w:val="16"/>
          <w:lang w:val="ru-RU"/>
        </w:rPr>
        <w:t>выбор</w:t>
      </w:r>
      <w:r w:rsidRPr="002046BE">
        <w:rPr>
          <w:sz w:val="16"/>
          <w:szCs w:val="16"/>
          <w:lang w:val="ru-RU"/>
        </w:rPr>
        <w:t xml:space="preserve"> </w:t>
      </w:r>
      <w:r w:rsidRPr="008F14AC">
        <w:rPr>
          <w:sz w:val="16"/>
          <w:szCs w:val="16"/>
          <w:lang w:val="ru-RU"/>
        </w:rPr>
        <w:t>координ</w:t>
      </w:r>
      <w:r>
        <w:rPr>
          <w:sz w:val="16"/>
          <w:szCs w:val="16"/>
          <w:lang w:val="ru-RU"/>
        </w:rPr>
        <w:t>атора</w:t>
      </w:r>
      <w:r w:rsidRPr="002046BE">
        <w:rPr>
          <w:sz w:val="16"/>
          <w:szCs w:val="16"/>
          <w:lang w:val="ru-RU"/>
        </w:rPr>
        <w:t>/</w:t>
      </w:r>
      <w:r>
        <w:rPr>
          <w:sz w:val="16"/>
          <w:szCs w:val="16"/>
          <w:lang w:val="ru-RU"/>
        </w:rPr>
        <w:t>архитектора</w:t>
      </w:r>
      <w:r w:rsidRPr="002046BE">
        <w:rPr>
          <w:sz w:val="16"/>
          <w:szCs w:val="16"/>
          <w:lang w:val="ru-RU"/>
        </w:rPr>
        <w:t xml:space="preserve"> </w:t>
      </w:r>
      <w:r>
        <w:rPr>
          <w:sz w:val="16"/>
          <w:szCs w:val="16"/>
          <w:lang w:val="ru-RU"/>
        </w:rPr>
        <w:t>был</w:t>
      </w:r>
      <w:r w:rsidRPr="002046BE">
        <w:rPr>
          <w:sz w:val="16"/>
          <w:szCs w:val="16"/>
          <w:lang w:val="ru-RU"/>
        </w:rPr>
        <w:t xml:space="preserve"> </w:t>
      </w:r>
      <w:r>
        <w:rPr>
          <w:sz w:val="16"/>
          <w:szCs w:val="16"/>
          <w:lang w:val="ru-RU"/>
        </w:rPr>
        <w:t>завершен</w:t>
      </w:r>
      <w:r w:rsidRPr="002046BE">
        <w:rPr>
          <w:sz w:val="16"/>
          <w:szCs w:val="16"/>
          <w:lang w:val="ru-RU"/>
        </w:rPr>
        <w:t xml:space="preserve"> </w:t>
      </w:r>
      <w:r w:rsidRPr="008F14AC">
        <w:rPr>
          <w:sz w:val="16"/>
          <w:szCs w:val="16"/>
          <w:lang w:val="ru-RU"/>
        </w:rPr>
        <w:t>только</w:t>
      </w:r>
      <w:r w:rsidRPr="002046BE">
        <w:rPr>
          <w:sz w:val="16"/>
          <w:szCs w:val="16"/>
          <w:lang w:val="ru-RU"/>
        </w:rPr>
        <w:t xml:space="preserve"> </w:t>
      </w:r>
      <w:r>
        <w:rPr>
          <w:sz w:val="16"/>
          <w:szCs w:val="16"/>
          <w:lang w:val="ru-RU"/>
        </w:rPr>
        <w:t>в</w:t>
      </w:r>
      <w:r w:rsidRPr="002046BE">
        <w:rPr>
          <w:sz w:val="16"/>
          <w:szCs w:val="16"/>
          <w:lang w:val="ru-RU"/>
        </w:rPr>
        <w:t xml:space="preserve"> </w:t>
      </w:r>
      <w:r w:rsidRPr="008F14AC">
        <w:rPr>
          <w:sz w:val="16"/>
          <w:szCs w:val="16"/>
          <w:lang w:val="ru-RU"/>
        </w:rPr>
        <w:t>декабр</w:t>
      </w:r>
      <w:r>
        <w:rPr>
          <w:sz w:val="16"/>
          <w:szCs w:val="16"/>
          <w:lang w:val="ru-RU"/>
        </w:rPr>
        <w:t>е</w:t>
      </w:r>
      <w:r w:rsidRPr="002046BE">
        <w:rPr>
          <w:sz w:val="16"/>
          <w:szCs w:val="16"/>
          <w:lang w:val="ru-RU"/>
        </w:rPr>
        <w:t xml:space="preserve"> 2015 </w:t>
      </w:r>
      <w:r>
        <w:rPr>
          <w:sz w:val="16"/>
          <w:szCs w:val="16"/>
          <w:lang w:val="ru-RU"/>
        </w:rPr>
        <w:t>г</w:t>
      </w:r>
      <w:r w:rsidRPr="002046BE">
        <w:rPr>
          <w:sz w:val="16"/>
          <w:szCs w:val="16"/>
          <w:lang w:val="ru-RU"/>
        </w:rPr>
        <w:t xml:space="preserve">., </w:t>
      </w:r>
      <w:r>
        <w:rPr>
          <w:sz w:val="16"/>
          <w:szCs w:val="16"/>
          <w:lang w:val="ru-RU"/>
        </w:rPr>
        <w:t xml:space="preserve">победитель конкурса стал известен </w:t>
      </w:r>
      <w:r w:rsidRPr="002046BE">
        <w:rPr>
          <w:sz w:val="16"/>
          <w:szCs w:val="16"/>
          <w:lang w:val="ru-RU"/>
        </w:rPr>
        <w:t>только</w:t>
      </w:r>
      <w:r>
        <w:rPr>
          <w:sz w:val="16"/>
          <w:szCs w:val="16"/>
          <w:lang w:val="ru-RU"/>
        </w:rPr>
        <w:t xml:space="preserve"> в первом квартале </w:t>
      </w:r>
      <w:r w:rsidRPr="002046BE">
        <w:rPr>
          <w:sz w:val="16"/>
          <w:szCs w:val="16"/>
          <w:lang w:val="ru-RU"/>
        </w:rPr>
        <w:t>2016</w:t>
      </w:r>
      <w:r>
        <w:rPr>
          <w:sz w:val="16"/>
          <w:szCs w:val="16"/>
          <w:lang w:val="ru-RU"/>
        </w:rPr>
        <w:t xml:space="preserve"> г</w:t>
      </w:r>
      <w:r w:rsidRPr="002046BE">
        <w:rPr>
          <w:sz w:val="16"/>
          <w:szCs w:val="16"/>
          <w:lang w:val="ru-RU"/>
        </w:rPr>
        <w:t>.</w:t>
      </w:r>
    </w:p>
  </w:footnote>
  <w:footnote w:id="175">
    <w:p w:rsidR="00EE0D83" w:rsidRPr="00746E31" w:rsidRDefault="00EE0D83" w:rsidP="00C85043">
      <w:pPr>
        <w:pStyle w:val="FootnoteText"/>
        <w:rPr>
          <w:sz w:val="16"/>
          <w:szCs w:val="16"/>
          <w:lang w:val="ru-RU"/>
        </w:rPr>
      </w:pPr>
      <w:r w:rsidRPr="00A378B8">
        <w:rPr>
          <w:rStyle w:val="FootnoteReference"/>
          <w:sz w:val="16"/>
          <w:szCs w:val="16"/>
        </w:rPr>
        <w:footnoteRef/>
      </w:r>
      <w:r w:rsidRPr="005532E2">
        <w:rPr>
          <w:sz w:val="16"/>
          <w:szCs w:val="16"/>
          <w:lang w:val="ru-RU"/>
        </w:rPr>
        <w:t xml:space="preserve"> Следует иметь в виду, что данные в </w:t>
      </w:r>
      <w:r w:rsidRPr="005532E2">
        <w:rPr>
          <w:bCs/>
          <w:sz w:val="16"/>
          <w:szCs w:val="16"/>
          <w:lang w:val="ru-RU"/>
        </w:rPr>
        <w:t>колонках «Фактические расходы по настоящее время» в приводимых ниже таблицах, отражающих использование ресурсов</w:t>
      </w:r>
      <w:r w:rsidRPr="005532E2">
        <w:rPr>
          <w:sz w:val="16"/>
          <w:szCs w:val="16"/>
          <w:lang w:val="ru-RU"/>
        </w:rPr>
        <w:t>, не включают обременения</w:t>
      </w:r>
      <w:r w:rsidRPr="005532E2">
        <w:rPr>
          <w:bCs/>
          <w:sz w:val="16"/>
          <w:szCs w:val="16"/>
          <w:lang w:val="ru-RU"/>
        </w:rPr>
        <w:t>.</w:t>
      </w:r>
    </w:p>
  </w:footnote>
  <w:footnote w:id="176">
    <w:p w:rsidR="00EE0D83" w:rsidRPr="008F14AC" w:rsidRDefault="00EE0D83" w:rsidP="00C85043">
      <w:pPr>
        <w:pStyle w:val="FootnoteText"/>
        <w:rPr>
          <w:sz w:val="16"/>
          <w:szCs w:val="16"/>
          <w:lang w:val="ru-RU"/>
        </w:rPr>
      </w:pPr>
      <w:r w:rsidRPr="00A378B8">
        <w:rPr>
          <w:rStyle w:val="FootnoteReference"/>
          <w:sz w:val="16"/>
          <w:szCs w:val="16"/>
        </w:rPr>
        <w:footnoteRef/>
      </w:r>
      <w:r w:rsidRPr="005532E2">
        <w:rPr>
          <w:sz w:val="16"/>
          <w:szCs w:val="16"/>
          <w:lang w:val="ru-RU"/>
        </w:rPr>
        <w:t xml:space="preserve"> Следует иметь в виду, что данные в </w:t>
      </w:r>
      <w:r w:rsidRPr="005532E2">
        <w:rPr>
          <w:bCs/>
          <w:sz w:val="16"/>
          <w:szCs w:val="16"/>
          <w:lang w:val="ru-RU"/>
        </w:rPr>
        <w:t>колонках «Фактические расходы по настоящее время» в приводимых ниже таблицах, отражающих использование ресурсов</w:t>
      </w:r>
      <w:r w:rsidRPr="005532E2">
        <w:rPr>
          <w:sz w:val="16"/>
          <w:szCs w:val="16"/>
          <w:lang w:val="ru-RU"/>
        </w:rPr>
        <w:t>, не включают обременения</w:t>
      </w:r>
      <w:r w:rsidRPr="005532E2">
        <w:rPr>
          <w:bCs/>
          <w:sz w:val="16"/>
          <w:szCs w:val="16"/>
          <w:lang w:val="ru-RU"/>
        </w:rPr>
        <w:t>.</w:t>
      </w:r>
    </w:p>
  </w:footnote>
  <w:footnote w:id="177">
    <w:p w:rsidR="00EE0D83" w:rsidRPr="00F35F68" w:rsidRDefault="00EE0D83" w:rsidP="00C85043">
      <w:pPr>
        <w:pStyle w:val="FootnoteText"/>
        <w:rPr>
          <w:sz w:val="16"/>
          <w:szCs w:val="16"/>
          <w:lang w:val="ru-RU"/>
        </w:rPr>
      </w:pPr>
      <w:r w:rsidRPr="00A378B8">
        <w:rPr>
          <w:rStyle w:val="FootnoteReference"/>
          <w:sz w:val="16"/>
          <w:szCs w:val="16"/>
        </w:rPr>
        <w:footnoteRef/>
      </w:r>
      <w:r w:rsidRPr="00F35F68">
        <w:rPr>
          <w:sz w:val="16"/>
          <w:szCs w:val="16"/>
          <w:lang w:val="ru-RU"/>
        </w:rPr>
        <w:t xml:space="preserve"> </w:t>
      </w:r>
      <w:r>
        <w:rPr>
          <w:sz w:val="16"/>
          <w:szCs w:val="16"/>
          <w:lang w:val="ru-RU"/>
        </w:rPr>
        <w:t>Следует</w:t>
      </w:r>
      <w:r w:rsidRPr="006A6958">
        <w:rPr>
          <w:sz w:val="16"/>
          <w:szCs w:val="16"/>
          <w:lang w:val="ru-RU"/>
        </w:rPr>
        <w:t xml:space="preserve"> </w:t>
      </w:r>
      <w:r>
        <w:rPr>
          <w:sz w:val="16"/>
          <w:szCs w:val="16"/>
          <w:lang w:val="ru-RU"/>
        </w:rPr>
        <w:t>иметь</w:t>
      </w:r>
      <w:r w:rsidRPr="006A6958">
        <w:rPr>
          <w:sz w:val="16"/>
          <w:szCs w:val="16"/>
          <w:lang w:val="ru-RU"/>
        </w:rPr>
        <w:t xml:space="preserve"> </w:t>
      </w:r>
      <w:r>
        <w:rPr>
          <w:sz w:val="16"/>
          <w:szCs w:val="16"/>
          <w:lang w:val="ru-RU"/>
        </w:rPr>
        <w:t>в</w:t>
      </w:r>
      <w:r w:rsidRPr="006A6958">
        <w:rPr>
          <w:sz w:val="16"/>
          <w:szCs w:val="16"/>
          <w:lang w:val="ru-RU"/>
        </w:rPr>
        <w:t xml:space="preserve"> </w:t>
      </w:r>
      <w:r>
        <w:rPr>
          <w:sz w:val="16"/>
          <w:szCs w:val="16"/>
          <w:lang w:val="ru-RU"/>
        </w:rPr>
        <w:t>виду</w:t>
      </w:r>
      <w:r w:rsidRPr="006A6958">
        <w:rPr>
          <w:sz w:val="16"/>
          <w:szCs w:val="16"/>
          <w:lang w:val="ru-RU"/>
        </w:rPr>
        <w:t xml:space="preserve">, </w:t>
      </w:r>
      <w:r>
        <w:rPr>
          <w:sz w:val="16"/>
          <w:szCs w:val="16"/>
          <w:lang w:val="ru-RU"/>
        </w:rPr>
        <w:t>что</w:t>
      </w:r>
      <w:r w:rsidRPr="006A6958">
        <w:rPr>
          <w:sz w:val="16"/>
          <w:szCs w:val="16"/>
          <w:lang w:val="ru-RU"/>
        </w:rPr>
        <w:t xml:space="preserve"> </w:t>
      </w:r>
      <w:r>
        <w:rPr>
          <w:sz w:val="16"/>
          <w:szCs w:val="16"/>
          <w:lang w:val="ru-RU"/>
        </w:rPr>
        <w:t xml:space="preserve">данные в </w:t>
      </w:r>
      <w:r>
        <w:rPr>
          <w:bCs/>
          <w:sz w:val="16"/>
          <w:szCs w:val="16"/>
          <w:lang w:val="ru-RU"/>
        </w:rPr>
        <w:t>колонках</w:t>
      </w:r>
      <w:r w:rsidRPr="006A6958">
        <w:rPr>
          <w:bCs/>
          <w:sz w:val="16"/>
          <w:szCs w:val="16"/>
          <w:lang w:val="ru-RU"/>
        </w:rPr>
        <w:t xml:space="preserve"> «Фактические расходы по настоящее время» </w:t>
      </w:r>
      <w:r>
        <w:rPr>
          <w:bCs/>
          <w:sz w:val="16"/>
          <w:szCs w:val="16"/>
          <w:lang w:val="ru-RU"/>
        </w:rPr>
        <w:t xml:space="preserve">в приводимых ниже таблицах, отражающих </w:t>
      </w:r>
      <w:r w:rsidRPr="006A6958">
        <w:rPr>
          <w:bCs/>
          <w:sz w:val="16"/>
          <w:szCs w:val="16"/>
          <w:lang w:val="ru-RU"/>
        </w:rPr>
        <w:t>использова</w:t>
      </w:r>
      <w:r>
        <w:rPr>
          <w:bCs/>
          <w:sz w:val="16"/>
          <w:szCs w:val="16"/>
          <w:lang w:val="ru-RU"/>
        </w:rPr>
        <w:t xml:space="preserve">ние </w:t>
      </w:r>
      <w:r w:rsidRPr="006A6958">
        <w:rPr>
          <w:bCs/>
          <w:sz w:val="16"/>
          <w:szCs w:val="16"/>
          <w:lang w:val="ru-RU"/>
        </w:rPr>
        <w:t>ресурс</w:t>
      </w:r>
      <w:r>
        <w:rPr>
          <w:bCs/>
          <w:sz w:val="16"/>
          <w:szCs w:val="16"/>
          <w:lang w:val="ru-RU"/>
        </w:rPr>
        <w:t>ов</w:t>
      </w:r>
      <w:r w:rsidRPr="006A6958">
        <w:rPr>
          <w:sz w:val="16"/>
          <w:szCs w:val="16"/>
          <w:lang w:val="ru-RU"/>
        </w:rPr>
        <w:t xml:space="preserve">, </w:t>
      </w:r>
      <w:r>
        <w:rPr>
          <w:sz w:val="16"/>
          <w:szCs w:val="16"/>
          <w:lang w:val="ru-RU"/>
        </w:rPr>
        <w:t>не включают обременения</w:t>
      </w:r>
      <w:r w:rsidRPr="006A6958">
        <w:rPr>
          <w:bCs/>
          <w:sz w:val="16"/>
          <w:szCs w:val="16"/>
          <w:lang w:val="ru-RU"/>
        </w:rPr>
        <w:t>.</w:t>
      </w:r>
    </w:p>
  </w:footnote>
  <w:footnote w:id="178">
    <w:p w:rsidR="00EE0D83" w:rsidRPr="00472720" w:rsidRDefault="00EE0D83" w:rsidP="00C85043">
      <w:pPr>
        <w:pStyle w:val="FootnoteText"/>
        <w:rPr>
          <w:sz w:val="16"/>
          <w:szCs w:val="16"/>
          <w:lang w:val="ru-RU"/>
        </w:rPr>
      </w:pPr>
      <w:r w:rsidRPr="00A378B8">
        <w:rPr>
          <w:rStyle w:val="FootnoteReference"/>
          <w:sz w:val="16"/>
          <w:szCs w:val="16"/>
        </w:rPr>
        <w:footnoteRef/>
      </w:r>
      <w:r w:rsidRPr="00472720">
        <w:rPr>
          <w:sz w:val="16"/>
          <w:szCs w:val="16"/>
          <w:lang w:val="ru-RU"/>
        </w:rPr>
        <w:t xml:space="preserve"> </w:t>
      </w:r>
      <w:r>
        <w:rPr>
          <w:sz w:val="16"/>
          <w:szCs w:val="16"/>
          <w:lang w:val="ru-RU"/>
        </w:rPr>
        <w:t>В</w:t>
      </w:r>
      <w:r w:rsidRPr="00472720">
        <w:rPr>
          <w:sz w:val="16"/>
          <w:szCs w:val="16"/>
          <w:lang w:val="ru-RU"/>
        </w:rPr>
        <w:t xml:space="preserve"> 2015 </w:t>
      </w:r>
      <w:r>
        <w:rPr>
          <w:sz w:val="16"/>
          <w:szCs w:val="16"/>
          <w:lang w:val="ru-RU"/>
        </w:rPr>
        <w:t>г</w:t>
      </w:r>
      <w:r w:rsidRPr="00472720">
        <w:rPr>
          <w:sz w:val="16"/>
          <w:szCs w:val="16"/>
          <w:lang w:val="ru-RU"/>
        </w:rPr>
        <w:t xml:space="preserve">. </w:t>
      </w:r>
      <w:r>
        <w:rPr>
          <w:sz w:val="16"/>
          <w:szCs w:val="16"/>
          <w:lang w:val="ru-RU"/>
        </w:rPr>
        <w:t>обременения</w:t>
      </w:r>
      <w:r w:rsidRPr="00472720">
        <w:rPr>
          <w:sz w:val="16"/>
          <w:szCs w:val="16"/>
          <w:lang w:val="ru-RU"/>
        </w:rPr>
        <w:t xml:space="preserve">, </w:t>
      </w:r>
      <w:r>
        <w:rPr>
          <w:sz w:val="16"/>
          <w:szCs w:val="16"/>
          <w:lang w:val="ru-RU"/>
        </w:rPr>
        <w:t>связанные</w:t>
      </w:r>
      <w:r w:rsidRPr="00472720">
        <w:rPr>
          <w:sz w:val="16"/>
          <w:szCs w:val="16"/>
          <w:lang w:val="ru-RU"/>
        </w:rPr>
        <w:t xml:space="preserve"> </w:t>
      </w:r>
      <w:r>
        <w:rPr>
          <w:sz w:val="16"/>
          <w:szCs w:val="16"/>
          <w:lang w:val="ru-RU"/>
        </w:rPr>
        <w:t>с</w:t>
      </w:r>
      <w:r w:rsidRPr="00472720">
        <w:rPr>
          <w:sz w:val="16"/>
          <w:szCs w:val="16"/>
          <w:lang w:val="ru-RU"/>
        </w:rPr>
        <w:t xml:space="preserve"> </w:t>
      </w:r>
      <w:r>
        <w:rPr>
          <w:sz w:val="16"/>
          <w:szCs w:val="16"/>
          <w:lang w:val="ru-RU"/>
        </w:rPr>
        <w:t>выплатой</w:t>
      </w:r>
      <w:r w:rsidRPr="00472720">
        <w:rPr>
          <w:sz w:val="16"/>
          <w:szCs w:val="16"/>
          <w:lang w:val="ru-RU"/>
        </w:rPr>
        <w:t xml:space="preserve"> </w:t>
      </w:r>
      <w:r>
        <w:rPr>
          <w:sz w:val="16"/>
          <w:szCs w:val="16"/>
          <w:lang w:val="ru-RU"/>
        </w:rPr>
        <w:t>гонораров</w:t>
      </w:r>
      <w:r w:rsidRPr="00472720">
        <w:rPr>
          <w:sz w:val="16"/>
          <w:szCs w:val="16"/>
          <w:lang w:val="ru-RU"/>
        </w:rPr>
        <w:t xml:space="preserve"> архитектору</w:t>
      </w:r>
      <w:r>
        <w:rPr>
          <w:sz w:val="16"/>
          <w:szCs w:val="16"/>
          <w:lang w:val="ru-RU"/>
        </w:rPr>
        <w:t xml:space="preserve"> и </w:t>
      </w:r>
      <w:r w:rsidRPr="00472720">
        <w:rPr>
          <w:sz w:val="16"/>
          <w:szCs w:val="16"/>
          <w:lang w:val="ru-RU"/>
        </w:rPr>
        <w:t>инженер</w:t>
      </w:r>
      <w:r>
        <w:rPr>
          <w:sz w:val="16"/>
          <w:szCs w:val="16"/>
          <w:lang w:val="ru-RU"/>
        </w:rPr>
        <w:t xml:space="preserve">ам, составили </w:t>
      </w:r>
      <w:r w:rsidRPr="00472720">
        <w:rPr>
          <w:sz w:val="16"/>
          <w:szCs w:val="16"/>
          <w:lang w:val="ru-RU"/>
        </w:rPr>
        <w:t>115</w:t>
      </w:r>
      <w:r>
        <w:rPr>
          <w:sz w:val="16"/>
          <w:szCs w:val="16"/>
          <w:lang w:val="ru-RU"/>
        </w:rPr>
        <w:t> </w:t>
      </w:r>
      <w:r w:rsidRPr="00472720">
        <w:rPr>
          <w:sz w:val="16"/>
          <w:szCs w:val="16"/>
          <w:lang w:val="ru-RU"/>
        </w:rPr>
        <w:t xml:space="preserve">000 </w:t>
      </w:r>
      <w:r>
        <w:rPr>
          <w:sz w:val="16"/>
          <w:szCs w:val="16"/>
          <w:lang w:val="ru-RU"/>
        </w:rPr>
        <w:t>шв. франков.</w:t>
      </w:r>
    </w:p>
  </w:footnote>
  <w:footnote w:id="179">
    <w:p w:rsidR="00EE0D83" w:rsidRPr="002521BC" w:rsidRDefault="00EE0D83" w:rsidP="00C85043">
      <w:pPr>
        <w:pStyle w:val="FootnoteText"/>
        <w:rPr>
          <w:sz w:val="16"/>
          <w:szCs w:val="16"/>
          <w:lang w:val="ru-RU"/>
        </w:rPr>
      </w:pPr>
      <w:r w:rsidRPr="00AF2A70">
        <w:rPr>
          <w:rStyle w:val="FootnoteReference"/>
          <w:sz w:val="16"/>
          <w:szCs w:val="16"/>
        </w:rPr>
        <w:footnoteRef/>
      </w:r>
      <w:r w:rsidRPr="002521BC">
        <w:rPr>
          <w:sz w:val="16"/>
          <w:szCs w:val="16"/>
          <w:lang w:val="ru-RU"/>
        </w:rPr>
        <w:t xml:space="preserve"> </w:t>
      </w:r>
      <w:r>
        <w:rPr>
          <w:sz w:val="16"/>
          <w:szCs w:val="16"/>
          <w:lang w:val="ru-RU"/>
        </w:rPr>
        <w:t>То же</w:t>
      </w:r>
      <w:r w:rsidRPr="002521BC">
        <w:rPr>
          <w:sz w:val="16"/>
          <w:szCs w:val="16"/>
          <w:lang w:val="ru-RU"/>
        </w:rPr>
        <w:t>.</w:t>
      </w:r>
    </w:p>
  </w:footnote>
  <w:footnote w:id="180">
    <w:p w:rsidR="00EE0D83" w:rsidRPr="002336A0" w:rsidRDefault="00EE0D83">
      <w:pPr>
        <w:pStyle w:val="FootnoteText"/>
        <w:rPr>
          <w:lang w:val="ru-RU"/>
        </w:rPr>
      </w:pPr>
      <w:r>
        <w:rPr>
          <w:rStyle w:val="FootnoteReference"/>
        </w:rPr>
        <w:footnoteRef/>
      </w:r>
      <w:r w:rsidRPr="002336A0">
        <w:rPr>
          <w:lang w:val="ru-RU"/>
        </w:rPr>
        <w:t xml:space="preserve"> </w:t>
      </w:r>
      <w:r>
        <w:rPr>
          <w:lang w:val="ru-RU"/>
        </w:rPr>
        <w:t xml:space="preserve">Во время подготовительной работы выяснилось, что ввиду изначальной установки окон во время строительства в конце 1970-х гг. планируемый демонтаж окон станет гораздо более затруднительным с технической точки зрения, чем ожидалось. </w:t>
      </w:r>
    </w:p>
  </w:footnote>
  <w:footnote w:id="181">
    <w:p w:rsidR="00EE0D83" w:rsidRPr="00F35F68" w:rsidRDefault="00EE0D83" w:rsidP="00C85043">
      <w:pPr>
        <w:pStyle w:val="FootnoteText"/>
        <w:rPr>
          <w:sz w:val="16"/>
          <w:szCs w:val="16"/>
          <w:lang w:val="ru-RU"/>
        </w:rPr>
      </w:pPr>
      <w:r w:rsidRPr="00A378B8">
        <w:rPr>
          <w:rStyle w:val="FootnoteReference"/>
          <w:sz w:val="16"/>
          <w:szCs w:val="16"/>
        </w:rPr>
        <w:footnoteRef/>
      </w:r>
      <w:r w:rsidRPr="00F35F68">
        <w:rPr>
          <w:sz w:val="16"/>
          <w:szCs w:val="16"/>
          <w:lang w:val="ru-RU"/>
        </w:rPr>
        <w:t xml:space="preserve"> </w:t>
      </w:r>
      <w:r>
        <w:rPr>
          <w:sz w:val="16"/>
          <w:szCs w:val="16"/>
          <w:lang w:val="ru-RU"/>
        </w:rPr>
        <w:t>Следует</w:t>
      </w:r>
      <w:r w:rsidRPr="006A6958">
        <w:rPr>
          <w:sz w:val="16"/>
          <w:szCs w:val="16"/>
          <w:lang w:val="ru-RU"/>
        </w:rPr>
        <w:t xml:space="preserve"> </w:t>
      </w:r>
      <w:r>
        <w:rPr>
          <w:sz w:val="16"/>
          <w:szCs w:val="16"/>
          <w:lang w:val="ru-RU"/>
        </w:rPr>
        <w:t>иметь</w:t>
      </w:r>
      <w:r w:rsidRPr="006A6958">
        <w:rPr>
          <w:sz w:val="16"/>
          <w:szCs w:val="16"/>
          <w:lang w:val="ru-RU"/>
        </w:rPr>
        <w:t xml:space="preserve"> </w:t>
      </w:r>
      <w:r>
        <w:rPr>
          <w:sz w:val="16"/>
          <w:szCs w:val="16"/>
          <w:lang w:val="ru-RU"/>
        </w:rPr>
        <w:t>в</w:t>
      </w:r>
      <w:r w:rsidRPr="006A6958">
        <w:rPr>
          <w:sz w:val="16"/>
          <w:szCs w:val="16"/>
          <w:lang w:val="ru-RU"/>
        </w:rPr>
        <w:t xml:space="preserve"> </w:t>
      </w:r>
      <w:r>
        <w:rPr>
          <w:sz w:val="16"/>
          <w:szCs w:val="16"/>
          <w:lang w:val="ru-RU"/>
        </w:rPr>
        <w:t>виду</w:t>
      </w:r>
      <w:r w:rsidRPr="006A6958">
        <w:rPr>
          <w:sz w:val="16"/>
          <w:szCs w:val="16"/>
          <w:lang w:val="ru-RU"/>
        </w:rPr>
        <w:t xml:space="preserve">, </w:t>
      </w:r>
      <w:r>
        <w:rPr>
          <w:sz w:val="16"/>
          <w:szCs w:val="16"/>
          <w:lang w:val="ru-RU"/>
        </w:rPr>
        <w:t>что</w:t>
      </w:r>
      <w:r w:rsidRPr="006A6958">
        <w:rPr>
          <w:sz w:val="16"/>
          <w:szCs w:val="16"/>
          <w:lang w:val="ru-RU"/>
        </w:rPr>
        <w:t xml:space="preserve"> </w:t>
      </w:r>
      <w:r>
        <w:rPr>
          <w:sz w:val="16"/>
          <w:szCs w:val="16"/>
          <w:lang w:val="ru-RU"/>
        </w:rPr>
        <w:t xml:space="preserve">данные в </w:t>
      </w:r>
      <w:r>
        <w:rPr>
          <w:bCs/>
          <w:sz w:val="16"/>
          <w:szCs w:val="16"/>
          <w:lang w:val="ru-RU"/>
        </w:rPr>
        <w:t>колонках</w:t>
      </w:r>
      <w:r w:rsidRPr="006A6958">
        <w:rPr>
          <w:bCs/>
          <w:sz w:val="16"/>
          <w:szCs w:val="16"/>
          <w:lang w:val="ru-RU"/>
        </w:rPr>
        <w:t xml:space="preserve"> «Фактические расходы по настоящее время» </w:t>
      </w:r>
      <w:r>
        <w:rPr>
          <w:bCs/>
          <w:sz w:val="16"/>
          <w:szCs w:val="16"/>
          <w:lang w:val="ru-RU"/>
        </w:rPr>
        <w:t xml:space="preserve">в приводимых ниже таблицах, отражающих </w:t>
      </w:r>
      <w:r w:rsidRPr="006A6958">
        <w:rPr>
          <w:bCs/>
          <w:sz w:val="16"/>
          <w:szCs w:val="16"/>
          <w:lang w:val="ru-RU"/>
        </w:rPr>
        <w:t>использова</w:t>
      </w:r>
      <w:r>
        <w:rPr>
          <w:bCs/>
          <w:sz w:val="16"/>
          <w:szCs w:val="16"/>
          <w:lang w:val="ru-RU"/>
        </w:rPr>
        <w:t xml:space="preserve">ние </w:t>
      </w:r>
      <w:r w:rsidRPr="006A6958">
        <w:rPr>
          <w:bCs/>
          <w:sz w:val="16"/>
          <w:szCs w:val="16"/>
          <w:lang w:val="ru-RU"/>
        </w:rPr>
        <w:t>ресурс</w:t>
      </w:r>
      <w:r>
        <w:rPr>
          <w:bCs/>
          <w:sz w:val="16"/>
          <w:szCs w:val="16"/>
          <w:lang w:val="ru-RU"/>
        </w:rPr>
        <w:t>ов</w:t>
      </w:r>
      <w:r w:rsidRPr="006A6958">
        <w:rPr>
          <w:sz w:val="16"/>
          <w:szCs w:val="16"/>
          <w:lang w:val="ru-RU"/>
        </w:rPr>
        <w:t xml:space="preserve">, </w:t>
      </w:r>
      <w:r>
        <w:rPr>
          <w:sz w:val="16"/>
          <w:szCs w:val="16"/>
          <w:lang w:val="ru-RU"/>
        </w:rPr>
        <w:t>не включают обременения</w:t>
      </w:r>
      <w:r w:rsidRPr="006A6958">
        <w:rPr>
          <w:bCs/>
          <w:sz w:val="16"/>
          <w:szCs w:val="16"/>
          <w:lang w:val="ru-RU"/>
        </w:rPr>
        <w:t>.</w:t>
      </w:r>
    </w:p>
  </w:footnote>
  <w:footnote w:id="182">
    <w:p w:rsidR="00EE0D83" w:rsidRPr="00F35F68" w:rsidRDefault="00EE0D83" w:rsidP="00C85043">
      <w:pPr>
        <w:pStyle w:val="FootnoteText"/>
        <w:rPr>
          <w:sz w:val="16"/>
          <w:szCs w:val="16"/>
          <w:lang w:val="ru-RU"/>
        </w:rPr>
      </w:pPr>
      <w:r w:rsidRPr="00A378B8">
        <w:rPr>
          <w:rStyle w:val="FootnoteReference"/>
          <w:sz w:val="16"/>
          <w:szCs w:val="16"/>
        </w:rPr>
        <w:footnoteRef/>
      </w:r>
      <w:r w:rsidRPr="00F35F68">
        <w:rPr>
          <w:sz w:val="16"/>
          <w:szCs w:val="16"/>
          <w:lang w:val="ru-RU"/>
        </w:rPr>
        <w:t xml:space="preserve"> </w:t>
      </w:r>
      <w:r>
        <w:rPr>
          <w:sz w:val="16"/>
          <w:szCs w:val="16"/>
          <w:lang w:val="ru-RU"/>
        </w:rPr>
        <w:t>Следует</w:t>
      </w:r>
      <w:r w:rsidRPr="006A6958">
        <w:rPr>
          <w:sz w:val="16"/>
          <w:szCs w:val="16"/>
          <w:lang w:val="ru-RU"/>
        </w:rPr>
        <w:t xml:space="preserve"> </w:t>
      </w:r>
      <w:r>
        <w:rPr>
          <w:sz w:val="16"/>
          <w:szCs w:val="16"/>
          <w:lang w:val="ru-RU"/>
        </w:rPr>
        <w:t>иметь</w:t>
      </w:r>
      <w:r w:rsidRPr="006A6958">
        <w:rPr>
          <w:sz w:val="16"/>
          <w:szCs w:val="16"/>
          <w:lang w:val="ru-RU"/>
        </w:rPr>
        <w:t xml:space="preserve"> </w:t>
      </w:r>
      <w:r>
        <w:rPr>
          <w:sz w:val="16"/>
          <w:szCs w:val="16"/>
          <w:lang w:val="ru-RU"/>
        </w:rPr>
        <w:t>в</w:t>
      </w:r>
      <w:r w:rsidRPr="006A6958">
        <w:rPr>
          <w:sz w:val="16"/>
          <w:szCs w:val="16"/>
          <w:lang w:val="ru-RU"/>
        </w:rPr>
        <w:t xml:space="preserve"> </w:t>
      </w:r>
      <w:r>
        <w:rPr>
          <w:sz w:val="16"/>
          <w:szCs w:val="16"/>
          <w:lang w:val="ru-RU"/>
        </w:rPr>
        <w:t>виду</w:t>
      </w:r>
      <w:r w:rsidRPr="006A6958">
        <w:rPr>
          <w:sz w:val="16"/>
          <w:szCs w:val="16"/>
          <w:lang w:val="ru-RU"/>
        </w:rPr>
        <w:t xml:space="preserve">, </w:t>
      </w:r>
      <w:r>
        <w:rPr>
          <w:sz w:val="16"/>
          <w:szCs w:val="16"/>
          <w:lang w:val="ru-RU"/>
        </w:rPr>
        <w:t>что</w:t>
      </w:r>
      <w:r w:rsidRPr="006A6958">
        <w:rPr>
          <w:sz w:val="16"/>
          <w:szCs w:val="16"/>
          <w:lang w:val="ru-RU"/>
        </w:rPr>
        <w:t xml:space="preserve"> </w:t>
      </w:r>
      <w:r>
        <w:rPr>
          <w:sz w:val="16"/>
          <w:szCs w:val="16"/>
          <w:lang w:val="ru-RU"/>
        </w:rPr>
        <w:t xml:space="preserve">данные в </w:t>
      </w:r>
      <w:r>
        <w:rPr>
          <w:bCs/>
          <w:sz w:val="16"/>
          <w:szCs w:val="16"/>
          <w:lang w:val="ru-RU"/>
        </w:rPr>
        <w:t>колонках</w:t>
      </w:r>
      <w:r w:rsidRPr="006A6958">
        <w:rPr>
          <w:bCs/>
          <w:sz w:val="16"/>
          <w:szCs w:val="16"/>
          <w:lang w:val="ru-RU"/>
        </w:rPr>
        <w:t xml:space="preserve"> «Фактические расходы по настоящее время» </w:t>
      </w:r>
      <w:r>
        <w:rPr>
          <w:bCs/>
          <w:sz w:val="16"/>
          <w:szCs w:val="16"/>
          <w:lang w:val="ru-RU"/>
        </w:rPr>
        <w:t xml:space="preserve">в приводимых ниже таблицах, отражающих </w:t>
      </w:r>
      <w:r w:rsidRPr="006A6958">
        <w:rPr>
          <w:bCs/>
          <w:sz w:val="16"/>
          <w:szCs w:val="16"/>
          <w:lang w:val="ru-RU"/>
        </w:rPr>
        <w:t>использова</w:t>
      </w:r>
      <w:r>
        <w:rPr>
          <w:bCs/>
          <w:sz w:val="16"/>
          <w:szCs w:val="16"/>
          <w:lang w:val="ru-RU"/>
        </w:rPr>
        <w:t xml:space="preserve">ние </w:t>
      </w:r>
      <w:r w:rsidRPr="006A6958">
        <w:rPr>
          <w:bCs/>
          <w:sz w:val="16"/>
          <w:szCs w:val="16"/>
          <w:lang w:val="ru-RU"/>
        </w:rPr>
        <w:t>ресурс</w:t>
      </w:r>
      <w:r>
        <w:rPr>
          <w:bCs/>
          <w:sz w:val="16"/>
          <w:szCs w:val="16"/>
          <w:lang w:val="ru-RU"/>
        </w:rPr>
        <w:t>ов</w:t>
      </w:r>
      <w:r w:rsidRPr="006A6958">
        <w:rPr>
          <w:sz w:val="16"/>
          <w:szCs w:val="16"/>
          <w:lang w:val="ru-RU"/>
        </w:rPr>
        <w:t xml:space="preserve">, </w:t>
      </w:r>
      <w:r>
        <w:rPr>
          <w:sz w:val="16"/>
          <w:szCs w:val="16"/>
          <w:lang w:val="ru-RU"/>
        </w:rPr>
        <w:t>не включают обременения</w:t>
      </w:r>
      <w:r w:rsidRPr="006A6958">
        <w:rPr>
          <w:bCs/>
          <w:sz w:val="16"/>
          <w:szCs w:val="16"/>
          <w:lang w:val="ru-RU"/>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Pr="00E31A65" w:rsidRDefault="00EE0D83">
    <w:pPr>
      <w:pStyle w:val="Header"/>
      <w:jc w:val="right"/>
      <w:rPr>
        <w:sz w:val="22"/>
      </w:rPr>
    </w:pPr>
    <w:r w:rsidRPr="00E31A65">
      <w:rPr>
        <w:sz w:val="22"/>
      </w:rPr>
      <w:t>W</w:t>
    </w:r>
    <w:r>
      <w:rPr>
        <w:sz w:val="22"/>
      </w:rPr>
      <w:t>O/PBC/25/7</w:t>
    </w:r>
  </w:p>
  <w:p w:rsidR="00EE0D83" w:rsidRPr="00E31A65" w:rsidRDefault="00EE0D83">
    <w:pPr>
      <w:pStyle w:val="Header"/>
      <w:jc w:val="right"/>
      <w:rPr>
        <w:sz w:val="22"/>
      </w:rPr>
    </w:pPr>
    <w:r>
      <w:rPr>
        <w:sz w:val="22"/>
        <w:lang w:val="ru-RU"/>
      </w:rPr>
      <w:t>стр</w:t>
    </w:r>
    <w:r w:rsidRPr="00BA61D2">
      <w:rPr>
        <w:sz w:val="22"/>
      </w:rPr>
      <w:t>.</w:t>
    </w:r>
    <w:r w:rsidRPr="00E31A65">
      <w:rPr>
        <w:sz w:val="22"/>
      </w:rPr>
      <w:t xml:space="preserve"> </w:t>
    </w:r>
    <w:sdt>
      <w:sdtPr>
        <w:rPr>
          <w:sz w:val="22"/>
        </w:rPr>
        <w:id w:val="558450989"/>
        <w:docPartObj>
          <w:docPartGallery w:val="Page Numbers (Top of Page)"/>
          <w:docPartUnique/>
        </w:docPartObj>
      </w:sdtPr>
      <w:sdtEndPr>
        <w:rPr>
          <w:noProof/>
        </w:rPr>
      </w:sdtEndPr>
      <w:sdtContent>
        <w:r w:rsidRPr="00E31A65">
          <w:rPr>
            <w:sz w:val="22"/>
          </w:rPr>
          <w:fldChar w:fldCharType="begin"/>
        </w:r>
        <w:r w:rsidRPr="00E31A65">
          <w:rPr>
            <w:sz w:val="22"/>
          </w:rPr>
          <w:instrText xml:space="preserve"> PAGE   \* MERGEFORMAT </w:instrText>
        </w:r>
        <w:r w:rsidRPr="00E31A65">
          <w:rPr>
            <w:sz w:val="22"/>
          </w:rPr>
          <w:fldChar w:fldCharType="separate"/>
        </w:r>
        <w:r w:rsidR="005C6ABD">
          <w:rPr>
            <w:noProof/>
            <w:sz w:val="22"/>
          </w:rPr>
          <w:t>2</w:t>
        </w:r>
        <w:r w:rsidRPr="00E31A65">
          <w:rPr>
            <w:noProof/>
            <w:sz w:val="22"/>
          </w:rPr>
          <w:fldChar w:fldCharType="end"/>
        </w:r>
      </w:sdtContent>
    </w:sdt>
  </w:p>
  <w:p w:rsidR="00EE0D83" w:rsidRDefault="00EE0D83" w:rsidP="00E31A65">
    <w:pPr>
      <w:pStyle w:val="Header"/>
    </w:pPr>
  </w:p>
  <w:p w:rsidR="00EE0D83" w:rsidRPr="00E31A65" w:rsidRDefault="00EE0D83" w:rsidP="00E31A65">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Default="00EE0D8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Pr="00E31A65" w:rsidRDefault="00EE0D83">
    <w:pPr>
      <w:pStyle w:val="Header"/>
      <w:jc w:val="right"/>
      <w:rPr>
        <w:sz w:val="22"/>
      </w:rPr>
    </w:pPr>
    <w:r w:rsidRPr="00E31A65">
      <w:rPr>
        <w:sz w:val="22"/>
      </w:rPr>
      <w:t>WO/PBC/23/2</w:t>
    </w:r>
  </w:p>
  <w:p w:rsidR="00EE0D83" w:rsidRPr="00E31A65" w:rsidRDefault="00EE0D83">
    <w:pPr>
      <w:pStyle w:val="Header"/>
      <w:jc w:val="right"/>
      <w:rPr>
        <w:sz w:val="22"/>
      </w:rPr>
    </w:pPr>
    <w:r w:rsidRPr="00E31A65">
      <w:rPr>
        <w:sz w:val="22"/>
      </w:rPr>
      <w:t xml:space="preserve">page </w:t>
    </w:r>
    <w:sdt>
      <w:sdtPr>
        <w:rPr>
          <w:sz w:val="22"/>
        </w:rPr>
        <w:id w:val="-1589464441"/>
        <w:docPartObj>
          <w:docPartGallery w:val="Page Numbers (Top of Page)"/>
          <w:docPartUnique/>
        </w:docPartObj>
      </w:sdtPr>
      <w:sdtEndPr>
        <w:rPr>
          <w:noProof/>
        </w:rPr>
      </w:sdtEndPr>
      <w:sdtContent>
        <w:r w:rsidRPr="00E31A65">
          <w:rPr>
            <w:sz w:val="22"/>
          </w:rPr>
          <w:fldChar w:fldCharType="begin"/>
        </w:r>
        <w:r w:rsidRPr="00E31A65">
          <w:rPr>
            <w:sz w:val="22"/>
          </w:rPr>
          <w:instrText xml:space="preserve"> PAGE   \* MERGEFORMAT </w:instrText>
        </w:r>
        <w:r w:rsidRPr="00E31A65">
          <w:rPr>
            <w:sz w:val="22"/>
          </w:rPr>
          <w:fldChar w:fldCharType="separate"/>
        </w:r>
        <w:r>
          <w:rPr>
            <w:noProof/>
            <w:sz w:val="22"/>
          </w:rPr>
          <w:t>56</w:t>
        </w:r>
        <w:r w:rsidRPr="00E31A65">
          <w:rPr>
            <w:noProof/>
            <w:sz w:val="22"/>
          </w:rPr>
          <w:fldChar w:fldCharType="end"/>
        </w:r>
      </w:sdtContent>
    </w:sdt>
  </w:p>
  <w:p w:rsidR="00EE0D83" w:rsidRPr="00E31A65" w:rsidRDefault="00EE0D83" w:rsidP="009100BA">
    <w:pPr>
      <w:pStyle w:val="Header"/>
      <w:jc w:val="right"/>
      <w:rPr>
        <w:rFonts w:cs="Arial"/>
        <w:szCs w:val="18"/>
      </w:rPr>
    </w:pPr>
  </w:p>
  <w:p w:rsidR="00EE0D83" w:rsidRPr="00E31A65" w:rsidRDefault="00EE0D83" w:rsidP="009100BA">
    <w:pPr>
      <w:pStyle w:val="Header"/>
      <w:jc w:val="right"/>
      <w:rPr>
        <w:rFonts w:cs="Arial"/>
        <w:szCs w:val="1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Pr="000B7997" w:rsidRDefault="00EE0D83" w:rsidP="00E31A65">
    <w:pPr>
      <w:pStyle w:val="Header"/>
      <w:rPr>
        <w:b/>
        <w:sz w:val="18"/>
        <w:lang w:val="ru-RU"/>
      </w:rPr>
    </w:pPr>
    <w:r>
      <w:rPr>
        <w:b/>
        <w:sz w:val="18"/>
        <w:lang w:val="ru-RU"/>
      </w:rPr>
      <w:t xml:space="preserve">Отчет о реализации программы за </w:t>
    </w:r>
    <w:r w:rsidRPr="000B7997">
      <w:rPr>
        <w:b/>
        <w:sz w:val="18"/>
        <w:lang w:val="ru-RU"/>
      </w:rPr>
      <w:t>2014</w:t>
    </w:r>
    <w:r>
      <w:rPr>
        <w:b/>
        <w:sz w:val="18"/>
        <w:lang w:val="ru-RU"/>
      </w:rPr>
      <w:t>-20</w:t>
    </w:r>
    <w:r w:rsidRPr="000B7997">
      <w:rPr>
        <w:b/>
        <w:sz w:val="18"/>
        <w:lang w:val="ru-RU"/>
      </w:rPr>
      <w:t>15</w:t>
    </w:r>
    <w:r>
      <w:rPr>
        <w:b/>
        <w:sz w:val="18"/>
        <w:lang w:val="ru-RU"/>
      </w:rPr>
      <w:t xml:space="preserve"> гг.</w:t>
    </w:r>
  </w:p>
  <w:p w:rsidR="00EE0D83" w:rsidRPr="000B7997" w:rsidRDefault="00EE0D83" w:rsidP="00E31A65">
    <w:pPr>
      <w:pStyle w:val="Header"/>
      <w:rPr>
        <w:rFonts w:cs="Arial"/>
        <w:sz w:val="18"/>
        <w:szCs w:val="18"/>
        <w:lang w:val="ru-RU"/>
      </w:rPr>
    </w:pPr>
  </w:p>
  <w:p w:rsidR="00EE0D83" w:rsidRPr="000B7997" w:rsidRDefault="00EE0D83" w:rsidP="00E31A65">
    <w:pPr>
      <w:pStyle w:val="Header"/>
      <w:rPr>
        <w:rFonts w:cs="Arial"/>
        <w:sz w:val="18"/>
        <w:szCs w:val="18"/>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Pr="000B7997" w:rsidRDefault="00EE0D83">
    <w:pPr>
      <w:pStyle w:val="Header"/>
      <w:jc w:val="right"/>
      <w:rPr>
        <w:b/>
        <w:sz w:val="18"/>
        <w:lang w:val="ru-RU"/>
      </w:rPr>
    </w:pPr>
    <w:r>
      <w:rPr>
        <w:b/>
        <w:sz w:val="18"/>
        <w:lang w:val="ru-RU"/>
      </w:rPr>
      <w:t xml:space="preserve">Отчет о реализации программы за </w:t>
    </w:r>
    <w:r w:rsidRPr="000B7997">
      <w:rPr>
        <w:b/>
        <w:sz w:val="18"/>
        <w:lang w:val="ru-RU"/>
      </w:rPr>
      <w:t>2014</w:t>
    </w:r>
    <w:r>
      <w:rPr>
        <w:b/>
        <w:sz w:val="18"/>
        <w:lang w:val="ru-RU"/>
      </w:rPr>
      <w:t>-20</w:t>
    </w:r>
    <w:r w:rsidRPr="000B7997">
      <w:rPr>
        <w:b/>
        <w:sz w:val="18"/>
        <w:lang w:val="ru-RU"/>
      </w:rPr>
      <w:t>15</w:t>
    </w:r>
    <w:r>
      <w:rPr>
        <w:b/>
        <w:sz w:val="18"/>
        <w:lang w:val="ru-RU"/>
      </w:rPr>
      <w:t xml:space="preserve"> гг.</w:t>
    </w:r>
  </w:p>
  <w:p w:rsidR="00EE0D83" w:rsidRPr="000B7997" w:rsidRDefault="00EE0D83" w:rsidP="009100BA">
    <w:pPr>
      <w:pStyle w:val="Header"/>
      <w:jc w:val="right"/>
      <w:rPr>
        <w:rFonts w:cs="Arial"/>
        <w:b/>
        <w:sz w:val="16"/>
        <w:szCs w:val="18"/>
        <w:lang w:val="ru-RU"/>
      </w:rPr>
    </w:pPr>
  </w:p>
  <w:p w:rsidR="00EE0D83" w:rsidRPr="000B7997" w:rsidRDefault="00EE0D83" w:rsidP="009100BA">
    <w:pPr>
      <w:pStyle w:val="Header"/>
      <w:jc w:val="right"/>
      <w:rPr>
        <w:rFonts w:cs="Arial"/>
        <w:sz w:val="18"/>
        <w:szCs w:val="18"/>
        <w:lang w:val="ru-RU"/>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Default="00EE0D83">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Pr="00334A8E" w:rsidRDefault="00EE0D83" w:rsidP="00C85043">
    <w:pPr>
      <w:pStyle w:val="Header"/>
      <w:rPr>
        <w:b/>
        <w:sz w:val="18"/>
        <w:lang w:val="ru-RU"/>
      </w:rPr>
    </w:pPr>
    <w:r w:rsidRPr="009044EE">
      <w:rPr>
        <w:rFonts w:cs="Arial"/>
        <w:b/>
        <w:sz w:val="18"/>
        <w:szCs w:val="18"/>
        <w:lang w:val="ru-RU"/>
      </w:rPr>
      <w:t>Отчет о реализации программы</w:t>
    </w:r>
    <w:r w:rsidRPr="00B06355">
      <w:rPr>
        <w:rFonts w:cs="Arial"/>
        <w:b/>
        <w:sz w:val="18"/>
        <w:szCs w:val="18"/>
        <w:lang w:val="ru-RU"/>
      </w:rPr>
      <w:t xml:space="preserve"> </w:t>
    </w:r>
    <w:r>
      <w:rPr>
        <w:rFonts w:cs="Arial"/>
        <w:b/>
        <w:sz w:val="18"/>
        <w:szCs w:val="18"/>
        <w:lang w:val="ru-RU"/>
      </w:rPr>
      <w:t xml:space="preserve">за </w:t>
    </w:r>
    <w:r w:rsidRPr="00B06355">
      <w:rPr>
        <w:rFonts w:cs="Arial"/>
        <w:b/>
        <w:sz w:val="18"/>
        <w:szCs w:val="18"/>
        <w:lang w:val="ru-RU"/>
      </w:rPr>
      <w:t>2014/15</w:t>
    </w:r>
    <w:r>
      <w:rPr>
        <w:rFonts w:cs="Arial"/>
        <w:b/>
        <w:sz w:val="18"/>
        <w:szCs w:val="18"/>
        <w:lang w:val="ru-RU"/>
      </w:rPr>
      <w:t xml:space="preserve"> гг.</w:t>
    </w:r>
  </w:p>
  <w:p w:rsidR="00EE0D83" w:rsidRPr="00A13DDD" w:rsidRDefault="00EE0D83" w:rsidP="00C85043">
    <w:pPr>
      <w:pStyle w:val="Header"/>
      <w:rPr>
        <w:rFonts w:cs="Arial"/>
        <w:b/>
        <w:sz w:val="18"/>
        <w:szCs w:val="18"/>
      </w:rPr>
    </w:pPr>
    <w:r w:rsidRPr="009044EE">
      <w:rPr>
        <w:rFonts w:cs="Arial"/>
        <w:b/>
        <w:sz w:val="18"/>
        <w:szCs w:val="18"/>
        <w:lang w:val="ru-RU"/>
      </w:rPr>
      <w:t>Дополнения</w:t>
    </w:r>
  </w:p>
  <w:p w:rsidR="00EE0D83" w:rsidRDefault="00EE0D83" w:rsidP="00C85043">
    <w:pPr>
      <w:pStyle w:val="Header"/>
      <w:rPr>
        <w:rFonts w:cs="Arial"/>
        <w:sz w:val="18"/>
        <w:szCs w:val="18"/>
      </w:rPr>
    </w:pPr>
  </w:p>
  <w:p w:rsidR="00EE0D83" w:rsidRPr="00101F3F" w:rsidRDefault="00EE0D83" w:rsidP="00C85043">
    <w:pPr>
      <w:pStyle w:val="Header"/>
      <w:rPr>
        <w:rFonts w:cs="Arial"/>
        <w:sz w:val="18"/>
        <w:szCs w:val="1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Pr="00B06355" w:rsidRDefault="00EE0D83" w:rsidP="00C85043">
    <w:pPr>
      <w:pStyle w:val="Header"/>
      <w:jc w:val="right"/>
      <w:rPr>
        <w:rFonts w:cs="Arial"/>
        <w:b/>
        <w:sz w:val="18"/>
        <w:szCs w:val="18"/>
        <w:lang w:val="ru-RU"/>
      </w:rPr>
    </w:pPr>
    <w:r w:rsidRPr="009044EE">
      <w:rPr>
        <w:rFonts w:cs="Arial"/>
        <w:b/>
        <w:sz w:val="18"/>
        <w:szCs w:val="18"/>
        <w:lang w:val="ru-RU"/>
      </w:rPr>
      <w:t>Отчет о реализации программы</w:t>
    </w:r>
    <w:r w:rsidRPr="00B06355">
      <w:rPr>
        <w:rFonts w:cs="Arial"/>
        <w:b/>
        <w:sz w:val="18"/>
        <w:szCs w:val="18"/>
        <w:lang w:val="ru-RU"/>
      </w:rPr>
      <w:t xml:space="preserve"> </w:t>
    </w:r>
    <w:r>
      <w:rPr>
        <w:rFonts w:cs="Arial"/>
        <w:b/>
        <w:sz w:val="18"/>
        <w:szCs w:val="18"/>
        <w:lang w:val="ru-RU"/>
      </w:rPr>
      <w:t xml:space="preserve">за </w:t>
    </w:r>
    <w:r w:rsidRPr="00B06355">
      <w:rPr>
        <w:rFonts w:cs="Arial"/>
        <w:b/>
        <w:sz w:val="18"/>
        <w:szCs w:val="18"/>
        <w:lang w:val="ru-RU"/>
      </w:rPr>
      <w:t>2014/15</w:t>
    </w:r>
    <w:r>
      <w:rPr>
        <w:rFonts w:cs="Arial"/>
        <w:b/>
        <w:sz w:val="18"/>
        <w:szCs w:val="18"/>
        <w:lang w:val="ru-RU"/>
      </w:rPr>
      <w:t xml:space="preserve"> гг.</w:t>
    </w:r>
  </w:p>
  <w:p w:rsidR="00EE0D83" w:rsidRPr="00B06355" w:rsidRDefault="00EE0D83" w:rsidP="00C85043">
    <w:pPr>
      <w:pStyle w:val="Header"/>
      <w:jc w:val="right"/>
      <w:rPr>
        <w:rFonts w:cs="Arial"/>
        <w:b/>
        <w:sz w:val="18"/>
        <w:szCs w:val="18"/>
        <w:lang w:val="ru-RU"/>
      </w:rPr>
    </w:pPr>
    <w:r w:rsidRPr="009044EE">
      <w:rPr>
        <w:rFonts w:cs="Arial"/>
        <w:b/>
        <w:sz w:val="18"/>
        <w:szCs w:val="18"/>
        <w:lang w:val="ru-RU"/>
      </w:rPr>
      <w:t>Дополнения</w:t>
    </w:r>
  </w:p>
  <w:p w:rsidR="00EE0D83" w:rsidRPr="00B06355" w:rsidRDefault="00EE0D83" w:rsidP="00C85043">
    <w:pPr>
      <w:pStyle w:val="Header"/>
      <w:jc w:val="right"/>
      <w:rPr>
        <w:rFonts w:cs="Arial"/>
        <w:sz w:val="18"/>
        <w:szCs w:val="18"/>
        <w:lang w:val="ru-RU"/>
      </w:rPr>
    </w:pPr>
  </w:p>
  <w:p w:rsidR="00EE0D83" w:rsidRPr="00B06355" w:rsidRDefault="00EE0D83" w:rsidP="00C85043">
    <w:pPr>
      <w:pStyle w:val="Header"/>
      <w:jc w:val="right"/>
      <w:rPr>
        <w:rFonts w:cs="Arial"/>
        <w:sz w:val="18"/>
        <w:szCs w:val="18"/>
        <w:lang w:val="ru-RU"/>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Pr="00C61544" w:rsidRDefault="00EE0D83" w:rsidP="00E31A65">
    <w:pPr>
      <w:pStyle w:val="Header"/>
      <w:rPr>
        <w:b/>
        <w:sz w:val="18"/>
        <w:lang w:val="ru-RU"/>
      </w:rPr>
    </w:pPr>
    <w:r>
      <w:rPr>
        <w:b/>
        <w:sz w:val="18"/>
        <w:lang w:val="ru-RU"/>
      </w:rPr>
      <w:t>Отчет о реализации программы за 2014-2015 гг.</w:t>
    </w:r>
  </w:p>
  <w:p w:rsidR="00EE0D83" w:rsidRPr="00C61544" w:rsidRDefault="00EE0D83" w:rsidP="00E31A65">
    <w:pPr>
      <w:pStyle w:val="Header"/>
      <w:rPr>
        <w:rFonts w:cs="Arial"/>
        <w:b/>
        <w:sz w:val="18"/>
        <w:szCs w:val="18"/>
        <w:lang w:val="ru-RU"/>
      </w:rPr>
    </w:pPr>
    <w:r>
      <w:rPr>
        <w:rFonts w:cs="Arial"/>
        <w:b/>
        <w:sz w:val="18"/>
        <w:szCs w:val="18"/>
        <w:lang w:val="ru-RU"/>
      </w:rPr>
      <w:t>Дополнения</w:t>
    </w:r>
  </w:p>
  <w:p w:rsidR="00EE0D83" w:rsidRDefault="00EE0D83" w:rsidP="00E31A65">
    <w:pPr>
      <w:pStyle w:val="Header"/>
      <w:rPr>
        <w:rFonts w:cs="Arial"/>
        <w:sz w:val="18"/>
        <w:szCs w:val="18"/>
      </w:rPr>
    </w:pPr>
  </w:p>
  <w:p w:rsidR="00EE0D83" w:rsidRPr="00101F3F" w:rsidRDefault="00EE0D83" w:rsidP="00E31A65">
    <w:pPr>
      <w:pStyle w:val="Header"/>
      <w:rPr>
        <w:rFonts w:cs="Arial"/>
        <w:sz w:val="18"/>
        <w:szCs w:val="18"/>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0D83" w:rsidRPr="00C61544" w:rsidRDefault="00EE0D83">
    <w:pPr>
      <w:pStyle w:val="Header"/>
      <w:jc w:val="right"/>
      <w:rPr>
        <w:b/>
        <w:sz w:val="18"/>
        <w:lang w:val="ru-RU"/>
      </w:rPr>
    </w:pPr>
    <w:r w:rsidRPr="00C61544">
      <w:rPr>
        <w:b/>
        <w:sz w:val="18"/>
        <w:lang w:val="ru-RU"/>
      </w:rPr>
      <w:t>Отчет о реализации программы за 2014-2015 гг.</w:t>
    </w:r>
  </w:p>
  <w:p w:rsidR="00EE0D83" w:rsidRPr="00C61544" w:rsidRDefault="00EE0D83" w:rsidP="009100BA">
    <w:pPr>
      <w:pStyle w:val="Header"/>
      <w:jc w:val="right"/>
      <w:rPr>
        <w:rFonts w:cs="Arial"/>
        <w:b/>
        <w:sz w:val="16"/>
        <w:szCs w:val="18"/>
        <w:lang w:val="ru-RU"/>
      </w:rPr>
    </w:pPr>
    <w:r w:rsidRPr="00C61544">
      <w:rPr>
        <w:rFonts w:cs="Arial"/>
        <w:b/>
        <w:sz w:val="16"/>
        <w:szCs w:val="18"/>
        <w:lang w:val="ru-RU"/>
      </w:rPr>
      <w:t>Дополнения</w:t>
    </w:r>
  </w:p>
  <w:p w:rsidR="00EE0D83" w:rsidRPr="00C61544" w:rsidRDefault="00EE0D83" w:rsidP="009100BA">
    <w:pPr>
      <w:pStyle w:val="Header"/>
      <w:jc w:val="right"/>
      <w:rPr>
        <w:rFonts w:cs="Arial"/>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A214F"/>
    <w:multiLevelType w:val="hybridMultilevel"/>
    <w:tmpl w:val="F65A85A8"/>
    <w:lvl w:ilvl="0" w:tplc="DE4A5C86">
      <w:start w:val="7"/>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2232E6D"/>
    <w:multiLevelType w:val="hybridMultilevel"/>
    <w:tmpl w:val="B328B0E2"/>
    <w:lvl w:ilvl="0" w:tplc="DE4A5C86">
      <w:start w:val="7"/>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325E3F"/>
    <w:multiLevelType w:val="hybridMultilevel"/>
    <w:tmpl w:val="D6B2F2C6"/>
    <w:lvl w:ilvl="0" w:tplc="2D4AE1C4">
      <w:start w:val="1"/>
      <w:numFmt w:val="bullet"/>
      <w:lvlText w:val="-"/>
      <w:lvlJc w:val="left"/>
      <w:pPr>
        <w:ind w:left="384" w:hanging="360"/>
      </w:pPr>
      <w:rPr>
        <w:rFonts w:ascii="Courier New" w:hAnsi="Courier New" w:hint="default"/>
      </w:rPr>
    </w:lvl>
    <w:lvl w:ilvl="1" w:tplc="04090003" w:tentative="1">
      <w:start w:val="1"/>
      <w:numFmt w:val="bullet"/>
      <w:lvlText w:val="o"/>
      <w:lvlJc w:val="left"/>
      <w:pPr>
        <w:ind w:left="1104" w:hanging="360"/>
      </w:pPr>
      <w:rPr>
        <w:rFonts w:ascii="Courier New" w:hAnsi="Courier New" w:cs="Courier New" w:hint="default"/>
      </w:rPr>
    </w:lvl>
    <w:lvl w:ilvl="2" w:tplc="04090005" w:tentative="1">
      <w:start w:val="1"/>
      <w:numFmt w:val="bullet"/>
      <w:lvlText w:val=""/>
      <w:lvlJc w:val="left"/>
      <w:pPr>
        <w:ind w:left="1824" w:hanging="360"/>
      </w:pPr>
      <w:rPr>
        <w:rFonts w:ascii="Wingdings" w:hAnsi="Wingdings" w:hint="default"/>
      </w:rPr>
    </w:lvl>
    <w:lvl w:ilvl="3" w:tplc="04090001" w:tentative="1">
      <w:start w:val="1"/>
      <w:numFmt w:val="bullet"/>
      <w:lvlText w:val=""/>
      <w:lvlJc w:val="left"/>
      <w:pPr>
        <w:ind w:left="2544" w:hanging="360"/>
      </w:pPr>
      <w:rPr>
        <w:rFonts w:ascii="Symbol" w:hAnsi="Symbol" w:hint="default"/>
      </w:rPr>
    </w:lvl>
    <w:lvl w:ilvl="4" w:tplc="04090003" w:tentative="1">
      <w:start w:val="1"/>
      <w:numFmt w:val="bullet"/>
      <w:lvlText w:val="o"/>
      <w:lvlJc w:val="left"/>
      <w:pPr>
        <w:ind w:left="3264" w:hanging="360"/>
      </w:pPr>
      <w:rPr>
        <w:rFonts w:ascii="Courier New" w:hAnsi="Courier New" w:cs="Courier New" w:hint="default"/>
      </w:rPr>
    </w:lvl>
    <w:lvl w:ilvl="5" w:tplc="04090005" w:tentative="1">
      <w:start w:val="1"/>
      <w:numFmt w:val="bullet"/>
      <w:lvlText w:val=""/>
      <w:lvlJc w:val="left"/>
      <w:pPr>
        <w:ind w:left="3984" w:hanging="360"/>
      </w:pPr>
      <w:rPr>
        <w:rFonts w:ascii="Wingdings" w:hAnsi="Wingdings" w:hint="default"/>
      </w:rPr>
    </w:lvl>
    <w:lvl w:ilvl="6" w:tplc="04090001" w:tentative="1">
      <w:start w:val="1"/>
      <w:numFmt w:val="bullet"/>
      <w:lvlText w:val=""/>
      <w:lvlJc w:val="left"/>
      <w:pPr>
        <w:ind w:left="4704" w:hanging="360"/>
      </w:pPr>
      <w:rPr>
        <w:rFonts w:ascii="Symbol" w:hAnsi="Symbol" w:hint="default"/>
      </w:rPr>
    </w:lvl>
    <w:lvl w:ilvl="7" w:tplc="04090003" w:tentative="1">
      <w:start w:val="1"/>
      <w:numFmt w:val="bullet"/>
      <w:lvlText w:val="o"/>
      <w:lvlJc w:val="left"/>
      <w:pPr>
        <w:ind w:left="5424" w:hanging="360"/>
      </w:pPr>
      <w:rPr>
        <w:rFonts w:ascii="Courier New" w:hAnsi="Courier New" w:cs="Courier New" w:hint="default"/>
      </w:rPr>
    </w:lvl>
    <w:lvl w:ilvl="8" w:tplc="04090005" w:tentative="1">
      <w:start w:val="1"/>
      <w:numFmt w:val="bullet"/>
      <w:lvlText w:val=""/>
      <w:lvlJc w:val="left"/>
      <w:pPr>
        <w:ind w:left="6144" w:hanging="360"/>
      </w:pPr>
      <w:rPr>
        <w:rFonts w:ascii="Wingdings" w:hAnsi="Wingdings" w:hint="default"/>
      </w:rPr>
    </w:lvl>
  </w:abstractNum>
  <w:abstractNum w:abstractNumId="3">
    <w:nsid w:val="079B6BCD"/>
    <w:multiLevelType w:val="hybridMultilevel"/>
    <w:tmpl w:val="BC1E600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2B0061"/>
    <w:multiLevelType w:val="hybridMultilevel"/>
    <w:tmpl w:val="4970A348"/>
    <w:lvl w:ilvl="0" w:tplc="DE4A5C86">
      <w:start w:val="7"/>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08362B6D"/>
    <w:multiLevelType w:val="hybridMultilevel"/>
    <w:tmpl w:val="74347372"/>
    <w:lvl w:ilvl="0" w:tplc="DE4A5C86">
      <w:start w:val="7"/>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nsid w:val="09BB7A06"/>
    <w:multiLevelType w:val="hybridMultilevel"/>
    <w:tmpl w:val="339EACD6"/>
    <w:lvl w:ilvl="0" w:tplc="04090001">
      <w:start w:val="1"/>
      <w:numFmt w:val="bullet"/>
      <w:lvlText w:val=""/>
      <w:lvlJc w:val="left"/>
      <w:pPr>
        <w:ind w:left="910" w:hanging="360"/>
      </w:pPr>
      <w:rPr>
        <w:rFonts w:ascii="Symbol" w:hAnsi="Symbol" w:hint="default"/>
      </w:rPr>
    </w:lvl>
    <w:lvl w:ilvl="1" w:tplc="04090003" w:tentative="1">
      <w:start w:val="1"/>
      <w:numFmt w:val="bullet"/>
      <w:lvlText w:val="o"/>
      <w:lvlJc w:val="left"/>
      <w:pPr>
        <w:ind w:left="1630" w:hanging="360"/>
      </w:pPr>
      <w:rPr>
        <w:rFonts w:ascii="Courier New" w:hAnsi="Courier New" w:cs="Courier New" w:hint="default"/>
      </w:rPr>
    </w:lvl>
    <w:lvl w:ilvl="2" w:tplc="04090005" w:tentative="1">
      <w:start w:val="1"/>
      <w:numFmt w:val="bullet"/>
      <w:lvlText w:val=""/>
      <w:lvlJc w:val="left"/>
      <w:pPr>
        <w:ind w:left="2350" w:hanging="360"/>
      </w:pPr>
      <w:rPr>
        <w:rFonts w:ascii="Wingdings" w:hAnsi="Wingdings" w:hint="default"/>
      </w:rPr>
    </w:lvl>
    <w:lvl w:ilvl="3" w:tplc="04090001" w:tentative="1">
      <w:start w:val="1"/>
      <w:numFmt w:val="bullet"/>
      <w:lvlText w:val=""/>
      <w:lvlJc w:val="left"/>
      <w:pPr>
        <w:ind w:left="3070" w:hanging="360"/>
      </w:pPr>
      <w:rPr>
        <w:rFonts w:ascii="Symbol" w:hAnsi="Symbol" w:hint="default"/>
      </w:rPr>
    </w:lvl>
    <w:lvl w:ilvl="4" w:tplc="04090003" w:tentative="1">
      <w:start w:val="1"/>
      <w:numFmt w:val="bullet"/>
      <w:lvlText w:val="o"/>
      <w:lvlJc w:val="left"/>
      <w:pPr>
        <w:ind w:left="3790" w:hanging="360"/>
      </w:pPr>
      <w:rPr>
        <w:rFonts w:ascii="Courier New" w:hAnsi="Courier New" w:cs="Courier New" w:hint="default"/>
      </w:rPr>
    </w:lvl>
    <w:lvl w:ilvl="5" w:tplc="04090005" w:tentative="1">
      <w:start w:val="1"/>
      <w:numFmt w:val="bullet"/>
      <w:lvlText w:val=""/>
      <w:lvlJc w:val="left"/>
      <w:pPr>
        <w:ind w:left="4510" w:hanging="360"/>
      </w:pPr>
      <w:rPr>
        <w:rFonts w:ascii="Wingdings" w:hAnsi="Wingdings" w:hint="default"/>
      </w:rPr>
    </w:lvl>
    <w:lvl w:ilvl="6" w:tplc="04090001" w:tentative="1">
      <w:start w:val="1"/>
      <w:numFmt w:val="bullet"/>
      <w:lvlText w:val=""/>
      <w:lvlJc w:val="left"/>
      <w:pPr>
        <w:ind w:left="5230" w:hanging="360"/>
      </w:pPr>
      <w:rPr>
        <w:rFonts w:ascii="Symbol" w:hAnsi="Symbol" w:hint="default"/>
      </w:rPr>
    </w:lvl>
    <w:lvl w:ilvl="7" w:tplc="04090003" w:tentative="1">
      <w:start w:val="1"/>
      <w:numFmt w:val="bullet"/>
      <w:lvlText w:val="o"/>
      <w:lvlJc w:val="left"/>
      <w:pPr>
        <w:ind w:left="5950" w:hanging="360"/>
      </w:pPr>
      <w:rPr>
        <w:rFonts w:ascii="Courier New" w:hAnsi="Courier New" w:cs="Courier New" w:hint="default"/>
      </w:rPr>
    </w:lvl>
    <w:lvl w:ilvl="8" w:tplc="04090005" w:tentative="1">
      <w:start w:val="1"/>
      <w:numFmt w:val="bullet"/>
      <w:lvlText w:val=""/>
      <w:lvlJc w:val="left"/>
      <w:pPr>
        <w:ind w:left="6670" w:hanging="360"/>
      </w:pPr>
      <w:rPr>
        <w:rFonts w:ascii="Wingdings" w:hAnsi="Wingdings" w:hint="default"/>
      </w:rPr>
    </w:lvl>
  </w:abstractNum>
  <w:abstractNum w:abstractNumId="7">
    <w:nsid w:val="0A13276A"/>
    <w:multiLevelType w:val="hybridMultilevel"/>
    <w:tmpl w:val="A336F356"/>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B6C6A22"/>
    <w:multiLevelType w:val="hybridMultilevel"/>
    <w:tmpl w:val="C7C696A6"/>
    <w:lvl w:ilvl="0" w:tplc="223EE79E">
      <w:start w:val="1"/>
      <w:numFmt w:val="decimal"/>
      <w:lvlText w:val="29.%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BD223AE"/>
    <w:multiLevelType w:val="hybridMultilevel"/>
    <w:tmpl w:val="61BE33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C87516A"/>
    <w:multiLevelType w:val="hybridMultilevel"/>
    <w:tmpl w:val="2CF65484"/>
    <w:lvl w:ilvl="0" w:tplc="B03C6B0C">
      <w:start w:val="1"/>
      <w:numFmt w:val="lowerRoman"/>
      <w:lvlText w:val="(%1)"/>
      <w:lvlJc w:val="left"/>
      <w:pPr>
        <w:ind w:left="1695" w:hanging="975"/>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0CC040EF"/>
    <w:multiLevelType w:val="hybridMultilevel"/>
    <w:tmpl w:val="B3AC4172"/>
    <w:lvl w:ilvl="0" w:tplc="7DACB712">
      <w:start w:val="1"/>
      <w:numFmt w:val="decimal"/>
      <w:lvlText w:val="3.%1"/>
      <w:lvlJc w:val="left"/>
      <w:pPr>
        <w:ind w:left="3510" w:hanging="360"/>
      </w:pPr>
      <w:rPr>
        <w:rFonts w:hint="default"/>
        <w:sz w:val="20"/>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EF04629"/>
    <w:multiLevelType w:val="hybridMultilevel"/>
    <w:tmpl w:val="A08A59BE"/>
    <w:lvl w:ilvl="0" w:tplc="9D0E9620">
      <w:start w:val="1"/>
      <w:numFmt w:val="lowerRoman"/>
      <w:lvlText w:val="(%1)"/>
      <w:lvlJc w:val="left"/>
      <w:pPr>
        <w:ind w:left="371" w:hanging="360"/>
      </w:pPr>
      <w:rPr>
        <w:rFonts w:hint="default"/>
      </w:rPr>
    </w:lvl>
    <w:lvl w:ilvl="1" w:tplc="04090019" w:tentative="1">
      <w:start w:val="1"/>
      <w:numFmt w:val="lowerLetter"/>
      <w:lvlText w:val="%2."/>
      <w:lvlJc w:val="left"/>
      <w:pPr>
        <w:ind w:left="1091" w:hanging="360"/>
      </w:pPr>
    </w:lvl>
    <w:lvl w:ilvl="2" w:tplc="0409001B" w:tentative="1">
      <w:start w:val="1"/>
      <w:numFmt w:val="lowerRoman"/>
      <w:lvlText w:val="%3."/>
      <w:lvlJc w:val="right"/>
      <w:pPr>
        <w:ind w:left="1811" w:hanging="180"/>
      </w:pPr>
    </w:lvl>
    <w:lvl w:ilvl="3" w:tplc="0409000F" w:tentative="1">
      <w:start w:val="1"/>
      <w:numFmt w:val="decimal"/>
      <w:lvlText w:val="%4."/>
      <w:lvlJc w:val="left"/>
      <w:pPr>
        <w:ind w:left="2531" w:hanging="360"/>
      </w:pPr>
    </w:lvl>
    <w:lvl w:ilvl="4" w:tplc="04090019" w:tentative="1">
      <w:start w:val="1"/>
      <w:numFmt w:val="lowerLetter"/>
      <w:lvlText w:val="%5."/>
      <w:lvlJc w:val="left"/>
      <w:pPr>
        <w:ind w:left="3251" w:hanging="360"/>
      </w:pPr>
    </w:lvl>
    <w:lvl w:ilvl="5" w:tplc="0409001B" w:tentative="1">
      <w:start w:val="1"/>
      <w:numFmt w:val="lowerRoman"/>
      <w:lvlText w:val="%6."/>
      <w:lvlJc w:val="right"/>
      <w:pPr>
        <w:ind w:left="3971" w:hanging="180"/>
      </w:pPr>
    </w:lvl>
    <w:lvl w:ilvl="6" w:tplc="0409000F" w:tentative="1">
      <w:start w:val="1"/>
      <w:numFmt w:val="decimal"/>
      <w:lvlText w:val="%7."/>
      <w:lvlJc w:val="left"/>
      <w:pPr>
        <w:ind w:left="4691" w:hanging="360"/>
      </w:pPr>
    </w:lvl>
    <w:lvl w:ilvl="7" w:tplc="04090019" w:tentative="1">
      <w:start w:val="1"/>
      <w:numFmt w:val="lowerLetter"/>
      <w:lvlText w:val="%8."/>
      <w:lvlJc w:val="left"/>
      <w:pPr>
        <w:ind w:left="5411" w:hanging="360"/>
      </w:pPr>
    </w:lvl>
    <w:lvl w:ilvl="8" w:tplc="0409001B" w:tentative="1">
      <w:start w:val="1"/>
      <w:numFmt w:val="lowerRoman"/>
      <w:lvlText w:val="%9."/>
      <w:lvlJc w:val="right"/>
      <w:pPr>
        <w:ind w:left="6131" w:hanging="180"/>
      </w:pPr>
    </w:lvl>
  </w:abstractNum>
  <w:abstractNum w:abstractNumId="13">
    <w:nsid w:val="0FA2762D"/>
    <w:multiLevelType w:val="hybridMultilevel"/>
    <w:tmpl w:val="C95A2E86"/>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nsid w:val="10192F6F"/>
    <w:multiLevelType w:val="hybridMultilevel"/>
    <w:tmpl w:val="8AE059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0F11F0D"/>
    <w:multiLevelType w:val="hybridMultilevel"/>
    <w:tmpl w:val="00308932"/>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122B2A50"/>
    <w:multiLevelType w:val="hybridMultilevel"/>
    <w:tmpl w:val="19C26916"/>
    <w:lvl w:ilvl="0" w:tplc="88408418">
      <w:start w:val="1"/>
      <w:numFmt w:val="decimal"/>
      <w:lvlText w:val="%1."/>
      <w:lvlJc w:val="left"/>
      <w:pPr>
        <w:tabs>
          <w:tab w:val="num" w:pos="567"/>
        </w:tabs>
        <w:ind w:left="0" w:firstLine="0"/>
      </w:pPr>
      <w:rPr>
        <w:rFonts w:hint="default"/>
        <w:b w:val="0"/>
        <w:bCs/>
      </w:rPr>
    </w:lvl>
    <w:lvl w:ilvl="1" w:tplc="58C0532C">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123F2859"/>
    <w:multiLevelType w:val="hybridMultilevel"/>
    <w:tmpl w:val="85242A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12B30DEB"/>
    <w:multiLevelType w:val="hybridMultilevel"/>
    <w:tmpl w:val="78E8EB80"/>
    <w:lvl w:ilvl="0" w:tplc="1AA0AB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3E272F6"/>
    <w:multiLevelType w:val="hybridMultilevel"/>
    <w:tmpl w:val="59DCCBCC"/>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41F0DE2"/>
    <w:multiLevelType w:val="hybridMultilevel"/>
    <w:tmpl w:val="841EDAD6"/>
    <w:lvl w:ilvl="0" w:tplc="2384CE1C">
      <w:start w:val="1"/>
      <w:numFmt w:val="decimal"/>
      <w:lvlText w:val="23.%1"/>
      <w:lvlJc w:val="left"/>
      <w:pPr>
        <w:ind w:left="720" w:hanging="360"/>
      </w:pPr>
      <w:rPr>
        <w:rFonts w:ascii="Arial" w:hAnsi="Arial" w:cs="Arial" w:hint="default"/>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61E2E61"/>
    <w:multiLevelType w:val="hybridMultilevel"/>
    <w:tmpl w:val="F098835C"/>
    <w:lvl w:ilvl="0" w:tplc="8CB4571C">
      <w:start w:val="1"/>
      <w:numFmt w:val="upperRoman"/>
      <w:pStyle w:val="Heading1"/>
      <w:lvlText w:val="%1."/>
      <w:lvlJc w:val="right"/>
      <w:pPr>
        <w:tabs>
          <w:tab w:val="num" w:pos="284"/>
        </w:tabs>
        <w:ind w:left="720" w:hanging="720"/>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18047F36"/>
    <w:multiLevelType w:val="hybridMultilevel"/>
    <w:tmpl w:val="8092FF1A"/>
    <w:lvl w:ilvl="0" w:tplc="737262D6">
      <w:start w:val="1"/>
      <w:numFmt w:val="decimal"/>
      <w:lvlText w:val="8.%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23">
    <w:nsid w:val="182D30F0"/>
    <w:multiLevelType w:val="hybridMultilevel"/>
    <w:tmpl w:val="2430CF06"/>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1A3B7367"/>
    <w:multiLevelType w:val="hybridMultilevel"/>
    <w:tmpl w:val="61BE33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A6A153C"/>
    <w:multiLevelType w:val="hybridMultilevel"/>
    <w:tmpl w:val="AEB02704"/>
    <w:lvl w:ilvl="0" w:tplc="6074992C">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B22262A"/>
    <w:multiLevelType w:val="hybridMultilevel"/>
    <w:tmpl w:val="C626543A"/>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1B605764"/>
    <w:multiLevelType w:val="hybridMultilevel"/>
    <w:tmpl w:val="5C1E54E8"/>
    <w:lvl w:ilvl="0" w:tplc="5B683A3A">
      <w:start w:val="1"/>
      <w:numFmt w:val="upperRoman"/>
      <w:lvlText w:val="%1."/>
      <w:lvlJc w:val="left"/>
      <w:pPr>
        <w:ind w:left="1080" w:hanging="720"/>
      </w:pPr>
      <w:rPr>
        <w:rFonts w:hint="default"/>
      </w:rPr>
    </w:lvl>
    <w:lvl w:ilvl="1" w:tplc="A2369E28">
      <w:start w:val="1"/>
      <w:numFmt w:val="lowerLetter"/>
      <w:lvlText w:val="(%2)"/>
      <w:lvlJc w:val="left"/>
      <w:pPr>
        <w:ind w:left="1440" w:hanging="360"/>
      </w:pPr>
      <w:rPr>
        <w:rFonts w:hint="default"/>
        <w:i/>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B967EF8"/>
    <w:multiLevelType w:val="hybridMultilevel"/>
    <w:tmpl w:val="A5DA4748"/>
    <w:lvl w:ilvl="0" w:tplc="1C94BC9C">
      <w:start w:val="1"/>
      <w:numFmt w:val="decimal"/>
      <w:lvlText w:val="4.%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1C3C58AA"/>
    <w:multiLevelType w:val="hybridMultilevel"/>
    <w:tmpl w:val="AC8AD65E"/>
    <w:lvl w:ilvl="0" w:tplc="3D985CDC">
      <w:start w:val="1"/>
      <w:numFmt w:val="decimal"/>
      <w:lvlText w:val="22.%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C5E683D"/>
    <w:multiLevelType w:val="hybridMultilevel"/>
    <w:tmpl w:val="54FA731E"/>
    <w:lvl w:ilvl="0" w:tplc="B0BCA630">
      <w:start w:val="19"/>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1ED221A1"/>
    <w:multiLevelType w:val="hybridMultilevel"/>
    <w:tmpl w:val="967A47AA"/>
    <w:lvl w:ilvl="0" w:tplc="1AA0ABC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
    <w:nsid w:val="1F425DE0"/>
    <w:multiLevelType w:val="hybridMultilevel"/>
    <w:tmpl w:val="25847FA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201213CE"/>
    <w:multiLevelType w:val="hybridMultilevel"/>
    <w:tmpl w:val="6D0E47EC"/>
    <w:lvl w:ilvl="0" w:tplc="97763274">
      <w:start w:val="1"/>
      <w:numFmt w:val="decimal"/>
      <w:lvlText w:val="28.%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03A1B2A"/>
    <w:multiLevelType w:val="hybridMultilevel"/>
    <w:tmpl w:val="45B222E6"/>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214E6CDB"/>
    <w:multiLevelType w:val="hybridMultilevel"/>
    <w:tmpl w:val="DB1C7D08"/>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22264B9F"/>
    <w:multiLevelType w:val="hybridMultilevel"/>
    <w:tmpl w:val="C52A9286"/>
    <w:lvl w:ilvl="0" w:tplc="2D4AE1C4">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5893C17"/>
    <w:multiLevelType w:val="hybridMultilevel"/>
    <w:tmpl w:val="E7E26952"/>
    <w:lvl w:ilvl="0" w:tplc="2D4AE1C4">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26815950"/>
    <w:multiLevelType w:val="hybridMultilevel"/>
    <w:tmpl w:val="16DC58FA"/>
    <w:lvl w:ilvl="0" w:tplc="FF6A4096">
      <w:start w:val="1"/>
      <w:numFmt w:val="decimal"/>
      <w:lvlText w:val="18.%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276A3D44"/>
    <w:multiLevelType w:val="hybridMultilevel"/>
    <w:tmpl w:val="9E909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9D20EFF"/>
    <w:multiLevelType w:val="hybridMultilevel"/>
    <w:tmpl w:val="21948684"/>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2A6D4D63"/>
    <w:multiLevelType w:val="hybridMultilevel"/>
    <w:tmpl w:val="C78852D8"/>
    <w:lvl w:ilvl="0" w:tplc="689471A2">
      <w:start w:val="1"/>
      <w:numFmt w:val="decimal"/>
      <w:lvlText w:val="13.%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B1A31DD"/>
    <w:multiLevelType w:val="hybridMultilevel"/>
    <w:tmpl w:val="0B202FC2"/>
    <w:lvl w:ilvl="0" w:tplc="1AA0ABC2">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3">
    <w:nsid w:val="2BEB10E3"/>
    <w:multiLevelType w:val="hybridMultilevel"/>
    <w:tmpl w:val="3314FC06"/>
    <w:lvl w:ilvl="0" w:tplc="DE4A5C86">
      <w:start w:val="7"/>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4">
    <w:nsid w:val="2C556F6E"/>
    <w:multiLevelType w:val="hybridMultilevel"/>
    <w:tmpl w:val="2A5EDDE8"/>
    <w:lvl w:ilvl="0" w:tplc="8A627A10">
      <w:start w:val="1"/>
      <w:numFmt w:val="decimal"/>
      <w:lvlText w:val="26. %1"/>
      <w:lvlJc w:val="left"/>
      <w:pPr>
        <w:ind w:left="6120" w:hanging="360"/>
      </w:pPr>
      <w:rPr>
        <w:rFonts w:hint="default"/>
      </w:rPr>
    </w:lvl>
    <w:lvl w:ilvl="1" w:tplc="04090019" w:tentative="1">
      <w:start w:val="1"/>
      <w:numFmt w:val="lowerLetter"/>
      <w:lvlText w:val="%2."/>
      <w:lvlJc w:val="left"/>
      <w:pPr>
        <w:ind w:left="6840" w:hanging="360"/>
      </w:pPr>
    </w:lvl>
    <w:lvl w:ilvl="2" w:tplc="0409001B" w:tentative="1">
      <w:start w:val="1"/>
      <w:numFmt w:val="lowerRoman"/>
      <w:lvlText w:val="%3."/>
      <w:lvlJc w:val="right"/>
      <w:pPr>
        <w:ind w:left="7560" w:hanging="180"/>
      </w:pPr>
    </w:lvl>
    <w:lvl w:ilvl="3" w:tplc="0409000F" w:tentative="1">
      <w:start w:val="1"/>
      <w:numFmt w:val="decimal"/>
      <w:lvlText w:val="%4."/>
      <w:lvlJc w:val="left"/>
      <w:pPr>
        <w:ind w:left="8280" w:hanging="360"/>
      </w:pPr>
    </w:lvl>
    <w:lvl w:ilvl="4" w:tplc="04090019" w:tentative="1">
      <w:start w:val="1"/>
      <w:numFmt w:val="lowerLetter"/>
      <w:lvlText w:val="%5."/>
      <w:lvlJc w:val="left"/>
      <w:pPr>
        <w:ind w:left="9000" w:hanging="360"/>
      </w:pPr>
    </w:lvl>
    <w:lvl w:ilvl="5" w:tplc="0409001B" w:tentative="1">
      <w:start w:val="1"/>
      <w:numFmt w:val="lowerRoman"/>
      <w:lvlText w:val="%6."/>
      <w:lvlJc w:val="right"/>
      <w:pPr>
        <w:ind w:left="9720" w:hanging="180"/>
      </w:pPr>
    </w:lvl>
    <w:lvl w:ilvl="6" w:tplc="0409000F" w:tentative="1">
      <w:start w:val="1"/>
      <w:numFmt w:val="decimal"/>
      <w:lvlText w:val="%7."/>
      <w:lvlJc w:val="left"/>
      <w:pPr>
        <w:ind w:left="10440" w:hanging="360"/>
      </w:pPr>
    </w:lvl>
    <w:lvl w:ilvl="7" w:tplc="04090019" w:tentative="1">
      <w:start w:val="1"/>
      <w:numFmt w:val="lowerLetter"/>
      <w:lvlText w:val="%8."/>
      <w:lvlJc w:val="left"/>
      <w:pPr>
        <w:ind w:left="11160" w:hanging="360"/>
      </w:pPr>
    </w:lvl>
    <w:lvl w:ilvl="8" w:tplc="0409001B" w:tentative="1">
      <w:start w:val="1"/>
      <w:numFmt w:val="lowerRoman"/>
      <w:lvlText w:val="%9."/>
      <w:lvlJc w:val="right"/>
      <w:pPr>
        <w:ind w:left="11880" w:hanging="180"/>
      </w:pPr>
    </w:lvl>
  </w:abstractNum>
  <w:abstractNum w:abstractNumId="45">
    <w:nsid w:val="2D2D4A83"/>
    <w:multiLevelType w:val="hybridMultilevel"/>
    <w:tmpl w:val="6C962490"/>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2D7D5DCC"/>
    <w:multiLevelType w:val="hybridMultilevel"/>
    <w:tmpl w:val="88AEEE08"/>
    <w:lvl w:ilvl="0" w:tplc="1AA0ABC2">
      <w:start w:val="1"/>
      <w:numFmt w:val="bullet"/>
      <w:lvlText w:val=""/>
      <w:lvlJc w:val="left"/>
      <w:pPr>
        <w:ind w:left="720" w:hanging="360"/>
      </w:pPr>
      <w:rPr>
        <w:rFonts w:ascii="Symbol" w:hAnsi="Symbol" w:hint="default"/>
        <w:color w:val="1F497D"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F5B64AE"/>
    <w:multiLevelType w:val="hybridMultilevel"/>
    <w:tmpl w:val="41886E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32BE5653"/>
    <w:multiLevelType w:val="hybridMultilevel"/>
    <w:tmpl w:val="E3803D42"/>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35D26F74"/>
    <w:multiLevelType w:val="hybridMultilevel"/>
    <w:tmpl w:val="A3404602"/>
    <w:lvl w:ilvl="0" w:tplc="04090001">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nsid w:val="36AE669D"/>
    <w:multiLevelType w:val="hybridMultilevel"/>
    <w:tmpl w:val="3D766412"/>
    <w:lvl w:ilvl="0" w:tplc="3838478C">
      <w:start w:val="1"/>
      <w:numFmt w:val="decimal"/>
      <w:lvlText w:val="30.%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37A273F1"/>
    <w:multiLevelType w:val="hybridMultilevel"/>
    <w:tmpl w:val="C7047F96"/>
    <w:lvl w:ilvl="0" w:tplc="D558328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82B066F"/>
    <w:multiLevelType w:val="hybridMultilevel"/>
    <w:tmpl w:val="CBD66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83E717F"/>
    <w:multiLevelType w:val="hybridMultilevel"/>
    <w:tmpl w:val="22103E14"/>
    <w:lvl w:ilvl="0" w:tplc="B0BCA630">
      <w:start w:val="19"/>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393D127D"/>
    <w:multiLevelType w:val="hybridMultilevel"/>
    <w:tmpl w:val="76AC4420"/>
    <w:lvl w:ilvl="0" w:tplc="C1B4895E">
      <w:start w:val="1"/>
      <w:numFmt w:val="decimal"/>
      <w:lvlText w:val="20.%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3A993A49"/>
    <w:multiLevelType w:val="hybridMultilevel"/>
    <w:tmpl w:val="AA5657BA"/>
    <w:lvl w:ilvl="0" w:tplc="B0BCA630">
      <w:start w:val="19"/>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3A9C377A"/>
    <w:multiLevelType w:val="hybridMultilevel"/>
    <w:tmpl w:val="24EE0FCE"/>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3B9C7EF3"/>
    <w:multiLevelType w:val="hybridMultilevel"/>
    <w:tmpl w:val="BE263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3C0307F0"/>
    <w:multiLevelType w:val="hybridMultilevel"/>
    <w:tmpl w:val="BAAC036E"/>
    <w:lvl w:ilvl="0" w:tplc="B0BCA630">
      <w:start w:val="19"/>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3D00797F"/>
    <w:multiLevelType w:val="hybridMultilevel"/>
    <w:tmpl w:val="955A3786"/>
    <w:lvl w:ilvl="0" w:tplc="CB5C0C20">
      <w:start w:val="1"/>
      <w:numFmt w:val="low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3D787645"/>
    <w:multiLevelType w:val="hybridMultilevel"/>
    <w:tmpl w:val="0444E7C6"/>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3DBD2CB5"/>
    <w:multiLevelType w:val="hybridMultilevel"/>
    <w:tmpl w:val="C6820B60"/>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3F207D56"/>
    <w:multiLevelType w:val="hybridMultilevel"/>
    <w:tmpl w:val="676C3310"/>
    <w:lvl w:ilvl="0" w:tplc="04090015">
      <w:start w:val="1"/>
      <w:numFmt w:val="upperLetter"/>
      <w:lvlText w:val="%1."/>
      <w:lvlJc w:val="left"/>
      <w:pPr>
        <w:ind w:left="360" w:hanging="360"/>
      </w:pPr>
      <w:rPr>
        <w:rFonts w:hint="default"/>
        <w:u w:val="none"/>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nsid w:val="3FB24D1A"/>
    <w:multiLevelType w:val="hybridMultilevel"/>
    <w:tmpl w:val="171A8C36"/>
    <w:lvl w:ilvl="0" w:tplc="DE4A5C86">
      <w:start w:val="7"/>
      <w:numFmt w:val="bullet"/>
      <w:lvlText w:val="-"/>
      <w:lvlJc w:val="left"/>
      <w:pPr>
        <w:ind w:left="533" w:hanging="360"/>
      </w:pPr>
      <w:rPr>
        <w:rFonts w:ascii="Arial" w:eastAsia="Times New Roman" w:hAnsi="Arial" w:cs="Arial" w:hint="default"/>
      </w:rPr>
    </w:lvl>
    <w:lvl w:ilvl="1" w:tplc="040C0003" w:tentative="1">
      <w:start w:val="1"/>
      <w:numFmt w:val="bullet"/>
      <w:lvlText w:val="o"/>
      <w:lvlJc w:val="left"/>
      <w:pPr>
        <w:ind w:left="1253" w:hanging="360"/>
      </w:pPr>
      <w:rPr>
        <w:rFonts w:ascii="Courier New" w:hAnsi="Courier New" w:hint="default"/>
      </w:rPr>
    </w:lvl>
    <w:lvl w:ilvl="2" w:tplc="040C0005" w:tentative="1">
      <w:start w:val="1"/>
      <w:numFmt w:val="bullet"/>
      <w:lvlText w:val=""/>
      <w:lvlJc w:val="left"/>
      <w:pPr>
        <w:ind w:left="1973" w:hanging="360"/>
      </w:pPr>
      <w:rPr>
        <w:rFonts w:ascii="Wingdings" w:hAnsi="Wingdings" w:hint="default"/>
      </w:rPr>
    </w:lvl>
    <w:lvl w:ilvl="3" w:tplc="040C0001" w:tentative="1">
      <w:start w:val="1"/>
      <w:numFmt w:val="bullet"/>
      <w:lvlText w:val=""/>
      <w:lvlJc w:val="left"/>
      <w:pPr>
        <w:ind w:left="2693" w:hanging="360"/>
      </w:pPr>
      <w:rPr>
        <w:rFonts w:ascii="Symbol" w:hAnsi="Symbol" w:hint="default"/>
      </w:rPr>
    </w:lvl>
    <w:lvl w:ilvl="4" w:tplc="040C0003" w:tentative="1">
      <w:start w:val="1"/>
      <w:numFmt w:val="bullet"/>
      <w:lvlText w:val="o"/>
      <w:lvlJc w:val="left"/>
      <w:pPr>
        <w:ind w:left="3413" w:hanging="360"/>
      </w:pPr>
      <w:rPr>
        <w:rFonts w:ascii="Courier New" w:hAnsi="Courier New" w:hint="default"/>
      </w:rPr>
    </w:lvl>
    <w:lvl w:ilvl="5" w:tplc="040C0005" w:tentative="1">
      <w:start w:val="1"/>
      <w:numFmt w:val="bullet"/>
      <w:lvlText w:val=""/>
      <w:lvlJc w:val="left"/>
      <w:pPr>
        <w:ind w:left="4133" w:hanging="360"/>
      </w:pPr>
      <w:rPr>
        <w:rFonts w:ascii="Wingdings" w:hAnsi="Wingdings" w:hint="default"/>
      </w:rPr>
    </w:lvl>
    <w:lvl w:ilvl="6" w:tplc="040C0001" w:tentative="1">
      <w:start w:val="1"/>
      <w:numFmt w:val="bullet"/>
      <w:lvlText w:val=""/>
      <w:lvlJc w:val="left"/>
      <w:pPr>
        <w:ind w:left="4853" w:hanging="360"/>
      </w:pPr>
      <w:rPr>
        <w:rFonts w:ascii="Symbol" w:hAnsi="Symbol" w:hint="default"/>
      </w:rPr>
    </w:lvl>
    <w:lvl w:ilvl="7" w:tplc="040C0003" w:tentative="1">
      <w:start w:val="1"/>
      <w:numFmt w:val="bullet"/>
      <w:lvlText w:val="o"/>
      <w:lvlJc w:val="left"/>
      <w:pPr>
        <w:ind w:left="5573" w:hanging="360"/>
      </w:pPr>
      <w:rPr>
        <w:rFonts w:ascii="Courier New" w:hAnsi="Courier New" w:hint="default"/>
      </w:rPr>
    </w:lvl>
    <w:lvl w:ilvl="8" w:tplc="040C0005" w:tentative="1">
      <w:start w:val="1"/>
      <w:numFmt w:val="bullet"/>
      <w:lvlText w:val=""/>
      <w:lvlJc w:val="left"/>
      <w:pPr>
        <w:ind w:left="6293" w:hanging="360"/>
      </w:pPr>
      <w:rPr>
        <w:rFonts w:ascii="Wingdings" w:hAnsi="Wingdings" w:hint="default"/>
      </w:rPr>
    </w:lvl>
  </w:abstractNum>
  <w:abstractNum w:abstractNumId="64">
    <w:nsid w:val="3FE03A0F"/>
    <w:multiLevelType w:val="hybridMultilevel"/>
    <w:tmpl w:val="61BE33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40275731"/>
    <w:multiLevelType w:val="hybridMultilevel"/>
    <w:tmpl w:val="924CF03E"/>
    <w:lvl w:ilvl="0" w:tplc="6E30C29C">
      <w:start w:val="1"/>
      <w:numFmt w:val="decimal"/>
      <w:lvlText w:val="3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0E7156C"/>
    <w:multiLevelType w:val="hybridMultilevel"/>
    <w:tmpl w:val="224E8446"/>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411F739B"/>
    <w:multiLevelType w:val="hybridMultilevel"/>
    <w:tmpl w:val="C81A3444"/>
    <w:lvl w:ilvl="0" w:tplc="1E1203C4">
      <w:start w:val="1"/>
      <w:numFmt w:val="decimal"/>
      <w:lvlText w:val="16.%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44954827"/>
    <w:multiLevelType w:val="hybridMultilevel"/>
    <w:tmpl w:val="A3C2D492"/>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44DE445F"/>
    <w:multiLevelType w:val="hybridMultilevel"/>
    <w:tmpl w:val="2E92E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5FE5BD4"/>
    <w:multiLevelType w:val="hybridMultilevel"/>
    <w:tmpl w:val="A836D000"/>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4977170D"/>
    <w:multiLevelType w:val="hybridMultilevel"/>
    <w:tmpl w:val="ED2C5B10"/>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4A3213F3"/>
    <w:multiLevelType w:val="hybridMultilevel"/>
    <w:tmpl w:val="C9C6622C"/>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nsid w:val="4AEF69E5"/>
    <w:multiLevelType w:val="hybridMultilevel"/>
    <w:tmpl w:val="2DEC4222"/>
    <w:lvl w:ilvl="0" w:tplc="BA14436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4B025F33"/>
    <w:multiLevelType w:val="hybridMultilevel"/>
    <w:tmpl w:val="D8B67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4B6479D4"/>
    <w:multiLevelType w:val="hybridMultilevel"/>
    <w:tmpl w:val="B448BE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4CED5FCF"/>
    <w:multiLevelType w:val="hybridMultilevel"/>
    <w:tmpl w:val="D960B3DA"/>
    <w:lvl w:ilvl="0" w:tplc="D22C8A48">
      <w:start w:val="1"/>
      <w:numFmt w:val="decimal"/>
      <w:lvlText w:val="11.%1."/>
      <w:lvlJc w:val="left"/>
      <w:pPr>
        <w:ind w:left="810" w:hanging="360"/>
      </w:pPr>
      <w:rPr>
        <w:rFonts w:ascii="Arial" w:hAnsi="Arial" w:cs="Arial" w:hint="default"/>
        <w:sz w:val="20"/>
        <w:szCs w:val="2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77">
    <w:nsid w:val="5030080B"/>
    <w:multiLevelType w:val="hybridMultilevel"/>
    <w:tmpl w:val="96D289E8"/>
    <w:lvl w:ilvl="0" w:tplc="1AA0AB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18A6B9D"/>
    <w:multiLevelType w:val="hybridMultilevel"/>
    <w:tmpl w:val="6BBCA6FA"/>
    <w:lvl w:ilvl="0" w:tplc="2D4AE1C4">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5252687D"/>
    <w:multiLevelType w:val="hybridMultilevel"/>
    <w:tmpl w:val="F2E04444"/>
    <w:lvl w:ilvl="0" w:tplc="9BAC858C">
      <w:start w:val="1"/>
      <w:numFmt w:val="decimal"/>
      <w:lvlText w:val="7.%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54615C65"/>
    <w:multiLevelType w:val="hybridMultilevel"/>
    <w:tmpl w:val="26FA8C66"/>
    <w:lvl w:ilvl="0" w:tplc="63507EC8">
      <w:start w:val="1"/>
      <w:numFmt w:val="decimal"/>
      <w:lvlText w:val="2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55707975"/>
    <w:multiLevelType w:val="hybridMultilevel"/>
    <w:tmpl w:val="91FAA220"/>
    <w:lvl w:ilvl="0" w:tplc="22B84796">
      <w:start w:val="201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5A02C9F"/>
    <w:multiLevelType w:val="hybridMultilevel"/>
    <w:tmpl w:val="21CCFEF4"/>
    <w:lvl w:ilvl="0" w:tplc="B0BCA630">
      <w:start w:val="19"/>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5641547C"/>
    <w:multiLevelType w:val="hybridMultilevel"/>
    <w:tmpl w:val="08B8BB9C"/>
    <w:lvl w:ilvl="0" w:tplc="E4FC18EC">
      <w:start w:val="1"/>
      <w:numFmt w:val="decimal"/>
      <w:lvlText w:val="19.%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56F411C0"/>
    <w:multiLevelType w:val="hybridMultilevel"/>
    <w:tmpl w:val="F032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56F77FBA"/>
    <w:multiLevelType w:val="hybridMultilevel"/>
    <w:tmpl w:val="1F08F1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58370B29"/>
    <w:multiLevelType w:val="hybridMultilevel"/>
    <w:tmpl w:val="208604A8"/>
    <w:lvl w:ilvl="0" w:tplc="9FF03A6E">
      <w:start w:val="1"/>
      <w:numFmt w:val="decimal"/>
      <w:lvlText w:val="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589D3AD1"/>
    <w:multiLevelType w:val="hybridMultilevel"/>
    <w:tmpl w:val="2F8A3AF2"/>
    <w:lvl w:ilvl="0" w:tplc="EDD0E678">
      <w:start w:val="1"/>
      <w:numFmt w:val="lowerLetter"/>
      <w:lvlText w:val="(%1)"/>
      <w:lvlJc w:val="left"/>
      <w:pPr>
        <w:ind w:left="720" w:hanging="360"/>
      </w:pPr>
      <w:rPr>
        <w:rFonts w:hint="default"/>
      </w:rPr>
    </w:lvl>
    <w:lvl w:ilvl="1" w:tplc="100C0019" w:tentative="1">
      <w:start w:val="1"/>
      <w:numFmt w:val="lowerLetter"/>
      <w:lvlText w:val="%2."/>
      <w:lvlJc w:val="left"/>
      <w:pPr>
        <w:ind w:left="1440" w:hanging="360"/>
      </w:pPr>
    </w:lvl>
    <w:lvl w:ilvl="2" w:tplc="100C001B" w:tentative="1">
      <w:start w:val="1"/>
      <w:numFmt w:val="lowerRoman"/>
      <w:lvlText w:val="%3."/>
      <w:lvlJc w:val="right"/>
      <w:pPr>
        <w:ind w:left="2160" w:hanging="180"/>
      </w:pPr>
    </w:lvl>
    <w:lvl w:ilvl="3" w:tplc="100C000F" w:tentative="1">
      <w:start w:val="1"/>
      <w:numFmt w:val="decimal"/>
      <w:lvlText w:val="%4."/>
      <w:lvlJc w:val="left"/>
      <w:pPr>
        <w:ind w:left="2880" w:hanging="360"/>
      </w:pPr>
    </w:lvl>
    <w:lvl w:ilvl="4" w:tplc="100C0019" w:tentative="1">
      <w:start w:val="1"/>
      <w:numFmt w:val="lowerLetter"/>
      <w:lvlText w:val="%5."/>
      <w:lvlJc w:val="left"/>
      <w:pPr>
        <w:ind w:left="3600" w:hanging="360"/>
      </w:pPr>
    </w:lvl>
    <w:lvl w:ilvl="5" w:tplc="100C001B" w:tentative="1">
      <w:start w:val="1"/>
      <w:numFmt w:val="lowerRoman"/>
      <w:lvlText w:val="%6."/>
      <w:lvlJc w:val="right"/>
      <w:pPr>
        <w:ind w:left="4320" w:hanging="180"/>
      </w:pPr>
    </w:lvl>
    <w:lvl w:ilvl="6" w:tplc="100C000F" w:tentative="1">
      <w:start w:val="1"/>
      <w:numFmt w:val="decimal"/>
      <w:lvlText w:val="%7."/>
      <w:lvlJc w:val="left"/>
      <w:pPr>
        <w:ind w:left="5040" w:hanging="360"/>
      </w:pPr>
    </w:lvl>
    <w:lvl w:ilvl="7" w:tplc="100C0019" w:tentative="1">
      <w:start w:val="1"/>
      <w:numFmt w:val="lowerLetter"/>
      <w:lvlText w:val="%8."/>
      <w:lvlJc w:val="left"/>
      <w:pPr>
        <w:ind w:left="5760" w:hanging="360"/>
      </w:pPr>
    </w:lvl>
    <w:lvl w:ilvl="8" w:tplc="100C001B" w:tentative="1">
      <w:start w:val="1"/>
      <w:numFmt w:val="lowerRoman"/>
      <w:lvlText w:val="%9."/>
      <w:lvlJc w:val="right"/>
      <w:pPr>
        <w:ind w:left="6480" w:hanging="180"/>
      </w:pPr>
    </w:lvl>
  </w:abstractNum>
  <w:abstractNum w:abstractNumId="88">
    <w:nsid w:val="58AF0767"/>
    <w:multiLevelType w:val="hybridMultilevel"/>
    <w:tmpl w:val="50EE10F6"/>
    <w:lvl w:ilvl="0" w:tplc="10A60E36">
      <w:start w:val="1"/>
      <w:numFmt w:val="decimal"/>
      <w:lvlText w:val="12.%1"/>
      <w:lvlJc w:val="left"/>
      <w:pPr>
        <w:ind w:left="360" w:hanging="360"/>
      </w:pPr>
      <w:rPr>
        <w:rFonts w:hint="default"/>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nsid w:val="58DE16A7"/>
    <w:multiLevelType w:val="hybridMultilevel"/>
    <w:tmpl w:val="F4FC0044"/>
    <w:lvl w:ilvl="0" w:tplc="C5D066B0">
      <w:start w:val="1"/>
      <w:numFmt w:val="decimal"/>
      <w:lvlText w:val="21.%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5A232C8B"/>
    <w:multiLevelType w:val="hybridMultilevel"/>
    <w:tmpl w:val="38E8A43A"/>
    <w:lvl w:ilvl="0" w:tplc="75FA6534">
      <w:start w:val="1"/>
      <w:numFmt w:val="decimal"/>
      <w:lvlText w:val="%1."/>
      <w:lvlJc w:val="left"/>
      <w:pPr>
        <w:ind w:left="720" w:hanging="360"/>
      </w:pPr>
    </w:lvl>
    <w:lvl w:ilvl="1" w:tplc="DB503AA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5AE41D5E"/>
    <w:multiLevelType w:val="hybridMultilevel"/>
    <w:tmpl w:val="8AE059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5C16756D"/>
    <w:multiLevelType w:val="hybridMultilevel"/>
    <w:tmpl w:val="6CB61330"/>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nsid w:val="5D123CD6"/>
    <w:multiLevelType w:val="hybridMultilevel"/>
    <w:tmpl w:val="5C104AD8"/>
    <w:lvl w:ilvl="0" w:tplc="87009630">
      <w:start w:val="6"/>
      <w:numFmt w:val="bullet"/>
      <w:lvlText w:val="-"/>
      <w:lvlJc w:val="left"/>
      <w:pPr>
        <w:ind w:left="731" w:hanging="360"/>
      </w:pPr>
      <w:rPr>
        <w:rFonts w:ascii="Arial" w:eastAsia="Times New Roman" w:hAnsi="Arial" w:cs="Arial" w:hint="default"/>
      </w:rPr>
    </w:lvl>
    <w:lvl w:ilvl="1" w:tplc="04090003" w:tentative="1">
      <w:start w:val="1"/>
      <w:numFmt w:val="bullet"/>
      <w:lvlText w:val="o"/>
      <w:lvlJc w:val="left"/>
      <w:pPr>
        <w:ind w:left="1451" w:hanging="360"/>
      </w:pPr>
      <w:rPr>
        <w:rFonts w:ascii="Courier New" w:hAnsi="Courier New" w:cs="Courier New" w:hint="default"/>
      </w:rPr>
    </w:lvl>
    <w:lvl w:ilvl="2" w:tplc="04090005" w:tentative="1">
      <w:start w:val="1"/>
      <w:numFmt w:val="bullet"/>
      <w:lvlText w:val=""/>
      <w:lvlJc w:val="left"/>
      <w:pPr>
        <w:ind w:left="2171" w:hanging="360"/>
      </w:pPr>
      <w:rPr>
        <w:rFonts w:ascii="Wingdings" w:hAnsi="Wingdings" w:hint="default"/>
      </w:rPr>
    </w:lvl>
    <w:lvl w:ilvl="3" w:tplc="04090001" w:tentative="1">
      <w:start w:val="1"/>
      <w:numFmt w:val="bullet"/>
      <w:lvlText w:val=""/>
      <w:lvlJc w:val="left"/>
      <w:pPr>
        <w:ind w:left="2891" w:hanging="360"/>
      </w:pPr>
      <w:rPr>
        <w:rFonts w:ascii="Symbol" w:hAnsi="Symbol" w:hint="default"/>
      </w:rPr>
    </w:lvl>
    <w:lvl w:ilvl="4" w:tplc="04090003" w:tentative="1">
      <w:start w:val="1"/>
      <w:numFmt w:val="bullet"/>
      <w:lvlText w:val="o"/>
      <w:lvlJc w:val="left"/>
      <w:pPr>
        <w:ind w:left="3611" w:hanging="360"/>
      </w:pPr>
      <w:rPr>
        <w:rFonts w:ascii="Courier New" w:hAnsi="Courier New" w:cs="Courier New" w:hint="default"/>
      </w:rPr>
    </w:lvl>
    <w:lvl w:ilvl="5" w:tplc="04090005" w:tentative="1">
      <w:start w:val="1"/>
      <w:numFmt w:val="bullet"/>
      <w:lvlText w:val=""/>
      <w:lvlJc w:val="left"/>
      <w:pPr>
        <w:ind w:left="4331" w:hanging="360"/>
      </w:pPr>
      <w:rPr>
        <w:rFonts w:ascii="Wingdings" w:hAnsi="Wingdings" w:hint="default"/>
      </w:rPr>
    </w:lvl>
    <w:lvl w:ilvl="6" w:tplc="04090001" w:tentative="1">
      <w:start w:val="1"/>
      <w:numFmt w:val="bullet"/>
      <w:lvlText w:val=""/>
      <w:lvlJc w:val="left"/>
      <w:pPr>
        <w:ind w:left="5051" w:hanging="360"/>
      </w:pPr>
      <w:rPr>
        <w:rFonts w:ascii="Symbol" w:hAnsi="Symbol" w:hint="default"/>
      </w:rPr>
    </w:lvl>
    <w:lvl w:ilvl="7" w:tplc="04090003" w:tentative="1">
      <w:start w:val="1"/>
      <w:numFmt w:val="bullet"/>
      <w:lvlText w:val="o"/>
      <w:lvlJc w:val="left"/>
      <w:pPr>
        <w:ind w:left="5771" w:hanging="360"/>
      </w:pPr>
      <w:rPr>
        <w:rFonts w:ascii="Courier New" w:hAnsi="Courier New" w:cs="Courier New" w:hint="default"/>
      </w:rPr>
    </w:lvl>
    <w:lvl w:ilvl="8" w:tplc="04090005" w:tentative="1">
      <w:start w:val="1"/>
      <w:numFmt w:val="bullet"/>
      <w:lvlText w:val=""/>
      <w:lvlJc w:val="left"/>
      <w:pPr>
        <w:ind w:left="6491" w:hanging="360"/>
      </w:pPr>
      <w:rPr>
        <w:rFonts w:ascii="Wingdings" w:hAnsi="Wingdings" w:hint="default"/>
      </w:rPr>
    </w:lvl>
  </w:abstractNum>
  <w:abstractNum w:abstractNumId="94">
    <w:nsid w:val="5E203ED3"/>
    <w:multiLevelType w:val="hybridMultilevel"/>
    <w:tmpl w:val="0100DD74"/>
    <w:lvl w:ilvl="0" w:tplc="636457FE">
      <w:start w:val="1"/>
      <w:numFmt w:val="decimal"/>
      <w:lvlRestart w:val="0"/>
      <w:pStyle w:val="ListNumber"/>
      <w:lvlText w:val="03.%1."/>
      <w:lvlJc w:val="left"/>
      <w:pPr>
        <w:tabs>
          <w:tab w:val="num" w:pos="567"/>
        </w:tabs>
        <w:ind w:left="0" w:firstLine="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nsid w:val="5EA93457"/>
    <w:multiLevelType w:val="hybridMultilevel"/>
    <w:tmpl w:val="333042DA"/>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nsid w:val="5EFA5F3F"/>
    <w:multiLevelType w:val="hybridMultilevel"/>
    <w:tmpl w:val="9B9066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Tahoma"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ahoma"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ahoma"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nsid w:val="60E16150"/>
    <w:multiLevelType w:val="hybridMultilevel"/>
    <w:tmpl w:val="FEB0664A"/>
    <w:lvl w:ilvl="0" w:tplc="81F2B81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62A804DC"/>
    <w:multiLevelType w:val="hybridMultilevel"/>
    <w:tmpl w:val="4D52A13C"/>
    <w:lvl w:ilvl="0" w:tplc="D4F8B0BA">
      <w:start w:val="1"/>
      <w:numFmt w:val="decimal"/>
      <w:lvlText w:val="5.%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63C00822"/>
    <w:multiLevelType w:val="hybridMultilevel"/>
    <w:tmpl w:val="7868B248"/>
    <w:lvl w:ilvl="0" w:tplc="F252CB60">
      <w:start w:val="1"/>
      <w:numFmt w:val="decimal"/>
      <w:lvlText w:val="1.%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nsid w:val="64055856"/>
    <w:multiLevelType w:val="hybridMultilevel"/>
    <w:tmpl w:val="DB529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64DC190A"/>
    <w:multiLevelType w:val="hybridMultilevel"/>
    <w:tmpl w:val="DBD071DA"/>
    <w:lvl w:ilvl="0" w:tplc="DE4A5C86">
      <w:start w:val="7"/>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671966A3"/>
    <w:multiLevelType w:val="hybridMultilevel"/>
    <w:tmpl w:val="FD984FA8"/>
    <w:lvl w:ilvl="0" w:tplc="87009630">
      <w:start w:val="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nsid w:val="677D720E"/>
    <w:multiLevelType w:val="hybridMultilevel"/>
    <w:tmpl w:val="656AF448"/>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nsid w:val="6938645E"/>
    <w:multiLevelType w:val="multilevel"/>
    <w:tmpl w:val="0C9AF58C"/>
    <w:lvl w:ilvl="0">
      <w:start w:val="1"/>
      <w:numFmt w:val="decimal"/>
      <w:lvlRestart w:val="0"/>
      <w:pStyle w:val="ONUMFS"/>
      <w:lvlText w:val="%1."/>
      <w:lvlJc w:val="left"/>
      <w:pPr>
        <w:tabs>
          <w:tab w:val="num" w:pos="567"/>
        </w:tabs>
        <w:ind w:left="0" w:firstLine="0"/>
      </w:pPr>
    </w:lvl>
    <w:lvl w:ilvl="1">
      <w:start w:val="1"/>
      <w:numFmt w:val="lowerLetter"/>
      <w:lvlText w:val="%2)"/>
      <w:lvlJc w:val="left"/>
      <w:pPr>
        <w:tabs>
          <w:tab w:val="num" w:pos="1134"/>
        </w:tabs>
        <w:ind w:left="567" w:firstLine="0"/>
      </w:pPr>
    </w:lvl>
    <w:lvl w:ilvl="2">
      <w:start w:val="1"/>
      <w:numFmt w:val="lowerRoman"/>
      <w:lvlText w:val="%3)"/>
      <w:lvlJc w:val="left"/>
      <w:pPr>
        <w:tabs>
          <w:tab w:val="num" w:pos="1701"/>
        </w:tabs>
        <w:ind w:left="1134" w:firstLine="0"/>
      </w:pPr>
    </w:lvl>
    <w:lvl w:ilvl="3">
      <w:start w:val="1"/>
      <w:numFmt w:val="bullet"/>
      <w:lvlText w:val=""/>
      <w:lvlJc w:val="left"/>
      <w:pPr>
        <w:tabs>
          <w:tab w:val="num" w:pos="2268"/>
        </w:tabs>
        <w:ind w:left="1701" w:firstLine="0"/>
      </w:pPr>
    </w:lvl>
    <w:lvl w:ilvl="4">
      <w:start w:val="1"/>
      <w:numFmt w:val="bullet"/>
      <w:lvlText w:val=""/>
      <w:lvlJc w:val="left"/>
      <w:pPr>
        <w:tabs>
          <w:tab w:val="num" w:pos="2835"/>
        </w:tabs>
        <w:ind w:left="2268" w:firstLine="0"/>
      </w:pPr>
    </w:lvl>
    <w:lvl w:ilvl="5">
      <w:start w:val="1"/>
      <w:numFmt w:val="bullet"/>
      <w:lvlText w:val=""/>
      <w:lvlJc w:val="left"/>
      <w:pPr>
        <w:tabs>
          <w:tab w:val="num" w:pos="3402"/>
        </w:tabs>
        <w:ind w:left="2835" w:firstLine="0"/>
      </w:pPr>
    </w:lvl>
    <w:lvl w:ilvl="6">
      <w:start w:val="1"/>
      <w:numFmt w:val="bullet"/>
      <w:lvlText w:val=""/>
      <w:lvlJc w:val="left"/>
      <w:pPr>
        <w:tabs>
          <w:tab w:val="num" w:pos="3969"/>
        </w:tabs>
        <w:ind w:left="3402" w:firstLine="0"/>
      </w:pPr>
    </w:lvl>
    <w:lvl w:ilvl="7">
      <w:start w:val="1"/>
      <w:numFmt w:val="bullet"/>
      <w:lvlText w:val=""/>
      <w:lvlJc w:val="left"/>
      <w:pPr>
        <w:tabs>
          <w:tab w:val="num" w:pos="4535"/>
        </w:tabs>
        <w:ind w:left="3969" w:firstLine="0"/>
      </w:pPr>
    </w:lvl>
    <w:lvl w:ilvl="8">
      <w:start w:val="1"/>
      <w:numFmt w:val="bullet"/>
      <w:lvlText w:val=""/>
      <w:lvlJc w:val="left"/>
      <w:pPr>
        <w:tabs>
          <w:tab w:val="num" w:pos="5102"/>
        </w:tabs>
        <w:ind w:left="4535" w:firstLine="0"/>
      </w:pPr>
    </w:lvl>
  </w:abstractNum>
  <w:abstractNum w:abstractNumId="105">
    <w:nsid w:val="6A005E3D"/>
    <w:multiLevelType w:val="hybridMultilevel"/>
    <w:tmpl w:val="4822A6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nsid w:val="6B643B61"/>
    <w:multiLevelType w:val="hybridMultilevel"/>
    <w:tmpl w:val="EB2CA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6BAE3F18"/>
    <w:multiLevelType w:val="hybridMultilevel"/>
    <w:tmpl w:val="180A8A3A"/>
    <w:lvl w:ilvl="0" w:tplc="3342BADC">
      <w:start w:val="1"/>
      <w:numFmt w:val="decimal"/>
      <w:lvlText w:val="25.%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6D9418CC"/>
    <w:multiLevelType w:val="hybridMultilevel"/>
    <w:tmpl w:val="7E82E106"/>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nsid w:val="70AC3B59"/>
    <w:multiLevelType w:val="hybridMultilevel"/>
    <w:tmpl w:val="1FD0C4F8"/>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nsid w:val="71146A48"/>
    <w:multiLevelType w:val="hybridMultilevel"/>
    <w:tmpl w:val="32DC7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2376FFB"/>
    <w:multiLevelType w:val="multilevel"/>
    <w:tmpl w:val="12E4239A"/>
    <w:lvl w:ilvl="0">
      <w:start w:val="1"/>
      <w:numFmt w:val="bullet"/>
      <w:pStyle w:val="Tes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2">
    <w:nsid w:val="72475227"/>
    <w:multiLevelType w:val="hybridMultilevel"/>
    <w:tmpl w:val="BEF8ACD8"/>
    <w:lvl w:ilvl="0" w:tplc="DE4A5C86">
      <w:start w:val="7"/>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3">
    <w:nsid w:val="73222A77"/>
    <w:multiLevelType w:val="hybridMultilevel"/>
    <w:tmpl w:val="BD700530"/>
    <w:lvl w:ilvl="0" w:tplc="1AA0ABC2">
      <w:start w:val="1"/>
      <w:numFmt w:val="bullet"/>
      <w:lvlText w:val=""/>
      <w:lvlJc w:val="left"/>
      <w:pPr>
        <w:tabs>
          <w:tab w:val="num" w:pos="794"/>
        </w:tabs>
        <w:ind w:left="794" w:hanging="397"/>
      </w:pPr>
      <w:rPr>
        <w:rFonts w:ascii="Symbol" w:hAnsi="Symbol" w:hint="default"/>
      </w:rPr>
    </w:lvl>
    <w:lvl w:ilvl="1" w:tplc="EA88E58A">
      <w:start w:val="1"/>
      <w:numFmt w:val="bullet"/>
      <w:lvlText w:val=""/>
      <w:lvlJc w:val="left"/>
      <w:pPr>
        <w:tabs>
          <w:tab w:val="num" w:pos="1990"/>
        </w:tabs>
        <w:ind w:left="1990" w:hanging="360"/>
      </w:pPr>
      <w:rPr>
        <w:rFonts w:ascii="Symbol" w:hAnsi="Symbol" w:hint="default"/>
        <w:color w:val="auto"/>
      </w:rPr>
    </w:lvl>
    <w:lvl w:ilvl="2" w:tplc="0409001B" w:tentative="1">
      <w:start w:val="1"/>
      <w:numFmt w:val="lowerRoman"/>
      <w:lvlText w:val="%3."/>
      <w:lvlJc w:val="right"/>
      <w:pPr>
        <w:tabs>
          <w:tab w:val="num" w:pos="2710"/>
        </w:tabs>
        <w:ind w:left="2710" w:hanging="180"/>
      </w:pPr>
    </w:lvl>
    <w:lvl w:ilvl="3" w:tplc="0409000F">
      <w:start w:val="1"/>
      <w:numFmt w:val="decimal"/>
      <w:lvlText w:val="%4."/>
      <w:lvlJc w:val="left"/>
      <w:pPr>
        <w:tabs>
          <w:tab w:val="num" w:pos="3430"/>
        </w:tabs>
        <w:ind w:left="3430" w:hanging="360"/>
      </w:pPr>
      <w:rPr>
        <w:rFonts w:hint="default"/>
      </w:rPr>
    </w:lvl>
    <w:lvl w:ilvl="4" w:tplc="04090019" w:tentative="1">
      <w:start w:val="1"/>
      <w:numFmt w:val="lowerLetter"/>
      <w:lvlText w:val="%5."/>
      <w:lvlJc w:val="left"/>
      <w:pPr>
        <w:tabs>
          <w:tab w:val="num" w:pos="4150"/>
        </w:tabs>
        <w:ind w:left="4150" w:hanging="360"/>
      </w:pPr>
    </w:lvl>
    <w:lvl w:ilvl="5" w:tplc="0409001B" w:tentative="1">
      <w:start w:val="1"/>
      <w:numFmt w:val="lowerRoman"/>
      <w:lvlText w:val="%6."/>
      <w:lvlJc w:val="right"/>
      <w:pPr>
        <w:tabs>
          <w:tab w:val="num" w:pos="4870"/>
        </w:tabs>
        <w:ind w:left="4870" w:hanging="180"/>
      </w:pPr>
    </w:lvl>
    <w:lvl w:ilvl="6" w:tplc="0409000F" w:tentative="1">
      <w:start w:val="1"/>
      <w:numFmt w:val="decimal"/>
      <w:lvlText w:val="%7."/>
      <w:lvlJc w:val="left"/>
      <w:pPr>
        <w:tabs>
          <w:tab w:val="num" w:pos="5590"/>
        </w:tabs>
        <w:ind w:left="5590" w:hanging="360"/>
      </w:pPr>
    </w:lvl>
    <w:lvl w:ilvl="7" w:tplc="04090019" w:tentative="1">
      <w:start w:val="1"/>
      <w:numFmt w:val="lowerLetter"/>
      <w:lvlText w:val="%8."/>
      <w:lvlJc w:val="left"/>
      <w:pPr>
        <w:tabs>
          <w:tab w:val="num" w:pos="6310"/>
        </w:tabs>
        <w:ind w:left="6310" w:hanging="360"/>
      </w:pPr>
    </w:lvl>
    <w:lvl w:ilvl="8" w:tplc="0409001B" w:tentative="1">
      <w:start w:val="1"/>
      <w:numFmt w:val="lowerRoman"/>
      <w:lvlText w:val="%9."/>
      <w:lvlJc w:val="right"/>
      <w:pPr>
        <w:tabs>
          <w:tab w:val="num" w:pos="7030"/>
        </w:tabs>
        <w:ind w:left="7030" w:hanging="180"/>
      </w:pPr>
    </w:lvl>
  </w:abstractNum>
  <w:abstractNum w:abstractNumId="114">
    <w:nsid w:val="733E68C7"/>
    <w:multiLevelType w:val="hybridMultilevel"/>
    <w:tmpl w:val="BB8A5216"/>
    <w:lvl w:ilvl="0" w:tplc="2130A91C">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nsid w:val="73B6686E"/>
    <w:multiLevelType w:val="hybridMultilevel"/>
    <w:tmpl w:val="648014F8"/>
    <w:lvl w:ilvl="0" w:tplc="87009630">
      <w:start w:val="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nsid w:val="73EF6FCB"/>
    <w:multiLevelType w:val="hybridMultilevel"/>
    <w:tmpl w:val="D94E0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74397032"/>
    <w:multiLevelType w:val="hybridMultilevel"/>
    <w:tmpl w:val="CE3EC29C"/>
    <w:lvl w:ilvl="0" w:tplc="92A6757A">
      <w:start w:val="1"/>
      <w:numFmt w:val="decimal"/>
      <w:lvlText w:val="6.%1."/>
      <w:lvlJc w:val="left"/>
      <w:pPr>
        <w:ind w:left="810" w:hanging="360"/>
      </w:pPr>
      <w:rPr>
        <w:rFonts w:ascii="Arial" w:hAnsi="Arial" w:cs="Arial" w:hint="default"/>
        <w:sz w:val="20"/>
        <w:szCs w:val="2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18">
    <w:nsid w:val="745A662D"/>
    <w:multiLevelType w:val="hybridMultilevel"/>
    <w:tmpl w:val="63BA6656"/>
    <w:lvl w:ilvl="0" w:tplc="2C784CBE">
      <w:start w:val="1"/>
      <w:numFmt w:val="decimal"/>
      <w:pStyle w:val="Style1"/>
      <w:lvlText w:val="13.%1."/>
      <w:lvlJc w:val="left"/>
      <w:pPr>
        <w:ind w:left="720" w:hanging="360"/>
      </w:pPr>
      <w:rPr>
        <w:rFonts w:ascii="Arial" w:hAnsi="Arial" w:cs="Arial"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7588458B"/>
    <w:multiLevelType w:val="multilevel"/>
    <w:tmpl w:val="305C8AE8"/>
    <w:lvl w:ilvl="0">
      <w:start w:val="9"/>
      <w:numFmt w:val="decimal"/>
      <w:lvlText w:val="%1."/>
      <w:lvlJc w:val="left"/>
      <w:pPr>
        <w:ind w:left="360" w:hanging="360"/>
      </w:pPr>
      <w:rPr>
        <w:rFonts w:hint="default"/>
      </w:rPr>
    </w:lvl>
    <w:lvl w:ilvl="1">
      <w:start w:val="1"/>
      <w:numFmt w:val="decimal"/>
      <w:lvlText w:val="%1.%2."/>
      <w:lvlJc w:val="left"/>
      <w:pPr>
        <w:ind w:left="0" w:firstLine="0"/>
      </w:pPr>
      <w:rPr>
        <w:rFonts w:hint="default"/>
        <w:b w: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0">
    <w:nsid w:val="75D11C28"/>
    <w:multiLevelType w:val="multilevel"/>
    <w:tmpl w:val="F7D07E00"/>
    <w:lvl w:ilvl="0">
      <w:start w:val="70"/>
      <w:numFmt w:val="decimal"/>
      <w:lvlRestart w:val="0"/>
      <w:lvlText w:val="%1."/>
      <w:lvlJc w:val="left"/>
      <w:pPr>
        <w:tabs>
          <w:tab w:val="num" w:pos="567"/>
        </w:tabs>
        <w:ind w:left="0" w:firstLine="0"/>
      </w:pPr>
      <w:rPr>
        <w:rFonts w:hint="default"/>
        <w:b w:val="0"/>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21">
    <w:nsid w:val="77054D63"/>
    <w:multiLevelType w:val="hybridMultilevel"/>
    <w:tmpl w:val="B22A8138"/>
    <w:lvl w:ilvl="0" w:tplc="4F0CE326">
      <w:start w:val="1"/>
      <w:numFmt w:val="decimal"/>
      <w:lvlText w:val="27.%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77583041"/>
    <w:multiLevelType w:val="hybridMultilevel"/>
    <w:tmpl w:val="EC62EBB2"/>
    <w:lvl w:ilvl="0" w:tplc="616AAF6A">
      <w:start w:val="560"/>
      <w:numFmt w:val="bullet"/>
      <w:lvlText w:val="-"/>
      <w:lvlJc w:val="left"/>
      <w:pPr>
        <w:ind w:left="360" w:hanging="360"/>
      </w:pPr>
      <w:rPr>
        <w:rFonts w:ascii="Arial" w:eastAsiaTheme="minorHAnsi"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nsid w:val="77850D78"/>
    <w:multiLevelType w:val="hybridMultilevel"/>
    <w:tmpl w:val="87B0E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78A5226F"/>
    <w:multiLevelType w:val="hybridMultilevel"/>
    <w:tmpl w:val="8EE4259C"/>
    <w:lvl w:ilvl="0" w:tplc="DE4A5C86">
      <w:start w:val="7"/>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nsid w:val="79655F53"/>
    <w:multiLevelType w:val="hybridMultilevel"/>
    <w:tmpl w:val="777C3B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nsid w:val="7A9C0334"/>
    <w:multiLevelType w:val="hybridMultilevel"/>
    <w:tmpl w:val="8AA8C8DE"/>
    <w:lvl w:ilvl="0" w:tplc="29AAD54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nsid w:val="7B9F54BC"/>
    <w:multiLevelType w:val="hybridMultilevel"/>
    <w:tmpl w:val="2EC80BE2"/>
    <w:lvl w:ilvl="0" w:tplc="06400788">
      <w:start w:val="1"/>
      <w:numFmt w:val="decimal"/>
      <w:lvlText w:val="15.%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nsid w:val="7C226849"/>
    <w:multiLevelType w:val="hybridMultilevel"/>
    <w:tmpl w:val="662656A8"/>
    <w:lvl w:ilvl="0" w:tplc="1AA0ABC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7CB87600"/>
    <w:multiLevelType w:val="hybridMultilevel"/>
    <w:tmpl w:val="B448BE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nsid w:val="7D916864"/>
    <w:multiLevelType w:val="hybridMultilevel"/>
    <w:tmpl w:val="483A6872"/>
    <w:lvl w:ilvl="0" w:tplc="F230E2B8">
      <w:start w:val="1"/>
      <w:numFmt w:val="decimal"/>
      <w:lvlText w:val="10.%1"/>
      <w:lvlJc w:val="left"/>
      <w:pPr>
        <w:ind w:left="3960" w:hanging="360"/>
      </w:pPr>
      <w:rPr>
        <w:rFonts w:hint="default"/>
        <w:sz w:val="20"/>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31">
    <w:nsid w:val="7E0549AC"/>
    <w:multiLevelType w:val="hybridMultilevel"/>
    <w:tmpl w:val="220EC26C"/>
    <w:lvl w:ilvl="0" w:tplc="04090001">
      <w:start w:val="1"/>
      <w:numFmt w:val="bullet"/>
      <w:lvlText w:val=""/>
      <w:lvlJc w:val="left"/>
      <w:pPr>
        <w:ind w:left="892" w:hanging="360"/>
      </w:pPr>
      <w:rPr>
        <w:rFonts w:ascii="Symbol" w:hAnsi="Symbol" w:hint="default"/>
      </w:rPr>
    </w:lvl>
    <w:lvl w:ilvl="1" w:tplc="04090003" w:tentative="1">
      <w:start w:val="1"/>
      <w:numFmt w:val="bullet"/>
      <w:lvlText w:val="o"/>
      <w:lvlJc w:val="left"/>
      <w:pPr>
        <w:ind w:left="1612" w:hanging="360"/>
      </w:pPr>
      <w:rPr>
        <w:rFonts w:ascii="Courier New" w:hAnsi="Courier New" w:cs="Courier New" w:hint="default"/>
      </w:rPr>
    </w:lvl>
    <w:lvl w:ilvl="2" w:tplc="04090005" w:tentative="1">
      <w:start w:val="1"/>
      <w:numFmt w:val="bullet"/>
      <w:lvlText w:val=""/>
      <w:lvlJc w:val="left"/>
      <w:pPr>
        <w:ind w:left="2332" w:hanging="360"/>
      </w:pPr>
      <w:rPr>
        <w:rFonts w:ascii="Wingdings" w:hAnsi="Wingdings" w:hint="default"/>
      </w:rPr>
    </w:lvl>
    <w:lvl w:ilvl="3" w:tplc="04090001" w:tentative="1">
      <w:start w:val="1"/>
      <w:numFmt w:val="bullet"/>
      <w:lvlText w:val=""/>
      <w:lvlJc w:val="left"/>
      <w:pPr>
        <w:ind w:left="3052" w:hanging="360"/>
      </w:pPr>
      <w:rPr>
        <w:rFonts w:ascii="Symbol" w:hAnsi="Symbol" w:hint="default"/>
      </w:rPr>
    </w:lvl>
    <w:lvl w:ilvl="4" w:tplc="04090003" w:tentative="1">
      <w:start w:val="1"/>
      <w:numFmt w:val="bullet"/>
      <w:lvlText w:val="o"/>
      <w:lvlJc w:val="left"/>
      <w:pPr>
        <w:ind w:left="3772" w:hanging="360"/>
      </w:pPr>
      <w:rPr>
        <w:rFonts w:ascii="Courier New" w:hAnsi="Courier New" w:cs="Courier New" w:hint="default"/>
      </w:rPr>
    </w:lvl>
    <w:lvl w:ilvl="5" w:tplc="04090005" w:tentative="1">
      <w:start w:val="1"/>
      <w:numFmt w:val="bullet"/>
      <w:lvlText w:val=""/>
      <w:lvlJc w:val="left"/>
      <w:pPr>
        <w:ind w:left="4492" w:hanging="360"/>
      </w:pPr>
      <w:rPr>
        <w:rFonts w:ascii="Wingdings" w:hAnsi="Wingdings" w:hint="default"/>
      </w:rPr>
    </w:lvl>
    <w:lvl w:ilvl="6" w:tplc="04090001" w:tentative="1">
      <w:start w:val="1"/>
      <w:numFmt w:val="bullet"/>
      <w:lvlText w:val=""/>
      <w:lvlJc w:val="left"/>
      <w:pPr>
        <w:ind w:left="5212" w:hanging="360"/>
      </w:pPr>
      <w:rPr>
        <w:rFonts w:ascii="Symbol" w:hAnsi="Symbol" w:hint="default"/>
      </w:rPr>
    </w:lvl>
    <w:lvl w:ilvl="7" w:tplc="04090003" w:tentative="1">
      <w:start w:val="1"/>
      <w:numFmt w:val="bullet"/>
      <w:lvlText w:val="o"/>
      <w:lvlJc w:val="left"/>
      <w:pPr>
        <w:ind w:left="5932" w:hanging="360"/>
      </w:pPr>
      <w:rPr>
        <w:rFonts w:ascii="Courier New" w:hAnsi="Courier New" w:cs="Courier New" w:hint="default"/>
      </w:rPr>
    </w:lvl>
    <w:lvl w:ilvl="8" w:tplc="04090005" w:tentative="1">
      <w:start w:val="1"/>
      <w:numFmt w:val="bullet"/>
      <w:lvlText w:val=""/>
      <w:lvlJc w:val="left"/>
      <w:pPr>
        <w:ind w:left="6652" w:hanging="360"/>
      </w:pPr>
      <w:rPr>
        <w:rFonts w:ascii="Wingdings" w:hAnsi="Wingdings" w:hint="default"/>
      </w:rPr>
    </w:lvl>
  </w:abstractNum>
  <w:abstractNum w:abstractNumId="132">
    <w:nsid w:val="7E8D34AF"/>
    <w:multiLevelType w:val="hybridMultilevel"/>
    <w:tmpl w:val="3BF46F1C"/>
    <w:lvl w:ilvl="0" w:tplc="04090015">
      <w:start w:val="1"/>
      <w:numFmt w:val="upperLetter"/>
      <w:lvlText w:val="%1."/>
      <w:lvlJc w:val="left"/>
      <w:pPr>
        <w:ind w:left="360" w:hanging="360"/>
      </w:pPr>
      <w:rPr>
        <w:rFonts w:hint="default"/>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3">
    <w:nsid w:val="7FC21B01"/>
    <w:multiLevelType w:val="hybridMultilevel"/>
    <w:tmpl w:val="75AA88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18"/>
  </w:num>
  <w:num w:numId="3">
    <w:abstractNumId w:val="104"/>
  </w:num>
  <w:num w:numId="4">
    <w:abstractNumId w:val="94"/>
  </w:num>
  <w:num w:numId="5">
    <w:abstractNumId w:val="56"/>
  </w:num>
  <w:num w:numId="6">
    <w:abstractNumId w:val="42"/>
  </w:num>
  <w:num w:numId="7">
    <w:abstractNumId w:val="97"/>
  </w:num>
  <w:num w:numId="8">
    <w:abstractNumId w:val="127"/>
  </w:num>
  <w:num w:numId="9">
    <w:abstractNumId w:val="111"/>
  </w:num>
  <w:num w:numId="10">
    <w:abstractNumId w:val="99"/>
  </w:num>
  <w:num w:numId="11">
    <w:abstractNumId w:val="28"/>
  </w:num>
  <w:num w:numId="12">
    <w:abstractNumId w:val="79"/>
  </w:num>
  <w:num w:numId="13">
    <w:abstractNumId w:val="115"/>
  </w:num>
  <w:num w:numId="14">
    <w:abstractNumId w:val="102"/>
  </w:num>
  <w:num w:numId="15">
    <w:abstractNumId w:val="93"/>
  </w:num>
  <w:num w:numId="16">
    <w:abstractNumId w:val="12"/>
  </w:num>
  <w:num w:numId="17">
    <w:abstractNumId w:val="67"/>
  </w:num>
  <w:num w:numId="18">
    <w:abstractNumId w:val="36"/>
  </w:num>
  <w:num w:numId="19">
    <w:abstractNumId w:val="2"/>
  </w:num>
  <w:num w:numId="20">
    <w:abstractNumId w:val="37"/>
  </w:num>
  <w:num w:numId="21">
    <w:abstractNumId w:val="44"/>
  </w:num>
  <w:num w:numId="22">
    <w:abstractNumId w:val="8"/>
  </w:num>
  <w:num w:numId="23">
    <w:abstractNumId w:val="73"/>
  </w:num>
  <w:num w:numId="24">
    <w:abstractNumId w:val="98"/>
  </w:num>
  <w:num w:numId="25">
    <w:abstractNumId w:val="61"/>
  </w:num>
  <w:num w:numId="26">
    <w:abstractNumId w:val="13"/>
  </w:num>
  <w:num w:numId="27">
    <w:abstractNumId w:val="122"/>
  </w:num>
  <w:num w:numId="28">
    <w:abstractNumId w:val="88"/>
  </w:num>
  <w:num w:numId="29">
    <w:abstractNumId w:val="41"/>
  </w:num>
  <w:num w:numId="30">
    <w:abstractNumId w:val="108"/>
  </w:num>
  <w:num w:numId="31">
    <w:abstractNumId w:val="109"/>
  </w:num>
  <w:num w:numId="32">
    <w:abstractNumId w:val="45"/>
  </w:num>
  <w:num w:numId="33">
    <w:abstractNumId w:val="10"/>
  </w:num>
  <w:num w:numId="34">
    <w:abstractNumId w:val="89"/>
  </w:num>
  <w:num w:numId="35">
    <w:abstractNumId w:val="77"/>
  </w:num>
  <w:num w:numId="36">
    <w:abstractNumId w:val="33"/>
  </w:num>
  <w:num w:numId="37">
    <w:abstractNumId w:val="26"/>
  </w:num>
  <w:num w:numId="38">
    <w:abstractNumId w:val="65"/>
  </w:num>
  <w:num w:numId="39">
    <w:abstractNumId w:val="47"/>
  </w:num>
  <w:num w:numId="40">
    <w:abstractNumId w:val="57"/>
  </w:num>
  <w:num w:numId="41">
    <w:abstractNumId w:val="100"/>
  </w:num>
  <w:num w:numId="42">
    <w:abstractNumId w:val="3"/>
  </w:num>
  <w:num w:numId="43">
    <w:abstractNumId w:val="105"/>
  </w:num>
  <w:num w:numId="44">
    <w:abstractNumId w:val="29"/>
  </w:num>
  <w:num w:numId="45">
    <w:abstractNumId w:val="19"/>
  </w:num>
  <w:num w:numId="46">
    <w:abstractNumId w:val="131"/>
  </w:num>
  <w:num w:numId="47">
    <w:abstractNumId w:val="15"/>
  </w:num>
  <w:num w:numId="48">
    <w:abstractNumId w:val="107"/>
  </w:num>
  <w:num w:numId="49">
    <w:abstractNumId w:val="132"/>
  </w:num>
  <w:num w:numId="50">
    <w:abstractNumId w:val="63"/>
  </w:num>
  <w:num w:numId="51">
    <w:abstractNumId w:val="4"/>
  </w:num>
  <w:num w:numId="52">
    <w:abstractNumId w:val="87"/>
  </w:num>
  <w:num w:numId="53">
    <w:abstractNumId w:val="49"/>
  </w:num>
  <w:num w:numId="54">
    <w:abstractNumId w:val="96"/>
  </w:num>
  <w:num w:numId="55">
    <w:abstractNumId w:val="16"/>
  </w:num>
  <w:num w:numId="56">
    <w:abstractNumId w:val="6"/>
  </w:num>
  <w:num w:numId="57">
    <w:abstractNumId w:val="48"/>
  </w:num>
  <w:num w:numId="58">
    <w:abstractNumId w:val="11"/>
  </w:num>
  <w:num w:numId="59">
    <w:abstractNumId w:val="32"/>
  </w:num>
  <w:num w:numId="60">
    <w:abstractNumId w:val="43"/>
  </w:num>
  <w:num w:numId="61">
    <w:abstractNumId w:val="112"/>
  </w:num>
  <w:num w:numId="62">
    <w:abstractNumId w:val="22"/>
  </w:num>
  <w:num w:numId="63">
    <w:abstractNumId w:val="83"/>
  </w:num>
  <w:num w:numId="64">
    <w:abstractNumId w:val="124"/>
  </w:num>
  <w:num w:numId="65">
    <w:abstractNumId w:val="0"/>
  </w:num>
  <w:num w:numId="66">
    <w:abstractNumId w:val="80"/>
  </w:num>
  <w:num w:numId="67">
    <w:abstractNumId w:val="82"/>
  </w:num>
  <w:num w:numId="68">
    <w:abstractNumId w:val="38"/>
  </w:num>
  <w:num w:numId="69">
    <w:abstractNumId w:val="58"/>
  </w:num>
  <w:num w:numId="70">
    <w:abstractNumId w:val="30"/>
  </w:num>
  <w:num w:numId="71">
    <w:abstractNumId w:val="78"/>
  </w:num>
  <w:num w:numId="72">
    <w:abstractNumId w:val="20"/>
  </w:num>
  <w:num w:numId="73">
    <w:abstractNumId w:val="121"/>
  </w:num>
  <w:num w:numId="74">
    <w:abstractNumId w:val="62"/>
  </w:num>
  <w:num w:numId="75">
    <w:abstractNumId w:val="60"/>
  </w:num>
  <w:num w:numId="76">
    <w:abstractNumId w:val="130"/>
  </w:num>
  <w:num w:numId="77">
    <w:abstractNumId w:val="5"/>
  </w:num>
  <w:num w:numId="78">
    <w:abstractNumId w:val="1"/>
  </w:num>
  <w:num w:numId="79">
    <w:abstractNumId w:val="50"/>
  </w:num>
  <w:num w:numId="80">
    <w:abstractNumId w:val="68"/>
  </w:num>
  <w:num w:numId="81">
    <w:abstractNumId w:val="25"/>
  </w:num>
  <w:num w:numId="82">
    <w:abstractNumId w:val="86"/>
  </w:num>
  <w:num w:numId="83">
    <w:abstractNumId w:val="95"/>
  </w:num>
  <w:num w:numId="84">
    <w:abstractNumId w:val="76"/>
  </w:num>
  <w:num w:numId="85">
    <w:abstractNumId w:val="81"/>
  </w:num>
  <w:num w:numId="86">
    <w:abstractNumId w:val="72"/>
  </w:num>
  <w:num w:numId="87">
    <w:abstractNumId w:val="92"/>
  </w:num>
  <w:num w:numId="88">
    <w:abstractNumId w:val="53"/>
  </w:num>
  <w:num w:numId="89">
    <w:abstractNumId w:val="55"/>
  </w:num>
  <w:num w:numId="90">
    <w:abstractNumId w:val="120"/>
  </w:num>
  <w:num w:numId="91">
    <w:abstractNumId w:val="117"/>
  </w:num>
  <w:num w:numId="92">
    <w:abstractNumId w:val="31"/>
  </w:num>
  <w:num w:numId="93">
    <w:abstractNumId w:val="7"/>
  </w:num>
  <w:num w:numId="94">
    <w:abstractNumId w:val="34"/>
  </w:num>
  <w:num w:numId="95">
    <w:abstractNumId w:val="35"/>
  </w:num>
  <w:num w:numId="96">
    <w:abstractNumId w:val="27"/>
  </w:num>
  <w:num w:numId="97">
    <w:abstractNumId w:val="110"/>
  </w:num>
  <w:num w:numId="98">
    <w:abstractNumId w:val="52"/>
  </w:num>
  <w:num w:numId="99">
    <w:abstractNumId w:val="116"/>
  </w:num>
  <w:num w:numId="100">
    <w:abstractNumId w:val="133"/>
  </w:num>
  <w:num w:numId="101">
    <w:abstractNumId w:val="90"/>
  </w:num>
  <w:num w:numId="102">
    <w:abstractNumId w:val="74"/>
  </w:num>
  <w:num w:numId="103">
    <w:abstractNumId w:val="17"/>
  </w:num>
  <w:num w:numId="104">
    <w:abstractNumId w:val="106"/>
  </w:num>
  <w:num w:numId="105">
    <w:abstractNumId w:val="119"/>
  </w:num>
  <w:num w:numId="106">
    <w:abstractNumId w:val="101"/>
  </w:num>
  <w:num w:numId="107">
    <w:abstractNumId w:val="51"/>
  </w:num>
  <w:num w:numId="108">
    <w:abstractNumId w:val="46"/>
  </w:num>
  <w:num w:numId="109">
    <w:abstractNumId w:val="64"/>
  </w:num>
  <w:num w:numId="110">
    <w:abstractNumId w:val="24"/>
  </w:num>
  <w:num w:numId="111">
    <w:abstractNumId w:val="9"/>
  </w:num>
  <w:num w:numId="112">
    <w:abstractNumId w:val="91"/>
  </w:num>
  <w:num w:numId="113">
    <w:abstractNumId w:val="14"/>
  </w:num>
  <w:num w:numId="114">
    <w:abstractNumId w:val="75"/>
  </w:num>
  <w:num w:numId="115">
    <w:abstractNumId w:val="129"/>
  </w:num>
  <w:num w:numId="116">
    <w:abstractNumId w:val="59"/>
  </w:num>
  <w:num w:numId="117">
    <w:abstractNumId w:val="128"/>
  </w:num>
  <w:num w:numId="118">
    <w:abstractNumId w:val="120"/>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119">
    <w:abstractNumId w:val="120"/>
    <w:lvlOverride w:ilvl="0">
      <w:startOverride w:val="2"/>
    </w:lvlOverride>
    <w:lvlOverride w:ilvl="1">
      <w:startOverride w:val="2"/>
    </w:lvlOverride>
    <w:lvlOverride w:ilvl="2">
      <w:startOverride w:val="3"/>
    </w:lvlOverride>
    <w:lvlOverride w:ilvl="3"/>
    <w:lvlOverride w:ilvl="4"/>
    <w:lvlOverride w:ilvl="5"/>
    <w:lvlOverride w:ilvl="6"/>
    <w:lvlOverride w:ilvl="7"/>
    <w:lvlOverride w:ilvl="8"/>
  </w:num>
  <w:num w:numId="120">
    <w:abstractNumId w:val="120"/>
    <w:lvlOverride w:ilvl="0">
      <w:startOverride w:val="2"/>
    </w:lvlOverride>
    <w:lvlOverride w:ilvl="1">
      <w:startOverride w:val="3"/>
    </w:lvlOverride>
    <w:lvlOverride w:ilvl="2">
      <w:startOverride w:val="7"/>
    </w:lvlOverride>
    <w:lvlOverride w:ilvl="3"/>
    <w:lvlOverride w:ilvl="4"/>
    <w:lvlOverride w:ilvl="5"/>
    <w:lvlOverride w:ilvl="6"/>
    <w:lvlOverride w:ilvl="7"/>
    <w:lvlOverride w:ilvl="8"/>
  </w:num>
  <w:num w:numId="121">
    <w:abstractNumId w:val="18"/>
  </w:num>
  <w:num w:numId="122">
    <w:abstractNumId w:val="114"/>
  </w:num>
  <w:num w:numId="123">
    <w:abstractNumId w:val="126"/>
  </w:num>
  <w:num w:numId="124">
    <w:abstractNumId w:val="70"/>
  </w:num>
  <w:num w:numId="125">
    <w:abstractNumId w:val="40"/>
  </w:num>
  <w:num w:numId="126">
    <w:abstractNumId w:val="66"/>
  </w:num>
  <w:num w:numId="127">
    <w:abstractNumId w:val="54"/>
  </w:num>
  <w:num w:numId="128">
    <w:abstractNumId w:val="71"/>
  </w:num>
  <w:num w:numId="129">
    <w:abstractNumId w:val="23"/>
  </w:num>
  <w:num w:numId="130">
    <w:abstractNumId w:val="103"/>
  </w:num>
  <w:num w:numId="131">
    <w:abstractNumId w:val="113"/>
  </w:num>
  <w:num w:numId="132">
    <w:abstractNumId w:val="39"/>
  </w:num>
  <w:num w:numId="133">
    <w:abstractNumId w:val="84"/>
  </w:num>
  <w:num w:numId="134">
    <w:abstractNumId w:val="123"/>
  </w:num>
  <w:num w:numId="135">
    <w:abstractNumId w:val="69"/>
  </w:num>
  <w:num w:numId="136">
    <w:abstractNumId w:val="125"/>
  </w:num>
  <w:num w:numId="137">
    <w:abstractNumId w:val="85"/>
  </w:num>
  <w:numIdMacAtCleanup w:val="1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140"/>
  <w:displayBackgroundShap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evenAndOddHeaders/>
  <w:displayHorizontalDrawingGridEvery w:val="0"/>
  <w:displayVerticalDrawingGridEvery w:val="0"/>
  <w:doNotUseMarginsForDrawingGridOrigin/>
  <w:noPunctuationKerning/>
  <w:characterSpacingControl w:val="doNotCompress"/>
  <w:hdrShapeDefaults>
    <o:shapedefaults v:ext="edit" spidmax="2252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8A8"/>
    <w:rsid w:val="00002CD7"/>
    <w:rsid w:val="00004027"/>
    <w:rsid w:val="00005AC2"/>
    <w:rsid w:val="00005E5B"/>
    <w:rsid w:val="00010322"/>
    <w:rsid w:val="00011829"/>
    <w:rsid w:val="0001289E"/>
    <w:rsid w:val="00012A02"/>
    <w:rsid w:val="00012EE2"/>
    <w:rsid w:val="0001351B"/>
    <w:rsid w:val="0001444E"/>
    <w:rsid w:val="00014996"/>
    <w:rsid w:val="00014B6A"/>
    <w:rsid w:val="00016727"/>
    <w:rsid w:val="00017954"/>
    <w:rsid w:val="00020A5F"/>
    <w:rsid w:val="00021681"/>
    <w:rsid w:val="00022EBD"/>
    <w:rsid w:val="00027DD5"/>
    <w:rsid w:val="0003119E"/>
    <w:rsid w:val="00032536"/>
    <w:rsid w:val="000326FA"/>
    <w:rsid w:val="00033607"/>
    <w:rsid w:val="00033790"/>
    <w:rsid w:val="000350AD"/>
    <w:rsid w:val="00035426"/>
    <w:rsid w:val="00035D25"/>
    <w:rsid w:val="0003626E"/>
    <w:rsid w:val="000364EA"/>
    <w:rsid w:val="0003661F"/>
    <w:rsid w:val="00036FD6"/>
    <w:rsid w:val="00037ACC"/>
    <w:rsid w:val="00041CE8"/>
    <w:rsid w:val="00042826"/>
    <w:rsid w:val="00043413"/>
    <w:rsid w:val="000439F3"/>
    <w:rsid w:val="00043AC3"/>
    <w:rsid w:val="00043E22"/>
    <w:rsid w:val="00043F45"/>
    <w:rsid w:val="0004489D"/>
    <w:rsid w:val="00044B39"/>
    <w:rsid w:val="00044C93"/>
    <w:rsid w:val="00045005"/>
    <w:rsid w:val="000454B1"/>
    <w:rsid w:val="00045D96"/>
    <w:rsid w:val="000474D7"/>
    <w:rsid w:val="00047E88"/>
    <w:rsid w:val="00050A46"/>
    <w:rsid w:val="00051E35"/>
    <w:rsid w:val="00052846"/>
    <w:rsid w:val="0005484B"/>
    <w:rsid w:val="000548CA"/>
    <w:rsid w:val="00054A91"/>
    <w:rsid w:val="000553F4"/>
    <w:rsid w:val="00055B26"/>
    <w:rsid w:val="00057099"/>
    <w:rsid w:val="000601E0"/>
    <w:rsid w:val="00060851"/>
    <w:rsid w:val="00061894"/>
    <w:rsid w:val="00062036"/>
    <w:rsid w:val="000630B2"/>
    <w:rsid w:val="000645CD"/>
    <w:rsid w:val="0006519F"/>
    <w:rsid w:val="0007212F"/>
    <w:rsid w:val="000723D4"/>
    <w:rsid w:val="000748DF"/>
    <w:rsid w:val="00076389"/>
    <w:rsid w:val="00076B49"/>
    <w:rsid w:val="0008127B"/>
    <w:rsid w:val="0008579A"/>
    <w:rsid w:val="00086E9E"/>
    <w:rsid w:val="0009042A"/>
    <w:rsid w:val="000908D9"/>
    <w:rsid w:val="000917B4"/>
    <w:rsid w:val="00091CB9"/>
    <w:rsid w:val="00091D14"/>
    <w:rsid w:val="00091E0D"/>
    <w:rsid w:val="000927B3"/>
    <w:rsid w:val="00092CBA"/>
    <w:rsid w:val="00093C9E"/>
    <w:rsid w:val="000961FB"/>
    <w:rsid w:val="0009724A"/>
    <w:rsid w:val="0009735C"/>
    <w:rsid w:val="000A031B"/>
    <w:rsid w:val="000A134C"/>
    <w:rsid w:val="000A1987"/>
    <w:rsid w:val="000A52A5"/>
    <w:rsid w:val="000B01ED"/>
    <w:rsid w:val="000B0C3B"/>
    <w:rsid w:val="000B155B"/>
    <w:rsid w:val="000B15EA"/>
    <w:rsid w:val="000B1C74"/>
    <w:rsid w:val="000B2A8C"/>
    <w:rsid w:val="000B6001"/>
    <w:rsid w:val="000B67F5"/>
    <w:rsid w:val="000B7997"/>
    <w:rsid w:val="000C1151"/>
    <w:rsid w:val="000C1693"/>
    <w:rsid w:val="000C2991"/>
    <w:rsid w:val="000C34CF"/>
    <w:rsid w:val="000C4CBD"/>
    <w:rsid w:val="000C60D1"/>
    <w:rsid w:val="000C6175"/>
    <w:rsid w:val="000D18DB"/>
    <w:rsid w:val="000D1A7B"/>
    <w:rsid w:val="000D2F60"/>
    <w:rsid w:val="000D3B97"/>
    <w:rsid w:val="000D474B"/>
    <w:rsid w:val="000D6A68"/>
    <w:rsid w:val="000D733B"/>
    <w:rsid w:val="000E148D"/>
    <w:rsid w:val="000E1A74"/>
    <w:rsid w:val="000E1D5A"/>
    <w:rsid w:val="000E3EAD"/>
    <w:rsid w:val="000E3FE2"/>
    <w:rsid w:val="000E4782"/>
    <w:rsid w:val="000E6F6E"/>
    <w:rsid w:val="000F04C0"/>
    <w:rsid w:val="000F101C"/>
    <w:rsid w:val="000F1DDB"/>
    <w:rsid w:val="000F345E"/>
    <w:rsid w:val="000F4114"/>
    <w:rsid w:val="000F48F1"/>
    <w:rsid w:val="000F5600"/>
    <w:rsid w:val="000F5BFF"/>
    <w:rsid w:val="000F7A05"/>
    <w:rsid w:val="000F7C26"/>
    <w:rsid w:val="00100231"/>
    <w:rsid w:val="00100A4A"/>
    <w:rsid w:val="00100D47"/>
    <w:rsid w:val="00102710"/>
    <w:rsid w:val="00103107"/>
    <w:rsid w:val="00103504"/>
    <w:rsid w:val="001040AD"/>
    <w:rsid w:val="00104BD7"/>
    <w:rsid w:val="00106B6A"/>
    <w:rsid w:val="001115A0"/>
    <w:rsid w:val="00111956"/>
    <w:rsid w:val="0011197F"/>
    <w:rsid w:val="001129F4"/>
    <w:rsid w:val="0011421D"/>
    <w:rsid w:val="00114238"/>
    <w:rsid w:val="00114690"/>
    <w:rsid w:val="00120315"/>
    <w:rsid w:val="0012038D"/>
    <w:rsid w:val="001209D6"/>
    <w:rsid w:val="001218D9"/>
    <w:rsid w:val="00123DC4"/>
    <w:rsid w:val="0012429F"/>
    <w:rsid w:val="001243AF"/>
    <w:rsid w:val="00124B39"/>
    <w:rsid w:val="00126520"/>
    <w:rsid w:val="0012783A"/>
    <w:rsid w:val="00127901"/>
    <w:rsid w:val="0013028A"/>
    <w:rsid w:val="001305C0"/>
    <w:rsid w:val="00132057"/>
    <w:rsid w:val="00132D80"/>
    <w:rsid w:val="00133F5E"/>
    <w:rsid w:val="001340F0"/>
    <w:rsid w:val="001346E3"/>
    <w:rsid w:val="0013586E"/>
    <w:rsid w:val="001358E4"/>
    <w:rsid w:val="00135F6B"/>
    <w:rsid w:val="001363EE"/>
    <w:rsid w:val="001368A5"/>
    <w:rsid w:val="00136AA7"/>
    <w:rsid w:val="001420E3"/>
    <w:rsid w:val="001424A8"/>
    <w:rsid w:val="001428FA"/>
    <w:rsid w:val="00143CEF"/>
    <w:rsid w:val="001445A5"/>
    <w:rsid w:val="001446DA"/>
    <w:rsid w:val="00144890"/>
    <w:rsid w:val="0014622E"/>
    <w:rsid w:val="0015164C"/>
    <w:rsid w:val="00153A6E"/>
    <w:rsid w:val="00153D46"/>
    <w:rsid w:val="001562E0"/>
    <w:rsid w:val="001619FB"/>
    <w:rsid w:val="00161CD7"/>
    <w:rsid w:val="00163084"/>
    <w:rsid w:val="001636E8"/>
    <w:rsid w:val="001641A3"/>
    <w:rsid w:val="00164B85"/>
    <w:rsid w:val="00165412"/>
    <w:rsid w:val="0016615F"/>
    <w:rsid w:val="001706EA"/>
    <w:rsid w:val="0017096C"/>
    <w:rsid w:val="00170BA2"/>
    <w:rsid w:val="00171FE2"/>
    <w:rsid w:val="001743A1"/>
    <w:rsid w:val="001752C9"/>
    <w:rsid w:val="0017534C"/>
    <w:rsid w:val="0017565C"/>
    <w:rsid w:val="00176773"/>
    <w:rsid w:val="00176AA3"/>
    <w:rsid w:val="00184DCA"/>
    <w:rsid w:val="00186E36"/>
    <w:rsid w:val="0018784A"/>
    <w:rsid w:val="00187D9B"/>
    <w:rsid w:val="00191B3E"/>
    <w:rsid w:val="00191E10"/>
    <w:rsid w:val="00195BC5"/>
    <w:rsid w:val="001961B1"/>
    <w:rsid w:val="001A118D"/>
    <w:rsid w:val="001A32EA"/>
    <w:rsid w:val="001A5541"/>
    <w:rsid w:val="001B013D"/>
    <w:rsid w:val="001B043B"/>
    <w:rsid w:val="001B17A5"/>
    <w:rsid w:val="001B1BAF"/>
    <w:rsid w:val="001B2366"/>
    <w:rsid w:val="001B3125"/>
    <w:rsid w:val="001B40EB"/>
    <w:rsid w:val="001B4655"/>
    <w:rsid w:val="001B5F0A"/>
    <w:rsid w:val="001B7BAF"/>
    <w:rsid w:val="001C0B36"/>
    <w:rsid w:val="001C0FA1"/>
    <w:rsid w:val="001C1641"/>
    <w:rsid w:val="001C2781"/>
    <w:rsid w:val="001C6F4D"/>
    <w:rsid w:val="001D088C"/>
    <w:rsid w:val="001D2700"/>
    <w:rsid w:val="001D2A2C"/>
    <w:rsid w:val="001D2ACA"/>
    <w:rsid w:val="001D3E22"/>
    <w:rsid w:val="001D3FF8"/>
    <w:rsid w:val="001D4172"/>
    <w:rsid w:val="001D42EF"/>
    <w:rsid w:val="001D61AA"/>
    <w:rsid w:val="001D6536"/>
    <w:rsid w:val="001E15AA"/>
    <w:rsid w:val="001E1B00"/>
    <w:rsid w:val="001E1D61"/>
    <w:rsid w:val="001E1EEF"/>
    <w:rsid w:val="001E2914"/>
    <w:rsid w:val="001E323F"/>
    <w:rsid w:val="001E40E8"/>
    <w:rsid w:val="001E4922"/>
    <w:rsid w:val="001E6CC3"/>
    <w:rsid w:val="001F0218"/>
    <w:rsid w:val="001F0FAB"/>
    <w:rsid w:val="001F17BB"/>
    <w:rsid w:val="001F2562"/>
    <w:rsid w:val="001F2617"/>
    <w:rsid w:val="001F2CB7"/>
    <w:rsid w:val="001F2DE0"/>
    <w:rsid w:val="001F6AD6"/>
    <w:rsid w:val="002001DE"/>
    <w:rsid w:val="002007BA"/>
    <w:rsid w:val="002013AB"/>
    <w:rsid w:val="00201AE9"/>
    <w:rsid w:val="00202AD2"/>
    <w:rsid w:val="0020511E"/>
    <w:rsid w:val="002069CD"/>
    <w:rsid w:val="00206B26"/>
    <w:rsid w:val="002102AD"/>
    <w:rsid w:val="002111C4"/>
    <w:rsid w:val="002117DE"/>
    <w:rsid w:val="00212F0A"/>
    <w:rsid w:val="00214ED2"/>
    <w:rsid w:val="00214F9F"/>
    <w:rsid w:val="00220419"/>
    <w:rsid w:val="002206B1"/>
    <w:rsid w:val="00220F68"/>
    <w:rsid w:val="00222A8D"/>
    <w:rsid w:val="00225288"/>
    <w:rsid w:val="00225A0C"/>
    <w:rsid w:val="00226115"/>
    <w:rsid w:val="002262EB"/>
    <w:rsid w:val="00226725"/>
    <w:rsid w:val="00230E2A"/>
    <w:rsid w:val="0023125D"/>
    <w:rsid w:val="00232B14"/>
    <w:rsid w:val="002336A0"/>
    <w:rsid w:val="00233C26"/>
    <w:rsid w:val="00234BEF"/>
    <w:rsid w:val="002371DD"/>
    <w:rsid w:val="00237520"/>
    <w:rsid w:val="002400BB"/>
    <w:rsid w:val="00240749"/>
    <w:rsid w:val="00241C17"/>
    <w:rsid w:val="00241DA6"/>
    <w:rsid w:val="00242929"/>
    <w:rsid w:val="00243E68"/>
    <w:rsid w:val="0024548C"/>
    <w:rsid w:val="00245797"/>
    <w:rsid w:val="00245FBB"/>
    <w:rsid w:val="002468FB"/>
    <w:rsid w:val="00246C7E"/>
    <w:rsid w:val="00246C95"/>
    <w:rsid w:val="002470A0"/>
    <w:rsid w:val="00251CB5"/>
    <w:rsid w:val="002528A0"/>
    <w:rsid w:val="00254433"/>
    <w:rsid w:val="00257165"/>
    <w:rsid w:val="002603B3"/>
    <w:rsid w:val="0026223C"/>
    <w:rsid w:val="00264F68"/>
    <w:rsid w:val="002707F4"/>
    <w:rsid w:val="00270DEF"/>
    <w:rsid w:val="00271CFB"/>
    <w:rsid w:val="002732EA"/>
    <w:rsid w:val="00276E66"/>
    <w:rsid w:val="00280DA3"/>
    <w:rsid w:val="00281D8C"/>
    <w:rsid w:val="00281F9F"/>
    <w:rsid w:val="00282A24"/>
    <w:rsid w:val="00284065"/>
    <w:rsid w:val="002843AA"/>
    <w:rsid w:val="002846DC"/>
    <w:rsid w:val="002853DE"/>
    <w:rsid w:val="0028549E"/>
    <w:rsid w:val="0028688B"/>
    <w:rsid w:val="00287B80"/>
    <w:rsid w:val="00291097"/>
    <w:rsid w:val="002912AF"/>
    <w:rsid w:val="002919FF"/>
    <w:rsid w:val="00292D28"/>
    <w:rsid w:val="00293714"/>
    <w:rsid w:val="002938E8"/>
    <w:rsid w:val="002952A6"/>
    <w:rsid w:val="00295D7D"/>
    <w:rsid w:val="002970AE"/>
    <w:rsid w:val="002A1497"/>
    <w:rsid w:val="002A29FA"/>
    <w:rsid w:val="002A4407"/>
    <w:rsid w:val="002A4A43"/>
    <w:rsid w:val="002A635B"/>
    <w:rsid w:val="002A663B"/>
    <w:rsid w:val="002A6D86"/>
    <w:rsid w:val="002A7190"/>
    <w:rsid w:val="002A7742"/>
    <w:rsid w:val="002A7E6B"/>
    <w:rsid w:val="002B02EA"/>
    <w:rsid w:val="002B0582"/>
    <w:rsid w:val="002B0AF4"/>
    <w:rsid w:val="002B0CDF"/>
    <w:rsid w:val="002B1C9C"/>
    <w:rsid w:val="002B5251"/>
    <w:rsid w:val="002B6601"/>
    <w:rsid w:val="002B69A3"/>
    <w:rsid w:val="002B7DE5"/>
    <w:rsid w:val="002C0BD5"/>
    <w:rsid w:val="002C2CA1"/>
    <w:rsid w:val="002C4A13"/>
    <w:rsid w:val="002C54C3"/>
    <w:rsid w:val="002D0856"/>
    <w:rsid w:val="002D1472"/>
    <w:rsid w:val="002D1C2D"/>
    <w:rsid w:val="002D1F33"/>
    <w:rsid w:val="002D2413"/>
    <w:rsid w:val="002D3FA2"/>
    <w:rsid w:val="002D647F"/>
    <w:rsid w:val="002D70DD"/>
    <w:rsid w:val="002E062E"/>
    <w:rsid w:val="002E1DC0"/>
    <w:rsid w:val="002E3A73"/>
    <w:rsid w:val="002F09A0"/>
    <w:rsid w:val="002F1586"/>
    <w:rsid w:val="002F2855"/>
    <w:rsid w:val="002F5D79"/>
    <w:rsid w:val="00301514"/>
    <w:rsid w:val="003025BC"/>
    <w:rsid w:val="00304270"/>
    <w:rsid w:val="00304D88"/>
    <w:rsid w:val="003053C5"/>
    <w:rsid w:val="003071E6"/>
    <w:rsid w:val="003078E9"/>
    <w:rsid w:val="003100FD"/>
    <w:rsid w:val="00310527"/>
    <w:rsid w:val="00310A0E"/>
    <w:rsid w:val="00311585"/>
    <w:rsid w:val="003148F6"/>
    <w:rsid w:val="00314E7C"/>
    <w:rsid w:val="0031570A"/>
    <w:rsid w:val="003157DB"/>
    <w:rsid w:val="0031605F"/>
    <w:rsid w:val="00316630"/>
    <w:rsid w:val="0032092F"/>
    <w:rsid w:val="003211D5"/>
    <w:rsid w:val="003214B5"/>
    <w:rsid w:val="00321AB9"/>
    <w:rsid w:val="00323D6E"/>
    <w:rsid w:val="0032659E"/>
    <w:rsid w:val="0033010F"/>
    <w:rsid w:val="00330226"/>
    <w:rsid w:val="00331BD0"/>
    <w:rsid w:val="003337F1"/>
    <w:rsid w:val="00335361"/>
    <w:rsid w:val="00336551"/>
    <w:rsid w:val="00337B17"/>
    <w:rsid w:val="00341202"/>
    <w:rsid w:val="003429BB"/>
    <w:rsid w:val="00343C9C"/>
    <w:rsid w:val="00353560"/>
    <w:rsid w:val="00353999"/>
    <w:rsid w:val="00356403"/>
    <w:rsid w:val="003573DD"/>
    <w:rsid w:val="00357617"/>
    <w:rsid w:val="00361214"/>
    <w:rsid w:val="00361A1E"/>
    <w:rsid w:val="0036297A"/>
    <w:rsid w:val="00364618"/>
    <w:rsid w:val="00365438"/>
    <w:rsid w:val="003714F3"/>
    <w:rsid w:val="003736E4"/>
    <w:rsid w:val="003742AC"/>
    <w:rsid w:val="00377D0B"/>
    <w:rsid w:val="00380229"/>
    <w:rsid w:val="00382132"/>
    <w:rsid w:val="00383D2D"/>
    <w:rsid w:val="003867F8"/>
    <w:rsid w:val="00386DDC"/>
    <w:rsid w:val="0038701B"/>
    <w:rsid w:val="00387D26"/>
    <w:rsid w:val="00390217"/>
    <w:rsid w:val="0039165D"/>
    <w:rsid w:val="003943F0"/>
    <w:rsid w:val="00395421"/>
    <w:rsid w:val="003969F3"/>
    <w:rsid w:val="00396BE3"/>
    <w:rsid w:val="00396EB2"/>
    <w:rsid w:val="0039788A"/>
    <w:rsid w:val="003A0ADE"/>
    <w:rsid w:val="003A27B5"/>
    <w:rsid w:val="003A2976"/>
    <w:rsid w:val="003A4903"/>
    <w:rsid w:val="003A4953"/>
    <w:rsid w:val="003A5C2E"/>
    <w:rsid w:val="003A5FF7"/>
    <w:rsid w:val="003A63F6"/>
    <w:rsid w:val="003B10D0"/>
    <w:rsid w:val="003B19F1"/>
    <w:rsid w:val="003B23AE"/>
    <w:rsid w:val="003B48C5"/>
    <w:rsid w:val="003B7BA3"/>
    <w:rsid w:val="003C006F"/>
    <w:rsid w:val="003C0198"/>
    <w:rsid w:val="003C151C"/>
    <w:rsid w:val="003C1F4D"/>
    <w:rsid w:val="003C203C"/>
    <w:rsid w:val="003C3AD4"/>
    <w:rsid w:val="003C4A82"/>
    <w:rsid w:val="003C6933"/>
    <w:rsid w:val="003D19E1"/>
    <w:rsid w:val="003D19E5"/>
    <w:rsid w:val="003D2534"/>
    <w:rsid w:val="003D343A"/>
    <w:rsid w:val="003D6551"/>
    <w:rsid w:val="003D676F"/>
    <w:rsid w:val="003D6CAF"/>
    <w:rsid w:val="003E0566"/>
    <w:rsid w:val="003E2D93"/>
    <w:rsid w:val="003E2F16"/>
    <w:rsid w:val="003E43F4"/>
    <w:rsid w:val="003E6354"/>
    <w:rsid w:val="003E6D5F"/>
    <w:rsid w:val="003E6F7B"/>
    <w:rsid w:val="003F0457"/>
    <w:rsid w:val="003F0777"/>
    <w:rsid w:val="003F15BD"/>
    <w:rsid w:val="003F3481"/>
    <w:rsid w:val="003F3CDF"/>
    <w:rsid w:val="003F5276"/>
    <w:rsid w:val="003F536E"/>
    <w:rsid w:val="003F5D84"/>
    <w:rsid w:val="003F6594"/>
    <w:rsid w:val="0040000A"/>
    <w:rsid w:val="00400A45"/>
    <w:rsid w:val="00404F7C"/>
    <w:rsid w:val="00407F3C"/>
    <w:rsid w:val="004105A7"/>
    <w:rsid w:val="00410F75"/>
    <w:rsid w:val="0041239B"/>
    <w:rsid w:val="004132F4"/>
    <w:rsid w:val="00413EEB"/>
    <w:rsid w:val="004149DA"/>
    <w:rsid w:val="00415453"/>
    <w:rsid w:val="00417859"/>
    <w:rsid w:val="00420F90"/>
    <w:rsid w:val="00422AAD"/>
    <w:rsid w:val="00423B8B"/>
    <w:rsid w:val="0042593C"/>
    <w:rsid w:val="00426D79"/>
    <w:rsid w:val="004273CB"/>
    <w:rsid w:val="0042797C"/>
    <w:rsid w:val="00430ECC"/>
    <w:rsid w:val="004312A2"/>
    <w:rsid w:val="00431F4C"/>
    <w:rsid w:val="00432FF4"/>
    <w:rsid w:val="00433F7E"/>
    <w:rsid w:val="004370F9"/>
    <w:rsid w:val="00440BE5"/>
    <w:rsid w:val="00442578"/>
    <w:rsid w:val="004433C7"/>
    <w:rsid w:val="00444129"/>
    <w:rsid w:val="00446965"/>
    <w:rsid w:val="00446B5B"/>
    <w:rsid w:val="00446EA4"/>
    <w:rsid w:val="004474A6"/>
    <w:rsid w:val="004510AE"/>
    <w:rsid w:val="00452043"/>
    <w:rsid w:val="0045463F"/>
    <w:rsid w:val="00455B2F"/>
    <w:rsid w:val="004566D3"/>
    <w:rsid w:val="00456D61"/>
    <w:rsid w:val="00457398"/>
    <w:rsid w:val="00460CD8"/>
    <w:rsid w:val="004611B9"/>
    <w:rsid w:val="00461304"/>
    <w:rsid w:val="004629EF"/>
    <w:rsid w:val="004634F2"/>
    <w:rsid w:val="00463C93"/>
    <w:rsid w:val="00463EE5"/>
    <w:rsid w:val="004664C6"/>
    <w:rsid w:val="004711D1"/>
    <w:rsid w:val="00471BE2"/>
    <w:rsid w:val="00471F93"/>
    <w:rsid w:val="0047262A"/>
    <w:rsid w:val="00472727"/>
    <w:rsid w:val="00472AA6"/>
    <w:rsid w:val="00472D34"/>
    <w:rsid w:val="0047308C"/>
    <w:rsid w:val="0047445F"/>
    <w:rsid w:val="00474F88"/>
    <w:rsid w:val="00475443"/>
    <w:rsid w:val="00475AE7"/>
    <w:rsid w:val="00475CB7"/>
    <w:rsid w:val="004760DF"/>
    <w:rsid w:val="00476102"/>
    <w:rsid w:val="00476562"/>
    <w:rsid w:val="00476B04"/>
    <w:rsid w:val="00480113"/>
    <w:rsid w:val="0048435A"/>
    <w:rsid w:val="00484F04"/>
    <w:rsid w:val="004860F6"/>
    <w:rsid w:val="00486F3F"/>
    <w:rsid w:val="00487690"/>
    <w:rsid w:val="00491470"/>
    <w:rsid w:val="0049174E"/>
    <w:rsid w:val="00492433"/>
    <w:rsid w:val="004925A7"/>
    <w:rsid w:val="004926BA"/>
    <w:rsid w:val="00495A3D"/>
    <w:rsid w:val="00497647"/>
    <w:rsid w:val="004A1757"/>
    <w:rsid w:val="004A19C1"/>
    <w:rsid w:val="004A4516"/>
    <w:rsid w:val="004A4F4D"/>
    <w:rsid w:val="004B29CC"/>
    <w:rsid w:val="004B2A00"/>
    <w:rsid w:val="004B373F"/>
    <w:rsid w:val="004B48A1"/>
    <w:rsid w:val="004B5923"/>
    <w:rsid w:val="004B5BA7"/>
    <w:rsid w:val="004B7566"/>
    <w:rsid w:val="004C34A3"/>
    <w:rsid w:val="004C53FA"/>
    <w:rsid w:val="004D086D"/>
    <w:rsid w:val="004D0E96"/>
    <w:rsid w:val="004D1375"/>
    <w:rsid w:val="004D288F"/>
    <w:rsid w:val="004D28F4"/>
    <w:rsid w:val="004D2B5C"/>
    <w:rsid w:val="004D4A8F"/>
    <w:rsid w:val="004D4B0C"/>
    <w:rsid w:val="004D51A0"/>
    <w:rsid w:val="004E0960"/>
    <w:rsid w:val="004E0F97"/>
    <w:rsid w:val="004E2769"/>
    <w:rsid w:val="004E366B"/>
    <w:rsid w:val="004E3A7F"/>
    <w:rsid w:val="004E5E5D"/>
    <w:rsid w:val="004E6522"/>
    <w:rsid w:val="004E729D"/>
    <w:rsid w:val="004F051E"/>
    <w:rsid w:val="004F08E3"/>
    <w:rsid w:val="004F09F6"/>
    <w:rsid w:val="004F1DE0"/>
    <w:rsid w:val="004F395C"/>
    <w:rsid w:val="004F4CE3"/>
    <w:rsid w:val="004F4E2E"/>
    <w:rsid w:val="004F501F"/>
    <w:rsid w:val="004F7691"/>
    <w:rsid w:val="00500F91"/>
    <w:rsid w:val="00503603"/>
    <w:rsid w:val="00506508"/>
    <w:rsid w:val="00506551"/>
    <w:rsid w:val="0051060D"/>
    <w:rsid w:val="00510DCC"/>
    <w:rsid w:val="005158E3"/>
    <w:rsid w:val="00515CFD"/>
    <w:rsid w:val="005177C8"/>
    <w:rsid w:val="005200D9"/>
    <w:rsid w:val="00520CAA"/>
    <w:rsid w:val="00520EB2"/>
    <w:rsid w:val="00522A3F"/>
    <w:rsid w:val="00523F34"/>
    <w:rsid w:val="0052593C"/>
    <w:rsid w:val="005279AA"/>
    <w:rsid w:val="00531530"/>
    <w:rsid w:val="005321FA"/>
    <w:rsid w:val="005328F3"/>
    <w:rsid w:val="00534052"/>
    <w:rsid w:val="0054026E"/>
    <w:rsid w:val="00543017"/>
    <w:rsid w:val="005431EB"/>
    <w:rsid w:val="005432AF"/>
    <w:rsid w:val="00543EB7"/>
    <w:rsid w:val="00544DA7"/>
    <w:rsid w:val="00545826"/>
    <w:rsid w:val="005473E7"/>
    <w:rsid w:val="00547ACE"/>
    <w:rsid w:val="00547C0A"/>
    <w:rsid w:val="00550437"/>
    <w:rsid w:val="0055116C"/>
    <w:rsid w:val="005516A9"/>
    <w:rsid w:val="00552619"/>
    <w:rsid w:val="00552637"/>
    <w:rsid w:val="005527F6"/>
    <w:rsid w:val="005531E0"/>
    <w:rsid w:val="00555171"/>
    <w:rsid w:val="00557923"/>
    <w:rsid w:val="0056031E"/>
    <w:rsid w:val="0056177B"/>
    <w:rsid w:val="005631F0"/>
    <w:rsid w:val="0056362E"/>
    <w:rsid w:val="005657EF"/>
    <w:rsid w:val="005658CF"/>
    <w:rsid w:val="00565921"/>
    <w:rsid w:val="00565E68"/>
    <w:rsid w:val="005663E7"/>
    <w:rsid w:val="00570611"/>
    <w:rsid w:val="00576D39"/>
    <w:rsid w:val="00577D22"/>
    <w:rsid w:val="0058017F"/>
    <w:rsid w:val="00580A3D"/>
    <w:rsid w:val="00581DD5"/>
    <w:rsid w:val="00583B18"/>
    <w:rsid w:val="00584365"/>
    <w:rsid w:val="00584894"/>
    <w:rsid w:val="00585A84"/>
    <w:rsid w:val="00587465"/>
    <w:rsid w:val="00592948"/>
    <w:rsid w:val="005932E6"/>
    <w:rsid w:val="00593FEA"/>
    <w:rsid w:val="005950FE"/>
    <w:rsid w:val="005977E0"/>
    <w:rsid w:val="005A0381"/>
    <w:rsid w:val="005A4AAF"/>
    <w:rsid w:val="005A5483"/>
    <w:rsid w:val="005A580A"/>
    <w:rsid w:val="005A58B4"/>
    <w:rsid w:val="005A5933"/>
    <w:rsid w:val="005A5984"/>
    <w:rsid w:val="005A60D1"/>
    <w:rsid w:val="005A7878"/>
    <w:rsid w:val="005A7AB6"/>
    <w:rsid w:val="005B0436"/>
    <w:rsid w:val="005B0F47"/>
    <w:rsid w:val="005B14F4"/>
    <w:rsid w:val="005B24A6"/>
    <w:rsid w:val="005B2973"/>
    <w:rsid w:val="005B2B98"/>
    <w:rsid w:val="005B3F5D"/>
    <w:rsid w:val="005B41BE"/>
    <w:rsid w:val="005B5956"/>
    <w:rsid w:val="005C01F3"/>
    <w:rsid w:val="005C0552"/>
    <w:rsid w:val="005C0E88"/>
    <w:rsid w:val="005C2300"/>
    <w:rsid w:val="005C2D42"/>
    <w:rsid w:val="005C3CF6"/>
    <w:rsid w:val="005C6058"/>
    <w:rsid w:val="005C6292"/>
    <w:rsid w:val="005C6651"/>
    <w:rsid w:val="005C6ABD"/>
    <w:rsid w:val="005C6C7C"/>
    <w:rsid w:val="005C6F8E"/>
    <w:rsid w:val="005D0A96"/>
    <w:rsid w:val="005D1A00"/>
    <w:rsid w:val="005D1C33"/>
    <w:rsid w:val="005D264A"/>
    <w:rsid w:val="005E4C4F"/>
    <w:rsid w:val="005E56AF"/>
    <w:rsid w:val="005E5BA7"/>
    <w:rsid w:val="005E61AB"/>
    <w:rsid w:val="005E65E3"/>
    <w:rsid w:val="005E6AFC"/>
    <w:rsid w:val="005F236D"/>
    <w:rsid w:val="005F3F50"/>
    <w:rsid w:val="005F56DB"/>
    <w:rsid w:val="005F5C1B"/>
    <w:rsid w:val="005F75C8"/>
    <w:rsid w:val="005F78B1"/>
    <w:rsid w:val="00601DE4"/>
    <w:rsid w:val="00603FB5"/>
    <w:rsid w:val="00610082"/>
    <w:rsid w:val="00614818"/>
    <w:rsid w:val="00614BCC"/>
    <w:rsid w:val="006164BE"/>
    <w:rsid w:val="0061695D"/>
    <w:rsid w:val="00617E0D"/>
    <w:rsid w:val="0062060F"/>
    <w:rsid w:val="006221E7"/>
    <w:rsid w:val="006230DD"/>
    <w:rsid w:val="006239A4"/>
    <w:rsid w:val="00624688"/>
    <w:rsid w:val="0063033D"/>
    <w:rsid w:val="006317B3"/>
    <w:rsid w:val="006317EA"/>
    <w:rsid w:val="006325E6"/>
    <w:rsid w:val="00633D53"/>
    <w:rsid w:val="00634523"/>
    <w:rsid w:val="006355D7"/>
    <w:rsid w:val="00637DDF"/>
    <w:rsid w:val="00640664"/>
    <w:rsid w:val="00640A2D"/>
    <w:rsid w:val="00641ECA"/>
    <w:rsid w:val="006431B3"/>
    <w:rsid w:val="00644AD5"/>
    <w:rsid w:val="0064627E"/>
    <w:rsid w:val="006469CE"/>
    <w:rsid w:val="00647642"/>
    <w:rsid w:val="00650CAD"/>
    <w:rsid w:val="00654C60"/>
    <w:rsid w:val="00655F66"/>
    <w:rsid w:val="00656182"/>
    <w:rsid w:val="006568B3"/>
    <w:rsid w:val="00660313"/>
    <w:rsid w:val="00662CDE"/>
    <w:rsid w:val="006633F9"/>
    <w:rsid w:val="00663E2C"/>
    <w:rsid w:val="00665FF7"/>
    <w:rsid w:val="006703C6"/>
    <w:rsid w:val="00670BAE"/>
    <w:rsid w:val="00671363"/>
    <w:rsid w:val="0067142B"/>
    <w:rsid w:val="00671963"/>
    <w:rsid w:val="006720E4"/>
    <w:rsid w:val="00673335"/>
    <w:rsid w:val="006736C5"/>
    <w:rsid w:val="00674A39"/>
    <w:rsid w:val="00674B34"/>
    <w:rsid w:val="00674EDC"/>
    <w:rsid w:val="00675B75"/>
    <w:rsid w:val="006765DD"/>
    <w:rsid w:val="006775C3"/>
    <w:rsid w:val="00680FBD"/>
    <w:rsid w:val="006819EA"/>
    <w:rsid w:val="00682EC5"/>
    <w:rsid w:val="00683E47"/>
    <w:rsid w:val="00684449"/>
    <w:rsid w:val="006911D1"/>
    <w:rsid w:val="006921C7"/>
    <w:rsid w:val="00692F6F"/>
    <w:rsid w:val="00692F7A"/>
    <w:rsid w:val="00696029"/>
    <w:rsid w:val="0069693E"/>
    <w:rsid w:val="00697981"/>
    <w:rsid w:val="006A0B2F"/>
    <w:rsid w:val="006A1DE0"/>
    <w:rsid w:val="006A4370"/>
    <w:rsid w:val="006B0539"/>
    <w:rsid w:val="006B1177"/>
    <w:rsid w:val="006B303B"/>
    <w:rsid w:val="006B792D"/>
    <w:rsid w:val="006B7B51"/>
    <w:rsid w:val="006C3236"/>
    <w:rsid w:val="006C3FC1"/>
    <w:rsid w:val="006C404A"/>
    <w:rsid w:val="006C451D"/>
    <w:rsid w:val="006C46D6"/>
    <w:rsid w:val="006C5AA1"/>
    <w:rsid w:val="006C65B1"/>
    <w:rsid w:val="006C6B35"/>
    <w:rsid w:val="006D14B6"/>
    <w:rsid w:val="006D56BB"/>
    <w:rsid w:val="006D5872"/>
    <w:rsid w:val="006D7132"/>
    <w:rsid w:val="006E0690"/>
    <w:rsid w:val="006E0F5A"/>
    <w:rsid w:val="006E41B7"/>
    <w:rsid w:val="006E4738"/>
    <w:rsid w:val="006E4DA1"/>
    <w:rsid w:val="006E5544"/>
    <w:rsid w:val="006E7692"/>
    <w:rsid w:val="006F062B"/>
    <w:rsid w:val="006F0B88"/>
    <w:rsid w:val="006F444D"/>
    <w:rsid w:val="006F4686"/>
    <w:rsid w:val="00702E77"/>
    <w:rsid w:val="007047F4"/>
    <w:rsid w:val="0070488A"/>
    <w:rsid w:val="00714DE0"/>
    <w:rsid w:val="00715A3C"/>
    <w:rsid w:val="00715C23"/>
    <w:rsid w:val="00715DB4"/>
    <w:rsid w:val="00717BCF"/>
    <w:rsid w:val="007217CE"/>
    <w:rsid w:val="00723FF7"/>
    <w:rsid w:val="007245E8"/>
    <w:rsid w:val="00727F84"/>
    <w:rsid w:val="00731D81"/>
    <w:rsid w:val="00732265"/>
    <w:rsid w:val="00732673"/>
    <w:rsid w:val="00732C8F"/>
    <w:rsid w:val="00732CA0"/>
    <w:rsid w:val="00733344"/>
    <w:rsid w:val="00735AC6"/>
    <w:rsid w:val="007366F3"/>
    <w:rsid w:val="00736751"/>
    <w:rsid w:val="00737D45"/>
    <w:rsid w:val="00743383"/>
    <w:rsid w:val="00745225"/>
    <w:rsid w:val="007469D0"/>
    <w:rsid w:val="007505A5"/>
    <w:rsid w:val="00751A01"/>
    <w:rsid w:val="00752418"/>
    <w:rsid w:val="007554B1"/>
    <w:rsid w:val="0075729A"/>
    <w:rsid w:val="0075764F"/>
    <w:rsid w:val="00757CE9"/>
    <w:rsid w:val="0076106B"/>
    <w:rsid w:val="007621D9"/>
    <w:rsid w:val="00765747"/>
    <w:rsid w:val="007658A8"/>
    <w:rsid w:val="0076664B"/>
    <w:rsid w:val="0076666B"/>
    <w:rsid w:val="007705FF"/>
    <w:rsid w:val="007719D8"/>
    <w:rsid w:val="00773ABA"/>
    <w:rsid w:val="00774BC6"/>
    <w:rsid w:val="00774D44"/>
    <w:rsid w:val="007752C5"/>
    <w:rsid w:val="00775673"/>
    <w:rsid w:val="007768C4"/>
    <w:rsid w:val="00776910"/>
    <w:rsid w:val="007769A6"/>
    <w:rsid w:val="007775AE"/>
    <w:rsid w:val="00777E28"/>
    <w:rsid w:val="00780C06"/>
    <w:rsid w:val="00781F31"/>
    <w:rsid w:val="00782713"/>
    <w:rsid w:val="00782C0D"/>
    <w:rsid w:val="0078312F"/>
    <w:rsid w:val="007838AB"/>
    <w:rsid w:val="007852E3"/>
    <w:rsid w:val="007854A1"/>
    <w:rsid w:val="007854BF"/>
    <w:rsid w:val="00785BEE"/>
    <w:rsid w:val="007865BB"/>
    <w:rsid w:val="00787009"/>
    <w:rsid w:val="00794D57"/>
    <w:rsid w:val="00794EDE"/>
    <w:rsid w:val="00797485"/>
    <w:rsid w:val="007A168A"/>
    <w:rsid w:val="007A19D3"/>
    <w:rsid w:val="007A29A7"/>
    <w:rsid w:val="007A47BE"/>
    <w:rsid w:val="007A4C80"/>
    <w:rsid w:val="007A5135"/>
    <w:rsid w:val="007B08E5"/>
    <w:rsid w:val="007B0B1B"/>
    <w:rsid w:val="007B1FFD"/>
    <w:rsid w:val="007B2DB1"/>
    <w:rsid w:val="007B71FE"/>
    <w:rsid w:val="007C20B6"/>
    <w:rsid w:val="007C3E81"/>
    <w:rsid w:val="007C5B4F"/>
    <w:rsid w:val="007C62B7"/>
    <w:rsid w:val="007D027C"/>
    <w:rsid w:val="007D2229"/>
    <w:rsid w:val="007D2348"/>
    <w:rsid w:val="007D296F"/>
    <w:rsid w:val="007D306E"/>
    <w:rsid w:val="007D6440"/>
    <w:rsid w:val="007E336A"/>
    <w:rsid w:val="007E389C"/>
    <w:rsid w:val="007E6799"/>
    <w:rsid w:val="007E7815"/>
    <w:rsid w:val="007F11F9"/>
    <w:rsid w:val="007F6F24"/>
    <w:rsid w:val="00805A5E"/>
    <w:rsid w:val="00806D02"/>
    <w:rsid w:val="00806F90"/>
    <w:rsid w:val="008110B8"/>
    <w:rsid w:val="008111AA"/>
    <w:rsid w:val="008123E5"/>
    <w:rsid w:val="008144C5"/>
    <w:rsid w:val="00815ABB"/>
    <w:rsid w:val="0081654E"/>
    <w:rsid w:val="008200B0"/>
    <w:rsid w:val="008218F3"/>
    <w:rsid w:val="008218F6"/>
    <w:rsid w:val="008244DB"/>
    <w:rsid w:val="00824E3C"/>
    <w:rsid w:val="00825EF0"/>
    <w:rsid w:val="008275C3"/>
    <w:rsid w:val="00827EEF"/>
    <w:rsid w:val="008320CF"/>
    <w:rsid w:val="008328FF"/>
    <w:rsid w:val="00832AAB"/>
    <w:rsid w:val="00833A7B"/>
    <w:rsid w:val="00833F58"/>
    <w:rsid w:val="008355F0"/>
    <w:rsid w:val="00842879"/>
    <w:rsid w:val="0084413C"/>
    <w:rsid w:val="00844188"/>
    <w:rsid w:val="00845557"/>
    <w:rsid w:val="0085196E"/>
    <w:rsid w:val="0085395D"/>
    <w:rsid w:val="00856760"/>
    <w:rsid w:val="00856E62"/>
    <w:rsid w:val="00857DD7"/>
    <w:rsid w:val="0086013F"/>
    <w:rsid w:val="00860D6F"/>
    <w:rsid w:val="00862E39"/>
    <w:rsid w:val="00864F09"/>
    <w:rsid w:val="00867313"/>
    <w:rsid w:val="00870330"/>
    <w:rsid w:val="008710A8"/>
    <w:rsid w:val="00872A86"/>
    <w:rsid w:val="0087375C"/>
    <w:rsid w:val="00874089"/>
    <w:rsid w:val="00876BD1"/>
    <w:rsid w:val="008813C8"/>
    <w:rsid w:val="008815C2"/>
    <w:rsid w:val="00881793"/>
    <w:rsid w:val="00884492"/>
    <w:rsid w:val="00884573"/>
    <w:rsid w:val="00885DDE"/>
    <w:rsid w:val="008863CA"/>
    <w:rsid w:val="00886F5F"/>
    <w:rsid w:val="00891A0B"/>
    <w:rsid w:val="00891A94"/>
    <w:rsid w:val="0089279A"/>
    <w:rsid w:val="008937E8"/>
    <w:rsid w:val="00894065"/>
    <w:rsid w:val="00894B44"/>
    <w:rsid w:val="00895440"/>
    <w:rsid w:val="008958CE"/>
    <w:rsid w:val="00896802"/>
    <w:rsid w:val="008A1E4D"/>
    <w:rsid w:val="008A3B3B"/>
    <w:rsid w:val="008A3EB4"/>
    <w:rsid w:val="008A42FE"/>
    <w:rsid w:val="008A4774"/>
    <w:rsid w:val="008A6A50"/>
    <w:rsid w:val="008A79AB"/>
    <w:rsid w:val="008A7EEB"/>
    <w:rsid w:val="008B0DA2"/>
    <w:rsid w:val="008B2847"/>
    <w:rsid w:val="008B4DFF"/>
    <w:rsid w:val="008B5AEF"/>
    <w:rsid w:val="008B6ED6"/>
    <w:rsid w:val="008C4427"/>
    <w:rsid w:val="008C4C7A"/>
    <w:rsid w:val="008D048E"/>
    <w:rsid w:val="008D094E"/>
    <w:rsid w:val="008D1891"/>
    <w:rsid w:val="008D43FD"/>
    <w:rsid w:val="008D5827"/>
    <w:rsid w:val="008D620C"/>
    <w:rsid w:val="008E175F"/>
    <w:rsid w:val="008E3290"/>
    <w:rsid w:val="008E3C0B"/>
    <w:rsid w:val="008E4D64"/>
    <w:rsid w:val="008E527A"/>
    <w:rsid w:val="008E5D42"/>
    <w:rsid w:val="008F04B5"/>
    <w:rsid w:val="008F061B"/>
    <w:rsid w:val="008F1E95"/>
    <w:rsid w:val="008F2277"/>
    <w:rsid w:val="008F2BDD"/>
    <w:rsid w:val="008F399E"/>
    <w:rsid w:val="008F457D"/>
    <w:rsid w:val="008F4A6D"/>
    <w:rsid w:val="008F675F"/>
    <w:rsid w:val="00900811"/>
    <w:rsid w:val="009026F9"/>
    <w:rsid w:val="00904223"/>
    <w:rsid w:val="0090466A"/>
    <w:rsid w:val="00904813"/>
    <w:rsid w:val="00906960"/>
    <w:rsid w:val="009100BA"/>
    <w:rsid w:val="00913A4D"/>
    <w:rsid w:val="00915629"/>
    <w:rsid w:val="009169FF"/>
    <w:rsid w:val="00917313"/>
    <w:rsid w:val="00917CAC"/>
    <w:rsid w:val="00917D2B"/>
    <w:rsid w:val="00920A65"/>
    <w:rsid w:val="009210CD"/>
    <w:rsid w:val="00921B2A"/>
    <w:rsid w:val="00922488"/>
    <w:rsid w:val="00923977"/>
    <w:rsid w:val="00924101"/>
    <w:rsid w:val="00924A5E"/>
    <w:rsid w:val="00932DA9"/>
    <w:rsid w:val="009336F3"/>
    <w:rsid w:val="00933C0B"/>
    <w:rsid w:val="00934183"/>
    <w:rsid w:val="00935016"/>
    <w:rsid w:val="009357E8"/>
    <w:rsid w:val="009375B7"/>
    <w:rsid w:val="00940CBE"/>
    <w:rsid w:val="009413C0"/>
    <w:rsid w:val="00941805"/>
    <w:rsid w:val="00943735"/>
    <w:rsid w:val="009439BF"/>
    <w:rsid w:val="0094455A"/>
    <w:rsid w:val="0094583D"/>
    <w:rsid w:val="00946D33"/>
    <w:rsid w:val="00946DF7"/>
    <w:rsid w:val="009544BF"/>
    <w:rsid w:val="00955E75"/>
    <w:rsid w:val="009569B3"/>
    <w:rsid w:val="009570B8"/>
    <w:rsid w:val="00957FA1"/>
    <w:rsid w:val="00960467"/>
    <w:rsid w:val="009606BF"/>
    <w:rsid w:val="009613E8"/>
    <w:rsid w:val="0096152C"/>
    <w:rsid w:val="009630B7"/>
    <w:rsid w:val="009632F3"/>
    <w:rsid w:val="00964DE1"/>
    <w:rsid w:val="00965278"/>
    <w:rsid w:val="00970B89"/>
    <w:rsid w:val="00972729"/>
    <w:rsid w:val="0097436A"/>
    <w:rsid w:val="00975156"/>
    <w:rsid w:val="009752E9"/>
    <w:rsid w:val="00976A6B"/>
    <w:rsid w:val="00976ED9"/>
    <w:rsid w:val="00980175"/>
    <w:rsid w:val="009805D7"/>
    <w:rsid w:val="0098103F"/>
    <w:rsid w:val="00981E14"/>
    <w:rsid w:val="009823BF"/>
    <w:rsid w:val="00984ACD"/>
    <w:rsid w:val="0098531F"/>
    <w:rsid w:val="00986096"/>
    <w:rsid w:val="00986869"/>
    <w:rsid w:val="00986B86"/>
    <w:rsid w:val="00990807"/>
    <w:rsid w:val="00990915"/>
    <w:rsid w:val="00991381"/>
    <w:rsid w:val="00991FAD"/>
    <w:rsid w:val="00992595"/>
    <w:rsid w:val="00994B87"/>
    <w:rsid w:val="00997746"/>
    <w:rsid w:val="00997805"/>
    <w:rsid w:val="0099796E"/>
    <w:rsid w:val="009A04DE"/>
    <w:rsid w:val="009A0548"/>
    <w:rsid w:val="009A0D4E"/>
    <w:rsid w:val="009A10A8"/>
    <w:rsid w:val="009A2977"/>
    <w:rsid w:val="009A2A44"/>
    <w:rsid w:val="009A2CA2"/>
    <w:rsid w:val="009A33E5"/>
    <w:rsid w:val="009A3C93"/>
    <w:rsid w:val="009B1A50"/>
    <w:rsid w:val="009B5199"/>
    <w:rsid w:val="009B5BA3"/>
    <w:rsid w:val="009B7890"/>
    <w:rsid w:val="009C160B"/>
    <w:rsid w:val="009C2993"/>
    <w:rsid w:val="009C2D6B"/>
    <w:rsid w:val="009C39AE"/>
    <w:rsid w:val="009D0185"/>
    <w:rsid w:val="009D0487"/>
    <w:rsid w:val="009D2DA5"/>
    <w:rsid w:val="009D350C"/>
    <w:rsid w:val="009D4E7B"/>
    <w:rsid w:val="009D5C94"/>
    <w:rsid w:val="009D5EF6"/>
    <w:rsid w:val="009E20CD"/>
    <w:rsid w:val="009E4B99"/>
    <w:rsid w:val="009E5BE8"/>
    <w:rsid w:val="009E603B"/>
    <w:rsid w:val="009E789B"/>
    <w:rsid w:val="009F0F43"/>
    <w:rsid w:val="009F11BB"/>
    <w:rsid w:val="009F2410"/>
    <w:rsid w:val="009F2B48"/>
    <w:rsid w:val="009F3B91"/>
    <w:rsid w:val="009F5C0D"/>
    <w:rsid w:val="009F5D8F"/>
    <w:rsid w:val="009F72A7"/>
    <w:rsid w:val="00A04F9C"/>
    <w:rsid w:val="00A0562C"/>
    <w:rsid w:val="00A05F92"/>
    <w:rsid w:val="00A06215"/>
    <w:rsid w:val="00A0684B"/>
    <w:rsid w:val="00A06D29"/>
    <w:rsid w:val="00A07CC5"/>
    <w:rsid w:val="00A07D91"/>
    <w:rsid w:val="00A10B10"/>
    <w:rsid w:val="00A11681"/>
    <w:rsid w:val="00A11821"/>
    <w:rsid w:val="00A1224B"/>
    <w:rsid w:val="00A13DDD"/>
    <w:rsid w:val="00A157E8"/>
    <w:rsid w:val="00A16837"/>
    <w:rsid w:val="00A17537"/>
    <w:rsid w:val="00A2049F"/>
    <w:rsid w:val="00A25777"/>
    <w:rsid w:val="00A311F4"/>
    <w:rsid w:val="00A32886"/>
    <w:rsid w:val="00A336D0"/>
    <w:rsid w:val="00A3390F"/>
    <w:rsid w:val="00A33D99"/>
    <w:rsid w:val="00A35669"/>
    <w:rsid w:val="00A366F9"/>
    <w:rsid w:val="00A36E4B"/>
    <w:rsid w:val="00A37397"/>
    <w:rsid w:val="00A374C3"/>
    <w:rsid w:val="00A405AD"/>
    <w:rsid w:val="00A40688"/>
    <w:rsid w:val="00A40CC4"/>
    <w:rsid w:val="00A41C49"/>
    <w:rsid w:val="00A41D23"/>
    <w:rsid w:val="00A423C0"/>
    <w:rsid w:val="00A424FF"/>
    <w:rsid w:val="00A44A3E"/>
    <w:rsid w:val="00A44CCE"/>
    <w:rsid w:val="00A475FF"/>
    <w:rsid w:val="00A47701"/>
    <w:rsid w:val="00A5022B"/>
    <w:rsid w:val="00A53AE1"/>
    <w:rsid w:val="00A550CB"/>
    <w:rsid w:val="00A55AF1"/>
    <w:rsid w:val="00A56978"/>
    <w:rsid w:val="00A5701A"/>
    <w:rsid w:val="00A6213C"/>
    <w:rsid w:val="00A62D6A"/>
    <w:rsid w:val="00A636E5"/>
    <w:rsid w:val="00A658F3"/>
    <w:rsid w:val="00A71171"/>
    <w:rsid w:val="00A7222F"/>
    <w:rsid w:val="00A74810"/>
    <w:rsid w:val="00A75F19"/>
    <w:rsid w:val="00A77131"/>
    <w:rsid w:val="00A82DA8"/>
    <w:rsid w:val="00A83ECB"/>
    <w:rsid w:val="00A84540"/>
    <w:rsid w:val="00A8525E"/>
    <w:rsid w:val="00A85CFE"/>
    <w:rsid w:val="00A86C67"/>
    <w:rsid w:val="00A871ED"/>
    <w:rsid w:val="00A872A7"/>
    <w:rsid w:val="00A87689"/>
    <w:rsid w:val="00A91DB4"/>
    <w:rsid w:val="00A926C3"/>
    <w:rsid w:val="00A93B88"/>
    <w:rsid w:val="00A93C09"/>
    <w:rsid w:val="00A93FCA"/>
    <w:rsid w:val="00A952CD"/>
    <w:rsid w:val="00AA1762"/>
    <w:rsid w:val="00AB00F8"/>
    <w:rsid w:val="00AB1DC9"/>
    <w:rsid w:val="00AB4493"/>
    <w:rsid w:val="00AB46CE"/>
    <w:rsid w:val="00AB7E80"/>
    <w:rsid w:val="00AC2DF1"/>
    <w:rsid w:val="00AC5CD9"/>
    <w:rsid w:val="00AC75DE"/>
    <w:rsid w:val="00AC7840"/>
    <w:rsid w:val="00AD1C07"/>
    <w:rsid w:val="00AD1E95"/>
    <w:rsid w:val="00AD2B92"/>
    <w:rsid w:val="00AD567F"/>
    <w:rsid w:val="00AD6B60"/>
    <w:rsid w:val="00AD6C96"/>
    <w:rsid w:val="00AE6073"/>
    <w:rsid w:val="00AE61F9"/>
    <w:rsid w:val="00AE67B0"/>
    <w:rsid w:val="00AE6C0D"/>
    <w:rsid w:val="00AE7AFB"/>
    <w:rsid w:val="00AF087E"/>
    <w:rsid w:val="00AF3240"/>
    <w:rsid w:val="00AF356E"/>
    <w:rsid w:val="00AF37E6"/>
    <w:rsid w:val="00AF4D43"/>
    <w:rsid w:val="00AF6021"/>
    <w:rsid w:val="00AF64A5"/>
    <w:rsid w:val="00AF7A8B"/>
    <w:rsid w:val="00B007A4"/>
    <w:rsid w:val="00B01E74"/>
    <w:rsid w:val="00B02AE9"/>
    <w:rsid w:val="00B03622"/>
    <w:rsid w:val="00B03EDF"/>
    <w:rsid w:val="00B046CC"/>
    <w:rsid w:val="00B05B55"/>
    <w:rsid w:val="00B1072F"/>
    <w:rsid w:val="00B11299"/>
    <w:rsid w:val="00B1262D"/>
    <w:rsid w:val="00B1329C"/>
    <w:rsid w:val="00B13D49"/>
    <w:rsid w:val="00B14577"/>
    <w:rsid w:val="00B1461E"/>
    <w:rsid w:val="00B14A06"/>
    <w:rsid w:val="00B14F1C"/>
    <w:rsid w:val="00B16A60"/>
    <w:rsid w:val="00B17788"/>
    <w:rsid w:val="00B22C7E"/>
    <w:rsid w:val="00B242A6"/>
    <w:rsid w:val="00B2542C"/>
    <w:rsid w:val="00B25ED3"/>
    <w:rsid w:val="00B27EC6"/>
    <w:rsid w:val="00B3460D"/>
    <w:rsid w:val="00B35050"/>
    <w:rsid w:val="00B36E6D"/>
    <w:rsid w:val="00B37056"/>
    <w:rsid w:val="00B37D53"/>
    <w:rsid w:val="00B40BD2"/>
    <w:rsid w:val="00B40C75"/>
    <w:rsid w:val="00B4393A"/>
    <w:rsid w:val="00B44B17"/>
    <w:rsid w:val="00B45A34"/>
    <w:rsid w:val="00B46B32"/>
    <w:rsid w:val="00B46DC4"/>
    <w:rsid w:val="00B54F43"/>
    <w:rsid w:val="00B55B3A"/>
    <w:rsid w:val="00B55D4C"/>
    <w:rsid w:val="00B56539"/>
    <w:rsid w:val="00B56898"/>
    <w:rsid w:val="00B56B19"/>
    <w:rsid w:val="00B6012F"/>
    <w:rsid w:val="00B6017C"/>
    <w:rsid w:val="00B60B1E"/>
    <w:rsid w:val="00B63AC7"/>
    <w:rsid w:val="00B655FE"/>
    <w:rsid w:val="00B65730"/>
    <w:rsid w:val="00B66F3B"/>
    <w:rsid w:val="00B6736A"/>
    <w:rsid w:val="00B67C98"/>
    <w:rsid w:val="00B703FF"/>
    <w:rsid w:val="00B709B7"/>
    <w:rsid w:val="00B70FC4"/>
    <w:rsid w:val="00B714FD"/>
    <w:rsid w:val="00B7296C"/>
    <w:rsid w:val="00B72CC6"/>
    <w:rsid w:val="00B74CDE"/>
    <w:rsid w:val="00B75862"/>
    <w:rsid w:val="00B767D6"/>
    <w:rsid w:val="00B772A4"/>
    <w:rsid w:val="00B774E1"/>
    <w:rsid w:val="00B778F6"/>
    <w:rsid w:val="00B80C22"/>
    <w:rsid w:val="00B81C37"/>
    <w:rsid w:val="00B82873"/>
    <w:rsid w:val="00B831BD"/>
    <w:rsid w:val="00B87583"/>
    <w:rsid w:val="00B903AA"/>
    <w:rsid w:val="00B9043D"/>
    <w:rsid w:val="00B920F7"/>
    <w:rsid w:val="00B9323D"/>
    <w:rsid w:val="00B93EEF"/>
    <w:rsid w:val="00B954DD"/>
    <w:rsid w:val="00BA10F4"/>
    <w:rsid w:val="00BA1DB6"/>
    <w:rsid w:val="00BA279E"/>
    <w:rsid w:val="00BA5350"/>
    <w:rsid w:val="00BA56AC"/>
    <w:rsid w:val="00BA61D2"/>
    <w:rsid w:val="00BA6444"/>
    <w:rsid w:val="00BA6F4A"/>
    <w:rsid w:val="00BB0D5B"/>
    <w:rsid w:val="00BB232D"/>
    <w:rsid w:val="00BB27E0"/>
    <w:rsid w:val="00BB3BFE"/>
    <w:rsid w:val="00BB5C9B"/>
    <w:rsid w:val="00BC1236"/>
    <w:rsid w:val="00BC275E"/>
    <w:rsid w:val="00BC2ECD"/>
    <w:rsid w:val="00BC323A"/>
    <w:rsid w:val="00BC5956"/>
    <w:rsid w:val="00BC5A50"/>
    <w:rsid w:val="00BC5B20"/>
    <w:rsid w:val="00BC66E5"/>
    <w:rsid w:val="00BC735B"/>
    <w:rsid w:val="00BC7BC1"/>
    <w:rsid w:val="00BD0327"/>
    <w:rsid w:val="00BD0F22"/>
    <w:rsid w:val="00BD12C8"/>
    <w:rsid w:val="00BD1431"/>
    <w:rsid w:val="00BD1728"/>
    <w:rsid w:val="00BD2CFB"/>
    <w:rsid w:val="00BD2ECB"/>
    <w:rsid w:val="00BD316A"/>
    <w:rsid w:val="00BE018E"/>
    <w:rsid w:val="00BE124F"/>
    <w:rsid w:val="00BE192E"/>
    <w:rsid w:val="00BE1EF6"/>
    <w:rsid w:val="00BE24A7"/>
    <w:rsid w:val="00BE35A6"/>
    <w:rsid w:val="00BE3A34"/>
    <w:rsid w:val="00BE599D"/>
    <w:rsid w:val="00BE5B7D"/>
    <w:rsid w:val="00BE7769"/>
    <w:rsid w:val="00BE7F26"/>
    <w:rsid w:val="00BF01B2"/>
    <w:rsid w:val="00BF091C"/>
    <w:rsid w:val="00BF09CB"/>
    <w:rsid w:val="00BF1C4F"/>
    <w:rsid w:val="00BF1EC6"/>
    <w:rsid w:val="00BF236C"/>
    <w:rsid w:val="00BF2C6E"/>
    <w:rsid w:val="00BF317C"/>
    <w:rsid w:val="00BF61DC"/>
    <w:rsid w:val="00BF7954"/>
    <w:rsid w:val="00BF7DD8"/>
    <w:rsid w:val="00C026BB"/>
    <w:rsid w:val="00C026C0"/>
    <w:rsid w:val="00C03EE7"/>
    <w:rsid w:val="00C04AE2"/>
    <w:rsid w:val="00C050A2"/>
    <w:rsid w:val="00C055E3"/>
    <w:rsid w:val="00C05A9B"/>
    <w:rsid w:val="00C06C6E"/>
    <w:rsid w:val="00C06E1F"/>
    <w:rsid w:val="00C0736E"/>
    <w:rsid w:val="00C07FBB"/>
    <w:rsid w:val="00C11068"/>
    <w:rsid w:val="00C11BAC"/>
    <w:rsid w:val="00C126AA"/>
    <w:rsid w:val="00C129E2"/>
    <w:rsid w:val="00C143C8"/>
    <w:rsid w:val="00C14481"/>
    <w:rsid w:val="00C14561"/>
    <w:rsid w:val="00C14963"/>
    <w:rsid w:val="00C150CD"/>
    <w:rsid w:val="00C15A9B"/>
    <w:rsid w:val="00C16459"/>
    <w:rsid w:val="00C1709D"/>
    <w:rsid w:val="00C1753F"/>
    <w:rsid w:val="00C21B24"/>
    <w:rsid w:val="00C234F4"/>
    <w:rsid w:val="00C25166"/>
    <w:rsid w:val="00C25EC7"/>
    <w:rsid w:val="00C2604B"/>
    <w:rsid w:val="00C2795A"/>
    <w:rsid w:val="00C347B5"/>
    <w:rsid w:val="00C3728B"/>
    <w:rsid w:val="00C37959"/>
    <w:rsid w:val="00C432EF"/>
    <w:rsid w:val="00C4441B"/>
    <w:rsid w:val="00C457B7"/>
    <w:rsid w:val="00C45B74"/>
    <w:rsid w:val="00C46441"/>
    <w:rsid w:val="00C4701A"/>
    <w:rsid w:val="00C51D94"/>
    <w:rsid w:val="00C52366"/>
    <w:rsid w:val="00C55EC5"/>
    <w:rsid w:val="00C57F1E"/>
    <w:rsid w:val="00C60020"/>
    <w:rsid w:val="00C61544"/>
    <w:rsid w:val="00C71B6E"/>
    <w:rsid w:val="00C739A5"/>
    <w:rsid w:val="00C743CB"/>
    <w:rsid w:val="00C752AC"/>
    <w:rsid w:val="00C76218"/>
    <w:rsid w:val="00C77D42"/>
    <w:rsid w:val="00C803E9"/>
    <w:rsid w:val="00C816AA"/>
    <w:rsid w:val="00C83A38"/>
    <w:rsid w:val="00C83B3F"/>
    <w:rsid w:val="00C85039"/>
    <w:rsid w:val="00C85043"/>
    <w:rsid w:val="00C86406"/>
    <w:rsid w:val="00C8734F"/>
    <w:rsid w:val="00C9051A"/>
    <w:rsid w:val="00C90907"/>
    <w:rsid w:val="00C9104E"/>
    <w:rsid w:val="00C92261"/>
    <w:rsid w:val="00C936D0"/>
    <w:rsid w:val="00C94A02"/>
    <w:rsid w:val="00C94B07"/>
    <w:rsid w:val="00C953B2"/>
    <w:rsid w:val="00CA03AE"/>
    <w:rsid w:val="00CA044B"/>
    <w:rsid w:val="00CA04C0"/>
    <w:rsid w:val="00CA4B32"/>
    <w:rsid w:val="00CA614D"/>
    <w:rsid w:val="00CA722C"/>
    <w:rsid w:val="00CB3798"/>
    <w:rsid w:val="00CB438D"/>
    <w:rsid w:val="00CB548E"/>
    <w:rsid w:val="00CB573E"/>
    <w:rsid w:val="00CB5864"/>
    <w:rsid w:val="00CB6447"/>
    <w:rsid w:val="00CC138D"/>
    <w:rsid w:val="00CC17C8"/>
    <w:rsid w:val="00CC1F2B"/>
    <w:rsid w:val="00CC22AD"/>
    <w:rsid w:val="00CC4A4E"/>
    <w:rsid w:val="00CC5E1F"/>
    <w:rsid w:val="00CC643C"/>
    <w:rsid w:val="00CC700A"/>
    <w:rsid w:val="00CC76C8"/>
    <w:rsid w:val="00CD02E8"/>
    <w:rsid w:val="00CD1E24"/>
    <w:rsid w:val="00CD2F5B"/>
    <w:rsid w:val="00CD5083"/>
    <w:rsid w:val="00CD55B6"/>
    <w:rsid w:val="00CD5784"/>
    <w:rsid w:val="00CD725E"/>
    <w:rsid w:val="00CD7740"/>
    <w:rsid w:val="00CE2348"/>
    <w:rsid w:val="00CE23AE"/>
    <w:rsid w:val="00CE267A"/>
    <w:rsid w:val="00CE367A"/>
    <w:rsid w:val="00CE3DF0"/>
    <w:rsid w:val="00CE4C9D"/>
    <w:rsid w:val="00CE5B6D"/>
    <w:rsid w:val="00CE6F69"/>
    <w:rsid w:val="00CE7389"/>
    <w:rsid w:val="00CF0838"/>
    <w:rsid w:val="00CF378C"/>
    <w:rsid w:val="00CF3D4E"/>
    <w:rsid w:val="00CF4C76"/>
    <w:rsid w:val="00CF5C45"/>
    <w:rsid w:val="00D0087F"/>
    <w:rsid w:val="00D0240D"/>
    <w:rsid w:val="00D044DD"/>
    <w:rsid w:val="00D05716"/>
    <w:rsid w:val="00D07F75"/>
    <w:rsid w:val="00D11A99"/>
    <w:rsid w:val="00D1222F"/>
    <w:rsid w:val="00D12994"/>
    <w:rsid w:val="00D13EE5"/>
    <w:rsid w:val="00D14C3A"/>
    <w:rsid w:val="00D15263"/>
    <w:rsid w:val="00D15368"/>
    <w:rsid w:val="00D218A3"/>
    <w:rsid w:val="00D228C5"/>
    <w:rsid w:val="00D23CD3"/>
    <w:rsid w:val="00D24708"/>
    <w:rsid w:val="00D24FEA"/>
    <w:rsid w:val="00D25F58"/>
    <w:rsid w:val="00D26459"/>
    <w:rsid w:val="00D339EC"/>
    <w:rsid w:val="00D340AF"/>
    <w:rsid w:val="00D34E80"/>
    <w:rsid w:val="00D35BF7"/>
    <w:rsid w:val="00D377EB"/>
    <w:rsid w:val="00D408E2"/>
    <w:rsid w:val="00D40CEF"/>
    <w:rsid w:val="00D40FD1"/>
    <w:rsid w:val="00D41796"/>
    <w:rsid w:val="00D42120"/>
    <w:rsid w:val="00D46130"/>
    <w:rsid w:val="00D47BB4"/>
    <w:rsid w:val="00D50CE5"/>
    <w:rsid w:val="00D51425"/>
    <w:rsid w:val="00D5276A"/>
    <w:rsid w:val="00D534BE"/>
    <w:rsid w:val="00D535DA"/>
    <w:rsid w:val="00D53642"/>
    <w:rsid w:val="00D54B81"/>
    <w:rsid w:val="00D560C9"/>
    <w:rsid w:val="00D56489"/>
    <w:rsid w:val="00D618B9"/>
    <w:rsid w:val="00D64CDE"/>
    <w:rsid w:val="00D6575B"/>
    <w:rsid w:val="00D66E19"/>
    <w:rsid w:val="00D72E68"/>
    <w:rsid w:val="00D731D5"/>
    <w:rsid w:val="00D73383"/>
    <w:rsid w:val="00D735A1"/>
    <w:rsid w:val="00D73CFC"/>
    <w:rsid w:val="00D74FC2"/>
    <w:rsid w:val="00D75867"/>
    <w:rsid w:val="00D75DD0"/>
    <w:rsid w:val="00D771E2"/>
    <w:rsid w:val="00D77B3A"/>
    <w:rsid w:val="00D77FF6"/>
    <w:rsid w:val="00D8021C"/>
    <w:rsid w:val="00D81C79"/>
    <w:rsid w:val="00D81C9E"/>
    <w:rsid w:val="00D83567"/>
    <w:rsid w:val="00D84431"/>
    <w:rsid w:val="00D92B1D"/>
    <w:rsid w:val="00D944AE"/>
    <w:rsid w:val="00D94E3C"/>
    <w:rsid w:val="00D979B0"/>
    <w:rsid w:val="00D97F1C"/>
    <w:rsid w:val="00DA02EE"/>
    <w:rsid w:val="00DA0522"/>
    <w:rsid w:val="00DA2231"/>
    <w:rsid w:val="00DA2F24"/>
    <w:rsid w:val="00DA4571"/>
    <w:rsid w:val="00DA7475"/>
    <w:rsid w:val="00DA7C06"/>
    <w:rsid w:val="00DB0555"/>
    <w:rsid w:val="00DB082F"/>
    <w:rsid w:val="00DB18AE"/>
    <w:rsid w:val="00DB1D33"/>
    <w:rsid w:val="00DB4162"/>
    <w:rsid w:val="00DB4599"/>
    <w:rsid w:val="00DB6599"/>
    <w:rsid w:val="00DB7FBF"/>
    <w:rsid w:val="00DC1C47"/>
    <w:rsid w:val="00DC1DA9"/>
    <w:rsid w:val="00DC4093"/>
    <w:rsid w:val="00DC447A"/>
    <w:rsid w:val="00DC461D"/>
    <w:rsid w:val="00DD012F"/>
    <w:rsid w:val="00DD27EE"/>
    <w:rsid w:val="00DD579B"/>
    <w:rsid w:val="00DD7937"/>
    <w:rsid w:val="00DD7B00"/>
    <w:rsid w:val="00DD7BA9"/>
    <w:rsid w:val="00DE1D18"/>
    <w:rsid w:val="00DE6DD5"/>
    <w:rsid w:val="00DF09B5"/>
    <w:rsid w:val="00DF15C3"/>
    <w:rsid w:val="00DF19B4"/>
    <w:rsid w:val="00DF3F5F"/>
    <w:rsid w:val="00DF514E"/>
    <w:rsid w:val="00DF61BD"/>
    <w:rsid w:val="00DF671C"/>
    <w:rsid w:val="00E0029C"/>
    <w:rsid w:val="00E007E2"/>
    <w:rsid w:val="00E021F9"/>
    <w:rsid w:val="00E023E5"/>
    <w:rsid w:val="00E024C0"/>
    <w:rsid w:val="00E04504"/>
    <w:rsid w:val="00E06485"/>
    <w:rsid w:val="00E06D8B"/>
    <w:rsid w:val="00E0727B"/>
    <w:rsid w:val="00E11A65"/>
    <w:rsid w:val="00E145EE"/>
    <w:rsid w:val="00E148CA"/>
    <w:rsid w:val="00E16443"/>
    <w:rsid w:val="00E2310D"/>
    <w:rsid w:val="00E27D40"/>
    <w:rsid w:val="00E30078"/>
    <w:rsid w:val="00E30FF3"/>
    <w:rsid w:val="00E31A65"/>
    <w:rsid w:val="00E31F86"/>
    <w:rsid w:val="00E321A5"/>
    <w:rsid w:val="00E326CC"/>
    <w:rsid w:val="00E3403E"/>
    <w:rsid w:val="00E372E5"/>
    <w:rsid w:val="00E37BDA"/>
    <w:rsid w:val="00E37CE6"/>
    <w:rsid w:val="00E40324"/>
    <w:rsid w:val="00E4128A"/>
    <w:rsid w:val="00E41325"/>
    <w:rsid w:val="00E41B0A"/>
    <w:rsid w:val="00E43356"/>
    <w:rsid w:val="00E43AF7"/>
    <w:rsid w:val="00E4458D"/>
    <w:rsid w:val="00E45160"/>
    <w:rsid w:val="00E47078"/>
    <w:rsid w:val="00E4736A"/>
    <w:rsid w:val="00E4760D"/>
    <w:rsid w:val="00E5149E"/>
    <w:rsid w:val="00E51E18"/>
    <w:rsid w:val="00E525EE"/>
    <w:rsid w:val="00E535FF"/>
    <w:rsid w:val="00E54648"/>
    <w:rsid w:val="00E5516F"/>
    <w:rsid w:val="00E55863"/>
    <w:rsid w:val="00E55A10"/>
    <w:rsid w:val="00E56411"/>
    <w:rsid w:val="00E60495"/>
    <w:rsid w:val="00E63AD9"/>
    <w:rsid w:val="00E649BF"/>
    <w:rsid w:val="00E65604"/>
    <w:rsid w:val="00E67048"/>
    <w:rsid w:val="00E70144"/>
    <w:rsid w:val="00E70E02"/>
    <w:rsid w:val="00E72740"/>
    <w:rsid w:val="00E732D1"/>
    <w:rsid w:val="00E750D5"/>
    <w:rsid w:val="00E774BF"/>
    <w:rsid w:val="00E7796E"/>
    <w:rsid w:val="00E8076B"/>
    <w:rsid w:val="00E80B41"/>
    <w:rsid w:val="00E8102F"/>
    <w:rsid w:val="00E81418"/>
    <w:rsid w:val="00E859BB"/>
    <w:rsid w:val="00E85CF2"/>
    <w:rsid w:val="00E8703A"/>
    <w:rsid w:val="00E8773E"/>
    <w:rsid w:val="00E87788"/>
    <w:rsid w:val="00E9122D"/>
    <w:rsid w:val="00E9195C"/>
    <w:rsid w:val="00E91F68"/>
    <w:rsid w:val="00E92481"/>
    <w:rsid w:val="00E92F85"/>
    <w:rsid w:val="00E93B3C"/>
    <w:rsid w:val="00E97BE0"/>
    <w:rsid w:val="00EA098F"/>
    <w:rsid w:val="00EA0990"/>
    <w:rsid w:val="00EA53E0"/>
    <w:rsid w:val="00EA5ADF"/>
    <w:rsid w:val="00EA5F7A"/>
    <w:rsid w:val="00EA74CF"/>
    <w:rsid w:val="00EB5EDD"/>
    <w:rsid w:val="00EB5F29"/>
    <w:rsid w:val="00EB68BF"/>
    <w:rsid w:val="00EB74A3"/>
    <w:rsid w:val="00EC03C9"/>
    <w:rsid w:val="00EC1724"/>
    <w:rsid w:val="00EC3F6F"/>
    <w:rsid w:val="00EC75C7"/>
    <w:rsid w:val="00ED00AA"/>
    <w:rsid w:val="00ED1F8D"/>
    <w:rsid w:val="00ED2068"/>
    <w:rsid w:val="00ED3544"/>
    <w:rsid w:val="00EE05F1"/>
    <w:rsid w:val="00EE0D83"/>
    <w:rsid w:val="00EE106F"/>
    <w:rsid w:val="00EE4AA1"/>
    <w:rsid w:val="00EE4CDE"/>
    <w:rsid w:val="00EE5F3E"/>
    <w:rsid w:val="00EE61F4"/>
    <w:rsid w:val="00EE7ED6"/>
    <w:rsid w:val="00EF0E73"/>
    <w:rsid w:val="00EF2B51"/>
    <w:rsid w:val="00EF3BC1"/>
    <w:rsid w:val="00F02072"/>
    <w:rsid w:val="00F023D7"/>
    <w:rsid w:val="00F02784"/>
    <w:rsid w:val="00F03711"/>
    <w:rsid w:val="00F053BA"/>
    <w:rsid w:val="00F07F84"/>
    <w:rsid w:val="00F100EE"/>
    <w:rsid w:val="00F11DB9"/>
    <w:rsid w:val="00F13402"/>
    <w:rsid w:val="00F1518F"/>
    <w:rsid w:val="00F15382"/>
    <w:rsid w:val="00F153C1"/>
    <w:rsid w:val="00F153E5"/>
    <w:rsid w:val="00F1562F"/>
    <w:rsid w:val="00F15EE4"/>
    <w:rsid w:val="00F20A8C"/>
    <w:rsid w:val="00F21243"/>
    <w:rsid w:val="00F22358"/>
    <w:rsid w:val="00F25872"/>
    <w:rsid w:val="00F27486"/>
    <w:rsid w:val="00F27753"/>
    <w:rsid w:val="00F27B98"/>
    <w:rsid w:val="00F3029F"/>
    <w:rsid w:val="00F30487"/>
    <w:rsid w:val="00F309AD"/>
    <w:rsid w:val="00F30DE1"/>
    <w:rsid w:val="00F31292"/>
    <w:rsid w:val="00F333E5"/>
    <w:rsid w:val="00F33ED1"/>
    <w:rsid w:val="00F35F08"/>
    <w:rsid w:val="00F422B0"/>
    <w:rsid w:val="00F4234D"/>
    <w:rsid w:val="00F43A1A"/>
    <w:rsid w:val="00F44AAA"/>
    <w:rsid w:val="00F45213"/>
    <w:rsid w:val="00F47571"/>
    <w:rsid w:val="00F51210"/>
    <w:rsid w:val="00F512FB"/>
    <w:rsid w:val="00F521EA"/>
    <w:rsid w:val="00F52351"/>
    <w:rsid w:val="00F52522"/>
    <w:rsid w:val="00F53165"/>
    <w:rsid w:val="00F54902"/>
    <w:rsid w:val="00F54CA4"/>
    <w:rsid w:val="00F56F17"/>
    <w:rsid w:val="00F56F7F"/>
    <w:rsid w:val="00F60CAF"/>
    <w:rsid w:val="00F60E4C"/>
    <w:rsid w:val="00F60EF4"/>
    <w:rsid w:val="00F6175E"/>
    <w:rsid w:val="00F63261"/>
    <w:rsid w:val="00F646A8"/>
    <w:rsid w:val="00F6573D"/>
    <w:rsid w:val="00F65C1C"/>
    <w:rsid w:val="00F67428"/>
    <w:rsid w:val="00F71795"/>
    <w:rsid w:val="00F76317"/>
    <w:rsid w:val="00F770AD"/>
    <w:rsid w:val="00F77251"/>
    <w:rsid w:val="00F7760E"/>
    <w:rsid w:val="00F7799B"/>
    <w:rsid w:val="00F80D96"/>
    <w:rsid w:val="00F810A9"/>
    <w:rsid w:val="00F838C5"/>
    <w:rsid w:val="00F8463D"/>
    <w:rsid w:val="00F84D6B"/>
    <w:rsid w:val="00F87A4B"/>
    <w:rsid w:val="00F93721"/>
    <w:rsid w:val="00F96A1C"/>
    <w:rsid w:val="00F97143"/>
    <w:rsid w:val="00F977A2"/>
    <w:rsid w:val="00FA0032"/>
    <w:rsid w:val="00FA0C5A"/>
    <w:rsid w:val="00FA12D6"/>
    <w:rsid w:val="00FA1FCD"/>
    <w:rsid w:val="00FA2144"/>
    <w:rsid w:val="00FA22EA"/>
    <w:rsid w:val="00FA329B"/>
    <w:rsid w:val="00FA456B"/>
    <w:rsid w:val="00FA462D"/>
    <w:rsid w:val="00FA48B6"/>
    <w:rsid w:val="00FA73B6"/>
    <w:rsid w:val="00FA7C55"/>
    <w:rsid w:val="00FA7FB9"/>
    <w:rsid w:val="00FB35F2"/>
    <w:rsid w:val="00FB3CE3"/>
    <w:rsid w:val="00FB3DF3"/>
    <w:rsid w:val="00FB55F3"/>
    <w:rsid w:val="00FC1775"/>
    <w:rsid w:val="00FC1F02"/>
    <w:rsid w:val="00FC2CBE"/>
    <w:rsid w:val="00FC38C9"/>
    <w:rsid w:val="00FC3952"/>
    <w:rsid w:val="00FC43E9"/>
    <w:rsid w:val="00FC4FAD"/>
    <w:rsid w:val="00FC5302"/>
    <w:rsid w:val="00FC773E"/>
    <w:rsid w:val="00FD0D57"/>
    <w:rsid w:val="00FD13AE"/>
    <w:rsid w:val="00FD2D65"/>
    <w:rsid w:val="00FD3572"/>
    <w:rsid w:val="00FD576D"/>
    <w:rsid w:val="00FD670D"/>
    <w:rsid w:val="00FD7155"/>
    <w:rsid w:val="00FE0B36"/>
    <w:rsid w:val="00FE293D"/>
    <w:rsid w:val="00FE3B39"/>
    <w:rsid w:val="00FE3F9D"/>
    <w:rsid w:val="00FE48DC"/>
    <w:rsid w:val="00FE4E8D"/>
    <w:rsid w:val="00FE573E"/>
    <w:rsid w:val="00FE6205"/>
    <w:rsid w:val="00FE6C2F"/>
    <w:rsid w:val="00FE7547"/>
    <w:rsid w:val="00FF1B2D"/>
    <w:rsid w:val="00FF29FD"/>
    <w:rsid w:val="00FF3639"/>
    <w:rsid w:val="00FF6401"/>
    <w:rsid w:val="00FF768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footer" w:uiPriority="99"/>
    <w:lsdException w:name="caption" w:semiHidden="1" w:unhideWhenUsed="1" w:qFormat="1"/>
    <w:lsdException w:name="annotation reference" w:uiPriority="99"/>
    <w:lsdException w:name="endnote reference" w:uiPriority="99"/>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Cite"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243AF"/>
    <w:rPr>
      <w:rFonts w:ascii="Arial" w:hAnsi="Arial"/>
      <w:szCs w:val="24"/>
    </w:rPr>
  </w:style>
  <w:style w:type="paragraph" w:styleId="Heading1">
    <w:name w:val="heading 1"/>
    <w:basedOn w:val="Normal"/>
    <w:next w:val="Normal"/>
    <w:link w:val="Heading1Char"/>
    <w:qFormat/>
    <w:rsid w:val="000F1DDB"/>
    <w:pPr>
      <w:keepNext/>
      <w:numPr>
        <w:numId w:val="1"/>
      </w:numPr>
      <w:spacing w:before="240" w:after="60"/>
      <w:jc w:val="center"/>
      <w:outlineLvl w:val="0"/>
    </w:pPr>
    <w:rPr>
      <w:rFonts w:cs="Arial"/>
      <w:b/>
      <w:bCs/>
      <w:kern w:val="32"/>
      <w:sz w:val="22"/>
      <w:szCs w:val="32"/>
    </w:rPr>
  </w:style>
  <w:style w:type="paragraph" w:styleId="Heading2">
    <w:name w:val="heading 2"/>
    <w:basedOn w:val="Normal"/>
    <w:next w:val="Normal"/>
    <w:link w:val="Heading2Char"/>
    <w:qFormat/>
    <w:rsid w:val="00A157E8"/>
    <w:pPr>
      <w:keepNext/>
      <w:tabs>
        <w:tab w:val="left" w:pos="567"/>
        <w:tab w:val="right" w:pos="9072"/>
      </w:tabs>
      <w:ind w:left="1701" w:hanging="1701"/>
      <w:outlineLvl w:val="1"/>
    </w:pPr>
    <w:rPr>
      <w:rFonts w:cs="Arial"/>
      <w:b/>
      <w:bCs/>
      <w:iCs/>
      <w:sz w:val="22"/>
      <w:szCs w:val="28"/>
    </w:rPr>
  </w:style>
  <w:style w:type="paragraph" w:styleId="Heading3">
    <w:name w:val="heading 3"/>
    <w:basedOn w:val="Normal"/>
    <w:next w:val="Normal"/>
    <w:link w:val="Heading3Char"/>
    <w:qFormat/>
    <w:rsid w:val="004B5923"/>
    <w:pPr>
      <w:keepNext/>
      <w:spacing w:before="240" w:after="60"/>
      <w:outlineLvl w:val="2"/>
    </w:pPr>
    <w:rPr>
      <w:rFonts w:eastAsia="SimSun" w:cs="Arial"/>
      <w:bCs/>
      <w:sz w:val="22"/>
      <w:szCs w:val="26"/>
      <w:u w:val="single"/>
    </w:rPr>
  </w:style>
  <w:style w:type="paragraph" w:styleId="Heading4">
    <w:name w:val="heading 4"/>
    <w:basedOn w:val="Normal"/>
    <w:next w:val="Normal"/>
    <w:link w:val="Heading4Char"/>
    <w:qFormat/>
    <w:rsid w:val="00933C0B"/>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table" w:styleId="TableGrid">
    <w:name w:val="Table Grid"/>
    <w:basedOn w:val="TableNormal"/>
    <w:rsid w:val="007658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
    <w:name w:val="Char Char Char Char"/>
    <w:basedOn w:val="Normal"/>
    <w:rsid w:val="007658A8"/>
    <w:pPr>
      <w:spacing w:after="160" w:line="240" w:lineRule="exact"/>
    </w:pPr>
    <w:rPr>
      <w:rFonts w:ascii="Verdana" w:hAnsi="Verdana"/>
      <w:szCs w:val="20"/>
      <w:lang w:val="en-GB"/>
    </w:rPr>
  </w:style>
  <w:style w:type="paragraph" w:styleId="BodyText">
    <w:name w:val="Body Text"/>
    <w:basedOn w:val="Normal"/>
    <w:link w:val="BodyTextChar"/>
    <w:rsid w:val="007658A8"/>
    <w:rPr>
      <w:szCs w:val="20"/>
    </w:rPr>
  </w:style>
  <w:style w:type="character" w:customStyle="1" w:styleId="BodyTextChar">
    <w:name w:val="Body Text Char"/>
    <w:link w:val="BodyText"/>
    <w:rsid w:val="007658A8"/>
    <w:rPr>
      <w:rFonts w:ascii="Arial" w:hAnsi="Arial"/>
      <w:lang w:val="en-US" w:eastAsia="en-US" w:bidi="ar-SA"/>
    </w:rPr>
  </w:style>
  <w:style w:type="paragraph" w:styleId="BodyTextIndent">
    <w:name w:val="Body Text Indent"/>
    <w:basedOn w:val="Normal"/>
    <w:link w:val="BodyTextIndentChar"/>
    <w:rsid w:val="00101F3F"/>
    <w:pPr>
      <w:ind w:left="567"/>
    </w:pPr>
    <w:rPr>
      <w:szCs w:val="20"/>
    </w:rPr>
  </w:style>
  <w:style w:type="paragraph" w:styleId="Footer">
    <w:name w:val="footer"/>
    <w:basedOn w:val="Normal"/>
    <w:link w:val="FooterChar"/>
    <w:uiPriority w:val="99"/>
    <w:rsid w:val="00101F3F"/>
    <w:pPr>
      <w:tabs>
        <w:tab w:val="center" w:pos="4320"/>
        <w:tab w:val="right" w:pos="8640"/>
      </w:tabs>
    </w:pPr>
  </w:style>
  <w:style w:type="character" w:styleId="PageNumber">
    <w:name w:val="page number"/>
    <w:basedOn w:val="DefaultParagraphFont"/>
    <w:rsid w:val="00101F3F"/>
  </w:style>
  <w:style w:type="character" w:customStyle="1" w:styleId="CharChar">
    <w:name w:val="Char Char"/>
    <w:locked/>
    <w:rsid w:val="00FA18B8"/>
    <w:rPr>
      <w:rFonts w:ascii="Arial" w:hAnsi="Arial" w:cs="Times New Roman"/>
      <w:lang w:val="en-US" w:eastAsia="en-US" w:bidi="ar-SA"/>
    </w:rPr>
  </w:style>
  <w:style w:type="character" w:styleId="Hyperlink">
    <w:name w:val="Hyperlink"/>
    <w:uiPriority w:val="99"/>
    <w:rsid w:val="00BE6194"/>
    <w:rPr>
      <w:color w:val="000099"/>
      <w:u w:val="single"/>
    </w:rPr>
  </w:style>
  <w:style w:type="paragraph" w:styleId="FootnoteText">
    <w:name w:val="footnote text"/>
    <w:basedOn w:val="Normal"/>
    <w:link w:val="FootnoteTextChar"/>
    <w:rsid w:val="007C76C9"/>
    <w:rPr>
      <w:szCs w:val="20"/>
    </w:rPr>
  </w:style>
  <w:style w:type="character" w:styleId="FootnoteReference">
    <w:name w:val="footnote reference"/>
    <w:aliases w:val="Footnote"/>
    <w:rsid w:val="007C76C9"/>
    <w:rPr>
      <w:vertAlign w:val="superscript"/>
    </w:rPr>
  </w:style>
  <w:style w:type="paragraph" w:styleId="BalloonText">
    <w:name w:val="Balloon Text"/>
    <w:basedOn w:val="Normal"/>
    <w:link w:val="BalloonTextChar"/>
    <w:rsid w:val="005C3C2A"/>
    <w:rPr>
      <w:rFonts w:ascii="Tahoma" w:hAnsi="Tahoma" w:cs="Tahoma"/>
      <w:sz w:val="16"/>
      <w:szCs w:val="16"/>
    </w:rPr>
  </w:style>
  <w:style w:type="paragraph" w:customStyle="1" w:styleId="CarCar">
    <w:name w:val="Car Car"/>
    <w:basedOn w:val="Normal"/>
    <w:rsid w:val="00F229CA"/>
    <w:pPr>
      <w:spacing w:after="160" w:line="240" w:lineRule="exact"/>
    </w:pPr>
    <w:rPr>
      <w:rFonts w:ascii="Verdana" w:hAnsi="Verdana"/>
      <w:szCs w:val="20"/>
      <w:lang w:val="en-GB"/>
    </w:rPr>
  </w:style>
  <w:style w:type="character" w:styleId="CommentReference">
    <w:name w:val="annotation reference"/>
    <w:uiPriority w:val="99"/>
    <w:rsid w:val="00BE1EF6"/>
    <w:rPr>
      <w:sz w:val="16"/>
      <w:szCs w:val="16"/>
    </w:rPr>
  </w:style>
  <w:style w:type="paragraph" w:styleId="CommentText">
    <w:name w:val="annotation text"/>
    <w:basedOn w:val="Normal"/>
    <w:link w:val="CommentTextChar"/>
    <w:uiPriority w:val="99"/>
    <w:rsid w:val="00BE1EF6"/>
    <w:rPr>
      <w:szCs w:val="20"/>
    </w:rPr>
  </w:style>
  <w:style w:type="paragraph" w:styleId="CommentSubject">
    <w:name w:val="annotation subject"/>
    <w:basedOn w:val="CommentText"/>
    <w:next w:val="CommentText"/>
    <w:link w:val="CommentSubjectChar"/>
    <w:rsid w:val="00BE1EF6"/>
    <w:rPr>
      <w:b/>
      <w:bCs/>
    </w:rPr>
  </w:style>
  <w:style w:type="paragraph" w:customStyle="1" w:styleId="Default">
    <w:name w:val="Default"/>
    <w:rsid w:val="007E6799"/>
    <w:pPr>
      <w:autoSpaceDE w:val="0"/>
      <w:autoSpaceDN w:val="0"/>
      <w:adjustRightInd w:val="0"/>
    </w:pPr>
    <w:rPr>
      <w:rFonts w:ascii="Arial" w:eastAsia="Batang" w:hAnsi="Arial" w:cs="Arial"/>
      <w:color w:val="000000"/>
      <w:sz w:val="24"/>
      <w:szCs w:val="24"/>
      <w:lang w:eastAsia="ja-JP"/>
    </w:rPr>
  </w:style>
  <w:style w:type="character" w:customStyle="1" w:styleId="CharChar2">
    <w:name w:val="Char Char2"/>
    <w:rsid w:val="007E6799"/>
    <w:rPr>
      <w:rFonts w:ascii="Arial" w:hAnsi="Arial"/>
      <w:lang w:val="en-US" w:eastAsia="en-US" w:bidi="ar-SA"/>
    </w:rPr>
  </w:style>
  <w:style w:type="paragraph" w:styleId="TOC2">
    <w:name w:val="toc 2"/>
    <w:basedOn w:val="Normal"/>
    <w:next w:val="Normal"/>
    <w:autoRedefine/>
    <w:uiPriority w:val="39"/>
    <w:qFormat/>
    <w:rsid w:val="00EE0D83"/>
    <w:pPr>
      <w:tabs>
        <w:tab w:val="left" w:pos="1985"/>
        <w:tab w:val="right" w:leader="dot" w:pos="9498"/>
      </w:tabs>
      <w:ind w:left="200" w:right="-143"/>
    </w:pPr>
    <w:rPr>
      <w:rFonts w:asciiTheme="minorHAnsi" w:hAnsiTheme="minorHAnsi"/>
      <w:smallCaps/>
      <w:szCs w:val="20"/>
    </w:rPr>
  </w:style>
  <w:style w:type="paragraph" w:styleId="TOC1">
    <w:name w:val="toc 1"/>
    <w:basedOn w:val="Normal"/>
    <w:next w:val="Normal"/>
    <w:autoRedefine/>
    <w:uiPriority w:val="39"/>
    <w:qFormat/>
    <w:rsid w:val="007854A1"/>
    <w:pPr>
      <w:tabs>
        <w:tab w:val="left" w:pos="426"/>
        <w:tab w:val="right" w:leader="dot" w:pos="9498"/>
      </w:tabs>
      <w:spacing w:before="120" w:after="120"/>
      <w:ind w:left="426" w:right="-143" w:hanging="426"/>
    </w:pPr>
    <w:rPr>
      <w:rFonts w:cs="Arial"/>
      <w:b/>
      <w:bCs/>
      <w:caps/>
      <w:noProof/>
      <w:szCs w:val="20"/>
    </w:rPr>
  </w:style>
  <w:style w:type="paragraph" w:customStyle="1" w:styleId="Indicators">
    <w:name w:val="Indicators"/>
    <w:basedOn w:val="Normal"/>
    <w:link w:val="IndicatorsChar"/>
    <w:rsid w:val="00E7796E"/>
    <w:pPr>
      <w:spacing w:before="120"/>
      <w:ind w:left="284" w:right="170"/>
    </w:pPr>
    <w:rPr>
      <w:szCs w:val="20"/>
    </w:rPr>
  </w:style>
  <w:style w:type="character" w:customStyle="1" w:styleId="IndicatorsChar">
    <w:name w:val="Indicators Char"/>
    <w:link w:val="Indicators"/>
    <w:rsid w:val="00E7796E"/>
    <w:rPr>
      <w:rFonts w:ascii="Arial" w:hAnsi="Arial"/>
      <w:lang w:val="en-US" w:eastAsia="en-US" w:bidi="ar-SA"/>
    </w:rPr>
  </w:style>
  <w:style w:type="paragraph" w:customStyle="1" w:styleId="DecisionInvitingPara">
    <w:name w:val="Decision Inviting Para."/>
    <w:basedOn w:val="Normal"/>
    <w:link w:val="DecisionInvitingParaChar"/>
    <w:rsid w:val="00222A8D"/>
    <w:pPr>
      <w:spacing w:after="120" w:line="260" w:lineRule="exact"/>
      <w:ind w:left="5534"/>
    </w:pPr>
    <w:rPr>
      <w:i/>
      <w:szCs w:val="20"/>
    </w:rPr>
  </w:style>
  <w:style w:type="paragraph" w:customStyle="1" w:styleId="preparedby">
    <w:name w:val="prepared by"/>
    <w:basedOn w:val="Normal"/>
    <w:next w:val="Normal"/>
    <w:rsid w:val="00222A8D"/>
    <w:pPr>
      <w:spacing w:after="480" w:line="260" w:lineRule="exact"/>
      <w:ind w:left="1021"/>
    </w:pPr>
    <w:rPr>
      <w:i/>
      <w:szCs w:val="20"/>
    </w:rPr>
  </w:style>
  <w:style w:type="paragraph" w:customStyle="1" w:styleId="Documenttitle">
    <w:name w:val="Document title"/>
    <w:basedOn w:val="Normal"/>
    <w:rsid w:val="00222A8D"/>
    <w:pPr>
      <w:spacing w:before="1200" w:after="120" w:line="260" w:lineRule="exact"/>
      <w:ind w:left="1021"/>
    </w:pPr>
    <w:rPr>
      <w:b/>
      <w:caps/>
      <w:szCs w:val="20"/>
    </w:rPr>
  </w:style>
  <w:style w:type="paragraph" w:customStyle="1" w:styleId="MeetinglanguageDate">
    <w:name w:val="Meeting language &amp; Date"/>
    <w:basedOn w:val="Normal"/>
    <w:next w:val="Meetingtitle"/>
    <w:rsid w:val="00222A8D"/>
    <w:pPr>
      <w:spacing w:after="1680" w:line="160" w:lineRule="exact"/>
      <w:ind w:left="1021"/>
      <w:contextualSpacing/>
      <w:jc w:val="right"/>
    </w:pPr>
    <w:rPr>
      <w:rFonts w:ascii="Arial Black" w:hAnsi="Arial Black"/>
      <w:b/>
      <w:caps/>
      <w:sz w:val="15"/>
      <w:szCs w:val="20"/>
      <w:lang w:val="fr-FR"/>
    </w:rPr>
  </w:style>
  <w:style w:type="paragraph" w:customStyle="1" w:styleId="Language">
    <w:name w:val="Language"/>
    <w:basedOn w:val="Normal"/>
    <w:next w:val="Normal"/>
    <w:autoRedefine/>
    <w:rsid w:val="00222A8D"/>
    <w:pPr>
      <w:spacing w:after="120" w:line="340" w:lineRule="atLeast"/>
      <w:ind w:left="1021"/>
      <w:jc w:val="right"/>
    </w:pPr>
    <w:rPr>
      <w:b/>
      <w:caps/>
      <w:sz w:val="40"/>
      <w:szCs w:val="20"/>
      <w:lang w:val="pt-BR"/>
    </w:rPr>
  </w:style>
  <w:style w:type="paragraph" w:customStyle="1" w:styleId="MeetingCode">
    <w:name w:val="Meeting Code"/>
    <w:basedOn w:val="MeetinglanguageDate"/>
    <w:rsid w:val="00222A8D"/>
    <w:pPr>
      <w:spacing w:before="300" w:after="0"/>
    </w:pPr>
  </w:style>
  <w:style w:type="paragraph" w:customStyle="1" w:styleId="Meetingtitle">
    <w:name w:val="Meeting title"/>
    <w:basedOn w:val="Normal"/>
    <w:next w:val="Sessiontitle"/>
    <w:rsid w:val="00222A8D"/>
    <w:pPr>
      <w:spacing w:after="360" w:line="336" w:lineRule="exact"/>
      <w:ind w:left="1021"/>
    </w:pPr>
    <w:rPr>
      <w:b/>
      <w:sz w:val="28"/>
      <w:szCs w:val="20"/>
      <w:lang w:val="fr-FR"/>
    </w:rPr>
  </w:style>
  <w:style w:type="paragraph" w:customStyle="1" w:styleId="Sessiontitle">
    <w:name w:val="Session title"/>
    <w:basedOn w:val="Meetingtitle"/>
    <w:next w:val="Meetingdateplace"/>
    <w:rsid w:val="00222A8D"/>
    <w:pPr>
      <w:spacing w:after="0"/>
    </w:pPr>
    <w:rPr>
      <w:sz w:val="24"/>
    </w:rPr>
  </w:style>
  <w:style w:type="paragraph" w:customStyle="1" w:styleId="Meetingdateplace">
    <w:name w:val="Meeting date &amp; place"/>
    <w:basedOn w:val="Sessiontitle"/>
    <w:next w:val="Documenttitle"/>
    <w:rsid w:val="00222A8D"/>
    <w:rPr>
      <w:lang w:val="en-US"/>
    </w:rPr>
  </w:style>
  <w:style w:type="character" w:customStyle="1" w:styleId="CharChar3">
    <w:name w:val="Char Char3"/>
    <w:rsid w:val="009100BA"/>
    <w:rPr>
      <w:rFonts w:ascii="Arial" w:hAnsi="Arial"/>
      <w:lang w:val="en-US" w:eastAsia="en-US" w:bidi="ar-SA"/>
    </w:rPr>
  </w:style>
  <w:style w:type="paragraph" w:styleId="BlockText">
    <w:name w:val="Block Text"/>
    <w:basedOn w:val="Normal"/>
    <w:rsid w:val="009100BA"/>
    <w:pPr>
      <w:spacing w:before="60" w:after="60"/>
      <w:ind w:left="266" w:right="142"/>
    </w:pPr>
    <w:rPr>
      <w:sz w:val="22"/>
      <w:szCs w:val="20"/>
    </w:rPr>
  </w:style>
  <w:style w:type="paragraph" w:customStyle="1" w:styleId="BoxText1">
    <w:name w:val="Box Text1"/>
    <w:basedOn w:val="Normal"/>
    <w:rsid w:val="009100BA"/>
    <w:pPr>
      <w:ind w:left="284"/>
    </w:pPr>
    <w:rPr>
      <w:snapToGrid w:val="0"/>
      <w:sz w:val="22"/>
      <w:szCs w:val="20"/>
    </w:rPr>
  </w:style>
  <w:style w:type="paragraph" w:customStyle="1" w:styleId="Normal1">
    <w:name w:val="Normal+1"/>
    <w:basedOn w:val="Normal"/>
    <w:next w:val="Normal"/>
    <w:rsid w:val="00191E10"/>
    <w:pPr>
      <w:autoSpaceDE w:val="0"/>
      <w:autoSpaceDN w:val="0"/>
      <w:adjustRightInd w:val="0"/>
    </w:pPr>
  </w:style>
  <w:style w:type="paragraph" w:styleId="NormalWeb">
    <w:name w:val="Normal (Web)"/>
    <w:basedOn w:val="Normal"/>
    <w:uiPriority w:val="99"/>
    <w:rsid w:val="00EE4CDE"/>
    <w:pPr>
      <w:spacing w:before="100" w:beforeAutospacing="1" w:after="100" w:afterAutospacing="1"/>
    </w:pPr>
    <w:rPr>
      <w:rFonts w:cs="Arial"/>
      <w:sz w:val="18"/>
      <w:szCs w:val="18"/>
    </w:rPr>
  </w:style>
  <w:style w:type="paragraph" w:styleId="BodyText2">
    <w:name w:val="Body Text 2"/>
    <w:basedOn w:val="Normal"/>
    <w:link w:val="BodyText2Char"/>
    <w:rsid w:val="00EE4CDE"/>
    <w:pPr>
      <w:spacing w:after="120" w:line="480" w:lineRule="auto"/>
    </w:pPr>
  </w:style>
  <w:style w:type="character" w:customStyle="1" w:styleId="CharChar4">
    <w:name w:val="Char Char4"/>
    <w:rsid w:val="00027DD5"/>
    <w:rPr>
      <w:rFonts w:ascii="Arial" w:hAnsi="Arial"/>
      <w:lang w:val="en-US" w:eastAsia="en-US" w:bidi="ar-SA"/>
    </w:rPr>
  </w:style>
  <w:style w:type="paragraph" w:styleId="ListParagraph">
    <w:name w:val="List Paragraph"/>
    <w:basedOn w:val="Normal"/>
    <w:uiPriority w:val="34"/>
    <w:qFormat/>
    <w:rsid w:val="003071E6"/>
    <w:pPr>
      <w:ind w:left="720"/>
    </w:pPr>
    <w:rPr>
      <w:szCs w:val="20"/>
    </w:rPr>
  </w:style>
  <w:style w:type="character" w:styleId="FollowedHyperlink">
    <w:name w:val="FollowedHyperlink"/>
    <w:rsid w:val="009E4B99"/>
    <w:rPr>
      <w:color w:val="606420"/>
      <w:u w:val="single"/>
    </w:rPr>
  </w:style>
  <w:style w:type="paragraph" w:customStyle="1" w:styleId="Meetingplacedate">
    <w:name w:val="Meeting place &amp; date"/>
    <w:basedOn w:val="Sessiontitle"/>
    <w:next w:val="Documenttitle"/>
    <w:rsid w:val="00862E39"/>
    <w:rPr>
      <w:lang w:val="en-US"/>
    </w:rPr>
  </w:style>
  <w:style w:type="character" w:customStyle="1" w:styleId="CharChar6">
    <w:name w:val="Char Char6"/>
    <w:rsid w:val="00B767D6"/>
    <w:rPr>
      <w:rFonts w:ascii="Arial" w:hAnsi="Arial"/>
      <w:lang w:val="en-US" w:eastAsia="en-US" w:bidi="ar-SA"/>
    </w:rPr>
  </w:style>
  <w:style w:type="character" w:customStyle="1" w:styleId="Novruzova">
    <w:name w:val="Novruzova"/>
    <w:semiHidden/>
    <w:rsid w:val="00E774BF"/>
    <w:rPr>
      <w:rFonts w:ascii="Arial" w:hAnsi="Arial" w:cs="Arial"/>
      <w:color w:val="000080"/>
      <w:sz w:val="20"/>
      <w:szCs w:val="20"/>
    </w:rPr>
  </w:style>
  <w:style w:type="character" w:customStyle="1" w:styleId="description">
    <w:name w:val="description"/>
    <w:basedOn w:val="DefaultParagraphFont"/>
    <w:rsid w:val="008A7EEB"/>
  </w:style>
  <w:style w:type="paragraph" w:customStyle="1" w:styleId="FreeFormA">
    <w:name w:val="Free Form A"/>
    <w:rsid w:val="003214B5"/>
    <w:rPr>
      <w:rFonts w:ascii="Helvetica" w:eastAsia="ヒラギノ角ゴ Pro W3" w:hAnsi="Helvetica"/>
      <w:color w:val="000000"/>
      <w:sz w:val="24"/>
    </w:rPr>
  </w:style>
  <w:style w:type="paragraph" w:customStyle="1" w:styleId="ONUME">
    <w:name w:val="ONUM E"/>
    <w:basedOn w:val="BodyText"/>
    <w:link w:val="ONUMEChar"/>
    <w:rsid w:val="00042826"/>
    <w:pPr>
      <w:spacing w:after="220"/>
    </w:pPr>
    <w:rPr>
      <w:rFonts w:eastAsia="SimSun" w:cs="Arial"/>
      <w:lang w:eastAsia="zh-CN"/>
    </w:rPr>
  </w:style>
  <w:style w:type="paragraph" w:customStyle="1" w:styleId="Char">
    <w:name w:val="Char 字元 字元"/>
    <w:basedOn w:val="Normal"/>
    <w:rsid w:val="00C129E2"/>
    <w:pPr>
      <w:spacing w:after="160" w:line="240" w:lineRule="exact"/>
    </w:pPr>
    <w:rPr>
      <w:rFonts w:ascii="Verdana" w:eastAsia="PMingLiU" w:hAnsi="Verdana"/>
      <w:szCs w:val="20"/>
    </w:rPr>
  </w:style>
  <w:style w:type="character" w:customStyle="1" w:styleId="underline">
    <w:name w:val="underline"/>
    <w:rsid w:val="00C129E2"/>
    <w:rPr>
      <w:u w:val="single"/>
    </w:rPr>
  </w:style>
  <w:style w:type="paragraph" w:customStyle="1" w:styleId="FreeForm">
    <w:name w:val="Free Form"/>
    <w:rsid w:val="009336F3"/>
    <w:rPr>
      <w:rFonts w:eastAsia="ヒラギノ角ゴ Pro W3"/>
      <w:color w:val="000000"/>
    </w:rPr>
  </w:style>
  <w:style w:type="paragraph" w:customStyle="1" w:styleId="Heading2A">
    <w:name w:val="Heading 2 A"/>
    <w:next w:val="Normal"/>
    <w:rsid w:val="009336F3"/>
    <w:pPr>
      <w:keepNext/>
      <w:tabs>
        <w:tab w:val="left" w:pos="567"/>
        <w:tab w:val="right" w:pos="9072"/>
      </w:tabs>
      <w:ind w:left="1701" w:hanging="1701"/>
      <w:outlineLvl w:val="1"/>
    </w:pPr>
    <w:rPr>
      <w:rFonts w:ascii="Arial Bold" w:eastAsia="ヒラギノ角ゴ Pro W3" w:hAnsi="Arial Bold"/>
      <w:color w:val="000000"/>
      <w:sz w:val="22"/>
    </w:rPr>
  </w:style>
  <w:style w:type="character" w:customStyle="1" w:styleId="FootnoteTextChar">
    <w:name w:val="Footnote Text Char"/>
    <w:link w:val="FootnoteText"/>
    <w:locked/>
    <w:rsid w:val="00415453"/>
    <w:rPr>
      <w:lang w:val="en-US" w:eastAsia="en-US" w:bidi="ar-SA"/>
    </w:rPr>
  </w:style>
  <w:style w:type="paragraph" w:customStyle="1" w:styleId="Normal-Header">
    <w:name w:val="Normal-Header"/>
    <w:rsid w:val="008B6ED6"/>
    <w:rPr>
      <w:rFonts w:ascii="Arial" w:hAnsi="Arial"/>
      <w:sz w:val="16"/>
    </w:rPr>
  </w:style>
  <w:style w:type="character" w:styleId="PlaceholderText">
    <w:name w:val="Placeholder Text"/>
    <w:basedOn w:val="DefaultParagraphFont"/>
    <w:uiPriority w:val="99"/>
    <w:semiHidden/>
    <w:rsid w:val="00400A45"/>
    <w:rPr>
      <w:color w:val="808080"/>
    </w:rPr>
  </w:style>
  <w:style w:type="character" w:customStyle="1" w:styleId="Style5">
    <w:name w:val="Style5"/>
    <w:basedOn w:val="DefaultParagraphFont"/>
    <w:uiPriority w:val="1"/>
    <w:rsid w:val="00400A45"/>
    <w:rPr>
      <w:rFonts w:asciiTheme="minorHAnsi" w:hAnsiTheme="minorHAnsi"/>
      <w:sz w:val="20"/>
    </w:rPr>
  </w:style>
  <w:style w:type="paragraph" w:styleId="Revision">
    <w:name w:val="Revision"/>
    <w:hidden/>
    <w:uiPriority w:val="99"/>
    <w:semiHidden/>
    <w:rsid w:val="00A93FCA"/>
    <w:rPr>
      <w:rFonts w:ascii="Arial" w:hAnsi="Arial"/>
      <w:szCs w:val="24"/>
    </w:rPr>
  </w:style>
  <w:style w:type="character" w:customStyle="1" w:styleId="FooterChar">
    <w:name w:val="Footer Char"/>
    <w:basedOn w:val="DefaultParagraphFont"/>
    <w:link w:val="Footer"/>
    <w:uiPriority w:val="99"/>
    <w:rsid w:val="00FF768F"/>
    <w:rPr>
      <w:rFonts w:ascii="Arial" w:hAnsi="Arial"/>
      <w:szCs w:val="24"/>
    </w:rPr>
  </w:style>
  <w:style w:type="paragraph" w:styleId="TOCHeading">
    <w:name w:val="TOC Heading"/>
    <w:basedOn w:val="Heading1"/>
    <w:next w:val="Normal"/>
    <w:uiPriority w:val="39"/>
    <w:unhideWhenUsed/>
    <w:qFormat/>
    <w:rsid w:val="001562E0"/>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eastAsia="ja-JP"/>
    </w:rPr>
  </w:style>
  <w:style w:type="paragraph" w:styleId="TOC3">
    <w:name w:val="toc 3"/>
    <w:basedOn w:val="Normal"/>
    <w:next w:val="Normal"/>
    <w:autoRedefine/>
    <w:uiPriority w:val="39"/>
    <w:unhideWhenUsed/>
    <w:qFormat/>
    <w:rsid w:val="0086013F"/>
    <w:pPr>
      <w:tabs>
        <w:tab w:val="left" w:pos="1600"/>
        <w:tab w:val="left" w:pos="3076"/>
        <w:tab w:val="right" w:leader="dot" w:pos="9498"/>
      </w:tabs>
      <w:ind w:left="1560" w:right="-143" w:hanging="1160"/>
    </w:pPr>
    <w:rPr>
      <w:rFonts w:asciiTheme="minorHAnsi" w:hAnsiTheme="minorHAnsi"/>
      <w:i/>
      <w:iCs/>
      <w:noProof/>
      <w:szCs w:val="20"/>
      <w:lang w:val="ru-RU"/>
    </w:rPr>
  </w:style>
  <w:style w:type="paragraph" w:styleId="TOC4">
    <w:name w:val="toc 4"/>
    <w:basedOn w:val="Normal"/>
    <w:next w:val="Normal"/>
    <w:autoRedefine/>
    <w:rsid w:val="007F6F24"/>
    <w:pPr>
      <w:ind w:left="600"/>
    </w:pPr>
    <w:rPr>
      <w:rFonts w:asciiTheme="minorHAnsi" w:hAnsiTheme="minorHAnsi"/>
      <w:sz w:val="18"/>
      <w:szCs w:val="18"/>
    </w:rPr>
  </w:style>
  <w:style w:type="paragraph" w:styleId="TOC5">
    <w:name w:val="toc 5"/>
    <w:basedOn w:val="Normal"/>
    <w:next w:val="Normal"/>
    <w:autoRedefine/>
    <w:rsid w:val="007F6F24"/>
    <w:pPr>
      <w:ind w:left="800"/>
    </w:pPr>
    <w:rPr>
      <w:rFonts w:asciiTheme="minorHAnsi" w:hAnsiTheme="minorHAnsi"/>
      <w:sz w:val="18"/>
      <w:szCs w:val="18"/>
    </w:rPr>
  </w:style>
  <w:style w:type="paragraph" w:styleId="TOC6">
    <w:name w:val="toc 6"/>
    <w:basedOn w:val="Normal"/>
    <w:next w:val="Normal"/>
    <w:autoRedefine/>
    <w:rsid w:val="007F6F24"/>
    <w:pPr>
      <w:ind w:left="1000"/>
    </w:pPr>
    <w:rPr>
      <w:rFonts w:asciiTheme="minorHAnsi" w:hAnsiTheme="minorHAnsi"/>
      <w:sz w:val="18"/>
      <w:szCs w:val="18"/>
    </w:rPr>
  </w:style>
  <w:style w:type="paragraph" w:styleId="TOC7">
    <w:name w:val="toc 7"/>
    <w:basedOn w:val="Normal"/>
    <w:next w:val="Normal"/>
    <w:autoRedefine/>
    <w:rsid w:val="007F6F24"/>
    <w:pPr>
      <w:ind w:left="1200"/>
    </w:pPr>
    <w:rPr>
      <w:rFonts w:asciiTheme="minorHAnsi" w:hAnsiTheme="minorHAnsi"/>
      <w:sz w:val="18"/>
      <w:szCs w:val="18"/>
    </w:rPr>
  </w:style>
  <w:style w:type="paragraph" w:styleId="TOC8">
    <w:name w:val="toc 8"/>
    <w:basedOn w:val="Normal"/>
    <w:next w:val="Normal"/>
    <w:autoRedefine/>
    <w:rsid w:val="007F6F24"/>
    <w:pPr>
      <w:ind w:left="1400"/>
    </w:pPr>
    <w:rPr>
      <w:rFonts w:asciiTheme="minorHAnsi" w:hAnsiTheme="minorHAnsi"/>
      <w:sz w:val="18"/>
      <w:szCs w:val="18"/>
    </w:rPr>
  </w:style>
  <w:style w:type="paragraph" w:styleId="TOC9">
    <w:name w:val="toc 9"/>
    <w:basedOn w:val="Normal"/>
    <w:next w:val="Normal"/>
    <w:autoRedefine/>
    <w:rsid w:val="007F6F24"/>
    <w:pPr>
      <w:ind w:left="1600"/>
    </w:pPr>
    <w:rPr>
      <w:rFonts w:asciiTheme="minorHAnsi" w:hAnsiTheme="minorHAnsi"/>
      <w:sz w:val="18"/>
      <w:szCs w:val="18"/>
    </w:rPr>
  </w:style>
  <w:style w:type="character" w:customStyle="1" w:styleId="Heading2Char">
    <w:name w:val="Heading 2 Char"/>
    <w:link w:val="Heading2"/>
    <w:rsid w:val="007F6F24"/>
    <w:rPr>
      <w:rFonts w:ascii="Arial" w:hAnsi="Arial" w:cs="Arial"/>
      <w:b/>
      <w:bCs/>
      <w:iCs/>
      <w:sz w:val="22"/>
      <w:szCs w:val="28"/>
    </w:rPr>
  </w:style>
  <w:style w:type="character" w:customStyle="1" w:styleId="DecisionInvitingParaChar">
    <w:name w:val="Decision Inviting Para. Char"/>
    <w:link w:val="DecisionInvitingPara"/>
    <w:locked/>
    <w:rsid w:val="00FE0B36"/>
    <w:rPr>
      <w:rFonts w:ascii="Arial" w:hAnsi="Arial"/>
      <w:i/>
    </w:rPr>
  </w:style>
  <w:style w:type="character" w:customStyle="1" w:styleId="HeaderChar">
    <w:name w:val="Header Char"/>
    <w:basedOn w:val="DefaultParagraphFont"/>
    <w:link w:val="Header"/>
    <w:rsid w:val="00BF01B2"/>
    <w:rPr>
      <w:rFonts w:ascii="Arial" w:hAnsi="Arial"/>
      <w:szCs w:val="24"/>
    </w:rPr>
  </w:style>
  <w:style w:type="paragraph" w:styleId="PlainText">
    <w:name w:val="Plain Text"/>
    <w:basedOn w:val="Normal"/>
    <w:link w:val="PlainTextChar"/>
    <w:uiPriority w:val="99"/>
    <w:rsid w:val="00E023E5"/>
    <w:rPr>
      <w:rFonts w:ascii="Courier New" w:eastAsia="SimSun" w:hAnsi="Courier New" w:cs="Courier New"/>
      <w:color w:val="0000FF"/>
      <w:szCs w:val="20"/>
      <w:lang w:eastAsia="zh-CN"/>
    </w:rPr>
  </w:style>
  <w:style w:type="character" w:customStyle="1" w:styleId="PlainTextChar">
    <w:name w:val="Plain Text Char"/>
    <w:basedOn w:val="DefaultParagraphFont"/>
    <w:link w:val="PlainText"/>
    <w:uiPriority w:val="99"/>
    <w:rsid w:val="00E023E5"/>
    <w:rPr>
      <w:rFonts w:ascii="Courier New" w:eastAsia="SimSun" w:hAnsi="Courier New" w:cs="Courier New"/>
      <w:color w:val="0000FF"/>
      <w:lang w:eastAsia="zh-CN"/>
    </w:rPr>
  </w:style>
  <w:style w:type="character" w:customStyle="1" w:styleId="Heading3Char">
    <w:name w:val="Heading 3 Char"/>
    <w:basedOn w:val="DefaultParagraphFont"/>
    <w:link w:val="Heading3"/>
    <w:rsid w:val="004B5923"/>
    <w:rPr>
      <w:rFonts w:ascii="Arial" w:eastAsia="SimSun" w:hAnsi="Arial" w:cs="Arial"/>
      <w:bCs/>
      <w:sz w:val="22"/>
      <w:szCs w:val="26"/>
      <w:u w:val="single"/>
    </w:rPr>
  </w:style>
  <w:style w:type="character" w:customStyle="1" w:styleId="ONUMEChar">
    <w:name w:val="ONUM E Char"/>
    <w:link w:val="ONUME"/>
    <w:locked/>
    <w:rsid w:val="009A04DE"/>
    <w:rPr>
      <w:rFonts w:ascii="Arial" w:eastAsia="SimSun" w:hAnsi="Arial" w:cs="Arial"/>
      <w:lang w:eastAsia="zh-CN"/>
    </w:rPr>
  </w:style>
  <w:style w:type="paragraph" w:customStyle="1" w:styleId="StyleHeading3BoldNounderline">
    <w:name w:val="Style Heading 3 + Bold No underline"/>
    <w:basedOn w:val="Heading3"/>
    <w:rsid w:val="00FA0C5A"/>
    <w:rPr>
      <w:i/>
      <w:u w:val="none"/>
    </w:rPr>
  </w:style>
  <w:style w:type="paragraph" w:customStyle="1" w:styleId="Style1">
    <w:name w:val="Style1"/>
    <w:basedOn w:val="Normal"/>
    <w:qFormat/>
    <w:rsid w:val="007852E3"/>
    <w:pPr>
      <w:numPr>
        <w:numId w:val="2"/>
      </w:numPr>
    </w:pPr>
  </w:style>
  <w:style w:type="paragraph" w:styleId="Salutation">
    <w:name w:val="Salutation"/>
    <w:basedOn w:val="Normal"/>
    <w:next w:val="Normal"/>
    <w:link w:val="SalutationChar"/>
    <w:rsid w:val="00F54CA4"/>
    <w:rPr>
      <w:rFonts w:cs="Arial"/>
      <w:sz w:val="22"/>
      <w:szCs w:val="20"/>
    </w:rPr>
  </w:style>
  <w:style w:type="character" w:customStyle="1" w:styleId="SalutationChar">
    <w:name w:val="Salutation Char"/>
    <w:basedOn w:val="DefaultParagraphFont"/>
    <w:link w:val="Salutation"/>
    <w:rsid w:val="00F54CA4"/>
    <w:rPr>
      <w:rFonts w:ascii="Arial" w:hAnsi="Arial" w:cs="Arial"/>
      <w:sz w:val="22"/>
    </w:rPr>
  </w:style>
  <w:style w:type="paragraph" w:styleId="Signature">
    <w:name w:val="Signature"/>
    <w:basedOn w:val="Normal"/>
    <w:link w:val="SignatureChar"/>
    <w:rsid w:val="00F54CA4"/>
    <w:pPr>
      <w:ind w:left="5250"/>
    </w:pPr>
    <w:rPr>
      <w:rFonts w:cs="Arial"/>
      <w:sz w:val="22"/>
      <w:szCs w:val="20"/>
    </w:rPr>
  </w:style>
  <w:style w:type="character" w:customStyle="1" w:styleId="SignatureChar">
    <w:name w:val="Signature Char"/>
    <w:basedOn w:val="DefaultParagraphFont"/>
    <w:link w:val="Signature"/>
    <w:rsid w:val="00F54CA4"/>
    <w:rPr>
      <w:rFonts w:ascii="Arial" w:hAnsi="Arial" w:cs="Arial"/>
      <w:sz w:val="22"/>
    </w:rPr>
  </w:style>
  <w:style w:type="paragraph" w:styleId="EndnoteText">
    <w:name w:val="endnote text"/>
    <w:basedOn w:val="Normal"/>
    <w:link w:val="EndnoteTextChar"/>
    <w:rsid w:val="00F54CA4"/>
    <w:rPr>
      <w:rFonts w:cs="Arial"/>
      <w:sz w:val="18"/>
      <w:szCs w:val="20"/>
    </w:rPr>
  </w:style>
  <w:style w:type="character" w:customStyle="1" w:styleId="EndnoteTextChar">
    <w:name w:val="Endnote Text Char"/>
    <w:basedOn w:val="DefaultParagraphFont"/>
    <w:link w:val="EndnoteText"/>
    <w:rsid w:val="00F54CA4"/>
    <w:rPr>
      <w:rFonts w:ascii="Arial" w:hAnsi="Arial" w:cs="Arial"/>
      <w:sz w:val="18"/>
    </w:rPr>
  </w:style>
  <w:style w:type="paragraph" w:styleId="Caption">
    <w:name w:val="caption"/>
    <w:basedOn w:val="Normal"/>
    <w:next w:val="Normal"/>
    <w:qFormat/>
    <w:rsid w:val="00F54CA4"/>
    <w:rPr>
      <w:rFonts w:cs="Arial"/>
      <w:b/>
      <w:bCs/>
      <w:sz w:val="18"/>
      <w:szCs w:val="20"/>
    </w:rPr>
  </w:style>
  <w:style w:type="paragraph" w:customStyle="1" w:styleId="ONUMFS">
    <w:name w:val="ONUM FS"/>
    <w:basedOn w:val="BodyText"/>
    <w:rsid w:val="00F54CA4"/>
    <w:pPr>
      <w:numPr>
        <w:numId w:val="3"/>
      </w:numPr>
      <w:spacing w:after="220"/>
    </w:pPr>
    <w:rPr>
      <w:rFonts w:cs="Arial"/>
      <w:sz w:val="22"/>
    </w:rPr>
  </w:style>
  <w:style w:type="paragraph" w:styleId="ListNumber">
    <w:name w:val="List Number"/>
    <w:basedOn w:val="Normal"/>
    <w:rsid w:val="00F54CA4"/>
    <w:pPr>
      <w:numPr>
        <w:numId w:val="4"/>
      </w:numPr>
    </w:pPr>
    <w:rPr>
      <w:rFonts w:cs="Arial"/>
      <w:sz w:val="22"/>
      <w:szCs w:val="20"/>
    </w:rPr>
  </w:style>
  <w:style w:type="character" w:customStyle="1" w:styleId="BalloonTextChar">
    <w:name w:val="Balloon Text Char"/>
    <w:basedOn w:val="DefaultParagraphFont"/>
    <w:link w:val="BalloonText"/>
    <w:rsid w:val="00F54CA4"/>
    <w:rPr>
      <w:rFonts w:ascii="Tahoma" w:hAnsi="Tahoma" w:cs="Tahoma"/>
      <w:sz w:val="16"/>
      <w:szCs w:val="16"/>
    </w:rPr>
  </w:style>
  <w:style w:type="character" w:customStyle="1" w:styleId="st">
    <w:name w:val="st"/>
    <w:basedOn w:val="DefaultParagraphFont"/>
    <w:rsid w:val="00F54CA4"/>
  </w:style>
  <w:style w:type="character" w:customStyle="1" w:styleId="CommentTextChar">
    <w:name w:val="Comment Text Char"/>
    <w:basedOn w:val="DefaultParagraphFont"/>
    <w:link w:val="CommentText"/>
    <w:uiPriority w:val="99"/>
    <w:rsid w:val="00F54CA4"/>
    <w:rPr>
      <w:rFonts w:ascii="Arial" w:hAnsi="Arial"/>
    </w:rPr>
  </w:style>
  <w:style w:type="character" w:customStyle="1" w:styleId="CommentSubjectChar">
    <w:name w:val="Comment Subject Char"/>
    <w:basedOn w:val="CommentTextChar"/>
    <w:link w:val="CommentSubject"/>
    <w:rsid w:val="00F54CA4"/>
    <w:rPr>
      <w:rFonts w:ascii="Arial" w:hAnsi="Arial"/>
      <w:b/>
      <w:bCs/>
    </w:rPr>
  </w:style>
  <w:style w:type="paragraph" w:styleId="NoSpacing">
    <w:name w:val="No Spacing"/>
    <w:uiPriority w:val="1"/>
    <w:qFormat/>
    <w:rsid w:val="00E43AF7"/>
    <w:rPr>
      <w:rFonts w:asciiTheme="minorHAnsi" w:eastAsiaTheme="minorHAnsi" w:hAnsiTheme="minorHAnsi" w:cstheme="minorBidi"/>
      <w:sz w:val="22"/>
      <w:szCs w:val="22"/>
    </w:rPr>
  </w:style>
  <w:style w:type="paragraph" w:customStyle="1" w:styleId="CharCharCharChar0">
    <w:name w:val="Char Char Char Char"/>
    <w:basedOn w:val="Normal"/>
    <w:rsid w:val="0063033D"/>
    <w:pPr>
      <w:spacing w:after="160" w:line="240" w:lineRule="exact"/>
    </w:pPr>
    <w:rPr>
      <w:rFonts w:ascii="Verdana" w:hAnsi="Verdana"/>
      <w:szCs w:val="20"/>
      <w:lang w:val="en-GB"/>
    </w:rPr>
  </w:style>
  <w:style w:type="character" w:customStyle="1" w:styleId="CharChar0">
    <w:name w:val="Char Char"/>
    <w:locked/>
    <w:rsid w:val="0063033D"/>
    <w:rPr>
      <w:rFonts w:ascii="Arial" w:hAnsi="Arial" w:cs="Times New Roman"/>
      <w:lang w:val="en-US" w:eastAsia="en-US" w:bidi="ar-SA"/>
    </w:rPr>
  </w:style>
  <w:style w:type="paragraph" w:customStyle="1" w:styleId="CarCar0">
    <w:name w:val="Car Car"/>
    <w:basedOn w:val="Normal"/>
    <w:rsid w:val="0063033D"/>
    <w:pPr>
      <w:spacing w:after="160" w:line="240" w:lineRule="exact"/>
    </w:pPr>
    <w:rPr>
      <w:rFonts w:ascii="Verdana" w:hAnsi="Verdana"/>
      <w:szCs w:val="20"/>
      <w:lang w:val="en-GB"/>
    </w:rPr>
  </w:style>
  <w:style w:type="character" w:customStyle="1" w:styleId="CharChar20">
    <w:name w:val="Char Char2"/>
    <w:rsid w:val="0063033D"/>
    <w:rPr>
      <w:rFonts w:ascii="Arial" w:hAnsi="Arial"/>
      <w:lang w:val="en-US" w:eastAsia="en-US" w:bidi="ar-SA"/>
    </w:rPr>
  </w:style>
  <w:style w:type="character" w:customStyle="1" w:styleId="CharChar30">
    <w:name w:val="Char Char3"/>
    <w:rsid w:val="0063033D"/>
    <w:rPr>
      <w:rFonts w:ascii="Arial" w:hAnsi="Arial"/>
      <w:lang w:val="en-US" w:eastAsia="en-US" w:bidi="ar-SA"/>
    </w:rPr>
  </w:style>
  <w:style w:type="character" w:customStyle="1" w:styleId="CharChar40">
    <w:name w:val="Char Char4"/>
    <w:rsid w:val="0063033D"/>
    <w:rPr>
      <w:rFonts w:ascii="Arial" w:hAnsi="Arial"/>
      <w:lang w:val="en-US" w:eastAsia="en-US" w:bidi="ar-SA"/>
    </w:rPr>
  </w:style>
  <w:style w:type="character" w:customStyle="1" w:styleId="CharChar60">
    <w:name w:val="Char Char6"/>
    <w:rsid w:val="0063033D"/>
    <w:rPr>
      <w:rFonts w:ascii="Arial" w:hAnsi="Arial"/>
      <w:lang w:val="en-US" w:eastAsia="en-US" w:bidi="ar-SA"/>
    </w:rPr>
  </w:style>
  <w:style w:type="paragraph" w:customStyle="1" w:styleId="Char0">
    <w:name w:val="Char 字元 字元"/>
    <w:basedOn w:val="Normal"/>
    <w:rsid w:val="0063033D"/>
    <w:pPr>
      <w:spacing w:after="160" w:line="240" w:lineRule="exact"/>
    </w:pPr>
    <w:rPr>
      <w:rFonts w:ascii="Verdana" w:eastAsia="PMingLiU" w:hAnsi="Verdana"/>
      <w:szCs w:val="20"/>
    </w:rPr>
  </w:style>
  <w:style w:type="character" w:customStyle="1" w:styleId="BodyText2Char">
    <w:name w:val="Body Text 2 Char"/>
    <w:basedOn w:val="DefaultParagraphFont"/>
    <w:link w:val="BodyText2"/>
    <w:rsid w:val="00815ABB"/>
    <w:rPr>
      <w:rFonts w:ascii="Arial" w:hAnsi="Arial"/>
      <w:szCs w:val="24"/>
    </w:rPr>
  </w:style>
  <w:style w:type="paragraph" w:customStyle="1" w:styleId="StyleStyleHeading3ComplexItalicLatin12pt">
    <w:name w:val="Style Style Heading 3 + (Complex) Italic + (Latin) 12 pt"/>
    <w:basedOn w:val="Normal"/>
    <w:link w:val="StyleStyleHeading3ComplexItalicLatin12ptChar"/>
    <w:rsid w:val="00F27486"/>
    <w:pPr>
      <w:keepNext/>
      <w:tabs>
        <w:tab w:val="left" w:pos="1985"/>
      </w:tabs>
      <w:outlineLvl w:val="2"/>
    </w:pPr>
    <w:rPr>
      <w:b/>
      <w:iCs/>
      <w:caps/>
      <w:szCs w:val="22"/>
    </w:rPr>
  </w:style>
  <w:style w:type="character" w:customStyle="1" w:styleId="StyleStyleHeading3ComplexItalicLatin12ptChar">
    <w:name w:val="Style Style Heading 3 + (Complex) Italic + (Latin) 12 pt Char"/>
    <w:basedOn w:val="DefaultParagraphFont"/>
    <w:link w:val="StyleStyleHeading3ComplexItalicLatin12pt"/>
    <w:rsid w:val="00F27486"/>
    <w:rPr>
      <w:rFonts w:ascii="Arial" w:hAnsi="Arial"/>
      <w:b/>
      <w:iCs/>
      <w:caps/>
      <w:szCs w:val="22"/>
    </w:rPr>
  </w:style>
  <w:style w:type="paragraph" w:customStyle="1" w:styleId="Test">
    <w:name w:val="Test"/>
    <w:basedOn w:val="Normal"/>
    <w:qFormat/>
    <w:rsid w:val="00CE4C9D"/>
    <w:pPr>
      <w:numPr>
        <w:numId w:val="9"/>
      </w:numPr>
    </w:pPr>
    <w:rPr>
      <w:rFonts w:eastAsiaTheme="minorHAnsi" w:cs="Arial"/>
      <w:sz w:val="22"/>
      <w:szCs w:val="22"/>
    </w:rPr>
  </w:style>
  <w:style w:type="paragraph" w:customStyle="1" w:styleId="StyleHeading214ptAuto">
    <w:name w:val="Style Heading 2 + 14 pt Auto"/>
    <w:basedOn w:val="Heading2"/>
    <w:rsid w:val="00A87689"/>
    <w:pPr>
      <w:keepNext w:val="0"/>
      <w:widowControl w:val="0"/>
      <w:tabs>
        <w:tab w:val="clear" w:pos="9072"/>
        <w:tab w:val="num" w:pos="567"/>
      </w:tabs>
      <w:spacing w:line="300" w:lineRule="atLeast"/>
      <w:ind w:left="567" w:hanging="567"/>
      <w:jc w:val="center"/>
    </w:pPr>
    <w:rPr>
      <w:rFonts w:ascii="Arial Bold" w:hAnsi="Arial Bold" w:cs="Times New Roman"/>
      <w:caps/>
      <w:sz w:val="24"/>
      <w:lang w:val="en-GB" w:eastAsia="da-DK"/>
    </w:rPr>
  </w:style>
  <w:style w:type="character" w:styleId="Strong">
    <w:name w:val="Strong"/>
    <w:basedOn w:val="DefaultParagraphFont"/>
    <w:uiPriority w:val="22"/>
    <w:qFormat/>
    <w:rsid w:val="000C2991"/>
    <w:rPr>
      <w:b/>
      <w:bCs/>
    </w:rPr>
  </w:style>
  <w:style w:type="paragraph" w:customStyle="1" w:styleId="StyleHeading3ComplexItalic">
    <w:name w:val="Style Heading 3 + (Complex) Italic"/>
    <w:basedOn w:val="Heading3"/>
    <w:link w:val="StyleHeading3ComplexItalicChar"/>
    <w:rsid w:val="00603FB5"/>
    <w:pPr>
      <w:tabs>
        <w:tab w:val="left" w:pos="1985"/>
      </w:tabs>
      <w:spacing w:before="0" w:after="0"/>
    </w:pPr>
    <w:rPr>
      <w:rFonts w:eastAsia="Times New Roman"/>
      <w:b/>
      <w:bCs w:val="0"/>
      <w:iCs/>
      <w:caps/>
      <w:szCs w:val="22"/>
      <w:u w:val="none"/>
    </w:rPr>
  </w:style>
  <w:style w:type="character" w:customStyle="1" w:styleId="StyleHeading3ComplexItalicChar">
    <w:name w:val="Style Heading 3 + (Complex) Italic Char"/>
    <w:link w:val="StyleHeading3ComplexItalic"/>
    <w:rsid w:val="00603FB5"/>
    <w:rPr>
      <w:rFonts w:ascii="Arial" w:hAnsi="Arial" w:cs="Arial"/>
      <w:b/>
      <w:iCs/>
      <w:caps/>
      <w:sz w:val="22"/>
      <w:szCs w:val="22"/>
    </w:rPr>
  </w:style>
  <w:style w:type="character" w:customStyle="1" w:styleId="Heading1Char">
    <w:name w:val="Heading 1 Char"/>
    <w:basedOn w:val="DefaultParagraphFont"/>
    <w:link w:val="Heading1"/>
    <w:rsid w:val="00A44CCE"/>
    <w:rPr>
      <w:rFonts w:ascii="Arial" w:hAnsi="Arial" w:cs="Arial"/>
      <w:b/>
      <w:bCs/>
      <w:kern w:val="32"/>
      <w:sz w:val="22"/>
      <w:szCs w:val="32"/>
    </w:rPr>
  </w:style>
  <w:style w:type="character" w:styleId="EndnoteReference">
    <w:name w:val="endnote reference"/>
    <w:basedOn w:val="DefaultParagraphFont"/>
    <w:uiPriority w:val="99"/>
    <w:unhideWhenUsed/>
    <w:rsid w:val="00D944AE"/>
    <w:rPr>
      <w:vertAlign w:val="superscript"/>
    </w:rPr>
  </w:style>
  <w:style w:type="character" w:styleId="HTMLCite">
    <w:name w:val="HTML Cite"/>
    <w:basedOn w:val="DefaultParagraphFont"/>
    <w:uiPriority w:val="99"/>
    <w:unhideWhenUsed/>
    <w:rsid w:val="00D944AE"/>
    <w:rPr>
      <w:i/>
      <w:iCs/>
    </w:rPr>
  </w:style>
  <w:style w:type="character" w:customStyle="1" w:styleId="Heading4Char">
    <w:name w:val="Heading 4 Char"/>
    <w:basedOn w:val="DefaultParagraphFont"/>
    <w:link w:val="Heading4"/>
    <w:rsid w:val="00123DC4"/>
    <w:rPr>
      <w:rFonts w:ascii="Arial" w:hAnsi="Arial"/>
      <w:b/>
      <w:bCs/>
      <w:sz w:val="28"/>
      <w:szCs w:val="28"/>
    </w:rPr>
  </w:style>
  <w:style w:type="character" w:customStyle="1" w:styleId="BodyTextIndentChar">
    <w:name w:val="Body Text Indent Char"/>
    <w:basedOn w:val="DefaultParagraphFont"/>
    <w:link w:val="BodyTextIndent"/>
    <w:rsid w:val="00123DC4"/>
    <w:rPr>
      <w:rFonts w:ascii="Arial" w:hAnsi="Arial"/>
    </w:rPr>
  </w:style>
  <w:style w:type="paragraph" w:customStyle="1" w:styleId="Endofdocument-Annex">
    <w:name w:val="[End of document - Annex]"/>
    <w:basedOn w:val="Normal"/>
    <w:rsid w:val="00123DC4"/>
    <w:pPr>
      <w:ind w:left="5534"/>
    </w:pPr>
    <w:rPr>
      <w:rFonts w:eastAsia="SimSun" w:cs="Arial"/>
      <w:sz w:val="22"/>
      <w:szCs w:val="20"/>
      <w:lang w:eastAsia="zh-CN"/>
    </w:rPr>
  </w:style>
  <w:style w:type="character" w:customStyle="1" w:styleId="hps">
    <w:name w:val="hps"/>
    <w:basedOn w:val="DefaultParagraphFont"/>
    <w:rsid w:val="00123DC4"/>
  </w:style>
  <w:style w:type="paragraph" w:customStyle="1" w:styleId="Normal-table">
    <w:name w:val="Normal-table"/>
    <w:rsid w:val="008355F0"/>
    <w:rPr>
      <w:rFonts w:ascii="Arial" w:eastAsia="Batang" w:hAnsi="Arial"/>
    </w:rPr>
  </w:style>
  <w:style w:type="paragraph" w:customStyle="1" w:styleId="CharCharCharChar2">
    <w:name w:val="Char Char Char Char2"/>
    <w:basedOn w:val="Normal"/>
    <w:rsid w:val="00DA0522"/>
    <w:pPr>
      <w:spacing w:after="160" w:line="240" w:lineRule="exact"/>
    </w:pPr>
    <w:rPr>
      <w:rFonts w:ascii="Verdana" w:hAnsi="Verdana"/>
      <w:szCs w:val="20"/>
      <w:lang w:val="en-GB"/>
    </w:rPr>
  </w:style>
  <w:style w:type="paragraph" w:customStyle="1" w:styleId="CharCharCharChar1">
    <w:name w:val="Char Char Char Char1"/>
    <w:basedOn w:val="Normal"/>
    <w:rsid w:val="00DA0522"/>
    <w:pPr>
      <w:spacing w:after="160" w:line="240" w:lineRule="exact"/>
    </w:pPr>
    <w:rPr>
      <w:rFonts w:ascii="Verdana" w:hAnsi="Verdana"/>
      <w:szCs w:val="20"/>
      <w:lang w:val="en-GB"/>
    </w:rPr>
  </w:style>
  <w:style w:type="character" w:customStyle="1" w:styleId="CharChar1">
    <w:name w:val="Char Char1"/>
    <w:locked/>
    <w:rsid w:val="00DA0522"/>
    <w:rPr>
      <w:rFonts w:ascii="Arial" w:hAnsi="Arial" w:cs="Times New Roman"/>
      <w:lang w:val="en-US" w:eastAsia="en-US" w:bidi="ar-SA"/>
    </w:rPr>
  </w:style>
  <w:style w:type="paragraph" w:customStyle="1" w:styleId="CarCar1">
    <w:name w:val="Car Car1"/>
    <w:basedOn w:val="Normal"/>
    <w:rsid w:val="00DA0522"/>
    <w:pPr>
      <w:spacing w:after="160" w:line="240" w:lineRule="exact"/>
    </w:pPr>
    <w:rPr>
      <w:rFonts w:ascii="Verdana" w:hAnsi="Verdana"/>
      <w:szCs w:val="20"/>
      <w:lang w:val="en-GB"/>
    </w:rPr>
  </w:style>
  <w:style w:type="character" w:customStyle="1" w:styleId="CharChar21">
    <w:name w:val="Char Char21"/>
    <w:rsid w:val="00DA0522"/>
    <w:rPr>
      <w:rFonts w:ascii="Arial" w:hAnsi="Arial"/>
      <w:lang w:val="en-US" w:eastAsia="en-US" w:bidi="ar-SA"/>
    </w:rPr>
  </w:style>
  <w:style w:type="character" w:customStyle="1" w:styleId="CharChar31">
    <w:name w:val="Char Char31"/>
    <w:rsid w:val="00DA0522"/>
    <w:rPr>
      <w:rFonts w:ascii="Arial" w:hAnsi="Arial"/>
      <w:lang w:val="en-US" w:eastAsia="en-US" w:bidi="ar-SA"/>
    </w:rPr>
  </w:style>
  <w:style w:type="character" w:customStyle="1" w:styleId="CharChar41">
    <w:name w:val="Char Char41"/>
    <w:rsid w:val="00DA0522"/>
    <w:rPr>
      <w:rFonts w:ascii="Arial" w:hAnsi="Arial"/>
      <w:lang w:val="en-US" w:eastAsia="en-US" w:bidi="ar-SA"/>
    </w:rPr>
  </w:style>
  <w:style w:type="character" w:customStyle="1" w:styleId="CharChar61">
    <w:name w:val="Char Char61"/>
    <w:rsid w:val="00DA0522"/>
    <w:rPr>
      <w:rFonts w:ascii="Arial" w:hAnsi="Arial"/>
      <w:lang w:val="en-US" w:eastAsia="en-US" w:bidi="ar-SA"/>
    </w:rPr>
  </w:style>
  <w:style w:type="paragraph" w:customStyle="1" w:styleId="Char1">
    <w:name w:val="Char 字元 字元1"/>
    <w:basedOn w:val="Normal"/>
    <w:rsid w:val="00DA0522"/>
    <w:pPr>
      <w:spacing w:after="160" w:line="240" w:lineRule="exact"/>
    </w:pPr>
    <w:rPr>
      <w:rFonts w:ascii="Verdana" w:eastAsia="PMingLiU" w:hAnsi="Verdana"/>
      <w:szCs w:val="20"/>
    </w:rPr>
  </w:style>
  <w:style w:type="table" w:customStyle="1" w:styleId="TableGrid1">
    <w:name w:val="Table Grid1"/>
    <w:basedOn w:val="TableNormal"/>
    <w:next w:val="TableGrid"/>
    <w:uiPriority w:val="59"/>
    <w:rsid w:val="00DA05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ofdocument">
    <w:name w:val="End of document"/>
    <w:basedOn w:val="Normal"/>
    <w:rsid w:val="00DA0522"/>
    <w:pPr>
      <w:ind w:left="4536"/>
      <w:jc w:val="center"/>
    </w:pPr>
    <w:rPr>
      <w:rFonts w:ascii="Times New Roman" w:hAnsi="Times New Roman"/>
      <w:sz w:val="24"/>
      <w:szCs w:val="20"/>
    </w:rPr>
  </w:style>
  <w:style w:type="character" w:styleId="Emphasis">
    <w:name w:val="Emphasis"/>
    <w:qFormat/>
    <w:rsid w:val="00C6154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annotation text" w:uiPriority="99"/>
    <w:lsdException w:name="footer" w:uiPriority="99"/>
    <w:lsdException w:name="caption" w:semiHidden="1" w:unhideWhenUsed="1" w:qFormat="1"/>
    <w:lsdException w:name="annotation reference" w:uiPriority="99"/>
    <w:lsdException w:name="endnote reference" w:uiPriority="99"/>
    <w:lsdException w:name="Title" w:qFormat="1"/>
    <w:lsdException w:name="Subtitle" w:qFormat="1"/>
    <w:lsdException w:name="Hyperlink" w:uiPriority="99"/>
    <w:lsdException w:name="Strong" w:uiPriority="22" w:qFormat="1"/>
    <w:lsdException w:name="Emphasis" w:qFormat="1"/>
    <w:lsdException w:name="Plain Text" w:uiPriority="99"/>
    <w:lsdException w:name="Normal (Web)" w:uiPriority="99"/>
    <w:lsdException w:name="HTML Cite"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243AF"/>
    <w:rPr>
      <w:rFonts w:ascii="Arial" w:hAnsi="Arial"/>
      <w:szCs w:val="24"/>
    </w:rPr>
  </w:style>
  <w:style w:type="paragraph" w:styleId="Heading1">
    <w:name w:val="heading 1"/>
    <w:basedOn w:val="Normal"/>
    <w:next w:val="Normal"/>
    <w:link w:val="Heading1Char"/>
    <w:qFormat/>
    <w:rsid w:val="000F1DDB"/>
    <w:pPr>
      <w:keepNext/>
      <w:numPr>
        <w:numId w:val="1"/>
      </w:numPr>
      <w:spacing w:before="240" w:after="60"/>
      <w:jc w:val="center"/>
      <w:outlineLvl w:val="0"/>
    </w:pPr>
    <w:rPr>
      <w:rFonts w:cs="Arial"/>
      <w:b/>
      <w:bCs/>
      <w:kern w:val="32"/>
      <w:sz w:val="22"/>
      <w:szCs w:val="32"/>
    </w:rPr>
  </w:style>
  <w:style w:type="paragraph" w:styleId="Heading2">
    <w:name w:val="heading 2"/>
    <w:basedOn w:val="Normal"/>
    <w:next w:val="Normal"/>
    <w:link w:val="Heading2Char"/>
    <w:qFormat/>
    <w:rsid w:val="00A157E8"/>
    <w:pPr>
      <w:keepNext/>
      <w:tabs>
        <w:tab w:val="left" w:pos="567"/>
        <w:tab w:val="right" w:pos="9072"/>
      </w:tabs>
      <w:ind w:left="1701" w:hanging="1701"/>
      <w:outlineLvl w:val="1"/>
    </w:pPr>
    <w:rPr>
      <w:rFonts w:cs="Arial"/>
      <w:b/>
      <w:bCs/>
      <w:iCs/>
      <w:sz w:val="22"/>
      <w:szCs w:val="28"/>
    </w:rPr>
  </w:style>
  <w:style w:type="paragraph" w:styleId="Heading3">
    <w:name w:val="heading 3"/>
    <w:basedOn w:val="Normal"/>
    <w:next w:val="Normal"/>
    <w:link w:val="Heading3Char"/>
    <w:qFormat/>
    <w:rsid w:val="004B5923"/>
    <w:pPr>
      <w:keepNext/>
      <w:spacing w:before="240" w:after="60"/>
      <w:outlineLvl w:val="2"/>
    </w:pPr>
    <w:rPr>
      <w:rFonts w:eastAsia="SimSun" w:cs="Arial"/>
      <w:bCs/>
      <w:sz w:val="22"/>
      <w:szCs w:val="26"/>
      <w:u w:val="single"/>
    </w:rPr>
  </w:style>
  <w:style w:type="paragraph" w:styleId="Heading4">
    <w:name w:val="heading 4"/>
    <w:basedOn w:val="Normal"/>
    <w:next w:val="Normal"/>
    <w:link w:val="Heading4Char"/>
    <w:qFormat/>
    <w:rsid w:val="00933C0B"/>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table" w:styleId="TableGrid">
    <w:name w:val="Table Grid"/>
    <w:basedOn w:val="TableNormal"/>
    <w:rsid w:val="007658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
    <w:name w:val="Char Char Char Char"/>
    <w:basedOn w:val="Normal"/>
    <w:rsid w:val="007658A8"/>
    <w:pPr>
      <w:spacing w:after="160" w:line="240" w:lineRule="exact"/>
    </w:pPr>
    <w:rPr>
      <w:rFonts w:ascii="Verdana" w:hAnsi="Verdana"/>
      <w:szCs w:val="20"/>
      <w:lang w:val="en-GB"/>
    </w:rPr>
  </w:style>
  <w:style w:type="paragraph" w:styleId="BodyText">
    <w:name w:val="Body Text"/>
    <w:basedOn w:val="Normal"/>
    <w:link w:val="BodyTextChar"/>
    <w:rsid w:val="007658A8"/>
    <w:rPr>
      <w:szCs w:val="20"/>
    </w:rPr>
  </w:style>
  <w:style w:type="character" w:customStyle="1" w:styleId="BodyTextChar">
    <w:name w:val="Body Text Char"/>
    <w:link w:val="BodyText"/>
    <w:rsid w:val="007658A8"/>
    <w:rPr>
      <w:rFonts w:ascii="Arial" w:hAnsi="Arial"/>
      <w:lang w:val="en-US" w:eastAsia="en-US" w:bidi="ar-SA"/>
    </w:rPr>
  </w:style>
  <w:style w:type="paragraph" w:styleId="BodyTextIndent">
    <w:name w:val="Body Text Indent"/>
    <w:basedOn w:val="Normal"/>
    <w:link w:val="BodyTextIndentChar"/>
    <w:rsid w:val="00101F3F"/>
    <w:pPr>
      <w:ind w:left="567"/>
    </w:pPr>
    <w:rPr>
      <w:szCs w:val="20"/>
    </w:rPr>
  </w:style>
  <w:style w:type="paragraph" w:styleId="Footer">
    <w:name w:val="footer"/>
    <w:basedOn w:val="Normal"/>
    <w:link w:val="FooterChar"/>
    <w:uiPriority w:val="99"/>
    <w:rsid w:val="00101F3F"/>
    <w:pPr>
      <w:tabs>
        <w:tab w:val="center" w:pos="4320"/>
        <w:tab w:val="right" w:pos="8640"/>
      </w:tabs>
    </w:pPr>
  </w:style>
  <w:style w:type="character" w:styleId="PageNumber">
    <w:name w:val="page number"/>
    <w:basedOn w:val="DefaultParagraphFont"/>
    <w:rsid w:val="00101F3F"/>
  </w:style>
  <w:style w:type="character" w:customStyle="1" w:styleId="CharChar">
    <w:name w:val="Char Char"/>
    <w:locked/>
    <w:rsid w:val="00FA18B8"/>
    <w:rPr>
      <w:rFonts w:ascii="Arial" w:hAnsi="Arial" w:cs="Times New Roman"/>
      <w:lang w:val="en-US" w:eastAsia="en-US" w:bidi="ar-SA"/>
    </w:rPr>
  </w:style>
  <w:style w:type="character" w:styleId="Hyperlink">
    <w:name w:val="Hyperlink"/>
    <w:uiPriority w:val="99"/>
    <w:rsid w:val="00BE6194"/>
    <w:rPr>
      <w:color w:val="000099"/>
      <w:u w:val="single"/>
    </w:rPr>
  </w:style>
  <w:style w:type="paragraph" w:styleId="FootnoteText">
    <w:name w:val="footnote text"/>
    <w:basedOn w:val="Normal"/>
    <w:link w:val="FootnoteTextChar"/>
    <w:rsid w:val="007C76C9"/>
    <w:rPr>
      <w:szCs w:val="20"/>
    </w:rPr>
  </w:style>
  <w:style w:type="character" w:styleId="FootnoteReference">
    <w:name w:val="footnote reference"/>
    <w:aliases w:val="Footnote"/>
    <w:rsid w:val="007C76C9"/>
    <w:rPr>
      <w:vertAlign w:val="superscript"/>
    </w:rPr>
  </w:style>
  <w:style w:type="paragraph" w:styleId="BalloonText">
    <w:name w:val="Balloon Text"/>
    <w:basedOn w:val="Normal"/>
    <w:link w:val="BalloonTextChar"/>
    <w:rsid w:val="005C3C2A"/>
    <w:rPr>
      <w:rFonts w:ascii="Tahoma" w:hAnsi="Tahoma" w:cs="Tahoma"/>
      <w:sz w:val="16"/>
      <w:szCs w:val="16"/>
    </w:rPr>
  </w:style>
  <w:style w:type="paragraph" w:customStyle="1" w:styleId="CarCar">
    <w:name w:val="Car Car"/>
    <w:basedOn w:val="Normal"/>
    <w:rsid w:val="00F229CA"/>
    <w:pPr>
      <w:spacing w:after="160" w:line="240" w:lineRule="exact"/>
    </w:pPr>
    <w:rPr>
      <w:rFonts w:ascii="Verdana" w:hAnsi="Verdana"/>
      <w:szCs w:val="20"/>
      <w:lang w:val="en-GB"/>
    </w:rPr>
  </w:style>
  <w:style w:type="character" w:styleId="CommentReference">
    <w:name w:val="annotation reference"/>
    <w:uiPriority w:val="99"/>
    <w:rsid w:val="00BE1EF6"/>
    <w:rPr>
      <w:sz w:val="16"/>
      <w:szCs w:val="16"/>
    </w:rPr>
  </w:style>
  <w:style w:type="paragraph" w:styleId="CommentText">
    <w:name w:val="annotation text"/>
    <w:basedOn w:val="Normal"/>
    <w:link w:val="CommentTextChar"/>
    <w:uiPriority w:val="99"/>
    <w:rsid w:val="00BE1EF6"/>
    <w:rPr>
      <w:szCs w:val="20"/>
    </w:rPr>
  </w:style>
  <w:style w:type="paragraph" w:styleId="CommentSubject">
    <w:name w:val="annotation subject"/>
    <w:basedOn w:val="CommentText"/>
    <w:next w:val="CommentText"/>
    <w:link w:val="CommentSubjectChar"/>
    <w:rsid w:val="00BE1EF6"/>
    <w:rPr>
      <w:b/>
      <w:bCs/>
    </w:rPr>
  </w:style>
  <w:style w:type="paragraph" w:customStyle="1" w:styleId="Default">
    <w:name w:val="Default"/>
    <w:rsid w:val="007E6799"/>
    <w:pPr>
      <w:autoSpaceDE w:val="0"/>
      <w:autoSpaceDN w:val="0"/>
      <w:adjustRightInd w:val="0"/>
    </w:pPr>
    <w:rPr>
      <w:rFonts w:ascii="Arial" w:eastAsia="Batang" w:hAnsi="Arial" w:cs="Arial"/>
      <w:color w:val="000000"/>
      <w:sz w:val="24"/>
      <w:szCs w:val="24"/>
      <w:lang w:eastAsia="ja-JP"/>
    </w:rPr>
  </w:style>
  <w:style w:type="character" w:customStyle="1" w:styleId="CharChar2">
    <w:name w:val="Char Char2"/>
    <w:rsid w:val="007E6799"/>
    <w:rPr>
      <w:rFonts w:ascii="Arial" w:hAnsi="Arial"/>
      <w:lang w:val="en-US" w:eastAsia="en-US" w:bidi="ar-SA"/>
    </w:rPr>
  </w:style>
  <w:style w:type="paragraph" w:styleId="TOC2">
    <w:name w:val="toc 2"/>
    <w:basedOn w:val="Normal"/>
    <w:next w:val="Normal"/>
    <w:autoRedefine/>
    <w:uiPriority w:val="39"/>
    <w:qFormat/>
    <w:rsid w:val="00EE0D83"/>
    <w:pPr>
      <w:tabs>
        <w:tab w:val="left" w:pos="1985"/>
        <w:tab w:val="right" w:leader="dot" w:pos="9498"/>
      </w:tabs>
      <w:ind w:left="200" w:right="-143"/>
    </w:pPr>
    <w:rPr>
      <w:rFonts w:asciiTheme="minorHAnsi" w:hAnsiTheme="minorHAnsi"/>
      <w:smallCaps/>
      <w:szCs w:val="20"/>
    </w:rPr>
  </w:style>
  <w:style w:type="paragraph" w:styleId="TOC1">
    <w:name w:val="toc 1"/>
    <w:basedOn w:val="Normal"/>
    <w:next w:val="Normal"/>
    <w:autoRedefine/>
    <w:uiPriority w:val="39"/>
    <w:qFormat/>
    <w:rsid w:val="007854A1"/>
    <w:pPr>
      <w:tabs>
        <w:tab w:val="left" w:pos="426"/>
        <w:tab w:val="right" w:leader="dot" w:pos="9498"/>
      </w:tabs>
      <w:spacing w:before="120" w:after="120"/>
      <w:ind w:left="426" w:right="-143" w:hanging="426"/>
    </w:pPr>
    <w:rPr>
      <w:rFonts w:cs="Arial"/>
      <w:b/>
      <w:bCs/>
      <w:caps/>
      <w:noProof/>
      <w:szCs w:val="20"/>
    </w:rPr>
  </w:style>
  <w:style w:type="paragraph" w:customStyle="1" w:styleId="Indicators">
    <w:name w:val="Indicators"/>
    <w:basedOn w:val="Normal"/>
    <w:link w:val="IndicatorsChar"/>
    <w:rsid w:val="00E7796E"/>
    <w:pPr>
      <w:spacing w:before="120"/>
      <w:ind w:left="284" w:right="170"/>
    </w:pPr>
    <w:rPr>
      <w:szCs w:val="20"/>
    </w:rPr>
  </w:style>
  <w:style w:type="character" w:customStyle="1" w:styleId="IndicatorsChar">
    <w:name w:val="Indicators Char"/>
    <w:link w:val="Indicators"/>
    <w:rsid w:val="00E7796E"/>
    <w:rPr>
      <w:rFonts w:ascii="Arial" w:hAnsi="Arial"/>
      <w:lang w:val="en-US" w:eastAsia="en-US" w:bidi="ar-SA"/>
    </w:rPr>
  </w:style>
  <w:style w:type="paragraph" w:customStyle="1" w:styleId="DecisionInvitingPara">
    <w:name w:val="Decision Inviting Para."/>
    <w:basedOn w:val="Normal"/>
    <w:link w:val="DecisionInvitingParaChar"/>
    <w:rsid w:val="00222A8D"/>
    <w:pPr>
      <w:spacing w:after="120" w:line="260" w:lineRule="exact"/>
      <w:ind w:left="5534"/>
    </w:pPr>
    <w:rPr>
      <w:i/>
      <w:szCs w:val="20"/>
    </w:rPr>
  </w:style>
  <w:style w:type="paragraph" w:customStyle="1" w:styleId="preparedby">
    <w:name w:val="prepared by"/>
    <w:basedOn w:val="Normal"/>
    <w:next w:val="Normal"/>
    <w:rsid w:val="00222A8D"/>
    <w:pPr>
      <w:spacing w:after="480" w:line="260" w:lineRule="exact"/>
      <w:ind w:left="1021"/>
    </w:pPr>
    <w:rPr>
      <w:i/>
      <w:szCs w:val="20"/>
    </w:rPr>
  </w:style>
  <w:style w:type="paragraph" w:customStyle="1" w:styleId="Documenttitle">
    <w:name w:val="Document title"/>
    <w:basedOn w:val="Normal"/>
    <w:rsid w:val="00222A8D"/>
    <w:pPr>
      <w:spacing w:before="1200" w:after="120" w:line="260" w:lineRule="exact"/>
      <w:ind w:left="1021"/>
    </w:pPr>
    <w:rPr>
      <w:b/>
      <w:caps/>
      <w:szCs w:val="20"/>
    </w:rPr>
  </w:style>
  <w:style w:type="paragraph" w:customStyle="1" w:styleId="MeetinglanguageDate">
    <w:name w:val="Meeting language &amp; Date"/>
    <w:basedOn w:val="Normal"/>
    <w:next w:val="Meetingtitle"/>
    <w:rsid w:val="00222A8D"/>
    <w:pPr>
      <w:spacing w:after="1680" w:line="160" w:lineRule="exact"/>
      <w:ind w:left="1021"/>
      <w:contextualSpacing/>
      <w:jc w:val="right"/>
    </w:pPr>
    <w:rPr>
      <w:rFonts w:ascii="Arial Black" w:hAnsi="Arial Black"/>
      <w:b/>
      <w:caps/>
      <w:sz w:val="15"/>
      <w:szCs w:val="20"/>
      <w:lang w:val="fr-FR"/>
    </w:rPr>
  </w:style>
  <w:style w:type="paragraph" w:customStyle="1" w:styleId="Language">
    <w:name w:val="Language"/>
    <w:basedOn w:val="Normal"/>
    <w:next w:val="Normal"/>
    <w:autoRedefine/>
    <w:rsid w:val="00222A8D"/>
    <w:pPr>
      <w:spacing w:after="120" w:line="340" w:lineRule="atLeast"/>
      <w:ind w:left="1021"/>
      <w:jc w:val="right"/>
    </w:pPr>
    <w:rPr>
      <w:b/>
      <w:caps/>
      <w:sz w:val="40"/>
      <w:szCs w:val="20"/>
      <w:lang w:val="pt-BR"/>
    </w:rPr>
  </w:style>
  <w:style w:type="paragraph" w:customStyle="1" w:styleId="MeetingCode">
    <w:name w:val="Meeting Code"/>
    <w:basedOn w:val="MeetinglanguageDate"/>
    <w:rsid w:val="00222A8D"/>
    <w:pPr>
      <w:spacing w:before="300" w:after="0"/>
    </w:pPr>
  </w:style>
  <w:style w:type="paragraph" w:customStyle="1" w:styleId="Meetingtitle">
    <w:name w:val="Meeting title"/>
    <w:basedOn w:val="Normal"/>
    <w:next w:val="Sessiontitle"/>
    <w:rsid w:val="00222A8D"/>
    <w:pPr>
      <w:spacing w:after="360" w:line="336" w:lineRule="exact"/>
      <w:ind w:left="1021"/>
    </w:pPr>
    <w:rPr>
      <w:b/>
      <w:sz w:val="28"/>
      <w:szCs w:val="20"/>
      <w:lang w:val="fr-FR"/>
    </w:rPr>
  </w:style>
  <w:style w:type="paragraph" w:customStyle="1" w:styleId="Sessiontitle">
    <w:name w:val="Session title"/>
    <w:basedOn w:val="Meetingtitle"/>
    <w:next w:val="Meetingdateplace"/>
    <w:rsid w:val="00222A8D"/>
    <w:pPr>
      <w:spacing w:after="0"/>
    </w:pPr>
    <w:rPr>
      <w:sz w:val="24"/>
    </w:rPr>
  </w:style>
  <w:style w:type="paragraph" w:customStyle="1" w:styleId="Meetingdateplace">
    <w:name w:val="Meeting date &amp; place"/>
    <w:basedOn w:val="Sessiontitle"/>
    <w:next w:val="Documenttitle"/>
    <w:rsid w:val="00222A8D"/>
    <w:rPr>
      <w:lang w:val="en-US"/>
    </w:rPr>
  </w:style>
  <w:style w:type="character" w:customStyle="1" w:styleId="CharChar3">
    <w:name w:val="Char Char3"/>
    <w:rsid w:val="009100BA"/>
    <w:rPr>
      <w:rFonts w:ascii="Arial" w:hAnsi="Arial"/>
      <w:lang w:val="en-US" w:eastAsia="en-US" w:bidi="ar-SA"/>
    </w:rPr>
  </w:style>
  <w:style w:type="paragraph" w:styleId="BlockText">
    <w:name w:val="Block Text"/>
    <w:basedOn w:val="Normal"/>
    <w:rsid w:val="009100BA"/>
    <w:pPr>
      <w:spacing w:before="60" w:after="60"/>
      <w:ind w:left="266" w:right="142"/>
    </w:pPr>
    <w:rPr>
      <w:sz w:val="22"/>
      <w:szCs w:val="20"/>
    </w:rPr>
  </w:style>
  <w:style w:type="paragraph" w:customStyle="1" w:styleId="BoxText1">
    <w:name w:val="Box Text1"/>
    <w:basedOn w:val="Normal"/>
    <w:rsid w:val="009100BA"/>
    <w:pPr>
      <w:ind w:left="284"/>
    </w:pPr>
    <w:rPr>
      <w:snapToGrid w:val="0"/>
      <w:sz w:val="22"/>
      <w:szCs w:val="20"/>
    </w:rPr>
  </w:style>
  <w:style w:type="paragraph" w:customStyle="1" w:styleId="Normal1">
    <w:name w:val="Normal+1"/>
    <w:basedOn w:val="Normal"/>
    <w:next w:val="Normal"/>
    <w:rsid w:val="00191E10"/>
    <w:pPr>
      <w:autoSpaceDE w:val="0"/>
      <w:autoSpaceDN w:val="0"/>
      <w:adjustRightInd w:val="0"/>
    </w:pPr>
  </w:style>
  <w:style w:type="paragraph" w:styleId="NormalWeb">
    <w:name w:val="Normal (Web)"/>
    <w:basedOn w:val="Normal"/>
    <w:uiPriority w:val="99"/>
    <w:rsid w:val="00EE4CDE"/>
    <w:pPr>
      <w:spacing w:before="100" w:beforeAutospacing="1" w:after="100" w:afterAutospacing="1"/>
    </w:pPr>
    <w:rPr>
      <w:rFonts w:cs="Arial"/>
      <w:sz w:val="18"/>
      <w:szCs w:val="18"/>
    </w:rPr>
  </w:style>
  <w:style w:type="paragraph" w:styleId="BodyText2">
    <w:name w:val="Body Text 2"/>
    <w:basedOn w:val="Normal"/>
    <w:link w:val="BodyText2Char"/>
    <w:rsid w:val="00EE4CDE"/>
    <w:pPr>
      <w:spacing w:after="120" w:line="480" w:lineRule="auto"/>
    </w:pPr>
  </w:style>
  <w:style w:type="character" w:customStyle="1" w:styleId="CharChar4">
    <w:name w:val="Char Char4"/>
    <w:rsid w:val="00027DD5"/>
    <w:rPr>
      <w:rFonts w:ascii="Arial" w:hAnsi="Arial"/>
      <w:lang w:val="en-US" w:eastAsia="en-US" w:bidi="ar-SA"/>
    </w:rPr>
  </w:style>
  <w:style w:type="paragraph" w:styleId="ListParagraph">
    <w:name w:val="List Paragraph"/>
    <w:basedOn w:val="Normal"/>
    <w:uiPriority w:val="34"/>
    <w:qFormat/>
    <w:rsid w:val="003071E6"/>
    <w:pPr>
      <w:ind w:left="720"/>
    </w:pPr>
    <w:rPr>
      <w:szCs w:val="20"/>
    </w:rPr>
  </w:style>
  <w:style w:type="character" w:styleId="FollowedHyperlink">
    <w:name w:val="FollowedHyperlink"/>
    <w:rsid w:val="009E4B99"/>
    <w:rPr>
      <w:color w:val="606420"/>
      <w:u w:val="single"/>
    </w:rPr>
  </w:style>
  <w:style w:type="paragraph" w:customStyle="1" w:styleId="Meetingplacedate">
    <w:name w:val="Meeting place &amp; date"/>
    <w:basedOn w:val="Sessiontitle"/>
    <w:next w:val="Documenttitle"/>
    <w:rsid w:val="00862E39"/>
    <w:rPr>
      <w:lang w:val="en-US"/>
    </w:rPr>
  </w:style>
  <w:style w:type="character" w:customStyle="1" w:styleId="CharChar6">
    <w:name w:val="Char Char6"/>
    <w:rsid w:val="00B767D6"/>
    <w:rPr>
      <w:rFonts w:ascii="Arial" w:hAnsi="Arial"/>
      <w:lang w:val="en-US" w:eastAsia="en-US" w:bidi="ar-SA"/>
    </w:rPr>
  </w:style>
  <w:style w:type="character" w:customStyle="1" w:styleId="Novruzova">
    <w:name w:val="Novruzova"/>
    <w:semiHidden/>
    <w:rsid w:val="00E774BF"/>
    <w:rPr>
      <w:rFonts w:ascii="Arial" w:hAnsi="Arial" w:cs="Arial"/>
      <w:color w:val="000080"/>
      <w:sz w:val="20"/>
      <w:szCs w:val="20"/>
    </w:rPr>
  </w:style>
  <w:style w:type="character" w:customStyle="1" w:styleId="description">
    <w:name w:val="description"/>
    <w:basedOn w:val="DefaultParagraphFont"/>
    <w:rsid w:val="008A7EEB"/>
  </w:style>
  <w:style w:type="paragraph" w:customStyle="1" w:styleId="FreeFormA">
    <w:name w:val="Free Form A"/>
    <w:rsid w:val="003214B5"/>
    <w:rPr>
      <w:rFonts w:ascii="Helvetica" w:eastAsia="ヒラギノ角ゴ Pro W3" w:hAnsi="Helvetica"/>
      <w:color w:val="000000"/>
      <w:sz w:val="24"/>
    </w:rPr>
  </w:style>
  <w:style w:type="paragraph" w:customStyle="1" w:styleId="ONUME">
    <w:name w:val="ONUM E"/>
    <w:basedOn w:val="BodyText"/>
    <w:link w:val="ONUMEChar"/>
    <w:rsid w:val="00042826"/>
    <w:pPr>
      <w:spacing w:after="220"/>
    </w:pPr>
    <w:rPr>
      <w:rFonts w:eastAsia="SimSun" w:cs="Arial"/>
      <w:lang w:eastAsia="zh-CN"/>
    </w:rPr>
  </w:style>
  <w:style w:type="paragraph" w:customStyle="1" w:styleId="Char">
    <w:name w:val="Char 字元 字元"/>
    <w:basedOn w:val="Normal"/>
    <w:rsid w:val="00C129E2"/>
    <w:pPr>
      <w:spacing w:after="160" w:line="240" w:lineRule="exact"/>
    </w:pPr>
    <w:rPr>
      <w:rFonts w:ascii="Verdana" w:eastAsia="PMingLiU" w:hAnsi="Verdana"/>
      <w:szCs w:val="20"/>
    </w:rPr>
  </w:style>
  <w:style w:type="character" w:customStyle="1" w:styleId="underline">
    <w:name w:val="underline"/>
    <w:rsid w:val="00C129E2"/>
    <w:rPr>
      <w:u w:val="single"/>
    </w:rPr>
  </w:style>
  <w:style w:type="paragraph" w:customStyle="1" w:styleId="FreeForm">
    <w:name w:val="Free Form"/>
    <w:rsid w:val="009336F3"/>
    <w:rPr>
      <w:rFonts w:eastAsia="ヒラギノ角ゴ Pro W3"/>
      <w:color w:val="000000"/>
    </w:rPr>
  </w:style>
  <w:style w:type="paragraph" w:customStyle="1" w:styleId="Heading2A">
    <w:name w:val="Heading 2 A"/>
    <w:next w:val="Normal"/>
    <w:rsid w:val="009336F3"/>
    <w:pPr>
      <w:keepNext/>
      <w:tabs>
        <w:tab w:val="left" w:pos="567"/>
        <w:tab w:val="right" w:pos="9072"/>
      </w:tabs>
      <w:ind w:left="1701" w:hanging="1701"/>
      <w:outlineLvl w:val="1"/>
    </w:pPr>
    <w:rPr>
      <w:rFonts w:ascii="Arial Bold" w:eastAsia="ヒラギノ角ゴ Pro W3" w:hAnsi="Arial Bold"/>
      <w:color w:val="000000"/>
      <w:sz w:val="22"/>
    </w:rPr>
  </w:style>
  <w:style w:type="character" w:customStyle="1" w:styleId="FootnoteTextChar">
    <w:name w:val="Footnote Text Char"/>
    <w:link w:val="FootnoteText"/>
    <w:locked/>
    <w:rsid w:val="00415453"/>
    <w:rPr>
      <w:lang w:val="en-US" w:eastAsia="en-US" w:bidi="ar-SA"/>
    </w:rPr>
  </w:style>
  <w:style w:type="paragraph" w:customStyle="1" w:styleId="Normal-Header">
    <w:name w:val="Normal-Header"/>
    <w:rsid w:val="008B6ED6"/>
    <w:rPr>
      <w:rFonts w:ascii="Arial" w:hAnsi="Arial"/>
      <w:sz w:val="16"/>
    </w:rPr>
  </w:style>
  <w:style w:type="character" w:styleId="PlaceholderText">
    <w:name w:val="Placeholder Text"/>
    <w:basedOn w:val="DefaultParagraphFont"/>
    <w:uiPriority w:val="99"/>
    <w:semiHidden/>
    <w:rsid w:val="00400A45"/>
    <w:rPr>
      <w:color w:val="808080"/>
    </w:rPr>
  </w:style>
  <w:style w:type="character" w:customStyle="1" w:styleId="Style5">
    <w:name w:val="Style5"/>
    <w:basedOn w:val="DefaultParagraphFont"/>
    <w:uiPriority w:val="1"/>
    <w:rsid w:val="00400A45"/>
    <w:rPr>
      <w:rFonts w:asciiTheme="minorHAnsi" w:hAnsiTheme="minorHAnsi"/>
      <w:sz w:val="20"/>
    </w:rPr>
  </w:style>
  <w:style w:type="paragraph" w:styleId="Revision">
    <w:name w:val="Revision"/>
    <w:hidden/>
    <w:uiPriority w:val="99"/>
    <w:semiHidden/>
    <w:rsid w:val="00A93FCA"/>
    <w:rPr>
      <w:rFonts w:ascii="Arial" w:hAnsi="Arial"/>
      <w:szCs w:val="24"/>
    </w:rPr>
  </w:style>
  <w:style w:type="character" w:customStyle="1" w:styleId="FooterChar">
    <w:name w:val="Footer Char"/>
    <w:basedOn w:val="DefaultParagraphFont"/>
    <w:link w:val="Footer"/>
    <w:uiPriority w:val="99"/>
    <w:rsid w:val="00FF768F"/>
    <w:rPr>
      <w:rFonts w:ascii="Arial" w:hAnsi="Arial"/>
      <w:szCs w:val="24"/>
    </w:rPr>
  </w:style>
  <w:style w:type="paragraph" w:styleId="TOCHeading">
    <w:name w:val="TOC Heading"/>
    <w:basedOn w:val="Heading1"/>
    <w:next w:val="Normal"/>
    <w:uiPriority w:val="39"/>
    <w:unhideWhenUsed/>
    <w:qFormat/>
    <w:rsid w:val="001562E0"/>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lang w:eastAsia="ja-JP"/>
    </w:rPr>
  </w:style>
  <w:style w:type="paragraph" w:styleId="TOC3">
    <w:name w:val="toc 3"/>
    <w:basedOn w:val="Normal"/>
    <w:next w:val="Normal"/>
    <w:autoRedefine/>
    <w:uiPriority w:val="39"/>
    <w:unhideWhenUsed/>
    <w:qFormat/>
    <w:rsid w:val="0086013F"/>
    <w:pPr>
      <w:tabs>
        <w:tab w:val="left" w:pos="1600"/>
        <w:tab w:val="left" w:pos="3076"/>
        <w:tab w:val="right" w:leader="dot" w:pos="9498"/>
      </w:tabs>
      <w:ind w:left="1560" w:right="-143" w:hanging="1160"/>
    </w:pPr>
    <w:rPr>
      <w:rFonts w:asciiTheme="minorHAnsi" w:hAnsiTheme="minorHAnsi"/>
      <w:i/>
      <w:iCs/>
      <w:noProof/>
      <w:szCs w:val="20"/>
      <w:lang w:val="ru-RU"/>
    </w:rPr>
  </w:style>
  <w:style w:type="paragraph" w:styleId="TOC4">
    <w:name w:val="toc 4"/>
    <w:basedOn w:val="Normal"/>
    <w:next w:val="Normal"/>
    <w:autoRedefine/>
    <w:rsid w:val="007F6F24"/>
    <w:pPr>
      <w:ind w:left="600"/>
    </w:pPr>
    <w:rPr>
      <w:rFonts w:asciiTheme="minorHAnsi" w:hAnsiTheme="minorHAnsi"/>
      <w:sz w:val="18"/>
      <w:szCs w:val="18"/>
    </w:rPr>
  </w:style>
  <w:style w:type="paragraph" w:styleId="TOC5">
    <w:name w:val="toc 5"/>
    <w:basedOn w:val="Normal"/>
    <w:next w:val="Normal"/>
    <w:autoRedefine/>
    <w:rsid w:val="007F6F24"/>
    <w:pPr>
      <w:ind w:left="800"/>
    </w:pPr>
    <w:rPr>
      <w:rFonts w:asciiTheme="minorHAnsi" w:hAnsiTheme="minorHAnsi"/>
      <w:sz w:val="18"/>
      <w:szCs w:val="18"/>
    </w:rPr>
  </w:style>
  <w:style w:type="paragraph" w:styleId="TOC6">
    <w:name w:val="toc 6"/>
    <w:basedOn w:val="Normal"/>
    <w:next w:val="Normal"/>
    <w:autoRedefine/>
    <w:rsid w:val="007F6F24"/>
    <w:pPr>
      <w:ind w:left="1000"/>
    </w:pPr>
    <w:rPr>
      <w:rFonts w:asciiTheme="minorHAnsi" w:hAnsiTheme="minorHAnsi"/>
      <w:sz w:val="18"/>
      <w:szCs w:val="18"/>
    </w:rPr>
  </w:style>
  <w:style w:type="paragraph" w:styleId="TOC7">
    <w:name w:val="toc 7"/>
    <w:basedOn w:val="Normal"/>
    <w:next w:val="Normal"/>
    <w:autoRedefine/>
    <w:rsid w:val="007F6F24"/>
    <w:pPr>
      <w:ind w:left="1200"/>
    </w:pPr>
    <w:rPr>
      <w:rFonts w:asciiTheme="minorHAnsi" w:hAnsiTheme="minorHAnsi"/>
      <w:sz w:val="18"/>
      <w:szCs w:val="18"/>
    </w:rPr>
  </w:style>
  <w:style w:type="paragraph" w:styleId="TOC8">
    <w:name w:val="toc 8"/>
    <w:basedOn w:val="Normal"/>
    <w:next w:val="Normal"/>
    <w:autoRedefine/>
    <w:rsid w:val="007F6F24"/>
    <w:pPr>
      <w:ind w:left="1400"/>
    </w:pPr>
    <w:rPr>
      <w:rFonts w:asciiTheme="minorHAnsi" w:hAnsiTheme="minorHAnsi"/>
      <w:sz w:val="18"/>
      <w:szCs w:val="18"/>
    </w:rPr>
  </w:style>
  <w:style w:type="paragraph" w:styleId="TOC9">
    <w:name w:val="toc 9"/>
    <w:basedOn w:val="Normal"/>
    <w:next w:val="Normal"/>
    <w:autoRedefine/>
    <w:rsid w:val="007F6F24"/>
    <w:pPr>
      <w:ind w:left="1600"/>
    </w:pPr>
    <w:rPr>
      <w:rFonts w:asciiTheme="minorHAnsi" w:hAnsiTheme="minorHAnsi"/>
      <w:sz w:val="18"/>
      <w:szCs w:val="18"/>
    </w:rPr>
  </w:style>
  <w:style w:type="character" w:customStyle="1" w:styleId="Heading2Char">
    <w:name w:val="Heading 2 Char"/>
    <w:link w:val="Heading2"/>
    <w:rsid w:val="007F6F24"/>
    <w:rPr>
      <w:rFonts w:ascii="Arial" w:hAnsi="Arial" w:cs="Arial"/>
      <w:b/>
      <w:bCs/>
      <w:iCs/>
      <w:sz w:val="22"/>
      <w:szCs w:val="28"/>
    </w:rPr>
  </w:style>
  <w:style w:type="character" w:customStyle="1" w:styleId="DecisionInvitingParaChar">
    <w:name w:val="Decision Inviting Para. Char"/>
    <w:link w:val="DecisionInvitingPara"/>
    <w:locked/>
    <w:rsid w:val="00FE0B36"/>
    <w:rPr>
      <w:rFonts w:ascii="Arial" w:hAnsi="Arial"/>
      <w:i/>
    </w:rPr>
  </w:style>
  <w:style w:type="character" w:customStyle="1" w:styleId="HeaderChar">
    <w:name w:val="Header Char"/>
    <w:basedOn w:val="DefaultParagraphFont"/>
    <w:link w:val="Header"/>
    <w:rsid w:val="00BF01B2"/>
    <w:rPr>
      <w:rFonts w:ascii="Arial" w:hAnsi="Arial"/>
      <w:szCs w:val="24"/>
    </w:rPr>
  </w:style>
  <w:style w:type="paragraph" w:styleId="PlainText">
    <w:name w:val="Plain Text"/>
    <w:basedOn w:val="Normal"/>
    <w:link w:val="PlainTextChar"/>
    <w:uiPriority w:val="99"/>
    <w:rsid w:val="00E023E5"/>
    <w:rPr>
      <w:rFonts w:ascii="Courier New" w:eastAsia="SimSun" w:hAnsi="Courier New" w:cs="Courier New"/>
      <w:color w:val="0000FF"/>
      <w:szCs w:val="20"/>
      <w:lang w:eastAsia="zh-CN"/>
    </w:rPr>
  </w:style>
  <w:style w:type="character" w:customStyle="1" w:styleId="PlainTextChar">
    <w:name w:val="Plain Text Char"/>
    <w:basedOn w:val="DefaultParagraphFont"/>
    <w:link w:val="PlainText"/>
    <w:uiPriority w:val="99"/>
    <w:rsid w:val="00E023E5"/>
    <w:rPr>
      <w:rFonts w:ascii="Courier New" w:eastAsia="SimSun" w:hAnsi="Courier New" w:cs="Courier New"/>
      <w:color w:val="0000FF"/>
      <w:lang w:eastAsia="zh-CN"/>
    </w:rPr>
  </w:style>
  <w:style w:type="character" w:customStyle="1" w:styleId="Heading3Char">
    <w:name w:val="Heading 3 Char"/>
    <w:basedOn w:val="DefaultParagraphFont"/>
    <w:link w:val="Heading3"/>
    <w:rsid w:val="004B5923"/>
    <w:rPr>
      <w:rFonts w:ascii="Arial" w:eastAsia="SimSun" w:hAnsi="Arial" w:cs="Arial"/>
      <w:bCs/>
      <w:sz w:val="22"/>
      <w:szCs w:val="26"/>
      <w:u w:val="single"/>
    </w:rPr>
  </w:style>
  <w:style w:type="character" w:customStyle="1" w:styleId="ONUMEChar">
    <w:name w:val="ONUM E Char"/>
    <w:link w:val="ONUME"/>
    <w:locked/>
    <w:rsid w:val="009A04DE"/>
    <w:rPr>
      <w:rFonts w:ascii="Arial" w:eastAsia="SimSun" w:hAnsi="Arial" w:cs="Arial"/>
      <w:lang w:eastAsia="zh-CN"/>
    </w:rPr>
  </w:style>
  <w:style w:type="paragraph" w:customStyle="1" w:styleId="StyleHeading3BoldNounderline">
    <w:name w:val="Style Heading 3 + Bold No underline"/>
    <w:basedOn w:val="Heading3"/>
    <w:rsid w:val="00FA0C5A"/>
    <w:rPr>
      <w:i/>
      <w:u w:val="none"/>
    </w:rPr>
  </w:style>
  <w:style w:type="paragraph" w:customStyle="1" w:styleId="Style1">
    <w:name w:val="Style1"/>
    <w:basedOn w:val="Normal"/>
    <w:qFormat/>
    <w:rsid w:val="007852E3"/>
    <w:pPr>
      <w:numPr>
        <w:numId w:val="2"/>
      </w:numPr>
    </w:pPr>
  </w:style>
  <w:style w:type="paragraph" w:styleId="Salutation">
    <w:name w:val="Salutation"/>
    <w:basedOn w:val="Normal"/>
    <w:next w:val="Normal"/>
    <w:link w:val="SalutationChar"/>
    <w:rsid w:val="00F54CA4"/>
    <w:rPr>
      <w:rFonts w:cs="Arial"/>
      <w:sz w:val="22"/>
      <w:szCs w:val="20"/>
    </w:rPr>
  </w:style>
  <w:style w:type="character" w:customStyle="1" w:styleId="SalutationChar">
    <w:name w:val="Salutation Char"/>
    <w:basedOn w:val="DefaultParagraphFont"/>
    <w:link w:val="Salutation"/>
    <w:rsid w:val="00F54CA4"/>
    <w:rPr>
      <w:rFonts w:ascii="Arial" w:hAnsi="Arial" w:cs="Arial"/>
      <w:sz w:val="22"/>
    </w:rPr>
  </w:style>
  <w:style w:type="paragraph" w:styleId="Signature">
    <w:name w:val="Signature"/>
    <w:basedOn w:val="Normal"/>
    <w:link w:val="SignatureChar"/>
    <w:rsid w:val="00F54CA4"/>
    <w:pPr>
      <w:ind w:left="5250"/>
    </w:pPr>
    <w:rPr>
      <w:rFonts w:cs="Arial"/>
      <w:sz w:val="22"/>
      <w:szCs w:val="20"/>
    </w:rPr>
  </w:style>
  <w:style w:type="character" w:customStyle="1" w:styleId="SignatureChar">
    <w:name w:val="Signature Char"/>
    <w:basedOn w:val="DefaultParagraphFont"/>
    <w:link w:val="Signature"/>
    <w:rsid w:val="00F54CA4"/>
    <w:rPr>
      <w:rFonts w:ascii="Arial" w:hAnsi="Arial" w:cs="Arial"/>
      <w:sz w:val="22"/>
    </w:rPr>
  </w:style>
  <w:style w:type="paragraph" w:styleId="EndnoteText">
    <w:name w:val="endnote text"/>
    <w:basedOn w:val="Normal"/>
    <w:link w:val="EndnoteTextChar"/>
    <w:rsid w:val="00F54CA4"/>
    <w:rPr>
      <w:rFonts w:cs="Arial"/>
      <w:sz w:val="18"/>
      <w:szCs w:val="20"/>
    </w:rPr>
  </w:style>
  <w:style w:type="character" w:customStyle="1" w:styleId="EndnoteTextChar">
    <w:name w:val="Endnote Text Char"/>
    <w:basedOn w:val="DefaultParagraphFont"/>
    <w:link w:val="EndnoteText"/>
    <w:rsid w:val="00F54CA4"/>
    <w:rPr>
      <w:rFonts w:ascii="Arial" w:hAnsi="Arial" w:cs="Arial"/>
      <w:sz w:val="18"/>
    </w:rPr>
  </w:style>
  <w:style w:type="paragraph" w:styleId="Caption">
    <w:name w:val="caption"/>
    <w:basedOn w:val="Normal"/>
    <w:next w:val="Normal"/>
    <w:qFormat/>
    <w:rsid w:val="00F54CA4"/>
    <w:rPr>
      <w:rFonts w:cs="Arial"/>
      <w:b/>
      <w:bCs/>
      <w:sz w:val="18"/>
      <w:szCs w:val="20"/>
    </w:rPr>
  </w:style>
  <w:style w:type="paragraph" w:customStyle="1" w:styleId="ONUMFS">
    <w:name w:val="ONUM FS"/>
    <w:basedOn w:val="BodyText"/>
    <w:rsid w:val="00F54CA4"/>
    <w:pPr>
      <w:numPr>
        <w:numId w:val="3"/>
      </w:numPr>
      <w:spacing w:after="220"/>
    </w:pPr>
    <w:rPr>
      <w:rFonts w:cs="Arial"/>
      <w:sz w:val="22"/>
    </w:rPr>
  </w:style>
  <w:style w:type="paragraph" w:styleId="ListNumber">
    <w:name w:val="List Number"/>
    <w:basedOn w:val="Normal"/>
    <w:rsid w:val="00F54CA4"/>
    <w:pPr>
      <w:numPr>
        <w:numId w:val="4"/>
      </w:numPr>
    </w:pPr>
    <w:rPr>
      <w:rFonts w:cs="Arial"/>
      <w:sz w:val="22"/>
      <w:szCs w:val="20"/>
    </w:rPr>
  </w:style>
  <w:style w:type="character" w:customStyle="1" w:styleId="BalloonTextChar">
    <w:name w:val="Balloon Text Char"/>
    <w:basedOn w:val="DefaultParagraphFont"/>
    <w:link w:val="BalloonText"/>
    <w:rsid w:val="00F54CA4"/>
    <w:rPr>
      <w:rFonts w:ascii="Tahoma" w:hAnsi="Tahoma" w:cs="Tahoma"/>
      <w:sz w:val="16"/>
      <w:szCs w:val="16"/>
    </w:rPr>
  </w:style>
  <w:style w:type="character" w:customStyle="1" w:styleId="st">
    <w:name w:val="st"/>
    <w:basedOn w:val="DefaultParagraphFont"/>
    <w:rsid w:val="00F54CA4"/>
  </w:style>
  <w:style w:type="character" w:customStyle="1" w:styleId="CommentTextChar">
    <w:name w:val="Comment Text Char"/>
    <w:basedOn w:val="DefaultParagraphFont"/>
    <w:link w:val="CommentText"/>
    <w:uiPriority w:val="99"/>
    <w:rsid w:val="00F54CA4"/>
    <w:rPr>
      <w:rFonts w:ascii="Arial" w:hAnsi="Arial"/>
    </w:rPr>
  </w:style>
  <w:style w:type="character" w:customStyle="1" w:styleId="CommentSubjectChar">
    <w:name w:val="Comment Subject Char"/>
    <w:basedOn w:val="CommentTextChar"/>
    <w:link w:val="CommentSubject"/>
    <w:rsid w:val="00F54CA4"/>
    <w:rPr>
      <w:rFonts w:ascii="Arial" w:hAnsi="Arial"/>
      <w:b/>
      <w:bCs/>
    </w:rPr>
  </w:style>
  <w:style w:type="paragraph" w:styleId="NoSpacing">
    <w:name w:val="No Spacing"/>
    <w:uiPriority w:val="1"/>
    <w:qFormat/>
    <w:rsid w:val="00E43AF7"/>
    <w:rPr>
      <w:rFonts w:asciiTheme="minorHAnsi" w:eastAsiaTheme="minorHAnsi" w:hAnsiTheme="minorHAnsi" w:cstheme="minorBidi"/>
      <w:sz w:val="22"/>
      <w:szCs w:val="22"/>
    </w:rPr>
  </w:style>
  <w:style w:type="paragraph" w:customStyle="1" w:styleId="CharCharCharChar0">
    <w:name w:val="Char Char Char Char"/>
    <w:basedOn w:val="Normal"/>
    <w:rsid w:val="0063033D"/>
    <w:pPr>
      <w:spacing w:after="160" w:line="240" w:lineRule="exact"/>
    </w:pPr>
    <w:rPr>
      <w:rFonts w:ascii="Verdana" w:hAnsi="Verdana"/>
      <w:szCs w:val="20"/>
      <w:lang w:val="en-GB"/>
    </w:rPr>
  </w:style>
  <w:style w:type="character" w:customStyle="1" w:styleId="CharChar0">
    <w:name w:val="Char Char"/>
    <w:locked/>
    <w:rsid w:val="0063033D"/>
    <w:rPr>
      <w:rFonts w:ascii="Arial" w:hAnsi="Arial" w:cs="Times New Roman"/>
      <w:lang w:val="en-US" w:eastAsia="en-US" w:bidi="ar-SA"/>
    </w:rPr>
  </w:style>
  <w:style w:type="paragraph" w:customStyle="1" w:styleId="CarCar0">
    <w:name w:val="Car Car"/>
    <w:basedOn w:val="Normal"/>
    <w:rsid w:val="0063033D"/>
    <w:pPr>
      <w:spacing w:after="160" w:line="240" w:lineRule="exact"/>
    </w:pPr>
    <w:rPr>
      <w:rFonts w:ascii="Verdana" w:hAnsi="Verdana"/>
      <w:szCs w:val="20"/>
      <w:lang w:val="en-GB"/>
    </w:rPr>
  </w:style>
  <w:style w:type="character" w:customStyle="1" w:styleId="CharChar20">
    <w:name w:val="Char Char2"/>
    <w:rsid w:val="0063033D"/>
    <w:rPr>
      <w:rFonts w:ascii="Arial" w:hAnsi="Arial"/>
      <w:lang w:val="en-US" w:eastAsia="en-US" w:bidi="ar-SA"/>
    </w:rPr>
  </w:style>
  <w:style w:type="character" w:customStyle="1" w:styleId="CharChar30">
    <w:name w:val="Char Char3"/>
    <w:rsid w:val="0063033D"/>
    <w:rPr>
      <w:rFonts w:ascii="Arial" w:hAnsi="Arial"/>
      <w:lang w:val="en-US" w:eastAsia="en-US" w:bidi="ar-SA"/>
    </w:rPr>
  </w:style>
  <w:style w:type="character" w:customStyle="1" w:styleId="CharChar40">
    <w:name w:val="Char Char4"/>
    <w:rsid w:val="0063033D"/>
    <w:rPr>
      <w:rFonts w:ascii="Arial" w:hAnsi="Arial"/>
      <w:lang w:val="en-US" w:eastAsia="en-US" w:bidi="ar-SA"/>
    </w:rPr>
  </w:style>
  <w:style w:type="character" w:customStyle="1" w:styleId="CharChar60">
    <w:name w:val="Char Char6"/>
    <w:rsid w:val="0063033D"/>
    <w:rPr>
      <w:rFonts w:ascii="Arial" w:hAnsi="Arial"/>
      <w:lang w:val="en-US" w:eastAsia="en-US" w:bidi="ar-SA"/>
    </w:rPr>
  </w:style>
  <w:style w:type="paragraph" w:customStyle="1" w:styleId="Char0">
    <w:name w:val="Char 字元 字元"/>
    <w:basedOn w:val="Normal"/>
    <w:rsid w:val="0063033D"/>
    <w:pPr>
      <w:spacing w:after="160" w:line="240" w:lineRule="exact"/>
    </w:pPr>
    <w:rPr>
      <w:rFonts w:ascii="Verdana" w:eastAsia="PMingLiU" w:hAnsi="Verdana"/>
      <w:szCs w:val="20"/>
    </w:rPr>
  </w:style>
  <w:style w:type="character" w:customStyle="1" w:styleId="BodyText2Char">
    <w:name w:val="Body Text 2 Char"/>
    <w:basedOn w:val="DefaultParagraphFont"/>
    <w:link w:val="BodyText2"/>
    <w:rsid w:val="00815ABB"/>
    <w:rPr>
      <w:rFonts w:ascii="Arial" w:hAnsi="Arial"/>
      <w:szCs w:val="24"/>
    </w:rPr>
  </w:style>
  <w:style w:type="paragraph" w:customStyle="1" w:styleId="StyleStyleHeading3ComplexItalicLatin12pt">
    <w:name w:val="Style Style Heading 3 + (Complex) Italic + (Latin) 12 pt"/>
    <w:basedOn w:val="Normal"/>
    <w:link w:val="StyleStyleHeading3ComplexItalicLatin12ptChar"/>
    <w:rsid w:val="00F27486"/>
    <w:pPr>
      <w:keepNext/>
      <w:tabs>
        <w:tab w:val="left" w:pos="1985"/>
      </w:tabs>
      <w:outlineLvl w:val="2"/>
    </w:pPr>
    <w:rPr>
      <w:b/>
      <w:iCs/>
      <w:caps/>
      <w:szCs w:val="22"/>
    </w:rPr>
  </w:style>
  <w:style w:type="character" w:customStyle="1" w:styleId="StyleStyleHeading3ComplexItalicLatin12ptChar">
    <w:name w:val="Style Style Heading 3 + (Complex) Italic + (Latin) 12 pt Char"/>
    <w:basedOn w:val="DefaultParagraphFont"/>
    <w:link w:val="StyleStyleHeading3ComplexItalicLatin12pt"/>
    <w:rsid w:val="00F27486"/>
    <w:rPr>
      <w:rFonts w:ascii="Arial" w:hAnsi="Arial"/>
      <w:b/>
      <w:iCs/>
      <w:caps/>
      <w:szCs w:val="22"/>
    </w:rPr>
  </w:style>
  <w:style w:type="paragraph" w:customStyle="1" w:styleId="Test">
    <w:name w:val="Test"/>
    <w:basedOn w:val="Normal"/>
    <w:qFormat/>
    <w:rsid w:val="00CE4C9D"/>
    <w:pPr>
      <w:numPr>
        <w:numId w:val="9"/>
      </w:numPr>
    </w:pPr>
    <w:rPr>
      <w:rFonts w:eastAsiaTheme="minorHAnsi" w:cs="Arial"/>
      <w:sz w:val="22"/>
      <w:szCs w:val="22"/>
    </w:rPr>
  </w:style>
  <w:style w:type="paragraph" w:customStyle="1" w:styleId="StyleHeading214ptAuto">
    <w:name w:val="Style Heading 2 + 14 pt Auto"/>
    <w:basedOn w:val="Heading2"/>
    <w:rsid w:val="00A87689"/>
    <w:pPr>
      <w:keepNext w:val="0"/>
      <w:widowControl w:val="0"/>
      <w:tabs>
        <w:tab w:val="clear" w:pos="9072"/>
        <w:tab w:val="num" w:pos="567"/>
      </w:tabs>
      <w:spacing w:line="300" w:lineRule="atLeast"/>
      <w:ind w:left="567" w:hanging="567"/>
      <w:jc w:val="center"/>
    </w:pPr>
    <w:rPr>
      <w:rFonts w:ascii="Arial Bold" w:hAnsi="Arial Bold" w:cs="Times New Roman"/>
      <w:caps/>
      <w:sz w:val="24"/>
      <w:lang w:val="en-GB" w:eastAsia="da-DK"/>
    </w:rPr>
  </w:style>
  <w:style w:type="character" w:styleId="Strong">
    <w:name w:val="Strong"/>
    <w:basedOn w:val="DefaultParagraphFont"/>
    <w:uiPriority w:val="22"/>
    <w:qFormat/>
    <w:rsid w:val="000C2991"/>
    <w:rPr>
      <w:b/>
      <w:bCs/>
    </w:rPr>
  </w:style>
  <w:style w:type="paragraph" w:customStyle="1" w:styleId="StyleHeading3ComplexItalic">
    <w:name w:val="Style Heading 3 + (Complex) Italic"/>
    <w:basedOn w:val="Heading3"/>
    <w:link w:val="StyleHeading3ComplexItalicChar"/>
    <w:rsid w:val="00603FB5"/>
    <w:pPr>
      <w:tabs>
        <w:tab w:val="left" w:pos="1985"/>
      </w:tabs>
      <w:spacing w:before="0" w:after="0"/>
    </w:pPr>
    <w:rPr>
      <w:rFonts w:eastAsia="Times New Roman"/>
      <w:b/>
      <w:bCs w:val="0"/>
      <w:iCs/>
      <w:caps/>
      <w:szCs w:val="22"/>
      <w:u w:val="none"/>
    </w:rPr>
  </w:style>
  <w:style w:type="character" w:customStyle="1" w:styleId="StyleHeading3ComplexItalicChar">
    <w:name w:val="Style Heading 3 + (Complex) Italic Char"/>
    <w:link w:val="StyleHeading3ComplexItalic"/>
    <w:rsid w:val="00603FB5"/>
    <w:rPr>
      <w:rFonts w:ascii="Arial" w:hAnsi="Arial" w:cs="Arial"/>
      <w:b/>
      <w:iCs/>
      <w:caps/>
      <w:sz w:val="22"/>
      <w:szCs w:val="22"/>
    </w:rPr>
  </w:style>
  <w:style w:type="character" w:customStyle="1" w:styleId="Heading1Char">
    <w:name w:val="Heading 1 Char"/>
    <w:basedOn w:val="DefaultParagraphFont"/>
    <w:link w:val="Heading1"/>
    <w:rsid w:val="00A44CCE"/>
    <w:rPr>
      <w:rFonts w:ascii="Arial" w:hAnsi="Arial" w:cs="Arial"/>
      <w:b/>
      <w:bCs/>
      <w:kern w:val="32"/>
      <w:sz w:val="22"/>
      <w:szCs w:val="32"/>
    </w:rPr>
  </w:style>
  <w:style w:type="character" w:styleId="EndnoteReference">
    <w:name w:val="endnote reference"/>
    <w:basedOn w:val="DefaultParagraphFont"/>
    <w:uiPriority w:val="99"/>
    <w:unhideWhenUsed/>
    <w:rsid w:val="00D944AE"/>
    <w:rPr>
      <w:vertAlign w:val="superscript"/>
    </w:rPr>
  </w:style>
  <w:style w:type="character" w:styleId="HTMLCite">
    <w:name w:val="HTML Cite"/>
    <w:basedOn w:val="DefaultParagraphFont"/>
    <w:uiPriority w:val="99"/>
    <w:unhideWhenUsed/>
    <w:rsid w:val="00D944AE"/>
    <w:rPr>
      <w:i/>
      <w:iCs/>
    </w:rPr>
  </w:style>
  <w:style w:type="character" w:customStyle="1" w:styleId="Heading4Char">
    <w:name w:val="Heading 4 Char"/>
    <w:basedOn w:val="DefaultParagraphFont"/>
    <w:link w:val="Heading4"/>
    <w:rsid w:val="00123DC4"/>
    <w:rPr>
      <w:rFonts w:ascii="Arial" w:hAnsi="Arial"/>
      <w:b/>
      <w:bCs/>
      <w:sz w:val="28"/>
      <w:szCs w:val="28"/>
    </w:rPr>
  </w:style>
  <w:style w:type="character" w:customStyle="1" w:styleId="BodyTextIndentChar">
    <w:name w:val="Body Text Indent Char"/>
    <w:basedOn w:val="DefaultParagraphFont"/>
    <w:link w:val="BodyTextIndent"/>
    <w:rsid w:val="00123DC4"/>
    <w:rPr>
      <w:rFonts w:ascii="Arial" w:hAnsi="Arial"/>
    </w:rPr>
  </w:style>
  <w:style w:type="paragraph" w:customStyle="1" w:styleId="Endofdocument-Annex">
    <w:name w:val="[End of document - Annex]"/>
    <w:basedOn w:val="Normal"/>
    <w:rsid w:val="00123DC4"/>
    <w:pPr>
      <w:ind w:left="5534"/>
    </w:pPr>
    <w:rPr>
      <w:rFonts w:eastAsia="SimSun" w:cs="Arial"/>
      <w:sz w:val="22"/>
      <w:szCs w:val="20"/>
      <w:lang w:eastAsia="zh-CN"/>
    </w:rPr>
  </w:style>
  <w:style w:type="character" w:customStyle="1" w:styleId="hps">
    <w:name w:val="hps"/>
    <w:basedOn w:val="DefaultParagraphFont"/>
    <w:rsid w:val="00123DC4"/>
  </w:style>
  <w:style w:type="paragraph" w:customStyle="1" w:styleId="Normal-table">
    <w:name w:val="Normal-table"/>
    <w:rsid w:val="008355F0"/>
    <w:rPr>
      <w:rFonts w:ascii="Arial" w:eastAsia="Batang" w:hAnsi="Arial"/>
    </w:rPr>
  </w:style>
  <w:style w:type="paragraph" w:customStyle="1" w:styleId="CharCharCharChar2">
    <w:name w:val="Char Char Char Char2"/>
    <w:basedOn w:val="Normal"/>
    <w:rsid w:val="00DA0522"/>
    <w:pPr>
      <w:spacing w:after="160" w:line="240" w:lineRule="exact"/>
    </w:pPr>
    <w:rPr>
      <w:rFonts w:ascii="Verdana" w:hAnsi="Verdana"/>
      <w:szCs w:val="20"/>
      <w:lang w:val="en-GB"/>
    </w:rPr>
  </w:style>
  <w:style w:type="paragraph" w:customStyle="1" w:styleId="CharCharCharChar1">
    <w:name w:val="Char Char Char Char1"/>
    <w:basedOn w:val="Normal"/>
    <w:rsid w:val="00DA0522"/>
    <w:pPr>
      <w:spacing w:after="160" w:line="240" w:lineRule="exact"/>
    </w:pPr>
    <w:rPr>
      <w:rFonts w:ascii="Verdana" w:hAnsi="Verdana"/>
      <w:szCs w:val="20"/>
      <w:lang w:val="en-GB"/>
    </w:rPr>
  </w:style>
  <w:style w:type="character" w:customStyle="1" w:styleId="CharChar1">
    <w:name w:val="Char Char1"/>
    <w:locked/>
    <w:rsid w:val="00DA0522"/>
    <w:rPr>
      <w:rFonts w:ascii="Arial" w:hAnsi="Arial" w:cs="Times New Roman"/>
      <w:lang w:val="en-US" w:eastAsia="en-US" w:bidi="ar-SA"/>
    </w:rPr>
  </w:style>
  <w:style w:type="paragraph" w:customStyle="1" w:styleId="CarCar1">
    <w:name w:val="Car Car1"/>
    <w:basedOn w:val="Normal"/>
    <w:rsid w:val="00DA0522"/>
    <w:pPr>
      <w:spacing w:after="160" w:line="240" w:lineRule="exact"/>
    </w:pPr>
    <w:rPr>
      <w:rFonts w:ascii="Verdana" w:hAnsi="Verdana"/>
      <w:szCs w:val="20"/>
      <w:lang w:val="en-GB"/>
    </w:rPr>
  </w:style>
  <w:style w:type="character" w:customStyle="1" w:styleId="CharChar21">
    <w:name w:val="Char Char21"/>
    <w:rsid w:val="00DA0522"/>
    <w:rPr>
      <w:rFonts w:ascii="Arial" w:hAnsi="Arial"/>
      <w:lang w:val="en-US" w:eastAsia="en-US" w:bidi="ar-SA"/>
    </w:rPr>
  </w:style>
  <w:style w:type="character" w:customStyle="1" w:styleId="CharChar31">
    <w:name w:val="Char Char31"/>
    <w:rsid w:val="00DA0522"/>
    <w:rPr>
      <w:rFonts w:ascii="Arial" w:hAnsi="Arial"/>
      <w:lang w:val="en-US" w:eastAsia="en-US" w:bidi="ar-SA"/>
    </w:rPr>
  </w:style>
  <w:style w:type="character" w:customStyle="1" w:styleId="CharChar41">
    <w:name w:val="Char Char41"/>
    <w:rsid w:val="00DA0522"/>
    <w:rPr>
      <w:rFonts w:ascii="Arial" w:hAnsi="Arial"/>
      <w:lang w:val="en-US" w:eastAsia="en-US" w:bidi="ar-SA"/>
    </w:rPr>
  </w:style>
  <w:style w:type="character" w:customStyle="1" w:styleId="CharChar61">
    <w:name w:val="Char Char61"/>
    <w:rsid w:val="00DA0522"/>
    <w:rPr>
      <w:rFonts w:ascii="Arial" w:hAnsi="Arial"/>
      <w:lang w:val="en-US" w:eastAsia="en-US" w:bidi="ar-SA"/>
    </w:rPr>
  </w:style>
  <w:style w:type="paragraph" w:customStyle="1" w:styleId="Char1">
    <w:name w:val="Char 字元 字元1"/>
    <w:basedOn w:val="Normal"/>
    <w:rsid w:val="00DA0522"/>
    <w:pPr>
      <w:spacing w:after="160" w:line="240" w:lineRule="exact"/>
    </w:pPr>
    <w:rPr>
      <w:rFonts w:ascii="Verdana" w:eastAsia="PMingLiU" w:hAnsi="Verdana"/>
      <w:szCs w:val="20"/>
    </w:rPr>
  </w:style>
  <w:style w:type="table" w:customStyle="1" w:styleId="TableGrid1">
    <w:name w:val="Table Grid1"/>
    <w:basedOn w:val="TableNormal"/>
    <w:next w:val="TableGrid"/>
    <w:uiPriority w:val="59"/>
    <w:rsid w:val="00DA052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ofdocument">
    <w:name w:val="End of document"/>
    <w:basedOn w:val="Normal"/>
    <w:rsid w:val="00DA0522"/>
    <w:pPr>
      <w:ind w:left="4536"/>
      <w:jc w:val="center"/>
    </w:pPr>
    <w:rPr>
      <w:rFonts w:ascii="Times New Roman" w:hAnsi="Times New Roman"/>
      <w:sz w:val="24"/>
      <w:szCs w:val="20"/>
    </w:rPr>
  </w:style>
  <w:style w:type="character" w:styleId="Emphasis">
    <w:name w:val="Emphasis"/>
    <w:qFormat/>
    <w:rsid w:val="00C6154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0818745">
      <w:bodyDiv w:val="1"/>
      <w:marLeft w:val="0"/>
      <w:marRight w:val="0"/>
      <w:marTop w:val="0"/>
      <w:marBottom w:val="0"/>
      <w:divBdr>
        <w:top w:val="none" w:sz="0" w:space="0" w:color="auto"/>
        <w:left w:val="none" w:sz="0" w:space="0" w:color="auto"/>
        <w:bottom w:val="none" w:sz="0" w:space="0" w:color="auto"/>
        <w:right w:val="none" w:sz="0" w:space="0" w:color="auto"/>
      </w:divBdr>
    </w:div>
    <w:div w:id="768699644">
      <w:bodyDiv w:val="1"/>
      <w:marLeft w:val="0"/>
      <w:marRight w:val="0"/>
      <w:marTop w:val="0"/>
      <w:marBottom w:val="0"/>
      <w:divBdr>
        <w:top w:val="none" w:sz="0" w:space="0" w:color="auto"/>
        <w:left w:val="none" w:sz="0" w:space="0" w:color="auto"/>
        <w:bottom w:val="none" w:sz="0" w:space="0" w:color="auto"/>
        <w:right w:val="none" w:sz="0" w:space="0" w:color="auto"/>
      </w:divBdr>
    </w:div>
    <w:div w:id="847603127">
      <w:bodyDiv w:val="1"/>
      <w:marLeft w:val="0"/>
      <w:marRight w:val="0"/>
      <w:marTop w:val="0"/>
      <w:marBottom w:val="0"/>
      <w:divBdr>
        <w:top w:val="none" w:sz="0" w:space="0" w:color="auto"/>
        <w:left w:val="none" w:sz="0" w:space="0" w:color="auto"/>
        <w:bottom w:val="none" w:sz="0" w:space="0" w:color="auto"/>
        <w:right w:val="none" w:sz="0" w:space="0" w:color="auto"/>
      </w:divBdr>
    </w:div>
    <w:div w:id="1607470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4.emf"/><Relationship Id="rId21" Type="http://schemas.openxmlformats.org/officeDocument/2006/relationships/image" Target="media/image9.emf"/><Relationship Id="rId42" Type="http://schemas.openxmlformats.org/officeDocument/2006/relationships/image" Target="media/image30.emf"/><Relationship Id="rId63" Type="http://schemas.openxmlformats.org/officeDocument/2006/relationships/image" Target="media/image50.emf"/><Relationship Id="rId84" Type="http://schemas.openxmlformats.org/officeDocument/2006/relationships/image" Target="media/image71.emf"/><Relationship Id="rId138" Type="http://schemas.openxmlformats.org/officeDocument/2006/relationships/image" Target="media/image124.emf"/><Relationship Id="rId159" Type="http://schemas.openxmlformats.org/officeDocument/2006/relationships/image" Target="media/image145.emf"/><Relationship Id="rId170" Type="http://schemas.openxmlformats.org/officeDocument/2006/relationships/image" Target="media/image156.emf"/><Relationship Id="rId191" Type="http://schemas.openxmlformats.org/officeDocument/2006/relationships/image" Target="media/image177.emf"/><Relationship Id="rId205" Type="http://schemas.openxmlformats.org/officeDocument/2006/relationships/footer" Target="footer6.xml"/><Relationship Id="rId107" Type="http://schemas.openxmlformats.org/officeDocument/2006/relationships/image" Target="media/image94.emf"/><Relationship Id="rId11" Type="http://schemas.openxmlformats.org/officeDocument/2006/relationships/header" Target="header2.xml"/><Relationship Id="rId32" Type="http://schemas.openxmlformats.org/officeDocument/2006/relationships/image" Target="media/image20.emf"/><Relationship Id="rId37" Type="http://schemas.openxmlformats.org/officeDocument/2006/relationships/image" Target="media/image25.emf"/><Relationship Id="rId53" Type="http://schemas.openxmlformats.org/officeDocument/2006/relationships/chart" Target="charts/chart1.xml"/><Relationship Id="rId58" Type="http://schemas.openxmlformats.org/officeDocument/2006/relationships/image" Target="media/image45.emf"/><Relationship Id="rId74" Type="http://schemas.openxmlformats.org/officeDocument/2006/relationships/image" Target="media/image61.emf"/><Relationship Id="rId79" Type="http://schemas.openxmlformats.org/officeDocument/2006/relationships/image" Target="media/image66.emf"/><Relationship Id="rId102" Type="http://schemas.openxmlformats.org/officeDocument/2006/relationships/image" Target="media/image89.emf"/><Relationship Id="rId123" Type="http://schemas.openxmlformats.org/officeDocument/2006/relationships/hyperlink" Target="http://www.wipo.int/amc/en/domains/tmpddrp/" TargetMode="External"/><Relationship Id="rId128" Type="http://schemas.openxmlformats.org/officeDocument/2006/relationships/image" Target="media/image114.emf"/><Relationship Id="rId144" Type="http://schemas.openxmlformats.org/officeDocument/2006/relationships/image" Target="media/image130.emf"/><Relationship Id="rId149" Type="http://schemas.openxmlformats.org/officeDocument/2006/relationships/image" Target="media/image135.emf"/><Relationship Id="rId5" Type="http://schemas.openxmlformats.org/officeDocument/2006/relationships/settings" Target="settings.xml"/><Relationship Id="rId90" Type="http://schemas.openxmlformats.org/officeDocument/2006/relationships/image" Target="media/image77.emf"/><Relationship Id="rId95" Type="http://schemas.openxmlformats.org/officeDocument/2006/relationships/image" Target="media/image82.emf"/><Relationship Id="rId160" Type="http://schemas.openxmlformats.org/officeDocument/2006/relationships/image" Target="media/image146.emf"/><Relationship Id="rId165" Type="http://schemas.openxmlformats.org/officeDocument/2006/relationships/image" Target="media/image151.emf"/><Relationship Id="rId181" Type="http://schemas.openxmlformats.org/officeDocument/2006/relationships/image" Target="media/image167.emf"/><Relationship Id="rId186" Type="http://schemas.openxmlformats.org/officeDocument/2006/relationships/image" Target="media/image172.emf"/><Relationship Id="rId211" Type="http://schemas.openxmlformats.org/officeDocument/2006/relationships/theme" Target="theme/theme1.xml"/><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image" Target="media/image31.emf"/><Relationship Id="rId48" Type="http://schemas.openxmlformats.org/officeDocument/2006/relationships/image" Target="media/image36.emf"/><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image" Target="media/image100.emf"/><Relationship Id="rId118" Type="http://schemas.openxmlformats.org/officeDocument/2006/relationships/image" Target="media/image105.emf"/><Relationship Id="rId134" Type="http://schemas.openxmlformats.org/officeDocument/2006/relationships/image" Target="media/image120.emf"/><Relationship Id="rId139" Type="http://schemas.openxmlformats.org/officeDocument/2006/relationships/image" Target="media/image125.emf"/><Relationship Id="rId80" Type="http://schemas.openxmlformats.org/officeDocument/2006/relationships/image" Target="media/image67.emf"/><Relationship Id="rId85" Type="http://schemas.openxmlformats.org/officeDocument/2006/relationships/image" Target="media/image72.emf"/><Relationship Id="rId150" Type="http://schemas.openxmlformats.org/officeDocument/2006/relationships/image" Target="media/image136.emf"/><Relationship Id="rId155" Type="http://schemas.openxmlformats.org/officeDocument/2006/relationships/image" Target="media/image141.emf"/><Relationship Id="rId171" Type="http://schemas.openxmlformats.org/officeDocument/2006/relationships/image" Target="media/image157.emf"/><Relationship Id="rId176" Type="http://schemas.openxmlformats.org/officeDocument/2006/relationships/image" Target="media/image162.emf"/><Relationship Id="rId192" Type="http://schemas.openxmlformats.org/officeDocument/2006/relationships/image" Target="media/image178.emf"/><Relationship Id="rId197" Type="http://schemas.openxmlformats.org/officeDocument/2006/relationships/header" Target="header3.xml"/><Relationship Id="rId206" Type="http://schemas.openxmlformats.org/officeDocument/2006/relationships/footer" Target="footer7.xml"/><Relationship Id="rId201" Type="http://schemas.openxmlformats.org/officeDocument/2006/relationships/header" Target="header5.xml"/><Relationship Id="rId12" Type="http://schemas.openxmlformats.org/officeDocument/2006/relationships/footer" Target="footer1.xml"/><Relationship Id="rId17" Type="http://schemas.openxmlformats.org/officeDocument/2006/relationships/image" Target="media/image5.emf"/><Relationship Id="rId33" Type="http://schemas.openxmlformats.org/officeDocument/2006/relationships/image" Target="media/image21.emf"/><Relationship Id="rId38" Type="http://schemas.openxmlformats.org/officeDocument/2006/relationships/image" Target="media/image26.emf"/><Relationship Id="rId59" Type="http://schemas.openxmlformats.org/officeDocument/2006/relationships/image" Target="media/image46.emf"/><Relationship Id="rId103" Type="http://schemas.openxmlformats.org/officeDocument/2006/relationships/image" Target="media/image90.emf"/><Relationship Id="rId108" Type="http://schemas.openxmlformats.org/officeDocument/2006/relationships/image" Target="media/image95.emf"/><Relationship Id="rId124" Type="http://schemas.openxmlformats.org/officeDocument/2006/relationships/image" Target="media/image110.emf"/><Relationship Id="rId129" Type="http://schemas.openxmlformats.org/officeDocument/2006/relationships/image" Target="media/image115.emf"/><Relationship Id="rId54" Type="http://schemas.openxmlformats.org/officeDocument/2006/relationships/image" Target="media/image41.emf"/><Relationship Id="rId70" Type="http://schemas.openxmlformats.org/officeDocument/2006/relationships/image" Target="media/image57.emf"/><Relationship Id="rId75" Type="http://schemas.openxmlformats.org/officeDocument/2006/relationships/image" Target="media/image62.emf"/><Relationship Id="rId91" Type="http://schemas.openxmlformats.org/officeDocument/2006/relationships/image" Target="media/image78.emf"/><Relationship Id="rId96" Type="http://schemas.openxmlformats.org/officeDocument/2006/relationships/image" Target="media/image83.emf"/><Relationship Id="rId140" Type="http://schemas.openxmlformats.org/officeDocument/2006/relationships/image" Target="media/image126.emf"/><Relationship Id="rId145" Type="http://schemas.openxmlformats.org/officeDocument/2006/relationships/image" Target="media/image131.emf"/><Relationship Id="rId161" Type="http://schemas.openxmlformats.org/officeDocument/2006/relationships/image" Target="media/image147.emf"/><Relationship Id="rId166" Type="http://schemas.openxmlformats.org/officeDocument/2006/relationships/image" Target="media/image152.emf"/><Relationship Id="rId182" Type="http://schemas.openxmlformats.org/officeDocument/2006/relationships/image" Target="media/image168.emf"/><Relationship Id="rId187" Type="http://schemas.openxmlformats.org/officeDocument/2006/relationships/image" Target="media/image173.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1.emf"/><Relationship Id="rId28" Type="http://schemas.openxmlformats.org/officeDocument/2006/relationships/image" Target="media/image16.emf"/><Relationship Id="rId49" Type="http://schemas.openxmlformats.org/officeDocument/2006/relationships/image" Target="media/image37.emf"/><Relationship Id="rId114" Type="http://schemas.openxmlformats.org/officeDocument/2006/relationships/image" Target="media/image101.emf"/><Relationship Id="rId119" Type="http://schemas.openxmlformats.org/officeDocument/2006/relationships/image" Target="media/image106.emf"/><Relationship Id="rId44" Type="http://schemas.openxmlformats.org/officeDocument/2006/relationships/image" Target="media/image32.emf"/><Relationship Id="rId60" Type="http://schemas.openxmlformats.org/officeDocument/2006/relationships/image" Target="media/image47.emf"/><Relationship Id="rId65" Type="http://schemas.openxmlformats.org/officeDocument/2006/relationships/image" Target="media/image52.emf"/><Relationship Id="rId81" Type="http://schemas.openxmlformats.org/officeDocument/2006/relationships/image" Target="media/image68.emf"/><Relationship Id="rId86" Type="http://schemas.openxmlformats.org/officeDocument/2006/relationships/image" Target="media/image73.emf"/><Relationship Id="rId130" Type="http://schemas.openxmlformats.org/officeDocument/2006/relationships/image" Target="media/image116.emf"/><Relationship Id="rId135" Type="http://schemas.openxmlformats.org/officeDocument/2006/relationships/image" Target="media/image121.emf"/><Relationship Id="rId151" Type="http://schemas.openxmlformats.org/officeDocument/2006/relationships/image" Target="media/image137.emf"/><Relationship Id="rId156" Type="http://schemas.openxmlformats.org/officeDocument/2006/relationships/image" Target="media/image142.emf"/><Relationship Id="rId177" Type="http://schemas.openxmlformats.org/officeDocument/2006/relationships/image" Target="media/image163.emf"/><Relationship Id="rId198" Type="http://schemas.openxmlformats.org/officeDocument/2006/relationships/header" Target="header4.xml"/><Relationship Id="rId172" Type="http://schemas.openxmlformats.org/officeDocument/2006/relationships/image" Target="media/image158.emf"/><Relationship Id="rId193" Type="http://schemas.openxmlformats.org/officeDocument/2006/relationships/image" Target="media/image179.emf"/><Relationship Id="rId202" Type="http://schemas.openxmlformats.org/officeDocument/2006/relationships/footer" Target="footer5.xml"/><Relationship Id="rId207" Type="http://schemas.openxmlformats.org/officeDocument/2006/relationships/header" Target="header8.xml"/><Relationship Id="rId13" Type="http://schemas.openxmlformats.org/officeDocument/2006/relationships/footer" Target="footer2.xml"/><Relationship Id="rId18" Type="http://schemas.openxmlformats.org/officeDocument/2006/relationships/image" Target="media/image6.emf"/><Relationship Id="rId39" Type="http://schemas.openxmlformats.org/officeDocument/2006/relationships/image" Target="media/image27.emf"/><Relationship Id="rId109" Type="http://schemas.openxmlformats.org/officeDocument/2006/relationships/image" Target="media/image96.emf"/><Relationship Id="rId34" Type="http://schemas.openxmlformats.org/officeDocument/2006/relationships/image" Target="media/image22.emf"/><Relationship Id="rId50" Type="http://schemas.openxmlformats.org/officeDocument/2006/relationships/image" Target="media/image38.emf"/><Relationship Id="rId55" Type="http://schemas.openxmlformats.org/officeDocument/2006/relationships/image" Target="media/image42.emf"/><Relationship Id="rId76" Type="http://schemas.openxmlformats.org/officeDocument/2006/relationships/image" Target="media/image63.emf"/><Relationship Id="rId97" Type="http://schemas.openxmlformats.org/officeDocument/2006/relationships/image" Target="media/image84.emf"/><Relationship Id="rId104" Type="http://schemas.openxmlformats.org/officeDocument/2006/relationships/image" Target="media/image91.emf"/><Relationship Id="rId120" Type="http://schemas.openxmlformats.org/officeDocument/2006/relationships/image" Target="media/image107.emf"/><Relationship Id="rId125" Type="http://schemas.openxmlformats.org/officeDocument/2006/relationships/image" Target="media/image111.emf"/><Relationship Id="rId141" Type="http://schemas.openxmlformats.org/officeDocument/2006/relationships/image" Target="media/image127.emf"/><Relationship Id="rId146" Type="http://schemas.openxmlformats.org/officeDocument/2006/relationships/image" Target="media/image132.emf"/><Relationship Id="rId167" Type="http://schemas.openxmlformats.org/officeDocument/2006/relationships/image" Target="media/image153.emf"/><Relationship Id="rId188" Type="http://schemas.openxmlformats.org/officeDocument/2006/relationships/image" Target="media/image174.emf"/><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image" Target="media/image79.emf"/><Relationship Id="rId162" Type="http://schemas.openxmlformats.org/officeDocument/2006/relationships/image" Target="media/image148.emf"/><Relationship Id="rId183" Type="http://schemas.openxmlformats.org/officeDocument/2006/relationships/image" Target="media/image169.emf"/><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3.emf"/><Relationship Id="rId87" Type="http://schemas.openxmlformats.org/officeDocument/2006/relationships/image" Target="media/image74.emf"/><Relationship Id="rId110" Type="http://schemas.openxmlformats.org/officeDocument/2006/relationships/image" Target="media/image97.emf"/><Relationship Id="rId115" Type="http://schemas.openxmlformats.org/officeDocument/2006/relationships/image" Target="media/image102.emf"/><Relationship Id="rId131" Type="http://schemas.openxmlformats.org/officeDocument/2006/relationships/image" Target="media/image117.emf"/><Relationship Id="rId136" Type="http://schemas.openxmlformats.org/officeDocument/2006/relationships/image" Target="media/image122.emf"/><Relationship Id="rId157" Type="http://schemas.openxmlformats.org/officeDocument/2006/relationships/image" Target="media/image143.emf"/><Relationship Id="rId178" Type="http://schemas.openxmlformats.org/officeDocument/2006/relationships/image" Target="media/image164.emf"/><Relationship Id="rId61" Type="http://schemas.openxmlformats.org/officeDocument/2006/relationships/image" Target="media/image48.emf"/><Relationship Id="rId82" Type="http://schemas.openxmlformats.org/officeDocument/2006/relationships/image" Target="media/image69.emf"/><Relationship Id="rId152" Type="http://schemas.openxmlformats.org/officeDocument/2006/relationships/image" Target="media/image138.emf"/><Relationship Id="rId173" Type="http://schemas.openxmlformats.org/officeDocument/2006/relationships/image" Target="media/image159.emf"/><Relationship Id="rId194" Type="http://schemas.openxmlformats.org/officeDocument/2006/relationships/image" Target="media/image180.emf"/><Relationship Id="rId199" Type="http://schemas.openxmlformats.org/officeDocument/2006/relationships/footer" Target="footer3.xml"/><Relationship Id="rId203" Type="http://schemas.openxmlformats.org/officeDocument/2006/relationships/header" Target="header6.xml"/><Relationship Id="rId208" Type="http://schemas.openxmlformats.org/officeDocument/2006/relationships/header" Target="header9.xml"/><Relationship Id="rId19" Type="http://schemas.openxmlformats.org/officeDocument/2006/relationships/image" Target="media/image7.emf"/><Relationship Id="rId14" Type="http://schemas.openxmlformats.org/officeDocument/2006/relationships/image" Target="media/image2.emf"/><Relationship Id="rId30" Type="http://schemas.openxmlformats.org/officeDocument/2006/relationships/image" Target="media/image18.emf"/><Relationship Id="rId35" Type="http://schemas.openxmlformats.org/officeDocument/2006/relationships/image" Target="media/image23.emf"/><Relationship Id="rId56" Type="http://schemas.openxmlformats.org/officeDocument/2006/relationships/image" Target="media/image43.emf"/><Relationship Id="rId77" Type="http://schemas.openxmlformats.org/officeDocument/2006/relationships/image" Target="media/image64.emf"/><Relationship Id="rId100" Type="http://schemas.openxmlformats.org/officeDocument/2006/relationships/image" Target="media/image87.emf"/><Relationship Id="rId105" Type="http://schemas.openxmlformats.org/officeDocument/2006/relationships/image" Target="media/image92.emf"/><Relationship Id="rId126" Type="http://schemas.openxmlformats.org/officeDocument/2006/relationships/image" Target="media/image112.emf"/><Relationship Id="rId147" Type="http://schemas.openxmlformats.org/officeDocument/2006/relationships/image" Target="media/image133.emf"/><Relationship Id="rId168" Type="http://schemas.openxmlformats.org/officeDocument/2006/relationships/image" Target="media/image154.emf"/><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59.emf"/><Relationship Id="rId93" Type="http://schemas.openxmlformats.org/officeDocument/2006/relationships/image" Target="media/image80.emf"/><Relationship Id="rId98" Type="http://schemas.openxmlformats.org/officeDocument/2006/relationships/image" Target="media/image85.emf"/><Relationship Id="rId121" Type="http://schemas.openxmlformats.org/officeDocument/2006/relationships/image" Target="media/image108.emf"/><Relationship Id="rId142" Type="http://schemas.openxmlformats.org/officeDocument/2006/relationships/image" Target="media/image128.emf"/><Relationship Id="rId163" Type="http://schemas.openxmlformats.org/officeDocument/2006/relationships/image" Target="media/image149.emf"/><Relationship Id="rId184" Type="http://schemas.openxmlformats.org/officeDocument/2006/relationships/image" Target="media/image170.emf"/><Relationship Id="rId189" Type="http://schemas.openxmlformats.org/officeDocument/2006/relationships/image" Target="media/image175.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4.emf"/><Relationship Id="rId67" Type="http://schemas.openxmlformats.org/officeDocument/2006/relationships/image" Target="media/image54.emf"/><Relationship Id="rId116" Type="http://schemas.openxmlformats.org/officeDocument/2006/relationships/image" Target="media/image103.emf"/><Relationship Id="rId137" Type="http://schemas.openxmlformats.org/officeDocument/2006/relationships/image" Target="media/image123.emf"/><Relationship Id="rId158" Type="http://schemas.openxmlformats.org/officeDocument/2006/relationships/image" Target="media/image144.emf"/><Relationship Id="rId20" Type="http://schemas.openxmlformats.org/officeDocument/2006/relationships/image" Target="media/image8.emf"/><Relationship Id="rId41" Type="http://schemas.openxmlformats.org/officeDocument/2006/relationships/image" Target="media/image29.emf"/><Relationship Id="rId62" Type="http://schemas.openxmlformats.org/officeDocument/2006/relationships/image" Target="media/image49.emf"/><Relationship Id="rId83" Type="http://schemas.openxmlformats.org/officeDocument/2006/relationships/image" Target="media/image70.emf"/><Relationship Id="rId88" Type="http://schemas.openxmlformats.org/officeDocument/2006/relationships/image" Target="media/image75.emf"/><Relationship Id="rId111" Type="http://schemas.openxmlformats.org/officeDocument/2006/relationships/image" Target="media/image98.emf"/><Relationship Id="rId132" Type="http://schemas.openxmlformats.org/officeDocument/2006/relationships/image" Target="media/image118.emf"/><Relationship Id="rId153" Type="http://schemas.openxmlformats.org/officeDocument/2006/relationships/image" Target="media/image139.emf"/><Relationship Id="rId174" Type="http://schemas.openxmlformats.org/officeDocument/2006/relationships/image" Target="media/image160.emf"/><Relationship Id="rId179" Type="http://schemas.openxmlformats.org/officeDocument/2006/relationships/image" Target="media/image165.emf"/><Relationship Id="rId195" Type="http://schemas.openxmlformats.org/officeDocument/2006/relationships/image" Target="media/image181.emf"/><Relationship Id="rId209" Type="http://schemas.openxmlformats.org/officeDocument/2006/relationships/header" Target="header10.xml"/><Relationship Id="rId190" Type="http://schemas.openxmlformats.org/officeDocument/2006/relationships/image" Target="media/image176.emf"/><Relationship Id="rId204" Type="http://schemas.openxmlformats.org/officeDocument/2006/relationships/header" Target="header7.xml"/><Relationship Id="rId15" Type="http://schemas.openxmlformats.org/officeDocument/2006/relationships/image" Target="media/image3.emf"/><Relationship Id="rId36" Type="http://schemas.openxmlformats.org/officeDocument/2006/relationships/image" Target="media/image24.emf"/><Relationship Id="rId57" Type="http://schemas.openxmlformats.org/officeDocument/2006/relationships/image" Target="media/image44.emf"/><Relationship Id="rId106" Type="http://schemas.openxmlformats.org/officeDocument/2006/relationships/image" Target="media/image93.emf"/><Relationship Id="rId127" Type="http://schemas.openxmlformats.org/officeDocument/2006/relationships/image" Target="media/image113.emf"/><Relationship Id="rId10" Type="http://schemas.openxmlformats.org/officeDocument/2006/relationships/header" Target="header1.xml"/><Relationship Id="rId31" Type="http://schemas.openxmlformats.org/officeDocument/2006/relationships/image" Target="media/image19.emf"/><Relationship Id="rId52" Type="http://schemas.openxmlformats.org/officeDocument/2006/relationships/image" Target="media/image40.emf"/><Relationship Id="rId73" Type="http://schemas.openxmlformats.org/officeDocument/2006/relationships/image" Target="media/image60.emf"/><Relationship Id="rId78" Type="http://schemas.openxmlformats.org/officeDocument/2006/relationships/image" Target="media/image65.emf"/><Relationship Id="rId94" Type="http://schemas.openxmlformats.org/officeDocument/2006/relationships/image" Target="media/image81.emf"/><Relationship Id="rId99" Type="http://schemas.openxmlformats.org/officeDocument/2006/relationships/image" Target="media/image86.emf"/><Relationship Id="rId101" Type="http://schemas.openxmlformats.org/officeDocument/2006/relationships/image" Target="media/image88.emf"/><Relationship Id="rId122" Type="http://schemas.openxmlformats.org/officeDocument/2006/relationships/image" Target="media/image109.emf"/><Relationship Id="rId143" Type="http://schemas.openxmlformats.org/officeDocument/2006/relationships/image" Target="media/image129.emf"/><Relationship Id="rId148" Type="http://schemas.openxmlformats.org/officeDocument/2006/relationships/image" Target="media/image134.emf"/><Relationship Id="rId164" Type="http://schemas.openxmlformats.org/officeDocument/2006/relationships/image" Target="media/image150.emf"/><Relationship Id="rId169" Type="http://schemas.openxmlformats.org/officeDocument/2006/relationships/image" Target="media/image155.emf"/><Relationship Id="rId185" Type="http://schemas.openxmlformats.org/officeDocument/2006/relationships/image" Target="media/image171.emf"/><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image" Target="media/image166.emf"/><Relationship Id="rId210" Type="http://schemas.openxmlformats.org/officeDocument/2006/relationships/fontTable" Target="fontTable.xml"/><Relationship Id="rId26" Type="http://schemas.openxmlformats.org/officeDocument/2006/relationships/image" Target="media/image14.emf"/><Relationship Id="rId47" Type="http://schemas.openxmlformats.org/officeDocument/2006/relationships/image" Target="media/image35.emf"/><Relationship Id="rId68" Type="http://schemas.openxmlformats.org/officeDocument/2006/relationships/image" Target="media/image55.emf"/><Relationship Id="rId89" Type="http://schemas.openxmlformats.org/officeDocument/2006/relationships/image" Target="media/image76.emf"/><Relationship Id="rId112" Type="http://schemas.openxmlformats.org/officeDocument/2006/relationships/image" Target="media/image99.emf"/><Relationship Id="rId133" Type="http://schemas.openxmlformats.org/officeDocument/2006/relationships/image" Target="media/image119.emf"/><Relationship Id="rId154" Type="http://schemas.openxmlformats.org/officeDocument/2006/relationships/image" Target="media/image140.emf"/><Relationship Id="rId175" Type="http://schemas.openxmlformats.org/officeDocument/2006/relationships/image" Target="media/image161.emf"/><Relationship Id="rId196" Type="http://schemas.openxmlformats.org/officeDocument/2006/relationships/image" Target="media/image182.emf"/><Relationship Id="rId200" Type="http://schemas.openxmlformats.org/officeDocument/2006/relationships/footer" Target="footer4.xml"/><Relationship Id="rId16" Type="http://schemas.openxmlformats.org/officeDocument/2006/relationships/image" Target="media/image4.emf"/></Relationships>
</file>

<file path=word/_rels/footnotes.xml.rels><?xml version="1.0" encoding="UTF-8" standalone="yes"?>
<Relationships xmlns="http://schemas.openxmlformats.org/package/2006/relationships"><Relationship Id="rId8" Type="http://schemas.openxmlformats.org/officeDocument/2006/relationships/hyperlink" Target="http://etisc.wipo.org/" TargetMode="External"/><Relationship Id="rId13" Type="http://schemas.openxmlformats.org/officeDocument/2006/relationships/hyperlink" Target="http://www.wipo.int/publications/en/details.jsp?id=3912&amp;plang=EN" TargetMode="External"/><Relationship Id="rId18" Type="http://schemas.openxmlformats.org/officeDocument/2006/relationships/hyperlink" Target="http://www.wipo.int/export/sites/www/research/en/docs/wipo_research_external_review.pdf" TargetMode="External"/><Relationship Id="rId3" Type="http://schemas.openxmlformats.org/officeDocument/2006/relationships/hyperlink" Target="http://www.wipo.int/edocs/mdocs/govbody/en/a_55/a_55_6.pdf" TargetMode="External"/><Relationship Id="rId21" Type="http://schemas.openxmlformats.org/officeDocument/2006/relationships/hyperlink" Target="http://www.wipo.int/about-wipo/en/oversight/pdf/external_quality_assessment_wipo_investigation_function.pdf" TargetMode="External"/><Relationship Id="rId7" Type="http://schemas.openxmlformats.org/officeDocument/2006/relationships/hyperlink" Target="http://www.wipo.int/tisc/en/search/" TargetMode="External"/><Relationship Id="rId12" Type="http://schemas.openxmlformats.org/officeDocument/2006/relationships/hyperlink" Target="http://www.wipo.int/publications/en/details.jsp?id=3887&amp;plang=EN" TargetMode="External"/><Relationship Id="rId17" Type="http://schemas.openxmlformats.org/officeDocument/2006/relationships/hyperlink" Target="http://www.wipo.int/publications/en/details.jsp?id=3924&amp;plang=EN" TargetMode="External"/><Relationship Id="rId2" Type="http://schemas.openxmlformats.org/officeDocument/2006/relationships/hyperlink" Target="mailto:madrid.qp@wipo.int" TargetMode="External"/><Relationship Id="rId16" Type="http://schemas.openxmlformats.org/officeDocument/2006/relationships/hyperlink" Target="http://www.wipo.int/publications/en/details.jsp?id=3891&amp;plang=EN" TargetMode="External"/><Relationship Id="rId20" Type="http://schemas.openxmlformats.org/officeDocument/2006/relationships/hyperlink" Target="http://www.wipo.int/about-wipo/en/oversight/iaod/pdf/eqa_report.pdf" TargetMode="External"/><Relationship Id="rId1" Type="http://schemas.openxmlformats.org/officeDocument/2006/relationships/hyperlink" Target="http://www.wipo.int/edocs/pubdocs/en/wipo_pub_1043.pdf" TargetMode="External"/><Relationship Id="rId6" Type="http://schemas.openxmlformats.org/officeDocument/2006/relationships/hyperlink" Target="http://www.sida.se/English/publications/Publication_database/publications-by-year1/2015/march/evaluation-of-sidas-international-training-programmes-in-intellectual-property---final-report/" TargetMode="External"/><Relationship Id="rId11" Type="http://schemas.openxmlformats.org/officeDocument/2006/relationships/hyperlink" Target="http://www.wipo.int/export/sites/www/about-wipo/en/oversight/iaod/evaluation/pdf/evaluation_strategic_goal_vi.pdf" TargetMode="External"/><Relationship Id="rId5" Type="http://schemas.openxmlformats.org/officeDocument/2006/relationships/hyperlink" Target="http://www.wipo.int/meetings/en/doc_details.jsp?doc_id=239806" TargetMode="External"/><Relationship Id="rId15" Type="http://schemas.openxmlformats.org/officeDocument/2006/relationships/hyperlink" Target="http://www.wipo.int/publications/en/details.jsp?id=3990&amp;plang=EN" TargetMode="External"/><Relationship Id="rId23" Type="http://schemas.openxmlformats.org/officeDocument/2006/relationships/hyperlink" Target="http://www.uibm.gov.it/attachments/FINAL%20Guide_for_IP%20Agri-food%20SME%20_Italian_publication_EN_GBA-Jaiya.pdf" TargetMode="External"/><Relationship Id="rId10" Type="http://schemas.openxmlformats.org/officeDocument/2006/relationships/hyperlink" Target="http://www.wipo.int/tisc/fr/etutorial/main.html" TargetMode="External"/><Relationship Id="rId19" Type="http://schemas.openxmlformats.org/officeDocument/2006/relationships/hyperlink" Target="http://www.wipo.int/about-wipo/en/oversight/iaod/pdf/qa_report.pdf" TargetMode="External"/><Relationship Id="rId4" Type="http://schemas.openxmlformats.org/officeDocument/2006/relationships/hyperlink" Target="http://www.wipo.int/meetings/en/doc_details.jsp?doc_id=208882" TargetMode="External"/><Relationship Id="rId9" Type="http://schemas.openxmlformats.org/officeDocument/2006/relationships/hyperlink" Target="http://www.wipo.int/tisc/en/etutorial.html" TargetMode="External"/><Relationship Id="rId14" Type="http://schemas.openxmlformats.org/officeDocument/2006/relationships/hyperlink" Target="http://www.wipo.int/publications/en/details.jsp?id=3893&amp;plang=EN" TargetMode="External"/><Relationship Id="rId22" Type="http://schemas.openxmlformats.org/officeDocument/2006/relationships/hyperlink" Target="http://www.wipo.int/publications/en/details.jsp?id=259&amp;plang=EN" TargetMode="Externa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wipogvafs01\PCT\OrgPCTopPB\Shared\_Ting's%20folder\PPR\2015\Table\PPR_201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696202531645611E-2"/>
          <c:y val="0.10434812145641267"/>
          <c:w val="0.87974683544303844"/>
          <c:h val="0.51884204835271841"/>
        </c:manualLayout>
      </c:layout>
      <c:lineChart>
        <c:grouping val="standard"/>
        <c:varyColors val="0"/>
        <c:ser>
          <c:idx val="0"/>
          <c:order val="0"/>
          <c:spPr>
            <a:ln w="25400">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2.6371308016877679E-3"/>
                  <c:y val="-5.240983664700441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2.2487458055084914E-2"/>
                  <c:y val="4.3242608021373835E-2"/>
                </c:manualLayout>
              </c:layout>
              <c:spPr>
                <a:noFill/>
                <a:ln w="25400">
                  <a:noFill/>
                </a:ln>
              </c:spPr>
              <c:txPr>
                <a:bodyPr/>
                <a:lstStyle/>
                <a:p>
                  <a:pPr algn="ctr" rtl="1">
                    <a:defRPr sz="800" b="0" i="0" u="none" strike="noStrike" baseline="0">
                      <a:solidFill>
                        <a:srgbClr val="000000"/>
                      </a:solidFill>
                      <a:latin typeface="Arial"/>
                      <a:ea typeface="Arial"/>
                      <a:cs typeface="Arial"/>
                    </a:defRPr>
                  </a:pPr>
                  <a:endParaRPr lang="en-US"/>
                </a:p>
              </c:txPr>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2.8097445097843798E-2"/>
                  <c:y val="-3.8563074533814856E-2"/>
                </c:manualLayout>
              </c:layout>
              <c:spPr>
                <a:noFill/>
                <a:ln w="25400">
                  <a:noFill/>
                </a:ln>
              </c:spPr>
              <c:txPr>
                <a:bodyPr/>
                <a:lstStyle/>
                <a:p>
                  <a:pPr algn="ctr" rtl="1">
                    <a:defRPr sz="800" b="0" i="0" u="none" strike="noStrike" baseline="0">
                      <a:solidFill>
                        <a:srgbClr val="000000"/>
                      </a:solidFill>
                      <a:latin typeface="Arial"/>
                      <a:ea typeface="Arial"/>
                      <a:cs typeface="Arial"/>
                    </a:defRPr>
                  </a:pPr>
                  <a:endParaRPr lang="en-US"/>
                </a:p>
              </c:txPr>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6.5688228844812185E-3"/>
                  <c:y val="-1.4281532018802041E-2"/>
                </c:manualLayout>
              </c:layout>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4.018023854613112E-2"/>
                  <c:y val="3.96649765957375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6"/>
              <c:layout>
                <c:manualLayout>
                  <c:x val="-3.3131997740788767E-2"/>
                  <c:y val="3.0439257795772806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2.1336755373932665E-2"/>
                  <c:y val="3.886991357784200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2.5364463935678882E-2"/>
                  <c:y val="-5.315524047223405E-2"/>
                </c:manualLayout>
              </c:layout>
              <c:tx>
                <c:rich>
                  <a:bodyPr/>
                  <a:lstStyle/>
                  <a:p>
                    <a:r>
                      <a:rPr lang="en-US"/>
                      <a:t>367*</a:t>
                    </a:r>
                  </a:p>
                </c:rich>
              </c:tx>
              <c:dLblPos val="r"/>
              <c:showLegendKey val="0"/>
              <c:showVal val="0"/>
              <c:showCatName val="0"/>
              <c:showSerName val="0"/>
              <c:showPercent val="0"/>
              <c:showBubbleSize val="0"/>
              <c:extLst>
                <c:ext xmlns:c15="http://schemas.microsoft.com/office/drawing/2012/chart" uri="{CE6537A1-D6FC-4f65-9D91-7224C49458BB}"/>
              </c:extLst>
            </c:dLbl>
            <c:dLbl>
              <c:idx val="9"/>
              <c:layout>
                <c:manualLayout>
                  <c:x val="-2.7809727897936867E-2"/>
                  <c:y val="-6.2198941731443955E-2"/>
                </c:manualLayout>
              </c:layout>
              <c:tx>
                <c:rich>
                  <a:bodyPr/>
                  <a:lstStyle/>
                  <a:p>
                    <a:r>
                      <a:rPr lang="en-US"/>
                      <a:t>318</a:t>
                    </a:r>
                  </a:p>
                </c:rich>
              </c:tx>
              <c:dLblPos val="r"/>
              <c:showLegendKey val="0"/>
              <c:showVal val="0"/>
              <c:showCatName val="0"/>
              <c:showSerName val="0"/>
              <c:showPercent val="0"/>
              <c:showBubbleSize val="0"/>
              <c:extLst>
                <c:ext xmlns:c15="http://schemas.microsoft.com/office/drawing/2012/chart" uri="{CE6537A1-D6FC-4f65-9D91-7224C49458BB}"/>
              </c:extLst>
            </c:dLbl>
            <c:dLbl>
              <c:idx val="10"/>
              <c:layout>
                <c:manualLayout>
                  <c:x val="-3.3419714940695705E-2"/>
                  <c:y val="-5.399825021872259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1"/>
              <c:layout>
                <c:manualLayout>
                  <c:x val="-3.6181434599156133E-2"/>
                  <c:y val="-4.7904751036555157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2"/>
              <c:layout>
                <c:manualLayout>
                  <c:x val="-3.7974683544303806E-2"/>
                  <c:y val="-5.0241545893719784E-2"/>
                </c:manualLayout>
              </c:layout>
              <c:showLegendKey val="0"/>
              <c:showVal val="1"/>
              <c:showCatName val="0"/>
              <c:showSerName val="0"/>
              <c:showPercent val="0"/>
              <c:showBubbleSize val="0"/>
              <c:extLst>
                <c:ext xmlns:c15="http://schemas.microsoft.com/office/drawing/2012/chart" uri="{CE6537A1-D6FC-4f65-9D91-7224C49458BB}"/>
              </c:extLst>
            </c:dLbl>
            <c:dLbl>
              <c:idx val="13"/>
              <c:layout>
                <c:manualLayout>
                  <c:x val="-2.5316455696202528E-2"/>
                  <c:y val="-5.0241545893719715E-2"/>
                </c:manualLayout>
              </c:layout>
              <c:tx>
                <c:rich>
                  <a:bodyPr/>
                  <a:lstStyle/>
                  <a:p>
                    <a:r>
                      <a:rPr lang="en-US"/>
                      <a:t> 302</a:t>
                    </a:r>
                  </a:p>
                </c:rich>
              </c:tx>
              <c:showLegendKey val="0"/>
              <c:showVal val="1"/>
              <c:showCatName val="0"/>
              <c:showSerName val="0"/>
              <c:showPercent val="0"/>
              <c:showBubbleSize val="0"/>
              <c:extLst>
                <c:ext xmlns:c15="http://schemas.microsoft.com/office/drawing/2012/chart" uri="{CE6537A1-D6FC-4f65-9D91-7224C49458BB}"/>
              </c:extLst>
            </c:dLbl>
            <c:dLbl>
              <c:idx val="14"/>
              <c:layout>
                <c:manualLayout>
                  <c:x val="-1.4767932489451475E-2"/>
                  <c:y val="-4.2512077294686014E-2"/>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800" b="0" i="0" u="none" strike="noStrike" baseline="0">
                    <a:solidFill>
                      <a:srgbClr val="000000"/>
                    </a:solidFill>
                    <a:latin typeface="Arial"/>
                    <a:ea typeface="Arial"/>
                    <a:cs typeface="Aria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Personnel!$C$6:$Q$6</c:f>
              <c:numCache>
                <c:formatCode>General</c:formatCode>
                <c:ptCount val="15"/>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numCache>
            </c:numRef>
          </c:cat>
          <c:val>
            <c:numRef>
              <c:f>Personnel!$C$10:$Q$10</c:f>
              <c:numCache>
                <c:formatCode>General</c:formatCode>
                <c:ptCount val="15"/>
                <c:pt idx="0">
                  <c:v>422</c:v>
                </c:pt>
                <c:pt idx="1">
                  <c:v>422</c:v>
                </c:pt>
                <c:pt idx="2">
                  <c:v>456</c:v>
                </c:pt>
                <c:pt idx="3">
                  <c:v>409</c:v>
                </c:pt>
                <c:pt idx="4">
                  <c:v>385</c:v>
                </c:pt>
                <c:pt idx="5">
                  <c:v>368</c:v>
                </c:pt>
                <c:pt idx="6">
                  <c:v>360</c:v>
                </c:pt>
                <c:pt idx="7">
                  <c:v>356</c:v>
                </c:pt>
                <c:pt idx="8">
                  <c:v>367</c:v>
                </c:pt>
                <c:pt idx="9">
                  <c:v>318</c:v>
                </c:pt>
                <c:pt idx="10" formatCode="_-* #,##0_-;\-* #,##0_-;_-* &quot;-&quot;??_-;_-@_-">
                  <c:v>314.89999999999986</c:v>
                </c:pt>
                <c:pt idx="11">
                  <c:v>315</c:v>
                </c:pt>
                <c:pt idx="12" formatCode="_-* #,##0_-;\-* #,##0_-;_-* &quot;-&quot;??_-;_-@_-">
                  <c:v>305.79999999999984</c:v>
                </c:pt>
                <c:pt idx="13" formatCode="_-* ##,#0\.0_-;\-* ##,#0\.0_-;_-* &quot;-&quot;??_-;_-@_-">
                  <c:v>302.39999999999986</c:v>
                </c:pt>
                <c:pt idx="14" formatCode="0">
                  <c:v>296</c:v>
                </c:pt>
              </c:numCache>
            </c:numRef>
          </c:val>
          <c:smooth val="0"/>
        </c:ser>
        <c:dLbls>
          <c:showLegendKey val="0"/>
          <c:showVal val="1"/>
          <c:showCatName val="0"/>
          <c:showSerName val="0"/>
          <c:showPercent val="0"/>
          <c:showBubbleSize val="0"/>
        </c:dLbls>
        <c:marker val="1"/>
        <c:smooth val="0"/>
        <c:axId val="313812864"/>
        <c:axId val="320433536"/>
      </c:lineChart>
      <c:catAx>
        <c:axId val="313812864"/>
        <c:scaling>
          <c:orientation val="minMax"/>
        </c:scaling>
        <c:delete val="0"/>
        <c:axPos val="b"/>
        <c:title>
          <c:tx>
            <c:rich>
              <a:bodyPr/>
              <a:lstStyle/>
              <a:p>
                <a:pPr>
                  <a:defRPr sz="800" b="0" i="0" u="none" strike="noStrike" baseline="0">
                    <a:solidFill>
                      <a:srgbClr val="000000"/>
                    </a:solidFill>
                    <a:latin typeface="Arial"/>
                    <a:ea typeface="Arial"/>
                    <a:cs typeface="Arial"/>
                  </a:defRPr>
                </a:pPr>
                <a:r>
                  <a:rPr lang="ru-RU" b="0"/>
                  <a:t>Год</a:t>
                </a:r>
              </a:p>
            </c:rich>
          </c:tx>
          <c:layout>
            <c:manualLayout>
              <c:xMode val="edge"/>
              <c:yMode val="edge"/>
              <c:x val="0.50791139240506333"/>
              <c:y val="0.7333354091242332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320433536"/>
        <c:crosses val="autoZero"/>
        <c:auto val="1"/>
        <c:lblAlgn val="ctr"/>
        <c:lblOffset val="100"/>
        <c:tickLblSkip val="1"/>
        <c:tickMarkSkip val="1"/>
        <c:noMultiLvlLbl val="0"/>
      </c:catAx>
      <c:valAx>
        <c:axId val="320433536"/>
        <c:scaling>
          <c:orientation val="minMax"/>
          <c:max val="475"/>
          <c:min val="250"/>
        </c:scaling>
        <c:delete val="0"/>
        <c:axPos val="l"/>
        <c:majorGridlines>
          <c:spPr>
            <a:ln w="3175">
              <a:solidFill>
                <a:srgbClr val="FFFFFF"/>
              </a:solidFill>
              <a:prstDash val="sysDash"/>
            </a:ln>
          </c:spPr>
        </c:majorGridlines>
        <c:title>
          <c:tx>
            <c:rich>
              <a:bodyPr/>
              <a:lstStyle/>
              <a:p>
                <a:pPr>
                  <a:defRPr sz="800" b="0" i="0" u="none" strike="noStrike" baseline="0">
                    <a:solidFill>
                      <a:srgbClr val="000000"/>
                    </a:solidFill>
                    <a:latin typeface="Arial"/>
                    <a:ea typeface="Arial"/>
                    <a:cs typeface="Arial"/>
                  </a:defRPr>
                </a:pPr>
                <a:r>
                  <a:rPr lang="ru-RU" b="0"/>
                  <a:t>Число сотрудников</a:t>
                </a:r>
              </a:p>
            </c:rich>
          </c:tx>
          <c:layout>
            <c:manualLayout>
              <c:xMode val="edge"/>
              <c:yMode val="edge"/>
              <c:x val="2.5316455696202528E-2"/>
              <c:y val="0.18550777147806691"/>
            </c:manualLayout>
          </c:layout>
          <c:overlay val="0"/>
          <c:spPr>
            <a:noFill/>
            <a:ln w="25400">
              <a:noFill/>
            </a:ln>
          </c:spPr>
        </c:title>
        <c:numFmt formatCode="General" sourceLinked="1"/>
        <c:majorTickMark val="none"/>
        <c:minorTickMark val="none"/>
        <c:tickLblPos val="none"/>
        <c:spPr>
          <a:ln w="3175">
            <a:solidFill>
              <a:srgbClr val="000000"/>
            </a:solidFill>
            <a:prstDash val="solid"/>
          </a:ln>
        </c:spPr>
        <c:crossAx val="313812864"/>
        <c:crosses val="autoZero"/>
        <c:crossBetween val="midCat"/>
        <c:majorUnit val="75"/>
      </c:valAx>
      <c:spPr>
        <a:noFill/>
        <a:ln w="25400">
          <a:noFill/>
        </a:ln>
      </c:spPr>
    </c:plotArea>
    <c:plotVisOnly val="1"/>
    <c:dispBlanksAs val="gap"/>
    <c:showDLblsOverMax val="0"/>
  </c:chart>
  <c:spPr>
    <a:solidFill>
      <a:srgbClr val="FFFFFF"/>
    </a:solidFill>
    <a:ln w="9525">
      <a:no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cdr:x>
      <cdr:y>0.78068</cdr:y>
    </cdr:from>
    <cdr:to>
      <cdr:x>0.98537</cdr:x>
      <cdr:y>0.98531</cdr:y>
    </cdr:to>
    <cdr:sp macro="" textlink="">
      <cdr:nvSpPr>
        <cdr:cNvPr id="11265" name="Text Box 1"/>
        <cdr:cNvSpPr txBox="1">
          <a:spLocks xmlns:a="http://schemas.openxmlformats.org/drawingml/2006/main" noChangeArrowheads="1"/>
        </cdr:cNvSpPr>
      </cdr:nvSpPr>
      <cdr:spPr bwMode="auto">
        <a:xfrm xmlns:a="http://schemas.openxmlformats.org/drawingml/2006/main">
          <a:off x="0" y="2909453"/>
          <a:ext cx="5853546" cy="76261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65"/>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18288" rIns="0" bIns="0" anchor="t" upright="1"/>
        <a:lstStyle xmlns:a="http://schemas.openxmlformats.org/drawingml/2006/main"/>
        <a:p xmlns:a="http://schemas.openxmlformats.org/drawingml/2006/main">
          <a:pPr algn="l" rtl="0">
            <a:defRPr sz="1000"/>
          </a:pPr>
          <a:r>
            <a:rPr lang="ru-RU" sz="650" b="0" i="0" u="none" strike="noStrike" baseline="0">
              <a:solidFill>
                <a:srgbClr val="000000"/>
              </a:solidFill>
              <a:latin typeface="Arial"/>
            </a:rPr>
            <a:t>Источник:  База статистических данных ВОИС, февраль 2016 г.</a:t>
          </a:r>
        </a:p>
        <a:p xmlns:a="http://schemas.openxmlformats.org/drawingml/2006/main">
          <a:pPr algn="l" rtl="0">
            <a:defRPr sz="1000"/>
          </a:pPr>
          <a:r>
            <a:rPr lang="ru-RU" sz="650" b="0" i="0" u="none" strike="noStrike" baseline="0">
              <a:solidFill>
                <a:srgbClr val="000000"/>
              </a:solidFill>
              <a:latin typeface="Arial"/>
            </a:rPr>
            <a:t>Примечание:  число сотрудников рассчитывается из расчета занятости на полный рабочий день на основании составленных в декабре списков сотрудников. </a:t>
          </a:r>
        </a:p>
        <a:p xmlns:a="http://schemas.openxmlformats.org/drawingml/2006/main">
          <a:pPr algn="l" rtl="0">
            <a:defRPr sz="1000"/>
          </a:pPr>
          <a:r>
            <a:rPr lang="ru-RU" sz="650" b="0" i="0" u="none" strike="noStrike" baseline="0">
              <a:solidFill>
                <a:srgbClr val="000000"/>
              </a:solidFill>
              <a:latin typeface="Arial"/>
            </a:rPr>
            <a:t>* Следует помнить, что увеличение числа сотрудников в 2009 г. связано с включением в Оперативный отдел РСТ двух подразделений, которые до 2009 г. не были его частью (а значит в этот период их сотрудники не учитывались как сотрудники Оперативного отдела PCT).  Подразделения, о которых идет речь, – это Служба информационных систем PCT (30 сотрудников) и Группа PCT по обработке пошлин (два сотрудника).  Без учета этих двух подразделений число сотрудников Оперативного отдела уменьшилось бы с 356 в 2008 г. до 335 в 2009 г.</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CEE3A7-8B31-49DC-A2B8-558A9B235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396</Pages>
  <Words>122796</Words>
  <Characters>813017</Characters>
  <Application>Microsoft Office Word</Application>
  <DocSecurity>2</DocSecurity>
  <Lines>6775</Lines>
  <Paragraphs>1867</Paragraphs>
  <ScaleCrop>false</ScaleCrop>
  <HeadingPairs>
    <vt:vector size="2" baseType="variant">
      <vt:variant>
        <vt:lpstr>Title</vt:lpstr>
      </vt:variant>
      <vt:variant>
        <vt:i4>1</vt:i4>
      </vt:variant>
    </vt:vector>
  </HeadingPairs>
  <TitlesOfParts>
    <vt:vector size="1" baseType="lpstr">
      <vt:lpstr>Program Performance Report 2008-09, program 1</vt:lpstr>
    </vt:vector>
  </TitlesOfParts>
  <Company>WIPO</Company>
  <LinksUpToDate>false</LinksUpToDate>
  <CharactersWithSpaces>933946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 Performance Report 2008-09, program 1</dc:title>
  <dc:creator>baechtold</dc:creator>
  <cp:lastModifiedBy>KORCHAGINA Elena</cp:lastModifiedBy>
  <cp:revision>3</cp:revision>
  <cp:lastPrinted>2016-04-19T09:38:00Z</cp:lastPrinted>
  <dcterms:created xsi:type="dcterms:W3CDTF">2016-07-05T13:35:00Z</dcterms:created>
  <dcterms:modified xsi:type="dcterms:W3CDTF">2016-07-05T13:41:00Z</dcterms:modified>
</cp:coreProperties>
</file>